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chartEx1.xml" ContentType="application/vnd.ms-office.chartex+xml"/>
  <Override PartName="/word/charts/colors9.xml" ContentType="application/vnd.ms-office.chartcolorstyle+xml"/>
  <Override PartName="/word/charts/style9.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306DB7" w14:textId="77777777" w:rsidR="00920BEF" w:rsidRDefault="00920BEF" w:rsidP="00920BEF">
      <w:pPr>
        <w:jc w:val="center"/>
        <w:rPr>
          <w:sz w:val="28"/>
          <w:szCs w:val="28"/>
          <w:lang w:val="de-DE"/>
        </w:rPr>
      </w:pPr>
      <w:bookmarkStart w:id="0" w:name="_Hlk75712987"/>
      <w:bookmarkStart w:id="1" w:name="_GoBack"/>
      <w:bookmarkEnd w:id="0"/>
      <w:bookmarkEnd w:id="1"/>
      <w:r w:rsidRPr="00566B69">
        <w:rPr>
          <w:b/>
          <w:noProof/>
          <w:sz w:val="28"/>
          <w:szCs w:val="28"/>
          <w:lang w:val="en-US"/>
        </w:rPr>
        <w:drawing>
          <wp:anchor distT="0" distB="0" distL="114300" distR="114300" simplePos="0" relativeHeight="251665408" behindDoc="0" locked="0" layoutInCell="1" allowOverlap="1" wp14:anchorId="5B4ADB93" wp14:editId="1AA0575B">
            <wp:simplePos x="0" y="0"/>
            <wp:positionH relativeFrom="margin">
              <wp:posOffset>-52705</wp:posOffset>
            </wp:positionH>
            <wp:positionV relativeFrom="paragraph">
              <wp:posOffset>-530860</wp:posOffset>
            </wp:positionV>
            <wp:extent cx="5943600" cy="1062990"/>
            <wp:effectExtent l="0" t="0" r="0" b="3810"/>
            <wp:wrapNone/>
            <wp:docPr id="730177342" name="Picture 1" descr="A red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red and black logo&#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62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EDCCA9" w14:textId="77777777" w:rsidR="00920BEF" w:rsidRDefault="00920BEF" w:rsidP="00920BEF">
      <w:pPr>
        <w:jc w:val="center"/>
        <w:rPr>
          <w:sz w:val="28"/>
          <w:szCs w:val="28"/>
          <w:lang w:val="de-DE"/>
        </w:rPr>
      </w:pPr>
    </w:p>
    <w:p w14:paraId="7BD15EA9" w14:textId="77777777" w:rsidR="00920BEF" w:rsidRDefault="00920BEF" w:rsidP="00920BEF">
      <w:pPr>
        <w:jc w:val="center"/>
        <w:rPr>
          <w:b/>
          <w:sz w:val="28"/>
          <w:szCs w:val="28"/>
          <w:lang w:val="de-DE"/>
        </w:rPr>
      </w:pPr>
      <w:r>
        <w:rPr>
          <w:sz w:val="28"/>
          <w:szCs w:val="28"/>
          <w:lang w:val="de-DE"/>
        </w:rPr>
        <w:t>“Projekt</w:t>
      </w:r>
      <w:r w:rsidRPr="00566B69">
        <w:rPr>
          <w:sz w:val="24"/>
          <w:szCs w:val="24"/>
          <w:lang w:val="de-DE"/>
        </w:rPr>
        <w:t>”</w:t>
      </w:r>
      <w:r>
        <w:rPr>
          <w:sz w:val="28"/>
          <w:szCs w:val="28"/>
          <w:lang w:val="de-DE"/>
        </w:rPr>
        <w:t xml:space="preserve">  </w:t>
      </w:r>
    </w:p>
    <w:p w14:paraId="2A296F7C" w14:textId="77777777" w:rsidR="00920BEF" w:rsidRPr="00566B69" w:rsidRDefault="00920BEF" w:rsidP="00920BEF">
      <w:pPr>
        <w:jc w:val="center"/>
        <w:rPr>
          <w:bCs/>
          <w:sz w:val="28"/>
          <w:szCs w:val="28"/>
          <w:lang w:val="de-DE"/>
        </w:rPr>
      </w:pPr>
      <w:r>
        <w:rPr>
          <w:b/>
          <w:sz w:val="28"/>
          <w:szCs w:val="28"/>
          <w:lang w:val="de-DE"/>
        </w:rPr>
        <w:t xml:space="preserve">  </w:t>
      </w:r>
      <w:r w:rsidRPr="00566B69">
        <w:rPr>
          <w:b/>
          <w:sz w:val="28"/>
          <w:szCs w:val="28"/>
          <w:lang w:val="de-DE"/>
        </w:rPr>
        <w:t>VENDIM</w:t>
      </w:r>
      <w:r w:rsidRPr="00566B69">
        <w:rPr>
          <w:bCs/>
          <w:sz w:val="28"/>
          <w:szCs w:val="28"/>
          <w:lang w:val="de-DE"/>
        </w:rPr>
        <w:t xml:space="preserve">                                          </w:t>
      </w:r>
    </w:p>
    <w:p w14:paraId="12A6A5B7" w14:textId="1D02C3B7" w:rsidR="00920BEF" w:rsidRPr="006641BB" w:rsidRDefault="00920BEF" w:rsidP="00920BEF">
      <w:pPr>
        <w:jc w:val="center"/>
        <w:rPr>
          <w:b/>
          <w:bCs/>
          <w:sz w:val="24"/>
          <w:szCs w:val="24"/>
          <w:lang w:val="de-AT"/>
        </w:rPr>
      </w:pPr>
      <w:r w:rsidRPr="00566B69">
        <w:rPr>
          <w:bCs/>
          <w:sz w:val="28"/>
          <w:szCs w:val="28"/>
          <w:lang w:val="de-DE"/>
        </w:rPr>
        <w:t xml:space="preserve">  </w:t>
      </w:r>
      <w:r w:rsidRPr="00566B69">
        <w:rPr>
          <w:b/>
          <w:sz w:val="28"/>
          <w:szCs w:val="28"/>
          <w:lang w:val="de-DE"/>
        </w:rPr>
        <w:t>Nr.</w:t>
      </w:r>
      <w:r w:rsidRPr="006641BB">
        <w:rPr>
          <w:rFonts w:ascii="Arial" w:hAnsi="Arial" w:cs="Arial"/>
          <w:b/>
          <w:bCs/>
          <w:color w:val="222222"/>
          <w:shd w:val="clear" w:color="auto" w:fill="FFFFFF"/>
          <w:lang w:val="de-AT"/>
        </w:rPr>
        <w:t>____</w:t>
      </w:r>
      <w:r w:rsidR="00E92100" w:rsidRPr="006641BB">
        <w:rPr>
          <w:rFonts w:ascii="Arial" w:hAnsi="Arial" w:cs="Arial"/>
          <w:b/>
          <w:bCs/>
          <w:color w:val="222222"/>
          <w:shd w:val="clear" w:color="auto" w:fill="FFFFFF"/>
          <w:lang w:val="de-AT"/>
        </w:rPr>
        <w:t xml:space="preserve"> </w:t>
      </w:r>
      <w:r w:rsidRPr="006641BB">
        <w:rPr>
          <w:rFonts w:ascii="Arial" w:hAnsi="Arial" w:cs="Arial"/>
          <w:b/>
          <w:bCs/>
          <w:color w:val="222222"/>
          <w:shd w:val="clear" w:color="auto" w:fill="FFFFFF"/>
          <w:lang w:val="de-AT"/>
        </w:rPr>
        <w:t>_</w:t>
      </w:r>
      <w:r w:rsidRPr="00566B69">
        <w:rPr>
          <w:b/>
          <w:sz w:val="28"/>
          <w:szCs w:val="28"/>
          <w:lang w:val="de-DE"/>
        </w:rPr>
        <w:t xml:space="preserve">, datë </w:t>
      </w:r>
      <w:r w:rsidRPr="006641BB">
        <w:rPr>
          <w:rFonts w:ascii="Arial" w:hAnsi="Arial" w:cs="Arial"/>
          <w:b/>
          <w:bCs/>
          <w:color w:val="222222"/>
          <w:shd w:val="clear" w:color="auto" w:fill="FFFFFF"/>
          <w:lang w:val="de-AT"/>
        </w:rPr>
        <w:t>_____________</w:t>
      </w:r>
    </w:p>
    <w:p w14:paraId="1E3023C4" w14:textId="16FA31D0" w:rsidR="00920BEF" w:rsidRPr="00920BEF" w:rsidRDefault="00920BEF" w:rsidP="00920BEF">
      <w:pPr>
        <w:jc w:val="center"/>
        <w:rPr>
          <w:b/>
          <w:bCs/>
          <w:sz w:val="28"/>
          <w:szCs w:val="28"/>
          <w:lang w:val="de-DE"/>
        </w:rPr>
      </w:pPr>
      <w:r>
        <w:rPr>
          <w:b/>
          <w:bCs/>
          <w:sz w:val="28"/>
          <w:szCs w:val="28"/>
          <w:lang w:val="de-AT"/>
        </w:rPr>
        <w:t>“</w:t>
      </w:r>
      <w:r w:rsidRPr="00920BEF">
        <w:rPr>
          <w:b/>
          <w:bCs/>
          <w:sz w:val="28"/>
          <w:szCs w:val="28"/>
          <w:lang w:val="de-AT"/>
        </w:rPr>
        <w:t>PËR</w:t>
      </w:r>
    </w:p>
    <w:p w14:paraId="37D8D837" w14:textId="0D4A3A01" w:rsidR="00920BEF" w:rsidRDefault="00920BEF" w:rsidP="00920BEF">
      <w:pPr>
        <w:spacing w:line="240" w:lineRule="auto"/>
        <w:jc w:val="center"/>
        <w:rPr>
          <w:b/>
          <w:bCs/>
          <w:color w:val="222222"/>
          <w:sz w:val="28"/>
          <w:szCs w:val="28"/>
          <w:shd w:val="clear" w:color="auto" w:fill="FFFFFF"/>
          <w:lang w:val="de-AT"/>
        </w:rPr>
      </w:pPr>
      <w:r w:rsidRPr="00920BEF">
        <w:rPr>
          <w:b/>
          <w:bCs/>
          <w:color w:val="222222"/>
          <w:sz w:val="28"/>
          <w:szCs w:val="28"/>
          <w:shd w:val="clear" w:color="auto" w:fill="FFFFFF"/>
          <w:lang w:val="de-AT"/>
        </w:rPr>
        <w:t>RISHIKIMIN E PLANIT KOMBËTAR PËR ENERGJINË DHE KLIMËN 2020 – 2030</w:t>
      </w:r>
      <w:r w:rsidR="00E92100">
        <w:rPr>
          <w:b/>
          <w:bCs/>
          <w:color w:val="222222"/>
          <w:sz w:val="28"/>
          <w:szCs w:val="28"/>
          <w:shd w:val="clear" w:color="auto" w:fill="FFFFFF"/>
          <w:lang w:val="de-AT"/>
        </w:rPr>
        <w:t>“</w:t>
      </w:r>
    </w:p>
    <w:p w14:paraId="5C8E6197" w14:textId="77777777" w:rsidR="00E92100" w:rsidRPr="00920BEF" w:rsidRDefault="00E92100" w:rsidP="00920BEF">
      <w:pPr>
        <w:spacing w:line="240" w:lineRule="auto"/>
        <w:jc w:val="center"/>
        <w:rPr>
          <w:b/>
          <w:bCs/>
          <w:color w:val="222222"/>
          <w:sz w:val="28"/>
          <w:szCs w:val="28"/>
          <w:shd w:val="clear" w:color="auto" w:fill="FFFFFF"/>
          <w:lang w:val="de-AT"/>
        </w:rPr>
      </w:pPr>
    </w:p>
    <w:p w14:paraId="14EB90CC" w14:textId="5DDDD552" w:rsidR="00920BEF" w:rsidRPr="000925E3" w:rsidRDefault="00920BEF" w:rsidP="00920BEF">
      <w:pPr>
        <w:spacing w:line="240" w:lineRule="auto"/>
        <w:rPr>
          <w:sz w:val="24"/>
          <w:szCs w:val="24"/>
        </w:rPr>
      </w:pPr>
      <w:r w:rsidRPr="000925E3">
        <w:rPr>
          <w:sz w:val="24"/>
          <w:szCs w:val="24"/>
        </w:rPr>
        <w:t>Në mbështetje t</w:t>
      </w:r>
      <w:r w:rsidR="00E92100">
        <w:rPr>
          <w:sz w:val="24"/>
          <w:szCs w:val="24"/>
        </w:rPr>
        <w:t>ë</w:t>
      </w:r>
      <w:r w:rsidRPr="000925E3">
        <w:rPr>
          <w:sz w:val="24"/>
          <w:szCs w:val="24"/>
        </w:rPr>
        <w:t xml:space="preserve"> pikave 1 e 2, të nenit 100, të Kushtetutës, dhe të pikave 3 e 4, të nenit 14, të ligjit nr. 155/2020, "Për ndryshimet klimatike",</w:t>
      </w:r>
      <w:r w:rsidR="00DF469A">
        <w:rPr>
          <w:sz w:val="24"/>
          <w:szCs w:val="24"/>
        </w:rPr>
        <w:t xml:space="preserve"> i ndryshuar</w:t>
      </w:r>
      <w:r w:rsidRPr="000925E3">
        <w:rPr>
          <w:sz w:val="24"/>
          <w:szCs w:val="24"/>
        </w:rPr>
        <w:t xml:space="preserve"> me propozimin e ministrit të Infrastrukturës dhe Energjisë dhe të ministrit të Turizmit dhe Mjedisit, Këshilli i Ministrave</w:t>
      </w:r>
    </w:p>
    <w:p w14:paraId="2C1E9B48" w14:textId="77777777" w:rsidR="00920BEF" w:rsidRPr="000925E3" w:rsidRDefault="00920BEF" w:rsidP="00920BEF">
      <w:pPr>
        <w:shd w:val="clear" w:color="auto" w:fill="FFFFFF"/>
        <w:spacing w:after="0" w:line="240" w:lineRule="auto"/>
        <w:rPr>
          <w:sz w:val="24"/>
          <w:szCs w:val="24"/>
        </w:rPr>
      </w:pPr>
    </w:p>
    <w:p w14:paraId="2D37E356" w14:textId="77777777" w:rsidR="00920BEF" w:rsidRPr="000925E3" w:rsidRDefault="00920BEF" w:rsidP="00920BEF">
      <w:pPr>
        <w:spacing w:after="0" w:line="240" w:lineRule="auto"/>
        <w:jc w:val="center"/>
        <w:rPr>
          <w:sz w:val="24"/>
          <w:szCs w:val="24"/>
        </w:rPr>
      </w:pPr>
      <w:r w:rsidRPr="000925E3">
        <w:rPr>
          <w:sz w:val="24"/>
          <w:szCs w:val="24"/>
        </w:rPr>
        <w:t>V E N D O S I:</w:t>
      </w:r>
    </w:p>
    <w:p w14:paraId="54192D56" w14:textId="77777777" w:rsidR="00920BEF" w:rsidRPr="000925E3" w:rsidRDefault="00920BEF" w:rsidP="00920BEF">
      <w:pPr>
        <w:spacing w:after="0" w:line="240" w:lineRule="auto"/>
        <w:rPr>
          <w:sz w:val="24"/>
          <w:szCs w:val="24"/>
        </w:rPr>
      </w:pPr>
    </w:p>
    <w:p w14:paraId="64ED26F0" w14:textId="7112AFE6" w:rsidR="00920BEF" w:rsidRPr="000925E3" w:rsidRDefault="00920BEF" w:rsidP="00920BEF">
      <w:pPr>
        <w:pStyle w:val="ECAList"/>
        <w:numPr>
          <w:ilvl w:val="0"/>
          <w:numId w:val="254"/>
        </w:numPr>
        <w:jc w:val="both"/>
        <w:rPr>
          <w:rFonts w:ascii="Times New Roman" w:eastAsiaTheme="minorHAnsi" w:hAnsi="Times New Roman"/>
          <w:sz w:val="24"/>
          <w:szCs w:val="24"/>
          <w:lang w:val="sq-AL"/>
        </w:rPr>
      </w:pPr>
      <w:r>
        <w:rPr>
          <w:rFonts w:ascii="Times New Roman" w:eastAsiaTheme="minorHAnsi" w:hAnsi="Times New Roman"/>
          <w:sz w:val="24"/>
          <w:szCs w:val="24"/>
          <w:lang w:val="sq-AL"/>
        </w:rPr>
        <w:t xml:space="preserve">Miratimin e </w:t>
      </w:r>
      <w:r w:rsidRPr="000925E3">
        <w:rPr>
          <w:rFonts w:ascii="Times New Roman" w:eastAsiaTheme="minorHAnsi" w:hAnsi="Times New Roman"/>
          <w:sz w:val="24"/>
          <w:szCs w:val="24"/>
          <w:lang w:val="sq-AL"/>
        </w:rPr>
        <w:t>Planit Kombëtar për Energjinë dhe Klimën</w:t>
      </w:r>
      <w:r>
        <w:rPr>
          <w:rFonts w:ascii="Times New Roman" w:eastAsiaTheme="minorHAnsi" w:hAnsi="Times New Roman"/>
          <w:sz w:val="24"/>
          <w:szCs w:val="24"/>
          <w:lang w:val="sq-AL"/>
        </w:rPr>
        <w:t xml:space="preserve"> </w:t>
      </w:r>
      <w:r w:rsidRPr="000925E3">
        <w:rPr>
          <w:rFonts w:ascii="Times New Roman" w:eastAsiaTheme="minorHAnsi" w:hAnsi="Times New Roman"/>
          <w:sz w:val="24"/>
          <w:szCs w:val="24"/>
          <w:lang w:val="sq-AL"/>
        </w:rPr>
        <w:t>202</w:t>
      </w:r>
      <w:r>
        <w:rPr>
          <w:rFonts w:ascii="Times New Roman" w:eastAsiaTheme="minorHAnsi" w:hAnsi="Times New Roman"/>
          <w:sz w:val="24"/>
          <w:szCs w:val="24"/>
          <w:lang w:val="sq-AL"/>
        </w:rPr>
        <w:t>0</w:t>
      </w:r>
      <w:r w:rsidRPr="000925E3">
        <w:rPr>
          <w:rFonts w:ascii="Times New Roman" w:eastAsiaTheme="minorHAnsi" w:hAnsi="Times New Roman"/>
          <w:sz w:val="24"/>
          <w:szCs w:val="24"/>
          <w:lang w:val="sq-AL"/>
        </w:rPr>
        <w:t xml:space="preserve"> </w:t>
      </w:r>
      <w:r>
        <w:rPr>
          <w:rFonts w:ascii="Times New Roman" w:eastAsiaTheme="minorHAnsi" w:hAnsi="Times New Roman"/>
          <w:sz w:val="24"/>
          <w:szCs w:val="24"/>
          <w:lang w:val="sq-AL"/>
        </w:rPr>
        <w:t>–</w:t>
      </w:r>
      <w:r w:rsidRPr="000925E3">
        <w:rPr>
          <w:rFonts w:ascii="Times New Roman" w:eastAsiaTheme="minorHAnsi" w:hAnsi="Times New Roman"/>
          <w:sz w:val="24"/>
          <w:szCs w:val="24"/>
          <w:lang w:val="sq-AL"/>
        </w:rPr>
        <w:t xml:space="preserve"> 2030</w:t>
      </w:r>
      <w:r>
        <w:rPr>
          <w:rFonts w:ascii="Times New Roman" w:eastAsiaTheme="minorHAnsi" w:hAnsi="Times New Roman"/>
          <w:sz w:val="24"/>
          <w:szCs w:val="24"/>
          <w:lang w:val="sq-AL"/>
        </w:rPr>
        <w:t>,</w:t>
      </w:r>
      <w:r w:rsidRPr="000925E3">
        <w:rPr>
          <w:rFonts w:ascii="Times New Roman" w:eastAsiaTheme="minorHAnsi" w:hAnsi="Times New Roman"/>
          <w:sz w:val="24"/>
          <w:szCs w:val="24"/>
          <w:lang w:val="sq-AL"/>
        </w:rPr>
        <w:t xml:space="preserve"> </w:t>
      </w:r>
      <w:r>
        <w:rPr>
          <w:rFonts w:ascii="Times New Roman" w:eastAsiaTheme="minorHAnsi" w:hAnsi="Times New Roman"/>
          <w:sz w:val="24"/>
          <w:szCs w:val="24"/>
          <w:lang w:val="sq-AL"/>
        </w:rPr>
        <w:t xml:space="preserve">të ndryshuar, </w:t>
      </w:r>
      <w:r w:rsidRPr="000925E3">
        <w:rPr>
          <w:rFonts w:ascii="Times New Roman" w:eastAsiaTheme="minorHAnsi" w:hAnsi="Times New Roman"/>
          <w:sz w:val="24"/>
          <w:szCs w:val="24"/>
          <w:lang w:val="sq-AL"/>
        </w:rPr>
        <w:t xml:space="preserve">sipas tekstit, </w:t>
      </w:r>
      <w:r w:rsidR="00E92100" w:rsidRPr="000925E3">
        <w:rPr>
          <w:rFonts w:ascii="Times New Roman" w:eastAsiaTheme="minorHAnsi" w:hAnsi="Times New Roman"/>
          <w:sz w:val="24"/>
          <w:szCs w:val="24"/>
          <w:lang w:val="sq-AL"/>
        </w:rPr>
        <w:t>që</w:t>
      </w:r>
      <w:r w:rsidRPr="000925E3">
        <w:rPr>
          <w:rFonts w:ascii="Times New Roman" w:eastAsiaTheme="minorHAnsi" w:hAnsi="Times New Roman"/>
          <w:sz w:val="24"/>
          <w:szCs w:val="24"/>
          <w:lang w:val="sq-AL"/>
        </w:rPr>
        <w:t xml:space="preserve"> i bashkëlidhet këtij vendimi dhe është pjesë përbërëse e tij. </w:t>
      </w:r>
    </w:p>
    <w:p w14:paraId="78FBB833" w14:textId="25C77215" w:rsidR="00920BEF" w:rsidRDefault="00920BEF" w:rsidP="00920BEF">
      <w:pPr>
        <w:pStyle w:val="ListParagraph"/>
        <w:numPr>
          <w:ilvl w:val="0"/>
          <w:numId w:val="254"/>
        </w:numPr>
        <w:pBdr>
          <w:top w:val="none" w:sz="0" w:space="0" w:color="auto"/>
          <w:left w:val="none" w:sz="0" w:space="0" w:color="auto"/>
          <w:bottom w:val="none" w:sz="0" w:space="0" w:color="auto"/>
          <w:right w:val="none" w:sz="0" w:space="0" w:color="auto"/>
          <w:between w:val="none" w:sz="0" w:space="0" w:color="auto"/>
        </w:pBdr>
        <w:spacing w:before="0" w:after="0" w:line="240" w:lineRule="auto"/>
        <w:rPr>
          <w:sz w:val="24"/>
          <w:szCs w:val="24"/>
        </w:rPr>
      </w:pPr>
      <w:r w:rsidRPr="000925E3">
        <w:rPr>
          <w:sz w:val="24"/>
          <w:szCs w:val="24"/>
        </w:rPr>
        <w:t>Duke filluar nga data 25 mars 2025 e në vijim, çdo 2 (dy) vjet, përgatitet raport progresi për statusin e zbatimit të Planit Kombëtar për Energjinë dhe Klimën 202</w:t>
      </w:r>
      <w:r>
        <w:rPr>
          <w:sz w:val="24"/>
          <w:szCs w:val="24"/>
        </w:rPr>
        <w:t>0</w:t>
      </w:r>
      <w:r w:rsidRPr="000925E3">
        <w:rPr>
          <w:sz w:val="24"/>
          <w:szCs w:val="24"/>
        </w:rPr>
        <w:t xml:space="preserve"> – 2030</w:t>
      </w:r>
      <w:r w:rsidR="00DF469A">
        <w:rPr>
          <w:sz w:val="24"/>
          <w:szCs w:val="24"/>
        </w:rPr>
        <w:t xml:space="preserve"> </w:t>
      </w:r>
      <w:r w:rsidRPr="000925E3">
        <w:rPr>
          <w:sz w:val="24"/>
          <w:szCs w:val="24"/>
        </w:rPr>
        <w:t>dhe dorëzohet në Sekretariatin e Komunit</w:t>
      </w:r>
      <w:r w:rsidR="004F2BE7">
        <w:rPr>
          <w:sz w:val="24"/>
          <w:szCs w:val="24"/>
        </w:rPr>
        <w:t>et</w:t>
      </w:r>
      <w:r w:rsidR="00501B58">
        <w:rPr>
          <w:sz w:val="24"/>
          <w:szCs w:val="24"/>
        </w:rPr>
        <w:t>it</w:t>
      </w:r>
      <w:r w:rsidRPr="000925E3">
        <w:rPr>
          <w:sz w:val="24"/>
          <w:szCs w:val="24"/>
        </w:rPr>
        <w:t xml:space="preserve"> të Energjisë</w:t>
      </w:r>
      <w:r>
        <w:rPr>
          <w:sz w:val="24"/>
          <w:szCs w:val="24"/>
        </w:rPr>
        <w:t xml:space="preserve">. </w:t>
      </w:r>
    </w:p>
    <w:p w14:paraId="6BD675C2" w14:textId="77777777" w:rsidR="00920BEF" w:rsidRDefault="00920BEF" w:rsidP="00920BEF">
      <w:pPr>
        <w:pStyle w:val="ListParagraph"/>
        <w:spacing w:after="0" w:line="240" w:lineRule="auto"/>
        <w:ind w:left="1080"/>
        <w:rPr>
          <w:sz w:val="24"/>
          <w:szCs w:val="24"/>
        </w:rPr>
      </w:pPr>
    </w:p>
    <w:p w14:paraId="1D708FC9" w14:textId="116AF1F2" w:rsidR="00920BEF" w:rsidRPr="000925E3" w:rsidRDefault="00920BEF" w:rsidP="00920BEF">
      <w:pPr>
        <w:pStyle w:val="ListParagraph"/>
        <w:numPr>
          <w:ilvl w:val="0"/>
          <w:numId w:val="254"/>
        </w:numPr>
        <w:pBdr>
          <w:top w:val="none" w:sz="0" w:space="0" w:color="auto"/>
          <w:left w:val="none" w:sz="0" w:space="0" w:color="auto"/>
          <w:bottom w:val="none" w:sz="0" w:space="0" w:color="auto"/>
          <w:right w:val="none" w:sz="0" w:space="0" w:color="auto"/>
          <w:between w:val="none" w:sz="0" w:space="0" w:color="auto"/>
        </w:pBdr>
        <w:spacing w:before="0" w:after="0" w:line="240" w:lineRule="auto"/>
        <w:rPr>
          <w:sz w:val="24"/>
          <w:szCs w:val="24"/>
        </w:rPr>
      </w:pPr>
      <w:r w:rsidRPr="000925E3">
        <w:rPr>
          <w:sz w:val="24"/>
          <w:szCs w:val="24"/>
        </w:rPr>
        <w:t xml:space="preserve">Ngarkohen Ministria e Infrastrukturës dhe Energjisë, Ministria e Turizmit dhe Mjedisit dhe institucionet e parashikuara </w:t>
      </w:r>
      <w:r w:rsidR="00CA43F6">
        <w:rPr>
          <w:sz w:val="24"/>
          <w:szCs w:val="24"/>
        </w:rPr>
        <w:t xml:space="preserve">në </w:t>
      </w:r>
      <w:r w:rsidR="00501B58">
        <w:rPr>
          <w:sz w:val="24"/>
          <w:szCs w:val="24"/>
        </w:rPr>
        <w:t>kapitulli</w:t>
      </w:r>
      <w:r w:rsidR="00CA43F6">
        <w:rPr>
          <w:sz w:val="24"/>
          <w:szCs w:val="24"/>
        </w:rPr>
        <w:t>n</w:t>
      </w:r>
      <w:r w:rsidR="00501B58">
        <w:rPr>
          <w:sz w:val="24"/>
          <w:szCs w:val="24"/>
        </w:rPr>
        <w:t xml:space="preserve"> 3</w:t>
      </w:r>
      <w:r w:rsidR="00CA43F6">
        <w:rPr>
          <w:sz w:val="24"/>
          <w:szCs w:val="24"/>
        </w:rPr>
        <w:t xml:space="preserve"> </w:t>
      </w:r>
      <w:r w:rsidR="004F2BE7">
        <w:rPr>
          <w:sz w:val="24"/>
          <w:szCs w:val="24"/>
        </w:rPr>
        <w:t>për</w:t>
      </w:r>
      <w:r w:rsidR="00CA43F6">
        <w:rPr>
          <w:sz w:val="24"/>
          <w:szCs w:val="24"/>
        </w:rPr>
        <w:t xml:space="preserve"> çdo </w:t>
      </w:r>
      <w:r w:rsidR="004F2BE7">
        <w:rPr>
          <w:sz w:val="24"/>
          <w:szCs w:val="24"/>
        </w:rPr>
        <w:t>politikë</w:t>
      </w:r>
      <w:r w:rsidR="00CA43F6">
        <w:rPr>
          <w:sz w:val="24"/>
          <w:szCs w:val="24"/>
        </w:rPr>
        <w:t xml:space="preserve"> dhe </w:t>
      </w:r>
      <w:r w:rsidR="004F2BE7">
        <w:rPr>
          <w:sz w:val="24"/>
          <w:szCs w:val="24"/>
        </w:rPr>
        <w:t>masë</w:t>
      </w:r>
      <w:r w:rsidR="00501B58">
        <w:rPr>
          <w:sz w:val="24"/>
          <w:szCs w:val="24"/>
        </w:rPr>
        <w:t xml:space="preserve"> </w:t>
      </w:r>
      <w:r w:rsidR="00CA43F6">
        <w:rPr>
          <w:sz w:val="24"/>
          <w:szCs w:val="24"/>
        </w:rPr>
        <w:t xml:space="preserve"> sipas dokumentit </w:t>
      </w:r>
      <w:r w:rsidR="008B0873" w:rsidRPr="000925E3">
        <w:rPr>
          <w:sz w:val="24"/>
          <w:szCs w:val="24"/>
        </w:rPr>
        <w:t>që i bashkëlidhet këtij vendimi</w:t>
      </w:r>
      <w:r w:rsidRPr="000925E3">
        <w:rPr>
          <w:sz w:val="24"/>
          <w:szCs w:val="24"/>
        </w:rPr>
        <w:t>, për zbatimin e</w:t>
      </w:r>
      <w:r>
        <w:rPr>
          <w:sz w:val="24"/>
          <w:szCs w:val="24"/>
        </w:rPr>
        <w:t xml:space="preserve"> tij</w:t>
      </w:r>
      <w:r w:rsidRPr="000925E3">
        <w:rPr>
          <w:sz w:val="24"/>
          <w:szCs w:val="24"/>
        </w:rPr>
        <w:t>.</w:t>
      </w:r>
    </w:p>
    <w:p w14:paraId="44BA4E5A" w14:textId="77777777" w:rsidR="00DF469A" w:rsidRDefault="00DF469A" w:rsidP="00DF469A">
      <w:pPr>
        <w:pStyle w:val="ListParagraph"/>
        <w:rPr>
          <w:rFonts w:eastAsia="Times New Roman"/>
          <w:noProof/>
          <w:sz w:val="28"/>
          <w:szCs w:val="28"/>
        </w:rPr>
      </w:pPr>
    </w:p>
    <w:p w14:paraId="0248D2B0" w14:textId="77777777" w:rsidR="00920BEF" w:rsidRPr="006641BB" w:rsidRDefault="00920BEF" w:rsidP="00920BEF">
      <w:pPr>
        <w:spacing w:after="0" w:line="240" w:lineRule="auto"/>
        <w:rPr>
          <w:rFonts w:eastAsia="Times New Roman"/>
          <w:noProof/>
          <w:sz w:val="28"/>
          <w:szCs w:val="28"/>
        </w:rPr>
      </w:pPr>
    </w:p>
    <w:p w14:paraId="3EC7540C" w14:textId="77777777" w:rsidR="00920BEF" w:rsidRPr="000925E3" w:rsidRDefault="00920BEF" w:rsidP="00920BEF">
      <w:pPr>
        <w:spacing w:after="0" w:line="240" w:lineRule="auto"/>
        <w:ind w:left="284" w:hanging="284"/>
        <w:rPr>
          <w:sz w:val="24"/>
          <w:szCs w:val="24"/>
        </w:rPr>
      </w:pPr>
    </w:p>
    <w:p w14:paraId="7FF02D58" w14:textId="77777777" w:rsidR="00920BEF" w:rsidRPr="000925E3" w:rsidRDefault="00920BEF" w:rsidP="00920BEF">
      <w:pPr>
        <w:spacing w:after="0" w:line="240" w:lineRule="auto"/>
        <w:ind w:left="284" w:hanging="284"/>
        <w:rPr>
          <w:sz w:val="24"/>
          <w:szCs w:val="24"/>
        </w:rPr>
      </w:pPr>
      <w:r w:rsidRPr="000925E3">
        <w:rPr>
          <w:sz w:val="24"/>
          <w:szCs w:val="24"/>
        </w:rPr>
        <w:t>Ky vendim hyn në fuqi pas botimit në Fletoren Zyrtare.</w:t>
      </w:r>
    </w:p>
    <w:p w14:paraId="3C0889C5" w14:textId="77777777" w:rsidR="00920BEF" w:rsidRPr="006641BB" w:rsidRDefault="00920BEF" w:rsidP="00920BEF">
      <w:pPr>
        <w:spacing w:after="0" w:line="240" w:lineRule="auto"/>
        <w:rPr>
          <w:rFonts w:eastAsia="Times New Roman"/>
          <w:noProof/>
          <w:sz w:val="28"/>
          <w:szCs w:val="28"/>
        </w:rPr>
      </w:pPr>
    </w:p>
    <w:p w14:paraId="2E9A2DB3" w14:textId="77777777" w:rsidR="00920BEF" w:rsidRPr="006641BB" w:rsidRDefault="00920BEF" w:rsidP="00920BEF">
      <w:pPr>
        <w:spacing w:after="0" w:line="240" w:lineRule="auto"/>
        <w:rPr>
          <w:rFonts w:eastAsia="Times New Roman"/>
          <w:b/>
          <w:noProof/>
          <w:sz w:val="24"/>
          <w:szCs w:val="24"/>
        </w:rPr>
      </w:pPr>
    </w:p>
    <w:p w14:paraId="6BD7EB6A" w14:textId="77777777" w:rsidR="00920BEF" w:rsidRDefault="00920BEF" w:rsidP="00920BEF">
      <w:pPr>
        <w:spacing w:after="0" w:line="240" w:lineRule="auto"/>
        <w:jc w:val="center"/>
        <w:rPr>
          <w:rFonts w:eastAsia="Times New Roman"/>
          <w:b/>
          <w:noProof/>
          <w:sz w:val="24"/>
          <w:szCs w:val="24"/>
        </w:rPr>
      </w:pPr>
      <w:r w:rsidRPr="006641BB">
        <w:rPr>
          <w:rFonts w:eastAsia="Times New Roman"/>
          <w:b/>
          <w:noProof/>
          <w:sz w:val="24"/>
          <w:szCs w:val="24"/>
        </w:rPr>
        <w:t xml:space="preserve">                                                                                           </w:t>
      </w:r>
      <w:r w:rsidRPr="00DE7398">
        <w:rPr>
          <w:rFonts w:eastAsia="Times New Roman"/>
          <w:b/>
          <w:noProof/>
          <w:sz w:val="24"/>
          <w:szCs w:val="24"/>
        </w:rPr>
        <w:t>K R Y E M I N I S T R I</w:t>
      </w:r>
      <w:r w:rsidRPr="00DE7398">
        <w:rPr>
          <w:rFonts w:eastAsia="Times New Roman"/>
          <w:b/>
          <w:noProof/>
          <w:sz w:val="24"/>
          <w:szCs w:val="24"/>
        </w:rPr>
        <w:br/>
        <w:t xml:space="preserve">              </w:t>
      </w:r>
    </w:p>
    <w:p w14:paraId="556F34F9" w14:textId="77777777" w:rsidR="00920BEF" w:rsidRDefault="00920BEF" w:rsidP="00920BEF">
      <w:pPr>
        <w:spacing w:after="0" w:line="240" w:lineRule="auto"/>
        <w:jc w:val="center"/>
        <w:rPr>
          <w:rFonts w:eastAsia="Times New Roman"/>
          <w:b/>
          <w:noProof/>
          <w:sz w:val="24"/>
          <w:szCs w:val="24"/>
        </w:rPr>
      </w:pPr>
    </w:p>
    <w:p w14:paraId="26500ADA" w14:textId="77777777" w:rsidR="00920BEF" w:rsidRPr="00DE7398" w:rsidRDefault="00920BEF" w:rsidP="00920BEF">
      <w:pPr>
        <w:spacing w:after="0" w:line="240" w:lineRule="auto"/>
        <w:jc w:val="center"/>
        <w:rPr>
          <w:rFonts w:eastAsia="Times New Roman"/>
          <w:b/>
          <w:noProof/>
          <w:sz w:val="24"/>
          <w:szCs w:val="24"/>
        </w:rPr>
      </w:pPr>
    </w:p>
    <w:p w14:paraId="67BD113A" w14:textId="77777777" w:rsidR="00920BEF" w:rsidRPr="00186A82" w:rsidRDefault="00920BEF" w:rsidP="00920BEF">
      <w:pPr>
        <w:pStyle w:val="NoSpacing"/>
        <w:rPr>
          <w:rFonts w:ascii="Times New Roman" w:hAnsi="Times New Roman" w:cs="Times New Roman"/>
          <w:b/>
          <w:bCs/>
          <w:sz w:val="28"/>
          <w:szCs w:val="28"/>
        </w:rPr>
      </w:pPr>
      <w:r w:rsidRPr="00DE7398">
        <w:rPr>
          <w:rFonts w:ascii="Times New Roman" w:hAnsi="Times New Roman" w:cs="Times New Roman"/>
          <w:noProof/>
          <w:sz w:val="24"/>
          <w:szCs w:val="24"/>
        </w:rPr>
        <w:t xml:space="preserve">                                                        </w:t>
      </w:r>
      <w:r>
        <w:rPr>
          <w:rFonts w:ascii="Times New Roman" w:hAnsi="Times New Roman" w:cs="Times New Roman"/>
          <w:noProof/>
          <w:sz w:val="24"/>
          <w:szCs w:val="24"/>
        </w:rPr>
        <w:t xml:space="preserve">                                                        </w:t>
      </w:r>
      <w:r w:rsidRPr="00DE7398">
        <w:rPr>
          <w:rFonts w:ascii="Times New Roman" w:hAnsi="Times New Roman" w:cs="Times New Roman"/>
          <w:noProof/>
          <w:sz w:val="24"/>
          <w:szCs w:val="24"/>
        </w:rPr>
        <w:t xml:space="preserve"> </w:t>
      </w:r>
      <w:r w:rsidRPr="00DE7398">
        <w:rPr>
          <w:rFonts w:ascii="Times New Roman" w:hAnsi="Times New Roman" w:cs="Times New Roman"/>
          <w:b/>
          <w:bCs/>
          <w:noProof/>
          <w:sz w:val="24"/>
          <w:szCs w:val="24"/>
        </w:rPr>
        <w:t>EDI RAMA</w:t>
      </w:r>
      <w:r w:rsidRPr="00186A82">
        <w:rPr>
          <w:rFonts w:ascii="Times New Roman" w:hAnsi="Times New Roman" w:cs="Times New Roman"/>
          <w:b/>
          <w:bCs/>
          <w:noProof/>
          <w:sz w:val="28"/>
          <w:szCs w:val="28"/>
        </w:rPr>
        <w:br/>
      </w:r>
    </w:p>
    <w:p w14:paraId="17B42C9F" w14:textId="7D0A1E35" w:rsidR="00920BEF" w:rsidRDefault="00920BEF" w:rsidP="00EF0D31">
      <w:pPr>
        <w:pStyle w:val="Title"/>
        <w:tabs>
          <w:tab w:val="left" w:pos="9180"/>
        </w:tabs>
        <w:rPr>
          <w:color w:val="000000" w:themeColor="text1"/>
        </w:rPr>
      </w:pPr>
    </w:p>
    <w:p w14:paraId="0835C1E1" w14:textId="77777777" w:rsidR="00920BEF" w:rsidRDefault="00920BEF">
      <w:pPr>
        <w:spacing w:before="0" w:after="0" w:line="240" w:lineRule="auto"/>
        <w:jc w:val="left"/>
        <w:rPr>
          <w:color w:val="000000" w:themeColor="text1"/>
          <w:sz w:val="48"/>
          <w:szCs w:val="48"/>
        </w:rPr>
      </w:pPr>
      <w:r>
        <w:rPr>
          <w:color w:val="000000" w:themeColor="text1"/>
        </w:rPr>
        <w:br w:type="page"/>
      </w:r>
    </w:p>
    <w:p w14:paraId="734018F3" w14:textId="77777777" w:rsidR="00146F44" w:rsidRPr="00FF756A" w:rsidRDefault="00146F44" w:rsidP="00EF0D31">
      <w:pPr>
        <w:pStyle w:val="Title"/>
        <w:tabs>
          <w:tab w:val="left" w:pos="9180"/>
        </w:tabs>
        <w:rPr>
          <w:color w:val="000000" w:themeColor="text1"/>
        </w:rPr>
      </w:pPr>
    </w:p>
    <w:p w14:paraId="05225572" w14:textId="0D2EEBF9" w:rsidR="00DA2EDE" w:rsidRPr="00FF756A" w:rsidRDefault="00DA2EDE" w:rsidP="00EF0D31">
      <w:pPr>
        <w:pStyle w:val="Title"/>
        <w:tabs>
          <w:tab w:val="left" w:pos="9180"/>
        </w:tabs>
        <w:rPr>
          <w:color w:val="000000" w:themeColor="text1"/>
        </w:rPr>
      </w:pPr>
      <w:r w:rsidRPr="00FF756A">
        <w:rPr>
          <w:color w:val="000000" w:themeColor="text1"/>
        </w:rPr>
        <w:t>Plani Kombëtar</w:t>
      </w:r>
      <w:r w:rsidR="009036ED">
        <w:rPr>
          <w:color w:val="000000" w:themeColor="text1"/>
        </w:rPr>
        <w:t xml:space="preserve"> i</w:t>
      </w:r>
      <w:r w:rsidRPr="00FF756A">
        <w:rPr>
          <w:color w:val="000000" w:themeColor="text1"/>
        </w:rPr>
        <w:t xml:space="preserve"> Energji</w:t>
      </w:r>
      <w:r w:rsidR="009036ED">
        <w:rPr>
          <w:color w:val="000000" w:themeColor="text1"/>
        </w:rPr>
        <w:t>s</w:t>
      </w:r>
      <w:r w:rsidRPr="00FF756A">
        <w:rPr>
          <w:color w:val="000000" w:themeColor="text1"/>
        </w:rPr>
        <w:t>ë dhe Klimë</w:t>
      </w:r>
      <w:r w:rsidR="009036ED">
        <w:rPr>
          <w:color w:val="000000" w:themeColor="text1"/>
        </w:rPr>
        <w:t>s, i rishikuar</w:t>
      </w:r>
    </w:p>
    <w:p w14:paraId="11B458E2" w14:textId="4823FDEC" w:rsidR="001438D2" w:rsidRPr="00FF756A" w:rsidRDefault="001438D2" w:rsidP="001438D2">
      <w:r w:rsidRPr="00FF756A">
        <w:t xml:space="preserve">31 </w:t>
      </w:r>
      <w:r w:rsidR="006D377D" w:rsidRPr="00FF756A">
        <w:t>tetor</w:t>
      </w:r>
      <w:r w:rsidRPr="00FF756A">
        <w:t xml:space="preserve"> 2024</w:t>
      </w:r>
    </w:p>
    <w:p w14:paraId="1134B9DA" w14:textId="77777777" w:rsidR="00DA2EDE" w:rsidRPr="00FF756A" w:rsidRDefault="00DA2EDE" w:rsidP="00EF0D31"/>
    <w:p w14:paraId="4659683E" w14:textId="77777777" w:rsidR="00DA2EDE" w:rsidRPr="00FF756A" w:rsidRDefault="00DA2EDE" w:rsidP="00EF0D31">
      <w:pPr>
        <w:spacing w:after="160" w:line="259" w:lineRule="auto"/>
        <w:rPr>
          <w:sz w:val="28"/>
          <w:szCs w:val="28"/>
        </w:rPr>
      </w:pPr>
    </w:p>
    <w:p w14:paraId="7502502D" w14:textId="77777777" w:rsidR="001438D2" w:rsidRPr="00FF756A" w:rsidRDefault="001438D2" w:rsidP="00EF0D31">
      <w:pPr>
        <w:spacing w:after="160" w:line="259" w:lineRule="auto"/>
        <w:rPr>
          <w:b/>
          <w:color w:val="2F5496" w:themeColor="accent1" w:themeShade="BF"/>
          <w:sz w:val="32"/>
          <w:szCs w:val="32"/>
        </w:rPr>
      </w:pPr>
    </w:p>
    <w:p w14:paraId="7FB8C07B" w14:textId="77777777" w:rsidR="00DA2EDE" w:rsidRPr="00FF756A" w:rsidRDefault="00DA2EDE" w:rsidP="00EF0D31">
      <w:pPr>
        <w:spacing w:after="160" w:line="259" w:lineRule="auto"/>
        <w:rPr>
          <w:b/>
          <w:color w:val="2F5496" w:themeColor="accent1" w:themeShade="BF"/>
          <w:sz w:val="32"/>
          <w:szCs w:val="32"/>
        </w:rPr>
      </w:pPr>
    </w:p>
    <w:p w14:paraId="6DBD3999" w14:textId="77777777" w:rsidR="00DA2EDE" w:rsidRPr="00FF756A" w:rsidRDefault="00DA2EDE" w:rsidP="00EF0D31">
      <w:pPr>
        <w:spacing w:after="160" w:line="259" w:lineRule="auto"/>
        <w:rPr>
          <w:b/>
          <w:color w:val="2F5496" w:themeColor="accent1" w:themeShade="BF"/>
          <w:sz w:val="32"/>
          <w:szCs w:val="32"/>
        </w:rPr>
      </w:pPr>
    </w:p>
    <w:p w14:paraId="54483591" w14:textId="77777777" w:rsidR="00DA2EDE" w:rsidRPr="00FF756A" w:rsidRDefault="00DA2EDE" w:rsidP="00EF0D31">
      <w:pPr>
        <w:spacing w:after="160" w:line="259" w:lineRule="auto"/>
        <w:rPr>
          <w:b/>
          <w:color w:val="2F5496" w:themeColor="accent1" w:themeShade="BF"/>
          <w:sz w:val="32"/>
          <w:szCs w:val="32"/>
        </w:rPr>
      </w:pPr>
    </w:p>
    <w:p w14:paraId="07652D87" w14:textId="77777777" w:rsidR="001438D2" w:rsidRPr="00FF756A" w:rsidRDefault="001438D2" w:rsidP="00EF0D31">
      <w:pPr>
        <w:spacing w:after="160" w:line="259" w:lineRule="auto"/>
        <w:rPr>
          <w:b/>
          <w:color w:val="2F5496" w:themeColor="accent1" w:themeShade="BF"/>
          <w:sz w:val="32"/>
          <w:szCs w:val="32"/>
        </w:rPr>
      </w:pPr>
    </w:p>
    <w:p w14:paraId="6E4AFD05" w14:textId="77777777" w:rsidR="001438D2" w:rsidRPr="00FF756A" w:rsidRDefault="001438D2" w:rsidP="00EF0D31">
      <w:pPr>
        <w:spacing w:after="160" w:line="259" w:lineRule="auto"/>
        <w:rPr>
          <w:b/>
          <w:color w:val="2F5496" w:themeColor="accent1" w:themeShade="BF"/>
          <w:sz w:val="32"/>
          <w:szCs w:val="32"/>
        </w:rPr>
      </w:pPr>
    </w:p>
    <w:p w14:paraId="2EAF5F2C" w14:textId="77777777" w:rsidR="001438D2" w:rsidRPr="00FF756A" w:rsidRDefault="001438D2" w:rsidP="00EF0D31">
      <w:pPr>
        <w:spacing w:after="160" w:line="259" w:lineRule="auto"/>
        <w:rPr>
          <w:b/>
          <w:color w:val="2F5496" w:themeColor="accent1" w:themeShade="BF"/>
          <w:sz w:val="32"/>
          <w:szCs w:val="32"/>
        </w:rPr>
      </w:pPr>
    </w:p>
    <w:p w14:paraId="55447AEB" w14:textId="77777777" w:rsidR="001438D2" w:rsidRPr="00FF756A" w:rsidRDefault="001438D2" w:rsidP="00EF0D31">
      <w:pPr>
        <w:spacing w:after="160" w:line="259" w:lineRule="auto"/>
        <w:rPr>
          <w:b/>
          <w:color w:val="2F5496" w:themeColor="accent1" w:themeShade="BF"/>
          <w:sz w:val="32"/>
          <w:szCs w:val="32"/>
        </w:rPr>
      </w:pPr>
    </w:p>
    <w:p w14:paraId="2795E162" w14:textId="77777777" w:rsidR="001438D2" w:rsidRPr="00FF756A" w:rsidRDefault="001438D2" w:rsidP="00EF0D31">
      <w:pPr>
        <w:spacing w:after="160" w:line="259" w:lineRule="auto"/>
        <w:rPr>
          <w:b/>
          <w:color w:val="2F5496" w:themeColor="accent1" w:themeShade="BF"/>
          <w:sz w:val="32"/>
          <w:szCs w:val="32"/>
        </w:rPr>
      </w:pPr>
    </w:p>
    <w:p w14:paraId="214E3C1E" w14:textId="77777777" w:rsidR="001438D2" w:rsidRPr="00FF756A" w:rsidRDefault="001438D2" w:rsidP="00EF0D31">
      <w:pPr>
        <w:spacing w:after="160" w:line="259" w:lineRule="auto"/>
        <w:rPr>
          <w:b/>
          <w:color w:val="2F5496" w:themeColor="accent1" w:themeShade="BF"/>
          <w:sz w:val="32"/>
          <w:szCs w:val="32"/>
        </w:rPr>
      </w:pPr>
    </w:p>
    <w:p w14:paraId="2E7BECA3" w14:textId="77777777" w:rsidR="001438D2" w:rsidRPr="00FF756A" w:rsidRDefault="001438D2" w:rsidP="00EF0D31">
      <w:pPr>
        <w:spacing w:after="160" w:line="259" w:lineRule="auto"/>
        <w:rPr>
          <w:b/>
          <w:color w:val="2F5496" w:themeColor="accent1" w:themeShade="BF"/>
          <w:sz w:val="32"/>
          <w:szCs w:val="32"/>
        </w:rPr>
      </w:pPr>
    </w:p>
    <w:p w14:paraId="587576FB" w14:textId="77777777" w:rsidR="001438D2" w:rsidRPr="00FF756A" w:rsidRDefault="001438D2" w:rsidP="00EF0D31">
      <w:pPr>
        <w:spacing w:after="160" w:line="259" w:lineRule="auto"/>
        <w:rPr>
          <w:b/>
          <w:color w:val="2F5496" w:themeColor="accent1" w:themeShade="BF"/>
          <w:sz w:val="32"/>
          <w:szCs w:val="32"/>
        </w:rPr>
      </w:pPr>
    </w:p>
    <w:p w14:paraId="713BEE04" w14:textId="77777777" w:rsidR="00DA2EDE" w:rsidRPr="00FF756A" w:rsidRDefault="00DA2EDE" w:rsidP="00EF0D31">
      <w:pPr>
        <w:spacing w:after="160" w:line="259" w:lineRule="auto"/>
        <w:rPr>
          <w:b/>
          <w:color w:val="2F5496" w:themeColor="accent1" w:themeShade="BF"/>
          <w:sz w:val="32"/>
          <w:szCs w:val="32"/>
        </w:rPr>
      </w:pPr>
    </w:p>
    <w:p w14:paraId="443156D1" w14:textId="77777777" w:rsidR="00DA2EDE" w:rsidRPr="00FF756A" w:rsidRDefault="00DA2EDE" w:rsidP="00EF0D31">
      <w:pPr>
        <w:spacing w:after="160" w:line="259" w:lineRule="auto"/>
        <w:rPr>
          <w:b/>
          <w:color w:val="2F5496" w:themeColor="accent1" w:themeShade="BF"/>
          <w:sz w:val="32"/>
          <w:szCs w:val="32"/>
        </w:rPr>
      </w:pPr>
    </w:p>
    <w:p w14:paraId="33DC6C04" w14:textId="77777777" w:rsidR="00DA2EDE" w:rsidRPr="00FF756A" w:rsidRDefault="00DA2EDE" w:rsidP="00EF0D31">
      <w:pPr>
        <w:spacing w:after="160" w:line="259" w:lineRule="auto"/>
        <w:rPr>
          <w:b/>
          <w:color w:val="2F5496" w:themeColor="accent1" w:themeShade="BF"/>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4"/>
        <w:gridCol w:w="2612"/>
        <w:gridCol w:w="3876"/>
      </w:tblGrid>
      <w:tr w:rsidR="00963531" w:rsidRPr="00146F44" w14:paraId="2FBDAFDC" w14:textId="77777777" w:rsidTr="0014058F">
        <w:tc>
          <w:tcPr>
            <w:tcW w:w="3207" w:type="dxa"/>
          </w:tcPr>
          <w:p w14:paraId="57372B11" w14:textId="77777777" w:rsidR="00963531" w:rsidRPr="00146F44" w:rsidRDefault="00963531" w:rsidP="0014058F">
            <w:pPr>
              <w:jc w:val="center"/>
              <w:rPr>
                <w:rFonts w:cstheme="majorHAnsi"/>
                <w:b/>
                <w:color w:val="2F5496" w:themeColor="accent1" w:themeShade="BF"/>
                <w:sz w:val="32"/>
                <w:szCs w:val="32"/>
                <w:lang w:val="en-GB"/>
              </w:rPr>
            </w:pPr>
            <w:r w:rsidRPr="00146F44">
              <w:rPr>
                <w:rFonts w:cstheme="majorHAnsi"/>
                <w:b/>
                <w:noProof/>
                <w:color w:val="2F5496" w:themeColor="accent1" w:themeShade="BF"/>
                <w:sz w:val="32"/>
                <w:szCs w:val="32"/>
                <w:lang w:val="en-US"/>
              </w:rPr>
              <w:drawing>
                <wp:anchor distT="0" distB="0" distL="114300" distR="114300" simplePos="0" relativeHeight="251662336" behindDoc="0" locked="0" layoutInCell="1" allowOverlap="1" wp14:anchorId="1B104F69" wp14:editId="08D2AF09">
                  <wp:simplePos x="0" y="0"/>
                  <wp:positionH relativeFrom="column">
                    <wp:posOffset>201930</wp:posOffset>
                  </wp:positionH>
                  <wp:positionV relativeFrom="paragraph">
                    <wp:posOffset>114300</wp:posOffset>
                  </wp:positionV>
                  <wp:extent cx="1092977" cy="838200"/>
                  <wp:effectExtent l="0" t="0" r="0" b="0"/>
                  <wp:wrapThrough wrapText="bothSides">
                    <wp:wrapPolygon edited="0">
                      <wp:start x="0" y="0"/>
                      <wp:lineTo x="0" y="21109"/>
                      <wp:lineTo x="21085" y="21109"/>
                      <wp:lineTo x="21085" y="0"/>
                      <wp:lineTo x="0" y="0"/>
                    </wp:wrapPolygon>
                  </wp:wrapThrough>
                  <wp:docPr id="23" name="Picture 4"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descr="A drawing of a building&#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92977" cy="838200"/>
                          </a:xfrm>
                          <a:prstGeom prst="rect">
                            <a:avLst/>
                          </a:prstGeom>
                          <a:noFill/>
                          <a:ln>
                            <a:noFill/>
                          </a:ln>
                        </pic:spPr>
                      </pic:pic>
                    </a:graphicData>
                  </a:graphic>
                </wp:anchor>
              </w:drawing>
            </w:r>
          </w:p>
        </w:tc>
        <w:tc>
          <w:tcPr>
            <w:tcW w:w="3207" w:type="dxa"/>
          </w:tcPr>
          <w:p w14:paraId="7A7C0310" w14:textId="77777777" w:rsidR="00963531" w:rsidRPr="00146F44" w:rsidRDefault="00963531" w:rsidP="0014058F">
            <w:pPr>
              <w:spacing w:line="259" w:lineRule="auto"/>
              <w:jc w:val="center"/>
              <w:rPr>
                <w:rFonts w:cstheme="majorHAnsi"/>
                <w:b/>
                <w:color w:val="2F5496" w:themeColor="accent1" w:themeShade="BF"/>
                <w:sz w:val="32"/>
                <w:szCs w:val="32"/>
                <w:lang w:val="en-GB"/>
              </w:rPr>
            </w:pPr>
            <w:r w:rsidRPr="00146F44">
              <w:rPr>
                <w:rFonts w:cstheme="majorHAnsi"/>
                <w:b/>
                <w:noProof/>
                <w:color w:val="2F5496" w:themeColor="accent1" w:themeShade="BF"/>
                <w:sz w:val="32"/>
                <w:szCs w:val="32"/>
                <w:lang w:val="en-US"/>
              </w:rPr>
              <w:drawing>
                <wp:anchor distT="0" distB="0" distL="114300" distR="114300" simplePos="0" relativeHeight="251661312" behindDoc="0" locked="0" layoutInCell="1" allowOverlap="1" wp14:anchorId="6BA3366F" wp14:editId="6F6C3E0D">
                  <wp:simplePos x="0" y="0"/>
                  <wp:positionH relativeFrom="column">
                    <wp:posOffset>172085</wp:posOffset>
                  </wp:positionH>
                  <wp:positionV relativeFrom="paragraph">
                    <wp:posOffset>160020</wp:posOffset>
                  </wp:positionV>
                  <wp:extent cx="1128712" cy="914400"/>
                  <wp:effectExtent l="0" t="0" r="0" b="0"/>
                  <wp:wrapThrough wrapText="bothSides">
                    <wp:wrapPolygon edited="0">
                      <wp:start x="0" y="0"/>
                      <wp:lineTo x="0" y="21150"/>
                      <wp:lineTo x="21150" y="21150"/>
                      <wp:lineTo x="21150" y="0"/>
                      <wp:lineTo x="0" y="0"/>
                    </wp:wrapPolygon>
                  </wp:wrapThrough>
                  <wp:docPr id="25" name="Picture 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8" descr="Ein Bild, das Text enthält.&#10;&#10;Automatisch generierte Beschreibung"/>
                          <pic:cNvPicPr/>
                        </pic:nvPicPr>
                        <pic:blipFill rotWithShape="1">
                          <a:blip r:embed="rId13">
                            <a:extLst>
                              <a:ext uri="{28A0092B-C50C-407E-A947-70E740481C1C}">
                                <a14:useLocalDpi xmlns:a14="http://schemas.microsoft.com/office/drawing/2010/main" val="0"/>
                              </a:ext>
                            </a:extLst>
                          </a:blip>
                          <a:srcRect t="7914"/>
                          <a:stretch/>
                        </pic:blipFill>
                        <pic:spPr bwMode="auto">
                          <a:xfrm>
                            <a:off x="0" y="0"/>
                            <a:ext cx="1128712" cy="914400"/>
                          </a:xfrm>
                          <a:prstGeom prst="rect">
                            <a:avLst/>
                          </a:prstGeom>
                          <a:ln>
                            <a:noFill/>
                          </a:ln>
                          <a:extLst>
                            <a:ext uri="{53640926-AAD7-44D8-BBD7-CCE9431645EC}">
                              <a14:shadowObscured xmlns:a14="http://schemas.microsoft.com/office/drawing/2010/main"/>
                            </a:ext>
                          </a:extLst>
                        </pic:spPr>
                      </pic:pic>
                    </a:graphicData>
                  </a:graphic>
                </wp:anchor>
              </w:drawing>
            </w:r>
          </w:p>
        </w:tc>
        <w:tc>
          <w:tcPr>
            <w:tcW w:w="3208" w:type="dxa"/>
          </w:tcPr>
          <w:p w14:paraId="028E7F7E" w14:textId="77777777" w:rsidR="00963531" w:rsidRPr="00146F44" w:rsidRDefault="00963531" w:rsidP="0014058F">
            <w:pPr>
              <w:spacing w:after="120" w:line="259" w:lineRule="auto"/>
              <w:rPr>
                <w:rFonts w:cstheme="majorHAnsi"/>
                <w:b/>
                <w:color w:val="2F5496" w:themeColor="accent1" w:themeShade="BF"/>
                <w:sz w:val="32"/>
                <w:szCs w:val="32"/>
                <w:lang w:val="en-GB"/>
              </w:rPr>
            </w:pPr>
            <w:r w:rsidRPr="00146F44">
              <w:rPr>
                <w:rFonts w:cstheme="majorHAnsi"/>
                <w:b/>
                <w:noProof/>
                <w:color w:val="2F5496" w:themeColor="accent1" w:themeShade="BF"/>
                <w:sz w:val="32"/>
                <w:szCs w:val="32"/>
                <w:lang w:val="en-US"/>
              </w:rPr>
              <w:drawing>
                <wp:anchor distT="0" distB="0" distL="114300" distR="114300" simplePos="0" relativeHeight="251663360" behindDoc="0" locked="0" layoutInCell="1" allowOverlap="1" wp14:anchorId="26957122" wp14:editId="15919B67">
                  <wp:simplePos x="0" y="0"/>
                  <wp:positionH relativeFrom="column">
                    <wp:posOffset>65405</wp:posOffset>
                  </wp:positionH>
                  <wp:positionV relativeFrom="paragraph">
                    <wp:posOffset>184785</wp:posOffset>
                  </wp:positionV>
                  <wp:extent cx="2324100" cy="762890"/>
                  <wp:effectExtent l="0" t="0" r="0" b="0"/>
                  <wp:wrapThrough wrapText="bothSides">
                    <wp:wrapPolygon edited="0">
                      <wp:start x="0" y="0"/>
                      <wp:lineTo x="0" y="21042"/>
                      <wp:lineTo x="21423" y="21042"/>
                      <wp:lineTo x="21423" y="0"/>
                      <wp:lineTo x="0" y="0"/>
                    </wp:wrapPolygon>
                  </wp:wrapThrough>
                  <wp:docPr id="6" name="Grafik 24" descr="LOGO-0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24" descr="LOGO-02-20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24100" cy="7628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0A2538B" w14:textId="77777777" w:rsidR="001438D2" w:rsidRPr="00FF756A" w:rsidRDefault="001438D2" w:rsidP="00EF0D31">
      <w:pPr>
        <w:rPr>
          <w:b/>
          <w:color w:val="2F5496" w:themeColor="accent1" w:themeShade="BF"/>
          <w:sz w:val="32"/>
          <w:szCs w:val="32"/>
        </w:rPr>
      </w:pPr>
    </w:p>
    <w:p w14:paraId="53A3F0DD" w14:textId="449AC5C8" w:rsidR="00DA2EDE" w:rsidRPr="00FF756A" w:rsidRDefault="00DA2EDE" w:rsidP="00EF0D31">
      <w:pPr>
        <w:rPr>
          <w:b/>
          <w:color w:val="2F5496" w:themeColor="accent1" w:themeShade="BF"/>
          <w:sz w:val="32"/>
          <w:szCs w:val="32"/>
        </w:rPr>
      </w:pPr>
      <w:r w:rsidRPr="00FF756A">
        <w:rPr>
          <w:b/>
          <w:color w:val="2F5496" w:themeColor="accent1" w:themeShade="BF"/>
          <w:sz w:val="32"/>
          <w:szCs w:val="32"/>
        </w:rPr>
        <w:lastRenderedPageBreak/>
        <w:t>Tabela e përmbajtjes</w:t>
      </w:r>
    </w:p>
    <w:sdt>
      <w:sdtPr>
        <w:rPr>
          <w:rFonts w:eastAsiaTheme="minorEastAsia"/>
          <w:color w:val="auto"/>
          <w:sz w:val="22"/>
          <w:szCs w:val="22"/>
        </w:rPr>
        <w:id w:val="1703366828"/>
        <w:docPartObj>
          <w:docPartGallery w:val="Table of Contents"/>
          <w:docPartUnique/>
        </w:docPartObj>
      </w:sdtPr>
      <w:sdtEndPr/>
      <w:sdtContent>
        <w:p w14:paraId="535C383C" w14:textId="77777777" w:rsidR="00DA2EDE" w:rsidRPr="00FF756A" w:rsidRDefault="00DA2EDE" w:rsidP="004A3257">
          <w:pPr>
            <w:pStyle w:val="TOCHeading"/>
            <w:numPr>
              <w:ilvl w:val="0"/>
              <w:numId w:val="0"/>
            </w:numPr>
          </w:pPr>
        </w:p>
        <w:p w14:paraId="4BFCF102" w14:textId="3A6047AE" w:rsidR="007C7AB8" w:rsidRPr="00FF756A" w:rsidRDefault="00427724">
          <w:pPr>
            <w:pStyle w:val="TOC1"/>
            <w:tabs>
              <w:tab w:val="right" w:leader="dot" w:pos="9062"/>
            </w:tabs>
            <w:rPr>
              <w:rFonts w:eastAsiaTheme="minorEastAsia"/>
              <w:noProof/>
              <w:kern w:val="2"/>
              <w:sz w:val="24"/>
              <w:szCs w:val="24"/>
              <w:lang w:val="en-US"/>
              <w14:ligatures w14:val="standardContextual"/>
            </w:rPr>
          </w:pPr>
          <w:r w:rsidRPr="00FF756A">
            <w:fldChar w:fldCharType="begin"/>
          </w:r>
          <w:r w:rsidRPr="00FF756A">
            <w:instrText xml:space="preserve"> TOC \o "1-5" \h \z \u </w:instrText>
          </w:r>
          <w:r w:rsidRPr="00FF756A">
            <w:fldChar w:fldCharType="separate"/>
          </w:r>
          <w:hyperlink w:anchor="_Toc183639161" w:history="1">
            <w:r w:rsidR="007C7AB8" w:rsidRPr="00FF756A">
              <w:rPr>
                <w:rStyle w:val="Hyperlink"/>
                <w:noProof/>
              </w:rPr>
              <w:t>Lista e shkurtimeve dhe akronimeve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_Toc183639161 \h </w:instrText>
            </w:r>
            <w:r w:rsidR="007C7AB8" w:rsidRPr="00FF756A">
              <w:rPr>
                <w:noProof/>
                <w:webHidden/>
              </w:rPr>
            </w:r>
            <w:r w:rsidR="007C7AB8" w:rsidRPr="00FF756A">
              <w:rPr>
                <w:noProof/>
                <w:webHidden/>
              </w:rPr>
              <w:fldChar w:fldCharType="separate"/>
            </w:r>
            <w:r w:rsidR="007C7AB8" w:rsidRPr="00FF756A">
              <w:rPr>
                <w:noProof/>
                <w:webHidden/>
              </w:rPr>
              <w:t>1</w:t>
            </w:r>
            <w:r w:rsidR="007C7AB8" w:rsidRPr="00FF756A">
              <w:rPr>
                <w:noProof/>
                <w:webHidden/>
              </w:rPr>
              <w:fldChar w:fldCharType="end"/>
            </w:r>
          </w:hyperlink>
        </w:p>
        <w:p w14:paraId="41B6BA9C" w14:textId="0C371207" w:rsidR="007C7AB8" w:rsidRPr="00FF756A" w:rsidRDefault="008A279C">
          <w:pPr>
            <w:pStyle w:val="TOC1"/>
            <w:tabs>
              <w:tab w:val="right" w:leader="dot" w:pos="9062"/>
            </w:tabs>
            <w:rPr>
              <w:rFonts w:eastAsiaTheme="minorEastAsia"/>
              <w:noProof/>
              <w:kern w:val="2"/>
              <w:sz w:val="24"/>
              <w:szCs w:val="24"/>
              <w:lang w:val="en-US"/>
              <w14:ligatures w14:val="standardContextual"/>
            </w:rPr>
          </w:pPr>
          <w:hyperlink w:anchor="_Toc183639162" w:history="1">
            <w:r w:rsidR="007C7AB8" w:rsidRPr="00FF756A">
              <w:rPr>
                <w:rStyle w:val="Hyperlink"/>
                <w:noProof/>
              </w:rPr>
              <w:t>Lista e tabelave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_Toc183639162 \h </w:instrText>
            </w:r>
            <w:r w:rsidR="007C7AB8" w:rsidRPr="00FF756A">
              <w:rPr>
                <w:noProof/>
                <w:webHidden/>
              </w:rPr>
            </w:r>
            <w:r w:rsidR="007C7AB8" w:rsidRPr="00FF756A">
              <w:rPr>
                <w:noProof/>
                <w:webHidden/>
              </w:rPr>
              <w:fldChar w:fldCharType="separate"/>
            </w:r>
            <w:r w:rsidR="007C7AB8" w:rsidRPr="00FF756A">
              <w:rPr>
                <w:noProof/>
                <w:webHidden/>
              </w:rPr>
              <w:t>3</w:t>
            </w:r>
            <w:r w:rsidR="007C7AB8" w:rsidRPr="00FF756A">
              <w:rPr>
                <w:noProof/>
                <w:webHidden/>
              </w:rPr>
              <w:fldChar w:fldCharType="end"/>
            </w:r>
          </w:hyperlink>
        </w:p>
        <w:p w14:paraId="1A21C732" w14:textId="62ECA887" w:rsidR="007C7AB8" w:rsidRPr="00FF756A" w:rsidRDefault="008A279C">
          <w:pPr>
            <w:pStyle w:val="TOC1"/>
            <w:tabs>
              <w:tab w:val="right" w:leader="dot" w:pos="9062"/>
            </w:tabs>
            <w:rPr>
              <w:rFonts w:eastAsiaTheme="minorEastAsia"/>
              <w:noProof/>
              <w:kern w:val="2"/>
              <w:sz w:val="24"/>
              <w:szCs w:val="24"/>
              <w:lang w:val="en-US"/>
              <w14:ligatures w14:val="standardContextual"/>
            </w:rPr>
          </w:pPr>
          <w:hyperlink w:anchor="_Toc183639163" w:history="1">
            <w:r w:rsidR="007C7AB8" w:rsidRPr="00FF756A">
              <w:rPr>
                <w:rStyle w:val="Hyperlink"/>
                <w:noProof/>
              </w:rPr>
              <w:t>Lista e figurave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_Toc183639163 \h </w:instrText>
            </w:r>
            <w:r w:rsidR="007C7AB8" w:rsidRPr="00FF756A">
              <w:rPr>
                <w:noProof/>
                <w:webHidden/>
              </w:rPr>
            </w:r>
            <w:r w:rsidR="007C7AB8" w:rsidRPr="00FF756A">
              <w:rPr>
                <w:noProof/>
                <w:webHidden/>
              </w:rPr>
              <w:fldChar w:fldCharType="separate"/>
            </w:r>
            <w:r w:rsidR="007C7AB8" w:rsidRPr="00FF756A">
              <w:rPr>
                <w:noProof/>
                <w:webHidden/>
              </w:rPr>
              <w:t>6</w:t>
            </w:r>
            <w:r w:rsidR="007C7AB8" w:rsidRPr="00FF756A">
              <w:rPr>
                <w:noProof/>
                <w:webHidden/>
              </w:rPr>
              <w:fldChar w:fldCharType="end"/>
            </w:r>
          </w:hyperlink>
        </w:p>
        <w:p w14:paraId="1CE37872" w14:textId="76BFE6DF" w:rsidR="007C7AB8" w:rsidRPr="00FF756A" w:rsidRDefault="008A279C">
          <w:pPr>
            <w:pStyle w:val="TOC1"/>
            <w:tabs>
              <w:tab w:val="left" w:pos="440"/>
              <w:tab w:val="right" w:leader="dot" w:pos="9062"/>
            </w:tabs>
            <w:rPr>
              <w:rFonts w:eastAsiaTheme="minorEastAsia"/>
              <w:noProof/>
              <w:kern w:val="2"/>
              <w:sz w:val="24"/>
              <w:szCs w:val="24"/>
              <w:lang w:val="en-US"/>
              <w14:ligatures w14:val="standardContextual"/>
            </w:rPr>
          </w:pPr>
          <w:hyperlink w:anchor="_Toc183639164" w:history="1">
            <w:r w:rsidR="007C7AB8" w:rsidRPr="00FF756A">
              <w:rPr>
                <w:rStyle w:val="Hyperlink"/>
                <w:noProof/>
              </w:rPr>
              <w:t>1.</w:t>
            </w:r>
            <w:r w:rsidR="007C7AB8" w:rsidRPr="00FF756A">
              <w:rPr>
                <w:rFonts w:eastAsiaTheme="minorEastAsia"/>
                <w:noProof/>
                <w:kern w:val="2"/>
                <w:sz w:val="24"/>
                <w:szCs w:val="24"/>
                <w:lang w:val="en-US"/>
                <w14:ligatures w14:val="standardContextual"/>
              </w:rPr>
              <w:tab/>
            </w:r>
            <w:r w:rsidR="007C7AB8" w:rsidRPr="00FF756A">
              <w:rPr>
                <w:rStyle w:val="Hyperlink"/>
                <w:noProof/>
              </w:rPr>
              <w:t>PËRMBLEDHJE DHE PROCESI I PËRGATITJES SË PLANIT</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_Toc183639164 \h </w:instrText>
            </w:r>
            <w:r w:rsidR="007C7AB8" w:rsidRPr="00FF756A">
              <w:rPr>
                <w:noProof/>
                <w:webHidden/>
              </w:rPr>
            </w:r>
            <w:r w:rsidR="007C7AB8" w:rsidRPr="00FF756A">
              <w:rPr>
                <w:noProof/>
                <w:webHidden/>
              </w:rPr>
              <w:fldChar w:fldCharType="separate"/>
            </w:r>
            <w:r w:rsidR="007C7AB8" w:rsidRPr="00FF756A">
              <w:rPr>
                <w:noProof/>
                <w:webHidden/>
              </w:rPr>
              <w:t>13</w:t>
            </w:r>
            <w:r w:rsidR="007C7AB8" w:rsidRPr="00FF756A">
              <w:rPr>
                <w:noProof/>
                <w:webHidden/>
              </w:rPr>
              <w:fldChar w:fldCharType="end"/>
            </w:r>
          </w:hyperlink>
        </w:p>
        <w:p w14:paraId="5D90787E" w14:textId="0FD1239F"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165" w:history="1">
            <w:r w:rsidR="007C7AB8" w:rsidRPr="00FF756A">
              <w:rPr>
                <w:rStyle w:val="Hyperlink"/>
                <w:noProof/>
              </w:rPr>
              <w:t>1.1</w:t>
            </w:r>
            <w:r w:rsidR="007C7AB8" w:rsidRPr="00FF756A">
              <w:rPr>
                <w:rFonts w:eastAsiaTheme="minorEastAsia"/>
                <w:noProof/>
                <w:kern w:val="2"/>
                <w:sz w:val="24"/>
                <w:szCs w:val="24"/>
                <w:lang w:val="en-US"/>
                <w14:ligatures w14:val="standardContextual"/>
              </w:rPr>
              <w:tab/>
            </w:r>
            <w:r w:rsidR="007C7AB8" w:rsidRPr="00FF756A">
              <w:rPr>
                <w:rStyle w:val="Hyperlink"/>
                <w:noProof/>
              </w:rPr>
              <w:t>Përmbledhje ekzekutive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_Toc183639165 \h </w:instrText>
            </w:r>
            <w:r w:rsidR="007C7AB8" w:rsidRPr="00FF756A">
              <w:rPr>
                <w:noProof/>
                <w:webHidden/>
              </w:rPr>
            </w:r>
            <w:r w:rsidR="007C7AB8" w:rsidRPr="00FF756A">
              <w:rPr>
                <w:noProof/>
                <w:webHidden/>
              </w:rPr>
              <w:fldChar w:fldCharType="separate"/>
            </w:r>
            <w:r w:rsidR="007C7AB8" w:rsidRPr="00FF756A">
              <w:rPr>
                <w:noProof/>
                <w:webHidden/>
              </w:rPr>
              <w:t>13</w:t>
            </w:r>
            <w:r w:rsidR="007C7AB8" w:rsidRPr="00FF756A">
              <w:rPr>
                <w:noProof/>
                <w:webHidden/>
              </w:rPr>
              <w:fldChar w:fldCharType="end"/>
            </w:r>
          </w:hyperlink>
        </w:p>
        <w:p w14:paraId="0A6B53C4" w14:textId="7B0DC52E"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166" w:history="1">
            <w:r w:rsidR="007C7AB8" w:rsidRPr="00FF756A">
              <w:rPr>
                <w:rStyle w:val="Hyperlink"/>
                <w:rFonts w:eastAsia="Calibri Light"/>
                <w:noProof/>
              </w:rPr>
              <w:t>1.1.1.</w:t>
            </w:r>
            <w:r w:rsidR="007C7AB8" w:rsidRPr="00FF756A">
              <w:rPr>
                <w:rFonts w:eastAsiaTheme="minorEastAsia"/>
                <w:noProof/>
                <w:kern w:val="2"/>
                <w:sz w:val="24"/>
                <w:szCs w:val="24"/>
                <w:lang w:val="en-US"/>
                <w14:ligatures w14:val="standardContextual"/>
              </w:rPr>
              <w:tab/>
            </w:r>
            <w:r w:rsidR="007C7AB8" w:rsidRPr="00FF756A">
              <w:rPr>
                <w:rStyle w:val="Hyperlink"/>
                <w:noProof/>
              </w:rPr>
              <w:t>Konteksti politik, ekonomik, mjedisor dhe social i planit</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_Toc183639166 \h </w:instrText>
            </w:r>
            <w:r w:rsidR="007C7AB8" w:rsidRPr="00FF756A">
              <w:rPr>
                <w:noProof/>
                <w:webHidden/>
              </w:rPr>
            </w:r>
            <w:r w:rsidR="007C7AB8" w:rsidRPr="00FF756A">
              <w:rPr>
                <w:noProof/>
                <w:webHidden/>
              </w:rPr>
              <w:fldChar w:fldCharType="separate"/>
            </w:r>
            <w:r w:rsidR="007C7AB8" w:rsidRPr="00FF756A">
              <w:rPr>
                <w:noProof/>
                <w:webHidden/>
              </w:rPr>
              <w:t>13</w:t>
            </w:r>
            <w:r w:rsidR="007C7AB8" w:rsidRPr="00FF756A">
              <w:rPr>
                <w:noProof/>
                <w:webHidden/>
              </w:rPr>
              <w:fldChar w:fldCharType="end"/>
            </w:r>
          </w:hyperlink>
        </w:p>
        <w:p w14:paraId="52793F73" w14:textId="74BE8D50"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167" w:history="1">
            <w:r w:rsidR="007C7AB8" w:rsidRPr="00FF756A">
              <w:rPr>
                <w:rStyle w:val="Hyperlink"/>
                <w:rFonts w:eastAsia="Calibri Light"/>
                <w:noProof/>
              </w:rPr>
              <w:t>1.1.2.</w:t>
            </w:r>
            <w:r w:rsidR="007C7AB8" w:rsidRPr="00FF756A">
              <w:rPr>
                <w:rFonts w:eastAsiaTheme="minorEastAsia"/>
                <w:noProof/>
                <w:kern w:val="2"/>
                <w:sz w:val="24"/>
                <w:szCs w:val="24"/>
                <w:lang w:val="en-US"/>
                <w14:ligatures w14:val="standardContextual"/>
              </w:rPr>
              <w:tab/>
            </w:r>
            <w:r w:rsidR="007C7AB8" w:rsidRPr="00FF756A">
              <w:rPr>
                <w:rStyle w:val="Hyperlink"/>
                <w:noProof/>
              </w:rPr>
              <w:t>Strategjia lidhur me pesë dimensionet e Unionit të Energjisë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_Toc183639167 \h </w:instrText>
            </w:r>
            <w:r w:rsidR="007C7AB8" w:rsidRPr="00FF756A">
              <w:rPr>
                <w:noProof/>
                <w:webHidden/>
              </w:rPr>
            </w:r>
            <w:r w:rsidR="007C7AB8" w:rsidRPr="00FF756A">
              <w:rPr>
                <w:noProof/>
                <w:webHidden/>
              </w:rPr>
              <w:fldChar w:fldCharType="separate"/>
            </w:r>
            <w:r w:rsidR="007C7AB8" w:rsidRPr="00FF756A">
              <w:rPr>
                <w:noProof/>
                <w:webHidden/>
              </w:rPr>
              <w:t>17</w:t>
            </w:r>
            <w:r w:rsidR="007C7AB8" w:rsidRPr="00FF756A">
              <w:rPr>
                <w:noProof/>
                <w:webHidden/>
              </w:rPr>
              <w:fldChar w:fldCharType="end"/>
            </w:r>
          </w:hyperlink>
        </w:p>
        <w:p w14:paraId="1083EFEE" w14:textId="1B2F8908"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168" w:history="1">
            <w:r w:rsidR="007C7AB8" w:rsidRPr="00FF756A">
              <w:rPr>
                <w:rStyle w:val="Hyperlink"/>
                <w:rFonts w:eastAsia="Calibri Light"/>
                <w:noProof/>
              </w:rPr>
              <w:t>1.1.3.</w:t>
            </w:r>
            <w:r w:rsidR="007C7AB8" w:rsidRPr="00FF756A">
              <w:rPr>
                <w:rFonts w:eastAsiaTheme="minorEastAsia"/>
                <w:noProof/>
                <w:kern w:val="2"/>
                <w:sz w:val="24"/>
                <w:szCs w:val="24"/>
                <w:lang w:val="en-US"/>
                <w14:ligatures w14:val="standardContextual"/>
              </w:rPr>
              <w:tab/>
            </w:r>
            <w:r w:rsidR="007C7AB8" w:rsidRPr="00FF756A">
              <w:rPr>
                <w:rStyle w:val="Hyperlink"/>
                <w:noProof/>
              </w:rPr>
              <w:t>Tabela përmbledhëse me objektivat kryesorë, politikat dhe masat e planit</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_Toc183639168 \h </w:instrText>
            </w:r>
            <w:r w:rsidR="007C7AB8" w:rsidRPr="00FF756A">
              <w:rPr>
                <w:noProof/>
                <w:webHidden/>
              </w:rPr>
            </w:r>
            <w:r w:rsidR="007C7AB8" w:rsidRPr="00FF756A">
              <w:rPr>
                <w:noProof/>
                <w:webHidden/>
              </w:rPr>
              <w:fldChar w:fldCharType="separate"/>
            </w:r>
            <w:r w:rsidR="007C7AB8" w:rsidRPr="00FF756A">
              <w:rPr>
                <w:noProof/>
                <w:webHidden/>
              </w:rPr>
              <w:t>18</w:t>
            </w:r>
            <w:r w:rsidR="007C7AB8" w:rsidRPr="00FF756A">
              <w:rPr>
                <w:noProof/>
                <w:webHidden/>
              </w:rPr>
              <w:fldChar w:fldCharType="end"/>
            </w:r>
          </w:hyperlink>
        </w:p>
        <w:p w14:paraId="30982613" w14:textId="711B3A51"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169" w:history="1">
            <w:r w:rsidR="007C7AB8" w:rsidRPr="00FF756A">
              <w:rPr>
                <w:rStyle w:val="Hyperlink"/>
                <w:noProof/>
              </w:rPr>
              <w:t>1.2</w:t>
            </w:r>
            <w:r w:rsidR="007C7AB8" w:rsidRPr="00FF756A">
              <w:rPr>
                <w:rFonts w:eastAsiaTheme="minorEastAsia"/>
                <w:noProof/>
                <w:kern w:val="2"/>
                <w:sz w:val="24"/>
                <w:szCs w:val="24"/>
                <w:lang w:val="en-US"/>
                <w14:ligatures w14:val="standardContextual"/>
              </w:rPr>
              <w:tab/>
            </w:r>
            <w:r w:rsidR="007C7AB8" w:rsidRPr="00FF756A">
              <w:rPr>
                <w:rStyle w:val="Hyperlink"/>
                <w:noProof/>
              </w:rPr>
              <w:t>Përmbledhje e situatës aktuale të politikave të energjisë dhe klimës</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_Toc183639169 \h </w:instrText>
            </w:r>
            <w:r w:rsidR="007C7AB8" w:rsidRPr="00FF756A">
              <w:rPr>
                <w:noProof/>
                <w:webHidden/>
              </w:rPr>
            </w:r>
            <w:r w:rsidR="007C7AB8" w:rsidRPr="00FF756A">
              <w:rPr>
                <w:noProof/>
                <w:webHidden/>
              </w:rPr>
              <w:fldChar w:fldCharType="separate"/>
            </w:r>
            <w:r w:rsidR="007C7AB8" w:rsidRPr="00FF756A">
              <w:rPr>
                <w:noProof/>
                <w:webHidden/>
              </w:rPr>
              <w:t>21</w:t>
            </w:r>
            <w:r w:rsidR="007C7AB8" w:rsidRPr="00FF756A">
              <w:rPr>
                <w:noProof/>
                <w:webHidden/>
              </w:rPr>
              <w:fldChar w:fldCharType="end"/>
            </w:r>
          </w:hyperlink>
        </w:p>
        <w:p w14:paraId="57F96B9C" w14:textId="7E3239B9"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170" w:history="1">
            <w:r w:rsidR="007C7AB8" w:rsidRPr="00FF756A">
              <w:rPr>
                <w:rStyle w:val="Hyperlink"/>
                <w:noProof/>
              </w:rPr>
              <w:t>1.2.1. Sistemi kombëtar i energjisë dhe konteksti politik i planit kombëtar</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_Toc183639170 \h </w:instrText>
            </w:r>
            <w:r w:rsidR="007C7AB8" w:rsidRPr="00FF756A">
              <w:rPr>
                <w:noProof/>
                <w:webHidden/>
              </w:rPr>
            </w:r>
            <w:r w:rsidR="007C7AB8" w:rsidRPr="00FF756A">
              <w:rPr>
                <w:noProof/>
                <w:webHidden/>
              </w:rPr>
              <w:fldChar w:fldCharType="separate"/>
            </w:r>
            <w:r w:rsidR="007C7AB8" w:rsidRPr="00FF756A">
              <w:rPr>
                <w:noProof/>
                <w:webHidden/>
              </w:rPr>
              <w:t>21</w:t>
            </w:r>
            <w:r w:rsidR="007C7AB8" w:rsidRPr="00FF756A">
              <w:rPr>
                <w:noProof/>
                <w:webHidden/>
              </w:rPr>
              <w:fldChar w:fldCharType="end"/>
            </w:r>
          </w:hyperlink>
        </w:p>
        <w:p w14:paraId="16A22F2B" w14:textId="39316366" w:rsidR="007C7AB8" w:rsidRPr="00FF756A" w:rsidRDefault="008A279C">
          <w:pPr>
            <w:pStyle w:val="TOC4"/>
            <w:tabs>
              <w:tab w:val="left" w:pos="154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171" w:history="1">
            <w:r w:rsidR="007C7AB8" w:rsidRPr="00FF756A">
              <w:rPr>
                <w:rStyle w:val="Hyperlink"/>
                <w:rFonts w:ascii="Times New Roman" w:hAnsi="Times New Roman" w:cs="Times New Roman"/>
                <w:noProof/>
              </w:rPr>
              <w:t>1.2.1.1</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hAnsi="Times New Roman" w:cs="Times New Roman"/>
                <w:noProof/>
              </w:rPr>
              <w:t>Sistemi kombëtar i energjisë</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_Toc183639171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21</w:t>
            </w:r>
            <w:r w:rsidR="007C7AB8" w:rsidRPr="00FF756A">
              <w:rPr>
                <w:rFonts w:ascii="Times New Roman" w:hAnsi="Times New Roman" w:cs="Times New Roman"/>
                <w:noProof/>
                <w:webHidden/>
              </w:rPr>
              <w:fldChar w:fldCharType="end"/>
            </w:r>
          </w:hyperlink>
        </w:p>
        <w:p w14:paraId="66F842E2" w14:textId="7FF06BBA" w:rsidR="007C7AB8" w:rsidRPr="00FF756A" w:rsidRDefault="008A279C">
          <w:pPr>
            <w:pStyle w:val="TOC4"/>
            <w:tabs>
              <w:tab w:val="left" w:pos="154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172" w:history="1">
            <w:r w:rsidR="007C7AB8" w:rsidRPr="00FF756A">
              <w:rPr>
                <w:rStyle w:val="Hyperlink"/>
                <w:rFonts w:ascii="Times New Roman" w:hAnsi="Times New Roman" w:cs="Times New Roman"/>
                <w:noProof/>
              </w:rPr>
              <w:t>1.2.1.2</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hAnsi="Times New Roman" w:cs="Times New Roman"/>
                <w:noProof/>
              </w:rPr>
              <w:t>Konteksti politik i planit kombëtar për energjinë dhe klimën</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_Toc183639172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31</w:t>
            </w:r>
            <w:r w:rsidR="007C7AB8" w:rsidRPr="00FF756A">
              <w:rPr>
                <w:rFonts w:ascii="Times New Roman" w:hAnsi="Times New Roman" w:cs="Times New Roman"/>
                <w:noProof/>
                <w:webHidden/>
              </w:rPr>
              <w:fldChar w:fldCharType="end"/>
            </w:r>
          </w:hyperlink>
        </w:p>
        <w:p w14:paraId="5D2AD621" w14:textId="03A0549C"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173" w:history="1">
            <w:r w:rsidR="007C7AB8" w:rsidRPr="00FF756A">
              <w:rPr>
                <w:rStyle w:val="Hyperlink"/>
                <w:noProof/>
              </w:rPr>
              <w:t>1.2.2.</w:t>
            </w:r>
            <w:r w:rsidR="007C7AB8" w:rsidRPr="00FF756A">
              <w:rPr>
                <w:rFonts w:eastAsiaTheme="minorEastAsia"/>
                <w:noProof/>
                <w:kern w:val="2"/>
                <w:sz w:val="24"/>
                <w:szCs w:val="24"/>
                <w:lang w:val="en-US"/>
                <w14:ligatures w14:val="standardContextual"/>
              </w:rPr>
              <w:tab/>
            </w:r>
            <w:r w:rsidR="007C7AB8" w:rsidRPr="00FF756A">
              <w:rPr>
                <w:rStyle w:val="Hyperlink"/>
                <w:noProof/>
              </w:rPr>
              <w:t>Politikat dhe masat aktuale për energjinë dhe klimën në lidhje me pesë dimensionet e Unionit të Energjisë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_Toc183639173 \h </w:instrText>
            </w:r>
            <w:r w:rsidR="007C7AB8" w:rsidRPr="00FF756A">
              <w:rPr>
                <w:noProof/>
                <w:webHidden/>
              </w:rPr>
            </w:r>
            <w:r w:rsidR="007C7AB8" w:rsidRPr="00FF756A">
              <w:rPr>
                <w:noProof/>
                <w:webHidden/>
              </w:rPr>
              <w:fldChar w:fldCharType="separate"/>
            </w:r>
            <w:r w:rsidR="007C7AB8" w:rsidRPr="00FF756A">
              <w:rPr>
                <w:noProof/>
                <w:webHidden/>
              </w:rPr>
              <w:t>34</w:t>
            </w:r>
            <w:r w:rsidR="007C7AB8" w:rsidRPr="00FF756A">
              <w:rPr>
                <w:noProof/>
                <w:webHidden/>
              </w:rPr>
              <w:fldChar w:fldCharType="end"/>
            </w:r>
          </w:hyperlink>
        </w:p>
        <w:p w14:paraId="4F659DC2" w14:textId="7D143CFB" w:rsidR="007C7AB8" w:rsidRPr="00FF756A" w:rsidRDefault="008A279C">
          <w:pPr>
            <w:pStyle w:val="TOC4"/>
            <w:tabs>
              <w:tab w:val="left" w:pos="176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174" w:history="1">
            <w:r w:rsidR="007C7AB8" w:rsidRPr="00FF756A">
              <w:rPr>
                <w:rStyle w:val="Hyperlink"/>
                <w:rFonts w:ascii="Times New Roman" w:hAnsi="Times New Roman" w:cs="Times New Roman"/>
                <w:noProof/>
              </w:rPr>
              <w:t>1.2.2.1.</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hAnsi="Times New Roman" w:cs="Times New Roman"/>
                <w:noProof/>
              </w:rPr>
              <w:t>Përmbledhje e politikave kryesore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_Toc183639174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34</w:t>
            </w:r>
            <w:r w:rsidR="007C7AB8" w:rsidRPr="00FF756A">
              <w:rPr>
                <w:rFonts w:ascii="Times New Roman" w:hAnsi="Times New Roman" w:cs="Times New Roman"/>
                <w:noProof/>
                <w:webHidden/>
              </w:rPr>
              <w:fldChar w:fldCharType="end"/>
            </w:r>
          </w:hyperlink>
        </w:p>
        <w:p w14:paraId="0861F94A" w14:textId="4EA272B2" w:rsidR="007C7AB8" w:rsidRPr="00FF756A" w:rsidRDefault="008A279C">
          <w:pPr>
            <w:pStyle w:val="TOC4"/>
            <w:tabs>
              <w:tab w:val="left" w:pos="176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175" w:history="1">
            <w:r w:rsidR="007C7AB8" w:rsidRPr="00FF756A">
              <w:rPr>
                <w:rStyle w:val="Hyperlink"/>
                <w:rFonts w:ascii="Times New Roman" w:hAnsi="Times New Roman" w:cs="Times New Roman"/>
                <w:noProof/>
              </w:rPr>
              <w:t>1.2.2.2.</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hAnsi="Times New Roman" w:cs="Times New Roman"/>
                <w:noProof/>
              </w:rPr>
              <w:t>Përmbledhje e institucioneve qeveritare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_Toc183639175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34</w:t>
            </w:r>
            <w:r w:rsidR="007C7AB8" w:rsidRPr="00FF756A">
              <w:rPr>
                <w:rFonts w:ascii="Times New Roman" w:hAnsi="Times New Roman" w:cs="Times New Roman"/>
                <w:noProof/>
                <w:webHidden/>
              </w:rPr>
              <w:fldChar w:fldCharType="end"/>
            </w:r>
          </w:hyperlink>
        </w:p>
        <w:p w14:paraId="31A54F3F" w14:textId="0BCCEBF2" w:rsidR="007C7AB8" w:rsidRPr="00FF756A" w:rsidRDefault="008A279C">
          <w:pPr>
            <w:pStyle w:val="TOC4"/>
            <w:tabs>
              <w:tab w:val="left" w:pos="176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176" w:history="1">
            <w:r w:rsidR="007C7AB8" w:rsidRPr="00FF756A">
              <w:rPr>
                <w:rStyle w:val="Hyperlink"/>
                <w:rFonts w:ascii="Times New Roman" w:hAnsi="Times New Roman" w:cs="Times New Roman"/>
                <w:noProof/>
              </w:rPr>
              <w:t>1.2.2.3.</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hAnsi="Times New Roman" w:cs="Times New Roman"/>
                <w:noProof/>
              </w:rPr>
              <w:t>Dimensioni i dekarbonizimit – shkarkimet dhe largimet e GES-ve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_Toc183639176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35</w:t>
            </w:r>
            <w:r w:rsidR="007C7AB8" w:rsidRPr="00FF756A">
              <w:rPr>
                <w:rFonts w:ascii="Times New Roman" w:hAnsi="Times New Roman" w:cs="Times New Roman"/>
                <w:noProof/>
                <w:webHidden/>
              </w:rPr>
              <w:fldChar w:fldCharType="end"/>
            </w:r>
          </w:hyperlink>
        </w:p>
        <w:p w14:paraId="2DDDE2AE" w14:textId="43429841" w:rsidR="007C7AB8" w:rsidRPr="00FF756A" w:rsidRDefault="008A279C">
          <w:pPr>
            <w:pStyle w:val="TOC4"/>
            <w:tabs>
              <w:tab w:val="left" w:pos="176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177" w:history="1">
            <w:r w:rsidR="007C7AB8" w:rsidRPr="00FF756A">
              <w:rPr>
                <w:rStyle w:val="Hyperlink"/>
                <w:rFonts w:ascii="Times New Roman" w:hAnsi="Times New Roman" w:cs="Times New Roman"/>
                <w:noProof/>
              </w:rPr>
              <w:t>1.2.2.4.</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hAnsi="Times New Roman" w:cs="Times New Roman"/>
                <w:noProof/>
              </w:rPr>
              <w:t>Dimensioni i dekarbonizimit – Energjia e rinovueshme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_Toc183639177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37</w:t>
            </w:r>
            <w:r w:rsidR="007C7AB8" w:rsidRPr="00FF756A">
              <w:rPr>
                <w:rFonts w:ascii="Times New Roman" w:hAnsi="Times New Roman" w:cs="Times New Roman"/>
                <w:noProof/>
                <w:webHidden/>
              </w:rPr>
              <w:fldChar w:fldCharType="end"/>
            </w:r>
          </w:hyperlink>
        </w:p>
        <w:p w14:paraId="344DE8EE" w14:textId="44311C5C" w:rsidR="007C7AB8" w:rsidRPr="00FF756A" w:rsidRDefault="008A279C">
          <w:pPr>
            <w:pStyle w:val="TOC4"/>
            <w:tabs>
              <w:tab w:val="left" w:pos="176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178" w:history="1">
            <w:r w:rsidR="007C7AB8" w:rsidRPr="00FF756A">
              <w:rPr>
                <w:rStyle w:val="Hyperlink"/>
                <w:rFonts w:ascii="Times New Roman" w:hAnsi="Times New Roman" w:cs="Times New Roman"/>
                <w:noProof/>
              </w:rPr>
              <w:t>1.2.2.5.</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hAnsi="Times New Roman" w:cs="Times New Roman"/>
                <w:noProof/>
              </w:rPr>
              <w:t>Dimensioni i efiçencës së energjisë</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_Toc183639178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42</w:t>
            </w:r>
            <w:r w:rsidR="007C7AB8" w:rsidRPr="00FF756A">
              <w:rPr>
                <w:rFonts w:ascii="Times New Roman" w:hAnsi="Times New Roman" w:cs="Times New Roman"/>
                <w:noProof/>
                <w:webHidden/>
              </w:rPr>
              <w:fldChar w:fldCharType="end"/>
            </w:r>
          </w:hyperlink>
        </w:p>
        <w:p w14:paraId="2BEDC363" w14:textId="6C073057" w:rsidR="007C7AB8" w:rsidRPr="00FF756A" w:rsidRDefault="008A279C">
          <w:pPr>
            <w:pStyle w:val="TOC4"/>
            <w:tabs>
              <w:tab w:val="left" w:pos="176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179" w:history="1">
            <w:r w:rsidR="007C7AB8" w:rsidRPr="00FF756A">
              <w:rPr>
                <w:rStyle w:val="Hyperlink"/>
                <w:rFonts w:ascii="Times New Roman" w:hAnsi="Times New Roman" w:cs="Times New Roman"/>
                <w:noProof/>
              </w:rPr>
              <w:t>1.2.2.6.</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hAnsi="Times New Roman" w:cs="Times New Roman"/>
                <w:noProof/>
              </w:rPr>
              <w:t>Dimensioni i sigurisë së energjisë</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_Toc183639179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60</w:t>
            </w:r>
            <w:r w:rsidR="007C7AB8" w:rsidRPr="00FF756A">
              <w:rPr>
                <w:rFonts w:ascii="Times New Roman" w:hAnsi="Times New Roman" w:cs="Times New Roman"/>
                <w:noProof/>
                <w:webHidden/>
              </w:rPr>
              <w:fldChar w:fldCharType="end"/>
            </w:r>
          </w:hyperlink>
        </w:p>
        <w:p w14:paraId="5B6D6708" w14:textId="65C93294" w:rsidR="007C7AB8" w:rsidRPr="00FF756A" w:rsidRDefault="008A279C">
          <w:pPr>
            <w:pStyle w:val="TOC4"/>
            <w:tabs>
              <w:tab w:val="left" w:pos="176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180" w:history="1">
            <w:r w:rsidR="007C7AB8" w:rsidRPr="00FF756A">
              <w:rPr>
                <w:rStyle w:val="Hyperlink"/>
                <w:rFonts w:ascii="Times New Roman" w:hAnsi="Times New Roman" w:cs="Times New Roman"/>
                <w:noProof/>
              </w:rPr>
              <w:t>1.2.2.7.</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hAnsi="Times New Roman" w:cs="Times New Roman"/>
                <w:noProof/>
              </w:rPr>
              <w:t>Dimensioni i tregut të brendshëm të energjisë</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_Toc183639180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66</w:t>
            </w:r>
            <w:r w:rsidR="007C7AB8" w:rsidRPr="00FF756A">
              <w:rPr>
                <w:rFonts w:ascii="Times New Roman" w:hAnsi="Times New Roman" w:cs="Times New Roman"/>
                <w:noProof/>
                <w:webHidden/>
              </w:rPr>
              <w:fldChar w:fldCharType="end"/>
            </w:r>
          </w:hyperlink>
        </w:p>
        <w:p w14:paraId="0F169558" w14:textId="7E6CFDB4" w:rsidR="007C7AB8" w:rsidRPr="00FF756A" w:rsidRDefault="008A279C">
          <w:pPr>
            <w:pStyle w:val="TOC5"/>
            <w:tabs>
              <w:tab w:val="left" w:pos="1955"/>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181" w:history="1">
            <w:r w:rsidR="007C7AB8" w:rsidRPr="00FF756A">
              <w:rPr>
                <w:rStyle w:val="Hyperlink"/>
                <w:rFonts w:ascii="Times New Roman" w:hAnsi="Times New Roman" w:cs="Times New Roman"/>
                <w:noProof/>
              </w:rPr>
              <w:t>1.2.2.7.1.</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hAnsi="Times New Roman" w:cs="Times New Roman"/>
                <w:noProof/>
              </w:rPr>
              <w:t>Sektori i energjisë elektrike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_Toc183639181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66</w:t>
            </w:r>
            <w:r w:rsidR="007C7AB8" w:rsidRPr="00FF756A">
              <w:rPr>
                <w:rFonts w:ascii="Times New Roman" w:hAnsi="Times New Roman" w:cs="Times New Roman"/>
                <w:noProof/>
                <w:webHidden/>
              </w:rPr>
              <w:fldChar w:fldCharType="end"/>
            </w:r>
          </w:hyperlink>
        </w:p>
        <w:p w14:paraId="706C18F9" w14:textId="1AA145FD" w:rsidR="007C7AB8" w:rsidRPr="00FF756A" w:rsidRDefault="008A279C">
          <w:pPr>
            <w:pStyle w:val="TOC5"/>
            <w:tabs>
              <w:tab w:val="left" w:pos="1955"/>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182" w:history="1">
            <w:r w:rsidR="007C7AB8" w:rsidRPr="00FF756A">
              <w:rPr>
                <w:rStyle w:val="Hyperlink"/>
                <w:rFonts w:ascii="Times New Roman" w:hAnsi="Times New Roman" w:cs="Times New Roman"/>
                <w:noProof/>
              </w:rPr>
              <w:t>1.2.2.7.2.</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hAnsi="Times New Roman" w:cs="Times New Roman"/>
                <w:noProof/>
              </w:rPr>
              <w:t>Sektori i gazit</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_Toc183639182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74</w:t>
            </w:r>
            <w:r w:rsidR="007C7AB8" w:rsidRPr="00FF756A">
              <w:rPr>
                <w:rFonts w:ascii="Times New Roman" w:hAnsi="Times New Roman" w:cs="Times New Roman"/>
                <w:noProof/>
                <w:webHidden/>
              </w:rPr>
              <w:fldChar w:fldCharType="end"/>
            </w:r>
          </w:hyperlink>
        </w:p>
        <w:p w14:paraId="7E06F7A6" w14:textId="7F1BA21E" w:rsidR="007C7AB8" w:rsidRPr="00FF756A" w:rsidRDefault="008A279C">
          <w:pPr>
            <w:pStyle w:val="TOC5"/>
            <w:tabs>
              <w:tab w:val="left" w:pos="1945"/>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183" w:history="1">
            <w:r w:rsidR="007C7AB8" w:rsidRPr="00FF756A">
              <w:rPr>
                <w:rStyle w:val="Hyperlink"/>
                <w:rFonts w:ascii="Times New Roman" w:hAnsi="Times New Roman" w:cs="Times New Roman"/>
                <w:noProof/>
              </w:rPr>
              <w:t>1.2.2.7.3.</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hAnsi="Times New Roman" w:cs="Times New Roman"/>
                <w:noProof/>
              </w:rPr>
              <w:t>Interkoneksioni i energjisë elektrike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_Toc183639183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80</w:t>
            </w:r>
            <w:r w:rsidR="007C7AB8" w:rsidRPr="00FF756A">
              <w:rPr>
                <w:rFonts w:ascii="Times New Roman" w:hAnsi="Times New Roman" w:cs="Times New Roman"/>
                <w:noProof/>
                <w:webHidden/>
              </w:rPr>
              <w:fldChar w:fldCharType="end"/>
            </w:r>
          </w:hyperlink>
        </w:p>
        <w:p w14:paraId="6C578A6C" w14:textId="625C1D7F" w:rsidR="007C7AB8" w:rsidRPr="00FF756A" w:rsidRDefault="008A279C">
          <w:pPr>
            <w:pStyle w:val="TOC5"/>
            <w:tabs>
              <w:tab w:val="left" w:pos="1945"/>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184" w:history="1">
            <w:r w:rsidR="007C7AB8" w:rsidRPr="00FF756A">
              <w:rPr>
                <w:rStyle w:val="Hyperlink"/>
                <w:rFonts w:ascii="Times New Roman" w:hAnsi="Times New Roman" w:cs="Times New Roman"/>
                <w:noProof/>
              </w:rPr>
              <w:t>1.2.2.7.4.</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hAnsi="Times New Roman" w:cs="Times New Roman"/>
                <w:noProof/>
              </w:rPr>
              <w:t>Infrastruktura e transmetimit të energjisë</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_Toc183639184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81</w:t>
            </w:r>
            <w:r w:rsidR="007C7AB8" w:rsidRPr="00FF756A">
              <w:rPr>
                <w:rFonts w:ascii="Times New Roman" w:hAnsi="Times New Roman" w:cs="Times New Roman"/>
                <w:noProof/>
                <w:webHidden/>
              </w:rPr>
              <w:fldChar w:fldCharType="end"/>
            </w:r>
          </w:hyperlink>
        </w:p>
        <w:p w14:paraId="75663975" w14:textId="50C97EDC" w:rsidR="007C7AB8" w:rsidRPr="00FF756A" w:rsidRDefault="008A279C">
          <w:pPr>
            <w:pStyle w:val="TOC5"/>
            <w:tabs>
              <w:tab w:val="left" w:pos="1945"/>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185" w:history="1">
            <w:r w:rsidR="007C7AB8" w:rsidRPr="00FF756A">
              <w:rPr>
                <w:rStyle w:val="Hyperlink"/>
                <w:rFonts w:ascii="Times New Roman" w:hAnsi="Times New Roman" w:cs="Times New Roman"/>
                <w:noProof/>
              </w:rPr>
              <w:t>1.2.2.7.5.</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hAnsi="Times New Roman" w:cs="Times New Roman"/>
                <w:noProof/>
              </w:rPr>
              <w:t>Tregjet e energjisë elektrike dhe gazit, çmimet e energjisë</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_Toc183639185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85</w:t>
            </w:r>
            <w:r w:rsidR="007C7AB8" w:rsidRPr="00FF756A">
              <w:rPr>
                <w:rFonts w:ascii="Times New Roman" w:hAnsi="Times New Roman" w:cs="Times New Roman"/>
                <w:noProof/>
                <w:webHidden/>
              </w:rPr>
              <w:fldChar w:fldCharType="end"/>
            </w:r>
          </w:hyperlink>
        </w:p>
        <w:p w14:paraId="6DB730D1" w14:textId="693CE3CC" w:rsidR="007C7AB8" w:rsidRPr="00FF756A" w:rsidRDefault="008A279C">
          <w:pPr>
            <w:pStyle w:val="TOC5"/>
            <w:tabs>
              <w:tab w:val="left" w:pos="1945"/>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186" w:history="1">
            <w:r w:rsidR="007C7AB8" w:rsidRPr="00FF756A">
              <w:rPr>
                <w:rStyle w:val="Hyperlink"/>
                <w:rFonts w:ascii="Times New Roman" w:hAnsi="Times New Roman" w:cs="Times New Roman"/>
                <w:noProof/>
              </w:rPr>
              <w:t>1.2.2.7.6.</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hAnsi="Times New Roman" w:cs="Times New Roman"/>
                <w:noProof/>
              </w:rPr>
              <w:t>Vlerësimi i politikave dhe masave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_Toc183639186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87</w:t>
            </w:r>
            <w:r w:rsidR="007C7AB8" w:rsidRPr="00FF756A">
              <w:rPr>
                <w:rFonts w:ascii="Times New Roman" w:hAnsi="Times New Roman" w:cs="Times New Roman"/>
                <w:noProof/>
                <w:webHidden/>
              </w:rPr>
              <w:fldChar w:fldCharType="end"/>
            </w:r>
          </w:hyperlink>
        </w:p>
        <w:p w14:paraId="27D8B0BF" w14:textId="1BCEC094" w:rsidR="007C7AB8" w:rsidRPr="00FF756A" w:rsidRDefault="008A279C">
          <w:pPr>
            <w:pStyle w:val="TOC5"/>
            <w:tabs>
              <w:tab w:val="left" w:pos="1945"/>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187" w:history="1">
            <w:r w:rsidR="007C7AB8" w:rsidRPr="00FF756A">
              <w:rPr>
                <w:rStyle w:val="Hyperlink"/>
                <w:rFonts w:ascii="Times New Roman" w:hAnsi="Times New Roman" w:cs="Times New Roman"/>
                <w:noProof/>
              </w:rPr>
              <w:t>1.2.2.7.7.</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hAnsi="Times New Roman" w:cs="Times New Roman"/>
                <w:noProof/>
              </w:rPr>
              <w:t>Rrjetet transevropiane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_Toc183639187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89</w:t>
            </w:r>
            <w:r w:rsidR="007C7AB8" w:rsidRPr="00FF756A">
              <w:rPr>
                <w:rFonts w:ascii="Times New Roman" w:hAnsi="Times New Roman" w:cs="Times New Roman"/>
                <w:noProof/>
                <w:webHidden/>
              </w:rPr>
              <w:fldChar w:fldCharType="end"/>
            </w:r>
          </w:hyperlink>
        </w:p>
        <w:p w14:paraId="3F015BBD" w14:textId="15F0DB0D" w:rsidR="007C7AB8" w:rsidRPr="00FF756A" w:rsidRDefault="008A279C">
          <w:pPr>
            <w:pStyle w:val="TOC4"/>
            <w:tabs>
              <w:tab w:val="left" w:pos="176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188" w:history="1">
            <w:r w:rsidR="007C7AB8" w:rsidRPr="00FF756A">
              <w:rPr>
                <w:rStyle w:val="Hyperlink"/>
                <w:rFonts w:ascii="Times New Roman" w:hAnsi="Times New Roman" w:cs="Times New Roman"/>
                <w:noProof/>
              </w:rPr>
              <w:t>1.2.2.8.</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hAnsi="Times New Roman" w:cs="Times New Roman"/>
                <w:noProof/>
              </w:rPr>
              <w:t>Dimensioni i kërkimit, inovacionit dhe konkurrencës</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_Toc183639188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90</w:t>
            </w:r>
            <w:r w:rsidR="007C7AB8" w:rsidRPr="00FF756A">
              <w:rPr>
                <w:rFonts w:ascii="Times New Roman" w:hAnsi="Times New Roman" w:cs="Times New Roman"/>
                <w:noProof/>
                <w:webHidden/>
              </w:rPr>
              <w:fldChar w:fldCharType="end"/>
            </w:r>
          </w:hyperlink>
        </w:p>
        <w:p w14:paraId="32293F06" w14:textId="3146F44A"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189" w:history="1">
            <w:r w:rsidR="007C7AB8" w:rsidRPr="00FF756A">
              <w:rPr>
                <w:rStyle w:val="Hyperlink"/>
                <w:noProof/>
              </w:rPr>
              <w:t>1.2.3.</w:t>
            </w:r>
            <w:r w:rsidR="007C7AB8" w:rsidRPr="00FF756A">
              <w:rPr>
                <w:rFonts w:eastAsiaTheme="minorEastAsia"/>
                <w:noProof/>
                <w:kern w:val="2"/>
                <w:sz w:val="24"/>
                <w:szCs w:val="24"/>
                <w:lang w:val="en-US"/>
                <w14:ligatures w14:val="standardContextual"/>
              </w:rPr>
              <w:tab/>
            </w:r>
            <w:r w:rsidR="007C7AB8" w:rsidRPr="00FF756A">
              <w:rPr>
                <w:rStyle w:val="Hyperlink"/>
                <w:noProof/>
              </w:rPr>
              <w:t>Çështjet kryesore të rëndësisë ndërkufitare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_Toc183639189 \h </w:instrText>
            </w:r>
            <w:r w:rsidR="007C7AB8" w:rsidRPr="00FF756A">
              <w:rPr>
                <w:noProof/>
                <w:webHidden/>
              </w:rPr>
            </w:r>
            <w:r w:rsidR="007C7AB8" w:rsidRPr="00FF756A">
              <w:rPr>
                <w:noProof/>
                <w:webHidden/>
              </w:rPr>
              <w:fldChar w:fldCharType="separate"/>
            </w:r>
            <w:r w:rsidR="007C7AB8" w:rsidRPr="00FF756A">
              <w:rPr>
                <w:noProof/>
                <w:webHidden/>
              </w:rPr>
              <w:t>92</w:t>
            </w:r>
            <w:r w:rsidR="007C7AB8" w:rsidRPr="00FF756A">
              <w:rPr>
                <w:noProof/>
                <w:webHidden/>
              </w:rPr>
              <w:fldChar w:fldCharType="end"/>
            </w:r>
          </w:hyperlink>
        </w:p>
        <w:p w14:paraId="73638917" w14:textId="498D7AF3"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190" w:history="1">
            <w:r w:rsidR="007C7AB8" w:rsidRPr="00FF756A">
              <w:rPr>
                <w:rStyle w:val="Hyperlink"/>
                <w:noProof/>
              </w:rPr>
              <w:t>1.2.4</w:t>
            </w:r>
            <w:r w:rsidR="007C7AB8" w:rsidRPr="00FF756A">
              <w:rPr>
                <w:rFonts w:eastAsiaTheme="minorEastAsia"/>
                <w:noProof/>
                <w:kern w:val="2"/>
                <w:sz w:val="24"/>
                <w:szCs w:val="24"/>
                <w:lang w:val="en-US"/>
                <w14:ligatures w14:val="standardContextual"/>
              </w:rPr>
              <w:tab/>
            </w:r>
            <w:r w:rsidR="007C7AB8" w:rsidRPr="00FF756A">
              <w:rPr>
                <w:rStyle w:val="Hyperlink"/>
                <w:noProof/>
              </w:rPr>
              <w:t>Struktura administrative e zbatimit të politikave kombëtare për energjinë dhe klimën</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_Toc183639190 \h </w:instrText>
            </w:r>
            <w:r w:rsidR="007C7AB8" w:rsidRPr="00FF756A">
              <w:rPr>
                <w:noProof/>
                <w:webHidden/>
              </w:rPr>
            </w:r>
            <w:r w:rsidR="007C7AB8" w:rsidRPr="00FF756A">
              <w:rPr>
                <w:noProof/>
                <w:webHidden/>
              </w:rPr>
              <w:fldChar w:fldCharType="separate"/>
            </w:r>
            <w:r w:rsidR="007C7AB8" w:rsidRPr="00FF756A">
              <w:rPr>
                <w:noProof/>
                <w:webHidden/>
              </w:rPr>
              <w:t>96</w:t>
            </w:r>
            <w:r w:rsidR="007C7AB8" w:rsidRPr="00FF756A">
              <w:rPr>
                <w:noProof/>
                <w:webHidden/>
              </w:rPr>
              <w:fldChar w:fldCharType="end"/>
            </w:r>
          </w:hyperlink>
        </w:p>
        <w:p w14:paraId="4C8F353C" w14:textId="3F1CE686" w:rsidR="007C7AB8" w:rsidRPr="00FF756A" w:rsidRDefault="008A279C">
          <w:pPr>
            <w:pStyle w:val="TOC2"/>
            <w:tabs>
              <w:tab w:val="right" w:leader="dot" w:pos="9062"/>
            </w:tabs>
            <w:rPr>
              <w:rFonts w:eastAsiaTheme="minorEastAsia"/>
              <w:noProof/>
              <w:kern w:val="2"/>
              <w:sz w:val="24"/>
              <w:szCs w:val="24"/>
              <w:lang w:val="en-US"/>
              <w14:ligatures w14:val="standardContextual"/>
            </w:rPr>
          </w:pPr>
          <w:hyperlink w:anchor="_Toc183639191" w:history="1">
            <w:r w:rsidR="007C7AB8" w:rsidRPr="00FF756A">
              <w:rPr>
                <w:rStyle w:val="Hyperlink"/>
                <w:noProof/>
              </w:rPr>
              <w:t>1.3 Konsultimet dhe përfshirja e subjekteve shtetërore dhe rezultati i tyre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_Toc183639191 \h </w:instrText>
            </w:r>
            <w:r w:rsidR="007C7AB8" w:rsidRPr="00FF756A">
              <w:rPr>
                <w:noProof/>
                <w:webHidden/>
              </w:rPr>
            </w:r>
            <w:r w:rsidR="007C7AB8" w:rsidRPr="00FF756A">
              <w:rPr>
                <w:noProof/>
                <w:webHidden/>
              </w:rPr>
              <w:fldChar w:fldCharType="separate"/>
            </w:r>
            <w:r w:rsidR="007C7AB8" w:rsidRPr="00FF756A">
              <w:rPr>
                <w:noProof/>
                <w:webHidden/>
              </w:rPr>
              <w:t>97</w:t>
            </w:r>
            <w:r w:rsidR="007C7AB8" w:rsidRPr="00FF756A">
              <w:rPr>
                <w:noProof/>
                <w:webHidden/>
              </w:rPr>
              <w:fldChar w:fldCharType="end"/>
            </w:r>
          </w:hyperlink>
        </w:p>
        <w:p w14:paraId="2CFA1EA2" w14:textId="6BE513B9"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192" w:history="1">
            <w:r w:rsidR="007C7AB8" w:rsidRPr="00FF756A">
              <w:rPr>
                <w:rStyle w:val="Hyperlink"/>
                <w:noProof/>
              </w:rPr>
              <w:t>1.3.1</w:t>
            </w:r>
            <w:r w:rsidR="007C7AB8" w:rsidRPr="00FF756A">
              <w:rPr>
                <w:rFonts w:eastAsiaTheme="minorEastAsia"/>
                <w:noProof/>
                <w:kern w:val="2"/>
                <w:sz w:val="24"/>
                <w:szCs w:val="24"/>
                <w:lang w:val="en-US"/>
                <w14:ligatures w14:val="standardContextual"/>
              </w:rPr>
              <w:tab/>
            </w:r>
            <w:r w:rsidR="007C7AB8" w:rsidRPr="00FF756A">
              <w:rPr>
                <w:rStyle w:val="Hyperlink"/>
                <w:noProof/>
              </w:rPr>
              <w:t>Përfshirja e Kuvendit të Shqipërisë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_Toc183639192 \h </w:instrText>
            </w:r>
            <w:r w:rsidR="007C7AB8" w:rsidRPr="00FF756A">
              <w:rPr>
                <w:noProof/>
                <w:webHidden/>
              </w:rPr>
            </w:r>
            <w:r w:rsidR="007C7AB8" w:rsidRPr="00FF756A">
              <w:rPr>
                <w:noProof/>
                <w:webHidden/>
              </w:rPr>
              <w:fldChar w:fldCharType="separate"/>
            </w:r>
            <w:r w:rsidR="007C7AB8" w:rsidRPr="00FF756A">
              <w:rPr>
                <w:noProof/>
                <w:webHidden/>
              </w:rPr>
              <w:t>98</w:t>
            </w:r>
            <w:r w:rsidR="007C7AB8" w:rsidRPr="00FF756A">
              <w:rPr>
                <w:noProof/>
                <w:webHidden/>
              </w:rPr>
              <w:fldChar w:fldCharType="end"/>
            </w:r>
          </w:hyperlink>
        </w:p>
        <w:p w14:paraId="1275EC8B" w14:textId="360DD63F"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193" w:history="1">
            <w:r w:rsidR="007C7AB8" w:rsidRPr="00FF756A">
              <w:rPr>
                <w:rStyle w:val="Hyperlink"/>
                <w:noProof/>
              </w:rPr>
              <w:t>1.3.2</w:t>
            </w:r>
            <w:r w:rsidR="007C7AB8" w:rsidRPr="00FF756A">
              <w:rPr>
                <w:rFonts w:eastAsiaTheme="minorEastAsia"/>
                <w:noProof/>
                <w:kern w:val="2"/>
                <w:sz w:val="24"/>
                <w:szCs w:val="24"/>
                <w:lang w:val="en-US"/>
                <w14:ligatures w14:val="standardContextual"/>
              </w:rPr>
              <w:tab/>
            </w:r>
            <w:r w:rsidR="007C7AB8" w:rsidRPr="00FF756A">
              <w:rPr>
                <w:rStyle w:val="Hyperlink"/>
                <w:noProof/>
              </w:rPr>
              <w:t>Përfshirja e autoriteteve vendore dhe rajonale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_Toc183639193 \h </w:instrText>
            </w:r>
            <w:r w:rsidR="007C7AB8" w:rsidRPr="00FF756A">
              <w:rPr>
                <w:noProof/>
                <w:webHidden/>
              </w:rPr>
            </w:r>
            <w:r w:rsidR="007C7AB8" w:rsidRPr="00FF756A">
              <w:rPr>
                <w:noProof/>
                <w:webHidden/>
              </w:rPr>
              <w:fldChar w:fldCharType="separate"/>
            </w:r>
            <w:r w:rsidR="007C7AB8" w:rsidRPr="00FF756A">
              <w:rPr>
                <w:noProof/>
                <w:webHidden/>
              </w:rPr>
              <w:t>98</w:t>
            </w:r>
            <w:r w:rsidR="007C7AB8" w:rsidRPr="00FF756A">
              <w:rPr>
                <w:noProof/>
                <w:webHidden/>
              </w:rPr>
              <w:fldChar w:fldCharType="end"/>
            </w:r>
          </w:hyperlink>
        </w:p>
        <w:p w14:paraId="5100531B" w14:textId="22465E31"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194" w:history="1">
            <w:r w:rsidR="007C7AB8" w:rsidRPr="00FF756A">
              <w:rPr>
                <w:rStyle w:val="Hyperlink"/>
                <w:noProof/>
              </w:rPr>
              <w:t>1.3.3</w:t>
            </w:r>
            <w:r w:rsidR="007C7AB8" w:rsidRPr="00FF756A">
              <w:rPr>
                <w:rFonts w:eastAsiaTheme="minorEastAsia"/>
                <w:noProof/>
                <w:kern w:val="2"/>
                <w:sz w:val="24"/>
                <w:szCs w:val="24"/>
                <w:lang w:val="en-US"/>
                <w14:ligatures w14:val="standardContextual"/>
              </w:rPr>
              <w:tab/>
            </w:r>
            <w:r w:rsidR="007C7AB8" w:rsidRPr="00FF756A">
              <w:rPr>
                <w:rStyle w:val="Hyperlink"/>
                <w:noProof/>
              </w:rPr>
              <w:t>Konsultimet e grupeve të interesit, duke përfshirë partnerët socialë, dhe angazhimi i shoqërisë civile dhe publikut të gjerë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_Toc183639194 \h </w:instrText>
            </w:r>
            <w:r w:rsidR="007C7AB8" w:rsidRPr="00FF756A">
              <w:rPr>
                <w:noProof/>
                <w:webHidden/>
              </w:rPr>
            </w:r>
            <w:r w:rsidR="007C7AB8" w:rsidRPr="00FF756A">
              <w:rPr>
                <w:noProof/>
                <w:webHidden/>
              </w:rPr>
              <w:fldChar w:fldCharType="separate"/>
            </w:r>
            <w:r w:rsidR="007C7AB8" w:rsidRPr="00FF756A">
              <w:rPr>
                <w:noProof/>
                <w:webHidden/>
              </w:rPr>
              <w:t>99</w:t>
            </w:r>
            <w:r w:rsidR="007C7AB8" w:rsidRPr="00FF756A">
              <w:rPr>
                <w:noProof/>
                <w:webHidden/>
              </w:rPr>
              <w:fldChar w:fldCharType="end"/>
            </w:r>
          </w:hyperlink>
        </w:p>
        <w:p w14:paraId="14811F02" w14:textId="586855FB"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195" w:history="1">
            <w:r w:rsidR="007C7AB8" w:rsidRPr="00FF756A">
              <w:rPr>
                <w:rStyle w:val="Hyperlink"/>
                <w:noProof/>
              </w:rPr>
              <w:t>1.3.4</w:t>
            </w:r>
            <w:r w:rsidR="007C7AB8" w:rsidRPr="00FF756A">
              <w:rPr>
                <w:rFonts w:eastAsiaTheme="minorEastAsia"/>
                <w:noProof/>
                <w:kern w:val="2"/>
                <w:sz w:val="24"/>
                <w:szCs w:val="24"/>
                <w:lang w:val="en-US"/>
                <w14:ligatures w14:val="standardContextual"/>
              </w:rPr>
              <w:tab/>
            </w:r>
            <w:r w:rsidR="007C7AB8" w:rsidRPr="00FF756A">
              <w:rPr>
                <w:rStyle w:val="Hyperlink"/>
                <w:noProof/>
              </w:rPr>
              <w:t>Konsultimet e palëve të tjera kontraktuese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_Toc183639195 \h </w:instrText>
            </w:r>
            <w:r w:rsidR="007C7AB8" w:rsidRPr="00FF756A">
              <w:rPr>
                <w:noProof/>
                <w:webHidden/>
              </w:rPr>
            </w:r>
            <w:r w:rsidR="007C7AB8" w:rsidRPr="00FF756A">
              <w:rPr>
                <w:noProof/>
                <w:webHidden/>
              </w:rPr>
              <w:fldChar w:fldCharType="separate"/>
            </w:r>
            <w:r w:rsidR="007C7AB8" w:rsidRPr="00FF756A">
              <w:rPr>
                <w:noProof/>
                <w:webHidden/>
              </w:rPr>
              <w:t>99</w:t>
            </w:r>
            <w:r w:rsidR="007C7AB8" w:rsidRPr="00FF756A">
              <w:rPr>
                <w:noProof/>
                <w:webHidden/>
              </w:rPr>
              <w:fldChar w:fldCharType="end"/>
            </w:r>
          </w:hyperlink>
        </w:p>
        <w:p w14:paraId="388F4E4B" w14:textId="7357A69D"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196" w:history="1">
            <w:r w:rsidR="007C7AB8" w:rsidRPr="00FF756A">
              <w:rPr>
                <w:rStyle w:val="Hyperlink"/>
                <w:noProof/>
              </w:rPr>
              <w:t>1.3.5. Procesi i vazhdueshëm me Sekretariatin e Komunitetit të Energjisë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_Toc183639196 \h </w:instrText>
            </w:r>
            <w:r w:rsidR="007C7AB8" w:rsidRPr="00FF756A">
              <w:rPr>
                <w:noProof/>
                <w:webHidden/>
              </w:rPr>
            </w:r>
            <w:r w:rsidR="007C7AB8" w:rsidRPr="00FF756A">
              <w:rPr>
                <w:noProof/>
                <w:webHidden/>
              </w:rPr>
              <w:fldChar w:fldCharType="separate"/>
            </w:r>
            <w:r w:rsidR="007C7AB8" w:rsidRPr="00FF756A">
              <w:rPr>
                <w:noProof/>
                <w:webHidden/>
              </w:rPr>
              <w:t>99</w:t>
            </w:r>
            <w:r w:rsidR="007C7AB8" w:rsidRPr="00FF756A">
              <w:rPr>
                <w:noProof/>
                <w:webHidden/>
              </w:rPr>
              <w:fldChar w:fldCharType="end"/>
            </w:r>
          </w:hyperlink>
        </w:p>
        <w:p w14:paraId="6CBB606B" w14:textId="3BD070A9"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197" w:history="1">
            <w:r w:rsidR="007C7AB8" w:rsidRPr="00FF756A">
              <w:rPr>
                <w:rStyle w:val="Hyperlink"/>
                <w:noProof/>
              </w:rPr>
              <w:t>1.4</w:t>
            </w:r>
            <w:r w:rsidR="007C7AB8" w:rsidRPr="00FF756A">
              <w:rPr>
                <w:rFonts w:eastAsiaTheme="minorEastAsia"/>
                <w:noProof/>
                <w:kern w:val="2"/>
                <w:sz w:val="24"/>
                <w:szCs w:val="24"/>
                <w:lang w:val="en-US"/>
                <w14:ligatures w14:val="standardContextual"/>
              </w:rPr>
              <w:tab/>
            </w:r>
            <w:r w:rsidR="007C7AB8" w:rsidRPr="00FF756A">
              <w:rPr>
                <w:rStyle w:val="Hyperlink"/>
                <w:noProof/>
              </w:rPr>
              <w:t>Bashkëpunimi rajonal në përgatitjen e planit</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_Toc183639197 \h </w:instrText>
            </w:r>
            <w:r w:rsidR="007C7AB8" w:rsidRPr="00FF756A">
              <w:rPr>
                <w:noProof/>
                <w:webHidden/>
              </w:rPr>
            </w:r>
            <w:r w:rsidR="007C7AB8" w:rsidRPr="00FF756A">
              <w:rPr>
                <w:noProof/>
                <w:webHidden/>
              </w:rPr>
              <w:fldChar w:fldCharType="separate"/>
            </w:r>
            <w:r w:rsidR="007C7AB8" w:rsidRPr="00FF756A">
              <w:rPr>
                <w:noProof/>
                <w:webHidden/>
              </w:rPr>
              <w:t>100</w:t>
            </w:r>
            <w:r w:rsidR="007C7AB8" w:rsidRPr="00FF756A">
              <w:rPr>
                <w:noProof/>
                <w:webHidden/>
              </w:rPr>
              <w:fldChar w:fldCharType="end"/>
            </w:r>
          </w:hyperlink>
        </w:p>
        <w:p w14:paraId="6B6EEC85" w14:textId="2BFCF694"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198" w:history="1">
            <w:r w:rsidR="007C7AB8" w:rsidRPr="00FF756A">
              <w:rPr>
                <w:rStyle w:val="Hyperlink"/>
                <w:noProof/>
              </w:rPr>
              <w:t>1.4.1 Elementet që i nënshtrohen planifikimit të përbashkët ose të koordinuar me palë të tjera kontraktuese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_Toc183639198 \h </w:instrText>
            </w:r>
            <w:r w:rsidR="007C7AB8" w:rsidRPr="00FF756A">
              <w:rPr>
                <w:noProof/>
                <w:webHidden/>
              </w:rPr>
            </w:r>
            <w:r w:rsidR="007C7AB8" w:rsidRPr="00FF756A">
              <w:rPr>
                <w:noProof/>
                <w:webHidden/>
              </w:rPr>
              <w:fldChar w:fldCharType="separate"/>
            </w:r>
            <w:r w:rsidR="007C7AB8" w:rsidRPr="00FF756A">
              <w:rPr>
                <w:noProof/>
                <w:webHidden/>
              </w:rPr>
              <w:t>100</w:t>
            </w:r>
            <w:r w:rsidR="007C7AB8" w:rsidRPr="00FF756A">
              <w:rPr>
                <w:noProof/>
                <w:webHidden/>
              </w:rPr>
              <w:fldChar w:fldCharType="end"/>
            </w:r>
          </w:hyperlink>
        </w:p>
        <w:p w14:paraId="197489B4" w14:textId="12BB7DFD"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199" w:history="1">
            <w:r w:rsidR="007C7AB8" w:rsidRPr="00FF756A">
              <w:rPr>
                <w:rStyle w:val="Hyperlink"/>
                <w:noProof/>
              </w:rPr>
              <w:t>1.4.2</w:t>
            </w:r>
            <w:r w:rsidR="007C7AB8" w:rsidRPr="00FF756A">
              <w:rPr>
                <w:rFonts w:eastAsiaTheme="minorEastAsia"/>
                <w:noProof/>
                <w:kern w:val="2"/>
                <w:sz w:val="24"/>
                <w:szCs w:val="24"/>
                <w:lang w:val="en-US"/>
                <w14:ligatures w14:val="standardContextual"/>
              </w:rPr>
              <w:tab/>
            </w:r>
            <w:r w:rsidR="007C7AB8" w:rsidRPr="00FF756A">
              <w:rPr>
                <w:rStyle w:val="Hyperlink"/>
                <w:noProof/>
              </w:rPr>
              <w:t>Shpjegim mbi mënyrën se si është trajtuar bashkëpunimi rajonal në plan</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_Toc183639199 \h </w:instrText>
            </w:r>
            <w:r w:rsidR="007C7AB8" w:rsidRPr="00FF756A">
              <w:rPr>
                <w:noProof/>
                <w:webHidden/>
              </w:rPr>
            </w:r>
            <w:r w:rsidR="007C7AB8" w:rsidRPr="00FF756A">
              <w:rPr>
                <w:noProof/>
                <w:webHidden/>
              </w:rPr>
              <w:fldChar w:fldCharType="separate"/>
            </w:r>
            <w:r w:rsidR="007C7AB8" w:rsidRPr="00FF756A">
              <w:rPr>
                <w:noProof/>
                <w:webHidden/>
              </w:rPr>
              <w:t>101</w:t>
            </w:r>
            <w:r w:rsidR="007C7AB8" w:rsidRPr="00FF756A">
              <w:rPr>
                <w:noProof/>
                <w:webHidden/>
              </w:rPr>
              <w:fldChar w:fldCharType="end"/>
            </w:r>
          </w:hyperlink>
        </w:p>
        <w:p w14:paraId="26D37AB6" w14:textId="4AD98BAB" w:rsidR="007C7AB8" w:rsidRPr="00FF756A" w:rsidRDefault="008A279C">
          <w:pPr>
            <w:pStyle w:val="TOC1"/>
            <w:tabs>
              <w:tab w:val="left" w:pos="440"/>
              <w:tab w:val="right" w:leader="dot" w:pos="9062"/>
            </w:tabs>
            <w:rPr>
              <w:rFonts w:eastAsiaTheme="minorEastAsia"/>
              <w:noProof/>
              <w:kern w:val="2"/>
              <w:sz w:val="24"/>
              <w:szCs w:val="24"/>
              <w:lang w:val="en-US"/>
              <w14:ligatures w14:val="standardContextual"/>
            </w:rPr>
          </w:pPr>
          <w:hyperlink w:anchor="_Toc183639200" w:history="1">
            <w:r w:rsidR="007C7AB8" w:rsidRPr="00FF756A">
              <w:rPr>
                <w:rStyle w:val="Hyperlink"/>
                <w:noProof/>
              </w:rPr>
              <w:t>2.</w:t>
            </w:r>
            <w:r w:rsidR="007C7AB8" w:rsidRPr="00FF756A">
              <w:rPr>
                <w:rFonts w:eastAsiaTheme="minorEastAsia"/>
                <w:noProof/>
                <w:kern w:val="2"/>
                <w:sz w:val="24"/>
                <w:szCs w:val="24"/>
                <w:lang w:val="en-US"/>
                <w14:ligatures w14:val="standardContextual"/>
              </w:rPr>
              <w:tab/>
            </w:r>
            <w:r w:rsidR="007C7AB8" w:rsidRPr="00FF756A">
              <w:rPr>
                <w:rStyle w:val="Hyperlink"/>
                <w:noProof/>
              </w:rPr>
              <w:t>SYNIMET DHE OBJEKTIVAT KOMBËTARE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_Toc183639200 \h </w:instrText>
            </w:r>
            <w:r w:rsidR="007C7AB8" w:rsidRPr="00FF756A">
              <w:rPr>
                <w:noProof/>
                <w:webHidden/>
              </w:rPr>
            </w:r>
            <w:r w:rsidR="007C7AB8" w:rsidRPr="00FF756A">
              <w:rPr>
                <w:noProof/>
                <w:webHidden/>
              </w:rPr>
              <w:fldChar w:fldCharType="separate"/>
            </w:r>
            <w:r w:rsidR="007C7AB8" w:rsidRPr="00FF756A">
              <w:rPr>
                <w:noProof/>
                <w:webHidden/>
              </w:rPr>
              <w:t>102</w:t>
            </w:r>
            <w:r w:rsidR="007C7AB8" w:rsidRPr="00FF756A">
              <w:rPr>
                <w:noProof/>
                <w:webHidden/>
              </w:rPr>
              <w:fldChar w:fldCharType="end"/>
            </w:r>
          </w:hyperlink>
        </w:p>
        <w:p w14:paraId="1A175410" w14:textId="1C56FB4B" w:rsidR="007C7AB8" w:rsidRPr="00FF756A" w:rsidRDefault="008A279C">
          <w:pPr>
            <w:pStyle w:val="TOC2"/>
            <w:tabs>
              <w:tab w:val="right" w:leader="dot" w:pos="9062"/>
            </w:tabs>
            <w:rPr>
              <w:rFonts w:eastAsiaTheme="minorEastAsia"/>
              <w:noProof/>
              <w:kern w:val="2"/>
              <w:sz w:val="24"/>
              <w:szCs w:val="24"/>
              <w:lang w:val="en-US"/>
              <w14:ligatures w14:val="standardContextual"/>
            </w:rPr>
          </w:pPr>
          <w:hyperlink w:anchor="_Toc183639201" w:history="1">
            <w:r w:rsidR="007C7AB8" w:rsidRPr="00FF756A">
              <w:rPr>
                <w:rStyle w:val="Hyperlink"/>
                <w:noProof/>
              </w:rPr>
              <w:t>2.1</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_Toc183639201 \h </w:instrText>
            </w:r>
            <w:r w:rsidR="007C7AB8" w:rsidRPr="00FF756A">
              <w:rPr>
                <w:noProof/>
                <w:webHidden/>
              </w:rPr>
            </w:r>
            <w:r w:rsidR="007C7AB8" w:rsidRPr="00FF756A">
              <w:rPr>
                <w:noProof/>
                <w:webHidden/>
              </w:rPr>
              <w:fldChar w:fldCharType="separate"/>
            </w:r>
            <w:r w:rsidR="007C7AB8" w:rsidRPr="00FF756A">
              <w:rPr>
                <w:noProof/>
                <w:webHidden/>
              </w:rPr>
              <w:t>104</w:t>
            </w:r>
            <w:r w:rsidR="007C7AB8" w:rsidRPr="00FF756A">
              <w:rPr>
                <w:noProof/>
                <w:webHidden/>
              </w:rPr>
              <w:fldChar w:fldCharType="end"/>
            </w:r>
          </w:hyperlink>
        </w:p>
        <w:p w14:paraId="0C00A948" w14:textId="75EAA168" w:rsidR="007C7AB8" w:rsidRPr="00FF756A" w:rsidRDefault="008A279C" w:rsidP="004A3257">
          <w:pPr>
            <w:pStyle w:val="TOC2"/>
            <w:tabs>
              <w:tab w:val="right" w:leader="dot" w:pos="9062"/>
            </w:tabs>
            <w:ind w:left="0"/>
            <w:rPr>
              <w:rFonts w:eastAsiaTheme="minorEastAsia"/>
              <w:noProof/>
              <w:kern w:val="2"/>
              <w:sz w:val="24"/>
              <w:szCs w:val="24"/>
              <w:lang w:val="en-US"/>
              <w14:ligatures w14:val="standardContextual"/>
            </w:rPr>
          </w:pPr>
          <w:hyperlink w:anchor="_Toc183639202" w:history="1">
            <w:r w:rsidR="007C7AB8" w:rsidRPr="00FF756A">
              <w:rPr>
                <w:rStyle w:val="Hyperlink"/>
                <w:noProof/>
              </w:rPr>
              <w:t>Dimensioni i Dekarbonizimit</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_Toc183639202 \h </w:instrText>
            </w:r>
            <w:r w:rsidR="007C7AB8" w:rsidRPr="00FF756A">
              <w:rPr>
                <w:noProof/>
                <w:webHidden/>
              </w:rPr>
            </w:r>
            <w:r w:rsidR="007C7AB8" w:rsidRPr="00FF756A">
              <w:rPr>
                <w:noProof/>
                <w:webHidden/>
              </w:rPr>
              <w:fldChar w:fldCharType="separate"/>
            </w:r>
            <w:r w:rsidR="007C7AB8" w:rsidRPr="00FF756A">
              <w:rPr>
                <w:noProof/>
                <w:webHidden/>
              </w:rPr>
              <w:t>104</w:t>
            </w:r>
            <w:r w:rsidR="007C7AB8" w:rsidRPr="00FF756A">
              <w:rPr>
                <w:noProof/>
                <w:webHidden/>
              </w:rPr>
              <w:fldChar w:fldCharType="end"/>
            </w:r>
          </w:hyperlink>
        </w:p>
        <w:p w14:paraId="106ADCDE" w14:textId="798417D2"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03" w:history="1">
            <w:r w:rsidR="007C7AB8" w:rsidRPr="00FF756A">
              <w:rPr>
                <w:rStyle w:val="Hyperlink"/>
                <w:noProof/>
              </w:rPr>
              <w:t>2.1.1. Shkarkimet dhe eleminimi i GES-ve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_Toc183639203 \h </w:instrText>
            </w:r>
            <w:r w:rsidR="007C7AB8" w:rsidRPr="00FF756A">
              <w:rPr>
                <w:noProof/>
                <w:webHidden/>
              </w:rPr>
            </w:r>
            <w:r w:rsidR="007C7AB8" w:rsidRPr="00FF756A">
              <w:rPr>
                <w:noProof/>
                <w:webHidden/>
              </w:rPr>
              <w:fldChar w:fldCharType="separate"/>
            </w:r>
            <w:r w:rsidR="007C7AB8" w:rsidRPr="00FF756A">
              <w:rPr>
                <w:noProof/>
                <w:webHidden/>
              </w:rPr>
              <w:t>104</w:t>
            </w:r>
            <w:r w:rsidR="007C7AB8" w:rsidRPr="00FF756A">
              <w:rPr>
                <w:noProof/>
                <w:webHidden/>
              </w:rPr>
              <w:fldChar w:fldCharType="end"/>
            </w:r>
          </w:hyperlink>
        </w:p>
        <w:p w14:paraId="6EA7DC7B" w14:textId="79687071"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04" w:history="1">
            <w:r w:rsidR="007C7AB8" w:rsidRPr="00FF756A">
              <w:rPr>
                <w:rStyle w:val="Hyperlink"/>
                <w:noProof/>
              </w:rPr>
              <w:t>2.1.2 Energjia e Rinovueshme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_Toc183639204 \h </w:instrText>
            </w:r>
            <w:r w:rsidR="007C7AB8" w:rsidRPr="00FF756A">
              <w:rPr>
                <w:noProof/>
                <w:webHidden/>
              </w:rPr>
            </w:r>
            <w:r w:rsidR="007C7AB8" w:rsidRPr="00FF756A">
              <w:rPr>
                <w:noProof/>
                <w:webHidden/>
              </w:rPr>
              <w:fldChar w:fldCharType="separate"/>
            </w:r>
            <w:r w:rsidR="007C7AB8" w:rsidRPr="00FF756A">
              <w:rPr>
                <w:noProof/>
                <w:webHidden/>
              </w:rPr>
              <w:t>106</w:t>
            </w:r>
            <w:r w:rsidR="007C7AB8" w:rsidRPr="00FF756A">
              <w:rPr>
                <w:noProof/>
                <w:webHidden/>
              </w:rPr>
              <w:fldChar w:fldCharType="end"/>
            </w:r>
          </w:hyperlink>
        </w:p>
        <w:p w14:paraId="38C23E7D" w14:textId="666B9DA8"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05" w:history="1">
            <w:r w:rsidR="007C7AB8" w:rsidRPr="00FF756A">
              <w:rPr>
                <w:rStyle w:val="Hyperlink"/>
                <w:rFonts w:ascii="Times New Roman" w:hAnsi="Times New Roman" w:cs="Times New Roman"/>
                <w:noProof/>
              </w:rPr>
              <w:t>Trajektoret e parashikuara për energjinë e rinovueshme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_Toc183639205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107</w:t>
            </w:r>
            <w:r w:rsidR="007C7AB8" w:rsidRPr="00FF756A">
              <w:rPr>
                <w:rFonts w:ascii="Times New Roman" w:hAnsi="Times New Roman" w:cs="Times New Roman"/>
                <w:noProof/>
                <w:webHidden/>
              </w:rPr>
              <w:fldChar w:fldCharType="end"/>
            </w:r>
          </w:hyperlink>
        </w:p>
        <w:p w14:paraId="0EE41928" w14:textId="56269A4F"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206" w:history="1">
            <w:r w:rsidR="007C7AB8" w:rsidRPr="00FF756A">
              <w:rPr>
                <w:rStyle w:val="Hyperlink"/>
                <w:noProof/>
              </w:rPr>
              <w:t>2.2</w:t>
            </w:r>
            <w:r w:rsidR="007C7AB8" w:rsidRPr="00FF756A">
              <w:rPr>
                <w:rFonts w:eastAsiaTheme="minorEastAsia"/>
                <w:noProof/>
                <w:kern w:val="2"/>
                <w:sz w:val="24"/>
                <w:szCs w:val="24"/>
                <w:lang w:val="en-US"/>
                <w14:ligatures w14:val="standardContextual"/>
              </w:rPr>
              <w:tab/>
            </w:r>
            <w:r w:rsidR="007C7AB8" w:rsidRPr="00FF756A">
              <w:rPr>
                <w:rStyle w:val="Hyperlink"/>
                <w:noProof/>
              </w:rPr>
              <w:t>Dimensioni i efiçencës së energjisë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_Toc183639206 \h </w:instrText>
            </w:r>
            <w:r w:rsidR="007C7AB8" w:rsidRPr="00FF756A">
              <w:rPr>
                <w:noProof/>
                <w:webHidden/>
              </w:rPr>
            </w:r>
            <w:r w:rsidR="007C7AB8" w:rsidRPr="00FF756A">
              <w:rPr>
                <w:noProof/>
                <w:webHidden/>
              </w:rPr>
              <w:fldChar w:fldCharType="separate"/>
            </w:r>
            <w:r w:rsidR="007C7AB8" w:rsidRPr="00FF756A">
              <w:rPr>
                <w:noProof/>
                <w:webHidden/>
              </w:rPr>
              <w:t>108</w:t>
            </w:r>
            <w:r w:rsidR="007C7AB8" w:rsidRPr="00FF756A">
              <w:rPr>
                <w:noProof/>
                <w:webHidden/>
              </w:rPr>
              <w:fldChar w:fldCharType="end"/>
            </w:r>
          </w:hyperlink>
        </w:p>
        <w:p w14:paraId="5FA5BB8B" w14:textId="0436B5E9"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07" w:history="1">
            <w:r w:rsidR="007C7AB8" w:rsidRPr="00FF756A">
              <w:rPr>
                <w:rStyle w:val="Hyperlink"/>
                <w:rFonts w:ascii="Times New Roman" w:hAnsi="Times New Roman" w:cs="Times New Roman"/>
                <w:noProof/>
              </w:rPr>
              <w:t>2.2.1. Elementet e përcaktuara në nenin 4, germa “b”</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_Toc183639207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108</w:t>
            </w:r>
            <w:r w:rsidR="007C7AB8" w:rsidRPr="00FF756A">
              <w:rPr>
                <w:rFonts w:ascii="Times New Roman" w:hAnsi="Times New Roman" w:cs="Times New Roman"/>
                <w:noProof/>
                <w:webHidden/>
              </w:rPr>
              <w:fldChar w:fldCharType="end"/>
            </w:r>
          </w:hyperlink>
        </w:p>
        <w:p w14:paraId="74189D2F" w14:textId="0B72BD86"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208" w:history="1">
            <w:r w:rsidR="007C7AB8" w:rsidRPr="00FF756A">
              <w:rPr>
                <w:rStyle w:val="Hyperlink"/>
                <w:noProof/>
              </w:rPr>
              <w:t>2.2.2.</w:t>
            </w:r>
            <w:r w:rsidR="007C7AB8" w:rsidRPr="00FF756A">
              <w:rPr>
                <w:rFonts w:eastAsiaTheme="minorEastAsia"/>
                <w:noProof/>
                <w:kern w:val="2"/>
                <w:sz w:val="24"/>
                <w:szCs w:val="24"/>
                <w:lang w:val="en-US"/>
                <w14:ligatures w14:val="standardContextual"/>
              </w:rPr>
              <w:tab/>
            </w:r>
            <w:r w:rsidR="007C7AB8" w:rsidRPr="00FF756A">
              <w:rPr>
                <w:rStyle w:val="Hyperlink"/>
                <w:noProof/>
              </w:rPr>
              <w:t>Strategjia afatgjatë e rinovimit që adreson stokun kombëtar të ndërtesave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_Toc183639208 \h </w:instrText>
            </w:r>
            <w:r w:rsidR="007C7AB8" w:rsidRPr="00FF756A">
              <w:rPr>
                <w:noProof/>
                <w:webHidden/>
              </w:rPr>
            </w:r>
            <w:r w:rsidR="007C7AB8" w:rsidRPr="00FF756A">
              <w:rPr>
                <w:noProof/>
                <w:webHidden/>
              </w:rPr>
              <w:fldChar w:fldCharType="separate"/>
            </w:r>
            <w:r w:rsidR="007C7AB8" w:rsidRPr="00FF756A">
              <w:rPr>
                <w:noProof/>
                <w:webHidden/>
              </w:rPr>
              <w:t>109</w:t>
            </w:r>
            <w:r w:rsidR="007C7AB8" w:rsidRPr="00FF756A">
              <w:rPr>
                <w:noProof/>
                <w:webHidden/>
              </w:rPr>
              <w:fldChar w:fldCharType="end"/>
            </w:r>
          </w:hyperlink>
        </w:p>
        <w:p w14:paraId="6F52FE2C" w14:textId="0C8C77CB"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209" w:history="1">
            <w:r w:rsidR="007C7AB8" w:rsidRPr="00FF756A">
              <w:rPr>
                <w:rStyle w:val="Hyperlink"/>
                <w:noProof/>
              </w:rPr>
              <w:t>2.2.3.</w:t>
            </w:r>
            <w:r w:rsidR="007C7AB8" w:rsidRPr="00FF756A">
              <w:rPr>
                <w:rFonts w:eastAsiaTheme="minorEastAsia"/>
                <w:noProof/>
                <w:kern w:val="2"/>
                <w:sz w:val="24"/>
                <w:szCs w:val="24"/>
                <w:lang w:val="en-US"/>
                <w14:ligatures w14:val="standardContextual"/>
              </w:rPr>
              <w:tab/>
            </w:r>
            <w:r w:rsidR="007C7AB8" w:rsidRPr="00FF756A">
              <w:rPr>
                <w:rStyle w:val="Hyperlink"/>
                <w:noProof/>
              </w:rPr>
              <w:t>Objektiva të tjera kombëtare dhe strategji afatgjata</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_Toc183639209 \h </w:instrText>
            </w:r>
            <w:r w:rsidR="007C7AB8" w:rsidRPr="00FF756A">
              <w:rPr>
                <w:noProof/>
                <w:webHidden/>
              </w:rPr>
            </w:r>
            <w:r w:rsidR="007C7AB8" w:rsidRPr="00FF756A">
              <w:rPr>
                <w:noProof/>
                <w:webHidden/>
              </w:rPr>
              <w:fldChar w:fldCharType="separate"/>
            </w:r>
            <w:r w:rsidR="007C7AB8" w:rsidRPr="00FF756A">
              <w:rPr>
                <w:noProof/>
                <w:webHidden/>
              </w:rPr>
              <w:t>109</w:t>
            </w:r>
            <w:r w:rsidR="007C7AB8" w:rsidRPr="00FF756A">
              <w:rPr>
                <w:noProof/>
                <w:webHidden/>
              </w:rPr>
              <w:fldChar w:fldCharType="end"/>
            </w:r>
          </w:hyperlink>
        </w:p>
        <w:p w14:paraId="5DEDBF9D" w14:textId="1555A02B"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210" w:history="1">
            <w:r w:rsidR="007C7AB8" w:rsidRPr="00FF756A">
              <w:rPr>
                <w:rStyle w:val="Hyperlink"/>
                <w:noProof/>
              </w:rPr>
              <w:t>2.3</w:t>
            </w:r>
            <w:r w:rsidR="007C7AB8" w:rsidRPr="00FF756A">
              <w:rPr>
                <w:rFonts w:eastAsiaTheme="minorEastAsia"/>
                <w:noProof/>
                <w:kern w:val="2"/>
                <w:sz w:val="24"/>
                <w:szCs w:val="24"/>
                <w:lang w:val="en-US"/>
                <w14:ligatures w14:val="standardContextual"/>
              </w:rPr>
              <w:tab/>
            </w:r>
            <w:r w:rsidR="007C7AB8" w:rsidRPr="00FF756A">
              <w:rPr>
                <w:rStyle w:val="Hyperlink"/>
                <w:noProof/>
              </w:rPr>
              <w:t>Dimensioni i Sigurisë së Energjisë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_Toc183639210 \h </w:instrText>
            </w:r>
            <w:r w:rsidR="007C7AB8" w:rsidRPr="00FF756A">
              <w:rPr>
                <w:noProof/>
                <w:webHidden/>
              </w:rPr>
            </w:r>
            <w:r w:rsidR="007C7AB8" w:rsidRPr="00FF756A">
              <w:rPr>
                <w:noProof/>
                <w:webHidden/>
              </w:rPr>
              <w:fldChar w:fldCharType="separate"/>
            </w:r>
            <w:r w:rsidR="007C7AB8" w:rsidRPr="00FF756A">
              <w:rPr>
                <w:noProof/>
                <w:webHidden/>
              </w:rPr>
              <w:t>109</w:t>
            </w:r>
            <w:r w:rsidR="007C7AB8" w:rsidRPr="00FF756A">
              <w:rPr>
                <w:noProof/>
                <w:webHidden/>
              </w:rPr>
              <w:fldChar w:fldCharType="end"/>
            </w:r>
          </w:hyperlink>
        </w:p>
        <w:p w14:paraId="04DCDDF4" w14:textId="4BE5231C"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11" w:history="1">
            <w:r w:rsidR="007C7AB8" w:rsidRPr="00FF756A">
              <w:rPr>
                <w:rStyle w:val="Hyperlink"/>
                <w:rFonts w:ascii="Times New Roman" w:hAnsi="Times New Roman" w:cs="Times New Roman"/>
                <w:noProof/>
              </w:rPr>
              <w:t>2.3.1 Elementet e përcaktuara në nenin 4, germa “c”</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_Toc183639211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109</w:t>
            </w:r>
            <w:r w:rsidR="007C7AB8" w:rsidRPr="00FF756A">
              <w:rPr>
                <w:rFonts w:ascii="Times New Roman" w:hAnsi="Times New Roman" w:cs="Times New Roman"/>
                <w:noProof/>
                <w:webHidden/>
              </w:rPr>
              <w:fldChar w:fldCharType="end"/>
            </w:r>
          </w:hyperlink>
        </w:p>
        <w:p w14:paraId="283B8D0B" w14:textId="65EEEF39"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212" w:history="1">
            <w:r w:rsidR="007C7AB8" w:rsidRPr="00FF756A">
              <w:rPr>
                <w:rStyle w:val="Hyperlink"/>
                <w:noProof/>
              </w:rPr>
              <w:t>2.3.2</w:t>
            </w:r>
            <w:r w:rsidR="007C7AB8" w:rsidRPr="00FF756A">
              <w:rPr>
                <w:rFonts w:eastAsiaTheme="minorEastAsia"/>
                <w:noProof/>
                <w:kern w:val="2"/>
                <w:sz w:val="24"/>
                <w:szCs w:val="24"/>
                <w:lang w:val="en-US"/>
                <w14:ligatures w14:val="standardContextual"/>
              </w:rPr>
              <w:tab/>
            </w:r>
            <w:r w:rsidR="007C7AB8" w:rsidRPr="00FF756A">
              <w:rPr>
                <w:rStyle w:val="Hyperlink"/>
                <w:noProof/>
              </w:rPr>
              <w:t>Objektivat kombëtare në lidhje me diversifikimin dhe elasticitetin</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_Toc183639212 \h </w:instrText>
            </w:r>
            <w:r w:rsidR="007C7AB8" w:rsidRPr="00FF756A">
              <w:rPr>
                <w:noProof/>
                <w:webHidden/>
              </w:rPr>
            </w:r>
            <w:r w:rsidR="007C7AB8" w:rsidRPr="00FF756A">
              <w:rPr>
                <w:noProof/>
                <w:webHidden/>
              </w:rPr>
              <w:fldChar w:fldCharType="separate"/>
            </w:r>
            <w:r w:rsidR="007C7AB8" w:rsidRPr="00FF756A">
              <w:rPr>
                <w:noProof/>
                <w:webHidden/>
              </w:rPr>
              <w:t>111</w:t>
            </w:r>
            <w:r w:rsidR="007C7AB8" w:rsidRPr="00FF756A">
              <w:rPr>
                <w:noProof/>
                <w:webHidden/>
              </w:rPr>
              <w:fldChar w:fldCharType="end"/>
            </w:r>
          </w:hyperlink>
        </w:p>
        <w:p w14:paraId="0F9EA9B4" w14:textId="6FAF3EC1"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213" w:history="1">
            <w:r w:rsidR="007C7AB8" w:rsidRPr="00FF756A">
              <w:rPr>
                <w:rStyle w:val="Hyperlink"/>
                <w:noProof/>
              </w:rPr>
              <w:t>2.3.3</w:t>
            </w:r>
            <w:r w:rsidR="007C7AB8" w:rsidRPr="00FF756A">
              <w:rPr>
                <w:rFonts w:eastAsiaTheme="minorEastAsia"/>
                <w:noProof/>
                <w:kern w:val="2"/>
                <w:sz w:val="24"/>
                <w:szCs w:val="24"/>
                <w:lang w:val="en-US"/>
                <w14:ligatures w14:val="standardContextual"/>
              </w:rPr>
              <w:tab/>
            </w:r>
            <w:r w:rsidR="007C7AB8" w:rsidRPr="00FF756A">
              <w:rPr>
                <w:rStyle w:val="Hyperlink"/>
                <w:noProof/>
              </w:rPr>
              <w:t>Objektivat kombëtare lidhur me reduktimin e varësisë ndaj importeve të energjisë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_Toc183639213 \h </w:instrText>
            </w:r>
            <w:r w:rsidR="007C7AB8" w:rsidRPr="00FF756A">
              <w:rPr>
                <w:noProof/>
                <w:webHidden/>
              </w:rPr>
            </w:r>
            <w:r w:rsidR="007C7AB8" w:rsidRPr="00FF756A">
              <w:rPr>
                <w:noProof/>
                <w:webHidden/>
              </w:rPr>
              <w:fldChar w:fldCharType="separate"/>
            </w:r>
            <w:r w:rsidR="007C7AB8" w:rsidRPr="00FF756A">
              <w:rPr>
                <w:noProof/>
                <w:webHidden/>
              </w:rPr>
              <w:t>111</w:t>
            </w:r>
            <w:r w:rsidR="007C7AB8" w:rsidRPr="00FF756A">
              <w:rPr>
                <w:noProof/>
                <w:webHidden/>
              </w:rPr>
              <w:fldChar w:fldCharType="end"/>
            </w:r>
          </w:hyperlink>
        </w:p>
        <w:p w14:paraId="54E11589" w14:textId="0E2AEB10"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214" w:history="1">
            <w:r w:rsidR="007C7AB8" w:rsidRPr="00FF756A">
              <w:rPr>
                <w:rStyle w:val="Hyperlink"/>
                <w:noProof/>
              </w:rPr>
              <w:t>2.3.4</w:t>
            </w:r>
            <w:r w:rsidR="007C7AB8" w:rsidRPr="00FF756A">
              <w:rPr>
                <w:rFonts w:eastAsiaTheme="minorEastAsia"/>
                <w:noProof/>
                <w:kern w:val="2"/>
                <w:sz w:val="24"/>
                <w:szCs w:val="24"/>
                <w:lang w:val="en-US"/>
                <w14:ligatures w14:val="standardContextual"/>
              </w:rPr>
              <w:tab/>
            </w:r>
            <w:r w:rsidR="007C7AB8" w:rsidRPr="00FF756A">
              <w:rPr>
                <w:rStyle w:val="Hyperlink"/>
                <w:noProof/>
              </w:rPr>
              <w:t>Objektivat kombëtare lidhur me rritjen e fleksibilitetit</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_Toc183639214 \h </w:instrText>
            </w:r>
            <w:r w:rsidR="007C7AB8" w:rsidRPr="00FF756A">
              <w:rPr>
                <w:noProof/>
                <w:webHidden/>
              </w:rPr>
            </w:r>
            <w:r w:rsidR="007C7AB8" w:rsidRPr="00FF756A">
              <w:rPr>
                <w:noProof/>
                <w:webHidden/>
              </w:rPr>
              <w:fldChar w:fldCharType="separate"/>
            </w:r>
            <w:r w:rsidR="007C7AB8" w:rsidRPr="00FF756A">
              <w:rPr>
                <w:noProof/>
                <w:webHidden/>
              </w:rPr>
              <w:t>112</w:t>
            </w:r>
            <w:r w:rsidR="007C7AB8" w:rsidRPr="00FF756A">
              <w:rPr>
                <w:noProof/>
                <w:webHidden/>
              </w:rPr>
              <w:fldChar w:fldCharType="end"/>
            </w:r>
          </w:hyperlink>
        </w:p>
        <w:p w14:paraId="5A041CFB" w14:textId="664E3A8A"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215" w:history="1">
            <w:r w:rsidR="007C7AB8" w:rsidRPr="00FF756A">
              <w:rPr>
                <w:rStyle w:val="Hyperlink"/>
                <w:noProof/>
              </w:rPr>
              <w:t>2.4</w:t>
            </w:r>
            <w:r w:rsidR="007C7AB8" w:rsidRPr="00FF756A">
              <w:rPr>
                <w:rFonts w:eastAsiaTheme="minorEastAsia"/>
                <w:noProof/>
                <w:kern w:val="2"/>
                <w:sz w:val="24"/>
                <w:szCs w:val="24"/>
                <w:lang w:val="en-US"/>
                <w14:ligatures w14:val="standardContextual"/>
              </w:rPr>
              <w:tab/>
            </w:r>
            <w:r w:rsidR="007C7AB8" w:rsidRPr="00FF756A">
              <w:rPr>
                <w:rStyle w:val="Hyperlink"/>
                <w:noProof/>
              </w:rPr>
              <w:t>Dimensioni i Tregut të Brendshëm të Energjisë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_Toc183639215 \h </w:instrText>
            </w:r>
            <w:r w:rsidR="007C7AB8" w:rsidRPr="00FF756A">
              <w:rPr>
                <w:noProof/>
                <w:webHidden/>
              </w:rPr>
            </w:r>
            <w:r w:rsidR="007C7AB8" w:rsidRPr="00FF756A">
              <w:rPr>
                <w:noProof/>
                <w:webHidden/>
              </w:rPr>
              <w:fldChar w:fldCharType="separate"/>
            </w:r>
            <w:r w:rsidR="007C7AB8" w:rsidRPr="00FF756A">
              <w:rPr>
                <w:noProof/>
                <w:webHidden/>
              </w:rPr>
              <w:t>112</w:t>
            </w:r>
            <w:r w:rsidR="007C7AB8" w:rsidRPr="00FF756A">
              <w:rPr>
                <w:noProof/>
                <w:webHidden/>
              </w:rPr>
              <w:fldChar w:fldCharType="end"/>
            </w:r>
          </w:hyperlink>
        </w:p>
        <w:p w14:paraId="6AD8BED2" w14:textId="2810292A"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16" w:history="1">
            <w:r w:rsidR="007C7AB8" w:rsidRPr="00FF756A">
              <w:rPr>
                <w:rStyle w:val="Hyperlink"/>
                <w:noProof/>
              </w:rPr>
              <w:t>Interkoneksioni i energjisë elektrike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_Toc183639216 \h </w:instrText>
            </w:r>
            <w:r w:rsidR="007C7AB8" w:rsidRPr="00FF756A">
              <w:rPr>
                <w:noProof/>
                <w:webHidden/>
              </w:rPr>
            </w:r>
            <w:r w:rsidR="007C7AB8" w:rsidRPr="00FF756A">
              <w:rPr>
                <w:noProof/>
                <w:webHidden/>
              </w:rPr>
              <w:fldChar w:fldCharType="separate"/>
            </w:r>
            <w:r w:rsidR="007C7AB8" w:rsidRPr="00FF756A">
              <w:rPr>
                <w:noProof/>
                <w:webHidden/>
              </w:rPr>
              <w:t>113</w:t>
            </w:r>
            <w:r w:rsidR="007C7AB8" w:rsidRPr="00FF756A">
              <w:rPr>
                <w:noProof/>
                <w:webHidden/>
              </w:rPr>
              <w:fldChar w:fldCharType="end"/>
            </w:r>
          </w:hyperlink>
        </w:p>
        <w:p w14:paraId="181D5EE0" w14:textId="3FFD5847"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217" w:history="1">
            <w:r w:rsidR="007C7AB8" w:rsidRPr="00FF756A">
              <w:rPr>
                <w:rStyle w:val="Hyperlink"/>
                <w:noProof/>
              </w:rPr>
              <w:t>2.4.1</w:t>
            </w:r>
            <w:r w:rsidR="007C7AB8" w:rsidRPr="00FF756A">
              <w:rPr>
                <w:rFonts w:eastAsiaTheme="minorEastAsia"/>
                <w:noProof/>
                <w:kern w:val="2"/>
                <w:sz w:val="24"/>
                <w:szCs w:val="24"/>
                <w:lang w:val="en-US"/>
                <w14:ligatures w14:val="standardContextual"/>
              </w:rPr>
              <w:tab/>
            </w:r>
            <w:r w:rsidR="007C7AB8" w:rsidRPr="00FF756A">
              <w:rPr>
                <w:rStyle w:val="Hyperlink"/>
                <w:noProof/>
              </w:rPr>
              <w:t>Infrastruktura e transmetimit të energjisë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_Toc183639217 \h </w:instrText>
            </w:r>
            <w:r w:rsidR="007C7AB8" w:rsidRPr="00FF756A">
              <w:rPr>
                <w:noProof/>
                <w:webHidden/>
              </w:rPr>
            </w:r>
            <w:r w:rsidR="007C7AB8" w:rsidRPr="00FF756A">
              <w:rPr>
                <w:noProof/>
                <w:webHidden/>
              </w:rPr>
              <w:fldChar w:fldCharType="separate"/>
            </w:r>
            <w:r w:rsidR="007C7AB8" w:rsidRPr="00FF756A">
              <w:rPr>
                <w:noProof/>
                <w:webHidden/>
              </w:rPr>
              <w:t>115</w:t>
            </w:r>
            <w:r w:rsidR="007C7AB8" w:rsidRPr="00FF756A">
              <w:rPr>
                <w:noProof/>
                <w:webHidden/>
              </w:rPr>
              <w:fldChar w:fldCharType="end"/>
            </w:r>
          </w:hyperlink>
        </w:p>
        <w:p w14:paraId="39CD7019" w14:textId="29500201"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218" w:history="1">
            <w:r w:rsidR="007C7AB8" w:rsidRPr="00FF756A">
              <w:rPr>
                <w:rStyle w:val="Hyperlink"/>
                <w:noProof/>
              </w:rPr>
              <w:t>2.4.2</w:t>
            </w:r>
            <w:r w:rsidR="007C7AB8" w:rsidRPr="00FF756A">
              <w:rPr>
                <w:rFonts w:eastAsiaTheme="minorEastAsia"/>
                <w:noProof/>
                <w:kern w:val="2"/>
                <w:sz w:val="24"/>
                <w:szCs w:val="24"/>
                <w:lang w:val="en-US"/>
                <w14:ligatures w14:val="standardContextual"/>
              </w:rPr>
              <w:tab/>
            </w:r>
            <w:r w:rsidR="007C7AB8" w:rsidRPr="00FF756A">
              <w:rPr>
                <w:rStyle w:val="Hyperlink"/>
                <w:noProof/>
              </w:rPr>
              <w:t>Integrimi i tregut</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_Toc183639218 \h </w:instrText>
            </w:r>
            <w:r w:rsidR="007C7AB8" w:rsidRPr="00FF756A">
              <w:rPr>
                <w:noProof/>
                <w:webHidden/>
              </w:rPr>
            </w:r>
            <w:r w:rsidR="007C7AB8" w:rsidRPr="00FF756A">
              <w:rPr>
                <w:noProof/>
                <w:webHidden/>
              </w:rPr>
              <w:fldChar w:fldCharType="separate"/>
            </w:r>
            <w:r w:rsidR="007C7AB8" w:rsidRPr="00FF756A">
              <w:rPr>
                <w:noProof/>
                <w:webHidden/>
              </w:rPr>
              <w:t>115</w:t>
            </w:r>
            <w:r w:rsidR="007C7AB8" w:rsidRPr="00FF756A">
              <w:rPr>
                <w:noProof/>
                <w:webHidden/>
              </w:rPr>
              <w:fldChar w:fldCharType="end"/>
            </w:r>
          </w:hyperlink>
        </w:p>
        <w:p w14:paraId="195235D1" w14:textId="22A8F8D7"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219" w:history="1">
            <w:r w:rsidR="007C7AB8" w:rsidRPr="00FF756A">
              <w:rPr>
                <w:rStyle w:val="Hyperlink"/>
                <w:noProof/>
              </w:rPr>
              <w:t>2.4.3</w:t>
            </w:r>
            <w:r w:rsidR="007C7AB8" w:rsidRPr="00FF756A">
              <w:rPr>
                <w:rFonts w:eastAsiaTheme="minorEastAsia"/>
                <w:noProof/>
                <w:kern w:val="2"/>
                <w:sz w:val="24"/>
                <w:szCs w:val="24"/>
                <w:lang w:val="en-US"/>
                <w14:ligatures w14:val="standardContextual"/>
              </w:rPr>
              <w:tab/>
            </w:r>
            <w:r w:rsidR="007C7AB8" w:rsidRPr="00FF756A">
              <w:rPr>
                <w:rStyle w:val="Hyperlink"/>
                <w:noProof/>
              </w:rPr>
              <w:t>Varfëria energjetike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_Toc183639219 \h </w:instrText>
            </w:r>
            <w:r w:rsidR="007C7AB8" w:rsidRPr="00FF756A">
              <w:rPr>
                <w:noProof/>
                <w:webHidden/>
              </w:rPr>
            </w:r>
            <w:r w:rsidR="007C7AB8" w:rsidRPr="00FF756A">
              <w:rPr>
                <w:noProof/>
                <w:webHidden/>
              </w:rPr>
              <w:fldChar w:fldCharType="separate"/>
            </w:r>
            <w:r w:rsidR="007C7AB8" w:rsidRPr="00FF756A">
              <w:rPr>
                <w:noProof/>
                <w:webHidden/>
              </w:rPr>
              <w:t>116</w:t>
            </w:r>
            <w:r w:rsidR="007C7AB8" w:rsidRPr="00FF756A">
              <w:rPr>
                <w:noProof/>
                <w:webHidden/>
              </w:rPr>
              <w:fldChar w:fldCharType="end"/>
            </w:r>
          </w:hyperlink>
        </w:p>
        <w:p w14:paraId="01E75863" w14:textId="5113CA0A"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220" w:history="1">
            <w:r w:rsidR="007C7AB8" w:rsidRPr="00FF756A">
              <w:rPr>
                <w:rStyle w:val="Hyperlink"/>
                <w:noProof/>
              </w:rPr>
              <w:t>2.5</w:t>
            </w:r>
            <w:r w:rsidR="007C7AB8" w:rsidRPr="00FF756A">
              <w:rPr>
                <w:rFonts w:eastAsiaTheme="minorEastAsia"/>
                <w:noProof/>
                <w:kern w:val="2"/>
                <w:sz w:val="24"/>
                <w:szCs w:val="24"/>
                <w:lang w:val="en-US"/>
                <w14:ligatures w14:val="standardContextual"/>
              </w:rPr>
              <w:tab/>
            </w:r>
            <w:r w:rsidR="007C7AB8" w:rsidRPr="00FF756A">
              <w:rPr>
                <w:rStyle w:val="Hyperlink"/>
                <w:noProof/>
              </w:rPr>
              <w:t>Dimensioni i Kërkimit, Inovacioni dhe Konkurrueshmërisë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_Toc183639220 \h </w:instrText>
            </w:r>
            <w:r w:rsidR="007C7AB8" w:rsidRPr="00FF756A">
              <w:rPr>
                <w:noProof/>
                <w:webHidden/>
              </w:rPr>
            </w:r>
            <w:r w:rsidR="007C7AB8" w:rsidRPr="00FF756A">
              <w:rPr>
                <w:noProof/>
                <w:webHidden/>
              </w:rPr>
              <w:fldChar w:fldCharType="separate"/>
            </w:r>
            <w:r w:rsidR="007C7AB8" w:rsidRPr="00FF756A">
              <w:rPr>
                <w:noProof/>
                <w:webHidden/>
              </w:rPr>
              <w:t>116</w:t>
            </w:r>
            <w:r w:rsidR="007C7AB8" w:rsidRPr="00FF756A">
              <w:rPr>
                <w:noProof/>
                <w:webHidden/>
              </w:rPr>
              <w:fldChar w:fldCharType="end"/>
            </w:r>
          </w:hyperlink>
        </w:p>
        <w:p w14:paraId="2336900E" w14:textId="14564BD9" w:rsidR="007C7AB8" w:rsidRPr="00FF756A" w:rsidRDefault="008A279C">
          <w:pPr>
            <w:pStyle w:val="TOC1"/>
            <w:tabs>
              <w:tab w:val="right" w:leader="dot" w:pos="9062"/>
            </w:tabs>
            <w:rPr>
              <w:rFonts w:eastAsiaTheme="minorEastAsia"/>
              <w:noProof/>
              <w:kern w:val="2"/>
              <w:sz w:val="24"/>
              <w:szCs w:val="24"/>
              <w:lang w:val="en-US"/>
              <w14:ligatures w14:val="standardContextual"/>
            </w:rPr>
          </w:pPr>
          <w:hyperlink w:anchor="_Toc183639221" w:history="1">
            <w:r w:rsidR="007C7AB8" w:rsidRPr="00FF756A">
              <w:rPr>
                <w:rStyle w:val="Hyperlink"/>
                <w:rFonts w:eastAsia="Times New Roman"/>
                <w:noProof/>
              </w:rPr>
              <w:t>3 POLITIKAT DHE MASAT</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_Toc183639221 \h </w:instrText>
            </w:r>
            <w:r w:rsidR="007C7AB8" w:rsidRPr="00FF756A">
              <w:rPr>
                <w:noProof/>
                <w:webHidden/>
              </w:rPr>
            </w:r>
            <w:r w:rsidR="007C7AB8" w:rsidRPr="00FF756A">
              <w:rPr>
                <w:noProof/>
                <w:webHidden/>
              </w:rPr>
              <w:fldChar w:fldCharType="separate"/>
            </w:r>
            <w:r w:rsidR="007C7AB8" w:rsidRPr="00FF756A">
              <w:rPr>
                <w:noProof/>
                <w:webHidden/>
              </w:rPr>
              <w:t>117</w:t>
            </w:r>
            <w:r w:rsidR="007C7AB8" w:rsidRPr="00FF756A">
              <w:rPr>
                <w:noProof/>
                <w:webHidden/>
              </w:rPr>
              <w:fldChar w:fldCharType="end"/>
            </w:r>
          </w:hyperlink>
        </w:p>
        <w:p w14:paraId="7F412481" w14:textId="4F5DAE95"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222" w:history="1">
            <w:r w:rsidR="007C7AB8" w:rsidRPr="00FF756A">
              <w:rPr>
                <w:rStyle w:val="Hyperlink"/>
                <w:noProof/>
              </w:rPr>
              <w:t>3.1</w:t>
            </w:r>
            <w:r w:rsidR="007C7AB8" w:rsidRPr="00FF756A">
              <w:rPr>
                <w:rFonts w:eastAsiaTheme="minorEastAsia"/>
                <w:noProof/>
                <w:kern w:val="2"/>
                <w:sz w:val="24"/>
                <w:szCs w:val="24"/>
                <w:lang w:val="en-US"/>
                <w14:ligatures w14:val="standardContextual"/>
              </w:rPr>
              <w:tab/>
            </w:r>
            <w:r w:rsidR="007C7AB8" w:rsidRPr="00FF756A">
              <w:rPr>
                <w:rStyle w:val="Hyperlink"/>
                <w:noProof/>
              </w:rPr>
              <w:t>Dimensioni i dekarbonizimit</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_Toc183639222 \h </w:instrText>
            </w:r>
            <w:r w:rsidR="007C7AB8" w:rsidRPr="00FF756A">
              <w:rPr>
                <w:noProof/>
                <w:webHidden/>
              </w:rPr>
            </w:r>
            <w:r w:rsidR="007C7AB8" w:rsidRPr="00FF756A">
              <w:rPr>
                <w:noProof/>
                <w:webHidden/>
              </w:rPr>
              <w:fldChar w:fldCharType="separate"/>
            </w:r>
            <w:r w:rsidR="007C7AB8" w:rsidRPr="00FF756A">
              <w:rPr>
                <w:noProof/>
                <w:webHidden/>
              </w:rPr>
              <w:t>122</w:t>
            </w:r>
            <w:r w:rsidR="007C7AB8" w:rsidRPr="00FF756A">
              <w:rPr>
                <w:noProof/>
                <w:webHidden/>
              </w:rPr>
              <w:fldChar w:fldCharType="end"/>
            </w:r>
          </w:hyperlink>
        </w:p>
        <w:p w14:paraId="01225B48" w14:textId="60181DE8"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23" w:history="1">
            <w:r w:rsidR="007C7AB8" w:rsidRPr="00FF756A">
              <w:rPr>
                <w:rStyle w:val="Hyperlink"/>
                <w:noProof/>
              </w:rPr>
              <w:t>3.1.1 Kuadri ligjor gjithëpërfshirës</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_Toc183639223 \h </w:instrText>
            </w:r>
            <w:r w:rsidR="007C7AB8" w:rsidRPr="00FF756A">
              <w:rPr>
                <w:noProof/>
                <w:webHidden/>
              </w:rPr>
            </w:r>
            <w:r w:rsidR="007C7AB8" w:rsidRPr="00FF756A">
              <w:rPr>
                <w:noProof/>
                <w:webHidden/>
              </w:rPr>
              <w:fldChar w:fldCharType="separate"/>
            </w:r>
            <w:r w:rsidR="007C7AB8" w:rsidRPr="00FF756A">
              <w:rPr>
                <w:noProof/>
                <w:webHidden/>
              </w:rPr>
              <w:t>122</w:t>
            </w:r>
            <w:r w:rsidR="007C7AB8" w:rsidRPr="00FF756A">
              <w:rPr>
                <w:noProof/>
                <w:webHidden/>
              </w:rPr>
              <w:fldChar w:fldCharType="end"/>
            </w:r>
          </w:hyperlink>
        </w:p>
        <w:p w14:paraId="1E149AB9" w14:textId="09625CA4"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24" w:history="1">
            <w:r w:rsidR="007C7AB8" w:rsidRPr="00FF756A">
              <w:rPr>
                <w:rStyle w:val="Hyperlink"/>
                <w:noProof/>
              </w:rPr>
              <w:t>3.1.2 Shkarkimet dhe eliminimi i GES-ve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_Toc183639224 \h </w:instrText>
            </w:r>
            <w:r w:rsidR="007C7AB8" w:rsidRPr="00FF756A">
              <w:rPr>
                <w:noProof/>
                <w:webHidden/>
              </w:rPr>
            </w:r>
            <w:r w:rsidR="007C7AB8" w:rsidRPr="00FF756A">
              <w:rPr>
                <w:noProof/>
                <w:webHidden/>
              </w:rPr>
              <w:fldChar w:fldCharType="separate"/>
            </w:r>
            <w:r w:rsidR="007C7AB8" w:rsidRPr="00FF756A">
              <w:rPr>
                <w:noProof/>
                <w:webHidden/>
              </w:rPr>
              <w:t>124</w:t>
            </w:r>
            <w:r w:rsidR="007C7AB8" w:rsidRPr="00FF756A">
              <w:rPr>
                <w:noProof/>
                <w:webHidden/>
              </w:rPr>
              <w:fldChar w:fldCharType="end"/>
            </w:r>
          </w:hyperlink>
        </w:p>
        <w:p w14:paraId="17805C37" w14:textId="4BFEB0BD"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25" w:history="1">
            <w:r w:rsidR="007C7AB8" w:rsidRPr="00FF756A">
              <w:rPr>
                <w:rStyle w:val="Hyperlink"/>
                <w:rFonts w:ascii="Times New Roman" w:hAnsi="Times New Roman" w:cs="Times New Roman"/>
                <w:noProof/>
              </w:rPr>
              <w:t>Sektori i transportit</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_Toc183639225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124</w:t>
            </w:r>
            <w:r w:rsidR="007C7AB8" w:rsidRPr="00FF756A">
              <w:rPr>
                <w:rFonts w:ascii="Times New Roman" w:hAnsi="Times New Roman" w:cs="Times New Roman"/>
                <w:noProof/>
                <w:webHidden/>
              </w:rPr>
              <w:fldChar w:fldCharType="end"/>
            </w:r>
          </w:hyperlink>
        </w:p>
        <w:p w14:paraId="325E6104" w14:textId="7D292FB3"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26" w:history="1">
            <w:r w:rsidR="007C7AB8" w:rsidRPr="00FF756A">
              <w:rPr>
                <w:rStyle w:val="Hyperlink"/>
                <w:rFonts w:ascii="Times New Roman" w:hAnsi="Times New Roman" w:cs="Times New Roman"/>
                <w:noProof/>
              </w:rPr>
              <w:t>Sektori i ndërtesave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_Toc183639226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130</w:t>
            </w:r>
            <w:r w:rsidR="007C7AB8" w:rsidRPr="00FF756A">
              <w:rPr>
                <w:rFonts w:ascii="Times New Roman" w:hAnsi="Times New Roman" w:cs="Times New Roman"/>
                <w:noProof/>
                <w:webHidden/>
              </w:rPr>
              <w:fldChar w:fldCharType="end"/>
            </w:r>
          </w:hyperlink>
        </w:p>
        <w:p w14:paraId="69BCAD08" w14:textId="6FD76EA7"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27" w:history="1">
            <w:r w:rsidR="007C7AB8" w:rsidRPr="00FF756A">
              <w:rPr>
                <w:rStyle w:val="Hyperlink"/>
                <w:rFonts w:ascii="Times New Roman" w:hAnsi="Times New Roman" w:cs="Times New Roman"/>
                <w:noProof/>
              </w:rPr>
              <w:t>Sektori industrial</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_Toc183639227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131</w:t>
            </w:r>
            <w:r w:rsidR="007C7AB8" w:rsidRPr="00FF756A">
              <w:rPr>
                <w:rFonts w:ascii="Times New Roman" w:hAnsi="Times New Roman" w:cs="Times New Roman"/>
                <w:noProof/>
                <w:webHidden/>
              </w:rPr>
              <w:fldChar w:fldCharType="end"/>
            </w:r>
          </w:hyperlink>
        </w:p>
        <w:p w14:paraId="0646F48C" w14:textId="5A64B6C5"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28" w:history="1">
            <w:r w:rsidR="007C7AB8" w:rsidRPr="00FF756A">
              <w:rPr>
                <w:rStyle w:val="Hyperlink"/>
                <w:rFonts w:ascii="Times New Roman" w:hAnsi="Times New Roman" w:cs="Times New Roman"/>
                <w:noProof/>
              </w:rPr>
              <w:t>Sektori i bujqësisë</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_Toc183639228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139</w:t>
            </w:r>
            <w:r w:rsidR="007C7AB8" w:rsidRPr="00FF756A">
              <w:rPr>
                <w:rFonts w:ascii="Times New Roman" w:hAnsi="Times New Roman" w:cs="Times New Roman"/>
                <w:noProof/>
                <w:webHidden/>
              </w:rPr>
              <w:fldChar w:fldCharType="end"/>
            </w:r>
          </w:hyperlink>
        </w:p>
        <w:p w14:paraId="6B20588D" w14:textId="2AD74231"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29" w:history="1">
            <w:r w:rsidR="007C7AB8" w:rsidRPr="00FF756A">
              <w:rPr>
                <w:rStyle w:val="Hyperlink"/>
                <w:rFonts w:ascii="Times New Roman" w:hAnsi="Times New Roman" w:cs="Times New Roman"/>
                <w:noProof/>
              </w:rPr>
              <w:t>Sektori i menaxhimit të mbetjeve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_Toc183639229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141</w:t>
            </w:r>
            <w:r w:rsidR="007C7AB8" w:rsidRPr="00FF756A">
              <w:rPr>
                <w:rFonts w:ascii="Times New Roman" w:hAnsi="Times New Roman" w:cs="Times New Roman"/>
                <w:noProof/>
                <w:webHidden/>
              </w:rPr>
              <w:fldChar w:fldCharType="end"/>
            </w:r>
          </w:hyperlink>
        </w:p>
        <w:p w14:paraId="52F2142E" w14:textId="18C850E0"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30" w:history="1">
            <w:r w:rsidR="007C7AB8" w:rsidRPr="00FF756A">
              <w:rPr>
                <w:rStyle w:val="Hyperlink"/>
                <w:rFonts w:ascii="Times New Roman" w:hAnsi="Times New Roman" w:cs="Times New Roman"/>
                <w:noProof/>
              </w:rPr>
              <w:t>Ndryshimi i përdorimit të tokës dhe pyjet</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_Toc183639230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146</w:t>
            </w:r>
            <w:r w:rsidR="007C7AB8" w:rsidRPr="00FF756A">
              <w:rPr>
                <w:rFonts w:ascii="Times New Roman" w:hAnsi="Times New Roman" w:cs="Times New Roman"/>
                <w:noProof/>
                <w:webHidden/>
              </w:rPr>
              <w:fldChar w:fldCharType="end"/>
            </w:r>
          </w:hyperlink>
        </w:p>
        <w:p w14:paraId="2BFD0566" w14:textId="64DAE62A"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31" w:history="1">
            <w:r w:rsidR="007C7AB8" w:rsidRPr="00FF756A">
              <w:rPr>
                <w:rStyle w:val="Hyperlink"/>
                <w:noProof/>
              </w:rPr>
              <w:t>3.1.3 Energjia e rinovueshme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_Toc183639231 \h </w:instrText>
            </w:r>
            <w:r w:rsidR="007C7AB8" w:rsidRPr="00FF756A">
              <w:rPr>
                <w:noProof/>
                <w:webHidden/>
              </w:rPr>
            </w:r>
            <w:r w:rsidR="007C7AB8" w:rsidRPr="00FF756A">
              <w:rPr>
                <w:noProof/>
                <w:webHidden/>
              </w:rPr>
              <w:fldChar w:fldCharType="separate"/>
            </w:r>
            <w:r w:rsidR="007C7AB8" w:rsidRPr="00FF756A">
              <w:rPr>
                <w:noProof/>
                <w:webHidden/>
              </w:rPr>
              <w:t>150</w:t>
            </w:r>
            <w:r w:rsidR="007C7AB8" w:rsidRPr="00FF756A">
              <w:rPr>
                <w:noProof/>
                <w:webHidden/>
              </w:rPr>
              <w:fldChar w:fldCharType="end"/>
            </w:r>
          </w:hyperlink>
        </w:p>
        <w:p w14:paraId="24C4E7FB" w14:textId="41406C17"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32" w:history="1">
            <w:r w:rsidR="007C7AB8" w:rsidRPr="00FF756A">
              <w:rPr>
                <w:rStyle w:val="Hyperlink"/>
                <w:rFonts w:ascii="Times New Roman" w:hAnsi="Times New Roman" w:cs="Times New Roman"/>
                <w:noProof/>
              </w:rPr>
              <w:t>Energjia elektrike, ngrohja dhe ftohja</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_Toc183639232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150</w:t>
            </w:r>
            <w:r w:rsidR="007C7AB8" w:rsidRPr="00FF756A">
              <w:rPr>
                <w:rFonts w:ascii="Times New Roman" w:hAnsi="Times New Roman" w:cs="Times New Roman"/>
                <w:noProof/>
                <w:webHidden/>
              </w:rPr>
              <w:fldChar w:fldCharType="end"/>
            </w:r>
          </w:hyperlink>
        </w:p>
        <w:p w14:paraId="31045E6D" w14:textId="3975B2F8"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33" w:history="1">
            <w:r w:rsidR="007C7AB8" w:rsidRPr="00FF756A">
              <w:rPr>
                <w:rStyle w:val="Hyperlink"/>
                <w:rFonts w:ascii="Times New Roman" w:hAnsi="Times New Roman" w:cs="Times New Roman"/>
                <w:noProof/>
              </w:rPr>
              <w:t>Sektori i transportit</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_Toc183639233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160</w:t>
            </w:r>
            <w:r w:rsidR="007C7AB8" w:rsidRPr="00FF756A">
              <w:rPr>
                <w:rFonts w:ascii="Times New Roman" w:hAnsi="Times New Roman" w:cs="Times New Roman"/>
                <w:noProof/>
                <w:webHidden/>
              </w:rPr>
              <w:fldChar w:fldCharType="end"/>
            </w:r>
          </w:hyperlink>
        </w:p>
        <w:p w14:paraId="0FA75810" w14:textId="24E983C7"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34" w:history="1">
            <w:r w:rsidR="007C7AB8" w:rsidRPr="00FF756A">
              <w:rPr>
                <w:rStyle w:val="Hyperlink"/>
                <w:rFonts w:ascii="Times New Roman" w:hAnsi="Times New Roman" w:cs="Times New Roman"/>
                <w:noProof/>
              </w:rPr>
              <w:t>Sektori i industrisë</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_Toc183639234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163</w:t>
            </w:r>
            <w:r w:rsidR="007C7AB8" w:rsidRPr="00FF756A">
              <w:rPr>
                <w:rFonts w:ascii="Times New Roman" w:hAnsi="Times New Roman" w:cs="Times New Roman"/>
                <w:noProof/>
                <w:webHidden/>
              </w:rPr>
              <w:fldChar w:fldCharType="end"/>
            </w:r>
          </w:hyperlink>
        </w:p>
        <w:p w14:paraId="21EA16D6" w14:textId="5AF5AF35"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235" w:history="1">
            <w:r w:rsidR="007C7AB8" w:rsidRPr="00FF756A">
              <w:rPr>
                <w:rStyle w:val="Hyperlink"/>
                <w:noProof/>
              </w:rPr>
              <w:t>3.2</w:t>
            </w:r>
            <w:r w:rsidR="007C7AB8" w:rsidRPr="00FF756A">
              <w:rPr>
                <w:rFonts w:eastAsiaTheme="minorEastAsia"/>
                <w:noProof/>
                <w:kern w:val="2"/>
                <w:sz w:val="24"/>
                <w:szCs w:val="24"/>
                <w:lang w:val="en-US"/>
                <w14:ligatures w14:val="standardContextual"/>
              </w:rPr>
              <w:tab/>
            </w:r>
            <w:r w:rsidR="007C7AB8" w:rsidRPr="00FF756A">
              <w:rPr>
                <w:rStyle w:val="Hyperlink"/>
                <w:noProof/>
              </w:rPr>
              <w:t>Dimensioni i efiçencës së energjisë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_Toc183639235 \h </w:instrText>
            </w:r>
            <w:r w:rsidR="007C7AB8" w:rsidRPr="00FF756A">
              <w:rPr>
                <w:noProof/>
                <w:webHidden/>
              </w:rPr>
            </w:r>
            <w:r w:rsidR="007C7AB8" w:rsidRPr="00FF756A">
              <w:rPr>
                <w:noProof/>
                <w:webHidden/>
              </w:rPr>
              <w:fldChar w:fldCharType="separate"/>
            </w:r>
            <w:r w:rsidR="007C7AB8" w:rsidRPr="00FF756A">
              <w:rPr>
                <w:noProof/>
                <w:webHidden/>
              </w:rPr>
              <w:t>165</w:t>
            </w:r>
            <w:r w:rsidR="007C7AB8" w:rsidRPr="00FF756A">
              <w:rPr>
                <w:noProof/>
                <w:webHidden/>
              </w:rPr>
              <w:fldChar w:fldCharType="end"/>
            </w:r>
          </w:hyperlink>
        </w:p>
        <w:p w14:paraId="2C7ACBFC" w14:textId="649E41A7"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36" w:history="1">
            <w:r w:rsidR="007C7AB8" w:rsidRPr="00FF756A">
              <w:rPr>
                <w:rStyle w:val="Hyperlink"/>
                <w:noProof/>
              </w:rPr>
              <w:t>3.2.1 Kuadri ligjor gjithëpërfshirës</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_Toc183639236 \h </w:instrText>
            </w:r>
            <w:r w:rsidR="007C7AB8" w:rsidRPr="00FF756A">
              <w:rPr>
                <w:noProof/>
                <w:webHidden/>
              </w:rPr>
            </w:r>
            <w:r w:rsidR="007C7AB8" w:rsidRPr="00FF756A">
              <w:rPr>
                <w:noProof/>
                <w:webHidden/>
              </w:rPr>
              <w:fldChar w:fldCharType="separate"/>
            </w:r>
            <w:r w:rsidR="007C7AB8" w:rsidRPr="00FF756A">
              <w:rPr>
                <w:noProof/>
                <w:webHidden/>
              </w:rPr>
              <w:t>165</w:t>
            </w:r>
            <w:r w:rsidR="007C7AB8" w:rsidRPr="00FF756A">
              <w:rPr>
                <w:noProof/>
                <w:webHidden/>
              </w:rPr>
              <w:fldChar w:fldCharType="end"/>
            </w:r>
          </w:hyperlink>
        </w:p>
        <w:p w14:paraId="7DF05DE2" w14:textId="13DE4898"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37" w:history="1">
            <w:r w:rsidR="007C7AB8" w:rsidRPr="00FF756A">
              <w:rPr>
                <w:rStyle w:val="Hyperlink"/>
                <w:noProof/>
              </w:rPr>
              <w:t>3.2.2 Skemat detyruese të efiçencës së energjisë dhe masat politike alternative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_Toc183639237 \h </w:instrText>
            </w:r>
            <w:r w:rsidR="007C7AB8" w:rsidRPr="00FF756A">
              <w:rPr>
                <w:noProof/>
                <w:webHidden/>
              </w:rPr>
            </w:r>
            <w:r w:rsidR="007C7AB8" w:rsidRPr="00FF756A">
              <w:rPr>
                <w:noProof/>
                <w:webHidden/>
              </w:rPr>
              <w:fldChar w:fldCharType="separate"/>
            </w:r>
            <w:r w:rsidR="007C7AB8" w:rsidRPr="00FF756A">
              <w:rPr>
                <w:noProof/>
                <w:webHidden/>
              </w:rPr>
              <w:t>167</w:t>
            </w:r>
            <w:r w:rsidR="007C7AB8" w:rsidRPr="00FF756A">
              <w:rPr>
                <w:noProof/>
                <w:webHidden/>
              </w:rPr>
              <w:fldChar w:fldCharType="end"/>
            </w:r>
          </w:hyperlink>
        </w:p>
        <w:p w14:paraId="094E910E" w14:textId="032DB495"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38" w:history="1">
            <w:r w:rsidR="007C7AB8" w:rsidRPr="00FF756A">
              <w:rPr>
                <w:rStyle w:val="Hyperlink"/>
                <w:noProof/>
              </w:rPr>
              <w:t>3.2.3 Strategjia afatgjatë e rinovimit dhe nxitja e rinovimit rrënjësor me kosto efektive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_Toc183639238 \h </w:instrText>
            </w:r>
            <w:r w:rsidR="007C7AB8" w:rsidRPr="00FF756A">
              <w:rPr>
                <w:noProof/>
                <w:webHidden/>
              </w:rPr>
            </w:r>
            <w:r w:rsidR="007C7AB8" w:rsidRPr="00FF756A">
              <w:rPr>
                <w:noProof/>
                <w:webHidden/>
              </w:rPr>
              <w:fldChar w:fldCharType="separate"/>
            </w:r>
            <w:r w:rsidR="007C7AB8" w:rsidRPr="00FF756A">
              <w:rPr>
                <w:noProof/>
                <w:webHidden/>
              </w:rPr>
              <w:t>168</w:t>
            </w:r>
            <w:r w:rsidR="007C7AB8" w:rsidRPr="00FF756A">
              <w:rPr>
                <w:noProof/>
                <w:webHidden/>
              </w:rPr>
              <w:fldChar w:fldCharType="end"/>
            </w:r>
          </w:hyperlink>
        </w:p>
        <w:p w14:paraId="261F7392" w14:textId="4D61E234"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39" w:history="1">
            <w:r w:rsidR="007C7AB8" w:rsidRPr="00FF756A">
              <w:rPr>
                <w:rStyle w:val="Hyperlink"/>
                <w:noProof/>
              </w:rPr>
              <w:t>3.2.4 Zbatimi i kontratave për performancën energjitike dhe modeleve të tjera të shërbimeve për EE-së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_Toc183639239 \h </w:instrText>
            </w:r>
            <w:r w:rsidR="007C7AB8" w:rsidRPr="00FF756A">
              <w:rPr>
                <w:noProof/>
                <w:webHidden/>
              </w:rPr>
            </w:r>
            <w:r w:rsidR="007C7AB8" w:rsidRPr="00FF756A">
              <w:rPr>
                <w:noProof/>
                <w:webHidden/>
              </w:rPr>
              <w:fldChar w:fldCharType="separate"/>
            </w:r>
            <w:r w:rsidR="007C7AB8" w:rsidRPr="00FF756A">
              <w:rPr>
                <w:noProof/>
                <w:webHidden/>
              </w:rPr>
              <w:t>180</w:t>
            </w:r>
            <w:r w:rsidR="007C7AB8" w:rsidRPr="00FF756A">
              <w:rPr>
                <w:noProof/>
                <w:webHidden/>
              </w:rPr>
              <w:fldChar w:fldCharType="end"/>
            </w:r>
          </w:hyperlink>
        </w:p>
        <w:p w14:paraId="1FA16555" w14:textId="0CC6A34A"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40" w:history="1">
            <w:r w:rsidR="007C7AB8" w:rsidRPr="00FF756A">
              <w:rPr>
                <w:rStyle w:val="Hyperlink"/>
                <w:noProof/>
              </w:rPr>
              <w:t>3.2.5 Roli shembullor i ndërtesave publike dhe prokurimit publik për efiçencën e energjisë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_Toc183639240 \h </w:instrText>
            </w:r>
            <w:r w:rsidR="007C7AB8" w:rsidRPr="00FF756A">
              <w:rPr>
                <w:noProof/>
                <w:webHidden/>
              </w:rPr>
            </w:r>
            <w:r w:rsidR="007C7AB8" w:rsidRPr="00FF756A">
              <w:rPr>
                <w:noProof/>
                <w:webHidden/>
              </w:rPr>
              <w:fldChar w:fldCharType="separate"/>
            </w:r>
            <w:r w:rsidR="007C7AB8" w:rsidRPr="00FF756A">
              <w:rPr>
                <w:noProof/>
                <w:webHidden/>
              </w:rPr>
              <w:t>181</w:t>
            </w:r>
            <w:r w:rsidR="007C7AB8" w:rsidRPr="00FF756A">
              <w:rPr>
                <w:noProof/>
                <w:webHidden/>
              </w:rPr>
              <w:fldChar w:fldCharType="end"/>
            </w:r>
          </w:hyperlink>
        </w:p>
        <w:p w14:paraId="0DB937B0" w14:textId="55C35A52"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41" w:history="1">
            <w:r w:rsidR="007C7AB8" w:rsidRPr="00FF756A">
              <w:rPr>
                <w:rStyle w:val="Hyperlink"/>
                <w:noProof/>
              </w:rPr>
              <w:t>3.2.6 Promovimi i auditimeve të energjisë dhe sistemeve të menaxhimit të energjisë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_Toc183639241 \h </w:instrText>
            </w:r>
            <w:r w:rsidR="007C7AB8" w:rsidRPr="00FF756A">
              <w:rPr>
                <w:noProof/>
                <w:webHidden/>
              </w:rPr>
            </w:r>
            <w:r w:rsidR="007C7AB8" w:rsidRPr="00FF756A">
              <w:rPr>
                <w:noProof/>
                <w:webHidden/>
              </w:rPr>
              <w:fldChar w:fldCharType="separate"/>
            </w:r>
            <w:r w:rsidR="007C7AB8" w:rsidRPr="00FF756A">
              <w:rPr>
                <w:noProof/>
                <w:webHidden/>
              </w:rPr>
              <w:t>184</w:t>
            </w:r>
            <w:r w:rsidR="007C7AB8" w:rsidRPr="00FF756A">
              <w:rPr>
                <w:noProof/>
                <w:webHidden/>
              </w:rPr>
              <w:fldChar w:fldCharType="end"/>
            </w:r>
          </w:hyperlink>
        </w:p>
        <w:p w14:paraId="159A0B32" w14:textId="07CA8945"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42" w:history="1">
            <w:r w:rsidR="007C7AB8" w:rsidRPr="00FF756A">
              <w:rPr>
                <w:rStyle w:val="Hyperlink"/>
                <w:noProof/>
              </w:rPr>
              <w:t>3.2.7 Informacioni për konsumatorët dhe masat për trajnimin</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_Toc183639242 \h </w:instrText>
            </w:r>
            <w:r w:rsidR="007C7AB8" w:rsidRPr="00FF756A">
              <w:rPr>
                <w:noProof/>
                <w:webHidden/>
              </w:rPr>
            </w:r>
            <w:r w:rsidR="007C7AB8" w:rsidRPr="00FF756A">
              <w:rPr>
                <w:noProof/>
                <w:webHidden/>
              </w:rPr>
              <w:fldChar w:fldCharType="separate"/>
            </w:r>
            <w:r w:rsidR="007C7AB8" w:rsidRPr="00FF756A">
              <w:rPr>
                <w:noProof/>
                <w:webHidden/>
              </w:rPr>
              <w:t>186</w:t>
            </w:r>
            <w:r w:rsidR="007C7AB8" w:rsidRPr="00FF756A">
              <w:rPr>
                <w:noProof/>
                <w:webHidden/>
              </w:rPr>
              <w:fldChar w:fldCharType="end"/>
            </w:r>
          </w:hyperlink>
        </w:p>
        <w:p w14:paraId="51AC2FBD" w14:textId="5FA19ED0"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43" w:history="1">
            <w:r w:rsidR="007C7AB8" w:rsidRPr="00FF756A">
              <w:rPr>
                <w:rStyle w:val="Hyperlink"/>
                <w:noProof/>
              </w:rPr>
              <w:t>3.2.8 Efiçenca e energjisë në transport</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_Toc183639243 \h </w:instrText>
            </w:r>
            <w:r w:rsidR="007C7AB8" w:rsidRPr="00FF756A">
              <w:rPr>
                <w:noProof/>
                <w:webHidden/>
              </w:rPr>
            </w:r>
            <w:r w:rsidR="007C7AB8" w:rsidRPr="00FF756A">
              <w:rPr>
                <w:noProof/>
                <w:webHidden/>
              </w:rPr>
              <w:fldChar w:fldCharType="separate"/>
            </w:r>
            <w:r w:rsidR="007C7AB8" w:rsidRPr="00FF756A">
              <w:rPr>
                <w:noProof/>
                <w:webHidden/>
              </w:rPr>
              <w:t>187</w:t>
            </w:r>
            <w:r w:rsidR="007C7AB8" w:rsidRPr="00FF756A">
              <w:rPr>
                <w:noProof/>
                <w:webHidden/>
              </w:rPr>
              <w:fldChar w:fldCharType="end"/>
            </w:r>
          </w:hyperlink>
        </w:p>
        <w:p w14:paraId="55B056CD" w14:textId="64229C90" w:rsidR="007C7AB8" w:rsidRPr="00FF756A" w:rsidRDefault="008A279C">
          <w:pPr>
            <w:pStyle w:val="TOC2"/>
            <w:tabs>
              <w:tab w:val="right" w:leader="dot" w:pos="9062"/>
            </w:tabs>
            <w:rPr>
              <w:rFonts w:eastAsiaTheme="minorEastAsia"/>
              <w:noProof/>
              <w:kern w:val="2"/>
              <w:sz w:val="24"/>
              <w:szCs w:val="24"/>
              <w:lang w:val="en-US"/>
              <w14:ligatures w14:val="standardContextual"/>
            </w:rPr>
          </w:pPr>
          <w:hyperlink w:anchor="_Toc183639244" w:history="1">
            <w:r w:rsidR="007C7AB8" w:rsidRPr="00FF756A">
              <w:rPr>
                <w:rStyle w:val="Hyperlink"/>
                <w:noProof/>
              </w:rPr>
              <w:t>3.3 Siguria energjetike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_Toc183639244 \h </w:instrText>
            </w:r>
            <w:r w:rsidR="007C7AB8" w:rsidRPr="00FF756A">
              <w:rPr>
                <w:noProof/>
                <w:webHidden/>
              </w:rPr>
            </w:r>
            <w:r w:rsidR="007C7AB8" w:rsidRPr="00FF756A">
              <w:rPr>
                <w:noProof/>
                <w:webHidden/>
              </w:rPr>
              <w:fldChar w:fldCharType="separate"/>
            </w:r>
            <w:r w:rsidR="007C7AB8" w:rsidRPr="00FF756A">
              <w:rPr>
                <w:noProof/>
                <w:webHidden/>
              </w:rPr>
              <w:t>194</w:t>
            </w:r>
            <w:r w:rsidR="007C7AB8" w:rsidRPr="00FF756A">
              <w:rPr>
                <w:noProof/>
                <w:webHidden/>
              </w:rPr>
              <w:fldChar w:fldCharType="end"/>
            </w:r>
          </w:hyperlink>
        </w:p>
        <w:p w14:paraId="68FEDAF3" w14:textId="5DEE6F86"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45" w:history="1">
            <w:r w:rsidR="007C7AB8" w:rsidRPr="00FF756A">
              <w:rPr>
                <w:rStyle w:val="Hyperlink"/>
                <w:noProof/>
              </w:rPr>
              <w:t>3.3.1 Kuadri ligjor gjithëpërfshirës</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_Toc183639245 \h </w:instrText>
            </w:r>
            <w:r w:rsidR="007C7AB8" w:rsidRPr="00FF756A">
              <w:rPr>
                <w:noProof/>
                <w:webHidden/>
              </w:rPr>
            </w:r>
            <w:r w:rsidR="007C7AB8" w:rsidRPr="00FF756A">
              <w:rPr>
                <w:noProof/>
                <w:webHidden/>
              </w:rPr>
              <w:fldChar w:fldCharType="separate"/>
            </w:r>
            <w:r w:rsidR="007C7AB8" w:rsidRPr="00FF756A">
              <w:rPr>
                <w:noProof/>
                <w:webHidden/>
              </w:rPr>
              <w:t>194</w:t>
            </w:r>
            <w:r w:rsidR="007C7AB8" w:rsidRPr="00FF756A">
              <w:rPr>
                <w:noProof/>
                <w:webHidden/>
              </w:rPr>
              <w:fldChar w:fldCharType="end"/>
            </w:r>
          </w:hyperlink>
        </w:p>
        <w:p w14:paraId="14228C60" w14:textId="21C08558"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46" w:history="1">
            <w:r w:rsidR="007C7AB8" w:rsidRPr="00FF756A">
              <w:rPr>
                <w:rStyle w:val="Hyperlink"/>
                <w:noProof/>
              </w:rPr>
              <w:t>3.3.2 Sektori i energjisë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_Toc183639246 \h </w:instrText>
            </w:r>
            <w:r w:rsidR="007C7AB8" w:rsidRPr="00FF756A">
              <w:rPr>
                <w:noProof/>
                <w:webHidden/>
              </w:rPr>
            </w:r>
            <w:r w:rsidR="007C7AB8" w:rsidRPr="00FF756A">
              <w:rPr>
                <w:noProof/>
                <w:webHidden/>
              </w:rPr>
              <w:fldChar w:fldCharType="separate"/>
            </w:r>
            <w:r w:rsidR="007C7AB8" w:rsidRPr="00FF756A">
              <w:rPr>
                <w:noProof/>
                <w:webHidden/>
              </w:rPr>
              <w:t>194</w:t>
            </w:r>
            <w:r w:rsidR="007C7AB8" w:rsidRPr="00FF756A">
              <w:rPr>
                <w:noProof/>
                <w:webHidden/>
              </w:rPr>
              <w:fldChar w:fldCharType="end"/>
            </w:r>
          </w:hyperlink>
        </w:p>
        <w:p w14:paraId="0C6FE82A" w14:textId="0A9B4F8B"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47" w:history="1">
            <w:r w:rsidR="007C7AB8" w:rsidRPr="00FF756A">
              <w:rPr>
                <w:rStyle w:val="Hyperlink"/>
                <w:noProof/>
              </w:rPr>
              <w:t>3.3.3 Sektori i naftës dhe gazit</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_Toc183639247 \h </w:instrText>
            </w:r>
            <w:r w:rsidR="007C7AB8" w:rsidRPr="00FF756A">
              <w:rPr>
                <w:noProof/>
                <w:webHidden/>
              </w:rPr>
            </w:r>
            <w:r w:rsidR="007C7AB8" w:rsidRPr="00FF756A">
              <w:rPr>
                <w:noProof/>
                <w:webHidden/>
              </w:rPr>
              <w:fldChar w:fldCharType="separate"/>
            </w:r>
            <w:r w:rsidR="007C7AB8" w:rsidRPr="00FF756A">
              <w:rPr>
                <w:noProof/>
                <w:webHidden/>
              </w:rPr>
              <w:t>196</w:t>
            </w:r>
            <w:r w:rsidR="007C7AB8" w:rsidRPr="00FF756A">
              <w:rPr>
                <w:noProof/>
                <w:webHidden/>
              </w:rPr>
              <w:fldChar w:fldCharType="end"/>
            </w:r>
          </w:hyperlink>
        </w:p>
        <w:p w14:paraId="3C2A49F5" w14:textId="24FF08FD"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48" w:history="1">
            <w:r w:rsidR="007C7AB8" w:rsidRPr="00FF756A">
              <w:rPr>
                <w:rStyle w:val="Hyperlink"/>
                <w:noProof/>
              </w:rPr>
              <w:t>3.3.4 Bashkëpunimi rajonal</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_Toc183639248 \h </w:instrText>
            </w:r>
            <w:r w:rsidR="007C7AB8" w:rsidRPr="00FF756A">
              <w:rPr>
                <w:noProof/>
                <w:webHidden/>
              </w:rPr>
            </w:r>
            <w:r w:rsidR="007C7AB8" w:rsidRPr="00FF756A">
              <w:rPr>
                <w:noProof/>
                <w:webHidden/>
              </w:rPr>
              <w:fldChar w:fldCharType="separate"/>
            </w:r>
            <w:r w:rsidR="007C7AB8" w:rsidRPr="00FF756A">
              <w:rPr>
                <w:noProof/>
                <w:webHidden/>
              </w:rPr>
              <w:t>202</w:t>
            </w:r>
            <w:r w:rsidR="007C7AB8" w:rsidRPr="00FF756A">
              <w:rPr>
                <w:noProof/>
                <w:webHidden/>
              </w:rPr>
              <w:fldChar w:fldCharType="end"/>
            </w:r>
          </w:hyperlink>
        </w:p>
        <w:p w14:paraId="3D640668" w14:textId="6D1CC60B"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249" w:history="1">
            <w:r w:rsidR="007C7AB8" w:rsidRPr="00FF756A">
              <w:rPr>
                <w:rStyle w:val="Hyperlink"/>
                <w:noProof/>
              </w:rPr>
              <w:t>3.4</w:t>
            </w:r>
            <w:r w:rsidR="007C7AB8" w:rsidRPr="00FF756A">
              <w:rPr>
                <w:rFonts w:eastAsiaTheme="minorEastAsia"/>
                <w:noProof/>
                <w:kern w:val="2"/>
                <w:sz w:val="24"/>
                <w:szCs w:val="24"/>
                <w:lang w:val="en-US"/>
                <w14:ligatures w14:val="standardContextual"/>
              </w:rPr>
              <w:tab/>
            </w:r>
            <w:r w:rsidR="007C7AB8" w:rsidRPr="00FF756A">
              <w:rPr>
                <w:rStyle w:val="Hyperlink"/>
                <w:noProof/>
              </w:rPr>
              <w:t>Tregu i brendshëm i energjisë elektrike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_Toc183639249 \h </w:instrText>
            </w:r>
            <w:r w:rsidR="007C7AB8" w:rsidRPr="00FF756A">
              <w:rPr>
                <w:noProof/>
                <w:webHidden/>
              </w:rPr>
            </w:r>
            <w:r w:rsidR="007C7AB8" w:rsidRPr="00FF756A">
              <w:rPr>
                <w:noProof/>
                <w:webHidden/>
              </w:rPr>
              <w:fldChar w:fldCharType="separate"/>
            </w:r>
            <w:r w:rsidR="007C7AB8" w:rsidRPr="00FF756A">
              <w:rPr>
                <w:noProof/>
                <w:webHidden/>
              </w:rPr>
              <w:t>203</w:t>
            </w:r>
            <w:r w:rsidR="007C7AB8" w:rsidRPr="00FF756A">
              <w:rPr>
                <w:noProof/>
                <w:webHidden/>
              </w:rPr>
              <w:fldChar w:fldCharType="end"/>
            </w:r>
          </w:hyperlink>
        </w:p>
        <w:p w14:paraId="4156ABC8" w14:textId="6DD56FD7"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50" w:history="1">
            <w:r w:rsidR="007C7AB8" w:rsidRPr="00FF756A">
              <w:rPr>
                <w:rStyle w:val="Hyperlink"/>
                <w:noProof/>
              </w:rPr>
              <w:t>3.4.1 Kuadri ligjor gjithëpërfshirës</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_Toc183639250 \h </w:instrText>
            </w:r>
            <w:r w:rsidR="007C7AB8" w:rsidRPr="00FF756A">
              <w:rPr>
                <w:noProof/>
                <w:webHidden/>
              </w:rPr>
            </w:r>
            <w:r w:rsidR="007C7AB8" w:rsidRPr="00FF756A">
              <w:rPr>
                <w:noProof/>
                <w:webHidden/>
              </w:rPr>
              <w:fldChar w:fldCharType="separate"/>
            </w:r>
            <w:r w:rsidR="007C7AB8" w:rsidRPr="00FF756A">
              <w:rPr>
                <w:noProof/>
                <w:webHidden/>
              </w:rPr>
              <w:t>203</w:t>
            </w:r>
            <w:r w:rsidR="007C7AB8" w:rsidRPr="00FF756A">
              <w:rPr>
                <w:noProof/>
                <w:webHidden/>
              </w:rPr>
              <w:fldChar w:fldCharType="end"/>
            </w:r>
          </w:hyperlink>
        </w:p>
        <w:p w14:paraId="3508F5FE" w14:textId="4B14D40B"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51" w:history="1">
            <w:r w:rsidR="007C7AB8" w:rsidRPr="00FF756A">
              <w:rPr>
                <w:rStyle w:val="Hyperlink"/>
                <w:noProof/>
              </w:rPr>
              <w:t>3.4.2 Infrastruktura e energjisë elektrike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_Toc183639251 \h </w:instrText>
            </w:r>
            <w:r w:rsidR="007C7AB8" w:rsidRPr="00FF756A">
              <w:rPr>
                <w:noProof/>
                <w:webHidden/>
              </w:rPr>
            </w:r>
            <w:r w:rsidR="007C7AB8" w:rsidRPr="00FF756A">
              <w:rPr>
                <w:noProof/>
                <w:webHidden/>
              </w:rPr>
              <w:fldChar w:fldCharType="separate"/>
            </w:r>
            <w:r w:rsidR="007C7AB8" w:rsidRPr="00FF756A">
              <w:rPr>
                <w:noProof/>
                <w:webHidden/>
              </w:rPr>
              <w:t>204</w:t>
            </w:r>
            <w:r w:rsidR="007C7AB8" w:rsidRPr="00FF756A">
              <w:rPr>
                <w:noProof/>
                <w:webHidden/>
              </w:rPr>
              <w:fldChar w:fldCharType="end"/>
            </w:r>
          </w:hyperlink>
        </w:p>
        <w:p w14:paraId="33D1DF0D" w14:textId="03AF096C"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52" w:history="1">
            <w:r w:rsidR="007C7AB8" w:rsidRPr="00FF756A">
              <w:rPr>
                <w:rStyle w:val="Hyperlink"/>
                <w:noProof/>
              </w:rPr>
              <w:t>3.4.3 Varfëria energjetike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_Toc183639252 \h </w:instrText>
            </w:r>
            <w:r w:rsidR="007C7AB8" w:rsidRPr="00FF756A">
              <w:rPr>
                <w:noProof/>
                <w:webHidden/>
              </w:rPr>
            </w:r>
            <w:r w:rsidR="007C7AB8" w:rsidRPr="00FF756A">
              <w:rPr>
                <w:noProof/>
                <w:webHidden/>
              </w:rPr>
              <w:fldChar w:fldCharType="separate"/>
            </w:r>
            <w:r w:rsidR="007C7AB8" w:rsidRPr="00FF756A">
              <w:rPr>
                <w:noProof/>
                <w:webHidden/>
              </w:rPr>
              <w:t>208</w:t>
            </w:r>
            <w:r w:rsidR="007C7AB8" w:rsidRPr="00FF756A">
              <w:rPr>
                <w:noProof/>
                <w:webHidden/>
              </w:rPr>
              <w:fldChar w:fldCharType="end"/>
            </w:r>
          </w:hyperlink>
        </w:p>
        <w:p w14:paraId="1566BE08" w14:textId="4B739C55"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253" w:history="1">
            <w:r w:rsidR="007C7AB8" w:rsidRPr="00FF756A">
              <w:rPr>
                <w:rStyle w:val="Hyperlink"/>
                <w:noProof/>
              </w:rPr>
              <w:t>3.5</w:t>
            </w:r>
            <w:r w:rsidR="007C7AB8" w:rsidRPr="00FF756A">
              <w:rPr>
                <w:rFonts w:eastAsiaTheme="minorEastAsia"/>
                <w:noProof/>
                <w:kern w:val="2"/>
                <w:sz w:val="24"/>
                <w:szCs w:val="24"/>
                <w:lang w:val="en-US"/>
                <w14:ligatures w14:val="standardContextual"/>
              </w:rPr>
              <w:tab/>
            </w:r>
            <w:r w:rsidR="007C7AB8" w:rsidRPr="00FF756A">
              <w:rPr>
                <w:rStyle w:val="Hyperlink"/>
                <w:noProof/>
              </w:rPr>
              <w:t>Kërkimi, inovacioni dhe konkurrenca</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_Toc183639253 \h </w:instrText>
            </w:r>
            <w:r w:rsidR="007C7AB8" w:rsidRPr="00FF756A">
              <w:rPr>
                <w:noProof/>
                <w:webHidden/>
              </w:rPr>
            </w:r>
            <w:r w:rsidR="007C7AB8" w:rsidRPr="00FF756A">
              <w:rPr>
                <w:noProof/>
                <w:webHidden/>
              </w:rPr>
              <w:fldChar w:fldCharType="separate"/>
            </w:r>
            <w:r w:rsidR="007C7AB8" w:rsidRPr="00FF756A">
              <w:rPr>
                <w:noProof/>
                <w:webHidden/>
              </w:rPr>
              <w:t>209</w:t>
            </w:r>
            <w:r w:rsidR="007C7AB8" w:rsidRPr="00FF756A">
              <w:rPr>
                <w:noProof/>
                <w:webHidden/>
              </w:rPr>
              <w:fldChar w:fldCharType="end"/>
            </w:r>
          </w:hyperlink>
        </w:p>
        <w:p w14:paraId="2194F740" w14:textId="402FB38C"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54" w:history="1">
            <w:r w:rsidR="007C7AB8" w:rsidRPr="00FF756A">
              <w:rPr>
                <w:rStyle w:val="Hyperlink"/>
                <w:noProof/>
              </w:rPr>
              <w:t>3.5.1 Kuadri ligjor gjithëpërfshirës</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_Toc183639254 \h </w:instrText>
            </w:r>
            <w:r w:rsidR="007C7AB8" w:rsidRPr="00FF756A">
              <w:rPr>
                <w:noProof/>
                <w:webHidden/>
              </w:rPr>
            </w:r>
            <w:r w:rsidR="007C7AB8" w:rsidRPr="00FF756A">
              <w:rPr>
                <w:noProof/>
                <w:webHidden/>
              </w:rPr>
              <w:fldChar w:fldCharType="separate"/>
            </w:r>
            <w:r w:rsidR="007C7AB8" w:rsidRPr="00FF756A">
              <w:rPr>
                <w:noProof/>
                <w:webHidden/>
              </w:rPr>
              <w:t>209</w:t>
            </w:r>
            <w:r w:rsidR="007C7AB8" w:rsidRPr="00FF756A">
              <w:rPr>
                <w:noProof/>
                <w:webHidden/>
              </w:rPr>
              <w:fldChar w:fldCharType="end"/>
            </w:r>
          </w:hyperlink>
        </w:p>
        <w:p w14:paraId="6ADE0A85" w14:textId="3E01B364"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55" w:history="1">
            <w:r w:rsidR="007C7AB8" w:rsidRPr="00FF756A">
              <w:rPr>
                <w:rStyle w:val="Hyperlink"/>
                <w:noProof/>
              </w:rPr>
              <w:t>3.5.2 Kërkimi</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_Toc183639255 \h </w:instrText>
            </w:r>
            <w:r w:rsidR="007C7AB8" w:rsidRPr="00FF756A">
              <w:rPr>
                <w:noProof/>
                <w:webHidden/>
              </w:rPr>
            </w:r>
            <w:r w:rsidR="007C7AB8" w:rsidRPr="00FF756A">
              <w:rPr>
                <w:noProof/>
                <w:webHidden/>
              </w:rPr>
              <w:fldChar w:fldCharType="separate"/>
            </w:r>
            <w:r w:rsidR="007C7AB8" w:rsidRPr="00FF756A">
              <w:rPr>
                <w:noProof/>
                <w:webHidden/>
              </w:rPr>
              <w:t>209</w:t>
            </w:r>
            <w:r w:rsidR="007C7AB8" w:rsidRPr="00FF756A">
              <w:rPr>
                <w:noProof/>
                <w:webHidden/>
              </w:rPr>
              <w:fldChar w:fldCharType="end"/>
            </w:r>
          </w:hyperlink>
        </w:p>
        <w:p w14:paraId="634679F7" w14:textId="18CB9BB6"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56" w:history="1">
            <w:r w:rsidR="007C7AB8" w:rsidRPr="00FF756A">
              <w:rPr>
                <w:rStyle w:val="Hyperlink"/>
                <w:noProof/>
              </w:rPr>
              <w:t>3.5.3 Inovacioni dhe konkurrenca</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_Toc183639256 \h </w:instrText>
            </w:r>
            <w:r w:rsidR="007C7AB8" w:rsidRPr="00FF756A">
              <w:rPr>
                <w:noProof/>
                <w:webHidden/>
              </w:rPr>
            </w:r>
            <w:r w:rsidR="007C7AB8" w:rsidRPr="00FF756A">
              <w:rPr>
                <w:noProof/>
                <w:webHidden/>
              </w:rPr>
              <w:fldChar w:fldCharType="separate"/>
            </w:r>
            <w:r w:rsidR="007C7AB8" w:rsidRPr="00FF756A">
              <w:rPr>
                <w:noProof/>
                <w:webHidden/>
              </w:rPr>
              <w:t>211</w:t>
            </w:r>
            <w:r w:rsidR="007C7AB8" w:rsidRPr="00FF756A">
              <w:rPr>
                <w:noProof/>
                <w:webHidden/>
              </w:rPr>
              <w:fldChar w:fldCharType="end"/>
            </w:r>
          </w:hyperlink>
        </w:p>
        <w:p w14:paraId="21C1D711" w14:textId="21816837" w:rsidR="007C7AB8" w:rsidRPr="00FF756A" w:rsidRDefault="008A279C">
          <w:pPr>
            <w:pStyle w:val="TOC1"/>
            <w:tabs>
              <w:tab w:val="left" w:pos="440"/>
              <w:tab w:val="right" w:leader="dot" w:pos="9062"/>
            </w:tabs>
            <w:rPr>
              <w:rFonts w:eastAsiaTheme="minorEastAsia"/>
              <w:noProof/>
              <w:kern w:val="2"/>
              <w:sz w:val="24"/>
              <w:szCs w:val="24"/>
              <w:lang w:val="en-US"/>
              <w14:ligatures w14:val="standardContextual"/>
            </w:rPr>
          </w:pPr>
          <w:hyperlink w:anchor="_Toc183639257" w:history="1">
            <w:r w:rsidR="007C7AB8" w:rsidRPr="00FF756A">
              <w:rPr>
                <w:rStyle w:val="Hyperlink"/>
                <w:noProof/>
              </w:rPr>
              <w:t>4.</w:t>
            </w:r>
            <w:r w:rsidR="007C7AB8" w:rsidRPr="00FF756A">
              <w:rPr>
                <w:rFonts w:eastAsiaTheme="minorEastAsia"/>
                <w:noProof/>
                <w:kern w:val="2"/>
                <w:sz w:val="24"/>
                <w:szCs w:val="24"/>
                <w:lang w:val="en-US"/>
                <w14:ligatures w14:val="standardContextual"/>
              </w:rPr>
              <w:tab/>
            </w:r>
            <w:r w:rsidR="007C7AB8" w:rsidRPr="00FF756A">
              <w:rPr>
                <w:rStyle w:val="Hyperlink"/>
                <w:noProof/>
              </w:rPr>
              <w:t>SITUATA AKTUALE DHE PROJEKSIONET BAZUAR NË POLITIKAT DHE MASAT EKZISTUESE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_Toc183639257 \h </w:instrText>
            </w:r>
            <w:r w:rsidR="007C7AB8" w:rsidRPr="00FF756A">
              <w:rPr>
                <w:noProof/>
                <w:webHidden/>
              </w:rPr>
            </w:r>
            <w:r w:rsidR="007C7AB8" w:rsidRPr="00FF756A">
              <w:rPr>
                <w:noProof/>
                <w:webHidden/>
              </w:rPr>
              <w:fldChar w:fldCharType="separate"/>
            </w:r>
            <w:r w:rsidR="007C7AB8" w:rsidRPr="00FF756A">
              <w:rPr>
                <w:noProof/>
                <w:webHidden/>
              </w:rPr>
              <w:t>217</w:t>
            </w:r>
            <w:r w:rsidR="007C7AB8" w:rsidRPr="00FF756A">
              <w:rPr>
                <w:noProof/>
                <w:webHidden/>
              </w:rPr>
              <w:fldChar w:fldCharType="end"/>
            </w:r>
          </w:hyperlink>
        </w:p>
        <w:p w14:paraId="246474F4" w14:textId="6F0711C6"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258" w:history="1">
            <w:r w:rsidR="007C7AB8" w:rsidRPr="00FF756A">
              <w:rPr>
                <w:rStyle w:val="Hyperlink"/>
                <w:noProof/>
                <w:lang w:eastAsia="de-DE"/>
              </w:rPr>
              <w:t>4.1</w:t>
            </w:r>
            <w:r w:rsidR="007C7AB8" w:rsidRPr="00FF756A">
              <w:rPr>
                <w:rFonts w:eastAsiaTheme="minorEastAsia"/>
                <w:noProof/>
                <w:kern w:val="2"/>
                <w:sz w:val="24"/>
                <w:szCs w:val="24"/>
                <w:lang w:val="en-US"/>
                <w14:ligatures w14:val="standardContextual"/>
              </w:rPr>
              <w:tab/>
            </w:r>
            <w:r w:rsidR="007C7AB8" w:rsidRPr="00FF756A">
              <w:rPr>
                <w:rStyle w:val="Hyperlink"/>
                <w:noProof/>
                <w:lang w:eastAsia="de-DE"/>
              </w:rPr>
              <w:t>Ndryshimet e projektuara të faktorëve kryesorë ekzogjenë që ndikojnë në sistemin e energjisë dhe në luhatjet e shkarkimeve të GES-ve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_Toc183639258 \h </w:instrText>
            </w:r>
            <w:r w:rsidR="007C7AB8" w:rsidRPr="00FF756A">
              <w:rPr>
                <w:noProof/>
                <w:webHidden/>
              </w:rPr>
            </w:r>
            <w:r w:rsidR="007C7AB8" w:rsidRPr="00FF756A">
              <w:rPr>
                <w:noProof/>
                <w:webHidden/>
              </w:rPr>
              <w:fldChar w:fldCharType="separate"/>
            </w:r>
            <w:r w:rsidR="007C7AB8" w:rsidRPr="00FF756A">
              <w:rPr>
                <w:noProof/>
                <w:webHidden/>
              </w:rPr>
              <w:t>217</w:t>
            </w:r>
            <w:r w:rsidR="007C7AB8" w:rsidRPr="00FF756A">
              <w:rPr>
                <w:noProof/>
                <w:webHidden/>
              </w:rPr>
              <w:fldChar w:fldCharType="end"/>
            </w:r>
          </w:hyperlink>
        </w:p>
        <w:p w14:paraId="3CE77CF2" w14:textId="75FACFCA" w:rsidR="007C7AB8" w:rsidRPr="00FF756A" w:rsidRDefault="008A279C">
          <w:pPr>
            <w:pStyle w:val="TOC4"/>
            <w:tabs>
              <w:tab w:val="left" w:pos="154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59" w:history="1">
            <w:r w:rsidR="007C7AB8" w:rsidRPr="00FF756A">
              <w:rPr>
                <w:rStyle w:val="Hyperlink"/>
                <w:rFonts w:ascii="Times New Roman" w:eastAsia="Calibri Light" w:hAnsi="Times New Roman" w:cs="Times New Roman"/>
                <w:i/>
                <w:iCs/>
                <w:noProof/>
              </w:rPr>
              <w:t>4.1.1</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eastAsia="Calibri Light" w:hAnsi="Times New Roman" w:cs="Times New Roman"/>
                <w:i/>
                <w:iCs/>
                <w:noProof/>
              </w:rPr>
              <w:t>Parashikimet në nivel makroekonomik (PBB-ja dhe rritja e popullsisë)</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_Toc183639259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217</w:t>
            </w:r>
            <w:r w:rsidR="007C7AB8" w:rsidRPr="00FF756A">
              <w:rPr>
                <w:rFonts w:ascii="Times New Roman" w:hAnsi="Times New Roman" w:cs="Times New Roman"/>
                <w:noProof/>
                <w:webHidden/>
              </w:rPr>
              <w:fldChar w:fldCharType="end"/>
            </w:r>
          </w:hyperlink>
        </w:p>
        <w:p w14:paraId="17B1349F" w14:textId="23F89127" w:rsidR="007C7AB8" w:rsidRPr="00FF756A" w:rsidRDefault="008A279C">
          <w:pPr>
            <w:pStyle w:val="TOC4"/>
            <w:tabs>
              <w:tab w:val="left" w:pos="154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60" w:history="1">
            <w:r w:rsidR="007C7AB8" w:rsidRPr="00FF756A">
              <w:rPr>
                <w:rStyle w:val="Hyperlink"/>
                <w:rFonts w:ascii="Times New Roman" w:eastAsia="Calibri Light" w:hAnsi="Times New Roman" w:cs="Times New Roman"/>
                <w:i/>
                <w:iCs/>
                <w:noProof/>
              </w:rPr>
              <w:t>4.1.2</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eastAsia="Calibri Light" w:hAnsi="Times New Roman" w:cs="Times New Roman"/>
                <w:i/>
                <w:iCs/>
                <w:noProof/>
              </w:rPr>
              <w:t>Ndryshimet sektoriale që parashikohet të kenë ndikim te sistemi i energjisë dhe emetimet e GES-ve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_Toc183639260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218</w:t>
            </w:r>
            <w:r w:rsidR="007C7AB8" w:rsidRPr="00FF756A">
              <w:rPr>
                <w:rFonts w:ascii="Times New Roman" w:hAnsi="Times New Roman" w:cs="Times New Roman"/>
                <w:noProof/>
                <w:webHidden/>
              </w:rPr>
              <w:fldChar w:fldCharType="end"/>
            </w:r>
          </w:hyperlink>
        </w:p>
        <w:p w14:paraId="043C7009" w14:textId="1EB4D4FA"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61" w:history="1">
            <w:r w:rsidR="007C7AB8" w:rsidRPr="00FF756A">
              <w:rPr>
                <w:rStyle w:val="Hyperlink"/>
                <w:rFonts w:ascii="Times New Roman" w:hAnsi="Times New Roman" w:cs="Times New Roman"/>
                <w:noProof/>
              </w:rPr>
              <w:t>Sektori i banesave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_Toc183639261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219</w:t>
            </w:r>
            <w:r w:rsidR="007C7AB8" w:rsidRPr="00FF756A">
              <w:rPr>
                <w:rFonts w:ascii="Times New Roman" w:hAnsi="Times New Roman" w:cs="Times New Roman"/>
                <w:noProof/>
                <w:webHidden/>
              </w:rPr>
              <w:fldChar w:fldCharType="end"/>
            </w:r>
          </w:hyperlink>
        </w:p>
        <w:p w14:paraId="1DA2CC8F" w14:textId="003EB92C"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62" w:history="1">
            <w:r w:rsidR="007C7AB8" w:rsidRPr="00FF756A">
              <w:rPr>
                <w:rStyle w:val="Hyperlink"/>
                <w:rFonts w:ascii="Times New Roman" w:hAnsi="Times New Roman" w:cs="Times New Roman"/>
                <w:noProof/>
              </w:rPr>
              <w:t>Sektori i shërbimeve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_Toc183639262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221</w:t>
            </w:r>
            <w:r w:rsidR="007C7AB8" w:rsidRPr="00FF756A">
              <w:rPr>
                <w:rFonts w:ascii="Times New Roman" w:hAnsi="Times New Roman" w:cs="Times New Roman"/>
                <w:noProof/>
                <w:webHidden/>
              </w:rPr>
              <w:fldChar w:fldCharType="end"/>
            </w:r>
          </w:hyperlink>
        </w:p>
        <w:p w14:paraId="098E41C6" w14:textId="2812B1E3"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63" w:history="1">
            <w:r w:rsidR="007C7AB8" w:rsidRPr="00FF756A">
              <w:rPr>
                <w:rStyle w:val="Hyperlink"/>
                <w:rFonts w:ascii="Times New Roman" w:hAnsi="Times New Roman" w:cs="Times New Roman"/>
                <w:noProof/>
              </w:rPr>
              <w:t>Industria</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_Toc183639263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221</w:t>
            </w:r>
            <w:r w:rsidR="007C7AB8" w:rsidRPr="00FF756A">
              <w:rPr>
                <w:rFonts w:ascii="Times New Roman" w:hAnsi="Times New Roman" w:cs="Times New Roman"/>
                <w:noProof/>
                <w:webHidden/>
              </w:rPr>
              <w:fldChar w:fldCharType="end"/>
            </w:r>
          </w:hyperlink>
        </w:p>
        <w:p w14:paraId="317E08C5" w14:textId="65F691C3"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64" w:history="1">
            <w:r w:rsidR="007C7AB8" w:rsidRPr="00FF756A">
              <w:rPr>
                <w:rStyle w:val="Hyperlink"/>
                <w:rFonts w:ascii="Times New Roman" w:hAnsi="Times New Roman" w:cs="Times New Roman"/>
                <w:noProof/>
              </w:rPr>
              <w:t>Transporti</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_Toc183639264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221</w:t>
            </w:r>
            <w:r w:rsidR="007C7AB8" w:rsidRPr="00FF756A">
              <w:rPr>
                <w:rFonts w:ascii="Times New Roman" w:hAnsi="Times New Roman" w:cs="Times New Roman"/>
                <w:noProof/>
                <w:webHidden/>
              </w:rPr>
              <w:fldChar w:fldCharType="end"/>
            </w:r>
          </w:hyperlink>
        </w:p>
        <w:p w14:paraId="4B233E1D" w14:textId="6604962D"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65" w:history="1">
            <w:r w:rsidR="007C7AB8" w:rsidRPr="00FF756A">
              <w:rPr>
                <w:rStyle w:val="Hyperlink"/>
                <w:rFonts w:ascii="Times New Roman" w:hAnsi="Times New Roman" w:cs="Times New Roman"/>
                <w:noProof/>
              </w:rPr>
              <w:t>Sektorët e tjerë me kërkesë për energji</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_Toc183639265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225</w:t>
            </w:r>
            <w:r w:rsidR="007C7AB8" w:rsidRPr="00FF756A">
              <w:rPr>
                <w:rFonts w:ascii="Times New Roman" w:hAnsi="Times New Roman" w:cs="Times New Roman"/>
                <w:noProof/>
                <w:webHidden/>
              </w:rPr>
              <w:fldChar w:fldCharType="end"/>
            </w:r>
          </w:hyperlink>
        </w:p>
        <w:p w14:paraId="2212C27E" w14:textId="5F38CE2E"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66" w:history="1">
            <w:r w:rsidR="007C7AB8" w:rsidRPr="00FF756A">
              <w:rPr>
                <w:rStyle w:val="Hyperlink"/>
                <w:rFonts w:ascii="Times New Roman" w:hAnsi="Times New Roman" w:cs="Times New Roman"/>
                <w:noProof/>
              </w:rPr>
              <w:t>Transformimi i energjisë</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_Toc183639266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225</w:t>
            </w:r>
            <w:r w:rsidR="007C7AB8" w:rsidRPr="00FF756A">
              <w:rPr>
                <w:rFonts w:ascii="Times New Roman" w:hAnsi="Times New Roman" w:cs="Times New Roman"/>
                <w:noProof/>
                <w:webHidden/>
              </w:rPr>
              <w:fldChar w:fldCharType="end"/>
            </w:r>
          </w:hyperlink>
        </w:p>
        <w:p w14:paraId="44BC1B16" w14:textId="058FCAE6"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67" w:history="1">
            <w:r w:rsidR="007C7AB8" w:rsidRPr="00FF756A">
              <w:rPr>
                <w:rStyle w:val="Hyperlink"/>
                <w:rFonts w:ascii="Times New Roman" w:hAnsi="Times New Roman" w:cs="Times New Roman"/>
                <w:noProof/>
              </w:rPr>
              <w:t>Proceset industriale dhe përdorimi i produkteve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_Toc183639267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226</w:t>
            </w:r>
            <w:r w:rsidR="007C7AB8" w:rsidRPr="00FF756A">
              <w:rPr>
                <w:rFonts w:ascii="Times New Roman" w:hAnsi="Times New Roman" w:cs="Times New Roman"/>
                <w:noProof/>
                <w:webHidden/>
              </w:rPr>
              <w:fldChar w:fldCharType="end"/>
            </w:r>
          </w:hyperlink>
        </w:p>
        <w:p w14:paraId="7F68077C" w14:textId="6E1A9EBF"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68" w:history="1">
            <w:r w:rsidR="007C7AB8" w:rsidRPr="00FF756A">
              <w:rPr>
                <w:rStyle w:val="Hyperlink"/>
                <w:rFonts w:ascii="Times New Roman" w:hAnsi="Times New Roman" w:cs="Times New Roman"/>
                <w:noProof/>
              </w:rPr>
              <w:t>Bujqësia</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_Toc183639268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226</w:t>
            </w:r>
            <w:r w:rsidR="007C7AB8" w:rsidRPr="00FF756A">
              <w:rPr>
                <w:rFonts w:ascii="Times New Roman" w:hAnsi="Times New Roman" w:cs="Times New Roman"/>
                <w:noProof/>
                <w:webHidden/>
              </w:rPr>
              <w:fldChar w:fldCharType="end"/>
            </w:r>
          </w:hyperlink>
        </w:p>
        <w:p w14:paraId="54F420D9" w14:textId="797EE687"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69" w:history="1">
            <w:r w:rsidR="007C7AB8" w:rsidRPr="00FF756A">
              <w:rPr>
                <w:rStyle w:val="Hyperlink"/>
                <w:rFonts w:ascii="Times New Roman" w:hAnsi="Times New Roman" w:cs="Times New Roman"/>
                <w:noProof/>
              </w:rPr>
              <w:t>LULUCF</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_Toc183639269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227</w:t>
            </w:r>
            <w:r w:rsidR="007C7AB8" w:rsidRPr="00FF756A">
              <w:rPr>
                <w:rFonts w:ascii="Times New Roman" w:hAnsi="Times New Roman" w:cs="Times New Roman"/>
                <w:noProof/>
                <w:webHidden/>
              </w:rPr>
              <w:fldChar w:fldCharType="end"/>
            </w:r>
          </w:hyperlink>
        </w:p>
        <w:p w14:paraId="349D07F7" w14:textId="0C64C5FF"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70" w:history="1">
            <w:r w:rsidR="007C7AB8" w:rsidRPr="00FF756A">
              <w:rPr>
                <w:rStyle w:val="Hyperlink"/>
                <w:rFonts w:ascii="Times New Roman" w:hAnsi="Times New Roman" w:cs="Times New Roman"/>
                <w:noProof/>
              </w:rPr>
              <w:t>Mbetjet</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_Toc183639270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227</w:t>
            </w:r>
            <w:r w:rsidR="007C7AB8" w:rsidRPr="00FF756A">
              <w:rPr>
                <w:rFonts w:ascii="Times New Roman" w:hAnsi="Times New Roman" w:cs="Times New Roman"/>
                <w:noProof/>
                <w:webHidden/>
              </w:rPr>
              <w:fldChar w:fldCharType="end"/>
            </w:r>
          </w:hyperlink>
        </w:p>
        <w:p w14:paraId="07474E20" w14:textId="3425E583"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71" w:history="1">
            <w:r w:rsidR="007C7AB8" w:rsidRPr="00FF756A">
              <w:rPr>
                <w:rStyle w:val="Hyperlink"/>
                <w:rFonts w:ascii="Times New Roman" w:hAnsi="Times New Roman" w:cs="Times New Roman"/>
                <w:noProof/>
              </w:rPr>
              <w:t>Politikat e pasqyruara në model</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_Toc183639271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227</w:t>
            </w:r>
            <w:r w:rsidR="007C7AB8" w:rsidRPr="00FF756A">
              <w:rPr>
                <w:rFonts w:ascii="Times New Roman" w:hAnsi="Times New Roman" w:cs="Times New Roman"/>
                <w:noProof/>
                <w:webHidden/>
              </w:rPr>
              <w:fldChar w:fldCharType="end"/>
            </w:r>
          </w:hyperlink>
        </w:p>
        <w:p w14:paraId="558CC85D" w14:textId="4B24F590"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72" w:history="1">
            <w:r w:rsidR="007C7AB8" w:rsidRPr="00FF756A">
              <w:rPr>
                <w:rStyle w:val="Hyperlink"/>
                <w:rFonts w:ascii="Times New Roman" w:eastAsia="Calibri Light" w:hAnsi="Times New Roman" w:cs="Times New Roman"/>
                <w:i/>
                <w:iCs/>
                <w:noProof/>
              </w:rPr>
              <w:t>4.1.3 Tendencat globale të energjisë, çmimet e lëndëve me karbon në nivel ndërkombëtar, çmimi i karbonit në STE të BE-së</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_Toc183639272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230</w:t>
            </w:r>
            <w:r w:rsidR="007C7AB8" w:rsidRPr="00FF756A">
              <w:rPr>
                <w:rFonts w:ascii="Times New Roman" w:hAnsi="Times New Roman" w:cs="Times New Roman"/>
                <w:noProof/>
                <w:webHidden/>
              </w:rPr>
              <w:fldChar w:fldCharType="end"/>
            </w:r>
          </w:hyperlink>
        </w:p>
        <w:p w14:paraId="14EF6E1B" w14:textId="76462218" w:rsidR="007C7AB8" w:rsidRPr="00FF756A" w:rsidRDefault="008A279C">
          <w:pPr>
            <w:pStyle w:val="TOC4"/>
            <w:tabs>
              <w:tab w:val="left" w:pos="154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73" w:history="1">
            <w:r w:rsidR="007C7AB8" w:rsidRPr="00FF756A">
              <w:rPr>
                <w:rStyle w:val="Hyperlink"/>
                <w:rFonts w:ascii="Times New Roman" w:eastAsia="Calibri Light" w:hAnsi="Times New Roman" w:cs="Times New Roman"/>
                <w:i/>
                <w:iCs/>
                <w:noProof/>
              </w:rPr>
              <w:t>4.1.4</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eastAsia="Calibri Light" w:hAnsi="Times New Roman" w:cs="Times New Roman"/>
                <w:i/>
                <w:iCs/>
                <w:noProof/>
              </w:rPr>
              <w:t>Zhvillimi i kostove teknologjike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_Toc183639273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231</w:t>
            </w:r>
            <w:r w:rsidR="007C7AB8" w:rsidRPr="00FF756A">
              <w:rPr>
                <w:rFonts w:ascii="Times New Roman" w:hAnsi="Times New Roman" w:cs="Times New Roman"/>
                <w:noProof/>
                <w:webHidden/>
              </w:rPr>
              <w:fldChar w:fldCharType="end"/>
            </w:r>
          </w:hyperlink>
        </w:p>
        <w:p w14:paraId="405FBEE0" w14:textId="36D02DE8"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274" w:history="1">
            <w:r w:rsidR="007C7AB8" w:rsidRPr="00FF756A">
              <w:rPr>
                <w:rStyle w:val="Hyperlink"/>
                <w:noProof/>
                <w:lang w:eastAsia="de-DE"/>
              </w:rPr>
              <w:t>4.2</w:t>
            </w:r>
            <w:r w:rsidR="007C7AB8" w:rsidRPr="00FF756A">
              <w:rPr>
                <w:rFonts w:eastAsiaTheme="minorEastAsia"/>
                <w:noProof/>
                <w:kern w:val="2"/>
                <w:sz w:val="24"/>
                <w:szCs w:val="24"/>
                <w:lang w:val="en-US"/>
                <w14:ligatures w14:val="standardContextual"/>
              </w:rPr>
              <w:tab/>
            </w:r>
            <w:r w:rsidR="007C7AB8" w:rsidRPr="00FF756A">
              <w:rPr>
                <w:rStyle w:val="Hyperlink"/>
                <w:noProof/>
                <w:lang w:eastAsia="de-DE"/>
              </w:rPr>
              <w:t>Dimensioni i dekarbonizimit</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_Toc183639274 \h </w:instrText>
            </w:r>
            <w:r w:rsidR="007C7AB8" w:rsidRPr="00FF756A">
              <w:rPr>
                <w:noProof/>
                <w:webHidden/>
              </w:rPr>
            </w:r>
            <w:r w:rsidR="007C7AB8" w:rsidRPr="00FF756A">
              <w:rPr>
                <w:noProof/>
                <w:webHidden/>
              </w:rPr>
              <w:fldChar w:fldCharType="separate"/>
            </w:r>
            <w:r w:rsidR="007C7AB8" w:rsidRPr="00FF756A">
              <w:rPr>
                <w:noProof/>
                <w:webHidden/>
              </w:rPr>
              <w:t>232</w:t>
            </w:r>
            <w:r w:rsidR="007C7AB8" w:rsidRPr="00FF756A">
              <w:rPr>
                <w:noProof/>
                <w:webHidden/>
              </w:rPr>
              <w:fldChar w:fldCharType="end"/>
            </w:r>
          </w:hyperlink>
        </w:p>
        <w:p w14:paraId="342A72A4" w14:textId="67EBABB3"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75" w:history="1">
            <w:r w:rsidR="007C7AB8" w:rsidRPr="00FF756A">
              <w:rPr>
                <w:rStyle w:val="Hyperlink"/>
                <w:rFonts w:eastAsia="Calibri Light"/>
                <w:noProof/>
              </w:rPr>
              <w:t>4.2.1 Emetimet dhe largimet e GES-ve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_Toc183639275 \h </w:instrText>
            </w:r>
            <w:r w:rsidR="007C7AB8" w:rsidRPr="00FF756A">
              <w:rPr>
                <w:noProof/>
                <w:webHidden/>
              </w:rPr>
            </w:r>
            <w:r w:rsidR="007C7AB8" w:rsidRPr="00FF756A">
              <w:rPr>
                <w:noProof/>
                <w:webHidden/>
              </w:rPr>
              <w:fldChar w:fldCharType="separate"/>
            </w:r>
            <w:r w:rsidR="007C7AB8" w:rsidRPr="00FF756A">
              <w:rPr>
                <w:noProof/>
                <w:webHidden/>
              </w:rPr>
              <w:t>232</w:t>
            </w:r>
            <w:r w:rsidR="007C7AB8" w:rsidRPr="00FF756A">
              <w:rPr>
                <w:noProof/>
                <w:webHidden/>
              </w:rPr>
              <w:fldChar w:fldCharType="end"/>
            </w:r>
          </w:hyperlink>
        </w:p>
        <w:p w14:paraId="5B7CBA32" w14:textId="41EF3D16"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76" w:history="1">
            <w:r w:rsidR="007C7AB8" w:rsidRPr="00FF756A">
              <w:rPr>
                <w:rStyle w:val="Hyperlink"/>
                <w:rFonts w:ascii="Times New Roman" w:hAnsi="Times New Roman" w:cs="Times New Roman"/>
                <w:noProof/>
              </w:rPr>
              <w:t>Tendencat në shkarkimet dhe eliminimin aktual të GES-ve sipas ETS-së së BE-së, përpjekjet e përbashkëta dhe sektorët LULUCF, si dhe sektorët e ndryshëm të energjisë</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_Toc183639276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232</w:t>
            </w:r>
            <w:r w:rsidR="007C7AB8" w:rsidRPr="00FF756A">
              <w:rPr>
                <w:rFonts w:ascii="Times New Roman" w:hAnsi="Times New Roman" w:cs="Times New Roman"/>
                <w:noProof/>
                <w:webHidden/>
              </w:rPr>
              <w:fldChar w:fldCharType="end"/>
            </w:r>
          </w:hyperlink>
        </w:p>
        <w:p w14:paraId="5AFFE7FB" w14:textId="743D1284"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77" w:history="1">
            <w:r w:rsidR="007C7AB8" w:rsidRPr="00FF756A">
              <w:rPr>
                <w:rStyle w:val="Hyperlink"/>
                <w:rFonts w:ascii="Times New Roman" w:eastAsia="Calibri Light" w:hAnsi="Times New Roman" w:cs="Times New Roman"/>
                <w:i/>
                <w:iCs/>
                <w:noProof/>
              </w:rPr>
              <w:t>Parashikimet e zhvillimeve sektoriale me politikat dhe masat ekzistuese në nivel kombëtar dhe BE-je, të paktën deri në vitin 2040 (duke përfshirë edhe ato për vitin 2030)</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_Toc183639277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232</w:t>
            </w:r>
            <w:r w:rsidR="007C7AB8" w:rsidRPr="00FF756A">
              <w:rPr>
                <w:rFonts w:ascii="Times New Roman" w:hAnsi="Times New Roman" w:cs="Times New Roman"/>
                <w:noProof/>
                <w:webHidden/>
              </w:rPr>
              <w:fldChar w:fldCharType="end"/>
            </w:r>
          </w:hyperlink>
        </w:p>
        <w:p w14:paraId="26735D87" w14:textId="76971601" w:rsidR="007C7AB8" w:rsidRPr="00FF756A" w:rsidRDefault="008A279C">
          <w:pPr>
            <w:pStyle w:val="TOC3"/>
            <w:tabs>
              <w:tab w:val="right" w:leader="dot" w:pos="9062"/>
            </w:tabs>
            <w:rPr>
              <w:rFonts w:eastAsiaTheme="minorEastAsia"/>
              <w:noProof/>
              <w:kern w:val="2"/>
              <w:sz w:val="24"/>
              <w:szCs w:val="24"/>
              <w:lang w:val="en-US"/>
              <w14:ligatures w14:val="standardContextual"/>
            </w:rPr>
          </w:pPr>
          <w:hyperlink w:anchor="_Toc183639278" w:history="1">
            <w:r w:rsidR="007C7AB8" w:rsidRPr="00FF756A">
              <w:rPr>
                <w:rStyle w:val="Hyperlink"/>
                <w:noProof/>
              </w:rPr>
              <w:t>4.2.2 Energjia e rinovueshme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_Toc183639278 \h </w:instrText>
            </w:r>
            <w:r w:rsidR="007C7AB8" w:rsidRPr="00FF756A">
              <w:rPr>
                <w:noProof/>
                <w:webHidden/>
              </w:rPr>
            </w:r>
            <w:r w:rsidR="007C7AB8" w:rsidRPr="00FF756A">
              <w:rPr>
                <w:noProof/>
                <w:webHidden/>
              </w:rPr>
              <w:fldChar w:fldCharType="separate"/>
            </w:r>
            <w:r w:rsidR="007C7AB8" w:rsidRPr="00FF756A">
              <w:rPr>
                <w:noProof/>
                <w:webHidden/>
              </w:rPr>
              <w:t>243</w:t>
            </w:r>
            <w:r w:rsidR="007C7AB8" w:rsidRPr="00FF756A">
              <w:rPr>
                <w:noProof/>
                <w:webHidden/>
              </w:rPr>
              <w:fldChar w:fldCharType="end"/>
            </w:r>
          </w:hyperlink>
        </w:p>
        <w:p w14:paraId="32D7D99D" w14:textId="2EB65280"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79" w:history="1">
            <w:r w:rsidR="007C7AB8" w:rsidRPr="00FF756A">
              <w:rPr>
                <w:rStyle w:val="Hyperlink"/>
                <w:rFonts w:ascii="Times New Roman" w:hAnsi="Times New Roman" w:cs="Times New Roman"/>
                <w:noProof/>
              </w:rPr>
              <w:t>Përqindja aktuale e energjisë së rinovueshme në konsumin final bruto të energjisë dhe në sektorë të ndryshëm (ngrohja dhe ftohja, energjia elektrike dhe transporti), si dhe sipas teknologjisë në secilin nga këta sektorë</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_Toc183639279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244</w:t>
            </w:r>
            <w:r w:rsidR="007C7AB8" w:rsidRPr="00FF756A">
              <w:rPr>
                <w:rFonts w:ascii="Times New Roman" w:hAnsi="Times New Roman" w:cs="Times New Roman"/>
                <w:noProof/>
                <w:webHidden/>
              </w:rPr>
              <w:fldChar w:fldCharType="end"/>
            </w:r>
          </w:hyperlink>
        </w:p>
        <w:p w14:paraId="1DC42026" w14:textId="37A9BFAD"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80" w:history="1">
            <w:r w:rsidR="007C7AB8" w:rsidRPr="00FF756A">
              <w:rPr>
                <w:rStyle w:val="Hyperlink"/>
                <w:rFonts w:ascii="Times New Roman" w:hAnsi="Times New Roman" w:cs="Times New Roman"/>
                <w:noProof/>
              </w:rPr>
              <w:t>Projeksionet treguese për zhvillim bazuar në politikat ekzistuese, për vitin 2030 (me synim për vitin 2040)</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_Toc183639280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244</w:t>
            </w:r>
            <w:r w:rsidR="007C7AB8" w:rsidRPr="00FF756A">
              <w:rPr>
                <w:rFonts w:ascii="Times New Roman" w:hAnsi="Times New Roman" w:cs="Times New Roman"/>
                <w:noProof/>
                <w:webHidden/>
              </w:rPr>
              <w:fldChar w:fldCharType="end"/>
            </w:r>
          </w:hyperlink>
        </w:p>
        <w:p w14:paraId="0812098E" w14:textId="4EC9C284"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281" w:history="1">
            <w:r w:rsidR="007C7AB8" w:rsidRPr="00FF756A">
              <w:rPr>
                <w:rStyle w:val="Hyperlink"/>
                <w:noProof/>
                <w:lang w:eastAsia="de-DE"/>
              </w:rPr>
              <w:t>4.3</w:t>
            </w:r>
            <w:r w:rsidR="007C7AB8" w:rsidRPr="00FF756A">
              <w:rPr>
                <w:rFonts w:eastAsiaTheme="minorEastAsia"/>
                <w:noProof/>
                <w:kern w:val="2"/>
                <w:sz w:val="24"/>
                <w:szCs w:val="24"/>
                <w:lang w:val="en-US"/>
                <w14:ligatures w14:val="standardContextual"/>
              </w:rPr>
              <w:tab/>
            </w:r>
            <w:r w:rsidR="007C7AB8" w:rsidRPr="00FF756A">
              <w:rPr>
                <w:rStyle w:val="Hyperlink"/>
                <w:noProof/>
                <w:lang w:eastAsia="de-DE"/>
              </w:rPr>
              <w:t>Dimensioni i efiçencës së energjisë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_Toc183639281 \h </w:instrText>
            </w:r>
            <w:r w:rsidR="007C7AB8" w:rsidRPr="00FF756A">
              <w:rPr>
                <w:noProof/>
                <w:webHidden/>
              </w:rPr>
            </w:r>
            <w:r w:rsidR="007C7AB8" w:rsidRPr="00FF756A">
              <w:rPr>
                <w:noProof/>
                <w:webHidden/>
              </w:rPr>
              <w:fldChar w:fldCharType="separate"/>
            </w:r>
            <w:r w:rsidR="007C7AB8" w:rsidRPr="00FF756A">
              <w:rPr>
                <w:noProof/>
                <w:webHidden/>
              </w:rPr>
              <w:t>250</w:t>
            </w:r>
            <w:r w:rsidR="007C7AB8" w:rsidRPr="00FF756A">
              <w:rPr>
                <w:noProof/>
                <w:webHidden/>
              </w:rPr>
              <w:fldChar w:fldCharType="end"/>
            </w:r>
          </w:hyperlink>
        </w:p>
        <w:p w14:paraId="37054575" w14:textId="4F1ED57C"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82" w:history="1">
            <w:r w:rsidR="007C7AB8" w:rsidRPr="00FF756A">
              <w:rPr>
                <w:rStyle w:val="Hyperlink"/>
                <w:rFonts w:ascii="Times New Roman" w:eastAsia="Calibri Light" w:hAnsi="Times New Roman" w:cs="Times New Roman"/>
                <w:i/>
                <w:iCs/>
                <w:noProof/>
              </w:rPr>
              <w:t>Konsumi aktual primar dhe final i energjisë në ekonomi dhe sipas sektorëve (duke përfshirë sektorin e industrisë, të banesave, të shërbimeve dhe të transportit)</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_Toc183639282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250</w:t>
            </w:r>
            <w:r w:rsidR="007C7AB8" w:rsidRPr="00FF756A">
              <w:rPr>
                <w:rFonts w:ascii="Times New Roman" w:hAnsi="Times New Roman" w:cs="Times New Roman"/>
                <w:noProof/>
                <w:webHidden/>
              </w:rPr>
              <w:fldChar w:fldCharType="end"/>
            </w:r>
          </w:hyperlink>
        </w:p>
        <w:p w14:paraId="60466E2C" w14:textId="19966C3D"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83" w:history="1">
            <w:r w:rsidR="007C7AB8" w:rsidRPr="00FF756A">
              <w:rPr>
                <w:rStyle w:val="Hyperlink"/>
                <w:rFonts w:ascii="Times New Roman" w:eastAsia="Calibri Light" w:hAnsi="Times New Roman" w:cs="Times New Roman"/>
                <w:i/>
                <w:iCs/>
                <w:noProof/>
              </w:rPr>
              <w:t>Potenciali aktual për aplikimin e bashkëprodhimit me efiçencë të lartë, si dhe të ngrohjes dhe ftohjes qendrore efiçente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_Toc183639283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250</w:t>
            </w:r>
            <w:r w:rsidR="007C7AB8" w:rsidRPr="00FF756A">
              <w:rPr>
                <w:rFonts w:ascii="Times New Roman" w:hAnsi="Times New Roman" w:cs="Times New Roman"/>
                <w:noProof/>
                <w:webHidden/>
              </w:rPr>
              <w:fldChar w:fldCharType="end"/>
            </w:r>
          </w:hyperlink>
        </w:p>
        <w:p w14:paraId="08FD7191" w14:textId="7ADFCEC5"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84" w:history="1">
            <w:r w:rsidR="007C7AB8" w:rsidRPr="00FF756A">
              <w:rPr>
                <w:rStyle w:val="Hyperlink"/>
                <w:rFonts w:ascii="Times New Roman" w:eastAsia="Calibri Light" w:hAnsi="Times New Roman" w:cs="Times New Roman"/>
                <w:i/>
                <w:iCs/>
                <w:noProof/>
              </w:rPr>
              <w:t>Parashikimet që marrin në konsideratë politikat, masat dhe programet ekzistuese të efiçencës së energjisë, të përshkruara në pikën 1.2. (ii) për konsumin primar dhe final të energjisë për secilin sektor, të paktën deri në vitin 2040 (duke përfshirë edhe vitin 2030)</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_Toc183639284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251</w:t>
            </w:r>
            <w:r w:rsidR="007C7AB8" w:rsidRPr="00FF756A">
              <w:rPr>
                <w:rFonts w:ascii="Times New Roman" w:hAnsi="Times New Roman" w:cs="Times New Roman"/>
                <w:noProof/>
                <w:webHidden/>
              </w:rPr>
              <w:fldChar w:fldCharType="end"/>
            </w:r>
          </w:hyperlink>
        </w:p>
        <w:p w14:paraId="7DFA8A82" w14:textId="04465FDF"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85" w:history="1">
            <w:r w:rsidR="007C7AB8" w:rsidRPr="00FF756A">
              <w:rPr>
                <w:rStyle w:val="Hyperlink"/>
                <w:rFonts w:ascii="Times New Roman" w:eastAsia="Calibri Light" w:hAnsi="Times New Roman" w:cs="Times New Roman"/>
                <w:i/>
                <w:iCs/>
                <w:noProof/>
              </w:rPr>
              <w:t>Nivelet e kostos optimale për kërkesat minimale të performancës së energjisë që rezultojnë nga përllogaritjet në nivel kombëtar, në përputhje me nenin 5 të Direktivës 2010/31/BE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_Toc183639285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264</w:t>
            </w:r>
            <w:r w:rsidR="007C7AB8" w:rsidRPr="00FF756A">
              <w:rPr>
                <w:rFonts w:ascii="Times New Roman" w:hAnsi="Times New Roman" w:cs="Times New Roman"/>
                <w:noProof/>
                <w:webHidden/>
              </w:rPr>
              <w:fldChar w:fldCharType="end"/>
            </w:r>
          </w:hyperlink>
        </w:p>
        <w:p w14:paraId="0FA09E55" w14:textId="460A49B3"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286" w:history="1">
            <w:r w:rsidR="007C7AB8" w:rsidRPr="00FF756A">
              <w:rPr>
                <w:rStyle w:val="Hyperlink"/>
                <w:noProof/>
                <w:lang w:eastAsia="de-DE"/>
              </w:rPr>
              <w:t>4.4</w:t>
            </w:r>
            <w:r w:rsidR="007C7AB8" w:rsidRPr="00FF756A">
              <w:rPr>
                <w:rFonts w:eastAsiaTheme="minorEastAsia"/>
                <w:noProof/>
                <w:kern w:val="2"/>
                <w:sz w:val="24"/>
                <w:szCs w:val="24"/>
                <w:lang w:val="en-US"/>
                <w14:ligatures w14:val="standardContextual"/>
              </w:rPr>
              <w:tab/>
            </w:r>
            <w:r w:rsidR="007C7AB8" w:rsidRPr="00FF756A">
              <w:rPr>
                <w:rStyle w:val="Hyperlink"/>
                <w:noProof/>
                <w:lang w:eastAsia="de-DE"/>
              </w:rPr>
              <w:t>Dimensioni i sigurisë së energjisë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_Toc183639286 \h </w:instrText>
            </w:r>
            <w:r w:rsidR="007C7AB8" w:rsidRPr="00FF756A">
              <w:rPr>
                <w:noProof/>
                <w:webHidden/>
              </w:rPr>
            </w:r>
            <w:r w:rsidR="007C7AB8" w:rsidRPr="00FF756A">
              <w:rPr>
                <w:noProof/>
                <w:webHidden/>
              </w:rPr>
              <w:fldChar w:fldCharType="separate"/>
            </w:r>
            <w:r w:rsidR="007C7AB8" w:rsidRPr="00FF756A">
              <w:rPr>
                <w:noProof/>
                <w:webHidden/>
              </w:rPr>
              <w:t>264</w:t>
            </w:r>
            <w:r w:rsidR="007C7AB8" w:rsidRPr="00FF756A">
              <w:rPr>
                <w:noProof/>
                <w:webHidden/>
              </w:rPr>
              <w:fldChar w:fldCharType="end"/>
            </w:r>
          </w:hyperlink>
        </w:p>
        <w:p w14:paraId="1FE6D528" w14:textId="745C387B" w:rsidR="007C7AB8" w:rsidRPr="00FF756A" w:rsidRDefault="008A279C">
          <w:pPr>
            <w:pStyle w:val="TOC4"/>
            <w:tabs>
              <w:tab w:val="left" w:pos="154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87" w:history="1">
            <w:r w:rsidR="007C7AB8" w:rsidRPr="00FF756A">
              <w:rPr>
                <w:rStyle w:val="Hyperlink"/>
                <w:rFonts w:ascii="Times New Roman" w:eastAsia="Calibri Light" w:hAnsi="Times New Roman" w:cs="Times New Roman"/>
                <w:i/>
                <w:iCs/>
                <w:noProof/>
              </w:rPr>
              <w:t>4.4.1</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eastAsia="Calibri Light" w:hAnsi="Times New Roman" w:cs="Times New Roman"/>
                <w:i/>
                <w:iCs/>
                <w:noProof/>
              </w:rPr>
              <w:t>Balanca aktuale energjetike, burimet e brendshme të energjisë dhe varësia nga importet, duke përfshirë rreziqet përkatëse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_Toc183639287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264</w:t>
            </w:r>
            <w:r w:rsidR="007C7AB8" w:rsidRPr="00FF756A">
              <w:rPr>
                <w:rFonts w:ascii="Times New Roman" w:hAnsi="Times New Roman" w:cs="Times New Roman"/>
                <w:noProof/>
                <w:webHidden/>
              </w:rPr>
              <w:fldChar w:fldCharType="end"/>
            </w:r>
          </w:hyperlink>
        </w:p>
        <w:p w14:paraId="758C34CC" w14:textId="6EC1D69D" w:rsidR="007C7AB8" w:rsidRPr="00FF756A" w:rsidRDefault="008A279C">
          <w:pPr>
            <w:pStyle w:val="TOC4"/>
            <w:tabs>
              <w:tab w:val="left" w:pos="154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88" w:history="1">
            <w:r w:rsidR="007C7AB8" w:rsidRPr="00FF756A">
              <w:rPr>
                <w:rStyle w:val="Hyperlink"/>
                <w:rFonts w:ascii="Times New Roman" w:eastAsia="Calibri Light" w:hAnsi="Times New Roman" w:cs="Times New Roman"/>
                <w:i/>
                <w:iCs/>
                <w:noProof/>
              </w:rPr>
              <w:t>4.4.2</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eastAsia="Calibri Light" w:hAnsi="Times New Roman" w:cs="Times New Roman"/>
                <w:i/>
                <w:iCs/>
                <w:noProof/>
              </w:rPr>
              <w:t>Projeksionet e zhvillimit bazuar në politikat dhe masat ekzistuese, të paktën deri në vitin 2040 (duke përfshirë për vitin 2030)</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_Toc183639288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266</w:t>
            </w:r>
            <w:r w:rsidR="007C7AB8" w:rsidRPr="00FF756A">
              <w:rPr>
                <w:rFonts w:ascii="Times New Roman" w:hAnsi="Times New Roman" w:cs="Times New Roman"/>
                <w:noProof/>
                <w:webHidden/>
              </w:rPr>
              <w:fldChar w:fldCharType="end"/>
            </w:r>
          </w:hyperlink>
        </w:p>
        <w:p w14:paraId="1ED26B13" w14:textId="3E613228"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289" w:history="1">
            <w:r w:rsidR="007C7AB8" w:rsidRPr="00FF756A">
              <w:rPr>
                <w:rStyle w:val="Hyperlink"/>
                <w:noProof/>
                <w:lang w:eastAsia="de-DE"/>
              </w:rPr>
              <w:t>4.5</w:t>
            </w:r>
            <w:r w:rsidR="007C7AB8" w:rsidRPr="00FF756A">
              <w:rPr>
                <w:rFonts w:eastAsiaTheme="minorEastAsia"/>
                <w:noProof/>
                <w:kern w:val="2"/>
                <w:sz w:val="24"/>
                <w:szCs w:val="24"/>
                <w:lang w:val="en-US"/>
                <w14:ligatures w14:val="standardContextual"/>
              </w:rPr>
              <w:tab/>
            </w:r>
            <w:r w:rsidR="007C7AB8" w:rsidRPr="00FF756A">
              <w:rPr>
                <w:rStyle w:val="Hyperlink"/>
                <w:noProof/>
                <w:lang w:eastAsia="de-DE"/>
              </w:rPr>
              <w:t>Dimensioni i tregut të brendshëm të energjisë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_Toc183639289 \h </w:instrText>
            </w:r>
            <w:r w:rsidR="007C7AB8" w:rsidRPr="00FF756A">
              <w:rPr>
                <w:noProof/>
                <w:webHidden/>
              </w:rPr>
            </w:r>
            <w:r w:rsidR="007C7AB8" w:rsidRPr="00FF756A">
              <w:rPr>
                <w:noProof/>
                <w:webHidden/>
              </w:rPr>
              <w:fldChar w:fldCharType="separate"/>
            </w:r>
            <w:r w:rsidR="007C7AB8" w:rsidRPr="00FF756A">
              <w:rPr>
                <w:noProof/>
                <w:webHidden/>
              </w:rPr>
              <w:t>269</w:t>
            </w:r>
            <w:r w:rsidR="007C7AB8" w:rsidRPr="00FF756A">
              <w:rPr>
                <w:noProof/>
                <w:webHidden/>
              </w:rPr>
              <w:fldChar w:fldCharType="end"/>
            </w:r>
          </w:hyperlink>
        </w:p>
        <w:p w14:paraId="09628036" w14:textId="2E66AD16"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290" w:history="1">
            <w:r w:rsidR="007C7AB8" w:rsidRPr="00FF756A">
              <w:rPr>
                <w:rStyle w:val="Hyperlink"/>
                <w:rFonts w:eastAsia="Calibri Light"/>
                <w:noProof/>
              </w:rPr>
              <w:t>4.5.1</w:t>
            </w:r>
            <w:r w:rsidR="007C7AB8" w:rsidRPr="00FF756A">
              <w:rPr>
                <w:rFonts w:eastAsiaTheme="minorEastAsia"/>
                <w:noProof/>
                <w:kern w:val="2"/>
                <w:sz w:val="24"/>
                <w:szCs w:val="24"/>
                <w:lang w:val="en-US"/>
                <w14:ligatures w14:val="standardContextual"/>
              </w:rPr>
              <w:tab/>
            </w:r>
            <w:r w:rsidR="007C7AB8" w:rsidRPr="00FF756A">
              <w:rPr>
                <w:rStyle w:val="Hyperlink"/>
                <w:rFonts w:eastAsia="Calibri Light"/>
                <w:noProof/>
              </w:rPr>
              <w:t>Interkoneksioni i energjisë elektrike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_Toc183639290 \h </w:instrText>
            </w:r>
            <w:r w:rsidR="007C7AB8" w:rsidRPr="00FF756A">
              <w:rPr>
                <w:noProof/>
                <w:webHidden/>
              </w:rPr>
            </w:r>
            <w:r w:rsidR="007C7AB8" w:rsidRPr="00FF756A">
              <w:rPr>
                <w:noProof/>
                <w:webHidden/>
              </w:rPr>
              <w:fldChar w:fldCharType="separate"/>
            </w:r>
            <w:r w:rsidR="007C7AB8" w:rsidRPr="00FF756A">
              <w:rPr>
                <w:noProof/>
                <w:webHidden/>
              </w:rPr>
              <w:t>269</w:t>
            </w:r>
            <w:r w:rsidR="007C7AB8" w:rsidRPr="00FF756A">
              <w:rPr>
                <w:noProof/>
                <w:webHidden/>
              </w:rPr>
              <w:fldChar w:fldCharType="end"/>
            </w:r>
          </w:hyperlink>
        </w:p>
        <w:p w14:paraId="22DD55F6" w14:textId="01AC312E"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91" w:history="1">
            <w:r w:rsidR="007C7AB8" w:rsidRPr="00FF756A">
              <w:rPr>
                <w:rStyle w:val="Hyperlink"/>
                <w:rFonts w:ascii="Times New Roman" w:eastAsia="Calibri Light" w:hAnsi="Times New Roman" w:cs="Times New Roman"/>
                <w:i/>
                <w:iCs/>
                <w:noProof/>
              </w:rPr>
              <w:t>Niveli aktual i interkoneksionit dhe interkonektorët kryesorë</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_Toc183639291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269</w:t>
            </w:r>
            <w:r w:rsidR="007C7AB8" w:rsidRPr="00FF756A">
              <w:rPr>
                <w:rFonts w:ascii="Times New Roman" w:hAnsi="Times New Roman" w:cs="Times New Roman"/>
                <w:noProof/>
                <w:webHidden/>
              </w:rPr>
              <w:fldChar w:fldCharType="end"/>
            </w:r>
          </w:hyperlink>
        </w:p>
        <w:p w14:paraId="203776A4" w14:textId="6F790FE7"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92" w:history="1">
            <w:r w:rsidR="007C7AB8" w:rsidRPr="00FF756A">
              <w:rPr>
                <w:rStyle w:val="Hyperlink"/>
                <w:rFonts w:ascii="Times New Roman" w:eastAsia="Calibri Light" w:hAnsi="Times New Roman" w:cs="Times New Roman"/>
                <w:i/>
                <w:iCs/>
                <w:noProof/>
              </w:rPr>
              <w:t>Projeksionet e kërkesave për shtrirjen e interkonektorëve (duke përfshirë për vitin 2030)</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_Toc183639292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272</w:t>
            </w:r>
            <w:r w:rsidR="007C7AB8" w:rsidRPr="00FF756A">
              <w:rPr>
                <w:rFonts w:ascii="Times New Roman" w:hAnsi="Times New Roman" w:cs="Times New Roman"/>
                <w:noProof/>
                <w:webHidden/>
              </w:rPr>
              <w:fldChar w:fldCharType="end"/>
            </w:r>
          </w:hyperlink>
        </w:p>
        <w:p w14:paraId="0ACF34DE" w14:textId="6D4F0DF9"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293" w:history="1">
            <w:r w:rsidR="007C7AB8" w:rsidRPr="00FF756A">
              <w:rPr>
                <w:rStyle w:val="Hyperlink"/>
                <w:rFonts w:eastAsia="Calibri Light"/>
                <w:noProof/>
              </w:rPr>
              <w:t>4.5.2</w:t>
            </w:r>
            <w:r w:rsidR="007C7AB8" w:rsidRPr="00FF756A">
              <w:rPr>
                <w:rFonts w:eastAsiaTheme="minorEastAsia"/>
                <w:noProof/>
                <w:kern w:val="2"/>
                <w:sz w:val="24"/>
                <w:szCs w:val="24"/>
                <w:lang w:val="en-US"/>
                <w14:ligatures w14:val="standardContextual"/>
              </w:rPr>
              <w:tab/>
            </w:r>
            <w:r w:rsidR="007C7AB8" w:rsidRPr="00FF756A">
              <w:rPr>
                <w:rStyle w:val="Hyperlink"/>
                <w:rFonts w:eastAsia="Calibri Light"/>
                <w:noProof/>
              </w:rPr>
              <w:t>Infrastruktura e transmetimit të energjisë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_Toc183639293 \h </w:instrText>
            </w:r>
            <w:r w:rsidR="007C7AB8" w:rsidRPr="00FF756A">
              <w:rPr>
                <w:noProof/>
                <w:webHidden/>
              </w:rPr>
            </w:r>
            <w:r w:rsidR="007C7AB8" w:rsidRPr="00FF756A">
              <w:rPr>
                <w:noProof/>
                <w:webHidden/>
              </w:rPr>
              <w:fldChar w:fldCharType="separate"/>
            </w:r>
            <w:r w:rsidR="007C7AB8" w:rsidRPr="00FF756A">
              <w:rPr>
                <w:noProof/>
                <w:webHidden/>
              </w:rPr>
              <w:t>272</w:t>
            </w:r>
            <w:r w:rsidR="007C7AB8" w:rsidRPr="00FF756A">
              <w:rPr>
                <w:noProof/>
                <w:webHidden/>
              </w:rPr>
              <w:fldChar w:fldCharType="end"/>
            </w:r>
          </w:hyperlink>
        </w:p>
        <w:p w14:paraId="4A2BE078" w14:textId="23E28AF0"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94" w:history="1">
            <w:r w:rsidR="007C7AB8" w:rsidRPr="00FF756A">
              <w:rPr>
                <w:rStyle w:val="Hyperlink"/>
                <w:rFonts w:ascii="Times New Roman" w:eastAsia="Calibri Light" w:hAnsi="Times New Roman" w:cs="Times New Roman"/>
                <w:i/>
                <w:iCs/>
                <w:noProof/>
              </w:rPr>
              <w:t>Karakteristikat kryesore të infrastrukturës ekzistuese të transmetimit për energjinë elektrike dhe gazin</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_Toc183639294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272</w:t>
            </w:r>
            <w:r w:rsidR="007C7AB8" w:rsidRPr="00FF756A">
              <w:rPr>
                <w:rFonts w:ascii="Times New Roman" w:hAnsi="Times New Roman" w:cs="Times New Roman"/>
                <w:noProof/>
                <w:webHidden/>
              </w:rPr>
              <w:fldChar w:fldCharType="end"/>
            </w:r>
          </w:hyperlink>
        </w:p>
        <w:p w14:paraId="104F41CD" w14:textId="5C2B7CD3"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95" w:history="1">
            <w:r w:rsidR="007C7AB8" w:rsidRPr="00FF756A">
              <w:rPr>
                <w:rStyle w:val="Hyperlink"/>
                <w:rFonts w:ascii="Times New Roman" w:eastAsia="Calibri Light" w:hAnsi="Times New Roman" w:cs="Times New Roman"/>
                <w:i/>
                <w:iCs/>
                <w:noProof/>
              </w:rPr>
              <w:t>Projeksionet e kërkesave për shtrirjen e rrjetit, të paktën deri në vitin 2040 (duke përfshirë për vitin 2030)</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_Toc183639295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273</w:t>
            </w:r>
            <w:r w:rsidR="007C7AB8" w:rsidRPr="00FF756A">
              <w:rPr>
                <w:rFonts w:ascii="Times New Roman" w:hAnsi="Times New Roman" w:cs="Times New Roman"/>
                <w:noProof/>
                <w:webHidden/>
              </w:rPr>
              <w:fldChar w:fldCharType="end"/>
            </w:r>
          </w:hyperlink>
        </w:p>
        <w:p w14:paraId="4B9BFFA8" w14:textId="5C43631A"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296" w:history="1">
            <w:r w:rsidR="007C7AB8" w:rsidRPr="00FF756A">
              <w:rPr>
                <w:rStyle w:val="Hyperlink"/>
                <w:rFonts w:eastAsia="Calibri Light"/>
                <w:noProof/>
              </w:rPr>
              <w:t>4.5.3</w:t>
            </w:r>
            <w:r w:rsidR="007C7AB8" w:rsidRPr="00FF756A">
              <w:rPr>
                <w:rFonts w:eastAsiaTheme="minorEastAsia"/>
                <w:noProof/>
                <w:kern w:val="2"/>
                <w:sz w:val="24"/>
                <w:szCs w:val="24"/>
                <w:lang w:val="en-US"/>
                <w14:ligatures w14:val="standardContextual"/>
              </w:rPr>
              <w:tab/>
            </w:r>
            <w:r w:rsidR="007C7AB8" w:rsidRPr="00FF756A">
              <w:rPr>
                <w:rStyle w:val="Hyperlink"/>
                <w:rFonts w:eastAsia="Calibri Light"/>
                <w:noProof/>
              </w:rPr>
              <w:t>Tregjet e energjisë elektrike dhe gazit, çmimet e energjisë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_Toc183639296 \h </w:instrText>
            </w:r>
            <w:r w:rsidR="007C7AB8" w:rsidRPr="00FF756A">
              <w:rPr>
                <w:noProof/>
                <w:webHidden/>
              </w:rPr>
            </w:r>
            <w:r w:rsidR="007C7AB8" w:rsidRPr="00FF756A">
              <w:rPr>
                <w:noProof/>
                <w:webHidden/>
              </w:rPr>
              <w:fldChar w:fldCharType="separate"/>
            </w:r>
            <w:r w:rsidR="007C7AB8" w:rsidRPr="00FF756A">
              <w:rPr>
                <w:noProof/>
                <w:webHidden/>
              </w:rPr>
              <w:t>274</w:t>
            </w:r>
            <w:r w:rsidR="007C7AB8" w:rsidRPr="00FF756A">
              <w:rPr>
                <w:noProof/>
                <w:webHidden/>
              </w:rPr>
              <w:fldChar w:fldCharType="end"/>
            </w:r>
          </w:hyperlink>
        </w:p>
        <w:p w14:paraId="3AABB3FC" w14:textId="7BD462A0"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97" w:history="1">
            <w:r w:rsidR="007C7AB8" w:rsidRPr="00FF756A">
              <w:rPr>
                <w:rStyle w:val="Hyperlink"/>
                <w:rFonts w:ascii="Times New Roman" w:eastAsia="Calibri Light" w:hAnsi="Times New Roman" w:cs="Times New Roman"/>
                <w:i/>
                <w:iCs/>
                <w:noProof/>
              </w:rPr>
              <w:t>Situata aktuale e tregjeve të energjisë elektrike dhe të gazit, duke përfshirë çmimet e energjisë elektrike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_Toc183639297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274</w:t>
            </w:r>
            <w:r w:rsidR="007C7AB8" w:rsidRPr="00FF756A">
              <w:rPr>
                <w:rFonts w:ascii="Times New Roman" w:hAnsi="Times New Roman" w:cs="Times New Roman"/>
                <w:noProof/>
                <w:webHidden/>
              </w:rPr>
              <w:fldChar w:fldCharType="end"/>
            </w:r>
          </w:hyperlink>
        </w:p>
        <w:p w14:paraId="6824B039" w14:textId="5D3A4ABC" w:rsidR="007C7AB8" w:rsidRPr="00FF756A" w:rsidRDefault="008A279C">
          <w:pPr>
            <w:pStyle w:val="TOC4"/>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298" w:history="1">
            <w:r w:rsidR="007C7AB8" w:rsidRPr="00FF756A">
              <w:rPr>
                <w:rStyle w:val="Hyperlink"/>
                <w:rFonts w:ascii="Times New Roman" w:eastAsia="Calibri Light" w:hAnsi="Times New Roman" w:cs="Times New Roman"/>
                <w:i/>
                <w:iCs/>
                <w:noProof/>
              </w:rPr>
              <w:t>Parashikimet e zhvillimit me politikat dhe masat ekzistuese, të paktën deri në vitin 2040</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_Toc183639298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275</w:t>
            </w:r>
            <w:r w:rsidR="007C7AB8" w:rsidRPr="00FF756A">
              <w:rPr>
                <w:rFonts w:ascii="Times New Roman" w:hAnsi="Times New Roman" w:cs="Times New Roman"/>
                <w:noProof/>
                <w:webHidden/>
              </w:rPr>
              <w:fldChar w:fldCharType="end"/>
            </w:r>
          </w:hyperlink>
        </w:p>
        <w:p w14:paraId="62896734" w14:textId="01D5F67C"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299" w:history="1">
            <w:r w:rsidR="007C7AB8" w:rsidRPr="00FF756A">
              <w:rPr>
                <w:rStyle w:val="Hyperlink"/>
                <w:noProof/>
              </w:rPr>
              <w:t>4.6</w:t>
            </w:r>
            <w:r w:rsidR="007C7AB8" w:rsidRPr="00FF756A">
              <w:rPr>
                <w:rFonts w:eastAsiaTheme="minorEastAsia"/>
                <w:noProof/>
                <w:kern w:val="2"/>
                <w:sz w:val="24"/>
                <w:szCs w:val="24"/>
                <w:lang w:val="en-US"/>
                <w14:ligatures w14:val="standardContextual"/>
              </w:rPr>
              <w:tab/>
            </w:r>
            <w:r w:rsidR="007C7AB8" w:rsidRPr="00FF756A">
              <w:rPr>
                <w:rStyle w:val="Hyperlink"/>
                <w:noProof/>
              </w:rPr>
              <w:t>Dimensioni i kërkimeve, inovacionit dhe konkurueshmërisë</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_Toc183639299 \h </w:instrText>
            </w:r>
            <w:r w:rsidR="007C7AB8" w:rsidRPr="00FF756A">
              <w:rPr>
                <w:noProof/>
                <w:webHidden/>
              </w:rPr>
            </w:r>
            <w:r w:rsidR="007C7AB8" w:rsidRPr="00FF756A">
              <w:rPr>
                <w:noProof/>
                <w:webHidden/>
              </w:rPr>
              <w:fldChar w:fldCharType="separate"/>
            </w:r>
            <w:r w:rsidR="007C7AB8" w:rsidRPr="00FF756A">
              <w:rPr>
                <w:noProof/>
                <w:webHidden/>
              </w:rPr>
              <w:t>275</w:t>
            </w:r>
            <w:r w:rsidR="007C7AB8" w:rsidRPr="00FF756A">
              <w:rPr>
                <w:noProof/>
                <w:webHidden/>
              </w:rPr>
              <w:fldChar w:fldCharType="end"/>
            </w:r>
          </w:hyperlink>
        </w:p>
        <w:p w14:paraId="4C491054" w14:textId="5F5ECDD0"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300" w:history="1">
            <w:r w:rsidR="007C7AB8" w:rsidRPr="00FF756A">
              <w:rPr>
                <w:rStyle w:val="Hyperlink"/>
                <w:noProof/>
              </w:rPr>
              <w:t>4.6.1</w:t>
            </w:r>
            <w:r w:rsidR="007C7AB8" w:rsidRPr="00FF756A">
              <w:rPr>
                <w:rFonts w:eastAsiaTheme="minorEastAsia"/>
                <w:noProof/>
                <w:kern w:val="2"/>
                <w:sz w:val="24"/>
                <w:szCs w:val="24"/>
                <w:lang w:val="en-US"/>
                <w14:ligatures w14:val="standardContextual"/>
              </w:rPr>
              <w:tab/>
            </w:r>
            <w:r w:rsidR="007C7AB8" w:rsidRPr="00FF756A">
              <w:rPr>
                <w:rStyle w:val="Hyperlink"/>
                <w:noProof/>
              </w:rPr>
              <w:t>Situata aktuale në sektorin e teknologjive me shkarkime të ulëta të karbonit dhe, për aq sa është e mundur, pozicioni i tij në tregun botëror (kjo analizë duhet në kryhet në nivel BE-je ose botëror)</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_Toc183639300 \h </w:instrText>
            </w:r>
            <w:r w:rsidR="007C7AB8" w:rsidRPr="00FF756A">
              <w:rPr>
                <w:noProof/>
                <w:webHidden/>
              </w:rPr>
            </w:r>
            <w:r w:rsidR="007C7AB8" w:rsidRPr="00FF756A">
              <w:rPr>
                <w:noProof/>
                <w:webHidden/>
              </w:rPr>
              <w:fldChar w:fldCharType="separate"/>
            </w:r>
            <w:r w:rsidR="007C7AB8" w:rsidRPr="00FF756A">
              <w:rPr>
                <w:noProof/>
                <w:webHidden/>
              </w:rPr>
              <w:t>275</w:t>
            </w:r>
            <w:r w:rsidR="007C7AB8" w:rsidRPr="00FF756A">
              <w:rPr>
                <w:noProof/>
                <w:webHidden/>
              </w:rPr>
              <w:fldChar w:fldCharType="end"/>
            </w:r>
          </w:hyperlink>
        </w:p>
        <w:p w14:paraId="2A044993" w14:textId="66D50BAF"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301" w:history="1">
            <w:r w:rsidR="007C7AB8" w:rsidRPr="00FF756A">
              <w:rPr>
                <w:rStyle w:val="Hyperlink"/>
                <w:noProof/>
              </w:rPr>
              <w:t>4.6.2</w:t>
            </w:r>
            <w:r w:rsidR="007C7AB8" w:rsidRPr="00FF756A">
              <w:rPr>
                <w:rFonts w:eastAsiaTheme="minorEastAsia"/>
                <w:noProof/>
                <w:kern w:val="2"/>
                <w:sz w:val="24"/>
                <w:szCs w:val="24"/>
                <w:lang w:val="en-US"/>
                <w14:ligatures w14:val="standardContextual"/>
              </w:rPr>
              <w:tab/>
            </w:r>
            <w:r w:rsidR="007C7AB8" w:rsidRPr="00FF756A">
              <w:rPr>
                <w:rStyle w:val="Hyperlink"/>
                <w:noProof/>
              </w:rPr>
              <w:t>Niveli aktual i shpenzimeve publike dhe, sipas rastit, i shpenzimeve private për kërkim dhe inovacion për teknologjitë me shkarkime të ulëta karboni, numri aktual i patentave dhe numri aktual i kërkuesve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_Toc183639301 \h </w:instrText>
            </w:r>
            <w:r w:rsidR="007C7AB8" w:rsidRPr="00FF756A">
              <w:rPr>
                <w:noProof/>
                <w:webHidden/>
              </w:rPr>
            </w:r>
            <w:r w:rsidR="007C7AB8" w:rsidRPr="00FF756A">
              <w:rPr>
                <w:noProof/>
                <w:webHidden/>
              </w:rPr>
              <w:fldChar w:fldCharType="separate"/>
            </w:r>
            <w:r w:rsidR="007C7AB8" w:rsidRPr="00FF756A">
              <w:rPr>
                <w:noProof/>
                <w:webHidden/>
              </w:rPr>
              <w:t>275</w:t>
            </w:r>
            <w:r w:rsidR="007C7AB8" w:rsidRPr="00FF756A">
              <w:rPr>
                <w:noProof/>
                <w:webHidden/>
              </w:rPr>
              <w:fldChar w:fldCharType="end"/>
            </w:r>
          </w:hyperlink>
        </w:p>
        <w:p w14:paraId="018744D4" w14:textId="7C2EFD01"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302" w:history="1">
            <w:r w:rsidR="007C7AB8" w:rsidRPr="00FF756A">
              <w:rPr>
                <w:rStyle w:val="Hyperlink"/>
                <w:noProof/>
              </w:rPr>
              <w:t>4.6.3</w:t>
            </w:r>
            <w:r w:rsidR="007C7AB8" w:rsidRPr="00FF756A">
              <w:rPr>
                <w:rFonts w:eastAsiaTheme="minorEastAsia"/>
                <w:noProof/>
                <w:kern w:val="2"/>
                <w:sz w:val="24"/>
                <w:szCs w:val="24"/>
                <w:lang w:val="en-US"/>
                <w14:ligatures w14:val="standardContextual"/>
              </w:rPr>
              <w:tab/>
            </w:r>
            <w:r w:rsidR="007C7AB8" w:rsidRPr="00FF756A">
              <w:rPr>
                <w:rStyle w:val="Hyperlink"/>
                <w:noProof/>
              </w:rPr>
              <w:t>Kategorizimi i elementeve aktuale të çmimit që përbëjnë tre komponentët kryesorë të çmimit (energjia, rrjeti dhe taksat/detyrimet)</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_Toc183639302 \h </w:instrText>
            </w:r>
            <w:r w:rsidR="007C7AB8" w:rsidRPr="00FF756A">
              <w:rPr>
                <w:noProof/>
                <w:webHidden/>
              </w:rPr>
            </w:r>
            <w:r w:rsidR="007C7AB8" w:rsidRPr="00FF756A">
              <w:rPr>
                <w:noProof/>
                <w:webHidden/>
              </w:rPr>
              <w:fldChar w:fldCharType="separate"/>
            </w:r>
            <w:r w:rsidR="007C7AB8" w:rsidRPr="00FF756A">
              <w:rPr>
                <w:noProof/>
                <w:webHidden/>
              </w:rPr>
              <w:t>275</w:t>
            </w:r>
            <w:r w:rsidR="007C7AB8" w:rsidRPr="00FF756A">
              <w:rPr>
                <w:noProof/>
                <w:webHidden/>
              </w:rPr>
              <w:fldChar w:fldCharType="end"/>
            </w:r>
          </w:hyperlink>
        </w:p>
        <w:p w14:paraId="3D6823E0" w14:textId="24F31201" w:rsidR="007C7AB8" w:rsidRPr="00FF756A" w:rsidRDefault="008A279C">
          <w:pPr>
            <w:pStyle w:val="TOC3"/>
            <w:tabs>
              <w:tab w:val="left" w:pos="1320"/>
              <w:tab w:val="right" w:leader="dot" w:pos="9062"/>
            </w:tabs>
            <w:rPr>
              <w:rFonts w:eastAsiaTheme="minorEastAsia"/>
              <w:noProof/>
              <w:kern w:val="2"/>
              <w:sz w:val="24"/>
              <w:szCs w:val="24"/>
              <w:lang w:val="en-US"/>
              <w14:ligatures w14:val="standardContextual"/>
            </w:rPr>
          </w:pPr>
          <w:hyperlink w:anchor="_Toc183639303" w:history="1">
            <w:r w:rsidR="007C7AB8" w:rsidRPr="00FF756A">
              <w:rPr>
                <w:rStyle w:val="Hyperlink"/>
                <w:noProof/>
              </w:rPr>
              <w:t>4.6.4</w:t>
            </w:r>
            <w:r w:rsidR="007C7AB8" w:rsidRPr="00FF756A">
              <w:rPr>
                <w:rFonts w:eastAsiaTheme="minorEastAsia"/>
                <w:noProof/>
                <w:kern w:val="2"/>
                <w:sz w:val="24"/>
                <w:szCs w:val="24"/>
                <w:lang w:val="en-US"/>
                <w14:ligatures w14:val="standardContextual"/>
              </w:rPr>
              <w:tab/>
            </w:r>
            <w:r w:rsidR="007C7AB8" w:rsidRPr="00FF756A">
              <w:rPr>
                <w:rStyle w:val="Hyperlink"/>
                <w:noProof/>
              </w:rPr>
              <w:t>Përshkrimi i subvencioneve të energjisë, duke përfshirë lëndët djegëse fosile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_Toc183639303 \h </w:instrText>
            </w:r>
            <w:r w:rsidR="007C7AB8" w:rsidRPr="00FF756A">
              <w:rPr>
                <w:noProof/>
                <w:webHidden/>
              </w:rPr>
            </w:r>
            <w:r w:rsidR="007C7AB8" w:rsidRPr="00FF756A">
              <w:rPr>
                <w:noProof/>
                <w:webHidden/>
              </w:rPr>
              <w:fldChar w:fldCharType="separate"/>
            </w:r>
            <w:r w:rsidR="007C7AB8" w:rsidRPr="00FF756A">
              <w:rPr>
                <w:noProof/>
                <w:webHidden/>
              </w:rPr>
              <w:t>277</w:t>
            </w:r>
            <w:r w:rsidR="007C7AB8" w:rsidRPr="00FF756A">
              <w:rPr>
                <w:noProof/>
                <w:webHidden/>
              </w:rPr>
              <w:fldChar w:fldCharType="end"/>
            </w:r>
          </w:hyperlink>
        </w:p>
        <w:p w14:paraId="5F351E51" w14:textId="3EF7ABAF" w:rsidR="007C7AB8" w:rsidRPr="00FF756A" w:rsidRDefault="008A279C">
          <w:pPr>
            <w:pStyle w:val="TOC5"/>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304" w:history="1">
            <w:r w:rsidR="007C7AB8" w:rsidRPr="00FF756A">
              <w:rPr>
                <w:rStyle w:val="Hyperlink"/>
                <w:rFonts w:ascii="Times New Roman" w:eastAsia="Arial" w:hAnsi="Times New Roman" w:cs="Times New Roman"/>
                <w:noProof/>
              </w:rPr>
              <w:t>Subvencionet për lëndët djegëse me karbon</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_Toc183639304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277</w:t>
            </w:r>
            <w:r w:rsidR="007C7AB8" w:rsidRPr="00FF756A">
              <w:rPr>
                <w:rFonts w:ascii="Times New Roman" w:hAnsi="Times New Roman" w:cs="Times New Roman"/>
                <w:noProof/>
                <w:webHidden/>
              </w:rPr>
              <w:fldChar w:fldCharType="end"/>
            </w:r>
          </w:hyperlink>
        </w:p>
        <w:p w14:paraId="13D8FBD8" w14:textId="73BA470B" w:rsidR="007C7AB8" w:rsidRPr="00FF756A" w:rsidRDefault="008A279C">
          <w:pPr>
            <w:pStyle w:val="TOC5"/>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305" w:history="1">
            <w:r w:rsidR="007C7AB8" w:rsidRPr="00FF756A">
              <w:rPr>
                <w:rStyle w:val="Hyperlink"/>
                <w:rFonts w:ascii="Times New Roman" w:eastAsia="Arial" w:hAnsi="Times New Roman" w:cs="Times New Roman"/>
                <w:noProof/>
              </w:rPr>
              <w:t>Subvencionet për burimet e rinovueshme të energjisë</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_Toc183639305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277</w:t>
            </w:r>
            <w:r w:rsidR="007C7AB8" w:rsidRPr="00FF756A">
              <w:rPr>
                <w:rFonts w:ascii="Times New Roman" w:hAnsi="Times New Roman" w:cs="Times New Roman"/>
                <w:noProof/>
                <w:webHidden/>
              </w:rPr>
              <w:fldChar w:fldCharType="end"/>
            </w:r>
          </w:hyperlink>
        </w:p>
        <w:p w14:paraId="06424EF6" w14:textId="310ED683" w:rsidR="007C7AB8" w:rsidRPr="00FF756A" w:rsidRDefault="008A279C">
          <w:pPr>
            <w:pStyle w:val="TOC5"/>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306" w:history="1">
            <w:r w:rsidR="007C7AB8" w:rsidRPr="00FF756A">
              <w:rPr>
                <w:rStyle w:val="Hyperlink"/>
                <w:rFonts w:ascii="Times New Roman" w:eastAsia="Arial" w:hAnsi="Times New Roman" w:cs="Times New Roman"/>
                <w:noProof/>
              </w:rPr>
              <w:t>Subvencionet / skemat e mbështetjes në sektorin e bujqësisë</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_Toc183639306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278</w:t>
            </w:r>
            <w:r w:rsidR="007C7AB8" w:rsidRPr="00FF756A">
              <w:rPr>
                <w:rFonts w:ascii="Times New Roman" w:hAnsi="Times New Roman" w:cs="Times New Roman"/>
                <w:noProof/>
                <w:webHidden/>
              </w:rPr>
              <w:fldChar w:fldCharType="end"/>
            </w:r>
          </w:hyperlink>
        </w:p>
        <w:p w14:paraId="38DBDD67" w14:textId="3BB19DCB" w:rsidR="007C7AB8" w:rsidRPr="00FF756A" w:rsidRDefault="008A279C">
          <w:pPr>
            <w:pStyle w:val="TOC1"/>
            <w:tabs>
              <w:tab w:val="left" w:pos="440"/>
              <w:tab w:val="right" w:leader="dot" w:pos="9062"/>
            </w:tabs>
            <w:rPr>
              <w:rFonts w:eastAsiaTheme="minorEastAsia"/>
              <w:noProof/>
              <w:kern w:val="2"/>
              <w:sz w:val="24"/>
              <w:szCs w:val="24"/>
              <w:lang w:val="en-US"/>
              <w14:ligatures w14:val="standardContextual"/>
            </w:rPr>
          </w:pPr>
          <w:hyperlink w:anchor="_Toc183639307" w:history="1">
            <w:r w:rsidR="007C7AB8" w:rsidRPr="00FF756A">
              <w:rPr>
                <w:rStyle w:val="Hyperlink"/>
                <w:rFonts w:eastAsia="Times New Roman"/>
                <w:noProof/>
              </w:rPr>
              <w:t>5</w:t>
            </w:r>
            <w:r w:rsidR="007C7AB8" w:rsidRPr="00FF756A">
              <w:rPr>
                <w:rFonts w:eastAsiaTheme="minorEastAsia"/>
                <w:noProof/>
                <w:kern w:val="2"/>
                <w:sz w:val="24"/>
                <w:szCs w:val="24"/>
                <w:lang w:val="en-US"/>
                <w14:ligatures w14:val="standardContextual"/>
              </w:rPr>
              <w:tab/>
            </w:r>
            <w:r w:rsidR="007C7AB8" w:rsidRPr="00FF756A">
              <w:rPr>
                <w:rStyle w:val="Hyperlink"/>
                <w:rFonts w:eastAsia="Times New Roman"/>
                <w:noProof/>
              </w:rPr>
              <w:t>VLERËSIMI I NDIKIMIT TË POLITIKAVE DHE MASAVE TË PLANIFIKUARA</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_Toc183639307 \h </w:instrText>
            </w:r>
            <w:r w:rsidR="007C7AB8" w:rsidRPr="00FF756A">
              <w:rPr>
                <w:noProof/>
                <w:webHidden/>
              </w:rPr>
            </w:r>
            <w:r w:rsidR="007C7AB8" w:rsidRPr="00FF756A">
              <w:rPr>
                <w:noProof/>
                <w:webHidden/>
              </w:rPr>
              <w:fldChar w:fldCharType="separate"/>
            </w:r>
            <w:r w:rsidR="007C7AB8" w:rsidRPr="00FF756A">
              <w:rPr>
                <w:noProof/>
                <w:webHidden/>
              </w:rPr>
              <w:t>279</w:t>
            </w:r>
            <w:r w:rsidR="007C7AB8" w:rsidRPr="00FF756A">
              <w:rPr>
                <w:noProof/>
                <w:webHidden/>
              </w:rPr>
              <w:fldChar w:fldCharType="end"/>
            </w:r>
          </w:hyperlink>
        </w:p>
        <w:p w14:paraId="65C98E6F" w14:textId="69800B6A"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308" w:history="1">
            <w:r w:rsidR="007C7AB8" w:rsidRPr="00FF756A">
              <w:rPr>
                <w:rStyle w:val="Hyperlink"/>
                <w:noProof/>
                <w:lang w:eastAsia="de-DE"/>
              </w:rPr>
              <w:t>5.1</w:t>
            </w:r>
            <w:r w:rsidR="007C7AB8" w:rsidRPr="00FF756A">
              <w:rPr>
                <w:rFonts w:eastAsiaTheme="minorEastAsia"/>
                <w:noProof/>
                <w:kern w:val="2"/>
                <w:sz w:val="24"/>
                <w:szCs w:val="24"/>
                <w:lang w:val="en-US"/>
                <w14:ligatures w14:val="standardContextual"/>
              </w:rPr>
              <w:tab/>
            </w:r>
            <w:r w:rsidR="007C7AB8" w:rsidRPr="00FF756A">
              <w:rPr>
                <w:rStyle w:val="Hyperlink"/>
                <w:noProof/>
                <w:lang w:eastAsia="de-DE"/>
              </w:rPr>
              <w:t>Ndikimet e politikave dhe masave të planifikuara, duke përfshirë krahasimin me parashikimet me politika dhe masa ekzistuese.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_Toc183639308 \h </w:instrText>
            </w:r>
            <w:r w:rsidR="007C7AB8" w:rsidRPr="00FF756A">
              <w:rPr>
                <w:noProof/>
                <w:webHidden/>
              </w:rPr>
            </w:r>
            <w:r w:rsidR="007C7AB8" w:rsidRPr="00FF756A">
              <w:rPr>
                <w:noProof/>
                <w:webHidden/>
              </w:rPr>
              <w:fldChar w:fldCharType="separate"/>
            </w:r>
            <w:r w:rsidR="007C7AB8" w:rsidRPr="00FF756A">
              <w:rPr>
                <w:noProof/>
                <w:webHidden/>
              </w:rPr>
              <w:t>279</w:t>
            </w:r>
            <w:r w:rsidR="007C7AB8" w:rsidRPr="00FF756A">
              <w:rPr>
                <w:noProof/>
                <w:webHidden/>
              </w:rPr>
              <w:fldChar w:fldCharType="end"/>
            </w:r>
          </w:hyperlink>
        </w:p>
        <w:p w14:paraId="006A2640" w14:textId="1AB77D8E" w:rsidR="007C7AB8" w:rsidRPr="00FF756A" w:rsidRDefault="008A279C">
          <w:pPr>
            <w:pStyle w:val="TOC4"/>
            <w:tabs>
              <w:tab w:val="left" w:pos="110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309" w:history="1">
            <w:r w:rsidR="007C7AB8" w:rsidRPr="00FF756A">
              <w:rPr>
                <w:rStyle w:val="Hyperlink"/>
                <w:rFonts w:ascii="Times New Roman" w:eastAsia="Calibri Light" w:hAnsi="Times New Roman" w:cs="Times New Roman"/>
                <w:i/>
                <w:iCs/>
                <w:noProof/>
              </w:rPr>
              <w:t>i.</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eastAsia="Calibri Light" w:hAnsi="Times New Roman" w:cs="Times New Roman"/>
                <w:i/>
                <w:iCs/>
                <w:noProof/>
              </w:rPr>
              <w:t>Parashikimet e zhvillimit të sistemit të energjisë dhe shkarkimeve dhe eliminimit të GES-ve, si dhe, sipas rastit, shkarkimeve të elementeve ndotës të ajrit në përputhje me Direktivën (BE) 2016/2284 sipas politikave dhe masave të planifikuara të paktën dri dhjetë vite pas periudhës që mbulohet nga plani (duke përfshirë vitin e shkuar të periudhës së mbuluar nga plani), përfshirë këtu edhe politikat dhe masat përkatëse të BE-së.</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_Toc183639309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279</w:t>
            </w:r>
            <w:r w:rsidR="007C7AB8" w:rsidRPr="00FF756A">
              <w:rPr>
                <w:rFonts w:ascii="Times New Roman" w:hAnsi="Times New Roman" w:cs="Times New Roman"/>
                <w:noProof/>
                <w:webHidden/>
              </w:rPr>
              <w:fldChar w:fldCharType="end"/>
            </w:r>
          </w:hyperlink>
        </w:p>
        <w:p w14:paraId="034A0446" w14:textId="7FF85E4B" w:rsidR="007C7AB8" w:rsidRPr="00FF756A" w:rsidRDefault="008A279C">
          <w:pPr>
            <w:pStyle w:val="TOC5"/>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310" w:history="1">
            <w:r w:rsidR="007C7AB8" w:rsidRPr="00FF756A">
              <w:rPr>
                <w:rStyle w:val="Hyperlink"/>
                <w:rFonts w:ascii="Times New Roman" w:eastAsia="Arial" w:hAnsi="Times New Roman" w:cs="Times New Roman"/>
                <w:b/>
                <w:bCs/>
                <w:noProof/>
              </w:rPr>
              <w:t>Furnizimi me energji primare</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_Toc183639310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307</w:t>
            </w:r>
            <w:r w:rsidR="007C7AB8" w:rsidRPr="00FF756A">
              <w:rPr>
                <w:rFonts w:ascii="Times New Roman" w:hAnsi="Times New Roman" w:cs="Times New Roman"/>
                <w:noProof/>
                <w:webHidden/>
              </w:rPr>
              <w:fldChar w:fldCharType="end"/>
            </w:r>
          </w:hyperlink>
        </w:p>
        <w:p w14:paraId="4992AC8D" w14:textId="1255805E" w:rsidR="007C7AB8" w:rsidRPr="00FF756A" w:rsidRDefault="008A279C">
          <w:pPr>
            <w:pStyle w:val="TOC5"/>
            <w:tabs>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311" w:history="1">
            <w:r w:rsidR="007C7AB8" w:rsidRPr="00FF756A">
              <w:rPr>
                <w:rStyle w:val="Hyperlink"/>
                <w:rFonts w:ascii="Times New Roman" w:eastAsia="Arial" w:hAnsi="Times New Roman" w:cs="Times New Roman"/>
                <w:b/>
                <w:bCs/>
                <w:noProof/>
              </w:rPr>
              <w:t>Kërkesa finale për energji</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_Toc183639311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310</w:t>
            </w:r>
            <w:r w:rsidR="007C7AB8" w:rsidRPr="00FF756A">
              <w:rPr>
                <w:rFonts w:ascii="Times New Roman" w:hAnsi="Times New Roman" w:cs="Times New Roman"/>
                <w:noProof/>
                <w:webHidden/>
              </w:rPr>
              <w:fldChar w:fldCharType="end"/>
            </w:r>
          </w:hyperlink>
        </w:p>
        <w:p w14:paraId="1AF26843" w14:textId="029A8AA3" w:rsidR="007C7AB8" w:rsidRPr="00FF756A" w:rsidRDefault="008A279C">
          <w:pPr>
            <w:pStyle w:val="TOC4"/>
            <w:tabs>
              <w:tab w:val="left" w:pos="110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312" w:history="1">
            <w:r w:rsidR="007C7AB8" w:rsidRPr="00FF756A">
              <w:rPr>
                <w:rStyle w:val="Hyperlink"/>
                <w:rFonts w:ascii="Times New Roman" w:eastAsia="Calibri Light" w:hAnsi="Times New Roman" w:cs="Times New Roman"/>
                <w:i/>
                <w:iCs/>
                <w:noProof/>
              </w:rPr>
              <w:t>ii.</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eastAsia="Calibri Light" w:hAnsi="Times New Roman" w:cs="Times New Roman"/>
                <w:i/>
                <w:iCs/>
                <w:noProof/>
              </w:rPr>
              <w:t>Vlerësimi i ndërveprimeve ndërmjet politikave (ndërmjet politikave dhe masave ekzistuese dhe atyre të planifikuara brenda një dimensioni të vetëm, si dhe ndërmjet politikave dhe masave ekzistuese dhe atyre të planifikuara në dimensione të ndryshme) të patën deri në vitin e fundit të periudhës së mbuluar nga plani, veçanërisht për të marrë njohuritë themelore mbi ndikimin e politikave të efiçencës së energjisë/kursimit të energjisë mbi përmasat e sistemit të energjisë, si dhe për të reduktuar rrezikun e investimeve të paleverdishme në furnizimin me energji</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_Toc183639312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325</w:t>
            </w:r>
            <w:r w:rsidR="007C7AB8" w:rsidRPr="00FF756A">
              <w:rPr>
                <w:rFonts w:ascii="Times New Roman" w:hAnsi="Times New Roman" w:cs="Times New Roman"/>
                <w:noProof/>
                <w:webHidden/>
              </w:rPr>
              <w:fldChar w:fldCharType="end"/>
            </w:r>
          </w:hyperlink>
        </w:p>
        <w:p w14:paraId="6096A50F" w14:textId="08F265D4" w:rsidR="007C7AB8" w:rsidRPr="00FF756A" w:rsidRDefault="008A279C">
          <w:pPr>
            <w:pStyle w:val="TOC4"/>
            <w:tabs>
              <w:tab w:val="left" w:pos="132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313" w:history="1">
            <w:r w:rsidR="007C7AB8" w:rsidRPr="00FF756A">
              <w:rPr>
                <w:rStyle w:val="Hyperlink"/>
                <w:rFonts w:ascii="Times New Roman" w:eastAsia="Calibri Light" w:hAnsi="Times New Roman" w:cs="Times New Roman"/>
                <w:i/>
                <w:iCs/>
                <w:noProof/>
              </w:rPr>
              <w:t>iii.</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eastAsia="Calibri Light" w:hAnsi="Times New Roman" w:cs="Times New Roman"/>
                <w:i/>
                <w:iCs/>
                <w:noProof/>
              </w:rPr>
              <w:t>Vlerësimi i ndërveprimeve ndërmjet politikave dhe masave ekzistuese dhe atyre të planifikuara, si dhe ndërmjet këtyre të fundit dhe politikave dhe masave të BE-së për klimën dhe energjinë</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_Toc183639313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329</w:t>
            </w:r>
            <w:r w:rsidR="007C7AB8" w:rsidRPr="00FF756A">
              <w:rPr>
                <w:rFonts w:ascii="Times New Roman" w:hAnsi="Times New Roman" w:cs="Times New Roman"/>
                <w:noProof/>
                <w:webHidden/>
              </w:rPr>
              <w:fldChar w:fldCharType="end"/>
            </w:r>
          </w:hyperlink>
        </w:p>
        <w:p w14:paraId="0E471EAC" w14:textId="6E5F9C58"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314" w:history="1">
            <w:r w:rsidR="007C7AB8" w:rsidRPr="00FF756A">
              <w:rPr>
                <w:rStyle w:val="Hyperlink"/>
                <w:noProof/>
                <w:lang w:eastAsia="de-DE"/>
              </w:rPr>
              <w:t>5.2</w:t>
            </w:r>
            <w:r w:rsidR="007C7AB8" w:rsidRPr="00FF756A">
              <w:rPr>
                <w:rFonts w:eastAsiaTheme="minorEastAsia"/>
                <w:noProof/>
                <w:kern w:val="2"/>
                <w:sz w:val="24"/>
                <w:szCs w:val="24"/>
                <w:lang w:val="en-US"/>
                <w14:ligatures w14:val="standardContextual"/>
              </w:rPr>
              <w:tab/>
            </w:r>
            <w:r w:rsidR="007C7AB8" w:rsidRPr="00FF756A">
              <w:rPr>
                <w:rStyle w:val="Hyperlink"/>
                <w:noProof/>
                <w:lang w:eastAsia="de-DE"/>
              </w:rPr>
              <w:t>Ndikimet makroekonomike dhe ndikimet e tjera të politikave dhe masave të planifikuara, duke përfshirë krahasimin me parashikimet e bazuara në politikat dhe masat ekzistuese.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_Toc183639314 \h </w:instrText>
            </w:r>
            <w:r w:rsidR="007C7AB8" w:rsidRPr="00FF756A">
              <w:rPr>
                <w:noProof/>
                <w:webHidden/>
              </w:rPr>
            </w:r>
            <w:r w:rsidR="007C7AB8" w:rsidRPr="00FF756A">
              <w:rPr>
                <w:noProof/>
                <w:webHidden/>
              </w:rPr>
              <w:fldChar w:fldCharType="separate"/>
            </w:r>
            <w:r w:rsidR="007C7AB8" w:rsidRPr="00FF756A">
              <w:rPr>
                <w:noProof/>
                <w:webHidden/>
              </w:rPr>
              <w:t>329</w:t>
            </w:r>
            <w:r w:rsidR="007C7AB8" w:rsidRPr="00FF756A">
              <w:rPr>
                <w:noProof/>
                <w:webHidden/>
              </w:rPr>
              <w:fldChar w:fldCharType="end"/>
            </w:r>
          </w:hyperlink>
        </w:p>
        <w:p w14:paraId="59706760" w14:textId="58D6BDFA"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315" w:history="1">
            <w:r w:rsidR="007C7AB8" w:rsidRPr="00FF756A">
              <w:rPr>
                <w:rStyle w:val="Hyperlink"/>
                <w:noProof/>
                <w:lang w:eastAsia="de-DE"/>
              </w:rPr>
              <w:t>5.3</w:t>
            </w:r>
            <w:r w:rsidR="007C7AB8" w:rsidRPr="00FF756A">
              <w:rPr>
                <w:rFonts w:eastAsiaTheme="minorEastAsia"/>
                <w:noProof/>
                <w:kern w:val="2"/>
                <w:sz w:val="24"/>
                <w:szCs w:val="24"/>
                <w:lang w:val="en-US"/>
                <w14:ligatures w14:val="standardContextual"/>
              </w:rPr>
              <w:tab/>
            </w:r>
            <w:r w:rsidR="007C7AB8" w:rsidRPr="00FF756A">
              <w:rPr>
                <w:rStyle w:val="Hyperlink"/>
                <w:noProof/>
                <w:lang w:eastAsia="de-DE"/>
              </w:rPr>
              <w:t>Përmbledhje e nevojave për investime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_Toc183639315 \h </w:instrText>
            </w:r>
            <w:r w:rsidR="007C7AB8" w:rsidRPr="00FF756A">
              <w:rPr>
                <w:noProof/>
                <w:webHidden/>
              </w:rPr>
            </w:r>
            <w:r w:rsidR="007C7AB8" w:rsidRPr="00FF756A">
              <w:rPr>
                <w:noProof/>
                <w:webHidden/>
              </w:rPr>
              <w:fldChar w:fldCharType="separate"/>
            </w:r>
            <w:r w:rsidR="007C7AB8" w:rsidRPr="00FF756A">
              <w:rPr>
                <w:noProof/>
                <w:webHidden/>
              </w:rPr>
              <w:t>334</w:t>
            </w:r>
            <w:r w:rsidR="007C7AB8" w:rsidRPr="00FF756A">
              <w:rPr>
                <w:noProof/>
                <w:webHidden/>
              </w:rPr>
              <w:fldChar w:fldCharType="end"/>
            </w:r>
          </w:hyperlink>
        </w:p>
        <w:p w14:paraId="483AC53C" w14:textId="63F1E7C4" w:rsidR="007C7AB8" w:rsidRPr="00FF756A" w:rsidRDefault="008A279C">
          <w:pPr>
            <w:pStyle w:val="TOC4"/>
            <w:tabs>
              <w:tab w:val="left" w:pos="110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316" w:history="1">
            <w:r w:rsidR="007C7AB8" w:rsidRPr="00FF756A">
              <w:rPr>
                <w:rStyle w:val="Hyperlink"/>
                <w:rFonts w:ascii="Times New Roman" w:eastAsia="Calibri Light" w:hAnsi="Times New Roman" w:cs="Times New Roman"/>
                <w:i/>
                <w:iCs/>
                <w:noProof/>
              </w:rPr>
              <w:t>i.</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eastAsia="Calibri Light" w:hAnsi="Times New Roman" w:cs="Times New Roman"/>
                <w:i/>
                <w:iCs/>
                <w:noProof/>
              </w:rPr>
              <w:t>Flukset ekzistuese të investimeve dhe supozimet e investimeve të ardhshme lidhur me politikat dhe masat e planifikuara</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_Toc183639316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334</w:t>
            </w:r>
            <w:r w:rsidR="007C7AB8" w:rsidRPr="00FF756A">
              <w:rPr>
                <w:rFonts w:ascii="Times New Roman" w:hAnsi="Times New Roman" w:cs="Times New Roman"/>
                <w:noProof/>
                <w:webHidden/>
              </w:rPr>
              <w:fldChar w:fldCharType="end"/>
            </w:r>
          </w:hyperlink>
        </w:p>
        <w:p w14:paraId="11AD7633" w14:textId="02FA5469" w:rsidR="007C7AB8" w:rsidRPr="00FF756A" w:rsidRDefault="008A279C">
          <w:pPr>
            <w:pStyle w:val="TOC4"/>
            <w:tabs>
              <w:tab w:val="left" w:pos="110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317" w:history="1">
            <w:r w:rsidR="007C7AB8" w:rsidRPr="00FF756A">
              <w:rPr>
                <w:rStyle w:val="Hyperlink"/>
                <w:rFonts w:ascii="Times New Roman" w:eastAsia="Calibri Light" w:hAnsi="Times New Roman" w:cs="Times New Roman"/>
                <w:i/>
                <w:iCs/>
                <w:noProof/>
              </w:rPr>
              <w:t>ii.</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eastAsia="Calibri Light" w:hAnsi="Times New Roman" w:cs="Times New Roman"/>
                <w:i/>
                <w:iCs/>
                <w:noProof/>
              </w:rPr>
              <w:t>Barrierat ose faktorët e riskut në sektor ose treg, në kontekstin kombëtar dhe rajonal</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_Toc183639317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340</w:t>
            </w:r>
            <w:r w:rsidR="007C7AB8" w:rsidRPr="00FF756A">
              <w:rPr>
                <w:rFonts w:ascii="Times New Roman" w:hAnsi="Times New Roman" w:cs="Times New Roman"/>
                <w:noProof/>
                <w:webHidden/>
              </w:rPr>
              <w:fldChar w:fldCharType="end"/>
            </w:r>
          </w:hyperlink>
        </w:p>
        <w:p w14:paraId="469C4F7B" w14:textId="62A8351F" w:rsidR="007C7AB8" w:rsidRPr="00FF756A" w:rsidRDefault="008A279C">
          <w:pPr>
            <w:pStyle w:val="TOC2"/>
            <w:tabs>
              <w:tab w:val="left" w:pos="880"/>
              <w:tab w:val="right" w:leader="dot" w:pos="9062"/>
            </w:tabs>
            <w:rPr>
              <w:rFonts w:eastAsiaTheme="minorEastAsia"/>
              <w:noProof/>
              <w:kern w:val="2"/>
              <w:sz w:val="24"/>
              <w:szCs w:val="24"/>
              <w:lang w:val="en-US"/>
              <w14:ligatures w14:val="standardContextual"/>
            </w:rPr>
          </w:pPr>
          <w:hyperlink w:anchor="_Toc183639318" w:history="1">
            <w:r w:rsidR="007C7AB8" w:rsidRPr="00FF756A">
              <w:rPr>
                <w:rStyle w:val="Hyperlink"/>
                <w:noProof/>
                <w:lang w:eastAsia="de-DE"/>
              </w:rPr>
              <w:t>5.4</w:t>
            </w:r>
            <w:r w:rsidR="007C7AB8" w:rsidRPr="00FF756A">
              <w:rPr>
                <w:rFonts w:eastAsiaTheme="minorEastAsia"/>
                <w:noProof/>
                <w:kern w:val="2"/>
                <w:sz w:val="24"/>
                <w:szCs w:val="24"/>
                <w:lang w:val="en-US"/>
                <w14:ligatures w14:val="standardContextual"/>
              </w:rPr>
              <w:tab/>
            </w:r>
            <w:r w:rsidR="007C7AB8" w:rsidRPr="00FF756A">
              <w:rPr>
                <w:rStyle w:val="Hyperlink"/>
                <w:noProof/>
                <w:lang w:eastAsia="de-DE"/>
              </w:rPr>
              <w:t>Ndikimet e politikave dhe masave të planifikuara te shtetet e tjera anëtare dhe te bashkëpunimi rajonal, duke përfshirë krahasimin me parashikimet e bazuara në politikat dhe masat ekzistuese.</w:t>
            </w:r>
            <w:r w:rsidR="007C7AB8" w:rsidRPr="00FF756A">
              <w:rPr>
                <w:noProof/>
                <w:webHidden/>
              </w:rPr>
              <w:tab/>
            </w:r>
            <w:r w:rsidR="007C7AB8" w:rsidRPr="00FF756A">
              <w:rPr>
                <w:noProof/>
                <w:webHidden/>
              </w:rPr>
              <w:fldChar w:fldCharType="begin"/>
            </w:r>
            <w:r w:rsidR="007C7AB8" w:rsidRPr="00FF756A">
              <w:rPr>
                <w:noProof/>
                <w:webHidden/>
              </w:rPr>
              <w:instrText xml:space="preserve"> PAGEREF _Toc183639318 \h </w:instrText>
            </w:r>
            <w:r w:rsidR="007C7AB8" w:rsidRPr="00FF756A">
              <w:rPr>
                <w:noProof/>
                <w:webHidden/>
              </w:rPr>
            </w:r>
            <w:r w:rsidR="007C7AB8" w:rsidRPr="00FF756A">
              <w:rPr>
                <w:noProof/>
                <w:webHidden/>
              </w:rPr>
              <w:fldChar w:fldCharType="separate"/>
            </w:r>
            <w:r w:rsidR="007C7AB8" w:rsidRPr="00FF756A">
              <w:rPr>
                <w:noProof/>
                <w:webHidden/>
              </w:rPr>
              <w:t>340</w:t>
            </w:r>
            <w:r w:rsidR="007C7AB8" w:rsidRPr="00FF756A">
              <w:rPr>
                <w:noProof/>
                <w:webHidden/>
              </w:rPr>
              <w:fldChar w:fldCharType="end"/>
            </w:r>
          </w:hyperlink>
        </w:p>
        <w:p w14:paraId="75A1EA10" w14:textId="00B3854C" w:rsidR="007C7AB8" w:rsidRPr="00FF756A" w:rsidRDefault="008A279C">
          <w:pPr>
            <w:pStyle w:val="TOC4"/>
            <w:tabs>
              <w:tab w:val="left" w:pos="110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319" w:history="1">
            <w:r w:rsidR="007C7AB8" w:rsidRPr="00FF756A">
              <w:rPr>
                <w:rStyle w:val="Hyperlink"/>
                <w:rFonts w:ascii="Times New Roman" w:eastAsia="Calibri Light" w:hAnsi="Times New Roman" w:cs="Times New Roman"/>
                <w:i/>
                <w:iCs/>
                <w:noProof/>
              </w:rPr>
              <w:t>i.</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eastAsia="Calibri Light" w:hAnsi="Times New Roman" w:cs="Times New Roman"/>
                <w:i/>
                <w:iCs/>
                <w:noProof/>
              </w:rPr>
              <w:t>Ndikimet te sistemi i energjisë në shtetet fqinje dhe shtetet e tjera anëtare në rajon, për aq sa është e mundur</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_Toc183639319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340</w:t>
            </w:r>
            <w:r w:rsidR="007C7AB8" w:rsidRPr="00FF756A">
              <w:rPr>
                <w:rFonts w:ascii="Times New Roman" w:hAnsi="Times New Roman" w:cs="Times New Roman"/>
                <w:noProof/>
                <w:webHidden/>
              </w:rPr>
              <w:fldChar w:fldCharType="end"/>
            </w:r>
          </w:hyperlink>
        </w:p>
        <w:p w14:paraId="5F9D537C" w14:textId="4D306499" w:rsidR="007C7AB8" w:rsidRPr="00FF756A" w:rsidRDefault="008A279C">
          <w:pPr>
            <w:pStyle w:val="TOC4"/>
            <w:tabs>
              <w:tab w:val="left" w:pos="110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320" w:history="1">
            <w:r w:rsidR="007C7AB8" w:rsidRPr="00FF756A">
              <w:rPr>
                <w:rStyle w:val="Hyperlink"/>
                <w:rFonts w:ascii="Times New Roman" w:eastAsia="Calibri Light" w:hAnsi="Times New Roman" w:cs="Times New Roman"/>
                <w:i/>
                <w:iCs/>
                <w:noProof/>
              </w:rPr>
              <w:t>ii.</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eastAsia="Calibri Light" w:hAnsi="Times New Roman" w:cs="Times New Roman"/>
                <w:i/>
                <w:iCs/>
                <w:noProof/>
              </w:rPr>
              <w:t>Ndikimet te çmimet e energjisë, organet e shërbimeve publike dhe integrimi i tregjeve të energjisë</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_Toc183639320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340</w:t>
            </w:r>
            <w:r w:rsidR="007C7AB8" w:rsidRPr="00FF756A">
              <w:rPr>
                <w:rFonts w:ascii="Times New Roman" w:hAnsi="Times New Roman" w:cs="Times New Roman"/>
                <w:noProof/>
                <w:webHidden/>
              </w:rPr>
              <w:fldChar w:fldCharType="end"/>
            </w:r>
          </w:hyperlink>
        </w:p>
        <w:p w14:paraId="319896A3" w14:textId="0154BA8A" w:rsidR="007C7AB8" w:rsidRPr="00FF756A" w:rsidRDefault="008A279C">
          <w:pPr>
            <w:pStyle w:val="TOC4"/>
            <w:tabs>
              <w:tab w:val="left" w:pos="1320"/>
              <w:tab w:val="right" w:leader="dot" w:pos="9062"/>
            </w:tabs>
            <w:rPr>
              <w:rFonts w:ascii="Times New Roman" w:eastAsiaTheme="minorEastAsia" w:hAnsi="Times New Roman" w:cs="Times New Roman"/>
              <w:noProof/>
              <w:kern w:val="2"/>
              <w:sz w:val="24"/>
              <w:szCs w:val="24"/>
              <w:lang w:val="en-US"/>
              <w14:ligatures w14:val="standardContextual"/>
            </w:rPr>
          </w:pPr>
          <w:hyperlink w:anchor="_Toc183639321" w:history="1">
            <w:r w:rsidR="007C7AB8" w:rsidRPr="00FF756A">
              <w:rPr>
                <w:rStyle w:val="Hyperlink"/>
                <w:rFonts w:ascii="Times New Roman" w:eastAsia="Calibri Light" w:hAnsi="Times New Roman" w:cs="Times New Roman"/>
                <w:i/>
                <w:iCs/>
                <w:noProof/>
              </w:rPr>
              <w:t>iii.</w:t>
            </w:r>
            <w:r w:rsidR="007C7AB8" w:rsidRPr="00FF756A">
              <w:rPr>
                <w:rFonts w:ascii="Times New Roman" w:eastAsiaTheme="minorEastAsia" w:hAnsi="Times New Roman" w:cs="Times New Roman"/>
                <w:noProof/>
                <w:kern w:val="2"/>
                <w:sz w:val="24"/>
                <w:szCs w:val="24"/>
                <w:lang w:val="en-US"/>
                <w14:ligatures w14:val="standardContextual"/>
              </w:rPr>
              <w:tab/>
            </w:r>
            <w:r w:rsidR="007C7AB8" w:rsidRPr="00FF756A">
              <w:rPr>
                <w:rStyle w:val="Hyperlink"/>
                <w:rFonts w:ascii="Times New Roman" w:eastAsia="Calibri Light" w:hAnsi="Times New Roman" w:cs="Times New Roman"/>
                <w:i/>
                <w:iCs/>
                <w:noProof/>
              </w:rPr>
              <w:t>Ndikimet te bashkëpunimi rajonal, sipas rastit</w:t>
            </w:r>
            <w:r w:rsidR="007C7AB8" w:rsidRPr="00FF756A">
              <w:rPr>
                <w:rFonts w:ascii="Times New Roman" w:hAnsi="Times New Roman" w:cs="Times New Roman"/>
                <w:noProof/>
                <w:webHidden/>
              </w:rPr>
              <w:tab/>
            </w:r>
            <w:r w:rsidR="007C7AB8" w:rsidRPr="00FF756A">
              <w:rPr>
                <w:rFonts w:ascii="Times New Roman" w:hAnsi="Times New Roman" w:cs="Times New Roman"/>
                <w:noProof/>
                <w:webHidden/>
              </w:rPr>
              <w:fldChar w:fldCharType="begin"/>
            </w:r>
            <w:r w:rsidR="007C7AB8" w:rsidRPr="00FF756A">
              <w:rPr>
                <w:rFonts w:ascii="Times New Roman" w:hAnsi="Times New Roman" w:cs="Times New Roman"/>
                <w:noProof/>
                <w:webHidden/>
              </w:rPr>
              <w:instrText xml:space="preserve"> PAGEREF _Toc183639321 \h </w:instrText>
            </w:r>
            <w:r w:rsidR="007C7AB8" w:rsidRPr="00FF756A">
              <w:rPr>
                <w:rFonts w:ascii="Times New Roman" w:hAnsi="Times New Roman" w:cs="Times New Roman"/>
                <w:noProof/>
                <w:webHidden/>
              </w:rPr>
            </w:r>
            <w:r w:rsidR="007C7AB8" w:rsidRPr="00FF756A">
              <w:rPr>
                <w:rFonts w:ascii="Times New Roman" w:hAnsi="Times New Roman" w:cs="Times New Roman"/>
                <w:noProof/>
                <w:webHidden/>
              </w:rPr>
              <w:fldChar w:fldCharType="separate"/>
            </w:r>
            <w:r w:rsidR="007C7AB8" w:rsidRPr="00FF756A">
              <w:rPr>
                <w:rFonts w:ascii="Times New Roman" w:hAnsi="Times New Roman" w:cs="Times New Roman"/>
                <w:noProof/>
                <w:webHidden/>
              </w:rPr>
              <w:t>341</w:t>
            </w:r>
            <w:r w:rsidR="007C7AB8" w:rsidRPr="00FF756A">
              <w:rPr>
                <w:rFonts w:ascii="Times New Roman" w:hAnsi="Times New Roman" w:cs="Times New Roman"/>
                <w:noProof/>
                <w:webHidden/>
              </w:rPr>
              <w:fldChar w:fldCharType="end"/>
            </w:r>
          </w:hyperlink>
        </w:p>
        <w:p w14:paraId="44C4D8A1" w14:textId="73C61637" w:rsidR="00DA2EDE" w:rsidRPr="00FF756A" w:rsidRDefault="00427724">
          <w:r w:rsidRPr="00FF756A">
            <w:fldChar w:fldCharType="end"/>
          </w:r>
        </w:p>
      </w:sdtContent>
    </w:sdt>
    <w:p w14:paraId="4EB75EFF" w14:textId="77777777" w:rsidR="00DA2EDE" w:rsidRPr="00FF756A" w:rsidRDefault="00DA2EDE" w:rsidP="00EF0D31">
      <w:pPr>
        <w:rPr>
          <w:b/>
          <w:color w:val="2F5496" w:themeColor="accent1" w:themeShade="BF"/>
          <w:sz w:val="32"/>
          <w:szCs w:val="32"/>
        </w:rPr>
      </w:pPr>
    </w:p>
    <w:p w14:paraId="4F86B263" w14:textId="520F87FC" w:rsidR="00CA5B18" w:rsidRPr="00FF756A" w:rsidRDefault="00CA5B18">
      <w:pPr>
        <w:rPr>
          <w:b/>
          <w:color w:val="2F5496" w:themeColor="accent1" w:themeShade="BF"/>
          <w:sz w:val="32"/>
          <w:szCs w:val="32"/>
        </w:rPr>
        <w:sectPr w:rsidR="00CA5B18" w:rsidRPr="00FF756A" w:rsidSect="003127F7">
          <w:pgSz w:w="11906" w:h="16838" w:code="9"/>
          <w:pgMar w:top="1417" w:right="1417" w:bottom="1134" w:left="1417" w:header="720" w:footer="720" w:gutter="0"/>
          <w:cols w:space="720"/>
          <w:docGrid w:linePitch="360"/>
        </w:sectPr>
      </w:pPr>
    </w:p>
    <w:p w14:paraId="60FA9D09" w14:textId="77777777" w:rsidR="00DA2EDE" w:rsidRDefault="00DA2EDE" w:rsidP="00502BD1">
      <w:pPr>
        <w:pStyle w:val="Heading1"/>
        <w:numPr>
          <w:ilvl w:val="0"/>
          <w:numId w:val="0"/>
        </w:numPr>
      </w:pPr>
      <w:bookmarkStart w:id="2" w:name="_Toc183639161"/>
      <w:r w:rsidRPr="00FF756A">
        <w:lastRenderedPageBreak/>
        <w:t>Lista e shkurtimeve dhe akronimeve</w:t>
      </w:r>
      <w:bookmarkEnd w:id="2"/>
    </w:p>
    <w:p w14:paraId="1004DA5D" w14:textId="77777777" w:rsidR="00E51168" w:rsidRPr="00E51168" w:rsidRDefault="00E51168" w:rsidP="00E51168"/>
    <w:p w14:paraId="58F2F622" w14:textId="77777777" w:rsidR="00146F44" w:rsidRPr="00E51168" w:rsidRDefault="00146F44" w:rsidP="00146F44">
      <w:pPr>
        <w:pStyle w:val="CommentText"/>
        <w:spacing w:before="0" w:after="0"/>
        <w:rPr>
          <w:color w:val="000000" w:themeColor="text1"/>
        </w:rPr>
      </w:pPr>
      <w:r w:rsidRPr="00E51168">
        <w:rPr>
          <w:color w:val="000000" w:themeColor="text1"/>
        </w:rPr>
        <w:t>AK</w:t>
      </w:r>
      <w:r w:rsidRPr="00E51168">
        <w:rPr>
          <w:color w:val="000000" w:themeColor="text1"/>
        </w:rPr>
        <w:tab/>
      </w:r>
      <w:r w:rsidRPr="00E51168">
        <w:rPr>
          <w:color w:val="000000" w:themeColor="text1"/>
        </w:rPr>
        <w:tab/>
        <w:t>Autoriteti i Konkurrencës</w:t>
      </w:r>
    </w:p>
    <w:p w14:paraId="7BD96026" w14:textId="77777777" w:rsidR="00146F44" w:rsidRPr="00E51168" w:rsidRDefault="00146F44" w:rsidP="00146F44">
      <w:pPr>
        <w:spacing w:before="0" w:after="0" w:line="240" w:lineRule="auto"/>
        <w:jc w:val="left"/>
        <w:rPr>
          <w:color w:val="000000" w:themeColor="text1"/>
          <w:sz w:val="20"/>
          <w:szCs w:val="20"/>
        </w:rPr>
      </w:pPr>
      <w:r w:rsidRPr="00E51168">
        <w:rPr>
          <w:color w:val="000000" w:themeColor="text1"/>
          <w:sz w:val="20"/>
          <w:szCs w:val="20"/>
        </w:rPr>
        <w:t>ACER</w:t>
      </w:r>
      <w:r w:rsidRPr="00E51168">
        <w:rPr>
          <w:color w:val="000000" w:themeColor="text1"/>
          <w:sz w:val="20"/>
          <w:szCs w:val="20"/>
        </w:rPr>
        <w:tab/>
      </w:r>
      <w:r w:rsidRPr="00E51168">
        <w:rPr>
          <w:color w:val="000000" w:themeColor="text1"/>
          <w:sz w:val="20"/>
          <w:szCs w:val="20"/>
        </w:rPr>
        <w:tab/>
        <w:t>Agjencia për Bashkëpunim midis Rregullatorëve të Energjisë</w:t>
      </w:r>
    </w:p>
    <w:p w14:paraId="5D4A7DED" w14:textId="77777777" w:rsidR="00146F44" w:rsidRPr="00E51168" w:rsidRDefault="00146F44" w:rsidP="00146F44">
      <w:pPr>
        <w:pStyle w:val="CommentText"/>
        <w:spacing w:before="0" w:after="0"/>
        <w:rPr>
          <w:color w:val="000000" w:themeColor="text1"/>
        </w:rPr>
      </w:pPr>
      <w:r w:rsidRPr="00E51168">
        <w:rPr>
          <w:color w:val="000000" w:themeColor="text1"/>
        </w:rPr>
        <w:t xml:space="preserve">AKEE </w:t>
      </w:r>
      <w:r w:rsidRPr="00E51168">
        <w:rPr>
          <w:color w:val="000000" w:themeColor="text1"/>
        </w:rPr>
        <w:tab/>
      </w:r>
      <w:r w:rsidRPr="00E51168">
        <w:rPr>
          <w:color w:val="000000" w:themeColor="text1"/>
        </w:rPr>
        <w:tab/>
        <w:t xml:space="preserve">Agjencia Kombëtare për Efiçencën e Energjisë </w:t>
      </w:r>
    </w:p>
    <w:p w14:paraId="0DCDCB23"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AFD</w:t>
      </w:r>
      <w:r w:rsidRPr="00E51168">
        <w:rPr>
          <w:color w:val="000000" w:themeColor="text1"/>
          <w:sz w:val="20"/>
          <w:szCs w:val="20"/>
        </w:rPr>
        <w:tab/>
      </w:r>
      <w:r w:rsidRPr="00E51168">
        <w:rPr>
          <w:color w:val="000000" w:themeColor="text1"/>
          <w:sz w:val="20"/>
          <w:szCs w:val="20"/>
        </w:rPr>
        <w:tab/>
      </w:r>
      <w:r w:rsidRPr="00E51168">
        <w:rPr>
          <w:i/>
          <w:iCs/>
          <w:color w:val="000000" w:themeColor="text1"/>
          <w:sz w:val="20"/>
          <w:szCs w:val="20"/>
        </w:rPr>
        <w:t>Agence Française de Développement</w:t>
      </w:r>
    </w:p>
    <w:p w14:paraId="2AF6AF9E" w14:textId="5AD0CA5D" w:rsidR="00146F44" w:rsidRPr="00E51168" w:rsidRDefault="00146F44" w:rsidP="00146F44">
      <w:pPr>
        <w:pStyle w:val="CommentText"/>
        <w:spacing w:before="0" w:after="0"/>
        <w:rPr>
          <w:color w:val="000000" w:themeColor="text1"/>
        </w:rPr>
      </w:pPr>
      <w:r w:rsidRPr="00E51168">
        <w:rPr>
          <w:color w:val="000000" w:themeColor="text1"/>
        </w:rPr>
        <w:t>AKPT</w:t>
      </w:r>
      <w:r w:rsidRPr="00E51168">
        <w:rPr>
          <w:color w:val="000000" w:themeColor="text1"/>
        </w:rPr>
        <w:tab/>
      </w:r>
      <w:r w:rsidRPr="00E51168">
        <w:rPr>
          <w:color w:val="000000" w:themeColor="text1"/>
        </w:rPr>
        <w:tab/>
        <w:t xml:space="preserve">Agjencia Kombëtare e Planifikimit të Territorit </w:t>
      </w:r>
    </w:p>
    <w:p w14:paraId="54BC1930"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 xml:space="preserve">ALKOGAP </w:t>
      </w:r>
      <w:r w:rsidRPr="00E51168">
        <w:rPr>
          <w:color w:val="000000" w:themeColor="text1"/>
          <w:sz w:val="20"/>
          <w:szCs w:val="20"/>
        </w:rPr>
        <w:tab/>
        <w:t>Gazsjellësi Shqipëri-Kosovë</w:t>
      </w:r>
    </w:p>
    <w:p w14:paraId="4F1F29A4" w14:textId="77777777" w:rsidR="00146F44" w:rsidRPr="00E51168" w:rsidRDefault="00146F44" w:rsidP="00146F44">
      <w:pPr>
        <w:pStyle w:val="CommentText"/>
        <w:spacing w:before="0" w:after="0"/>
        <w:rPr>
          <w:color w:val="000000" w:themeColor="text1"/>
        </w:rPr>
      </w:pPr>
      <w:r w:rsidRPr="00E51168">
        <w:rPr>
          <w:color w:val="000000" w:themeColor="text1"/>
        </w:rPr>
        <w:t xml:space="preserve">APEX </w:t>
      </w:r>
      <w:r w:rsidRPr="00E51168">
        <w:rPr>
          <w:color w:val="000000" w:themeColor="text1"/>
        </w:rPr>
        <w:tab/>
      </w:r>
      <w:r w:rsidRPr="00E51168">
        <w:rPr>
          <w:color w:val="000000" w:themeColor="text1"/>
        </w:rPr>
        <w:tab/>
        <w:t xml:space="preserve">Bursa Shqiptare e Energjisë Elektrike </w:t>
      </w:r>
    </w:p>
    <w:p w14:paraId="798D654C" w14:textId="40134BD2" w:rsidR="00146F44" w:rsidRPr="00E51168" w:rsidRDefault="00146F44" w:rsidP="00146F44">
      <w:pPr>
        <w:pStyle w:val="CommentText"/>
        <w:spacing w:before="0" w:after="0"/>
        <w:rPr>
          <w:color w:val="000000" w:themeColor="text1"/>
        </w:rPr>
      </w:pPr>
      <w:r w:rsidRPr="00E51168">
        <w:rPr>
          <w:color w:val="000000" w:themeColor="text1"/>
        </w:rPr>
        <w:t>ASH</w:t>
      </w:r>
      <w:r w:rsidR="005E7983" w:rsidRPr="00E51168">
        <w:rPr>
          <w:color w:val="000000" w:themeColor="text1"/>
        </w:rPr>
        <w:t>R</w:t>
      </w:r>
      <w:r w:rsidRPr="00E51168">
        <w:rPr>
          <w:color w:val="000000" w:themeColor="text1"/>
        </w:rPr>
        <w:t>SN</w:t>
      </w:r>
      <w:r w:rsidRPr="00E51168">
        <w:rPr>
          <w:color w:val="000000" w:themeColor="text1"/>
        </w:rPr>
        <w:tab/>
        <w:t>Agjencia Shtetërore e</w:t>
      </w:r>
      <w:r w:rsidR="00027B1D" w:rsidRPr="00E51168">
        <w:rPr>
          <w:color w:val="000000" w:themeColor="text1"/>
        </w:rPr>
        <w:t xml:space="preserve"> </w:t>
      </w:r>
      <w:r w:rsidRPr="00E51168">
        <w:rPr>
          <w:color w:val="000000" w:themeColor="text1"/>
        </w:rPr>
        <w:t xml:space="preserve">Rezervave </w:t>
      </w:r>
      <w:r w:rsidR="005E7983" w:rsidRPr="00E51168">
        <w:rPr>
          <w:color w:val="000000" w:themeColor="text1"/>
        </w:rPr>
        <w:t xml:space="preserve">të Sigurisë </w:t>
      </w:r>
      <w:r w:rsidR="003F45CE" w:rsidRPr="00E51168">
        <w:rPr>
          <w:color w:val="000000" w:themeColor="text1"/>
        </w:rPr>
        <w:t>s</w:t>
      </w:r>
      <w:r w:rsidRPr="00E51168">
        <w:rPr>
          <w:color w:val="000000" w:themeColor="text1"/>
        </w:rPr>
        <w:t xml:space="preserve">ë Naftës </w:t>
      </w:r>
    </w:p>
    <w:p w14:paraId="407403F4"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AZHBR</w:t>
      </w:r>
      <w:r w:rsidRPr="00E51168">
        <w:rPr>
          <w:color w:val="000000" w:themeColor="text1"/>
          <w:sz w:val="20"/>
          <w:szCs w:val="20"/>
        </w:rPr>
        <w:tab/>
      </w:r>
      <w:r w:rsidRPr="00E51168">
        <w:rPr>
          <w:color w:val="000000" w:themeColor="text1"/>
          <w:sz w:val="20"/>
          <w:szCs w:val="20"/>
        </w:rPr>
        <w:tab/>
        <w:t>Agjencia për Zhvillim Bujqësor dhe Rural</w:t>
      </w:r>
    </w:p>
    <w:p w14:paraId="3DC87E7C"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 xml:space="preserve">BaU </w:t>
      </w:r>
      <w:r w:rsidRPr="00E51168">
        <w:rPr>
          <w:color w:val="000000" w:themeColor="text1"/>
          <w:sz w:val="20"/>
          <w:szCs w:val="20"/>
        </w:rPr>
        <w:tab/>
      </w:r>
      <w:r w:rsidRPr="00E51168">
        <w:rPr>
          <w:color w:val="000000" w:themeColor="text1"/>
          <w:sz w:val="20"/>
          <w:szCs w:val="20"/>
        </w:rPr>
        <w:tab/>
        <w:t xml:space="preserve">Punë si zakonisht </w:t>
      </w:r>
    </w:p>
    <w:p w14:paraId="4FA92287"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PMB</w:t>
      </w:r>
      <w:r w:rsidRPr="00E51168">
        <w:rPr>
          <w:color w:val="000000" w:themeColor="text1"/>
          <w:sz w:val="20"/>
          <w:szCs w:val="20"/>
        </w:rPr>
        <w:tab/>
      </w:r>
      <w:r w:rsidRPr="00E51168">
        <w:rPr>
          <w:color w:val="000000" w:themeColor="text1"/>
          <w:sz w:val="20"/>
          <w:szCs w:val="20"/>
        </w:rPr>
        <w:tab/>
        <w:t xml:space="preserve">Kodi i Praktikave të Mira Bujqësore </w:t>
      </w:r>
    </w:p>
    <w:p w14:paraId="269E79D3"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 xml:space="preserve">BRE-E </w:t>
      </w:r>
      <w:r w:rsidRPr="00E51168">
        <w:rPr>
          <w:color w:val="000000" w:themeColor="text1"/>
          <w:sz w:val="20"/>
          <w:szCs w:val="20"/>
        </w:rPr>
        <w:tab/>
      </w:r>
      <w:r w:rsidRPr="00E51168">
        <w:rPr>
          <w:color w:val="000000" w:themeColor="text1"/>
          <w:sz w:val="20"/>
          <w:szCs w:val="20"/>
        </w:rPr>
        <w:tab/>
        <w:t xml:space="preserve">Burimet e rinovueshme të energjisë për prodhimin e energjisë elektrike </w:t>
      </w:r>
    </w:p>
    <w:p w14:paraId="28B452E5"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BRE-N &amp; F</w:t>
      </w:r>
      <w:r w:rsidRPr="00E51168">
        <w:rPr>
          <w:color w:val="000000" w:themeColor="text1"/>
          <w:sz w:val="20"/>
          <w:szCs w:val="20"/>
        </w:rPr>
        <w:tab/>
        <w:t xml:space="preserve">Burimet e rinovueshme të energjisë për ngrohjen dhe ftohjen </w:t>
      </w:r>
    </w:p>
    <w:p w14:paraId="28DCDA5C"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BRE-T</w:t>
      </w:r>
      <w:r w:rsidRPr="00E51168">
        <w:rPr>
          <w:color w:val="000000" w:themeColor="text1"/>
          <w:sz w:val="20"/>
          <w:szCs w:val="20"/>
        </w:rPr>
        <w:tab/>
      </w:r>
      <w:r w:rsidRPr="00E51168">
        <w:rPr>
          <w:color w:val="000000" w:themeColor="text1"/>
          <w:sz w:val="20"/>
          <w:szCs w:val="20"/>
        </w:rPr>
        <w:tab/>
        <w:t>Burimet e rinovueshme të energjisë për transport</w:t>
      </w:r>
    </w:p>
    <w:p w14:paraId="3BB1B39E"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 xml:space="preserve">cap </w:t>
      </w:r>
      <w:r w:rsidRPr="00E51168">
        <w:rPr>
          <w:color w:val="000000" w:themeColor="text1"/>
          <w:sz w:val="20"/>
          <w:szCs w:val="20"/>
        </w:rPr>
        <w:tab/>
      </w:r>
      <w:r w:rsidRPr="00E51168">
        <w:rPr>
          <w:color w:val="000000" w:themeColor="text1"/>
          <w:sz w:val="20"/>
          <w:szCs w:val="20"/>
        </w:rPr>
        <w:tab/>
        <w:t xml:space="preserve">Për frymë </w:t>
      </w:r>
    </w:p>
    <w:p w14:paraId="2B449715"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CAPEX</w:t>
      </w:r>
      <w:r w:rsidRPr="00E51168">
        <w:rPr>
          <w:color w:val="000000" w:themeColor="text1"/>
          <w:sz w:val="20"/>
          <w:szCs w:val="20"/>
        </w:rPr>
        <w:tab/>
      </w:r>
      <w:r w:rsidRPr="00E51168">
        <w:rPr>
          <w:color w:val="000000" w:themeColor="text1"/>
          <w:sz w:val="20"/>
          <w:szCs w:val="20"/>
        </w:rPr>
        <w:tab/>
        <w:t>Shpenzime kapitale</w:t>
      </w:r>
    </w:p>
    <w:p w14:paraId="0164BC93"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CCL</w:t>
      </w:r>
      <w:r w:rsidRPr="00E51168">
        <w:rPr>
          <w:color w:val="000000" w:themeColor="text1"/>
          <w:sz w:val="20"/>
          <w:szCs w:val="20"/>
        </w:rPr>
        <w:tab/>
      </w:r>
      <w:r w:rsidRPr="00E51168">
        <w:rPr>
          <w:color w:val="000000" w:themeColor="text1"/>
          <w:sz w:val="20"/>
          <w:szCs w:val="20"/>
        </w:rPr>
        <w:tab/>
        <w:t xml:space="preserve">Grupi Lobues i Qytetarëve për Çështjet Klimatike </w:t>
      </w:r>
    </w:p>
    <w:p w14:paraId="10A312DF"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CDD</w:t>
      </w:r>
      <w:r w:rsidRPr="00E51168">
        <w:rPr>
          <w:color w:val="000000" w:themeColor="text1"/>
          <w:sz w:val="20"/>
          <w:szCs w:val="20"/>
        </w:rPr>
        <w:tab/>
      </w:r>
      <w:r w:rsidRPr="00E51168">
        <w:rPr>
          <w:color w:val="000000" w:themeColor="text1"/>
          <w:sz w:val="20"/>
          <w:szCs w:val="20"/>
        </w:rPr>
        <w:tab/>
        <w:t>Gradë-ditët e ftohjes</w:t>
      </w:r>
    </w:p>
    <w:p w14:paraId="5B17A2B8"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 xml:space="preserve">CfD </w:t>
      </w:r>
      <w:r w:rsidRPr="00E51168">
        <w:rPr>
          <w:color w:val="000000" w:themeColor="text1"/>
          <w:sz w:val="20"/>
          <w:szCs w:val="20"/>
        </w:rPr>
        <w:tab/>
      </w:r>
      <w:r w:rsidRPr="00E51168">
        <w:rPr>
          <w:color w:val="000000" w:themeColor="text1"/>
          <w:sz w:val="20"/>
          <w:szCs w:val="20"/>
        </w:rPr>
        <w:tab/>
        <w:t xml:space="preserve">Kontrata për Diferencë </w:t>
      </w:r>
    </w:p>
    <w:p w14:paraId="34CA4A8B"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CH</w:t>
      </w:r>
      <w:r w:rsidRPr="00E51168">
        <w:rPr>
          <w:color w:val="000000" w:themeColor="text1"/>
          <w:sz w:val="20"/>
          <w:szCs w:val="20"/>
          <w:vertAlign w:val="subscript"/>
        </w:rPr>
        <w:t>4</w:t>
      </w:r>
      <w:r w:rsidRPr="00E51168">
        <w:rPr>
          <w:color w:val="000000" w:themeColor="text1"/>
          <w:sz w:val="20"/>
          <w:szCs w:val="20"/>
        </w:rPr>
        <w:t xml:space="preserve"> </w:t>
      </w:r>
      <w:r w:rsidRPr="00E51168">
        <w:rPr>
          <w:color w:val="000000" w:themeColor="text1"/>
          <w:sz w:val="20"/>
          <w:szCs w:val="20"/>
        </w:rPr>
        <w:tab/>
      </w:r>
      <w:r w:rsidRPr="00E51168">
        <w:rPr>
          <w:color w:val="000000" w:themeColor="text1"/>
          <w:sz w:val="20"/>
          <w:szCs w:val="20"/>
        </w:rPr>
        <w:tab/>
        <w:t xml:space="preserve">Metan </w:t>
      </w:r>
    </w:p>
    <w:p w14:paraId="4F9A829F" w14:textId="5E597E8D" w:rsidR="00146F44" w:rsidRPr="00E51168" w:rsidRDefault="00146F44" w:rsidP="00146F44">
      <w:pPr>
        <w:pStyle w:val="CommentText"/>
        <w:spacing w:before="0" w:after="0"/>
        <w:rPr>
          <w:color w:val="000000" w:themeColor="text1"/>
        </w:rPr>
      </w:pPr>
      <w:r w:rsidRPr="00E51168">
        <w:rPr>
          <w:color w:val="000000" w:themeColor="text1"/>
        </w:rPr>
        <w:t>CO2</w:t>
      </w:r>
      <w:r w:rsidRPr="00E51168">
        <w:rPr>
          <w:color w:val="000000" w:themeColor="text1"/>
        </w:rPr>
        <w:tab/>
      </w:r>
      <w:r w:rsidRPr="00E51168">
        <w:rPr>
          <w:color w:val="000000" w:themeColor="text1"/>
        </w:rPr>
        <w:tab/>
        <w:t>D</w:t>
      </w:r>
      <w:r w:rsidR="00817AA4" w:rsidRPr="00E51168">
        <w:rPr>
          <w:color w:val="000000" w:themeColor="text1"/>
        </w:rPr>
        <w:t>i</w:t>
      </w:r>
      <w:r w:rsidRPr="00E51168">
        <w:rPr>
          <w:color w:val="000000" w:themeColor="text1"/>
        </w:rPr>
        <w:t>oksid karboni</w:t>
      </w:r>
    </w:p>
    <w:p w14:paraId="7591FC94" w14:textId="2A58D585"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CO</w:t>
      </w:r>
      <w:r w:rsidRPr="00E51168">
        <w:rPr>
          <w:color w:val="000000" w:themeColor="text1"/>
          <w:sz w:val="20"/>
          <w:szCs w:val="20"/>
          <w:vertAlign w:val="subscript"/>
        </w:rPr>
        <w:t>2</w:t>
      </w:r>
      <w:r w:rsidRPr="00E51168">
        <w:rPr>
          <w:color w:val="000000" w:themeColor="text1"/>
          <w:sz w:val="20"/>
          <w:szCs w:val="20"/>
        </w:rPr>
        <w:t xml:space="preserve">eq </w:t>
      </w:r>
      <w:r w:rsidRPr="00E51168">
        <w:rPr>
          <w:color w:val="000000" w:themeColor="text1"/>
          <w:sz w:val="20"/>
          <w:szCs w:val="20"/>
        </w:rPr>
        <w:tab/>
      </w:r>
      <w:r w:rsidRPr="00E51168">
        <w:rPr>
          <w:color w:val="000000" w:themeColor="text1"/>
          <w:sz w:val="20"/>
          <w:szCs w:val="20"/>
        </w:rPr>
        <w:tab/>
        <w:t>Ekuivalent i d</w:t>
      </w:r>
      <w:r w:rsidR="00BD0EC4" w:rsidRPr="00E51168">
        <w:rPr>
          <w:color w:val="000000" w:themeColor="text1"/>
          <w:sz w:val="20"/>
          <w:szCs w:val="20"/>
        </w:rPr>
        <w:t>i</w:t>
      </w:r>
      <w:r w:rsidRPr="00E51168">
        <w:rPr>
          <w:color w:val="000000" w:themeColor="text1"/>
          <w:sz w:val="20"/>
          <w:szCs w:val="20"/>
        </w:rPr>
        <w:t xml:space="preserve">oksidit të karbonit </w:t>
      </w:r>
    </w:p>
    <w:p w14:paraId="7C93AC67" w14:textId="77777777" w:rsidR="00146F44" w:rsidRPr="00E51168" w:rsidRDefault="00146F44" w:rsidP="00146F44">
      <w:pPr>
        <w:pStyle w:val="CommentText"/>
        <w:spacing w:before="0" w:after="0"/>
        <w:rPr>
          <w:color w:val="000000" w:themeColor="text1"/>
        </w:rPr>
      </w:pPr>
      <w:r w:rsidRPr="00E51168">
        <w:rPr>
          <w:color w:val="000000" w:themeColor="text1"/>
        </w:rPr>
        <w:t xml:space="preserve">VKM </w:t>
      </w:r>
      <w:r w:rsidRPr="00E51168">
        <w:rPr>
          <w:color w:val="000000" w:themeColor="text1"/>
        </w:rPr>
        <w:tab/>
      </w:r>
      <w:r w:rsidRPr="00E51168">
        <w:rPr>
          <w:color w:val="000000" w:themeColor="text1"/>
        </w:rPr>
        <w:tab/>
        <w:t>Vendim i Këshillit të Ministrave</w:t>
      </w:r>
    </w:p>
    <w:p w14:paraId="4849E853"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BERZH</w:t>
      </w:r>
      <w:r w:rsidRPr="00E51168">
        <w:rPr>
          <w:color w:val="000000" w:themeColor="text1"/>
          <w:sz w:val="20"/>
          <w:szCs w:val="20"/>
        </w:rPr>
        <w:tab/>
      </w:r>
      <w:r w:rsidRPr="00E51168">
        <w:rPr>
          <w:color w:val="000000" w:themeColor="text1"/>
          <w:sz w:val="20"/>
          <w:szCs w:val="20"/>
        </w:rPr>
        <w:tab/>
        <w:t xml:space="preserve">Banka Evropiane për Rindërtim dhe Zhvillim </w:t>
      </w:r>
    </w:p>
    <w:p w14:paraId="56628A33"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 xml:space="preserve">ECM </w:t>
      </w:r>
      <w:r w:rsidRPr="00E51168">
        <w:rPr>
          <w:color w:val="000000" w:themeColor="text1"/>
          <w:sz w:val="20"/>
          <w:szCs w:val="20"/>
        </w:rPr>
        <w:tab/>
      </w:r>
      <w:r w:rsidRPr="00E51168">
        <w:rPr>
          <w:color w:val="000000" w:themeColor="text1"/>
          <w:sz w:val="20"/>
          <w:szCs w:val="20"/>
        </w:rPr>
        <w:tab/>
        <w:t xml:space="preserve">Masat për ruajtjen e energjisë </w:t>
      </w:r>
    </w:p>
    <w:p w14:paraId="1D5C9C66" w14:textId="77777777" w:rsidR="00146F44" w:rsidRPr="00E51168" w:rsidRDefault="00146F44" w:rsidP="00146F44">
      <w:pPr>
        <w:pStyle w:val="CommentText"/>
        <w:spacing w:before="0" w:after="0"/>
        <w:rPr>
          <w:color w:val="000000" w:themeColor="text1"/>
        </w:rPr>
      </w:pPr>
      <w:r w:rsidRPr="00E51168">
        <w:rPr>
          <w:color w:val="000000" w:themeColor="text1"/>
        </w:rPr>
        <w:t xml:space="preserve">EE </w:t>
      </w:r>
      <w:r w:rsidRPr="00E51168">
        <w:rPr>
          <w:color w:val="000000" w:themeColor="text1"/>
        </w:rPr>
        <w:tab/>
      </w:r>
      <w:r w:rsidRPr="00E51168">
        <w:rPr>
          <w:color w:val="000000" w:themeColor="text1"/>
        </w:rPr>
        <w:tab/>
        <w:t xml:space="preserve">Efiçenca e energjisë </w:t>
      </w:r>
    </w:p>
    <w:p w14:paraId="04E8AEAE" w14:textId="77777777" w:rsidR="00146F44" w:rsidRPr="00E51168" w:rsidRDefault="00146F44" w:rsidP="00146F44">
      <w:pPr>
        <w:pStyle w:val="CommentText"/>
        <w:spacing w:before="0" w:after="0"/>
        <w:rPr>
          <w:color w:val="000000" w:themeColor="text1"/>
        </w:rPr>
      </w:pPr>
      <w:r w:rsidRPr="00E51168">
        <w:rPr>
          <w:color w:val="000000" w:themeColor="text1"/>
        </w:rPr>
        <w:t>PVEE</w:t>
      </w:r>
      <w:r w:rsidRPr="00E51168">
        <w:rPr>
          <w:color w:val="000000" w:themeColor="text1"/>
        </w:rPr>
        <w:tab/>
      </w:r>
      <w:r w:rsidRPr="00E51168">
        <w:rPr>
          <w:color w:val="000000" w:themeColor="text1"/>
        </w:rPr>
        <w:tab/>
        <w:t xml:space="preserve">Plani i Veprimit për Efiçencën e Energjisë </w:t>
      </w:r>
    </w:p>
    <w:p w14:paraId="24B61F58" w14:textId="77777777" w:rsidR="00146F44" w:rsidRPr="00E51168" w:rsidRDefault="00146F44" w:rsidP="00146F44">
      <w:pPr>
        <w:pStyle w:val="CommentText"/>
        <w:spacing w:before="0" w:after="0"/>
        <w:jc w:val="left"/>
        <w:rPr>
          <w:color w:val="000000" w:themeColor="text1"/>
        </w:rPr>
      </w:pPr>
      <w:r w:rsidRPr="00E51168">
        <w:rPr>
          <w:color w:val="000000" w:themeColor="text1"/>
        </w:rPr>
        <w:t xml:space="preserve">EED </w:t>
      </w:r>
      <w:r w:rsidRPr="00E51168">
        <w:rPr>
          <w:color w:val="000000" w:themeColor="text1"/>
        </w:rPr>
        <w:tab/>
      </w:r>
      <w:r w:rsidRPr="00E51168">
        <w:rPr>
          <w:color w:val="000000" w:themeColor="text1"/>
        </w:rPr>
        <w:tab/>
        <w:t>Direktiva për Efiçencën e Energjisë</w:t>
      </w:r>
    </w:p>
    <w:p w14:paraId="131C855A" w14:textId="2DB353D2" w:rsidR="00146F44" w:rsidRPr="00E51168" w:rsidRDefault="00146F44" w:rsidP="00146F44">
      <w:pPr>
        <w:pStyle w:val="CommentText"/>
        <w:spacing w:before="0" w:after="0"/>
        <w:jc w:val="left"/>
        <w:rPr>
          <w:color w:val="000000" w:themeColor="text1"/>
        </w:rPr>
      </w:pPr>
      <w:r w:rsidRPr="00E51168">
        <w:rPr>
          <w:color w:val="000000" w:themeColor="text1"/>
        </w:rPr>
        <w:t>VNM</w:t>
      </w:r>
      <w:r w:rsidRPr="00E51168">
        <w:rPr>
          <w:color w:val="000000" w:themeColor="text1"/>
        </w:rPr>
        <w:tab/>
      </w:r>
      <w:r w:rsidRPr="00E51168">
        <w:rPr>
          <w:color w:val="000000" w:themeColor="text1"/>
        </w:rPr>
        <w:tab/>
        <w:t xml:space="preserve">Vlerësimi i Ndikimit në Mjedis </w:t>
      </w:r>
    </w:p>
    <w:p w14:paraId="6D81F079" w14:textId="0BFA0EF5" w:rsidR="00146F44" w:rsidRPr="00E51168" w:rsidRDefault="00146F44" w:rsidP="00146F44">
      <w:pPr>
        <w:pStyle w:val="CommentText"/>
        <w:spacing w:before="0" w:after="0"/>
        <w:jc w:val="left"/>
        <w:rPr>
          <w:color w:val="000000" w:themeColor="text1"/>
        </w:rPr>
      </w:pPr>
      <w:r w:rsidRPr="00E51168">
        <w:rPr>
          <w:color w:val="000000" w:themeColor="text1"/>
        </w:rPr>
        <w:t>EPBD</w:t>
      </w:r>
      <w:r w:rsidRPr="00E51168">
        <w:rPr>
          <w:color w:val="000000" w:themeColor="text1"/>
        </w:rPr>
        <w:tab/>
      </w:r>
      <w:r w:rsidRPr="00E51168">
        <w:rPr>
          <w:color w:val="000000" w:themeColor="text1"/>
        </w:rPr>
        <w:tab/>
        <w:t xml:space="preserve">Direktiva për Performancën e Energjisë së Ndërtesave </w:t>
      </w:r>
    </w:p>
    <w:p w14:paraId="2CF332B1" w14:textId="77777777" w:rsidR="00146F44" w:rsidRPr="00E51168" w:rsidRDefault="00146F44" w:rsidP="00146F44">
      <w:pPr>
        <w:pStyle w:val="CommentText"/>
        <w:spacing w:before="0" w:after="0"/>
        <w:rPr>
          <w:color w:val="000000" w:themeColor="text1"/>
        </w:rPr>
      </w:pPr>
      <w:r w:rsidRPr="00E51168">
        <w:rPr>
          <w:color w:val="000000" w:themeColor="text1"/>
        </w:rPr>
        <w:t xml:space="preserve">KE </w:t>
      </w:r>
      <w:r w:rsidRPr="00E51168">
        <w:rPr>
          <w:color w:val="000000" w:themeColor="text1"/>
        </w:rPr>
        <w:tab/>
      </w:r>
      <w:r w:rsidRPr="00E51168">
        <w:rPr>
          <w:color w:val="000000" w:themeColor="text1"/>
        </w:rPr>
        <w:tab/>
        <w:t xml:space="preserve">Komuniteti i Energjisë </w:t>
      </w:r>
    </w:p>
    <w:p w14:paraId="08EC76F6" w14:textId="77777777" w:rsidR="00146F44" w:rsidRPr="00E51168" w:rsidRDefault="00146F44" w:rsidP="00146F44">
      <w:pPr>
        <w:pStyle w:val="CommentText"/>
        <w:spacing w:before="0" w:after="0"/>
        <w:rPr>
          <w:color w:val="000000" w:themeColor="text1"/>
        </w:rPr>
      </w:pPr>
      <w:r w:rsidRPr="00E51168">
        <w:rPr>
          <w:color w:val="000000" w:themeColor="text1"/>
        </w:rPr>
        <w:t>ENTSO-E</w:t>
      </w:r>
      <w:r w:rsidRPr="00E51168">
        <w:rPr>
          <w:color w:val="000000" w:themeColor="text1"/>
        </w:rPr>
        <w:tab/>
        <w:t xml:space="preserve">Rrjeti Sinkron Evropian i Operatorëve të Sistemit të Transmetimit të Energjisë Elektrike </w:t>
      </w:r>
    </w:p>
    <w:p w14:paraId="729C79DB" w14:textId="77777777" w:rsidR="00146F44" w:rsidRPr="00E51168" w:rsidRDefault="00146F44" w:rsidP="00146F44">
      <w:pPr>
        <w:pStyle w:val="CommentText"/>
        <w:spacing w:before="0" w:after="0"/>
        <w:rPr>
          <w:color w:val="000000" w:themeColor="text1"/>
        </w:rPr>
      </w:pPr>
      <w:r w:rsidRPr="00E51168">
        <w:rPr>
          <w:color w:val="000000" w:themeColor="text1"/>
        </w:rPr>
        <w:t xml:space="preserve">ERE </w:t>
      </w:r>
      <w:r w:rsidRPr="00E51168">
        <w:rPr>
          <w:color w:val="000000" w:themeColor="text1"/>
        </w:rPr>
        <w:tab/>
      </w:r>
      <w:r w:rsidRPr="00E51168">
        <w:rPr>
          <w:color w:val="000000" w:themeColor="text1"/>
        </w:rPr>
        <w:tab/>
        <w:t xml:space="preserve">Enti Rregullator i Energjisë </w:t>
      </w:r>
    </w:p>
    <w:p w14:paraId="77FBB320"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 xml:space="preserve">ERRU </w:t>
      </w:r>
      <w:r w:rsidRPr="00E51168">
        <w:rPr>
          <w:color w:val="000000" w:themeColor="text1"/>
          <w:sz w:val="20"/>
          <w:szCs w:val="20"/>
        </w:rPr>
        <w:tab/>
      </w:r>
      <w:r w:rsidRPr="00E51168">
        <w:rPr>
          <w:color w:val="000000" w:themeColor="text1"/>
          <w:sz w:val="20"/>
          <w:szCs w:val="20"/>
        </w:rPr>
        <w:tab/>
        <w:t>Enti Rregullator i Ujit</w:t>
      </w:r>
    </w:p>
    <w:p w14:paraId="0E13DA79" w14:textId="77777777" w:rsidR="00146F44" w:rsidRPr="00E51168" w:rsidRDefault="00146F44" w:rsidP="00146F44">
      <w:pPr>
        <w:spacing w:before="0" w:after="0" w:line="240" w:lineRule="auto"/>
        <w:rPr>
          <w:color w:val="000000" w:themeColor="text1"/>
          <w:sz w:val="20"/>
          <w:szCs w:val="20"/>
          <w:shd w:val="clear" w:color="auto" w:fill="FFFFFF"/>
        </w:rPr>
      </w:pPr>
      <w:r w:rsidRPr="00E51168">
        <w:rPr>
          <w:color w:val="000000" w:themeColor="text1"/>
          <w:sz w:val="20"/>
          <w:szCs w:val="20"/>
          <w:shd w:val="clear" w:color="auto" w:fill="FFFFFF"/>
        </w:rPr>
        <w:t>ESCO</w:t>
      </w:r>
      <w:r w:rsidRPr="00E51168">
        <w:rPr>
          <w:color w:val="000000" w:themeColor="text1"/>
          <w:sz w:val="20"/>
          <w:szCs w:val="20"/>
          <w:shd w:val="clear" w:color="auto" w:fill="FFFFFF"/>
        </w:rPr>
        <w:tab/>
      </w:r>
      <w:r w:rsidRPr="00E51168">
        <w:rPr>
          <w:color w:val="000000" w:themeColor="text1"/>
          <w:sz w:val="20"/>
          <w:szCs w:val="20"/>
          <w:shd w:val="clear" w:color="auto" w:fill="FFFFFF"/>
        </w:rPr>
        <w:tab/>
        <w:t xml:space="preserve">Shoqëria e Shërbimeve Energjetike </w:t>
      </w:r>
    </w:p>
    <w:p w14:paraId="2AB11393"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VNMS</w:t>
      </w:r>
      <w:r w:rsidRPr="00E51168">
        <w:rPr>
          <w:color w:val="000000" w:themeColor="text1"/>
          <w:sz w:val="20"/>
          <w:szCs w:val="20"/>
        </w:rPr>
        <w:tab/>
      </w:r>
      <w:r w:rsidRPr="00E51168">
        <w:rPr>
          <w:color w:val="000000" w:themeColor="text1"/>
          <w:sz w:val="20"/>
          <w:szCs w:val="20"/>
        </w:rPr>
        <w:tab/>
        <w:t xml:space="preserve">Vlerësimi i Ndikimit Mjedisor dhe Social </w:t>
      </w:r>
    </w:p>
    <w:p w14:paraId="6648AA0B" w14:textId="77777777" w:rsidR="00146F44" w:rsidRPr="00E51168" w:rsidRDefault="00146F44" w:rsidP="00146F44">
      <w:pPr>
        <w:pStyle w:val="CommentText"/>
        <w:spacing w:before="0" w:after="0"/>
        <w:rPr>
          <w:color w:val="000000" w:themeColor="text1"/>
        </w:rPr>
      </w:pPr>
      <w:r w:rsidRPr="00E51168">
        <w:rPr>
          <w:color w:val="000000" w:themeColor="text1"/>
        </w:rPr>
        <w:t xml:space="preserve">ESO </w:t>
      </w:r>
      <w:r w:rsidRPr="00E51168">
        <w:rPr>
          <w:color w:val="000000" w:themeColor="text1"/>
        </w:rPr>
        <w:tab/>
      </w:r>
      <w:r w:rsidRPr="00E51168">
        <w:rPr>
          <w:color w:val="000000" w:themeColor="text1"/>
        </w:rPr>
        <w:tab/>
        <w:t>Operatori i Sistemit të Transmetimit i Bullgarisë</w:t>
      </w:r>
    </w:p>
    <w:p w14:paraId="0CB05851"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ETS</w:t>
      </w:r>
      <w:r w:rsidRPr="00E51168">
        <w:rPr>
          <w:color w:val="000000" w:themeColor="text1"/>
          <w:sz w:val="20"/>
          <w:szCs w:val="20"/>
        </w:rPr>
        <w:tab/>
      </w:r>
      <w:r w:rsidRPr="00E51168">
        <w:rPr>
          <w:color w:val="000000" w:themeColor="text1"/>
          <w:sz w:val="20"/>
          <w:szCs w:val="20"/>
        </w:rPr>
        <w:tab/>
        <w:t xml:space="preserve">Sistemi i tregtimit të shkarkimeve </w:t>
      </w:r>
    </w:p>
    <w:p w14:paraId="6438D99D"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EV</w:t>
      </w:r>
      <w:r w:rsidRPr="00E51168">
        <w:rPr>
          <w:color w:val="000000" w:themeColor="text1"/>
          <w:sz w:val="20"/>
          <w:szCs w:val="20"/>
        </w:rPr>
        <w:tab/>
      </w:r>
      <w:r w:rsidRPr="00E51168">
        <w:rPr>
          <w:color w:val="000000" w:themeColor="text1"/>
          <w:sz w:val="20"/>
          <w:szCs w:val="20"/>
        </w:rPr>
        <w:tab/>
        <w:t xml:space="preserve">Automjet elektrik </w:t>
      </w:r>
    </w:p>
    <w:p w14:paraId="74015318"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KFE</w:t>
      </w:r>
      <w:r w:rsidRPr="00E51168">
        <w:rPr>
          <w:color w:val="000000" w:themeColor="text1"/>
          <w:sz w:val="20"/>
          <w:szCs w:val="20"/>
        </w:rPr>
        <w:tab/>
      </w:r>
      <w:r w:rsidRPr="00E51168">
        <w:rPr>
          <w:color w:val="000000" w:themeColor="text1"/>
          <w:sz w:val="20"/>
          <w:szCs w:val="20"/>
        </w:rPr>
        <w:tab/>
        <w:t>Konsumi final i energjisë</w:t>
      </w:r>
    </w:p>
    <w:p w14:paraId="71DDB19B" w14:textId="5CCAF823"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FiT</w:t>
      </w:r>
      <w:r w:rsidRPr="00E51168">
        <w:rPr>
          <w:color w:val="000000" w:themeColor="text1"/>
          <w:sz w:val="20"/>
          <w:szCs w:val="20"/>
        </w:rPr>
        <w:tab/>
      </w:r>
      <w:r w:rsidRPr="00E51168">
        <w:rPr>
          <w:color w:val="000000" w:themeColor="text1"/>
          <w:sz w:val="20"/>
          <w:szCs w:val="20"/>
        </w:rPr>
        <w:tab/>
        <w:t xml:space="preserve">Tarifë e stimuluar </w:t>
      </w:r>
      <w:r w:rsidR="00DF469A">
        <w:rPr>
          <w:color w:val="000000" w:themeColor="text1"/>
          <w:sz w:val="20"/>
          <w:szCs w:val="20"/>
        </w:rPr>
        <w:t>“</w:t>
      </w:r>
      <w:r w:rsidRPr="00E51168">
        <w:rPr>
          <w:color w:val="000000" w:themeColor="text1"/>
          <w:sz w:val="20"/>
          <w:szCs w:val="20"/>
        </w:rPr>
        <w:t>feed-in</w:t>
      </w:r>
      <w:r w:rsidR="00DF469A">
        <w:rPr>
          <w:color w:val="000000" w:themeColor="text1"/>
          <w:sz w:val="20"/>
          <w:szCs w:val="20"/>
        </w:rPr>
        <w:t>”</w:t>
      </w:r>
    </w:p>
    <w:p w14:paraId="60F38B1B" w14:textId="39BDC3F4"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GACMO</w:t>
      </w:r>
      <w:r w:rsidRPr="00E51168">
        <w:rPr>
          <w:color w:val="000000" w:themeColor="text1"/>
          <w:sz w:val="20"/>
          <w:szCs w:val="20"/>
        </w:rPr>
        <w:tab/>
        <w:t xml:space="preserve">Modeli i Kostos së Pakësimit të Gazit me Efekt Serrë </w:t>
      </w:r>
    </w:p>
    <w:p w14:paraId="7A2C7820" w14:textId="77777777" w:rsidR="00146F44" w:rsidRPr="00E51168" w:rsidRDefault="00146F44" w:rsidP="00146F44">
      <w:pPr>
        <w:pStyle w:val="CommentText"/>
        <w:spacing w:before="0" w:after="0"/>
        <w:rPr>
          <w:color w:val="000000" w:themeColor="text1"/>
        </w:rPr>
      </w:pPr>
      <w:r w:rsidRPr="00E51168">
        <w:rPr>
          <w:color w:val="000000" w:themeColor="text1"/>
        </w:rPr>
        <w:t xml:space="preserve">PBB </w:t>
      </w:r>
      <w:r w:rsidRPr="00E51168">
        <w:rPr>
          <w:color w:val="000000" w:themeColor="text1"/>
        </w:rPr>
        <w:tab/>
      </w:r>
      <w:r w:rsidRPr="00E51168">
        <w:rPr>
          <w:color w:val="000000" w:themeColor="text1"/>
        </w:rPr>
        <w:tab/>
        <w:t xml:space="preserve">Produkti i Brendshëm Bruto </w:t>
      </w:r>
    </w:p>
    <w:p w14:paraId="1709645B" w14:textId="77777777" w:rsidR="00146F44" w:rsidRPr="00E51168" w:rsidRDefault="00146F44" w:rsidP="00146F44">
      <w:pPr>
        <w:pStyle w:val="CommentText"/>
        <w:spacing w:before="0" w:after="0"/>
        <w:rPr>
          <w:color w:val="000000" w:themeColor="text1"/>
        </w:rPr>
      </w:pPr>
      <w:r w:rsidRPr="00E51168">
        <w:rPr>
          <w:color w:val="000000" w:themeColor="text1"/>
        </w:rPr>
        <w:t xml:space="preserve">GES </w:t>
      </w:r>
      <w:r w:rsidRPr="00E51168">
        <w:rPr>
          <w:color w:val="000000" w:themeColor="text1"/>
        </w:rPr>
        <w:tab/>
      </w:r>
      <w:r w:rsidRPr="00E51168">
        <w:rPr>
          <w:color w:val="000000" w:themeColor="text1"/>
        </w:rPr>
        <w:tab/>
        <w:t>Gaze me Efekt Serrë</w:t>
      </w:r>
    </w:p>
    <w:p w14:paraId="5E5BACEE"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ha</w:t>
      </w:r>
      <w:r w:rsidRPr="00E51168">
        <w:rPr>
          <w:color w:val="000000" w:themeColor="text1"/>
          <w:sz w:val="20"/>
          <w:szCs w:val="20"/>
        </w:rPr>
        <w:tab/>
      </w:r>
      <w:r w:rsidRPr="00E51168">
        <w:rPr>
          <w:color w:val="000000" w:themeColor="text1"/>
          <w:sz w:val="20"/>
          <w:szCs w:val="20"/>
        </w:rPr>
        <w:tab/>
        <w:t>Hektarë</w:t>
      </w:r>
    </w:p>
    <w:p w14:paraId="7E06174D"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HDD</w:t>
      </w:r>
      <w:r w:rsidRPr="00E51168">
        <w:rPr>
          <w:color w:val="000000" w:themeColor="text1"/>
          <w:sz w:val="20"/>
          <w:szCs w:val="20"/>
        </w:rPr>
        <w:tab/>
      </w:r>
      <w:r w:rsidRPr="00E51168">
        <w:rPr>
          <w:color w:val="000000" w:themeColor="text1"/>
          <w:sz w:val="20"/>
          <w:szCs w:val="20"/>
        </w:rPr>
        <w:tab/>
        <w:t xml:space="preserve">Gradë-ditët e ngrohjes </w:t>
      </w:r>
    </w:p>
    <w:p w14:paraId="4AB8D3F1" w14:textId="77777777" w:rsidR="00146F44" w:rsidRPr="00E51168" w:rsidRDefault="00146F44" w:rsidP="00146F44">
      <w:pPr>
        <w:pStyle w:val="CommentText"/>
        <w:spacing w:before="0" w:after="0"/>
        <w:rPr>
          <w:rFonts w:eastAsia="Times New Roman"/>
          <w:color w:val="000000" w:themeColor="text1"/>
        </w:rPr>
      </w:pPr>
      <w:r w:rsidRPr="00E51168">
        <w:rPr>
          <w:color w:val="000000" w:themeColor="text1"/>
        </w:rPr>
        <w:t>IAL</w:t>
      </w:r>
      <w:r w:rsidRPr="00E51168">
        <w:rPr>
          <w:color w:val="000000" w:themeColor="text1"/>
        </w:rPr>
        <w:tab/>
      </w:r>
      <w:r w:rsidRPr="00E51168">
        <w:rPr>
          <w:color w:val="000000" w:themeColor="text1"/>
        </w:rPr>
        <w:tab/>
        <w:t>Institucionet e Arsimit të Lartë</w:t>
      </w:r>
    </w:p>
    <w:p w14:paraId="2FA79ED7" w14:textId="77777777" w:rsidR="00146F44" w:rsidRPr="00E51168" w:rsidRDefault="00146F44" w:rsidP="00146F44">
      <w:pPr>
        <w:pStyle w:val="CommentText"/>
        <w:spacing w:before="0" w:after="0"/>
        <w:rPr>
          <w:rFonts w:eastAsia="Times New Roman"/>
          <w:color w:val="000000" w:themeColor="text1"/>
        </w:rPr>
      </w:pPr>
      <w:r w:rsidRPr="00E51168">
        <w:rPr>
          <w:color w:val="000000" w:themeColor="text1"/>
        </w:rPr>
        <w:t xml:space="preserve">ERAL </w:t>
      </w:r>
      <w:r w:rsidRPr="00E51168">
        <w:rPr>
          <w:color w:val="000000" w:themeColor="text1"/>
        </w:rPr>
        <w:tab/>
      </w:r>
      <w:r w:rsidRPr="00E51168">
        <w:rPr>
          <w:color w:val="000000" w:themeColor="text1"/>
        </w:rPr>
        <w:tab/>
        <w:t>Ekspertët e reformës në arsimin e lartë</w:t>
      </w:r>
    </w:p>
    <w:p w14:paraId="4C857339"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HEC</w:t>
      </w:r>
      <w:r w:rsidRPr="00E51168">
        <w:rPr>
          <w:color w:val="000000" w:themeColor="text1"/>
          <w:sz w:val="20"/>
          <w:szCs w:val="20"/>
        </w:rPr>
        <w:tab/>
      </w:r>
      <w:r w:rsidRPr="00E51168">
        <w:rPr>
          <w:color w:val="000000" w:themeColor="text1"/>
          <w:sz w:val="20"/>
          <w:szCs w:val="20"/>
        </w:rPr>
        <w:tab/>
        <w:t>Hidrocentral</w:t>
      </w:r>
    </w:p>
    <w:p w14:paraId="36A238BC" w14:textId="77777777" w:rsidR="00146F44" w:rsidRPr="00E51168" w:rsidRDefault="00146F44" w:rsidP="00146F44">
      <w:pPr>
        <w:pStyle w:val="CommentText"/>
        <w:spacing w:before="0" w:after="0"/>
        <w:rPr>
          <w:color w:val="000000" w:themeColor="text1"/>
        </w:rPr>
      </w:pPr>
      <w:r w:rsidRPr="00E51168">
        <w:rPr>
          <w:color w:val="000000" w:themeColor="text1"/>
        </w:rPr>
        <w:t xml:space="preserve">HVDC </w:t>
      </w:r>
      <w:r w:rsidRPr="00E51168">
        <w:rPr>
          <w:color w:val="000000" w:themeColor="text1"/>
        </w:rPr>
        <w:tab/>
      </w:r>
      <w:r w:rsidRPr="00E51168">
        <w:rPr>
          <w:color w:val="000000" w:themeColor="text1"/>
        </w:rPr>
        <w:tab/>
        <w:t xml:space="preserve">Instalime me rrymë të vazhduar, me tension të lartë </w:t>
      </w:r>
    </w:p>
    <w:p w14:paraId="086754C6" w14:textId="1013DE9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 xml:space="preserve">IAP </w:t>
      </w:r>
      <w:r w:rsidRPr="00E51168">
        <w:rPr>
          <w:color w:val="000000" w:themeColor="text1"/>
          <w:sz w:val="20"/>
          <w:szCs w:val="20"/>
        </w:rPr>
        <w:tab/>
      </w:r>
      <w:r w:rsidRPr="00E51168">
        <w:rPr>
          <w:color w:val="000000" w:themeColor="text1"/>
          <w:sz w:val="20"/>
          <w:szCs w:val="20"/>
        </w:rPr>
        <w:tab/>
        <w:t>Gazsjellësi Adriatik-Jon</w:t>
      </w:r>
    </w:p>
    <w:p w14:paraId="7F2BE68D" w14:textId="77777777" w:rsidR="00146F44" w:rsidRPr="00E51168" w:rsidRDefault="00146F44" w:rsidP="00146F44">
      <w:pPr>
        <w:pStyle w:val="CommentText"/>
        <w:spacing w:before="0" w:after="0"/>
        <w:rPr>
          <w:color w:val="000000" w:themeColor="text1"/>
        </w:rPr>
      </w:pPr>
      <w:r w:rsidRPr="00E51168">
        <w:rPr>
          <w:color w:val="000000" w:themeColor="text1"/>
        </w:rPr>
        <w:t xml:space="preserve">IECC </w:t>
      </w:r>
      <w:r w:rsidRPr="00E51168">
        <w:rPr>
          <w:color w:val="000000" w:themeColor="text1"/>
        </w:rPr>
        <w:tab/>
      </w:r>
      <w:r w:rsidRPr="00E51168">
        <w:rPr>
          <w:color w:val="000000" w:themeColor="text1"/>
        </w:rPr>
        <w:tab/>
        <w:t xml:space="preserve">Komiteti Ndërministror për Energjinë dhe Klimën </w:t>
      </w:r>
    </w:p>
    <w:p w14:paraId="52389905"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EEI</w:t>
      </w:r>
      <w:r w:rsidRPr="00E51168">
        <w:rPr>
          <w:color w:val="000000" w:themeColor="text1"/>
          <w:sz w:val="20"/>
          <w:szCs w:val="20"/>
        </w:rPr>
        <w:tab/>
      </w:r>
      <w:r w:rsidRPr="00E51168">
        <w:rPr>
          <w:color w:val="000000" w:themeColor="text1"/>
          <w:sz w:val="20"/>
          <w:szCs w:val="20"/>
        </w:rPr>
        <w:tab/>
        <w:t>Efiçenca e Energjisë në Industri</w:t>
      </w:r>
    </w:p>
    <w:p w14:paraId="605340F0" w14:textId="77777777" w:rsidR="00146F44" w:rsidRPr="00E51168" w:rsidRDefault="00146F44" w:rsidP="00146F44">
      <w:pPr>
        <w:pStyle w:val="CommentText"/>
        <w:spacing w:before="0" w:after="0"/>
        <w:rPr>
          <w:color w:val="000000" w:themeColor="text1"/>
        </w:rPr>
      </w:pPr>
      <w:r w:rsidRPr="00E51168">
        <w:rPr>
          <w:color w:val="000000" w:themeColor="text1"/>
        </w:rPr>
        <w:t xml:space="preserve">INDC </w:t>
      </w:r>
      <w:r w:rsidRPr="00E51168">
        <w:rPr>
          <w:color w:val="000000" w:themeColor="text1"/>
        </w:rPr>
        <w:tab/>
      </w:r>
      <w:r w:rsidRPr="00E51168">
        <w:rPr>
          <w:color w:val="000000" w:themeColor="text1"/>
        </w:rPr>
        <w:tab/>
        <w:t>Kontributet Kombëtare të Pikësynuara</w:t>
      </w:r>
    </w:p>
    <w:p w14:paraId="74EF1525"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INSTAT</w:t>
      </w:r>
      <w:r w:rsidRPr="00E51168">
        <w:rPr>
          <w:color w:val="000000" w:themeColor="text1"/>
          <w:sz w:val="20"/>
          <w:szCs w:val="20"/>
        </w:rPr>
        <w:tab/>
      </w:r>
      <w:r w:rsidRPr="00E51168">
        <w:rPr>
          <w:color w:val="000000" w:themeColor="text1"/>
          <w:sz w:val="20"/>
          <w:szCs w:val="20"/>
        </w:rPr>
        <w:tab/>
        <w:t xml:space="preserve">Instituti i Statistikave </w:t>
      </w:r>
    </w:p>
    <w:p w14:paraId="130B241B"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IPA</w:t>
      </w:r>
      <w:r w:rsidRPr="00E51168">
        <w:rPr>
          <w:color w:val="000000" w:themeColor="text1"/>
          <w:sz w:val="20"/>
          <w:szCs w:val="20"/>
        </w:rPr>
        <w:tab/>
      </w:r>
      <w:r w:rsidRPr="00E51168">
        <w:rPr>
          <w:color w:val="000000" w:themeColor="text1"/>
          <w:sz w:val="20"/>
          <w:szCs w:val="20"/>
        </w:rPr>
        <w:tab/>
        <w:t>I</w:t>
      </w:r>
      <w:r w:rsidRPr="00E51168">
        <w:rPr>
          <w:color w:val="000000" w:themeColor="text1"/>
          <w:sz w:val="20"/>
          <w:szCs w:val="20"/>
          <w:shd w:val="clear" w:color="auto" w:fill="FFFFFF"/>
        </w:rPr>
        <w:t>nstrumenti i Asistencës së Paraanëtarësimit</w:t>
      </w:r>
    </w:p>
    <w:p w14:paraId="2D74D66F"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lastRenderedPageBreak/>
        <w:t>IPARD</w:t>
      </w:r>
      <w:r w:rsidRPr="00E51168">
        <w:rPr>
          <w:color w:val="000000" w:themeColor="text1"/>
          <w:sz w:val="20"/>
          <w:szCs w:val="20"/>
        </w:rPr>
        <w:tab/>
      </w:r>
      <w:r w:rsidRPr="00E51168">
        <w:rPr>
          <w:color w:val="000000" w:themeColor="text1"/>
          <w:sz w:val="20"/>
          <w:szCs w:val="20"/>
        </w:rPr>
        <w:tab/>
        <w:t>Instrumenti i Asistencës së Paraanëtarësimit për Zhvillimin Rural</w:t>
      </w:r>
    </w:p>
    <w:p w14:paraId="765323C2"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PIPP</w:t>
      </w:r>
      <w:r w:rsidRPr="00E51168">
        <w:rPr>
          <w:color w:val="000000" w:themeColor="text1"/>
          <w:sz w:val="20"/>
          <w:szCs w:val="20"/>
        </w:rPr>
        <w:tab/>
      </w:r>
      <w:r w:rsidRPr="00E51168">
        <w:rPr>
          <w:color w:val="000000" w:themeColor="text1"/>
          <w:sz w:val="20"/>
          <w:szCs w:val="20"/>
        </w:rPr>
        <w:tab/>
        <w:t>Proceset Industriale dhe Përdorimi i Produkteve</w:t>
      </w:r>
    </w:p>
    <w:p w14:paraId="6E8FB598" w14:textId="315F8D55"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SNZHRB</w:t>
      </w:r>
      <w:r w:rsidRPr="00E51168">
        <w:rPr>
          <w:color w:val="000000" w:themeColor="text1"/>
          <w:sz w:val="20"/>
          <w:szCs w:val="20"/>
        </w:rPr>
        <w:tab/>
        <w:t>Strategjia Ndërsektoriale për Zhvillimin Rural dhe Bujqësor</w:t>
      </w:r>
    </w:p>
    <w:p w14:paraId="1A368C9F"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SIT</w:t>
      </w:r>
      <w:r w:rsidRPr="00E51168">
        <w:rPr>
          <w:color w:val="000000" w:themeColor="text1"/>
          <w:sz w:val="20"/>
          <w:szCs w:val="20"/>
        </w:rPr>
        <w:tab/>
      </w:r>
      <w:r w:rsidRPr="00E51168">
        <w:rPr>
          <w:color w:val="000000" w:themeColor="text1"/>
          <w:sz w:val="20"/>
          <w:szCs w:val="20"/>
        </w:rPr>
        <w:tab/>
        <w:t xml:space="preserve">Sistemet inteligjente të transportit </w:t>
      </w:r>
    </w:p>
    <w:p w14:paraId="39BD61BD"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MIMN</w:t>
      </w:r>
      <w:r w:rsidRPr="00E51168">
        <w:rPr>
          <w:color w:val="000000" w:themeColor="text1"/>
          <w:sz w:val="20"/>
          <w:szCs w:val="20"/>
        </w:rPr>
        <w:tab/>
      </w:r>
      <w:r w:rsidRPr="00E51168">
        <w:rPr>
          <w:color w:val="000000" w:themeColor="text1"/>
          <w:sz w:val="20"/>
          <w:szCs w:val="20"/>
        </w:rPr>
        <w:tab/>
        <w:t>Menaxhimi i Integruar i Mbetjeve të Ngurta</w:t>
      </w:r>
    </w:p>
    <w:p w14:paraId="315B6F6B" w14:textId="77777777" w:rsidR="00146F44" w:rsidRPr="00E51168" w:rsidRDefault="00146F44" w:rsidP="00146F44">
      <w:pPr>
        <w:pStyle w:val="CommentText"/>
        <w:spacing w:before="0" w:after="0"/>
        <w:rPr>
          <w:color w:val="000000" w:themeColor="text1"/>
        </w:rPr>
      </w:pPr>
      <w:r w:rsidRPr="00E51168">
        <w:rPr>
          <w:color w:val="000000" w:themeColor="text1"/>
        </w:rPr>
        <w:t>STI</w:t>
      </w:r>
      <w:r w:rsidRPr="00E51168">
        <w:rPr>
          <w:color w:val="000000" w:themeColor="text1"/>
        </w:rPr>
        <w:tab/>
      </w:r>
      <w:r w:rsidRPr="00E51168">
        <w:rPr>
          <w:color w:val="000000" w:themeColor="text1"/>
        </w:rPr>
        <w:tab/>
        <w:t xml:space="preserve">Sistemet e Transportit Inteligjent </w:t>
      </w:r>
    </w:p>
    <w:p w14:paraId="1BCE3AF5" w14:textId="77777777" w:rsidR="00146F44" w:rsidRPr="00E51168" w:rsidRDefault="00146F44" w:rsidP="00146F44">
      <w:pPr>
        <w:spacing w:before="0" w:after="0" w:line="240" w:lineRule="auto"/>
        <w:jc w:val="left"/>
        <w:rPr>
          <w:color w:val="000000" w:themeColor="text1"/>
          <w:sz w:val="20"/>
          <w:szCs w:val="20"/>
        </w:rPr>
      </w:pPr>
      <w:r w:rsidRPr="00E51168">
        <w:rPr>
          <w:color w:val="000000" w:themeColor="text1"/>
          <w:sz w:val="20"/>
          <w:szCs w:val="20"/>
        </w:rPr>
        <w:t>KESH</w:t>
      </w:r>
      <w:r w:rsidRPr="00E51168">
        <w:rPr>
          <w:color w:val="000000" w:themeColor="text1"/>
          <w:sz w:val="20"/>
          <w:szCs w:val="20"/>
        </w:rPr>
        <w:tab/>
      </w:r>
      <w:r w:rsidRPr="00E51168">
        <w:rPr>
          <w:color w:val="000000" w:themeColor="text1"/>
          <w:sz w:val="20"/>
          <w:szCs w:val="20"/>
        </w:rPr>
        <w:tab/>
        <w:t>Korporata Elektroenergjetike Shqiptare</w:t>
      </w:r>
    </w:p>
    <w:p w14:paraId="51B88FBC"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KfW</w:t>
      </w:r>
      <w:r w:rsidRPr="00E51168">
        <w:rPr>
          <w:color w:val="000000" w:themeColor="text1"/>
          <w:sz w:val="20"/>
          <w:szCs w:val="20"/>
        </w:rPr>
        <w:tab/>
      </w:r>
      <w:r w:rsidRPr="00E51168">
        <w:rPr>
          <w:color w:val="000000" w:themeColor="text1"/>
          <w:sz w:val="20"/>
          <w:szCs w:val="20"/>
        </w:rPr>
        <w:tab/>
      </w:r>
      <w:r w:rsidRPr="00E51168">
        <w:rPr>
          <w:i/>
          <w:iCs/>
          <w:color w:val="000000" w:themeColor="text1"/>
          <w:sz w:val="20"/>
          <w:szCs w:val="20"/>
        </w:rPr>
        <w:t>Kreditanstalt für Wiederaufbau</w:t>
      </w:r>
    </w:p>
    <w:p w14:paraId="306F0B1F" w14:textId="77777777" w:rsidR="00146F44" w:rsidRPr="00E51168" w:rsidRDefault="00146F44" w:rsidP="00146F44">
      <w:pPr>
        <w:pStyle w:val="CommentText"/>
        <w:spacing w:before="0" w:after="0"/>
        <w:rPr>
          <w:rStyle w:val="e24kjd"/>
          <w:color w:val="000000" w:themeColor="text1"/>
        </w:rPr>
      </w:pPr>
      <w:r w:rsidRPr="00E51168">
        <w:rPr>
          <w:color w:val="000000" w:themeColor="text1"/>
        </w:rPr>
        <w:t>KOSTT</w:t>
      </w:r>
      <w:r w:rsidRPr="00E51168">
        <w:rPr>
          <w:color w:val="000000" w:themeColor="text1"/>
        </w:rPr>
        <w:tab/>
      </w:r>
      <w:r w:rsidRPr="00E51168">
        <w:rPr>
          <w:color w:val="000000" w:themeColor="text1"/>
        </w:rPr>
        <w:tab/>
      </w:r>
      <w:r w:rsidRPr="00E51168">
        <w:rPr>
          <w:rStyle w:val="e24kjd"/>
          <w:color w:val="000000" w:themeColor="text1"/>
        </w:rPr>
        <w:t>Operatori i Sistemit, Transmisionit dhe Tregut të Energjisë Elektrike të Kosovës</w:t>
      </w:r>
    </w:p>
    <w:p w14:paraId="2F0A665A" w14:textId="77777777" w:rsidR="00146F44" w:rsidRPr="00E51168" w:rsidRDefault="00146F44" w:rsidP="00146F44">
      <w:pPr>
        <w:pStyle w:val="CommentText"/>
        <w:spacing w:before="0" w:after="0"/>
        <w:rPr>
          <w:color w:val="000000" w:themeColor="text1"/>
        </w:rPr>
      </w:pPr>
      <w:r w:rsidRPr="00E51168">
        <w:rPr>
          <w:color w:val="000000" w:themeColor="text1"/>
        </w:rPr>
        <w:t>GNL</w:t>
      </w:r>
      <w:r w:rsidRPr="00E51168">
        <w:rPr>
          <w:color w:val="000000" w:themeColor="text1"/>
        </w:rPr>
        <w:tab/>
      </w:r>
      <w:r w:rsidRPr="00E51168">
        <w:rPr>
          <w:color w:val="000000" w:themeColor="text1"/>
        </w:rPr>
        <w:tab/>
        <w:t xml:space="preserve">Gaz natyror i lëngëzuar </w:t>
      </w:r>
    </w:p>
    <w:p w14:paraId="3D05461D" w14:textId="77777777" w:rsidR="00146F44" w:rsidRPr="00E51168" w:rsidRDefault="00146F44" w:rsidP="00146F44">
      <w:pPr>
        <w:pStyle w:val="CommentText"/>
        <w:spacing w:before="0" w:after="0"/>
        <w:rPr>
          <w:color w:val="000000" w:themeColor="text1"/>
        </w:rPr>
      </w:pPr>
      <w:r w:rsidRPr="00E51168">
        <w:rPr>
          <w:color w:val="000000" w:themeColor="text1"/>
        </w:rPr>
        <w:t>GLN</w:t>
      </w:r>
      <w:r w:rsidRPr="00E51168">
        <w:rPr>
          <w:color w:val="000000" w:themeColor="text1"/>
        </w:rPr>
        <w:tab/>
      </w:r>
      <w:r w:rsidRPr="00E51168">
        <w:rPr>
          <w:color w:val="000000" w:themeColor="text1"/>
        </w:rPr>
        <w:tab/>
        <w:t xml:space="preserve">Gaz i lëngëzuar i naftës </w:t>
      </w:r>
    </w:p>
    <w:p w14:paraId="0E5FA1F3"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MBZHR</w:t>
      </w:r>
      <w:r w:rsidRPr="00E51168">
        <w:rPr>
          <w:color w:val="000000" w:themeColor="text1"/>
          <w:sz w:val="20"/>
          <w:szCs w:val="20"/>
        </w:rPr>
        <w:tab/>
      </w:r>
      <w:r w:rsidRPr="00E51168">
        <w:rPr>
          <w:color w:val="000000" w:themeColor="text1"/>
          <w:sz w:val="20"/>
          <w:szCs w:val="20"/>
        </w:rPr>
        <w:tab/>
        <w:t>Ministria e Bujqësisë dhe Zhvillimit Rural</w:t>
      </w:r>
    </w:p>
    <w:p w14:paraId="05D4B1D6" w14:textId="77777777" w:rsidR="00146F44" w:rsidRPr="00E51168" w:rsidRDefault="00146F44" w:rsidP="00146F44">
      <w:pPr>
        <w:pStyle w:val="CommentText"/>
        <w:spacing w:before="0" w:after="0"/>
        <w:rPr>
          <w:color w:val="000000" w:themeColor="text1"/>
        </w:rPr>
      </w:pPr>
      <w:r w:rsidRPr="00E51168">
        <w:rPr>
          <w:color w:val="000000" w:themeColor="text1"/>
        </w:rPr>
        <w:t xml:space="preserve">MEPSO </w:t>
      </w:r>
      <w:r w:rsidRPr="00E51168">
        <w:rPr>
          <w:color w:val="000000" w:themeColor="text1"/>
        </w:rPr>
        <w:tab/>
      </w:r>
      <w:r w:rsidRPr="00E51168">
        <w:rPr>
          <w:color w:val="000000" w:themeColor="text1"/>
        </w:rPr>
        <w:tab/>
        <w:t xml:space="preserve">Operatori i sistemit të transmetimit i Maqedonisë së Veriut </w:t>
      </w:r>
    </w:p>
    <w:p w14:paraId="4BB707F4" w14:textId="77777777" w:rsidR="00146F44" w:rsidRPr="00E51168" w:rsidRDefault="00146F44" w:rsidP="00146F44">
      <w:pPr>
        <w:pStyle w:val="CommentText"/>
        <w:spacing w:before="0" w:after="0"/>
        <w:rPr>
          <w:color w:val="000000" w:themeColor="text1"/>
        </w:rPr>
      </w:pPr>
      <w:r w:rsidRPr="00E51168">
        <w:rPr>
          <w:color w:val="000000" w:themeColor="text1"/>
        </w:rPr>
        <w:t xml:space="preserve">MIE </w:t>
      </w:r>
      <w:r w:rsidRPr="00E51168">
        <w:rPr>
          <w:color w:val="000000" w:themeColor="text1"/>
        </w:rPr>
        <w:tab/>
      </w:r>
      <w:r w:rsidRPr="00E51168">
        <w:rPr>
          <w:color w:val="000000" w:themeColor="text1"/>
        </w:rPr>
        <w:tab/>
        <w:t>Ministria e Infrastrukturës dhe Energjisë</w:t>
      </w:r>
    </w:p>
    <w:p w14:paraId="47B8F1BC"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MMR</w:t>
      </w:r>
      <w:r w:rsidRPr="00E51168">
        <w:rPr>
          <w:color w:val="000000" w:themeColor="text1"/>
          <w:sz w:val="20"/>
          <w:szCs w:val="20"/>
        </w:rPr>
        <w:tab/>
      </w:r>
      <w:r w:rsidRPr="00E51168">
        <w:rPr>
          <w:color w:val="000000" w:themeColor="text1"/>
          <w:sz w:val="20"/>
          <w:szCs w:val="20"/>
        </w:rPr>
        <w:tab/>
        <w:t>Rregullorja për mekanizmat e monitorimit</w:t>
      </w:r>
    </w:p>
    <w:p w14:paraId="1D1E87D3" w14:textId="0B67BA09" w:rsidR="00146F44" w:rsidRPr="00E51168" w:rsidRDefault="00146F44" w:rsidP="00146F44">
      <w:pPr>
        <w:pStyle w:val="CommentText"/>
        <w:spacing w:before="0" w:after="0"/>
        <w:rPr>
          <w:color w:val="000000" w:themeColor="text1"/>
        </w:rPr>
      </w:pPr>
      <w:r w:rsidRPr="00E51168">
        <w:rPr>
          <w:color w:val="000000" w:themeColor="text1"/>
        </w:rPr>
        <w:t xml:space="preserve">MFE </w:t>
      </w:r>
      <w:r w:rsidRPr="00E51168">
        <w:rPr>
          <w:color w:val="000000" w:themeColor="text1"/>
        </w:rPr>
        <w:tab/>
      </w:r>
      <w:r w:rsidRPr="00E51168">
        <w:rPr>
          <w:color w:val="000000" w:themeColor="text1"/>
        </w:rPr>
        <w:tab/>
        <w:t>Ministria e Financave dhe Ekonomisë</w:t>
      </w:r>
    </w:p>
    <w:p w14:paraId="2558AC16" w14:textId="45FA60C7" w:rsidR="00ED5606" w:rsidRPr="00E51168" w:rsidRDefault="00ED5606" w:rsidP="00146F44">
      <w:pPr>
        <w:pStyle w:val="CommentText"/>
        <w:spacing w:before="0" w:after="0"/>
        <w:rPr>
          <w:color w:val="000000" w:themeColor="text1"/>
        </w:rPr>
      </w:pPr>
      <w:r w:rsidRPr="00E51168">
        <w:rPr>
          <w:color w:val="000000" w:themeColor="text1"/>
        </w:rPr>
        <w:t>MSHMS</w:t>
      </w:r>
      <w:r w:rsidRPr="00E51168">
        <w:rPr>
          <w:color w:val="000000" w:themeColor="text1"/>
        </w:rPr>
        <w:tab/>
        <w:t>Ministria e Shëndetësisë dhe Mbrojtjes Sociale</w:t>
      </w:r>
    </w:p>
    <w:p w14:paraId="374D6AEA" w14:textId="14E44A56" w:rsidR="00146F44" w:rsidRPr="00E51168" w:rsidRDefault="00146F44" w:rsidP="00146F44">
      <w:pPr>
        <w:pStyle w:val="CommentText"/>
        <w:spacing w:before="0" w:after="0"/>
        <w:rPr>
          <w:color w:val="000000" w:themeColor="text1"/>
        </w:rPr>
      </w:pPr>
      <w:r w:rsidRPr="00E51168">
        <w:rPr>
          <w:color w:val="000000" w:themeColor="text1"/>
        </w:rPr>
        <w:t xml:space="preserve">MTM </w:t>
      </w:r>
      <w:r w:rsidRPr="00E51168">
        <w:rPr>
          <w:color w:val="000000" w:themeColor="text1"/>
        </w:rPr>
        <w:tab/>
      </w:r>
      <w:r w:rsidRPr="00E51168">
        <w:rPr>
          <w:color w:val="000000" w:themeColor="text1"/>
        </w:rPr>
        <w:tab/>
        <w:t xml:space="preserve">Ministria e Turizmit dhe Mjedisit </w:t>
      </w:r>
    </w:p>
    <w:p w14:paraId="300B74DE" w14:textId="77777777" w:rsidR="00146F44" w:rsidRPr="00E51168" w:rsidRDefault="00146F44" w:rsidP="00146F44">
      <w:pPr>
        <w:pStyle w:val="CommentText"/>
        <w:spacing w:before="0" w:after="0"/>
        <w:rPr>
          <w:color w:val="000000" w:themeColor="text1"/>
          <w:spacing w:val="-1"/>
        </w:rPr>
      </w:pPr>
      <w:r w:rsidRPr="00E51168">
        <w:rPr>
          <w:color w:val="000000" w:themeColor="text1"/>
        </w:rPr>
        <w:t xml:space="preserve">PMV </w:t>
      </w:r>
      <w:r w:rsidRPr="00E51168">
        <w:rPr>
          <w:color w:val="000000" w:themeColor="text1"/>
        </w:rPr>
        <w:tab/>
      </w:r>
      <w:r w:rsidRPr="00E51168">
        <w:rPr>
          <w:color w:val="000000" w:themeColor="text1"/>
        </w:rPr>
        <w:tab/>
        <w:t>Programi i Monitorimit dhe Verifikimit</w:t>
      </w:r>
    </w:p>
    <w:p w14:paraId="428F24AB" w14:textId="77777777" w:rsidR="00146F44" w:rsidRPr="00E51168" w:rsidRDefault="00146F44" w:rsidP="00146F44">
      <w:pPr>
        <w:pStyle w:val="CommentText"/>
        <w:spacing w:before="0" w:after="0"/>
        <w:rPr>
          <w:color w:val="000000" w:themeColor="text1"/>
        </w:rPr>
      </w:pPr>
      <w:r w:rsidRPr="00E51168">
        <w:rPr>
          <w:color w:val="000000" w:themeColor="text1"/>
        </w:rPr>
        <w:t xml:space="preserve">MW </w:t>
      </w:r>
      <w:r w:rsidRPr="00E51168">
        <w:rPr>
          <w:color w:val="000000" w:themeColor="text1"/>
        </w:rPr>
        <w:tab/>
      </w:r>
      <w:r w:rsidRPr="00E51168">
        <w:rPr>
          <w:color w:val="000000" w:themeColor="text1"/>
        </w:rPr>
        <w:tab/>
        <w:t xml:space="preserve">Megavat </w:t>
      </w:r>
    </w:p>
    <w:p w14:paraId="087E7A8F" w14:textId="77777777" w:rsidR="00146F44" w:rsidRPr="00E51168" w:rsidRDefault="00146F44" w:rsidP="00146F44">
      <w:pPr>
        <w:pStyle w:val="CommentText"/>
        <w:spacing w:before="0" w:after="0"/>
        <w:rPr>
          <w:color w:val="000000" w:themeColor="text1"/>
        </w:rPr>
      </w:pPr>
      <w:r w:rsidRPr="00E51168">
        <w:rPr>
          <w:color w:val="000000" w:themeColor="text1"/>
        </w:rPr>
        <w:t xml:space="preserve">NAMA </w:t>
      </w:r>
      <w:r w:rsidRPr="00E51168">
        <w:rPr>
          <w:color w:val="000000" w:themeColor="text1"/>
        </w:rPr>
        <w:tab/>
      </w:r>
      <w:r w:rsidRPr="00E51168">
        <w:rPr>
          <w:color w:val="000000" w:themeColor="text1"/>
        </w:rPr>
        <w:tab/>
        <w:t>Masa Zbutëse Kombëtare të Përshtatshme</w:t>
      </w:r>
    </w:p>
    <w:p w14:paraId="77306988" w14:textId="77777777" w:rsidR="00146F44" w:rsidRPr="00E51168" w:rsidRDefault="00146F44" w:rsidP="00146F44">
      <w:pPr>
        <w:pStyle w:val="CommentText"/>
        <w:spacing w:before="0" w:after="0"/>
        <w:rPr>
          <w:color w:val="000000" w:themeColor="text1"/>
        </w:rPr>
      </w:pPr>
      <w:r w:rsidRPr="00E51168">
        <w:rPr>
          <w:color w:val="000000" w:themeColor="text1"/>
        </w:rPr>
        <w:t>AKBN</w:t>
      </w:r>
      <w:r w:rsidRPr="00E51168">
        <w:rPr>
          <w:color w:val="000000" w:themeColor="text1"/>
        </w:rPr>
        <w:tab/>
      </w:r>
      <w:r w:rsidRPr="00E51168">
        <w:rPr>
          <w:color w:val="000000" w:themeColor="text1"/>
        </w:rPr>
        <w:tab/>
        <w:t xml:space="preserve">Agjencia Kombëtare e Burimeve Natyrore </w:t>
      </w:r>
    </w:p>
    <w:p w14:paraId="174D7F58" w14:textId="654F0844"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 xml:space="preserve">AKKSHI </w:t>
      </w:r>
      <w:r w:rsidRPr="00E51168">
        <w:rPr>
          <w:color w:val="000000" w:themeColor="text1"/>
          <w:sz w:val="20"/>
          <w:szCs w:val="20"/>
        </w:rPr>
        <w:tab/>
        <w:t>Agjencia Kombëtare e Kërkimit Shkencor dhe Inovacionit</w:t>
      </w:r>
    </w:p>
    <w:p w14:paraId="131B0D0B" w14:textId="77777777" w:rsidR="00146F44" w:rsidRPr="00E51168" w:rsidRDefault="00146F44" w:rsidP="00146F44">
      <w:pPr>
        <w:pStyle w:val="CommentText"/>
        <w:spacing w:before="0" w:after="0"/>
        <w:rPr>
          <w:color w:val="000000" w:themeColor="text1"/>
        </w:rPr>
      </w:pPr>
      <w:r w:rsidRPr="00E51168">
        <w:rPr>
          <w:color w:val="000000" w:themeColor="text1"/>
        </w:rPr>
        <w:t xml:space="preserve">PKKVBRE </w:t>
      </w:r>
      <w:r w:rsidRPr="00E51168">
        <w:rPr>
          <w:color w:val="000000" w:themeColor="text1"/>
        </w:rPr>
        <w:tab/>
        <w:t xml:space="preserve">Plani i Konsoliduar Kombëtar i Veprimit për Burimet e Rinovueshme të Energjisë </w:t>
      </w:r>
    </w:p>
    <w:p w14:paraId="0FD009B5" w14:textId="77777777" w:rsidR="00146F44" w:rsidRPr="00E51168" w:rsidRDefault="00146F44" w:rsidP="00146F44">
      <w:pPr>
        <w:pStyle w:val="CommentText"/>
        <w:spacing w:before="0" w:after="0"/>
        <w:rPr>
          <w:color w:val="000000" w:themeColor="text1"/>
        </w:rPr>
      </w:pPr>
      <w:r w:rsidRPr="00E51168">
        <w:rPr>
          <w:color w:val="000000" w:themeColor="text1"/>
        </w:rPr>
        <w:t xml:space="preserve">NDC </w:t>
      </w:r>
      <w:r w:rsidRPr="00E51168">
        <w:rPr>
          <w:color w:val="000000" w:themeColor="text1"/>
        </w:rPr>
        <w:tab/>
      </w:r>
      <w:r w:rsidRPr="00E51168">
        <w:rPr>
          <w:color w:val="000000" w:themeColor="text1"/>
        </w:rPr>
        <w:tab/>
        <w:t>Kontributet Kombëtare të Përcaktuara</w:t>
      </w:r>
    </w:p>
    <w:p w14:paraId="3B112CC3"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AKM</w:t>
      </w:r>
      <w:r w:rsidRPr="00E51168">
        <w:rPr>
          <w:color w:val="000000" w:themeColor="text1"/>
          <w:sz w:val="20"/>
          <w:szCs w:val="20"/>
        </w:rPr>
        <w:tab/>
      </w:r>
      <w:r w:rsidRPr="00E51168">
        <w:rPr>
          <w:color w:val="000000" w:themeColor="text1"/>
          <w:sz w:val="20"/>
          <w:szCs w:val="20"/>
        </w:rPr>
        <w:tab/>
        <w:t>Agjencia Kombëtare e Mjedisit</w:t>
      </w:r>
    </w:p>
    <w:p w14:paraId="1CEEFDAC" w14:textId="77777777" w:rsidR="00146F44" w:rsidRPr="00E51168" w:rsidRDefault="00146F44" w:rsidP="00146F44">
      <w:pPr>
        <w:pStyle w:val="CommentText"/>
        <w:spacing w:before="0" w:after="0"/>
        <w:rPr>
          <w:color w:val="000000" w:themeColor="text1"/>
        </w:rPr>
      </w:pPr>
      <w:r w:rsidRPr="00E51168">
        <w:rPr>
          <w:color w:val="000000" w:themeColor="text1"/>
        </w:rPr>
        <w:t xml:space="preserve">PKEK </w:t>
      </w:r>
      <w:r w:rsidRPr="00E51168">
        <w:rPr>
          <w:color w:val="000000" w:themeColor="text1"/>
        </w:rPr>
        <w:tab/>
      </w:r>
      <w:r w:rsidRPr="00E51168">
        <w:rPr>
          <w:color w:val="000000" w:themeColor="text1"/>
        </w:rPr>
        <w:tab/>
        <w:t xml:space="preserve">Plani Kombëtar i Energjisë dhe Klimës </w:t>
      </w:r>
    </w:p>
    <w:p w14:paraId="1786783E" w14:textId="77777777" w:rsidR="00146F44" w:rsidRPr="00E51168" w:rsidRDefault="00146F44" w:rsidP="00146F44">
      <w:pPr>
        <w:pStyle w:val="CommentText"/>
        <w:spacing w:before="0" w:after="0"/>
        <w:rPr>
          <w:color w:val="000000" w:themeColor="text1"/>
        </w:rPr>
      </w:pPr>
      <w:r w:rsidRPr="00E51168">
        <w:rPr>
          <w:color w:val="000000" w:themeColor="text1"/>
        </w:rPr>
        <w:t>PKVEE</w:t>
      </w:r>
      <w:r w:rsidRPr="00E51168">
        <w:rPr>
          <w:color w:val="000000" w:themeColor="text1"/>
        </w:rPr>
        <w:tab/>
      </w:r>
      <w:r w:rsidRPr="00E51168">
        <w:rPr>
          <w:color w:val="000000" w:themeColor="text1"/>
        </w:rPr>
        <w:tab/>
        <w:t xml:space="preserve">Plani Kombëtar i Veprimit për Efiçencën e Energjisë </w:t>
      </w:r>
    </w:p>
    <w:p w14:paraId="1CBFA450" w14:textId="70E61682" w:rsidR="00146F44" w:rsidRPr="00E51168" w:rsidRDefault="00146F44" w:rsidP="00146F44">
      <w:pPr>
        <w:pStyle w:val="CommentText"/>
        <w:spacing w:before="0" w:after="0"/>
        <w:rPr>
          <w:color w:val="000000" w:themeColor="text1"/>
        </w:rPr>
      </w:pPr>
      <w:r w:rsidRPr="00E51168">
        <w:rPr>
          <w:color w:val="000000" w:themeColor="text1"/>
        </w:rPr>
        <w:t>PKVBRE</w:t>
      </w:r>
      <w:r w:rsidRPr="00E51168">
        <w:rPr>
          <w:color w:val="000000" w:themeColor="text1"/>
        </w:rPr>
        <w:tab/>
        <w:t xml:space="preserve">Plani Kombëtar i Veprimit për Burimet e Rinovueshme të Energjisë </w:t>
      </w:r>
    </w:p>
    <w:p w14:paraId="7F0F56F8" w14:textId="23FD0880" w:rsidR="00146F44" w:rsidRPr="00E51168" w:rsidRDefault="00146F44" w:rsidP="00146F44">
      <w:pPr>
        <w:pStyle w:val="CommentText"/>
        <w:spacing w:before="0" w:after="0"/>
        <w:rPr>
          <w:color w:val="000000" w:themeColor="text1"/>
        </w:rPr>
      </w:pPr>
      <w:r w:rsidRPr="00E51168">
        <w:rPr>
          <w:color w:val="000000" w:themeColor="text1"/>
        </w:rPr>
        <w:t xml:space="preserve">SKZHI II </w:t>
      </w:r>
      <w:r w:rsidRPr="00E51168">
        <w:rPr>
          <w:color w:val="000000" w:themeColor="text1"/>
        </w:rPr>
        <w:tab/>
        <w:t>Strategjia e Dytë Kombëtare për Zhvillim dhe Integrim</w:t>
      </w:r>
    </w:p>
    <w:p w14:paraId="0A8853FE"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 xml:space="preserve">SKE </w:t>
      </w:r>
      <w:r w:rsidRPr="00E51168">
        <w:rPr>
          <w:color w:val="000000" w:themeColor="text1"/>
          <w:sz w:val="20"/>
          <w:szCs w:val="20"/>
        </w:rPr>
        <w:tab/>
      </w:r>
      <w:r w:rsidRPr="00E51168">
        <w:rPr>
          <w:color w:val="000000" w:themeColor="text1"/>
          <w:sz w:val="20"/>
          <w:szCs w:val="20"/>
        </w:rPr>
        <w:tab/>
        <w:t xml:space="preserve">Strategjia Kombëtare e Energjisë </w:t>
      </w:r>
    </w:p>
    <w:p w14:paraId="2B0B0055"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nZEB</w:t>
      </w:r>
      <w:r w:rsidRPr="00E51168">
        <w:rPr>
          <w:color w:val="000000" w:themeColor="text1"/>
          <w:sz w:val="20"/>
          <w:szCs w:val="20"/>
        </w:rPr>
        <w:tab/>
      </w:r>
      <w:r w:rsidRPr="00E51168">
        <w:rPr>
          <w:color w:val="000000" w:themeColor="text1"/>
          <w:sz w:val="20"/>
          <w:szCs w:val="20"/>
        </w:rPr>
        <w:tab/>
        <w:t>Ndërtesë me konsum energjie thuajse zero</w:t>
      </w:r>
    </w:p>
    <w:p w14:paraId="6018742D" w14:textId="77777777" w:rsidR="00146F44" w:rsidRPr="00E51168" w:rsidRDefault="00146F44" w:rsidP="00146F44">
      <w:pPr>
        <w:spacing w:before="0" w:after="0" w:line="240" w:lineRule="auto"/>
        <w:rPr>
          <w:color w:val="000000" w:themeColor="text1"/>
          <w:sz w:val="20"/>
          <w:szCs w:val="20"/>
          <w:shd w:val="clear" w:color="auto" w:fill="FFFFFF"/>
        </w:rPr>
      </w:pPr>
      <w:r w:rsidRPr="00E51168">
        <w:rPr>
          <w:color w:val="000000" w:themeColor="text1"/>
          <w:sz w:val="20"/>
          <w:szCs w:val="20"/>
        </w:rPr>
        <w:t>OSHEE</w:t>
      </w:r>
      <w:r w:rsidRPr="00E51168">
        <w:rPr>
          <w:color w:val="000000" w:themeColor="text1"/>
          <w:sz w:val="20"/>
          <w:szCs w:val="20"/>
        </w:rPr>
        <w:tab/>
      </w:r>
      <w:r w:rsidRPr="00E51168">
        <w:rPr>
          <w:color w:val="000000" w:themeColor="text1"/>
          <w:sz w:val="20"/>
          <w:szCs w:val="20"/>
        </w:rPr>
        <w:tab/>
        <w:t>Operatori i Shpërndarjes së Energjisë Elektrike</w:t>
      </w:r>
    </w:p>
    <w:p w14:paraId="252DBE23" w14:textId="77777777" w:rsidR="00146F44" w:rsidRPr="00E51168" w:rsidRDefault="00146F44" w:rsidP="00146F44">
      <w:pPr>
        <w:pStyle w:val="CommentText"/>
        <w:spacing w:before="0" w:after="0"/>
        <w:rPr>
          <w:color w:val="000000" w:themeColor="text1"/>
        </w:rPr>
      </w:pPr>
      <w:r w:rsidRPr="00E51168">
        <w:rPr>
          <w:color w:val="000000" w:themeColor="text1"/>
        </w:rPr>
        <w:t>OST</w:t>
      </w:r>
      <w:r w:rsidRPr="00E51168">
        <w:rPr>
          <w:color w:val="000000" w:themeColor="text1"/>
        </w:rPr>
        <w:tab/>
      </w:r>
      <w:r w:rsidRPr="00E51168">
        <w:rPr>
          <w:color w:val="000000" w:themeColor="text1"/>
        </w:rPr>
        <w:tab/>
        <w:t>Operatori i Sistemit të Transmetimit</w:t>
      </w:r>
    </w:p>
    <w:p w14:paraId="66E40BBF"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PM</w:t>
      </w:r>
      <w:r w:rsidRPr="00E51168">
        <w:rPr>
          <w:color w:val="000000" w:themeColor="text1"/>
          <w:sz w:val="20"/>
          <w:szCs w:val="20"/>
        </w:rPr>
        <w:tab/>
      </w:r>
      <w:r w:rsidRPr="00E51168">
        <w:rPr>
          <w:color w:val="000000" w:themeColor="text1"/>
          <w:sz w:val="20"/>
          <w:szCs w:val="20"/>
        </w:rPr>
        <w:tab/>
        <w:t xml:space="preserve">Politika dhe masa </w:t>
      </w:r>
    </w:p>
    <w:p w14:paraId="55A37FB8" w14:textId="77777777" w:rsidR="00146F44" w:rsidRPr="00E51168" w:rsidRDefault="00146F44" w:rsidP="00146F44">
      <w:pPr>
        <w:pStyle w:val="CommentText"/>
        <w:spacing w:before="0" w:after="0"/>
        <w:rPr>
          <w:color w:val="000000" w:themeColor="text1"/>
        </w:rPr>
      </w:pPr>
      <w:r w:rsidRPr="00E51168">
        <w:rPr>
          <w:color w:val="000000" w:themeColor="text1"/>
        </w:rPr>
        <w:t xml:space="preserve">PBL </w:t>
      </w:r>
      <w:r w:rsidRPr="00E51168">
        <w:rPr>
          <w:color w:val="000000" w:themeColor="text1"/>
        </w:rPr>
        <w:tab/>
      </w:r>
      <w:r w:rsidRPr="00E51168">
        <w:rPr>
          <w:color w:val="000000" w:themeColor="text1"/>
        </w:rPr>
        <w:tab/>
        <w:t xml:space="preserve">Hua e bazuar në politika </w:t>
      </w:r>
    </w:p>
    <w:p w14:paraId="7C678DCE" w14:textId="231EBE4A"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PECI</w:t>
      </w:r>
      <w:r w:rsidRPr="00E51168">
        <w:rPr>
          <w:color w:val="000000" w:themeColor="text1"/>
          <w:sz w:val="20"/>
          <w:szCs w:val="20"/>
        </w:rPr>
        <w:tab/>
      </w:r>
      <w:r w:rsidRPr="00E51168">
        <w:rPr>
          <w:color w:val="000000" w:themeColor="text1"/>
          <w:sz w:val="20"/>
          <w:szCs w:val="20"/>
        </w:rPr>
        <w:tab/>
        <w:t>Projekte me Interes për Komunitetin e Energjisë (lista).</w:t>
      </w:r>
    </w:p>
    <w:p w14:paraId="2BB8217B"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PHEV</w:t>
      </w:r>
      <w:r w:rsidRPr="00E51168">
        <w:rPr>
          <w:color w:val="000000" w:themeColor="text1"/>
          <w:sz w:val="20"/>
          <w:szCs w:val="20"/>
        </w:rPr>
        <w:tab/>
      </w:r>
      <w:r w:rsidRPr="00E51168">
        <w:rPr>
          <w:color w:val="000000" w:themeColor="text1"/>
          <w:sz w:val="20"/>
          <w:szCs w:val="20"/>
        </w:rPr>
        <w:tab/>
        <w:t xml:space="preserve">Mjet elektrik hibrid me karikim me prizë </w:t>
      </w:r>
    </w:p>
    <w:p w14:paraId="51E93915"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 xml:space="preserve">PMU </w:t>
      </w:r>
      <w:r w:rsidRPr="00E51168">
        <w:rPr>
          <w:color w:val="000000" w:themeColor="text1"/>
          <w:sz w:val="20"/>
          <w:szCs w:val="20"/>
        </w:rPr>
        <w:tab/>
      </w:r>
      <w:r w:rsidRPr="00E51168">
        <w:rPr>
          <w:color w:val="000000" w:themeColor="text1"/>
          <w:sz w:val="20"/>
          <w:szCs w:val="20"/>
        </w:rPr>
        <w:tab/>
        <w:t>Njësi matëse fazorësh</w:t>
      </w:r>
    </w:p>
    <w:p w14:paraId="7B3FCCD1" w14:textId="77777777" w:rsidR="00146F44" w:rsidRPr="00E51168" w:rsidRDefault="00146F44" w:rsidP="00146F44">
      <w:pPr>
        <w:pStyle w:val="CommentText"/>
        <w:spacing w:before="0" w:after="0"/>
        <w:rPr>
          <w:color w:val="000000" w:themeColor="text1"/>
        </w:rPr>
      </w:pPr>
      <w:r w:rsidRPr="00E51168">
        <w:rPr>
          <w:color w:val="000000" w:themeColor="text1"/>
        </w:rPr>
        <w:t xml:space="preserve">ERP </w:t>
      </w:r>
      <w:r w:rsidRPr="00E51168">
        <w:rPr>
          <w:color w:val="000000" w:themeColor="text1"/>
        </w:rPr>
        <w:tab/>
      </w:r>
      <w:r w:rsidRPr="00E51168">
        <w:rPr>
          <w:color w:val="000000" w:themeColor="text1"/>
        </w:rPr>
        <w:tab/>
        <w:t>Elementet e Reformave Politike</w:t>
      </w:r>
    </w:p>
    <w:p w14:paraId="59A1673C"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 xml:space="preserve">TP </w:t>
      </w:r>
      <w:r w:rsidRPr="00E51168">
        <w:rPr>
          <w:color w:val="000000" w:themeColor="text1"/>
          <w:sz w:val="20"/>
          <w:szCs w:val="20"/>
        </w:rPr>
        <w:tab/>
      </w:r>
      <w:r w:rsidRPr="00E51168">
        <w:rPr>
          <w:color w:val="000000" w:themeColor="text1"/>
          <w:sz w:val="20"/>
          <w:szCs w:val="20"/>
        </w:rPr>
        <w:tab/>
        <w:t xml:space="preserve">Transporti publik  </w:t>
      </w:r>
    </w:p>
    <w:p w14:paraId="200245A3" w14:textId="77777777" w:rsidR="00146F44" w:rsidRPr="00E51168" w:rsidRDefault="00146F44" w:rsidP="00146F44">
      <w:pPr>
        <w:pStyle w:val="CommentText"/>
        <w:spacing w:before="0" w:after="0"/>
        <w:rPr>
          <w:color w:val="000000" w:themeColor="text1"/>
        </w:rPr>
      </w:pPr>
      <w:r w:rsidRPr="00E51168">
        <w:rPr>
          <w:color w:val="000000" w:themeColor="text1"/>
        </w:rPr>
        <w:t xml:space="preserve">PV </w:t>
      </w:r>
      <w:r w:rsidRPr="00E51168">
        <w:rPr>
          <w:color w:val="000000" w:themeColor="text1"/>
        </w:rPr>
        <w:tab/>
      </w:r>
      <w:r w:rsidRPr="00E51168">
        <w:rPr>
          <w:color w:val="000000" w:themeColor="text1"/>
        </w:rPr>
        <w:tab/>
        <w:t xml:space="preserve">Fotovoltaik </w:t>
      </w:r>
    </w:p>
    <w:p w14:paraId="123633B7"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QA/QC</w:t>
      </w:r>
      <w:r w:rsidRPr="00E51168">
        <w:rPr>
          <w:color w:val="000000" w:themeColor="text1"/>
          <w:sz w:val="20"/>
          <w:szCs w:val="20"/>
        </w:rPr>
        <w:tab/>
      </w:r>
      <w:r w:rsidRPr="00E51168">
        <w:rPr>
          <w:color w:val="000000" w:themeColor="text1"/>
          <w:sz w:val="20"/>
          <w:szCs w:val="20"/>
        </w:rPr>
        <w:tab/>
        <w:t xml:space="preserve">Garantimi i Cilësisë / Kontrolli i Cilësisë </w:t>
      </w:r>
    </w:p>
    <w:p w14:paraId="446AC17B" w14:textId="77777777" w:rsidR="00146F44" w:rsidRPr="00E51168" w:rsidRDefault="00146F44" w:rsidP="00146F44">
      <w:pPr>
        <w:pStyle w:val="CommentText"/>
        <w:spacing w:before="0" w:after="0"/>
        <w:rPr>
          <w:color w:val="000000" w:themeColor="text1"/>
        </w:rPr>
      </w:pPr>
      <w:r w:rsidRPr="00E51168">
        <w:rPr>
          <w:color w:val="000000" w:themeColor="text1"/>
        </w:rPr>
        <w:t xml:space="preserve">BRE </w:t>
      </w:r>
      <w:r w:rsidRPr="00E51168">
        <w:rPr>
          <w:color w:val="000000" w:themeColor="text1"/>
        </w:rPr>
        <w:tab/>
      </w:r>
      <w:r w:rsidRPr="00E51168">
        <w:rPr>
          <w:color w:val="000000" w:themeColor="text1"/>
        </w:rPr>
        <w:tab/>
        <w:t xml:space="preserve">Burim i Rinovueshëm Energjie </w:t>
      </w:r>
    </w:p>
    <w:p w14:paraId="4E8D68E5" w14:textId="77777777" w:rsidR="00146F44" w:rsidRPr="00E51168" w:rsidRDefault="00146F44" w:rsidP="00146F44">
      <w:pPr>
        <w:spacing w:before="0" w:after="0" w:line="240" w:lineRule="auto"/>
        <w:rPr>
          <w:color w:val="000000" w:themeColor="text1"/>
          <w:sz w:val="20"/>
          <w:szCs w:val="20"/>
          <w:shd w:val="clear" w:color="auto" w:fill="FFFFFF"/>
        </w:rPr>
      </w:pPr>
      <w:r w:rsidRPr="00E51168">
        <w:rPr>
          <w:rStyle w:val="Emphasis"/>
          <w:i w:val="0"/>
          <w:iCs w:val="0"/>
          <w:color w:val="000000" w:themeColor="text1"/>
          <w:sz w:val="20"/>
          <w:szCs w:val="20"/>
          <w:shd w:val="clear" w:color="auto" w:fill="FFFFFF"/>
        </w:rPr>
        <w:t>RFNBO</w:t>
      </w:r>
      <w:r w:rsidRPr="00E51168">
        <w:rPr>
          <w:color w:val="000000" w:themeColor="text1"/>
          <w:sz w:val="20"/>
          <w:szCs w:val="20"/>
          <w:shd w:val="clear" w:color="auto" w:fill="FFFFFF"/>
        </w:rPr>
        <w:tab/>
      </w:r>
      <w:r w:rsidRPr="00E51168">
        <w:rPr>
          <w:color w:val="000000" w:themeColor="text1"/>
          <w:sz w:val="20"/>
          <w:szCs w:val="20"/>
          <w:shd w:val="clear" w:color="auto" w:fill="FFFFFF"/>
        </w:rPr>
        <w:tab/>
        <w:t xml:space="preserve">Lëndë djegëse </w:t>
      </w:r>
      <w:r w:rsidRPr="00E51168">
        <w:rPr>
          <w:rStyle w:val="Emphasis"/>
          <w:i w:val="0"/>
          <w:iCs w:val="0"/>
          <w:color w:val="000000" w:themeColor="text1"/>
          <w:sz w:val="20"/>
          <w:szCs w:val="20"/>
          <w:shd w:val="clear" w:color="auto" w:fill="FFFFFF"/>
        </w:rPr>
        <w:t>të rinovueshme</w:t>
      </w:r>
      <w:r w:rsidRPr="00E51168">
        <w:rPr>
          <w:color w:val="000000" w:themeColor="text1"/>
          <w:sz w:val="20"/>
          <w:szCs w:val="20"/>
          <w:shd w:val="clear" w:color="auto" w:fill="FFFFFF"/>
        </w:rPr>
        <w:t xml:space="preserve"> me origjinë jo</w:t>
      </w:r>
      <w:r w:rsidRPr="00E51168">
        <w:rPr>
          <w:rStyle w:val="Emphasis"/>
          <w:i w:val="0"/>
          <w:iCs w:val="0"/>
          <w:color w:val="000000" w:themeColor="text1"/>
          <w:sz w:val="20"/>
          <w:szCs w:val="20"/>
          <w:shd w:val="clear" w:color="auto" w:fill="FFFFFF"/>
        </w:rPr>
        <w:t>biologjike</w:t>
      </w:r>
      <w:r w:rsidRPr="00E51168">
        <w:rPr>
          <w:color w:val="000000" w:themeColor="text1"/>
          <w:sz w:val="20"/>
          <w:szCs w:val="20"/>
          <w:shd w:val="clear" w:color="auto" w:fill="FFFFFF"/>
        </w:rPr>
        <w:t xml:space="preserve"> </w:t>
      </w:r>
    </w:p>
    <w:p w14:paraId="21FDF189" w14:textId="77777777" w:rsidR="00146F44" w:rsidRPr="00E51168" w:rsidRDefault="00146F44" w:rsidP="00146F44">
      <w:pPr>
        <w:pStyle w:val="CommentText"/>
        <w:spacing w:before="0" w:after="0"/>
        <w:rPr>
          <w:color w:val="000000" w:themeColor="text1"/>
        </w:rPr>
      </w:pPr>
      <w:r w:rsidRPr="00E51168">
        <w:rPr>
          <w:color w:val="000000" w:themeColor="text1"/>
        </w:rPr>
        <w:t xml:space="preserve">SCC </w:t>
      </w:r>
      <w:r w:rsidRPr="00E51168">
        <w:rPr>
          <w:color w:val="000000" w:themeColor="text1"/>
        </w:rPr>
        <w:tab/>
      </w:r>
      <w:r w:rsidRPr="00E51168">
        <w:rPr>
          <w:color w:val="000000" w:themeColor="text1"/>
        </w:rPr>
        <w:tab/>
        <w:t xml:space="preserve">Qendra për Koordinimin e Sigurisë Energjetike </w:t>
      </w:r>
    </w:p>
    <w:p w14:paraId="2627CE2B" w14:textId="53A371EF" w:rsidR="00146F44" w:rsidRPr="00E51168" w:rsidRDefault="00146F44" w:rsidP="00146F44">
      <w:pPr>
        <w:pStyle w:val="CommentText"/>
        <w:spacing w:before="0" w:after="0"/>
        <w:rPr>
          <w:color w:val="000000" w:themeColor="text1"/>
        </w:rPr>
      </w:pPr>
      <w:r w:rsidRPr="00E51168">
        <w:rPr>
          <w:color w:val="000000" w:themeColor="text1"/>
        </w:rPr>
        <w:t xml:space="preserve">OZHQ </w:t>
      </w:r>
      <w:r w:rsidRPr="00E51168">
        <w:rPr>
          <w:color w:val="000000" w:themeColor="text1"/>
        </w:rPr>
        <w:tab/>
      </w:r>
      <w:r w:rsidRPr="00E51168">
        <w:rPr>
          <w:color w:val="000000" w:themeColor="text1"/>
        </w:rPr>
        <w:tab/>
        <w:t>Objektivat e Zhvillimit të Qëndrueshëm</w:t>
      </w:r>
    </w:p>
    <w:p w14:paraId="4056C513" w14:textId="74EE6CD1" w:rsidR="00146F44" w:rsidRPr="00E51168" w:rsidRDefault="00146F44" w:rsidP="00146F44">
      <w:pPr>
        <w:pStyle w:val="CommentText"/>
        <w:spacing w:before="0" w:after="0"/>
        <w:rPr>
          <w:color w:val="000000" w:themeColor="text1"/>
        </w:rPr>
      </w:pPr>
      <w:r w:rsidRPr="00E51168">
        <w:rPr>
          <w:color w:val="000000" w:themeColor="text1"/>
        </w:rPr>
        <w:t>VSM</w:t>
      </w:r>
      <w:r w:rsidRPr="00E51168">
        <w:rPr>
          <w:color w:val="000000" w:themeColor="text1"/>
        </w:rPr>
        <w:tab/>
      </w:r>
      <w:r w:rsidRPr="00E51168">
        <w:rPr>
          <w:color w:val="000000" w:themeColor="text1"/>
        </w:rPr>
        <w:tab/>
        <w:t>Vlerësimi Strategjik Mjedisor</w:t>
      </w:r>
    </w:p>
    <w:p w14:paraId="601D0057" w14:textId="77777777" w:rsidR="00146F44" w:rsidRPr="00E51168" w:rsidRDefault="00146F44" w:rsidP="00146F44">
      <w:pPr>
        <w:spacing w:before="0" w:after="0" w:line="240" w:lineRule="auto"/>
        <w:rPr>
          <w:color w:val="000000" w:themeColor="text1"/>
          <w:sz w:val="20"/>
          <w:szCs w:val="20"/>
          <w:shd w:val="clear" w:color="auto" w:fill="FFFFFF"/>
        </w:rPr>
      </w:pPr>
      <w:r w:rsidRPr="00E51168">
        <w:rPr>
          <w:color w:val="000000" w:themeColor="text1"/>
          <w:sz w:val="20"/>
          <w:szCs w:val="20"/>
          <w:shd w:val="clear" w:color="auto" w:fill="FFFFFF"/>
        </w:rPr>
        <w:t>PVEQ</w:t>
      </w:r>
      <w:r w:rsidRPr="00E51168">
        <w:rPr>
          <w:color w:val="000000" w:themeColor="text1"/>
          <w:sz w:val="20"/>
          <w:szCs w:val="20"/>
          <w:shd w:val="clear" w:color="auto" w:fill="FFFFFF"/>
        </w:rPr>
        <w:tab/>
      </w:r>
      <w:r w:rsidRPr="00E51168">
        <w:rPr>
          <w:color w:val="000000" w:themeColor="text1"/>
          <w:sz w:val="20"/>
          <w:szCs w:val="20"/>
          <w:shd w:val="clear" w:color="auto" w:fill="FFFFFF"/>
        </w:rPr>
        <w:tab/>
        <w:t xml:space="preserve">Plani i Veprimit për Energji të Qëndrueshme </w:t>
      </w:r>
    </w:p>
    <w:p w14:paraId="53A2F6B3" w14:textId="77777777" w:rsidR="00146F44" w:rsidRPr="00E51168" w:rsidRDefault="00146F44" w:rsidP="00146F44">
      <w:pPr>
        <w:pStyle w:val="CommentText"/>
        <w:spacing w:before="0" w:after="0"/>
        <w:rPr>
          <w:color w:val="000000" w:themeColor="text1"/>
        </w:rPr>
      </w:pPr>
      <w:r w:rsidRPr="00E51168">
        <w:rPr>
          <w:color w:val="000000" w:themeColor="text1"/>
        </w:rPr>
        <w:t xml:space="preserve">SEE CAO </w:t>
      </w:r>
      <w:r w:rsidRPr="00E51168">
        <w:rPr>
          <w:color w:val="000000" w:themeColor="text1"/>
        </w:rPr>
        <w:tab/>
        <w:t>Zyra e Koordinuar e Ankandeve për Evropën Juglindore në Mal të Zi</w:t>
      </w:r>
    </w:p>
    <w:p w14:paraId="2DDF1CDA" w14:textId="77777777" w:rsidR="00146F44" w:rsidRPr="00E51168" w:rsidRDefault="00146F44" w:rsidP="00146F44">
      <w:pPr>
        <w:pStyle w:val="CommentText"/>
        <w:spacing w:before="0" w:after="0"/>
        <w:rPr>
          <w:color w:val="000000" w:themeColor="text1"/>
        </w:rPr>
      </w:pPr>
      <w:r w:rsidRPr="00E51168">
        <w:rPr>
          <w:color w:val="000000" w:themeColor="text1"/>
        </w:rPr>
        <w:t xml:space="preserve">SET-Plan </w:t>
      </w:r>
      <w:r w:rsidRPr="00E51168">
        <w:rPr>
          <w:color w:val="000000" w:themeColor="text1"/>
        </w:rPr>
        <w:tab/>
        <w:t>Plani Strategjik për Teknologjitë Energjetike</w:t>
      </w:r>
    </w:p>
    <w:p w14:paraId="63629948"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HECv</w:t>
      </w:r>
      <w:r w:rsidRPr="00E51168">
        <w:rPr>
          <w:color w:val="000000" w:themeColor="text1"/>
          <w:sz w:val="20"/>
          <w:szCs w:val="20"/>
        </w:rPr>
        <w:tab/>
      </w:r>
      <w:r w:rsidRPr="00E51168">
        <w:rPr>
          <w:color w:val="000000" w:themeColor="text1"/>
          <w:sz w:val="20"/>
          <w:szCs w:val="20"/>
        </w:rPr>
        <w:tab/>
        <w:t xml:space="preserve">Hidrocentral i vogël </w:t>
      </w:r>
    </w:p>
    <w:p w14:paraId="589F40F0" w14:textId="77777777" w:rsidR="00146F44" w:rsidRPr="00E51168" w:rsidRDefault="00146F44" w:rsidP="00146F44">
      <w:pPr>
        <w:spacing w:before="0" w:after="0" w:line="240" w:lineRule="auto"/>
        <w:rPr>
          <w:color w:val="000000" w:themeColor="text1"/>
          <w:sz w:val="20"/>
          <w:szCs w:val="20"/>
          <w:shd w:val="clear" w:color="auto" w:fill="FFFFFF"/>
        </w:rPr>
      </w:pPr>
      <w:r w:rsidRPr="00E51168">
        <w:rPr>
          <w:color w:val="000000" w:themeColor="text1"/>
          <w:sz w:val="20"/>
          <w:szCs w:val="20"/>
          <w:shd w:val="clear" w:color="auto" w:fill="FFFFFF"/>
        </w:rPr>
        <w:t>SLED</w:t>
      </w:r>
      <w:r w:rsidRPr="00E51168">
        <w:rPr>
          <w:color w:val="000000" w:themeColor="text1"/>
          <w:sz w:val="20"/>
          <w:szCs w:val="20"/>
          <w:shd w:val="clear" w:color="auto" w:fill="FFFFFF"/>
        </w:rPr>
        <w:tab/>
      </w:r>
      <w:r w:rsidRPr="00E51168">
        <w:rPr>
          <w:color w:val="000000" w:themeColor="text1"/>
          <w:sz w:val="20"/>
          <w:szCs w:val="20"/>
          <w:shd w:val="clear" w:color="auto" w:fill="FFFFFF"/>
        </w:rPr>
        <w:tab/>
        <w:t xml:space="preserve">Përkrahje për Zhvillimin me Shkarkime të Ulëta në Evropën Juglindore </w:t>
      </w:r>
    </w:p>
    <w:p w14:paraId="708B1299" w14:textId="77777777" w:rsidR="00146F44" w:rsidRPr="00E51168" w:rsidRDefault="00146F44" w:rsidP="00146F44">
      <w:pPr>
        <w:pStyle w:val="CommentText"/>
        <w:spacing w:before="0" w:after="0"/>
        <w:rPr>
          <w:color w:val="000000" w:themeColor="text1"/>
        </w:rPr>
      </w:pPr>
      <w:r w:rsidRPr="00E51168">
        <w:rPr>
          <w:color w:val="000000" w:themeColor="text1"/>
        </w:rPr>
        <w:t xml:space="preserve">TAP </w:t>
      </w:r>
      <w:r w:rsidRPr="00E51168">
        <w:rPr>
          <w:color w:val="000000" w:themeColor="text1"/>
        </w:rPr>
        <w:tab/>
      </w:r>
      <w:r w:rsidRPr="00E51168">
        <w:rPr>
          <w:color w:val="000000" w:themeColor="text1"/>
        </w:rPr>
        <w:tab/>
        <w:t>Gazsjellësi Trans-Adriatik</w:t>
      </w:r>
    </w:p>
    <w:p w14:paraId="22556880"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TKPE</w:t>
      </w:r>
      <w:r w:rsidRPr="00E51168">
        <w:rPr>
          <w:color w:val="000000" w:themeColor="text1"/>
          <w:sz w:val="20"/>
          <w:szCs w:val="20"/>
        </w:rPr>
        <w:tab/>
      </w:r>
      <w:r w:rsidRPr="00E51168">
        <w:rPr>
          <w:color w:val="000000" w:themeColor="text1"/>
          <w:sz w:val="20"/>
          <w:szCs w:val="20"/>
        </w:rPr>
        <w:tab/>
        <w:t>Totali i konsumit përfundimtar të energjisë</w:t>
      </w:r>
    </w:p>
    <w:p w14:paraId="4196C626" w14:textId="77777777" w:rsidR="00146F44" w:rsidRPr="00E51168" w:rsidRDefault="00146F44" w:rsidP="00146F44">
      <w:pPr>
        <w:pStyle w:val="CommentText"/>
        <w:spacing w:before="0" w:after="0"/>
        <w:rPr>
          <w:color w:val="000000" w:themeColor="text1"/>
        </w:rPr>
      </w:pPr>
      <w:r w:rsidRPr="00E51168">
        <w:rPr>
          <w:color w:val="000000" w:themeColor="text1"/>
        </w:rPr>
        <w:t xml:space="preserve">TEN-E </w:t>
      </w:r>
      <w:r w:rsidRPr="00E51168">
        <w:rPr>
          <w:color w:val="000000" w:themeColor="text1"/>
        </w:rPr>
        <w:tab/>
      </w:r>
      <w:r w:rsidRPr="00E51168">
        <w:rPr>
          <w:color w:val="000000" w:themeColor="text1"/>
        </w:rPr>
        <w:tab/>
        <w:t>Rrjetet Transevropiane të Energjisë</w:t>
      </w:r>
    </w:p>
    <w:p w14:paraId="503C7CDD" w14:textId="77777777" w:rsidR="00146F44" w:rsidRPr="00E51168" w:rsidRDefault="00146F44" w:rsidP="00146F44">
      <w:pPr>
        <w:pStyle w:val="CommentText"/>
        <w:spacing w:before="0" w:after="0"/>
        <w:rPr>
          <w:color w:val="000000" w:themeColor="text1"/>
        </w:rPr>
      </w:pPr>
      <w:r w:rsidRPr="00E51168">
        <w:rPr>
          <w:color w:val="000000" w:themeColor="text1"/>
        </w:rPr>
        <w:t>TEN-T</w:t>
      </w:r>
      <w:r w:rsidRPr="00E51168">
        <w:rPr>
          <w:color w:val="000000" w:themeColor="text1"/>
        </w:rPr>
        <w:tab/>
      </w:r>
      <w:r w:rsidRPr="00E51168">
        <w:rPr>
          <w:color w:val="000000" w:themeColor="text1"/>
        </w:rPr>
        <w:tab/>
        <w:t>Rrjetet Transevropiane të Transportit</w:t>
      </w:r>
    </w:p>
    <w:p w14:paraId="3B8F1B0E" w14:textId="77777777" w:rsidR="00146F44" w:rsidRPr="00E51168" w:rsidRDefault="00146F44" w:rsidP="00146F44">
      <w:pPr>
        <w:pStyle w:val="CommentText"/>
        <w:spacing w:before="0" w:after="0"/>
        <w:rPr>
          <w:color w:val="000000" w:themeColor="text1"/>
        </w:rPr>
      </w:pPr>
      <w:r w:rsidRPr="00E51168">
        <w:rPr>
          <w:color w:val="000000" w:themeColor="text1"/>
        </w:rPr>
        <w:t>toe</w:t>
      </w:r>
      <w:r w:rsidRPr="00E51168">
        <w:rPr>
          <w:color w:val="000000" w:themeColor="text1"/>
        </w:rPr>
        <w:tab/>
      </w:r>
      <w:r w:rsidRPr="00E51168">
        <w:rPr>
          <w:color w:val="000000" w:themeColor="text1"/>
        </w:rPr>
        <w:tab/>
        <w:t>tonë ekuivalent nafte</w:t>
      </w:r>
    </w:p>
    <w:p w14:paraId="7C0DA9B8"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ToR</w:t>
      </w:r>
      <w:r w:rsidRPr="00E51168">
        <w:rPr>
          <w:color w:val="000000" w:themeColor="text1"/>
          <w:sz w:val="20"/>
          <w:szCs w:val="20"/>
        </w:rPr>
        <w:tab/>
      </w:r>
      <w:r w:rsidRPr="00E51168">
        <w:rPr>
          <w:color w:val="000000" w:themeColor="text1"/>
          <w:sz w:val="20"/>
          <w:szCs w:val="20"/>
        </w:rPr>
        <w:tab/>
        <w:t xml:space="preserve">Termat e referencës </w:t>
      </w:r>
    </w:p>
    <w:p w14:paraId="3334FC8B"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TFEP</w:t>
      </w:r>
      <w:r w:rsidRPr="00E51168">
        <w:rPr>
          <w:color w:val="000000" w:themeColor="text1"/>
          <w:sz w:val="20"/>
          <w:szCs w:val="20"/>
        </w:rPr>
        <w:tab/>
      </w:r>
      <w:r w:rsidRPr="00E51168">
        <w:rPr>
          <w:color w:val="000000" w:themeColor="text1"/>
          <w:sz w:val="20"/>
          <w:szCs w:val="20"/>
        </w:rPr>
        <w:tab/>
        <w:t xml:space="preserve">Totali i furnizimit me energji primare </w:t>
      </w:r>
    </w:p>
    <w:p w14:paraId="12C92E5A"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TEC</w:t>
      </w:r>
      <w:r w:rsidRPr="00E51168">
        <w:rPr>
          <w:color w:val="000000" w:themeColor="text1"/>
          <w:sz w:val="20"/>
          <w:szCs w:val="20"/>
        </w:rPr>
        <w:tab/>
      </w:r>
      <w:r w:rsidRPr="00E51168">
        <w:rPr>
          <w:color w:val="000000" w:themeColor="text1"/>
          <w:sz w:val="20"/>
          <w:szCs w:val="20"/>
        </w:rPr>
        <w:tab/>
        <w:t>Termocentral</w:t>
      </w:r>
    </w:p>
    <w:p w14:paraId="4B03DB9B" w14:textId="77777777" w:rsidR="00146F44" w:rsidRPr="00E51168" w:rsidRDefault="00146F44" w:rsidP="00146F44">
      <w:pPr>
        <w:spacing w:before="0" w:after="0" w:line="240" w:lineRule="auto"/>
        <w:jc w:val="left"/>
        <w:rPr>
          <w:color w:val="000000" w:themeColor="text1"/>
          <w:sz w:val="20"/>
          <w:szCs w:val="20"/>
        </w:rPr>
      </w:pPr>
      <w:r w:rsidRPr="00E51168">
        <w:rPr>
          <w:color w:val="000000" w:themeColor="text1"/>
          <w:sz w:val="20"/>
          <w:szCs w:val="20"/>
        </w:rPr>
        <w:lastRenderedPageBreak/>
        <w:t>SSTPV</w:t>
      </w:r>
      <w:r w:rsidRPr="00E51168">
        <w:rPr>
          <w:color w:val="000000" w:themeColor="text1"/>
          <w:sz w:val="20"/>
          <w:szCs w:val="20"/>
        </w:rPr>
        <w:tab/>
        <w:t xml:space="preserve"> </w:t>
      </w:r>
      <w:r w:rsidRPr="00E51168">
        <w:rPr>
          <w:color w:val="000000" w:themeColor="text1"/>
          <w:sz w:val="20"/>
          <w:szCs w:val="20"/>
        </w:rPr>
        <w:tab/>
        <w:t>Strategjia Sektoriale e Transportit dhe Plani i Veprimit 2016-2020</w:t>
      </w:r>
    </w:p>
    <w:p w14:paraId="6E0CA9E4" w14:textId="77777777" w:rsidR="00146F44" w:rsidRPr="00E51168" w:rsidRDefault="00146F44" w:rsidP="00146F44">
      <w:pPr>
        <w:spacing w:before="0" w:after="0" w:line="240" w:lineRule="auto"/>
        <w:jc w:val="left"/>
        <w:rPr>
          <w:color w:val="000000" w:themeColor="text1"/>
          <w:sz w:val="20"/>
          <w:szCs w:val="20"/>
        </w:rPr>
      </w:pPr>
      <w:r w:rsidRPr="00E51168">
        <w:rPr>
          <w:color w:val="000000" w:themeColor="text1"/>
          <w:sz w:val="20"/>
          <w:szCs w:val="20"/>
        </w:rPr>
        <w:t>TYNDP</w:t>
      </w:r>
      <w:r w:rsidRPr="00E51168">
        <w:rPr>
          <w:color w:val="000000" w:themeColor="text1"/>
          <w:sz w:val="20"/>
          <w:szCs w:val="20"/>
        </w:rPr>
        <w:tab/>
      </w:r>
      <w:r w:rsidRPr="00E51168">
        <w:rPr>
          <w:color w:val="000000" w:themeColor="text1"/>
          <w:sz w:val="20"/>
          <w:szCs w:val="20"/>
        </w:rPr>
        <w:tab/>
        <w:t>Plani Dhjetëvjeçar i Zhvillimit të Rrjetit</w:t>
      </w:r>
    </w:p>
    <w:p w14:paraId="76DE6ED6" w14:textId="77777777" w:rsidR="00146F44" w:rsidRPr="00E51168" w:rsidRDefault="00146F44" w:rsidP="00146F44">
      <w:pPr>
        <w:pStyle w:val="CommentText"/>
        <w:spacing w:before="0" w:after="0"/>
        <w:rPr>
          <w:color w:val="000000" w:themeColor="text1"/>
        </w:rPr>
      </w:pPr>
      <w:r w:rsidRPr="00E51168">
        <w:rPr>
          <w:color w:val="000000" w:themeColor="text1"/>
        </w:rPr>
        <w:t>UNDP</w:t>
      </w:r>
      <w:r w:rsidRPr="00E51168">
        <w:rPr>
          <w:color w:val="000000" w:themeColor="text1"/>
        </w:rPr>
        <w:tab/>
      </w:r>
      <w:r w:rsidRPr="00E51168">
        <w:rPr>
          <w:color w:val="000000" w:themeColor="text1"/>
        </w:rPr>
        <w:tab/>
        <w:t>Programi i Kombeve të Bashkuara për Zhvillim</w:t>
      </w:r>
    </w:p>
    <w:p w14:paraId="45084DAB" w14:textId="2482BD47" w:rsidR="00146F44" w:rsidRPr="00E51168" w:rsidRDefault="00146F44" w:rsidP="00146F44">
      <w:pPr>
        <w:pStyle w:val="CommentText"/>
        <w:spacing w:before="0" w:after="0"/>
        <w:rPr>
          <w:color w:val="000000" w:themeColor="text1"/>
        </w:rPr>
      </w:pPr>
      <w:r w:rsidRPr="00E51168">
        <w:rPr>
          <w:color w:val="000000" w:themeColor="text1"/>
        </w:rPr>
        <w:t>KKKBNK</w:t>
      </w:r>
      <w:r w:rsidRPr="00E51168">
        <w:rPr>
          <w:color w:val="000000" w:themeColor="text1"/>
        </w:rPr>
        <w:tab/>
        <w:t>Konventa Kuadër e Kombeve të Bashkuara për Ndryshimet Klimatike</w:t>
      </w:r>
    </w:p>
    <w:p w14:paraId="6A9861CD"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TVSH</w:t>
      </w:r>
      <w:r w:rsidRPr="00E51168">
        <w:rPr>
          <w:color w:val="000000" w:themeColor="text1"/>
          <w:sz w:val="20"/>
          <w:szCs w:val="20"/>
        </w:rPr>
        <w:tab/>
      </w:r>
      <w:r w:rsidRPr="00E51168">
        <w:rPr>
          <w:color w:val="000000" w:themeColor="text1"/>
          <w:sz w:val="20"/>
          <w:szCs w:val="20"/>
        </w:rPr>
        <w:tab/>
        <w:t>Tatimi mbi vlerën e shtuar</w:t>
      </w:r>
    </w:p>
    <w:p w14:paraId="72ECD6A7"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 xml:space="preserve">WAM </w:t>
      </w:r>
      <w:r w:rsidRPr="00E51168">
        <w:rPr>
          <w:color w:val="000000" w:themeColor="text1"/>
          <w:sz w:val="20"/>
          <w:szCs w:val="20"/>
        </w:rPr>
        <w:tab/>
      </w:r>
      <w:r w:rsidRPr="00E51168">
        <w:rPr>
          <w:color w:val="000000" w:themeColor="text1"/>
          <w:sz w:val="20"/>
          <w:szCs w:val="20"/>
        </w:rPr>
        <w:tab/>
        <w:t xml:space="preserve">Me masa shtesë </w:t>
      </w:r>
    </w:p>
    <w:p w14:paraId="02F3B511" w14:textId="77777777" w:rsidR="00146F44" w:rsidRPr="00E51168" w:rsidRDefault="00146F44" w:rsidP="00146F44">
      <w:pPr>
        <w:pStyle w:val="CommentText"/>
        <w:spacing w:before="0" w:after="0"/>
        <w:rPr>
          <w:color w:val="000000" w:themeColor="text1"/>
        </w:rPr>
      </w:pPr>
      <w:r w:rsidRPr="00E51168">
        <w:rPr>
          <w:color w:val="000000" w:themeColor="text1"/>
        </w:rPr>
        <w:t>BP</w:t>
      </w:r>
      <w:r w:rsidRPr="00E51168">
        <w:rPr>
          <w:color w:val="000000" w:themeColor="text1"/>
        </w:rPr>
        <w:tab/>
      </w:r>
      <w:r w:rsidRPr="00E51168">
        <w:rPr>
          <w:color w:val="000000" w:themeColor="text1"/>
        </w:rPr>
        <w:tab/>
        <w:t>Ballkani Perëndimor</w:t>
      </w:r>
    </w:p>
    <w:p w14:paraId="5A75EBF8" w14:textId="77777777" w:rsidR="00146F44" w:rsidRPr="00E51168" w:rsidRDefault="00146F44" w:rsidP="00146F44">
      <w:pPr>
        <w:pStyle w:val="CommentText"/>
        <w:spacing w:before="0" w:after="0"/>
        <w:rPr>
          <w:color w:val="000000" w:themeColor="text1"/>
        </w:rPr>
      </w:pPr>
      <w:r w:rsidRPr="00E51168">
        <w:rPr>
          <w:color w:val="000000" w:themeColor="text1"/>
        </w:rPr>
        <w:t>BB*</w:t>
      </w:r>
      <w:r w:rsidRPr="00E51168">
        <w:rPr>
          <w:color w:val="000000" w:themeColor="text1"/>
        </w:rPr>
        <w:tab/>
      </w:r>
      <w:r w:rsidRPr="00E51168">
        <w:rPr>
          <w:color w:val="000000" w:themeColor="text1"/>
        </w:rPr>
        <w:tab/>
        <w:t xml:space="preserve">Banka Botërore </w:t>
      </w:r>
    </w:p>
    <w:p w14:paraId="78EA7C08" w14:textId="77777777" w:rsidR="00146F44" w:rsidRPr="00E51168" w:rsidRDefault="00146F44" w:rsidP="00146F44">
      <w:pPr>
        <w:pStyle w:val="CommentText"/>
        <w:spacing w:before="0" w:after="0"/>
        <w:ind w:left="1440" w:hanging="1440"/>
        <w:rPr>
          <w:color w:val="000000" w:themeColor="text1"/>
        </w:rPr>
      </w:pPr>
      <w:r w:rsidRPr="00E51168">
        <w:rPr>
          <w:color w:val="000000" w:themeColor="text1"/>
        </w:rPr>
        <w:t xml:space="preserve">BP6 </w:t>
      </w:r>
      <w:r w:rsidRPr="00E51168">
        <w:rPr>
          <w:color w:val="000000" w:themeColor="text1"/>
        </w:rPr>
        <w:tab/>
        <w:t>Shqipëria, Bosnjë-Hercegovina, Kosova, Maqedonia e Veriut, Mali i Zi, Serbia</w:t>
      </w:r>
    </w:p>
    <w:p w14:paraId="56A5482C"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WBIF</w:t>
      </w:r>
      <w:r w:rsidRPr="00E51168">
        <w:rPr>
          <w:color w:val="000000" w:themeColor="text1"/>
          <w:sz w:val="20"/>
          <w:szCs w:val="20"/>
        </w:rPr>
        <w:tab/>
      </w:r>
      <w:r w:rsidRPr="00E51168">
        <w:rPr>
          <w:color w:val="000000" w:themeColor="text1"/>
          <w:sz w:val="20"/>
          <w:szCs w:val="20"/>
        </w:rPr>
        <w:tab/>
        <w:t>Instrumenti i Investimeve për Ballkanin Perëndimor</w:t>
      </w:r>
    </w:p>
    <w:p w14:paraId="1DCEB733" w14:textId="77777777" w:rsidR="00146F44" w:rsidRPr="00E51168" w:rsidRDefault="00146F44" w:rsidP="00146F44">
      <w:pPr>
        <w:spacing w:before="0" w:after="0" w:line="240" w:lineRule="auto"/>
        <w:rPr>
          <w:color w:val="000000" w:themeColor="text1"/>
          <w:sz w:val="20"/>
          <w:szCs w:val="20"/>
        </w:rPr>
      </w:pPr>
      <w:r w:rsidRPr="00E51168">
        <w:rPr>
          <w:color w:val="000000" w:themeColor="text1"/>
          <w:sz w:val="20"/>
          <w:szCs w:val="20"/>
        </w:rPr>
        <w:t xml:space="preserve">WEM </w:t>
      </w:r>
      <w:r w:rsidRPr="00E51168">
        <w:rPr>
          <w:color w:val="000000" w:themeColor="text1"/>
          <w:sz w:val="20"/>
          <w:szCs w:val="20"/>
        </w:rPr>
        <w:tab/>
      </w:r>
      <w:r w:rsidRPr="00E51168">
        <w:rPr>
          <w:color w:val="000000" w:themeColor="text1"/>
          <w:sz w:val="20"/>
          <w:szCs w:val="20"/>
        </w:rPr>
        <w:tab/>
        <w:t xml:space="preserve">Me masat ekzistuese </w:t>
      </w:r>
    </w:p>
    <w:p w14:paraId="72DBF4CE" w14:textId="1E56D2A1" w:rsidR="00E03193" w:rsidRPr="00E51168" w:rsidRDefault="00146F44" w:rsidP="00146F44">
      <w:pPr>
        <w:spacing w:before="0" w:after="0" w:line="240" w:lineRule="auto"/>
        <w:rPr>
          <w:sz w:val="24"/>
          <w:szCs w:val="24"/>
        </w:rPr>
      </w:pPr>
      <w:r w:rsidRPr="00E51168">
        <w:rPr>
          <w:color w:val="000000" w:themeColor="text1"/>
          <w:sz w:val="20"/>
          <w:szCs w:val="20"/>
        </w:rPr>
        <w:t>ITUP</w:t>
      </w:r>
      <w:r w:rsidRPr="00E51168">
        <w:rPr>
          <w:color w:val="000000" w:themeColor="text1"/>
          <w:sz w:val="20"/>
          <w:szCs w:val="20"/>
        </w:rPr>
        <w:tab/>
      </w:r>
      <w:r w:rsidRPr="00E51168">
        <w:rPr>
          <w:color w:val="000000" w:themeColor="text1"/>
          <w:sz w:val="20"/>
          <w:szCs w:val="20"/>
        </w:rPr>
        <w:tab/>
        <w:t xml:space="preserve">Impiant Trajtimi i Ujërave të Përdorura </w:t>
      </w:r>
    </w:p>
    <w:p w14:paraId="44F10CA8" w14:textId="77777777" w:rsidR="00DA2EDE" w:rsidRPr="00FF756A" w:rsidRDefault="00DA2EDE" w:rsidP="00EF0D31">
      <w:pPr>
        <w:pStyle w:val="CommentText"/>
        <w:ind w:left="1440" w:hanging="1440"/>
      </w:pPr>
    </w:p>
    <w:p w14:paraId="72E3D0BC" w14:textId="77777777" w:rsidR="001438D2" w:rsidRDefault="001438D2" w:rsidP="00EF0D31">
      <w:pPr>
        <w:pStyle w:val="CommentText"/>
        <w:ind w:left="1440" w:hanging="1440"/>
      </w:pPr>
    </w:p>
    <w:p w14:paraId="0794C615" w14:textId="77777777" w:rsidR="00714F33" w:rsidRDefault="00714F33" w:rsidP="00EF0D31">
      <w:pPr>
        <w:pStyle w:val="CommentText"/>
        <w:ind w:left="1440" w:hanging="1440"/>
      </w:pPr>
    </w:p>
    <w:p w14:paraId="4C261E14" w14:textId="77777777" w:rsidR="00714F33" w:rsidRDefault="00714F33" w:rsidP="00EF0D31">
      <w:pPr>
        <w:pStyle w:val="CommentText"/>
        <w:ind w:left="1440" w:hanging="1440"/>
      </w:pPr>
    </w:p>
    <w:p w14:paraId="20BEBB3E" w14:textId="77777777" w:rsidR="00714F33" w:rsidRDefault="00714F33" w:rsidP="00EF0D31">
      <w:pPr>
        <w:pStyle w:val="CommentText"/>
        <w:ind w:left="1440" w:hanging="1440"/>
      </w:pPr>
    </w:p>
    <w:p w14:paraId="3E7F4597" w14:textId="77777777" w:rsidR="00714F33" w:rsidRDefault="00714F33" w:rsidP="00EF0D31">
      <w:pPr>
        <w:pStyle w:val="CommentText"/>
        <w:ind w:left="1440" w:hanging="1440"/>
      </w:pPr>
    </w:p>
    <w:p w14:paraId="76D3A83F" w14:textId="77777777" w:rsidR="00714F33" w:rsidRDefault="00714F33" w:rsidP="00EF0D31">
      <w:pPr>
        <w:pStyle w:val="CommentText"/>
        <w:ind w:left="1440" w:hanging="1440"/>
      </w:pPr>
    </w:p>
    <w:p w14:paraId="49A217D9" w14:textId="77777777" w:rsidR="00714F33" w:rsidRDefault="00714F33" w:rsidP="00EF0D31">
      <w:pPr>
        <w:pStyle w:val="CommentText"/>
        <w:ind w:left="1440" w:hanging="1440"/>
      </w:pPr>
    </w:p>
    <w:p w14:paraId="21876168" w14:textId="77777777" w:rsidR="00714F33" w:rsidRDefault="00714F33" w:rsidP="00EF0D31">
      <w:pPr>
        <w:pStyle w:val="CommentText"/>
        <w:ind w:left="1440" w:hanging="1440"/>
      </w:pPr>
    </w:p>
    <w:p w14:paraId="0418DEC7" w14:textId="77777777" w:rsidR="00714F33" w:rsidRDefault="00714F33" w:rsidP="00EF0D31">
      <w:pPr>
        <w:pStyle w:val="CommentText"/>
        <w:ind w:left="1440" w:hanging="1440"/>
      </w:pPr>
    </w:p>
    <w:p w14:paraId="0F71EC22" w14:textId="77777777" w:rsidR="00714F33" w:rsidRDefault="00714F33" w:rsidP="00EF0D31">
      <w:pPr>
        <w:pStyle w:val="CommentText"/>
        <w:ind w:left="1440" w:hanging="1440"/>
      </w:pPr>
    </w:p>
    <w:p w14:paraId="03F71198" w14:textId="77777777" w:rsidR="00714F33" w:rsidRDefault="00714F33" w:rsidP="00EF0D31">
      <w:pPr>
        <w:pStyle w:val="CommentText"/>
        <w:ind w:left="1440" w:hanging="1440"/>
      </w:pPr>
    </w:p>
    <w:p w14:paraId="4D9A3B3E" w14:textId="77777777" w:rsidR="00714F33" w:rsidRDefault="00714F33" w:rsidP="00EF0D31">
      <w:pPr>
        <w:pStyle w:val="CommentText"/>
        <w:ind w:left="1440" w:hanging="1440"/>
      </w:pPr>
    </w:p>
    <w:p w14:paraId="63A95E1F" w14:textId="77777777" w:rsidR="00714F33" w:rsidRDefault="00714F33" w:rsidP="00EF0D31">
      <w:pPr>
        <w:pStyle w:val="CommentText"/>
        <w:ind w:left="1440" w:hanging="1440"/>
      </w:pPr>
    </w:p>
    <w:p w14:paraId="2AE056D1" w14:textId="77777777" w:rsidR="00714F33" w:rsidRDefault="00714F33" w:rsidP="00EF0D31">
      <w:pPr>
        <w:pStyle w:val="CommentText"/>
        <w:ind w:left="1440" w:hanging="1440"/>
      </w:pPr>
    </w:p>
    <w:p w14:paraId="55CB6ECF" w14:textId="77777777" w:rsidR="00714F33" w:rsidRDefault="00714F33" w:rsidP="00EF0D31">
      <w:pPr>
        <w:pStyle w:val="CommentText"/>
        <w:ind w:left="1440" w:hanging="1440"/>
      </w:pPr>
    </w:p>
    <w:p w14:paraId="0C6A1F1B" w14:textId="77777777" w:rsidR="00714F33" w:rsidRDefault="00714F33" w:rsidP="00EF0D31">
      <w:pPr>
        <w:pStyle w:val="CommentText"/>
        <w:ind w:left="1440" w:hanging="1440"/>
      </w:pPr>
    </w:p>
    <w:p w14:paraId="6C6C0D69" w14:textId="77777777" w:rsidR="00714F33" w:rsidRDefault="00714F33" w:rsidP="00EF0D31">
      <w:pPr>
        <w:pStyle w:val="CommentText"/>
        <w:ind w:left="1440" w:hanging="1440"/>
      </w:pPr>
    </w:p>
    <w:p w14:paraId="16995CC8" w14:textId="77777777" w:rsidR="00714F33" w:rsidRDefault="00714F33" w:rsidP="00EF0D31">
      <w:pPr>
        <w:pStyle w:val="CommentText"/>
        <w:ind w:left="1440" w:hanging="1440"/>
      </w:pPr>
    </w:p>
    <w:p w14:paraId="2817A9BE" w14:textId="77777777" w:rsidR="00714F33" w:rsidRDefault="00714F33" w:rsidP="00EF0D31">
      <w:pPr>
        <w:pStyle w:val="CommentText"/>
        <w:ind w:left="1440" w:hanging="1440"/>
      </w:pPr>
    </w:p>
    <w:p w14:paraId="4618EAF1" w14:textId="77777777" w:rsidR="00714F33" w:rsidRDefault="00714F33" w:rsidP="00EF0D31">
      <w:pPr>
        <w:pStyle w:val="CommentText"/>
        <w:ind w:left="1440" w:hanging="1440"/>
      </w:pPr>
    </w:p>
    <w:p w14:paraId="1DB98A4D" w14:textId="77777777" w:rsidR="00714F33" w:rsidRDefault="00714F33" w:rsidP="00EF0D31">
      <w:pPr>
        <w:pStyle w:val="CommentText"/>
        <w:ind w:left="1440" w:hanging="1440"/>
      </w:pPr>
    </w:p>
    <w:p w14:paraId="53731854" w14:textId="77777777" w:rsidR="00714F33" w:rsidRDefault="00714F33" w:rsidP="00EF0D31">
      <w:pPr>
        <w:pStyle w:val="CommentText"/>
        <w:ind w:left="1440" w:hanging="1440"/>
      </w:pPr>
    </w:p>
    <w:p w14:paraId="00CAC126" w14:textId="77777777" w:rsidR="00714F33" w:rsidRDefault="00714F33" w:rsidP="00EF0D31">
      <w:pPr>
        <w:pStyle w:val="CommentText"/>
        <w:ind w:left="1440" w:hanging="1440"/>
      </w:pPr>
    </w:p>
    <w:p w14:paraId="151B1F07" w14:textId="77777777" w:rsidR="00714F33" w:rsidRDefault="00714F33" w:rsidP="00EF0D31">
      <w:pPr>
        <w:pStyle w:val="CommentText"/>
        <w:ind w:left="1440" w:hanging="1440"/>
      </w:pPr>
    </w:p>
    <w:p w14:paraId="5CA5889C" w14:textId="77777777" w:rsidR="00714F33" w:rsidRDefault="00714F33" w:rsidP="00EF0D31">
      <w:pPr>
        <w:pStyle w:val="CommentText"/>
        <w:ind w:left="1440" w:hanging="1440"/>
      </w:pPr>
    </w:p>
    <w:p w14:paraId="439D4FEC" w14:textId="77777777" w:rsidR="00714F33" w:rsidRDefault="00714F33" w:rsidP="00EF0D31">
      <w:pPr>
        <w:pStyle w:val="CommentText"/>
        <w:ind w:left="1440" w:hanging="1440"/>
      </w:pPr>
    </w:p>
    <w:p w14:paraId="7591679F" w14:textId="77777777" w:rsidR="00714F33" w:rsidRDefault="00714F33" w:rsidP="00EF0D31">
      <w:pPr>
        <w:pStyle w:val="CommentText"/>
        <w:ind w:left="1440" w:hanging="1440"/>
      </w:pPr>
    </w:p>
    <w:p w14:paraId="42156B4C" w14:textId="77777777" w:rsidR="00714F33" w:rsidRDefault="00714F33" w:rsidP="00EF0D31">
      <w:pPr>
        <w:pStyle w:val="CommentText"/>
        <w:ind w:left="1440" w:hanging="1440"/>
      </w:pPr>
    </w:p>
    <w:p w14:paraId="622F2218" w14:textId="77777777" w:rsidR="00714F33" w:rsidRDefault="00714F33" w:rsidP="00EF0D31">
      <w:pPr>
        <w:pStyle w:val="CommentText"/>
        <w:ind w:left="1440" w:hanging="1440"/>
      </w:pPr>
    </w:p>
    <w:p w14:paraId="2FADC511" w14:textId="77777777" w:rsidR="00714F33" w:rsidRDefault="00714F33" w:rsidP="00EF0D31">
      <w:pPr>
        <w:pStyle w:val="CommentText"/>
        <w:ind w:left="1440" w:hanging="1440"/>
      </w:pPr>
    </w:p>
    <w:p w14:paraId="4756A64A" w14:textId="77777777" w:rsidR="00714F33" w:rsidRDefault="00714F33" w:rsidP="00EF0D31">
      <w:pPr>
        <w:pStyle w:val="CommentText"/>
        <w:ind w:left="1440" w:hanging="1440"/>
      </w:pPr>
    </w:p>
    <w:p w14:paraId="1B36A537" w14:textId="77777777" w:rsidR="00714F33" w:rsidRDefault="00714F33" w:rsidP="00EF0D31">
      <w:pPr>
        <w:pStyle w:val="CommentText"/>
        <w:ind w:left="1440" w:hanging="1440"/>
      </w:pPr>
    </w:p>
    <w:p w14:paraId="177CBE59" w14:textId="77777777" w:rsidR="00714F33" w:rsidRDefault="00714F33" w:rsidP="00EF0D31">
      <w:pPr>
        <w:pStyle w:val="CommentText"/>
        <w:ind w:left="1440" w:hanging="1440"/>
      </w:pPr>
    </w:p>
    <w:p w14:paraId="0F669423" w14:textId="77777777" w:rsidR="00714F33" w:rsidRDefault="00714F33" w:rsidP="00EF0D31">
      <w:pPr>
        <w:pStyle w:val="CommentText"/>
        <w:ind w:left="1440" w:hanging="1440"/>
      </w:pPr>
    </w:p>
    <w:p w14:paraId="52B94FA0" w14:textId="77777777" w:rsidR="00714F33" w:rsidRDefault="00714F33" w:rsidP="00EF0D31">
      <w:pPr>
        <w:pStyle w:val="CommentText"/>
        <w:ind w:left="1440" w:hanging="1440"/>
      </w:pPr>
    </w:p>
    <w:p w14:paraId="3E68D89B" w14:textId="77777777" w:rsidR="00714F33" w:rsidRDefault="00714F33" w:rsidP="00EF0D31">
      <w:pPr>
        <w:pStyle w:val="CommentText"/>
        <w:ind w:left="1440" w:hanging="1440"/>
      </w:pPr>
    </w:p>
    <w:p w14:paraId="0EE4D71B" w14:textId="77777777" w:rsidR="00714F33" w:rsidRDefault="00714F33" w:rsidP="00EF0D31">
      <w:pPr>
        <w:pStyle w:val="CommentText"/>
        <w:ind w:left="1440" w:hanging="1440"/>
      </w:pPr>
    </w:p>
    <w:p w14:paraId="64529680" w14:textId="77777777" w:rsidR="00714F33" w:rsidRPr="00FF756A" w:rsidRDefault="00714F33" w:rsidP="00EF0D31">
      <w:pPr>
        <w:pStyle w:val="CommentText"/>
        <w:ind w:left="1440" w:hanging="1440"/>
      </w:pPr>
    </w:p>
    <w:p w14:paraId="282C4148" w14:textId="1FA51AE6" w:rsidR="00A91A18" w:rsidRPr="00FF756A" w:rsidRDefault="00A91A18" w:rsidP="00502BD1">
      <w:pPr>
        <w:pStyle w:val="Heading1"/>
        <w:numPr>
          <w:ilvl w:val="0"/>
          <w:numId w:val="0"/>
        </w:numPr>
      </w:pPr>
      <w:bookmarkStart w:id="3" w:name="_Toc183639162"/>
      <w:r w:rsidRPr="00FF756A">
        <w:lastRenderedPageBreak/>
        <w:t>Lista e tabelave</w:t>
      </w:r>
      <w:bookmarkEnd w:id="3"/>
    </w:p>
    <w:p w14:paraId="2BBD843B" w14:textId="77777777" w:rsidR="001438D2" w:rsidRPr="00FF756A" w:rsidRDefault="001438D2" w:rsidP="00EF0D31">
      <w:pPr>
        <w:pStyle w:val="CommentText"/>
        <w:ind w:left="1440" w:hanging="1440"/>
      </w:pPr>
    </w:p>
    <w:p w14:paraId="4169BAB2" w14:textId="5443A75F" w:rsidR="008E7DE9" w:rsidRPr="00714F33" w:rsidRDefault="006112AE">
      <w:pPr>
        <w:pStyle w:val="TableofFigures"/>
        <w:tabs>
          <w:tab w:val="right" w:leader="dot" w:pos="9062"/>
        </w:tabs>
        <w:rPr>
          <w:rFonts w:eastAsiaTheme="minorEastAsia"/>
          <w:noProof/>
          <w:kern w:val="2"/>
          <w:sz w:val="20"/>
          <w:szCs w:val="20"/>
          <w14:ligatures w14:val="standardContextual"/>
        </w:rPr>
      </w:pPr>
      <w:r w:rsidRPr="00714F33">
        <w:rPr>
          <w:sz w:val="20"/>
          <w:szCs w:val="20"/>
        </w:rPr>
        <w:fldChar w:fldCharType="begin"/>
      </w:r>
      <w:r w:rsidRPr="00714F33">
        <w:rPr>
          <w:sz w:val="20"/>
          <w:szCs w:val="20"/>
        </w:rPr>
        <w:instrText xml:space="preserve"> TOC \h \z \c "Tabela" </w:instrText>
      </w:r>
      <w:r w:rsidRPr="00714F33">
        <w:rPr>
          <w:sz w:val="20"/>
          <w:szCs w:val="20"/>
        </w:rPr>
        <w:fldChar w:fldCharType="separate"/>
      </w:r>
      <w:hyperlink w:anchor="_Toc183016465" w:history="1">
        <w:r w:rsidR="008E7DE9" w:rsidRPr="00714F33">
          <w:rPr>
            <w:rStyle w:val="Hyperlink"/>
            <w:noProof/>
            <w:sz w:val="20"/>
            <w:szCs w:val="20"/>
          </w:rPr>
          <w:t>Tabela 1: Objektivat 2030 dhe kontributet në sektor</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_Toc183016465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11</w:t>
        </w:r>
        <w:r w:rsidR="008E7DE9" w:rsidRPr="00714F33">
          <w:rPr>
            <w:noProof/>
            <w:webHidden/>
            <w:sz w:val="20"/>
            <w:szCs w:val="20"/>
          </w:rPr>
          <w:fldChar w:fldCharType="end"/>
        </w:r>
      </w:hyperlink>
    </w:p>
    <w:p w14:paraId="102C1C7A" w14:textId="4ADEF4E7"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66" w:history="1">
        <w:r w:rsidR="008E7DE9" w:rsidRPr="00714F33">
          <w:rPr>
            <w:rStyle w:val="Hyperlink"/>
            <w:noProof/>
            <w:sz w:val="20"/>
            <w:szCs w:val="20"/>
          </w:rPr>
          <w:t>Tabela 2: Gjenerimi i energjisë nga burimet e rinovueshme të energjisë (Burimi: Raportet vjetore të ERE Raporte Vjetore (ere.gov.al)</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_Toc183016466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17</w:t>
        </w:r>
        <w:r w:rsidR="008E7DE9" w:rsidRPr="00714F33">
          <w:rPr>
            <w:noProof/>
            <w:webHidden/>
            <w:sz w:val="20"/>
            <w:szCs w:val="20"/>
          </w:rPr>
          <w:fldChar w:fldCharType="end"/>
        </w:r>
      </w:hyperlink>
    </w:p>
    <w:p w14:paraId="074D37AF" w14:textId="4B706CF2"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67" w:history="1">
        <w:r w:rsidR="008E7DE9" w:rsidRPr="00714F33">
          <w:rPr>
            <w:rStyle w:val="Hyperlink"/>
            <w:noProof/>
            <w:sz w:val="20"/>
            <w:szCs w:val="20"/>
          </w:rPr>
          <w:t>Tabela 3: Përafrimi i legjislacionit shqiptar për energjinë me Direktivat e BE-së dhe të Komunitetit të Energjisë për BRE-të</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_Toc183016467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31</w:t>
        </w:r>
        <w:r w:rsidR="008E7DE9" w:rsidRPr="00714F33">
          <w:rPr>
            <w:noProof/>
            <w:webHidden/>
            <w:sz w:val="20"/>
            <w:szCs w:val="20"/>
          </w:rPr>
          <w:fldChar w:fldCharType="end"/>
        </w:r>
      </w:hyperlink>
    </w:p>
    <w:p w14:paraId="385DF35D" w14:textId="47951502"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68" w:history="1">
        <w:r w:rsidR="008E7DE9" w:rsidRPr="00714F33">
          <w:rPr>
            <w:rStyle w:val="Hyperlink"/>
            <w:noProof/>
            <w:sz w:val="20"/>
            <w:szCs w:val="20"/>
          </w:rPr>
          <w:t>Tabela 4: Zbatimi i energjisë së rinovueshme (Burimi: Raporti i Zbatimit 2023 Shqipëri / 7)</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_Toc183016468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32</w:t>
        </w:r>
        <w:r w:rsidR="008E7DE9" w:rsidRPr="00714F33">
          <w:rPr>
            <w:noProof/>
            <w:webHidden/>
            <w:sz w:val="20"/>
            <w:szCs w:val="20"/>
          </w:rPr>
          <w:fldChar w:fldCharType="end"/>
        </w:r>
      </w:hyperlink>
    </w:p>
    <w:p w14:paraId="074E18DF" w14:textId="79F142A2"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69" w:history="1">
        <w:r w:rsidR="008E7DE9" w:rsidRPr="00714F33">
          <w:rPr>
            <w:rStyle w:val="Hyperlink"/>
            <w:noProof/>
            <w:sz w:val="20"/>
            <w:szCs w:val="20"/>
          </w:rPr>
          <w:t>Tabela 5: Politikat dhe ligjet kryesore lidhur me dimensionin e EE-së, duke përfshirë legjislacionin e Komunitetit të Energjisë dhe të BE-së</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_Toc183016469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41</w:t>
        </w:r>
        <w:r w:rsidR="008E7DE9" w:rsidRPr="00714F33">
          <w:rPr>
            <w:noProof/>
            <w:webHidden/>
            <w:sz w:val="20"/>
            <w:szCs w:val="20"/>
          </w:rPr>
          <w:fldChar w:fldCharType="end"/>
        </w:r>
      </w:hyperlink>
    </w:p>
    <w:p w14:paraId="5A1CCD92" w14:textId="195F214A"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70" w:history="1">
        <w:r w:rsidR="008E7DE9" w:rsidRPr="00714F33">
          <w:rPr>
            <w:rStyle w:val="Hyperlink"/>
            <w:noProof/>
            <w:sz w:val="20"/>
            <w:szCs w:val="20"/>
          </w:rPr>
          <w:t>Tabela 6: Zbatimi i efiçencës së energjisë (Burimi: Raporti i Zbatimit 2023 Shqipëri / 8)</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_Toc183016470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43</w:t>
        </w:r>
        <w:r w:rsidR="008E7DE9" w:rsidRPr="00714F33">
          <w:rPr>
            <w:noProof/>
            <w:webHidden/>
            <w:sz w:val="20"/>
            <w:szCs w:val="20"/>
          </w:rPr>
          <w:fldChar w:fldCharType="end"/>
        </w:r>
      </w:hyperlink>
    </w:p>
    <w:p w14:paraId="1E073A79" w14:textId="1926B7E7"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71" w:history="1">
        <w:r w:rsidR="008E7DE9" w:rsidRPr="00714F33">
          <w:rPr>
            <w:rStyle w:val="Hyperlink"/>
            <w:noProof/>
            <w:sz w:val="20"/>
            <w:szCs w:val="20"/>
          </w:rPr>
          <w:t>Tabela 7: Humbjet në shpërndarje dhe transmetim 2016 – 2023 (në %) (Burimi: Enti Rregullator i Energjisë (raportet vjetore të ERE)</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_Toc183016471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43</w:t>
        </w:r>
        <w:r w:rsidR="008E7DE9" w:rsidRPr="00714F33">
          <w:rPr>
            <w:noProof/>
            <w:webHidden/>
            <w:sz w:val="20"/>
            <w:szCs w:val="20"/>
          </w:rPr>
          <w:fldChar w:fldCharType="end"/>
        </w:r>
      </w:hyperlink>
    </w:p>
    <w:p w14:paraId="165B0508" w14:textId="32AF831D"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72" w:history="1">
        <w:r w:rsidR="008E7DE9" w:rsidRPr="00714F33">
          <w:rPr>
            <w:rStyle w:val="Hyperlink"/>
            <w:noProof/>
            <w:sz w:val="20"/>
            <w:szCs w:val="20"/>
          </w:rPr>
          <w:t>Tabela 8: Niveli i arkëtimeve të faturave në 2018 – 2023 (në %) (Burimi: Enti Rregullator i Energjisë (raportet vjetore të ERE)</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_Toc183016472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44</w:t>
        </w:r>
        <w:r w:rsidR="008E7DE9" w:rsidRPr="00714F33">
          <w:rPr>
            <w:noProof/>
            <w:webHidden/>
            <w:sz w:val="20"/>
            <w:szCs w:val="20"/>
          </w:rPr>
          <w:fldChar w:fldCharType="end"/>
        </w:r>
      </w:hyperlink>
    </w:p>
    <w:p w14:paraId="3CDCCBEA" w14:textId="23B1AD54"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73" w:history="1">
        <w:r w:rsidR="008E7DE9" w:rsidRPr="00714F33">
          <w:rPr>
            <w:rStyle w:val="Hyperlink"/>
            <w:noProof/>
            <w:sz w:val="20"/>
            <w:szCs w:val="20"/>
          </w:rPr>
          <w:t>Tabela 9: Sasitë e rezervave të naftës bruto dhe nënprodukteve të saj për vitin 2023 (Burimi: Ministria e Infrastrukturës dhe Energjisë)</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_Toc183016473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51</w:t>
        </w:r>
        <w:r w:rsidR="008E7DE9" w:rsidRPr="00714F33">
          <w:rPr>
            <w:noProof/>
            <w:webHidden/>
            <w:sz w:val="20"/>
            <w:szCs w:val="20"/>
          </w:rPr>
          <w:fldChar w:fldCharType="end"/>
        </w:r>
      </w:hyperlink>
    </w:p>
    <w:p w14:paraId="7D8798D6" w14:textId="6782EBA8"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74" w:history="1">
        <w:r w:rsidR="008E7DE9" w:rsidRPr="00714F33">
          <w:rPr>
            <w:rStyle w:val="Hyperlink"/>
            <w:noProof/>
            <w:sz w:val="20"/>
            <w:szCs w:val="20"/>
          </w:rPr>
          <w:t>Tabela 10: Current energy policies related with the Dimension Internal Energy Market</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_Toc183016474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55</w:t>
        </w:r>
        <w:r w:rsidR="008E7DE9" w:rsidRPr="00714F33">
          <w:rPr>
            <w:noProof/>
            <w:webHidden/>
            <w:sz w:val="20"/>
            <w:szCs w:val="20"/>
          </w:rPr>
          <w:fldChar w:fldCharType="end"/>
        </w:r>
      </w:hyperlink>
    </w:p>
    <w:p w14:paraId="55FF38DC" w14:textId="0F98C589"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75" w:history="1">
        <w:r w:rsidR="008E7DE9" w:rsidRPr="00714F33">
          <w:rPr>
            <w:rStyle w:val="Hyperlink"/>
            <w:noProof/>
            <w:sz w:val="20"/>
            <w:szCs w:val="20"/>
          </w:rPr>
          <w:t>Tabela 11: Secondary legislation for current energy policies related with the Dimension Internal Energy Market</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_Toc183016475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58</w:t>
        </w:r>
        <w:r w:rsidR="008E7DE9" w:rsidRPr="00714F33">
          <w:rPr>
            <w:noProof/>
            <w:webHidden/>
            <w:sz w:val="20"/>
            <w:szCs w:val="20"/>
          </w:rPr>
          <w:fldChar w:fldCharType="end"/>
        </w:r>
      </w:hyperlink>
    </w:p>
    <w:p w14:paraId="3B353826" w14:textId="1DA1882E"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76" w:history="1">
        <w:r w:rsidR="008E7DE9" w:rsidRPr="00714F33">
          <w:rPr>
            <w:rStyle w:val="Hyperlink"/>
            <w:noProof/>
            <w:sz w:val="20"/>
            <w:szCs w:val="20"/>
          </w:rPr>
          <w:t>Tabela 12: Vlerësimi ndërdimensional i objektivave</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_Toc183016476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93</w:t>
        </w:r>
        <w:r w:rsidR="008E7DE9" w:rsidRPr="00714F33">
          <w:rPr>
            <w:noProof/>
            <w:webHidden/>
            <w:sz w:val="20"/>
            <w:szCs w:val="20"/>
          </w:rPr>
          <w:fldChar w:fldCharType="end"/>
        </w:r>
      </w:hyperlink>
    </w:p>
    <w:p w14:paraId="03B7D6AF" w14:textId="2DEFCB30"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77" w:history="1">
        <w:r w:rsidR="008E7DE9" w:rsidRPr="00714F33">
          <w:rPr>
            <w:rStyle w:val="Hyperlink"/>
            <w:noProof/>
            <w:sz w:val="20"/>
            <w:szCs w:val="20"/>
          </w:rPr>
          <w:t>Tabela 13: Krahasimi i objektivave të NECP (WAM 2030) me objektivat e EnC</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_Toc183016477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94</w:t>
        </w:r>
        <w:r w:rsidR="008E7DE9" w:rsidRPr="00714F33">
          <w:rPr>
            <w:noProof/>
            <w:webHidden/>
            <w:sz w:val="20"/>
            <w:szCs w:val="20"/>
          </w:rPr>
          <w:fldChar w:fldCharType="end"/>
        </w:r>
      </w:hyperlink>
    </w:p>
    <w:p w14:paraId="3EB3B8FD" w14:textId="1BEFD79E"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78" w:history="1">
        <w:r w:rsidR="008E7DE9" w:rsidRPr="00714F33">
          <w:rPr>
            <w:rStyle w:val="Hyperlink"/>
            <w:noProof/>
            <w:sz w:val="20"/>
            <w:szCs w:val="20"/>
          </w:rPr>
          <w:t>Tabela 14: Emetimet e GHG [kt CO2eq] siç janë parashikuar me masat ekzistuese dhe me masa shtesë për vitin 2030 për të gjithë ekonominë</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_Toc183016478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96</w:t>
        </w:r>
        <w:r w:rsidR="008E7DE9" w:rsidRPr="00714F33">
          <w:rPr>
            <w:noProof/>
            <w:webHidden/>
            <w:sz w:val="20"/>
            <w:szCs w:val="20"/>
          </w:rPr>
          <w:fldChar w:fldCharType="end"/>
        </w:r>
      </w:hyperlink>
    </w:p>
    <w:p w14:paraId="0FCC8B58" w14:textId="5BF4529A"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79" w:history="1">
        <w:r w:rsidR="008E7DE9" w:rsidRPr="00714F33">
          <w:rPr>
            <w:rStyle w:val="Hyperlink"/>
            <w:noProof/>
            <w:sz w:val="20"/>
            <w:szCs w:val="20"/>
          </w:rPr>
          <w:t>Tabela 15: Emetimet e GHG [kt CO2eq] siç janë parashikuar me masat ekzistuese dhe me masa shtesë për vitin 2030 për sektorët specifikë të kërkesës</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_Toc183016479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96</w:t>
        </w:r>
        <w:r w:rsidR="008E7DE9" w:rsidRPr="00714F33">
          <w:rPr>
            <w:noProof/>
            <w:webHidden/>
            <w:sz w:val="20"/>
            <w:szCs w:val="20"/>
          </w:rPr>
          <w:fldChar w:fldCharType="end"/>
        </w:r>
      </w:hyperlink>
    </w:p>
    <w:p w14:paraId="350A62BF" w14:textId="456A3FDC"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80" w:history="1">
        <w:r w:rsidR="008E7DE9" w:rsidRPr="00714F33">
          <w:rPr>
            <w:rStyle w:val="Hyperlink"/>
            <w:noProof/>
            <w:sz w:val="20"/>
            <w:szCs w:val="20"/>
          </w:rPr>
          <w:t>Tabela 16: Emetimet e GHG [kt CO2eq] siç janë parashikuar me masat ekzistuese dhe me masa shtesë për vitin 2030 për sektorët specifikë joenergjetikë</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_Toc183016480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96</w:t>
        </w:r>
        <w:r w:rsidR="008E7DE9" w:rsidRPr="00714F33">
          <w:rPr>
            <w:noProof/>
            <w:webHidden/>
            <w:sz w:val="20"/>
            <w:szCs w:val="20"/>
          </w:rPr>
          <w:fldChar w:fldCharType="end"/>
        </w:r>
      </w:hyperlink>
    </w:p>
    <w:p w14:paraId="6A7B0091" w14:textId="6BC321CC"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81" w:history="1">
        <w:r w:rsidR="008E7DE9" w:rsidRPr="00714F33">
          <w:rPr>
            <w:rStyle w:val="Hyperlink"/>
            <w:noProof/>
            <w:sz w:val="20"/>
            <w:szCs w:val="20"/>
          </w:rPr>
          <w:t>Tabela 17: Emetimet e GHG [kt CO2eq] siç janë parashikuar me masat ekzistuese dhe me masa shtesë për vitin 2050 për sektorët specifikë të kërkesës</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_Toc183016481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97</w:t>
        </w:r>
        <w:r w:rsidR="008E7DE9" w:rsidRPr="00714F33">
          <w:rPr>
            <w:noProof/>
            <w:webHidden/>
            <w:sz w:val="20"/>
            <w:szCs w:val="20"/>
          </w:rPr>
          <w:fldChar w:fldCharType="end"/>
        </w:r>
      </w:hyperlink>
    </w:p>
    <w:p w14:paraId="0BD1A9F3" w14:textId="0C9BE9B3"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82" w:history="1">
        <w:r w:rsidR="008E7DE9" w:rsidRPr="00714F33">
          <w:rPr>
            <w:rStyle w:val="Hyperlink"/>
            <w:noProof/>
            <w:sz w:val="20"/>
            <w:szCs w:val="20"/>
          </w:rPr>
          <w:t>Tabela 18: Emetimet e GHG [kt CO2eq] siç janë parashikuar me masat ekzistuese dhe me masa shtesë për vitin 2050 për sektorët specifikë joenergjetikë</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_Toc183016482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97</w:t>
        </w:r>
        <w:r w:rsidR="008E7DE9" w:rsidRPr="00714F33">
          <w:rPr>
            <w:noProof/>
            <w:webHidden/>
            <w:sz w:val="20"/>
            <w:szCs w:val="20"/>
          </w:rPr>
          <w:fldChar w:fldCharType="end"/>
        </w:r>
      </w:hyperlink>
    </w:p>
    <w:p w14:paraId="057178A4" w14:textId="54DA4833"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83" w:history="1">
        <w:r w:rsidR="008E7DE9" w:rsidRPr="00714F33">
          <w:rPr>
            <w:rStyle w:val="Hyperlink"/>
            <w:noProof/>
            <w:sz w:val="20"/>
            <w:szCs w:val="20"/>
          </w:rPr>
          <w:t>Tabela 19: Pjesa totale e burimeve të rinovueshme (%) në 2030 në TPES për skenarë të ndryshëm</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_Toc183016483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97</w:t>
        </w:r>
        <w:r w:rsidR="008E7DE9" w:rsidRPr="00714F33">
          <w:rPr>
            <w:noProof/>
            <w:webHidden/>
            <w:sz w:val="20"/>
            <w:szCs w:val="20"/>
          </w:rPr>
          <w:fldChar w:fldCharType="end"/>
        </w:r>
      </w:hyperlink>
    </w:p>
    <w:p w14:paraId="6D2DE93E" w14:textId="276593CC"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84" w:history="1">
        <w:r w:rsidR="008E7DE9" w:rsidRPr="00714F33">
          <w:rPr>
            <w:rStyle w:val="Hyperlink"/>
            <w:noProof/>
            <w:sz w:val="20"/>
            <w:szCs w:val="20"/>
          </w:rPr>
          <w:t>Tabela 20: Pjesëmarrja e burimeve të rinovueshme (%) në vitin 2030 në kërkesën për energji finale</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_Toc183016484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98</w:t>
        </w:r>
        <w:r w:rsidR="008E7DE9" w:rsidRPr="00714F33">
          <w:rPr>
            <w:noProof/>
            <w:webHidden/>
            <w:sz w:val="20"/>
            <w:szCs w:val="20"/>
          </w:rPr>
          <w:fldChar w:fldCharType="end"/>
        </w:r>
      </w:hyperlink>
    </w:p>
    <w:p w14:paraId="1559DC2C" w14:textId="4E22ED4F"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85" w:history="1">
        <w:r w:rsidR="008E7DE9" w:rsidRPr="00714F33">
          <w:rPr>
            <w:rStyle w:val="Hyperlink"/>
            <w:noProof/>
            <w:sz w:val="20"/>
            <w:szCs w:val="20"/>
          </w:rPr>
          <w:t>Tabela 21: Pjesa totale e burimeve të rinovueshme (%) në 2050 në TPES për skenarë të ndryshëm</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_Toc183016485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98</w:t>
        </w:r>
        <w:r w:rsidR="008E7DE9" w:rsidRPr="00714F33">
          <w:rPr>
            <w:noProof/>
            <w:webHidden/>
            <w:sz w:val="20"/>
            <w:szCs w:val="20"/>
          </w:rPr>
          <w:fldChar w:fldCharType="end"/>
        </w:r>
      </w:hyperlink>
    </w:p>
    <w:p w14:paraId="33604626" w14:textId="69EB41A1"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86" w:history="1">
        <w:r w:rsidR="008E7DE9" w:rsidRPr="00714F33">
          <w:rPr>
            <w:rStyle w:val="Hyperlink"/>
            <w:noProof/>
            <w:sz w:val="20"/>
            <w:szCs w:val="20"/>
          </w:rPr>
          <w:t>Tabela 22: Pjesëmarrja e burimeve të rinovueshme (%) në vitin 2050 në kërkesën për energji finale</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_Toc183016486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98</w:t>
        </w:r>
        <w:r w:rsidR="008E7DE9" w:rsidRPr="00714F33">
          <w:rPr>
            <w:noProof/>
            <w:webHidden/>
            <w:sz w:val="20"/>
            <w:szCs w:val="20"/>
          </w:rPr>
          <w:fldChar w:fldCharType="end"/>
        </w:r>
      </w:hyperlink>
    </w:p>
    <w:p w14:paraId="0F6FE232" w14:textId="508D2B20"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87" w:history="1">
        <w:r w:rsidR="008E7DE9" w:rsidRPr="00714F33">
          <w:rPr>
            <w:rStyle w:val="Hyperlink"/>
            <w:noProof/>
            <w:sz w:val="20"/>
            <w:szCs w:val="20"/>
          </w:rPr>
          <w:t>Tabela 23: Furnizimi me energji primare siç është parashikuar deri në vitin 2030 dhe 2050 për WEM dhe WAM</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_Toc183016487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99</w:t>
        </w:r>
        <w:r w:rsidR="008E7DE9" w:rsidRPr="00714F33">
          <w:rPr>
            <w:noProof/>
            <w:webHidden/>
            <w:sz w:val="20"/>
            <w:szCs w:val="20"/>
          </w:rPr>
          <w:fldChar w:fldCharType="end"/>
        </w:r>
      </w:hyperlink>
    </w:p>
    <w:p w14:paraId="52454917" w14:textId="72914404"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88" w:history="1">
        <w:r w:rsidR="008E7DE9" w:rsidRPr="00714F33">
          <w:rPr>
            <w:rStyle w:val="Hyperlink"/>
            <w:noProof/>
            <w:sz w:val="20"/>
            <w:szCs w:val="20"/>
          </w:rPr>
          <w:t>Tabela 24:  Konsumi final i energjisë siç është parashikuar me masat ekzistuese dhe shtesë për skenarë të ndryshëm</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_Toc183016488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99</w:t>
        </w:r>
        <w:r w:rsidR="008E7DE9" w:rsidRPr="00714F33">
          <w:rPr>
            <w:noProof/>
            <w:webHidden/>
            <w:sz w:val="20"/>
            <w:szCs w:val="20"/>
          </w:rPr>
          <w:fldChar w:fldCharType="end"/>
        </w:r>
      </w:hyperlink>
    </w:p>
    <w:p w14:paraId="4711E8A6" w14:textId="34E9461E"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89" w:history="1">
        <w:r w:rsidR="008E7DE9" w:rsidRPr="00714F33">
          <w:rPr>
            <w:rStyle w:val="Hyperlink"/>
            <w:noProof/>
            <w:sz w:val="20"/>
            <w:szCs w:val="20"/>
          </w:rPr>
          <w:t>Tabela 25: Tabelë përmbledhëse e politikave kyçe që ndikojnë në objektivin kombëtar klimatik deri në vitin 2030</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_Toc183016489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112</w:t>
        </w:r>
        <w:r w:rsidR="008E7DE9" w:rsidRPr="00714F33">
          <w:rPr>
            <w:noProof/>
            <w:webHidden/>
            <w:sz w:val="20"/>
            <w:szCs w:val="20"/>
          </w:rPr>
          <w:fldChar w:fldCharType="end"/>
        </w:r>
      </w:hyperlink>
    </w:p>
    <w:p w14:paraId="1516F45C" w14:textId="528145B8"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90" w:history="1">
        <w:r w:rsidR="008E7DE9" w:rsidRPr="00714F33">
          <w:rPr>
            <w:rStyle w:val="Hyperlink"/>
            <w:noProof/>
            <w:sz w:val="20"/>
            <w:szCs w:val="20"/>
          </w:rPr>
          <w:t>Tabela 26: Përkufizimi i llojeve të ndërtesave</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_Toc183016490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209</w:t>
        </w:r>
        <w:r w:rsidR="008E7DE9" w:rsidRPr="00714F33">
          <w:rPr>
            <w:noProof/>
            <w:webHidden/>
            <w:sz w:val="20"/>
            <w:szCs w:val="20"/>
          </w:rPr>
          <w:fldChar w:fldCharType="end"/>
        </w:r>
      </w:hyperlink>
    </w:p>
    <w:p w14:paraId="2CA92EE9" w14:textId="3284BD59"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91" w:history="1">
        <w:r w:rsidR="008E7DE9" w:rsidRPr="00714F33">
          <w:rPr>
            <w:rStyle w:val="Hyperlink"/>
            <w:noProof/>
            <w:sz w:val="20"/>
            <w:szCs w:val="20"/>
          </w:rPr>
          <w:t>Tabela 27: Gradë-ditët e ngrohjes dhe të ftohjes (temperatura bazë e HDD: 17,5°C, temperatura bazë e CDD 18,5°C)</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_Toc183016491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210</w:t>
        </w:r>
        <w:r w:rsidR="008E7DE9" w:rsidRPr="00714F33">
          <w:rPr>
            <w:noProof/>
            <w:webHidden/>
            <w:sz w:val="20"/>
            <w:szCs w:val="20"/>
          </w:rPr>
          <w:fldChar w:fldCharType="end"/>
        </w:r>
      </w:hyperlink>
    </w:p>
    <w:p w14:paraId="7179710A" w14:textId="6A4E6AAF"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92" w:history="1">
        <w:r w:rsidR="008E7DE9" w:rsidRPr="00714F33">
          <w:rPr>
            <w:rStyle w:val="Hyperlink"/>
            <w:noProof/>
            <w:sz w:val="20"/>
            <w:szCs w:val="20"/>
          </w:rPr>
          <w:t>Tabela 28: Përqindjet e llojit të teknologjive në transportin e udhëtarëve, sipas statistikave historike të automjeteve për vitet 2020-2023 dhe sipas parashikimit që merr në konsideratë masat ekzistuese deri në vitin 2050</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_Toc183016492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215</w:t>
        </w:r>
        <w:r w:rsidR="008E7DE9" w:rsidRPr="00714F33">
          <w:rPr>
            <w:noProof/>
            <w:webHidden/>
            <w:sz w:val="20"/>
            <w:szCs w:val="20"/>
          </w:rPr>
          <w:fldChar w:fldCharType="end"/>
        </w:r>
      </w:hyperlink>
    </w:p>
    <w:p w14:paraId="5AF28903" w14:textId="0F4799B0"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93" w:history="1">
        <w:r w:rsidR="008E7DE9" w:rsidRPr="00714F33">
          <w:rPr>
            <w:rStyle w:val="Hyperlink"/>
            <w:noProof/>
            <w:sz w:val="20"/>
            <w:szCs w:val="20"/>
          </w:rPr>
          <w:t>Tabela 29: Zbatimi në modelim i politikave dhe masave të renditura në kreun 3, që janë me rëndësi për skenarin me masat ekzistuese</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_Toc183016493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220</w:t>
        </w:r>
        <w:r w:rsidR="008E7DE9" w:rsidRPr="00714F33">
          <w:rPr>
            <w:noProof/>
            <w:webHidden/>
            <w:sz w:val="20"/>
            <w:szCs w:val="20"/>
          </w:rPr>
          <w:fldChar w:fldCharType="end"/>
        </w:r>
      </w:hyperlink>
    </w:p>
    <w:p w14:paraId="257F2603" w14:textId="3C37BD43"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94" w:history="1">
        <w:r w:rsidR="008E7DE9" w:rsidRPr="00714F33">
          <w:rPr>
            <w:rStyle w:val="Hyperlink"/>
            <w:noProof/>
            <w:sz w:val="20"/>
            <w:szCs w:val="20"/>
          </w:rPr>
          <w:t>Tabela 30: Kostot e prodhimit të energjisë elektrike sipas teknologjisë. Burimi: IEA Global Energy Outlook 2020, Analiza e kostove për energjinë hidrike nga agjencia IRENA. Kini parasysh se TEC-i merr për bazë një efiçencë të procesit prej 48,06%</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_Toc183016494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222</w:t>
        </w:r>
        <w:r w:rsidR="008E7DE9" w:rsidRPr="00714F33">
          <w:rPr>
            <w:noProof/>
            <w:webHidden/>
            <w:sz w:val="20"/>
            <w:szCs w:val="20"/>
          </w:rPr>
          <w:fldChar w:fldCharType="end"/>
        </w:r>
      </w:hyperlink>
    </w:p>
    <w:p w14:paraId="19E2067A" w14:textId="03A8F6BC"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95" w:history="1">
        <w:r w:rsidR="008E7DE9" w:rsidRPr="00714F33">
          <w:rPr>
            <w:rStyle w:val="Hyperlink"/>
            <w:noProof/>
            <w:sz w:val="20"/>
            <w:szCs w:val="20"/>
          </w:rPr>
          <w:t>Tabela 31: Shkarkimet e GES-ve (kt CO2eq) për degë të ndryshme të ekonomisë për periudhën (2020-2023) dhe sipas parashikimit me masat ekzistuese deri në vitin 2050.</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_Toc183016495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233</w:t>
        </w:r>
        <w:r w:rsidR="008E7DE9" w:rsidRPr="00714F33">
          <w:rPr>
            <w:noProof/>
            <w:webHidden/>
            <w:sz w:val="20"/>
            <w:szCs w:val="20"/>
          </w:rPr>
          <w:fldChar w:fldCharType="end"/>
        </w:r>
      </w:hyperlink>
    </w:p>
    <w:p w14:paraId="0F1F3171" w14:textId="03895BF5"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96" w:history="1">
        <w:r w:rsidR="008E7DE9" w:rsidRPr="00714F33">
          <w:rPr>
            <w:rStyle w:val="Hyperlink"/>
            <w:noProof/>
            <w:sz w:val="20"/>
            <w:szCs w:val="20"/>
          </w:rPr>
          <w:t>Tabela 32: Potenciali i ngrohjes globale të shkaktuar për 100 vite nga gazet e marra në konsideratë në analizë.</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_Toc183016496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234</w:t>
        </w:r>
        <w:r w:rsidR="008E7DE9" w:rsidRPr="00714F33">
          <w:rPr>
            <w:noProof/>
            <w:webHidden/>
            <w:sz w:val="20"/>
            <w:szCs w:val="20"/>
          </w:rPr>
          <w:fldChar w:fldCharType="end"/>
        </w:r>
      </w:hyperlink>
    </w:p>
    <w:p w14:paraId="3AB87B97" w14:textId="59C4D387"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97" w:history="1">
        <w:r w:rsidR="008E7DE9" w:rsidRPr="00714F33">
          <w:rPr>
            <w:rStyle w:val="Hyperlink"/>
            <w:noProof/>
            <w:sz w:val="20"/>
            <w:szCs w:val="20"/>
          </w:rPr>
          <w:t>Tabela 33: Vlerat absolute për disa lëndë djegëse në TFEP, të shprehura në ktoe, në veçanti ato të marra në konsideratë për përqindjen e burimeve të rinovueshme në TFEP</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_Toc183016497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235</w:t>
        </w:r>
        <w:r w:rsidR="008E7DE9" w:rsidRPr="00714F33">
          <w:rPr>
            <w:noProof/>
            <w:webHidden/>
            <w:sz w:val="20"/>
            <w:szCs w:val="20"/>
          </w:rPr>
          <w:fldChar w:fldCharType="end"/>
        </w:r>
      </w:hyperlink>
    </w:p>
    <w:p w14:paraId="526A2AE4" w14:textId="7BCC3CAD"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98" w:history="1">
        <w:r w:rsidR="008E7DE9" w:rsidRPr="00714F33">
          <w:rPr>
            <w:rStyle w:val="Hyperlink"/>
            <w:noProof/>
            <w:sz w:val="20"/>
            <w:szCs w:val="20"/>
          </w:rPr>
          <w:t>Tabela 34: Përqindjet në TFEP për lëndët djegëse të marra në konsideratë në përqindjen e burimeve të rinovueshme në TFEP.</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_Toc183016498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236</w:t>
        </w:r>
        <w:r w:rsidR="008E7DE9" w:rsidRPr="00714F33">
          <w:rPr>
            <w:noProof/>
            <w:webHidden/>
            <w:sz w:val="20"/>
            <w:szCs w:val="20"/>
          </w:rPr>
          <w:fldChar w:fldCharType="end"/>
        </w:r>
      </w:hyperlink>
    </w:p>
    <w:p w14:paraId="4DFC6144" w14:textId="74668A7B"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499" w:history="1">
        <w:r w:rsidR="008E7DE9" w:rsidRPr="00714F33">
          <w:rPr>
            <w:rStyle w:val="Hyperlink"/>
            <w:noProof/>
            <w:sz w:val="20"/>
            <w:szCs w:val="20"/>
          </w:rPr>
          <w:t>Tabela 35: Përqindjet e BRE-ve në kërkesën finale për energji, të përllogaritura sipas RED (Direktiva 2009/28/KE) për periudhën kohore 2016-2022 dhe parashikimet deri në vitin 2050 me masat ekzistuese</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_Toc183016499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237</w:t>
        </w:r>
        <w:r w:rsidR="008E7DE9" w:rsidRPr="00714F33">
          <w:rPr>
            <w:noProof/>
            <w:webHidden/>
            <w:sz w:val="20"/>
            <w:szCs w:val="20"/>
          </w:rPr>
          <w:fldChar w:fldCharType="end"/>
        </w:r>
      </w:hyperlink>
    </w:p>
    <w:p w14:paraId="662C51E1" w14:textId="12C4151A"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00" w:history="1">
        <w:r w:rsidR="008E7DE9" w:rsidRPr="00714F33">
          <w:rPr>
            <w:rStyle w:val="Hyperlink"/>
            <w:noProof/>
            <w:sz w:val="20"/>
            <w:szCs w:val="20"/>
          </w:rPr>
          <w:t>Tabela 36: Përqindja e BRE-E (përqindja e burimeve të rinovueshme në prodhimin e energjisë elektrike) të përllogaritura sipas RED (Direktiva 2009/28/KE) për periudhën kohore 2016-2023 dhe parashikimet deri në vitin 2050 me masat ekzistuese</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_Toc183016500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237</w:t>
        </w:r>
        <w:r w:rsidR="008E7DE9" w:rsidRPr="00714F33">
          <w:rPr>
            <w:noProof/>
            <w:webHidden/>
            <w:sz w:val="20"/>
            <w:szCs w:val="20"/>
          </w:rPr>
          <w:fldChar w:fldCharType="end"/>
        </w:r>
      </w:hyperlink>
    </w:p>
    <w:p w14:paraId="4D4E1F52" w14:textId="3A24B9C7"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01" w:history="1">
        <w:r w:rsidR="008E7DE9" w:rsidRPr="00714F33">
          <w:rPr>
            <w:rStyle w:val="Hyperlink"/>
            <w:noProof/>
            <w:sz w:val="20"/>
            <w:szCs w:val="20"/>
          </w:rPr>
          <w:t>Tabela 37:  Përqindjet e burimeve të energjisë në sektorin e transportit për periudhën kohore 2020-2023 dhe sipas parashikimeve deri në vitin 2050 me masat ekzistuese</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_Toc183016501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238</w:t>
        </w:r>
        <w:r w:rsidR="008E7DE9" w:rsidRPr="00714F33">
          <w:rPr>
            <w:noProof/>
            <w:webHidden/>
            <w:sz w:val="20"/>
            <w:szCs w:val="20"/>
          </w:rPr>
          <w:fldChar w:fldCharType="end"/>
        </w:r>
      </w:hyperlink>
    </w:p>
    <w:p w14:paraId="49146CEC" w14:textId="4042467E"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02" w:history="1">
        <w:r w:rsidR="008E7DE9" w:rsidRPr="00714F33">
          <w:rPr>
            <w:rStyle w:val="Hyperlink"/>
            <w:noProof/>
            <w:sz w:val="20"/>
            <w:szCs w:val="20"/>
          </w:rPr>
          <w:t>Tabela 38: Përqindja e energjisë nga lënda drusore dhe burimet diellore në kërkesën finale për energji të sektorëve që shfrytëzojnë këto burime. Vini re se përqindjet këtu nuk janë të njëjta me përqindjen e BRE-N &amp; F, pasi kjo e fundit nuk është në raport me ener</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_Toc183016502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239</w:t>
        </w:r>
        <w:r w:rsidR="008E7DE9" w:rsidRPr="00714F33">
          <w:rPr>
            <w:noProof/>
            <w:webHidden/>
            <w:sz w:val="20"/>
            <w:szCs w:val="20"/>
          </w:rPr>
          <w:fldChar w:fldCharType="end"/>
        </w:r>
      </w:hyperlink>
    </w:p>
    <w:p w14:paraId="2FA3754C" w14:textId="7BDF50B3"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03" w:history="1">
        <w:r w:rsidR="008E7DE9" w:rsidRPr="00714F33">
          <w:rPr>
            <w:rStyle w:val="Hyperlink"/>
            <w:noProof/>
            <w:sz w:val="20"/>
            <w:szCs w:val="20"/>
          </w:rPr>
          <w:t>Tabela 39: Furnizimi me energji primare (në ktoe) për periudhën kohore 2020-2023 dhe sipas parashikimit deri në vitin 2050 me masat ekzistuese. Vlerat negative tregojnë eksportet.</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_Toc183016503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242</w:t>
        </w:r>
        <w:r w:rsidR="008E7DE9" w:rsidRPr="00714F33">
          <w:rPr>
            <w:noProof/>
            <w:webHidden/>
            <w:sz w:val="20"/>
            <w:szCs w:val="20"/>
          </w:rPr>
          <w:fldChar w:fldCharType="end"/>
        </w:r>
      </w:hyperlink>
    </w:p>
    <w:p w14:paraId="2CD7BD1A" w14:textId="2E9B18F8"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04" w:history="1">
        <w:r w:rsidR="008E7DE9" w:rsidRPr="00714F33">
          <w:rPr>
            <w:rStyle w:val="Hyperlink"/>
            <w:noProof/>
            <w:sz w:val="20"/>
            <w:szCs w:val="20"/>
          </w:rPr>
          <w:t>Tabela 40: Kërkesa finale për energji për periudhën kohore 2020-2023 dhe sipas parashikimeve deri në vitin 2030 dhe për vitet 2040 dhe 2050, me masat ekzistuese</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_Toc183016504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243</w:t>
        </w:r>
        <w:r w:rsidR="008E7DE9" w:rsidRPr="00714F33">
          <w:rPr>
            <w:noProof/>
            <w:webHidden/>
            <w:sz w:val="20"/>
            <w:szCs w:val="20"/>
          </w:rPr>
          <w:fldChar w:fldCharType="end"/>
        </w:r>
      </w:hyperlink>
    </w:p>
    <w:p w14:paraId="6B7E55C6" w14:textId="06078C4C"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05" w:history="1">
        <w:r w:rsidR="008E7DE9" w:rsidRPr="00714F33">
          <w:rPr>
            <w:rStyle w:val="Hyperlink"/>
            <w:noProof/>
            <w:sz w:val="20"/>
            <w:szCs w:val="20"/>
          </w:rPr>
          <w:t>Tabela 41: Përqindjet e kërkesës finale për energji në sektorët me kërkesë energjie për periudhën kohore 2020-2023 dhe sipas parashikimit deri në vitin 2050 me masat ekzistuese.</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_Toc183016505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243</w:t>
        </w:r>
        <w:r w:rsidR="008E7DE9" w:rsidRPr="00714F33">
          <w:rPr>
            <w:noProof/>
            <w:webHidden/>
            <w:sz w:val="20"/>
            <w:szCs w:val="20"/>
          </w:rPr>
          <w:fldChar w:fldCharType="end"/>
        </w:r>
      </w:hyperlink>
    </w:p>
    <w:p w14:paraId="68AD8A22" w14:textId="210C9F02"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06" w:history="1">
        <w:r w:rsidR="008E7DE9" w:rsidRPr="00714F33">
          <w:rPr>
            <w:rStyle w:val="Hyperlink"/>
            <w:noProof/>
            <w:sz w:val="20"/>
            <w:szCs w:val="20"/>
          </w:rPr>
          <w:t>Tabela 42: Konsumi final i energjisë (ktoe) për sektorë dhe nënsektorë të ndryshëm, sipas vlerave historike të periudhës 2020-2023 dhe sipas parashikimit me masat ekzistuese deri në vitin 2050</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_Toc183016506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253</w:t>
        </w:r>
        <w:r w:rsidR="008E7DE9" w:rsidRPr="00714F33">
          <w:rPr>
            <w:noProof/>
            <w:webHidden/>
            <w:sz w:val="20"/>
            <w:szCs w:val="20"/>
          </w:rPr>
          <w:fldChar w:fldCharType="end"/>
        </w:r>
      </w:hyperlink>
    </w:p>
    <w:p w14:paraId="64992845" w14:textId="1043B71E"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07" w:history="1">
        <w:r w:rsidR="008E7DE9" w:rsidRPr="00714F33">
          <w:rPr>
            <w:rStyle w:val="Hyperlink"/>
            <w:noProof/>
            <w:sz w:val="20"/>
            <w:szCs w:val="20"/>
          </w:rPr>
          <w:t>Tabela 43: Prodhimi, kërkesa dhe importet e energjisë elektrike për skenarin me masa ekzistuese.</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_Toc183016507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257</w:t>
        </w:r>
        <w:r w:rsidR="008E7DE9" w:rsidRPr="00714F33">
          <w:rPr>
            <w:noProof/>
            <w:webHidden/>
            <w:sz w:val="20"/>
            <w:szCs w:val="20"/>
          </w:rPr>
          <w:fldChar w:fldCharType="end"/>
        </w:r>
      </w:hyperlink>
    </w:p>
    <w:p w14:paraId="62AACAD0" w14:textId="558E931A"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08" w:history="1">
        <w:r w:rsidR="008E7DE9" w:rsidRPr="00714F33">
          <w:rPr>
            <w:rStyle w:val="Hyperlink"/>
            <w:noProof/>
            <w:sz w:val="20"/>
            <w:szCs w:val="20"/>
          </w:rPr>
          <w:t>Tabela 44: Interkonektorët ekzistues ndërkufitarë. Burimi: (Energy Community Secretariat 2021)</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_Toc183016508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259</w:t>
        </w:r>
        <w:r w:rsidR="008E7DE9" w:rsidRPr="00714F33">
          <w:rPr>
            <w:noProof/>
            <w:webHidden/>
            <w:sz w:val="20"/>
            <w:szCs w:val="20"/>
          </w:rPr>
          <w:fldChar w:fldCharType="end"/>
        </w:r>
      </w:hyperlink>
    </w:p>
    <w:p w14:paraId="4D336F0B" w14:textId="56E71172"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09" w:history="1">
        <w:r w:rsidR="008E7DE9" w:rsidRPr="00714F33">
          <w:rPr>
            <w:rStyle w:val="Hyperlink"/>
            <w:noProof/>
            <w:sz w:val="20"/>
            <w:szCs w:val="20"/>
          </w:rPr>
          <w:t>Tabela 45: Niveli i interkoneksionit sipas përllogaritjeve për skenarin me masa ekzistuese</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_Toc183016509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261</w:t>
        </w:r>
        <w:r w:rsidR="008E7DE9" w:rsidRPr="00714F33">
          <w:rPr>
            <w:noProof/>
            <w:webHidden/>
            <w:sz w:val="20"/>
            <w:szCs w:val="20"/>
          </w:rPr>
          <w:fldChar w:fldCharType="end"/>
        </w:r>
      </w:hyperlink>
    </w:p>
    <w:p w14:paraId="4937DEE6" w14:textId="0FD6A531"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10" w:history="1">
        <w:r w:rsidR="008E7DE9" w:rsidRPr="00714F33">
          <w:rPr>
            <w:rStyle w:val="Hyperlink"/>
            <w:noProof/>
            <w:sz w:val="20"/>
            <w:szCs w:val="20"/>
          </w:rPr>
          <w:t>Tabela 46: Projektet ekzistuese dhe të planifikuara të rrjetit të transmetimit. Burimi: OST 2018</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_Toc183016510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264</w:t>
        </w:r>
        <w:r w:rsidR="008E7DE9" w:rsidRPr="00714F33">
          <w:rPr>
            <w:noProof/>
            <w:webHidden/>
            <w:sz w:val="20"/>
            <w:szCs w:val="20"/>
          </w:rPr>
          <w:fldChar w:fldCharType="end"/>
        </w:r>
      </w:hyperlink>
    </w:p>
    <w:p w14:paraId="7F6EF897" w14:textId="22CD036D"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11" w:history="1">
        <w:r w:rsidR="008E7DE9" w:rsidRPr="00714F33">
          <w:rPr>
            <w:rStyle w:val="Hyperlink"/>
            <w:noProof/>
            <w:sz w:val="20"/>
            <w:szCs w:val="20"/>
          </w:rPr>
          <w:t>Tabela 47: Komponentët e çmimit të energjisë për çmimet mesatare të energjisë elektrike</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_Toc183016511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266</w:t>
        </w:r>
        <w:r w:rsidR="008E7DE9" w:rsidRPr="00714F33">
          <w:rPr>
            <w:noProof/>
            <w:webHidden/>
            <w:sz w:val="20"/>
            <w:szCs w:val="20"/>
          </w:rPr>
          <w:fldChar w:fldCharType="end"/>
        </w:r>
      </w:hyperlink>
    </w:p>
    <w:p w14:paraId="5F43AD4B" w14:textId="6C91B4BD"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12" w:history="1">
        <w:r w:rsidR="008E7DE9" w:rsidRPr="00714F33">
          <w:rPr>
            <w:rStyle w:val="Hyperlink"/>
            <w:noProof/>
            <w:sz w:val="20"/>
            <w:szCs w:val="20"/>
          </w:rPr>
          <w:t>Tabela 48: Komponentët e çmimit të energjisë për energjinë elektrike gjatë pikut të kërkesës</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_Toc183016512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266</w:t>
        </w:r>
        <w:r w:rsidR="008E7DE9" w:rsidRPr="00714F33">
          <w:rPr>
            <w:noProof/>
            <w:webHidden/>
            <w:sz w:val="20"/>
            <w:szCs w:val="20"/>
          </w:rPr>
          <w:fldChar w:fldCharType="end"/>
        </w:r>
      </w:hyperlink>
    </w:p>
    <w:p w14:paraId="425BFA93" w14:textId="3A498E09"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13" w:history="1">
        <w:r w:rsidR="008E7DE9" w:rsidRPr="00714F33">
          <w:rPr>
            <w:rStyle w:val="Hyperlink"/>
            <w:noProof/>
            <w:sz w:val="20"/>
            <w:szCs w:val="20"/>
          </w:rPr>
          <w:t>Tabela 49: Tarifat e miratuara nga ERE, Enti Rregullator i Energjisë</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_Toc183016513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267</w:t>
        </w:r>
        <w:r w:rsidR="008E7DE9" w:rsidRPr="00714F33">
          <w:rPr>
            <w:noProof/>
            <w:webHidden/>
            <w:sz w:val="20"/>
            <w:szCs w:val="20"/>
          </w:rPr>
          <w:fldChar w:fldCharType="end"/>
        </w:r>
      </w:hyperlink>
    </w:p>
    <w:p w14:paraId="5DA8BB8F" w14:textId="26BB5A05"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14" w:history="1">
        <w:r w:rsidR="008E7DE9" w:rsidRPr="00714F33">
          <w:rPr>
            <w:rStyle w:val="Hyperlink"/>
            <w:noProof/>
            <w:sz w:val="20"/>
            <w:szCs w:val="20"/>
          </w:rPr>
          <w:t>Tabela 50: Shkarkimet e GES-ve (kt CO2eq) për ekonominë në tërësi në skenarët WEM dhe WAM.</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_Toc183016514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270</w:t>
        </w:r>
        <w:r w:rsidR="008E7DE9" w:rsidRPr="00714F33">
          <w:rPr>
            <w:noProof/>
            <w:webHidden/>
            <w:sz w:val="20"/>
            <w:szCs w:val="20"/>
          </w:rPr>
          <w:fldChar w:fldCharType="end"/>
        </w:r>
      </w:hyperlink>
    </w:p>
    <w:p w14:paraId="2D3034D7" w14:textId="5E943994"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15" w:history="1">
        <w:r w:rsidR="008E7DE9" w:rsidRPr="00714F33">
          <w:rPr>
            <w:rStyle w:val="Hyperlink"/>
            <w:noProof/>
            <w:sz w:val="20"/>
            <w:szCs w:val="20"/>
          </w:rPr>
          <w:t>Tabela 51: Shkarkimet e GES-ve (kt CO2eq) për degë të ndryshme të ekonomisë, të konstatuara për periudhën kohore (2020-2023) dhe sipas parashikimit me masat shtesë deri në vitin 2050.</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_Toc183016515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284</w:t>
        </w:r>
        <w:r w:rsidR="008E7DE9" w:rsidRPr="00714F33">
          <w:rPr>
            <w:noProof/>
            <w:webHidden/>
            <w:sz w:val="20"/>
            <w:szCs w:val="20"/>
          </w:rPr>
          <w:fldChar w:fldCharType="end"/>
        </w:r>
      </w:hyperlink>
    </w:p>
    <w:p w14:paraId="2D67F86B" w14:textId="6603F91D"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16" w:history="1">
        <w:r w:rsidR="008E7DE9" w:rsidRPr="00714F33">
          <w:rPr>
            <w:rStyle w:val="Hyperlink"/>
            <w:noProof/>
            <w:sz w:val="20"/>
            <w:szCs w:val="20"/>
          </w:rPr>
          <w:t>Tabela 52: Vlerat absolute të burimeve të rinovueshme të energjisë dhe vlerat totale të furnizimit me energji primare për skenarë të ndryshëm</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_Toc183016516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286</w:t>
        </w:r>
        <w:r w:rsidR="008E7DE9" w:rsidRPr="00714F33">
          <w:rPr>
            <w:noProof/>
            <w:webHidden/>
            <w:sz w:val="20"/>
            <w:szCs w:val="20"/>
          </w:rPr>
          <w:fldChar w:fldCharType="end"/>
        </w:r>
      </w:hyperlink>
    </w:p>
    <w:p w14:paraId="08B1F252" w14:textId="0B335F50"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17" w:history="1">
        <w:r w:rsidR="008E7DE9" w:rsidRPr="00714F33">
          <w:rPr>
            <w:rStyle w:val="Hyperlink"/>
            <w:noProof/>
            <w:sz w:val="20"/>
            <w:szCs w:val="20"/>
          </w:rPr>
          <w:t>Tabela 53: Përqindjet e burimeve të rinovueshme të energjisë në TFEP dhe përqindja totale e energjisë së rinovueshme për skenarë të ndryshëm</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_Toc183016517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287</w:t>
        </w:r>
        <w:r w:rsidR="008E7DE9" w:rsidRPr="00714F33">
          <w:rPr>
            <w:noProof/>
            <w:webHidden/>
            <w:sz w:val="20"/>
            <w:szCs w:val="20"/>
          </w:rPr>
          <w:fldChar w:fldCharType="end"/>
        </w:r>
      </w:hyperlink>
    </w:p>
    <w:p w14:paraId="2DA9F846" w14:textId="5AD6196A"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18" w:history="1">
        <w:r w:rsidR="008E7DE9" w:rsidRPr="00714F33">
          <w:rPr>
            <w:rStyle w:val="Hyperlink"/>
            <w:noProof/>
            <w:sz w:val="20"/>
            <w:szCs w:val="20"/>
          </w:rPr>
          <w:t>Tabela 54: Përqindjet e BRE-ve në kërkesën finale për energji, të përllogaritura sipas RED (Direktivës 2009/28/KE) për periudhën kohore 2020-2023 dhe sipas parashikimeve deri në vitin 2050 me masa shtesë (rreshtat e sipërm) dhe me masat ekzistuese</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_Toc183016518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289</w:t>
        </w:r>
        <w:r w:rsidR="008E7DE9" w:rsidRPr="00714F33">
          <w:rPr>
            <w:noProof/>
            <w:webHidden/>
            <w:sz w:val="20"/>
            <w:szCs w:val="20"/>
          </w:rPr>
          <w:fldChar w:fldCharType="end"/>
        </w:r>
      </w:hyperlink>
    </w:p>
    <w:p w14:paraId="6CA67004" w14:textId="3E7083A5"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19" w:history="1">
        <w:r w:rsidR="008E7DE9" w:rsidRPr="00714F33">
          <w:rPr>
            <w:rStyle w:val="Hyperlink"/>
            <w:noProof/>
            <w:sz w:val="20"/>
            <w:szCs w:val="20"/>
          </w:rPr>
          <w:t>Tabela 55: Kapacitetet e prodhimit të energjisë [MW] të shtuara në sistem sipas skenarit WAM.</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_Toc183016519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293</w:t>
        </w:r>
        <w:r w:rsidR="008E7DE9" w:rsidRPr="00714F33">
          <w:rPr>
            <w:noProof/>
            <w:webHidden/>
            <w:sz w:val="20"/>
            <w:szCs w:val="20"/>
          </w:rPr>
          <w:fldChar w:fldCharType="end"/>
        </w:r>
      </w:hyperlink>
    </w:p>
    <w:p w14:paraId="48243A72" w14:textId="60F51D51"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20" w:history="1">
        <w:r w:rsidR="008E7DE9" w:rsidRPr="00714F33">
          <w:rPr>
            <w:rStyle w:val="Hyperlink"/>
            <w:noProof/>
            <w:sz w:val="20"/>
            <w:szCs w:val="20"/>
          </w:rPr>
          <w:t>Tabela 56: Kapacitetet e prodhimit të energjisë [MW] të shtuara në sistem sipas skenarit WEM.</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_Toc183016520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295</w:t>
        </w:r>
        <w:r w:rsidR="008E7DE9" w:rsidRPr="00714F33">
          <w:rPr>
            <w:noProof/>
            <w:webHidden/>
            <w:sz w:val="20"/>
            <w:szCs w:val="20"/>
          </w:rPr>
          <w:fldChar w:fldCharType="end"/>
        </w:r>
      </w:hyperlink>
    </w:p>
    <w:p w14:paraId="30E2FDF5" w14:textId="77F1DE41"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21" w:history="1">
        <w:r w:rsidR="008E7DE9" w:rsidRPr="00714F33">
          <w:rPr>
            <w:rStyle w:val="Hyperlink"/>
            <w:noProof/>
            <w:sz w:val="20"/>
            <w:szCs w:val="20"/>
          </w:rPr>
          <w:t>Tabela 57: Përqindjet e burimeve të energjisë në sektorin e transportit për periudhën kohore 2020-2023 dhe sipas parashikimeve deri në vitin 2050 me masa shtesë</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_Toc183016521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295</w:t>
        </w:r>
        <w:r w:rsidR="008E7DE9" w:rsidRPr="00714F33">
          <w:rPr>
            <w:noProof/>
            <w:webHidden/>
            <w:sz w:val="20"/>
            <w:szCs w:val="20"/>
          </w:rPr>
          <w:fldChar w:fldCharType="end"/>
        </w:r>
      </w:hyperlink>
    </w:p>
    <w:p w14:paraId="0F3571FB" w14:textId="2750E5B5"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22" w:history="1">
        <w:r w:rsidR="008E7DE9" w:rsidRPr="00714F33">
          <w:rPr>
            <w:rStyle w:val="Hyperlink"/>
            <w:noProof/>
            <w:sz w:val="20"/>
            <w:szCs w:val="20"/>
          </w:rPr>
          <w:t>Tabela 58: Përqindja e energjisë nga lënda drusore dhe burimet diellore në kërkesën finale për energji të sektorëve që shfrytëzojnë këto burime, sipas parashikimit për skenarin WAM. Vini re se përqindjet këtu nuk janë të njëjta me përqindjen e BRE-N &amp; F, pasi kjo e fundit nuk është në raport me energjinë finale, por me energjinë finale të ndryshme nga energjia elektrike.</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_Toc183016522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296</w:t>
        </w:r>
        <w:r w:rsidR="008E7DE9" w:rsidRPr="00714F33">
          <w:rPr>
            <w:noProof/>
            <w:webHidden/>
            <w:sz w:val="20"/>
            <w:szCs w:val="20"/>
          </w:rPr>
          <w:fldChar w:fldCharType="end"/>
        </w:r>
      </w:hyperlink>
    </w:p>
    <w:p w14:paraId="106252B9" w14:textId="2807B190"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23" w:history="1">
        <w:r w:rsidR="008E7DE9" w:rsidRPr="00714F33">
          <w:rPr>
            <w:rStyle w:val="Hyperlink"/>
            <w:noProof/>
            <w:sz w:val="20"/>
            <w:szCs w:val="20"/>
          </w:rPr>
          <w:t>Tabela 59: Furnizimi me energji primare [ktoe] në skenarët WAM dhe WEM</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_Toc183016523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297</w:t>
        </w:r>
        <w:r w:rsidR="008E7DE9" w:rsidRPr="00714F33">
          <w:rPr>
            <w:noProof/>
            <w:webHidden/>
            <w:sz w:val="20"/>
            <w:szCs w:val="20"/>
          </w:rPr>
          <w:fldChar w:fldCharType="end"/>
        </w:r>
      </w:hyperlink>
    </w:p>
    <w:p w14:paraId="270C40F3" w14:textId="56559529"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24" w:history="1">
        <w:r w:rsidR="008E7DE9" w:rsidRPr="00714F33">
          <w:rPr>
            <w:rStyle w:val="Hyperlink"/>
            <w:noProof/>
            <w:sz w:val="20"/>
            <w:szCs w:val="20"/>
          </w:rPr>
          <w:t>Tabela 60: Furnizimi me energji primare për periudhën kohore 2020-2023 dhe sipas parashikimeve deri në vitin 2030 dhe për vitet 2040 e 2050, për skenarin WAM. Vlerat negative tregojnë eksportet.</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_Toc183016524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300</w:t>
        </w:r>
        <w:r w:rsidR="008E7DE9" w:rsidRPr="00714F33">
          <w:rPr>
            <w:noProof/>
            <w:webHidden/>
            <w:sz w:val="20"/>
            <w:szCs w:val="20"/>
          </w:rPr>
          <w:fldChar w:fldCharType="end"/>
        </w:r>
      </w:hyperlink>
    </w:p>
    <w:p w14:paraId="1C247788" w14:textId="4E4430CE"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25" w:history="1">
        <w:r w:rsidR="008E7DE9" w:rsidRPr="00714F33">
          <w:rPr>
            <w:rStyle w:val="Hyperlink"/>
            <w:noProof/>
            <w:sz w:val="20"/>
            <w:szCs w:val="20"/>
          </w:rPr>
          <w:t>Tabela 61: Konsumi final i energjisë (ktoe) për sektorët me kërkesë për energji në skenarët WEM dhe WAM</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_Toc183016525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301</w:t>
        </w:r>
        <w:r w:rsidR="008E7DE9" w:rsidRPr="00714F33">
          <w:rPr>
            <w:noProof/>
            <w:webHidden/>
            <w:sz w:val="20"/>
            <w:szCs w:val="20"/>
          </w:rPr>
          <w:fldChar w:fldCharType="end"/>
        </w:r>
      </w:hyperlink>
    </w:p>
    <w:p w14:paraId="3E0A5A4C" w14:textId="22AF2B3A"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26" w:history="1">
        <w:r w:rsidR="008E7DE9" w:rsidRPr="00714F33">
          <w:rPr>
            <w:rStyle w:val="Hyperlink"/>
            <w:noProof/>
            <w:sz w:val="20"/>
            <w:szCs w:val="20"/>
          </w:rPr>
          <w:t>Tabela 62: Përqindjet e kërkesës finale për energji për sektorët me kërkesë energjie për periudhën kohore 2020-2023 dhe sipas parashikimeve deri në vitin 2030 dhe për vitet 2040 dhe 2050, me masat shtesë</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_Toc183016526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302</w:t>
        </w:r>
        <w:r w:rsidR="008E7DE9" w:rsidRPr="00714F33">
          <w:rPr>
            <w:noProof/>
            <w:webHidden/>
            <w:sz w:val="20"/>
            <w:szCs w:val="20"/>
          </w:rPr>
          <w:fldChar w:fldCharType="end"/>
        </w:r>
      </w:hyperlink>
    </w:p>
    <w:p w14:paraId="2E36F0CC" w14:textId="27146055"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27" w:history="1">
        <w:r w:rsidR="008E7DE9" w:rsidRPr="00714F33">
          <w:rPr>
            <w:rStyle w:val="Hyperlink"/>
            <w:noProof/>
            <w:sz w:val="20"/>
            <w:szCs w:val="20"/>
          </w:rPr>
          <w:t>Tabela 63: Konsumi final i energjisë (ktoe) për sektorë dhe nënsektorë të ndryshëm, sipas vlerave historike të periudhës 2020-2023 dhe sipas parashikimit me masat shtesë deri në vitin 2050</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_Toc183016527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313</w:t>
        </w:r>
        <w:r w:rsidR="008E7DE9" w:rsidRPr="00714F33">
          <w:rPr>
            <w:noProof/>
            <w:webHidden/>
            <w:sz w:val="20"/>
            <w:szCs w:val="20"/>
          </w:rPr>
          <w:fldChar w:fldCharType="end"/>
        </w:r>
      </w:hyperlink>
    </w:p>
    <w:p w14:paraId="0CC09E20" w14:textId="3A2D1EF0"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28" w:history="1">
        <w:r w:rsidR="008E7DE9" w:rsidRPr="00714F33">
          <w:rPr>
            <w:rStyle w:val="Hyperlink"/>
            <w:noProof/>
            <w:sz w:val="20"/>
            <w:szCs w:val="20"/>
          </w:rPr>
          <w:t>Tabela 64: Reduktimet e shkarkimeve të GES-ve në kt CO2eq për PM-të e përzgjedhura që janë objekt i skenarit WAM.</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_Toc183016528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319</w:t>
        </w:r>
        <w:r w:rsidR="008E7DE9" w:rsidRPr="00714F33">
          <w:rPr>
            <w:noProof/>
            <w:webHidden/>
            <w:sz w:val="20"/>
            <w:szCs w:val="20"/>
          </w:rPr>
          <w:fldChar w:fldCharType="end"/>
        </w:r>
      </w:hyperlink>
    </w:p>
    <w:p w14:paraId="547EE733" w14:textId="38360183"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29" w:history="1">
        <w:r w:rsidR="008E7DE9" w:rsidRPr="00714F33">
          <w:rPr>
            <w:rStyle w:val="Hyperlink"/>
            <w:noProof/>
            <w:sz w:val="20"/>
            <w:szCs w:val="20"/>
          </w:rPr>
          <w:t>Tabela 65: Vlerësimi cilësor i ndikimeve joenergjetike të disa PM-ve të caktuara, të marra në konsideratë në skenarin WAM</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_Toc183016529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322</w:t>
        </w:r>
        <w:r w:rsidR="008E7DE9" w:rsidRPr="00714F33">
          <w:rPr>
            <w:noProof/>
            <w:webHidden/>
            <w:sz w:val="20"/>
            <w:szCs w:val="20"/>
          </w:rPr>
          <w:fldChar w:fldCharType="end"/>
        </w:r>
      </w:hyperlink>
    </w:p>
    <w:p w14:paraId="23786480" w14:textId="637EFCDA" w:rsidR="008E7DE9" w:rsidRPr="00714F33" w:rsidRDefault="008A279C">
      <w:pPr>
        <w:pStyle w:val="TableofFigures"/>
        <w:tabs>
          <w:tab w:val="right" w:leader="dot" w:pos="9062"/>
        </w:tabs>
        <w:rPr>
          <w:rFonts w:eastAsiaTheme="minorEastAsia"/>
          <w:noProof/>
          <w:kern w:val="2"/>
          <w:sz w:val="20"/>
          <w:szCs w:val="20"/>
          <w14:ligatures w14:val="standardContextual"/>
        </w:rPr>
      </w:pPr>
      <w:hyperlink w:anchor="_Toc183016530" w:history="1">
        <w:r w:rsidR="008E7DE9" w:rsidRPr="00714F33">
          <w:rPr>
            <w:rStyle w:val="Hyperlink"/>
            <w:noProof/>
            <w:sz w:val="20"/>
            <w:szCs w:val="20"/>
          </w:rPr>
          <w:t>Tabela 66: Përmbledhje e investimeve të parashikuara</w:t>
        </w:r>
        <w:r w:rsidR="008E7DE9" w:rsidRPr="00714F33">
          <w:rPr>
            <w:noProof/>
            <w:webHidden/>
            <w:sz w:val="20"/>
            <w:szCs w:val="20"/>
          </w:rPr>
          <w:tab/>
        </w:r>
        <w:r w:rsidR="008E7DE9" w:rsidRPr="00714F33">
          <w:rPr>
            <w:noProof/>
            <w:webHidden/>
            <w:sz w:val="20"/>
            <w:szCs w:val="20"/>
          </w:rPr>
          <w:fldChar w:fldCharType="begin"/>
        </w:r>
        <w:r w:rsidR="008E7DE9" w:rsidRPr="00714F33">
          <w:rPr>
            <w:noProof/>
            <w:webHidden/>
            <w:sz w:val="20"/>
            <w:szCs w:val="20"/>
          </w:rPr>
          <w:instrText xml:space="preserve"> PAGEREF _Toc183016530 \h </w:instrText>
        </w:r>
        <w:r w:rsidR="008E7DE9" w:rsidRPr="00714F33">
          <w:rPr>
            <w:noProof/>
            <w:webHidden/>
            <w:sz w:val="20"/>
            <w:szCs w:val="20"/>
          </w:rPr>
        </w:r>
        <w:r w:rsidR="008E7DE9" w:rsidRPr="00714F33">
          <w:rPr>
            <w:noProof/>
            <w:webHidden/>
            <w:sz w:val="20"/>
            <w:szCs w:val="20"/>
          </w:rPr>
          <w:fldChar w:fldCharType="separate"/>
        </w:r>
        <w:r w:rsidR="008E7DE9" w:rsidRPr="00714F33">
          <w:rPr>
            <w:noProof/>
            <w:webHidden/>
            <w:sz w:val="20"/>
            <w:szCs w:val="20"/>
          </w:rPr>
          <w:t>330</w:t>
        </w:r>
        <w:r w:rsidR="008E7DE9" w:rsidRPr="00714F33">
          <w:rPr>
            <w:noProof/>
            <w:webHidden/>
            <w:sz w:val="20"/>
            <w:szCs w:val="20"/>
          </w:rPr>
          <w:fldChar w:fldCharType="end"/>
        </w:r>
      </w:hyperlink>
    </w:p>
    <w:p w14:paraId="65ADC08F" w14:textId="5CB4353A" w:rsidR="001438D2" w:rsidRPr="00714F33" w:rsidRDefault="006112AE" w:rsidP="00EF0D31">
      <w:pPr>
        <w:pStyle w:val="CommentText"/>
        <w:ind w:left="1440" w:hanging="1440"/>
      </w:pPr>
      <w:r w:rsidRPr="00714F33">
        <w:fldChar w:fldCharType="end"/>
      </w:r>
    </w:p>
    <w:p w14:paraId="34056508" w14:textId="77777777" w:rsidR="008A7B19" w:rsidRPr="00714F33" w:rsidRDefault="008A7B19" w:rsidP="00EF0D31">
      <w:pPr>
        <w:pStyle w:val="CommentText"/>
        <w:ind w:left="1440" w:hanging="1440"/>
      </w:pPr>
    </w:p>
    <w:p w14:paraId="347CF2B0" w14:textId="77777777" w:rsidR="008A7B19" w:rsidRPr="00714F33" w:rsidRDefault="008A7B19" w:rsidP="00EF0D31">
      <w:pPr>
        <w:pStyle w:val="CommentText"/>
        <w:ind w:left="1440" w:hanging="1440"/>
      </w:pPr>
    </w:p>
    <w:p w14:paraId="640388C6" w14:textId="77777777" w:rsidR="008A7B19" w:rsidRPr="00714F33" w:rsidRDefault="008A7B19" w:rsidP="00EF0D31">
      <w:pPr>
        <w:pStyle w:val="CommentText"/>
        <w:ind w:left="1440" w:hanging="1440"/>
      </w:pPr>
    </w:p>
    <w:p w14:paraId="2CABC619" w14:textId="77777777" w:rsidR="008A7B19" w:rsidRDefault="008A7B19" w:rsidP="00EF0D31">
      <w:pPr>
        <w:pStyle w:val="CommentText"/>
        <w:ind w:left="1440" w:hanging="1440"/>
      </w:pPr>
    </w:p>
    <w:p w14:paraId="5A50640A" w14:textId="77777777" w:rsidR="00714F33" w:rsidRDefault="00714F33" w:rsidP="00EF0D31">
      <w:pPr>
        <w:pStyle w:val="CommentText"/>
        <w:ind w:left="1440" w:hanging="1440"/>
      </w:pPr>
    </w:p>
    <w:p w14:paraId="6FA60AD1" w14:textId="77777777" w:rsidR="00714F33" w:rsidRDefault="00714F33" w:rsidP="00EF0D31">
      <w:pPr>
        <w:pStyle w:val="CommentText"/>
        <w:ind w:left="1440" w:hanging="1440"/>
      </w:pPr>
    </w:p>
    <w:p w14:paraId="402089E1" w14:textId="77777777" w:rsidR="00714F33" w:rsidRDefault="00714F33" w:rsidP="00EF0D31">
      <w:pPr>
        <w:pStyle w:val="CommentText"/>
        <w:ind w:left="1440" w:hanging="1440"/>
      </w:pPr>
    </w:p>
    <w:p w14:paraId="778F7C9A" w14:textId="77777777" w:rsidR="00714F33" w:rsidRDefault="00714F33" w:rsidP="00EF0D31">
      <w:pPr>
        <w:pStyle w:val="CommentText"/>
        <w:ind w:left="1440" w:hanging="1440"/>
      </w:pPr>
    </w:p>
    <w:p w14:paraId="23A50BA0" w14:textId="77777777" w:rsidR="00714F33" w:rsidRDefault="00714F33" w:rsidP="00EF0D31">
      <w:pPr>
        <w:pStyle w:val="CommentText"/>
        <w:ind w:left="1440" w:hanging="1440"/>
      </w:pPr>
    </w:p>
    <w:p w14:paraId="7831CF91" w14:textId="77777777" w:rsidR="00714F33" w:rsidRDefault="00714F33" w:rsidP="00EF0D31">
      <w:pPr>
        <w:pStyle w:val="CommentText"/>
        <w:ind w:left="1440" w:hanging="1440"/>
      </w:pPr>
    </w:p>
    <w:p w14:paraId="30FB2914" w14:textId="77777777" w:rsidR="00714F33" w:rsidRDefault="00714F33" w:rsidP="00EF0D31">
      <w:pPr>
        <w:pStyle w:val="CommentText"/>
        <w:ind w:left="1440" w:hanging="1440"/>
      </w:pPr>
    </w:p>
    <w:p w14:paraId="441EFC5E" w14:textId="77777777" w:rsidR="00714F33" w:rsidRDefault="00714F33" w:rsidP="00EF0D31">
      <w:pPr>
        <w:pStyle w:val="CommentText"/>
        <w:ind w:left="1440" w:hanging="1440"/>
      </w:pPr>
    </w:p>
    <w:p w14:paraId="544B4547" w14:textId="77777777" w:rsidR="00714F33" w:rsidRDefault="00714F33" w:rsidP="00EF0D31">
      <w:pPr>
        <w:pStyle w:val="CommentText"/>
        <w:ind w:left="1440" w:hanging="1440"/>
      </w:pPr>
    </w:p>
    <w:p w14:paraId="2EA407BA" w14:textId="77777777" w:rsidR="00714F33" w:rsidRDefault="00714F33" w:rsidP="00EF0D31">
      <w:pPr>
        <w:pStyle w:val="CommentText"/>
        <w:ind w:left="1440" w:hanging="1440"/>
      </w:pPr>
    </w:p>
    <w:p w14:paraId="73F39197" w14:textId="77777777" w:rsidR="00714F33" w:rsidRDefault="00714F33" w:rsidP="00EF0D31">
      <w:pPr>
        <w:pStyle w:val="CommentText"/>
        <w:ind w:left="1440" w:hanging="1440"/>
      </w:pPr>
    </w:p>
    <w:p w14:paraId="4CBA60FD" w14:textId="77777777" w:rsidR="00714F33" w:rsidRDefault="00714F33" w:rsidP="00EF0D31">
      <w:pPr>
        <w:pStyle w:val="CommentText"/>
        <w:ind w:left="1440" w:hanging="1440"/>
      </w:pPr>
    </w:p>
    <w:p w14:paraId="7CD5ED83" w14:textId="77777777" w:rsidR="00714F33" w:rsidRDefault="00714F33" w:rsidP="00EF0D31">
      <w:pPr>
        <w:pStyle w:val="CommentText"/>
        <w:ind w:left="1440" w:hanging="1440"/>
      </w:pPr>
    </w:p>
    <w:p w14:paraId="16379FC6" w14:textId="77777777" w:rsidR="00714F33" w:rsidRDefault="00714F33" w:rsidP="00EF0D31">
      <w:pPr>
        <w:pStyle w:val="CommentText"/>
        <w:ind w:left="1440" w:hanging="1440"/>
      </w:pPr>
    </w:p>
    <w:p w14:paraId="669B6219" w14:textId="77777777" w:rsidR="00714F33" w:rsidRPr="00714F33" w:rsidRDefault="00714F33" w:rsidP="00EF0D31">
      <w:pPr>
        <w:pStyle w:val="CommentText"/>
        <w:ind w:left="1440" w:hanging="1440"/>
      </w:pPr>
    </w:p>
    <w:p w14:paraId="2DE59DF8" w14:textId="77777777" w:rsidR="008A7B19" w:rsidRPr="00FF756A" w:rsidRDefault="008A7B19" w:rsidP="00EF0D31">
      <w:pPr>
        <w:pStyle w:val="CommentText"/>
        <w:ind w:left="1440" w:hanging="1440"/>
      </w:pPr>
    </w:p>
    <w:p w14:paraId="1C059E3B" w14:textId="3D2D8930" w:rsidR="00A91A18" w:rsidRPr="00FF756A" w:rsidRDefault="00A91A18" w:rsidP="00502BD1">
      <w:pPr>
        <w:pStyle w:val="Heading1"/>
        <w:numPr>
          <w:ilvl w:val="0"/>
          <w:numId w:val="0"/>
        </w:numPr>
      </w:pPr>
      <w:bookmarkStart w:id="4" w:name="_Toc183639163"/>
      <w:r w:rsidRPr="00FF756A">
        <w:lastRenderedPageBreak/>
        <w:t>Lista e figurave</w:t>
      </w:r>
      <w:bookmarkEnd w:id="4"/>
    </w:p>
    <w:p w14:paraId="35F649ED" w14:textId="77777777" w:rsidR="006112AE" w:rsidRPr="00FF756A" w:rsidRDefault="006112AE" w:rsidP="00EF0D31">
      <w:pPr>
        <w:pStyle w:val="CommentText"/>
        <w:ind w:left="1440" w:hanging="1440"/>
      </w:pPr>
    </w:p>
    <w:p w14:paraId="3AAAB9C7" w14:textId="7CAC7882" w:rsidR="00CC0777" w:rsidRPr="00FF756A" w:rsidRDefault="006112AE">
      <w:pPr>
        <w:pStyle w:val="TableofFigures"/>
        <w:tabs>
          <w:tab w:val="right" w:leader="dot" w:pos="9062"/>
        </w:tabs>
        <w:rPr>
          <w:rFonts w:eastAsiaTheme="minorEastAsia"/>
          <w:noProof/>
          <w:kern w:val="2"/>
          <w:sz w:val="24"/>
          <w:szCs w:val="24"/>
          <w14:ligatures w14:val="standardContextual"/>
        </w:rPr>
      </w:pPr>
      <w:r w:rsidRPr="00FF756A">
        <w:fldChar w:fldCharType="begin"/>
      </w:r>
      <w:r w:rsidRPr="00FF756A">
        <w:instrText xml:space="preserve"> TOC \h \z \c "Figura" </w:instrText>
      </w:r>
      <w:r w:rsidRPr="00FF756A">
        <w:fldChar w:fldCharType="separate"/>
      </w:r>
      <w:hyperlink w:anchor="_Toc183016531" w:history="1">
        <w:r w:rsidR="00CC0777" w:rsidRPr="00FF756A">
          <w:rPr>
            <w:rStyle w:val="Hyperlink"/>
            <w:noProof/>
          </w:rPr>
          <w:t>Figura 1: Prodhimi i energjisë elektrike (Burimi: Raportet vjetore të ERE: Raporte Vjetore (ere.gov.al)</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_Toc183016531 \h </w:instrText>
        </w:r>
        <w:r w:rsidR="00CC0777" w:rsidRPr="00FF756A">
          <w:rPr>
            <w:noProof/>
            <w:webHidden/>
          </w:rPr>
        </w:r>
        <w:r w:rsidR="00CC0777" w:rsidRPr="00FF756A">
          <w:rPr>
            <w:noProof/>
            <w:webHidden/>
          </w:rPr>
          <w:fldChar w:fldCharType="separate"/>
        </w:r>
        <w:r w:rsidR="00CC0777" w:rsidRPr="00FF756A">
          <w:rPr>
            <w:noProof/>
            <w:webHidden/>
          </w:rPr>
          <w:t>21</w:t>
        </w:r>
        <w:r w:rsidR="00CC0777" w:rsidRPr="00FF756A">
          <w:rPr>
            <w:noProof/>
            <w:webHidden/>
          </w:rPr>
          <w:fldChar w:fldCharType="end"/>
        </w:r>
      </w:hyperlink>
    </w:p>
    <w:p w14:paraId="6F1FB084" w14:textId="5A7BE71B"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33" w:history="1">
        <w:r w:rsidR="00CC0777" w:rsidRPr="00FF756A">
          <w:rPr>
            <w:rStyle w:val="Hyperlink"/>
            <w:noProof/>
          </w:rPr>
          <w:t>Figura 3: Përmbledhje e konsumit të energjisë elektrike në vit (Burimi: Raportet vjetore të ERE: Raporte Vjetore (ere.gov.al)</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_Toc183016533 \h </w:instrText>
        </w:r>
        <w:r w:rsidR="00CC0777" w:rsidRPr="00FF756A">
          <w:rPr>
            <w:noProof/>
            <w:webHidden/>
          </w:rPr>
        </w:r>
        <w:r w:rsidR="00CC0777" w:rsidRPr="00FF756A">
          <w:rPr>
            <w:noProof/>
            <w:webHidden/>
          </w:rPr>
          <w:fldChar w:fldCharType="separate"/>
        </w:r>
        <w:r w:rsidR="00CC0777" w:rsidRPr="00FF756A">
          <w:rPr>
            <w:noProof/>
            <w:webHidden/>
          </w:rPr>
          <w:t>23</w:t>
        </w:r>
        <w:r w:rsidR="00CC0777" w:rsidRPr="00FF756A">
          <w:rPr>
            <w:noProof/>
            <w:webHidden/>
          </w:rPr>
          <w:fldChar w:fldCharType="end"/>
        </w:r>
      </w:hyperlink>
    </w:p>
    <w:p w14:paraId="2DC3BC81" w14:textId="37278462"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34" w:history="1">
        <w:r w:rsidR="00CC0777" w:rsidRPr="00FF756A">
          <w:rPr>
            <w:rStyle w:val="Hyperlink"/>
            <w:noProof/>
          </w:rPr>
          <w:t>Figura 4: Konsumi i brendshëm bruto (ktoe)(Burimi: Bilanci Kombëtar i Energjisë)</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_Toc183016534 \h </w:instrText>
        </w:r>
        <w:r w:rsidR="00CC0777" w:rsidRPr="00FF756A">
          <w:rPr>
            <w:noProof/>
            <w:webHidden/>
          </w:rPr>
        </w:r>
        <w:r w:rsidR="00CC0777" w:rsidRPr="00FF756A">
          <w:rPr>
            <w:noProof/>
            <w:webHidden/>
          </w:rPr>
          <w:fldChar w:fldCharType="separate"/>
        </w:r>
        <w:r w:rsidR="00CC0777" w:rsidRPr="00FF756A">
          <w:rPr>
            <w:noProof/>
            <w:webHidden/>
          </w:rPr>
          <w:t>26</w:t>
        </w:r>
        <w:r w:rsidR="00CC0777" w:rsidRPr="00FF756A">
          <w:rPr>
            <w:noProof/>
            <w:webHidden/>
          </w:rPr>
          <w:fldChar w:fldCharType="end"/>
        </w:r>
      </w:hyperlink>
    </w:p>
    <w:p w14:paraId="492360C7" w14:textId="0A0B2E55"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35" w:history="1">
        <w:r w:rsidR="00CC0777" w:rsidRPr="00FF756A">
          <w:rPr>
            <w:rStyle w:val="Hyperlink"/>
            <w:noProof/>
          </w:rPr>
          <w:t>Figura 5: Importet në raport me konsumin e brendshëm bruto për vitet 2004-2023, shprehur në % (Burimi: Bilanci Kombëtar i Energjisë)</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_Toc183016535 \h </w:instrText>
        </w:r>
        <w:r w:rsidR="00CC0777" w:rsidRPr="00FF756A">
          <w:rPr>
            <w:noProof/>
            <w:webHidden/>
          </w:rPr>
        </w:r>
        <w:r w:rsidR="00CC0777" w:rsidRPr="00FF756A">
          <w:rPr>
            <w:noProof/>
            <w:webHidden/>
          </w:rPr>
          <w:fldChar w:fldCharType="separate"/>
        </w:r>
        <w:r w:rsidR="00CC0777" w:rsidRPr="00FF756A">
          <w:rPr>
            <w:noProof/>
            <w:webHidden/>
          </w:rPr>
          <w:t>27</w:t>
        </w:r>
        <w:r w:rsidR="00CC0777" w:rsidRPr="00FF756A">
          <w:rPr>
            <w:noProof/>
            <w:webHidden/>
          </w:rPr>
          <w:fldChar w:fldCharType="end"/>
        </w:r>
      </w:hyperlink>
    </w:p>
    <w:p w14:paraId="6D4489CF" w14:textId="444C7C42"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36" w:history="1">
        <w:r w:rsidR="00CC0777" w:rsidRPr="00FF756A">
          <w:rPr>
            <w:rStyle w:val="Hyperlink"/>
            <w:noProof/>
          </w:rPr>
          <w:t>Figura 6: Konsumi final i energjisë sipas sektorëve (ktoe) (Burimi: Bilanci Kombëtar i Energjisë)</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_Toc183016536 \h </w:instrText>
        </w:r>
        <w:r w:rsidR="00CC0777" w:rsidRPr="00FF756A">
          <w:rPr>
            <w:noProof/>
            <w:webHidden/>
          </w:rPr>
        </w:r>
        <w:r w:rsidR="00CC0777" w:rsidRPr="00FF756A">
          <w:rPr>
            <w:noProof/>
            <w:webHidden/>
          </w:rPr>
          <w:fldChar w:fldCharType="separate"/>
        </w:r>
        <w:r w:rsidR="00CC0777" w:rsidRPr="00FF756A">
          <w:rPr>
            <w:noProof/>
            <w:webHidden/>
          </w:rPr>
          <w:t>27</w:t>
        </w:r>
        <w:r w:rsidR="00CC0777" w:rsidRPr="00FF756A">
          <w:rPr>
            <w:noProof/>
            <w:webHidden/>
          </w:rPr>
          <w:fldChar w:fldCharType="end"/>
        </w:r>
      </w:hyperlink>
    </w:p>
    <w:p w14:paraId="7967AA08" w14:textId="49CB289B"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37" w:history="1">
        <w:r w:rsidR="00CC0777" w:rsidRPr="00FF756A">
          <w:rPr>
            <w:rStyle w:val="Hyperlink"/>
            <w:noProof/>
          </w:rPr>
          <w:t>Figura 7: Konsumi final i energjisë për vitin 2023 sipas lëndës djegëse dhe sektorëve (Burimi: Bilanci Kombëtar i Energjisë)</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_Toc183016537 \h </w:instrText>
        </w:r>
        <w:r w:rsidR="00CC0777" w:rsidRPr="00FF756A">
          <w:rPr>
            <w:noProof/>
            <w:webHidden/>
          </w:rPr>
        </w:r>
        <w:r w:rsidR="00CC0777" w:rsidRPr="00FF756A">
          <w:rPr>
            <w:noProof/>
            <w:webHidden/>
          </w:rPr>
          <w:fldChar w:fldCharType="separate"/>
        </w:r>
        <w:r w:rsidR="00CC0777" w:rsidRPr="00FF756A">
          <w:rPr>
            <w:noProof/>
            <w:webHidden/>
          </w:rPr>
          <w:t>28</w:t>
        </w:r>
        <w:r w:rsidR="00CC0777" w:rsidRPr="00FF756A">
          <w:rPr>
            <w:noProof/>
            <w:webHidden/>
          </w:rPr>
          <w:fldChar w:fldCharType="end"/>
        </w:r>
      </w:hyperlink>
    </w:p>
    <w:p w14:paraId="18F2DB09" w14:textId="6182BBA7"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38" w:history="1">
        <w:r w:rsidR="00CC0777" w:rsidRPr="00FF756A">
          <w:rPr>
            <w:rStyle w:val="Hyperlink"/>
            <w:noProof/>
          </w:rPr>
          <w:t>Figura 8: Humbjet në transmetim dhe në shpërndarje në raport me energjinë elektrike të transmetuar dhe të shpërndarë në rrjete (Burimi: raportet vjetore të ERE)</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_Toc183016538 \h </w:instrText>
        </w:r>
        <w:r w:rsidR="00CC0777" w:rsidRPr="00FF756A">
          <w:rPr>
            <w:noProof/>
            <w:webHidden/>
          </w:rPr>
        </w:r>
        <w:r w:rsidR="00CC0777" w:rsidRPr="00FF756A">
          <w:rPr>
            <w:noProof/>
            <w:webHidden/>
          </w:rPr>
          <w:fldChar w:fldCharType="separate"/>
        </w:r>
        <w:r w:rsidR="00CC0777" w:rsidRPr="00FF756A">
          <w:rPr>
            <w:noProof/>
            <w:webHidden/>
          </w:rPr>
          <w:t>28</w:t>
        </w:r>
        <w:r w:rsidR="00CC0777" w:rsidRPr="00FF756A">
          <w:rPr>
            <w:noProof/>
            <w:webHidden/>
          </w:rPr>
          <w:fldChar w:fldCharType="end"/>
        </w:r>
      </w:hyperlink>
    </w:p>
    <w:p w14:paraId="37C9B1ED" w14:textId="000A31AB"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39" w:history="1">
        <w:r w:rsidR="00CC0777" w:rsidRPr="00FF756A">
          <w:rPr>
            <w:rStyle w:val="Hyperlink"/>
            <w:noProof/>
          </w:rPr>
          <w:t>Figura 9: Intensiteti i energjisë (Burimi: Strategjia Kombëtare e Energjisë)</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_Toc183016539 \h </w:instrText>
        </w:r>
        <w:r w:rsidR="00CC0777" w:rsidRPr="00FF756A">
          <w:rPr>
            <w:noProof/>
            <w:webHidden/>
          </w:rPr>
        </w:r>
        <w:r w:rsidR="00CC0777" w:rsidRPr="00FF756A">
          <w:rPr>
            <w:noProof/>
            <w:webHidden/>
          </w:rPr>
          <w:fldChar w:fldCharType="separate"/>
        </w:r>
        <w:r w:rsidR="00CC0777" w:rsidRPr="00FF756A">
          <w:rPr>
            <w:noProof/>
            <w:webHidden/>
          </w:rPr>
          <w:t>29</w:t>
        </w:r>
        <w:r w:rsidR="00CC0777" w:rsidRPr="00FF756A">
          <w:rPr>
            <w:noProof/>
            <w:webHidden/>
          </w:rPr>
          <w:fldChar w:fldCharType="end"/>
        </w:r>
      </w:hyperlink>
    </w:p>
    <w:p w14:paraId="4FBB99C7" w14:textId="47CC6EA0"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40" w:history="1">
        <w:r w:rsidR="00CC0777" w:rsidRPr="00FF756A">
          <w:rPr>
            <w:rStyle w:val="Hyperlink"/>
            <w:noProof/>
          </w:rPr>
          <w:t>Figura 10: Organigrama e institucioneve qeveritare të përfshira në hartimin dhe zbatimin e PKEK-së</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_Toc183016540 \h </w:instrText>
        </w:r>
        <w:r w:rsidR="00CC0777" w:rsidRPr="00FF756A">
          <w:rPr>
            <w:noProof/>
            <w:webHidden/>
          </w:rPr>
        </w:r>
        <w:r w:rsidR="00CC0777" w:rsidRPr="00FF756A">
          <w:rPr>
            <w:noProof/>
            <w:webHidden/>
          </w:rPr>
          <w:fldChar w:fldCharType="separate"/>
        </w:r>
        <w:r w:rsidR="00CC0777" w:rsidRPr="00FF756A">
          <w:rPr>
            <w:noProof/>
            <w:webHidden/>
          </w:rPr>
          <w:t>33</w:t>
        </w:r>
        <w:r w:rsidR="00CC0777" w:rsidRPr="00FF756A">
          <w:rPr>
            <w:noProof/>
            <w:webHidden/>
          </w:rPr>
          <w:fldChar w:fldCharType="end"/>
        </w:r>
      </w:hyperlink>
    </w:p>
    <w:p w14:paraId="6B074879" w14:textId="5AB12965"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41" w:history="1">
        <w:r w:rsidR="00CC0777" w:rsidRPr="00FF756A">
          <w:rPr>
            <w:rStyle w:val="Hyperlink"/>
            <w:noProof/>
          </w:rPr>
          <w:t>Figura 11: Shkalla e përgjithshme e zbatimit në Shqipëri për vitin 2023 (Burimi: Energy-community.org Statusi 2023)</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_Toc183016541 \h </w:instrText>
        </w:r>
        <w:r w:rsidR="00CC0777" w:rsidRPr="00FF756A">
          <w:rPr>
            <w:noProof/>
            <w:webHidden/>
          </w:rPr>
        </w:r>
        <w:r w:rsidR="00CC0777" w:rsidRPr="00FF756A">
          <w:rPr>
            <w:noProof/>
            <w:webHidden/>
          </w:rPr>
          <w:fldChar w:fldCharType="separate"/>
        </w:r>
        <w:r w:rsidR="00CC0777" w:rsidRPr="00FF756A">
          <w:rPr>
            <w:noProof/>
            <w:webHidden/>
          </w:rPr>
          <w:t>55</w:t>
        </w:r>
        <w:r w:rsidR="00CC0777" w:rsidRPr="00FF756A">
          <w:rPr>
            <w:noProof/>
            <w:webHidden/>
          </w:rPr>
          <w:fldChar w:fldCharType="end"/>
        </w:r>
      </w:hyperlink>
    </w:p>
    <w:p w14:paraId="11743A5A" w14:textId="016DE495"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42" w:history="1">
        <w:r w:rsidR="00CC0777" w:rsidRPr="00FF756A">
          <w:rPr>
            <w:rStyle w:val="Hyperlink"/>
            <w:noProof/>
          </w:rPr>
          <w:t>Figura 12: Shkalla e zbatimit për sigurinë e furnizimit (Burimi: Energy-community.org Statusi 2023)</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_Toc183016542 \h </w:instrText>
        </w:r>
        <w:r w:rsidR="00CC0777" w:rsidRPr="00FF756A">
          <w:rPr>
            <w:noProof/>
            <w:webHidden/>
          </w:rPr>
        </w:r>
        <w:r w:rsidR="00CC0777" w:rsidRPr="00FF756A">
          <w:rPr>
            <w:noProof/>
            <w:webHidden/>
          </w:rPr>
          <w:fldChar w:fldCharType="separate"/>
        </w:r>
        <w:r w:rsidR="00CC0777" w:rsidRPr="00FF756A">
          <w:rPr>
            <w:noProof/>
            <w:webHidden/>
          </w:rPr>
          <w:t>56</w:t>
        </w:r>
        <w:r w:rsidR="00CC0777" w:rsidRPr="00FF756A">
          <w:rPr>
            <w:noProof/>
            <w:webHidden/>
          </w:rPr>
          <w:fldChar w:fldCharType="end"/>
        </w:r>
      </w:hyperlink>
    </w:p>
    <w:p w14:paraId="32EF53DB" w14:textId="295CA2AD"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43" w:history="1">
        <w:r w:rsidR="00CC0777" w:rsidRPr="00FF756A">
          <w:rPr>
            <w:rStyle w:val="Hyperlink"/>
            <w:noProof/>
          </w:rPr>
          <w:t>Figura 13: Skema e tregut shqiptar të energjisë elektrike (Burimi: Sekretariati i Komunitetit të Energjisë)</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_Toc183016543 \h </w:instrText>
        </w:r>
        <w:r w:rsidR="00CC0777" w:rsidRPr="00FF756A">
          <w:rPr>
            <w:noProof/>
            <w:webHidden/>
          </w:rPr>
        </w:r>
        <w:r w:rsidR="00CC0777" w:rsidRPr="00FF756A">
          <w:rPr>
            <w:noProof/>
            <w:webHidden/>
          </w:rPr>
          <w:fldChar w:fldCharType="separate"/>
        </w:r>
        <w:r w:rsidR="00CC0777" w:rsidRPr="00FF756A">
          <w:rPr>
            <w:noProof/>
            <w:webHidden/>
          </w:rPr>
          <w:t>65</w:t>
        </w:r>
        <w:r w:rsidR="00CC0777" w:rsidRPr="00FF756A">
          <w:rPr>
            <w:noProof/>
            <w:webHidden/>
          </w:rPr>
          <w:fldChar w:fldCharType="end"/>
        </w:r>
      </w:hyperlink>
    </w:p>
    <w:p w14:paraId="2270C523" w14:textId="21A5A858"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44" w:history="1">
        <w:r w:rsidR="00CC0777" w:rsidRPr="00FF756A">
          <w:rPr>
            <w:rStyle w:val="Hyperlink"/>
            <w:noProof/>
          </w:rPr>
          <w:t>Figura 14:  Zbatimi sipas treguesve të tregut të energjisë elektrike (Burimi: Energy-community.org Statusi 2023)</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_Toc183016544 \h </w:instrText>
        </w:r>
        <w:r w:rsidR="00CC0777" w:rsidRPr="00FF756A">
          <w:rPr>
            <w:noProof/>
            <w:webHidden/>
          </w:rPr>
        </w:r>
        <w:r w:rsidR="00CC0777" w:rsidRPr="00FF756A">
          <w:rPr>
            <w:noProof/>
            <w:webHidden/>
          </w:rPr>
          <w:fldChar w:fldCharType="separate"/>
        </w:r>
        <w:r w:rsidR="00CC0777" w:rsidRPr="00FF756A">
          <w:rPr>
            <w:noProof/>
            <w:webHidden/>
          </w:rPr>
          <w:t>67</w:t>
        </w:r>
        <w:r w:rsidR="00CC0777" w:rsidRPr="00FF756A">
          <w:rPr>
            <w:noProof/>
            <w:webHidden/>
          </w:rPr>
          <w:fldChar w:fldCharType="end"/>
        </w:r>
      </w:hyperlink>
    </w:p>
    <w:p w14:paraId="5B479B9E" w14:textId="0A1E64FA"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45" w:history="1">
        <w:r w:rsidR="00CC0777" w:rsidRPr="00FF756A">
          <w:rPr>
            <w:rStyle w:val="Hyperlink"/>
            <w:noProof/>
          </w:rPr>
          <w:t>Figura 15: Hapja e tregut të pakicës (Burimi: Ministria e Infrastrukturës dhe Energjisë)</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_Toc183016545 \h </w:instrText>
        </w:r>
        <w:r w:rsidR="00CC0777" w:rsidRPr="00FF756A">
          <w:rPr>
            <w:noProof/>
            <w:webHidden/>
          </w:rPr>
        </w:r>
        <w:r w:rsidR="00CC0777" w:rsidRPr="00FF756A">
          <w:rPr>
            <w:noProof/>
            <w:webHidden/>
          </w:rPr>
          <w:fldChar w:fldCharType="separate"/>
        </w:r>
        <w:r w:rsidR="00CC0777" w:rsidRPr="00FF756A">
          <w:rPr>
            <w:noProof/>
            <w:webHidden/>
          </w:rPr>
          <w:t>68</w:t>
        </w:r>
        <w:r w:rsidR="00CC0777" w:rsidRPr="00FF756A">
          <w:rPr>
            <w:noProof/>
            <w:webHidden/>
          </w:rPr>
          <w:fldChar w:fldCharType="end"/>
        </w:r>
      </w:hyperlink>
    </w:p>
    <w:p w14:paraId="6529D64F" w14:textId="2914F456"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46" w:history="1">
        <w:r w:rsidR="00CC0777" w:rsidRPr="00FF756A">
          <w:rPr>
            <w:rStyle w:val="Hyperlink"/>
            <w:noProof/>
          </w:rPr>
          <w:t>Figura 16: Zbatimi sipas treguesve të tregut të gazit (Burimi: Energy-community.org Statusi 2023)</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_Toc183016546 \h </w:instrText>
        </w:r>
        <w:r w:rsidR="00CC0777" w:rsidRPr="00FF756A">
          <w:rPr>
            <w:noProof/>
            <w:webHidden/>
          </w:rPr>
        </w:r>
        <w:r w:rsidR="00CC0777" w:rsidRPr="00FF756A">
          <w:rPr>
            <w:noProof/>
            <w:webHidden/>
          </w:rPr>
          <w:fldChar w:fldCharType="separate"/>
        </w:r>
        <w:r w:rsidR="00CC0777" w:rsidRPr="00FF756A">
          <w:rPr>
            <w:noProof/>
            <w:webHidden/>
          </w:rPr>
          <w:t>73</w:t>
        </w:r>
        <w:r w:rsidR="00CC0777" w:rsidRPr="00FF756A">
          <w:rPr>
            <w:noProof/>
            <w:webHidden/>
          </w:rPr>
          <w:fldChar w:fldCharType="end"/>
        </w:r>
      </w:hyperlink>
    </w:p>
    <w:p w14:paraId="110F93B5" w14:textId="5F6F634C"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47" w:history="1">
        <w:r w:rsidR="00CC0777" w:rsidRPr="00FF756A">
          <w:rPr>
            <w:rStyle w:val="Hyperlink"/>
            <w:noProof/>
          </w:rPr>
          <w:t>Figura 17: Skema e rrjetit të transmetimit në Shqipëri</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_Toc183016547 \h </w:instrText>
        </w:r>
        <w:r w:rsidR="00CC0777" w:rsidRPr="00FF756A">
          <w:rPr>
            <w:noProof/>
            <w:webHidden/>
          </w:rPr>
        </w:r>
        <w:r w:rsidR="00CC0777" w:rsidRPr="00FF756A">
          <w:rPr>
            <w:noProof/>
            <w:webHidden/>
          </w:rPr>
          <w:fldChar w:fldCharType="separate"/>
        </w:r>
        <w:r w:rsidR="00CC0777" w:rsidRPr="00FF756A">
          <w:rPr>
            <w:noProof/>
            <w:webHidden/>
          </w:rPr>
          <w:t>76</w:t>
        </w:r>
        <w:r w:rsidR="00CC0777" w:rsidRPr="00FF756A">
          <w:rPr>
            <w:noProof/>
            <w:webHidden/>
          </w:rPr>
          <w:fldChar w:fldCharType="end"/>
        </w:r>
      </w:hyperlink>
    </w:p>
    <w:p w14:paraId="1DA235A9" w14:textId="533BD8D0"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48" w:history="1">
        <w:r w:rsidR="00CC0777" w:rsidRPr="00FF756A">
          <w:rPr>
            <w:rStyle w:val="Hyperlink"/>
            <w:noProof/>
          </w:rPr>
          <w:t>Figura 18: Përfshirja e ekspertëve përmes grupeve të punës dhe angazhimi i grupeve të jashtme të interesit</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_Toc183016548 \h </w:instrText>
        </w:r>
        <w:r w:rsidR="00CC0777" w:rsidRPr="00FF756A">
          <w:rPr>
            <w:noProof/>
            <w:webHidden/>
          </w:rPr>
        </w:r>
        <w:r w:rsidR="00CC0777" w:rsidRPr="00FF756A">
          <w:rPr>
            <w:noProof/>
            <w:webHidden/>
          </w:rPr>
          <w:fldChar w:fldCharType="separate"/>
        </w:r>
        <w:r w:rsidR="00CC0777" w:rsidRPr="00FF756A">
          <w:rPr>
            <w:noProof/>
            <w:webHidden/>
          </w:rPr>
          <w:t>93</w:t>
        </w:r>
        <w:r w:rsidR="00CC0777" w:rsidRPr="00FF756A">
          <w:rPr>
            <w:noProof/>
            <w:webHidden/>
          </w:rPr>
          <w:fldChar w:fldCharType="end"/>
        </w:r>
      </w:hyperlink>
    </w:p>
    <w:p w14:paraId="72F162FE" w14:textId="5E06FA41"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49" w:history="1">
        <w:r w:rsidR="00CC0777" w:rsidRPr="00FF756A">
          <w:rPr>
            <w:rStyle w:val="Hyperlink"/>
            <w:noProof/>
          </w:rPr>
          <w:t xml:space="preserve">Figura 19: Zhvillimi real i PBB-së për vitet 2012 </w:t>
        </w:r>
        <w:r w:rsidR="00DF469A">
          <w:rPr>
            <w:rStyle w:val="Hyperlink"/>
            <w:noProof/>
          </w:rPr>
          <w:t>–</w:t>
        </w:r>
        <w:r w:rsidR="00CC0777" w:rsidRPr="00FF756A">
          <w:rPr>
            <w:rStyle w:val="Hyperlink"/>
            <w:noProof/>
          </w:rPr>
          <w:t xml:space="preserve">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_Toc183016549 \h </w:instrText>
        </w:r>
        <w:r w:rsidR="00CC0777" w:rsidRPr="00FF756A">
          <w:rPr>
            <w:noProof/>
            <w:webHidden/>
          </w:rPr>
        </w:r>
        <w:r w:rsidR="00CC0777" w:rsidRPr="00FF756A">
          <w:rPr>
            <w:noProof/>
            <w:webHidden/>
          </w:rPr>
          <w:fldChar w:fldCharType="separate"/>
        </w:r>
        <w:r w:rsidR="00CC0777" w:rsidRPr="00FF756A">
          <w:rPr>
            <w:noProof/>
            <w:webHidden/>
          </w:rPr>
          <w:t>213</w:t>
        </w:r>
        <w:r w:rsidR="00CC0777" w:rsidRPr="00FF756A">
          <w:rPr>
            <w:noProof/>
            <w:webHidden/>
          </w:rPr>
          <w:fldChar w:fldCharType="end"/>
        </w:r>
      </w:hyperlink>
    </w:p>
    <w:p w14:paraId="316F98DE" w14:textId="4B83AAF7"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50" w:history="1">
        <w:r w:rsidR="00CC0777" w:rsidRPr="00FF756A">
          <w:rPr>
            <w:rStyle w:val="Hyperlink"/>
            <w:noProof/>
          </w:rPr>
          <w:t>Figura 20: Rritja e popullsisë për vitet 2012-2050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_Toc183016550 \h </w:instrText>
        </w:r>
        <w:r w:rsidR="00CC0777" w:rsidRPr="00FF756A">
          <w:rPr>
            <w:noProof/>
            <w:webHidden/>
          </w:rPr>
        </w:r>
        <w:r w:rsidR="00CC0777" w:rsidRPr="00FF756A">
          <w:rPr>
            <w:noProof/>
            <w:webHidden/>
          </w:rPr>
          <w:fldChar w:fldCharType="separate"/>
        </w:r>
        <w:r w:rsidR="00CC0777" w:rsidRPr="00FF756A">
          <w:rPr>
            <w:noProof/>
            <w:webHidden/>
          </w:rPr>
          <w:t>214</w:t>
        </w:r>
        <w:r w:rsidR="00CC0777" w:rsidRPr="00FF756A">
          <w:rPr>
            <w:noProof/>
            <w:webHidden/>
          </w:rPr>
          <w:fldChar w:fldCharType="end"/>
        </w:r>
      </w:hyperlink>
    </w:p>
    <w:p w14:paraId="21485A63" w14:textId="36AC3A21"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51" w:history="1">
        <w:r w:rsidR="00CC0777" w:rsidRPr="00FF756A">
          <w:rPr>
            <w:rStyle w:val="Hyperlink"/>
            <w:noProof/>
          </w:rPr>
          <w:t>Figura 21: Kontributi në vlerën e shtuar i sektorëve me kërkesë për energji, i analizuar shprehimisht në modelin nga 1995 deri në 2018</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_Toc183016551 \h </w:instrText>
        </w:r>
        <w:r w:rsidR="00CC0777" w:rsidRPr="00FF756A">
          <w:rPr>
            <w:noProof/>
            <w:webHidden/>
          </w:rPr>
        </w:r>
        <w:r w:rsidR="00CC0777" w:rsidRPr="00FF756A">
          <w:rPr>
            <w:noProof/>
            <w:webHidden/>
          </w:rPr>
          <w:fldChar w:fldCharType="separate"/>
        </w:r>
        <w:r w:rsidR="00CC0777" w:rsidRPr="00FF756A">
          <w:rPr>
            <w:noProof/>
            <w:webHidden/>
          </w:rPr>
          <w:t>214</w:t>
        </w:r>
        <w:r w:rsidR="00CC0777" w:rsidRPr="00FF756A">
          <w:rPr>
            <w:noProof/>
            <w:webHidden/>
          </w:rPr>
          <w:fldChar w:fldCharType="end"/>
        </w:r>
      </w:hyperlink>
    </w:p>
    <w:p w14:paraId="6FC0445B" w14:textId="1D4DE768"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52" w:history="1">
        <w:r w:rsidR="00CC0777" w:rsidRPr="00FF756A">
          <w:rPr>
            <w:rStyle w:val="Hyperlink"/>
            <w:noProof/>
          </w:rPr>
          <w:t>Figura 22: Figura 4: Zhvillimi i sipërfaqes së ndërtimit sipas vitit të ndërtimit. Burimi: Prezantim i Censit 2023</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_Toc183016552 \h </w:instrText>
        </w:r>
        <w:r w:rsidR="00CC0777" w:rsidRPr="00FF756A">
          <w:rPr>
            <w:noProof/>
            <w:webHidden/>
          </w:rPr>
        </w:r>
        <w:r w:rsidR="00CC0777" w:rsidRPr="00FF756A">
          <w:rPr>
            <w:noProof/>
            <w:webHidden/>
          </w:rPr>
          <w:fldChar w:fldCharType="separate"/>
        </w:r>
        <w:r w:rsidR="00CC0777" w:rsidRPr="00FF756A">
          <w:rPr>
            <w:noProof/>
            <w:webHidden/>
          </w:rPr>
          <w:t>215</w:t>
        </w:r>
        <w:r w:rsidR="00CC0777" w:rsidRPr="00FF756A">
          <w:rPr>
            <w:noProof/>
            <w:webHidden/>
          </w:rPr>
          <w:fldChar w:fldCharType="end"/>
        </w:r>
      </w:hyperlink>
    </w:p>
    <w:p w14:paraId="3E0B4055" w14:textId="27F424D2"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53" w:history="1">
        <w:r w:rsidR="00CC0777" w:rsidRPr="00FF756A">
          <w:rPr>
            <w:rStyle w:val="Hyperlink"/>
            <w:noProof/>
          </w:rPr>
          <w:t>Figura 23: Përqindja e llojeve të ndërtesave sipas sipërfaqes së ndërtimit. Burimi: Prezantim i SLED 2015</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_Toc183016553 \h </w:instrText>
        </w:r>
        <w:r w:rsidR="00CC0777" w:rsidRPr="00FF756A">
          <w:rPr>
            <w:noProof/>
            <w:webHidden/>
          </w:rPr>
        </w:r>
        <w:r w:rsidR="00CC0777" w:rsidRPr="00FF756A">
          <w:rPr>
            <w:noProof/>
            <w:webHidden/>
          </w:rPr>
          <w:fldChar w:fldCharType="separate"/>
        </w:r>
        <w:r w:rsidR="00CC0777" w:rsidRPr="00FF756A">
          <w:rPr>
            <w:noProof/>
            <w:webHidden/>
          </w:rPr>
          <w:t>216</w:t>
        </w:r>
        <w:r w:rsidR="00CC0777" w:rsidRPr="00FF756A">
          <w:rPr>
            <w:noProof/>
            <w:webHidden/>
          </w:rPr>
          <w:fldChar w:fldCharType="end"/>
        </w:r>
      </w:hyperlink>
    </w:p>
    <w:p w14:paraId="50AFDEA9" w14:textId="1E212B59"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54" w:history="1">
        <w:r w:rsidR="00CC0777" w:rsidRPr="00FF756A">
          <w:rPr>
            <w:rStyle w:val="Hyperlink"/>
            <w:noProof/>
          </w:rPr>
          <w:t>Figura 24: Vlera e shtuar e nënsektorëve në sektorin e Shërbimeve, në raport me vitin 2012</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_Toc183016554 \h </w:instrText>
        </w:r>
        <w:r w:rsidR="00CC0777" w:rsidRPr="00FF756A">
          <w:rPr>
            <w:noProof/>
            <w:webHidden/>
          </w:rPr>
        </w:r>
        <w:r w:rsidR="00CC0777" w:rsidRPr="00FF756A">
          <w:rPr>
            <w:noProof/>
            <w:webHidden/>
          </w:rPr>
          <w:fldChar w:fldCharType="separate"/>
        </w:r>
        <w:r w:rsidR="00CC0777" w:rsidRPr="00FF756A">
          <w:rPr>
            <w:noProof/>
            <w:webHidden/>
          </w:rPr>
          <w:t>217</w:t>
        </w:r>
        <w:r w:rsidR="00CC0777" w:rsidRPr="00FF756A">
          <w:rPr>
            <w:noProof/>
            <w:webHidden/>
          </w:rPr>
          <w:fldChar w:fldCharType="end"/>
        </w:r>
      </w:hyperlink>
    </w:p>
    <w:p w14:paraId="05FDD4D0" w14:textId="3AE885A0"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55" w:history="1">
        <w:r w:rsidR="00CC0777" w:rsidRPr="00FF756A">
          <w:rPr>
            <w:rStyle w:val="Hyperlink"/>
            <w:noProof/>
          </w:rPr>
          <w:t>Figura 25: Kërkesa vjetore për transportin e udhëtarëve në Shqipëri, dhënia e vlerave historike dhe rritja e mëtejshme</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_Toc183016555 \h </w:instrText>
        </w:r>
        <w:r w:rsidR="00CC0777" w:rsidRPr="00FF756A">
          <w:rPr>
            <w:noProof/>
            <w:webHidden/>
          </w:rPr>
        </w:r>
        <w:r w:rsidR="00CC0777" w:rsidRPr="00FF756A">
          <w:rPr>
            <w:noProof/>
            <w:webHidden/>
          </w:rPr>
          <w:fldChar w:fldCharType="separate"/>
        </w:r>
        <w:r w:rsidR="00CC0777" w:rsidRPr="00FF756A">
          <w:rPr>
            <w:noProof/>
            <w:webHidden/>
          </w:rPr>
          <w:t>218</w:t>
        </w:r>
        <w:r w:rsidR="00CC0777" w:rsidRPr="00FF756A">
          <w:rPr>
            <w:noProof/>
            <w:webHidden/>
          </w:rPr>
          <w:fldChar w:fldCharType="end"/>
        </w:r>
      </w:hyperlink>
    </w:p>
    <w:p w14:paraId="75D9D3C0" w14:textId="0A98F39C"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56" w:history="1">
        <w:r w:rsidR="00CC0777" w:rsidRPr="00FF756A">
          <w:rPr>
            <w:rStyle w:val="Hyperlink"/>
            <w:noProof/>
          </w:rPr>
          <w:t>Figura 26: Përqindjet e modaliteteve të transportit të udhëtarëve në Shqipëri, të parashikuara me masat ekzistuese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_Toc183016556 \h </w:instrText>
        </w:r>
        <w:r w:rsidR="00CC0777" w:rsidRPr="00FF756A">
          <w:rPr>
            <w:noProof/>
            <w:webHidden/>
          </w:rPr>
        </w:r>
        <w:r w:rsidR="00CC0777" w:rsidRPr="00FF756A">
          <w:rPr>
            <w:noProof/>
            <w:webHidden/>
          </w:rPr>
          <w:fldChar w:fldCharType="separate"/>
        </w:r>
        <w:r w:rsidR="00CC0777" w:rsidRPr="00FF756A">
          <w:rPr>
            <w:noProof/>
            <w:webHidden/>
          </w:rPr>
          <w:t>218</w:t>
        </w:r>
        <w:r w:rsidR="00CC0777" w:rsidRPr="00FF756A">
          <w:rPr>
            <w:noProof/>
            <w:webHidden/>
          </w:rPr>
          <w:fldChar w:fldCharType="end"/>
        </w:r>
      </w:hyperlink>
    </w:p>
    <w:p w14:paraId="409D62B0" w14:textId="4EBA2BA8"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57" w:history="1">
        <w:r w:rsidR="00CC0777" w:rsidRPr="00FF756A">
          <w:rPr>
            <w:rStyle w:val="Hyperlink"/>
            <w:noProof/>
          </w:rPr>
          <w:t>Figura 27: Përqindjet e teknologjive në transportin e udhëtarëve me makinë, sipas statistikave historike të automjeteve për vitet 2016-2023 dhe sipas parashikimit që merr në konsideratë masat ekzistuese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_Toc183016557 \h </w:instrText>
        </w:r>
        <w:r w:rsidR="00CC0777" w:rsidRPr="00FF756A">
          <w:rPr>
            <w:noProof/>
            <w:webHidden/>
          </w:rPr>
        </w:r>
        <w:r w:rsidR="00CC0777" w:rsidRPr="00FF756A">
          <w:rPr>
            <w:noProof/>
            <w:webHidden/>
          </w:rPr>
          <w:fldChar w:fldCharType="separate"/>
        </w:r>
        <w:r w:rsidR="00CC0777" w:rsidRPr="00FF756A">
          <w:rPr>
            <w:noProof/>
            <w:webHidden/>
          </w:rPr>
          <w:t>219</w:t>
        </w:r>
        <w:r w:rsidR="00CC0777" w:rsidRPr="00FF756A">
          <w:rPr>
            <w:noProof/>
            <w:webHidden/>
          </w:rPr>
          <w:fldChar w:fldCharType="end"/>
        </w:r>
      </w:hyperlink>
    </w:p>
    <w:p w14:paraId="70DFD02D" w14:textId="19A3BE9B"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58" w:history="1">
        <w:r w:rsidR="00CC0777" w:rsidRPr="00FF756A">
          <w:rPr>
            <w:rStyle w:val="Hyperlink"/>
            <w:noProof/>
          </w:rPr>
          <w:t>Figura 28: Krerët e gjësë së gjallë në vite,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_Toc183016558 \h </w:instrText>
        </w:r>
        <w:r w:rsidR="00CC0777" w:rsidRPr="00FF756A">
          <w:rPr>
            <w:noProof/>
            <w:webHidden/>
          </w:rPr>
        </w:r>
        <w:r w:rsidR="00CC0777" w:rsidRPr="00FF756A">
          <w:rPr>
            <w:noProof/>
            <w:webHidden/>
          </w:rPr>
          <w:fldChar w:fldCharType="separate"/>
        </w:r>
        <w:r w:rsidR="00CC0777" w:rsidRPr="00FF756A">
          <w:rPr>
            <w:noProof/>
            <w:webHidden/>
          </w:rPr>
          <w:t>223</w:t>
        </w:r>
        <w:r w:rsidR="00CC0777" w:rsidRPr="00FF756A">
          <w:rPr>
            <w:noProof/>
            <w:webHidden/>
          </w:rPr>
          <w:fldChar w:fldCharType="end"/>
        </w:r>
      </w:hyperlink>
    </w:p>
    <w:p w14:paraId="5542512C" w14:textId="064A76A1"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59" w:history="1">
        <w:r w:rsidR="00CC0777" w:rsidRPr="00FF756A">
          <w:rPr>
            <w:rStyle w:val="Hyperlink"/>
            <w:noProof/>
          </w:rPr>
          <w:t>Figura 29:  Çmimi i naftës (dollarë/fuçi). Të dhënat historike për çmimin e naftës bruto Brent, Burimi: Enerdata; Mesatarja botërore e të dhënave të parashikuara. Burimi: World Bank 2021</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_Toc183016559 \h </w:instrText>
        </w:r>
        <w:r w:rsidR="00CC0777" w:rsidRPr="00FF756A">
          <w:rPr>
            <w:noProof/>
            <w:webHidden/>
          </w:rPr>
        </w:r>
        <w:r w:rsidR="00CC0777" w:rsidRPr="00FF756A">
          <w:rPr>
            <w:noProof/>
            <w:webHidden/>
          </w:rPr>
          <w:fldChar w:fldCharType="separate"/>
        </w:r>
        <w:r w:rsidR="00CC0777" w:rsidRPr="00FF756A">
          <w:rPr>
            <w:noProof/>
            <w:webHidden/>
          </w:rPr>
          <w:t>227</w:t>
        </w:r>
        <w:r w:rsidR="00CC0777" w:rsidRPr="00FF756A">
          <w:rPr>
            <w:noProof/>
            <w:webHidden/>
          </w:rPr>
          <w:fldChar w:fldCharType="end"/>
        </w:r>
      </w:hyperlink>
    </w:p>
    <w:p w14:paraId="6C30E484" w14:textId="1AD8D988"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60" w:history="1">
        <w:r w:rsidR="00CC0777" w:rsidRPr="00FF756A">
          <w:rPr>
            <w:rStyle w:val="Hyperlink"/>
            <w:noProof/>
          </w:rPr>
          <w:t>Figura 30: Shkarkimet e GES-ve (CO2eq) për ekonominë në tërësi për periudhën 2016-2023 dhe projeksionet për vitet 2024 deri në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_Toc183016560 \h </w:instrText>
        </w:r>
        <w:r w:rsidR="00CC0777" w:rsidRPr="00FF756A">
          <w:rPr>
            <w:noProof/>
            <w:webHidden/>
          </w:rPr>
        </w:r>
        <w:r w:rsidR="00CC0777" w:rsidRPr="00FF756A">
          <w:rPr>
            <w:noProof/>
            <w:webHidden/>
          </w:rPr>
          <w:fldChar w:fldCharType="separate"/>
        </w:r>
        <w:r w:rsidR="00CC0777" w:rsidRPr="00FF756A">
          <w:rPr>
            <w:noProof/>
            <w:webHidden/>
          </w:rPr>
          <w:t>229</w:t>
        </w:r>
        <w:r w:rsidR="00CC0777" w:rsidRPr="00FF756A">
          <w:rPr>
            <w:noProof/>
            <w:webHidden/>
          </w:rPr>
          <w:fldChar w:fldCharType="end"/>
        </w:r>
      </w:hyperlink>
    </w:p>
    <w:p w14:paraId="2ABB8C7F" w14:textId="5025AD51"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61" w:history="1">
        <w:r w:rsidR="00CC0777" w:rsidRPr="00FF756A">
          <w:rPr>
            <w:rStyle w:val="Hyperlink"/>
            <w:noProof/>
          </w:rPr>
          <w:t>Figura 31: Shkarkimet e drejtpërdrejta të GES-ve (CO2eq) për sektorët me kërkesë për energji për periudhën 2016-2023 dhe sipas parashikimit për vitet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_Toc183016561 \h </w:instrText>
        </w:r>
        <w:r w:rsidR="00CC0777" w:rsidRPr="00FF756A">
          <w:rPr>
            <w:noProof/>
            <w:webHidden/>
          </w:rPr>
        </w:r>
        <w:r w:rsidR="00CC0777" w:rsidRPr="00FF756A">
          <w:rPr>
            <w:noProof/>
            <w:webHidden/>
          </w:rPr>
          <w:fldChar w:fldCharType="separate"/>
        </w:r>
        <w:r w:rsidR="00CC0777" w:rsidRPr="00FF756A">
          <w:rPr>
            <w:noProof/>
            <w:webHidden/>
          </w:rPr>
          <w:t>230</w:t>
        </w:r>
        <w:r w:rsidR="00CC0777" w:rsidRPr="00FF756A">
          <w:rPr>
            <w:noProof/>
            <w:webHidden/>
          </w:rPr>
          <w:fldChar w:fldCharType="end"/>
        </w:r>
      </w:hyperlink>
    </w:p>
    <w:p w14:paraId="7809B761" w14:textId="5AA6BB22"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62" w:history="1">
        <w:r w:rsidR="00CC0777" w:rsidRPr="00FF756A">
          <w:rPr>
            <w:rStyle w:val="Hyperlink"/>
            <w:noProof/>
          </w:rPr>
          <w:t>Figura 32: Shkarkimet e drejtpërdrejta të GES-ve (CO2eq) për sektorin e banesave për periudhën 2016-2023 dhe sipas parashikimit për vitet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_Toc183016562 \h </w:instrText>
        </w:r>
        <w:r w:rsidR="00CC0777" w:rsidRPr="00FF756A">
          <w:rPr>
            <w:noProof/>
            <w:webHidden/>
          </w:rPr>
        </w:r>
        <w:r w:rsidR="00CC0777" w:rsidRPr="00FF756A">
          <w:rPr>
            <w:noProof/>
            <w:webHidden/>
          </w:rPr>
          <w:fldChar w:fldCharType="separate"/>
        </w:r>
        <w:r w:rsidR="00CC0777" w:rsidRPr="00FF756A">
          <w:rPr>
            <w:noProof/>
            <w:webHidden/>
          </w:rPr>
          <w:t>231</w:t>
        </w:r>
        <w:r w:rsidR="00CC0777" w:rsidRPr="00FF756A">
          <w:rPr>
            <w:noProof/>
            <w:webHidden/>
          </w:rPr>
          <w:fldChar w:fldCharType="end"/>
        </w:r>
      </w:hyperlink>
    </w:p>
    <w:p w14:paraId="27CCFCE0" w14:textId="7EE52092"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63" w:history="1">
        <w:r w:rsidR="00CC0777" w:rsidRPr="00FF756A">
          <w:rPr>
            <w:rStyle w:val="Hyperlink"/>
            <w:noProof/>
          </w:rPr>
          <w:t>Figura 33: Shkarkimet e drejtpërdrejta të GES-ve (CO2eq) për sektorin e shërbimeve për periudhën 2016-2023 dhe sipas parashikimit për vitet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_Toc183016563 \h </w:instrText>
        </w:r>
        <w:r w:rsidR="00CC0777" w:rsidRPr="00FF756A">
          <w:rPr>
            <w:noProof/>
            <w:webHidden/>
          </w:rPr>
        </w:r>
        <w:r w:rsidR="00CC0777" w:rsidRPr="00FF756A">
          <w:rPr>
            <w:noProof/>
            <w:webHidden/>
          </w:rPr>
          <w:fldChar w:fldCharType="separate"/>
        </w:r>
        <w:r w:rsidR="00CC0777" w:rsidRPr="00FF756A">
          <w:rPr>
            <w:noProof/>
            <w:webHidden/>
          </w:rPr>
          <w:t>231</w:t>
        </w:r>
        <w:r w:rsidR="00CC0777" w:rsidRPr="00FF756A">
          <w:rPr>
            <w:noProof/>
            <w:webHidden/>
          </w:rPr>
          <w:fldChar w:fldCharType="end"/>
        </w:r>
      </w:hyperlink>
    </w:p>
    <w:p w14:paraId="7E0DE1EE" w14:textId="5E46D355"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64" w:history="1">
        <w:r w:rsidR="00CC0777" w:rsidRPr="00FF756A">
          <w:rPr>
            <w:rStyle w:val="Hyperlink"/>
            <w:noProof/>
          </w:rPr>
          <w:t>Figura 34: Shkarkimet e drejtpërdrejta të GES-ve (CO2eq) për industrinë (me kërkesë për energji) për vitet 2016-2023 dhe sipas parashikimit për vitet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_Toc183016564 \h </w:instrText>
        </w:r>
        <w:r w:rsidR="00CC0777" w:rsidRPr="00FF756A">
          <w:rPr>
            <w:noProof/>
            <w:webHidden/>
          </w:rPr>
        </w:r>
        <w:r w:rsidR="00CC0777" w:rsidRPr="00FF756A">
          <w:rPr>
            <w:noProof/>
            <w:webHidden/>
          </w:rPr>
          <w:fldChar w:fldCharType="separate"/>
        </w:r>
        <w:r w:rsidR="00CC0777" w:rsidRPr="00FF756A">
          <w:rPr>
            <w:noProof/>
            <w:webHidden/>
          </w:rPr>
          <w:t>232</w:t>
        </w:r>
        <w:r w:rsidR="00CC0777" w:rsidRPr="00FF756A">
          <w:rPr>
            <w:noProof/>
            <w:webHidden/>
          </w:rPr>
          <w:fldChar w:fldCharType="end"/>
        </w:r>
      </w:hyperlink>
    </w:p>
    <w:p w14:paraId="75A16F61" w14:textId="685BF890"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65" w:history="1">
        <w:r w:rsidR="00CC0777" w:rsidRPr="00FF756A">
          <w:rPr>
            <w:rStyle w:val="Hyperlink"/>
            <w:noProof/>
          </w:rPr>
          <w:t>Figura 35: Shkarkimet e drejtpërdrejta të GES-ve (CO2eq) për sektorin e transportit për vitet 2016-2023 dhe sipas parashikimit për vitet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_Toc183016565 \h </w:instrText>
        </w:r>
        <w:r w:rsidR="00CC0777" w:rsidRPr="00FF756A">
          <w:rPr>
            <w:noProof/>
            <w:webHidden/>
          </w:rPr>
        </w:r>
        <w:r w:rsidR="00CC0777" w:rsidRPr="00FF756A">
          <w:rPr>
            <w:noProof/>
            <w:webHidden/>
          </w:rPr>
          <w:fldChar w:fldCharType="separate"/>
        </w:r>
        <w:r w:rsidR="00CC0777" w:rsidRPr="00FF756A">
          <w:rPr>
            <w:noProof/>
            <w:webHidden/>
          </w:rPr>
          <w:t>232</w:t>
        </w:r>
        <w:r w:rsidR="00CC0777" w:rsidRPr="00FF756A">
          <w:rPr>
            <w:noProof/>
            <w:webHidden/>
          </w:rPr>
          <w:fldChar w:fldCharType="end"/>
        </w:r>
      </w:hyperlink>
    </w:p>
    <w:p w14:paraId="4D3AC942" w14:textId="57C19073"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66" w:history="1">
        <w:r w:rsidR="00CC0777" w:rsidRPr="00FF756A">
          <w:rPr>
            <w:rStyle w:val="Hyperlink"/>
            <w:noProof/>
          </w:rPr>
          <w:t>Figura 36: Shkarkimet e drejtpërdrejta të GES-ve (CO2eq) për sektorin e transformimit të energjisë për vitet 2016-2023 dhe sipas parashikimit për vitet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_Toc183016566 \h </w:instrText>
        </w:r>
        <w:r w:rsidR="00CC0777" w:rsidRPr="00FF756A">
          <w:rPr>
            <w:noProof/>
            <w:webHidden/>
          </w:rPr>
        </w:r>
        <w:r w:rsidR="00CC0777" w:rsidRPr="00FF756A">
          <w:rPr>
            <w:noProof/>
            <w:webHidden/>
          </w:rPr>
          <w:fldChar w:fldCharType="separate"/>
        </w:r>
        <w:r w:rsidR="00CC0777" w:rsidRPr="00FF756A">
          <w:rPr>
            <w:noProof/>
            <w:webHidden/>
          </w:rPr>
          <w:t>233</w:t>
        </w:r>
        <w:r w:rsidR="00CC0777" w:rsidRPr="00FF756A">
          <w:rPr>
            <w:noProof/>
            <w:webHidden/>
          </w:rPr>
          <w:fldChar w:fldCharType="end"/>
        </w:r>
      </w:hyperlink>
    </w:p>
    <w:p w14:paraId="6347CDE7" w14:textId="59889C77"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67" w:history="1">
        <w:r w:rsidR="00CC0777" w:rsidRPr="00FF756A">
          <w:rPr>
            <w:rStyle w:val="Hyperlink"/>
            <w:noProof/>
          </w:rPr>
          <w:t>Figura 37: Shkarkimet e GES-ve nga sektorë joenergjetikë (CO2eq) për periudhën 2016-2023 dhe sipas parashikimit për periudhën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_Toc183016567 \h </w:instrText>
        </w:r>
        <w:r w:rsidR="00CC0777" w:rsidRPr="00FF756A">
          <w:rPr>
            <w:noProof/>
            <w:webHidden/>
          </w:rPr>
        </w:r>
        <w:r w:rsidR="00CC0777" w:rsidRPr="00FF756A">
          <w:rPr>
            <w:noProof/>
            <w:webHidden/>
          </w:rPr>
          <w:fldChar w:fldCharType="separate"/>
        </w:r>
        <w:r w:rsidR="00CC0777" w:rsidRPr="00FF756A">
          <w:rPr>
            <w:noProof/>
            <w:webHidden/>
          </w:rPr>
          <w:t>234</w:t>
        </w:r>
        <w:r w:rsidR="00CC0777" w:rsidRPr="00FF756A">
          <w:rPr>
            <w:noProof/>
            <w:webHidden/>
          </w:rPr>
          <w:fldChar w:fldCharType="end"/>
        </w:r>
      </w:hyperlink>
    </w:p>
    <w:p w14:paraId="54B30A75" w14:textId="5D7B95A0"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68" w:history="1">
        <w:r w:rsidR="00CC0777" w:rsidRPr="00FF756A">
          <w:rPr>
            <w:rStyle w:val="Hyperlink"/>
            <w:noProof/>
          </w:rPr>
          <w:t>Figura 38: Figura 20: Shkarkimet e GES-ve (CO2eq) nga proceset industriale dhe përdorimi i produkteve për periudhën 2016-2023 dhe sipas parashikimit për vitet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_Toc183016568 \h </w:instrText>
        </w:r>
        <w:r w:rsidR="00CC0777" w:rsidRPr="00FF756A">
          <w:rPr>
            <w:noProof/>
            <w:webHidden/>
          </w:rPr>
        </w:r>
        <w:r w:rsidR="00CC0777" w:rsidRPr="00FF756A">
          <w:rPr>
            <w:noProof/>
            <w:webHidden/>
          </w:rPr>
          <w:fldChar w:fldCharType="separate"/>
        </w:r>
        <w:r w:rsidR="00CC0777" w:rsidRPr="00FF756A">
          <w:rPr>
            <w:noProof/>
            <w:webHidden/>
          </w:rPr>
          <w:t>235</w:t>
        </w:r>
        <w:r w:rsidR="00CC0777" w:rsidRPr="00FF756A">
          <w:rPr>
            <w:noProof/>
            <w:webHidden/>
          </w:rPr>
          <w:fldChar w:fldCharType="end"/>
        </w:r>
      </w:hyperlink>
    </w:p>
    <w:p w14:paraId="73A507C9" w14:textId="6BBCC4CD"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69" w:history="1">
        <w:r w:rsidR="00CC0777" w:rsidRPr="00FF756A">
          <w:rPr>
            <w:rStyle w:val="Hyperlink"/>
            <w:noProof/>
          </w:rPr>
          <w:t>Figura 39: Shkarkimet e GES-ve të sektorëve joenergjetikë (CO2eq) nga veprimtaritë bujqësore për periudhën 2016-2023 dhe sipas parashikimit për periudhën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_Toc183016569 \h </w:instrText>
        </w:r>
        <w:r w:rsidR="00CC0777" w:rsidRPr="00FF756A">
          <w:rPr>
            <w:noProof/>
            <w:webHidden/>
          </w:rPr>
        </w:r>
        <w:r w:rsidR="00CC0777" w:rsidRPr="00FF756A">
          <w:rPr>
            <w:noProof/>
            <w:webHidden/>
          </w:rPr>
          <w:fldChar w:fldCharType="separate"/>
        </w:r>
        <w:r w:rsidR="00CC0777" w:rsidRPr="00FF756A">
          <w:rPr>
            <w:noProof/>
            <w:webHidden/>
          </w:rPr>
          <w:t>235</w:t>
        </w:r>
        <w:r w:rsidR="00CC0777" w:rsidRPr="00FF756A">
          <w:rPr>
            <w:noProof/>
            <w:webHidden/>
          </w:rPr>
          <w:fldChar w:fldCharType="end"/>
        </w:r>
      </w:hyperlink>
    </w:p>
    <w:p w14:paraId="1D28AFB2" w14:textId="2C9067A9"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70" w:history="1">
        <w:r w:rsidR="00CC0777" w:rsidRPr="00FF756A">
          <w:rPr>
            <w:rStyle w:val="Hyperlink"/>
            <w:noProof/>
          </w:rPr>
          <w:t>Figura 40: Shkarkimet e GES-ve (CO2eq) të sektorëve joenergjetikë nga përdorimi i tokës, ndryshimi i përdorimi të tokës dhe pyjet (LULUCF) për periudhën 2016-2023 dhe sipas parashikimit për vitet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_Toc183016570 \h </w:instrText>
        </w:r>
        <w:r w:rsidR="00CC0777" w:rsidRPr="00FF756A">
          <w:rPr>
            <w:noProof/>
            <w:webHidden/>
          </w:rPr>
        </w:r>
        <w:r w:rsidR="00CC0777" w:rsidRPr="00FF756A">
          <w:rPr>
            <w:noProof/>
            <w:webHidden/>
          </w:rPr>
          <w:fldChar w:fldCharType="separate"/>
        </w:r>
        <w:r w:rsidR="00CC0777" w:rsidRPr="00FF756A">
          <w:rPr>
            <w:noProof/>
            <w:webHidden/>
          </w:rPr>
          <w:t>236</w:t>
        </w:r>
        <w:r w:rsidR="00CC0777" w:rsidRPr="00FF756A">
          <w:rPr>
            <w:noProof/>
            <w:webHidden/>
          </w:rPr>
          <w:fldChar w:fldCharType="end"/>
        </w:r>
      </w:hyperlink>
    </w:p>
    <w:p w14:paraId="3CE8F4F0" w14:textId="4281C8B4"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71" w:history="1">
        <w:r w:rsidR="00CC0777" w:rsidRPr="00FF756A">
          <w:rPr>
            <w:rStyle w:val="Hyperlink"/>
            <w:noProof/>
          </w:rPr>
          <w:t>Figura 41: Shkarkimet e GES-ve (CO2eq) të sektorëve joenergjetikë nga sektori i mbetjeve për periudhën kohore 2016-2023 dhe sipas parashikimit për vitet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_Toc183016571 \h </w:instrText>
        </w:r>
        <w:r w:rsidR="00CC0777" w:rsidRPr="00FF756A">
          <w:rPr>
            <w:noProof/>
            <w:webHidden/>
          </w:rPr>
        </w:r>
        <w:r w:rsidR="00CC0777" w:rsidRPr="00FF756A">
          <w:rPr>
            <w:noProof/>
            <w:webHidden/>
          </w:rPr>
          <w:fldChar w:fldCharType="separate"/>
        </w:r>
        <w:r w:rsidR="00CC0777" w:rsidRPr="00FF756A">
          <w:rPr>
            <w:noProof/>
            <w:webHidden/>
          </w:rPr>
          <w:t>236</w:t>
        </w:r>
        <w:r w:rsidR="00CC0777" w:rsidRPr="00FF756A">
          <w:rPr>
            <w:noProof/>
            <w:webHidden/>
          </w:rPr>
          <w:fldChar w:fldCharType="end"/>
        </w:r>
      </w:hyperlink>
    </w:p>
    <w:p w14:paraId="50097AA5" w14:textId="3079CBBF"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72" w:history="1">
        <w:r w:rsidR="00CC0777" w:rsidRPr="00FF756A">
          <w:rPr>
            <w:rStyle w:val="Hyperlink"/>
            <w:noProof/>
          </w:rPr>
          <w:t>Figura 42: Burimet e rinovueshme të furnizimit me energji primare dhe totali i konsumit neto për periudhën kohore (2016-2023) dhe sipas parashikimit me masat ekzistuese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_Toc183016572 \h </w:instrText>
        </w:r>
        <w:r w:rsidR="00CC0777" w:rsidRPr="00FF756A">
          <w:rPr>
            <w:noProof/>
            <w:webHidden/>
          </w:rPr>
        </w:r>
        <w:r w:rsidR="00CC0777" w:rsidRPr="00FF756A">
          <w:rPr>
            <w:noProof/>
            <w:webHidden/>
          </w:rPr>
          <w:fldChar w:fldCharType="separate"/>
        </w:r>
        <w:r w:rsidR="00CC0777" w:rsidRPr="00FF756A">
          <w:rPr>
            <w:noProof/>
            <w:webHidden/>
          </w:rPr>
          <w:t>241</w:t>
        </w:r>
        <w:r w:rsidR="00CC0777" w:rsidRPr="00FF756A">
          <w:rPr>
            <w:noProof/>
            <w:webHidden/>
          </w:rPr>
          <w:fldChar w:fldCharType="end"/>
        </w:r>
      </w:hyperlink>
    </w:p>
    <w:p w14:paraId="16B2F585" w14:textId="3CA11018"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73" w:history="1">
        <w:r w:rsidR="00CC0777" w:rsidRPr="00FF756A">
          <w:rPr>
            <w:rStyle w:val="Hyperlink"/>
            <w:noProof/>
          </w:rPr>
          <w:t>Figura 43: Përqindjet e BRE-ve në kërkesën finale për energji, të përllogaritura sipas RED (Direktiva 2009/28/KE) për periudhën kohore 2016-2022 dhe parashikimet deri në vitin 2050 me masat ekzistuese</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_Toc183016573 \h </w:instrText>
        </w:r>
        <w:r w:rsidR="00CC0777" w:rsidRPr="00FF756A">
          <w:rPr>
            <w:noProof/>
            <w:webHidden/>
          </w:rPr>
        </w:r>
        <w:r w:rsidR="00CC0777" w:rsidRPr="00FF756A">
          <w:rPr>
            <w:noProof/>
            <w:webHidden/>
          </w:rPr>
          <w:fldChar w:fldCharType="separate"/>
        </w:r>
        <w:r w:rsidR="00CC0777" w:rsidRPr="00FF756A">
          <w:rPr>
            <w:noProof/>
            <w:webHidden/>
          </w:rPr>
          <w:t>242</w:t>
        </w:r>
        <w:r w:rsidR="00CC0777" w:rsidRPr="00FF756A">
          <w:rPr>
            <w:noProof/>
            <w:webHidden/>
          </w:rPr>
          <w:fldChar w:fldCharType="end"/>
        </w:r>
      </w:hyperlink>
    </w:p>
    <w:p w14:paraId="6A81A02B" w14:textId="57218F8A"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74" w:history="1">
        <w:r w:rsidR="00CC0777" w:rsidRPr="00FF756A">
          <w:rPr>
            <w:rStyle w:val="Hyperlink"/>
            <w:noProof/>
          </w:rPr>
          <w:t>Figura 44: Përqindja e BRE-E (përqindja e burimeve të rinovueshme në prodhimin e energjisë elektrike) të përllogaritura sipas RED (Direktiva 2009/28/KE) për periudhën kohore 2016-2022 dhe parashikimet deri në vitin 2050 me masat ekzistuese</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_Toc183016574 \h </w:instrText>
        </w:r>
        <w:r w:rsidR="00CC0777" w:rsidRPr="00FF756A">
          <w:rPr>
            <w:noProof/>
            <w:webHidden/>
          </w:rPr>
        </w:r>
        <w:r w:rsidR="00CC0777" w:rsidRPr="00FF756A">
          <w:rPr>
            <w:noProof/>
            <w:webHidden/>
          </w:rPr>
          <w:fldChar w:fldCharType="separate"/>
        </w:r>
        <w:r w:rsidR="00CC0777" w:rsidRPr="00FF756A">
          <w:rPr>
            <w:noProof/>
            <w:webHidden/>
          </w:rPr>
          <w:t>243</w:t>
        </w:r>
        <w:r w:rsidR="00CC0777" w:rsidRPr="00FF756A">
          <w:rPr>
            <w:noProof/>
            <w:webHidden/>
          </w:rPr>
          <w:fldChar w:fldCharType="end"/>
        </w:r>
      </w:hyperlink>
    </w:p>
    <w:p w14:paraId="09EA7BF3" w14:textId="00417D4C"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75" w:history="1">
        <w:r w:rsidR="00CC0777" w:rsidRPr="00FF756A">
          <w:rPr>
            <w:rStyle w:val="Hyperlink"/>
            <w:noProof/>
          </w:rPr>
          <w:t>Figura 45: Burimet e energjisë në sektorin e transportit, për të shoqëruar dhe shpjeguar përqindjen e BRE-T, të paraqitur në Figura 25</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_Toc183016575 \h </w:instrText>
        </w:r>
        <w:r w:rsidR="00CC0777" w:rsidRPr="00FF756A">
          <w:rPr>
            <w:noProof/>
            <w:webHidden/>
          </w:rPr>
        </w:r>
        <w:r w:rsidR="00CC0777" w:rsidRPr="00FF756A">
          <w:rPr>
            <w:noProof/>
            <w:webHidden/>
          </w:rPr>
          <w:fldChar w:fldCharType="separate"/>
        </w:r>
        <w:r w:rsidR="00CC0777" w:rsidRPr="00FF756A">
          <w:rPr>
            <w:noProof/>
            <w:webHidden/>
          </w:rPr>
          <w:t>244</w:t>
        </w:r>
        <w:r w:rsidR="00CC0777" w:rsidRPr="00FF756A">
          <w:rPr>
            <w:noProof/>
            <w:webHidden/>
          </w:rPr>
          <w:fldChar w:fldCharType="end"/>
        </w:r>
      </w:hyperlink>
    </w:p>
    <w:p w14:paraId="03A1C317" w14:textId="71A78315"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76" w:history="1">
        <w:r w:rsidR="00CC0777" w:rsidRPr="00FF756A">
          <w:rPr>
            <w:rStyle w:val="Hyperlink"/>
            <w:noProof/>
          </w:rPr>
          <w:t>Figura 46: Energjia finale dhe lëndët djegëse të përdorura në sektorin e banesave për ngrohjen e hapësirave në të gjitha kategoritë e ndërtesave dhe zonave gjeografike për periudhën kohore 2022-2024 dhe sipas parashikimit deri në vitin 2050 me masat ekzistuese.</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_Toc183016576 \h </w:instrText>
        </w:r>
        <w:r w:rsidR="00CC0777" w:rsidRPr="00FF756A">
          <w:rPr>
            <w:noProof/>
            <w:webHidden/>
          </w:rPr>
        </w:r>
        <w:r w:rsidR="00CC0777" w:rsidRPr="00FF756A">
          <w:rPr>
            <w:noProof/>
            <w:webHidden/>
          </w:rPr>
          <w:fldChar w:fldCharType="separate"/>
        </w:r>
        <w:r w:rsidR="00CC0777" w:rsidRPr="00FF756A">
          <w:rPr>
            <w:noProof/>
            <w:webHidden/>
          </w:rPr>
          <w:t>246</w:t>
        </w:r>
        <w:r w:rsidR="00CC0777" w:rsidRPr="00FF756A">
          <w:rPr>
            <w:noProof/>
            <w:webHidden/>
          </w:rPr>
          <w:fldChar w:fldCharType="end"/>
        </w:r>
      </w:hyperlink>
    </w:p>
    <w:p w14:paraId="6FC60A77" w14:textId="488CFD51"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77" w:history="1">
        <w:r w:rsidR="00CC0777" w:rsidRPr="00FF756A">
          <w:rPr>
            <w:rStyle w:val="Hyperlink"/>
            <w:noProof/>
          </w:rPr>
          <w:t>Figura 47: Furnizimi me energji primare për periudhën kohore 2016-2023 dhe sipas parashikimit deri në vitin 2050 me masat ekzistuese Vlerat negative tregojnë eksportet.</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_Toc183016577 \h </w:instrText>
        </w:r>
        <w:r w:rsidR="00CC0777" w:rsidRPr="00FF756A">
          <w:rPr>
            <w:noProof/>
            <w:webHidden/>
          </w:rPr>
        </w:r>
        <w:r w:rsidR="00CC0777" w:rsidRPr="00FF756A">
          <w:rPr>
            <w:noProof/>
            <w:webHidden/>
          </w:rPr>
          <w:fldChar w:fldCharType="separate"/>
        </w:r>
        <w:r w:rsidR="00CC0777" w:rsidRPr="00FF756A">
          <w:rPr>
            <w:noProof/>
            <w:webHidden/>
          </w:rPr>
          <w:t>247</w:t>
        </w:r>
        <w:r w:rsidR="00CC0777" w:rsidRPr="00FF756A">
          <w:rPr>
            <w:noProof/>
            <w:webHidden/>
          </w:rPr>
          <w:fldChar w:fldCharType="end"/>
        </w:r>
      </w:hyperlink>
    </w:p>
    <w:p w14:paraId="1B8C7184" w14:textId="2F61E005"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78" w:history="1">
        <w:r w:rsidR="00CC0777" w:rsidRPr="00FF756A">
          <w:rPr>
            <w:rStyle w:val="Hyperlink"/>
            <w:noProof/>
          </w:rPr>
          <w:t>Figura 48: Përqindjet e kërkesës finale për energji në sektorët me kërkesë energjie për periudhën kohore 2016-2023 dhe sipas parashikimit deri në vitin 2050 me masat ekzistuese.</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_Toc183016578 \h </w:instrText>
        </w:r>
        <w:r w:rsidR="00CC0777" w:rsidRPr="00FF756A">
          <w:rPr>
            <w:noProof/>
            <w:webHidden/>
          </w:rPr>
        </w:r>
        <w:r w:rsidR="00CC0777" w:rsidRPr="00FF756A">
          <w:rPr>
            <w:noProof/>
            <w:webHidden/>
          </w:rPr>
          <w:fldChar w:fldCharType="separate"/>
        </w:r>
        <w:r w:rsidR="00CC0777" w:rsidRPr="00FF756A">
          <w:rPr>
            <w:noProof/>
            <w:webHidden/>
          </w:rPr>
          <w:t>249</w:t>
        </w:r>
        <w:r w:rsidR="00CC0777" w:rsidRPr="00FF756A">
          <w:rPr>
            <w:noProof/>
            <w:webHidden/>
          </w:rPr>
          <w:fldChar w:fldCharType="end"/>
        </w:r>
      </w:hyperlink>
    </w:p>
    <w:p w14:paraId="75EB9936" w14:textId="650CC15E"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79" w:history="1">
        <w:r w:rsidR="00CC0777" w:rsidRPr="00FF756A">
          <w:rPr>
            <w:rStyle w:val="Hyperlink"/>
            <w:noProof/>
          </w:rPr>
          <w:t>Figura 49: Konsumi final i energjisë (ktoe) për të gjithë sektorët kryesorë me kërkesë për energji, sipas vlerave historike të periudhës 2016-2023 dhe sipas parashikimit me masat ekzistuese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_Toc183016579 \h </w:instrText>
        </w:r>
        <w:r w:rsidR="00CC0777" w:rsidRPr="00FF756A">
          <w:rPr>
            <w:noProof/>
            <w:webHidden/>
          </w:rPr>
        </w:r>
        <w:r w:rsidR="00CC0777" w:rsidRPr="00FF756A">
          <w:rPr>
            <w:noProof/>
            <w:webHidden/>
          </w:rPr>
          <w:fldChar w:fldCharType="separate"/>
        </w:r>
        <w:r w:rsidR="00CC0777" w:rsidRPr="00FF756A">
          <w:rPr>
            <w:noProof/>
            <w:webHidden/>
          </w:rPr>
          <w:t>250</w:t>
        </w:r>
        <w:r w:rsidR="00CC0777" w:rsidRPr="00FF756A">
          <w:rPr>
            <w:noProof/>
            <w:webHidden/>
          </w:rPr>
          <w:fldChar w:fldCharType="end"/>
        </w:r>
      </w:hyperlink>
    </w:p>
    <w:p w14:paraId="6A6198A9" w14:textId="0A31C175"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80" w:history="1">
        <w:r w:rsidR="00CC0777" w:rsidRPr="00FF756A">
          <w:rPr>
            <w:rStyle w:val="Hyperlink"/>
            <w:noProof/>
          </w:rPr>
          <w:t>Figura 50: Burimet e përziera në konsumin final të energjisë (ktoe) për të gjithë sektorët kryesorë me kërkesë për energji, sipas vlerave historike të periudhës 2016-2023 dhe sipas parashikimit me masat ekzistuese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_Toc183016580 \h </w:instrText>
        </w:r>
        <w:r w:rsidR="00CC0777" w:rsidRPr="00FF756A">
          <w:rPr>
            <w:noProof/>
            <w:webHidden/>
          </w:rPr>
        </w:r>
        <w:r w:rsidR="00CC0777" w:rsidRPr="00FF756A">
          <w:rPr>
            <w:noProof/>
            <w:webHidden/>
          </w:rPr>
          <w:fldChar w:fldCharType="separate"/>
        </w:r>
        <w:r w:rsidR="00CC0777" w:rsidRPr="00FF756A">
          <w:rPr>
            <w:noProof/>
            <w:webHidden/>
          </w:rPr>
          <w:t>251</w:t>
        </w:r>
        <w:r w:rsidR="00CC0777" w:rsidRPr="00FF756A">
          <w:rPr>
            <w:noProof/>
            <w:webHidden/>
          </w:rPr>
          <w:fldChar w:fldCharType="end"/>
        </w:r>
      </w:hyperlink>
    </w:p>
    <w:p w14:paraId="3D2A88E6" w14:textId="77F96082"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81" w:history="1">
        <w:r w:rsidR="00CC0777" w:rsidRPr="00FF756A">
          <w:rPr>
            <w:rStyle w:val="Hyperlink"/>
            <w:noProof/>
          </w:rPr>
          <w:t>Figura 51: Konsumi final i energjisë (ktoe) për sektorin e banesave, sipas vlerave historike të periudhës 2022-2023 dhe sipas parashikimit me masat ekzistuese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_Toc183016581 \h </w:instrText>
        </w:r>
        <w:r w:rsidR="00CC0777" w:rsidRPr="00FF756A">
          <w:rPr>
            <w:noProof/>
            <w:webHidden/>
          </w:rPr>
        </w:r>
        <w:r w:rsidR="00CC0777" w:rsidRPr="00FF756A">
          <w:rPr>
            <w:noProof/>
            <w:webHidden/>
          </w:rPr>
          <w:fldChar w:fldCharType="separate"/>
        </w:r>
        <w:r w:rsidR="00CC0777" w:rsidRPr="00FF756A">
          <w:rPr>
            <w:noProof/>
            <w:webHidden/>
          </w:rPr>
          <w:t>251</w:t>
        </w:r>
        <w:r w:rsidR="00CC0777" w:rsidRPr="00FF756A">
          <w:rPr>
            <w:noProof/>
            <w:webHidden/>
          </w:rPr>
          <w:fldChar w:fldCharType="end"/>
        </w:r>
      </w:hyperlink>
    </w:p>
    <w:p w14:paraId="23D2C2E9" w14:textId="7E44B4FF"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82" w:history="1">
        <w:r w:rsidR="00CC0777" w:rsidRPr="00FF756A">
          <w:rPr>
            <w:rStyle w:val="Hyperlink"/>
            <w:noProof/>
          </w:rPr>
          <w:t>Figura 52: Burimet e përziera në konsumin final të energjisë (ktoe) për sektorin e banesave, sipas vlerave historike të periudhës 2022-2023 dhe sipas parashikimit me masat ekzistuese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_Toc183016582 \h </w:instrText>
        </w:r>
        <w:r w:rsidR="00CC0777" w:rsidRPr="00FF756A">
          <w:rPr>
            <w:noProof/>
            <w:webHidden/>
          </w:rPr>
        </w:r>
        <w:r w:rsidR="00CC0777" w:rsidRPr="00FF756A">
          <w:rPr>
            <w:noProof/>
            <w:webHidden/>
          </w:rPr>
          <w:fldChar w:fldCharType="separate"/>
        </w:r>
        <w:r w:rsidR="00CC0777" w:rsidRPr="00FF756A">
          <w:rPr>
            <w:noProof/>
            <w:webHidden/>
          </w:rPr>
          <w:t>252</w:t>
        </w:r>
        <w:r w:rsidR="00CC0777" w:rsidRPr="00FF756A">
          <w:rPr>
            <w:noProof/>
            <w:webHidden/>
          </w:rPr>
          <w:fldChar w:fldCharType="end"/>
        </w:r>
      </w:hyperlink>
    </w:p>
    <w:p w14:paraId="678C38F0" w14:textId="2F46F958"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83" w:history="1">
        <w:r w:rsidR="00CC0777" w:rsidRPr="00FF756A">
          <w:rPr>
            <w:rStyle w:val="Hyperlink"/>
            <w:noProof/>
          </w:rPr>
          <w:t>Figura 53: Konsumi final i energjisë (ktoe) për sektorin e shërbimeve, sipas vlerave historike të periudhës 2016-2023 dhe sipas parashikimit me masat ekzistuese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_Toc183016583 \h </w:instrText>
        </w:r>
        <w:r w:rsidR="00CC0777" w:rsidRPr="00FF756A">
          <w:rPr>
            <w:noProof/>
            <w:webHidden/>
          </w:rPr>
        </w:r>
        <w:r w:rsidR="00CC0777" w:rsidRPr="00FF756A">
          <w:rPr>
            <w:noProof/>
            <w:webHidden/>
          </w:rPr>
          <w:fldChar w:fldCharType="separate"/>
        </w:r>
        <w:r w:rsidR="00CC0777" w:rsidRPr="00FF756A">
          <w:rPr>
            <w:noProof/>
            <w:webHidden/>
          </w:rPr>
          <w:t>252</w:t>
        </w:r>
        <w:r w:rsidR="00CC0777" w:rsidRPr="00FF756A">
          <w:rPr>
            <w:noProof/>
            <w:webHidden/>
          </w:rPr>
          <w:fldChar w:fldCharType="end"/>
        </w:r>
      </w:hyperlink>
    </w:p>
    <w:p w14:paraId="0971364B" w14:textId="1442BD45"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84" w:history="1">
        <w:r w:rsidR="00CC0777" w:rsidRPr="00FF756A">
          <w:rPr>
            <w:rStyle w:val="Hyperlink"/>
            <w:noProof/>
          </w:rPr>
          <w:t>Figura 54: Burimet e përziera në konsumin final të energjisë (ktoe) për sektorin e shërbimeve, sipas vlerave historike të periudhës 2016-2023 dhe sipas parashikimit me masat ekzistuese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_Toc183016584 \h </w:instrText>
        </w:r>
        <w:r w:rsidR="00CC0777" w:rsidRPr="00FF756A">
          <w:rPr>
            <w:noProof/>
            <w:webHidden/>
          </w:rPr>
        </w:r>
        <w:r w:rsidR="00CC0777" w:rsidRPr="00FF756A">
          <w:rPr>
            <w:noProof/>
            <w:webHidden/>
          </w:rPr>
          <w:fldChar w:fldCharType="separate"/>
        </w:r>
        <w:r w:rsidR="00CC0777" w:rsidRPr="00FF756A">
          <w:rPr>
            <w:noProof/>
            <w:webHidden/>
          </w:rPr>
          <w:t>253</w:t>
        </w:r>
        <w:r w:rsidR="00CC0777" w:rsidRPr="00FF756A">
          <w:rPr>
            <w:noProof/>
            <w:webHidden/>
          </w:rPr>
          <w:fldChar w:fldCharType="end"/>
        </w:r>
      </w:hyperlink>
    </w:p>
    <w:p w14:paraId="573C8C53" w14:textId="49265F57"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85" w:history="1">
        <w:r w:rsidR="00CC0777" w:rsidRPr="00FF756A">
          <w:rPr>
            <w:rStyle w:val="Hyperlink"/>
            <w:noProof/>
          </w:rPr>
          <w:t>Figura 55: Konsumi final i energjisë (ktoe) për sektorin e industrisë, sipas vlerave historike të periudhës 2016-2023 dhe sipas parashikimit me masat ekzistuese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_Toc183016585 \h </w:instrText>
        </w:r>
        <w:r w:rsidR="00CC0777" w:rsidRPr="00FF756A">
          <w:rPr>
            <w:noProof/>
            <w:webHidden/>
          </w:rPr>
        </w:r>
        <w:r w:rsidR="00CC0777" w:rsidRPr="00FF756A">
          <w:rPr>
            <w:noProof/>
            <w:webHidden/>
          </w:rPr>
          <w:fldChar w:fldCharType="separate"/>
        </w:r>
        <w:r w:rsidR="00CC0777" w:rsidRPr="00FF756A">
          <w:rPr>
            <w:noProof/>
            <w:webHidden/>
          </w:rPr>
          <w:t>253</w:t>
        </w:r>
        <w:r w:rsidR="00CC0777" w:rsidRPr="00FF756A">
          <w:rPr>
            <w:noProof/>
            <w:webHidden/>
          </w:rPr>
          <w:fldChar w:fldCharType="end"/>
        </w:r>
      </w:hyperlink>
    </w:p>
    <w:p w14:paraId="48E02504" w14:textId="785B31FA"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86" w:history="1">
        <w:r w:rsidR="00CC0777" w:rsidRPr="00FF756A">
          <w:rPr>
            <w:rStyle w:val="Hyperlink"/>
            <w:noProof/>
          </w:rPr>
          <w:t>Figura 56: Burimet e përziera në konsumin final të energjisë (ktoe) për sektorin e industrisë, sipas vlerave historike të periudhës 2016-2023 dhe sipas parashikimit me masat ekzistuese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_Toc183016586 \h </w:instrText>
        </w:r>
        <w:r w:rsidR="00CC0777" w:rsidRPr="00FF756A">
          <w:rPr>
            <w:noProof/>
            <w:webHidden/>
          </w:rPr>
        </w:r>
        <w:r w:rsidR="00CC0777" w:rsidRPr="00FF756A">
          <w:rPr>
            <w:noProof/>
            <w:webHidden/>
          </w:rPr>
          <w:fldChar w:fldCharType="separate"/>
        </w:r>
        <w:r w:rsidR="00CC0777" w:rsidRPr="00FF756A">
          <w:rPr>
            <w:noProof/>
            <w:webHidden/>
          </w:rPr>
          <w:t>254</w:t>
        </w:r>
        <w:r w:rsidR="00CC0777" w:rsidRPr="00FF756A">
          <w:rPr>
            <w:noProof/>
            <w:webHidden/>
          </w:rPr>
          <w:fldChar w:fldCharType="end"/>
        </w:r>
      </w:hyperlink>
    </w:p>
    <w:p w14:paraId="59F8F4A0" w14:textId="07FB0246"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87" w:history="1">
        <w:r w:rsidR="00CC0777" w:rsidRPr="00FF756A">
          <w:rPr>
            <w:rStyle w:val="Hyperlink"/>
            <w:noProof/>
          </w:rPr>
          <w:t>Figura 57: Konsumi final i energjisë (ktoe) për sektorin e transportit, sipas vlerave historike të periudhës 2016-2023 dhe sipas parashikimit me masat ekzistuese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_Toc183016587 \h </w:instrText>
        </w:r>
        <w:r w:rsidR="00CC0777" w:rsidRPr="00FF756A">
          <w:rPr>
            <w:noProof/>
            <w:webHidden/>
          </w:rPr>
        </w:r>
        <w:r w:rsidR="00CC0777" w:rsidRPr="00FF756A">
          <w:rPr>
            <w:noProof/>
            <w:webHidden/>
          </w:rPr>
          <w:fldChar w:fldCharType="separate"/>
        </w:r>
        <w:r w:rsidR="00CC0777" w:rsidRPr="00FF756A">
          <w:rPr>
            <w:noProof/>
            <w:webHidden/>
          </w:rPr>
          <w:t>254</w:t>
        </w:r>
        <w:r w:rsidR="00CC0777" w:rsidRPr="00FF756A">
          <w:rPr>
            <w:noProof/>
            <w:webHidden/>
          </w:rPr>
          <w:fldChar w:fldCharType="end"/>
        </w:r>
      </w:hyperlink>
    </w:p>
    <w:p w14:paraId="3ECD86BA" w14:textId="1C772212"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88" w:history="1">
        <w:r w:rsidR="00CC0777" w:rsidRPr="00FF756A">
          <w:rPr>
            <w:rStyle w:val="Hyperlink"/>
            <w:noProof/>
          </w:rPr>
          <w:t>Figura 58: Burimet e përziera në konsumin final të energjisë (ktoe) për sektorin e transportit, sipas vlerave historike të periudhës 2016-2023 dhe sipas parashikimit me masat ekzistuese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_Toc183016588 \h </w:instrText>
        </w:r>
        <w:r w:rsidR="00CC0777" w:rsidRPr="00FF756A">
          <w:rPr>
            <w:noProof/>
            <w:webHidden/>
          </w:rPr>
        </w:r>
        <w:r w:rsidR="00CC0777" w:rsidRPr="00FF756A">
          <w:rPr>
            <w:noProof/>
            <w:webHidden/>
          </w:rPr>
          <w:fldChar w:fldCharType="separate"/>
        </w:r>
        <w:r w:rsidR="00CC0777" w:rsidRPr="00FF756A">
          <w:rPr>
            <w:noProof/>
            <w:webHidden/>
          </w:rPr>
          <w:t>255</w:t>
        </w:r>
        <w:r w:rsidR="00CC0777" w:rsidRPr="00FF756A">
          <w:rPr>
            <w:noProof/>
            <w:webHidden/>
          </w:rPr>
          <w:fldChar w:fldCharType="end"/>
        </w:r>
      </w:hyperlink>
    </w:p>
    <w:p w14:paraId="6DB656EC" w14:textId="34BB1A08"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89" w:history="1">
        <w:r w:rsidR="00CC0777" w:rsidRPr="00FF756A">
          <w:rPr>
            <w:rStyle w:val="Hyperlink"/>
            <w:noProof/>
          </w:rPr>
          <w:t>Figura 59: Konsumi final i energjisë (ktoe) për sektorin e transportit të udhëtarëve, sipas vlerave historike të periudhës 2016-2023 dhe sipas parashikimit me masat ekzistuese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_Toc183016589 \h </w:instrText>
        </w:r>
        <w:r w:rsidR="00CC0777" w:rsidRPr="00FF756A">
          <w:rPr>
            <w:noProof/>
            <w:webHidden/>
          </w:rPr>
        </w:r>
        <w:r w:rsidR="00CC0777" w:rsidRPr="00FF756A">
          <w:rPr>
            <w:noProof/>
            <w:webHidden/>
          </w:rPr>
          <w:fldChar w:fldCharType="separate"/>
        </w:r>
        <w:r w:rsidR="00CC0777" w:rsidRPr="00FF756A">
          <w:rPr>
            <w:noProof/>
            <w:webHidden/>
          </w:rPr>
          <w:t>255</w:t>
        </w:r>
        <w:r w:rsidR="00CC0777" w:rsidRPr="00FF756A">
          <w:rPr>
            <w:noProof/>
            <w:webHidden/>
          </w:rPr>
          <w:fldChar w:fldCharType="end"/>
        </w:r>
      </w:hyperlink>
    </w:p>
    <w:p w14:paraId="07319546" w14:textId="6AE704C7"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90" w:history="1">
        <w:r w:rsidR="00CC0777" w:rsidRPr="00FF756A">
          <w:rPr>
            <w:rStyle w:val="Hyperlink"/>
            <w:noProof/>
          </w:rPr>
          <w:t>Figura 60: Burimet e përziera në konsumin final të energjisë (ktoe) për sektorin e transportit të udhëtarëve, sipas vlerave historike të periudhës 2016-2023 dhe sipas parashikimit me masat ekzistuese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_Toc183016590 \h </w:instrText>
        </w:r>
        <w:r w:rsidR="00CC0777" w:rsidRPr="00FF756A">
          <w:rPr>
            <w:noProof/>
            <w:webHidden/>
          </w:rPr>
        </w:r>
        <w:r w:rsidR="00CC0777" w:rsidRPr="00FF756A">
          <w:rPr>
            <w:noProof/>
            <w:webHidden/>
          </w:rPr>
          <w:fldChar w:fldCharType="separate"/>
        </w:r>
        <w:r w:rsidR="00CC0777" w:rsidRPr="00FF756A">
          <w:rPr>
            <w:noProof/>
            <w:webHidden/>
          </w:rPr>
          <w:t>256</w:t>
        </w:r>
        <w:r w:rsidR="00CC0777" w:rsidRPr="00FF756A">
          <w:rPr>
            <w:noProof/>
            <w:webHidden/>
          </w:rPr>
          <w:fldChar w:fldCharType="end"/>
        </w:r>
      </w:hyperlink>
    </w:p>
    <w:p w14:paraId="14384386" w14:textId="64754CF5"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91" w:history="1">
        <w:r w:rsidR="00CC0777" w:rsidRPr="00FF756A">
          <w:rPr>
            <w:rStyle w:val="Hyperlink"/>
            <w:noProof/>
          </w:rPr>
          <w:t>Figura 61: Konsumi final i energjisë (ktoe) për sektorin e transportit të mallrave, sipas vlerave historike të periudhës 2016-2023 dhe sipas parashikimit me masat ekzistuese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_Toc183016591 \h </w:instrText>
        </w:r>
        <w:r w:rsidR="00CC0777" w:rsidRPr="00FF756A">
          <w:rPr>
            <w:noProof/>
            <w:webHidden/>
          </w:rPr>
        </w:r>
        <w:r w:rsidR="00CC0777" w:rsidRPr="00FF756A">
          <w:rPr>
            <w:noProof/>
            <w:webHidden/>
          </w:rPr>
          <w:fldChar w:fldCharType="separate"/>
        </w:r>
        <w:r w:rsidR="00CC0777" w:rsidRPr="00FF756A">
          <w:rPr>
            <w:noProof/>
            <w:webHidden/>
          </w:rPr>
          <w:t>256</w:t>
        </w:r>
        <w:r w:rsidR="00CC0777" w:rsidRPr="00FF756A">
          <w:rPr>
            <w:noProof/>
            <w:webHidden/>
          </w:rPr>
          <w:fldChar w:fldCharType="end"/>
        </w:r>
      </w:hyperlink>
    </w:p>
    <w:p w14:paraId="4D831BC8" w14:textId="798FF6F1"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92" w:history="1">
        <w:r w:rsidR="00CC0777" w:rsidRPr="00FF756A">
          <w:rPr>
            <w:rStyle w:val="Hyperlink"/>
            <w:noProof/>
          </w:rPr>
          <w:t>Figura 62: Burimet e përziera në konsumin final të energjisë (ktoe) për sektorin e transportit të mallrave, sipas vlerave historike të periudhës 2016-2023 dhe sipas parashikimit me masat ekzistuese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_Toc183016592 \h </w:instrText>
        </w:r>
        <w:r w:rsidR="00CC0777" w:rsidRPr="00FF756A">
          <w:rPr>
            <w:noProof/>
            <w:webHidden/>
          </w:rPr>
        </w:r>
        <w:r w:rsidR="00CC0777" w:rsidRPr="00FF756A">
          <w:rPr>
            <w:noProof/>
            <w:webHidden/>
          </w:rPr>
          <w:fldChar w:fldCharType="separate"/>
        </w:r>
        <w:r w:rsidR="00CC0777" w:rsidRPr="00FF756A">
          <w:rPr>
            <w:noProof/>
            <w:webHidden/>
          </w:rPr>
          <w:t>257</w:t>
        </w:r>
        <w:r w:rsidR="00CC0777" w:rsidRPr="00FF756A">
          <w:rPr>
            <w:noProof/>
            <w:webHidden/>
          </w:rPr>
          <w:fldChar w:fldCharType="end"/>
        </w:r>
      </w:hyperlink>
    </w:p>
    <w:p w14:paraId="39CDB906" w14:textId="2E0530CE"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93" w:history="1">
        <w:r w:rsidR="00CC0777" w:rsidRPr="00FF756A">
          <w:rPr>
            <w:rStyle w:val="Hyperlink"/>
            <w:noProof/>
          </w:rPr>
          <w:t>Figura 63: Konsumi final i energjisë (ktoe) për kërkesën joenergjetike të vektorëve të energjisë, sipas vlerave historike të periudhës 2016-2023 dhe sipas parashikimit me masat ekzistuese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_Toc183016593 \h </w:instrText>
        </w:r>
        <w:r w:rsidR="00CC0777" w:rsidRPr="00FF756A">
          <w:rPr>
            <w:noProof/>
            <w:webHidden/>
          </w:rPr>
        </w:r>
        <w:r w:rsidR="00CC0777" w:rsidRPr="00FF756A">
          <w:rPr>
            <w:noProof/>
            <w:webHidden/>
          </w:rPr>
          <w:fldChar w:fldCharType="separate"/>
        </w:r>
        <w:r w:rsidR="00CC0777" w:rsidRPr="00FF756A">
          <w:rPr>
            <w:noProof/>
            <w:webHidden/>
          </w:rPr>
          <w:t>257</w:t>
        </w:r>
        <w:r w:rsidR="00CC0777" w:rsidRPr="00FF756A">
          <w:rPr>
            <w:noProof/>
            <w:webHidden/>
          </w:rPr>
          <w:fldChar w:fldCharType="end"/>
        </w:r>
      </w:hyperlink>
    </w:p>
    <w:p w14:paraId="243FEE34" w14:textId="4FD735A3"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94" w:history="1">
        <w:r w:rsidR="00CC0777" w:rsidRPr="00FF756A">
          <w:rPr>
            <w:rStyle w:val="Hyperlink"/>
            <w:noProof/>
          </w:rPr>
          <w:t xml:space="preserve">Figura 64: Përqindja e importeve të energjisë elektrike (të dhënat historike të periudhës 2004 </w:t>
        </w:r>
        <w:r w:rsidR="00DF469A">
          <w:rPr>
            <w:rStyle w:val="Hyperlink"/>
            <w:noProof/>
          </w:rPr>
          <w:t>–</w:t>
        </w:r>
        <w:r w:rsidR="00CC0777" w:rsidRPr="00FF756A">
          <w:rPr>
            <w:rStyle w:val="Hyperlink"/>
            <w:noProof/>
          </w:rPr>
          <w:t xml:space="preserve"> 2018)</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_Toc183016594 \h </w:instrText>
        </w:r>
        <w:r w:rsidR="00CC0777" w:rsidRPr="00FF756A">
          <w:rPr>
            <w:noProof/>
            <w:webHidden/>
          </w:rPr>
        </w:r>
        <w:r w:rsidR="00CC0777" w:rsidRPr="00FF756A">
          <w:rPr>
            <w:noProof/>
            <w:webHidden/>
          </w:rPr>
          <w:fldChar w:fldCharType="separate"/>
        </w:r>
        <w:r w:rsidR="00CC0777" w:rsidRPr="00FF756A">
          <w:rPr>
            <w:noProof/>
            <w:webHidden/>
          </w:rPr>
          <w:t>261</w:t>
        </w:r>
        <w:r w:rsidR="00CC0777" w:rsidRPr="00FF756A">
          <w:rPr>
            <w:noProof/>
            <w:webHidden/>
          </w:rPr>
          <w:fldChar w:fldCharType="end"/>
        </w:r>
      </w:hyperlink>
    </w:p>
    <w:p w14:paraId="43A1FE42" w14:textId="1BEA2205"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95" w:history="1">
        <w:r w:rsidR="00CC0777" w:rsidRPr="00FF756A">
          <w:rPr>
            <w:rStyle w:val="Hyperlink"/>
            <w:noProof/>
          </w:rPr>
          <w:t xml:space="preserve">Figura 65: Prodhimi i lëndëve djegëse (të dhënat historike të periudhës 2011 </w:t>
        </w:r>
        <w:r w:rsidR="00DF469A">
          <w:rPr>
            <w:rStyle w:val="Hyperlink"/>
            <w:noProof/>
          </w:rPr>
          <w:t>–</w:t>
        </w:r>
        <w:r w:rsidR="00CC0777" w:rsidRPr="00FF756A">
          <w:rPr>
            <w:rStyle w:val="Hyperlink"/>
            <w:noProof/>
          </w:rPr>
          <w:t xml:space="preserve"> 2018)</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_Toc183016595 \h </w:instrText>
        </w:r>
        <w:r w:rsidR="00CC0777" w:rsidRPr="00FF756A">
          <w:rPr>
            <w:noProof/>
            <w:webHidden/>
          </w:rPr>
        </w:r>
        <w:r w:rsidR="00CC0777" w:rsidRPr="00FF756A">
          <w:rPr>
            <w:noProof/>
            <w:webHidden/>
          </w:rPr>
          <w:fldChar w:fldCharType="separate"/>
        </w:r>
        <w:r w:rsidR="00CC0777" w:rsidRPr="00FF756A">
          <w:rPr>
            <w:noProof/>
            <w:webHidden/>
          </w:rPr>
          <w:t>261</w:t>
        </w:r>
        <w:r w:rsidR="00CC0777" w:rsidRPr="00FF756A">
          <w:rPr>
            <w:noProof/>
            <w:webHidden/>
          </w:rPr>
          <w:fldChar w:fldCharType="end"/>
        </w:r>
      </w:hyperlink>
    </w:p>
    <w:p w14:paraId="38A3FAC0" w14:textId="15CCDBF3"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96" w:history="1">
        <w:r w:rsidR="00CC0777" w:rsidRPr="00FF756A">
          <w:rPr>
            <w:rStyle w:val="Hyperlink"/>
            <w:noProof/>
          </w:rPr>
          <w:t xml:space="preserve">Figura 66: Importet neto të lëndëve djegëse (të dhënat historike të periudhës 2011 </w:t>
        </w:r>
        <w:r w:rsidR="00DF469A">
          <w:rPr>
            <w:rStyle w:val="Hyperlink"/>
            <w:noProof/>
          </w:rPr>
          <w:t>–</w:t>
        </w:r>
        <w:r w:rsidR="00CC0777" w:rsidRPr="00FF756A">
          <w:rPr>
            <w:rStyle w:val="Hyperlink"/>
            <w:noProof/>
          </w:rPr>
          <w:t xml:space="preserve"> 2018)</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_Toc183016596 \h </w:instrText>
        </w:r>
        <w:r w:rsidR="00CC0777" w:rsidRPr="00FF756A">
          <w:rPr>
            <w:noProof/>
            <w:webHidden/>
          </w:rPr>
        </w:r>
        <w:r w:rsidR="00CC0777" w:rsidRPr="00FF756A">
          <w:rPr>
            <w:noProof/>
            <w:webHidden/>
          </w:rPr>
          <w:fldChar w:fldCharType="separate"/>
        </w:r>
        <w:r w:rsidR="00CC0777" w:rsidRPr="00FF756A">
          <w:rPr>
            <w:noProof/>
            <w:webHidden/>
          </w:rPr>
          <w:t>262</w:t>
        </w:r>
        <w:r w:rsidR="00CC0777" w:rsidRPr="00FF756A">
          <w:rPr>
            <w:noProof/>
            <w:webHidden/>
          </w:rPr>
          <w:fldChar w:fldCharType="end"/>
        </w:r>
      </w:hyperlink>
    </w:p>
    <w:p w14:paraId="05D76A40" w14:textId="3760C6D2"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97" w:history="1">
        <w:r w:rsidR="00CC0777" w:rsidRPr="00FF756A">
          <w:rPr>
            <w:rStyle w:val="Hyperlink"/>
            <w:noProof/>
          </w:rPr>
          <w:t>Figura 67: Prodhimi, kërkesa dhe importet e energjisë elektrike për skenarin me masa ekzistuese. (projeksioni për periudhën 2023-2050)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_Toc183016597 \h </w:instrText>
        </w:r>
        <w:r w:rsidR="00CC0777" w:rsidRPr="00FF756A">
          <w:rPr>
            <w:noProof/>
            <w:webHidden/>
          </w:rPr>
        </w:r>
        <w:r w:rsidR="00CC0777" w:rsidRPr="00FF756A">
          <w:rPr>
            <w:noProof/>
            <w:webHidden/>
          </w:rPr>
          <w:fldChar w:fldCharType="separate"/>
        </w:r>
        <w:r w:rsidR="00CC0777" w:rsidRPr="00FF756A">
          <w:rPr>
            <w:noProof/>
            <w:webHidden/>
          </w:rPr>
          <w:t>263</w:t>
        </w:r>
        <w:r w:rsidR="00CC0777" w:rsidRPr="00FF756A">
          <w:rPr>
            <w:noProof/>
            <w:webHidden/>
          </w:rPr>
          <w:fldChar w:fldCharType="end"/>
        </w:r>
      </w:hyperlink>
    </w:p>
    <w:p w14:paraId="3413CC34" w14:textId="671F7A8A"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98" w:history="1">
        <w:r w:rsidR="00CC0777" w:rsidRPr="00FF756A">
          <w:rPr>
            <w:rStyle w:val="Hyperlink"/>
            <w:noProof/>
          </w:rPr>
          <w:t>Figura 68: Prodhimi i lëndëve djegëse (parashikimi për periudhën 2019 - -2040)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_Toc183016598 \h </w:instrText>
        </w:r>
        <w:r w:rsidR="00CC0777" w:rsidRPr="00FF756A">
          <w:rPr>
            <w:noProof/>
            <w:webHidden/>
          </w:rPr>
        </w:r>
        <w:r w:rsidR="00CC0777" w:rsidRPr="00FF756A">
          <w:rPr>
            <w:noProof/>
            <w:webHidden/>
          </w:rPr>
          <w:fldChar w:fldCharType="separate"/>
        </w:r>
        <w:r w:rsidR="00CC0777" w:rsidRPr="00FF756A">
          <w:rPr>
            <w:noProof/>
            <w:webHidden/>
          </w:rPr>
          <w:t>264</w:t>
        </w:r>
        <w:r w:rsidR="00CC0777" w:rsidRPr="00FF756A">
          <w:rPr>
            <w:noProof/>
            <w:webHidden/>
          </w:rPr>
          <w:fldChar w:fldCharType="end"/>
        </w:r>
      </w:hyperlink>
    </w:p>
    <w:p w14:paraId="768DAE25" w14:textId="4B66D329"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599" w:history="1">
        <w:r w:rsidR="00CC0777" w:rsidRPr="00FF756A">
          <w:rPr>
            <w:rStyle w:val="Hyperlink"/>
            <w:noProof/>
          </w:rPr>
          <w:t>Figura 69: Importet neto të lëndëve djegëse (parashikimi për periudhën 2019 - -2040)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_Toc183016599 \h </w:instrText>
        </w:r>
        <w:r w:rsidR="00CC0777" w:rsidRPr="00FF756A">
          <w:rPr>
            <w:noProof/>
            <w:webHidden/>
          </w:rPr>
        </w:r>
        <w:r w:rsidR="00CC0777" w:rsidRPr="00FF756A">
          <w:rPr>
            <w:noProof/>
            <w:webHidden/>
          </w:rPr>
          <w:fldChar w:fldCharType="separate"/>
        </w:r>
        <w:r w:rsidR="00CC0777" w:rsidRPr="00FF756A">
          <w:rPr>
            <w:noProof/>
            <w:webHidden/>
          </w:rPr>
          <w:t>264</w:t>
        </w:r>
        <w:r w:rsidR="00CC0777" w:rsidRPr="00FF756A">
          <w:rPr>
            <w:noProof/>
            <w:webHidden/>
          </w:rPr>
          <w:fldChar w:fldCharType="end"/>
        </w:r>
      </w:hyperlink>
    </w:p>
    <w:p w14:paraId="345EB7AE" w14:textId="710FDC59"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00" w:history="1">
        <w:r w:rsidR="00CC0777" w:rsidRPr="00FF756A">
          <w:rPr>
            <w:rStyle w:val="Hyperlink"/>
            <w:noProof/>
          </w:rPr>
          <w:t>Figura 70: Harta e linjave të transmetimit dhe interkonektorëve kryesorë. Burimi: prezantimi ynë bazuar në OST 2018</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_Toc183016600 \h </w:instrText>
        </w:r>
        <w:r w:rsidR="00CC0777" w:rsidRPr="00FF756A">
          <w:rPr>
            <w:noProof/>
            <w:webHidden/>
          </w:rPr>
        </w:r>
        <w:r w:rsidR="00CC0777" w:rsidRPr="00FF756A">
          <w:rPr>
            <w:noProof/>
            <w:webHidden/>
          </w:rPr>
          <w:fldChar w:fldCharType="separate"/>
        </w:r>
        <w:r w:rsidR="00CC0777" w:rsidRPr="00FF756A">
          <w:rPr>
            <w:noProof/>
            <w:webHidden/>
          </w:rPr>
          <w:t>266</w:t>
        </w:r>
        <w:r w:rsidR="00CC0777" w:rsidRPr="00FF756A">
          <w:rPr>
            <w:noProof/>
            <w:webHidden/>
          </w:rPr>
          <w:fldChar w:fldCharType="end"/>
        </w:r>
      </w:hyperlink>
    </w:p>
    <w:p w14:paraId="30B959F7" w14:textId="4631108D"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01" w:history="1">
        <w:r w:rsidR="00CC0777" w:rsidRPr="00FF756A">
          <w:rPr>
            <w:rStyle w:val="Hyperlink"/>
            <w:noProof/>
          </w:rPr>
          <w:t>Figura 71: Kapacitetet e interkonektorëve. Burimi: Energy Community Secretariat 2021</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_Toc183016601 \h </w:instrText>
        </w:r>
        <w:r w:rsidR="00CC0777" w:rsidRPr="00FF756A">
          <w:rPr>
            <w:noProof/>
            <w:webHidden/>
          </w:rPr>
        </w:r>
        <w:r w:rsidR="00CC0777" w:rsidRPr="00FF756A">
          <w:rPr>
            <w:noProof/>
            <w:webHidden/>
          </w:rPr>
          <w:fldChar w:fldCharType="separate"/>
        </w:r>
        <w:r w:rsidR="00CC0777" w:rsidRPr="00FF756A">
          <w:rPr>
            <w:noProof/>
            <w:webHidden/>
          </w:rPr>
          <w:t>267</w:t>
        </w:r>
        <w:r w:rsidR="00CC0777" w:rsidRPr="00FF756A">
          <w:rPr>
            <w:noProof/>
            <w:webHidden/>
          </w:rPr>
          <w:fldChar w:fldCharType="end"/>
        </w:r>
      </w:hyperlink>
    </w:p>
    <w:p w14:paraId="51BD24B5" w14:textId="0973616F"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02" w:history="1">
        <w:r w:rsidR="00CC0777" w:rsidRPr="00FF756A">
          <w:rPr>
            <w:rStyle w:val="Hyperlink"/>
            <w:noProof/>
          </w:rPr>
          <w:t>Figura 72: Struktura e Sistemit të Transmetimit në Shqipëri: Burimi: OST 2018</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_Toc183016602 \h </w:instrText>
        </w:r>
        <w:r w:rsidR="00CC0777" w:rsidRPr="00FF756A">
          <w:rPr>
            <w:noProof/>
            <w:webHidden/>
          </w:rPr>
        </w:r>
        <w:r w:rsidR="00CC0777" w:rsidRPr="00FF756A">
          <w:rPr>
            <w:noProof/>
            <w:webHidden/>
          </w:rPr>
          <w:fldChar w:fldCharType="separate"/>
        </w:r>
        <w:r w:rsidR="00CC0777" w:rsidRPr="00FF756A">
          <w:rPr>
            <w:noProof/>
            <w:webHidden/>
          </w:rPr>
          <w:t>269</w:t>
        </w:r>
        <w:r w:rsidR="00CC0777" w:rsidRPr="00FF756A">
          <w:rPr>
            <w:noProof/>
            <w:webHidden/>
          </w:rPr>
          <w:fldChar w:fldCharType="end"/>
        </w:r>
      </w:hyperlink>
    </w:p>
    <w:p w14:paraId="603614A2" w14:textId="602984C7"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03" w:history="1">
        <w:r w:rsidR="00CC0777" w:rsidRPr="00FF756A">
          <w:rPr>
            <w:rStyle w:val="Hyperlink"/>
            <w:noProof/>
          </w:rPr>
          <w:t>Figura 73: Shkarkimet e GES-ve (kt CO2eq) për ekonominë në tërësi për periudhën kohore 2016-2023 dhe sipas parashikimit për periudhën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_Toc183016603 \h </w:instrText>
        </w:r>
        <w:r w:rsidR="00CC0777" w:rsidRPr="00FF756A">
          <w:rPr>
            <w:noProof/>
            <w:webHidden/>
          </w:rPr>
        </w:r>
        <w:r w:rsidR="00CC0777" w:rsidRPr="00FF756A">
          <w:rPr>
            <w:noProof/>
            <w:webHidden/>
          </w:rPr>
          <w:fldChar w:fldCharType="separate"/>
        </w:r>
        <w:r w:rsidR="00CC0777" w:rsidRPr="00FF756A">
          <w:rPr>
            <w:noProof/>
            <w:webHidden/>
          </w:rPr>
          <w:t>276</w:t>
        </w:r>
        <w:r w:rsidR="00CC0777" w:rsidRPr="00FF756A">
          <w:rPr>
            <w:noProof/>
            <w:webHidden/>
          </w:rPr>
          <w:fldChar w:fldCharType="end"/>
        </w:r>
      </w:hyperlink>
    </w:p>
    <w:p w14:paraId="15C285BD" w14:textId="3497A04E"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04" w:history="1">
        <w:r w:rsidR="00CC0777" w:rsidRPr="00FF756A">
          <w:rPr>
            <w:rStyle w:val="Hyperlink"/>
            <w:noProof/>
          </w:rPr>
          <w:t>Figura 74: Shkarkimet e GES-ve (kt CO2eq) për ekonominë në tërësi për periudhën kohore 2016-2023 dhe sipas parashikimit për vitet 2024-2050, skenarët WAM dhe WEM</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_Toc183016604 \h </w:instrText>
        </w:r>
        <w:r w:rsidR="00CC0777" w:rsidRPr="00FF756A">
          <w:rPr>
            <w:noProof/>
            <w:webHidden/>
          </w:rPr>
        </w:r>
        <w:r w:rsidR="00CC0777" w:rsidRPr="00FF756A">
          <w:rPr>
            <w:noProof/>
            <w:webHidden/>
          </w:rPr>
          <w:fldChar w:fldCharType="separate"/>
        </w:r>
        <w:r w:rsidR="00CC0777" w:rsidRPr="00FF756A">
          <w:rPr>
            <w:noProof/>
            <w:webHidden/>
          </w:rPr>
          <w:t>277</w:t>
        </w:r>
        <w:r w:rsidR="00CC0777" w:rsidRPr="00FF756A">
          <w:rPr>
            <w:noProof/>
            <w:webHidden/>
          </w:rPr>
          <w:fldChar w:fldCharType="end"/>
        </w:r>
      </w:hyperlink>
    </w:p>
    <w:p w14:paraId="629152F0" w14:textId="3256C9A4"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05" w:history="1">
        <w:r w:rsidR="00CC0777" w:rsidRPr="00FF756A">
          <w:rPr>
            <w:rStyle w:val="Hyperlink"/>
            <w:noProof/>
          </w:rPr>
          <w:t>Figura 75: Shkarkimet e GES-ve (kt CO2eq) për ekonominë në tërësi për periudhën kohore 2016-2023 dhe siç është projektuar për periudhën 2024-2050 (WAM). Dallimet midis WAM dhe WEM, të ndara në nënkategori</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_Toc183016605 \h </w:instrText>
        </w:r>
        <w:r w:rsidR="00CC0777" w:rsidRPr="00FF756A">
          <w:rPr>
            <w:noProof/>
            <w:webHidden/>
          </w:rPr>
        </w:r>
        <w:r w:rsidR="00CC0777" w:rsidRPr="00FF756A">
          <w:rPr>
            <w:noProof/>
            <w:webHidden/>
          </w:rPr>
          <w:fldChar w:fldCharType="separate"/>
        </w:r>
        <w:r w:rsidR="00CC0777" w:rsidRPr="00FF756A">
          <w:rPr>
            <w:noProof/>
            <w:webHidden/>
          </w:rPr>
          <w:t>277</w:t>
        </w:r>
        <w:r w:rsidR="00CC0777" w:rsidRPr="00FF756A">
          <w:rPr>
            <w:noProof/>
            <w:webHidden/>
          </w:rPr>
          <w:fldChar w:fldCharType="end"/>
        </w:r>
      </w:hyperlink>
    </w:p>
    <w:p w14:paraId="7C27B2A0" w14:textId="70370D03"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06" w:history="1">
        <w:r w:rsidR="00CC0777" w:rsidRPr="00FF756A">
          <w:rPr>
            <w:rStyle w:val="Hyperlink"/>
            <w:noProof/>
          </w:rPr>
          <w:t>Figura 76: Shkarkimet e drejtpërdrejta të GES-ve (kt CO2eq) për sektorët me kërkesë për energji për periudhën kohore 2016-2023 dhe sipas parashikimit për periudhën 2024-2050 me masa shtesë</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_Toc183016606 \h </w:instrText>
        </w:r>
        <w:r w:rsidR="00CC0777" w:rsidRPr="00FF756A">
          <w:rPr>
            <w:noProof/>
            <w:webHidden/>
          </w:rPr>
        </w:r>
        <w:r w:rsidR="00CC0777" w:rsidRPr="00FF756A">
          <w:rPr>
            <w:noProof/>
            <w:webHidden/>
          </w:rPr>
          <w:fldChar w:fldCharType="separate"/>
        </w:r>
        <w:r w:rsidR="00CC0777" w:rsidRPr="00FF756A">
          <w:rPr>
            <w:noProof/>
            <w:webHidden/>
          </w:rPr>
          <w:t>278</w:t>
        </w:r>
        <w:r w:rsidR="00CC0777" w:rsidRPr="00FF756A">
          <w:rPr>
            <w:noProof/>
            <w:webHidden/>
          </w:rPr>
          <w:fldChar w:fldCharType="end"/>
        </w:r>
      </w:hyperlink>
    </w:p>
    <w:p w14:paraId="19FCA47B" w14:textId="2EDA2549"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07" w:history="1">
        <w:r w:rsidR="00CC0777" w:rsidRPr="00FF756A">
          <w:rPr>
            <w:rStyle w:val="Hyperlink"/>
            <w:noProof/>
          </w:rPr>
          <w:t>Figura 77: Shkarkimet e GES-ve (kt CO2eq) për sektorët me kërkesë për energji për periudhën kohore 2016-2023 dhe sipas parashikimit për periudhën 2024-2050 për WAM dhe WEM</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_Toc183016607 \h </w:instrText>
        </w:r>
        <w:r w:rsidR="00CC0777" w:rsidRPr="00FF756A">
          <w:rPr>
            <w:noProof/>
            <w:webHidden/>
          </w:rPr>
        </w:r>
        <w:r w:rsidR="00CC0777" w:rsidRPr="00FF756A">
          <w:rPr>
            <w:noProof/>
            <w:webHidden/>
          </w:rPr>
          <w:fldChar w:fldCharType="separate"/>
        </w:r>
        <w:r w:rsidR="00CC0777" w:rsidRPr="00FF756A">
          <w:rPr>
            <w:noProof/>
            <w:webHidden/>
          </w:rPr>
          <w:t>279</w:t>
        </w:r>
        <w:r w:rsidR="00CC0777" w:rsidRPr="00FF756A">
          <w:rPr>
            <w:noProof/>
            <w:webHidden/>
          </w:rPr>
          <w:fldChar w:fldCharType="end"/>
        </w:r>
      </w:hyperlink>
    </w:p>
    <w:p w14:paraId="0C3EBC02" w14:textId="437EDC59"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08" w:history="1">
        <w:r w:rsidR="00CC0777" w:rsidRPr="00FF756A">
          <w:rPr>
            <w:rStyle w:val="Hyperlink"/>
            <w:noProof/>
          </w:rPr>
          <w:t>Figura 78: Shkarkimet e GES-ve (kt CO2eq) për sektorët me kërkesë për energji për periudhën kohore 2016-2023 dhe sipas parashikimit për periudhën 2024-2050 (WAM). Dallimet midis WAM dhe WEM, të ndara në nënkategori</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_Toc183016608 \h </w:instrText>
        </w:r>
        <w:r w:rsidR="00CC0777" w:rsidRPr="00FF756A">
          <w:rPr>
            <w:noProof/>
            <w:webHidden/>
          </w:rPr>
        </w:r>
        <w:r w:rsidR="00CC0777" w:rsidRPr="00FF756A">
          <w:rPr>
            <w:noProof/>
            <w:webHidden/>
          </w:rPr>
          <w:fldChar w:fldCharType="separate"/>
        </w:r>
        <w:r w:rsidR="00CC0777" w:rsidRPr="00FF756A">
          <w:rPr>
            <w:noProof/>
            <w:webHidden/>
          </w:rPr>
          <w:t>279</w:t>
        </w:r>
        <w:r w:rsidR="00CC0777" w:rsidRPr="00FF756A">
          <w:rPr>
            <w:noProof/>
            <w:webHidden/>
          </w:rPr>
          <w:fldChar w:fldCharType="end"/>
        </w:r>
      </w:hyperlink>
    </w:p>
    <w:p w14:paraId="5DBF4A7A" w14:textId="07544832"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09" w:history="1">
        <w:r w:rsidR="00CC0777" w:rsidRPr="00FF756A">
          <w:rPr>
            <w:rStyle w:val="Hyperlink"/>
            <w:noProof/>
          </w:rPr>
          <w:t>Figura 79: Shkarkimet e drejtpërdrejta të GES-ve (kt CO2eq) për sektorin e banesave për periudhën kohore 2016-2023 dhe sipas parashikimit për vitet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_Toc183016609 \h </w:instrText>
        </w:r>
        <w:r w:rsidR="00CC0777" w:rsidRPr="00FF756A">
          <w:rPr>
            <w:noProof/>
            <w:webHidden/>
          </w:rPr>
        </w:r>
        <w:r w:rsidR="00CC0777" w:rsidRPr="00FF756A">
          <w:rPr>
            <w:noProof/>
            <w:webHidden/>
          </w:rPr>
          <w:fldChar w:fldCharType="separate"/>
        </w:r>
        <w:r w:rsidR="00CC0777" w:rsidRPr="00FF756A">
          <w:rPr>
            <w:noProof/>
            <w:webHidden/>
          </w:rPr>
          <w:t>280</w:t>
        </w:r>
        <w:r w:rsidR="00CC0777" w:rsidRPr="00FF756A">
          <w:rPr>
            <w:noProof/>
            <w:webHidden/>
          </w:rPr>
          <w:fldChar w:fldCharType="end"/>
        </w:r>
      </w:hyperlink>
    </w:p>
    <w:p w14:paraId="0E991B8A" w14:textId="19E7405E"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10" w:history="1">
        <w:r w:rsidR="00CC0777" w:rsidRPr="00FF756A">
          <w:rPr>
            <w:rStyle w:val="Hyperlink"/>
            <w:noProof/>
          </w:rPr>
          <w:t>Figura 80: Shkarkimet e drejtpërdrejta të GES-ve (kt CO2eq) për sektorin e shërbimeve për periudhën kohore 2016-2023 dhe sipas parashikimit për vitet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_Toc183016610 \h </w:instrText>
        </w:r>
        <w:r w:rsidR="00CC0777" w:rsidRPr="00FF756A">
          <w:rPr>
            <w:noProof/>
            <w:webHidden/>
          </w:rPr>
        </w:r>
        <w:r w:rsidR="00CC0777" w:rsidRPr="00FF756A">
          <w:rPr>
            <w:noProof/>
            <w:webHidden/>
          </w:rPr>
          <w:fldChar w:fldCharType="separate"/>
        </w:r>
        <w:r w:rsidR="00CC0777" w:rsidRPr="00FF756A">
          <w:rPr>
            <w:noProof/>
            <w:webHidden/>
          </w:rPr>
          <w:t>280</w:t>
        </w:r>
        <w:r w:rsidR="00CC0777" w:rsidRPr="00FF756A">
          <w:rPr>
            <w:noProof/>
            <w:webHidden/>
          </w:rPr>
          <w:fldChar w:fldCharType="end"/>
        </w:r>
      </w:hyperlink>
    </w:p>
    <w:p w14:paraId="22C24238" w14:textId="6006AB22"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11" w:history="1">
        <w:r w:rsidR="00CC0777" w:rsidRPr="00FF756A">
          <w:rPr>
            <w:rStyle w:val="Hyperlink"/>
            <w:noProof/>
          </w:rPr>
          <w:t>Figura 81: Shkarkimet e drejtpërdrejta të GES-ve (kt CO2eq) për industrinë (me kërkesë për energji) për periudhën kohore 2016-2023 dhe sipas parashikimit për vitet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_Toc183016611 \h </w:instrText>
        </w:r>
        <w:r w:rsidR="00CC0777" w:rsidRPr="00FF756A">
          <w:rPr>
            <w:noProof/>
            <w:webHidden/>
          </w:rPr>
        </w:r>
        <w:r w:rsidR="00CC0777" w:rsidRPr="00FF756A">
          <w:rPr>
            <w:noProof/>
            <w:webHidden/>
          </w:rPr>
          <w:fldChar w:fldCharType="separate"/>
        </w:r>
        <w:r w:rsidR="00CC0777" w:rsidRPr="00FF756A">
          <w:rPr>
            <w:noProof/>
            <w:webHidden/>
          </w:rPr>
          <w:t>281</w:t>
        </w:r>
        <w:r w:rsidR="00CC0777" w:rsidRPr="00FF756A">
          <w:rPr>
            <w:noProof/>
            <w:webHidden/>
          </w:rPr>
          <w:fldChar w:fldCharType="end"/>
        </w:r>
      </w:hyperlink>
    </w:p>
    <w:p w14:paraId="117323F5" w14:textId="2DCCBA83"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12" w:history="1">
        <w:r w:rsidR="00CC0777" w:rsidRPr="00FF756A">
          <w:rPr>
            <w:rStyle w:val="Hyperlink"/>
            <w:noProof/>
          </w:rPr>
          <w:t>Figura 82: Shkarkimet e drejtpërdrejta të GES-ve (kt CO2eq) për sektorin e transportit për periudhën kohore 2016-2023 dhe sipas parashikimit për vitet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_Toc183016612 \h </w:instrText>
        </w:r>
        <w:r w:rsidR="00CC0777" w:rsidRPr="00FF756A">
          <w:rPr>
            <w:noProof/>
            <w:webHidden/>
          </w:rPr>
        </w:r>
        <w:r w:rsidR="00CC0777" w:rsidRPr="00FF756A">
          <w:rPr>
            <w:noProof/>
            <w:webHidden/>
          </w:rPr>
          <w:fldChar w:fldCharType="separate"/>
        </w:r>
        <w:r w:rsidR="00CC0777" w:rsidRPr="00FF756A">
          <w:rPr>
            <w:noProof/>
            <w:webHidden/>
          </w:rPr>
          <w:t>281</w:t>
        </w:r>
        <w:r w:rsidR="00CC0777" w:rsidRPr="00FF756A">
          <w:rPr>
            <w:noProof/>
            <w:webHidden/>
          </w:rPr>
          <w:fldChar w:fldCharType="end"/>
        </w:r>
      </w:hyperlink>
    </w:p>
    <w:p w14:paraId="093717AB" w14:textId="6F42D668"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13" w:history="1">
        <w:r w:rsidR="00CC0777" w:rsidRPr="00FF756A">
          <w:rPr>
            <w:rStyle w:val="Hyperlink"/>
            <w:noProof/>
          </w:rPr>
          <w:t>Figura 83: Shkarkimet e drejtpërdrejta të GES-ve (kt CO2eq) për sektorin e transformimit të energjisë për periudhën kohore 2016-2023 dhe sipas parashikimit për vitet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_Toc183016613 \h </w:instrText>
        </w:r>
        <w:r w:rsidR="00CC0777" w:rsidRPr="00FF756A">
          <w:rPr>
            <w:noProof/>
            <w:webHidden/>
          </w:rPr>
        </w:r>
        <w:r w:rsidR="00CC0777" w:rsidRPr="00FF756A">
          <w:rPr>
            <w:noProof/>
            <w:webHidden/>
          </w:rPr>
          <w:fldChar w:fldCharType="separate"/>
        </w:r>
        <w:r w:rsidR="00CC0777" w:rsidRPr="00FF756A">
          <w:rPr>
            <w:noProof/>
            <w:webHidden/>
          </w:rPr>
          <w:t>282</w:t>
        </w:r>
        <w:r w:rsidR="00CC0777" w:rsidRPr="00FF756A">
          <w:rPr>
            <w:noProof/>
            <w:webHidden/>
          </w:rPr>
          <w:fldChar w:fldCharType="end"/>
        </w:r>
      </w:hyperlink>
    </w:p>
    <w:p w14:paraId="2193AE4D" w14:textId="4CD1BD7D"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14" w:history="1">
        <w:r w:rsidR="00CC0777" w:rsidRPr="00FF756A">
          <w:rPr>
            <w:rStyle w:val="Hyperlink"/>
            <w:noProof/>
          </w:rPr>
          <w:t>Figura 84: Shkarkimet e GES-ve (kt CO2eq) për sektorin e transformimit të energjisë për periudhën kohore 2016-2023 dhe sipas parashikimit për periudhën 2024-2050 (WAM që merr në konsideratë kapacitetin e plotë të ER-së). Krahasimi i skenarit me skenarin “me masa</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_Toc183016614 \h </w:instrText>
        </w:r>
        <w:r w:rsidR="00CC0777" w:rsidRPr="00FF756A">
          <w:rPr>
            <w:noProof/>
            <w:webHidden/>
          </w:rPr>
        </w:r>
        <w:r w:rsidR="00CC0777" w:rsidRPr="00FF756A">
          <w:rPr>
            <w:noProof/>
            <w:webHidden/>
          </w:rPr>
          <w:fldChar w:fldCharType="separate"/>
        </w:r>
        <w:r w:rsidR="00CC0777" w:rsidRPr="00FF756A">
          <w:rPr>
            <w:noProof/>
            <w:webHidden/>
          </w:rPr>
          <w:t>282</w:t>
        </w:r>
        <w:r w:rsidR="00CC0777" w:rsidRPr="00FF756A">
          <w:rPr>
            <w:noProof/>
            <w:webHidden/>
          </w:rPr>
          <w:fldChar w:fldCharType="end"/>
        </w:r>
      </w:hyperlink>
    </w:p>
    <w:p w14:paraId="399275C6" w14:textId="3A6FB2FA"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15" w:history="1">
        <w:r w:rsidR="00CC0777" w:rsidRPr="00FF756A">
          <w:rPr>
            <w:rStyle w:val="Hyperlink"/>
            <w:noProof/>
          </w:rPr>
          <w:t>Figura 85: Shkarkimet e GES-ve (kt CO2eq) për sektorin e transformimit të energjisë për periudhën kohore 2016-2023 dhe sipas parashikimit për periudhën 2024-2050 (WAM). Dallimet midis WAM dhe WEM, të ndara në nënkategori</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_Toc183016615 \h </w:instrText>
        </w:r>
        <w:r w:rsidR="00CC0777" w:rsidRPr="00FF756A">
          <w:rPr>
            <w:noProof/>
            <w:webHidden/>
          </w:rPr>
        </w:r>
        <w:r w:rsidR="00CC0777" w:rsidRPr="00FF756A">
          <w:rPr>
            <w:noProof/>
            <w:webHidden/>
          </w:rPr>
          <w:fldChar w:fldCharType="separate"/>
        </w:r>
        <w:r w:rsidR="00CC0777" w:rsidRPr="00FF756A">
          <w:rPr>
            <w:noProof/>
            <w:webHidden/>
          </w:rPr>
          <w:t>283</w:t>
        </w:r>
        <w:r w:rsidR="00CC0777" w:rsidRPr="00FF756A">
          <w:rPr>
            <w:noProof/>
            <w:webHidden/>
          </w:rPr>
          <w:fldChar w:fldCharType="end"/>
        </w:r>
      </w:hyperlink>
    </w:p>
    <w:p w14:paraId="42BCF071" w14:textId="75D3B0D1"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16" w:history="1">
        <w:r w:rsidR="00CC0777" w:rsidRPr="00FF756A">
          <w:rPr>
            <w:rStyle w:val="Hyperlink"/>
            <w:noProof/>
          </w:rPr>
          <w:t>Figura 86: Shkarkimet e GES-ve nga sektorë joenergjetikë (kt CO2eq) për periudhën kohore 2016-2023 dhe sipas parashikimit për periudhën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_Toc183016616 \h </w:instrText>
        </w:r>
        <w:r w:rsidR="00CC0777" w:rsidRPr="00FF756A">
          <w:rPr>
            <w:noProof/>
            <w:webHidden/>
          </w:rPr>
        </w:r>
        <w:r w:rsidR="00CC0777" w:rsidRPr="00FF756A">
          <w:rPr>
            <w:noProof/>
            <w:webHidden/>
          </w:rPr>
          <w:fldChar w:fldCharType="separate"/>
        </w:r>
        <w:r w:rsidR="00CC0777" w:rsidRPr="00FF756A">
          <w:rPr>
            <w:noProof/>
            <w:webHidden/>
          </w:rPr>
          <w:t>284</w:t>
        </w:r>
        <w:r w:rsidR="00CC0777" w:rsidRPr="00FF756A">
          <w:rPr>
            <w:noProof/>
            <w:webHidden/>
          </w:rPr>
          <w:fldChar w:fldCharType="end"/>
        </w:r>
      </w:hyperlink>
    </w:p>
    <w:p w14:paraId="6560EBC7" w14:textId="6318C1FD"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17" w:history="1">
        <w:r w:rsidR="00CC0777" w:rsidRPr="00FF756A">
          <w:rPr>
            <w:rStyle w:val="Hyperlink"/>
            <w:noProof/>
          </w:rPr>
          <w:t>Figura 87: Shkarkimet e GES-ve nga sektorë joenergjetikë (kt CO2eq) për periudhën kohore 2016-2023 dhe sipas parashikimit për periudhën 2024-2050 për WAM dhe WEM</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_Toc183016617 \h </w:instrText>
        </w:r>
        <w:r w:rsidR="00CC0777" w:rsidRPr="00FF756A">
          <w:rPr>
            <w:noProof/>
            <w:webHidden/>
          </w:rPr>
        </w:r>
        <w:r w:rsidR="00CC0777" w:rsidRPr="00FF756A">
          <w:rPr>
            <w:noProof/>
            <w:webHidden/>
          </w:rPr>
          <w:fldChar w:fldCharType="separate"/>
        </w:r>
        <w:r w:rsidR="00CC0777" w:rsidRPr="00FF756A">
          <w:rPr>
            <w:noProof/>
            <w:webHidden/>
          </w:rPr>
          <w:t>284</w:t>
        </w:r>
        <w:r w:rsidR="00CC0777" w:rsidRPr="00FF756A">
          <w:rPr>
            <w:noProof/>
            <w:webHidden/>
          </w:rPr>
          <w:fldChar w:fldCharType="end"/>
        </w:r>
      </w:hyperlink>
    </w:p>
    <w:p w14:paraId="52420B22" w14:textId="32FA4399"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18" w:history="1">
        <w:r w:rsidR="00CC0777" w:rsidRPr="00FF756A">
          <w:rPr>
            <w:rStyle w:val="Hyperlink"/>
            <w:noProof/>
          </w:rPr>
          <w:t>Figura 88: Shkarkimet e GES-ve nga sektorë joenergjetikë (kt CO2eq) për periudhën kohore 2016-2023 dhe sipas parashikimit për periudhën 2024-2050 (WAM). Dallimet midis skenarit WAM që merr në konsideratë kapacitetin e plotë të ER-së dhe skenarit WEM, të ndara në</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_Toc183016618 \h </w:instrText>
        </w:r>
        <w:r w:rsidR="00CC0777" w:rsidRPr="00FF756A">
          <w:rPr>
            <w:noProof/>
            <w:webHidden/>
          </w:rPr>
        </w:r>
        <w:r w:rsidR="00CC0777" w:rsidRPr="00FF756A">
          <w:rPr>
            <w:noProof/>
            <w:webHidden/>
          </w:rPr>
          <w:fldChar w:fldCharType="separate"/>
        </w:r>
        <w:r w:rsidR="00CC0777" w:rsidRPr="00FF756A">
          <w:rPr>
            <w:noProof/>
            <w:webHidden/>
          </w:rPr>
          <w:t>285</w:t>
        </w:r>
        <w:r w:rsidR="00CC0777" w:rsidRPr="00FF756A">
          <w:rPr>
            <w:noProof/>
            <w:webHidden/>
          </w:rPr>
          <w:fldChar w:fldCharType="end"/>
        </w:r>
      </w:hyperlink>
    </w:p>
    <w:p w14:paraId="4AB1E906" w14:textId="4AC7C676"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19" w:history="1">
        <w:r w:rsidR="00CC0777" w:rsidRPr="00FF756A">
          <w:rPr>
            <w:rStyle w:val="Hyperlink"/>
            <w:noProof/>
          </w:rPr>
          <w:t>Figura 89: Shkarkimet e GES-ve (kt CO2eq) nga proceset industriale dhe përdorimi i produkteve për periudhën kohore 2016-2023 dhe sipas parashikimit për vitet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_Toc183016619 \h </w:instrText>
        </w:r>
        <w:r w:rsidR="00CC0777" w:rsidRPr="00FF756A">
          <w:rPr>
            <w:noProof/>
            <w:webHidden/>
          </w:rPr>
        </w:r>
        <w:r w:rsidR="00CC0777" w:rsidRPr="00FF756A">
          <w:rPr>
            <w:noProof/>
            <w:webHidden/>
          </w:rPr>
          <w:fldChar w:fldCharType="separate"/>
        </w:r>
        <w:r w:rsidR="00CC0777" w:rsidRPr="00FF756A">
          <w:rPr>
            <w:noProof/>
            <w:webHidden/>
          </w:rPr>
          <w:t>285</w:t>
        </w:r>
        <w:r w:rsidR="00CC0777" w:rsidRPr="00FF756A">
          <w:rPr>
            <w:noProof/>
            <w:webHidden/>
          </w:rPr>
          <w:fldChar w:fldCharType="end"/>
        </w:r>
      </w:hyperlink>
    </w:p>
    <w:p w14:paraId="26456492" w14:textId="447ADB16"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20" w:history="1">
        <w:r w:rsidR="00CC0777" w:rsidRPr="00FF756A">
          <w:rPr>
            <w:rStyle w:val="Hyperlink"/>
            <w:noProof/>
          </w:rPr>
          <w:t>Figura 90: Shkarkimet e GES-ve nga sektorë joenergjetikë (kt CO2eq) nga veprimtaritë bujqësore për periudhën kohore 2016-2023 dhe sipas parashikimit për periudhën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_Toc183016620 \h </w:instrText>
        </w:r>
        <w:r w:rsidR="00CC0777" w:rsidRPr="00FF756A">
          <w:rPr>
            <w:noProof/>
            <w:webHidden/>
          </w:rPr>
        </w:r>
        <w:r w:rsidR="00CC0777" w:rsidRPr="00FF756A">
          <w:rPr>
            <w:noProof/>
            <w:webHidden/>
          </w:rPr>
          <w:fldChar w:fldCharType="separate"/>
        </w:r>
        <w:r w:rsidR="00CC0777" w:rsidRPr="00FF756A">
          <w:rPr>
            <w:noProof/>
            <w:webHidden/>
          </w:rPr>
          <w:t>286</w:t>
        </w:r>
        <w:r w:rsidR="00CC0777" w:rsidRPr="00FF756A">
          <w:rPr>
            <w:noProof/>
            <w:webHidden/>
          </w:rPr>
          <w:fldChar w:fldCharType="end"/>
        </w:r>
      </w:hyperlink>
    </w:p>
    <w:p w14:paraId="4F300343" w14:textId="07BF0A4D"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21" w:history="1">
        <w:r w:rsidR="00CC0777" w:rsidRPr="00FF756A">
          <w:rPr>
            <w:rStyle w:val="Hyperlink"/>
            <w:noProof/>
          </w:rPr>
          <w:t>Figura 91: Shkarkimet e GES-ve (kt CO2eq) të sektorëve joenergjetikë nga përdorimi i tokës, ndryshimi i përdorimi të tokës dhe pyjet (LULUCF) për periudhën 2016-2023 dhe sipas projeksioneve për vitet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_Toc183016621 \h </w:instrText>
        </w:r>
        <w:r w:rsidR="00CC0777" w:rsidRPr="00FF756A">
          <w:rPr>
            <w:noProof/>
            <w:webHidden/>
          </w:rPr>
        </w:r>
        <w:r w:rsidR="00CC0777" w:rsidRPr="00FF756A">
          <w:rPr>
            <w:noProof/>
            <w:webHidden/>
          </w:rPr>
          <w:fldChar w:fldCharType="separate"/>
        </w:r>
        <w:r w:rsidR="00CC0777" w:rsidRPr="00FF756A">
          <w:rPr>
            <w:noProof/>
            <w:webHidden/>
          </w:rPr>
          <w:t>286</w:t>
        </w:r>
        <w:r w:rsidR="00CC0777" w:rsidRPr="00FF756A">
          <w:rPr>
            <w:noProof/>
            <w:webHidden/>
          </w:rPr>
          <w:fldChar w:fldCharType="end"/>
        </w:r>
      </w:hyperlink>
    </w:p>
    <w:p w14:paraId="7FFA1374" w14:textId="1A3ED60F"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22" w:history="1">
        <w:r w:rsidR="00CC0777" w:rsidRPr="00FF756A">
          <w:rPr>
            <w:rStyle w:val="Hyperlink"/>
            <w:noProof/>
          </w:rPr>
          <w:t>Figura 92: Shkarkimet e GES-ve (kt CO2eq) të sektorëve joenergjetikë nga sektori i mbetjeve për periudhën kohore 2016-2023 dhe sipas parashikimit për vitet 2024-2050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_Toc183016622 \h </w:instrText>
        </w:r>
        <w:r w:rsidR="00CC0777" w:rsidRPr="00FF756A">
          <w:rPr>
            <w:noProof/>
            <w:webHidden/>
          </w:rPr>
        </w:r>
        <w:r w:rsidR="00CC0777" w:rsidRPr="00FF756A">
          <w:rPr>
            <w:noProof/>
            <w:webHidden/>
          </w:rPr>
          <w:fldChar w:fldCharType="separate"/>
        </w:r>
        <w:r w:rsidR="00CC0777" w:rsidRPr="00FF756A">
          <w:rPr>
            <w:noProof/>
            <w:webHidden/>
          </w:rPr>
          <w:t>287</w:t>
        </w:r>
        <w:r w:rsidR="00CC0777" w:rsidRPr="00FF756A">
          <w:rPr>
            <w:noProof/>
            <w:webHidden/>
          </w:rPr>
          <w:fldChar w:fldCharType="end"/>
        </w:r>
      </w:hyperlink>
    </w:p>
    <w:p w14:paraId="37C93B7B" w14:textId="11B4CF5E"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23" w:history="1">
        <w:r w:rsidR="00CC0777" w:rsidRPr="00FF756A">
          <w:rPr>
            <w:rStyle w:val="Hyperlink"/>
            <w:noProof/>
          </w:rPr>
          <w:t>Figura 93: Burimet e rinovueshme të furnizimit me energji primare dhe totali i kërkesës neto për periudhën kohore (2016-2023) dhe sipas parashikimit me masat shtesë deri në vitin 2050, nëse impiantet e BR vihen në punë vetëm për të përmbushur kërkesën e brendshme</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_Toc183016623 \h </w:instrText>
        </w:r>
        <w:r w:rsidR="00CC0777" w:rsidRPr="00FF756A">
          <w:rPr>
            <w:noProof/>
            <w:webHidden/>
          </w:rPr>
        </w:r>
        <w:r w:rsidR="00CC0777" w:rsidRPr="00FF756A">
          <w:rPr>
            <w:noProof/>
            <w:webHidden/>
          </w:rPr>
          <w:fldChar w:fldCharType="separate"/>
        </w:r>
        <w:r w:rsidR="00CC0777" w:rsidRPr="00FF756A">
          <w:rPr>
            <w:noProof/>
            <w:webHidden/>
          </w:rPr>
          <w:t>291</w:t>
        </w:r>
        <w:r w:rsidR="00CC0777" w:rsidRPr="00FF756A">
          <w:rPr>
            <w:noProof/>
            <w:webHidden/>
          </w:rPr>
          <w:fldChar w:fldCharType="end"/>
        </w:r>
      </w:hyperlink>
    </w:p>
    <w:p w14:paraId="3DFBBEB7" w14:textId="5B78C67C"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24" w:history="1">
        <w:r w:rsidR="00CC0777" w:rsidRPr="00FF756A">
          <w:rPr>
            <w:rStyle w:val="Hyperlink"/>
            <w:noProof/>
          </w:rPr>
          <w:t>Figura 94: Burimet e rinovueshme të furnizimit me energji primare dhe totali i kërkesës neto për periudhën kohore (2016-2023) dhe sipas parashikimit me masat shtesë deri në vitin 2050, nëse impiantet e ER-së funksionojnë me kapacitet të plotë (WAM)</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_Toc183016624 \h </w:instrText>
        </w:r>
        <w:r w:rsidR="00CC0777" w:rsidRPr="00FF756A">
          <w:rPr>
            <w:noProof/>
            <w:webHidden/>
          </w:rPr>
        </w:r>
        <w:r w:rsidR="00CC0777" w:rsidRPr="00FF756A">
          <w:rPr>
            <w:noProof/>
            <w:webHidden/>
          </w:rPr>
          <w:fldChar w:fldCharType="separate"/>
        </w:r>
        <w:r w:rsidR="00CC0777" w:rsidRPr="00FF756A">
          <w:rPr>
            <w:noProof/>
            <w:webHidden/>
          </w:rPr>
          <w:t>291</w:t>
        </w:r>
        <w:r w:rsidR="00CC0777" w:rsidRPr="00FF756A">
          <w:rPr>
            <w:noProof/>
            <w:webHidden/>
          </w:rPr>
          <w:fldChar w:fldCharType="end"/>
        </w:r>
      </w:hyperlink>
    </w:p>
    <w:p w14:paraId="7DD054EF" w14:textId="07CAB4FD"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25" w:history="1">
        <w:r w:rsidR="00CC0777" w:rsidRPr="00FF756A">
          <w:rPr>
            <w:rStyle w:val="Hyperlink"/>
            <w:noProof/>
          </w:rPr>
          <w:t>Figura 95: Përqindjet e BRE-ve në kërkesën finale për energji, të përllogaritura sipas RED (Direktivës 2009/28/KE) për periudhën kohore 2016-2023 dhe sipas parashikimeve deri në vitin 2050 me masa shtesë. Tregohen edhe vlerat nga skenari WEM</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_Toc183016625 \h </w:instrText>
        </w:r>
        <w:r w:rsidR="00CC0777" w:rsidRPr="00FF756A">
          <w:rPr>
            <w:noProof/>
            <w:webHidden/>
          </w:rPr>
        </w:r>
        <w:r w:rsidR="00CC0777" w:rsidRPr="00FF756A">
          <w:rPr>
            <w:noProof/>
            <w:webHidden/>
          </w:rPr>
          <w:fldChar w:fldCharType="separate"/>
        </w:r>
        <w:r w:rsidR="00CC0777" w:rsidRPr="00FF756A">
          <w:rPr>
            <w:noProof/>
            <w:webHidden/>
          </w:rPr>
          <w:t>294</w:t>
        </w:r>
        <w:r w:rsidR="00CC0777" w:rsidRPr="00FF756A">
          <w:rPr>
            <w:noProof/>
            <w:webHidden/>
          </w:rPr>
          <w:fldChar w:fldCharType="end"/>
        </w:r>
      </w:hyperlink>
    </w:p>
    <w:p w14:paraId="3C574897" w14:textId="6DC903ED"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26" w:history="1">
        <w:r w:rsidR="00CC0777" w:rsidRPr="00FF756A">
          <w:rPr>
            <w:rStyle w:val="Hyperlink"/>
            <w:noProof/>
          </w:rPr>
          <w:t>Figura 96: Përqindja e BRE-E, e përllogaritur sipas RED (Direktivës 2009/28/KE) për periudhën kohore 2016-2023 dhe sipas parashikimeve deri në vitin 2050 me masa shtesë. Vlerat e WEM jepen për referencë.</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_Toc183016626 \h </w:instrText>
        </w:r>
        <w:r w:rsidR="00CC0777" w:rsidRPr="00FF756A">
          <w:rPr>
            <w:noProof/>
            <w:webHidden/>
          </w:rPr>
        </w:r>
        <w:r w:rsidR="00CC0777" w:rsidRPr="00FF756A">
          <w:rPr>
            <w:noProof/>
            <w:webHidden/>
          </w:rPr>
          <w:fldChar w:fldCharType="separate"/>
        </w:r>
        <w:r w:rsidR="00CC0777" w:rsidRPr="00FF756A">
          <w:rPr>
            <w:noProof/>
            <w:webHidden/>
          </w:rPr>
          <w:t>295</w:t>
        </w:r>
        <w:r w:rsidR="00CC0777" w:rsidRPr="00FF756A">
          <w:rPr>
            <w:noProof/>
            <w:webHidden/>
          </w:rPr>
          <w:fldChar w:fldCharType="end"/>
        </w:r>
      </w:hyperlink>
    </w:p>
    <w:p w14:paraId="7B8894C1" w14:textId="59614ECB"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27" w:history="1">
        <w:r w:rsidR="00CC0777" w:rsidRPr="00FF756A">
          <w:rPr>
            <w:rStyle w:val="Hyperlink"/>
            <w:noProof/>
          </w:rPr>
          <w:t>Figura 97: Përqindja e BRE-E, e përllogaritur sipas RED (Direktivës 2009/28/KE) për periudhën kohore 2020-2023 dhe sipas parashikimeve deri në vitin 2050 me masa shtesë. Totali i WEM jepet për referencë</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_Toc183016627 \h </w:instrText>
        </w:r>
        <w:r w:rsidR="00CC0777" w:rsidRPr="00FF756A">
          <w:rPr>
            <w:noProof/>
            <w:webHidden/>
          </w:rPr>
        </w:r>
        <w:r w:rsidR="00CC0777" w:rsidRPr="00FF756A">
          <w:rPr>
            <w:noProof/>
            <w:webHidden/>
          </w:rPr>
          <w:fldChar w:fldCharType="separate"/>
        </w:r>
        <w:r w:rsidR="00CC0777" w:rsidRPr="00FF756A">
          <w:rPr>
            <w:noProof/>
            <w:webHidden/>
          </w:rPr>
          <w:t>296</w:t>
        </w:r>
        <w:r w:rsidR="00CC0777" w:rsidRPr="00FF756A">
          <w:rPr>
            <w:noProof/>
            <w:webHidden/>
          </w:rPr>
          <w:fldChar w:fldCharType="end"/>
        </w:r>
      </w:hyperlink>
    </w:p>
    <w:p w14:paraId="41BFB064" w14:textId="7D40DE99"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28" w:history="1">
        <w:r w:rsidR="00CC0777" w:rsidRPr="00FF756A">
          <w:rPr>
            <w:rStyle w:val="Hyperlink"/>
            <w:noProof/>
          </w:rPr>
          <w:t>Figura 98: Prodhimi i normalizuar i impianteve të energjisë së rinovueshme dhe përqindja përkatëse e BRE-E për skenarin WAM dhe skenarin WAM që merr në konsideratë vetëm ER-në për përmbushjen e kërkesës (WAM mdem).</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_Toc183016628 \h </w:instrText>
        </w:r>
        <w:r w:rsidR="00CC0777" w:rsidRPr="00FF756A">
          <w:rPr>
            <w:noProof/>
            <w:webHidden/>
          </w:rPr>
        </w:r>
        <w:r w:rsidR="00CC0777" w:rsidRPr="00FF756A">
          <w:rPr>
            <w:noProof/>
            <w:webHidden/>
          </w:rPr>
          <w:fldChar w:fldCharType="separate"/>
        </w:r>
        <w:r w:rsidR="00CC0777" w:rsidRPr="00FF756A">
          <w:rPr>
            <w:noProof/>
            <w:webHidden/>
          </w:rPr>
          <w:t>298</w:t>
        </w:r>
        <w:r w:rsidR="00CC0777" w:rsidRPr="00FF756A">
          <w:rPr>
            <w:noProof/>
            <w:webHidden/>
          </w:rPr>
          <w:fldChar w:fldCharType="end"/>
        </w:r>
      </w:hyperlink>
    </w:p>
    <w:p w14:paraId="71DEC4F7" w14:textId="01EDD454"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29" w:history="1">
        <w:r w:rsidR="00CC0777" w:rsidRPr="00FF756A">
          <w:rPr>
            <w:rStyle w:val="Hyperlink"/>
            <w:noProof/>
          </w:rPr>
          <w:t>Figura 99: Kapacitetet e shtuara në sistemin e modelimit. Kini parasysh se për arsye qartësie nuk janë renditur të gjitha projektet, por janë grupuar sipas teknologjisë. Megjithatë, bien në sy projektet e mëdha në vite të caktuara. Kini parasysh gjithashtu se skenari WAM dhe skenari WAM që merr në konsideratë vetëm ER-në për përmbushjen e kërkesës nuk ndryshojnë lidhur me kapacitetet, por vetëm lidhur me mënyrën se si përdoren këto kapacitete.</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_Toc183016629 \h </w:instrText>
        </w:r>
        <w:r w:rsidR="00CC0777" w:rsidRPr="00FF756A">
          <w:rPr>
            <w:noProof/>
            <w:webHidden/>
          </w:rPr>
        </w:r>
        <w:r w:rsidR="00CC0777" w:rsidRPr="00FF756A">
          <w:rPr>
            <w:noProof/>
            <w:webHidden/>
          </w:rPr>
          <w:fldChar w:fldCharType="separate"/>
        </w:r>
        <w:r w:rsidR="00CC0777" w:rsidRPr="00FF756A">
          <w:rPr>
            <w:noProof/>
            <w:webHidden/>
          </w:rPr>
          <w:t>299</w:t>
        </w:r>
        <w:r w:rsidR="00CC0777" w:rsidRPr="00FF756A">
          <w:rPr>
            <w:noProof/>
            <w:webHidden/>
          </w:rPr>
          <w:fldChar w:fldCharType="end"/>
        </w:r>
      </w:hyperlink>
    </w:p>
    <w:p w14:paraId="0A37335E" w14:textId="5C731978"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30" w:history="1">
        <w:r w:rsidR="00CC0777" w:rsidRPr="00FF756A">
          <w:rPr>
            <w:rStyle w:val="Hyperlink"/>
            <w:noProof/>
          </w:rPr>
          <w:t>Figura 100: Njësoj si në Figura 81 por për skenarin WEM.</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_Toc183016630 \h </w:instrText>
        </w:r>
        <w:r w:rsidR="00CC0777" w:rsidRPr="00FF756A">
          <w:rPr>
            <w:noProof/>
            <w:webHidden/>
          </w:rPr>
        </w:r>
        <w:r w:rsidR="00CC0777" w:rsidRPr="00FF756A">
          <w:rPr>
            <w:noProof/>
            <w:webHidden/>
          </w:rPr>
          <w:fldChar w:fldCharType="separate"/>
        </w:r>
        <w:r w:rsidR="00CC0777" w:rsidRPr="00FF756A">
          <w:rPr>
            <w:noProof/>
            <w:webHidden/>
          </w:rPr>
          <w:t>300</w:t>
        </w:r>
        <w:r w:rsidR="00CC0777" w:rsidRPr="00FF756A">
          <w:rPr>
            <w:noProof/>
            <w:webHidden/>
          </w:rPr>
          <w:fldChar w:fldCharType="end"/>
        </w:r>
      </w:hyperlink>
    </w:p>
    <w:p w14:paraId="02BA458A" w14:textId="3DCEF2C7"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31" w:history="1">
        <w:r w:rsidR="00CC0777" w:rsidRPr="00FF756A">
          <w:rPr>
            <w:rStyle w:val="Hyperlink"/>
            <w:noProof/>
          </w:rPr>
          <w:t>Figura 101: Burimet e energjisë në sektorin e transportit, të paraqitura për të shoqëruar dhe shpjeguar përqindjen e BRE-T të paraqitur në Figura 25</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_Toc183016631 \h </w:instrText>
        </w:r>
        <w:r w:rsidR="00CC0777" w:rsidRPr="00FF756A">
          <w:rPr>
            <w:noProof/>
            <w:webHidden/>
          </w:rPr>
        </w:r>
        <w:r w:rsidR="00CC0777" w:rsidRPr="00FF756A">
          <w:rPr>
            <w:noProof/>
            <w:webHidden/>
          </w:rPr>
          <w:fldChar w:fldCharType="separate"/>
        </w:r>
        <w:r w:rsidR="00CC0777" w:rsidRPr="00FF756A">
          <w:rPr>
            <w:noProof/>
            <w:webHidden/>
          </w:rPr>
          <w:t>301</w:t>
        </w:r>
        <w:r w:rsidR="00CC0777" w:rsidRPr="00FF756A">
          <w:rPr>
            <w:noProof/>
            <w:webHidden/>
          </w:rPr>
          <w:fldChar w:fldCharType="end"/>
        </w:r>
      </w:hyperlink>
    </w:p>
    <w:p w14:paraId="3F0A6EF0" w14:textId="60405343"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32" w:history="1">
        <w:r w:rsidR="00CC0777" w:rsidRPr="00FF756A">
          <w:rPr>
            <w:rStyle w:val="Hyperlink"/>
            <w:noProof/>
          </w:rPr>
          <w:t>Figura 102: Furnizimi me energji primare për periudhën kohore 2016-2023 dhe sipas parashikimeve deri në vitin 2050 me masat shtesë</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_Toc183016632 \h </w:instrText>
        </w:r>
        <w:r w:rsidR="00CC0777" w:rsidRPr="00FF756A">
          <w:rPr>
            <w:noProof/>
            <w:webHidden/>
          </w:rPr>
        </w:r>
        <w:r w:rsidR="00CC0777" w:rsidRPr="00FF756A">
          <w:rPr>
            <w:noProof/>
            <w:webHidden/>
          </w:rPr>
          <w:fldChar w:fldCharType="separate"/>
        </w:r>
        <w:r w:rsidR="00CC0777" w:rsidRPr="00FF756A">
          <w:rPr>
            <w:noProof/>
            <w:webHidden/>
          </w:rPr>
          <w:t>304</w:t>
        </w:r>
        <w:r w:rsidR="00CC0777" w:rsidRPr="00FF756A">
          <w:rPr>
            <w:noProof/>
            <w:webHidden/>
          </w:rPr>
          <w:fldChar w:fldCharType="end"/>
        </w:r>
      </w:hyperlink>
    </w:p>
    <w:p w14:paraId="0E4EC2B0" w14:textId="6D587F77"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33" w:history="1">
        <w:r w:rsidR="00CC0777" w:rsidRPr="00FF756A">
          <w:rPr>
            <w:rStyle w:val="Hyperlink"/>
            <w:noProof/>
          </w:rPr>
          <w:t>Figura 103: Furnizimi me energji primare për periudhën kohore 2016-2023 dhe sipas parashikimeve deri në vitin 2050 me masat shtesë, kur impiantet e energjisë së rinovueshme vihen në funksion vetëm për të përmbushur nevojat e brendshme për energji</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_Toc183016633 \h </w:instrText>
        </w:r>
        <w:r w:rsidR="00CC0777" w:rsidRPr="00FF756A">
          <w:rPr>
            <w:noProof/>
            <w:webHidden/>
          </w:rPr>
        </w:r>
        <w:r w:rsidR="00CC0777" w:rsidRPr="00FF756A">
          <w:rPr>
            <w:noProof/>
            <w:webHidden/>
          </w:rPr>
          <w:fldChar w:fldCharType="separate"/>
        </w:r>
        <w:r w:rsidR="00CC0777" w:rsidRPr="00FF756A">
          <w:rPr>
            <w:noProof/>
            <w:webHidden/>
          </w:rPr>
          <w:t>304</w:t>
        </w:r>
        <w:r w:rsidR="00CC0777" w:rsidRPr="00FF756A">
          <w:rPr>
            <w:noProof/>
            <w:webHidden/>
          </w:rPr>
          <w:fldChar w:fldCharType="end"/>
        </w:r>
      </w:hyperlink>
    </w:p>
    <w:p w14:paraId="7E8F87B7" w14:textId="116AAD23"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34" w:history="1">
        <w:r w:rsidR="00CC0777" w:rsidRPr="00FF756A">
          <w:rPr>
            <w:rStyle w:val="Hyperlink"/>
            <w:noProof/>
          </w:rPr>
          <w:t>Figura 104: Furnizimi me energji primare për periudhën kohore 2016-2023 dhe sipas parashikimeve deri në vitin 2050 Dallimet midis skenarit WAM (që merr në konsideratë kapacitetin e plotë të ER-së) dhe skenarit WEM, të ndara në nënkategori</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_Toc183016634 \h </w:instrText>
        </w:r>
        <w:r w:rsidR="00CC0777" w:rsidRPr="00FF756A">
          <w:rPr>
            <w:noProof/>
            <w:webHidden/>
          </w:rPr>
        </w:r>
        <w:r w:rsidR="00CC0777" w:rsidRPr="00FF756A">
          <w:rPr>
            <w:noProof/>
            <w:webHidden/>
          </w:rPr>
          <w:fldChar w:fldCharType="separate"/>
        </w:r>
        <w:r w:rsidR="00CC0777" w:rsidRPr="00FF756A">
          <w:rPr>
            <w:noProof/>
            <w:webHidden/>
          </w:rPr>
          <w:t>305</w:t>
        </w:r>
        <w:r w:rsidR="00CC0777" w:rsidRPr="00FF756A">
          <w:rPr>
            <w:noProof/>
            <w:webHidden/>
          </w:rPr>
          <w:fldChar w:fldCharType="end"/>
        </w:r>
      </w:hyperlink>
    </w:p>
    <w:p w14:paraId="63567702" w14:textId="493AEF8A"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35" w:history="1">
        <w:r w:rsidR="00CC0777" w:rsidRPr="00FF756A">
          <w:rPr>
            <w:rStyle w:val="Hyperlink"/>
            <w:noProof/>
          </w:rPr>
          <w:t>Figura 105: Përqindjet e kërkesës finale për energji për periudhën kohore 2016-2023 dhe sipas parashikimit deri në vitin 2050 me masat shtesë</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_Toc183016635 \h </w:instrText>
        </w:r>
        <w:r w:rsidR="00CC0777" w:rsidRPr="00FF756A">
          <w:rPr>
            <w:noProof/>
            <w:webHidden/>
          </w:rPr>
        </w:r>
        <w:r w:rsidR="00CC0777" w:rsidRPr="00FF756A">
          <w:rPr>
            <w:noProof/>
            <w:webHidden/>
          </w:rPr>
          <w:fldChar w:fldCharType="separate"/>
        </w:r>
        <w:r w:rsidR="00CC0777" w:rsidRPr="00FF756A">
          <w:rPr>
            <w:noProof/>
            <w:webHidden/>
          </w:rPr>
          <w:t>307</w:t>
        </w:r>
        <w:r w:rsidR="00CC0777" w:rsidRPr="00FF756A">
          <w:rPr>
            <w:noProof/>
            <w:webHidden/>
          </w:rPr>
          <w:fldChar w:fldCharType="end"/>
        </w:r>
      </w:hyperlink>
    </w:p>
    <w:p w14:paraId="07206790" w14:textId="75424756"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36" w:history="1">
        <w:r w:rsidR="00CC0777" w:rsidRPr="00FF756A">
          <w:rPr>
            <w:rStyle w:val="Hyperlink"/>
            <w:noProof/>
          </w:rPr>
          <w:t>Figura 106: Konsumi final i energjisë (ktoe) për të gjithë sektorët kryesorë me kërkesë për energji, sipas vlerave historike të periudhës 2016-2023 dhe sipas parashikimit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_Toc183016636 \h </w:instrText>
        </w:r>
        <w:r w:rsidR="00CC0777" w:rsidRPr="00FF756A">
          <w:rPr>
            <w:noProof/>
            <w:webHidden/>
          </w:rPr>
        </w:r>
        <w:r w:rsidR="00CC0777" w:rsidRPr="00FF756A">
          <w:rPr>
            <w:noProof/>
            <w:webHidden/>
          </w:rPr>
          <w:fldChar w:fldCharType="separate"/>
        </w:r>
        <w:r w:rsidR="00CC0777" w:rsidRPr="00FF756A">
          <w:rPr>
            <w:noProof/>
            <w:webHidden/>
          </w:rPr>
          <w:t>308</w:t>
        </w:r>
        <w:r w:rsidR="00CC0777" w:rsidRPr="00FF756A">
          <w:rPr>
            <w:noProof/>
            <w:webHidden/>
          </w:rPr>
          <w:fldChar w:fldCharType="end"/>
        </w:r>
      </w:hyperlink>
    </w:p>
    <w:p w14:paraId="0131BF01" w14:textId="0C07E85B"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37" w:history="1">
        <w:r w:rsidR="00CC0777" w:rsidRPr="00FF756A">
          <w:rPr>
            <w:rStyle w:val="Hyperlink"/>
            <w:noProof/>
          </w:rPr>
          <w:t>Figura 107: Burimet e përziera në konsumin final të energjisë (ktoe) për të gjithë sektorët kryesorë me kërkesë për energji, sipas vlerave historike të periudhës 2016-2023 dhe sipas parashikimit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_Toc183016637 \h </w:instrText>
        </w:r>
        <w:r w:rsidR="00CC0777" w:rsidRPr="00FF756A">
          <w:rPr>
            <w:noProof/>
            <w:webHidden/>
          </w:rPr>
        </w:r>
        <w:r w:rsidR="00CC0777" w:rsidRPr="00FF756A">
          <w:rPr>
            <w:noProof/>
            <w:webHidden/>
          </w:rPr>
          <w:fldChar w:fldCharType="separate"/>
        </w:r>
        <w:r w:rsidR="00CC0777" w:rsidRPr="00FF756A">
          <w:rPr>
            <w:noProof/>
            <w:webHidden/>
          </w:rPr>
          <w:t>309</w:t>
        </w:r>
        <w:r w:rsidR="00CC0777" w:rsidRPr="00FF756A">
          <w:rPr>
            <w:noProof/>
            <w:webHidden/>
          </w:rPr>
          <w:fldChar w:fldCharType="end"/>
        </w:r>
      </w:hyperlink>
    </w:p>
    <w:p w14:paraId="6C794BF9" w14:textId="6C5B8196"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38" w:history="1">
        <w:r w:rsidR="00CC0777" w:rsidRPr="00FF756A">
          <w:rPr>
            <w:rStyle w:val="Hyperlink"/>
            <w:noProof/>
          </w:rPr>
          <w:t>Figura 108: Konsumi final i energjisë (ktoe) për të gjithë sektorët kryesorë me kërkesë për energji, sipas vlerave historike të periudhës 2016-2023 dhe sipas parashikimit deri në vitin 2040, duke përfshirë vitet 2019-2030 dhe vitet 2040 dhe 2050. Krahasimi i skena</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_Toc183016638 \h </w:instrText>
        </w:r>
        <w:r w:rsidR="00CC0777" w:rsidRPr="00FF756A">
          <w:rPr>
            <w:noProof/>
            <w:webHidden/>
          </w:rPr>
        </w:r>
        <w:r w:rsidR="00CC0777" w:rsidRPr="00FF756A">
          <w:rPr>
            <w:noProof/>
            <w:webHidden/>
          </w:rPr>
          <w:fldChar w:fldCharType="separate"/>
        </w:r>
        <w:r w:rsidR="00CC0777" w:rsidRPr="00FF756A">
          <w:rPr>
            <w:noProof/>
            <w:webHidden/>
          </w:rPr>
          <w:t>309</w:t>
        </w:r>
        <w:r w:rsidR="00CC0777" w:rsidRPr="00FF756A">
          <w:rPr>
            <w:noProof/>
            <w:webHidden/>
          </w:rPr>
          <w:fldChar w:fldCharType="end"/>
        </w:r>
      </w:hyperlink>
    </w:p>
    <w:p w14:paraId="04647BA9" w14:textId="1564B31D"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39" w:history="1">
        <w:r w:rsidR="00CC0777" w:rsidRPr="00FF756A">
          <w:rPr>
            <w:rStyle w:val="Hyperlink"/>
            <w:noProof/>
          </w:rPr>
          <w:t>Figura 109: Konsumi final i energjisë (ktoe) për sektorin e banesave, sipas vlerave historike të periudhës 2016-2023 dhe sipas parashikimit me masat shtesë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_Toc183016639 \h </w:instrText>
        </w:r>
        <w:r w:rsidR="00CC0777" w:rsidRPr="00FF756A">
          <w:rPr>
            <w:noProof/>
            <w:webHidden/>
          </w:rPr>
        </w:r>
        <w:r w:rsidR="00CC0777" w:rsidRPr="00FF756A">
          <w:rPr>
            <w:noProof/>
            <w:webHidden/>
          </w:rPr>
          <w:fldChar w:fldCharType="separate"/>
        </w:r>
        <w:r w:rsidR="00CC0777" w:rsidRPr="00FF756A">
          <w:rPr>
            <w:noProof/>
            <w:webHidden/>
          </w:rPr>
          <w:t>311</w:t>
        </w:r>
        <w:r w:rsidR="00CC0777" w:rsidRPr="00FF756A">
          <w:rPr>
            <w:noProof/>
            <w:webHidden/>
          </w:rPr>
          <w:fldChar w:fldCharType="end"/>
        </w:r>
      </w:hyperlink>
    </w:p>
    <w:p w14:paraId="1DE8A623" w14:textId="29E0BCE2"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40" w:history="1">
        <w:r w:rsidR="00CC0777" w:rsidRPr="00FF756A">
          <w:rPr>
            <w:rStyle w:val="Hyperlink"/>
            <w:noProof/>
          </w:rPr>
          <w:t>Figura 110: Burimet e përziera në konsumin final të energjisë (ktoe) për sektorin e banesave, sipas vlerave historike të periudhës 2016-2023 dhe sipas parashikimit me masat shtesë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_Toc183016640 \h </w:instrText>
        </w:r>
        <w:r w:rsidR="00CC0777" w:rsidRPr="00FF756A">
          <w:rPr>
            <w:noProof/>
            <w:webHidden/>
          </w:rPr>
        </w:r>
        <w:r w:rsidR="00CC0777" w:rsidRPr="00FF756A">
          <w:rPr>
            <w:noProof/>
            <w:webHidden/>
          </w:rPr>
          <w:fldChar w:fldCharType="separate"/>
        </w:r>
        <w:r w:rsidR="00CC0777" w:rsidRPr="00FF756A">
          <w:rPr>
            <w:noProof/>
            <w:webHidden/>
          </w:rPr>
          <w:t>311</w:t>
        </w:r>
        <w:r w:rsidR="00CC0777" w:rsidRPr="00FF756A">
          <w:rPr>
            <w:noProof/>
            <w:webHidden/>
          </w:rPr>
          <w:fldChar w:fldCharType="end"/>
        </w:r>
      </w:hyperlink>
    </w:p>
    <w:p w14:paraId="013A58D9" w14:textId="794F7754"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41" w:history="1">
        <w:r w:rsidR="00CC0777" w:rsidRPr="00FF756A">
          <w:rPr>
            <w:rStyle w:val="Hyperlink"/>
            <w:noProof/>
          </w:rPr>
          <w:t>Figura 111: Konsumi final i energjisë (ktoe) për sektorin e shërbimeve, sipas vlerave historike të periudhës 2016-2023 dhe sipas parashikimit me masat shtesë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_Toc183016641 \h </w:instrText>
        </w:r>
        <w:r w:rsidR="00CC0777" w:rsidRPr="00FF756A">
          <w:rPr>
            <w:noProof/>
            <w:webHidden/>
          </w:rPr>
        </w:r>
        <w:r w:rsidR="00CC0777" w:rsidRPr="00FF756A">
          <w:rPr>
            <w:noProof/>
            <w:webHidden/>
          </w:rPr>
          <w:fldChar w:fldCharType="separate"/>
        </w:r>
        <w:r w:rsidR="00CC0777" w:rsidRPr="00FF756A">
          <w:rPr>
            <w:noProof/>
            <w:webHidden/>
          </w:rPr>
          <w:t>312</w:t>
        </w:r>
        <w:r w:rsidR="00CC0777" w:rsidRPr="00FF756A">
          <w:rPr>
            <w:noProof/>
            <w:webHidden/>
          </w:rPr>
          <w:fldChar w:fldCharType="end"/>
        </w:r>
      </w:hyperlink>
    </w:p>
    <w:p w14:paraId="366F1EED" w14:textId="64004B68"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42" w:history="1">
        <w:r w:rsidR="00CC0777" w:rsidRPr="00FF756A">
          <w:rPr>
            <w:rStyle w:val="Hyperlink"/>
            <w:noProof/>
          </w:rPr>
          <w:t>Figura 112: Burimet e përziera në konsumin final të energjisë (ktoe) për sektorin e shërbimeve, sipas vlerave historike të periudhës 2016-2023 dhe sipas parashikimit me masat shtesë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_Toc183016642 \h </w:instrText>
        </w:r>
        <w:r w:rsidR="00CC0777" w:rsidRPr="00FF756A">
          <w:rPr>
            <w:noProof/>
            <w:webHidden/>
          </w:rPr>
        </w:r>
        <w:r w:rsidR="00CC0777" w:rsidRPr="00FF756A">
          <w:rPr>
            <w:noProof/>
            <w:webHidden/>
          </w:rPr>
          <w:fldChar w:fldCharType="separate"/>
        </w:r>
        <w:r w:rsidR="00CC0777" w:rsidRPr="00FF756A">
          <w:rPr>
            <w:noProof/>
            <w:webHidden/>
          </w:rPr>
          <w:t>312</w:t>
        </w:r>
        <w:r w:rsidR="00CC0777" w:rsidRPr="00FF756A">
          <w:rPr>
            <w:noProof/>
            <w:webHidden/>
          </w:rPr>
          <w:fldChar w:fldCharType="end"/>
        </w:r>
      </w:hyperlink>
    </w:p>
    <w:p w14:paraId="60023660" w14:textId="2C827130"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43" w:history="1">
        <w:r w:rsidR="00CC0777" w:rsidRPr="00FF756A">
          <w:rPr>
            <w:rStyle w:val="Hyperlink"/>
            <w:noProof/>
          </w:rPr>
          <w:t>Figura 113: Konsumi final i energjisë (ktoe) për sektorin e industrisë, sipas vlerave historike të periudhës 2016-2023 dhe sipas parashikimit me masat shtesë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_Toc183016643 \h </w:instrText>
        </w:r>
        <w:r w:rsidR="00CC0777" w:rsidRPr="00FF756A">
          <w:rPr>
            <w:noProof/>
            <w:webHidden/>
          </w:rPr>
        </w:r>
        <w:r w:rsidR="00CC0777" w:rsidRPr="00FF756A">
          <w:rPr>
            <w:noProof/>
            <w:webHidden/>
          </w:rPr>
          <w:fldChar w:fldCharType="separate"/>
        </w:r>
        <w:r w:rsidR="00CC0777" w:rsidRPr="00FF756A">
          <w:rPr>
            <w:noProof/>
            <w:webHidden/>
          </w:rPr>
          <w:t>313</w:t>
        </w:r>
        <w:r w:rsidR="00CC0777" w:rsidRPr="00FF756A">
          <w:rPr>
            <w:noProof/>
            <w:webHidden/>
          </w:rPr>
          <w:fldChar w:fldCharType="end"/>
        </w:r>
      </w:hyperlink>
    </w:p>
    <w:p w14:paraId="4FECE2BB" w14:textId="2F5281CB"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44" w:history="1">
        <w:r w:rsidR="00CC0777" w:rsidRPr="00FF756A">
          <w:rPr>
            <w:rStyle w:val="Hyperlink"/>
            <w:noProof/>
          </w:rPr>
          <w:t>Figura 114: Burimet e përziera në konsumin final të energjisë (ktoe) për sektorin e industrisë, sipas vlerave historike të periudhës 2016-2023 dhe sipas parashikimit me masat shtesë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_Toc183016644 \h </w:instrText>
        </w:r>
        <w:r w:rsidR="00CC0777" w:rsidRPr="00FF756A">
          <w:rPr>
            <w:noProof/>
            <w:webHidden/>
          </w:rPr>
        </w:r>
        <w:r w:rsidR="00CC0777" w:rsidRPr="00FF756A">
          <w:rPr>
            <w:noProof/>
            <w:webHidden/>
          </w:rPr>
          <w:fldChar w:fldCharType="separate"/>
        </w:r>
        <w:r w:rsidR="00CC0777" w:rsidRPr="00FF756A">
          <w:rPr>
            <w:noProof/>
            <w:webHidden/>
          </w:rPr>
          <w:t>313</w:t>
        </w:r>
        <w:r w:rsidR="00CC0777" w:rsidRPr="00FF756A">
          <w:rPr>
            <w:noProof/>
            <w:webHidden/>
          </w:rPr>
          <w:fldChar w:fldCharType="end"/>
        </w:r>
      </w:hyperlink>
    </w:p>
    <w:p w14:paraId="4DC30250" w14:textId="47FCB876"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45" w:history="1">
        <w:r w:rsidR="00CC0777" w:rsidRPr="00FF756A">
          <w:rPr>
            <w:rStyle w:val="Hyperlink"/>
            <w:noProof/>
          </w:rPr>
          <w:t>Figura 115: Konsumi final i energjisë (ktoe) për sektorin e transportit, sipas vlerave historike të periudhës 2016-2023 dhe sipas parashikimit me masat shtesë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_Toc183016645 \h </w:instrText>
        </w:r>
        <w:r w:rsidR="00CC0777" w:rsidRPr="00FF756A">
          <w:rPr>
            <w:noProof/>
            <w:webHidden/>
          </w:rPr>
        </w:r>
        <w:r w:rsidR="00CC0777" w:rsidRPr="00FF756A">
          <w:rPr>
            <w:noProof/>
            <w:webHidden/>
          </w:rPr>
          <w:fldChar w:fldCharType="separate"/>
        </w:r>
        <w:r w:rsidR="00CC0777" w:rsidRPr="00FF756A">
          <w:rPr>
            <w:noProof/>
            <w:webHidden/>
          </w:rPr>
          <w:t>314</w:t>
        </w:r>
        <w:r w:rsidR="00CC0777" w:rsidRPr="00FF756A">
          <w:rPr>
            <w:noProof/>
            <w:webHidden/>
          </w:rPr>
          <w:fldChar w:fldCharType="end"/>
        </w:r>
      </w:hyperlink>
    </w:p>
    <w:p w14:paraId="4D3CA3DC" w14:textId="02555C01"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46" w:history="1">
        <w:r w:rsidR="00CC0777" w:rsidRPr="00FF756A">
          <w:rPr>
            <w:rStyle w:val="Hyperlink"/>
            <w:noProof/>
          </w:rPr>
          <w:t>Figura 116: Burimet e përziera në konsumin final të energjisë (ktoe) për sektorin e transportit, sipas vlerave historike të periudhës 2016-2023 dhe sipas parashikimit me masat shtesë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_Toc183016646 \h </w:instrText>
        </w:r>
        <w:r w:rsidR="00CC0777" w:rsidRPr="00FF756A">
          <w:rPr>
            <w:noProof/>
            <w:webHidden/>
          </w:rPr>
        </w:r>
        <w:r w:rsidR="00CC0777" w:rsidRPr="00FF756A">
          <w:rPr>
            <w:noProof/>
            <w:webHidden/>
          </w:rPr>
          <w:fldChar w:fldCharType="separate"/>
        </w:r>
        <w:r w:rsidR="00CC0777" w:rsidRPr="00FF756A">
          <w:rPr>
            <w:noProof/>
            <w:webHidden/>
          </w:rPr>
          <w:t>314</w:t>
        </w:r>
        <w:r w:rsidR="00CC0777" w:rsidRPr="00FF756A">
          <w:rPr>
            <w:noProof/>
            <w:webHidden/>
          </w:rPr>
          <w:fldChar w:fldCharType="end"/>
        </w:r>
      </w:hyperlink>
    </w:p>
    <w:p w14:paraId="2A66FEDF" w14:textId="2C411FB9"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47" w:history="1">
        <w:r w:rsidR="00CC0777" w:rsidRPr="00FF756A">
          <w:rPr>
            <w:rStyle w:val="Hyperlink"/>
            <w:noProof/>
          </w:rPr>
          <w:t>Figura 117: Konsumi final i energjisë (ktoe) për sektorin e transportit të udhëtarëve, sipas vlerave historike të periudhës 2016-2023 dhe sipas parashikimit me masat shtesë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_Toc183016647 \h </w:instrText>
        </w:r>
        <w:r w:rsidR="00CC0777" w:rsidRPr="00FF756A">
          <w:rPr>
            <w:noProof/>
            <w:webHidden/>
          </w:rPr>
        </w:r>
        <w:r w:rsidR="00CC0777" w:rsidRPr="00FF756A">
          <w:rPr>
            <w:noProof/>
            <w:webHidden/>
          </w:rPr>
          <w:fldChar w:fldCharType="separate"/>
        </w:r>
        <w:r w:rsidR="00CC0777" w:rsidRPr="00FF756A">
          <w:rPr>
            <w:noProof/>
            <w:webHidden/>
          </w:rPr>
          <w:t>315</w:t>
        </w:r>
        <w:r w:rsidR="00CC0777" w:rsidRPr="00FF756A">
          <w:rPr>
            <w:noProof/>
            <w:webHidden/>
          </w:rPr>
          <w:fldChar w:fldCharType="end"/>
        </w:r>
      </w:hyperlink>
    </w:p>
    <w:p w14:paraId="4C4C8395" w14:textId="05B91DA1"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48" w:history="1">
        <w:r w:rsidR="00CC0777" w:rsidRPr="00FF756A">
          <w:rPr>
            <w:rStyle w:val="Hyperlink"/>
            <w:noProof/>
          </w:rPr>
          <w:t>Figura 118: Burimet e përziera në konsumin final të energjisë (ktoe) për sektorin e transportit të udhëtarëve, sipas vlerave historike të periudhës 2016-2023 dhe sipas parashikimit me masat shtesë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_Toc183016648 \h </w:instrText>
        </w:r>
        <w:r w:rsidR="00CC0777" w:rsidRPr="00FF756A">
          <w:rPr>
            <w:noProof/>
            <w:webHidden/>
          </w:rPr>
        </w:r>
        <w:r w:rsidR="00CC0777" w:rsidRPr="00FF756A">
          <w:rPr>
            <w:noProof/>
            <w:webHidden/>
          </w:rPr>
          <w:fldChar w:fldCharType="separate"/>
        </w:r>
        <w:r w:rsidR="00CC0777" w:rsidRPr="00FF756A">
          <w:rPr>
            <w:noProof/>
            <w:webHidden/>
          </w:rPr>
          <w:t>315</w:t>
        </w:r>
        <w:r w:rsidR="00CC0777" w:rsidRPr="00FF756A">
          <w:rPr>
            <w:noProof/>
            <w:webHidden/>
          </w:rPr>
          <w:fldChar w:fldCharType="end"/>
        </w:r>
      </w:hyperlink>
    </w:p>
    <w:p w14:paraId="2E60CB6A" w14:textId="29E48D5F"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49" w:history="1">
        <w:r w:rsidR="00CC0777" w:rsidRPr="00FF756A">
          <w:rPr>
            <w:rStyle w:val="Hyperlink"/>
            <w:noProof/>
          </w:rPr>
          <w:t>Figura 119: Konsumi final i energjisë (ktoe) për sektorin e transportit të mallrave, sipas vlerave historike të periudhës 2016-2023 dhe sipas parashikimit me masat shtesë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_Toc183016649 \h </w:instrText>
        </w:r>
        <w:r w:rsidR="00CC0777" w:rsidRPr="00FF756A">
          <w:rPr>
            <w:noProof/>
            <w:webHidden/>
          </w:rPr>
        </w:r>
        <w:r w:rsidR="00CC0777" w:rsidRPr="00FF756A">
          <w:rPr>
            <w:noProof/>
            <w:webHidden/>
          </w:rPr>
          <w:fldChar w:fldCharType="separate"/>
        </w:r>
        <w:r w:rsidR="00CC0777" w:rsidRPr="00FF756A">
          <w:rPr>
            <w:noProof/>
            <w:webHidden/>
          </w:rPr>
          <w:t>316</w:t>
        </w:r>
        <w:r w:rsidR="00CC0777" w:rsidRPr="00FF756A">
          <w:rPr>
            <w:noProof/>
            <w:webHidden/>
          </w:rPr>
          <w:fldChar w:fldCharType="end"/>
        </w:r>
      </w:hyperlink>
    </w:p>
    <w:p w14:paraId="526864A5" w14:textId="7C3C754C"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50" w:history="1">
        <w:r w:rsidR="00CC0777" w:rsidRPr="00FF756A">
          <w:rPr>
            <w:rStyle w:val="Hyperlink"/>
            <w:noProof/>
          </w:rPr>
          <w:t>Figura 120: Burimet e përziera në konsumin final të energjisë (ktoe) për sektorin e transportit të mallrave, sipas vlerave historike të periudhës 2016-2023 dhe sipas parashikimit me masat shtesë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_Toc183016650 \h </w:instrText>
        </w:r>
        <w:r w:rsidR="00CC0777" w:rsidRPr="00FF756A">
          <w:rPr>
            <w:noProof/>
            <w:webHidden/>
          </w:rPr>
        </w:r>
        <w:r w:rsidR="00CC0777" w:rsidRPr="00FF756A">
          <w:rPr>
            <w:noProof/>
            <w:webHidden/>
          </w:rPr>
          <w:fldChar w:fldCharType="separate"/>
        </w:r>
        <w:r w:rsidR="00CC0777" w:rsidRPr="00FF756A">
          <w:rPr>
            <w:noProof/>
            <w:webHidden/>
          </w:rPr>
          <w:t>316</w:t>
        </w:r>
        <w:r w:rsidR="00CC0777" w:rsidRPr="00FF756A">
          <w:rPr>
            <w:noProof/>
            <w:webHidden/>
          </w:rPr>
          <w:fldChar w:fldCharType="end"/>
        </w:r>
      </w:hyperlink>
    </w:p>
    <w:p w14:paraId="09E9DE31" w14:textId="41FD1AD4"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51" w:history="1">
        <w:r w:rsidR="00CC0777" w:rsidRPr="00FF756A">
          <w:rPr>
            <w:rStyle w:val="Hyperlink"/>
            <w:noProof/>
          </w:rPr>
          <w:t>Figura 121: Konsumi (ktoe) për kërkesën joenergjetike të vektorëve të energjisë, sipas vlerave historike të periudhës 2016-2023 dhe sipas parashikimit me masat shtesë deri në vitin 2050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_Toc183016651 \h </w:instrText>
        </w:r>
        <w:r w:rsidR="00CC0777" w:rsidRPr="00FF756A">
          <w:rPr>
            <w:noProof/>
            <w:webHidden/>
          </w:rPr>
        </w:r>
        <w:r w:rsidR="00CC0777" w:rsidRPr="00FF756A">
          <w:rPr>
            <w:noProof/>
            <w:webHidden/>
          </w:rPr>
          <w:fldChar w:fldCharType="separate"/>
        </w:r>
        <w:r w:rsidR="00CC0777" w:rsidRPr="00FF756A">
          <w:rPr>
            <w:noProof/>
            <w:webHidden/>
          </w:rPr>
          <w:t>317</w:t>
        </w:r>
        <w:r w:rsidR="00CC0777" w:rsidRPr="00FF756A">
          <w:rPr>
            <w:noProof/>
            <w:webHidden/>
          </w:rPr>
          <w:fldChar w:fldCharType="end"/>
        </w:r>
      </w:hyperlink>
    </w:p>
    <w:p w14:paraId="6BFDC5E1" w14:textId="59F888AC"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52" w:history="1">
        <w:r w:rsidR="00CC0777" w:rsidRPr="00FF756A">
          <w:rPr>
            <w:rStyle w:val="Hyperlink"/>
            <w:noProof/>
          </w:rPr>
          <w:t xml:space="preserve">Figura 122: Kërkesa, prodhimi, eksportet dhe importet e energjisë elektrike në skenarët me masa shtesë dhe me prodhim të energjisë së rinovueshme me kapacitet të plotë, si dhe teprica për eksport </w:t>
        </w:r>
        <w:r w:rsidR="00CC0777" w:rsidRPr="00FF756A">
          <w:rPr>
            <w:rStyle w:val="Hyperlink"/>
            <w:noProof/>
          </w:rPr>
          <w:lastRenderedPageBreak/>
          <w:t xml:space="preserve">(parashikimi për vitet 2019 </w:t>
        </w:r>
        <w:r w:rsidR="00DF469A">
          <w:rPr>
            <w:rStyle w:val="Hyperlink"/>
            <w:noProof/>
          </w:rPr>
          <w:t>–</w:t>
        </w:r>
        <w:r w:rsidR="00CC0777" w:rsidRPr="00FF756A">
          <w:rPr>
            <w:rStyle w:val="Hyperlink"/>
            <w:noProof/>
          </w:rPr>
          <w:t xml:space="preserve"> 2040). Paraqitet gjithashtu skenari WEM dhe “skenari WAM që merr në konsideratë vetëm ER-në për përmbushjen e kërkesës” (emërtuar </w:t>
        </w:r>
        <w:r w:rsidR="00DF469A">
          <w:rPr>
            <w:rStyle w:val="Hyperlink"/>
            <w:noProof/>
          </w:rPr>
          <w:t>“</w:t>
        </w:r>
        <w:r w:rsidR="00CC0777" w:rsidRPr="00FF756A">
          <w:rPr>
            <w:rStyle w:val="Hyperlink"/>
            <w:noProof/>
          </w:rPr>
          <w:t>WAM mdem</w:t>
        </w:r>
        <w:r w:rsidR="00DF469A">
          <w:rPr>
            <w:rStyle w:val="Hyperlink"/>
            <w:noProof/>
          </w:rPr>
          <w:t>”</w:t>
        </w:r>
        <w:r w:rsidR="00CC0777" w:rsidRPr="00FF756A">
          <w:rPr>
            <w:rStyle w:val="Hyperlink"/>
            <w:noProof/>
          </w:rPr>
          <w:t>)</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_Toc183016652 \h </w:instrText>
        </w:r>
        <w:r w:rsidR="00CC0777" w:rsidRPr="00FF756A">
          <w:rPr>
            <w:noProof/>
            <w:webHidden/>
          </w:rPr>
        </w:r>
        <w:r w:rsidR="00CC0777" w:rsidRPr="00FF756A">
          <w:rPr>
            <w:noProof/>
            <w:webHidden/>
          </w:rPr>
          <w:fldChar w:fldCharType="separate"/>
        </w:r>
        <w:r w:rsidR="00CC0777" w:rsidRPr="00FF756A">
          <w:rPr>
            <w:noProof/>
            <w:webHidden/>
          </w:rPr>
          <w:t>319</w:t>
        </w:r>
        <w:r w:rsidR="00CC0777" w:rsidRPr="00FF756A">
          <w:rPr>
            <w:noProof/>
            <w:webHidden/>
          </w:rPr>
          <w:fldChar w:fldCharType="end"/>
        </w:r>
      </w:hyperlink>
    </w:p>
    <w:p w14:paraId="019D3EE8" w14:textId="648AE949"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53" w:history="1">
        <w:r w:rsidR="00CC0777" w:rsidRPr="00FF756A">
          <w:rPr>
            <w:rStyle w:val="Hyperlink"/>
            <w:noProof/>
          </w:rPr>
          <w:t xml:space="preserve">Figura 123: Prodhimi i energjisë elektrike sipas skenarit WAM për impiante të ndryshme (PP, H </w:t>
        </w:r>
        <w:r w:rsidR="00DF469A">
          <w:rPr>
            <w:rStyle w:val="Hyperlink"/>
            <w:noProof/>
          </w:rPr>
          <w:t>–</w:t>
        </w:r>
        <w:r w:rsidR="00CC0777" w:rsidRPr="00FF756A">
          <w:rPr>
            <w:rStyle w:val="Hyperlink"/>
            <w:noProof/>
          </w:rPr>
          <w:t xml:space="preserve"> hidrike, S </w:t>
        </w:r>
        <w:r w:rsidR="00DF469A">
          <w:rPr>
            <w:rStyle w:val="Hyperlink"/>
            <w:noProof/>
          </w:rPr>
          <w:t>–</w:t>
        </w:r>
        <w:r w:rsidR="00CC0777" w:rsidRPr="00FF756A">
          <w:rPr>
            <w:rStyle w:val="Hyperlink"/>
            <w:noProof/>
          </w:rPr>
          <w:t xml:space="preserve"> diellore fotovoltaike, W </w:t>
        </w:r>
        <w:r w:rsidR="00DF469A">
          <w:rPr>
            <w:rStyle w:val="Hyperlink"/>
            <w:noProof/>
          </w:rPr>
          <w:t>–</w:t>
        </w:r>
        <w:r w:rsidR="00CC0777" w:rsidRPr="00FF756A">
          <w:rPr>
            <w:rStyle w:val="Hyperlink"/>
            <w:noProof/>
          </w:rPr>
          <w:t xml:space="preserve"> eolike, T </w:t>
        </w:r>
        <w:r w:rsidR="00DF469A">
          <w:rPr>
            <w:rStyle w:val="Hyperlink"/>
            <w:noProof/>
          </w:rPr>
          <w:t>–</w:t>
        </w:r>
        <w:r w:rsidR="00CC0777" w:rsidRPr="00FF756A">
          <w:rPr>
            <w:rStyle w:val="Hyperlink"/>
            <w:noProof/>
          </w:rPr>
          <w:t xml:space="preserve"> me gaz për përdorim termik). HECv janë HEC-e të vogla që llogariten bashkërisht, siç hidhen në ankand impiantet foto</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_Toc183016653 \h </w:instrText>
        </w:r>
        <w:r w:rsidR="00CC0777" w:rsidRPr="00FF756A">
          <w:rPr>
            <w:noProof/>
            <w:webHidden/>
          </w:rPr>
        </w:r>
        <w:r w:rsidR="00CC0777" w:rsidRPr="00FF756A">
          <w:rPr>
            <w:noProof/>
            <w:webHidden/>
          </w:rPr>
          <w:fldChar w:fldCharType="separate"/>
        </w:r>
        <w:r w:rsidR="00CC0777" w:rsidRPr="00FF756A">
          <w:rPr>
            <w:noProof/>
            <w:webHidden/>
          </w:rPr>
          <w:t>320</w:t>
        </w:r>
        <w:r w:rsidR="00CC0777" w:rsidRPr="00FF756A">
          <w:rPr>
            <w:noProof/>
            <w:webHidden/>
          </w:rPr>
          <w:fldChar w:fldCharType="end"/>
        </w:r>
      </w:hyperlink>
    </w:p>
    <w:p w14:paraId="0882E8A2" w14:textId="6BCB7BBA"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54" w:history="1">
        <w:r w:rsidR="00CC0777" w:rsidRPr="00FF756A">
          <w:rPr>
            <w:rStyle w:val="Hyperlink"/>
            <w:noProof/>
          </w:rPr>
          <w:t>Figura 124: Prodhimi i lëndëve djegëse me masa shtesë (parashikimi për periudhën 2019-2040)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_Toc183016654 \h </w:instrText>
        </w:r>
        <w:r w:rsidR="00CC0777" w:rsidRPr="00FF756A">
          <w:rPr>
            <w:noProof/>
            <w:webHidden/>
          </w:rPr>
        </w:r>
        <w:r w:rsidR="00CC0777" w:rsidRPr="00FF756A">
          <w:rPr>
            <w:noProof/>
            <w:webHidden/>
          </w:rPr>
          <w:fldChar w:fldCharType="separate"/>
        </w:r>
        <w:r w:rsidR="00CC0777" w:rsidRPr="00FF756A">
          <w:rPr>
            <w:noProof/>
            <w:webHidden/>
          </w:rPr>
          <w:t>321</w:t>
        </w:r>
        <w:r w:rsidR="00CC0777" w:rsidRPr="00FF756A">
          <w:rPr>
            <w:noProof/>
            <w:webHidden/>
          </w:rPr>
          <w:fldChar w:fldCharType="end"/>
        </w:r>
      </w:hyperlink>
    </w:p>
    <w:p w14:paraId="2123319F" w14:textId="1ED69859"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55" w:history="1">
        <w:r w:rsidR="00CC0777" w:rsidRPr="00FF756A">
          <w:rPr>
            <w:rStyle w:val="Hyperlink"/>
            <w:noProof/>
          </w:rPr>
          <w:t>Figura 125: Importet neto të lëndëve djegëse me masa shtesë (parashikimi për periudhën 2019-2040)</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_Toc183016655 \h </w:instrText>
        </w:r>
        <w:r w:rsidR="00CC0777" w:rsidRPr="00FF756A">
          <w:rPr>
            <w:noProof/>
            <w:webHidden/>
          </w:rPr>
        </w:r>
        <w:r w:rsidR="00CC0777" w:rsidRPr="00FF756A">
          <w:rPr>
            <w:noProof/>
            <w:webHidden/>
          </w:rPr>
          <w:fldChar w:fldCharType="separate"/>
        </w:r>
        <w:r w:rsidR="00CC0777" w:rsidRPr="00FF756A">
          <w:rPr>
            <w:noProof/>
            <w:webHidden/>
          </w:rPr>
          <w:t>321</w:t>
        </w:r>
        <w:r w:rsidR="00CC0777" w:rsidRPr="00FF756A">
          <w:rPr>
            <w:noProof/>
            <w:webHidden/>
          </w:rPr>
          <w:fldChar w:fldCharType="end"/>
        </w:r>
      </w:hyperlink>
    </w:p>
    <w:p w14:paraId="5E336A87" w14:textId="5F3A1A83"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56" w:history="1">
        <w:r w:rsidR="00CC0777" w:rsidRPr="00FF756A">
          <w:rPr>
            <w:rStyle w:val="Hyperlink"/>
            <w:noProof/>
          </w:rPr>
          <w:t>Figura 126: Reduktimet e shkarkimeve të GES-ve [kt CO2eq] për disa masa të caktuara që janë objekt i skenarit WAM. Menaxhimi i pyjeve nuk paraqitet për efekt qartësie</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_Toc183016656 \h </w:instrText>
        </w:r>
        <w:r w:rsidR="00CC0777" w:rsidRPr="00FF756A">
          <w:rPr>
            <w:noProof/>
            <w:webHidden/>
          </w:rPr>
        </w:r>
        <w:r w:rsidR="00CC0777" w:rsidRPr="00FF756A">
          <w:rPr>
            <w:noProof/>
            <w:webHidden/>
          </w:rPr>
          <w:fldChar w:fldCharType="separate"/>
        </w:r>
        <w:r w:rsidR="00CC0777" w:rsidRPr="00FF756A">
          <w:rPr>
            <w:noProof/>
            <w:webHidden/>
          </w:rPr>
          <w:t>323</w:t>
        </w:r>
        <w:r w:rsidR="00CC0777" w:rsidRPr="00FF756A">
          <w:rPr>
            <w:noProof/>
            <w:webHidden/>
          </w:rPr>
          <w:fldChar w:fldCharType="end"/>
        </w:r>
      </w:hyperlink>
    </w:p>
    <w:p w14:paraId="758AA35B" w14:textId="74FC5CBF"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57" w:history="1">
        <w:r w:rsidR="00CC0777" w:rsidRPr="00FF756A">
          <w:rPr>
            <w:rStyle w:val="Hyperlink"/>
            <w:noProof/>
          </w:rPr>
          <w:t>Figura 127: Reduktimet e shkarkimeve të GES-ve për të gjitha politikat dhe masat e zbatuara individualisht (kolonat e sipërme) dhe ato të zbatuara bashkërisht në skenarin WAM (kolonat e dyta). Me qëllim dhënien e një panorame sa më të plotë, këtu janë paraqitur reduktimet e shkarkimeve të GES-ve nga tre PM-të më ndikimin më të lartë.</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_Toc183016657 \h </w:instrText>
        </w:r>
        <w:r w:rsidR="00CC0777" w:rsidRPr="00FF756A">
          <w:rPr>
            <w:noProof/>
            <w:webHidden/>
          </w:rPr>
        </w:r>
        <w:r w:rsidR="00CC0777" w:rsidRPr="00FF756A">
          <w:rPr>
            <w:noProof/>
            <w:webHidden/>
          </w:rPr>
          <w:fldChar w:fldCharType="separate"/>
        </w:r>
        <w:r w:rsidR="00CC0777" w:rsidRPr="00FF756A">
          <w:rPr>
            <w:noProof/>
            <w:webHidden/>
          </w:rPr>
          <w:t>324</w:t>
        </w:r>
        <w:r w:rsidR="00CC0777" w:rsidRPr="00FF756A">
          <w:rPr>
            <w:noProof/>
            <w:webHidden/>
          </w:rPr>
          <w:fldChar w:fldCharType="end"/>
        </w:r>
      </w:hyperlink>
    </w:p>
    <w:p w14:paraId="62A9C834" w14:textId="6B8D5CDE" w:rsidR="00CC0777" w:rsidRPr="00FF756A" w:rsidRDefault="008A279C">
      <w:pPr>
        <w:pStyle w:val="TableofFigures"/>
        <w:tabs>
          <w:tab w:val="right" w:leader="dot" w:pos="9062"/>
        </w:tabs>
        <w:rPr>
          <w:rFonts w:eastAsiaTheme="minorEastAsia"/>
          <w:noProof/>
          <w:kern w:val="2"/>
          <w:sz w:val="24"/>
          <w:szCs w:val="24"/>
          <w14:ligatures w14:val="standardContextual"/>
        </w:rPr>
      </w:pPr>
      <w:hyperlink w:anchor="_Toc183016658" w:history="1">
        <w:r w:rsidR="00CC0777" w:rsidRPr="00FF756A">
          <w:rPr>
            <w:rStyle w:val="Hyperlink"/>
            <w:noProof/>
          </w:rPr>
          <w:t>Figura 128: Punësimi progresiv deri në vitin 2025 dhe 2030 për impiantet diellore fotovoltaike dhe ato eolike, për fazat e instalimit dhe të operimit/mirëmbajtjes (prezantimi ynë bazuar te Cameron and van der Zwaan (2015)</w:t>
        </w:r>
        <w:r w:rsidR="00CC0777" w:rsidRPr="00FF756A">
          <w:rPr>
            <w:noProof/>
            <w:webHidden/>
          </w:rPr>
          <w:tab/>
        </w:r>
        <w:r w:rsidR="00CC0777" w:rsidRPr="00FF756A">
          <w:rPr>
            <w:noProof/>
            <w:webHidden/>
          </w:rPr>
          <w:fldChar w:fldCharType="begin"/>
        </w:r>
        <w:r w:rsidR="00CC0777" w:rsidRPr="00FF756A">
          <w:rPr>
            <w:noProof/>
            <w:webHidden/>
          </w:rPr>
          <w:instrText xml:space="preserve"> PAGEREF _Toc183016658 \h </w:instrText>
        </w:r>
        <w:r w:rsidR="00CC0777" w:rsidRPr="00FF756A">
          <w:rPr>
            <w:noProof/>
            <w:webHidden/>
          </w:rPr>
        </w:r>
        <w:r w:rsidR="00CC0777" w:rsidRPr="00FF756A">
          <w:rPr>
            <w:noProof/>
            <w:webHidden/>
          </w:rPr>
          <w:fldChar w:fldCharType="separate"/>
        </w:r>
        <w:r w:rsidR="00CC0777" w:rsidRPr="00FF756A">
          <w:rPr>
            <w:noProof/>
            <w:webHidden/>
          </w:rPr>
          <w:t>329</w:t>
        </w:r>
        <w:r w:rsidR="00CC0777" w:rsidRPr="00FF756A">
          <w:rPr>
            <w:noProof/>
            <w:webHidden/>
          </w:rPr>
          <w:fldChar w:fldCharType="end"/>
        </w:r>
      </w:hyperlink>
    </w:p>
    <w:p w14:paraId="1639FF7E" w14:textId="0B8A438C" w:rsidR="006112AE" w:rsidRPr="00FF756A" w:rsidRDefault="006112AE" w:rsidP="00EF0D31">
      <w:pPr>
        <w:pStyle w:val="Title"/>
      </w:pPr>
      <w:r w:rsidRPr="00FF756A">
        <w:fldChar w:fldCharType="end"/>
      </w:r>
    </w:p>
    <w:p w14:paraId="1903E554" w14:textId="77777777" w:rsidR="000D27EC" w:rsidRPr="00FF756A" w:rsidRDefault="000D27EC" w:rsidP="000D27EC"/>
    <w:p w14:paraId="12DF7961" w14:textId="77777777" w:rsidR="000D27EC" w:rsidRPr="00FF756A" w:rsidRDefault="000D27EC" w:rsidP="000D27EC"/>
    <w:p w14:paraId="169FEA0C" w14:textId="77777777" w:rsidR="000D27EC" w:rsidRPr="00FF756A" w:rsidRDefault="000D27EC" w:rsidP="000D27EC"/>
    <w:p w14:paraId="026A6016" w14:textId="77777777" w:rsidR="000D27EC" w:rsidRPr="00FF756A" w:rsidRDefault="000D27EC" w:rsidP="000D27EC"/>
    <w:p w14:paraId="5EF14779" w14:textId="77777777" w:rsidR="000D27EC" w:rsidRPr="00FF756A" w:rsidRDefault="000D27EC" w:rsidP="000D27EC"/>
    <w:p w14:paraId="362B1F08" w14:textId="77777777" w:rsidR="000D27EC" w:rsidRPr="00FF756A" w:rsidRDefault="000D27EC" w:rsidP="000D27EC"/>
    <w:p w14:paraId="0068EAFD" w14:textId="77777777" w:rsidR="000D27EC" w:rsidRPr="00FF756A" w:rsidRDefault="000D27EC" w:rsidP="000D27EC"/>
    <w:p w14:paraId="5EC8B54C" w14:textId="77777777" w:rsidR="000D27EC" w:rsidRPr="00FF756A" w:rsidRDefault="000D27EC" w:rsidP="000D27EC"/>
    <w:p w14:paraId="33DD4929" w14:textId="77777777" w:rsidR="000D27EC" w:rsidRPr="00FF756A" w:rsidRDefault="000D27EC" w:rsidP="000D27EC"/>
    <w:p w14:paraId="509A7E26" w14:textId="77777777" w:rsidR="000D27EC" w:rsidRPr="00FF756A" w:rsidRDefault="000D27EC" w:rsidP="000D27EC"/>
    <w:p w14:paraId="0F606FE1" w14:textId="77777777" w:rsidR="000D27EC" w:rsidRPr="00FF756A" w:rsidRDefault="000D27EC" w:rsidP="000D27EC"/>
    <w:p w14:paraId="755B6BB1" w14:textId="77777777" w:rsidR="000D27EC" w:rsidRPr="00FF756A" w:rsidRDefault="000D27EC" w:rsidP="000D27EC"/>
    <w:p w14:paraId="4C85215D" w14:textId="77777777" w:rsidR="000D27EC" w:rsidRPr="00FF756A" w:rsidRDefault="000D27EC" w:rsidP="000D27EC"/>
    <w:p w14:paraId="6D87F80A" w14:textId="77777777" w:rsidR="000D27EC" w:rsidRPr="00FF756A" w:rsidRDefault="000D27EC" w:rsidP="000D27EC"/>
    <w:p w14:paraId="7FDCE1CB" w14:textId="77777777" w:rsidR="000D27EC" w:rsidRPr="00FF756A" w:rsidRDefault="000D27EC" w:rsidP="000D27EC"/>
    <w:p w14:paraId="419961A4" w14:textId="77777777" w:rsidR="000D27EC" w:rsidRPr="00FF756A" w:rsidRDefault="000D27EC" w:rsidP="000D27EC"/>
    <w:p w14:paraId="24B6A7FB" w14:textId="77777777" w:rsidR="000D27EC" w:rsidRPr="00FF756A" w:rsidRDefault="000D27EC" w:rsidP="000D27EC"/>
    <w:p w14:paraId="3F39F7EE" w14:textId="77777777" w:rsidR="000D27EC" w:rsidRPr="00FF756A" w:rsidRDefault="000D27EC" w:rsidP="000D27EC"/>
    <w:p w14:paraId="6864DC2F" w14:textId="77777777" w:rsidR="000D27EC" w:rsidRPr="00FF756A" w:rsidRDefault="000D27EC" w:rsidP="000D27EC"/>
    <w:p w14:paraId="7C5093F4" w14:textId="77777777" w:rsidR="000D27EC" w:rsidRPr="00FF756A" w:rsidRDefault="000D27EC" w:rsidP="000D27EC"/>
    <w:p w14:paraId="1BB520E7" w14:textId="77777777" w:rsidR="000D27EC" w:rsidRPr="00FF756A" w:rsidRDefault="000D27EC" w:rsidP="000D27EC"/>
    <w:p w14:paraId="5B146244" w14:textId="77777777" w:rsidR="000D27EC" w:rsidRPr="00FF756A" w:rsidRDefault="000D27EC" w:rsidP="000D27EC"/>
    <w:p w14:paraId="447997BD" w14:textId="31D28E26" w:rsidR="008C6407" w:rsidRPr="00FF756A" w:rsidRDefault="008C6407" w:rsidP="008C6407">
      <w:pPr>
        <w:pStyle w:val="Title"/>
      </w:pPr>
      <w:r w:rsidRPr="00FF756A">
        <w:lastRenderedPageBreak/>
        <w:t>PJESA A:  PLANI KOMBËTAR</w:t>
      </w:r>
    </w:p>
    <w:p w14:paraId="7A6BB7AF" w14:textId="77777777" w:rsidR="008C6407" w:rsidRPr="00FF756A" w:rsidRDefault="00874E5E" w:rsidP="00D953E4">
      <w:pPr>
        <w:pStyle w:val="Heading1"/>
        <w:numPr>
          <w:ilvl w:val="0"/>
          <w:numId w:val="200"/>
        </w:numPr>
      </w:pPr>
      <w:bookmarkStart w:id="5" w:name="_Toc183639164"/>
      <w:r w:rsidRPr="00FF756A">
        <w:t>PËRMBLEDHJE DHE PROCESI I PËRGATITJES SË PLANIT</w:t>
      </w:r>
      <w:bookmarkEnd w:id="5"/>
    </w:p>
    <w:p w14:paraId="7B841709" w14:textId="77777777" w:rsidR="008C6407" w:rsidRPr="00FF756A" w:rsidRDefault="008C6407" w:rsidP="008C6407"/>
    <w:p w14:paraId="2962F70D" w14:textId="2F0F3F2D" w:rsidR="00F55CDF" w:rsidRPr="00FF756A" w:rsidRDefault="00DA2EDE" w:rsidP="004A3257">
      <w:pPr>
        <w:pStyle w:val="Heading2"/>
        <w:numPr>
          <w:ilvl w:val="1"/>
          <w:numId w:val="218"/>
        </w:numPr>
      </w:pPr>
      <w:bookmarkStart w:id="6" w:name="_Toc183639165"/>
      <w:r w:rsidRPr="00FF756A">
        <w:t>Përmbledhje ekzekutive</w:t>
      </w:r>
      <w:bookmarkEnd w:id="6"/>
    </w:p>
    <w:p w14:paraId="534CC61D" w14:textId="77777777" w:rsidR="003F2630" w:rsidRPr="00FF756A" w:rsidRDefault="00F55CDF" w:rsidP="00CE3F5E">
      <w:r w:rsidRPr="00FF756A">
        <w:t>Shqipëria është angazhuar për përgatitjen e PKEK-së së saj të parë gjatë vitit 2020, miratuar me Vendimin e Këshillit të Ministrave Nr. 872, datë 29.12.2021 “Për miratimin e Planit Kombëtar të Energjisë dhe Klimës 2020 – 2030”. PKEK-ja plotëson Strategjinë e Energjisë, e cila krijon një kuadër politik të integruar për udhëheqjen e përpjekjeve të dekarbonizimit deri në vitin 2030 e më tej, në përputhje me qëllimet e Paktit të Gjelbër Evropian.</w:t>
      </w:r>
    </w:p>
    <w:p w14:paraId="7CA2C1BF" w14:textId="732B2746" w:rsidR="0035075C" w:rsidRPr="00FF756A" w:rsidRDefault="0035075C" w:rsidP="00CE3F5E">
      <w:r w:rsidRPr="00FF756A">
        <w:rPr>
          <w:color w:val="000000" w:themeColor="text1"/>
        </w:rPr>
        <w:t xml:space="preserve">Plani Kombëtar për Energjinë dhe Klimën (PKEK) </w:t>
      </w:r>
      <w:r w:rsidR="005B7893" w:rsidRPr="00FF756A">
        <w:rPr>
          <w:color w:val="000000" w:themeColor="text1"/>
        </w:rPr>
        <w:t>i</w:t>
      </w:r>
      <w:r w:rsidRPr="00FF756A">
        <w:rPr>
          <w:color w:val="000000" w:themeColor="text1"/>
        </w:rPr>
        <w:t xml:space="preserve">u është nënshtruar rishikimeve të mëtejshme për </w:t>
      </w:r>
      <w:r w:rsidR="00FC4089" w:rsidRPr="00FF756A">
        <w:rPr>
          <w:color w:val="000000" w:themeColor="text1"/>
        </w:rPr>
        <w:t xml:space="preserve">t’u </w:t>
      </w:r>
      <w:r w:rsidRPr="00FF756A">
        <w:rPr>
          <w:color w:val="000000" w:themeColor="text1"/>
        </w:rPr>
        <w:t>harmoniz</w:t>
      </w:r>
      <w:r w:rsidR="00992960" w:rsidRPr="00FF756A">
        <w:rPr>
          <w:color w:val="000000" w:themeColor="text1"/>
        </w:rPr>
        <w:t xml:space="preserve">uar me </w:t>
      </w:r>
      <w:r w:rsidRPr="00FF756A">
        <w:rPr>
          <w:color w:val="000000" w:themeColor="text1"/>
        </w:rPr>
        <w:t xml:space="preserve">rekomandimet e Sekretariatit të Komunitetit të Energjisë (EnCS) </w:t>
      </w:r>
      <w:r w:rsidR="00992960" w:rsidRPr="00FF756A">
        <w:rPr>
          <w:color w:val="000000" w:themeColor="text1"/>
        </w:rPr>
        <w:t xml:space="preserve">për </w:t>
      </w:r>
      <w:r w:rsidRPr="00FF756A">
        <w:rPr>
          <w:color w:val="000000" w:themeColor="text1"/>
        </w:rPr>
        <w:t xml:space="preserve">përmirësimin e PKEK-së, dhe për t’iu përshtatur objektivave të reja për vitin 2030. </w:t>
      </w:r>
    </w:p>
    <w:p w14:paraId="2065213C" w14:textId="37CE516A" w:rsidR="002D28C0" w:rsidRPr="00FF756A" w:rsidRDefault="00DE76F5" w:rsidP="00CE3F5E">
      <w:pPr>
        <w:rPr>
          <w:rFonts w:eastAsia="Calibri"/>
          <w:color w:val="000000" w:themeColor="text1"/>
        </w:rPr>
      </w:pPr>
      <w:r w:rsidRPr="00FF756A">
        <w:rPr>
          <w:color w:val="000000" w:themeColor="text1"/>
        </w:rPr>
        <w:t xml:space="preserve">Procesi i rishikimit të PKEK-së për të adresuar rekomandimet e EnCS-së filloi në vitin 2022 dhe plani ka pësuar rishikime të mëtejshme gjatë vitit 2024, me </w:t>
      </w:r>
      <w:r w:rsidR="00F6012E" w:rsidRPr="00FF756A">
        <w:rPr>
          <w:color w:val="000000" w:themeColor="text1"/>
        </w:rPr>
        <w:t xml:space="preserve">mbështetje nga </w:t>
      </w:r>
      <w:r w:rsidRPr="00FF756A">
        <w:rPr>
          <w:color w:val="000000" w:themeColor="text1"/>
        </w:rPr>
        <w:t>asistenc</w:t>
      </w:r>
      <w:r w:rsidR="00F6012E" w:rsidRPr="00FF756A">
        <w:rPr>
          <w:color w:val="000000" w:themeColor="text1"/>
        </w:rPr>
        <w:t>a</w:t>
      </w:r>
      <w:r w:rsidRPr="00FF756A">
        <w:rPr>
          <w:color w:val="000000" w:themeColor="text1"/>
        </w:rPr>
        <w:t xml:space="preserve"> teknike </w:t>
      </w:r>
      <w:r w:rsidR="00F6012E" w:rsidRPr="00FF756A">
        <w:rPr>
          <w:color w:val="000000" w:themeColor="text1"/>
        </w:rPr>
        <w:t>e</w:t>
      </w:r>
      <w:r w:rsidRPr="00FF756A">
        <w:rPr>
          <w:color w:val="000000" w:themeColor="text1"/>
        </w:rPr>
        <w:t xml:space="preserve"> GIZ</w:t>
      </w:r>
      <w:r w:rsidR="00F6012E" w:rsidRPr="00FF756A">
        <w:rPr>
          <w:color w:val="000000" w:themeColor="text1"/>
        </w:rPr>
        <w:t>-it</w:t>
      </w:r>
      <w:r w:rsidRPr="00FF756A">
        <w:rPr>
          <w:color w:val="000000" w:themeColor="text1"/>
        </w:rPr>
        <w:t xml:space="preserve">, për </w:t>
      </w:r>
      <w:r w:rsidR="00D1273E" w:rsidRPr="00FF756A">
        <w:rPr>
          <w:color w:val="000000" w:themeColor="text1"/>
        </w:rPr>
        <w:t xml:space="preserve">t’u përafruar me </w:t>
      </w:r>
      <w:r w:rsidRPr="00FF756A">
        <w:rPr>
          <w:color w:val="000000" w:themeColor="text1"/>
        </w:rPr>
        <w:t>objektivat e reja për vitin 2030 të përcaktuara nga Këshilli Ministror i Komunitetit të Energjisë</w:t>
      </w:r>
      <w:r w:rsidR="00D1273E" w:rsidRPr="00FF756A">
        <w:rPr>
          <w:color w:val="000000" w:themeColor="text1"/>
        </w:rPr>
        <w:t xml:space="preserve">. </w:t>
      </w:r>
      <w:r w:rsidR="00611113" w:rsidRPr="00FF756A">
        <w:rPr>
          <w:color w:val="000000" w:themeColor="text1"/>
        </w:rPr>
        <w:t>Kjo bazohet</w:t>
      </w:r>
      <w:r w:rsidRPr="00FF756A">
        <w:rPr>
          <w:color w:val="000000" w:themeColor="text1"/>
        </w:rPr>
        <w:t xml:space="preserve"> në </w:t>
      </w:r>
      <w:r w:rsidR="00611113" w:rsidRPr="00FF756A">
        <w:rPr>
          <w:color w:val="000000" w:themeColor="text1"/>
        </w:rPr>
        <w:t>Vendimin Nr.2022</w:t>
      </w:r>
      <w:r w:rsidRPr="00FF756A">
        <w:rPr>
          <w:color w:val="000000" w:themeColor="text1"/>
        </w:rPr>
        <w:t>/02/MC-EnC</w:t>
      </w:r>
      <w:r w:rsidR="00611113" w:rsidRPr="00FF756A">
        <w:rPr>
          <w:color w:val="000000" w:themeColor="text1"/>
        </w:rPr>
        <w:t xml:space="preserve"> të </w:t>
      </w:r>
      <w:r w:rsidR="00DC4CE2" w:rsidRPr="00FF756A">
        <w:rPr>
          <w:color w:val="000000" w:themeColor="text1"/>
        </w:rPr>
        <w:t>Këshillit</w:t>
      </w:r>
      <w:r w:rsidR="00611113" w:rsidRPr="00FF756A">
        <w:rPr>
          <w:color w:val="000000" w:themeColor="text1"/>
        </w:rPr>
        <w:t xml:space="preserve"> Ministror të Komunitetit të Energjisë</w:t>
      </w:r>
      <w:r w:rsidRPr="00FF756A">
        <w:rPr>
          <w:color w:val="000000" w:themeColor="text1"/>
        </w:rPr>
        <w:t xml:space="preserve">, datë 15 dhjetor 2022, </w:t>
      </w:r>
      <w:r w:rsidR="00577E87" w:rsidRPr="00FF756A">
        <w:rPr>
          <w:color w:val="000000" w:themeColor="text1"/>
        </w:rPr>
        <w:t xml:space="preserve">lidhur me </w:t>
      </w:r>
      <w:r w:rsidRPr="00FF756A">
        <w:rPr>
          <w:color w:val="000000" w:themeColor="text1"/>
        </w:rPr>
        <w:t>reduktimin e gaz</w:t>
      </w:r>
      <w:r w:rsidR="00577E87" w:rsidRPr="00FF756A">
        <w:rPr>
          <w:color w:val="000000" w:themeColor="text1"/>
        </w:rPr>
        <w:t>rave serrë (GHG)</w:t>
      </w:r>
      <w:r w:rsidRPr="00FF756A">
        <w:rPr>
          <w:color w:val="000000" w:themeColor="text1"/>
        </w:rPr>
        <w:t>, përqindjen e burimeve të energjisë së rinovueshme dhe efiçencën e energjisë, përkatësisht për konsumin final të energjisë dhe konsumin primar të energjisë.</w:t>
      </w:r>
    </w:p>
    <w:p w14:paraId="0E7F9000" w14:textId="33F0DA1F" w:rsidR="00622BA7" w:rsidRPr="00FF756A" w:rsidRDefault="00622BA7" w:rsidP="00CE3F5E">
      <w:pPr>
        <w:rPr>
          <w:color w:val="000000" w:themeColor="text1"/>
        </w:rPr>
      </w:pPr>
      <w:r w:rsidRPr="00FF756A">
        <w:rPr>
          <w:color w:val="000000" w:themeColor="text1"/>
        </w:rPr>
        <w:t>Ky plan bazohet në këto dokumente të rëndësishme:</w:t>
      </w:r>
    </w:p>
    <w:p w14:paraId="4EC40EDD" w14:textId="0F8CEC18" w:rsidR="00622BA7" w:rsidRPr="00FF756A" w:rsidRDefault="00622BA7">
      <w:pPr>
        <w:pStyle w:val="ListParagraph"/>
        <w:numPr>
          <w:ilvl w:val="0"/>
          <w:numId w:val="49"/>
        </w:numPr>
        <w:rPr>
          <w:color w:val="000000" w:themeColor="text1"/>
        </w:rPr>
      </w:pPr>
      <w:r w:rsidRPr="00FF756A">
        <w:rPr>
          <w:color w:val="000000" w:themeColor="text1"/>
        </w:rPr>
        <w:t>Strategjia Kombëtare e Energjisë për periudhën 2018–2030 (VKM Nr. 480, datë 31.7.2018), si dokumenti kryesor strategjik për sektorin e energjisë në vend,</w:t>
      </w:r>
    </w:p>
    <w:p w14:paraId="38B3B0E3" w14:textId="38BF4B44" w:rsidR="0035075C" w:rsidRPr="00FF756A" w:rsidRDefault="00622BA7">
      <w:pPr>
        <w:pStyle w:val="ListParagraph"/>
        <w:numPr>
          <w:ilvl w:val="0"/>
          <w:numId w:val="49"/>
        </w:numPr>
        <w:rPr>
          <w:color w:val="000000" w:themeColor="text1"/>
        </w:rPr>
      </w:pPr>
      <w:r w:rsidRPr="00FF756A">
        <w:rPr>
          <w:color w:val="000000" w:themeColor="text1"/>
        </w:rPr>
        <w:t>Dokumenti i Kontributit Kombëtar të Përcaktuar, NDC-të (VKM Nr. 581, datë 6.10.2021), për objektivat kombëtare për klimën, si dhe</w:t>
      </w:r>
    </w:p>
    <w:p w14:paraId="2000028A" w14:textId="01161F89" w:rsidR="0035075C" w:rsidRPr="00FF756A" w:rsidRDefault="0035075C">
      <w:pPr>
        <w:pStyle w:val="ListParagraph"/>
        <w:numPr>
          <w:ilvl w:val="0"/>
          <w:numId w:val="49"/>
        </w:numPr>
        <w:rPr>
          <w:rFonts w:eastAsia="Times New Roman"/>
          <w:color w:val="000000" w:themeColor="text1"/>
        </w:rPr>
      </w:pPr>
      <w:r w:rsidRPr="00FF756A">
        <w:rPr>
          <w:color w:val="000000" w:themeColor="text1"/>
        </w:rPr>
        <w:t xml:space="preserve">Marrëveshjet evropiane (siç është Pakti i Parisit dhe Deklarata e Sofjes mbi </w:t>
      </w:r>
      <w:r w:rsidR="00AC6D6A" w:rsidRPr="00FF756A">
        <w:rPr>
          <w:color w:val="000000" w:themeColor="text1"/>
        </w:rPr>
        <w:t>Paktin</w:t>
      </w:r>
      <w:r w:rsidRPr="00FF756A">
        <w:rPr>
          <w:color w:val="000000" w:themeColor="text1"/>
        </w:rPr>
        <w:t xml:space="preserve"> e Gjelbër për Ballkanin Perëndimor, si pjesë e “Procesit të Berlinit” në nëntor të vitit 2020).</w:t>
      </w:r>
    </w:p>
    <w:p w14:paraId="002F19A1" w14:textId="77777777" w:rsidR="0035075C" w:rsidRPr="00FF756A" w:rsidRDefault="0035075C" w:rsidP="003F2630">
      <w:pPr>
        <w:contextualSpacing/>
      </w:pPr>
    </w:p>
    <w:p w14:paraId="5821390B" w14:textId="2A30D2B9" w:rsidR="00622BA7" w:rsidRPr="00FF756A" w:rsidRDefault="00622BA7" w:rsidP="003F2630">
      <w:pPr>
        <w:contextualSpacing/>
      </w:pPr>
      <w:r w:rsidRPr="00FF756A">
        <w:t xml:space="preserve">Hartimi i PKEK-së ka </w:t>
      </w:r>
      <w:r w:rsidR="00C404F2" w:rsidRPr="00FF756A">
        <w:t>nxjerrë në pah</w:t>
      </w:r>
      <w:r w:rsidRPr="00FF756A">
        <w:t xml:space="preserve"> nevojën për një gamë të gjerë të dhënash të besueshme dhe</w:t>
      </w:r>
      <w:r w:rsidR="008A2EEC" w:rsidRPr="00FF756A">
        <w:t xml:space="preserve"> të </w:t>
      </w:r>
      <w:r w:rsidR="00D11A3C" w:rsidRPr="00FF756A">
        <w:t>qëndrueshme</w:t>
      </w:r>
      <w:r w:rsidRPr="00FF756A">
        <w:t xml:space="preserve">, </w:t>
      </w:r>
      <w:r w:rsidR="00D64351" w:rsidRPr="00FF756A">
        <w:t xml:space="preserve">ndër të cilat </w:t>
      </w:r>
      <w:r w:rsidRPr="00FF756A">
        <w:t xml:space="preserve">më të rëndësishmet janë ato mbi ndryshmet klimatike. Si një </w:t>
      </w:r>
      <w:r w:rsidR="00C404F2" w:rsidRPr="00FF756A">
        <w:t>vend</w:t>
      </w:r>
      <w:r w:rsidRPr="00FF756A">
        <w:t xml:space="preserve"> që nuk </w:t>
      </w:r>
      <w:r w:rsidR="00C97684" w:rsidRPr="00FF756A">
        <w:t xml:space="preserve">është </w:t>
      </w:r>
      <w:r w:rsidR="009B6D20" w:rsidRPr="00FF756A">
        <w:t>pjesë e</w:t>
      </w:r>
      <w:r w:rsidR="00CF48D4" w:rsidRPr="00FF756A">
        <w:t xml:space="preserve"> </w:t>
      </w:r>
      <w:r w:rsidRPr="00FF756A">
        <w:t>Shtojcë</w:t>
      </w:r>
      <w:r w:rsidR="00CF48D4" w:rsidRPr="00FF756A">
        <w:t>s</w:t>
      </w:r>
      <w:r w:rsidRPr="00FF756A">
        <w:t xml:space="preserve"> 1 të KKKBNK-së, Shqipëria ka </w:t>
      </w:r>
      <w:r w:rsidR="00CF48D4" w:rsidRPr="00FF756A">
        <w:t xml:space="preserve">hartuar </w:t>
      </w:r>
      <w:r w:rsidRPr="00FF756A">
        <w:t>një inventar të shkarkimeve antropogjene sipas burimeve dhe përthithjes nga përthithësit për të gjitha gaz</w:t>
      </w:r>
      <w:r w:rsidR="002E6D9C" w:rsidRPr="00FF756A">
        <w:t xml:space="preserve">rat </w:t>
      </w:r>
      <w:r w:rsidRPr="00FF756A">
        <w:t>serrë (GES) të shkarkuara në atmosferë ose të përthithura nga atmosfera që prej vitit 1990, në kuadër të Komunikimeve të saj për Ndryshimet Klimatike,</w:t>
      </w:r>
      <w:r w:rsidR="00E115D1" w:rsidRPr="00FF756A">
        <w:t xml:space="preserve"> dhe së fundmi në raportin e titulluar “</w:t>
      </w:r>
      <w:r w:rsidRPr="00FF756A">
        <w:t xml:space="preserve">Raporti i parë dyvjeçar i përditësuar për Shqipërinë”, i cili jep informacion të detajuar </w:t>
      </w:r>
      <w:r w:rsidR="00441155" w:rsidRPr="00FF756A">
        <w:t>lidhur me</w:t>
      </w:r>
      <w:r w:rsidRPr="00FF756A">
        <w:t xml:space="preserve"> inventarin e GES-ve.</w:t>
      </w:r>
    </w:p>
    <w:p w14:paraId="10D751CF" w14:textId="63F6674E" w:rsidR="00E91C76" w:rsidRPr="00FF756A" w:rsidRDefault="00622BA7" w:rsidP="00E91C76">
      <w:pPr>
        <w:contextualSpacing/>
      </w:pPr>
      <w:r w:rsidRPr="00FF756A">
        <w:t xml:space="preserve">Ligji nr. 155/2020 “Për ndryshimet klimatike” ka </w:t>
      </w:r>
      <w:r w:rsidR="008B2239" w:rsidRPr="00FF756A">
        <w:t xml:space="preserve">vendosur bazat për </w:t>
      </w:r>
      <w:r w:rsidRPr="00FF756A">
        <w:t xml:space="preserve">transpozimin e Rregullores “Për </w:t>
      </w:r>
      <w:r w:rsidR="008B2239" w:rsidRPr="00FF756A">
        <w:t>Q</w:t>
      </w:r>
      <w:r w:rsidRPr="00FF756A">
        <w:t>everisjen e Unioni</w:t>
      </w:r>
      <w:r w:rsidR="005D012C" w:rsidRPr="00FF756A">
        <w:t xml:space="preserve">t </w:t>
      </w:r>
      <w:r w:rsidRPr="00FF756A">
        <w:t>të Energjisë” (Rregullorja për Qeverisjen) dhe legjislacioni</w:t>
      </w:r>
      <w:r w:rsidR="005D012C" w:rsidRPr="00FF756A">
        <w:t>n</w:t>
      </w:r>
      <w:r w:rsidRPr="00FF756A">
        <w:t xml:space="preserve"> përkatës të BE-së </w:t>
      </w:r>
      <w:r w:rsidR="005D012C" w:rsidRPr="00FF756A">
        <w:t>mbi</w:t>
      </w:r>
      <w:r w:rsidRPr="00FF756A">
        <w:t xml:space="preserve"> ndryshimet klimatike.</w:t>
      </w:r>
    </w:p>
    <w:p w14:paraId="146B2416" w14:textId="77777777" w:rsidR="00E91C76" w:rsidRPr="00FF756A" w:rsidRDefault="00E91C76" w:rsidP="00E91C76">
      <w:pPr>
        <w:contextualSpacing/>
      </w:pPr>
    </w:p>
    <w:p w14:paraId="612609DD" w14:textId="7E5910E0" w:rsidR="00DA2EDE" w:rsidRPr="00FF756A" w:rsidRDefault="00DA2EDE" w:rsidP="00E54CFE">
      <w:pPr>
        <w:pStyle w:val="Heading3"/>
        <w:numPr>
          <w:ilvl w:val="2"/>
          <w:numId w:val="200"/>
        </w:numPr>
        <w:rPr>
          <w:rFonts w:eastAsia="Times New Roman"/>
          <w:color w:val="202124"/>
        </w:rPr>
      </w:pPr>
      <w:bookmarkStart w:id="7" w:name="_Toc183639166"/>
      <w:r w:rsidRPr="00FF756A">
        <w:t>Konteksti politik, ekonomik, mjedisor dhe social i planit</w:t>
      </w:r>
      <w:bookmarkEnd w:id="7"/>
    </w:p>
    <w:p w14:paraId="6C19ADA4" w14:textId="0EA6D066" w:rsidR="00F55CDF" w:rsidRPr="00FF756A" w:rsidRDefault="00F55CDF" w:rsidP="003F2630">
      <w:pPr>
        <w:ind w:right="6"/>
        <w:contextualSpacing/>
        <w:rPr>
          <w:b/>
          <w:bCs/>
          <w:iCs/>
        </w:rPr>
      </w:pPr>
      <w:r w:rsidRPr="00FF756A">
        <w:rPr>
          <w:b/>
          <w:bCs/>
          <w:iCs/>
        </w:rPr>
        <w:t xml:space="preserve">Konteksti politik: </w:t>
      </w:r>
    </w:p>
    <w:p w14:paraId="3549BA21" w14:textId="0C978F45" w:rsidR="003F2630" w:rsidRPr="00FF756A" w:rsidRDefault="0033155D" w:rsidP="00CE3F5E">
      <w:pPr>
        <w:pStyle w:val="Default"/>
        <w:spacing w:before="60" w:after="60" w:line="276" w:lineRule="auto"/>
        <w:jc w:val="both"/>
        <w:rPr>
          <w:rFonts w:eastAsia="MS Mincho"/>
          <w:color w:val="auto"/>
          <w:sz w:val="22"/>
          <w:szCs w:val="22"/>
        </w:rPr>
      </w:pPr>
      <w:r w:rsidRPr="00FF756A">
        <w:rPr>
          <w:color w:val="auto"/>
          <w:sz w:val="22"/>
          <w:szCs w:val="22"/>
        </w:rPr>
        <w:t>Republika e Shqipërisë është një kandidate zyrtare për anëtarësim në Bashkimin Evropian që prej datës 24 qershor 2014</w:t>
      </w:r>
      <w:r w:rsidR="00027828" w:rsidRPr="00FF756A">
        <w:rPr>
          <w:color w:val="auto"/>
          <w:sz w:val="22"/>
          <w:szCs w:val="22"/>
        </w:rPr>
        <w:t xml:space="preserve">, ndërsa </w:t>
      </w:r>
      <w:r w:rsidRPr="00FF756A">
        <w:rPr>
          <w:color w:val="auto"/>
          <w:sz w:val="22"/>
          <w:szCs w:val="22"/>
        </w:rPr>
        <w:t xml:space="preserve">negociatat për </w:t>
      </w:r>
      <w:r w:rsidR="008A2F91" w:rsidRPr="00FF756A">
        <w:rPr>
          <w:color w:val="auto"/>
          <w:sz w:val="22"/>
          <w:szCs w:val="22"/>
        </w:rPr>
        <w:t>anëtarësim</w:t>
      </w:r>
      <w:r w:rsidR="00E74DEF" w:rsidRPr="00FF756A">
        <w:rPr>
          <w:color w:val="auto"/>
          <w:sz w:val="22"/>
          <w:szCs w:val="22"/>
        </w:rPr>
        <w:t xml:space="preserve"> </w:t>
      </w:r>
      <w:r w:rsidR="004337DE" w:rsidRPr="00FF756A">
        <w:rPr>
          <w:color w:val="auto"/>
          <w:sz w:val="22"/>
          <w:szCs w:val="22"/>
        </w:rPr>
        <w:t>u hapën më 19 korrik 2022. Paralelisht,</w:t>
      </w:r>
      <w:r w:rsidR="00274491" w:rsidRPr="00FF756A">
        <w:rPr>
          <w:color w:val="auto"/>
          <w:sz w:val="22"/>
          <w:szCs w:val="22"/>
        </w:rPr>
        <w:t xml:space="preserve"> Procesi i Berlinit u lançua si një</w:t>
      </w:r>
      <w:r w:rsidRPr="00FF756A">
        <w:rPr>
          <w:color w:val="auto"/>
          <w:sz w:val="22"/>
          <w:szCs w:val="22"/>
        </w:rPr>
        <w:t xml:space="preserve"> nismë </w:t>
      </w:r>
      <w:r w:rsidR="00274491" w:rsidRPr="00FF756A">
        <w:rPr>
          <w:color w:val="auto"/>
          <w:sz w:val="22"/>
          <w:szCs w:val="22"/>
        </w:rPr>
        <w:t>për të nxitur</w:t>
      </w:r>
      <w:r w:rsidRPr="00FF756A">
        <w:rPr>
          <w:color w:val="auto"/>
          <w:sz w:val="22"/>
          <w:szCs w:val="22"/>
        </w:rPr>
        <w:t xml:space="preserve"> bashkëpunimi</w:t>
      </w:r>
      <w:r w:rsidR="00274491" w:rsidRPr="00FF756A">
        <w:rPr>
          <w:color w:val="auto"/>
          <w:sz w:val="22"/>
          <w:szCs w:val="22"/>
        </w:rPr>
        <w:t>n</w:t>
      </w:r>
      <w:r w:rsidR="00C81A88" w:rsidRPr="00FF756A">
        <w:rPr>
          <w:color w:val="auto"/>
          <w:sz w:val="22"/>
          <w:szCs w:val="22"/>
        </w:rPr>
        <w:t xml:space="preserve"> rajonal në </w:t>
      </w:r>
      <w:r w:rsidRPr="00FF756A">
        <w:rPr>
          <w:color w:val="auto"/>
          <w:sz w:val="22"/>
          <w:szCs w:val="22"/>
        </w:rPr>
        <w:t>Ballkanin Perëndimor dhe</w:t>
      </w:r>
      <w:r w:rsidR="00C81A88" w:rsidRPr="00FF756A">
        <w:rPr>
          <w:color w:val="auto"/>
          <w:sz w:val="22"/>
          <w:szCs w:val="22"/>
        </w:rPr>
        <w:t xml:space="preserve"> për të </w:t>
      </w:r>
      <w:r w:rsidR="00C81A88" w:rsidRPr="00FF756A">
        <w:rPr>
          <w:color w:val="auto"/>
          <w:sz w:val="22"/>
          <w:szCs w:val="22"/>
        </w:rPr>
        <w:lastRenderedPageBreak/>
        <w:t xml:space="preserve">mbështetur integrimin e vendeve të rajonit në Bashkimin Evropian (BE). Ky proces u konkretizua me nënshkrimin e Deklaratës së Sofjes mbi </w:t>
      </w:r>
      <w:r w:rsidR="00F072A6" w:rsidRPr="00FF756A">
        <w:rPr>
          <w:color w:val="auto"/>
          <w:sz w:val="22"/>
          <w:szCs w:val="22"/>
        </w:rPr>
        <w:t>Paktin</w:t>
      </w:r>
      <w:r w:rsidR="00C81A88" w:rsidRPr="00FF756A">
        <w:rPr>
          <w:color w:val="auto"/>
          <w:sz w:val="22"/>
          <w:szCs w:val="22"/>
        </w:rPr>
        <w:t xml:space="preserve"> e Gjelbër për Ballkanin Perëndimor në Samitin e Ballkanit Perëndimor në nëntor 2020, ku vendet e rajonit u angazhuan të punojnë drejt synimit për një kontinent neutral ndaj karbonit deri në vitin 2050, në linjë me Bashkimin Evropian.</w:t>
      </w:r>
      <w:r w:rsidRPr="00FF756A">
        <w:rPr>
          <w:color w:val="auto"/>
          <w:sz w:val="22"/>
          <w:szCs w:val="22"/>
        </w:rPr>
        <w:t xml:space="preserve"> Në kuadër të harmonizimit të kuadrit ligjor të </w:t>
      </w:r>
      <w:r w:rsidR="00F75B34" w:rsidRPr="00FF756A">
        <w:rPr>
          <w:color w:val="auto"/>
          <w:sz w:val="22"/>
          <w:szCs w:val="22"/>
        </w:rPr>
        <w:t>kombëtar</w:t>
      </w:r>
      <w:r w:rsidRPr="00FF756A">
        <w:rPr>
          <w:color w:val="auto"/>
          <w:sz w:val="22"/>
          <w:szCs w:val="22"/>
        </w:rPr>
        <w:t xml:space="preserve"> me legjislacionin e BE-së, Republika e Shqipërisë ka kryer gjatë kësaj kohe një sërë </w:t>
      </w:r>
      <w:r w:rsidR="00675C3D" w:rsidRPr="00FF756A">
        <w:rPr>
          <w:color w:val="auto"/>
          <w:sz w:val="22"/>
          <w:szCs w:val="22"/>
        </w:rPr>
        <w:t>përafrimesh le</w:t>
      </w:r>
      <w:r w:rsidRPr="00FF756A">
        <w:rPr>
          <w:color w:val="auto"/>
          <w:sz w:val="22"/>
          <w:szCs w:val="22"/>
        </w:rPr>
        <w:t>gjislative në fushat e ndryshimeve klimatike, mjedisit dhe energjisë.</w:t>
      </w:r>
    </w:p>
    <w:p w14:paraId="66FE6CFA" w14:textId="2FC8FDE5" w:rsidR="0022011E" w:rsidRPr="00FF756A" w:rsidRDefault="00EE1CBA" w:rsidP="0022011E">
      <w:r w:rsidRPr="00FF756A">
        <w:t>N</w:t>
      </w:r>
      <w:r w:rsidR="0022011E" w:rsidRPr="00FF756A">
        <w:t xml:space="preserve">ë Konferencën e 26-të të OKB-së për Ndryshimet Klimatike (COP26), Shqipëria mori përsipër </w:t>
      </w:r>
      <w:r w:rsidR="00A67DD6" w:rsidRPr="00FF756A">
        <w:t xml:space="preserve">të nisë </w:t>
      </w:r>
      <w:r w:rsidR="0022011E" w:rsidRPr="00FF756A">
        <w:t xml:space="preserve">një proces planifikimi për integrimin e faktorëve të lidhur me energjinë në kuadrin e </w:t>
      </w:r>
      <w:r w:rsidR="002872E3" w:rsidRPr="00FF756A">
        <w:t>sfidave globale të ndryshimeve</w:t>
      </w:r>
      <w:r w:rsidR="0022011E" w:rsidRPr="00FF756A">
        <w:t xml:space="preserve"> klimatike</w:t>
      </w:r>
      <w:r w:rsidR="002872E3" w:rsidRPr="00FF756A">
        <w:t>.</w:t>
      </w:r>
      <w:r w:rsidR="0022011E" w:rsidRPr="00FF756A">
        <w:t xml:space="preserve"> Aktualisht, </w:t>
      </w:r>
      <w:r w:rsidR="002872E3" w:rsidRPr="00FF756A">
        <w:t>vendi</w:t>
      </w:r>
      <w:r w:rsidR="0022011E" w:rsidRPr="00FF756A">
        <w:t xml:space="preserve"> po </w:t>
      </w:r>
      <w:r w:rsidR="002872E3" w:rsidRPr="00FF756A">
        <w:t xml:space="preserve">vijon me hapa </w:t>
      </w:r>
      <w:r w:rsidR="0022011E" w:rsidRPr="00FF756A">
        <w:t xml:space="preserve">të mëtejshëm </w:t>
      </w:r>
      <w:r w:rsidR="00BC15D3" w:rsidRPr="00FF756A">
        <w:t>në</w:t>
      </w:r>
      <w:r w:rsidR="0022011E" w:rsidRPr="00FF756A">
        <w:t xml:space="preserve"> procesin e përafrimit </w:t>
      </w:r>
      <w:r w:rsidR="00BC15D3" w:rsidRPr="00FF756A">
        <w:t>të</w:t>
      </w:r>
      <w:r w:rsidR="0022011E" w:rsidRPr="00FF756A">
        <w:t xml:space="preserve"> legjislacioni</w:t>
      </w:r>
      <w:r w:rsidR="00BC15D3" w:rsidRPr="00FF756A">
        <w:t>t me atë të</w:t>
      </w:r>
      <w:r w:rsidR="0022011E" w:rsidRPr="00FF756A">
        <w:t xml:space="preserve"> BE-së</w:t>
      </w:r>
      <w:r w:rsidR="00BC15D3" w:rsidRPr="00FF756A">
        <w:t>, në kuadër</w:t>
      </w:r>
      <w:r w:rsidR="000E40A5" w:rsidRPr="00FF756A">
        <w:t xml:space="preserve"> të</w:t>
      </w:r>
      <w:r w:rsidR="0022011E" w:rsidRPr="00FF756A">
        <w:t xml:space="preserve"> negociatave për anëtarësim.</w:t>
      </w:r>
    </w:p>
    <w:p w14:paraId="259FFC15" w14:textId="1BE290B7" w:rsidR="004A621B" w:rsidRPr="00FF756A" w:rsidRDefault="005260F8" w:rsidP="0022011E">
      <w:pPr>
        <w:pStyle w:val="Default"/>
        <w:spacing w:before="60" w:after="60" w:line="276" w:lineRule="auto"/>
        <w:jc w:val="both"/>
        <w:rPr>
          <w:rFonts w:eastAsia="MS Mincho"/>
          <w:color w:val="auto"/>
          <w:sz w:val="22"/>
          <w:szCs w:val="22"/>
        </w:rPr>
      </w:pPr>
      <w:r w:rsidRPr="00FF756A">
        <w:rPr>
          <w:sz w:val="22"/>
          <w:szCs w:val="22"/>
        </w:rPr>
        <w:t>Republika e Shqipërisë ka miratuar politika dhe kuadr</w:t>
      </w:r>
      <w:r w:rsidR="00830784" w:rsidRPr="00FF756A">
        <w:rPr>
          <w:sz w:val="22"/>
          <w:szCs w:val="22"/>
        </w:rPr>
        <w:t>in</w:t>
      </w:r>
      <w:r w:rsidRPr="00FF756A">
        <w:rPr>
          <w:sz w:val="22"/>
          <w:szCs w:val="22"/>
        </w:rPr>
        <w:t xml:space="preserve"> legjislativ </w:t>
      </w:r>
      <w:r w:rsidR="00830784" w:rsidRPr="00FF756A">
        <w:rPr>
          <w:sz w:val="22"/>
          <w:szCs w:val="22"/>
        </w:rPr>
        <w:t xml:space="preserve">që mbulojnë pesë dimensionet </w:t>
      </w:r>
      <w:r w:rsidR="00F42451" w:rsidRPr="00FF756A">
        <w:rPr>
          <w:sz w:val="22"/>
          <w:szCs w:val="22"/>
        </w:rPr>
        <w:t xml:space="preserve"> kryesore</w:t>
      </w:r>
      <w:r w:rsidRPr="00FF756A">
        <w:rPr>
          <w:sz w:val="22"/>
          <w:szCs w:val="22"/>
        </w:rPr>
        <w:t xml:space="preserve"> të Vizionit për vitin 2030 në fushën e energjisë dhe klimës. N</w:t>
      </w:r>
      <w:r w:rsidR="00BA01BD" w:rsidRPr="00FF756A">
        <w:rPr>
          <w:sz w:val="22"/>
          <w:szCs w:val="22"/>
        </w:rPr>
        <w:t>d</w:t>
      </w:r>
      <w:r w:rsidRPr="00FF756A">
        <w:rPr>
          <w:sz w:val="22"/>
          <w:szCs w:val="22"/>
        </w:rPr>
        <w:t>ë</w:t>
      </w:r>
      <w:r w:rsidR="00BA01BD" w:rsidRPr="00FF756A">
        <w:rPr>
          <w:sz w:val="22"/>
          <w:szCs w:val="22"/>
        </w:rPr>
        <w:t>r</w:t>
      </w:r>
      <w:r w:rsidRPr="00FF756A">
        <w:rPr>
          <w:sz w:val="22"/>
          <w:szCs w:val="22"/>
        </w:rPr>
        <w:t xml:space="preserve"> </w:t>
      </w:r>
      <w:r w:rsidR="00BA01BD" w:rsidRPr="00FF756A">
        <w:rPr>
          <w:sz w:val="22"/>
          <w:szCs w:val="22"/>
        </w:rPr>
        <w:t>to përfshihen</w:t>
      </w:r>
      <w:r w:rsidR="00B129D4" w:rsidRPr="00FF756A">
        <w:rPr>
          <w:sz w:val="22"/>
          <w:szCs w:val="22"/>
        </w:rPr>
        <w:t xml:space="preserve">: </w:t>
      </w:r>
      <w:r w:rsidRPr="00FF756A">
        <w:rPr>
          <w:sz w:val="22"/>
          <w:szCs w:val="22"/>
        </w:rPr>
        <w:t xml:space="preserve">Ligji i ri Nr. 24/2023, datë 23.3.2023, “Për nxitjen e përdorimit të energjisë nga burimet e rinovueshme”, Ligji 124/2015 “Për efiçencën e energjisë”, i ndryshuar në vitin 2021, Ligji Nr. 43/2015, datë 30.4.2015, “Për sektorin e energjisë”, i ndryshuar, Ligji Nr. 52, datë 29.5.2024, “Për etiketimin e produkteve me ndikim në energji”, si dhe Ligji Nr. 155/2020 “Për ndryshimet klimatike”. </w:t>
      </w:r>
      <w:r w:rsidR="008A527C" w:rsidRPr="00FF756A">
        <w:rPr>
          <w:sz w:val="22"/>
          <w:szCs w:val="22"/>
        </w:rPr>
        <w:t xml:space="preserve">Po ashtu, </w:t>
      </w:r>
      <w:r w:rsidRPr="00FF756A">
        <w:rPr>
          <w:sz w:val="22"/>
          <w:szCs w:val="22"/>
        </w:rPr>
        <w:t xml:space="preserve">Ligji 124/2015 “Për efiçencën e energjisë”, i ndryshuar, Ligji Nr. 43/2015, datë 30.4.2015, “Për sektorin e energjisë” dhe Ligji Nr. 116/2016, “Për performancën e energjisë së ndërtesave” janë duke u harmonizuar me direktivat e reja </w:t>
      </w:r>
      <w:r w:rsidR="004A3AA2" w:rsidRPr="00FF756A">
        <w:rPr>
          <w:sz w:val="22"/>
          <w:szCs w:val="22"/>
        </w:rPr>
        <w:t>të Bashkimit Evropian.</w:t>
      </w:r>
    </w:p>
    <w:p w14:paraId="72453A20" w14:textId="3BB64038" w:rsidR="00DF5DBD" w:rsidRPr="00FF756A" w:rsidRDefault="00DF5DBD" w:rsidP="00CE3F5E">
      <w:r w:rsidRPr="00FF756A">
        <w:t>Shqipëria ka bërë përparime të rëndësishme në krijimin e një tregu të brendshëm energjie që mbështet sigurinë, efiçencën dhe mbrojtjen e mjedisit, përfshirë reduktimin e shkarkimeve të gaz</w:t>
      </w:r>
      <w:r w:rsidR="000D5C79" w:rsidRPr="00FF756A">
        <w:t>ev</w:t>
      </w:r>
      <w:r w:rsidR="00DB3413" w:rsidRPr="00FF756A">
        <w:t>e</w:t>
      </w:r>
      <w:r w:rsidRPr="00FF756A">
        <w:t xml:space="preserve"> serrë (GES). </w:t>
      </w:r>
      <w:r w:rsidR="001B7199" w:rsidRPr="00FF756A">
        <w:t xml:space="preserve">Në këtë kuadër, Shqipëria ka pësuar zhvillime mjaft të rëndësishme për sa i përket tregut të energjisë elektrike </w:t>
      </w:r>
      <w:r w:rsidRPr="00FF756A">
        <w:t>Ndër masat kryesore, krijimi i Bursës Shqiptare të Energjisë (ALPEX) në vitin 2020 dhe vënia e saj në punë më 12 prill 2023 shënoi një hap të rëndësishëm drejt integrimit të tregjeve të energjisë elektrike të Shqipërisë dhe Kosovës, duke përmbushur një nga kërkesat e Paketës së Tretë të Energjisë.</w:t>
      </w:r>
      <w:r w:rsidR="0083176A" w:rsidRPr="00FF756A">
        <w:t xml:space="preserve">. </w:t>
      </w:r>
    </w:p>
    <w:p w14:paraId="5DCB7029" w14:textId="77777777" w:rsidR="00DF5DBD" w:rsidRPr="00FF756A" w:rsidRDefault="00DF5DBD" w:rsidP="00CE3F5E"/>
    <w:p w14:paraId="0BD9D057" w14:textId="3BC62AE3" w:rsidR="00D064C7" w:rsidRPr="00FF756A" w:rsidRDefault="00F77280" w:rsidP="00CE3F5E">
      <w:r w:rsidRPr="00FF756A">
        <w:t>Gjithashtu</w:t>
      </w:r>
      <w:r w:rsidR="00372C8B" w:rsidRPr="00FF756A">
        <w:t xml:space="preserve">, </w:t>
      </w:r>
      <w:r w:rsidR="0083176A" w:rsidRPr="00FF756A">
        <w:t>ndarja ligjore dhe funksionale e Operatorit të Sistemit të Shpërndarjes (OSHEE Sh.A.)</w:t>
      </w:r>
      <w:r w:rsidR="004D1A85" w:rsidRPr="00FF756A">
        <w:t xml:space="preserve"> përfundoi më 1 janar 2020,</w:t>
      </w:r>
      <w:r w:rsidR="0083176A" w:rsidRPr="00FF756A">
        <w:t xml:space="preserve"> </w:t>
      </w:r>
      <w:r w:rsidR="00EF62E9" w:rsidRPr="00FF756A">
        <w:t xml:space="preserve">duke </w:t>
      </w:r>
      <w:r w:rsidR="00372C8B" w:rsidRPr="00FF756A">
        <w:t>krijuar</w:t>
      </w:r>
      <w:r w:rsidR="00EF62E9" w:rsidRPr="00FF756A">
        <w:t xml:space="preserve"> tre shoqëri </w:t>
      </w:r>
      <w:r w:rsidR="0083176A" w:rsidRPr="00FF756A">
        <w:t>të pavarur</w:t>
      </w:r>
      <w:r w:rsidR="00372C8B" w:rsidRPr="00FF756A">
        <w:t>a</w:t>
      </w:r>
      <w:r w:rsidR="004D1A85" w:rsidRPr="00FF756A">
        <w:t xml:space="preserve"> bijë</w:t>
      </w:r>
      <w:r w:rsidR="00372C8B" w:rsidRPr="00FF756A">
        <w:t xml:space="preserve">, </w:t>
      </w:r>
      <w:r w:rsidR="0083176A" w:rsidRPr="00FF756A">
        <w:t xml:space="preserve">sipas licencave të lëshuara nga Enti Rregullator i Energjisë. Shqipëria ka finalizuar plotësisht ndarjen e KESH Sh.A. nga OST Sh.A., </w:t>
      </w:r>
      <w:r w:rsidR="00C93814" w:rsidRPr="00FF756A">
        <w:t xml:space="preserve">në përputhje me </w:t>
      </w:r>
      <w:r w:rsidR="0041353B" w:rsidRPr="00FF756A">
        <w:t xml:space="preserve">detyrimet e </w:t>
      </w:r>
      <w:r w:rsidR="0083176A" w:rsidRPr="00FF756A">
        <w:t>Paketës së Tretë të Energjisë. Operatori OSSH Sh.A.</w:t>
      </w:r>
      <w:r w:rsidR="00040DA5" w:rsidRPr="00FF756A">
        <w:t xml:space="preserve"> </w:t>
      </w:r>
      <w:r w:rsidR="004B27E3" w:rsidRPr="00FF756A">
        <w:t>Gjithashtu ka miratuar</w:t>
      </w:r>
      <w:r w:rsidR="0083176A" w:rsidRPr="00FF756A">
        <w:t xml:space="preserve"> kontratën për ofrimin e shërbimeve të zyrtarit të pajtueshmërisë së Operatorit të Sistemit të Shpërndarjes (OSSH Sh.A). Ndarja e shoqërive të gazit u finalizua me krijimin e Albgaz Sh.A.</w:t>
      </w:r>
    </w:p>
    <w:p w14:paraId="5F5E102F" w14:textId="77777777" w:rsidR="008B6A0F" w:rsidRPr="00FF756A" w:rsidRDefault="008B6A0F" w:rsidP="00CE3F5E"/>
    <w:p w14:paraId="553C5E8B" w14:textId="3C6829E5" w:rsidR="009B414D" w:rsidRPr="00FF756A" w:rsidRDefault="000263FB" w:rsidP="00CE3F5E">
      <w:pPr>
        <w:ind w:right="4"/>
        <w:rPr>
          <w:iCs/>
        </w:rPr>
      </w:pPr>
      <w:r w:rsidRPr="00FF756A">
        <w:t xml:space="preserve">Strategjia Kombëtare e Energjisë, PKEK 2020-2030, Plani Kombëtar për Zbutjen e Gazeve me Efekt Serrë dhe Strategjia e Transportit kanë përcaktuar objektiva </w:t>
      </w:r>
      <w:r w:rsidR="008B6A0F" w:rsidRPr="00FF756A">
        <w:t xml:space="preserve">për rritjen e sigurisë së furnizimit, zgjerimin e përdorimit të gazit natyror, rritjen e përqindjes së burimeve të rinovueshme dhe të efiçencës së energjisë, si dhe uljen e shkarkimeve të GES-ve. Aktualisht, po përgatitet “Plani Afatgjatë i Rinovimit për Ndërtesat Publike dhe Private”, duke pasqyruar përkushtimin për një zhvillim të qëndrueshëm dhe të harmonizuar me standardet evropiane. </w:t>
      </w:r>
    </w:p>
    <w:p w14:paraId="0F92960A" w14:textId="77777777" w:rsidR="009B414D" w:rsidRPr="00FF756A" w:rsidRDefault="009B414D" w:rsidP="00CE3F5E">
      <w:pPr>
        <w:ind w:right="4"/>
        <w:rPr>
          <w:iCs/>
        </w:rPr>
      </w:pPr>
    </w:p>
    <w:p w14:paraId="5D31D676" w14:textId="66D6721E" w:rsidR="000263FB" w:rsidRPr="00FF756A" w:rsidRDefault="008319E1" w:rsidP="00CE3F5E">
      <w:pPr>
        <w:shd w:val="clear" w:color="auto" w:fill="FFFFFF" w:themeFill="background1"/>
      </w:pPr>
      <w:r w:rsidRPr="00FF756A">
        <w:t xml:space="preserve">Ligji nr. 155/2020 “Për ndryshimet klimatike” ka hedhur bazat për transpozimin e Rregullores “Për </w:t>
      </w:r>
      <w:r w:rsidR="00BE59D9" w:rsidRPr="00FF756A">
        <w:t>Q</w:t>
      </w:r>
      <w:r w:rsidRPr="00FF756A">
        <w:t xml:space="preserve">everisjen e Unionit të Energjisë” (Rregullorja për Qeverisjen) dhe të legjislacionit të BE-së për ndryshimet klimatike. </w:t>
      </w:r>
    </w:p>
    <w:p w14:paraId="5A41CDAF" w14:textId="3B13118A" w:rsidR="000E1850" w:rsidRPr="00FF756A" w:rsidRDefault="00EF6058" w:rsidP="00CE3F5E">
      <w:r w:rsidRPr="00FF756A">
        <w:t xml:space="preserve">Për </w:t>
      </w:r>
      <w:r w:rsidRPr="00FF756A">
        <w:rPr>
          <w:color w:val="0C000F"/>
        </w:rPr>
        <w:t>zbatimin dhe realizimin e plotë</w:t>
      </w:r>
      <w:r w:rsidRPr="00FF756A">
        <w:t xml:space="preserve"> të politikave të energjisë dhe klimës, shumica e akteve nënligjore në zbatim të ligjit Nr. 124/2015, datë 12.11.2015 “Për efiçencën e energjisë”, i ndryshuar, janë miratuar </w:t>
      </w:r>
      <w:r w:rsidRPr="00FF756A">
        <w:lastRenderedPageBreak/>
        <w:t xml:space="preserve">gjatë viteve 2022-2024, ndërsa aktet nënligjore në zbatim të ligjit “Për performancën e energjisë së ndërtesave” janë miratuar gjatë vitit 2020. Për sa i përket </w:t>
      </w:r>
      <w:r w:rsidR="008219F1" w:rsidRPr="00FF756A">
        <w:t>akteve nënligjore</w:t>
      </w:r>
      <w:r w:rsidRPr="00FF756A">
        <w:t xml:space="preserve"> për burimet e energjisë së rinovueshme, </w:t>
      </w:r>
      <w:r w:rsidR="00EE5205" w:rsidRPr="00FF756A">
        <w:t xml:space="preserve">janë hartuar </w:t>
      </w:r>
      <w:r w:rsidRPr="00FF756A">
        <w:t xml:space="preserve">pjesërisht ose </w:t>
      </w:r>
      <w:r w:rsidR="00EE5205" w:rsidRPr="00FF756A">
        <w:t xml:space="preserve">janë </w:t>
      </w:r>
      <w:r w:rsidRPr="00FF756A">
        <w:t xml:space="preserve">ende në zhvillim e sipër. </w:t>
      </w:r>
    </w:p>
    <w:p w14:paraId="407D6885" w14:textId="77777777" w:rsidR="000E1850" w:rsidRPr="00FF756A" w:rsidRDefault="000E1850" w:rsidP="00CE3F5E"/>
    <w:p w14:paraId="7AA4BF81" w14:textId="153C11E3" w:rsidR="00C768E3" w:rsidRPr="00FF756A" w:rsidRDefault="005D2EBF" w:rsidP="00C768E3">
      <w:r w:rsidRPr="00FF756A">
        <w:t>L</w:t>
      </w:r>
      <w:r w:rsidR="00C768E3" w:rsidRPr="00FF756A">
        <w:t>igji nr.2/2023 “Për gazrat e fluorizuar” luan një rol kritik në adresimin e emetimeve të gazeve serrë. Ai synon të kontrollojë dhe të reduktojë përdorimin e gaz</w:t>
      </w:r>
      <w:r w:rsidR="00F33354" w:rsidRPr="00FF756A">
        <w:t>rave</w:t>
      </w:r>
      <w:r w:rsidR="00C768E3" w:rsidRPr="00FF756A">
        <w:t xml:space="preserve"> të fluorizuar, të cilët janë gazra të fuqishëm serë. Duke rregulluar reduktimin e këtyre substancave, ligji plotëson politikat ekzistuese të klimës dhe energjisë, duke kontribuar në reduktimin e përgjithshëm të emetimeve dhe duke mbështetur kalimin drejt një peizazhi më të qëndrueshëm energjetik.</w:t>
      </w:r>
    </w:p>
    <w:p w14:paraId="4496A92F" w14:textId="38229978" w:rsidR="000E1850" w:rsidRPr="00FF756A" w:rsidRDefault="00C768E3" w:rsidP="00C768E3">
      <w:r w:rsidRPr="00FF756A">
        <w:t>Me ndryshimin e ligjit kombëtar për ndryshimet klimatike, do të parashikohet harmonizimi i tij me pjesët përkatëse të Direktivës së përditësuar të ETS (Direktiva 2003/87/EC) me qëllim të krijimit të bazës së nevojshme ligjore për MRVA. Për më tepër, aktet nënligjore do të përputhen me</w:t>
      </w:r>
      <w:r w:rsidR="00A10EEA" w:rsidRPr="00FF756A">
        <w:t>: 1) R</w:t>
      </w:r>
      <w:r w:rsidRPr="00FF756A">
        <w:t xml:space="preserve">regulloren MRR (Rregullorja </w:t>
      </w:r>
      <w:r w:rsidR="000E7F7E" w:rsidRPr="00FF756A">
        <w:t xml:space="preserve">Zbatuese </w:t>
      </w:r>
      <w:r w:rsidRPr="00FF756A">
        <w:t xml:space="preserve"> e Komisionit (BE) 2018/2066 për monitorimin dhe raportimin e emetimeve të gaz</w:t>
      </w:r>
      <w:r w:rsidR="000E7F7E" w:rsidRPr="00FF756A">
        <w:t>rave</w:t>
      </w:r>
      <w:r w:rsidRPr="00FF756A">
        <w:t xml:space="preserve"> serrë); 2) Rregullorja AVR (Rregullorja (BE) 2018/2067 për verifikimin e të dhënave dhe për akreditimin e verifikuesve, me qëllim vendosjen e kuadrit të nevojshëm rregullator për futjen e çmimit të karbonit.</w:t>
      </w:r>
    </w:p>
    <w:p w14:paraId="35A6D186" w14:textId="51F2DBFC" w:rsidR="00F55CDF" w:rsidRPr="00FF756A" w:rsidRDefault="00622BA7" w:rsidP="00CE3F5E">
      <w:pPr>
        <w:shd w:val="clear" w:color="auto" w:fill="FFFFFF" w:themeFill="background1"/>
      </w:pPr>
      <w:r w:rsidRPr="00FF756A">
        <w:t>Struktura institucionale për planifikimin dhe raportimin e politikave dhe masave në lidhje me energjinë dhe klimën është gjithashtu në zhvillim e sipër. Institucionet dhe profesionet në vijim, të cilat janë krijuar me ligj, mbeten ende për t’u themeluar në praktikë: Agjencia përgjegjëse për Burimet e Rinovueshme, Operatori i Energjisë së Rinovueshme, Instituti Shkencor i Hidrokarbureve, operatorët e gazit natyror etj.</w:t>
      </w:r>
    </w:p>
    <w:p w14:paraId="37A32B32" w14:textId="77777777" w:rsidR="00DA1896" w:rsidRPr="00FF756A" w:rsidRDefault="00DA1896" w:rsidP="003F2630">
      <w:pPr>
        <w:shd w:val="clear" w:color="auto" w:fill="FFFFFF" w:themeFill="background1"/>
        <w:contextualSpacing/>
      </w:pPr>
    </w:p>
    <w:p w14:paraId="479447F4" w14:textId="77777777" w:rsidR="00DA2EDE" w:rsidRPr="00FF756A" w:rsidRDefault="00DA2EDE" w:rsidP="003F2630">
      <w:pPr>
        <w:ind w:right="4"/>
        <w:contextualSpacing/>
        <w:rPr>
          <w:b/>
          <w:bCs/>
          <w:iCs/>
        </w:rPr>
      </w:pPr>
      <w:r w:rsidRPr="00FF756A">
        <w:rPr>
          <w:b/>
          <w:bCs/>
          <w:iCs/>
        </w:rPr>
        <w:t xml:space="preserve">Konteksti ekonomik: </w:t>
      </w:r>
    </w:p>
    <w:p w14:paraId="4EA1B620" w14:textId="4F02358F" w:rsidR="00C768E3" w:rsidRPr="00FF756A" w:rsidRDefault="00C768E3" w:rsidP="00C768E3">
      <w:pPr>
        <w:contextualSpacing/>
        <w:rPr>
          <w:iCs/>
        </w:rPr>
      </w:pPr>
      <w:r w:rsidRPr="00FF756A">
        <w:rPr>
          <w:iCs/>
        </w:rPr>
        <w:t>Zhvillimi dhe zbatimi i politikave kombëtare të energjisë dhe klimës nuk do të synojë vetëm të reduktojë emetimet e gazeve serrë, por gjithashtu të gjenerojë përfitime të rëndësishme ekonomike në sektorë të ndryshëm</w:t>
      </w:r>
      <w:r w:rsidR="00B50D0C" w:rsidRPr="00FF756A">
        <w:rPr>
          <w:iCs/>
        </w:rPr>
        <w:t>.</w:t>
      </w:r>
      <w:r w:rsidRPr="00FF756A">
        <w:rPr>
          <w:iCs/>
        </w:rPr>
        <w:t xml:space="preserve"> Këto politika nxisin investimet në energjinë e rinovueshme, efiçencën e energjisë dhe praktikat e qëndrueshme, duke krijuar </w:t>
      </w:r>
      <w:r w:rsidR="006F3838" w:rsidRPr="00FF756A">
        <w:rPr>
          <w:iCs/>
        </w:rPr>
        <w:t>burime</w:t>
      </w:r>
      <w:r w:rsidRPr="00FF756A">
        <w:rPr>
          <w:iCs/>
        </w:rPr>
        <w:t xml:space="preserve"> të reja të ardhurash dhe duke stimuluar rritjen ekonomike. </w:t>
      </w:r>
      <w:r w:rsidR="006F3838" w:rsidRPr="00FF756A">
        <w:rPr>
          <w:iCs/>
        </w:rPr>
        <w:t>I</w:t>
      </w:r>
      <w:r w:rsidRPr="00FF756A">
        <w:rPr>
          <w:iCs/>
        </w:rPr>
        <w:t>nvestime</w:t>
      </w:r>
      <w:r w:rsidR="002B7802" w:rsidRPr="00FF756A">
        <w:rPr>
          <w:iCs/>
        </w:rPr>
        <w:t>t e planifikuara në sektorin</w:t>
      </w:r>
      <w:r w:rsidRPr="00FF756A">
        <w:rPr>
          <w:iCs/>
        </w:rPr>
        <w:t xml:space="preserve"> </w:t>
      </w:r>
      <w:r w:rsidR="002B7802" w:rsidRPr="00FF756A">
        <w:rPr>
          <w:iCs/>
        </w:rPr>
        <w:t xml:space="preserve">energjitik pritet të kenë </w:t>
      </w:r>
      <w:r w:rsidR="008E3F55" w:rsidRPr="00FF756A">
        <w:rPr>
          <w:iCs/>
        </w:rPr>
        <w:t xml:space="preserve">ndikim të konsiderueshëm në rritjen e PBB-së sektoriale, duke gjeneruar </w:t>
      </w:r>
      <w:r w:rsidRPr="00FF756A">
        <w:rPr>
          <w:iCs/>
        </w:rPr>
        <w:t>të ardhura dhe rritjen e fuqisë punëtore në fusha të ndryshme.</w:t>
      </w:r>
    </w:p>
    <w:p w14:paraId="40685F3F" w14:textId="77777777" w:rsidR="008E3F55" w:rsidRPr="00FF756A" w:rsidRDefault="008E3F55" w:rsidP="00C768E3">
      <w:pPr>
        <w:contextualSpacing/>
        <w:rPr>
          <w:iCs/>
        </w:rPr>
      </w:pPr>
    </w:p>
    <w:p w14:paraId="2CD4D5D3" w14:textId="268E6415" w:rsidR="00C768E3" w:rsidRPr="00FF756A" w:rsidRDefault="00C768E3" w:rsidP="00C768E3">
      <w:pPr>
        <w:contextualSpacing/>
        <w:rPr>
          <w:iCs/>
        </w:rPr>
      </w:pPr>
      <w:r w:rsidRPr="00FF756A">
        <w:rPr>
          <w:iCs/>
        </w:rPr>
        <w:t>Për shembull, ndërtimi dhe rinovimi i ndërtesave</w:t>
      </w:r>
      <w:r w:rsidR="00361397" w:rsidRPr="00FF756A">
        <w:rPr>
          <w:iCs/>
        </w:rPr>
        <w:t xml:space="preserve"> si dhe</w:t>
      </w:r>
      <w:r w:rsidRPr="00FF756A">
        <w:rPr>
          <w:iCs/>
        </w:rPr>
        <w:t xml:space="preserve"> zgjerimi i sektorit të energjisë së rinovueshme</w:t>
      </w:r>
      <w:r w:rsidR="00361397" w:rsidRPr="00FF756A">
        <w:rPr>
          <w:iCs/>
        </w:rPr>
        <w:t>,</w:t>
      </w:r>
      <w:r w:rsidRPr="00FF756A">
        <w:rPr>
          <w:iCs/>
        </w:rPr>
        <w:t xml:space="preserve"> ka</w:t>
      </w:r>
      <w:r w:rsidR="00361397" w:rsidRPr="00FF756A">
        <w:rPr>
          <w:iCs/>
        </w:rPr>
        <w:t>në</w:t>
      </w:r>
      <w:r w:rsidRPr="00FF756A">
        <w:rPr>
          <w:iCs/>
        </w:rPr>
        <w:t xml:space="preserve"> çuar në krijimin e industrive të reja, si prodhimi </w:t>
      </w:r>
      <w:r w:rsidR="00361397" w:rsidRPr="00FF756A">
        <w:rPr>
          <w:iCs/>
        </w:rPr>
        <w:t xml:space="preserve">i paneleve </w:t>
      </w:r>
      <w:r w:rsidRPr="00FF756A">
        <w:rPr>
          <w:iCs/>
        </w:rPr>
        <w:t>diellor</w:t>
      </w:r>
      <w:r w:rsidR="00361397" w:rsidRPr="00FF756A">
        <w:rPr>
          <w:iCs/>
        </w:rPr>
        <w:t>e</w:t>
      </w:r>
      <w:r w:rsidRPr="00FF756A">
        <w:rPr>
          <w:iCs/>
        </w:rPr>
        <w:t xml:space="preserve"> dhe </w:t>
      </w:r>
      <w:r w:rsidR="00AB20F4" w:rsidRPr="00FF756A">
        <w:rPr>
          <w:iCs/>
        </w:rPr>
        <w:t xml:space="preserve">turbinave me </w:t>
      </w:r>
      <w:r w:rsidRPr="00FF756A">
        <w:rPr>
          <w:iCs/>
        </w:rPr>
        <w:t xml:space="preserve">erë, </w:t>
      </w:r>
      <w:r w:rsidR="00AB20F4" w:rsidRPr="00FF756A">
        <w:rPr>
          <w:iCs/>
        </w:rPr>
        <w:t>duke shtuar mundësitë e</w:t>
      </w:r>
      <w:r w:rsidRPr="00FF756A">
        <w:rPr>
          <w:iCs/>
        </w:rPr>
        <w:t xml:space="preserve"> punësimit në nivele të ndryshme aftësish. Reduktimi i varësisë nga importet e energjisë jo vetëm</w:t>
      </w:r>
      <w:r w:rsidR="006A262F" w:rsidRPr="00FF756A">
        <w:rPr>
          <w:iCs/>
        </w:rPr>
        <w:t xml:space="preserve"> që kontribuon në</w:t>
      </w:r>
      <w:r w:rsidRPr="00FF756A">
        <w:rPr>
          <w:iCs/>
        </w:rPr>
        <w:t xml:space="preserve"> përmirësimin e sigurisë së furnizimit me energji, por edhe në sigurinë makroekonomike dhe politike të vendit nëpërmjet </w:t>
      </w:r>
      <w:r w:rsidR="00F66120" w:rsidRPr="00FF756A">
        <w:rPr>
          <w:iCs/>
        </w:rPr>
        <w:t xml:space="preserve">duke ulur </w:t>
      </w:r>
      <w:r w:rsidRPr="00FF756A">
        <w:rPr>
          <w:iCs/>
        </w:rPr>
        <w:t>deficit</w:t>
      </w:r>
      <w:r w:rsidR="00F66120" w:rsidRPr="00FF756A">
        <w:rPr>
          <w:iCs/>
        </w:rPr>
        <w:t xml:space="preserve">in </w:t>
      </w:r>
      <w:r w:rsidRPr="00FF756A">
        <w:rPr>
          <w:iCs/>
        </w:rPr>
        <w:t>buxhet</w:t>
      </w:r>
      <w:r w:rsidR="00F66120" w:rsidRPr="00FF756A">
        <w:rPr>
          <w:iCs/>
        </w:rPr>
        <w:t xml:space="preserve">or kombëtar. </w:t>
      </w:r>
    </w:p>
    <w:p w14:paraId="6B0802C1" w14:textId="77777777" w:rsidR="00F66120" w:rsidRPr="00FF756A" w:rsidRDefault="00F66120" w:rsidP="00C768E3">
      <w:pPr>
        <w:contextualSpacing/>
        <w:rPr>
          <w:iCs/>
        </w:rPr>
      </w:pPr>
    </w:p>
    <w:p w14:paraId="5BF6EC5B" w14:textId="38CE1CAB" w:rsidR="00DA1896" w:rsidRPr="00FF756A" w:rsidRDefault="00C768E3" w:rsidP="00C768E3">
      <w:pPr>
        <w:contextualSpacing/>
        <w:rPr>
          <w:iCs/>
        </w:rPr>
      </w:pPr>
      <w:r w:rsidRPr="00FF756A">
        <w:rPr>
          <w:iCs/>
        </w:rPr>
        <w:t xml:space="preserve">Për më tepër, theksi </w:t>
      </w:r>
      <w:r w:rsidR="00F66120" w:rsidRPr="00FF756A">
        <w:rPr>
          <w:iCs/>
        </w:rPr>
        <w:t>mbi</w:t>
      </w:r>
      <w:r w:rsidRPr="00FF756A">
        <w:rPr>
          <w:iCs/>
        </w:rPr>
        <w:t xml:space="preserve"> teknologjitë dhe infrastrukturën e gjelbër ka nxitur inovacionin, duke çuar në shfaqjen e tregjeve dhe shërbimeve të reja të fokusuara në qëndrueshmëri. Si rezultat, tranzicioni drejt një ekonomie me karbon të ulët nuk po trajton vetëm sfidat klimatike, por gjithashtu po rrit pjesëmarrjen e fuqisë punëtore në punët e gjelbra, duke kontribuar në një peizazh ekonomik më </w:t>
      </w:r>
      <w:r w:rsidR="0098550C" w:rsidRPr="00FF756A">
        <w:rPr>
          <w:iCs/>
        </w:rPr>
        <w:t xml:space="preserve">të qëndrueshëm dhe të </w:t>
      </w:r>
      <w:r w:rsidRPr="00FF756A">
        <w:rPr>
          <w:iCs/>
        </w:rPr>
        <w:t>larmishëm.</w:t>
      </w:r>
    </w:p>
    <w:p w14:paraId="0DEAFE15" w14:textId="77777777" w:rsidR="00C768E3" w:rsidRPr="00FF756A" w:rsidRDefault="00C768E3" w:rsidP="00C768E3">
      <w:pPr>
        <w:contextualSpacing/>
      </w:pPr>
    </w:p>
    <w:p w14:paraId="76FBBD79" w14:textId="77777777" w:rsidR="00DA2EDE" w:rsidRPr="00FF756A" w:rsidRDefault="00DA2EDE" w:rsidP="003F2630">
      <w:pPr>
        <w:ind w:right="4"/>
        <w:contextualSpacing/>
        <w:rPr>
          <w:b/>
          <w:bCs/>
          <w:iCs/>
        </w:rPr>
      </w:pPr>
      <w:r w:rsidRPr="00FF756A">
        <w:rPr>
          <w:b/>
          <w:bCs/>
          <w:iCs/>
        </w:rPr>
        <w:t xml:space="preserve">Konteksti mjedisor: </w:t>
      </w:r>
    </w:p>
    <w:p w14:paraId="445014A3" w14:textId="14BC19C7" w:rsidR="00E95E89" w:rsidRPr="00FF756A" w:rsidRDefault="00645C8B" w:rsidP="003F2630">
      <w:pPr>
        <w:ind w:right="4"/>
        <w:contextualSpacing/>
      </w:pPr>
      <w:bookmarkStart w:id="8" w:name="_Hlk44617931"/>
      <w:r w:rsidRPr="00FF756A">
        <w:t xml:space="preserve">Zhvillimi dhe zbatimi i politikave kombëtare të klimës kanë qenë thelbësore në adresimin e sfidave mjedisore dhe nxitjen e praktikave të qëndrueshme në sektorë të ndryshëm. Këto politika kanë prioritet reduktimin e emetimeve të gazeve serrë, promovimin e burimeve të rinovueshme të energjisë dhe rritjen e efikasitetit të energjisë, duke zbutur kështu ndikimet e ndryshimeve klimatike. Në bujqësi, iniciativat </w:t>
      </w:r>
      <w:r w:rsidRPr="00FF756A">
        <w:lastRenderedPageBreak/>
        <w:t>që synojnë praktikat e qëndrueshme bujqësore ndihmojnë në përmirësimin e shëndetit të tokës dhe reduktimin e emetimeve, ndërsa në transport, politikat që inkurajojnë automjetet elektrike dhe transportin publik synojnë të ulin varësinë nga lëndët djegëse fosile. Për më tepër, mbrojtja e biodiversitetit dhe ekosistemeve është e integruar në strategjitë klimatike, duke siguruar që habitatet natyrore të ruhen dhe të restaurohen. Në përgjithësi, këto politika gjithëpërfshirëse klimatike janë thelbësore për promovimin e qëndrueshmërisë mjedisore, mbrojtjen e burimeve natyrore dhe nxitjen e një të ardhmeje të qëndrueshme.</w:t>
      </w:r>
    </w:p>
    <w:p w14:paraId="774A8506" w14:textId="77777777" w:rsidR="00645C8B" w:rsidRPr="00FF756A" w:rsidRDefault="00645C8B" w:rsidP="003F2630">
      <w:pPr>
        <w:ind w:right="4"/>
        <w:contextualSpacing/>
      </w:pPr>
    </w:p>
    <w:p w14:paraId="157B63FA" w14:textId="375BB035" w:rsidR="00831795" w:rsidRPr="00FF756A" w:rsidRDefault="00DA2EDE" w:rsidP="003F2630">
      <w:pPr>
        <w:ind w:right="4"/>
        <w:contextualSpacing/>
        <w:rPr>
          <w:rFonts w:eastAsia="Yu Gothic"/>
          <w:iCs/>
        </w:rPr>
      </w:pPr>
      <w:r w:rsidRPr="00FF756A">
        <w:t xml:space="preserve">Politikat e energjisë në Shqipëri </w:t>
      </w:r>
      <w:bookmarkEnd w:id="8"/>
      <w:r w:rsidRPr="00FF756A">
        <w:t>synojnë harmonizimin me objektiva më të gjera mjedisore, duke nxitur një të ardhme të qëndrueshme në sajë të përfshirjes së disa elementeve kryesore:</w:t>
      </w:r>
    </w:p>
    <w:p w14:paraId="39B73980" w14:textId="6E5E5B77" w:rsidR="00831795" w:rsidRPr="00FF756A" w:rsidRDefault="00831795">
      <w:pPr>
        <w:pStyle w:val="ListParagraph"/>
        <w:numPr>
          <w:ilvl w:val="0"/>
          <w:numId w:val="42"/>
        </w:numPr>
        <w:ind w:right="4"/>
        <w:rPr>
          <w:rFonts w:eastAsia="Yu Gothic"/>
          <w:iCs/>
        </w:rPr>
      </w:pPr>
      <w:r w:rsidRPr="00FF756A">
        <w:t xml:space="preserve">Plani trajton zbutjen e ndryshimeve klimatike duke marrë në konsideratë reduktimin e shkarkimeve të gazeve serrë për të luftuar ndryshimet klimatike në përputhje me marrëveshjet ndërkombëtare të tilla si </w:t>
      </w:r>
      <w:r w:rsidR="00036562" w:rsidRPr="00FF756A">
        <w:t>Marrëveshja e</w:t>
      </w:r>
      <w:r w:rsidRPr="00FF756A">
        <w:t xml:space="preserve"> Parisit.</w:t>
      </w:r>
    </w:p>
    <w:p w14:paraId="4525A882" w14:textId="3E1F547D" w:rsidR="00831795" w:rsidRPr="00FF756A" w:rsidRDefault="00831795">
      <w:pPr>
        <w:pStyle w:val="ListParagraph"/>
        <w:numPr>
          <w:ilvl w:val="0"/>
          <w:numId w:val="42"/>
        </w:numPr>
        <w:ind w:right="4"/>
        <w:rPr>
          <w:rFonts w:eastAsia="Yu Gothic"/>
          <w:iCs/>
        </w:rPr>
      </w:pPr>
      <w:r w:rsidRPr="00FF756A">
        <w:t>Siguria e energjisë së qëndrueshme</w:t>
      </w:r>
      <w:r w:rsidRPr="00FF756A">
        <w:rPr>
          <w:b/>
          <w:bCs/>
          <w:iCs/>
        </w:rPr>
        <w:t xml:space="preserve"> </w:t>
      </w:r>
      <w:r w:rsidRPr="00FF756A">
        <w:t>përmes zhvillimit të burimeve të energjisë së rinovueshme, siç janë impiantet e energjisë diellore</w:t>
      </w:r>
      <w:r w:rsidR="00B93878" w:rsidRPr="00FF756A">
        <w:t>,</w:t>
      </w:r>
      <w:r w:rsidRPr="00FF756A">
        <w:t xml:space="preserve"> </w:t>
      </w:r>
      <w:r w:rsidR="00B93878" w:rsidRPr="00FF756A">
        <w:t>të e</w:t>
      </w:r>
      <w:r w:rsidR="00EF4655" w:rsidRPr="00FF756A">
        <w:t>rës</w:t>
      </w:r>
      <w:r w:rsidRPr="00FF756A">
        <w:t>, si dhe hidrocentralet, me qëllim minimizimin e ndikimit në mjedis dhe rritjen e sigurisë së energjisë.</w:t>
      </w:r>
    </w:p>
    <w:p w14:paraId="50BE683B" w14:textId="77777777" w:rsidR="00831795" w:rsidRPr="00FF756A" w:rsidRDefault="00831795">
      <w:pPr>
        <w:pStyle w:val="ListParagraph"/>
        <w:numPr>
          <w:ilvl w:val="0"/>
          <w:numId w:val="42"/>
        </w:numPr>
        <w:ind w:right="4"/>
        <w:rPr>
          <w:rFonts w:eastAsia="Yu Gothic"/>
          <w:iCs/>
        </w:rPr>
      </w:pPr>
      <w:r w:rsidRPr="00FF756A">
        <w:t>Rritja e efiçencës së energjisë në të gjithë sektorët është me rëndësi thelbësore për zvogëlimin e kërkesës së përgjithshme për energji dhe për reduktimin e shkarkimeve, duke kontribuar si në kursime ekonomike ashtu dhe në mbrojtjen e mjedisit.</w:t>
      </w:r>
    </w:p>
    <w:p w14:paraId="33B17394" w14:textId="77777777" w:rsidR="00831795" w:rsidRPr="00FF756A" w:rsidRDefault="00831795">
      <w:pPr>
        <w:pStyle w:val="ListParagraph"/>
        <w:numPr>
          <w:ilvl w:val="0"/>
          <w:numId w:val="42"/>
        </w:numPr>
        <w:ind w:right="4"/>
        <w:rPr>
          <w:rFonts w:eastAsia="Yu Gothic"/>
          <w:iCs/>
        </w:rPr>
      </w:pPr>
      <w:r w:rsidRPr="00FF756A">
        <w:t>Plani merr në konsideratë ndikimin e projekteve energjetike në ekosisteme dhe në biodiversitet, duke nxitur praktika që janë më miqësore ndaj habitateve natyrore gjatë zhvillimit të infrastrukturës energjetike.</w:t>
      </w:r>
    </w:p>
    <w:p w14:paraId="7A15E454" w14:textId="025BBB2B" w:rsidR="00BD1822" w:rsidRPr="00FF756A" w:rsidRDefault="00831795">
      <w:pPr>
        <w:pStyle w:val="ListParagraph"/>
        <w:numPr>
          <w:ilvl w:val="0"/>
          <w:numId w:val="42"/>
        </w:numPr>
        <w:ind w:right="4"/>
        <w:rPr>
          <w:rFonts w:eastAsia="Yu Gothic"/>
          <w:iCs/>
        </w:rPr>
      </w:pPr>
      <w:r w:rsidRPr="00FF756A">
        <w:t>A</w:t>
      </w:r>
      <w:r w:rsidR="00BD1822" w:rsidRPr="00FF756A">
        <w:t>ngazhimi Publik përmes përfshirjes së komuniteteve dhe palëve të interesuara në procesin e planifikimit siguron që shqetësimet mjedisore lokale të trajtohen dhe që diversifikimi i energjisë në mënyrë të qëndrueshme të pranohet në aspektin social.</w:t>
      </w:r>
    </w:p>
    <w:p w14:paraId="68CF2C1B" w14:textId="77777777" w:rsidR="00BD1822" w:rsidRPr="00FF756A" w:rsidRDefault="00BD1822" w:rsidP="004A3257">
      <w:pPr>
        <w:rPr>
          <w:rFonts w:eastAsia="Yu Gothic"/>
          <w:iCs/>
          <w:lang w:bidi="en-US"/>
        </w:rPr>
      </w:pPr>
    </w:p>
    <w:p w14:paraId="66FC806D" w14:textId="543D9A68" w:rsidR="00DA2EDE" w:rsidRPr="00FF756A" w:rsidRDefault="00DA2EDE" w:rsidP="004A3257">
      <w:pPr>
        <w:rPr>
          <w:b/>
          <w:bCs/>
        </w:rPr>
      </w:pPr>
      <w:r w:rsidRPr="00FF756A">
        <w:rPr>
          <w:b/>
          <w:bCs/>
        </w:rPr>
        <w:t xml:space="preserve">Konteksti social: </w:t>
      </w:r>
    </w:p>
    <w:p w14:paraId="0621E665" w14:textId="2322DDF4" w:rsidR="00645C8B" w:rsidRPr="00FF756A" w:rsidRDefault="00645C8B" w:rsidP="00645C8B">
      <w:r w:rsidRPr="00FF756A">
        <w:t xml:space="preserve">Në kontekstin social, zhvillimi dhe zbatimi i politikave kombëtare të energjisë dhe klimës kanë implikime të rëndësishme për mirëqenien dhe barazinë sociale. Këto politika i japin përparësi gjithëpërfshirjes duke adresuar nevojat e popullatave të cenueshme të prekura në mënyrë disproporcionale nga ndryshimet klimatike. Për shembull, </w:t>
      </w:r>
      <w:r w:rsidR="008D7483" w:rsidRPr="00FF756A">
        <w:t>nismat</w:t>
      </w:r>
      <w:r w:rsidRPr="00FF756A">
        <w:t xml:space="preserve"> që synojnë promovimin e energjisë së pastër mund të krijojnë akses në burime të përballueshme të energjisë, përmirësimin e kushteve të jetesës dhe rritjen e punësimit kryesisht nëpërmjet investimeve në sektorin e energjisë dhe ndërtimit, duke çuar në rritjen e të ardhurave personale/familjare, e ndjekur nga rritja e </w:t>
      </w:r>
      <w:r w:rsidR="00906145" w:rsidRPr="00FF756A">
        <w:t xml:space="preserve">standarteve të </w:t>
      </w:r>
      <w:r w:rsidRPr="00FF756A">
        <w:t>jetesës. Për më tepër, kalimi në një ekonomi të gjelbër do të inkurajojë pjesëmarrjen e publikut dhe angazhimin e palëve të interesuara, duke nxitur ndjenjën e pronësisë dhe përgjegjësisë tek qytetarët.</w:t>
      </w:r>
    </w:p>
    <w:p w14:paraId="5D9053FB" w14:textId="55F852BB" w:rsidR="00645C8B" w:rsidRPr="00FF756A" w:rsidRDefault="00645C8B" w:rsidP="00645C8B">
      <w:r w:rsidRPr="00FF756A">
        <w:t xml:space="preserve">Ekziston një lidhje e fortë midis mirëqenies personale dhe shoqërore që do të thotë se investimet krijojnë jo vetëm vende pune, por ato kanë ndikimin e tyre </w:t>
      </w:r>
      <w:r w:rsidR="000C5D1E" w:rsidRPr="00FF756A">
        <w:t>te</w:t>
      </w:r>
      <w:r w:rsidRPr="00FF756A">
        <w:t xml:space="preserve"> bashkitë dhe të ardhurat qeveritare nëpërmjet taksave, tarifave, etj dhe përdorimit të tyre në format buxhetore për t</w:t>
      </w:r>
      <w:r w:rsidR="00DF469A">
        <w:t>’</w:t>
      </w:r>
      <w:r w:rsidRPr="00FF756A">
        <w:t>u shpenzuar për qëllime të tilla si shëndetësia, arsimi etj.</w:t>
      </w:r>
    </w:p>
    <w:p w14:paraId="04F2B33B" w14:textId="06EFF786" w:rsidR="00645C8B" w:rsidRPr="00FF756A" w:rsidRDefault="00645C8B" w:rsidP="00645C8B">
      <w:r w:rsidRPr="00FF756A">
        <w:t xml:space="preserve">Konkretisht, objektivat për Efiçiencën e Energjisë synojnë uljen e konsumit të energjisë për njësi dhe në këtë mënyrë </w:t>
      </w:r>
      <w:r w:rsidR="00F31C46" w:rsidRPr="00FF756A">
        <w:t>japin</w:t>
      </w:r>
      <w:r w:rsidRPr="00FF756A">
        <w:t xml:space="preserve"> kontribut në furnizimin me energji të përballueshme dhe uljen e varfërisë energjetike.</w:t>
      </w:r>
    </w:p>
    <w:p w14:paraId="6DD29940" w14:textId="77777777" w:rsidR="00645C8B" w:rsidRPr="00FF756A" w:rsidRDefault="00645C8B" w:rsidP="00645C8B">
      <w:r w:rsidRPr="00FF756A">
        <w:t>Plani synon të balancojë qëllimet mjedisore me mirëqenien sociale, duke rritur cilësinë e jetës për të gjithë qytetarët.</w:t>
      </w:r>
    </w:p>
    <w:p w14:paraId="27576AFF" w14:textId="656D29FD" w:rsidR="007F0F1A" w:rsidRPr="00FF756A" w:rsidRDefault="00645C8B" w:rsidP="00645C8B">
      <w:r w:rsidRPr="00FF756A">
        <w:lastRenderedPageBreak/>
        <w:t xml:space="preserve">Programet </w:t>
      </w:r>
      <w:r w:rsidR="00F31C46" w:rsidRPr="00FF756A">
        <w:t xml:space="preserve">e edukimit </w:t>
      </w:r>
      <w:r w:rsidRPr="00FF756A">
        <w:t xml:space="preserve">që lidhen me qëndrueshmërinë rrisin ndërgjegjësimin dhe fuqizojnë individët që të ndërmarrin veprime </w:t>
      </w:r>
      <w:r w:rsidR="008577A7" w:rsidRPr="00FF756A">
        <w:t>p</w:t>
      </w:r>
      <w:r w:rsidRPr="00FF756A">
        <w:t>ë</w:t>
      </w:r>
      <w:r w:rsidR="008577A7" w:rsidRPr="00FF756A">
        <w:t>r</w:t>
      </w:r>
      <w:r w:rsidRPr="00FF756A">
        <w:t xml:space="preserve"> jetën e tyre, duke </w:t>
      </w:r>
      <w:r w:rsidR="008577A7" w:rsidRPr="00FF756A">
        <w:t>rritur</w:t>
      </w:r>
      <w:r w:rsidRPr="00FF756A">
        <w:t xml:space="preserve"> një kulturë të kujdestarisë mjedisore. Në fund të fundit, politikat efektive të energjisë dhe klimës synojnë jo vetëm të luftojnë sfidat mjedisore, por gjithashtu të rrisin kohezionin social, të promovojnë barazinë dhe të përmirësojnë cilësinë e jetës për të gjithë anëtarët e shoqërisë.</w:t>
      </w:r>
    </w:p>
    <w:p w14:paraId="11E4FB88" w14:textId="77777777" w:rsidR="007F0F1A" w:rsidRPr="00FF756A" w:rsidRDefault="007F0F1A" w:rsidP="007F0F1A"/>
    <w:p w14:paraId="2B85EF18" w14:textId="27F0C693" w:rsidR="00DA2EDE" w:rsidRPr="00FF756A" w:rsidRDefault="00DA2EDE" w:rsidP="00E54CFE">
      <w:pPr>
        <w:pStyle w:val="Heading3"/>
        <w:numPr>
          <w:ilvl w:val="2"/>
          <w:numId w:val="200"/>
        </w:numPr>
      </w:pPr>
      <w:bookmarkStart w:id="9" w:name="_Toc183639167"/>
      <w:r w:rsidRPr="00FF756A">
        <w:t xml:space="preserve">Strategjia </w:t>
      </w:r>
      <w:r w:rsidR="00CA7C8C" w:rsidRPr="00FF756A">
        <w:t xml:space="preserve">lidhur </w:t>
      </w:r>
      <w:r w:rsidRPr="00FF756A">
        <w:t>me pesë dimensionet e Unionit të Energjisë</w:t>
      </w:r>
      <w:bookmarkEnd w:id="9"/>
    </w:p>
    <w:p w14:paraId="518B05BB" w14:textId="77777777" w:rsidR="00A53C6B" w:rsidRPr="00FF756A" w:rsidRDefault="00A53C6B" w:rsidP="00CE3F5E"/>
    <w:p w14:paraId="382FF861" w14:textId="75762C36" w:rsidR="00BC1162" w:rsidRPr="00FF756A" w:rsidRDefault="00BC1162" w:rsidP="004A3257">
      <w:pPr>
        <w:spacing w:line="240" w:lineRule="auto"/>
      </w:pPr>
      <w:r w:rsidRPr="00FF756A">
        <w:t>Plani Kombëtar për Energjinë dhe Klimën duhet të trajtojë të pesta dimensionet në mënyrë të integruar, për përcaktimin e objektivave kombëtare.</w:t>
      </w:r>
    </w:p>
    <w:p w14:paraId="4C32317A" w14:textId="3712F2D0" w:rsidR="00DA2EDE" w:rsidRPr="00FF756A" w:rsidRDefault="00146F44" w:rsidP="004A3257">
      <w:pPr>
        <w:spacing w:line="240" w:lineRule="auto"/>
      </w:pPr>
      <w:r w:rsidRPr="00FF756A">
        <w:t xml:space="preserve">Pesë dimensionet e Unionit të Energjisë janë: </w:t>
      </w:r>
      <w:r w:rsidR="00232120" w:rsidRPr="00FF756A">
        <w:t>i</w:t>
      </w:r>
      <w:r w:rsidRPr="00FF756A">
        <w:t xml:space="preserve">. </w:t>
      </w:r>
      <w:r w:rsidR="00DF469A" w:rsidRPr="00FF756A">
        <w:t>S</w:t>
      </w:r>
      <w:r w:rsidRPr="00FF756A">
        <w:t>iguria</w:t>
      </w:r>
      <w:r w:rsidR="00A53FF1" w:rsidRPr="00FF756A">
        <w:t xml:space="preserve"> energjetike</w:t>
      </w:r>
      <w:r w:rsidRPr="00FF756A">
        <w:t xml:space="preserve">; </w:t>
      </w:r>
      <w:r w:rsidR="00232120" w:rsidRPr="00FF756A">
        <w:t>ii</w:t>
      </w:r>
      <w:r w:rsidRPr="00FF756A">
        <w:t xml:space="preserve">. </w:t>
      </w:r>
      <w:r w:rsidR="00DF469A" w:rsidRPr="00FF756A">
        <w:t>T</w:t>
      </w:r>
      <w:r w:rsidRPr="00FF756A">
        <w:t>regu i brendshëm i energjisë;</w:t>
      </w:r>
      <w:r w:rsidR="00A53FF1" w:rsidRPr="00FF756A">
        <w:t xml:space="preserve"> iii</w:t>
      </w:r>
      <w:r w:rsidRPr="00FF756A">
        <w:t xml:space="preserve">. </w:t>
      </w:r>
      <w:r w:rsidR="00DF469A" w:rsidRPr="00FF756A">
        <w:t>E</w:t>
      </w:r>
      <w:r w:rsidRPr="00FF756A">
        <w:t xml:space="preserve">fiçenca e energjisë </w:t>
      </w:r>
      <w:r w:rsidR="00A53FF1" w:rsidRPr="00FF756A">
        <w:t>iv</w:t>
      </w:r>
      <w:r w:rsidRPr="00FF756A">
        <w:t xml:space="preserve">. </w:t>
      </w:r>
      <w:r w:rsidR="00DF469A" w:rsidRPr="00FF756A">
        <w:t>D</w:t>
      </w:r>
      <w:r w:rsidRPr="00FF756A">
        <w:t xml:space="preserve">ekarbonizimi; dhe </w:t>
      </w:r>
      <w:r w:rsidR="00A53FF1" w:rsidRPr="00FF756A">
        <w:t>v</w:t>
      </w:r>
      <w:r w:rsidRPr="00FF756A">
        <w:t>. kërkimi, inovacioni dhe konkurrenca.</w:t>
      </w:r>
    </w:p>
    <w:p w14:paraId="477EF605" w14:textId="72BA4A53" w:rsidR="0063702B" w:rsidRPr="00FF756A" w:rsidRDefault="00DA2EDE" w:rsidP="004A3257">
      <w:pPr>
        <w:spacing w:line="240" w:lineRule="auto"/>
      </w:pPr>
      <w:r w:rsidRPr="00FF756A">
        <w:t>Strategjia në lidhje me pesë dimensionet e Unionit të Energjisë, ku secili trajton një aspekt kyç të politikës dhe infrastrukturës së energjisë, është si më poshtë:</w:t>
      </w:r>
    </w:p>
    <w:p w14:paraId="4446D3EF" w14:textId="7BA1CE16" w:rsidR="002B03FC" w:rsidRPr="00FF756A" w:rsidRDefault="00901806" w:rsidP="004A3257">
      <w:pPr>
        <w:pBdr>
          <w:top w:val="none" w:sz="0" w:space="0" w:color="auto"/>
          <w:left w:val="none" w:sz="0" w:space="0" w:color="auto"/>
          <w:bottom w:val="none" w:sz="0" w:space="0" w:color="auto"/>
          <w:right w:val="none" w:sz="0" w:space="0" w:color="auto"/>
          <w:between w:val="none" w:sz="0" w:space="0" w:color="auto"/>
        </w:pBdr>
        <w:spacing w:line="240" w:lineRule="auto"/>
      </w:pPr>
      <w:r w:rsidRPr="00FF756A">
        <w:rPr>
          <w:b/>
          <w:bCs/>
        </w:rPr>
        <w:t>Dimensioni i dekarbonizimit</w:t>
      </w:r>
      <w:r w:rsidRPr="00FF756A">
        <w:t xml:space="preserve"> synon zbatimin e politikave dhe masave në të gjithë sektorët ekonomikë me qëllimin për të arritur një sistem energjie me karbon të ulët për të luftuar ndryshimet klimatike, me fokus të veçantë te mbështetja e teknologjive të energjisë së pastër dhe reduktimi i shkarkimeve të karbonit.</w:t>
      </w:r>
    </w:p>
    <w:p w14:paraId="5F21416E" w14:textId="0B64B580" w:rsidR="00901806" w:rsidRPr="00FF756A" w:rsidRDefault="002B03FC" w:rsidP="004A3257">
      <w:pPr>
        <w:pBdr>
          <w:top w:val="none" w:sz="0" w:space="0" w:color="auto"/>
          <w:left w:val="none" w:sz="0" w:space="0" w:color="auto"/>
          <w:bottom w:val="none" w:sz="0" w:space="0" w:color="auto"/>
          <w:right w:val="none" w:sz="0" w:space="0" w:color="auto"/>
          <w:between w:val="none" w:sz="0" w:space="0" w:color="auto"/>
        </w:pBdr>
        <w:spacing w:line="240" w:lineRule="auto"/>
      </w:pPr>
      <w:r w:rsidRPr="00FF756A">
        <w:t>Zgjerimi dhe integrimi i Burimeve të Energjisë së Rinovueshme, të tilla si era, dielli dhe biomasa,</w:t>
      </w:r>
      <w:r w:rsidRPr="00FF756A">
        <w:rPr>
          <w:rStyle w:val="Strong"/>
        </w:rPr>
        <w:t xml:space="preserve"> </w:t>
      </w:r>
      <w:r w:rsidRPr="00FF756A">
        <w:rPr>
          <w:rStyle w:val="Strong"/>
          <w:b w:val="0"/>
          <w:bCs w:val="0"/>
        </w:rPr>
        <w:t xml:space="preserve">dhe </w:t>
      </w:r>
      <w:r w:rsidRPr="00FF756A">
        <w:t xml:space="preserve">zbatimi i mekanizmave të tillë si vendosja e çmimeve të karbonit ose sistemet e tregtimit të shkarkimeve për të stimuluar reduktimin e shkarkimeve të gazeve serrë në përputhje me marrëveshjet globale për klimën, tregojnë angazhimin e vendit drejt reduktimit të gjurmës së karbonit. </w:t>
      </w:r>
    </w:p>
    <w:p w14:paraId="07ED5434" w14:textId="355E7D42" w:rsidR="001040FF" w:rsidRPr="00FF756A" w:rsidRDefault="003F2630" w:rsidP="004A3257">
      <w:pPr>
        <w:spacing w:line="240" w:lineRule="auto"/>
      </w:pPr>
      <w:r w:rsidRPr="00FF756A">
        <w:rPr>
          <w:b/>
          <w:bCs/>
        </w:rPr>
        <w:t>Dimensioni i efiçencës së energjisë</w:t>
      </w:r>
      <w:r w:rsidRPr="00FF756A">
        <w:t xml:space="preserve"> tregon angazhimin e vendit drejt reduktimit të konsumit të energjisë në sektorë të ndryshëm, duke përfshirë industrinë, transportin dhe ndërtesat, përmes masave të efiçencës së energjisë, mbështetjes së zhvillimit të teknologjive dhe praktikave të efiçencës së energjisë, kryerjes së auditimeve të energjisë dhe vendosjes së standardeve të larta për performancën e energjisë në pajisje, ndërtesa dhe automjete, si dhe përmes nxitjes së ndërgjegjësimit dhe inkurajimit të sjelljeve që kursejnë energji te konsumatorët dhe bizneset.</w:t>
      </w:r>
    </w:p>
    <w:p w14:paraId="37E4C8B2" w14:textId="1F544202" w:rsidR="007822AA" w:rsidRPr="00FF756A" w:rsidRDefault="003F2630" w:rsidP="004A3257">
      <w:pPr>
        <w:pBdr>
          <w:top w:val="none" w:sz="0" w:space="0" w:color="auto"/>
          <w:left w:val="none" w:sz="0" w:space="0" w:color="auto"/>
          <w:bottom w:val="none" w:sz="0" w:space="0" w:color="auto"/>
          <w:right w:val="none" w:sz="0" w:space="0" w:color="auto"/>
          <w:between w:val="none" w:sz="0" w:space="0" w:color="auto"/>
        </w:pBdr>
        <w:spacing w:line="240" w:lineRule="auto"/>
        <w:rPr>
          <w:rStyle w:val="Strong"/>
          <w:b w:val="0"/>
        </w:rPr>
      </w:pPr>
      <w:r w:rsidRPr="00FF756A">
        <w:rPr>
          <w:b/>
          <w:bCs/>
        </w:rPr>
        <w:t>Dimensioni i siguris</w:t>
      </w:r>
      <w:r w:rsidR="00104A7C" w:rsidRPr="00FF756A">
        <w:rPr>
          <w:b/>
          <w:bCs/>
        </w:rPr>
        <w:t>ë energjetike</w:t>
      </w:r>
      <w:r w:rsidRPr="00FF756A">
        <w:t xml:space="preserve"> tregon angazhimin e vendit drejt sigurimit të një furnizimi të besueshëm, të përballueshëm dhe të qëndrueshëm me energji përmes diversifikimit të burimeve të energjisë, investimeve në infrastrukturën e energjisë, siç është përmirësimi i tubacioneve dhe interkonektorëve për të rritur qëndrueshmërinë dhe fleksibilitetin e sistemit të energjisë, mbajtjes dhe menaxhimit të rezervave strategjike të energjisë për të garantuar siguri në rastet e ndërprerjes së furnizimit me energji, si dhe zbatimit dhe përmirësimit të </w:t>
      </w:r>
      <w:r w:rsidRPr="00FF756A">
        <w:rPr>
          <w:rStyle w:val="Strong"/>
          <w:b w:val="0"/>
        </w:rPr>
        <w:t>mekanizmave të reagimit ndaj emergjencave.</w:t>
      </w:r>
    </w:p>
    <w:p w14:paraId="4239E3D7" w14:textId="3CC62892" w:rsidR="001040FF" w:rsidRPr="00FF756A" w:rsidRDefault="003F2630" w:rsidP="004A3257">
      <w:pPr>
        <w:pBdr>
          <w:top w:val="none" w:sz="0" w:space="0" w:color="auto"/>
          <w:left w:val="none" w:sz="0" w:space="0" w:color="auto"/>
          <w:bottom w:val="none" w:sz="0" w:space="0" w:color="auto"/>
          <w:right w:val="none" w:sz="0" w:space="0" w:color="auto"/>
          <w:between w:val="none" w:sz="0" w:space="0" w:color="auto"/>
        </w:pBdr>
        <w:spacing w:line="240" w:lineRule="auto"/>
      </w:pPr>
      <w:r w:rsidRPr="00FF756A">
        <w:rPr>
          <w:b/>
          <w:bCs/>
        </w:rPr>
        <w:t>Dimensioni i tregut të brendshëm</w:t>
      </w:r>
      <w:r w:rsidRPr="00FF756A">
        <w:t xml:space="preserve"> të energjisë tregon synimin për të krijuar një treg të brendshëm energjie plotësisht të integruar, për të lehtësuar integrimin e tregjeve kombëtare të energjisë për garantimin e qarkullimit të lirë të energjisë midis kufijve, si dhe për të krijuar kushte të barabarta dhe për të reduktuar barrierat përmes harmonizimit të rregulloreve dhe standardeve midis shteteve anëtare. Tregu i brendshëm do të fokusohet te mbrojtja e konsumatorëve, zbatimi i masave për mbrojtjen e konsumatorëve, nxitja e çmimeve të drejta dhe sigurimi i informacionit transparent, si dhe te promovimi i platformave dhe mekanizmave efektivë dhe transparentë për tregtimin e energjisë.</w:t>
      </w:r>
    </w:p>
    <w:p w14:paraId="36901821" w14:textId="32C9C43E" w:rsidR="00C27AD7" w:rsidRPr="00FF756A" w:rsidRDefault="003F2630" w:rsidP="004A3257">
      <w:pPr>
        <w:pBdr>
          <w:top w:val="none" w:sz="0" w:space="0" w:color="auto"/>
          <w:left w:val="none" w:sz="0" w:space="0" w:color="auto"/>
          <w:bottom w:val="none" w:sz="0" w:space="0" w:color="auto"/>
          <w:right w:val="none" w:sz="0" w:space="0" w:color="auto"/>
          <w:between w:val="none" w:sz="0" w:space="0" w:color="auto"/>
        </w:pBdr>
        <w:spacing w:line="240" w:lineRule="auto"/>
      </w:pPr>
      <w:r w:rsidRPr="00FF756A">
        <w:rPr>
          <w:b/>
          <w:bCs/>
        </w:rPr>
        <w:t>Dimensioni i kërkimit, inovacionit dhe konkurrencës</w:t>
      </w:r>
      <w:r w:rsidRPr="00FF756A">
        <w:t xml:space="preserve"> tregon angazhimin e vendit për të nxitur një sektor energjie konkurrues dhe inovativ përmes kërkimit dhe teknologjisë, si dhe përmes krijimit dhe promovimit të qendrave dhe partneriteteve të inovacionit për të nxitur përparimet teknologjike drejt një sektori të brendshëm energjie me karbon të ulët.</w:t>
      </w:r>
    </w:p>
    <w:p w14:paraId="6D5542FF" w14:textId="6B86ADD7" w:rsidR="007F0F1A" w:rsidRPr="00FF756A" w:rsidRDefault="00BC1162" w:rsidP="007F0F1A">
      <w:pPr>
        <w:pStyle w:val="NormalWeb"/>
        <w:spacing w:after="60" w:line="276" w:lineRule="auto"/>
        <w:rPr>
          <w:rFonts w:ascii="Times New Roman" w:hAnsi="Times New Roman"/>
        </w:rPr>
      </w:pPr>
      <w:r w:rsidRPr="00FF756A">
        <w:rPr>
          <w:rFonts w:ascii="Times New Roman" w:hAnsi="Times New Roman"/>
        </w:rPr>
        <w:t xml:space="preserve">Duke trajtuar këto dimensione, Shqipëria kontribuon në strategjinë e Unionit të Energjisë </w:t>
      </w:r>
      <w:r w:rsidR="00927726" w:rsidRPr="00FF756A">
        <w:rPr>
          <w:rFonts w:ascii="Times New Roman" w:hAnsi="Times New Roman"/>
        </w:rPr>
        <w:t xml:space="preserve">e cila </w:t>
      </w:r>
      <w:r w:rsidRPr="00FF756A">
        <w:rPr>
          <w:rFonts w:ascii="Times New Roman" w:hAnsi="Times New Roman"/>
        </w:rPr>
        <w:t xml:space="preserve">synon krijimin e një peizazhi energjetik </w:t>
      </w:r>
      <w:r w:rsidR="00927726" w:rsidRPr="00FF756A">
        <w:rPr>
          <w:rFonts w:ascii="Times New Roman" w:hAnsi="Times New Roman"/>
        </w:rPr>
        <w:t>të fortë</w:t>
      </w:r>
      <w:r w:rsidRPr="00FF756A">
        <w:rPr>
          <w:rFonts w:ascii="Times New Roman" w:hAnsi="Times New Roman"/>
        </w:rPr>
        <w:t>, të qëndrueshëm dhe konkurrues në mbarë Evropën.</w:t>
      </w:r>
    </w:p>
    <w:p w14:paraId="19BC5060" w14:textId="77777777" w:rsidR="007F0F1A" w:rsidRPr="00FF756A" w:rsidRDefault="007F0F1A" w:rsidP="007F0F1A">
      <w:pPr>
        <w:pStyle w:val="NormalWeb"/>
        <w:spacing w:after="60" w:line="276" w:lineRule="auto"/>
        <w:rPr>
          <w:rFonts w:ascii="Times New Roman" w:hAnsi="Times New Roman"/>
        </w:rPr>
      </w:pPr>
    </w:p>
    <w:p w14:paraId="2A3A3B27" w14:textId="4C11F601" w:rsidR="007F0F1A" w:rsidRPr="00FF756A" w:rsidRDefault="00DA2EDE" w:rsidP="00E54CFE">
      <w:pPr>
        <w:pStyle w:val="Heading3"/>
        <w:numPr>
          <w:ilvl w:val="2"/>
          <w:numId w:val="200"/>
        </w:numPr>
      </w:pPr>
      <w:bookmarkStart w:id="10" w:name="_Toc183639168"/>
      <w:r w:rsidRPr="00FF756A">
        <w:lastRenderedPageBreak/>
        <w:t>Tabela përmbledhëse me objektivat kryesorë, politikat dhe masat e planit</w:t>
      </w:r>
      <w:bookmarkEnd w:id="10"/>
    </w:p>
    <w:p w14:paraId="1958DDD5" w14:textId="2A3DA145" w:rsidR="009F3D13" w:rsidRPr="00FF756A" w:rsidRDefault="00253A24" w:rsidP="00EF0D31">
      <w:r w:rsidRPr="00FF756A">
        <w:t>Në kreun 3 është dhënë një tabelë përmbledhëse me politikat dhe masat kryesore (</w:t>
      </w:r>
      <w:r w:rsidR="00CC6EA9" w:rsidRPr="00FF756A">
        <w:t>Tabela 25: Tabelë përmbledhëse e politikave kyçe që ndikojnë në objektivin kombëtar klimatik deri në vitin 2030</w:t>
      </w:r>
      <w:r w:rsidRPr="00FF756A">
        <w:t xml:space="preserve">). Baza analitike e PKEK-së (krerët 4 dhe 5) shpjegon se pikësynimet ndikohen kryesisht nga mënyra e operimit të impianteve të energjisë së rinovueshme, nga reduktimi i përdorimit të lëndëve djegëse fosile në transport dhe në industri përmes zëvendësimit të lëndës djegëse dhe nga masat e efiçencës së energjisë </w:t>
      </w:r>
      <w:r w:rsidR="006D730C" w:rsidRPr="00FF756A">
        <w:t>me fokus</w:t>
      </w:r>
      <w:r w:rsidR="00791DDE" w:rsidRPr="00FF756A">
        <w:t xml:space="preserve"> </w:t>
      </w:r>
      <w:r w:rsidRPr="00FF756A">
        <w:t xml:space="preserve">sektorin e ndërtesave. Edhe menaxhimi i pyjeve ka gjithashtu një ndikim madhor.    </w:t>
      </w:r>
    </w:p>
    <w:p w14:paraId="3DA870CF" w14:textId="77777777" w:rsidR="001D7F97" w:rsidRPr="00FF756A" w:rsidRDefault="001D7F97" w:rsidP="00EF0D31"/>
    <w:p w14:paraId="7843E27A" w14:textId="610D648A" w:rsidR="00BB6439" w:rsidRPr="00BB6439" w:rsidRDefault="00253A24" w:rsidP="00EF0D31">
      <w:r w:rsidRPr="00FF756A">
        <w:t xml:space="preserve">Pikësynimet që duhet të arrihen brenda vitit 2030 paraqiten në tabelën në vijim. </w:t>
      </w:r>
    </w:p>
    <w:tbl>
      <w:tblPr>
        <w:tblStyle w:val="PlainTab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0"/>
        <w:gridCol w:w="1682"/>
      </w:tblGrid>
      <w:tr w:rsidR="00BB6439" w:rsidRPr="00BB6439" w14:paraId="70CA6191" w14:textId="77777777" w:rsidTr="00DF46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none" w:sz="0" w:space="0" w:color="auto"/>
            </w:tcBorders>
          </w:tcPr>
          <w:p w14:paraId="4FDA8744" w14:textId="77777777" w:rsidR="00BB6439" w:rsidRPr="009036ED" w:rsidRDefault="00BB6439" w:rsidP="00BB6439">
            <w:pPr>
              <w:pStyle w:val="Caption"/>
              <w:rPr>
                <w:i/>
                <w:iCs/>
                <w:color w:val="auto"/>
              </w:rPr>
            </w:pPr>
            <w:bookmarkStart w:id="11" w:name="_Toc183016465"/>
          </w:p>
        </w:tc>
        <w:tc>
          <w:tcPr>
            <w:tcW w:w="0" w:type="auto"/>
            <w:tcBorders>
              <w:bottom w:val="none" w:sz="0" w:space="0" w:color="auto"/>
            </w:tcBorders>
          </w:tcPr>
          <w:p w14:paraId="0D842D26" w14:textId="77777777" w:rsidR="00BB6439" w:rsidRPr="00BB6439" w:rsidRDefault="00BB6439" w:rsidP="00BB6439">
            <w:pPr>
              <w:pStyle w:val="Caption"/>
              <w:cnfStyle w:val="100000000000" w:firstRow="1" w:lastRow="0" w:firstColumn="0" w:lastColumn="0" w:oddVBand="0" w:evenVBand="0" w:oddHBand="0" w:evenHBand="0" w:firstRowFirstColumn="0" w:firstRowLastColumn="0" w:lastRowFirstColumn="0" w:lastRowLastColumn="0"/>
              <w:rPr>
                <w:b/>
                <w:bCs/>
                <w:i/>
                <w:iCs/>
                <w:color w:val="auto"/>
              </w:rPr>
            </w:pPr>
            <w:r w:rsidRPr="00BB6439">
              <w:rPr>
                <w:b/>
                <w:bCs/>
                <w:i/>
                <w:iCs/>
                <w:color w:val="auto"/>
              </w:rPr>
              <w:t xml:space="preserve">Pikësynimi kombëtar </w:t>
            </w:r>
          </w:p>
          <w:p w14:paraId="22C4BE6F" w14:textId="77777777" w:rsidR="00BB6439" w:rsidRPr="00BB6439" w:rsidRDefault="00BB6439" w:rsidP="00BB6439">
            <w:pPr>
              <w:pStyle w:val="Caption"/>
              <w:cnfStyle w:val="100000000000" w:firstRow="1" w:lastRow="0" w:firstColumn="0" w:lastColumn="0" w:oddVBand="0" w:evenVBand="0" w:oddHBand="0" w:evenHBand="0" w:firstRowFirstColumn="0" w:firstRowLastColumn="0" w:lastRowFirstColumn="0" w:lastRowLastColumn="0"/>
              <w:rPr>
                <w:i/>
                <w:iCs/>
                <w:color w:val="auto"/>
                <w:lang w:val="en-GB"/>
              </w:rPr>
            </w:pPr>
            <w:r w:rsidRPr="00BB6439">
              <w:rPr>
                <w:b/>
                <w:bCs/>
                <w:i/>
                <w:iCs/>
                <w:color w:val="auto"/>
              </w:rPr>
              <w:t>2030</w:t>
            </w:r>
          </w:p>
        </w:tc>
      </w:tr>
      <w:tr w:rsidR="00BB6439" w:rsidRPr="00BB6439" w14:paraId="65C72E16" w14:textId="77777777" w:rsidTr="00DF46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1F0DEF30" w14:textId="77777777" w:rsidR="00BB6439" w:rsidRPr="009036ED" w:rsidRDefault="00BB6439" w:rsidP="00BB6439">
            <w:pPr>
              <w:pStyle w:val="Caption"/>
              <w:rPr>
                <w:color w:val="auto"/>
              </w:rPr>
            </w:pPr>
            <w:r w:rsidRPr="009036ED">
              <w:rPr>
                <w:color w:val="auto"/>
              </w:rPr>
              <w:t>Piksynimi për përqindjen e energjisë nga burimet e rinovueshme në konsumin e përgjithshëm final të energjisë</w:t>
            </w:r>
          </w:p>
        </w:tc>
        <w:tc>
          <w:tcPr>
            <w:tcW w:w="0" w:type="auto"/>
            <w:tcBorders>
              <w:top w:val="none" w:sz="0" w:space="0" w:color="auto"/>
              <w:bottom w:val="none" w:sz="0" w:space="0" w:color="auto"/>
            </w:tcBorders>
          </w:tcPr>
          <w:p w14:paraId="749DD37C" w14:textId="0074C7EC" w:rsidR="00BB6439" w:rsidRPr="00BB6439" w:rsidRDefault="00BB6439" w:rsidP="00BB6439">
            <w:pPr>
              <w:pStyle w:val="Caption"/>
              <w:cnfStyle w:val="000000100000" w:firstRow="0" w:lastRow="0" w:firstColumn="0" w:lastColumn="0" w:oddVBand="0" w:evenVBand="0" w:oddHBand="1" w:evenHBand="0" w:firstRowFirstColumn="0" w:firstRowLastColumn="0" w:lastRowFirstColumn="0" w:lastRowLastColumn="0"/>
              <w:rPr>
                <w:color w:val="auto"/>
                <w:lang w:val="en-US"/>
              </w:rPr>
            </w:pPr>
            <w:r w:rsidRPr="00BB6439">
              <w:rPr>
                <w:color w:val="auto"/>
                <w:lang w:val="en-US"/>
              </w:rPr>
              <w:t>5</w:t>
            </w:r>
            <w:r w:rsidR="00DC581C">
              <w:rPr>
                <w:color w:val="auto"/>
                <w:lang w:val="en-US"/>
              </w:rPr>
              <w:t xml:space="preserve">4 </w:t>
            </w:r>
            <w:r w:rsidRPr="00BB6439">
              <w:rPr>
                <w:color w:val="auto"/>
                <w:lang w:val="en-US"/>
              </w:rPr>
              <w:t>%</w:t>
            </w:r>
          </w:p>
        </w:tc>
      </w:tr>
      <w:tr w:rsidR="00DF469A" w:rsidRPr="00BB6439" w14:paraId="3F67B321" w14:textId="77777777" w:rsidTr="00DF469A">
        <w:tc>
          <w:tcPr>
            <w:cnfStyle w:val="001000000000" w:firstRow="0" w:lastRow="0" w:firstColumn="1" w:lastColumn="0" w:oddVBand="0" w:evenVBand="0" w:oddHBand="0" w:evenHBand="0" w:firstRowFirstColumn="0" w:firstRowLastColumn="0" w:lastRowFirstColumn="0" w:lastRowLastColumn="0"/>
            <w:tcW w:w="0" w:type="auto"/>
          </w:tcPr>
          <w:p w14:paraId="6DCED824" w14:textId="734C326B" w:rsidR="00DF469A" w:rsidRPr="009036ED" w:rsidRDefault="00DF469A" w:rsidP="00DF469A">
            <w:pPr>
              <w:pStyle w:val="Caption"/>
              <w:rPr>
                <w:color w:val="auto"/>
              </w:rPr>
            </w:pPr>
            <w:r w:rsidRPr="009036ED">
              <w:rPr>
                <w:color w:val="auto"/>
              </w:rPr>
              <w:t>Pikësynimi për kontributin kombëtar në efiçencën e energjisë:</w:t>
            </w:r>
          </w:p>
        </w:tc>
        <w:tc>
          <w:tcPr>
            <w:tcW w:w="0" w:type="auto"/>
          </w:tcPr>
          <w:p w14:paraId="3346D50A" w14:textId="2470320C" w:rsidR="00DF469A" w:rsidRPr="00DF469A" w:rsidRDefault="00DF469A" w:rsidP="00DF469A">
            <w:pPr>
              <w:pStyle w:val="Caption"/>
              <w:cnfStyle w:val="000000000000" w:firstRow="0" w:lastRow="0" w:firstColumn="0" w:lastColumn="0" w:oddVBand="0" w:evenVBand="0" w:oddHBand="0" w:evenHBand="0" w:firstRowFirstColumn="0" w:firstRowLastColumn="0" w:lastRowFirstColumn="0" w:lastRowLastColumn="0"/>
              <w:rPr>
                <w:color w:val="auto"/>
              </w:rPr>
            </w:pPr>
            <w:r>
              <w:rPr>
                <w:color w:val="auto"/>
              </w:rPr>
              <w:t xml:space="preserve">8.4 </w:t>
            </w:r>
            <w:r w:rsidRPr="00BB6439">
              <w:rPr>
                <w:color w:val="auto"/>
                <w:lang w:val="en-US"/>
              </w:rPr>
              <w:t>%</w:t>
            </w:r>
          </w:p>
        </w:tc>
      </w:tr>
      <w:tr w:rsidR="00DF469A" w:rsidRPr="00BB6439" w14:paraId="345005AD" w14:textId="77777777" w:rsidTr="00DF46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10190650" w14:textId="124D487A" w:rsidR="00DF469A" w:rsidRPr="00DC581C" w:rsidRDefault="00DC581C" w:rsidP="00DF469A">
            <w:pPr>
              <w:pStyle w:val="Caption"/>
              <w:rPr>
                <w:color w:val="auto"/>
              </w:rPr>
            </w:pPr>
            <w:r>
              <w:rPr>
                <w:color w:val="auto"/>
              </w:rPr>
              <w:t xml:space="preserve">Kontributi </w:t>
            </w:r>
            <w:r w:rsidR="00DF469A" w:rsidRPr="00DC581C">
              <w:rPr>
                <w:color w:val="auto"/>
              </w:rPr>
              <w:t xml:space="preserve">maksimal </w:t>
            </w:r>
            <w:r>
              <w:rPr>
                <w:color w:val="auto"/>
              </w:rPr>
              <w:t xml:space="preserve">i </w:t>
            </w:r>
            <w:r w:rsidR="00DF469A" w:rsidRPr="00DC581C">
              <w:rPr>
                <w:color w:val="auto"/>
              </w:rPr>
              <w:t>konsumit primar të energjisë (Mtoe)</w:t>
            </w:r>
          </w:p>
        </w:tc>
        <w:tc>
          <w:tcPr>
            <w:tcW w:w="0" w:type="auto"/>
            <w:tcBorders>
              <w:top w:val="none" w:sz="0" w:space="0" w:color="auto"/>
              <w:bottom w:val="none" w:sz="0" w:space="0" w:color="auto"/>
            </w:tcBorders>
          </w:tcPr>
          <w:p w14:paraId="2B13DE9D" w14:textId="005DC57F" w:rsidR="00DF469A" w:rsidRPr="00BB6439" w:rsidRDefault="00DC581C" w:rsidP="00DF469A">
            <w:pPr>
              <w:pStyle w:val="Caption"/>
              <w:cnfStyle w:val="000000100000" w:firstRow="0" w:lastRow="0" w:firstColumn="0" w:lastColumn="0" w:oddVBand="0" w:evenVBand="0" w:oddHBand="1" w:evenHBand="0" w:firstRowFirstColumn="0" w:firstRowLastColumn="0" w:lastRowFirstColumn="0" w:lastRowLastColumn="0"/>
              <w:rPr>
                <w:color w:val="auto"/>
                <w:lang w:val="pt-PT"/>
              </w:rPr>
            </w:pPr>
            <w:r>
              <w:rPr>
                <w:color w:val="auto"/>
                <w:lang w:val="pt-PT"/>
              </w:rPr>
              <w:t>2.5</w:t>
            </w:r>
          </w:p>
        </w:tc>
      </w:tr>
      <w:tr w:rsidR="00DF469A" w:rsidRPr="00BB6439" w14:paraId="56F75ACE" w14:textId="77777777" w:rsidTr="00DF469A">
        <w:tc>
          <w:tcPr>
            <w:cnfStyle w:val="001000000000" w:firstRow="0" w:lastRow="0" w:firstColumn="1" w:lastColumn="0" w:oddVBand="0" w:evenVBand="0" w:oddHBand="0" w:evenHBand="0" w:firstRowFirstColumn="0" w:firstRowLastColumn="0" w:lastRowFirstColumn="0" w:lastRowLastColumn="0"/>
            <w:tcW w:w="0" w:type="auto"/>
          </w:tcPr>
          <w:p w14:paraId="7CF6931D" w14:textId="28B769EA" w:rsidR="00DF469A" w:rsidRPr="00BB6439" w:rsidRDefault="00DC581C" w:rsidP="00DF469A">
            <w:pPr>
              <w:pStyle w:val="Caption"/>
              <w:rPr>
                <w:color w:val="auto"/>
                <w:lang w:val="pt-PT"/>
              </w:rPr>
            </w:pPr>
            <w:r>
              <w:rPr>
                <w:color w:val="auto"/>
              </w:rPr>
              <w:t xml:space="preserve">Kontributi </w:t>
            </w:r>
            <w:r w:rsidRPr="00DC581C">
              <w:rPr>
                <w:color w:val="auto"/>
              </w:rPr>
              <w:t xml:space="preserve">maksimal </w:t>
            </w:r>
            <w:r>
              <w:rPr>
                <w:color w:val="auto"/>
              </w:rPr>
              <w:t xml:space="preserve">i </w:t>
            </w:r>
            <w:r w:rsidR="00DF469A" w:rsidRPr="00BB6439">
              <w:rPr>
                <w:color w:val="auto"/>
                <w:lang w:val="pt-PT"/>
              </w:rPr>
              <w:t>konsumit final të energjisë (Mtoe)</w:t>
            </w:r>
          </w:p>
        </w:tc>
        <w:tc>
          <w:tcPr>
            <w:tcW w:w="0" w:type="auto"/>
          </w:tcPr>
          <w:p w14:paraId="1A76B480" w14:textId="039D1685" w:rsidR="00DF469A" w:rsidRPr="00BB6439" w:rsidRDefault="00DF469A" w:rsidP="00DF469A">
            <w:pPr>
              <w:pStyle w:val="Caption"/>
              <w:cnfStyle w:val="000000000000" w:firstRow="0" w:lastRow="0" w:firstColumn="0" w:lastColumn="0" w:oddVBand="0" w:evenVBand="0" w:oddHBand="0" w:evenHBand="0" w:firstRowFirstColumn="0" w:firstRowLastColumn="0" w:lastRowFirstColumn="0" w:lastRowLastColumn="0"/>
              <w:rPr>
                <w:color w:val="auto"/>
                <w:lang w:val="en-US"/>
              </w:rPr>
            </w:pPr>
            <w:r w:rsidRPr="00BB6439">
              <w:rPr>
                <w:color w:val="auto"/>
                <w:lang w:val="en-US"/>
              </w:rPr>
              <w:t>2.</w:t>
            </w:r>
            <w:r w:rsidR="00DC581C">
              <w:rPr>
                <w:color w:val="auto"/>
                <w:lang w:val="en-US"/>
              </w:rPr>
              <w:t>4</w:t>
            </w:r>
          </w:p>
        </w:tc>
      </w:tr>
      <w:tr w:rsidR="00DF469A" w:rsidRPr="00BB6439" w14:paraId="20A3FD71" w14:textId="77777777" w:rsidTr="00DF46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6A63758A" w14:textId="77777777" w:rsidR="00DF469A" w:rsidRPr="009036ED" w:rsidRDefault="00DF469A" w:rsidP="00DF469A">
            <w:pPr>
              <w:pStyle w:val="Caption"/>
              <w:rPr>
                <w:color w:val="auto"/>
              </w:rPr>
            </w:pPr>
            <w:r w:rsidRPr="009036ED">
              <w:rPr>
                <w:color w:val="auto"/>
              </w:rPr>
              <w:t>Pikësynimi për shkarkimet  neto të gazeve serrë 1  në 2030 krahasuar me nivelet e vitit 1990: ulja në (%) nën nivelet e vitit 1990</w:t>
            </w:r>
          </w:p>
        </w:tc>
        <w:tc>
          <w:tcPr>
            <w:tcW w:w="0" w:type="auto"/>
            <w:tcBorders>
              <w:top w:val="none" w:sz="0" w:space="0" w:color="auto"/>
              <w:bottom w:val="none" w:sz="0" w:space="0" w:color="auto"/>
            </w:tcBorders>
          </w:tcPr>
          <w:p w14:paraId="319A01DA" w14:textId="77777777" w:rsidR="00DF469A" w:rsidRPr="00BB6439" w:rsidRDefault="00DF469A" w:rsidP="00DF469A">
            <w:pPr>
              <w:pStyle w:val="Caption"/>
              <w:cnfStyle w:val="000000100000" w:firstRow="0" w:lastRow="0" w:firstColumn="0" w:lastColumn="0" w:oddVBand="0" w:evenVBand="0" w:oddHBand="1" w:evenHBand="0" w:firstRowFirstColumn="0" w:firstRowLastColumn="0" w:lastRowFirstColumn="0" w:lastRowLastColumn="0"/>
              <w:rPr>
                <w:color w:val="auto"/>
                <w:lang w:val="en-US"/>
              </w:rPr>
            </w:pPr>
            <w:r w:rsidRPr="00BB6439">
              <w:rPr>
                <w:color w:val="auto"/>
                <w:lang w:val="en-US"/>
              </w:rPr>
              <w:t>10.21</w:t>
            </w:r>
          </w:p>
          <w:p w14:paraId="7C45E660" w14:textId="77777777" w:rsidR="00DF469A" w:rsidRPr="00BB6439" w:rsidRDefault="00DF469A" w:rsidP="00DF469A">
            <w:pPr>
              <w:pStyle w:val="Caption"/>
              <w:cnfStyle w:val="000000100000" w:firstRow="0" w:lastRow="0" w:firstColumn="0" w:lastColumn="0" w:oddVBand="0" w:evenVBand="0" w:oddHBand="1" w:evenHBand="0" w:firstRowFirstColumn="0" w:firstRowLastColumn="0" w:lastRowFirstColumn="0" w:lastRowLastColumn="0"/>
              <w:rPr>
                <w:color w:val="auto"/>
                <w:lang w:val="en-US"/>
              </w:rPr>
            </w:pPr>
            <w:r w:rsidRPr="00BB6439">
              <w:rPr>
                <w:color w:val="auto"/>
                <w:lang w:val="en-GB"/>
              </w:rPr>
              <w:t>MtCO2e</w:t>
            </w:r>
          </w:p>
        </w:tc>
      </w:tr>
    </w:tbl>
    <w:p w14:paraId="03BE0C4A" w14:textId="77777777" w:rsidR="00BB6439" w:rsidRDefault="00BB6439" w:rsidP="006112AE">
      <w:pPr>
        <w:pStyle w:val="Caption"/>
        <w:rPr>
          <w:rFonts w:ascii="Times New Roman" w:hAnsi="Times New Roman"/>
        </w:rPr>
      </w:pPr>
    </w:p>
    <w:p w14:paraId="2E0C96D4" w14:textId="511FE65D" w:rsidR="006112AE" w:rsidRPr="00FF756A" w:rsidRDefault="006112AE" w:rsidP="006112AE">
      <w:pPr>
        <w:pStyle w:val="Caption"/>
        <w:rPr>
          <w:rFonts w:ascii="Times New Roman" w:hAnsi="Times New Roman"/>
        </w:rPr>
      </w:pPr>
      <w:r w:rsidRPr="00FF756A">
        <w:rPr>
          <w:rFonts w:ascii="Times New Roman" w:hAnsi="Times New Roman"/>
        </w:rPr>
        <w:t xml:space="preserve">Tabela </w:t>
      </w:r>
      <w:r w:rsidR="002829BE" w:rsidRPr="00FF756A">
        <w:rPr>
          <w:rFonts w:ascii="Times New Roman" w:hAnsi="Times New Roman"/>
        </w:rPr>
        <w:fldChar w:fldCharType="begin"/>
      </w:r>
      <w:r w:rsidR="002829BE" w:rsidRPr="00FF756A">
        <w:rPr>
          <w:rFonts w:ascii="Times New Roman" w:hAnsi="Times New Roman"/>
        </w:rPr>
        <w:instrText xml:space="preserve"> SEQ Tabela \* ARABIC </w:instrText>
      </w:r>
      <w:r w:rsidR="002829BE" w:rsidRPr="00FF756A">
        <w:rPr>
          <w:rFonts w:ascii="Times New Roman" w:hAnsi="Times New Roman"/>
        </w:rPr>
        <w:fldChar w:fldCharType="separate"/>
      </w:r>
      <w:r w:rsidR="002829BE" w:rsidRPr="00FF756A">
        <w:rPr>
          <w:rFonts w:ascii="Times New Roman" w:hAnsi="Times New Roman"/>
          <w:noProof/>
        </w:rPr>
        <w:t>1</w:t>
      </w:r>
      <w:r w:rsidR="002829BE" w:rsidRPr="00FF756A">
        <w:rPr>
          <w:rFonts w:ascii="Times New Roman" w:hAnsi="Times New Roman"/>
          <w:noProof/>
        </w:rPr>
        <w:fldChar w:fldCharType="end"/>
      </w:r>
      <w:r w:rsidRPr="00FF756A">
        <w:rPr>
          <w:rFonts w:ascii="Times New Roman" w:hAnsi="Times New Roman"/>
        </w:rPr>
        <w:t xml:space="preserve">: Objektivat </w:t>
      </w:r>
      <w:r w:rsidR="00BB6439">
        <w:rPr>
          <w:rFonts w:ascii="Times New Roman" w:hAnsi="Times New Roman"/>
        </w:rPr>
        <w:t xml:space="preserve">kombëtar </w:t>
      </w:r>
      <w:r w:rsidRPr="00FF756A">
        <w:rPr>
          <w:rFonts w:ascii="Times New Roman" w:hAnsi="Times New Roman"/>
        </w:rPr>
        <w:t xml:space="preserve">2030 </w:t>
      </w:r>
      <w:bookmarkEnd w:id="11"/>
    </w:p>
    <w:p w14:paraId="32B356A0" w14:textId="77777777" w:rsidR="0062212F" w:rsidRPr="00FF756A" w:rsidRDefault="0062212F" w:rsidP="00D91ED2">
      <w:pPr>
        <w:spacing w:before="120" w:after="120"/>
        <w:rPr>
          <w:b/>
          <w:bCs/>
        </w:rPr>
      </w:pPr>
    </w:p>
    <w:p w14:paraId="5C37C326" w14:textId="5AF2E11F" w:rsidR="006D106D" w:rsidRPr="00FF756A" w:rsidRDefault="00D91ED2" w:rsidP="00D91ED2">
      <w:pPr>
        <w:spacing w:before="120" w:after="120"/>
        <w:rPr>
          <w:b/>
          <w:bCs/>
        </w:rPr>
      </w:pPr>
      <w:r w:rsidRPr="00FF756A">
        <w:rPr>
          <w:b/>
          <w:bCs/>
        </w:rPr>
        <w:t>Perspektiva afatgjatë deri në vitin 2050: Si planifikon Shqipëria të përmbushë objektivin e neutralitetit klimatik për vitin 2050</w:t>
      </w:r>
    </w:p>
    <w:p w14:paraId="64985D08" w14:textId="0B18809C" w:rsidR="007007D6" w:rsidRPr="00FF756A" w:rsidRDefault="007007D6" w:rsidP="00D91ED2">
      <w:pPr>
        <w:spacing w:before="120" w:after="120"/>
      </w:pPr>
      <w:r w:rsidRPr="00FF756A">
        <w:t xml:space="preserve">Shqipëria po punon drejt objektivit ambicioz të arritjes së neutralitetit klimatik brenda vitit 2050, bazuar në parashikimet e detajuara të PKEK-së. </w:t>
      </w:r>
    </w:p>
    <w:p w14:paraId="64DB58C8" w14:textId="58D734AE" w:rsidR="007007D6" w:rsidRPr="00FF756A" w:rsidRDefault="004779C3" w:rsidP="00D91ED2">
      <w:pPr>
        <w:spacing w:before="120" w:after="120"/>
      </w:pPr>
      <w:r w:rsidRPr="00FF756A">
        <w:t xml:space="preserve">Politikat strategjike në dimensionin e dekarbonizimit përfshijnë zbatimin e pikësynimeve kombëtare të rishikuara në lidhje me dekarbonizimin, me në fokus shkarkimet e gazeve serrë (GES-ve) dhe përqindjen e energjisë nga burimet e rinovueshme në konsumin final bruto të energjisë. Shqipëria po fokusohet te rritja e përqindjes së energjisë së rinovueshme në prodhimin e saj të kombinuar të energjisë. Vendi ka tashmë një bazë të konsoliduar hidroenergjetike dhe po vijon diversifikimin e sektorit të energjisë me projekte të energjisë </w:t>
      </w:r>
      <w:r w:rsidR="001E225E" w:rsidRPr="00FF756A">
        <w:t>se</w:t>
      </w:r>
      <w:r w:rsidR="00D53708" w:rsidRPr="00FF756A">
        <w:t xml:space="preserve"> erës</w:t>
      </w:r>
      <w:r w:rsidRPr="00FF756A">
        <w:t>, diellore dhe të biomasës.</w:t>
      </w:r>
    </w:p>
    <w:p w14:paraId="38EDC76A" w14:textId="460816D8" w:rsidR="004433FC" w:rsidRPr="00FF756A" w:rsidRDefault="00D53708" w:rsidP="00D91ED2">
      <w:pPr>
        <w:spacing w:before="120" w:after="120"/>
        <w:ind w:right="4"/>
      </w:pPr>
      <w:r w:rsidRPr="00FF756A">
        <w:t xml:space="preserve">Në lidhje me pyjet dhe </w:t>
      </w:r>
      <w:r w:rsidR="004433FC" w:rsidRPr="00FF756A">
        <w:t xml:space="preserve">përdorimit të tokës, për </w:t>
      </w:r>
      <w:r w:rsidR="003442D3" w:rsidRPr="00FF756A">
        <w:t xml:space="preserve">të </w:t>
      </w:r>
      <w:r w:rsidR="004433FC" w:rsidRPr="00FF756A">
        <w:t>kompens</w:t>
      </w:r>
      <w:r w:rsidR="003442D3" w:rsidRPr="00FF756A">
        <w:t>uar</w:t>
      </w:r>
      <w:r w:rsidR="004433FC" w:rsidRPr="00FF756A">
        <w:t xml:space="preserve"> shkarkime</w:t>
      </w:r>
      <w:r w:rsidR="003442D3" w:rsidRPr="00FF756A">
        <w:t>t</w:t>
      </w:r>
      <w:r w:rsidR="004433FC" w:rsidRPr="00FF756A">
        <w:t>, Shqipëria është duke investuar në projekte ripyllëzimi dhe pyllëzimi. Këto nisma ndihmojnë në thithjen e d</w:t>
      </w:r>
      <w:r w:rsidR="00A72DA8" w:rsidRPr="00FF756A">
        <w:t>i</w:t>
      </w:r>
      <w:r w:rsidR="004433FC" w:rsidRPr="00FF756A">
        <w:t>oksidit të karbonit dhe përmirësimin e biodiversitetit. Shqipëria po zbaton praktika që nxisin përdorimin e qëndrueshëm të tokës dhe parandalojnë shpyllëzimin, gjë që është me rëndësi kritike për ruajtjen e kapaciteteve të përthithjes së karbonit dhe rritjen e aftësisë ripërtëritëse të mjedisit.</w:t>
      </w:r>
    </w:p>
    <w:p w14:paraId="4D85E383" w14:textId="7886425E" w:rsidR="00FD681D" w:rsidRPr="00FF756A" w:rsidRDefault="00EB05E5" w:rsidP="00EB05E5">
      <w:pPr>
        <w:spacing w:before="120" w:after="120"/>
      </w:pPr>
      <w:r w:rsidRPr="00FF756A">
        <w:t xml:space="preserve">Për sa i përket aftësisë ripërtëritëse klimatike, Shqipëria është duke zhvilluar strategjinë e përshtatjes për të adresuar </w:t>
      </w:r>
      <w:r w:rsidR="00FD681D" w:rsidRPr="00FF756A">
        <w:t>për të adresuar pasojat e ndryshimeve klimatike, si përmirësimi i qëndrueshmërisë së infrastrukturës ndaj ngjarjeve ekstreme të motit dhe menaxhimi më efektiv i burimeve ujore.</w:t>
      </w:r>
    </w:p>
    <w:p w14:paraId="120897E0" w14:textId="70E072EF" w:rsidR="00A14E00" w:rsidRPr="00FF756A" w:rsidRDefault="00A14E00" w:rsidP="00D91ED2">
      <w:pPr>
        <w:spacing w:before="120" w:after="120"/>
      </w:pPr>
      <w:r w:rsidRPr="00FF756A">
        <w:t xml:space="preserve">Një </w:t>
      </w:r>
      <w:r w:rsidR="00FD681D" w:rsidRPr="00FF756A">
        <w:t xml:space="preserve">rëndësi të madhe ka fokusi </w:t>
      </w:r>
      <w:r w:rsidRPr="00FF756A">
        <w:t xml:space="preserve">te ndërgjegjësimi dhe edukimi i publikut, duke nxitur ndërgjegjësimin dhe edukimin mbi problematikat e ndryshimeve klimatike për t’i dhënë shtysë angazhimit të komuniteteve dhe mbështetjes për nismat e veprimit </w:t>
      </w:r>
      <w:r w:rsidR="00125CED" w:rsidRPr="00FF756A">
        <w:t>ndaj</w:t>
      </w:r>
      <w:r w:rsidRPr="00FF756A">
        <w:t xml:space="preserve"> klimë</w:t>
      </w:r>
      <w:r w:rsidR="00125CED" w:rsidRPr="00FF756A">
        <w:t>s</w:t>
      </w:r>
      <w:r w:rsidRPr="00FF756A">
        <w:t xml:space="preserve">. </w:t>
      </w:r>
    </w:p>
    <w:p w14:paraId="6986E4D2" w14:textId="195399FC" w:rsidR="00A14E00" w:rsidRPr="00FF756A" w:rsidRDefault="00A14E00" w:rsidP="00D91ED2">
      <w:pPr>
        <w:pBdr>
          <w:top w:val="none" w:sz="0" w:space="0" w:color="auto"/>
          <w:left w:val="none" w:sz="0" w:space="0" w:color="auto"/>
          <w:bottom w:val="none" w:sz="0" w:space="0" w:color="auto"/>
          <w:right w:val="none" w:sz="0" w:space="0" w:color="auto"/>
          <w:between w:val="none" w:sz="0" w:space="0" w:color="auto"/>
        </w:pBdr>
        <w:spacing w:before="120" w:after="120"/>
        <w:rPr>
          <w:rFonts w:eastAsia="Calibri Light"/>
          <w:color w:val="1F3763" w:themeColor="accent1" w:themeShade="7F"/>
        </w:rPr>
      </w:pPr>
      <w:r w:rsidRPr="00FF756A">
        <w:lastRenderedPageBreak/>
        <w:t xml:space="preserve">Si një vend kandidat për anëtarësim në BE, Shqipëria po përafron politikat e saj klimatike me rregulloret dhe standardet e BE-së, me qëllimin për t’u përfshirë në projekte të financuara nga BE-ja që </w:t>
      </w:r>
      <w:r w:rsidR="00920CEF" w:rsidRPr="00FF756A">
        <w:t>mbështesin kalimin në një ekonomi të gjelbër.</w:t>
      </w:r>
      <w:r w:rsidR="00966CB5" w:rsidRPr="00FF756A">
        <w:t xml:space="preserve"> Vendi</w:t>
      </w:r>
      <w:r w:rsidRPr="00FF756A">
        <w:t xml:space="preserve"> po përfiton nga financimi dhe asistenca teknike e BE-së për mbështetjen e projekteve të veprimit për klimën dhe për rritjen e kapaciteteve për zbatimin e politikave të neutralitetit klimatik.</w:t>
      </w:r>
    </w:p>
    <w:p w14:paraId="4DE9D79B" w14:textId="14D74052" w:rsidR="007007D6" w:rsidRPr="00FF756A" w:rsidRDefault="00D95C29" w:rsidP="00D91ED2">
      <w:pPr>
        <w:pBdr>
          <w:top w:val="none" w:sz="0" w:space="0" w:color="auto"/>
          <w:left w:val="none" w:sz="0" w:space="0" w:color="auto"/>
          <w:bottom w:val="none" w:sz="0" w:space="0" w:color="auto"/>
          <w:right w:val="none" w:sz="0" w:space="0" w:color="auto"/>
          <w:between w:val="none" w:sz="0" w:space="0" w:color="auto"/>
        </w:pBdr>
        <w:spacing w:before="120" w:after="120"/>
      </w:pPr>
      <w:r w:rsidRPr="00FF756A">
        <w:t xml:space="preserve">Gjithashtu, përcaktimi i pikësynimeve kombëtare në lidhje me dimensionin e efiçencës së energjisë </w:t>
      </w:r>
      <w:r w:rsidRPr="00FF756A">
        <w:rPr>
          <w:rStyle w:val="Strong"/>
          <w:b w:val="0"/>
          <w:bCs w:val="0"/>
        </w:rPr>
        <w:t>dhe</w:t>
      </w:r>
      <w:r w:rsidRPr="00FF756A">
        <w:t xml:space="preserve"> zbatimi i masave të efiçencës së energjisë në sektorë të ndryshëm, duke përfshirë proceset industriale, ndërtesat rezidenciale dhe transportin, janë me rëndësi thelbësore për reduktimin e konsumit të përgjithshëm të energjisë dhe shkarkimeve të gazeve serrë.</w:t>
      </w:r>
    </w:p>
    <w:p w14:paraId="3ADD134A" w14:textId="3E06786F" w:rsidR="0025556E" w:rsidRPr="00FF756A" w:rsidRDefault="00D95C29" w:rsidP="00D91ED2">
      <w:pPr>
        <w:pBdr>
          <w:top w:val="none" w:sz="0" w:space="0" w:color="auto"/>
          <w:left w:val="none" w:sz="0" w:space="0" w:color="auto"/>
          <w:bottom w:val="none" w:sz="0" w:space="0" w:color="auto"/>
          <w:right w:val="none" w:sz="0" w:space="0" w:color="auto"/>
          <w:between w:val="none" w:sz="0" w:space="0" w:color="auto"/>
        </w:pBdr>
        <w:spacing w:before="120" w:after="120"/>
      </w:pPr>
      <w:r w:rsidRPr="00FF756A">
        <w:t xml:space="preserve">Në këtë drejtim, nëpërmjet zbatimit të Urdhrit të Ministrit të Infrastrukturës dhe Energjisë Nr. 203, datë 18.10.2022 “Për miratimin e formatit të planeve të veprimit të konsumatorëve të mëdhenj të energjisë dhe të raportit vjetor të progresit”, në përputhje me parimin e “Auditimit të energjisë për konsumatorët e mëdhenj të energjisë me fokus tek aktivitetet industriale” dhe parimin e “Sistemeve të menaxhimit të energjisë për NVM-të”, do të mund të garantohet arritja e kursimeve të energjisë në masën prej të paktën 4% të totalit të energjisë ekuivalente </w:t>
      </w:r>
      <w:r w:rsidR="00145AAB" w:rsidRPr="00FF756A">
        <w:t>e</w:t>
      </w:r>
      <w:r w:rsidRPr="00FF756A">
        <w:t xml:space="preserve"> konsumuar nga kjo kategori konsumatorësh. Këto plane hartohen në bazë të raporteve të auditimit të energjisë për konsumatorët e mëdhenj, të kryer</w:t>
      </w:r>
      <w:r w:rsidR="00145AAB" w:rsidRPr="00FF756A">
        <w:t>a</w:t>
      </w:r>
      <w:r w:rsidRPr="00FF756A">
        <w:t xml:space="preserve"> nga një auditues i licencuar i energjisë. Konsumatorët e mëdhenj të energjisë, të cilët kanë të punësuar menaxherët e tyre të certifikuar të energjisë, do t’i raportojnë arritjet e tyre </w:t>
      </w:r>
      <w:r w:rsidR="00145AAB" w:rsidRPr="00FF756A">
        <w:t>p</w:t>
      </w:r>
      <w:r w:rsidRPr="00FF756A">
        <w:t>ë</w:t>
      </w:r>
      <w:r w:rsidR="00145AAB" w:rsidRPr="00FF756A">
        <w:t>r</w:t>
      </w:r>
      <w:r w:rsidRPr="00FF756A">
        <w:t xml:space="preserve"> reduktimin e energjisë pranë Agjencisë për Efiçencën e Energjisë.</w:t>
      </w:r>
    </w:p>
    <w:p w14:paraId="1D93379A" w14:textId="59B8B672" w:rsidR="00484A58" w:rsidRPr="00FF756A" w:rsidRDefault="00F11E14" w:rsidP="00D91ED2">
      <w:pPr>
        <w:pBdr>
          <w:top w:val="none" w:sz="0" w:space="0" w:color="auto"/>
          <w:left w:val="none" w:sz="0" w:space="0" w:color="auto"/>
          <w:bottom w:val="none" w:sz="0" w:space="0" w:color="auto"/>
          <w:right w:val="none" w:sz="0" w:space="0" w:color="auto"/>
          <w:between w:val="none" w:sz="0" w:space="0" w:color="auto"/>
        </w:pBdr>
        <w:spacing w:before="120" w:after="120"/>
      </w:pPr>
      <w:r w:rsidRPr="00FF756A">
        <w:t>Ndërkohë, Urdhri i Ministrit të Infrastrukturës dhe Energjisë Nr. 206, datë 25.10.2022 “Për miratimin e formatit të planeve vendore të veprimit për efiçencën e energjisë dhe raporti i progresit për zbatimin e planeve” dhe Vendimi i Këshillit të Ministrave Nr. 189, datë 5.04.2023 “Për miratimin e platformës së monitorimit dhe verifikimit” synojnë monitorimin e aktiviteteve ekonomike në nivel bashkiak dhe do të shërbejnë si një mekanizëm i cili do të ofrojë një bazë të dhënash për vlerësimin e arritjes së objektivave kombëtare të efiçencës së energjisë.</w:t>
      </w:r>
    </w:p>
    <w:p w14:paraId="1ECF01C7" w14:textId="56CCB161" w:rsidR="00484A58" w:rsidRPr="00FF756A" w:rsidRDefault="00484A58" w:rsidP="00D91ED2">
      <w:pPr>
        <w:spacing w:before="120" w:after="120"/>
        <w:ind w:right="4"/>
      </w:pPr>
      <w:r w:rsidRPr="00FF756A">
        <w:t>Në sektorin e ndërtesave, është duke u zbatuar një përzierje e ekuilibruar masash politike për të mbështetur rinovimin e stokut të ndërtesave për qëllime të kursimit të energjisë dhe për të arritur shkallën e specifikuar të rinovimeve. “Plani afatgjatë i rinovimit (për ndërtesat publike dhe private)” është në përgatitje e sipër dhe do të përcaktojë politikat, financimin, masat fiskale dhe ato rregullatore.</w:t>
      </w:r>
    </w:p>
    <w:p w14:paraId="3549CA65" w14:textId="1CFB47B7" w:rsidR="00A14E00" w:rsidRPr="00FF756A" w:rsidRDefault="00484A58" w:rsidP="00F746D8">
      <w:pPr>
        <w:spacing w:before="120" w:after="120"/>
        <w:ind w:right="4"/>
      </w:pPr>
      <w:r w:rsidRPr="008F3BCA">
        <w:t>Gjithashtu, nëpërmjet zbatimit të Udhëzimit të Ministrit të Infrastrukturës dhe Energjisë Nr. 23, datë 17.10.2022, “Për modelin e kontratës për kontraktimin e performancës së energjisë”; në përputhje me parimin “Zbatimi i modeleve të ESCO”.</w:t>
      </w:r>
    </w:p>
    <w:p w14:paraId="6800C7A3" w14:textId="681DE3D2" w:rsidR="003F71FC" w:rsidRPr="00FF756A" w:rsidRDefault="00A14E00" w:rsidP="00D91ED2">
      <w:pPr>
        <w:spacing w:before="120" w:after="120"/>
        <w:ind w:right="4"/>
      </w:pPr>
      <w:r w:rsidRPr="00FF756A">
        <w:t xml:space="preserve">Dimensioni i sigurisë </w:t>
      </w:r>
      <w:r w:rsidR="001D5DD5" w:rsidRPr="00FF756A">
        <w:t xml:space="preserve">energjitike </w:t>
      </w:r>
      <w:r w:rsidRPr="00FF756A">
        <w:t>synon të përcaktojë pikësynimet kombëtare në lidhje me rritjen e diversifikimit të burimeve të energjisë duke siguruar një furnizim të besueshëm, të përballueshëm dhe të qëndrueshëm me energji</w:t>
      </w:r>
      <w:r w:rsidR="009975BA" w:rsidRPr="00FF756A">
        <w:t xml:space="preserve">, </w:t>
      </w:r>
      <w:r w:rsidRPr="00FF756A">
        <w:t>përmes diversifikimit të burimeve të energjisë, zhvillimit të infrastrukturës, rezervave strategjike dhe mekanizmave të reagimit ndaj emergjencave. Shqipëria po punon për zhvillimin dhe mbështetjen e një game të larmishme burimesh të energjisë për të zvogëluar varësinë nga një burim apo furnizues i vetëm, si dhe po investon në përmirësimin e infrastrukturës së energjisë, siç janë tubacionet dhe interkonektorët, për të rritur qëndrueshmërinë dhe fleksibilitetin e sistemit të energjisë.</w:t>
      </w:r>
    </w:p>
    <w:p w14:paraId="06CE5E78" w14:textId="38E2B157" w:rsidR="003F71FC" w:rsidRPr="00FF756A" w:rsidRDefault="003F71FC" w:rsidP="00D91ED2">
      <w:pPr>
        <w:spacing w:before="120" w:after="120"/>
      </w:pPr>
      <w:r w:rsidRPr="00FF756A">
        <w:t xml:space="preserve">Për sa i përket dimensionit të tregut të brendshëm të energjisë, Shqipëria ka bërë hapa përpara për rritjen e konkurrencës dhe efikasitetit, si dhe për lehtësimin e integrimit të tregjeve kombëtare të energjisë për të siguruar qarkullimin e lirë të energjisë midis kufijve. Pjesa më e madhe e kuadrit ligjor është harmonizuar, si dhe është krijuar AlPEX dhe ka filluar të vihet në punë, duke marrë në konsideratë masat zbatuese për mbrojtjen e konsumatorëve, promovimin e çmimeve të drejta dhe sigurimin e informacionit </w:t>
      </w:r>
      <w:r w:rsidRPr="00FF756A">
        <w:lastRenderedPageBreak/>
        <w:t>transparent përmes platformave dhe mekanizmave efektiv</w:t>
      </w:r>
      <w:r w:rsidR="0002554D" w:rsidRPr="00FF756A">
        <w:t>e</w:t>
      </w:r>
      <w:r w:rsidRPr="00FF756A">
        <w:t xml:space="preserve"> dhe transparent</w:t>
      </w:r>
      <w:r w:rsidR="009257C1" w:rsidRPr="00FF756A">
        <w:t>e</w:t>
      </w:r>
      <w:r w:rsidRPr="00FF756A">
        <w:t xml:space="preserve"> për tregtimin e energjisë. Bursa Shqiptare e Energjisë Elektrike (ALPEX) nisi operacionet më 12.4.2023. Gjatë vitit 2023, numri i anëtarëve të regjistruar </w:t>
      </w:r>
      <w:r w:rsidR="009257C1" w:rsidRPr="00FF756A">
        <w:t>i</w:t>
      </w:r>
      <w:r w:rsidRPr="00FF756A">
        <w:t>sht</w:t>
      </w:r>
      <w:r w:rsidR="009257C1" w:rsidRPr="00FF756A">
        <w:t>e</w:t>
      </w:r>
      <w:r w:rsidRPr="00FF756A">
        <w:t xml:space="preserve"> 17 (shtatëmbëdhjetë). Vëllimi total i tregtuar në bursë për vitin 2023 rezulton të jetë 827 541 MWh dhe çmimi mesatar i arritur nga ALPEX sh.a. rezulton të jetë 106,5 euro/MWh.</w:t>
      </w:r>
    </w:p>
    <w:p w14:paraId="6038B7B4" w14:textId="3E4B66A6" w:rsidR="007007D6" w:rsidRPr="00FF756A" w:rsidRDefault="00092B22" w:rsidP="00D91ED2">
      <w:pPr>
        <w:pBdr>
          <w:top w:val="none" w:sz="0" w:space="0" w:color="auto"/>
          <w:left w:val="none" w:sz="0" w:space="0" w:color="auto"/>
          <w:bottom w:val="none" w:sz="0" w:space="0" w:color="auto"/>
          <w:right w:val="none" w:sz="0" w:space="0" w:color="auto"/>
          <w:between w:val="none" w:sz="0" w:space="0" w:color="auto"/>
        </w:pBdr>
        <w:spacing w:before="120" w:after="120"/>
      </w:pPr>
      <w:r w:rsidRPr="00FF756A">
        <w:t xml:space="preserve">Për sa i përket dimensionit të kërkimit, inovacionit dhe konkurrencës, </w:t>
      </w:r>
      <w:r w:rsidRPr="00FF756A">
        <w:rPr>
          <w:rStyle w:val="Strong"/>
          <w:b w:val="0"/>
          <w:bCs w:val="0"/>
        </w:rPr>
        <w:t xml:space="preserve">synohet të vijojë investimi në </w:t>
      </w:r>
      <w:r w:rsidRPr="00FF756A">
        <w:t>kërkime dhe inovacione teknologjike për të mbështetur kalimin në një ekonomi me karbon të ulët. Kjo përfshin eksplorimin e teknologjive të reja në prodhimin, ruajtjen dhe konsumin e energjisë, si dhe zhvillimin dhe promovimin e zgjidhjeve të qëndrueshme të transportit, siç janë automjetet elektrike dhe përmirësimet e transportit publik, për të zvogëluar shkarkimet nga sektori i transportit.</w:t>
      </w:r>
    </w:p>
    <w:p w14:paraId="01063ED5" w14:textId="77777777" w:rsidR="002C5E80" w:rsidRPr="00FF756A" w:rsidRDefault="007007D6" w:rsidP="002C5E80">
      <w:pPr>
        <w:pStyle w:val="NormalWeb"/>
        <w:spacing w:before="120" w:after="120" w:line="276" w:lineRule="auto"/>
        <w:rPr>
          <w:rFonts w:ascii="Times New Roman" w:hAnsi="Times New Roman"/>
        </w:rPr>
      </w:pPr>
      <w:r w:rsidRPr="00FF756A">
        <w:rPr>
          <w:rFonts w:ascii="Times New Roman" w:hAnsi="Times New Roman"/>
        </w:rPr>
        <w:t>Duke u fokusuar në këto fusha, Shqipëria synon të përmbushë pikësynimin e saj të neutralitetit klimatik brenda vitit 2050, duke kontribuar në përpjekjet globale për të luftuar ndryshimet klimatike e duke nxitur njëkohësisht zhvillimin e qëndrueshëm në vend.</w:t>
      </w:r>
    </w:p>
    <w:p w14:paraId="48A78829" w14:textId="77777777" w:rsidR="002C5E80" w:rsidRPr="00FF756A" w:rsidRDefault="002C5E80" w:rsidP="002C5E80">
      <w:pPr>
        <w:pStyle w:val="NormalWeb"/>
        <w:spacing w:before="120" w:after="120" w:line="276" w:lineRule="auto"/>
        <w:rPr>
          <w:rFonts w:ascii="Times New Roman" w:hAnsi="Times New Roman"/>
        </w:rPr>
      </w:pPr>
    </w:p>
    <w:p w14:paraId="2E40808E" w14:textId="3A69F17C" w:rsidR="00D67503" w:rsidRPr="00FF756A" w:rsidRDefault="00DA2EDE" w:rsidP="004A3257">
      <w:pPr>
        <w:pStyle w:val="Heading2"/>
        <w:numPr>
          <w:ilvl w:val="1"/>
          <w:numId w:val="217"/>
        </w:numPr>
      </w:pPr>
      <w:bookmarkStart w:id="12" w:name="_Toc183639169"/>
      <w:r w:rsidRPr="00FF756A">
        <w:t>Përmbledhje e situatës aktuale të politikave të energjisë dhe klimës</w:t>
      </w:r>
      <w:bookmarkEnd w:id="12"/>
    </w:p>
    <w:p w14:paraId="32892187" w14:textId="77777777" w:rsidR="00D67503" w:rsidRPr="00FF756A" w:rsidRDefault="00D67503" w:rsidP="00E54CFE">
      <w:pPr>
        <w:pStyle w:val="Heading3"/>
      </w:pPr>
    </w:p>
    <w:p w14:paraId="70AB3B1B" w14:textId="5063C888" w:rsidR="00DA2EDE" w:rsidRPr="00FF756A" w:rsidRDefault="00D67503" w:rsidP="00E54CFE">
      <w:pPr>
        <w:pStyle w:val="Heading3"/>
      </w:pPr>
      <w:bookmarkStart w:id="13" w:name="_Toc183639170"/>
      <w:r w:rsidRPr="00FF756A">
        <w:t xml:space="preserve">1.2.1. </w:t>
      </w:r>
      <w:r w:rsidR="00DA2EDE" w:rsidRPr="00FF756A">
        <w:t>Sistemi kombëtar i energjisë dhe konteksti politik i planit kombëtar</w:t>
      </w:r>
      <w:bookmarkEnd w:id="13"/>
    </w:p>
    <w:p w14:paraId="7987EA2C" w14:textId="77777777" w:rsidR="00032619" w:rsidRPr="00FF756A" w:rsidRDefault="00032619" w:rsidP="00032619"/>
    <w:p w14:paraId="74076C9F" w14:textId="5613A030" w:rsidR="00DA2EDE" w:rsidRPr="00FF756A" w:rsidRDefault="00DA2EDE" w:rsidP="004A3257">
      <w:pPr>
        <w:pStyle w:val="Heading4"/>
        <w:numPr>
          <w:ilvl w:val="3"/>
          <w:numId w:val="217"/>
        </w:numPr>
        <w:rPr>
          <w:rFonts w:cs="Times New Roman"/>
        </w:rPr>
      </w:pPr>
      <w:bookmarkStart w:id="14" w:name="_Toc183639171"/>
      <w:r w:rsidRPr="00FF756A">
        <w:rPr>
          <w:rFonts w:cs="Times New Roman"/>
        </w:rPr>
        <w:t>Sistemi kombëtar i energjisë</w:t>
      </w:r>
      <w:bookmarkEnd w:id="14"/>
      <w:r w:rsidRPr="00FF756A">
        <w:rPr>
          <w:rFonts w:cs="Times New Roman"/>
        </w:rPr>
        <w:t xml:space="preserve"> </w:t>
      </w:r>
    </w:p>
    <w:p w14:paraId="4A6B5A77" w14:textId="71E9A34F" w:rsidR="003C4876" w:rsidRPr="00FF756A" w:rsidRDefault="003C4876" w:rsidP="00032619">
      <w:pPr>
        <w:shd w:val="clear" w:color="auto" w:fill="FFFFFF"/>
        <w:tabs>
          <w:tab w:val="left" w:pos="270"/>
        </w:tabs>
        <w:ind w:right="6"/>
        <w:rPr>
          <w:rFonts w:eastAsia="Arial"/>
        </w:rPr>
      </w:pPr>
      <w:r w:rsidRPr="00FF756A">
        <w:t xml:space="preserve">Dokumenti kryesor politik i sektorit të energjisë në Shqipëri është </w:t>
      </w:r>
      <w:r w:rsidRPr="00FF756A">
        <w:rPr>
          <w:b/>
          <w:bCs/>
        </w:rPr>
        <w:t xml:space="preserve">Strategjia Kombëtare e Energjisë 2018-2030, </w:t>
      </w:r>
      <w:r w:rsidRPr="00FF756A">
        <w:t xml:space="preserve">e miratuar me Vendimin e Këshillit të Ministrave nr. 480, datë 31.7.2018, i </w:t>
      </w:r>
      <w:r w:rsidRPr="00FF756A">
        <w:rPr>
          <w:color w:val="000000" w:themeColor="text1"/>
        </w:rPr>
        <w:t xml:space="preserve">cili </w:t>
      </w:r>
      <w:r w:rsidRPr="00FF756A">
        <w:rPr>
          <w:color w:val="000000" w:themeColor="text1"/>
          <w:sz w:val="24"/>
          <w:szCs w:val="24"/>
        </w:rPr>
        <w:t xml:space="preserve">fokusohet te </w:t>
      </w:r>
      <w:r w:rsidRPr="00FF756A">
        <w:rPr>
          <w:color w:val="000000" w:themeColor="text1"/>
        </w:rPr>
        <w:t xml:space="preserve">nënsektorët e </w:t>
      </w:r>
      <w:r w:rsidRPr="00FF756A">
        <w:t>mëposhtëm</w:t>
      </w:r>
      <w:r w:rsidRPr="00FF756A">
        <w:rPr>
          <w:rStyle w:val="FootnoteReference"/>
          <w:rFonts w:eastAsia="Arial"/>
        </w:rPr>
        <w:footnoteReference w:id="1"/>
      </w:r>
      <w:r w:rsidRPr="00FF756A">
        <w:t xml:space="preserve">: </w:t>
      </w:r>
    </w:p>
    <w:p w14:paraId="16F5CE2C" w14:textId="77777777" w:rsidR="00DA2EDE" w:rsidRPr="00FF756A" w:rsidDel="0039347B" w:rsidRDefault="00DA2EDE">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70"/>
        </w:tabs>
        <w:spacing w:after="0" w:line="240" w:lineRule="auto"/>
        <w:ind w:left="270" w:right="4" w:firstLine="0"/>
      </w:pPr>
      <w:r w:rsidRPr="00FF756A">
        <w:t xml:space="preserve">Siguria e furnizimit dhe infrastruktura (e energjisë) </w:t>
      </w:r>
    </w:p>
    <w:p w14:paraId="6EF31D7D" w14:textId="77777777" w:rsidR="00DA2EDE" w:rsidRPr="00FF756A" w:rsidDel="0039347B" w:rsidRDefault="00DA2EDE">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70"/>
        </w:tabs>
        <w:spacing w:after="0" w:line="240" w:lineRule="auto"/>
        <w:ind w:left="270" w:right="4" w:firstLine="0"/>
      </w:pPr>
      <w:r w:rsidRPr="00FF756A">
        <w:t xml:space="preserve">Rregullimi i tregut të energjisë </w:t>
      </w:r>
    </w:p>
    <w:p w14:paraId="7FBF2464" w14:textId="77777777" w:rsidR="00DA2EDE" w:rsidRPr="00FF756A" w:rsidDel="0039347B" w:rsidRDefault="00DA2EDE">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70"/>
        </w:tabs>
        <w:spacing w:after="0" w:line="240" w:lineRule="auto"/>
        <w:ind w:left="270" w:right="4" w:firstLine="0"/>
      </w:pPr>
      <w:r w:rsidRPr="00FF756A">
        <w:t xml:space="preserve">Efiçenca e energjisë </w:t>
      </w:r>
    </w:p>
    <w:p w14:paraId="62E40464" w14:textId="49EAA89E" w:rsidR="00DA2EDE" w:rsidRPr="00FF756A" w:rsidDel="0039347B" w:rsidRDefault="00DA2EDE">
      <w:pPr>
        <w:numPr>
          <w:ilvl w:val="0"/>
          <w:numId w:val="4"/>
        </w:numPr>
        <w:pBdr>
          <w:top w:val="none" w:sz="0" w:space="0" w:color="auto"/>
          <w:left w:val="none" w:sz="0" w:space="0" w:color="auto"/>
          <w:bottom w:val="none" w:sz="0" w:space="0" w:color="auto"/>
          <w:right w:val="none" w:sz="0" w:space="0" w:color="auto"/>
          <w:between w:val="none" w:sz="0" w:space="0" w:color="auto"/>
        </w:pBdr>
        <w:tabs>
          <w:tab w:val="left" w:pos="270"/>
        </w:tabs>
        <w:spacing w:after="0" w:line="240" w:lineRule="auto"/>
        <w:ind w:left="270" w:firstLine="0"/>
      </w:pPr>
      <w:r w:rsidRPr="00FF756A">
        <w:t xml:space="preserve">Hidrokarburet </w:t>
      </w:r>
    </w:p>
    <w:p w14:paraId="6089581A" w14:textId="77777777" w:rsidR="00DA2EDE" w:rsidRPr="00FF756A" w:rsidRDefault="00DA2EDE">
      <w:pPr>
        <w:numPr>
          <w:ilvl w:val="0"/>
          <w:numId w:val="3"/>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70"/>
        </w:tabs>
        <w:spacing w:after="0" w:line="240" w:lineRule="auto"/>
        <w:ind w:left="270" w:right="4" w:firstLine="0"/>
      </w:pPr>
      <w:r w:rsidRPr="00FF756A">
        <w:t>Energjia e rinovueshme</w:t>
      </w:r>
    </w:p>
    <w:p w14:paraId="3483C39E" w14:textId="77777777" w:rsidR="00EB2F09" w:rsidRPr="00FF756A" w:rsidRDefault="00EB2F09" w:rsidP="00EB2F09">
      <w:pPr>
        <w:pBdr>
          <w:top w:val="none" w:sz="0" w:space="0" w:color="auto"/>
          <w:left w:val="none" w:sz="0" w:space="0" w:color="auto"/>
          <w:bottom w:val="none" w:sz="0" w:space="0" w:color="auto"/>
          <w:right w:val="none" w:sz="0" w:space="0" w:color="auto"/>
          <w:between w:val="none" w:sz="0" w:space="0" w:color="auto"/>
        </w:pBdr>
        <w:shd w:val="clear" w:color="auto" w:fill="FFFFFF"/>
        <w:tabs>
          <w:tab w:val="left" w:pos="270"/>
        </w:tabs>
        <w:spacing w:after="0" w:line="240" w:lineRule="auto"/>
        <w:ind w:left="272" w:right="4"/>
      </w:pPr>
    </w:p>
    <w:p w14:paraId="495F5B15" w14:textId="77777777" w:rsidR="00831795" w:rsidRPr="00FF756A" w:rsidRDefault="00831795" w:rsidP="00032619">
      <w:pPr>
        <w:pBdr>
          <w:top w:val="none" w:sz="0" w:space="0" w:color="auto"/>
          <w:left w:val="none" w:sz="0" w:space="0" w:color="auto"/>
          <w:bottom w:val="none" w:sz="0" w:space="0" w:color="auto"/>
          <w:right w:val="none" w:sz="0" w:space="0" w:color="auto"/>
          <w:between w:val="none" w:sz="0" w:space="0" w:color="auto"/>
        </w:pBdr>
        <w:shd w:val="clear" w:color="auto" w:fill="FFFFFF"/>
        <w:tabs>
          <w:tab w:val="left" w:pos="270"/>
        </w:tabs>
        <w:spacing w:after="0" w:line="240" w:lineRule="auto"/>
        <w:ind w:right="4"/>
      </w:pPr>
      <w:r w:rsidRPr="00FF756A">
        <w:t>Ky dokument përcakton objektivat dhe synimet për rritjen e sigurisë së furnizimit me energji përmes:</w:t>
      </w:r>
    </w:p>
    <w:p w14:paraId="6A361582" w14:textId="453C33EA" w:rsidR="00831795" w:rsidRPr="00FF756A" w:rsidRDefault="00831795">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70"/>
        </w:tabs>
        <w:spacing w:after="0" w:line="240" w:lineRule="auto"/>
        <w:ind w:left="270" w:right="4" w:firstLine="0"/>
        <w:rPr>
          <w:rFonts w:eastAsia="Arial"/>
        </w:rPr>
      </w:pPr>
      <w:r w:rsidRPr="00FF756A">
        <w:t>Diversifikimit të prodhimit të energjisë duke krijuar një treg lokal mbështetës të energjisë;</w:t>
      </w:r>
    </w:p>
    <w:p w14:paraId="37E4171C" w14:textId="4C0E1012" w:rsidR="00831795" w:rsidRPr="00FF756A" w:rsidRDefault="00831795">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70"/>
        </w:tabs>
        <w:spacing w:after="0" w:line="240" w:lineRule="auto"/>
        <w:ind w:left="270" w:right="4" w:firstLine="0"/>
        <w:rPr>
          <w:rFonts w:eastAsia="Arial"/>
        </w:rPr>
      </w:pPr>
      <w:r w:rsidRPr="00FF756A">
        <w:t>Rritjes së efiçencës së energjisë (EE-së), përmes reduktimit të konsumit;</w:t>
      </w:r>
    </w:p>
    <w:p w14:paraId="445762D1" w14:textId="445C6431" w:rsidR="00831795" w:rsidRPr="00FF756A" w:rsidRDefault="00831795">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70"/>
        </w:tabs>
        <w:spacing w:after="0" w:line="240" w:lineRule="auto"/>
        <w:ind w:left="270" w:right="4" w:firstLine="0"/>
        <w:rPr>
          <w:rFonts w:eastAsia="Arial"/>
        </w:rPr>
      </w:pPr>
      <w:r w:rsidRPr="00FF756A">
        <w:t xml:space="preserve">Rritjes së përqindjes së energjisë nga burimet e rinovueshme në totalin e konsumit </w:t>
      </w:r>
      <w:r w:rsidR="008301BF" w:rsidRPr="00FF756A">
        <w:t>final</w:t>
      </w:r>
      <w:r w:rsidRPr="00FF756A">
        <w:t>;</w:t>
      </w:r>
    </w:p>
    <w:p w14:paraId="6776B700" w14:textId="4CB455F0" w:rsidR="00831795" w:rsidRPr="00FF756A" w:rsidRDefault="00831795">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70"/>
        </w:tabs>
        <w:spacing w:after="0" w:line="240" w:lineRule="auto"/>
        <w:ind w:left="270" w:right="4" w:firstLine="0"/>
        <w:rPr>
          <w:rFonts w:eastAsia="Arial"/>
        </w:rPr>
      </w:pPr>
      <w:r w:rsidRPr="00FF756A">
        <w:t>Reduktimit të nivelit të humbjeve teknike dhe jo-teknike të energjisë në rrjet;</w:t>
      </w:r>
    </w:p>
    <w:p w14:paraId="50577B5A" w14:textId="7E091C52" w:rsidR="00831795" w:rsidRPr="00FF756A" w:rsidRDefault="00831795">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70"/>
        </w:tabs>
        <w:spacing w:after="0" w:line="240" w:lineRule="auto"/>
        <w:ind w:left="270" w:right="4" w:firstLine="0"/>
        <w:rPr>
          <w:rFonts w:eastAsia="Arial"/>
        </w:rPr>
      </w:pPr>
      <w:r w:rsidRPr="00FF756A">
        <w:t>Reduktimit të niveleve të sasisë së energjisë së importuar;</w:t>
      </w:r>
    </w:p>
    <w:p w14:paraId="47240B4E" w14:textId="736F1E6B" w:rsidR="00831795" w:rsidRPr="00FF756A" w:rsidRDefault="00831795">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70"/>
        </w:tabs>
        <w:spacing w:after="0" w:line="240" w:lineRule="auto"/>
        <w:ind w:left="270" w:right="4" w:firstLine="0"/>
        <w:rPr>
          <w:rFonts w:eastAsia="Arial"/>
        </w:rPr>
      </w:pPr>
      <w:r w:rsidRPr="00FF756A">
        <w:t>Përmirësimit të intensitetit të energjisë;</w:t>
      </w:r>
    </w:p>
    <w:p w14:paraId="4CD2807C" w14:textId="6C3652D2" w:rsidR="00831795" w:rsidRPr="00FF756A" w:rsidRDefault="00831795">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70"/>
        </w:tabs>
        <w:spacing w:after="0" w:line="240" w:lineRule="auto"/>
        <w:ind w:left="270" w:right="4" w:firstLine="0"/>
        <w:rPr>
          <w:rFonts w:eastAsia="Arial"/>
        </w:rPr>
      </w:pPr>
      <w:r w:rsidRPr="00FF756A">
        <w:t>Reduktimit të shkarkimit të gazeve me efekt serrë (GES-ve).</w:t>
      </w:r>
    </w:p>
    <w:p w14:paraId="08A04CCC" w14:textId="77777777" w:rsidR="00EB2F09" w:rsidRPr="00FF756A" w:rsidDel="0039347B" w:rsidRDefault="00EB2F09" w:rsidP="00EB2F09">
      <w:pPr>
        <w:pBdr>
          <w:top w:val="none" w:sz="0" w:space="0" w:color="auto"/>
          <w:left w:val="none" w:sz="0" w:space="0" w:color="auto"/>
          <w:bottom w:val="none" w:sz="0" w:space="0" w:color="auto"/>
          <w:right w:val="none" w:sz="0" w:space="0" w:color="auto"/>
          <w:between w:val="none" w:sz="0" w:space="0" w:color="auto"/>
        </w:pBdr>
        <w:shd w:val="clear" w:color="auto" w:fill="FFFFFF"/>
        <w:tabs>
          <w:tab w:val="left" w:pos="270"/>
        </w:tabs>
        <w:spacing w:after="0" w:line="240" w:lineRule="auto"/>
        <w:ind w:left="272" w:right="4"/>
      </w:pPr>
    </w:p>
    <w:p w14:paraId="35ACD146" w14:textId="0959DDA9" w:rsidR="003C4876" w:rsidRPr="00FF756A" w:rsidRDefault="003C4876" w:rsidP="003C4876">
      <w:r w:rsidRPr="00FF756A">
        <w:t xml:space="preserve">Në përputhje me Strategjinë Kombëtare të Energjisë, dhe duke iu referuar rekomandimeve të BE-së, Plani Kombëtar për Energjinë dhe Klimën (PKEK) 2020 – 2030 është në fuqi që nga fundi i vitit 2021, me parashikime më ambicioze. PKEK-ja, e cila plotëson Strategjinë aktuale të Energjisë dhe synon të </w:t>
      </w:r>
      <w:r w:rsidRPr="00FF756A">
        <w:lastRenderedPageBreak/>
        <w:t>krijojë një kuadër politik të integruar për udhëheqjen e përpjekjeve të dekarbonizimit deri në vitin 2030 e më tej, po përafron kuadrin politik të Shqipërisë me objektivat e Paktit të Gjelbër Evropian.</w:t>
      </w:r>
    </w:p>
    <w:p w14:paraId="11A47D62" w14:textId="38BB4258" w:rsidR="00787F4D" w:rsidRPr="00FF756A" w:rsidRDefault="00787F4D" w:rsidP="003C4876"/>
    <w:p w14:paraId="7E3CA7D5" w14:textId="6E2B613D" w:rsidR="00BF5862" w:rsidRPr="00FF756A" w:rsidRDefault="00BF5862" w:rsidP="00894523">
      <w:pPr>
        <w:shd w:val="clear" w:color="auto" w:fill="FFFFFF"/>
        <w:tabs>
          <w:tab w:val="left" w:pos="270"/>
        </w:tabs>
        <w:ind w:right="6"/>
        <w:rPr>
          <w:b/>
          <w:bCs/>
        </w:rPr>
      </w:pPr>
      <w:r w:rsidRPr="00FF756A">
        <w:rPr>
          <w:b/>
          <w:bCs/>
        </w:rPr>
        <w:t>Në vijim janë përshkruar shkurtimisht s</w:t>
      </w:r>
      <w:r w:rsidR="00894523" w:rsidRPr="00FF756A">
        <w:rPr>
          <w:b/>
          <w:bCs/>
        </w:rPr>
        <w:t>ektori i energjisë nga pikëpamja e kërkesës dhe ofertës, si dhe sfidat kryesore me të cilat përballet</w:t>
      </w:r>
    </w:p>
    <w:p w14:paraId="34168223" w14:textId="77777777" w:rsidR="00032619" w:rsidRPr="00FF756A" w:rsidRDefault="00032619" w:rsidP="00894523">
      <w:pPr>
        <w:shd w:val="clear" w:color="auto" w:fill="FFFFFF"/>
        <w:tabs>
          <w:tab w:val="left" w:pos="270"/>
        </w:tabs>
        <w:ind w:right="6"/>
        <w:rPr>
          <w:rFonts w:eastAsia="Arial"/>
        </w:rPr>
      </w:pPr>
    </w:p>
    <w:p w14:paraId="02ECF859" w14:textId="3868A594" w:rsidR="00787F4D" w:rsidRPr="00FF756A" w:rsidRDefault="00CD6FB3" w:rsidP="003C4876">
      <w:r w:rsidRPr="00FF756A">
        <w:t>Aktualisht, energjia elektrike në Shqipëri prodhohet 100% nga burime të rinovueshme (99% nga hidrocentralet dhe 1% nga impiantet fotovoltaike), ku pjesa kryesore e prodhimit vendas gjenerohet nga hidrocentralet në pronësi shtetërore, pasuar nga ato të ndërtuara mbi bazën e marrëveshjeve koncesionare apo kontratave për përdorimin dhe administrimin e impianteve të prodhimit të energjisë elektrike.</w:t>
      </w:r>
    </w:p>
    <w:p w14:paraId="61E3D8C0" w14:textId="48F280E1" w:rsidR="00511D9C" w:rsidRPr="00FF756A" w:rsidRDefault="004B5C9F" w:rsidP="00511D9C">
      <w:pPr>
        <w:spacing w:after="0"/>
        <w:jc w:val="lowKashida"/>
      </w:pPr>
      <w:r w:rsidRPr="00FF756A">
        <w:t xml:space="preserve">Prodhimi i përgjithshëm neto i </w:t>
      </w:r>
      <w:r w:rsidR="00511D9C" w:rsidRPr="00FF756A">
        <w:t>energjisë elektrike për vitin 2023 është 8</w:t>
      </w:r>
      <w:r w:rsidR="00D86C13" w:rsidRPr="00FF756A">
        <w:t>,</w:t>
      </w:r>
      <w:r w:rsidR="00511D9C" w:rsidRPr="00FF756A">
        <w:t>795</w:t>
      </w:r>
      <w:r w:rsidR="00D86C13" w:rsidRPr="00FF756A">
        <w:t xml:space="preserve">, </w:t>
      </w:r>
      <w:r w:rsidR="00511D9C" w:rsidRPr="00FF756A">
        <w:t>637 MWh, nga të cilat 5</w:t>
      </w:r>
      <w:r w:rsidR="00D86C13" w:rsidRPr="00FF756A">
        <w:t>,</w:t>
      </w:r>
      <w:r w:rsidR="00511D9C" w:rsidRPr="00FF756A">
        <w:t>131</w:t>
      </w:r>
      <w:r w:rsidR="00D86C13" w:rsidRPr="00FF756A">
        <w:t>,</w:t>
      </w:r>
      <w:r w:rsidR="00511D9C" w:rsidRPr="00FF756A">
        <w:t xml:space="preserve">482 MWh </w:t>
      </w:r>
      <w:r w:rsidR="00E315F3" w:rsidRPr="00FF756A">
        <w:t xml:space="preserve">janë prodhuar nga centralet elektrike të kompanisë </w:t>
      </w:r>
      <w:r w:rsidR="00511D9C" w:rsidRPr="00FF756A">
        <w:t xml:space="preserve">publike KESH sh.a, </w:t>
      </w:r>
      <w:r w:rsidR="00E315F3" w:rsidRPr="00FF756A">
        <w:t>ndërsa</w:t>
      </w:r>
      <w:r w:rsidR="00511D9C" w:rsidRPr="00FF756A">
        <w:t xml:space="preserve"> </w:t>
      </w:r>
      <w:r w:rsidR="00E315F3" w:rsidRPr="00FF756A">
        <w:t>3,</w:t>
      </w:r>
      <w:r w:rsidR="00511D9C" w:rsidRPr="00FF756A">
        <w:t>664</w:t>
      </w:r>
      <w:r w:rsidR="00E315F3" w:rsidRPr="00FF756A">
        <w:t>,</w:t>
      </w:r>
      <w:r w:rsidR="00511D9C" w:rsidRPr="00FF756A">
        <w:t xml:space="preserve"> </w:t>
      </w:r>
      <w:r w:rsidR="00E315F3" w:rsidRPr="00FF756A">
        <w:t>,</w:t>
      </w:r>
      <w:r w:rsidR="00511D9C" w:rsidRPr="00FF756A">
        <w:t xml:space="preserve">155 ΜWh </w:t>
      </w:r>
      <w:r w:rsidR="003128B1" w:rsidRPr="00FF756A">
        <w:t xml:space="preserve">janë prodhuar nga </w:t>
      </w:r>
      <w:r w:rsidR="00511D9C" w:rsidRPr="00FF756A">
        <w:t xml:space="preserve">centrale të tjera. Prodhimi i energjisë elektrike për vitin 2023 nga shoqëria KESH përfaqëson 58,3% të prodhimit total të energjisë elektrike, ndërsa prodhimi i energjisë elektrike nga prodhuesit e tjerë përfaqëson 41,7 %. </w:t>
      </w:r>
    </w:p>
    <w:p w14:paraId="2CBC30A0" w14:textId="1A47182C" w:rsidR="00812D12" w:rsidRPr="00FF756A" w:rsidRDefault="00032619" w:rsidP="00812D12">
      <w:pPr>
        <w:spacing w:after="0"/>
        <w:jc w:val="lowKashida"/>
      </w:pPr>
      <w:r w:rsidRPr="00FF756A">
        <w:t>Sistemi i energjisë elektrike</w:t>
      </w:r>
      <w:r w:rsidR="00C94A90" w:rsidRPr="00FF756A">
        <w:t xml:space="preserve"> në Shqipëri</w:t>
      </w:r>
      <w:r w:rsidRPr="00FF756A">
        <w:t xml:space="preserve"> e bazon prodhimin e energjisë elektrike te burimet ujore, ku gjatë periudhave të reshjeve arrin të eksportojë energji elektrike dhe gjatë periudhave të thata të vitit importon energji elektrike për të mbuluar kërkesën në vend.</w:t>
      </w:r>
    </w:p>
    <w:p w14:paraId="5C37FE15" w14:textId="4BCEEADD" w:rsidR="00812D12" w:rsidRPr="00FF756A" w:rsidRDefault="00812D12" w:rsidP="00812D12">
      <w:pPr>
        <w:spacing w:after="0"/>
        <w:jc w:val="lowKashida"/>
      </w:pPr>
      <w:r w:rsidRPr="00FF756A">
        <w:t xml:space="preserve">Viti 2023 konsiderohet një vit i mirë hidrologjik nga pikëpamja e prodhimit të energjisë elektrike, i cili për këtë vit </w:t>
      </w:r>
      <w:r w:rsidR="00741695" w:rsidRPr="00FF756A">
        <w:t xml:space="preserve">rezultoi me një ssi prej </w:t>
      </w:r>
      <w:r w:rsidRPr="00FF756A">
        <w:t>2</w:t>
      </w:r>
      <w:r w:rsidR="00741695" w:rsidRPr="00FF756A">
        <w:t>,</w:t>
      </w:r>
      <w:r w:rsidRPr="00FF756A">
        <w:t xml:space="preserve">026 GWh më shumë se prodhimi mesatar i energjisë elektrike </w:t>
      </w:r>
      <w:r w:rsidR="00741695" w:rsidRPr="00FF756A">
        <w:t>n</w:t>
      </w:r>
      <w:r w:rsidRPr="00FF756A">
        <w:t>ë</w:t>
      </w:r>
      <w:r w:rsidR="00741695" w:rsidRPr="00FF756A">
        <w:t xml:space="preserve"> periudhën</w:t>
      </w:r>
      <w:r w:rsidRPr="00FF756A">
        <w:t xml:space="preserve"> 2009 – 2023.</w:t>
      </w:r>
    </w:p>
    <w:p w14:paraId="5B4C300C" w14:textId="73CCEB25" w:rsidR="00812D12" w:rsidRPr="00FF756A" w:rsidRDefault="00812D12" w:rsidP="006112AE">
      <w:pPr>
        <w:jc w:val="lowKashida"/>
      </w:pPr>
      <w:r w:rsidRPr="00FF756A">
        <w:t xml:space="preserve">Në total, kapaciteti i instaluar i </w:t>
      </w:r>
      <w:r w:rsidR="0088032C" w:rsidRPr="00FF756A">
        <w:t>centraleve</w:t>
      </w:r>
      <w:r w:rsidRPr="00FF756A">
        <w:t xml:space="preserve"> të pavarura dhe </w:t>
      </w:r>
      <w:r w:rsidR="0088032C" w:rsidRPr="00FF756A">
        <w:t>ato me përparësi</w:t>
      </w:r>
      <w:r w:rsidRPr="00FF756A">
        <w:t xml:space="preserve"> është 1</w:t>
      </w:r>
      <w:r w:rsidR="00741695" w:rsidRPr="00FF756A">
        <w:t>,</w:t>
      </w:r>
      <w:r w:rsidRPr="00FF756A">
        <w:t>255 MW, ku kapaciteti i instaluar i</w:t>
      </w:r>
      <w:r w:rsidR="0088032C" w:rsidRPr="00FF756A">
        <w:t xml:space="preserve"> prodhuesve </w:t>
      </w:r>
      <w:r w:rsidRPr="00FF756A">
        <w:t xml:space="preserve">të pavarur është 452 MW, ndërsa 770 MW u përkasin </w:t>
      </w:r>
      <w:r w:rsidR="0088032C" w:rsidRPr="00FF756A">
        <w:t>centraleve</w:t>
      </w:r>
      <w:r w:rsidRPr="00FF756A">
        <w:t xml:space="preserve"> të prodhimit me përparësi.</w:t>
      </w:r>
    </w:p>
    <w:p w14:paraId="045433DC" w14:textId="77777777" w:rsidR="006112AE" w:rsidRPr="00FF756A" w:rsidRDefault="00812D12" w:rsidP="006112AE">
      <w:pPr>
        <w:keepNext/>
        <w:jc w:val="center"/>
      </w:pPr>
      <w:r w:rsidRPr="00FF756A">
        <w:rPr>
          <w:noProof/>
          <w:lang w:val="en-US"/>
        </w:rPr>
        <w:drawing>
          <wp:inline distT="0" distB="0" distL="0" distR="0" wp14:anchorId="08F3D88D" wp14:editId="23AF497E">
            <wp:extent cx="5715000" cy="2626241"/>
            <wp:effectExtent l="0" t="0" r="0" b="3175"/>
            <wp:docPr id="1120896738" name="Chart 1">
              <a:extLst xmlns:a="http://schemas.openxmlformats.org/drawingml/2006/main">
                <a:ext uri="{FF2B5EF4-FFF2-40B4-BE49-F238E27FC236}">
                  <a16:creationId xmlns:a16="http://schemas.microsoft.com/office/drawing/2014/main" id="{B43B7817-93D5-FEEA-58DE-7375BDE7AF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8D9696A" w14:textId="4D50736C" w:rsidR="00622626" w:rsidRPr="00FF756A" w:rsidRDefault="006112AE" w:rsidP="006112AE">
      <w:pPr>
        <w:pStyle w:val="Caption"/>
        <w:jc w:val="center"/>
        <w:rPr>
          <w:rFonts w:ascii="Times New Roman" w:hAnsi="Times New Roman"/>
        </w:rPr>
      </w:pPr>
      <w:bookmarkStart w:id="15" w:name="_Toc183016531"/>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1</w:t>
      </w:r>
      <w:r w:rsidR="008E7DE9" w:rsidRPr="00FF756A">
        <w:rPr>
          <w:rFonts w:ascii="Times New Roman" w:hAnsi="Times New Roman"/>
          <w:noProof/>
        </w:rPr>
        <w:fldChar w:fldCharType="end"/>
      </w:r>
      <w:r w:rsidRPr="00FF756A">
        <w:rPr>
          <w:rFonts w:ascii="Times New Roman" w:hAnsi="Times New Roman"/>
        </w:rPr>
        <w:t>: Prodhimi i energjisë elektrike (Burimi: Raportet vjetore të ERE: Raporte Vjetore (ere.gov.al)</w:t>
      </w:r>
      <w:bookmarkEnd w:id="15"/>
    </w:p>
    <w:p w14:paraId="0647CC4B" w14:textId="3CBA10BF" w:rsidR="008520D6" w:rsidRPr="00FF756A" w:rsidRDefault="008520D6" w:rsidP="008520D6"/>
    <w:p w14:paraId="47F8C414" w14:textId="77777777" w:rsidR="006112AE" w:rsidRPr="00FF756A" w:rsidRDefault="006112AE" w:rsidP="008520D6"/>
    <w:p w14:paraId="2AD37507" w14:textId="77777777" w:rsidR="006112AE" w:rsidRPr="00FF756A" w:rsidRDefault="009E49EA" w:rsidP="006112AE">
      <w:pPr>
        <w:keepNext/>
        <w:shd w:val="clear" w:color="auto" w:fill="FFFFFF"/>
        <w:ind w:right="6"/>
        <w:jc w:val="center"/>
      </w:pPr>
      <w:r w:rsidRPr="00FF756A">
        <w:rPr>
          <w:noProof/>
          <w:lang w:val="en-US"/>
        </w:rPr>
        <w:lastRenderedPageBreak/>
        <w:drawing>
          <wp:inline distT="0" distB="0" distL="0" distR="0" wp14:anchorId="40AFD064" wp14:editId="08A2ECB0">
            <wp:extent cx="5920740" cy="2473325"/>
            <wp:effectExtent l="0" t="0" r="3810" b="3175"/>
            <wp:docPr id="842987619" name="Chart 1">
              <a:extLst xmlns:a="http://schemas.openxmlformats.org/drawingml/2006/main">
                <a:ext uri="{FF2B5EF4-FFF2-40B4-BE49-F238E27FC236}">
                  <a16:creationId xmlns:a16="http://schemas.microsoft.com/office/drawing/2014/main" id="{08C07EBD-4098-CDC4-AFC5-FE1B11559F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D734F77" w14:textId="72B6D8E0" w:rsidR="009E49EA" w:rsidRPr="00FF756A" w:rsidRDefault="006112AE" w:rsidP="006112AE">
      <w:pPr>
        <w:pStyle w:val="Caption"/>
        <w:jc w:val="center"/>
        <w:rPr>
          <w:rFonts w:ascii="Times New Roman" w:hAnsi="Times New Roman"/>
          <w:b w:val="0"/>
          <w:bCs w:val="0"/>
        </w:rPr>
      </w:pPr>
      <w:bookmarkStart w:id="16" w:name="_Toc183016532"/>
      <w:r w:rsidRPr="00FF756A">
        <w:rPr>
          <w:rFonts w:ascii="Times New Roman" w:hAnsi="Times New Roman"/>
        </w:rPr>
        <w:t xml:space="preserve">Figura </w:t>
      </w:r>
      <w:r w:rsidR="00080D6B" w:rsidRPr="00FF756A">
        <w:rPr>
          <w:rFonts w:ascii="Times New Roman" w:hAnsi="Times New Roman"/>
        </w:rPr>
        <w:fldChar w:fldCharType="begin"/>
      </w:r>
      <w:r w:rsidR="00080D6B" w:rsidRPr="00FF756A">
        <w:rPr>
          <w:rFonts w:ascii="Times New Roman" w:hAnsi="Times New Roman"/>
        </w:rPr>
        <w:instrText xml:space="preserve"> SEQ Figura \* ARABIC </w:instrText>
      </w:r>
      <w:r w:rsidR="00080D6B" w:rsidRPr="00FF756A">
        <w:rPr>
          <w:rFonts w:ascii="Times New Roman" w:hAnsi="Times New Roman"/>
        </w:rPr>
        <w:fldChar w:fldCharType="separate"/>
      </w:r>
      <w:r w:rsidR="00080D6B" w:rsidRPr="00FF756A">
        <w:rPr>
          <w:rFonts w:ascii="Times New Roman" w:hAnsi="Times New Roman"/>
          <w:noProof/>
        </w:rPr>
        <w:t>2</w:t>
      </w:r>
      <w:r w:rsidR="00080D6B" w:rsidRPr="00FF756A">
        <w:rPr>
          <w:rFonts w:ascii="Times New Roman" w:hAnsi="Times New Roman"/>
          <w:noProof/>
        </w:rPr>
        <w:fldChar w:fldCharType="end"/>
      </w:r>
      <w:r w:rsidRPr="00FF756A">
        <w:rPr>
          <w:rFonts w:ascii="Times New Roman" w:hAnsi="Times New Roman"/>
        </w:rPr>
        <w:t xml:space="preserve">: Prodhimi i energjisë elektrike sipas burimeve (GWh) (Burimi: Raportet vjetore të ERE: </w:t>
      </w:r>
      <w:r w:rsidR="005F293D" w:rsidRPr="00FF756A">
        <w:rPr>
          <w:rFonts w:ascii="Times New Roman" w:hAnsi="Times New Roman"/>
        </w:rPr>
        <w:t>ht</w:t>
      </w:r>
      <w:r w:rsidR="00616347" w:rsidRPr="00FF756A">
        <w:rPr>
          <w:rFonts w:ascii="Times New Roman" w:hAnsi="Times New Roman"/>
        </w:rPr>
        <w:t>tps://www.ere.gov.al/en/publications/annual-reports/annual-report-2023</w:t>
      </w:r>
      <w:bookmarkEnd w:id="16"/>
    </w:p>
    <w:p w14:paraId="3BBC44FF" w14:textId="563CC659" w:rsidR="009E49EA" w:rsidRPr="00FF756A" w:rsidRDefault="009E49EA" w:rsidP="00853113">
      <w:pPr>
        <w:pStyle w:val="Caption"/>
        <w:jc w:val="center"/>
        <w:rPr>
          <w:rFonts w:ascii="Times New Roman" w:hAnsi="Times New Roman"/>
          <w:b w:val="0"/>
          <w:bCs w:val="0"/>
        </w:rPr>
      </w:pPr>
    </w:p>
    <w:p w14:paraId="0D92CF52" w14:textId="7823DCCB" w:rsidR="008520D6" w:rsidRPr="00FF756A" w:rsidRDefault="008520D6" w:rsidP="0095685A">
      <w:r w:rsidRPr="00FF756A">
        <w:t xml:space="preserve">Varësia e Shqipërisë pothuajse ekskluzivisht nga burimet hidrike për prodhimin e energjisë elektrike e bën atë gjithnjë e më të cenueshme nga kushtet hidrologjike të pafavorshme gjatë verës, veçanërisht duke marrë parasysh efektet e parashikuara të ndryshimeve klimatike në rajonin e Ballkanit Perëndimor. Përveç faktit që prodhimi nuk është konstant, energjia elektrike nga hidrocentralet në vend nuk është e mjaftueshme për të përmbushur nevojat, ndaj varësia nga importet e energjisë përbën 20-30% të kërkesës për energji. </w:t>
      </w:r>
      <w:r w:rsidR="00C11CC3" w:rsidRPr="00FF756A">
        <w:t>G</w:t>
      </w:r>
      <w:r w:rsidRPr="00FF756A">
        <w:t>arantimi i sigurisë së furnizimit me energji elektrike mbetet një sfidë dhe kërkon një përdorim më të mirë të të gjitha burimeve të mundshme të energjisë në dispozicion.</w:t>
      </w:r>
    </w:p>
    <w:p w14:paraId="4954AF37" w14:textId="12DA41FF" w:rsidR="00853113" w:rsidRPr="00FF756A" w:rsidRDefault="008520D6" w:rsidP="0095685A">
      <w:pPr>
        <w:jc w:val="lowKashida"/>
        <w:rPr>
          <w:color w:val="000000"/>
        </w:rPr>
      </w:pPr>
      <w:bookmarkStart w:id="17" w:name="_Hlk178590170"/>
      <w:r w:rsidRPr="00FF756A">
        <w:rPr>
          <w:color w:val="000000"/>
        </w:rPr>
        <w:t xml:space="preserve">Shqipëria po zbaton masa për të rritur investimet në projektet e energjisë së rinovueshme nga burime johidrike. Si pasojë e rënies së kostove të teknologjisë dhe potencialit të konsiderueshëm të vendit për energji të ripërtërishme, burimet eolike dhe ato diellore fotovoltaike mund të shfrytëzohen me kosto efektive për të zbutur ndikimin mbi çmimin e energjisë elektrike për konsumatorin fundor. Në fund të vitit 2022, kishte 48 MW impiante fotovoltaike diellore të instaluar. </w:t>
      </w:r>
    </w:p>
    <w:p w14:paraId="18393ADC" w14:textId="77777777" w:rsidR="006112AE" w:rsidRPr="00FF756A" w:rsidRDefault="006112AE" w:rsidP="0095685A">
      <w:pPr>
        <w:jc w:val="lowKashida"/>
        <w:rPr>
          <w:color w:val="000000"/>
        </w:rPr>
      </w:pPr>
    </w:p>
    <w:p w14:paraId="61E9FEBF" w14:textId="7CED8F71" w:rsidR="003F445C" w:rsidRPr="00FF756A" w:rsidRDefault="008520D6" w:rsidP="0095685A">
      <w:pPr>
        <w:jc w:val="lowKashida"/>
        <w:rPr>
          <w:color w:val="000000"/>
        </w:rPr>
      </w:pPr>
      <w:r w:rsidRPr="00FF756A">
        <w:rPr>
          <w:color w:val="000000"/>
        </w:rPr>
        <w:t xml:space="preserve">Gjatë vitit 2023, 12 </w:t>
      </w:r>
      <w:r w:rsidR="00E70200" w:rsidRPr="00FF756A">
        <w:rPr>
          <w:color w:val="000000"/>
        </w:rPr>
        <w:t>centrale</w:t>
      </w:r>
      <w:r w:rsidRPr="00FF756A">
        <w:rPr>
          <w:color w:val="000000"/>
        </w:rPr>
        <w:t xml:space="preserve"> me kapacitet të instaluar prej 26 MW kanë hyrë në fazën e prodhimit, ku 7 MW janë shtuar nga hidrocentralet dhe 18 MW nga impiantet fotovoltaike. Prodhimi i energjisë elektrike i realizuar nga impiantet që kanë hyrë në prodhim gjatë vitit 2023 zë rreth 0,4% të prodhimit të përgjithshëm vendas të energjisë elektrike për këtë vit.</w:t>
      </w:r>
      <w:bookmarkEnd w:id="17"/>
    </w:p>
    <w:p w14:paraId="2D4FA3D2" w14:textId="77777777" w:rsidR="000140EC" w:rsidRPr="00FF756A" w:rsidRDefault="000140EC" w:rsidP="0095685A">
      <w:pPr>
        <w:jc w:val="lowKashida"/>
        <w:rPr>
          <w:color w:val="000000"/>
        </w:rPr>
      </w:pPr>
    </w:p>
    <w:p w14:paraId="34127B47" w14:textId="6A8049C7" w:rsidR="008520D6" w:rsidRPr="00FF756A" w:rsidRDefault="008520D6" w:rsidP="008520D6">
      <w:r w:rsidRPr="00FF756A">
        <w:t xml:space="preserve">Me pak fjalë, varësia nga importet dhe humbjet e mëdha në shpërndarje në rrjetin elektrik janë sfida që duhen trajtuar. </w:t>
      </w:r>
      <w:r w:rsidRPr="00FF756A">
        <w:rPr>
          <w:b/>
          <w:bCs/>
        </w:rPr>
        <w:t xml:space="preserve">Varësia nga importet e energjisë </w:t>
      </w:r>
      <w:r w:rsidRPr="00FF756A">
        <w:t xml:space="preserve">përbën 20-30% të kërkesës për energji dhe garantimi i sigurisë së furnizimit me energji </w:t>
      </w:r>
      <w:r w:rsidR="006B4D80" w:rsidRPr="00FF756A">
        <w:t>ngelet</w:t>
      </w:r>
      <w:r w:rsidRPr="00FF756A">
        <w:t xml:space="preserve"> një sfidë. </w:t>
      </w:r>
      <w:r w:rsidRPr="00FF756A">
        <w:rPr>
          <w:b/>
          <w:bCs/>
        </w:rPr>
        <w:t xml:space="preserve">Numri i prodhuesve të pavarur </w:t>
      </w:r>
      <w:r w:rsidRPr="00FF756A">
        <w:t>të energjisë elektrike po rritet nga viti në vit dhe përbën një hap të rëndësishëm për diversifikimin dhe sigurinë e energjisë. Planet për të rritur përdorimin e gazit natyror duhet të zhvillohen në mënyrë të kujdesshme dhe të harmonizohen me plane të tjera, për të garantuar arritjen e pikësynimeve lidhur me reduktimin e GES-ve dhe reduktimin final të energjisë, si dhe arritjen e pikësynimeve për përmirësimin e EE-së (efiçencës së energjisë).</w:t>
      </w:r>
    </w:p>
    <w:p w14:paraId="6A1BC308" w14:textId="77777777" w:rsidR="006112AE" w:rsidRPr="00FF756A" w:rsidRDefault="006112AE" w:rsidP="008520D6"/>
    <w:p w14:paraId="0BEF35CA" w14:textId="77777777" w:rsidR="00B53C7C" w:rsidRPr="00FF756A" w:rsidRDefault="00B53C7C" w:rsidP="00B53C7C">
      <w:pPr>
        <w:spacing w:after="0"/>
        <w:jc w:val="lowKashida"/>
      </w:pPr>
      <w:r w:rsidRPr="00FF756A">
        <w:t>Konsumi total i energjisë elektrike në vend gjatë gjithë vitit 2023 mbulohet nga prodhimi i energjisë elektrike i realizuar nga KESH sh.a., prodhuesit e pavarur të energjisë elektrike, prodhuesit me përparësi të energjisë elektrike, si dhe nga importi i energjisë elektrike.</w:t>
      </w:r>
    </w:p>
    <w:p w14:paraId="00829E68" w14:textId="77777777" w:rsidR="006112AE" w:rsidRPr="00FF756A" w:rsidRDefault="006112AE" w:rsidP="003F445C">
      <w:pPr>
        <w:rPr>
          <w:color w:val="000000"/>
        </w:rPr>
      </w:pPr>
    </w:p>
    <w:p w14:paraId="629058FE" w14:textId="416D0A58" w:rsidR="00573980" w:rsidRPr="00FF756A" w:rsidRDefault="00573980" w:rsidP="00573980">
      <w:pPr>
        <w:spacing w:after="0"/>
        <w:jc w:val="lowKashida"/>
      </w:pPr>
      <w:r w:rsidRPr="00FF756A">
        <w:t>Konsumi total i energjisë elektrike për vitin 2023 rezulton në vlerën 7</w:t>
      </w:r>
      <w:r w:rsidR="006C14EA" w:rsidRPr="00FF756A">
        <w:t>,</w:t>
      </w:r>
      <w:r w:rsidRPr="00FF756A">
        <w:t>875</w:t>
      </w:r>
      <w:r w:rsidR="006C14EA" w:rsidRPr="00FF756A">
        <w:t>,</w:t>
      </w:r>
      <w:r w:rsidRPr="00FF756A">
        <w:t>861 MWh, e cila është pothuajse e njëjtë me vlerën e konsumit të vitit 2022. Konsumi i energjisë elektrike për vitin 2023 krahasuar me konsumin e vitit 2021, që përfaqëson edhe konsumin maksimal, rezulton në një rënie prej 538</w:t>
      </w:r>
      <w:r w:rsidR="006C14EA" w:rsidRPr="00FF756A">
        <w:t>,</w:t>
      </w:r>
      <w:r w:rsidRPr="00FF756A">
        <w:t xml:space="preserve">975 MWh. Reduktimi i konsumit </w:t>
      </w:r>
      <w:r w:rsidR="002956E3" w:rsidRPr="00FF756A">
        <w:t>të përgjithshëm</w:t>
      </w:r>
      <w:r w:rsidRPr="00FF756A">
        <w:t xml:space="preserve"> të energjisë elektrike në vend për vitin 2023, krahasuar me konsumin maksimal për vitin 2021, arrin në rreth 6,4%. Në të njëjtën kohë, konsumi </w:t>
      </w:r>
      <w:r w:rsidR="002956E3" w:rsidRPr="00FF756A">
        <w:t>i përgjithshëm</w:t>
      </w:r>
      <w:r w:rsidRPr="00FF756A">
        <w:t xml:space="preserve"> i energjisë elektrike i realizuar për vitin 2023 është rreth 9,2% më i lartë se konsumi mesatar vjetor për periudhën 2004 - 2023.</w:t>
      </w:r>
    </w:p>
    <w:p w14:paraId="51DE3682" w14:textId="77777777" w:rsidR="006112AE" w:rsidRPr="00FF756A" w:rsidRDefault="006112AE" w:rsidP="00573980">
      <w:pPr>
        <w:spacing w:after="0"/>
        <w:jc w:val="lowKashida"/>
      </w:pPr>
    </w:p>
    <w:p w14:paraId="56B2FE96" w14:textId="77777777" w:rsidR="00573980" w:rsidRPr="00FF756A" w:rsidRDefault="00573980" w:rsidP="00573980">
      <w:pPr>
        <w:spacing w:after="0"/>
        <w:jc w:val="lowKashida"/>
      </w:pPr>
      <w:r w:rsidRPr="00FF756A">
        <w:t>Kjo rënie e konsumit total të energjisë elektrike reflektohet për të gjitha kategoritë e konsumatorëve, por veçanërisht për konsumatorët që furnizohen në tregun e parregulluar, të cilët për vitin 2021 kanë konsumuar rreth 1,361 GWh energji elektrike, për vitin 2022 rreth 929 GWh dhe për vitin 2023 rreth 858 GWh. Kjo rënie e konsumit ka ardhur gjithashtu si pasojë e krizës energjetike, për shkak të së cilës shumë biznese instaluan impiante alternative të prodhimit të energjisë elektrike si vetëprodhues.</w:t>
      </w:r>
    </w:p>
    <w:p w14:paraId="2C3E0D3F" w14:textId="77777777" w:rsidR="003F445C" w:rsidRPr="00FF756A" w:rsidRDefault="003F445C" w:rsidP="003F445C"/>
    <w:p w14:paraId="0F7904B2" w14:textId="77777777" w:rsidR="0062212F" w:rsidRPr="00FF756A" w:rsidRDefault="00CF43BB" w:rsidP="0062212F">
      <w:pPr>
        <w:keepNext/>
        <w:jc w:val="center"/>
      </w:pPr>
      <w:r w:rsidRPr="00FF756A">
        <w:rPr>
          <w:noProof/>
          <w:lang w:val="en-US"/>
        </w:rPr>
        <w:drawing>
          <wp:inline distT="0" distB="0" distL="0" distR="0" wp14:anchorId="27771CB5" wp14:editId="6F96648A">
            <wp:extent cx="5608320" cy="2232660"/>
            <wp:effectExtent l="0" t="0" r="11430" b="15240"/>
            <wp:docPr id="818027955" name="Chart 1">
              <a:extLst xmlns:a="http://schemas.openxmlformats.org/drawingml/2006/main">
                <a:ext uri="{FF2B5EF4-FFF2-40B4-BE49-F238E27FC236}">
                  <a16:creationId xmlns:a16="http://schemas.microsoft.com/office/drawing/2014/main" id="{EE9743A5-A666-29C1-5130-6EA4334664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18EF656" w14:textId="284E966D" w:rsidR="0062659F" w:rsidRPr="00FF756A" w:rsidRDefault="0062212F" w:rsidP="0062212F">
      <w:pPr>
        <w:pStyle w:val="Caption"/>
        <w:jc w:val="center"/>
        <w:rPr>
          <w:rFonts w:ascii="Times New Roman" w:hAnsi="Times New Roman"/>
        </w:rPr>
      </w:pPr>
      <w:bookmarkStart w:id="18" w:name="_Toc183016533"/>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3</w:t>
      </w:r>
      <w:r w:rsidR="008E7DE9" w:rsidRPr="00FF756A">
        <w:rPr>
          <w:rFonts w:ascii="Times New Roman" w:hAnsi="Times New Roman"/>
          <w:noProof/>
        </w:rPr>
        <w:fldChar w:fldCharType="end"/>
      </w:r>
      <w:r w:rsidRPr="00FF756A">
        <w:rPr>
          <w:rFonts w:ascii="Times New Roman" w:hAnsi="Times New Roman"/>
        </w:rPr>
        <w:t>: Përmbledhje e konsumit të energjisë elektrike në vit (Burimi: Raportet vjetore të ERE: Raporte Vjetore (ere.gov.al)</w:t>
      </w:r>
      <w:bookmarkEnd w:id="18"/>
    </w:p>
    <w:p w14:paraId="45118B0E" w14:textId="72FFA4E6" w:rsidR="0062659F" w:rsidRPr="00FF756A" w:rsidRDefault="0062659F" w:rsidP="00CA5741">
      <w:pPr>
        <w:pStyle w:val="Caption"/>
        <w:jc w:val="center"/>
        <w:rPr>
          <w:rFonts w:ascii="Times New Roman" w:hAnsi="Times New Roman"/>
        </w:rPr>
      </w:pPr>
    </w:p>
    <w:p w14:paraId="3C616228" w14:textId="37AA657E" w:rsidR="003F445C" w:rsidRPr="00FF756A" w:rsidRDefault="003F445C" w:rsidP="003F445C">
      <w:r w:rsidRPr="00FF756A">
        <w:t>Në përputhje me pikësynimet e përcaktuara në Planin Kombëtar për Energjinë dhe Klimën (PKEK 2021) për efiçencën e energjisë, përdorimin e burimeve të rinovueshme të energjisë dhe dekarbonizimin deri në vitin 2030, janë arritur rezultatet e mëposhtme:</w:t>
      </w:r>
    </w:p>
    <w:p w14:paraId="7EFF62A2" w14:textId="77777777" w:rsidR="003F445C" w:rsidRPr="00FF756A" w:rsidRDefault="003F445C" w:rsidP="003F445C"/>
    <w:p w14:paraId="2677D358" w14:textId="77777777" w:rsidR="003F445C" w:rsidRPr="00FF756A" w:rsidRDefault="003F445C" w:rsidP="003F445C">
      <w:r w:rsidRPr="00FF756A">
        <w:t>- Reduktimi i shkarkimeve të gazeve me efekt serrë -18,7%;</w:t>
      </w:r>
    </w:p>
    <w:p w14:paraId="5DF39F6C" w14:textId="77777777" w:rsidR="003F445C" w:rsidRPr="00FF756A" w:rsidRDefault="003F445C" w:rsidP="003F445C">
      <w:r w:rsidRPr="00FF756A">
        <w:t>- Efiçenca e energjisë (ulja e konsumit financiar të energjisë) -8,4%;</w:t>
      </w:r>
    </w:p>
    <w:p w14:paraId="5F241AED" w14:textId="17F8117A" w:rsidR="003F445C" w:rsidRPr="00FF756A" w:rsidRDefault="003F445C" w:rsidP="003F445C">
      <w:r w:rsidRPr="00FF756A">
        <w:t xml:space="preserve">- Kontributi i energjisë së rinovueshme në kërkesën </w:t>
      </w:r>
      <w:r w:rsidR="00D51807" w:rsidRPr="00FF756A">
        <w:t>finale</w:t>
      </w:r>
      <w:r w:rsidRPr="00FF756A">
        <w:t xml:space="preserve"> për energji 54,4%.</w:t>
      </w:r>
    </w:p>
    <w:p w14:paraId="0F512736" w14:textId="388197EC" w:rsidR="007B4DA0" w:rsidRPr="00FF756A" w:rsidRDefault="00D51807" w:rsidP="00EF0D31">
      <w:r w:rsidRPr="00FF756A">
        <w:t xml:space="preserve">Tabela </w:t>
      </w:r>
      <w:r w:rsidR="000B7051" w:rsidRPr="00FF756A">
        <w:t>2</w:t>
      </w:r>
      <w:r w:rsidR="00DA2EDE" w:rsidRPr="00FF756A">
        <w:t xml:space="preserve"> tregon prodhimin e energjisë elektrike nga burimet e rinovueshme të energjisë si më poshtë:</w:t>
      </w:r>
    </w:p>
    <w:tbl>
      <w:tblPr>
        <w:tblW w:w="8921" w:type="dxa"/>
        <w:tblLayout w:type="fixed"/>
        <w:tblLook w:val="04A0" w:firstRow="1" w:lastRow="0" w:firstColumn="1" w:lastColumn="0" w:noHBand="0" w:noVBand="1"/>
      </w:tblPr>
      <w:tblGrid>
        <w:gridCol w:w="4101"/>
        <w:gridCol w:w="964"/>
        <w:gridCol w:w="964"/>
        <w:gridCol w:w="964"/>
        <w:gridCol w:w="964"/>
        <w:gridCol w:w="964"/>
      </w:tblGrid>
      <w:tr w:rsidR="00501AD6" w:rsidRPr="00FF756A" w14:paraId="0A6B29FB" w14:textId="77777777" w:rsidTr="00501AD6">
        <w:trPr>
          <w:trHeight w:val="265"/>
        </w:trPr>
        <w:tc>
          <w:tcPr>
            <w:tcW w:w="4101" w:type="dxa"/>
            <w:tcBorders>
              <w:top w:val="single" w:sz="8" w:space="0" w:color="auto"/>
              <w:left w:val="single" w:sz="8" w:space="0" w:color="auto"/>
              <w:bottom w:val="single" w:sz="4" w:space="0" w:color="auto"/>
              <w:right w:val="single" w:sz="4" w:space="0" w:color="auto"/>
            </w:tcBorders>
            <w:noWrap/>
            <w:vAlign w:val="bottom"/>
            <w:hideMark/>
          </w:tcPr>
          <w:p w14:paraId="58ECA2A2" w14:textId="77777777"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left"/>
              <w:rPr>
                <w:rFonts w:eastAsia="Times New Roman"/>
                <w:b/>
                <w:bCs/>
                <w:color w:val="000000"/>
              </w:rPr>
            </w:pPr>
            <w:r w:rsidRPr="00FF756A">
              <w:rPr>
                <w:b/>
                <w:bCs/>
                <w:color w:val="000000"/>
              </w:rPr>
              <w:t>Viti</w:t>
            </w:r>
          </w:p>
        </w:tc>
        <w:tc>
          <w:tcPr>
            <w:tcW w:w="964" w:type="dxa"/>
            <w:tcBorders>
              <w:top w:val="single" w:sz="8" w:space="0" w:color="auto"/>
              <w:left w:val="nil"/>
              <w:bottom w:val="single" w:sz="4" w:space="0" w:color="auto"/>
              <w:right w:val="single" w:sz="4" w:space="0" w:color="auto"/>
            </w:tcBorders>
            <w:noWrap/>
            <w:vAlign w:val="bottom"/>
            <w:hideMark/>
          </w:tcPr>
          <w:p w14:paraId="0927F500" w14:textId="77777777"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b/>
                <w:bCs/>
                <w:color w:val="000000"/>
              </w:rPr>
            </w:pPr>
            <w:r w:rsidRPr="00FF756A">
              <w:rPr>
                <w:b/>
                <w:bCs/>
                <w:color w:val="000000"/>
              </w:rPr>
              <w:t>2019</w:t>
            </w:r>
          </w:p>
        </w:tc>
        <w:tc>
          <w:tcPr>
            <w:tcW w:w="964" w:type="dxa"/>
            <w:tcBorders>
              <w:top w:val="single" w:sz="8" w:space="0" w:color="auto"/>
              <w:left w:val="nil"/>
              <w:bottom w:val="single" w:sz="4" w:space="0" w:color="auto"/>
              <w:right w:val="single" w:sz="4" w:space="0" w:color="auto"/>
            </w:tcBorders>
            <w:noWrap/>
            <w:vAlign w:val="bottom"/>
            <w:hideMark/>
          </w:tcPr>
          <w:p w14:paraId="5CEEB3CD" w14:textId="77777777"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b/>
                <w:bCs/>
                <w:color w:val="000000"/>
              </w:rPr>
            </w:pPr>
            <w:r w:rsidRPr="00FF756A">
              <w:rPr>
                <w:b/>
                <w:bCs/>
                <w:color w:val="000000"/>
              </w:rPr>
              <w:t>2020</w:t>
            </w:r>
          </w:p>
        </w:tc>
        <w:tc>
          <w:tcPr>
            <w:tcW w:w="964" w:type="dxa"/>
            <w:tcBorders>
              <w:top w:val="single" w:sz="8" w:space="0" w:color="auto"/>
              <w:left w:val="nil"/>
              <w:bottom w:val="single" w:sz="4" w:space="0" w:color="auto"/>
              <w:right w:val="single" w:sz="4" w:space="0" w:color="auto"/>
            </w:tcBorders>
            <w:noWrap/>
            <w:vAlign w:val="bottom"/>
            <w:hideMark/>
          </w:tcPr>
          <w:p w14:paraId="4C749F28" w14:textId="77777777"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b/>
                <w:bCs/>
                <w:color w:val="000000"/>
              </w:rPr>
            </w:pPr>
            <w:r w:rsidRPr="00FF756A">
              <w:rPr>
                <w:b/>
                <w:bCs/>
                <w:color w:val="000000"/>
              </w:rPr>
              <w:t>2021</w:t>
            </w:r>
          </w:p>
        </w:tc>
        <w:tc>
          <w:tcPr>
            <w:tcW w:w="964" w:type="dxa"/>
            <w:tcBorders>
              <w:top w:val="single" w:sz="8" w:space="0" w:color="auto"/>
              <w:left w:val="nil"/>
              <w:bottom w:val="single" w:sz="4" w:space="0" w:color="auto"/>
              <w:right w:val="single" w:sz="4" w:space="0" w:color="auto"/>
            </w:tcBorders>
            <w:noWrap/>
            <w:vAlign w:val="bottom"/>
            <w:hideMark/>
          </w:tcPr>
          <w:p w14:paraId="310A99A6" w14:textId="5EAE0F33"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b/>
                <w:bCs/>
                <w:color w:val="000000"/>
              </w:rPr>
            </w:pPr>
            <w:r w:rsidRPr="00FF756A">
              <w:rPr>
                <w:b/>
                <w:bCs/>
                <w:color w:val="000000"/>
              </w:rPr>
              <w:t>2022</w:t>
            </w:r>
          </w:p>
        </w:tc>
        <w:tc>
          <w:tcPr>
            <w:tcW w:w="964" w:type="dxa"/>
            <w:tcBorders>
              <w:top w:val="single" w:sz="8" w:space="0" w:color="auto"/>
              <w:left w:val="nil"/>
              <w:bottom w:val="single" w:sz="4" w:space="0" w:color="auto"/>
              <w:right w:val="single" w:sz="8" w:space="0" w:color="auto"/>
            </w:tcBorders>
            <w:noWrap/>
            <w:vAlign w:val="bottom"/>
            <w:hideMark/>
          </w:tcPr>
          <w:p w14:paraId="7EB54028" w14:textId="77777777"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b/>
                <w:bCs/>
                <w:color w:val="000000"/>
              </w:rPr>
            </w:pPr>
            <w:r w:rsidRPr="00FF756A">
              <w:rPr>
                <w:b/>
                <w:bCs/>
                <w:color w:val="000000"/>
              </w:rPr>
              <w:t>2023</w:t>
            </w:r>
          </w:p>
        </w:tc>
      </w:tr>
      <w:tr w:rsidR="00501AD6" w:rsidRPr="00FF756A" w14:paraId="054E9B50" w14:textId="77777777" w:rsidTr="00501AD6">
        <w:trPr>
          <w:trHeight w:val="265"/>
        </w:trPr>
        <w:tc>
          <w:tcPr>
            <w:tcW w:w="4101" w:type="dxa"/>
            <w:tcBorders>
              <w:top w:val="nil"/>
              <w:left w:val="single" w:sz="8" w:space="0" w:color="auto"/>
              <w:bottom w:val="single" w:sz="4" w:space="0" w:color="auto"/>
              <w:right w:val="single" w:sz="4" w:space="0" w:color="auto"/>
            </w:tcBorders>
            <w:noWrap/>
            <w:vAlign w:val="bottom"/>
            <w:hideMark/>
          </w:tcPr>
          <w:p w14:paraId="4C3647F1" w14:textId="77777777"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left"/>
              <w:rPr>
                <w:rFonts w:eastAsia="Times New Roman"/>
                <w:color w:val="000000"/>
              </w:rPr>
            </w:pPr>
            <w:r w:rsidRPr="00FF756A">
              <w:rPr>
                <w:color w:val="000000"/>
              </w:rPr>
              <w:t xml:space="preserve">HEC-e të tjera </w:t>
            </w:r>
          </w:p>
        </w:tc>
        <w:tc>
          <w:tcPr>
            <w:tcW w:w="964" w:type="dxa"/>
            <w:tcBorders>
              <w:top w:val="nil"/>
              <w:left w:val="nil"/>
              <w:bottom w:val="single" w:sz="4" w:space="0" w:color="auto"/>
              <w:right w:val="single" w:sz="4" w:space="0" w:color="auto"/>
            </w:tcBorders>
            <w:noWrap/>
            <w:vAlign w:val="bottom"/>
            <w:hideMark/>
          </w:tcPr>
          <w:p w14:paraId="5972C682" w14:textId="7B96F435"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rPr>
            </w:pPr>
            <w:r w:rsidRPr="00FF756A">
              <w:rPr>
                <w:color w:val="000000"/>
              </w:rPr>
              <w:t>2</w:t>
            </w:r>
            <w:r w:rsidR="00E55908" w:rsidRPr="00FF756A">
              <w:rPr>
                <w:color w:val="000000"/>
              </w:rPr>
              <w:t>,</w:t>
            </w:r>
            <w:r w:rsidRPr="00FF756A">
              <w:rPr>
                <w:color w:val="000000"/>
              </w:rPr>
              <w:t>205</w:t>
            </w:r>
          </w:p>
        </w:tc>
        <w:tc>
          <w:tcPr>
            <w:tcW w:w="964" w:type="dxa"/>
            <w:tcBorders>
              <w:top w:val="nil"/>
              <w:left w:val="nil"/>
              <w:bottom w:val="single" w:sz="4" w:space="0" w:color="auto"/>
              <w:right w:val="single" w:sz="4" w:space="0" w:color="auto"/>
            </w:tcBorders>
            <w:noWrap/>
            <w:vAlign w:val="bottom"/>
            <w:hideMark/>
          </w:tcPr>
          <w:p w14:paraId="233660E4" w14:textId="568A08E5"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rPr>
            </w:pPr>
            <w:r w:rsidRPr="00FF756A">
              <w:rPr>
                <w:color w:val="000000"/>
              </w:rPr>
              <w:t>2</w:t>
            </w:r>
            <w:r w:rsidR="00E55908" w:rsidRPr="00FF756A">
              <w:rPr>
                <w:color w:val="000000"/>
              </w:rPr>
              <w:t>,</w:t>
            </w:r>
            <w:r w:rsidRPr="00FF756A">
              <w:rPr>
                <w:color w:val="000000"/>
              </w:rPr>
              <w:t>191</w:t>
            </w:r>
          </w:p>
        </w:tc>
        <w:tc>
          <w:tcPr>
            <w:tcW w:w="964" w:type="dxa"/>
            <w:tcBorders>
              <w:top w:val="nil"/>
              <w:left w:val="nil"/>
              <w:bottom w:val="single" w:sz="4" w:space="0" w:color="auto"/>
              <w:right w:val="single" w:sz="4" w:space="0" w:color="auto"/>
            </w:tcBorders>
            <w:noWrap/>
            <w:vAlign w:val="bottom"/>
            <w:hideMark/>
          </w:tcPr>
          <w:p w14:paraId="782FC15F" w14:textId="08840C37"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rPr>
            </w:pPr>
            <w:r w:rsidRPr="00FF756A">
              <w:rPr>
                <w:color w:val="000000"/>
              </w:rPr>
              <w:t>3</w:t>
            </w:r>
            <w:r w:rsidR="00E55908" w:rsidRPr="00FF756A">
              <w:rPr>
                <w:color w:val="000000"/>
              </w:rPr>
              <w:t>,</w:t>
            </w:r>
            <w:r w:rsidRPr="00FF756A">
              <w:rPr>
                <w:color w:val="000000"/>
              </w:rPr>
              <w:t>578</w:t>
            </w:r>
          </w:p>
        </w:tc>
        <w:tc>
          <w:tcPr>
            <w:tcW w:w="964" w:type="dxa"/>
            <w:tcBorders>
              <w:top w:val="nil"/>
              <w:left w:val="nil"/>
              <w:bottom w:val="single" w:sz="4" w:space="0" w:color="auto"/>
              <w:right w:val="single" w:sz="4" w:space="0" w:color="auto"/>
            </w:tcBorders>
            <w:noWrap/>
            <w:vAlign w:val="bottom"/>
            <w:hideMark/>
          </w:tcPr>
          <w:p w14:paraId="5B1A62B4" w14:textId="4CD55759"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rPr>
            </w:pPr>
            <w:r w:rsidRPr="00FF756A">
              <w:rPr>
                <w:color w:val="000000"/>
              </w:rPr>
              <w:t>3</w:t>
            </w:r>
            <w:r w:rsidR="00E55908" w:rsidRPr="00FF756A">
              <w:rPr>
                <w:color w:val="000000"/>
              </w:rPr>
              <w:t>,</w:t>
            </w:r>
            <w:r w:rsidRPr="00FF756A">
              <w:rPr>
                <w:color w:val="000000"/>
              </w:rPr>
              <w:t>093</w:t>
            </w:r>
          </w:p>
        </w:tc>
        <w:tc>
          <w:tcPr>
            <w:tcW w:w="964" w:type="dxa"/>
            <w:tcBorders>
              <w:top w:val="nil"/>
              <w:left w:val="nil"/>
              <w:bottom w:val="single" w:sz="4" w:space="0" w:color="auto"/>
              <w:right w:val="single" w:sz="8" w:space="0" w:color="auto"/>
            </w:tcBorders>
            <w:noWrap/>
            <w:vAlign w:val="bottom"/>
            <w:hideMark/>
          </w:tcPr>
          <w:p w14:paraId="1E4983B6" w14:textId="2F84C21B"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rPr>
            </w:pPr>
            <w:r w:rsidRPr="00FF756A">
              <w:rPr>
                <w:color w:val="000000"/>
              </w:rPr>
              <w:t>3</w:t>
            </w:r>
            <w:r w:rsidR="00E55908" w:rsidRPr="00FF756A">
              <w:rPr>
                <w:color w:val="000000"/>
              </w:rPr>
              <w:t>,</w:t>
            </w:r>
            <w:r w:rsidRPr="00FF756A">
              <w:rPr>
                <w:color w:val="000000"/>
              </w:rPr>
              <w:t>583</w:t>
            </w:r>
          </w:p>
        </w:tc>
      </w:tr>
      <w:tr w:rsidR="00501AD6" w:rsidRPr="00FF756A" w14:paraId="0B5543FA" w14:textId="77777777" w:rsidTr="00501AD6">
        <w:trPr>
          <w:trHeight w:val="265"/>
        </w:trPr>
        <w:tc>
          <w:tcPr>
            <w:tcW w:w="4101" w:type="dxa"/>
            <w:tcBorders>
              <w:top w:val="nil"/>
              <w:left w:val="single" w:sz="8" w:space="0" w:color="auto"/>
              <w:bottom w:val="single" w:sz="4" w:space="0" w:color="auto"/>
              <w:right w:val="single" w:sz="4" w:space="0" w:color="auto"/>
            </w:tcBorders>
            <w:noWrap/>
            <w:vAlign w:val="bottom"/>
            <w:hideMark/>
          </w:tcPr>
          <w:p w14:paraId="33A8F666" w14:textId="77777777"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left"/>
              <w:rPr>
                <w:rFonts w:eastAsia="Times New Roman"/>
                <w:color w:val="000000"/>
              </w:rPr>
            </w:pPr>
            <w:r w:rsidRPr="00FF756A">
              <w:rPr>
                <w:color w:val="000000"/>
              </w:rPr>
              <w:t>Impiantet fotovoltaike</w:t>
            </w:r>
          </w:p>
        </w:tc>
        <w:tc>
          <w:tcPr>
            <w:tcW w:w="964" w:type="dxa"/>
            <w:tcBorders>
              <w:top w:val="nil"/>
              <w:left w:val="nil"/>
              <w:bottom w:val="single" w:sz="4" w:space="0" w:color="auto"/>
              <w:right w:val="single" w:sz="4" w:space="0" w:color="auto"/>
            </w:tcBorders>
            <w:noWrap/>
            <w:vAlign w:val="bottom"/>
            <w:hideMark/>
          </w:tcPr>
          <w:p w14:paraId="74017294" w14:textId="77777777"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rPr>
            </w:pPr>
            <w:r w:rsidRPr="00FF756A">
              <w:rPr>
                <w:color w:val="000000"/>
              </w:rPr>
              <w:t>22</w:t>
            </w:r>
          </w:p>
        </w:tc>
        <w:tc>
          <w:tcPr>
            <w:tcW w:w="964" w:type="dxa"/>
            <w:tcBorders>
              <w:top w:val="nil"/>
              <w:left w:val="nil"/>
              <w:bottom w:val="single" w:sz="4" w:space="0" w:color="auto"/>
              <w:right w:val="single" w:sz="4" w:space="0" w:color="auto"/>
            </w:tcBorders>
            <w:noWrap/>
            <w:vAlign w:val="bottom"/>
            <w:hideMark/>
          </w:tcPr>
          <w:p w14:paraId="76959B90" w14:textId="77777777"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rPr>
            </w:pPr>
            <w:r w:rsidRPr="00FF756A">
              <w:rPr>
                <w:color w:val="000000"/>
              </w:rPr>
              <w:t>32</w:t>
            </w:r>
          </w:p>
        </w:tc>
        <w:tc>
          <w:tcPr>
            <w:tcW w:w="964" w:type="dxa"/>
            <w:tcBorders>
              <w:top w:val="nil"/>
              <w:left w:val="nil"/>
              <w:bottom w:val="single" w:sz="4" w:space="0" w:color="auto"/>
              <w:right w:val="single" w:sz="4" w:space="0" w:color="auto"/>
            </w:tcBorders>
            <w:noWrap/>
            <w:vAlign w:val="bottom"/>
            <w:hideMark/>
          </w:tcPr>
          <w:p w14:paraId="647DD0A2" w14:textId="77777777"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rPr>
            </w:pPr>
            <w:r w:rsidRPr="00FF756A">
              <w:rPr>
                <w:color w:val="000000"/>
              </w:rPr>
              <w:t>41</w:t>
            </w:r>
          </w:p>
        </w:tc>
        <w:tc>
          <w:tcPr>
            <w:tcW w:w="964" w:type="dxa"/>
            <w:tcBorders>
              <w:top w:val="nil"/>
              <w:left w:val="nil"/>
              <w:bottom w:val="single" w:sz="4" w:space="0" w:color="auto"/>
              <w:right w:val="single" w:sz="4" w:space="0" w:color="auto"/>
            </w:tcBorders>
            <w:noWrap/>
            <w:vAlign w:val="bottom"/>
            <w:hideMark/>
          </w:tcPr>
          <w:p w14:paraId="49B9B14A" w14:textId="77777777"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rPr>
            </w:pPr>
            <w:r w:rsidRPr="00FF756A">
              <w:rPr>
                <w:color w:val="000000"/>
              </w:rPr>
              <w:t>50</w:t>
            </w:r>
          </w:p>
        </w:tc>
        <w:tc>
          <w:tcPr>
            <w:tcW w:w="964" w:type="dxa"/>
            <w:tcBorders>
              <w:top w:val="nil"/>
              <w:left w:val="nil"/>
              <w:bottom w:val="single" w:sz="4" w:space="0" w:color="auto"/>
              <w:right w:val="single" w:sz="8" w:space="0" w:color="auto"/>
            </w:tcBorders>
            <w:noWrap/>
            <w:vAlign w:val="bottom"/>
            <w:hideMark/>
          </w:tcPr>
          <w:p w14:paraId="73D346EF" w14:textId="1317584F"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rPr>
            </w:pPr>
            <w:r w:rsidRPr="00FF756A">
              <w:rPr>
                <w:color w:val="000000"/>
              </w:rPr>
              <w:t>80</w:t>
            </w:r>
            <w:r w:rsidR="00E55908" w:rsidRPr="00FF756A">
              <w:rPr>
                <w:color w:val="000000"/>
              </w:rPr>
              <w:t>,</w:t>
            </w:r>
            <w:r w:rsidRPr="00FF756A">
              <w:rPr>
                <w:color w:val="000000"/>
              </w:rPr>
              <w:t>874</w:t>
            </w:r>
          </w:p>
        </w:tc>
      </w:tr>
      <w:tr w:rsidR="00501AD6" w:rsidRPr="00FF756A" w14:paraId="0E03B6EF" w14:textId="77777777" w:rsidTr="00501AD6">
        <w:trPr>
          <w:trHeight w:val="265"/>
        </w:trPr>
        <w:tc>
          <w:tcPr>
            <w:tcW w:w="4101" w:type="dxa"/>
            <w:tcBorders>
              <w:top w:val="nil"/>
              <w:left w:val="single" w:sz="8" w:space="0" w:color="auto"/>
              <w:bottom w:val="single" w:sz="4" w:space="0" w:color="auto"/>
              <w:right w:val="single" w:sz="4" w:space="0" w:color="auto"/>
            </w:tcBorders>
            <w:noWrap/>
            <w:vAlign w:val="bottom"/>
            <w:hideMark/>
          </w:tcPr>
          <w:p w14:paraId="611D78C1" w14:textId="77777777"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left"/>
              <w:rPr>
                <w:rFonts w:eastAsia="Times New Roman"/>
                <w:color w:val="000000"/>
              </w:rPr>
            </w:pPr>
            <w:r w:rsidRPr="00FF756A">
              <w:rPr>
                <w:color w:val="000000"/>
              </w:rPr>
              <w:t>Prodhimi nga HEC-et e shoqërisë KESH</w:t>
            </w:r>
          </w:p>
        </w:tc>
        <w:tc>
          <w:tcPr>
            <w:tcW w:w="964" w:type="dxa"/>
            <w:tcBorders>
              <w:top w:val="nil"/>
              <w:left w:val="nil"/>
              <w:bottom w:val="single" w:sz="4" w:space="0" w:color="auto"/>
              <w:right w:val="single" w:sz="4" w:space="0" w:color="auto"/>
            </w:tcBorders>
            <w:noWrap/>
            <w:vAlign w:val="bottom"/>
            <w:hideMark/>
          </w:tcPr>
          <w:p w14:paraId="42AE6106" w14:textId="01A381A8"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rPr>
            </w:pPr>
            <w:r w:rsidRPr="00FF756A">
              <w:rPr>
                <w:color w:val="000000"/>
              </w:rPr>
              <w:t>2</w:t>
            </w:r>
            <w:r w:rsidR="00E55908" w:rsidRPr="00FF756A">
              <w:rPr>
                <w:color w:val="000000"/>
              </w:rPr>
              <w:t>,</w:t>
            </w:r>
            <w:r w:rsidRPr="00FF756A">
              <w:rPr>
                <w:color w:val="000000"/>
              </w:rPr>
              <w:t>979</w:t>
            </w:r>
          </w:p>
        </w:tc>
        <w:tc>
          <w:tcPr>
            <w:tcW w:w="964" w:type="dxa"/>
            <w:tcBorders>
              <w:top w:val="nil"/>
              <w:left w:val="nil"/>
              <w:bottom w:val="single" w:sz="4" w:space="0" w:color="auto"/>
              <w:right w:val="single" w:sz="4" w:space="0" w:color="auto"/>
            </w:tcBorders>
            <w:noWrap/>
            <w:vAlign w:val="bottom"/>
            <w:hideMark/>
          </w:tcPr>
          <w:p w14:paraId="36CD0603" w14:textId="78B1AAEC"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rPr>
            </w:pPr>
            <w:r w:rsidRPr="00FF756A">
              <w:rPr>
                <w:color w:val="000000"/>
              </w:rPr>
              <w:t>3</w:t>
            </w:r>
            <w:r w:rsidR="00E55908" w:rsidRPr="00FF756A">
              <w:rPr>
                <w:color w:val="000000"/>
              </w:rPr>
              <w:t>,</w:t>
            </w:r>
            <w:r w:rsidRPr="00FF756A">
              <w:rPr>
                <w:color w:val="000000"/>
              </w:rPr>
              <w:t>090</w:t>
            </w:r>
          </w:p>
        </w:tc>
        <w:tc>
          <w:tcPr>
            <w:tcW w:w="964" w:type="dxa"/>
            <w:tcBorders>
              <w:top w:val="nil"/>
              <w:left w:val="nil"/>
              <w:bottom w:val="single" w:sz="4" w:space="0" w:color="auto"/>
              <w:right w:val="single" w:sz="4" w:space="0" w:color="auto"/>
            </w:tcBorders>
            <w:noWrap/>
            <w:vAlign w:val="bottom"/>
            <w:hideMark/>
          </w:tcPr>
          <w:p w14:paraId="726C6AF7" w14:textId="77777777"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rPr>
            </w:pPr>
            <w:r w:rsidRPr="00FF756A">
              <w:rPr>
                <w:color w:val="000000"/>
              </w:rPr>
              <w:t>5 344</w:t>
            </w:r>
          </w:p>
        </w:tc>
        <w:tc>
          <w:tcPr>
            <w:tcW w:w="964" w:type="dxa"/>
            <w:tcBorders>
              <w:top w:val="nil"/>
              <w:left w:val="nil"/>
              <w:bottom w:val="single" w:sz="4" w:space="0" w:color="auto"/>
              <w:right w:val="single" w:sz="4" w:space="0" w:color="auto"/>
            </w:tcBorders>
            <w:noWrap/>
            <w:vAlign w:val="bottom"/>
            <w:hideMark/>
          </w:tcPr>
          <w:p w14:paraId="445089AE" w14:textId="52F715F9"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rPr>
            </w:pPr>
            <w:r w:rsidRPr="00FF756A">
              <w:rPr>
                <w:color w:val="000000"/>
              </w:rPr>
              <w:t>3</w:t>
            </w:r>
            <w:r w:rsidR="00E55908" w:rsidRPr="00FF756A">
              <w:rPr>
                <w:color w:val="000000"/>
              </w:rPr>
              <w:t>,</w:t>
            </w:r>
            <w:r w:rsidRPr="00FF756A">
              <w:rPr>
                <w:color w:val="000000"/>
              </w:rPr>
              <w:t>860</w:t>
            </w:r>
          </w:p>
        </w:tc>
        <w:tc>
          <w:tcPr>
            <w:tcW w:w="964" w:type="dxa"/>
            <w:tcBorders>
              <w:top w:val="nil"/>
              <w:left w:val="nil"/>
              <w:bottom w:val="single" w:sz="4" w:space="0" w:color="auto"/>
              <w:right w:val="single" w:sz="8" w:space="0" w:color="auto"/>
            </w:tcBorders>
            <w:noWrap/>
            <w:vAlign w:val="bottom"/>
            <w:hideMark/>
          </w:tcPr>
          <w:p w14:paraId="60BEAD1A" w14:textId="77777777"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rPr>
            </w:pPr>
            <w:r w:rsidRPr="00FF756A">
              <w:rPr>
                <w:color w:val="000000"/>
              </w:rPr>
              <w:t>5 131</w:t>
            </w:r>
          </w:p>
        </w:tc>
      </w:tr>
      <w:tr w:rsidR="00501AD6" w:rsidRPr="00FF756A" w14:paraId="5DC577F1" w14:textId="77777777" w:rsidTr="00501AD6">
        <w:trPr>
          <w:trHeight w:val="276"/>
        </w:trPr>
        <w:tc>
          <w:tcPr>
            <w:tcW w:w="4101" w:type="dxa"/>
            <w:tcBorders>
              <w:top w:val="nil"/>
              <w:left w:val="single" w:sz="8" w:space="0" w:color="auto"/>
              <w:bottom w:val="single" w:sz="8" w:space="0" w:color="auto"/>
              <w:right w:val="single" w:sz="4" w:space="0" w:color="auto"/>
            </w:tcBorders>
            <w:noWrap/>
            <w:vAlign w:val="bottom"/>
            <w:hideMark/>
          </w:tcPr>
          <w:p w14:paraId="3F8DA54C" w14:textId="6C12C899"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left"/>
              <w:rPr>
                <w:rFonts w:eastAsia="Times New Roman"/>
                <w:color w:val="000000"/>
              </w:rPr>
            </w:pPr>
            <w:r w:rsidRPr="00FF756A">
              <w:rPr>
                <w:color w:val="000000"/>
              </w:rPr>
              <w:t xml:space="preserve">Prodhimi i Brendshëm </w:t>
            </w:r>
            <w:r w:rsidR="00B25216" w:rsidRPr="00FF756A">
              <w:rPr>
                <w:color w:val="000000"/>
              </w:rPr>
              <w:t>Neto</w:t>
            </w:r>
            <w:r w:rsidRPr="00FF756A">
              <w:rPr>
                <w:color w:val="000000"/>
              </w:rPr>
              <w:t xml:space="preserve"> (GWh)</w:t>
            </w:r>
          </w:p>
        </w:tc>
        <w:tc>
          <w:tcPr>
            <w:tcW w:w="964" w:type="dxa"/>
            <w:tcBorders>
              <w:top w:val="nil"/>
              <w:left w:val="nil"/>
              <w:bottom w:val="single" w:sz="8" w:space="0" w:color="auto"/>
              <w:right w:val="single" w:sz="4" w:space="0" w:color="auto"/>
            </w:tcBorders>
            <w:noWrap/>
            <w:vAlign w:val="bottom"/>
            <w:hideMark/>
          </w:tcPr>
          <w:p w14:paraId="380B3079" w14:textId="27A678F0"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rPr>
            </w:pPr>
            <w:r w:rsidRPr="00FF756A">
              <w:rPr>
                <w:color w:val="000000"/>
              </w:rPr>
              <w:t>5</w:t>
            </w:r>
            <w:r w:rsidR="00E55908" w:rsidRPr="00FF756A">
              <w:rPr>
                <w:color w:val="000000"/>
              </w:rPr>
              <w:t>,</w:t>
            </w:r>
            <w:r w:rsidRPr="00FF756A">
              <w:rPr>
                <w:color w:val="000000"/>
              </w:rPr>
              <w:t>206</w:t>
            </w:r>
          </w:p>
        </w:tc>
        <w:tc>
          <w:tcPr>
            <w:tcW w:w="964" w:type="dxa"/>
            <w:tcBorders>
              <w:top w:val="nil"/>
              <w:left w:val="nil"/>
              <w:bottom w:val="single" w:sz="8" w:space="0" w:color="auto"/>
              <w:right w:val="single" w:sz="4" w:space="0" w:color="auto"/>
            </w:tcBorders>
            <w:noWrap/>
            <w:vAlign w:val="bottom"/>
            <w:hideMark/>
          </w:tcPr>
          <w:p w14:paraId="204F5FF6" w14:textId="387A63A2"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rPr>
            </w:pPr>
            <w:r w:rsidRPr="00FF756A">
              <w:rPr>
                <w:color w:val="000000"/>
              </w:rPr>
              <w:t>5</w:t>
            </w:r>
            <w:r w:rsidR="00E55908" w:rsidRPr="00FF756A">
              <w:rPr>
                <w:color w:val="000000"/>
              </w:rPr>
              <w:t>,</w:t>
            </w:r>
            <w:r w:rsidRPr="00FF756A">
              <w:rPr>
                <w:color w:val="000000"/>
              </w:rPr>
              <w:t>313</w:t>
            </w:r>
          </w:p>
        </w:tc>
        <w:tc>
          <w:tcPr>
            <w:tcW w:w="964" w:type="dxa"/>
            <w:tcBorders>
              <w:top w:val="nil"/>
              <w:left w:val="nil"/>
              <w:bottom w:val="single" w:sz="8" w:space="0" w:color="auto"/>
              <w:right w:val="single" w:sz="4" w:space="0" w:color="auto"/>
            </w:tcBorders>
            <w:noWrap/>
            <w:vAlign w:val="bottom"/>
            <w:hideMark/>
          </w:tcPr>
          <w:p w14:paraId="20211738" w14:textId="4A4D0C87"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rPr>
            </w:pPr>
            <w:r w:rsidRPr="00FF756A">
              <w:rPr>
                <w:color w:val="000000"/>
              </w:rPr>
              <w:t>8</w:t>
            </w:r>
            <w:r w:rsidR="00E55908" w:rsidRPr="00FF756A">
              <w:rPr>
                <w:color w:val="000000"/>
              </w:rPr>
              <w:t>,</w:t>
            </w:r>
            <w:r w:rsidRPr="00FF756A">
              <w:rPr>
                <w:color w:val="000000"/>
              </w:rPr>
              <w:t>963</w:t>
            </w:r>
          </w:p>
        </w:tc>
        <w:tc>
          <w:tcPr>
            <w:tcW w:w="964" w:type="dxa"/>
            <w:tcBorders>
              <w:top w:val="nil"/>
              <w:left w:val="nil"/>
              <w:bottom w:val="single" w:sz="8" w:space="0" w:color="auto"/>
              <w:right w:val="single" w:sz="4" w:space="0" w:color="auto"/>
            </w:tcBorders>
            <w:noWrap/>
            <w:vAlign w:val="bottom"/>
            <w:hideMark/>
          </w:tcPr>
          <w:p w14:paraId="30847152" w14:textId="08E6663F" w:rsidR="00831795" w:rsidRPr="00FF756A" w:rsidRDefault="00831795" w:rsidP="00210CDA">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rPr>
            </w:pPr>
            <w:r w:rsidRPr="00FF756A">
              <w:rPr>
                <w:color w:val="000000"/>
              </w:rPr>
              <w:t>7</w:t>
            </w:r>
            <w:r w:rsidR="00E55908" w:rsidRPr="00FF756A">
              <w:rPr>
                <w:color w:val="000000"/>
              </w:rPr>
              <w:t>,</w:t>
            </w:r>
            <w:r w:rsidRPr="00FF756A">
              <w:rPr>
                <w:color w:val="000000"/>
              </w:rPr>
              <w:t>003</w:t>
            </w:r>
          </w:p>
        </w:tc>
        <w:tc>
          <w:tcPr>
            <w:tcW w:w="964" w:type="dxa"/>
            <w:tcBorders>
              <w:top w:val="nil"/>
              <w:left w:val="nil"/>
              <w:bottom w:val="single" w:sz="8" w:space="0" w:color="auto"/>
              <w:right w:val="single" w:sz="8" w:space="0" w:color="auto"/>
            </w:tcBorders>
            <w:noWrap/>
            <w:vAlign w:val="bottom"/>
            <w:hideMark/>
          </w:tcPr>
          <w:p w14:paraId="63FC368C" w14:textId="09ED3224" w:rsidR="00831795" w:rsidRPr="00FF756A" w:rsidRDefault="00831795" w:rsidP="009D5619">
            <w:pPr>
              <w:keepNext/>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rPr>
            </w:pPr>
            <w:r w:rsidRPr="00FF756A">
              <w:rPr>
                <w:color w:val="000000"/>
              </w:rPr>
              <w:t>8</w:t>
            </w:r>
            <w:r w:rsidR="00E55908" w:rsidRPr="00FF756A">
              <w:rPr>
                <w:color w:val="000000"/>
              </w:rPr>
              <w:t>,</w:t>
            </w:r>
            <w:r w:rsidRPr="00FF756A">
              <w:rPr>
                <w:color w:val="000000"/>
              </w:rPr>
              <w:t>796</w:t>
            </w:r>
          </w:p>
        </w:tc>
      </w:tr>
    </w:tbl>
    <w:p w14:paraId="2EACEDB2" w14:textId="6BA94BD8" w:rsidR="00831795" w:rsidRPr="00FF756A" w:rsidRDefault="009D5619" w:rsidP="009D5619">
      <w:pPr>
        <w:pStyle w:val="Caption"/>
        <w:rPr>
          <w:rFonts w:ascii="Times New Roman" w:hAnsi="Times New Roman"/>
        </w:rPr>
      </w:pPr>
      <w:bookmarkStart w:id="19" w:name="_Toc183016466"/>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2</w:t>
      </w:r>
      <w:r w:rsidR="008E7DE9" w:rsidRPr="00FF756A">
        <w:rPr>
          <w:rFonts w:ascii="Times New Roman" w:hAnsi="Times New Roman"/>
          <w:noProof/>
        </w:rPr>
        <w:fldChar w:fldCharType="end"/>
      </w:r>
      <w:r w:rsidRPr="00FF756A">
        <w:rPr>
          <w:rFonts w:ascii="Times New Roman" w:hAnsi="Times New Roman"/>
        </w:rPr>
        <w:t xml:space="preserve">: </w:t>
      </w:r>
      <w:r w:rsidR="00D51807" w:rsidRPr="00FF756A">
        <w:rPr>
          <w:rFonts w:ascii="Times New Roman" w:hAnsi="Times New Roman"/>
        </w:rPr>
        <w:t xml:space="preserve">Prodhimi </w:t>
      </w:r>
      <w:r w:rsidRPr="00FF756A">
        <w:rPr>
          <w:rFonts w:ascii="Times New Roman" w:hAnsi="Times New Roman"/>
        </w:rPr>
        <w:t>i energjisë nga burimet e rinovueshme të energjisë (Burimi: Raportet vjetore të ERE Raporte Vjetore (ere.gov.al)</w:t>
      </w:r>
      <w:bookmarkEnd w:id="19"/>
    </w:p>
    <w:p w14:paraId="0AAB0BD1" w14:textId="77777777" w:rsidR="001B2544" w:rsidRPr="00FF756A" w:rsidRDefault="001B2544" w:rsidP="00893FB4">
      <w:pPr>
        <w:rPr>
          <w:lang w:eastAsia="ja-JP"/>
        </w:rPr>
      </w:pPr>
    </w:p>
    <w:p w14:paraId="511CC7D0" w14:textId="202254DC" w:rsidR="00893FB4" w:rsidRPr="00FF756A" w:rsidRDefault="00893FB4" w:rsidP="00032619">
      <w:pPr>
        <w:rPr>
          <w:rFonts w:eastAsia="Times New Roman"/>
          <w:b/>
          <w:bCs/>
          <w:sz w:val="24"/>
          <w:szCs w:val="24"/>
        </w:rPr>
      </w:pPr>
      <w:bookmarkStart w:id="20" w:name="_Toc134634538"/>
      <w:r w:rsidRPr="00FF756A">
        <w:rPr>
          <w:b/>
          <w:bCs/>
          <w:sz w:val="24"/>
          <w:szCs w:val="24"/>
        </w:rPr>
        <w:lastRenderedPageBreak/>
        <w:t>Prodhimi i energjisë nga hidrocentralet e vogla dhe të mesme – gjendja aktuale</w:t>
      </w:r>
      <w:bookmarkEnd w:id="20"/>
    </w:p>
    <w:p w14:paraId="2256A61F" w14:textId="16B7B08A" w:rsidR="001B2544" w:rsidRPr="00FF756A" w:rsidRDefault="001B2544" w:rsidP="0095685A">
      <w:pPr>
        <w:jc w:val="lowKashida"/>
      </w:pPr>
      <w:r w:rsidRPr="00FF756A">
        <w:t>Totali i prodhimit të brendshëm neto të energjisë elektrike për vitin 2023 është 8</w:t>
      </w:r>
      <w:r w:rsidR="00574955" w:rsidRPr="00FF756A">
        <w:t>,</w:t>
      </w:r>
      <w:r w:rsidRPr="00FF756A">
        <w:t>795</w:t>
      </w:r>
      <w:r w:rsidR="00574955" w:rsidRPr="00FF756A">
        <w:t xml:space="preserve">, </w:t>
      </w:r>
      <w:r w:rsidRPr="00FF756A">
        <w:t>637 MWh, nga të cilat 5</w:t>
      </w:r>
      <w:r w:rsidR="00CD0FD5" w:rsidRPr="00FF756A">
        <w:t>,</w:t>
      </w:r>
      <w:r w:rsidRPr="00FF756A">
        <w:t>131</w:t>
      </w:r>
      <w:r w:rsidR="00CD0FD5" w:rsidRPr="00FF756A">
        <w:t>,</w:t>
      </w:r>
      <w:r w:rsidRPr="00FF756A">
        <w:t>482 MWh u prodhuan nga centralet në pronësi të shoqërisë publike KESH sh.a, dhe 3</w:t>
      </w:r>
      <w:r w:rsidR="00CD0FD5" w:rsidRPr="00FF756A">
        <w:t>,</w:t>
      </w:r>
      <w:r w:rsidRPr="00FF756A">
        <w:t>664</w:t>
      </w:r>
      <w:r w:rsidR="00CD0FD5" w:rsidRPr="00FF756A">
        <w:t>,</w:t>
      </w:r>
      <w:r w:rsidRPr="00FF756A">
        <w:t xml:space="preserve">155 ΜWh u prodhuan nga centrale të tjera. Prodhimi i energjisë elektrike i realizuar për vitin 2023 nga shoqëria KESH përfaqëson 58,3% të prodhimit total të energjisë elektrike, ndërsa prodhimi i energjisë elektrike nga prodhuesit e tjerë përfaqëson 41,7 %. </w:t>
      </w:r>
    </w:p>
    <w:p w14:paraId="7D648258" w14:textId="0B939B91" w:rsidR="00893FB4" w:rsidRPr="00FF756A" w:rsidRDefault="00893FB4" w:rsidP="0095685A">
      <w:pPr>
        <w:rPr>
          <w:rFonts w:eastAsia="Times New Roman"/>
        </w:rPr>
      </w:pPr>
      <w:r w:rsidRPr="00FF756A">
        <w:t>Siç kuptohet nga këto shifra, pjesa e prodhimit të gjeneruar nga prodhuesit e pavarur privatë të energjisë elektrike në vitin 2023 përbën rreth gjysmën e prodhimit total të brendshëm. Numri i prodhuesve të pavarur të energjisë elektrike po rritet nga viti në vit, duke rritur kësisoj pozitën e këtyre prodhuesve në treg, gjë që shënon një hap të rëndësishëm drejt liberalizimit të tregut të energjisë elektrike në Shqipëri.</w:t>
      </w:r>
    </w:p>
    <w:p w14:paraId="7EA3343F" w14:textId="1F2EC8BD" w:rsidR="00893FB4" w:rsidRPr="00FF756A" w:rsidRDefault="00893FB4" w:rsidP="0095685A">
      <w:pPr>
        <w:rPr>
          <w:rFonts w:eastAsia="Times New Roman"/>
        </w:rPr>
      </w:pPr>
      <w:r w:rsidRPr="00FF756A">
        <w:t>Prodhuesit me përparësi dhe prodhuesit privatë të energjisë elektrike janë subjekte të licencuara nga ERE ndër vite, që përdorin impiante ekzistuese ose të reja, kryesisht mbi bazën e marrëveshjeve të privatizimit, marrëveshjeve të koncesionit ose kontratave për përdorimin dhe administrimin e impianteve të prodhimit të energjisë elektrike.</w:t>
      </w:r>
    </w:p>
    <w:p w14:paraId="7BE7634F" w14:textId="48E91CBC" w:rsidR="00893FB4" w:rsidRPr="00FF756A" w:rsidRDefault="00893FB4" w:rsidP="0095685A">
      <w:pPr>
        <w:rPr>
          <w:rFonts w:eastAsia="Times New Roman"/>
        </w:rPr>
      </w:pPr>
      <w:r w:rsidRPr="00FF756A">
        <w:t>Kapaciteti total i instaluar i prodhimit të energjisë elektrike në Shqipëri deri më 31 dhjetor 2022 ishte 2</w:t>
      </w:r>
      <w:r w:rsidR="00867190" w:rsidRPr="00FF756A">
        <w:t>,</w:t>
      </w:r>
      <w:r w:rsidRPr="00FF756A">
        <w:t>675 MW. Në vitin 2023, ky kapacitet u rrit me 26 MW krahasuar me vitin 2022. Kapaciteti total i prodhimit të energjisë elektrike nga shoqëria publike KESH është 1</w:t>
      </w:r>
      <w:r w:rsidR="0056235D" w:rsidRPr="00FF756A">
        <w:t>,</w:t>
      </w:r>
      <w:r w:rsidRPr="00FF756A">
        <w:t>453 MW dhe zë rreth 54,2% të kapacitetit total të instaluar në Shqipëri. Kapaciteti total i instaluar i prodhuesve të tjerë të energjisë elektrike është 1</w:t>
      </w:r>
      <w:r w:rsidR="0056235D" w:rsidRPr="00FF756A">
        <w:t>,</w:t>
      </w:r>
      <w:r w:rsidRPr="00FF756A">
        <w:t>222 MW dhe zë rreth 45,8 % të kapacitetit total të instaluar në Shqipëri.</w:t>
      </w:r>
    </w:p>
    <w:p w14:paraId="1683778B" w14:textId="1A97C427" w:rsidR="00302BC4" w:rsidRPr="00FF756A" w:rsidRDefault="00893FB4" w:rsidP="0095685A">
      <w:pPr>
        <w:rPr>
          <w:rFonts w:eastAsia="Times New Roman"/>
        </w:rPr>
      </w:pPr>
      <w:r w:rsidRPr="00FF756A">
        <w:t>Për vitin 2023, numri i impianteve të pavarura të prodhimit dhe atyre me përparësi që kanë prodhuar energji elektrike ishte 259, ku 13 prej tyre janë prodhues të pavarur në pronësi të 7 subjekteve të licencuara, ndërsa 246 impiantet e tjera janë prodhues me përparësi të energjisë elektrike në pronësi të 187 subjekteve në aktivitetin e prodhimit të energjisë elektrike. Në këtë listë përfshihet HEC Lanabregas me një kapacitet të instaluar prej 5 MW dhe me një prodhim vjetor për vitin 2023 prej 23,244 MWh, aksionet e të cilit janë 100% në pronësi të shtetit.</w:t>
      </w:r>
    </w:p>
    <w:p w14:paraId="614BE7CF" w14:textId="4B4CD36D" w:rsidR="00366611" w:rsidRPr="00FF756A" w:rsidRDefault="00366611" w:rsidP="0095685A">
      <w:pPr>
        <w:rPr>
          <w:rFonts w:eastAsia="Times New Roman"/>
        </w:rPr>
      </w:pPr>
      <w:r w:rsidRPr="00FF756A">
        <w:t>Kapaciteti prodhues i energjisë elektrike gjatë vitit 2023 është rritur me 229,22 MW, nga të cilat 125,27 MW përfaqësojnë prodhimin e energjisë elektrike nga burimet hidrike dhe termike dhe 103,95 MW përfaqësojnë prodhimin e energjisë elektrike nga burimet fotovoltaike.</w:t>
      </w:r>
    </w:p>
    <w:p w14:paraId="21C01C7D" w14:textId="1EFB0454" w:rsidR="00893FB4" w:rsidRPr="00FF756A" w:rsidRDefault="00893FB4" w:rsidP="0095685A">
      <w:pPr>
        <w:rPr>
          <w:rFonts w:eastAsia="Times New Roman"/>
        </w:rPr>
      </w:pPr>
      <w:r w:rsidRPr="00FF756A">
        <w:t>Në total, kapaciteti i instaluar i impianteve të pavarura dhe atyre me përparësi është 1</w:t>
      </w:r>
      <w:r w:rsidR="0023422B" w:rsidRPr="00FF756A">
        <w:t>,</w:t>
      </w:r>
      <w:r w:rsidRPr="00FF756A">
        <w:t>222 MW, konkretisht 452 MW për prodhuesit e pavarur dhe 770 MW për impiantet e prodhimit me përparësi.</w:t>
      </w:r>
    </w:p>
    <w:p w14:paraId="46A21638" w14:textId="1FFC4FF6" w:rsidR="008507A9" w:rsidRPr="00FF756A" w:rsidRDefault="00893FB4" w:rsidP="0095685A">
      <w:pPr>
        <w:shd w:val="clear" w:color="auto" w:fill="FFFFFF"/>
        <w:ind w:right="4"/>
        <w:rPr>
          <w:rFonts w:eastAsia="Times New Roman"/>
        </w:rPr>
      </w:pPr>
      <w:r w:rsidRPr="00FF756A">
        <w:t>Në vitin 2022 u prodhuan 80</w:t>
      </w:r>
      <w:r w:rsidR="0023422B" w:rsidRPr="00FF756A">
        <w:t>,</w:t>
      </w:r>
      <w:r w:rsidRPr="00FF756A">
        <w:t>874 MWh nga prodhuesit e energjisë së rinovueshme fotovoltaike, me një kapacitet të instaluar prej 48 MW.</w:t>
      </w:r>
    </w:p>
    <w:p w14:paraId="4B1FD29B" w14:textId="77777777" w:rsidR="008507A9" w:rsidRPr="00FF756A" w:rsidRDefault="008507A9" w:rsidP="0095685A">
      <w:pPr>
        <w:shd w:val="clear" w:color="auto" w:fill="FFFFFF"/>
        <w:ind w:right="4"/>
        <w:rPr>
          <w:rFonts w:eastAsia="Times New Roman"/>
          <w:lang w:eastAsia="en-GB"/>
        </w:rPr>
      </w:pPr>
    </w:p>
    <w:p w14:paraId="4EDC41C2" w14:textId="60E28E11" w:rsidR="00663DC8" w:rsidRDefault="008507A9" w:rsidP="00A42A65">
      <w:pPr>
        <w:shd w:val="clear" w:color="auto" w:fill="FFFFFF"/>
        <w:ind w:right="4"/>
        <w:rPr>
          <w:b/>
          <w:bCs/>
        </w:rPr>
      </w:pPr>
      <w:r w:rsidRPr="00FF756A">
        <w:rPr>
          <w:b/>
          <w:bCs/>
        </w:rPr>
        <w:t xml:space="preserve">Projektet e hidrocentraleve </w:t>
      </w:r>
    </w:p>
    <w:p w14:paraId="00FC660F" w14:textId="77777777" w:rsidR="00116DE3" w:rsidRPr="00116DE3" w:rsidRDefault="00116DE3" w:rsidP="00A42A65">
      <w:pPr>
        <w:shd w:val="clear" w:color="auto" w:fill="FFFFFF"/>
        <w:ind w:right="4"/>
        <w:rPr>
          <w:b/>
          <w:bCs/>
        </w:rPr>
      </w:pPr>
    </w:p>
    <w:p w14:paraId="18D2592C" w14:textId="1EBD5921" w:rsidR="00DF02D3" w:rsidRPr="00FF756A" w:rsidRDefault="00DF02D3" w:rsidP="004A3257">
      <w:pPr>
        <w:shd w:val="clear" w:color="auto" w:fill="FFFFFF"/>
        <w:ind w:right="4"/>
        <w:rPr>
          <w:u w:val="single"/>
        </w:rPr>
      </w:pPr>
      <w:r w:rsidRPr="00FF756A">
        <w:rPr>
          <w:u w:val="single"/>
        </w:rPr>
        <w:t>Projekti i Hidrocentralit të Skavicës</w:t>
      </w:r>
    </w:p>
    <w:p w14:paraId="02724EC1" w14:textId="345FC7D3" w:rsidR="00DF02D3" w:rsidRPr="00FF756A" w:rsidRDefault="00DF02D3" w:rsidP="00A42A65">
      <w:pPr>
        <w:shd w:val="clear" w:color="auto" w:fill="FFFFFF"/>
        <w:ind w:right="4"/>
      </w:pPr>
      <w:r w:rsidRPr="00FF756A">
        <w:t xml:space="preserve">Ndërtimi i Hidrocentralit të Skavicës është një hap i rëndësishëm drejt rritjes së sigurisë së energjisë, reduktimit të importeve të energjisë elektrike dhe rritjes së efiçencës dhe prodhimit të energjisë nga hidrocentralet e tjera të kaskadës së Lumit Drin. </w:t>
      </w:r>
    </w:p>
    <w:p w14:paraId="26122BF9" w14:textId="2D946231" w:rsidR="00DF02D3" w:rsidRPr="00FF756A" w:rsidRDefault="00D330D3" w:rsidP="00A42A65">
      <w:pPr>
        <w:shd w:val="clear" w:color="auto" w:fill="FFFFFF"/>
        <w:ind w:right="4"/>
      </w:pPr>
      <w:r w:rsidRPr="00FF756A">
        <w:t>Për këtë</w:t>
      </w:r>
      <w:r w:rsidR="00BC32B1" w:rsidRPr="00FF756A">
        <w:t xml:space="preserve"> ë</w:t>
      </w:r>
      <w:r w:rsidR="00DF02D3" w:rsidRPr="00FF756A">
        <w:t>shtë miratuar Ligji Nr. 38/202, datë 23.03.2021, “Për përcaktimin e procedurës së veçantë për negocimin dhe ekzekutimin e kontratës me shoqërinë “Bechtel International, Inc”, për projektimin dhe ndërtimin e hidrocentralit të Skavicës”. Kontrata me Bechtel-in është ndarë në dy faza.</w:t>
      </w:r>
    </w:p>
    <w:p w14:paraId="64E04ED4" w14:textId="51D630F0" w:rsidR="002B5060" w:rsidRPr="00FF756A" w:rsidRDefault="00DF02D3" w:rsidP="00A42A65">
      <w:pPr>
        <w:shd w:val="clear" w:color="auto" w:fill="FFFFFF"/>
        <w:ind w:right="4"/>
      </w:pPr>
      <w:r w:rsidRPr="00FF756A">
        <w:t xml:space="preserve">Kontrata për fazën e parë, e miratuar me Vendimin e Këshillit të Ministrave Nr. 485, datë 30.7.2021, përfshin aktivitete paraprake të cilat do t’i mundësojnë Bechtel-it të paraqesë një propozim pranë Autoritetit Kontraktor për kontratën e fazës së dytë dhe do të ndihmojnë Autoritetin Kontraktor dhe </w:t>
      </w:r>
      <w:r w:rsidRPr="00FF756A">
        <w:lastRenderedPageBreak/>
        <w:t xml:space="preserve">Këshillin e Ministrave që të sigurojnë mbështetjen financiare për projektin. </w:t>
      </w:r>
      <w:r w:rsidR="00BC32B1" w:rsidRPr="00FF756A">
        <w:t>P</w:t>
      </w:r>
      <w:r w:rsidRPr="00FF756A">
        <w:t>ër sa i përket fazës së parë të projektit, është finalizuar komponenti teknik, ku përfshihen studimet topografike, hidrologjike, gjeologjike dhe gjeoteknike.</w:t>
      </w:r>
    </w:p>
    <w:p w14:paraId="73FEE245" w14:textId="782B2AA3" w:rsidR="002B5060" w:rsidRPr="00FF756A" w:rsidRDefault="002B5060" w:rsidP="00A42A65">
      <w:pPr>
        <w:shd w:val="clear" w:color="auto" w:fill="FFFFFF"/>
        <w:ind w:right="4"/>
      </w:pPr>
      <w:r w:rsidRPr="00FF756A">
        <w:t>Bazuar në Vendimin e Këshillit të Ministrave Nr</w:t>
      </w:r>
      <w:r w:rsidR="00BC32B1" w:rsidRPr="00FF756A">
        <w:t>.</w:t>
      </w:r>
      <w:r w:rsidRPr="00FF756A">
        <w:t xml:space="preserve"> 349, datë 12.6.2018, “</w:t>
      </w:r>
      <w:r w:rsidRPr="00FF756A">
        <w:rPr>
          <w:i/>
          <w:iCs/>
        </w:rPr>
        <w:t>Për miratimin e masave mbështetëse për nxitjen e përdorimit të energjisë elektrike nga burimet e rinovueshme të diellit dhe erës, si dhe të procedurave për përzgjedhjen e projekteve për përfitimin e tyre</w:t>
      </w:r>
      <w:r w:rsidRPr="00FF756A">
        <w:t>”, të ndryshuar, si dhe objektivat e Planit Kombëtar të Konsoliduar të Veprimit për Energjinë e Rinovueshme 2019 – 2021, Ministria e Infrastrukturës dhe Energjisë zhvilloi dy ankande konkurruese për ndërtimin e kapaciteteve të reja prodhuese fotovoltaike me një kapacitet total të instaluar prej 240 MW, me qëllim nxitjen e përdorimit të energjisë elektrike nga burimet e rinovueshme.</w:t>
      </w:r>
    </w:p>
    <w:p w14:paraId="166C52A1" w14:textId="77777777" w:rsidR="00663DC8" w:rsidRPr="00FF756A" w:rsidRDefault="00663DC8" w:rsidP="00A42A65">
      <w:pPr>
        <w:shd w:val="clear" w:color="auto" w:fill="FFFFFF"/>
        <w:ind w:right="4"/>
        <w:rPr>
          <w:u w:val="single"/>
        </w:rPr>
      </w:pPr>
    </w:p>
    <w:p w14:paraId="47CC644F" w14:textId="1FE0C864" w:rsidR="00DF02D3" w:rsidRPr="00FF756A" w:rsidRDefault="00DF02D3" w:rsidP="004A3257">
      <w:pPr>
        <w:shd w:val="clear" w:color="auto" w:fill="FFFFFF"/>
        <w:ind w:right="4"/>
        <w:rPr>
          <w:u w:val="single"/>
        </w:rPr>
      </w:pPr>
      <w:r w:rsidRPr="00FF756A">
        <w:rPr>
          <w:u w:val="single"/>
        </w:rPr>
        <w:t>Impianti fotovoltaik i Karavastasë</w:t>
      </w:r>
    </w:p>
    <w:p w14:paraId="0743FD6B" w14:textId="2120527D" w:rsidR="002B5060" w:rsidRPr="00FF756A" w:rsidRDefault="002B5060" w:rsidP="00A42A65">
      <w:pPr>
        <w:shd w:val="clear" w:color="auto" w:fill="FFFFFF"/>
        <w:ind w:right="4"/>
      </w:pPr>
      <w:r w:rsidRPr="00FF756A">
        <w:t xml:space="preserve">Në vitin 2020, Ministria e Infrastrukturës dhe Energjisë nënshkroi Marrëveshjen e Zhvillimit të Projektit me Voltalia a.s. për ndërtimin e impiantit fotovoltaik në Remas - Karavasta (pranë zonës së Lushnjës) me një kapacitet të instaluar prej 140 MW, ku 70 MW do të ofrohen si pjesë e masave mbështetëse me një çmim prej 24,89 euro/Mwh për 15 vite dhe 70 MW do të tregtohen në tregun e lirë. Parku diellor i Karavastasë ka hyrë në </w:t>
      </w:r>
      <w:r w:rsidR="00813FDD" w:rsidRPr="00FF756A">
        <w:t>prodhim</w:t>
      </w:r>
      <w:r w:rsidRPr="00FF756A">
        <w:t xml:space="preserve"> në janar të vitit 2024. </w:t>
      </w:r>
    </w:p>
    <w:p w14:paraId="1EEFB983" w14:textId="77777777" w:rsidR="00663DC8" w:rsidRPr="00FF756A" w:rsidRDefault="00663DC8" w:rsidP="00A42A65">
      <w:pPr>
        <w:shd w:val="clear" w:color="auto" w:fill="FFFFFF"/>
        <w:ind w:right="4"/>
        <w:rPr>
          <w:u w:val="single"/>
        </w:rPr>
      </w:pPr>
    </w:p>
    <w:p w14:paraId="47E78EF1" w14:textId="358C12B9" w:rsidR="00DF02D3" w:rsidRPr="00FF756A" w:rsidRDefault="00DF02D3" w:rsidP="004A3257">
      <w:pPr>
        <w:shd w:val="clear" w:color="auto" w:fill="FFFFFF"/>
        <w:ind w:right="4"/>
        <w:rPr>
          <w:u w:val="single"/>
        </w:rPr>
      </w:pPr>
      <w:r w:rsidRPr="00FF756A">
        <w:rPr>
          <w:u w:val="single"/>
        </w:rPr>
        <w:t>Impianti fotovoltaik i Spitallës</w:t>
      </w:r>
    </w:p>
    <w:p w14:paraId="3561C45A" w14:textId="77777777" w:rsidR="002B5060" w:rsidRPr="00FF756A" w:rsidRDefault="002B5060" w:rsidP="00A42A65">
      <w:pPr>
        <w:shd w:val="clear" w:color="auto" w:fill="FFFFFF"/>
        <w:ind w:right="4"/>
      </w:pPr>
      <w:r w:rsidRPr="00FF756A">
        <w:t xml:space="preserve">Ministria e Infrastrukturës dhe Energjisë ka zhvilluar procedurën konkurruese për ndërtimin e parkut fotovoltaik të Spitallës në Durrës, me një kapacitet të instaluar prej 100 MW, nga të cilat 70 MW do të ofrohen si pjesë e masave mbështetëse me një çmim prej 29.89 euro/MWh për 15 vite, ndërsa pjesa e mbetur prej 30 MW </w:t>
      </w:r>
      <w:r w:rsidRPr="00FF756A">
        <w:rPr>
          <w:u w:val="single"/>
        </w:rPr>
        <w:t xml:space="preserve">do të tregtohet në tregun e lirë. </w:t>
      </w:r>
      <w:r w:rsidRPr="00FF756A">
        <w:t>Marrëveshja e Projektit dhe PPA-ja u nënshkruan në qershor 2021. Projekti është në zbatim e sipër. Ofertuesi është në proces të marrjes së lejeve në përputhje me kontratat e nënshkruara.</w:t>
      </w:r>
    </w:p>
    <w:p w14:paraId="74FBF076" w14:textId="77777777" w:rsidR="00663DC8" w:rsidRPr="00FF756A" w:rsidRDefault="00663DC8" w:rsidP="00A42A65">
      <w:pPr>
        <w:shd w:val="clear" w:color="auto" w:fill="FFFFFF"/>
        <w:ind w:right="4"/>
        <w:rPr>
          <w:u w:val="single"/>
        </w:rPr>
      </w:pPr>
    </w:p>
    <w:p w14:paraId="468B759C" w14:textId="7A4251E9" w:rsidR="002B5060" w:rsidRPr="00FF756A" w:rsidRDefault="00A42A65" w:rsidP="004A3257">
      <w:pPr>
        <w:shd w:val="clear" w:color="auto" w:fill="FFFFFF"/>
        <w:ind w:right="4"/>
        <w:rPr>
          <w:rFonts w:eastAsia="Times New Roman"/>
          <w:u w:val="single"/>
        </w:rPr>
      </w:pPr>
      <w:r w:rsidRPr="00FF756A">
        <w:rPr>
          <w:u w:val="single"/>
        </w:rPr>
        <w:t>Impianti eolik në proces përgatitor</w:t>
      </w:r>
    </w:p>
    <w:p w14:paraId="1BF54C55" w14:textId="05ED9667" w:rsidR="00915026" w:rsidRDefault="002B5060" w:rsidP="00A42A65">
      <w:pPr>
        <w:shd w:val="clear" w:color="auto" w:fill="FFFFFF"/>
        <w:ind w:right="4"/>
      </w:pPr>
      <w:r w:rsidRPr="00FF756A">
        <w:t xml:space="preserve">Ministria e Infrastrukturës dhe Energjisë shpalli gjithashtu një proces konkurrues për </w:t>
      </w:r>
      <w:r w:rsidR="0021143C" w:rsidRPr="00FF756A">
        <w:t>prodhuesit e</w:t>
      </w:r>
      <w:r w:rsidRPr="00FF756A">
        <w:t xml:space="preserve"> energjisë elektrike </w:t>
      </w:r>
      <w:r w:rsidR="00CE3B6C" w:rsidRPr="00FF756A">
        <w:t xml:space="preserve"> nga era </w:t>
      </w:r>
      <w:r w:rsidRPr="00FF756A">
        <w:t xml:space="preserve">me kapacitet </w:t>
      </w:r>
      <w:r w:rsidR="00915026" w:rsidRPr="00FF756A">
        <w:t>të instaluar nga 10 MW deri në 75 MW. Përmes këtij procedimi tenderimi, Ministria zgjodhi projekte me një kapacitet total prej 150 MW duke ofruar masa mbështetëse. Aplikantët e mundshëm duhej të identifikonin dhe propozonin vende të përshtatshme për projektimin, financimin, ndërtimin dhe operimin e parqeve eolike. Kontratatat e fazës së parë u dhanë në qershor 2023, ndërsa në korrik 2023 u zhvillua faza e fundit e ofertave ekonomike dhe tre ofertues janë shpallur fitues me një kapacitet total të instaluar prej 222,5 MW.</w:t>
      </w:r>
    </w:p>
    <w:p w14:paraId="5DF0622F" w14:textId="77777777" w:rsidR="00116DE3" w:rsidRPr="00FF756A" w:rsidRDefault="00116DE3" w:rsidP="00A42A65">
      <w:pPr>
        <w:shd w:val="clear" w:color="auto" w:fill="FFFFFF"/>
        <w:ind w:right="4"/>
      </w:pPr>
    </w:p>
    <w:p w14:paraId="30508AE5" w14:textId="5CD441A6" w:rsidR="002B5060" w:rsidRPr="00FF756A" w:rsidRDefault="00A42A65" w:rsidP="00A42A65">
      <w:pPr>
        <w:shd w:val="clear" w:color="auto" w:fill="FFFFFF"/>
        <w:ind w:right="4"/>
        <w:rPr>
          <w:u w:val="single"/>
        </w:rPr>
      </w:pPr>
      <w:r w:rsidRPr="00FF756A">
        <w:rPr>
          <w:u w:val="single"/>
        </w:rPr>
        <w:t>Impianti fotovoltaik në proces përgatitor</w:t>
      </w:r>
    </w:p>
    <w:p w14:paraId="2224C4E2" w14:textId="4571F98A" w:rsidR="00D04358" w:rsidRPr="00FF756A" w:rsidRDefault="00D04358" w:rsidP="00A42A65">
      <w:pPr>
        <w:pStyle w:val="Text1"/>
        <w:tabs>
          <w:tab w:val="left" w:pos="851"/>
        </w:tabs>
        <w:spacing w:before="60" w:after="60" w:line="276" w:lineRule="auto"/>
        <w:ind w:left="0"/>
        <w:jc w:val="lowKashida"/>
        <w:rPr>
          <w:sz w:val="22"/>
          <w:szCs w:val="22"/>
        </w:rPr>
      </w:pPr>
      <w:r w:rsidRPr="00FF756A">
        <w:rPr>
          <w:sz w:val="22"/>
          <w:szCs w:val="22"/>
        </w:rPr>
        <w:t xml:space="preserve">Për të rritur përdorimin e burimeve të rinovueshme në përzierjen e energjisë, Ministria e Infrastrukturës dhe Energjisë më 15 janar 2024 shpalli fillimin e procedurës konkurruese për përzgjedhjen e projekteve për “Projektimin, financimin, ndërtimin, operimin dhe mirëmbajtjen e disa impianteve fotovoltaike, secili me kapacitet të instaluar midis 10 MW dhe 100 MW (përfshirë), që do të përfitojnë </w:t>
      </w:r>
      <w:r w:rsidR="00997FC1" w:rsidRPr="00FF756A">
        <w:rPr>
          <w:sz w:val="22"/>
          <w:szCs w:val="22"/>
        </w:rPr>
        <w:t xml:space="preserve">nga </w:t>
      </w:r>
      <w:r w:rsidRPr="00FF756A">
        <w:rPr>
          <w:sz w:val="22"/>
          <w:szCs w:val="22"/>
        </w:rPr>
        <w:t>masa</w:t>
      </w:r>
      <w:r w:rsidR="00997FC1" w:rsidRPr="00FF756A">
        <w:rPr>
          <w:sz w:val="22"/>
          <w:szCs w:val="22"/>
        </w:rPr>
        <w:t>t</w:t>
      </w:r>
      <w:r w:rsidRPr="00FF756A">
        <w:rPr>
          <w:sz w:val="22"/>
          <w:szCs w:val="22"/>
        </w:rPr>
        <w:t xml:space="preserve"> mbështetëse, me </w:t>
      </w:r>
      <w:r w:rsidR="00997FC1" w:rsidRPr="00FF756A">
        <w:rPr>
          <w:sz w:val="22"/>
          <w:szCs w:val="22"/>
        </w:rPr>
        <w:t xml:space="preserve">një </w:t>
      </w:r>
      <w:r w:rsidRPr="00FF756A">
        <w:rPr>
          <w:sz w:val="22"/>
          <w:szCs w:val="22"/>
        </w:rPr>
        <w:t>vendndodhje të zgjedhur nga ofertuesi në Republikën e Shqipërisë” për një kapacitet maksimal prej 300 MW.</w:t>
      </w:r>
    </w:p>
    <w:p w14:paraId="22E762F4" w14:textId="77777777" w:rsidR="002B5060" w:rsidRPr="00FF756A" w:rsidRDefault="002B5060" w:rsidP="00A42A65">
      <w:pPr>
        <w:pStyle w:val="Text1"/>
        <w:tabs>
          <w:tab w:val="left" w:pos="851"/>
        </w:tabs>
        <w:spacing w:before="60" w:after="60" w:line="276" w:lineRule="auto"/>
        <w:ind w:left="0"/>
        <w:jc w:val="lowKashida"/>
        <w:rPr>
          <w:sz w:val="22"/>
          <w:szCs w:val="22"/>
        </w:rPr>
      </w:pPr>
      <w:r w:rsidRPr="00FF756A">
        <w:rPr>
          <w:sz w:val="22"/>
          <w:szCs w:val="22"/>
        </w:rPr>
        <w:t>Më 10 korrik 2024, Ministria e Energjisë dhe Infrastrukturës shpalli tetë fitues të cilët ofruan 283,9 MW. Çmimi tavan ishte 59,97 Euro/MWh, me ofertën më të ulët në vlerën 39,7 Euro/MWh dhe çmimin mesatar në vlerën 51,3 Euro/MWh. Ofertuesve të suksesshëm do t'u akordohet një marrëveshje 15-</w:t>
      </w:r>
      <w:r w:rsidRPr="00FF756A">
        <w:rPr>
          <w:sz w:val="22"/>
          <w:szCs w:val="22"/>
        </w:rPr>
        <w:lastRenderedPageBreak/>
        <w:t xml:space="preserve">vjeçare për blerjen e energjisë (PPA) me qeverinë shqiptare, e konvertueshme në një kontratë për diferencë (CfD).  </w:t>
      </w:r>
    </w:p>
    <w:p w14:paraId="557A0763" w14:textId="77777777" w:rsidR="00AE75D2" w:rsidRPr="00FF756A" w:rsidRDefault="00AE75D2" w:rsidP="00A42A65">
      <w:pPr>
        <w:pStyle w:val="Text1"/>
        <w:tabs>
          <w:tab w:val="left" w:pos="851"/>
        </w:tabs>
        <w:spacing w:before="60" w:after="60" w:line="276" w:lineRule="auto"/>
        <w:ind w:left="0"/>
        <w:jc w:val="lowKashida"/>
        <w:rPr>
          <w:sz w:val="22"/>
          <w:szCs w:val="22"/>
        </w:rPr>
      </w:pPr>
    </w:p>
    <w:p w14:paraId="4BA4EAA5" w14:textId="4FF1EF97" w:rsidR="002B5060" w:rsidRPr="00FF756A" w:rsidRDefault="00A42A65" w:rsidP="00A42A65">
      <w:pPr>
        <w:shd w:val="clear" w:color="auto" w:fill="FFFFFF"/>
        <w:ind w:right="4"/>
        <w:rPr>
          <w:u w:val="single"/>
        </w:rPr>
      </w:pPr>
      <w:r w:rsidRPr="00FF756A">
        <w:rPr>
          <w:u w:val="single"/>
        </w:rPr>
        <w:t xml:space="preserve">Centralet me gaz </w:t>
      </w:r>
    </w:p>
    <w:p w14:paraId="417B481A" w14:textId="302F7729" w:rsidR="00FF4BB0" w:rsidRPr="00FF756A" w:rsidRDefault="00D17191" w:rsidP="00FF4BB0">
      <w:pPr>
        <w:shd w:val="clear" w:color="auto" w:fill="FFFFFF"/>
        <w:ind w:right="4"/>
      </w:pPr>
      <w:r w:rsidRPr="00FF756A">
        <w:t>Centralet me gaz parashikohen të jenë aktualisht të nevojshme si një teknologji kalimi për të stabilizuar furnizimin me energji elektrike për shkak të rritjes së pjesës së burimeve të rinovueshme që kanë luhatje.</w:t>
      </w:r>
      <w:r w:rsidR="00FF4BB0" w:rsidRPr="00FF756A">
        <w:t xml:space="preserve"> </w:t>
      </w:r>
    </w:p>
    <w:p w14:paraId="37349714" w14:textId="5633164F" w:rsidR="00DA2EDE" w:rsidRPr="00FF756A" w:rsidRDefault="00DA2EDE" w:rsidP="00A42A65">
      <w:pPr>
        <w:shd w:val="clear" w:color="auto" w:fill="FFFFFF"/>
        <w:ind w:right="4"/>
      </w:pPr>
      <w:r w:rsidRPr="00FF756A">
        <w:t>Termocentrali i Vlorës (</w:t>
      </w:r>
      <w:r w:rsidRPr="00FF756A">
        <w:rPr>
          <w:i/>
          <w:iCs/>
        </w:rPr>
        <w:t>i ndërtuar me financim nga BERZH-i në vlerën 40 milionë euro, financim nga BEI në vlerën 40 milionë euro dhe financim nga BB* në vlerën 20,5 milionë euro</w:t>
      </w:r>
      <w:r w:rsidRPr="00FF756A">
        <w:t xml:space="preserve">) nuk është vënë kurrë në </w:t>
      </w:r>
      <w:r w:rsidR="00313CF3" w:rsidRPr="00FF756A">
        <w:t>punë</w:t>
      </w:r>
      <w:r w:rsidRPr="00FF756A">
        <w:t xml:space="preserve"> që prej përfundimit të tij në vitin 2011. Kjo për shkak të një defekti në sistemin e ftohjes së impiantit, i cili nuk është riparuar ende. Pas lidhjes së termocentralit të Vlorës me TAP-in, inkurajohet kalimi i tij nga përdorimi i naftës në përdorimin e gazit. Kjo do të kontribuonte në stabilizimin e </w:t>
      </w:r>
      <w:r w:rsidR="00313CF3" w:rsidRPr="00FF756A">
        <w:t>prodhimit</w:t>
      </w:r>
      <w:r w:rsidRPr="00FF756A">
        <w:t xml:space="preserve"> të energjisë elektrike gjatë periudhave të thatësirës në pjesën jugore të Shqipërisë. Megjithatë, kjo do të rrisë konsumin e gazit, e për rrjedhojë edhe shkarkimet e CO</w:t>
      </w:r>
      <w:r w:rsidRPr="00FF756A">
        <w:rPr>
          <w:vertAlign w:val="subscript"/>
        </w:rPr>
        <w:t>2</w:t>
      </w:r>
      <w:r w:rsidRPr="00FF756A">
        <w:t>, ndaj duhet marrë në konsideratë përkatësisht në planifikimin strategjik.</w:t>
      </w:r>
    </w:p>
    <w:p w14:paraId="77949B3A" w14:textId="65575069" w:rsidR="00DA2EDE" w:rsidRPr="00FF756A" w:rsidRDefault="00913958" w:rsidP="0095685A">
      <w:pPr>
        <w:shd w:val="clear" w:color="auto" w:fill="FFFFFF"/>
        <w:ind w:right="4"/>
      </w:pPr>
      <w:r w:rsidRPr="00FF756A">
        <w:t>Projek</w:t>
      </w:r>
      <w:r w:rsidR="002223DC" w:rsidRPr="00FF756A">
        <w:t xml:space="preserve">ti i </w:t>
      </w:r>
      <w:r w:rsidRPr="00FF756A">
        <w:t xml:space="preserve">termocentralit të Roskovecit është vlerësuar si mënyra më e mirë për një kontribut minimal përsa i përket emetimeve të gazeve serrë, pasi është projektuar për </w:t>
      </w:r>
      <w:r w:rsidR="00E135A9" w:rsidRPr="00FF756A">
        <w:t>të përdorur</w:t>
      </w:r>
      <w:r w:rsidRPr="00FF756A">
        <w:t xml:space="preserve"> gaz natyror për funksionimin e këtij TEC-i, i cili do të kontribuojë në diversifikimin e burimeve të energjisë dhe sigurinë. e furnizimit në fazën e tranzicionit, me ndikim minimal në mjedis.</w:t>
      </w:r>
    </w:p>
    <w:p w14:paraId="19075C9A" w14:textId="77777777" w:rsidR="00913958" w:rsidRPr="00FF756A" w:rsidRDefault="00913958" w:rsidP="0095685A">
      <w:pPr>
        <w:shd w:val="clear" w:color="auto" w:fill="FFFFFF"/>
        <w:ind w:right="4"/>
        <w:rPr>
          <w:color w:val="000000" w:themeColor="text1"/>
        </w:rPr>
      </w:pPr>
    </w:p>
    <w:p w14:paraId="1B13EC6B" w14:textId="61B4B7D1" w:rsidR="00DA2EDE" w:rsidRPr="00FF756A" w:rsidRDefault="00DA2EDE" w:rsidP="0095685A">
      <w:pPr>
        <w:shd w:val="clear" w:color="auto" w:fill="FFFFFF"/>
        <w:ind w:right="4"/>
        <w:rPr>
          <w:b/>
          <w:bCs/>
          <w:color w:val="000000" w:themeColor="text1"/>
        </w:rPr>
      </w:pPr>
      <w:r w:rsidRPr="00FF756A">
        <w:rPr>
          <w:b/>
          <w:bCs/>
          <w:color w:val="000000" w:themeColor="text1"/>
        </w:rPr>
        <w:t xml:space="preserve">Struktura e sektorit të energjisë </w:t>
      </w:r>
    </w:p>
    <w:p w14:paraId="66619185" w14:textId="77777777" w:rsidR="00DA2EDE" w:rsidRPr="00FF756A" w:rsidRDefault="00DA2EDE" w:rsidP="0095685A">
      <w:pPr>
        <w:shd w:val="clear" w:color="auto" w:fill="FFFFFF"/>
        <w:ind w:right="6"/>
        <w:rPr>
          <w:color w:val="000000" w:themeColor="text1"/>
        </w:rPr>
      </w:pPr>
      <w:r w:rsidRPr="00FF756A">
        <w:rPr>
          <w:color w:val="000000" w:themeColor="text1"/>
        </w:rPr>
        <w:t>Më poshtë jepet një paraqitje në formë grafike e strukturës së sistemit shqiptar të energjisë:</w:t>
      </w:r>
    </w:p>
    <w:p w14:paraId="4818948D" w14:textId="1AA34F20" w:rsidR="00DA2EDE" w:rsidRPr="00FF756A" w:rsidRDefault="00DA2EDE" w:rsidP="0095685A">
      <w:pPr>
        <w:shd w:val="clear" w:color="auto" w:fill="FFFFFF"/>
        <w:ind w:right="4"/>
      </w:pPr>
      <w:bookmarkStart w:id="21" w:name="_Hlk178684496"/>
      <w:r w:rsidRPr="00FF756A">
        <w:t xml:space="preserve">Për sa i përket </w:t>
      </w:r>
      <w:r w:rsidRPr="00FF756A">
        <w:rPr>
          <w:b/>
          <w:bCs/>
        </w:rPr>
        <w:t xml:space="preserve">Konsumit të brendshëm bruto </w:t>
      </w:r>
      <w:r w:rsidRPr="00FF756A">
        <w:t>, sistemi</w:t>
      </w:r>
      <w:r w:rsidR="00575D61" w:rsidRPr="00FF756A">
        <w:t xml:space="preserve"> </w:t>
      </w:r>
      <w:r w:rsidR="00B54E3B" w:rsidRPr="00FF756A">
        <w:t xml:space="preserve">energjetik është dominuar </w:t>
      </w:r>
      <w:r w:rsidRPr="00FF756A">
        <w:t>dhe vazhdojnë të mbizotërojnë nënproduktet e naftës për përdorim në transport (rreth 53,3%), të pasuara nga energjia elektrike e prodhuar nga burime hidrike (rreth 28,17%), ndërsa vendin e tretë e mban biomasa (lënda drusore si lënde djegëse, rreth 6,8%) e cila gjen përdorim për ngrohje, gatim dhe ujë të ngrohtë në banesa. Lënda drusore si lëndë djegëse përdoret kryesisht në banesa (në zonat rurale) dhe në sektorin e shërbimeve (</w:t>
      </w:r>
      <w:r w:rsidRPr="00FF756A">
        <w:fldChar w:fldCharType="begin"/>
      </w:r>
      <w:r w:rsidRPr="00FF756A">
        <w:instrText xml:space="preserve"> REF _Ref45737493 \h  \* MERGEFORMAT </w:instrText>
      </w:r>
      <w:r w:rsidRPr="00FF756A">
        <w:fldChar w:fldCharType="separate"/>
      </w:r>
      <w:r w:rsidR="001438D2" w:rsidRPr="00FF756A">
        <w:t>Figura 4</w:t>
      </w:r>
      <w:r w:rsidRPr="00FF756A">
        <w:fldChar w:fldCharType="end"/>
      </w:r>
      <w:r w:rsidRPr="00FF756A">
        <w:t>).</w:t>
      </w:r>
    </w:p>
    <w:bookmarkEnd w:id="21"/>
    <w:p w14:paraId="18BC95A2" w14:textId="715165A4" w:rsidR="002D5AC0" w:rsidRPr="00FF756A" w:rsidRDefault="002D5AC0" w:rsidP="00EF0D31">
      <w:pPr>
        <w:shd w:val="clear" w:color="auto" w:fill="FFFFFF"/>
        <w:ind w:right="6"/>
        <w:rPr>
          <w:b/>
          <w:bCs/>
        </w:rPr>
      </w:pPr>
    </w:p>
    <w:p w14:paraId="554DFCC6" w14:textId="77777777" w:rsidR="009D5619" w:rsidRPr="00FF756A" w:rsidRDefault="006A2FD6" w:rsidP="009D5619">
      <w:pPr>
        <w:keepNext/>
        <w:shd w:val="clear" w:color="auto" w:fill="FFFFFF" w:themeFill="background1"/>
        <w:ind w:right="4"/>
      </w:pPr>
      <w:r w:rsidRPr="00FF756A">
        <w:rPr>
          <w:noProof/>
          <w:lang w:val="en-US"/>
        </w:rPr>
        <w:drawing>
          <wp:inline distT="0" distB="0" distL="0" distR="0" wp14:anchorId="0BC21B79" wp14:editId="08A03C0B">
            <wp:extent cx="5935980" cy="3055620"/>
            <wp:effectExtent l="0" t="0" r="7620" b="11430"/>
            <wp:docPr id="386561919" name="Chart 1">
              <a:extLst xmlns:a="http://schemas.openxmlformats.org/drawingml/2006/main">
                <a:ext uri="{FF2B5EF4-FFF2-40B4-BE49-F238E27FC236}">
                  <a16:creationId xmlns:a16="http://schemas.microsoft.com/office/drawing/2014/main" id="{4D5B29EC-E9F8-B68A-549D-20069EF342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13AEB99" w14:textId="36D73D92" w:rsidR="006A2FD6" w:rsidRPr="00FF756A" w:rsidRDefault="009D5619" w:rsidP="009D5619">
      <w:pPr>
        <w:pStyle w:val="Caption"/>
        <w:rPr>
          <w:rFonts w:ascii="Times New Roman" w:hAnsi="Times New Roman"/>
        </w:rPr>
      </w:pPr>
      <w:bookmarkStart w:id="22" w:name="_Toc183016534"/>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4</w:t>
      </w:r>
      <w:r w:rsidR="008E7DE9" w:rsidRPr="00FF756A">
        <w:rPr>
          <w:rFonts w:ascii="Times New Roman" w:hAnsi="Times New Roman"/>
          <w:noProof/>
        </w:rPr>
        <w:fldChar w:fldCharType="end"/>
      </w:r>
      <w:r w:rsidRPr="00FF756A">
        <w:rPr>
          <w:rFonts w:ascii="Times New Roman" w:hAnsi="Times New Roman"/>
        </w:rPr>
        <w:t>: Konsumi i brendshëm bruto (ktoe)(Burimi: Bilanci Kombëtar i Energjisë)</w:t>
      </w:r>
      <w:bookmarkEnd w:id="22"/>
    </w:p>
    <w:p w14:paraId="4C6CFA10" w14:textId="10D5914A" w:rsidR="006A2FD6" w:rsidRPr="00FF756A" w:rsidRDefault="006A2FD6" w:rsidP="006A2FD6">
      <w:pPr>
        <w:pStyle w:val="Caption"/>
        <w:rPr>
          <w:rFonts w:ascii="Times New Roman" w:hAnsi="Times New Roman"/>
        </w:rPr>
      </w:pPr>
    </w:p>
    <w:p w14:paraId="26C12878" w14:textId="34286EF6" w:rsidR="00DA2EDE" w:rsidRPr="00FF756A" w:rsidRDefault="00DA2EDE" w:rsidP="009C7DFF">
      <w:pPr>
        <w:shd w:val="clear" w:color="auto" w:fill="FFFFFF"/>
        <w:ind w:right="6"/>
      </w:pPr>
      <w:bookmarkStart w:id="23" w:name="_Hlk178684815"/>
      <w:r w:rsidRPr="00FF756A">
        <w:rPr>
          <w:b/>
          <w:bCs/>
        </w:rPr>
        <w:t>Varësia nga importet</w:t>
      </w:r>
      <w:r w:rsidRPr="00FF756A">
        <w:t xml:space="preserve"> është një nga arsyet kryesore pse sistemi shqiptar i energjisë duhet të zhvillohet për t’u transformuar në një sistem energjie të diversifikuar që përdor burime alternative të energjisë, të tilla si gazi dhe burimet e rinovueshme me shkarkime më të ulëta të GES-ve, dhe që zbaton masa të efiçencës së energjisë të bazuara në efikasitetin e kostos. Sistemi duhet të mbështetet te prodhimi i brendshëm dhe të jetë i përballueshëm për konsumatorët, duke </w:t>
      </w:r>
      <w:r w:rsidR="00D61106" w:rsidRPr="00FF756A">
        <w:t>ndihmuar</w:t>
      </w:r>
      <w:r w:rsidRPr="00FF756A">
        <w:t xml:space="preserve"> në reduktimin e varfërisë. Figura 5 tregon varësinë e sistemit të energjisë nga importet. Përqindja e importeve në Konsumin</w:t>
      </w:r>
      <w:r w:rsidRPr="00FF756A">
        <w:rPr>
          <w:sz w:val="18"/>
          <w:szCs w:val="18"/>
        </w:rPr>
        <w:t xml:space="preserve"> </w:t>
      </w:r>
      <w:r w:rsidRPr="00FF756A">
        <w:t>e Brendshëm Bruto</w:t>
      </w:r>
      <w:r w:rsidRPr="00FF756A">
        <w:rPr>
          <w:sz w:val="18"/>
          <w:szCs w:val="18"/>
        </w:rPr>
        <w:t xml:space="preserve"> </w:t>
      </w:r>
      <w:r w:rsidRPr="00FF756A">
        <w:t xml:space="preserve">është e lartë dhe kjo ndikon në sigurinë e furnizimit. Sistemi i energjisë duhet të jetë më i diversifikuar dhe më efiçent, si pasojë dhe e rritjes së kërkesës për vetëplotësim të nevojave për energji. </w:t>
      </w:r>
      <w:bookmarkStart w:id="24" w:name="_Hlk178682615"/>
    </w:p>
    <w:bookmarkEnd w:id="23"/>
    <w:p w14:paraId="5B3A4FDF" w14:textId="58E040F8" w:rsidR="00DA2EDE" w:rsidRPr="00FF756A" w:rsidRDefault="00DA2EDE" w:rsidP="00EF0D31">
      <w:pPr>
        <w:ind w:right="4"/>
        <w:rPr>
          <w:i/>
          <w:iCs/>
        </w:rPr>
      </w:pPr>
    </w:p>
    <w:p w14:paraId="73E69D76" w14:textId="77777777" w:rsidR="009D5619" w:rsidRPr="00FF756A" w:rsidRDefault="006A2FD6" w:rsidP="009D5619">
      <w:pPr>
        <w:keepNext/>
      </w:pPr>
      <w:r w:rsidRPr="00FF756A">
        <w:rPr>
          <w:noProof/>
          <w:lang w:val="en-US"/>
        </w:rPr>
        <w:drawing>
          <wp:inline distT="0" distB="0" distL="0" distR="0" wp14:anchorId="1D62AD18" wp14:editId="6478376F">
            <wp:extent cx="5920740" cy="2713892"/>
            <wp:effectExtent l="0" t="0" r="3810" b="10795"/>
            <wp:docPr id="1237172216" name="Chart 1">
              <a:extLst xmlns:a="http://schemas.openxmlformats.org/drawingml/2006/main">
                <a:ext uri="{FF2B5EF4-FFF2-40B4-BE49-F238E27FC236}">
                  <a16:creationId xmlns:a16="http://schemas.microsoft.com/office/drawing/2014/main" id="{01639863-1BF5-E8FA-2FB4-6E9EF9AE6E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77520B3" w14:textId="4F354A33" w:rsidR="006A2FD6" w:rsidRPr="00FF756A" w:rsidRDefault="009D5619" w:rsidP="009D5619">
      <w:pPr>
        <w:pStyle w:val="Caption"/>
        <w:rPr>
          <w:rFonts w:ascii="Times New Roman" w:hAnsi="Times New Roman"/>
        </w:rPr>
      </w:pPr>
      <w:bookmarkStart w:id="25" w:name="_Toc183016535"/>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5</w:t>
      </w:r>
      <w:r w:rsidR="008E7DE9" w:rsidRPr="00FF756A">
        <w:rPr>
          <w:rFonts w:ascii="Times New Roman" w:hAnsi="Times New Roman"/>
          <w:noProof/>
        </w:rPr>
        <w:fldChar w:fldCharType="end"/>
      </w:r>
      <w:r w:rsidRPr="00FF756A">
        <w:rPr>
          <w:rFonts w:ascii="Times New Roman" w:hAnsi="Times New Roman"/>
        </w:rPr>
        <w:t>: Importet në raport me konsumin e brendshëm bruto për vitet 2004-2023, shprehur në % (Burimi: Bilanci Kombëtar i Energjisë)</w:t>
      </w:r>
      <w:bookmarkEnd w:id="25"/>
    </w:p>
    <w:p w14:paraId="03743D5C" w14:textId="25E740A5" w:rsidR="006A2FD6" w:rsidRPr="00FF756A" w:rsidRDefault="006A2FD6" w:rsidP="006A2FD6">
      <w:pPr>
        <w:pStyle w:val="Caption"/>
        <w:rPr>
          <w:rFonts w:ascii="Times New Roman" w:hAnsi="Times New Roman"/>
        </w:rPr>
      </w:pPr>
    </w:p>
    <w:p w14:paraId="2E293CBE" w14:textId="50646354" w:rsidR="00B51457" w:rsidRPr="00FF756A" w:rsidRDefault="00B51457" w:rsidP="00B51457">
      <w:pPr>
        <w:ind w:right="4"/>
        <w:jc w:val="center"/>
        <w:rPr>
          <w:i/>
          <w:iCs/>
        </w:rPr>
      </w:pPr>
    </w:p>
    <w:p w14:paraId="457F707B" w14:textId="77777777" w:rsidR="009D5619" w:rsidRPr="00FF756A" w:rsidRDefault="006A2FD6" w:rsidP="009D5619">
      <w:pPr>
        <w:keepNext/>
        <w:ind w:right="4"/>
      </w:pPr>
      <w:r w:rsidRPr="00FF756A">
        <w:rPr>
          <w:noProof/>
          <w:lang w:val="en-US"/>
        </w:rPr>
        <w:drawing>
          <wp:inline distT="0" distB="0" distL="0" distR="0" wp14:anchorId="32A94646" wp14:editId="687529D0">
            <wp:extent cx="5920740" cy="2910840"/>
            <wp:effectExtent l="0" t="0" r="3810" b="3810"/>
            <wp:docPr id="1334480723" name="Chart 1">
              <a:extLst xmlns:a="http://schemas.openxmlformats.org/drawingml/2006/main">
                <a:ext uri="{FF2B5EF4-FFF2-40B4-BE49-F238E27FC236}">
                  <a16:creationId xmlns:a16="http://schemas.microsoft.com/office/drawing/2014/main" id="{C70555F6-33CB-121B-374C-F6BEDEBAF3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7F2B9E5" w14:textId="50104CB3" w:rsidR="006A2FD6" w:rsidRPr="00FF756A" w:rsidRDefault="009D5619" w:rsidP="009D5619">
      <w:pPr>
        <w:pStyle w:val="Caption"/>
        <w:rPr>
          <w:rFonts w:ascii="Times New Roman" w:hAnsi="Times New Roman"/>
        </w:rPr>
      </w:pPr>
      <w:bookmarkStart w:id="26" w:name="_Toc183016536"/>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6</w:t>
      </w:r>
      <w:r w:rsidR="008E7DE9" w:rsidRPr="00FF756A">
        <w:rPr>
          <w:rFonts w:ascii="Times New Roman" w:hAnsi="Times New Roman"/>
          <w:noProof/>
        </w:rPr>
        <w:fldChar w:fldCharType="end"/>
      </w:r>
      <w:r w:rsidRPr="00FF756A">
        <w:rPr>
          <w:rFonts w:ascii="Times New Roman" w:hAnsi="Times New Roman"/>
        </w:rPr>
        <w:t>: Konsumi final i energjisë sipas sektorëve (ktoe) (Burimi: Bilanci Kombëtar i Energjisë)</w:t>
      </w:r>
      <w:bookmarkEnd w:id="26"/>
    </w:p>
    <w:p w14:paraId="05D24D74" w14:textId="4D03DF8F" w:rsidR="006A2FD6" w:rsidRPr="00FF756A" w:rsidRDefault="006A2FD6" w:rsidP="006A2FD6">
      <w:pPr>
        <w:pStyle w:val="Caption"/>
        <w:rPr>
          <w:rFonts w:ascii="Times New Roman" w:hAnsi="Times New Roman"/>
        </w:rPr>
      </w:pPr>
    </w:p>
    <w:p w14:paraId="75302309" w14:textId="77777777" w:rsidR="009C7DFF" w:rsidRPr="00FF756A" w:rsidRDefault="009C7DFF" w:rsidP="00EF0D31">
      <w:pPr>
        <w:shd w:val="clear" w:color="auto" w:fill="FFFFFF"/>
        <w:tabs>
          <w:tab w:val="left" w:pos="270"/>
        </w:tabs>
        <w:ind w:right="6"/>
      </w:pPr>
    </w:p>
    <w:p w14:paraId="18D81212" w14:textId="0E35A69E" w:rsidR="00DA2EDE" w:rsidRPr="00FF756A" w:rsidRDefault="00DA2EDE" w:rsidP="00EF0D31">
      <w:pPr>
        <w:shd w:val="clear" w:color="auto" w:fill="FFFFFF"/>
        <w:tabs>
          <w:tab w:val="left" w:pos="270"/>
        </w:tabs>
        <w:ind w:right="6"/>
      </w:pPr>
      <w:r w:rsidRPr="00FF756A">
        <w:t xml:space="preserve">Zhvillimi i konsumit final të energjisë gjatë viteve 2004-2019 mbizotërohet nga transporti, pasuar nga sektori i banesave dhe ai i tregtisë. Specifikisht, në vitin 2019 ka mbizotëruar sektori i transportit me 41,6%, në vend të dytë sektorin e banesave dhe atë të tregtisë me 34,7%. Industria mban vendin e tretë me 18%, ndërsa pjesa e mbetur i atribuohet bujqësisë dhe sektorëve të tjerë. </w:t>
      </w:r>
    </w:p>
    <w:p w14:paraId="3439F99B" w14:textId="2A55D726" w:rsidR="00DA2EDE" w:rsidRPr="00FF756A" w:rsidRDefault="00293A54" w:rsidP="00EF0D31">
      <w:pPr>
        <w:shd w:val="clear" w:color="auto" w:fill="FFFFFF"/>
        <w:ind w:right="4"/>
      </w:pPr>
      <w:r w:rsidRPr="00FF756A">
        <w:t>Figura 7 tregon se përqindja më e madhe e burimeve të energjisë mbizotërohet nga nafta dhe nënproduktet e naftës, veçanërisht në sektorin e transportit, pasuar nga burimet e energjisë hidrike dhe elektrike dhe biomasa.</w:t>
      </w:r>
    </w:p>
    <w:p w14:paraId="3CA04BD5" w14:textId="77777777" w:rsidR="00FB2AAA" w:rsidRPr="00FF756A" w:rsidRDefault="00FB2AAA" w:rsidP="00EF0D31">
      <w:pPr>
        <w:shd w:val="clear" w:color="auto" w:fill="FFFFFF"/>
        <w:ind w:right="4"/>
      </w:pPr>
    </w:p>
    <w:p w14:paraId="1F3696E8" w14:textId="77777777" w:rsidR="009D5619" w:rsidRPr="00FF756A" w:rsidRDefault="006A2FD6" w:rsidP="009D5619">
      <w:pPr>
        <w:keepNext/>
        <w:shd w:val="clear" w:color="auto" w:fill="FFFFFF" w:themeFill="background1"/>
        <w:ind w:right="4"/>
      </w:pPr>
      <w:r w:rsidRPr="00FF756A">
        <w:rPr>
          <w:noProof/>
          <w:lang w:val="en-US"/>
        </w:rPr>
        <w:drawing>
          <wp:inline distT="0" distB="0" distL="0" distR="0" wp14:anchorId="65D9126C" wp14:editId="3421F284">
            <wp:extent cx="5897880" cy="3070860"/>
            <wp:effectExtent l="0" t="0" r="7620" b="15240"/>
            <wp:docPr id="432523242" name="Chart 1">
              <a:extLst xmlns:a="http://schemas.openxmlformats.org/drawingml/2006/main">
                <a:ext uri="{FF2B5EF4-FFF2-40B4-BE49-F238E27FC236}">
                  <a16:creationId xmlns:a16="http://schemas.microsoft.com/office/drawing/2014/main" id="{46D7203D-6DE4-36C5-F607-B238915C23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13DF3EF" w14:textId="1EABD734" w:rsidR="006A2FD6" w:rsidRPr="00FF756A" w:rsidRDefault="009D5619" w:rsidP="006A2FD6">
      <w:pPr>
        <w:pStyle w:val="Caption"/>
        <w:rPr>
          <w:rFonts w:ascii="Times New Roman" w:hAnsi="Times New Roman"/>
        </w:rPr>
      </w:pPr>
      <w:bookmarkStart w:id="27" w:name="_Toc183016537"/>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7</w:t>
      </w:r>
      <w:r w:rsidR="008E7DE9" w:rsidRPr="00FF756A">
        <w:rPr>
          <w:rFonts w:ascii="Times New Roman" w:hAnsi="Times New Roman"/>
          <w:noProof/>
        </w:rPr>
        <w:fldChar w:fldCharType="end"/>
      </w:r>
      <w:r w:rsidRPr="00FF756A">
        <w:rPr>
          <w:rFonts w:ascii="Times New Roman" w:hAnsi="Times New Roman"/>
        </w:rPr>
        <w:t>: Konsumi final i energjisë për vitin 2023 sipas lëndës djegëse dhe sektorëve (Burimi: Bilanci Kombëtar i Energjisë)</w:t>
      </w:r>
      <w:bookmarkEnd w:id="27"/>
    </w:p>
    <w:p w14:paraId="2F298A93" w14:textId="30C3E29B" w:rsidR="00DA2EDE" w:rsidRPr="00FF756A" w:rsidRDefault="00DA2EDE" w:rsidP="143FF6DE">
      <w:pPr>
        <w:shd w:val="clear" w:color="auto" w:fill="FFFFFF" w:themeFill="background1"/>
        <w:ind w:right="4"/>
      </w:pPr>
    </w:p>
    <w:p w14:paraId="484625A2" w14:textId="0FDDD153" w:rsidR="00DA2EDE" w:rsidRPr="00FF756A" w:rsidRDefault="00DA2EDE" w:rsidP="00EF0D31">
      <w:r w:rsidRPr="00FF756A">
        <w:t xml:space="preserve">Bazuar në dokumentet e politikave të energjisë, sektorët që konsiderohet se kanë një potencial të lartë për kursim energjie janë sektori i transportit, ndërtesat publike dhe private dhe industria. </w:t>
      </w:r>
    </w:p>
    <w:p w14:paraId="4BB42289" w14:textId="77777777" w:rsidR="007B4DA0" w:rsidRPr="00FF756A" w:rsidRDefault="007B4DA0" w:rsidP="00EF0D31"/>
    <w:bookmarkEnd w:id="24"/>
    <w:p w14:paraId="461E8D32" w14:textId="77777777" w:rsidR="00DA2EDE" w:rsidRPr="00FF756A" w:rsidRDefault="00DA2EDE" w:rsidP="00EF0D31">
      <w:pPr>
        <w:rPr>
          <w:b/>
          <w:bCs/>
        </w:rPr>
      </w:pPr>
      <w:r w:rsidRPr="00FF756A">
        <w:rPr>
          <w:b/>
          <w:bCs/>
        </w:rPr>
        <w:t xml:space="preserve">Transmetimi dhe shpërndarja e energjisë elektrike </w:t>
      </w:r>
    </w:p>
    <w:p w14:paraId="1D1B8CBC" w14:textId="77777777" w:rsidR="00DA2EDE" w:rsidRPr="00FF756A" w:rsidRDefault="00DA2EDE" w:rsidP="00EF0D31">
      <w:r w:rsidRPr="00FF756A">
        <w:t>Një çështje thelbësore për performancën e shoqërive të transmetimit dhe shpërndarjes, si një aspekt mjaft i rëndësishëm i furnizimit me energji, është fenomeni i humbjeve në transmetim dhe në shpërndarje.</w:t>
      </w:r>
    </w:p>
    <w:p w14:paraId="44F2CC68" w14:textId="77777777" w:rsidR="00DA2EDE" w:rsidRPr="00FF756A" w:rsidRDefault="00DA2EDE" w:rsidP="00EF0D31">
      <w:pPr>
        <w:shd w:val="clear" w:color="auto" w:fill="FFFFFF"/>
        <w:ind w:right="4"/>
        <w:rPr>
          <w:highlight w:val="yellow"/>
        </w:rPr>
      </w:pPr>
    </w:p>
    <w:p w14:paraId="546706AC" w14:textId="77777777" w:rsidR="009D5619" w:rsidRPr="00FF756A" w:rsidRDefault="007E4E35" w:rsidP="009D5619">
      <w:pPr>
        <w:keepNext/>
        <w:shd w:val="clear" w:color="auto" w:fill="FFFFFF" w:themeFill="background1"/>
        <w:ind w:right="4"/>
        <w:jc w:val="center"/>
      </w:pPr>
      <w:r w:rsidRPr="00FF756A">
        <w:rPr>
          <w:noProof/>
          <w:lang w:val="en-US"/>
        </w:rPr>
        <w:lastRenderedPageBreak/>
        <w:drawing>
          <wp:inline distT="0" distB="0" distL="0" distR="0" wp14:anchorId="56D3BE62" wp14:editId="190F786D">
            <wp:extent cx="5859780" cy="3101340"/>
            <wp:effectExtent l="0" t="0" r="7620" b="3810"/>
            <wp:docPr id="1885121898" name="Chart 1">
              <a:extLst xmlns:a="http://schemas.openxmlformats.org/drawingml/2006/main">
                <a:ext uri="{FF2B5EF4-FFF2-40B4-BE49-F238E27FC236}">
                  <a16:creationId xmlns:a16="http://schemas.microsoft.com/office/drawing/2014/main" id="{318F8CD5-AA0E-B12D-7B39-8932729504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1988FE4" w14:textId="33981D7F" w:rsidR="00DA2EDE" w:rsidRPr="00FF756A" w:rsidRDefault="009D5619" w:rsidP="009D5619">
      <w:pPr>
        <w:pStyle w:val="Caption"/>
        <w:jc w:val="center"/>
        <w:rPr>
          <w:rFonts w:ascii="Times New Roman" w:hAnsi="Times New Roman"/>
          <w:highlight w:val="yellow"/>
        </w:rPr>
      </w:pPr>
      <w:bookmarkStart w:id="28" w:name="_Toc183016538"/>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8</w:t>
      </w:r>
      <w:r w:rsidR="008E7DE9" w:rsidRPr="00FF756A">
        <w:rPr>
          <w:rFonts w:ascii="Times New Roman" w:hAnsi="Times New Roman"/>
          <w:noProof/>
        </w:rPr>
        <w:fldChar w:fldCharType="end"/>
      </w:r>
      <w:r w:rsidRPr="00FF756A">
        <w:rPr>
          <w:rFonts w:ascii="Times New Roman" w:hAnsi="Times New Roman"/>
        </w:rPr>
        <w:t>: Humbjet në transmetim dhe në shpërndarje në raport me energjinë elektrike të transmetuar dhe të shpërndarë në rrjete (Burimi: raportet vjetore të ERE)</w:t>
      </w:r>
      <w:bookmarkEnd w:id="28"/>
    </w:p>
    <w:p w14:paraId="44D4FD10" w14:textId="22FC26BD" w:rsidR="00DA2EDE" w:rsidRPr="00FF756A" w:rsidRDefault="00DA2EDE" w:rsidP="00EF0D31">
      <w:pPr>
        <w:pStyle w:val="Caption"/>
        <w:rPr>
          <w:rFonts w:ascii="Times New Roman" w:hAnsi="Times New Roman"/>
        </w:rPr>
      </w:pPr>
      <w:bookmarkStart w:id="29" w:name="_Hlk178690791"/>
    </w:p>
    <w:bookmarkEnd w:id="29"/>
    <w:p w14:paraId="273FEE6C" w14:textId="105AAAF6" w:rsidR="00A11089" w:rsidRPr="00FF756A" w:rsidRDefault="00DA2EDE" w:rsidP="00EF0D31">
      <w:r w:rsidRPr="00FF756A">
        <w:t xml:space="preserve">Bazuar në raportet vjetore të ERE, </w:t>
      </w:r>
      <w:r w:rsidR="00603C40" w:rsidRPr="00FF756A">
        <w:t xml:space="preserve">ka pasur disa arritje lidhur në reduktimin e humbjeve teknike në transmetim dhe në shpërndarje, </w:t>
      </w:r>
      <w:r w:rsidRPr="00FF756A">
        <w:t>falë investimeve në funksion të efiçencës së energjisë</w:t>
      </w:r>
      <w:r w:rsidR="00D04E3E" w:rsidRPr="00FF756A">
        <w:t>.</w:t>
      </w:r>
      <w:r w:rsidRPr="00FF756A">
        <w:t xml:space="preserve"> Gjatë vitit 2023, efektiviteti i shitjeve të energjisë elektrike vazhdo</w:t>
      </w:r>
      <w:r w:rsidR="00711A8B" w:rsidRPr="00FF756A">
        <w:t>i të shënojë</w:t>
      </w:r>
      <w:r w:rsidRPr="00FF756A">
        <w:t xml:space="preserve"> rritje, duke iu referuar faktorëve </w:t>
      </w:r>
      <w:r w:rsidR="00B6746F" w:rsidRPr="00FF756A">
        <w:t>përcaktues në n</w:t>
      </w:r>
      <w:r w:rsidRPr="00FF756A">
        <w:t>ivelin e efi</w:t>
      </w:r>
      <w:r w:rsidR="00B6746F" w:rsidRPr="00FF756A">
        <w:t>kasitetit t</w:t>
      </w:r>
      <w:r w:rsidRPr="00FF756A">
        <w:t xml:space="preserve">ë konsumit të energjisë elektrike, </w:t>
      </w:r>
      <w:r w:rsidR="000C1E56" w:rsidRPr="00FF756A">
        <w:t>të cilët janë</w:t>
      </w:r>
      <w:r w:rsidRPr="00FF756A">
        <w:t>:</w:t>
      </w:r>
    </w:p>
    <w:p w14:paraId="3C7BBDF1" w14:textId="7651E7BC" w:rsidR="00A11089" w:rsidRPr="00FF756A" w:rsidRDefault="00A11089">
      <w:pPr>
        <w:pStyle w:val="ListParagraph"/>
        <w:numPr>
          <w:ilvl w:val="1"/>
          <w:numId w:val="3"/>
        </w:numPr>
      </w:pPr>
      <w:r w:rsidRPr="00FF756A">
        <w:t>niveli i humbjeve të energjisë elektrike në shpërndarje;</w:t>
      </w:r>
    </w:p>
    <w:p w14:paraId="740366B6" w14:textId="015D6B0D" w:rsidR="00A11089" w:rsidRPr="00FF756A" w:rsidRDefault="00A11089">
      <w:pPr>
        <w:pStyle w:val="ListParagraph"/>
        <w:numPr>
          <w:ilvl w:val="1"/>
          <w:numId w:val="3"/>
        </w:numPr>
      </w:pPr>
      <w:r w:rsidRPr="00FF756A">
        <w:t xml:space="preserve">niveli i arkëtimeve për energjinë </w:t>
      </w:r>
      <w:r w:rsidR="000C1E56" w:rsidRPr="00FF756A">
        <w:t>e faturuar</w:t>
      </w:r>
      <w:r w:rsidRPr="00FF756A">
        <w:t>.</w:t>
      </w:r>
    </w:p>
    <w:p w14:paraId="39FD237B" w14:textId="37205D04" w:rsidR="00DA2EDE" w:rsidRPr="00FF756A" w:rsidRDefault="00A11089" w:rsidP="00EF0D31">
      <w:r w:rsidRPr="00FF756A">
        <w:t>Humbjet totale të raportuara nga OSSH për vitin 2023 janë 18,93 %, duke shënuar</w:t>
      </w:r>
      <w:r w:rsidR="00EA3781" w:rsidRPr="00FF756A">
        <w:t xml:space="preserve"> një ulje </w:t>
      </w:r>
      <w:r w:rsidRPr="00FF756A">
        <w:t>të nivelit të humbjeve krahasuar me vitin 2022</w:t>
      </w:r>
      <w:r w:rsidR="00EA3781" w:rsidRPr="00FF756A">
        <w:t xml:space="preserve">, ku ato arritën deri në </w:t>
      </w:r>
      <w:r w:rsidRPr="00FF756A">
        <w:t xml:space="preserve">19,70%. Niveli i humbjeve në shpërndarje për vitin 2023 arrin deri në 2,17%, ndërsa për vitin 2022 </w:t>
      </w:r>
      <w:r w:rsidR="00E92781" w:rsidRPr="00FF756A">
        <w:t xml:space="preserve">këto </w:t>
      </w:r>
      <w:r w:rsidRPr="00FF756A">
        <w:t>humbje ishin 2,09%. Sipas ERE</w:t>
      </w:r>
      <w:r w:rsidR="00E92781" w:rsidRPr="00FF756A">
        <w:t>-s</w:t>
      </w:r>
      <w:r w:rsidRPr="00FF756A">
        <w:t xml:space="preserve">, humbjet në transmetim dhe shpërndarje </w:t>
      </w:r>
      <w:r w:rsidR="008065C0" w:rsidRPr="00FF756A">
        <w:t xml:space="preserve">ishin </w:t>
      </w:r>
      <w:r w:rsidRPr="00FF756A">
        <w:t>afërsisht 2,17% në vitin 2023. (</w:t>
      </w:r>
      <w:r w:rsidRPr="00FF756A">
        <w:rPr>
          <w:i/>
          <w:iCs/>
        </w:rPr>
        <w:t>Burimi: raportet vjetore të ERE</w:t>
      </w:r>
      <w:r w:rsidRPr="00FF756A">
        <w:t>)</w:t>
      </w:r>
    </w:p>
    <w:p w14:paraId="11C8F0EA" w14:textId="64CF086A" w:rsidR="007B4DA0" w:rsidRPr="00FF756A" w:rsidRDefault="007B4DA0" w:rsidP="00EF0D31">
      <w:bookmarkStart w:id="30" w:name="_Hlk178682640"/>
    </w:p>
    <w:p w14:paraId="233B388B" w14:textId="30801527" w:rsidR="00DA2EDE" w:rsidRPr="00FF756A" w:rsidRDefault="00DA2EDE" w:rsidP="00EF0D31">
      <w:pPr>
        <w:rPr>
          <w:b/>
          <w:bCs/>
        </w:rPr>
      </w:pPr>
      <w:r w:rsidRPr="00FF756A">
        <w:rPr>
          <w:b/>
          <w:bCs/>
        </w:rPr>
        <w:t xml:space="preserve">Intensiteti i energjisë </w:t>
      </w:r>
    </w:p>
    <w:p w14:paraId="31F4E0DF" w14:textId="76EC0190" w:rsidR="00DA2EDE" w:rsidRPr="00FF756A" w:rsidRDefault="00DA2EDE" w:rsidP="00EF0D31">
      <w:r w:rsidRPr="00FF756A">
        <w:t>Siç mund të shihet nga figura 9, për vitin 2014 intensiteti i energjisë ka qenë 0,219067 ktoe/miliardë euro PBB, teksa parashikohet të jetë 0,209423 për vitin 2020 dhe 0,175174 ktoe/miliardë euro PBB për vitin 2030. (</w:t>
      </w:r>
      <w:r w:rsidRPr="00FF756A">
        <w:rPr>
          <w:i/>
          <w:iCs/>
        </w:rPr>
        <w:t>Burimi: Strategjia Kombëtare e Energjisë</w:t>
      </w:r>
      <w:r w:rsidRPr="00FF756A">
        <w:t>)</w:t>
      </w:r>
    </w:p>
    <w:p w14:paraId="1A63A394" w14:textId="27568650" w:rsidR="00DA2EDE" w:rsidRPr="00FF756A" w:rsidRDefault="00DA2EDE" w:rsidP="00EF0D31">
      <w:r w:rsidRPr="00FF756A">
        <w:t>Sistemi shqiptar i energjisë mund të arrijë reduktimin e pikësynuar të intensitetit të energjisë nëse zbatohen masat e PKVEE-së së 2-të dhe të 3-të.</w:t>
      </w:r>
    </w:p>
    <w:p w14:paraId="3D6B668E" w14:textId="77777777" w:rsidR="00FB2AAA" w:rsidRPr="00FF756A" w:rsidRDefault="00FB2AAA" w:rsidP="00EF0D31"/>
    <w:p w14:paraId="49B531AC" w14:textId="77777777" w:rsidR="00C316DF" w:rsidRPr="00FF756A" w:rsidRDefault="00ED43F8" w:rsidP="00C316DF">
      <w:pPr>
        <w:keepNext/>
        <w:ind w:left="180"/>
      </w:pPr>
      <w:r w:rsidRPr="00FF756A">
        <w:rPr>
          <w:noProof/>
          <w:lang w:val="en-US"/>
        </w:rPr>
        <w:lastRenderedPageBreak/>
        <mc:AlternateContent>
          <mc:Choic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Requires="cx1">
            <w:drawing>
              <wp:inline distT="0" distB="0" distL="0" distR="0" wp14:anchorId="0BE3362E" wp14:editId="03F8D08C">
                <wp:extent cx="5676900" cy="2369820"/>
                <wp:effectExtent l="0" t="0" r="0" b="11430"/>
                <wp:docPr id="1093041233" name="Chart 38"/>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3"/>
                  </a:graphicData>
                </a:graphic>
              </wp:inline>
            </w:drawing>
          </mc:Choice>
          <mc:Fallback>
            <w:drawing>
              <wp:inline distT="0" distB="0" distL="0" distR="0" wp14:anchorId="0BE3362E" wp14:editId="03F8D08C">
                <wp:extent cx="5676900" cy="2369820"/>
                <wp:effectExtent l="0" t="0" r="0" b="11430"/>
                <wp:docPr id="1093041233" name="Chart 3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93041233" name="Chart 38"/>
                        <pic:cNvPicPr>
                          <a:picLocks noGrp="1" noRot="1" noChangeAspect="1" noMove="1" noResize="1" noEditPoints="1" noAdjustHandles="1" noChangeArrowheads="1" noChangeShapeType="1"/>
                        </pic:cNvPicPr>
                      </pic:nvPicPr>
                      <pic:blipFill>
                        <a:blip r:embed="rId24"/>
                        <a:stretch>
                          <a:fillRect/>
                        </a:stretch>
                      </pic:blipFill>
                      <pic:spPr>
                        <a:xfrm>
                          <a:off x="0" y="0"/>
                          <a:ext cx="5676900" cy="2369820"/>
                        </a:xfrm>
                        <a:prstGeom prst="rect">
                          <a:avLst/>
                        </a:prstGeom>
                      </pic:spPr>
                    </pic:pic>
                  </a:graphicData>
                </a:graphic>
              </wp:inline>
            </w:drawing>
          </mc:Fallback>
        </mc:AlternateContent>
      </w:r>
    </w:p>
    <w:p w14:paraId="7B873310" w14:textId="38D942E4" w:rsidR="00DA2EDE" w:rsidRPr="00FF756A" w:rsidRDefault="00C316DF" w:rsidP="00C316DF">
      <w:pPr>
        <w:pStyle w:val="Caption"/>
        <w:jc w:val="center"/>
        <w:rPr>
          <w:rFonts w:ascii="Times New Roman" w:hAnsi="Times New Roman"/>
          <w:i/>
          <w:iCs/>
          <w:color w:val="FF0000"/>
        </w:rPr>
      </w:pPr>
      <w:bookmarkStart w:id="31" w:name="_Toc183016539"/>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9</w:t>
      </w:r>
      <w:r w:rsidR="008E7DE9" w:rsidRPr="00FF756A">
        <w:rPr>
          <w:rFonts w:ascii="Times New Roman" w:hAnsi="Times New Roman"/>
          <w:noProof/>
        </w:rPr>
        <w:fldChar w:fldCharType="end"/>
      </w:r>
      <w:r w:rsidRPr="00FF756A">
        <w:rPr>
          <w:rFonts w:ascii="Times New Roman" w:hAnsi="Times New Roman"/>
        </w:rPr>
        <w:t>: Intensiteti i energjisë (Burimi: Strategjia Kombëtare e Energjisë)</w:t>
      </w:r>
      <w:bookmarkEnd w:id="31"/>
    </w:p>
    <w:p w14:paraId="7B0560B2" w14:textId="77777777" w:rsidR="00FB2AAA" w:rsidRPr="00FF756A" w:rsidRDefault="00FB2AAA" w:rsidP="00FB2AAA">
      <w:pPr>
        <w:rPr>
          <w:lang w:eastAsia="ja-JP"/>
        </w:rPr>
      </w:pPr>
    </w:p>
    <w:p w14:paraId="4A934D67" w14:textId="4D48612A" w:rsidR="00DA2EDE" w:rsidRPr="00FF756A" w:rsidRDefault="00DA2EDE" w:rsidP="004A3257">
      <w:pPr>
        <w:pStyle w:val="Heading4"/>
        <w:numPr>
          <w:ilvl w:val="3"/>
          <w:numId w:val="217"/>
        </w:numPr>
        <w:rPr>
          <w:rFonts w:cs="Times New Roman"/>
        </w:rPr>
      </w:pPr>
      <w:bookmarkStart w:id="32" w:name="_Toc183639172"/>
      <w:bookmarkEnd w:id="30"/>
      <w:r w:rsidRPr="00FF756A">
        <w:rPr>
          <w:rFonts w:cs="Times New Roman"/>
        </w:rPr>
        <w:t>Konteksti politik i planit kombëtar për energjinë dhe klimën</w:t>
      </w:r>
      <w:bookmarkEnd w:id="32"/>
      <w:r w:rsidRPr="00FF756A">
        <w:rPr>
          <w:rFonts w:cs="Times New Roman"/>
        </w:rPr>
        <w:t xml:space="preserve"> </w:t>
      </w:r>
    </w:p>
    <w:p w14:paraId="76EA8217" w14:textId="116B9CA1" w:rsidR="00335105" w:rsidRPr="00FF756A" w:rsidRDefault="00335105" w:rsidP="004A3257">
      <w:pPr>
        <w:spacing w:line="240" w:lineRule="auto"/>
      </w:pPr>
      <w:r w:rsidRPr="00FF756A">
        <w:t>Në përputhje me Strategjinë Kombëtare të Energjisë 2018–2030, dhe duke marrë në konsideratë rekomandimet e BE-së lidhur me versionin draft, u miratua Plani i parë Kombëtar për Energjinë dhe Klimën (PKEK) 2020–2030 me Vendimin e Këshillit të Ministrave Nr. 872, datë 29.12.2021 “Për miratimin e Planit Kombëtar për Energjinë dhe Klimën 2020–2030”.</w:t>
      </w:r>
    </w:p>
    <w:p w14:paraId="679FF14F" w14:textId="7387A9EA" w:rsidR="00335105" w:rsidRPr="00FF756A" w:rsidRDefault="00335105" w:rsidP="004A3257">
      <w:pPr>
        <w:spacing w:line="240" w:lineRule="auto"/>
      </w:pPr>
      <w:r w:rsidRPr="00FF756A">
        <w:t>Strategjia Kombëtare e Energjisë u miratua me Vendimin e Këshillit të Ministrave nr. 480, datë 31.7.2018. Pikësynimi për vitin 2030 do të jetë të paktën 42% e TKPE-së (totalit të konsumit përfundimtar të energjisë) të parashikuar për këtë vit.</w:t>
      </w:r>
    </w:p>
    <w:p w14:paraId="62DC4DB3" w14:textId="2C562350" w:rsidR="00335105" w:rsidRPr="00FF756A" w:rsidRDefault="00335105" w:rsidP="004A3257">
      <w:pPr>
        <w:spacing w:line="240" w:lineRule="auto"/>
      </w:pPr>
      <w:r w:rsidRPr="00FF756A">
        <w:t>Strategjia Kombëtare e Energjisë 2018–2030 që po zbatohet aktualisht, fokusohet në rritjen e sigurisë së furnizimit me energji, diversifikimin e burimeve të energjisë dhe në reduktimin e konsumit të energjisë përmes masave të efiçencës së energjisë. Plani Kombëtar për Energjinë dhe Klimën (PKEK 2021-2030) që plotëson Strategjinë e Energjisë, krijon një kuadër të integruar politik për udhëheqjen e përpjekjeve të dekarbonizimit deri në vitin 2030 e më tej, në përputhje me objektivat e Paktit të Gjelbër Evropian.</w:t>
      </w:r>
    </w:p>
    <w:p w14:paraId="424C6AED" w14:textId="183FB3C5" w:rsidR="00335105" w:rsidRDefault="00335105" w:rsidP="004A3257">
      <w:pPr>
        <w:spacing w:line="240" w:lineRule="auto"/>
      </w:pPr>
      <w:r w:rsidRPr="00FF756A">
        <w:t>Për të pasqyruar objektivat e Komunitetit të Energjisë 2030 dhe për të përditësuar dokumentin sipas zhvillimeve të reja në sektorin e energjisë, Shqipëria ka vazhduar të përsosë PKEK-në gjatë viteve 2022, 2023 dhe 2024.</w:t>
      </w:r>
    </w:p>
    <w:p w14:paraId="3BE99503" w14:textId="77777777" w:rsidR="005F2D28" w:rsidRPr="00FF756A" w:rsidRDefault="005F2D28" w:rsidP="004A3257">
      <w:pPr>
        <w:spacing w:line="240" w:lineRule="auto"/>
      </w:pPr>
    </w:p>
    <w:p w14:paraId="100D396B" w14:textId="5BA865B6" w:rsidR="00DA2EDE" w:rsidRPr="00FF756A" w:rsidRDefault="00DA2EDE" w:rsidP="004A3257">
      <w:pPr>
        <w:spacing w:line="240" w:lineRule="auto"/>
      </w:pPr>
      <w:r w:rsidRPr="00FF756A">
        <w:t xml:space="preserve">PKEK-ja është hartuar në përputhje me: </w:t>
      </w:r>
    </w:p>
    <w:p w14:paraId="7448D54A" w14:textId="1CF894B4" w:rsidR="00F000FF" w:rsidRPr="00FF756A" w:rsidRDefault="00F000FF" w:rsidP="004A3257">
      <w:pPr>
        <w:pStyle w:val="ListParagraph"/>
        <w:widowControl w:val="0"/>
        <w:numPr>
          <w:ilvl w:val="0"/>
          <w:numId w:val="15"/>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line="240" w:lineRule="auto"/>
        <w:contextualSpacing w:val="0"/>
      </w:pPr>
      <w:r w:rsidRPr="00FF756A">
        <w:t>Strategjinë Kombëtare të Energjisë</w:t>
      </w:r>
    </w:p>
    <w:p w14:paraId="66607EE8" w14:textId="5B6477EF" w:rsidR="00DA2EDE" w:rsidRPr="00FF756A" w:rsidRDefault="00F000FF" w:rsidP="004A3257">
      <w:pPr>
        <w:pStyle w:val="ListParagraph"/>
        <w:widowControl w:val="0"/>
        <w:numPr>
          <w:ilvl w:val="0"/>
          <w:numId w:val="15"/>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line="240" w:lineRule="auto"/>
        <w:contextualSpacing w:val="0"/>
      </w:pPr>
      <w:r w:rsidRPr="00FF756A">
        <w:t xml:space="preserve">Strategjinë e dytë Kombëtare për Zhvillim dhe Integrim (SKZHI II), e cila është përafruar me Objektivat e Zhvillimit të Qëndrueshëm të Kombeve të Bashkuara; </w:t>
      </w:r>
    </w:p>
    <w:p w14:paraId="1EF17D99" w14:textId="7051E6E1" w:rsidR="00DA2EDE" w:rsidRPr="00FF756A" w:rsidRDefault="00F000FF" w:rsidP="004A3257">
      <w:pPr>
        <w:pStyle w:val="ListParagraph"/>
        <w:widowControl w:val="0"/>
        <w:numPr>
          <w:ilvl w:val="0"/>
          <w:numId w:val="15"/>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line="240" w:lineRule="auto"/>
        <w:contextualSpacing w:val="0"/>
      </w:pPr>
      <w:r w:rsidRPr="00FF756A">
        <w:t xml:space="preserve">Detyrimet që burojnë nga nënshkrimi i Konventës Kuadër të Kombeve të Bashkuara për Ndryshimet Klimatike (KKKBNK); </w:t>
      </w:r>
    </w:p>
    <w:p w14:paraId="1A5079AE" w14:textId="6F1222B6" w:rsidR="00335105" w:rsidRPr="00FF756A" w:rsidRDefault="00DA2EDE" w:rsidP="004A3257">
      <w:pPr>
        <w:pStyle w:val="ListParagraph"/>
        <w:widowControl w:val="0"/>
        <w:numPr>
          <w:ilvl w:val="0"/>
          <w:numId w:val="15"/>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line="240" w:lineRule="auto"/>
        <w:contextualSpacing w:val="0"/>
      </w:pPr>
      <w:r w:rsidRPr="00FF756A">
        <w:t>Tërësinë e legjislacionit të Komunitetit të Energjisë për energjinë dhe klimën.</w:t>
      </w:r>
    </w:p>
    <w:p w14:paraId="2E98EEAA" w14:textId="77777777" w:rsidR="00FF6FC3" w:rsidRPr="00FF756A" w:rsidRDefault="00FF6FC3" w:rsidP="00FF6FC3">
      <w:pPr>
        <w:rPr>
          <w:rFonts w:eastAsia="Times New Roman"/>
          <w:b/>
          <w:bCs/>
          <w:sz w:val="24"/>
          <w:szCs w:val="24"/>
          <w:lang w:eastAsia="en-GB"/>
        </w:rPr>
      </w:pPr>
    </w:p>
    <w:p w14:paraId="6203ED25" w14:textId="663C33B7" w:rsidR="00DA2EDE" w:rsidRPr="00FF756A" w:rsidRDefault="00DA2EDE" w:rsidP="00FF6FC3">
      <w:pPr>
        <w:rPr>
          <w:b/>
          <w:bCs/>
        </w:rPr>
      </w:pPr>
      <w:r w:rsidRPr="00FF756A">
        <w:rPr>
          <w:b/>
          <w:bCs/>
        </w:rPr>
        <w:t xml:space="preserve">Objektivat e Zhvillimit të Qëndrueshëm </w:t>
      </w:r>
    </w:p>
    <w:p w14:paraId="5C3F45E4" w14:textId="026FCB19" w:rsidR="00DA2EDE" w:rsidRPr="00FF756A" w:rsidRDefault="00DA2EDE" w:rsidP="00EF0D31">
      <w:r w:rsidRPr="00FF756A">
        <w:t>Për sa u përket Objektivave të Zhvillimit të Qëndrueshëm, OZhQ</w:t>
      </w:r>
      <w:r w:rsidR="005255E0" w:rsidRPr="00FF756A">
        <w:t>-ja</w:t>
      </w:r>
      <w:r w:rsidRPr="00FF756A">
        <w:t xml:space="preserve"> 7 - Energji e përballueshme dhe e pastër, bën thirrje për akses universal në shërbimet energjetike moderne, përmirësim të efiçencës së energjisë dhe rritje të përqindjes së energjisë së rinovueshme. </w:t>
      </w:r>
    </w:p>
    <w:p w14:paraId="026933CB" w14:textId="6E98E1AF" w:rsidR="00DA2EDE" w:rsidRPr="00FF756A" w:rsidRDefault="00DA2EDE" w:rsidP="00FF6FC3">
      <w:pPr>
        <w:spacing w:after="0"/>
      </w:pPr>
      <w:r w:rsidRPr="00FF756A">
        <w:t>Sipas INSTAT-it, treguesit përkatës të furnizimit me energji që vlerësojnë arritjen e OZhQ7 janë:</w:t>
      </w:r>
    </w:p>
    <w:p w14:paraId="18F49ECF" w14:textId="77777777" w:rsidR="00DA2EDE" w:rsidRPr="00FF756A" w:rsidRDefault="00DA2EDE">
      <w:pPr>
        <w:pStyle w:val="ListParagraph"/>
        <w:widowControl w:val="0"/>
        <w:numPr>
          <w:ilvl w:val="0"/>
          <w:numId w:val="21"/>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line="240" w:lineRule="auto"/>
      </w:pPr>
      <w:r w:rsidRPr="00FF756A">
        <w:t xml:space="preserve">Brenda vitit 2030, garantohet akses universal në shërbime energjetike të përballueshme, të </w:t>
      </w:r>
      <w:r w:rsidRPr="00FF756A">
        <w:lastRenderedPageBreak/>
        <w:t>sigurta dhe moderne</w:t>
      </w:r>
    </w:p>
    <w:p w14:paraId="7B7D172E" w14:textId="77777777" w:rsidR="00DA2EDE" w:rsidRPr="00FF756A" w:rsidRDefault="00DA2EDE">
      <w:pPr>
        <w:pStyle w:val="ListParagraph"/>
        <w:widowControl w:val="0"/>
        <w:numPr>
          <w:ilvl w:val="0"/>
          <w:numId w:val="21"/>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line="240" w:lineRule="auto"/>
      </w:pPr>
      <w:r w:rsidRPr="00FF756A">
        <w:t xml:space="preserve">Përqindja e popullsisë me akses në energji elektrike është 100% </w:t>
      </w:r>
    </w:p>
    <w:p w14:paraId="08EF4875" w14:textId="77777777" w:rsidR="00DA2EDE" w:rsidRPr="00FF756A" w:rsidRDefault="00DA2EDE">
      <w:pPr>
        <w:pStyle w:val="ListParagraph"/>
        <w:widowControl w:val="0"/>
        <w:numPr>
          <w:ilvl w:val="0"/>
          <w:numId w:val="21"/>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line="240" w:lineRule="auto"/>
      </w:pPr>
      <w:r w:rsidRPr="00FF756A">
        <w:t>Përqindja e popullsisë që mbështetet kryesisht te lëndët djegëse të pastra dhe te teknologjia e pastër është 34,38%</w:t>
      </w:r>
      <w:bookmarkStart w:id="33" w:name="_Hlk44659897"/>
    </w:p>
    <w:p w14:paraId="5EBB7703" w14:textId="77777777" w:rsidR="00DA2EDE" w:rsidRPr="00FF756A" w:rsidRDefault="00DA2EDE" w:rsidP="00FF6FC3">
      <w:pPr>
        <w:spacing w:after="0"/>
      </w:pPr>
      <w:r w:rsidRPr="00FF756A">
        <w:t>Sfidat me të cilat përballet aktualisht sektori i energjisë në Shqipëri përfshijnë:</w:t>
      </w:r>
    </w:p>
    <w:p w14:paraId="58D18501" w14:textId="5BA1BDA9" w:rsidR="00DA2EDE" w:rsidRPr="00FF756A" w:rsidRDefault="00DA2EDE">
      <w:pPr>
        <w:pStyle w:val="ListParagraph"/>
        <w:widowControl w:val="0"/>
        <w:numPr>
          <w:ilvl w:val="0"/>
          <w:numId w:val="20"/>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line="240" w:lineRule="auto"/>
      </w:pPr>
      <w:r w:rsidRPr="00FF756A">
        <w:t xml:space="preserve">Përmbushjen e kërkesës për energji për një zhvillim ekonomik të qëndrueshëm në sektorë të ndryshëm dhe </w:t>
      </w:r>
      <w:r w:rsidR="002D7C1C" w:rsidRPr="00FF756A">
        <w:t xml:space="preserve">të </w:t>
      </w:r>
      <w:r w:rsidRPr="00FF756A">
        <w:t>nivelit</w:t>
      </w:r>
      <w:r w:rsidR="00F97DFC" w:rsidRPr="00FF756A">
        <w:t xml:space="preserve"> në rritje t</w:t>
      </w:r>
      <w:r w:rsidRPr="00FF756A">
        <w:t xml:space="preserve">ë konsumit të energjisë për frymë; </w:t>
      </w:r>
    </w:p>
    <w:p w14:paraId="78E86C2C" w14:textId="77777777" w:rsidR="00DA2EDE" w:rsidRPr="00FF756A" w:rsidRDefault="00DA2EDE">
      <w:pPr>
        <w:pStyle w:val="ListParagraph"/>
        <w:widowControl w:val="0"/>
        <w:numPr>
          <w:ilvl w:val="0"/>
          <w:numId w:val="20"/>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line="240" w:lineRule="auto"/>
      </w:pPr>
      <w:r w:rsidRPr="00FF756A">
        <w:t xml:space="preserve">Përmirësimin e tendencës së reduktimit të intensitetit të energjisë; </w:t>
      </w:r>
    </w:p>
    <w:p w14:paraId="078ADB02" w14:textId="77777777" w:rsidR="00DA2EDE" w:rsidRPr="00FF756A" w:rsidRDefault="00DA2EDE">
      <w:pPr>
        <w:pStyle w:val="ListParagraph"/>
        <w:widowControl w:val="0"/>
        <w:numPr>
          <w:ilvl w:val="0"/>
          <w:numId w:val="20"/>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line="240" w:lineRule="auto"/>
      </w:pPr>
      <w:r w:rsidRPr="00FF756A">
        <w:t>Rritjen e sigurisë së furnizimit me energji duke përmirësuar efiçencën e energjisë, duke rritur përdorimin e burimeve të rinovueshme të energjisë dhe të burimeve të tjera të brendshme të energjisë, si dhe duke rritur mirëqenien përmes bashkëpunimit dhe integrimit rajonal;</w:t>
      </w:r>
    </w:p>
    <w:p w14:paraId="75009B7D" w14:textId="77777777" w:rsidR="00DA2EDE" w:rsidRPr="00FF756A" w:rsidRDefault="00DA2EDE">
      <w:pPr>
        <w:pStyle w:val="ListParagraph"/>
        <w:widowControl w:val="0"/>
        <w:numPr>
          <w:ilvl w:val="0"/>
          <w:numId w:val="20"/>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line="240" w:lineRule="auto"/>
      </w:pPr>
      <w:r w:rsidRPr="00FF756A">
        <w:t>Vazhdimin e investimeve për të përmirësuar më tej performancën, duke reduktuar humbjet në shpërndarje në rrjet, dhe përmirësimin e niveleve të arkëtimit</w:t>
      </w:r>
      <w:bookmarkEnd w:id="33"/>
      <w:r w:rsidRPr="00FF756A">
        <w:t>.</w:t>
      </w:r>
    </w:p>
    <w:p w14:paraId="375C8D18" w14:textId="77777777" w:rsidR="00FF6FC3" w:rsidRPr="00FF756A" w:rsidRDefault="00FF6FC3" w:rsidP="00FF6FC3">
      <w:pPr>
        <w:rPr>
          <w:b/>
          <w:bCs/>
        </w:rPr>
      </w:pPr>
      <w:bookmarkStart w:id="34" w:name="_Ref44697014"/>
    </w:p>
    <w:p w14:paraId="1DE636EC" w14:textId="3624A862" w:rsidR="00DA2EDE" w:rsidRPr="00FF756A" w:rsidRDefault="00DA2EDE" w:rsidP="00FF6FC3">
      <w:pPr>
        <w:rPr>
          <w:b/>
          <w:bCs/>
        </w:rPr>
      </w:pPr>
      <w:r w:rsidRPr="00FF756A">
        <w:rPr>
          <w:b/>
          <w:bCs/>
        </w:rPr>
        <w:t>Konventa Kuadër e Kombeve të Bashkuara për Ndryshimet Klimatike</w:t>
      </w:r>
      <w:bookmarkEnd w:id="34"/>
    </w:p>
    <w:p w14:paraId="23D5C89D" w14:textId="77777777" w:rsidR="00DA2EDE" w:rsidRPr="00FF756A" w:rsidRDefault="00DA2EDE" w:rsidP="00EF0D31">
      <w:r w:rsidRPr="00FF756A">
        <w:t>Gjatë dy dekadave të fundit, Shqipëria i ka kushtuar vëmendje të veçantë mbrojtjes së mjedisit në përgjithësi dhe ndryshimeve klimatike në veçanti. Vetë Kushtetuta e Shqipërisë ka përfshirë “</w:t>
      </w:r>
      <w:r w:rsidRPr="00FF756A">
        <w:rPr>
          <w:i/>
          <w:iCs/>
        </w:rPr>
        <w:t>një mjedis të shëndetshëm dhe ekologjikisht të përshtatshëm për brezin e tanishëm dhe atë të ardhshëm</w:t>
      </w:r>
      <w:r w:rsidRPr="00FF756A">
        <w:t xml:space="preserve">” si një prej objektivave sociale që duhet të merren në konsideratë nga të gjitha institucionet shtetërore. </w:t>
      </w:r>
    </w:p>
    <w:p w14:paraId="7CAE2BE7" w14:textId="41E462A9" w:rsidR="00E218F9" w:rsidRPr="00FF756A" w:rsidRDefault="00DA2EDE" w:rsidP="00EF0D31">
      <w:pPr>
        <w:spacing w:after="120"/>
      </w:pPr>
      <w:r w:rsidRPr="00FF756A">
        <w:t xml:space="preserve">Shqipëria është palë nënshkruese e Konventës Kuadër të Kombeve të Bashkuara për Ndryshimet Klimatike (KKKBNK), të miratuar në “Samitin e Tokës në Rio” më 1992 dhe të ratifikuar nga Parlamenti shqiptar më 1994, e cila ka përcaktuar objektivin për luftën kundër ndryshimeve klimatike përmes stabilizimit të përqendrimeve të GES-ve në atmosferë dhe kufizimit të rritjes së temperaturave mesatare globale për të përkrahur zhvillimin e qëndrueshëm. Në kuadrin e KKKBNK-së, Shqipëria ka nisur procesin e ndryshimit të statusit të saj nga një vend në zhvillim në një vend të zhvilluar. Ky proces është pjesë thelbësore e procesit të integrimit në BE dhe përfshin zhvillimin e kapaciteteve në nivel kombëtar për monitorimin dhe raportimin vjetor të Gazeve me Efekt Serrë (GES-ve), formulimin dhe zbatimin e politikave për reduktimin e shkarkimeve të GES-ve dhe përshtatjen me ndryshimet klimatike, si dhe transpozimin dhe zbatimin e tërësisë së legjislacionit të BE-së për ndryshimet klimatike. Me qëllim arritjen e objektivave të reduktimit të shkarkimeve, Marrëveshja e Parisit e miratuar në dhjetor 2015 dhe e ratifikuar nga Parlamenti shqiptar me anë të Ligjit nr. 75/2016, datë 14.07.2016, ka ngritur një “sistem nga poshtë-lart” ku Palëve </w:t>
      </w:r>
      <w:r w:rsidR="00B30E43" w:rsidRPr="00FF756A">
        <w:t>i</w:t>
      </w:r>
      <w:r w:rsidRPr="00FF756A">
        <w:t xml:space="preserve">u duhet të përgatisin dhe të komunikojnë kontribute kombëtare të përcaktuara (NDC) të njëpasnjëshme çdo pesë vite, me synimin për të përmirësuar në mënyrë progresive përpjekjet e tyre. Krahas NDC-ve të tyre, Palët duhet të formulojnë gjithashtu strategji afatgjata zhvillimi për arritjen e niveleve të ulëta të GES-ve brenda mesit të shekullit dhe t’i paraqesin ato brenda vitit 2020, duke demonstruar sesi përpjekjet e tyre do të kontribuojnë në arritjen e objektivit “zero shkarkime” brenda gjysmës së dytë të këtij shekulli. </w:t>
      </w:r>
    </w:p>
    <w:p w14:paraId="0FDE71E8" w14:textId="2F1A4C26" w:rsidR="00C95CB6" w:rsidRPr="00FF756A" w:rsidRDefault="00C95CB6" w:rsidP="00C95CB6">
      <w:r w:rsidRPr="00FF756A">
        <w:t xml:space="preserve">Pas Marrëveshjes së Parisit, Republika e Shqipërisë rishikoi Kontributin </w:t>
      </w:r>
      <w:r w:rsidR="00B77E87" w:rsidRPr="00FF756A">
        <w:t xml:space="preserve">Kombëtar </w:t>
      </w:r>
      <w:r w:rsidRPr="00FF756A">
        <w:t>të P</w:t>
      </w:r>
      <w:r w:rsidR="00BD1637" w:rsidRPr="00FF756A">
        <w:t>ikësynuar</w:t>
      </w:r>
      <w:r w:rsidR="0062619B" w:rsidRPr="00FF756A">
        <w:t xml:space="preserve"> (K</w:t>
      </w:r>
      <w:r w:rsidR="00B77E87" w:rsidRPr="00FF756A">
        <w:t>K</w:t>
      </w:r>
      <w:r w:rsidR="00BD1637" w:rsidRPr="00FF756A">
        <w:t>P</w:t>
      </w:r>
      <w:r w:rsidR="0087610B" w:rsidRPr="00FF756A">
        <w:t>)</w:t>
      </w:r>
      <w:r w:rsidRPr="00FF756A">
        <w:t xml:space="preserve">, dokumentin e parë ligjërisht të detyrueshëm </w:t>
      </w:r>
      <w:r w:rsidR="00CB276B" w:rsidRPr="00FF756A">
        <w:t>p</w:t>
      </w:r>
      <w:r w:rsidRPr="00FF756A">
        <w:t>ë</w:t>
      </w:r>
      <w:r w:rsidR="00CB276B" w:rsidRPr="00FF756A">
        <w:t>r</w:t>
      </w:r>
      <w:r w:rsidRPr="00FF756A">
        <w:t xml:space="preserve"> veprimin </w:t>
      </w:r>
      <w:r w:rsidR="00CB276B" w:rsidRPr="00FF756A">
        <w:t>ndaj</w:t>
      </w:r>
      <w:r w:rsidRPr="00FF756A">
        <w:t xml:space="preserve"> klimë</w:t>
      </w:r>
      <w:r w:rsidR="00CB276B" w:rsidRPr="00FF756A">
        <w:t>s</w:t>
      </w:r>
      <w:r w:rsidRPr="00FF756A">
        <w:t>, dhe ia dorëzoi sekretariatit të Konventës Kuadër të Kombeve të Bashkuara për Ndryshimet Klimatike përpara COP26, si pjesë e angazhimeve të saj për klimën kombëtare dhe zbatimin e Objektivave të Zhvillimit të Qëndrueshëm. Nëpërmjet K</w:t>
      </w:r>
      <w:r w:rsidR="00BD1637" w:rsidRPr="00FF756A">
        <w:t>KP</w:t>
      </w:r>
      <w:r w:rsidRPr="00FF756A">
        <w:t>-së së rishikuar vendi ynë synon të reduktojë me 20.9% emetimet e gazeve serrë deri në vitin 2030. Dokumenti i K</w:t>
      </w:r>
      <w:r w:rsidR="00BD1637" w:rsidRPr="00FF756A">
        <w:t>KP</w:t>
      </w:r>
      <w:r w:rsidRPr="00FF756A">
        <w:t>-së është hartuar paralelisht me PKKK për të përafruar sa më shumë objektivat dhe është miratuar me VKM nr. 568 datë 06.10.2021.</w:t>
      </w:r>
    </w:p>
    <w:p w14:paraId="52156A2E" w14:textId="65C4E05C" w:rsidR="00917BB5" w:rsidRPr="00FF756A" w:rsidRDefault="00C95CB6" w:rsidP="00C95CB6">
      <w:r w:rsidRPr="00FF756A">
        <w:t xml:space="preserve">Ministria e Turizmit dhe Mjedisit ka siguruar mbështetje financiare nga GEF për Hartimin e Raportit të 5-të Kombëtar të Komunikimit dhe Transparencës Bienale (BTR). BTR do të japë informacion mbi statusin e zbatimit të </w:t>
      </w:r>
      <w:r w:rsidR="0087610B" w:rsidRPr="00FF756A">
        <w:t>KPK</w:t>
      </w:r>
      <w:r w:rsidRPr="00FF756A">
        <w:t xml:space="preserve">-së tonë aktuale. </w:t>
      </w:r>
      <w:r w:rsidR="0087610B" w:rsidRPr="00FF756A">
        <w:t>KPK</w:t>
      </w:r>
      <w:r w:rsidRPr="00FF756A">
        <w:t xml:space="preserve"> i rishikuar 2025-2035 pritet në vitin 2025 dhe si </w:t>
      </w:r>
      <w:r w:rsidR="00471DB4" w:rsidRPr="00FF756A">
        <w:t>PKEK</w:t>
      </w:r>
      <w:r w:rsidRPr="00FF756A">
        <w:t xml:space="preserve"> </w:t>
      </w:r>
      <w:r w:rsidRPr="00FF756A">
        <w:lastRenderedPageBreak/>
        <w:t xml:space="preserve">ashtu edhe BTR i rishikuar duke përfshirë Raportin Kombëtar të Inventarit (NIR) do të japin të dhëna për përditësimin e </w:t>
      </w:r>
      <w:r w:rsidR="00471DB4" w:rsidRPr="00FF756A">
        <w:t>KK</w:t>
      </w:r>
      <w:r w:rsidR="00CF6108" w:rsidRPr="00FF756A">
        <w:t>P-së</w:t>
      </w:r>
      <w:r w:rsidRPr="00FF756A">
        <w:t>.</w:t>
      </w:r>
      <w:r w:rsidR="00AE7E5F">
        <w:t xml:space="preserve"> </w:t>
      </w:r>
      <w:r w:rsidR="00917BB5" w:rsidRPr="00FF756A">
        <w:t>Nga ana tjetër, Ministria e Turizmit dhe Mjedisit do të dorëzojë Raportin Kombëtar të Inventarit pranë Konventës Kuadër të Kombeve të Bashkuara për Ndryshimet Klimatike (</w:t>
      </w:r>
      <w:r w:rsidR="00051CC9" w:rsidRPr="00FF756A">
        <w:t>KKKBNK</w:t>
      </w:r>
      <w:r w:rsidR="00917BB5" w:rsidRPr="00FF756A">
        <w:t>) brenda dhjetorit 2024.</w:t>
      </w:r>
    </w:p>
    <w:p w14:paraId="49CC0C64" w14:textId="4B737405" w:rsidR="00DA2EDE" w:rsidRPr="00FF756A" w:rsidRDefault="00DA2EDE" w:rsidP="00901839">
      <w:r w:rsidRPr="00FF756A">
        <w:t>Në vitin 2014, me Urdhrin e Kryeministrit nr. 155, datë 25.04.2014, u ngrit një grup pune ndërministror për koordinimin e detyrave të ministrive sipas detyrimeve të vendit në bazë të KKKBNK-së. Grupi, i kryesuar nga zëvendës ministri i mjedisit, përfshin përfaqësues të 12 ministrive</w:t>
      </w:r>
      <w:r w:rsidR="0093006B" w:rsidRPr="00FF756A">
        <w:t>.</w:t>
      </w:r>
      <w:r w:rsidRPr="00FF756A">
        <w:t xml:space="preserve"> Ndër të tjera, grupi ka tagrin për të hartuar politika dhe strategji dhe për të garantuar koordinim ndërinstitucional për zbatimin e aktiviteteve në lidhje me ndryshimet klimatike. </w:t>
      </w:r>
    </w:p>
    <w:p w14:paraId="10000147" w14:textId="77777777" w:rsidR="00BB6CE2" w:rsidRPr="00FF756A" w:rsidRDefault="00BB6CE2" w:rsidP="00BB6CE2">
      <w:pPr>
        <w:rPr>
          <w:b/>
          <w:bCs/>
        </w:rPr>
      </w:pPr>
    </w:p>
    <w:p w14:paraId="22F96B48" w14:textId="3ADD5896" w:rsidR="00DA2EDE" w:rsidRPr="00FF756A" w:rsidRDefault="0063655A" w:rsidP="00BB6CE2">
      <w:r w:rsidRPr="00FF756A">
        <w:rPr>
          <w:b/>
          <w:bCs/>
        </w:rPr>
        <w:t>L</w:t>
      </w:r>
      <w:r w:rsidR="00DA2EDE" w:rsidRPr="00FF756A">
        <w:rPr>
          <w:b/>
          <w:bCs/>
        </w:rPr>
        <w:t>egjislacioni</w:t>
      </w:r>
      <w:r w:rsidRPr="00FF756A">
        <w:rPr>
          <w:b/>
          <w:bCs/>
        </w:rPr>
        <w:t xml:space="preserve"> i</w:t>
      </w:r>
      <w:r w:rsidR="00DA2EDE" w:rsidRPr="00FF756A">
        <w:rPr>
          <w:b/>
          <w:bCs/>
        </w:rPr>
        <w:t xml:space="preserve"> Komunitetit të Energjisë për energjinë dhe klimën</w:t>
      </w:r>
      <w:r w:rsidR="00DA2EDE" w:rsidRPr="00FF756A">
        <w:t xml:space="preserve"> </w:t>
      </w:r>
    </w:p>
    <w:p w14:paraId="559578E1" w14:textId="589C4D14" w:rsidR="00DA2EDE" w:rsidRPr="00FF756A" w:rsidRDefault="00DA2EDE" w:rsidP="00EF0D31">
      <w:pPr>
        <w:rPr>
          <w:color w:val="000000" w:themeColor="text1"/>
        </w:rPr>
      </w:pPr>
      <w:r w:rsidRPr="00FF756A">
        <w:rPr>
          <w:color w:val="000000" w:themeColor="text1"/>
        </w:rPr>
        <w:t xml:space="preserve">Ndonëse Shqipëria po bën progres për sa i përket transpozimit dhe zbatimit të legjislacionit, mbeten ende disa pika kyçe: </w:t>
      </w:r>
    </w:p>
    <w:p w14:paraId="624B33C4" w14:textId="77777777" w:rsidR="00DA2EDE" w:rsidRPr="00FF756A" w:rsidRDefault="00DA2EDE">
      <w:pPr>
        <w:pStyle w:val="ListParagraph"/>
        <w:widowControl w:val="0"/>
        <w:numPr>
          <w:ilvl w:val="0"/>
          <w:numId w:val="14"/>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line="240" w:lineRule="auto"/>
      </w:pPr>
      <w:r w:rsidRPr="00FF756A">
        <w:t>besueshmëria e bazës së të dhënave për energjinë dhe nevoja për të dhëna makroekonomike shumë më të detajuara me qëllim përmirësimin e analizave, rishikimeve të thelluara dhe monitorimeve të planeve të veprimit dhe strategjive lidhur me energjinë;</w:t>
      </w:r>
    </w:p>
    <w:p w14:paraId="7A0DD2D9" w14:textId="77777777" w:rsidR="00DA2EDE" w:rsidRPr="00FF756A" w:rsidRDefault="00DA2EDE">
      <w:pPr>
        <w:pStyle w:val="ListParagraph"/>
        <w:widowControl w:val="0"/>
        <w:numPr>
          <w:ilvl w:val="0"/>
          <w:numId w:val="14"/>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line="240" w:lineRule="auto"/>
      </w:pPr>
      <w:r w:rsidRPr="00FF756A">
        <w:t>shkalla e ulët e zbatimit të legjislacionit dhe dokumenteve strategjike;</w:t>
      </w:r>
    </w:p>
    <w:p w14:paraId="7F5EB734" w14:textId="77777777" w:rsidR="00DA2EDE" w:rsidRPr="00FF756A" w:rsidRDefault="00DA2EDE">
      <w:pPr>
        <w:pStyle w:val="ListParagraph"/>
        <w:widowControl w:val="0"/>
        <w:numPr>
          <w:ilvl w:val="0"/>
          <w:numId w:val="14"/>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line="240" w:lineRule="auto"/>
      </w:pPr>
      <w:r w:rsidRPr="00FF756A">
        <w:t xml:space="preserve">nevoja për një kuadër financiar për zbatimin e masave politike. </w:t>
      </w:r>
    </w:p>
    <w:p w14:paraId="6FA74724" w14:textId="77777777" w:rsidR="00DA2EDE" w:rsidRPr="00FF756A" w:rsidRDefault="00DA2EDE" w:rsidP="00EF0D31">
      <w:pPr>
        <w:rPr>
          <w:color w:val="000000" w:themeColor="text1"/>
        </w:rPr>
      </w:pPr>
      <w:r w:rsidRPr="00FF756A">
        <w:rPr>
          <w:color w:val="000000" w:themeColor="text1"/>
        </w:rPr>
        <w:t xml:space="preserve">Një nga shkaqet për moszbatimin e PKVM-ve të mëparshme apo legjislacionit për EE-në ka qenë edhe mungesa e një kuadri financiar për zbatimin e tyre (në formën e një fondi për EE-në apo në formën e një financimi të posaçëm nga shteti). Për të shmangur këtë rrezik, ngritja e mekanizmave të financimit për zbatimin e PKEK-së është çelësi drejt suksesit. Për shkak të kostove mjaft të larta të investimit dhe kohës së gjatë që duhet për realizimin e investimeve në sektorin e energjisë, investimet strategjike në BRE dhe BR po kthehen në problematika kyçe për sa i përket rritjes së sigurisë së furnizimit, reduktimit të shkarkimeve dhe përshtatjes së kërkesës për energji mbi bazën e planifikimit me kosto sa më të ulët. </w:t>
      </w:r>
    </w:p>
    <w:p w14:paraId="500754B3" w14:textId="77777777" w:rsidR="00BB6CE2" w:rsidRPr="00FF756A" w:rsidRDefault="00BB6CE2" w:rsidP="00EF0D31">
      <w:pPr>
        <w:rPr>
          <w:b/>
          <w:bCs/>
          <w:color w:val="000000" w:themeColor="text1"/>
        </w:rPr>
      </w:pPr>
    </w:p>
    <w:p w14:paraId="7F6116A7" w14:textId="59B6AC92" w:rsidR="00DA2EDE" w:rsidRPr="00FF756A" w:rsidRDefault="00DA2EDE" w:rsidP="00EF0D31">
      <w:pPr>
        <w:rPr>
          <w:b/>
          <w:bCs/>
          <w:color w:val="000000" w:themeColor="text1"/>
        </w:rPr>
      </w:pPr>
      <w:r w:rsidRPr="00FF756A">
        <w:rPr>
          <w:b/>
          <w:bCs/>
          <w:color w:val="000000" w:themeColor="text1"/>
        </w:rPr>
        <w:t>Transpozimi i direktivave të BE-së në kuadër të tërësisë së legjislacionit të Komunitetit të Energjisë</w:t>
      </w:r>
    </w:p>
    <w:p w14:paraId="4AAEF822" w14:textId="77777777" w:rsidR="00DA2EDE" w:rsidRPr="00FF756A" w:rsidRDefault="00DA2EDE" w:rsidP="00EF0D31">
      <w:r w:rsidRPr="00FF756A">
        <w:rPr>
          <w:color w:val="000000" w:themeColor="text1"/>
        </w:rPr>
        <w:t xml:space="preserve">Informacionet lidhur me statusin e transpozimit dhe zbatimit të direktivave janë dhënë në krerët për dimensionin përkatës. </w:t>
      </w:r>
      <w:r w:rsidRPr="00FF756A">
        <w:t xml:space="preserve">Shqipëria ka përgatitur dhe miratuar disa dokumente politike, strategji dhe plane veprimi të harmonizuara me tërësinë e legjislacionit të Komunitetit të Energjisë për energjinë dhe klimën. </w:t>
      </w:r>
    </w:p>
    <w:p w14:paraId="357206BF" w14:textId="77777777" w:rsidR="00DA2EDE" w:rsidRPr="00FF756A" w:rsidRDefault="00DA2EDE" w:rsidP="00EF0D31">
      <w:r w:rsidRPr="00FF756A">
        <w:t xml:space="preserve">Në vijim përshkruhen dokumentet kryesore politike në lidhje me energjinë: </w:t>
      </w:r>
    </w:p>
    <w:p w14:paraId="7279916B" w14:textId="38125F85" w:rsidR="00DA2EDE" w:rsidRPr="00FF756A" w:rsidRDefault="00DA2EDE">
      <w:pPr>
        <w:pStyle w:val="ListParagraph"/>
        <w:widowControl w:val="0"/>
        <w:numPr>
          <w:ilvl w:val="0"/>
          <w:numId w:val="13"/>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pPr>
      <w:r w:rsidRPr="00FF756A">
        <w:t xml:space="preserve">Strategjia Kombëtare </w:t>
      </w:r>
      <w:r w:rsidR="000D1AEF" w:rsidRPr="00FF756A">
        <w:t>e</w:t>
      </w:r>
      <w:r w:rsidRPr="00FF756A">
        <w:t xml:space="preserve"> Energji</w:t>
      </w:r>
      <w:r w:rsidR="000D1AEF" w:rsidRPr="00FF756A">
        <w:t>s</w:t>
      </w:r>
      <w:r w:rsidRPr="00FF756A">
        <w:t>ë 2018-2030, e miratuar me VKM nr. 480, datë 31.7.2018, përbën dokumentin strategjik thelbësor për sektorin kombëtar të energjisë, i cili përcakton qartë pikësynimet kombëtare për energjinë për vitin 2030.</w:t>
      </w:r>
    </w:p>
    <w:p w14:paraId="3CCCB360" w14:textId="33E7435D" w:rsidR="00DA2EDE" w:rsidRPr="00FF756A" w:rsidRDefault="00DA2EDE">
      <w:pPr>
        <w:pStyle w:val="ListParagraph"/>
        <w:widowControl w:val="0"/>
        <w:numPr>
          <w:ilvl w:val="0"/>
          <w:numId w:val="13"/>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pPr>
      <w:r w:rsidRPr="00FF756A">
        <w:t xml:space="preserve">Plani Strategjik për Reformimin e Sektorit të Energjisë në Shqipëri (2018-2020), miratuar me VKM nr. 742, datë 12.12.2018, është një udhërrëfyes për reformimin tërësor të sektorit të energjisë elektrike në Shqipëri. Ai përbën bazën për Huanë e Bazuar në Politika (PBL) për zbatimin e Elementeve </w:t>
      </w:r>
      <w:r w:rsidR="008B5141" w:rsidRPr="00FF756A">
        <w:t>specifikë</w:t>
      </w:r>
      <w:r w:rsidRPr="00FF756A">
        <w:t xml:space="preserve"> të Reformave Politike (18 ERP) të renditura në këtë plan strategjik.</w:t>
      </w:r>
    </w:p>
    <w:p w14:paraId="140A4D4F" w14:textId="77777777" w:rsidR="00DA2EDE" w:rsidRPr="00FF756A" w:rsidRDefault="00DA2EDE">
      <w:pPr>
        <w:pStyle w:val="ListParagraph"/>
        <w:widowControl w:val="0"/>
        <w:numPr>
          <w:ilvl w:val="0"/>
          <w:numId w:val="13"/>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pPr>
      <w:r w:rsidRPr="00FF756A">
        <w:t>Programi i Reformës Ekonomike të Shqipërisë (2020-2022) përfshin pikat në vijim në lidhje me reformat në sektorin e energjisë: (i) Liberalizimin efektiv të tregut të energjisë, me pavarësi të plotë dhe me një bursë funksionale energjie; (ii) Zbatimin e ligjit për burimet e rinovueshme të energjisë; (iii) Miratimin e legjislacionit dytësor për ligjet mbi efiçencën e energjisë dhe performancën e energjisë së ndërtesave.</w:t>
      </w:r>
    </w:p>
    <w:p w14:paraId="6A448499" w14:textId="77777777" w:rsidR="00DA2EDE" w:rsidRPr="00FF756A" w:rsidRDefault="00DA2EDE">
      <w:pPr>
        <w:pStyle w:val="ListParagraph"/>
        <w:widowControl w:val="0"/>
        <w:numPr>
          <w:ilvl w:val="0"/>
          <w:numId w:val="13"/>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pPr>
      <w:r w:rsidRPr="00FF756A">
        <w:lastRenderedPageBreak/>
        <w:t xml:space="preserve">PKVEE-ja e 2-të dhe e 3-të ka përcaktuar disa objektiva dhe pikësynime për t’u arritur brenda vitit 2020, si dhe masat për EE-në, investimet dhe institucionet përgjegjëse. </w:t>
      </w:r>
    </w:p>
    <w:p w14:paraId="619FC490" w14:textId="4A101CA7" w:rsidR="00DA2EDE" w:rsidRPr="00FF756A" w:rsidRDefault="00DA2EDE">
      <w:pPr>
        <w:pStyle w:val="ListParagraph"/>
        <w:widowControl w:val="0"/>
        <w:numPr>
          <w:ilvl w:val="0"/>
          <w:numId w:val="13"/>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pPr>
      <w:r w:rsidRPr="00FF756A">
        <w:t>Plani i Konsoliduar Kombëtar i Veprimit për Burimet e Rinovueshme të Energjisë (PKKVBRE 2019 – 2020), i miratuar me VKM nr. 580, datë 31.7.2018, parashikon një rritje mesatare të prodhimit të energjisë nga burimet e rinovueshme me 738 MW, prej të cilave 490 MW nga burimet e energjisë fotovoltaike (PV) dhe 150 MW nga burimet e energjisë eolike.</w:t>
      </w:r>
    </w:p>
    <w:p w14:paraId="4944A021" w14:textId="77777777" w:rsidR="00DA2EDE" w:rsidRPr="00FF756A" w:rsidRDefault="00DA2EDE" w:rsidP="00EF0D31">
      <w:pPr>
        <w:ind w:left="1440" w:hanging="360"/>
      </w:pPr>
    </w:p>
    <w:p w14:paraId="68BFE754" w14:textId="1A02A673" w:rsidR="00DA2EDE" w:rsidRPr="00FF756A" w:rsidRDefault="00DA2EDE" w:rsidP="00E54CFE">
      <w:pPr>
        <w:pStyle w:val="Heading3"/>
        <w:numPr>
          <w:ilvl w:val="2"/>
          <w:numId w:val="54"/>
        </w:numPr>
      </w:pPr>
      <w:bookmarkStart w:id="35" w:name="_Toc183639173"/>
      <w:r w:rsidRPr="00FF756A">
        <w:t>Politikat dhe masat aktuale për energjinë dhe klimën në lidhje me pesë dimensionet e Unionit të Energjisë</w:t>
      </w:r>
      <w:bookmarkEnd w:id="35"/>
    </w:p>
    <w:p w14:paraId="1F91D378" w14:textId="77777777" w:rsidR="00103457" w:rsidRPr="00FF756A" w:rsidRDefault="00103457" w:rsidP="00EE4434"/>
    <w:p w14:paraId="251A7D73" w14:textId="23B89BBC" w:rsidR="00DA2EDE" w:rsidRPr="00FF756A" w:rsidRDefault="00DA2EDE" w:rsidP="008639B2">
      <w:pPr>
        <w:pStyle w:val="Heading4"/>
        <w:numPr>
          <w:ilvl w:val="3"/>
          <w:numId w:val="54"/>
        </w:numPr>
        <w:rPr>
          <w:rFonts w:cs="Times New Roman"/>
        </w:rPr>
      </w:pPr>
      <w:bookmarkStart w:id="36" w:name="_Toc183639174"/>
      <w:r w:rsidRPr="00FF756A">
        <w:rPr>
          <w:rFonts w:cs="Times New Roman"/>
        </w:rPr>
        <w:t>Përmbledhje e politikave kryesore</w:t>
      </w:r>
      <w:bookmarkEnd w:id="36"/>
      <w:r w:rsidRPr="00FF756A">
        <w:rPr>
          <w:rFonts w:cs="Times New Roman"/>
        </w:rPr>
        <w:t xml:space="preserve"> </w:t>
      </w:r>
    </w:p>
    <w:p w14:paraId="044B68E4" w14:textId="77777777" w:rsidR="00DA2EDE" w:rsidRPr="00FF756A" w:rsidRDefault="00DA2EDE" w:rsidP="00EF0D31">
      <w:pPr>
        <w:rPr>
          <w:b/>
          <w:color w:val="000000" w:themeColor="text1"/>
        </w:rPr>
      </w:pPr>
      <w:r w:rsidRPr="00FF756A">
        <w:rPr>
          <w:b/>
          <w:iCs/>
          <w:color w:val="000000" w:themeColor="text1"/>
        </w:rPr>
        <w:t xml:space="preserve">Strategjia Kombëtare e Energjisë për Shqipërinë </w:t>
      </w:r>
    </w:p>
    <w:p w14:paraId="5C03AA93" w14:textId="170E43FB" w:rsidR="00DA2EDE" w:rsidRPr="00FF756A" w:rsidRDefault="00DA2EDE" w:rsidP="003E593E">
      <w:pPr>
        <w:spacing w:after="0" w:line="300" w:lineRule="exact"/>
      </w:pPr>
      <w:r w:rsidRPr="00FF756A">
        <w:t xml:space="preserve">Strategjia </w:t>
      </w:r>
      <w:r w:rsidR="009B6CF8" w:rsidRPr="00FF756A">
        <w:t>Kombëtare e</w:t>
      </w:r>
      <w:r w:rsidRPr="00FF756A">
        <w:t xml:space="preserve"> Energjisë për Shqipërinë 2018-2030, si dokumenti strategjik thelbësor për sektorin kombëtar të energjisë, është në koherencë të plotë </w:t>
      </w:r>
      <w:r w:rsidRPr="00FF756A">
        <w:rPr>
          <w:bCs/>
          <w:shd w:val="clear" w:color="auto" w:fill="FFFFFF"/>
        </w:rPr>
        <w:t>me politikat dhe strategjitë e tjera kombëtare</w:t>
      </w:r>
      <w:r w:rsidRPr="00FF756A">
        <w:rPr>
          <w:shd w:val="clear" w:color="auto" w:fill="FFFFFF"/>
        </w:rPr>
        <w:t xml:space="preserve"> dhe me objektivat e Paktit të Gjelbër Evropian: Furnizimi me energji të pastër, të përballueshme dhe të sigurt; </w:t>
      </w:r>
      <w:hyperlink r:id="rId25" w:tooltip="Ndërtimi dhe rinovimi" w:history="1">
        <w:r w:rsidRPr="00FF756A">
          <w:t>Ndërtimi dhe rinovimin</w:t>
        </w:r>
      </w:hyperlink>
      <w:r w:rsidRPr="00FF756A">
        <w:t xml:space="preserve">, duke promovuar një sektor ndërtimi më të pastër; </w:t>
      </w:r>
      <w:r w:rsidRPr="00FF756A">
        <w:rPr>
          <w:shd w:val="clear" w:color="auto" w:fill="FFFFFF"/>
        </w:rPr>
        <w:t xml:space="preserve">Përshpejtimin e kalimit drejt lëvizshmërisë së qëndrueshme dhe inteligjente; </w:t>
      </w:r>
      <w:hyperlink r:id="rId26" w:tooltip="Eliminimi i ndotjes" w:history="1">
        <w:r w:rsidRPr="00FF756A">
          <w:t>Eliminimin e ndotjes</w:t>
        </w:r>
      </w:hyperlink>
      <w:r w:rsidRPr="00FF756A">
        <w:t xml:space="preserve"> përmes masave për reduktimin e shpejtë dhe efikas të ndotjes. “Plani afatgjatë i rinovimit (për ndërtesat publike dhe private)” është në përgatitje e sipër në bashkëpunim me BERZH, në kuadër të programit REEP PLUS. </w:t>
      </w:r>
    </w:p>
    <w:p w14:paraId="62BCA2BD" w14:textId="77777777" w:rsidR="00091ECD" w:rsidRPr="00FF756A" w:rsidRDefault="00091ECD" w:rsidP="00EF0D31"/>
    <w:p w14:paraId="13B3A8A4" w14:textId="584ED134" w:rsidR="00DA2EDE" w:rsidRPr="00FF756A" w:rsidRDefault="00DA2EDE" w:rsidP="00EF0D31">
      <w:r w:rsidRPr="00FF756A">
        <w:t>Pesë dimensionet që mbështet strategjia për energjinë janë:</w:t>
      </w:r>
    </w:p>
    <w:p w14:paraId="6E5949E2" w14:textId="5AB9A42B" w:rsidR="00DA2EDE" w:rsidRPr="00FF756A" w:rsidRDefault="00DA2EDE" w:rsidP="00ED5606">
      <w:pPr>
        <w:spacing w:line="240" w:lineRule="auto"/>
        <w:ind w:left="360"/>
      </w:pPr>
      <w:r w:rsidRPr="00FF756A">
        <w:t>1. Siguria e energjisë, bazuar në diversifikimin e burimeve të energjisë</w:t>
      </w:r>
    </w:p>
    <w:p w14:paraId="727446AE" w14:textId="1EDBDE0A" w:rsidR="00DA2EDE" w:rsidRPr="00FF756A" w:rsidRDefault="00DA2EDE" w:rsidP="00ED5606">
      <w:pPr>
        <w:spacing w:line="240" w:lineRule="auto"/>
        <w:ind w:left="360"/>
      </w:pPr>
      <w:r w:rsidRPr="00FF756A">
        <w:t>2. Integrimi i plotë në tregun rajonal dhe më pas në atë evropian</w:t>
      </w:r>
    </w:p>
    <w:p w14:paraId="71C86A7C" w14:textId="3ED73248" w:rsidR="00DA2EDE" w:rsidRPr="00FF756A" w:rsidRDefault="00DA2EDE" w:rsidP="00ED5606">
      <w:pPr>
        <w:spacing w:line="240" w:lineRule="auto"/>
        <w:ind w:left="360"/>
      </w:pPr>
      <w:r w:rsidRPr="00FF756A">
        <w:t xml:space="preserve">3. Efiçenca e energjisë që kontribuon në </w:t>
      </w:r>
      <w:r w:rsidR="00AE7E5F">
        <w:t>zbutjen</w:t>
      </w:r>
      <w:r w:rsidRPr="00FF756A">
        <w:t xml:space="preserve"> e kërkesës</w:t>
      </w:r>
    </w:p>
    <w:p w14:paraId="30A9F8D4" w14:textId="3C41429A" w:rsidR="00DA2EDE" w:rsidRPr="00FF756A" w:rsidRDefault="00DA2EDE" w:rsidP="00ED5606">
      <w:pPr>
        <w:spacing w:line="240" w:lineRule="auto"/>
        <w:ind w:left="360"/>
      </w:pPr>
      <w:r w:rsidRPr="00FF756A">
        <w:t>4. Dekarbonizimi i ekonomisë</w:t>
      </w:r>
    </w:p>
    <w:p w14:paraId="09E20F0E" w14:textId="481BC6F4" w:rsidR="00003F93" w:rsidRPr="00FF756A" w:rsidRDefault="00DA2EDE" w:rsidP="003E593E">
      <w:pPr>
        <w:spacing w:line="240" w:lineRule="auto"/>
        <w:ind w:left="360"/>
      </w:pPr>
      <w:r w:rsidRPr="00FF756A">
        <w:t>5. Kërkimi, inovacioni dhe konkurrenca.</w:t>
      </w:r>
    </w:p>
    <w:p w14:paraId="4910D1B1" w14:textId="15D3CF17" w:rsidR="00DA2EDE" w:rsidRDefault="00DA2EDE" w:rsidP="00121C96">
      <w:pPr>
        <w:spacing w:after="120"/>
        <w:rPr>
          <w:color w:val="000000" w:themeColor="text1"/>
        </w:rPr>
      </w:pPr>
      <w:r w:rsidRPr="00FF756A">
        <w:rPr>
          <w:color w:val="000000" w:themeColor="text1"/>
        </w:rPr>
        <w:t xml:space="preserve">Strategjia e Energjisë për Shqipërinë është plotësisht në përputhje dhe e harmonizuar me “Udhërrëfyesin e Ekonomisë me Karbon të Ulët” të BE-së dhe nxit politikat për EE-në, BRE-të dhe gazin natyror, të cilat promovojnë një klimë të qëndrueshme biznesi që do t’u japë shtysë investimeve me karbon të ulët për periudhën 2017-2030. Siç tregojnë edhe analizat mbi të cilat mbështetet kjo strategji, potenciali i Shqipërisë për reduktimin e GES-ve është shumë herë më i madh se angazhimi fillestar në bazë të </w:t>
      </w:r>
      <w:r w:rsidR="00CF6108" w:rsidRPr="00FF756A">
        <w:rPr>
          <w:color w:val="000000" w:themeColor="text1"/>
        </w:rPr>
        <w:t>KKP</w:t>
      </w:r>
      <w:r w:rsidRPr="00FF756A">
        <w:rPr>
          <w:color w:val="000000" w:themeColor="text1"/>
        </w:rPr>
        <w:t>-</w:t>
      </w:r>
      <w:r w:rsidR="00B81B5C" w:rsidRPr="00FF756A">
        <w:rPr>
          <w:color w:val="000000" w:themeColor="text1"/>
        </w:rPr>
        <w:t>së</w:t>
      </w:r>
      <w:r w:rsidRPr="00FF756A">
        <w:rPr>
          <w:color w:val="000000" w:themeColor="text1"/>
        </w:rPr>
        <w:t>. Për rrjedhojë, strategjia për energjinë dhe objektivat politike që ajo parashikon janë në linjë me qëllimet gjithnjë e më ambicioze të KKKBNK-së dhe BE-së/Komunitetit të Energjisë. Duke pasur parasysh statusin e Shqipërisë si vend kandidat, ka gjasa që ajo të anëtarësohet në BE gjatë periudhës që mbulohet kjo strategji. Për këtë arsye, siç e kërkon edhe anëtarësimi i saj në Komunitetin e Energjisë, është me rëndësi thelbësore që strategjia për energjinë të jetë në përputhje edhe me Politikën e BE-së për Ndryshimet Klimatike, duke garantuar që objektivat e politikave të energjisë dhe planet përkatëse të veprimit për energjinë të identifikuara në këtë dokument të jenë në një linjë me ambiciet e shprehura në pikësynimet e BE-së për reduktimin e CO</w:t>
      </w:r>
      <w:r w:rsidRPr="00FF756A">
        <w:rPr>
          <w:color w:val="000000" w:themeColor="text1"/>
          <w:vertAlign w:val="subscript"/>
        </w:rPr>
        <w:t>2</w:t>
      </w:r>
      <w:r w:rsidRPr="00FF756A">
        <w:rPr>
          <w:color w:val="000000" w:themeColor="text1"/>
        </w:rPr>
        <w:t xml:space="preserve"> dhe në qëllimet politike lidhur me ndryshimet klimatike.</w:t>
      </w:r>
    </w:p>
    <w:p w14:paraId="78771158" w14:textId="77777777" w:rsidR="00AE7E5F" w:rsidRPr="00FF756A" w:rsidRDefault="00AE7E5F" w:rsidP="00121C96">
      <w:pPr>
        <w:spacing w:after="120"/>
        <w:rPr>
          <w:color w:val="000000" w:themeColor="text1"/>
        </w:rPr>
      </w:pPr>
    </w:p>
    <w:p w14:paraId="25495708" w14:textId="77777777" w:rsidR="00DA2EDE" w:rsidRPr="00FF756A" w:rsidRDefault="00DA2EDE" w:rsidP="008639B2">
      <w:pPr>
        <w:pStyle w:val="Heading4"/>
        <w:numPr>
          <w:ilvl w:val="3"/>
          <w:numId w:val="54"/>
        </w:numPr>
        <w:rPr>
          <w:rFonts w:cs="Times New Roman"/>
        </w:rPr>
      </w:pPr>
      <w:bookmarkStart w:id="37" w:name="_Toc183639175"/>
      <w:r w:rsidRPr="00FF756A">
        <w:rPr>
          <w:rFonts w:cs="Times New Roman"/>
        </w:rPr>
        <w:t>Përmbledhje e institucioneve qeveritare</w:t>
      </w:r>
      <w:bookmarkEnd w:id="37"/>
    </w:p>
    <w:p w14:paraId="5D8E3EB3" w14:textId="79BC6FAE" w:rsidR="00E532F2" w:rsidRPr="00FF756A" w:rsidRDefault="00DA2EDE" w:rsidP="00EF0D31">
      <w:pPr>
        <w:spacing w:after="120"/>
        <w:rPr>
          <w:bCs/>
        </w:rPr>
      </w:pPr>
      <w:r w:rsidRPr="00FF756A">
        <w:t xml:space="preserve">Institucionet më të rëndësishme në përcaktimin e politikave dhe rregullimin e sektorit të energjisë elektrike në Shqipëri janë </w:t>
      </w:r>
      <w:bookmarkStart w:id="38" w:name="OLE_LINK2"/>
      <w:r w:rsidRPr="00FF756A">
        <w:t xml:space="preserve">Ministria e Infrastrukturës dhe Energjisë (“MIE”) </w:t>
      </w:r>
      <w:bookmarkEnd w:id="38"/>
      <w:r w:rsidRPr="00FF756A">
        <w:t xml:space="preserve">dhe Enti Rregullator i Energjisë (“ERE”). Krahas MIE dhe ERE, janë gjithashtu edhe disa ministri që luajnë një rol më të vogël </w:t>
      </w:r>
      <w:r w:rsidRPr="00FF756A">
        <w:lastRenderedPageBreak/>
        <w:t xml:space="preserve">në sektor, si dhe një sërë agjencish qeveritare të cilave ministritë u kanë deleguar përgjegjësi në lidhje me sektorin e energjisë elektrike. Këto janë: </w:t>
      </w:r>
      <w:bookmarkStart w:id="39" w:name="OLE_LINK3"/>
      <w:r w:rsidRPr="00FF756A">
        <w:t xml:space="preserve">Ministria e Financave dhe Ekonomisë (MFE), Ministria e Shëndetësisë dhe Mirëqenies Sociale (MSHMS), Ministria e Turizmit dhe Mjedisit (MTM) dhe </w:t>
      </w:r>
      <w:bookmarkEnd w:id="39"/>
      <w:r w:rsidRPr="00FF756A">
        <w:t xml:space="preserve">agjencitë qeveritare e shoqëritë e përfshira në furnizimin me energji, siç tregohen në figurën më poshtë. Në shtojcë jepet një përshkrim më i hollësishëm i </w:t>
      </w:r>
      <w:r w:rsidR="00351EED" w:rsidRPr="00FF756A">
        <w:t>institucioneve</w:t>
      </w:r>
      <w:r w:rsidRPr="00FF756A">
        <w:t xml:space="preserve"> të paraqitura. </w:t>
      </w:r>
    </w:p>
    <w:p w14:paraId="42A356D9" w14:textId="77777777" w:rsidR="007D7D06" w:rsidRPr="00FF756A" w:rsidRDefault="007D7D06" w:rsidP="007D7D06">
      <w:pPr>
        <w:keepNext/>
        <w:spacing w:after="120"/>
      </w:pPr>
      <w:r w:rsidRPr="00FF756A">
        <w:rPr>
          <w:noProof/>
          <w:lang w:val="en-US"/>
        </w:rPr>
        <w:drawing>
          <wp:inline distT="0" distB="0" distL="0" distR="0" wp14:anchorId="513A0901" wp14:editId="3A785191">
            <wp:extent cx="5750753" cy="3355340"/>
            <wp:effectExtent l="19050" t="19050" r="21590" b="16510"/>
            <wp:docPr id="1207095505"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095505" name="Picture 1" descr="A diagram of a company&#10;&#10;Description automatically generated"/>
                    <pic:cNvPicPr/>
                  </pic:nvPicPr>
                  <pic:blipFill rotWithShape="1">
                    <a:blip r:embed="rId27"/>
                    <a:srcRect r="305"/>
                    <a:stretch/>
                  </pic:blipFill>
                  <pic:spPr bwMode="auto">
                    <a:xfrm>
                      <a:off x="0" y="0"/>
                      <a:ext cx="5751624" cy="335584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F47A6A4" w14:textId="678B8AC3" w:rsidR="007D7D06" w:rsidRPr="00FF756A" w:rsidRDefault="007D7D06" w:rsidP="007D7D06">
      <w:pPr>
        <w:pStyle w:val="Caption"/>
        <w:rPr>
          <w:rFonts w:ascii="Times New Roman" w:hAnsi="Times New Roman"/>
        </w:rPr>
      </w:pPr>
      <w:bookmarkStart w:id="40" w:name="_Toc183016540"/>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10</w:t>
      </w:r>
      <w:r w:rsidR="008E7DE9" w:rsidRPr="00FF756A">
        <w:rPr>
          <w:rFonts w:ascii="Times New Roman" w:hAnsi="Times New Roman"/>
          <w:noProof/>
        </w:rPr>
        <w:fldChar w:fldCharType="end"/>
      </w:r>
      <w:r w:rsidRPr="00FF756A">
        <w:rPr>
          <w:rFonts w:ascii="Times New Roman" w:hAnsi="Times New Roman"/>
        </w:rPr>
        <w:t>: Organigrama e institucioneve qeveritare të përfshira në hartimin dhe zbatimin e PKEK-së</w:t>
      </w:r>
      <w:bookmarkEnd w:id="40"/>
    </w:p>
    <w:p w14:paraId="10A4D1CD" w14:textId="2A57CA69" w:rsidR="00DA2EDE" w:rsidRPr="00FF756A" w:rsidRDefault="003E593E" w:rsidP="00EF0D31">
      <w:pPr>
        <w:spacing w:after="120"/>
        <w:rPr>
          <w:bCs/>
        </w:rPr>
      </w:pPr>
      <w:r w:rsidRPr="00FF756A">
        <w:rPr>
          <w:noProof/>
          <w:lang w:val="en-US"/>
        </w:rPr>
        <mc:AlternateContent>
          <mc:Choice Requires="wps">
            <w:drawing>
              <wp:anchor distT="0" distB="0" distL="114300" distR="114300" simplePos="0" relativeHeight="251659264" behindDoc="0" locked="0" layoutInCell="1" allowOverlap="1" wp14:anchorId="76ACB7CD" wp14:editId="4D0D9E92">
                <wp:simplePos x="0" y="0"/>
                <wp:positionH relativeFrom="column">
                  <wp:posOffset>12904470</wp:posOffset>
                </wp:positionH>
                <wp:positionV relativeFrom="paragraph">
                  <wp:posOffset>2145030</wp:posOffset>
                </wp:positionV>
                <wp:extent cx="899160" cy="834390"/>
                <wp:effectExtent l="0" t="0" r="15240" b="22860"/>
                <wp:wrapNone/>
                <wp:docPr id="1320165583" name="Rectangle 1"/>
                <wp:cNvGraphicFramePr/>
                <a:graphic xmlns:a="http://schemas.openxmlformats.org/drawingml/2006/main">
                  <a:graphicData uri="http://schemas.microsoft.com/office/word/2010/wordprocessingShape">
                    <wps:wsp>
                      <wps:cNvSpPr/>
                      <wps:spPr>
                        <a:xfrm>
                          <a:off x="0" y="0"/>
                          <a:ext cx="899160" cy="83439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425085E" id="Rectangle 1" o:spid="_x0000_s1026" style="position:absolute;margin-left:1016.1pt;margin-top:168.9pt;width:70.8pt;height:65.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" fillcolor="white [3212]" strokecolor="white [3212]" strokeweight="1pt"/>
            </w:pict>
          </mc:Fallback>
        </mc:AlternateContent>
      </w:r>
      <w:r w:rsidRPr="00FF756A">
        <w:rPr>
          <w:noProof/>
          <w:lang w:val="en-US"/>
        </w:rPr>
        <mc:AlternateContent>
          <mc:Choice Requires="wps">
            <w:drawing>
              <wp:anchor distT="4294967295" distB="4294967295" distL="114300" distR="114300" simplePos="0" relativeHeight="251656192" behindDoc="0" locked="0" layoutInCell="1" allowOverlap="1" wp14:anchorId="1E4D7D71" wp14:editId="3F756CBE">
                <wp:simplePos x="0" y="0"/>
                <wp:positionH relativeFrom="column">
                  <wp:posOffset>-1868805</wp:posOffset>
                </wp:positionH>
                <wp:positionV relativeFrom="paragraph">
                  <wp:posOffset>1116329</wp:posOffset>
                </wp:positionV>
                <wp:extent cx="556895" cy="0"/>
                <wp:effectExtent l="0" t="76200" r="0" b="76200"/>
                <wp:wrapNone/>
                <wp:docPr id="655012877" name="Gerade Verbindung mit Pfeil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689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BF15C89" id="_x0000_t32" coordsize="21600,21600" o:spt="32" o:oned="t" path="m,l21600,21600e" filled="f">
                <v:path arrowok="t" fillok="f" o:connecttype="none"/>
                <o:lock v:ext="edit" shapetype="t"/>
              </v:shapetype>
              <v:shape id="Gerade Verbindung mit Pfeil 1" o:spid="_x0000_s1026" type="#_x0000_t32" style="position:absolute;margin-left:-147.15pt;margin-top:87.9pt;width:43.85pt;height:0;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" strokecolor="#4472c4 [3204]" strokeweight=".5pt">
                <v:stroke endarrow="block" joinstyle="miter"/>
                <o:lock v:ext="edit" shapetype="f"/>
              </v:shape>
            </w:pict>
          </mc:Fallback>
        </mc:AlternateContent>
      </w:r>
      <w:bookmarkStart w:id="41" w:name="_Hlk45105180"/>
    </w:p>
    <w:p w14:paraId="1E114EFC" w14:textId="20ADB8A3" w:rsidR="00DA2EDE" w:rsidRPr="00FF756A" w:rsidRDefault="00DA2EDE" w:rsidP="008639B2">
      <w:pPr>
        <w:pStyle w:val="Heading4"/>
        <w:numPr>
          <w:ilvl w:val="3"/>
          <w:numId w:val="54"/>
        </w:numPr>
        <w:rPr>
          <w:rFonts w:cs="Times New Roman"/>
        </w:rPr>
      </w:pPr>
      <w:bookmarkStart w:id="42" w:name="_Toc183639176"/>
      <w:bookmarkEnd w:id="41"/>
      <w:r w:rsidRPr="00FF756A">
        <w:rPr>
          <w:rFonts w:cs="Times New Roman"/>
        </w:rPr>
        <w:t>Dimensioni i dekarbonizimit – shkarkimet dhe largimet e GES-ve</w:t>
      </w:r>
      <w:bookmarkEnd w:id="42"/>
      <w:r w:rsidRPr="00FF756A">
        <w:rPr>
          <w:rFonts w:cs="Times New Roman"/>
        </w:rPr>
        <w:t xml:space="preserve"> </w:t>
      </w:r>
    </w:p>
    <w:p w14:paraId="5E2F0107" w14:textId="77777777" w:rsidR="000E72DD" w:rsidRPr="00FF756A" w:rsidRDefault="000E72DD" w:rsidP="00EF0D31"/>
    <w:p w14:paraId="190FE527" w14:textId="37D12A77" w:rsidR="00DA2EDE" w:rsidRPr="00FF756A" w:rsidRDefault="00DA2EDE" w:rsidP="00EF0D31">
      <w:r w:rsidRPr="00FF756A">
        <w:t>Politikat kryesore, si INDC-të dhe Strategjia Kombëtare për Ndryshimet Klimatike, përshkruhen më poshtë.</w:t>
      </w:r>
    </w:p>
    <w:p w14:paraId="11D6C736" w14:textId="3C39D265" w:rsidR="00DA2EDE" w:rsidRPr="00AE7E5F" w:rsidRDefault="00B81B5C" w:rsidP="00EF0D31">
      <w:pPr>
        <w:rPr>
          <w:b/>
          <w:bCs/>
        </w:rPr>
      </w:pPr>
      <w:r w:rsidRPr="00AE7E5F">
        <w:rPr>
          <w:b/>
          <w:bCs/>
        </w:rPr>
        <w:t>K</w:t>
      </w:r>
      <w:r w:rsidR="00DA2EDE" w:rsidRPr="00AE7E5F">
        <w:rPr>
          <w:b/>
          <w:bCs/>
        </w:rPr>
        <w:t>ontribut</w:t>
      </w:r>
      <w:r w:rsidRPr="00AE7E5F">
        <w:rPr>
          <w:b/>
          <w:bCs/>
        </w:rPr>
        <w:t xml:space="preserve">i </w:t>
      </w:r>
      <w:r w:rsidR="00DA2EDE" w:rsidRPr="00AE7E5F">
        <w:rPr>
          <w:b/>
          <w:bCs/>
        </w:rPr>
        <w:t>Kombëtar</w:t>
      </w:r>
      <w:r w:rsidRPr="00AE7E5F">
        <w:rPr>
          <w:b/>
          <w:bCs/>
        </w:rPr>
        <w:t xml:space="preserve"> i</w:t>
      </w:r>
      <w:r w:rsidR="00DA2EDE" w:rsidRPr="00AE7E5F">
        <w:rPr>
          <w:b/>
          <w:bCs/>
        </w:rPr>
        <w:t xml:space="preserve"> Pikësynuar</w:t>
      </w:r>
      <w:r w:rsidRPr="00AE7E5F">
        <w:rPr>
          <w:b/>
          <w:bCs/>
        </w:rPr>
        <w:t xml:space="preserve"> (KKP) 2021-2030</w:t>
      </w:r>
    </w:p>
    <w:p w14:paraId="69DE5676" w14:textId="39A71A58" w:rsidR="00794626" w:rsidRPr="00FF756A" w:rsidRDefault="00794626" w:rsidP="00794626">
      <w:r w:rsidRPr="00FF756A">
        <w:t xml:space="preserve">Ndonëse Shqipëria ka një ekonomi me karbon të ulët, </w:t>
      </w:r>
      <w:r w:rsidR="00B81B5C" w:rsidRPr="00FF756A">
        <w:t>KKP i rishik</w:t>
      </w:r>
      <w:r w:rsidR="00696647" w:rsidRPr="00FF756A">
        <w:t>uar i</w:t>
      </w:r>
      <w:r w:rsidRPr="00FF756A">
        <w:t xml:space="preserve"> miratuar me VKM nr. 581, datë 6.10.2021 synojnë reduktimin e shkarkimeve të CO</w:t>
      </w:r>
      <w:r w:rsidRPr="00FF756A">
        <w:rPr>
          <w:vertAlign w:val="subscript"/>
        </w:rPr>
        <w:t>2</w:t>
      </w:r>
      <w:r w:rsidRPr="00FF756A">
        <w:t xml:space="preserve"> me 20,9 % krahasuar me skenarin bazë për periudhën 2016 deri në 2030. Ky reduktim është i barasvlershëm me një reduktim të shkarkimeve të CO</w:t>
      </w:r>
      <w:r w:rsidRPr="00FF756A">
        <w:rPr>
          <w:vertAlign w:val="subscript"/>
        </w:rPr>
        <w:t>2</w:t>
      </w:r>
      <w:r w:rsidRPr="00FF756A">
        <w:t xml:space="preserve"> me 3170 kt brenda vitit 2030, duke marrë në konsideratë të gjithë sektorët.</w:t>
      </w:r>
    </w:p>
    <w:p w14:paraId="77A52560" w14:textId="216FC9A3" w:rsidR="00DA2EDE" w:rsidRPr="00FF756A" w:rsidRDefault="00DA2EDE" w:rsidP="00EF0D31">
      <w:pPr>
        <w:rPr>
          <w:color w:val="000000" w:themeColor="text1"/>
        </w:rPr>
      </w:pPr>
    </w:p>
    <w:p w14:paraId="1597CE03" w14:textId="2E2A6648" w:rsidR="00DA2EDE" w:rsidRPr="00FF756A" w:rsidRDefault="00DA2EDE" w:rsidP="00EF0D31">
      <w:r w:rsidRPr="00FF756A">
        <w:t xml:space="preserve">Mekanizmat kryesorë për arritjen e këtij objektivi lidhen me ruajtjen e niveleve të ulëta të shkarkimeve të gazeve me efekt serrë nga sektori i prodhimit të energjisë dhe zhvillimin e politikave me karbon të ulët me qëllim parandalimin e rritjes së shkarkimeve të gazeve me efekt serrë nga sektorë të tjerë të ekonomisë.   </w:t>
      </w:r>
    </w:p>
    <w:p w14:paraId="7BC6FF8F" w14:textId="5A5C5A5C" w:rsidR="00DA2EDE" w:rsidRPr="00FF756A" w:rsidRDefault="00DA2EDE" w:rsidP="00EF0D31">
      <w:r w:rsidRPr="00FF756A">
        <w:t xml:space="preserve">Të gjithë sektorët duhet të kontribuojnë në kalimin drejt një ekonomie me karbon të ulët në përputhje me potencialin e tyre teknologjik dhe ekonomik. Udhërrëfyesi i Ekonomisë me Karbon të Ulët i BE-së bën thirrje për marrjen e masave në të gjithë sektorët kryesorë përgjegjës për shkarkimet në Evropë – sektori i prodhimit të energjisë elektrike, industrisë, transportit, ndërtesave, ndërtimit dhe bujqësisë </w:t>
      </w:r>
      <w:r w:rsidR="00A90B27" w:rsidRPr="00FF756A">
        <w:t>–</w:t>
      </w:r>
      <w:r w:rsidRPr="00FF756A">
        <w:t xml:space="preserve"> </w:t>
      </w:r>
      <w:r w:rsidR="00A90B27" w:rsidRPr="00FF756A">
        <w:t xml:space="preserve">ku </w:t>
      </w:r>
      <w:r w:rsidRPr="00FF756A">
        <w:t>nevojiten investime të konsiderueshme në:</w:t>
      </w:r>
    </w:p>
    <w:p w14:paraId="1C47132D" w14:textId="77777777" w:rsidR="00DA2EDE" w:rsidRPr="00FF756A" w:rsidRDefault="00DA2EDE" w:rsidP="00ED5606">
      <w:pPr>
        <w:pStyle w:val="Bullet1"/>
        <w:spacing w:after="0" w:line="240" w:lineRule="auto"/>
        <w:ind w:left="862" w:hanging="357"/>
        <w:rPr>
          <w:rFonts w:ascii="Times New Roman" w:eastAsiaTheme="minorEastAsia" w:hAnsi="Times New Roman" w:cs="Times New Roman"/>
        </w:rPr>
      </w:pPr>
      <w:r w:rsidRPr="00FF756A">
        <w:rPr>
          <w:rFonts w:ascii="Times New Roman" w:hAnsi="Times New Roman" w:cs="Times New Roman"/>
        </w:rPr>
        <w:t>Teknologjitë e reja me karbon të ulët</w:t>
      </w:r>
    </w:p>
    <w:p w14:paraId="6DB7737F" w14:textId="77777777" w:rsidR="00DA2EDE" w:rsidRPr="00FF756A" w:rsidRDefault="00DA2EDE" w:rsidP="00ED5606">
      <w:pPr>
        <w:pStyle w:val="Bullet1"/>
        <w:spacing w:after="0" w:line="240" w:lineRule="auto"/>
        <w:ind w:left="862" w:hanging="357"/>
        <w:rPr>
          <w:rFonts w:ascii="Times New Roman" w:eastAsiaTheme="minorEastAsia" w:hAnsi="Times New Roman" w:cs="Times New Roman"/>
        </w:rPr>
      </w:pPr>
      <w:r w:rsidRPr="00FF756A">
        <w:rPr>
          <w:rFonts w:ascii="Times New Roman" w:hAnsi="Times New Roman" w:cs="Times New Roman"/>
        </w:rPr>
        <w:lastRenderedPageBreak/>
        <w:t>Energjia e rinovueshme</w:t>
      </w:r>
    </w:p>
    <w:p w14:paraId="31D6BA49" w14:textId="77777777" w:rsidR="00DA2EDE" w:rsidRPr="00FF756A" w:rsidRDefault="00DA2EDE" w:rsidP="00ED5606">
      <w:pPr>
        <w:pStyle w:val="Bullet1"/>
        <w:spacing w:after="0" w:line="240" w:lineRule="auto"/>
        <w:ind w:left="862" w:hanging="357"/>
        <w:rPr>
          <w:rFonts w:ascii="Times New Roman" w:eastAsiaTheme="minorEastAsia" w:hAnsi="Times New Roman" w:cs="Times New Roman"/>
        </w:rPr>
      </w:pPr>
      <w:r w:rsidRPr="00FF756A">
        <w:rPr>
          <w:rFonts w:ascii="Times New Roman" w:hAnsi="Times New Roman" w:cs="Times New Roman"/>
        </w:rPr>
        <w:t xml:space="preserve">Efiçencën e energjisë dhe </w:t>
      </w:r>
    </w:p>
    <w:p w14:paraId="15B552C5" w14:textId="77777777" w:rsidR="00DA2EDE" w:rsidRPr="00FF756A" w:rsidRDefault="00DA2EDE" w:rsidP="00ED5606">
      <w:pPr>
        <w:pStyle w:val="Bullet1"/>
        <w:spacing w:after="0" w:line="240" w:lineRule="auto"/>
        <w:ind w:left="862" w:hanging="357"/>
        <w:rPr>
          <w:rFonts w:ascii="Times New Roman" w:eastAsiaTheme="minorEastAsia" w:hAnsi="Times New Roman" w:cs="Times New Roman"/>
        </w:rPr>
      </w:pPr>
      <w:r w:rsidRPr="00FF756A">
        <w:rPr>
          <w:rFonts w:ascii="Times New Roman" w:hAnsi="Times New Roman" w:cs="Times New Roman"/>
        </w:rPr>
        <w:t>Infrastrukturën e rrjetit.</w:t>
      </w:r>
    </w:p>
    <w:p w14:paraId="2998EEA8" w14:textId="77777777" w:rsidR="00164D53" w:rsidRPr="00FF756A" w:rsidRDefault="00164D53" w:rsidP="00EF0D31">
      <w:pPr>
        <w:rPr>
          <w:b/>
          <w:bCs/>
        </w:rPr>
      </w:pPr>
    </w:p>
    <w:p w14:paraId="2C5A2653" w14:textId="6B0860D9" w:rsidR="00724ABB" w:rsidRPr="00FF756A" w:rsidRDefault="00724ABB" w:rsidP="00EF0D31">
      <w:pPr>
        <w:rPr>
          <w:b/>
          <w:bCs/>
        </w:rPr>
      </w:pPr>
      <w:r w:rsidRPr="00FF756A">
        <w:rPr>
          <w:b/>
          <w:bCs/>
        </w:rPr>
        <w:t>NAMA (Masa Zbutëse Kombëtare të Përshtatshme)</w:t>
      </w:r>
    </w:p>
    <w:p w14:paraId="683517A5" w14:textId="145472CF" w:rsidR="00DA2EDE" w:rsidRPr="00FF756A" w:rsidRDefault="00DA2EDE" w:rsidP="00EF0D31">
      <w:r w:rsidRPr="00FF756A">
        <w:t>Gjatë 2013-2014, me mbështetjen e UNDP-së, u krye një inventar fillestar i NAMA-ve potenciale në Shqipëri.</w:t>
      </w:r>
    </w:p>
    <w:p w14:paraId="2B1C9362" w14:textId="77777777" w:rsidR="00164D53" w:rsidRPr="00FF756A" w:rsidRDefault="00164D53" w:rsidP="00EF0D31">
      <w:pPr>
        <w:rPr>
          <w:b/>
        </w:rPr>
      </w:pPr>
    </w:p>
    <w:p w14:paraId="57D90B1A" w14:textId="41DF35B7" w:rsidR="00DA2EDE" w:rsidRPr="00FF756A" w:rsidRDefault="00DA2EDE" w:rsidP="00EF0D31">
      <w:pPr>
        <w:rPr>
          <w:b/>
        </w:rPr>
      </w:pPr>
      <w:r w:rsidRPr="00FF756A">
        <w:rPr>
          <w:b/>
        </w:rPr>
        <w:t>Strategjia Kombëtare për Ndryshimet Klimatike (2019-2030)</w:t>
      </w:r>
    </w:p>
    <w:p w14:paraId="3C8BCF72" w14:textId="77777777" w:rsidR="00DA2EDE" w:rsidRPr="00FF756A" w:rsidRDefault="00DA2EDE" w:rsidP="00A70308">
      <w:pPr>
        <w:spacing w:line="240" w:lineRule="auto"/>
        <w:rPr>
          <w:bCs/>
        </w:rPr>
      </w:pPr>
      <w:r w:rsidRPr="00FF756A">
        <w:t>Strategjia Kombëtare për Ndryshimet Klimatike (2019-2030) është përafruar me dokumentet kryesore në vijim:</w:t>
      </w:r>
    </w:p>
    <w:p w14:paraId="5AA20A93" w14:textId="77777777" w:rsidR="00DA2EDE" w:rsidRPr="00FF756A" w:rsidRDefault="00DA2EDE" w:rsidP="00A70308">
      <w:pPr>
        <w:pStyle w:val="ListParagraph"/>
        <w:widowControl w:val="0"/>
        <w:numPr>
          <w:ilvl w:val="0"/>
          <w:numId w:val="22"/>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line="240" w:lineRule="auto"/>
      </w:pPr>
      <w:r w:rsidRPr="00FF756A">
        <w:t>Detyrimet në kuadër të Komunitetit të Energjisë</w:t>
      </w:r>
    </w:p>
    <w:p w14:paraId="157C9228" w14:textId="240365AC" w:rsidR="00DA2EDE" w:rsidRPr="00FF756A" w:rsidRDefault="00DA2EDE" w:rsidP="00A70308">
      <w:pPr>
        <w:pStyle w:val="ListParagraph"/>
        <w:widowControl w:val="0"/>
        <w:numPr>
          <w:ilvl w:val="0"/>
          <w:numId w:val="22"/>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line="240" w:lineRule="auto"/>
      </w:pPr>
      <w:r w:rsidRPr="00FF756A">
        <w:t xml:space="preserve">Strategjia Kombëtare për Zhvillim dhe Integrim – 2015-2020 (Këshilli </w:t>
      </w:r>
      <w:r w:rsidR="00362E33" w:rsidRPr="00FF756A">
        <w:t>i</w:t>
      </w:r>
      <w:r w:rsidRPr="00FF756A">
        <w:t xml:space="preserve"> Ministrave, 2017)</w:t>
      </w:r>
    </w:p>
    <w:p w14:paraId="66FFB975" w14:textId="77777777" w:rsidR="00DA2EDE" w:rsidRPr="00FF756A" w:rsidRDefault="00DA2EDE" w:rsidP="00A70308">
      <w:pPr>
        <w:pStyle w:val="ListParagraph"/>
        <w:widowControl w:val="0"/>
        <w:numPr>
          <w:ilvl w:val="0"/>
          <w:numId w:val="22"/>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line="240" w:lineRule="auto"/>
      </w:pPr>
      <w:r w:rsidRPr="00FF756A">
        <w:t>Programi i Reformës Ekonomike të Shqipërisë (2020-2022)</w:t>
      </w:r>
    </w:p>
    <w:p w14:paraId="7B7AAECB" w14:textId="3D37998C" w:rsidR="00DA2EDE" w:rsidRPr="00FF756A" w:rsidRDefault="00DA2EDE" w:rsidP="00A70308">
      <w:pPr>
        <w:pStyle w:val="ListParagraph"/>
        <w:widowControl w:val="0"/>
        <w:numPr>
          <w:ilvl w:val="0"/>
          <w:numId w:val="22"/>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line="240" w:lineRule="auto"/>
      </w:pPr>
      <w:r w:rsidRPr="00FF756A">
        <w:t>Draft Plani Kombëtar i Veprimit për Burimet e Rinovueshme të Energjisë (PKVBRE) i vitit 2019</w:t>
      </w:r>
    </w:p>
    <w:p w14:paraId="2C90942A" w14:textId="77777777" w:rsidR="00DA2EDE" w:rsidRPr="00FF756A" w:rsidRDefault="00DA2EDE" w:rsidP="00A70308">
      <w:pPr>
        <w:pStyle w:val="ListParagraph"/>
        <w:widowControl w:val="0"/>
        <w:numPr>
          <w:ilvl w:val="0"/>
          <w:numId w:val="22"/>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line="240" w:lineRule="auto"/>
      </w:pPr>
      <w:r w:rsidRPr="00FF756A">
        <w:t>Komunikimi i Tretë Kombëtar i Republikës së Shqipërisë në kuadrin e Konventës Kuadër të Kombeve të Bashkuara për Ndryshimet Klimatike (Tiranë, qershor 2016)</w:t>
      </w:r>
    </w:p>
    <w:p w14:paraId="4190D0D2" w14:textId="549E8B89" w:rsidR="00DA2EDE" w:rsidRPr="00FF756A" w:rsidRDefault="00DA2EDE" w:rsidP="00A70308">
      <w:pPr>
        <w:pStyle w:val="ListParagraph"/>
        <w:widowControl w:val="0"/>
        <w:numPr>
          <w:ilvl w:val="0"/>
          <w:numId w:val="22"/>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line="240" w:lineRule="auto"/>
      </w:pPr>
      <w:r w:rsidRPr="00FF756A">
        <w:t>Dokumenti i parë për përcaktimin e Kontributit Kombëtar të P</w:t>
      </w:r>
      <w:r w:rsidR="00BF7099" w:rsidRPr="00FF756A">
        <w:t>ikësynuar</w:t>
      </w:r>
      <w:r w:rsidRPr="00FF756A">
        <w:t xml:space="preserve"> (</w:t>
      </w:r>
      <w:r w:rsidR="0064144C" w:rsidRPr="00FF756A">
        <w:t>KKP</w:t>
      </w:r>
      <w:r w:rsidRPr="00FF756A">
        <w:t>) kundrejt arritjes së objektivit të KKKBNK-së, miratuar me VKM Nr. 762, datë 16.9.2015</w:t>
      </w:r>
    </w:p>
    <w:p w14:paraId="6BA7DFA7" w14:textId="77777777" w:rsidR="00DA2EDE" w:rsidRPr="00FF756A" w:rsidRDefault="00DA2EDE" w:rsidP="00A70308">
      <w:pPr>
        <w:pStyle w:val="ListParagraph"/>
        <w:widowControl w:val="0"/>
        <w:numPr>
          <w:ilvl w:val="0"/>
          <w:numId w:val="22"/>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line="240" w:lineRule="auto"/>
      </w:pPr>
      <w:r w:rsidRPr="00FF756A">
        <w:t>Plani i Konsoliduar Kombëtar i Veprimit për Burimet e Rinovueshme të Energjisë (PKKVBRE 2019 – 2020) (VKM Nr. 580, datë 31.7.2018)</w:t>
      </w:r>
    </w:p>
    <w:p w14:paraId="223C01EE" w14:textId="372D32CD" w:rsidR="00DA2EDE" w:rsidRPr="00FF756A" w:rsidRDefault="00DA2EDE" w:rsidP="00A70308">
      <w:pPr>
        <w:spacing w:line="240" w:lineRule="auto"/>
        <w:rPr>
          <w:rFonts w:eastAsia="Arial"/>
          <w:color w:val="000000" w:themeColor="text1"/>
        </w:rPr>
      </w:pPr>
      <w:r w:rsidRPr="00FF756A">
        <w:rPr>
          <w:color w:val="000000" w:themeColor="text1"/>
        </w:rPr>
        <w:t xml:space="preserve">Masat politike më të rëndësishme janë ligjet kryesore që krijojnë kushtet thelbësore për rritjen e numrit të impianteve të energjisë së rinovueshme për prodhimin e energjisë elektrike (shihni kreun vijues “Dimensioni i dekarbonizimit – Energjia e rinovueshme). </w:t>
      </w:r>
    </w:p>
    <w:p w14:paraId="3EEBD20C" w14:textId="77777777" w:rsidR="00886AB5" w:rsidRPr="00FF756A" w:rsidRDefault="00886AB5" w:rsidP="00EF0D31">
      <w:pPr>
        <w:rPr>
          <w:rFonts w:eastAsia="Arial"/>
          <w:color w:val="000000" w:themeColor="text1"/>
        </w:rPr>
      </w:pPr>
    </w:p>
    <w:p w14:paraId="49B0F65B" w14:textId="7A55F77A" w:rsidR="00886AB5" w:rsidRPr="00FF756A" w:rsidRDefault="00886AB5" w:rsidP="00EF0D31">
      <w:pPr>
        <w:rPr>
          <w:rFonts w:eastAsia="Arial"/>
          <w:b/>
          <w:bCs/>
          <w:color w:val="000000" w:themeColor="text1"/>
        </w:rPr>
      </w:pPr>
      <w:r w:rsidRPr="00FF756A">
        <w:rPr>
          <w:b/>
          <w:bCs/>
          <w:color w:val="000000" w:themeColor="text1"/>
        </w:rPr>
        <w:t>Strategjia Ndërsektoriale e Bujqësisë, Zhvillimit Rural dhe Peshkimit (2021-2027, miratuar në 2022)</w:t>
      </w:r>
    </w:p>
    <w:p w14:paraId="472C27B8" w14:textId="2642ABE9" w:rsidR="00253DEF" w:rsidRPr="00FF756A" w:rsidRDefault="00794626" w:rsidP="00EF0D31">
      <w:pPr>
        <w:rPr>
          <w:rFonts w:eastAsia="Arial"/>
          <w:color w:val="000000" w:themeColor="text1"/>
        </w:rPr>
      </w:pPr>
      <w:r w:rsidRPr="00FF756A">
        <w:rPr>
          <w:color w:val="000000" w:themeColor="text1"/>
        </w:rPr>
        <w:t>Strategjia Ndërsektoriale e Bujqësisë, Zhvillimit Rural dhe Peshkimit e Shqipërisë (2021-2027), e miratuar në vitin 2022, synon të rrisë qëndrueshmërinë dhe konkurrueshmërinë e këtyre sektorëve. (i) Strategjia promovon praktika të qëndrueshme bujqësore, përdorimin efikas të burimeve dhe vendosjen në përdorim të teknologjive të gjelbra, të cilat mund të ndihmojnë në reduktimin e shkarkimeve të gazeve serrë nga aktivitetet bujqësore. (ii) Iniciativat që synojnë përdorimin më të mirë të tokës, ripyllëzimin dhe ruajtjen e tokës</w:t>
      </w:r>
      <w:r w:rsidR="00DB7CD7" w:rsidRPr="00FF756A">
        <w:rPr>
          <w:color w:val="000000" w:themeColor="text1"/>
        </w:rPr>
        <w:t>,</w:t>
      </w:r>
      <w:r w:rsidRPr="00FF756A">
        <w:rPr>
          <w:color w:val="000000" w:themeColor="text1"/>
        </w:rPr>
        <w:t xml:space="preserve"> kontribuojnë në përthithjen e karbonit, duke kompensuar kështu shkarkimet. (iii) Praktikat e qëndrueshme të peshkimit, të tilla si reduktimi i mbipeshkimit dhe mbrojtja e ekosistemeve detare, mbështesin biodiversitetin dhe kontribuojnë në reduktimin e përgjithshëm të shkarkimeve të gazeve serrë brenda sektorit.</w:t>
      </w:r>
    </w:p>
    <w:p w14:paraId="20092751" w14:textId="77777777" w:rsidR="00886AB5" w:rsidRPr="00FF756A" w:rsidRDefault="00886AB5" w:rsidP="00EF0D31">
      <w:pPr>
        <w:rPr>
          <w:rFonts w:eastAsia="Arial"/>
          <w:color w:val="000000" w:themeColor="text1"/>
        </w:rPr>
      </w:pPr>
    </w:p>
    <w:p w14:paraId="62C78939" w14:textId="1A2DFB7A" w:rsidR="00886AB5" w:rsidRPr="00FF756A" w:rsidRDefault="00886AB5" w:rsidP="00EF0D31">
      <w:pPr>
        <w:rPr>
          <w:rFonts w:eastAsia="Arial"/>
          <w:b/>
          <w:bCs/>
          <w:color w:val="000000" w:themeColor="text1"/>
        </w:rPr>
      </w:pPr>
      <w:r w:rsidRPr="00FF756A">
        <w:rPr>
          <w:b/>
          <w:bCs/>
          <w:color w:val="000000" w:themeColor="text1"/>
        </w:rPr>
        <w:t>Strategjia për Zhvillimin e Sektorit të Pyjeve dhe Kullotave (2005-2030)</w:t>
      </w:r>
    </w:p>
    <w:p w14:paraId="7312A555" w14:textId="0D14548C" w:rsidR="00794626" w:rsidRPr="00FF756A" w:rsidRDefault="00163C72" w:rsidP="00794626">
      <w:pPr>
        <w:rPr>
          <w:rFonts w:eastAsia="Arial"/>
          <w:color w:val="000000" w:themeColor="text1"/>
        </w:rPr>
      </w:pPr>
      <w:r w:rsidRPr="00FF756A">
        <w:rPr>
          <w:color w:val="000000" w:themeColor="text1"/>
        </w:rPr>
        <w:t>Strategjia për Zhvillimin e Sektorit të Pyjeve dhe Kullotave e Shqipërisë (2005-2030) është hartuar për të përmirësuar menaxhimin dhe qëndrueshmërinë e pyjeve dhe kullotave në Shqipëri. Strategjia promovon (i) përmirësimin e praktikave të menaxhimit të pyjeve</w:t>
      </w:r>
      <w:r w:rsidR="00224960" w:rsidRPr="00FF756A">
        <w:rPr>
          <w:color w:val="000000" w:themeColor="text1"/>
        </w:rPr>
        <w:t>,</w:t>
      </w:r>
      <w:r w:rsidRPr="00FF756A">
        <w:rPr>
          <w:color w:val="000000" w:themeColor="text1"/>
        </w:rPr>
        <w:t xml:space="preserve"> përpjekjet e pyllëzimit dhe ripyllëzimit rrisin kapacitetin e pyjeve për të thithur dioksidin e karbonit nga atmosfera, duke zvogëluar kështu shkarkimet neto të gazeve serrë (ii) reduktimin e shpyllëzimit dhe degradimit duke zbatuar masa për të reduktuar shpyllëzimin dhe degradimin e pyjeve strategjia ndihmon në ruajtjen dhe rritjen e kapacitetit të pyjeve ekzistuese për përthithjen e karbonit (iii) menaxhimin e qëndrueshëm të kullotave</w:t>
      </w:r>
      <w:r w:rsidR="00E61A5B" w:rsidRPr="00FF756A">
        <w:rPr>
          <w:color w:val="000000" w:themeColor="text1"/>
        </w:rPr>
        <w:t xml:space="preserve"> dhe</w:t>
      </w:r>
      <w:r w:rsidRPr="00FF756A">
        <w:rPr>
          <w:color w:val="000000" w:themeColor="text1"/>
        </w:rPr>
        <w:t xml:space="preserve"> promovimi i praktikave të qëndrueshme të kullotjes ndihmon në parandalimin e mbikullotjes dhe </w:t>
      </w:r>
      <w:r w:rsidRPr="00FF756A">
        <w:rPr>
          <w:color w:val="000000" w:themeColor="text1"/>
        </w:rPr>
        <w:lastRenderedPageBreak/>
        <w:t>degradimit të tokave, që nga ana tjetër mbështet përthithjen e karbonit në tokë dhe redukton shkarkimet nga ndryshimet e përdorimit të tokës.</w:t>
      </w:r>
    </w:p>
    <w:p w14:paraId="132F3AEB" w14:textId="77777777" w:rsidR="00886AB5" w:rsidRPr="00FF756A" w:rsidRDefault="00886AB5" w:rsidP="00EF0D31">
      <w:pPr>
        <w:rPr>
          <w:rFonts w:eastAsia="Arial"/>
          <w:color w:val="000000" w:themeColor="text1"/>
        </w:rPr>
      </w:pPr>
    </w:p>
    <w:p w14:paraId="5FB01380" w14:textId="5FFC2D9D" w:rsidR="00886AB5" w:rsidRPr="00FF756A" w:rsidRDefault="00886AB5" w:rsidP="00EF0D31">
      <w:pPr>
        <w:rPr>
          <w:rFonts w:eastAsia="Arial"/>
          <w:b/>
          <w:bCs/>
          <w:color w:val="000000" w:themeColor="text1"/>
        </w:rPr>
      </w:pPr>
      <w:r w:rsidRPr="00FF756A">
        <w:rPr>
          <w:b/>
          <w:bCs/>
          <w:color w:val="000000" w:themeColor="text1"/>
        </w:rPr>
        <w:t>Objektivat për neutralitetin e degradimit të tokës lidhur me Konventën e Kombeve të Bashkuara për Luftën kundër Shkret</w:t>
      </w:r>
      <w:r w:rsidR="00022511" w:rsidRPr="00FF756A">
        <w:rPr>
          <w:b/>
          <w:bCs/>
          <w:color w:val="000000" w:themeColor="text1"/>
        </w:rPr>
        <w:t>ëtirëzimit</w:t>
      </w:r>
    </w:p>
    <w:p w14:paraId="174548BE" w14:textId="7CD78148" w:rsidR="00794626" w:rsidRPr="00FF756A" w:rsidRDefault="00794626" w:rsidP="00794626">
      <w:pPr>
        <w:rPr>
          <w:rFonts w:eastAsia="Arial"/>
          <w:color w:val="000000" w:themeColor="text1"/>
        </w:rPr>
      </w:pPr>
      <w:r w:rsidRPr="00FF756A">
        <w:rPr>
          <w:color w:val="000000" w:themeColor="text1"/>
        </w:rPr>
        <w:t xml:space="preserve">Shqipëria, si pjesëmarrëse në Konventën e Kombeve të Bashkuara për Luftën kundër </w:t>
      </w:r>
      <w:r w:rsidR="00475599" w:rsidRPr="00FF756A">
        <w:rPr>
          <w:color w:val="000000" w:themeColor="text1"/>
        </w:rPr>
        <w:t>Shkretëtirëzimit</w:t>
      </w:r>
      <w:r w:rsidRPr="00FF756A">
        <w:rPr>
          <w:color w:val="000000" w:themeColor="text1"/>
        </w:rPr>
        <w:t xml:space="preserve"> (UNCCD), ka vendosur objektiva specifike për arritjen e Neutralitetit të Degradimit të Tokës (NDT). Këto objektiva përfshijnë rehabilitimin e një pjese të konsiderueshme të tokës së degraduar deri në vitin 2030 përmes ripyllëzimit, pyllëzimit dhe praktikave të përmirësuara të menaxhimit të tokës, me fokus në zonat tepër të ndjeshme ndaj erozionit dhe </w:t>
      </w:r>
      <w:r w:rsidR="0060046C" w:rsidRPr="00FF756A">
        <w:rPr>
          <w:color w:val="000000" w:themeColor="text1"/>
        </w:rPr>
        <w:t>shkretëtirëzimit</w:t>
      </w:r>
      <w:r w:rsidRPr="00FF756A">
        <w:rPr>
          <w:color w:val="000000" w:themeColor="text1"/>
        </w:rPr>
        <w:t>. Vendi synon të zbatojë praktika të menaxhimit të qëndrueshëm të tokës (MQT) në mbarë tokat bujqësore për të parandaluar degradimin e mëtejshëm dhe për të promovuar bujqësinë konservuese, agropylltarinë dhe metoda të tjera të qëndrueshme që nxisin pjellorinë e tokës dhe kapacitetin e mbajtjes së ujit.</w:t>
      </w:r>
    </w:p>
    <w:p w14:paraId="3955A23C" w14:textId="7287AA81" w:rsidR="00794626" w:rsidRPr="00FF756A" w:rsidRDefault="00794626" w:rsidP="00794626">
      <w:pPr>
        <w:rPr>
          <w:rFonts w:eastAsia="Arial"/>
          <w:color w:val="000000" w:themeColor="text1"/>
        </w:rPr>
      </w:pPr>
      <w:r w:rsidRPr="00FF756A">
        <w:rPr>
          <w:color w:val="000000" w:themeColor="text1"/>
        </w:rPr>
        <w:t xml:space="preserve">Gjithashtu, Shqipëria planifikon të rrisë mbulesën pyjore përmes programeve të ripyllëzimit dhe pyllëzimit, si dhe të përmirësojë menaxhimin e pyjeve ekzistuese për të parandaluar prerjen e paligjshme të druve dhe degradimin. Për sipërfaqet e kullotave do të zbatohen praktika të qëndrueshme të kullotjes për të parandaluar mbikullotjen dhe degradimin e tokave, duke promovuar kullotjen me rotacion dhe rimbjelljen e kullotave. Për të luftuar erozionin e tokës, vendi do të zhvillojë dhe zbatojë masa të ruajtjes së tokës, të tilla si tarracimi dhe plugimi përgjatë konturit, veçanërisht në zonat kodrinore dhe malore. Praktikat e përmirësuara të menaxhimit të ujit përbëjnë gjithashtu një komponent kyç që synon parandalimin e kripëzimit të tokës dhe degradimit të tokave të ujitura, përmes teknikave efikase të ujitjes dhe rehabilitimit të ligatinave e zonave </w:t>
      </w:r>
      <w:r w:rsidR="00A11203" w:rsidRPr="00FF756A">
        <w:rPr>
          <w:color w:val="000000" w:themeColor="text1"/>
        </w:rPr>
        <w:t>bregore</w:t>
      </w:r>
      <w:r w:rsidRPr="00FF756A">
        <w:rPr>
          <w:color w:val="000000" w:themeColor="text1"/>
        </w:rPr>
        <w:t>.</w:t>
      </w:r>
    </w:p>
    <w:p w14:paraId="473F9524" w14:textId="76E00465" w:rsidR="00794626" w:rsidRPr="00FF756A" w:rsidRDefault="00794626" w:rsidP="00794626">
      <w:pPr>
        <w:rPr>
          <w:rFonts w:eastAsia="Arial"/>
          <w:color w:val="000000" w:themeColor="text1"/>
        </w:rPr>
      </w:pPr>
      <w:r w:rsidRPr="00FF756A">
        <w:rPr>
          <w:color w:val="000000" w:themeColor="text1"/>
        </w:rPr>
        <w:t>Për të arritur këto objektiva, Shqipëria do të përforcojë politikat kombëtare dhe kuadr</w:t>
      </w:r>
      <w:r w:rsidR="00A11203" w:rsidRPr="00FF756A">
        <w:rPr>
          <w:color w:val="000000" w:themeColor="text1"/>
        </w:rPr>
        <w:t>in</w:t>
      </w:r>
      <w:r w:rsidRPr="00FF756A">
        <w:rPr>
          <w:color w:val="000000" w:themeColor="text1"/>
        </w:rPr>
        <w:t xml:space="preserve"> institucional, duke integruar objektivat lidhur me NDT-në në planet kombëtare të zhvillimit, politikat bujqësore dhe rregulloret mjedisore. Do të ofrohen programe të ngritjes së kapaciteteve për fermerët, menaxhuesit e tokave dhe komunitetet lokale, duke rritur ndërgjegjësimin për rëndësinë e NDT-së dhe përfitimet nga parandalimi i degradimit të tokës. Do të ngrihet një sistem </w:t>
      </w:r>
      <w:r w:rsidR="00A11203" w:rsidRPr="00FF756A">
        <w:rPr>
          <w:color w:val="000000" w:themeColor="text1"/>
        </w:rPr>
        <w:t>i fortë</w:t>
      </w:r>
      <w:r w:rsidRPr="00FF756A">
        <w:rPr>
          <w:color w:val="000000" w:themeColor="text1"/>
        </w:rPr>
        <w:t xml:space="preserve"> monitorimi dhe vlerësimi për të ndjekur progresin drejt objektivave lidhur me NDT-në, duke përdorur teknologji si ato të ndjeshmërisë në distancë, GIS dhe të tjera. Do të mobilizohen burime financiare nga buxhetet kombëtare, donatorët ndërkombëtarë dhe investimet e sektorit privat, duke eksploruar mekanizma novatorë të financimit, si pagesat për shërbimet e ekosistemit (PES) dhe bonot e gjelbra. Komunitetet lokale do të përfshihen në mënyrë aktive në planifikimin dhe zbatimin e nismave të NDT-së, duke promovuar qasje pjesëmarrëse në proceset e vendimmarrjes dhe ndarjen e përfitimeve.</w:t>
      </w:r>
    </w:p>
    <w:p w14:paraId="6D4969BB" w14:textId="0B1596D3" w:rsidR="00794626" w:rsidRPr="00FF756A" w:rsidRDefault="00794626" w:rsidP="00794626">
      <w:pPr>
        <w:rPr>
          <w:rFonts w:eastAsia="Arial"/>
          <w:color w:val="000000" w:themeColor="text1"/>
        </w:rPr>
      </w:pPr>
      <w:r w:rsidRPr="00FF756A">
        <w:rPr>
          <w:color w:val="000000" w:themeColor="text1"/>
        </w:rPr>
        <w:t>Arritja e NDT-së është thelbësore për Shqipërinë për të garantuar qëndrueshmërinë e burimeve të saj natyrore, për të rritur sigurinë ushqimore dhe për të zhvilluar qëndrueshmërinë kundër ndryshimeve klimatike. Duke u angazhuar për arritjen e NDT-së, Shqipëria synon të luftojë shkret</w:t>
      </w:r>
      <w:r w:rsidR="00A11203" w:rsidRPr="00FF756A">
        <w:rPr>
          <w:color w:val="000000" w:themeColor="text1"/>
        </w:rPr>
        <w:t>ë</w:t>
      </w:r>
      <w:r w:rsidR="00B7630F" w:rsidRPr="00FF756A">
        <w:rPr>
          <w:color w:val="000000" w:themeColor="text1"/>
        </w:rPr>
        <w:t>tirëzimin</w:t>
      </w:r>
      <w:r w:rsidRPr="00FF756A">
        <w:rPr>
          <w:color w:val="000000" w:themeColor="text1"/>
        </w:rPr>
        <w:t>, të zhbëjë tendencat e degradimit të tokës dhe të përmirësojë jetesën e komuniteteve rurale që varen nga burimet e tokës, duke kontribuar kështu në përpjekjet globale për luftën kundër degradimit të tokës dhe duke arritur objektivat e zhvillimit të qëndrueshëm. Nëpërmjet këtyre objektivave dhe strategjive, Shqipëria po punon në mënyrë aktive drejt një të ardhmeje të qëndrueshme ku burimet e tokës mbrohen, rehabilitohen dhe përdoren me maturi në përfitim të brezave të tanishëm dhe të ardhshëm.</w:t>
      </w:r>
    </w:p>
    <w:p w14:paraId="44CFF0C3" w14:textId="346A1B1A" w:rsidR="00886AB5" w:rsidRPr="00FF756A" w:rsidRDefault="00886AB5" w:rsidP="00EF0D31">
      <w:pPr>
        <w:rPr>
          <w:rFonts w:eastAsia="Arial"/>
          <w:color w:val="000000" w:themeColor="text1"/>
        </w:rPr>
      </w:pPr>
    </w:p>
    <w:p w14:paraId="197DF76D" w14:textId="77777777" w:rsidR="00DA2EDE" w:rsidRPr="00FF756A" w:rsidRDefault="00DA2EDE" w:rsidP="008639B2">
      <w:pPr>
        <w:pStyle w:val="Heading4"/>
        <w:numPr>
          <w:ilvl w:val="3"/>
          <w:numId w:val="54"/>
        </w:numPr>
        <w:rPr>
          <w:rFonts w:cs="Times New Roman"/>
        </w:rPr>
      </w:pPr>
      <w:bookmarkStart w:id="43" w:name="_Toc183639177"/>
      <w:r w:rsidRPr="00FF756A">
        <w:rPr>
          <w:rFonts w:cs="Times New Roman"/>
        </w:rPr>
        <w:t>Dimensioni i dekarbonizimit – Energjia e rinovueshme</w:t>
      </w:r>
      <w:bookmarkEnd w:id="43"/>
      <w:r w:rsidRPr="00FF756A">
        <w:rPr>
          <w:rFonts w:cs="Times New Roman"/>
        </w:rPr>
        <w:t xml:space="preserve"> </w:t>
      </w:r>
    </w:p>
    <w:p w14:paraId="1089D95B" w14:textId="10359E48" w:rsidR="00DA2EDE" w:rsidRPr="00FF756A" w:rsidRDefault="00DA2EDE" w:rsidP="00EF0D31">
      <w:pPr>
        <w:widowControl w:val="0"/>
        <w:autoSpaceDE w:val="0"/>
        <w:autoSpaceDN w:val="0"/>
        <w:adjustRightInd w:val="0"/>
        <w:spacing w:line="250" w:lineRule="auto"/>
        <w:ind w:right="85"/>
        <w:rPr>
          <w:bCs/>
        </w:rPr>
      </w:pPr>
      <w:r w:rsidRPr="00FF756A">
        <w:t xml:space="preserve">Plani i Shqipërisë për Burimet e Rinovueshme të Energjisë përbën politikën kryesore dhe është harmonizuar nga pikëpamja e qëllimeve, detajeve të sektorit të energjisë dhe afateve kohore me një sërë dokumentesh të tjera strategjike dhe ligjore të miratuara apo të hartuara, që tregohen në tabelat në </w:t>
      </w:r>
      <w:r w:rsidRPr="00FF756A">
        <w:lastRenderedPageBreak/>
        <w:t xml:space="preserve">vijim. </w:t>
      </w:r>
    </w:p>
    <w:p w14:paraId="7405E846" w14:textId="77777777" w:rsidR="002D5AC0" w:rsidRPr="00FF756A" w:rsidRDefault="002D5AC0" w:rsidP="00EF0D31">
      <w:pPr>
        <w:widowControl w:val="0"/>
        <w:autoSpaceDE w:val="0"/>
        <w:autoSpaceDN w:val="0"/>
        <w:adjustRightInd w:val="0"/>
        <w:spacing w:line="250" w:lineRule="auto"/>
        <w:ind w:right="85"/>
        <w:rPr>
          <w:bCs/>
        </w:rPr>
      </w:pPr>
    </w:p>
    <w:p w14:paraId="17CB356E" w14:textId="77777777" w:rsidR="00A25328" w:rsidRPr="00FF756A" w:rsidRDefault="00A25328" w:rsidP="00EF0D31">
      <w:pPr>
        <w:widowControl w:val="0"/>
        <w:autoSpaceDE w:val="0"/>
        <w:autoSpaceDN w:val="0"/>
        <w:adjustRightInd w:val="0"/>
        <w:spacing w:line="250" w:lineRule="auto"/>
        <w:ind w:right="85"/>
        <w:rPr>
          <w:bCs/>
        </w:rPr>
      </w:pPr>
    </w:p>
    <w:tbl>
      <w:tblPr>
        <w:tblStyle w:val="TableGrid"/>
        <w:tblW w:w="9634" w:type="dxa"/>
        <w:tblLook w:val="04A0" w:firstRow="1" w:lastRow="0" w:firstColumn="1" w:lastColumn="0" w:noHBand="0" w:noVBand="1"/>
      </w:tblPr>
      <w:tblGrid>
        <w:gridCol w:w="2122"/>
        <w:gridCol w:w="2551"/>
        <w:gridCol w:w="4961"/>
      </w:tblGrid>
      <w:tr w:rsidR="00DA2EDE" w:rsidRPr="00FF756A" w14:paraId="4240A819" w14:textId="77777777" w:rsidTr="004A3257">
        <w:tc>
          <w:tcPr>
            <w:tcW w:w="2122" w:type="dxa"/>
          </w:tcPr>
          <w:p w14:paraId="070BFFBE" w14:textId="77777777" w:rsidR="00DA2EDE" w:rsidRPr="00FF756A" w:rsidRDefault="00DA2EDE" w:rsidP="00D50D36">
            <w:pPr>
              <w:autoSpaceDE w:val="0"/>
              <w:autoSpaceDN w:val="0"/>
              <w:adjustRightInd w:val="0"/>
              <w:spacing w:before="40" w:after="40" w:line="240" w:lineRule="auto"/>
              <w:rPr>
                <w:b/>
                <w:bCs/>
                <w:sz w:val="20"/>
                <w:szCs w:val="20"/>
              </w:rPr>
            </w:pPr>
            <w:r w:rsidRPr="00FF756A">
              <w:rPr>
                <w:b/>
                <w:bCs/>
                <w:sz w:val="20"/>
                <w:szCs w:val="20"/>
              </w:rPr>
              <w:t>Legjislacioni shqiptar</w:t>
            </w:r>
          </w:p>
        </w:tc>
        <w:tc>
          <w:tcPr>
            <w:tcW w:w="2551" w:type="dxa"/>
          </w:tcPr>
          <w:p w14:paraId="725EE18E" w14:textId="77777777" w:rsidR="00DA2EDE" w:rsidRPr="00FF756A" w:rsidRDefault="00DA2EDE" w:rsidP="00D50D36">
            <w:pPr>
              <w:autoSpaceDE w:val="0"/>
              <w:autoSpaceDN w:val="0"/>
              <w:adjustRightInd w:val="0"/>
              <w:spacing w:before="40" w:after="40" w:line="240" w:lineRule="auto"/>
              <w:rPr>
                <w:b/>
                <w:bCs/>
                <w:sz w:val="20"/>
                <w:szCs w:val="20"/>
              </w:rPr>
            </w:pPr>
            <w:r w:rsidRPr="00FF756A">
              <w:rPr>
                <w:b/>
                <w:bCs/>
                <w:sz w:val="20"/>
                <w:szCs w:val="20"/>
              </w:rPr>
              <w:t xml:space="preserve">Direktiva e BE-së </w:t>
            </w:r>
          </w:p>
        </w:tc>
        <w:tc>
          <w:tcPr>
            <w:tcW w:w="4961" w:type="dxa"/>
          </w:tcPr>
          <w:p w14:paraId="3CFFF401" w14:textId="77777777" w:rsidR="00DA2EDE" w:rsidRPr="00FF756A" w:rsidRDefault="00DA2EDE" w:rsidP="00D50D36">
            <w:pPr>
              <w:autoSpaceDE w:val="0"/>
              <w:autoSpaceDN w:val="0"/>
              <w:adjustRightInd w:val="0"/>
              <w:spacing w:before="40" w:after="40" w:line="240" w:lineRule="auto"/>
              <w:rPr>
                <w:b/>
                <w:bCs/>
                <w:sz w:val="20"/>
                <w:szCs w:val="20"/>
              </w:rPr>
            </w:pPr>
            <w:r w:rsidRPr="00FF756A">
              <w:rPr>
                <w:b/>
                <w:bCs/>
                <w:sz w:val="20"/>
                <w:szCs w:val="20"/>
              </w:rPr>
              <w:t xml:space="preserve">Status quo-ja </w:t>
            </w:r>
          </w:p>
        </w:tc>
      </w:tr>
      <w:tr w:rsidR="00724ABB" w:rsidRPr="00FF756A" w14:paraId="6791128E" w14:textId="77777777" w:rsidTr="004A3257">
        <w:tc>
          <w:tcPr>
            <w:tcW w:w="2122" w:type="dxa"/>
          </w:tcPr>
          <w:p w14:paraId="695D0833" w14:textId="1D5D6F78" w:rsidR="00724ABB" w:rsidRPr="00FF756A" w:rsidRDefault="00724ABB" w:rsidP="00D50D36">
            <w:pPr>
              <w:spacing w:before="40" w:after="40" w:line="240" w:lineRule="auto"/>
              <w:rPr>
                <w:sz w:val="20"/>
                <w:szCs w:val="20"/>
              </w:rPr>
            </w:pPr>
            <w:r w:rsidRPr="00FF756A">
              <w:rPr>
                <w:sz w:val="20"/>
                <w:szCs w:val="20"/>
              </w:rPr>
              <w:t>Ligji nr. 24/2023, datë 23.3.2023, “Për nxitjen e përdorimit të energjisë nga burimet e rinovueshme”</w:t>
            </w:r>
          </w:p>
        </w:tc>
        <w:tc>
          <w:tcPr>
            <w:tcW w:w="2551" w:type="dxa"/>
          </w:tcPr>
          <w:p w14:paraId="31108B75" w14:textId="5A7DCD8C" w:rsidR="00724ABB" w:rsidRPr="00FF756A" w:rsidRDefault="00724ABB" w:rsidP="00D50D36">
            <w:pPr>
              <w:spacing w:before="40" w:after="40" w:line="240" w:lineRule="auto"/>
              <w:rPr>
                <w:rFonts w:eastAsia="Times New Roman"/>
                <w:sz w:val="20"/>
                <w:szCs w:val="20"/>
              </w:rPr>
            </w:pPr>
            <w:r w:rsidRPr="00FF756A">
              <w:rPr>
                <w:sz w:val="20"/>
                <w:szCs w:val="20"/>
              </w:rPr>
              <w:t xml:space="preserve">Direktiva (BE) 2018/2001 e Parlamentit Evropian dhe e Këshillit, datë 11 dhjetor 2018, “Për nxitjen e përdorimit të energjisë nga burimet e rinovueshme”, e ndryshuar me anë të Rregullores së Deleguar të Komisionit (BE) 2022/759, datë 14 dhjetor 2021 </w:t>
            </w:r>
          </w:p>
        </w:tc>
        <w:tc>
          <w:tcPr>
            <w:tcW w:w="4961" w:type="dxa"/>
          </w:tcPr>
          <w:p w14:paraId="62C2D5CD" w14:textId="64EE13F8" w:rsidR="00724ABB" w:rsidRPr="00FF756A" w:rsidRDefault="00265E9F" w:rsidP="00830454">
            <w:pPr>
              <w:pStyle w:val="Text1"/>
              <w:spacing w:before="40" w:after="40"/>
              <w:ind w:left="0"/>
              <w:jc w:val="lowKashida"/>
              <w:rPr>
                <w:rFonts w:eastAsia="Arial"/>
                <w:sz w:val="20"/>
                <w:szCs w:val="20"/>
              </w:rPr>
            </w:pPr>
            <w:r w:rsidRPr="00FF756A">
              <w:rPr>
                <w:sz w:val="20"/>
                <w:szCs w:val="20"/>
              </w:rPr>
              <w:t>Ligji i miratuar nga Kuvendi i Shqipërisë më 14 prill 2023, u botua në Fletoren Zyrtare nr. 64 të datës 14.4.2023 dhe hyri në fuqi 15 ditë pas botimit të tij. Ligji përcakton kuadrin ligjor për nxitjen e përdorimit të energjisë së prodhuar nga burimet e rinovueshme, objektivat e detyrueshme kombëtare dhe detyrimet e raportimit në lidhje me përqindjen e energjisë nga burimet e rinovueshme në konsumin final bruto të energjisë, rregullat për informimin, statistikat, certifikimin, mekanizmat e bashkëpunimit, mbështetjen, rregullat në lidhje me aksesin dhe operimin e rrjeteve për burimet e rinovueshme të energjisë dhe lidhjen e tyre me rrjetin e energjisë elektrike, rregullat për dhënien, transferimin dhe anulimin e garancive të origjinës për energjinë e prodhuar nga burimet e rinovueshme, si dhe rregullat për integrimin e vetë-konsumatorëve nga komunitetet e energjisë së rinovueshme dhe energjisë në sektorin e energjisë elektrike. Ligji rishikoi skemat e mbështetjes për përdorimin e burimeve të rinovueshme të energjisë, shfuqizoi sistemin e tarifave “feed-in”, prezantoi skemat e reja të ankandeve në përputhje me Direktivën (BE) 2018/2001, parashikoi krijimin e Operatorit të Energjisë së Rinovueshme dhe ngriti skemën e faturimit neto vjetor për vetë-konsumatorët (prodhues-konsumatorët) duke zëvendësuar skemën e mëparshme të matjes neto mujore.</w:t>
            </w:r>
          </w:p>
        </w:tc>
      </w:tr>
      <w:tr w:rsidR="00A02B26" w:rsidRPr="00FF756A" w14:paraId="1BBD479B" w14:textId="77777777" w:rsidTr="004A3257">
        <w:tc>
          <w:tcPr>
            <w:tcW w:w="2122" w:type="dxa"/>
          </w:tcPr>
          <w:p w14:paraId="793EE9FF" w14:textId="77E49736" w:rsidR="00A02B26" w:rsidRPr="00FF756A" w:rsidRDefault="00A02B26" w:rsidP="00D50D36">
            <w:pPr>
              <w:spacing w:before="40" w:after="40" w:line="240" w:lineRule="auto"/>
              <w:rPr>
                <w:rFonts w:eastAsia="Arial"/>
                <w:sz w:val="20"/>
                <w:szCs w:val="20"/>
              </w:rPr>
            </w:pPr>
            <w:r w:rsidRPr="00FF756A">
              <w:rPr>
                <w:sz w:val="20"/>
                <w:szCs w:val="20"/>
              </w:rPr>
              <w:t xml:space="preserve">Projektligji “Për prodhimin, transportimin dhe tregtimin e biokarburanteve dhe të lëndëve të tjera djegëse të rinovueshme për transport” </w:t>
            </w:r>
          </w:p>
        </w:tc>
        <w:tc>
          <w:tcPr>
            <w:tcW w:w="2551" w:type="dxa"/>
          </w:tcPr>
          <w:p w14:paraId="7DA3D22B" w14:textId="585E429A" w:rsidR="00A02B26" w:rsidRPr="00FF756A" w:rsidRDefault="00A02B26" w:rsidP="00D50D36">
            <w:pPr>
              <w:spacing w:before="40" w:after="40" w:line="240" w:lineRule="auto"/>
              <w:rPr>
                <w:rFonts w:eastAsia="Arial"/>
                <w:sz w:val="20"/>
                <w:szCs w:val="20"/>
              </w:rPr>
            </w:pPr>
            <w:r w:rsidRPr="00FF756A">
              <w:rPr>
                <w:sz w:val="20"/>
                <w:szCs w:val="20"/>
              </w:rPr>
              <w:t>Direktiva (BE) 2018/2001 e Parlamentit Evropian dhe e Këshillit, datë 11 dhjetor 2018, “Për nxitjen e përdorimit të energjisë nga burimet e rinovueshme”, e ndryshuar me anë të Rregullores së Deleguar të Komisionit (BE) 2022/759, datë 14 dhjetor 2021</w:t>
            </w:r>
          </w:p>
        </w:tc>
        <w:tc>
          <w:tcPr>
            <w:tcW w:w="4961" w:type="dxa"/>
          </w:tcPr>
          <w:p w14:paraId="3E33A2E4" w14:textId="77777777" w:rsidR="00A54F9E" w:rsidRPr="00FF756A" w:rsidRDefault="00A54F9E" w:rsidP="00D50D36">
            <w:pPr>
              <w:spacing w:before="40" w:after="40" w:line="240" w:lineRule="auto"/>
              <w:rPr>
                <w:rFonts w:eastAsia="Arial"/>
                <w:sz w:val="20"/>
                <w:szCs w:val="20"/>
              </w:rPr>
            </w:pPr>
            <w:r w:rsidRPr="00FF756A">
              <w:rPr>
                <w:sz w:val="20"/>
                <w:szCs w:val="20"/>
              </w:rPr>
              <w:t>Ligji Nr. 9876, datë 14.2.2008, “Për prodhimin, transportin dhe tregtimin e biokarburanteve dhe lëndëve të tjera djegëse të rinovueshme për transport” (i ndryshuar) përcakton kuadrin ligjor për dhënien e lejeve për prodhimin si dhe tregtimin me shumicë dhe pakicë të biokarburanteve dhe lëndëve të tjera djegëse të rinovueshme që përdoren në sektorin e transportit. Ligji nr. 9876/2008, aktualisht në fuqi, është i vjetruar dhe në papajtueshmëri me Direktivën (BE) 2018/2001.</w:t>
            </w:r>
          </w:p>
          <w:p w14:paraId="689BA6A9" w14:textId="6EA6A2A2" w:rsidR="00521CEE" w:rsidRPr="00FF756A" w:rsidRDefault="00521CEE" w:rsidP="00D50D36">
            <w:pPr>
              <w:spacing w:before="40" w:after="40" w:line="240" w:lineRule="auto"/>
              <w:rPr>
                <w:rFonts w:eastAsia="Arial"/>
                <w:sz w:val="20"/>
                <w:szCs w:val="20"/>
              </w:rPr>
            </w:pPr>
            <w:r w:rsidRPr="00FF756A">
              <w:rPr>
                <w:sz w:val="20"/>
                <w:szCs w:val="20"/>
              </w:rPr>
              <w:t>Projektligji për biokarburantet i hartuar në vitin 2016, i cili kishte për qëllim shfuqizimin e ligjit nr.</w:t>
            </w:r>
            <w:r w:rsidR="008C75FB" w:rsidRPr="00FF756A">
              <w:rPr>
                <w:sz w:val="20"/>
                <w:szCs w:val="20"/>
              </w:rPr>
              <w:t xml:space="preserve"> </w:t>
            </w:r>
            <w:r w:rsidRPr="00FF756A">
              <w:rPr>
                <w:sz w:val="20"/>
                <w:szCs w:val="20"/>
              </w:rPr>
              <w:t>9876 dhe transpozimin e dispozitave të Direktivës së shfuqizuar 2009/28/KE në lidhje me biokarburantet dhe lëndët e tjera djegëse të rinovueshme për transport, u anulua për rishikim të tij në përputhje me Direktivën (BE) 2018/2001.</w:t>
            </w:r>
          </w:p>
          <w:p w14:paraId="10C2C99D" w14:textId="7BC56D67" w:rsidR="00A02B26" w:rsidRPr="00FF756A" w:rsidRDefault="00521CEE" w:rsidP="003E6E8A">
            <w:pPr>
              <w:spacing w:before="40" w:after="40" w:line="240" w:lineRule="auto"/>
              <w:rPr>
                <w:rFonts w:eastAsia="Arial"/>
                <w:sz w:val="20"/>
                <w:szCs w:val="20"/>
              </w:rPr>
            </w:pPr>
            <w:r w:rsidRPr="00FF756A">
              <w:rPr>
                <w:sz w:val="20"/>
                <w:szCs w:val="20"/>
              </w:rPr>
              <w:t>Aktualisht, projektligji për biokarburantet është duke u përgatitur nga MIE në përputhje me Direktivën (BE) 2018/2001 dhe duke u koordinuar me grupet e interesit dhe ekspertët e Sekretariatit të Komunitetit të Energjisë.</w:t>
            </w:r>
          </w:p>
        </w:tc>
      </w:tr>
      <w:tr w:rsidR="00DA2EDE" w:rsidRPr="00FF756A" w14:paraId="2133BEF9" w14:textId="77777777" w:rsidTr="004A3257">
        <w:tc>
          <w:tcPr>
            <w:tcW w:w="2122" w:type="dxa"/>
          </w:tcPr>
          <w:p w14:paraId="08514FE5" w14:textId="3C7E9716" w:rsidR="00DA2EDE" w:rsidRPr="00FF756A" w:rsidRDefault="00DA2EDE" w:rsidP="00D50D36">
            <w:pPr>
              <w:spacing w:before="40" w:after="40" w:line="240" w:lineRule="auto"/>
              <w:rPr>
                <w:sz w:val="20"/>
                <w:szCs w:val="20"/>
              </w:rPr>
            </w:pPr>
            <w:r w:rsidRPr="00FF756A">
              <w:rPr>
                <w:sz w:val="20"/>
                <w:szCs w:val="20"/>
              </w:rPr>
              <w:t>Ligji nr. 9876, datë 14.2.2008 “Për prodhimin, transportimin dhe tregtimin e biokarburanteve dhe të lëndëve të tjera djegëse të rinovueshme për transport”, i ndryshuar</w:t>
            </w:r>
          </w:p>
        </w:tc>
        <w:tc>
          <w:tcPr>
            <w:tcW w:w="2551" w:type="dxa"/>
          </w:tcPr>
          <w:p w14:paraId="3272ADB4" w14:textId="77777777" w:rsidR="00DA2EDE" w:rsidRPr="00FF756A" w:rsidRDefault="00DA2EDE" w:rsidP="00D50D36">
            <w:pPr>
              <w:spacing w:before="40" w:after="40" w:line="240" w:lineRule="auto"/>
              <w:rPr>
                <w:sz w:val="20"/>
                <w:szCs w:val="20"/>
              </w:rPr>
            </w:pPr>
            <w:r w:rsidRPr="00FF756A">
              <w:rPr>
                <w:sz w:val="20"/>
                <w:szCs w:val="20"/>
              </w:rPr>
              <w:t>Direktiva 2003/30/KE</w:t>
            </w:r>
          </w:p>
        </w:tc>
        <w:tc>
          <w:tcPr>
            <w:tcW w:w="4961" w:type="dxa"/>
          </w:tcPr>
          <w:p w14:paraId="747E9DFE" w14:textId="5647C124" w:rsidR="00DA2EDE" w:rsidRPr="00FF756A" w:rsidRDefault="00DA2EDE" w:rsidP="00D50D36">
            <w:pPr>
              <w:spacing w:before="40" w:after="40" w:line="240" w:lineRule="auto"/>
              <w:rPr>
                <w:sz w:val="20"/>
                <w:szCs w:val="20"/>
              </w:rPr>
            </w:pPr>
            <w:r w:rsidRPr="00FF756A">
              <w:rPr>
                <w:sz w:val="20"/>
                <w:szCs w:val="20"/>
              </w:rPr>
              <w:t xml:space="preserve">Direktiva është shfuqizuar në BE dhe në Komunitetin e Energjisë, dhe është zëvendësuar nga Direktiva 2009/28/KE; Nevojitet ndryshimi i ligjit ekzistues për biokarburantet ose miratimi i një ligji të ri për të arritur pajtueshmërinë me dispozitat e Direktivës së re të BE-së 2009/28/KE për biokarburantet dhe për të trajtuar çështjen e masave për arritjen e objektivit për biokarburantet, çështjen e ngritjes së një skeme dhe organi për verifikimin e qëndrueshmërisë etj. </w:t>
            </w:r>
          </w:p>
          <w:p w14:paraId="387FFDAE" w14:textId="19D39457" w:rsidR="00DA2EDE" w:rsidRPr="00FF756A" w:rsidRDefault="00DA2EDE" w:rsidP="00D50D36">
            <w:pPr>
              <w:spacing w:before="40" w:after="40" w:line="240" w:lineRule="auto"/>
              <w:rPr>
                <w:sz w:val="20"/>
                <w:szCs w:val="20"/>
              </w:rPr>
            </w:pPr>
            <w:r w:rsidRPr="00FF756A">
              <w:rPr>
                <w:sz w:val="20"/>
                <w:szCs w:val="20"/>
              </w:rPr>
              <w:t xml:space="preserve">→Projektligji i vitit 2019 “Për prodhimin, transportimin dhe tregtimin e biokarburanteve dhe të lëndëve të tjera </w:t>
            </w:r>
            <w:r w:rsidRPr="00FF756A">
              <w:rPr>
                <w:sz w:val="20"/>
                <w:szCs w:val="20"/>
              </w:rPr>
              <w:lastRenderedPageBreak/>
              <w:t xml:space="preserve">djegëse të rinovueshme për transport” zbatohet për aktivitetet e prodhimit dhe të përdorimit të biokarburanteve dhe lëndëve të tjera djegëse të rinovueshme, të përdorura për motorët me djegie të brendshme në transport, ku nivelet e biodizelit dhe bioetanolit janë në përputhje me standardet shqiptare. Duke filluar nga viti 2020, sasia minimale vjetore e biokarburanteve dhe lëndëve të tjera djegëse të rinovueshme për transport në treg nuk do të jetë më pak se 10% e sasisë së konsumuar nga transporti në vitin 2018 dhe 2019; niveli i biokarburanteve të prodhuara nga mbetjet, materialet celuloze joushqimore dhe materialet celuloze rezultuese jo mbetje do të jetë sa gjysma e nivelit të synuar të përcaktuar për biokarburantet e tjera.  </w:t>
            </w:r>
          </w:p>
        </w:tc>
      </w:tr>
      <w:tr w:rsidR="00DA2EDE" w:rsidRPr="00FF756A" w14:paraId="1D622CAA" w14:textId="77777777" w:rsidTr="004A3257">
        <w:tc>
          <w:tcPr>
            <w:tcW w:w="2122" w:type="dxa"/>
          </w:tcPr>
          <w:p w14:paraId="59322A3A" w14:textId="6002FD28" w:rsidR="00DA2EDE" w:rsidRPr="00FF756A" w:rsidRDefault="002954FC" w:rsidP="00D50D36">
            <w:pPr>
              <w:spacing w:before="40" w:after="40" w:line="240" w:lineRule="auto"/>
              <w:rPr>
                <w:sz w:val="20"/>
                <w:szCs w:val="20"/>
              </w:rPr>
            </w:pPr>
            <w:r w:rsidRPr="00FF756A">
              <w:rPr>
                <w:sz w:val="20"/>
                <w:szCs w:val="20"/>
              </w:rPr>
              <w:lastRenderedPageBreak/>
              <w:t>Ligji nr. 43/2015, datë 30.4.2015, “Për sektorin e energjisë elektrike”, i ndryshuar</w:t>
            </w:r>
          </w:p>
        </w:tc>
        <w:tc>
          <w:tcPr>
            <w:tcW w:w="2551" w:type="dxa"/>
          </w:tcPr>
          <w:p w14:paraId="5CB1860B" w14:textId="77777777" w:rsidR="0089152E" w:rsidRPr="00FF756A" w:rsidRDefault="0089152E" w:rsidP="00830454">
            <w:pPr>
              <w:spacing w:before="40" w:after="40" w:line="240" w:lineRule="auto"/>
              <w:rPr>
                <w:rFonts w:eastAsia="Arial"/>
                <w:sz w:val="20"/>
                <w:szCs w:val="20"/>
              </w:rPr>
            </w:pPr>
            <w:r w:rsidRPr="00FF756A">
              <w:rPr>
                <w:sz w:val="20"/>
                <w:szCs w:val="20"/>
              </w:rPr>
              <w:t xml:space="preserve">Shqipëria ka </w:t>
            </w:r>
            <w:r w:rsidRPr="00FF756A">
              <w:rPr>
                <w:b/>
                <w:bCs/>
                <w:sz w:val="20"/>
                <w:szCs w:val="20"/>
              </w:rPr>
              <w:t xml:space="preserve">transpozuar plotësisht </w:t>
            </w:r>
            <w:r w:rsidRPr="00FF756A">
              <w:rPr>
                <w:sz w:val="20"/>
                <w:szCs w:val="20"/>
              </w:rPr>
              <w:t xml:space="preserve">rregullat e tregut të energjisë elektrike që rezultojnë nga </w:t>
            </w:r>
            <w:r w:rsidRPr="00FF756A">
              <w:rPr>
                <w:b/>
                <w:bCs/>
                <w:sz w:val="20"/>
                <w:szCs w:val="20"/>
              </w:rPr>
              <w:t xml:space="preserve">paketa e tretë e energjisë e BE-së. </w:t>
            </w:r>
            <w:r w:rsidRPr="00FF756A">
              <w:rPr>
                <w:sz w:val="20"/>
                <w:szCs w:val="20"/>
              </w:rPr>
              <w:t>Dispozitat e Direktivës 2009/72/KE, datë 13 korrik 2009, “Për rregullat e përbashkëta për tregun e brendshëm të energjisë elektrike” transpozohen plotësisht nëpërmjet ligjit nr. 43/2015, datë 30.4.2015, “Për sektorin e energjisë elektrike”.</w:t>
            </w:r>
          </w:p>
          <w:p w14:paraId="748ACFC1" w14:textId="77777777" w:rsidR="00DA2EDE" w:rsidRPr="00FF756A" w:rsidRDefault="00DA2EDE" w:rsidP="00D50D36">
            <w:pPr>
              <w:spacing w:before="40" w:after="40" w:line="240" w:lineRule="auto"/>
              <w:rPr>
                <w:sz w:val="20"/>
                <w:szCs w:val="20"/>
              </w:rPr>
            </w:pPr>
          </w:p>
        </w:tc>
        <w:tc>
          <w:tcPr>
            <w:tcW w:w="4961" w:type="dxa"/>
          </w:tcPr>
          <w:p w14:paraId="0C511368" w14:textId="5505BF73" w:rsidR="00DA2EDE" w:rsidRPr="00FF756A" w:rsidRDefault="00DA2EDE" w:rsidP="00AB2DE7">
            <w:pPr>
              <w:keepNext/>
              <w:spacing w:before="40" w:after="40" w:line="240" w:lineRule="auto"/>
              <w:rPr>
                <w:sz w:val="20"/>
                <w:szCs w:val="20"/>
              </w:rPr>
            </w:pPr>
            <w:r w:rsidRPr="00FF756A">
              <w:rPr>
                <w:sz w:val="20"/>
                <w:szCs w:val="20"/>
              </w:rPr>
              <w:t xml:space="preserve">Ligji nr. 43/2015, datë 30.4.2015, “Për sektorin e energjisë elektrike” përcakton parimet kryesore për zhvillimin e sektorit të energjisë, duke përfshirë centralet e burimeve të rinovueshme të energjisë dhe rrjetet e transmetimit dhe të shpërndarjes. Ky ligj përfshin gjithashtu kërkesa dhe kritere për dhënien e një licence për kryerjen e një aktiviteti në sektorin e energjisë. Ligji përfshin gjithashtu një sërë dispozitash specifike që rregullojnë ndërtimin e një linje direkte apo të një linje tregtare interkoneksioni. </w:t>
            </w:r>
          </w:p>
        </w:tc>
      </w:tr>
    </w:tbl>
    <w:p w14:paraId="03974FF2" w14:textId="4D5CBE26" w:rsidR="00DA2EDE" w:rsidRPr="00FF756A" w:rsidRDefault="00AB2DE7" w:rsidP="00AB2DE7">
      <w:pPr>
        <w:pStyle w:val="Caption"/>
        <w:rPr>
          <w:rFonts w:ascii="Times New Roman" w:hAnsi="Times New Roman"/>
        </w:rPr>
      </w:pPr>
      <w:bookmarkStart w:id="44" w:name="_Toc183016467"/>
      <w:r w:rsidRPr="00FF756A">
        <w:rPr>
          <w:rFonts w:ascii="Times New Roman" w:hAnsi="Times New Roman"/>
        </w:rPr>
        <w:t xml:space="preserve">Tabela </w:t>
      </w:r>
      <w:r w:rsidR="00DF05F8" w:rsidRPr="00FF756A">
        <w:rPr>
          <w:rFonts w:ascii="Times New Roman" w:hAnsi="Times New Roman"/>
        </w:rPr>
        <w:fldChar w:fldCharType="begin"/>
      </w:r>
      <w:r w:rsidR="00DF05F8" w:rsidRPr="00FF756A">
        <w:rPr>
          <w:rFonts w:ascii="Times New Roman" w:hAnsi="Times New Roman"/>
        </w:rPr>
        <w:instrText xml:space="preserve"> SEQ Tabela \* ARABIC </w:instrText>
      </w:r>
      <w:r w:rsidR="00DF05F8" w:rsidRPr="00FF756A">
        <w:rPr>
          <w:rFonts w:ascii="Times New Roman" w:hAnsi="Times New Roman"/>
        </w:rPr>
        <w:fldChar w:fldCharType="separate"/>
      </w:r>
      <w:r w:rsidR="00DF05F8" w:rsidRPr="00FF756A">
        <w:rPr>
          <w:rFonts w:ascii="Times New Roman" w:hAnsi="Times New Roman"/>
          <w:noProof/>
        </w:rPr>
        <w:t>3</w:t>
      </w:r>
      <w:r w:rsidR="00DF05F8" w:rsidRPr="00FF756A">
        <w:rPr>
          <w:rFonts w:ascii="Times New Roman" w:hAnsi="Times New Roman"/>
          <w:noProof/>
        </w:rPr>
        <w:fldChar w:fldCharType="end"/>
      </w:r>
      <w:r w:rsidRPr="00FF756A">
        <w:rPr>
          <w:rFonts w:ascii="Times New Roman" w:hAnsi="Times New Roman"/>
        </w:rPr>
        <w:t>: Përafrimi i legjislacionit shqiptar për energjinë me Direktivat e BE-së dhe të Komunitetit të Energjisë për BRE-të</w:t>
      </w:r>
      <w:bookmarkEnd w:id="44"/>
    </w:p>
    <w:p w14:paraId="1F928B42" w14:textId="77777777" w:rsidR="00A65C87" w:rsidRPr="00FF756A" w:rsidRDefault="00A65C87" w:rsidP="00A65C87">
      <w:pPr>
        <w:rPr>
          <w:lang w:eastAsia="ja-JP"/>
        </w:rPr>
      </w:pPr>
    </w:p>
    <w:tbl>
      <w:tblPr>
        <w:tblStyle w:val="TableGrid"/>
        <w:tblW w:w="9634" w:type="dxa"/>
        <w:tblLook w:val="04A0" w:firstRow="1" w:lastRow="0" w:firstColumn="1" w:lastColumn="0" w:noHBand="0" w:noVBand="1"/>
      </w:tblPr>
      <w:tblGrid>
        <w:gridCol w:w="2063"/>
        <w:gridCol w:w="1305"/>
        <w:gridCol w:w="927"/>
        <w:gridCol w:w="5339"/>
      </w:tblGrid>
      <w:tr w:rsidR="00A65C87" w:rsidRPr="00FF756A" w14:paraId="30BD8584" w14:textId="77777777" w:rsidTr="00A65C87">
        <w:tc>
          <w:tcPr>
            <w:tcW w:w="2127" w:type="dxa"/>
          </w:tcPr>
          <w:p w14:paraId="4C4AA93E" w14:textId="77777777" w:rsidR="00A65C87" w:rsidRPr="00FF756A" w:rsidRDefault="00A65C87" w:rsidP="008F0D97">
            <w:pPr>
              <w:autoSpaceDE w:val="0"/>
              <w:autoSpaceDN w:val="0"/>
              <w:adjustRightInd w:val="0"/>
              <w:rPr>
                <w:b/>
                <w:bCs/>
                <w:sz w:val="20"/>
                <w:szCs w:val="20"/>
              </w:rPr>
            </w:pPr>
            <w:r w:rsidRPr="00FF756A">
              <w:rPr>
                <w:b/>
                <w:bCs/>
                <w:sz w:val="20"/>
                <w:szCs w:val="20"/>
              </w:rPr>
              <w:t>Treguesit e energjisë së rinovueshme</w:t>
            </w:r>
          </w:p>
        </w:tc>
        <w:tc>
          <w:tcPr>
            <w:tcW w:w="987" w:type="dxa"/>
          </w:tcPr>
          <w:p w14:paraId="674B9C3E" w14:textId="77777777" w:rsidR="00A65C87" w:rsidRPr="00FF756A" w:rsidRDefault="00A65C87" w:rsidP="00A65C87">
            <w:pPr>
              <w:autoSpaceDE w:val="0"/>
              <w:autoSpaceDN w:val="0"/>
              <w:adjustRightInd w:val="0"/>
              <w:jc w:val="center"/>
              <w:rPr>
                <w:b/>
                <w:bCs/>
                <w:sz w:val="20"/>
                <w:szCs w:val="20"/>
              </w:rPr>
            </w:pPr>
            <w:r w:rsidRPr="00FF756A">
              <w:rPr>
                <w:b/>
                <w:bCs/>
                <w:sz w:val="20"/>
                <w:szCs w:val="20"/>
              </w:rPr>
              <w:t>Vlerësimi i transpozimit</w:t>
            </w:r>
          </w:p>
        </w:tc>
        <w:tc>
          <w:tcPr>
            <w:tcW w:w="850" w:type="dxa"/>
          </w:tcPr>
          <w:p w14:paraId="5AB5E5DE" w14:textId="77777777" w:rsidR="00A65C87" w:rsidRPr="00FF756A" w:rsidRDefault="00A65C87" w:rsidP="002A3944">
            <w:pPr>
              <w:jc w:val="center"/>
              <w:rPr>
                <w:b/>
                <w:bCs/>
                <w:sz w:val="20"/>
                <w:szCs w:val="20"/>
              </w:rPr>
            </w:pPr>
            <w:r w:rsidRPr="00FF756A">
              <w:rPr>
                <w:b/>
                <w:bCs/>
                <w:sz w:val="20"/>
                <w:szCs w:val="20"/>
              </w:rPr>
              <w:t>Statusi i zbatimit</w:t>
            </w:r>
          </w:p>
        </w:tc>
        <w:tc>
          <w:tcPr>
            <w:tcW w:w="5670" w:type="dxa"/>
          </w:tcPr>
          <w:p w14:paraId="0F404C58" w14:textId="77777777" w:rsidR="00A65C87" w:rsidRPr="00FF756A" w:rsidRDefault="00A65C87" w:rsidP="008F0D97">
            <w:pPr>
              <w:rPr>
                <w:b/>
                <w:bCs/>
                <w:sz w:val="20"/>
                <w:szCs w:val="20"/>
              </w:rPr>
            </w:pPr>
            <w:r w:rsidRPr="00FF756A">
              <w:rPr>
                <w:b/>
                <w:bCs/>
                <w:sz w:val="20"/>
                <w:szCs w:val="20"/>
              </w:rPr>
              <w:t>Përshkrimet</w:t>
            </w:r>
          </w:p>
        </w:tc>
      </w:tr>
      <w:tr w:rsidR="001526F0" w:rsidRPr="00FF756A" w14:paraId="10D6BE16" w14:textId="77777777" w:rsidTr="003E6E8A">
        <w:tc>
          <w:tcPr>
            <w:tcW w:w="2127" w:type="dxa"/>
          </w:tcPr>
          <w:p w14:paraId="39FFE0DF" w14:textId="5A423A09" w:rsidR="001526F0" w:rsidRPr="00FF756A" w:rsidRDefault="001158ED" w:rsidP="00830454">
            <w:pPr>
              <w:autoSpaceDE w:val="0"/>
              <w:autoSpaceDN w:val="0"/>
              <w:adjustRightInd w:val="0"/>
              <w:spacing w:before="40" w:after="40" w:line="240" w:lineRule="auto"/>
              <w:rPr>
                <w:b/>
                <w:bCs/>
                <w:sz w:val="20"/>
                <w:szCs w:val="20"/>
              </w:rPr>
            </w:pPr>
            <w:r w:rsidRPr="00FF756A">
              <w:rPr>
                <w:sz w:val="20"/>
                <w:szCs w:val="20"/>
              </w:rPr>
              <w:t xml:space="preserve">Plani Kombëtar për Energjinë dhe Klimën (PKEK) - Objektivat e Energjisë së Rinovueshme 2030 </w:t>
            </w:r>
          </w:p>
        </w:tc>
        <w:tc>
          <w:tcPr>
            <w:tcW w:w="987" w:type="dxa"/>
          </w:tcPr>
          <w:p w14:paraId="6B711BB0" w14:textId="77777777" w:rsidR="001526F0" w:rsidRPr="00FF756A" w:rsidRDefault="001526F0" w:rsidP="002A3944">
            <w:pPr>
              <w:spacing w:before="40" w:after="40" w:line="240" w:lineRule="auto"/>
              <w:rPr>
                <w:sz w:val="20"/>
                <w:szCs w:val="20"/>
              </w:rPr>
            </w:pPr>
          </w:p>
          <w:p w14:paraId="68055746" w14:textId="1F1886F1" w:rsidR="001526F0" w:rsidRPr="00FF756A" w:rsidRDefault="001158ED" w:rsidP="00A65C87">
            <w:pPr>
              <w:autoSpaceDE w:val="0"/>
              <w:autoSpaceDN w:val="0"/>
              <w:adjustRightInd w:val="0"/>
              <w:spacing w:before="40" w:after="40" w:line="240" w:lineRule="auto"/>
              <w:jc w:val="center"/>
              <w:rPr>
                <w:b/>
                <w:bCs/>
                <w:sz w:val="20"/>
                <w:szCs w:val="20"/>
              </w:rPr>
            </w:pPr>
            <w:r w:rsidRPr="00FF756A">
              <w:rPr>
                <w:sz w:val="20"/>
                <w:szCs w:val="20"/>
              </w:rPr>
              <w:t>~</w:t>
            </w:r>
          </w:p>
        </w:tc>
        <w:tc>
          <w:tcPr>
            <w:tcW w:w="850" w:type="dxa"/>
          </w:tcPr>
          <w:p w14:paraId="07CAFD11" w14:textId="77777777" w:rsidR="002A3944" w:rsidRPr="00FF756A" w:rsidRDefault="002A3944" w:rsidP="002A3944">
            <w:pPr>
              <w:spacing w:before="40" w:after="40" w:line="240" w:lineRule="auto"/>
              <w:jc w:val="center"/>
              <w:rPr>
                <w:sz w:val="20"/>
                <w:szCs w:val="20"/>
              </w:rPr>
            </w:pPr>
          </w:p>
          <w:p w14:paraId="2FF21483" w14:textId="3CE3BCB3" w:rsidR="001526F0" w:rsidRPr="00FF756A" w:rsidRDefault="001158ED" w:rsidP="002A3944">
            <w:pPr>
              <w:spacing w:before="40" w:after="40" w:line="240" w:lineRule="auto"/>
              <w:jc w:val="center"/>
              <w:rPr>
                <w:b/>
                <w:bCs/>
                <w:sz w:val="20"/>
                <w:szCs w:val="20"/>
              </w:rPr>
            </w:pPr>
            <w:r w:rsidRPr="00FF756A">
              <w:rPr>
                <w:sz w:val="20"/>
                <w:szCs w:val="20"/>
              </w:rPr>
              <w:t>59%</w:t>
            </w:r>
          </w:p>
        </w:tc>
        <w:tc>
          <w:tcPr>
            <w:tcW w:w="5670" w:type="dxa"/>
          </w:tcPr>
          <w:p w14:paraId="7509B7A2" w14:textId="4B0B9850" w:rsidR="001526F0" w:rsidRPr="00FF756A" w:rsidRDefault="001158ED" w:rsidP="00830454">
            <w:pPr>
              <w:spacing w:before="40" w:after="40" w:line="240" w:lineRule="auto"/>
              <w:rPr>
                <w:b/>
                <w:bCs/>
                <w:sz w:val="20"/>
                <w:szCs w:val="20"/>
              </w:rPr>
            </w:pPr>
            <w:r w:rsidRPr="00FF756A">
              <w:rPr>
                <w:sz w:val="20"/>
                <w:szCs w:val="20"/>
              </w:rPr>
              <w:t>Objektivi i arritjes së një mase prej 54,4% të energjisë së rinovueshme në konsumin final bruto të energjisë në Planin Kombëtar të miratuar për Energjinë dhe Klimën (PKEK) është në përputhje me objektivin e vitit 2030 të përcaktuar nga Komuniteti i Energjisë dhe të integruar në ligjin e ndryshuar për energjinë e rinovueshme. Objektivi i përgjithshëm i energjisë së rinovueshme për vitin 2030 ndahet në objektiva sektoriale për energjinë elektrike (178,1%), transportin (34,6%) dhe ngrohjen dhe ftohjen (16,6%). Objektivi i vitit 2030 për energjinë e rinovueshme në sektorin e ngrohjes dhe ftohjes nuk është aq ambicioz sa kërkohet në bazë të nenit 23 të Direktivës së Energjisë së Rinovueshme (REDII). Në zbatim të nenit 26 të REDII, Shqipëria përshtati objektivin e saj minimal për energjinë e rinovueshme në transport në një nivel prej 7% deri në vitin 2030.</w:t>
            </w:r>
          </w:p>
        </w:tc>
      </w:tr>
      <w:tr w:rsidR="001526F0" w:rsidRPr="00FF756A" w14:paraId="2D85DBE9" w14:textId="77777777" w:rsidTr="003E6E8A">
        <w:trPr>
          <w:trHeight w:val="1543"/>
        </w:trPr>
        <w:tc>
          <w:tcPr>
            <w:tcW w:w="2127" w:type="dxa"/>
          </w:tcPr>
          <w:p w14:paraId="39DA60AB" w14:textId="77777777" w:rsidR="001526F0" w:rsidRPr="00FF756A" w:rsidRDefault="001526F0" w:rsidP="00830454">
            <w:pPr>
              <w:autoSpaceDE w:val="0"/>
              <w:autoSpaceDN w:val="0"/>
              <w:adjustRightInd w:val="0"/>
              <w:spacing w:before="40" w:after="40" w:line="240" w:lineRule="auto"/>
              <w:rPr>
                <w:sz w:val="20"/>
                <w:szCs w:val="20"/>
              </w:rPr>
            </w:pPr>
            <w:r w:rsidRPr="00FF756A">
              <w:rPr>
                <w:sz w:val="20"/>
                <w:szCs w:val="20"/>
              </w:rPr>
              <w:t>Cilësia e skemave të</w:t>
            </w:r>
          </w:p>
          <w:p w14:paraId="559B1367" w14:textId="3792D6D8" w:rsidR="001526F0" w:rsidRPr="00FF756A" w:rsidRDefault="001526F0" w:rsidP="00830454">
            <w:pPr>
              <w:spacing w:before="40" w:after="40" w:line="240" w:lineRule="auto"/>
              <w:rPr>
                <w:sz w:val="20"/>
                <w:szCs w:val="20"/>
              </w:rPr>
            </w:pPr>
            <w:r w:rsidRPr="00FF756A">
              <w:rPr>
                <w:sz w:val="20"/>
                <w:szCs w:val="20"/>
              </w:rPr>
              <w:t>mbështetjes</w:t>
            </w:r>
          </w:p>
        </w:tc>
        <w:tc>
          <w:tcPr>
            <w:tcW w:w="987" w:type="dxa"/>
          </w:tcPr>
          <w:p w14:paraId="53BA68FC" w14:textId="77777777" w:rsidR="001526F0" w:rsidRPr="00FF756A" w:rsidRDefault="001526F0" w:rsidP="002A3944">
            <w:pPr>
              <w:spacing w:before="40" w:after="40" w:line="240" w:lineRule="auto"/>
              <w:rPr>
                <w:sz w:val="20"/>
                <w:szCs w:val="20"/>
              </w:rPr>
            </w:pPr>
          </w:p>
          <w:p w14:paraId="5D3E193D" w14:textId="0AFD9D00" w:rsidR="001526F0" w:rsidRPr="00FF756A" w:rsidRDefault="001526F0" w:rsidP="00A65C87">
            <w:pPr>
              <w:spacing w:before="40" w:after="40" w:line="240" w:lineRule="auto"/>
              <w:jc w:val="center"/>
              <w:rPr>
                <w:sz w:val="20"/>
                <w:szCs w:val="20"/>
              </w:rPr>
            </w:pPr>
            <w:r w:rsidRPr="00FF756A">
              <w:rPr>
                <w:sz w:val="20"/>
                <w:szCs w:val="20"/>
              </w:rPr>
              <w:t>~</w:t>
            </w:r>
          </w:p>
        </w:tc>
        <w:tc>
          <w:tcPr>
            <w:tcW w:w="850" w:type="dxa"/>
          </w:tcPr>
          <w:p w14:paraId="70F7030E" w14:textId="77777777" w:rsidR="002A3944" w:rsidRPr="00FF756A" w:rsidRDefault="002A3944" w:rsidP="002A3944">
            <w:pPr>
              <w:spacing w:before="40" w:after="40" w:line="240" w:lineRule="auto"/>
              <w:jc w:val="center"/>
              <w:rPr>
                <w:sz w:val="20"/>
                <w:szCs w:val="20"/>
              </w:rPr>
            </w:pPr>
          </w:p>
          <w:p w14:paraId="325B1DF1" w14:textId="115B2715" w:rsidR="001526F0" w:rsidRPr="00FF756A" w:rsidRDefault="001526F0" w:rsidP="002A3944">
            <w:pPr>
              <w:spacing w:before="40" w:after="40" w:line="240" w:lineRule="auto"/>
              <w:jc w:val="center"/>
              <w:rPr>
                <w:sz w:val="20"/>
                <w:szCs w:val="20"/>
              </w:rPr>
            </w:pPr>
            <w:r w:rsidRPr="00FF756A">
              <w:rPr>
                <w:sz w:val="20"/>
                <w:szCs w:val="20"/>
              </w:rPr>
              <w:t>82%</w:t>
            </w:r>
          </w:p>
        </w:tc>
        <w:tc>
          <w:tcPr>
            <w:tcW w:w="5670" w:type="dxa"/>
          </w:tcPr>
          <w:p w14:paraId="6C9865CA" w14:textId="0CD892DC" w:rsidR="001526F0" w:rsidRPr="00FF756A" w:rsidRDefault="001526F0" w:rsidP="00830454">
            <w:p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40" w:after="40" w:line="240" w:lineRule="auto"/>
              <w:rPr>
                <w:sz w:val="20"/>
                <w:szCs w:val="20"/>
              </w:rPr>
            </w:pPr>
            <w:r w:rsidRPr="00FF756A">
              <w:rPr>
                <w:sz w:val="20"/>
                <w:szCs w:val="20"/>
              </w:rPr>
              <w:t>Ndryshimet në ligjin për burimet e rinovueshme eliminojnë tarifat “feed-in” të përcaktuara në formë administrative. Mbështetja për prodhimin e energjisë elektrike nga burimet e rinovueshme tashmë sigurohet përmes një procesi konkurrues në formën e kontratave për diferencë (CfD) ose kontratave për prim (CfP) - ose do të konvertohet në një modalitet të tillë. U zhvilluan ankande për një çmim fiks blerjeje, me synimin për të kaluar te marrëveshjet CfD sapo të krijohet një treg solid i ditës në avancë.</w:t>
            </w:r>
          </w:p>
        </w:tc>
      </w:tr>
      <w:tr w:rsidR="001526F0" w:rsidRPr="00FF756A" w14:paraId="02E42441" w14:textId="77777777" w:rsidTr="003E6E8A">
        <w:tc>
          <w:tcPr>
            <w:tcW w:w="2127" w:type="dxa"/>
          </w:tcPr>
          <w:p w14:paraId="09118572" w14:textId="587886CD" w:rsidR="001526F0" w:rsidRPr="00FF756A" w:rsidRDefault="001526F0" w:rsidP="00830454">
            <w:pPr>
              <w:spacing w:before="40" w:after="40" w:line="240" w:lineRule="auto"/>
              <w:rPr>
                <w:sz w:val="20"/>
                <w:szCs w:val="20"/>
              </w:rPr>
            </w:pPr>
            <w:r w:rsidRPr="00FF756A">
              <w:rPr>
                <w:sz w:val="20"/>
                <w:szCs w:val="20"/>
              </w:rPr>
              <w:lastRenderedPageBreak/>
              <w:t>Integrimi me rrjetin</w:t>
            </w:r>
          </w:p>
        </w:tc>
        <w:tc>
          <w:tcPr>
            <w:tcW w:w="987" w:type="dxa"/>
          </w:tcPr>
          <w:p w14:paraId="531BC4BD" w14:textId="77777777" w:rsidR="001526F0" w:rsidRPr="00FF756A" w:rsidRDefault="001526F0" w:rsidP="002A3944">
            <w:pPr>
              <w:spacing w:before="40" w:after="40" w:line="240" w:lineRule="auto"/>
              <w:rPr>
                <w:sz w:val="20"/>
                <w:szCs w:val="20"/>
              </w:rPr>
            </w:pPr>
          </w:p>
          <w:p w14:paraId="6F494EDC" w14:textId="54E3E8A2" w:rsidR="001526F0" w:rsidRPr="00FF756A" w:rsidRDefault="00C74F36" w:rsidP="00A65C87">
            <w:pPr>
              <w:spacing w:before="40" w:after="40" w:line="240" w:lineRule="auto"/>
              <w:jc w:val="center"/>
              <w:rPr>
                <w:sz w:val="20"/>
                <w:szCs w:val="20"/>
              </w:rPr>
            </w:pPr>
            <w:r w:rsidRPr="00FF756A">
              <w:rPr>
                <w:sz w:val="20"/>
                <w:szCs w:val="20"/>
              </w:rPr>
              <w:t>~</w:t>
            </w:r>
          </w:p>
        </w:tc>
        <w:tc>
          <w:tcPr>
            <w:tcW w:w="850" w:type="dxa"/>
          </w:tcPr>
          <w:p w14:paraId="7519EA9A" w14:textId="77777777" w:rsidR="002A3944" w:rsidRPr="00FF756A" w:rsidRDefault="002A3944" w:rsidP="002A3944">
            <w:pPr>
              <w:spacing w:before="40" w:after="40" w:line="240" w:lineRule="auto"/>
              <w:jc w:val="center"/>
              <w:rPr>
                <w:sz w:val="20"/>
                <w:szCs w:val="20"/>
              </w:rPr>
            </w:pPr>
          </w:p>
          <w:p w14:paraId="6A63465E" w14:textId="4F3D134A" w:rsidR="001526F0" w:rsidRPr="00FF756A" w:rsidRDefault="001526F0" w:rsidP="002A3944">
            <w:pPr>
              <w:spacing w:before="40" w:after="40" w:line="240" w:lineRule="auto"/>
              <w:jc w:val="center"/>
              <w:rPr>
                <w:sz w:val="20"/>
                <w:szCs w:val="20"/>
              </w:rPr>
            </w:pPr>
            <w:r w:rsidRPr="00FF756A">
              <w:rPr>
                <w:sz w:val="20"/>
                <w:szCs w:val="20"/>
              </w:rPr>
              <w:t>55%</w:t>
            </w:r>
          </w:p>
        </w:tc>
        <w:tc>
          <w:tcPr>
            <w:tcW w:w="5670" w:type="dxa"/>
          </w:tcPr>
          <w:p w14:paraId="7D8F70B7" w14:textId="27D792D5" w:rsidR="001526F0" w:rsidRPr="00FF756A" w:rsidRDefault="001526F0" w:rsidP="00830454">
            <w:p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40" w:after="40" w:line="240" w:lineRule="auto"/>
              <w:rPr>
                <w:sz w:val="20"/>
                <w:szCs w:val="20"/>
              </w:rPr>
            </w:pPr>
            <w:r w:rsidRPr="00FF756A">
              <w:rPr>
                <w:sz w:val="20"/>
                <w:szCs w:val="20"/>
              </w:rPr>
              <w:t>Legjislacioni dytësor për realizimin e aksesit në rrjete dhe të funksionimit të rrjeteve mbetet ende për t’u finalizuar dhe për t’u vënë në dispozicion të të gjithë aplikantëve. Janë miratuar rregullore transitore të balancimit. Rregullat e miratuara për konsumin vetjak mbeten ende për t’u zbatuar në praktikë.</w:t>
            </w:r>
          </w:p>
        </w:tc>
      </w:tr>
      <w:tr w:rsidR="001526F0" w:rsidRPr="00FF756A" w14:paraId="054B4338" w14:textId="77777777" w:rsidTr="003E6E8A">
        <w:tc>
          <w:tcPr>
            <w:tcW w:w="2127" w:type="dxa"/>
          </w:tcPr>
          <w:p w14:paraId="054F8A30" w14:textId="1428B31F" w:rsidR="001526F0" w:rsidRPr="00FF756A" w:rsidRDefault="00356F02" w:rsidP="00830454">
            <w:pPr>
              <w:spacing w:before="40" w:after="40" w:line="240" w:lineRule="auto"/>
              <w:rPr>
                <w:sz w:val="20"/>
                <w:szCs w:val="20"/>
              </w:rPr>
            </w:pPr>
            <w:r w:rsidRPr="00FF756A">
              <w:rPr>
                <w:sz w:val="20"/>
                <w:szCs w:val="20"/>
              </w:rPr>
              <w:t>Konsumi vetjak dhe komunitetet e energjisë</w:t>
            </w:r>
          </w:p>
        </w:tc>
        <w:tc>
          <w:tcPr>
            <w:tcW w:w="987" w:type="dxa"/>
          </w:tcPr>
          <w:p w14:paraId="0DFB1B39" w14:textId="77777777" w:rsidR="001526F0" w:rsidRPr="00FF756A" w:rsidRDefault="001526F0" w:rsidP="002A3944">
            <w:pPr>
              <w:spacing w:before="40" w:after="40" w:line="240" w:lineRule="auto"/>
              <w:rPr>
                <w:sz w:val="20"/>
                <w:szCs w:val="20"/>
              </w:rPr>
            </w:pPr>
          </w:p>
          <w:p w14:paraId="3E8C87D0" w14:textId="46607FD8" w:rsidR="001526F0" w:rsidRPr="00FF756A" w:rsidRDefault="001526F0" w:rsidP="00A65C87">
            <w:pPr>
              <w:spacing w:before="40" w:after="40" w:line="240" w:lineRule="auto"/>
              <w:jc w:val="center"/>
              <w:rPr>
                <w:sz w:val="20"/>
                <w:szCs w:val="20"/>
              </w:rPr>
            </w:pPr>
            <w:r w:rsidRPr="00FF756A">
              <w:rPr>
                <w:sz w:val="20"/>
                <w:szCs w:val="20"/>
              </w:rPr>
              <w:t>~</w:t>
            </w:r>
          </w:p>
        </w:tc>
        <w:tc>
          <w:tcPr>
            <w:tcW w:w="850" w:type="dxa"/>
          </w:tcPr>
          <w:p w14:paraId="78B9BEB9" w14:textId="77777777" w:rsidR="002A3944" w:rsidRPr="00FF756A" w:rsidRDefault="002A3944" w:rsidP="002A3944">
            <w:pPr>
              <w:spacing w:before="40" w:after="40" w:line="240" w:lineRule="auto"/>
              <w:jc w:val="center"/>
              <w:rPr>
                <w:sz w:val="20"/>
                <w:szCs w:val="20"/>
              </w:rPr>
            </w:pPr>
          </w:p>
          <w:p w14:paraId="30431174" w14:textId="7E4A0549" w:rsidR="001526F0" w:rsidRPr="00FF756A" w:rsidRDefault="00356F02" w:rsidP="002A3944">
            <w:pPr>
              <w:spacing w:before="40" w:after="40" w:line="240" w:lineRule="auto"/>
              <w:jc w:val="center"/>
              <w:rPr>
                <w:sz w:val="20"/>
                <w:szCs w:val="20"/>
              </w:rPr>
            </w:pPr>
            <w:r w:rsidRPr="00FF756A">
              <w:rPr>
                <w:sz w:val="20"/>
                <w:szCs w:val="20"/>
              </w:rPr>
              <w:t>75%</w:t>
            </w:r>
          </w:p>
        </w:tc>
        <w:tc>
          <w:tcPr>
            <w:tcW w:w="5670" w:type="dxa"/>
          </w:tcPr>
          <w:p w14:paraId="18014F48" w14:textId="5E46D234" w:rsidR="001526F0" w:rsidRPr="00FF756A" w:rsidRDefault="00356F02" w:rsidP="00830454">
            <w:p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40" w:after="40" w:line="240" w:lineRule="auto"/>
              <w:rPr>
                <w:sz w:val="20"/>
                <w:szCs w:val="20"/>
              </w:rPr>
            </w:pPr>
            <w:r w:rsidRPr="00FF756A">
              <w:rPr>
                <w:sz w:val="20"/>
                <w:szCs w:val="20"/>
              </w:rPr>
              <w:t>Ekziston një sistem i matjes neto që u mundëson konsumatorëve të operojnë instalime të energjisë së rinovueshme me një kapacitet maksimal prej 500 kW. Shqipëria ka përfshirë ndryshime në ligjin për burimet e rinovueshme, të cilat parashikojnë kalimin në faturimin neto për burimet e rinovueshme të vetë-konsum</w:t>
            </w:r>
            <w:r w:rsidR="00FA459D" w:rsidRPr="00FF756A">
              <w:rPr>
                <w:sz w:val="20"/>
                <w:szCs w:val="20"/>
              </w:rPr>
              <w:t>it</w:t>
            </w:r>
            <w:r w:rsidRPr="00FF756A">
              <w:rPr>
                <w:sz w:val="20"/>
                <w:szCs w:val="20"/>
              </w:rPr>
              <w:t xml:space="preserve">, planifikuar të nisë më 1 janar 2024. Këto ndryshime garantojnë përfshirjen e qytetarëve në komunitetet e energjisë së rinovueshme duke ruajtur privilegjet dhe përgjegjësitë e tyre si konsumatorë fundorë. </w:t>
            </w:r>
          </w:p>
        </w:tc>
      </w:tr>
      <w:tr w:rsidR="001526F0" w:rsidRPr="00FF756A" w14:paraId="774CAD9F" w14:textId="77777777" w:rsidTr="003E6E8A">
        <w:tc>
          <w:tcPr>
            <w:tcW w:w="2127" w:type="dxa"/>
          </w:tcPr>
          <w:p w14:paraId="335E6874" w14:textId="4213FFF5" w:rsidR="001526F0" w:rsidRPr="00FF756A" w:rsidRDefault="001526F0" w:rsidP="00830454">
            <w:pPr>
              <w:spacing w:before="40" w:after="40" w:line="240" w:lineRule="auto"/>
              <w:rPr>
                <w:sz w:val="20"/>
                <w:szCs w:val="20"/>
              </w:rPr>
            </w:pPr>
            <w:r w:rsidRPr="00FF756A">
              <w:rPr>
                <w:sz w:val="20"/>
                <w:szCs w:val="20"/>
              </w:rPr>
              <w:t>Energjia e rinovueshme në transport</w:t>
            </w:r>
          </w:p>
        </w:tc>
        <w:tc>
          <w:tcPr>
            <w:tcW w:w="987" w:type="dxa"/>
          </w:tcPr>
          <w:p w14:paraId="2EBC9073" w14:textId="77777777" w:rsidR="002A3944" w:rsidRPr="00FF756A" w:rsidRDefault="002A3944" w:rsidP="00A65C87">
            <w:pPr>
              <w:spacing w:before="40" w:after="40" w:line="240" w:lineRule="auto"/>
              <w:jc w:val="center"/>
              <w:rPr>
                <w:sz w:val="20"/>
                <w:szCs w:val="20"/>
              </w:rPr>
            </w:pPr>
          </w:p>
          <w:p w14:paraId="3458D478" w14:textId="08D6AD21" w:rsidR="001526F0" w:rsidRPr="00FF756A" w:rsidRDefault="00A65C87" w:rsidP="00A65C87">
            <w:pPr>
              <w:spacing w:before="40" w:after="40" w:line="240" w:lineRule="auto"/>
              <w:jc w:val="center"/>
              <w:rPr>
                <w:sz w:val="20"/>
                <w:szCs w:val="20"/>
              </w:rPr>
            </w:pPr>
            <w:r w:rsidRPr="00FF756A">
              <w:rPr>
                <w:sz w:val="20"/>
                <w:szCs w:val="20"/>
              </w:rPr>
              <w:t>~</w:t>
            </w:r>
          </w:p>
        </w:tc>
        <w:tc>
          <w:tcPr>
            <w:tcW w:w="850" w:type="dxa"/>
          </w:tcPr>
          <w:p w14:paraId="40FDF911" w14:textId="77777777" w:rsidR="002A3944" w:rsidRPr="00FF756A" w:rsidRDefault="002A3944" w:rsidP="002A3944">
            <w:pPr>
              <w:spacing w:before="40" w:after="40" w:line="240" w:lineRule="auto"/>
              <w:jc w:val="center"/>
              <w:rPr>
                <w:sz w:val="20"/>
                <w:szCs w:val="20"/>
              </w:rPr>
            </w:pPr>
          </w:p>
          <w:p w14:paraId="4EDBC3C7" w14:textId="12FE4DDE" w:rsidR="001526F0" w:rsidRPr="00FF756A" w:rsidRDefault="001526F0" w:rsidP="002A3944">
            <w:pPr>
              <w:spacing w:before="40" w:after="40" w:line="240" w:lineRule="auto"/>
              <w:jc w:val="center"/>
              <w:rPr>
                <w:sz w:val="20"/>
                <w:szCs w:val="20"/>
              </w:rPr>
            </w:pPr>
            <w:r w:rsidRPr="00FF756A">
              <w:rPr>
                <w:sz w:val="20"/>
                <w:szCs w:val="20"/>
              </w:rPr>
              <w:t>1%</w:t>
            </w:r>
          </w:p>
        </w:tc>
        <w:tc>
          <w:tcPr>
            <w:tcW w:w="5670" w:type="dxa"/>
          </w:tcPr>
          <w:p w14:paraId="5FF28E5F" w14:textId="37B70306" w:rsidR="001526F0" w:rsidRPr="00FF756A" w:rsidRDefault="001526F0" w:rsidP="00830454">
            <w:pPr>
              <w:spacing w:before="40" w:after="40" w:line="240" w:lineRule="auto"/>
              <w:rPr>
                <w:rFonts w:eastAsia="Arial"/>
                <w:sz w:val="20"/>
                <w:szCs w:val="20"/>
              </w:rPr>
            </w:pPr>
            <w:r w:rsidRPr="00FF756A">
              <w:rPr>
                <w:sz w:val="20"/>
                <w:szCs w:val="20"/>
              </w:rPr>
              <w:t>Projektligji për biokarburantet është duke u përgatitur nga MIE në përputhje me Direktivën (BE) 2018/2001 dhe duke u koordinuar me grupet e interesit dhe ekspertët e Sekretariatit të Komunitetit të Energjisë.</w:t>
            </w:r>
          </w:p>
        </w:tc>
      </w:tr>
      <w:tr w:rsidR="00C74F36" w:rsidRPr="00FF756A" w14:paraId="6F2C5DEF" w14:textId="77777777" w:rsidTr="003E6E8A">
        <w:tc>
          <w:tcPr>
            <w:tcW w:w="2127" w:type="dxa"/>
          </w:tcPr>
          <w:p w14:paraId="53ADA82B" w14:textId="02FBDEBE" w:rsidR="00C74F36" w:rsidRPr="00FF756A" w:rsidRDefault="00C74F36" w:rsidP="00830454">
            <w:pPr>
              <w:autoSpaceDE w:val="0"/>
              <w:autoSpaceDN w:val="0"/>
              <w:adjustRightInd w:val="0"/>
              <w:spacing w:before="40" w:after="40" w:line="240" w:lineRule="auto"/>
              <w:rPr>
                <w:sz w:val="20"/>
                <w:szCs w:val="20"/>
              </w:rPr>
            </w:pPr>
            <w:r w:rsidRPr="00FF756A">
              <w:rPr>
                <w:sz w:val="20"/>
                <w:szCs w:val="20"/>
              </w:rPr>
              <w:t>Garancitë e origjinës</w:t>
            </w:r>
          </w:p>
        </w:tc>
        <w:tc>
          <w:tcPr>
            <w:tcW w:w="987" w:type="dxa"/>
          </w:tcPr>
          <w:p w14:paraId="0843576A" w14:textId="77777777" w:rsidR="002A3944" w:rsidRPr="00FF756A" w:rsidRDefault="002A3944" w:rsidP="00A65C87">
            <w:pPr>
              <w:spacing w:before="40" w:after="40" w:line="240" w:lineRule="auto"/>
              <w:jc w:val="center"/>
              <w:rPr>
                <w:sz w:val="20"/>
                <w:szCs w:val="20"/>
              </w:rPr>
            </w:pPr>
          </w:p>
          <w:p w14:paraId="481959C1" w14:textId="6A48DC96" w:rsidR="00C74F36" w:rsidRPr="00FF756A" w:rsidRDefault="00C74F36" w:rsidP="00A65C87">
            <w:pPr>
              <w:spacing w:before="40" w:after="40" w:line="240" w:lineRule="auto"/>
              <w:jc w:val="center"/>
              <w:rPr>
                <w:sz w:val="20"/>
                <w:szCs w:val="20"/>
              </w:rPr>
            </w:pPr>
            <w:r w:rsidRPr="00FF756A">
              <w:rPr>
                <w:sz w:val="20"/>
                <w:szCs w:val="20"/>
              </w:rPr>
              <w:t>~</w:t>
            </w:r>
          </w:p>
        </w:tc>
        <w:tc>
          <w:tcPr>
            <w:tcW w:w="850" w:type="dxa"/>
          </w:tcPr>
          <w:p w14:paraId="4E4336F0" w14:textId="77777777" w:rsidR="002A3944" w:rsidRPr="00FF756A" w:rsidRDefault="002A3944" w:rsidP="002A3944">
            <w:pPr>
              <w:spacing w:before="40" w:after="40" w:line="240" w:lineRule="auto"/>
              <w:jc w:val="center"/>
              <w:rPr>
                <w:sz w:val="20"/>
                <w:szCs w:val="20"/>
              </w:rPr>
            </w:pPr>
          </w:p>
          <w:p w14:paraId="0F951CAE" w14:textId="1A7D26B9" w:rsidR="00C74F36" w:rsidRPr="00FF756A" w:rsidRDefault="00C74F36" w:rsidP="002A3944">
            <w:pPr>
              <w:spacing w:before="40" w:after="40" w:line="240" w:lineRule="auto"/>
              <w:jc w:val="center"/>
              <w:rPr>
                <w:sz w:val="20"/>
                <w:szCs w:val="20"/>
              </w:rPr>
            </w:pPr>
            <w:r w:rsidRPr="00FF756A">
              <w:rPr>
                <w:sz w:val="20"/>
                <w:szCs w:val="20"/>
              </w:rPr>
              <w:t>70%</w:t>
            </w:r>
          </w:p>
        </w:tc>
        <w:tc>
          <w:tcPr>
            <w:tcW w:w="5670" w:type="dxa"/>
          </w:tcPr>
          <w:p w14:paraId="6679F156" w14:textId="466D50DB" w:rsidR="00C74F36" w:rsidRPr="00FF756A" w:rsidRDefault="00C74F36" w:rsidP="00830454">
            <w:pPr>
              <w:autoSpaceDE w:val="0"/>
              <w:autoSpaceDN w:val="0"/>
              <w:adjustRightInd w:val="0"/>
              <w:spacing w:before="40" w:after="40" w:line="240" w:lineRule="auto"/>
              <w:rPr>
                <w:sz w:val="20"/>
                <w:szCs w:val="20"/>
              </w:rPr>
            </w:pPr>
            <w:r w:rsidRPr="00FF756A">
              <w:rPr>
                <w:sz w:val="20"/>
                <w:szCs w:val="20"/>
              </w:rPr>
              <w:t>Në kuadër të projektit rajonal të zbatuar nga Sekretariati i Komunitetit të Energjisë, u krijua një regjistër elektronik për garancitë e origjinës (GO) për Shqipërinë. Ai u vu në funksion nga rregullatori ERE në maj 2023. Hapi tjetër i rëndësishëm për arritjen e një sistemi GO plotësisht operacional përfshin miratimin e rregullave të zbulimit dhe llogaritjen e kombinimit të energjisë të mbetur.</w:t>
            </w:r>
          </w:p>
        </w:tc>
      </w:tr>
      <w:tr w:rsidR="00C74F36" w:rsidRPr="00FF756A" w14:paraId="10DB269D" w14:textId="77777777" w:rsidTr="003E6E8A">
        <w:tc>
          <w:tcPr>
            <w:tcW w:w="2127" w:type="dxa"/>
          </w:tcPr>
          <w:p w14:paraId="70A09370" w14:textId="77B2DBC5" w:rsidR="00C74F36" w:rsidRPr="00FF756A" w:rsidRDefault="00C74F36" w:rsidP="00830454">
            <w:pPr>
              <w:autoSpaceDE w:val="0"/>
              <w:autoSpaceDN w:val="0"/>
              <w:adjustRightInd w:val="0"/>
              <w:spacing w:before="40" w:after="40" w:line="240" w:lineRule="auto"/>
              <w:rPr>
                <w:sz w:val="20"/>
                <w:szCs w:val="20"/>
              </w:rPr>
            </w:pPr>
            <w:r w:rsidRPr="00FF756A">
              <w:rPr>
                <w:sz w:val="20"/>
                <w:szCs w:val="20"/>
              </w:rPr>
              <w:t>Energjia e rinovueshme në ngrohje dhe ftohje</w:t>
            </w:r>
          </w:p>
        </w:tc>
        <w:tc>
          <w:tcPr>
            <w:tcW w:w="987" w:type="dxa"/>
          </w:tcPr>
          <w:p w14:paraId="14C124BF" w14:textId="77777777" w:rsidR="002A3944" w:rsidRPr="00FF756A" w:rsidRDefault="002A3944" w:rsidP="00A65C87">
            <w:pPr>
              <w:spacing w:before="40" w:after="40" w:line="240" w:lineRule="auto"/>
              <w:jc w:val="center"/>
              <w:rPr>
                <w:sz w:val="20"/>
                <w:szCs w:val="20"/>
              </w:rPr>
            </w:pPr>
          </w:p>
          <w:p w14:paraId="5B453429" w14:textId="039F63B7" w:rsidR="00C74F36" w:rsidRPr="00FF756A" w:rsidRDefault="00C74F36" w:rsidP="00A65C87">
            <w:pPr>
              <w:spacing w:before="40" w:after="40" w:line="240" w:lineRule="auto"/>
              <w:jc w:val="center"/>
              <w:rPr>
                <w:sz w:val="20"/>
                <w:szCs w:val="20"/>
              </w:rPr>
            </w:pPr>
            <w:r w:rsidRPr="00FF756A">
              <w:rPr>
                <w:sz w:val="20"/>
                <w:szCs w:val="20"/>
              </w:rPr>
              <w:t>~</w:t>
            </w:r>
          </w:p>
        </w:tc>
        <w:tc>
          <w:tcPr>
            <w:tcW w:w="850" w:type="dxa"/>
          </w:tcPr>
          <w:p w14:paraId="5BC9901E" w14:textId="77777777" w:rsidR="002A3944" w:rsidRPr="00FF756A" w:rsidRDefault="002A3944" w:rsidP="002A3944">
            <w:pPr>
              <w:spacing w:before="40" w:after="40" w:line="240" w:lineRule="auto"/>
              <w:jc w:val="center"/>
              <w:rPr>
                <w:sz w:val="20"/>
                <w:szCs w:val="20"/>
              </w:rPr>
            </w:pPr>
          </w:p>
          <w:p w14:paraId="08EEE822" w14:textId="50AB6EE1" w:rsidR="00C74F36" w:rsidRPr="00FF756A" w:rsidRDefault="00C74F36" w:rsidP="002A3944">
            <w:pPr>
              <w:spacing w:before="40" w:after="40" w:line="240" w:lineRule="auto"/>
              <w:jc w:val="center"/>
              <w:rPr>
                <w:sz w:val="20"/>
                <w:szCs w:val="20"/>
              </w:rPr>
            </w:pPr>
            <w:r w:rsidRPr="00FF756A">
              <w:rPr>
                <w:sz w:val="20"/>
                <w:szCs w:val="20"/>
              </w:rPr>
              <w:t>25%</w:t>
            </w:r>
          </w:p>
        </w:tc>
        <w:tc>
          <w:tcPr>
            <w:tcW w:w="5670" w:type="dxa"/>
          </w:tcPr>
          <w:p w14:paraId="504C0EA8" w14:textId="7CC1274A" w:rsidR="00C74F36" w:rsidRPr="00FF756A" w:rsidRDefault="00C74F36" w:rsidP="00AB2DE7">
            <w:pPr>
              <w:keepNext/>
              <w:autoSpaceDE w:val="0"/>
              <w:autoSpaceDN w:val="0"/>
              <w:adjustRightInd w:val="0"/>
              <w:spacing w:before="40" w:after="40" w:line="240" w:lineRule="auto"/>
              <w:rPr>
                <w:sz w:val="20"/>
                <w:szCs w:val="20"/>
              </w:rPr>
            </w:pPr>
            <w:r w:rsidRPr="00FF756A">
              <w:rPr>
                <w:sz w:val="20"/>
                <w:szCs w:val="20"/>
              </w:rPr>
              <w:t>Integrimi i energjisë së rinovueshme në sektorin e ngrohjes dhe ftohjes në Shqipëri është në proces të krijimit të kuadrit ligjor dhe nevojiten masa për integrimin e energjisë së rinovueshme, duke përfshirë pompat e nxehtësisë në sistemet individuale të ngrohjes.</w:t>
            </w:r>
          </w:p>
        </w:tc>
      </w:tr>
    </w:tbl>
    <w:p w14:paraId="141C9708" w14:textId="1B5BF215" w:rsidR="00DA2EDE" w:rsidRPr="00FF756A" w:rsidRDefault="00AB2DE7" w:rsidP="00AB2DE7">
      <w:pPr>
        <w:pStyle w:val="Caption"/>
        <w:rPr>
          <w:rFonts w:ascii="Times New Roman" w:hAnsi="Times New Roman"/>
          <w:sz w:val="20"/>
          <w:szCs w:val="20"/>
        </w:rPr>
      </w:pPr>
      <w:bookmarkStart w:id="45" w:name="_Toc183016468"/>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4</w:t>
      </w:r>
      <w:r w:rsidR="008E7DE9" w:rsidRPr="00FF756A">
        <w:rPr>
          <w:rFonts w:ascii="Times New Roman" w:hAnsi="Times New Roman"/>
          <w:noProof/>
        </w:rPr>
        <w:fldChar w:fldCharType="end"/>
      </w:r>
      <w:r w:rsidRPr="00FF756A">
        <w:rPr>
          <w:rFonts w:ascii="Times New Roman" w:hAnsi="Times New Roman"/>
        </w:rPr>
        <w:t>: Zbatimi i energjisë së rinovueshme (Burimi: Raporti i Zbatimit 2023 Shqipëri / 7)</w:t>
      </w:r>
      <w:bookmarkEnd w:id="45"/>
    </w:p>
    <w:p w14:paraId="7AB796DE" w14:textId="77777777" w:rsidR="006F4FCD" w:rsidRPr="00FF756A" w:rsidRDefault="006F4FCD" w:rsidP="006F4FCD">
      <w:pPr>
        <w:pStyle w:val="Text1"/>
        <w:spacing w:after="120"/>
        <w:ind w:left="0"/>
        <w:jc w:val="lowKashida"/>
      </w:pPr>
    </w:p>
    <w:p w14:paraId="58EB50B4" w14:textId="42386E73" w:rsidR="006768E4" w:rsidRPr="00FF756A" w:rsidRDefault="006768E4" w:rsidP="006768E4">
      <w:pPr>
        <w:pStyle w:val="Text1"/>
        <w:spacing w:before="40" w:after="40"/>
        <w:ind w:left="0"/>
        <w:jc w:val="lowKashida"/>
        <w:rPr>
          <w:rFonts w:eastAsia="MS Mincho"/>
          <w:sz w:val="22"/>
          <w:szCs w:val="22"/>
          <w:lang w:eastAsia="sq-AL"/>
        </w:rPr>
      </w:pPr>
      <w:r w:rsidRPr="00FF756A">
        <w:rPr>
          <w:rFonts w:eastAsia="MS Mincho"/>
          <w:sz w:val="22"/>
          <w:szCs w:val="22"/>
          <w:lang w:eastAsia="sq-AL"/>
        </w:rPr>
        <w:t xml:space="preserve">Shqipëria, edhe pse një vend i vogël me një kontribut të ulët emetimi, është e vendosur të marrë përsipër pjesën e saj të përgjegjësisë në këtë proces dhe ka ndërmarrë veprime për të mbështetur dekarbonizimin, rritjen e gjelbër dhe rigjallërimin </w:t>
      </w:r>
      <w:r w:rsidR="00B15A2F" w:rsidRPr="00FF756A">
        <w:rPr>
          <w:rFonts w:eastAsia="MS Mincho"/>
          <w:sz w:val="22"/>
          <w:szCs w:val="22"/>
          <w:lang w:eastAsia="sq-AL"/>
        </w:rPr>
        <w:t>në</w:t>
      </w:r>
      <w:r w:rsidRPr="00FF756A">
        <w:rPr>
          <w:rFonts w:eastAsia="MS Mincho"/>
          <w:sz w:val="22"/>
          <w:szCs w:val="22"/>
          <w:lang w:eastAsia="sq-AL"/>
        </w:rPr>
        <w:t xml:space="preserve"> vite</w:t>
      </w:r>
      <w:r w:rsidR="00B15A2F" w:rsidRPr="00FF756A">
        <w:rPr>
          <w:rFonts w:eastAsia="MS Mincho"/>
          <w:sz w:val="22"/>
          <w:szCs w:val="22"/>
          <w:lang w:eastAsia="sq-AL"/>
        </w:rPr>
        <w:t>t e</w:t>
      </w:r>
      <w:r w:rsidRPr="00FF756A">
        <w:rPr>
          <w:rFonts w:eastAsia="MS Mincho"/>
          <w:sz w:val="22"/>
          <w:szCs w:val="22"/>
          <w:lang w:eastAsia="sq-AL"/>
        </w:rPr>
        <w:t xml:space="preserve"> fundit. Shqipëria ka ndërmarrë hapa shumë të rëndësishëm drejt dokumenteve të politikave dhe planeve të veprimit për ndryshimet klimatike, duke përfshirë veçanërisht sektorët e energjisë dhe transportit, por edhe bujqësinë, pylltarinë, administrimin e mbetjeve, etj.</w:t>
      </w:r>
    </w:p>
    <w:p w14:paraId="5683E208" w14:textId="3E04E688" w:rsidR="006768E4" w:rsidRPr="00FF756A" w:rsidRDefault="006768E4" w:rsidP="006768E4">
      <w:pPr>
        <w:pStyle w:val="Text1"/>
        <w:spacing w:before="40" w:after="40"/>
        <w:ind w:left="0"/>
        <w:jc w:val="lowKashida"/>
        <w:rPr>
          <w:rFonts w:eastAsia="MS Mincho"/>
          <w:sz w:val="22"/>
          <w:szCs w:val="22"/>
          <w:lang w:eastAsia="sq-AL"/>
        </w:rPr>
      </w:pPr>
      <w:r w:rsidRPr="00FF756A">
        <w:rPr>
          <w:rFonts w:eastAsia="MS Mincho"/>
          <w:sz w:val="22"/>
          <w:szCs w:val="22"/>
          <w:lang w:eastAsia="sq-AL"/>
        </w:rPr>
        <w:t>Që nga 2 korriku 2019, Qeveria e Shqipërisë është vendi i parë në Rajon me një Strategji të miratuar për Ndryshimet Klimatike, dhe Plane Veprimi për Zbutjen dhe Përshtatjen, që përfaqëson një strategji të përgjithshme ndërsektoriale me objektiva politikash dhe veprime konkrete për</w:t>
      </w:r>
      <w:r w:rsidR="00C907D1" w:rsidRPr="00FF756A">
        <w:rPr>
          <w:rFonts w:eastAsia="MS Mincho"/>
          <w:sz w:val="22"/>
          <w:szCs w:val="22"/>
          <w:lang w:eastAsia="sq-AL"/>
        </w:rPr>
        <w:t xml:space="preserve"> </w:t>
      </w:r>
      <w:r w:rsidRPr="00FF756A">
        <w:rPr>
          <w:rFonts w:eastAsia="MS Mincho"/>
          <w:sz w:val="22"/>
          <w:szCs w:val="22"/>
          <w:lang w:eastAsia="sq-AL"/>
        </w:rPr>
        <w:t>zvogël</w:t>
      </w:r>
      <w:r w:rsidR="00E30D36" w:rsidRPr="00FF756A">
        <w:rPr>
          <w:rFonts w:eastAsia="MS Mincho"/>
          <w:sz w:val="22"/>
          <w:szCs w:val="22"/>
          <w:lang w:eastAsia="sq-AL"/>
        </w:rPr>
        <w:t>imin e</w:t>
      </w:r>
      <w:r w:rsidRPr="00FF756A">
        <w:rPr>
          <w:rFonts w:eastAsia="MS Mincho"/>
          <w:sz w:val="22"/>
          <w:szCs w:val="22"/>
          <w:lang w:eastAsia="sq-AL"/>
        </w:rPr>
        <w:t xml:space="preserve"> emetime</w:t>
      </w:r>
      <w:r w:rsidR="007C20AD" w:rsidRPr="00FF756A">
        <w:rPr>
          <w:rFonts w:eastAsia="MS Mincho"/>
          <w:sz w:val="22"/>
          <w:szCs w:val="22"/>
          <w:lang w:eastAsia="sq-AL"/>
        </w:rPr>
        <w:t>ve</w:t>
      </w:r>
      <w:r w:rsidRPr="00FF756A">
        <w:rPr>
          <w:rFonts w:eastAsia="MS Mincho"/>
          <w:sz w:val="22"/>
          <w:szCs w:val="22"/>
          <w:lang w:eastAsia="sq-AL"/>
        </w:rPr>
        <w:t xml:space="preserve"> </w:t>
      </w:r>
      <w:r w:rsidR="007C20AD" w:rsidRPr="00FF756A">
        <w:rPr>
          <w:rFonts w:eastAsia="MS Mincho"/>
          <w:sz w:val="22"/>
          <w:szCs w:val="22"/>
          <w:lang w:eastAsia="sq-AL"/>
        </w:rPr>
        <w:t>të</w:t>
      </w:r>
      <w:r w:rsidRPr="00FF756A">
        <w:rPr>
          <w:rFonts w:eastAsia="MS Mincho"/>
          <w:sz w:val="22"/>
          <w:szCs w:val="22"/>
          <w:lang w:eastAsia="sq-AL"/>
        </w:rPr>
        <w:t xml:space="preserve"> GS dhe </w:t>
      </w:r>
      <w:r w:rsidR="007C20AD" w:rsidRPr="00FF756A">
        <w:rPr>
          <w:rFonts w:eastAsia="MS Mincho"/>
          <w:sz w:val="22"/>
          <w:szCs w:val="22"/>
          <w:lang w:eastAsia="sq-AL"/>
        </w:rPr>
        <w:t>të jetë rezistente</w:t>
      </w:r>
      <w:r w:rsidRPr="00FF756A">
        <w:rPr>
          <w:rFonts w:eastAsia="MS Mincho"/>
          <w:sz w:val="22"/>
          <w:szCs w:val="22"/>
          <w:lang w:eastAsia="sq-AL"/>
        </w:rPr>
        <w:t xml:space="preserve"> ndaj ndryshimeve klimatike.</w:t>
      </w:r>
    </w:p>
    <w:p w14:paraId="1C83222D" w14:textId="77777777" w:rsidR="006768E4" w:rsidRPr="00FF756A" w:rsidRDefault="006768E4" w:rsidP="006768E4">
      <w:pPr>
        <w:pStyle w:val="Text1"/>
        <w:spacing w:before="40" w:after="40"/>
        <w:ind w:left="0"/>
        <w:jc w:val="lowKashida"/>
        <w:rPr>
          <w:rFonts w:eastAsia="MS Mincho"/>
          <w:sz w:val="22"/>
          <w:szCs w:val="22"/>
          <w:lang w:eastAsia="sq-AL"/>
        </w:rPr>
      </w:pPr>
      <w:r w:rsidRPr="00FF756A">
        <w:rPr>
          <w:rFonts w:eastAsia="MS Mincho"/>
          <w:sz w:val="22"/>
          <w:szCs w:val="22"/>
          <w:lang w:eastAsia="sq-AL"/>
        </w:rPr>
        <w:t>Në përputhje me përpjekjet e BE-së për ndryshimet klimatike dhe detyrimet tona përkatëse në procesin e anëtarësimit në BE, ligji nr. 155/2020 “Për ndryshimet klimatike” është miratuar në dhjetor 2020.</w:t>
      </w:r>
    </w:p>
    <w:p w14:paraId="6922C082" w14:textId="6AEE86F2" w:rsidR="006768E4" w:rsidRPr="00FF756A" w:rsidRDefault="006768E4" w:rsidP="006768E4">
      <w:pPr>
        <w:pStyle w:val="Text1"/>
        <w:spacing w:before="40" w:after="40"/>
        <w:ind w:left="0"/>
        <w:jc w:val="lowKashida"/>
        <w:rPr>
          <w:rFonts w:eastAsia="MS Mincho"/>
          <w:sz w:val="22"/>
          <w:szCs w:val="22"/>
          <w:lang w:eastAsia="sq-AL"/>
        </w:rPr>
      </w:pPr>
      <w:r w:rsidRPr="00FF756A">
        <w:rPr>
          <w:rFonts w:eastAsia="MS Mincho"/>
          <w:sz w:val="22"/>
          <w:szCs w:val="22"/>
          <w:lang w:eastAsia="sq-AL"/>
        </w:rPr>
        <w:t>Duke njohur nevojën për të hartuar një rrugë drejt neutralitetit të karbonit deri në vitin 2050, Shqipëria do të zhvillojë dhe miratojë Strategjinë Afatgjatë të Emetimeve të Gazit Serrë të ulët kur të rishikojë Strategjinë Kombëtare aktuale për Ndryshimet Klimatike, në përputhje me dispozitat e Ligjit të BE-së për Klimën. , Rregullor</w:t>
      </w:r>
      <w:r w:rsidR="00C907D1" w:rsidRPr="00FF756A">
        <w:rPr>
          <w:rFonts w:eastAsia="MS Mincho"/>
          <w:sz w:val="22"/>
          <w:szCs w:val="22"/>
          <w:lang w:eastAsia="sq-AL"/>
        </w:rPr>
        <w:t>en e Q</w:t>
      </w:r>
      <w:r w:rsidRPr="00FF756A">
        <w:rPr>
          <w:rFonts w:eastAsia="MS Mincho"/>
          <w:sz w:val="22"/>
          <w:szCs w:val="22"/>
          <w:lang w:eastAsia="sq-AL"/>
        </w:rPr>
        <w:t>everisjes dhe elemente të tjera të kuadrit të politikës klimatike të BE-së dhe miratimi</w:t>
      </w:r>
      <w:r w:rsidR="00C907D1" w:rsidRPr="00FF756A">
        <w:rPr>
          <w:rFonts w:eastAsia="MS Mincho"/>
          <w:sz w:val="22"/>
          <w:szCs w:val="22"/>
          <w:lang w:eastAsia="sq-AL"/>
        </w:rPr>
        <w:t>t të</w:t>
      </w:r>
      <w:r w:rsidRPr="00FF756A">
        <w:rPr>
          <w:rFonts w:eastAsia="MS Mincho"/>
          <w:sz w:val="22"/>
          <w:szCs w:val="22"/>
          <w:lang w:eastAsia="sq-AL"/>
        </w:rPr>
        <w:t xml:space="preserve"> tyre pa vonesa të mëtejshme.</w:t>
      </w:r>
    </w:p>
    <w:p w14:paraId="695546FB" w14:textId="77777777" w:rsidR="006768E4" w:rsidRPr="00FF756A" w:rsidRDefault="006768E4" w:rsidP="006768E4">
      <w:pPr>
        <w:pStyle w:val="Text1"/>
        <w:spacing w:before="40" w:after="40"/>
        <w:ind w:left="0"/>
        <w:jc w:val="lowKashida"/>
        <w:rPr>
          <w:rFonts w:eastAsia="MS Mincho"/>
          <w:sz w:val="22"/>
          <w:szCs w:val="22"/>
          <w:lang w:eastAsia="sq-AL"/>
        </w:rPr>
      </w:pPr>
    </w:p>
    <w:p w14:paraId="754018F5" w14:textId="39DE3110" w:rsidR="006768E4" w:rsidRPr="00FF756A" w:rsidRDefault="006768E4" w:rsidP="006768E4">
      <w:pPr>
        <w:pStyle w:val="Text1"/>
        <w:spacing w:before="40" w:after="40"/>
        <w:ind w:left="0"/>
        <w:jc w:val="lowKashida"/>
        <w:rPr>
          <w:rFonts w:eastAsia="MS Mincho"/>
          <w:sz w:val="22"/>
          <w:szCs w:val="22"/>
          <w:lang w:eastAsia="sq-AL"/>
        </w:rPr>
      </w:pPr>
      <w:r w:rsidRPr="00FF756A">
        <w:rPr>
          <w:rFonts w:eastAsia="MS Mincho"/>
          <w:sz w:val="22"/>
          <w:szCs w:val="22"/>
          <w:lang w:eastAsia="sq-AL"/>
        </w:rPr>
        <w:t xml:space="preserve">Shqipëria </w:t>
      </w:r>
      <w:r w:rsidR="00C907D1" w:rsidRPr="00FF756A">
        <w:rPr>
          <w:rFonts w:eastAsia="MS Mincho"/>
          <w:sz w:val="22"/>
          <w:szCs w:val="22"/>
          <w:lang w:eastAsia="sq-AL"/>
        </w:rPr>
        <w:t xml:space="preserve">i </w:t>
      </w:r>
      <w:r w:rsidRPr="00FF756A">
        <w:rPr>
          <w:rFonts w:eastAsia="MS Mincho"/>
          <w:sz w:val="22"/>
          <w:szCs w:val="22"/>
          <w:lang w:eastAsia="sq-AL"/>
        </w:rPr>
        <w:t xml:space="preserve">ka përmbushur rregullisht detyrimet e saj si një Palë jo Aneks 1 ndaj UNFCCC duke dorëzuar </w:t>
      </w:r>
      <w:r w:rsidR="00271DC7" w:rsidRPr="00FF756A">
        <w:rPr>
          <w:rFonts w:eastAsia="MS Mincho"/>
          <w:sz w:val="22"/>
          <w:szCs w:val="22"/>
          <w:lang w:eastAsia="sq-AL"/>
        </w:rPr>
        <w:t xml:space="preserve">me sukses </w:t>
      </w:r>
      <w:r w:rsidRPr="00FF756A">
        <w:rPr>
          <w:rFonts w:eastAsia="MS Mincho"/>
          <w:sz w:val="22"/>
          <w:szCs w:val="22"/>
          <w:lang w:eastAsia="sq-AL"/>
        </w:rPr>
        <w:t xml:space="preserve">deri tani katër Komunikime Kombëtare (në 2002, 2009, 2016 dhe 2022) dhe Raportin e Parë </w:t>
      </w:r>
      <w:r w:rsidR="00271DC7" w:rsidRPr="00FF756A">
        <w:rPr>
          <w:rFonts w:eastAsia="MS Mincho"/>
          <w:sz w:val="22"/>
          <w:szCs w:val="22"/>
          <w:lang w:eastAsia="sq-AL"/>
        </w:rPr>
        <w:t xml:space="preserve">Bienal të </w:t>
      </w:r>
      <w:r w:rsidRPr="00FF756A">
        <w:rPr>
          <w:rFonts w:eastAsia="MS Mincho"/>
          <w:sz w:val="22"/>
          <w:szCs w:val="22"/>
          <w:lang w:eastAsia="sq-AL"/>
        </w:rPr>
        <w:t>Përditësu</w:t>
      </w:r>
      <w:r w:rsidR="00271DC7" w:rsidRPr="00FF756A">
        <w:rPr>
          <w:rFonts w:eastAsia="MS Mincho"/>
          <w:sz w:val="22"/>
          <w:szCs w:val="22"/>
          <w:lang w:eastAsia="sq-AL"/>
        </w:rPr>
        <w:t xml:space="preserve">ar </w:t>
      </w:r>
      <w:r w:rsidRPr="00FF756A">
        <w:rPr>
          <w:rFonts w:eastAsia="MS Mincho"/>
          <w:sz w:val="22"/>
          <w:szCs w:val="22"/>
          <w:lang w:eastAsia="sq-AL"/>
        </w:rPr>
        <w:t>në 2021.</w:t>
      </w:r>
    </w:p>
    <w:p w14:paraId="61E71F58" w14:textId="77777777" w:rsidR="006768E4" w:rsidRPr="00FF756A" w:rsidRDefault="006768E4" w:rsidP="006768E4">
      <w:pPr>
        <w:pStyle w:val="Text1"/>
        <w:spacing w:before="40" w:after="40"/>
        <w:ind w:left="0"/>
        <w:jc w:val="lowKashida"/>
        <w:rPr>
          <w:rFonts w:eastAsia="MS Mincho"/>
          <w:sz w:val="22"/>
          <w:szCs w:val="22"/>
          <w:lang w:eastAsia="sq-AL"/>
        </w:rPr>
      </w:pPr>
    </w:p>
    <w:p w14:paraId="370A7820" w14:textId="151857A5" w:rsidR="006768E4" w:rsidRPr="00FF756A" w:rsidRDefault="006768E4" w:rsidP="006768E4">
      <w:pPr>
        <w:pStyle w:val="Text1"/>
        <w:spacing w:before="40" w:after="40"/>
        <w:ind w:left="0"/>
        <w:jc w:val="lowKashida"/>
        <w:rPr>
          <w:rFonts w:eastAsia="MS Mincho"/>
          <w:sz w:val="22"/>
          <w:szCs w:val="22"/>
          <w:lang w:eastAsia="sq-AL"/>
        </w:rPr>
      </w:pPr>
      <w:r w:rsidRPr="00FF756A">
        <w:rPr>
          <w:rFonts w:eastAsia="MS Mincho"/>
          <w:sz w:val="22"/>
          <w:szCs w:val="22"/>
          <w:lang w:eastAsia="sq-AL"/>
        </w:rPr>
        <w:lastRenderedPageBreak/>
        <w:t>Ligji nr.2/2023 “Për gazrat e fluorizuar” synon të kontrollojë dhe të reduktojë përdorimin e gazeve të fluorizuar, të cilët janë gazra të fuqishëm serë. Duke rregulluar reduktimin e këtyre substancave, ligji plotëson politikat ekzistuese të klimës dhe energjisë, duke kontribuar në reduktimin e përgjithshëm të emetimeve.</w:t>
      </w:r>
    </w:p>
    <w:p w14:paraId="5DB24706" w14:textId="77777777" w:rsidR="006768E4" w:rsidRPr="00FF756A" w:rsidRDefault="006768E4" w:rsidP="006768E4">
      <w:pPr>
        <w:pStyle w:val="Text1"/>
        <w:spacing w:before="40" w:after="40" w:line="276" w:lineRule="auto"/>
        <w:ind w:left="0"/>
        <w:jc w:val="lowKashida"/>
        <w:rPr>
          <w:rFonts w:eastAsia="MS Mincho"/>
          <w:sz w:val="22"/>
          <w:szCs w:val="22"/>
          <w:lang w:eastAsia="sq-AL"/>
        </w:rPr>
      </w:pPr>
    </w:p>
    <w:p w14:paraId="35EC0019" w14:textId="630569DF" w:rsidR="00614C95" w:rsidRPr="00FF756A" w:rsidRDefault="006768E4" w:rsidP="006768E4">
      <w:pPr>
        <w:pStyle w:val="Text1"/>
        <w:spacing w:before="40" w:after="40" w:line="276" w:lineRule="auto"/>
        <w:ind w:left="0"/>
        <w:jc w:val="lowKashida"/>
        <w:rPr>
          <w:rFonts w:eastAsia="MS Mincho"/>
          <w:sz w:val="22"/>
          <w:szCs w:val="22"/>
          <w:lang w:eastAsia="en-US"/>
        </w:rPr>
      </w:pPr>
      <w:r w:rsidRPr="00FF756A">
        <w:rPr>
          <w:rFonts w:eastAsia="MS Mincho"/>
          <w:sz w:val="22"/>
          <w:szCs w:val="22"/>
          <w:lang w:eastAsia="sq-AL"/>
        </w:rPr>
        <w:t>Ministria e Turizmit dhe Mjedisit ka nisur procesin e ndryshimit të ligjit kombëtar për ndryshimet klimatike për të qenë në përputhje me pjesët përkatëse të Direktivës ETS të përditësuar (Direktiva 2003/87/EC) me qëllim krijimi</w:t>
      </w:r>
      <w:r w:rsidR="004A3AE1" w:rsidRPr="00FF756A">
        <w:rPr>
          <w:rFonts w:eastAsia="MS Mincho"/>
          <w:sz w:val="22"/>
          <w:szCs w:val="22"/>
          <w:lang w:eastAsia="sq-AL"/>
        </w:rPr>
        <w:t xml:space="preserve">n e </w:t>
      </w:r>
      <w:r w:rsidRPr="00FF756A">
        <w:rPr>
          <w:rFonts w:eastAsia="MS Mincho"/>
          <w:sz w:val="22"/>
          <w:szCs w:val="22"/>
          <w:lang w:eastAsia="sq-AL"/>
        </w:rPr>
        <w:t>bazës së nevojshme ligjore për MRVA</w:t>
      </w:r>
      <w:r w:rsidR="004A1D17" w:rsidRPr="00FF756A">
        <w:rPr>
          <w:rFonts w:eastAsia="MS Mincho"/>
          <w:sz w:val="22"/>
          <w:szCs w:val="22"/>
          <w:lang w:eastAsia="sq-AL"/>
        </w:rPr>
        <w:t>-të</w:t>
      </w:r>
      <w:r w:rsidRPr="00FF756A">
        <w:rPr>
          <w:rFonts w:eastAsia="MS Mincho"/>
          <w:sz w:val="22"/>
          <w:szCs w:val="22"/>
          <w:lang w:eastAsia="sq-AL"/>
        </w:rPr>
        <w:t>. Për më tepër, aktet nënligjore do të përputhen me</w:t>
      </w:r>
      <w:r w:rsidR="004A1D17" w:rsidRPr="00FF756A">
        <w:rPr>
          <w:rFonts w:eastAsia="MS Mincho"/>
          <w:sz w:val="22"/>
          <w:szCs w:val="22"/>
          <w:lang w:eastAsia="sq-AL"/>
        </w:rPr>
        <w:t>:</w:t>
      </w:r>
      <w:r w:rsidR="008D3049" w:rsidRPr="00FF756A">
        <w:rPr>
          <w:rFonts w:eastAsia="MS Mincho"/>
          <w:sz w:val="22"/>
          <w:szCs w:val="22"/>
          <w:lang w:eastAsia="sq-AL"/>
        </w:rPr>
        <w:t xml:space="preserve"> </w:t>
      </w:r>
      <w:r w:rsidR="004A1D17" w:rsidRPr="00FF756A">
        <w:rPr>
          <w:rFonts w:eastAsia="MS Mincho"/>
          <w:sz w:val="22"/>
          <w:szCs w:val="22"/>
          <w:lang w:eastAsia="sq-AL"/>
        </w:rPr>
        <w:t>i)</w:t>
      </w:r>
      <w:r w:rsidRPr="00FF756A">
        <w:rPr>
          <w:rFonts w:eastAsia="MS Mincho"/>
          <w:sz w:val="22"/>
          <w:szCs w:val="22"/>
          <w:lang w:eastAsia="sq-AL"/>
        </w:rPr>
        <w:t xml:space="preserve"> rregulloren MRR (Rregullorja Implementuese e Komisionit (BE) 2018/2066 për monitorimin dhe raportimin e emetimeve të gazeve serrë); </w:t>
      </w:r>
      <w:r w:rsidR="008D3049" w:rsidRPr="00FF756A">
        <w:rPr>
          <w:rFonts w:eastAsia="MS Mincho"/>
          <w:sz w:val="22"/>
          <w:szCs w:val="22"/>
          <w:lang w:eastAsia="sq-AL"/>
        </w:rPr>
        <w:t>ii</w:t>
      </w:r>
      <w:r w:rsidRPr="00FF756A">
        <w:rPr>
          <w:rFonts w:eastAsia="MS Mincho"/>
          <w:sz w:val="22"/>
          <w:szCs w:val="22"/>
          <w:lang w:eastAsia="sq-AL"/>
        </w:rPr>
        <w:t>) Rregullorja AVR (Rregullorja (BE) 2018/2067 për verifikimin e të dhënave dhe për akreditimin e verifikuesve, me qëllim vendosjen e kuadrit të nevojshëm rregullator për futjen e çmimit të karbonit.</w:t>
      </w:r>
    </w:p>
    <w:p w14:paraId="49FDB936" w14:textId="3E8C83DD" w:rsidR="006F4FCD" w:rsidRPr="00FF756A" w:rsidRDefault="006F4FCD" w:rsidP="00A1039E">
      <w:pPr>
        <w:pStyle w:val="Text1"/>
        <w:spacing w:before="40" w:after="40" w:line="276" w:lineRule="auto"/>
        <w:ind w:left="0"/>
        <w:jc w:val="lowKashida"/>
        <w:rPr>
          <w:rFonts w:eastAsia="MS Mincho"/>
          <w:sz w:val="22"/>
          <w:szCs w:val="22"/>
        </w:rPr>
      </w:pPr>
      <w:r w:rsidRPr="00FF756A">
        <w:rPr>
          <w:sz w:val="22"/>
          <w:szCs w:val="22"/>
        </w:rPr>
        <w:t>Ligji për burimet e rinovueshme të energjisë (BRE) nr. 24/2023 “Për nxitjen e përdorimit të energjisë nga burimet e rinovueshme” ka transpozuar pjesërisht Direktivën e Energjisë së Rinovueshme (BE) 2018/2001.</w:t>
      </w:r>
    </w:p>
    <w:p w14:paraId="7E622723" w14:textId="6A3A1F7C" w:rsidR="006F4FCD" w:rsidRPr="00FF756A" w:rsidRDefault="006F4FCD" w:rsidP="00A1039E">
      <w:pPr>
        <w:pStyle w:val="Text1"/>
        <w:spacing w:before="40" w:after="40" w:line="276" w:lineRule="auto"/>
        <w:ind w:left="0"/>
        <w:jc w:val="lowKashida"/>
        <w:rPr>
          <w:rFonts w:eastAsia="MS Mincho"/>
          <w:sz w:val="22"/>
          <w:szCs w:val="22"/>
        </w:rPr>
      </w:pPr>
      <w:r w:rsidRPr="00FF756A">
        <w:rPr>
          <w:sz w:val="22"/>
          <w:szCs w:val="22"/>
        </w:rPr>
        <w:t>Ligji i miratuar nga Kuvendi i Shqipërisë më 14 prill 2023, u botua në Fletoren Zyrtare nr. 64 të datës 14.4.2023 dhe hyri në fuqi 15 ditë pas botimit të tij. Ligji përcakton kuadrin ligjor për nxitjen e përdorimit të energjisë së prodhuar nga burimet e rinovueshme, objektivat e detyrueshme kombëtare dhe detyrimet e raportimit në lidhje me përqindjen e energjisë nga burimet e rinovueshme në konsumin final bruto të energjisë, rregullat për informimin, statistikat, certifikimin, mekanizmat e bashkëpunimit, mbështetjen, rregullat në lidhje me aksesin dhe operimin e rrjeteve për burimet e rinovueshme të energjisë dhe lidhjen e tyre me rrjetin e energjisë elektrike, rregullat për dhënien, transferimin dhe anulimin e garancive të origjinës për energjinë e prodhuar nga burimet e rinovueshme, si dhe rregullat për integrimin e vetë-konsumatorëve nga komunitetet e energjisë së rinovueshme dhe energjisë në sektorin e energjisë elektrike. Ligji rishikoi skemat e mbështetjes për përdorimin e burimeve të rinovueshme të energjisë, shfuqizoi sistemin e tarifave “feed-in”, prezantoi skemat e reja të ankandeve në përputhje me Direktivën (BE) 2018/2001, parashikoi krijimin e Operatorit të Energjisë së Rinovueshme dhe ngriti skemën e faturimit neto vjetor për vetë-konsumatorët (prodhues-konsumatorët) duke zëvendësuar skemën e mëparshme të matjes neto mujore.</w:t>
      </w:r>
    </w:p>
    <w:p w14:paraId="1555B665" w14:textId="77777777" w:rsidR="00A1039E" w:rsidRPr="00FF756A" w:rsidRDefault="00A1039E" w:rsidP="00A1039E">
      <w:pPr>
        <w:pStyle w:val="Text1"/>
        <w:spacing w:before="40" w:after="40" w:line="276" w:lineRule="auto"/>
        <w:ind w:left="0"/>
        <w:jc w:val="lowKashida"/>
        <w:rPr>
          <w:rFonts w:eastAsia="MS Mincho"/>
          <w:sz w:val="22"/>
          <w:szCs w:val="22"/>
          <w:lang w:eastAsia="en-US"/>
        </w:rPr>
      </w:pPr>
    </w:p>
    <w:p w14:paraId="719DE594" w14:textId="100350A9" w:rsidR="006F4FCD" w:rsidRPr="00FF756A" w:rsidRDefault="006F4FCD" w:rsidP="00A1039E">
      <w:pPr>
        <w:spacing w:before="40" w:after="40"/>
      </w:pPr>
      <w:r w:rsidRPr="00FF756A">
        <w:t xml:space="preserve">Përmbledhje e legjislacionit shqiptar:  </w:t>
      </w:r>
    </w:p>
    <w:p w14:paraId="517D620A" w14:textId="226E01AA" w:rsidR="006F4FCD" w:rsidRPr="00FF756A" w:rsidRDefault="006F4FCD">
      <w:pPr>
        <w:numPr>
          <w:ilvl w:val="0"/>
          <w:numId w:val="43"/>
        </w:numPr>
        <w:pBdr>
          <w:top w:val="none" w:sz="0" w:space="0" w:color="auto"/>
          <w:left w:val="none" w:sz="0" w:space="0" w:color="auto"/>
          <w:bottom w:val="none" w:sz="0" w:space="0" w:color="auto"/>
          <w:right w:val="none" w:sz="0" w:space="0" w:color="auto"/>
          <w:between w:val="none" w:sz="0" w:space="0" w:color="auto"/>
        </w:pBdr>
        <w:spacing w:before="40" w:after="40"/>
      </w:pPr>
      <w:r w:rsidRPr="00FF756A">
        <w:t>Ligji nr. 24/2023, datë 23.3.2023, “Për nxitjen e përdorimit të burimeve të rinovueshme”</w:t>
      </w:r>
      <w:r w:rsidR="00FD2D54" w:rsidRPr="00FF756A">
        <w:t>;</w:t>
      </w:r>
    </w:p>
    <w:p w14:paraId="5226FC76" w14:textId="39321348" w:rsidR="006F4FCD" w:rsidRPr="00FF756A" w:rsidRDefault="006F4FCD">
      <w:pPr>
        <w:numPr>
          <w:ilvl w:val="0"/>
          <w:numId w:val="43"/>
        </w:numPr>
        <w:pBdr>
          <w:top w:val="none" w:sz="0" w:space="0" w:color="auto"/>
          <w:left w:val="none" w:sz="0" w:space="0" w:color="auto"/>
          <w:bottom w:val="none" w:sz="0" w:space="0" w:color="auto"/>
          <w:right w:val="none" w:sz="0" w:space="0" w:color="auto"/>
          <w:between w:val="none" w:sz="0" w:space="0" w:color="auto"/>
        </w:pBdr>
        <w:spacing w:before="40" w:after="40"/>
      </w:pPr>
      <w:r w:rsidRPr="00FF756A">
        <w:t>VKM nr. 480, datë 31.7.2018, “Për miratimin e Strategjisë Kombëtare të Energjisë 2018-2030”</w:t>
      </w:r>
      <w:r w:rsidR="00646364" w:rsidRPr="00FF756A">
        <w:t>;</w:t>
      </w:r>
    </w:p>
    <w:p w14:paraId="3CB02B1C" w14:textId="66957330" w:rsidR="006F4FCD" w:rsidRPr="00FF756A" w:rsidRDefault="006F4FCD">
      <w:pPr>
        <w:numPr>
          <w:ilvl w:val="0"/>
          <w:numId w:val="43"/>
        </w:numPr>
        <w:pBdr>
          <w:top w:val="none" w:sz="0" w:space="0" w:color="auto"/>
          <w:left w:val="none" w:sz="0" w:space="0" w:color="auto"/>
          <w:bottom w:val="none" w:sz="0" w:space="0" w:color="auto"/>
          <w:right w:val="none" w:sz="0" w:space="0" w:color="auto"/>
          <w:between w:val="none" w:sz="0" w:space="0" w:color="auto"/>
        </w:pBdr>
        <w:spacing w:before="40" w:after="40"/>
      </w:pPr>
      <w:r w:rsidRPr="00FF756A">
        <w:t>VKM nr. 872, datë 29.12.2021, “Për miratimin e Planit Kombëtar për Energjinë dhe Klimën 2020–2030”;</w:t>
      </w:r>
    </w:p>
    <w:p w14:paraId="4D72AEC2" w14:textId="1442ED47" w:rsidR="006F4FCD" w:rsidRPr="00FF756A" w:rsidRDefault="006F4FCD">
      <w:pPr>
        <w:numPr>
          <w:ilvl w:val="0"/>
          <w:numId w:val="43"/>
        </w:numPr>
        <w:pBdr>
          <w:top w:val="none" w:sz="0" w:space="0" w:color="auto"/>
          <w:left w:val="none" w:sz="0" w:space="0" w:color="auto"/>
          <w:bottom w:val="none" w:sz="0" w:space="0" w:color="auto"/>
          <w:right w:val="none" w:sz="0" w:space="0" w:color="auto"/>
          <w:between w:val="none" w:sz="0" w:space="0" w:color="auto"/>
        </w:pBdr>
        <w:spacing w:before="40" w:after="40"/>
      </w:pPr>
      <w:r w:rsidRPr="00FF756A">
        <w:t>VKM nr. 349, datë 12.6.2018, “Për miratimin e masave mbështetëse për nxitjen e përdorimit të energjisë elektrike nga burimet e rinovueshme të diellit dhe erës, si dhe të procedurave për përzgjedhjen e projekteve për përfitimin e tyre” (i ndryshuar);</w:t>
      </w:r>
    </w:p>
    <w:p w14:paraId="43A71D4C" w14:textId="77777777" w:rsidR="006F4FCD" w:rsidRPr="00FF756A" w:rsidRDefault="006F4FCD">
      <w:pPr>
        <w:numPr>
          <w:ilvl w:val="0"/>
          <w:numId w:val="43"/>
        </w:numPr>
        <w:pBdr>
          <w:top w:val="none" w:sz="0" w:space="0" w:color="auto"/>
          <w:left w:val="none" w:sz="0" w:space="0" w:color="auto"/>
          <w:bottom w:val="none" w:sz="0" w:space="0" w:color="auto"/>
          <w:right w:val="none" w:sz="0" w:space="0" w:color="auto"/>
          <w:between w:val="none" w:sz="0" w:space="0" w:color="auto"/>
        </w:pBdr>
        <w:spacing w:before="40" w:after="40"/>
      </w:pPr>
      <w:r w:rsidRPr="00FF756A">
        <w:t>VKM nr. 687, datë 22.11.2017, “Për miratimin e metodologjisë së përcaktimit të çmimit vjetor të blerjes së energjisë elektrike që do t’u paguhet prodhuesve ekzistues me përparësi”;</w:t>
      </w:r>
    </w:p>
    <w:p w14:paraId="7D1BB7C2" w14:textId="77777777" w:rsidR="006F4FCD" w:rsidRPr="00FF756A" w:rsidRDefault="006F4FCD">
      <w:pPr>
        <w:numPr>
          <w:ilvl w:val="0"/>
          <w:numId w:val="43"/>
        </w:numPr>
        <w:pBdr>
          <w:top w:val="none" w:sz="0" w:space="0" w:color="auto"/>
          <w:left w:val="none" w:sz="0" w:space="0" w:color="auto"/>
          <w:bottom w:val="none" w:sz="0" w:space="0" w:color="auto"/>
          <w:right w:val="none" w:sz="0" w:space="0" w:color="auto"/>
          <w:between w:val="none" w:sz="0" w:space="0" w:color="auto"/>
        </w:pBdr>
        <w:spacing w:before="40" w:after="40"/>
      </w:pPr>
      <w:r w:rsidRPr="00FF756A">
        <w:t>VKM nr. 369, datë 26.4.2017 “Për miratimin e metodologjisë për përcaktimin e çmimit të blerjes së energjisë elektrike të prodhuar nga burimet e vogla të rinovueshme nga dielli dhe era”;</w:t>
      </w:r>
    </w:p>
    <w:p w14:paraId="2B6594CC" w14:textId="77777777" w:rsidR="006F4FCD" w:rsidRPr="00FF756A" w:rsidRDefault="006F4FCD">
      <w:pPr>
        <w:numPr>
          <w:ilvl w:val="0"/>
          <w:numId w:val="43"/>
        </w:numPr>
        <w:pBdr>
          <w:top w:val="none" w:sz="0" w:space="0" w:color="auto"/>
          <w:left w:val="none" w:sz="0" w:space="0" w:color="auto"/>
          <w:bottom w:val="none" w:sz="0" w:space="0" w:color="auto"/>
          <w:right w:val="none" w:sz="0" w:space="0" w:color="auto"/>
          <w:between w:val="none" w:sz="0" w:space="0" w:color="auto"/>
        </w:pBdr>
        <w:spacing w:before="40" w:after="40"/>
      </w:pPr>
      <w:r w:rsidRPr="00FF756A">
        <w:t>VKM nr. 822, datë 7.10.2015, “Për miratimin e rregullave dhe procedurave të ndërtimit të kapaciteteve të reja prodhuese të energjisë elektrike, që nuk janë objekt koncesioni” (i ndryshuar);</w:t>
      </w:r>
    </w:p>
    <w:p w14:paraId="730A31BE" w14:textId="77777777" w:rsidR="006F4FCD" w:rsidRPr="00FF756A" w:rsidRDefault="006F4FCD">
      <w:pPr>
        <w:numPr>
          <w:ilvl w:val="0"/>
          <w:numId w:val="43"/>
        </w:numPr>
        <w:pBdr>
          <w:top w:val="none" w:sz="0" w:space="0" w:color="auto"/>
          <w:left w:val="none" w:sz="0" w:space="0" w:color="auto"/>
          <w:bottom w:val="none" w:sz="0" w:space="0" w:color="auto"/>
          <w:right w:val="none" w:sz="0" w:space="0" w:color="auto"/>
          <w:between w:val="none" w:sz="0" w:space="0" w:color="auto"/>
        </w:pBdr>
        <w:spacing w:before="40" w:after="40"/>
      </w:pPr>
      <w:r w:rsidRPr="00FF756A">
        <w:lastRenderedPageBreak/>
        <w:t>Udhëzimi i MIE-s nr. 3, datë 20.6.2019, “Për miratimin e procedurës së lehtësuar të autorizimit për lidhjen në sistemin e shpërndarjes të projekteve të vogla të rinovueshme për vetëprodhuesit e energjisë elektrike nga dielli”;</w:t>
      </w:r>
    </w:p>
    <w:p w14:paraId="311C38EF" w14:textId="064BF021" w:rsidR="001526F0" w:rsidRPr="00FF756A" w:rsidRDefault="006F4FCD">
      <w:pPr>
        <w:numPr>
          <w:ilvl w:val="0"/>
          <w:numId w:val="43"/>
        </w:numPr>
        <w:pBdr>
          <w:top w:val="none" w:sz="0" w:space="0" w:color="auto"/>
          <w:left w:val="none" w:sz="0" w:space="0" w:color="auto"/>
          <w:bottom w:val="none" w:sz="0" w:space="0" w:color="auto"/>
          <w:right w:val="none" w:sz="0" w:space="0" w:color="auto"/>
          <w:between w:val="none" w:sz="0" w:space="0" w:color="auto"/>
        </w:pBdr>
        <w:spacing w:before="40" w:after="40"/>
      </w:pPr>
      <w:r w:rsidRPr="00FF756A">
        <w:t>Vendimi i Bordit të ERE-s nr. 229, datë 20.12.2019, “Për miratimin e rregullores për lëshimin, transferimin dhe anulimin e garancive të origjinës për energjinë elektrike të prodhuar nga burimet e rinovueshme”;</w:t>
      </w:r>
    </w:p>
    <w:p w14:paraId="2F67F514" w14:textId="61BB8B31" w:rsidR="00DA2EDE" w:rsidRPr="00FF756A" w:rsidRDefault="00DA2EDE" w:rsidP="00A1039E">
      <w:pPr>
        <w:pBdr>
          <w:left w:val="none" w:sz="4" w:space="8" w:color="000000"/>
        </w:pBdr>
        <w:autoSpaceDE w:val="0"/>
        <w:autoSpaceDN w:val="0"/>
        <w:adjustRightInd w:val="0"/>
        <w:spacing w:before="40" w:after="40"/>
      </w:pPr>
      <w:r w:rsidRPr="00FF756A">
        <w:t xml:space="preserve">Strategjia e Energjisë trajton ligjet, rregulloret dhe reformat e reja institucionale që po zhvillohen aktualisht në Shqipëri, duke përfshirë nxitjet për EE-në dhe BRE-në, reformën e tarifës së energjisë elektrike, zhvillimin e tregut dhe integrimin me tregun e BE-së dhe tregjet rajonale. </w:t>
      </w:r>
    </w:p>
    <w:p w14:paraId="39EAE5D0" w14:textId="77777777" w:rsidR="00AC718B" w:rsidRPr="00FF756A" w:rsidRDefault="00AC718B" w:rsidP="00A1039E">
      <w:pPr>
        <w:pBdr>
          <w:left w:val="none" w:sz="4" w:space="8" w:color="000000"/>
        </w:pBdr>
        <w:autoSpaceDE w:val="0"/>
        <w:autoSpaceDN w:val="0"/>
        <w:adjustRightInd w:val="0"/>
        <w:spacing w:before="40" w:after="40"/>
      </w:pPr>
    </w:p>
    <w:p w14:paraId="7283667F" w14:textId="32CBBE8A" w:rsidR="00C23DA0" w:rsidRPr="00FF756A" w:rsidRDefault="00DA2EDE" w:rsidP="008639B2">
      <w:pPr>
        <w:pStyle w:val="Heading4"/>
        <w:numPr>
          <w:ilvl w:val="3"/>
          <w:numId w:val="54"/>
        </w:numPr>
        <w:pBdr>
          <w:left w:val="none" w:sz="4" w:space="8" w:color="000000"/>
        </w:pBdr>
        <w:rPr>
          <w:rFonts w:cs="Times New Roman"/>
          <w:sz w:val="24"/>
          <w:szCs w:val="24"/>
        </w:rPr>
      </w:pPr>
      <w:bookmarkStart w:id="46" w:name="_Toc183639178"/>
      <w:r w:rsidRPr="00FF756A">
        <w:rPr>
          <w:rFonts w:cs="Times New Roman"/>
          <w:sz w:val="24"/>
          <w:szCs w:val="24"/>
        </w:rPr>
        <w:t>Dimensioni i efiçencës së energjisë</w:t>
      </w:r>
      <w:bookmarkEnd w:id="46"/>
      <w:r w:rsidRPr="00FF756A">
        <w:rPr>
          <w:rFonts w:cs="Times New Roman"/>
          <w:sz w:val="24"/>
          <w:szCs w:val="24"/>
        </w:rPr>
        <w:t xml:space="preserve"> </w:t>
      </w:r>
    </w:p>
    <w:p w14:paraId="72FD50D4" w14:textId="5BDE073D" w:rsidR="00FF0B0B" w:rsidRPr="00FF756A" w:rsidRDefault="00B179B8" w:rsidP="00A1039E">
      <w:pPr>
        <w:pBdr>
          <w:left w:val="none" w:sz="4" w:space="8" w:color="000000"/>
        </w:pBdr>
        <w:autoSpaceDE w:val="0"/>
        <w:autoSpaceDN w:val="0"/>
        <w:adjustRightInd w:val="0"/>
        <w:spacing w:before="40" w:after="40"/>
      </w:pPr>
      <w:r w:rsidRPr="00FF756A">
        <w:t xml:space="preserve">Qeveria shqiptare ka përfshirë efiçencën e energjisë në prioritetet e saj që nga viti 2018 dhe pritet përparim i konsiderueshëm gjatë viteve të ardhshme. Legjislacioni për efiçencën e energjisë, performancën e energjisë së ndërtesave dhe etiketimin e energjisë për produktet me ndikim në energji është në fuqi </w:t>
      </w:r>
      <w:r w:rsidR="00FA2E0E" w:rsidRPr="00FF756A">
        <w:t>sips referenca</w:t>
      </w:r>
      <w:r w:rsidR="0073195A" w:rsidRPr="00FF756A">
        <w:t xml:space="preserve">ve </w:t>
      </w:r>
      <w:r w:rsidRPr="00FF756A">
        <w:t>më poshtë:</w:t>
      </w:r>
    </w:p>
    <w:p w14:paraId="61848391" w14:textId="7EFF4AE6" w:rsidR="00B179B8" w:rsidRPr="00FF756A" w:rsidRDefault="00B179B8">
      <w:pPr>
        <w:pStyle w:val="ListParagraph"/>
        <w:numPr>
          <w:ilvl w:val="0"/>
          <w:numId w:val="44"/>
        </w:numPr>
        <w:pBdr>
          <w:top w:val="none" w:sz="0" w:space="0" w:color="auto"/>
          <w:left w:val="none" w:sz="0" w:space="0" w:color="auto"/>
          <w:bottom w:val="none" w:sz="0" w:space="0" w:color="auto"/>
          <w:right w:val="none" w:sz="0" w:space="0" w:color="auto"/>
          <w:between w:val="none" w:sz="0" w:space="0" w:color="auto"/>
        </w:pBdr>
        <w:spacing w:before="40" w:after="40"/>
        <w:ind w:right="391"/>
        <w:contextualSpacing w:val="0"/>
      </w:pPr>
      <w:r w:rsidRPr="00FF756A">
        <w:t>Ligji nr. 124/2015 “Për efiçencën e energjisë”, i ndryshuar me ligjin 28/2021</w:t>
      </w:r>
    </w:p>
    <w:p w14:paraId="33B84990" w14:textId="77777777" w:rsidR="00B179B8" w:rsidRPr="00FF756A" w:rsidRDefault="00B179B8">
      <w:pPr>
        <w:pStyle w:val="ListParagraph"/>
        <w:numPr>
          <w:ilvl w:val="0"/>
          <w:numId w:val="44"/>
        </w:numPr>
        <w:pBdr>
          <w:top w:val="none" w:sz="0" w:space="0" w:color="auto"/>
          <w:left w:val="none" w:sz="0" w:space="0" w:color="auto"/>
          <w:bottom w:val="none" w:sz="0" w:space="0" w:color="auto"/>
          <w:right w:val="none" w:sz="0" w:space="0" w:color="auto"/>
          <w:between w:val="none" w:sz="0" w:space="0" w:color="auto"/>
        </w:pBdr>
        <w:spacing w:before="40" w:after="40"/>
        <w:ind w:right="391"/>
        <w:contextualSpacing w:val="0"/>
      </w:pPr>
      <w:r w:rsidRPr="00FF756A">
        <w:t>Ligji nr. 116/2016, “Për performancën e energjisë së ndërtesave”</w:t>
      </w:r>
    </w:p>
    <w:p w14:paraId="40D20855" w14:textId="25562912" w:rsidR="00E54DA7" w:rsidRPr="00FF756A" w:rsidRDefault="00B179B8">
      <w:pPr>
        <w:pStyle w:val="ListParagraph"/>
        <w:numPr>
          <w:ilvl w:val="0"/>
          <w:numId w:val="44"/>
        </w:numPr>
        <w:pBdr>
          <w:top w:val="none" w:sz="0" w:space="0" w:color="auto"/>
          <w:left w:val="none" w:sz="0" w:space="0" w:color="auto"/>
          <w:bottom w:val="none" w:sz="0" w:space="0" w:color="auto"/>
          <w:right w:val="none" w:sz="0" w:space="0" w:color="auto"/>
          <w:between w:val="none" w:sz="0" w:space="0" w:color="auto"/>
        </w:pBdr>
        <w:spacing w:before="40" w:after="40"/>
        <w:ind w:right="391"/>
        <w:contextualSpacing w:val="0"/>
      </w:pPr>
      <w:r w:rsidRPr="00FF756A">
        <w:t>Ligji nr. 52/2014 “Për etiketimin e energjisë për produktet me ndikim në energji”</w:t>
      </w:r>
    </w:p>
    <w:p w14:paraId="393C7CB3" w14:textId="6FC88E9E" w:rsidR="00DB5785" w:rsidRPr="00FF756A" w:rsidRDefault="00C23DA0" w:rsidP="00A1039E">
      <w:pPr>
        <w:pBdr>
          <w:left w:val="none" w:sz="4" w:space="8" w:color="000000"/>
        </w:pBdr>
        <w:autoSpaceDE w:val="0"/>
        <w:autoSpaceDN w:val="0"/>
        <w:adjustRightInd w:val="0"/>
        <w:spacing w:before="40" w:after="40"/>
      </w:pPr>
      <w:r w:rsidRPr="00FF756A">
        <w:t xml:space="preserve">Kuadri ligjor i lartpërmendur përcakton të gjitha kërkesat dhe domosdoshmëritë për përmbushjen e detyrimeve të përcaktuara nga direktivat përkatëse të BE-së me të cilat është harmonizuar, pjesërisht apo tërësisht, legjislacioni. Ky legjislacion është përputhje me objektivat e Strategjisë Kombëtare të Energjisë 2018-2030 (VKM nr.480 dt 31.7.2018) dhe me Planin e parë Kombëtar për Energjinë dhe Klimën 2020-2030 (VKM nr. 872, datë 29.12.2021). Ligji “Për efiçencën e energjisë” dhe Ligji “Për performancën e energjisë së ndërtesave” parashikojnë Agjencinë për Efiçencën e Energjisë si institucionin kryesor përgjegjës për zbatimin e tyre, ndërsa ligji “Për etiketimin e energjisë për produktet me ndikim në energji” parashikon Inspektoratin Shtetëror të Mbikëqyrjes së Tregut si aktorin kryesor përgjegjës për zbatimin e tij. Të dyja këto institucione janë të plotësuara me staf dhe funksionale, me përgjegjësi të përcaktuara qartë në legjislacionet përkatëse përgjegjëse për </w:t>
      </w:r>
      <w:r w:rsidR="003D1F60" w:rsidRPr="00FF756A">
        <w:t>krijimin</w:t>
      </w:r>
      <w:r w:rsidRPr="00FF756A">
        <w:t xml:space="preserve"> e tyre.</w:t>
      </w:r>
    </w:p>
    <w:p w14:paraId="10B114AA" w14:textId="71A28FB5" w:rsidR="000D09CD" w:rsidRPr="00FF756A" w:rsidRDefault="002A3944" w:rsidP="00A1039E">
      <w:pPr>
        <w:pBdr>
          <w:left w:val="none" w:sz="4" w:space="8" w:color="000000"/>
        </w:pBdr>
        <w:autoSpaceDE w:val="0"/>
        <w:autoSpaceDN w:val="0"/>
        <w:adjustRightInd w:val="0"/>
        <w:spacing w:before="40" w:after="40"/>
      </w:pPr>
      <w:r w:rsidRPr="00FF756A">
        <w:t>Ligji për eko-dizajnin, i cili do të krijojë një kuadër për përcaktimin e kërkesave të eko-dizajnit për produktet me ndikim në energji, nuk është transpozuar ende dhe aktualisht është planifikuar për vitin 2025.</w:t>
      </w:r>
    </w:p>
    <w:p w14:paraId="47B6A546" w14:textId="77777777" w:rsidR="00DB5785" w:rsidRPr="00FF756A" w:rsidRDefault="00DB5785" w:rsidP="00A1039E">
      <w:pPr>
        <w:spacing w:before="40" w:after="40"/>
      </w:pPr>
    </w:p>
    <w:p w14:paraId="0F0A1BC9" w14:textId="078234AF" w:rsidR="00B10C9C" w:rsidRPr="00FF756A" w:rsidRDefault="00B10C9C" w:rsidP="00A1039E">
      <w:pPr>
        <w:spacing w:before="40" w:after="40"/>
      </w:pPr>
      <w:r w:rsidRPr="00FF756A">
        <w:rPr>
          <w:b/>
          <w:bCs/>
        </w:rPr>
        <w:t>Ligji nr. 124/2015, datë 12.11.2015 “Për efiçencën e energjisë”,</w:t>
      </w:r>
      <w:r w:rsidRPr="00FF756A">
        <w:t xml:space="preserve"> i ndryshuar, është harmonizuar plotësisht me Direktivën 2012/27/BE të Parlamentit Evropian dhe të Këshillit, datë 25 tetor 2012 “Për efiçencën e energjisë”, që ndryshon Direktivat 2009/125/KE dhe 2010/30/BE dhe që shfuqizon Direktivat 2004/8/KE dhe 2006/32/KE. Ai rregullon marrëdhëniet midis autoriteteve shtetërore dhe subjekteve publike apo private që operojnë në sektorin rezidencial, të shërbimeve, industrisë, transportit, bujqësisë dhe në të gjithë sektorët e tjerë të ekonomisë, për të nxitur efiçencën e energjisë dhe zhvillimin e tregut të shërbimeve të energjisë. Ministria përgjegjëse për energjinë po punon për ndryshimin e ligjit “Për efiçencën e energjisë” për ta përafruar më tej me ndryshimet e fundit të bëra në versionin e rishikuar të Direktivës për Efiçencën e Energjisë (Direktiva e BE-së 2023/1791).</w:t>
      </w:r>
    </w:p>
    <w:p w14:paraId="162470DA" w14:textId="77777777" w:rsidR="00B10C9C" w:rsidRPr="00FF756A" w:rsidRDefault="00B10C9C" w:rsidP="00A1039E">
      <w:pPr>
        <w:spacing w:before="40" w:after="40"/>
      </w:pPr>
    </w:p>
    <w:p w14:paraId="4E3E45D7" w14:textId="47A5D060" w:rsidR="007C437F" w:rsidRPr="00FF756A" w:rsidRDefault="00E54DA7" w:rsidP="00A1039E">
      <w:pPr>
        <w:spacing w:before="40" w:after="40"/>
      </w:pPr>
      <w:r w:rsidRPr="00FF756A">
        <w:t>Për zbatimin e ligjit nr. 124/2015, datë 12.11.2015, “Për efiçencën e energjisë”, i ndryshuar, u miratuan aktet ligjore si më poshtë:</w:t>
      </w:r>
    </w:p>
    <w:p w14:paraId="65D05B67" w14:textId="13DE5530" w:rsidR="005062E8" w:rsidRPr="00FF756A" w:rsidRDefault="005062E8">
      <w:pPr>
        <w:pStyle w:val="ListParagraph"/>
        <w:numPr>
          <w:ilvl w:val="0"/>
          <w:numId w:val="46"/>
        </w:numPr>
        <w:pBdr>
          <w:top w:val="none" w:sz="0" w:space="0" w:color="auto"/>
          <w:left w:val="none" w:sz="0" w:space="0" w:color="auto"/>
          <w:bottom w:val="none" w:sz="0" w:space="0" w:color="auto"/>
          <w:right w:val="none" w:sz="0" w:space="0" w:color="auto"/>
          <w:between w:val="none" w:sz="0" w:space="0" w:color="auto"/>
        </w:pBdr>
        <w:spacing w:before="40" w:after="40"/>
        <w:contextualSpacing w:val="0"/>
        <w:textAlignment w:val="baseline"/>
        <w:rPr>
          <w:rFonts w:eastAsia="Times New Roman"/>
          <w:color w:val="000000"/>
        </w:rPr>
      </w:pPr>
      <w:bookmarkStart w:id="47" w:name="_Hlk178847274"/>
      <w:r w:rsidRPr="00FF756A">
        <w:t>Vendimi i Këshillit të Ministrave</w:t>
      </w:r>
      <w:r w:rsidRPr="00FF756A">
        <w:rPr>
          <w:color w:val="000000"/>
        </w:rPr>
        <w:t xml:space="preserve"> nr. 852/2016 “Për krijimin dhe mënyrën e organizimit dhe funksionimit të Agjencisë për Efiçencën e Energjisë”;</w:t>
      </w:r>
    </w:p>
    <w:p w14:paraId="27B74EA5" w14:textId="06B99615" w:rsidR="005062E8" w:rsidRPr="00FF756A" w:rsidRDefault="005062E8">
      <w:pPr>
        <w:pStyle w:val="ListParagraph"/>
        <w:numPr>
          <w:ilvl w:val="0"/>
          <w:numId w:val="46"/>
        </w:numPr>
        <w:pBdr>
          <w:top w:val="none" w:sz="0" w:space="0" w:color="auto"/>
          <w:left w:val="none" w:sz="0" w:space="0" w:color="auto"/>
          <w:bottom w:val="none" w:sz="0" w:space="0" w:color="auto"/>
          <w:right w:val="none" w:sz="0" w:space="0" w:color="auto"/>
          <w:between w:val="none" w:sz="0" w:space="0" w:color="auto"/>
        </w:pBdr>
        <w:spacing w:before="40" w:after="40"/>
        <w:contextualSpacing w:val="0"/>
        <w:textAlignment w:val="baseline"/>
        <w:rPr>
          <w:rFonts w:eastAsia="Times New Roman"/>
          <w:color w:val="000000"/>
        </w:rPr>
      </w:pPr>
      <w:r w:rsidRPr="00FF756A">
        <w:lastRenderedPageBreak/>
        <w:t>Vendimi i Këshillit të Ministrave</w:t>
      </w:r>
      <w:r w:rsidRPr="00FF756A">
        <w:rPr>
          <w:color w:val="000000"/>
        </w:rPr>
        <w:t xml:space="preserve"> nr. 342/2019 “Për miratimin e kategorive, kushteve dhe kërkesave të kualifikimit për menaxherin e energjisë”;</w:t>
      </w:r>
    </w:p>
    <w:p w14:paraId="611ECB65" w14:textId="1633307A" w:rsidR="005062E8" w:rsidRPr="00FF756A" w:rsidRDefault="005062E8">
      <w:pPr>
        <w:pStyle w:val="ListParagraph"/>
        <w:numPr>
          <w:ilvl w:val="0"/>
          <w:numId w:val="46"/>
        </w:numPr>
        <w:pBdr>
          <w:top w:val="none" w:sz="0" w:space="0" w:color="auto"/>
          <w:left w:val="none" w:sz="0" w:space="0" w:color="auto"/>
          <w:bottom w:val="none" w:sz="0" w:space="0" w:color="auto"/>
          <w:right w:val="none" w:sz="0" w:space="0" w:color="auto"/>
          <w:between w:val="none" w:sz="0" w:space="0" w:color="auto"/>
        </w:pBdr>
        <w:spacing w:before="40" w:after="40"/>
        <w:contextualSpacing w:val="0"/>
        <w:textAlignment w:val="baseline"/>
        <w:rPr>
          <w:rFonts w:eastAsia="Times New Roman"/>
          <w:color w:val="000000"/>
        </w:rPr>
      </w:pPr>
      <w:r w:rsidRPr="00FF756A">
        <w:t>Vendimi i Këshillit të Ministrave</w:t>
      </w:r>
      <w:r w:rsidRPr="00FF756A">
        <w:rPr>
          <w:color w:val="000000"/>
        </w:rPr>
        <w:t xml:space="preserve"> nr. 407/2019 “Për miratimin e procedurës, kategorive, kushteve dhe kërkesave për kualifikim dhe përvojë profesionale për personin të cilit i është lëshuar certifikata e audituesit të energjisë”;</w:t>
      </w:r>
    </w:p>
    <w:p w14:paraId="6AA5B8F0" w14:textId="0567DDA5" w:rsidR="00F571CA" w:rsidRPr="00FF756A" w:rsidRDefault="005062E8">
      <w:pPr>
        <w:pStyle w:val="ListParagraph"/>
        <w:numPr>
          <w:ilvl w:val="0"/>
          <w:numId w:val="45"/>
        </w:numPr>
        <w:pBdr>
          <w:top w:val="none" w:sz="0" w:space="0" w:color="auto"/>
          <w:left w:val="none" w:sz="0" w:space="0" w:color="auto"/>
          <w:bottom w:val="none" w:sz="0" w:space="0" w:color="auto"/>
          <w:right w:val="none" w:sz="0" w:space="0" w:color="auto"/>
          <w:between w:val="none" w:sz="0" w:space="0" w:color="auto"/>
        </w:pBdr>
        <w:spacing w:before="40" w:after="40"/>
        <w:contextualSpacing w:val="0"/>
      </w:pPr>
      <w:r w:rsidRPr="00FF756A">
        <w:t>Vendimi i Këshillit të Ministrave nr. 189, datë 5.4.2023 “Për miratimin e platformës së monitorimit dhe verifikimit”;</w:t>
      </w:r>
    </w:p>
    <w:p w14:paraId="65662466" w14:textId="77D67ED8" w:rsidR="005062E8" w:rsidRPr="00FF756A" w:rsidRDefault="00F571CA">
      <w:pPr>
        <w:pStyle w:val="ListParagraph"/>
        <w:numPr>
          <w:ilvl w:val="0"/>
          <w:numId w:val="45"/>
        </w:numPr>
        <w:pBdr>
          <w:top w:val="none" w:sz="0" w:space="0" w:color="auto"/>
          <w:left w:val="none" w:sz="0" w:space="0" w:color="auto"/>
          <w:bottom w:val="none" w:sz="0" w:space="0" w:color="auto"/>
          <w:right w:val="none" w:sz="0" w:space="0" w:color="auto"/>
          <w:between w:val="none" w:sz="0" w:space="0" w:color="auto"/>
        </w:pBdr>
        <w:spacing w:before="40" w:after="40"/>
        <w:contextualSpacing w:val="0"/>
      </w:pPr>
      <w:r w:rsidRPr="00FF756A">
        <w:t>VKM nr. 468, datë 17.7.2024: Për përcaktimin e sasisë në përqindje të sipërfaqes së stokut të ndërtesave publike që do të rinovohen çdo vit, kundrejt sipërfaqes totale të stokut të ndërtesave publike ”;</w:t>
      </w:r>
    </w:p>
    <w:p w14:paraId="07DCEB75" w14:textId="34FD9758" w:rsidR="005062E8" w:rsidRPr="00FF756A" w:rsidRDefault="005062E8">
      <w:pPr>
        <w:pStyle w:val="ListParagraph"/>
        <w:numPr>
          <w:ilvl w:val="0"/>
          <w:numId w:val="45"/>
        </w:numPr>
        <w:pBdr>
          <w:top w:val="none" w:sz="0" w:space="0" w:color="auto"/>
          <w:left w:val="none" w:sz="0" w:space="0" w:color="auto"/>
          <w:bottom w:val="none" w:sz="0" w:space="0" w:color="auto"/>
          <w:right w:val="none" w:sz="0" w:space="0" w:color="auto"/>
          <w:between w:val="none" w:sz="0" w:space="0" w:color="auto"/>
        </w:pBdr>
        <w:spacing w:before="40" w:after="40"/>
        <w:contextualSpacing w:val="0"/>
      </w:pPr>
      <w:r w:rsidRPr="00FF756A">
        <w:t>Udhëzimi i Ministrit të Infrastrukturës dhe Energjisë nr. 23, datë 17.10.2022, “Për modelin e kontratës për kontraktimin e performancës së energjisë”;</w:t>
      </w:r>
    </w:p>
    <w:p w14:paraId="0AB899D2" w14:textId="71DD28F4" w:rsidR="005062E8" w:rsidRPr="00FF756A" w:rsidRDefault="005062E8">
      <w:pPr>
        <w:pStyle w:val="ListParagraph"/>
        <w:numPr>
          <w:ilvl w:val="0"/>
          <w:numId w:val="45"/>
        </w:numPr>
        <w:pBdr>
          <w:top w:val="none" w:sz="0" w:space="0" w:color="auto"/>
          <w:left w:val="none" w:sz="0" w:space="0" w:color="auto"/>
          <w:bottom w:val="none" w:sz="0" w:space="0" w:color="auto"/>
          <w:right w:val="none" w:sz="0" w:space="0" w:color="auto"/>
          <w:between w:val="none" w:sz="0" w:space="0" w:color="auto"/>
        </w:pBdr>
        <w:spacing w:before="40" w:after="40"/>
        <w:contextualSpacing w:val="0"/>
      </w:pPr>
      <w:r w:rsidRPr="00FF756A">
        <w:t>Udhëzimi i Ministrit të Infrastrukturës dhe Energjisë nr. 1, datë 27.1.2023, “Për miratimin e formës dhe afateve të paraqitjes së të dhënave dhe informacionit për konsumin e energjisë”;</w:t>
      </w:r>
    </w:p>
    <w:p w14:paraId="7F36F83F" w14:textId="4CE8B1BB" w:rsidR="005062E8" w:rsidRPr="00FF756A" w:rsidRDefault="005062E8">
      <w:pPr>
        <w:pStyle w:val="ListParagraph"/>
        <w:numPr>
          <w:ilvl w:val="0"/>
          <w:numId w:val="45"/>
        </w:numPr>
        <w:pBdr>
          <w:top w:val="none" w:sz="0" w:space="0" w:color="auto"/>
          <w:left w:val="none" w:sz="0" w:space="0" w:color="auto"/>
          <w:bottom w:val="none" w:sz="0" w:space="0" w:color="auto"/>
          <w:right w:val="none" w:sz="0" w:space="0" w:color="auto"/>
          <w:between w:val="none" w:sz="0" w:space="0" w:color="auto"/>
        </w:pBdr>
        <w:spacing w:before="40" w:after="40"/>
        <w:contextualSpacing w:val="0"/>
      </w:pPr>
      <w:r w:rsidRPr="00FF756A">
        <w:t>Udhëzimi i Ministrit të Infrastrukturës dhe Energjisë nr. 2, datë 1.2.2023, “Për elementet, kërkesat dhe parimet e përgjithshme të analizës së kostos dhe përfitimit për vlerësimin e potencialit të aplikimit të kogjenerimit me efiçencë të lartë, si dhe të ngrohjes dhe ftohjes efiçente”;</w:t>
      </w:r>
    </w:p>
    <w:p w14:paraId="31DC7467" w14:textId="5A9E5B30" w:rsidR="005062E8" w:rsidRPr="00FF756A" w:rsidRDefault="005062E8">
      <w:pPr>
        <w:pStyle w:val="ListParagraph"/>
        <w:numPr>
          <w:ilvl w:val="0"/>
          <w:numId w:val="45"/>
        </w:numPr>
        <w:pBdr>
          <w:top w:val="none" w:sz="0" w:space="0" w:color="auto"/>
          <w:left w:val="none" w:sz="0" w:space="0" w:color="auto"/>
          <w:bottom w:val="none" w:sz="0" w:space="0" w:color="auto"/>
          <w:right w:val="none" w:sz="0" w:space="0" w:color="auto"/>
          <w:between w:val="none" w:sz="0" w:space="0" w:color="auto"/>
        </w:pBdr>
        <w:spacing w:before="40" w:after="40"/>
        <w:contextualSpacing w:val="0"/>
      </w:pPr>
      <w:r w:rsidRPr="00FF756A">
        <w:t>Udhëzimi i Ministrit të Infrastrukturës nr. 9, datë 29.5.2023 “Për llojin dhe periodicitetin e informacionit që vihet në dispozicion nga Agjencia për Efiçencën e Energjisë”;</w:t>
      </w:r>
    </w:p>
    <w:p w14:paraId="16E93CF3" w14:textId="5EA5B18D" w:rsidR="005062E8" w:rsidRPr="00FF756A" w:rsidRDefault="005062E8">
      <w:pPr>
        <w:pStyle w:val="ListParagraph"/>
        <w:numPr>
          <w:ilvl w:val="0"/>
          <w:numId w:val="45"/>
        </w:numPr>
        <w:pBdr>
          <w:top w:val="none" w:sz="0" w:space="0" w:color="auto"/>
          <w:left w:val="none" w:sz="0" w:space="0" w:color="auto"/>
          <w:bottom w:val="none" w:sz="0" w:space="0" w:color="auto"/>
          <w:right w:val="none" w:sz="0" w:space="0" w:color="auto"/>
          <w:between w:val="none" w:sz="0" w:space="0" w:color="auto"/>
        </w:pBdr>
        <w:spacing w:before="40" w:after="40"/>
        <w:contextualSpacing w:val="0"/>
        <w:rPr>
          <w:rFonts w:eastAsiaTheme="minorHAnsi"/>
          <w:kern w:val="2"/>
          <w14:ligatures w14:val="standardContextual"/>
        </w:rPr>
      </w:pPr>
      <w:r w:rsidRPr="00FF756A">
        <w:t>Udhëzimi i Ministrit të Infrastrukturës nr. 4/2024 “Për rregullat e përcaktimit të konsumit të energjisë termike”;</w:t>
      </w:r>
    </w:p>
    <w:p w14:paraId="3B4AC54D" w14:textId="4C889A6B" w:rsidR="005062E8" w:rsidRPr="00FF756A" w:rsidRDefault="007C437F">
      <w:pPr>
        <w:pStyle w:val="ListParagraph"/>
        <w:numPr>
          <w:ilvl w:val="0"/>
          <w:numId w:val="45"/>
        </w:numPr>
        <w:pBdr>
          <w:top w:val="none" w:sz="0" w:space="0" w:color="auto"/>
          <w:left w:val="none" w:sz="0" w:space="0" w:color="auto"/>
          <w:bottom w:val="none" w:sz="0" w:space="0" w:color="auto"/>
          <w:right w:val="none" w:sz="0" w:space="0" w:color="auto"/>
          <w:between w:val="none" w:sz="0" w:space="0" w:color="auto"/>
        </w:pBdr>
        <w:spacing w:before="40" w:after="40"/>
        <w:contextualSpacing w:val="0"/>
      </w:pPr>
      <w:r w:rsidRPr="00FF756A">
        <w:t>Urdhri i Ministrit nr. 203, datë 18.10.2022, “Për miratimin e formatit të planeve të veprimit të konsumatorëve të mëdhenj të energjisë dhe raportit vjetor të progresit”;</w:t>
      </w:r>
    </w:p>
    <w:p w14:paraId="33CAB319" w14:textId="5ABC2624" w:rsidR="007C437F" w:rsidRPr="00FF756A" w:rsidRDefault="007C437F">
      <w:pPr>
        <w:pStyle w:val="ListParagraph"/>
        <w:numPr>
          <w:ilvl w:val="0"/>
          <w:numId w:val="45"/>
        </w:numPr>
        <w:pBdr>
          <w:top w:val="none" w:sz="0" w:space="0" w:color="auto"/>
          <w:left w:val="none" w:sz="0" w:space="0" w:color="auto"/>
          <w:bottom w:val="none" w:sz="0" w:space="0" w:color="auto"/>
          <w:right w:val="none" w:sz="0" w:space="0" w:color="auto"/>
          <w:between w:val="none" w:sz="0" w:space="0" w:color="auto"/>
        </w:pBdr>
        <w:spacing w:before="40" w:after="40"/>
        <w:contextualSpacing w:val="0"/>
      </w:pPr>
      <w:r w:rsidRPr="00FF756A">
        <w:t>Urdhri i Ministrit nr. 206, datë 25.10.2022, “Për miratimin e formatit të planeve vendore të veprimit për efiçencën e energjisë dhe raportit të progresit për zbatimin e planeve”;</w:t>
      </w:r>
    </w:p>
    <w:p w14:paraId="4CF9CE32" w14:textId="11105B10" w:rsidR="007C437F" w:rsidRPr="00FF756A" w:rsidRDefault="007C437F">
      <w:pPr>
        <w:pStyle w:val="ListParagraph"/>
        <w:numPr>
          <w:ilvl w:val="0"/>
          <w:numId w:val="45"/>
        </w:numPr>
        <w:pBdr>
          <w:top w:val="none" w:sz="0" w:space="0" w:color="auto"/>
          <w:left w:val="none" w:sz="0" w:space="0" w:color="auto"/>
          <w:bottom w:val="none" w:sz="0" w:space="0" w:color="auto"/>
          <w:right w:val="none" w:sz="0" w:space="0" w:color="auto"/>
          <w:between w:val="none" w:sz="0" w:space="0" w:color="auto"/>
        </w:pBdr>
        <w:spacing w:before="40" w:after="40"/>
        <w:contextualSpacing w:val="0"/>
      </w:pPr>
      <w:r w:rsidRPr="00FF756A">
        <w:t>Urdhri i Ministrit nr. 19, datë 26.1.2024, “Për miratimin e rregullores për organizimin dhe funksionimin e brendshëm të Agjencisë për Efiçencën e Energjisë”;</w:t>
      </w:r>
    </w:p>
    <w:p w14:paraId="3CE18C28" w14:textId="525B4E1B" w:rsidR="007C437F" w:rsidRPr="00FF756A" w:rsidRDefault="007C437F">
      <w:pPr>
        <w:pStyle w:val="ListParagraph"/>
        <w:numPr>
          <w:ilvl w:val="0"/>
          <w:numId w:val="45"/>
        </w:numPr>
        <w:pBdr>
          <w:top w:val="none" w:sz="0" w:space="0" w:color="auto"/>
          <w:left w:val="none" w:sz="0" w:space="0" w:color="auto"/>
          <w:bottom w:val="none" w:sz="0" w:space="0" w:color="auto"/>
          <w:right w:val="none" w:sz="0" w:space="0" w:color="auto"/>
          <w:between w:val="none" w:sz="0" w:space="0" w:color="auto"/>
        </w:pBdr>
        <w:spacing w:before="40" w:after="40"/>
        <w:ind w:left="714" w:hanging="357"/>
        <w:contextualSpacing w:val="0"/>
      </w:pPr>
      <w:r w:rsidRPr="00FF756A">
        <w:t>Urdhri i Ministrit nr. 47, datë 29.2.2024, “Për miratimin e formatit të raportimit të të dhënave hyrëse dhe supozimeve të përdorura për llogaritjen e kostos optimale për kërkesat minimale të performancës së energjisë së ndërtesave”.</w:t>
      </w:r>
    </w:p>
    <w:bookmarkEnd w:id="47"/>
    <w:p w14:paraId="7D035058" w14:textId="77777777" w:rsidR="00E54DA7" w:rsidRPr="00FF756A" w:rsidRDefault="00E54DA7" w:rsidP="00A1039E">
      <w:pPr>
        <w:spacing w:before="40" w:after="40"/>
      </w:pPr>
    </w:p>
    <w:p w14:paraId="68AC4222" w14:textId="170E7454" w:rsidR="002B78DE" w:rsidRPr="00FF756A" w:rsidRDefault="00E54DA7" w:rsidP="00A1039E">
      <w:pPr>
        <w:spacing w:before="40" w:after="40"/>
      </w:pPr>
      <w:r w:rsidRPr="00FF756A">
        <w:t xml:space="preserve">Disa akte nënligjore të tjera janë në proces miratimi, siç është Vendimi i Këshillit të Ministrave “Për miratimin e rregullave dhe procedurave të prokurimit publik për blerjen e produkteve, objekteve dhe ndërtesave me performancë dhe efiçencë të lartë”, për të cilin është vendosur në nivel kombëtar që të jetë pjesë e rregullores në kuadër të ligjit “Për prokurimet publike”. </w:t>
      </w:r>
    </w:p>
    <w:p w14:paraId="5840C7F5" w14:textId="583BCDCF" w:rsidR="00240D2F" w:rsidRPr="00FF756A" w:rsidRDefault="002A3944" w:rsidP="002A3944">
      <w:pPr>
        <w:spacing w:before="40" w:after="40"/>
      </w:pPr>
      <w:r w:rsidRPr="00FF756A">
        <w:t>Ministria përgjegjëse për efiçencën e energjisë në bashkëpunim me Agjencinë e Prokurimit Publik aktualisht po harton ndryshime në aktet nënligjore të Rregullores së Prokurimit Publik, me asistencën teknike të Bankës Botërore. Ky legjislacion do të përfshijë parimin e parë të efiçencës së energjisë në disa procedura prokurimi që janë mbi një prag të caktuar. Drafti i parë i VKM-së “Për ndryshimin e vendimit nr. 285, datë 19.5.2021, lidhur me miratimin e rregullave të prokurimit publik”, është në fazën e konsultimit dhe do të miratohet brenda vitit 2024.</w:t>
      </w:r>
    </w:p>
    <w:p w14:paraId="2143BFA6" w14:textId="0A985D5F" w:rsidR="00BE428A" w:rsidRPr="00FF756A" w:rsidRDefault="002A3944" w:rsidP="00A1039E">
      <w:pPr>
        <w:spacing w:before="40" w:after="40"/>
      </w:pPr>
      <w:r w:rsidRPr="00FF756A">
        <w:t xml:space="preserve">Ligji nr. 116/2016 “Për performancën e energjisë së ndërtesave” transpozon pjesërisht Direktivën 2010/31/BE, të ndryshuar, ndërsa ministria përgjegjëse për energjinë ka hartuar ligjin e ri për të transpozuar ndryshimet e fundit sipas versionit të rishikuar të Direktivës BE 2024/1275, brenda vitit 2024. </w:t>
      </w:r>
    </w:p>
    <w:p w14:paraId="1756FE5C" w14:textId="77777777" w:rsidR="002A3944" w:rsidRPr="00FF756A" w:rsidRDefault="002A3944" w:rsidP="00A1039E">
      <w:pPr>
        <w:spacing w:before="40" w:after="40"/>
      </w:pPr>
    </w:p>
    <w:p w14:paraId="6BBAE90A" w14:textId="273AD701" w:rsidR="00BE428A" w:rsidRPr="00FF756A" w:rsidRDefault="00240D2F" w:rsidP="00A1039E">
      <w:pPr>
        <w:spacing w:before="40" w:after="40"/>
      </w:pPr>
      <w:r w:rsidRPr="00FF756A">
        <w:t>Për zbatimin e Ligjit nr. 116/2016, datë 10.11.2016, “Për performancën e energjisë së ndërtesave”, janë në fuqi aktet ligjore si më poshtë:</w:t>
      </w:r>
    </w:p>
    <w:p w14:paraId="7A1BF05D" w14:textId="0790CFD9" w:rsidR="00747941" w:rsidRPr="00FF756A" w:rsidRDefault="00164C66">
      <w:pPr>
        <w:pStyle w:val="ListParagraph"/>
        <w:numPr>
          <w:ilvl w:val="0"/>
          <w:numId w:val="47"/>
        </w:numPr>
        <w:spacing w:before="40" w:after="40"/>
        <w:contextualSpacing w:val="0"/>
      </w:pPr>
      <w:r w:rsidRPr="00FF756A">
        <w:t>VKM nr. 256/2020 “Për miratimin e metodologjisë për llogaritjen e niveleve të kostos optimale për kërkesat minimale të performancës së energjisë së ndërtesave, të njësive dhe të elementeve të ndërtesave”;</w:t>
      </w:r>
    </w:p>
    <w:p w14:paraId="3F4CFA3E" w14:textId="65D6E8E2" w:rsidR="00003F93" w:rsidRPr="00FF756A" w:rsidRDefault="00164C66">
      <w:pPr>
        <w:pStyle w:val="ListParagraph"/>
        <w:numPr>
          <w:ilvl w:val="0"/>
          <w:numId w:val="47"/>
        </w:numPr>
        <w:spacing w:before="40" w:after="40"/>
        <w:contextualSpacing w:val="0"/>
      </w:pPr>
      <w:r w:rsidRPr="00FF756A">
        <w:t>VKM nr. 537/2020 “Për miratimin e kërkesave minimale të performancës së energjisë së ndërtesave dhe të elementëve të ndërtesave”;</w:t>
      </w:r>
    </w:p>
    <w:p w14:paraId="3917862B" w14:textId="34CD6111" w:rsidR="00747941" w:rsidRPr="00FF756A" w:rsidRDefault="00747941">
      <w:pPr>
        <w:pStyle w:val="ListParagraph"/>
        <w:numPr>
          <w:ilvl w:val="0"/>
          <w:numId w:val="47"/>
        </w:numPr>
        <w:spacing w:before="40" w:after="40"/>
        <w:contextualSpacing w:val="0"/>
      </w:pPr>
      <w:r w:rsidRPr="00FF756A">
        <w:t>V</w:t>
      </w:r>
      <w:r w:rsidR="000607F4">
        <w:t>KM</w:t>
      </w:r>
      <w:r w:rsidRPr="00FF756A">
        <w:t xml:space="preserve"> nr. 958/2020 “Për miratimin e procedurave e të kushteve të certifikimit të performancës së energjisë së ndërtesave dhe të modelit, përmbajtjes e kushteve të regjistrimit të “Certifikatës së performancës së energjisë së ndërtesave”;</w:t>
      </w:r>
    </w:p>
    <w:p w14:paraId="42882C0D" w14:textId="7202515A" w:rsidR="00747941" w:rsidRPr="00FF756A" w:rsidRDefault="00747941">
      <w:pPr>
        <w:pStyle w:val="ListParagraph"/>
        <w:numPr>
          <w:ilvl w:val="0"/>
          <w:numId w:val="47"/>
        </w:numPr>
        <w:spacing w:before="40" w:after="40"/>
        <w:contextualSpacing w:val="0"/>
      </w:pPr>
      <w:r w:rsidRPr="00FF756A">
        <w:t>V</w:t>
      </w:r>
      <w:r w:rsidR="000607F4">
        <w:t xml:space="preserve">KM </w:t>
      </w:r>
      <w:r w:rsidRPr="00FF756A">
        <w:t>nr. 934/2020 “Për miratimin e kritereve dhe të procedurave për mënyrën e përzgjedhjes dhe sasinë e certifikatave që do të verifikohen, si dhe procesin e mbikëqyrjes së certifikatave të performancës së energjisë në ndërtesa”;</w:t>
      </w:r>
    </w:p>
    <w:p w14:paraId="6D9A188E" w14:textId="32A51091" w:rsidR="00747941" w:rsidRPr="00FF756A" w:rsidRDefault="00747941">
      <w:pPr>
        <w:pStyle w:val="ListParagraph"/>
        <w:numPr>
          <w:ilvl w:val="0"/>
          <w:numId w:val="47"/>
        </w:numPr>
        <w:spacing w:before="40" w:after="40"/>
        <w:contextualSpacing w:val="0"/>
      </w:pPr>
      <w:r w:rsidRPr="00FF756A">
        <w:t>V</w:t>
      </w:r>
      <w:r w:rsidR="000607F4">
        <w:t>KM</w:t>
      </w:r>
      <w:r w:rsidRPr="00FF756A">
        <w:t xml:space="preserve"> nr. 1094/2020 “Për miratimin e metodologjisë kombëtare për llogaritjen e performancës energjetike në ndërtesa”;</w:t>
      </w:r>
    </w:p>
    <w:p w14:paraId="1015B407" w14:textId="486E978D" w:rsidR="00747941" w:rsidRPr="00FF756A" w:rsidRDefault="00747941">
      <w:pPr>
        <w:pStyle w:val="ListParagraph"/>
        <w:numPr>
          <w:ilvl w:val="0"/>
          <w:numId w:val="47"/>
        </w:numPr>
        <w:spacing w:before="40" w:after="40"/>
        <w:contextualSpacing w:val="0"/>
      </w:pPr>
      <w:r w:rsidRPr="00FF756A">
        <w:t>V</w:t>
      </w:r>
      <w:r w:rsidR="000607F4">
        <w:t>KM</w:t>
      </w:r>
      <w:r w:rsidRPr="00FF756A">
        <w:t xml:space="preserve"> nr. 25.11.2020 “Për kriteret dhe procedurat për mënyrën e përzgjedhjes dhe numrin e certifikatave që do të verifikohen, si dhe procesin e mbikëqyrjes së certifikatave të performancës energjetike të ndërtesave”;</w:t>
      </w:r>
    </w:p>
    <w:p w14:paraId="67E871BC" w14:textId="3276DF67" w:rsidR="00747941" w:rsidRPr="00FF756A" w:rsidRDefault="00747941">
      <w:pPr>
        <w:pStyle w:val="ListParagraph"/>
        <w:numPr>
          <w:ilvl w:val="0"/>
          <w:numId w:val="47"/>
        </w:numPr>
        <w:spacing w:before="40" w:after="40"/>
        <w:contextualSpacing w:val="0"/>
      </w:pPr>
      <w:r w:rsidRPr="00FF756A">
        <w:t>V</w:t>
      </w:r>
      <w:r w:rsidR="000607F4">
        <w:t>KM</w:t>
      </w:r>
      <w:r w:rsidRPr="00FF756A">
        <w:t xml:space="preserve"> nr. 274, datë 4.5.2023, “Për kategoritë e ndërtesave që përjashtohen nga zbatimi i ligjit për performancën e energjisë në ndërtesa”; </w:t>
      </w:r>
    </w:p>
    <w:p w14:paraId="4C23865B" w14:textId="7776F50A" w:rsidR="0000235C" w:rsidRPr="00FF756A" w:rsidRDefault="003D6FFB">
      <w:pPr>
        <w:pStyle w:val="ListParagraph"/>
        <w:numPr>
          <w:ilvl w:val="0"/>
          <w:numId w:val="47"/>
        </w:numPr>
        <w:spacing w:before="40" w:after="40"/>
        <w:contextualSpacing w:val="0"/>
      </w:pPr>
      <w:r w:rsidRPr="00FF756A">
        <w:t>Udhëzimi i Ministrit të Infrastrukturës dhe Energjisë nr. 2, datë 1.2.2023, “Për elementet, kërkesat dhe parimet e përgjithshme të analizës së kostos dhe përfitimit për vlerësimin e potencialit të aplikimit të kogjenerimit me efiçencë të lartë, si dhe të ngrohjes dhe ftohjes efiçente”;</w:t>
      </w:r>
    </w:p>
    <w:p w14:paraId="6E4B39F8" w14:textId="6A7FE3D0" w:rsidR="00164C66" w:rsidRPr="00FF756A" w:rsidRDefault="00164C66">
      <w:pPr>
        <w:pStyle w:val="ListParagraph"/>
        <w:numPr>
          <w:ilvl w:val="0"/>
          <w:numId w:val="47"/>
        </w:numPr>
        <w:spacing w:before="40" w:after="40"/>
        <w:contextualSpacing w:val="0"/>
      </w:pPr>
      <w:r w:rsidRPr="00FF756A">
        <w:t>Urdhri i Ministrit të Infrastrukturës dhe Energjisë nr. 47, datë 29.2.2024 “Për miratimin e formatit të raportimit të të dhënave hyrëse dhe supozimeve të përdorura për llogaritjen e kostos optimale për kërkesat minimale të performancës së energjisë së ndërtesave”;</w:t>
      </w:r>
    </w:p>
    <w:p w14:paraId="6DED4550" w14:textId="77777777" w:rsidR="00256F0A" w:rsidRPr="00FF756A" w:rsidRDefault="00256F0A" w:rsidP="00A1039E">
      <w:pPr>
        <w:spacing w:before="40" w:after="40"/>
      </w:pPr>
    </w:p>
    <w:p w14:paraId="6177FA83" w14:textId="7C142CF8" w:rsidR="00256F0A" w:rsidRPr="00FF756A" w:rsidRDefault="00256F0A" w:rsidP="00BF0D3D">
      <w:pPr>
        <w:pStyle w:val="Text1"/>
        <w:spacing w:before="40" w:after="40" w:line="276" w:lineRule="auto"/>
        <w:ind w:left="0"/>
        <w:jc w:val="both"/>
        <w:rPr>
          <w:sz w:val="22"/>
          <w:szCs w:val="22"/>
        </w:rPr>
      </w:pPr>
      <w:r w:rsidRPr="00FF756A">
        <w:rPr>
          <w:sz w:val="22"/>
          <w:szCs w:val="22"/>
        </w:rPr>
        <w:t xml:space="preserve">Ligji nr. 52/2014 “Për etiketimin e energjisë për produktet me ndikim në energji”, është harmonizuar plotësisht me Rregulloren BE 2017/1369 të Parlamentit Evropian dhe të Këshillit, datë 4 korrik 2017, "Për krijimin e një kuadri për etiketimin e energjisë dhe shfuqizimin e Direktivës 2010/30/BE". Po vazhdohet puna për harmonizimin e plotë të </w:t>
      </w:r>
      <w:r w:rsidR="00BF0D3D" w:rsidRPr="00FF756A">
        <w:rPr>
          <w:sz w:val="22"/>
          <w:szCs w:val="22"/>
        </w:rPr>
        <w:t>akteve nënligjore</w:t>
      </w:r>
      <w:r w:rsidRPr="00FF756A">
        <w:rPr>
          <w:sz w:val="22"/>
          <w:szCs w:val="22"/>
        </w:rPr>
        <w:t xml:space="preserve"> edhe me rregulloret përkatëse të deleguara në lidhje me secilin produkt specifik që bën pjesë në këtë rregullore.</w:t>
      </w:r>
    </w:p>
    <w:p w14:paraId="1D2F4DB9" w14:textId="77777777" w:rsidR="000607F4" w:rsidRDefault="000607F4" w:rsidP="00BF0D3D">
      <w:pPr>
        <w:pStyle w:val="Text1"/>
        <w:spacing w:before="40" w:after="40" w:line="276" w:lineRule="auto"/>
        <w:ind w:left="0"/>
        <w:jc w:val="both"/>
        <w:rPr>
          <w:sz w:val="22"/>
          <w:szCs w:val="22"/>
        </w:rPr>
      </w:pPr>
    </w:p>
    <w:p w14:paraId="24B21F5F" w14:textId="620CB958" w:rsidR="00C52023" w:rsidRPr="00FF756A" w:rsidRDefault="00C52023" w:rsidP="00BF0D3D">
      <w:pPr>
        <w:pStyle w:val="Text1"/>
        <w:spacing w:before="40" w:after="40" w:line="276" w:lineRule="auto"/>
        <w:ind w:left="0"/>
        <w:jc w:val="both"/>
        <w:rPr>
          <w:sz w:val="22"/>
          <w:szCs w:val="22"/>
        </w:rPr>
      </w:pPr>
      <w:r w:rsidRPr="00FF756A">
        <w:rPr>
          <w:sz w:val="22"/>
          <w:szCs w:val="22"/>
        </w:rPr>
        <w:t>Projektvendimi i Këshillit të Ministrave “Për etiketimin e gomave” që transpozon Rregulloren (BE) 2020/740 “Për etiketimin e gomave”, është përgatitur dhe aktualisht është në fazë konsultimi me institucionet përkatëse dhe është parashikuar të miratohet në semestrin e parë të vitit 2025.</w:t>
      </w:r>
      <w:r w:rsidR="00F27E10" w:rsidRPr="00FF756A">
        <w:rPr>
          <w:sz w:val="22"/>
          <w:szCs w:val="22"/>
        </w:rPr>
        <w:t xml:space="preserve"> </w:t>
      </w:r>
    </w:p>
    <w:p w14:paraId="2415A4ED" w14:textId="77777777" w:rsidR="004420A9" w:rsidRPr="00FF756A" w:rsidRDefault="004420A9" w:rsidP="00BF0D3D">
      <w:pPr>
        <w:pStyle w:val="Text1"/>
        <w:spacing w:before="40" w:after="40" w:line="276" w:lineRule="auto"/>
        <w:ind w:left="0"/>
        <w:jc w:val="both"/>
        <w:rPr>
          <w:sz w:val="22"/>
          <w:szCs w:val="22"/>
        </w:rPr>
      </w:pPr>
    </w:p>
    <w:p w14:paraId="56EF6B9D" w14:textId="5115CD1E" w:rsidR="002A3944" w:rsidRPr="00FF756A" w:rsidRDefault="00F27E10" w:rsidP="004A3257">
      <w:pPr>
        <w:pStyle w:val="Text1"/>
        <w:spacing w:before="40" w:after="40" w:line="276" w:lineRule="auto"/>
        <w:ind w:left="0"/>
        <w:jc w:val="both"/>
      </w:pPr>
      <w:r w:rsidRPr="00FF756A">
        <w:rPr>
          <w:sz w:val="22"/>
          <w:szCs w:val="22"/>
        </w:rPr>
        <w:t>Tabela e m</w:t>
      </w:r>
      <w:r w:rsidR="004420A9" w:rsidRPr="00FF756A">
        <w:rPr>
          <w:sz w:val="22"/>
          <w:szCs w:val="22"/>
        </w:rPr>
        <w:t>ë</w:t>
      </w:r>
      <w:r w:rsidRPr="00FF756A">
        <w:rPr>
          <w:sz w:val="22"/>
          <w:szCs w:val="22"/>
        </w:rPr>
        <w:t xml:space="preserve">poshtme paraqet </w:t>
      </w:r>
      <w:r w:rsidR="009158A3" w:rsidRPr="00FF756A">
        <w:rPr>
          <w:sz w:val="22"/>
          <w:szCs w:val="22"/>
        </w:rPr>
        <w:t>politikat aktuale energjetike, ligjet dhe VKM-t</w:t>
      </w:r>
      <w:r w:rsidR="004420A9" w:rsidRPr="00FF756A">
        <w:rPr>
          <w:sz w:val="22"/>
          <w:szCs w:val="22"/>
        </w:rPr>
        <w:t>ë</w:t>
      </w:r>
      <w:r w:rsidR="009158A3" w:rsidRPr="00FF756A">
        <w:rPr>
          <w:sz w:val="22"/>
          <w:szCs w:val="22"/>
        </w:rPr>
        <w:t xml:space="preserve"> </w:t>
      </w:r>
      <w:r w:rsidR="004420A9" w:rsidRPr="00FF756A">
        <w:rPr>
          <w:sz w:val="22"/>
          <w:szCs w:val="22"/>
        </w:rPr>
        <w:t>përkatëse</w:t>
      </w:r>
      <w:r w:rsidR="006829C5" w:rsidRPr="00FF756A">
        <w:rPr>
          <w:sz w:val="22"/>
          <w:szCs w:val="22"/>
        </w:rPr>
        <w:t xml:space="preserve"> me nj</w:t>
      </w:r>
      <w:r w:rsidR="004420A9" w:rsidRPr="00FF756A">
        <w:rPr>
          <w:sz w:val="22"/>
          <w:szCs w:val="22"/>
        </w:rPr>
        <w:t>ë</w:t>
      </w:r>
      <w:r w:rsidR="006829C5" w:rsidRPr="00FF756A">
        <w:rPr>
          <w:sz w:val="22"/>
          <w:szCs w:val="22"/>
        </w:rPr>
        <w:t xml:space="preserve"> </w:t>
      </w:r>
      <w:r w:rsidR="004420A9" w:rsidRPr="00FF756A">
        <w:rPr>
          <w:sz w:val="22"/>
          <w:szCs w:val="22"/>
        </w:rPr>
        <w:t>përshkrim</w:t>
      </w:r>
      <w:r w:rsidR="006829C5" w:rsidRPr="00FF756A">
        <w:rPr>
          <w:sz w:val="22"/>
          <w:szCs w:val="22"/>
        </w:rPr>
        <w:t xml:space="preserve"> t</w:t>
      </w:r>
      <w:r w:rsidR="004420A9" w:rsidRPr="00FF756A">
        <w:rPr>
          <w:sz w:val="22"/>
          <w:szCs w:val="22"/>
        </w:rPr>
        <w:t>ë</w:t>
      </w:r>
      <w:r w:rsidR="006829C5" w:rsidRPr="00FF756A">
        <w:rPr>
          <w:sz w:val="22"/>
          <w:szCs w:val="22"/>
        </w:rPr>
        <w:t xml:space="preserve"> shkurt</w:t>
      </w:r>
      <w:r w:rsidR="004420A9" w:rsidRPr="00FF756A">
        <w:rPr>
          <w:sz w:val="22"/>
          <w:szCs w:val="22"/>
        </w:rPr>
        <w:t>ë</w:t>
      </w:r>
      <w:r w:rsidR="006829C5" w:rsidRPr="00FF756A">
        <w:rPr>
          <w:sz w:val="22"/>
          <w:szCs w:val="22"/>
        </w:rPr>
        <w:t>r:</w:t>
      </w:r>
    </w:p>
    <w:tbl>
      <w:tblPr>
        <w:tblStyle w:val="TableGrid"/>
        <w:tblW w:w="9634" w:type="dxa"/>
        <w:tblLook w:val="04A0" w:firstRow="1" w:lastRow="0" w:firstColumn="1" w:lastColumn="0" w:noHBand="0" w:noVBand="1"/>
      </w:tblPr>
      <w:tblGrid>
        <w:gridCol w:w="2972"/>
        <w:gridCol w:w="1701"/>
        <w:gridCol w:w="4961"/>
      </w:tblGrid>
      <w:tr w:rsidR="00DA2EDE" w:rsidRPr="00FF756A" w14:paraId="3A621099" w14:textId="77777777" w:rsidTr="00D75690">
        <w:tc>
          <w:tcPr>
            <w:tcW w:w="2972" w:type="dxa"/>
          </w:tcPr>
          <w:p w14:paraId="6DFC4153" w14:textId="77777777" w:rsidR="00DA2EDE" w:rsidRPr="00FF756A" w:rsidRDefault="00DA2EDE" w:rsidP="002A3944">
            <w:pPr>
              <w:spacing w:before="40" w:after="40" w:line="240" w:lineRule="auto"/>
              <w:jc w:val="center"/>
              <w:rPr>
                <w:rFonts w:eastAsia="Arial"/>
                <w:b/>
                <w:bCs/>
                <w:iCs/>
                <w:sz w:val="20"/>
                <w:szCs w:val="20"/>
              </w:rPr>
            </w:pPr>
            <w:r w:rsidRPr="00FF756A">
              <w:rPr>
                <w:b/>
                <w:bCs/>
                <w:iCs/>
                <w:sz w:val="20"/>
                <w:szCs w:val="20"/>
              </w:rPr>
              <w:t>Politikat aktuale të energjisë</w:t>
            </w:r>
          </w:p>
        </w:tc>
        <w:tc>
          <w:tcPr>
            <w:tcW w:w="1701" w:type="dxa"/>
          </w:tcPr>
          <w:p w14:paraId="0162F036" w14:textId="77777777" w:rsidR="00DA2EDE" w:rsidRPr="00FF756A" w:rsidRDefault="00DA2EDE" w:rsidP="002A3944">
            <w:pPr>
              <w:spacing w:before="40" w:after="40" w:line="240" w:lineRule="auto"/>
              <w:jc w:val="center"/>
              <w:rPr>
                <w:rFonts w:eastAsia="Arial"/>
                <w:b/>
                <w:bCs/>
                <w:iCs/>
                <w:sz w:val="20"/>
                <w:szCs w:val="20"/>
              </w:rPr>
            </w:pPr>
            <w:r w:rsidRPr="00FF756A">
              <w:rPr>
                <w:b/>
                <w:bCs/>
                <w:iCs/>
                <w:sz w:val="20"/>
                <w:szCs w:val="20"/>
              </w:rPr>
              <w:t>Ligji/VKM-ja</w:t>
            </w:r>
          </w:p>
        </w:tc>
        <w:tc>
          <w:tcPr>
            <w:tcW w:w="4961" w:type="dxa"/>
          </w:tcPr>
          <w:p w14:paraId="4BA60030" w14:textId="77777777" w:rsidR="00DA2EDE" w:rsidRPr="00FF756A" w:rsidRDefault="00DA2EDE" w:rsidP="002A3944">
            <w:pPr>
              <w:spacing w:before="40" w:after="40" w:line="240" w:lineRule="auto"/>
              <w:jc w:val="center"/>
              <w:rPr>
                <w:rFonts w:eastAsia="Arial"/>
                <w:b/>
                <w:bCs/>
                <w:iCs/>
                <w:sz w:val="20"/>
                <w:szCs w:val="20"/>
              </w:rPr>
            </w:pPr>
            <w:r w:rsidRPr="00FF756A">
              <w:rPr>
                <w:b/>
                <w:bCs/>
                <w:iCs/>
                <w:sz w:val="20"/>
                <w:szCs w:val="20"/>
              </w:rPr>
              <w:t>Përshkrimi</w:t>
            </w:r>
          </w:p>
        </w:tc>
      </w:tr>
      <w:tr w:rsidR="00DA2EDE" w:rsidRPr="00FF756A" w14:paraId="735AFD11" w14:textId="77777777" w:rsidTr="002A3944">
        <w:tc>
          <w:tcPr>
            <w:tcW w:w="9634" w:type="dxa"/>
            <w:gridSpan w:val="3"/>
          </w:tcPr>
          <w:p w14:paraId="5F2396BF" w14:textId="77777777" w:rsidR="00DA2EDE" w:rsidRPr="00FF756A" w:rsidRDefault="00DA2EDE" w:rsidP="002A3944">
            <w:pPr>
              <w:spacing w:before="40" w:after="40" w:line="240" w:lineRule="auto"/>
              <w:rPr>
                <w:rFonts w:eastAsia="Arial"/>
                <w:b/>
                <w:bCs/>
                <w:iCs/>
                <w:sz w:val="20"/>
                <w:szCs w:val="20"/>
              </w:rPr>
            </w:pPr>
            <w:r w:rsidRPr="00FF756A">
              <w:rPr>
                <w:b/>
                <w:bCs/>
                <w:iCs/>
                <w:sz w:val="20"/>
                <w:szCs w:val="20"/>
              </w:rPr>
              <w:t>Politikat dhe legjislacioni në fuqi</w:t>
            </w:r>
          </w:p>
        </w:tc>
      </w:tr>
      <w:tr w:rsidR="00DA2EDE" w:rsidRPr="00FF756A" w14:paraId="605219D4" w14:textId="77777777" w:rsidTr="00D75690">
        <w:tc>
          <w:tcPr>
            <w:tcW w:w="2972" w:type="dxa"/>
          </w:tcPr>
          <w:p w14:paraId="04AB73A9" w14:textId="77777777" w:rsidR="00DA2EDE" w:rsidRPr="00FF756A" w:rsidRDefault="00DA2EDE" w:rsidP="002A3944">
            <w:pPr>
              <w:spacing w:before="40" w:after="40" w:line="240" w:lineRule="auto"/>
              <w:rPr>
                <w:rFonts w:eastAsia="Arial"/>
                <w:iCs/>
                <w:sz w:val="20"/>
                <w:szCs w:val="20"/>
              </w:rPr>
            </w:pPr>
            <w:r w:rsidRPr="00FF756A">
              <w:rPr>
                <w:iCs/>
                <w:sz w:val="20"/>
                <w:szCs w:val="20"/>
              </w:rPr>
              <w:t>Strategjia Kombëtare e Energjisë</w:t>
            </w:r>
          </w:p>
        </w:tc>
        <w:tc>
          <w:tcPr>
            <w:tcW w:w="1701" w:type="dxa"/>
          </w:tcPr>
          <w:p w14:paraId="4080BEE3" w14:textId="3AEE5C5B" w:rsidR="00DA2EDE" w:rsidRPr="00FF756A" w:rsidRDefault="00664774" w:rsidP="002A3944">
            <w:pPr>
              <w:spacing w:before="40" w:after="40" w:line="240" w:lineRule="auto"/>
              <w:rPr>
                <w:rFonts w:eastAsia="Arial"/>
                <w:iCs/>
                <w:sz w:val="20"/>
                <w:szCs w:val="20"/>
              </w:rPr>
            </w:pPr>
            <w:r w:rsidRPr="00FF756A">
              <w:rPr>
                <w:iCs/>
                <w:sz w:val="20"/>
                <w:szCs w:val="20"/>
              </w:rPr>
              <w:t>VKM nr. 408, datë 31.7.2018</w:t>
            </w:r>
          </w:p>
        </w:tc>
        <w:tc>
          <w:tcPr>
            <w:tcW w:w="4961" w:type="dxa"/>
          </w:tcPr>
          <w:p w14:paraId="2627CF8D" w14:textId="596E76E2" w:rsidR="00DA2EDE" w:rsidRPr="00FF756A" w:rsidRDefault="00DA2EDE" w:rsidP="002A3944">
            <w:pPr>
              <w:spacing w:before="40" w:after="40" w:line="240" w:lineRule="auto"/>
              <w:rPr>
                <w:rFonts w:eastAsia="Arial"/>
                <w:iCs/>
                <w:sz w:val="20"/>
                <w:szCs w:val="20"/>
              </w:rPr>
            </w:pPr>
            <w:r w:rsidRPr="00FF756A">
              <w:rPr>
                <w:iCs/>
                <w:sz w:val="20"/>
                <w:szCs w:val="20"/>
              </w:rPr>
              <w:t>Përcakton objektivat dhe pikësynimet për mbarë sektorin e energjisë, investimet dhe institucionet përgjegjëse</w:t>
            </w:r>
          </w:p>
        </w:tc>
      </w:tr>
      <w:tr w:rsidR="00036EF2" w:rsidRPr="00FF756A" w14:paraId="27EC7C27" w14:textId="77777777" w:rsidTr="00D75690">
        <w:tc>
          <w:tcPr>
            <w:tcW w:w="2972" w:type="dxa"/>
          </w:tcPr>
          <w:p w14:paraId="5823473D" w14:textId="0AFB3396" w:rsidR="00036EF2" w:rsidRPr="00FF756A" w:rsidRDefault="00614C95" w:rsidP="002A3944">
            <w:pPr>
              <w:spacing w:before="40" w:after="40" w:line="240" w:lineRule="auto"/>
              <w:rPr>
                <w:rFonts w:eastAsia="Arial"/>
                <w:iCs/>
                <w:sz w:val="20"/>
                <w:szCs w:val="20"/>
              </w:rPr>
            </w:pPr>
            <w:r w:rsidRPr="00FF756A">
              <w:rPr>
                <w:iCs/>
                <w:sz w:val="20"/>
                <w:szCs w:val="20"/>
              </w:rPr>
              <w:lastRenderedPageBreak/>
              <w:t>Plani Kombëtar për Energjinë dhe Klimën (PKEK) 2020 – 2030</w:t>
            </w:r>
            <w:r w:rsidRPr="00FF756A">
              <w:rPr>
                <w:rStyle w:val="Strong"/>
                <w:b w:val="0"/>
                <w:sz w:val="20"/>
                <w:szCs w:val="20"/>
              </w:rPr>
              <w:t xml:space="preserve"> </w:t>
            </w:r>
          </w:p>
        </w:tc>
        <w:tc>
          <w:tcPr>
            <w:tcW w:w="1701" w:type="dxa"/>
          </w:tcPr>
          <w:p w14:paraId="5C70C1F4" w14:textId="53C25AA6" w:rsidR="00036EF2" w:rsidRPr="00FF756A" w:rsidRDefault="00614C95" w:rsidP="002A3944">
            <w:pPr>
              <w:spacing w:before="40" w:after="40" w:line="240" w:lineRule="auto"/>
              <w:rPr>
                <w:b/>
                <w:bCs/>
                <w:sz w:val="20"/>
                <w:szCs w:val="20"/>
              </w:rPr>
            </w:pPr>
            <w:r w:rsidRPr="00FF756A">
              <w:rPr>
                <w:iCs/>
                <w:sz w:val="20"/>
                <w:szCs w:val="20"/>
              </w:rPr>
              <w:t>Nr. 872, datë 29.12.2021</w:t>
            </w:r>
            <w:r w:rsidRPr="00FF756A">
              <w:rPr>
                <w:sz w:val="20"/>
                <w:szCs w:val="20"/>
              </w:rPr>
              <w:t xml:space="preserve"> </w:t>
            </w:r>
          </w:p>
        </w:tc>
        <w:tc>
          <w:tcPr>
            <w:tcW w:w="4961" w:type="dxa"/>
          </w:tcPr>
          <w:p w14:paraId="6CCDA2D3" w14:textId="621C7236" w:rsidR="00036EF2" w:rsidRPr="00FF756A" w:rsidRDefault="00614C95" w:rsidP="002A3944">
            <w:pPr>
              <w:spacing w:before="40" w:after="40" w:line="240" w:lineRule="auto"/>
              <w:rPr>
                <w:rFonts w:eastAsia="Arial"/>
                <w:iCs/>
                <w:sz w:val="20"/>
                <w:szCs w:val="20"/>
              </w:rPr>
            </w:pPr>
            <w:r w:rsidRPr="00FF756A">
              <w:rPr>
                <w:iCs/>
                <w:sz w:val="20"/>
                <w:szCs w:val="20"/>
              </w:rPr>
              <w:t>PKEK-ja ka përcaktuar udhërrëfyesin për efiçencën e energjisë, përqindjen e BRE-ve dhe shkarkimet e GES-ve për periudhën 2021 – 2030.</w:t>
            </w:r>
          </w:p>
        </w:tc>
      </w:tr>
      <w:tr w:rsidR="00614C95" w:rsidRPr="00FF756A" w14:paraId="3689715B" w14:textId="77777777" w:rsidTr="00D75690">
        <w:tc>
          <w:tcPr>
            <w:tcW w:w="2972" w:type="dxa"/>
          </w:tcPr>
          <w:p w14:paraId="3958F069" w14:textId="3B319952" w:rsidR="00614C95" w:rsidRPr="00FF756A" w:rsidRDefault="00614C95" w:rsidP="002A3944">
            <w:pPr>
              <w:spacing w:before="40" w:after="40" w:line="240" w:lineRule="auto"/>
              <w:rPr>
                <w:rFonts w:eastAsia="Arial"/>
                <w:iCs/>
                <w:sz w:val="20"/>
                <w:szCs w:val="20"/>
              </w:rPr>
            </w:pPr>
            <w:r w:rsidRPr="00FF756A">
              <w:rPr>
                <w:rStyle w:val="Strong"/>
                <w:b w:val="0"/>
                <w:sz w:val="20"/>
                <w:szCs w:val="20"/>
              </w:rPr>
              <w:t xml:space="preserve">“Për disa ndryshime dhe shtesa në Ligjin nr. 124/2015 “Për efiçencën e energjisë”, </w:t>
            </w:r>
            <w:r w:rsidRPr="00FF756A">
              <w:rPr>
                <w:sz w:val="20"/>
                <w:szCs w:val="20"/>
              </w:rPr>
              <w:t>të ndryshuar”</w:t>
            </w:r>
            <w:r w:rsidRPr="00FF756A">
              <w:rPr>
                <w:rStyle w:val="Strong"/>
                <w:b w:val="0"/>
                <w:sz w:val="20"/>
                <w:szCs w:val="20"/>
              </w:rPr>
              <w:t xml:space="preserve"> </w:t>
            </w:r>
          </w:p>
        </w:tc>
        <w:tc>
          <w:tcPr>
            <w:tcW w:w="1701" w:type="dxa"/>
          </w:tcPr>
          <w:p w14:paraId="240BBC05" w14:textId="4EB0A9E7" w:rsidR="00614C95" w:rsidRPr="00FF756A" w:rsidRDefault="00614C95" w:rsidP="002A3944">
            <w:pPr>
              <w:spacing w:before="40" w:after="40" w:line="240" w:lineRule="auto"/>
              <w:rPr>
                <w:rFonts w:eastAsia="Arial"/>
                <w:iCs/>
                <w:sz w:val="20"/>
                <w:szCs w:val="20"/>
              </w:rPr>
            </w:pPr>
            <w:r w:rsidRPr="00FF756A">
              <w:rPr>
                <w:rStyle w:val="Strong"/>
                <w:b w:val="0"/>
                <w:bCs w:val="0"/>
                <w:sz w:val="20"/>
                <w:szCs w:val="20"/>
              </w:rPr>
              <w:t>Ligji nr. 28/2021, datë 8.3.2021</w:t>
            </w:r>
          </w:p>
        </w:tc>
        <w:tc>
          <w:tcPr>
            <w:tcW w:w="4961" w:type="dxa"/>
          </w:tcPr>
          <w:p w14:paraId="05234E8F" w14:textId="3139CD29" w:rsidR="00614C95" w:rsidRPr="00FF756A" w:rsidRDefault="00614C95" w:rsidP="002A3944">
            <w:pPr>
              <w:spacing w:before="40" w:after="40" w:line="240" w:lineRule="auto"/>
              <w:rPr>
                <w:rFonts w:eastAsia="Arial"/>
                <w:iCs/>
                <w:sz w:val="20"/>
                <w:szCs w:val="20"/>
              </w:rPr>
            </w:pPr>
            <w:r w:rsidRPr="00FF756A">
              <w:rPr>
                <w:iCs/>
                <w:sz w:val="20"/>
                <w:szCs w:val="20"/>
              </w:rPr>
              <w:t xml:space="preserve">Synimi është përafrimi i plotë me dispozitat e Direktivës 2012/27/BE të Parlamentit Evropian. </w:t>
            </w:r>
          </w:p>
        </w:tc>
      </w:tr>
      <w:tr w:rsidR="00614C95" w:rsidRPr="00FF756A" w14:paraId="38D784E0" w14:textId="77777777" w:rsidTr="00D75690">
        <w:tc>
          <w:tcPr>
            <w:tcW w:w="2972" w:type="dxa"/>
          </w:tcPr>
          <w:p w14:paraId="51CE8CBE" w14:textId="30FF1991" w:rsidR="00614C95" w:rsidRPr="00FF756A" w:rsidRDefault="00614C95" w:rsidP="002A3944">
            <w:pPr>
              <w:spacing w:before="40" w:after="40" w:line="240" w:lineRule="auto"/>
              <w:rPr>
                <w:rFonts w:eastAsia="Arial"/>
                <w:iCs/>
                <w:sz w:val="20"/>
                <w:szCs w:val="20"/>
              </w:rPr>
            </w:pPr>
            <w:r w:rsidRPr="00FF756A">
              <w:rPr>
                <w:iCs/>
                <w:sz w:val="20"/>
                <w:szCs w:val="20"/>
              </w:rPr>
              <w:t>Ligji “Për efiçencën e energjisë”</w:t>
            </w:r>
          </w:p>
        </w:tc>
        <w:tc>
          <w:tcPr>
            <w:tcW w:w="1701" w:type="dxa"/>
          </w:tcPr>
          <w:p w14:paraId="7BFA494F" w14:textId="2A2F1E6B" w:rsidR="00614C95" w:rsidRPr="00FF756A" w:rsidRDefault="00614C95" w:rsidP="002A3944">
            <w:pPr>
              <w:spacing w:before="40" w:after="40" w:line="240" w:lineRule="auto"/>
              <w:rPr>
                <w:iCs/>
                <w:sz w:val="20"/>
                <w:szCs w:val="20"/>
              </w:rPr>
            </w:pPr>
            <w:r w:rsidRPr="00FF756A">
              <w:rPr>
                <w:iCs/>
                <w:sz w:val="20"/>
                <w:szCs w:val="20"/>
              </w:rPr>
              <w:t>Ligji nr. 124/2015, datë 12.11.2015, i ndryshuar</w:t>
            </w:r>
          </w:p>
        </w:tc>
        <w:tc>
          <w:tcPr>
            <w:tcW w:w="4961" w:type="dxa"/>
          </w:tcPr>
          <w:p w14:paraId="77B21FA5" w14:textId="77777777" w:rsidR="00614C95" w:rsidRPr="00FF756A" w:rsidRDefault="00614C95" w:rsidP="002A3944">
            <w:pPr>
              <w:spacing w:before="40" w:after="40" w:line="240" w:lineRule="auto"/>
              <w:rPr>
                <w:rFonts w:eastAsia="Arial"/>
                <w:iCs/>
                <w:sz w:val="20"/>
                <w:szCs w:val="20"/>
              </w:rPr>
            </w:pPr>
            <w:r w:rsidRPr="00FF756A">
              <w:rPr>
                <w:iCs/>
                <w:sz w:val="20"/>
                <w:szCs w:val="20"/>
              </w:rPr>
              <w:t>Transpozimi i Direktivës për EE-në 2012/27/BE.</w:t>
            </w:r>
          </w:p>
          <w:p w14:paraId="0774FCD9" w14:textId="77777777" w:rsidR="00614C95" w:rsidRPr="00FF756A" w:rsidRDefault="00614C95" w:rsidP="002A3944">
            <w:pPr>
              <w:spacing w:before="40" w:after="40" w:line="240" w:lineRule="auto"/>
              <w:rPr>
                <w:rFonts w:eastAsia="Arial"/>
                <w:iCs/>
                <w:sz w:val="20"/>
                <w:szCs w:val="20"/>
              </w:rPr>
            </w:pPr>
            <w:r w:rsidRPr="00FF756A">
              <w:rPr>
                <w:iCs/>
                <w:sz w:val="20"/>
                <w:szCs w:val="20"/>
              </w:rPr>
              <w:t>Qëllimet e ligjit janë:</w:t>
            </w:r>
          </w:p>
          <w:p w14:paraId="2E14C6B5" w14:textId="77777777" w:rsidR="00614C95" w:rsidRPr="00FF756A" w:rsidRDefault="00614C95" w:rsidP="002A3944">
            <w:pPr>
              <w:spacing w:before="40" w:after="40" w:line="240" w:lineRule="auto"/>
              <w:rPr>
                <w:rFonts w:eastAsia="Arial"/>
                <w:iCs/>
                <w:sz w:val="20"/>
                <w:szCs w:val="20"/>
              </w:rPr>
            </w:pPr>
            <w:r w:rsidRPr="00FF756A">
              <w:rPr>
                <w:iCs/>
                <w:sz w:val="20"/>
                <w:szCs w:val="20"/>
              </w:rPr>
              <w:t>a) hartimi i rregullave dhe politikave kombëtare për nxitjen dhe përmirësimin e efiçencës së energjisë, me qëllim kursimin e energjisë dhe rritjen e sigurisë së furnizimit, si dhe eliminimin e pengesave në tregun e energjisë;</w:t>
            </w:r>
          </w:p>
          <w:p w14:paraId="6E17D83B" w14:textId="77777777" w:rsidR="00614C95" w:rsidRPr="00FF756A" w:rsidRDefault="00614C95" w:rsidP="002A3944">
            <w:pPr>
              <w:spacing w:before="40" w:after="40" w:line="240" w:lineRule="auto"/>
              <w:rPr>
                <w:rFonts w:eastAsia="Arial"/>
                <w:iCs/>
                <w:sz w:val="20"/>
                <w:szCs w:val="20"/>
              </w:rPr>
            </w:pPr>
            <w:r w:rsidRPr="00FF756A">
              <w:rPr>
                <w:iCs/>
                <w:sz w:val="20"/>
                <w:szCs w:val="20"/>
              </w:rPr>
              <w:t>b) përcaktimi i objektivave kombëtare për efiçencën e energjisë;</w:t>
            </w:r>
          </w:p>
          <w:p w14:paraId="4BDB584E" w14:textId="6CAEC4E3" w:rsidR="00614C95" w:rsidRPr="00FF756A" w:rsidRDefault="00614C95" w:rsidP="00D75690">
            <w:pPr>
              <w:spacing w:before="40" w:after="40" w:line="240" w:lineRule="auto"/>
              <w:rPr>
                <w:rFonts w:eastAsia="Arial"/>
                <w:iCs/>
                <w:sz w:val="20"/>
                <w:szCs w:val="20"/>
              </w:rPr>
            </w:pPr>
            <w:r w:rsidRPr="00FF756A">
              <w:rPr>
                <w:iCs/>
                <w:sz w:val="20"/>
                <w:szCs w:val="20"/>
              </w:rPr>
              <w:t>c) rritja e konkurrencës midis operatorëve.</w:t>
            </w:r>
          </w:p>
        </w:tc>
      </w:tr>
      <w:tr w:rsidR="00614C95" w:rsidRPr="00FF756A" w14:paraId="4063F9B8" w14:textId="77777777" w:rsidTr="00D75690">
        <w:tc>
          <w:tcPr>
            <w:tcW w:w="2972" w:type="dxa"/>
          </w:tcPr>
          <w:p w14:paraId="3F11455D" w14:textId="53E6721C" w:rsidR="00614C95" w:rsidRPr="00FF756A" w:rsidRDefault="00614C95" w:rsidP="002A3944">
            <w:pPr>
              <w:spacing w:before="40" w:after="40" w:line="240" w:lineRule="auto"/>
              <w:rPr>
                <w:rFonts w:eastAsia="Arial"/>
                <w:iCs/>
                <w:sz w:val="20"/>
                <w:szCs w:val="20"/>
              </w:rPr>
            </w:pPr>
            <w:r w:rsidRPr="00FF756A">
              <w:rPr>
                <w:iCs/>
                <w:sz w:val="20"/>
                <w:szCs w:val="20"/>
              </w:rPr>
              <w:t>Ligji “Për performancën e energjisë së ndërtesave”</w:t>
            </w:r>
          </w:p>
        </w:tc>
        <w:tc>
          <w:tcPr>
            <w:tcW w:w="1701" w:type="dxa"/>
          </w:tcPr>
          <w:p w14:paraId="149EDF46" w14:textId="4BC2E75B" w:rsidR="00614C95" w:rsidRPr="00FF756A" w:rsidRDefault="00614C95" w:rsidP="002A3944">
            <w:pPr>
              <w:spacing w:before="40" w:after="40" w:line="240" w:lineRule="auto"/>
              <w:rPr>
                <w:iCs/>
                <w:sz w:val="20"/>
                <w:szCs w:val="20"/>
              </w:rPr>
            </w:pPr>
            <w:r w:rsidRPr="00FF756A">
              <w:rPr>
                <w:iCs/>
                <w:sz w:val="20"/>
                <w:szCs w:val="20"/>
              </w:rPr>
              <w:t>Ligji nr. 116/2016, datë 10.11.2016</w:t>
            </w:r>
          </w:p>
        </w:tc>
        <w:tc>
          <w:tcPr>
            <w:tcW w:w="4961" w:type="dxa"/>
          </w:tcPr>
          <w:p w14:paraId="3E807D0A" w14:textId="77777777" w:rsidR="00614C95" w:rsidRPr="00FF756A" w:rsidRDefault="00614C95" w:rsidP="00874981">
            <w:pPr>
              <w:spacing w:before="40" w:after="40" w:line="240" w:lineRule="auto"/>
              <w:rPr>
                <w:rFonts w:eastAsia="Arial"/>
                <w:iCs/>
                <w:sz w:val="20"/>
                <w:szCs w:val="20"/>
              </w:rPr>
            </w:pPr>
            <w:r w:rsidRPr="00FF756A">
              <w:rPr>
                <w:iCs/>
                <w:sz w:val="20"/>
                <w:szCs w:val="20"/>
              </w:rPr>
              <w:t>Transpozim i Direktivës 2010/31/BE (EPBD)</w:t>
            </w:r>
          </w:p>
          <w:p w14:paraId="6249B91B" w14:textId="77777777" w:rsidR="00614C95" w:rsidRPr="00FF756A" w:rsidRDefault="00614C95" w:rsidP="00874981">
            <w:pPr>
              <w:spacing w:before="40" w:after="40" w:line="240" w:lineRule="auto"/>
              <w:rPr>
                <w:rFonts w:eastAsia="Arial"/>
                <w:iCs/>
                <w:sz w:val="20"/>
                <w:szCs w:val="20"/>
              </w:rPr>
            </w:pPr>
            <w:r w:rsidRPr="00FF756A">
              <w:rPr>
                <w:iCs/>
                <w:sz w:val="20"/>
                <w:szCs w:val="20"/>
              </w:rPr>
              <w:t>Ky ligj synon të krijojë kuadrin ligjor për përmirësimin e performancës së energjisë së ndërtesave, duke marrë në konsideratë kushtet lokale dhe klimatike të vendit, rehatinë e brendshme të ndërtesave dhe efikasitetin e kostos.</w:t>
            </w:r>
          </w:p>
          <w:p w14:paraId="2DE835C8" w14:textId="3B3ED757" w:rsidR="00614C95" w:rsidRPr="00FF756A" w:rsidRDefault="008B2B25" w:rsidP="00874981">
            <w:pPr>
              <w:spacing w:before="40" w:after="40" w:line="240" w:lineRule="auto"/>
              <w:rPr>
                <w:rFonts w:eastAsia="Arial"/>
                <w:iCs/>
                <w:sz w:val="20"/>
                <w:szCs w:val="20"/>
              </w:rPr>
            </w:pPr>
            <w:r w:rsidRPr="00FF756A">
              <w:rPr>
                <w:iCs/>
                <w:sz w:val="20"/>
                <w:szCs w:val="20"/>
              </w:rPr>
              <w:t>Aktet nënligjore nuk janë</w:t>
            </w:r>
            <w:r w:rsidR="00C16E99" w:rsidRPr="00FF756A">
              <w:rPr>
                <w:iCs/>
                <w:sz w:val="20"/>
                <w:szCs w:val="20"/>
              </w:rPr>
              <w:t xml:space="preserve"> përgatitur</w:t>
            </w:r>
            <w:r w:rsidR="00614C95" w:rsidRPr="00FF756A">
              <w:rPr>
                <w:iCs/>
                <w:sz w:val="20"/>
                <w:szCs w:val="20"/>
              </w:rPr>
              <w:t xml:space="preserve"> ende. </w:t>
            </w:r>
          </w:p>
        </w:tc>
      </w:tr>
      <w:tr w:rsidR="00614C95" w:rsidRPr="00FF756A" w14:paraId="251EEB73" w14:textId="77777777" w:rsidTr="00D75690">
        <w:tc>
          <w:tcPr>
            <w:tcW w:w="2972" w:type="dxa"/>
          </w:tcPr>
          <w:p w14:paraId="566FED4C" w14:textId="097D9E2B" w:rsidR="00614C95" w:rsidRPr="00FF756A" w:rsidRDefault="00614C95" w:rsidP="002A3944">
            <w:pPr>
              <w:spacing w:before="40" w:after="40" w:line="240" w:lineRule="auto"/>
              <w:rPr>
                <w:iCs/>
                <w:sz w:val="20"/>
                <w:szCs w:val="20"/>
              </w:rPr>
            </w:pPr>
            <w:r w:rsidRPr="00FF756A">
              <w:rPr>
                <w:iCs/>
                <w:sz w:val="20"/>
                <w:szCs w:val="20"/>
              </w:rPr>
              <w:t>Ligji “Për etiketimin e energjisë për produktet me ndikim në energji”</w:t>
            </w:r>
          </w:p>
        </w:tc>
        <w:tc>
          <w:tcPr>
            <w:tcW w:w="1701" w:type="dxa"/>
          </w:tcPr>
          <w:p w14:paraId="1EEF5434" w14:textId="680A89F8" w:rsidR="00614C95" w:rsidRPr="00FF756A" w:rsidRDefault="00614C95" w:rsidP="002A3944">
            <w:pPr>
              <w:spacing w:before="40" w:after="40" w:line="240" w:lineRule="auto"/>
              <w:rPr>
                <w:iCs/>
                <w:sz w:val="20"/>
                <w:szCs w:val="20"/>
              </w:rPr>
            </w:pPr>
            <w:r w:rsidRPr="00FF756A">
              <w:rPr>
                <w:iCs/>
                <w:sz w:val="20"/>
                <w:szCs w:val="20"/>
              </w:rPr>
              <w:t>Ligji nr. 52/2024, datë 21.6.2012 “Për etiketimin e energjisë për produktet me ndikim në energji”</w:t>
            </w:r>
          </w:p>
        </w:tc>
        <w:tc>
          <w:tcPr>
            <w:tcW w:w="4961" w:type="dxa"/>
          </w:tcPr>
          <w:p w14:paraId="5E7E0F54" w14:textId="74D7E74A" w:rsidR="00614C95" w:rsidRPr="00FF756A" w:rsidRDefault="00614C95" w:rsidP="002A3944">
            <w:pPr>
              <w:pBdr>
                <w:top w:val="none" w:sz="0" w:space="0" w:color="auto"/>
                <w:left w:val="none" w:sz="0" w:space="0" w:color="auto"/>
                <w:bottom w:val="none" w:sz="0" w:space="0" w:color="auto"/>
                <w:right w:val="none" w:sz="0" w:space="0" w:color="auto"/>
                <w:between w:val="none" w:sz="0" w:space="0" w:color="auto"/>
              </w:pBdr>
              <w:spacing w:before="40" w:after="40" w:line="240" w:lineRule="auto"/>
              <w:ind w:right="391"/>
              <w:rPr>
                <w:rFonts w:eastAsia="Arial"/>
                <w:iCs/>
                <w:sz w:val="20"/>
                <w:szCs w:val="20"/>
              </w:rPr>
            </w:pPr>
            <w:r w:rsidRPr="00FF756A">
              <w:rPr>
                <w:iCs/>
                <w:sz w:val="20"/>
                <w:szCs w:val="20"/>
              </w:rPr>
              <w:t xml:space="preserve">Po vazhdohet puna për transpozimin e </w:t>
            </w:r>
            <w:r w:rsidR="00C16E99" w:rsidRPr="00FF756A">
              <w:rPr>
                <w:iCs/>
                <w:sz w:val="20"/>
                <w:szCs w:val="20"/>
              </w:rPr>
              <w:t>akteve nënligjore</w:t>
            </w:r>
            <w:r w:rsidRPr="00FF756A">
              <w:rPr>
                <w:iCs/>
                <w:sz w:val="20"/>
                <w:szCs w:val="20"/>
              </w:rPr>
              <w:t xml:space="preserve"> që të harmonizohet plotësisht edhe me rregulloret përkatëse të deleguara në lidhje me secilin produkt specifik që bën pjesë në këtë rregullore.</w:t>
            </w:r>
          </w:p>
        </w:tc>
      </w:tr>
      <w:tr w:rsidR="00614C95" w:rsidRPr="00FF756A" w14:paraId="58BEDC91" w14:textId="77777777" w:rsidTr="002A3944">
        <w:tc>
          <w:tcPr>
            <w:tcW w:w="9634" w:type="dxa"/>
            <w:gridSpan w:val="3"/>
          </w:tcPr>
          <w:p w14:paraId="73993CD0" w14:textId="720A550A" w:rsidR="00614C95" w:rsidRPr="00FF756A" w:rsidRDefault="007C08E4" w:rsidP="002A3944">
            <w:pPr>
              <w:spacing w:before="40" w:after="40" w:line="240" w:lineRule="auto"/>
              <w:rPr>
                <w:rFonts w:eastAsia="Arial"/>
                <w:b/>
                <w:bCs/>
                <w:iCs/>
                <w:sz w:val="20"/>
                <w:szCs w:val="20"/>
              </w:rPr>
            </w:pPr>
            <w:r w:rsidRPr="00FF756A">
              <w:rPr>
                <w:b/>
                <w:bCs/>
                <w:iCs/>
                <w:sz w:val="20"/>
                <w:szCs w:val="20"/>
              </w:rPr>
              <w:t>Aktet nënligjore</w:t>
            </w:r>
            <w:r w:rsidR="00614C95" w:rsidRPr="00FF756A">
              <w:rPr>
                <w:b/>
                <w:bCs/>
                <w:iCs/>
                <w:sz w:val="20"/>
                <w:szCs w:val="20"/>
              </w:rPr>
              <w:t xml:space="preserve"> në fuqi për </w:t>
            </w:r>
            <w:r w:rsidR="004165D8" w:rsidRPr="00FF756A">
              <w:rPr>
                <w:b/>
                <w:bCs/>
                <w:iCs/>
                <w:sz w:val="20"/>
                <w:szCs w:val="20"/>
              </w:rPr>
              <w:t>E</w:t>
            </w:r>
            <w:r w:rsidR="00614C95" w:rsidRPr="00FF756A">
              <w:rPr>
                <w:b/>
                <w:bCs/>
                <w:iCs/>
                <w:sz w:val="20"/>
                <w:szCs w:val="20"/>
              </w:rPr>
              <w:t xml:space="preserve">fiçencën e </w:t>
            </w:r>
            <w:r w:rsidR="004165D8" w:rsidRPr="00FF756A">
              <w:rPr>
                <w:b/>
                <w:bCs/>
                <w:iCs/>
                <w:sz w:val="20"/>
                <w:szCs w:val="20"/>
              </w:rPr>
              <w:t>E</w:t>
            </w:r>
            <w:r w:rsidR="00614C95" w:rsidRPr="00FF756A">
              <w:rPr>
                <w:b/>
                <w:bCs/>
                <w:iCs/>
                <w:sz w:val="20"/>
                <w:szCs w:val="20"/>
              </w:rPr>
              <w:t xml:space="preserve">nergjisë </w:t>
            </w:r>
          </w:p>
        </w:tc>
      </w:tr>
      <w:tr w:rsidR="00614C95" w:rsidRPr="00FF756A" w14:paraId="3E5B0EC5" w14:textId="77777777" w:rsidTr="00D75690">
        <w:tc>
          <w:tcPr>
            <w:tcW w:w="2972" w:type="dxa"/>
          </w:tcPr>
          <w:p w14:paraId="1296ECFD" w14:textId="4584AB8A" w:rsidR="008D73F9" w:rsidRPr="00FF756A" w:rsidRDefault="008D73F9" w:rsidP="002A3944">
            <w:pPr>
              <w:pBdr>
                <w:top w:val="none" w:sz="0" w:space="0" w:color="auto"/>
                <w:left w:val="none" w:sz="0" w:space="0" w:color="auto"/>
                <w:bottom w:val="none" w:sz="0" w:space="0" w:color="auto"/>
                <w:right w:val="none" w:sz="0" w:space="0" w:color="auto"/>
                <w:between w:val="none" w:sz="0" w:space="0" w:color="auto"/>
              </w:pBdr>
              <w:spacing w:before="40" w:after="40" w:line="240" w:lineRule="auto"/>
              <w:rPr>
                <w:iCs/>
                <w:sz w:val="20"/>
                <w:szCs w:val="20"/>
              </w:rPr>
            </w:pPr>
            <w:r w:rsidRPr="00FF756A">
              <w:rPr>
                <w:iCs/>
                <w:sz w:val="20"/>
                <w:szCs w:val="20"/>
              </w:rPr>
              <w:t>“Për krijimin dhe mënyrën e organizimit dhe funksionimit të Agjencisë për Efiçencën e Energjisë”;</w:t>
            </w:r>
          </w:p>
          <w:p w14:paraId="2D207AD2" w14:textId="4C60C575" w:rsidR="00614C95" w:rsidRPr="00FF756A" w:rsidRDefault="00614C95" w:rsidP="002A3944">
            <w:pPr>
              <w:spacing w:before="40" w:after="40" w:line="240" w:lineRule="auto"/>
              <w:rPr>
                <w:rFonts w:eastAsia="Arial"/>
                <w:iCs/>
                <w:sz w:val="20"/>
                <w:szCs w:val="20"/>
              </w:rPr>
            </w:pPr>
          </w:p>
        </w:tc>
        <w:tc>
          <w:tcPr>
            <w:tcW w:w="1701" w:type="dxa"/>
          </w:tcPr>
          <w:p w14:paraId="5214A374" w14:textId="664D9741" w:rsidR="00614C95" w:rsidRPr="00FF756A" w:rsidRDefault="008D73F9" w:rsidP="005E4558">
            <w:pPr>
              <w:spacing w:before="40" w:after="40" w:line="240" w:lineRule="auto"/>
              <w:jc w:val="left"/>
              <w:rPr>
                <w:rFonts w:eastAsia="Arial"/>
                <w:iCs/>
                <w:sz w:val="20"/>
                <w:szCs w:val="20"/>
              </w:rPr>
            </w:pPr>
            <w:r w:rsidRPr="00FF756A">
              <w:rPr>
                <w:iCs/>
                <w:sz w:val="20"/>
                <w:szCs w:val="20"/>
              </w:rPr>
              <w:t>VKM nr. 852/2016</w:t>
            </w:r>
          </w:p>
        </w:tc>
        <w:tc>
          <w:tcPr>
            <w:tcW w:w="4961" w:type="dxa"/>
          </w:tcPr>
          <w:p w14:paraId="7CCF78D2" w14:textId="49B07D2B" w:rsidR="00614C95" w:rsidRPr="00FF756A" w:rsidRDefault="00F81903" w:rsidP="002A3944">
            <w:pPr>
              <w:spacing w:before="40" w:after="40" w:line="240" w:lineRule="auto"/>
              <w:rPr>
                <w:rFonts w:eastAsia="Arial"/>
                <w:iCs/>
                <w:sz w:val="20"/>
                <w:szCs w:val="20"/>
              </w:rPr>
            </w:pPr>
            <w:r w:rsidRPr="00FF756A">
              <w:rPr>
                <w:iCs/>
                <w:sz w:val="20"/>
                <w:szCs w:val="20"/>
              </w:rPr>
              <w:t>Agjencia për Efiçencën e Energjisë (AEE) është një person juridik që financohet nga buxheti i shtetit, nën përgjegjësinë e ministrit përgjegjës për energjinë, e cila është përgjegjëse për zbatimin e politikave dhe promovimin e masave për efiçencën e energjisë.</w:t>
            </w:r>
          </w:p>
        </w:tc>
      </w:tr>
      <w:tr w:rsidR="008D73F9" w:rsidRPr="00FF756A" w14:paraId="329C1E14" w14:textId="77777777" w:rsidTr="00D75690">
        <w:tc>
          <w:tcPr>
            <w:tcW w:w="2972" w:type="dxa"/>
          </w:tcPr>
          <w:p w14:paraId="4652666B" w14:textId="12BEAB52" w:rsidR="008D73F9" w:rsidRPr="00FF756A" w:rsidRDefault="008D73F9" w:rsidP="002A3944">
            <w:pPr>
              <w:spacing w:before="40" w:after="40" w:line="240" w:lineRule="auto"/>
              <w:rPr>
                <w:rFonts w:eastAsia="Arial"/>
                <w:iCs/>
                <w:sz w:val="20"/>
                <w:szCs w:val="20"/>
              </w:rPr>
            </w:pPr>
            <w:r w:rsidRPr="00FF756A">
              <w:rPr>
                <w:iCs/>
                <w:sz w:val="20"/>
                <w:szCs w:val="20"/>
              </w:rPr>
              <w:t>“Për miratimin e procedurës, të kategorive, kushteve, kërkesave të kualifikimit dhe të eksperiencës profesionale për personin, të cilit i lëshohet certifikata e audituesit energjetik”</w:t>
            </w:r>
          </w:p>
        </w:tc>
        <w:tc>
          <w:tcPr>
            <w:tcW w:w="1701" w:type="dxa"/>
          </w:tcPr>
          <w:p w14:paraId="62300251" w14:textId="63C6B92A" w:rsidR="008D73F9" w:rsidRPr="00FF756A" w:rsidRDefault="008D73F9" w:rsidP="002A3944">
            <w:pPr>
              <w:spacing w:before="40" w:after="40" w:line="240" w:lineRule="auto"/>
              <w:rPr>
                <w:rFonts w:eastAsia="Arial"/>
                <w:iCs/>
                <w:sz w:val="20"/>
                <w:szCs w:val="20"/>
              </w:rPr>
            </w:pPr>
            <w:r w:rsidRPr="00FF756A">
              <w:rPr>
                <w:iCs/>
                <w:sz w:val="20"/>
                <w:szCs w:val="20"/>
              </w:rPr>
              <w:t>VKM nr. 407, datë 19.6.2019</w:t>
            </w:r>
          </w:p>
        </w:tc>
        <w:tc>
          <w:tcPr>
            <w:tcW w:w="4961" w:type="dxa"/>
          </w:tcPr>
          <w:p w14:paraId="033F9CD5" w14:textId="0A9922D3" w:rsidR="00F81903" w:rsidRPr="00FF756A" w:rsidRDefault="008D73F9" w:rsidP="002A3944">
            <w:pPr>
              <w:spacing w:before="40" w:after="40" w:line="240" w:lineRule="auto"/>
              <w:rPr>
                <w:rFonts w:eastAsia="Arial"/>
                <w:iCs/>
                <w:sz w:val="20"/>
                <w:szCs w:val="20"/>
              </w:rPr>
            </w:pPr>
            <w:r w:rsidRPr="00FF756A">
              <w:rPr>
                <w:iCs/>
                <w:sz w:val="20"/>
                <w:szCs w:val="20"/>
              </w:rPr>
              <w:t>Sipas Direktivës 2010/31/BE (Direktiva për Performancën e Energjisë së Ndërtesave - EPBD), ky vendim synon dhe realizon zgjerimin e fushës së veprimit për të përfshirë:</w:t>
            </w:r>
          </w:p>
          <w:p w14:paraId="3A704D23" w14:textId="77777777" w:rsidR="00F81903" w:rsidRPr="00FF756A" w:rsidRDefault="00F81903" w:rsidP="002A3944">
            <w:pPr>
              <w:spacing w:before="40" w:after="40" w:line="240" w:lineRule="auto"/>
              <w:rPr>
                <w:rFonts w:eastAsia="Arial"/>
                <w:iCs/>
                <w:sz w:val="20"/>
                <w:szCs w:val="20"/>
              </w:rPr>
            </w:pPr>
            <w:r w:rsidRPr="00FF756A">
              <w:rPr>
                <w:iCs/>
                <w:sz w:val="20"/>
                <w:szCs w:val="20"/>
              </w:rPr>
              <w:t>a) përcaktimin e procedurës, kategorive, kushteve dhe kërkesave të kualifikimit dhe përvojës profesionale të audituesit të energjisë;</w:t>
            </w:r>
          </w:p>
          <w:p w14:paraId="66D5C965" w14:textId="59BA7A04" w:rsidR="008D73F9" w:rsidRPr="00FF756A" w:rsidRDefault="00F81903" w:rsidP="002A3944">
            <w:pPr>
              <w:spacing w:before="40" w:after="40" w:line="240" w:lineRule="auto"/>
              <w:rPr>
                <w:rFonts w:eastAsia="Arial"/>
                <w:iCs/>
                <w:sz w:val="20"/>
                <w:szCs w:val="20"/>
              </w:rPr>
            </w:pPr>
            <w:r w:rsidRPr="00FF756A">
              <w:rPr>
                <w:iCs/>
                <w:sz w:val="20"/>
                <w:szCs w:val="20"/>
              </w:rPr>
              <w:t>b) përcaktimin e kushteve, për personat fizikë, për t'u pajisur me certifikatën e audituesit të energjisë për auditimin e energjisë në ndërtesa dhe/ose industri.</w:t>
            </w:r>
          </w:p>
        </w:tc>
      </w:tr>
      <w:tr w:rsidR="008D73F9" w:rsidRPr="00FF756A" w14:paraId="19F9E8C4" w14:textId="77777777" w:rsidTr="00D75690">
        <w:tc>
          <w:tcPr>
            <w:tcW w:w="2972" w:type="dxa"/>
          </w:tcPr>
          <w:p w14:paraId="2383809F" w14:textId="19899A96" w:rsidR="008D73F9" w:rsidRPr="00FF756A" w:rsidRDefault="008D73F9" w:rsidP="002A3944">
            <w:pPr>
              <w:spacing w:before="40" w:after="40" w:line="240" w:lineRule="auto"/>
              <w:rPr>
                <w:iCs/>
                <w:sz w:val="20"/>
                <w:szCs w:val="20"/>
              </w:rPr>
            </w:pPr>
            <w:r w:rsidRPr="00FF756A">
              <w:rPr>
                <w:iCs/>
                <w:sz w:val="20"/>
                <w:szCs w:val="20"/>
              </w:rPr>
              <w:t>“Për miratimin e kategorive, të kushteve dhe kërkesave të kualifikimit për menaxherin e energjisë”</w:t>
            </w:r>
          </w:p>
        </w:tc>
        <w:tc>
          <w:tcPr>
            <w:tcW w:w="1701" w:type="dxa"/>
          </w:tcPr>
          <w:p w14:paraId="06EA1E8B" w14:textId="4EFC237D" w:rsidR="008D73F9" w:rsidRPr="00FF756A" w:rsidRDefault="008D73F9" w:rsidP="002A3944">
            <w:pPr>
              <w:spacing w:before="40" w:after="40" w:line="240" w:lineRule="auto"/>
              <w:rPr>
                <w:iCs/>
                <w:sz w:val="20"/>
                <w:szCs w:val="20"/>
              </w:rPr>
            </w:pPr>
            <w:r w:rsidRPr="00FF756A">
              <w:rPr>
                <w:iCs/>
                <w:sz w:val="20"/>
                <w:szCs w:val="20"/>
              </w:rPr>
              <w:t>VKM nr. 342, datë 22.5.2019</w:t>
            </w:r>
          </w:p>
        </w:tc>
        <w:tc>
          <w:tcPr>
            <w:tcW w:w="4961" w:type="dxa"/>
          </w:tcPr>
          <w:p w14:paraId="5EA2789C" w14:textId="2ACF441D" w:rsidR="008D73F9" w:rsidRPr="00FF756A" w:rsidRDefault="008D73F9" w:rsidP="002A3944">
            <w:pPr>
              <w:spacing w:before="40" w:after="40" w:line="240" w:lineRule="auto"/>
              <w:rPr>
                <w:rFonts w:eastAsia="Arial"/>
                <w:iCs/>
                <w:sz w:val="20"/>
                <w:szCs w:val="20"/>
              </w:rPr>
            </w:pPr>
            <w:r w:rsidRPr="00FF756A">
              <w:rPr>
                <w:iCs/>
                <w:sz w:val="20"/>
                <w:szCs w:val="20"/>
              </w:rPr>
              <w:t>Sipas Direktivës 2012/27/BE (Direktiva për Efiçencën e Energjisë - EED), qëllimi i këtij vendimi është të përcaktojë kategoritë, kushtet dhe kërkesat për kualifikimin dhe njohuritë profesionale të menaxherit të energjisë. Agjencia për Efiçencën e Energjisë (AEE) pajis menaxherët e energjisë me një certifikatë të testimit të njohurive për të garantuar që ata janë përgjegjës për mirëmbajtjen e pajisjeve që konsumojnë të gjitha format e energjisë, përmirësimin dhe monitorimin e modeleve të përdorimit të energjisë dhe kryerjen e detyrave të tjera për përdorimin racional të energjisë në ndërtesa dhe industri.</w:t>
            </w:r>
          </w:p>
        </w:tc>
      </w:tr>
      <w:tr w:rsidR="008D73F9" w:rsidRPr="00FF756A" w14:paraId="14042062" w14:textId="77777777" w:rsidTr="00D75690">
        <w:tc>
          <w:tcPr>
            <w:tcW w:w="2972" w:type="dxa"/>
          </w:tcPr>
          <w:p w14:paraId="2C6ECBF4" w14:textId="116D5CA5" w:rsidR="000E7FAC" w:rsidRPr="00FF756A" w:rsidRDefault="000E7FAC" w:rsidP="002A3944">
            <w:pPr>
              <w:pBdr>
                <w:top w:val="none" w:sz="0" w:space="0" w:color="auto"/>
                <w:left w:val="none" w:sz="0" w:space="0" w:color="auto"/>
                <w:bottom w:val="none" w:sz="0" w:space="0" w:color="auto"/>
                <w:right w:val="none" w:sz="0" w:space="0" w:color="auto"/>
                <w:between w:val="none" w:sz="0" w:space="0" w:color="auto"/>
              </w:pBdr>
              <w:spacing w:before="40" w:after="40" w:line="240" w:lineRule="auto"/>
              <w:rPr>
                <w:iCs/>
                <w:sz w:val="20"/>
                <w:szCs w:val="20"/>
              </w:rPr>
            </w:pPr>
            <w:r w:rsidRPr="00FF756A">
              <w:rPr>
                <w:iCs/>
                <w:sz w:val="20"/>
                <w:szCs w:val="20"/>
              </w:rPr>
              <w:t>“Për miratimin e platformës së monitorimit dhe verifikimit”</w:t>
            </w:r>
          </w:p>
          <w:p w14:paraId="4CC7F9E0" w14:textId="77777777" w:rsidR="008D73F9" w:rsidRPr="00FF756A" w:rsidRDefault="008D73F9" w:rsidP="002A3944">
            <w:pPr>
              <w:pBdr>
                <w:top w:val="none" w:sz="0" w:space="0" w:color="auto"/>
                <w:left w:val="none" w:sz="0" w:space="0" w:color="auto"/>
                <w:bottom w:val="none" w:sz="0" w:space="0" w:color="auto"/>
                <w:right w:val="none" w:sz="0" w:space="0" w:color="auto"/>
                <w:between w:val="none" w:sz="0" w:space="0" w:color="auto"/>
              </w:pBdr>
              <w:spacing w:before="40" w:after="40" w:line="240" w:lineRule="auto"/>
              <w:rPr>
                <w:iCs/>
                <w:sz w:val="20"/>
                <w:szCs w:val="20"/>
              </w:rPr>
            </w:pPr>
          </w:p>
        </w:tc>
        <w:tc>
          <w:tcPr>
            <w:tcW w:w="1701" w:type="dxa"/>
          </w:tcPr>
          <w:p w14:paraId="2EC9F27F" w14:textId="2E53EA23" w:rsidR="008D73F9" w:rsidRPr="00FF756A" w:rsidRDefault="000E7FAC" w:rsidP="002A3944">
            <w:pPr>
              <w:spacing w:before="40" w:after="40" w:line="240" w:lineRule="auto"/>
              <w:rPr>
                <w:iCs/>
                <w:sz w:val="20"/>
                <w:szCs w:val="20"/>
              </w:rPr>
            </w:pPr>
            <w:r w:rsidRPr="00FF756A">
              <w:rPr>
                <w:iCs/>
                <w:sz w:val="20"/>
                <w:szCs w:val="20"/>
              </w:rPr>
              <w:lastRenderedPageBreak/>
              <w:t>VKM nr. 189, datë 5.4.2023</w:t>
            </w:r>
          </w:p>
        </w:tc>
        <w:tc>
          <w:tcPr>
            <w:tcW w:w="4961" w:type="dxa"/>
          </w:tcPr>
          <w:p w14:paraId="1468D01A" w14:textId="0DB59B23" w:rsidR="008D73F9" w:rsidRPr="00FF756A" w:rsidRDefault="00881F0A" w:rsidP="000D4B94">
            <w:pPr>
              <w:pBdr>
                <w:top w:val="none" w:sz="0" w:space="0" w:color="auto"/>
                <w:left w:val="none" w:sz="0" w:space="0" w:color="auto"/>
                <w:bottom w:val="none" w:sz="0" w:space="0" w:color="auto"/>
                <w:right w:val="none" w:sz="0" w:space="0" w:color="auto"/>
                <w:between w:val="none" w:sz="0" w:space="0" w:color="auto"/>
              </w:pBdr>
              <w:spacing w:before="40" w:after="40" w:line="240" w:lineRule="auto"/>
              <w:rPr>
                <w:sz w:val="20"/>
                <w:szCs w:val="20"/>
              </w:rPr>
            </w:pPr>
            <w:r w:rsidRPr="00FF756A">
              <w:rPr>
                <w:sz w:val="20"/>
                <w:szCs w:val="20"/>
              </w:rPr>
              <w:t xml:space="preserve">Kjo VKM synon krijimin e Platformës së Monitorimit dhe Verifikimit për Efiçencën e Energjisë, e cila do të shërbejë </w:t>
            </w:r>
            <w:r w:rsidRPr="00FF756A">
              <w:rPr>
                <w:sz w:val="20"/>
                <w:szCs w:val="20"/>
              </w:rPr>
              <w:lastRenderedPageBreak/>
              <w:t>si një bazë të dhënash për vlerësimin e arritjes së objektivave kombëtare të efiçencës së energjisë.</w:t>
            </w:r>
          </w:p>
        </w:tc>
      </w:tr>
      <w:tr w:rsidR="008D73F9" w:rsidRPr="00FF756A" w14:paraId="6C8A4A7A" w14:textId="77777777" w:rsidTr="00D75690">
        <w:tc>
          <w:tcPr>
            <w:tcW w:w="2972" w:type="dxa"/>
          </w:tcPr>
          <w:p w14:paraId="37539287" w14:textId="170C20A8" w:rsidR="008D73F9" w:rsidRPr="00FF756A" w:rsidRDefault="00A21159" w:rsidP="002A3944">
            <w:pPr>
              <w:pBdr>
                <w:top w:val="none" w:sz="0" w:space="0" w:color="auto"/>
                <w:left w:val="none" w:sz="0" w:space="0" w:color="auto"/>
                <w:bottom w:val="none" w:sz="0" w:space="0" w:color="auto"/>
                <w:right w:val="none" w:sz="0" w:space="0" w:color="auto"/>
                <w:between w:val="none" w:sz="0" w:space="0" w:color="auto"/>
              </w:pBdr>
              <w:spacing w:before="40" w:after="40" w:line="240" w:lineRule="auto"/>
              <w:rPr>
                <w:iCs/>
                <w:sz w:val="20"/>
                <w:szCs w:val="20"/>
              </w:rPr>
            </w:pPr>
            <w:r w:rsidRPr="00FF756A">
              <w:rPr>
                <w:iCs/>
                <w:sz w:val="20"/>
                <w:szCs w:val="20"/>
              </w:rPr>
              <w:lastRenderedPageBreak/>
              <w:t>“Për përcaktimin e sasisë në përqindje të sipërfaqes së stokut të ndërtesave publike që do të rinovohen çdo vit, kundrejt sipërfaqes totale të stokut të ndërtesave publike”</w:t>
            </w:r>
          </w:p>
        </w:tc>
        <w:tc>
          <w:tcPr>
            <w:tcW w:w="1701" w:type="dxa"/>
          </w:tcPr>
          <w:p w14:paraId="1C2904BC" w14:textId="657F14E7" w:rsidR="008D73F9" w:rsidRPr="00FF756A" w:rsidRDefault="00A21159" w:rsidP="002A3944">
            <w:pPr>
              <w:spacing w:before="40" w:after="40" w:line="240" w:lineRule="auto"/>
              <w:rPr>
                <w:iCs/>
                <w:sz w:val="20"/>
                <w:szCs w:val="20"/>
              </w:rPr>
            </w:pPr>
            <w:r w:rsidRPr="00FF756A">
              <w:rPr>
                <w:iCs/>
                <w:sz w:val="20"/>
                <w:szCs w:val="20"/>
              </w:rPr>
              <w:t>VKM nr. 468, datë 17.7.2024</w:t>
            </w:r>
          </w:p>
        </w:tc>
        <w:tc>
          <w:tcPr>
            <w:tcW w:w="4961" w:type="dxa"/>
          </w:tcPr>
          <w:p w14:paraId="6CA762E8" w14:textId="13A73D17" w:rsidR="008D73F9" w:rsidRPr="00FF756A" w:rsidRDefault="00F81903" w:rsidP="002A3944">
            <w:pPr>
              <w:spacing w:before="40" w:after="40" w:line="240" w:lineRule="auto"/>
              <w:rPr>
                <w:rFonts w:eastAsia="Arial"/>
                <w:iCs/>
                <w:sz w:val="20"/>
                <w:szCs w:val="20"/>
              </w:rPr>
            </w:pPr>
            <w:r w:rsidRPr="00FF756A">
              <w:rPr>
                <w:iCs/>
                <w:sz w:val="20"/>
                <w:szCs w:val="20"/>
              </w:rPr>
              <w:t>Ky vendim përcakton përqindjen e sipërfaqes së stokut të ndërtesave publike që do të rinovohen çdo vit, kundrejt sipërfaqes totale të stokut të ndërtesave publike</w:t>
            </w:r>
            <w:r w:rsidR="002C04EC" w:rsidRPr="00FF756A">
              <w:rPr>
                <w:iCs/>
                <w:sz w:val="20"/>
                <w:szCs w:val="20"/>
              </w:rPr>
              <w:t>.</w:t>
            </w:r>
          </w:p>
        </w:tc>
      </w:tr>
      <w:tr w:rsidR="008D73F9" w:rsidRPr="00FF756A" w14:paraId="1B55204E" w14:textId="77777777" w:rsidTr="00D75690">
        <w:tc>
          <w:tcPr>
            <w:tcW w:w="2972" w:type="dxa"/>
          </w:tcPr>
          <w:p w14:paraId="10580F41" w14:textId="6C0B68FF" w:rsidR="008D73F9" w:rsidRPr="00FF756A" w:rsidRDefault="005C7C8D" w:rsidP="002A3944">
            <w:pPr>
              <w:pBdr>
                <w:top w:val="none" w:sz="0" w:space="0" w:color="auto"/>
                <w:left w:val="none" w:sz="0" w:space="0" w:color="auto"/>
                <w:bottom w:val="none" w:sz="0" w:space="0" w:color="auto"/>
                <w:right w:val="none" w:sz="0" w:space="0" w:color="auto"/>
                <w:between w:val="none" w:sz="0" w:space="0" w:color="auto"/>
              </w:pBdr>
              <w:spacing w:before="40" w:after="40" w:line="240" w:lineRule="auto"/>
              <w:rPr>
                <w:iCs/>
                <w:sz w:val="20"/>
                <w:szCs w:val="20"/>
              </w:rPr>
            </w:pPr>
            <w:r w:rsidRPr="00FF756A">
              <w:rPr>
                <w:iCs/>
                <w:sz w:val="20"/>
                <w:szCs w:val="20"/>
              </w:rPr>
              <w:t>“Për modelin e kontratës për kontraktimin e performancës së energjisë”;</w:t>
            </w:r>
          </w:p>
        </w:tc>
        <w:tc>
          <w:tcPr>
            <w:tcW w:w="1701" w:type="dxa"/>
          </w:tcPr>
          <w:p w14:paraId="1D4DD781" w14:textId="68B1DB94" w:rsidR="008D73F9" w:rsidRPr="00FF756A" w:rsidRDefault="00A21159" w:rsidP="002A3944">
            <w:pPr>
              <w:spacing w:before="40" w:after="40" w:line="240" w:lineRule="auto"/>
              <w:rPr>
                <w:iCs/>
                <w:sz w:val="20"/>
                <w:szCs w:val="20"/>
              </w:rPr>
            </w:pPr>
            <w:r w:rsidRPr="00FF756A">
              <w:rPr>
                <w:iCs/>
                <w:sz w:val="20"/>
                <w:szCs w:val="20"/>
              </w:rPr>
              <w:t>Udhëzimi i Ministrit të Infrastrukturës dhe Energjisë nr. 23, datë 17.10.2022</w:t>
            </w:r>
          </w:p>
        </w:tc>
        <w:tc>
          <w:tcPr>
            <w:tcW w:w="4961" w:type="dxa"/>
          </w:tcPr>
          <w:p w14:paraId="21C64C06" w14:textId="50419D06" w:rsidR="00EB1183" w:rsidRPr="00FF756A" w:rsidRDefault="00EB1183" w:rsidP="002A3944">
            <w:pPr>
              <w:spacing w:before="40" w:after="40" w:line="240" w:lineRule="auto"/>
              <w:rPr>
                <w:rFonts w:eastAsia="Arial"/>
                <w:iCs/>
                <w:sz w:val="20"/>
                <w:szCs w:val="20"/>
              </w:rPr>
            </w:pPr>
            <w:r w:rsidRPr="00FF756A">
              <w:rPr>
                <w:iCs/>
                <w:sz w:val="20"/>
                <w:szCs w:val="20"/>
              </w:rPr>
              <w:t>Modeli i kontratës i miratuar synon nxitjen e zhvillimit të tregut kombëtar të shërbimeve energjetike në Republikën e Shqipërisë, duke përcaktuar rregullat dhe procedurat për funksionimin e shoqërive të shërbimeve energjetike (ESCO).</w:t>
            </w:r>
          </w:p>
          <w:p w14:paraId="4E512DC1" w14:textId="1230FD0F" w:rsidR="008D73F9" w:rsidRPr="00FF756A" w:rsidRDefault="00EB1183" w:rsidP="002A3944">
            <w:pPr>
              <w:spacing w:before="40" w:after="40" w:line="240" w:lineRule="auto"/>
              <w:rPr>
                <w:rFonts w:eastAsia="Arial"/>
                <w:iCs/>
                <w:sz w:val="20"/>
                <w:szCs w:val="20"/>
              </w:rPr>
            </w:pPr>
            <w:r w:rsidRPr="00FF756A">
              <w:rPr>
                <w:iCs/>
                <w:sz w:val="20"/>
                <w:szCs w:val="20"/>
              </w:rPr>
              <w:t>Kjo rregullore synon gjithashtu krijimin e modelit të kontratës së performancës së energjisë që do të rregullojë veprimtarinë midis subjekteve juridike që ofrojnë shërbime energjetike për përmirësimin e efiçencës së energjisë dhe subjekteve fizike dhe/ose juridike, publike ose private, që janë konsumatorë fundorë të energjisë (klientët) lidhur me kushtet dhe procedurat e bashkëpunimit për zbatimin e masave që reduktojnë konsumin dhe kostot e energjisë në mënyrë të qëndrueshme në aspektin teknik dhe financiar.</w:t>
            </w:r>
          </w:p>
        </w:tc>
      </w:tr>
      <w:tr w:rsidR="008D73F9" w:rsidRPr="00FF756A" w14:paraId="7E8D1ACC" w14:textId="77777777" w:rsidTr="00D75690">
        <w:tc>
          <w:tcPr>
            <w:tcW w:w="2972" w:type="dxa"/>
          </w:tcPr>
          <w:p w14:paraId="7288147C" w14:textId="7C68EAD5" w:rsidR="008D73F9" w:rsidRPr="00FF756A" w:rsidRDefault="005C7C8D" w:rsidP="002A3944">
            <w:pPr>
              <w:pBdr>
                <w:top w:val="none" w:sz="0" w:space="0" w:color="auto"/>
                <w:left w:val="none" w:sz="0" w:space="0" w:color="auto"/>
                <w:bottom w:val="none" w:sz="0" w:space="0" w:color="auto"/>
                <w:right w:val="none" w:sz="0" w:space="0" w:color="auto"/>
                <w:between w:val="none" w:sz="0" w:space="0" w:color="auto"/>
              </w:pBdr>
              <w:spacing w:before="40" w:after="40" w:line="240" w:lineRule="auto"/>
              <w:rPr>
                <w:iCs/>
                <w:sz w:val="20"/>
                <w:szCs w:val="20"/>
              </w:rPr>
            </w:pPr>
            <w:r w:rsidRPr="00FF756A">
              <w:rPr>
                <w:iCs/>
                <w:sz w:val="20"/>
                <w:szCs w:val="20"/>
              </w:rPr>
              <w:t>“Për miratimin e formës dhe afateve të paraqitjes së të dhënave dhe informacionit për konsumin e energjisë”</w:t>
            </w:r>
          </w:p>
        </w:tc>
        <w:tc>
          <w:tcPr>
            <w:tcW w:w="1701" w:type="dxa"/>
          </w:tcPr>
          <w:p w14:paraId="6986CC5C" w14:textId="1D8C42A2" w:rsidR="008D73F9" w:rsidRPr="00FF756A" w:rsidRDefault="00A21159" w:rsidP="002A3944">
            <w:pPr>
              <w:spacing w:before="40" w:after="40" w:line="240" w:lineRule="auto"/>
              <w:rPr>
                <w:iCs/>
                <w:sz w:val="20"/>
                <w:szCs w:val="20"/>
              </w:rPr>
            </w:pPr>
            <w:r w:rsidRPr="00FF756A">
              <w:rPr>
                <w:iCs/>
                <w:sz w:val="20"/>
                <w:szCs w:val="20"/>
              </w:rPr>
              <w:t>Udhëzimi i Ministrit të Infrastrukturës dhe Energjisë nr. 1, datë 27.01.2023</w:t>
            </w:r>
          </w:p>
        </w:tc>
        <w:tc>
          <w:tcPr>
            <w:tcW w:w="4961" w:type="dxa"/>
          </w:tcPr>
          <w:p w14:paraId="497EF8D1" w14:textId="2A95F200" w:rsidR="00764A6F" w:rsidRPr="00FF756A" w:rsidRDefault="00FC17F0" w:rsidP="002A3944">
            <w:pPr>
              <w:spacing w:before="40" w:after="40" w:line="240" w:lineRule="auto"/>
              <w:rPr>
                <w:rFonts w:eastAsia="Arial"/>
                <w:iCs/>
                <w:sz w:val="20"/>
                <w:szCs w:val="20"/>
              </w:rPr>
            </w:pPr>
            <w:r w:rsidRPr="00FF756A">
              <w:rPr>
                <w:iCs/>
                <w:sz w:val="20"/>
                <w:szCs w:val="20"/>
              </w:rPr>
              <w:t xml:space="preserve">1. </w:t>
            </w:r>
            <w:r w:rsidR="00764A6F" w:rsidRPr="00FF756A">
              <w:rPr>
                <w:iCs/>
                <w:sz w:val="20"/>
                <w:szCs w:val="20"/>
              </w:rPr>
              <w:t>Agjencia për Efiçencën e Energjisë (AEE) ofron informacion dhe të dhëna në lidhje me konsumin e energjisë në vend dhe kostot përkatëse, në përputhje me aktet ligjore në fuqi dhe dispozitat e këtij udhëzimi.</w:t>
            </w:r>
          </w:p>
          <w:p w14:paraId="735AD43D" w14:textId="271C4351" w:rsidR="008D73F9" w:rsidRPr="00FF756A" w:rsidRDefault="00764A6F" w:rsidP="002A3944">
            <w:pPr>
              <w:spacing w:before="40" w:after="40" w:line="240" w:lineRule="auto"/>
              <w:rPr>
                <w:rFonts w:eastAsia="Arial"/>
                <w:iCs/>
                <w:sz w:val="20"/>
                <w:szCs w:val="20"/>
              </w:rPr>
            </w:pPr>
            <w:r w:rsidRPr="00FF756A">
              <w:rPr>
                <w:iCs/>
                <w:sz w:val="20"/>
                <w:szCs w:val="20"/>
              </w:rPr>
              <w:t>2. AEE-ja ofron informacion të përditësuar mbi të dhënat e identifikimit të menaxherit të energjisë të angazhuar nga Konsumatori i Madh i Energjisë</w:t>
            </w:r>
          </w:p>
        </w:tc>
      </w:tr>
      <w:tr w:rsidR="008D73F9" w:rsidRPr="00FF756A" w14:paraId="74167221" w14:textId="77777777" w:rsidTr="00D75690">
        <w:tc>
          <w:tcPr>
            <w:tcW w:w="2972" w:type="dxa"/>
          </w:tcPr>
          <w:p w14:paraId="064A0105" w14:textId="6005EB08" w:rsidR="008D73F9" w:rsidRPr="00FF756A" w:rsidRDefault="005C7C8D" w:rsidP="002A3944">
            <w:pPr>
              <w:spacing w:before="40" w:after="40" w:line="240" w:lineRule="auto"/>
              <w:rPr>
                <w:iCs/>
                <w:sz w:val="20"/>
                <w:szCs w:val="20"/>
              </w:rPr>
            </w:pPr>
            <w:r w:rsidRPr="00FF756A">
              <w:rPr>
                <w:iCs/>
                <w:sz w:val="20"/>
                <w:szCs w:val="20"/>
              </w:rPr>
              <w:t>“Për elementet, kërkesat dhe parimet e përgjithshme të analizës së kostos dhe përfitimit për vlerësimin e potencialit të aplikimit të kogjenerimit me efiçencë të lartë, si dhe të ngrohjes dhe ftohjes efiçente”</w:t>
            </w:r>
          </w:p>
        </w:tc>
        <w:tc>
          <w:tcPr>
            <w:tcW w:w="1701" w:type="dxa"/>
          </w:tcPr>
          <w:p w14:paraId="6015C87F" w14:textId="486C58CB" w:rsidR="008D73F9" w:rsidRPr="00FF756A" w:rsidRDefault="00A21159" w:rsidP="002A3944">
            <w:pPr>
              <w:spacing w:before="40" w:after="40" w:line="240" w:lineRule="auto"/>
              <w:rPr>
                <w:iCs/>
                <w:sz w:val="20"/>
                <w:szCs w:val="20"/>
              </w:rPr>
            </w:pPr>
            <w:r w:rsidRPr="00FF756A">
              <w:rPr>
                <w:iCs/>
                <w:sz w:val="20"/>
                <w:szCs w:val="20"/>
              </w:rPr>
              <w:t>Udhëzimi i Ministrit të Infrastrukturës dhe Energjisë nr. 2, datë 1.2.2023</w:t>
            </w:r>
          </w:p>
        </w:tc>
        <w:tc>
          <w:tcPr>
            <w:tcW w:w="4961" w:type="dxa"/>
          </w:tcPr>
          <w:p w14:paraId="3EB9AC5E" w14:textId="7A1B003A" w:rsidR="008D73F9" w:rsidRPr="00FF756A" w:rsidRDefault="00D26936" w:rsidP="002A3944">
            <w:pPr>
              <w:spacing w:before="40" w:after="40" w:line="240" w:lineRule="auto"/>
              <w:rPr>
                <w:rFonts w:eastAsia="Arial"/>
                <w:iCs/>
                <w:sz w:val="20"/>
                <w:szCs w:val="20"/>
                <w:highlight w:val="yellow"/>
              </w:rPr>
            </w:pPr>
            <w:r w:rsidRPr="00FF756A">
              <w:rPr>
                <w:iCs/>
                <w:sz w:val="20"/>
                <w:szCs w:val="20"/>
              </w:rPr>
              <w:t>Kjo rregullore konsiston në vlerësimin në nivel kombëtar të potencialit të përdorimit të kogjenerimit me efiçencë të lartë, si dhe të ngrohjes dhe ftohjes efiçente në sistemet qendrore. Agjencia përgjegjëse për efiçencën e energjisë vlerëson realizimin e analizës së kostos dhe përfitimit në të paktën 30% të njësive të vetëqeverisjes vendore, në varësi të burimeve të disponueshme të energjisë dhe zonës klimatike.</w:t>
            </w:r>
          </w:p>
        </w:tc>
      </w:tr>
      <w:tr w:rsidR="008D73F9" w:rsidRPr="00FF756A" w14:paraId="41BA3F82" w14:textId="77777777" w:rsidTr="00D75690">
        <w:tc>
          <w:tcPr>
            <w:tcW w:w="2972" w:type="dxa"/>
          </w:tcPr>
          <w:p w14:paraId="2A5C0BDC" w14:textId="5E168345" w:rsidR="005C7C8D" w:rsidRPr="00FF756A" w:rsidRDefault="005C7C8D" w:rsidP="002A3944">
            <w:pPr>
              <w:pBdr>
                <w:top w:val="none" w:sz="0" w:space="0" w:color="auto"/>
                <w:left w:val="none" w:sz="0" w:space="0" w:color="auto"/>
                <w:bottom w:val="none" w:sz="0" w:space="0" w:color="auto"/>
                <w:right w:val="none" w:sz="0" w:space="0" w:color="auto"/>
                <w:between w:val="none" w:sz="0" w:space="0" w:color="auto"/>
              </w:pBdr>
              <w:spacing w:before="40" w:after="40" w:line="240" w:lineRule="auto"/>
              <w:rPr>
                <w:iCs/>
                <w:sz w:val="20"/>
                <w:szCs w:val="20"/>
              </w:rPr>
            </w:pPr>
            <w:r w:rsidRPr="00FF756A">
              <w:rPr>
                <w:iCs/>
                <w:sz w:val="20"/>
                <w:szCs w:val="20"/>
              </w:rPr>
              <w:t>“Për llojin dhe periodicitetin e informacionit që vihet në dispozicion nga Agjencia për Efiçencën e Energjisë”</w:t>
            </w:r>
          </w:p>
          <w:p w14:paraId="1C254FFB" w14:textId="77777777" w:rsidR="008D73F9" w:rsidRPr="00FF756A" w:rsidRDefault="008D73F9" w:rsidP="002A3944">
            <w:pPr>
              <w:spacing w:before="40" w:after="40" w:line="240" w:lineRule="auto"/>
              <w:rPr>
                <w:iCs/>
                <w:sz w:val="20"/>
                <w:szCs w:val="20"/>
              </w:rPr>
            </w:pPr>
          </w:p>
        </w:tc>
        <w:tc>
          <w:tcPr>
            <w:tcW w:w="1701" w:type="dxa"/>
          </w:tcPr>
          <w:p w14:paraId="5E7A0A8D" w14:textId="53476B90" w:rsidR="008D73F9" w:rsidRPr="00FF756A" w:rsidRDefault="00A21159" w:rsidP="002A3944">
            <w:pPr>
              <w:spacing w:before="40" w:after="40" w:line="240" w:lineRule="auto"/>
              <w:rPr>
                <w:iCs/>
                <w:sz w:val="20"/>
                <w:szCs w:val="20"/>
              </w:rPr>
            </w:pPr>
            <w:r w:rsidRPr="00FF756A">
              <w:rPr>
                <w:iCs/>
                <w:sz w:val="20"/>
                <w:szCs w:val="20"/>
              </w:rPr>
              <w:t>Udhëzimi i Ministrit të Infrastrukturës nr. 9, datë 29.5.2023</w:t>
            </w:r>
          </w:p>
        </w:tc>
        <w:tc>
          <w:tcPr>
            <w:tcW w:w="4961" w:type="dxa"/>
          </w:tcPr>
          <w:p w14:paraId="0AF3B02C" w14:textId="4237306D" w:rsidR="008D73F9" w:rsidRPr="00FF756A" w:rsidRDefault="00764A6F" w:rsidP="002A3944">
            <w:pPr>
              <w:spacing w:before="40" w:after="40" w:line="240" w:lineRule="auto"/>
              <w:rPr>
                <w:rFonts w:eastAsia="Arial"/>
                <w:iCs/>
                <w:sz w:val="20"/>
                <w:szCs w:val="20"/>
              </w:rPr>
            </w:pPr>
            <w:r w:rsidRPr="00FF756A">
              <w:rPr>
                <w:iCs/>
                <w:sz w:val="20"/>
                <w:szCs w:val="20"/>
              </w:rPr>
              <w:t>Qëllimi i këtij udhëzimi është të informojë dhe të rrisë kapacitetet e palëve të interesuara, në lidhje me mekanizmat e efiçencës së energjisë, metodat dhe praktikat e ndryshme që shërbejnë për rritjen e performancës së energjisë, nëpërmjet informacionit të përditësuar dhe prezantimit të praktikave më të mira në dispozicion për arritjen e objektivit kombëtar të kursimit të energjisë.</w:t>
            </w:r>
          </w:p>
        </w:tc>
      </w:tr>
      <w:tr w:rsidR="008D73F9" w:rsidRPr="00FF756A" w14:paraId="56F8C1F5" w14:textId="77777777" w:rsidTr="00D75690">
        <w:tc>
          <w:tcPr>
            <w:tcW w:w="2972" w:type="dxa"/>
          </w:tcPr>
          <w:p w14:paraId="5E4330A6" w14:textId="20B6E774" w:rsidR="005C7C8D" w:rsidRPr="00FF756A" w:rsidRDefault="005C7C8D" w:rsidP="002A3944">
            <w:pPr>
              <w:pBdr>
                <w:top w:val="none" w:sz="0" w:space="0" w:color="auto"/>
                <w:left w:val="none" w:sz="0" w:space="0" w:color="auto"/>
                <w:bottom w:val="none" w:sz="0" w:space="0" w:color="auto"/>
                <w:right w:val="none" w:sz="0" w:space="0" w:color="auto"/>
                <w:between w:val="none" w:sz="0" w:space="0" w:color="auto"/>
              </w:pBdr>
              <w:spacing w:before="40" w:after="40" w:line="240" w:lineRule="auto"/>
              <w:rPr>
                <w:rFonts w:eastAsiaTheme="minorHAnsi"/>
                <w:kern w:val="2"/>
                <w:sz w:val="20"/>
                <w:szCs w:val="20"/>
                <w14:ligatures w14:val="standardContextual"/>
              </w:rPr>
            </w:pPr>
            <w:r w:rsidRPr="00FF756A">
              <w:rPr>
                <w:iCs/>
                <w:sz w:val="20"/>
                <w:szCs w:val="20"/>
              </w:rPr>
              <w:t>“Për</w:t>
            </w:r>
            <w:r w:rsidRPr="00FF756A">
              <w:rPr>
                <w:sz w:val="20"/>
                <w:szCs w:val="20"/>
              </w:rPr>
              <w:t xml:space="preserve"> </w:t>
            </w:r>
            <w:r w:rsidRPr="00FF756A">
              <w:rPr>
                <w:iCs/>
                <w:sz w:val="20"/>
                <w:szCs w:val="20"/>
              </w:rPr>
              <w:t>rregullat e përcaktimit të konsumit të energjisë termike”</w:t>
            </w:r>
          </w:p>
          <w:p w14:paraId="2123288F" w14:textId="77777777" w:rsidR="008D73F9" w:rsidRPr="00FF756A" w:rsidRDefault="008D73F9" w:rsidP="002A3944">
            <w:pPr>
              <w:spacing w:before="40" w:after="40" w:line="240" w:lineRule="auto"/>
              <w:rPr>
                <w:iCs/>
                <w:sz w:val="20"/>
                <w:szCs w:val="20"/>
              </w:rPr>
            </w:pPr>
          </w:p>
        </w:tc>
        <w:tc>
          <w:tcPr>
            <w:tcW w:w="1701" w:type="dxa"/>
          </w:tcPr>
          <w:p w14:paraId="5CD7B09E" w14:textId="21A18434" w:rsidR="008D73F9" w:rsidRPr="00FF756A" w:rsidRDefault="00A21159" w:rsidP="002A3944">
            <w:pPr>
              <w:spacing w:before="40" w:after="40" w:line="240" w:lineRule="auto"/>
              <w:rPr>
                <w:iCs/>
                <w:sz w:val="20"/>
                <w:szCs w:val="20"/>
              </w:rPr>
            </w:pPr>
            <w:r w:rsidRPr="00FF756A">
              <w:rPr>
                <w:iCs/>
                <w:sz w:val="20"/>
                <w:szCs w:val="20"/>
              </w:rPr>
              <w:t>Udhëzimi i Ministrit të Infrastrukturës nr. 4/2024</w:t>
            </w:r>
          </w:p>
        </w:tc>
        <w:tc>
          <w:tcPr>
            <w:tcW w:w="4961" w:type="dxa"/>
          </w:tcPr>
          <w:p w14:paraId="599F7FDA" w14:textId="4971E3BD" w:rsidR="008D73F9" w:rsidRPr="00FF756A" w:rsidRDefault="00755E17" w:rsidP="002A3944">
            <w:pPr>
              <w:spacing w:before="40" w:after="40" w:line="240" w:lineRule="auto"/>
              <w:rPr>
                <w:rFonts w:eastAsia="Arial"/>
                <w:iCs/>
                <w:sz w:val="20"/>
                <w:szCs w:val="20"/>
              </w:rPr>
            </w:pPr>
            <w:r w:rsidRPr="00FF756A">
              <w:rPr>
                <w:iCs/>
                <w:sz w:val="20"/>
                <w:szCs w:val="20"/>
              </w:rPr>
              <w:t>Qëllimi kryesor i rregullores është përcaktimi i rregullave të konsumit të energjisë termike (në vijim "Metodologjia") me qëllim zbatimin e faturimit të bazuar në konsum, duke përcaktuar rregullat e llogaritjes së faturës së energjisë termike për klientët që jetojnë në ndërtesa me shumë njësi.</w:t>
            </w:r>
          </w:p>
        </w:tc>
      </w:tr>
      <w:tr w:rsidR="007B6B09" w:rsidRPr="00FF756A" w14:paraId="73AC6853" w14:textId="77777777" w:rsidTr="00D75690">
        <w:tc>
          <w:tcPr>
            <w:tcW w:w="2972" w:type="dxa"/>
          </w:tcPr>
          <w:p w14:paraId="51D3F35E" w14:textId="2B87D91E" w:rsidR="007B6B09" w:rsidRPr="00FF756A" w:rsidRDefault="007B6B09" w:rsidP="002A3944">
            <w:pPr>
              <w:pBdr>
                <w:top w:val="none" w:sz="0" w:space="0" w:color="auto"/>
                <w:left w:val="none" w:sz="0" w:space="0" w:color="auto"/>
                <w:bottom w:val="none" w:sz="0" w:space="0" w:color="auto"/>
                <w:right w:val="none" w:sz="0" w:space="0" w:color="auto"/>
                <w:between w:val="none" w:sz="0" w:space="0" w:color="auto"/>
              </w:pBdr>
              <w:spacing w:before="40" w:after="40" w:line="240" w:lineRule="auto"/>
              <w:rPr>
                <w:rFonts w:eastAsia="Times New Roman"/>
                <w:sz w:val="20"/>
                <w:szCs w:val="20"/>
              </w:rPr>
            </w:pPr>
            <w:r w:rsidRPr="00FF756A">
              <w:rPr>
                <w:iCs/>
                <w:sz w:val="20"/>
                <w:szCs w:val="20"/>
              </w:rPr>
              <w:t>“Për përcaktimin e rregullave, procedurave dhe metodologjisë për klientët familjarë që përfitojnë nga masat e financimit për kursimin e energjisë nga panelet diellore”</w:t>
            </w:r>
          </w:p>
        </w:tc>
        <w:tc>
          <w:tcPr>
            <w:tcW w:w="1701" w:type="dxa"/>
          </w:tcPr>
          <w:p w14:paraId="4B2C38A3" w14:textId="26883353" w:rsidR="007B6B09" w:rsidRPr="00FF756A" w:rsidRDefault="007B6B09" w:rsidP="002A3944">
            <w:pPr>
              <w:spacing w:before="40" w:after="40" w:line="240" w:lineRule="auto"/>
              <w:rPr>
                <w:iCs/>
                <w:sz w:val="20"/>
                <w:szCs w:val="20"/>
              </w:rPr>
            </w:pPr>
            <w:r w:rsidRPr="00FF756A">
              <w:rPr>
                <w:iCs/>
                <w:sz w:val="20"/>
                <w:szCs w:val="20"/>
              </w:rPr>
              <w:t>Udhëzimi i Ministrit të Infrastrukturës dhe Energjisë nr. 22, datë 27.10.2022</w:t>
            </w:r>
          </w:p>
        </w:tc>
        <w:tc>
          <w:tcPr>
            <w:tcW w:w="4961" w:type="dxa"/>
          </w:tcPr>
          <w:p w14:paraId="7A85A233" w14:textId="66F7E944" w:rsidR="007B6B09" w:rsidRPr="00FF756A" w:rsidRDefault="007B6B09" w:rsidP="002A3944">
            <w:pPr>
              <w:spacing w:before="40" w:after="40" w:line="240" w:lineRule="auto"/>
              <w:rPr>
                <w:rFonts w:eastAsia="Arial"/>
                <w:iCs/>
                <w:sz w:val="20"/>
                <w:szCs w:val="20"/>
              </w:rPr>
            </w:pPr>
            <w:r w:rsidRPr="00FF756A">
              <w:rPr>
                <w:iCs/>
                <w:sz w:val="20"/>
                <w:szCs w:val="20"/>
              </w:rPr>
              <w:t>Përmes kësaj skeme mbështetëse që do të kontribuojë në reduktimin e konsumit afatgjatë të energjisë elektrike, 2000 konsumatorë familjarë kanë marrë subvencione nga qeveria për të mbuluar deri në 70% të kostos për instalimin e paneleve diellore që do të furnizojnë ndërtesat e tyre me ujë të ngrohtë sanitar.</w:t>
            </w:r>
          </w:p>
        </w:tc>
      </w:tr>
      <w:tr w:rsidR="008D73F9" w:rsidRPr="00FF756A" w14:paraId="62EB5573" w14:textId="77777777" w:rsidTr="00D75690">
        <w:tc>
          <w:tcPr>
            <w:tcW w:w="2972" w:type="dxa"/>
          </w:tcPr>
          <w:p w14:paraId="617BFCB6" w14:textId="15A13010" w:rsidR="008D73F9" w:rsidRPr="00FF756A" w:rsidRDefault="005C7C8D" w:rsidP="002A3944">
            <w:pPr>
              <w:pBdr>
                <w:top w:val="none" w:sz="0" w:space="0" w:color="auto"/>
                <w:left w:val="none" w:sz="0" w:space="0" w:color="auto"/>
                <w:bottom w:val="none" w:sz="0" w:space="0" w:color="auto"/>
                <w:right w:val="none" w:sz="0" w:space="0" w:color="auto"/>
                <w:between w:val="none" w:sz="0" w:space="0" w:color="auto"/>
              </w:pBdr>
              <w:spacing w:before="40" w:after="40" w:line="240" w:lineRule="auto"/>
              <w:rPr>
                <w:sz w:val="20"/>
                <w:szCs w:val="20"/>
              </w:rPr>
            </w:pPr>
            <w:r w:rsidRPr="00FF756A">
              <w:rPr>
                <w:iCs/>
                <w:sz w:val="20"/>
                <w:szCs w:val="20"/>
              </w:rPr>
              <w:lastRenderedPageBreak/>
              <w:t>“Për miratimin e formatit të planeve të veprimit të konsumatorëve të mëdhenj të energjisë dhe raportit vjetor të progresit”</w:t>
            </w:r>
            <w:r w:rsidR="00FC17F0" w:rsidRPr="00FF756A">
              <w:rPr>
                <w:iCs/>
                <w:sz w:val="20"/>
                <w:szCs w:val="20"/>
              </w:rPr>
              <w:t>.</w:t>
            </w:r>
          </w:p>
        </w:tc>
        <w:tc>
          <w:tcPr>
            <w:tcW w:w="1701" w:type="dxa"/>
          </w:tcPr>
          <w:p w14:paraId="6C9AAEA7" w14:textId="0E6567BD" w:rsidR="008D73F9" w:rsidRPr="00FF756A" w:rsidRDefault="00A21159" w:rsidP="002A3944">
            <w:pPr>
              <w:spacing w:before="40" w:after="40" w:line="240" w:lineRule="auto"/>
              <w:rPr>
                <w:iCs/>
                <w:sz w:val="20"/>
                <w:szCs w:val="20"/>
              </w:rPr>
            </w:pPr>
            <w:r w:rsidRPr="00FF756A">
              <w:rPr>
                <w:iCs/>
                <w:sz w:val="20"/>
                <w:szCs w:val="20"/>
              </w:rPr>
              <w:t>Urdhri i Ministrit nr. 203, datë 18.10.2022</w:t>
            </w:r>
          </w:p>
        </w:tc>
        <w:tc>
          <w:tcPr>
            <w:tcW w:w="4961" w:type="dxa"/>
          </w:tcPr>
          <w:p w14:paraId="052B2306" w14:textId="730778D1" w:rsidR="008D73F9" w:rsidRPr="00FF756A" w:rsidRDefault="004610EF" w:rsidP="002A3944">
            <w:pPr>
              <w:spacing w:before="40" w:after="40" w:line="240" w:lineRule="auto"/>
              <w:rPr>
                <w:iCs/>
                <w:sz w:val="20"/>
                <w:szCs w:val="20"/>
              </w:rPr>
            </w:pPr>
            <w:r w:rsidRPr="00FF756A">
              <w:rPr>
                <w:iCs/>
                <w:sz w:val="20"/>
                <w:szCs w:val="20"/>
              </w:rPr>
              <w:t>Nëpërmjet zbatimit të këtyre masave do të mund të garantohet arritja e kursimeve të energjisë në masën prej të paktën 4% të totalit të energjisë ekuivalente të konsumuar nga kjo kategori konsumatorësh. Këto plane hartohen në bazë të raporteve të auditimit të energjisë për konsumatorët e mëdhenj, të kryer nga një auditues i licencuar i energjisë. Konsumatorët e mëdhenj të energjisë, të cilët kanë certifikuar sistemin e tyre të menaxhimit të energjisë sipas standardit ISO, do të përdorin formatin e raportit të progresit për të raportuar arritjet e tyre në reduktimin e energjisë.</w:t>
            </w:r>
          </w:p>
        </w:tc>
      </w:tr>
      <w:tr w:rsidR="008D73F9" w:rsidRPr="00FF756A" w14:paraId="611D7757" w14:textId="77777777" w:rsidTr="00D75690">
        <w:tc>
          <w:tcPr>
            <w:tcW w:w="2972" w:type="dxa"/>
          </w:tcPr>
          <w:p w14:paraId="793A066C" w14:textId="63BD9952" w:rsidR="008D73F9" w:rsidRPr="00FF756A" w:rsidRDefault="005C7C8D" w:rsidP="002A3944">
            <w:pPr>
              <w:pBdr>
                <w:top w:val="none" w:sz="0" w:space="0" w:color="auto"/>
                <w:left w:val="none" w:sz="0" w:space="0" w:color="auto"/>
                <w:bottom w:val="none" w:sz="0" w:space="0" w:color="auto"/>
                <w:right w:val="none" w:sz="0" w:space="0" w:color="auto"/>
                <w:between w:val="none" w:sz="0" w:space="0" w:color="auto"/>
              </w:pBdr>
              <w:spacing w:before="40" w:after="40" w:line="240" w:lineRule="auto"/>
              <w:rPr>
                <w:sz w:val="20"/>
                <w:szCs w:val="20"/>
              </w:rPr>
            </w:pPr>
            <w:r w:rsidRPr="00FF756A">
              <w:rPr>
                <w:iCs/>
                <w:sz w:val="20"/>
                <w:szCs w:val="20"/>
              </w:rPr>
              <w:t>“Për miratimin e formatit të planeve vendore të veprimit për efiçencën e energjisë dhe raportit të progresit për zbatimin e planeve”;</w:t>
            </w:r>
          </w:p>
        </w:tc>
        <w:tc>
          <w:tcPr>
            <w:tcW w:w="1701" w:type="dxa"/>
          </w:tcPr>
          <w:p w14:paraId="421561C8" w14:textId="1994D63E" w:rsidR="008D73F9" w:rsidRPr="00FF756A" w:rsidRDefault="00A21159" w:rsidP="002A3944">
            <w:pPr>
              <w:spacing w:before="40" w:after="40" w:line="240" w:lineRule="auto"/>
              <w:rPr>
                <w:iCs/>
                <w:sz w:val="20"/>
                <w:szCs w:val="20"/>
              </w:rPr>
            </w:pPr>
            <w:r w:rsidRPr="00FF756A">
              <w:rPr>
                <w:iCs/>
                <w:sz w:val="20"/>
                <w:szCs w:val="20"/>
              </w:rPr>
              <w:t>Urdhri i Ministrit nr. 206, datë 25.10.2022</w:t>
            </w:r>
          </w:p>
        </w:tc>
        <w:tc>
          <w:tcPr>
            <w:tcW w:w="4961" w:type="dxa"/>
          </w:tcPr>
          <w:p w14:paraId="49551BEF" w14:textId="5D9AFBAE" w:rsidR="008D73F9" w:rsidRPr="00FF756A" w:rsidRDefault="004610EF" w:rsidP="002A3944">
            <w:pPr>
              <w:spacing w:before="40" w:after="40" w:line="240" w:lineRule="auto"/>
              <w:rPr>
                <w:rFonts w:eastAsia="Arial"/>
                <w:iCs/>
                <w:sz w:val="20"/>
                <w:szCs w:val="20"/>
              </w:rPr>
            </w:pPr>
            <w:r w:rsidRPr="00FF756A">
              <w:rPr>
                <w:iCs/>
                <w:sz w:val="20"/>
                <w:szCs w:val="20"/>
              </w:rPr>
              <w:t>Urdhri synon të përcaktojë strukturën/formatin e përgatitjes dhe prezantimit të planeve vendore të efiçencës së energjisë dhe formatin e raportimit periodik pranë strukturave përgjegjëse të cilat do të monitorojnë aktivitetet ekonomike në nivel bashkiak. Ky akt ligjor do të shërbejë si një mekanizëm i cili do të rrisë efiçencën e energjisë dhe do të reduktojë konsumin final të energjisë në ndërtesa, shërbime, objekte dhe aktivitete të tjera të njësisë së qeverisjes vendore.</w:t>
            </w:r>
          </w:p>
        </w:tc>
      </w:tr>
      <w:tr w:rsidR="008D73F9" w:rsidRPr="00FF756A" w14:paraId="3D5C6580" w14:textId="77777777" w:rsidTr="00D75690">
        <w:tc>
          <w:tcPr>
            <w:tcW w:w="2972" w:type="dxa"/>
          </w:tcPr>
          <w:p w14:paraId="0228554B" w14:textId="1BEAF7C2" w:rsidR="008D73F9" w:rsidRPr="00FF756A" w:rsidRDefault="005C7C8D" w:rsidP="002A3944">
            <w:pPr>
              <w:pBdr>
                <w:top w:val="none" w:sz="0" w:space="0" w:color="auto"/>
                <w:left w:val="none" w:sz="0" w:space="0" w:color="auto"/>
                <w:bottom w:val="none" w:sz="0" w:space="0" w:color="auto"/>
                <w:right w:val="none" w:sz="0" w:space="0" w:color="auto"/>
                <w:between w:val="none" w:sz="0" w:space="0" w:color="auto"/>
              </w:pBdr>
              <w:spacing w:before="40" w:after="40" w:line="240" w:lineRule="auto"/>
              <w:rPr>
                <w:iCs/>
                <w:sz w:val="20"/>
                <w:szCs w:val="20"/>
              </w:rPr>
            </w:pPr>
            <w:r w:rsidRPr="00FF756A">
              <w:rPr>
                <w:iCs/>
                <w:sz w:val="20"/>
                <w:szCs w:val="20"/>
              </w:rPr>
              <w:t>“Për miratimin e formatit të raportimit të të dhënave hyrëse dhe supozimeve të përdorura për llogaritjen e kostos optimale për kërkesat minimale të performancës së energjisë së ndërtesave”</w:t>
            </w:r>
          </w:p>
        </w:tc>
        <w:tc>
          <w:tcPr>
            <w:tcW w:w="1701" w:type="dxa"/>
          </w:tcPr>
          <w:p w14:paraId="605CC522" w14:textId="4471933F" w:rsidR="008D73F9" w:rsidRPr="00FF756A" w:rsidRDefault="00A05BE2" w:rsidP="002A3944">
            <w:pPr>
              <w:spacing w:before="40" w:after="40" w:line="240" w:lineRule="auto"/>
              <w:rPr>
                <w:iCs/>
                <w:sz w:val="20"/>
                <w:szCs w:val="20"/>
              </w:rPr>
            </w:pPr>
            <w:r w:rsidRPr="00FF756A">
              <w:rPr>
                <w:iCs/>
                <w:sz w:val="20"/>
                <w:szCs w:val="20"/>
              </w:rPr>
              <w:t>Urdhri i Ministrit nr. 47, datë 29.2.2024</w:t>
            </w:r>
          </w:p>
        </w:tc>
        <w:tc>
          <w:tcPr>
            <w:tcW w:w="4961" w:type="dxa"/>
          </w:tcPr>
          <w:p w14:paraId="62038D9B" w14:textId="767F476A" w:rsidR="008D73F9" w:rsidRPr="00FF756A" w:rsidRDefault="00A05BE2" w:rsidP="002A3944">
            <w:pPr>
              <w:spacing w:before="40" w:after="40" w:line="240" w:lineRule="auto"/>
              <w:rPr>
                <w:rFonts w:eastAsia="Arial"/>
                <w:iCs/>
                <w:sz w:val="20"/>
                <w:szCs w:val="20"/>
              </w:rPr>
            </w:pPr>
            <w:r w:rsidRPr="00FF756A">
              <w:rPr>
                <w:iCs/>
                <w:sz w:val="20"/>
                <w:szCs w:val="20"/>
              </w:rPr>
              <w:t>Ky urdhër përcakton formatin e raportimit të të dhënave hyrëse, supozimet e përdorura për llogaritjen e kostos optimale për kërkesat minimale të performancës së energjisë së ndërtesave, njësive dhe elementeve të ndërtesave.</w:t>
            </w:r>
          </w:p>
        </w:tc>
      </w:tr>
      <w:tr w:rsidR="00D75690" w:rsidRPr="00FF756A" w14:paraId="0DAAFFB9" w14:textId="77777777" w:rsidTr="002D10D9">
        <w:tc>
          <w:tcPr>
            <w:tcW w:w="9634" w:type="dxa"/>
            <w:gridSpan w:val="3"/>
          </w:tcPr>
          <w:p w14:paraId="33743F3E" w14:textId="7BAFD1E0" w:rsidR="00D75690" w:rsidRPr="00FF756A" w:rsidRDefault="002E7685" w:rsidP="002A3944">
            <w:pPr>
              <w:spacing w:before="40" w:after="40" w:line="240" w:lineRule="auto"/>
              <w:rPr>
                <w:rFonts w:eastAsia="Arial"/>
                <w:iCs/>
                <w:sz w:val="20"/>
                <w:szCs w:val="20"/>
              </w:rPr>
            </w:pPr>
            <w:r w:rsidRPr="00FF756A">
              <w:rPr>
                <w:b/>
                <w:bCs/>
                <w:iCs/>
                <w:sz w:val="20"/>
                <w:szCs w:val="20"/>
              </w:rPr>
              <w:t>Aktet nënligjore</w:t>
            </w:r>
            <w:r w:rsidR="00D75690" w:rsidRPr="00FF756A">
              <w:rPr>
                <w:b/>
                <w:bCs/>
                <w:iCs/>
                <w:sz w:val="20"/>
                <w:szCs w:val="20"/>
              </w:rPr>
              <w:t xml:space="preserve"> në fuqi për performancën e energjisë në ndërtesa dhe në industri</w:t>
            </w:r>
          </w:p>
        </w:tc>
      </w:tr>
      <w:tr w:rsidR="008D73F9" w:rsidRPr="00FF756A" w14:paraId="48AFCE51" w14:textId="77777777" w:rsidTr="00D75690">
        <w:tc>
          <w:tcPr>
            <w:tcW w:w="2972" w:type="dxa"/>
          </w:tcPr>
          <w:p w14:paraId="2A3ABECE" w14:textId="23137E94" w:rsidR="008D73F9" w:rsidRPr="00FF756A" w:rsidRDefault="008D73F9" w:rsidP="002A3944">
            <w:pPr>
              <w:spacing w:before="40" w:after="40" w:line="240" w:lineRule="auto"/>
              <w:rPr>
                <w:rFonts w:eastAsia="Arial"/>
                <w:iCs/>
                <w:sz w:val="20"/>
                <w:szCs w:val="20"/>
              </w:rPr>
            </w:pPr>
            <w:r w:rsidRPr="00FF756A">
              <w:rPr>
                <w:iCs/>
                <w:sz w:val="20"/>
                <w:szCs w:val="20"/>
              </w:rPr>
              <w:t xml:space="preserve">“Për miratimin e metodologjisë për llogaritjen e niveleve të kostos optimale për kërkesat minimale të performancës </w:t>
            </w:r>
            <w:r w:rsidR="000D1377" w:rsidRPr="00FF756A">
              <w:rPr>
                <w:iCs/>
                <w:sz w:val="20"/>
                <w:szCs w:val="20"/>
              </w:rPr>
              <w:t>t</w:t>
            </w:r>
            <w:r w:rsidRPr="00FF756A">
              <w:rPr>
                <w:iCs/>
                <w:sz w:val="20"/>
                <w:szCs w:val="20"/>
              </w:rPr>
              <w:t>ë energjisë së ndërtesave, të njësive dhe të elementeve të ndërtesave”</w:t>
            </w:r>
            <w:r w:rsidR="000D1377" w:rsidRPr="00FF756A">
              <w:rPr>
                <w:iCs/>
                <w:sz w:val="20"/>
                <w:szCs w:val="20"/>
              </w:rPr>
              <w:t>.</w:t>
            </w:r>
          </w:p>
        </w:tc>
        <w:tc>
          <w:tcPr>
            <w:tcW w:w="1701" w:type="dxa"/>
          </w:tcPr>
          <w:p w14:paraId="2AB6C100" w14:textId="14B232D0" w:rsidR="008D73F9" w:rsidRPr="00FF756A" w:rsidRDefault="008D73F9" w:rsidP="002A3944">
            <w:pPr>
              <w:spacing w:before="40" w:after="40" w:line="240" w:lineRule="auto"/>
              <w:rPr>
                <w:rFonts w:eastAsia="Arial"/>
                <w:iCs/>
                <w:sz w:val="20"/>
                <w:szCs w:val="20"/>
              </w:rPr>
            </w:pPr>
            <w:r w:rsidRPr="00FF756A">
              <w:rPr>
                <w:iCs/>
                <w:sz w:val="20"/>
                <w:szCs w:val="20"/>
              </w:rPr>
              <w:t>VKM nr. 256, datë 27.3.2020</w:t>
            </w:r>
          </w:p>
        </w:tc>
        <w:tc>
          <w:tcPr>
            <w:tcW w:w="4961" w:type="dxa"/>
          </w:tcPr>
          <w:p w14:paraId="4016E083" w14:textId="22369409" w:rsidR="008D73F9" w:rsidRPr="00FF756A" w:rsidRDefault="008D73F9" w:rsidP="002A3944">
            <w:pPr>
              <w:spacing w:before="40" w:after="40" w:line="240" w:lineRule="auto"/>
              <w:rPr>
                <w:rFonts w:eastAsia="Arial"/>
                <w:iCs/>
                <w:sz w:val="20"/>
                <w:szCs w:val="20"/>
              </w:rPr>
            </w:pPr>
            <w:r w:rsidRPr="00FF756A">
              <w:rPr>
                <w:iCs/>
                <w:sz w:val="20"/>
                <w:szCs w:val="20"/>
              </w:rPr>
              <w:t>Miratim i ri sipas Direktivës 2010/31/BE, e cila përcakton kuadrin e metodologjisë krahasuese që do të përdoret për llogaritjen e niveleve të kostos optimale për kërkesat minimale të performancës së energjisë për ndërtesat e reja dhe ekzistuese dhe elementet e ndërtesave. Metodologjia përcakton rregullat e zbatueshme në ndërtesat e përzgjedhura referencë, me qëllim identifikimin e niveleve të kostos optimale për kërkesat minimale të performancës së energjisë.</w:t>
            </w:r>
          </w:p>
        </w:tc>
      </w:tr>
      <w:tr w:rsidR="008D73F9" w:rsidRPr="00FF756A" w14:paraId="2B0B2EC1" w14:textId="77777777" w:rsidTr="00D75690">
        <w:tc>
          <w:tcPr>
            <w:tcW w:w="2972" w:type="dxa"/>
          </w:tcPr>
          <w:p w14:paraId="3CA6EC1D" w14:textId="5B258817" w:rsidR="008D73F9" w:rsidRPr="00FF756A" w:rsidRDefault="008D73F9" w:rsidP="002A3944">
            <w:pPr>
              <w:widowControl w:val="0"/>
              <w:pBdr>
                <w:top w:val="none" w:sz="0" w:space="0" w:color="auto"/>
                <w:left w:val="none" w:sz="0" w:space="0" w:color="auto"/>
                <w:bottom w:val="none" w:sz="0" w:space="0" w:color="auto"/>
                <w:right w:val="none" w:sz="0" w:space="0" w:color="auto"/>
                <w:between w:val="none" w:sz="0" w:space="0" w:color="auto"/>
              </w:pBdr>
              <w:snapToGrid w:val="0"/>
              <w:spacing w:before="40" w:after="40" w:line="240" w:lineRule="auto"/>
              <w:rPr>
                <w:rFonts w:eastAsia="Arial"/>
                <w:iCs/>
                <w:sz w:val="20"/>
                <w:szCs w:val="20"/>
              </w:rPr>
            </w:pPr>
            <w:r w:rsidRPr="00FF756A">
              <w:rPr>
                <w:sz w:val="20"/>
                <w:szCs w:val="20"/>
              </w:rPr>
              <w:t>"Për miratimin e kritereve dhe të procedurave për mënyrën e përzgjedhjes dhe sasinë e certifikatave që do të verifikohen, si dhe procesi i mbikëqyrjes së certifikatave të performancës së energjisë në ndërtesa"</w:t>
            </w:r>
            <w:r w:rsidR="000E34E1" w:rsidRPr="00FF756A">
              <w:rPr>
                <w:sz w:val="20"/>
                <w:szCs w:val="20"/>
              </w:rPr>
              <w:t>.</w:t>
            </w:r>
          </w:p>
        </w:tc>
        <w:tc>
          <w:tcPr>
            <w:tcW w:w="1701" w:type="dxa"/>
          </w:tcPr>
          <w:p w14:paraId="6ABCD978" w14:textId="24E0AD74" w:rsidR="008D73F9" w:rsidRPr="00FF756A" w:rsidRDefault="008D73F9" w:rsidP="002A3944">
            <w:pPr>
              <w:spacing w:before="40" w:after="40" w:line="240" w:lineRule="auto"/>
              <w:rPr>
                <w:rFonts w:eastAsia="Arial"/>
                <w:iCs/>
                <w:sz w:val="20"/>
                <w:szCs w:val="20"/>
              </w:rPr>
            </w:pPr>
            <w:r w:rsidRPr="00FF756A">
              <w:rPr>
                <w:sz w:val="20"/>
                <w:szCs w:val="20"/>
              </w:rPr>
              <w:t>VKM nr. 934, datë 25.11.2020</w:t>
            </w:r>
          </w:p>
        </w:tc>
        <w:tc>
          <w:tcPr>
            <w:tcW w:w="4961" w:type="dxa"/>
          </w:tcPr>
          <w:p w14:paraId="69EFAEA0" w14:textId="147CF4EE" w:rsidR="008D73F9" w:rsidRPr="00FF756A" w:rsidRDefault="008D73F9" w:rsidP="002A3944">
            <w:pPr>
              <w:spacing w:before="40" w:after="40" w:line="240" w:lineRule="auto"/>
              <w:rPr>
                <w:rFonts w:eastAsia="Arial"/>
                <w:iCs/>
                <w:sz w:val="20"/>
                <w:szCs w:val="20"/>
              </w:rPr>
            </w:pPr>
            <w:r w:rsidRPr="00FF756A">
              <w:rPr>
                <w:iCs/>
                <w:sz w:val="20"/>
                <w:szCs w:val="20"/>
              </w:rPr>
              <w:t>Sipas Direktivës 2010/31/BE (Direktiva për Performancën e Energjisë së Ndërtesave - EPBD), me qëllim rregullimin e procesit të mbikëqyrjes së certifikatave të performancës së energjisë në ndërtesa, duke përcaktuar kriteret dhe procedurat për mënyrën e përzgjedhjes dhe sasinë e certifikatave që do të verifikohen.</w:t>
            </w:r>
          </w:p>
        </w:tc>
      </w:tr>
      <w:tr w:rsidR="008D73F9" w:rsidRPr="00FF756A" w14:paraId="12FC226B" w14:textId="77777777" w:rsidTr="00D75690">
        <w:tc>
          <w:tcPr>
            <w:tcW w:w="2972" w:type="dxa"/>
          </w:tcPr>
          <w:p w14:paraId="1557EAE9" w14:textId="202F7FFB" w:rsidR="008D73F9" w:rsidRPr="00FF756A" w:rsidRDefault="008D73F9" w:rsidP="002A3944">
            <w:pPr>
              <w:widowControl w:val="0"/>
              <w:pBdr>
                <w:top w:val="none" w:sz="0" w:space="0" w:color="auto"/>
                <w:left w:val="none" w:sz="0" w:space="0" w:color="auto"/>
                <w:bottom w:val="none" w:sz="0" w:space="0" w:color="auto"/>
                <w:right w:val="none" w:sz="0" w:space="0" w:color="auto"/>
                <w:between w:val="none" w:sz="0" w:space="0" w:color="auto"/>
              </w:pBdr>
              <w:snapToGrid w:val="0"/>
              <w:spacing w:before="40" w:after="40" w:line="240" w:lineRule="auto"/>
              <w:rPr>
                <w:rFonts w:eastAsia="Arial"/>
                <w:iCs/>
                <w:sz w:val="20"/>
                <w:szCs w:val="20"/>
              </w:rPr>
            </w:pPr>
            <w:r w:rsidRPr="00FF756A">
              <w:rPr>
                <w:sz w:val="20"/>
                <w:szCs w:val="20"/>
              </w:rPr>
              <w:t>"Për miratimin e procedurave e të kushteve të certifikimit të performancës së energjisë së ndërtesave dhe të modelit, përmbajtjes e kushteve të regjistrimit të “Certifikatës së performancës së energjisë së ndërtesave”.</w:t>
            </w:r>
          </w:p>
        </w:tc>
        <w:tc>
          <w:tcPr>
            <w:tcW w:w="1701" w:type="dxa"/>
          </w:tcPr>
          <w:p w14:paraId="68DB9A80" w14:textId="0B3C61AB" w:rsidR="008D73F9" w:rsidRPr="00FF756A" w:rsidRDefault="008D73F9" w:rsidP="002A3944">
            <w:pPr>
              <w:spacing w:before="40" w:after="40" w:line="240" w:lineRule="auto"/>
              <w:rPr>
                <w:rFonts w:eastAsia="Arial"/>
                <w:iCs/>
                <w:sz w:val="20"/>
                <w:szCs w:val="20"/>
              </w:rPr>
            </w:pPr>
            <w:r w:rsidRPr="00FF756A">
              <w:rPr>
                <w:sz w:val="20"/>
                <w:szCs w:val="20"/>
              </w:rPr>
              <w:t>VKM nr. 958, datë 02.12.2020</w:t>
            </w:r>
          </w:p>
        </w:tc>
        <w:tc>
          <w:tcPr>
            <w:tcW w:w="4961" w:type="dxa"/>
          </w:tcPr>
          <w:p w14:paraId="4BC300A2" w14:textId="18CCFC78" w:rsidR="008D73F9" w:rsidRPr="00FF756A" w:rsidRDefault="008D73F9" w:rsidP="002A3944">
            <w:pPr>
              <w:spacing w:before="40" w:after="40" w:line="240" w:lineRule="auto"/>
              <w:rPr>
                <w:rFonts w:eastAsia="Arial"/>
                <w:iCs/>
                <w:sz w:val="20"/>
                <w:szCs w:val="20"/>
              </w:rPr>
            </w:pPr>
            <w:r w:rsidRPr="00FF756A">
              <w:rPr>
                <w:iCs/>
                <w:sz w:val="20"/>
                <w:szCs w:val="20"/>
              </w:rPr>
              <w:t xml:space="preserve">Sipas Direktivës 2010/31/BE (Direktiva për Performancën e Energjisë së Ndërtesave - EPBD), me qëllim përcaktimin e </w:t>
            </w:r>
            <w:r w:rsidRPr="00FF756A">
              <w:rPr>
                <w:sz w:val="20"/>
                <w:szCs w:val="20"/>
              </w:rPr>
              <w:t xml:space="preserve">modelit, përmbajtjes, kushteve të regjistrimit të </w:t>
            </w:r>
            <w:r w:rsidRPr="00FF756A">
              <w:rPr>
                <w:iCs/>
                <w:sz w:val="20"/>
                <w:szCs w:val="20"/>
              </w:rPr>
              <w:t>Certifikatës së Performancës së Energjisë për ndërtesat e reja dhe ekzistuese në të gjithë territorin e Republikës së Shqipërisë.</w:t>
            </w:r>
          </w:p>
        </w:tc>
      </w:tr>
      <w:tr w:rsidR="008D73F9" w:rsidRPr="00FF756A" w14:paraId="0BD73F52" w14:textId="77777777" w:rsidTr="00D75690">
        <w:tc>
          <w:tcPr>
            <w:tcW w:w="2972" w:type="dxa"/>
          </w:tcPr>
          <w:p w14:paraId="47E9011C" w14:textId="5E857F49" w:rsidR="008D73F9" w:rsidRPr="00FF756A" w:rsidRDefault="008D73F9" w:rsidP="002A3944">
            <w:pPr>
              <w:widowControl w:val="0"/>
              <w:pBdr>
                <w:top w:val="none" w:sz="0" w:space="0" w:color="auto"/>
                <w:left w:val="none" w:sz="0" w:space="0" w:color="auto"/>
                <w:bottom w:val="none" w:sz="0" w:space="0" w:color="auto"/>
                <w:right w:val="none" w:sz="0" w:space="0" w:color="auto"/>
                <w:between w:val="none" w:sz="0" w:space="0" w:color="auto"/>
              </w:pBdr>
              <w:snapToGrid w:val="0"/>
              <w:spacing w:before="40" w:after="40" w:line="240" w:lineRule="auto"/>
              <w:rPr>
                <w:rFonts w:eastAsia="Arial"/>
                <w:iCs/>
                <w:color w:val="000000" w:themeColor="text1"/>
                <w:sz w:val="20"/>
                <w:szCs w:val="20"/>
              </w:rPr>
            </w:pPr>
            <w:r w:rsidRPr="00FF756A">
              <w:rPr>
                <w:color w:val="000000" w:themeColor="text1"/>
                <w:sz w:val="20"/>
                <w:szCs w:val="20"/>
              </w:rPr>
              <w:t>VKM “Për miratimin e metodologjisë kombëtare të llogaritjes së performancës së energjisë në ndërtesa”, miratuar më 24 dhjetor 2020</w:t>
            </w:r>
            <w:r w:rsidR="00B577D8" w:rsidRPr="00FF756A">
              <w:rPr>
                <w:color w:val="000000" w:themeColor="text1"/>
                <w:sz w:val="20"/>
                <w:szCs w:val="20"/>
              </w:rPr>
              <w:t>.</w:t>
            </w:r>
          </w:p>
        </w:tc>
        <w:tc>
          <w:tcPr>
            <w:tcW w:w="1701" w:type="dxa"/>
          </w:tcPr>
          <w:p w14:paraId="50DC7AC5" w14:textId="4096E788" w:rsidR="008D73F9" w:rsidRPr="00FF756A" w:rsidRDefault="008D73F9" w:rsidP="002A3944">
            <w:pPr>
              <w:spacing w:before="40" w:after="40" w:line="240" w:lineRule="auto"/>
              <w:rPr>
                <w:rFonts w:eastAsia="Arial"/>
                <w:iCs/>
                <w:color w:val="000000" w:themeColor="text1"/>
                <w:sz w:val="20"/>
                <w:szCs w:val="20"/>
              </w:rPr>
            </w:pPr>
            <w:r w:rsidRPr="00FF756A">
              <w:rPr>
                <w:rStyle w:val="Strong"/>
                <w:b w:val="0"/>
                <w:color w:val="000000" w:themeColor="text1"/>
                <w:sz w:val="20"/>
                <w:szCs w:val="20"/>
                <w:bdr w:val="none" w:sz="0" w:space="0" w:color="auto" w:frame="1"/>
                <w:shd w:val="clear" w:color="auto" w:fill="FFFFFF"/>
              </w:rPr>
              <w:t>VKM nr. 1094, datë 24.12.2020</w:t>
            </w:r>
          </w:p>
        </w:tc>
        <w:tc>
          <w:tcPr>
            <w:tcW w:w="4961" w:type="dxa"/>
          </w:tcPr>
          <w:p w14:paraId="355EAB1D" w14:textId="0AFE4F4E" w:rsidR="008D73F9" w:rsidRPr="00FF756A" w:rsidRDefault="008D73F9" w:rsidP="002A3944">
            <w:pPr>
              <w:spacing w:before="40" w:after="40" w:line="240" w:lineRule="auto"/>
              <w:rPr>
                <w:rFonts w:eastAsia="Arial"/>
                <w:iCs/>
                <w:color w:val="000000" w:themeColor="text1"/>
                <w:sz w:val="20"/>
                <w:szCs w:val="20"/>
              </w:rPr>
            </w:pPr>
            <w:r w:rsidRPr="00FF756A">
              <w:rPr>
                <w:iCs/>
                <w:color w:val="000000" w:themeColor="text1"/>
                <w:sz w:val="20"/>
                <w:szCs w:val="20"/>
              </w:rPr>
              <w:t xml:space="preserve">Sipas Direktivës </w:t>
            </w:r>
            <w:r w:rsidRPr="00FF756A">
              <w:rPr>
                <w:iCs/>
                <w:sz w:val="20"/>
                <w:szCs w:val="20"/>
              </w:rPr>
              <w:t xml:space="preserve">2010/31/BE (Direktiva për Performancën e Energjisë së Ndërtesave - EPBD), përcaktohet metodologjia për llogaritjen e performancës së energjisë në ndërtesa. </w:t>
            </w:r>
          </w:p>
        </w:tc>
      </w:tr>
      <w:tr w:rsidR="008D73F9" w:rsidRPr="00FF756A" w14:paraId="622B2536" w14:textId="77777777" w:rsidTr="00D75690">
        <w:trPr>
          <w:trHeight w:val="677"/>
        </w:trPr>
        <w:tc>
          <w:tcPr>
            <w:tcW w:w="2972" w:type="dxa"/>
          </w:tcPr>
          <w:p w14:paraId="1B8AD344" w14:textId="48FCF405" w:rsidR="008D73F9" w:rsidRPr="00FF756A" w:rsidRDefault="008D73F9" w:rsidP="002A3944">
            <w:pPr>
              <w:widowControl w:val="0"/>
              <w:pBdr>
                <w:top w:val="none" w:sz="0" w:space="0" w:color="auto"/>
                <w:left w:val="none" w:sz="0" w:space="0" w:color="auto"/>
                <w:bottom w:val="none" w:sz="0" w:space="0" w:color="auto"/>
                <w:right w:val="none" w:sz="0" w:space="0" w:color="auto"/>
                <w:between w:val="none" w:sz="0" w:space="0" w:color="auto"/>
              </w:pBdr>
              <w:snapToGrid w:val="0"/>
              <w:spacing w:before="40" w:after="40" w:line="240" w:lineRule="auto"/>
              <w:rPr>
                <w:iCs/>
                <w:sz w:val="20"/>
                <w:szCs w:val="20"/>
              </w:rPr>
            </w:pPr>
            <w:r w:rsidRPr="00FF756A">
              <w:rPr>
                <w:sz w:val="20"/>
                <w:szCs w:val="20"/>
              </w:rPr>
              <w:lastRenderedPageBreak/>
              <w:t>“Për miratimin e kërkesave minimale të performancës së energjisë së ndërtesave”</w:t>
            </w:r>
            <w:r w:rsidR="00604CB4" w:rsidRPr="00FF756A">
              <w:rPr>
                <w:sz w:val="20"/>
                <w:szCs w:val="20"/>
              </w:rPr>
              <w:t>.</w:t>
            </w:r>
          </w:p>
        </w:tc>
        <w:tc>
          <w:tcPr>
            <w:tcW w:w="1701" w:type="dxa"/>
          </w:tcPr>
          <w:p w14:paraId="37D7A960" w14:textId="3103E01C" w:rsidR="008D73F9" w:rsidRPr="00FF756A" w:rsidRDefault="008D73F9" w:rsidP="002A3944">
            <w:pPr>
              <w:spacing w:before="40" w:after="40" w:line="240" w:lineRule="auto"/>
              <w:rPr>
                <w:noProof/>
                <w:sz w:val="20"/>
                <w:szCs w:val="20"/>
                <w:highlight w:val="yellow"/>
              </w:rPr>
            </w:pPr>
            <w:r w:rsidRPr="00FF756A">
              <w:rPr>
                <w:sz w:val="20"/>
                <w:szCs w:val="20"/>
              </w:rPr>
              <w:t>VKM nr. 537, datë 08.07.2020</w:t>
            </w:r>
          </w:p>
        </w:tc>
        <w:tc>
          <w:tcPr>
            <w:tcW w:w="4961" w:type="dxa"/>
          </w:tcPr>
          <w:p w14:paraId="25FC7BEE" w14:textId="1439DBC9" w:rsidR="008D73F9" w:rsidRPr="00FF756A" w:rsidRDefault="008D73F9" w:rsidP="002A3944">
            <w:pPr>
              <w:spacing w:before="40" w:after="40" w:line="240" w:lineRule="auto"/>
              <w:rPr>
                <w:rFonts w:eastAsia="Arial"/>
                <w:iCs/>
                <w:sz w:val="20"/>
                <w:szCs w:val="20"/>
              </w:rPr>
            </w:pPr>
            <w:r w:rsidRPr="00FF756A">
              <w:rPr>
                <w:iCs/>
                <w:sz w:val="20"/>
                <w:szCs w:val="20"/>
              </w:rPr>
              <w:t xml:space="preserve">Sipas Direktivës 2010/31/BE (Direktiva për Performancën e Energjisë së Ndërtesave - EPBD), përcaktohen </w:t>
            </w:r>
            <w:r w:rsidRPr="00FF756A">
              <w:rPr>
                <w:sz w:val="20"/>
                <w:szCs w:val="20"/>
              </w:rPr>
              <w:t>kriteret minimale për standardet e performancës së energjisë në ndërtesa për të arritur nivelin optimal të komfortit brenda ndërtesës.</w:t>
            </w:r>
          </w:p>
        </w:tc>
      </w:tr>
      <w:tr w:rsidR="008D73F9" w:rsidRPr="00FF756A" w14:paraId="24CD9A24" w14:textId="77777777" w:rsidTr="00D75690">
        <w:tc>
          <w:tcPr>
            <w:tcW w:w="2972" w:type="dxa"/>
          </w:tcPr>
          <w:p w14:paraId="1FF4D463" w14:textId="0DCD8FE0" w:rsidR="008D73F9" w:rsidRPr="00FF756A" w:rsidRDefault="008D73F9" w:rsidP="002A3944">
            <w:pPr>
              <w:pStyle w:val="Default"/>
              <w:pBdr>
                <w:top w:val="none" w:sz="0" w:space="0" w:color="auto"/>
                <w:left w:val="none" w:sz="0" w:space="0" w:color="auto"/>
                <w:bottom w:val="none" w:sz="0" w:space="0" w:color="auto"/>
                <w:right w:val="none" w:sz="0" w:space="0" w:color="auto"/>
                <w:between w:val="none" w:sz="0" w:space="0" w:color="auto"/>
              </w:pBdr>
              <w:tabs>
                <w:tab w:val="left" w:pos="284"/>
              </w:tabs>
              <w:autoSpaceDE w:val="0"/>
              <w:autoSpaceDN w:val="0"/>
              <w:adjustRightInd w:val="0"/>
              <w:snapToGrid w:val="0"/>
              <w:spacing w:before="40" w:after="40"/>
              <w:jc w:val="both"/>
              <w:rPr>
                <w:sz w:val="20"/>
                <w:szCs w:val="20"/>
              </w:rPr>
            </w:pPr>
            <w:r w:rsidRPr="00FF756A">
              <w:rPr>
                <w:bCs/>
                <w:sz w:val="20"/>
                <w:szCs w:val="20"/>
              </w:rPr>
              <w:t xml:space="preserve"> “Për krijimin, organizimin dhe funksionimin e Inspektoratit Shtetëror të Mbikëqyrjes së Tregut (ISHMT)”.</w:t>
            </w:r>
          </w:p>
        </w:tc>
        <w:tc>
          <w:tcPr>
            <w:tcW w:w="1701" w:type="dxa"/>
          </w:tcPr>
          <w:p w14:paraId="0E84A45F" w14:textId="0C7C88AF" w:rsidR="008D73F9" w:rsidRPr="00FF756A" w:rsidRDefault="008D73F9" w:rsidP="002A3944">
            <w:pPr>
              <w:spacing w:before="40" w:after="40" w:line="240" w:lineRule="auto"/>
              <w:rPr>
                <w:iCs/>
                <w:sz w:val="20"/>
                <w:szCs w:val="20"/>
              </w:rPr>
            </w:pPr>
            <w:r w:rsidRPr="00FF756A">
              <w:rPr>
                <w:sz w:val="20"/>
                <w:szCs w:val="20"/>
              </w:rPr>
              <w:t>VKM nr. 36, datë 20.1.2016</w:t>
            </w:r>
          </w:p>
        </w:tc>
        <w:tc>
          <w:tcPr>
            <w:tcW w:w="4961" w:type="dxa"/>
          </w:tcPr>
          <w:p w14:paraId="6B7A99A1" w14:textId="336C6243" w:rsidR="000D5ADA" w:rsidRPr="00FF756A" w:rsidRDefault="000D5ADA" w:rsidP="002A3944">
            <w:pPr>
              <w:spacing w:before="40" w:after="40" w:line="240" w:lineRule="auto"/>
              <w:rPr>
                <w:iCs/>
                <w:sz w:val="20"/>
                <w:szCs w:val="20"/>
              </w:rPr>
            </w:pPr>
            <w:r w:rsidRPr="00FF756A">
              <w:rPr>
                <w:iCs/>
                <w:sz w:val="20"/>
                <w:szCs w:val="20"/>
              </w:rPr>
              <w:t>Inspektorati Shtetëror i Mbikëqyrjes së Tregut (ISHMT) është përgjegjës për inspektimin e sigurisë së produkteve joushqimore për përdorim nga konsumatorët dhe për mbrojtjen e pronësisë intelektuale.  Ndër të tjera, Inspektorati Shtetëror i Mbikëqyrjes së Tregut është përgjegjës për inspektimin e zbatimit të legjislacionit parësor dhe dytësor në fushën e etiketimit të energjisë për produktet me ndikim në energji.</w:t>
            </w:r>
          </w:p>
          <w:p w14:paraId="11A29227" w14:textId="770B3582" w:rsidR="008D73F9" w:rsidRPr="00FF756A" w:rsidRDefault="000D5ADA" w:rsidP="002A3944">
            <w:pPr>
              <w:spacing w:before="40" w:after="40" w:line="240" w:lineRule="auto"/>
              <w:rPr>
                <w:iCs/>
                <w:sz w:val="20"/>
                <w:szCs w:val="20"/>
              </w:rPr>
            </w:pPr>
            <w:r w:rsidRPr="00FF756A">
              <w:rPr>
                <w:iCs/>
                <w:sz w:val="20"/>
                <w:szCs w:val="20"/>
              </w:rPr>
              <w:t>Sektorët e produkteve elektrike dhe produkteve mekanike janë përgjegjës për progresin e këtij procesi.</w:t>
            </w:r>
          </w:p>
        </w:tc>
      </w:tr>
      <w:tr w:rsidR="00575ECA" w:rsidRPr="00FF756A" w14:paraId="19DA6284" w14:textId="77777777" w:rsidTr="00D75690">
        <w:tc>
          <w:tcPr>
            <w:tcW w:w="2972" w:type="dxa"/>
          </w:tcPr>
          <w:p w14:paraId="793D80EF" w14:textId="72B4BE61" w:rsidR="00575ECA" w:rsidRPr="00FF756A" w:rsidRDefault="005130AF" w:rsidP="00D75690">
            <w:pPr>
              <w:spacing w:before="40" w:after="40" w:line="240" w:lineRule="auto"/>
              <w:rPr>
                <w:rFonts w:eastAsia="Calibri"/>
                <w:bCs/>
                <w:color w:val="000000"/>
                <w:sz w:val="20"/>
                <w:szCs w:val="20"/>
              </w:rPr>
            </w:pPr>
            <w:r w:rsidRPr="00FF756A">
              <w:rPr>
                <w:bCs/>
                <w:color w:val="000000"/>
                <w:sz w:val="20"/>
                <w:szCs w:val="20"/>
              </w:rPr>
              <w:t>“Për përcaktimin e kategorive të tjera të ndërtesave që përjashtohen nga ligji nr. 116/2016 “Për performancën energjetike në ndërtesa”.</w:t>
            </w:r>
            <w:r w:rsidR="009A0372" w:rsidRPr="00FF756A">
              <w:rPr>
                <w:bCs/>
                <w:color w:val="000000"/>
                <w:sz w:val="20"/>
                <w:szCs w:val="20"/>
              </w:rPr>
              <w:t xml:space="preserve"> </w:t>
            </w:r>
          </w:p>
        </w:tc>
        <w:tc>
          <w:tcPr>
            <w:tcW w:w="1701" w:type="dxa"/>
          </w:tcPr>
          <w:p w14:paraId="47884064" w14:textId="1E291F3A" w:rsidR="00575ECA" w:rsidRPr="00FF756A" w:rsidRDefault="009A0372" w:rsidP="002A3944">
            <w:pPr>
              <w:spacing w:before="40" w:after="40" w:line="240" w:lineRule="auto"/>
              <w:rPr>
                <w:sz w:val="20"/>
                <w:szCs w:val="20"/>
              </w:rPr>
            </w:pPr>
            <w:r w:rsidRPr="00FF756A">
              <w:rPr>
                <w:bCs/>
                <w:color w:val="000000"/>
                <w:sz w:val="20"/>
                <w:szCs w:val="20"/>
              </w:rPr>
              <w:t>VKM nr. 274, datë 4.5.2023</w:t>
            </w:r>
          </w:p>
        </w:tc>
        <w:tc>
          <w:tcPr>
            <w:tcW w:w="4961" w:type="dxa"/>
          </w:tcPr>
          <w:p w14:paraId="511B2800" w14:textId="744F6AF7" w:rsidR="00575ECA" w:rsidRPr="00FF756A" w:rsidRDefault="00794869" w:rsidP="002A3944">
            <w:pPr>
              <w:spacing w:before="40" w:after="40" w:line="240" w:lineRule="auto"/>
              <w:rPr>
                <w:iCs/>
                <w:sz w:val="20"/>
                <w:szCs w:val="20"/>
              </w:rPr>
            </w:pPr>
            <w:r w:rsidRPr="00FF756A">
              <w:rPr>
                <w:iCs/>
                <w:sz w:val="20"/>
                <w:szCs w:val="20"/>
              </w:rPr>
              <w:t>Ky vendim synon të përcaktojë kategoritë e tjera të ndërtesave dhe njësive të ndërtesave që do të jenë objekt përjashtimi nga detyrimet që rezultojnë nga ligji nr. 116/2016, “Për performancën e energjisë së ndërtesave”.</w:t>
            </w:r>
          </w:p>
        </w:tc>
      </w:tr>
      <w:tr w:rsidR="009A0372" w:rsidRPr="00FF756A" w14:paraId="0CC3E462" w14:textId="77777777" w:rsidTr="00D75690">
        <w:tc>
          <w:tcPr>
            <w:tcW w:w="2972" w:type="dxa"/>
          </w:tcPr>
          <w:p w14:paraId="36BFB8BF" w14:textId="4A95AB64" w:rsidR="009A0372" w:rsidRPr="00FF756A" w:rsidRDefault="009A0372" w:rsidP="002A3944">
            <w:pPr>
              <w:spacing w:before="40" w:after="40" w:line="240" w:lineRule="auto"/>
              <w:rPr>
                <w:iCs/>
                <w:sz w:val="20"/>
                <w:szCs w:val="20"/>
              </w:rPr>
            </w:pPr>
            <w:r w:rsidRPr="00FF756A">
              <w:rPr>
                <w:iCs/>
                <w:sz w:val="20"/>
                <w:szCs w:val="20"/>
              </w:rPr>
              <w:t xml:space="preserve">“Për kriteret dhe procedurat e përzgjedhjes dhe </w:t>
            </w:r>
            <w:r w:rsidR="002E0BC0" w:rsidRPr="00FF756A">
              <w:rPr>
                <w:iCs/>
                <w:sz w:val="20"/>
                <w:szCs w:val="20"/>
              </w:rPr>
              <w:t>sasinë</w:t>
            </w:r>
            <w:r w:rsidRPr="00FF756A">
              <w:rPr>
                <w:iCs/>
                <w:sz w:val="20"/>
                <w:szCs w:val="20"/>
              </w:rPr>
              <w:t xml:space="preserve"> e certifikatave që do të verifikohen, si dhe procesin e mbikëqyrjes së certifikatave të performancës energjetike të ndërtesave”;</w:t>
            </w:r>
          </w:p>
        </w:tc>
        <w:tc>
          <w:tcPr>
            <w:tcW w:w="1701" w:type="dxa"/>
          </w:tcPr>
          <w:p w14:paraId="741F5784" w14:textId="10F05E47" w:rsidR="009A0372" w:rsidRPr="00FF756A" w:rsidRDefault="009A0372" w:rsidP="002A3944">
            <w:pPr>
              <w:spacing w:before="40" w:after="40" w:line="240" w:lineRule="auto"/>
              <w:rPr>
                <w:rFonts w:eastAsia="Calibri"/>
                <w:bCs/>
                <w:color w:val="000000"/>
                <w:sz w:val="20"/>
                <w:szCs w:val="20"/>
              </w:rPr>
            </w:pPr>
            <w:r w:rsidRPr="00FF756A">
              <w:rPr>
                <w:iCs/>
                <w:sz w:val="20"/>
                <w:szCs w:val="20"/>
              </w:rPr>
              <w:t>VKM nr. 934, datë 25.11.2020</w:t>
            </w:r>
          </w:p>
        </w:tc>
        <w:tc>
          <w:tcPr>
            <w:tcW w:w="4961" w:type="dxa"/>
          </w:tcPr>
          <w:p w14:paraId="716D64E0" w14:textId="405A7A80" w:rsidR="009A0372" w:rsidRPr="00FF756A" w:rsidRDefault="009E6B76" w:rsidP="002A3944">
            <w:pPr>
              <w:spacing w:before="40" w:after="40" w:line="240" w:lineRule="auto"/>
              <w:rPr>
                <w:iCs/>
                <w:sz w:val="20"/>
                <w:szCs w:val="20"/>
              </w:rPr>
            </w:pPr>
            <w:r w:rsidRPr="00FF756A">
              <w:rPr>
                <w:iCs/>
                <w:sz w:val="20"/>
                <w:szCs w:val="20"/>
              </w:rPr>
              <w:t>Ky vendim synon të përcaktojë kriteret dhe procedurat për përzgjedhjen e certifikatave të performancës energjetike të ndërtesave që do të verifikohen nga Agjencia për Efiçencën e Energjisë.</w:t>
            </w:r>
          </w:p>
        </w:tc>
      </w:tr>
      <w:tr w:rsidR="009A0372" w:rsidRPr="00FF756A" w14:paraId="2B0FD28B" w14:textId="77777777" w:rsidTr="00D75690">
        <w:tc>
          <w:tcPr>
            <w:tcW w:w="2972" w:type="dxa"/>
          </w:tcPr>
          <w:p w14:paraId="0D99D14E" w14:textId="69BCD2E1" w:rsidR="009A0372" w:rsidRPr="00FF756A" w:rsidRDefault="009A0372" w:rsidP="002A3944">
            <w:pPr>
              <w:spacing w:before="40" w:after="40" w:line="240" w:lineRule="auto"/>
              <w:rPr>
                <w:iCs/>
                <w:sz w:val="20"/>
                <w:szCs w:val="20"/>
              </w:rPr>
            </w:pPr>
            <w:r w:rsidRPr="00FF756A">
              <w:rPr>
                <w:iCs/>
                <w:sz w:val="20"/>
                <w:szCs w:val="20"/>
              </w:rPr>
              <w:t>“Për elementet, kërkesat dhe parimet e përgjithshme të analizës së kostos dhe përfitimit</w:t>
            </w:r>
            <w:r w:rsidR="00F85302" w:rsidRPr="00FF756A">
              <w:rPr>
                <w:iCs/>
                <w:sz w:val="20"/>
                <w:szCs w:val="20"/>
              </w:rPr>
              <w:t>,</w:t>
            </w:r>
            <w:r w:rsidRPr="00FF756A">
              <w:rPr>
                <w:iCs/>
                <w:sz w:val="20"/>
                <w:szCs w:val="20"/>
              </w:rPr>
              <w:t xml:space="preserve"> për vlerësimin e potencialit të aplikimit të kogjenerimit me efiçencë të lartë, si dhe të ngrohjes dhe ftohjes efiçente”</w:t>
            </w:r>
          </w:p>
        </w:tc>
        <w:tc>
          <w:tcPr>
            <w:tcW w:w="1701" w:type="dxa"/>
          </w:tcPr>
          <w:p w14:paraId="60FF4858" w14:textId="293E4CD8" w:rsidR="009A0372" w:rsidRPr="00FF756A" w:rsidRDefault="009A0372" w:rsidP="002A3944">
            <w:pPr>
              <w:spacing w:before="40" w:after="40" w:line="240" w:lineRule="auto"/>
              <w:rPr>
                <w:rFonts w:eastAsia="Calibri"/>
                <w:bCs/>
                <w:color w:val="000000"/>
                <w:sz w:val="20"/>
                <w:szCs w:val="20"/>
              </w:rPr>
            </w:pPr>
            <w:r w:rsidRPr="00FF756A">
              <w:rPr>
                <w:iCs/>
                <w:sz w:val="20"/>
                <w:szCs w:val="20"/>
              </w:rPr>
              <w:t>Udhëzimi i Ministrit të Infrastrukturës dhe Energjisë nr. 2, datë 1.2.2023</w:t>
            </w:r>
          </w:p>
        </w:tc>
        <w:tc>
          <w:tcPr>
            <w:tcW w:w="4961" w:type="dxa"/>
          </w:tcPr>
          <w:p w14:paraId="3C873BD9" w14:textId="3D2FAF08" w:rsidR="009A0372" w:rsidRPr="00FF756A" w:rsidRDefault="00794869" w:rsidP="002A3944">
            <w:pPr>
              <w:spacing w:before="40" w:after="40" w:line="240" w:lineRule="auto"/>
              <w:rPr>
                <w:iCs/>
                <w:sz w:val="20"/>
                <w:szCs w:val="20"/>
              </w:rPr>
            </w:pPr>
            <w:r w:rsidRPr="00FF756A">
              <w:rPr>
                <w:iCs/>
                <w:sz w:val="20"/>
                <w:szCs w:val="20"/>
              </w:rPr>
              <w:t>Qëllimi i këtij udhëzimi është vlerësimi në nivel kombëtar, nga agjencia përgjegjëse për efiçencën e energjisë, i potencialit për përdorimin e kogjenerimit me efiçencë të lartë, si dhe ngrohjes dhe ftohjes efiçente në sistemet qendrore.</w:t>
            </w:r>
          </w:p>
        </w:tc>
      </w:tr>
      <w:tr w:rsidR="009A0372" w:rsidRPr="00FF756A" w14:paraId="4CFE2DD6" w14:textId="77777777" w:rsidTr="00D75690">
        <w:tc>
          <w:tcPr>
            <w:tcW w:w="2972" w:type="dxa"/>
          </w:tcPr>
          <w:p w14:paraId="6A25D726" w14:textId="17F31E12" w:rsidR="009A0372" w:rsidRPr="00FF756A" w:rsidRDefault="009A0372" w:rsidP="002A3944">
            <w:pPr>
              <w:spacing w:before="40" w:after="40" w:line="240" w:lineRule="auto"/>
              <w:rPr>
                <w:iCs/>
                <w:sz w:val="20"/>
                <w:szCs w:val="20"/>
              </w:rPr>
            </w:pPr>
            <w:r w:rsidRPr="00FF756A">
              <w:rPr>
                <w:iCs/>
                <w:sz w:val="20"/>
                <w:szCs w:val="20"/>
              </w:rPr>
              <w:t>“Për miratimin e formatit të raportimit të të dhënave hyrëse dhe supozimeve të përdorura për llogaritjen e kostos optimale për kërkesat minimale të performancës së energjisë së ndërtesave”</w:t>
            </w:r>
          </w:p>
          <w:p w14:paraId="64846E60" w14:textId="77777777" w:rsidR="009A0372" w:rsidRPr="00FF756A" w:rsidRDefault="009A0372" w:rsidP="002A3944">
            <w:pPr>
              <w:spacing w:before="40" w:after="40" w:line="240" w:lineRule="auto"/>
              <w:rPr>
                <w:iCs/>
                <w:sz w:val="20"/>
                <w:szCs w:val="20"/>
              </w:rPr>
            </w:pPr>
          </w:p>
        </w:tc>
        <w:tc>
          <w:tcPr>
            <w:tcW w:w="1701" w:type="dxa"/>
          </w:tcPr>
          <w:p w14:paraId="478B4C90" w14:textId="3B053517" w:rsidR="009A0372" w:rsidRPr="00FF756A" w:rsidRDefault="009A0372" w:rsidP="002A3944">
            <w:pPr>
              <w:spacing w:before="40" w:after="40" w:line="240" w:lineRule="auto"/>
              <w:rPr>
                <w:rFonts w:eastAsia="Calibri"/>
                <w:bCs/>
                <w:color w:val="000000"/>
                <w:sz w:val="20"/>
                <w:szCs w:val="20"/>
              </w:rPr>
            </w:pPr>
            <w:r w:rsidRPr="00FF756A">
              <w:rPr>
                <w:iCs/>
                <w:sz w:val="20"/>
                <w:szCs w:val="20"/>
              </w:rPr>
              <w:t>Urdhri i Ministrit të Infrastrukturës dhe Energjisë nr. 47, datë 29.2.2024</w:t>
            </w:r>
          </w:p>
        </w:tc>
        <w:tc>
          <w:tcPr>
            <w:tcW w:w="4961" w:type="dxa"/>
          </w:tcPr>
          <w:p w14:paraId="46051B89" w14:textId="036EEFB2" w:rsidR="009A0372" w:rsidRPr="00FF756A" w:rsidRDefault="00590329" w:rsidP="006829C5">
            <w:pPr>
              <w:keepNext/>
              <w:spacing w:before="40" w:after="40" w:line="240" w:lineRule="auto"/>
              <w:rPr>
                <w:iCs/>
                <w:sz w:val="20"/>
                <w:szCs w:val="20"/>
              </w:rPr>
            </w:pPr>
            <w:r w:rsidRPr="00FF756A">
              <w:rPr>
                <w:iCs/>
                <w:sz w:val="20"/>
                <w:szCs w:val="20"/>
              </w:rPr>
              <w:t>Ky urdhër cilëson të dhënat, supozimet dhe mënyrën e llogaritjes së kostos optimale për kërkesat minimale të performancës së energjisë në ndërtesa, njësi dhe elementet e ndërtesave.</w:t>
            </w:r>
          </w:p>
        </w:tc>
      </w:tr>
    </w:tbl>
    <w:p w14:paraId="271E9581" w14:textId="4EABEF4B" w:rsidR="00DA2EDE" w:rsidRPr="00FF756A" w:rsidRDefault="006829C5" w:rsidP="006829C5">
      <w:pPr>
        <w:pStyle w:val="Caption"/>
        <w:rPr>
          <w:rFonts w:ascii="Times New Roman" w:hAnsi="Times New Roman"/>
        </w:rPr>
      </w:pPr>
      <w:bookmarkStart w:id="48" w:name="_Toc183016469"/>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5</w:t>
      </w:r>
      <w:r w:rsidR="008E7DE9" w:rsidRPr="00FF756A">
        <w:rPr>
          <w:rFonts w:ascii="Times New Roman" w:hAnsi="Times New Roman"/>
          <w:noProof/>
        </w:rPr>
        <w:fldChar w:fldCharType="end"/>
      </w:r>
      <w:r w:rsidRPr="00FF756A">
        <w:rPr>
          <w:rFonts w:ascii="Times New Roman" w:hAnsi="Times New Roman"/>
        </w:rPr>
        <w:t>: Politikat dhe ligjet kryesore lidhur me dimensionin e EE-së, duke përfshirë legjislacionin e Komunitetit të Energjisë dhe të BE-së</w:t>
      </w:r>
      <w:bookmarkEnd w:id="48"/>
    </w:p>
    <w:p w14:paraId="4FC2B310" w14:textId="77777777" w:rsidR="00D32418" w:rsidRPr="00FF756A" w:rsidRDefault="00D32418" w:rsidP="00EF0D31"/>
    <w:p w14:paraId="4CFB226E" w14:textId="3C84DA97" w:rsidR="00D32418" w:rsidRPr="00FF756A" w:rsidRDefault="00D32418" w:rsidP="00EF0D31">
      <w:r w:rsidRPr="00FF756A">
        <w:t>Tabela më poshtë paraqet zbatimin e politikave të efiçiencës së energjisë sipas Raportit të Zbatimit 2023 për Shqipërinë.</w:t>
      </w:r>
    </w:p>
    <w:tbl>
      <w:tblPr>
        <w:tblStyle w:val="TableGrid"/>
        <w:tblW w:w="9634" w:type="dxa"/>
        <w:tblLook w:val="04A0" w:firstRow="1" w:lastRow="0" w:firstColumn="1" w:lastColumn="0" w:noHBand="0" w:noVBand="1"/>
      </w:tblPr>
      <w:tblGrid>
        <w:gridCol w:w="2127"/>
        <w:gridCol w:w="1514"/>
        <w:gridCol w:w="1599"/>
        <w:gridCol w:w="4394"/>
      </w:tblGrid>
      <w:tr w:rsidR="002A3944" w:rsidRPr="00FF756A" w14:paraId="741BDCCB" w14:textId="77777777" w:rsidTr="002A3944">
        <w:tc>
          <w:tcPr>
            <w:tcW w:w="2127" w:type="dxa"/>
          </w:tcPr>
          <w:p w14:paraId="4C6EB1EC" w14:textId="77777777" w:rsidR="002A3944" w:rsidRPr="00FF756A" w:rsidRDefault="002A3944" w:rsidP="008F0D97">
            <w:pPr>
              <w:autoSpaceDE w:val="0"/>
              <w:autoSpaceDN w:val="0"/>
              <w:adjustRightInd w:val="0"/>
              <w:rPr>
                <w:b/>
                <w:bCs/>
                <w:sz w:val="20"/>
                <w:szCs w:val="20"/>
              </w:rPr>
            </w:pPr>
            <w:r w:rsidRPr="00FF756A">
              <w:rPr>
                <w:b/>
                <w:bCs/>
                <w:sz w:val="20"/>
                <w:szCs w:val="20"/>
              </w:rPr>
              <w:t>Treguesit e energjisë së rinovueshme</w:t>
            </w:r>
          </w:p>
        </w:tc>
        <w:tc>
          <w:tcPr>
            <w:tcW w:w="1514" w:type="dxa"/>
          </w:tcPr>
          <w:p w14:paraId="4DAC8B51" w14:textId="77777777" w:rsidR="002A3944" w:rsidRPr="00FF756A" w:rsidRDefault="002A3944" w:rsidP="008F0D97">
            <w:pPr>
              <w:autoSpaceDE w:val="0"/>
              <w:autoSpaceDN w:val="0"/>
              <w:adjustRightInd w:val="0"/>
              <w:jc w:val="center"/>
              <w:rPr>
                <w:b/>
                <w:bCs/>
                <w:sz w:val="20"/>
                <w:szCs w:val="20"/>
              </w:rPr>
            </w:pPr>
            <w:r w:rsidRPr="00FF756A">
              <w:rPr>
                <w:b/>
                <w:bCs/>
                <w:sz w:val="20"/>
                <w:szCs w:val="20"/>
              </w:rPr>
              <w:t>Vlerësimi i transpozimit</w:t>
            </w:r>
          </w:p>
        </w:tc>
        <w:tc>
          <w:tcPr>
            <w:tcW w:w="1599" w:type="dxa"/>
          </w:tcPr>
          <w:p w14:paraId="6F69816F" w14:textId="77777777" w:rsidR="002A3944" w:rsidRPr="00FF756A" w:rsidRDefault="002A3944" w:rsidP="008F0D97">
            <w:pPr>
              <w:rPr>
                <w:b/>
                <w:bCs/>
                <w:sz w:val="20"/>
                <w:szCs w:val="20"/>
              </w:rPr>
            </w:pPr>
            <w:r w:rsidRPr="00FF756A">
              <w:rPr>
                <w:b/>
                <w:bCs/>
                <w:sz w:val="20"/>
                <w:szCs w:val="20"/>
              </w:rPr>
              <w:t>Statusi i zbatimit</w:t>
            </w:r>
          </w:p>
        </w:tc>
        <w:tc>
          <w:tcPr>
            <w:tcW w:w="4394" w:type="dxa"/>
          </w:tcPr>
          <w:p w14:paraId="3D976574" w14:textId="77777777" w:rsidR="002A3944" w:rsidRPr="00FF756A" w:rsidRDefault="002A3944" w:rsidP="008F0D97">
            <w:pPr>
              <w:rPr>
                <w:b/>
                <w:bCs/>
                <w:sz w:val="20"/>
                <w:szCs w:val="20"/>
              </w:rPr>
            </w:pPr>
            <w:r w:rsidRPr="00FF756A">
              <w:rPr>
                <w:b/>
                <w:bCs/>
                <w:sz w:val="20"/>
                <w:szCs w:val="20"/>
              </w:rPr>
              <w:t>Përshkrimet</w:t>
            </w:r>
          </w:p>
        </w:tc>
      </w:tr>
      <w:tr w:rsidR="006B72C2" w:rsidRPr="00FF756A" w14:paraId="34FF9038" w14:textId="77777777" w:rsidTr="002A3944">
        <w:tc>
          <w:tcPr>
            <w:tcW w:w="2127" w:type="dxa"/>
          </w:tcPr>
          <w:p w14:paraId="66FB7E08" w14:textId="59796883" w:rsidR="006B72C2" w:rsidRPr="00FF756A" w:rsidRDefault="006B72C2" w:rsidP="00210CDA">
            <w:pPr>
              <w:autoSpaceDE w:val="0"/>
              <w:autoSpaceDN w:val="0"/>
              <w:adjustRightInd w:val="0"/>
              <w:rPr>
                <w:b/>
                <w:bCs/>
                <w:sz w:val="20"/>
                <w:szCs w:val="20"/>
              </w:rPr>
            </w:pPr>
            <w:bookmarkStart w:id="49" w:name="_Toc100321112"/>
            <w:r w:rsidRPr="00FF756A">
              <w:rPr>
                <w:sz w:val="20"/>
                <w:szCs w:val="20"/>
              </w:rPr>
              <w:t>Plani Kombëtar për Energjinë dhe Klimën (PKEK)_Objektivat për efiçencën e energjisë 2030 dhe masat politike</w:t>
            </w:r>
          </w:p>
        </w:tc>
        <w:tc>
          <w:tcPr>
            <w:tcW w:w="1514" w:type="dxa"/>
          </w:tcPr>
          <w:p w14:paraId="591ED451" w14:textId="77777777" w:rsidR="006B72C2" w:rsidRPr="00FF756A" w:rsidRDefault="006B72C2" w:rsidP="00210CDA">
            <w:pPr>
              <w:rPr>
                <w:sz w:val="20"/>
                <w:szCs w:val="20"/>
              </w:rPr>
            </w:pPr>
          </w:p>
          <w:p w14:paraId="0EC41859" w14:textId="77777777" w:rsidR="006B72C2" w:rsidRPr="00FF756A" w:rsidRDefault="006B72C2" w:rsidP="00210CDA">
            <w:pPr>
              <w:rPr>
                <w:sz w:val="20"/>
                <w:szCs w:val="20"/>
              </w:rPr>
            </w:pPr>
          </w:p>
          <w:p w14:paraId="13E6B78C" w14:textId="77777777" w:rsidR="006B72C2" w:rsidRPr="00FF756A" w:rsidRDefault="006B72C2" w:rsidP="00210CDA">
            <w:pPr>
              <w:rPr>
                <w:sz w:val="20"/>
                <w:szCs w:val="20"/>
              </w:rPr>
            </w:pPr>
          </w:p>
          <w:p w14:paraId="151C2597" w14:textId="77777777" w:rsidR="006B72C2" w:rsidRPr="00FF756A" w:rsidRDefault="006B72C2" w:rsidP="00210CDA">
            <w:pPr>
              <w:autoSpaceDE w:val="0"/>
              <w:autoSpaceDN w:val="0"/>
              <w:adjustRightInd w:val="0"/>
              <w:rPr>
                <w:b/>
                <w:bCs/>
                <w:sz w:val="20"/>
                <w:szCs w:val="20"/>
              </w:rPr>
            </w:pPr>
            <w:r w:rsidRPr="00FF756A">
              <w:rPr>
                <w:sz w:val="20"/>
                <w:szCs w:val="20"/>
              </w:rPr>
              <w:t xml:space="preserve">      ~</w:t>
            </w:r>
          </w:p>
        </w:tc>
        <w:tc>
          <w:tcPr>
            <w:tcW w:w="1599" w:type="dxa"/>
          </w:tcPr>
          <w:p w14:paraId="73DAE061" w14:textId="4196A1AF" w:rsidR="006B72C2" w:rsidRPr="00FF756A" w:rsidRDefault="006B72C2" w:rsidP="00210CDA">
            <w:pPr>
              <w:rPr>
                <w:b/>
                <w:bCs/>
                <w:sz w:val="20"/>
                <w:szCs w:val="20"/>
              </w:rPr>
            </w:pPr>
            <w:r w:rsidRPr="00FF756A">
              <w:rPr>
                <w:sz w:val="20"/>
                <w:szCs w:val="20"/>
              </w:rPr>
              <w:t>64%</w:t>
            </w:r>
          </w:p>
        </w:tc>
        <w:tc>
          <w:tcPr>
            <w:tcW w:w="4394" w:type="dxa"/>
          </w:tcPr>
          <w:p w14:paraId="2EDED0DE" w14:textId="4B4AB6FD" w:rsidR="006B72C2" w:rsidRPr="00FF756A" w:rsidRDefault="006B72C2" w:rsidP="00210CDA">
            <w:pPr>
              <w:rPr>
                <w:b/>
                <w:bCs/>
                <w:sz w:val="20"/>
                <w:szCs w:val="20"/>
              </w:rPr>
            </w:pPr>
            <w:r w:rsidRPr="00FF756A">
              <w:rPr>
                <w:sz w:val="20"/>
                <w:szCs w:val="20"/>
              </w:rPr>
              <w:t xml:space="preserve">Shqipëria ka ndërmarrë hapa drejt efiçencës së energjisë dhe veprimit për klimën me prezantimin e objektivave të saj të efiçencës së energjisë për realizim brenda vitit 2030 dhe politikave e masave shoqëruese, të cilësuara në PKEK-në e miratuar në shkurt 2022. Megjithatë, këto masa nuk janë në </w:t>
            </w:r>
            <w:r w:rsidRPr="00FF756A">
              <w:rPr>
                <w:sz w:val="20"/>
                <w:szCs w:val="20"/>
              </w:rPr>
              <w:lastRenderedPageBreak/>
              <w:t>pajtueshmëri me objektivat e vitit 2030 të përcaktuara nga Komuniteti i Energjisë. Gjatë periudhës së raportimit, Ministria e Infrastrukturës dhe Energjisë miratoi akte të reja nënligjore për zbatimin e ligjit “Për efiçencën e energjisë”, duke përfshirë në to aspekte të tilla si planet lokale të veprimit për efiçencën e energjisë dhe kërkesat lidhur me ndërtimet. Vazhdon po ashtu hartimi i akteve të mëtejshme nënligjore që adresojnë fusha kryesore, si monitorimi dhe verifikimi, detyrimet lidhur me efiçencën e energjisë, si dhe kriteret për prokurimin publik. Miratimi i tyre mbetet në pritje. Për të nxitur uljen e kërkesës për energji brenda institucioneve publike, qeveria ka vendosur masa të detyrueshme që kërkojnë një reduktim prej 15% në konsumin e energjisë elektrike. Menaxherët e emëruar të energjisë janë përgjegjës për monitorimin dhe raportimin e progresit. Në rast papajtueshmërie janë aplikuar penalitete.</w:t>
            </w:r>
          </w:p>
        </w:tc>
      </w:tr>
      <w:tr w:rsidR="00B4477A" w:rsidRPr="00FF756A" w14:paraId="57EB52B7" w14:textId="77777777" w:rsidTr="002A3944">
        <w:trPr>
          <w:trHeight w:val="1543"/>
        </w:trPr>
        <w:tc>
          <w:tcPr>
            <w:tcW w:w="2127" w:type="dxa"/>
          </w:tcPr>
          <w:p w14:paraId="4F8ABA31" w14:textId="6257A647" w:rsidR="00B4477A" w:rsidRPr="00FF756A" w:rsidRDefault="0037310E" w:rsidP="00B4477A">
            <w:pPr>
              <w:rPr>
                <w:sz w:val="20"/>
                <w:szCs w:val="20"/>
              </w:rPr>
            </w:pPr>
            <w:r w:rsidRPr="00FF756A">
              <w:rPr>
                <w:sz w:val="20"/>
                <w:szCs w:val="20"/>
              </w:rPr>
              <w:lastRenderedPageBreak/>
              <w:t>Efiçenca e energjisë në ndërtesa</w:t>
            </w:r>
          </w:p>
        </w:tc>
        <w:tc>
          <w:tcPr>
            <w:tcW w:w="1514" w:type="dxa"/>
          </w:tcPr>
          <w:p w14:paraId="1815BA20" w14:textId="77777777" w:rsidR="00B4477A" w:rsidRPr="00FF756A" w:rsidRDefault="00B4477A" w:rsidP="00B4477A">
            <w:pPr>
              <w:rPr>
                <w:sz w:val="20"/>
                <w:szCs w:val="20"/>
              </w:rPr>
            </w:pPr>
          </w:p>
          <w:p w14:paraId="14922CAD" w14:textId="77777777" w:rsidR="00B4477A" w:rsidRPr="00FF756A" w:rsidRDefault="00B4477A" w:rsidP="00B4477A">
            <w:pPr>
              <w:rPr>
                <w:sz w:val="20"/>
                <w:szCs w:val="20"/>
              </w:rPr>
            </w:pPr>
          </w:p>
          <w:p w14:paraId="46C8B486" w14:textId="77777777" w:rsidR="00B4477A" w:rsidRPr="00FF756A" w:rsidRDefault="00B4477A" w:rsidP="00B4477A">
            <w:pPr>
              <w:rPr>
                <w:sz w:val="20"/>
                <w:szCs w:val="20"/>
              </w:rPr>
            </w:pPr>
            <w:r w:rsidRPr="00FF756A">
              <w:rPr>
                <w:sz w:val="20"/>
                <w:szCs w:val="20"/>
              </w:rPr>
              <w:t xml:space="preserve">          ~</w:t>
            </w:r>
          </w:p>
        </w:tc>
        <w:tc>
          <w:tcPr>
            <w:tcW w:w="1599" w:type="dxa"/>
          </w:tcPr>
          <w:p w14:paraId="1CC2640E" w14:textId="026703A4" w:rsidR="00B4477A" w:rsidRPr="00FF756A" w:rsidRDefault="00B4477A" w:rsidP="00B4477A">
            <w:pPr>
              <w:rPr>
                <w:sz w:val="20"/>
                <w:szCs w:val="20"/>
              </w:rPr>
            </w:pPr>
            <w:r w:rsidRPr="00FF756A">
              <w:rPr>
                <w:sz w:val="20"/>
                <w:szCs w:val="20"/>
              </w:rPr>
              <w:t>86%</w:t>
            </w:r>
          </w:p>
        </w:tc>
        <w:tc>
          <w:tcPr>
            <w:tcW w:w="4394" w:type="dxa"/>
          </w:tcPr>
          <w:p w14:paraId="68852BB9" w14:textId="0EF77829" w:rsidR="00B4477A" w:rsidRPr="00FF756A" w:rsidRDefault="00B4477A" w:rsidP="00B4477A">
            <w:p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after="0" w:line="240" w:lineRule="auto"/>
              <w:rPr>
                <w:sz w:val="20"/>
                <w:szCs w:val="20"/>
              </w:rPr>
            </w:pPr>
            <w:r w:rsidRPr="00FF756A">
              <w:rPr>
                <w:sz w:val="20"/>
                <w:szCs w:val="20"/>
              </w:rPr>
              <w:t>Nuk është miratuar ende një plan afatgjatë për rinovimin e ndërtesave, por është në përgatitje e sipër. Pas miratimit të akteve nënligjore përkatëse për zbatimin e ligjit të vitit 2016 “Për performancën e energjisë së ndërtesave”, Shqipëria ka ngritur një sistem operacional për certifikimin e performancës së energjisë. Agjencia për Efiçencën e Energjisë mbështet lëshimin e certifikatave të performancës së energjisë për ndërtesat, si dhe mbikëqyr skemën. Që nga krijimi i kësaj skeme janë nxjerrë mbi 123 000 raporte auditi.</w:t>
            </w:r>
          </w:p>
        </w:tc>
      </w:tr>
      <w:tr w:rsidR="00B4477A" w:rsidRPr="00FF756A" w14:paraId="4BF900BB" w14:textId="77777777" w:rsidTr="002A3944">
        <w:tc>
          <w:tcPr>
            <w:tcW w:w="2127" w:type="dxa"/>
          </w:tcPr>
          <w:p w14:paraId="79D10FA4" w14:textId="19DAB343" w:rsidR="00B4477A" w:rsidRPr="00FF756A" w:rsidRDefault="00B4477A" w:rsidP="00B4477A">
            <w:pPr>
              <w:rPr>
                <w:sz w:val="20"/>
                <w:szCs w:val="20"/>
              </w:rPr>
            </w:pPr>
            <w:r w:rsidRPr="00FF756A">
              <w:rPr>
                <w:sz w:val="20"/>
                <w:szCs w:val="20"/>
              </w:rPr>
              <w:t>Skema për efiçencën e energjisë dhe financimi</w:t>
            </w:r>
          </w:p>
        </w:tc>
        <w:tc>
          <w:tcPr>
            <w:tcW w:w="1514" w:type="dxa"/>
          </w:tcPr>
          <w:p w14:paraId="64520C9F" w14:textId="77777777" w:rsidR="00B4477A" w:rsidRPr="00FF756A" w:rsidRDefault="00B4477A" w:rsidP="00B4477A">
            <w:pPr>
              <w:rPr>
                <w:sz w:val="20"/>
                <w:szCs w:val="20"/>
              </w:rPr>
            </w:pPr>
            <w:r w:rsidRPr="00FF756A">
              <w:rPr>
                <w:sz w:val="20"/>
                <w:szCs w:val="20"/>
              </w:rPr>
              <w:t xml:space="preserve">                   </w:t>
            </w:r>
          </w:p>
          <w:p w14:paraId="3ABB2E51" w14:textId="77777777" w:rsidR="00B4477A" w:rsidRPr="00FF756A" w:rsidRDefault="00B4477A" w:rsidP="00B4477A">
            <w:pPr>
              <w:rPr>
                <w:sz w:val="20"/>
                <w:szCs w:val="20"/>
              </w:rPr>
            </w:pPr>
          </w:p>
          <w:p w14:paraId="39ECAB40" w14:textId="77777777" w:rsidR="00B4477A" w:rsidRPr="00FF756A" w:rsidRDefault="00B4477A" w:rsidP="00B4477A">
            <w:pPr>
              <w:rPr>
                <w:sz w:val="20"/>
                <w:szCs w:val="20"/>
              </w:rPr>
            </w:pPr>
          </w:p>
          <w:p w14:paraId="47727736" w14:textId="77777777" w:rsidR="00B4477A" w:rsidRPr="00FF756A" w:rsidRDefault="00B4477A" w:rsidP="00B4477A">
            <w:pPr>
              <w:rPr>
                <w:sz w:val="20"/>
                <w:szCs w:val="20"/>
              </w:rPr>
            </w:pPr>
            <w:r w:rsidRPr="00FF756A">
              <w:rPr>
                <w:sz w:val="20"/>
                <w:szCs w:val="20"/>
              </w:rPr>
              <w:t xml:space="preserve">            ~</w:t>
            </w:r>
          </w:p>
        </w:tc>
        <w:tc>
          <w:tcPr>
            <w:tcW w:w="1599" w:type="dxa"/>
          </w:tcPr>
          <w:p w14:paraId="0D543EF8" w14:textId="625CDDA0" w:rsidR="00B4477A" w:rsidRPr="00FF756A" w:rsidRDefault="00B4477A" w:rsidP="00B4477A">
            <w:pPr>
              <w:rPr>
                <w:sz w:val="20"/>
                <w:szCs w:val="20"/>
              </w:rPr>
            </w:pPr>
            <w:r w:rsidRPr="00FF756A">
              <w:rPr>
                <w:sz w:val="20"/>
                <w:szCs w:val="20"/>
              </w:rPr>
              <w:t>44%</w:t>
            </w:r>
          </w:p>
        </w:tc>
        <w:tc>
          <w:tcPr>
            <w:tcW w:w="4394" w:type="dxa"/>
          </w:tcPr>
          <w:p w14:paraId="7400563B" w14:textId="24200760" w:rsidR="00B4477A" w:rsidRPr="00FF756A" w:rsidRDefault="00B4477A" w:rsidP="00B4477A">
            <w:p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after="0" w:line="240" w:lineRule="auto"/>
              <w:rPr>
                <w:sz w:val="20"/>
                <w:szCs w:val="20"/>
              </w:rPr>
            </w:pPr>
            <w:r w:rsidRPr="00FF756A">
              <w:rPr>
                <w:sz w:val="20"/>
                <w:szCs w:val="20"/>
              </w:rPr>
              <w:t xml:space="preserve">Ministria e Infrastrukturës dhe Energjisë hartoi një urdhër për miratimin e skemës detyruese të efiçencës së energjisë, i cili nuk është miratuar. Për sa u përket mekanizmave të financimit për efiçencën e energjisë, nuk është krijuar asnjë fond i dedikuar. Investimet në efiçencën e energjisë aktualisht po kanalizohen përmes buxhetit të shtetit dhe ndihmës financiare të huaj, me fokus të veçantë në sektorin e ndërtimit. Gjithashtu, bankat lokale janë përfshirë në mënyrë aktive në promovimin e efiçencës së energjisë duke ofruar linja krediti për masa të ndryshme, me fokus të veçantë në rritjen e izolimit termik të zarfeve të ndërtesave në ndërtesat private. Këto nisma subvencionohen deri në 50% të kostove, me financimin e Bashkisë Tiranë. Janë hartuar rregullorja dhe kontratat tip për kontraktimin e performancës së energjisë në modelin e tregut të shoqërive të shërbimeve energjetike (ESCO). </w:t>
            </w:r>
          </w:p>
        </w:tc>
      </w:tr>
      <w:tr w:rsidR="006B72C2" w:rsidRPr="00FF756A" w14:paraId="1179AB1B" w14:textId="77777777" w:rsidTr="002A3944">
        <w:tc>
          <w:tcPr>
            <w:tcW w:w="2127" w:type="dxa"/>
          </w:tcPr>
          <w:p w14:paraId="2A9DE3F8" w14:textId="0AF677B2" w:rsidR="006B72C2" w:rsidRPr="00FF756A" w:rsidRDefault="00577454" w:rsidP="00210CDA">
            <w:pPr>
              <w:rPr>
                <w:sz w:val="20"/>
                <w:szCs w:val="20"/>
              </w:rPr>
            </w:pPr>
            <w:r w:rsidRPr="00FF756A">
              <w:rPr>
                <w:sz w:val="20"/>
                <w:szCs w:val="20"/>
              </w:rPr>
              <w:t>Produktet me efiçencë energjie – etiketimi</w:t>
            </w:r>
          </w:p>
        </w:tc>
        <w:tc>
          <w:tcPr>
            <w:tcW w:w="1514" w:type="dxa"/>
          </w:tcPr>
          <w:p w14:paraId="063F795D" w14:textId="77777777" w:rsidR="006B72C2" w:rsidRPr="00FF756A" w:rsidRDefault="006B72C2" w:rsidP="00210CDA">
            <w:pPr>
              <w:rPr>
                <w:sz w:val="20"/>
                <w:szCs w:val="20"/>
              </w:rPr>
            </w:pPr>
          </w:p>
          <w:p w14:paraId="4C1F9736" w14:textId="77777777" w:rsidR="006B72C2" w:rsidRPr="00FF756A" w:rsidRDefault="006B72C2" w:rsidP="00210CDA">
            <w:pPr>
              <w:rPr>
                <w:sz w:val="20"/>
                <w:szCs w:val="20"/>
              </w:rPr>
            </w:pPr>
          </w:p>
          <w:p w14:paraId="72F8D5D2" w14:textId="77777777" w:rsidR="006B72C2" w:rsidRPr="00FF756A" w:rsidRDefault="006B72C2" w:rsidP="00210CDA">
            <w:pPr>
              <w:rPr>
                <w:sz w:val="20"/>
                <w:szCs w:val="20"/>
              </w:rPr>
            </w:pPr>
            <w:r w:rsidRPr="00FF756A">
              <w:rPr>
                <w:sz w:val="20"/>
                <w:szCs w:val="20"/>
              </w:rPr>
              <w:t xml:space="preserve">            ~</w:t>
            </w:r>
          </w:p>
        </w:tc>
        <w:tc>
          <w:tcPr>
            <w:tcW w:w="1599" w:type="dxa"/>
          </w:tcPr>
          <w:p w14:paraId="4F2FC602" w14:textId="13D8F507" w:rsidR="006B72C2" w:rsidRPr="00FF756A" w:rsidRDefault="00E50E3D" w:rsidP="00210CDA">
            <w:pPr>
              <w:rPr>
                <w:sz w:val="20"/>
                <w:szCs w:val="20"/>
              </w:rPr>
            </w:pPr>
            <w:r w:rsidRPr="00FF756A">
              <w:rPr>
                <w:sz w:val="20"/>
                <w:szCs w:val="20"/>
              </w:rPr>
              <w:t>38%</w:t>
            </w:r>
          </w:p>
        </w:tc>
        <w:tc>
          <w:tcPr>
            <w:tcW w:w="4394" w:type="dxa"/>
          </w:tcPr>
          <w:p w14:paraId="23ABD681" w14:textId="64D51281" w:rsidR="00CF39DA" w:rsidRPr="00FF756A" w:rsidRDefault="00CF39DA" w:rsidP="00CF39DA">
            <w:pPr>
              <w:pBdr>
                <w:top w:val="none" w:sz="0" w:space="0" w:color="auto"/>
                <w:left w:val="none" w:sz="0" w:space="0" w:color="auto"/>
                <w:bottom w:val="none" w:sz="0" w:space="0" w:color="auto"/>
                <w:right w:val="none" w:sz="0" w:space="0" w:color="auto"/>
                <w:between w:val="none" w:sz="0" w:space="0" w:color="auto"/>
              </w:pBdr>
              <w:spacing w:before="0" w:after="0"/>
              <w:ind w:right="391"/>
              <w:rPr>
                <w:sz w:val="20"/>
                <w:szCs w:val="20"/>
              </w:rPr>
            </w:pPr>
            <w:r w:rsidRPr="00FF756A">
              <w:rPr>
                <w:sz w:val="20"/>
                <w:szCs w:val="20"/>
              </w:rPr>
              <w:t>Ligji nr. 52/2014 “Për etiketimin e energjisë për produktet me ndikim në energji” është në fuqi.</w:t>
            </w:r>
          </w:p>
          <w:p w14:paraId="76CC2A24" w14:textId="64D5456B" w:rsidR="006B72C2" w:rsidRPr="00FF756A" w:rsidRDefault="00CF39DA" w:rsidP="000D4B94">
            <w:pPr>
              <w:pBdr>
                <w:top w:val="none" w:sz="0" w:space="0" w:color="auto"/>
                <w:left w:val="none" w:sz="0" w:space="0" w:color="auto"/>
                <w:bottom w:val="none" w:sz="0" w:space="0" w:color="auto"/>
                <w:right w:val="none" w:sz="0" w:space="0" w:color="auto"/>
                <w:between w:val="none" w:sz="0" w:space="0" w:color="auto"/>
              </w:pBdr>
              <w:spacing w:before="0" w:after="0"/>
              <w:ind w:right="391"/>
              <w:rPr>
                <w:sz w:val="20"/>
                <w:szCs w:val="20"/>
              </w:rPr>
            </w:pPr>
            <w:r w:rsidRPr="00FF756A">
              <w:rPr>
                <w:sz w:val="20"/>
                <w:szCs w:val="20"/>
              </w:rPr>
              <w:t>Po vazhdohet puna për transpozimin e legjislacionit dytësor që të harmonizohet plotësisht edhe me rregulloret përkatëse të deleguara në lidhje me secilin produkt specifik që bën pjesë në këtë rregullore.</w:t>
            </w:r>
          </w:p>
        </w:tc>
      </w:tr>
      <w:tr w:rsidR="006B72C2" w:rsidRPr="00FF756A" w14:paraId="5665B5A0" w14:textId="77777777" w:rsidTr="002A3944">
        <w:tc>
          <w:tcPr>
            <w:tcW w:w="2127" w:type="dxa"/>
          </w:tcPr>
          <w:p w14:paraId="03A5E063" w14:textId="2B48FA0F" w:rsidR="006B72C2" w:rsidRPr="00FF756A" w:rsidRDefault="00E50E3D" w:rsidP="00210CDA">
            <w:pPr>
              <w:rPr>
                <w:sz w:val="20"/>
                <w:szCs w:val="20"/>
              </w:rPr>
            </w:pPr>
            <w:r w:rsidRPr="00FF756A">
              <w:rPr>
                <w:sz w:val="20"/>
                <w:szCs w:val="20"/>
              </w:rPr>
              <w:lastRenderedPageBreak/>
              <w:t>Efikasiteti në ngrohje dhe ftohje</w:t>
            </w:r>
          </w:p>
        </w:tc>
        <w:tc>
          <w:tcPr>
            <w:tcW w:w="1514" w:type="dxa"/>
          </w:tcPr>
          <w:p w14:paraId="0D9DE493" w14:textId="46566BD4" w:rsidR="006B72C2" w:rsidRPr="00FF756A" w:rsidRDefault="006B72C2" w:rsidP="00210CDA">
            <w:pPr>
              <w:rPr>
                <w:sz w:val="20"/>
                <w:szCs w:val="20"/>
              </w:rPr>
            </w:pPr>
            <w:r w:rsidRPr="00FF756A">
              <w:rPr>
                <w:sz w:val="20"/>
                <w:szCs w:val="20"/>
              </w:rPr>
              <w:t xml:space="preserve">                 ~</w:t>
            </w:r>
          </w:p>
        </w:tc>
        <w:tc>
          <w:tcPr>
            <w:tcW w:w="1599" w:type="dxa"/>
          </w:tcPr>
          <w:p w14:paraId="7D568E20" w14:textId="66CBC93E" w:rsidR="006B72C2" w:rsidRPr="00FF756A" w:rsidRDefault="00E50E3D" w:rsidP="00210CDA">
            <w:pPr>
              <w:rPr>
                <w:sz w:val="20"/>
                <w:szCs w:val="20"/>
              </w:rPr>
            </w:pPr>
            <w:r w:rsidRPr="00FF756A">
              <w:rPr>
                <w:sz w:val="20"/>
                <w:szCs w:val="20"/>
              </w:rPr>
              <w:t>38%</w:t>
            </w:r>
          </w:p>
        </w:tc>
        <w:tc>
          <w:tcPr>
            <w:tcW w:w="4394" w:type="dxa"/>
          </w:tcPr>
          <w:p w14:paraId="7C9760B3" w14:textId="4C6DF7B9" w:rsidR="006B72C2" w:rsidRPr="00FF756A" w:rsidRDefault="00E50E3D" w:rsidP="006829C5">
            <w:pPr>
              <w:keepNext/>
              <w:rPr>
                <w:rFonts w:eastAsia="Arial"/>
                <w:sz w:val="20"/>
                <w:szCs w:val="20"/>
              </w:rPr>
            </w:pPr>
            <w:r w:rsidRPr="00FF756A">
              <w:rPr>
                <w:sz w:val="20"/>
                <w:szCs w:val="20"/>
              </w:rPr>
              <w:t>Ndërsa ligji “Për efiçencën e energjisë” prezantoi bazën ligjore për zhvillimin e një vlerësimi gjithëpërfshirës të potencialit për ngrohje dhe ftohje efiçente në vitin 2021, mungon kryerja e vlerësimeve në përputhje me kërkesat e nenit 14 të Direktivës për Efiçencën e Energjisë. Gjithashtu, transpozimi i dispozitave në lidhje me inspektimin e sistemeve të ngrohjes dhe ajrit të kondicionuar është ende pezull. Së fundmi, Shqipëria ka subvencionuar 2000 familje me sisteme diellore për ngrohjen e ujit</w:t>
            </w:r>
          </w:p>
        </w:tc>
      </w:tr>
    </w:tbl>
    <w:p w14:paraId="599931F1" w14:textId="2238B325" w:rsidR="006B72C2" w:rsidRPr="00FF756A" w:rsidRDefault="006829C5" w:rsidP="006829C5">
      <w:pPr>
        <w:pStyle w:val="Caption"/>
        <w:rPr>
          <w:rFonts w:ascii="Times New Roman" w:hAnsi="Times New Roman"/>
          <w:sz w:val="20"/>
          <w:szCs w:val="20"/>
        </w:rPr>
      </w:pPr>
      <w:bookmarkStart w:id="50" w:name="_Toc183016470"/>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6</w:t>
      </w:r>
      <w:r w:rsidR="008E7DE9" w:rsidRPr="00FF756A">
        <w:rPr>
          <w:rFonts w:ascii="Times New Roman" w:hAnsi="Times New Roman"/>
          <w:noProof/>
        </w:rPr>
        <w:fldChar w:fldCharType="end"/>
      </w:r>
      <w:r w:rsidRPr="00FF756A">
        <w:rPr>
          <w:rFonts w:ascii="Times New Roman" w:hAnsi="Times New Roman"/>
        </w:rPr>
        <w:t xml:space="preserve">: Zbatimi i efiçencës së energjisë (Burimi: </w:t>
      </w:r>
      <w:r w:rsidR="009342D4" w:rsidRPr="00FF756A">
        <w:rPr>
          <w:rFonts w:ascii="Times New Roman" w:hAnsi="Times New Roman"/>
        </w:rPr>
        <w:t>K</w:t>
      </w:r>
      <w:r w:rsidR="00DB50A9" w:rsidRPr="00FF756A">
        <w:rPr>
          <w:rFonts w:ascii="Times New Roman" w:hAnsi="Times New Roman"/>
        </w:rPr>
        <w:t xml:space="preserve">Et </w:t>
      </w:r>
      <w:r w:rsidRPr="00FF756A">
        <w:rPr>
          <w:rFonts w:ascii="Times New Roman" w:hAnsi="Times New Roman"/>
        </w:rPr>
        <w:t>Raporti i Zbatimit 2023 Shqipëri / 8)</w:t>
      </w:r>
      <w:bookmarkEnd w:id="50"/>
    </w:p>
    <w:bookmarkEnd w:id="49"/>
    <w:p w14:paraId="36702C63" w14:textId="77777777" w:rsidR="00322BFF" w:rsidRPr="00FF756A" w:rsidRDefault="00322BFF" w:rsidP="00EF0D31">
      <w:pPr>
        <w:rPr>
          <w:b/>
          <w:bCs/>
        </w:rPr>
      </w:pPr>
    </w:p>
    <w:p w14:paraId="04A764E4" w14:textId="6105CC01" w:rsidR="00DA2EDE" w:rsidRPr="00FF756A" w:rsidRDefault="00DA2EDE" w:rsidP="000D4B94">
      <w:pPr>
        <w:rPr>
          <w:b/>
          <w:bCs/>
        </w:rPr>
      </w:pPr>
      <w:r w:rsidRPr="00FF756A">
        <w:rPr>
          <w:b/>
          <w:bCs/>
        </w:rPr>
        <w:t>Disa zhvillime dhe zbatime të masave për EE-në në nivelin e konsumit primar dhe final të energjisë</w:t>
      </w:r>
    </w:p>
    <w:p w14:paraId="4501210E" w14:textId="0E76EDFC" w:rsidR="00EE5728" w:rsidRPr="00FF756A" w:rsidRDefault="00DA2EDE" w:rsidP="000D4B94">
      <w:r w:rsidRPr="00FF756A">
        <w:t>Për shkak të investimeve të planifikuara dhe të realizuara nga shoqëritë shqiptare të energjisë për fuqizimin e kapaciteteve të energjisë elektrike për transmetim dhe shpërndarje, si dhe për rritjen e efiçencës së rrjeteve (me më pak humbje teknike dhe joteknike si në transmetim ashtu dhe në shpërndarje), ka pasur një përmirësim të situatës në lidhje me reduktimin e humbjeve teknike dhe rritjen e nivelit të arkëtimeve për faturat e energjisë elektrike (humbjet joteknike). Sipas raportit vjetor të ERE-s, OST</w:t>
      </w:r>
      <w:r w:rsidR="00CA62E2" w:rsidRPr="00FF756A">
        <w:t xml:space="preserve">-ja </w:t>
      </w:r>
      <w:r w:rsidRPr="00FF756A">
        <w:t>dhe OSHEE</w:t>
      </w:r>
      <w:r w:rsidR="00CA62E2" w:rsidRPr="00FF756A">
        <w:t xml:space="preserve">-ja </w:t>
      </w:r>
      <w:r w:rsidRPr="00FF756A">
        <w:t>kanë ndërmarrë disa investime që rezultojnë në përmirësimin e humbjeve në vitin 2023. OST</w:t>
      </w:r>
      <w:r w:rsidR="00CA62E2" w:rsidRPr="00FF756A">
        <w:t>-ja</w:t>
      </w:r>
      <w:r w:rsidRPr="00FF756A">
        <w:t xml:space="preserve"> do të vazhdojë investimet për përmirësimin e rrjetit, me qëllim rritjen e nivelit të arkëtimit dhe reduktimin e humbjeve joteknike në sistemin e shpërndarjes së energjisë elektrike. OSHEE Sh.A. është duke përmirësuar vazhdimisht performancën e saj për reduktimin e humbjeve të energjisë elektrike dhe rritjen e niveleve të arkëtimeve të faturave. (</w:t>
      </w:r>
      <w:r w:rsidR="00CA62E2" w:rsidRPr="00FF756A">
        <w:t>Burimi: Raportet vjetore</w:t>
      </w:r>
      <w:r w:rsidR="009A3FF2" w:rsidRPr="00FF756A">
        <w:t xml:space="preserve"> te ERE. </w:t>
      </w:r>
      <w:hyperlink r:id="rId28" w:history="1">
        <w:r w:rsidR="009A3FF2" w:rsidRPr="00FF756A">
          <w:rPr>
            <w:rStyle w:val="Hyperlink"/>
          </w:rPr>
          <w:t>www.ere.gov.al</w:t>
        </w:r>
      </w:hyperlink>
      <w:r w:rsidR="009A3FF2" w:rsidRPr="00FF756A">
        <w:t>)</w:t>
      </w:r>
    </w:p>
    <w:p w14:paraId="019E8D5E" w14:textId="446A2239" w:rsidR="00EE5728" w:rsidRPr="00FF756A" w:rsidRDefault="00EE5728" w:rsidP="000D4B94">
      <w:r w:rsidRPr="00FF756A">
        <w:t>Gjatë vitit 2023, efektiviteti i shitjes së energjisë elektrike vazhdon të shënojë rritje, duke iu referuar faktorëve që përcaktojnë nivelin e efiçencës së konsumit të energjisë elektrike, përkatësisht:</w:t>
      </w:r>
    </w:p>
    <w:p w14:paraId="3AA1FAFB" w14:textId="6C7824A7" w:rsidR="00EE5728" w:rsidRPr="00FF756A" w:rsidRDefault="00EE5728">
      <w:pPr>
        <w:pStyle w:val="ListParagraph"/>
        <w:numPr>
          <w:ilvl w:val="0"/>
          <w:numId w:val="46"/>
        </w:numPr>
        <w:spacing w:before="40" w:after="40"/>
        <w:rPr>
          <w:sz w:val="24"/>
          <w:szCs w:val="24"/>
        </w:rPr>
      </w:pPr>
      <w:r w:rsidRPr="00FF756A">
        <w:rPr>
          <w:sz w:val="24"/>
          <w:szCs w:val="24"/>
        </w:rPr>
        <w:t>niveli i humbjeve të energjisë elektrike në shpërndarje;</w:t>
      </w:r>
    </w:p>
    <w:p w14:paraId="6CE8BF23" w14:textId="6CFBA1AB" w:rsidR="00A1767B" w:rsidRPr="00FF756A" w:rsidRDefault="00EE5728">
      <w:pPr>
        <w:pStyle w:val="ListParagraph"/>
        <w:numPr>
          <w:ilvl w:val="0"/>
          <w:numId w:val="46"/>
        </w:numPr>
        <w:spacing w:before="40" w:after="40"/>
        <w:rPr>
          <w:sz w:val="24"/>
          <w:szCs w:val="24"/>
        </w:rPr>
      </w:pPr>
      <w:r w:rsidRPr="00FF756A">
        <w:rPr>
          <w:sz w:val="24"/>
          <w:szCs w:val="24"/>
        </w:rPr>
        <w:t>niveli i arkëtimit të faturave të energjisë elektrike.</w:t>
      </w:r>
    </w:p>
    <w:p w14:paraId="68942041" w14:textId="147BD00A" w:rsidR="00EE5728" w:rsidRPr="00FF756A" w:rsidRDefault="00EE5728" w:rsidP="000D4B94">
      <w:r w:rsidRPr="00FF756A">
        <w:t>Humbjet e përgjithshme të raportuara nga shoqëria për vitin 2023 arrijnë deri në 18,93%, duke shënuar kështu një rënie të nivelit të humbjeve krahasuar me vitin 2022. Niveli i përgjithshëm i arkëtimeve i raportuar nga OSSH sh.a. është 99,4% në raport me energjinë elektrike të faturuar. Ky nivel arkëtimesh për vitin 2023 shënon rritje, krahasuar me nivelin e arkëtimeve të realizuara për vitin 2022.</w:t>
      </w:r>
    </w:p>
    <w:p w14:paraId="15A64CF6" w14:textId="0C76025A" w:rsidR="00EE5728" w:rsidRPr="00FF756A" w:rsidRDefault="00EE5728" w:rsidP="000D4B94">
      <w:r w:rsidRPr="00FF756A">
        <w:t xml:space="preserve">Rezultatet e arritura tregohen në tabelat më poshtë. </w:t>
      </w:r>
    </w:p>
    <w:p w14:paraId="427C3E9E" w14:textId="2644F975" w:rsidR="00EE5728" w:rsidRPr="00FF756A" w:rsidRDefault="00EE5728" w:rsidP="00EE5728"/>
    <w:tbl>
      <w:tblPr>
        <w:tblW w:w="9203" w:type="dxa"/>
        <w:tblLook w:val="04A0" w:firstRow="1" w:lastRow="0" w:firstColumn="1" w:lastColumn="0" w:noHBand="0" w:noVBand="1"/>
      </w:tblPr>
      <w:tblGrid>
        <w:gridCol w:w="2539"/>
        <w:gridCol w:w="833"/>
        <w:gridCol w:w="833"/>
        <w:gridCol w:w="833"/>
        <w:gridCol w:w="833"/>
        <w:gridCol w:w="833"/>
        <w:gridCol w:w="833"/>
        <w:gridCol w:w="833"/>
        <w:gridCol w:w="833"/>
      </w:tblGrid>
      <w:tr w:rsidR="00533D73" w:rsidRPr="00FF756A" w14:paraId="11AC7E8A" w14:textId="77777777" w:rsidTr="00533D73">
        <w:trPr>
          <w:trHeight w:val="246"/>
        </w:trPr>
        <w:tc>
          <w:tcPr>
            <w:tcW w:w="2539" w:type="dxa"/>
            <w:tcBorders>
              <w:top w:val="single" w:sz="4" w:space="0" w:color="auto"/>
              <w:left w:val="single" w:sz="4" w:space="0" w:color="auto"/>
              <w:bottom w:val="single" w:sz="4" w:space="0" w:color="auto"/>
              <w:right w:val="single" w:sz="4" w:space="0" w:color="auto"/>
            </w:tcBorders>
            <w:noWrap/>
            <w:vAlign w:val="bottom"/>
            <w:hideMark/>
          </w:tcPr>
          <w:p w14:paraId="58D25115"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left"/>
              <w:rPr>
                <w:rFonts w:eastAsia="Times New Roman"/>
                <w:b/>
                <w:bCs/>
                <w:color w:val="000000"/>
                <w:sz w:val="20"/>
                <w:szCs w:val="20"/>
              </w:rPr>
            </w:pPr>
            <w:r w:rsidRPr="00FF756A">
              <w:rPr>
                <w:b/>
                <w:bCs/>
                <w:color w:val="000000"/>
                <w:sz w:val="20"/>
                <w:szCs w:val="20"/>
              </w:rPr>
              <w:t>Viti</w:t>
            </w:r>
          </w:p>
        </w:tc>
        <w:tc>
          <w:tcPr>
            <w:tcW w:w="833" w:type="dxa"/>
            <w:tcBorders>
              <w:top w:val="single" w:sz="4" w:space="0" w:color="auto"/>
              <w:left w:val="nil"/>
              <w:bottom w:val="single" w:sz="4" w:space="0" w:color="auto"/>
              <w:right w:val="single" w:sz="4" w:space="0" w:color="auto"/>
            </w:tcBorders>
            <w:noWrap/>
            <w:vAlign w:val="bottom"/>
            <w:hideMark/>
          </w:tcPr>
          <w:p w14:paraId="177D7ADB"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b/>
                <w:bCs/>
                <w:color w:val="000000"/>
                <w:sz w:val="20"/>
                <w:szCs w:val="20"/>
              </w:rPr>
            </w:pPr>
            <w:r w:rsidRPr="00FF756A">
              <w:rPr>
                <w:b/>
                <w:bCs/>
                <w:color w:val="000000"/>
                <w:sz w:val="20"/>
                <w:szCs w:val="20"/>
              </w:rPr>
              <w:t>2016</w:t>
            </w:r>
          </w:p>
        </w:tc>
        <w:tc>
          <w:tcPr>
            <w:tcW w:w="833" w:type="dxa"/>
            <w:tcBorders>
              <w:top w:val="single" w:sz="4" w:space="0" w:color="auto"/>
              <w:left w:val="nil"/>
              <w:bottom w:val="single" w:sz="4" w:space="0" w:color="auto"/>
              <w:right w:val="single" w:sz="4" w:space="0" w:color="auto"/>
            </w:tcBorders>
            <w:noWrap/>
            <w:vAlign w:val="bottom"/>
            <w:hideMark/>
          </w:tcPr>
          <w:p w14:paraId="43DEF06F"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b/>
                <w:bCs/>
                <w:color w:val="000000"/>
                <w:sz w:val="20"/>
                <w:szCs w:val="20"/>
              </w:rPr>
            </w:pPr>
            <w:r w:rsidRPr="00FF756A">
              <w:rPr>
                <w:b/>
                <w:bCs/>
                <w:color w:val="000000"/>
                <w:sz w:val="20"/>
                <w:szCs w:val="20"/>
              </w:rPr>
              <w:t>2017</w:t>
            </w:r>
          </w:p>
        </w:tc>
        <w:tc>
          <w:tcPr>
            <w:tcW w:w="833" w:type="dxa"/>
            <w:tcBorders>
              <w:top w:val="single" w:sz="4" w:space="0" w:color="auto"/>
              <w:left w:val="nil"/>
              <w:bottom w:val="single" w:sz="4" w:space="0" w:color="auto"/>
              <w:right w:val="single" w:sz="4" w:space="0" w:color="auto"/>
            </w:tcBorders>
            <w:noWrap/>
            <w:vAlign w:val="bottom"/>
            <w:hideMark/>
          </w:tcPr>
          <w:p w14:paraId="5ABABA19"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b/>
                <w:bCs/>
                <w:color w:val="000000"/>
                <w:sz w:val="20"/>
                <w:szCs w:val="20"/>
              </w:rPr>
            </w:pPr>
            <w:r w:rsidRPr="00FF756A">
              <w:rPr>
                <w:b/>
                <w:bCs/>
                <w:color w:val="000000"/>
                <w:sz w:val="20"/>
                <w:szCs w:val="20"/>
              </w:rPr>
              <w:t>2018</w:t>
            </w:r>
          </w:p>
        </w:tc>
        <w:tc>
          <w:tcPr>
            <w:tcW w:w="833" w:type="dxa"/>
            <w:tcBorders>
              <w:top w:val="single" w:sz="4" w:space="0" w:color="auto"/>
              <w:left w:val="nil"/>
              <w:bottom w:val="single" w:sz="4" w:space="0" w:color="auto"/>
              <w:right w:val="single" w:sz="4" w:space="0" w:color="auto"/>
            </w:tcBorders>
            <w:noWrap/>
            <w:vAlign w:val="bottom"/>
            <w:hideMark/>
          </w:tcPr>
          <w:p w14:paraId="488240E0"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b/>
                <w:bCs/>
                <w:color w:val="000000"/>
                <w:sz w:val="20"/>
                <w:szCs w:val="20"/>
              </w:rPr>
            </w:pPr>
            <w:r w:rsidRPr="00FF756A">
              <w:rPr>
                <w:b/>
                <w:bCs/>
                <w:color w:val="000000"/>
                <w:sz w:val="20"/>
                <w:szCs w:val="20"/>
              </w:rPr>
              <w:t>2019</w:t>
            </w:r>
          </w:p>
        </w:tc>
        <w:tc>
          <w:tcPr>
            <w:tcW w:w="833" w:type="dxa"/>
            <w:tcBorders>
              <w:top w:val="single" w:sz="4" w:space="0" w:color="auto"/>
              <w:left w:val="nil"/>
              <w:bottom w:val="single" w:sz="4" w:space="0" w:color="auto"/>
              <w:right w:val="single" w:sz="4" w:space="0" w:color="auto"/>
            </w:tcBorders>
            <w:noWrap/>
            <w:vAlign w:val="bottom"/>
            <w:hideMark/>
          </w:tcPr>
          <w:p w14:paraId="47FFAB83"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b/>
                <w:bCs/>
                <w:color w:val="000000"/>
                <w:sz w:val="20"/>
                <w:szCs w:val="20"/>
              </w:rPr>
            </w:pPr>
            <w:r w:rsidRPr="00FF756A">
              <w:rPr>
                <w:b/>
                <w:bCs/>
                <w:color w:val="000000"/>
                <w:sz w:val="20"/>
                <w:szCs w:val="20"/>
              </w:rPr>
              <w:t>2020</w:t>
            </w:r>
          </w:p>
        </w:tc>
        <w:tc>
          <w:tcPr>
            <w:tcW w:w="833" w:type="dxa"/>
            <w:tcBorders>
              <w:top w:val="single" w:sz="4" w:space="0" w:color="auto"/>
              <w:left w:val="nil"/>
              <w:bottom w:val="single" w:sz="4" w:space="0" w:color="auto"/>
              <w:right w:val="single" w:sz="4" w:space="0" w:color="auto"/>
            </w:tcBorders>
            <w:noWrap/>
            <w:vAlign w:val="bottom"/>
            <w:hideMark/>
          </w:tcPr>
          <w:p w14:paraId="3663AE23"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b/>
                <w:bCs/>
                <w:color w:val="000000"/>
                <w:sz w:val="20"/>
                <w:szCs w:val="20"/>
              </w:rPr>
            </w:pPr>
            <w:r w:rsidRPr="00FF756A">
              <w:rPr>
                <w:b/>
                <w:bCs/>
                <w:color w:val="000000"/>
                <w:sz w:val="20"/>
                <w:szCs w:val="20"/>
              </w:rPr>
              <w:t>2021</w:t>
            </w:r>
          </w:p>
        </w:tc>
        <w:tc>
          <w:tcPr>
            <w:tcW w:w="833" w:type="dxa"/>
            <w:tcBorders>
              <w:top w:val="single" w:sz="4" w:space="0" w:color="auto"/>
              <w:left w:val="nil"/>
              <w:bottom w:val="single" w:sz="4" w:space="0" w:color="auto"/>
              <w:right w:val="single" w:sz="4" w:space="0" w:color="auto"/>
            </w:tcBorders>
            <w:noWrap/>
            <w:vAlign w:val="bottom"/>
            <w:hideMark/>
          </w:tcPr>
          <w:p w14:paraId="291C3D9F"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b/>
                <w:bCs/>
                <w:color w:val="000000"/>
                <w:sz w:val="20"/>
                <w:szCs w:val="20"/>
              </w:rPr>
            </w:pPr>
            <w:r w:rsidRPr="00FF756A">
              <w:rPr>
                <w:b/>
                <w:bCs/>
                <w:color w:val="000000"/>
                <w:sz w:val="20"/>
                <w:szCs w:val="20"/>
              </w:rPr>
              <w:t>2022</w:t>
            </w:r>
          </w:p>
        </w:tc>
        <w:tc>
          <w:tcPr>
            <w:tcW w:w="833" w:type="dxa"/>
            <w:tcBorders>
              <w:top w:val="single" w:sz="4" w:space="0" w:color="auto"/>
              <w:left w:val="nil"/>
              <w:bottom w:val="single" w:sz="4" w:space="0" w:color="auto"/>
              <w:right w:val="single" w:sz="4" w:space="0" w:color="auto"/>
            </w:tcBorders>
            <w:noWrap/>
            <w:vAlign w:val="bottom"/>
            <w:hideMark/>
          </w:tcPr>
          <w:p w14:paraId="3B74CC7C"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b/>
                <w:bCs/>
                <w:color w:val="000000"/>
                <w:sz w:val="20"/>
                <w:szCs w:val="20"/>
              </w:rPr>
            </w:pPr>
            <w:r w:rsidRPr="00FF756A">
              <w:rPr>
                <w:b/>
                <w:bCs/>
                <w:color w:val="000000"/>
                <w:sz w:val="20"/>
                <w:szCs w:val="20"/>
              </w:rPr>
              <w:t>2023</w:t>
            </w:r>
          </w:p>
        </w:tc>
      </w:tr>
      <w:tr w:rsidR="00533D73" w:rsidRPr="00FF756A" w14:paraId="1DA66021" w14:textId="77777777" w:rsidTr="00533D73">
        <w:trPr>
          <w:trHeight w:val="246"/>
        </w:trPr>
        <w:tc>
          <w:tcPr>
            <w:tcW w:w="2539" w:type="dxa"/>
            <w:tcBorders>
              <w:top w:val="nil"/>
              <w:left w:val="single" w:sz="4" w:space="0" w:color="auto"/>
              <w:bottom w:val="single" w:sz="4" w:space="0" w:color="auto"/>
              <w:right w:val="single" w:sz="4" w:space="0" w:color="auto"/>
            </w:tcBorders>
            <w:vAlign w:val="bottom"/>
            <w:hideMark/>
          </w:tcPr>
          <w:p w14:paraId="3EC4E68C" w14:textId="7905181B"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left"/>
              <w:rPr>
                <w:rFonts w:eastAsia="Times New Roman"/>
                <w:b/>
                <w:bCs/>
                <w:color w:val="000000"/>
                <w:sz w:val="20"/>
                <w:szCs w:val="20"/>
              </w:rPr>
            </w:pPr>
            <w:r w:rsidRPr="00FF756A">
              <w:rPr>
                <w:b/>
                <w:bCs/>
                <w:color w:val="000000"/>
                <w:sz w:val="20"/>
                <w:szCs w:val="20"/>
              </w:rPr>
              <w:t>Humbjet në shpërndarje (%)</w:t>
            </w:r>
          </w:p>
        </w:tc>
        <w:tc>
          <w:tcPr>
            <w:tcW w:w="833" w:type="dxa"/>
            <w:tcBorders>
              <w:top w:val="nil"/>
              <w:left w:val="nil"/>
              <w:bottom w:val="single" w:sz="4" w:space="0" w:color="auto"/>
              <w:right w:val="single" w:sz="4" w:space="0" w:color="auto"/>
            </w:tcBorders>
            <w:noWrap/>
            <w:vAlign w:val="bottom"/>
            <w:hideMark/>
          </w:tcPr>
          <w:p w14:paraId="22CD713D"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45,07%</w:t>
            </w:r>
          </w:p>
        </w:tc>
        <w:tc>
          <w:tcPr>
            <w:tcW w:w="833" w:type="dxa"/>
            <w:tcBorders>
              <w:top w:val="nil"/>
              <w:left w:val="nil"/>
              <w:bottom w:val="single" w:sz="4" w:space="0" w:color="auto"/>
              <w:right w:val="single" w:sz="4" w:space="0" w:color="auto"/>
            </w:tcBorders>
            <w:noWrap/>
            <w:vAlign w:val="bottom"/>
            <w:hideMark/>
          </w:tcPr>
          <w:p w14:paraId="3E7DE59C"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26,41%</w:t>
            </w:r>
          </w:p>
        </w:tc>
        <w:tc>
          <w:tcPr>
            <w:tcW w:w="833" w:type="dxa"/>
            <w:tcBorders>
              <w:top w:val="nil"/>
              <w:left w:val="nil"/>
              <w:bottom w:val="single" w:sz="4" w:space="0" w:color="auto"/>
              <w:right w:val="single" w:sz="4" w:space="0" w:color="auto"/>
            </w:tcBorders>
            <w:noWrap/>
            <w:vAlign w:val="bottom"/>
            <w:hideMark/>
          </w:tcPr>
          <w:p w14:paraId="7EDE7134"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23,96%</w:t>
            </w:r>
          </w:p>
        </w:tc>
        <w:tc>
          <w:tcPr>
            <w:tcW w:w="833" w:type="dxa"/>
            <w:tcBorders>
              <w:top w:val="nil"/>
              <w:left w:val="nil"/>
              <w:bottom w:val="single" w:sz="4" w:space="0" w:color="auto"/>
              <w:right w:val="single" w:sz="4" w:space="0" w:color="auto"/>
            </w:tcBorders>
            <w:noWrap/>
            <w:vAlign w:val="bottom"/>
            <w:hideMark/>
          </w:tcPr>
          <w:p w14:paraId="36A9C86F"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21,79%</w:t>
            </w:r>
          </w:p>
        </w:tc>
        <w:tc>
          <w:tcPr>
            <w:tcW w:w="833" w:type="dxa"/>
            <w:tcBorders>
              <w:top w:val="nil"/>
              <w:left w:val="nil"/>
              <w:bottom w:val="single" w:sz="4" w:space="0" w:color="auto"/>
              <w:right w:val="single" w:sz="4" w:space="0" w:color="auto"/>
            </w:tcBorders>
            <w:noWrap/>
            <w:vAlign w:val="bottom"/>
            <w:hideMark/>
          </w:tcPr>
          <w:p w14:paraId="2A7B1D92"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21,48%</w:t>
            </w:r>
          </w:p>
        </w:tc>
        <w:tc>
          <w:tcPr>
            <w:tcW w:w="833" w:type="dxa"/>
            <w:tcBorders>
              <w:top w:val="nil"/>
              <w:left w:val="nil"/>
              <w:bottom w:val="single" w:sz="4" w:space="0" w:color="auto"/>
              <w:right w:val="single" w:sz="4" w:space="0" w:color="auto"/>
            </w:tcBorders>
            <w:noWrap/>
            <w:vAlign w:val="bottom"/>
            <w:hideMark/>
          </w:tcPr>
          <w:p w14:paraId="502A3C4F"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20,62%</w:t>
            </w:r>
          </w:p>
        </w:tc>
        <w:tc>
          <w:tcPr>
            <w:tcW w:w="833" w:type="dxa"/>
            <w:tcBorders>
              <w:top w:val="nil"/>
              <w:left w:val="nil"/>
              <w:bottom w:val="single" w:sz="4" w:space="0" w:color="auto"/>
              <w:right w:val="single" w:sz="4" w:space="0" w:color="auto"/>
            </w:tcBorders>
            <w:noWrap/>
            <w:vAlign w:val="bottom"/>
            <w:hideMark/>
          </w:tcPr>
          <w:p w14:paraId="7F588D78"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19,70%</w:t>
            </w:r>
          </w:p>
        </w:tc>
        <w:tc>
          <w:tcPr>
            <w:tcW w:w="833" w:type="dxa"/>
            <w:tcBorders>
              <w:top w:val="nil"/>
              <w:left w:val="nil"/>
              <w:bottom w:val="single" w:sz="4" w:space="0" w:color="auto"/>
              <w:right w:val="single" w:sz="4" w:space="0" w:color="auto"/>
            </w:tcBorders>
            <w:noWrap/>
            <w:vAlign w:val="bottom"/>
            <w:hideMark/>
          </w:tcPr>
          <w:p w14:paraId="03382E95"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18,93%</w:t>
            </w:r>
          </w:p>
        </w:tc>
      </w:tr>
      <w:tr w:rsidR="00533D73" w:rsidRPr="00FF756A" w14:paraId="0DDD6A98" w14:textId="77777777" w:rsidTr="00533D73">
        <w:trPr>
          <w:trHeight w:val="246"/>
        </w:trPr>
        <w:tc>
          <w:tcPr>
            <w:tcW w:w="2539" w:type="dxa"/>
            <w:tcBorders>
              <w:top w:val="nil"/>
              <w:left w:val="single" w:sz="4" w:space="0" w:color="auto"/>
              <w:bottom w:val="single" w:sz="4" w:space="0" w:color="auto"/>
              <w:right w:val="single" w:sz="4" w:space="0" w:color="auto"/>
            </w:tcBorders>
            <w:vAlign w:val="bottom"/>
            <w:hideMark/>
          </w:tcPr>
          <w:p w14:paraId="7B50481F"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left"/>
              <w:rPr>
                <w:rFonts w:eastAsia="Times New Roman"/>
                <w:b/>
                <w:bCs/>
                <w:color w:val="000000"/>
                <w:sz w:val="20"/>
                <w:szCs w:val="20"/>
              </w:rPr>
            </w:pPr>
            <w:r w:rsidRPr="00FF756A">
              <w:rPr>
                <w:b/>
                <w:bCs/>
                <w:color w:val="000000"/>
                <w:sz w:val="20"/>
                <w:szCs w:val="20"/>
              </w:rPr>
              <w:t>Humbjet në transmetim (%)</w:t>
            </w:r>
          </w:p>
        </w:tc>
        <w:tc>
          <w:tcPr>
            <w:tcW w:w="833" w:type="dxa"/>
            <w:tcBorders>
              <w:top w:val="nil"/>
              <w:left w:val="nil"/>
              <w:bottom w:val="single" w:sz="4" w:space="0" w:color="auto"/>
              <w:right w:val="single" w:sz="4" w:space="0" w:color="auto"/>
            </w:tcBorders>
            <w:noWrap/>
            <w:vAlign w:val="bottom"/>
            <w:hideMark/>
          </w:tcPr>
          <w:p w14:paraId="51EBB9C2"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2,25%</w:t>
            </w:r>
          </w:p>
        </w:tc>
        <w:tc>
          <w:tcPr>
            <w:tcW w:w="833" w:type="dxa"/>
            <w:tcBorders>
              <w:top w:val="nil"/>
              <w:left w:val="nil"/>
              <w:bottom w:val="single" w:sz="4" w:space="0" w:color="auto"/>
              <w:right w:val="single" w:sz="4" w:space="0" w:color="auto"/>
            </w:tcBorders>
            <w:noWrap/>
            <w:vAlign w:val="bottom"/>
            <w:hideMark/>
          </w:tcPr>
          <w:p w14:paraId="5B4221EA"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2,08%</w:t>
            </w:r>
          </w:p>
        </w:tc>
        <w:tc>
          <w:tcPr>
            <w:tcW w:w="833" w:type="dxa"/>
            <w:tcBorders>
              <w:top w:val="nil"/>
              <w:left w:val="nil"/>
              <w:bottom w:val="single" w:sz="4" w:space="0" w:color="auto"/>
              <w:right w:val="single" w:sz="4" w:space="0" w:color="auto"/>
            </w:tcBorders>
            <w:noWrap/>
            <w:vAlign w:val="bottom"/>
            <w:hideMark/>
          </w:tcPr>
          <w:p w14:paraId="131BF111"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2,46%</w:t>
            </w:r>
          </w:p>
        </w:tc>
        <w:tc>
          <w:tcPr>
            <w:tcW w:w="833" w:type="dxa"/>
            <w:tcBorders>
              <w:top w:val="nil"/>
              <w:left w:val="nil"/>
              <w:bottom w:val="single" w:sz="4" w:space="0" w:color="auto"/>
              <w:right w:val="single" w:sz="4" w:space="0" w:color="auto"/>
            </w:tcBorders>
            <w:noWrap/>
            <w:vAlign w:val="bottom"/>
            <w:hideMark/>
          </w:tcPr>
          <w:p w14:paraId="31FBD199"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2,12%</w:t>
            </w:r>
          </w:p>
        </w:tc>
        <w:tc>
          <w:tcPr>
            <w:tcW w:w="833" w:type="dxa"/>
            <w:tcBorders>
              <w:top w:val="nil"/>
              <w:left w:val="nil"/>
              <w:bottom w:val="single" w:sz="4" w:space="0" w:color="auto"/>
              <w:right w:val="single" w:sz="4" w:space="0" w:color="auto"/>
            </w:tcBorders>
            <w:noWrap/>
            <w:vAlign w:val="bottom"/>
            <w:hideMark/>
          </w:tcPr>
          <w:p w14:paraId="24A4ABCE"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2,12%</w:t>
            </w:r>
          </w:p>
        </w:tc>
        <w:tc>
          <w:tcPr>
            <w:tcW w:w="833" w:type="dxa"/>
            <w:tcBorders>
              <w:top w:val="nil"/>
              <w:left w:val="nil"/>
              <w:bottom w:val="single" w:sz="4" w:space="0" w:color="auto"/>
              <w:right w:val="single" w:sz="4" w:space="0" w:color="auto"/>
            </w:tcBorders>
            <w:noWrap/>
            <w:vAlign w:val="bottom"/>
            <w:hideMark/>
          </w:tcPr>
          <w:p w14:paraId="5C5FD3C7"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2,13%</w:t>
            </w:r>
          </w:p>
        </w:tc>
        <w:tc>
          <w:tcPr>
            <w:tcW w:w="833" w:type="dxa"/>
            <w:tcBorders>
              <w:top w:val="nil"/>
              <w:left w:val="nil"/>
              <w:bottom w:val="single" w:sz="4" w:space="0" w:color="auto"/>
              <w:right w:val="single" w:sz="4" w:space="0" w:color="auto"/>
            </w:tcBorders>
            <w:noWrap/>
            <w:vAlign w:val="bottom"/>
            <w:hideMark/>
          </w:tcPr>
          <w:p w14:paraId="634C603E"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2,09%</w:t>
            </w:r>
          </w:p>
        </w:tc>
        <w:tc>
          <w:tcPr>
            <w:tcW w:w="833" w:type="dxa"/>
            <w:tcBorders>
              <w:top w:val="nil"/>
              <w:left w:val="nil"/>
              <w:bottom w:val="single" w:sz="4" w:space="0" w:color="auto"/>
              <w:right w:val="single" w:sz="4" w:space="0" w:color="auto"/>
            </w:tcBorders>
            <w:noWrap/>
            <w:vAlign w:val="bottom"/>
            <w:hideMark/>
          </w:tcPr>
          <w:p w14:paraId="04151A65" w14:textId="77777777" w:rsidR="00533D73" w:rsidRPr="00FF756A" w:rsidRDefault="00533D73" w:rsidP="006564F5">
            <w:pPr>
              <w:keepNext/>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2,17%</w:t>
            </w:r>
          </w:p>
        </w:tc>
      </w:tr>
    </w:tbl>
    <w:p w14:paraId="6ACBDD2F" w14:textId="79BE6649" w:rsidR="00E2711A" w:rsidRPr="00FF756A" w:rsidRDefault="006564F5" w:rsidP="006564F5">
      <w:pPr>
        <w:pStyle w:val="Caption"/>
        <w:rPr>
          <w:rFonts w:ascii="Times New Roman" w:hAnsi="Times New Roman"/>
          <w:i/>
          <w:iCs/>
          <w:sz w:val="20"/>
          <w:szCs w:val="20"/>
        </w:rPr>
      </w:pPr>
      <w:bookmarkStart w:id="51" w:name="_Toc183016471"/>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7</w:t>
      </w:r>
      <w:r w:rsidR="008E7DE9" w:rsidRPr="00FF756A">
        <w:rPr>
          <w:rFonts w:ascii="Times New Roman" w:hAnsi="Times New Roman"/>
          <w:noProof/>
        </w:rPr>
        <w:fldChar w:fldCharType="end"/>
      </w:r>
      <w:r w:rsidRPr="00FF756A">
        <w:rPr>
          <w:rFonts w:ascii="Times New Roman" w:hAnsi="Times New Roman"/>
        </w:rPr>
        <w:t>: Humbjet në shpërndarje dhe transmetim 2016 – 2023 (në %) (Burimi: Enti Rregullator i Energjisë (raportet vjetore të ERE)</w:t>
      </w:r>
      <w:bookmarkEnd w:id="51"/>
    </w:p>
    <w:p w14:paraId="7126D012" w14:textId="77777777" w:rsidR="006564F5" w:rsidRPr="00FF756A" w:rsidRDefault="006564F5" w:rsidP="00EF0D31"/>
    <w:tbl>
      <w:tblPr>
        <w:tblW w:w="9240" w:type="dxa"/>
        <w:tblLook w:val="04A0" w:firstRow="1" w:lastRow="0" w:firstColumn="1" w:lastColumn="0" w:noHBand="0" w:noVBand="1"/>
      </w:tblPr>
      <w:tblGrid>
        <w:gridCol w:w="2065"/>
        <w:gridCol w:w="984"/>
        <w:gridCol w:w="1117"/>
        <w:gridCol w:w="1117"/>
        <w:gridCol w:w="1397"/>
        <w:gridCol w:w="1443"/>
        <w:gridCol w:w="1117"/>
      </w:tblGrid>
      <w:tr w:rsidR="00D60F19" w:rsidRPr="00FF756A" w14:paraId="0870548C" w14:textId="77777777" w:rsidTr="00853113">
        <w:trPr>
          <w:trHeight w:val="347"/>
        </w:trPr>
        <w:tc>
          <w:tcPr>
            <w:tcW w:w="2065" w:type="dxa"/>
            <w:tcBorders>
              <w:top w:val="single" w:sz="4" w:space="0" w:color="auto"/>
              <w:left w:val="single" w:sz="4" w:space="0" w:color="auto"/>
              <w:bottom w:val="single" w:sz="4" w:space="0" w:color="auto"/>
              <w:right w:val="single" w:sz="4" w:space="0" w:color="auto"/>
            </w:tcBorders>
            <w:noWrap/>
            <w:vAlign w:val="bottom"/>
            <w:hideMark/>
          </w:tcPr>
          <w:p w14:paraId="2FAD1CAD"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left"/>
              <w:rPr>
                <w:rFonts w:eastAsia="Times New Roman"/>
                <w:b/>
                <w:bCs/>
                <w:color w:val="000000"/>
                <w:sz w:val="20"/>
                <w:szCs w:val="20"/>
              </w:rPr>
            </w:pPr>
            <w:r w:rsidRPr="00FF756A">
              <w:rPr>
                <w:b/>
                <w:bCs/>
                <w:color w:val="000000"/>
                <w:sz w:val="20"/>
                <w:szCs w:val="20"/>
              </w:rPr>
              <w:t>Viti</w:t>
            </w:r>
          </w:p>
        </w:tc>
        <w:tc>
          <w:tcPr>
            <w:tcW w:w="984" w:type="dxa"/>
            <w:tcBorders>
              <w:top w:val="single" w:sz="4" w:space="0" w:color="auto"/>
              <w:left w:val="nil"/>
              <w:bottom w:val="single" w:sz="4" w:space="0" w:color="auto"/>
              <w:right w:val="single" w:sz="4" w:space="0" w:color="auto"/>
            </w:tcBorders>
            <w:noWrap/>
            <w:vAlign w:val="bottom"/>
            <w:hideMark/>
          </w:tcPr>
          <w:p w14:paraId="1F31E2F4"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b/>
                <w:bCs/>
                <w:color w:val="000000"/>
                <w:sz w:val="20"/>
                <w:szCs w:val="20"/>
              </w:rPr>
            </w:pPr>
            <w:r w:rsidRPr="00FF756A">
              <w:rPr>
                <w:b/>
                <w:bCs/>
                <w:color w:val="000000"/>
                <w:sz w:val="20"/>
                <w:szCs w:val="20"/>
              </w:rPr>
              <w:t>2018</w:t>
            </w:r>
          </w:p>
        </w:tc>
        <w:tc>
          <w:tcPr>
            <w:tcW w:w="1117" w:type="dxa"/>
            <w:tcBorders>
              <w:top w:val="single" w:sz="4" w:space="0" w:color="auto"/>
              <w:left w:val="nil"/>
              <w:bottom w:val="single" w:sz="4" w:space="0" w:color="auto"/>
              <w:right w:val="single" w:sz="4" w:space="0" w:color="auto"/>
            </w:tcBorders>
            <w:noWrap/>
            <w:vAlign w:val="bottom"/>
            <w:hideMark/>
          </w:tcPr>
          <w:p w14:paraId="57DC76C4"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b/>
                <w:bCs/>
                <w:color w:val="000000"/>
                <w:sz w:val="20"/>
                <w:szCs w:val="20"/>
              </w:rPr>
            </w:pPr>
            <w:r w:rsidRPr="00FF756A">
              <w:rPr>
                <w:b/>
                <w:bCs/>
                <w:color w:val="000000"/>
                <w:sz w:val="20"/>
                <w:szCs w:val="20"/>
              </w:rPr>
              <w:t>2019</w:t>
            </w:r>
          </w:p>
        </w:tc>
        <w:tc>
          <w:tcPr>
            <w:tcW w:w="1117" w:type="dxa"/>
            <w:tcBorders>
              <w:top w:val="single" w:sz="4" w:space="0" w:color="auto"/>
              <w:left w:val="nil"/>
              <w:bottom w:val="single" w:sz="4" w:space="0" w:color="auto"/>
              <w:right w:val="single" w:sz="4" w:space="0" w:color="auto"/>
            </w:tcBorders>
            <w:noWrap/>
            <w:vAlign w:val="bottom"/>
            <w:hideMark/>
          </w:tcPr>
          <w:p w14:paraId="3FC52C06"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b/>
                <w:bCs/>
                <w:color w:val="000000"/>
                <w:sz w:val="20"/>
                <w:szCs w:val="20"/>
              </w:rPr>
            </w:pPr>
            <w:r w:rsidRPr="00FF756A">
              <w:rPr>
                <w:b/>
                <w:bCs/>
                <w:color w:val="000000"/>
                <w:sz w:val="20"/>
                <w:szCs w:val="20"/>
              </w:rPr>
              <w:t>2020</w:t>
            </w:r>
          </w:p>
        </w:tc>
        <w:tc>
          <w:tcPr>
            <w:tcW w:w="1397" w:type="dxa"/>
            <w:tcBorders>
              <w:top w:val="single" w:sz="4" w:space="0" w:color="auto"/>
              <w:left w:val="nil"/>
              <w:bottom w:val="single" w:sz="4" w:space="0" w:color="auto"/>
              <w:right w:val="single" w:sz="4" w:space="0" w:color="auto"/>
            </w:tcBorders>
            <w:noWrap/>
            <w:vAlign w:val="bottom"/>
            <w:hideMark/>
          </w:tcPr>
          <w:p w14:paraId="0A36AE76"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b/>
                <w:bCs/>
                <w:color w:val="000000"/>
                <w:sz w:val="20"/>
                <w:szCs w:val="20"/>
              </w:rPr>
            </w:pPr>
            <w:r w:rsidRPr="00FF756A">
              <w:rPr>
                <w:b/>
                <w:bCs/>
                <w:color w:val="000000"/>
                <w:sz w:val="20"/>
                <w:szCs w:val="20"/>
              </w:rPr>
              <w:t>2021</w:t>
            </w:r>
          </w:p>
        </w:tc>
        <w:tc>
          <w:tcPr>
            <w:tcW w:w="1443" w:type="dxa"/>
            <w:tcBorders>
              <w:top w:val="single" w:sz="4" w:space="0" w:color="auto"/>
              <w:left w:val="nil"/>
              <w:bottom w:val="single" w:sz="4" w:space="0" w:color="auto"/>
              <w:right w:val="single" w:sz="4" w:space="0" w:color="auto"/>
            </w:tcBorders>
            <w:noWrap/>
            <w:vAlign w:val="bottom"/>
            <w:hideMark/>
          </w:tcPr>
          <w:p w14:paraId="6ECF94E5"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b/>
                <w:bCs/>
                <w:color w:val="000000"/>
                <w:sz w:val="20"/>
                <w:szCs w:val="20"/>
              </w:rPr>
            </w:pPr>
            <w:r w:rsidRPr="00FF756A">
              <w:rPr>
                <w:b/>
                <w:bCs/>
                <w:color w:val="000000"/>
                <w:sz w:val="20"/>
                <w:szCs w:val="20"/>
              </w:rPr>
              <w:t>2022</w:t>
            </w:r>
          </w:p>
        </w:tc>
        <w:tc>
          <w:tcPr>
            <w:tcW w:w="1117" w:type="dxa"/>
            <w:tcBorders>
              <w:top w:val="single" w:sz="4" w:space="0" w:color="auto"/>
              <w:left w:val="nil"/>
              <w:bottom w:val="single" w:sz="4" w:space="0" w:color="auto"/>
              <w:right w:val="single" w:sz="4" w:space="0" w:color="auto"/>
            </w:tcBorders>
            <w:noWrap/>
            <w:vAlign w:val="bottom"/>
            <w:hideMark/>
          </w:tcPr>
          <w:p w14:paraId="2C8FFF97"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b/>
                <w:bCs/>
                <w:color w:val="000000"/>
                <w:sz w:val="20"/>
                <w:szCs w:val="20"/>
              </w:rPr>
            </w:pPr>
            <w:r w:rsidRPr="00FF756A">
              <w:rPr>
                <w:b/>
                <w:bCs/>
                <w:color w:val="000000"/>
                <w:sz w:val="20"/>
                <w:szCs w:val="20"/>
              </w:rPr>
              <w:t>2023</w:t>
            </w:r>
          </w:p>
        </w:tc>
      </w:tr>
      <w:tr w:rsidR="00D60F19" w:rsidRPr="00FF756A" w14:paraId="373C6686" w14:textId="77777777" w:rsidTr="00853113">
        <w:trPr>
          <w:trHeight w:val="347"/>
        </w:trPr>
        <w:tc>
          <w:tcPr>
            <w:tcW w:w="2065" w:type="dxa"/>
            <w:tcBorders>
              <w:top w:val="nil"/>
              <w:left w:val="single" w:sz="4" w:space="0" w:color="auto"/>
              <w:bottom w:val="single" w:sz="4" w:space="0" w:color="auto"/>
              <w:right w:val="single" w:sz="4" w:space="0" w:color="auto"/>
            </w:tcBorders>
            <w:noWrap/>
            <w:vAlign w:val="bottom"/>
            <w:hideMark/>
          </w:tcPr>
          <w:p w14:paraId="48118BFE" w14:textId="44D36A85"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left"/>
              <w:rPr>
                <w:rFonts w:eastAsia="Times New Roman"/>
                <w:b/>
                <w:bCs/>
                <w:color w:val="000000"/>
                <w:sz w:val="20"/>
                <w:szCs w:val="20"/>
              </w:rPr>
            </w:pPr>
            <w:r w:rsidRPr="00FF756A">
              <w:rPr>
                <w:b/>
                <w:bCs/>
                <w:color w:val="000000"/>
                <w:sz w:val="20"/>
                <w:szCs w:val="20"/>
              </w:rPr>
              <w:t xml:space="preserve">Niveli i arkëtimit të </w:t>
            </w:r>
            <w:r w:rsidRPr="00FF756A">
              <w:rPr>
                <w:b/>
                <w:sz w:val="18"/>
                <w:szCs w:val="18"/>
              </w:rPr>
              <w:t>faturave</w:t>
            </w:r>
            <w:r w:rsidRPr="00FF756A">
              <w:rPr>
                <w:b/>
                <w:bCs/>
                <w:color w:val="000000"/>
                <w:sz w:val="20"/>
                <w:szCs w:val="20"/>
              </w:rPr>
              <w:t xml:space="preserve"> %</w:t>
            </w:r>
          </w:p>
        </w:tc>
        <w:tc>
          <w:tcPr>
            <w:tcW w:w="984" w:type="dxa"/>
            <w:tcBorders>
              <w:top w:val="nil"/>
              <w:left w:val="nil"/>
              <w:bottom w:val="single" w:sz="4" w:space="0" w:color="auto"/>
              <w:right w:val="single" w:sz="4" w:space="0" w:color="auto"/>
            </w:tcBorders>
            <w:noWrap/>
            <w:vAlign w:val="bottom"/>
            <w:hideMark/>
          </w:tcPr>
          <w:p w14:paraId="64346391"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101,90%</w:t>
            </w:r>
          </w:p>
        </w:tc>
        <w:tc>
          <w:tcPr>
            <w:tcW w:w="1117" w:type="dxa"/>
            <w:tcBorders>
              <w:top w:val="nil"/>
              <w:left w:val="nil"/>
              <w:bottom w:val="single" w:sz="4" w:space="0" w:color="auto"/>
              <w:right w:val="single" w:sz="4" w:space="0" w:color="auto"/>
            </w:tcBorders>
            <w:noWrap/>
            <w:vAlign w:val="bottom"/>
            <w:hideMark/>
          </w:tcPr>
          <w:p w14:paraId="48DC98C7"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98,40%</w:t>
            </w:r>
          </w:p>
        </w:tc>
        <w:tc>
          <w:tcPr>
            <w:tcW w:w="1117" w:type="dxa"/>
            <w:tcBorders>
              <w:top w:val="nil"/>
              <w:left w:val="nil"/>
              <w:bottom w:val="single" w:sz="4" w:space="0" w:color="auto"/>
              <w:right w:val="single" w:sz="4" w:space="0" w:color="auto"/>
            </w:tcBorders>
            <w:noWrap/>
            <w:vAlign w:val="bottom"/>
            <w:hideMark/>
          </w:tcPr>
          <w:p w14:paraId="51DDE1BC"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95,80%</w:t>
            </w:r>
          </w:p>
        </w:tc>
        <w:tc>
          <w:tcPr>
            <w:tcW w:w="1397" w:type="dxa"/>
            <w:tcBorders>
              <w:top w:val="nil"/>
              <w:left w:val="nil"/>
              <w:bottom w:val="single" w:sz="4" w:space="0" w:color="auto"/>
              <w:right w:val="single" w:sz="4" w:space="0" w:color="auto"/>
            </w:tcBorders>
            <w:noWrap/>
            <w:vAlign w:val="bottom"/>
            <w:hideMark/>
          </w:tcPr>
          <w:p w14:paraId="4829C229"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97,40%</w:t>
            </w:r>
          </w:p>
        </w:tc>
        <w:tc>
          <w:tcPr>
            <w:tcW w:w="1443" w:type="dxa"/>
            <w:tcBorders>
              <w:top w:val="nil"/>
              <w:left w:val="nil"/>
              <w:bottom w:val="single" w:sz="4" w:space="0" w:color="auto"/>
              <w:right w:val="single" w:sz="4" w:space="0" w:color="auto"/>
            </w:tcBorders>
            <w:noWrap/>
            <w:vAlign w:val="bottom"/>
            <w:hideMark/>
          </w:tcPr>
          <w:p w14:paraId="050A8912" w14:textId="77777777" w:rsidR="00533D73" w:rsidRPr="00FF756A" w:rsidRDefault="00533D73" w:rsidP="00533D73">
            <w:pPr>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98%</w:t>
            </w:r>
          </w:p>
        </w:tc>
        <w:tc>
          <w:tcPr>
            <w:tcW w:w="1117" w:type="dxa"/>
            <w:tcBorders>
              <w:top w:val="nil"/>
              <w:left w:val="nil"/>
              <w:bottom w:val="single" w:sz="4" w:space="0" w:color="auto"/>
              <w:right w:val="single" w:sz="4" w:space="0" w:color="auto"/>
            </w:tcBorders>
            <w:noWrap/>
            <w:vAlign w:val="bottom"/>
            <w:hideMark/>
          </w:tcPr>
          <w:p w14:paraId="003939C8" w14:textId="77777777" w:rsidR="00533D73" w:rsidRPr="00FF756A" w:rsidRDefault="00533D73" w:rsidP="006564F5">
            <w:pPr>
              <w:keepNext/>
              <w:pBdr>
                <w:top w:val="none" w:sz="0" w:space="0" w:color="auto"/>
                <w:left w:val="none" w:sz="0" w:space="0" w:color="auto"/>
                <w:bottom w:val="none" w:sz="0" w:space="0" w:color="auto"/>
                <w:right w:val="none" w:sz="0" w:space="0" w:color="auto"/>
                <w:between w:val="none" w:sz="0" w:space="0" w:color="auto"/>
              </w:pBdr>
              <w:spacing w:before="0" w:after="0" w:line="240" w:lineRule="auto"/>
              <w:jc w:val="right"/>
              <w:rPr>
                <w:rFonts w:eastAsia="Times New Roman"/>
                <w:color w:val="000000"/>
                <w:sz w:val="20"/>
                <w:szCs w:val="20"/>
              </w:rPr>
            </w:pPr>
            <w:r w:rsidRPr="00FF756A">
              <w:rPr>
                <w:color w:val="000000"/>
                <w:sz w:val="20"/>
                <w:szCs w:val="20"/>
              </w:rPr>
              <w:t>99,40%</w:t>
            </w:r>
          </w:p>
        </w:tc>
      </w:tr>
    </w:tbl>
    <w:p w14:paraId="3773146D" w14:textId="6E54A8B9" w:rsidR="006921E3" w:rsidRPr="00FF756A" w:rsidRDefault="006564F5" w:rsidP="006564F5">
      <w:pPr>
        <w:pStyle w:val="Caption"/>
        <w:rPr>
          <w:rFonts w:ascii="Times New Roman" w:hAnsi="Times New Roman"/>
          <w:i/>
          <w:iCs/>
          <w:sz w:val="20"/>
          <w:szCs w:val="20"/>
        </w:rPr>
      </w:pPr>
      <w:bookmarkStart w:id="52" w:name="_Toc183016472"/>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8</w:t>
      </w:r>
      <w:r w:rsidR="008E7DE9" w:rsidRPr="00FF756A">
        <w:rPr>
          <w:rFonts w:ascii="Times New Roman" w:hAnsi="Times New Roman"/>
          <w:noProof/>
        </w:rPr>
        <w:fldChar w:fldCharType="end"/>
      </w:r>
      <w:r w:rsidRPr="00FF756A">
        <w:rPr>
          <w:rFonts w:ascii="Times New Roman" w:hAnsi="Times New Roman"/>
        </w:rPr>
        <w:t>: Niveli i arkëtimeve të faturave në 2018 – 2023 (në %) (Burimi: Enti Rregullator i Energjisë (raportet vjetore të ERE)</w:t>
      </w:r>
      <w:bookmarkEnd w:id="52"/>
    </w:p>
    <w:p w14:paraId="0A751BB8" w14:textId="77777777" w:rsidR="00533D73" w:rsidRPr="00FF756A" w:rsidRDefault="00533D73" w:rsidP="00EF0D31"/>
    <w:p w14:paraId="04837E49" w14:textId="58754953" w:rsidR="00DA2EDE" w:rsidRPr="00FF756A" w:rsidRDefault="004C411E" w:rsidP="006564F5">
      <w:pPr>
        <w:spacing w:before="40" w:after="40"/>
      </w:pPr>
      <w:r w:rsidRPr="00FF756A">
        <w:t xml:space="preserve">Disa përparime dhe zhvillimeve të tjera </w:t>
      </w:r>
      <w:r w:rsidR="00DA2EDE" w:rsidRPr="00FF756A">
        <w:t>të arritura në lidhje me EE-në në nivelin e konsumit final të energjisë,</w:t>
      </w:r>
      <w:r w:rsidR="00746934" w:rsidRPr="00FF756A">
        <w:t xml:space="preserve"> janë përshkruar më poshtë, </w:t>
      </w:r>
      <w:r w:rsidR="00DA2EDE" w:rsidRPr="00FF756A">
        <w:t xml:space="preserve">bazuar në raportin e 5-të vjetor nga AEE-ja, </w:t>
      </w:r>
      <w:r w:rsidR="00746934" w:rsidRPr="00FF756A">
        <w:t xml:space="preserve">të publikuar </w:t>
      </w:r>
      <w:r w:rsidR="00DA2EDE" w:rsidRPr="00FF756A">
        <w:t xml:space="preserve">në fund të vitit 2021. </w:t>
      </w:r>
    </w:p>
    <w:p w14:paraId="43906BB8" w14:textId="77777777" w:rsidR="00DA2EDE" w:rsidRPr="00FF756A" w:rsidRDefault="00DA2EDE" w:rsidP="006564F5">
      <w:pPr>
        <w:spacing w:before="40" w:after="40"/>
      </w:pPr>
      <w:r w:rsidRPr="00FF756A">
        <w:t xml:space="preserve">Në sektorin e ndërtesave kanë nisur aktivitetet në vijim, të cilat pritet të replikohen më gjerë: </w:t>
      </w:r>
    </w:p>
    <w:p w14:paraId="16814A56" w14:textId="77777777" w:rsidR="00DA2EDE" w:rsidRPr="00FF756A" w:rsidRDefault="00DA2EDE" w:rsidP="006564F5">
      <w:pPr>
        <w:spacing w:before="40" w:after="40"/>
      </w:pPr>
      <w:r w:rsidRPr="00FF756A">
        <w:t>Projekti “Për auditimin e energjisë në ndërtesa publike”, i kontraktuar nga MIE me buxhetin e shtetit, sipas parashikimit të Programit Buxhetor Afatmesëm 2018 – 2020, ka për qëllim:</w:t>
      </w:r>
    </w:p>
    <w:p w14:paraId="790D8C92" w14:textId="77777777" w:rsidR="00DA2EDE" w:rsidRPr="00FF756A" w:rsidRDefault="00DA2EDE" w:rsidP="006564F5">
      <w:pPr>
        <w:pStyle w:val="ListParagraph"/>
        <w:numPr>
          <w:ilvl w:val="0"/>
          <w:numId w:val="46"/>
        </w:numPr>
        <w:spacing w:before="40" w:after="40"/>
      </w:pPr>
      <w:r w:rsidRPr="00FF756A">
        <w:t xml:space="preserve">Krijimin e një stoku të ndërtesave publike dhe hedhjen e të dhënave në një server të Agjencisë për Efiçencën e Energjisë, duke i emërtuar dhe kodifikuar ato në regjistrin elektronik kombëtar, i cili ka aftësinë për të integruar dhe për të lejuar të dhënat e tij të integrohen në serverët dhe bazat e të dhënave të Agjencisë Kombëtare të Shoqërisë së Informacionit (AKSHI); </w:t>
      </w:r>
    </w:p>
    <w:p w14:paraId="17D6BA3F" w14:textId="77777777" w:rsidR="00DA2EDE" w:rsidRPr="00FF756A" w:rsidRDefault="00DA2EDE" w:rsidP="006564F5">
      <w:pPr>
        <w:pStyle w:val="ListParagraph"/>
        <w:numPr>
          <w:ilvl w:val="0"/>
          <w:numId w:val="46"/>
        </w:numPr>
        <w:spacing w:before="40" w:after="40"/>
      </w:pPr>
      <w:r w:rsidRPr="00FF756A">
        <w:t>Auditimin e të gjithë stokut të ndërtesave për tri vite dhe regjistrimin e tij në server, shoqëruar me të dhëna lidhur me analizën e efikasitetit të kostos për rinovimin e tyre. Gjatë vitit 2018, janë përzgjedhur 60 ndërtesa që përfaqësojnë të gjitha tipologjitë e identifikuara e që japin informacionin e nevojshëm për hartimin e politikave të efiçencës së energjisë, duke marrë në konsideratë efikasitetin e kostos.</w:t>
      </w:r>
    </w:p>
    <w:p w14:paraId="23B3CA72" w14:textId="66572F87" w:rsidR="00DA2EDE" w:rsidRPr="00FF756A" w:rsidRDefault="00DA2EDE" w:rsidP="006564F5">
      <w:pPr>
        <w:spacing w:before="40" w:after="40"/>
      </w:pPr>
      <w:r w:rsidRPr="00FF756A">
        <w:t xml:space="preserve">Projekti për përmirësimin e efiçencës së energjisë është përfunduar në </w:t>
      </w:r>
      <w:r w:rsidR="000F51C3" w:rsidRPr="00FF756A">
        <w:t>“</w:t>
      </w:r>
      <w:r w:rsidRPr="00FF756A">
        <w:t>Qytetin Studenti 2</w:t>
      </w:r>
      <w:r w:rsidR="000F51C3" w:rsidRPr="00FF756A">
        <w:t>”</w:t>
      </w:r>
      <w:r w:rsidRPr="00FF756A">
        <w:t xml:space="preserve">, si dhe në disa ndërtesa në </w:t>
      </w:r>
      <w:r w:rsidR="000F51C3" w:rsidRPr="00FF756A">
        <w:t>“</w:t>
      </w:r>
      <w:r w:rsidRPr="00FF756A">
        <w:t>Qytetin Studenti 1</w:t>
      </w:r>
      <w:r w:rsidR="000F51C3" w:rsidRPr="00FF756A">
        <w:t>”</w:t>
      </w:r>
      <w:r w:rsidRPr="00FF756A">
        <w:t>. Më 17 dhjetor 2019, u finalizua me sukses procesi i vlerësimit teknik të ofertave të projektimit për projektin e rindërtimit me efiçencë energjie të ndërtesave të “Qytetit Studenti 1”, në bashkëpunim me KfW. Ky është një investim i madh që ka nisur në vitin 2017 me rehabilitimin e “Qytetit Studenti 2”.</w:t>
      </w:r>
    </w:p>
    <w:p w14:paraId="436A3CCC" w14:textId="0EBCA959" w:rsidR="00DA2EDE" w:rsidRPr="00FF756A" w:rsidRDefault="00DA2EDE" w:rsidP="006564F5">
      <w:pPr>
        <w:spacing w:before="40" w:after="40"/>
      </w:pPr>
      <w:r w:rsidRPr="00FF756A">
        <w:t>Bashkia e Tiranës ka zhvilluar projekte për përmirësimin e efiçencës së energjisë duke bërë ndërhyrje në fasadat e shumë ndërtesave private. Këto projekte janë realizuar me investim të përbashkët, 50% nga fondi i Bashkisë së Tiranës dhe 50% nga banorët. Në vitin 2018, Bashkia e Tiranës ofroi një fond prej 565 000 € në formë nxitjeje për qytetarët që dëshironin të investonin në efiçencën e energjisë. Bashkia mbulon një pjesë të investimit.</w:t>
      </w:r>
    </w:p>
    <w:p w14:paraId="5DAB3F97" w14:textId="36C7C153" w:rsidR="00DA2EDE" w:rsidRPr="00FF756A" w:rsidRDefault="00DA2EDE" w:rsidP="006564F5">
      <w:pPr>
        <w:spacing w:before="40" w:after="40"/>
      </w:pPr>
      <w:r w:rsidRPr="00FF756A">
        <w:t xml:space="preserve">Në sektorin e transportit, masat për rehabilitimin dhe rindërtimin e disa rrugëve ndihmojnë në reduktimin e konsumit të karburantit nga automjetet. Rritja e përdorimit të biçikletave dhe transportit publik ka kontribuar në reduktimin e përdorimit të automjeteve private. </w:t>
      </w:r>
      <w:r w:rsidR="00BB4464" w:rsidRPr="00FF756A">
        <w:t xml:space="preserve">Është </w:t>
      </w:r>
      <w:r w:rsidR="00A67EBC" w:rsidRPr="00FF756A">
        <w:t>reduktua</w:t>
      </w:r>
      <w:r w:rsidR="009461E2" w:rsidRPr="00FF756A">
        <w:t>r</w:t>
      </w:r>
      <w:r w:rsidR="00A67EBC" w:rsidRPr="00FF756A">
        <w:t xml:space="preserve"> n</w:t>
      </w:r>
      <w:r w:rsidRPr="00FF756A">
        <w:t xml:space="preserve">jë taksë për të nxitur përdorimin e automjeteve të reja dhe me konsum më të vogël karburanti, që shkarkojnë më pak shkarkime. Megjithatë, masat për EE-në duhet të përshkallëzohen ndjeshëm. </w:t>
      </w:r>
    </w:p>
    <w:p w14:paraId="26271450" w14:textId="77777777" w:rsidR="00346E3C" w:rsidRPr="00FF756A" w:rsidRDefault="00346E3C" w:rsidP="006564F5">
      <w:pPr>
        <w:spacing w:before="40" w:after="40"/>
      </w:pPr>
    </w:p>
    <w:p w14:paraId="0DB369C3" w14:textId="2850559C" w:rsidR="00DA2EDE" w:rsidRPr="00FF756A" w:rsidRDefault="00DA2EDE" w:rsidP="006564F5">
      <w:pPr>
        <w:spacing w:before="40" w:after="40"/>
      </w:pPr>
      <w:r w:rsidRPr="00FF756A">
        <w:t xml:space="preserve">Në sektorin e </w:t>
      </w:r>
      <w:r w:rsidR="00CB6EEE" w:rsidRPr="00FF756A">
        <w:t>industrisë</w:t>
      </w:r>
      <w:r w:rsidRPr="00FF756A">
        <w:t>, progresi ka qenë mjaft i vogël. Nevoja për përmirësimin e ligjit për EE-në ka të bëjë me skemat e detyrimeve dhe auditimet e energjisë, si elemente kyç për identifikimin e konsumit faktik të energjisë dhe sasisë së energjisë që synohet të konsumohet pas investimeve në zbatimin e masave për EE-në.</w:t>
      </w:r>
    </w:p>
    <w:p w14:paraId="36ED1284" w14:textId="77777777" w:rsidR="00DA2EDE" w:rsidRPr="00FF756A" w:rsidRDefault="00DA2EDE" w:rsidP="006564F5">
      <w:pPr>
        <w:spacing w:before="40" w:after="40"/>
      </w:pPr>
    </w:p>
    <w:p w14:paraId="79795240" w14:textId="2CF10DF3" w:rsidR="000D29E8" w:rsidRPr="00FF756A" w:rsidRDefault="000D29E8" w:rsidP="006564F5">
      <w:pPr>
        <w:spacing w:before="40" w:after="40"/>
      </w:pPr>
      <w:bookmarkStart w:id="53" w:name="_Hlk44685808"/>
      <w:r w:rsidRPr="00FF756A">
        <w:t xml:space="preserve">Janë në zhvillim/zbatim disa projekte për efiçencën e energjisë, siç përshkruhet nga raporti i 5-të vjetor i AEE-së i </w:t>
      </w:r>
      <w:r w:rsidR="004D7D3A" w:rsidRPr="00FF756A">
        <w:t xml:space="preserve">përgatitur </w:t>
      </w:r>
      <w:r w:rsidRPr="00FF756A">
        <w:t xml:space="preserve"> në fund të vitit 2021: </w:t>
      </w:r>
    </w:p>
    <w:p w14:paraId="6A0A4D98" w14:textId="5DC559E7" w:rsidR="000D29E8" w:rsidRPr="00FF756A" w:rsidRDefault="000D29E8" w:rsidP="006564F5">
      <w:pPr>
        <w:spacing w:before="40" w:after="40"/>
      </w:pPr>
      <w:r w:rsidRPr="00FF756A">
        <w:t xml:space="preserve">a) Projekti “Zhvillimi i mekanizmit të financimit për ndërtesat publike me efiçencë energjie në Shqipëri” u financua nga Banka Botërore. Objektivi i këtij aktiviteti është informimi dhe lehtësimi i vendimmarrjes për mekanizma të qëndrueshëm të financimit për efiçencën e energjisë (EE) në sektorin e ndërtesave publike. Kjo do të shërbejë gjithashtu si një mjet i mundshëm për zgjerimin në të ardhmen për të përfshirë edhe ndërtesat rezidenciale. </w:t>
      </w:r>
    </w:p>
    <w:p w14:paraId="284FC119" w14:textId="77777777" w:rsidR="000D29E8" w:rsidRPr="00FF756A" w:rsidRDefault="000D29E8" w:rsidP="006564F5">
      <w:pPr>
        <w:spacing w:before="40" w:after="40"/>
      </w:pPr>
      <w:r w:rsidRPr="00FF756A">
        <w:t xml:space="preserve">b) “Bashki me energji inteligjente” është një projekt i financuar nga Ambasada Zvicerane. Objektivi i këtij projekti dypalësh është të mbështesë bashkitë e përzgjedhura shqiptare në menaxhimin e energjisë </w:t>
      </w:r>
      <w:r w:rsidRPr="00FF756A">
        <w:lastRenderedPageBreak/>
        <w:t xml:space="preserve">në mënyrë të qëndrueshme dhe në zbatimin e politikës kombëtare të energjisë në nivel vendor. Me këtë qëllim, ai do të pilotojë dhe institucionalizojë një sistem të menaxhimit të energjisë që bazohet në Çmimin Evropian për Energjinë (European Energy Award - EEA) dhe përfshin kërkesat e legjislacionit kombëtar për energjinë. Projekti kontribuon në përmirësimin e menaxhimit të energjisë, reduktimin e konsumit të energjisë, zbutjen e ndryshimeve klimatike dhe nxitjen e zhvillimit ekonomik të qëndrueshëm. Rezultatet dhe produktet e pritshme janë si vijon: </w:t>
      </w:r>
    </w:p>
    <w:p w14:paraId="16AF9FBF" w14:textId="0621DB67" w:rsidR="000D29E8" w:rsidRPr="00FF756A" w:rsidRDefault="000D29E8" w:rsidP="006564F5">
      <w:pPr>
        <w:pStyle w:val="ListParagraph"/>
        <w:numPr>
          <w:ilvl w:val="0"/>
          <w:numId w:val="46"/>
        </w:numPr>
        <w:spacing w:before="40" w:after="40"/>
      </w:pPr>
      <w:r w:rsidRPr="00FF756A">
        <w:t xml:space="preserve">Rezultati 1: Zbatimi i politikës kombëtare të energjisë mbështetet në nivel lokal. </w:t>
      </w:r>
    </w:p>
    <w:p w14:paraId="34C32F89" w14:textId="6B9AA489" w:rsidR="000D29E8" w:rsidRPr="00FF756A" w:rsidRDefault="000D29E8" w:rsidP="006564F5">
      <w:pPr>
        <w:pStyle w:val="ListParagraph"/>
        <w:numPr>
          <w:ilvl w:val="0"/>
          <w:numId w:val="46"/>
        </w:numPr>
        <w:spacing w:before="40" w:after="40"/>
      </w:pPr>
      <w:r w:rsidRPr="00FF756A">
        <w:t xml:space="preserve">Rezultati 2: Bashkitë pilote përfitojnë nga një sistem i menaxhimit të energjisë që mund të shtrihet në bashki të tjera. </w:t>
      </w:r>
    </w:p>
    <w:p w14:paraId="3F036D31" w14:textId="77777777" w:rsidR="000D29E8" w:rsidRPr="00FF756A" w:rsidRDefault="000D29E8" w:rsidP="006564F5">
      <w:pPr>
        <w:spacing w:before="40" w:after="40"/>
      </w:pPr>
      <w:r w:rsidRPr="00FF756A">
        <w:t xml:space="preserve">Këto objektiva do të arrihen nëpërmjet produkteve të mëposhtme: </w:t>
      </w:r>
    </w:p>
    <w:p w14:paraId="43CB542F" w14:textId="5ACB0E40" w:rsidR="000D29E8" w:rsidRPr="00FF756A" w:rsidRDefault="000D29E8" w:rsidP="006564F5">
      <w:pPr>
        <w:pStyle w:val="ListParagraph"/>
        <w:numPr>
          <w:ilvl w:val="0"/>
          <w:numId w:val="46"/>
        </w:numPr>
        <w:spacing w:before="40" w:after="40"/>
      </w:pPr>
      <w:r w:rsidRPr="00FF756A">
        <w:t xml:space="preserve">Produkti 1: Ngrihen dhe fuqizohen njësitë e përshtatshme të menaxhimit të energjisë. Zhvillohen strategji vendore të energjisë për bashkitë pilot. </w:t>
      </w:r>
    </w:p>
    <w:p w14:paraId="6A695E92" w14:textId="6F2B27B6" w:rsidR="000D29E8" w:rsidRPr="00FF756A" w:rsidRDefault="000D29E8" w:rsidP="006564F5">
      <w:pPr>
        <w:pStyle w:val="ListParagraph"/>
        <w:numPr>
          <w:ilvl w:val="0"/>
          <w:numId w:val="46"/>
        </w:numPr>
        <w:spacing w:before="40" w:after="40"/>
      </w:pPr>
      <w:r w:rsidRPr="00FF756A">
        <w:t xml:space="preserve">Produkti 2: Realizohen investime me fitim të shpejtë. Përgatitet një skeme nxitëse për zbatimin afatmesëm dhe afatgjatë të një programi shqiptar në kuadër të Çmimit Evropian për Energjinë. </w:t>
      </w:r>
    </w:p>
    <w:p w14:paraId="675E07FD" w14:textId="2CF414C4" w:rsidR="000D29E8" w:rsidRPr="00FF756A" w:rsidRDefault="000D29E8" w:rsidP="006564F5">
      <w:pPr>
        <w:pStyle w:val="ListParagraph"/>
        <w:numPr>
          <w:ilvl w:val="0"/>
          <w:numId w:val="46"/>
        </w:numPr>
        <w:spacing w:before="40" w:after="40"/>
      </w:pPr>
      <w:r w:rsidRPr="00FF756A">
        <w:t xml:space="preserve">Produkti 3: Forcohen institucionet kryesore që kanë lidhje me menaxhimin e energjisë dhe rritet ndërgjegjësimi i popullsisë dhe i vendimmarrësve. </w:t>
      </w:r>
    </w:p>
    <w:p w14:paraId="1D6565E8" w14:textId="27BBC6C0" w:rsidR="000D29E8" w:rsidRPr="00FF756A" w:rsidRDefault="000D29E8" w:rsidP="006564F5">
      <w:pPr>
        <w:pStyle w:val="ListParagraph"/>
        <w:numPr>
          <w:ilvl w:val="0"/>
          <w:numId w:val="46"/>
        </w:numPr>
        <w:spacing w:before="40" w:after="40"/>
      </w:pPr>
      <w:r w:rsidRPr="00FF756A">
        <w:t xml:space="preserve">Produkti 4: Hartohet dhe prezantohet një program shqiptar në kuadër të Çmimit Evropian për Energjinë në nivel kombëtar. </w:t>
      </w:r>
    </w:p>
    <w:p w14:paraId="51C0F1D7" w14:textId="76B9698F" w:rsidR="000D29E8" w:rsidRPr="00FF756A" w:rsidRDefault="000D29E8" w:rsidP="006564F5">
      <w:pPr>
        <w:spacing w:before="40" w:after="40"/>
      </w:pPr>
      <w:r w:rsidRPr="00FF756A">
        <w:t xml:space="preserve">c) “Menaxhimi i energjisë në bashki” financuar nëpërmjet Fondit të Studimeve dhe të Ekspertëve nga Gjermania/GIZ, që ka si synim forcimin e kapaciteteve të partnerëve në efiçencën e energjisë dhe planifikimin, prioritizimin dhe zbatimin e masave të përzgjedhura të efiçencës së energjisë në nivel bashkiak në 12 bashki. </w:t>
      </w:r>
    </w:p>
    <w:p w14:paraId="1ADCCE78" w14:textId="7164E70F" w:rsidR="000D29E8" w:rsidRPr="00FF756A" w:rsidRDefault="000D29E8" w:rsidP="006564F5">
      <w:pPr>
        <w:spacing w:before="40" w:after="40"/>
      </w:pPr>
      <w:r w:rsidRPr="00FF756A">
        <w:t xml:space="preserve">d) Programi rajonal: “ORF - Efiçenca e energjisë” nga GIZ. Aktorët përkatës nga radhët e politikës dhe shoqërisë civile në Evropën Juglindore përfitojnë gjithnjë e më shumë nga rrjetet rajonale për zbatimin e standardeve të BE-së në fushën e mbrojtjes së klimës. </w:t>
      </w:r>
    </w:p>
    <w:p w14:paraId="73F7A3DE" w14:textId="77777777" w:rsidR="008B52B8" w:rsidRPr="00FF756A" w:rsidRDefault="000D29E8" w:rsidP="006564F5">
      <w:pPr>
        <w:spacing w:before="40" w:after="40"/>
      </w:pPr>
      <w:r w:rsidRPr="00FF756A">
        <w:t xml:space="preserve">e) Projekti për zëvendësimin e pompave ekzistuese me pompa me efiçencë të lartë (me klasë të efiçencës motorike IE3 (efiçencë Premium), instalimin e sistemit SCADA dhe paneleve fotovoltaike për prodhimin e energjisë në 9 sisteme të furnizimit me ujë në bashkitë Tepelenë dhe Memaliaj. Agjencia për Efiçencën e Energjisë, në kuadër të mbështetjes së investimeve për përmirësimin e efiçencës së energjisë, ka kryer investime në 9 sisteme të furnizimit me ujë në bashkitë Tepelenë dhe Memaliaj (Tepelenë, Memaliaj-fshat, Lekël, Dragot, Veliqot, Dukaj, Kalivaç, Metohasanaj dhe Bumbull). </w:t>
      </w:r>
    </w:p>
    <w:p w14:paraId="6BE42963" w14:textId="77777777" w:rsidR="00E07230" w:rsidRPr="00FF756A" w:rsidRDefault="00E07230" w:rsidP="006564F5">
      <w:pPr>
        <w:spacing w:before="40" w:after="40"/>
      </w:pPr>
    </w:p>
    <w:p w14:paraId="547FA8B9" w14:textId="6B3BB037" w:rsidR="000D29E8" w:rsidRPr="00FF756A" w:rsidRDefault="000D29E8" w:rsidP="006564F5">
      <w:pPr>
        <w:spacing w:before="40" w:after="40"/>
      </w:pPr>
      <w:r w:rsidRPr="00FF756A">
        <w:t xml:space="preserve">Ndërhyrja në këto sisteme të furnizimit me ujë konsiston në zëvendësimin e pompave ekzistuese plotësisht të amortizuara me pompa të prodhuara sipas standardeve të BE-së dhe me klasë të efiçencës motorike IE3 (efiçencë Premium), instalimin e paneleve fotovoltaike për prodhimin e energjisë, si dhe instalimin e sistemit SCADA për monitorimin dhe përdorimin më efiçent në lidhje me konsumin e energjisë elektrike, me qëllim uljen e konsumit të energjisë në baza vjetore, dhe reduktimin e shkarkimeve të CO2. </w:t>
      </w:r>
    </w:p>
    <w:p w14:paraId="40789C65" w14:textId="61E9A93B" w:rsidR="000D29E8" w:rsidRPr="00FF756A" w:rsidRDefault="000D29E8" w:rsidP="006564F5">
      <w:pPr>
        <w:spacing w:before="40" w:after="40"/>
      </w:pPr>
      <w:r w:rsidRPr="00FF756A">
        <w:t xml:space="preserve">g) Projekt pilot për përmirësimin e efiçencës së energjisë në impiantet e trajtimit të ujërave të ndotura në bashkinë Durrës. Në këtë impiant është realizuar një investim për përmirësimin e efiçencës së energjisë në 11 stacione dhe konsiston në riparimin e disa pompave dhe zëvendësimin e atyre që janë tërësisht të amortizuara, si dhe në përmirësimin e sistemit SCADA për monitorimin dhe përdorimin sa më efiçent në lidhje me konsumin e energjisë elektrike. Pompat e reja janë prodhuar sipas standardeve të BE-së dhe me klasë të efiçencës motorike IE3 (efiçencë Premium). </w:t>
      </w:r>
    </w:p>
    <w:p w14:paraId="6E14AAB3" w14:textId="77777777" w:rsidR="000D29E8" w:rsidRPr="00FF756A" w:rsidRDefault="000D29E8" w:rsidP="006564F5">
      <w:pPr>
        <w:spacing w:before="40" w:after="40"/>
      </w:pPr>
      <w:r w:rsidRPr="00FF756A">
        <w:t xml:space="preserve">h) Projekt pilot për instalimin e sistemit të ndriçimit, parkimit, furnizimit elektrik të makinave “2 km Smart-City - Rruga e energjisë së pastër. Ky projekt do të shërbejë si një promotor i efiçencës së energjisë dhe energjisë së pastër dhe do t'i paraprijë tendencës në rritje të përdorimit të automjeteve </w:t>
      </w:r>
      <w:r w:rsidRPr="00FF756A">
        <w:lastRenderedPageBreak/>
        <w:t xml:space="preserve">elektrike (EV), që do të shtrihet në të ardhmen në të gjithë territorin e Shqipërisë. Qëllimi i tij kryesor është të përmbushë kërkesat e tregut për karikimin e makinave elektrike, të ulë konsumin e energjisë elektrike dhe të reduktojë shkarkimet e CO2 nga ndriçimi urban, si dhe të nxisë përdorimin e makinave elektrike, duke sjellë si rrjedhojë përfitimet përkatëse mjedisore. Me anë të këtij projekti do të realizohet përmirësimi i sistemit të ndriçimit rrugor dhe dekorativ, instalimi i paneleve diellore për prodhimin e energjisë (impianti fotovoltaik “Smart Flower”, ferma eolike “Aeroleaf Wind Tree”) dhe i karikuesve të automjeteve elektrike. </w:t>
      </w:r>
    </w:p>
    <w:p w14:paraId="47FEBC02" w14:textId="73E5A975" w:rsidR="000D29E8" w:rsidRPr="00FF756A" w:rsidRDefault="000D29E8" w:rsidP="006564F5">
      <w:pPr>
        <w:spacing w:before="40" w:after="40"/>
      </w:pPr>
      <w:r w:rsidRPr="00FF756A">
        <w:t xml:space="preserve">i) Studimi për krijimin e rrjetit për vendosjen e stacioneve të karikimit për makinat elektrike në territorin e Shqipërisë. Me qëllim reduktimin e ndotjes nga mjetet e transportit, AEE-ja është në përfundim të studimit për krijimin e një rrjeti të vendosjes së stacioneve të karikimit për të mbuluar të gjitha nevojat e makinave elektrike në të gjithë territorin e Shqipërisë. Pas përfundimit të studimit, AEE-ja do të aplikojë për financim për të pasur mundësinë ta vërë në zbatim këtë studim. </w:t>
      </w:r>
    </w:p>
    <w:p w14:paraId="127F6D53" w14:textId="77777777" w:rsidR="000D29E8" w:rsidRPr="00FF756A" w:rsidRDefault="000D29E8" w:rsidP="006564F5">
      <w:pPr>
        <w:spacing w:before="40" w:after="40"/>
      </w:pPr>
      <w:r w:rsidRPr="00FF756A">
        <w:t xml:space="preserve">j) Projekt-ideja për elektrifikimin e linjave të transportit urban dhe ndërqytetas në bashkitë Tiranë, Vlorë, Durrës. Një prej kontribuuesve në ndotje është pikërisht transporti urban dhe ai ndërqytetas. Për këtë qëllim, po përgatitet një studim për elektrifikimin e linjave të transportit urban në tre bashkitë Tiranë, Vlorë, Durrës. Pas përgatitjes së studimit, do të shihet mundësia e financimit të këtij projekti, për të nisur me transformimin e transportit urban, duke prezantuar përdorimin e automjeteve elektrike. </w:t>
      </w:r>
    </w:p>
    <w:p w14:paraId="3D91BF67" w14:textId="36B0F9AC" w:rsidR="000D29E8" w:rsidRPr="00FF756A" w:rsidRDefault="000D29E8" w:rsidP="006564F5">
      <w:pPr>
        <w:spacing w:before="40" w:after="40"/>
      </w:pPr>
      <w:r w:rsidRPr="00FF756A">
        <w:t xml:space="preserve">k) Interreg IPA II, Programi i Bashkëpunimit Ndërkufitar Greqi-Shqipëri 2014-2020. Objektivi i projektit është realizimi i investimeve të vogla në nZEB (ndërtesa me konsum energjie thuajse zero) dhe zhvillimi i një qasjeje të përbashkët lidhur me nZEB-të publike përmes nismave inteligjente dhe krijimit dhe operimit të komuniteteve të energjisë në zonën përkatëse. Ky projekt po zbatohet në bashkinë Gjirokastër dhe përfshin rikonstruksionin e Qendrës Kulturore “Fato Berberi”, duke përmirësuar ndjeshëm efiçencën e energjisë së ndërtesës dhe duke e kthyer atë në një ndërtesë me konsum </w:t>
      </w:r>
      <w:r w:rsidR="002936A7" w:rsidRPr="00FF756A">
        <w:t xml:space="preserve">të energjisë </w:t>
      </w:r>
      <w:r w:rsidRPr="00FF756A">
        <w:t>pothuajse zero</w:t>
      </w:r>
      <w:r w:rsidR="002936A7" w:rsidRPr="00FF756A">
        <w:t>.</w:t>
      </w:r>
      <w:r w:rsidRPr="00FF756A">
        <w:t xml:space="preserve"> </w:t>
      </w:r>
    </w:p>
    <w:p w14:paraId="1B689961" w14:textId="77777777" w:rsidR="000D29E8" w:rsidRPr="00FF756A" w:rsidRDefault="000D29E8" w:rsidP="006564F5">
      <w:pPr>
        <w:spacing w:before="40" w:after="40"/>
      </w:pPr>
      <w:r w:rsidRPr="00FF756A">
        <w:t xml:space="preserve">l) Studimi i fizibilitetit dhe zbatimi i projektit për një sistem ngrohjeje pa dru në Korçë. Ky projekt është faza e fundit dhe synon të zëvendësojë përdorimin e druve të zjarrit për ngrohje, si materiali bazë i përdorur në këtë qytet (zona C), me gazin natyror, i cili do të merret nga rrjeti TAP i cili kalon në zonën e qytetit të Korçës. Pas përfundimit të projektit, AEE-ja do të aplikojë për mundësinë e realizimit të tij. Ky projekt do të reduktojë ndjeshëm ndotjen e ajrit në qytetin e Korçës, shkarkimin e gazeve serrë në atmosferë, si dhe do t’i japë fund prerjes së druve në pyje për ngrohje. </w:t>
      </w:r>
    </w:p>
    <w:p w14:paraId="16D0D23E" w14:textId="3E66FF85" w:rsidR="000D29E8" w:rsidRPr="00FF756A" w:rsidRDefault="000D29E8" w:rsidP="006564F5">
      <w:pPr>
        <w:spacing w:before="40" w:after="40"/>
      </w:pPr>
      <w:r w:rsidRPr="00FF756A">
        <w:t xml:space="preserve">m) Standardet e ndriçimit urban dhe rrugor në Republikën e Shqipërisë. Ndriçimi urban dhe rrugor kombëtar është përgjegjës për një konsum të konsiderueshëm të energjisë elektrike, edhe për faktin se llambat janë të vjetra dhe me konsum të lartë të energjisë elektrike. Përcaktimi i standardeve më të mira ndërkombëtare në ndriçimin urban dhe rrugor në territorin e Shqipërisë, do të detyrojë të gjitha institucionet që investojnë në këtë sektor të përdorin ndriçues me efiçencë të lartë energjie, duke ulur ndjeshëm konsumin e energjisë elektrike dhe kostot e mirëmbajtjes. </w:t>
      </w:r>
    </w:p>
    <w:p w14:paraId="641E4A3F" w14:textId="77777777" w:rsidR="000D29E8" w:rsidRPr="00FF756A" w:rsidRDefault="000D29E8" w:rsidP="006564F5">
      <w:pPr>
        <w:spacing w:before="40" w:after="40"/>
      </w:pPr>
      <w:r w:rsidRPr="00FF756A">
        <w:t xml:space="preserve">n) Projekti për llogaritjen e kostos optimale për kushtet minimale të ndërtesave. Në vijim të përmirësimit të punës për realizimin e parametrave të efiçencës së energjisë në ndërtesa në bashkëpunim me Universitetin Politeknik të Tiranës, po hartohen standarde për kushtet minimale të efiçencës në ndërtesa. Përcaktimi i këtyre standardeve do të rrisë cilësinë e ndërtimit, si dhe do të reduktojë konsumin e energjisë elektrike dhe ndotjen e mjedisit. </w:t>
      </w:r>
    </w:p>
    <w:p w14:paraId="551D5C22" w14:textId="342280A1" w:rsidR="00DA2EDE" w:rsidRPr="00FF756A" w:rsidRDefault="000D29E8" w:rsidP="006564F5">
      <w:pPr>
        <w:spacing w:before="40" w:after="40"/>
      </w:pPr>
      <w:r w:rsidRPr="00FF756A">
        <w:t xml:space="preserve">o) Projekt pilot për ndërtimin e një ndërtese me “0 konsum energjie” (çelësat në dorë). Ky projekt konsiston në ndërtimin e një ndërtese të re me pothuajse zero konsum energjie. Realizimi i projektit parashikohet gjatë vitit 2022. </w:t>
      </w:r>
    </w:p>
    <w:p w14:paraId="7A4CFD9E" w14:textId="77777777" w:rsidR="00F15286" w:rsidRPr="00FF756A" w:rsidRDefault="00F15286" w:rsidP="006564F5">
      <w:pPr>
        <w:spacing w:before="40" w:after="40"/>
      </w:pPr>
    </w:p>
    <w:p w14:paraId="5B339168" w14:textId="77777777" w:rsidR="00F15286" w:rsidRPr="00FF756A" w:rsidRDefault="00F15286" w:rsidP="00F15286">
      <w:pPr>
        <w:spacing w:before="40" w:after="40"/>
        <w:rPr>
          <w:b/>
          <w:bCs/>
        </w:rPr>
      </w:pPr>
      <w:r w:rsidRPr="00FF756A">
        <w:rPr>
          <w:b/>
          <w:bCs/>
        </w:rPr>
        <w:t>Projektet që po realizohen nga AEE gjatë viteve 2022-2024</w:t>
      </w:r>
    </w:p>
    <w:p w14:paraId="645E2A08" w14:textId="4E835337" w:rsidR="00F15286" w:rsidRPr="00FF756A" w:rsidRDefault="00F15286" w:rsidP="008639B2">
      <w:pPr>
        <w:numPr>
          <w:ilvl w:val="0"/>
          <w:numId w:val="204"/>
        </w:numPr>
        <w:spacing w:before="40" w:after="40"/>
      </w:pPr>
      <w:r w:rsidRPr="00FF756A">
        <w:lastRenderedPageBreak/>
        <w:t xml:space="preserve">Projekt pilot për "Auditim, Certifikim, Projektim dhe Zbatim i Sistemit të Ndriçimit me Efiçencë të Lartë, </w:t>
      </w:r>
      <w:r w:rsidR="007941A0" w:rsidRPr="00FF756A">
        <w:t xml:space="preserve">të </w:t>
      </w:r>
      <w:r w:rsidRPr="00FF756A">
        <w:t>Stacioneve të Karikimit të Makinave Elektrike dhe Panele Fotovoltaike në Unazën Lindore dhe Perëndimore të Shkodrës" - Rruga e Energjisë së Pastër.</w:t>
      </w:r>
    </w:p>
    <w:p w14:paraId="0B7F5A4A" w14:textId="77777777" w:rsidR="00F15286" w:rsidRPr="00FF756A" w:rsidRDefault="00F15286" w:rsidP="00F15286">
      <w:pPr>
        <w:spacing w:before="40" w:after="40"/>
      </w:pPr>
      <w:r w:rsidRPr="00FF756A">
        <w:t>Agjencia për Efiçiencën e Energjisë po zhvillon një projekt pilot që synon unazën lindore dhe perëndimore të Shkodrës. Sistemi aktual i ndriçimit është shumë i vjetëruar, me keqfunksionime të shumta të dritave, vjedhje të linjave elektrike dhe dëmtime nga aksidentet automobilistike. Llambat me natrium me presion të lartë (HPS), të cilat konsumojnë shumë energji dhe përmbajnë merkur të dëmshëm për mjedisin, janë ende në përdorim. Disa segmente të linjës lidhen drejtpërdrejt me rrjetin e OSHEE-së, duke shkaktuar konsum të vazhdueshëm energjie dhe humbje të konsiderueshme.</w:t>
      </w:r>
    </w:p>
    <w:p w14:paraId="2FB77325" w14:textId="77777777" w:rsidR="00F15286" w:rsidRPr="00FF756A" w:rsidRDefault="00F15286" w:rsidP="00F15286">
      <w:pPr>
        <w:spacing w:before="40" w:after="40"/>
      </w:pPr>
      <w:r w:rsidRPr="00FF756A">
        <w:t>Objektivat kryesore janë:</w:t>
      </w:r>
    </w:p>
    <w:p w14:paraId="2BC91701" w14:textId="77777777" w:rsidR="00F15286" w:rsidRPr="00FF756A" w:rsidRDefault="00F15286" w:rsidP="008639B2">
      <w:pPr>
        <w:numPr>
          <w:ilvl w:val="0"/>
          <w:numId w:val="205"/>
        </w:numPr>
        <w:spacing w:before="40" w:after="40"/>
      </w:pPr>
      <w:r w:rsidRPr="00FF756A">
        <w:t>Përmirësimi i sistemit të ndriçimit: Instalimi i ndriçimit me efikasitet të lartë për të zëvendësuar llambat e vjetruara HPS.</w:t>
      </w:r>
    </w:p>
    <w:p w14:paraId="5C843C8E" w14:textId="77777777" w:rsidR="00F15286" w:rsidRPr="00FF756A" w:rsidRDefault="00F15286" w:rsidP="008639B2">
      <w:pPr>
        <w:numPr>
          <w:ilvl w:val="0"/>
          <w:numId w:val="205"/>
        </w:numPr>
        <w:spacing w:before="40" w:after="40"/>
      </w:pPr>
      <w:r w:rsidRPr="00FF756A">
        <w:t>Infrastruktura e makinave elektrike: Sigurimi i stacioneve të karikimit të makinave elektrike dhe pemëve fotovoltaike për të promovuar elektrifikimin e transportit rrugor, duke reduktuar emetimet e CO2 dhe duke mbështetur qëllimet e Planit Kombëtar për Energjinë dhe Klimën.</w:t>
      </w:r>
    </w:p>
    <w:p w14:paraId="58140075" w14:textId="77777777" w:rsidR="00F15286" w:rsidRPr="00FF756A" w:rsidRDefault="00F15286" w:rsidP="00F15286">
      <w:pPr>
        <w:spacing w:before="40" w:after="40"/>
      </w:pPr>
      <w:r w:rsidRPr="00FF756A">
        <w:t>Kjo nismë do të rrisë efikasitetin e energjisë, do të reduktojë ndotësit mjedisorë dhe do të nxisë zgjidhje të qëndrueshme të transportit në Shkodër.</w:t>
      </w:r>
    </w:p>
    <w:p w14:paraId="35A0E3F5" w14:textId="77777777" w:rsidR="00791061" w:rsidRPr="00FF756A" w:rsidRDefault="00791061" w:rsidP="00F15286">
      <w:pPr>
        <w:spacing w:before="40" w:after="40"/>
      </w:pPr>
    </w:p>
    <w:p w14:paraId="12625F6D" w14:textId="599D5577" w:rsidR="00F15286" w:rsidRPr="00FF756A" w:rsidRDefault="00F15286" w:rsidP="008639B2">
      <w:pPr>
        <w:numPr>
          <w:ilvl w:val="0"/>
          <w:numId w:val="204"/>
        </w:numPr>
        <w:spacing w:before="40" w:after="40"/>
      </w:pPr>
      <w:r w:rsidRPr="00FF756A">
        <w:t>Projekt Pilot: “Auditimi, Certifikimi, Projektimi dhe Realizimi i Punimeve për Rinovimin e Ndërtesave Rezidenciale Shumëfamiljare Ekzistuese me Efiçencë të Lartë Energjetike në qytetin e Tepelenës”</w:t>
      </w:r>
      <w:r w:rsidR="004E474F" w:rsidRPr="00FF756A">
        <w:t>.</w:t>
      </w:r>
    </w:p>
    <w:p w14:paraId="62F380AF" w14:textId="1B9F9913" w:rsidR="00F15286" w:rsidRPr="00FF756A" w:rsidRDefault="00F15286" w:rsidP="00F15286">
      <w:pPr>
        <w:spacing w:before="40" w:after="40"/>
      </w:pPr>
      <w:r w:rsidRPr="00FF756A">
        <w:t>Agjencia për Efiçiencën e Energjisë po zhvillon një projekt pilot që synon rinovimin e pesë ndërtesave ekzistuese shumëfamiljare (1, 4, 6, 7, 8) të identifikuara nga Bashkia Tepelenë. Me kalimin e kohës, këto ndërtesa kanë pësuar amortizimin e konsiderueshëm për shkak të ekspozimit prej vitesh, lagështisë dhe mungesës së mirëmbajtjes. Fasadat tregojnë dëmtime të dukshme si rënia e suvasë dhe</w:t>
      </w:r>
      <w:r w:rsidR="005B0B34" w:rsidRPr="00FF756A">
        <w:t xml:space="preserve"> plasaritje.</w:t>
      </w:r>
    </w:p>
    <w:p w14:paraId="329C9A3C" w14:textId="77777777" w:rsidR="00F15286" w:rsidRPr="00FF756A" w:rsidRDefault="00F15286" w:rsidP="00F15286">
      <w:pPr>
        <w:spacing w:before="40" w:after="40"/>
      </w:pPr>
      <w:r w:rsidRPr="00FF756A">
        <w:t>Objektivat e Projektit Pilot:</w:t>
      </w:r>
    </w:p>
    <w:p w14:paraId="3CD5AF69" w14:textId="69A7F997" w:rsidR="00F15286" w:rsidRPr="00FF756A" w:rsidRDefault="00F15286" w:rsidP="008639B2">
      <w:pPr>
        <w:numPr>
          <w:ilvl w:val="0"/>
          <w:numId w:val="206"/>
        </w:numPr>
        <w:spacing w:before="40" w:after="40"/>
      </w:pPr>
      <w:r w:rsidRPr="00FF756A">
        <w:t>Reduktimi i konsumit të energjisë: Zbat</w:t>
      </w:r>
      <w:r w:rsidR="00C622C1" w:rsidRPr="00FF756A">
        <w:t>imi i</w:t>
      </w:r>
      <w:r w:rsidRPr="00FF756A">
        <w:t xml:space="preserve"> të gjitha faza</w:t>
      </w:r>
      <w:r w:rsidR="00C622C1" w:rsidRPr="00FF756A">
        <w:t>ve të</w:t>
      </w:r>
      <w:r w:rsidRPr="00FF756A">
        <w:t xml:space="preserve"> projektimit dhe ekzekutimit për të arritur një reduktim të konsiderueshëm të konsumit të energjisë.</w:t>
      </w:r>
    </w:p>
    <w:p w14:paraId="6CB73126" w14:textId="3D12A62B" w:rsidR="00F15286" w:rsidRPr="00FF756A" w:rsidRDefault="00F15286" w:rsidP="008639B2">
      <w:pPr>
        <w:numPr>
          <w:ilvl w:val="0"/>
          <w:numId w:val="206"/>
        </w:numPr>
        <w:spacing w:before="40" w:after="40"/>
      </w:pPr>
      <w:r w:rsidRPr="00FF756A">
        <w:t>Përmirësimi i komoditetit: Përmirës</w:t>
      </w:r>
      <w:r w:rsidR="00C622C1" w:rsidRPr="00FF756A">
        <w:t>imi i</w:t>
      </w:r>
      <w:r w:rsidRPr="00FF756A">
        <w:t xml:space="preserve"> kushte</w:t>
      </w:r>
      <w:r w:rsidR="00C622C1" w:rsidRPr="00FF756A">
        <w:t>ve</w:t>
      </w:r>
      <w:r w:rsidRPr="00FF756A">
        <w:t xml:space="preserve"> </w:t>
      </w:r>
      <w:r w:rsidR="00C622C1" w:rsidRPr="00FF756A">
        <w:t>të</w:t>
      </w:r>
      <w:r w:rsidRPr="00FF756A">
        <w:t xml:space="preserve"> brendshme të jetesës në përputhje me standardet aktuale mjedisore dhe shëndetësore.</w:t>
      </w:r>
    </w:p>
    <w:p w14:paraId="4AE56F1F" w14:textId="77777777" w:rsidR="00F15286" w:rsidRPr="00FF756A" w:rsidRDefault="00F15286" w:rsidP="008639B2">
      <w:pPr>
        <w:numPr>
          <w:ilvl w:val="0"/>
          <w:numId w:val="206"/>
        </w:numPr>
        <w:spacing w:before="40" w:after="40"/>
      </w:pPr>
      <w:r w:rsidRPr="00FF756A">
        <w:t>Ndërgjegjësimi i publikut: Rritja e ndërgjegjësimit të popullatës përmes demonstrimeve praktike të ndërhyrjeve për efiçencën e energjisë.</w:t>
      </w:r>
    </w:p>
    <w:p w14:paraId="5EE4DCE4" w14:textId="2033ACEC" w:rsidR="00F15286" w:rsidRPr="00FF756A" w:rsidRDefault="00F15286" w:rsidP="008639B2">
      <w:pPr>
        <w:numPr>
          <w:ilvl w:val="0"/>
          <w:numId w:val="204"/>
        </w:numPr>
        <w:spacing w:before="40" w:after="40"/>
      </w:pPr>
      <w:r w:rsidRPr="00FF756A">
        <w:t>Projekti Pilot: "Auditimi, Certifikimi, Projektimi dhe Realizimi i Punimeve për Rinovimin e Ndërtesave Rezidenciale Shumëfamiljare Ekzistuese me Efiçencë të Lartë Energjetike në qytetin e Korçës "</w:t>
      </w:r>
      <w:r w:rsidR="00C622C1" w:rsidRPr="00FF756A">
        <w:t>.</w:t>
      </w:r>
    </w:p>
    <w:p w14:paraId="0CFAEE7F" w14:textId="77777777" w:rsidR="00F15286" w:rsidRPr="00FF756A" w:rsidRDefault="00F15286" w:rsidP="00F15286">
      <w:pPr>
        <w:spacing w:before="40" w:after="40"/>
      </w:pPr>
    </w:p>
    <w:p w14:paraId="119C458C" w14:textId="77777777" w:rsidR="00F15286" w:rsidRPr="00FF756A" w:rsidRDefault="00F15286" w:rsidP="00F15286">
      <w:pPr>
        <w:spacing w:before="40" w:after="40"/>
      </w:pPr>
      <w:r w:rsidRPr="00FF756A">
        <w:t>Agjencia për Efiçiencën e Energjisë po nis një projekt pilot për rinovimin e tre ndërtesave ekzistuese shumëfamiljare të identifikuara nga Bashkia Korçë . Këto ndërtesa, të ndërtuara kryesisht me tulla të plota para viteve 90, kanë pësuar amortizimin ndër vite për shkak të lagështirës, mungesës së mirëmbajtjes dhe ekspozimit ndaj elementeve. Janë bërë disa suvatime, por gjithashtu janë përkeqësuar me kalimin e kohës, duke çuar në dëmtime të dukshme si rënia e suvasë dhe çarje.</w:t>
      </w:r>
    </w:p>
    <w:p w14:paraId="3324C34F" w14:textId="77777777" w:rsidR="00F15286" w:rsidRPr="00FF756A" w:rsidRDefault="00F15286" w:rsidP="00F15286">
      <w:pPr>
        <w:spacing w:before="40" w:after="40"/>
      </w:pPr>
    </w:p>
    <w:p w14:paraId="24657110" w14:textId="77777777" w:rsidR="00F15286" w:rsidRPr="00FF756A" w:rsidRDefault="00F15286" w:rsidP="00F15286">
      <w:pPr>
        <w:spacing w:before="40" w:after="40"/>
      </w:pPr>
      <w:r w:rsidRPr="00FF756A">
        <w:t>Objektivat e Projektit Pilot:</w:t>
      </w:r>
    </w:p>
    <w:p w14:paraId="62AF319A" w14:textId="77777777" w:rsidR="00F15286" w:rsidRPr="00FF756A" w:rsidRDefault="00F15286" w:rsidP="00F15286">
      <w:pPr>
        <w:spacing w:before="40" w:after="40"/>
      </w:pPr>
    </w:p>
    <w:p w14:paraId="760EC306" w14:textId="7346CB74" w:rsidR="00F15286" w:rsidRPr="00FF756A" w:rsidRDefault="00F15286" w:rsidP="008639B2">
      <w:pPr>
        <w:numPr>
          <w:ilvl w:val="0"/>
          <w:numId w:val="207"/>
        </w:numPr>
        <w:spacing w:before="40" w:after="40"/>
      </w:pPr>
      <w:r w:rsidRPr="00FF756A">
        <w:lastRenderedPageBreak/>
        <w:t>Reduktimi i konsumit të energjisë: Zbat</w:t>
      </w:r>
      <w:r w:rsidR="00E664C8" w:rsidRPr="00FF756A">
        <w:t>imi i</w:t>
      </w:r>
      <w:r w:rsidRPr="00FF756A">
        <w:t xml:space="preserve"> të gjitha faza</w:t>
      </w:r>
      <w:r w:rsidR="00E664C8" w:rsidRPr="00FF756A">
        <w:t>ve</w:t>
      </w:r>
      <w:r w:rsidRPr="00FF756A">
        <w:t xml:space="preserve"> </w:t>
      </w:r>
      <w:r w:rsidR="00E664C8" w:rsidRPr="00FF756A">
        <w:t>të</w:t>
      </w:r>
      <w:r w:rsidRPr="00FF756A">
        <w:t xml:space="preserve"> projektimit dhe ekzekutimit për të arritur një reduktim të ndjeshëm të konsumit të energjisë.</w:t>
      </w:r>
    </w:p>
    <w:p w14:paraId="2F5CB478" w14:textId="6D978CAD" w:rsidR="00F15286" w:rsidRPr="00FF756A" w:rsidRDefault="00F15286" w:rsidP="008639B2">
      <w:pPr>
        <w:numPr>
          <w:ilvl w:val="0"/>
          <w:numId w:val="207"/>
        </w:numPr>
        <w:spacing w:before="40" w:after="40"/>
      </w:pPr>
      <w:r w:rsidRPr="00FF756A">
        <w:t>Përmirësimi i komoditetit: Përmirësi</w:t>
      </w:r>
      <w:r w:rsidR="00F8754F" w:rsidRPr="00FF756A">
        <w:t>mi i</w:t>
      </w:r>
      <w:r w:rsidRPr="00FF756A">
        <w:t xml:space="preserve"> kushte</w:t>
      </w:r>
      <w:r w:rsidR="00F8754F" w:rsidRPr="00FF756A">
        <w:t>ve</w:t>
      </w:r>
      <w:r w:rsidRPr="00FF756A">
        <w:t xml:space="preserve"> </w:t>
      </w:r>
      <w:r w:rsidR="00F8754F" w:rsidRPr="00FF756A">
        <w:t>të</w:t>
      </w:r>
      <w:r w:rsidRPr="00FF756A">
        <w:t xml:space="preserve"> brendshme të jetesës për të përmbushur standardet aktuale mjedisore dhe shëndetësore.</w:t>
      </w:r>
    </w:p>
    <w:p w14:paraId="128419AB" w14:textId="77777777" w:rsidR="00F15286" w:rsidRPr="00FF756A" w:rsidRDefault="00F15286" w:rsidP="008639B2">
      <w:pPr>
        <w:numPr>
          <w:ilvl w:val="0"/>
          <w:numId w:val="207"/>
        </w:numPr>
        <w:spacing w:before="40" w:after="40"/>
      </w:pPr>
      <w:r w:rsidRPr="00FF756A">
        <w:t>Ndërgjegjësimi i publikut: Rritja e ndërgjegjësimit të banorëve përmes demonstrimeve praktike të përmirësimeve të efiçencës së energjisë.</w:t>
      </w:r>
    </w:p>
    <w:p w14:paraId="70D95FD4" w14:textId="77777777" w:rsidR="00F15286" w:rsidRPr="00FF756A" w:rsidRDefault="00F15286" w:rsidP="00F15286">
      <w:pPr>
        <w:spacing w:before="40" w:after="40"/>
      </w:pPr>
    </w:p>
    <w:p w14:paraId="5E3E3662" w14:textId="77777777" w:rsidR="00F15286" w:rsidRPr="00FF756A" w:rsidRDefault="00F15286" w:rsidP="00F15286">
      <w:pPr>
        <w:spacing w:before="40" w:after="40"/>
      </w:pPr>
      <w:r w:rsidRPr="00FF756A">
        <w:t>Kjo nismë synon të përmirësojë si efiçencën e energjisë ashtu edhe kushtet e jetesës së këtyre ndërtesave, duke krijuar një precedent për projektet e ardhshme.</w:t>
      </w:r>
    </w:p>
    <w:p w14:paraId="13B93CE0" w14:textId="77777777" w:rsidR="00F15286" w:rsidRPr="00FF756A" w:rsidRDefault="00F15286" w:rsidP="00F15286">
      <w:pPr>
        <w:spacing w:before="40" w:after="40"/>
      </w:pPr>
    </w:p>
    <w:p w14:paraId="446106BC" w14:textId="69FCB531" w:rsidR="00F15286" w:rsidRPr="00FF756A" w:rsidRDefault="00F15286" w:rsidP="008639B2">
      <w:pPr>
        <w:numPr>
          <w:ilvl w:val="0"/>
          <w:numId w:val="204"/>
        </w:numPr>
        <w:spacing w:before="40" w:after="40"/>
      </w:pPr>
      <w:r w:rsidRPr="00FF756A">
        <w:t xml:space="preserve">Auditim Certifikimi dhe Projekt Zbatimi për Rinovimin e Ndërtesave Rezidenciale Shumëfamiljare Ekzistuese me Efiçiencë Energjetike në </w:t>
      </w:r>
      <w:r w:rsidR="00EA4176" w:rsidRPr="00FF756A">
        <w:t>q</w:t>
      </w:r>
      <w:r w:rsidRPr="00FF756A">
        <w:t>ytete të ndryshme “ Shkodër , Malësi e Madhe , Kurbin , Kukës , Has, Lezhë , Pukë, Vau i Dejës , Klos, Fushë . Arrë , Mat dhe Bulqizë ”</w:t>
      </w:r>
    </w:p>
    <w:p w14:paraId="594C3E53" w14:textId="77777777" w:rsidR="00F15286" w:rsidRPr="00FF756A" w:rsidRDefault="00F15286" w:rsidP="00F15286">
      <w:pPr>
        <w:spacing w:before="40" w:after="40"/>
      </w:pPr>
    </w:p>
    <w:p w14:paraId="5CFFE2CC" w14:textId="1EC00BD1" w:rsidR="00F15286" w:rsidRPr="00FF756A" w:rsidRDefault="00F15286" w:rsidP="00F15286">
      <w:pPr>
        <w:spacing w:before="40" w:after="40"/>
      </w:pPr>
      <w:r w:rsidRPr="00FF756A">
        <w:t>Ky projekt, i zhvilluar nga Agjencia për Efiçiencën e Energjisë, përbëhet nga një program pilot që synon ndërtesa banimi shumëfamiljare të propozuar nga bashkitë Shkodër , Malësi e Madhe , Kurbin , Kukës, Has, Lezhë , Pukë, Vau i Dejës , Klos, Fushë . Arrë , Mat dhe Bulqizë . Këto ndërtesa, të ndërtuara kryesisht para viteve 1990, do t'i nënshtrohen një auditimi të plotë energjetik për të vlerësuar situatën e tyre aktuale energjetike. Në këto qytete nuk është zbatuar asnjë masë e rëndësishme rikonstruksioni apo efiçience energjetike në blloqet e banimit. Objektivi i këtij projekti pilot është të përfundojë të gjitha fazat e projektimit, duke hedhur bazat për një fazë të dytë të fokusuar në zbatimin aktual të punimeve të rinovimit. Kjo do të çojë në reduktimin e konsumit të energjisë dhe përmirësimin e efikasitetit të energjisë.</w:t>
      </w:r>
    </w:p>
    <w:p w14:paraId="5FAC947C" w14:textId="77777777" w:rsidR="00F15286" w:rsidRPr="00FF756A" w:rsidRDefault="00F15286" w:rsidP="00F15286">
      <w:pPr>
        <w:spacing w:before="40" w:after="40"/>
      </w:pPr>
    </w:p>
    <w:p w14:paraId="7AC933DB" w14:textId="77777777" w:rsidR="00F15286" w:rsidRPr="00FF756A" w:rsidRDefault="00F15286" w:rsidP="008639B2">
      <w:pPr>
        <w:numPr>
          <w:ilvl w:val="0"/>
          <w:numId w:val="204"/>
        </w:numPr>
        <w:spacing w:before="40" w:after="40"/>
      </w:pPr>
      <w:r w:rsidRPr="00FF756A">
        <w:t>Projekti i Auditimit të Çertifikimit dhe Zbatimit për Rinovimin e Ndërtesave Rezidenciale Shumëfamiljare Ekzistuese me Efiçiencë Energjetike në qytete të ndryshme “ Dibër , Tropojë Krujë , Durrës , Rrogozhinë ”</w:t>
      </w:r>
    </w:p>
    <w:p w14:paraId="13D75E75" w14:textId="7B7909DD" w:rsidR="00F15286" w:rsidRPr="00FF756A" w:rsidRDefault="00F15286" w:rsidP="00F15286">
      <w:pPr>
        <w:spacing w:before="40" w:after="40"/>
      </w:pPr>
      <w:r w:rsidRPr="00FF756A">
        <w:t>Ky projekt, i zhvilluar nga Agjencia për Efiçiencën e Energjisë, konsiston në një program pilot që synon ndërtesa banimi shumëfamiljare të propozuar nga bashkitë “Dibër, Tropojë</w:t>
      </w:r>
      <w:r w:rsidR="00720CC2" w:rsidRPr="00FF756A">
        <w:t>,</w:t>
      </w:r>
      <w:r w:rsidRPr="00FF756A">
        <w:t xml:space="preserve"> Krujë, Durrës, Rrogozhinë”. Këto ndërtesa, të ndërtuara kryesisht para viteve 1990, do t'i nënshtrohen një auditimi të plotë energjetik për të vlerësuar situatën e tyre aktuale energjetike. Në këto qytete nuk është zbatuar asnjë masë e rëndësishme rikonstruksioni apo efiç</w:t>
      </w:r>
      <w:r w:rsidR="00E11A3B">
        <w:t>i</w:t>
      </w:r>
      <w:r w:rsidRPr="00FF756A">
        <w:t>ence energjetike në blloqet e banimit. Objektivi i këtij projekti pilot është të përfundojë të gjitha fazat e projektimit, duke hedhur bazat për një fazë të dytë të fokusuar në zbatimin aktual të punimeve të rinovimit. Kjo do të çojë në reduktimin e konsumit të energjisë dhe përmirësimin e efikasitetit të energjisë</w:t>
      </w:r>
      <w:r w:rsidR="00720CC2" w:rsidRPr="00FF756A">
        <w:t>.</w:t>
      </w:r>
    </w:p>
    <w:p w14:paraId="484F78C2" w14:textId="77777777" w:rsidR="00F15286" w:rsidRPr="00FF756A" w:rsidRDefault="00F15286" w:rsidP="00F15286">
      <w:pPr>
        <w:spacing w:before="40" w:after="40"/>
      </w:pPr>
    </w:p>
    <w:p w14:paraId="2BD8848B" w14:textId="30593FE6" w:rsidR="00F15286" w:rsidRPr="00FF756A" w:rsidRDefault="00F15286" w:rsidP="008639B2">
      <w:pPr>
        <w:numPr>
          <w:ilvl w:val="0"/>
          <w:numId w:val="204"/>
        </w:numPr>
        <w:spacing w:before="40" w:after="40"/>
      </w:pPr>
      <w:r w:rsidRPr="00FF756A">
        <w:t>Projekti i Auditimit dhe Zbatimit të Çertifikimit për Rinovimin e Ndërtesave Rezidenciale Shumëfamiljare Ekzistuese me Efiçiencë Energjetike në qytete të ndryshme “Elbasan, Belsh , Cërrik, Rrogozhinë, Librazhd, Prrenjas, Peqin, Kavajë, Fier, Lushnje dhe Divjak</w:t>
      </w:r>
      <w:r w:rsidR="00720CC2" w:rsidRPr="00FF756A">
        <w:t>ë</w:t>
      </w:r>
      <w:r w:rsidRPr="00FF756A">
        <w:t>”</w:t>
      </w:r>
      <w:r w:rsidR="00720CC2" w:rsidRPr="00FF756A">
        <w:t>.</w:t>
      </w:r>
    </w:p>
    <w:p w14:paraId="2C6188B6" w14:textId="1BF5AAD4" w:rsidR="00F15286" w:rsidRPr="00FF756A" w:rsidRDefault="00F15286" w:rsidP="00F15286">
      <w:pPr>
        <w:spacing w:before="40" w:after="40"/>
      </w:pPr>
      <w:r w:rsidRPr="00FF756A">
        <w:t>Ky projekt, i zhvilluar nga Agjencia për Efiçiencën e Energjisë, përbëhet nga një program pilot që synon ndërtesa banimi shumëfamiljare të propozuar nga bashkitë “Elbasan, Belsh, Cërrik, Rrogozhinë, Librazhd , Prrenjas, Peqin, Kavajë, Fier, Lushnje dhe Divjak</w:t>
      </w:r>
      <w:r w:rsidR="008D5363" w:rsidRPr="00FF756A">
        <w:t>ë</w:t>
      </w:r>
      <w:r w:rsidRPr="00FF756A">
        <w:t>”</w:t>
      </w:r>
      <w:r w:rsidR="008D5363" w:rsidRPr="00FF756A">
        <w:t>.</w:t>
      </w:r>
      <w:r w:rsidRPr="00FF756A">
        <w:t xml:space="preserve"> Këto ndërtesa, të ndërtuara kryesisht para viteve 1990, do t'i nënshtrohen një auditimi të plotë energjetik për të vlerësuar situatën e tyre aktuale energjetike. Në këto qytete nuk është zbatuar asnjë masë e rëndësishme rikonstruksioni apo efiçience energjetike në blloqet e banimit. Objektivi i këtij projekti pilot është të përfundojë të gjitha fazat e projektimit, duke hedhur bazat për një fazë të dytë të fokusuar në zbatimin aktual të punimeve të </w:t>
      </w:r>
      <w:r w:rsidRPr="00FF756A">
        <w:lastRenderedPageBreak/>
        <w:t>rinovimit. Kjo do të çojë në reduktimin e konsumit të energjisë dhe përmirësimin e efikasitetit të energjisë</w:t>
      </w:r>
      <w:r w:rsidR="008D5363" w:rsidRPr="00FF756A">
        <w:t>.</w:t>
      </w:r>
    </w:p>
    <w:p w14:paraId="34C67B25" w14:textId="77777777" w:rsidR="00F15286" w:rsidRPr="00FF756A" w:rsidRDefault="00F15286" w:rsidP="00F15286">
      <w:pPr>
        <w:spacing w:before="40" w:after="40"/>
      </w:pPr>
    </w:p>
    <w:p w14:paraId="3D6F09CA" w14:textId="6765E42B" w:rsidR="00F15286" w:rsidRPr="00FF756A" w:rsidRDefault="00F15286" w:rsidP="008639B2">
      <w:pPr>
        <w:numPr>
          <w:ilvl w:val="0"/>
          <w:numId w:val="204"/>
        </w:numPr>
        <w:spacing w:before="40" w:after="40"/>
      </w:pPr>
      <w:r w:rsidRPr="00FF756A">
        <w:t>Projekti Pilot: “Auditimi, Certifikimi, Projektimi, Zbatimi dhe Instalimi i Paneleve Fotovoltaike për Efiçencë të Lartë Energjetike në Kopshtin e Roskovecit ”</w:t>
      </w:r>
      <w:r w:rsidR="008D5363" w:rsidRPr="00FF756A">
        <w:t>.</w:t>
      </w:r>
    </w:p>
    <w:p w14:paraId="67D771EE" w14:textId="77777777" w:rsidR="00F15286" w:rsidRPr="00FF756A" w:rsidRDefault="00F15286" w:rsidP="00F15286">
      <w:pPr>
        <w:spacing w:before="40" w:after="40"/>
      </w:pPr>
    </w:p>
    <w:p w14:paraId="4F3AB8B6" w14:textId="3E9B0D01" w:rsidR="00F15286" w:rsidRPr="00FF756A" w:rsidRDefault="00F15286" w:rsidP="00F15286">
      <w:pPr>
        <w:spacing w:before="40" w:after="40"/>
      </w:pPr>
      <w:r w:rsidRPr="00FF756A">
        <w:t>Agjencia e Efiçiencës së Energjisë po ndërmerr një projekt pilot për instalimin e një sistemi fotovoltaik me kapacitet 14.4 kWp në kopshtin e Roskovecit. Bazuar në informacionet e Bashkisë Fier, godina e kopshtit nr. 01 Roskovec është rikonstruktuar së fundmi për të përmirësuar objektet e tij.</w:t>
      </w:r>
    </w:p>
    <w:p w14:paraId="1ACD049F" w14:textId="2F3089DF" w:rsidR="00F15286" w:rsidRPr="00FF756A" w:rsidRDefault="00F15286" w:rsidP="00F15286">
      <w:pPr>
        <w:spacing w:before="40" w:after="40"/>
      </w:pPr>
      <w:r w:rsidRPr="00FF756A">
        <w:t>Objektivat e Projektit Pilot:</w:t>
      </w:r>
    </w:p>
    <w:p w14:paraId="46370DD2" w14:textId="0EE2C24F" w:rsidR="00F15286" w:rsidRPr="00FF756A" w:rsidRDefault="00F15286" w:rsidP="008639B2">
      <w:pPr>
        <w:numPr>
          <w:ilvl w:val="0"/>
          <w:numId w:val="208"/>
        </w:numPr>
        <w:spacing w:before="40" w:after="40"/>
      </w:pPr>
      <w:r w:rsidRPr="00FF756A">
        <w:t>Reduktimi i gjurmës së karbonit: Përdori</w:t>
      </w:r>
      <w:r w:rsidR="00660962" w:rsidRPr="00FF756A">
        <w:t>mi i</w:t>
      </w:r>
      <w:r w:rsidRPr="00FF756A">
        <w:t xml:space="preserve"> energji</w:t>
      </w:r>
      <w:r w:rsidR="00660962" w:rsidRPr="00FF756A">
        <w:t>s</w:t>
      </w:r>
      <w:r w:rsidRPr="00FF756A">
        <w:t xml:space="preserve">ë </w:t>
      </w:r>
      <w:r w:rsidR="00660962" w:rsidRPr="00FF756A">
        <w:t>së</w:t>
      </w:r>
      <w:r w:rsidRPr="00FF756A">
        <w:t xml:space="preserve"> rinovueshme për të ulur gjurmën e karbonit.</w:t>
      </w:r>
    </w:p>
    <w:p w14:paraId="491A04C2" w14:textId="77777777" w:rsidR="00F15286" w:rsidRPr="00FF756A" w:rsidRDefault="00F15286" w:rsidP="008639B2">
      <w:pPr>
        <w:numPr>
          <w:ilvl w:val="0"/>
          <w:numId w:val="208"/>
        </w:numPr>
        <w:spacing w:before="40" w:after="40"/>
      </w:pPr>
      <w:r w:rsidRPr="00FF756A">
        <w:t>Përmirësimi i cilësisë së jetës: Rritja e cilësisë së jetës për qytetarët përmes demonstrimeve praktike të ndërhyrjeve për efiçencën e energjisë.</w:t>
      </w:r>
    </w:p>
    <w:p w14:paraId="06356DA8" w14:textId="77777777" w:rsidR="00F15286" w:rsidRPr="00FF756A" w:rsidRDefault="00F15286" w:rsidP="00F15286">
      <w:pPr>
        <w:spacing w:before="40" w:after="40"/>
      </w:pPr>
    </w:p>
    <w:p w14:paraId="4ABC7E14" w14:textId="112BE36A" w:rsidR="00F15286" w:rsidRPr="00FF756A" w:rsidRDefault="00F15286" w:rsidP="008639B2">
      <w:pPr>
        <w:numPr>
          <w:ilvl w:val="0"/>
          <w:numId w:val="204"/>
        </w:numPr>
        <w:spacing w:before="40" w:after="40"/>
      </w:pPr>
      <w:r w:rsidRPr="00FF756A">
        <w:t>Projekti Pilot: "Auditimi, Zbatimi dhe Punimet e Efiçiencës së Energjisë në Shkollat Publike të Dibrës"</w:t>
      </w:r>
      <w:r w:rsidR="00660962" w:rsidRPr="00FF756A">
        <w:t>.</w:t>
      </w:r>
    </w:p>
    <w:p w14:paraId="3C3D9A03" w14:textId="77777777" w:rsidR="00F15286" w:rsidRPr="00FF756A" w:rsidRDefault="00F15286" w:rsidP="00F15286">
      <w:pPr>
        <w:spacing w:before="40" w:after="40"/>
      </w:pPr>
    </w:p>
    <w:p w14:paraId="224A2947" w14:textId="77777777" w:rsidR="00F15286" w:rsidRPr="00FF756A" w:rsidRDefault="00F15286" w:rsidP="00F15286">
      <w:pPr>
        <w:spacing w:before="40" w:after="40"/>
      </w:pPr>
      <w:r w:rsidRPr="00FF756A">
        <w:t>Agjencia e Efiçiencës së Energjisë po zhvillon një projekt pilot për auditimin dhe rinovimin e tre shkollave në bashkinë e Klosit, rrethi i Dibrës. Objektet arsimore janë konsumatorë të rëndësishëm të energjisë midis ndërtesave publike, duke i bërë ato një prioritet për ndërhyrjet e efiçiencës së energjisë nga AEE.</w:t>
      </w:r>
    </w:p>
    <w:p w14:paraId="121E4783" w14:textId="6F75FBBD" w:rsidR="00F15286" w:rsidRPr="00FF756A" w:rsidRDefault="00F15286" w:rsidP="00F15286">
      <w:pPr>
        <w:spacing w:before="40" w:after="40"/>
      </w:pPr>
      <w:r w:rsidRPr="00FF756A">
        <w:t>Sfidat aktuale: Të tre shkollat shfaqin amortizim</w:t>
      </w:r>
      <w:r w:rsidR="001A671D" w:rsidRPr="00FF756A">
        <w:t xml:space="preserve"> të</w:t>
      </w:r>
      <w:r w:rsidRPr="00FF756A">
        <w:t xml:space="preserve"> dukshëm, me çarje dhe dëmtime të fasadave nga lagështia dhe mungesa e mirëmbajtjes, dritare të vjetra me një xham dhe ndriçim me konsum të lartë energjie. Mungesa e një mbështjelljeje me efikasitet energjie (sistemi i kap</w:t>
      </w:r>
      <w:r w:rsidR="003144DC" w:rsidRPr="00FF756A">
        <w:t>otës</w:t>
      </w:r>
      <w:r w:rsidRPr="00FF756A">
        <w:t>) përkeqëson humbjen e energjisë, veçanërisht në klimën e ftohtë të zonës, duke e bërë të vështirë ruajtjen e temperaturave të rehatshme të brendshme.</w:t>
      </w:r>
    </w:p>
    <w:p w14:paraId="2EAA2157" w14:textId="77777777" w:rsidR="00F15286" w:rsidRPr="00FF756A" w:rsidRDefault="00F15286" w:rsidP="00F15286">
      <w:pPr>
        <w:spacing w:before="40" w:after="40"/>
      </w:pPr>
    </w:p>
    <w:p w14:paraId="4FCDDBA6" w14:textId="77777777" w:rsidR="00F15286" w:rsidRPr="00FF756A" w:rsidRDefault="00F15286" w:rsidP="00F15286">
      <w:pPr>
        <w:spacing w:before="40" w:after="40"/>
      </w:pPr>
      <w:r w:rsidRPr="00FF756A">
        <w:t>Objektivat e Projektit Pilot:</w:t>
      </w:r>
    </w:p>
    <w:p w14:paraId="27704F5D" w14:textId="1C478636" w:rsidR="00F15286" w:rsidRPr="00FF756A" w:rsidRDefault="00F15286" w:rsidP="008639B2">
      <w:pPr>
        <w:numPr>
          <w:ilvl w:val="0"/>
          <w:numId w:val="209"/>
        </w:numPr>
        <w:spacing w:before="40" w:after="40"/>
      </w:pPr>
      <w:r w:rsidRPr="00FF756A">
        <w:t>Reduktimi i konsumit të energjisë: Ekzekut</w:t>
      </w:r>
      <w:r w:rsidR="003144DC" w:rsidRPr="00FF756A">
        <w:t>imi në</w:t>
      </w:r>
      <w:r w:rsidRPr="00FF756A">
        <w:t xml:space="preserve"> të gjitha fazat e projektimit dhe zbatimit për të reduktuar ndjeshëm konsumin e energjisë në shkolla.</w:t>
      </w:r>
    </w:p>
    <w:p w14:paraId="1AA17762" w14:textId="7EF48587" w:rsidR="00F15286" w:rsidRPr="00FF756A" w:rsidRDefault="00F15286" w:rsidP="008639B2">
      <w:pPr>
        <w:numPr>
          <w:ilvl w:val="0"/>
          <w:numId w:val="209"/>
        </w:numPr>
        <w:spacing w:before="40" w:after="40"/>
      </w:pPr>
      <w:r w:rsidRPr="00FF756A">
        <w:t xml:space="preserve">Përmirësimi i </w:t>
      </w:r>
      <w:r w:rsidR="00A2040F" w:rsidRPr="00FF756A">
        <w:t>kushteve</w:t>
      </w:r>
      <w:r w:rsidRPr="00FF756A">
        <w:t>: Përmirësimi i kushteve të rehatisë brenda shkollave në përputhje me standardet mjedisore dhe shëndetësore.</w:t>
      </w:r>
    </w:p>
    <w:p w14:paraId="3F6DA0DA" w14:textId="5DEF7A8B" w:rsidR="00F15286" w:rsidRPr="00FF756A" w:rsidRDefault="00F15286" w:rsidP="008639B2">
      <w:pPr>
        <w:numPr>
          <w:ilvl w:val="0"/>
          <w:numId w:val="209"/>
        </w:numPr>
        <w:spacing w:before="40" w:after="40"/>
      </w:pPr>
      <w:r w:rsidRPr="00FF756A">
        <w:t>Përmirësime gjithëpërfshirëse: Përveç punës së detajuar të rinovimit, zëvendës</w:t>
      </w:r>
      <w:r w:rsidR="00A2040F" w:rsidRPr="00FF756A">
        <w:t>imi i</w:t>
      </w:r>
      <w:r w:rsidRPr="00FF756A">
        <w:t xml:space="preserve"> ndriçimi</w:t>
      </w:r>
      <w:r w:rsidR="00A2040F" w:rsidRPr="00FF756A">
        <w:t>t</w:t>
      </w:r>
      <w:r w:rsidRPr="00FF756A">
        <w:t xml:space="preserve"> ekzistues me LED, instal</w:t>
      </w:r>
      <w:r w:rsidR="00A2040F" w:rsidRPr="00FF756A">
        <w:t>imi me</w:t>
      </w:r>
      <w:r w:rsidRPr="00FF756A">
        <w:t xml:space="preserve"> kaldaja për ngrohje qendrore dhe vendos</w:t>
      </w:r>
      <w:r w:rsidR="00A2040F" w:rsidRPr="00FF756A">
        <w:t>ja e</w:t>
      </w:r>
      <w:r w:rsidRPr="00FF756A">
        <w:t xml:space="preserve"> një panel fotovoltaik 10 kWp në një nga shkollat për të rritur efikasitetin e energjisë.</w:t>
      </w:r>
    </w:p>
    <w:p w14:paraId="6BC09226" w14:textId="77777777" w:rsidR="00F15286" w:rsidRPr="00FF756A" w:rsidRDefault="00F15286" w:rsidP="00F15286">
      <w:pPr>
        <w:spacing w:before="40" w:after="40"/>
      </w:pPr>
    </w:p>
    <w:p w14:paraId="55B3BC88" w14:textId="06218E1D" w:rsidR="00F15286" w:rsidRPr="00FF756A" w:rsidRDefault="00F15286" w:rsidP="008639B2">
      <w:pPr>
        <w:numPr>
          <w:ilvl w:val="0"/>
          <w:numId w:val="204"/>
        </w:numPr>
        <w:spacing w:before="40" w:after="40"/>
      </w:pPr>
      <w:r w:rsidRPr="00FF756A">
        <w:t>Projekti Pilot: “Instalimi i Ndriçimit Urban me Efiçencë të lartë në Dibër”</w:t>
      </w:r>
      <w:r w:rsidR="00A2040F" w:rsidRPr="00FF756A">
        <w:t>.</w:t>
      </w:r>
    </w:p>
    <w:p w14:paraId="6B5489A4" w14:textId="77777777" w:rsidR="00F15286" w:rsidRPr="00FF756A" w:rsidRDefault="00F15286" w:rsidP="00F15286">
      <w:pPr>
        <w:spacing w:before="40" w:after="40"/>
      </w:pPr>
    </w:p>
    <w:p w14:paraId="2531496C" w14:textId="4586A59C" w:rsidR="00F15286" w:rsidRPr="00FF756A" w:rsidRDefault="00F15286" w:rsidP="00F15286">
      <w:pPr>
        <w:spacing w:before="40" w:after="40"/>
      </w:pPr>
      <w:r w:rsidRPr="00FF756A">
        <w:t xml:space="preserve">Agjencia e Efiçiencës së Energjisë po zhvillon një projekt pilot për përmirësimin e sistemit të ndriçimit në 10 rrugët e Peshkopisë . Sistemi aktual është i vjetëruar, me shumë drita </w:t>
      </w:r>
      <w:r w:rsidR="00F92CF0" w:rsidRPr="00FF756A">
        <w:t>jo</w:t>
      </w:r>
      <w:r w:rsidRPr="00FF756A">
        <w:t>funksion</w:t>
      </w:r>
      <w:r w:rsidR="00F92CF0" w:rsidRPr="00FF756A">
        <w:t>ale</w:t>
      </w:r>
      <w:r w:rsidRPr="00FF756A">
        <w:t xml:space="preserve">, vjedhje të linjave elektrike dhe dëmtime nga aksidentet automobilistike. Disa drita </w:t>
      </w:r>
      <w:r w:rsidR="00F92CF0" w:rsidRPr="00FF756A">
        <w:t>që</w:t>
      </w:r>
      <w:r w:rsidR="001C1184" w:rsidRPr="00FF756A">
        <w:t xml:space="preserve"> punojnë </w:t>
      </w:r>
      <w:r w:rsidRPr="00FF756A">
        <w:t xml:space="preserve">janë llambat me natrium me presion të lartë (HPS), të cilat konsumojnë shumë energji dhe përmbajnë merkur të dëmshëm për mjedisin. Disa segmente lidhen direkt me rrjetin e OSHEE, duke shkaktuar konsum të vazhdueshëm </w:t>
      </w:r>
      <w:r w:rsidRPr="00FF756A">
        <w:lastRenderedPageBreak/>
        <w:t>energjie dhe humbje të konsiderueshme. Instalimet kryesore: 307 drita LED, 8 pemë fotovoltaike, karikues 50 kW</w:t>
      </w:r>
      <w:r w:rsidR="001C1184" w:rsidRPr="00FF756A">
        <w:t>.</w:t>
      </w:r>
    </w:p>
    <w:p w14:paraId="1371746D" w14:textId="77777777" w:rsidR="001C1184" w:rsidRPr="00FF756A" w:rsidRDefault="001C1184" w:rsidP="00F15286">
      <w:pPr>
        <w:spacing w:before="40" w:after="40"/>
      </w:pPr>
    </w:p>
    <w:p w14:paraId="4EF9DE0F" w14:textId="776674B2" w:rsidR="00F15286" w:rsidRPr="00FF756A" w:rsidRDefault="00F15286" w:rsidP="00F15286">
      <w:pPr>
        <w:spacing w:before="40" w:after="40"/>
      </w:pPr>
      <w:r w:rsidRPr="00FF756A">
        <w:t>Objektivat kryesore:</w:t>
      </w:r>
    </w:p>
    <w:p w14:paraId="62C8D1DE" w14:textId="77777777" w:rsidR="00F15286" w:rsidRPr="00FF756A" w:rsidRDefault="00F15286" w:rsidP="004A3257">
      <w:pPr>
        <w:numPr>
          <w:ilvl w:val="0"/>
          <w:numId w:val="210"/>
        </w:numPr>
        <w:spacing w:before="40" w:after="40" w:line="240" w:lineRule="auto"/>
      </w:pPr>
      <w:r w:rsidRPr="00FF756A">
        <w:t>Efikasiteti i Energjisë: Ulni ndjeshëm konsumin e energjisë duke zëvendësuar llambat e vjetra HPS me drita LED me efikasitet të lartë.</w:t>
      </w:r>
    </w:p>
    <w:p w14:paraId="4D282B7B" w14:textId="77777777" w:rsidR="00F15286" w:rsidRPr="00FF756A" w:rsidRDefault="00F15286" w:rsidP="004A3257">
      <w:pPr>
        <w:numPr>
          <w:ilvl w:val="0"/>
          <w:numId w:val="210"/>
        </w:numPr>
        <w:spacing w:before="40" w:after="40" w:line="240" w:lineRule="auto"/>
      </w:pPr>
      <w:r w:rsidRPr="00FF756A">
        <w:t>Infrastruktura për automjetet elektrike: Sigurimi i stacioneve të karikimit dhe pemëve fotovoltaike për të promovuar elektrifikimin e transportit rrugor, duke reduktuar emetimet e CO2.</w:t>
      </w:r>
    </w:p>
    <w:p w14:paraId="1918F4DD" w14:textId="77777777" w:rsidR="00F15286" w:rsidRPr="00FF756A" w:rsidRDefault="00F15286" w:rsidP="004A3257">
      <w:pPr>
        <w:numPr>
          <w:ilvl w:val="0"/>
          <w:numId w:val="210"/>
        </w:numPr>
        <w:spacing w:before="40" w:after="40" w:line="240" w:lineRule="auto"/>
      </w:pPr>
      <w:r w:rsidRPr="00FF756A">
        <w:t>Ndikimi në mjedis: Arritja e objektivave të përcaktuara në Planin Kombëtar të Energjisë dhe Klimës duke ulur emetimet dhe duke rritur efiçencën e energjisë.</w:t>
      </w:r>
    </w:p>
    <w:p w14:paraId="6D767A54" w14:textId="77777777" w:rsidR="00F15286" w:rsidRPr="00FF756A" w:rsidRDefault="00F15286" w:rsidP="00F15286">
      <w:pPr>
        <w:spacing w:before="40" w:after="40"/>
      </w:pPr>
    </w:p>
    <w:p w14:paraId="753FE39F" w14:textId="7F242D52" w:rsidR="00F15286" w:rsidRPr="00FF756A" w:rsidRDefault="00F15286" w:rsidP="008639B2">
      <w:pPr>
        <w:numPr>
          <w:ilvl w:val="0"/>
          <w:numId w:val="204"/>
        </w:numPr>
        <w:spacing w:before="40" w:after="40"/>
      </w:pPr>
      <w:r w:rsidRPr="00FF756A">
        <w:t>Projekti Pilot: "Auditimi, Zbatimi dhe Rindërtimi i Efiçiencës së Energjisë në Spitalin Bashkiak Mat"</w:t>
      </w:r>
      <w:r w:rsidR="001C1184" w:rsidRPr="00FF756A">
        <w:t>.</w:t>
      </w:r>
    </w:p>
    <w:p w14:paraId="2F0C3563" w14:textId="77777777" w:rsidR="00F15286" w:rsidRPr="00FF756A" w:rsidRDefault="00F15286" w:rsidP="00F15286">
      <w:pPr>
        <w:spacing w:before="40" w:after="40"/>
      </w:pPr>
    </w:p>
    <w:p w14:paraId="0268DCBA" w14:textId="7AC7C0BC" w:rsidR="00F15286" w:rsidRPr="00FF756A" w:rsidRDefault="00F15286" w:rsidP="00F15286">
      <w:pPr>
        <w:spacing w:before="40" w:after="40"/>
      </w:pPr>
      <w:r w:rsidRPr="00FF756A">
        <w:t xml:space="preserve">Agjencia e Efiçiencës së Energjisë po zhvillon një projekt pilot për auditimin dhe rinovimin e spitalit në bashkinë Mat, </w:t>
      </w:r>
      <w:r w:rsidR="00DA6E83" w:rsidRPr="00FF756A">
        <w:t xml:space="preserve">qarku </w:t>
      </w:r>
      <w:r w:rsidRPr="00FF756A">
        <w:t xml:space="preserve">i Dibrës. Institucionet shëndetësore janë konsumatorë të rëndësishëm të energjisë midis ndërtesave publike, duke i bërë ato prioritete për ndërhyrjet e efiçiencës së energjisë nga AEE. </w:t>
      </w:r>
      <w:r w:rsidRPr="00FF756A">
        <w:rPr>
          <w:b/>
          <w:bCs/>
        </w:rPr>
        <w:t>Sfidat aktuale</w:t>
      </w:r>
      <w:r w:rsidRPr="00FF756A">
        <w:t xml:space="preserve">: Spitali shfaq </w:t>
      </w:r>
      <w:r w:rsidR="007F2E5C" w:rsidRPr="00FF756A">
        <w:t>përkeqësim</w:t>
      </w:r>
      <w:r w:rsidRPr="00FF756A">
        <w:t xml:space="preserve"> të dukshëm, me çarje dhe dëmtime të fasadave nga lagështia dhe mungesa e mirëmbajtjes, dritare të vjetra me një xham dhe ndriçim me konsum të lartë energjie. Mungesa e një mbështjelljeje me efikasitet energjie (sistemi i kap</w:t>
      </w:r>
      <w:r w:rsidR="007F2E5C" w:rsidRPr="00FF756A">
        <w:t>otës</w:t>
      </w:r>
      <w:r w:rsidRPr="00FF756A">
        <w:t>) përkeqëson humbjen e energjisë, veçanërisht në klimën e ftohtë të zonës, duke e bërë të vështirë ruajtjen e temperaturave të rehatshme të brendshme.</w:t>
      </w:r>
    </w:p>
    <w:p w14:paraId="71FCD9EB" w14:textId="312EEEA9" w:rsidR="00F15286" w:rsidRPr="00FF756A" w:rsidRDefault="00F15286" w:rsidP="00F15286">
      <w:pPr>
        <w:spacing w:before="40" w:after="40"/>
      </w:pPr>
      <w:r w:rsidRPr="00FF756A">
        <w:t>Objektivat e Projektit Pilot:</w:t>
      </w:r>
    </w:p>
    <w:p w14:paraId="0C410047" w14:textId="77777777" w:rsidR="00F15286" w:rsidRPr="00FF756A" w:rsidRDefault="00F15286" w:rsidP="004A3257">
      <w:pPr>
        <w:numPr>
          <w:ilvl w:val="0"/>
          <w:numId w:val="211"/>
        </w:numPr>
        <w:spacing w:before="40" w:after="40" w:line="240" w:lineRule="auto"/>
      </w:pPr>
      <w:r w:rsidRPr="00FF756A">
        <w:t>Reduktimi i konsumit të energjisë:</w:t>
      </w:r>
    </w:p>
    <w:p w14:paraId="34B46E59" w14:textId="77777777" w:rsidR="00F15286" w:rsidRPr="00FF756A" w:rsidRDefault="00F15286" w:rsidP="004A3257">
      <w:pPr>
        <w:numPr>
          <w:ilvl w:val="0"/>
          <w:numId w:val="211"/>
        </w:numPr>
        <w:spacing w:before="40" w:after="40" w:line="240" w:lineRule="auto"/>
      </w:pPr>
      <w:r w:rsidRPr="00FF756A">
        <w:t>Përmirësimi i rehatisë:</w:t>
      </w:r>
    </w:p>
    <w:p w14:paraId="08FA1BE9" w14:textId="77777777" w:rsidR="00F15286" w:rsidRPr="00FF756A" w:rsidRDefault="00F15286" w:rsidP="004A3257">
      <w:pPr>
        <w:numPr>
          <w:ilvl w:val="0"/>
          <w:numId w:val="211"/>
        </w:numPr>
        <w:spacing w:before="40" w:after="40" w:line="240" w:lineRule="auto"/>
      </w:pPr>
      <w:r w:rsidRPr="00FF756A">
        <w:t>Përmirësime gjithëpërfshirëse: Përveç punës së detajuar të rinovimit, zëvendësoni ndriçimin ekzistues me LED, instaloni kaldaja për ngrohje qendrore dhe shtoni panele fotovoltaike për prodhimin e energjisë personale. Projekti do të përfshijë edhe ndërhyrje në sallën e operacionit.</w:t>
      </w:r>
    </w:p>
    <w:p w14:paraId="7E0D695F" w14:textId="77777777" w:rsidR="00F15286" w:rsidRPr="00FF756A" w:rsidRDefault="00F15286" w:rsidP="004A3257">
      <w:pPr>
        <w:spacing w:before="40" w:after="40" w:line="240" w:lineRule="auto"/>
      </w:pPr>
    </w:p>
    <w:p w14:paraId="63905666" w14:textId="2B2F5335" w:rsidR="00F15286" w:rsidRPr="00FF756A" w:rsidRDefault="00F15286" w:rsidP="008639B2">
      <w:pPr>
        <w:numPr>
          <w:ilvl w:val="0"/>
          <w:numId w:val="204"/>
        </w:numPr>
        <w:spacing w:before="40" w:after="40"/>
      </w:pPr>
      <w:r w:rsidRPr="00FF756A">
        <w:t>Projekti pilot: "Auditimi, zbatimi dhe instalimi i stacioneve të karikimit për makinat elektrike në qytete dhe pika të ndryshme kufitare"</w:t>
      </w:r>
      <w:r w:rsidR="007C0AEC" w:rsidRPr="00FF756A">
        <w:t>.</w:t>
      </w:r>
    </w:p>
    <w:p w14:paraId="334F6EAE" w14:textId="77777777" w:rsidR="00F15286" w:rsidRPr="00FF756A" w:rsidRDefault="00F15286" w:rsidP="00F15286">
      <w:pPr>
        <w:spacing w:before="40" w:after="40"/>
      </w:pPr>
    </w:p>
    <w:p w14:paraId="0955EB12" w14:textId="77777777" w:rsidR="00F15286" w:rsidRPr="00FF756A" w:rsidRDefault="00F15286" w:rsidP="00F15286">
      <w:pPr>
        <w:spacing w:before="40" w:after="40"/>
      </w:pPr>
      <w:r w:rsidRPr="00FF756A">
        <w:t>Objektivi i këtij projekti pilot është instalimi i karikuesve të automjeteve elektrike (EV Chargers) në disa qytete të mëdha dhe pika kufitare në vend. Karikuesit EV do të përfshijnë karikues DC 50 kW në qytete si Sarandë, Vlorë , Korçë , Durrës dhe Elbasan dhe karikues 150 kW DC në pikat kufitare të Hanit të Hotit , Kakavijës , Durrësit dhe Vlorës .</w:t>
      </w:r>
    </w:p>
    <w:p w14:paraId="5205AD62" w14:textId="22332D1F" w:rsidR="00F15286" w:rsidRPr="00FF756A" w:rsidRDefault="00F15286" w:rsidP="00F15286">
      <w:pPr>
        <w:spacing w:before="40" w:after="40"/>
      </w:pPr>
      <w:r w:rsidRPr="00FF756A">
        <w:t>Komponentët kryesorë të projektit:</w:t>
      </w:r>
    </w:p>
    <w:p w14:paraId="3ED9588D" w14:textId="2056BDBA" w:rsidR="00F15286" w:rsidRPr="00FF756A" w:rsidRDefault="00F15286" w:rsidP="008639B2">
      <w:pPr>
        <w:numPr>
          <w:ilvl w:val="0"/>
          <w:numId w:val="212"/>
        </w:numPr>
        <w:spacing w:before="40" w:after="40"/>
      </w:pPr>
      <w:r w:rsidRPr="00FF756A">
        <w:t>Instalimi i karikuesve EV: Vendos</w:t>
      </w:r>
      <w:r w:rsidR="00BA5413" w:rsidRPr="00FF756A">
        <w:t>ja e</w:t>
      </w:r>
      <w:r w:rsidRPr="00FF756A">
        <w:t xml:space="preserve"> karikues</w:t>
      </w:r>
      <w:r w:rsidR="00BA5413" w:rsidRPr="00FF756A">
        <w:t>ve</w:t>
      </w:r>
      <w:r w:rsidRPr="00FF756A">
        <w:t xml:space="preserve"> 50 kW DC në qytetet kryesore dhe karikues 150 kW DC në pikat kryesore kufitare.</w:t>
      </w:r>
    </w:p>
    <w:p w14:paraId="3326EBCB" w14:textId="3AB95CA4" w:rsidR="00F15286" w:rsidRPr="00FF756A" w:rsidRDefault="00F15286" w:rsidP="008639B2">
      <w:pPr>
        <w:numPr>
          <w:ilvl w:val="0"/>
          <w:numId w:val="212"/>
        </w:numPr>
        <w:spacing w:before="40" w:after="40"/>
      </w:pPr>
      <w:r w:rsidRPr="00FF756A">
        <w:t>Sistemi Qendror i Menaxhimit: Zhvill</w:t>
      </w:r>
      <w:r w:rsidR="00BA5413" w:rsidRPr="00FF756A">
        <w:t xml:space="preserve">imi i </w:t>
      </w:r>
      <w:r w:rsidRPr="00FF756A">
        <w:t xml:space="preserve"> një sistem</w:t>
      </w:r>
      <w:r w:rsidR="00BA5413" w:rsidRPr="00FF756A">
        <w:t>i</w:t>
      </w:r>
      <w:r w:rsidRPr="00FF756A">
        <w:t xml:space="preserve"> të centralizuar për monitorimin, kontrollin në distancë dhe menaxhimin e Karikuesve EV. Ky sistem do të mundësojë mbikëqyrje të vazhdueshme, përcaktimin dhe kufizimin e përdorimit për çdo automjet dhe regjistrimin e të ardhurave të krijuara nga shërbimi i tarifimit.</w:t>
      </w:r>
    </w:p>
    <w:p w14:paraId="7730AB07" w14:textId="77777777" w:rsidR="00F15286" w:rsidRPr="00FF756A" w:rsidRDefault="00F15286" w:rsidP="00F15286">
      <w:pPr>
        <w:spacing w:before="40" w:after="40"/>
      </w:pPr>
    </w:p>
    <w:p w14:paraId="211E150B" w14:textId="03851E03" w:rsidR="00F15286" w:rsidRPr="00FF756A" w:rsidRDefault="00F15286" w:rsidP="008639B2">
      <w:pPr>
        <w:numPr>
          <w:ilvl w:val="0"/>
          <w:numId w:val="212"/>
        </w:numPr>
        <w:spacing w:before="40" w:after="40"/>
      </w:pPr>
      <w:r w:rsidRPr="00FF756A">
        <w:lastRenderedPageBreak/>
        <w:t>Ndikimi në mjedis: Redukt</w:t>
      </w:r>
      <w:r w:rsidR="00BA5413" w:rsidRPr="00FF756A">
        <w:t xml:space="preserve">imi </w:t>
      </w:r>
      <w:r w:rsidRPr="00FF756A">
        <w:t>i emetime</w:t>
      </w:r>
      <w:r w:rsidR="00BA5413" w:rsidRPr="00FF756A">
        <w:t>ve</w:t>
      </w:r>
      <w:r w:rsidRPr="00FF756A">
        <w:t xml:space="preserve"> </w:t>
      </w:r>
      <w:r w:rsidR="00BA5413" w:rsidRPr="00FF756A">
        <w:t>të</w:t>
      </w:r>
      <w:r w:rsidRPr="00FF756A">
        <w:t xml:space="preserve"> CO2 dhe ndikime</w:t>
      </w:r>
      <w:r w:rsidR="00940CBE" w:rsidRPr="00FF756A">
        <w:t>ve</w:t>
      </w:r>
      <w:r w:rsidRPr="00FF756A">
        <w:t xml:space="preserve"> mjedisore duke promovuar përdorimin e automjeteve elektrike. Meqenëse prodhimi i energjisë në vend vjen nga burime të rinovueshme, zgjerimi i këtij sektori është thelbësor për reduktimin e emetimeve të përgjithshme të CO2.</w:t>
      </w:r>
    </w:p>
    <w:p w14:paraId="1A1A173F" w14:textId="77777777" w:rsidR="00F15286" w:rsidRPr="00FF756A" w:rsidRDefault="00F15286" w:rsidP="008639B2">
      <w:pPr>
        <w:numPr>
          <w:ilvl w:val="0"/>
          <w:numId w:val="212"/>
        </w:numPr>
        <w:spacing w:before="40" w:after="40"/>
      </w:pPr>
      <w:r w:rsidRPr="00FF756A">
        <w:t>Kjo nismë synon të mbështesë përdorimin e automjeteve elektrike duke ofruar infrastrukturën e nevojshme, duke kontribuar në një mjedis më të pastër dhe duke promovuar transport të qëndrueshëm.</w:t>
      </w:r>
    </w:p>
    <w:p w14:paraId="75FA93F7" w14:textId="77777777" w:rsidR="00F15286" w:rsidRPr="00FF756A" w:rsidRDefault="00F15286" w:rsidP="00F15286">
      <w:pPr>
        <w:spacing w:before="40" w:after="40"/>
      </w:pPr>
    </w:p>
    <w:p w14:paraId="290B60E5" w14:textId="127826EE" w:rsidR="00F15286" w:rsidRPr="00FF756A" w:rsidRDefault="00F15286" w:rsidP="008639B2">
      <w:pPr>
        <w:numPr>
          <w:ilvl w:val="0"/>
          <w:numId w:val="204"/>
        </w:numPr>
        <w:spacing w:before="40" w:after="40"/>
      </w:pPr>
      <w:r w:rsidRPr="00FF756A">
        <w:t>Ndërtimi i bazës së plotë të të dhënave për konsumin e energjisë në të gjithë sektorët + monitorim 3 vjeçar)</w:t>
      </w:r>
      <w:r w:rsidR="00940CBE" w:rsidRPr="00FF756A">
        <w:t>.</w:t>
      </w:r>
    </w:p>
    <w:p w14:paraId="3490F5E7" w14:textId="77777777" w:rsidR="00F15286" w:rsidRPr="00FF756A" w:rsidRDefault="00F15286" w:rsidP="00F15286">
      <w:pPr>
        <w:spacing w:before="40" w:after="40"/>
      </w:pPr>
    </w:p>
    <w:p w14:paraId="3836680C" w14:textId="4F32289B" w:rsidR="00F15286" w:rsidRPr="00FF756A" w:rsidRDefault="00F15286" w:rsidP="00F15286">
      <w:pPr>
        <w:spacing w:before="40" w:after="40"/>
      </w:pPr>
      <w:r w:rsidRPr="00FF756A">
        <w:t xml:space="preserve">Ky projekt synon të krijojë një sistem funksional për hartimin dhe ruajtjen e balancës kombëtare dhe sistemit të statistikave në Shqipëri. Kjo do të mundësojë përgatitjen e bilancit energjetik plotësisht në përputhje me standardet e Eurostat-it, si dhe parashikimet e nevojave për energji dhe bilancet energjetike </w:t>
      </w:r>
      <w:r w:rsidR="00940CBE" w:rsidRPr="00FF756A">
        <w:t>bashkiake</w:t>
      </w:r>
      <w:r w:rsidRPr="00FF756A">
        <w:t xml:space="preserve">. Këto masa jo vetëm që do të jenë në përputhje me normat e EUROSTAT-it, por gjithashtu do të ndihmojnë në planifikimin në nivel kombëtar dhe </w:t>
      </w:r>
      <w:r w:rsidR="007804A4" w:rsidRPr="00FF756A">
        <w:t>bashkiak</w:t>
      </w:r>
      <w:r w:rsidRPr="00FF756A">
        <w:t xml:space="preserve"> për zhvillimin e energjisë dhe klimës.</w:t>
      </w:r>
    </w:p>
    <w:p w14:paraId="1A4278FE" w14:textId="77777777" w:rsidR="00F15286" w:rsidRPr="00FF756A" w:rsidRDefault="00F15286" w:rsidP="00F15286">
      <w:pPr>
        <w:spacing w:before="40" w:after="40"/>
      </w:pPr>
    </w:p>
    <w:p w14:paraId="03285995" w14:textId="77777777" w:rsidR="00F15286" w:rsidRPr="00FF756A" w:rsidRDefault="00F15286" w:rsidP="008639B2">
      <w:pPr>
        <w:numPr>
          <w:ilvl w:val="0"/>
          <w:numId w:val="204"/>
        </w:numPr>
        <w:spacing w:before="40" w:after="40"/>
      </w:pPr>
      <w:r w:rsidRPr="00FF756A">
        <w:t>Projekt studimi, auditimi dhe zbatimi për klinikat në QSUT "Nënë Tereza".</w:t>
      </w:r>
    </w:p>
    <w:p w14:paraId="3E014A2C" w14:textId="77777777" w:rsidR="00F15286" w:rsidRPr="00FF756A" w:rsidRDefault="00F15286" w:rsidP="00F15286">
      <w:pPr>
        <w:spacing w:before="40" w:after="40"/>
      </w:pPr>
    </w:p>
    <w:p w14:paraId="528757CC" w14:textId="613A2206" w:rsidR="00F15286" w:rsidRPr="00FF756A" w:rsidRDefault="00F15286" w:rsidP="00F15286">
      <w:pPr>
        <w:spacing w:before="40" w:after="40"/>
      </w:pPr>
      <w:r w:rsidRPr="00FF756A">
        <w:t>Këto institucione shëndetësore janë të amortizuara rëndë dhe kryerja e ndërhyrjeve me elementë të performancës energjetike me ndikim të lartë është prioritet. Shumica e klinikave shfaqin çarje të dukshme dhe dëmtime të fasadave për shkak të lagështirës dhe neglizhencës prej vitesh, duke përfshirë dritaret e vjetra me një xham dhe ndriçimin me konsum të lartë të energjisë. Mungesa e mbështjelljes me performancë të lartë (sistemi i ka</w:t>
      </w:r>
      <w:r w:rsidR="00346CF4" w:rsidRPr="00FF756A">
        <w:t>potës</w:t>
      </w:r>
      <w:r w:rsidRPr="00FF756A">
        <w:t>) përkeqëson humbjen e energjisë, duke e bërë të vështirë ruajtjen e temperaturave të brendshme, veçanërisht në zonat me klimë të ftohtë.</w:t>
      </w:r>
    </w:p>
    <w:p w14:paraId="2D400779" w14:textId="77777777" w:rsidR="00F15286" w:rsidRPr="00FF756A" w:rsidRDefault="00F15286" w:rsidP="00F15286">
      <w:pPr>
        <w:spacing w:before="40" w:after="40"/>
      </w:pPr>
    </w:p>
    <w:p w14:paraId="14754DE8" w14:textId="7CCA9218" w:rsidR="00F15286" w:rsidRPr="00FF756A" w:rsidRDefault="00F15286" w:rsidP="00450436">
      <w:pPr>
        <w:spacing w:before="40" w:after="40"/>
      </w:pPr>
      <w:r w:rsidRPr="00FF756A">
        <w:t>Objektivat e Projektit Pilot:</w:t>
      </w:r>
    </w:p>
    <w:p w14:paraId="733A67C3" w14:textId="65CCB644" w:rsidR="00F15286" w:rsidRPr="00FF756A" w:rsidRDefault="00F15286" w:rsidP="004A3257">
      <w:pPr>
        <w:numPr>
          <w:ilvl w:val="0"/>
          <w:numId w:val="213"/>
        </w:numPr>
        <w:spacing w:before="40" w:after="40" w:line="240" w:lineRule="auto"/>
      </w:pPr>
      <w:r w:rsidRPr="00FF756A">
        <w:t>Reduktimi i konsumit të energjisë: Përfund</w:t>
      </w:r>
      <w:r w:rsidR="00450436" w:rsidRPr="00FF756A">
        <w:t xml:space="preserve">imi </w:t>
      </w:r>
      <w:r w:rsidRPr="00FF756A">
        <w:t>i të gjitha faza</w:t>
      </w:r>
      <w:r w:rsidR="00450436" w:rsidRPr="00FF756A">
        <w:t>ve</w:t>
      </w:r>
      <w:r w:rsidRPr="00FF756A">
        <w:t xml:space="preserve"> </w:t>
      </w:r>
      <w:r w:rsidR="00450436" w:rsidRPr="00FF756A">
        <w:t>të</w:t>
      </w:r>
      <w:r w:rsidRPr="00FF756A">
        <w:t xml:space="preserve"> projektimit dhe zbatimit për të reduktuar ndjeshëm konsumin e energjisë.</w:t>
      </w:r>
    </w:p>
    <w:p w14:paraId="22ABA3AB" w14:textId="3DB54D60" w:rsidR="00F15286" w:rsidRPr="00FF756A" w:rsidRDefault="00F15286" w:rsidP="004A3257">
      <w:pPr>
        <w:numPr>
          <w:ilvl w:val="0"/>
          <w:numId w:val="213"/>
        </w:numPr>
        <w:spacing w:before="40" w:after="40" w:line="240" w:lineRule="auto"/>
      </w:pPr>
      <w:r w:rsidRPr="00FF756A">
        <w:t>Përmirësimet e ndriçimit: Përmirës</w:t>
      </w:r>
      <w:r w:rsidR="00450436" w:rsidRPr="00FF756A">
        <w:t xml:space="preserve">imi </w:t>
      </w:r>
      <w:r w:rsidRPr="00FF756A">
        <w:t>i ndriçimi</w:t>
      </w:r>
      <w:r w:rsidR="00450436" w:rsidRPr="00FF756A">
        <w:t>t</w:t>
      </w:r>
      <w:r w:rsidRPr="00FF756A">
        <w:t xml:space="preserve"> ekzistues me llamba efikase.</w:t>
      </w:r>
    </w:p>
    <w:p w14:paraId="2DB2AC77" w14:textId="402473C6" w:rsidR="00F15286" w:rsidRPr="00FF756A" w:rsidRDefault="00F15286" w:rsidP="004A3257">
      <w:pPr>
        <w:numPr>
          <w:ilvl w:val="0"/>
          <w:numId w:val="213"/>
        </w:numPr>
        <w:spacing w:before="40" w:after="40" w:line="240" w:lineRule="auto"/>
      </w:pPr>
      <w:r w:rsidRPr="00FF756A">
        <w:t xml:space="preserve">Energjia e Rinovueshme: </w:t>
      </w:r>
      <w:r w:rsidR="00450436" w:rsidRPr="00FF756A">
        <w:t>I</w:t>
      </w:r>
      <w:r w:rsidRPr="00FF756A">
        <w:t>nstalimi</w:t>
      </w:r>
      <w:r w:rsidR="00450436" w:rsidRPr="00FF756A">
        <w:t xml:space="preserve"> i</w:t>
      </w:r>
      <w:r w:rsidRPr="00FF756A">
        <w:t xml:space="preserve"> paneleve fotovoltaike për të mbuluar nevojat e energjisë për përdorim personal.</w:t>
      </w:r>
    </w:p>
    <w:p w14:paraId="3A8F26CD" w14:textId="77777777" w:rsidR="00F15286" w:rsidRPr="00FF756A" w:rsidRDefault="00F15286" w:rsidP="004A3257">
      <w:pPr>
        <w:numPr>
          <w:ilvl w:val="0"/>
          <w:numId w:val="213"/>
        </w:numPr>
        <w:spacing w:before="40" w:after="40" w:line="240" w:lineRule="auto"/>
      </w:pPr>
      <w:r w:rsidRPr="00FF756A">
        <w:t>Në përgjithësi, ky projekt do të përfshijë ndërhyrje të organizuara rindërtimi për të përmirësuar efiçencën e energjisë, me synim uljen e konsumit të energjisë në fazën e dytë të zbatimit.</w:t>
      </w:r>
    </w:p>
    <w:p w14:paraId="2206C3D9" w14:textId="77777777" w:rsidR="00450436" w:rsidRPr="00FF756A" w:rsidRDefault="00450436" w:rsidP="00F15286">
      <w:pPr>
        <w:spacing w:before="40" w:after="40"/>
      </w:pPr>
    </w:p>
    <w:p w14:paraId="70774764" w14:textId="77777777" w:rsidR="00F15286" w:rsidRPr="00FF756A" w:rsidRDefault="00F15286" w:rsidP="008639B2">
      <w:pPr>
        <w:numPr>
          <w:ilvl w:val="0"/>
          <w:numId w:val="204"/>
        </w:numPr>
        <w:spacing w:before="40" w:after="40"/>
      </w:pPr>
      <w:r w:rsidRPr="00FF756A">
        <w:t>Hartimi i Masterplanit për Ndriçimin Publik në disa qytete bazuar në tipologjinë e rrugëve</w:t>
      </w:r>
    </w:p>
    <w:p w14:paraId="2AFAC270" w14:textId="77777777" w:rsidR="00F15286" w:rsidRPr="00FF756A" w:rsidRDefault="00F15286" w:rsidP="00F15286">
      <w:pPr>
        <w:spacing w:before="40" w:after="40"/>
      </w:pPr>
    </w:p>
    <w:p w14:paraId="710206F2" w14:textId="1099A65B" w:rsidR="00F15286" w:rsidRPr="00FF756A" w:rsidRDefault="00F15286" w:rsidP="00F15286">
      <w:pPr>
        <w:spacing w:before="40" w:after="40"/>
      </w:pPr>
      <w:r w:rsidRPr="00FF756A">
        <w:t>Qëllimi i këtij studimi është hartimi i një dokumenti themelor për klasifikimin e rrugëve në zonat urbane sipas klasifikimit ndërkombëtar CIE 115: 2010. Ky shërben si një auditim paraprak për të vlerësuar gjendjen aktuale të çdo segmenti rrugor në qytetet e përzgjedhura. Ky studim përfaqëson fazën e parë në përcaktimin e kritereve të ardhshme të projektimit për ndriçimin rrugor dhe urban në qytetet Elbasan, Korçë , Shkodër , Pogradec dhe Kavajë</w:t>
      </w:r>
      <w:r w:rsidR="00450436" w:rsidRPr="00FF756A">
        <w:t>.</w:t>
      </w:r>
    </w:p>
    <w:p w14:paraId="75D15DF5" w14:textId="77777777" w:rsidR="00F15286" w:rsidRPr="00FF756A" w:rsidRDefault="00F15286" w:rsidP="00F15286">
      <w:pPr>
        <w:spacing w:before="40" w:after="40"/>
      </w:pPr>
    </w:p>
    <w:p w14:paraId="7C0E7D81" w14:textId="77777777" w:rsidR="00F15286" w:rsidRPr="00FF756A" w:rsidRDefault="00F15286" w:rsidP="008639B2">
      <w:pPr>
        <w:numPr>
          <w:ilvl w:val="0"/>
          <w:numId w:val="214"/>
        </w:numPr>
        <w:spacing w:before="40" w:after="40"/>
      </w:pPr>
      <w:r w:rsidRPr="00FF756A">
        <w:t>Objektivat e studimit:</w:t>
      </w:r>
    </w:p>
    <w:p w14:paraId="52F1C7A8" w14:textId="77777777" w:rsidR="00F15286" w:rsidRPr="00FF756A" w:rsidRDefault="00F15286" w:rsidP="004A3257">
      <w:pPr>
        <w:numPr>
          <w:ilvl w:val="0"/>
          <w:numId w:val="214"/>
        </w:numPr>
        <w:spacing w:before="40" w:after="40" w:line="240" w:lineRule="auto"/>
      </w:pPr>
      <w:r w:rsidRPr="00FF756A">
        <w:t>Përmirësimi i efikasitetit të energjisë: Rritja e efikasitetit të përdorimit të energjisë elektrike në instalimet e reja dhe ekzistuese.</w:t>
      </w:r>
    </w:p>
    <w:p w14:paraId="2085535F" w14:textId="30E9B373" w:rsidR="00F15286" w:rsidRPr="00FF756A" w:rsidRDefault="00F15286" w:rsidP="004A3257">
      <w:pPr>
        <w:numPr>
          <w:ilvl w:val="0"/>
          <w:numId w:val="214"/>
        </w:numPr>
        <w:spacing w:before="40" w:after="40" w:line="240" w:lineRule="auto"/>
      </w:pPr>
      <w:r w:rsidRPr="00FF756A">
        <w:lastRenderedPageBreak/>
        <w:t xml:space="preserve">Mbrojtja e mjedisit: </w:t>
      </w:r>
      <w:r w:rsidR="004B0A34" w:rsidRPr="00FF756A">
        <w:t xml:space="preserve">Ulja e </w:t>
      </w:r>
      <w:r w:rsidRPr="00FF756A">
        <w:t xml:space="preserve"> ndotje</w:t>
      </w:r>
      <w:r w:rsidR="004B0A34" w:rsidRPr="00FF756A">
        <w:t>s</w:t>
      </w:r>
      <w:r w:rsidRPr="00FF756A">
        <w:t xml:space="preserve"> e shkaktuar nga ndriçimi i tepërt në zonat publike.</w:t>
      </w:r>
    </w:p>
    <w:p w14:paraId="35DC2719" w14:textId="77777777" w:rsidR="00F15286" w:rsidRPr="00FF756A" w:rsidRDefault="00F15286" w:rsidP="004A3257">
      <w:pPr>
        <w:numPr>
          <w:ilvl w:val="0"/>
          <w:numId w:val="214"/>
        </w:numPr>
        <w:spacing w:before="40" w:after="40" w:line="240" w:lineRule="auto"/>
      </w:pPr>
      <w:r w:rsidRPr="00FF756A">
        <w:t>Rritja e cilësisë së jetës: Demonstron ndërhyrje praktike për të përmirësuar efikasitetin e energjisë dhe për të reduktuar emetimet e gazeve serrë, duke rritur kështu cilësinë e jetës për qytetarët.</w:t>
      </w:r>
    </w:p>
    <w:p w14:paraId="72D5E9C0" w14:textId="77777777" w:rsidR="004B0A34" w:rsidRPr="00FF756A" w:rsidRDefault="004B0A34" w:rsidP="00F15286">
      <w:pPr>
        <w:spacing w:before="40" w:after="40"/>
      </w:pPr>
    </w:p>
    <w:p w14:paraId="51815103" w14:textId="77777777" w:rsidR="00F15286" w:rsidRPr="00FF756A" w:rsidRDefault="00F15286" w:rsidP="004A3257">
      <w:pPr>
        <w:spacing w:before="40" w:after="40"/>
      </w:pPr>
      <w:r w:rsidRPr="00FF756A">
        <w:t>Përfitimet kryesore:</w:t>
      </w:r>
    </w:p>
    <w:p w14:paraId="690DB222" w14:textId="77777777" w:rsidR="00F15286" w:rsidRPr="00FF756A" w:rsidRDefault="00F15286" w:rsidP="004A3257">
      <w:pPr>
        <w:numPr>
          <w:ilvl w:val="0"/>
          <w:numId w:val="214"/>
        </w:numPr>
        <w:spacing w:before="40" w:after="40" w:line="240" w:lineRule="auto"/>
      </w:pPr>
      <w:r w:rsidRPr="00FF756A">
        <w:t>Komoditeti dhe siguria: Dizenjoni ndriçimin rrugor sipas këtyre standardeve për të garantuar rehati dhe siguri për përdoruesit e rrugës gjatë muzgut dhe kushteve të natës në të gjitha llojet e rrugëve.</w:t>
      </w:r>
    </w:p>
    <w:p w14:paraId="4D77BE95" w14:textId="77777777" w:rsidR="00F15286" w:rsidRPr="00FF756A" w:rsidRDefault="00F15286" w:rsidP="004A3257">
      <w:pPr>
        <w:numPr>
          <w:ilvl w:val="0"/>
          <w:numId w:val="214"/>
        </w:numPr>
        <w:spacing w:before="40" w:after="40" w:line="240" w:lineRule="auto"/>
      </w:pPr>
      <w:r w:rsidRPr="00FF756A">
        <w:t>Siguria në trafik: Siguroni të dhëna të qarta vizuale për të zbuluar veçoritë dhe pengesat e rrugës, duke ndihmuar trafikun e automjeteve dhe këmbësorëve në kalimin e sigurt.</w:t>
      </w:r>
    </w:p>
    <w:p w14:paraId="05D73A1E" w14:textId="77777777" w:rsidR="00F15286" w:rsidRPr="00FF756A" w:rsidRDefault="00F15286" w:rsidP="00F15286">
      <w:pPr>
        <w:spacing w:before="40" w:after="40"/>
      </w:pPr>
    </w:p>
    <w:p w14:paraId="2CDD382A" w14:textId="53DD77D5" w:rsidR="00F15286" w:rsidRPr="00FF756A" w:rsidRDefault="00F15286" w:rsidP="008639B2">
      <w:pPr>
        <w:numPr>
          <w:ilvl w:val="0"/>
          <w:numId w:val="204"/>
        </w:numPr>
        <w:spacing w:before="40" w:after="40"/>
      </w:pPr>
      <w:r w:rsidRPr="00FF756A">
        <w:t>Zhvillimi dhe Monitorimi i Planeve të Detajuara për Efiçiencën Kombëtare të Energjisë, Burimet e Rinovueshme të Energjisë (BRE) dhe Reduktimin e CO2 Sipas PKEK</w:t>
      </w:r>
      <w:r w:rsidR="005C11E6" w:rsidRPr="00FF756A">
        <w:t>.</w:t>
      </w:r>
    </w:p>
    <w:p w14:paraId="3DC05DA1" w14:textId="77777777" w:rsidR="00F15286" w:rsidRPr="00FF756A" w:rsidRDefault="00F15286" w:rsidP="00F15286">
      <w:pPr>
        <w:spacing w:before="40" w:after="40"/>
      </w:pPr>
    </w:p>
    <w:p w14:paraId="17D4B013" w14:textId="77777777" w:rsidR="00F15286" w:rsidRPr="00FF756A" w:rsidRDefault="00F15286" w:rsidP="00F15286">
      <w:pPr>
        <w:spacing w:before="40" w:after="40"/>
      </w:pPr>
      <w:r w:rsidRPr="00FF756A">
        <w:t>Ky projekt synon hartimin dhe monitorimin e Planit Kombëtar të Veprimit për Efiçiencën e Energjisë (PKNEA) bazuar në kriteret e përcaktuara nga Komuniteti i Energjisë. Ai përfshin realizimin e vlerësimeve të gjithanshme sasiore dhe cilësore në nivel kombëtar në Shqipëri. Projekti do të lehtësojë përgatitjen e planeve të detajuara duke përcaktuar rolet e të gjithë aktorëve përkatës, duke përfshirë Qeverinë e udhëhequr nga Kryeministri dhe Ministrinë e Infrastrukturës dhe Energjisë (MIE), Agjencinë për Efiçiencë të Energjisë (AEE), ministri të ndryshme të linjës, të gjitha bashkitë, konsumatorët kryesorë dhe palët e tjera të interesuara.</w:t>
      </w:r>
    </w:p>
    <w:p w14:paraId="5573806C" w14:textId="77777777" w:rsidR="00F15286" w:rsidRPr="00FF756A" w:rsidRDefault="00F15286" w:rsidP="00F15286">
      <w:pPr>
        <w:spacing w:before="40" w:after="40"/>
      </w:pPr>
    </w:p>
    <w:p w14:paraId="4B129FED" w14:textId="77777777" w:rsidR="00F15286" w:rsidRPr="00FF756A" w:rsidRDefault="00F15286" w:rsidP="00F15286">
      <w:pPr>
        <w:spacing w:before="40" w:after="40"/>
      </w:pPr>
      <w:r w:rsidRPr="00FF756A">
        <w:t>Objektivat e Projektit:</w:t>
      </w:r>
    </w:p>
    <w:p w14:paraId="248E2822" w14:textId="77777777" w:rsidR="00F15286" w:rsidRPr="00FF756A" w:rsidRDefault="00F15286" w:rsidP="00F15286">
      <w:pPr>
        <w:spacing w:before="40" w:after="40"/>
      </w:pPr>
    </w:p>
    <w:p w14:paraId="7CA65C71" w14:textId="71FC449A" w:rsidR="00F15286" w:rsidRPr="00FF756A" w:rsidRDefault="00F15286" w:rsidP="004A3257">
      <w:pPr>
        <w:numPr>
          <w:ilvl w:val="0"/>
          <w:numId w:val="215"/>
        </w:numPr>
        <w:spacing w:before="40" w:after="40" w:line="240" w:lineRule="auto"/>
      </w:pPr>
      <w:r w:rsidRPr="00FF756A">
        <w:t xml:space="preserve">Planifikimi Gjithëpërfshirës: </w:t>
      </w:r>
      <w:r w:rsidR="005C11E6" w:rsidRPr="00FF756A">
        <w:t xml:space="preserve">Hartimi i </w:t>
      </w:r>
      <w:r w:rsidRPr="00FF756A">
        <w:t>plane</w:t>
      </w:r>
      <w:r w:rsidR="005C11E6" w:rsidRPr="00FF756A">
        <w:t>ve</w:t>
      </w:r>
      <w:r w:rsidRPr="00FF756A">
        <w:t xml:space="preserve"> plotësisht të përcaktuara për arritjen e objektivave të efiçencës së energjisë në të gjithë sektorët ekonomikë dhe socialë.</w:t>
      </w:r>
    </w:p>
    <w:p w14:paraId="15354ED1" w14:textId="75E0BC3B" w:rsidR="00F15286" w:rsidRPr="00FF756A" w:rsidRDefault="00F15286" w:rsidP="004A3257">
      <w:pPr>
        <w:numPr>
          <w:ilvl w:val="0"/>
          <w:numId w:val="215"/>
        </w:numPr>
        <w:spacing w:before="40" w:after="40" w:line="240" w:lineRule="auto"/>
      </w:pPr>
      <w:r w:rsidRPr="00FF756A">
        <w:t>Monitorimi dhe verifikimi: Zbat</w:t>
      </w:r>
      <w:r w:rsidR="002B3206" w:rsidRPr="00FF756A">
        <w:t xml:space="preserve">imi i </w:t>
      </w:r>
      <w:r w:rsidRPr="00FF756A">
        <w:t>metoda</w:t>
      </w:r>
      <w:r w:rsidR="002B3206" w:rsidRPr="00FF756A">
        <w:t>ve</w:t>
      </w:r>
      <w:r w:rsidRPr="00FF756A">
        <w:t xml:space="preserve"> të fuqishme monitorimi, verifikimi dhe raportimi gjatë një periudhe trevjeçare.</w:t>
      </w:r>
    </w:p>
    <w:p w14:paraId="391D73D4" w14:textId="77777777" w:rsidR="00F15286" w:rsidRPr="00FF756A" w:rsidRDefault="00F15286" w:rsidP="004A3257">
      <w:pPr>
        <w:numPr>
          <w:ilvl w:val="0"/>
          <w:numId w:val="215"/>
        </w:numPr>
        <w:spacing w:before="40" w:after="40" w:line="240" w:lineRule="auto"/>
      </w:pPr>
      <w:r w:rsidRPr="00FF756A">
        <w:t>Koordinimi dhe Konsultimi: Sigurimi i koordinimit dhe konsultimit ndërmjet të gjitha palëve të përfshira për të përmbushur objektivat e efikasitetit të energjisë.</w:t>
      </w:r>
    </w:p>
    <w:p w14:paraId="39F165EE" w14:textId="77777777" w:rsidR="00F15286" w:rsidRPr="00FF756A" w:rsidRDefault="00F15286" w:rsidP="004A3257">
      <w:pPr>
        <w:numPr>
          <w:ilvl w:val="0"/>
          <w:numId w:val="215"/>
        </w:numPr>
        <w:spacing w:before="40" w:after="40" w:line="240" w:lineRule="auto"/>
      </w:pPr>
      <w:r w:rsidRPr="00FF756A">
        <w:t>Kjo iniciativë do të sjellë përparim të rëndësishëm drejt objektivave të Shqipërisë për efiçencën e energjisë, duke përmirësuar menaxhimin e energjisë si në nivel kombëtar ashtu edhe në atë bashkiak.</w:t>
      </w:r>
    </w:p>
    <w:p w14:paraId="7CE03419" w14:textId="77777777" w:rsidR="00F15286" w:rsidRPr="00FF756A" w:rsidRDefault="00F15286" w:rsidP="00F15286">
      <w:pPr>
        <w:spacing w:before="40" w:after="40"/>
      </w:pPr>
    </w:p>
    <w:p w14:paraId="4A44A13B" w14:textId="77777777" w:rsidR="00F15286" w:rsidRPr="00FF756A" w:rsidRDefault="00F15286" w:rsidP="00F15286">
      <w:pPr>
        <w:spacing w:before="40" w:after="40"/>
      </w:pPr>
      <w:r w:rsidRPr="00FF756A">
        <w:t>Ligji Nr. 124/2015 për Efiçiencën e Energjisë është ndryshuar për të futur kërkesat e Direktivës për Efiçiencën e Energjisë (përfshirë nenin 5 dhe nenin 7), nëpërmjet ligjit nr. 28/2021 “Për disa ndryshime dhe shtesa të ligjit nr. 124/2015 “Për efiçencën e energjisë”, i ndryshuar.</w:t>
      </w:r>
    </w:p>
    <w:p w14:paraId="45EA2A9A" w14:textId="77777777" w:rsidR="00F15286" w:rsidRPr="00FF756A" w:rsidRDefault="00F15286" w:rsidP="00F15286">
      <w:pPr>
        <w:spacing w:before="40" w:after="40"/>
      </w:pPr>
    </w:p>
    <w:p w14:paraId="43712B70" w14:textId="72DDE3F8" w:rsidR="00F15286" w:rsidRPr="00FF756A" w:rsidRDefault="00F15286" w:rsidP="00F15286">
      <w:pPr>
        <w:spacing w:before="40" w:after="40"/>
      </w:pPr>
      <w:r w:rsidRPr="00FF756A">
        <w:t xml:space="preserve">Sektori privat i banesave dhe ndërtesave në Shqipëri po përfiton nga një fond prej 6 milionë eurosh kredi që BERZH-i i jep Bankës Union të Shqipërisë. Gjithashtu, mekanizma të tjerë financues në Shqipëri si Fondi “Besa” po përfitojnë nga kredia e BERZH-it. Ky financim ofrohet në kuadër të </w:t>
      </w:r>
      <w:r w:rsidR="0080223B" w:rsidRPr="00FF756A">
        <w:t xml:space="preserve">financimit prej </w:t>
      </w:r>
      <w:r w:rsidRPr="00FF756A">
        <w:t xml:space="preserve">85 milionë euro </w:t>
      </w:r>
      <w:r w:rsidR="0080223B" w:rsidRPr="00FF756A">
        <w:t xml:space="preserve">të BERZH-it </w:t>
      </w:r>
      <w:r w:rsidRPr="00FF756A">
        <w:t>për Financimin e Ekonomisë së Gjelbër të Ballkanit Perëndimor (GEFF).</w:t>
      </w:r>
    </w:p>
    <w:p w14:paraId="679C4B31" w14:textId="77777777" w:rsidR="00F15286" w:rsidRPr="00FF756A" w:rsidRDefault="00F15286" w:rsidP="00F15286">
      <w:pPr>
        <w:spacing w:before="40" w:after="40"/>
      </w:pPr>
    </w:p>
    <w:p w14:paraId="71FD7907" w14:textId="77777777" w:rsidR="00F15286" w:rsidRPr="00FF756A" w:rsidRDefault="00F15286" w:rsidP="00F15286">
      <w:pPr>
        <w:spacing w:before="40" w:after="40"/>
      </w:pPr>
      <w:r w:rsidRPr="00FF756A">
        <w:t xml:space="preserve">Është e rëndësishme të theksohet se masat specifike në PKVEE mund t'i nënshtrohen përditësimeve deri në vitin 2030, vlerësimeve të plota të ndikimit rregullator, për të vlerësuar kostot neto për zbatimin e tyre, si për sektorin publik ashtu edhe për atë privat. Kjo do të thotë se masat e parashikuara në këtë </w:t>
      </w:r>
      <w:r w:rsidRPr="00FF756A">
        <w:lastRenderedPageBreak/>
        <w:t>dokument do të kenë plane konkrete zhvillimi për ndërhyrje të mëtejshme, të cilat do të japin të dhëna më konkrete për zbatimin e tyre.</w:t>
      </w:r>
    </w:p>
    <w:p w14:paraId="241906C4" w14:textId="77777777" w:rsidR="00F15286" w:rsidRPr="00FF756A" w:rsidRDefault="00F15286" w:rsidP="00F15286">
      <w:pPr>
        <w:spacing w:before="40" w:after="40"/>
      </w:pPr>
    </w:p>
    <w:p w14:paraId="6F25658B" w14:textId="457FA617" w:rsidR="00F15286" w:rsidRPr="00FF756A" w:rsidRDefault="00F15286" w:rsidP="00F15286">
      <w:pPr>
        <w:spacing w:before="40" w:after="40"/>
      </w:pPr>
      <w:r w:rsidRPr="00FF756A">
        <w:t>Strategjia Kombëtare për Energjinë (SK</w:t>
      </w:r>
      <w:r w:rsidR="00D52E39" w:rsidRPr="00FF756A">
        <w:t>E</w:t>
      </w:r>
      <w:r w:rsidRPr="00FF756A">
        <w:t>) 2018–2030 ka përcaktuar institucionet dhe kompanitë kryesore të sektorit të energjisë elektrike në Shqipëri, përgjegjëse për zbatimin e saj:</w:t>
      </w:r>
    </w:p>
    <w:p w14:paraId="08B56542" w14:textId="0670A66C" w:rsidR="00F15286" w:rsidRPr="00FF756A" w:rsidRDefault="00B65A2B" w:rsidP="004A3257">
      <w:pPr>
        <w:numPr>
          <w:ilvl w:val="0"/>
          <w:numId w:val="216"/>
        </w:numPr>
        <w:spacing w:before="40" w:after="40" w:line="240" w:lineRule="auto"/>
      </w:pPr>
      <w:r w:rsidRPr="00FF756A">
        <w:t>Q</w:t>
      </w:r>
      <w:r w:rsidR="00F15286" w:rsidRPr="00FF756A">
        <w:t>everi</w:t>
      </w:r>
      <w:r w:rsidRPr="00FF756A">
        <w:t>a dhe aktorët</w:t>
      </w:r>
      <w:r w:rsidR="00F15286" w:rsidRPr="00FF756A">
        <w:t xml:space="preserve"> rregullatorë, të cilët përfshijnë organet qeveritare - ministritë, rregullatori, agjencitë të cilave ministritë u delegojnë përgjegjësi të veçanta sektoriale;</w:t>
      </w:r>
    </w:p>
    <w:p w14:paraId="31FA4DD9" w14:textId="77777777" w:rsidR="00F15286" w:rsidRPr="00FF756A" w:rsidRDefault="00F15286" w:rsidP="004A3257">
      <w:pPr>
        <w:numPr>
          <w:ilvl w:val="0"/>
          <w:numId w:val="216"/>
        </w:numPr>
        <w:spacing w:before="40" w:after="40" w:line="240" w:lineRule="auto"/>
      </w:pPr>
      <w:r w:rsidRPr="00FF756A">
        <w:t>Kompanitë shtetërore, si KESH, OST dhe OSHEE, të cilat aktualisht janë aktorë kryesorë në sektorin e energjisë në Shqipëri dhe veçanërisht në lidhje me investimet në EE;</w:t>
      </w:r>
    </w:p>
    <w:p w14:paraId="6A895280" w14:textId="526EB990" w:rsidR="00F15286" w:rsidRPr="00FF756A" w:rsidRDefault="00B65A2B" w:rsidP="004A3257">
      <w:pPr>
        <w:numPr>
          <w:ilvl w:val="0"/>
          <w:numId w:val="216"/>
        </w:numPr>
        <w:spacing w:before="40" w:after="40" w:line="240" w:lineRule="auto"/>
      </w:pPr>
      <w:r w:rsidRPr="00FF756A">
        <w:t>Bashkitë</w:t>
      </w:r>
      <w:r w:rsidR="00F15286" w:rsidRPr="00FF756A">
        <w:t xml:space="preserve"> për detyrat e tyre specifike që kanë të bëjnë me zbatimin e masave të EE.</w:t>
      </w:r>
    </w:p>
    <w:p w14:paraId="312EDC15" w14:textId="7CD1A9BE" w:rsidR="00F15286" w:rsidRPr="00FF756A" w:rsidRDefault="00F15286" w:rsidP="004A3257">
      <w:pPr>
        <w:numPr>
          <w:ilvl w:val="0"/>
          <w:numId w:val="216"/>
        </w:numPr>
        <w:spacing w:before="40" w:after="40" w:line="240" w:lineRule="auto"/>
      </w:pPr>
      <w:r w:rsidRPr="00FF756A">
        <w:t>MIE, së bashku me ERE, AKBN (AKBN) dhe AEE janë përgjegjëse për monitorimin dhe sigurimin e zbatimit efikas të Strategjisë së Energjisë për të gjithë sektorët përkatës. Në rastin e zbatimit të EE, AEE ka për detyrë të paraqesë në MIE raportin vjetor duke përcaktuar realizimin e masave të EE në sasi dhe cilësi, nivelin e investimeve të realizuara, barrierat dhe arsyet e tyre, mënyrën e tejkalimit të tyre, pra</w:t>
      </w:r>
      <w:r w:rsidR="0035572C" w:rsidRPr="00FF756A">
        <w:t xml:space="preserve"> </w:t>
      </w:r>
      <w:r w:rsidRPr="00FF756A">
        <w:t xml:space="preserve"> që të arrihen kursimet e energjisë, reduktimi i emetimeve dhe objektivat e mbetura.</w:t>
      </w:r>
    </w:p>
    <w:p w14:paraId="6DBDD476" w14:textId="77777777" w:rsidR="00F15286" w:rsidRPr="00FF756A" w:rsidRDefault="00F15286" w:rsidP="004A3257">
      <w:pPr>
        <w:numPr>
          <w:ilvl w:val="0"/>
          <w:numId w:val="216"/>
        </w:numPr>
        <w:spacing w:before="40" w:after="40" w:line="240" w:lineRule="auto"/>
      </w:pPr>
      <w:r w:rsidRPr="00FF756A">
        <w:t>AEE është institucioni përgjegjës për Monitorimin dhe Verifikimin e kursimeve të energjisë.</w:t>
      </w:r>
    </w:p>
    <w:bookmarkEnd w:id="53"/>
    <w:p w14:paraId="64B1C904" w14:textId="77777777" w:rsidR="00DA2EDE" w:rsidRPr="00FF756A" w:rsidRDefault="00DA2EDE" w:rsidP="002715F0">
      <w:pPr>
        <w:spacing w:before="40" w:after="40"/>
        <w:rPr>
          <w:spacing w:val="-1"/>
        </w:rPr>
      </w:pPr>
    </w:p>
    <w:p w14:paraId="13799165" w14:textId="77777777" w:rsidR="00DA2EDE" w:rsidRPr="00FF756A" w:rsidRDefault="00DA2EDE" w:rsidP="008639B2">
      <w:pPr>
        <w:pStyle w:val="Heading4"/>
        <w:numPr>
          <w:ilvl w:val="3"/>
          <w:numId w:val="54"/>
        </w:numPr>
        <w:rPr>
          <w:rFonts w:cs="Times New Roman"/>
        </w:rPr>
      </w:pPr>
      <w:bookmarkStart w:id="54" w:name="_Toc183639179"/>
      <w:r w:rsidRPr="00FF756A">
        <w:rPr>
          <w:rFonts w:cs="Times New Roman"/>
        </w:rPr>
        <w:t>Dimensioni i sigurisë së energjisë</w:t>
      </w:r>
      <w:bookmarkEnd w:id="54"/>
      <w:r w:rsidRPr="00FF756A">
        <w:rPr>
          <w:rFonts w:cs="Times New Roman"/>
        </w:rPr>
        <w:t xml:space="preserve"> </w:t>
      </w:r>
    </w:p>
    <w:p w14:paraId="39CB9B98" w14:textId="77777777" w:rsidR="00DA2EDE" w:rsidRPr="00FF756A" w:rsidRDefault="00DA2EDE" w:rsidP="005C7B79">
      <w:pPr>
        <w:spacing w:before="40" w:after="40"/>
      </w:pPr>
      <w:r w:rsidRPr="00FF756A">
        <w:t>Pikësynimet e sigurisë së furnizimit me energji janë përcaktuar në planet strategjike të vendit dhe në vendimet e qeverisë për zbatimin e tyre. Politika e qeverisë për rritjen e sigurisë së furnizimit me energji bazohet në:</w:t>
      </w:r>
    </w:p>
    <w:p w14:paraId="531CF022" w14:textId="77777777" w:rsidR="00DA2EDE" w:rsidRPr="00FF756A" w:rsidRDefault="00DA2EDE" w:rsidP="005C7B79">
      <w:pPr>
        <w:spacing w:before="40" w:after="40"/>
      </w:pPr>
      <w:r w:rsidRPr="00FF756A">
        <w:t>1.</w:t>
      </w:r>
      <w:r w:rsidRPr="00FF756A">
        <w:tab/>
        <w:t>diversifikimin e burimeve të energjisë dhe lëndëve djegëse,</w:t>
      </w:r>
    </w:p>
    <w:p w14:paraId="183520FF" w14:textId="752F541B" w:rsidR="00DA2EDE" w:rsidRPr="00FF756A" w:rsidRDefault="00DA2EDE" w:rsidP="005C7B79">
      <w:pPr>
        <w:spacing w:before="40" w:after="40"/>
      </w:pPr>
      <w:r w:rsidRPr="00FF756A">
        <w:t>2.</w:t>
      </w:r>
      <w:r w:rsidRPr="00FF756A">
        <w:tab/>
        <w:t>sisteme të mjaftueshme e të decentralizuara të prodhimit të energjisë,</w:t>
      </w:r>
    </w:p>
    <w:p w14:paraId="493F858B" w14:textId="77777777" w:rsidR="00DA2EDE" w:rsidRPr="00FF756A" w:rsidRDefault="00DA2EDE" w:rsidP="005C7B79">
      <w:pPr>
        <w:spacing w:before="40" w:after="40"/>
      </w:pPr>
      <w:r w:rsidRPr="00FF756A">
        <w:t>3.</w:t>
      </w:r>
      <w:r w:rsidRPr="00FF756A">
        <w:tab/>
        <w:t>sisteme dhe rrjete të sigurta transmetimi dhe shpërndarjeje,</w:t>
      </w:r>
    </w:p>
    <w:p w14:paraId="24F2F419" w14:textId="77777777" w:rsidR="00DA2EDE" w:rsidRPr="00FF756A" w:rsidRDefault="00DA2EDE" w:rsidP="005C7B79">
      <w:pPr>
        <w:spacing w:before="40" w:after="40"/>
      </w:pPr>
      <w:r w:rsidRPr="00FF756A">
        <w:t>4.</w:t>
      </w:r>
      <w:r w:rsidRPr="00FF756A">
        <w:tab/>
        <w:t xml:space="preserve">mirëfunksionimin e tregjeve të energjisë, </w:t>
      </w:r>
    </w:p>
    <w:p w14:paraId="178B2B51" w14:textId="77777777" w:rsidR="00DA2EDE" w:rsidRPr="00FF756A" w:rsidRDefault="00DA2EDE" w:rsidP="005C7B79">
      <w:pPr>
        <w:spacing w:before="40" w:after="40"/>
      </w:pPr>
      <w:r w:rsidRPr="00FF756A">
        <w:t>5.</w:t>
      </w:r>
      <w:r w:rsidRPr="00FF756A">
        <w:tab/>
        <w:t>një politikë të qartë e afatgjatë energjie që nxit investimet,</w:t>
      </w:r>
    </w:p>
    <w:p w14:paraId="510979CC" w14:textId="77777777" w:rsidR="00DA2EDE" w:rsidRPr="00FF756A" w:rsidRDefault="00DA2EDE" w:rsidP="005C7B79">
      <w:pPr>
        <w:spacing w:before="40" w:after="40"/>
      </w:pPr>
      <w:r w:rsidRPr="00FF756A">
        <w:t>6.</w:t>
      </w:r>
      <w:r w:rsidRPr="00FF756A">
        <w:tab/>
        <w:t>efiçencën e energjisë.</w:t>
      </w:r>
    </w:p>
    <w:p w14:paraId="739269DD" w14:textId="77777777" w:rsidR="00DA2EDE" w:rsidRPr="00FF756A" w:rsidRDefault="00DA2EDE" w:rsidP="005C7B79">
      <w:pPr>
        <w:spacing w:before="40" w:after="40"/>
      </w:pPr>
    </w:p>
    <w:p w14:paraId="52F42C8F" w14:textId="77777777" w:rsidR="00DA2EDE" w:rsidRPr="00FF756A" w:rsidRDefault="00DA2EDE" w:rsidP="005C7B79">
      <w:pPr>
        <w:spacing w:before="40" w:after="40"/>
      </w:pPr>
      <w:r w:rsidRPr="00FF756A">
        <w:t>Shqipëria nuk ka asnjë central bërthamor në territorin e saj dhe nuk planifikon të ndërtojë ndonjë të tillë. Megjithatë, ekziston një Agjenci Kombëtare Bërthamore, misioni i së cilës është të ngrejë një sistem për llogaritjen e kërkesës për energji për 20-30 vitet e ardhshme.</w:t>
      </w:r>
    </w:p>
    <w:p w14:paraId="7C5E4BBA" w14:textId="42BE0344" w:rsidR="00DA2EDE" w:rsidRPr="00FF756A" w:rsidRDefault="00DA2EDE" w:rsidP="005C7B79">
      <w:pPr>
        <w:spacing w:before="40" w:after="40"/>
      </w:pPr>
      <w:r w:rsidRPr="00FF756A">
        <w:t xml:space="preserve">Shqipëria ka tri terminale </w:t>
      </w:r>
      <w:r w:rsidR="00833376" w:rsidRPr="00FF756A">
        <w:t>portuale</w:t>
      </w:r>
      <w:r w:rsidRPr="00FF756A">
        <w:t xml:space="preserve"> të naftës dhe të gazit: Porto Romano në Durrës, Porti i Shëngjinit në Lezhë dhe Petrolifera në Vlorë. Secili terminal ka kapacitetin për të ruajtur gaz të lëngshëm të naftës, naftë bruto,</w:t>
      </w:r>
      <w:r w:rsidR="00953B85" w:rsidRPr="00FF756A">
        <w:t xml:space="preserve"> benzinë</w:t>
      </w:r>
      <w:r w:rsidRPr="00FF756A">
        <w:t>, gaz dhe lëngje e produkte të tjera të thata.</w:t>
      </w:r>
    </w:p>
    <w:p w14:paraId="488C2059" w14:textId="77777777" w:rsidR="00DA2EDE" w:rsidRPr="00FF756A" w:rsidRDefault="00DA2EDE" w:rsidP="005C7B79">
      <w:pPr>
        <w:spacing w:before="40" w:after="40"/>
      </w:pPr>
      <w:r w:rsidRPr="00FF756A">
        <w:t xml:space="preserve">Përmbledhje e ligjeve kryesore: </w:t>
      </w:r>
    </w:p>
    <w:p w14:paraId="42C1C0E3" w14:textId="034CC9E3" w:rsidR="00DA2EDE" w:rsidRPr="00FF756A" w:rsidRDefault="00DA2EDE" w:rsidP="008639B2">
      <w:pPr>
        <w:pStyle w:val="ListParagraph"/>
        <w:widowControl w:val="0"/>
        <w:numPr>
          <w:ilvl w:val="0"/>
          <w:numId w:val="51"/>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contextualSpacing w:val="0"/>
      </w:pPr>
      <w:r w:rsidRPr="00FF756A">
        <w:t>Plani Strategjik për Reformimin e Sektorit të Energjisë në Shqipëri (2018-2020), miratuar me VKM nr. 742, datë 12.12.2018, është një udhërrëfyes për reformimin tërësor të sektorit të energjisë elektrike në Shqipëri. Ai përbën bazën e Huasë së Bazuar në Politika (PBL) për zbatimin e Elementeve të caktuara të Reformave Politike të renditura në këtë plan strategjik.</w:t>
      </w:r>
    </w:p>
    <w:p w14:paraId="1E11940B" w14:textId="4ABCBF29" w:rsidR="00DA2EDE" w:rsidRPr="00FF756A" w:rsidRDefault="009E68EB" w:rsidP="008639B2">
      <w:pPr>
        <w:pStyle w:val="ListParagraph"/>
        <w:widowControl w:val="0"/>
        <w:numPr>
          <w:ilvl w:val="0"/>
          <w:numId w:val="51"/>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contextualSpacing w:val="0"/>
      </w:pPr>
      <w:r w:rsidRPr="00FF756A">
        <w:t>Strategjia Kombëtare për Energjinë 2018-2030, miratuar me VKM nr. 480, datë 31.7.2018</w:t>
      </w:r>
    </w:p>
    <w:p w14:paraId="236919BA" w14:textId="45FE549F" w:rsidR="00DA2EDE" w:rsidRPr="00FF756A" w:rsidRDefault="009E68EB" w:rsidP="008639B2">
      <w:pPr>
        <w:pStyle w:val="ListParagraph"/>
        <w:widowControl w:val="0"/>
        <w:numPr>
          <w:ilvl w:val="0"/>
          <w:numId w:val="51"/>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contextualSpacing w:val="0"/>
      </w:pPr>
      <w:r w:rsidRPr="00FF756A">
        <w:t>Master Plani i Gazit Natyror për Shqipërinë, miratuar me VKM nr. 87, datë 14.2.2018</w:t>
      </w:r>
    </w:p>
    <w:p w14:paraId="120CC319" w14:textId="4DD8B29E" w:rsidR="00DA2EDE" w:rsidRPr="00FF756A" w:rsidRDefault="009E68EB" w:rsidP="008639B2">
      <w:pPr>
        <w:pStyle w:val="ListParagraph"/>
        <w:widowControl w:val="0"/>
        <w:numPr>
          <w:ilvl w:val="0"/>
          <w:numId w:val="51"/>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contextualSpacing w:val="0"/>
      </w:pPr>
      <w:r w:rsidRPr="00FF756A">
        <w:t xml:space="preserve">Programi i Reformës Ekonomike të Shqipërisë (2020-2022), miratuar me VKM nr. 92, datë 5.2.2020, parashikon sa vijon në lidhje me reformat e sektorit të energjisë: (i) liberalizimin e tregut të energjisë, me ndarje të plotë dhe me një bursë funksionale energjie; (ii) Zbatimin e ligjit për BRE-të; (iii) Miratimin e </w:t>
      </w:r>
      <w:r w:rsidR="00DD45F1" w:rsidRPr="00FF756A">
        <w:t>akteve nënligjore</w:t>
      </w:r>
      <w:r w:rsidRPr="00FF756A">
        <w:t xml:space="preserve"> lidhur me ligjet për EE-në dhe </w:t>
      </w:r>
      <w:r w:rsidRPr="00FF756A">
        <w:lastRenderedPageBreak/>
        <w:t>performancën e energjisë së ndërtesave.</w:t>
      </w:r>
    </w:p>
    <w:p w14:paraId="3310A1E7" w14:textId="77777777" w:rsidR="004635CB" w:rsidRPr="00FF756A" w:rsidRDefault="004635CB" w:rsidP="001122A8">
      <w:pPr>
        <w:pStyle w:val="BodyText"/>
        <w:rPr>
          <w:rFonts w:ascii="Times New Roman" w:hAnsi="Times New Roman" w:cs="Times New Roman"/>
        </w:rPr>
      </w:pPr>
      <w:bookmarkStart w:id="55" w:name="_Toc134634553"/>
      <w:bookmarkStart w:id="56" w:name="_Hlk45788377"/>
    </w:p>
    <w:p w14:paraId="3724070E" w14:textId="6B06F58D" w:rsidR="004635CB" w:rsidRPr="00FF756A" w:rsidRDefault="004635CB" w:rsidP="005C7B79">
      <w:pPr>
        <w:spacing w:before="40" w:after="40"/>
        <w:rPr>
          <w:b/>
          <w:bCs/>
        </w:rPr>
      </w:pPr>
      <w:r w:rsidRPr="00FF756A">
        <w:rPr>
          <w:b/>
          <w:bCs/>
        </w:rPr>
        <w:t>Miratimi i rregullave për sigurinë e furnizimit në përputhje me ligjin “Për sektorin e energjisë elektrike”</w:t>
      </w:r>
      <w:bookmarkEnd w:id="55"/>
      <w:r w:rsidR="00DD45F1" w:rsidRPr="00FF756A">
        <w:rPr>
          <w:b/>
          <w:bCs/>
        </w:rPr>
        <w:t>.</w:t>
      </w:r>
    </w:p>
    <w:p w14:paraId="7C2F6B90" w14:textId="55751C4A" w:rsidR="004635CB" w:rsidRPr="00FF756A" w:rsidRDefault="004635CB" w:rsidP="005C7B79">
      <w:pPr>
        <w:spacing w:before="40" w:after="40"/>
      </w:pPr>
      <w:r w:rsidRPr="00FF756A">
        <w:t xml:space="preserve">Është hartuar akti ligjor për miratimin e rregullave të sigurisë së furnizimit. Akti ligjor nuk është miratuar ende. </w:t>
      </w:r>
    </w:p>
    <w:p w14:paraId="72860DD1" w14:textId="77777777" w:rsidR="004635CB" w:rsidRPr="00FF756A" w:rsidRDefault="004635CB" w:rsidP="005C7B79">
      <w:pPr>
        <w:spacing w:before="40" w:after="40"/>
      </w:pPr>
    </w:p>
    <w:p w14:paraId="213CC4AD" w14:textId="5223CCEA" w:rsidR="004635CB" w:rsidRPr="00FF756A" w:rsidRDefault="004635CB" w:rsidP="005C7B79">
      <w:pPr>
        <w:spacing w:before="40" w:after="40"/>
        <w:rPr>
          <w:b/>
          <w:bCs/>
        </w:rPr>
      </w:pPr>
      <w:bookmarkStart w:id="57" w:name="_Toc134634554"/>
      <w:r w:rsidRPr="00FF756A">
        <w:rPr>
          <w:b/>
          <w:bCs/>
        </w:rPr>
        <w:t>Progresi në transpozimin dhe zbatimin e rregullores “Për gatishmërinë ndaj rrezikut”</w:t>
      </w:r>
      <w:bookmarkEnd w:id="57"/>
      <w:r w:rsidRPr="00FF756A">
        <w:rPr>
          <w:b/>
          <w:bCs/>
        </w:rPr>
        <w:t xml:space="preserve"> </w:t>
      </w:r>
    </w:p>
    <w:p w14:paraId="0F976999" w14:textId="2582C36D" w:rsidR="004635CB" w:rsidRPr="00FF756A" w:rsidRDefault="004635CB" w:rsidP="005C7B79">
      <w:pPr>
        <w:spacing w:before="40" w:after="40"/>
      </w:pPr>
      <w:r w:rsidRPr="00FF756A">
        <w:t>Vendimi i Këshillit Ministror të Komunitetit të Energjisë 2021/13/ MC-EnC, datë 30 nëntor 2021, parashikon që secila palë kontraktuese të sjellë në fuqi ligjet, rregulloret dhe dispozitat administrative të nevojshme për pajtueshmërinë me Direktivën (BE) 2019/944 dhe Rregulloren (BE) 2019/941 “Për gatishmërinë ndaj rrezikut”, deri më 31 dhjetor 2023.</w:t>
      </w:r>
      <w:r w:rsidR="00036E43" w:rsidRPr="00FF756A">
        <w:t xml:space="preserve"> </w:t>
      </w:r>
      <w:r w:rsidRPr="00FF756A">
        <w:t>Institucionet shqiptare janë duke diskutuar masat që duhen marrë për të përmbushur dispozitat e Vendimit të lartpërmendur të Këshillit Ministror të Komunitetit të Energjisë.</w:t>
      </w:r>
    </w:p>
    <w:p w14:paraId="0EA55759" w14:textId="77777777" w:rsidR="00DA2EDE" w:rsidRPr="00FF756A" w:rsidRDefault="00DA2EDE" w:rsidP="005C7B79">
      <w:pPr>
        <w:spacing w:before="40" w:after="40"/>
        <w:rPr>
          <w:bCs/>
        </w:rPr>
      </w:pPr>
    </w:p>
    <w:p w14:paraId="7814ACD2" w14:textId="248FF894" w:rsidR="00DA2EDE" w:rsidRPr="00FF756A" w:rsidRDefault="00DA2EDE" w:rsidP="005C7B79">
      <w:pPr>
        <w:spacing w:before="40" w:after="40"/>
        <w:rPr>
          <w:bCs/>
        </w:rPr>
      </w:pPr>
      <w:r w:rsidRPr="00FF756A">
        <w:t xml:space="preserve">Performanca e zbatimit për çdo fushë të treguesve të punës është përmbledhur në figurën më poshtë dhe është llogaritur </w:t>
      </w:r>
      <w:r w:rsidR="00005251" w:rsidRPr="00FF756A">
        <w:t>dhe</w:t>
      </w:r>
      <w:r w:rsidRPr="00FF756A">
        <w:t xml:space="preserve"> përgatitur nga Sekretariati i Komunitetit të Energjisë. Bazuar në këtë, performanca e përgjithshme e zbatimit në Shqipëri ishte 56% në vitin 2023.</w:t>
      </w:r>
      <w:bookmarkEnd w:id="56"/>
    </w:p>
    <w:p w14:paraId="570D6F8D" w14:textId="77777777" w:rsidR="00ED41B5" w:rsidRPr="00FF756A" w:rsidRDefault="000C0550" w:rsidP="00ED41B5">
      <w:pPr>
        <w:keepNext/>
        <w:spacing w:before="40" w:after="40"/>
      </w:pPr>
      <w:r w:rsidRPr="00FF756A">
        <w:t xml:space="preserve"> </w:t>
      </w:r>
      <w:r w:rsidRPr="00FF756A">
        <w:rPr>
          <w:noProof/>
          <w:lang w:val="en-US"/>
        </w:rPr>
        <w:drawing>
          <wp:inline distT="0" distB="0" distL="0" distR="0" wp14:anchorId="798C52A8" wp14:editId="21219142">
            <wp:extent cx="5760720" cy="2835610"/>
            <wp:effectExtent l="19050" t="19050" r="11430" b="22225"/>
            <wp:docPr id="467379931" name="Picture 1" descr="A graph of blue and grey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379931" name="Picture 1" descr="A graph of blue and grey bars&#10;&#10;Description automatically generated"/>
                    <pic:cNvPicPr/>
                  </pic:nvPicPr>
                  <pic:blipFill rotWithShape="1">
                    <a:blip r:embed="rId29"/>
                    <a:srcRect t="13959"/>
                    <a:stretch/>
                  </pic:blipFill>
                  <pic:spPr bwMode="auto">
                    <a:xfrm>
                      <a:off x="0" y="0"/>
                      <a:ext cx="5760720" cy="283561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4C36FD08" w14:textId="362BD033" w:rsidR="00DA2EDE" w:rsidRPr="00FF756A" w:rsidRDefault="00ED41B5" w:rsidP="00ED41B5">
      <w:pPr>
        <w:pStyle w:val="Caption"/>
        <w:rPr>
          <w:rFonts w:ascii="Times New Roman" w:hAnsi="Times New Roman"/>
        </w:rPr>
      </w:pPr>
      <w:bookmarkStart w:id="58" w:name="_Toc183016541"/>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11</w:t>
      </w:r>
      <w:r w:rsidR="008E7DE9" w:rsidRPr="00FF756A">
        <w:rPr>
          <w:rFonts w:ascii="Times New Roman" w:hAnsi="Times New Roman"/>
          <w:noProof/>
        </w:rPr>
        <w:fldChar w:fldCharType="end"/>
      </w:r>
      <w:r w:rsidRPr="00FF756A">
        <w:rPr>
          <w:rFonts w:ascii="Times New Roman" w:hAnsi="Times New Roman"/>
        </w:rPr>
        <w:t>: Shkalla e përgjithshme e zbatimit në Shqipëri për vitin 2023 (Burimi: Energy-community.</w:t>
      </w:r>
      <w:r w:rsidR="00005251" w:rsidRPr="00FF756A">
        <w:rPr>
          <w:rFonts w:ascii="Times New Roman" w:hAnsi="Times New Roman"/>
        </w:rPr>
        <w:t xml:space="preserve"> </w:t>
      </w:r>
      <w:r w:rsidRPr="00FF756A">
        <w:rPr>
          <w:rFonts w:ascii="Times New Roman" w:hAnsi="Times New Roman"/>
        </w:rPr>
        <w:t>Statusi 2023)</w:t>
      </w:r>
      <w:bookmarkEnd w:id="58"/>
    </w:p>
    <w:p w14:paraId="3ADB9136" w14:textId="77777777" w:rsidR="00DA2EDE" w:rsidRPr="00FF756A" w:rsidRDefault="00DA2EDE" w:rsidP="005C7B79">
      <w:pPr>
        <w:pStyle w:val="Caption"/>
        <w:spacing w:before="40" w:after="40" w:line="276" w:lineRule="auto"/>
        <w:rPr>
          <w:rFonts w:ascii="Times New Roman" w:hAnsi="Times New Roman"/>
          <w:b w:val="0"/>
          <w:sz w:val="22"/>
          <w:szCs w:val="22"/>
        </w:rPr>
      </w:pPr>
    </w:p>
    <w:p w14:paraId="145E9312" w14:textId="77777777" w:rsidR="00DA2EDE" w:rsidRPr="00FF756A" w:rsidRDefault="00DA2EDE" w:rsidP="005C7B79">
      <w:pPr>
        <w:spacing w:before="40" w:after="40"/>
        <w:rPr>
          <w:b/>
        </w:rPr>
      </w:pPr>
      <w:r w:rsidRPr="00FF756A">
        <w:rPr>
          <w:b/>
        </w:rPr>
        <w:t xml:space="preserve">Detyrimi për </w:t>
      </w:r>
      <w:r w:rsidRPr="00FF756A">
        <w:rPr>
          <w:b/>
          <w:bCs/>
        </w:rPr>
        <w:t>ruajtjen e rezervave të naftës</w:t>
      </w:r>
    </w:p>
    <w:p w14:paraId="0B3CD3D6" w14:textId="058A6F20" w:rsidR="00DA2EDE" w:rsidRPr="00FF756A" w:rsidRDefault="00DA2EDE" w:rsidP="005C7B79">
      <w:pPr>
        <w:spacing w:before="40" w:after="40"/>
      </w:pPr>
      <w:r w:rsidRPr="00FF756A">
        <w:t xml:space="preserve">Sistemi aktual i rezervave të naftës për raste emergjencash i është lënë në ngarkim industrisë së naftës. Sipas Ligjit nr. 8450, datë 24.2.1999, “Për përpunimin, transportimin dhe tregtimin e naftës, të gazit dhe nënprodukteve të tyre”, </w:t>
      </w:r>
      <w:r w:rsidR="009C6CD5" w:rsidRPr="00FF756A">
        <w:t>i</w:t>
      </w:r>
      <w:r w:rsidRPr="00FF756A">
        <w:t xml:space="preserve"> ndryshuar, dhe Vendimit të Këshillit të Ministrave nr. 808, datë 5.11.2004, “Për mbajtjen dhe menaxhimin e rezervës së sigurisë për naftën, gazin dhe nënproduktet e tyre”, të ndryshuar, rafineritë e naftës dhe shoqëritë e tregtimit me shumicë të naftës dhe nënprodukteve të saj kanë detyrimin të ruajnë sasi minimale rezervë, të barasvlershme me 90 ditë shitjesh mesatare, llogaritur mbi bazën e rezultateve faktike të të dhënave nga operacionet e vitit pararendës.</w:t>
      </w:r>
    </w:p>
    <w:p w14:paraId="1AF1385A" w14:textId="68F7D58D" w:rsidR="00322BFF" w:rsidRPr="00FF756A" w:rsidRDefault="00DA2EDE" w:rsidP="005C7B79">
      <w:pPr>
        <w:spacing w:before="40" w:after="40"/>
      </w:pPr>
      <w:r w:rsidRPr="00FF756A">
        <w:t>Figura më poshtë tregon zbatimin sipas treguesve të naftës, llogaritur dhe përgatitur nga Sekretariati i Komunitetit të Energjisë.</w:t>
      </w:r>
    </w:p>
    <w:p w14:paraId="6763F8C0" w14:textId="77777777" w:rsidR="00ED41B5" w:rsidRPr="00FF756A" w:rsidRDefault="00233599" w:rsidP="00ED41B5">
      <w:pPr>
        <w:keepNext/>
        <w:spacing w:before="40" w:after="40"/>
      </w:pPr>
      <w:r w:rsidRPr="00FF756A">
        <w:lastRenderedPageBreak/>
        <w:t xml:space="preserve"> </w:t>
      </w:r>
      <w:r w:rsidRPr="00FF756A">
        <w:rPr>
          <w:noProof/>
          <w:lang w:val="en-US"/>
        </w:rPr>
        <w:drawing>
          <wp:inline distT="0" distB="0" distL="0" distR="0" wp14:anchorId="3F8EAAD8" wp14:editId="4B5DB730">
            <wp:extent cx="5760720" cy="2920917"/>
            <wp:effectExtent l="19050" t="19050" r="11430" b="13335"/>
            <wp:docPr id="2054095250" name="Picture 1" descr="A graph of a number of blue and grey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095250" name="Picture 1" descr="A graph of a number of blue and grey squares&#10;&#10;Description automatically generated"/>
                    <pic:cNvPicPr/>
                  </pic:nvPicPr>
                  <pic:blipFill rotWithShape="1">
                    <a:blip r:embed="rId30"/>
                    <a:srcRect t="16955"/>
                    <a:stretch/>
                  </pic:blipFill>
                  <pic:spPr bwMode="auto">
                    <a:xfrm>
                      <a:off x="0" y="0"/>
                      <a:ext cx="5760720" cy="2920917"/>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48F11D11" w14:textId="61E5BF79" w:rsidR="00DA2EDE" w:rsidRPr="00FF756A" w:rsidRDefault="00ED41B5" w:rsidP="00ED41B5">
      <w:pPr>
        <w:pStyle w:val="Caption"/>
        <w:rPr>
          <w:rFonts w:ascii="Times New Roman" w:hAnsi="Times New Roman"/>
        </w:rPr>
      </w:pPr>
      <w:bookmarkStart w:id="59" w:name="_Toc183016542"/>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12</w:t>
      </w:r>
      <w:r w:rsidR="008E7DE9" w:rsidRPr="00FF756A">
        <w:rPr>
          <w:rFonts w:ascii="Times New Roman" w:hAnsi="Times New Roman"/>
          <w:noProof/>
        </w:rPr>
        <w:fldChar w:fldCharType="end"/>
      </w:r>
      <w:r w:rsidRPr="00FF756A">
        <w:rPr>
          <w:rFonts w:ascii="Times New Roman" w:hAnsi="Times New Roman"/>
        </w:rPr>
        <w:t>: Shkalla e zbatimit për sigurinë e furnizimit (Burimi: Energy-community.org Statusi 2023)</w:t>
      </w:r>
      <w:bookmarkEnd w:id="59"/>
    </w:p>
    <w:p w14:paraId="64F4DF21" w14:textId="71DF4606" w:rsidR="00DA2EDE" w:rsidRPr="00FF756A" w:rsidRDefault="00DA2EDE" w:rsidP="0003415D">
      <w:pPr>
        <w:pStyle w:val="Caption"/>
        <w:rPr>
          <w:rFonts w:ascii="Times New Roman" w:hAnsi="Times New Roman"/>
        </w:rPr>
      </w:pPr>
    </w:p>
    <w:p w14:paraId="2120D98B" w14:textId="02FE24BC" w:rsidR="00DA2EDE" w:rsidRPr="00FF756A" w:rsidRDefault="00DA2EDE" w:rsidP="005C7B79">
      <w:pPr>
        <w:spacing w:before="40" w:after="40"/>
      </w:pPr>
      <w:r w:rsidRPr="00FF756A">
        <w:t>Megjithatë, sistemi aktual nuk është në përputhje me Direktivën 2009/119/KE dhe për këtë qëllim, në dhjetor të vitit 2013 u ngrit një grup pune me urdhër të Kryeministrit. Projektligji “</w:t>
      </w:r>
      <w:r w:rsidRPr="00FF756A">
        <w:rPr>
          <w:i/>
          <w:iCs/>
        </w:rPr>
        <w:t>Për krijimin, mbajtjen dhe menaxhimin e rezervave minimale të sigurisë të naftës bruto dhe nënprodukteve të saj</w:t>
      </w:r>
      <w:r w:rsidRPr="00FF756A">
        <w:t>” parashikon krijimin e Agjencisë Shtetërore të Rezervave të Sigurisë së Naftës (ASHRSN), e cila do të jetë organi publik përgjegjës për krijimin, mbajtjen dhe menaxhimin e rezervave të sigurisë. ASH</w:t>
      </w:r>
      <w:r w:rsidR="00C53F86" w:rsidRPr="00FF756A">
        <w:t>R</w:t>
      </w:r>
      <w:r w:rsidRPr="00FF756A">
        <w:t>SN parashikohet të jetë i vetmi organ në Shqipëri që do të autorizojë blerjen, menaxhimin dhe shitjen e rezervave të sigurisë të naftës bruto dhe/ose nënprodukteve të naftës, siç parashikohet në projektligjin e lartpërmendur.</w:t>
      </w:r>
    </w:p>
    <w:p w14:paraId="04467A33" w14:textId="77777777" w:rsidR="00DA2EDE" w:rsidRDefault="00DA2EDE" w:rsidP="005C7B79">
      <w:pPr>
        <w:spacing w:before="40" w:after="40"/>
      </w:pPr>
      <w:r w:rsidRPr="00FF756A">
        <w:t>Procedura ligjore për miratimin e projektligjit nga qeveria filloi në korrik të vitit 2018. Pas reflektimit të komenteve paraprake të ministrive të linjës, projektligji i rishikuar u rishpërnda për koordinim te këto institucione dhe tek Autoriteti i Konkurrencës, me qëllim përgatitjen e një versioni përfundimtar. Aktualisht, ligji është duke u diskutuar midis përfaqësuesve të institucioneve të ndryshme me synimin që të arrihet një draft përfundimtar, i cili duhet të miratohet fillimisht nga qeveria dhe më pas nga Parlamenti shqiptar.</w:t>
      </w:r>
    </w:p>
    <w:p w14:paraId="0C3AD789" w14:textId="77777777" w:rsidR="00E67E31" w:rsidRPr="00FF756A" w:rsidRDefault="00E67E31" w:rsidP="005C7B79">
      <w:pPr>
        <w:spacing w:before="40" w:after="40"/>
      </w:pPr>
    </w:p>
    <w:p w14:paraId="1ECA9BB2" w14:textId="77777777" w:rsidR="00DA2EDE" w:rsidRPr="00FF756A" w:rsidRDefault="00DA2EDE" w:rsidP="005C7B79">
      <w:pPr>
        <w:spacing w:before="40" w:after="40"/>
        <w:rPr>
          <w:bCs/>
          <w:u w:val="single"/>
        </w:rPr>
      </w:pPr>
      <w:r w:rsidRPr="00FF756A">
        <w:rPr>
          <w:bCs/>
          <w:u w:val="single"/>
        </w:rPr>
        <w:t>Rezervat e posaçme</w:t>
      </w:r>
    </w:p>
    <w:p w14:paraId="5DC3B2BC" w14:textId="6AD3E310" w:rsidR="00DA2EDE" w:rsidRDefault="00DA2EDE" w:rsidP="005C7B79">
      <w:pPr>
        <w:spacing w:before="40" w:after="40"/>
      </w:pPr>
      <w:r w:rsidRPr="00FF756A">
        <w:t>Shqipëria nuk ka rezerva të posaçme. Megjithatë, projektligji i ri për rezervat e naftës për raste emergjencash parashikon se qeveria mund të vendosë krijimin e rezervave të posaçme të naftës si pjesë e rezervave të detyrueshme, si dhe përcaktimin e listës së produkteve hidrokarbure të energjisë që do të përdoren, nivelit të rezervave të posaçme dhe kohëzgjatjes së detyrimit për ruajtjen e rezervave të posaçme. Sipas këtij projektligji, krijimi dhe mbajtja e rezervave të posaçme ka efekt të paktën një vit kalendarik.</w:t>
      </w:r>
    </w:p>
    <w:p w14:paraId="75B8B984" w14:textId="77777777" w:rsidR="00E67E31" w:rsidRPr="00FF756A" w:rsidRDefault="00E67E31" w:rsidP="005C7B79">
      <w:pPr>
        <w:spacing w:before="40" w:after="40"/>
      </w:pPr>
    </w:p>
    <w:p w14:paraId="37ACC38B" w14:textId="77777777" w:rsidR="00DA2EDE" w:rsidRPr="00FF756A" w:rsidRDefault="00DA2EDE" w:rsidP="005C7B79">
      <w:pPr>
        <w:spacing w:before="40" w:after="40"/>
        <w:rPr>
          <w:bCs/>
          <w:u w:val="single"/>
        </w:rPr>
      </w:pPr>
      <w:r w:rsidRPr="00FF756A">
        <w:rPr>
          <w:bCs/>
          <w:u w:val="single"/>
        </w:rPr>
        <w:t>Disponueshmëria dhe aksesueshmëria</w:t>
      </w:r>
    </w:p>
    <w:p w14:paraId="4AD59652" w14:textId="5DBAC171" w:rsidR="00322BFF" w:rsidRPr="00FF756A" w:rsidRDefault="00DC3DE9" w:rsidP="005C7B79">
      <w:pPr>
        <w:spacing w:before="40" w:after="40"/>
      </w:pPr>
      <w:r w:rsidRPr="00FF756A">
        <w:t>P</w:t>
      </w:r>
      <w:r w:rsidR="00DA2EDE" w:rsidRPr="00FF756A">
        <w:t xml:space="preserve">rojektligji i ri parashikon se “mbajtja e rezervave të detyrueshme përbën prioritet dhe rezervat e detyrueshme duhet të jenë të disponueshme dhe fizikisht të aksesueshme në çdo kohë”. Një pjesë e rezervave të detyrueshme mund të ruhen në shtetet anëtare të Bashkimit Evropian dhe/ose palët nënshkruese të Traktatit të Komunitetit të Energjisë, mbi bazën e një marrëveshjeje dypalëshe midis </w:t>
      </w:r>
      <w:r w:rsidR="00DA2EDE" w:rsidRPr="00FF756A">
        <w:lastRenderedPageBreak/>
        <w:t xml:space="preserve">qeverisë dhe shtetit ku do të ruhen rezervat e detyrueshme. Rezervat e detyrueshme të naftës që janë nën pronësi të qeverisë duhet të jenë të siguruara në çdo kohë. Operatorët ekonomikë janë përgjegjës për të gjitha humbjet e rezervave dhe dëmet ndaj palëve të treta dhe mjedisit. </w:t>
      </w:r>
    </w:p>
    <w:p w14:paraId="79D67EE3" w14:textId="522E0729" w:rsidR="00DA2EDE" w:rsidRPr="00FF756A" w:rsidRDefault="00DA2EDE" w:rsidP="005C7B79">
      <w:pPr>
        <w:spacing w:before="40" w:after="40"/>
      </w:pPr>
      <w:r w:rsidRPr="00FF756A">
        <w:t>Qeveria garanton që të mos ketë pengesa ndaj transferimit të rezervave të detyrueshme nga territori i Shqipërisë drejt një shteti tjetër me të cilin është lidhur një marrëveshje e tillë dypalëshe.</w:t>
      </w:r>
    </w:p>
    <w:p w14:paraId="34CED109" w14:textId="77777777" w:rsidR="00DA2EDE" w:rsidRPr="00FF756A" w:rsidRDefault="00DA2EDE" w:rsidP="005C7B79">
      <w:pPr>
        <w:spacing w:before="40" w:after="40"/>
        <w:rPr>
          <w:bCs/>
          <w:u w:val="single"/>
        </w:rPr>
      </w:pPr>
      <w:r w:rsidRPr="00FF756A">
        <w:rPr>
          <w:bCs/>
          <w:u w:val="single"/>
        </w:rPr>
        <w:t>Raportimi</w:t>
      </w:r>
    </w:p>
    <w:p w14:paraId="7D3628CC" w14:textId="5AEE498C" w:rsidR="00DA2EDE" w:rsidRDefault="00EC08BC" w:rsidP="005C7B79">
      <w:pPr>
        <w:spacing w:before="40" w:after="40"/>
      </w:pPr>
      <w:r w:rsidRPr="00FF756A">
        <w:t>P</w:t>
      </w:r>
      <w:r w:rsidR="00DA2EDE" w:rsidRPr="00FF756A">
        <w:t>rojektligji parashikon se Agjencia e Rezervave Minimale të Naftës do të ruajë dhe përditësojë vazhdimisht të dhëna të detajuara lidhur me të gjitha rezervat që ajo mban, si dhe lidhur me të gjitha rezervat e tjera që ruhen në territorin e Shqipërisë dhe në vendet e treta mbi bazën e marrëveshjeve dypalëshe. Shqipëria depoziton rregullisht Pyetësorin e Naftës të Nismës së Organizatave të Përbashkëta për të Dhënat (JODI).</w:t>
      </w:r>
    </w:p>
    <w:p w14:paraId="17FB2CE2" w14:textId="77777777" w:rsidR="00E67E31" w:rsidRPr="00FF756A" w:rsidRDefault="00E67E31" w:rsidP="005C7B79">
      <w:pPr>
        <w:spacing w:before="40" w:after="40"/>
      </w:pPr>
    </w:p>
    <w:p w14:paraId="21C814D8" w14:textId="77777777" w:rsidR="00DA2EDE" w:rsidRPr="00FF756A" w:rsidRDefault="00DA2EDE" w:rsidP="005C7B79">
      <w:pPr>
        <w:spacing w:before="40" w:after="40"/>
        <w:rPr>
          <w:bCs/>
          <w:u w:val="single"/>
        </w:rPr>
      </w:pPr>
      <w:r w:rsidRPr="00FF756A">
        <w:rPr>
          <w:bCs/>
          <w:u w:val="single"/>
        </w:rPr>
        <w:t>Procedurat për rastet e emergjencave</w:t>
      </w:r>
    </w:p>
    <w:p w14:paraId="13D46A54" w14:textId="449DF16C" w:rsidR="00DA2EDE" w:rsidRDefault="00DA2EDE" w:rsidP="005C7B79">
      <w:pPr>
        <w:spacing w:before="40" w:after="40"/>
      </w:pPr>
      <w:r w:rsidRPr="00FF756A">
        <w:t xml:space="preserve">Projektligji i ri përcakton procedurat e nevojshme për ndërhyrjen në rastet e </w:t>
      </w:r>
      <w:r w:rsidR="00F64ECA" w:rsidRPr="00FF756A">
        <w:t>mungesave</w:t>
      </w:r>
      <w:r w:rsidRPr="00FF756A">
        <w:t xml:space="preserve"> </w:t>
      </w:r>
      <w:r w:rsidR="002F356E" w:rsidRPr="00FF756A">
        <w:t xml:space="preserve">serioze </w:t>
      </w:r>
      <w:r w:rsidRPr="00FF756A">
        <w:t>të produkteve të naftës në treg. Në rast vështirësish në furnizim, vënia në përdorim e rezervave vendoset nga qeveria, me propozim të ministrit përgjegjës për energjinë dhe me miratimin e komitetit të qeverisë për menaxhimin e krizave. Në rastin e një vendimi ndërkombëtar në fuqi për vënien në përdorim të rezervave të detyrueshme, qeveria ka të drejtën të vendosë vënien në përdorim të tyre për të përmbushur detyrimet e saj ndërkombëtare. Sipas projektligjit, rregullat dhe procedurat për hartimin e Planit Kombëtar të Reagimit, duke përfshirë përcaktimin e çmimit të tregut dhe përdorimin e rezervave të sigurisë, përcaktohen nga qeveria. Në këtë rast, Ministria e Infrastrukturës dhe Energjisë ia njofton menjëherë vendimin e qeverisë Komisionit Evropian dhe Sekretariatit të Komunitetit të Energjisë.</w:t>
      </w:r>
    </w:p>
    <w:p w14:paraId="7DB527E1" w14:textId="77777777" w:rsidR="00E67E31" w:rsidRPr="00FF756A" w:rsidRDefault="00E67E31" w:rsidP="005C7B79">
      <w:pPr>
        <w:spacing w:before="40" w:after="40"/>
      </w:pPr>
    </w:p>
    <w:p w14:paraId="56FFD368" w14:textId="77777777" w:rsidR="00DA2EDE" w:rsidRPr="00FF756A" w:rsidRDefault="00DA2EDE" w:rsidP="005C7B79">
      <w:pPr>
        <w:suppressAutoHyphens/>
        <w:spacing w:before="40" w:after="40"/>
        <w:rPr>
          <w:bCs/>
          <w:u w:val="single"/>
        </w:rPr>
      </w:pPr>
      <w:bookmarkStart w:id="60" w:name="_Hlk39340816"/>
      <w:r w:rsidRPr="00FF756A">
        <w:rPr>
          <w:bCs/>
          <w:u w:val="single"/>
        </w:rPr>
        <w:t>Numri i ditëve të rezervave të naftës në Shqipëri</w:t>
      </w:r>
    </w:p>
    <w:p w14:paraId="4C03307B" w14:textId="264E6077" w:rsidR="00DA2EDE" w:rsidRPr="00FF756A" w:rsidRDefault="00DA2EDE" w:rsidP="005C7B79">
      <w:pPr>
        <w:suppressAutoHyphens/>
        <w:spacing w:before="40" w:after="40"/>
      </w:pPr>
      <w:r w:rsidRPr="00FF756A">
        <w:t>Sipas Ligjit nr. 8450, datë 24.2.1999, “Për përpunimin, transportimin dhe tregtimin e naftës, të gazit dhe nënprodukteve të tyre”, të ndryshuar, dhe Vendimit të Këshillit të Ministrave nr. 808, datë 5.11.2004, “Për mbajtjen dhe menaxhimin e rezervës së sigurisë për naftën, gazin dhe nënproduktet e tyre”, të ndryshuar, rafineritë e naftës dhe shoqëritë e tregtimit me shumicë të naftës, gazit natyror dhe nënprodukteve të tyre kanë detyrimin të mbajnë rezerva minimale të barasvlershme me 90 ditë shitjesh mesatare, llogaritur mbi bazën e rezultateve faktike dhe rezultateve të të dhënave nga operacionet e vitit pararendës. Sasitë e rezervave të naftës bruto dhe nënprodukteve të saj për vitin 2023 janë si më poshtë:</w:t>
      </w:r>
    </w:p>
    <w:p w14:paraId="45E8EADA" w14:textId="77777777" w:rsidR="00D54618" w:rsidRPr="00FF756A" w:rsidRDefault="00D54618" w:rsidP="00D54618">
      <w:pPr>
        <w:suppressAutoHyphens/>
        <w:spacing w:after="0" w:line="300" w:lineRule="exact"/>
        <w:rPr>
          <w:rFonts w:eastAsia="Noto Serif CJK SC"/>
          <w:kern w:val="2"/>
          <w:sz w:val="24"/>
          <w:szCs w:val="24"/>
          <w:lang w:eastAsia="zh-CN" w:bidi="hi-I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8" w:type="dxa"/>
        </w:tblCellMar>
        <w:tblLook w:val="04A0" w:firstRow="1" w:lastRow="0" w:firstColumn="1" w:lastColumn="0" w:noHBand="0" w:noVBand="1"/>
      </w:tblPr>
      <w:tblGrid>
        <w:gridCol w:w="4538"/>
        <w:gridCol w:w="4524"/>
      </w:tblGrid>
      <w:tr w:rsidR="00D54618" w:rsidRPr="00FF756A" w14:paraId="64B2187D" w14:textId="77777777" w:rsidTr="00E0023B">
        <w:tc>
          <w:tcPr>
            <w:tcW w:w="4675" w:type="dxa"/>
            <w:vAlign w:val="center"/>
          </w:tcPr>
          <w:p w14:paraId="13869041" w14:textId="77777777" w:rsidR="00D54618" w:rsidRPr="00FF756A" w:rsidRDefault="00D54618" w:rsidP="00E0023B">
            <w:pPr>
              <w:suppressAutoHyphens/>
              <w:spacing w:after="0" w:line="300" w:lineRule="exact"/>
              <w:jc w:val="center"/>
              <w:rPr>
                <w:rFonts w:eastAsia="Times New Roman"/>
                <w:kern w:val="2"/>
                <w:sz w:val="20"/>
                <w:szCs w:val="20"/>
              </w:rPr>
            </w:pPr>
            <w:r w:rsidRPr="00FF756A">
              <w:rPr>
                <w:b/>
                <w:bCs/>
                <w:sz w:val="20"/>
                <w:szCs w:val="20"/>
              </w:rPr>
              <w:t>Lloji i karburantit</w:t>
            </w:r>
          </w:p>
        </w:tc>
        <w:tc>
          <w:tcPr>
            <w:tcW w:w="4675" w:type="dxa"/>
            <w:vAlign w:val="center"/>
          </w:tcPr>
          <w:p w14:paraId="2C58C609" w14:textId="77777777" w:rsidR="00D54618" w:rsidRPr="00FF756A" w:rsidRDefault="00D54618" w:rsidP="00E0023B">
            <w:pPr>
              <w:suppressAutoHyphens/>
              <w:spacing w:after="0" w:line="300" w:lineRule="exact"/>
              <w:jc w:val="center"/>
              <w:rPr>
                <w:rFonts w:eastAsia="Times New Roman"/>
                <w:kern w:val="2"/>
                <w:sz w:val="20"/>
                <w:szCs w:val="20"/>
              </w:rPr>
            </w:pPr>
            <w:r w:rsidRPr="00FF756A">
              <w:rPr>
                <w:b/>
                <w:bCs/>
                <w:sz w:val="20"/>
                <w:szCs w:val="20"/>
              </w:rPr>
              <w:t>Sasitë (në tonë)</w:t>
            </w:r>
          </w:p>
        </w:tc>
      </w:tr>
      <w:tr w:rsidR="00D54618" w:rsidRPr="00FF756A" w14:paraId="1651B9D5" w14:textId="77777777" w:rsidTr="00E0023B">
        <w:tc>
          <w:tcPr>
            <w:tcW w:w="4675" w:type="dxa"/>
            <w:vAlign w:val="center"/>
          </w:tcPr>
          <w:p w14:paraId="1F626FB8" w14:textId="77777777" w:rsidR="00D54618" w:rsidRPr="00FF756A" w:rsidRDefault="00D54618" w:rsidP="00E0023B">
            <w:pPr>
              <w:suppressAutoHyphens/>
              <w:spacing w:after="0" w:line="300" w:lineRule="exact"/>
              <w:rPr>
                <w:rFonts w:eastAsia="Times New Roman"/>
                <w:kern w:val="2"/>
                <w:sz w:val="20"/>
                <w:szCs w:val="20"/>
              </w:rPr>
            </w:pPr>
            <w:r w:rsidRPr="00FF756A">
              <w:rPr>
                <w:sz w:val="20"/>
                <w:szCs w:val="20"/>
              </w:rPr>
              <w:t>Nafta bruto</w:t>
            </w:r>
          </w:p>
        </w:tc>
        <w:tc>
          <w:tcPr>
            <w:tcW w:w="4675" w:type="dxa"/>
            <w:vAlign w:val="center"/>
          </w:tcPr>
          <w:p w14:paraId="1E64A66F" w14:textId="7A439A6B" w:rsidR="00D54618" w:rsidRPr="00FF756A" w:rsidRDefault="00D54618" w:rsidP="00E0023B">
            <w:pPr>
              <w:suppressAutoHyphens/>
              <w:spacing w:after="0" w:line="300" w:lineRule="exact"/>
              <w:jc w:val="right"/>
              <w:rPr>
                <w:rFonts w:eastAsia="Times New Roman"/>
                <w:kern w:val="2"/>
                <w:sz w:val="20"/>
                <w:szCs w:val="20"/>
              </w:rPr>
            </w:pPr>
            <w:r w:rsidRPr="00FF756A">
              <w:rPr>
                <w:sz w:val="20"/>
                <w:szCs w:val="20"/>
              </w:rPr>
              <w:t>6</w:t>
            </w:r>
            <w:r w:rsidR="00130D80" w:rsidRPr="00FF756A">
              <w:rPr>
                <w:sz w:val="20"/>
                <w:szCs w:val="20"/>
              </w:rPr>
              <w:t>,</w:t>
            </w:r>
            <w:r w:rsidRPr="00FF756A">
              <w:rPr>
                <w:sz w:val="20"/>
                <w:szCs w:val="20"/>
              </w:rPr>
              <w:t>824</w:t>
            </w:r>
          </w:p>
        </w:tc>
      </w:tr>
      <w:tr w:rsidR="00D54618" w:rsidRPr="00FF756A" w14:paraId="7558B237" w14:textId="77777777" w:rsidTr="00E0023B">
        <w:tc>
          <w:tcPr>
            <w:tcW w:w="4675" w:type="dxa"/>
            <w:vAlign w:val="center"/>
          </w:tcPr>
          <w:p w14:paraId="5852DB1F" w14:textId="77777777" w:rsidR="00D54618" w:rsidRPr="00FF756A" w:rsidRDefault="00D54618" w:rsidP="00E0023B">
            <w:pPr>
              <w:suppressAutoHyphens/>
              <w:spacing w:after="0" w:line="300" w:lineRule="exact"/>
              <w:rPr>
                <w:rFonts w:eastAsia="Times New Roman"/>
                <w:kern w:val="2"/>
                <w:sz w:val="20"/>
                <w:szCs w:val="20"/>
              </w:rPr>
            </w:pPr>
            <w:r w:rsidRPr="00FF756A">
              <w:rPr>
                <w:sz w:val="20"/>
                <w:szCs w:val="20"/>
              </w:rPr>
              <w:t>Benzinë (benzinë për motorë)</w:t>
            </w:r>
          </w:p>
        </w:tc>
        <w:tc>
          <w:tcPr>
            <w:tcW w:w="4675" w:type="dxa"/>
            <w:vAlign w:val="center"/>
          </w:tcPr>
          <w:p w14:paraId="7DAD1DAF" w14:textId="0E87F814" w:rsidR="00D54618" w:rsidRPr="00FF756A" w:rsidRDefault="00D54618" w:rsidP="00E0023B">
            <w:pPr>
              <w:suppressAutoHyphens/>
              <w:spacing w:after="0" w:line="300" w:lineRule="exact"/>
              <w:jc w:val="right"/>
              <w:rPr>
                <w:rFonts w:eastAsia="Times New Roman"/>
                <w:kern w:val="2"/>
                <w:sz w:val="20"/>
                <w:szCs w:val="20"/>
              </w:rPr>
            </w:pPr>
            <w:r w:rsidRPr="00FF756A">
              <w:rPr>
                <w:sz w:val="20"/>
                <w:szCs w:val="20"/>
              </w:rPr>
              <w:t>22</w:t>
            </w:r>
            <w:r w:rsidR="00130D80" w:rsidRPr="00FF756A">
              <w:rPr>
                <w:sz w:val="20"/>
                <w:szCs w:val="20"/>
              </w:rPr>
              <w:t>,</w:t>
            </w:r>
            <w:r w:rsidRPr="00FF756A">
              <w:rPr>
                <w:sz w:val="20"/>
                <w:szCs w:val="20"/>
              </w:rPr>
              <w:t>430</w:t>
            </w:r>
          </w:p>
        </w:tc>
      </w:tr>
      <w:tr w:rsidR="00D54618" w:rsidRPr="00FF756A" w14:paraId="5AC7F853" w14:textId="77777777" w:rsidTr="00E0023B">
        <w:tc>
          <w:tcPr>
            <w:tcW w:w="4675" w:type="dxa"/>
            <w:vAlign w:val="center"/>
          </w:tcPr>
          <w:p w14:paraId="66B9DAB2" w14:textId="77777777" w:rsidR="00D54618" w:rsidRPr="00FF756A" w:rsidRDefault="00D54618" w:rsidP="00E0023B">
            <w:pPr>
              <w:suppressAutoHyphens/>
              <w:spacing w:after="0" w:line="300" w:lineRule="exact"/>
              <w:rPr>
                <w:rFonts w:eastAsia="Times New Roman"/>
                <w:kern w:val="2"/>
                <w:sz w:val="20"/>
                <w:szCs w:val="20"/>
              </w:rPr>
            </w:pPr>
            <w:r w:rsidRPr="00FF756A">
              <w:rPr>
                <w:sz w:val="20"/>
                <w:szCs w:val="20"/>
              </w:rPr>
              <w:t>Gazoil/naftë dizel</w:t>
            </w:r>
          </w:p>
        </w:tc>
        <w:tc>
          <w:tcPr>
            <w:tcW w:w="4675" w:type="dxa"/>
            <w:vAlign w:val="center"/>
          </w:tcPr>
          <w:p w14:paraId="0307BC1B" w14:textId="1144DED3" w:rsidR="00D54618" w:rsidRPr="00FF756A" w:rsidRDefault="00D54618" w:rsidP="00E0023B">
            <w:pPr>
              <w:suppressAutoHyphens/>
              <w:spacing w:after="0" w:line="300" w:lineRule="exact"/>
              <w:jc w:val="right"/>
              <w:rPr>
                <w:rFonts w:eastAsia="Times New Roman"/>
                <w:kern w:val="2"/>
                <w:sz w:val="20"/>
                <w:szCs w:val="20"/>
              </w:rPr>
            </w:pPr>
            <w:r w:rsidRPr="00FF756A">
              <w:rPr>
                <w:sz w:val="20"/>
                <w:szCs w:val="20"/>
              </w:rPr>
              <w:t>178</w:t>
            </w:r>
            <w:r w:rsidR="00130D80" w:rsidRPr="00FF756A">
              <w:rPr>
                <w:sz w:val="20"/>
                <w:szCs w:val="20"/>
              </w:rPr>
              <w:t>,</w:t>
            </w:r>
            <w:r w:rsidRPr="00FF756A">
              <w:rPr>
                <w:sz w:val="20"/>
                <w:szCs w:val="20"/>
              </w:rPr>
              <w:t>331</w:t>
            </w:r>
          </w:p>
        </w:tc>
      </w:tr>
      <w:tr w:rsidR="00D54618" w:rsidRPr="00FF756A" w14:paraId="5F18B105" w14:textId="77777777" w:rsidTr="00E0023B">
        <w:tc>
          <w:tcPr>
            <w:tcW w:w="4675" w:type="dxa"/>
            <w:vAlign w:val="center"/>
          </w:tcPr>
          <w:p w14:paraId="448E81EA" w14:textId="77777777" w:rsidR="00D54618" w:rsidRPr="00FF756A" w:rsidRDefault="00D54618" w:rsidP="00E0023B">
            <w:pPr>
              <w:suppressAutoHyphens/>
              <w:spacing w:after="0" w:line="300" w:lineRule="exact"/>
              <w:rPr>
                <w:rFonts w:eastAsia="Times New Roman"/>
                <w:kern w:val="2"/>
                <w:sz w:val="20"/>
                <w:szCs w:val="20"/>
              </w:rPr>
            </w:pPr>
            <w:r w:rsidRPr="00FF756A">
              <w:rPr>
                <w:sz w:val="20"/>
                <w:szCs w:val="20"/>
              </w:rPr>
              <w:t>Mazut</w:t>
            </w:r>
          </w:p>
        </w:tc>
        <w:tc>
          <w:tcPr>
            <w:tcW w:w="4675" w:type="dxa"/>
            <w:vAlign w:val="center"/>
          </w:tcPr>
          <w:p w14:paraId="2A1ABEDB" w14:textId="1A250A0A" w:rsidR="00D54618" w:rsidRPr="00FF756A" w:rsidRDefault="00D54618" w:rsidP="00E0023B">
            <w:pPr>
              <w:suppressAutoHyphens/>
              <w:spacing w:after="0" w:line="300" w:lineRule="exact"/>
              <w:jc w:val="right"/>
              <w:rPr>
                <w:rFonts w:eastAsia="Times New Roman"/>
                <w:kern w:val="2"/>
                <w:sz w:val="20"/>
                <w:szCs w:val="20"/>
              </w:rPr>
            </w:pPr>
            <w:r w:rsidRPr="00FF756A">
              <w:rPr>
                <w:sz w:val="20"/>
                <w:szCs w:val="20"/>
              </w:rPr>
              <w:t>1</w:t>
            </w:r>
            <w:r w:rsidR="00130D80" w:rsidRPr="00FF756A">
              <w:rPr>
                <w:sz w:val="20"/>
                <w:szCs w:val="20"/>
              </w:rPr>
              <w:t>,</w:t>
            </w:r>
            <w:r w:rsidRPr="00FF756A">
              <w:rPr>
                <w:sz w:val="20"/>
                <w:szCs w:val="20"/>
              </w:rPr>
              <w:t>217</w:t>
            </w:r>
          </w:p>
        </w:tc>
      </w:tr>
      <w:tr w:rsidR="00D54618" w:rsidRPr="00FF756A" w14:paraId="6AD4D194" w14:textId="77777777" w:rsidTr="00E0023B">
        <w:tc>
          <w:tcPr>
            <w:tcW w:w="4675" w:type="dxa"/>
            <w:vAlign w:val="center"/>
          </w:tcPr>
          <w:p w14:paraId="514C085F" w14:textId="77777777" w:rsidR="00D54618" w:rsidRPr="00FF756A" w:rsidRDefault="00D54618" w:rsidP="00E0023B">
            <w:pPr>
              <w:suppressAutoHyphens/>
              <w:spacing w:after="0" w:line="300" w:lineRule="exact"/>
              <w:rPr>
                <w:rFonts w:eastAsia="Times New Roman"/>
                <w:kern w:val="2"/>
                <w:sz w:val="20"/>
                <w:szCs w:val="20"/>
              </w:rPr>
            </w:pPr>
            <w:r w:rsidRPr="00FF756A">
              <w:rPr>
                <w:sz w:val="20"/>
                <w:szCs w:val="20"/>
              </w:rPr>
              <w:t>Gaz i lëngshëm nafte (GLN)</w:t>
            </w:r>
          </w:p>
        </w:tc>
        <w:tc>
          <w:tcPr>
            <w:tcW w:w="4675" w:type="dxa"/>
            <w:vAlign w:val="center"/>
          </w:tcPr>
          <w:p w14:paraId="6CEA1281" w14:textId="19FEDCC1" w:rsidR="00D54618" w:rsidRPr="00FF756A" w:rsidRDefault="00D54618" w:rsidP="00E0023B">
            <w:pPr>
              <w:suppressAutoHyphens/>
              <w:spacing w:after="0" w:line="300" w:lineRule="exact"/>
              <w:jc w:val="right"/>
              <w:rPr>
                <w:rFonts w:eastAsia="Times New Roman"/>
                <w:kern w:val="2"/>
                <w:sz w:val="20"/>
                <w:szCs w:val="20"/>
              </w:rPr>
            </w:pPr>
            <w:r w:rsidRPr="00FF756A">
              <w:rPr>
                <w:sz w:val="20"/>
                <w:szCs w:val="20"/>
              </w:rPr>
              <w:t>54</w:t>
            </w:r>
            <w:r w:rsidR="002D7AEE" w:rsidRPr="00FF756A">
              <w:rPr>
                <w:sz w:val="20"/>
                <w:szCs w:val="20"/>
              </w:rPr>
              <w:t>,</w:t>
            </w:r>
            <w:r w:rsidRPr="00FF756A">
              <w:rPr>
                <w:sz w:val="20"/>
                <w:szCs w:val="20"/>
              </w:rPr>
              <w:t>098</w:t>
            </w:r>
          </w:p>
        </w:tc>
      </w:tr>
      <w:tr w:rsidR="00D54618" w:rsidRPr="00FF756A" w14:paraId="7E3EC431" w14:textId="77777777" w:rsidTr="00E0023B">
        <w:tc>
          <w:tcPr>
            <w:tcW w:w="4675" w:type="dxa"/>
            <w:vAlign w:val="center"/>
          </w:tcPr>
          <w:p w14:paraId="0178F835" w14:textId="77777777" w:rsidR="00D54618" w:rsidRPr="00FF756A" w:rsidRDefault="00D54618" w:rsidP="00E0023B">
            <w:pPr>
              <w:suppressAutoHyphens/>
              <w:spacing w:after="0" w:line="300" w:lineRule="exact"/>
              <w:rPr>
                <w:rFonts w:eastAsia="Times New Roman"/>
                <w:kern w:val="2"/>
                <w:sz w:val="20"/>
                <w:szCs w:val="20"/>
              </w:rPr>
            </w:pPr>
            <w:r w:rsidRPr="00FF756A">
              <w:rPr>
                <w:sz w:val="20"/>
                <w:szCs w:val="20"/>
              </w:rPr>
              <w:t>Karburant për avionë i tipit vajguri</w:t>
            </w:r>
          </w:p>
        </w:tc>
        <w:tc>
          <w:tcPr>
            <w:tcW w:w="4675" w:type="dxa"/>
            <w:vAlign w:val="center"/>
          </w:tcPr>
          <w:p w14:paraId="18D6A9DA" w14:textId="616797A7" w:rsidR="00D54618" w:rsidRPr="00FF756A" w:rsidRDefault="00D54618" w:rsidP="00E0023B">
            <w:pPr>
              <w:suppressAutoHyphens/>
              <w:spacing w:after="0" w:line="300" w:lineRule="exact"/>
              <w:jc w:val="right"/>
              <w:rPr>
                <w:rFonts w:eastAsia="Times New Roman"/>
                <w:kern w:val="2"/>
                <w:sz w:val="20"/>
                <w:szCs w:val="20"/>
              </w:rPr>
            </w:pPr>
            <w:r w:rsidRPr="00FF756A">
              <w:rPr>
                <w:sz w:val="20"/>
                <w:szCs w:val="20"/>
              </w:rPr>
              <w:t>3</w:t>
            </w:r>
            <w:r w:rsidR="002D7AEE" w:rsidRPr="00FF756A">
              <w:rPr>
                <w:sz w:val="20"/>
                <w:szCs w:val="20"/>
              </w:rPr>
              <w:t>,</w:t>
            </w:r>
            <w:r w:rsidRPr="00FF756A">
              <w:rPr>
                <w:sz w:val="20"/>
                <w:szCs w:val="20"/>
              </w:rPr>
              <w:t>191</w:t>
            </w:r>
          </w:p>
        </w:tc>
      </w:tr>
      <w:tr w:rsidR="00D54618" w:rsidRPr="00FF756A" w14:paraId="635C6D66" w14:textId="77777777" w:rsidTr="00E0023B">
        <w:tc>
          <w:tcPr>
            <w:tcW w:w="4675" w:type="dxa"/>
            <w:vAlign w:val="center"/>
          </w:tcPr>
          <w:p w14:paraId="48F999C1" w14:textId="77777777" w:rsidR="00D54618" w:rsidRPr="00FF756A" w:rsidRDefault="00D54618" w:rsidP="00E0023B">
            <w:pPr>
              <w:suppressAutoHyphens/>
              <w:spacing w:after="0" w:line="300" w:lineRule="exact"/>
              <w:rPr>
                <w:rFonts w:eastAsia="Times New Roman"/>
                <w:kern w:val="2"/>
                <w:sz w:val="20"/>
                <w:szCs w:val="20"/>
              </w:rPr>
            </w:pPr>
            <w:r w:rsidRPr="00FF756A">
              <w:rPr>
                <w:sz w:val="20"/>
                <w:szCs w:val="20"/>
              </w:rPr>
              <w:t xml:space="preserve">Benzinë për aviacion </w:t>
            </w:r>
          </w:p>
        </w:tc>
        <w:tc>
          <w:tcPr>
            <w:tcW w:w="4675" w:type="dxa"/>
            <w:vAlign w:val="center"/>
          </w:tcPr>
          <w:p w14:paraId="2A8C4C6B" w14:textId="77777777" w:rsidR="00D54618" w:rsidRPr="00FF756A" w:rsidRDefault="00D54618" w:rsidP="00E0023B">
            <w:pPr>
              <w:suppressAutoHyphens/>
              <w:spacing w:after="0" w:line="300" w:lineRule="exact"/>
              <w:jc w:val="right"/>
              <w:rPr>
                <w:rFonts w:eastAsia="Times New Roman"/>
                <w:kern w:val="2"/>
                <w:sz w:val="20"/>
                <w:szCs w:val="20"/>
              </w:rPr>
            </w:pPr>
            <w:r w:rsidRPr="00FF756A">
              <w:rPr>
                <w:sz w:val="20"/>
                <w:szCs w:val="20"/>
              </w:rPr>
              <w:t>1</w:t>
            </w:r>
          </w:p>
        </w:tc>
      </w:tr>
      <w:tr w:rsidR="00D54618" w:rsidRPr="00FF756A" w14:paraId="081F8678" w14:textId="77777777" w:rsidTr="00E0023B">
        <w:tc>
          <w:tcPr>
            <w:tcW w:w="4675" w:type="dxa"/>
            <w:vAlign w:val="center"/>
          </w:tcPr>
          <w:p w14:paraId="6BDDDBA9" w14:textId="77777777" w:rsidR="00D54618" w:rsidRPr="00FF756A" w:rsidRDefault="00D54618" w:rsidP="00E0023B">
            <w:pPr>
              <w:suppressAutoHyphens/>
              <w:spacing w:after="0" w:line="300" w:lineRule="exact"/>
              <w:rPr>
                <w:rFonts w:eastAsia="Times New Roman"/>
                <w:b/>
                <w:kern w:val="2"/>
                <w:sz w:val="20"/>
                <w:szCs w:val="20"/>
              </w:rPr>
            </w:pPr>
            <w:r w:rsidRPr="00FF756A">
              <w:rPr>
                <w:b/>
                <w:sz w:val="20"/>
                <w:szCs w:val="20"/>
              </w:rPr>
              <w:t>TOTALI</w:t>
            </w:r>
          </w:p>
        </w:tc>
        <w:tc>
          <w:tcPr>
            <w:tcW w:w="4675" w:type="dxa"/>
            <w:vAlign w:val="center"/>
          </w:tcPr>
          <w:p w14:paraId="3940DB08" w14:textId="5E31BCB4" w:rsidR="00D54618" w:rsidRPr="00FF756A" w:rsidRDefault="00D54618" w:rsidP="00ED41B5">
            <w:pPr>
              <w:keepNext/>
              <w:suppressAutoHyphens/>
              <w:spacing w:after="0" w:line="300" w:lineRule="exact"/>
              <w:jc w:val="right"/>
              <w:rPr>
                <w:rFonts w:eastAsia="Times New Roman"/>
                <w:b/>
                <w:kern w:val="2"/>
                <w:sz w:val="20"/>
                <w:szCs w:val="20"/>
              </w:rPr>
            </w:pPr>
            <w:r w:rsidRPr="00FF756A">
              <w:rPr>
                <w:b/>
                <w:sz w:val="20"/>
                <w:szCs w:val="20"/>
              </w:rPr>
              <w:t>266</w:t>
            </w:r>
            <w:r w:rsidR="002D7AEE" w:rsidRPr="00FF756A">
              <w:rPr>
                <w:b/>
                <w:sz w:val="20"/>
                <w:szCs w:val="20"/>
              </w:rPr>
              <w:t>.</w:t>
            </w:r>
            <w:r w:rsidRPr="00FF756A">
              <w:rPr>
                <w:b/>
                <w:sz w:val="20"/>
                <w:szCs w:val="20"/>
              </w:rPr>
              <w:t>092</w:t>
            </w:r>
          </w:p>
        </w:tc>
      </w:tr>
    </w:tbl>
    <w:p w14:paraId="4740992B" w14:textId="1F7EA84E" w:rsidR="00DA2EDE" w:rsidRPr="00FF756A" w:rsidRDefault="00ED41B5" w:rsidP="00ED41B5">
      <w:pPr>
        <w:pStyle w:val="Caption"/>
        <w:rPr>
          <w:rFonts w:ascii="Times New Roman" w:hAnsi="Times New Roman"/>
        </w:rPr>
      </w:pPr>
      <w:bookmarkStart w:id="61" w:name="_Toc183016473"/>
      <w:r w:rsidRPr="00FF756A">
        <w:rPr>
          <w:rFonts w:ascii="Times New Roman" w:hAnsi="Times New Roman"/>
        </w:rPr>
        <w:t xml:space="preserve">Tabela </w:t>
      </w:r>
      <w:r w:rsidR="00266C56" w:rsidRPr="00FF756A">
        <w:rPr>
          <w:rFonts w:ascii="Times New Roman" w:hAnsi="Times New Roman"/>
        </w:rPr>
        <w:fldChar w:fldCharType="begin"/>
      </w:r>
      <w:r w:rsidR="00266C56" w:rsidRPr="00FF756A">
        <w:rPr>
          <w:rFonts w:ascii="Times New Roman" w:hAnsi="Times New Roman"/>
        </w:rPr>
        <w:instrText xml:space="preserve"> SEQ Tabela \* ARABIC </w:instrText>
      </w:r>
      <w:r w:rsidR="00266C56" w:rsidRPr="00FF756A">
        <w:rPr>
          <w:rFonts w:ascii="Times New Roman" w:hAnsi="Times New Roman"/>
        </w:rPr>
        <w:fldChar w:fldCharType="separate"/>
      </w:r>
      <w:r w:rsidR="00266C56" w:rsidRPr="00FF756A">
        <w:rPr>
          <w:rFonts w:ascii="Times New Roman" w:hAnsi="Times New Roman"/>
          <w:noProof/>
        </w:rPr>
        <w:t>9</w:t>
      </w:r>
      <w:r w:rsidR="00266C56" w:rsidRPr="00FF756A">
        <w:rPr>
          <w:rFonts w:ascii="Times New Roman" w:hAnsi="Times New Roman"/>
          <w:noProof/>
        </w:rPr>
        <w:fldChar w:fldCharType="end"/>
      </w:r>
      <w:r w:rsidRPr="00FF756A">
        <w:rPr>
          <w:rFonts w:ascii="Times New Roman" w:hAnsi="Times New Roman"/>
        </w:rPr>
        <w:t>: Sasitë e rezervave të naftës bruto dhe nënprodukteve të saj për vitin 2023 (Burimi: Ministria e Infrastrukturës dhe Energjisë)</w:t>
      </w:r>
      <w:bookmarkEnd w:id="61"/>
    </w:p>
    <w:p w14:paraId="530691DD" w14:textId="77777777" w:rsidR="004635CB" w:rsidRPr="00FF756A" w:rsidRDefault="004635CB" w:rsidP="006C3E90">
      <w:pPr>
        <w:spacing w:before="40" w:after="40"/>
        <w:rPr>
          <w:rFonts w:eastAsia="Times New Roman"/>
          <w:lang w:eastAsia="en-GB"/>
        </w:rPr>
      </w:pPr>
    </w:p>
    <w:p w14:paraId="1CA142CB" w14:textId="2F11A57E" w:rsidR="004635CB" w:rsidRPr="00FF756A" w:rsidRDefault="004635CB" w:rsidP="006C3E90">
      <w:pPr>
        <w:spacing w:before="40" w:after="40"/>
        <w:rPr>
          <w:rFonts w:eastAsia="Times New Roman"/>
        </w:rPr>
      </w:pPr>
      <w:r w:rsidRPr="00FF756A">
        <w:lastRenderedPageBreak/>
        <w:t>Ministria e Infrastrukturës dhe Energjisë në bashkëpunim me Sekretariatin e Komunitetit të Energjisë ka përgatitur projektligjin “Për krijimin, mbajtjen dhe menaxhimin e rezervave minimale të sigurisë të naftës bruto dhe nënprodukteve të saj”, me qëllim transpozimin e Direktivës së Këshillit 2009/119, e cila përcakton detyrimin e shteteve anëtare për mbajtjen e rezervave minimale të naftës bruto dhe/ose nënprodukteve të saj. Ajo ka përgatitur gjithashtu edhe dy rregullore në lidhje me mbledhjen e të dhënave për pyetësorin mujor për naftën, mënyrën e llogaritjes së rezervave minimale të naftës bruto dhe/ose nënprodukteve të saj, si dhe sigurimin e raporteve përkatëse.</w:t>
      </w:r>
    </w:p>
    <w:p w14:paraId="1440EDF3" w14:textId="77777777" w:rsidR="00DA2EDE" w:rsidRPr="00FF756A" w:rsidRDefault="00DA2EDE" w:rsidP="006C3E90">
      <w:pPr>
        <w:suppressAutoHyphens/>
        <w:spacing w:before="40" w:after="40"/>
      </w:pPr>
    </w:p>
    <w:bookmarkEnd w:id="60"/>
    <w:p w14:paraId="19F54943" w14:textId="77777777" w:rsidR="00DA2EDE" w:rsidRPr="00FF756A" w:rsidRDefault="00DA2EDE" w:rsidP="006C3E90">
      <w:pPr>
        <w:suppressAutoHyphens/>
        <w:spacing w:before="40" w:after="40"/>
        <w:rPr>
          <w:b/>
        </w:rPr>
      </w:pPr>
      <w:r w:rsidRPr="00FF756A">
        <w:rPr>
          <w:b/>
        </w:rPr>
        <w:t>Gazi - Plani i emergjencës për gazin natyror</w:t>
      </w:r>
    </w:p>
    <w:p w14:paraId="72085BD7" w14:textId="77777777" w:rsidR="00DA2EDE" w:rsidRPr="00FF756A" w:rsidRDefault="00DA2EDE" w:rsidP="006C3E90">
      <w:pPr>
        <w:spacing w:before="40" w:after="40"/>
      </w:pPr>
      <w:r w:rsidRPr="00FF756A">
        <w:t xml:space="preserve">Dokumentet politike: </w:t>
      </w:r>
    </w:p>
    <w:p w14:paraId="42B5FF1B" w14:textId="60382977" w:rsidR="009B3ACA" w:rsidRPr="00FF756A" w:rsidRDefault="009B3ACA">
      <w:pPr>
        <w:pStyle w:val="ListParagraph"/>
        <w:widowControl w:val="0"/>
        <w:numPr>
          <w:ilvl w:val="0"/>
          <w:numId w:val="24"/>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contextualSpacing w:val="0"/>
      </w:pPr>
      <w:r w:rsidRPr="00FF756A">
        <w:t>Ligji nr. 81/2021, datë 24.6.2021 “Për disa shtesa dhe ndryshime në ligjin nr. 102/2015 “Për sektorin e gazit natyror”, i cili trajton masat për garantimin e sigurisë së furnizimit me gaz dhe është në pajtueshmëri me Rregulloren (BE) 2017/1938 në lidhje me masat për garantimin e sigurisë së furnizimit me gaz dhe që shfuqizon Rregulloren (BE) 994/2010. Ndryshimet konsistojnë në prezantimin e elementeve të reja që lidhen me sigurinë e furnizimit.</w:t>
      </w:r>
    </w:p>
    <w:p w14:paraId="45B83267" w14:textId="0B6BD423" w:rsidR="00DA2EDE" w:rsidRPr="00FF756A" w:rsidRDefault="00DA2EDE">
      <w:pPr>
        <w:pStyle w:val="ListParagraph"/>
        <w:widowControl w:val="0"/>
        <w:numPr>
          <w:ilvl w:val="0"/>
          <w:numId w:val="24"/>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contextualSpacing w:val="0"/>
      </w:pPr>
      <w:r w:rsidRPr="00FF756A">
        <w:t>Plani i emergjencës për gazin natyror, në përputhje me standardet minimale të sigurisë së furnizimit, si dhe rregullat për të garantuar furnizim të sigurt dhe të efektshëm me gaz natyror</w:t>
      </w:r>
      <w:r w:rsidRPr="00FF756A">
        <w:rPr>
          <w:rStyle w:val="FootnoteReference"/>
          <w:rFonts w:eastAsiaTheme="majorEastAsia"/>
          <w:bCs/>
        </w:rPr>
        <w:footnoteReference w:id="2"/>
      </w:r>
      <w:r w:rsidRPr="00FF756A">
        <w:rPr>
          <w:rStyle w:val="FootnoteReference"/>
          <w:rFonts w:eastAsiaTheme="majorEastAsia"/>
          <w:bCs/>
        </w:rPr>
        <w:t xml:space="preserve"> </w:t>
      </w:r>
      <w:r w:rsidRPr="00FF756A">
        <w:rPr>
          <w:rStyle w:val="FootnoteReference"/>
          <w:bCs/>
        </w:rPr>
        <w:t xml:space="preserve"> </w:t>
      </w:r>
    </w:p>
    <w:p w14:paraId="46727774" w14:textId="77777777" w:rsidR="00DA2EDE" w:rsidRPr="00FF756A" w:rsidRDefault="00DA2EDE">
      <w:pPr>
        <w:pStyle w:val="ListParagraph"/>
        <w:widowControl w:val="0"/>
        <w:numPr>
          <w:ilvl w:val="0"/>
          <w:numId w:val="24"/>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contextualSpacing w:val="0"/>
      </w:pPr>
      <w:r w:rsidRPr="00FF756A">
        <w:t>Zhvillimi i sektorit të gazit natyror në Shqipëri dhe identifikimi i projekteve me prioritet</w:t>
      </w:r>
      <w:r w:rsidRPr="00FF756A">
        <w:rPr>
          <w:rStyle w:val="FootnoteReference"/>
          <w:rFonts w:eastAsiaTheme="majorEastAsia"/>
          <w:bCs/>
        </w:rPr>
        <w:footnoteReference w:id="3"/>
      </w:r>
      <w:r w:rsidRPr="00FF756A">
        <w:t xml:space="preserve"> </w:t>
      </w:r>
    </w:p>
    <w:p w14:paraId="305D7568" w14:textId="5DBE18A4" w:rsidR="00DA2EDE" w:rsidRPr="00FF756A" w:rsidRDefault="00DA2EDE" w:rsidP="006C3E90">
      <w:pPr>
        <w:spacing w:before="40" w:after="40"/>
      </w:pPr>
      <w:r w:rsidRPr="00FF756A">
        <w:t xml:space="preserve">VKM-të përkatëse japin informacion më të detajuar: VKM nr. 417, datë 10.5.2017, “Për miratimin e planit të emergjencës për gazin natyror, në përputhje me standardet minimale të sigurisë së furnizimit, si dhe rregullat për të garantuar furnizim të sigurt dhe të efektshëm me gaz natyror”. </w:t>
      </w:r>
    </w:p>
    <w:p w14:paraId="0C6DEF93" w14:textId="77777777" w:rsidR="00DA2EDE" w:rsidRPr="00FF756A" w:rsidRDefault="00DA2EDE" w:rsidP="006C3E90">
      <w:pPr>
        <w:suppressAutoHyphens/>
        <w:spacing w:before="40" w:after="40"/>
      </w:pPr>
      <w:r w:rsidRPr="00FF756A">
        <w:t>Plani Kombëtar i Emergjencës për gazin natyror përcakton standardet lidhur me kërkesat minimale të përshtatshme për sigurinë e furnizimit me gaz natyror në Republikën e Shqipërisë, kriteret e detyrueshme për garantimin e furnizimit të sigurt dhe të efektshëm me gaz natyror dhe detyrat e përgjegjësitë e institucioneve për menaxhimin e situatave të emergjencës në furnizimin e klientëve me gaz.</w:t>
      </w:r>
    </w:p>
    <w:p w14:paraId="708C973E" w14:textId="77777777" w:rsidR="00DA2EDE" w:rsidRPr="00FF756A" w:rsidRDefault="00DA2EDE" w:rsidP="006C3E90">
      <w:pPr>
        <w:suppressAutoHyphens/>
        <w:spacing w:before="40" w:after="40"/>
      </w:pPr>
      <w:r w:rsidRPr="00FF756A">
        <w:t>Plani i Emergjencës përfshin në veçanti:</w:t>
      </w:r>
    </w:p>
    <w:p w14:paraId="5C93123E" w14:textId="77777777" w:rsidR="00DA2EDE" w:rsidRPr="00FF756A" w:rsidRDefault="00DA2EDE">
      <w:pPr>
        <w:pStyle w:val="ListParagraph"/>
        <w:widowControl w:val="0"/>
        <w:numPr>
          <w:ilvl w:val="0"/>
          <w:numId w:val="23"/>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contextualSpacing w:val="0"/>
      </w:pPr>
      <w:r w:rsidRPr="00FF756A">
        <w:t>Përcaktimin e standardeve lidhur me kërkesat minimale të përshtatshme të sigurisë së furnizimit;</w:t>
      </w:r>
    </w:p>
    <w:p w14:paraId="112FC3F2" w14:textId="77777777" w:rsidR="00DA2EDE" w:rsidRPr="00FF756A" w:rsidRDefault="00DA2EDE">
      <w:pPr>
        <w:pStyle w:val="ListParagraph"/>
        <w:widowControl w:val="0"/>
        <w:numPr>
          <w:ilvl w:val="0"/>
          <w:numId w:val="23"/>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contextualSpacing w:val="0"/>
      </w:pPr>
      <w:r w:rsidRPr="00FF756A">
        <w:t>Instrumente dhe masa që garantojnë sigurimin në një masë të përshtatshme dhe të përcaktuar qartë të furnizimit me gaz për klientët e mbrojtur, duke përmbushur standardet e sigurisë së furnizimit;</w:t>
      </w:r>
    </w:p>
    <w:p w14:paraId="707CD235" w14:textId="77777777" w:rsidR="00DA2EDE" w:rsidRPr="00FF756A" w:rsidRDefault="00DA2EDE">
      <w:pPr>
        <w:pStyle w:val="ListParagraph"/>
        <w:widowControl w:val="0"/>
        <w:numPr>
          <w:ilvl w:val="0"/>
          <w:numId w:val="23"/>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contextualSpacing w:val="0"/>
      </w:pPr>
      <w:r w:rsidRPr="00FF756A">
        <w:t>Instrumente dhe masa për parashikimin dhe vlerësimin e rreziqeve të mundshme, që caktojnë qartë veprimet për parandalimin e këtyre rreziqeve dhe lehtësimin e dëmeve të mundshme të lidhura me to;</w:t>
      </w:r>
    </w:p>
    <w:p w14:paraId="7F993D67" w14:textId="77777777" w:rsidR="00DA2EDE" w:rsidRPr="00FF756A" w:rsidRDefault="00DA2EDE">
      <w:pPr>
        <w:pStyle w:val="ListParagraph"/>
        <w:widowControl w:val="0"/>
        <w:numPr>
          <w:ilvl w:val="0"/>
          <w:numId w:val="23"/>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contextualSpacing w:val="0"/>
      </w:pPr>
      <w:r w:rsidRPr="00FF756A">
        <w:t>Një program për zvogëlimin ose ndërprerjen e furnizimit me gaz natyror për kategori të veçanta klientësh në rast të një situate krize në sektorin e gazit natyror;</w:t>
      </w:r>
    </w:p>
    <w:p w14:paraId="34D585E4" w14:textId="77777777" w:rsidR="00DA2EDE" w:rsidRPr="00FF756A" w:rsidRDefault="00DA2EDE">
      <w:pPr>
        <w:pStyle w:val="ListParagraph"/>
        <w:widowControl w:val="0"/>
        <w:numPr>
          <w:ilvl w:val="0"/>
          <w:numId w:val="23"/>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contextualSpacing w:val="0"/>
      </w:pPr>
      <w:r w:rsidRPr="00FF756A">
        <w:t>Rolin dhe përgjegjësitë e sipërmarrësve të gazit dhe konsumatorëve jofamiljarë, duke marrë në konsideratë masat e ndryshme të ndikimit në rast të një situate krize në sektorin e gazit natyror;</w:t>
      </w:r>
    </w:p>
    <w:p w14:paraId="7E7E3DD6" w14:textId="77777777" w:rsidR="00DA2EDE" w:rsidRPr="00FF756A" w:rsidRDefault="00DA2EDE">
      <w:pPr>
        <w:pStyle w:val="ListParagraph"/>
        <w:widowControl w:val="0"/>
        <w:numPr>
          <w:ilvl w:val="0"/>
          <w:numId w:val="23"/>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contextualSpacing w:val="0"/>
      </w:pPr>
      <w:r w:rsidRPr="00FF756A">
        <w:t xml:space="preserve">Kritere në lidhje me impiantet e depozitimit, me qëllim përmbushjen e standardeve të sigurisë së furnizimit, si dhe kontribute të mundshme për impiantet e depozitimit të vendosura ose në Republikën e Shqipërisë ose në një palë tjetër kontraktuese në Komunitetin e Energjisë, apo </w:t>
      </w:r>
      <w:r w:rsidRPr="00FF756A">
        <w:lastRenderedPageBreak/>
        <w:t>vend anëtar të Bashkimit Evropian;</w:t>
      </w:r>
    </w:p>
    <w:p w14:paraId="4C173BEB" w14:textId="77777777" w:rsidR="00DA2EDE" w:rsidRPr="00FF756A" w:rsidRDefault="00DA2EDE">
      <w:pPr>
        <w:pStyle w:val="ListParagraph"/>
        <w:widowControl w:val="0"/>
        <w:numPr>
          <w:ilvl w:val="0"/>
          <w:numId w:val="23"/>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contextualSpacing w:val="0"/>
      </w:pPr>
      <w:r w:rsidRPr="00FF756A">
        <w:t>Masa dhe veprime të tjera me rëndësi, që do të ndërmerren për eliminimin apo lehtësimin e ndikimit nga një ndërprerje e furnizimit me gaz natyror, duke marrë në konsideratë nivele të ndryshme të krizës.</w:t>
      </w:r>
    </w:p>
    <w:p w14:paraId="326285E8" w14:textId="77777777" w:rsidR="00DA2EDE" w:rsidRPr="00FF756A" w:rsidRDefault="00DA2EDE" w:rsidP="006C3E90">
      <w:pPr>
        <w:spacing w:before="40" w:after="40"/>
        <w:rPr>
          <w:b/>
        </w:rPr>
      </w:pPr>
    </w:p>
    <w:p w14:paraId="08B7DF77" w14:textId="479DB695" w:rsidR="00DA2EDE" w:rsidRPr="00FF756A" w:rsidRDefault="00DA2EDE" w:rsidP="006C3E90">
      <w:pPr>
        <w:spacing w:before="40" w:after="40"/>
        <w:rPr>
          <w:bCs/>
        </w:rPr>
      </w:pPr>
      <w:r w:rsidRPr="00FF756A">
        <w:rPr>
          <w:b/>
        </w:rPr>
        <w:t xml:space="preserve">Nga një vlerësim i ndikimit të politikave dhe masave, </w:t>
      </w:r>
      <w:r w:rsidRPr="00FF756A">
        <w:t xml:space="preserve">Shqipëria </w:t>
      </w:r>
      <w:r w:rsidR="000C0FC9" w:rsidRPr="00FF756A">
        <w:t>është</w:t>
      </w:r>
      <w:r w:rsidRPr="00FF756A">
        <w:t xml:space="preserve"> në një fazë të mesme përgatitore për sigurinë e furnizimit. Treguesit cilësorë tregohen në vijim.</w:t>
      </w:r>
    </w:p>
    <w:p w14:paraId="110484F7" w14:textId="77777777" w:rsidR="00DA2EDE" w:rsidRPr="00FF756A" w:rsidRDefault="00DA2EDE" w:rsidP="006C3E90">
      <w:pPr>
        <w:spacing w:before="40" w:after="40"/>
      </w:pPr>
      <w:r w:rsidRPr="00FF756A">
        <w:t xml:space="preserve">1. </w:t>
      </w:r>
      <w:r w:rsidRPr="00FF756A">
        <w:tab/>
        <w:t>Kuadri i furnizimit me gaz</w:t>
      </w:r>
    </w:p>
    <w:p w14:paraId="756DBC10" w14:textId="11A3BF94" w:rsidR="00DA2EDE" w:rsidRPr="00FF756A" w:rsidRDefault="00DA2EDE" w:rsidP="006C3E90">
      <w:pPr>
        <w:spacing w:before="40" w:after="40"/>
      </w:pPr>
      <w:r w:rsidRPr="00FF756A">
        <w:t xml:space="preserve">Rrjeti ekzistues i gazit është i vjetruar dhe përgjithësisht jofunksional. Prodhimi i brendshëm i gazit natyror është thuajse i papërfillshëm dhe pjesa më e madhe e këtij prodhimi konsumohet </w:t>
      </w:r>
      <w:r w:rsidR="009D238A" w:rsidRPr="00FF756A">
        <w:t xml:space="preserve">nga industria e përpunimit </w:t>
      </w:r>
      <w:r w:rsidRPr="00FF756A">
        <w:t xml:space="preserve">për nevoja vetjake </w:t>
      </w:r>
      <w:r w:rsidR="009D238A" w:rsidRPr="00FF756A">
        <w:t>gjat</w:t>
      </w:r>
      <w:r w:rsidRPr="00FF756A">
        <w:t>ë prodhimi</w:t>
      </w:r>
      <w:r w:rsidR="009D238A" w:rsidRPr="00FF756A">
        <w:t>t të</w:t>
      </w:r>
      <w:r w:rsidRPr="00FF756A">
        <w:t xml:space="preserve"> naftës</w:t>
      </w:r>
      <w:r w:rsidR="009D238A" w:rsidRPr="00FF756A">
        <w:t>.</w:t>
      </w:r>
    </w:p>
    <w:p w14:paraId="0DD4A4D5" w14:textId="51F93914" w:rsidR="00DA2EDE" w:rsidRPr="00FF756A" w:rsidRDefault="00DA2EDE" w:rsidP="006C3E90">
      <w:pPr>
        <w:spacing w:before="40" w:after="40"/>
      </w:pPr>
      <w:r w:rsidRPr="00FF756A">
        <w:t xml:space="preserve">Për sa u përket hidrokarbureve, Shqipëria nuk e ka përafruar legjislacionin e saj me Direktivën për Licencimin e Hidrokarbureve, por ka pasur njëfarë progresi me </w:t>
      </w:r>
      <w:r w:rsidR="00524A29" w:rsidRPr="00FF756A">
        <w:t>aktet nënligjore.</w:t>
      </w:r>
      <w:r w:rsidRPr="00FF756A">
        <w:t xml:space="preserve"> Direktiva për sigurinë e instalimeve në det të naftës dhe gazit nuk është transpozuar. Në shkurt të vitit 2018, qeveria shqiptare miratoi “master planin e gazit”, i cili vlerëson nevojat për investim deri në vitin 2040. Në maj të vitit 2018, Albgaz SA, operatori i kombinuar i gazit në Shqipëri, u pranua si vëzhgues në Rrjetin Evropian të Operatorëve të Sistemit të Transmetimit për Gazin. Albgaz ka intensifikuar rritjen e kapaciteteve, nëpërmjet bashkëpunimit me SNAM s.r.l, në mënyrë që të jetë i përgatitur për operimin e infrastrukturës së ardhshme të gazit.</w:t>
      </w:r>
    </w:p>
    <w:p w14:paraId="31C42BF6" w14:textId="77777777" w:rsidR="00DA2EDE" w:rsidRPr="00FF756A" w:rsidRDefault="00DA2EDE" w:rsidP="006C3E90">
      <w:pPr>
        <w:spacing w:before="40" w:after="40"/>
      </w:pPr>
      <w:r w:rsidRPr="00FF756A">
        <w:t>2.</w:t>
      </w:r>
      <w:r w:rsidRPr="00FF756A">
        <w:tab/>
        <w:t>Kuadri i furnizimit me energji elektrike</w:t>
      </w:r>
    </w:p>
    <w:p w14:paraId="420E2C48" w14:textId="77777777" w:rsidR="00771E1A" w:rsidRPr="00FF756A" w:rsidRDefault="00771E1A" w:rsidP="006C3E90">
      <w:pPr>
        <w:spacing w:before="40" w:after="40"/>
      </w:pPr>
      <w:r w:rsidRPr="00FF756A">
        <w:t>Në vitet e ardhshme, Shqipëria duhet të përqendrohet në diversifikimin e burimeve energjetike dhe të promovojë përdorimin e burimeve të ripërtëritshme alternative të energjisë, duke siguruar që këto veprime të jenë në përputhje me standardet mjedisore.</w:t>
      </w:r>
    </w:p>
    <w:p w14:paraId="4DD75921" w14:textId="24352BB9" w:rsidR="00DA2EDE" w:rsidRPr="00FF756A" w:rsidRDefault="00DA2EDE" w:rsidP="006C3E90">
      <w:pPr>
        <w:spacing w:before="40" w:after="40"/>
      </w:pPr>
    </w:p>
    <w:p w14:paraId="59831BE1" w14:textId="77777777" w:rsidR="00DA2EDE" w:rsidRPr="00FF756A" w:rsidRDefault="00DA2EDE" w:rsidP="006C3E90">
      <w:pPr>
        <w:spacing w:before="40" w:after="40"/>
      </w:pPr>
      <w:r w:rsidRPr="00FF756A">
        <w:t>3.</w:t>
      </w:r>
      <w:r w:rsidRPr="00FF756A">
        <w:tab/>
        <w:t>Sistemi i menaxhimit të emergjencave dhe krizave dhe programet e kufizimit të kërkesës</w:t>
      </w:r>
    </w:p>
    <w:p w14:paraId="15D17F3A" w14:textId="3E58D35B" w:rsidR="00DA2EDE" w:rsidRPr="00FF756A" w:rsidRDefault="00DA2EDE" w:rsidP="006C3E90">
      <w:pPr>
        <w:spacing w:before="40" w:after="40"/>
      </w:pPr>
      <w:r w:rsidRPr="00FF756A">
        <w:t>Legjislacioni shqiptar për rezervat e naftës nuk është përafruar me tërësinë e legjislacionit të BE-së. Nuk ka pasur</w:t>
      </w:r>
      <w:r w:rsidR="006E3BB6" w:rsidRPr="00FF756A">
        <w:t xml:space="preserve"> </w:t>
      </w:r>
      <w:r w:rsidRPr="00FF756A">
        <w:t>progres drejt krijimit të një organi qendror për mbajtjen e rezervave të naftës. Vendi është duke u përpjekur të vërë në zbatim një model të rezervave të naftës për rastet e emergjencës dhe të hartojë një ligj mbi rezervat minimale të naftës bruto të nevojshme për sigurinë e furnizimit.</w:t>
      </w:r>
    </w:p>
    <w:p w14:paraId="210A8A8C" w14:textId="77777777" w:rsidR="00DA2EDE" w:rsidRPr="00FF756A" w:rsidRDefault="00DA2EDE" w:rsidP="006C3E90">
      <w:pPr>
        <w:spacing w:before="40" w:after="40"/>
      </w:pPr>
      <w:r w:rsidRPr="00FF756A">
        <w:t>Shqipëria duhet të finalizojë përafrimin me tërësinë e legjislacionit të BE-së për rezervat minimale të naftës bruto dhe/ose produkteve të naftës. Ajo duhet gjithashtu të ndryshojë modelin e saj të rezervave të naftës për rastet e emergjencave.</w:t>
      </w:r>
    </w:p>
    <w:p w14:paraId="2C71D25C" w14:textId="70B122EC" w:rsidR="00DA2EDE" w:rsidRPr="00FF756A" w:rsidRDefault="00DA2EDE" w:rsidP="006C3E90">
      <w:pPr>
        <w:spacing w:before="40" w:after="40"/>
      </w:pPr>
      <w:r w:rsidRPr="00FF756A">
        <w:t>4.</w:t>
      </w:r>
      <w:r w:rsidRPr="00FF756A">
        <w:tab/>
      </w:r>
      <w:r w:rsidR="0025356F" w:rsidRPr="00FF756A">
        <w:t>Energjia</w:t>
      </w:r>
    </w:p>
    <w:p w14:paraId="259FE16D" w14:textId="457129F5" w:rsidR="00DA2EDE" w:rsidRPr="00FF756A" w:rsidRDefault="00DA2EDE" w:rsidP="006C3E90">
      <w:pPr>
        <w:spacing w:before="40" w:after="40"/>
      </w:pPr>
      <w:r w:rsidRPr="00FF756A">
        <w:t xml:space="preserve">Strategjia kombëtare e energjisë 2018-2030 u miratua në vitin 2018. Master plani për gazin u miratua nga qeveria në shkurt të vitit 2018. Nevojiten përpjekje të mëtejshme për miratimin e VSM-së dhe planit të identifikimit të projekteve lidhur me master planin për gazin. Miratimi i kësaj VSM-je dhe këtij plani do të kontribuojë në zhvillimin e projekteve të TEN-E. Është bërë progres me përmirësimin e infrastrukturës për transmetimin e energjisë. </w:t>
      </w:r>
      <w:r w:rsidR="00D85C7A" w:rsidRPr="00FF756A">
        <w:t xml:space="preserve">Në dhjetor 2020, </w:t>
      </w:r>
      <w:r w:rsidRPr="00FF756A">
        <w:t xml:space="preserve">Gazsjellësi Trans-Adriatik (TAP) filloi transportin e parë tregtar dhe në shtator 2021 sasia e transportuar arriti në 7 </w:t>
      </w:r>
      <w:r w:rsidR="00D85C7A" w:rsidRPr="00FF756A">
        <w:t>MMK</w:t>
      </w:r>
      <w:r w:rsidR="00755197" w:rsidRPr="00FF756A">
        <w:t xml:space="preserve"> (miliardë metra kub)</w:t>
      </w:r>
      <w:r w:rsidRPr="00FF756A">
        <w:t>. Në korrik 2021, TAP-i nënshkroi një Marrëveshje Bashkëpunimi dhe Dorëzimi për Objektin e Seksionit Jugor në Fier me Ministrinë e Infrastrukturës dhe Energjisë dhe Albgaz S.A. TAP-i do të projektojë dhe do të ndërtojë pikën jugore të daljes. Në master planin për gazin janë parashikuar projekte madhore për interkonektorët e gazit.</w:t>
      </w:r>
    </w:p>
    <w:p w14:paraId="5BE92EDF" w14:textId="1C3DF7BF" w:rsidR="00FA5EA6" w:rsidRPr="00FF756A" w:rsidRDefault="00EE7820" w:rsidP="006C3E90">
      <w:pPr>
        <w:spacing w:before="40" w:after="40"/>
      </w:pPr>
      <w:r w:rsidRPr="00FF756A">
        <w:t>MIE ka përgatitur</w:t>
      </w:r>
      <w:r w:rsidR="00EB20EB" w:rsidRPr="00FF756A">
        <w:t xml:space="preserve"> një</w:t>
      </w:r>
      <w:r w:rsidRPr="00FF756A">
        <w:t xml:space="preserve"> draft</w:t>
      </w:r>
      <w:r w:rsidR="000151F8" w:rsidRPr="00FF756A">
        <w:t xml:space="preserve"> të</w:t>
      </w:r>
      <w:r w:rsidRPr="00FF756A">
        <w:t xml:space="preserve"> Urdhrit të Ministrit të Infrastrukturës dhe Energjisë për transpozimin dhe zbatimin e Rregullores (BE) 347/2013 “Për udhëzimet për infrastrukturën transevropiane të energjisë” </w:t>
      </w:r>
      <w:r w:rsidR="000151F8" w:rsidRPr="00FF756A">
        <w:t xml:space="preserve">me afat </w:t>
      </w:r>
      <w:r w:rsidRPr="00FF756A">
        <w:t>deri më 1 janar 2017</w:t>
      </w:r>
      <w:r w:rsidR="000151F8" w:rsidRPr="00FF756A">
        <w:t>. Megjithatë, ky urdhër</w:t>
      </w:r>
      <w:r w:rsidR="00173B33" w:rsidRPr="00FF756A">
        <w:t xml:space="preserve"> ende</w:t>
      </w:r>
      <w:r w:rsidRPr="00FF756A">
        <w:t xml:space="preserve"> nuk është miratuar</w:t>
      </w:r>
      <w:r w:rsidR="00173B33" w:rsidRPr="00FF756A">
        <w:t xml:space="preserve">. </w:t>
      </w:r>
      <w:r w:rsidRPr="00FF756A">
        <w:t xml:space="preserve">Në nëntor 2018, Këshilli </w:t>
      </w:r>
      <w:r w:rsidRPr="00FF756A">
        <w:lastRenderedPageBreak/>
        <w:t xml:space="preserve">Ministror i Komunitetit të Energjisë miratoi një vendim </w:t>
      </w:r>
      <w:r w:rsidR="00173B33" w:rsidRPr="00FF756A">
        <w:t>që</w:t>
      </w:r>
      <w:r w:rsidRPr="00FF756A">
        <w:t xml:space="preserve"> konstaton shkelje</w:t>
      </w:r>
      <w:r w:rsidR="004F1136" w:rsidRPr="00FF756A">
        <w:t xml:space="preserve">n e </w:t>
      </w:r>
      <w:r w:rsidRPr="00FF756A">
        <w:t xml:space="preserve">detyrimeve të Shqipërisë </w:t>
      </w:r>
      <w:r w:rsidR="004F1136" w:rsidRPr="00FF756A">
        <w:t xml:space="preserve">sipas </w:t>
      </w:r>
      <w:r w:rsidRPr="00FF756A">
        <w:t xml:space="preserve">Traktatit të Komunitetit të Energjisë. </w:t>
      </w:r>
      <w:r w:rsidR="00AC5A7E" w:rsidRPr="00FF756A">
        <w:t>Ndërsa pjesa që trajton sektorin e gazit është përfunduar, drafti duhet të plotësohet me shtimin e komponentit për sektorin e energjisë elektrike për të qenë i plotë dhe i zbatueshëm.</w:t>
      </w:r>
    </w:p>
    <w:p w14:paraId="3717F2C1" w14:textId="77777777" w:rsidR="00DA2EDE" w:rsidRPr="00FF756A" w:rsidRDefault="00DA2EDE" w:rsidP="006C3E90">
      <w:pPr>
        <w:spacing w:before="40" w:after="40"/>
        <w:rPr>
          <w:rFonts w:eastAsia="Arial"/>
        </w:rPr>
      </w:pPr>
    </w:p>
    <w:p w14:paraId="2CC8B5E0" w14:textId="77777777" w:rsidR="00DA2EDE" w:rsidRPr="00FF756A" w:rsidRDefault="00DA2EDE" w:rsidP="008639B2">
      <w:pPr>
        <w:pStyle w:val="Heading4"/>
        <w:numPr>
          <w:ilvl w:val="3"/>
          <w:numId w:val="54"/>
        </w:numPr>
        <w:rPr>
          <w:rFonts w:cs="Times New Roman"/>
        </w:rPr>
      </w:pPr>
      <w:bookmarkStart w:id="62" w:name="_Ref44698862"/>
      <w:bookmarkStart w:id="63" w:name="_Toc183639180"/>
      <w:r w:rsidRPr="00FF756A">
        <w:rPr>
          <w:rFonts w:cs="Times New Roman"/>
        </w:rPr>
        <w:t>Dimensioni i tregut të brendshëm të energjisë</w:t>
      </w:r>
      <w:bookmarkEnd w:id="62"/>
      <w:bookmarkEnd w:id="63"/>
    </w:p>
    <w:p w14:paraId="1717F6B6" w14:textId="77777777" w:rsidR="003A0783" w:rsidRPr="00FF756A" w:rsidRDefault="003A0783" w:rsidP="003A0783">
      <w:pPr>
        <w:spacing w:before="40" w:after="40" w:line="240" w:lineRule="auto"/>
      </w:pPr>
    </w:p>
    <w:p w14:paraId="3105146E" w14:textId="44F82881" w:rsidR="00111137" w:rsidRPr="00FF756A" w:rsidRDefault="00DA2EDE" w:rsidP="004A3257">
      <w:pPr>
        <w:spacing w:before="40" w:after="40" w:line="240" w:lineRule="auto"/>
        <w:rPr>
          <w:rFonts w:eastAsia="Arial"/>
        </w:rPr>
      </w:pPr>
      <w:r w:rsidRPr="00FF756A">
        <w:t xml:space="preserve">Për sa i përket tregut të brendshëm të energjisë, Shqipëria ka miratuar legjislacion për gazin dhe energjinë elektrike në përputhje me paketën e tretë të energjisë të BE-së. </w:t>
      </w:r>
      <w:r w:rsidR="00111137" w:rsidRPr="00FF756A">
        <w:t xml:space="preserve">Operatorët e sistemit të transmetimit dhe shpërndarjes janë </w:t>
      </w:r>
      <w:r w:rsidR="00111137" w:rsidRPr="00FF756A">
        <w:rPr>
          <w:b/>
          <w:bCs/>
        </w:rPr>
        <w:t>plotësisht të ndarë</w:t>
      </w:r>
      <w:r w:rsidR="00111137" w:rsidRPr="00FF756A">
        <w:t xml:space="preserve"> dhe veprojnë në mënyrë të pavarur nga interesat e tregut në prodhimin dhe/ose furnizimin me energji elektrike. </w:t>
      </w:r>
      <w:r w:rsidR="00111137" w:rsidRPr="00FF756A">
        <w:rPr>
          <w:b/>
          <w:bCs/>
        </w:rPr>
        <w:t>Tregu konkurrues i balancimit dhe shërbimeve ndihmëse</w:t>
      </w:r>
      <w:r w:rsidR="00111137" w:rsidRPr="00FF756A">
        <w:t xml:space="preserve"> është funksional, sipas organizimit nga operatori i sistemit të transmetimit OST sh.a në përputhje me rregullat e tregut të miratuara nga ERE. </w:t>
      </w:r>
      <w:r w:rsidR="00111137" w:rsidRPr="00FF756A">
        <w:rPr>
          <w:b/>
          <w:bCs/>
        </w:rPr>
        <w:t>Bursa Shqiptare e Energjisë Elektrike ALPEX</w:t>
      </w:r>
      <w:r w:rsidR="00111137" w:rsidRPr="00FF756A">
        <w:t>, e themeluar së bashku me operatorin e sistemit të transmetimit të Kosovës, u vu në punë më 12 prill 2023. Më 1 shkurt 2024, Bursa Shqiptare e Energjisë Elektrike (ALPEX) organizoi ankandin e saj të parë të ditës në avancë për furnizimin e energjisë elektrike në Kosovë, çka shënoi ndërlidhjen e parë të tregjeve midis palëve kontraktuese të Komunitetit të Energjisë. Alokimi i kapaciteteve ndërkufitare për pjesëmarrësit në tregun e rajonit realizohet nga Zyra e Koordinuar e Ankandeve për Evropën Juglindore (SEE CAO)</w:t>
      </w:r>
      <w:r w:rsidR="00B742F5" w:rsidRPr="00FF756A">
        <w:t xml:space="preserve">, me qendër </w:t>
      </w:r>
      <w:r w:rsidR="00111137" w:rsidRPr="00FF756A">
        <w:t>në Podgoricë</w:t>
      </w:r>
      <w:r w:rsidR="00111137" w:rsidRPr="00FF756A">
        <w:rPr>
          <w:highlight w:val="yellow"/>
        </w:rPr>
        <w:t>.</w:t>
      </w:r>
      <w:r w:rsidR="00111137" w:rsidRPr="00FF756A">
        <w:t xml:space="preserve"> Të gjithë konsumatorët e energjisë elektrike në Shqipëri kanë të drejtë të zgjedhin dhe të ndërrojnë furnizuesin e tyre. Nga data 1 janar 2024, të gjithë klientët e lidhur në nivelin e tensionit 20 kV po furnizohen në tregun e liberalizuar, kryesisht nga Furnizuesi i Tregut të Lirë sh.a (FTL), pjesë e </w:t>
      </w:r>
      <w:r w:rsidR="00D02BF5" w:rsidRPr="00FF756A">
        <w:t xml:space="preserve">grupit të </w:t>
      </w:r>
      <w:r w:rsidR="00111137" w:rsidRPr="00FF756A">
        <w:t>OSHEE sh.a. Derregullimi është kryer edhe për klientët e furnizuar në nivelin 35 dhe 110 KV.</w:t>
      </w:r>
    </w:p>
    <w:p w14:paraId="4BB58613" w14:textId="77777777" w:rsidR="00DA2EDE" w:rsidRPr="00FF756A" w:rsidRDefault="00DA2EDE" w:rsidP="008E7969">
      <w:pPr>
        <w:spacing w:before="40" w:after="40"/>
        <w:rPr>
          <w:bCs/>
        </w:rPr>
      </w:pPr>
    </w:p>
    <w:p w14:paraId="2BCB91A3" w14:textId="31823CD6" w:rsidR="0003415D" w:rsidRPr="00FF756A" w:rsidRDefault="00DA2EDE" w:rsidP="008639B2">
      <w:pPr>
        <w:pStyle w:val="Heading5"/>
        <w:numPr>
          <w:ilvl w:val="4"/>
          <w:numId w:val="54"/>
        </w:numPr>
        <w:rPr>
          <w:rFonts w:ascii="Times New Roman" w:hAnsi="Times New Roman" w:cs="Times New Roman"/>
          <w:sz w:val="20"/>
          <w:szCs w:val="20"/>
        </w:rPr>
      </w:pPr>
      <w:bookmarkStart w:id="64" w:name="_Toc183639181"/>
      <w:r w:rsidRPr="00FF756A">
        <w:rPr>
          <w:rFonts w:ascii="Times New Roman" w:hAnsi="Times New Roman" w:cs="Times New Roman"/>
          <w:sz w:val="20"/>
          <w:szCs w:val="20"/>
        </w:rPr>
        <w:t>Sektori i energjisë elektrike</w:t>
      </w:r>
      <w:bookmarkEnd w:id="64"/>
      <w:r w:rsidRPr="00FF756A">
        <w:rPr>
          <w:rFonts w:ascii="Times New Roman" w:hAnsi="Times New Roman" w:cs="Times New Roman"/>
          <w:sz w:val="20"/>
          <w:szCs w:val="20"/>
        </w:rPr>
        <w:t xml:space="preserve"> </w:t>
      </w:r>
    </w:p>
    <w:p w14:paraId="49D69FFB" w14:textId="321C0968" w:rsidR="002E2C9B" w:rsidRPr="00FF756A" w:rsidRDefault="002E2C9B" w:rsidP="004A3257">
      <w:pPr>
        <w:spacing w:before="40" w:after="40" w:line="240" w:lineRule="auto"/>
        <w:rPr>
          <w:rFonts w:eastAsia="Arial"/>
        </w:rPr>
      </w:pPr>
      <w:r w:rsidRPr="00FF756A">
        <w:t>Direktiva e re "Për energjinë elektrike” përbën detyrim transpozimi për palët kontraktuese të Komunitetit të Energjisë</w:t>
      </w:r>
      <w:r w:rsidR="003A0783" w:rsidRPr="00FF756A">
        <w:t>,</w:t>
      </w:r>
      <w:r w:rsidRPr="00FF756A">
        <w:t xml:space="preserve"> brenda dhjetorit 2023. Legjislacioni </w:t>
      </w:r>
      <w:r w:rsidR="00C947CB" w:rsidRPr="00FF756A">
        <w:t xml:space="preserve">vendas </w:t>
      </w:r>
      <w:r w:rsidRPr="00FF756A">
        <w:t xml:space="preserve">është </w:t>
      </w:r>
      <w:r w:rsidRPr="00FF756A">
        <w:rPr>
          <w:b/>
          <w:bCs/>
        </w:rPr>
        <w:t>pjesërisht i harmonizuar</w:t>
      </w:r>
      <w:r w:rsidRPr="00FF756A">
        <w:t xml:space="preserve"> me Direktivën (BE) 2019/944. Harmonizimi i pjesshëm është siguruar vetëm brenda fushës rregullatore të zbatimit të Direktivës, që përkon me rregullat e tregut të energjisë elektrike të përcaktuara më parë nga paketa e tretë e energjisë e BE-së, ndër të tjera, përmes Direktivës 2009/72/KE. </w:t>
      </w:r>
    </w:p>
    <w:p w14:paraId="49C43F7E" w14:textId="16C2C5C8" w:rsidR="002E2C9B" w:rsidRPr="00FF756A" w:rsidRDefault="009F39D1" w:rsidP="004A3257">
      <w:pPr>
        <w:spacing w:before="40" w:after="40" w:line="240" w:lineRule="auto"/>
        <w:rPr>
          <w:rFonts w:eastAsia="Arial"/>
        </w:rPr>
      </w:pPr>
      <w:r w:rsidRPr="00FF756A">
        <w:t>Modeli i ri i tregut të energjisë elektrike, i prezantuar me anë të Direktivës (BE) 2019/944, datë 5 qershor 2019, “Për rregullat e përbashkëta për tregun e brendshëm të energjisë elektrike dhe që ndryshon Direktivën 2012/27/BE” (Direktiva) dhe me anë të Rregullores (BE) 2019/943, datë 5 qershor 2019 “Për tregun e brendshëm të energjisë elektrike (Rregullorja)”, nuk është transpozuar dhe zbatuar ende.</w:t>
      </w:r>
    </w:p>
    <w:p w14:paraId="08C4A06A" w14:textId="77777777" w:rsidR="002E2C9B" w:rsidRPr="00FF756A" w:rsidRDefault="002E2C9B" w:rsidP="004A3257">
      <w:pPr>
        <w:spacing w:before="40" w:after="40" w:line="240" w:lineRule="auto"/>
        <w:rPr>
          <w:rFonts w:eastAsia="Arial"/>
        </w:rPr>
      </w:pPr>
    </w:p>
    <w:p w14:paraId="7A4ABB9A" w14:textId="1D13A2BC" w:rsidR="002E2C9B" w:rsidRPr="00FF756A" w:rsidRDefault="002E2C9B" w:rsidP="004A3257">
      <w:pPr>
        <w:spacing w:before="40" w:after="40" w:line="240" w:lineRule="auto"/>
        <w:rPr>
          <w:rFonts w:eastAsia="Arial"/>
        </w:rPr>
      </w:pPr>
      <w:r w:rsidRPr="00FF756A">
        <w:t xml:space="preserve">Transpozimi kombëtar i Direktivës dhe i Rregullores në Shqipëri do të bëhet nëpërmjet ndryshimeve të mëtejshme në ligjin nr. 43/2015, datë 30.4.2015, “Për sektorin e energjisë elektrike”, të ndryshuar. </w:t>
      </w:r>
    </w:p>
    <w:p w14:paraId="200BEC86" w14:textId="78A19872" w:rsidR="002E2C9B" w:rsidRPr="00FF756A" w:rsidRDefault="002E2C9B" w:rsidP="004A3257">
      <w:pPr>
        <w:pStyle w:val="ListParagraph"/>
        <w:numPr>
          <w:ilvl w:val="0"/>
          <w:numId w:val="48"/>
        </w:numPr>
        <w:pBdr>
          <w:top w:val="none" w:sz="0" w:space="0" w:color="auto"/>
          <w:left w:val="none" w:sz="0" w:space="0" w:color="auto"/>
          <w:bottom w:val="none" w:sz="0" w:space="0" w:color="auto"/>
          <w:right w:val="none" w:sz="0" w:space="0" w:color="auto"/>
          <w:between w:val="none" w:sz="0" w:space="0" w:color="auto"/>
        </w:pBdr>
        <w:spacing w:before="40" w:after="40" w:line="240" w:lineRule="auto"/>
        <w:contextualSpacing w:val="0"/>
      </w:pPr>
      <w:r w:rsidRPr="00FF756A">
        <w:t>Miratimi i ligjit “Për disa ndryshime në ligjin “Për sektorin e energjisë elektrike” 43/2015”, të harmonizuar me paketën e integrimit të energjisë elektrike (miratimi i ndryshimeve të mëtejshme</w:t>
      </w:r>
      <w:r w:rsidR="00DF0864" w:rsidRPr="00FF756A">
        <w:t>)</w:t>
      </w:r>
      <w:r w:rsidRPr="00FF756A">
        <w:t xml:space="preserve"> është planifikuar në qershor 2025</w:t>
      </w:r>
      <w:r w:rsidR="00DF0864" w:rsidRPr="00FF756A">
        <w:t>.</w:t>
      </w:r>
    </w:p>
    <w:p w14:paraId="047D819D" w14:textId="77777777" w:rsidR="002E2C9B" w:rsidRPr="00FF756A" w:rsidRDefault="002E2C9B" w:rsidP="004A3257">
      <w:pPr>
        <w:spacing w:before="40" w:after="40" w:line="240" w:lineRule="auto"/>
        <w:rPr>
          <w:b/>
        </w:rPr>
      </w:pPr>
    </w:p>
    <w:p w14:paraId="5DE20899" w14:textId="6A623A0F" w:rsidR="002E2C9B" w:rsidRPr="00FF756A" w:rsidRDefault="00DF0864" w:rsidP="004A3257">
      <w:pPr>
        <w:spacing w:before="40" w:after="40" w:line="240" w:lineRule="auto"/>
      </w:pPr>
      <w:r w:rsidRPr="00FF756A">
        <w:t>A</w:t>
      </w:r>
      <w:r w:rsidR="002E2C9B" w:rsidRPr="00FF756A">
        <w:t xml:space="preserve">ktualisht në fuqi </w:t>
      </w:r>
      <w:r w:rsidRPr="00FF756A">
        <w:t xml:space="preserve">ligji </w:t>
      </w:r>
      <w:r w:rsidR="002E2C9B" w:rsidRPr="00FF756A">
        <w:t>nr. 43/2015, datë 30.4.2015, “Për sektorin e energjisë elektrike”, i ndryshuar, është i harmonizuar me paketën e tretë të energjisë.</w:t>
      </w:r>
    </w:p>
    <w:p w14:paraId="4370C7FF" w14:textId="016EEE36" w:rsidR="002E2C9B" w:rsidRPr="00FF756A" w:rsidRDefault="002E2C9B" w:rsidP="004A3257">
      <w:pPr>
        <w:spacing w:before="40" w:after="40" w:line="240" w:lineRule="auto"/>
      </w:pPr>
      <w:r w:rsidRPr="00FF756A">
        <w:t>Për sa i përket energjisë elektrike, në përputhje me nenin 90, paragrafi 1</w:t>
      </w:r>
      <w:r w:rsidR="001F3FEB" w:rsidRPr="00FF756A">
        <w:t>,</w:t>
      </w:r>
      <w:r w:rsidRPr="00FF756A">
        <w:t xml:space="preserve"> </w:t>
      </w:r>
      <w:r w:rsidR="00DF0864" w:rsidRPr="00FF756A">
        <w:t>i</w:t>
      </w:r>
      <w:r w:rsidRPr="00FF756A">
        <w:t xml:space="preserve"> ligjit nr. 43/2015 “Për sektorin e energjisë elektrike”, të ndryshuar, Këshilli i Ministrave miratoi VKM-në nr. 584, datë 8.10.2021, “Për shpalljen e gjendjes së emergjencës në furnizimin me energji elektrike”, duke shpallur kështu gjendjen e emergjencës në furnizimin me energji elektrike deri më 15 prill 2022, periudhë e cila u shty deri më 31 dhjetor 2023. </w:t>
      </w:r>
    </w:p>
    <w:p w14:paraId="58B5697C" w14:textId="0DE965B9" w:rsidR="002E2C9B" w:rsidRPr="00FF756A" w:rsidRDefault="002E2C9B" w:rsidP="004A3257">
      <w:pPr>
        <w:spacing w:before="40" w:after="40" w:line="240" w:lineRule="auto"/>
      </w:pPr>
      <w:r w:rsidRPr="00FF756A">
        <w:t xml:space="preserve">Ndërkohë, nga qershori 2022, tregu i energjisë elektrike në Shqipëri operon sipas Vendimit të Këshillit të Ministrave nr. 456, datë 29.6.2022 “Për miratimin e kushteve për vendosjen e detyrimit të shërbimit </w:t>
      </w:r>
      <w:r w:rsidRPr="00FF756A">
        <w:lastRenderedPageBreak/>
        <w:t>publik”, i cili do të zbatohet për të licencuarit në sektorin e energjisë elektrike të cilët ushtrojnë aktivitetin e prodhimit, transmetimit, shpërndarjes dhe furnizimit me energji elektrike.</w:t>
      </w:r>
    </w:p>
    <w:p w14:paraId="429CB0CF" w14:textId="3FBAD0A8" w:rsidR="002E2C9B" w:rsidRPr="00FF756A" w:rsidRDefault="002E2C9B" w:rsidP="00C947CB">
      <w:pPr>
        <w:spacing w:before="40" w:after="40" w:line="240" w:lineRule="auto"/>
      </w:pPr>
      <w:r w:rsidRPr="00FF756A">
        <w:t>Bazuar në dispozitat e kësaj VKM-je, shoqëria publike e prodhimit, KESH sh.a., ka detyrimin ta furnizojë Furnizuesin e Shërbimit Universal me të gjithë sasinë e nevojshme, për të përmbushur nevojën e klientëve universalë. Që nga korriku 2022, Furnizuesi i Tregut të Lirë (FTL) ka detyrimin të shesë energji elektrike për të mbuluar humbjet në shpërndarje të operatorit të shpërndarjes. Blerja dhe shitja e energjisë elektrike për humbjet në transmetim dhe për aktivitetet e rregulluara të furnizimit nga furnizuesi i mundësisë së fundit kryhen në tregun ALPEX të ditës në avancë, por në bazë të kontratave për diferencë.</w:t>
      </w:r>
    </w:p>
    <w:p w14:paraId="28816FE0" w14:textId="1BEA3B15" w:rsidR="00B35F99" w:rsidRPr="00FF756A" w:rsidRDefault="00B35F99" w:rsidP="004A3257">
      <w:pPr>
        <w:spacing w:before="40" w:after="40" w:line="240" w:lineRule="auto"/>
      </w:pPr>
      <w:r w:rsidRPr="00FF756A">
        <w:t xml:space="preserve">Tabelat e mëposhtme paraqesin politikat aktuale energjetike dhe ligjet/VKM-të përkatëse (Tabela </w:t>
      </w:r>
      <w:r w:rsidR="000B1CB5" w:rsidRPr="00FF756A">
        <w:t>10</w:t>
      </w:r>
      <w:r w:rsidRPr="00FF756A">
        <w:t>), si dhe legjislacionin dytësor (Tabela 1</w:t>
      </w:r>
      <w:r w:rsidR="000B1CB5" w:rsidRPr="00FF756A">
        <w:t>1</w:t>
      </w:r>
      <w:r w:rsidRPr="00FF756A">
        <w:t>).</w:t>
      </w:r>
    </w:p>
    <w:p w14:paraId="1037CB38" w14:textId="77777777" w:rsidR="002E2C9B" w:rsidRPr="00FF756A" w:rsidRDefault="002E2C9B" w:rsidP="008E7969">
      <w:pPr>
        <w:spacing w:before="40" w:after="40"/>
      </w:pPr>
    </w:p>
    <w:tbl>
      <w:tblPr>
        <w:tblStyle w:val="TableGrid"/>
        <w:tblW w:w="9634" w:type="dxa"/>
        <w:tblLook w:val="04A0" w:firstRow="1" w:lastRow="0" w:firstColumn="1" w:lastColumn="0" w:noHBand="0" w:noVBand="1"/>
      </w:tblPr>
      <w:tblGrid>
        <w:gridCol w:w="3114"/>
        <w:gridCol w:w="2410"/>
        <w:gridCol w:w="4110"/>
      </w:tblGrid>
      <w:tr w:rsidR="006B0598" w:rsidRPr="00FF756A" w14:paraId="5FDA3E00" w14:textId="77777777" w:rsidTr="006A3266">
        <w:tc>
          <w:tcPr>
            <w:tcW w:w="3114" w:type="dxa"/>
          </w:tcPr>
          <w:p w14:paraId="25800B8D" w14:textId="17B53E8C" w:rsidR="006B0598" w:rsidRPr="00FF756A" w:rsidRDefault="008F1A6F" w:rsidP="006A3266">
            <w:pPr>
              <w:spacing w:before="40" w:after="40" w:line="240" w:lineRule="auto"/>
              <w:jc w:val="center"/>
              <w:rPr>
                <w:rFonts w:eastAsia="Arial"/>
                <w:b/>
                <w:bCs/>
                <w:iCs/>
                <w:sz w:val="20"/>
                <w:szCs w:val="20"/>
              </w:rPr>
            </w:pPr>
            <w:r w:rsidRPr="00FF756A">
              <w:rPr>
                <w:rFonts w:eastAsia="Arial"/>
                <w:b/>
                <w:bCs/>
                <w:iCs/>
                <w:sz w:val="20"/>
                <w:szCs w:val="20"/>
              </w:rPr>
              <w:t>Politikat aktuale të energjisë</w:t>
            </w:r>
          </w:p>
        </w:tc>
        <w:tc>
          <w:tcPr>
            <w:tcW w:w="2410" w:type="dxa"/>
          </w:tcPr>
          <w:p w14:paraId="3C47DE44" w14:textId="1F2D4BCB" w:rsidR="006B0598" w:rsidRPr="00FF756A" w:rsidRDefault="008F1A6F" w:rsidP="006A3266">
            <w:pPr>
              <w:spacing w:before="40" w:after="40" w:line="240" w:lineRule="auto"/>
              <w:jc w:val="center"/>
              <w:rPr>
                <w:rFonts w:eastAsia="Arial"/>
                <w:b/>
                <w:bCs/>
                <w:iCs/>
                <w:sz w:val="20"/>
                <w:szCs w:val="20"/>
              </w:rPr>
            </w:pPr>
            <w:r w:rsidRPr="00FF756A">
              <w:rPr>
                <w:rFonts w:eastAsia="Arial"/>
                <w:b/>
                <w:bCs/>
                <w:iCs/>
                <w:sz w:val="20"/>
                <w:szCs w:val="20"/>
              </w:rPr>
              <w:t>Ligji/VKM</w:t>
            </w:r>
          </w:p>
        </w:tc>
        <w:tc>
          <w:tcPr>
            <w:tcW w:w="4110" w:type="dxa"/>
          </w:tcPr>
          <w:p w14:paraId="2C269977" w14:textId="27C15BF0" w:rsidR="006B0598" w:rsidRPr="00FF756A" w:rsidRDefault="008F1A6F" w:rsidP="006A3266">
            <w:pPr>
              <w:spacing w:before="40" w:after="40" w:line="240" w:lineRule="auto"/>
              <w:jc w:val="center"/>
              <w:rPr>
                <w:rFonts w:eastAsia="Arial"/>
                <w:b/>
                <w:bCs/>
                <w:iCs/>
                <w:sz w:val="20"/>
                <w:szCs w:val="20"/>
              </w:rPr>
            </w:pPr>
            <w:r w:rsidRPr="00FF756A">
              <w:rPr>
                <w:rFonts w:eastAsia="Arial"/>
                <w:b/>
                <w:bCs/>
                <w:iCs/>
                <w:sz w:val="20"/>
                <w:szCs w:val="20"/>
              </w:rPr>
              <w:t>Përshkrimi</w:t>
            </w:r>
          </w:p>
        </w:tc>
      </w:tr>
      <w:tr w:rsidR="006B0598" w:rsidRPr="00FF756A" w14:paraId="7B9BC7DC" w14:textId="77777777" w:rsidTr="006A3266">
        <w:tc>
          <w:tcPr>
            <w:tcW w:w="9634" w:type="dxa"/>
            <w:gridSpan w:val="3"/>
          </w:tcPr>
          <w:p w14:paraId="528962AF" w14:textId="3FF0D653" w:rsidR="006B0598" w:rsidRPr="00FF756A" w:rsidRDefault="008F1A6F" w:rsidP="006A3266">
            <w:pPr>
              <w:spacing w:before="40" w:after="40" w:line="240" w:lineRule="auto"/>
              <w:rPr>
                <w:rFonts w:eastAsia="Arial"/>
                <w:b/>
                <w:bCs/>
                <w:iCs/>
                <w:sz w:val="20"/>
                <w:szCs w:val="20"/>
              </w:rPr>
            </w:pPr>
            <w:r w:rsidRPr="00FF756A">
              <w:rPr>
                <w:rFonts w:eastAsia="Arial"/>
                <w:b/>
                <w:bCs/>
                <w:iCs/>
                <w:sz w:val="20"/>
                <w:szCs w:val="20"/>
              </w:rPr>
              <w:t>Politikat dhe Legjislacioni në fuqi</w:t>
            </w:r>
          </w:p>
        </w:tc>
      </w:tr>
      <w:tr w:rsidR="00B61B22" w:rsidRPr="00FF756A" w14:paraId="1181EB63" w14:textId="77777777" w:rsidTr="006A3266">
        <w:tc>
          <w:tcPr>
            <w:tcW w:w="3114" w:type="dxa"/>
          </w:tcPr>
          <w:p w14:paraId="224F3F88" w14:textId="155AFEF7" w:rsidR="00B61B22" w:rsidRPr="00FF756A" w:rsidRDefault="00B61B22" w:rsidP="00B61B22">
            <w:pPr>
              <w:spacing w:before="40" w:after="40" w:line="240" w:lineRule="auto"/>
              <w:rPr>
                <w:rFonts w:eastAsia="Arial"/>
                <w:iCs/>
                <w:sz w:val="20"/>
                <w:szCs w:val="20"/>
                <w:highlight w:val="green"/>
              </w:rPr>
            </w:pPr>
            <w:r w:rsidRPr="00FF756A">
              <w:rPr>
                <w:sz w:val="20"/>
                <w:szCs w:val="20"/>
              </w:rPr>
              <w:t>St</w:t>
            </w:r>
            <w:r w:rsidR="008F1A6F" w:rsidRPr="00FF756A">
              <w:rPr>
                <w:sz w:val="20"/>
                <w:szCs w:val="20"/>
              </w:rPr>
              <w:t>rate</w:t>
            </w:r>
            <w:r w:rsidRPr="00FF756A">
              <w:rPr>
                <w:sz w:val="20"/>
                <w:szCs w:val="20"/>
              </w:rPr>
              <w:t>gjia Kombëtare e Energjisë</w:t>
            </w:r>
          </w:p>
        </w:tc>
        <w:tc>
          <w:tcPr>
            <w:tcW w:w="2410" w:type="dxa"/>
          </w:tcPr>
          <w:p w14:paraId="5544FA94" w14:textId="0788B217" w:rsidR="00B61B22" w:rsidRPr="00FF756A" w:rsidRDefault="00B61B22" w:rsidP="00B61B22">
            <w:pPr>
              <w:spacing w:before="40" w:after="40" w:line="240" w:lineRule="auto"/>
              <w:rPr>
                <w:rFonts w:eastAsia="Arial"/>
                <w:iCs/>
                <w:sz w:val="20"/>
                <w:szCs w:val="20"/>
                <w:highlight w:val="green"/>
              </w:rPr>
            </w:pPr>
            <w:r w:rsidRPr="00FF756A">
              <w:rPr>
                <w:sz w:val="20"/>
                <w:szCs w:val="20"/>
              </w:rPr>
              <w:t>VKM nr. 48</w:t>
            </w:r>
            <w:r w:rsidR="009C7BED" w:rsidRPr="00FF756A">
              <w:rPr>
                <w:sz w:val="20"/>
                <w:szCs w:val="20"/>
              </w:rPr>
              <w:t>0</w:t>
            </w:r>
            <w:r w:rsidRPr="00FF756A">
              <w:rPr>
                <w:sz w:val="20"/>
                <w:szCs w:val="20"/>
              </w:rPr>
              <w:t>, datë 31.7.2018</w:t>
            </w:r>
          </w:p>
        </w:tc>
        <w:tc>
          <w:tcPr>
            <w:tcW w:w="4110" w:type="dxa"/>
          </w:tcPr>
          <w:p w14:paraId="524DE61E" w14:textId="2224C724" w:rsidR="00B61B22" w:rsidRPr="00FF756A" w:rsidRDefault="00B61B22" w:rsidP="00B61B22">
            <w:pPr>
              <w:spacing w:before="40" w:after="40" w:line="240" w:lineRule="auto"/>
              <w:rPr>
                <w:rFonts w:eastAsia="Arial"/>
                <w:iCs/>
                <w:sz w:val="20"/>
                <w:szCs w:val="20"/>
                <w:highlight w:val="green"/>
              </w:rPr>
            </w:pPr>
            <w:r w:rsidRPr="00FF756A">
              <w:rPr>
                <w:sz w:val="20"/>
                <w:szCs w:val="20"/>
              </w:rPr>
              <w:t>Vendos objektivat dhe synimet për të gjithë sektorin e energjisë, investimet dhe institucionet përgjegjëse.</w:t>
            </w:r>
          </w:p>
        </w:tc>
      </w:tr>
      <w:tr w:rsidR="00B61B22" w:rsidRPr="00FF756A" w14:paraId="384BE2E1" w14:textId="77777777" w:rsidTr="006A3266">
        <w:tc>
          <w:tcPr>
            <w:tcW w:w="3114" w:type="dxa"/>
          </w:tcPr>
          <w:p w14:paraId="402FEA50" w14:textId="132F00CC" w:rsidR="00B61B22" w:rsidRPr="00FF756A" w:rsidRDefault="00B61B22" w:rsidP="00B61B22">
            <w:pPr>
              <w:spacing w:before="40" w:after="40" w:line="240" w:lineRule="auto"/>
              <w:rPr>
                <w:rFonts w:eastAsia="Arial"/>
                <w:iCs/>
                <w:sz w:val="20"/>
                <w:szCs w:val="20"/>
                <w:highlight w:val="green"/>
              </w:rPr>
            </w:pPr>
            <w:r w:rsidRPr="00FF756A">
              <w:rPr>
                <w:sz w:val="20"/>
                <w:szCs w:val="20"/>
              </w:rPr>
              <w:t>Plani Kombëtar për Energjinë dhe Klimën (PKEK) 2020 – 2030</w:t>
            </w:r>
          </w:p>
        </w:tc>
        <w:tc>
          <w:tcPr>
            <w:tcW w:w="2410" w:type="dxa"/>
          </w:tcPr>
          <w:p w14:paraId="093CE57E" w14:textId="2C41F7A9" w:rsidR="00B61B22" w:rsidRPr="00FF756A" w:rsidRDefault="00B61B22" w:rsidP="00B61B22">
            <w:pPr>
              <w:spacing w:before="40" w:after="40" w:line="240" w:lineRule="auto"/>
              <w:rPr>
                <w:b/>
                <w:bCs/>
                <w:sz w:val="20"/>
                <w:szCs w:val="20"/>
                <w:highlight w:val="green"/>
              </w:rPr>
            </w:pPr>
            <w:r w:rsidRPr="00FF756A">
              <w:rPr>
                <w:sz w:val="20"/>
                <w:szCs w:val="20"/>
              </w:rPr>
              <w:t>Nr. 872, datë 29.12.2021</w:t>
            </w:r>
          </w:p>
        </w:tc>
        <w:tc>
          <w:tcPr>
            <w:tcW w:w="4110" w:type="dxa"/>
          </w:tcPr>
          <w:p w14:paraId="003CD1DE" w14:textId="5DD6A255" w:rsidR="00B61B22" w:rsidRPr="00FF756A" w:rsidRDefault="00B61B22" w:rsidP="00B61B22">
            <w:pPr>
              <w:spacing w:before="40" w:after="40" w:line="240" w:lineRule="auto"/>
              <w:rPr>
                <w:rFonts w:eastAsia="Arial"/>
                <w:iCs/>
                <w:sz w:val="20"/>
                <w:szCs w:val="20"/>
                <w:highlight w:val="green"/>
              </w:rPr>
            </w:pPr>
            <w:r w:rsidRPr="00FF756A">
              <w:rPr>
                <w:sz w:val="20"/>
                <w:szCs w:val="20"/>
              </w:rPr>
              <w:t xml:space="preserve">PKEK përcakton </w:t>
            </w:r>
            <w:r w:rsidR="007945AB" w:rsidRPr="00FF756A">
              <w:rPr>
                <w:sz w:val="20"/>
                <w:szCs w:val="20"/>
              </w:rPr>
              <w:t xml:space="preserve">udhërrëfyesin </w:t>
            </w:r>
            <w:r w:rsidRPr="00FF756A">
              <w:rPr>
                <w:sz w:val="20"/>
                <w:szCs w:val="20"/>
              </w:rPr>
              <w:t>për efikasitetin energjetik, pjesën e energjisë nga burime të rinovueshme (RES) dhe uljen e emetimeve GHG për periudhën 2021 – 2030.</w:t>
            </w:r>
          </w:p>
        </w:tc>
      </w:tr>
      <w:tr w:rsidR="00B61B22" w:rsidRPr="00FF756A" w14:paraId="41706BC3" w14:textId="77777777" w:rsidTr="006A3266">
        <w:tc>
          <w:tcPr>
            <w:tcW w:w="3114" w:type="dxa"/>
          </w:tcPr>
          <w:p w14:paraId="524B922D" w14:textId="0E1E7152" w:rsidR="00B61B22" w:rsidRPr="00FF756A" w:rsidRDefault="00B61B22" w:rsidP="00B61B22">
            <w:pPr>
              <w:tabs>
                <w:tab w:val="num" w:pos="720"/>
              </w:tabs>
              <w:spacing w:before="40" w:after="40" w:line="240" w:lineRule="auto"/>
              <w:rPr>
                <w:rFonts w:eastAsia="Arial"/>
                <w:iCs/>
                <w:sz w:val="20"/>
                <w:szCs w:val="20"/>
                <w:highlight w:val="green"/>
              </w:rPr>
            </w:pPr>
            <w:r w:rsidRPr="00FF756A">
              <w:rPr>
                <w:sz w:val="20"/>
                <w:szCs w:val="20"/>
              </w:rPr>
              <w:t>Ligji “Për Sektorin e Energjisë Elektrike” (i ndryshuar)</w:t>
            </w:r>
          </w:p>
        </w:tc>
        <w:tc>
          <w:tcPr>
            <w:tcW w:w="2410" w:type="dxa"/>
          </w:tcPr>
          <w:p w14:paraId="3833B8AA" w14:textId="40EE137B" w:rsidR="00B61B22" w:rsidRPr="00FF756A" w:rsidRDefault="00B61B22" w:rsidP="00B61B22">
            <w:pPr>
              <w:spacing w:before="40" w:after="40" w:line="240" w:lineRule="auto"/>
              <w:rPr>
                <w:rFonts w:eastAsia="Arial"/>
                <w:b/>
                <w:bCs/>
                <w:iCs/>
                <w:sz w:val="20"/>
                <w:szCs w:val="20"/>
                <w:highlight w:val="green"/>
              </w:rPr>
            </w:pPr>
            <w:r w:rsidRPr="00FF756A">
              <w:rPr>
                <w:sz w:val="20"/>
                <w:szCs w:val="20"/>
              </w:rPr>
              <w:t>Ligji nr. 43/2015, datë 30.04.2015</w:t>
            </w:r>
          </w:p>
        </w:tc>
        <w:tc>
          <w:tcPr>
            <w:tcW w:w="4110" w:type="dxa"/>
          </w:tcPr>
          <w:p w14:paraId="33403650" w14:textId="086E3479" w:rsidR="00B61B22" w:rsidRPr="00FF756A" w:rsidRDefault="00B61B22" w:rsidP="00B61B22">
            <w:pPr>
              <w:spacing w:before="40" w:after="40" w:line="240" w:lineRule="auto"/>
              <w:rPr>
                <w:rFonts w:eastAsia="Arial"/>
                <w:iCs/>
                <w:sz w:val="20"/>
                <w:szCs w:val="20"/>
                <w:highlight w:val="green"/>
              </w:rPr>
            </w:pPr>
            <w:r w:rsidRPr="00FF756A">
              <w:rPr>
                <w:sz w:val="20"/>
                <w:szCs w:val="20"/>
              </w:rPr>
              <w:t>Qëllimi është përafrimi i plotë me dispozitat e Direktivës 2012/27/BE të Parlamentit Evropian.</w:t>
            </w:r>
          </w:p>
        </w:tc>
      </w:tr>
      <w:tr w:rsidR="00B61B22" w:rsidRPr="00FF756A" w14:paraId="239DB005" w14:textId="77777777" w:rsidTr="006A3266">
        <w:tc>
          <w:tcPr>
            <w:tcW w:w="3114" w:type="dxa"/>
          </w:tcPr>
          <w:p w14:paraId="6B396A95" w14:textId="509F8B73" w:rsidR="00B61B22" w:rsidRPr="00FF756A" w:rsidRDefault="00B61B22" w:rsidP="00B61B22">
            <w:pPr>
              <w:spacing w:before="40" w:after="40" w:line="240" w:lineRule="auto"/>
              <w:rPr>
                <w:rFonts w:eastAsia="Arial"/>
                <w:iCs/>
                <w:sz w:val="20"/>
                <w:szCs w:val="20"/>
                <w:highlight w:val="green"/>
              </w:rPr>
            </w:pPr>
            <w:r w:rsidRPr="00FF756A">
              <w:rPr>
                <w:sz w:val="20"/>
                <w:szCs w:val="20"/>
              </w:rPr>
              <w:t>Ligji “Për sektorin e gazit natyror” (i ndryshuar)</w:t>
            </w:r>
          </w:p>
        </w:tc>
        <w:tc>
          <w:tcPr>
            <w:tcW w:w="2410" w:type="dxa"/>
          </w:tcPr>
          <w:p w14:paraId="14BAC361" w14:textId="392A1687" w:rsidR="00B61B22" w:rsidRPr="00FF756A" w:rsidRDefault="00B61B22" w:rsidP="00B61B22">
            <w:pPr>
              <w:spacing w:before="40" w:after="40"/>
              <w:rPr>
                <w:rFonts w:eastAsia="Arial"/>
                <w:iCs/>
                <w:sz w:val="20"/>
                <w:szCs w:val="20"/>
                <w:highlight w:val="green"/>
              </w:rPr>
            </w:pPr>
            <w:r w:rsidRPr="00FF756A">
              <w:rPr>
                <w:sz w:val="20"/>
                <w:szCs w:val="20"/>
              </w:rPr>
              <w:t>Ligji nr. 102/2015, datë 23.09.2015, i ndryshuar nga Ligji nr. 64/2018, Ligji nr. 89/2018 dhe Ligji nr. 81/2021</w:t>
            </w:r>
          </w:p>
        </w:tc>
        <w:tc>
          <w:tcPr>
            <w:tcW w:w="4110" w:type="dxa"/>
          </w:tcPr>
          <w:p w14:paraId="5BE60D6B" w14:textId="05BDED35" w:rsidR="00B61B22" w:rsidRPr="00FF756A" w:rsidRDefault="00B61B22" w:rsidP="00B61B22">
            <w:pPr>
              <w:spacing w:before="40" w:after="40" w:line="240" w:lineRule="auto"/>
              <w:rPr>
                <w:rFonts w:eastAsia="Arial"/>
                <w:iCs/>
                <w:sz w:val="20"/>
                <w:szCs w:val="20"/>
                <w:highlight w:val="green"/>
              </w:rPr>
            </w:pPr>
            <w:r w:rsidRPr="00FF756A">
              <w:rPr>
                <w:sz w:val="20"/>
                <w:szCs w:val="20"/>
              </w:rPr>
              <w:t xml:space="preserve">Ligji nr. 102/2015 </w:t>
            </w:r>
            <w:r w:rsidR="00CF7A5D" w:rsidRPr="00FF756A">
              <w:rPr>
                <w:sz w:val="20"/>
                <w:szCs w:val="20"/>
              </w:rPr>
              <w:t xml:space="preserve">i datës 23.9.2015 </w:t>
            </w:r>
            <w:r w:rsidRPr="00FF756A">
              <w:rPr>
                <w:sz w:val="20"/>
                <w:szCs w:val="20"/>
              </w:rPr>
              <w:t xml:space="preserve">“Për sektorin e gazit natyror”, i ndryshuar, është përafruar plotësisht me </w:t>
            </w:r>
            <w:r w:rsidR="00CF7A5D" w:rsidRPr="00FF756A">
              <w:rPr>
                <w:sz w:val="20"/>
                <w:szCs w:val="20"/>
              </w:rPr>
              <w:t xml:space="preserve">legjislacionin e </w:t>
            </w:r>
            <w:r w:rsidRPr="00FF756A">
              <w:rPr>
                <w:sz w:val="20"/>
                <w:szCs w:val="20"/>
              </w:rPr>
              <w:t>BE-së.</w:t>
            </w:r>
          </w:p>
        </w:tc>
      </w:tr>
      <w:tr w:rsidR="00B61B22" w:rsidRPr="00FF756A" w14:paraId="03AAA549" w14:textId="77777777" w:rsidTr="006A3266">
        <w:tc>
          <w:tcPr>
            <w:tcW w:w="3114" w:type="dxa"/>
          </w:tcPr>
          <w:p w14:paraId="737663BD" w14:textId="7F0A0811" w:rsidR="00B61B22" w:rsidRPr="00FF756A" w:rsidRDefault="00B61B22" w:rsidP="00B61B22">
            <w:pPr>
              <w:tabs>
                <w:tab w:val="num" w:pos="720"/>
              </w:tabs>
              <w:spacing w:before="40" w:after="40" w:line="240" w:lineRule="auto"/>
              <w:rPr>
                <w:rFonts w:eastAsia="Arial"/>
                <w:iCs/>
                <w:sz w:val="20"/>
                <w:szCs w:val="20"/>
                <w:highlight w:val="green"/>
              </w:rPr>
            </w:pPr>
            <w:r w:rsidRPr="00FF756A">
              <w:rPr>
                <w:sz w:val="20"/>
                <w:szCs w:val="20"/>
              </w:rPr>
              <w:t>Ligji “Për Prodhimin, Transportin dhe Tregtinë e Biokarburanteve dhe Karburanteve të Tjera të Rinovueshme për Transport” (i ndryshuar)</w:t>
            </w:r>
          </w:p>
        </w:tc>
        <w:tc>
          <w:tcPr>
            <w:tcW w:w="2410" w:type="dxa"/>
          </w:tcPr>
          <w:p w14:paraId="1FDD4525" w14:textId="5F14CA9B" w:rsidR="00B61B22" w:rsidRPr="00FF756A" w:rsidRDefault="00B61B22" w:rsidP="00B61B22">
            <w:pPr>
              <w:spacing w:before="40" w:after="40" w:line="240" w:lineRule="auto"/>
              <w:rPr>
                <w:iCs/>
                <w:sz w:val="20"/>
                <w:szCs w:val="20"/>
                <w:highlight w:val="green"/>
              </w:rPr>
            </w:pPr>
            <w:r w:rsidRPr="00FF756A">
              <w:rPr>
                <w:sz w:val="20"/>
                <w:szCs w:val="20"/>
              </w:rPr>
              <w:t>Ligji nr. 9876, datë 14.2.2008</w:t>
            </w:r>
          </w:p>
        </w:tc>
        <w:tc>
          <w:tcPr>
            <w:tcW w:w="4110" w:type="dxa"/>
          </w:tcPr>
          <w:p w14:paraId="06B25D1C" w14:textId="77777777" w:rsidR="00B61B22" w:rsidRPr="00FF756A" w:rsidRDefault="00B61B22" w:rsidP="00B61B22">
            <w:pPr>
              <w:keepNext/>
              <w:spacing w:before="40" w:after="40" w:line="240" w:lineRule="auto"/>
              <w:rPr>
                <w:rFonts w:eastAsia="Arial"/>
                <w:iCs/>
                <w:sz w:val="20"/>
                <w:szCs w:val="20"/>
                <w:highlight w:val="green"/>
              </w:rPr>
            </w:pPr>
          </w:p>
        </w:tc>
      </w:tr>
    </w:tbl>
    <w:p w14:paraId="28321C9A" w14:textId="3BAD7ADE" w:rsidR="006B0598" w:rsidRPr="00FF756A" w:rsidRDefault="006A3584" w:rsidP="006A3584">
      <w:pPr>
        <w:pStyle w:val="Caption"/>
        <w:rPr>
          <w:rFonts w:ascii="Times New Roman" w:hAnsi="Times New Roman"/>
        </w:rPr>
      </w:pPr>
      <w:bookmarkStart w:id="65" w:name="_Toc183016474"/>
      <w:r w:rsidRPr="00FF756A">
        <w:rPr>
          <w:rFonts w:ascii="Times New Roman" w:hAnsi="Times New Roman"/>
        </w:rPr>
        <w:t xml:space="preserve">Tabela </w:t>
      </w:r>
      <w:r w:rsidR="00266C56" w:rsidRPr="00FF756A">
        <w:rPr>
          <w:rFonts w:ascii="Times New Roman" w:hAnsi="Times New Roman"/>
        </w:rPr>
        <w:fldChar w:fldCharType="begin"/>
      </w:r>
      <w:r w:rsidR="00266C56" w:rsidRPr="00FF756A">
        <w:rPr>
          <w:rFonts w:ascii="Times New Roman" w:hAnsi="Times New Roman"/>
        </w:rPr>
        <w:instrText xml:space="preserve"> SEQ Tabela \* ARABIC </w:instrText>
      </w:r>
      <w:r w:rsidR="00266C56" w:rsidRPr="00FF756A">
        <w:rPr>
          <w:rFonts w:ascii="Times New Roman" w:hAnsi="Times New Roman"/>
        </w:rPr>
        <w:fldChar w:fldCharType="separate"/>
      </w:r>
      <w:r w:rsidR="00266C56" w:rsidRPr="00FF756A">
        <w:rPr>
          <w:rFonts w:ascii="Times New Roman" w:hAnsi="Times New Roman"/>
          <w:noProof/>
        </w:rPr>
        <w:t>10</w:t>
      </w:r>
      <w:r w:rsidR="00266C56" w:rsidRPr="00FF756A">
        <w:rPr>
          <w:rFonts w:ascii="Times New Roman" w:hAnsi="Times New Roman"/>
          <w:noProof/>
        </w:rPr>
        <w:fldChar w:fldCharType="end"/>
      </w:r>
      <w:r w:rsidRPr="00FF756A">
        <w:rPr>
          <w:rFonts w:ascii="Times New Roman" w:hAnsi="Times New Roman"/>
        </w:rPr>
        <w:t xml:space="preserve">: </w:t>
      </w:r>
      <w:bookmarkEnd w:id="65"/>
      <w:r w:rsidR="00FC0522" w:rsidRPr="00FF756A">
        <w:rPr>
          <w:rFonts w:ascii="Times New Roman" w:hAnsi="Times New Roman"/>
        </w:rPr>
        <w:t xml:space="preserve"> Politikat aktuale të energjisë të lidhura me Dimensionin e Tregut të Brendshëm të Energjisë</w:t>
      </w:r>
    </w:p>
    <w:p w14:paraId="08000FC0" w14:textId="77777777" w:rsidR="006B0598" w:rsidRPr="00FF756A" w:rsidRDefault="006B0598" w:rsidP="008E7969">
      <w:pPr>
        <w:spacing w:before="40" w:after="40"/>
      </w:pPr>
    </w:p>
    <w:tbl>
      <w:tblPr>
        <w:tblStyle w:val="TableGrid"/>
        <w:tblW w:w="9637" w:type="dxa"/>
        <w:tblLook w:val="04A0" w:firstRow="1" w:lastRow="0" w:firstColumn="1" w:lastColumn="0" w:noHBand="0" w:noVBand="1"/>
      </w:tblPr>
      <w:tblGrid>
        <w:gridCol w:w="7083"/>
        <w:gridCol w:w="2554"/>
      </w:tblGrid>
      <w:tr w:rsidR="008B7E66" w:rsidRPr="00FF756A" w14:paraId="292E31A8" w14:textId="197BA20B" w:rsidTr="003858F2">
        <w:tc>
          <w:tcPr>
            <w:tcW w:w="9637" w:type="dxa"/>
            <w:gridSpan w:val="2"/>
            <w:tcBorders>
              <w:right w:val="single" w:sz="4" w:space="0" w:color="auto"/>
            </w:tcBorders>
          </w:tcPr>
          <w:p w14:paraId="37044B13" w14:textId="0B61FDA3" w:rsidR="008B7E66" w:rsidRPr="00FF756A" w:rsidRDefault="00E15328">
            <w:pPr>
              <w:spacing w:before="0" w:after="0" w:line="240" w:lineRule="auto"/>
              <w:jc w:val="left"/>
              <w:rPr>
                <w:sz w:val="20"/>
                <w:szCs w:val="20"/>
              </w:rPr>
            </w:pPr>
            <w:bookmarkStart w:id="66" w:name="_Hlk183005685"/>
            <w:r w:rsidRPr="00FF756A">
              <w:rPr>
                <w:b/>
                <w:bCs/>
                <w:iCs/>
                <w:sz w:val="20"/>
                <w:szCs w:val="20"/>
              </w:rPr>
              <w:t>Aktet nënligjore</w:t>
            </w:r>
            <w:r w:rsidR="008B7E66" w:rsidRPr="00FF756A">
              <w:rPr>
                <w:b/>
                <w:bCs/>
                <w:iCs/>
                <w:sz w:val="20"/>
                <w:szCs w:val="20"/>
              </w:rPr>
              <w:t xml:space="preserve"> në fuqi për Sigurinë e Energjisë/Tregun e Energjisë</w:t>
            </w:r>
          </w:p>
        </w:tc>
      </w:tr>
      <w:tr w:rsidR="00071AB5" w:rsidRPr="00FF756A" w14:paraId="384BFE99" w14:textId="77777777" w:rsidTr="004A3257">
        <w:tc>
          <w:tcPr>
            <w:tcW w:w="7083" w:type="dxa"/>
          </w:tcPr>
          <w:p w14:paraId="6C33AFE7" w14:textId="77777777" w:rsidR="008B7E66" w:rsidRPr="00FF756A" w:rsidRDefault="008B7E66" w:rsidP="004A3257">
            <w:pPr>
              <w:spacing w:before="40" w:after="40" w:line="240" w:lineRule="auto"/>
              <w:rPr>
                <w:rFonts w:eastAsia="Arial"/>
                <w:iCs/>
                <w:sz w:val="20"/>
                <w:szCs w:val="20"/>
              </w:rPr>
            </w:pPr>
            <w:r w:rsidRPr="00FF756A">
              <w:rPr>
                <w:rFonts w:eastAsia="Arial"/>
                <w:iCs/>
                <w:sz w:val="20"/>
                <w:szCs w:val="20"/>
              </w:rPr>
              <w:t>VKM “Për miratimin e Modelit të Tregut të Energjisë Elektrike” (i ndryshuar)</w:t>
            </w:r>
          </w:p>
        </w:tc>
        <w:tc>
          <w:tcPr>
            <w:tcW w:w="2554" w:type="dxa"/>
          </w:tcPr>
          <w:p w14:paraId="15F021C3" w14:textId="4C82E118" w:rsidR="008B7E66" w:rsidRPr="00FF756A" w:rsidRDefault="002D4B31" w:rsidP="004A3257">
            <w:pPr>
              <w:spacing w:before="40" w:after="40" w:line="240" w:lineRule="auto"/>
              <w:rPr>
                <w:iCs/>
                <w:sz w:val="20"/>
                <w:szCs w:val="20"/>
              </w:rPr>
            </w:pPr>
            <w:r w:rsidRPr="00FF756A">
              <w:rPr>
                <w:rFonts w:eastAsia="Arial"/>
                <w:iCs/>
                <w:sz w:val="20"/>
                <w:szCs w:val="20"/>
              </w:rPr>
              <w:t xml:space="preserve">VKM </w:t>
            </w:r>
            <w:r w:rsidR="008B7E66" w:rsidRPr="00FF756A">
              <w:rPr>
                <w:rFonts w:eastAsia="Arial"/>
                <w:iCs/>
                <w:sz w:val="20"/>
                <w:szCs w:val="20"/>
              </w:rPr>
              <w:t>nr. 519, datë 13.07.2016</w:t>
            </w:r>
          </w:p>
        </w:tc>
      </w:tr>
      <w:tr w:rsidR="00071AB5" w:rsidRPr="00FF756A" w14:paraId="005C0BC6" w14:textId="77777777" w:rsidTr="004A3257">
        <w:tc>
          <w:tcPr>
            <w:tcW w:w="7083" w:type="dxa"/>
          </w:tcPr>
          <w:p w14:paraId="5672F55E" w14:textId="3595281D" w:rsidR="008B7E66" w:rsidRPr="00FF756A" w:rsidRDefault="008B7E66" w:rsidP="004A3257">
            <w:pPr>
              <w:spacing w:before="40" w:after="40" w:line="240" w:lineRule="auto"/>
              <w:rPr>
                <w:iCs/>
                <w:spacing w:val="1"/>
                <w:sz w:val="20"/>
                <w:szCs w:val="20"/>
              </w:rPr>
            </w:pPr>
            <w:r w:rsidRPr="00FF756A">
              <w:rPr>
                <w:iCs/>
                <w:spacing w:val="1"/>
                <w:sz w:val="20"/>
                <w:szCs w:val="20"/>
              </w:rPr>
              <w:t>VKM “Për miratimin e kushteve dhe procedurave të caktimit të furnizuesit të energjisë elektrike të m</w:t>
            </w:r>
            <w:r w:rsidR="00401166" w:rsidRPr="00FF756A">
              <w:rPr>
                <w:iCs/>
                <w:spacing w:val="1"/>
                <w:sz w:val="20"/>
                <w:szCs w:val="20"/>
              </w:rPr>
              <w:t>undësisë</w:t>
            </w:r>
            <w:r w:rsidRPr="00FF756A">
              <w:rPr>
                <w:iCs/>
                <w:spacing w:val="1"/>
                <w:sz w:val="20"/>
                <w:szCs w:val="20"/>
              </w:rPr>
              <w:t xml:space="preserve"> </w:t>
            </w:r>
            <w:r w:rsidR="00401166" w:rsidRPr="00FF756A">
              <w:rPr>
                <w:iCs/>
                <w:spacing w:val="1"/>
                <w:sz w:val="20"/>
                <w:szCs w:val="20"/>
              </w:rPr>
              <w:t>s</w:t>
            </w:r>
            <w:r w:rsidRPr="00FF756A">
              <w:rPr>
                <w:iCs/>
                <w:spacing w:val="1"/>
                <w:sz w:val="20"/>
                <w:szCs w:val="20"/>
              </w:rPr>
              <w:t>ë fundit”</w:t>
            </w:r>
          </w:p>
        </w:tc>
        <w:tc>
          <w:tcPr>
            <w:tcW w:w="2554" w:type="dxa"/>
          </w:tcPr>
          <w:p w14:paraId="133C036C" w14:textId="281CB733" w:rsidR="008B7E66" w:rsidRPr="00FF756A" w:rsidRDefault="008B7E66" w:rsidP="004A3257">
            <w:pPr>
              <w:spacing w:before="40" w:after="40" w:line="240" w:lineRule="auto"/>
              <w:rPr>
                <w:iCs/>
                <w:sz w:val="20"/>
                <w:szCs w:val="20"/>
              </w:rPr>
            </w:pPr>
            <w:r w:rsidRPr="00FF756A">
              <w:rPr>
                <w:iCs/>
                <w:spacing w:val="1"/>
                <w:sz w:val="20"/>
                <w:szCs w:val="20"/>
              </w:rPr>
              <w:t>V</w:t>
            </w:r>
            <w:r w:rsidR="002D4B31" w:rsidRPr="00FF756A">
              <w:rPr>
                <w:iCs/>
                <w:spacing w:val="1"/>
                <w:sz w:val="20"/>
                <w:szCs w:val="20"/>
              </w:rPr>
              <w:t>KM</w:t>
            </w:r>
            <w:r w:rsidRPr="00FF756A">
              <w:rPr>
                <w:iCs/>
                <w:spacing w:val="1"/>
                <w:sz w:val="20"/>
                <w:szCs w:val="20"/>
              </w:rPr>
              <w:t xml:space="preserve"> nr. 449, datë 15.06.2016</w:t>
            </w:r>
          </w:p>
        </w:tc>
      </w:tr>
      <w:tr w:rsidR="00071AB5" w:rsidRPr="00FF756A" w14:paraId="26E8DB69" w14:textId="77777777" w:rsidTr="004A3257">
        <w:tc>
          <w:tcPr>
            <w:tcW w:w="7083" w:type="dxa"/>
          </w:tcPr>
          <w:p w14:paraId="663C4D9F" w14:textId="065133C2" w:rsidR="008B7E66" w:rsidRPr="00FF756A" w:rsidRDefault="008B7E66" w:rsidP="004A3257">
            <w:pPr>
              <w:spacing w:before="40" w:after="40" w:line="240" w:lineRule="auto"/>
              <w:rPr>
                <w:iCs/>
                <w:sz w:val="20"/>
                <w:szCs w:val="20"/>
              </w:rPr>
            </w:pPr>
            <w:r w:rsidRPr="00FF756A">
              <w:rPr>
                <w:iCs/>
                <w:sz w:val="20"/>
                <w:szCs w:val="20"/>
              </w:rPr>
              <w:t>VKM “Për miratimin e kushteve për vendosjen e detyrimit të shërbimit publik</w:t>
            </w:r>
            <w:r w:rsidR="001C7D9D" w:rsidRPr="00FF756A">
              <w:rPr>
                <w:iCs/>
                <w:sz w:val="20"/>
                <w:szCs w:val="20"/>
              </w:rPr>
              <w:t xml:space="preserve">, </w:t>
            </w:r>
            <w:r w:rsidR="00EB7BCF" w:rsidRPr="00FF756A">
              <w:rPr>
                <w:iCs/>
                <w:sz w:val="20"/>
                <w:szCs w:val="20"/>
              </w:rPr>
              <w:t xml:space="preserve">që do të zbatohen ndaj të </w:t>
            </w:r>
            <w:r w:rsidRPr="00FF756A">
              <w:rPr>
                <w:iCs/>
                <w:sz w:val="20"/>
                <w:szCs w:val="20"/>
              </w:rPr>
              <w:t>licencuarve në sektorin e energjisë elektrike</w:t>
            </w:r>
            <w:r w:rsidR="00EB7BCF" w:rsidRPr="00FF756A">
              <w:rPr>
                <w:iCs/>
                <w:sz w:val="20"/>
                <w:szCs w:val="20"/>
              </w:rPr>
              <w:t xml:space="preserve">, të cilë </w:t>
            </w:r>
            <w:r w:rsidRPr="00FF756A">
              <w:rPr>
                <w:iCs/>
                <w:sz w:val="20"/>
                <w:szCs w:val="20"/>
              </w:rPr>
              <w:t xml:space="preserve">ushtrojnë </w:t>
            </w:r>
            <w:r w:rsidR="00EB7BCF" w:rsidRPr="00FF756A">
              <w:rPr>
                <w:iCs/>
                <w:sz w:val="20"/>
                <w:szCs w:val="20"/>
              </w:rPr>
              <w:t>aktivitetin</w:t>
            </w:r>
            <w:r w:rsidRPr="00FF756A">
              <w:rPr>
                <w:iCs/>
                <w:sz w:val="20"/>
                <w:szCs w:val="20"/>
              </w:rPr>
              <w:t xml:space="preserve"> e prodhimit, transmetimit, shpërndarjes dhe furnizimit me energji elektrike”.</w:t>
            </w:r>
          </w:p>
        </w:tc>
        <w:tc>
          <w:tcPr>
            <w:tcW w:w="2554" w:type="dxa"/>
          </w:tcPr>
          <w:p w14:paraId="327AAA6D" w14:textId="5F1A22F1" w:rsidR="008B7E66" w:rsidRPr="00FF756A" w:rsidRDefault="008B7E66" w:rsidP="004A3257">
            <w:pPr>
              <w:spacing w:before="40" w:after="40" w:line="240" w:lineRule="auto"/>
              <w:rPr>
                <w:iCs/>
                <w:sz w:val="20"/>
                <w:szCs w:val="20"/>
              </w:rPr>
            </w:pPr>
            <w:r w:rsidRPr="00FF756A">
              <w:rPr>
                <w:iCs/>
                <w:sz w:val="20"/>
                <w:szCs w:val="20"/>
              </w:rPr>
              <w:t>V</w:t>
            </w:r>
            <w:r w:rsidR="002D4B31" w:rsidRPr="00FF756A">
              <w:rPr>
                <w:iCs/>
                <w:sz w:val="20"/>
                <w:szCs w:val="20"/>
              </w:rPr>
              <w:t xml:space="preserve">KM </w:t>
            </w:r>
            <w:r w:rsidRPr="00FF756A">
              <w:rPr>
                <w:iCs/>
                <w:sz w:val="20"/>
                <w:szCs w:val="20"/>
              </w:rPr>
              <w:t>nr. 456, datë 29.06.2022</w:t>
            </w:r>
          </w:p>
        </w:tc>
      </w:tr>
      <w:tr w:rsidR="00071AB5" w:rsidRPr="00FF756A" w14:paraId="0B05572E" w14:textId="77777777" w:rsidTr="004A3257">
        <w:tc>
          <w:tcPr>
            <w:tcW w:w="7083" w:type="dxa"/>
          </w:tcPr>
          <w:p w14:paraId="4E360D61" w14:textId="76BD765A" w:rsidR="008B7E66" w:rsidRPr="00FF756A" w:rsidRDefault="008B7E66" w:rsidP="004A3257">
            <w:pPr>
              <w:spacing w:before="40" w:after="40" w:line="240" w:lineRule="auto"/>
              <w:rPr>
                <w:iCs/>
                <w:sz w:val="20"/>
                <w:szCs w:val="20"/>
              </w:rPr>
            </w:pPr>
            <w:r w:rsidRPr="00FF756A">
              <w:rPr>
                <w:iCs/>
                <w:sz w:val="20"/>
                <w:szCs w:val="20"/>
              </w:rPr>
              <w:t xml:space="preserve">Urdhri “Për miratimin e Udhërrëfyesit për Hapjen e Tregut dhe </w:t>
            </w:r>
            <w:r w:rsidR="00164534" w:rsidRPr="00FF756A">
              <w:rPr>
                <w:iCs/>
                <w:sz w:val="20"/>
                <w:szCs w:val="20"/>
              </w:rPr>
              <w:t>De-</w:t>
            </w:r>
            <w:r w:rsidRPr="00FF756A">
              <w:rPr>
                <w:iCs/>
                <w:sz w:val="20"/>
                <w:szCs w:val="20"/>
              </w:rPr>
              <w:t>rregullimin e Çmim</w:t>
            </w:r>
            <w:r w:rsidR="00F4288B" w:rsidRPr="00FF756A">
              <w:rPr>
                <w:iCs/>
                <w:sz w:val="20"/>
                <w:szCs w:val="20"/>
              </w:rPr>
              <w:t>it të Energjisë Elektrike</w:t>
            </w:r>
            <w:r w:rsidRPr="00FF756A">
              <w:rPr>
                <w:iCs/>
                <w:sz w:val="20"/>
                <w:szCs w:val="20"/>
              </w:rPr>
              <w:t>” (i ndryshuar)</w:t>
            </w:r>
          </w:p>
        </w:tc>
        <w:tc>
          <w:tcPr>
            <w:tcW w:w="2554" w:type="dxa"/>
          </w:tcPr>
          <w:p w14:paraId="0AAC31F6" w14:textId="77777777" w:rsidR="008B7E66" w:rsidRPr="00FF756A" w:rsidRDefault="008B7E66" w:rsidP="004A3257">
            <w:pPr>
              <w:spacing w:before="40" w:after="40" w:line="240" w:lineRule="auto"/>
              <w:rPr>
                <w:rFonts w:eastAsia="Arial"/>
                <w:iCs/>
                <w:sz w:val="20"/>
                <w:szCs w:val="20"/>
              </w:rPr>
            </w:pPr>
            <w:r w:rsidRPr="00FF756A">
              <w:rPr>
                <w:iCs/>
                <w:sz w:val="20"/>
                <w:szCs w:val="20"/>
              </w:rPr>
              <w:t>Urdhri i Ministrisë nr. 28, datë 18.01.2021</w:t>
            </w:r>
          </w:p>
        </w:tc>
      </w:tr>
      <w:tr w:rsidR="00071AB5" w:rsidRPr="00FF756A" w14:paraId="1218EEC7" w14:textId="77777777" w:rsidTr="004A3257">
        <w:tc>
          <w:tcPr>
            <w:tcW w:w="7083" w:type="dxa"/>
          </w:tcPr>
          <w:p w14:paraId="66EE24A6" w14:textId="77777777" w:rsidR="008B7E66" w:rsidRPr="00FF756A" w:rsidRDefault="008B7E66" w:rsidP="004A3257">
            <w:pPr>
              <w:spacing w:before="40" w:after="40" w:line="240" w:lineRule="auto"/>
              <w:rPr>
                <w:iCs/>
                <w:sz w:val="20"/>
                <w:szCs w:val="20"/>
              </w:rPr>
            </w:pPr>
            <w:r w:rsidRPr="00FF756A">
              <w:rPr>
                <w:iCs/>
                <w:sz w:val="20"/>
                <w:szCs w:val="20"/>
              </w:rPr>
              <w:t>“Për miratimin e Rregullave të Tregut të Energjisë Elektrike”</w:t>
            </w:r>
          </w:p>
        </w:tc>
        <w:tc>
          <w:tcPr>
            <w:tcW w:w="2554" w:type="dxa"/>
          </w:tcPr>
          <w:p w14:paraId="5900E333" w14:textId="77777777" w:rsidR="008B7E66" w:rsidRPr="00FF756A" w:rsidRDefault="008B7E66" w:rsidP="004A3257">
            <w:pPr>
              <w:spacing w:before="40" w:after="40" w:line="240" w:lineRule="auto"/>
              <w:rPr>
                <w:rFonts w:eastAsia="Arial"/>
                <w:iCs/>
                <w:sz w:val="20"/>
                <w:szCs w:val="20"/>
              </w:rPr>
            </w:pPr>
            <w:r w:rsidRPr="00FF756A">
              <w:rPr>
                <w:iCs/>
                <w:sz w:val="20"/>
                <w:szCs w:val="20"/>
              </w:rPr>
              <w:t>Vendimi i Bordit të ERE-s nr. 347, datë 27.12.2022</w:t>
            </w:r>
          </w:p>
        </w:tc>
      </w:tr>
      <w:tr w:rsidR="00071AB5" w:rsidRPr="00FF756A" w14:paraId="3299E498" w14:textId="77777777" w:rsidTr="004A3257">
        <w:tc>
          <w:tcPr>
            <w:tcW w:w="7083" w:type="dxa"/>
          </w:tcPr>
          <w:p w14:paraId="618CF433" w14:textId="77777777" w:rsidR="008B7E66" w:rsidRPr="00FF756A" w:rsidRDefault="008B7E66" w:rsidP="004A3257">
            <w:pPr>
              <w:spacing w:before="40" w:after="40" w:line="240" w:lineRule="auto"/>
              <w:rPr>
                <w:iCs/>
                <w:sz w:val="20"/>
                <w:szCs w:val="20"/>
              </w:rPr>
            </w:pPr>
            <w:r w:rsidRPr="00FF756A">
              <w:rPr>
                <w:iCs/>
                <w:sz w:val="20"/>
                <w:szCs w:val="20"/>
              </w:rPr>
              <w:t xml:space="preserve">Vendimi i Bordit të ERE-s “Për miratimin e Rregullave të Tregut të Balancimit të Energjisë Elektrike” </w:t>
            </w:r>
            <w:r w:rsidRPr="00FF756A">
              <w:rPr>
                <w:iCs/>
                <w:sz w:val="20"/>
                <w:szCs w:val="20"/>
              </w:rPr>
              <w:br/>
              <w:t>(i ndryshuar)</w:t>
            </w:r>
          </w:p>
        </w:tc>
        <w:tc>
          <w:tcPr>
            <w:tcW w:w="2554" w:type="dxa"/>
          </w:tcPr>
          <w:p w14:paraId="7781334C" w14:textId="77777777" w:rsidR="008B7E66" w:rsidRPr="00FF756A" w:rsidRDefault="008B7E66" w:rsidP="004A3257">
            <w:pPr>
              <w:spacing w:before="40" w:after="40" w:line="240" w:lineRule="auto"/>
              <w:rPr>
                <w:iCs/>
                <w:sz w:val="20"/>
                <w:szCs w:val="20"/>
              </w:rPr>
            </w:pPr>
            <w:r w:rsidRPr="00FF756A">
              <w:rPr>
                <w:iCs/>
                <w:sz w:val="20"/>
                <w:szCs w:val="20"/>
              </w:rPr>
              <w:t>Vendimi i Bordit të ERE-s nr. 106, datë 02.07.2020</w:t>
            </w:r>
          </w:p>
        </w:tc>
      </w:tr>
      <w:tr w:rsidR="00071AB5" w:rsidRPr="00FF756A" w14:paraId="4A5350D5" w14:textId="77777777" w:rsidTr="004A3257">
        <w:tc>
          <w:tcPr>
            <w:tcW w:w="7083" w:type="dxa"/>
          </w:tcPr>
          <w:p w14:paraId="54E369F8" w14:textId="77777777" w:rsidR="008B7E66" w:rsidRPr="00FF756A" w:rsidRDefault="008B7E66" w:rsidP="004A3257">
            <w:pPr>
              <w:spacing w:before="40" w:after="40" w:line="240" w:lineRule="auto"/>
              <w:rPr>
                <w:iCs/>
                <w:sz w:val="20"/>
                <w:szCs w:val="20"/>
              </w:rPr>
            </w:pPr>
            <w:r w:rsidRPr="00FF756A">
              <w:rPr>
                <w:iCs/>
                <w:sz w:val="20"/>
                <w:szCs w:val="20"/>
              </w:rPr>
              <w:lastRenderedPageBreak/>
              <w:t>Vendimi i Bordit të ERE-s “Për miratimin e Rregullores për Integritetin dhe Transparencën e Tregut të Energjisë me Shumicë”</w:t>
            </w:r>
          </w:p>
        </w:tc>
        <w:tc>
          <w:tcPr>
            <w:tcW w:w="2554" w:type="dxa"/>
          </w:tcPr>
          <w:p w14:paraId="33652543" w14:textId="77777777" w:rsidR="008B7E66" w:rsidRPr="00FF756A" w:rsidRDefault="008B7E66" w:rsidP="004A3257">
            <w:pPr>
              <w:spacing w:before="40" w:after="40" w:line="240" w:lineRule="auto"/>
              <w:rPr>
                <w:iCs/>
                <w:sz w:val="20"/>
                <w:szCs w:val="20"/>
              </w:rPr>
            </w:pPr>
            <w:r w:rsidRPr="00FF756A">
              <w:rPr>
                <w:iCs/>
                <w:sz w:val="20"/>
                <w:szCs w:val="20"/>
              </w:rPr>
              <w:t>Vendimi i Bordit të ERE-s nr. 126, datë 17.05.2021</w:t>
            </w:r>
          </w:p>
        </w:tc>
      </w:tr>
      <w:tr w:rsidR="00071AB5" w:rsidRPr="00FF756A" w14:paraId="01F9A9D1" w14:textId="77777777" w:rsidTr="004A3257">
        <w:tc>
          <w:tcPr>
            <w:tcW w:w="7083" w:type="dxa"/>
          </w:tcPr>
          <w:p w14:paraId="7950DEE1" w14:textId="77777777" w:rsidR="008B7E66" w:rsidRPr="00FF756A" w:rsidRDefault="008B7E66" w:rsidP="004A3257">
            <w:pPr>
              <w:spacing w:before="40" w:after="40" w:line="240" w:lineRule="auto"/>
              <w:rPr>
                <w:iCs/>
                <w:sz w:val="20"/>
                <w:szCs w:val="20"/>
              </w:rPr>
            </w:pPr>
            <w:r w:rsidRPr="00FF756A">
              <w:rPr>
                <w:iCs/>
                <w:sz w:val="20"/>
                <w:szCs w:val="20"/>
              </w:rPr>
              <w:t>Vendimi i Bordit të ERE-s “Për miratimin e Rregullores për Kërkesat dhe Procedurat e Përcaktimit të Operatorit të Nominuar të Tregut të Energjisë Elektrike (NEMO) dhe Rolet dhe Përgjegjësitë e NEMO-s dhe Operatorit të Sistemit të Transmetimit në lidhjen e Tregut të Energjisë”.</w:t>
            </w:r>
          </w:p>
        </w:tc>
        <w:tc>
          <w:tcPr>
            <w:tcW w:w="2554" w:type="dxa"/>
          </w:tcPr>
          <w:p w14:paraId="2E836655" w14:textId="77777777" w:rsidR="008B7E66" w:rsidRPr="00FF756A" w:rsidRDefault="008B7E66" w:rsidP="004A3257">
            <w:pPr>
              <w:spacing w:before="40" w:after="40" w:line="240" w:lineRule="auto"/>
              <w:rPr>
                <w:iCs/>
                <w:sz w:val="20"/>
                <w:szCs w:val="20"/>
              </w:rPr>
            </w:pPr>
            <w:r w:rsidRPr="00FF756A">
              <w:rPr>
                <w:iCs/>
                <w:sz w:val="20"/>
                <w:szCs w:val="20"/>
              </w:rPr>
              <w:t>Vendimi i Bordit të ERE-s nr. 40, datë 06.03.2020</w:t>
            </w:r>
          </w:p>
        </w:tc>
      </w:tr>
      <w:tr w:rsidR="00071AB5" w:rsidRPr="00FF756A" w14:paraId="2CAA97FD" w14:textId="77777777" w:rsidTr="004A3257">
        <w:tc>
          <w:tcPr>
            <w:tcW w:w="7083" w:type="dxa"/>
          </w:tcPr>
          <w:p w14:paraId="61F46FB8" w14:textId="77777777" w:rsidR="008B7E66" w:rsidRPr="00FF756A" w:rsidRDefault="008B7E66" w:rsidP="004A3257">
            <w:pPr>
              <w:spacing w:before="40" w:after="40" w:line="240" w:lineRule="auto"/>
              <w:rPr>
                <w:iCs/>
                <w:sz w:val="20"/>
                <w:szCs w:val="20"/>
              </w:rPr>
            </w:pPr>
            <w:r w:rsidRPr="00FF756A">
              <w:rPr>
                <w:iCs/>
                <w:sz w:val="20"/>
                <w:szCs w:val="20"/>
              </w:rPr>
              <w:t>Vendimi i Bordit të ERE-s “Për miratimin e rregullave të publikimit të të dhënave të përgjithshme të tregut të energjisë elektrike”</w:t>
            </w:r>
          </w:p>
        </w:tc>
        <w:tc>
          <w:tcPr>
            <w:tcW w:w="2554" w:type="dxa"/>
          </w:tcPr>
          <w:p w14:paraId="796ED9E8" w14:textId="77777777" w:rsidR="008B7E66" w:rsidRPr="00FF756A" w:rsidRDefault="008B7E66" w:rsidP="004A3257">
            <w:pPr>
              <w:spacing w:before="40" w:after="40" w:line="240" w:lineRule="auto"/>
              <w:rPr>
                <w:iCs/>
                <w:sz w:val="20"/>
                <w:szCs w:val="20"/>
              </w:rPr>
            </w:pPr>
            <w:r w:rsidRPr="00FF756A">
              <w:rPr>
                <w:iCs/>
                <w:sz w:val="20"/>
                <w:szCs w:val="20"/>
              </w:rPr>
              <w:t>Vendimi i Bordit të ERE-s nr. 118, datë 27.07.2017</w:t>
            </w:r>
          </w:p>
        </w:tc>
      </w:tr>
      <w:tr w:rsidR="00071AB5" w:rsidRPr="00FF756A" w14:paraId="7AEF40DB" w14:textId="77777777" w:rsidTr="004A3257">
        <w:tc>
          <w:tcPr>
            <w:tcW w:w="7083" w:type="dxa"/>
          </w:tcPr>
          <w:p w14:paraId="27957E62" w14:textId="77777777" w:rsidR="008B7E66" w:rsidRPr="00FF756A" w:rsidRDefault="008B7E66" w:rsidP="004A3257">
            <w:pPr>
              <w:spacing w:before="40" w:after="40" w:line="240" w:lineRule="auto"/>
              <w:rPr>
                <w:iCs/>
                <w:sz w:val="20"/>
                <w:szCs w:val="20"/>
              </w:rPr>
            </w:pPr>
            <w:r w:rsidRPr="00FF756A">
              <w:rPr>
                <w:iCs/>
                <w:sz w:val="20"/>
                <w:szCs w:val="20"/>
              </w:rPr>
              <w:t>Vendimi i Bordit të ERE-s, “Për miratimin e Rregullave të Çertifikimit të Operatorit të Sistemit të Transmetimit të Energjisë Elektrike”</w:t>
            </w:r>
          </w:p>
        </w:tc>
        <w:tc>
          <w:tcPr>
            <w:tcW w:w="2554" w:type="dxa"/>
          </w:tcPr>
          <w:p w14:paraId="2D1E354B" w14:textId="77777777" w:rsidR="008B7E66" w:rsidRPr="00FF756A" w:rsidRDefault="008B7E66" w:rsidP="004A3257">
            <w:pPr>
              <w:spacing w:before="40" w:after="40" w:line="240" w:lineRule="auto"/>
              <w:rPr>
                <w:iCs/>
                <w:sz w:val="20"/>
                <w:szCs w:val="20"/>
              </w:rPr>
            </w:pPr>
            <w:r w:rsidRPr="00FF756A">
              <w:rPr>
                <w:iCs/>
                <w:sz w:val="20"/>
                <w:szCs w:val="20"/>
              </w:rPr>
              <w:t>Vendimi i Bordit të ERE-s nr. 154, datë 11.12.2015</w:t>
            </w:r>
          </w:p>
        </w:tc>
      </w:tr>
      <w:tr w:rsidR="00071AB5" w:rsidRPr="00FF756A" w14:paraId="5D64052C" w14:textId="77777777" w:rsidTr="004A3257">
        <w:tc>
          <w:tcPr>
            <w:tcW w:w="7083" w:type="dxa"/>
          </w:tcPr>
          <w:p w14:paraId="4797FDC1" w14:textId="77777777" w:rsidR="008B7E66" w:rsidRPr="00FF756A" w:rsidRDefault="008B7E66" w:rsidP="004A3257">
            <w:pPr>
              <w:spacing w:before="40" w:after="40" w:line="240" w:lineRule="auto"/>
              <w:rPr>
                <w:iCs/>
                <w:sz w:val="20"/>
                <w:szCs w:val="20"/>
              </w:rPr>
            </w:pPr>
            <w:r w:rsidRPr="00FF756A">
              <w:rPr>
                <w:iCs/>
                <w:sz w:val="20"/>
                <w:szCs w:val="20"/>
              </w:rPr>
              <w:t>Vendimi i Bordit të ERE-s, “Për miratimin e Rregullores për Ndërrimin e Furnizuesve të Energjisë Elektrike” (i ndryshuar)</w:t>
            </w:r>
          </w:p>
        </w:tc>
        <w:tc>
          <w:tcPr>
            <w:tcW w:w="2554" w:type="dxa"/>
          </w:tcPr>
          <w:p w14:paraId="2CEEBA0B" w14:textId="77777777" w:rsidR="008B7E66" w:rsidRPr="00FF756A" w:rsidRDefault="008B7E66" w:rsidP="004A3257">
            <w:pPr>
              <w:spacing w:before="40" w:after="40" w:line="240" w:lineRule="auto"/>
              <w:rPr>
                <w:iCs/>
                <w:sz w:val="20"/>
                <w:szCs w:val="20"/>
              </w:rPr>
            </w:pPr>
            <w:r w:rsidRPr="00FF756A">
              <w:rPr>
                <w:iCs/>
                <w:sz w:val="20"/>
                <w:szCs w:val="20"/>
              </w:rPr>
              <w:t>Vendimi i Bordit të ERE-s nr. 113, datë 08.07.2016</w:t>
            </w:r>
          </w:p>
        </w:tc>
      </w:tr>
      <w:tr w:rsidR="00071AB5" w:rsidRPr="00FF756A" w14:paraId="6511D283" w14:textId="77777777" w:rsidTr="004A3257">
        <w:tc>
          <w:tcPr>
            <w:tcW w:w="7083" w:type="dxa"/>
          </w:tcPr>
          <w:p w14:paraId="61274645" w14:textId="77777777" w:rsidR="008B7E66" w:rsidRPr="00FF756A" w:rsidRDefault="008B7E66" w:rsidP="004A3257">
            <w:pPr>
              <w:spacing w:before="40" w:after="40" w:line="240" w:lineRule="auto"/>
              <w:rPr>
                <w:iCs/>
                <w:sz w:val="20"/>
                <w:szCs w:val="20"/>
              </w:rPr>
            </w:pPr>
            <w:r w:rsidRPr="00FF756A">
              <w:rPr>
                <w:iCs/>
                <w:sz w:val="20"/>
                <w:szCs w:val="20"/>
              </w:rPr>
              <w:t>Vendimi i Bordit të ERE-s “Për miratimin e rregullores për profilet standarde të ngarkesës për kategori të caktuara klientësh në rast se të dhënat e matjes për llogaritjen e disbalancave të energjisë elektrike nuk disponohen”</w:t>
            </w:r>
          </w:p>
        </w:tc>
        <w:tc>
          <w:tcPr>
            <w:tcW w:w="2554" w:type="dxa"/>
          </w:tcPr>
          <w:p w14:paraId="3ABFA460" w14:textId="77777777" w:rsidR="008B7E66" w:rsidRPr="00FF756A" w:rsidRDefault="008B7E66" w:rsidP="004A3257">
            <w:pPr>
              <w:spacing w:before="40" w:after="40" w:line="240" w:lineRule="auto"/>
              <w:rPr>
                <w:iCs/>
                <w:sz w:val="20"/>
                <w:szCs w:val="20"/>
              </w:rPr>
            </w:pPr>
            <w:r w:rsidRPr="00FF756A">
              <w:rPr>
                <w:iCs/>
                <w:sz w:val="20"/>
                <w:szCs w:val="20"/>
              </w:rPr>
              <w:t>Vendimi i Bordit të ERE-s nr. 112, datë 09.07.2020</w:t>
            </w:r>
          </w:p>
        </w:tc>
      </w:tr>
      <w:tr w:rsidR="00071AB5" w:rsidRPr="00FF756A" w14:paraId="2491CC1E" w14:textId="77777777" w:rsidTr="004A3257">
        <w:tc>
          <w:tcPr>
            <w:tcW w:w="7083" w:type="dxa"/>
          </w:tcPr>
          <w:p w14:paraId="77C5CB0C" w14:textId="77777777" w:rsidR="008B7E66" w:rsidRPr="00FF756A" w:rsidRDefault="008B7E66" w:rsidP="004A3257">
            <w:pPr>
              <w:spacing w:before="40" w:after="40" w:line="240" w:lineRule="auto"/>
              <w:rPr>
                <w:iCs/>
                <w:sz w:val="20"/>
                <w:szCs w:val="20"/>
              </w:rPr>
            </w:pPr>
            <w:r w:rsidRPr="00FF756A">
              <w:rPr>
                <w:iCs/>
                <w:sz w:val="20"/>
                <w:szCs w:val="20"/>
              </w:rPr>
              <w:t>Vendimi i Bordit të ERE-s “Për miratimin e Kodit të Transmetimit”</w:t>
            </w:r>
          </w:p>
        </w:tc>
        <w:tc>
          <w:tcPr>
            <w:tcW w:w="2554" w:type="dxa"/>
          </w:tcPr>
          <w:p w14:paraId="7A0B74EE" w14:textId="77777777" w:rsidR="008B7E66" w:rsidRPr="00FF756A" w:rsidRDefault="008B7E66" w:rsidP="004A3257">
            <w:pPr>
              <w:spacing w:before="40" w:after="40" w:line="240" w:lineRule="auto"/>
              <w:rPr>
                <w:iCs/>
                <w:sz w:val="20"/>
                <w:szCs w:val="20"/>
              </w:rPr>
            </w:pPr>
            <w:r w:rsidRPr="00FF756A">
              <w:rPr>
                <w:iCs/>
                <w:sz w:val="20"/>
                <w:szCs w:val="20"/>
              </w:rPr>
              <w:t>Vendimi i Bordit të ERE-s nr. 63, datë 11.04.2022,</w:t>
            </w:r>
          </w:p>
        </w:tc>
      </w:tr>
      <w:tr w:rsidR="00071AB5" w:rsidRPr="00FF756A" w14:paraId="42BCD7EB" w14:textId="77777777" w:rsidTr="004A3257">
        <w:tc>
          <w:tcPr>
            <w:tcW w:w="7083" w:type="dxa"/>
          </w:tcPr>
          <w:p w14:paraId="085065E8" w14:textId="77777777" w:rsidR="008B7E66" w:rsidRPr="00FF756A" w:rsidRDefault="008B7E66" w:rsidP="004A3257">
            <w:pPr>
              <w:spacing w:before="40" w:after="40" w:line="240" w:lineRule="auto"/>
              <w:rPr>
                <w:rFonts w:eastAsia="Times New Roman"/>
                <w:sz w:val="20"/>
                <w:szCs w:val="20"/>
              </w:rPr>
            </w:pPr>
            <w:r w:rsidRPr="00FF756A">
              <w:rPr>
                <w:rFonts w:eastAsia="Times New Roman"/>
                <w:sz w:val="20"/>
                <w:szCs w:val="20"/>
              </w:rPr>
              <w:t>Vendimi i Bordit të ERE-s “Për miratimin e Kodit të Shpërndarjes” (i ndryshuar)</w:t>
            </w:r>
          </w:p>
        </w:tc>
        <w:tc>
          <w:tcPr>
            <w:tcW w:w="2554" w:type="dxa"/>
          </w:tcPr>
          <w:p w14:paraId="0F6221F1" w14:textId="77777777" w:rsidR="008B7E66" w:rsidRPr="00FF756A" w:rsidRDefault="008B7E66" w:rsidP="004A3257">
            <w:pPr>
              <w:spacing w:before="40" w:after="40" w:line="240" w:lineRule="auto"/>
              <w:rPr>
                <w:iCs/>
                <w:sz w:val="20"/>
                <w:szCs w:val="20"/>
              </w:rPr>
            </w:pPr>
            <w:r w:rsidRPr="00FF756A">
              <w:rPr>
                <w:rFonts w:eastAsia="Times New Roman"/>
                <w:sz w:val="20"/>
                <w:szCs w:val="20"/>
              </w:rPr>
              <w:t>Vendimi i Bordit të ERE-s nr. 100, datë 26.08.2008</w:t>
            </w:r>
          </w:p>
        </w:tc>
      </w:tr>
      <w:tr w:rsidR="00071AB5" w:rsidRPr="00FF756A" w14:paraId="7BF11480" w14:textId="77777777" w:rsidTr="004A3257">
        <w:tc>
          <w:tcPr>
            <w:tcW w:w="7083" w:type="dxa"/>
          </w:tcPr>
          <w:p w14:paraId="61B42324" w14:textId="77777777" w:rsidR="008B7E66" w:rsidRPr="00FF756A" w:rsidRDefault="008B7E66" w:rsidP="004A3257">
            <w:pPr>
              <w:spacing w:before="40" w:after="40" w:line="240" w:lineRule="auto"/>
              <w:rPr>
                <w:sz w:val="20"/>
                <w:szCs w:val="20"/>
              </w:rPr>
            </w:pPr>
            <w:r w:rsidRPr="00FF756A">
              <w:rPr>
                <w:sz w:val="20"/>
                <w:szCs w:val="20"/>
              </w:rPr>
              <w:t>Vendimi i Bordit të ERE-s “Për miratimin e Kodit të Matjes”</w:t>
            </w:r>
          </w:p>
        </w:tc>
        <w:tc>
          <w:tcPr>
            <w:tcW w:w="2554" w:type="dxa"/>
          </w:tcPr>
          <w:p w14:paraId="56B514F0" w14:textId="77777777" w:rsidR="008B7E66" w:rsidRPr="00FF756A" w:rsidRDefault="008B7E66" w:rsidP="004A3257">
            <w:pPr>
              <w:spacing w:before="40" w:after="40" w:line="240" w:lineRule="auto"/>
              <w:rPr>
                <w:iCs/>
                <w:sz w:val="20"/>
                <w:szCs w:val="20"/>
              </w:rPr>
            </w:pPr>
            <w:r w:rsidRPr="00FF756A">
              <w:rPr>
                <w:sz w:val="20"/>
                <w:szCs w:val="20"/>
              </w:rPr>
              <w:t>Vendimi i Bordit të ERE-s nr. 101, datë 26.08.2008</w:t>
            </w:r>
          </w:p>
        </w:tc>
      </w:tr>
      <w:tr w:rsidR="00071AB5" w:rsidRPr="00FF756A" w14:paraId="2C01CB31" w14:textId="77777777" w:rsidTr="004A3257">
        <w:tc>
          <w:tcPr>
            <w:tcW w:w="7083" w:type="dxa"/>
          </w:tcPr>
          <w:p w14:paraId="6AAC601E" w14:textId="77777777" w:rsidR="008B7E66" w:rsidRPr="00FF756A" w:rsidRDefault="008B7E66" w:rsidP="004A3257">
            <w:pPr>
              <w:spacing w:before="40" w:after="40" w:line="240" w:lineRule="auto"/>
              <w:rPr>
                <w:sz w:val="20"/>
                <w:szCs w:val="20"/>
              </w:rPr>
            </w:pPr>
            <w:r w:rsidRPr="00FF756A">
              <w:rPr>
                <w:sz w:val="20"/>
                <w:szCs w:val="20"/>
              </w:rPr>
              <w:t>Vendimi i Bordit të ERE-s “Për miratimin e kodit të rrjetit për kërkesat për lidhjen në rrjet të sistemeve të rrymës direkte të tensionit të lartë dhe moduleve të parkut të energjisë elektrike të lidhura me rrymën e drejtpërdrejtë”</w:t>
            </w:r>
          </w:p>
        </w:tc>
        <w:tc>
          <w:tcPr>
            <w:tcW w:w="2554" w:type="dxa"/>
          </w:tcPr>
          <w:p w14:paraId="71F05535" w14:textId="77777777" w:rsidR="008B7E66" w:rsidRPr="00FF756A" w:rsidRDefault="008B7E66" w:rsidP="004A3257">
            <w:pPr>
              <w:spacing w:before="40" w:after="40" w:line="240" w:lineRule="auto"/>
              <w:rPr>
                <w:iCs/>
                <w:sz w:val="20"/>
                <w:szCs w:val="20"/>
              </w:rPr>
            </w:pPr>
            <w:r w:rsidRPr="00FF756A">
              <w:rPr>
                <w:sz w:val="20"/>
                <w:szCs w:val="20"/>
              </w:rPr>
              <w:t>Vendimi i Bordit të ERE-s nr. 127, datë 04.06.2018</w:t>
            </w:r>
          </w:p>
        </w:tc>
      </w:tr>
      <w:tr w:rsidR="00071AB5" w:rsidRPr="00FF756A" w14:paraId="2DB33000" w14:textId="77777777" w:rsidTr="004A3257">
        <w:tc>
          <w:tcPr>
            <w:tcW w:w="7083" w:type="dxa"/>
          </w:tcPr>
          <w:p w14:paraId="5BDCD0DE" w14:textId="77777777" w:rsidR="008B7E66" w:rsidRPr="00FF756A" w:rsidRDefault="008B7E66" w:rsidP="004A3257">
            <w:pPr>
              <w:spacing w:before="40" w:after="40" w:line="240" w:lineRule="auto"/>
              <w:rPr>
                <w:iCs/>
                <w:sz w:val="20"/>
                <w:szCs w:val="20"/>
              </w:rPr>
            </w:pPr>
            <w:r w:rsidRPr="00FF756A">
              <w:rPr>
                <w:iCs/>
                <w:sz w:val="20"/>
                <w:szCs w:val="20"/>
              </w:rPr>
              <w:t>Vendimi i Bordit të ERE-s “Për miratimin e Kodit të Rrjetit për Kërkesat për Lidhjen në Rrjet të Kërkesës”</w:t>
            </w:r>
          </w:p>
        </w:tc>
        <w:tc>
          <w:tcPr>
            <w:tcW w:w="2554" w:type="dxa"/>
          </w:tcPr>
          <w:p w14:paraId="4145CC16" w14:textId="77777777" w:rsidR="008B7E66" w:rsidRPr="00FF756A" w:rsidRDefault="008B7E66" w:rsidP="004A3257">
            <w:pPr>
              <w:spacing w:before="40" w:after="40" w:line="240" w:lineRule="auto"/>
              <w:rPr>
                <w:iCs/>
                <w:sz w:val="20"/>
                <w:szCs w:val="20"/>
              </w:rPr>
            </w:pPr>
            <w:r w:rsidRPr="00FF756A">
              <w:rPr>
                <w:iCs/>
                <w:sz w:val="20"/>
                <w:szCs w:val="20"/>
              </w:rPr>
              <w:t>Vendimi i Bordit të ERE-s nr. 128, datë 04.06.2018</w:t>
            </w:r>
          </w:p>
        </w:tc>
      </w:tr>
      <w:tr w:rsidR="00071AB5" w:rsidRPr="00FF756A" w14:paraId="73B85C80" w14:textId="77777777" w:rsidTr="004A3257">
        <w:tc>
          <w:tcPr>
            <w:tcW w:w="7083" w:type="dxa"/>
          </w:tcPr>
          <w:p w14:paraId="4E4538D4" w14:textId="77777777" w:rsidR="008B7E66" w:rsidRPr="00FF756A" w:rsidRDefault="008B7E66" w:rsidP="004A3257">
            <w:pPr>
              <w:spacing w:before="40" w:after="40" w:line="240" w:lineRule="auto"/>
              <w:rPr>
                <w:iCs/>
                <w:sz w:val="20"/>
                <w:szCs w:val="20"/>
              </w:rPr>
            </w:pPr>
            <w:r w:rsidRPr="00FF756A">
              <w:rPr>
                <w:iCs/>
                <w:sz w:val="20"/>
                <w:szCs w:val="20"/>
              </w:rPr>
              <w:t>Vendimi i Bordit të ERE-s “Për miratimin e Kodit të Rrjetit për Kërkesat për Lidhjen në Rrjet të Gjeneratorëve”</w:t>
            </w:r>
          </w:p>
        </w:tc>
        <w:tc>
          <w:tcPr>
            <w:tcW w:w="2554" w:type="dxa"/>
          </w:tcPr>
          <w:p w14:paraId="50A20C22" w14:textId="77777777" w:rsidR="008B7E66" w:rsidRPr="00FF756A" w:rsidRDefault="008B7E66" w:rsidP="004A3257">
            <w:pPr>
              <w:spacing w:before="40" w:after="40" w:line="240" w:lineRule="auto"/>
              <w:rPr>
                <w:iCs/>
                <w:sz w:val="20"/>
                <w:szCs w:val="20"/>
              </w:rPr>
            </w:pPr>
            <w:r w:rsidRPr="00FF756A">
              <w:rPr>
                <w:iCs/>
                <w:sz w:val="20"/>
                <w:szCs w:val="20"/>
              </w:rPr>
              <w:t>Vendimi i Bordit të ERE-s nr. 129, datë 04.06.2018</w:t>
            </w:r>
          </w:p>
        </w:tc>
      </w:tr>
      <w:tr w:rsidR="00E15328" w:rsidRPr="00FF756A" w14:paraId="555C1F89" w14:textId="77777777" w:rsidTr="00E15328">
        <w:trPr>
          <w:gridAfter w:val="1"/>
          <w:wAfter w:w="2554" w:type="dxa"/>
        </w:trPr>
        <w:tc>
          <w:tcPr>
            <w:tcW w:w="7083" w:type="dxa"/>
          </w:tcPr>
          <w:p w14:paraId="02C186C7" w14:textId="15B702AB" w:rsidR="008B7E66" w:rsidRPr="00FF756A" w:rsidRDefault="009C01A3" w:rsidP="004A3257">
            <w:pPr>
              <w:spacing w:before="40" w:after="40" w:line="240" w:lineRule="auto"/>
              <w:rPr>
                <w:b/>
                <w:bCs/>
                <w:iCs/>
                <w:sz w:val="20"/>
                <w:szCs w:val="20"/>
              </w:rPr>
            </w:pPr>
            <w:r w:rsidRPr="00FF756A">
              <w:rPr>
                <w:b/>
                <w:bCs/>
                <w:iCs/>
                <w:sz w:val="20"/>
                <w:szCs w:val="20"/>
              </w:rPr>
              <w:t xml:space="preserve">Aktet nënligjore </w:t>
            </w:r>
            <w:r w:rsidR="008B7E66" w:rsidRPr="00FF756A">
              <w:rPr>
                <w:b/>
                <w:bCs/>
                <w:iCs/>
                <w:sz w:val="20"/>
                <w:szCs w:val="20"/>
              </w:rPr>
              <w:t>në fuqi për Sigurinë e Energjisë/Gazit</w:t>
            </w:r>
          </w:p>
        </w:tc>
      </w:tr>
      <w:tr w:rsidR="00071AB5" w:rsidRPr="00FF756A" w14:paraId="79C107FF" w14:textId="77777777" w:rsidTr="004A3257">
        <w:tc>
          <w:tcPr>
            <w:tcW w:w="7083" w:type="dxa"/>
          </w:tcPr>
          <w:p w14:paraId="4A32C129" w14:textId="77777777" w:rsidR="008B7E66" w:rsidRPr="00FF756A" w:rsidRDefault="008B7E66" w:rsidP="004A3257">
            <w:pPr>
              <w:spacing w:before="40" w:after="40" w:line="240" w:lineRule="auto"/>
              <w:rPr>
                <w:iCs/>
                <w:sz w:val="20"/>
                <w:szCs w:val="20"/>
              </w:rPr>
            </w:pPr>
            <w:r w:rsidRPr="00FF756A">
              <w:rPr>
                <w:iCs/>
                <w:sz w:val="20"/>
                <w:szCs w:val="20"/>
              </w:rPr>
              <w:t>VKM Nr. 417, datë 10.05.2017 “Për miratimin e planit të emergjencës së gazit natyror, në përputhje me standardet minimale të sigurisë së furnizimit dhe me rregullat për sigurimin e furnizimit të sigurt dhe efikas me gaz natyror”.</w:t>
            </w:r>
          </w:p>
        </w:tc>
        <w:tc>
          <w:tcPr>
            <w:tcW w:w="2554" w:type="dxa"/>
          </w:tcPr>
          <w:p w14:paraId="18290C14" w14:textId="77777777" w:rsidR="008B7E66" w:rsidRPr="00FF756A" w:rsidRDefault="008B7E66" w:rsidP="004A3257">
            <w:pPr>
              <w:spacing w:before="40" w:after="40" w:line="240" w:lineRule="auto"/>
              <w:rPr>
                <w:rFonts w:eastAsia="Arial"/>
                <w:iCs/>
                <w:sz w:val="20"/>
                <w:szCs w:val="20"/>
              </w:rPr>
            </w:pPr>
            <w:r w:rsidRPr="00FF756A">
              <w:rPr>
                <w:iCs/>
                <w:sz w:val="20"/>
                <w:szCs w:val="20"/>
              </w:rPr>
              <w:t>VKM Nr.417 datë 10.05.2017</w:t>
            </w:r>
          </w:p>
        </w:tc>
      </w:tr>
      <w:tr w:rsidR="00071AB5" w:rsidRPr="00FF756A" w14:paraId="703CC322" w14:textId="77777777" w:rsidTr="004A3257">
        <w:tc>
          <w:tcPr>
            <w:tcW w:w="7083" w:type="dxa"/>
          </w:tcPr>
          <w:p w14:paraId="7D5CAC55" w14:textId="77777777" w:rsidR="008B7E66" w:rsidRPr="00FF756A" w:rsidRDefault="008B7E66" w:rsidP="004A3257">
            <w:pPr>
              <w:spacing w:before="40" w:after="40" w:line="240" w:lineRule="auto"/>
              <w:rPr>
                <w:iCs/>
                <w:sz w:val="20"/>
                <w:szCs w:val="20"/>
              </w:rPr>
            </w:pPr>
            <w:r w:rsidRPr="00FF756A">
              <w:rPr>
                <w:rFonts w:eastAsia="Times New Roman"/>
                <w:sz w:val="20"/>
                <w:szCs w:val="20"/>
              </w:rPr>
              <w:t>VKM “Për miratimin e modelit të tregut të gazit natyror”</w:t>
            </w:r>
          </w:p>
        </w:tc>
        <w:tc>
          <w:tcPr>
            <w:tcW w:w="2554" w:type="dxa"/>
          </w:tcPr>
          <w:p w14:paraId="674C2BE4" w14:textId="77777777" w:rsidR="008B7E66" w:rsidRPr="00FF756A" w:rsidRDefault="008B7E66" w:rsidP="004A3257">
            <w:pPr>
              <w:spacing w:before="40" w:after="40" w:line="240" w:lineRule="auto"/>
              <w:rPr>
                <w:iCs/>
                <w:sz w:val="20"/>
                <w:szCs w:val="20"/>
              </w:rPr>
            </w:pPr>
            <w:r w:rsidRPr="00FF756A">
              <w:rPr>
                <w:rFonts w:eastAsia="Times New Roman"/>
                <w:sz w:val="20"/>
                <w:szCs w:val="20"/>
              </w:rPr>
              <w:t>VKM Nr.590 datë 9.10.2018</w:t>
            </w:r>
          </w:p>
        </w:tc>
      </w:tr>
      <w:tr w:rsidR="00071AB5" w:rsidRPr="00FF756A" w14:paraId="3A645AD8" w14:textId="77777777" w:rsidTr="004A3257">
        <w:tc>
          <w:tcPr>
            <w:tcW w:w="7083" w:type="dxa"/>
          </w:tcPr>
          <w:p w14:paraId="6616F279" w14:textId="77777777" w:rsidR="008B7E66" w:rsidRPr="00FF756A" w:rsidRDefault="008B7E66" w:rsidP="004A3257">
            <w:pPr>
              <w:spacing w:before="40" w:after="40" w:line="240" w:lineRule="auto"/>
              <w:rPr>
                <w:iCs/>
                <w:sz w:val="20"/>
                <w:szCs w:val="20"/>
              </w:rPr>
            </w:pPr>
            <w:r w:rsidRPr="00FF756A">
              <w:rPr>
                <w:rFonts w:eastAsia="Times New Roman"/>
                <w:sz w:val="20"/>
                <w:szCs w:val="20"/>
              </w:rPr>
              <w:t>VKM “Për miratimin e kushteve dhe procedurave për përcaktimin e furnizuesit të fundit të gazit natyror”</w:t>
            </w:r>
          </w:p>
        </w:tc>
        <w:tc>
          <w:tcPr>
            <w:tcW w:w="2554" w:type="dxa"/>
          </w:tcPr>
          <w:p w14:paraId="1961075E" w14:textId="77777777" w:rsidR="008B7E66" w:rsidRPr="00FF756A" w:rsidRDefault="008B7E66" w:rsidP="004A3257">
            <w:pPr>
              <w:spacing w:before="40" w:after="40" w:line="240" w:lineRule="auto"/>
              <w:rPr>
                <w:iCs/>
                <w:sz w:val="20"/>
                <w:szCs w:val="20"/>
              </w:rPr>
            </w:pPr>
            <w:r w:rsidRPr="00FF756A">
              <w:rPr>
                <w:rFonts w:eastAsia="Times New Roman"/>
                <w:sz w:val="20"/>
                <w:szCs w:val="20"/>
              </w:rPr>
              <w:t>VKM Nr.69 datë 02.07.2018</w:t>
            </w:r>
          </w:p>
        </w:tc>
      </w:tr>
      <w:tr w:rsidR="00071AB5" w:rsidRPr="00FF756A" w14:paraId="2DDDE38E" w14:textId="77777777" w:rsidTr="004A3257">
        <w:tc>
          <w:tcPr>
            <w:tcW w:w="7083" w:type="dxa"/>
          </w:tcPr>
          <w:p w14:paraId="36FDE510"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miratimin e dispozitave për certifikimin ose operatorin e transmetimit të gazit natyror”, i ndryshuar.</w:t>
            </w:r>
          </w:p>
        </w:tc>
        <w:tc>
          <w:tcPr>
            <w:tcW w:w="2554" w:type="dxa"/>
          </w:tcPr>
          <w:p w14:paraId="4549736D" w14:textId="77777777" w:rsidR="008B7E66" w:rsidRPr="00FF756A" w:rsidRDefault="008B7E66" w:rsidP="004A3257">
            <w:pPr>
              <w:spacing w:before="40" w:after="40" w:line="240" w:lineRule="auto"/>
              <w:rPr>
                <w:rFonts w:eastAsia="Arial"/>
                <w:iCs/>
                <w:sz w:val="20"/>
                <w:szCs w:val="20"/>
              </w:rPr>
            </w:pPr>
            <w:r w:rsidRPr="00FF756A">
              <w:rPr>
                <w:rFonts w:eastAsia="Times New Roman"/>
                <w:sz w:val="20"/>
                <w:szCs w:val="20"/>
              </w:rPr>
              <w:t>Vendimi i Bordit të Komisionerëve (Vendimi i Bordit të ERE-s) Nr. 100, datë 5.08.2015</w:t>
            </w:r>
          </w:p>
        </w:tc>
      </w:tr>
      <w:tr w:rsidR="00071AB5" w:rsidRPr="00FF756A" w14:paraId="433B98B1" w14:textId="77777777" w:rsidTr="004A3257">
        <w:tc>
          <w:tcPr>
            <w:tcW w:w="7083" w:type="dxa"/>
          </w:tcPr>
          <w:p w14:paraId="346F98F3"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miratimin e rregullores për organizimin, funksionimin dhe procedurat e ERE-s”</w:t>
            </w:r>
          </w:p>
        </w:tc>
        <w:tc>
          <w:tcPr>
            <w:tcW w:w="2554" w:type="dxa"/>
          </w:tcPr>
          <w:p w14:paraId="384B7E5D" w14:textId="77777777" w:rsidR="008B7E66" w:rsidRPr="00FF756A" w:rsidRDefault="008B7E66" w:rsidP="004A3257">
            <w:pPr>
              <w:spacing w:before="40" w:after="40" w:line="240" w:lineRule="auto"/>
              <w:rPr>
                <w:rFonts w:eastAsia="Arial"/>
                <w:iCs/>
                <w:sz w:val="20"/>
                <w:szCs w:val="20"/>
              </w:rPr>
            </w:pPr>
            <w:r w:rsidRPr="00FF756A">
              <w:rPr>
                <w:rFonts w:eastAsia="Times New Roman"/>
                <w:sz w:val="20"/>
                <w:szCs w:val="20"/>
              </w:rPr>
              <w:t>Vendim i Bordit të ERE-s nr. 96, datë 17.06.2016</w:t>
            </w:r>
          </w:p>
        </w:tc>
      </w:tr>
      <w:tr w:rsidR="00071AB5" w:rsidRPr="00FF756A" w14:paraId="1E7DF243" w14:textId="77777777" w:rsidTr="004A3257">
        <w:tc>
          <w:tcPr>
            <w:tcW w:w="7083" w:type="dxa"/>
          </w:tcPr>
          <w:p w14:paraId="605D8F26"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miratimin e rregullores për trajtimin e ankesave të klientëve dhe zgjidhjen e mosmarrëveshjeve ndërmjet mbajtësve të licencës në sektorin e energjisë elektrike dhe gazit natyror”</w:t>
            </w:r>
          </w:p>
        </w:tc>
        <w:tc>
          <w:tcPr>
            <w:tcW w:w="2554" w:type="dxa"/>
          </w:tcPr>
          <w:p w14:paraId="00497E46" w14:textId="77777777" w:rsidR="008B7E66" w:rsidRPr="00FF756A" w:rsidRDefault="008B7E66" w:rsidP="004A3257">
            <w:pPr>
              <w:spacing w:before="40" w:after="40" w:line="240" w:lineRule="auto"/>
              <w:rPr>
                <w:rFonts w:eastAsia="Arial"/>
                <w:iCs/>
                <w:sz w:val="20"/>
                <w:szCs w:val="20"/>
              </w:rPr>
            </w:pPr>
            <w:r w:rsidRPr="00FF756A">
              <w:rPr>
                <w:iCs/>
                <w:sz w:val="20"/>
                <w:szCs w:val="20"/>
              </w:rPr>
              <w:t xml:space="preserve">Vendimi i Bordit të ERE-s </w:t>
            </w:r>
            <w:r w:rsidRPr="00FF756A">
              <w:rPr>
                <w:rFonts w:eastAsia="Times New Roman"/>
                <w:sz w:val="20"/>
                <w:szCs w:val="20"/>
              </w:rPr>
              <w:t>nr. 114, datë 8.07.2016</w:t>
            </w:r>
          </w:p>
        </w:tc>
      </w:tr>
      <w:tr w:rsidR="00071AB5" w:rsidRPr="00FF756A" w14:paraId="6E6CC8BA" w14:textId="77777777" w:rsidTr="004A3257">
        <w:tc>
          <w:tcPr>
            <w:tcW w:w="7083" w:type="dxa"/>
          </w:tcPr>
          <w:p w14:paraId="60C3BBF9"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miratimin e rregullores për procedurat e transferimit të aseteve nga të licencuarit”</w:t>
            </w:r>
          </w:p>
        </w:tc>
        <w:tc>
          <w:tcPr>
            <w:tcW w:w="2554" w:type="dxa"/>
          </w:tcPr>
          <w:p w14:paraId="500F1A32" w14:textId="77777777" w:rsidR="008B7E66" w:rsidRPr="00FF756A" w:rsidRDefault="008B7E66" w:rsidP="004A3257">
            <w:pPr>
              <w:spacing w:before="40" w:after="40" w:line="240" w:lineRule="auto"/>
              <w:rPr>
                <w:rFonts w:eastAsia="Arial"/>
                <w:iCs/>
                <w:color w:val="000000"/>
                <w:sz w:val="20"/>
                <w:szCs w:val="20"/>
              </w:rPr>
            </w:pPr>
            <w:r w:rsidRPr="00FF756A">
              <w:rPr>
                <w:iCs/>
                <w:sz w:val="20"/>
                <w:szCs w:val="20"/>
              </w:rPr>
              <w:t xml:space="preserve">Vendimi i Bordit të ERE-s </w:t>
            </w:r>
            <w:r w:rsidRPr="00FF756A">
              <w:rPr>
                <w:rFonts w:eastAsia="Times New Roman"/>
                <w:sz w:val="20"/>
                <w:szCs w:val="20"/>
              </w:rPr>
              <w:t>nr. 119, datë 21.07.2016</w:t>
            </w:r>
          </w:p>
        </w:tc>
      </w:tr>
      <w:tr w:rsidR="00071AB5" w:rsidRPr="00FF756A" w14:paraId="4EE2820B" w14:textId="77777777" w:rsidTr="004A3257">
        <w:trPr>
          <w:trHeight w:val="677"/>
        </w:trPr>
        <w:tc>
          <w:tcPr>
            <w:tcW w:w="7083" w:type="dxa"/>
          </w:tcPr>
          <w:p w14:paraId="5E5D7C3B"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miratimin e Udhëzimit për kriteret për të vendosur aksesin në ambientet e depozitimit të gazit natyror”</w:t>
            </w:r>
          </w:p>
        </w:tc>
        <w:tc>
          <w:tcPr>
            <w:tcW w:w="2554" w:type="dxa"/>
          </w:tcPr>
          <w:p w14:paraId="4373DC98" w14:textId="77777777" w:rsidR="008B7E66" w:rsidRPr="00FF756A" w:rsidRDefault="008B7E66" w:rsidP="004A3257">
            <w:pPr>
              <w:spacing w:before="40" w:after="40" w:line="240" w:lineRule="auto"/>
              <w:rPr>
                <w:noProof/>
                <w:sz w:val="20"/>
                <w:szCs w:val="20"/>
                <w:highlight w:val="yellow"/>
              </w:rPr>
            </w:pPr>
            <w:r w:rsidRPr="00FF756A">
              <w:rPr>
                <w:iCs/>
                <w:sz w:val="20"/>
                <w:szCs w:val="20"/>
              </w:rPr>
              <w:t xml:space="preserve">Vendimi </w:t>
            </w:r>
            <w:r w:rsidRPr="00FF756A">
              <w:rPr>
                <w:rFonts w:eastAsia="Times New Roman"/>
                <w:sz w:val="20"/>
                <w:szCs w:val="20"/>
              </w:rPr>
              <w:t>nr. 34 i Bordit të ERE-s, datë 2.03.2017</w:t>
            </w:r>
          </w:p>
        </w:tc>
      </w:tr>
      <w:tr w:rsidR="00071AB5" w:rsidRPr="00FF756A" w14:paraId="7158A715" w14:textId="77777777" w:rsidTr="004A3257">
        <w:tc>
          <w:tcPr>
            <w:tcW w:w="7083" w:type="dxa"/>
          </w:tcPr>
          <w:p w14:paraId="62A3BD21"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miratimin e programit të përputhshmërisë së sistemit të transmetimit të gazit natyror”</w:t>
            </w:r>
          </w:p>
        </w:tc>
        <w:tc>
          <w:tcPr>
            <w:tcW w:w="2554" w:type="dxa"/>
          </w:tcPr>
          <w:p w14:paraId="3E9B92B9" w14:textId="77777777" w:rsidR="008B7E66" w:rsidRPr="00FF756A" w:rsidRDefault="008B7E66" w:rsidP="004A3257">
            <w:pPr>
              <w:spacing w:before="40" w:after="40" w:line="240" w:lineRule="auto"/>
              <w:rPr>
                <w:iCs/>
                <w:sz w:val="20"/>
                <w:szCs w:val="20"/>
              </w:rPr>
            </w:pPr>
            <w:r w:rsidRPr="00FF756A">
              <w:rPr>
                <w:iCs/>
                <w:sz w:val="20"/>
                <w:szCs w:val="20"/>
              </w:rPr>
              <w:t xml:space="preserve">Vendim i Bordit të ERE-s </w:t>
            </w:r>
            <w:r w:rsidRPr="00FF756A">
              <w:rPr>
                <w:rFonts w:eastAsia="Times New Roman"/>
                <w:sz w:val="20"/>
                <w:szCs w:val="20"/>
              </w:rPr>
              <w:t>nr. 77, datë 26.05.2017</w:t>
            </w:r>
          </w:p>
        </w:tc>
      </w:tr>
      <w:tr w:rsidR="00071AB5" w:rsidRPr="00FF756A" w14:paraId="026FA816" w14:textId="77777777" w:rsidTr="004A3257">
        <w:tc>
          <w:tcPr>
            <w:tcW w:w="7083" w:type="dxa"/>
          </w:tcPr>
          <w:p w14:paraId="710ED5B3" w14:textId="77777777" w:rsidR="008B7E66" w:rsidRPr="00FF756A" w:rsidRDefault="008B7E66" w:rsidP="004A3257">
            <w:pPr>
              <w:spacing w:before="40" w:after="40" w:line="240" w:lineRule="auto"/>
              <w:rPr>
                <w:rFonts w:eastAsia="Times New Roman"/>
                <w:sz w:val="20"/>
                <w:szCs w:val="20"/>
              </w:rPr>
            </w:pPr>
            <w:r w:rsidRPr="00FF756A">
              <w:rPr>
                <w:iCs/>
                <w:sz w:val="20"/>
                <w:szCs w:val="20"/>
              </w:rPr>
              <w:lastRenderedPageBreak/>
              <w:t xml:space="preserve">Vendimi i Bordit të ERE-s </w:t>
            </w:r>
            <w:r w:rsidRPr="00FF756A">
              <w:rPr>
                <w:rFonts w:eastAsia="Times New Roman"/>
                <w:sz w:val="20"/>
                <w:szCs w:val="20"/>
              </w:rPr>
              <w:t>“Për miratimin e kontratës për ofrimin e shërbimeve të oficerit të përputhshmërisë në sektorin e gazit natyror”</w:t>
            </w:r>
          </w:p>
        </w:tc>
        <w:tc>
          <w:tcPr>
            <w:tcW w:w="2554" w:type="dxa"/>
          </w:tcPr>
          <w:p w14:paraId="612924A5" w14:textId="77777777" w:rsidR="008B7E66" w:rsidRPr="00FF756A" w:rsidRDefault="008B7E66" w:rsidP="004A3257">
            <w:pPr>
              <w:spacing w:before="40" w:after="40" w:line="240" w:lineRule="auto"/>
              <w:rPr>
                <w:sz w:val="20"/>
                <w:szCs w:val="20"/>
              </w:rPr>
            </w:pPr>
            <w:r w:rsidRPr="00FF756A">
              <w:rPr>
                <w:iCs/>
                <w:sz w:val="20"/>
                <w:szCs w:val="20"/>
              </w:rPr>
              <w:t xml:space="preserve">Vendimi </w:t>
            </w:r>
            <w:r w:rsidRPr="00FF756A">
              <w:rPr>
                <w:rFonts w:eastAsia="Times New Roman"/>
                <w:sz w:val="20"/>
                <w:szCs w:val="20"/>
              </w:rPr>
              <w:t>nr. 78 i Bordit të ERE-s, datë 26.05.2017</w:t>
            </w:r>
          </w:p>
        </w:tc>
      </w:tr>
      <w:tr w:rsidR="00071AB5" w:rsidRPr="00FF756A" w14:paraId="54791A52" w14:textId="77777777" w:rsidTr="004A3257">
        <w:tc>
          <w:tcPr>
            <w:tcW w:w="7083" w:type="dxa"/>
          </w:tcPr>
          <w:p w14:paraId="108FF4D0"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miratimin e rregullores për kushtet dhe procedurat e vendosjes së gjobave dhe dënimin konkret për çdo shkelje në sektorin e gazit natyror”</w:t>
            </w:r>
          </w:p>
        </w:tc>
        <w:tc>
          <w:tcPr>
            <w:tcW w:w="2554" w:type="dxa"/>
          </w:tcPr>
          <w:p w14:paraId="7DAF9877"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w:t>
            </w:r>
            <w:r w:rsidRPr="00FF756A">
              <w:rPr>
                <w:rFonts w:eastAsia="Times New Roman"/>
                <w:sz w:val="20"/>
                <w:szCs w:val="20"/>
              </w:rPr>
              <w:t>nr. 95 i Bordit të ERE-s, datë 4.07.2017</w:t>
            </w:r>
          </w:p>
        </w:tc>
      </w:tr>
      <w:tr w:rsidR="00071AB5" w:rsidRPr="00FF756A" w14:paraId="7B128388" w14:textId="77777777" w:rsidTr="004A3257">
        <w:tc>
          <w:tcPr>
            <w:tcW w:w="7083" w:type="dxa"/>
          </w:tcPr>
          <w:p w14:paraId="44F396D4"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miratimin e rregullores për procedurat e licencimit, modifikimit, transferimit dhe heqjes së licencave në sektorin e gazit natyror”</w:t>
            </w:r>
          </w:p>
        </w:tc>
        <w:tc>
          <w:tcPr>
            <w:tcW w:w="2554" w:type="dxa"/>
          </w:tcPr>
          <w:p w14:paraId="4FEE1117"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 i Bordit të ERE-s </w:t>
            </w:r>
            <w:r w:rsidRPr="00FF756A">
              <w:rPr>
                <w:rFonts w:eastAsia="Times New Roman"/>
                <w:sz w:val="20"/>
                <w:szCs w:val="20"/>
              </w:rPr>
              <w:t>nr. 97, datë 4.07.2017</w:t>
            </w:r>
          </w:p>
        </w:tc>
      </w:tr>
      <w:tr w:rsidR="00071AB5" w:rsidRPr="00FF756A" w14:paraId="2F91E58F" w14:textId="77777777" w:rsidTr="004A3257">
        <w:tc>
          <w:tcPr>
            <w:tcW w:w="7083" w:type="dxa"/>
          </w:tcPr>
          <w:p w14:paraId="104CF2FE"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miratimin e metodologjisë së përcaktimit të tarifës për shitjen e gazit natyror nga furnizuesi i mundësisë së fundit”</w:t>
            </w:r>
          </w:p>
        </w:tc>
        <w:tc>
          <w:tcPr>
            <w:tcW w:w="2554" w:type="dxa"/>
          </w:tcPr>
          <w:p w14:paraId="7312B40A"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i Bordit të ERE-s </w:t>
            </w:r>
            <w:r w:rsidRPr="00FF756A">
              <w:rPr>
                <w:rFonts w:eastAsia="Times New Roman"/>
                <w:sz w:val="20"/>
                <w:szCs w:val="20"/>
              </w:rPr>
              <w:t>nr. 38, datë 27.02.2020</w:t>
            </w:r>
          </w:p>
        </w:tc>
      </w:tr>
      <w:tr w:rsidR="00071AB5" w:rsidRPr="00FF756A" w14:paraId="37CFE73A" w14:textId="77777777" w:rsidTr="004A3257">
        <w:tc>
          <w:tcPr>
            <w:tcW w:w="7083" w:type="dxa"/>
          </w:tcPr>
          <w:p w14:paraId="0B207798"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disa ndryshime të përkohshme në procedurat e licencimit në ushtrimin e veprimtarive në sektorin e energjisë elektrike dhe gazit natyror në kuadër të masave pas shfaqjes së virusit Covid19 dhe shpalljes së gjendjes së fatkeqësisë natyrore në vendin tonë”.</w:t>
            </w:r>
          </w:p>
        </w:tc>
        <w:tc>
          <w:tcPr>
            <w:tcW w:w="2554" w:type="dxa"/>
          </w:tcPr>
          <w:p w14:paraId="7798B11F"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i Bordit të ERE-s </w:t>
            </w:r>
            <w:r w:rsidRPr="00FF756A">
              <w:rPr>
                <w:rFonts w:eastAsia="Times New Roman"/>
                <w:sz w:val="20"/>
                <w:szCs w:val="20"/>
              </w:rPr>
              <w:t>nr. 51, datë 26.03.2020</w:t>
            </w:r>
          </w:p>
        </w:tc>
      </w:tr>
      <w:tr w:rsidR="00071AB5" w:rsidRPr="00FF756A" w14:paraId="4E4E5B66" w14:textId="77777777" w:rsidTr="004A3257">
        <w:tc>
          <w:tcPr>
            <w:tcW w:w="7083" w:type="dxa"/>
          </w:tcPr>
          <w:p w14:paraId="3DE66460"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miratimin e "Kodit të Rrjetit të Transmetimit të Gazit Natyror në Shqipëri"</w:t>
            </w:r>
          </w:p>
        </w:tc>
        <w:tc>
          <w:tcPr>
            <w:tcW w:w="2554" w:type="dxa"/>
          </w:tcPr>
          <w:p w14:paraId="4AA59B94"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 i Bordit të ERE-s </w:t>
            </w:r>
            <w:r w:rsidRPr="00FF756A">
              <w:rPr>
                <w:rFonts w:eastAsia="Times New Roman"/>
                <w:sz w:val="20"/>
                <w:szCs w:val="20"/>
              </w:rPr>
              <w:t>nr. 68, datë 22.04.2020</w:t>
            </w:r>
          </w:p>
        </w:tc>
      </w:tr>
      <w:tr w:rsidR="00071AB5" w:rsidRPr="00FF756A" w14:paraId="0A33119C" w14:textId="77777777" w:rsidTr="004A3257">
        <w:tc>
          <w:tcPr>
            <w:tcW w:w="7083" w:type="dxa"/>
          </w:tcPr>
          <w:p w14:paraId="2F1541B4" w14:textId="56DE556C"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w:t>
            </w:r>
            <w:r w:rsidR="009A6286" w:rsidRPr="00FF756A">
              <w:rPr>
                <w:rFonts w:eastAsia="Times New Roman"/>
                <w:sz w:val="20"/>
                <w:szCs w:val="20"/>
              </w:rPr>
              <w:t>Mbi të</w:t>
            </w:r>
            <w:r w:rsidRPr="00FF756A">
              <w:rPr>
                <w:rFonts w:eastAsia="Times New Roman"/>
                <w:sz w:val="20"/>
                <w:szCs w:val="20"/>
              </w:rPr>
              <w:t xml:space="preserve"> licencuarit në sektorin e energjisë elektrike dhe gazit natyror </w:t>
            </w:r>
            <w:r w:rsidR="007747C7" w:rsidRPr="00FF756A">
              <w:rPr>
                <w:rFonts w:eastAsia="Times New Roman"/>
                <w:sz w:val="20"/>
                <w:szCs w:val="20"/>
              </w:rPr>
              <w:t>t</w:t>
            </w:r>
            <w:r w:rsidRPr="00FF756A">
              <w:rPr>
                <w:rFonts w:eastAsia="Times New Roman"/>
                <w:sz w:val="20"/>
                <w:szCs w:val="20"/>
              </w:rPr>
              <w:t xml:space="preserve">ë </w:t>
            </w:r>
            <w:r w:rsidR="007747C7" w:rsidRPr="00FF756A">
              <w:rPr>
                <w:rFonts w:eastAsia="Times New Roman"/>
                <w:sz w:val="20"/>
                <w:szCs w:val="20"/>
              </w:rPr>
              <w:t xml:space="preserve">cilët </w:t>
            </w:r>
            <w:r w:rsidRPr="00FF756A">
              <w:rPr>
                <w:rFonts w:eastAsia="Times New Roman"/>
                <w:sz w:val="20"/>
                <w:szCs w:val="20"/>
              </w:rPr>
              <w:t>nuk kanë paguar tarifat rregullatore”</w:t>
            </w:r>
          </w:p>
        </w:tc>
        <w:tc>
          <w:tcPr>
            <w:tcW w:w="2554" w:type="dxa"/>
          </w:tcPr>
          <w:p w14:paraId="5D867493"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i Bordit të ERE-s </w:t>
            </w:r>
            <w:r w:rsidRPr="00FF756A">
              <w:rPr>
                <w:rFonts w:eastAsia="Times New Roman"/>
                <w:sz w:val="20"/>
                <w:szCs w:val="20"/>
              </w:rPr>
              <w:t>nr. 103, datë 24.06.2020</w:t>
            </w:r>
          </w:p>
        </w:tc>
      </w:tr>
      <w:tr w:rsidR="00071AB5" w:rsidRPr="00FF756A" w14:paraId="3F8E7745" w14:textId="77777777" w:rsidTr="004A3257">
        <w:tc>
          <w:tcPr>
            <w:tcW w:w="7083" w:type="dxa"/>
          </w:tcPr>
          <w:p w14:paraId="643737DB" w14:textId="08DEE9CE"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disa ndryshime në vendimin e bordit të erës nr. 51, datë 26.03.2020 “</w:t>
            </w:r>
            <w:r w:rsidR="00CB1CCE" w:rsidRPr="00FF756A">
              <w:rPr>
                <w:rFonts w:eastAsia="Times New Roman"/>
                <w:sz w:val="20"/>
                <w:szCs w:val="20"/>
              </w:rPr>
              <w:t>Mbi</w:t>
            </w:r>
            <w:r w:rsidRPr="00FF756A">
              <w:rPr>
                <w:rFonts w:eastAsia="Times New Roman"/>
                <w:sz w:val="20"/>
                <w:szCs w:val="20"/>
              </w:rPr>
              <w:t xml:space="preserve"> disa ndryshime të përkohshme në procedurat e licencimit në ushtrimin e veprimtarisë në sektorin e energjisë elektrike dhe gazit natyror në kuadër të masave pas shfaqjes së virusit Covid-19 dhe shpalljes së gjendjes së fatkeqësisë natyrore në vendin tonë. vend"</w:t>
            </w:r>
          </w:p>
        </w:tc>
        <w:tc>
          <w:tcPr>
            <w:tcW w:w="2554" w:type="dxa"/>
          </w:tcPr>
          <w:p w14:paraId="3566B084"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i Bordit të ERE-s </w:t>
            </w:r>
            <w:r w:rsidRPr="00FF756A">
              <w:rPr>
                <w:rFonts w:eastAsia="Times New Roman"/>
                <w:sz w:val="20"/>
                <w:szCs w:val="20"/>
              </w:rPr>
              <w:t>nr. 133, datë 10.08.2020</w:t>
            </w:r>
          </w:p>
        </w:tc>
      </w:tr>
      <w:tr w:rsidR="00071AB5" w:rsidRPr="00FF756A" w14:paraId="14A6C4CA" w14:textId="77777777" w:rsidTr="004A3257">
        <w:tc>
          <w:tcPr>
            <w:tcW w:w="7083" w:type="dxa"/>
          </w:tcPr>
          <w:p w14:paraId="57825833" w14:textId="37AAD894"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fillimin e procedurës për miratimin e "Kushte</w:t>
            </w:r>
            <w:r w:rsidR="000D66D5" w:rsidRPr="00FF756A">
              <w:rPr>
                <w:rFonts w:eastAsia="Times New Roman"/>
                <w:sz w:val="20"/>
                <w:szCs w:val="20"/>
              </w:rPr>
              <w:t>ve të</w:t>
            </w:r>
            <w:r w:rsidRPr="00FF756A">
              <w:rPr>
                <w:rFonts w:eastAsia="Times New Roman"/>
                <w:sz w:val="20"/>
                <w:szCs w:val="20"/>
              </w:rPr>
              <w:t xml:space="preserve"> përgjithshme të kontratës së llojit të furnizimit me gaz natyror për klientët fundorë që përfitojnë nga shërbimi i furnizimit publik"</w:t>
            </w:r>
          </w:p>
        </w:tc>
        <w:tc>
          <w:tcPr>
            <w:tcW w:w="2554" w:type="dxa"/>
          </w:tcPr>
          <w:p w14:paraId="3E7E76F7"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i Bordit të ERE-s </w:t>
            </w:r>
            <w:r w:rsidRPr="00FF756A">
              <w:rPr>
                <w:rFonts w:eastAsia="Times New Roman"/>
                <w:sz w:val="20"/>
                <w:szCs w:val="20"/>
              </w:rPr>
              <w:t>nr. 145, datë 28.08.2020</w:t>
            </w:r>
          </w:p>
        </w:tc>
      </w:tr>
      <w:tr w:rsidR="00071AB5" w:rsidRPr="00FF756A" w14:paraId="06F97E65" w14:textId="77777777" w:rsidTr="004A3257">
        <w:tc>
          <w:tcPr>
            <w:tcW w:w="7083" w:type="dxa"/>
          </w:tcPr>
          <w:p w14:paraId="5CD831CD"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fillimin e procedurës së shqyrtimit dhe miratimit të rregullores për procedurat e dhënies së të drejtës së përjashtimit për infrastrukturën e re të gazit natyror”</w:t>
            </w:r>
          </w:p>
        </w:tc>
        <w:tc>
          <w:tcPr>
            <w:tcW w:w="2554" w:type="dxa"/>
          </w:tcPr>
          <w:p w14:paraId="6CFB7D0E"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i Bordit të ERE-s </w:t>
            </w:r>
            <w:r w:rsidRPr="00FF756A">
              <w:rPr>
                <w:rFonts w:eastAsia="Times New Roman"/>
                <w:sz w:val="20"/>
                <w:szCs w:val="20"/>
              </w:rPr>
              <w:t>nr. 148, datë 10.09.2020</w:t>
            </w:r>
          </w:p>
        </w:tc>
      </w:tr>
      <w:tr w:rsidR="00071AB5" w:rsidRPr="00FF756A" w14:paraId="049AB665" w14:textId="77777777" w:rsidTr="004A3257">
        <w:tc>
          <w:tcPr>
            <w:tcW w:w="7083" w:type="dxa"/>
          </w:tcPr>
          <w:p w14:paraId="2C72A95B"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fillimin e procedurës për miratimin e "Rregullave të monitorimit të tregut të gazit natyror"</w:t>
            </w:r>
          </w:p>
        </w:tc>
        <w:tc>
          <w:tcPr>
            <w:tcW w:w="2554" w:type="dxa"/>
          </w:tcPr>
          <w:p w14:paraId="45D7D888"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i Bordit të ERE-s </w:t>
            </w:r>
            <w:r w:rsidRPr="00FF756A">
              <w:rPr>
                <w:rFonts w:eastAsia="Times New Roman"/>
                <w:sz w:val="20"/>
                <w:szCs w:val="20"/>
              </w:rPr>
              <w:t>nr. 164, datë 22.10.2020</w:t>
            </w:r>
          </w:p>
        </w:tc>
      </w:tr>
      <w:tr w:rsidR="00071AB5" w:rsidRPr="00FF756A" w14:paraId="04AE1C5A" w14:textId="77777777" w:rsidTr="004A3257">
        <w:tc>
          <w:tcPr>
            <w:tcW w:w="7083" w:type="dxa"/>
          </w:tcPr>
          <w:p w14:paraId="3E540421"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fillimin e procedurës për miratimin e "Kodit të Matjes së Gazit Natyror"</w:t>
            </w:r>
          </w:p>
        </w:tc>
        <w:tc>
          <w:tcPr>
            <w:tcW w:w="2554" w:type="dxa"/>
          </w:tcPr>
          <w:p w14:paraId="382F2BBF"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i Bordit të ERE-s </w:t>
            </w:r>
            <w:r w:rsidRPr="00FF756A">
              <w:rPr>
                <w:rFonts w:eastAsia="Times New Roman"/>
                <w:sz w:val="20"/>
                <w:szCs w:val="20"/>
              </w:rPr>
              <w:t>nr. 165, datë 22.10.2020</w:t>
            </w:r>
          </w:p>
        </w:tc>
      </w:tr>
      <w:tr w:rsidR="00071AB5" w:rsidRPr="00FF756A" w14:paraId="55B43FE2" w14:textId="77777777" w:rsidTr="004A3257">
        <w:tc>
          <w:tcPr>
            <w:tcW w:w="7083" w:type="dxa"/>
          </w:tcPr>
          <w:p w14:paraId="268253A2"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miratimin e "Kushteve të përgjithshme të kontratës standarde të furnizimit me gaz natyror për klientët fundorë që përfitojnë nga shërbimi i furnizimit publik".</w:t>
            </w:r>
          </w:p>
        </w:tc>
        <w:tc>
          <w:tcPr>
            <w:tcW w:w="2554" w:type="dxa"/>
          </w:tcPr>
          <w:p w14:paraId="70CF2466"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i Bordit të ERE-s </w:t>
            </w:r>
            <w:r w:rsidRPr="00FF756A">
              <w:rPr>
                <w:rFonts w:eastAsia="Times New Roman"/>
                <w:sz w:val="20"/>
                <w:szCs w:val="20"/>
              </w:rPr>
              <w:t>nr. 166, datë 22.10.2020</w:t>
            </w:r>
          </w:p>
        </w:tc>
      </w:tr>
      <w:tr w:rsidR="00071AB5" w:rsidRPr="00FF756A" w14:paraId="42603872" w14:textId="77777777" w:rsidTr="004A3257">
        <w:tc>
          <w:tcPr>
            <w:tcW w:w="7083" w:type="dxa"/>
          </w:tcPr>
          <w:p w14:paraId="7F03B16A"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fillimin e procedurës për miratimin e licencës model për veprimtarinë e operimit në objektet e depozitimit të gazit natyror"</w:t>
            </w:r>
          </w:p>
        </w:tc>
        <w:tc>
          <w:tcPr>
            <w:tcW w:w="2554" w:type="dxa"/>
          </w:tcPr>
          <w:p w14:paraId="4BBA3A6D"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i Bordit të ERE-s </w:t>
            </w:r>
            <w:r w:rsidRPr="00FF756A">
              <w:rPr>
                <w:rFonts w:eastAsia="Times New Roman"/>
                <w:sz w:val="20"/>
                <w:szCs w:val="20"/>
              </w:rPr>
              <w:t>nr.193, datë 20.11. 2020</w:t>
            </w:r>
          </w:p>
        </w:tc>
      </w:tr>
      <w:tr w:rsidR="00071AB5" w:rsidRPr="00FF756A" w14:paraId="78B86A74" w14:textId="77777777" w:rsidTr="004A3257">
        <w:tc>
          <w:tcPr>
            <w:tcW w:w="7083" w:type="dxa"/>
          </w:tcPr>
          <w:p w14:paraId="006246E2"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fillimin e procedurës për miratimin e" rregullores për përcaktimin e kritereve për ushtrimin e veprimtarisë së depozitimit të gazit natyror"</w:t>
            </w:r>
          </w:p>
        </w:tc>
        <w:tc>
          <w:tcPr>
            <w:tcW w:w="2554" w:type="dxa"/>
          </w:tcPr>
          <w:p w14:paraId="5545FAEE"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i Bordit të ERE-s </w:t>
            </w:r>
            <w:r w:rsidRPr="00FF756A">
              <w:rPr>
                <w:rFonts w:eastAsia="Times New Roman"/>
                <w:sz w:val="20"/>
                <w:szCs w:val="20"/>
              </w:rPr>
              <w:t>nr. 204, datë 04.12.2020</w:t>
            </w:r>
          </w:p>
        </w:tc>
      </w:tr>
      <w:tr w:rsidR="00071AB5" w:rsidRPr="00FF756A" w14:paraId="1EACA487" w14:textId="77777777" w:rsidTr="004A3257">
        <w:tc>
          <w:tcPr>
            <w:tcW w:w="7083" w:type="dxa"/>
          </w:tcPr>
          <w:p w14:paraId="55D8E53E"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fillimin e procedurës për miratimin e standardeve të trajtimit të ankesave të konsumatorëve të energjisë elektrike dhe gazit natyror nga të licencuarit në aktivitetin e furnizimit”</w:t>
            </w:r>
          </w:p>
        </w:tc>
        <w:tc>
          <w:tcPr>
            <w:tcW w:w="2554" w:type="dxa"/>
          </w:tcPr>
          <w:p w14:paraId="7CDF5429"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 i Bordit të ERE-s </w:t>
            </w:r>
            <w:r w:rsidRPr="00FF756A">
              <w:rPr>
                <w:rFonts w:eastAsia="Times New Roman"/>
                <w:sz w:val="20"/>
                <w:szCs w:val="20"/>
              </w:rPr>
              <w:t>nr. 218, datë 15.12.2020</w:t>
            </w:r>
          </w:p>
        </w:tc>
      </w:tr>
      <w:tr w:rsidR="00071AB5" w:rsidRPr="00FF756A" w14:paraId="72A0C880" w14:textId="77777777" w:rsidTr="004A3257">
        <w:tc>
          <w:tcPr>
            <w:tcW w:w="7083" w:type="dxa"/>
          </w:tcPr>
          <w:p w14:paraId="60309DCA"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miratimin e "Rregullave për monitorimin e tregut të gazit natyror në Shqipëri"</w:t>
            </w:r>
          </w:p>
        </w:tc>
        <w:tc>
          <w:tcPr>
            <w:tcW w:w="2554" w:type="dxa"/>
          </w:tcPr>
          <w:p w14:paraId="44224AEA"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i Bordit të ERE-s </w:t>
            </w:r>
            <w:r w:rsidRPr="00FF756A">
              <w:rPr>
                <w:rFonts w:eastAsia="Times New Roman"/>
                <w:sz w:val="20"/>
                <w:szCs w:val="20"/>
              </w:rPr>
              <w:t>nr. 265, datë 28.12.2020</w:t>
            </w:r>
          </w:p>
        </w:tc>
      </w:tr>
      <w:tr w:rsidR="00071AB5" w:rsidRPr="00FF756A" w14:paraId="76EB9813" w14:textId="77777777" w:rsidTr="004A3257">
        <w:tc>
          <w:tcPr>
            <w:tcW w:w="7083" w:type="dxa"/>
          </w:tcPr>
          <w:p w14:paraId="1D38BA02"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fillimin e procedurës për miratimin" e kushteve për të licencuarin e ngarkuar me detyrimin e shërbimit publik për sektorin e gazit natyror "në Shqipëri".</w:t>
            </w:r>
          </w:p>
        </w:tc>
        <w:tc>
          <w:tcPr>
            <w:tcW w:w="2554" w:type="dxa"/>
          </w:tcPr>
          <w:p w14:paraId="24449A99"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i Bordit të ERE-s </w:t>
            </w:r>
            <w:r w:rsidRPr="00FF756A">
              <w:rPr>
                <w:rFonts w:eastAsia="Times New Roman"/>
                <w:sz w:val="20"/>
                <w:szCs w:val="20"/>
              </w:rPr>
              <w:t>nr. 267, datë 28.12.2020</w:t>
            </w:r>
          </w:p>
        </w:tc>
      </w:tr>
      <w:tr w:rsidR="00071AB5" w:rsidRPr="00FF756A" w14:paraId="7A03B059" w14:textId="77777777" w:rsidTr="004A3257">
        <w:tc>
          <w:tcPr>
            <w:tcW w:w="7083" w:type="dxa"/>
          </w:tcPr>
          <w:p w14:paraId="47360F75"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fillimin e procedurës për miratimin e “rregullave të përdorimit të terminalit të gazit të lëngshëm natyror (LNG)” në Shqipëri”</w:t>
            </w:r>
          </w:p>
        </w:tc>
        <w:tc>
          <w:tcPr>
            <w:tcW w:w="2554" w:type="dxa"/>
          </w:tcPr>
          <w:p w14:paraId="7FFBCD66"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i Bordit të ERE-s </w:t>
            </w:r>
            <w:r w:rsidRPr="00FF756A">
              <w:rPr>
                <w:rFonts w:eastAsia="Times New Roman"/>
                <w:sz w:val="20"/>
                <w:szCs w:val="20"/>
              </w:rPr>
              <w:t>nr. 268, datë 28.12.2020</w:t>
            </w:r>
          </w:p>
        </w:tc>
      </w:tr>
      <w:tr w:rsidR="00071AB5" w:rsidRPr="00FF756A" w14:paraId="482D9660" w14:textId="77777777" w:rsidTr="004A3257">
        <w:tc>
          <w:tcPr>
            <w:tcW w:w="7083" w:type="dxa"/>
          </w:tcPr>
          <w:p w14:paraId="7A912E8E" w14:textId="15DC5835"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w:t>
            </w:r>
            <w:r w:rsidR="009541C2" w:rsidRPr="00FF756A">
              <w:rPr>
                <w:rFonts w:eastAsia="Times New Roman"/>
                <w:sz w:val="20"/>
                <w:szCs w:val="20"/>
              </w:rPr>
              <w:t>Mbi</w:t>
            </w:r>
            <w:r w:rsidRPr="00FF756A">
              <w:rPr>
                <w:rFonts w:eastAsia="Times New Roman"/>
                <w:sz w:val="20"/>
                <w:szCs w:val="20"/>
              </w:rPr>
              <w:t xml:space="preserve"> fillimin e procedurës për miratimin e “Metodologjisë së llogaritjes së tarifës për shërbimin e rigazifikimit nga impiantet e GNL” në Shqipëri”.</w:t>
            </w:r>
          </w:p>
        </w:tc>
        <w:tc>
          <w:tcPr>
            <w:tcW w:w="2554" w:type="dxa"/>
          </w:tcPr>
          <w:p w14:paraId="2EB3F0E7"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i Bordit të ERE-s </w:t>
            </w:r>
            <w:r w:rsidRPr="00FF756A">
              <w:rPr>
                <w:rFonts w:eastAsia="Times New Roman"/>
                <w:sz w:val="20"/>
                <w:szCs w:val="20"/>
              </w:rPr>
              <w:t>nr. 269, datë 28.12.2020</w:t>
            </w:r>
          </w:p>
        </w:tc>
      </w:tr>
      <w:tr w:rsidR="00071AB5" w:rsidRPr="00FF756A" w14:paraId="49DE6359" w14:textId="77777777" w:rsidTr="004A3257">
        <w:tc>
          <w:tcPr>
            <w:tcW w:w="7083" w:type="dxa"/>
          </w:tcPr>
          <w:p w14:paraId="17EEAD28" w14:textId="77777777" w:rsidR="008B7E66" w:rsidRPr="00FF756A" w:rsidRDefault="008B7E66" w:rsidP="004A3257">
            <w:pPr>
              <w:spacing w:before="40" w:after="40" w:line="240" w:lineRule="auto"/>
              <w:rPr>
                <w:rFonts w:eastAsia="Times New Roman"/>
                <w:sz w:val="20"/>
                <w:szCs w:val="20"/>
              </w:rPr>
            </w:pPr>
            <w:r w:rsidRPr="00FF756A">
              <w:rPr>
                <w:iCs/>
                <w:sz w:val="20"/>
                <w:szCs w:val="20"/>
              </w:rPr>
              <w:lastRenderedPageBreak/>
              <w:t xml:space="preserve">Vendim Bordi i ERE-s </w:t>
            </w:r>
            <w:r w:rsidRPr="00FF756A">
              <w:rPr>
                <w:rFonts w:eastAsia="Times New Roman"/>
                <w:sz w:val="20"/>
                <w:szCs w:val="20"/>
              </w:rPr>
              <w:t>“Për kërkesën e shoqërisë Albgaz për shtyrjen e afateve të përcaktuara në rregulloren e kritereve standarde dhe kërkesave minimale për cilësinë e shërbimit dhe furnizimit të rrjeteve të gazit natyror, miratuar me vendim të bordit të ERE-s nr. 100/2019”</w:t>
            </w:r>
          </w:p>
        </w:tc>
        <w:tc>
          <w:tcPr>
            <w:tcW w:w="2554" w:type="dxa"/>
          </w:tcPr>
          <w:p w14:paraId="3A758790"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w:t>
            </w:r>
            <w:r w:rsidRPr="00FF756A">
              <w:rPr>
                <w:rFonts w:eastAsia="Times New Roman"/>
                <w:sz w:val="20"/>
                <w:szCs w:val="20"/>
              </w:rPr>
              <w:t>nr. 6 i Bordit të ERE-s, datë 15.01.2021</w:t>
            </w:r>
          </w:p>
        </w:tc>
      </w:tr>
      <w:tr w:rsidR="00071AB5" w:rsidRPr="00FF756A" w14:paraId="0591E683" w14:textId="77777777" w:rsidTr="004A3257">
        <w:tc>
          <w:tcPr>
            <w:tcW w:w="7083" w:type="dxa"/>
          </w:tcPr>
          <w:p w14:paraId="73962479"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miratimin e formularit të përditësuar të ankesës së konsumatorëve të energjisë elektrike dhe gazit natyror”</w:t>
            </w:r>
          </w:p>
        </w:tc>
        <w:tc>
          <w:tcPr>
            <w:tcW w:w="2554" w:type="dxa"/>
          </w:tcPr>
          <w:p w14:paraId="6202194F"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w:t>
            </w:r>
            <w:r w:rsidRPr="00FF756A">
              <w:rPr>
                <w:rFonts w:eastAsia="Times New Roman"/>
                <w:sz w:val="20"/>
                <w:szCs w:val="20"/>
              </w:rPr>
              <w:t>nr. 7 i Bordit të ERE-s, datë 15.01.2021</w:t>
            </w:r>
          </w:p>
        </w:tc>
      </w:tr>
      <w:tr w:rsidR="00071AB5" w:rsidRPr="00FF756A" w14:paraId="4841C083" w14:textId="77777777" w:rsidTr="004A3257">
        <w:tc>
          <w:tcPr>
            <w:tcW w:w="7083" w:type="dxa"/>
          </w:tcPr>
          <w:p w14:paraId="4944D7E7"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miratimin e licencës model për veprimtarinë e operimit në objektet e depozitimit të gazit natyror"</w:t>
            </w:r>
          </w:p>
        </w:tc>
        <w:tc>
          <w:tcPr>
            <w:tcW w:w="2554" w:type="dxa"/>
          </w:tcPr>
          <w:p w14:paraId="711B881D"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i Bordit të ERE-s </w:t>
            </w:r>
            <w:r w:rsidRPr="00FF756A">
              <w:rPr>
                <w:rFonts w:eastAsia="Times New Roman"/>
                <w:sz w:val="20"/>
                <w:szCs w:val="20"/>
              </w:rPr>
              <w:t>nr. 59, datë 25.02.2021</w:t>
            </w:r>
          </w:p>
        </w:tc>
      </w:tr>
      <w:tr w:rsidR="00071AB5" w:rsidRPr="00FF756A" w14:paraId="4BEBB6AF" w14:textId="77777777" w:rsidTr="004A3257">
        <w:tc>
          <w:tcPr>
            <w:tcW w:w="7083" w:type="dxa"/>
          </w:tcPr>
          <w:p w14:paraId="1D8344B9"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miratimin e standardeve për trajtimin e ankesave të konsumatorëve të energjisë elektrike dhe gazit natyror nga të licencuarit në aktivitetin e furnizimit"</w:t>
            </w:r>
          </w:p>
        </w:tc>
        <w:tc>
          <w:tcPr>
            <w:tcW w:w="2554" w:type="dxa"/>
          </w:tcPr>
          <w:p w14:paraId="4FF02C99" w14:textId="77777777" w:rsidR="008B7E66" w:rsidRPr="00FF756A" w:rsidRDefault="008B7E66" w:rsidP="004A3257">
            <w:pPr>
              <w:spacing w:before="40" w:after="40" w:line="240" w:lineRule="auto"/>
              <w:rPr>
                <w:rFonts w:eastAsia="Calibri"/>
                <w:bCs/>
                <w:color w:val="000000"/>
                <w:sz w:val="20"/>
                <w:szCs w:val="20"/>
              </w:rPr>
            </w:pPr>
            <w:r w:rsidRPr="00FF756A">
              <w:rPr>
                <w:rFonts w:eastAsia="Times New Roman"/>
                <w:sz w:val="20"/>
                <w:szCs w:val="20"/>
              </w:rPr>
              <w:t>Nr.60 datë 25.02.2021</w:t>
            </w:r>
          </w:p>
        </w:tc>
      </w:tr>
      <w:tr w:rsidR="00071AB5" w:rsidRPr="00FF756A" w14:paraId="73CB2A3D" w14:textId="77777777" w:rsidTr="004A3257">
        <w:tc>
          <w:tcPr>
            <w:tcW w:w="7083" w:type="dxa"/>
          </w:tcPr>
          <w:p w14:paraId="2CCC2DE5"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miratimin e "Rregullave Operative për furnizuesin përgjegjës për detyrimin e shërbimit publik për sektorin e gazit natyror"</w:t>
            </w:r>
          </w:p>
        </w:tc>
        <w:tc>
          <w:tcPr>
            <w:tcW w:w="2554" w:type="dxa"/>
          </w:tcPr>
          <w:p w14:paraId="30096742"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i Bordit të ERE-s </w:t>
            </w:r>
            <w:r w:rsidRPr="00FF756A">
              <w:rPr>
                <w:rFonts w:eastAsia="Times New Roman"/>
                <w:sz w:val="20"/>
                <w:szCs w:val="20"/>
              </w:rPr>
              <w:t>nr.72, datë 12.03.2021</w:t>
            </w:r>
          </w:p>
        </w:tc>
      </w:tr>
      <w:tr w:rsidR="00071AB5" w:rsidRPr="00FF756A" w14:paraId="7FF82367" w14:textId="77777777" w:rsidTr="004A3257">
        <w:tc>
          <w:tcPr>
            <w:tcW w:w="7083" w:type="dxa"/>
          </w:tcPr>
          <w:p w14:paraId="54204924" w14:textId="77777777" w:rsidR="008B7E66" w:rsidRPr="00FF756A" w:rsidRDefault="008B7E66" w:rsidP="004A3257">
            <w:pPr>
              <w:spacing w:before="40" w:after="40" w:line="240" w:lineRule="auto"/>
              <w:rPr>
                <w:rFonts w:eastAsia="Times New Roman"/>
                <w:sz w:val="20"/>
                <w:szCs w:val="20"/>
              </w:rPr>
            </w:pPr>
            <w:r w:rsidRPr="00FF756A">
              <w:rPr>
                <w:iCs/>
                <w:sz w:val="20"/>
                <w:szCs w:val="20"/>
              </w:rPr>
              <w:t xml:space="preserve">Vendimi i Bordit të ERE-s </w:t>
            </w:r>
            <w:r w:rsidRPr="00FF756A">
              <w:rPr>
                <w:rFonts w:eastAsia="Times New Roman"/>
                <w:sz w:val="20"/>
                <w:szCs w:val="20"/>
              </w:rPr>
              <w:t>"Për miratimin e rregullores për procedurat e dhënies së të drejtës së përjashtimit për infrastrukturën e re të gazit natyror"</w:t>
            </w:r>
          </w:p>
        </w:tc>
        <w:tc>
          <w:tcPr>
            <w:tcW w:w="2554" w:type="dxa"/>
          </w:tcPr>
          <w:p w14:paraId="75A2C1F7"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 xml:space="preserve">Vendimi i Bordit të ERE-s </w:t>
            </w:r>
            <w:r w:rsidRPr="00FF756A">
              <w:rPr>
                <w:rFonts w:eastAsia="Times New Roman"/>
                <w:sz w:val="20"/>
                <w:szCs w:val="20"/>
              </w:rPr>
              <w:t>nr.73, datë 12.03.2021</w:t>
            </w:r>
          </w:p>
        </w:tc>
      </w:tr>
      <w:tr w:rsidR="00E15328" w:rsidRPr="00FF756A" w14:paraId="745B81FD" w14:textId="77777777" w:rsidTr="00E15328">
        <w:trPr>
          <w:gridAfter w:val="1"/>
          <w:wAfter w:w="2554" w:type="dxa"/>
        </w:trPr>
        <w:tc>
          <w:tcPr>
            <w:tcW w:w="7083" w:type="dxa"/>
          </w:tcPr>
          <w:p w14:paraId="6D731E3A" w14:textId="733CE50A" w:rsidR="008B7E66" w:rsidRPr="00FF756A" w:rsidRDefault="00641768" w:rsidP="004A3257">
            <w:pPr>
              <w:spacing w:before="40" w:after="40" w:line="240" w:lineRule="auto"/>
              <w:rPr>
                <w:rFonts w:eastAsia="Times New Roman"/>
                <w:sz w:val="20"/>
                <w:szCs w:val="20"/>
              </w:rPr>
            </w:pPr>
            <w:r w:rsidRPr="00FF756A">
              <w:rPr>
                <w:b/>
                <w:bCs/>
                <w:iCs/>
                <w:sz w:val="20"/>
                <w:szCs w:val="20"/>
              </w:rPr>
              <w:t xml:space="preserve">Aktet nënligjore </w:t>
            </w:r>
            <w:r w:rsidR="008B7E66" w:rsidRPr="00FF756A">
              <w:rPr>
                <w:b/>
                <w:bCs/>
                <w:iCs/>
                <w:sz w:val="20"/>
                <w:szCs w:val="20"/>
              </w:rPr>
              <w:t>në fuqi për Sigurinë e Energjisë/Kodet e Rrjetit të Energjisë Elektrike</w:t>
            </w:r>
          </w:p>
        </w:tc>
      </w:tr>
      <w:tr w:rsidR="00071AB5" w:rsidRPr="00FF756A" w14:paraId="66783037" w14:textId="77777777" w:rsidTr="004A3257">
        <w:tc>
          <w:tcPr>
            <w:tcW w:w="7083" w:type="dxa"/>
          </w:tcPr>
          <w:p w14:paraId="7596CEE7" w14:textId="77777777" w:rsidR="008B7E66" w:rsidRPr="00FF756A" w:rsidRDefault="008B7E66" w:rsidP="004A3257">
            <w:pPr>
              <w:spacing w:before="40" w:after="40" w:line="240" w:lineRule="auto"/>
              <w:rPr>
                <w:rFonts w:eastAsia="Times New Roman"/>
                <w:sz w:val="20"/>
                <w:szCs w:val="20"/>
              </w:rPr>
            </w:pPr>
            <w:r w:rsidRPr="00FF756A">
              <w:rPr>
                <w:rFonts w:eastAsia="Times New Roman"/>
                <w:sz w:val="20"/>
                <w:szCs w:val="20"/>
              </w:rPr>
              <w:t>Vendimi i KM “Për trajtimin e çekuilibrave të shkaktuara nga prodhuesit e energjisë elektrike”</w:t>
            </w:r>
          </w:p>
        </w:tc>
        <w:tc>
          <w:tcPr>
            <w:tcW w:w="2554" w:type="dxa"/>
          </w:tcPr>
          <w:p w14:paraId="358C67D5" w14:textId="27E1FD5C" w:rsidR="008B7E66" w:rsidRPr="00FF756A" w:rsidRDefault="008B7E66" w:rsidP="004A3257">
            <w:pPr>
              <w:spacing w:before="40" w:after="40" w:line="240" w:lineRule="auto"/>
              <w:rPr>
                <w:rFonts w:eastAsia="Calibri"/>
                <w:bCs/>
                <w:color w:val="000000"/>
                <w:sz w:val="20"/>
                <w:szCs w:val="20"/>
              </w:rPr>
            </w:pPr>
            <w:r w:rsidRPr="00FF756A">
              <w:rPr>
                <w:rFonts w:eastAsia="Times New Roman"/>
                <w:sz w:val="20"/>
                <w:szCs w:val="20"/>
              </w:rPr>
              <w:t>V</w:t>
            </w:r>
            <w:r w:rsidR="00036CD9" w:rsidRPr="00FF756A">
              <w:rPr>
                <w:rFonts w:eastAsia="Times New Roman"/>
                <w:sz w:val="20"/>
                <w:szCs w:val="20"/>
              </w:rPr>
              <w:t>KM</w:t>
            </w:r>
            <w:r w:rsidRPr="00FF756A">
              <w:rPr>
                <w:rFonts w:eastAsia="Times New Roman"/>
                <w:sz w:val="20"/>
                <w:szCs w:val="20"/>
              </w:rPr>
              <w:t xml:space="preserve"> nr. 398 , datë 09.06.2022</w:t>
            </w:r>
          </w:p>
        </w:tc>
      </w:tr>
      <w:tr w:rsidR="00071AB5" w:rsidRPr="00FF756A" w14:paraId="1A59ECB2" w14:textId="77777777" w:rsidTr="004A3257">
        <w:tc>
          <w:tcPr>
            <w:tcW w:w="7083" w:type="dxa"/>
          </w:tcPr>
          <w:p w14:paraId="2BDEA604" w14:textId="77777777" w:rsidR="008B7E66" w:rsidRPr="00FF756A" w:rsidRDefault="008B7E66" w:rsidP="004A3257">
            <w:pPr>
              <w:spacing w:before="40" w:after="40" w:line="240" w:lineRule="auto"/>
              <w:rPr>
                <w:iCs/>
                <w:sz w:val="20"/>
                <w:szCs w:val="20"/>
              </w:rPr>
            </w:pPr>
            <w:r w:rsidRPr="00FF756A">
              <w:rPr>
                <w:iCs/>
                <w:sz w:val="20"/>
                <w:szCs w:val="20"/>
              </w:rPr>
              <w:t>Vendimi i Bordit të ERE-s “Për miratimin e Rregullores së Procedurave të Lidhjeve të Reja dhe Modifikimit të Lidhjeve Ekzistuese në Sistemin e Transmetimit” (i ndryshuar)</w:t>
            </w:r>
          </w:p>
        </w:tc>
        <w:tc>
          <w:tcPr>
            <w:tcW w:w="2554" w:type="dxa"/>
          </w:tcPr>
          <w:p w14:paraId="1793C0D8"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Vendimi i Bordit të ERE-s nr. 87, datë 20.04.2018</w:t>
            </w:r>
          </w:p>
        </w:tc>
      </w:tr>
      <w:tr w:rsidR="00071AB5" w:rsidRPr="00FF756A" w14:paraId="01D53DB8" w14:textId="77777777" w:rsidTr="004A3257">
        <w:tc>
          <w:tcPr>
            <w:tcW w:w="7083" w:type="dxa"/>
          </w:tcPr>
          <w:p w14:paraId="06DA346C" w14:textId="77777777" w:rsidR="008B7E66" w:rsidRPr="00FF756A" w:rsidRDefault="008B7E66" w:rsidP="004A3257">
            <w:pPr>
              <w:spacing w:before="40" w:after="40" w:line="240" w:lineRule="auto"/>
              <w:rPr>
                <w:iCs/>
                <w:sz w:val="20"/>
                <w:szCs w:val="20"/>
              </w:rPr>
            </w:pPr>
            <w:r w:rsidRPr="00FF756A">
              <w:rPr>
                <w:iCs/>
                <w:sz w:val="20"/>
                <w:szCs w:val="20"/>
              </w:rPr>
              <w:t>Vendimi i Bordit të ERE-s “Për miratimin e Rregullave të Përbashkëta të Shlyerjes për Shkëmbimet e Energjisë, në përputhje me nenin 50(3) dhe 51(1) të Rregullores së Komisionit (BE) 2017/2195”</w:t>
            </w:r>
          </w:p>
        </w:tc>
        <w:tc>
          <w:tcPr>
            <w:tcW w:w="2554" w:type="dxa"/>
          </w:tcPr>
          <w:p w14:paraId="7C19B8D8"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Vendimi i Bordit të ERE-s nr. 108, datë 22.04.2021</w:t>
            </w:r>
          </w:p>
        </w:tc>
      </w:tr>
      <w:tr w:rsidR="00E15328" w:rsidRPr="00FF756A" w14:paraId="53CB3784" w14:textId="77777777" w:rsidTr="00E15328">
        <w:trPr>
          <w:gridAfter w:val="1"/>
          <w:wAfter w:w="2554" w:type="dxa"/>
        </w:trPr>
        <w:tc>
          <w:tcPr>
            <w:tcW w:w="7083" w:type="dxa"/>
          </w:tcPr>
          <w:p w14:paraId="6CAD6A12" w14:textId="3C8684EC" w:rsidR="008B7E66" w:rsidRPr="00FF756A" w:rsidRDefault="00036CD9" w:rsidP="004A3257">
            <w:pPr>
              <w:spacing w:before="40" w:after="40" w:line="240" w:lineRule="auto"/>
              <w:rPr>
                <w:iCs/>
                <w:sz w:val="20"/>
                <w:szCs w:val="20"/>
              </w:rPr>
            </w:pPr>
            <w:r w:rsidRPr="00FF756A">
              <w:rPr>
                <w:b/>
                <w:bCs/>
                <w:iCs/>
                <w:sz w:val="20"/>
                <w:szCs w:val="20"/>
              </w:rPr>
              <w:t>Aktet nënligjore</w:t>
            </w:r>
            <w:r w:rsidR="008B7E66" w:rsidRPr="00FF756A">
              <w:rPr>
                <w:b/>
                <w:bCs/>
                <w:iCs/>
                <w:sz w:val="20"/>
                <w:szCs w:val="20"/>
              </w:rPr>
              <w:t xml:space="preserve"> në fuqi për Sigurinë e Energjisë/Naftën</w:t>
            </w:r>
          </w:p>
        </w:tc>
      </w:tr>
      <w:tr w:rsidR="00071AB5" w:rsidRPr="00FF756A" w14:paraId="41B2B123" w14:textId="77777777" w:rsidTr="004A3257">
        <w:tc>
          <w:tcPr>
            <w:tcW w:w="7083" w:type="dxa"/>
          </w:tcPr>
          <w:p w14:paraId="361DA0FD" w14:textId="77777777" w:rsidR="008B7E66" w:rsidRPr="00FF756A" w:rsidRDefault="008B7E66" w:rsidP="004A3257">
            <w:pPr>
              <w:spacing w:before="40" w:after="40" w:line="240" w:lineRule="auto"/>
              <w:rPr>
                <w:iCs/>
                <w:sz w:val="20"/>
                <w:szCs w:val="20"/>
              </w:rPr>
            </w:pPr>
            <w:r w:rsidRPr="00FF756A">
              <w:rPr>
                <w:iCs/>
                <w:sz w:val="20"/>
                <w:szCs w:val="20"/>
              </w:rPr>
              <w:t>Urdhri i Ministrisë “Për kontrollin e standardeve teknike të naftës dhe nënprodukteve të saj, procedurat dhe tarifat përkatëse” (i ndryshuar)</w:t>
            </w:r>
          </w:p>
        </w:tc>
        <w:tc>
          <w:tcPr>
            <w:tcW w:w="2554" w:type="dxa"/>
          </w:tcPr>
          <w:p w14:paraId="29B5E22D" w14:textId="60B692C3" w:rsidR="008B7E66" w:rsidRPr="00FF756A" w:rsidRDefault="008B7E66" w:rsidP="004A3257">
            <w:pPr>
              <w:spacing w:before="40" w:after="40" w:line="240" w:lineRule="auto"/>
              <w:rPr>
                <w:rFonts w:eastAsia="Calibri"/>
                <w:bCs/>
                <w:color w:val="000000"/>
                <w:sz w:val="20"/>
                <w:szCs w:val="20"/>
              </w:rPr>
            </w:pPr>
            <w:r w:rsidRPr="00FF756A">
              <w:rPr>
                <w:iCs/>
                <w:sz w:val="20"/>
                <w:szCs w:val="20"/>
              </w:rPr>
              <w:t>Urdhri i Minist</w:t>
            </w:r>
            <w:r w:rsidR="00036CD9" w:rsidRPr="00FF756A">
              <w:rPr>
                <w:iCs/>
                <w:sz w:val="20"/>
                <w:szCs w:val="20"/>
              </w:rPr>
              <w:t>rit</w:t>
            </w:r>
            <w:r w:rsidRPr="00FF756A">
              <w:rPr>
                <w:iCs/>
                <w:sz w:val="20"/>
                <w:szCs w:val="20"/>
              </w:rPr>
              <w:t xml:space="preserve"> nr. 6, datë 09.01.2015,</w:t>
            </w:r>
          </w:p>
        </w:tc>
      </w:tr>
      <w:tr w:rsidR="00071AB5" w:rsidRPr="00FF756A" w14:paraId="2943D3C7" w14:textId="77777777" w:rsidTr="004A3257">
        <w:tc>
          <w:tcPr>
            <w:tcW w:w="7083" w:type="dxa"/>
          </w:tcPr>
          <w:p w14:paraId="7F426EEB" w14:textId="77777777" w:rsidR="008B7E66" w:rsidRPr="00FF756A" w:rsidRDefault="008B7E66" w:rsidP="004A3257">
            <w:pPr>
              <w:spacing w:before="40" w:after="40" w:line="240" w:lineRule="auto"/>
              <w:rPr>
                <w:iCs/>
                <w:sz w:val="20"/>
                <w:szCs w:val="20"/>
              </w:rPr>
            </w:pPr>
            <w:r w:rsidRPr="00FF756A">
              <w:rPr>
                <w:iCs/>
                <w:sz w:val="20"/>
                <w:szCs w:val="20"/>
              </w:rPr>
              <w:t>Udhëzimi i Përbashkët Ministror “Për koordinimin ndërinstitucional të procedurave standarde të kontrollit sasior, cilësor dhe fiskal të naftës bruto dhe nënprodukteve të saj në Republikën e Shqipërisë”</w:t>
            </w:r>
          </w:p>
        </w:tc>
        <w:tc>
          <w:tcPr>
            <w:tcW w:w="2554" w:type="dxa"/>
          </w:tcPr>
          <w:p w14:paraId="32A61A18"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Udhëzimi i Përbashkët Ministror nr. 3492, datë 30.04.2015</w:t>
            </w:r>
          </w:p>
        </w:tc>
      </w:tr>
      <w:tr w:rsidR="00071AB5" w:rsidRPr="00FF756A" w14:paraId="62273CF9" w14:textId="77777777" w:rsidTr="004A3257">
        <w:tc>
          <w:tcPr>
            <w:tcW w:w="7083" w:type="dxa"/>
          </w:tcPr>
          <w:p w14:paraId="2A203097" w14:textId="77777777" w:rsidR="008B7E66" w:rsidRPr="00FF756A" w:rsidRDefault="008B7E66" w:rsidP="004A3257">
            <w:pPr>
              <w:spacing w:before="40" w:after="40" w:line="240" w:lineRule="auto"/>
              <w:rPr>
                <w:iCs/>
                <w:sz w:val="20"/>
                <w:szCs w:val="20"/>
              </w:rPr>
            </w:pPr>
            <w:r w:rsidRPr="00FF756A">
              <w:rPr>
                <w:iCs/>
                <w:sz w:val="20"/>
                <w:szCs w:val="20"/>
              </w:rPr>
              <w:t xml:space="preserve"> Udhëzimi i Përbashkët Ministror “Për mbledhjen, ruajtjen dhe raportimin e të dhënave, për cilësinë e LPG-së, gazin, naftën e rëndë, karburantin detar dhe furnizuesit vendas të këtyre lëndëve djegëse, lëndët djegëse të lëngëta”</w:t>
            </w:r>
          </w:p>
        </w:tc>
        <w:tc>
          <w:tcPr>
            <w:tcW w:w="2554" w:type="dxa"/>
          </w:tcPr>
          <w:p w14:paraId="2FF4ECA5" w14:textId="77777777" w:rsidR="008B7E66" w:rsidRPr="00FF756A" w:rsidRDefault="008B7E66" w:rsidP="004A3257">
            <w:pPr>
              <w:spacing w:before="40" w:after="40" w:line="240" w:lineRule="auto"/>
              <w:rPr>
                <w:rFonts w:eastAsia="Calibri"/>
                <w:bCs/>
                <w:color w:val="000000"/>
                <w:sz w:val="20"/>
                <w:szCs w:val="20"/>
              </w:rPr>
            </w:pPr>
            <w:r w:rsidRPr="00FF756A">
              <w:rPr>
                <w:iCs/>
                <w:sz w:val="20"/>
                <w:szCs w:val="20"/>
              </w:rPr>
              <w:t>Udhëzimi i Përbashkët Ministror nr. 6529/2, datë 06.10.2020</w:t>
            </w:r>
          </w:p>
        </w:tc>
      </w:tr>
    </w:tbl>
    <w:p w14:paraId="554C9B50" w14:textId="04880827" w:rsidR="00B94C6D" w:rsidRPr="00FF756A" w:rsidRDefault="00EF4443" w:rsidP="008B7E66">
      <w:pPr>
        <w:pStyle w:val="Caption"/>
        <w:rPr>
          <w:rFonts w:ascii="Times New Roman" w:hAnsi="Times New Roman"/>
        </w:rPr>
      </w:pPr>
      <w:bookmarkStart w:id="67" w:name="_Toc183016475"/>
      <w:bookmarkEnd w:id="66"/>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11</w:t>
      </w:r>
      <w:r w:rsidR="008E7DE9" w:rsidRPr="00FF756A">
        <w:rPr>
          <w:rFonts w:ascii="Times New Roman" w:hAnsi="Times New Roman"/>
          <w:noProof/>
        </w:rPr>
        <w:fldChar w:fldCharType="end"/>
      </w:r>
      <w:r w:rsidRPr="00FF756A">
        <w:rPr>
          <w:rFonts w:ascii="Times New Roman" w:hAnsi="Times New Roman"/>
        </w:rPr>
        <w:t xml:space="preserve">: </w:t>
      </w:r>
      <w:r w:rsidR="00A70CE3" w:rsidRPr="00FF756A">
        <w:rPr>
          <w:rFonts w:ascii="Times New Roman" w:hAnsi="Times New Roman"/>
        </w:rPr>
        <w:t>Akti nënligjor për politikat aktuale të energjisë të lidhura me Dimensionin e Tregut të Brendshëm të Energjisë</w:t>
      </w:r>
      <w:r w:rsidR="00A70CE3" w:rsidRPr="00FF756A" w:rsidDel="00A70CE3">
        <w:rPr>
          <w:rFonts w:ascii="Times New Roman" w:hAnsi="Times New Roman"/>
        </w:rPr>
        <w:t xml:space="preserve"> </w:t>
      </w:r>
      <w:bookmarkEnd w:id="67"/>
    </w:p>
    <w:p w14:paraId="2026915E" w14:textId="77777777" w:rsidR="00B94C6D" w:rsidRPr="00FF756A" w:rsidRDefault="00B94C6D" w:rsidP="008E7969">
      <w:pPr>
        <w:spacing w:before="40" w:after="40"/>
      </w:pPr>
    </w:p>
    <w:p w14:paraId="477BEAE6" w14:textId="082AFE4E" w:rsidR="002E2C9B" w:rsidRPr="00FF756A" w:rsidRDefault="002E2C9B" w:rsidP="004A3257">
      <w:pPr>
        <w:spacing w:before="40" w:after="40" w:line="240" w:lineRule="auto"/>
      </w:pPr>
      <w:r w:rsidRPr="00FF756A">
        <w:t>Për zbatimin e ligjit nr. 43/2015, datë 30.4.2015, “Për sektorin e energjisë”, të ndryshuar, Enti Rregullator i Energjisë i Shqipërisë (ERE) miratoi aktet ligjore si më poshtë:</w:t>
      </w:r>
    </w:p>
    <w:p w14:paraId="77EF654C" w14:textId="77777777" w:rsidR="002E2C9B" w:rsidRPr="00FF756A" w:rsidRDefault="002E2C9B" w:rsidP="004A3257">
      <w:pPr>
        <w:pStyle w:val="ListParagraph"/>
        <w:widowControl w:val="0"/>
        <w:numPr>
          <w:ilvl w:val="0"/>
          <w:numId w:val="23"/>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Vendimi i Bordit të Komisionerëve të ERE-s nr. 347, datë 27.12.2022 “Për miratimin e rregullave të tregut të energjisë elektrike”;</w:t>
      </w:r>
    </w:p>
    <w:p w14:paraId="360E1C75" w14:textId="77777777" w:rsidR="002E2C9B" w:rsidRPr="00FF756A" w:rsidRDefault="002E2C9B" w:rsidP="004A3257">
      <w:pPr>
        <w:pStyle w:val="ListParagraph"/>
        <w:widowControl w:val="0"/>
        <w:numPr>
          <w:ilvl w:val="0"/>
          <w:numId w:val="23"/>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Vendimi i Bordit të Komisionerëve të ERE-s nr. 343, datë 21.12.2022 “Për miratimin e kontratës për ofrimin e shërbimeve të Zyrtarit të Pajtueshmërisë të Operatorit të Sistemit të Shpërndarjes (OSSH Sh.A.)”;</w:t>
      </w:r>
    </w:p>
    <w:p w14:paraId="5666741E" w14:textId="77777777" w:rsidR="002E2C9B" w:rsidRPr="00FF756A" w:rsidRDefault="002E2C9B" w:rsidP="004A3257">
      <w:pPr>
        <w:pStyle w:val="ListParagraph"/>
        <w:widowControl w:val="0"/>
        <w:numPr>
          <w:ilvl w:val="0"/>
          <w:numId w:val="23"/>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Vendimi i Bordit të Komisionerëve të ERE-s nr. 114, datë 27.3.2023 “Për miratimin e Zyrtarit të Pajtueshmërisë të Operatorit të Sistemit të Shpërndarjes (OSSH Sh.A.)”;</w:t>
      </w:r>
    </w:p>
    <w:p w14:paraId="338184E8" w14:textId="77777777" w:rsidR="002E2C9B" w:rsidRPr="00FF756A" w:rsidRDefault="002E2C9B" w:rsidP="004A3257">
      <w:pPr>
        <w:spacing w:before="40" w:after="40" w:line="240" w:lineRule="auto"/>
      </w:pPr>
    </w:p>
    <w:p w14:paraId="0AD4823D" w14:textId="55DD3706" w:rsidR="002E2C9B" w:rsidRPr="00FF756A" w:rsidRDefault="002E2C9B" w:rsidP="004A3257">
      <w:pPr>
        <w:spacing w:before="40" w:after="40" w:line="240" w:lineRule="auto"/>
        <w:rPr>
          <w:rFonts w:eastAsia="Arial"/>
        </w:rPr>
      </w:pPr>
      <w:r w:rsidRPr="00FF756A">
        <w:t>Të gjithë konsumatorët e energjisë elektrike në Shqipëri kanë të drejtë të zgjedhin dhe të ndërrojnë furnizuesin e tyre. Nga data 1 janar 2024, të gjithë klientët e lidhur në nivelin e tensionit 20 kV po furnizohen në tregun e liberalizuar, kryesisht nga Furnizuesi i Tregut të Lirë sh.a (FTL), pjesë e OSHEE Group sh.a. De</w:t>
      </w:r>
      <w:r w:rsidR="009B1902" w:rsidRPr="00FF756A">
        <w:t>-</w:t>
      </w:r>
      <w:r w:rsidRPr="00FF756A">
        <w:t>rregullimi është kryer edhe për klientët e furnizuar në nivelin 35 dhe 110 KV.</w:t>
      </w:r>
    </w:p>
    <w:p w14:paraId="15951C5B" w14:textId="77777777" w:rsidR="002E2C9B" w:rsidRPr="00FF756A" w:rsidRDefault="002E2C9B" w:rsidP="004A3257">
      <w:pPr>
        <w:spacing w:before="40" w:after="40" w:line="240" w:lineRule="auto"/>
      </w:pPr>
    </w:p>
    <w:p w14:paraId="3CD7B8C8" w14:textId="71B25493" w:rsidR="002E2C9B" w:rsidRPr="00FF756A" w:rsidRDefault="002E2C9B" w:rsidP="008E7969">
      <w:pPr>
        <w:spacing w:before="40" w:after="40"/>
      </w:pPr>
      <w:r w:rsidRPr="00FF756A">
        <w:lastRenderedPageBreak/>
        <w:t>Sektori i energjisë elektrike në Shqipëri karakterizohet nga një strukturë tregu ku pjesa më e madhe e prokurimit të energjisë mbizotërohet nga transaksione dypalëshe për klientë të mëdhenj, ndërsa shumica e klientëve të tjerë dhe tregu i pakicës vazhdojnë t’i nënshtrohen një regjimi rregullator. Nga ana pozitive, ndarja e operacioneve dhe interesave është aktualisht në proces dhe ky aspekt pozitiv në pronësinë e rrjetit të transmetimit u miratua me ligj në vitin 2016.</w:t>
      </w:r>
    </w:p>
    <w:p w14:paraId="3AD8978A" w14:textId="5A28D370" w:rsidR="002E2C9B" w:rsidRPr="00FF756A" w:rsidRDefault="002E2C9B" w:rsidP="008E7969">
      <w:pPr>
        <w:spacing w:before="40" w:after="40"/>
      </w:pPr>
      <w:r w:rsidRPr="00FF756A">
        <w:t>Rregullat për funksionimin e tregut të energjisë elektrike sipas modelit të tregut, duke përfshirë funksionimin si një treg i organizuar i ditës në avancë dhe brenda ditës, u miratuan nga ERE në dhjetor të vitit 2017. U miratua gjithashtu edhe një ligj për prokurimin e balancimit bazuar në treg.</w:t>
      </w:r>
    </w:p>
    <w:p w14:paraId="2F6A8F71" w14:textId="77777777" w:rsidR="00DA2EDE" w:rsidRPr="00FF756A" w:rsidRDefault="00DA2EDE" w:rsidP="00EF0D31"/>
    <w:p w14:paraId="260DBE24" w14:textId="77777777" w:rsidR="00DA2EDE" w:rsidRPr="00FF756A" w:rsidRDefault="00DA2EDE" w:rsidP="00EF0D31">
      <w:r w:rsidRPr="00FF756A">
        <w:t>Figura e mëposhtme tregon skemën e tregut shqiptar të energjisë elektrike në korrik 2020.</w:t>
      </w:r>
    </w:p>
    <w:p w14:paraId="110F62A6" w14:textId="77777777" w:rsidR="00F1743E" w:rsidRPr="00FF756A" w:rsidRDefault="00DA2EDE" w:rsidP="00F1743E">
      <w:pPr>
        <w:keepNext/>
      </w:pPr>
      <w:r w:rsidRPr="00FF756A">
        <w:rPr>
          <w:noProof/>
          <w:lang w:val="en-US"/>
        </w:rPr>
        <w:drawing>
          <wp:inline distT="0" distB="0" distL="0" distR="0" wp14:anchorId="25DFB337" wp14:editId="11EB1B9A">
            <wp:extent cx="5555288" cy="3540108"/>
            <wp:effectExtent l="0" t="0" r="7620" b="381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374" t="9760" r="-1"/>
                    <a:stretch/>
                  </pic:blipFill>
                  <pic:spPr bwMode="auto">
                    <a:xfrm>
                      <a:off x="0" y="0"/>
                      <a:ext cx="5601298" cy="3569428"/>
                    </a:xfrm>
                    <a:prstGeom prst="rect">
                      <a:avLst/>
                    </a:prstGeom>
                    <a:ln>
                      <a:noFill/>
                    </a:ln>
                    <a:extLst>
                      <a:ext uri="{53640926-AAD7-44D8-BBD7-CCE9431645EC}">
                        <a14:shadowObscured xmlns:a14="http://schemas.microsoft.com/office/drawing/2010/main"/>
                      </a:ext>
                    </a:extLst>
                  </pic:spPr>
                </pic:pic>
              </a:graphicData>
            </a:graphic>
          </wp:inline>
        </w:drawing>
      </w:r>
    </w:p>
    <w:p w14:paraId="7844279E" w14:textId="646AB40E" w:rsidR="00DA2EDE" w:rsidRPr="00FF756A" w:rsidRDefault="00F1743E" w:rsidP="00F1743E">
      <w:pPr>
        <w:pStyle w:val="Caption"/>
        <w:rPr>
          <w:rFonts w:ascii="Times New Roman" w:hAnsi="Times New Roman"/>
        </w:rPr>
      </w:pPr>
      <w:bookmarkStart w:id="68" w:name="_Toc183016543"/>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13</w:t>
      </w:r>
      <w:r w:rsidR="008E7DE9" w:rsidRPr="00FF756A">
        <w:rPr>
          <w:rFonts w:ascii="Times New Roman" w:hAnsi="Times New Roman"/>
          <w:noProof/>
        </w:rPr>
        <w:fldChar w:fldCharType="end"/>
      </w:r>
      <w:r w:rsidRPr="00FF756A">
        <w:rPr>
          <w:rFonts w:ascii="Times New Roman" w:hAnsi="Times New Roman"/>
        </w:rPr>
        <w:t>: Skema e tregut shqiptar të energjisë elektrike (Burimi: Sekretariati i Komunitetit të Energjisë)</w:t>
      </w:r>
      <w:bookmarkEnd w:id="68"/>
    </w:p>
    <w:p w14:paraId="263AC389" w14:textId="77777777" w:rsidR="00322BFF" w:rsidRPr="00FF756A" w:rsidRDefault="00322BFF" w:rsidP="0003415D">
      <w:pPr>
        <w:spacing w:before="40" w:after="40"/>
      </w:pPr>
    </w:p>
    <w:p w14:paraId="34DE20F6" w14:textId="77777777" w:rsidR="00BE7A86" w:rsidRPr="00FF756A" w:rsidRDefault="00BE7A86" w:rsidP="0003415D">
      <w:pPr>
        <w:spacing w:before="40" w:after="40"/>
        <w:rPr>
          <w:rFonts w:eastAsia="Times New Roman"/>
          <w:b/>
          <w:bCs/>
          <w:u w:val="single"/>
        </w:rPr>
      </w:pPr>
      <w:r w:rsidRPr="00FF756A">
        <w:rPr>
          <w:b/>
          <w:bCs/>
          <w:u w:val="single"/>
        </w:rPr>
        <w:t xml:space="preserve">Bursa e energjisë </w:t>
      </w:r>
    </w:p>
    <w:p w14:paraId="098E2132" w14:textId="019B89C4" w:rsidR="00BE7A86" w:rsidRPr="00FF756A" w:rsidRDefault="00BE7A86" w:rsidP="0003415D">
      <w:pPr>
        <w:spacing w:before="40" w:after="40"/>
        <w:rPr>
          <w:rFonts w:eastAsia="Times New Roman"/>
        </w:rPr>
      </w:pPr>
      <w:r w:rsidRPr="00FF756A">
        <w:t xml:space="preserve">Bazuar në Vendimet e Këshillit të Ministrave, përkatësisht VKM nr. 322 datë 15.5.2019 “Për themelimin dhe përcaktimin e formës ligjore të strukturës së pronësisë të kapitalit aksionar të operatorit te tregut” dhe VKM nr. 609 datë 11.9.2019 “Për përcaktimin e kritereve dhe të procedurave të përzgjedhjes së pjesëmarrësve në kapitalin e operatorit te tregut”, dhe në vijim të procedurës konkurruese për përzgjedhjen e pjesëmarrësve në kapitalin e operacioneve të tregut, në tetor 2020 u </w:t>
      </w:r>
      <w:r w:rsidR="007C5418" w:rsidRPr="00FF756A">
        <w:t>themelua</w:t>
      </w:r>
      <w:r w:rsidRPr="00FF756A">
        <w:t xml:space="preserve"> Bursa Shqiptare e Energjisë Elektrike (ALPEX)</w:t>
      </w:r>
      <w:r w:rsidR="00925BCB" w:rsidRPr="00FF756A">
        <w:t xml:space="preserve">. ALPEX u krijua </w:t>
      </w:r>
      <w:r w:rsidRPr="00FF756A">
        <w:t xml:space="preserve">si Shoqëri Aksionare, në pronësi të përbashkët të Operatorëve të Sistemit të Transmetimit të Shqipërisë (OST) dhe Kosovës (KOSTT). </w:t>
      </w:r>
    </w:p>
    <w:p w14:paraId="49EFCA6D" w14:textId="77777777" w:rsidR="00925BCB" w:rsidRPr="00FF756A" w:rsidRDefault="00925BCB" w:rsidP="0003415D">
      <w:pPr>
        <w:spacing w:before="40" w:after="40"/>
      </w:pPr>
    </w:p>
    <w:p w14:paraId="7E4BC008" w14:textId="184C80A4" w:rsidR="00BE7A86" w:rsidRPr="00FF756A" w:rsidRDefault="00BE7A86" w:rsidP="0003415D">
      <w:pPr>
        <w:spacing w:before="40" w:after="40"/>
        <w:rPr>
          <w:rFonts w:eastAsia="Times New Roman"/>
        </w:rPr>
      </w:pPr>
      <w:r w:rsidRPr="00FF756A">
        <w:t>Kuvendi i Shqipërisë miratoi ligjin nr. 82/2022, datë 24.11.2022, “Për disa shtesa dhe ndryshime në ligjin nr. 92/2014 “Për tatimin mbi vlerën e shtuar në Republikën e Shqipërisë”, të ndryshuar”. Ligji nr. 82/2022 shtoi titullin 6: Regjimi i veçantë për Bursën Shqiptare të Energjisë, dhe përjashtoi nga tatimi mbi vlerën e shtuar importimin dhe furnizimin brenda vendit të energjisë elektrike që shitet nëpërmjet ALPEX.</w:t>
      </w:r>
    </w:p>
    <w:p w14:paraId="60CEAD4D" w14:textId="4858FB95" w:rsidR="00BE7A86" w:rsidRPr="00FF756A" w:rsidRDefault="00BE7A86" w:rsidP="0003415D">
      <w:pPr>
        <w:spacing w:before="40" w:after="40"/>
        <w:rPr>
          <w:rFonts w:eastAsia="Times New Roman"/>
        </w:rPr>
      </w:pPr>
      <w:r w:rsidRPr="00FF756A">
        <w:lastRenderedPageBreak/>
        <w:t>Vendimi i Këshillit të Ministrave nr. 872, datë 27.12.2022 “Për disa shtesa dhe ndryshime në Vendimin e Këshillit të Ministrave nr. 516, datë 13.7.2016 “Për miratimin e modelit të tregut të energjisë elektrike” prezantoi disa ndryshime të nevojshme për futjen në operim të ALPEX-it.</w:t>
      </w:r>
    </w:p>
    <w:p w14:paraId="3CE3E74C" w14:textId="68F3C3C7" w:rsidR="00BE7A86" w:rsidRPr="00FF756A" w:rsidRDefault="00BE7A86" w:rsidP="0003415D">
      <w:pPr>
        <w:spacing w:before="40" w:after="40"/>
        <w:rPr>
          <w:rFonts w:eastAsia="Times New Roman"/>
        </w:rPr>
      </w:pPr>
      <w:r w:rsidRPr="00FF756A">
        <w:t>Në dhjetor 2022, me Vendimin e Bordit të Komisionerëve të ERE-s nr. 347, datë 27.12.2022, u miratuan rregullat e reja të tregut të energjisë elektrike, bazuar në funksionimin e Bursës Shqiptare të Energjisë Elektrike. Gjithashtu, modeli i tregut të energjisë elektrike u ndryshua me Vendim të Këshillit të Ministrave, për të siguruar ndryshimet e nevojshme për funksionimin e Bursës Shqiptare të Energjisë.</w:t>
      </w:r>
    </w:p>
    <w:p w14:paraId="5773A364" w14:textId="73747886" w:rsidR="0003415D" w:rsidRPr="00FF756A" w:rsidRDefault="00BE7A86" w:rsidP="0003415D">
      <w:pPr>
        <w:spacing w:before="40" w:after="40"/>
        <w:rPr>
          <w:rFonts w:eastAsia="Times New Roman"/>
          <w:lang w:eastAsia="en-GB"/>
        </w:rPr>
      </w:pPr>
      <w:r w:rsidRPr="00FF756A">
        <w:t>Pas periudhës së trajnimit e cila filloi në nëntor 2022, ALPEX-i nisi punën më 12 prill 2023. Operimi i ALPEX-it përmbushi një prej kërkesave të paketës së tretë të energjisë dhe integroi tregjet e energjisë elektrike të Shqipërisë dhe Kosovës.</w:t>
      </w:r>
    </w:p>
    <w:p w14:paraId="647DE85F" w14:textId="564095F4" w:rsidR="0003415D" w:rsidRPr="00FF756A" w:rsidRDefault="0003415D">
      <w:pPr>
        <w:spacing w:before="0" w:after="0" w:line="240" w:lineRule="auto"/>
        <w:jc w:val="left"/>
        <w:rPr>
          <w:rFonts w:eastAsia="Times New Roman"/>
          <w:b/>
          <w:bCs/>
          <w:u w:val="single"/>
        </w:rPr>
      </w:pPr>
    </w:p>
    <w:p w14:paraId="40296D59" w14:textId="0C063076" w:rsidR="0003415D" w:rsidRPr="00FF756A" w:rsidRDefault="0003415D" w:rsidP="0003415D">
      <w:pPr>
        <w:spacing w:before="40" w:after="40"/>
        <w:rPr>
          <w:rFonts w:eastAsia="Times New Roman"/>
          <w:b/>
          <w:bCs/>
          <w:u w:val="single"/>
        </w:rPr>
      </w:pPr>
      <w:r w:rsidRPr="00FF756A">
        <w:rPr>
          <w:b/>
          <w:bCs/>
          <w:u w:val="single"/>
        </w:rPr>
        <w:t>Tregu i energjisë elektrike</w:t>
      </w:r>
    </w:p>
    <w:p w14:paraId="1700C9CE" w14:textId="4D48659E" w:rsidR="0003415D" w:rsidRPr="00FF756A" w:rsidRDefault="0003415D" w:rsidP="0003415D">
      <w:r w:rsidRPr="00FF756A">
        <w:t>Në korrik të vitit 2017, ERE miratoi rregulla për publikimin e të dhënave bazë mbi tregun e energjisë elektrike, duke transpozuar Rregulloren (BE) 543/2013 “Për paraqitjen dhe publikimin e të dhënave mbi tregjet e energjisë elektrike”. OST publikon në faqen e saj të internetit një pjesë të të dhënave të kërkuara për ngarkesën, prodhimin, infrastrukturën e transmetimit dhe disbalancat, ndërkohë që SEE CAO përcjell tek ENTSO-E të dhëna mbi kapacitetin ndërkufitar për qëllime publikimi.</w:t>
      </w:r>
    </w:p>
    <w:p w14:paraId="58B82FB3" w14:textId="77777777" w:rsidR="004655DA" w:rsidRPr="00FF756A" w:rsidRDefault="004655DA" w:rsidP="0003415D"/>
    <w:p w14:paraId="0FCBA0B2" w14:textId="767AB4A6" w:rsidR="004655DA" w:rsidRPr="00FF756A" w:rsidRDefault="004655DA" w:rsidP="0003415D">
      <w:r w:rsidRPr="00FF756A">
        <w:t xml:space="preserve">Figura 15 tregon shkallën e zbatimit, në nivelin 73% në vitin 2023, sipas treguesve të tregut të energjisë elektrike. </w:t>
      </w:r>
    </w:p>
    <w:p w14:paraId="71E37E92" w14:textId="77777777" w:rsidR="00BE7A86" w:rsidRPr="00FF756A" w:rsidRDefault="00BE7A86" w:rsidP="0003415D">
      <w:pPr>
        <w:spacing w:before="40" w:after="40"/>
        <w:rPr>
          <w:rFonts w:eastAsia="Times New Roman"/>
          <w:lang w:eastAsia="en-GB"/>
        </w:rPr>
      </w:pPr>
    </w:p>
    <w:p w14:paraId="028E080C" w14:textId="77777777" w:rsidR="00646053" w:rsidRPr="00FF756A" w:rsidRDefault="00817573" w:rsidP="00646053">
      <w:pPr>
        <w:keepNext/>
      </w:pPr>
      <w:r w:rsidRPr="00FF756A">
        <w:rPr>
          <w:noProof/>
          <w:lang w:val="en-US"/>
        </w:rPr>
        <w:drawing>
          <wp:inline distT="0" distB="0" distL="0" distR="0" wp14:anchorId="211A37CB" wp14:editId="233CA788">
            <wp:extent cx="5760720" cy="2824704"/>
            <wp:effectExtent l="19050" t="19050" r="11430" b="13970"/>
            <wp:docPr id="927825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825346" name=""/>
                    <pic:cNvPicPr/>
                  </pic:nvPicPr>
                  <pic:blipFill rotWithShape="1">
                    <a:blip r:embed="rId32"/>
                    <a:srcRect t="13220"/>
                    <a:stretch/>
                  </pic:blipFill>
                  <pic:spPr bwMode="auto">
                    <a:xfrm>
                      <a:off x="0" y="0"/>
                      <a:ext cx="5760720" cy="2824704"/>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3D8E34EC" w14:textId="5A348E95" w:rsidR="00F1743E" w:rsidRPr="00FF756A" w:rsidRDefault="00646053" w:rsidP="00646053">
      <w:pPr>
        <w:pStyle w:val="Caption"/>
        <w:rPr>
          <w:rFonts w:ascii="Times New Roman" w:hAnsi="Times New Roman"/>
        </w:rPr>
      </w:pPr>
      <w:bookmarkStart w:id="69" w:name="_Toc183016544"/>
      <w:r w:rsidRPr="00FF756A">
        <w:rPr>
          <w:rFonts w:ascii="Times New Roman" w:hAnsi="Times New Roman"/>
        </w:rPr>
        <w:t xml:space="preserve">Figura </w:t>
      </w:r>
      <w:r w:rsidR="009145E9" w:rsidRPr="00FF756A">
        <w:rPr>
          <w:rFonts w:ascii="Times New Roman" w:hAnsi="Times New Roman"/>
        </w:rPr>
        <w:fldChar w:fldCharType="begin"/>
      </w:r>
      <w:r w:rsidR="009145E9" w:rsidRPr="00FF756A">
        <w:rPr>
          <w:rFonts w:ascii="Times New Roman" w:hAnsi="Times New Roman"/>
        </w:rPr>
        <w:instrText xml:space="preserve"> SEQ Figura \* ARABIC </w:instrText>
      </w:r>
      <w:r w:rsidR="009145E9" w:rsidRPr="00FF756A">
        <w:rPr>
          <w:rFonts w:ascii="Times New Roman" w:hAnsi="Times New Roman"/>
        </w:rPr>
        <w:fldChar w:fldCharType="separate"/>
      </w:r>
      <w:r w:rsidR="009145E9" w:rsidRPr="00FF756A">
        <w:rPr>
          <w:rFonts w:ascii="Times New Roman" w:hAnsi="Times New Roman"/>
          <w:noProof/>
        </w:rPr>
        <w:t>14</w:t>
      </w:r>
      <w:r w:rsidR="009145E9" w:rsidRPr="00FF756A">
        <w:rPr>
          <w:rFonts w:ascii="Times New Roman" w:hAnsi="Times New Roman"/>
          <w:noProof/>
        </w:rPr>
        <w:fldChar w:fldCharType="end"/>
      </w:r>
      <w:r w:rsidRPr="00FF756A">
        <w:rPr>
          <w:rFonts w:ascii="Times New Roman" w:hAnsi="Times New Roman"/>
        </w:rPr>
        <w:t>: Zbatimi sipas treguesve të tregut të energjisë elektrike (Burimi: Energy-community.org Statusi 2023)</w:t>
      </w:r>
      <w:bookmarkEnd w:id="69"/>
    </w:p>
    <w:p w14:paraId="4E3B2A56" w14:textId="715836CC" w:rsidR="00F1743E" w:rsidRPr="00FF756A" w:rsidRDefault="00F1743E" w:rsidP="00F1743E">
      <w:pPr>
        <w:pStyle w:val="Caption"/>
        <w:rPr>
          <w:rFonts w:ascii="Times New Roman" w:hAnsi="Times New Roman"/>
        </w:rPr>
      </w:pPr>
    </w:p>
    <w:p w14:paraId="5B052992" w14:textId="77777777" w:rsidR="00DA2EDE" w:rsidRPr="00FF756A" w:rsidRDefault="00DA2EDE" w:rsidP="00EF0D31">
      <w:pPr>
        <w:rPr>
          <w:b/>
        </w:rPr>
      </w:pPr>
      <w:r w:rsidRPr="00FF756A">
        <w:rPr>
          <w:b/>
        </w:rPr>
        <w:t>Ndarja e KESH Sh.A.</w:t>
      </w:r>
    </w:p>
    <w:p w14:paraId="7018A233" w14:textId="77777777" w:rsidR="00DA2EDE" w:rsidRPr="00FF756A" w:rsidRDefault="00DA2EDE" w:rsidP="00EF0D31">
      <w:r w:rsidRPr="00FF756A">
        <w:t>Shqipëria ka finalizuar plotësisht ndarjen e pronësisë së KESH Sh.A. nga pronësia e OST Sh.A., gjë që përbënte detyrim në bazë të Paketës së Tretë të Energjisë.</w:t>
      </w:r>
    </w:p>
    <w:p w14:paraId="7C136866" w14:textId="77777777" w:rsidR="00DA2EDE" w:rsidRPr="00FF756A" w:rsidRDefault="00DA2EDE" w:rsidP="00EF0D31">
      <w:pPr>
        <w:rPr>
          <w:b/>
        </w:rPr>
      </w:pPr>
      <w:r w:rsidRPr="00FF756A">
        <w:rPr>
          <w:b/>
        </w:rPr>
        <w:t>Ndarja e OST Sh.A.</w:t>
      </w:r>
    </w:p>
    <w:p w14:paraId="0F990439" w14:textId="7485A3CE" w:rsidR="00DA2EDE" w:rsidRPr="00FF756A" w:rsidRDefault="00DA2EDE" w:rsidP="00EF0D31">
      <w:r w:rsidRPr="00FF756A">
        <w:t xml:space="preserve">Ndarja e Operatorit të sistemit të transmetimit të Shqipërisë (OST) është bërë sipas modelit të ndarjes së pronësisë të Paketës së Tretë. OST u certifikua në mënyrë të kushtëzuar në vitin 2017. </w:t>
      </w:r>
      <w:r w:rsidR="00B9730E" w:rsidRPr="00FF756A">
        <w:t xml:space="preserve">Bordi i </w:t>
      </w:r>
      <w:r w:rsidRPr="00FF756A">
        <w:t xml:space="preserve">Komisionerëve të ERE-s </w:t>
      </w:r>
      <w:r w:rsidR="00C33A03" w:rsidRPr="00FF756A">
        <w:t xml:space="preserve">me Vendimin </w:t>
      </w:r>
      <w:r w:rsidRPr="00FF756A">
        <w:t xml:space="preserve">nr. 43, datë 15.3.2017 “Për miratimin përfundimtar të </w:t>
      </w:r>
      <w:r w:rsidRPr="00FF756A">
        <w:lastRenderedPageBreak/>
        <w:t>certifikimit të Operatorit të Sistemit të Transmetimit të Energjisë Elektrike OST sh.a.”, në përputhje me nenin 54, paragrafi 6, të ligjit nr. 43/2015 “Për sektorin e energjisë elektrike”, ka certifikuar OST Sh.A si Operator të Sistemit të Transmetimit (OST). Bordi i Komisionerëve të ERE-s, me Vendimin nr. 99, datë 24.6.2020 ka miratuar plotësimin e kushteve të Vendimit të Bordit të Komisionerëve të ERE-s nr. 43 datë 15.3.2017.</w:t>
      </w:r>
    </w:p>
    <w:p w14:paraId="7C43B939" w14:textId="77777777" w:rsidR="00DA2EDE" w:rsidRPr="00FF756A" w:rsidRDefault="00DA2EDE" w:rsidP="00EF0D31">
      <w:pPr>
        <w:rPr>
          <w:b/>
        </w:rPr>
      </w:pPr>
      <w:r w:rsidRPr="00FF756A">
        <w:rPr>
          <w:b/>
        </w:rPr>
        <w:t>Ndarja e OSHEE Sh.A.</w:t>
      </w:r>
    </w:p>
    <w:p w14:paraId="60B6526E" w14:textId="41286646" w:rsidR="00A74B34" w:rsidRPr="00FF756A" w:rsidRDefault="00A74B34" w:rsidP="00A74B34">
      <w:pPr>
        <w:spacing w:after="0"/>
      </w:pPr>
      <w:r w:rsidRPr="00FF756A">
        <w:t xml:space="preserve">Më 1 janar 2020, përfundoi ndarja ligjore dhe funksionale e Operatorit të Sistemit të Shpërndarjes (OSHEE Sh.A.) në përputhje me Vendimin e sipërpërmendur të Bordit të Komisionerëve të ERE-s nr. 211, datë 18.12.2019, </w:t>
      </w:r>
      <w:r w:rsidR="00E748CC" w:rsidRPr="00FF756A">
        <w:t xml:space="preserve">ku u themeluan </w:t>
      </w:r>
      <w:r w:rsidRPr="00FF756A">
        <w:t xml:space="preserve">tri shoqëri bija </w:t>
      </w:r>
      <w:r w:rsidR="00E748CC" w:rsidRPr="00FF756A">
        <w:t xml:space="preserve">të cilat </w:t>
      </w:r>
      <w:r w:rsidRPr="00FF756A">
        <w:t>po ushtrojnë veprimtarinë e tyre:</w:t>
      </w:r>
    </w:p>
    <w:p w14:paraId="4D854018" w14:textId="77777777" w:rsidR="00A74B34" w:rsidRPr="00FF756A" w:rsidRDefault="00A74B34">
      <w:pPr>
        <w:pStyle w:val="ListParagraph"/>
        <w:numPr>
          <w:ilvl w:val="0"/>
          <w:numId w:val="31"/>
        </w:numPr>
        <w:pBdr>
          <w:top w:val="none" w:sz="0" w:space="0" w:color="auto"/>
          <w:left w:val="none" w:sz="0" w:space="0" w:color="auto"/>
          <w:bottom w:val="none" w:sz="0" w:space="0" w:color="auto"/>
          <w:right w:val="none" w:sz="0" w:space="0" w:color="auto"/>
          <w:between w:val="none" w:sz="0" w:space="0" w:color="auto"/>
        </w:pBdr>
        <w:spacing w:before="0" w:after="0"/>
        <w:contextualSpacing w:val="0"/>
      </w:pPr>
      <w:r w:rsidRPr="00FF756A">
        <w:t>Furnizuesi i Shërbimit Universal Sh.A. (FSHU), me objekt veprimtarie "Furnizimin me energji elektrike të klientëve fundorë që veprojnë në treg të rregulluar të përcaktuar nga legjislacioni në fuqi”.</w:t>
      </w:r>
    </w:p>
    <w:p w14:paraId="379F43F3" w14:textId="77777777" w:rsidR="00A74B34" w:rsidRPr="00FF756A" w:rsidRDefault="00A74B34">
      <w:pPr>
        <w:pStyle w:val="ListParagraph"/>
        <w:numPr>
          <w:ilvl w:val="0"/>
          <w:numId w:val="31"/>
        </w:numPr>
        <w:pBdr>
          <w:top w:val="none" w:sz="0" w:space="0" w:color="auto"/>
          <w:left w:val="none" w:sz="0" w:space="0" w:color="auto"/>
          <w:bottom w:val="none" w:sz="0" w:space="0" w:color="auto"/>
          <w:right w:val="none" w:sz="0" w:space="0" w:color="auto"/>
          <w:between w:val="none" w:sz="0" w:space="0" w:color="auto"/>
        </w:pBdr>
        <w:spacing w:before="0" w:after="0"/>
        <w:contextualSpacing w:val="0"/>
      </w:pPr>
      <w:r w:rsidRPr="00FF756A">
        <w:t>Furnizuesi i Tregut të Lirë SH.A. (FTL), me objekt veprimtarie "Blerjen dhe menaxhimin e energjisë elektrike dhe operimin në tregun e lirë etj".</w:t>
      </w:r>
    </w:p>
    <w:p w14:paraId="4D25BA97" w14:textId="142702B3" w:rsidR="00DA2EDE" w:rsidRPr="00FF756A" w:rsidRDefault="00A74B34">
      <w:pPr>
        <w:pStyle w:val="ListParagraph"/>
        <w:numPr>
          <w:ilvl w:val="0"/>
          <w:numId w:val="31"/>
        </w:numPr>
        <w:pBdr>
          <w:top w:val="none" w:sz="0" w:space="0" w:color="auto"/>
          <w:left w:val="none" w:sz="0" w:space="0" w:color="auto"/>
          <w:bottom w:val="none" w:sz="0" w:space="0" w:color="auto"/>
          <w:right w:val="none" w:sz="0" w:space="0" w:color="auto"/>
          <w:between w:val="none" w:sz="0" w:space="0" w:color="auto"/>
        </w:pBdr>
        <w:spacing w:before="0" w:after="0"/>
        <w:contextualSpacing w:val="0"/>
      </w:pPr>
      <w:r w:rsidRPr="00FF756A">
        <w:t>Operatori i Sistemit të Shpërndarjes Sh.A (OSSH), me objekt veprimtarie "Shpërndarjen e energjisë elektrike, ndërtimin, operimin dhe mirëmbajtjen e rrjetit të shpërndarjes së energjisë elektrike për furnizimin me energji elektrike të klientëve, lidhjen e klientëve dhe përdoruesve të energjisë së rrjetit, shërbimet e shpërndarjes, instalimit dhe matjes së energjisë elektrike etj.”.</w:t>
      </w:r>
    </w:p>
    <w:p w14:paraId="58929B52" w14:textId="45E85AB4" w:rsidR="00BE7A86" w:rsidRPr="00FF756A" w:rsidRDefault="00BE7A86" w:rsidP="00853113">
      <w:pPr>
        <w:pStyle w:val="ListBullet5"/>
        <w:numPr>
          <w:ilvl w:val="0"/>
          <w:numId w:val="0"/>
        </w:numPr>
      </w:pPr>
      <w:r w:rsidRPr="00FF756A">
        <w:t xml:space="preserve">Më 18 prill 2023, Sekretariati </w:t>
      </w:r>
      <w:r w:rsidR="009729E6" w:rsidRPr="00FF756A">
        <w:t xml:space="preserve">i Komunitetit të Energjisë </w:t>
      </w:r>
      <w:r w:rsidRPr="00FF756A">
        <w:t xml:space="preserve">mbylli Rastin ECS-4/17 në disfavor të Shqipërisë, për mungesë të ndarjes së Operatorit të Sistemit të Shpërndarjes së Energjisë Elektrike (OSSH). Ky vendim pason transpozimin e plotë në legjislacionin </w:t>
      </w:r>
      <w:r w:rsidR="009729E6" w:rsidRPr="00FF756A">
        <w:t>shqiptar</w:t>
      </w:r>
      <w:r w:rsidRPr="00FF756A">
        <w:t xml:space="preserve"> të dispozitave të Direktivës për Energjinë Elektrike në lidhje me ndarjen e OSSH-së, përfundimin e ndarjes ligjore dhe përparimin thelbësor në ndarjen funksionale. Masat e fundit që sigurojnë ndarjen funksionale ishin miratimi i një programi pajtueshmërie dhe emërimi i një zyrtari të pajtueshmërisë.</w:t>
      </w:r>
    </w:p>
    <w:p w14:paraId="10FE549F" w14:textId="77777777" w:rsidR="005C2D40" w:rsidRPr="00FF756A" w:rsidRDefault="005C2D40" w:rsidP="00853113">
      <w:pPr>
        <w:pStyle w:val="ListBullet5"/>
        <w:numPr>
          <w:ilvl w:val="0"/>
          <w:numId w:val="0"/>
        </w:numPr>
        <w:rPr>
          <w:lang w:eastAsia="en-GB"/>
        </w:rPr>
      </w:pPr>
    </w:p>
    <w:p w14:paraId="0563819E" w14:textId="4E983597" w:rsidR="00A12D69" w:rsidRPr="00FF756A" w:rsidRDefault="00DA2EDE" w:rsidP="00EF0D31">
      <w:r w:rsidRPr="00FF756A">
        <w:rPr>
          <w:b/>
        </w:rPr>
        <w:t>Tregu i pakicës</w:t>
      </w:r>
      <w:r w:rsidRPr="00FF756A">
        <w:t xml:space="preserve"> mbetet pjesërisht i de-rregulluar, duke pasur parasysh mundësinë që u është dhënë me ligj të gjitha kategorive të klientëve, me përjashtim të atyre të lidhur me tensionin e lartë, për të vazhduar furnizimin nga furnizuesi i mundësisë së fundit, OSHEE, me çmime të rregulluara për një periudhë prej dy vitesh pas miratimit të kushteve teknike për ndryshimin e furnizuesit. Si rezultat, pjesa më e madhe e klientëve vazhdojnë të furnizohen me çmime të rregulluara, me përjashtim të një pjese të klientëve të lidhur në nivelin e tensionit 35 kV. Kjo cenon të drejtën e kualifikimit dhe interesin e furnizuesve të rinj për të hyrë në tregun e pakicës.</w:t>
      </w:r>
    </w:p>
    <w:p w14:paraId="5A481327" w14:textId="77777777" w:rsidR="005C2D40" w:rsidRPr="00FF756A" w:rsidRDefault="005C2D40" w:rsidP="00EF0D31"/>
    <w:p w14:paraId="6D76E193" w14:textId="2B6E3587" w:rsidR="00DA2EDE" w:rsidRPr="00FF756A" w:rsidRDefault="00DA2EDE" w:rsidP="00EF0D31">
      <w:r w:rsidRPr="00FF756A">
        <w:t xml:space="preserve">Figura më poshtë tregon çmimet mesatare vjetore të energjisë elektrike për përdoruesit fundorë për komponent [EUR/kWh] deri në vitin 2022.  </w:t>
      </w:r>
    </w:p>
    <w:p w14:paraId="0C91FF3A" w14:textId="77777777" w:rsidR="00646053" w:rsidRPr="00FF756A" w:rsidRDefault="00E86E8F" w:rsidP="00646053">
      <w:pPr>
        <w:keepNext/>
      </w:pPr>
      <w:r w:rsidRPr="00FF756A">
        <w:rPr>
          <w:noProof/>
          <w:lang w:val="en-US"/>
        </w:rPr>
        <w:lastRenderedPageBreak/>
        <w:drawing>
          <wp:inline distT="0" distB="0" distL="0" distR="0" wp14:anchorId="531134E9" wp14:editId="50CFCA7E">
            <wp:extent cx="5659718" cy="2745105"/>
            <wp:effectExtent l="19050" t="19050" r="17780" b="17145"/>
            <wp:docPr id="1657534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534736" name=""/>
                    <pic:cNvPicPr/>
                  </pic:nvPicPr>
                  <pic:blipFill rotWithShape="1">
                    <a:blip r:embed="rId33"/>
                    <a:srcRect t="9461" r="1747"/>
                    <a:stretch/>
                  </pic:blipFill>
                  <pic:spPr bwMode="auto">
                    <a:xfrm>
                      <a:off x="0" y="0"/>
                      <a:ext cx="5660025" cy="2745254"/>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6DCEED84" w14:textId="34A7456B" w:rsidR="00F1743E" w:rsidRPr="00FF756A" w:rsidRDefault="00646053" w:rsidP="00646053">
      <w:pPr>
        <w:pStyle w:val="Caption"/>
        <w:rPr>
          <w:rFonts w:ascii="Times New Roman" w:hAnsi="Times New Roman"/>
        </w:rPr>
      </w:pPr>
      <w:bookmarkStart w:id="70" w:name="_Toc183016545"/>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15</w:t>
      </w:r>
      <w:r w:rsidR="008E7DE9" w:rsidRPr="00FF756A">
        <w:rPr>
          <w:rFonts w:ascii="Times New Roman" w:hAnsi="Times New Roman"/>
          <w:noProof/>
        </w:rPr>
        <w:fldChar w:fldCharType="end"/>
      </w:r>
      <w:r w:rsidRPr="00FF756A">
        <w:rPr>
          <w:rFonts w:ascii="Times New Roman" w:hAnsi="Times New Roman"/>
        </w:rPr>
        <w:t>: Hapja e tregut të pakicës (Burimi: Ministria e Infrastrukturës dhe Energjisë)</w:t>
      </w:r>
      <w:bookmarkEnd w:id="70"/>
    </w:p>
    <w:p w14:paraId="04B8C4C2" w14:textId="508B3CDE" w:rsidR="00DA2EDE" w:rsidRPr="00FF756A" w:rsidRDefault="00DA2EDE" w:rsidP="00F1743E">
      <w:pPr>
        <w:pStyle w:val="Caption"/>
        <w:rPr>
          <w:rFonts w:ascii="Times New Roman" w:hAnsi="Times New Roman"/>
        </w:rPr>
      </w:pPr>
    </w:p>
    <w:p w14:paraId="35D571DC" w14:textId="7C197F9A" w:rsidR="00A74B34" w:rsidRPr="00FF756A" w:rsidRDefault="00A74B34" w:rsidP="00EF0D31">
      <w:bookmarkStart w:id="71" w:name="_Hlk45791430"/>
      <w:r w:rsidRPr="00FF756A">
        <w:t>Faza e dytë e liberalizimit të tregut filloi në janar 2022, me të paktën 7000 biznese që pritet të dalin në tregun e lirë. Sipas OSHEE-së, ato janë kryesisht biznese në nivelin 20 kV. Sipas ligjit, bizneset e lidhura në nivelin 10 kV ose 6 kV duhet të jenë gjithashtu pjesë e këtij tregu.</w:t>
      </w:r>
    </w:p>
    <w:p w14:paraId="07420D3B" w14:textId="1007F9BF" w:rsidR="00DA2EDE" w:rsidRPr="00FF756A" w:rsidRDefault="00DA2EDE" w:rsidP="00EF0D31">
      <w:r w:rsidRPr="00FF756A">
        <w:t>Klientët në nevojë identifikohen dhe mbështeten sipas një kuadri ligjor dhe kushteve që nuk kanë lidhje me energjinë dhe rregullohen nga Ministria e Punëve Sociale, e cila alokon mbështetje financiare nga buxheti i shtetit. Rregullat, kushtet dhe mekanizmat për mbështetjen e klientëve në nevojë, të parashikuara në legjislacioni</w:t>
      </w:r>
      <w:r w:rsidR="000E014C" w:rsidRPr="00FF756A">
        <w:t>n e</w:t>
      </w:r>
      <w:r w:rsidRPr="00FF756A">
        <w:t xml:space="preserve"> BE-së dhe të transpozuara me Ligjin “Për sektorin e energjisë elektrike”, nuk janë zbatuar ende.</w:t>
      </w:r>
    </w:p>
    <w:bookmarkEnd w:id="71"/>
    <w:p w14:paraId="0C0234ED" w14:textId="77777777" w:rsidR="00DA2EDE" w:rsidRPr="00FF756A" w:rsidRDefault="00DA2EDE" w:rsidP="00EF0D31"/>
    <w:p w14:paraId="4BB52D2E" w14:textId="77777777" w:rsidR="00DA2EDE" w:rsidRPr="00FF756A" w:rsidRDefault="00DA2EDE" w:rsidP="008639B2">
      <w:pPr>
        <w:pStyle w:val="Heading5"/>
        <w:numPr>
          <w:ilvl w:val="4"/>
          <w:numId w:val="54"/>
        </w:numPr>
        <w:rPr>
          <w:rFonts w:ascii="Times New Roman" w:hAnsi="Times New Roman" w:cs="Times New Roman"/>
          <w:sz w:val="20"/>
          <w:szCs w:val="20"/>
        </w:rPr>
      </w:pPr>
      <w:bookmarkStart w:id="72" w:name="_Toc183639182"/>
      <w:r w:rsidRPr="00FF756A">
        <w:rPr>
          <w:rFonts w:ascii="Times New Roman" w:hAnsi="Times New Roman" w:cs="Times New Roman"/>
          <w:sz w:val="20"/>
          <w:szCs w:val="20"/>
        </w:rPr>
        <w:t>Sektori i gazit</w:t>
      </w:r>
      <w:bookmarkEnd w:id="72"/>
    </w:p>
    <w:p w14:paraId="4701601A" w14:textId="582D55EE" w:rsidR="000079D2" w:rsidRPr="00FF756A" w:rsidRDefault="00414FDC" w:rsidP="005C2D40">
      <w:pPr>
        <w:spacing w:before="40" w:after="40"/>
      </w:pPr>
      <w:r w:rsidRPr="00FF756A">
        <w:t xml:space="preserve">Shqipëria nuk ka ende një treg gazi dhe nuk është e lidhur me asnjë infrastrukturë ndërkombëtare të gazit. Megjithatë, ajo ka një kuadër </w:t>
      </w:r>
      <w:r w:rsidR="0094278E" w:rsidRPr="00FF756A">
        <w:t xml:space="preserve">bazë </w:t>
      </w:r>
      <w:r w:rsidRPr="00FF756A">
        <w:t xml:space="preserve">legjislativ </w:t>
      </w:r>
      <w:r w:rsidR="0094278E" w:rsidRPr="00FF756A">
        <w:t>në fuqi</w:t>
      </w:r>
      <w:r w:rsidRPr="00FF756A">
        <w:t>:</w:t>
      </w:r>
    </w:p>
    <w:p w14:paraId="4234E4DD" w14:textId="2DCFF151" w:rsidR="00414FDC" w:rsidRPr="00FF756A" w:rsidRDefault="00414FDC" w:rsidP="008639B2">
      <w:pPr>
        <w:pStyle w:val="ListParagraph"/>
        <w:numPr>
          <w:ilvl w:val="0"/>
          <w:numId w:val="52"/>
        </w:numPr>
        <w:spacing w:before="40" w:after="40"/>
        <w:contextualSpacing w:val="0"/>
        <w:rPr>
          <w:iCs/>
        </w:rPr>
      </w:pPr>
      <w:r w:rsidRPr="00FF756A">
        <w:t>Ligji nr. 102/2015, datë 23.9.2015, “Për sektorin e gazit natyror”, ndryshuar me ligjin nr. 64/2018, ligjin nr. 89/2018 dhe ligjin nr. 81/2021</w:t>
      </w:r>
      <w:r w:rsidR="0094278E" w:rsidRPr="00FF756A">
        <w:t>.</w:t>
      </w:r>
    </w:p>
    <w:p w14:paraId="0D66EFBF" w14:textId="77777777" w:rsidR="00C6778C" w:rsidRPr="00FF756A" w:rsidRDefault="00C6778C" w:rsidP="005C2D40">
      <w:pPr>
        <w:spacing w:before="40" w:after="40"/>
        <w:rPr>
          <w:rFonts w:eastAsia="Times New Roman"/>
          <w:lang w:eastAsia="en-GB"/>
        </w:rPr>
      </w:pPr>
    </w:p>
    <w:p w14:paraId="023CD51F" w14:textId="44D07D62" w:rsidR="00414FDC" w:rsidRPr="00FF756A" w:rsidRDefault="00414FDC" w:rsidP="005C2D40">
      <w:pPr>
        <w:spacing w:before="40" w:after="40"/>
        <w:rPr>
          <w:rFonts w:eastAsia="Times New Roman"/>
        </w:rPr>
      </w:pPr>
      <w:r w:rsidRPr="00FF756A">
        <w:t>Ligji nr. 102/2015, datë 23.9.2015, “</w:t>
      </w:r>
      <w:r w:rsidRPr="00FF756A">
        <w:rPr>
          <w:i/>
          <w:iCs/>
        </w:rPr>
        <w:t>Për sektorin e gazit natyror</w:t>
      </w:r>
      <w:r w:rsidRPr="00FF756A">
        <w:t xml:space="preserve">”, i ndryshuar, është përafruar plotësisht me </w:t>
      </w:r>
      <w:r w:rsidRPr="00FF756A">
        <w:rPr>
          <w:i/>
        </w:rPr>
        <w:t>tërësinë e legjislacionit</w:t>
      </w:r>
      <w:r w:rsidRPr="00FF756A">
        <w:t xml:space="preserve"> të BE-së, siç është raportuar dhe më parë në kontributin e parë të Shqipërisë në Raportin e KE-së të vitit 2016 për Shqipërinë. Për zbatimin e Ligjit nr. 102/2015, datë 23.9.2015, “</w:t>
      </w:r>
      <w:r w:rsidRPr="00FF756A">
        <w:rPr>
          <w:i/>
          <w:iCs/>
        </w:rPr>
        <w:t>Për sektorin e gazit natyror</w:t>
      </w:r>
      <w:r w:rsidRPr="00FF756A">
        <w:t>”, janë miratuar aktet zbatuese në vijim:</w:t>
      </w:r>
    </w:p>
    <w:p w14:paraId="72C8A9C6" w14:textId="389496E2" w:rsidR="00414FDC" w:rsidRPr="00FF756A" w:rsidRDefault="00414FDC" w:rsidP="004A3257">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line="240" w:lineRule="auto"/>
        <w:ind w:left="360"/>
        <w:rPr>
          <w:rFonts w:eastAsia="Times New Roman"/>
        </w:rPr>
      </w:pPr>
      <w:r w:rsidRPr="00FF756A">
        <w:t>VKM nr. 417, datë 10.5.2017, “</w:t>
      </w:r>
      <w:r w:rsidRPr="00FF756A">
        <w:rPr>
          <w:i/>
          <w:iCs/>
        </w:rPr>
        <w:t>Për miratimin e planit të emergjencës për gazin natyror, në përputhje me standardet minimale të sigurisë së furnizimit, si dhe rregullat për të garantuar furnizim të sigurt dhe të efektshëm me gaz natyror</w:t>
      </w:r>
      <w:r w:rsidRPr="00FF756A">
        <w:t xml:space="preserve">” </w:t>
      </w:r>
      <w:r w:rsidR="00DC44CA" w:rsidRPr="00FF756A">
        <w:t>;</w:t>
      </w:r>
    </w:p>
    <w:p w14:paraId="172614E2" w14:textId="11192FC1" w:rsidR="00414FDC" w:rsidRPr="00FF756A" w:rsidRDefault="00414FDC" w:rsidP="004A3257">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line="240" w:lineRule="auto"/>
        <w:ind w:left="360"/>
        <w:rPr>
          <w:rFonts w:eastAsia="Times New Roman"/>
        </w:rPr>
      </w:pPr>
      <w:r w:rsidRPr="00FF756A">
        <w:t>Vendimi i Bordit të Komisionerëve nr. 100, datë 5.8.2015, “</w:t>
      </w:r>
      <w:r w:rsidRPr="00FF756A">
        <w:rPr>
          <w:i/>
          <w:iCs/>
        </w:rPr>
        <w:t>Për miratimin e rregullave për certifikimin e operatorit të sistemit të transmetimit për gazin natyror</w:t>
      </w:r>
      <w:r w:rsidRPr="00FF756A">
        <w:t>”, i ndryshuar;</w:t>
      </w:r>
    </w:p>
    <w:p w14:paraId="2AFBE790" w14:textId="64387924" w:rsidR="00414FDC" w:rsidRPr="00FF756A" w:rsidRDefault="00414FDC" w:rsidP="004A3257">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line="240" w:lineRule="auto"/>
        <w:ind w:left="360"/>
        <w:rPr>
          <w:rFonts w:eastAsia="Times New Roman"/>
        </w:rPr>
      </w:pPr>
      <w:r w:rsidRPr="00FF756A">
        <w:t>Vendimi i Bordit të Komisionerëve nr. 96, datë 17.6.2016, “</w:t>
      </w:r>
      <w:r w:rsidRPr="00FF756A">
        <w:rPr>
          <w:i/>
          <w:iCs/>
        </w:rPr>
        <w:t>Për miratimin e rregullores për organizimin, funksionimin dhe procedurat e Entit Rregullator të Energjisë</w:t>
      </w:r>
      <w:r w:rsidRPr="00FF756A">
        <w:t>”</w:t>
      </w:r>
      <w:r w:rsidR="00DC44CA" w:rsidRPr="00FF756A">
        <w:t>;</w:t>
      </w:r>
    </w:p>
    <w:p w14:paraId="1CEF4167" w14:textId="592282DF" w:rsidR="00414FDC" w:rsidRPr="00FF756A" w:rsidRDefault="00414FDC" w:rsidP="004A3257">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line="240" w:lineRule="auto"/>
        <w:ind w:left="360"/>
        <w:rPr>
          <w:rFonts w:eastAsia="Times New Roman"/>
        </w:rPr>
      </w:pPr>
      <w:r w:rsidRPr="00FF756A">
        <w:t>Vendimi i Bordit të Komisionerëve nr. 114, datë 8.7.2016, “</w:t>
      </w:r>
      <w:r w:rsidRPr="00FF756A">
        <w:rPr>
          <w:i/>
          <w:iCs/>
        </w:rPr>
        <w:t>Për miratimin e rregullores për trajtimin e ankesave të ngritura nga klientët dhe për zgjidhjen e mosmarrëveshjeve ndërmjet mbajtësve të licencave në sektorin e energjisë elektrike dhe të gazit natyror</w:t>
      </w:r>
      <w:r w:rsidRPr="00FF756A">
        <w:t>”</w:t>
      </w:r>
      <w:r w:rsidR="002C2594" w:rsidRPr="00FF756A">
        <w:t>;</w:t>
      </w:r>
    </w:p>
    <w:p w14:paraId="21ACC7D7" w14:textId="6DD18701" w:rsidR="00414FDC" w:rsidRPr="00FF756A" w:rsidRDefault="00414FDC" w:rsidP="004A3257">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line="240" w:lineRule="auto"/>
        <w:ind w:left="360"/>
        <w:rPr>
          <w:rFonts w:eastAsia="Times New Roman"/>
        </w:rPr>
      </w:pPr>
      <w:r w:rsidRPr="00FF756A">
        <w:lastRenderedPageBreak/>
        <w:t>Vendimi i Bordit të Komisionerëve nr. 119, datë 21.7.2016, “</w:t>
      </w:r>
      <w:r w:rsidRPr="00FF756A">
        <w:rPr>
          <w:i/>
          <w:iCs/>
        </w:rPr>
        <w:t>Për miratimin e rregullores për procedurat e transferimit të aseteve nga të licencuarit</w:t>
      </w:r>
      <w:r w:rsidRPr="00FF756A">
        <w:t>”</w:t>
      </w:r>
      <w:r w:rsidR="002C2594" w:rsidRPr="00FF756A">
        <w:t>;</w:t>
      </w:r>
    </w:p>
    <w:p w14:paraId="7C7B3827" w14:textId="06E053B4" w:rsidR="00414FDC" w:rsidRPr="00FF756A" w:rsidRDefault="00414FDC" w:rsidP="004A3257">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line="240" w:lineRule="auto"/>
        <w:ind w:left="360"/>
        <w:rPr>
          <w:rFonts w:eastAsia="Times New Roman"/>
        </w:rPr>
      </w:pPr>
      <w:r w:rsidRPr="00FF756A">
        <w:t>Vendimi i Bordit të Komisionerëve nr. 34, datë 2.3.2017 “</w:t>
      </w:r>
      <w:r w:rsidRPr="00FF756A">
        <w:rPr>
          <w:i/>
          <w:iCs/>
        </w:rPr>
        <w:t>Për miratimin e udhëzimit mbi kriteret e vendimmarrjes për aksesin në ambientet e depozitimit të gazit natyror</w:t>
      </w:r>
      <w:r w:rsidRPr="00FF756A">
        <w:t>”</w:t>
      </w:r>
      <w:r w:rsidR="002C2594" w:rsidRPr="00FF756A">
        <w:t>;</w:t>
      </w:r>
    </w:p>
    <w:p w14:paraId="1E262116" w14:textId="1BF49E57" w:rsidR="00414FDC" w:rsidRPr="00FF756A" w:rsidRDefault="00414FDC" w:rsidP="004A3257">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line="240" w:lineRule="auto"/>
        <w:ind w:left="360"/>
        <w:rPr>
          <w:rFonts w:eastAsia="Times New Roman"/>
        </w:rPr>
      </w:pPr>
      <w:r w:rsidRPr="00FF756A">
        <w:t>Vendimi i Bordit të Komisionerëve nr. 77, datë 26.5.2017, “</w:t>
      </w:r>
      <w:r w:rsidRPr="00FF756A">
        <w:rPr>
          <w:i/>
          <w:iCs/>
        </w:rPr>
        <w:t>Për miratimin e programit të pajtueshmërisë së sistemit të transmetimit të gazit natyror</w:t>
      </w:r>
      <w:r w:rsidRPr="00FF756A">
        <w:t>”</w:t>
      </w:r>
      <w:r w:rsidR="002C2594" w:rsidRPr="00FF756A">
        <w:t>;</w:t>
      </w:r>
    </w:p>
    <w:p w14:paraId="37D018A4" w14:textId="481822AD" w:rsidR="00414FDC" w:rsidRPr="00FF756A" w:rsidRDefault="00414FDC" w:rsidP="004A3257">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line="240" w:lineRule="auto"/>
        <w:ind w:left="360"/>
        <w:rPr>
          <w:rFonts w:eastAsia="Times New Roman"/>
        </w:rPr>
      </w:pPr>
      <w:r w:rsidRPr="00FF756A">
        <w:t>Vendimi i Bordit të Komisionerëve nr. 78, datë 26.5.2017, “</w:t>
      </w:r>
      <w:r w:rsidRPr="00FF756A">
        <w:rPr>
          <w:i/>
          <w:iCs/>
        </w:rPr>
        <w:t>Për miratimin e kontratës për ofrimin e shërbimeve të Zyrtarit të Pajtueshmërisë në sektorin e gazit natyror</w:t>
      </w:r>
      <w:r w:rsidRPr="00FF756A">
        <w:t>”</w:t>
      </w:r>
      <w:r w:rsidR="002C2594" w:rsidRPr="00FF756A">
        <w:t>;</w:t>
      </w:r>
    </w:p>
    <w:p w14:paraId="454E28A4" w14:textId="5A6B4836" w:rsidR="00414FDC" w:rsidRPr="00FF756A" w:rsidRDefault="00414FDC" w:rsidP="004A3257">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line="240" w:lineRule="auto"/>
        <w:ind w:left="360"/>
        <w:rPr>
          <w:rFonts w:eastAsia="Times New Roman"/>
        </w:rPr>
      </w:pPr>
      <w:r w:rsidRPr="00FF756A">
        <w:t>Vendimi i Bordit të Komisionerëve nr. 95, datë 4.7.2017, “</w:t>
      </w:r>
      <w:r w:rsidRPr="00FF756A">
        <w:rPr>
          <w:i/>
          <w:iCs/>
        </w:rPr>
        <w:t>Për miratimin e rregullores për kushtet dhe procedurat e vendosjes së gjobave dhe masën konkrete për çdo shkelje në sektorin e gazit natyror</w:t>
      </w:r>
      <w:r w:rsidRPr="00FF756A">
        <w:t>”</w:t>
      </w:r>
      <w:r w:rsidR="00900148" w:rsidRPr="00FF756A">
        <w:t>;</w:t>
      </w:r>
    </w:p>
    <w:p w14:paraId="6CDFB48C" w14:textId="406183CC" w:rsidR="00A74B34" w:rsidRPr="00FF756A" w:rsidRDefault="00414FDC" w:rsidP="004A3257">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line="240" w:lineRule="auto"/>
        <w:ind w:left="360"/>
        <w:rPr>
          <w:rFonts w:eastAsia="Times New Roman"/>
        </w:rPr>
      </w:pPr>
      <w:r w:rsidRPr="00FF756A">
        <w:t>Vendimi i Bordit të Komisionerëve nr. 97, datë 4.7.2017, “</w:t>
      </w:r>
      <w:r w:rsidRPr="00FF756A">
        <w:rPr>
          <w:i/>
          <w:iCs/>
        </w:rPr>
        <w:t>Për miratimin e rregullores për procedurat dhe afatet për dhënien, modifikimin, transferimin ose heqjen e licencave në sektorin e gazit natyror</w:t>
      </w:r>
      <w:r w:rsidRPr="00FF756A">
        <w:t>”</w:t>
      </w:r>
      <w:r w:rsidR="00900148" w:rsidRPr="00FF756A">
        <w:t>;</w:t>
      </w:r>
    </w:p>
    <w:p w14:paraId="6439EF4D" w14:textId="5E4669B8"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Vendimi i Bordit të Komisionerëve nr. 38, datë 27.2.2020, “</w:t>
      </w:r>
      <w:r w:rsidRPr="00FF756A">
        <w:rPr>
          <w:i/>
          <w:iCs/>
        </w:rPr>
        <w:t>Për miratimin e metodologjisë së përcaktimit të tarifës së shitjes së gazit natyror nga furnizuesi i mundësisë së fundit</w:t>
      </w:r>
      <w:r w:rsidRPr="00FF756A">
        <w:t>”</w:t>
      </w:r>
      <w:r w:rsidR="00900148" w:rsidRPr="00FF756A">
        <w:t>;</w:t>
      </w:r>
    </w:p>
    <w:p w14:paraId="1D9E505D" w14:textId="11BBE439"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Vendimi i Bordit të Komisionerëve nr. 51, datë 26.3.2020, “</w:t>
      </w:r>
      <w:r w:rsidRPr="00FF756A">
        <w:rPr>
          <w:i/>
          <w:iCs/>
        </w:rPr>
        <w:t>Për disa ndryshime të përkohshme në procedurat e licencimit në ushtrimin e veprimtarive në sektorin e energjisë elektrike dhe gazit natyror në kuadër të masave të marra pas shfaqjes së virusit Covid-19 dhe shpalljes së gjendjes së fatkeqësisë natyrore në vendin tonë</w:t>
      </w:r>
      <w:r w:rsidRPr="00FF756A">
        <w:t>”</w:t>
      </w:r>
      <w:r w:rsidR="00900148" w:rsidRPr="00FF756A">
        <w:t>;</w:t>
      </w:r>
    </w:p>
    <w:p w14:paraId="5D7DCF22" w14:textId="4E52A504"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Vendimi i Bordit të Komisionerëve nr. 68, datë 22.4.2020, “</w:t>
      </w:r>
      <w:r w:rsidRPr="00FF756A">
        <w:rPr>
          <w:i/>
          <w:iCs/>
        </w:rPr>
        <w:t>Për miratimin e “Kodit të Rrjetit të Transmetimit të Gazit Natyror në Shqipëri”</w:t>
      </w:r>
      <w:r w:rsidR="00900148" w:rsidRPr="00FF756A">
        <w:t>;</w:t>
      </w:r>
    </w:p>
    <w:p w14:paraId="3E8032E7" w14:textId="539156E1"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Vendimi i Bordit të Komisionerëve nr. 103, datë 24.6.2020, “</w:t>
      </w:r>
      <w:r w:rsidRPr="00FF756A">
        <w:rPr>
          <w:i/>
          <w:iCs/>
        </w:rPr>
        <w:t>Për të licencuarit në sektorin e energjisë elektrike dhe gazit natyror të cilët nuk kanë paguar tarifa rregullatore</w:t>
      </w:r>
      <w:r w:rsidRPr="00FF756A">
        <w:t>”</w:t>
      </w:r>
      <w:r w:rsidR="00900148" w:rsidRPr="00FF756A">
        <w:t>;</w:t>
      </w:r>
    </w:p>
    <w:p w14:paraId="572DA2CE" w14:textId="174D6984"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Vendimi i Bordit të Komisionerëve nr. 133, datë 10.8.2020, “</w:t>
      </w:r>
      <w:r w:rsidRPr="00FF756A">
        <w:rPr>
          <w:i/>
          <w:iCs/>
        </w:rPr>
        <w:t>Për disa ndryshime në vendimin e Bordit të ERES-s nr. 51, datë 26.3.2020 “Për disa ndryshime të përkohshme në procedurat e licencimit në ushtrimin e veprimtarive në sektorin e energjisë elektrike dhe gazit natyror në kuadër të masave të marra pas shfaqjes së virusit Covid-19 dhe shpalljes së gjendjes së fatkeqësisë natyrore në vendin tonë</w:t>
      </w:r>
      <w:r w:rsidRPr="00FF756A">
        <w:t>”</w:t>
      </w:r>
      <w:r w:rsidR="00900148" w:rsidRPr="00FF756A">
        <w:t>;</w:t>
      </w:r>
    </w:p>
    <w:p w14:paraId="0CCB9F57" w14:textId="48B39AE0"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Vendimi i Bordit të Komisionerëve nr. 145, datë 28.8.2020, “</w:t>
      </w:r>
      <w:r w:rsidRPr="00FF756A">
        <w:rPr>
          <w:i/>
          <w:iCs/>
        </w:rPr>
        <w:t>Për fillimin e procedurës për miratimin e draftit të “Kushteve të përgjithshme të kontratës tip të furnizimit me gaz natyror për klientët fundorë që përfitojnë nga shërbimi publik i furnizimit</w:t>
      </w:r>
      <w:r w:rsidRPr="00FF756A">
        <w:t>”</w:t>
      </w:r>
      <w:r w:rsidR="00900148" w:rsidRPr="00FF756A">
        <w:t>;</w:t>
      </w:r>
    </w:p>
    <w:p w14:paraId="7AAC92A9" w14:textId="0E46E534"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Vendimi i Bordit të Komisionerëve nr. 148, datë 10.9.2020, “</w:t>
      </w:r>
      <w:r w:rsidRPr="00FF756A">
        <w:rPr>
          <w:i/>
          <w:iCs/>
        </w:rPr>
        <w:t>Për fillimin e procedurës për shqyrtimin dhe miratimin e Rregullores“ Për procedurat për dhënien e së drejtës së përjashtimit për infrastrukturën e re të gazit natyror</w:t>
      </w:r>
      <w:r w:rsidRPr="00FF756A">
        <w:t>”</w:t>
      </w:r>
      <w:r w:rsidR="00900148" w:rsidRPr="00FF756A">
        <w:t>;</w:t>
      </w:r>
    </w:p>
    <w:p w14:paraId="4983573A" w14:textId="476F7373"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Vendimi i Bordit të Komisionerëve nr. 164, datë 22.10.2020, “</w:t>
      </w:r>
      <w:r w:rsidRPr="00FF756A">
        <w:rPr>
          <w:i/>
          <w:iCs/>
        </w:rPr>
        <w:t>Për fillimin e procedurës për miratimin e “Rregullave për monitorimin e tregut të gazit natyror</w:t>
      </w:r>
      <w:r w:rsidRPr="00FF756A">
        <w:t>”</w:t>
      </w:r>
      <w:r w:rsidR="00900148" w:rsidRPr="00FF756A">
        <w:t>;</w:t>
      </w:r>
    </w:p>
    <w:p w14:paraId="4EB63365" w14:textId="0215467C"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Vendimi i Bordit të Komisionerëve nr. 165, datë 22.10.2020, “</w:t>
      </w:r>
      <w:r w:rsidRPr="00FF756A">
        <w:rPr>
          <w:i/>
          <w:iCs/>
        </w:rPr>
        <w:t>Për fillimin e procedurës për miratimin e “Kodit të Matjes së Gazit Natyror</w:t>
      </w:r>
      <w:r w:rsidRPr="00FF756A">
        <w:t>”</w:t>
      </w:r>
      <w:r w:rsidR="00900148" w:rsidRPr="00FF756A">
        <w:t>;</w:t>
      </w:r>
    </w:p>
    <w:p w14:paraId="3EDE960A" w14:textId="09BEDA12"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Vendimi i Bordit të Komisionerëve nr. 166, datë 22.10.2020, “</w:t>
      </w:r>
      <w:r w:rsidRPr="00FF756A">
        <w:rPr>
          <w:i/>
          <w:iCs/>
        </w:rPr>
        <w:t>Për miratimin e “Kushteve të përgjithshme të kontratës tip të furnizimit me gaz natyror për klientët fundorë që përfitojnë nga shërbimi publik i furnizimit</w:t>
      </w:r>
      <w:r w:rsidRPr="00FF756A">
        <w:t>”</w:t>
      </w:r>
      <w:r w:rsidR="00900148" w:rsidRPr="00FF756A">
        <w:t>;</w:t>
      </w:r>
    </w:p>
    <w:p w14:paraId="7C2ECA22" w14:textId="79C0A054"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Vendimi i Bordit të Komisionerëve nr.193, datë 20.11. 2020, “</w:t>
      </w:r>
      <w:r w:rsidRPr="00FF756A">
        <w:rPr>
          <w:i/>
          <w:iCs/>
        </w:rPr>
        <w:t>Për fillimin e procedurës për miratimin e licencës tip për veprimtarinë e operimit në hapësirat e depozitimit të gazit natyror</w:t>
      </w:r>
      <w:r w:rsidR="00900148" w:rsidRPr="00FF756A">
        <w:t>;</w:t>
      </w:r>
    </w:p>
    <w:p w14:paraId="2A0D65A7" w14:textId="4B879012"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Vendimi i Bordit të Komisionerëve nr. 204, datë 4.12.2020, “</w:t>
      </w:r>
      <w:r w:rsidRPr="00FF756A">
        <w:rPr>
          <w:i/>
          <w:iCs/>
        </w:rPr>
        <w:t xml:space="preserve"> Për fillimin e procedurës për miratimin e Rregullores “Për përcaktimin e kritereve në ushtrimin e aktivitetit të depozitimit të gazit natyror</w:t>
      </w:r>
      <w:r w:rsidRPr="00FF756A">
        <w:t>”</w:t>
      </w:r>
      <w:r w:rsidR="00900148" w:rsidRPr="00FF756A">
        <w:t>;</w:t>
      </w:r>
    </w:p>
    <w:p w14:paraId="5F016F57" w14:textId="0392B127"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lastRenderedPageBreak/>
        <w:t>Vendimi i Bordit të Komisionerëve nr. 218, datë 15.12.2020, “</w:t>
      </w:r>
      <w:r w:rsidRPr="00FF756A">
        <w:rPr>
          <w:i/>
          <w:iCs/>
        </w:rPr>
        <w:t>Për fillimin e procedurës për miratimin e standardeve të trajtimit të ankesave të klientëve të energjisë elektrike dhe gazit natyror nga të licencuarit në aktivitetin e furnizimit</w:t>
      </w:r>
      <w:r w:rsidRPr="00FF756A">
        <w:t>”</w:t>
      </w:r>
      <w:r w:rsidR="00900148" w:rsidRPr="00FF756A">
        <w:t>;</w:t>
      </w:r>
    </w:p>
    <w:p w14:paraId="551934DF" w14:textId="5F9627A8"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Vendimi i Bordit të Komisionerëve nr. 265, datë 28.12.2020, “</w:t>
      </w:r>
      <w:r w:rsidRPr="00FF756A">
        <w:rPr>
          <w:i/>
          <w:iCs/>
        </w:rPr>
        <w:t>Për miratimin e "Rregullave për monitorimin e tregut të gazit natyror në Shqipëri</w:t>
      </w:r>
      <w:r w:rsidRPr="00FF756A">
        <w:t>”</w:t>
      </w:r>
      <w:r w:rsidR="00900148" w:rsidRPr="00FF756A">
        <w:t>;</w:t>
      </w:r>
    </w:p>
    <w:p w14:paraId="430E27CD" w14:textId="6DD3B4C4"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Vendimi i Bordit të Komisionerëve nr. 267, datë 28.12.2020, “</w:t>
      </w:r>
      <w:r w:rsidRPr="00FF756A">
        <w:rPr>
          <w:i/>
          <w:iCs/>
        </w:rPr>
        <w:t>Për fillimin e procedurës për miratimin e “Kushteve për të licencuarin e ngarkuar me detyrimin e shërbimit publik për sektorin e gazit natyror” në Shqipëri</w:t>
      </w:r>
      <w:r w:rsidRPr="00FF756A">
        <w:t>”</w:t>
      </w:r>
      <w:r w:rsidR="00900148" w:rsidRPr="00FF756A">
        <w:t>;</w:t>
      </w:r>
    </w:p>
    <w:p w14:paraId="1119C6AE" w14:textId="7A0B6162"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Vendimi i Bordit të Komisionerëve nr. 268, datë 28.12.2020, “</w:t>
      </w:r>
      <w:r w:rsidRPr="00FF756A">
        <w:rPr>
          <w:i/>
          <w:iCs/>
        </w:rPr>
        <w:t>Për fillimin e procedurës për miratimin e “Rregullave të përdorimit të terminalit të gazit natyror të lëngshëm (GNL)” në Shqipëri</w:t>
      </w:r>
      <w:r w:rsidRPr="00FF756A">
        <w:t>”</w:t>
      </w:r>
      <w:r w:rsidR="00900148" w:rsidRPr="00FF756A">
        <w:t>;</w:t>
      </w:r>
    </w:p>
    <w:p w14:paraId="24E7C792" w14:textId="6DCAC5F3"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Vendimi i Bordit të Komisionerëve Nr. 269, datë 28.12.2020 “</w:t>
      </w:r>
      <w:r w:rsidRPr="00FF756A">
        <w:rPr>
          <w:i/>
          <w:iCs/>
        </w:rPr>
        <w:t>Për fillimin e procedurës për miratimin e“Metodologjisë së llogaritjes së tarifës për shërbimin e rigazifikimit nga impiantet e GNL” në Shqipëri</w:t>
      </w:r>
      <w:r w:rsidRPr="00FF756A">
        <w:t>”</w:t>
      </w:r>
      <w:r w:rsidR="00900148" w:rsidRPr="00FF756A">
        <w:t>;</w:t>
      </w:r>
    </w:p>
    <w:p w14:paraId="6ADFF504" w14:textId="0E18FE4D"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Vendimi i Bordit të Komisionerëve nr. 6, datë 15.1.2021 “</w:t>
      </w:r>
      <w:r w:rsidRPr="00FF756A">
        <w:rPr>
          <w:i/>
          <w:iCs/>
        </w:rPr>
        <w:t>Për kërkesën e shoqërisë Albgaz për shtyrjen e afateve të përcaktuara në rregulloren e kritereve standarde dhe kërkesave minimale të cilësisë së shërbimit dhe furnizimit të rrjeteve të gazit natyror, miratuar me vendimin e bordit të ERE nr. 100/2019</w:t>
      </w:r>
      <w:r w:rsidRPr="00FF756A">
        <w:t>”</w:t>
      </w:r>
      <w:r w:rsidR="00900148" w:rsidRPr="00FF756A">
        <w:t>;</w:t>
      </w:r>
    </w:p>
    <w:p w14:paraId="2CC79783" w14:textId="3EE27AB1"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 xml:space="preserve">Vendimi i Bordit të Komisionerëve nr. 7, datë 15.1.2021, </w:t>
      </w:r>
      <w:r w:rsidRPr="00FF756A">
        <w:rPr>
          <w:i/>
          <w:iCs/>
        </w:rPr>
        <w:t>“Për miratimin e formularit te përditësuar të ankesave të klientëve të energjisë elektrike dhe gazit natyror</w:t>
      </w:r>
      <w:r w:rsidRPr="00FF756A">
        <w:t>”</w:t>
      </w:r>
      <w:r w:rsidR="00900148" w:rsidRPr="00FF756A">
        <w:t>;</w:t>
      </w:r>
    </w:p>
    <w:p w14:paraId="000C3637" w14:textId="50DAD138"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 xml:space="preserve">Vendimi i Bordit të Komisionerëve nr. 59, datë 25.2.2021, </w:t>
      </w:r>
      <w:r w:rsidRPr="00FF756A">
        <w:rPr>
          <w:i/>
          <w:iCs/>
        </w:rPr>
        <w:t xml:space="preserve"> “Për miratimin e licencës tip për veprimtarinë e operimit në hapësirat e depozitimit të gazit natyror</w:t>
      </w:r>
      <w:r w:rsidRPr="00FF756A">
        <w:t>”</w:t>
      </w:r>
      <w:r w:rsidR="00900148" w:rsidRPr="00FF756A">
        <w:t>;</w:t>
      </w:r>
    </w:p>
    <w:p w14:paraId="6F88833E" w14:textId="03300CEC"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Vendimi i Bordit të Komisionerëve nr. 60, datë 25.2.2021 “</w:t>
      </w:r>
      <w:r w:rsidRPr="00FF756A">
        <w:rPr>
          <w:i/>
          <w:iCs/>
        </w:rPr>
        <w:t>Për miratimin e standardeve të trajtimit të ankesave të klientëve të energjisë elektrike dhe gazit natyror nga të licencuarit në aktivitetin e furnizimit</w:t>
      </w:r>
      <w:r w:rsidRPr="00FF756A">
        <w:t>”</w:t>
      </w:r>
      <w:r w:rsidR="00900148" w:rsidRPr="00FF756A">
        <w:t>;</w:t>
      </w:r>
    </w:p>
    <w:p w14:paraId="631FC241" w14:textId="62085753"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Vendimi i Bordit të Komisionerëve nr.72, datë 12.3.2021, “</w:t>
      </w:r>
      <w:r w:rsidRPr="00FF756A">
        <w:rPr>
          <w:i/>
          <w:iCs/>
        </w:rPr>
        <w:t>Për miratimin e “Rregullave operacionale për furnizuesin e ngarkuar me detyrimin e shërbimit publik për sektorin e gazit natyror</w:t>
      </w:r>
      <w:r w:rsidRPr="00FF756A">
        <w:t>”</w:t>
      </w:r>
      <w:r w:rsidR="001E2DC7" w:rsidRPr="00FF756A">
        <w:t>;</w:t>
      </w:r>
    </w:p>
    <w:p w14:paraId="546C3245" w14:textId="70C5F281" w:rsidR="00A74B34" w:rsidRPr="00FF756A" w:rsidRDefault="00A74B34">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426"/>
        <w:rPr>
          <w:rFonts w:eastAsia="Times New Roman"/>
        </w:rPr>
      </w:pPr>
      <w:r w:rsidRPr="00FF756A">
        <w:t>Vendimi i Bordit të Komisionerëve nr.73, datë 12.3.2021, “</w:t>
      </w:r>
      <w:r w:rsidRPr="00FF756A">
        <w:rPr>
          <w:i/>
          <w:iCs/>
        </w:rPr>
        <w:t>Për miratimin e rregullores mbi procedurat për dhënien e të drejtës së përjashtimit për infrastrukturën e re të gazit natyror</w:t>
      </w:r>
      <w:r w:rsidRPr="00FF756A">
        <w:t>”</w:t>
      </w:r>
      <w:r w:rsidR="001E2DC7" w:rsidRPr="00FF756A">
        <w:t>;</w:t>
      </w:r>
    </w:p>
    <w:p w14:paraId="2745E62D" w14:textId="74F521D7" w:rsidR="00A74B34" w:rsidRPr="00FF756A" w:rsidRDefault="00414FDC">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360"/>
        <w:rPr>
          <w:rFonts w:eastAsia="Times New Roman"/>
        </w:rPr>
      </w:pPr>
      <w:r w:rsidRPr="00FF756A">
        <w:t>VKM nr. 590, datë 9.10.2018, “</w:t>
      </w:r>
      <w:r w:rsidRPr="00FF756A">
        <w:rPr>
          <w:i/>
          <w:iCs/>
        </w:rPr>
        <w:t>Për miratimin e modelit të tregut të gazit natyror</w:t>
      </w:r>
      <w:r w:rsidRPr="00FF756A">
        <w:t>”</w:t>
      </w:r>
      <w:r w:rsidR="001E2DC7" w:rsidRPr="00FF756A">
        <w:t>;</w:t>
      </w:r>
    </w:p>
    <w:p w14:paraId="2E1314FF" w14:textId="2FD323E9" w:rsidR="00414FDC" w:rsidRPr="00FF756A" w:rsidRDefault="00414FDC">
      <w:pPr>
        <w:numPr>
          <w:ilvl w:val="0"/>
          <w:numId w:val="26"/>
        </w:numPr>
        <w:pBdr>
          <w:top w:val="none" w:sz="0" w:space="0" w:color="auto"/>
          <w:left w:val="none" w:sz="0" w:space="0" w:color="auto"/>
          <w:bottom w:val="none" w:sz="0" w:space="0" w:color="auto"/>
          <w:right w:val="none" w:sz="0" w:space="0" w:color="auto"/>
          <w:between w:val="none" w:sz="0" w:space="0" w:color="auto"/>
        </w:pBdr>
        <w:spacing w:before="40" w:after="40"/>
        <w:ind w:left="360"/>
        <w:rPr>
          <w:rFonts w:eastAsia="Times New Roman"/>
        </w:rPr>
      </w:pPr>
      <w:r w:rsidRPr="00FF756A">
        <w:t>VKM nr. 69/2018, datë 7.2.2018, “</w:t>
      </w:r>
      <w:r w:rsidRPr="00FF756A">
        <w:rPr>
          <w:i/>
          <w:iCs/>
        </w:rPr>
        <w:t>Për miratimin e kushteve dhe procedurave për përcaktimin e furnizuesit të mundësisë së fundit me gaz natyror</w:t>
      </w:r>
      <w:r w:rsidRPr="00FF756A">
        <w:t>”</w:t>
      </w:r>
      <w:r w:rsidR="001E2DC7" w:rsidRPr="00FF756A">
        <w:t>;</w:t>
      </w:r>
    </w:p>
    <w:p w14:paraId="5A3AE905" w14:textId="77777777" w:rsidR="000F3516" w:rsidRDefault="000F3516" w:rsidP="005C2D40">
      <w:pPr>
        <w:spacing w:before="40" w:after="40"/>
      </w:pPr>
    </w:p>
    <w:p w14:paraId="4ED5290C" w14:textId="285D28A0" w:rsidR="0000663D" w:rsidRPr="000F3516" w:rsidRDefault="000F3516" w:rsidP="005C2D40">
      <w:pPr>
        <w:spacing w:before="40" w:after="40"/>
      </w:pPr>
      <w:r>
        <w:t>Gjithashtu, k</w:t>
      </w:r>
      <w:r w:rsidR="004950D9" w:rsidRPr="00FF756A">
        <w:t xml:space="preserve">a në fuqi </w:t>
      </w:r>
      <w:r w:rsidR="001E2DC7" w:rsidRPr="00FF756A">
        <w:t xml:space="preserve">një </w:t>
      </w:r>
      <w:r w:rsidR="004950D9" w:rsidRPr="00FF756A">
        <w:t>VKM për projektimin teknik, ndërtimin dhe operimin e sistemeve të transmetimit dhe shpërndarjes së gazit natyror, instalimet e GNL-së, objektet e magazinimit dhe linjat e drejtpërdrejta.</w:t>
      </w:r>
      <w:r>
        <w:t xml:space="preserve"> </w:t>
      </w:r>
      <w:r w:rsidR="0000663D" w:rsidRPr="00FF756A">
        <w:t>Lidhur me përafrimin me</w:t>
      </w:r>
      <w:r>
        <w:t xml:space="preserve"> </w:t>
      </w:r>
      <w:r w:rsidR="0000663D" w:rsidRPr="00FF756A">
        <w:t>legjislacioni</w:t>
      </w:r>
      <w:r>
        <w:t>n e</w:t>
      </w:r>
      <w:r w:rsidR="0000663D" w:rsidRPr="00FF756A">
        <w:t xml:space="preserve"> BE-së për gazin, Bordi i Komisionerëve të ERE-s miratoi aktet ligjore si më poshtë:</w:t>
      </w:r>
    </w:p>
    <w:p w14:paraId="629480A2" w14:textId="77777777" w:rsidR="0000663D" w:rsidRPr="00FF756A" w:rsidRDefault="0000663D" w:rsidP="008639B2">
      <w:pPr>
        <w:pStyle w:val="ListParagraph"/>
        <w:numPr>
          <w:ilvl w:val="0"/>
          <w:numId w:val="52"/>
        </w:numPr>
        <w:pBdr>
          <w:top w:val="none" w:sz="0" w:space="0" w:color="auto"/>
          <w:left w:val="none" w:sz="0" w:space="0" w:color="auto"/>
          <w:bottom w:val="none" w:sz="0" w:space="0" w:color="auto"/>
          <w:right w:val="none" w:sz="0" w:space="0" w:color="auto"/>
          <w:between w:val="none" w:sz="0" w:space="0" w:color="auto"/>
        </w:pBdr>
        <w:spacing w:before="40" w:after="40"/>
        <w:rPr>
          <w:rFonts w:eastAsia="Calibri"/>
        </w:rPr>
      </w:pPr>
      <w:r w:rsidRPr="00FF756A">
        <w:t>Vendimi i Bordit të Komisionerëve nr. 229, datë 15.11.2021, “Për miratimin e metodologjisë së llogaritjes së tarifës për shërbimin e rigazifikimit për operatorin e sistemit të GNL-së”;</w:t>
      </w:r>
    </w:p>
    <w:p w14:paraId="7617A76E" w14:textId="77777777" w:rsidR="0000663D" w:rsidRPr="00FF756A" w:rsidRDefault="0000663D" w:rsidP="008639B2">
      <w:pPr>
        <w:pStyle w:val="ListParagraph"/>
        <w:numPr>
          <w:ilvl w:val="0"/>
          <w:numId w:val="52"/>
        </w:numPr>
        <w:pBdr>
          <w:top w:val="none" w:sz="0" w:space="0" w:color="auto"/>
          <w:left w:val="none" w:sz="0" w:space="0" w:color="auto"/>
          <w:bottom w:val="none" w:sz="0" w:space="0" w:color="auto"/>
          <w:right w:val="none" w:sz="0" w:space="0" w:color="auto"/>
          <w:between w:val="none" w:sz="0" w:space="0" w:color="auto"/>
        </w:pBdr>
        <w:spacing w:before="40" w:after="40"/>
        <w:rPr>
          <w:rFonts w:eastAsia="Calibri"/>
        </w:rPr>
      </w:pPr>
      <w:r w:rsidRPr="00FF756A">
        <w:t>Vendimi i Bordit të Komisionerëve nr. 106, datë 19.5.2022, “Për miratimin e Rregullores “Për përdorimin e terminalit të gazit natyror të lëngshëm (GNL)”;</w:t>
      </w:r>
    </w:p>
    <w:p w14:paraId="047F2C56" w14:textId="77777777" w:rsidR="0000663D" w:rsidRPr="00FF756A" w:rsidRDefault="0000663D" w:rsidP="008639B2">
      <w:pPr>
        <w:pStyle w:val="ListParagraph"/>
        <w:numPr>
          <w:ilvl w:val="0"/>
          <w:numId w:val="52"/>
        </w:numPr>
        <w:pBdr>
          <w:top w:val="none" w:sz="0" w:space="0" w:color="auto"/>
          <w:left w:val="none" w:sz="0" w:space="0" w:color="auto"/>
          <w:bottom w:val="none" w:sz="0" w:space="0" w:color="auto"/>
          <w:right w:val="none" w:sz="0" w:space="0" w:color="auto"/>
          <w:between w:val="none" w:sz="0" w:space="0" w:color="auto"/>
        </w:pBdr>
        <w:spacing w:before="40" w:after="40"/>
        <w:rPr>
          <w:rFonts w:eastAsia="Calibri"/>
        </w:rPr>
      </w:pPr>
      <w:r w:rsidRPr="00FF756A">
        <w:t>Vendimi i Bordit të Komisionerëve nr. 185, datë 21.7.2022, “Për miratimin e metodologjisë së llogaritjes së tarifës për shërbimin e sistemit të depozitimit të gazit natyror”.</w:t>
      </w:r>
    </w:p>
    <w:p w14:paraId="1DD49F02" w14:textId="77777777" w:rsidR="0000663D" w:rsidRPr="00FF756A" w:rsidRDefault="0000663D" w:rsidP="005C2D40">
      <w:pPr>
        <w:spacing w:before="40" w:after="40"/>
        <w:rPr>
          <w:rFonts w:eastAsia="Times New Roman"/>
          <w:lang w:eastAsia="en-GB"/>
        </w:rPr>
      </w:pPr>
    </w:p>
    <w:p w14:paraId="00E4D94F" w14:textId="50A698A7" w:rsidR="0000663D" w:rsidRPr="00FF756A" w:rsidRDefault="0000663D" w:rsidP="005C2D40">
      <w:pPr>
        <w:spacing w:before="40" w:after="40"/>
        <w:rPr>
          <w:rFonts w:eastAsia="Times New Roman"/>
        </w:rPr>
      </w:pPr>
      <w:r w:rsidRPr="00FF756A">
        <w:lastRenderedPageBreak/>
        <w:t>Siç është raportuar më parë, Ligji nr. 102/2015, datë 23.9.2015, “Për sektorin e gazit natyror”, i ndryshuar, është ndryshuar me Ligjin nr. 81/2021, datë 24.6.2021, “Për disa shtesa dhe ndryshime në Ligjin nr. 102/2015, datë 23.9.2015 “Për sektorin e gazit natyror ”. Ligji nr. 81/2021, datë 24.6.2021, ka prezantuar dispozita të reja në lidhje me sigurinë e furnizimit me gaz.</w:t>
      </w:r>
    </w:p>
    <w:p w14:paraId="33F222E6" w14:textId="223B25B2" w:rsidR="0000663D" w:rsidRPr="00FF756A" w:rsidRDefault="0000663D" w:rsidP="005C2D40">
      <w:pPr>
        <w:spacing w:before="40" w:after="40"/>
      </w:pPr>
      <w:r w:rsidRPr="00FF756A">
        <w:t>Bazuar në këto ndryshime që lidhen me sigurinë e furnizimit, si dhe në Rregulloren (BE) 2017/1938 të Parlamentit Evropian dhe të Këshillit, datë 25 tetor 2017, “Për masat për garantimin e sigurisë së furnizimit me gaz dhe për shfuqizimin e Rregullores (BE) nr. 994/2010”, është përgatitur projektvendimi i Këshillit të Ministrave “Për planin e emergjencës për gazin natyror në Republikën e Shqipërisë”.</w:t>
      </w:r>
    </w:p>
    <w:p w14:paraId="2240EA97" w14:textId="77777777" w:rsidR="00E04C32" w:rsidRPr="00FF756A" w:rsidRDefault="00E04C32" w:rsidP="005C2D40">
      <w:pPr>
        <w:spacing w:before="40" w:after="40"/>
        <w:rPr>
          <w:rFonts w:eastAsia="Times New Roman"/>
        </w:rPr>
      </w:pPr>
    </w:p>
    <w:p w14:paraId="6B319237" w14:textId="77777777" w:rsidR="0000663D" w:rsidRPr="00FF756A" w:rsidRDefault="0000663D" w:rsidP="005C2D40">
      <w:pPr>
        <w:spacing w:before="40" w:after="40"/>
        <w:rPr>
          <w:rFonts w:eastAsia="Times New Roman"/>
        </w:rPr>
      </w:pPr>
      <w:r w:rsidRPr="00FF756A">
        <w:t>Gjithashtu, është përgatitur edhe Projektvendimi i Këshillit të Ministrave “Për miratimin e planit të veprimit parandalues për gazin natyror në Republikën e Shqipërisë” dhe Projektvendimi i Këshillit të Ministrave “Për miratimin e kritereve dhe procedurave për përfitimin e statusit të klientit në nevojë në furnizimin me gaz natyror dhe mënyrën e trajtimit të tyre”.</w:t>
      </w:r>
    </w:p>
    <w:p w14:paraId="484DB510" w14:textId="77777777" w:rsidR="0000663D" w:rsidRPr="00FF756A" w:rsidRDefault="0000663D" w:rsidP="005C2D40">
      <w:pPr>
        <w:spacing w:before="40" w:after="40"/>
        <w:rPr>
          <w:rFonts w:eastAsia="Times New Roman"/>
        </w:rPr>
      </w:pPr>
      <w:r w:rsidRPr="00FF756A">
        <w:t>Këto tri projektvendime të Këshillit të Ministrave iu paraqitën ministrive të linjës për opinion dhe komente. Aktualisht, komentet e tyre janë duke u reflektuar në projektvendimet e Këshillit të Ministrave.</w:t>
      </w:r>
    </w:p>
    <w:p w14:paraId="4797D84E" w14:textId="77777777" w:rsidR="0000663D" w:rsidRPr="00FF756A" w:rsidRDefault="0000663D" w:rsidP="005C2D40">
      <w:pPr>
        <w:spacing w:before="40" w:after="40"/>
      </w:pPr>
    </w:p>
    <w:p w14:paraId="009329B0" w14:textId="4C17C971" w:rsidR="00DA2EDE" w:rsidRPr="00FF756A" w:rsidRDefault="00DA2EDE" w:rsidP="005C2D40">
      <w:pPr>
        <w:spacing w:before="40" w:after="40"/>
      </w:pPr>
      <w:r w:rsidRPr="00FF756A">
        <w:t>Në tetor të vitit 2018, Shqipëria miratoi Modelin e Tregut të Gazit Natyror. U përcaktuan rregulla të përgjithshme mbi strukturimin e tregut të gazit natyror, të cilat konsistojnë në tregtimin dypalësh në tregun e gazit natyror të pakicës dhe shumicës, tregun e gazit natyror të ditës në avancë dhe tregun e balancimit të gazit natyror.</w:t>
      </w:r>
    </w:p>
    <w:p w14:paraId="439144C5" w14:textId="77777777" w:rsidR="00C6778C" w:rsidRPr="00FF756A" w:rsidRDefault="00C6778C" w:rsidP="00C6778C">
      <w:r w:rsidRPr="00FF756A">
        <w:t>Modeli i tregut të gazit kërkon miratimin e rregullave të balancimit të bazuara në treg nga operatori i sistemit të transmetimit. Tarifat për shërbimet e balancimit duhet të llogariten dhe të përcaktohen në përputhje me kushtet e bazuara në treg. Për gazin natyror duhet të krijohet një treg i ditës në avancë, duke përdorur një platformë të tregtimit të gazit natyror që lejon shitjet dhe blerjet anonime. Ky treg duhet të krijohet me vendim të Ministrisë së Infrastrukturës dhe Energjisë, në konsultim me ERE-në dhe grupe të tjera interesi.</w:t>
      </w:r>
    </w:p>
    <w:p w14:paraId="37080CD0" w14:textId="77777777" w:rsidR="00C6778C" w:rsidRPr="00FF756A" w:rsidRDefault="00C6778C" w:rsidP="00C6778C">
      <w:r w:rsidRPr="00FF756A">
        <w:t>Enti rregullator shqiptar miratoi një metodologji të tarifës së transmetimit për sektorin e gazit në nëntor të vitit 2017. ERE prezantoi një metodologji hyrje/dalje dhe përcaktoi tarifat sipas këtij modeli.</w:t>
      </w:r>
    </w:p>
    <w:p w14:paraId="4AE059D5" w14:textId="77777777" w:rsidR="00C6778C" w:rsidRPr="00FF756A" w:rsidRDefault="00C6778C" w:rsidP="00C6778C">
      <w:r w:rsidRPr="00FF756A">
        <w:t>Në përputhje me Paketën e Tretë të Energjisë, garantohet akses jodiskriminues në rrjetet e transmetimit dhe të shpërndarjes, si dhe në instalimet e GNL dhe në hapësirat e magazinimit. Një vendim i ERE ka transpozuar ndryshimet e shtojcës I të Rregullores (KE) 715/2009, të miratuar nga Komuniteti i Energjisë.</w:t>
      </w:r>
    </w:p>
    <w:p w14:paraId="1BE32B27" w14:textId="77777777" w:rsidR="00C6778C" w:rsidRPr="00FF756A" w:rsidRDefault="00C6778C" w:rsidP="00C6778C">
      <w:r w:rsidRPr="00FF756A">
        <w:t>Në përgjithësi, kodi i TAP përmban të gjitha pikat specifike dhe operacionalizon disa kërkesa të tjera nga vendimi për përjashtim. Për kapacitetet e pa përjashtuara, shërbimet e aksesit të palëve të treta të ofruara nga TAP, tregtimi i kapaciteteve dhe alokimi i kapaciteteve janë në përputhje me Rregulloren (KE) 715/2009, si dhe respektojnë në shkallë të konsiderueshme Kodin e Rrjetit për Mekanizmat e Alokimit të Kapaciteteve (Rregulloren (BE) 2017/459).</w:t>
      </w:r>
    </w:p>
    <w:p w14:paraId="7B7E9E71" w14:textId="30F03D4A" w:rsidR="00C6778C" w:rsidRPr="00FF756A" w:rsidRDefault="00C6778C" w:rsidP="004A3257">
      <w:r w:rsidRPr="00FF756A">
        <w:t xml:space="preserve">Për zhvillimin lidhur me ngritjen e kapaciteteve, Albgaz ka përfituar asistencë teknike nga BERZH, i cili po bashkëpunon ngushtë me Sekretariatin e Komunitetit të Energjisë. Albgaz së bashku me </w:t>
      </w:r>
      <w:r w:rsidRPr="00FF756A">
        <w:rPr>
          <w:i/>
          <w:iCs/>
        </w:rPr>
        <w:t>Economic Consulting Associates Ltd</w:t>
      </w:r>
      <w:r w:rsidRPr="00FF756A">
        <w:t xml:space="preserve"> hartuan një rregullore që do të rikonfiguronte Drejtorinë e Tregtisë dhe Marrëdhënieve Rregullatore, si dhe do të përmirësonte trajnimin e stafit me konceptet, praktikat dhe metodologjitë e duhura për zbatimin optimal dhe kompetent të përgjegjësive rregullatore. Albgaz në bashkëpunim me MJM Energy Ltd. ka ndërmarrë hartimin e Kodit të Rrjetit të Transmetimit, i cili më pas u miratua nga ERE.</w:t>
      </w:r>
    </w:p>
    <w:p w14:paraId="5047C99E" w14:textId="0B6C033F" w:rsidR="00C6778C" w:rsidRPr="00FF756A" w:rsidRDefault="00C6778C" w:rsidP="00C6778C">
      <w:r w:rsidRPr="00FF756A">
        <w:t>Figura 1</w:t>
      </w:r>
      <w:r w:rsidR="004D1EEE" w:rsidRPr="00FF756A">
        <w:t>6</w:t>
      </w:r>
      <w:r w:rsidRPr="00FF756A">
        <w:t xml:space="preserve"> tregon shkallën e zbatimit, në nivelin 44% në vitin 2023, sipas treguesve të tregut të gazit. </w:t>
      </w:r>
    </w:p>
    <w:p w14:paraId="1AB942E3" w14:textId="77777777" w:rsidR="00C6778C" w:rsidRPr="00FF756A" w:rsidRDefault="00C6778C" w:rsidP="005C2D40">
      <w:pPr>
        <w:spacing w:before="40" w:after="40"/>
      </w:pPr>
    </w:p>
    <w:p w14:paraId="0637CE21" w14:textId="77777777" w:rsidR="009733F6" w:rsidRPr="00FF756A" w:rsidRDefault="00C6778C" w:rsidP="009733F6">
      <w:pPr>
        <w:keepNext/>
      </w:pPr>
      <w:r w:rsidRPr="00FF756A">
        <w:rPr>
          <w:noProof/>
          <w:lang w:val="en-US"/>
        </w:rPr>
        <w:lastRenderedPageBreak/>
        <w:drawing>
          <wp:inline distT="0" distB="0" distL="0" distR="0" wp14:anchorId="5CF7DFDB" wp14:editId="716989A6">
            <wp:extent cx="5760720" cy="3903420"/>
            <wp:effectExtent l="19050" t="19050" r="11430" b="20955"/>
            <wp:docPr id="88884707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847074" name=""/>
                    <pic:cNvPicPr/>
                  </pic:nvPicPr>
                  <pic:blipFill rotWithShape="1">
                    <a:blip r:embed="rId34"/>
                    <a:srcRect t="10301"/>
                    <a:stretch/>
                  </pic:blipFill>
                  <pic:spPr bwMode="auto">
                    <a:xfrm>
                      <a:off x="0" y="0"/>
                      <a:ext cx="5760720" cy="390342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1F116054" w14:textId="06742EDD" w:rsidR="00024FB5" w:rsidRPr="00FF756A" w:rsidRDefault="009733F6" w:rsidP="009733F6">
      <w:pPr>
        <w:pStyle w:val="Caption"/>
        <w:rPr>
          <w:rFonts w:ascii="Times New Roman" w:hAnsi="Times New Roman"/>
        </w:rPr>
      </w:pPr>
      <w:bookmarkStart w:id="73" w:name="_Toc183016546"/>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4D1EEE" w:rsidRPr="00FF756A">
        <w:rPr>
          <w:rFonts w:ascii="Times New Roman" w:hAnsi="Times New Roman"/>
          <w:noProof/>
        </w:rPr>
        <w:t>16</w:t>
      </w:r>
      <w:r w:rsidR="008E7DE9" w:rsidRPr="00FF756A">
        <w:rPr>
          <w:rFonts w:ascii="Times New Roman" w:hAnsi="Times New Roman"/>
          <w:noProof/>
        </w:rPr>
        <w:fldChar w:fldCharType="end"/>
      </w:r>
      <w:r w:rsidRPr="00FF756A">
        <w:rPr>
          <w:rFonts w:ascii="Times New Roman" w:hAnsi="Times New Roman"/>
        </w:rPr>
        <w:t>: Zbatimi sipas treguesve të tregut të gazit (Burimi: Energy-community.org Statusi 2023)</w:t>
      </w:r>
      <w:bookmarkEnd w:id="73"/>
    </w:p>
    <w:p w14:paraId="44A35F4D" w14:textId="77777777" w:rsidR="00322BFF" w:rsidRPr="00FF756A" w:rsidRDefault="00322BFF" w:rsidP="00EF0D31"/>
    <w:p w14:paraId="6751EB08" w14:textId="7D5690C1" w:rsidR="00E4231D" w:rsidRPr="00FF756A" w:rsidRDefault="00E4231D" w:rsidP="00EF0D31">
      <w:pPr>
        <w:rPr>
          <w:b/>
          <w:bCs/>
        </w:rPr>
      </w:pPr>
      <w:r w:rsidRPr="00FF756A">
        <w:rPr>
          <w:b/>
          <w:bCs/>
        </w:rPr>
        <w:t>Ligji për gazin natyror</w:t>
      </w:r>
    </w:p>
    <w:p w14:paraId="1DE35100" w14:textId="7CFC26BC" w:rsidR="00DA2EDE" w:rsidRPr="00FF756A" w:rsidRDefault="00DA2EDE" w:rsidP="00EF0D31">
      <w:r w:rsidRPr="00FF756A">
        <w:t xml:space="preserve">Ligji për gazin natyror ka përcaktuar kriteret e kualifikimit për të gjithë klientët, në përputhje me paketën e tretë të energjisë. Të gjithë klientët janë të lirë të zgjedhin dhe të ndryshojnë furnizuesin e tyre të gazit. </w:t>
      </w:r>
    </w:p>
    <w:p w14:paraId="34A730BC" w14:textId="572CB8EC" w:rsidR="00DA2EDE" w:rsidRPr="00FF756A" w:rsidRDefault="00DA2EDE" w:rsidP="00EF0D31">
      <w:r w:rsidRPr="00FF756A">
        <w:t>Klientët familjarë dhe ndërmarrjet e vogla kanë të drejtën të furnizohen me gaz natyror me çmime të rregulluara nga furnizuesi i ngarkuar me detyrimin e shërbimit publik, dhe furniz</w:t>
      </w:r>
      <w:r w:rsidR="00E13BE0" w:rsidRPr="00FF756A">
        <w:t>imi</w:t>
      </w:r>
      <w:r w:rsidRPr="00FF756A">
        <w:t xml:space="preserve"> i mundësisë së fundit parashikohet për të gjithë klientët. Ligji ka transpozuar pjesën më të madhe të kërkesave të Direktivës 2009/73/KE lidhur me mbrojtjen e klientëve dhe klientët në nevojë. Megjithatë, kriteret dhe procedurat për përcaktimin e klientëve që kualifikohen si klientë në nevojë mbeten ende për t’u miratuar nga Këshilli i Ministrave. Plani i Emergjencës për Gazin Natyror është miratuar nga qeveria me asistencën e Sekretariatit të Komunitetit të Energjisë.</w:t>
      </w:r>
    </w:p>
    <w:p w14:paraId="0D057DEF" w14:textId="77777777" w:rsidR="00DA2EDE" w:rsidRPr="00FF756A" w:rsidRDefault="00DA2EDE" w:rsidP="00EF0D31">
      <w:r w:rsidRPr="00FF756A">
        <w:t>Rregullat e përgjithshme të procedurave për ndryshimin e furnizuesit të gazit natyror dhe kushtet e përgjithshme për furnizimin e gazit natyror janë miratuar nga ERE në korrik të vitit 2018, në përputhje me Paketën e Tretë të Energjisë.</w:t>
      </w:r>
    </w:p>
    <w:p w14:paraId="26BCE0F0" w14:textId="77777777" w:rsidR="00DA2EDE" w:rsidRPr="00FF756A" w:rsidRDefault="00DA2EDE" w:rsidP="00EF0D31">
      <w:r w:rsidRPr="00FF756A">
        <w:t>Ligji i vitit 2015 për gazin ka përcaktuar kërkesat për ndarje në përputhje me Paketën e Tretë të Energjisë. Këto dispozita janë plotësuar më pas me miratimin e mëvonshëm të rregullave të certifikimit.</w:t>
      </w:r>
    </w:p>
    <w:p w14:paraId="370E29FC" w14:textId="77777777" w:rsidR="00DA2EDE" w:rsidRPr="00FF756A" w:rsidRDefault="00DA2EDE" w:rsidP="00EF0D31">
      <w:r w:rsidRPr="00FF756A">
        <w:t>Të dy operatorët e sistemit të transmetimit janë të certifikuar – si Gazsjellësi Trans-Adriatik (TAP) AG, operatori i TAP në Shqipëri, ashtu dhe Albgaz, operatori i sistemit të transmetimit dhe shpërndarjes nën pronësi shtetërore.</w:t>
      </w:r>
    </w:p>
    <w:p w14:paraId="356D775F" w14:textId="1FC76D10" w:rsidR="00DA2EDE" w:rsidRPr="00FF756A" w:rsidRDefault="00DA2EDE" w:rsidP="00EF0D31">
      <w:r w:rsidRPr="00FF756A">
        <w:t>Problematikat lidhur me rregullsinë e procedurës së vendimmarrjes për certifikimin e Albgaz u kthyen në pikën kryesore të diskutimeve, veçanërisht në lidhje me operacionet e jashtme. Çështja do të trajtohet më tej nga Sekretariati i Komunitetit të Energjisë, në bashkëpunim me MIE dhe ERE. Miratimi i një zyrtari të pavarur të pajtueshmërisë ishte një hap në drejtimin e duhur, ndonëse i gjithë viti ka kaluar pa ndonjë zgjidhje të kënaqshme.</w:t>
      </w:r>
    </w:p>
    <w:p w14:paraId="779EDA9F" w14:textId="77777777" w:rsidR="004D1EEE" w:rsidRPr="00FF756A" w:rsidRDefault="004D1EEE">
      <w:pPr>
        <w:spacing w:line="240" w:lineRule="auto"/>
        <w:rPr>
          <w:b/>
        </w:rPr>
      </w:pPr>
    </w:p>
    <w:p w14:paraId="438954A6" w14:textId="75632567" w:rsidR="00DA2EDE" w:rsidRPr="00FF756A" w:rsidRDefault="00DA2EDE" w:rsidP="004A3257">
      <w:pPr>
        <w:spacing w:line="240" w:lineRule="auto"/>
        <w:rPr>
          <w:b/>
        </w:rPr>
      </w:pPr>
      <w:r w:rsidRPr="00FF756A">
        <w:rPr>
          <w:b/>
        </w:rPr>
        <w:t>Ligji për konkurrencën</w:t>
      </w:r>
    </w:p>
    <w:p w14:paraId="068135AE" w14:textId="6351FA3A" w:rsidR="00DA2EDE" w:rsidRPr="00FF756A" w:rsidRDefault="00DA2EDE" w:rsidP="004A3257">
      <w:pPr>
        <w:spacing w:line="240" w:lineRule="auto"/>
      </w:pPr>
      <w:r w:rsidRPr="00FF756A">
        <w:t xml:space="preserve">Ligji “Për mbrojtjen e konkurrencës” përmban dispozita që përkojnë me nenet 101, 102 dhe 106 të Traktatit për Funksionimin e Bashkimit Evropian. Gjatë periudhës së raportimit, </w:t>
      </w:r>
      <w:r w:rsidR="006E0F4B" w:rsidRPr="00FF756A">
        <w:t xml:space="preserve">janë </w:t>
      </w:r>
      <w:r w:rsidRPr="00FF756A">
        <w:t xml:space="preserve">miratuar </w:t>
      </w:r>
      <w:r w:rsidR="00001772" w:rsidRPr="00FF756A">
        <w:t>aktet nënligjore</w:t>
      </w:r>
      <w:r w:rsidRPr="00FF756A">
        <w:t xml:space="preserve"> lidhur me kufizimet e nevojshme në lidhje me përqendrimet dhe dëmet.</w:t>
      </w:r>
    </w:p>
    <w:p w14:paraId="25F511BB" w14:textId="77777777" w:rsidR="00DA2EDE" w:rsidRPr="00FF756A" w:rsidRDefault="00DA2EDE" w:rsidP="004A3257">
      <w:pPr>
        <w:spacing w:line="240" w:lineRule="auto"/>
      </w:pPr>
      <w:r w:rsidRPr="00FF756A">
        <w:t>Aktivitetet e Autoritetit Shqiptar të Konkurrencës (AK) në sektorin e energjisë fokusohen kryesisht mbi rekomandimet. Megjithatë, në mënyrë që të arrihet përmbushja e plotë e detyrimit sipas traktatit për zbatimin e tërësisë së legjislacionit mbi konkurrencën, nevojitet një veprimtari zbatuese më rigoroze nga ana e AK-së.</w:t>
      </w:r>
    </w:p>
    <w:p w14:paraId="45B5EB48" w14:textId="77777777" w:rsidR="00DA2EDE" w:rsidRPr="00FF756A" w:rsidRDefault="00DA2EDE" w:rsidP="006E0F4B">
      <w:pPr>
        <w:spacing w:line="240" w:lineRule="auto"/>
      </w:pPr>
      <w:r w:rsidRPr="00FF756A">
        <w:t>Bazuar në një ankesë të përcjellë nga Sekretariati i Komunitetit të Energjisë, AK-ja ka hetuar shkelje potenciale në treg lidhur me ruajtjen dhe devijimet e energjisë elektrike. Në vendimin e saj, AK-ja ka konstatuar se KESH-i ka abuzuar me pozitën e tij dominuese duke lidhur dy kontrata me GSA SHPK dhe EFT AG, dhe e ka detyruar KESH-in t’i zgjidhë këto kontrata.</w:t>
      </w:r>
    </w:p>
    <w:p w14:paraId="100B92E4" w14:textId="77777777" w:rsidR="00001772" w:rsidRPr="00FF756A" w:rsidRDefault="00001772" w:rsidP="004A3257">
      <w:pPr>
        <w:spacing w:line="240" w:lineRule="auto"/>
      </w:pPr>
    </w:p>
    <w:p w14:paraId="6F0FF368" w14:textId="2C5F9D74" w:rsidR="00DA2EDE" w:rsidRPr="00FF756A" w:rsidRDefault="00DA2EDE" w:rsidP="004A3257">
      <w:pPr>
        <w:spacing w:line="240" w:lineRule="auto"/>
        <w:rPr>
          <w:b/>
        </w:rPr>
      </w:pPr>
      <w:r w:rsidRPr="00FF756A">
        <w:rPr>
          <w:b/>
        </w:rPr>
        <w:t>Sistemi për tenderimin e kapaciteteve të reja prodh</w:t>
      </w:r>
      <w:r w:rsidR="00430370" w:rsidRPr="00FF756A">
        <w:rPr>
          <w:b/>
        </w:rPr>
        <w:t xml:space="preserve">uese </w:t>
      </w:r>
    </w:p>
    <w:p w14:paraId="51F9DD35" w14:textId="1A5EB4F8" w:rsidR="00DA2EDE" w:rsidRPr="00FF756A" w:rsidRDefault="00DA2EDE" w:rsidP="006E0F4B">
      <w:pPr>
        <w:spacing w:line="240" w:lineRule="auto"/>
      </w:pPr>
      <w:r w:rsidRPr="00FF756A">
        <w:t>Vendimi i Këshillit të Ministrave nr. 349, datë 12.6.2018, “Për miratimin e masave mbështetëse për nxitjen e përdorimit të energjisë elektrike nga burimet e rinovueshme të diellit dhe erës, si dhe të procedurave për përzgjedhjen e projekteve për përfitimin e tyre” është aktualisht në fuqi. Ky vendim përcakton masat mbështetëse për nxitjen e përdorimit të energjisë elektrike nga burimet e rinovueshme të diellit dhe të erës, si dhe procedurat për përzgjedhjen e projekteve që përfitojnë nga këto masa, sipas nenit 8, paragrafi 1 të Ligjit nr. 7/2017, datë 2.2.2017, “Për nxitjen e përdorimit të energjisë nga burimet e rinovueshme” dhe objektivave të Planit të Konsoliduar Kombëtar të Veprimit për Burimet e Rinovueshme të Energjisë 2019 – 2020.</w:t>
      </w:r>
    </w:p>
    <w:p w14:paraId="1E955551" w14:textId="77777777" w:rsidR="00001772" w:rsidRPr="00FF756A" w:rsidRDefault="00001772" w:rsidP="004A3257">
      <w:pPr>
        <w:spacing w:line="240" w:lineRule="auto"/>
      </w:pPr>
    </w:p>
    <w:p w14:paraId="79A820FA" w14:textId="77777777" w:rsidR="00DA2EDE" w:rsidRPr="00FF756A" w:rsidRDefault="00DA2EDE" w:rsidP="004A3257">
      <w:pPr>
        <w:spacing w:line="240" w:lineRule="auto"/>
        <w:rPr>
          <w:b/>
        </w:rPr>
      </w:pPr>
      <w:r w:rsidRPr="00FF756A">
        <w:rPr>
          <w:b/>
        </w:rPr>
        <w:t>Rregullorja (KE) 1099/2008 “Për statistikat e energjisë”</w:t>
      </w:r>
    </w:p>
    <w:p w14:paraId="62844305" w14:textId="02B76530" w:rsidR="00A35870" w:rsidRPr="00FF756A" w:rsidRDefault="006D73CF" w:rsidP="004A3257">
      <w:pPr>
        <w:spacing w:line="240" w:lineRule="auto"/>
      </w:pPr>
      <w:r w:rsidRPr="00FF756A">
        <w:t xml:space="preserve">Agjencia Kombëtare e Burimeve Natyrore (AKBN) në zbatim të Vendimit të Këshillit të Ministrave nr. 202, 1 </w:t>
      </w:r>
      <w:r w:rsidR="00D30B4A" w:rsidRPr="00FF756A">
        <w:t>p</w:t>
      </w:r>
      <w:r w:rsidRPr="00FF756A">
        <w:t>rill 2007, është institucioni përgjegjës për grumbullimin dhe përpunimin e të dhënave të energjisë si nga ana e ofertës ashtu edhe nga ajo e kërkesës</w:t>
      </w:r>
      <w:r w:rsidR="002200A9" w:rsidRPr="00FF756A">
        <w:t>.</w:t>
      </w:r>
      <w:r w:rsidRPr="00FF756A">
        <w:t xml:space="preserve"> AKB</w:t>
      </w:r>
      <w:r w:rsidR="00D30B4A" w:rsidRPr="00FF756A">
        <w:t>N-ja</w:t>
      </w:r>
      <w:r w:rsidRPr="00FF756A">
        <w:t xml:space="preserve"> ka përpiluar bilancet vjetore të energjisë dhe pyetësorët vjetorë; INSTAT</w:t>
      </w:r>
      <w:r w:rsidR="00D30B4A" w:rsidRPr="00FF756A">
        <w:t>-i</w:t>
      </w:r>
      <w:r w:rsidRPr="00FF756A">
        <w:t>, si institucion zyrtar statistikor, ka transmetuar periodikisht nëpërmjet Edamis, pyetësorët e Eurostat</w:t>
      </w:r>
      <w:r w:rsidR="002200A9" w:rsidRPr="00FF756A">
        <w:t>.</w:t>
      </w:r>
      <w:r w:rsidRPr="00FF756A">
        <w:t xml:space="preserve"> Në nivel kombëtar, INSTAT</w:t>
      </w:r>
      <w:r w:rsidR="00D30B4A" w:rsidRPr="00FF756A">
        <w:t>-i</w:t>
      </w:r>
      <w:r w:rsidRPr="00FF756A">
        <w:t xml:space="preserve"> publikon Bilancin e Energjisë Elektrike, i cili jep informacion statistikor për prodhimin vendas të energjisë elektrike, shkëmbimin e energjisë elektrike, humbjet elektrike dhe përdorimin e energjisë elektrike për konsum final në vendin tonë. </w:t>
      </w:r>
    </w:p>
    <w:p w14:paraId="011DF63A" w14:textId="50B192EA" w:rsidR="00A35870" w:rsidRPr="00FF756A" w:rsidRDefault="006D73CF" w:rsidP="004A3257">
      <w:pPr>
        <w:spacing w:line="240" w:lineRule="auto"/>
      </w:pPr>
      <w:r w:rsidRPr="00FF756A">
        <w:t xml:space="preserve">Duke filluar nga viti 2024, </w:t>
      </w:r>
      <w:r w:rsidR="001E0D5E" w:rsidRPr="00FF756A">
        <w:t>AKBN-ja</w:t>
      </w:r>
      <w:r w:rsidRPr="00FF756A">
        <w:t xml:space="preserve"> është kthyer në një agjenci statistikore. </w:t>
      </w:r>
    </w:p>
    <w:p w14:paraId="4E82B96F" w14:textId="2E27E95C" w:rsidR="003D2EA4" w:rsidRPr="00FF756A" w:rsidRDefault="006D73CF" w:rsidP="004A3257">
      <w:pPr>
        <w:spacing w:line="240" w:lineRule="auto"/>
      </w:pPr>
      <w:r w:rsidRPr="00FF756A">
        <w:t>Për sa i përket statistikave mujore, të dhënat e naftës, energjisë elektrike dhe gazit natyror janë të disponueshme dhe i transmetohen EUROSTAT-it duke respektuar afatet kohore të transmetimit</w:t>
      </w:r>
      <w:r w:rsidR="00A35870" w:rsidRPr="00FF756A">
        <w:t xml:space="preserve">. </w:t>
      </w:r>
      <w:r w:rsidRPr="00FF756A">
        <w:t>Të dhënat mujore të naftës, me përjashtim të rezervave të naftës, dorëzohen në EUROSTAT dhe në bazën e të dhënave JODI nëpërmjet Divizionit të Statistikave të OKB-së</w:t>
      </w:r>
      <w:r w:rsidR="00A35870" w:rsidRPr="00FF756A">
        <w:t xml:space="preserve">. </w:t>
      </w:r>
      <w:r w:rsidRPr="00FF756A">
        <w:t xml:space="preserve">Statistikat mujore të naftës të përcaktuara në Aneksin C të Rregullores (KE) 1099/2008, me synimin për të monitoruar detyrimet e ndërtimit të stokut sipas </w:t>
      </w:r>
      <w:r w:rsidR="001E0D5E" w:rsidRPr="00FF756A">
        <w:t>legjislacionit</w:t>
      </w:r>
      <w:r w:rsidRPr="00FF756A">
        <w:t xml:space="preserve"> të naftës, vazhdojnë të jenë problem</w:t>
      </w:r>
      <w:r w:rsidR="00C56F4C" w:rsidRPr="00FF756A">
        <w:t xml:space="preserve"> n</w:t>
      </w:r>
      <w:r w:rsidRPr="00FF756A">
        <w:t>ë mbledhjen e të dhënave.</w:t>
      </w:r>
      <w:r w:rsidR="00A35870" w:rsidRPr="00FF756A">
        <w:t xml:space="preserve"> </w:t>
      </w:r>
      <w:r w:rsidRPr="00FF756A">
        <w:t xml:space="preserve">Të dhënat mujore të qymyrit janë të disponueshme. </w:t>
      </w:r>
    </w:p>
    <w:p w14:paraId="307DF2CA" w14:textId="064341BA" w:rsidR="00990DF3" w:rsidRPr="00FF756A" w:rsidRDefault="006D73CF" w:rsidP="004A3257">
      <w:pPr>
        <w:spacing w:line="240" w:lineRule="auto"/>
        <w:rPr>
          <w:b/>
          <w:sz w:val="28"/>
          <w:szCs w:val="28"/>
        </w:rPr>
      </w:pPr>
      <w:r w:rsidRPr="00FF756A">
        <w:t xml:space="preserve">Në vitin 2020, </w:t>
      </w:r>
      <w:r w:rsidR="00C56F4C" w:rsidRPr="00FF756A">
        <w:t>AKBN-ja</w:t>
      </w:r>
      <w:r w:rsidRPr="00FF756A">
        <w:t xml:space="preserve"> filloi të mbledhë të dhëna për çmimet e ngarkuara për përdoruesit përfundimtarë industrialë, si dhe ndarjen e çmimeve të energjisë elektrike për komponentë në përputhje me Shtojcën II të Rregullores (BE) 2016/1952. Në vitin 2022, AKB</w:t>
      </w:r>
      <w:r w:rsidR="00C56F4C" w:rsidRPr="00FF756A">
        <w:t>N-ja</w:t>
      </w:r>
      <w:r w:rsidRPr="00FF756A">
        <w:t xml:space="preserve"> ka transmetuar statistika të detajuara për konsumin final të energjisë – Sektori i industrisë dhe statistika të detajuara për konsumin final të energjisë – Sektori i transportit. Statistikat e detajuara për konsumin final të energjisë – Sektori </w:t>
      </w:r>
      <w:r w:rsidR="00C56F4C" w:rsidRPr="00FF756A">
        <w:t xml:space="preserve">i </w:t>
      </w:r>
      <w:r w:rsidR="00387B59" w:rsidRPr="00FF756A">
        <w:t>tregtisë</w:t>
      </w:r>
      <w:r w:rsidRPr="00FF756A">
        <w:t xml:space="preserve"> dhe i shërbimeve publike</w:t>
      </w:r>
      <w:r w:rsidR="00387B59" w:rsidRPr="00FF756A">
        <w:t xml:space="preserve"> -</w:t>
      </w:r>
      <w:r w:rsidRPr="00FF756A">
        <w:t xml:space="preserve"> të dhënat nuk janë të disponueshme në detaje.</w:t>
      </w:r>
    </w:p>
    <w:p w14:paraId="781DD532" w14:textId="44F2C50A" w:rsidR="00E4231D" w:rsidRPr="00FF756A" w:rsidRDefault="00DA2EDE" w:rsidP="008639B2">
      <w:pPr>
        <w:pStyle w:val="Heading5"/>
        <w:numPr>
          <w:ilvl w:val="4"/>
          <w:numId w:val="54"/>
        </w:numPr>
        <w:rPr>
          <w:rFonts w:ascii="Times New Roman" w:hAnsi="Times New Roman" w:cs="Times New Roman"/>
          <w:sz w:val="22"/>
          <w:szCs w:val="22"/>
        </w:rPr>
      </w:pPr>
      <w:bookmarkStart w:id="74" w:name="_Toc183639183"/>
      <w:r w:rsidRPr="00FF756A">
        <w:rPr>
          <w:rFonts w:ascii="Times New Roman" w:hAnsi="Times New Roman" w:cs="Times New Roman"/>
          <w:sz w:val="22"/>
          <w:szCs w:val="22"/>
        </w:rPr>
        <w:t>Interkoneksioni i energjisë elektrike</w:t>
      </w:r>
      <w:bookmarkEnd w:id="74"/>
    </w:p>
    <w:p w14:paraId="61E655D6" w14:textId="45A33F61" w:rsidR="00077B44" w:rsidRPr="00FF756A" w:rsidRDefault="00DA2EDE" w:rsidP="00B23319">
      <w:pPr>
        <w:spacing w:before="40" w:after="40" w:line="240" w:lineRule="auto"/>
      </w:pPr>
      <w:r w:rsidRPr="00FF756A">
        <w:t xml:space="preserve">Sistemi i energjisë elektrike në Shqipëri është ndërlidhur me sistemet fqinje të Greqisë dhe Malit të Zi që prej vitit 2014, kur </w:t>
      </w:r>
      <w:bookmarkStart w:id="75" w:name="_Hlk45791813"/>
      <w:r w:rsidRPr="00FF756A">
        <w:t xml:space="preserve">Rrjeti Evropian i Operatorëve të Sistemit të Transmetimit (ENTSO-E) </w:t>
      </w:r>
      <w:bookmarkEnd w:id="75"/>
      <w:r w:rsidRPr="00FF756A">
        <w:t xml:space="preserve">miratoi </w:t>
      </w:r>
      <w:r w:rsidRPr="00FF756A">
        <w:lastRenderedPageBreak/>
        <w:t>operimin në sinkron të sistemit shqiptar të transmetimit të energjisë elektrike me sistemin kontinental evropian. Linja e interkoneksionit me Kosovën ka përfunduar në vitin 2016 dhe është funksionale që nga viti 2020, ndërsa interkoneksioni me Maqedoninë e Veriut është në ndërtim e sipër.</w:t>
      </w:r>
    </w:p>
    <w:p w14:paraId="55BA1160" w14:textId="77777777" w:rsidR="00B23319" w:rsidRPr="00FF756A" w:rsidRDefault="00B23319" w:rsidP="004A3257">
      <w:pPr>
        <w:spacing w:before="40" w:after="40" w:line="240" w:lineRule="auto"/>
      </w:pPr>
    </w:p>
    <w:p w14:paraId="036DA724" w14:textId="47ECD0CE" w:rsidR="00786E66" w:rsidRPr="00FF756A" w:rsidRDefault="00786E66" w:rsidP="00B23319">
      <w:pPr>
        <w:spacing w:before="40" w:after="40" w:line="240" w:lineRule="auto"/>
      </w:pPr>
      <w:r w:rsidRPr="00FF756A">
        <w:t xml:space="preserve">Niveli i </w:t>
      </w:r>
      <w:r w:rsidR="00B23319" w:rsidRPr="00FF756A">
        <w:t>h</w:t>
      </w:r>
      <w:r w:rsidRPr="00FF756A">
        <w:t>umbjeve në sistemin e transmetimit për vitin 2023 është 220 GWh ose 2,17 % e energjisë elektrike të transmetuar. Ky nivel i humbjeve në Sistemin e Transmetimit për vitin 2023 rezulton me rritje krahasuar me atë të vitit 2022, për faktin se niveli i humbjeve në Sistemin e Transmetimit është i lidhur me sasinë e energjisë elektrike të transmetuar edhe në nivelin e prodhimit të HEC-e</w:t>
      </w:r>
      <w:r w:rsidR="00346C7B" w:rsidRPr="00FF756A">
        <w:t>ve</w:t>
      </w:r>
      <w:r w:rsidRPr="00FF756A">
        <w:t xml:space="preserve"> në sistemin e transmetimit për vitin 2023 në vlerën 601 GWh krahasuar me periudhën 2022, fakt që ka dhënë ndikimin e tij në rritjen e humbjeve në sistemin e transmetimit.</w:t>
      </w:r>
    </w:p>
    <w:p w14:paraId="6F33BCC7" w14:textId="77777777" w:rsidR="00077B44" w:rsidRPr="00FF756A" w:rsidRDefault="00077B44" w:rsidP="004A3257">
      <w:pPr>
        <w:spacing w:before="40" w:after="40" w:line="240" w:lineRule="auto"/>
      </w:pPr>
    </w:p>
    <w:p w14:paraId="29AFAC8D" w14:textId="203A43B4" w:rsidR="00DA2EDE" w:rsidRPr="00FF756A" w:rsidRDefault="00DA2EDE" w:rsidP="004A3257">
      <w:pPr>
        <w:spacing w:before="40" w:after="40" w:line="240" w:lineRule="auto"/>
      </w:pPr>
      <w:r w:rsidRPr="00FF756A">
        <w:t xml:space="preserve">Aksesi i palëve të treta në sistemin e transmetimit dhe parashikimet lidhur me menaxhimin e </w:t>
      </w:r>
      <w:r w:rsidR="009B1D64" w:rsidRPr="00FF756A">
        <w:t xml:space="preserve">ngarkesës </w:t>
      </w:r>
      <w:r w:rsidRPr="00FF756A">
        <w:t xml:space="preserve">në linjat ndërkufitare janë në përputhje me tërësinë e legjislacionit të BE-së. Kapacitetet ndërkufitare të transmetimit në kufijtë me Malin e Zi, Kosovën dhe Greqinë alokohen përmes platformës rajonale të </w:t>
      </w:r>
      <w:bookmarkStart w:id="76" w:name="_Hlk45791880"/>
      <w:r w:rsidRPr="00FF756A">
        <w:t>Zyrës së Koordinuar të Ankandeve për Evropën Juglindore në Mal të Zi (SEE CAO).</w:t>
      </w:r>
    </w:p>
    <w:bookmarkEnd w:id="76"/>
    <w:p w14:paraId="588440D6" w14:textId="77777777" w:rsidR="00B06884" w:rsidRPr="00FF756A" w:rsidRDefault="00B06884">
      <w:pPr>
        <w:spacing w:before="40" w:after="40" w:line="240" w:lineRule="auto"/>
      </w:pPr>
    </w:p>
    <w:p w14:paraId="3DFEA740" w14:textId="36158743" w:rsidR="00DA2EDE" w:rsidRPr="00FF756A" w:rsidRDefault="00DA2EDE" w:rsidP="004A3257">
      <w:pPr>
        <w:spacing w:before="40" w:after="40" w:line="240" w:lineRule="auto"/>
      </w:pPr>
      <w:r w:rsidRPr="00FF756A">
        <w:t>Metodologjitë e llogaritjes së tarifave janë miratuar nga ERE, e cila në dhjetor të vitit 2018 miratoi tarifat për aksesin në rrjetet e transmetimit dhe të shpërndarjes dhe për furnizimin universal për vitin 2019. Çmimet kanë mbetur të pandryshuara krahasuar me periudhën e mëparshme. Rregullat dhe procedurat për ndërtimin e linjave direkte kanë qenë në fuqi që prej janarit të vitit 2017.</w:t>
      </w:r>
      <w:r w:rsidR="00077B44" w:rsidRPr="00FF756A">
        <w:t xml:space="preserve"> </w:t>
      </w:r>
      <w:r w:rsidRPr="00FF756A">
        <w:t>Një vonesë në ngritjen e ALPEX, bursës së energjisë elektrike, ka ngadalësuar nismën për ndërlidhjen e tregjeve të ditës në avancë të Shqipërisë dhe Kosovës.</w:t>
      </w:r>
    </w:p>
    <w:p w14:paraId="0E496EF1" w14:textId="77777777" w:rsidR="00077B44" w:rsidRPr="00FF756A" w:rsidRDefault="00077B44" w:rsidP="00826DB9">
      <w:pPr>
        <w:spacing w:before="40" w:after="40" w:line="240" w:lineRule="auto"/>
      </w:pPr>
    </w:p>
    <w:p w14:paraId="6D63150B" w14:textId="64579058" w:rsidR="00DA2EDE" w:rsidRPr="00FF756A" w:rsidRDefault="00DA2EDE" w:rsidP="00826DB9">
      <w:pPr>
        <w:spacing w:before="40" w:after="40" w:line="240" w:lineRule="auto"/>
      </w:pPr>
      <w:r w:rsidRPr="00FF756A">
        <w:t xml:space="preserve">Në mars të vitit 2019, </w:t>
      </w:r>
      <w:bookmarkStart w:id="77" w:name="_Hlk45792031"/>
      <w:r w:rsidRPr="00FF756A">
        <w:t>operatori i sistemit të transmetimit, OST</w:t>
      </w:r>
      <w:bookmarkEnd w:id="77"/>
      <w:r w:rsidRPr="00FF756A">
        <w:t xml:space="preserve">, nënshkroi një Memorandum Mirëkuptimi me </w:t>
      </w:r>
      <w:bookmarkStart w:id="78" w:name="_Hlk45792044"/>
      <w:bookmarkStart w:id="79" w:name="_Hlk45792060"/>
      <w:r w:rsidRPr="00FF756A">
        <w:t>operatorin e sistemit të transmetimit të Maqedonisë së Veriut, MEPSO</w:t>
      </w:r>
      <w:bookmarkEnd w:id="78"/>
      <w:r w:rsidRPr="00FF756A">
        <w:t>, dhe atë të Bullgarisë, ESO</w:t>
      </w:r>
      <w:bookmarkEnd w:id="79"/>
      <w:r w:rsidRPr="00FF756A">
        <w:t>, për zhvillimin e tregut të energjisë elektrike dhe fuqizimin e bashkëpunimit rajonal përmes asistencës së ndërsjellë. Operatorët shprehën gatishmërinë e tyre për të ndërlidhur tregjet e tyre kombëtare të ditës në avancë dhe realizimi i kësaj ndërlidhjeje varej nga përfundimi i linjës së interkoneksionit 400 kV midis Manastirit dhe Elbasanit.</w:t>
      </w:r>
    </w:p>
    <w:p w14:paraId="5D3C7EF6" w14:textId="77777777" w:rsidR="00437A97" w:rsidRPr="00FF756A" w:rsidRDefault="00437A97" w:rsidP="004A3257">
      <w:pPr>
        <w:spacing w:before="40" w:after="40" w:line="240" w:lineRule="auto"/>
      </w:pPr>
    </w:p>
    <w:p w14:paraId="0D2B3C30" w14:textId="77777777" w:rsidR="00DA2EDE" w:rsidRPr="00FF756A" w:rsidRDefault="00DA2EDE" w:rsidP="00826DB9">
      <w:pPr>
        <w:spacing w:before="40" w:after="40" w:line="240" w:lineRule="auto"/>
      </w:pPr>
      <w:r w:rsidRPr="00FF756A">
        <w:t>Një tjetër nismë për ndërlidhjen e tregjeve në fazat e hershme është ajo midis Shqipërisë, Italisë, Malit të Zi dhe Serbisë. Termat e referencës për projektin, të miratuara në janar të vitit 2018, kërkojnë si parakusht ekzistencën e bursave kombëtare të energjisë në të gjitha shtetet palë, si dhe një kuadër ligjor dhe kontraktual të konsoliduar dhe një mjedis rregullator koherent, pa barriera ndaj tregtisë. Deri më tani nuk është miratuar asnjë udhërrëfyes konkret për zbatimin e ndërlidhjes.</w:t>
      </w:r>
    </w:p>
    <w:p w14:paraId="4E4994FA" w14:textId="77777777" w:rsidR="00437A97" w:rsidRPr="00FF756A" w:rsidRDefault="00437A97" w:rsidP="004A3257">
      <w:pPr>
        <w:spacing w:before="40" w:after="40" w:line="240" w:lineRule="auto"/>
      </w:pPr>
    </w:p>
    <w:p w14:paraId="41909FC3" w14:textId="0110B12D" w:rsidR="00843C85" w:rsidRPr="00FF756A" w:rsidRDefault="00843C85" w:rsidP="00826DB9">
      <w:pPr>
        <w:spacing w:before="40" w:after="40" w:line="240" w:lineRule="auto"/>
      </w:pPr>
      <w:r w:rsidRPr="00FF756A">
        <w:t>Metodologjia e përbashkët për llogaritjen e kapaciteteve për "zonën</w:t>
      </w:r>
      <w:r w:rsidR="00B0175E" w:rsidRPr="00FF756A">
        <w:t xml:space="preserve"> 10</w:t>
      </w:r>
      <w:r w:rsidRPr="00FF756A">
        <w:t xml:space="preserve"> e llogaritjes së kapaciteteve </w:t>
      </w:r>
      <w:r w:rsidR="00B0175E" w:rsidRPr="00FF756A">
        <w:t>të fshehura</w:t>
      </w:r>
      <w:r w:rsidRPr="00FF756A">
        <w:t xml:space="preserve"> ", që përfshin Shqipërinë, është hartuar dhe zbatimi i saj është në pritje të një rekomandimi nga Bordi Rregullator i Komunitetit të Energjisë, i cili pritet të miratohet gjatë vitit 2019. OST ka nënshkruar një marrëveshje shërbimi me Qendrën e Koordinimit të Sigurisë (SCC) dhe ka filluar prokurimin e shërbimeve në qershor 2018.</w:t>
      </w:r>
    </w:p>
    <w:p w14:paraId="1704E289" w14:textId="77777777" w:rsidR="00B0175E" w:rsidRPr="00FF756A" w:rsidRDefault="00B0175E" w:rsidP="00826DB9">
      <w:pPr>
        <w:spacing w:before="40" w:after="40" w:line="240" w:lineRule="auto"/>
      </w:pPr>
    </w:p>
    <w:p w14:paraId="15DC69CB" w14:textId="1B041902" w:rsidR="00DA2EDE" w:rsidRPr="00FF756A" w:rsidRDefault="00DA2EDE" w:rsidP="004A3257">
      <w:pPr>
        <w:spacing w:before="40" w:after="40" w:line="240" w:lineRule="auto"/>
      </w:pPr>
      <w:r w:rsidRPr="00FF756A">
        <w:t xml:space="preserve">Në qershor të vitit 2016, ERE ka miratuar vendime për transpozimin e kodeve të rrjetit mbi lidhjen e kërkesës, kërkesat për gjeneruesit dhe </w:t>
      </w:r>
      <w:bookmarkStart w:id="80" w:name="_Hlk45792238"/>
      <w:r w:rsidRPr="00FF756A">
        <w:t>lidhjen e instalimeve me rrymë të vazhduar, me tension të lartë (HVDC</w:t>
      </w:r>
      <w:bookmarkEnd w:id="80"/>
      <w:r w:rsidRPr="00FF756A">
        <w:t xml:space="preserve">). Kriteret e </w:t>
      </w:r>
      <w:r w:rsidR="001D6DF6" w:rsidRPr="00FF756A">
        <w:t>përjashtimit</w:t>
      </w:r>
      <w:r w:rsidRPr="00FF756A">
        <w:t xml:space="preserve"> nuk janë publikuar dhe zbatimi nuk ka filluar ende.</w:t>
      </w:r>
    </w:p>
    <w:p w14:paraId="7BA9CF3F" w14:textId="77777777" w:rsidR="000F5258" w:rsidRPr="00FF756A" w:rsidRDefault="000F5258" w:rsidP="004A3257">
      <w:pPr>
        <w:spacing w:before="40" w:after="40" w:line="240" w:lineRule="auto"/>
      </w:pPr>
    </w:p>
    <w:p w14:paraId="32C1312E" w14:textId="77777777" w:rsidR="00DA2EDE" w:rsidRPr="00FF756A" w:rsidRDefault="00DA2EDE" w:rsidP="008639B2">
      <w:pPr>
        <w:pStyle w:val="Heading5"/>
        <w:numPr>
          <w:ilvl w:val="4"/>
          <w:numId w:val="54"/>
        </w:numPr>
        <w:rPr>
          <w:rFonts w:ascii="Times New Roman" w:hAnsi="Times New Roman" w:cs="Times New Roman"/>
          <w:sz w:val="22"/>
          <w:szCs w:val="22"/>
        </w:rPr>
      </w:pPr>
      <w:bookmarkStart w:id="81" w:name="_Toc183639184"/>
      <w:r w:rsidRPr="00FF756A">
        <w:rPr>
          <w:rFonts w:ascii="Times New Roman" w:hAnsi="Times New Roman" w:cs="Times New Roman"/>
          <w:sz w:val="22"/>
          <w:szCs w:val="22"/>
        </w:rPr>
        <w:t>Infrastruktura e transmetimit të energjisë</w:t>
      </w:r>
      <w:bookmarkEnd w:id="81"/>
    </w:p>
    <w:p w14:paraId="3324D6C8" w14:textId="77777777" w:rsidR="00B06884" w:rsidRPr="00FF756A" w:rsidRDefault="00B06884" w:rsidP="00B06884"/>
    <w:p w14:paraId="38887A2B" w14:textId="0721B4E1" w:rsidR="00DA2EDE" w:rsidRPr="00FF756A" w:rsidRDefault="00DA2EDE" w:rsidP="004A3257">
      <w:r w:rsidRPr="00FF756A">
        <w:t>Sektori i energjisë elektrike</w:t>
      </w:r>
    </w:p>
    <w:p w14:paraId="66C38FE5" w14:textId="77777777" w:rsidR="00DA2EDE" w:rsidRPr="00FF756A" w:rsidRDefault="00DA2EDE" w:rsidP="003E6C8D">
      <w:pPr>
        <w:spacing w:before="40" w:after="40"/>
      </w:pPr>
      <w:r w:rsidRPr="00FF756A">
        <w:t>Figura më poshtë tregon në paraqitje skematike strukturën e rrjetit të transmetimit në Shqipëri.</w:t>
      </w:r>
    </w:p>
    <w:p w14:paraId="5B46E0AD" w14:textId="77777777" w:rsidR="003E0B93" w:rsidRPr="00FF756A" w:rsidRDefault="00DA2EDE" w:rsidP="003E0B93">
      <w:pPr>
        <w:keepNext/>
        <w:spacing w:before="40" w:after="40"/>
        <w:jc w:val="center"/>
      </w:pPr>
      <w:r w:rsidRPr="00FF756A">
        <w:rPr>
          <w:noProof/>
          <w:lang w:val="en-US"/>
        </w:rPr>
        <w:lastRenderedPageBreak/>
        <w:drawing>
          <wp:inline distT="0" distB="0" distL="0" distR="0" wp14:anchorId="34D3B8C6" wp14:editId="396451B5">
            <wp:extent cx="5058066" cy="3209925"/>
            <wp:effectExtent l="0" t="0" r="9525"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127995" cy="3254303"/>
                    </a:xfrm>
                    <a:prstGeom prst="rect">
                      <a:avLst/>
                    </a:prstGeom>
                  </pic:spPr>
                </pic:pic>
              </a:graphicData>
            </a:graphic>
          </wp:inline>
        </w:drawing>
      </w:r>
    </w:p>
    <w:p w14:paraId="39339B79" w14:textId="5020719E" w:rsidR="00383516" w:rsidRPr="00FF756A" w:rsidRDefault="003E0B93" w:rsidP="003E0B93">
      <w:pPr>
        <w:pStyle w:val="Caption"/>
        <w:jc w:val="center"/>
        <w:rPr>
          <w:rFonts w:ascii="Times New Roman" w:hAnsi="Times New Roman"/>
        </w:rPr>
      </w:pPr>
      <w:bookmarkStart w:id="82" w:name="_Toc183016547"/>
      <w:r w:rsidRPr="00FF756A">
        <w:rPr>
          <w:rFonts w:ascii="Times New Roman" w:hAnsi="Times New Roman"/>
        </w:rPr>
        <w:t xml:space="preserve">Figura </w:t>
      </w:r>
      <w:r w:rsidR="00F17DEE" w:rsidRPr="00FF756A">
        <w:rPr>
          <w:rFonts w:ascii="Times New Roman" w:hAnsi="Times New Roman"/>
        </w:rPr>
        <w:fldChar w:fldCharType="begin"/>
      </w:r>
      <w:r w:rsidR="00F17DEE" w:rsidRPr="00FF756A">
        <w:rPr>
          <w:rFonts w:ascii="Times New Roman" w:hAnsi="Times New Roman"/>
        </w:rPr>
        <w:instrText xml:space="preserve"> SEQ Figura \* ARABIC </w:instrText>
      </w:r>
      <w:r w:rsidR="00F17DEE" w:rsidRPr="00FF756A">
        <w:rPr>
          <w:rFonts w:ascii="Times New Roman" w:hAnsi="Times New Roman"/>
        </w:rPr>
        <w:fldChar w:fldCharType="separate"/>
      </w:r>
      <w:r w:rsidR="00F17DEE" w:rsidRPr="00FF756A">
        <w:rPr>
          <w:rFonts w:ascii="Times New Roman" w:hAnsi="Times New Roman"/>
          <w:noProof/>
        </w:rPr>
        <w:t>17</w:t>
      </w:r>
      <w:r w:rsidR="00F17DEE" w:rsidRPr="00FF756A">
        <w:rPr>
          <w:rFonts w:ascii="Times New Roman" w:hAnsi="Times New Roman"/>
          <w:noProof/>
        </w:rPr>
        <w:fldChar w:fldCharType="end"/>
      </w:r>
      <w:r w:rsidRPr="00FF756A">
        <w:rPr>
          <w:rFonts w:ascii="Times New Roman" w:hAnsi="Times New Roman"/>
        </w:rPr>
        <w:t>: Skema e rrjetit të transmetimit në Shqipëri</w:t>
      </w:r>
      <w:bookmarkEnd w:id="82"/>
    </w:p>
    <w:p w14:paraId="777440F2" w14:textId="0F823361" w:rsidR="00DA2EDE" w:rsidRPr="00FF756A" w:rsidRDefault="00DA2EDE" w:rsidP="00383516">
      <w:pPr>
        <w:pStyle w:val="Caption"/>
        <w:jc w:val="center"/>
        <w:rPr>
          <w:rFonts w:ascii="Times New Roman" w:hAnsi="Times New Roman"/>
        </w:rPr>
      </w:pPr>
    </w:p>
    <w:p w14:paraId="59C29942" w14:textId="77777777" w:rsidR="00322BFF" w:rsidRPr="00FF756A" w:rsidRDefault="00322BFF" w:rsidP="003E6C8D">
      <w:pPr>
        <w:spacing w:before="40" w:after="40"/>
        <w:rPr>
          <w:b/>
        </w:rPr>
      </w:pPr>
    </w:p>
    <w:p w14:paraId="69D2A4BA" w14:textId="21E097E6" w:rsidR="00CD7608" w:rsidRPr="00FF756A" w:rsidRDefault="00DA2EDE" w:rsidP="003E6C8D">
      <w:pPr>
        <w:spacing w:before="40" w:after="40"/>
        <w:rPr>
          <w:b/>
        </w:rPr>
      </w:pPr>
      <w:r w:rsidRPr="00FF756A">
        <w:rPr>
          <w:b/>
        </w:rPr>
        <w:t>Projektet kryesore në interkoneksionet e transmetimit të energjisë elektrike</w:t>
      </w:r>
    </w:p>
    <w:p w14:paraId="77FCCF72" w14:textId="6C75B323" w:rsidR="00C67B11" w:rsidRPr="00FF756A" w:rsidRDefault="00C67B11" w:rsidP="004A3257">
      <w:pPr>
        <w:spacing w:before="40" w:after="40" w:line="240" w:lineRule="auto"/>
      </w:pPr>
      <w:r w:rsidRPr="00FF756A">
        <w:t>Shqipëria ka gjashtë linja interkonjeksioni me vendet fqinje. Lidhja rajonale ofrohet si më poshtë: Sistemi i Transmetimit të Energjisë Elektrike të Shqipërisë përfshin të gjitha linjat e tensionit 400 kV, 220 kV, 150 kV, 110 kV dhe nënstacionet e lidhjes ndërmjet tyre që shërbejnë për transmetimin dhe ndërlidhjen e energjisë elektrike.</w:t>
      </w:r>
    </w:p>
    <w:p w14:paraId="40109CD1" w14:textId="4B82E7A0" w:rsidR="003D4ECD" w:rsidRPr="00FF756A" w:rsidRDefault="003D4ECD" w:rsidP="004A3257">
      <w:pPr>
        <w:spacing w:before="40" w:after="40" w:line="240" w:lineRule="auto"/>
      </w:pPr>
      <w:r w:rsidRPr="00FF756A">
        <w:t>Linja e transmetimit 400 kV - 445,7 km;</w:t>
      </w:r>
    </w:p>
    <w:p w14:paraId="585CE04E" w14:textId="6D3B0016" w:rsidR="003D4ECD" w:rsidRPr="00FF756A" w:rsidRDefault="003D4ECD" w:rsidP="004A3257">
      <w:pPr>
        <w:numPr>
          <w:ilvl w:val="0"/>
          <w:numId w:val="38"/>
        </w:numPr>
        <w:spacing w:before="40" w:after="40" w:line="240" w:lineRule="auto"/>
      </w:pPr>
      <w:r w:rsidRPr="00FF756A">
        <w:t xml:space="preserve">Linja e transmetimit 220 kV </w:t>
      </w:r>
      <w:r w:rsidR="00DA5ACB" w:rsidRPr="00FF756A">
        <w:t>–</w:t>
      </w:r>
      <w:r w:rsidRPr="00FF756A">
        <w:t xml:space="preserve"> 1</w:t>
      </w:r>
      <w:r w:rsidR="00DA5ACB" w:rsidRPr="00FF756A">
        <w:t>,</w:t>
      </w:r>
      <w:r w:rsidRPr="00FF756A">
        <w:t>250 km;</w:t>
      </w:r>
    </w:p>
    <w:p w14:paraId="7E15FD21" w14:textId="77777777" w:rsidR="003D4ECD" w:rsidRPr="00FF756A" w:rsidRDefault="003D4ECD" w:rsidP="004A3257">
      <w:pPr>
        <w:numPr>
          <w:ilvl w:val="0"/>
          <w:numId w:val="38"/>
        </w:numPr>
        <w:spacing w:before="40" w:after="40" w:line="240" w:lineRule="auto"/>
      </w:pPr>
      <w:r w:rsidRPr="00FF756A">
        <w:t>Linja e transmetimit 150 kV - 34,4 km;</w:t>
      </w:r>
    </w:p>
    <w:p w14:paraId="2C9CD14D" w14:textId="77777777" w:rsidR="003D4ECD" w:rsidRPr="00FF756A" w:rsidRDefault="003D4ECD" w:rsidP="004A3257">
      <w:pPr>
        <w:numPr>
          <w:ilvl w:val="0"/>
          <w:numId w:val="38"/>
        </w:numPr>
        <w:spacing w:before="40" w:after="40" w:line="240" w:lineRule="auto"/>
      </w:pPr>
      <w:r w:rsidRPr="00FF756A">
        <w:t>Linja e transmetimit 110 kV - 1624,162 km.</w:t>
      </w:r>
    </w:p>
    <w:p w14:paraId="1716499F" w14:textId="77777777" w:rsidR="003D4ECD" w:rsidRPr="00FF756A" w:rsidRDefault="003D4ECD" w:rsidP="004A3257">
      <w:pPr>
        <w:spacing w:before="40" w:after="40" w:line="240" w:lineRule="auto"/>
      </w:pPr>
    </w:p>
    <w:p w14:paraId="4D1319A6" w14:textId="0B7F406F" w:rsidR="003D4ECD" w:rsidRPr="00FF756A" w:rsidRDefault="00957B7E" w:rsidP="004A3257">
      <w:pPr>
        <w:spacing w:before="40" w:after="40" w:line="240" w:lineRule="auto"/>
      </w:pPr>
      <w:r w:rsidRPr="00FF756A">
        <w:t>Të gjitha linjat m</w:t>
      </w:r>
      <w:r w:rsidR="003D4ECD" w:rsidRPr="00FF756A">
        <w:t xml:space="preserve">ë sipër janë pjesë e sistemit të transmetimit dhe linjave të interkoneksionit me vendet fqinje, si: </w:t>
      </w:r>
    </w:p>
    <w:p w14:paraId="70CBDAAE" w14:textId="77777777" w:rsidR="003D4ECD" w:rsidRPr="00FF756A" w:rsidRDefault="003D4ECD" w:rsidP="004A3257">
      <w:pPr>
        <w:numPr>
          <w:ilvl w:val="0"/>
          <w:numId w:val="39"/>
        </w:numPr>
        <w:spacing w:before="40" w:after="40" w:line="240" w:lineRule="auto"/>
      </w:pPr>
      <w:r w:rsidRPr="00FF756A">
        <w:t>Linja e interkoneksionit 400 kV Zemblak (Shqipëri) – Kardia (Greqi);</w:t>
      </w:r>
    </w:p>
    <w:p w14:paraId="57913C32" w14:textId="77777777" w:rsidR="003D4ECD" w:rsidRPr="00FF756A" w:rsidRDefault="003D4ECD" w:rsidP="004A3257">
      <w:pPr>
        <w:numPr>
          <w:ilvl w:val="0"/>
          <w:numId w:val="39"/>
        </w:numPr>
        <w:spacing w:before="40" w:after="40" w:line="240" w:lineRule="auto"/>
      </w:pPr>
      <w:r w:rsidRPr="00FF756A">
        <w:t>Linja e interkoneksionit 400 kV Tiranë (Shqipëri) – Podgoricë (Mali i Zi);</w:t>
      </w:r>
    </w:p>
    <w:p w14:paraId="79BF3515" w14:textId="77777777" w:rsidR="003D4ECD" w:rsidRPr="00FF756A" w:rsidRDefault="003D4ECD" w:rsidP="004A3257">
      <w:pPr>
        <w:numPr>
          <w:ilvl w:val="0"/>
          <w:numId w:val="39"/>
        </w:numPr>
        <w:spacing w:before="40" w:after="40" w:line="240" w:lineRule="auto"/>
      </w:pPr>
      <w:r w:rsidRPr="00FF756A">
        <w:t>Linja e interkoneksionit 400 kV Tiranë (Shqipëri) – Prishtinë (Kosovë);</w:t>
      </w:r>
    </w:p>
    <w:p w14:paraId="37646E8D" w14:textId="77777777" w:rsidR="003D4ECD" w:rsidRPr="00FF756A" w:rsidRDefault="003D4ECD" w:rsidP="004A3257">
      <w:pPr>
        <w:numPr>
          <w:ilvl w:val="0"/>
          <w:numId w:val="39"/>
        </w:numPr>
        <w:spacing w:before="40" w:after="40" w:line="240" w:lineRule="auto"/>
      </w:pPr>
      <w:r w:rsidRPr="00FF756A">
        <w:t>Linja e interkoneksionit 220 kV Fierzë (Shqipëri) – Prizren (Kosovë);</w:t>
      </w:r>
    </w:p>
    <w:p w14:paraId="22F1DDE2" w14:textId="77777777" w:rsidR="003D4ECD" w:rsidRPr="00FF756A" w:rsidRDefault="003D4ECD" w:rsidP="004A3257">
      <w:pPr>
        <w:numPr>
          <w:ilvl w:val="0"/>
          <w:numId w:val="39"/>
        </w:numPr>
        <w:spacing w:before="40" w:after="40" w:line="240" w:lineRule="auto"/>
      </w:pPr>
      <w:r w:rsidRPr="00FF756A">
        <w:t>Linja e interkoneksionit 220 kV Koplik (Shqipëri) – Podgoricë (Mali i Zi);</w:t>
      </w:r>
    </w:p>
    <w:p w14:paraId="33D9E598" w14:textId="77777777" w:rsidR="003D4ECD" w:rsidRPr="00FF756A" w:rsidRDefault="003D4ECD" w:rsidP="004A3257">
      <w:pPr>
        <w:numPr>
          <w:ilvl w:val="0"/>
          <w:numId w:val="39"/>
        </w:numPr>
        <w:spacing w:before="40" w:after="40" w:line="240" w:lineRule="auto"/>
      </w:pPr>
      <w:r w:rsidRPr="00FF756A">
        <w:t>Linja e interkoneksionit 150 kV Bistricë (Shqipëri) – Myrtos (Greqi).</w:t>
      </w:r>
    </w:p>
    <w:p w14:paraId="453A596B" w14:textId="77777777" w:rsidR="00C67B11" w:rsidRPr="00FF756A" w:rsidRDefault="00C67B11" w:rsidP="004A3257">
      <w:pPr>
        <w:spacing w:before="40" w:after="40" w:line="240" w:lineRule="auto"/>
      </w:pPr>
    </w:p>
    <w:p w14:paraId="6B1024B8" w14:textId="5DB00846" w:rsidR="00A53786" w:rsidRPr="00FF756A" w:rsidRDefault="00C67B11" w:rsidP="004A3257">
      <w:pPr>
        <w:spacing w:before="40" w:after="40" w:line="240" w:lineRule="auto"/>
      </w:pPr>
      <w:r w:rsidRPr="00FF756A">
        <w:t>Ndërlidhjet e transmisionit të planifikuara/në zbatim:</w:t>
      </w:r>
      <w:r w:rsidR="00A53786" w:rsidRPr="00FF756A">
        <w:t>:</w:t>
      </w:r>
    </w:p>
    <w:p w14:paraId="5780660A" w14:textId="77777777" w:rsidR="00CD7608" w:rsidRPr="00FF756A" w:rsidRDefault="00CD7608" w:rsidP="003E6C8D">
      <w:pPr>
        <w:spacing w:before="40" w:after="40"/>
      </w:pPr>
    </w:p>
    <w:p w14:paraId="3597C7F1" w14:textId="77777777" w:rsidR="00692969" w:rsidRPr="00FF756A" w:rsidRDefault="00692969">
      <w:pPr>
        <w:pStyle w:val="ListParagraph"/>
        <w:numPr>
          <w:ilvl w:val="0"/>
          <w:numId w:val="32"/>
        </w:numPr>
        <w:pBdr>
          <w:top w:val="none" w:sz="0" w:space="0" w:color="auto"/>
          <w:left w:val="none" w:sz="0" w:space="0" w:color="auto"/>
          <w:bottom w:val="none" w:sz="0" w:space="0" w:color="auto"/>
          <w:right w:val="none" w:sz="0" w:space="0" w:color="auto"/>
          <w:between w:val="none" w:sz="0" w:space="0" w:color="auto"/>
        </w:pBdr>
        <w:spacing w:before="40" w:after="40"/>
        <w:contextualSpacing w:val="0"/>
        <w:rPr>
          <w:b/>
        </w:rPr>
      </w:pPr>
      <w:r w:rsidRPr="00FF756A">
        <w:rPr>
          <w:b/>
        </w:rPr>
        <w:t>Linja e interkoneksionit 400 kV Shqipëri – Maqedoni e Veriut</w:t>
      </w:r>
    </w:p>
    <w:p w14:paraId="1ADE4158" w14:textId="7F266C85" w:rsidR="00692969" w:rsidRPr="00FF756A" w:rsidRDefault="00692969" w:rsidP="003E6C8D">
      <w:pPr>
        <w:spacing w:before="40" w:after="40"/>
      </w:pPr>
      <w:r w:rsidRPr="00FF756A">
        <w:t xml:space="preserve">Projekti ndahet në dy lote: Loti 1 (linjat) dhe loti 2 (nënstacionet). Pas marrjes së përgjigjes “Asnjë kundërshtim” nga KfW-ja, </w:t>
      </w:r>
      <w:r w:rsidR="00C20D8D" w:rsidRPr="00FF756A">
        <w:t xml:space="preserve">më 14 janar 2021 </w:t>
      </w:r>
      <w:r w:rsidRPr="00FF756A">
        <w:t xml:space="preserve">u nënshkruan kontratat për zbatimin e projektit me ofertuesit fitues </w:t>
      </w:r>
      <w:r w:rsidR="00EB06AD" w:rsidRPr="00FF756A">
        <w:t xml:space="preserve">me </w:t>
      </w:r>
      <w:r w:rsidRPr="00FF756A">
        <w:t>një vlerë totale rreth 35,8 milionë euro. Afati për përfundimin e projekteve është parashikuar të jetë 24 muaj nga data e hyrjes në fuqi të kontratës</w:t>
      </w:r>
      <w:r w:rsidR="00EB06AD" w:rsidRPr="00FF756A">
        <w:t>,</w:t>
      </w:r>
      <w:r w:rsidRPr="00FF756A">
        <w:t xml:space="preserve"> për të dy lotet.</w:t>
      </w:r>
    </w:p>
    <w:p w14:paraId="45967AF9" w14:textId="77777777" w:rsidR="00EB06AD" w:rsidRPr="00FF756A" w:rsidRDefault="00692969" w:rsidP="003E6C8D">
      <w:pPr>
        <w:spacing w:before="40" w:after="40"/>
      </w:pPr>
      <w:r w:rsidRPr="00FF756A">
        <w:t xml:space="preserve">Linja e interkoneksionit 400 kV Shqipëri - Maqedoni e Veriut </w:t>
      </w:r>
      <w:r w:rsidR="00EB06AD" w:rsidRPr="00FF756A">
        <w:t xml:space="preserve"> pritet të: </w:t>
      </w:r>
    </w:p>
    <w:p w14:paraId="2BF6F4EE" w14:textId="001E2CFF" w:rsidR="00EB06AD" w:rsidRPr="00FF756A" w:rsidRDefault="00692969" w:rsidP="00EB06AD">
      <w:pPr>
        <w:pStyle w:val="ListParagraph"/>
        <w:numPr>
          <w:ilvl w:val="0"/>
          <w:numId w:val="219"/>
        </w:numPr>
        <w:spacing w:before="40" w:after="40"/>
      </w:pPr>
      <w:r w:rsidRPr="00FF756A">
        <w:lastRenderedPageBreak/>
        <w:t xml:space="preserve">rrisë kapacitetin e transmetimit të energjisë, </w:t>
      </w:r>
    </w:p>
    <w:p w14:paraId="33E5A23C" w14:textId="3C36C6B2" w:rsidR="0001009D" w:rsidRPr="00FF756A" w:rsidRDefault="00692969" w:rsidP="00EB06AD">
      <w:pPr>
        <w:pStyle w:val="ListParagraph"/>
        <w:numPr>
          <w:ilvl w:val="0"/>
          <w:numId w:val="219"/>
        </w:numPr>
        <w:spacing w:before="40" w:after="40"/>
      </w:pPr>
      <w:r w:rsidRPr="00FF756A">
        <w:t xml:space="preserve">përmirësojë sigurinë </w:t>
      </w:r>
      <w:r w:rsidR="0001009D" w:rsidRPr="00FF756A">
        <w:t xml:space="preserve">dhe efektivitetin kosto-energji të </w:t>
      </w:r>
      <w:r w:rsidR="00FD746D" w:rsidRPr="00FF756A">
        <w:t>furnizimit</w:t>
      </w:r>
      <w:r w:rsidR="0001009D" w:rsidRPr="00FF756A">
        <w:t>,</w:t>
      </w:r>
    </w:p>
    <w:p w14:paraId="07F28A6F" w14:textId="55E7090D" w:rsidR="001F7291" w:rsidRPr="00FF756A" w:rsidRDefault="00692969" w:rsidP="00EB06AD">
      <w:pPr>
        <w:pStyle w:val="ListParagraph"/>
        <w:numPr>
          <w:ilvl w:val="0"/>
          <w:numId w:val="219"/>
        </w:numPr>
        <w:spacing w:before="40" w:after="40"/>
      </w:pPr>
      <w:r w:rsidRPr="00FF756A">
        <w:t>reduktojë humbjet në transmetimin dhe</w:t>
      </w:r>
      <w:r w:rsidR="0001009D" w:rsidRPr="00FF756A">
        <w:t xml:space="preserve"> </w:t>
      </w:r>
      <w:r w:rsidRPr="00FF756A">
        <w:t xml:space="preserve">furnizim me energji elektrike në Shqipëri. </w:t>
      </w:r>
    </w:p>
    <w:p w14:paraId="0088C435" w14:textId="77777777" w:rsidR="001F7291" w:rsidRPr="00FF756A" w:rsidRDefault="00692969" w:rsidP="001F7291">
      <w:pPr>
        <w:spacing w:before="40" w:after="40"/>
      </w:pPr>
      <w:r w:rsidRPr="00FF756A">
        <w:t>Gjithashtu</w:t>
      </w:r>
      <w:r w:rsidR="001F7291" w:rsidRPr="00FF756A">
        <w:t>, projekti do të:</w:t>
      </w:r>
    </w:p>
    <w:p w14:paraId="0B00597C" w14:textId="48CC876F" w:rsidR="00E60246" w:rsidRPr="00FF756A" w:rsidRDefault="00692969" w:rsidP="001F7291">
      <w:pPr>
        <w:pStyle w:val="ListParagraph"/>
        <w:numPr>
          <w:ilvl w:val="0"/>
          <w:numId w:val="219"/>
        </w:numPr>
        <w:spacing w:before="40" w:after="40"/>
      </w:pPr>
      <w:r w:rsidRPr="00FF756A">
        <w:rPr>
          <w:color w:val="202124"/>
        </w:rPr>
        <w:t>forco</w:t>
      </w:r>
      <w:r w:rsidR="001F7291" w:rsidRPr="00FF756A">
        <w:rPr>
          <w:color w:val="202124"/>
        </w:rPr>
        <w:t>jë</w:t>
      </w:r>
      <w:r w:rsidR="00E60246" w:rsidRPr="00FF756A">
        <w:rPr>
          <w:color w:val="202124"/>
        </w:rPr>
        <w:t xml:space="preserve"> lidhjet ndërkufitare me rrjetin rajonal,</w:t>
      </w:r>
    </w:p>
    <w:p w14:paraId="1DA8D74F" w14:textId="2B0C9C3A" w:rsidR="00E60246" w:rsidRPr="00FF756A" w:rsidRDefault="00692969" w:rsidP="001F7291">
      <w:pPr>
        <w:pStyle w:val="ListParagraph"/>
        <w:numPr>
          <w:ilvl w:val="0"/>
          <w:numId w:val="219"/>
        </w:numPr>
        <w:spacing w:before="40" w:after="40"/>
      </w:pPr>
      <w:r w:rsidRPr="00FF756A">
        <w:t>krijo</w:t>
      </w:r>
      <w:r w:rsidR="00E60246" w:rsidRPr="00FF756A">
        <w:t>jë</w:t>
      </w:r>
      <w:r w:rsidRPr="00FF756A">
        <w:t xml:space="preserve"> kushtet për një treg të integruar të energjisë në rajon</w:t>
      </w:r>
      <w:r w:rsidR="00E60246" w:rsidRPr="00FF756A">
        <w:t>,</w:t>
      </w:r>
    </w:p>
    <w:p w14:paraId="0CDCCFC0" w14:textId="242CBED8" w:rsidR="00E60246" w:rsidRPr="00FF756A" w:rsidRDefault="00E60246" w:rsidP="001F7291">
      <w:pPr>
        <w:pStyle w:val="ListParagraph"/>
        <w:numPr>
          <w:ilvl w:val="0"/>
          <w:numId w:val="219"/>
        </w:numPr>
        <w:spacing w:before="40" w:after="40"/>
      </w:pPr>
      <w:r w:rsidRPr="00FF756A">
        <w:t xml:space="preserve">sigurojë një </w:t>
      </w:r>
      <w:r w:rsidR="00692969" w:rsidRPr="00FF756A">
        <w:rPr>
          <w:color w:val="202124"/>
        </w:rPr>
        <w:t xml:space="preserve">sistem më të sigurt dhe më të besueshëm, </w:t>
      </w:r>
    </w:p>
    <w:p w14:paraId="227D828E" w14:textId="60CA5F0D" w:rsidR="00692969" w:rsidRPr="00FF756A" w:rsidRDefault="00E60246" w:rsidP="004A3257">
      <w:pPr>
        <w:pStyle w:val="ListParagraph"/>
        <w:numPr>
          <w:ilvl w:val="0"/>
          <w:numId w:val="219"/>
        </w:numPr>
        <w:spacing w:before="40" w:after="40"/>
      </w:pPr>
      <w:r w:rsidRPr="00FF756A">
        <w:t xml:space="preserve">lehtësojë </w:t>
      </w:r>
      <w:r w:rsidR="00692969" w:rsidRPr="00FF756A">
        <w:rPr>
          <w:color w:val="202124"/>
        </w:rPr>
        <w:t xml:space="preserve">shkëmbimet tregtare dhe transitet </w:t>
      </w:r>
      <w:r w:rsidRPr="00FF756A">
        <w:rPr>
          <w:color w:val="202124"/>
        </w:rPr>
        <w:t xml:space="preserve">energjitike në rajon </w:t>
      </w:r>
      <w:r w:rsidR="00692969" w:rsidRPr="00FF756A">
        <w:rPr>
          <w:color w:val="202124"/>
        </w:rPr>
        <w:t>pa asnjë kufizim</w:t>
      </w:r>
      <w:r w:rsidR="00692969" w:rsidRPr="00FF756A">
        <w:t>.</w:t>
      </w:r>
    </w:p>
    <w:p w14:paraId="1A1172CF" w14:textId="4EAD7001" w:rsidR="00E60246" w:rsidRPr="00FF756A" w:rsidRDefault="00E60246" w:rsidP="004A3257">
      <w:pPr>
        <w:pStyle w:val="ListParagraph"/>
        <w:spacing w:before="40" w:after="40"/>
        <w:ind w:left="1080"/>
        <w:rPr>
          <w:b/>
          <w:bCs/>
        </w:rPr>
      </w:pPr>
    </w:p>
    <w:p w14:paraId="399EE920" w14:textId="677BF922" w:rsidR="008A37D1" w:rsidRPr="00FF756A" w:rsidRDefault="008A37D1" w:rsidP="00C35B01">
      <w:pPr>
        <w:pStyle w:val="ListParagraph"/>
        <w:numPr>
          <w:ilvl w:val="1"/>
          <w:numId w:val="3"/>
        </w:numPr>
        <w:spacing w:before="40" w:after="40"/>
        <w:rPr>
          <w:b/>
          <w:bCs/>
        </w:rPr>
      </w:pPr>
      <w:r w:rsidRPr="00FF756A">
        <w:rPr>
          <w:b/>
          <w:bCs/>
        </w:rPr>
        <w:t xml:space="preserve">Linja e interkonjeksionit 400 kV Shqipëri (Fieri) – Greqi (Arachtos) </w:t>
      </w:r>
    </w:p>
    <w:p w14:paraId="15418442" w14:textId="2D7BF15D" w:rsidR="00FD746D" w:rsidRPr="00FF756A" w:rsidRDefault="00C35B01" w:rsidP="00C35B01">
      <w:pPr>
        <w:spacing w:before="40" w:after="40"/>
        <w:rPr>
          <w:bCs/>
        </w:rPr>
      </w:pPr>
      <w:r w:rsidRPr="00FF756A">
        <w:rPr>
          <w:bCs/>
        </w:rPr>
        <w:t>Bazuar në parashikimet dhe potencialet e mëdha të zhvillimit të burimeve të rinovueshme, në planet afatgjata të operatorit të sistemit të transmetimit, parashikohet ndërtimi i linjës së re të interkonjeksionit 400 kV Shqipëri (Fieri) – Greqi (Arachtos)</w:t>
      </w:r>
      <w:r w:rsidR="00FE7CC2" w:rsidRPr="00FF756A">
        <w:rPr>
          <w:bCs/>
        </w:rPr>
        <w:t>. Kjo linjë</w:t>
      </w:r>
      <w:r w:rsidRPr="00FF756A">
        <w:rPr>
          <w:bCs/>
        </w:rPr>
        <w:t xml:space="preserve"> ajrore dhe me qark </w:t>
      </w:r>
      <w:r w:rsidR="00FE7CC2" w:rsidRPr="00FF756A">
        <w:rPr>
          <w:bCs/>
        </w:rPr>
        <w:t>të</w:t>
      </w:r>
      <w:r w:rsidRPr="00FF756A">
        <w:rPr>
          <w:bCs/>
        </w:rPr>
        <w:t xml:space="preserve"> vetëm, </w:t>
      </w:r>
      <w:r w:rsidR="00FE7CC2" w:rsidRPr="00FF756A">
        <w:rPr>
          <w:bCs/>
        </w:rPr>
        <w:t>do të ketë</w:t>
      </w:r>
      <w:r w:rsidRPr="00FF756A">
        <w:rPr>
          <w:bCs/>
        </w:rPr>
        <w:t xml:space="preserve"> një gjatësi prej rreth 125 km. </w:t>
      </w:r>
    </w:p>
    <w:p w14:paraId="611250C6" w14:textId="6FA05B96" w:rsidR="00C35B01" w:rsidRPr="00FF756A" w:rsidRDefault="00C35B01" w:rsidP="00C35B01">
      <w:pPr>
        <w:spacing w:before="40" w:after="40"/>
        <w:rPr>
          <w:bCs/>
        </w:rPr>
      </w:pPr>
      <w:r w:rsidRPr="00FF756A">
        <w:rPr>
          <w:bCs/>
        </w:rPr>
        <w:t xml:space="preserve">Ky projekt synon të forcojë lidhjen midis sistemeve të transmetimit elektrik të Shqipërisë dhe Greqisë dhe të rrisë kapacitetin neto të transmetimit të rrjetit shqiptar duke lejuar rritjen e shkëmbimit të energjisë midis dy vendeve dhe reduktimin e sfidave teknike në kuadër të liberalizimit të tregut të energjisë elektrike. </w:t>
      </w:r>
      <w:r w:rsidR="00A70E77" w:rsidRPr="00FF756A">
        <w:rPr>
          <w:bCs/>
        </w:rPr>
        <w:t xml:space="preserve">Gjithashtu do të shërbejë </w:t>
      </w:r>
      <w:r w:rsidRPr="00FF756A">
        <w:rPr>
          <w:bCs/>
        </w:rPr>
        <w:t xml:space="preserve">dhe si korridor elektrik drejt </w:t>
      </w:r>
      <w:r w:rsidR="00A70E77" w:rsidRPr="00FF756A">
        <w:rPr>
          <w:bCs/>
        </w:rPr>
        <w:t>Evropës</w:t>
      </w:r>
      <w:r w:rsidRPr="00FF756A">
        <w:rPr>
          <w:bCs/>
        </w:rPr>
        <w:t xml:space="preserve"> Qendrore dhe Italisë për shkak të vendndodhjes së Shqipërisë.</w:t>
      </w:r>
    </w:p>
    <w:p w14:paraId="16B1AE33" w14:textId="03288257" w:rsidR="00C35B01" w:rsidRPr="00FF756A" w:rsidRDefault="00C35B01" w:rsidP="00C35B01">
      <w:pPr>
        <w:spacing w:before="40" w:after="40"/>
        <w:rPr>
          <w:bCs/>
        </w:rPr>
      </w:pPr>
      <w:r w:rsidRPr="00FF756A">
        <w:rPr>
          <w:bCs/>
        </w:rPr>
        <w:t>Projekti është identifikuar si një investim prioritar në planin kohor afatmesëm nga Masterplani i Zhvillimit të Rrjetit të Transmetimit Shqiptar. Studimi i Parafizibilitetit është përgatitur në dhjetor 2020. Pjesa shqiptare e</w:t>
      </w:r>
      <w:r w:rsidR="004A61C6" w:rsidRPr="00FF756A">
        <w:rPr>
          <w:bCs/>
        </w:rPr>
        <w:t xml:space="preserve"> parashikuar e </w:t>
      </w:r>
      <w:r w:rsidRPr="00FF756A">
        <w:rPr>
          <w:bCs/>
        </w:rPr>
        <w:t>investimit do të jetë 63.6 milionë euro.</w:t>
      </w:r>
    </w:p>
    <w:p w14:paraId="358B7AE6" w14:textId="23FDEC4D" w:rsidR="00646F02" w:rsidRPr="00FF756A" w:rsidRDefault="00C35B01" w:rsidP="00C35B01">
      <w:pPr>
        <w:spacing w:before="40" w:after="40"/>
        <w:rPr>
          <w:bCs/>
        </w:rPr>
      </w:pPr>
      <w:r w:rsidRPr="00FF756A">
        <w:rPr>
          <w:bCs/>
        </w:rPr>
        <w:t>Një Memorandum Mirëkuptimi ndërmjet OST</w:t>
      </w:r>
      <w:r w:rsidR="00646F02" w:rsidRPr="00FF756A">
        <w:rPr>
          <w:bCs/>
        </w:rPr>
        <w:t>-së</w:t>
      </w:r>
      <w:r w:rsidRPr="00FF756A">
        <w:rPr>
          <w:bCs/>
        </w:rPr>
        <w:t xml:space="preserve"> (operator</w:t>
      </w:r>
      <w:r w:rsidR="004A61C6" w:rsidRPr="00FF756A">
        <w:rPr>
          <w:bCs/>
        </w:rPr>
        <w:t>i i</w:t>
      </w:r>
      <w:r w:rsidRPr="00FF756A">
        <w:rPr>
          <w:bCs/>
        </w:rPr>
        <w:t xml:space="preserve"> sistemit të transmetimit të Shqipërisë) dhe IPTO</w:t>
      </w:r>
      <w:r w:rsidR="00646F02" w:rsidRPr="00FF756A">
        <w:rPr>
          <w:bCs/>
        </w:rPr>
        <w:t>-s</w:t>
      </w:r>
      <w:r w:rsidRPr="00FF756A">
        <w:rPr>
          <w:bCs/>
        </w:rPr>
        <w:t xml:space="preserve"> (operator</w:t>
      </w:r>
      <w:r w:rsidR="00646F02" w:rsidRPr="00FF756A">
        <w:rPr>
          <w:bCs/>
        </w:rPr>
        <w:t>i i</w:t>
      </w:r>
      <w:r w:rsidRPr="00FF756A">
        <w:rPr>
          <w:bCs/>
        </w:rPr>
        <w:t xml:space="preserve"> sistemit të transmetimit të Greqisë) për aktivitetet paraprake për projektin “Ndërtimi i linjës së re të interkonjeksionit 400 kV Greqi – Shqipëri” është nënshkruar nga të dyja kompanitë. Së bashku me IPTO, ky Projekt është aplikuar bashkërisht në ENTSO-E1 për përfshirje në TYNDP2 2024. </w:t>
      </w:r>
    </w:p>
    <w:p w14:paraId="39749C77" w14:textId="6D497146" w:rsidR="00C35B01" w:rsidRPr="00FF756A" w:rsidRDefault="00C35B01" w:rsidP="00C35B01">
      <w:pPr>
        <w:spacing w:before="40" w:after="40"/>
        <w:rPr>
          <w:bCs/>
        </w:rPr>
      </w:pPr>
      <w:r w:rsidRPr="00FF756A">
        <w:rPr>
          <w:bCs/>
        </w:rPr>
        <w:t>Aplikimi ka pasur një rezultat pozitiv nga shqyrtimi Screening WBIF dhe është miratuar një grant për asistencë teknike. Granti i Asistencës Teknike WB29-ALB-ENE-01 u miratua nga Bordi Operacional i WBIF në qershor 2023. Institucioni financiar kryesor për këtë projekt është KfW, dhe shuma e grantit është 1,100,000.00 € (pa tarifat).</w:t>
      </w:r>
    </w:p>
    <w:p w14:paraId="6CBB349D" w14:textId="44E8A088" w:rsidR="00F804B6" w:rsidRPr="00FF756A" w:rsidRDefault="00C35B01" w:rsidP="00C35B01">
      <w:pPr>
        <w:spacing w:before="40" w:after="40"/>
        <w:rPr>
          <w:bCs/>
        </w:rPr>
      </w:pPr>
      <w:r w:rsidRPr="00FF756A">
        <w:rPr>
          <w:bCs/>
        </w:rPr>
        <w:t xml:space="preserve">Në studimin e fizibilitetit që do të kryhet, </w:t>
      </w:r>
      <w:r w:rsidR="00646F02" w:rsidRPr="00FF756A">
        <w:rPr>
          <w:bCs/>
        </w:rPr>
        <w:t xml:space="preserve">do të </w:t>
      </w:r>
      <w:r w:rsidR="005136AA" w:rsidRPr="00FF756A">
        <w:rPr>
          <w:bCs/>
        </w:rPr>
        <w:t>vlerësohet</w:t>
      </w:r>
      <w:r w:rsidR="00FD3865" w:rsidRPr="00FF756A">
        <w:rPr>
          <w:bCs/>
        </w:rPr>
        <w:t xml:space="preserve"> </w:t>
      </w:r>
      <w:r w:rsidRPr="00FF756A">
        <w:rPr>
          <w:bCs/>
        </w:rPr>
        <w:t>mundësia e ndërtimit të interkonjeksionit të ri si linjë me dy qark 400 kV</w:t>
      </w:r>
      <w:r w:rsidR="00646F02" w:rsidRPr="00FF756A">
        <w:rPr>
          <w:bCs/>
        </w:rPr>
        <w:t>,</w:t>
      </w:r>
      <w:r w:rsidRPr="00FF756A">
        <w:rPr>
          <w:bCs/>
        </w:rPr>
        <w:t xml:space="preserve">  në bashkëpunim me IPTO. IPTO dhe OST do të </w:t>
      </w:r>
      <w:r w:rsidR="005136AA" w:rsidRPr="00FF756A">
        <w:rPr>
          <w:bCs/>
        </w:rPr>
        <w:t xml:space="preserve">vlerësojnë </w:t>
      </w:r>
      <w:r w:rsidRPr="00FF756A">
        <w:rPr>
          <w:bCs/>
        </w:rPr>
        <w:t xml:space="preserve"> mundësinë që ky projekt të rrisë vlerën e NTC3 në këtë kufi me 600 MW shtesë. Koha e parashikuar për përfundimin e investimit është viti 2030.</w:t>
      </w:r>
    </w:p>
    <w:p w14:paraId="6082B60F" w14:textId="77777777" w:rsidR="00F804B6" w:rsidRPr="00FF756A" w:rsidRDefault="00F804B6" w:rsidP="004A3257">
      <w:pPr>
        <w:spacing w:before="40" w:after="40"/>
      </w:pPr>
    </w:p>
    <w:p w14:paraId="6A43E24D" w14:textId="669E4324" w:rsidR="00DA2EDE" w:rsidRPr="00FF756A" w:rsidRDefault="00DA2EDE" w:rsidP="004A3257">
      <w:r w:rsidRPr="00FF756A">
        <w:rPr>
          <w:b/>
          <w:bCs/>
        </w:rPr>
        <w:t>Sektori i gazit</w:t>
      </w:r>
    </w:p>
    <w:p w14:paraId="494D951D" w14:textId="49A9D9FB" w:rsidR="00DA2EDE" w:rsidRPr="00FF756A" w:rsidRDefault="000D442D" w:rsidP="003E6C8D">
      <w:pPr>
        <w:spacing w:before="40" w:after="40"/>
      </w:pPr>
      <w:bookmarkStart w:id="83" w:name="_Hlk39531583"/>
      <w:r w:rsidRPr="00FF756A">
        <w:t xml:space="preserve">Që nga dhjetori i vitit 2020, Gazsjellësi Trans Adriatik (TAP) ka përshkuar </w:t>
      </w:r>
      <w:r w:rsidR="00D84E94" w:rsidRPr="00FF756A">
        <w:t>territorin</w:t>
      </w:r>
      <w:r w:rsidRPr="00FF756A">
        <w:t xml:space="preserve"> shqiptar. Ndërkohë, qeveria shqiptare është në rrugën drejt zhvillimit të infrastrukturës së gazit natyror.</w:t>
      </w:r>
      <w:r w:rsidR="00997EFB" w:rsidRPr="00FF756A">
        <w:t xml:space="preserve"> </w:t>
      </w:r>
      <w:r w:rsidR="00692969" w:rsidRPr="00FF756A">
        <w:t xml:space="preserve">Prodhimi i brendshëm i gazit natyror është i papërfillshëm dhe pjesa më e madhe e këtij prodhimi konsumohet për nevoja vetjake </w:t>
      </w:r>
      <w:r w:rsidR="00A4267E" w:rsidRPr="00FF756A">
        <w:t>nga industria e përpunimit gjatë</w:t>
      </w:r>
      <w:r w:rsidR="00692969" w:rsidRPr="00FF756A">
        <w:t xml:space="preserve"> prodhimi</w:t>
      </w:r>
      <w:r w:rsidR="00A4267E" w:rsidRPr="00FF756A">
        <w:t>t të</w:t>
      </w:r>
      <w:r w:rsidR="00692969" w:rsidRPr="00FF756A">
        <w:t xml:space="preserve"> naftës</w:t>
      </w:r>
      <w:r w:rsidR="00A4267E" w:rsidRPr="00FF756A">
        <w:t>.</w:t>
      </w:r>
      <w:bookmarkEnd w:id="83"/>
    </w:p>
    <w:p w14:paraId="7F49892E" w14:textId="24D98B1D" w:rsidR="00DA2EDE" w:rsidRPr="00FF756A" w:rsidRDefault="00DA2EDE" w:rsidP="003E6C8D">
      <w:pPr>
        <w:spacing w:before="40" w:after="40"/>
      </w:pPr>
      <w:r w:rsidRPr="00FF756A">
        <w:t>Gazsjellësi TAP ka përfunduar dhe është vënë në funksion që prej fundit të vitit 2020, duke i hapur rrugën furnizimeve me gaz nga fusha Shah Deniz II në Azerbajxhan dhe duke lidhur vendin me tregun evropian të gazit përmes lidhjeve me Greqinë dhe Italinë.</w:t>
      </w:r>
      <w:r w:rsidR="00A4267E" w:rsidRPr="00FF756A">
        <w:t xml:space="preserve"> </w:t>
      </w:r>
      <w:r w:rsidRPr="00FF756A">
        <w:t>Ministria e Infrastrukturës dhe Energjisë ka miratuar në dhjetor të vitit 2018 një akt për përcaktimin e zonave të shërbimit për transmetimin dhe shpërndarjen e gazit natyror. Dispozitat e tij synojnë zhvillimin e infrastrukturës së gazit.</w:t>
      </w:r>
    </w:p>
    <w:p w14:paraId="54380DE9" w14:textId="77777777" w:rsidR="00A35477" w:rsidRPr="00FF756A" w:rsidRDefault="00A35477" w:rsidP="003E6C8D">
      <w:pPr>
        <w:spacing w:before="40" w:after="40"/>
        <w:rPr>
          <w:b/>
        </w:rPr>
      </w:pPr>
    </w:p>
    <w:p w14:paraId="43209FB9" w14:textId="66833FEB" w:rsidR="00DA2EDE" w:rsidRPr="00FF756A" w:rsidRDefault="00DA2EDE" w:rsidP="003E6C8D">
      <w:pPr>
        <w:spacing w:before="40" w:after="40"/>
        <w:rPr>
          <w:b/>
        </w:rPr>
      </w:pPr>
      <w:r w:rsidRPr="00FF756A">
        <w:rPr>
          <w:b/>
        </w:rPr>
        <w:lastRenderedPageBreak/>
        <w:t>Projektet kryesore në interkoneksionet e gazit</w:t>
      </w:r>
    </w:p>
    <w:p w14:paraId="119239AB" w14:textId="3FA742E9" w:rsidR="00414FDC" w:rsidRPr="00FF756A" w:rsidRDefault="00414FDC" w:rsidP="003E6C8D">
      <w:pPr>
        <w:spacing w:before="40" w:after="40"/>
        <w:rPr>
          <w:rFonts w:eastAsia="Times New Roman"/>
        </w:rPr>
      </w:pPr>
      <w:r w:rsidRPr="00FF756A">
        <w:t>Ndërtimi i linjave të interkoneksionit të gazit në Shqipëri është përshkruar me hollësi në Master Planin e Gazit (MPG) për Shqipërinë, miratuar me VKM nr. 87, datë 14.2.2018, “Për miratimin e planit të zhvillimit të sektorit të gazit natyror në Shqipëri dhe identifikimin e projekteve prioritare”, si dhe me Vendimin nr. 2 të Këshillit Kombëtar të Territorit (KKT), datë 26 korrik 2018</w:t>
      </w:r>
      <w:r w:rsidR="004371C6" w:rsidRPr="00FF756A">
        <w:t>.</w:t>
      </w:r>
    </w:p>
    <w:p w14:paraId="6EE5810E" w14:textId="77777777" w:rsidR="00414FDC" w:rsidRPr="00FF756A" w:rsidRDefault="00414FDC" w:rsidP="00534D2B">
      <w:pPr>
        <w:spacing w:before="40" w:after="40"/>
        <w:rPr>
          <w:b/>
        </w:rPr>
      </w:pPr>
    </w:p>
    <w:p w14:paraId="559C5958" w14:textId="77777777" w:rsidR="00DA2EDE" w:rsidRPr="00FF756A" w:rsidRDefault="00DA2EDE" w:rsidP="00534D2B">
      <w:pPr>
        <w:spacing w:before="40" w:after="40"/>
        <w:rPr>
          <w:i/>
          <w:iCs/>
          <w:u w:val="single"/>
        </w:rPr>
      </w:pPr>
      <w:r w:rsidRPr="00FF756A">
        <w:rPr>
          <w:i/>
          <w:iCs/>
          <w:u w:val="single"/>
        </w:rPr>
        <w:t>1.- Projekti i Gazsjellësit Trans-Adriatik (TAP)</w:t>
      </w:r>
    </w:p>
    <w:p w14:paraId="5BCE8056" w14:textId="48BAADED" w:rsidR="00F300CD" w:rsidRPr="00FF756A" w:rsidRDefault="00F300CD" w:rsidP="00534D2B">
      <w:pPr>
        <w:spacing w:before="40" w:after="40"/>
      </w:pPr>
      <w:r w:rsidRPr="00FF756A">
        <w:t xml:space="preserve">Gazsjellësi Trans-Adriatik (TAP) është vënë në </w:t>
      </w:r>
      <w:r w:rsidR="004371C6" w:rsidRPr="00FF756A">
        <w:t>punë</w:t>
      </w:r>
      <w:r w:rsidRPr="00FF756A">
        <w:t xml:space="preserve"> dhe në korrik 2021 nënshkroi një Marrëveshje Bashkëpunimi dhe Dorëzimi për Objektin e Seksionit Jugor në Fier me Ministrinë e Infrastrukturës dhe Energjisë dhe Albgaz S.A. TAP-i do të projektojë dhe ndërtojë pikën jugore të daljes.</w:t>
      </w:r>
    </w:p>
    <w:p w14:paraId="7BC25A57" w14:textId="3954A52F" w:rsidR="00006030" w:rsidRPr="00FF756A" w:rsidRDefault="00006030" w:rsidP="00534D2B">
      <w:pPr>
        <w:spacing w:before="40" w:after="40"/>
      </w:pPr>
      <w:r w:rsidRPr="00FF756A">
        <w:t>Që nga 18 maji 2021, TAP AG ka shpallur fazën e testimit të tregut. Afati i fundit për dorëzimin e ofertave ka qenë data 17 korrik 2021. Faza e detyrueshme u hap pas miratimit të propozimit të TAP-it nga Snam Rete Gas (operatori italian i transmetimit të gazit) dhe DESFA (operatori grek i transmetimit), si dhe autoritetet rregullatore të Shqipërisë, Greqisë dhe Italisë në maj 2021. TAP-i parashikon 3 skenarë zgjerimi: (i) zgjerim i kufizuar (14,4 miliardë m</w:t>
      </w:r>
      <w:r w:rsidRPr="00FF756A">
        <w:rPr>
          <w:vertAlign w:val="superscript"/>
        </w:rPr>
        <w:t>3</w:t>
      </w:r>
      <w:r w:rsidRPr="00FF756A">
        <w:t>); (ii) zgjerim i pjesshëm (17,1 miliardë m</w:t>
      </w:r>
      <w:r w:rsidRPr="00FF756A">
        <w:rPr>
          <w:vertAlign w:val="superscript"/>
        </w:rPr>
        <w:t>3</w:t>
      </w:r>
      <w:r w:rsidRPr="00FF756A">
        <w:t>); dhe (iii) zgjerim i plotë (20</w:t>
      </w:r>
      <w:r w:rsidR="008E7096" w:rsidRPr="00FF756A">
        <w:t xml:space="preserve"> miliardë</w:t>
      </w:r>
      <w:r w:rsidR="00CD3287" w:rsidRPr="00FF756A">
        <w:t xml:space="preserve"> m</w:t>
      </w:r>
      <w:r w:rsidR="00CD3287" w:rsidRPr="00FF756A">
        <w:rPr>
          <w:vertAlign w:val="superscript"/>
        </w:rPr>
        <w:t>3</w:t>
      </w:r>
      <w:r w:rsidRPr="00FF756A">
        <w:t xml:space="preserve">). Faza tjetër e detyrueshme e testimit </w:t>
      </w:r>
      <w:r w:rsidR="00CD3287" w:rsidRPr="00FF756A">
        <w:t xml:space="preserve">u planifikua </w:t>
      </w:r>
      <w:r w:rsidRPr="00FF756A">
        <w:t>për në korrik 2023</w:t>
      </w:r>
      <w:r w:rsidR="00DC60BE" w:rsidRPr="00FF756A">
        <w:t>.</w:t>
      </w:r>
      <w:r w:rsidRPr="00FF756A">
        <w:t xml:space="preserve"> </w:t>
      </w:r>
    </w:p>
    <w:p w14:paraId="12589DA1" w14:textId="77777777" w:rsidR="00CD3287" w:rsidRPr="00FF756A" w:rsidRDefault="00CD3287" w:rsidP="00534D2B">
      <w:pPr>
        <w:spacing w:before="40" w:after="40"/>
      </w:pPr>
    </w:p>
    <w:p w14:paraId="6A10ADA5" w14:textId="23667E83" w:rsidR="00006030" w:rsidRPr="00FF756A" w:rsidRDefault="00006030" w:rsidP="00534D2B">
      <w:pPr>
        <w:spacing w:before="40" w:after="40"/>
      </w:pPr>
      <w:r w:rsidRPr="00FF756A">
        <w:t>TAP AG ka nënshkruar kontratën e mirëmbajtjes me “Albanian Gas Service Company” Sh.A. (një bashkim shoqërish midis shoqërisë shqiptare të gazit, “ALBGAZ” Sh.A., dhe shoqërisë italiane SNAM S.p.A.), për mirëmbajtjen e TAP</w:t>
      </w:r>
      <w:r w:rsidR="00DC60BE" w:rsidRPr="00FF756A">
        <w:t>-it</w:t>
      </w:r>
      <w:r w:rsidRPr="00FF756A">
        <w:t xml:space="preserve"> gjatë fazës së tij operacionale.</w:t>
      </w:r>
    </w:p>
    <w:p w14:paraId="3B1E70B3" w14:textId="7F51D383" w:rsidR="00C966D9" w:rsidRPr="00FF756A" w:rsidRDefault="00006030" w:rsidP="00534D2B">
      <w:pPr>
        <w:spacing w:before="40" w:after="40"/>
      </w:pPr>
      <w:r w:rsidRPr="00FF756A">
        <w:t xml:space="preserve">TAP-i do të mundësojë intensifikimin e interkoneksioneve midis vendeve të rajonit të Evropës Juglindore dhe krijimin e një tregu rajonal të gazit të integruar plotësisht në tregun evropian. Nëpërmjet këtij projekti, Shqipërisë i jepet mundësia të </w:t>
      </w:r>
      <w:r w:rsidR="00E36A6E" w:rsidRPr="00FF756A">
        <w:t>ndërtojë</w:t>
      </w:r>
      <w:r w:rsidRPr="00FF756A">
        <w:t xml:space="preserve"> një nyjë të nevojshme për rajonin, pasi ofron edhe mundësinë e depozitimit nëntokësor të gazit natyror, si dhe një terminal të gazit natyror të lëngshëm (GNL).</w:t>
      </w:r>
    </w:p>
    <w:p w14:paraId="6A2BA5F8" w14:textId="203EF26D" w:rsidR="00A43E1D" w:rsidRPr="00FF756A" w:rsidRDefault="00A43E1D" w:rsidP="00534D2B">
      <w:pPr>
        <w:spacing w:before="40" w:after="40"/>
        <w:rPr>
          <w:rFonts w:eastAsia="Times New Roman"/>
        </w:rPr>
      </w:pPr>
      <w:r w:rsidRPr="00FF756A">
        <w:t xml:space="preserve">Gazsjellësi Trans-Adriatik (TAP) filloi transportin tregtar në dhjetor 2020. Gjatë periudhës dhjetor 2020 deri më 31.12.2021, TAP-i transportoi 6,8 </w:t>
      </w:r>
      <w:r w:rsidR="00E36A6E" w:rsidRPr="00FF756A">
        <w:t>mmk</w:t>
      </w:r>
      <w:r w:rsidRPr="00FF756A">
        <w:t xml:space="preserve">. Gjatë vitit 2022, TAP transmetoi 9,2 </w:t>
      </w:r>
      <w:r w:rsidR="00E36A6E" w:rsidRPr="00FF756A">
        <w:t>mmk</w:t>
      </w:r>
      <w:r w:rsidRPr="00FF756A">
        <w:t xml:space="preserve">. Gjatë periudhës 1.1.2023 deri më 30.4.2023, TAP-i transportoi 2,89 </w:t>
      </w:r>
      <w:r w:rsidR="00E36A6E" w:rsidRPr="00FF756A">
        <w:t>mmk</w:t>
      </w:r>
      <w:r w:rsidRPr="00FF756A">
        <w:t>.</w:t>
      </w:r>
    </w:p>
    <w:p w14:paraId="5EC78B5C" w14:textId="77777777" w:rsidR="00006030" w:rsidRPr="00FF756A" w:rsidRDefault="00006030" w:rsidP="00534D2B">
      <w:pPr>
        <w:spacing w:before="40" w:after="40"/>
        <w:rPr>
          <w:rFonts w:eastAsia="Times New Roman"/>
          <w:lang w:eastAsia="en-GB"/>
        </w:rPr>
      </w:pPr>
    </w:p>
    <w:p w14:paraId="79CE365C" w14:textId="77777777" w:rsidR="00DA2EDE" w:rsidRPr="00FF756A" w:rsidRDefault="00DA2EDE" w:rsidP="00534D2B">
      <w:pPr>
        <w:spacing w:before="40" w:after="40"/>
        <w:rPr>
          <w:i/>
          <w:iCs/>
          <w:u w:val="single"/>
        </w:rPr>
      </w:pPr>
      <w:r w:rsidRPr="00FF756A">
        <w:rPr>
          <w:i/>
          <w:iCs/>
          <w:u w:val="single"/>
        </w:rPr>
        <w:t>2.- Projekti i Gazsjellësit Adriatiko-Jonian (IAP)</w:t>
      </w:r>
    </w:p>
    <w:p w14:paraId="65A15BDC" w14:textId="77777777" w:rsidR="00A43E1D" w:rsidRPr="00FF756A" w:rsidRDefault="00A43E1D" w:rsidP="00534D2B">
      <w:pPr>
        <w:spacing w:before="40" w:after="40"/>
        <w:rPr>
          <w:rFonts w:eastAsia="Times New Roman"/>
        </w:rPr>
      </w:pPr>
      <w:r w:rsidRPr="00FF756A">
        <w:t>Projekti WB15-REG-ENE-02 “</w:t>
      </w:r>
      <w:r w:rsidRPr="00FF756A">
        <w:rPr>
          <w:i/>
          <w:iCs/>
        </w:rPr>
        <w:t>Projektimi paraprak i Gazsjellësit Adriatiko-Jonian – seksionet e Malit të Zi dhe të Shqipërisë</w:t>
      </w:r>
      <w:r w:rsidRPr="00FF756A">
        <w:t>” u finalizua në dhjetor 2021. Ky gazsjellës do të kontribuojë në sigurinë dhe diversifikimin e furnizimit, në integrimin e tregjeve, si dhe në rritjen e konkurrencës në treg. Gazsjellësi Adriatiko-Jonian është projektuar në mënyrë të tillë që të lidhet me TAP-in.</w:t>
      </w:r>
    </w:p>
    <w:p w14:paraId="47FF7BCC" w14:textId="1DBF3A78" w:rsidR="00006030" w:rsidRPr="00FF756A" w:rsidRDefault="00006030" w:rsidP="00534D2B">
      <w:pPr>
        <w:spacing w:before="40" w:after="40"/>
      </w:pPr>
      <w:r w:rsidRPr="00FF756A">
        <w:t>Drafti i projektit paraprak teknik për seksionin e Shqipërisë u dorëzua nga konsulenti SUEZ IPF 6. Në shkurt 2021, konsulenti dorëzoi draftin përfundimtar të VNMS-së për seksionin shqiptar të IAP-së. Në këtë fazë të projektit, VNMS-ja është gati dhe është duke u përgatitur raporti përfundimtar që do t’i dorëzohet qeverisë shqiptare. IAP-ja parashikohet të ketë një kapacitet prej 5 miliardë m</w:t>
      </w:r>
      <w:r w:rsidRPr="00FF756A">
        <w:rPr>
          <w:vertAlign w:val="superscript"/>
        </w:rPr>
        <w:t>3</w:t>
      </w:r>
      <w:r w:rsidRPr="00FF756A">
        <w:t>/vit dhe shihet si një lidhje e Ballkanit Perëndimor për të përfituar nga gazi që vjen përmes TAP-it. Shqipëria dhe Kosova kanë shprehur edhe qëndrime për të pasur një zgjatim mes dy vendeve, në mënyrë që edhe kjo e fundit të përfitojë nga gazi.</w:t>
      </w:r>
    </w:p>
    <w:p w14:paraId="69413719" w14:textId="3D5F7B2C" w:rsidR="00F300CD" w:rsidRPr="00FF756A" w:rsidRDefault="00F300CD" w:rsidP="00534D2B">
      <w:pPr>
        <w:spacing w:before="40" w:after="40"/>
      </w:pPr>
      <w:r w:rsidRPr="00FF756A">
        <w:t xml:space="preserve">Gazsjellësi Adriatiko-Jonian (IAP) është pjesë e sistemit ndërkombëtar të transmetimit të gazit që kalon përmes Shqipërisë, Malit të Zi dhe Kroacisë. IAP-ja do të lidhë sistemin ekzistues të transmetimit të gazit të Republikës së Kroacisë me Gazsjellësin Trans-Adriatik (TAP) në të dy drejtimet. Projekti IAP është pjesë e rrugës së ardhshme të Unazës së Gazit të Evropës Juglindore dhe është projekti më i rëndësishëm rajonal në Evropën Juglindore, i cili ka marrë mbështetje nga Komuniteti i Energjisë dhe </w:t>
      </w:r>
      <w:r w:rsidRPr="00FF756A">
        <w:lastRenderedPageBreak/>
        <w:t>Komisioni Evropian. Ai është përzgjedhur gjithashtu si Projekt me Interes të Ndërsjellë (PMI) nga Komuniteti i Energjisë. Linja IAP, me një shtrirje rreth 170 km përmes Shqipërisë, është projektuar për të lejuar transmetimin optimal të gazit nga TAP në Malin e Zi, Bosnjë-Hercegovinë dhe Kroaci, si dhe për të mundësuar zhvillimin e mëtejshëm të sistemit të transmetimit të gazit në Shqipëri. IAP do të jetë shtylla e pjesës veriore të sistemit shqiptar të transmetimit të gazit. Gjithashtu, parashikohet që IAP të mundësojë furnizimin me gaz në Kosovë përmes gazsjellësit të planifikuar Alkogap në të ardhmen.</w:t>
      </w:r>
    </w:p>
    <w:p w14:paraId="0B69B3F2" w14:textId="77777777" w:rsidR="00CF3A11" w:rsidRPr="00FF756A" w:rsidRDefault="00CF3A11" w:rsidP="00534D2B">
      <w:pPr>
        <w:spacing w:before="40" w:after="40"/>
      </w:pPr>
    </w:p>
    <w:p w14:paraId="6674FDAC" w14:textId="77777777" w:rsidR="00DA2EDE" w:rsidRPr="00FF756A" w:rsidRDefault="00DA2EDE" w:rsidP="00534D2B">
      <w:pPr>
        <w:spacing w:before="40" w:after="40"/>
        <w:rPr>
          <w:i/>
          <w:iCs/>
          <w:u w:val="single"/>
        </w:rPr>
      </w:pPr>
      <w:r w:rsidRPr="00FF756A">
        <w:rPr>
          <w:i/>
          <w:iCs/>
          <w:u w:val="single"/>
        </w:rPr>
        <w:t>3.- Gazsjellësi ndërlidhës Shqipëri - Kosovë (projekti ALKOGAP)</w:t>
      </w:r>
    </w:p>
    <w:p w14:paraId="3134A86B" w14:textId="29E70C37" w:rsidR="00DA2EDE" w:rsidRPr="00FF756A" w:rsidRDefault="00DA2EDE" w:rsidP="00534D2B">
      <w:pPr>
        <w:spacing w:before="40" w:after="40"/>
      </w:pPr>
      <w:r w:rsidRPr="00FF756A">
        <w:t>Studimi i parafizibilitetit përfundoi në fund të vitit 2018, në kuadër të WB15-REG-ENE-01 “</w:t>
      </w:r>
      <w:r w:rsidRPr="00FF756A">
        <w:rPr>
          <w:i/>
          <w:iCs/>
        </w:rPr>
        <w:t>Studimi i parafizibilitetit për gazsjellësin Shqipëri-Kosovë</w:t>
      </w:r>
      <w:r w:rsidRPr="00FF756A">
        <w:t>” (projekti ALKOGAP), zbatuar nga IPF4 TA me financimin e WBIF përmes një granti prej 0.3 milionë euro.</w:t>
      </w:r>
    </w:p>
    <w:p w14:paraId="7D540D9D" w14:textId="1FCC5630" w:rsidR="005C0410" w:rsidRPr="00FF756A" w:rsidRDefault="00DA2EDE" w:rsidP="00534D2B">
      <w:pPr>
        <w:spacing w:before="40" w:after="40"/>
        <w:rPr>
          <w:rFonts w:eastAsia="Calibri"/>
        </w:rPr>
      </w:pPr>
      <w:r w:rsidRPr="00FF756A">
        <w:t>Ministria e Infrastrukturës dhe Energjisë, së bashku me Ministrinë e Ekonomisë të Kosovës, do të ri</w:t>
      </w:r>
      <w:r w:rsidR="00970A25" w:rsidRPr="00FF756A">
        <w:t>-</w:t>
      </w:r>
      <w:r w:rsidRPr="00FF756A">
        <w:t>aplikojnë me thirrjen e radhës të WBIF për grante të asistencës teknike për përgatitjen e Studimit të Fizibilitetit dhe VNMS-së/VNM-së së plotë për projektin e ALKOGAP. Në mbledhjen e Komunitetit të Energjisë, të mbajtur në mars 2020, projekti ALKOGAP u përfshi në listën PECI 2020.</w:t>
      </w:r>
    </w:p>
    <w:p w14:paraId="459DCA80" w14:textId="77777777" w:rsidR="004C1381" w:rsidRPr="00FF756A" w:rsidRDefault="004C1381" w:rsidP="00534D2B">
      <w:pPr>
        <w:spacing w:before="40" w:after="40"/>
        <w:rPr>
          <w:rFonts w:eastAsia="Calibri"/>
        </w:rPr>
      </w:pPr>
    </w:p>
    <w:p w14:paraId="341B24DD" w14:textId="63184A22" w:rsidR="004C1381" w:rsidRPr="00FF756A" w:rsidRDefault="004C1381" w:rsidP="00534D2B">
      <w:pPr>
        <w:spacing w:before="40" w:after="40"/>
        <w:rPr>
          <w:i/>
          <w:iCs/>
          <w:u w:val="single"/>
        </w:rPr>
      </w:pPr>
      <w:r w:rsidRPr="00FF756A">
        <w:rPr>
          <w:i/>
          <w:iCs/>
          <w:u w:val="single"/>
        </w:rPr>
        <w:t>4. Gazsjellësi Fier – Vlorë</w:t>
      </w:r>
    </w:p>
    <w:p w14:paraId="180E4C20" w14:textId="3720BDE9" w:rsidR="004C1381" w:rsidRPr="00FF756A" w:rsidRDefault="004C1381" w:rsidP="00534D2B">
      <w:pPr>
        <w:spacing w:before="40" w:after="40"/>
        <w:rPr>
          <w:rFonts w:eastAsia="Calibri"/>
        </w:rPr>
      </w:pPr>
      <w:r w:rsidRPr="00FF756A">
        <w:t>Projekti WB20-ALB-ENE-04/BERZH/Shqipëri, Gazsjellësi Fier – Vlorë: Projekti i detajuar dhe dokumentacioni i tenderit, financuar nga WBIF</w:t>
      </w:r>
      <w:r w:rsidR="00DB5400" w:rsidRPr="00FF756A">
        <w:t xml:space="preserve"> ka përfunduar</w:t>
      </w:r>
      <w:r w:rsidRPr="00FF756A">
        <w:t>.</w:t>
      </w:r>
    </w:p>
    <w:p w14:paraId="13E7CFE5" w14:textId="7D13341B" w:rsidR="004C1381" w:rsidRPr="00FF756A" w:rsidRDefault="004C1381" w:rsidP="00534D2B">
      <w:pPr>
        <w:spacing w:before="40" w:after="40"/>
        <w:rPr>
          <w:rFonts w:eastAsia="Calibri"/>
        </w:rPr>
      </w:pPr>
      <w:r w:rsidRPr="00FF756A">
        <w:t xml:space="preserve">Qeveria shqiptare synon të krijojë një infrastrukturë komplekse hidrokarburesh, që do të përfshijë një terminal shkarkimi, një hapësirë depozitimi për furnizimin e TEC-it </w:t>
      </w:r>
      <w:r w:rsidR="0087595F" w:rsidRPr="00FF756A">
        <w:t xml:space="preserve">te </w:t>
      </w:r>
      <w:r w:rsidRPr="00FF756A">
        <w:t>Vlorës me GNL, si dhe një rrjet tubacionesh për transmetimin e gazit. Strategjia e qeverisë shqiptare është ta kthejë Shqipërinë në një qendër rajonale për furnizimin me gaz në mënyrë që të garantojë interkoneksionin, sigurinë dhe diversifikimin e furnizimit përmes GNL-së, por edhe nga TAP-i.</w:t>
      </w:r>
    </w:p>
    <w:p w14:paraId="2AC4819A" w14:textId="77777777" w:rsidR="005C0410" w:rsidRPr="00FF756A" w:rsidRDefault="005C0410" w:rsidP="00534D2B">
      <w:pPr>
        <w:spacing w:before="40" w:after="40"/>
      </w:pPr>
    </w:p>
    <w:p w14:paraId="19894EAB" w14:textId="64C2EEFF" w:rsidR="00DA2EDE" w:rsidRPr="00FF756A" w:rsidRDefault="007B016B" w:rsidP="00534D2B">
      <w:pPr>
        <w:spacing w:before="40" w:after="40"/>
        <w:rPr>
          <w:i/>
          <w:iCs/>
          <w:u w:val="single"/>
        </w:rPr>
      </w:pPr>
      <w:r w:rsidRPr="00FF756A">
        <w:rPr>
          <w:i/>
          <w:iCs/>
          <w:u w:val="single"/>
        </w:rPr>
        <w:t>5</w:t>
      </w:r>
      <w:r w:rsidR="00DA2EDE" w:rsidRPr="00FF756A">
        <w:rPr>
          <w:i/>
          <w:iCs/>
          <w:u w:val="single"/>
        </w:rPr>
        <w:t>.- Depozita nëntokësore e gazit në Dumre (UGS Dumrea)</w:t>
      </w:r>
    </w:p>
    <w:p w14:paraId="16D8ADF3" w14:textId="77777777" w:rsidR="00EC41B2" w:rsidRPr="00FF756A" w:rsidRDefault="00DA2EDE" w:rsidP="00534D2B">
      <w:pPr>
        <w:spacing w:before="40" w:after="40"/>
      </w:pPr>
      <w:r w:rsidRPr="00FF756A">
        <w:t>Projekti “</w:t>
      </w:r>
      <w:r w:rsidRPr="00FF756A">
        <w:rPr>
          <w:i/>
          <w:iCs/>
        </w:rPr>
        <w:t>Depozita nëntokësore e gazit në Dumre (UGS Dumrea</w:t>
      </w:r>
      <w:r w:rsidRPr="00FF756A">
        <w:t>)</w:t>
      </w:r>
      <w:r w:rsidR="00ED712F" w:rsidRPr="00FF756A">
        <w:t>”</w:t>
      </w:r>
      <w:r w:rsidRPr="00FF756A">
        <w:t xml:space="preserve"> u përfshi në Planin Kombëtar Sektorial për sektorin shqiptar të gazit (MPG për Shqipërinë), miratuar me VKM nr. 87, datë 14.2.2018, “Për miratimin e planit të zhvillimit të sektorit të gazit natyror në Shqipëri dhe identifikimin e projekteve prioritare”, si dhe nga Këshilli Kombëtar i Territorit me vendimin e tij nr. 2, datë 26 korrik 2018. </w:t>
      </w:r>
    </w:p>
    <w:p w14:paraId="439BC65F" w14:textId="2557A68C" w:rsidR="00DA2EDE" w:rsidRPr="00FF756A" w:rsidRDefault="00DA2EDE" w:rsidP="00534D2B">
      <w:pPr>
        <w:spacing w:before="40" w:after="40"/>
      </w:pPr>
      <w:r w:rsidRPr="00FF756A">
        <w:t xml:space="preserve">Komiteti Drejtues i WBIF, në mbledhjen e tij të datës 6 dhjetor 2018, miratoi një grant prej 1 milion euro për përgatitjen e Studimit të Fizibilitetit dhe VNMS-së për këtë projekt. </w:t>
      </w:r>
      <w:bookmarkStart w:id="84" w:name="_Hlk160974652"/>
      <w:r w:rsidRPr="00FF756A">
        <w:t xml:space="preserve">U zgjodh opsioni i preferuar i depozitimit të 800 milionë </w:t>
      </w:r>
      <w:r w:rsidRPr="00FF756A">
        <w:rPr>
          <w:vertAlign w:val="superscript"/>
        </w:rPr>
        <w:t>m3</w:t>
      </w:r>
      <w:r w:rsidRPr="00FF756A">
        <w:t xml:space="preserve"> gaz natyror në depozitën nëntokësore të gazit natyror në Dumre, dhe projekti u finalizua në dhjetor 2021.</w:t>
      </w:r>
      <w:bookmarkEnd w:id="84"/>
      <w:r w:rsidRPr="00FF756A">
        <w:t xml:space="preserve"> Në mars 2021, shoqëria shtetërore Albgaz nënshkroi një Memorandum Mirëkuptimi me kompaninë SNAM sh.r.l. për zhvillimin e këtij projekti.</w:t>
      </w:r>
    </w:p>
    <w:p w14:paraId="27E2ECA6" w14:textId="77777777" w:rsidR="004D2DC6" w:rsidRPr="00FF756A" w:rsidRDefault="004D2DC6" w:rsidP="00534D2B">
      <w:pPr>
        <w:spacing w:before="40" w:after="40"/>
      </w:pPr>
      <w:r w:rsidRPr="00FF756A">
        <w:t xml:space="preserve">ToR-të për përgatitjen e Studimit të Fizibilitetit dhe VNMS-së për projektin WB20-ALB-ENE-01 “Depozita nëntokësore e gazit natyror në Dumre, Shqipëri” janë përgatitur nga konsulenti dhe i janë paraqitur WBIF-së dhe BERZH-it për procedura të mëtejshme. </w:t>
      </w:r>
    </w:p>
    <w:p w14:paraId="479D65F6" w14:textId="650C403A" w:rsidR="004D2DC6" w:rsidRPr="00FF756A" w:rsidRDefault="004D2DC6" w:rsidP="00534D2B">
      <w:pPr>
        <w:spacing w:before="40" w:after="40"/>
      </w:pPr>
      <w:r w:rsidRPr="00FF756A">
        <w:t xml:space="preserve">Projekti do të kontribuojë në rritjen e sigurisë energjetike në vendin tonë, por edhe në plan më të gjerë rajonal. Projekti është parashikuar në 2 faza. Faza e parë konsiston në zhvillimin e një strukture depozitimi, e cila mundëson që kapacitetet e depozitimit të gazit të mbulojnë kërkesën vendase. Faza e dytë parashikon një zgjerim të kapaciteteve të depozitimit, për të mbështetur nevojat rajonale. </w:t>
      </w:r>
      <w:r w:rsidR="006C1B45" w:rsidRPr="00FF756A">
        <w:t xml:space="preserve">Më 12 mars 2021 </w:t>
      </w:r>
      <w:r w:rsidRPr="00FF756A">
        <w:t>u nënshkrua Memorandumi i Mirëkuptimit për bashkëpunim midis Ministrisë së Infrastrukturës dhe Energjisë dhe shoqërive amerikane Exxon Mobil dhe Excelerate Energy</w:t>
      </w:r>
      <w:r w:rsidR="006C1B45" w:rsidRPr="00FF756A">
        <w:t xml:space="preserve"> me qëllim gazifikimin e Shqipërisë.</w:t>
      </w:r>
      <w:r w:rsidRPr="00FF756A">
        <w:t xml:space="preserve"> Ky Memorandum Mirëkuptimi lidhet me vlerësimin e kuadrit rregullator </w:t>
      </w:r>
      <w:r w:rsidRPr="00FF756A">
        <w:lastRenderedPageBreak/>
        <w:t>teknik dhe tregtar për futjen e gazit natyror të lëngshëm (GNL) në Shqipëri. Ai përfshin zinxhirin e plotë të përdorimit të GNL në Shqipëri.</w:t>
      </w:r>
    </w:p>
    <w:p w14:paraId="1B29440A" w14:textId="2208E7E9" w:rsidR="004D2DC6" w:rsidRPr="00FF756A" w:rsidRDefault="004D2DC6" w:rsidP="00534D2B">
      <w:pPr>
        <w:spacing w:before="40" w:after="40"/>
      </w:pPr>
      <w:r w:rsidRPr="00FF756A">
        <w:t>Më 15</w:t>
      </w:r>
      <w:r w:rsidR="006C1B45" w:rsidRPr="00FF756A">
        <w:t xml:space="preserve"> korrik </w:t>
      </w:r>
      <w:r w:rsidRPr="00FF756A">
        <w:t>2021, Shoqëria shqiptare e gazit, Albgaz, shoqëria amerikane Excelerate Energy L.P. (Excelerate) dhe shoqëria italiane Snam S.p.A (Snam) nënshkruan në Tiranë Memorandumin e Mirëkuptimit për mundësitë e bashkëpunimit për ndërtimin e një gazsjellësi nga Terminali i Vlorës në infrastrukturat e tjera të mundshme të gazit natyror në Shqipëri.</w:t>
      </w:r>
    </w:p>
    <w:p w14:paraId="00E8E6EF" w14:textId="40D4AC01" w:rsidR="00F300CD" w:rsidRPr="00FF756A" w:rsidRDefault="00F300CD" w:rsidP="006E32BD">
      <w:pPr>
        <w:spacing w:before="40" w:after="40"/>
      </w:pPr>
    </w:p>
    <w:p w14:paraId="2C4A6174" w14:textId="77777777" w:rsidR="00DA2EDE" w:rsidRPr="00FF756A" w:rsidRDefault="00DA2EDE" w:rsidP="005E4558">
      <w:pPr>
        <w:pStyle w:val="Heading5"/>
        <w:numPr>
          <w:ilvl w:val="4"/>
          <w:numId w:val="54"/>
        </w:numPr>
        <w:jc w:val="left"/>
        <w:rPr>
          <w:rFonts w:ascii="Times New Roman" w:hAnsi="Times New Roman" w:cs="Times New Roman"/>
          <w:sz w:val="22"/>
          <w:szCs w:val="22"/>
        </w:rPr>
      </w:pPr>
      <w:bookmarkStart w:id="85" w:name="_Toc183639185"/>
      <w:r w:rsidRPr="00FF756A">
        <w:rPr>
          <w:rFonts w:ascii="Times New Roman" w:hAnsi="Times New Roman" w:cs="Times New Roman"/>
          <w:sz w:val="22"/>
          <w:szCs w:val="22"/>
        </w:rPr>
        <w:t>Tregjet e energjisë elektrike dhe gazit, çmimet e energjisë</w:t>
      </w:r>
      <w:bookmarkEnd w:id="85"/>
    </w:p>
    <w:p w14:paraId="5F3E6EC1" w14:textId="77777777" w:rsidR="00472DD0" w:rsidRPr="00FF756A" w:rsidRDefault="00472DD0" w:rsidP="00472DD0">
      <w:pPr>
        <w:rPr>
          <w:b/>
          <w:bCs/>
        </w:rPr>
      </w:pPr>
    </w:p>
    <w:p w14:paraId="3C89614E" w14:textId="55E8CE47" w:rsidR="00DA2EDE" w:rsidRPr="00FF756A" w:rsidRDefault="00DA2EDE" w:rsidP="004A3257">
      <w:r w:rsidRPr="00FF756A">
        <w:rPr>
          <w:b/>
          <w:bCs/>
        </w:rPr>
        <w:t>Energji elektrike</w:t>
      </w:r>
    </w:p>
    <w:p w14:paraId="7D66AFB8" w14:textId="3F22961D" w:rsidR="00DA2EDE" w:rsidRPr="00FF756A" w:rsidRDefault="00DA2EDE" w:rsidP="006E32BD">
      <w:pPr>
        <w:spacing w:before="40" w:after="40"/>
      </w:pPr>
      <w:r w:rsidRPr="00FF756A">
        <w:t>Siç parashikohet në nenin 3 të Ligjit nr. 7/2018, datë 15.2.2018, “Për disa ndryshime dhe shtesa në Ligjin nr. 43/2015, datë 30.4.2015, “Për sektorin e energjisë elektrike”, klienti fundor që furnizohet me energji elektrike nga furnizuesi i mundësisë së fundit dhe që, sipas kuptimit të nenit 109 të Ligjit nr. 43/2015, datë 30.4.2015, del për herë të parë në treg të liberalizuar, është i detyruar të lidhë një kontratë furnizimi me një furnizues të ri, brenda 2 viteve nga fillimi i kontratës së furnizimit nga furnizuesi i mundësisë së fundit. Në fund të kësaj periudhe, operatori i sistemit do ta ndërpresë furnizimin me energji elektrike për këtë klient.</w:t>
      </w:r>
    </w:p>
    <w:p w14:paraId="6770237F" w14:textId="2815E84F" w:rsidR="00DA2EDE" w:rsidRPr="00FF756A" w:rsidRDefault="00DA2EDE" w:rsidP="006E32BD">
      <w:pPr>
        <w:spacing w:before="40" w:after="40"/>
      </w:pPr>
      <w:r w:rsidRPr="00FF756A">
        <w:t>Ky ndryshim (periudha prej dy vitesh) merr në konsideratë mungesën e përvojës së klientëve për të operuar në tregun e liberalizuar dhe u jep atyre kohën e nevojshme për t’u përshtatur me kalimin nga tregu i rregulluar në tregun e liberalizuar.</w:t>
      </w:r>
    </w:p>
    <w:p w14:paraId="540EB081" w14:textId="29D7CE13" w:rsidR="00DA2EDE" w:rsidRPr="00FF756A" w:rsidRDefault="00F300CD" w:rsidP="006E32BD">
      <w:pPr>
        <w:spacing w:before="40" w:after="40"/>
      </w:pPr>
      <w:r w:rsidRPr="00FF756A">
        <w:t>Që nga marsi 2020, të gjithë klientët e lidhur në tension 35 kV furnizohen në një treg të liberalizuar. Po punohet gjithashtu për lidhjen dhe mundësimin e hyrjes në këtë treg edhe të klientëve të lidhur në tension 20 kV. Të gjithë këta klientë janë të pajisur me sisteme matëse inteligjente. Faza e dytë e liberalizimit filloi në janar 2022, me të paktën 7000 biznese që pritet të dalin në tregun e lirë. Sipas OSHEE sha, ato janë kryesisht bizneset e lidhura në tension 20 kV. Sipas ligjit, të gjitha bizneset e lidhura në tension10 kV dhe 6 kV duhet gjithashtu të dalin në këtë treg. Dalja e klientëve 20 kV në tregun e lirë pritet të reduktojë sasinë e energjisë elektrike që shoqëria e shpërndarjes duhet të furnizojë në tregun e rregulluar.</w:t>
      </w:r>
    </w:p>
    <w:p w14:paraId="09BD284E" w14:textId="5448C683" w:rsidR="007D243C" w:rsidRPr="00FF756A" w:rsidRDefault="004D2DC6" w:rsidP="006E32BD">
      <w:pPr>
        <w:spacing w:before="40" w:after="40"/>
      </w:pPr>
      <w:r w:rsidRPr="00FF756A">
        <w:t>Sipas ligjit nr. 43/2015 “Për sektorin e energjisë elektrike”, të ndryshuar, si dhe metodologjisë së përcaktimit të tarifës së shitjes së energjisë elektrike nga furnizuesi i mundësisë së fundit, çmimi i energjisë elektrike rishikohet dhe miratohet periodikisht nga ERE. Të gjithë klientët, subjekt i tregut të parregulluar, janë të detyruar të plotësojnë kushtet teknike të instalimit të sistemit të matjes për të dalë në tregun e parregulluar nga 1 janari 2022.</w:t>
      </w:r>
    </w:p>
    <w:p w14:paraId="40A27154" w14:textId="77777777" w:rsidR="007D243C" w:rsidRPr="00FF756A" w:rsidRDefault="007D243C" w:rsidP="006E32BD">
      <w:pPr>
        <w:spacing w:before="40" w:after="40"/>
      </w:pPr>
    </w:p>
    <w:p w14:paraId="529617E2" w14:textId="1A9AD322" w:rsidR="00DA2EDE" w:rsidRPr="00FF756A" w:rsidRDefault="00DA2EDE" w:rsidP="006E32BD">
      <w:pPr>
        <w:spacing w:before="40" w:after="40"/>
        <w:rPr>
          <w:b/>
        </w:rPr>
      </w:pPr>
      <w:r w:rsidRPr="00FF756A">
        <w:rPr>
          <w:b/>
        </w:rPr>
        <w:t>Rregullimi dhe përshtatja e çmimit</w:t>
      </w:r>
    </w:p>
    <w:p w14:paraId="61723990" w14:textId="58A504D3" w:rsidR="006B7BD5" w:rsidRPr="00FF756A" w:rsidRDefault="006B7BD5" w:rsidP="006E32BD">
      <w:pPr>
        <w:spacing w:before="40" w:after="40"/>
      </w:pPr>
      <w:r w:rsidRPr="00FF756A">
        <w:t>Konsumatorët në Shqipëri janë të lirë të zgjedhin furnitorët e tyre, sipas rregullave të miratuara për ndërrimin e furnitorëve. Konsumatorët e lidhur në 35 kV dhe tension të lartë, dhe nga 1 janari 2024, konsumatorët e lidhur në 20 kV, furnizohen në treg të lirë (me përjashtim të shoqërive të ujësjellës kanalizimeve, institucioneve shtetërore që ofrojnë shërbime shëndetësore publike (spitale dhe qendrat emergjente, institucionet shtetërore që ekzekutojnë dënimet penale dhe institucionet shtetërore). Nëse konsumatorët nuk janë në gjendje të sigurojnë një marrëveshje furnizimi, ata kanë të drejtë të përdorin shërbimin e furnizimit me energji elektrike nga furnizuesi i mundësisë së fundit për një periudhë jo më shumë se dy muaj. Ndryshe nga kjo, konsumatorët e lidhur në 6 kV dhe 10 kV vazhdojnë të furnizohen nga furnizuesi i mundësisë së fundit. Çmimi i furnizimit të m</w:t>
      </w:r>
      <w:r w:rsidR="001F52C2" w:rsidRPr="00FF756A">
        <w:t>undësisë s</w:t>
      </w:r>
      <w:r w:rsidRPr="00FF756A">
        <w:t xml:space="preserve">ë fundit bazohet në kostot e miratuara çdo muaj nga rregullatori. Furnizuesi universal FSHU vepron si furnizuesi i mundësisë së fundit derisa të kryhet një procedurë tenderimi dhe furnizon të gjitha familjet dhe konsumatorët e vegjël </w:t>
      </w:r>
      <w:r w:rsidRPr="00FF756A">
        <w:lastRenderedPageBreak/>
        <w:t>me çmime të rregulluara</w:t>
      </w:r>
      <w:r w:rsidR="00FE2AC8" w:rsidRPr="00FF756A">
        <w:t xml:space="preserve">. </w:t>
      </w:r>
      <w:r w:rsidRPr="00FF756A">
        <w:t>Për klientët e përdorimit përfundimtar që furnizohen nga Furnizuesi i Shërbimit Universal, çmimi nuk ka ndryshuar.</w:t>
      </w:r>
    </w:p>
    <w:p w14:paraId="47A08396" w14:textId="77777777" w:rsidR="00FE2AC8" w:rsidRPr="00FF756A" w:rsidRDefault="00FE2AC8" w:rsidP="006E32BD">
      <w:pPr>
        <w:spacing w:before="40" w:after="40"/>
      </w:pPr>
    </w:p>
    <w:p w14:paraId="3BA1E827" w14:textId="5396F643" w:rsidR="00DA2EDE" w:rsidRPr="00FF756A" w:rsidRDefault="00DA2EDE" w:rsidP="006E32BD">
      <w:pPr>
        <w:spacing w:before="40" w:after="40"/>
        <w:rPr>
          <w:b/>
        </w:rPr>
      </w:pPr>
      <w:r w:rsidRPr="00FF756A">
        <w:rPr>
          <w:b/>
        </w:rPr>
        <w:t>Rregullorja (BE) 2016/1952 për statistikat evropiane mbi çmimet e gazit natyror dhe të energjisë elektrike</w:t>
      </w:r>
    </w:p>
    <w:p w14:paraId="4D53F2AA" w14:textId="77777777" w:rsidR="00DA2EDE" w:rsidRPr="00FF756A" w:rsidRDefault="00DA2EDE" w:rsidP="004A3257">
      <w:pPr>
        <w:spacing w:before="40" w:after="40" w:line="240" w:lineRule="auto"/>
      </w:pPr>
      <w:r w:rsidRPr="00FF756A">
        <w:t>Statistikat mbi çmimet janë parimisht nën përgjegjësinë e INSTAT. Në mungesë të një ndarjeje të qartë të detyrave midis AKBN-së dhe INSTAT-it, kjo e para ka filluar grumbullimin e të dhënave në bashkëpunim me ERE-në. AKBN-ja është duke mbledhur dhe shpërndarë të dhëna mbi çmimet e energjisë elektrike që u faturohen familjeve. Për Shqipërinë nuk disponohen ende të dhëna lidhur me gazin natyror. Megjithatë, grupi i të dhënave të përpiluara është ende i paplotë. Të dhënat mbi çmimet që u faturohen klientëve fundorë industriale nuk disponohen ende.</w:t>
      </w:r>
    </w:p>
    <w:p w14:paraId="28913D13" w14:textId="4DB6F82E" w:rsidR="00DA2EDE" w:rsidRPr="00FF756A" w:rsidRDefault="00486BFC" w:rsidP="004A3257">
      <w:pPr>
        <w:spacing w:before="40" w:after="40" w:line="240" w:lineRule="auto"/>
      </w:pPr>
      <w:r w:rsidRPr="00FF756A">
        <w:t xml:space="preserve">Edhe </w:t>
      </w:r>
      <w:r w:rsidR="00DA2EDE" w:rsidRPr="00FF756A">
        <w:t>ndarja e çmimeve të energjisë elektrike në komponentë kryesorë, sipas kërkesave të rregullores, nuk është bërë dhe nuk i është transmetuar EUROSTAT-it. Grupet e të dhënave që mungojnë përfshijnë komponentët e çmimit që i faturohet klientëve familjarë dhe jofamiljarë. Aktualisht, Shqipëria është e vetmja palë kontraktore që nuk i ka raportuar çmimet e përdoruesit fundor që faturon për klientët jofamiljarë.</w:t>
      </w:r>
    </w:p>
    <w:p w14:paraId="66E0C928" w14:textId="19DD29C5" w:rsidR="00DA2EDE" w:rsidRPr="00FF756A" w:rsidRDefault="00DA2EDE" w:rsidP="004A3257">
      <w:pPr>
        <w:spacing w:before="40" w:after="40" w:line="240" w:lineRule="auto"/>
      </w:pPr>
      <w:r w:rsidRPr="00FF756A">
        <w:t xml:space="preserve">Statistikat mbi çmimet e përdoruesit fundor që u faturohen klientëve jofamiljarë (industrialë) dhe ndarja e çmimeve për klientët familjarë dhe jofamiljarë në komponentë </w:t>
      </w:r>
      <w:r w:rsidR="00DC0FE6" w:rsidRPr="00FF756A">
        <w:t>të veçantë,</w:t>
      </w:r>
      <w:r w:rsidR="006058C7" w:rsidRPr="00FF756A">
        <w:t xml:space="preserve"> ende</w:t>
      </w:r>
      <w:r w:rsidRPr="00FF756A">
        <w:t xml:space="preserve"> nuk janë të </w:t>
      </w:r>
      <w:r w:rsidR="006058C7" w:rsidRPr="00FF756A">
        <w:t xml:space="preserve">finalizuara </w:t>
      </w:r>
      <w:r w:rsidRPr="00FF756A">
        <w:t xml:space="preserve"> dhe nuk janë në përputhje me Rregulloren (BE) 2016/1952.</w:t>
      </w:r>
    </w:p>
    <w:p w14:paraId="3C040831" w14:textId="77777777" w:rsidR="00472DD0" w:rsidRPr="00FF756A" w:rsidRDefault="00472DD0" w:rsidP="00472DD0">
      <w:pPr>
        <w:rPr>
          <w:b/>
          <w:bCs/>
        </w:rPr>
      </w:pPr>
    </w:p>
    <w:p w14:paraId="5891F9C4" w14:textId="759DA65C" w:rsidR="00DA2EDE" w:rsidRPr="00FF756A" w:rsidRDefault="00DA2EDE" w:rsidP="004A3257">
      <w:r w:rsidRPr="00FF756A">
        <w:rPr>
          <w:b/>
          <w:bCs/>
        </w:rPr>
        <w:t>Sektori i gazit</w:t>
      </w:r>
    </w:p>
    <w:p w14:paraId="5140834E" w14:textId="5920DC5E" w:rsidR="00DA2EDE" w:rsidRPr="00FF756A" w:rsidRDefault="00DA2EDE" w:rsidP="004A3257">
      <w:pPr>
        <w:spacing w:before="40" w:after="40" w:line="240" w:lineRule="auto"/>
      </w:pPr>
      <w:r w:rsidRPr="00FF756A">
        <w:t>Në vitin 2019, ERE filloi procedurat për miratimin e “</w:t>
      </w:r>
      <w:r w:rsidRPr="00FF756A">
        <w:rPr>
          <w:i/>
          <w:iCs/>
        </w:rPr>
        <w:t>kodit të rrjetit që harmonizon strukturat tarifore të transmetimit të gazi</w:t>
      </w:r>
      <w:r w:rsidRPr="00FF756A">
        <w:t>t”, përmes Vendimit të Bordit të Komisionerëve të ERE-s nr. 168, datë 4.11.2019, “Për nisjen e procedurës së miratimit të “kodit të rrjetit që harmonizon strukturat tarifore të transmetimit të gazit”.</w:t>
      </w:r>
    </w:p>
    <w:p w14:paraId="3F09C5DD" w14:textId="06216F57" w:rsidR="002D4E31" w:rsidRPr="00FF756A" w:rsidRDefault="002D4E31" w:rsidP="004A3257">
      <w:pPr>
        <w:spacing w:before="40" w:after="40" w:line="240" w:lineRule="auto"/>
        <w:rPr>
          <w:rFonts w:eastAsia="Calibri"/>
        </w:rPr>
      </w:pPr>
      <w:r w:rsidRPr="00FF756A">
        <w:t>Ligji nr. 102/2015, datë 23.9.2015, “Për sektorin e gazit natyror”, i ndryshuar, është ndryshuar me Ligjin nr. 81/2021, datë 24.6.2021, “Për disa shtesa dhe ndryshime në Ligjin nr. 102/2015, datë 23.9.2015 “Për sektorin e gazit natyror ”. Ky ligj është përafruar me Direktiva 2009/73/KE të Parlamentit Evropian dhe të Këshillit, datë 13 korrik 2009, "Për rregullat e përbashkëta për tregun e brendshëm të gazit natyror dhe që shfuqizon Direktivën 2003/55/KE".</w:t>
      </w:r>
    </w:p>
    <w:p w14:paraId="74F88560" w14:textId="77777777" w:rsidR="002D4E31" w:rsidRPr="00FF756A" w:rsidRDefault="002D4E31" w:rsidP="004A3257">
      <w:pPr>
        <w:spacing w:before="40" w:after="40" w:line="240" w:lineRule="auto"/>
        <w:rPr>
          <w:rFonts w:eastAsia="Calibri"/>
        </w:rPr>
      </w:pPr>
      <w:r w:rsidRPr="00FF756A">
        <w:t>Gjatë vitit 2020, Bordi i Komisionerëve të ERE-s miratoi aktet ligjore si më poshtë: (i) Vendimi i Bordit të Komisionerëve të ERE-s nr. 266, datë 28.12.2020 “Për miratimin e Kodit të Matjes së Gazit Natyror në Shqipëri” dhe (ii) Vendimi i Bordit të Komisionerëve të ERE-s nr. 265, datë 28.12.2020 “Për miratimin e rregullave për monitorimin e tregut të gazit natyror në Shqipëri”.</w:t>
      </w:r>
    </w:p>
    <w:p w14:paraId="32985760" w14:textId="54983100" w:rsidR="004B3162" w:rsidRPr="00FF756A" w:rsidRDefault="004961C0" w:rsidP="004A3257">
      <w:pPr>
        <w:spacing w:before="40" w:after="40" w:line="240" w:lineRule="auto"/>
      </w:pPr>
      <w:r w:rsidRPr="00FF756A">
        <w:t>S</w:t>
      </w:r>
      <w:r w:rsidR="002D4E31" w:rsidRPr="00FF756A">
        <w:t>hoqëria Albgaz Sh.A.</w:t>
      </w:r>
      <w:r w:rsidRPr="00FF756A">
        <w:t xml:space="preserve"> do</w:t>
      </w:r>
      <w:r w:rsidR="002D4E31" w:rsidRPr="00FF756A">
        <w:t xml:space="preserve"> të angazhohet në zhvillimin e rrjetit të gazit në Shqipëri në përputhje me Master Planin e Gazit, siç shpjegohet në pikën e mësipërme mbi Master Planin e Gazit. Albgaz</w:t>
      </w:r>
      <w:r w:rsidRPr="00FF756A">
        <w:t xml:space="preserve"> Sh.A.</w:t>
      </w:r>
      <w:r w:rsidR="002D4E31" w:rsidRPr="00FF756A">
        <w:t xml:space="preserve"> në bashkëpunim me konsulentin MJM Energy Ltd. ka përgatitur Kodin e Rrjetit të Transmetimit, i cili është miratuar me Vendimin e Bordit të Komisionerëve të ERE-s nr. 68, datë 22.4.2020 “Për miratimin e kodit të rrjetit të transmetimit të gazit natyror”.</w:t>
      </w:r>
      <w:r w:rsidRPr="00FF756A">
        <w:t xml:space="preserve"> </w:t>
      </w:r>
      <w:r w:rsidR="002D4E31" w:rsidRPr="00FF756A">
        <w:t xml:space="preserve"> Albgaz</w:t>
      </w:r>
      <w:r w:rsidRPr="00FF756A">
        <w:t xml:space="preserve"> Sh.A.</w:t>
      </w:r>
      <w:r w:rsidR="002D4E31" w:rsidRPr="00FF756A">
        <w:t xml:space="preserve"> është licencuar tashmë nga ERE si Operatori i Sistemit të Transmetimit të Gazit.</w:t>
      </w:r>
    </w:p>
    <w:p w14:paraId="38B60A01" w14:textId="77777777" w:rsidR="006E32BD" w:rsidRPr="00FF756A" w:rsidRDefault="006E32BD" w:rsidP="006E32BD">
      <w:pPr>
        <w:spacing w:before="40" w:after="40"/>
      </w:pPr>
    </w:p>
    <w:p w14:paraId="32FA1B1B" w14:textId="77777777" w:rsidR="00DA2EDE" w:rsidRPr="00FF756A" w:rsidRDefault="00DA2EDE" w:rsidP="004A3257">
      <w:r w:rsidRPr="00FF756A">
        <w:rPr>
          <w:b/>
          <w:bCs/>
        </w:rPr>
        <w:t>Varfëria energjetike</w:t>
      </w:r>
    </w:p>
    <w:p w14:paraId="3FEEB77F" w14:textId="77777777" w:rsidR="00DA2EDE" w:rsidRPr="00FF756A" w:rsidRDefault="00DA2EDE" w:rsidP="004A3257">
      <w:pPr>
        <w:spacing w:before="40" w:after="40" w:line="240" w:lineRule="auto"/>
      </w:pPr>
      <w:r w:rsidRPr="00FF756A">
        <w:t xml:space="preserve">Shqipëria siguron akses në energjinë elektrike për të gjithë popullsinë e saj, përmes një procesi të finalizuar përpara tranzicionit të viteve 90’. Shqipëria ka arritur të ofrojë me sukses aksesin universal për të gjithë qytetarët e saj dhe vendi mbështetet te prodhimi i brendshëm i energjisë elektrike, i cili bazohet kryesisht te energjia e pastër hidrike. Investimet e konsiderueshme në sektorin e energjisë gjatë viteve të fundit kanë përmirësuar ndjeshëm cilësinë e furnizimit me energji elektrike dhe kanë tërhequr interesin e pjesëmarrësve të sektorit privat, duke përfshirë shoqëri ndërkombëtare të njohura, për zhvillimin e impianteve të prodhimit të energjisë elektrike. Rrjeti i energjisë elektrike po zgjerohet dhe përmirësohet në mënyrë konstante për të përmbushur kërkesat në rritje dhe për të përballuar lidhjet e reja. Gjatë viteve të fundit ka pasur përmirësime të ndjeshme për sa i përket arkëtimit të pagesave për </w:t>
      </w:r>
      <w:r w:rsidRPr="00FF756A">
        <w:lastRenderedPageBreak/>
        <w:t xml:space="preserve">faturat e energjisë elektrike, gjë që ka rezultuar në rritje të performancës së shoqërive shtetërore që përbëjnë aktorët kryesorë të sektorit të energjisë. </w:t>
      </w:r>
    </w:p>
    <w:p w14:paraId="01D514CA" w14:textId="77777777" w:rsidR="00CA0498" w:rsidRPr="00FF756A" w:rsidRDefault="00DA2EDE" w:rsidP="00D4562F">
      <w:pPr>
        <w:spacing w:before="40" w:after="40" w:line="240" w:lineRule="auto"/>
      </w:pPr>
      <w:r w:rsidRPr="00FF756A">
        <w:t xml:space="preserve">Pavarësisht përmirësimeve dhe avantazheve që sjell mbështetja te burimet e pastra të energjisë, vendi duhet të fokusohet më tej tek aspekti i përballueshmërisë së këtij objektivi, pasi çmimet e energjisë elektrike janë relativisht më të larta krahasuar me nivelet në rajon. Ligji shqiptar “Për sektorin e energjisë elektrike” (43/2015) e përkufizon klientin në nevojë (neni 3) si një klient familjar i cili, për shkak të gjendjes sociale, gëzon disa të drejta të veçanta lidhur me furnizimin me energji elektrike, të siguruara në raste përjashtimore. </w:t>
      </w:r>
    </w:p>
    <w:p w14:paraId="44025110" w14:textId="792454C5" w:rsidR="00DA2EDE" w:rsidRPr="00FF756A" w:rsidRDefault="00DA2EDE" w:rsidP="004A3257">
      <w:pPr>
        <w:spacing w:before="40" w:after="40" w:line="240" w:lineRule="auto"/>
      </w:pPr>
      <w:r w:rsidRPr="00FF756A">
        <w:t>Sipas nenit 95, kriteret për përfitimin e statusit të klientit në nevojë përcaktohen nga ministria përgjegjëse për çështjet sociale, në bashkëpunim me ministrinë përgjegjëse për energjinë dhe Ministrinë e Financave dhe në konsultim me Entin Rregullator të Energjisë. Statusi i klientit në nevojë trajtohet nga politika të ndryshme të fushës sociale dhe të energjisë, në përputhje me Strategjinë Sociale në Komunitetin e Energjisë (2013).</w:t>
      </w:r>
    </w:p>
    <w:p w14:paraId="27ECA90F" w14:textId="3F35215B" w:rsidR="00DA2EDE" w:rsidRPr="00FF756A" w:rsidRDefault="00DA2EDE" w:rsidP="004A3257">
      <w:pPr>
        <w:spacing w:before="40" w:after="40" w:line="240" w:lineRule="auto"/>
      </w:pPr>
      <w:r w:rsidRPr="00FF756A">
        <w:t>Megjithatë, varfëria energjetike nuk është përkufizuar ende qartë dhe nuk monitorohet në mënyrë sistematike. Nuk ka asnjë politikë të posaçme në fuqi për eliminimin e varfërisë energjetike. Të vetmet instrumente që ekzistojnë janë skemat e kompensimit në formën e përfitimeve në para që aplikohen për klientët të cilët kanë përfituar statusin e klientit në nevojë, dhe që duhet të përditësohen. “Në terma të përgjithshëm, varfëria energjetike nënkupton paaftësinë e një familjeje për të siguruar sasinë e duhur të energjisë në banesë, që do të mundësonte ngrohjen dhe ndriçimin e duhur të hapësirave të banimit, për të pasur akses në gamën e nevojshme të shërbimeve energjetike dhe për të qenë e aftë të përballojë një sasi të mjaftueshme energjie për nevoja të përditshme.”</w:t>
      </w:r>
      <w:r w:rsidR="008E73F4" w:rsidRPr="00FF756A">
        <w:rPr>
          <w:rStyle w:val="FootnoteReference"/>
        </w:rPr>
        <w:footnoteReference w:id="4"/>
      </w:r>
    </w:p>
    <w:p w14:paraId="744D7660" w14:textId="6D9CB3F3" w:rsidR="004D2DC6" w:rsidRPr="00FF756A" w:rsidRDefault="004D2DC6" w:rsidP="004A3257">
      <w:pPr>
        <w:spacing w:before="40" w:after="40" w:line="240" w:lineRule="auto"/>
      </w:pPr>
      <w:r w:rsidRPr="00FF756A">
        <w:t xml:space="preserve">Në dhjetor 2021, Sekretariati i Komunitetit të Energjisë ka përgatitur një studim të detajuar që adreson problematikat e varfërisë energjetike </w:t>
      </w:r>
      <w:r w:rsidR="004C3766" w:rsidRPr="00FF756A">
        <w:t>p</w:t>
      </w:r>
      <w:r w:rsidRPr="00FF756A">
        <w:t>ë</w:t>
      </w:r>
      <w:r w:rsidR="004C3766" w:rsidRPr="00FF756A">
        <w:t>r</w:t>
      </w:r>
      <w:r w:rsidRPr="00FF756A">
        <w:t xml:space="preserve"> Palët Kontraktuese të Komunitetit. Raporti nënvizon se 37% e familjeve shqiptare jetojnë në varfëri energjetike, duke mos pasur akses në ngrohje dhe kushte optimale në shtëpitë e tyre. Ato vlerësohen të jenë mbi 272 000 familje. Për shkak se mungojnë të dhënat zyrtare, Sekretariati thekson nevojën për të pasur të dhëna më të matshme edhe për këtë aspekt. Rekomandimet e identifikuara në këtë studim do të merren në konsideratë në zhvillimin e politikave dhe masave për adresimin e kësaj problematike.</w:t>
      </w:r>
    </w:p>
    <w:p w14:paraId="15A8FB5D" w14:textId="77777777" w:rsidR="008A529F" w:rsidRPr="00FF756A" w:rsidRDefault="008A529F" w:rsidP="006E32BD">
      <w:pPr>
        <w:spacing w:before="40" w:after="40"/>
      </w:pPr>
    </w:p>
    <w:p w14:paraId="741A5506" w14:textId="77777777" w:rsidR="00075E5B" w:rsidRPr="00FF756A" w:rsidRDefault="00075E5B" w:rsidP="008639B2">
      <w:pPr>
        <w:pStyle w:val="Heading5"/>
        <w:numPr>
          <w:ilvl w:val="4"/>
          <w:numId w:val="54"/>
        </w:numPr>
        <w:rPr>
          <w:rFonts w:ascii="Times New Roman" w:hAnsi="Times New Roman" w:cs="Times New Roman"/>
        </w:rPr>
      </w:pPr>
      <w:bookmarkStart w:id="86" w:name="_Toc183639186"/>
      <w:r w:rsidRPr="00FF756A">
        <w:rPr>
          <w:rFonts w:ascii="Times New Roman" w:hAnsi="Times New Roman" w:cs="Times New Roman"/>
        </w:rPr>
        <w:t>Vlerësimi i politikave dhe masave</w:t>
      </w:r>
      <w:bookmarkEnd w:id="86"/>
      <w:r w:rsidRPr="00FF756A">
        <w:rPr>
          <w:rFonts w:ascii="Times New Roman" w:hAnsi="Times New Roman" w:cs="Times New Roman"/>
        </w:rPr>
        <w:t xml:space="preserve"> </w:t>
      </w:r>
    </w:p>
    <w:p w14:paraId="50848C3E" w14:textId="34F72928" w:rsidR="00DA2EDE" w:rsidRPr="00FF756A" w:rsidRDefault="00DA2EDE" w:rsidP="006E32BD">
      <w:pPr>
        <w:spacing w:before="40" w:after="40"/>
      </w:pPr>
      <w:r w:rsidRPr="00FF756A">
        <w:rPr>
          <w:b/>
        </w:rPr>
        <w:t xml:space="preserve">Vlerësimi i politikave dhe masave </w:t>
      </w:r>
      <w:r w:rsidRPr="00FF756A">
        <w:t>tregon se</w:t>
      </w:r>
      <w:r w:rsidRPr="00FF756A">
        <w:rPr>
          <w:b/>
        </w:rPr>
        <w:t xml:space="preserve"> </w:t>
      </w:r>
      <w:r w:rsidRPr="00FF756A">
        <w:t>Shqipëria ka miratuar legjislacion në lidhje me gazin dhe energjinë elektrike në përputhje me paketën e tretë të energjisë të BE-së. Është miratuar strategjia kombëtare për energjinë 2018-2030, si dhe është bërë progres me sektorin e gazit dhe me linjat e interkoneksionit.</w:t>
      </w:r>
    </w:p>
    <w:p w14:paraId="227508FB" w14:textId="3407EE15" w:rsidR="00D652D6" w:rsidRPr="00FF756A" w:rsidRDefault="00D652D6" w:rsidP="006E32BD">
      <w:pPr>
        <w:spacing w:before="40" w:after="40"/>
      </w:pPr>
      <w:r w:rsidRPr="00FF756A">
        <w:t>Vlerësimi i detajuar i temave më të rëndësishme:</w:t>
      </w:r>
    </w:p>
    <w:p w14:paraId="73E3189E" w14:textId="77777777" w:rsidR="008A529F" w:rsidRPr="00FF756A" w:rsidRDefault="008A529F" w:rsidP="006E32BD">
      <w:pPr>
        <w:spacing w:before="40" w:after="40"/>
      </w:pPr>
    </w:p>
    <w:p w14:paraId="08050922" w14:textId="77777777" w:rsidR="00DA2EDE" w:rsidRPr="00FF756A" w:rsidRDefault="00DA2EDE" w:rsidP="006E32BD">
      <w:pPr>
        <w:spacing w:before="40" w:after="40"/>
        <w:rPr>
          <w:i/>
          <w:iCs/>
          <w:u w:val="single"/>
        </w:rPr>
      </w:pPr>
      <w:r w:rsidRPr="00FF756A">
        <w:rPr>
          <w:i/>
          <w:iCs/>
          <w:u w:val="single"/>
        </w:rPr>
        <w:t>1.</w:t>
      </w:r>
      <w:r w:rsidRPr="00FF756A">
        <w:rPr>
          <w:i/>
          <w:iCs/>
          <w:u w:val="single"/>
        </w:rPr>
        <w:tab/>
        <w:t>Rregullat e ndarjes dhe të aksesit të palëve të treta</w:t>
      </w:r>
    </w:p>
    <w:p w14:paraId="4F97E41A" w14:textId="77777777" w:rsidR="00DA2EDE" w:rsidRPr="00FF756A" w:rsidRDefault="00DA2EDE" w:rsidP="004A3257">
      <w:pPr>
        <w:spacing w:before="40" w:after="40" w:line="240" w:lineRule="auto"/>
      </w:pPr>
      <w:r w:rsidRPr="00FF756A">
        <w:t>Në mars të vitit 2017, Enti shqiptar Rregullator i Energjisë (ERE) miratoi certifikimin e OST Sh.A. si operator i sistemit të transmetimit, në vijim të marrjes së një opinioni pozitiv nga Sekretariati i Komunitetit të Energjisë. Asambleja e ENTSO-E e pranoi OST Sh.A. si anëtar me të drejta të plota të rrjetit. Megjithatë, ERE vendosi disa kushte për OST Sh.A. në vendimet e saj të fundit për certifikimin. Këto kushte kishin të bënin me transferimin e detyrave lidhur me investimet tek organi i ri shtetëror që ka nën pronësi OST. Këto kushte nuk janë përmbushur ende, dhe afati për përmbushjen e tyre është shtyrë me tri vite.</w:t>
      </w:r>
    </w:p>
    <w:p w14:paraId="11168D25" w14:textId="73F50BCF" w:rsidR="00DA2EDE" w:rsidRPr="00FF756A" w:rsidRDefault="00656DD7" w:rsidP="004A3257">
      <w:pPr>
        <w:spacing w:before="40" w:after="40" w:line="240" w:lineRule="auto"/>
      </w:pPr>
      <w:r w:rsidRPr="00FF756A">
        <w:t>Më 1 janar 2020, u përfundua ndarja e operatorit të sistemit të shpërndarjes OSHEE sh.a nga aktiviteti i tij i furnizimit, me krijimin e tri shoqërive të reja, përkatësisht Furnizuesit të Tregut të Lirë (FTL sha), Furnizuesit të Shërbimit Universal (FSHU sha) dhe Operatorit të Sistemit të Shpërndarjes (OSSH sha).</w:t>
      </w:r>
    </w:p>
    <w:p w14:paraId="293173CC" w14:textId="0E5A7C69" w:rsidR="00DA2EDE" w:rsidRPr="00FF756A" w:rsidRDefault="00DA2EDE" w:rsidP="004A3257">
      <w:pPr>
        <w:spacing w:before="40" w:after="40" w:line="240" w:lineRule="auto"/>
      </w:pPr>
      <w:r w:rsidRPr="00FF756A">
        <w:lastRenderedPageBreak/>
        <w:t>Kuadri ligjor i ERE është përgjithësisht në përputhje me tërësinë e legjislacionit të BE-së, me përjashtim të disa kompetencave që mungojnë, të cilat ndonëse janë të pakta, janë të një rëndësie thelbësore. Ato përfshijnë të drejtën për të vendosur masa që nxisin konkurrencën, të drejtën për t’u kërkuar operatorëve të sistemit të transmetimit dhe të shpërndarjes që të ndryshojnë kushtet e tyre të përgjithshme dhe të drejtën për të rritur nivelin e sanksioneve që ERE ka të drejtën të vendosë. Nga ana praktike, ERE duhet të shndërrohet në një institucion të pavarur, të mirëpajisur dhe të aftë, që trajton në mënyrë më aktive mangësitë në tregjet kombëtare të energjisë.</w:t>
      </w:r>
    </w:p>
    <w:p w14:paraId="40638F54" w14:textId="08F2A8B2" w:rsidR="00D840B8" w:rsidRPr="00FF756A" w:rsidRDefault="00D840B8" w:rsidP="004A3257">
      <w:pPr>
        <w:spacing w:before="40" w:after="40" w:line="240" w:lineRule="auto"/>
      </w:pPr>
      <w:r w:rsidRPr="00FF756A">
        <w:t>Për sa i përket ndarjes së Operatorit të Tregut, më 23.10.2020 është regjistruar pranë Qendrës Kombëtare të Biznesit Bursa e Energjisë (ALPEX) dhe janë krijuar organet drejtuese të saj. Gjithashtu, është miratuar struktura organizative e shoqërisë ALPEX me Vendimin e Këshillit Mbikëqyrës të shoqërisë nr. 5, datë 19.11.2020, “</w:t>
      </w:r>
      <w:r w:rsidRPr="00FF756A">
        <w:rPr>
          <w:i/>
          <w:iCs/>
        </w:rPr>
        <w:t>Për miratimin e strukturës organizative të ALPEX</w:t>
      </w:r>
      <w:r w:rsidRPr="00FF756A">
        <w:t>”. Bursa e Energjisë, ALPEX, do të operojë tregun e ndërlidhur të ditës në avancë të Shqipërisë dhe Kosovës</w:t>
      </w:r>
      <w:r w:rsidR="008B1035" w:rsidRPr="00FF756A">
        <w:t>.</w:t>
      </w:r>
      <w:r w:rsidRPr="00FF756A">
        <w:t xml:space="preserve"> </w:t>
      </w:r>
    </w:p>
    <w:p w14:paraId="59AD36BE" w14:textId="77777777" w:rsidR="008A529F" w:rsidRPr="00FF756A" w:rsidRDefault="008A529F" w:rsidP="006E32BD">
      <w:pPr>
        <w:spacing w:before="40" w:after="40"/>
      </w:pPr>
    </w:p>
    <w:p w14:paraId="69342B27" w14:textId="77777777" w:rsidR="00DA2EDE" w:rsidRPr="00FF756A" w:rsidRDefault="00DA2EDE" w:rsidP="006E32BD">
      <w:pPr>
        <w:spacing w:before="40" w:after="40"/>
        <w:rPr>
          <w:i/>
          <w:iCs/>
          <w:u w:val="single"/>
        </w:rPr>
      </w:pPr>
      <w:r w:rsidRPr="00FF756A">
        <w:rPr>
          <w:i/>
          <w:iCs/>
          <w:u w:val="single"/>
        </w:rPr>
        <w:t xml:space="preserve">2. </w:t>
      </w:r>
      <w:r w:rsidRPr="00FF756A">
        <w:rPr>
          <w:i/>
          <w:iCs/>
          <w:u w:val="single"/>
        </w:rPr>
        <w:tab/>
        <w:t>Harmonizimi i rregullave të tregut në nivel rajonal</w:t>
      </w:r>
    </w:p>
    <w:p w14:paraId="11687367" w14:textId="77777777" w:rsidR="00DA2EDE" w:rsidRPr="00FF756A" w:rsidRDefault="00DA2EDE" w:rsidP="006E32BD">
      <w:pPr>
        <w:spacing w:before="40" w:after="40"/>
      </w:pPr>
      <w:r w:rsidRPr="00FF756A">
        <w:t>Vendi ka pasur vonesa në reformat e tregut të energjisë elektrike dhe duhet të përshpejtojë zbatimin e masave të reformës së lidhshmërisë, veçanërisht duke hequr pengesat ligjore dhe kontraktuale ndaj integrimit të tregjeve të energjisë. Shqipëria duhet të ngrejë një treg të organizuar të energjisë elektrike të ditës në avancë.</w:t>
      </w:r>
    </w:p>
    <w:p w14:paraId="6F1FF009" w14:textId="77777777" w:rsidR="00DA2EDE" w:rsidRPr="00FF756A" w:rsidRDefault="00DA2EDE" w:rsidP="00876542">
      <w:pPr>
        <w:spacing w:before="40" w:after="40"/>
      </w:pPr>
      <w:r w:rsidRPr="00FF756A">
        <w:t>Çmimet e energjisë elektrike vazhdojnë të jenë të rregulluara, por duhet të liberalizohen gradualisht me vënien në zbatim të legjislacionit. Liria që u është dhënë klientëve për të ndryshuar furnizues është e vështirë të ushtrohet në praktikë për shkak të ndryshimeve në ligjin e sektorit të energjisë elektrike. Gjithashtu, ka ende mangësi në zbatim, duke qenë se pjesës më të madhe të klientëve të lidhur në nivelin e tensionit 35 kV u lejohet të blejnë nga furnizuesi i mundësisë së fundit dhe të gjithë atyre që janë të lidhur në nivele më të ulëta tensioni u lejohet që të blejnë nga furnizuesi i shërbimit universal. Tregu i energjisë elektrike mbetet i mbyllur për shkak të një kontrate të rregulluar ndërmjet shoqërive të prodhimit dhe furnizimit në pronësi shtetërore. Kjo kontratë duhet të zgjidhet menjëherë.</w:t>
      </w:r>
    </w:p>
    <w:p w14:paraId="32593C01" w14:textId="77777777" w:rsidR="008A529F" w:rsidRPr="00FF756A" w:rsidRDefault="008A529F" w:rsidP="00876542">
      <w:pPr>
        <w:spacing w:before="40" w:after="40"/>
      </w:pPr>
    </w:p>
    <w:p w14:paraId="37487D42" w14:textId="603E5AE0" w:rsidR="00DA2EDE" w:rsidRPr="00FF756A" w:rsidRDefault="00DA2EDE" w:rsidP="006E32BD">
      <w:pPr>
        <w:spacing w:before="40" w:after="40"/>
        <w:rPr>
          <w:i/>
          <w:iCs/>
          <w:u w:val="single"/>
        </w:rPr>
      </w:pPr>
      <w:r w:rsidRPr="00FF756A">
        <w:rPr>
          <w:i/>
          <w:iCs/>
          <w:u w:val="single"/>
        </w:rPr>
        <w:t>3.</w:t>
      </w:r>
      <w:r w:rsidRPr="00FF756A">
        <w:rPr>
          <w:i/>
          <w:iCs/>
          <w:u w:val="single"/>
        </w:rPr>
        <w:tab/>
      </w:r>
      <w:r w:rsidR="001B08E9" w:rsidRPr="00FF756A">
        <w:rPr>
          <w:i/>
          <w:iCs/>
          <w:u w:val="single"/>
        </w:rPr>
        <w:t>Ngarkesa e (</w:t>
      </w:r>
      <w:r w:rsidRPr="00FF756A">
        <w:rPr>
          <w:i/>
          <w:iCs/>
          <w:u w:val="single"/>
        </w:rPr>
        <w:t>Kongjestioni</w:t>
      </w:r>
      <w:r w:rsidR="001B08E9" w:rsidRPr="00FF756A">
        <w:rPr>
          <w:i/>
          <w:iCs/>
          <w:u w:val="single"/>
        </w:rPr>
        <w:t xml:space="preserve">) </w:t>
      </w:r>
      <w:r w:rsidRPr="00FF756A">
        <w:rPr>
          <w:i/>
          <w:iCs/>
          <w:u w:val="single"/>
        </w:rPr>
        <w:t>interkoneksionit dhe menaxhimi i sigurisë</w:t>
      </w:r>
    </w:p>
    <w:p w14:paraId="72FA2DB5" w14:textId="59810AB4" w:rsidR="00DA2EDE" w:rsidRPr="00FF756A" w:rsidRDefault="00DA2EDE" w:rsidP="004A3257">
      <w:pPr>
        <w:spacing w:before="40" w:after="40" w:line="240" w:lineRule="auto"/>
      </w:pPr>
      <w:r w:rsidRPr="00FF756A">
        <w:rPr>
          <w:highlight w:val="yellow"/>
        </w:rPr>
        <w:t xml:space="preserve">Shqipëria nuk është </w:t>
      </w:r>
      <w:r w:rsidR="00D737FA" w:rsidRPr="00FF756A">
        <w:rPr>
          <w:highlight w:val="yellow"/>
        </w:rPr>
        <w:t xml:space="preserve">ende </w:t>
      </w:r>
      <w:r w:rsidRPr="00FF756A">
        <w:rPr>
          <w:highlight w:val="yellow"/>
        </w:rPr>
        <w:t>e ndërlidhur me rrjetet ndërkombëtare të gazit.</w:t>
      </w:r>
    </w:p>
    <w:p w14:paraId="02B865B4" w14:textId="59D196C5" w:rsidR="00DA2EDE" w:rsidRPr="00FF756A" w:rsidRDefault="00DA2EDE" w:rsidP="004A3257">
      <w:pPr>
        <w:spacing w:before="40" w:after="40" w:line="240" w:lineRule="auto"/>
      </w:pPr>
      <w:r w:rsidRPr="00FF756A">
        <w:t xml:space="preserve">Sistemi i energjisë elektrike në Shqipëri është </w:t>
      </w:r>
      <w:r w:rsidR="00815E4A" w:rsidRPr="00FF756A">
        <w:t xml:space="preserve">i </w:t>
      </w:r>
      <w:r w:rsidRPr="00FF756A">
        <w:t>ndërlidhur me sistemet fqinje të Greqisë dhe Malit të Zi që prej vitit 2014, kur Rrjeti Evropian i Operatorëve të Sistemit të Transmetimit (ENTSO-E) miratoi operimin në sinkron të sistemit shqiptar të transmetimit të energjisë elektrike me sistemin kontinental evropian.</w:t>
      </w:r>
    </w:p>
    <w:p w14:paraId="33E555CA" w14:textId="77777777" w:rsidR="00651AFF" w:rsidRPr="00FF756A" w:rsidRDefault="00651AFF" w:rsidP="004A3257">
      <w:pPr>
        <w:spacing w:before="40" w:after="40" w:line="240" w:lineRule="auto"/>
      </w:pPr>
      <w:r w:rsidRPr="00FF756A">
        <w:t>Shqipëria ka gjashtë linja ndërkombëtare ndërlidhjeje me vendet fqinje. Ndërlidhja rajonale sigurohet si më poshtë: Sistemi i Transmetimit të Energjisë Elektrike të Shqipërisë përfshin të gjitha linjat me tension prej 400 kV, 220 kV, 150 kV, 110 kV dhe nënstacionet ndërlidhëse ndërmjet tyre që shërbejnë për transmetimin dhe ndërlidhjen e energjisë elektrike.</w:t>
      </w:r>
    </w:p>
    <w:p w14:paraId="001900E7" w14:textId="77777777" w:rsidR="00651AFF" w:rsidRPr="00FF756A" w:rsidRDefault="00651AFF" w:rsidP="004A3257">
      <w:pPr>
        <w:spacing w:before="40" w:after="40" w:line="240" w:lineRule="auto"/>
      </w:pPr>
    </w:p>
    <w:p w14:paraId="35C3ECDA" w14:textId="3078E7C7" w:rsidR="006E32BD" w:rsidRPr="00FF756A" w:rsidRDefault="00651AFF" w:rsidP="004A3257">
      <w:pPr>
        <w:spacing w:before="40" w:after="40" w:line="240" w:lineRule="auto"/>
      </w:pPr>
      <w:r w:rsidRPr="00FF756A">
        <w:t>Gjatësia e linjave të sistemit të transmetimit sipas niveleve të tensionit është:</w:t>
      </w:r>
      <w:r w:rsidR="006D0227" w:rsidRPr="00FF756A">
        <w:t xml:space="preserve"> </w:t>
      </w:r>
      <w:r w:rsidRPr="00FF756A">
        <w:t>Linja e transmetimit 400 kV: 445.7 km</w:t>
      </w:r>
      <w:r w:rsidR="006D0227" w:rsidRPr="00FF756A">
        <w:t xml:space="preserve">; </w:t>
      </w:r>
      <w:r w:rsidRPr="00FF756A">
        <w:t>Linja e transmetimit 220 kV: 1,297.4 km</w:t>
      </w:r>
      <w:r w:rsidR="006D0227" w:rsidRPr="00FF756A">
        <w:t xml:space="preserve">; </w:t>
      </w:r>
      <w:r w:rsidRPr="00FF756A">
        <w:t>Linja e transmetimit 150 kV: 34.4 km</w:t>
      </w:r>
      <w:r w:rsidR="006D0227" w:rsidRPr="00FF756A">
        <w:t xml:space="preserve">; </w:t>
      </w:r>
      <w:r w:rsidRPr="00FF756A">
        <w:t>Linja e transmetimit 110 kV: 1,701 k</w:t>
      </w:r>
      <w:r w:rsidR="006D0227" w:rsidRPr="00FF756A">
        <w:t xml:space="preserve">m. </w:t>
      </w:r>
      <w:r w:rsidRPr="00FF756A">
        <w:t>Këto linja janë pjesë e sistemit të transmetimit dhe linjave ndërlidhëse me vendet fqinje, si më poshtë:</w:t>
      </w:r>
      <w:r w:rsidR="006D0227" w:rsidRPr="00FF756A">
        <w:t xml:space="preserve"> </w:t>
      </w:r>
      <w:r w:rsidRPr="00FF756A">
        <w:t>Linja ndërkombëtare 400 kV Zemblak (Shqipëri) – Kardia (Greqi)</w:t>
      </w:r>
      <w:r w:rsidR="006D0227" w:rsidRPr="00FF756A">
        <w:t xml:space="preserve">; </w:t>
      </w:r>
      <w:r w:rsidRPr="00FF756A">
        <w:t>Linja ndërkombëtare 400 kV Tiranë (Shqipëri) – Podgoricë (Mali i Zi)</w:t>
      </w:r>
      <w:r w:rsidR="006D0227" w:rsidRPr="00FF756A">
        <w:t xml:space="preserve">; </w:t>
      </w:r>
      <w:r w:rsidRPr="00FF756A">
        <w:t>Linja ndërkombëtare 400 kV Koman (Shqipëri) – Prishtinë (Kosovë)</w:t>
      </w:r>
      <w:r w:rsidR="006D0227" w:rsidRPr="00FF756A">
        <w:t xml:space="preserve"> </w:t>
      </w:r>
      <w:r w:rsidRPr="00FF756A">
        <w:t>Linja ndërkombëtare 220 kV Fierzë (Shqipëri) – Prizren (Kosovë)</w:t>
      </w:r>
      <w:r w:rsidR="006D0227" w:rsidRPr="00FF756A">
        <w:t xml:space="preserve">; </w:t>
      </w:r>
      <w:r w:rsidRPr="00FF756A">
        <w:t>Linja ndërkombëtare 220 kV Koplik (Shqipëri) – Podgoricë (Mali i Zi)</w:t>
      </w:r>
      <w:r w:rsidR="006D0227" w:rsidRPr="00FF756A">
        <w:t xml:space="preserve">; </w:t>
      </w:r>
      <w:r w:rsidRPr="00FF756A">
        <w:t>Linja ndërkombëtare 150 kV Bistricë (Shqipëri) – Myrtos (Greqi).</w:t>
      </w:r>
      <w:r w:rsidR="00DA2EDE" w:rsidRPr="00FF756A">
        <w:t xml:space="preserve"> </w:t>
      </w:r>
      <w:r w:rsidR="006D0227" w:rsidRPr="00FF756A">
        <w:t xml:space="preserve"> </w:t>
      </w:r>
      <w:r w:rsidR="00DA2EDE" w:rsidRPr="00FF756A">
        <w:t>Shqipëria merr pjesë gjithashtu në strategjinë makro-rajonale të BE-së për rajonin Adriatiko-Jonian (EUSAIR), për të cilën përmirësimi i lidhshmërisë (për rrjetet e transportit dhe të energjisë) përbën prioritet kryesor.</w:t>
      </w:r>
    </w:p>
    <w:p w14:paraId="054F648A" w14:textId="77777777" w:rsidR="00DA2EDE" w:rsidRPr="00FF756A" w:rsidRDefault="00DA2EDE" w:rsidP="008639B2">
      <w:pPr>
        <w:pStyle w:val="Heading5"/>
        <w:numPr>
          <w:ilvl w:val="4"/>
          <w:numId w:val="54"/>
        </w:numPr>
        <w:rPr>
          <w:rFonts w:ascii="Times New Roman" w:hAnsi="Times New Roman" w:cs="Times New Roman"/>
          <w:sz w:val="22"/>
          <w:szCs w:val="22"/>
        </w:rPr>
      </w:pPr>
      <w:bookmarkStart w:id="87" w:name="_Toc183639187"/>
      <w:r w:rsidRPr="00FF756A">
        <w:rPr>
          <w:rFonts w:ascii="Times New Roman" w:hAnsi="Times New Roman" w:cs="Times New Roman"/>
          <w:sz w:val="22"/>
          <w:szCs w:val="22"/>
        </w:rPr>
        <w:lastRenderedPageBreak/>
        <w:t>Rrjetet transevropiane</w:t>
      </w:r>
      <w:bookmarkEnd w:id="87"/>
    </w:p>
    <w:p w14:paraId="51D0A5CC" w14:textId="3A4EC4BC" w:rsidR="00DA2EDE" w:rsidRPr="00FF756A" w:rsidRDefault="00DA2EDE" w:rsidP="004A3257">
      <w:pPr>
        <w:spacing w:before="40" w:after="40" w:line="240" w:lineRule="auto"/>
      </w:pPr>
      <w:r w:rsidRPr="00FF756A">
        <w:t xml:space="preserve">Shqipëria ka një farë niveli përgatitjeje në fushën e rrjeteve transevropiane. Ajo ka pasur progres në zhvillim e rrjeteve të transportit dhe energjisë. Gjithashtu, është bërë </w:t>
      </w:r>
      <w:r w:rsidR="00B22AB7" w:rsidRPr="00FF756A">
        <w:t xml:space="preserve">disi </w:t>
      </w:r>
      <w:r w:rsidRPr="00FF756A">
        <w:t xml:space="preserve">progres edhe me sistemin e saj të interkoneksionit të gazit, me zbatimin e projektit të Gazsjellësit Trans-Adriatik. </w:t>
      </w:r>
    </w:p>
    <w:p w14:paraId="4C756EA2" w14:textId="77777777" w:rsidR="00DA2EDE" w:rsidRPr="00FF756A" w:rsidRDefault="00DA2EDE" w:rsidP="004A3257">
      <w:pPr>
        <w:spacing w:before="40" w:after="40" w:line="240" w:lineRule="auto"/>
      </w:pPr>
      <w:r w:rsidRPr="00FF756A">
        <w:t>Gjatë viteve në vijim, Shqipëria duhet në veçanti:</w:t>
      </w:r>
    </w:p>
    <w:p w14:paraId="5022096D" w14:textId="77777777" w:rsidR="00DA2EDE" w:rsidRPr="00FF756A" w:rsidRDefault="00DA2EDE" w:rsidP="004A3257">
      <w:pPr>
        <w:pStyle w:val="ListParagraph"/>
        <w:widowControl w:val="0"/>
        <w:numPr>
          <w:ilvl w:val="0"/>
          <w:numId w:val="9"/>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të vazhdojë zhvillimin e rrjeteve kryesore të transportit dhe energjisë në përputhje me:</w:t>
      </w:r>
    </w:p>
    <w:p w14:paraId="44D08CDD" w14:textId="77777777" w:rsidR="00DA2EDE" w:rsidRPr="00FF756A" w:rsidRDefault="00DA2EDE" w:rsidP="004A3257">
      <w:pPr>
        <w:pStyle w:val="ListParagraph"/>
        <w:widowControl w:val="0"/>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strategjitë kombëtare për transportin dhe energjinë;</w:t>
      </w:r>
    </w:p>
    <w:p w14:paraId="0FB8D434" w14:textId="77777777" w:rsidR="00DA2EDE" w:rsidRPr="00FF756A" w:rsidRDefault="00DA2EDE" w:rsidP="004A3257">
      <w:pPr>
        <w:pStyle w:val="ListParagraph"/>
        <w:widowControl w:val="0"/>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prioritizimin e investimeve në infrastrukturë në kuadër të kanalizimit të një projekti të vetëm; dhe</w:t>
      </w:r>
    </w:p>
    <w:p w14:paraId="40B1812B" w14:textId="5B58C6B2" w:rsidR="00DA2EDE" w:rsidRPr="00FF756A" w:rsidRDefault="00DA2EDE" w:rsidP="004A3257">
      <w:pPr>
        <w:pStyle w:val="ListParagraph"/>
        <w:widowControl w:val="0"/>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 xml:space="preserve">axhendën për </w:t>
      </w:r>
      <w:r w:rsidR="00360453" w:rsidRPr="00FF756A">
        <w:t>ndërlidhshmërinë</w:t>
      </w:r>
      <w:r w:rsidRPr="00FF756A">
        <w:t>;</w:t>
      </w:r>
    </w:p>
    <w:p w14:paraId="74B523E3" w14:textId="77777777" w:rsidR="00DA2EDE" w:rsidRPr="00FF756A" w:rsidRDefault="00DA2EDE" w:rsidP="004A3257">
      <w:pPr>
        <w:pStyle w:val="ListParagraph"/>
        <w:widowControl w:val="0"/>
        <w:numPr>
          <w:ilvl w:val="0"/>
          <w:numId w:val="9"/>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të harmonizojë kuadrin ligjor me tërësinë e legjislacionit të BE-së dhe rregulloret për TEN-T (rrjetet transevropiane të transportit) dhe TEN-E (rrjetet transevropiane të energjisë), duke përfshirë transpozimin e Rregullores (BE) 347/2013 për udhëzimet për infrastrukturën transevropiane të energjisë;</w:t>
      </w:r>
    </w:p>
    <w:p w14:paraId="642EB06D" w14:textId="21E62E24" w:rsidR="00DA2EDE" w:rsidRPr="00FF756A" w:rsidRDefault="00DA2EDE" w:rsidP="004A3257">
      <w:pPr>
        <w:pStyle w:val="ListParagraph"/>
        <w:widowControl w:val="0"/>
        <w:numPr>
          <w:ilvl w:val="0"/>
          <w:numId w:val="9"/>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 xml:space="preserve">të zbatojë masat e reformës së </w:t>
      </w:r>
      <w:r w:rsidR="00360453" w:rsidRPr="00FF756A">
        <w:t>ndërlidhshmërisë</w:t>
      </w:r>
      <w:r w:rsidR="008E796D" w:rsidRPr="00FF756A">
        <w:t xml:space="preserve"> </w:t>
      </w:r>
      <w:r w:rsidRPr="00FF756A">
        <w:t>dhe të fuqizojë kuadrin institucional dhe kapacitetet administrative për zhvillimin dhe monitorimin e TEN-ve.</w:t>
      </w:r>
    </w:p>
    <w:p w14:paraId="6E333444" w14:textId="606479FA" w:rsidR="00DA2EDE" w:rsidRPr="00FF756A" w:rsidRDefault="00DA2EDE" w:rsidP="004A3257">
      <w:pPr>
        <w:spacing w:before="40" w:after="40" w:line="240" w:lineRule="auto"/>
      </w:pPr>
      <w:r w:rsidRPr="00FF756A">
        <w:t xml:space="preserve">Shqipëria po bën progres drejt ngritjes së kuadrit strategjik të vendit </w:t>
      </w:r>
      <w:r w:rsidRPr="00FF756A">
        <w:rPr>
          <w:b/>
        </w:rPr>
        <w:t>për rrjetet e transportit.</w:t>
      </w:r>
      <w:r w:rsidRPr="00FF756A">
        <w:t xml:space="preserve"> Shqipëria synon të harmonizojë kuadrin e saj ligjor dhe institucional me Rregulloren e BE-së për TEN-T dhe Traktatin e Komunitetit të Transportit, të cilin e ka nënshkruar në qershor të vitit 2017 dhe ratifikuar në shkurt të vitit 2018. Shqipëria merr pjesë në mënyrë aktive në proceset e Observatorit të Transportit për Evropën Juglindore (i cili u zëvendësua me Traktatin e Komunitetit të Transportit në janar 2019) si dhe në ato të 6 vendeve të Ballkanit Perëndimor (BP6), me fokus përmirësimin e </w:t>
      </w:r>
      <w:r w:rsidR="00981EB9" w:rsidRPr="00FF756A">
        <w:t>ndër</w:t>
      </w:r>
      <w:r w:rsidRPr="00FF756A">
        <w:t>lidhshmërisë brenda vendeve të BP6 dhe midis tyre dhe BE-së. Strategjia kombëtare e transportit dhe plani i veprimit për periudhën 2016-2020 parashikon shtrirjen e rrjeteve të përgjithshme dhe bazë të TEN-T edhe në Shqipëri, si dhe një harmonizim me udhëzimet e TEN-T dhe standardet e rregulloret e BE-së. Është bërë progres me hartimin e rishikimit të dytë të planit kombëtar shqiptar të transportit (PKT3), i cili ka përfunduar në janar të vitit 2019.</w:t>
      </w:r>
    </w:p>
    <w:p w14:paraId="3D68F968" w14:textId="77777777" w:rsidR="00DA2EDE" w:rsidRPr="00FF756A" w:rsidRDefault="00DA2EDE" w:rsidP="004A3257">
      <w:pPr>
        <w:spacing w:before="40" w:after="40" w:line="240" w:lineRule="auto"/>
      </w:pPr>
      <w:r w:rsidRPr="00FF756A">
        <w:t>Shqipëria ka bërë progres me riparimin e infrastrukturës së saj rrugore në rrjetin kryesor. Gjithashtu, ka pasur progres edhe në përgatitjen e projekteve të infrastrukturës rrugore dhe hekurudhore, veçanërisht përgjatë korridorit Adriatiko-Jonian dhe korridorit VIII. Përmirësimi i hekurudhës Durrës-Tiranë është planifikuar të fillojë në mesin e vitit 2019. Shqipëria duhet të garantojë që projektet e saj për rrjetin e transportit të zbatohen në përputhje me kuadrin rregullator të TEN-T. Investimet e ardhshme në infrastrukturë duhet të zbatohen në përputhje me standardet e BE-së për prokurimet publike, ndihmën shtetërore dhe VNM-të. Projektet duhet të bashkërendohen përmes kanalizimit të një projekti të vetëm, që konfirmon orientimin strategjik të vendit drejt TEN-ve. Nevojiten përpjekje të mëtejshme për sigurinë në rrugë. Duhet të merren masa më të rrepta për të rregulluar pikat me rrezik përgjatë segmenteve rrugore me nivele të larta aksidentesh. Miratimi i planeve shumëvjeçare të mirëmbajtjes për mbarë rrjetin kryesor (hekurudhor dhe rrugor) mbetet ende një sfidë.</w:t>
      </w:r>
    </w:p>
    <w:p w14:paraId="7F34E96A" w14:textId="77777777" w:rsidR="00DA2EDE" w:rsidRPr="00FF756A" w:rsidRDefault="00DA2EDE" w:rsidP="004A3257">
      <w:pPr>
        <w:spacing w:before="40" w:after="40" w:line="240" w:lineRule="auto"/>
      </w:pPr>
      <w:r w:rsidRPr="00FF756A">
        <w:t>Shqipëria ka arritur harmonizimin e pjesshëm me tërësinë e legjislacionit të BE-së për një zonë të vetme hekurudhore evropiane, ndërveprueshmëri të sistemit hekurudhor dhe korridore hekurudhore për transportin konkurrues të mallrave.</w:t>
      </w:r>
    </w:p>
    <w:p w14:paraId="2BEB7129" w14:textId="1DED5B6E" w:rsidR="00DA2EDE" w:rsidRPr="00FF756A" w:rsidRDefault="00DA2EDE" w:rsidP="004A3257">
      <w:pPr>
        <w:spacing w:before="40" w:after="40" w:line="240" w:lineRule="auto"/>
      </w:pPr>
      <w:r w:rsidRPr="00FF756A">
        <w:t>Nevojiten përpjekje të mëtejshme për:</w:t>
      </w:r>
    </w:p>
    <w:p w14:paraId="0260E9DF" w14:textId="77777777" w:rsidR="00DA2EDE" w:rsidRPr="00FF756A" w:rsidRDefault="00DA2EDE" w:rsidP="004A3257">
      <w:pPr>
        <w:pStyle w:val="ListParagraph"/>
        <w:widowControl w:val="0"/>
        <w:numPr>
          <w:ilvl w:val="0"/>
          <w:numId w:val="11"/>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përafrimin e kuadrit ligjor të brendshëm me direktivën për sistemet e transportit inteligjent,</w:t>
      </w:r>
    </w:p>
    <w:p w14:paraId="5AF8B76C" w14:textId="77777777" w:rsidR="00DA2EDE" w:rsidRPr="00FF756A" w:rsidRDefault="00DA2EDE" w:rsidP="004A3257">
      <w:pPr>
        <w:pStyle w:val="ListParagraph"/>
        <w:widowControl w:val="0"/>
        <w:numPr>
          <w:ilvl w:val="0"/>
          <w:numId w:val="11"/>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zhvillimin e strategjisë kombëtare për sistemet inteligjente të transportit (SIT); dhe</w:t>
      </w:r>
    </w:p>
    <w:p w14:paraId="12A198E9" w14:textId="77777777" w:rsidR="00DA2EDE" w:rsidRPr="00FF756A" w:rsidRDefault="00DA2EDE" w:rsidP="004A3257">
      <w:pPr>
        <w:pStyle w:val="ListParagraph"/>
        <w:widowControl w:val="0"/>
        <w:numPr>
          <w:ilvl w:val="0"/>
          <w:numId w:val="11"/>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përgatitjen për zbatimin e kësaj strategjie.</w:t>
      </w:r>
    </w:p>
    <w:p w14:paraId="5C73D1A0" w14:textId="77777777" w:rsidR="00DA2EDE" w:rsidRPr="00FF756A" w:rsidRDefault="00DA2EDE" w:rsidP="00EF0D31">
      <w:pPr>
        <w:rPr>
          <w:rFonts w:eastAsia="Arial"/>
        </w:rPr>
      </w:pPr>
    </w:p>
    <w:p w14:paraId="623DBCB1" w14:textId="77777777" w:rsidR="00DA2EDE" w:rsidRPr="00FF756A" w:rsidRDefault="00DA2EDE" w:rsidP="008639B2">
      <w:pPr>
        <w:pStyle w:val="Heading4"/>
        <w:numPr>
          <w:ilvl w:val="3"/>
          <w:numId w:val="54"/>
        </w:numPr>
        <w:rPr>
          <w:rFonts w:cs="Times New Roman"/>
        </w:rPr>
      </w:pPr>
      <w:bookmarkStart w:id="88" w:name="_Toc183639188"/>
      <w:r w:rsidRPr="00FF756A">
        <w:rPr>
          <w:rFonts w:cs="Times New Roman"/>
        </w:rPr>
        <w:t>Dimensioni i kërkimit, inovacionit dhe konkurrencës</w:t>
      </w:r>
      <w:bookmarkEnd w:id="88"/>
    </w:p>
    <w:p w14:paraId="7313CC5C" w14:textId="6C9289C3" w:rsidR="009256DE" w:rsidRPr="00FF756A" w:rsidRDefault="00DA2EDE" w:rsidP="004A3257">
      <w:pPr>
        <w:spacing w:before="40" w:after="40" w:line="240" w:lineRule="auto"/>
      </w:pPr>
      <w:r w:rsidRPr="00FF756A">
        <w:rPr>
          <w:color w:val="000000" w:themeColor="text1"/>
        </w:rPr>
        <w:t xml:space="preserve">Baza ligjore për kërkimin dhe inovacionin është VKM nr. 710, datë 1.12.2017 “Për miratimin e strategjisë kombëtare për shkencën, teknologjinë dhe inovacionin”. </w:t>
      </w:r>
      <w:r w:rsidR="009256DE" w:rsidRPr="00FF756A">
        <w:t xml:space="preserve">Në vitin 2021 u ngrit një grup pune ndërministror i cili ka për detyrë të koordinojë masat </w:t>
      </w:r>
      <w:r w:rsidR="009256DE" w:rsidRPr="00FF756A">
        <w:rPr>
          <w:color w:val="000000" w:themeColor="text1"/>
        </w:rPr>
        <w:t>politike për shkencën, teknologjinë dhe inovacionin</w:t>
      </w:r>
      <w:r w:rsidR="009256DE" w:rsidRPr="00FF756A">
        <w:t xml:space="preserve"> (SHTI) dhe zbatimin e tyre</w:t>
      </w:r>
      <w:r w:rsidR="0058104E" w:rsidRPr="00FF756A">
        <w:t>. P</w:t>
      </w:r>
      <w:r w:rsidR="009256DE" w:rsidRPr="00FF756A">
        <w:t xml:space="preserve">ërpjekjet e këtij grupi bazohen në vlerësimin e ndikimit të strategjisë së </w:t>
      </w:r>
      <w:r w:rsidR="009256DE" w:rsidRPr="00FF756A">
        <w:lastRenderedPageBreak/>
        <w:t xml:space="preserve">mëparshme të SHTI-së, çka përbën një hap të rëndësishëm për të siguruar që përparësitë e SHTI-së dhe aktivitetet e ardhshme të jenë të harmonizuara dhe të bashkërenduara. </w:t>
      </w:r>
    </w:p>
    <w:p w14:paraId="0D831701" w14:textId="40DA6679" w:rsidR="009256DE" w:rsidRPr="00FF756A" w:rsidRDefault="009256DE" w:rsidP="004A3257">
      <w:pPr>
        <w:spacing w:after="120" w:line="240" w:lineRule="auto"/>
      </w:pPr>
      <w:r w:rsidRPr="00FF756A">
        <w:t xml:space="preserve">Ndërsa AKKSHI-ja është </w:t>
      </w:r>
      <w:r w:rsidR="0058104E" w:rsidRPr="00FF756A">
        <w:t>institucioni</w:t>
      </w:r>
      <w:r w:rsidRPr="00FF756A">
        <w:t xml:space="preserve"> kryesor për kërkimin shkencor dhe edukimin, Agjencia e Inovacionit dhe Ekselencës synon kryesisht NVM-të me qëllim nxitjen e inovacionit. Pa dyshim që nevojitet një koordinim i mirë</w:t>
      </w:r>
      <w:r w:rsidR="0034422A" w:rsidRPr="00FF756A">
        <w:t>. V</w:t>
      </w:r>
      <w:r w:rsidRPr="00FF756A">
        <w:t xml:space="preserve">etëm në këtë mënyrë mund të sigurohet që rezultatet e kërkimit të shndërrohen në produkte dhe shërbime inovative në treg.  </w:t>
      </w:r>
    </w:p>
    <w:p w14:paraId="113DFB80" w14:textId="77777777" w:rsidR="005D326C" w:rsidRPr="00FF756A" w:rsidRDefault="005D326C" w:rsidP="004A3257">
      <w:pPr>
        <w:spacing w:after="120" w:line="240" w:lineRule="auto"/>
      </w:pPr>
      <w:r w:rsidRPr="00FF756A">
        <w:t>Këto institucione synojnë të rrisin inovacionin në fusha të ndryshme, duke përfshirë ekonominë, kulturën, teknologjinë, sigurinë dhe mbrojtjen.</w:t>
      </w:r>
    </w:p>
    <w:p w14:paraId="11E6280F" w14:textId="77777777" w:rsidR="005D326C" w:rsidRPr="00FF756A" w:rsidRDefault="005D326C" w:rsidP="004A3257">
      <w:pPr>
        <w:spacing w:after="120" w:line="240" w:lineRule="auto"/>
        <w:rPr>
          <w:u w:val="single"/>
        </w:rPr>
      </w:pPr>
      <w:r w:rsidRPr="00FF756A">
        <w:rPr>
          <w:u w:val="single"/>
        </w:rPr>
        <w:t>Disa nga këto institucione janë:</w:t>
      </w:r>
    </w:p>
    <w:p w14:paraId="459B70A9" w14:textId="77777777" w:rsidR="005D326C" w:rsidRPr="00FF756A" w:rsidRDefault="005D326C" w:rsidP="004A3257">
      <w:pPr>
        <w:spacing w:after="120" w:line="240" w:lineRule="auto"/>
      </w:pPr>
      <w:r w:rsidRPr="00FF756A">
        <w:t>1. Ministria e Ekonomisë, Kulturës dhe Inovacionit:</w:t>
      </w:r>
    </w:p>
    <w:p w14:paraId="773DD97C" w14:textId="77777777" w:rsidR="005D326C" w:rsidRPr="00FF756A" w:rsidRDefault="005D326C" w:rsidP="004A3257">
      <w:pPr>
        <w:spacing w:after="120" w:line="240" w:lineRule="auto"/>
      </w:pPr>
      <w:r w:rsidRPr="00FF756A">
        <w:t>Krijuar me vendimin nr.30, datë 17.01.2024, “Për përcaktimin e fushëveprimit të përgjegjësisë shtetërore të Ministrisë së Ekonomisë, Kulturës dhe Inovacionit”.</w:t>
      </w:r>
    </w:p>
    <w:p w14:paraId="1ACD5EF0" w14:textId="5AD65E66" w:rsidR="005D326C" w:rsidRPr="00FF756A" w:rsidRDefault="005D326C" w:rsidP="004A3257">
      <w:pPr>
        <w:spacing w:after="120" w:line="240" w:lineRule="auto"/>
      </w:pPr>
      <w:r w:rsidRPr="00FF756A">
        <w:t xml:space="preserve">Link: </w:t>
      </w:r>
      <w:hyperlink r:id="rId36" w:history="1">
        <w:r w:rsidR="0034422A" w:rsidRPr="00FF756A">
          <w:rPr>
            <w:rStyle w:val="Hyperlink"/>
          </w:rPr>
          <w:t>https://qbz.gov.al/eli/vendim/2024/01/17/30/b0fc5faf-dd6b-48a8-905a-a533216b400e</w:t>
        </w:r>
      </w:hyperlink>
      <w:r w:rsidR="0034422A" w:rsidRPr="00FF756A">
        <w:t xml:space="preserve"> </w:t>
      </w:r>
    </w:p>
    <w:p w14:paraId="53BFDE73" w14:textId="77777777" w:rsidR="005D326C" w:rsidRPr="00FF756A" w:rsidRDefault="005D326C" w:rsidP="004A3257">
      <w:pPr>
        <w:spacing w:after="120" w:line="240" w:lineRule="auto"/>
      </w:pPr>
      <w:r w:rsidRPr="00FF756A">
        <w:t>2. Agjencia për Inovacion dhe Ekselencë</w:t>
      </w:r>
    </w:p>
    <w:p w14:paraId="02C5C3A3" w14:textId="5CB57ECC" w:rsidR="005D326C" w:rsidRPr="00FF756A" w:rsidRDefault="005D326C" w:rsidP="004A3257">
      <w:pPr>
        <w:spacing w:after="120" w:line="240" w:lineRule="auto"/>
      </w:pPr>
      <w:r w:rsidRPr="00FF756A">
        <w:t xml:space="preserve">Krijuar me Vendimin e Këshillit të Ministrave nr.620, datë 1 nëntor 2023, agjencia është përgjegjëse për inovacionin dhe ekselencën në Shqipëri. Misioni i saj është të kontribuojë, të promovojë inovacionin dhe të angazhojë ekspertë në administratën publike si në nivel lokal ashtu edhe në atë ndërkombëtar. Agjencia </w:t>
      </w:r>
      <w:r w:rsidR="00B55F80" w:rsidRPr="00FF756A">
        <w:t xml:space="preserve">promovon </w:t>
      </w:r>
      <w:r w:rsidRPr="00FF756A">
        <w:t>zba</w:t>
      </w:r>
      <w:r w:rsidR="00B55F80" w:rsidRPr="00FF756A">
        <w:t xml:space="preserve">timin e </w:t>
      </w:r>
      <w:r w:rsidRPr="00FF756A">
        <w:t>teknologjive të avancuara përmes formulimit dhe zbatimit të politikave në bashkëpunim me ministritë përkatëse në fushat që lidhen me inovacionin.</w:t>
      </w:r>
    </w:p>
    <w:p w14:paraId="77EF003B" w14:textId="46B31926" w:rsidR="005D326C" w:rsidRPr="00FF756A" w:rsidRDefault="005D326C" w:rsidP="004A3257">
      <w:pPr>
        <w:spacing w:after="120" w:line="240" w:lineRule="auto"/>
        <w:rPr>
          <w:sz w:val="20"/>
          <w:szCs w:val="20"/>
        </w:rPr>
      </w:pPr>
      <w:r w:rsidRPr="00FF756A">
        <w:rPr>
          <w:sz w:val="20"/>
          <w:szCs w:val="20"/>
        </w:rPr>
        <w:t xml:space="preserve">Link: </w:t>
      </w:r>
      <w:hyperlink r:id="rId37" w:history="1">
        <w:r w:rsidR="00E277D2" w:rsidRPr="00FF756A">
          <w:rPr>
            <w:rStyle w:val="Hyperlink"/>
            <w:sz w:val="20"/>
            <w:szCs w:val="20"/>
          </w:rPr>
          <w:t>https://qbz.gov.al/eli/vendim/2023/11/01/620/ffa80caa-58d5-4b1b-80c7-17c54a6a71f5</w:t>
        </w:r>
      </w:hyperlink>
      <w:r w:rsidR="00E277D2" w:rsidRPr="00FF756A">
        <w:rPr>
          <w:sz w:val="20"/>
          <w:szCs w:val="20"/>
        </w:rPr>
        <w:t xml:space="preserve"> </w:t>
      </w:r>
    </w:p>
    <w:p w14:paraId="26E8C43C" w14:textId="77777777" w:rsidR="005D326C" w:rsidRPr="00FF756A" w:rsidRDefault="005D326C" w:rsidP="004A3257">
      <w:pPr>
        <w:spacing w:after="120" w:line="240" w:lineRule="auto"/>
      </w:pPr>
      <w:r w:rsidRPr="00FF756A">
        <w:t>3. Ministria e Financave</w:t>
      </w:r>
    </w:p>
    <w:p w14:paraId="4ABCF276" w14:textId="77777777" w:rsidR="005D326C" w:rsidRPr="00FF756A" w:rsidRDefault="005D326C" w:rsidP="004A3257">
      <w:pPr>
        <w:spacing w:after="120" w:line="240" w:lineRule="auto"/>
      </w:pPr>
      <w:r w:rsidRPr="00FF756A">
        <w:t>Ligji nr. 58/2022 “Për krijimin, organizimin dhe funksionimin e parqeve teknologjike dhe shkencore” tregon se Shqipëria ka një interes specifik për zhvillimin dhe promovimin e industrisë së teknologjisë dhe shkencës në vend.</w:t>
      </w:r>
    </w:p>
    <w:p w14:paraId="4DAE6957" w14:textId="446DFD17" w:rsidR="005D326C" w:rsidRPr="00FF756A" w:rsidRDefault="005D326C" w:rsidP="004A3257">
      <w:pPr>
        <w:spacing w:after="120" w:line="240" w:lineRule="auto"/>
        <w:rPr>
          <w:sz w:val="20"/>
          <w:szCs w:val="20"/>
        </w:rPr>
      </w:pPr>
      <w:r w:rsidRPr="00FF756A">
        <w:rPr>
          <w:sz w:val="20"/>
          <w:szCs w:val="20"/>
        </w:rPr>
        <w:t xml:space="preserve">Link: </w:t>
      </w:r>
      <w:hyperlink r:id="rId38" w:history="1">
        <w:r w:rsidR="00E277D2" w:rsidRPr="00FF756A">
          <w:rPr>
            <w:rStyle w:val="Hyperlink"/>
            <w:sz w:val="20"/>
            <w:szCs w:val="20"/>
          </w:rPr>
          <w:t>https://www.qbz.gov.al/eli/ligj/2022/07/14/58/e68548b9-1260-4425-973b-0a15f1d00cde</w:t>
        </w:r>
      </w:hyperlink>
      <w:r w:rsidR="00E277D2" w:rsidRPr="00FF756A">
        <w:rPr>
          <w:sz w:val="20"/>
          <w:szCs w:val="20"/>
        </w:rPr>
        <w:t xml:space="preserve"> </w:t>
      </w:r>
    </w:p>
    <w:p w14:paraId="370C0B98" w14:textId="77777777" w:rsidR="005D326C" w:rsidRPr="00FF756A" w:rsidRDefault="005D326C" w:rsidP="004A3257">
      <w:pPr>
        <w:spacing w:after="120" w:line="240" w:lineRule="auto"/>
      </w:pPr>
      <w:r w:rsidRPr="00FF756A">
        <w:t>4. Qendra e Inovacionit të Sigurisë dhe Mbrojtjes:</w:t>
      </w:r>
    </w:p>
    <w:p w14:paraId="642589A7" w14:textId="1F6E0379" w:rsidR="005D326C" w:rsidRPr="00FF756A" w:rsidRDefault="005D326C" w:rsidP="004A3257">
      <w:pPr>
        <w:spacing w:after="120" w:line="240" w:lineRule="auto"/>
      </w:pPr>
      <w:r w:rsidRPr="00FF756A">
        <w:t xml:space="preserve">Krijimi i kësaj qendre </w:t>
      </w:r>
      <w:r w:rsidR="00516575" w:rsidRPr="00FF756A">
        <w:t>me vendimin nr.472, datë 26.07.2023</w:t>
      </w:r>
      <w:r w:rsidR="00507AC1" w:rsidRPr="00FF756A">
        <w:t xml:space="preserve">, </w:t>
      </w:r>
      <w:r w:rsidRPr="00FF756A">
        <w:t>në varësi të Ministrisë së Mbrojtjes, dëshmon përkushtimin ndaj inovacionit në fushën e sigurisë dhe mbrojtjes, fushë që kërkon zhvillim të vazhdueshëm teknologjik për të mbrojtur vendin.</w:t>
      </w:r>
    </w:p>
    <w:p w14:paraId="431F18B8" w14:textId="2B9A4F18" w:rsidR="00516575" w:rsidRPr="00FF756A" w:rsidRDefault="005D326C" w:rsidP="005E4558">
      <w:pPr>
        <w:spacing w:after="120" w:line="240" w:lineRule="auto"/>
        <w:jc w:val="left"/>
      </w:pPr>
      <w:r w:rsidRPr="00FF756A">
        <w:t>Link:</w:t>
      </w:r>
      <w:r w:rsidR="00516575" w:rsidRPr="00FF756A">
        <w:t xml:space="preserve"> </w:t>
      </w:r>
      <w:hyperlink r:id="rId39" w:history="1">
        <w:r w:rsidR="00516575" w:rsidRPr="00FF756A">
          <w:rPr>
            <w:rStyle w:val="Hyperlink"/>
          </w:rPr>
          <w:t>h</w:t>
        </w:r>
        <w:r w:rsidR="00516575" w:rsidRPr="00FF756A">
          <w:rPr>
            <w:rStyle w:val="Hyperlink"/>
            <w:sz w:val="20"/>
            <w:szCs w:val="20"/>
          </w:rPr>
          <w:t>ttps://qbz.gov.al/eli/vendim/2023/07/26/472/01d6777e-93bb-40cd-9aaaf614ad31b6d9;q=Qendra%20e%20Inovacionit%20t%C3%AB%C3Siguri%AB%20dhe%20Mbrojtjes</w:t>
        </w:r>
      </w:hyperlink>
      <w:r w:rsidR="00516575" w:rsidRPr="00FF756A">
        <w:rPr>
          <w:sz w:val="20"/>
          <w:szCs w:val="20"/>
        </w:rPr>
        <w:t xml:space="preserve">  </w:t>
      </w:r>
    </w:p>
    <w:p w14:paraId="04554A46" w14:textId="35A62D28" w:rsidR="008D72C1" w:rsidRPr="00FF756A" w:rsidRDefault="005331E2" w:rsidP="004A3257">
      <w:pPr>
        <w:spacing w:after="120" w:line="240" w:lineRule="auto"/>
      </w:pPr>
      <w:r w:rsidRPr="00FF756A">
        <w:t xml:space="preserve"> </w:t>
      </w:r>
    </w:p>
    <w:p w14:paraId="599DFB71" w14:textId="59D90842" w:rsidR="004D204D" w:rsidRPr="00FF756A" w:rsidRDefault="00FD6CA7" w:rsidP="005D326C">
      <w:pPr>
        <w:spacing w:after="120"/>
        <w:rPr>
          <w:b/>
          <w:bCs/>
        </w:rPr>
      </w:pPr>
      <w:r w:rsidRPr="00FF756A">
        <w:rPr>
          <w:b/>
          <w:bCs/>
        </w:rPr>
        <w:t>Shkenca, Teknologjia dhe sistemet e inovacionit (S</w:t>
      </w:r>
      <w:r w:rsidR="00824D18" w:rsidRPr="00FF756A">
        <w:rPr>
          <w:b/>
          <w:bCs/>
        </w:rPr>
        <w:t>h</w:t>
      </w:r>
      <w:r w:rsidRPr="00FF756A">
        <w:rPr>
          <w:b/>
          <w:bCs/>
        </w:rPr>
        <w:t xml:space="preserve">TI) </w:t>
      </w:r>
    </w:p>
    <w:p w14:paraId="0D8B05AA" w14:textId="369BC43B" w:rsidR="002C27C1" w:rsidRPr="00FF756A" w:rsidRDefault="002C27C1" w:rsidP="009256DE">
      <w:pPr>
        <w:rPr>
          <w:color w:val="000000" w:themeColor="text1"/>
        </w:rPr>
      </w:pPr>
      <w:r w:rsidRPr="00FF756A">
        <w:rPr>
          <w:color w:val="000000" w:themeColor="text1"/>
        </w:rPr>
        <w:t>Vlerësimi i plotë i gjendjes aktuale të Shkencës, Teknologjisë dhe Inovacionit (S</w:t>
      </w:r>
      <w:r w:rsidR="00E16C04" w:rsidRPr="00FF756A">
        <w:rPr>
          <w:color w:val="000000" w:themeColor="text1"/>
        </w:rPr>
        <w:t>h</w:t>
      </w:r>
      <w:r w:rsidRPr="00FF756A">
        <w:rPr>
          <w:color w:val="000000" w:themeColor="text1"/>
        </w:rPr>
        <w:t>TI) në Shqipëri mbetet i vështirë për shkak të mungesës së të dhënave statistikore. Megjithëse të dhënat nuk mblidhen në mënyrë sistematike, investimet totale në kërkime dhe zhvillim (R&amp;D) mbeten të ulëta, ndërsa rezultatet e kërkimeve shkencore janë të kufizuara, me numrin e aplikimeve për patenta kombëtare që mbetet i pandryshuar.</w:t>
      </w:r>
    </w:p>
    <w:p w14:paraId="02002D7D" w14:textId="79B6EB00" w:rsidR="009256DE" w:rsidRPr="00FF756A" w:rsidRDefault="009256DE" w:rsidP="004A3257">
      <w:pPr>
        <w:spacing w:line="240" w:lineRule="auto"/>
      </w:pPr>
      <w:r w:rsidRPr="00FF756A">
        <w:rPr>
          <w:color w:val="000000" w:themeColor="text1"/>
        </w:rPr>
        <w:t xml:space="preserve">Në shtator 2023 u miratua një strategji e re për SHTI-në, për periudhën 2023-2030. Krahasuar me atë të mëparshme e cila u përmbyll në vitin 2022, kjo strategji merr në konsideratë rezultatet e vlerësimit të ndikimit të strategjisë së mëparshme dhe përfshin disa objektiva të rëndësishme të përafruara me ato të Zonës Kërkimore Evropiane (ZKE), të tilla si </w:t>
      </w:r>
      <w:r w:rsidRPr="00FF756A">
        <w:t xml:space="preserve">sigurimi i aksesit të hapur në internet për të gjitha botimet shkencore me financim publik dhe krijimi i stimujve ligjorë dhe fiskalë për të inkurajuar bizneset që të financojnë kërkimin shkencor. </w:t>
      </w:r>
    </w:p>
    <w:p w14:paraId="60EF9B59" w14:textId="5227F4F1" w:rsidR="00B87F9D" w:rsidRPr="00FF756A" w:rsidRDefault="00B87F9D" w:rsidP="0089767C">
      <w:pPr>
        <w:pStyle w:val="BulletedList"/>
        <w:numPr>
          <w:ilvl w:val="0"/>
          <w:numId w:val="0"/>
        </w:numPr>
        <w:rPr>
          <w:rFonts w:ascii="Times New Roman" w:eastAsia="MS Mincho" w:hAnsi="Times New Roman" w:cs="Times New Roman"/>
          <w:sz w:val="22"/>
          <w:lang w:val="sq-AL"/>
        </w:rPr>
      </w:pPr>
      <w:r w:rsidRPr="00FF756A">
        <w:rPr>
          <w:rFonts w:ascii="Times New Roman" w:eastAsia="MS Mincho" w:hAnsi="Times New Roman" w:cs="Times New Roman"/>
          <w:sz w:val="22"/>
          <w:lang w:val="sq-AL"/>
        </w:rPr>
        <w:t>Strategjia e re e Shkencës, Teknologjisë dhe Inovacionit (STI) e Shqipërisë 2023-2030 është miratuar me VKM Nr. 542, datë 20.09.2023 dhe është publikuar në Fletoren Zyrtare.</w:t>
      </w:r>
    </w:p>
    <w:p w14:paraId="37E8D1FD" w14:textId="1B5DF4D0" w:rsidR="0089767C" w:rsidRPr="00FF756A" w:rsidRDefault="0089767C" w:rsidP="0089767C">
      <w:pPr>
        <w:pStyle w:val="BulletedList"/>
        <w:numPr>
          <w:ilvl w:val="0"/>
          <w:numId w:val="0"/>
        </w:numPr>
        <w:rPr>
          <w:rFonts w:ascii="Times New Roman" w:eastAsia="MS Mincho" w:hAnsi="Times New Roman" w:cs="Times New Roman"/>
          <w:color w:val="auto"/>
          <w:sz w:val="18"/>
          <w:szCs w:val="18"/>
          <w:lang w:val="sq-AL"/>
        </w:rPr>
      </w:pPr>
      <w:r w:rsidRPr="00FF756A">
        <w:rPr>
          <w:rFonts w:ascii="Times New Roman" w:eastAsia="MS Mincho" w:hAnsi="Times New Roman" w:cs="Times New Roman"/>
          <w:color w:val="auto"/>
          <w:sz w:val="18"/>
          <w:szCs w:val="18"/>
          <w:lang w:val="sq-AL"/>
        </w:rPr>
        <w:lastRenderedPageBreak/>
        <w:t xml:space="preserve">Link: </w:t>
      </w:r>
      <w:r w:rsidR="006515B9" w:rsidRPr="00FF756A">
        <w:rPr>
          <w:rFonts w:ascii="Times New Roman" w:eastAsia="MS Mincho" w:hAnsi="Times New Roman" w:cs="Times New Roman"/>
          <w:color w:val="auto"/>
          <w:sz w:val="18"/>
          <w:szCs w:val="18"/>
          <w:lang w:val="sq-AL"/>
        </w:rPr>
        <w:t xml:space="preserve"> </w:t>
      </w:r>
      <w:hyperlink r:id="rId40" w:history="1">
        <w:r w:rsidR="006515B9" w:rsidRPr="00FF756A">
          <w:rPr>
            <w:rStyle w:val="Hyperlink"/>
            <w:rFonts w:ascii="Times New Roman" w:hAnsi="Times New Roman" w:cs="Times New Roman"/>
            <w:lang w:val="sq-AL"/>
          </w:rPr>
          <w:t>https://qbz.gov.al/eli/vendim/2023/09/20/542/96f316d6-b135-42fb-a64a-abbbfa9484c8</w:t>
        </w:r>
      </w:hyperlink>
      <w:r w:rsidR="006515B9" w:rsidRPr="00FF756A">
        <w:rPr>
          <w:rFonts w:ascii="Times New Roman" w:eastAsia="MS Mincho" w:hAnsi="Times New Roman" w:cs="Times New Roman"/>
          <w:color w:val="auto"/>
          <w:sz w:val="18"/>
          <w:szCs w:val="18"/>
          <w:lang w:val="sq-AL"/>
        </w:rPr>
        <w:t xml:space="preserve"> </w:t>
      </w:r>
      <w:r w:rsidR="00B87F9D" w:rsidRPr="00FF756A">
        <w:rPr>
          <w:rFonts w:ascii="Times New Roman" w:eastAsia="MS Mincho" w:hAnsi="Times New Roman" w:cs="Times New Roman"/>
          <w:color w:val="auto"/>
          <w:sz w:val="18"/>
          <w:szCs w:val="18"/>
          <w:lang w:val="sq-AL"/>
        </w:rPr>
        <w:t xml:space="preserve"> </w:t>
      </w:r>
    </w:p>
    <w:p w14:paraId="45BB9C5B" w14:textId="77777777" w:rsidR="0089767C" w:rsidRPr="00FF756A" w:rsidRDefault="0089767C" w:rsidP="009256DE"/>
    <w:p w14:paraId="5BDDBE25" w14:textId="61EC9638" w:rsidR="009256DE" w:rsidRPr="00FF756A" w:rsidRDefault="009256DE" w:rsidP="009256DE">
      <w:r w:rsidRPr="00FF756A">
        <w:t>Kuadr</w:t>
      </w:r>
      <w:r w:rsidR="006515B9" w:rsidRPr="00FF756A">
        <w:t>i</w:t>
      </w:r>
      <w:r w:rsidRPr="00FF756A">
        <w:t xml:space="preserve"> plotësuese:  </w:t>
      </w:r>
    </w:p>
    <w:p w14:paraId="64D471F3" w14:textId="77777777" w:rsidR="009256DE" w:rsidRPr="00FF756A" w:rsidRDefault="009256DE" w:rsidP="004A3257">
      <w:pPr>
        <w:pStyle w:val="ListParagraph"/>
        <w:numPr>
          <w:ilvl w:val="0"/>
          <w:numId w:val="53"/>
        </w:numPr>
        <w:pBdr>
          <w:top w:val="none" w:sz="0" w:space="0" w:color="auto"/>
          <w:left w:val="none" w:sz="0" w:space="0" w:color="auto"/>
          <w:bottom w:val="none" w:sz="0" w:space="0" w:color="auto"/>
          <w:right w:val="none" w:sz="0" w:space="0" w:color="auto"/>
          <w:between w:val="none" w:sz="0" w:space="0" w:color="auto"/>
        </w:pBdr>
        <w:spacing w:before="0" w:after="160" w:line="240" w:lineRule="auto"/>
      </w:pPr>
      <w:r w:rsidRPr="00FF756A">
        <w:t>Strategjia e Zhvillimit të Biznesit dhe Investimeve 2021-2027: vë theksin kryesisht tek inovacioni në ndërmarrjet e vogla dhe të mesme (NVM) dhe te lidhjet midis industrisë dhe akademisë me qëllim nxitjen e rritjes ekonomike.</w:t>
      </w:r>
    </w:p>
    <w:p w14:paraId="45246652" w14:textId="77777777" w:rsidR="009256DE" w:rsidRPr="00FF756A" w:rsidRDefault="009256DE" w:rsidP="004A3257">
      <w:pPr>
        <w:pStyle w:val="ListParagraph"/>
        <w:numPr>
          <w:ilvl w:val="0"/>
          <w:numId w:val="53"/>
        </w:numPr>
        <w:pBdr>
          <w:top w:val="none" w:sz="0" w:space="0" w:color="auto"/>
          <w:left w:val="none" w:sz="0" w:space="0" w:color="auto"/>
          <w:bottom w:val="none" w:sz="0" w:space="0" w:color="auto"/>
          <w:right w:val="none" w:sz="0" w:space="0" w:color="auto"/>
          <w:between w:val="none" w:sz="0" w:space="0" w:color="auto"/>
        </w:pBdr>
        <w:spacing w:before="0" w:after="160" w:line="240" w:lineRule="auto"/>
      </w:pPr>
      <w:r w:rsidRPr="00FF756A">
        <w:t xml:space="preserve">Në vitin 2022, u miratua legjislacioni për startup-et (sipërmarrjet e reja), i cili lehtësoi krijimin e startup-eve dhe rregullimin e veprimtarisë së nomadëve dixhitalë. </w:t>
      </w:r>
    </w:p>
    <w:p w14:paraId="207638F9" w14:textId="77777777" w:rsidR="009256DE" w:rsidRPr="00FF756A" w:rsidRDefault="009256DE" w:rsidP="004A3257">
      <w:pPr>
        <w:pStyle w:val="ListParagraph"/>
        <w:numPr>
          <w:ilvl w:val="0"/>
          <w:numId w:val="53"/>
        </w:numPr>
        <w:pBdr>
          <w:top w:val="none" w:sz="0" w:space="0" w:color="auto"/>
          <w:left w:val="none" w:sz="0" w:space="0" w:color="auto"/>
          <w:bottom w:val="none" w:sz="0" w:space="0" w:color="auto"/>
          <w:right w:val="none" w:sz="0" w:space="0" w:color="auto"/>
          <w:between w:val="none" w:sz="0" w:space="0" w:color="auto"/>
        </w:pBdr>
        <w:spacing w:before="0" w:after="160" w:line="240" w:lineRule="auto"/>
      </w:pPr>
      <w:r w:rsidRPr="00FF756A">
        <w:t>Ligji i ardhshëm për kërkimin shkencor do të përcaktojë rregulla dhe procedura të reja për organizimin dhe funksionimin e sistemit publik të kërkimit në Shqipëri. Ai gjithashtu pritet të hedhë bazat për prezantimin e një metodologjie të re për financimin e kërkimit në sektorin publik, e cila mund të reduktojë mangësitë kronike të financimit në sistem. Aktualisht, institucionet kërkimore të sektorit publik, duke përfshirë IAL-të, financohen përmes financimeve institucionale në bllok dhe disa granteve konkurruese të shpërndara përmes AKKSHI-së.</w:t>
      </w:r>
    </w:p>
    <w:p w14:paraId="7274727C" w14:textId="11F4D7F0" w:rsidR="009256DE" w:rsidRPr="00FF756A" w:rsidRDefault="007207C6" w:rsidP="004A3257">
      <w:pPr>
        <w:spacing w:line="240" w:lineRule="auto"/>
        <w:contextualSpacing/>
        <w:rPr>
          <w:color w:val="000000" w:themeColor="text1"/>
        </w:rPr>
      </w:pPr>
      <w:r w:rsidRPr="00FF756A">
        <w:rPr>
          <w:color w:val="000000" w:themeColor="text1"/>
        </w:rPr>
        <w:t>P</w:t>
      </w:r>
      <w:r w:rsidR="00D31A1A" w:rsidRPr="00FF756A">
        <w:rPr>
          <w:color w:val="000000" w:themeColor="text1"/>
        </w:rPr>
        <w:t>rojektligji “</w:t>
      </w:r>
      <w:r w:rsidR="00D31A1A" w:rsidRPr="00FF756A">
        <w:rPr>
          <w:i/>
          <w:iCs/>
          <w:color w:val="000000" w:themeColor="text1"/>
        </w:rPr>
        <w:t>Për Shkencën dhe Kërkimin Shkencor në Republikën e Shqipërisë</w:t>
      </w:r>
      <w:r w:rsidR="00D31A1A" w:rsidRPr="00FF756A">
        <w:rPr>
          <w:color w:val="000000" w:themeColor="text1"/>
        </w:rPr>
        <w:t xml:space="preserve">” </w:t>
      </w:r>
      <w:r w:rsidRPr="00FF756A">
        <w:rPr>
          <w:color w:val="000000" w:themeColor="text1"/>
        </w:rPr>
        <w:t xml:space="preserve">është përgatitur </w:t>
      </w:r>
      <w:r w:rsidR="00D31A1A" w:rsidRPr="00FF756A">
        <w:rPr>
          <w:color w:val="000000" w:themeColor="text1"/>
        </w:rPr>
        <w:t>dhe më 9 shtator 2024 i është dorëzuar për shqyrtim Komisionit të Çështjeve Evropiane në Kuvendin e Shqipërisë. Projektligji pritet të miratohet me vendim të Këshillit të Ministrave brenda vitit 2024.</w:t>
      </w:r>
    </w:p>
    <w:p w14:paraId="4F3A8A01" w14:textId="77777777" w:rsidR="000B035F" w:rsidRPr="00FF756A" w:rsidRDefault="000B035F" w:rsidP="004A3257">
      <w:pPr>
        <w:spacing w:line="240" w:lineRule="auto"/>
        <w:contextualSpacing/>
        <w:rPr>
          <w:color w:val="000000" w:themeColor="text1"/>
        </w:rPr>
      </w:pPr>
    </w:p>
    <w:p w14:paraId="659F7849" w14:textId="77777777" w:rsidR="000B035F" w:rsidRPr="00FF756A" w:rsidRDefault="000B035F" w:rsidP="004A3257">
      <w:pPr>
        <w:spacing w:line="240" w:lineRule="auto"/>
        <w:contextualSpacing/>
        <w:rPr>
          <w:color w:val="000000" w:themeColor="text1"/>
        </w:rPr>
      </w:pPr>
      <w:r w:rsidRPr="00FF756A">
        <w:rPr>
          <w:color w:val="000000" w:themeColor="text1"/>
        </w:rPr>
        <w:t>Mbështetja për universitetet dhe subjektet e tjera të orientuara drejt kërkimit rregullohet në dokumentet e mëposhtme:</w:t>
      </w:r>
    </w:p>
    <w:p w14:paraId="0B3C8CDE" w14:textId="38916A2C" w:rsidR="0071584E" w:rsidRPr="00FF756A" w:rsidRDefault="000B035F" w:rsidP="004A3257">
      <w:pPr>
        <w:pStyle w:val="ListParagraph"/>
        <w:numPr>
          <w:ilvl w:val="0"/>
          <w:numId w:val="220"/>
        </w:numPr>
        <w:spacing w:line="240" w:lineRule="auto"/>
        <w:rPr>
          <w:color w:val="000000" w:themeColor="text1"/>
        </w:rPr>
      </w:pPr>
      <w:r w:rsidRPr="00FF756A">
        <w:rPr>
          <w:color w:val="000000" w:themeColor="text1"/>
        </w:rPr>
        <w:t>Republika e Shqipërisë, Këshilli i Ministrave - Strategjia Kombëtare për Zhvillim dhe Integrim 2014-2020 f. 72</w:t>
      </w:r>
    </w:p>
    <w:p w14:paraId="7983523D" w14:textId="6425529C" w:rsidR="0071584E" w:rsidRPr="00FF756A" w:rsidRDefault="000B035F" w:rsidP="004A3257">
      <w:pPr>
        <w:pStyle w:val="ListParagraph"/>
        <w:numPr>
          <w:ilvl w:val="0"/>
          <w:numId w:val="220"/>
        </w:numPr>
        <w:spacing w:line="240" w:lineRule="auto"/>
        <w:rPr>
          <w:color w:val="000000" w:themeColor="text1"/>
        </w:rPr>
      </w:pPr>
      <w:r w:rsidRPr="00FF756A">
        <w:rPr>
          <w:color w:val="000000" w:themeColor="text1"/>
        </w:rPr>
        <w:t>VKM Nr.710 datë 1.12.2017 Strategjia Kombëtare për Shkencën, Teknologjinë dhe Inovacionin</w:t>
      </w:r>
    </w:p>
    <w:p w14:paraId="5FAAA16E" w14:textId="06DF0D22" w:rsidR="000B035F" w:rsidRPr="00FF756A" w:rsidRDefault="000B035F" w:rsidP="004A3257">
      <w:pPr>
        <w:pStyle w:val="ListParagraph"/>
        <w:numPr>
          <w:ilvl w:val="0"/>
          <w:numId w:val="220"/>
        </w:numPr>
        <w:spacing w:line="240" w:lineRule="auto"/>
        <w:rPr>
          <w:color w:val="000000" w:themeColor="text1"/>
        </w:rPr>
      </w:pPr>
      <w:r w:rsidRPr="00FF756A">
        <w:rPr>
          <w:color w:val="000000" w:themeColor="text1"/>
        </w:rPr>
        <w:t>Dokumenti i Punës i Stafit të Komisionit për Shqipërinë 2019 Raporti që shoqëron dokumentin.</w:t>
      </w:r>
      <w:r w:rsidR="006C062F" w:rsidRPr="00FF756A">
        <w:t xml:space="preserve"> </w:t>
      </w:r>
      <w:r w:rsidR="006C062F" w:rsidRPr="00FF756A">
        <w:rPr>
          <w:color w:val="000000" w:themeColor="text1"/>
        </w:rPr>
        <w:t>Komunikimi nga Komisioni për Parlamentin Evropian, Këshillin, Komitetin Ekonomik dhe Social Evropian dhe (kapitulli15 Energjia, f.74)</w:t>
      </w:r>
    </w:p>
    <w:p w14:paraId="7972F385" w14:textId="77777777" w:rsidR="00D31A1A" w:rsidRPr="00FF756A" w:rsidRDefault="00D31A1A" w:rsidP="004A3257">
      <w:pPr>
        <w:spacing w:line="240" w:lineRule="auto"/>
        <w:contextualSpacing/>
        <w:rPr>
          <w:color w:val="000000" w:themeColor="text1"/>
        </w:rPr>
      </w:pPr>
    </w:p>
    <w:p w14:paraId="7CC4E523" w14:textId="0F7E3984" w:rsidR="00DA2EDE" w:rsidRPr="00FF756A" w:rsidRDefault="00DA2EDE" w:rsidP="004A3257">
      <w:pPr>
        <w:spacing w:before="40" w:after="40" w:line="240" w:lineRule="auto"/>
      </w:pPr>
      <w:r w:rsidRPr="00FF756A">
        <w:t>Zyra e Erasmus+ (</w:t>
      </w:r>
      <w:hyperlink r:id="rId41" w:history="1">
        <w:r w:rsidRPr="00FF756A">
          <w:t>www.erasmusplus.al</w:t>
        </w:r>
      </w:hyperlink>
      <w:r w:rsidRPr="00FF756A">
        <w:t>) mbështet lëvizjen e studentëve dhe të stafit dhe bashkëpunimin e institucioneve të arsimit të lartë, duke ushtruar funksionet në vijim:</w:t>
      </w:r>
    </w:p>
    <w:p w14:paraId="28977BD5" w14:textId="36077864" w:rsidR="00DA2EDE" w:rsidRPr="00FF756A" w:rsidRDefault="006C062F" w:rsidP="004A3257">
      <w:pPr>
        <w:pStyle w:val="ListParagraph"/>
        <w:widowControl w:val="0"/>
        <w:numPr>
          <w:ilvl w:val="0"/>
          <w:numId w:val="25"/>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ind w:left="714" w:hanging="357"/>
        <w:contextualSpacing w:val="0"/>
      </w:pPr>
      <w:r w:rsidRPr="00FF756A">
        <w:t>P</w:t>
      </w:r>
      <w:r w:rsidR="00DA2EDE" w:rsidRPr="00FF756A">
        <w:t>ërpunon, promovon dhe shpërndan informacionin dhe dokumentacionin e programit Erasmus+ te të gjitha Institucionet e Arsimit të Lartë (IAL);</w:t>
      </w:r>
    </w:p>
    <w:p w14:paraId="3F57F1C5" w14:textId="5B1D6485" w:rsidR="006C062F" w:rsidRPr="00FF756A" w:rsidRDefault="006C062F" w:rsidP="006C062F">
      <w:pPr>
        <w:pStyle w:val="ListParagraph"/>
        <w:widowControl w:val="0"/>
        <w:numPr>
          <w:ilvl w:val="0"/>
          <w:numId w:val="25"/>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ind w:left="714" w:hanging="357"/>
        <w:contextualSpacing w:val="0"/>
      </w:pPr>
      <w:r w:rsidRPr="00FF756A">
        <w:t>K</w:t>
      </w:r>
      <w:r w:rsidR="00DA2EDE" w:rsidRPr="00FF756A">
        <w:t>ëshillon, informon dhe ndihmon të gjithë personat e interesuar për aplikimin në projektet e Erasmus+;</w:t>
      </w:r>
    </w:p>
    <w:p w14:paraId="17726FBF" w14:textId="11A63ACE" w:rsidR="00DA2EDE" w:rsidRPr="00FF756A" w:rsidRDefault="006C062F" w:rsidP="004A3257">
      <w:pPr>
        <w:pStyle w:val="ListParagraph"/>
        <w:widowControl w:val="0"/>
        <w:numPr>
          <w:ilvl w:val="0"/>
          <w:numId w:val="25"/>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ind w:left="714" w:hanging="357"/>
        <w:contextualSpacing w:val="0"/>
      </w:pPr>
      <w:r w:rsidRPr="00FF756A">
        <w:t>K</w:t>
      </w:r>
      <w:r w:rsidR="00DA2EDE" w:rsidRPr="00FF756A">
        <w:t>ryen monitorimin dhe zbatimin e projekteve Tempus, të cilat janë ende në zhvillim;</w:t>
      </w:r>
    </w:p>
    <w:p w14:paraId="1C35A737" w14:textId="312AA74F" w:rsidR="00DA2EDE" w:rsidRPr="00FF756A" w:rsidRDefault="006C062F" w:rsidP="004A3257">
      <w:pPr>
        <w:pStyle w:val="ListParagraph"/>
        <w:widowControl w:val="0"/>
        <w:numPr>
          <w:ilvl w:val="0"/>
          <w:numId w:val="25"/>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ind w:left="714" w:hanging="357"/>
        <w:contextualSpacing w:val="0"/>
      </w:pPr>
      <w:r w:rsidRPr="00FF756A">
        <w:t>M</w:t>
      </w:r>
      <w:r w:rsidR="00DA2EDE" w:rsidRPr="00FF756A">
        <w:t>bështet dhe koordinon aktivitetet e grupit kombëtar të Ekspertëve të Reformës në Arsimin e Lartë, ERAL, të cilët kanë rol këshillues dhe mbështetës në arritjen e objektivave të programit Erasmus+;</w:t>
      </w:r>
    </w:p>
    <w:p w14:paraId="515C9EA1" w14:textId="4C615D90" w:rsidR="00DA2EDE" w:rsidRPr="00FF756A" w:rsidRDefault="006C062F" w:rsidP="004A3257">
      <w:pPr>
        <w:pStyle w:val="ListParagraph"/>
        <w:widowControl w:val="0"/>
        <w:numPr>
          <w:ilvl w:val="0"/>
          <w:numId w:val="25"/>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ind w:left="714" w:hanging="357"/>
        <w:contextualSpacing w:val="0"/>
      </w:pPr>
      <w:r w:rsidRPr="00FF756A">
        <w:t>K</w:t>
      </w:r>
      <w:r w:rsidR="00DA2EDE" w:rsidRPr="00FF756A">
        <w:t xml:space="preserve">ontribuon në vlerësimin e projekteve që do të dorëzohen në kuadër të komponentit “Ngritja e kapaciteteve të arsimit të lartë” në Erasmus+ (ish-projektet Tempus). </w:t>
      </w:r>
    </w:p>
    <w:p w14:paraId="1618B735" w14:textId="77777777" w:rsidR="009256DE" w:rsidRPr="00FF756A" w:rsidRDefault="009256DE" w:rsidP="00D0529A">
      <w:pPr>
        <w:spacing w:before="40" w:after="40"/>
      </w:pPr>
    </w:p>
    <w:p w14:paraId="59A9D066" w14:textId="286F7D41" w:rsidR="009256DE" w:rsidRPr="00FF756A" w:rsidRDefault="00396CC3" w:rsidP="004A3257">
      <w:pPr>
        <w:spacing w:line="240" w:lineRule="auto"/>
      </w:pPr>
      <w:r w:rsidRPr="00FF756A">
        <w:t xml:space="preserve">Pjesëmarrja në programet e bashkëpunimit rajonal dhe ndërkombëtar në fushën e kërkimit, duke përfshirë Horizon Europe, është rritur, megjithëse </w:t>
      </w:r>
      <w:r w:rsidR="00BA3BE9" w:rsidRPr="00FF756A">
        <w:t>ende me</w:t>
      </w:r>
      <w:r w:rsidRPr="00FF756A">
        <w:t xml:space="preserve"> nivele tepër të ulëta dhe me pjesëmarrje të kufizuar të sektorit privat. </w:t>
      </w:r>
    </w:p>
    <w:p w14:paraId="174BC7C5" w14:textId="2D65E054" w:rsidR="00DA2EDE" w:rsidRPr="00FF756A" w:rsidRDefault="00DA2EDE" w:rsidP="004A3257">
      <w:pPr>
        <w:spacing w:before="40" w:after="40" w:line="240" w:lineRule="auto"/>
      </w:pPr>
      <w:r w:rsidRPr="00FF756A">
        <w:t>Shqipëria merr pjesë në aktivitete të lidhura me Planin Strategjik për Teknologjitë Energjetike (SET) mbi bazën ligjore në vijim: Dokumenti i Punës i Stafit të Komisionit, raporti “Shqipëria 2019”, që shoqëron Komunikatën e Komisionit për Parlamentin Evropian, Këshillin dhe Komitetin Evropian Ekonomik dhe Social (kreu 15 “Energjia”, fq. 74).</w:t>
      </w:r>
    </w:p>
    <w:p w14:paraId="159B25DA" w14:textId="77777777" w:rsidR="009256DE" w:rsidRPr="00FF756A" w:rsidRDefault="009256DE" w:rsidP="004A3257">
      <w:pPr>
        <w:spacing w:after="160" w:line="240" w:lineRule="auto"/>
        <w:rPr>
          <w:rFonts w:eastAsia="Arial"/>
          <w:color w:val="000000" w:themeColor="text1"/>
        </w:rPr>
      </w:pPr>
      <w:r w:rsidRPr="00FF756A">
        <w:rPr>
          <w:color w:val="000000" w:themeColor="text1"/>
        </w:rPr>
        <w:t xml:space="preserve">Strategjia e parë e Specializimit Inteligjent (S3) në Shqipëri është ende në zhvillim e sipër. Procesi i S3 identifikon, ndër të tjera, efiçencën e energjisë, teknologjinë e informacionit dhe komunikimit dhe ekonominë blu si fushat ndërsektoriale më prioritare. </w:t>
      </w:r>
    </w:p>
    <w:p w14:paraId="5FA9CEDA" w14:textId="77777777" w:rsidR="009256DE" w:rsidRPr="00FF756A" w:rsidRDefault="009256DE" w:rsidP="00D0529A">
      <w:pPr>
        <w:spacing w:before="40" w:after="40"/>
      </w:pPr>
    </w:p>
    <w:p w14:paraId="513B82EB" w14:textId="2ACA4854" w:rsidR="00DA2EDE" w:rsidRPr="00FF756A" w:rsidRDefault="00EE1DF0" w:rsidP="00E54CFE">
      <w:pPr>
        <w:pStyle w:val="Heading3"/>
        <w:numPr>
          <w:ilvl w:val="2"/>
          <w:numId w:val="54"/>
        </w:numPr>
      </w:pPr>
      <w:r w:rsidRPr="00FF756A">
        <w:t xml:space="preserve"> </w:t>
      </w:r>
      <w:bookmarkStart w:id="89" w:name="_Toc183639189"/>
      <w:r w:rsidR="00DA2EDE" w:rsidRPr="00FF756A">
        <w:t>Çështjet kryesore të rëndësisë ndërkufitare</w:t>
      </w:r>
      <w:bookmarkEnd w:id="89"/>
    </w:p>
    <w:p w14:paraId="731A4D9B" w14:textId="1E9213AF" w:rsidR="00DA2EDE" w:rsidRPr="00FF756A" w:rsidRDefault="00DA2EDE" w:rsidP="00D0529A">
      <w:pPr>
        <w:spacing w:before="40" w:after="40"/>
        <w:rPr>
          <w:color w:val="000000" w:themeColor="text1"/>
        </w:rPr>
      </w:pPr>
      <w:bookmarkStart w:id="90" w:name="_Hlk178942063"/>
      <w:r w:rsidRPr="00FF756A">
        <w:rPr>
          <w:color w:val="000000" w:themeColor="text1"/>
        </w:rPr>
        <w:t xml:space="preserve">Bashkëpunimi ndërkufitar është çelësi për rritjen e nivelit të energjisë diellore në rrjetin e energjisë elektrike dhe për arritjen e ekonomive të shkallës për sa i përket financimit të zbatimit të masave për efiçencën e energjisë, ndër të tjera në rinovimin e ndërtesave, si p.sh. përmes </w:t>
      </w:r>
      <w:r w:rsidR="003622E6" w:rsidRPr="00FF756A">
        <w:rPr>
          <w:color w:val="000000" w:themeColor="text1"/>
        </w:rPr>
        <w:t>kombinimit</w:t>
      </w:r>
      <w:r w:rsidRPr="00FF756A">
        <w:rPr>
          <w:color w:val="000000" w:themeColor="text1"/>
        </w:rPr>
        <w:t xml:space="preserve"> të projekteve. Në këtë drejtim, shkëmbimi i përvojave dhe bashkëpunimi për zhvillimin e strategjive është me rëndësi thelbësore për koordinimin e vendimeve me rëndësi ekonomike. </w:t>
      </w:r>
      <w:r w:rsidR="00EC6E2A" w:rsidRPr="00FF756A">
        <w:rPr>
          <w:color w:val="000000" w:themeColor="text1"/>
        </w:rPr>
        <w:t xml:space="preserve">Megjithatë, më të rëndësishmet janë sektori i energjisë elektrike dhe sektori i transportit, </w:t>
      </w:r>
      <w:r w:rsidR="003622E6" w:rsidRPr="00FF756A">
        <w:rPr>
          <w:color w:val="000000" w:themeColor="text1"/>
        </w:rPr>
        <w:t xml:space="preserve">ku </w:t>
      </w:r>
      <w:r w:rsidR="00EC6E2A" w:rsidRPr="00FF756A">
        <w:rPr>
          <w:color w:val="000000" w:themeColor="text1"/>
        </w:rPr>
        <w:t>detaje të mëtejshme jepen në seksionet më poshtë.</w:t>
      </w:r>
    </w:p>
    <w:p w14:paraId="4DECF4CD" w14:textId="77777777" w:rsidR="00CA56A7" w:rsidRPr="00FF756A" w:rsidRDefault="00CA56A7" w:rsidP="00D0529A">
      <w:pPr>
        <w:spacing w:before="40" w:after="40"/>
        <w:rPr>
          <w:b/>
          <w:bCs/>
          <w:u w:val="single"/>
        </w:rPr>
      </w:pPr>
    </w:p>
    <w:p w14:paraId="27BF105B" w14:textId="60A8FC89" w:rsidR="00EC6E2A" w:rsidRPr="00FF756A" w:rsidRDefault="005B4FFF" w:rsidP="00D0529A">
      <w:pPr>
        <w:spacing w:before="40" w:after="40"/>
        <w:rPr>
          <w:b/>
          <w:bCs/>
          <w:u w:val="single"/>
        </w:rPr>
      </w:pPr>
      <w:r w:rsidRPr="00FF756A">
        <w:rPr>
          <w:b/>
          <w:bCs/>
          <w:u w:val="single"/>
        </w:rPr>
        <w:t>Sektori i energjisë elektrike</w:t>
      </w:r>
    </w:p>
    <w:p w14:paraId="6E401B31" w14:textId="248C532F" w:rsidR="008E1C71" w:rsidRPr="00FF756A" w:rsidRDefault="008E1C71" w:rsidP="00D0529A">
      <w:pPr>
        <w:spacing w:before="40" w:after="40"/>
      </w:pPr>
      <w:r w:rsidRPr="00FF756A">
        <w:t xml:space="preserve">Sistemi i Transmetimit të Energjisë Elektrike në Shqipëri përfshin të gjitha linjat e tensionit prej 400 kV, 220 kV, 150 kV, 110 kV dhe nënstacionet lidhëse midis tyre që shërbejnë për transmetimin e energjisë elektrike dhe ndërlidhjen. </w:t>
      </w:r>
    </w:p>
    <w:p w14:paraId="2C601865" w14:textId="77777777" w:rsidR="008E1C71" w:rsidRPr="00FF756A" w:rsidRDefault="008E1C71" w:rsidP="00D0529A">
      <w:pPr>
        <w:spacing w:before="40" w:after="40"/>
      </w:pPr>
      <w:r w:rsidRPr="00FF756A">
        <w:t xml:space="preserve">Gjatësitë e linjave të sistemit të transmetimit sipas nivelit të tensionit janë: </w:t>
      </w:r>
    </w:p>
    <w:p w14:paraId="7D94A7CA" w14:textId="77777777" w:rsidR="008E1C71" w:rsidRPr="00FF756A" w:rsidRDefault="008E1C71">
      <w:pPr>
        <w:pStyle w:val="ListParagraph"/>
        <w:numPr>
          <w:ilvl w:val="0"/>
          <w:numId w:val="38"/>
        </w:numPr>
        <w:pBdr>
          <w:top w:val="none" w:sz="0" w:space="0" w:color="auto"/>
          <w:left w:val="none" w:sz="0" w:space="0" w:color="auto"/>
          <w:bottom w:val="none" w:sz="0" w:space="0" w:color="auto"/>
          <w:right w:val="none" w:sz="0" w:space="0" w:color="auto"/>
          <w:between w:val="none" w:sz="0" w:space="0" w:color="auto"/>
        </w:pBdr>
        <w:spacing w:before="40" w:after="40"/>
        <w:contextualSpacing w:val="0"/>
      </w:pPr>
      <w:r w:rsidRPr="00FF756A">
        <w:t>Linja e transmetimit 400 kV - 445,7 km;</w:t>
      </w:r>
    </w:p>
    <w:p w14:paraId="4AF5ED10" w14:textId="77777777" w:rsidR="008E1C71" w:rsidRPr="00FF756A" w:rsidRDefault="008E1C71">
      <w:pPr>
        <w:pStyle w:val="ListParagraph"/>
        <w:numPr>
          <w:ilvl w:val="0"/>
          <w:numId w:val="38"/>
        </w:numPr>
        <w:pBdr>
          <w:top w:val="none" w:sz="0" w:space="0" w:color="auto"/>
          <w:left w:val="none" w:sz="0" w:space="0" w:color="auto"/>
          <w:bottom w:val="none" w:sz="0" w:space="0" w:color="auto"/>
          <w:right w:val="none" w:sz="0" w:space="0" w:color="auto"/>
          <w:between w:val="none" w:sz="0" w:space="0" w:color="auto"/>
        </w:pBdr>
        <w:spacing w:before="40" w:after="40"/>
        <w:contextualSpacing w:val="0"/>
      </w:pPr>
      <w:r w:rsidRPr="00FF756A">
        <w:t>Linja e transmetimit 220 kV - 1 250 km;</w:t>
      </w:r>
    </w:p>
    <w:p w14:paraId="5794623E" w14:textId="77777777" w:rsidR="008E1C71" w:rsidRPr="00FF756A" w:rsidRDefault="008E1C71">
      <w:pPr>
        <w:pStyle w:val="ListParagraph"/>
        <w:numPr>
          <w:ilvl w:val="0"/>
          <w:numId w:val="38"/>
        </w:numPr>
        <w:pBdr>
          <w:top w:val="none" w:sz="0" w:space="0" w:color="auto"/>
          <w:left w:val="none" w:sz="0" w:space="0" w:color="auto"/>
          <w:bottom w:val="none" w:sz="0" w:space="0" w:color="auto"/>
          <w:right w:val="none" w:sz="0" w:space="0" w:color="auto"/>
          <w:between w:val="none" w:sz="0" w:space="0" w:color="auto"/>
        </w:pBdr>
        <w:spacing w:before="40" w:after="40"/>
        <w:contextualSpacing w:val="0"/>
      </w:pPr>
      <w:r w:rsidRPr="00FF756A">
        <w:t>Linja e transmetimit 150 kV - 34,4 km;</w:t>
      </w:r>
    </w:p>
    <w:p w14:paraId="7289BFC9" w14:textId="77777777" w:rsidR="008E1C71" w:rsidRPr="00FF756A" w:rsidRDefault="008E1C71">
      <w:pPr>
        <w:pStyle w:val="ListParagraph"/>
        <w:numPr>
          <w:ilvl w:val="0"/>
          <w:numId w:val="38"/>
        </w:numPr>
        <w:pBdr>
          <w:top w:val="none" w:sz="0" w:space="0" w:color="auto"/>
          <w:left w:val="none" w:sz="0" w:space="0" w:color="auto"/>
          <w:bottom w:val="none" w:sz="0" w:space="0" w:color="auto"/>
          <w:right w:val="none" w:sz="0" w:space="0" w:color="auto"/>
          <w:between w:val="none" w:sz="0" w:space="0" w:color="auto"/>
        </w:pBdr>
        <w:spacing w:before="40" w:after="40"/>
        <w:contextualSpacing w:val="0"/>
      </w:pPr>
      <w:r w:rsidRPr="00FF756A">
        <w:t>Linja e transmetimit 110 kV - 1624,162 km.</w:t>
      </w:r>
    </w:p>
    <w:p w14:paraId="298F6500" w14:textId="77777777" w:rsidR="008E1C71" w:rsidRPr="00FF756A" w:rsidRDefault="008E1C71" w:rsidP="00D0529A">
      <w:pPr>
        <w:spacing w:before="40" w:after="40"/>
      </w:pPr>
    </w:p>
    <w:p w14:paraId="7D2288E3" w14:textId="6509F5D7" w:rsidR="008E1C71" w:rsidRPr="00FF756A" w:rsidRDefault="00C82BD6" w:rsidP="00D0529A">
      <w:pPr>
        <w:spacing w:before="40" w:after="40"/>
      </w:pPr>
      <w:r w:rsidRPr="00FF756A">
        <w:t xml:space="preserve">Linjat </w:t>
      </w:r>
      <w:r w:rsidR="008E1C71" w:rsidRPr="00FF756A">
        <w:t xml:space="preserve">më sipër janë pjesë e sistemit të transmetimit dhe linjave të interkoneksionit me vendet fqinje, si: </w:t>
      </w:r>
    </w:p>
    <w:p w14:paraId="30EA6F24" w14:textId="77777777" w:rsidR="008E1C71" w:rsidRPr="00FF756A" w:rsidRDefault="008E1C71">
      <w:pPr>
        <w:pStyle w:val="ListParagraph"/>
        <w:numPr>
          <w:ilvl w:val="0"/>
          <w:numId w:val="39"/>
        </w:numPr>
        <w:pBdr>
          <w:top w:val="none" w:sz="0" w:space="0" w:color="auto"/>
          <w:left w:val="none" w:sz="0" w:space="0" w:color="auto"/>
          <w:bottom w:val="none" w:sz="0" w:space="0" w:color="auto"/>
          <w:right w:val="none" w:sz="0" w:space="0" w:color="auto"/>
          <w:between w:val="none" w:sz="0" w:space="0" w:color="auto"/>
        </w:pBdr>
        <w:spacing w:before="40" w:after="40"/>
        <w:contextualSpacing w:val="0"/>
      </w:pPr>
      <w:r w:rsidRPr="00FF756A">
        <w:t>Linja e interkoneksionit 400 kV Zemblak (Shqipëri) – Kardia (Greqi);</w:t>
      </w:r>
    </w:p>
    <w:p w14:paraId="2CB68987" w14:textId="77777777" w:rsidR="008E1C71" w:rsidRPr="00FF756A" w:rsidRDefault="008E1C71">
      <w:pPr>
        <w:pStyle w:val="ListParagraph"/>
        <w:numPr>
          <w:ilvl w:val="0"/>
          <w:numId w:val="39"/>
        </w:numPr>
        <w:pBdr>
          <w:top w:val="none" w:sz="0" w:space="0" w:color="auto"/>
          <w:left w:val="none" w:sz="0" w:space="0" w:color="auto"/>
          <w:bottom w:val="none" w:sz="0" w:space="0" w:color="auto"/>
          <w:right w:val="none" w:sz="0" w:space="0" w:color="auto"/>
          <w:between w:val="none" w:sz="0" w:space="0" w:color="auto"/>
        </w:pBdr>
        <w:spacing w:before="40" w:after="40"/>
        <w:contextualSpacing w:val="0"/>
      </w:pPr>
      <w:r w:rsidRPr="00FF756A">
        <w:t>Linja e interkoneksionit 400 kV Tiranë (Shqipëri) – Podgoricë (Mali i Zi);</w:t>
      </w:r>
    </w:p>
    <w:p w14:paraId="71C6C486" w14:textId="77777777" w:rsidR="008E1C71" w:rsidRPr="00FF756A" w:rsidRDefault="008E1C71">
      <w:pPr>
        <w:pStyle w:val="ListParagraph"/>
        <w:numPr>
          <w:ilvl w:val="0"/>
          <w:numId w:val="39"/>
        </w:numPr>
        <w:pBdr>
          <w:top w:val="none" w:sz="0" w:space="0" w:color="auto"/>
          <w:left w:val="none" w:sz="0" w:space="0" w:color="auto"/>
          <w:bottom w:val="none" w:sz="0" w:space="0" w:color="auto"/>
          <w:right w:val="none" w:sz="0" w:space="0" w:color="auto"/>
          <w:between w:val="none" w:sz="0" w:space="0" w:color="auto"/>
        </w:pBdr>
        <w:spacing w:before="40" w:after="40"/>
        <w:contextualSpacing w:val="0"/>
      </w:pPr>
      <w:r w:rsidRPr="00FF756A">
        <w:t>Linja e interkoneksionit 400 kV Tiranë (Shqipëri) – Prishtinë (Kosovë);</w:t>
      </w:r>
    </w:p>
    <w:p w14:paraId="716E49A1" w14:textId="77777777" w:rsidR="008E1C71" w:rsidRPr="00FF756A" w:rsidRDefault="008E1C71">
      <w:pPr>
        <w:pStyle w:val="ListParagraph"/>
        <w:numPr>
          <w:ilvl w:val="0"/>
          <w:numId w:val="39"/>
        </w:numPr>
        <w:pBdr>
          <w:top w:val="none" w:sz="0" w:space="0" w:color="auto"/>
          <w:left w:val="none" w:sz="0" w:space="0" w:color="auto"/>
          <w:bottom w:val="none" w:sz="0" w:space="0" w:color="auto"/>
          <w:right w:val="none" w:sz="0" w:space="0" w:color="auto"/>
          <w:between w:val="none" w:sz="0" w:space="0" w:color="auto"/>
        </w:pBdr>
        <w:spacing w:before="40" w:after="40"/>
        <w:contextualSpacing w:val="0"/>
      </w:pPr>
      <w:r w:rsidRPr="00FF756A">
        <w:t>Linja e interkoneksionit 220 kV Fierzë (Shqipëri) – Prizren (Kosovë);</w:t>
      </w:r>
    </w:p>
    <w:p w14:paraId="2F0B968E" w14:textId="77777777" w:rsidR="008E1C71" w:rsidRPr="00FF756A" w:rsidRDefault="008E1C71">
      <w:pPr>
        <w:pStyle w:val="ListParagraph"/>
        <w:numPr>
          <w:ilvl w:val="0"/>
          <w:numId w:val="39"/>
        </w:numPr>
        <w:pBdr>
          <w:top w:val="none" w:sz="0" w:space="0" w:color="auto"/>
          <w:left w:val="none" w:sz="0" w:space="0" w:color="auto"/>
          <w:bottom w:val="none" w:sz="0" w:space="0" w:color="auto"/>
          <w:right w:val="none" w:sz="0" w:space="0" w:color="auto"/>
          <w:between w:val="none" w:sz="0" w:space="0" w:color="auto"/>
        </w:pBdr>
        <w:spacing w:before="40" w:after="40"/>
        <w:contextualSpacing w:val="0"/>
      </w:pPr>
      <w:r w:rsidRPr="00FF756A">
        <w:t>Linja e interkoneksionit 220 kV Koplik (Shqipëri) – Podgoricë (Mali i Zi);</w:t>
      </w:r>
    </w:p>
    <w:p w14:paraId="6A9BA32B" w14:textId="77777777" w:rsidR="008E1C71" w:rsidRPr="00FF756A" w:rsidRDefault="008E1C71">
      <w:pPr>
        <w:pStyle w:val="ListParagraph"/>
        <w:numPr>
          <w:ilvl w:val="0"/>
          <w:numId w:val="39"/>
        </w:numPr>
        <w:pBdr>
          <w:top w:val="none" w:sz="0" w:space="0" w:color="auto"/>
          <w:left w:val="none" w:sz="0" w:space="0" w:color="auto"/>
          <w:bottom w:val="none" w:sz="0" w:space="0" w:color="auto"/>
          <w:right w:val="none" w:sz="0" w:space="0" w:color="auto"/>
          <w:between w:val="none" w:sz="0" w:space="0" w:color="auto"/>
        </w:pBdr>
        <w:spacing w:before="40" w:after="40"/>
        <w:contextualSpacing w:val="0"/>
      </w:pPr>
      <w:r w:rsidRPr="00FF756A">
        <w:t>Linja e interkoneksionit 150 kV Bistricë (Shqipëri) – Myrtos (Greqi).</w:t>
      </w:r>
    </w:p>
    <w:p w14:paraId="6FCFA3CD" w14:textId="77777777" w:rsidR="008E1C71" w:rsidRPr="00FF756A" w:rsidRDefault="008E1C71" w:rsidP="00D0529A">
      <w:pPr>
        <w:spacing w:before="40" w:after="40"/>
      </w:pPr>
    </w:p>
    <w:p w14:paraId="27832AF2" w14:textId="044F19AB" w:rsidR="008E1C71" w:rsidRPr="00FF756A" w:rsidRDefault="008E1C71" w:rsidP="00D0529A">
      <w:pPr>
        <w:spacing w:before="40" w:after="40"/>
      </w:pPr>
      <w:r w:rsidRPr="00FF756A">
        <w:t>Shuma totale e investimit të realizuar për vitin 2022 ishte rreth 2</w:t>
      </w:r>
      <w:r w:rsidR="00C82BD6" w:rsidRPr="00FF756A">
        <w:t>,</w:t>
      </w:r>
      <w:r w:rsidRPr="00FF756A">
        <w:t>217</w:t>
      </w:r>
      <w:r w:rsidR="00C82BD6" w:rsidRPr="00FF756A">
        <w:t>,</w:t>
      </w:r>
      <w:r w:rsidRPr="00FF756A">
        <w:t>767</w:t>
      </w:r>
      <w:r w:rsidR="00C82BD6" w:rsidRPr="00FF756A">
        <w:t>,</w:t>
      </w:r>
      <w:r w:rsidRPr="00FF756A">
        <w:t>446 ALL, nga të cilat: 1</w:t>
      </w:r>
      <w:r w:rsidR="00C82BD6" w:rsidRPr="00FF756A">
        <w:t>,</w:t>
      </w:r>
      <w:r w:rsidRPr="00FF756A">
        <w:t>409</w:t>
      </w:r>
      <w:r w:rsidR="00C82BD6" w:rsidRPr="00FF756A">
        <w:t>,</w:t>
      </w:r>
      <w:r w:rsidRPr="00FF756A">
        <w:t>082</w:t>
      </w:r>
      <w:r w:rsidR="00C82BD6" w:rsidRPr="00FF756A">
        <w:t>,</w:t>
      </w:r>
      <w:r w:rsidRPr="00FF756A">
        <w:t xml:space="preserve"> 016 ALL fonde të shoqërisë OST (OST Sh.A.) dhe rreth 808</w:t>
      </w:r>
      <w:r w:rsidR="00C82BD6" w:rsidRPr="00FF756A">
        <w:t>,</w:t>
      </w:r>
      <w:r w:rsidRPr="00FF756A">
        <w:t>685</w:t>
      </w:r>
      <w:r w:rsidR="00C82BD6" w:rsidRPr="00FF756A">
        <w:t>,</w:t>
      </w:r>
      <w:r w:rsidRPr="00FF756A">
        <w:t>430 ALL investime të huaja.</w:t>
      </w:r>
    </w:p>
    <w:p w14:paraId="6E134201" w14:textId="6998594F" w:rsidR="008E1C71" w:rsidRPr="00FF756A" w:rsidRDefault="008E1C71" w:rsidP="00D0529A">
      <w:pPr>
        <w:spacing w:before="40" w:after="40"/>
      </w:pPr>
      <w:r w:rsidRPr="00FF756A">
        <w:t>Këto investime synonin kryesisht të rrisnin sigurinë dhe cilësinë e furnizimit me energji elektrike përmes rehabilitimit të nënstacioneve, kryesisht atyre 110 kV me pajisje të amortizuara nga koha dhe me operim kryesisht manual, si dhe të ri</w:t>
      </w:r>
      <w:r w:rsidR="00C82BD6" w:rsidRPr="00FF756A">
        <w:t xml:space="preserve">ndërtonin </w:t>
      </w:r>
      <w:r w:rsidRPr="00FF756A">
        <w:t>linjat 110 kV dhe 220 kV për të rritur kapacitetin e transmetimit në mënyrë që të përballojë jo vetëm ngarkesën aktuale të pikut, por që të arrijë të mbështesë edhe burimet e parashikuara të energjisë së rinovueshme.</w:t>
      </w:r>
    </w:p>
    <w:p w14:paraId="5BE1C0CC" w14:textId="77777777" w:rsidR="008E1C71" w:rsidRPr="00FF756A" w:rsidRDefault="008E1C71" w:rsidP="00D0529A">
      <w:pPr>
        <w:spacing w:before="40" w:after="40"/>
        <w:rPr>
          <w:color w:val="000000" w:themeColor="text1"/>
        </w:rPr>
      </w:pPr>
    </w:p>
    <w:p w14:paraId="1B27D0F0" w14:textId="77777777" w:rsidR="00211817" w:rsidRPr="00FF756A" w:rsidRDefault="00211817" w:rsidP="00D0529A">
      <w:pPr>
        <w:spacing w:before="40" w:after="40"/>
        <w:rPr>
          <w:b/>
        </w:rPr>
      </w:pPr>
      <w:r w:rsidRPr="00FF756A">
        <w:rPr>
          <w:b/>
        </w:rPr>
        <w:t>Linja e interkoneksionit 400 kV Shqipëri (Fier) - Greqi (Arachtos)</w:t>
      </w:r>
    </w:p>
    <w:p w14:paraId="2A1F7906" w14:textId="14A721A4" w:rsidR="00211817" w:rsidRPr="00FF756A" w:rsidRDefault="00211817" w:rsidP="00D0529A">
      <w:pPr>
        <w:spacing w:before="40" w:after="40"/>
      </w:pPr>
      <w:r w:rsidRPr="00FF756A">
        <w:t>Bazuar në parashikimet dhe potencialet e mëdha të zhvillimit të burimeve të energjisë së rinovueshme, në planet afatgjata të OST-së</w:t>
      </w:r>
      <w:r w:rsidR="00C82BD6" w:rsidRPr="00FF756A">
        <w:t xml:space="preserve">, </w:t>
      </w:r>
      <w:r w:rsidRPr="00FF756A">
        <w:t>parashikohet ndërtimi i një linje të re interkoneksioni 400 kV Shqipëri (Fier) – Greqi (Arachtos), e cila do të jetë linjë ajrore me një qark të vetëm, dhe me gjatësi prej rreth 125 km.</w:t>
      </w:r>
    </w:p>
    <w:p w14:paraId="0C139AF9" w14:textId="2F966D3A" w:rsidR="00211817" w:rsidRPr="00FF756A" w:rsidRDefault="00211817" w:rsidP="00D0529A">
      <w:pPr>
        <w:spacing w:before="40" w:after="40"/>
      </w:pPr>
      <w:r w:rsidRPr="00FF756A">
        <w:t xml:space="preserve">Në shkurt 2022, u ngrit një grup i përbashkët pune midis IPTO-s dhe OST-së për studimin e një linje të re interkoneksioni ndërkufitar të tensionit të lartë midis Greqisë dhe Shqipërisë. Në nëntor 2022, u </w:t>
      </w:r>
      <w:r w:rsidRPr="00FF756A">
        <w:lastRenderedPageBreak/>
        <w:t xml:space="preserve">nënshkrua një Memorandum Mirëkuptimi midis dy shoqërive të transmetimit të energjisë, OST dhe IPTO, lidhur me aktivitetet paraprake për projektin “Ndërtimi i linjës së re të interkoneksionit 400 kV Greqi – Shqipëri”. Memorandumi i Mirëkuptimit parashikoi aktivitetet paraprake në lidhje me zhvillimin e mundshëm të projektit “Ndërtimi i linjës së re të interkoneksionit 400 kV Greqi – Shqipëri”. Palët ranë dakord të kërkojnë mbështetje për financimin e këtij projekti, ose të sigurojnë veçmas fonde për ndërtimin e tij. </w:t>
      </w:r>
    </w:p>
    <w:p w14:paraId="40A79D3B" w14:textId="38E91EE4" w:rsidR="00211817" w:rsidRPr="00FF756A" w:rsidRDefault="00211817" w:rsidP="004A3257">
      <w:pPr>
        <w:spacing w:before="40" w:after="40" w:line="240" w:lineRule="auto"/>
      </w:pPr>
      <w:r w:rsidRPr="00FF756A">
        <w:t>Projekti në tërësi konsiston në finalizimin e rrjetit të transmetimit të brendshëm 400 kV në një konfigurim unazor përmes ndërtimit të një linje të re të transmetimit ajror 400 kV midis nënstacioneve Fier - Rrashbull dhe ndërtimit të një linje të re të transmetimit ajror 400 kV (OHTL) midis Republikës së Shqipërisë (nënstacioni Fier) dhe Republikës së Greqisë (nënstacioni Arachtos). Itinerari është afërsisht 203 km i gjatë dhe shtrihet në rajonet perëndimore dhe jugore të Shqipërisë. Pikënisja e itinerarit të linjës OHTL brenda territorit shqiptar ndodhet në nënstacionin e Rrashbullit, vazhdon në nënstacionin e Fierit dhe shtrihet në vazhdim përgjatë shtratit të lumit Vjosë. Më pas kalon përgjatë zonës malore të Llogarasë, duke vazhduar në zonën e Gjirokastrës drejt kufirit me Greqinë dhe më tutje në territorin grek deri në Arachtos.</w:t>
      </w:r>
    </w:p>
    <w:p w14:paraId="7947C848" w14:textId="77777777" w:rsidR="00211817" w:rsidRPr="00FF756A" w:rsidRDefault="00211817" w:rsidP="004A3257">
      <w:pPr>
        <w:spacing w:before="40" w:after="40" w:line="240" w:lineRule="auto"/>
      </w:pPr>
      <w:r w:rsidRPr="00FF756A">
        <w:t>Në anën shqiptare, projekti do të përfshijë këto masa:</w:t>
      </w:r>
    </w:p>
    <w:p w14:paraId="51DB68EB" w14:textId="77777777" w:rsidR="00211817" w:rsidRPr="00FF756A" w:rsidRDefault="00211817" w:rsidP="004A3257">
      <w:pPr>
        <w:pStyle w:val="ListParagraph"/>
        <w:numPr>
          <w:ilvl w:val="0"/>
          <w:numId w:val="40"/>
        </w:numPr>
        <w:pBdr>
          <w:top w:val="none" w:sz="0" w:space="0" w:color="auto"/>
          <w:left w:val="none" w:sz="0" w:space="0" w:color="auto"/>
          <w:bottom w:val="none" w:sz="0" w:space="0" w:color="auto"/>
          <w:right w:val="none" w:sz="0" w:space="0" w:color="auto"/>
          <w:between w:val="none" w:sz="0" w:space="0" w:color="auto"/>
        </w:pBdr>
        <w:spacing w:before="40" w:after="40" w:line="240" w:lineRule="auto"/>
        <w:contextualSpacing w:val="0"/>
      </w:pPr>
      <w:r w:rsidRPr="00FF756A">
        <w:t>Ndërtimi i një linje të re ajrore transmetimi 400 kV me një qark të vetëm midis nënstacioneve Fier dhe Rrashbull – rreth 78 km e gjatë, me përcjellës ACSR 2x490/65 mm</w:t>
      </w:r>
      <w:r w:rsidRPr="00FF756A">
        <w:rPr>
          <w:vertAlign w:val="superscript"/>
        </w:rPr>
        <w:t>2</w:t>
      </w:r>
      <w:r w:rsidRPr="00FF756A">
        <w:t>;</w:t>
      </w:r>
    </w:p>
    <w:p w14:paraId="6954D576" w14:textId="77777777" w:rsidR="00211817" w:rsidRPr="00FF756A" w:rsidRDefault="00211817" w:rsidP="004A3257">
      <w:pPr>
        <w:pStyle w:val="ListParagraph"/>
        <w:numPr>
          <w:ilvl w:val="0"/>
          <w:numId w:val="40"/>
        </w:numPr>
        <w:pBdr>
          <w:top w:val="none" w:sz="0" w:space="0" w:color="auto"/>
          <w:left w:val="none" w:sz="0" w:space="0" w:color="auto"/>
          <w:bottom w:val="none" w:sz="0" w:space="0" w:color="auto"/>
          <w:right w:val="none" w:sz="0" w:space="0" w:color="auto"/>
          <w:between w:val="none" w:sz="0" w:space="0" w:color="auto"/>
        </w:pBdr>
        <w:spacing w:before="40" w:after="40" w:line="240" w:lineRule="auto"/>
        <w:contextualSpacing w:val="0"/>
      </w:pPr>
      <w:r w:rsidRPr="00FF756A">
        <w:t>Ndërtimi i një linje të re ajrore transmetimi 400 kV me një qark të vetëm midis Fierit (territori shqiptar) dhe pikës së kufirit shqiptaro-grek – rreth 125 km e gjatë, me përcjellës ACSR 2x490/65 mm</w:t>
      </w:r>
      <w:r w:rsidRPr="00FF756A">
        <w:rPr>
          <w:vertAlign w:val="superscript"/>
        </w:rPr>
        <w:t>2</w:t>
      </w:r>
      <w:r w:rsidRPr="00FF756A">
        <w:t>;</w:t>
      </w:r>
    </w:p>
    <w:p w14:paraId="768E04C1" w14:textId="77777777" w:rsidR="00211817" w:rsidRPr="00FF756A" w:rsidRDefault="00211817" w:rsidP="004A3257">
      <w:pPr>
        <w:pStyle w:val="ListParagraph"/>
        <w:numPr>
          <w:ilvl w:val="0"/>
          <w:numId w:val="40"/>
        </w:numPr>
        <w:pBdr>
          <w:top w:val="none" w:sz="0" w:space="0" w:color="auto"/>
          <w:left w:val="none" w:sz="0" w:space="0" w:color="auto"/>
          <w:bottom w:val="none" w:sz="0" w:space="0" w:color="auto"/>
          <w:right w:val="none" w:sz="0" w:space="0" w:color="auto"/>
          <w:between w:val="none" w:sz="0" w:space="0" w:color="auto"/>
        </w:pBdr>
        <w:spacing w:before="40" w:after="40" w:line="240" w:lineRule="auto"/>
        <w:contextualSpacing w:val="0"/>
      </w:pPr>
      <w:r w:rsidRPr="00FF756A">
        <w:t>Zgjerimi i nënstacionit 400 kV të Fierit;</w:t>
      </w:r>
    </w:p>
    <w:p w14:paraId="415947BD" w14:textId="77777777" w:rsidR="00211817" w:rsidRPr="00FF756A" w:rsidRDefault="00211817" w:rsidP="004A3257">
      <w:pPr>
        <w:pStyle w:val="ListParagraph"/>
        <w:numPr>
          <w:ilvl w:val="0"/>
          <w:numId w:val="40"/>
        </w:numPr>
        <w:pBdr>
          <w:top w:val="none" w:sz="0" w:space="0" w:color="auto"/>
          <w:left w:val="none" w:sz="0" w:space="0" w:color="auto"/>
          <w:bottom w:val="none" w:sz="0" w:space="0" w:color="auto"/>
          <w:right w:val="none" w:sz="0" w:space="0" w:color="auto"/>
          <w:between w:val="none" w:sz="0" w:space="0" w:color="auto"/>
        </w:pBdr>
        <w:spacing w:before="40" w:after="40" w:line="240" w:lineRule="auto"/>
        <w:contextualSpacing w:val="0"/>
      </w:pPr>
      <w:r w:rsidRPr="00FF756A">
        <w:t>Zgjerimi dhe përforcimi i nënstacionit të Rrashbullit;</w:t>
      </w:r>
    </w:p>
    <w:p w14:paraId="1921FF98" w14:textId="77777777" w:rsidR="00211817" w:rsidRPr="00FF756A" w:rsidRDefault="00211817" w:rsidP="004A3257">
      <w:pPr>
        <w:pStyle w:val="ListParagraph"/>
        <w:numPr>
          <w:ilvl w:val="0"/>
          <w:numId w:val="40"/>
        </w:numPr>
        <w:pBdr>
          <w:top w:val="none" w:sz="0" w:space="0" w:color="auto"/>
          <w:left w:val="none" w:sz="0" w:space="0" w:color="auto"/>
          <w:bottom w:val="none" w:sz="0" w:space="0" w:color="auto"/>
          <w:right w:val="none" w:sz="0" w:space="0" w:color="auto"/>
          <w:between w:val="none" w:sz="0" w:space="0" w:color="auto"/>
        </w:pBdr>
        <w:spacing w:before="40" w:after="40" w:line="240" w:lineRule="auto"/>
        <w:contextualSpacing w:val="0"/>
      </w:pPr>
      <w:r w:rsidRPr="00FF756A">
        <w:t>Punimet e konvertimit në nënstacionin Tirana-2 në mënyrë që të jetë në gjendje të operojë një qark të linjës ajrore Tirana-2 – Rashbull në tension 400 kV.</w:t>
      </w:r>
    </w:p>
    <w:p w14:paraId="48572D34" w14:textId="77777777" w:rsidR="00211817" w:rsidRPr="00FF756A" w:rsidRDefault="00211817" w:rsidP="004A3257">
      <w:pPr>
        <w:spacing w:before="40" w:after="40" w:line="240" w:lineRule="auto"/>
      </w:pPr>
    </w:p>
    <w:p w14:paraId="3FE4E700" w14:textId="73D9009A" w:rsidR="00211817" w:rsidRPr="00FF756A" w:rsidRDefault="00211817" w:rsidP="004A3257">
      <w:pPr>
        <w:spacing w:before="40" w:after="40" w:line="240" w:lineRule="auto"/>
      </w:pPr>
      <w:r w:rsidRPr="00FF756A">
        <w:t>Theksojmë se projekti i linjës së transmetimit 220 kV me qark të dyfishtë midis Tirana-2 – Rrashbull (në fazë zbatimi) do të ketë një qark me përcjellës tërthor 490/65 mm</w:t>
      </w:r>
      <w:r w:rsidRPr="00FF756A">
        <w:rPr>
          <w:vertAlign w:val="superscript"/>
        </w:rPr>
        <w:t>2</w:t>
      </w:r>
      <w:r w:rsidRPr="00FF756A">
        <w:t xml:space="preserve"> dhe një tjetër me përcjellës 2x490/65 mm</w:t>
      </w:r>
      <w:r w:rsidRPr="00FF756A">
        <w:rPr>
          <w:vertAlign w:val="superscript"/>
        </w:rPr>
        <w:t>2</w:t>
      </w:r>
      <w:r w:rsidRPr="00FF756A">
        <w:t xml:space="preserve"> (me perspektivën e përmirësimit të këtij qarku të dytë në 400 kV pas zbatimit të këtij projekti – duke eliminuar kështu nevojën për një linjë të re 400 kV Tirana-2 - Rrashbull).</w:t>
      </w:r>
    </w:p>
    <w:p w14:paraId="57B45066" w14:textId="66F90589" w:rsidR="00211817" w:rsidRPr="00FF756A" w:rsidRDefault="00211817" w:rsidP="004A3257">
      <w:pPr>
        <w:spacing w:before="40" w:after="40" w:line="240" w:lineRule="auto"/>
      </w:pPr>
      <w:r w:rsidRPr="00FF756A">
        <w:t>Gjithashtu, duke marrë parasysh se nënstacioni i Fierit do të kthehet në një nyjë tepër të rëndësishme për BRE-të dhe lidhjen e mundshme me TEC-in (me mbi 1 GW kapacitet nominal të aplikuar), zgjerimi i nënstacionit 400 kV të Fierit dhe lidhja e tij me rrjetin do të jetë vendimtare në besueshmërinë e funksionimit të sistemit energjetik shqiptar. Specifikisht, në nënstacionin e Fierit, do të zgjerohet nënstacioni ekzistues 220 kV me një trakt të ri transformatorësh dhe një trakt të ri bashkuesish të zbarave, do të instalohet një autotransformator i ri 400/220/35 kV, 400 MVA dhe do të ndërtohet një nënstacion me sistem të dyfishtë zbarash në nivelin 400 kV.</w:t>
      </w:r>
    </w:p>
    <w:p w14:paraId="4FB6EE9A" w14:textId="7A5640B1" w:rsidR="00211817" w:rsidRPr="00FF756A" w:rsidRDefault="00211817" w:rsidP="004A3257">
      <w:pPr>
        <w:spacing w:before="40" w:after="40" w:line="240" w:lineRule="auto"/>
      </w:pPr>
      <w:r w:rsidRPr="00FF756A">
        <w:t>Linja e re 400 kV Fier – Elbasan do të ketë një gjatësi prej rreth 74 km dhe pas vënies në punë të linjave të reja, si nënstacioni i Elbasanit ashtu edhe ai i Fierit do të jenë pjesë e rrjetit rajonal 400 kV, pra të ashtuquajturit Korridori 8. Më pas, është planifikuar që nënstacioni i Fierit të finalizojë konfigurimin unazor të brendshëm 400 kV me linjën 400 kV Fier – Rrashbull – Tirana-2.</w:t>
      </w:r>
    </w:p>
    <w:p w14:paraId="37EC5E17" w14:textId="77777777" w:rsidR="00211817" w:rsidRPr="00FF756A" w:rsidRDefault="00211817" w:rsidP="004A3257">
      <w:pPr>
        <w:spacing w:before="40" w:after="40" w:line="240" w:lineRule="auto"/>
      </w:pPr>
      <w:r w:rsidRPr="00FF756A">
        <w:t>Nga ana greke, projekti do të përfshijë këto masa:</w:t>
      </w:r>
    </w:p>
    <w:p w14:paraId="01E27186" w14:textId="77777777" w:rsidR="00211817" w:rsidRPr="00FF756A" w:rsidRDefault="00211817" w:rsidP="004A3257">
      <w:pPr>
        <w:pStyle w:val="ListParagraph"/>
        <w:numPr>
          <w:ilvl w:val="0"/>
          <w:numId w:val="41"/>
        </w:numPr>
        <w:pBdr>
          <w:top w:val="none" w:sz="0" w:space="0" w:color="auto"/>
          <w:left w:val="none" w:sz="0" w:space="0" w:color="auto"/>
          <w:bottom w:val="none" w:sz="0" w:space="0" w:color="auto"/>
          <w:right w:val="none" w:sz="0" w:space="0" w:color="auto"/>
          <w:between w:val="none" w:sz="0" w:space="0" w:color="auto"/>
        </w:pBdr>
        <w:spacing w:before="40" w:after="40" w:line="240" w:lineRule="auto"/>
        <w:contextualSpacing w:val="0"/>
      </w:pPr>
      <w:r w:rsidRPr="00FF756A">
        <w:t>Ndërtimi i një linje të re ajrore transmetimi 400 kV me një qark të vetëm midis nënstacionit 400/150 kV të Arachthos (territori grek) dhe pikës së kufirit shqiptaro-grek – rreth 91 km e gjatë, me përcjellës ACSR 2x490/65 mm</w:t>
      </w:r>
      <w:r w:rsidRPr="00FF756A">
        <w:rPr>
          <w:vertAlign w:val="superscript"/>
        </w:rPr>
        <w:t>2</w:t>
      </w:r>
      <w:r w:rsidRPr="00FF756A">
        <w:t>;</w:t>
      </w:r>
    </w:p>
    <w:p w14:paraId="4BC3671E" w14:textId="76EFFB8E" w:rsidR="00211817" w:rsidRPr="00FF756A" w:rsidRDefault="00211817" w:rsidP="004A3257">
      <w:pPr>
        <w:pStyle w:val="ListParagraph"/>
        <w:numPr>
          <w:ilvl w:val="0"/>
          <w:numId w:val="41"/>
        </w:numPr>
        <w:pBdr>
          <w:top w:val="none" w:sz="0" w:space="0" w:color="auto"/>
          <w:left w:val="none" w:sz="0" w:space="0" w:color="auto"/>
          <w:bottom w:val="none" w:sz="0" w:space="0" w:color="auto"/>
          <w:right w:val="none" w:sz="0" w:space="0" w:color="auto"/>
          <w:between w:val="none" w:sz="0" w:space="0" w:color="auto"/>
        </w:pBdr>
        <w:spacing w:before="40" w:after="40" w:line="240" w:lineRule="auto"/>
        <w:contextualSpacing w:val="0"/>
      </w:pPr>
      <w:r w:rsidRPr="00FF756A">
        <w:t>Nënstacioni i ri 400/150 kV në Greqinë Perëndimore (rajoni i Epirit) - lidhje brenda dhe jashtë me linjën e re të interkoneksionit 400 kV.</w:t>
      </w:r>
    </w:p>
    <w:p w14:paraId="2257CBC2" w14:textId="77777777" w:rsidR="00211817" w:rsidRPr="00FF756A" w:rsidRDefault="00211817" w:rsidP="004A3257">
      <w:pPr>
        <w:spacing w:before="40" w:after="40" w:line="240" w:lineRule="auto"/>
      </w:pPr>
      <w:r w:rsidRPr="00FF756A">
        <w:t xml:space="preserve">Së fundmi, Ministria e Infrastrukturës dhe Energjisë e ka ridorëzuar projektin për aplikim në raundin e 29-të të asistencës teknike (TA) në kuadër të WBIF. Ndërkohë, Ministria e Infrastrukturës dhe Energjisë, OST-ja dhe institucionet financiare ndërkombëtare kanë vlerësuar se në vend të nënstacionit të Fierit pikënisja për linjën e re të interkoneksionit 400 kV me Greqinë do të jetë pika lidhëse në Rrashbull, me </w:t>
      </w:r>
      <w:r w:rsidRPr="00FF756A">
        <w:lastRenderedPageBreak/>
        <w:t>qëllim për të përfshirë në një projekt edhe ndërtimin e një linje të re transmetimi 400 kV midis nënstacioneve Fier – Rrashbull (rreth 78 km e gjatë) dhe më tej atij të Tirana-2, duke finalizuar kështu linjat e transmetimit të brendshëm 400 kV në një konfigurim unazor dhe duke rritur ndjeshëm përfitimet e pritshme të interkoneksionit të ri shqiptaro-grek.</w:t>
      </w:r>
    </w:p>
    <w:p w14:paraId="1D308D7F" w14:textId="77777777" w:rsidR="00211817" w:rsidRPr="00FF756A" w:rsidRDefault="00211817" w:rsidP="00D0529A">
      <w:pPr>
        <w:spacing w:before="40" w:after="40"/>
      </w:pPr>
    </w:p>
    <w:p w14:paraId="2592E566" w14:textId="53FEA821" w:rsidR="008E1C71" w:rsidRPr="00FF756A" w:rsidRDefault="008E1C71" w:rsidP="00D0529A">
      <w:pPr>
        <w:spacing w:before="40" w:after="40"/>
        <w:rPr>
          <w:b/>
        </w:rPr>
      </w:pPr>
      <w:r w:rsidRPr="00FF756A">
        <w:rPr>
          <w:b/>
        </w:rPr>
        <w:t xml:space="preserve">Linja e interkoneksionit 400 KV Elbasan (Shqipëri) </w:t>
      </w:r>
      <w:r w:rsidR="00D1597E" w:rsidRPr="00FF756A">
        <w:rPr>
          <w:b/>
        </w:rPr>
        <w:t>–</w:t>
      </w:r>
      <w:r w:rsidRPr="00FF756A">
        <w:rPr>
          <w:b/>
        </w:rPr>
        <w:t xml:space="preserve"> </w:t>
      </w:r>
      <w:r w:rsidR="00D1597E" w:rsidRPr="00FF756A">
        <w:rPr>
          <w:b/>
        </w:rPr>
        <w:t xml:space="preserve">Bitola </w:t>
      </w:r>
      <w:r w:rsidRPr="00FF756A">
        <w:rPr>
          <w:b/>
        </w:rPr>
        <w:t xml:space="preserve"> (Republika e Maqedonisë së Veriut)</w:t>
      </w:r>
    </w:p>
    <w:p w14:paraId="6AE6A2E5" w14:textId="79CADFBA" w:rsidR="008E1C71" w:rsidRPr="00FF756A" w:rsidRDefault="008E1C71" w:rsidP="004A3257">
      <w:pPr>
        <w:spacing w:before="40" w:after="40" w:line="240" w:lineRule="auto"/>
      </w:pPr>
      <w:r w:rsidRPr="00FF756A">
        <w:t>Siç është raportuar më parë, linja e interkoneksionit 400 kV Elbasan (Shqipëri) – Manastir (Republika e Maqedonisë së Veriut) pritet të përmirësojë sigurinë e furnizimit dhe funksionimin e përgjithshëm të sistemit energjetik të Shqipërisë, si dhe të ndikojë pozitivisht në tregun rajonal dhe në bashkimin e tij.</w:t>
      </w:r>
    </w:p>
    <w:p w14:paraId="0A9FD666" w14:textId="77777777" w:rsidR="00C25BC1" w:rsidRPr="00FF756A" w:rsidRDefault="008E1C71" w:rsidP="00C25BC1">
      <w:pPr>
        <w:pStyle w:val="ListParagraph"/>
        <w:numPr>
          <w:ilvl w:val="0"/>
          <w:numId w:val="220"/>
        </w:numPr>
        <w:spacing w:before="40" w:after="40" w:line="240" w:lineRule="auto"/>
      </w:pPr>
      <w:r w:rsidRPr="00FF756A">
        <w:t xml:space="preserve">Kontrata për lotin 1 “Linjat” me ofertuesin fitues për këtë lot, JV Mitas Energy and Metal Construction Inc – DOKO sh.pk (Turqi dhe Shqipëri), u nënshkrua më 14.1.2021 dhe hyri në fuqi më 10 mars 2021. </w:t>
      </w:r>
    </w:p>
    <w:p w14:paraId="10559DA8" w14:textId="38435850" w:rsidR="008E1C71" w:rsidRPr="00FF756A" w:rsidRDefault="008E1C71" w:rsidP="004A3257">
      <w:pPr>
        <w:pStyle w:val="ListParagraph"/>
        <w:numPr>
          <w:ilvl w:val="0"/>
          <w:numId w:val="220"/>
        </w:numPr>
        <w:spacing w:before="40" w:after="40" w:line="240" w:lineRule="auto"/>
      </w:pPr>
      <w:r w:rsidRPr="00FF756A">
        <w:t xml:space="preserve">Kontrata për lotin 2 “Nënstacionet” me ofertuesin fitues për këtë lot, Mytilineos S.A. - Greqi, u nënshkrua më 14.4.2021 dhe hyri në fuqi më 27 korrik 2021. </w:t>
      </w:r>
    </w:p>
    <w:p w14:paraId="42ED8A45" w14:textId="1F65D9B3" w:rsidR="008E1C71" w:rsidRPr="00FF756A" w:rsidRDefault="008E1C71" w:rsidP="004A3257">
      <w:pPr>
        <w:spacing w:before="40" w:after="40" w:line="240" w:lineRule="auto"/>
      </w:pPr>
      <w:r w:rsidRPr="00FF756A">
        <w:t>Kontraktorët e të dy loteve paraqitën në fund të vitit 2021 ankesat/pretendimet e tyre përkatëse, ku paraqitën vështirësitë për të rënë dakord me prodhuesit/furnizuesit për blerjen e mallrave/materialeve – pjesë e kontratës – për shkak të rritjes së çmimeve të metaleve në tregun ndërkombëtar, si dhe të kostove të punës dhe transportit, si rezultat i situatës së pandemisë COVID-19 dhe situatës së luftës Rusi-Ukrainë.</w:t>
      </w:r>
    </w:p>
    <w:p w14:paraId="431CD71A" w14:textId="6A49F2CC" w:rsidR="008E1C71" w:rsidRPr="00FF756A" w:rsidRDefault="008E1C71" w:rsidP="004A3257">
      <w:pPr>
        <w:spacing w:before="40" w:after="40" w:line="240" w:lineRule="auto"/>
      </w:pPr>
      <w:r w:rsidRPr="00FF756A">
        <w:t>Konsulenti/inxhinieri i projektit sugjeroi pranimin e pretendimeve të kontraktorëve në lidhje me rritjen e çmimit kontraktual për mallrat dhe punimet – pjesë e kontratës – duke propozuar zbatimin e një formule të përshkallëzimit të kostos, në analogji me klauzolat përkatëse të Librit të Verdhë FIDIC. Konsulenti/inxhinieri propozoi formalizimin e këtij përshkallëzimi të kostos, përmes një ndryshimi të kontratës për secilin lot – një propozim i pranuar dhe i konfirmuar nga KfW, institucioni financiar që mbështet këtë projekt.</w:t>
      </w:r>
    </w:p>
    <w:p w14:paraId="532605D6" w14:textId="33F7E27F" w:rsidR="008E1C71" w:rsidRPr="00FF756A" w:rsidRDefault="008E1C71" w:rsidP="004A3257">
      <w:pPr>
        <w:spacing w:before="40" w:after="40" w:line="240" w:lineRule="auto"/>
      </w:pPr>
      <w:r w:rsidRPr="00FF756A">
        <w:t>Për lotin 1 (Linjat): Në shkurt 2023 u nënshkrua një ndryshim në kontratë me kontraktorin e këtij loti, që lidhej me ndryshimin e çmimit kontraktual si pasojë e rritjes së çmimit të mallrave në tregun ndërkombëtar.</w:t>
      </w:r>
    </w:p>
    <w:p w14:paraId="3B404D89" w14:textId="685F7EAA" w:rsidR="008E1C71" w:rsidRPr="00FF756A" w:rsidRDefault="008E1C71" w:rsidP="004A3257">
      <w:pPr>
        <w:spacing w:before="40" w:after="40" w:line="240" w:lineRule="auto"/>
      </w:pPr>
      <w:r w:rsidRPr="00FF756A">
        <w:t>Ceremonia e startimit të nisjes së punimeve do të njoftohet sapo të merret leja e ndërtimit nga Agjencia e Zhvillimit të Territorit.</w:t>
      </w:r>
    </w:p>
    <w:p w14:paraId="58CF8912" w14:textId="298B7359" w:rsidR="008E1C71" w:rsidRPr="00FF756A" w:rsidRDefault="008E1C71" w:rsidP="004A3257">
      <w:pPr>
        <w:spacing w:before="40" w:after="40" w:line="240" w:lineRule="auto"/>
      </w:pPr>
      <w:r w:rsidRPr="00FF756A">
        <w:t>Për lotin 2 (Nënstacionet): propozimi i Konsulentit/Inxhinierit në lidhje me formulën e përshkallëzimit të kostos/ndryshimin e çmimit kontraktual si rezultat i rritjes së çmimit të mallrave në tregun ndërkombëtar, ende nuk është dakordësuar nga kontraktori i këtij loti. Nëse do të arrihet kjo marrëveshje, do të nënshkruhet ndryshimi përkatës i kontratës me kontraktorin e këtij loti.</w:t>
      </w:r>
    </w:p>
    <w:p w14:paraId="6B7AE70F" w14:textId="4295F8DA" w:rsidR="008E1C71" w:rsidRPr="00FF756A" w:rsidRDefault="008E1C71" w:rsidP="004A3257">
      <w:pPr>
        <w:spacing w:before="40" w:after="40" w:line="240" w:lineRule="auto"/>
      </w:pPr>
      <w:r w:rsidRPr="00FF756A">
        <w:t>Gjithashtu, për këtë lot parashikohet marrja e lejes së ndërtimit nga Agjencia e Zhvillimit të Territorit.</w:t>
      </w:r>
    </w:p>
    <w:p w14:paraId="64FF1F43" w14:textId="77777777" w:rsidR="008E1C71" w:rsidRPr="00FF756A" w:rsidRDefault="008E1C71" w:rsidP="004A3257">
      <w:pPr>
        <w:spacing w:before="40" w:after="40" w:line="240" w:lineRule="auto"/>
      </w:pPr>
      <w:r w:rsidRPr="00FF756A">
        <w:t>Ndërsa procedura me shkrim për shtyrjen e grantit të BE-së në kuadër të WBIF, është në proces e sipër në koordinim me AShPSKN-në.</w:t>
      </w:r>
    </w:p>
    <w:p w14:paraId="4A47B429" w14:textId="77777777" w:rsidR="008E1C71" w:rsidRPr="00FF756A" w:rsidRDefault="008E1C71" w:rsidP="00D0529A">
      <w:pPr>
        <w:spacing w:before="40" w:after="40"/>
        <w:rPr>
          <w:color w:val="000000" w:themeColor="text1"/>
        </w:rPr>
      </w:pPr>
    </w:p>
    <w:p w14:paraId="3796FB17" w14:textId="2E689A27" w:rsidR="00B36D73" w:rsidRPr="00FF756A" w:rsidRDefault="00B36D73" w:rsidP="00D0529A">
      <w:pPr>
        <w:spacing w:before="40" w:after="40"/>
        <w:rPr>
          <w:b/>
        </w:rPr>
      </w:pPr>
      <w:r w:rsidRPr="00FF756A">
        <w:rPr>
          <w:b/>
        </w:rPr>
        <w:t>Linja e interkoneksionit 400 kV midis Shqipërisë dhe Kosovës</w:t>
      </w:r>
    </w:p>
    <w:p w14:paraId="362B7820" w14:textId="77777777" w:rsidR="00B36D73" w:rsidRPr="00FF756A" w:rsidRDefault="00B36D73" w:rsidP="00D0529A">
      <w:pPr>
        <w:spacing w:before="40" w:after="40"/>
      </w:pPr>
      <w:r w:rsidRPr="00FF756A">
        <w:t>Linja e re 400 kV midis Kosovës dhe Shqipërisë është tashmë funksionale dhe kontribuon në shkëmbime të mëtejshme ndërkufitare.</w:t>
      </w:r>
    </w:p>
    <w:p w14:paraId="4461C627" w14:textId="77777777" w:rsidR="00467C26" w:rsidRPr="00FF756A" w:rsidRDefault="00467C26" w:rsidP="00D0529A">
      <w:pPr>
        <w:spacing w:before="40" w:after="40"/>
      </w:pPr>
    </w:p>
    <w:p w14:paraId="50BAA3F5" w14:textId="3BA3A679" w:rsidR="00467C26" w:rsidRPr="00FF756A" w:rsidRDefault="00467C26" w:rsidP="00D0529A">
      <w:pPr>
        <w:spacing w:before="40" w:after="40"/>
        <w:rPr>
          <w:b/>
          <w:bCs/>
          <w:u w:val="single"/>
        </w:rPr>
      </w:pPr>
      <w:r w:rsidRPr="00FF756A">
        <w:rPr>
          <w:b/>
          <w:bCs/>
          <w:u w:val="single"/>
        </w:rPr>
        <w:t>Sektori i transportit</w:t>
      </w:r>
    </w:p>
    <w:p w14:paraId="6C87CC5D" w14:textId="77777777" w:rsidR="001122A8" w:rsidRPr="00FF756A" w:rsidRDefault="001122A8" w:rsidP="00D0529A">
      <w:pPr>
        <w:spacing w:before="40" w:after="40"/>
        <w:rPr>
          <w:color w:val="000000" w:themeColor="text1"/>
        </w:rPr>
      </w:pPr>
    </w:p>
    <w:p w14:paraId="53202426" w14:textId="496CC329" w:rsidR="00DA2EDE" w:rsidRPr="00FF756A" w:rsidRDefault="00DA2EDE" w:rsidP="004A3257">
      <w:pPr>
        <w:spacing w:before="40" w:after="40" w:line="240" w:lineRule="auto"/>
        <w:rPr>
          <w:color w:val="000000" w:themeColor="text1"/>
        </w:rPr>
      </w:pPr>
      <w:r w:rsidRPr="00FF756A">
        <w:rPr>
          <w:color w:val="000000" w:themeColor="text1"/>
        </w:rPr>
        <w:t>Një tjetër sektor thelbësor me rëndësi ndërkufitare është sektori i transportit. Dokumenti aktual “Strategjia Kombëtare Sektoriale për Transportin 2016-2020” është përafruar me Strategjinë Kombëtare për Zhvillim dhe Integrim, e cila parashtron vizionin e Shqipërisë për zhvillimin e saj kombëtar shoqëror, demokratik dhe ekonomik gjatë periudhës 2015-2020. Zhvillimi dhe modernizimi i infrastrukturës shqiptare të transportit ka qenë dhe mbetet një prej prioriteteve kryesore të qeverisë shqiptare. Synimi ka qenë:</w:t>
      </w:r>
    </w:p>
    <w:p w14:paraId="1317B4ED" w14:textId="77777777" w:rsidR="00DA2EDE" w:rsidRPr="00FF756A" w:rsidRDefault="00DA2EDE" w:rsidP="004A3257">
      <w:pPr>
        <w:pStyle w:val="ListParagraph"/>
        <w:widowControl w:val="0"/>
        <w:numPr>
          <w:ilvl w:val="0"/>
          <w:numId w:val="18"/>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krijimi i kushteve paraprake për zhvillimin e sektorëve të tjerë të ekonomisë,</w:t>
      </w:r>
    </w:p>
    <w:p w14:paraId="0F84A9E3" w14:textId="77777777" w:rsidR="00DA2EDE" w:rsidRPr="00FF756A" w:rsidRDefault="00DA2EDE" w:rsidP="004A3257">
      <w:pPr>
        <w:pStyle w:val="ListParagraph"/>
        <w:widowControl w:val="0"/>
        <w:numPr>
          <w:ilvl w:val="0"/>
          <w:numId w:val="18"/>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lastRenderedPageBreak/>
        <w:t xml:space="preserve">rritja e aksesueshmërisë për mallrat dhe pasagjerët në tregti dhe në ofrimin e shërbimeve, dhe </w:t>
      </w:r>
    </w:p>
    <w:p w14:paraId="6F762F5F" w14:textId="77777777" w:rsidR="00DA2EDE" w:rsidRPr="00FF756A" w:rsidRDefault="00DA2EDE" w:rsidP="004A3257">
      <w:pPr>
        <w:pStyle w:val="ListParagraph"/>
        <w:widowControl w:val="0"/>
        <w:numPr>
          <w:ilvl w:val="0"/>
          <w:numId w:val="18"/>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 xml:space="preserve">dhënia e një kontributi të konsiderueshëm në rritjen ekonomike dhe zhvillimin e përgjithshëm të vendit. </w:t>
      </w:r>
    </w:p>
    <w:p w14:paraId="24043B69" w14:textId="6AC2404E" w:rsidR="00DA2EDE" w:rsidRPr="00FF756A" w:rsidRDefault="00DA2EDE" w:rsidP="004A3257">
      <w:pPr>
        <w:spacing w:before="40" w:after="40" w:line="240" w:lineRule="auto"/>
        <w:rPr>
          <w:color w:val="000000" w:themeColor="text1"/>
        </w:rPr>
      </w:pPr>
      <w:r w:rsidRPr="00FF756A">
        <w:rPr>
          <w:color w:val="000000" w:themeColor="text1"/>
        </w:rPr>
        <w:t>Prioriteti strategjik është përshpejtimi i integrimit të sistemit shqiptar të transportit dhe ngritja e një tregu të integruar që konsiston në infrastrukturë transporti përmes tokës (rrugor dhe hekurudhor), përmes detit dhe përmes rrugëve të brendshme ujore. Përpos investimeve të konsiderueshme, veçanërisht në përmirësimin e infrastrukturës rrugore, sektori i transportit nuk përbën ende një nxitës të fuqishëm të zhvillimit ekonomik në Shqipëri. Financimi i përshtatshëm dhe në kohë i investimeve në programe vjetore dhe afatmesme mbetet problematik. Gjithashtu, cilësia e punëve publike të lidhura me transportin nuk ka arritur ende standardet e BE-së. Përafrimi i politikës shqiptare të transportit me atë evropiane, si dhe koordinimi i infrastrukturës së saj të transportit me atë të vendeve fqinje – vendet e Ballkanit Perëndimor, duke përfshirë Shqipërinë, Bosnjë-Hercegovinën, Maqedoninë e Veriut, Malin e Zi, Serbinë dhe Kosovën - janë shndërruar në dy detyrime për vendimmarrësit në fushën e transportit.</w:t>
      </w:r>
      <w:r w:rsidRPr="00FF756A">
        <w:rPr>
          <w:rStyle w:val="FootnoteReference"/>
          <w:color w:val="000000" w:themeColor="text1"/>
        </w:rPr>
        <w:footnoteReference w:id="5"/>
      </w:r>
    </w:p>
    <w:p w14:paraId="05E63E65" w14:textId="3929E53A" w:rsidR="00421E42" w:rsidRPr="00FF756A" w:rsidRDefault="00DA2EDE" w:rsidP="004A3257">
      <w:pPr>
        <w:spacing w:before="40" w:after="40" w:line="240" w:lineRule="auto"/>
        <w:rPr>
          <w:iCs/>
        </w:rPr>
      </w:pPr>
      <w:r w:rsidRPr="00FF756A">
        <w:rPr>
          <w:color w:val="000000" w:themeColor="text1"/>
        </w:rPr>
        <w:t xml:space="preserve">Në lidhje me transportin rrugor, është miratuar Plani Kombëtar i Transportit </w:t>
      </w:r>
      <w:r w:rsidRPr="00FF756A">
        <w:t>(PKT3)</w:t>
      </w:r>
      <w:r w:rsidRPr="00FF756A">
        <w:rPr>
          <w:color w:val="000000" w:themeColor="text1"/>
        </w:rPr>
        <w:t xml:space="preserve"> </w:t>
      </w:r>
      <w:r w:rsidRPr="00FF756A">
        <w:t>me Urdhrin e Ministrit nr. 40, datë 21.1.2020</w:t>
      </w:r>
      <w:r w:rsidRPr="00FF756A">
        <w:rPr>
          <w:color w:val="000000" w:themeColor="text1"/>
        </w:rPr>
        <w:t>. Në sektorin e transportit rrugor prioritetet kryesore janë:</w:t>
      </w:r>
      <w:r w:rsidRPr="00FF756A">
        <w:t xml:space="preserve"> </w:t>
      </w:r>
    </w:p>
    <w:p w14:paraId="1C102631" w14:textId="7FA56FAD" w:rsidR="00DA2EDE" w:rsidRPr="00FF756A" w:rsidRDefault="00DA2EDE" w:rsidP="004A3257">
      <w:pPr>
        <w:pStyle w:val="ListParagraph"/>
        <w:numPr>
          <w:ilvl w:val="0"/>
          <w:numId w:val="37"/>
        </w:numPr>
        <w:spacing w:before="40" w:after="40" w:line="240" w:lineRule="auto"/>
        <w:contextualSpacing w:val="0"/>
      </w:pPr>
      <w:r w:rsidRPr="00FF756A">
        <w:t>Harmonizimi i legjislacionit të brendshëm me</w:t>
      </w:r>
      <w:r w:rsidR="00F44393" w:rsidRPr="00FF756A">
        <w:t xml:space="preserve"> </w:t>
      </w:r>
      <w:r w:rsidRPr="00FF756A">
        <w:t>legjislacioni</w:t>
      </w:r>
      <w:r w:rsidR="00F44393" w:rsidRPr="00FF756A">
        <w:t>n e</w:t>
      </w:r>
      <w:r w:rsidRPr="00FF756A">
        <w:t xml:space="preserve"> BE-së për transportin rrugor të mallrave dhe pasagjerëve; </w:t>
      </w:r>
    </w:p>
    <w:p w14:paraId="3295DB3A" w14:textId="77777777" w:rsidR="00DA2EDE" w:rsidRPr="00FF756A" w:rsidRDefault="00DA2EDE" w:rsidP="004A3257">
      <w:pPr>
        <w:pStyle w:val="ListParagraph"/>
        <w:widowControl w:val="0"/>
        <w:numPr>
          <w:ilvl w:val="0"/>
          <w:numId w:val="19"/>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 xml:space="preserve">Përfundimi i ndërtimit të rrjetit rrugor të brendshëm, duke përfshirë arteriet strategjike; </w:t>
      </w:r>
    </w:p>
    <w:p w14:paraId="3A08071A" w14:textId="77777777" w:rsidR="00DA2EDE" w:rsidRPr="00FF756A" w:rsidRDefault="00DA2EDE" w:rsidP="004A3257">
      <w:pPr>
        <w:pStyle w:val="ListParagraph"/>
        <w:widowControl w:val="0"/>
        <w:numPr>
          <w:ilvl w:val="0"/>
          <w:numId w:val="19"/>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 xml:space="preserve">Përfundimi i studimit të fizibilitetit për autostradën Adriatik-Jon si një korridor veri-jug; </w:t>
      </w:r>
    </w:p>
    <w:p w14:paraId="358FFA18" w14:textId="473486ED" w:rsidR="00092F00" w:rsidRPr="00FF756A" w:rsidRDefault="00DA2EDE" w:rsidP="004A3257">
      <w:pPr>
        <w:pStyle w:val="ListParagraph"/>
        <w:widowControl w:val="0"/>
        <w:numPr>
          <w:ilvl w:val="0"/>
          <w:numId w:val="19"/>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Reformimi i rrjetit të transportit rrugor ndërurban për pasagjerët.</w:t>
      </w:r>
    </w:p>
    <w:p w14:paraId="610551C7" w14:textId="00A73DBC" w:rsidR="00DA2EDE" w:rsidRPr="00FF756A" w:rsidRDefault="00092F00" w:rsidP="004A3257">
      <w:pPr>
        <w:pStyle w:val="ListParagraph"/>
        <w:widowControl w:val="0"/>
        <w:numPr>
          <w:ilvl w:val="0"/>
          <w:numId w:val="19"/>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Shtimi i investimeve në zgjerimin e rrjetit gjithëpërfshirës TEN-T.</w:t>
      </w:r>
    </w:p>
    <w:p w14:paraId="241F1743" w14:textId="49EBF1D1" w:rsidR="00DA2EDE" w:rsidRPr="00FF756A" w:rsidRDefault="00DA2EDE" w:rsidP="004A3257">
      <w:pPr>
        <w:spacing w:before="40" w:after="40" w:line="240" w:lineRule="auto"/>
        <w:rPr>
          <w:color w:val="000000" w:themeColor="text1"/>
        </w:rPr>
      </w:pPr>
      <w:r w:rsidRPr="00FF756A">
        <w:rPr>
          <w:color w:val="000000" w:themeColor="text1"/>
        </w:rPr>
        <w:t xml:space="preserve">Për sa i përket transportit hekurudhor, sfidat kryesore për periudhën e planifikimit janë: </w:t>
      </w:r>
    </w:p>
    <w:p w14:paraId="57CC2241" w14:textId="77777777" w:rsidR="00DA2EDE" w:rsidRPr="00FF756A" w:rsidRDefault="00DA2EDE" w:rsidP="004A3257">
      <w:pPr>
        <w:pStyle w:val="ListParagraph"/>
        <w:widowControl w:val="0"/>
        <w:numPr>
          <w:ilvl w:val="0"/>
          <w:numId w:val="19"/>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 xml:space="preserve">Reformimi i sistemit hekurudhor për krijimin e një tregu të hapur për investitorët publikë dhe privatë, qoftë nga aspekti i rregullimit të tregut apo nga ai i menaxhimit të infrastrukturës ose operacioneve hekurudhore; </w:t>
      </w:r>
    </w:p>
    <w:p w14:paraId="4D4B0B4D" w14:textId="77777777" w:rsidR="00DA2EDE" w:rsidRPr="00FF756A" w:rsidRDefault="00DA2EDE" w:rsidP="004A3257">
      <w:pPr>
        <w:pStyle w:val="ListParagraph"/>
        <w:widowControl w:val="0"/>
        <w:numPr>
          <w:ilvl w:val="0"/>
          <w:numId w:val="19"/>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 xml:space="preserve">Fuqizimi i kapaciteteve dhe burimeve njerëzore në të gjitha nivelet, veçanërisht me qëllimin për të ngritur në mënyrë efektive strukturën ligjore dhe institucionale që nevojitet për garantimin e operimit të sigurt të një tregu të hapur; </w:t>
      </w:r>
    </w:p>
    <w:p w14:paraId="52FD7432" w14:textId="77777777" w:rsidR="00DA2EDE" w:rsidRPr="00FF756A" w:rsidRDefault="00DA2EDE" w:rsidP="004A3257">
      <w:pPr>
        <w:pStyle w:val="ListParagraph"/>
        <w:widowControl w:val="0"/>
        <w:numPr>
          <w:ilvl w:val="0"/>
          <w:numId w:val="19"/>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 xml:space="preserve">Krijimi i kushteve ligjore dhe institucionale të favorshme për tërheqjen e investimeve të huaja; dhe </w:t>
      </w:r>
    </w:p>
    <w:p w14:paraId="605F793B" w14:textId="77777777" w:rsidR="00DA2EDE" w:rsidRPr="00FF756A" w:rsidRDefault="00DA2EDE" w:rsidP="004A3257">
      <w:pPr>
        <w:pStyle w:val="ListParagraph"/>
        <w:widowControl w:val="0"/>
        <w:numPr>
          <w:ilvl w:val="0"/>
          <w:numId w:val="19"/>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 xml:space="preserve">Krijimin e kushteve të barabarta me mënyrat e tjera të transportit. </w:t>
      </w:r>
    </w:p>
    <w:p w14:paraId="7D53AB45" w14:textId="77777777" w:rsidR="00467C26" w:rsidRPr="00FF756A" w:rsidRDefault="00467C26" w:rsidP="004A3257">
      <w:pPr>
        <w:widowControl w:val="0"/>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rPr>
          <w:b/>
          <w:bCs/>
          <w:u w:val="single"/>
        </w:rPr>
      </w:pPr>
    </w:p>
    <w:p w14:paraId="0DB9E8C9" w14:textId="0C2833B0" w:rsidR="00467C26" w:rsidRPr="00FF756A" w:rsidRDefault="00467C26" w:rsidP="004A3257">
      <w:pPr>
        <w:widowControl w:val="0"/>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rPr>
          <w:b/>
          <w:bCs/>
          <w:u w:val="single"/>
        </w:rPr>
      </w:pPr>
      <w:r w:rsidRPr="00FF756A">
        <w:rPr>
          <w:b/>
          <w:bCs/>
          <w:u w:val="single"/>
        </w:rPr>
        <w:t>Aspekte të tjera</w:t>
      </w:r>
    </w:p>
    <w:p w14:paraId="49BAA8D2" w14:textId="77777777" w:rsidR="00DA2EDE" w:rsidRPr="00FF756A" w:rsidRDefault="00DA2EDE" w:rsidP="004A3257">
      <w:pPr>
        <w:spacing w:before="40" w:after="40" w:line="240" w:lineRule="auto"/>
        <w:rPr>
          <w:color w:val="000000" w:themeColor="text1"/>
        </w:rPr>
      </w:pPr>
      <w:r w:rsidRPr="00FF756A">
        <w:rPr>
          <w:color w:val="000000" w:themeColor="text1"/>
        </w:rPr>
        <w:t xml:space="preserve">Për sa i përket integrimit në tregun evropian të energjisë, është i rëndësishëm bashkëpunimi me: </w:t>
      </w:r>
    </w:p>
    <w:p w14:paraId="18EB58B5" w14:textId="77777777" w:rsidR="00DA2EDE" w:rsidRPr="00FF756A" w:rsidRDefault="00DA2EDE" w:rsidP="004A3257">
      <w:pPr>
        <w:pStyle w:val="ListParagraph"/>
        <w:widowControl w:val="0"/>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ENTSO-E (Rrjeti Evropian i Operatorëve të Sistemit të Transmetimit të Energjisë Elektrike)</w:t>
      </w:r>
    </w:p>
    <w:p w14:paraId="17B6D81F" w14:textId="77777777" w:rsidR="00DA2EDE" w:rsidRPr="00FF756A" w:rsidRDefault="00DA2EDE" w:rsidP="004A3257">
      <w:pPr>
        <w:pStyle w:val="ListParagraph"/>
        <w:widowControl w:val="0"/>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ENTSO-G (Rrjeti Evropian i Operatorëve të Sistemit të Transmetimit të Gazit)</w:t>
      </w:r>
    </w:p>
    <w:p w14:paraId="5C8DD1DC" w14:textId="4D0050F1" w:rsidR="00DA2EDE" w:rsidRPr="00FF756A" w:rsidRDefault="00DA2EDE" w:rsidP="004A3257">
      <w:pPr>
        <w:spacing w:before="40" w:after="40" w:line="240" w:lineRule="auto"/>
      </w:pPr>
      <w:r w:rsidRPr="00FF756A">
        <w:t xml:space="preserve">Më shumë informacion jepet në kreun 1.2.2 </w:t>
      </w:r>
      <w:r w:rsidRPr="00FF756A">
        <w:fldChar w:fldCharType="begin"/>
      </w:r>
      <w:r w:rsidRPr="00FF756A">
        <w:instrText xml:space="preserve"> REF _Ref44698862 \h </w:instrText>
      </w:r>
      <w:r w:rsidR="00D0529A" w:rsidRPr="00FF756A">
        <w:instrText xml:space="preserve"> \* MERGEFORMAT </w:instrText>
      </w:r>
      <w:r w:rsidRPr="00FF756A">
        <w:fldChar w:fldCharType="separate"/>
      </w:r>
      <w:r w:rsidR="001438D2" w:rsidRPr="00FF756A">
        <w:t>Dimensioni i tregut të brendshëm të energjisë</w:t>
      </w:r>
      <w:r w:rsidRPr="00FF756A">
        <w:fldChar w:fldCharType="end"/>
      </w:r>
      <w:r w:rsidRPr="00FF756A">
        <w:t>.</w:t>
      </w:r>
    </w:p>
    <w:p w14:paraId="47B8D264" w14:textId="08BA2CA6" w:rsidR="00DA2EDE" w:rsidRPr="00FF756A" w:rsidRDefault="00DA2EDE" w:rsidP="004A3257">
      <w:pPr>
        <w:spacing w:before="40" w:after="40" w:line="240" w:lineRule="auto"/>
        <w:rPr>
          <w:color w:val="000000" w:themeColor="text1"/>
        </w:rPr>
      </w:pPr>
      <w:r w:rsidRPr="00FF756A">
        <w:rPr>
          <w:color w:val="000000" w:themeColor="text1"/>
        </w:rPr>
        <w:t xml:space="preserve">Për qëllimet e inovacionit, është mjaft e rëndësishme që të thellohet bashkëpunimi në fushën e kërkimit lidhur me tema </w:t>
      </w:r>
      <w:r w:rsidR="002A4F0B" w:rsidRPr="00FF756A">
        <w:rPr>
          <w:color w:val="000000" w:themeColor="text1"/>
        </w:rPr>
        <w:t xml:space="preserve">që kanë </w:t>
      </w:r>
      <w:r w:rsidRPr="00FF756A">
        <w:rPr>
          <w:color w:val="000000" w:themeColor="text1"/>
        </w:rPr>
        <w:t xml:space="preserve"> rëndësi të veçantë për rajonin. </w:t>
      </w:r>
    </w:p>
    <w:p w14:paraId="186C2EA2" w14:textId="77777777" w:rsidR="00DA2EDE" w:rsidRPr="00FF756A" w:rsidRDefault="00DA2EDE" w:rsidP="004A3257">
      <w:pPr>
        <w:spacing w:before="40" w:after="40" w:line="240" w:lineRule="auto"/>
        <w:rPr>
          <w:color w:val="000000" w:themeColor="text1"/>
        </w:rPr>
      </w:pPr>
      <w:r w:rsidRPr="00FF756A">
        <w:rPr>
          <w:color w:val="000000" w:themeColor="text1"/>
        </w:rPr>
        <w:t>Baza për bashkëpunimin rajonal, duke përfshirë edhe atë ndërkufitar, është Komuniteti i Energjisë. Sekretariati i Komunitetit të Energjisë organizon grupe të ndryshme pune të cilat ofrojnë një platformë për shkëmbimin e informacioneve dhe përvojave lidhur me çdo dimension të PKEK-së.</w:t>
      </w:r>
    </w:p>
    <w:p w14:paraId="4D64EB93" w14:textId="2D079B9D" w:rsidR="00DA2EDE" w:rsidRPr="00FF756A" w:rsidRDefault="00DA2EDE" w:rsidP="004A3257">
      <w:pPr>
        <w:spacing w:before="40" w:after="40" w:line="240" w:lineRule="auto"/>
        <w:rPr>
          <w:color w:val="000000" w:themeColor="text1"/>
        </w:rPr>
      </w:pPr>
      <w:r w:rsidRPr="00FF756A">
        <w:rPr>
          <w:color w:val="000000" w:themeColor="text1"/>
        </w:rPr>
        <w:t xml:space="preserve">Gjithashtu, Sekretariati i Komunitetit të Energjisë prezanton studime dhe nisma të rëndësishme për rajonin, duke përfshirë, ndër të tjera: </w:t>
      </w:r>
    </w:p>
    <w:p w14:paraId="33AE3D05" w14:textId="77777777" w:rsidR="00DA2EDE" w:rsidRPr="00FF756A" w:rsidRDefault="00DA2EDE" w:rsidP="004A3257">
      <w:pPr>
        <w:pStyle w:val="ListParagraph"/>
        <w:widowControl w:val="0"/>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 xml:space="preserve">Nismën e 6 vendeve të Ballkanit Perëndimor </w:t>
      </w:r>
    </w:p>
    <w:p w14:paraId="3E67C1C2" w14:textId="544280C1" w:rsidR="00DA2EDE" w:rsidRPr="00FF756A" w:rsidRDefault="00DA2EDE" w:rsidP="004A3257">
      <w:pPr>
        <w:pStyle w:val="ListParagraph"/>
        <w:widowControl w:val="0"/>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 xml:space="preserve">Studimin e Komunitetit të Energjisë për çmimet e karbonit (studim i nisur në janar të vitit 2020 </w:t>
      </w:r>
      <w:hyperlink r:id="rId42" w:history="1">
        <w:r w:rsidR="00B31333" w:rsidRPr="00FF756A">
          <w:rPr>
            <w:rStyle w:val="Hyperlink"/>
          </w:rPr>
          <w:t>https://energy-community.org/news/Energy-Community-News/2020/02/03.html</w:t>
        </w:r>
      </w:hyperlink>
      <w:r w:rsidR="00B31333" w:rsidRPr="00FF756A">
        <w:t xml:space="preserve"> </w:t>
      </w:r>
      <w:r w:rsidRPr="00FF756A">
        <w:t>)</w:t>
      </w:r>
    </w:p>
    <w:p w14:paraId="2D80FA42" w14:textId="77777777" w:rsidR="00DA2EDE" w:rsidRPr="00FF756A" w:rsidRDefault="00DA2EDE" w:rsidP="00D0529A">
      <w:pPr>
        <w:spacing w:before="40" w:after="40"/>
      </w:pPr>
    </w:p>
    <w:p w14:paraId="480D7418" w14:textId="1A007B72" w:rsidR="00DA2EDE" w:rsidRPr="00FF756A" w:rsidRDefault="00DA2EDE" w:rsidP="004A3257">
      <w:pPr>
        <w:pStyle w:val="Heading3"/>
        <w:numPr>
          <w:ilvl w:val="2"/>
          <w:numId w:val="251"/>
        </w:numPr>
      </w:pPr>
      <w:bookmarkStart w:id="91" w:name="_Toc40028002"/>
      <w:bookmarkStart w:id="92" w:name="_Toc40028525"/>
      <w:bookmarkStart w:id="93" w:name="_Toc40029211"/>
      <w:bookmarkStart w:id="94" w:name="_Toc40029388"/>
      <w:bookmarkStart w:id="95" w:name="_Toc183639190"/>
      <w:bookmarkEnd w:id="90"/>
      <w:bookmarkEnd w:id="91"/>
      <w:bookmarkEnd w:id="92"/>
      <w:bookmarkEnd w:id="93"/>
      <w:bookmarkEnd w:id="94"/>
      <w:r w:rsidRPr="00FF756A">
        <w:t>Struktura administrative e zbatimit të politikave kombëtare për energjinë dhe klimën</w:t>
      </w:r>
      <w:bookmarkEnd w:id="95"/>
    </w:p>
    <w:p w14:paraId="472B8673" w14:textId="77777777" w:rsidR="00DA2EDE" w:rsidRPr="00FF756A" w:rsidRDefault="00DA2EDE" w:rsidP="00D0529A">
      <w:pPr>
        <w:spacing w:before="40" w:after="40"/>
      </w:pPr>
      <w:r w:rsidRPr="00FF756A">
        <w:t>Komiteti Ndërministror për Energjinë dhe Klimën (IECC) është ngritur si një grup pune ndërministror me pjesëmarrjen e Ministrisë së Infrastrukturës dhe Energjisë (e cila, për shkak të shtrirjes së kompetencave të saj, luan rolin më kryesor dhe ka numrin më të madh të përfaqësuesve nga fusha e hidrokarbureve, energjisë, transportit dhe planifikimit urban, si dhe nga një sërë institucionesh të tjera që kanë të bëjnë me energjinë), Ministrisë së Turizmit dhe Mjedisit, Ministrisë së Financave dhe Ekonomisë, Ministrisë për Evropën dhe Punët e Jashtme dhe INSTAT-it.</w:t>
      </w:r>
    </w:p>
    <w:p w14:paraId="6BD1B96C" w14:textId="77777777" w:rsidR="00DA2EDE" w:rsidRPr="00FF756A" w:rsidRDefault="00DA2EDE" w:rsidP="00D0529A">
      <w:pPr>
        <w:spacing w:before="40" w:after="40"/>
      </w:pPr>
      <w:r w:rsidRPr="00FF756A">
        <w:t xml:space="preserve">IECC-ja është kryesisht përgjegjëse për udhëheqjen politike dhe strategjike, koordinimin dhe vendimmarrjen, verifikimin e rezultateve dhe vlerësimin e miratimin final të vendosjes së objektivave gjatë procesit të PKEK-së. Sipas udhëzimeve politike për PKEK-në nga Komuniteti i Energjisë, Komiteti Ndërministror për Energjinë dhe Klimën mblidhet jo më rrallë se dy herë në vit. </w:t>
      </w:r>
    </w:p>
    <w:p w14:paraId="67C367A8" w14:textId="77777777" w:rsidR="00DA2EDE" w:rsidRPr="00FF756A" w:rsidRDefault="00DA2EDE" w:rsidP="00D0529A">
      <w:pPr>
        <w:spacing w:before="40" w:after="40"/>
      </w:pPr>
      <w:r w:rsidRPr="00FF756A">
        <w:t xml:space="preserve">Është krijuar një Sekretariat Teknik me Ministrinë e Infrastrukturës dhe Energjisë, i cili është përgjegjës për detyrat në vijim: </w:t>
      </w:r>
    </w:p>
    <w:p w14:paraId="4E6C88F3" w14:textId="26501C52" w:rsidR="00DA2EDE" w:rsidRPr="00FF756A" w:rsidRDefault="00DA2EDE" w:rsidP="004A3257">
      <w:pPr>
        <w:pStyle w:val="ListParagraph"/>
        <w:widowControl w:val="0"/>
        <w:numPr>
          <w:ilvl w:val="0"/>
          <w:numId w:val="5"/>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 xml:space="preserve">Menaxhimin e organizimit, projektimit dhe </w:t>
      </w:r>
      <w:r w:rsidR="00083D33" w:rsidRPr="00FF756A">
        <w:t>shpjegimit</w:t>
      </w:r>
      <w:r w:rsidRPr="00FF756A">
        <w:t xml:space="preserve"> të PKEK-së;</w:t>
      </w:r>
    </w:p>
    <w:p w14:paraId="34CEA1DA" w14:textId="77777777" w:rsidR="00DA2EDE" w:rsidRPr="00FF756A" w:rsidRDefault="00DA2EDE" w:rsidP="004A3257">
      <w:pPr>
        <w:pStyle w:val="ListParagraph"/>
        <w:widowControl w:val="0"/>
        <w:numPr>
          <w:ilvl w:val="0"/>
          <w:numId w:val="5"/>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Organizimin e konsultimeve dhe dëgjesave publike;</w:t>
      </w:r>
    </w:p>
    <w:p w14:paraId="7623FE49" w14:textId="77777777" w:rsidR="00DA2EDE" w:rsidRPr="00FF756A" w:rsidRDefault="00DA2EDE" w:rsidP="004A3257">
      <w:pPr>
        <w:pStyle w:val="ListParagraph"/>
        <w:widowControl w:val="0"/>
        <w:numPr>
          <w:ilvl w:val="0"/>
          <w:numId w:val="5"/>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Përgatitjen dhe përpunimin e materialit të PKEK që do të përdoret gjatë mbledhjeve dhe konsultimeve me publikun;</w:t>
      </w:r>
    </w:p>
    <w:p w14:paraId="5DDF2B68" w14:textId="77777777" w:rsidR="00DA2EDE" w:rsidRPr="00FF756A" w:rsidRDefault="00DA2EDE" w:rsidP="004A3257">
      <w:pPr>
        <w:pStyle w:val="ListParagraph"/>
        <w:widowControl w:val="0"/>
        <w:numPr>
          <w:ilvl w:val="0"/>
          <w:numId w:val="5"/>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Organizimin e mbledhjeve teknike me të gjitha grupet përkatëse të interesit;</w:t>
      </w:r>
    </w:p>
    <w:p w14:paraId="55911C68" w14:textId="77777777" w:rsidR="00DA2EDE" w:rsidRPr="00FF756A" w:rsidRDefault="00DA2EDE" w:rsidP="004A3257">
      <w:pPr>
        <w:pStyle w:val="ListParagraph"/>
        <w:widowControl w:val="0"/>
        <w:numPr>
          <w:ilvl w:val="0"/>
          <w:numId w:val="5"/>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Lehtësimin e bashkëpunimit dhe koordinimit ndërmjet grupeve të punës;</w:t>
      </w:r>
    </w:p>
    <w:p w14:paraId="3AFBA3A3" w14:textId="77777777" w:rsidR="00DA2EDE" w:rsidRPr="00FF756A" w:rsidRDefault="00DA2EDE" w:rsidP="004A3257">
      <w:pPr>
        <w:pStyle w:val="ListParagraph"/>
        <w:widowControl w:val="0"/>
        <w:numPr>
          <w:ilvl w:val="0"/>
          <w:numId w:val="5"/>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Këshillimin e IECC-së lidhur me përshtatjen e afateve kohore për hartimin e PKEK-së.</w:t>
      </w:r>
    </w:p>
    <w:p w14:paraId="62C18698" w14:textId="77777777" w:rsidR="00DA2EDE" w:rsidRPr="00FF756A" w:rsidRDefault="00DA2EDE" w:rsidP="00D0529A">
      <w:pPr>
        <w:spacing w:before="40" w:after="40"/>
        <w:rPr>
          <w:color w:val="000000" w:themeColor="text1"/>
        </w:rPr>
      </w:pPr>
      <w:r w:rsidRPr="00FF756A">
        <w:t xml:space="preserve">Monitorimi dhe raportimi i zbatimit të masave dhe efekteve të tyre sigurohet përmes </w:t>
      </w:r>
      <w:r w:rsidRPr="00FF756A">
        <w:rPr>
          <w:color w:val="000000" w:themeColor="text1"/>
        </w:rPr>
        <w:t xml:space="preserve">bashkëpunimit efektiv midis grupeve të interesit (qeverisë dhe autoriteteve vendore e aktorëve të tjerë), mbledhjeve, konsultimeve dhe diskutimeve mbi çështjet e ngritura, duke përcaktuar sfidat dhe hapat për kapërcimin e tyre. </w:t>
      </w:r>
    </w:p>
    <w:p w14:paraId="35556204" w14:textId="77777777" w:rsidR="00DA2EDE" w:rsidRPr="00FF756A" w:rsidRDefault="00DA2EDE" w:rsidP="00D0529A">
      <w:pPr>
        <w:spacing w:before="40" w:after="40"/>
        <w:rPr>
          <w:color w:val="000000" w:themeColor="text1"/>
        </w:rPr>
      </w:pPr>
      <w:r w:rsidRPr="00FF756A">
        <w:rPr>
          <w:color w:val="000000" w:themeColor="text1"/>
        </w:rPr>
        <w:t xml:space="preserve">Bashkëpunimi institucionalizohet përmes Komitetit Ndërministror. Komiteti mblidhet 4 herë në vit për të koordinuar aktivitetet dhe për të përshtatur afatet kohore. Axhenda përmban një hapësirë për raportimin, një hapësirë për zgjidhjen e problemeve dhe një hapësirë për diskutime strategjike. Procesverbalet u shpërndahen pjesëmarrësve. Grupeve të interesit u jepet një përmbledhje e miratuar në nivel politik përmes shërbimit postar ose përmes faqes së internetit të MIE. </w:t>
      </w:r>
    </w:p>
    <w:p w14:paraId="2FCB765D" w14:textId="77777777" w:rsidR="00C53BD0" w:rsidRPr="00FF756A" w:rsidRDefault="00DA2EDE" w:rsidP="00D0529A">
      <w:pPr>
        <w:spacing w:before="40" w:after="40"/>
      </w:pPr>
      <w:bookmarkStart w:id="96" w:name="_Hlk40884383"/>
      <w:r w:rsidRPr="00FF756A">
        <w:t xml:space="preserve">Institucioni qeveritar MIE, përmes AKBN, ERE dhe AKEE, ka për detyrë të monitorojë dhe ndjekë zbatimin e SKE në çdo sektor dhe për të gjitha burimet e energjisë. Ato paraqesin pranë MIE raportin vjetor që vlerëson realizimin në sasi dhe cilësi të masave për EE-në, BRE-të dhe shoqëritë e energjisë, nivelin e investimeve të realizuara, pengesat dhe arsyet pas tyre, si dhe mënyrën e kapërcimit të pengesave, në mënyrë të tillë që të arrihet kursimi i energjisë, reduktimi i shkarkimeve dhe përmbushja e objektivave të tjera të mbetura. </w:t>
      </w:r>
      <w:bookmarkEnd w:id="96"/>
    </w:p>
    <w:p w14:paraId="73F558FC" w14:textId="57E2B876" w:rsidR="00DA2EDE" w:rsidRPr="00FF756A" w:rsidRDefault="00DA2EDE" w:rsidP="00D0529A">
      <w:pPr>
        <w:spacing w:before="40" w:after="40"/>
      </w:pPr>
      <w:r w:rsidRPr="00FF756A">
        <w:t>Në këtë mënyrë mund të monitorohet zbatimi i masave politike të PKEK-së.</w:t>
      </w:r>
    </w:p>
    <w:p w14:paraId="2663C232" w14:textId="77777777" w:rsidR="00DA2EDE" w:rsidRPr="00FF756A" w:rsidRDefault="00DA2EDE" w:rsidP="00D0529A">
      <w:pPr>
        <w:spacing w:before="40" w:after="40"/>
      </w:pPr>
    </w:p>
    <w:p w14:paraId="5C1DBB60" w14:textId="7C06FFCE" w:rsidR="00DA2EDE" w:rsidRPr="00FF756A" w:rsidRDefault="001114A1" w:rsidP="004E377F">
      <w:pPr>
        <w:pStyle w:val="Heading2"/>
      </w:pPr>
      <w:bookmarkStart w:id="97" w:name="_Toc183639191"/>
      <w:r w:rsidRPr="00FF756A">
        <w:t xml:space="preserve">1.3 </w:t>
      </w:r>
      <w:r w:rsidR="00DA2EDE" w:rsidRPr="00FF756A">
        <w:t>Konsultimet dhe përfshirja e subjekteve shtetërore dhe rezultati i tyre</w:t>
      </w:r>
      <w:bookmarkEnd w:id="97"/>
    </w:p>
    <w:p w14:paraId="49F741AE" w14:textId="4A46D070" w:rsidR="00DA2EDE" w:rsidRPr="00FF756A" w:rsidRDefault="00DA2EDE" w:rsidP="00EF0D31">
      <w:pPr>
        <w:widowControl w:val="0"/>
        <w:tabs>
          <w:tab w:val="left" w:pos="0"/>
        </w:tabs>
        <w:autoSpaceDE w:val="0"/>
        <w:autoSpaceDN w:val="0"/>
        <w:adjustRightInd w:val="0"/>
        <w:rPr>
          <w:iCs/>
          <w:color w:val="000000" w:themeColor="text1"/>
        </w:rPr>
      </w:pPr>
      <w:r w:rsidRPr="00FF756A">
        <w:rPr>
          <w:iCs/>
          <w:color w:val="000000" w:themeColor="text1"/>
        </w:rPr>
        <w:t xml:space="preserve">Me qëllim gjetjen e zgjidhjeve më të mira, arritjeve etj., drafti i PKEK-së u nënshtrohet dëgjesave, diskutimeve dhe shkëmbimeve të opinioneve me pjesëmarrjen e këtyre grupeve të interesit: ministritë/agjencitë e ndryshme që preken drejtpërdrejt apo tërthorazi nga PKEK-ja, njësitë e qeverisjes vendore (ato të mëdha), shoqëria civile, ekspertët e energjisë dhe shoqatat e ndryshme të bizneseve. Grupet e interesit përfshihen pjesërisht/plotësisht gjatë ciklit të hartimit, zbatimit dhe monitorimit të PKEK-së. </w:t>
      </w:r>
    </w:p>
    <w:p w14:paraId="2D9F8076" w14:textId="050ACD23" w:rsidR="00DA2EDE" w:rsidRPr="00FF756A" w:rsidRDefault="005D2B04" w:rsidP="00BB7CBC">
      <w:pPr>
        <w:widowControl w:val="0"/>
        <w:tabs>
          <w:tab w:val="left" w:pos="0"/>
        </w:tabs>
        <w:autoSpaceDE w:val="0"/>
        <w:autoSpaceDN w:val="0"/>
        <w:adjustRightInd w:val="0"/>
        <w:rPr>
          <w:bCs/>
          <w:iCs/>
          <w:color w:val="000000" w:themeColor="text1"/>
          <w:spacing w:val="-1"/>
        </w:rPr>
      </w:pPr>
      <w:r w:rsidRPr="00FF756A">
        <w:rPr>
          <w:iCs/>
          <w:color w:val="000000" w:themeColor="text1"/>
        </w:rPr>
        <w:lastRenderedPageBreak/>
        <w:t>Procedurat e konsultimit organizohen sipas ligjit nr. 146/2014 “Për njoftimin dhe konsultimin publik” dhe sipas Vendimit të Këshillit të Ministrave nr. 247, datë 30.4.2014, "</w:t>
      </w:r>
      <w:r w:rsidRPr="00FF756A">
        <w:rPr>
          <w:bCs/>
          <w:iCs/>
          <w:color w:val="000000" w:themeColor="text1"/>
        </w:rPr>
        <w:t>Për përcaktimin e rregullave, të kërkesave e të procedurave për informimin dhe përfshirjen e publikut në vendimmarrjen mjedisore".</w:t>
      </w:r>
      <w:r w:rsidRPr="00FF756A">
        <w:rPr>
          <w:iCs/>
          <w:color w:val="000000" w:themeColor="text1"/>
        </w:rPr>
        <w:t xml:space="preserve"> </w:t>
      </w:r>
      <w:r w:rsidRPr="00FF756A">
        <w:rPr>
          <w:bCs/>
          <w:iCs/>
          <w:color w:val="000000" w:themeColor="text1"/>
        </w:rPr>
        <w:t>Ligji nr. 146/2014</w:t>
      </w:r>
      <w:r w:rsidRPr="00FF756A">
        <w:rPr>
          <w:iCs/>
          <w:color w:val="000000" w:themeColor="text1"/>
        </w:rPr>
        <w:t xml:space="preserve"> përcakton rregullat dhe procedurat për njoftimin dhe konsultimin publik që zhvillohet nga autoritetet/institucionet publike në proceset e politikë-bërjes dhe vendimmarrjes.</w:t>
      </w:r>
    </w:p>
    <w:p w14:paraId="5B0FF6F2" w14:textId="20960A42" w:rsidR="00DA2EDE" w:rsidRPr="00FF756A" w:rsidRDefault="00DA2EDE" w:rsidP="00BB7CBC">
      <w:pPr>
        <w:pStyle w:val="BodyText"/>
        <w:spacing w:after="60" w:line="276" w:lineRule="auto"/>
        <w:ind w:right="10"/>
        <w:rPr>
          <w:rFonts w:ascii="Times New Roman" w:hAnsi="Times New Roman" w:cs="Times New Roman"/>
          <w:bCs/>
          <w:iCs/>
          <w:color w:val="000000" w:themeColor="text1"/>
          <w:spacing w:val="-1"/>
          <w:sz w:val="22"/>
          <w:szCs w:val="22"/>
        </w:rPr>
      </w:pPr>
      <w:r w:rsidRPr="00FF756A">
        <w:rPr>
          <w:rFonts w:ascii="Times New Roman" w:hAnsi="Times New Roman" w:cs="Times New Roman"/>
          <w:bCs/>
          <w:iCs/>
          <w:color w:val="000000" w:themeColor="text1"/>
          <w:sz w:val="22"/>
          <w:szCs w:val="22"/>
        </w:rPr>
        <w:t>Është e rëndësishme të theksohet se ka disa akte legjislative të përfshira në detyrat e organeve qeveritare, bashkive etj., të cilat përkufizojnë qartë</w:t>
      </w:r>
      <w:r w:rsidR="008D74B5" w:rsidRPr="00FF756A">
        <w:rPr>
          <w:rFonts w:ascii="Times New Roman" w:hAnsi="Times New Roman" w:cs="Times New Roman"/>
          <w:bCs/>
          <w:iCs/>
          <w:color w:val="000000" w:themeColor="text1"/>
          <w:sz w:val="22"/>
          <w:szCs w:val="22"/>
        </w:rPr>
        <w:t>,</w:t>
      </w:r>
      <w:r w:rsidRPr="00FF756A">
        <w:rPr>
          <w:rFonts w:ascii="Times New Roman" w:hAnsi="Times New Roman" w:cs="Times New Roman"/>
          <w:bCs/>
          <w:iCs/>
          <w:color w:val="000000" w:themeColor="text1"/>
          <w:sz w:val="22"/>
          <w:szCs w:val="22"/>
        </w:rPr>
        <w:t xml:space="preserve"> të drejtën e grupeve të interesit nga shoqëria civile për t’u përfshirë në procesin e hartimit të politikave dhe legjislacionit dhe </w:t>
      </w:r>
      <w:r w:rsidRPr="00FF756A">
        <w:rPr>
          <w:rFonts w:ascii="Times New Roman" w:hAnsi="Times New Roman" w:cs="Times New Roman"/>
          <w:iCs/>
          <w:color w:val="000000" w:themeColor="text1"/>
          <w:sz w:val="22"/>
          <w:szCs w:val="22"/>
        </w:rPr>
        <w:t>në vlerësimin e ndikimit në mjedis.</w:t>
      </w:r>
    </w:p>
    <w:p w14:paraId="0E819814" w14:textId="3E2B6DEB" w:rsidR="00DA2EDE" w:rsidRPr="00FF756A" w:rsidRDefault="00DA2EDE" w:rsidP="00BB7CBC">
      <w:pPr>
        <w:pStyle w:val="BodyText"/>
        <w:spacing w:after="60" w:line="276" w:lineRule="auto"/>
        <w:ind w:right="10"/>
        <w:rPr>
          <w:rFonts w:ascii="Times New Roman" w:hAnsi="Times New Roman" w:cs="Times New Roman"/>
          <w:iCs/>
          <w:color w:val="000000" w:themeColor="text1"/>
          <w:sz w:val="22"/>
          <w:szCs w:val="22"/>
        </w:rPr>
      </w:pPr>
      <w:r w:rsidRPr="00FF756A">
        <w:rPr>
          <w:rFonts w:ascii="Times New Roman" w:hAnsi="Times New Roman" w:cs="Times New Roman"/>
          <w:iCs/>
          <w:color w:val="000000" w:themeColor="text1"/>
          <w:sz w:val="22"/>
          <w:szCs w:val="22"/>
        </w:rPr>
        <w:t>Sipas procedurave të përcaktuara qartë</w:t>
      </w:r>
      <w:r w:rsidR="00C32B84" w:rsidRPr="00FF756A">
        <w:rPr>
          <w:rFonts w:ascii="Times New Roman" w:hAnsi="Times New Roman" w:cs="Times New Roman"/>
          <w:iCs/>
          <w:color w:val="000000" w:themeColor="text1"/>
          <w:sz w:val="22"/>
          <w:szCs w:val="22"/>
        </w:rPr>
        <w:t>,</w:t>
      </w:r>
      <w:r w:rsidRPr="00FF756A">
        <w:rPr>
          <w:rFonts w:ascii="Times New Roman" w:hAnsi="Times New Roman" w:cs="Times New Roman"/>
          <w:iCs/>
          <w:color w:val="000000" w:themeColor="text1"/>
          <w:sz w:val="22"/>
          <w:szCs w:val="22"/>
        </w:rPr>
        <w:t xml:space="preserve"> pas konsultimeve të nevojshme përmes mbledhjeve, tryezave të rrumbullakëta, faqeve të internetit etj. me të gjitha grupet e interesit të këtij procesi gjithëpërfshirës, MIE dhe Ministria e Turizmit dhe Mjedisit do të jenë të detyruara të reflektojnë komentet dhe të gjejnë mënyrat e duhura për të kapërcyer pengesat (teknike dhe financiare), duke inkurajuar dhe mbështetur zbatimin e PKEK-së në seksionet e tyre specifike bazuar në udhëzues ose udhërrëfyes të caktuar.</w:t>
      </w:r>
    </w:p>
    <w:p w14:paraId="1CB3FBE7" w14:textId="2F3617E2" w:rsidR="00DA2EDE" w:rsidRPr="00FF756A" w:rsidRDefault="00DA2EDE" w:rsidP="00BB7CBC">
      <w:pPr>
        <w:pStyle w:val="BodyText"/>
        <w:spacing w:after="60" w:line="276" w:lineRule="auto"/>
        <w:ind w:right="10"/>
        <w:rPr>
          <w:rFonts w:ascii="Times New Roman" w:hAnsi="Times New Roman" w:cs="Times New Roman"/>
          <w:iCs/>
          <w:color w:val="000000" w:themeColor="text1"/>
          <w:sz w:val="22"/>
          <w:szCs w:val="22"/>
        </w:rPr>
      </w:pPr>
      <w:r w:rsidRPr="00FF756A">
        <w:rPr>
          <w:rFonts w:ascii="Times New Roman" w:hAnsi="Times New Roman" w:cs="Times New Roman"/>
          <w:iCs/>
          <w:color w:val="000000" w:themeColor="text1"/>
          <w:sz w:val="22"/>
          <w:szCs w:val="22"/>
        </w:rPr>
        <w:t xml:space="preserve">Procesi i konsultimit të PKEK-së menaxhohet në formën e një procesi interaktiv nga Sekretariati Teknik për llogari të Komitetit Ndërministror për Energjinë dhe Klimën dhe me mbështetjen e GIZ (shih </w:t>
      </w:r>
      <w:r w:rsidRPr="00FF756A">
        <w:rPr>
          <w:rFonts w:ascii="Times New Roman" w:hAnsi="Times New Roman" w:cs="Times New Roman"/>
          <w:iCs/>
          <w:color w:val="000000" w:themeColor="text1"/>
          <w:sz w:val="22"/>
          <w:szCs w:val="22"/>
        </w:rPr>
        <w:fldChar w:fldCharType="begin"/>
      </w:r>
      <w:r w:rsidRPr="00FF756A">
        <w:rPr>
          <w:rFonts w:ascii="Times New Roman" w:hAnsi="Times New Roman" w:cs="Times New Roman"/>
          <w:iCs/>
          <w:color w:val="000000" w:themeColor="text1"/>
          <w:sz w:val="22"/>
          <w:szCs w:val="22"/>
        </w:rPr>
        <w:instrText xml:space="preserve"> REF _Ref44699390 \h </w:instrText>
      </w:r>
      <w:r w:rsidR="00BB7CBC" w:rsidRPr="00FF756A">
        <w:rPr>
          <w:rFonts w:ascii="Times New Roman" w:hAnsi="Times New Roman" w:cs="Times New Roman"/>
          <w:iCs/>
          <w:color w:val="000000" w:themeColor="text1"/>
          <w:sz w:val="22"/>
          <w:szCs w:val="22"/>
        </w:rPr>
        <w:instrText xml:space="preserve"> \* MERGEFORMAT </w:instrText>
      </w:r>
      <w:r w:rsidRPr="00FF756A">
        <w:rPr>
          <w:rFonts w:ascii="Times New Roman" w:hAnsi="Times New Roman" w:cs="Times New Roman"/>
          <w:iCs/>
          <w:color w:val="000000" w:themeColor="text1"/>
          <w:sz w:val="22"/>
          <w:szCs w:val="22"/>
        </w:rPr>
      </w:r>
      <w:r w:rsidRPr="00FF756A">
        <w:rPr>
          <w:rFonts w:ascii="Times New Roman" w:hAnsi="Times New Roman" w:cs="Times New Roman"/>
          <w:iCs/>
          <w:color w:val="000000" w:themeColor="text1"/>
          <w:sz w:val="22"/>
          <w:szCs w:val="22"/>
        </w:rPr>
        <w:fldChar w:fldCharType="separate"/>
      </w:r>
      <w:r w:rsidR="001438D2" w:rsidRPr="00FF756A">
        <w:rPr>
          <w:rFonts w:ascii="Times New Roman" w:hAnsi="Times New Roman" w:cs="Times New Roman"/>
          <w:sz w:val="22"/>
          <w:szCs w:val="22"/>
        </w:rPr>
        <w:t>Figura 20</w:t>
      </w:r>
      <w:r w:rsidRPr="00FF756A">
        <w:rPr>
          <w:rFonts w:ascii="Times New Roman" w:hAnsi="Times New Roman" w:cs="Times New Roman"/>
          <w:iCs/>
          <w:color w:val="000000" w:themeColor="text1"/>
          <w:sz w:val="22"/>
          <w:szCs w:val="22"/>
        </w:rPr>
        <w:fldChar w:fldCharType="end"/>
      </w:r>
      <w:r w:rsidRPr="00FF756A">
        <w:rPr>
          <w:rFonts w:ascii="Times New Roman" w:hAnsi="Times New Roman" w:cs="Times New Roman"/>
          <w:iCs/>
          <w:color w:val="000000" w:themeColor="text1"/>
          <w:sz w:val="22"/>
          <w:szCs w:val="22"/>
        </w:rPr>
        <w:t>). Sekretariati Teknik organizohet nga MIE.</w:t>
      </w:r>
    </w:p>
    <w:p w14:paraId="3FD38F14" w14:textId="77777777" w:rsidR="00DA2EDE" w:rsidRPr="00FF756A" w:rsidRDefault="00DA2EDE" w:rsidP="007B28BB">
      <w:pPr>
        <w:pStyle w:val="BodyText"/>
        <w:spacing w:before="40" w:after="40" w:line="276" w:lineRule="auto"/>
        <w:ind w:right="10"/>
        <w:rPr>
          <w:rFonts w:ascii="Times New Roman" w:hAnsi="Times New Roman" w:cs="Times New Roman"/>
          <w:iCs/>
          <w:color w:val="000000" w:themeColor="text1"/>
          <w:sz w:val="22"/>
          <w:szCs w:val="22"/>
        </w:rPr>
      </w:pPr>
      <w:r w:rsidRPr="00FF756A">
        <w:rPr>
          <w:rFonts w:ascii="Times New Roman" w:hAnsi="Times New Roman" w:cs="Times New Roman"/>
          <w:iCs/>
          <w:color w:val="000000" w:themeColor="text1"/>
          <w:sz w:val="22"/>
          <w:szCs w:val="22"/>
        </w:rPr>
        <w:t xml:space="preserve">Procesi i konsultimit është planifikuar si një proces me dy drejtime, pra MIE kërkon komente mbi politikat dhe masat e planifikuara dhe grupet e interesit kanë mundësinë të kërkojnë informacion të mëtejshëm ose specifik mbi tema të caktuara që lidhen me PKEK-në. </w:t>
      </w:r>
    </w:p>
    <w:p w14:paraId="3224DB04" w14:textId="77777777" w:rsidR="00DA2EDE" w:rsidRPr="00FF756A" w:rsidRDefault="00DA2EDE" w:rsidP="007B28BB">
      <w:pPr>
        <w:pStyle w:val="BodyText"/>
        <w:spacing w:before="40" w:after="40" w:line="276" w:lineRule="auto"/>
        <w:ind w:right="10"/>
        <w:rPr>
          <w:rFonts w:ascii="Times New Roman" w:hAnsi="Times New Roman" w:cs="Times New Roman"/>
          <w:iCs/>
          <w:color w:val="000000" w:themeColor="text1"/>
          <w:sz w:val="22"/>
          <w:szCs w:val="22"/>
        </w:rPr>
      </w:pPr>
      <w:r w:rsidRPr="00FF756A">
        <w:rPr>
          <w:rFonts w:ascii="Times New Roman" w:hAnsi="Times New Roman" w:cs="Times New Roman"/>
          <w:iCs/>
          <w:color w:val="000000" w:themeColor="text1"/>
          <w:sz w:val="22"/>
          <w:szCs w:val="22"/>
        </w:rPr>
        <w:t>Elementet e procesit të konsultimit:</w:t>
      </w:r>
    </w:p>
    <w:p w14:paraId="4AF2FFBF" w14:textId="77777777" w:rsidR="00DA2EDE" w:rsidRPr="00FF756A" w:rsidRDefault="00DA2EDE">
      <w:pPr>
        <w:pStyle w:val="ListParagraph"/>
        <w:widowControl w:val="0"/>
        <w:numPr>
          <w:ilvl w:val="0"/>
          <w:numId w:val="5"/>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contextualSpacing w:val="0"/>
      </w:pPr>
      <w:r w:rsidRPr="00FF756A">
        <w:t>Të gjitha politikat dhe masat prezantohen në faqen e internetit të MIE dhe të gjitha grupet</w:t>
      </w:r>
      <w:r w:rsidRPr="00FF756A">
        <w:rPr>
          <w:iCs/>
          <w:color w:val="000000" w:themeColor="text1"/>
          <w:sz w:val="24"/>
          <w:szCs w:val="24"/>
        </w:rPr>
        <w:t xml:space="preserve"> </w:t>
      </w:r>
      <w:r w:rsidRPr="00FF756A">
        <w:t xml:space="preserve">e identifikuara të interesit mund të japin komentet e tyre (konsultimi online). Një skedar në Word është i disponueshëm për shkarkim dhe komentet mund të paraqiten përmes emailit. Si alternativë, mund të përdoret një instrument anketimi online për të informuar grupet e interesit dhe për të mbledhur komente. </w:t>
      </w:r>
    </w:p>
    <w:p w14:paraId="674A0D50" w14:textId="77777777" w:rsidR="00DA2EDE" w:rsidRPr="00FF756A" w:rsidRDefault="00DA2EDE">
      <w:pPr>
        <w:pStyle w:val="ListParagraph"/>
        <w:widowControl w:val="0"/>
        <w:numPr>
          <w:ilvl w:val="0"/>
          <w:numId w:val="5"/>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contextualSpacing w:val="0"/>
      </w:pPr>
      <w:r w:rsidRPr="00FF756A">
        <w:t xml:space="preserve">Grupet e interesit ftohen të kërkojnë informacione të mëtejshme ose specifike në lidhje me PKEK-në. </w:t>
      </w:r>
    </w:p>
    <w:p w14:paraId="1EEDA87B" w14:textId="57BDD94B" w:rsidR="00DA2EDE" w:rsidRPr="00FF756A" w:rsidRDefault="00DA2EDE">
      <w:pPr>
        <w:pStyle w:val="ListParagraph"/>
        <w:widowControl w:val="0"/>
        <w:numPr>
          <w:ilvl w:val="0"/>
          <w:numId w:val="5"/>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contextualSpacing w:val="0"/>
      </w:pPr>
      <w:r w:rsidRPr="00FF756A">
        <w:t xml:space="preserve">Mbledhjet e përbashkëta ose konferencat telefonike me vende të tjera fqinje për shkëmbimin e informacioneve dhe praktikave më të mira janë gjithashtu elemente të rëndësishme të procesit. Kjo vlen për politikat dhe masat për të cilat bashkëpunimi rajonal ose ndërkufitar është thelbësor. </w:t>
      </w:r>
    </w:p>
    <w:p w14:paraId="1E65382C" w14:textId="77777777" w:rsidR="00DA2EDE" w:rsidRPr="00FF756A" w:rsidRDefault="00DA2EDE">
      <w:pPr>
        <w:pStyle w:val="ListParagraph"/>
        <w:widowControl w:val="0"/>
        <w:numPr>
          <w:ilvl w:val="0"/>
          <w:numId w:val="5"/>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contextualSpacing w:val="0"/>
      </w:pPr>
      <w:r w:rsidRPr="00FF756A">
        <w:t xml:space="preserve">Përfshirja e ekspertëve përmes grupeve të punës dhe angazhimi i grupeve të jashtme të interesit janë elementet kyçe të procesit. Skema organizative përkatëse tregohet në figurën më poshtë. </w:t>
      </w:r>
    </w:p>
    <w:p w14:paraId="2AFE653D" w14:textId="77777777" w:rsidR="00BB7CBC" w:rsidRPr="00FF756A" w:rsidRDefault="00BB7CBC" w:rsidP="007B28BB">
      <w:pPr>
        <w:spacing w:before="40" w:after="40"/>
        <w:rPr>
          <w:color w:val="000000" w:themeColor="text1"/>
        </w:rPr>
      </w:pPr>
    </w:p>
    <w:p w14:paraId="0BA0AC52" w14:textId="2945E977" w:rsidR="00DA2EDE" w:rsidRPr="00FF756A" w:rsidRDefault="00DA2EDE" w:rsidP="007B28BB">
      <w:pPr>
        <w:spacing w:before="40" w:after="40"/>
        <w:rPr>
          <w:color w:val="000000" w:themeColor="text1"/>
        </w:rPr>
      </w:pPr>
      <w:r w:rsidRPr="00FF756A">
        <w:rPr>
          <w:color w:val="000000" w:themeColor="text1"/>
        </w:rPr>
        <w:t xml:space="preserve">Procesi i konsultimit dokumentohet dhe vlerësohet me qëllim përmirësimin e procedurës në kohën kur duhet të kryhet rishikimi i radhës i PKEK-së. </w:t>
      </w:r>
    </w:p>
    <w:p w14:paraId="308109C4" w14:textId="77777777" w:rsidR="00767A4C" w:rsidRPr="00FF756A" w:rsidRDefault="00DA2EDE" w:rsidP="00767A4C">
      <w:pPr>
        <w:keepNext/>
      </w:pPr>
      <w:r w:rsidRPr="00FF756A">
        <w:rPr>
          <w:noProof/>
          <w:color w:val="000000" w:themeColor="text1"/>
          <w:lang w:val="en-US"/>
        </w:rPr>
        <w:lastRenderedPageBreak/>
        <w:drawing>
          <wp:inline distT="0" distB="0" distL="0" distR="0" wp14:anchorId="589F550F" wp14:editId="104ADE92">
            <wp:extent cx="5715000" cy="2969296"/>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295" t="32705" r="28363" b="15589"/>
                    <a:stretch/>
                  </pic:blipFill>
                  <pic:spPr bwMode="auto">
                    <a:xfrm>
                      <a:off x="0" y="0"/>
                      <a:ext cx="5745386" cy="2985083"/>
                    </a:xfrm>
                    <a:prstGeom prst="rect">
                      <a:avLst/>
                    </a:prstGeom>
                    <a:ln>
                      <a:noFill/>
                    </a:ln>
                    <a:extLst>
                      <a:ext uri="{53640926-AAD7-44D8-BBD7-CCE9431645EC}">
                        <a14:shadowObscured xmlns:a14="http://schemas.microsoft.com/office/drawing/2010/main"/>
                      </a:ext>
                    </a:extLst>
                  </pic:spPr>
                </pic:pic>
              </a:graphicData>
            </a:graphic>
          </wp:inline>
        </w:drawing>
      </w:r>
    </w:p>
    <w:p w14:paraId="2DFF8B2D" w14:textId="56F67FD0" w:rsidR="00DA2EDE" w:rsidRPr="00FF756A" w:rsidRDefault="00767A4C" w:rsidP="00767A4C">
      <w:pPr>
        <w:pStyle w:val="Caption"/>
        <w:rPr>
          <w:rFonts w:ascii="Times New Roman" w:hAnsi="Times New Roman"/>
          <w:color w:val="000000" w:themeColor="text1"/>
        </w:rPr>
      </w:pPr>
      <w:bookmarkStart w:id="98" w:name="_Toc183016548"/>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18</w:t>
      </w:r>
      <w:r w:rsidR="008E7DE9" w:rsidRPr="00FF756A">
        <w:rPr>
          <w:rFonts w:ascii="Times New Roman" w:hAnsi="Times New Roman"/>
          <w:noProof/>
        </w:rPr>
        <w:fldChar w:fldCharType="end"/>
      </w:r>
      <w:r w:rsidRPr="00FF756A">
        <w:rPr>
          <w:rFonts w:ascii="Times New Roman" w:hAnsi="Times New Roman"/>
        </w:rPr>
        <w:t>: Përfshirja e ekspertëve përmes grupeve të punës dhe angazhimi i grupeve të jashtme të interesit</w:t>
      </w:r>
      <w:bookmarkEnd w:id="98"/>
    </w:p>
    <w:p w14:paraId="516AD322" w14:textId="77777777" w:rsidR="00DA2EDE" w:rsidRPr="00FF756A" w:rsidRDefault="00DA2EDE" w:rsidP="00EF0D31"/>
    <w:p w14:paraId="0A329A65" w14:textId="274C1A5C" w:rsidR="00DA2EDE" w:rsidRPr="00FF756A" w:rsidRDefault="00996E3F" w:rsidP="004A3257">
      <w:pPr>
        <w:pStyle w:val="Heading3"/>
        <w:numPr>
          <w:ilvl w:val="2"/>
          <w:numId w:val="221"/>
        </w:numPr>
      </w:pPr>
      <w:bookmarkStart w:id="99" w:name="_Toc39916582"/>
      <w:bookmarkStart w:id="100" w:name="_Toc39918568"/>
      <w:bookmarkStart w:id="101" w:name="_Toc39918755"/>
      <w:bookmarkStart w:id="102" w:name="_Toc39918937"/>
      <w:bookmarkStart w:id="103" w:name="_Toc39923464"/>
      <w:bookmarkStart w:id="104" w:name="_Toc39930168"/>
      <w:bookmarkStart w:id="105" w:name="_Toc39931616"/>
      <w:bookmarkStart w:id="106" w:name="_Toc39931797"/>
      <w:bookmarkStart w:id="107" w:name="_Toc39932097"/>
      <w:bookmarkStart w:id="108" w:name="_Toc39932828"/>
      <w:bookmarkStart w:id="109" w:name="_Toc39933012"/>
      <w:bookmarkStart w:id="110" w:name="_Toc39933195"/>
      <w:bookmarkStart w:id="111" w:name="_Toc40026329"/>
      <w:bookmarkStart w:id="112" w:name="_Toc40026870"/>
      <w:bookmarkStart w:id="113" w:name="_Toc40028006"/>
      <w:bookmarkStart w:id="114" w:name="_Toc40028529"/>
      <w:bookmarkStart w:id="115" w:name="_Toc40029215"/>
      <w:bookmarkStart w:id="116" w:name="_Toc40029392"/>
      <w:bookmarkStart w:id="117" w:name="_Toc39916583"/>
      <w:bookmarkStart w:id="118" w:name="_Toc39918569"/>
      <w:bookmarkStart w:id="119" w:name="_Toc39918756"/>
      <w:bookmarkStart w:id="120" w:name="_Toc39918938"/>
      <w:bookmarkStart w:id="121" w:name="_Toc39923465"/>
      <w:bookmarkStart w:id="122" w:name="_Toc39930169"/>
      <w:bookmarkStart w:id="123" w:name="_Toc39931617"/>
      <w:bookmarkStart w:id="124" w:name="_Toc39931798"/>
      <w:bookmarkStart w:id="125" w:name="_Toc39932098"/>
      <w:bookmarkStart w:id="126" w:name="_Toc39932829"/>
      <w:bookmarkStart w:id="127" w:name="_Toc39933013"/>
      <w:bookmarkStart w:id="128" w:name="_Toc39933196"/>
      <w:bookmarkStart w:id="129" w:name="_Toc40026330"/>
      <w:bookmarkStart w:id="130" w:name="_Toc40026871"/>
      <w:bookmarkStart w:id="131" w:name="_Toc40027116"/>
      <w:bookmarkStart w:id="132" w:name="_Toc40028007"/>
      <w:bookmarkStart w:id="133" w:name="_Toc40028530"/>
      <w:bookmarkStart w:id="134" w:name="_Toc40028805"/>
      <w:bookmarkStart w:id="135" w:name="_Toc40029216"/>
      <w:bookmarkStart w:id="136" w:name="_Toc40029393"/>
      <w:bookmarkStart w:id="137" w:name="_Toc39916584"/>
      <w:bookmarkStart w:id="138" w:name="_Toc39918570"/>
      <w:bookmarkStart w:id="139" w:name="_Toc39918757"/>
      <w:bookmarkStart w:id="140" w:name="_Toc39918939"/>
      <w:bookmarkStart w:id="141" w:name="_Toc39923466"/>
      <w:bookmarkStart w:id="142" w:name="_Toc39930170"/>
      <w:bookmarkStart w:id="143" w:name="_Toc39931618"/>
      <w:bookmarkStart w:id="144" w:name="_Toc39931799"/>
      <w:bookmarkStart w:id="145" w:name="_Toc39932099"/>
      <w:bookmarkStart w:id="146" w:name="_Toc39932830"/>
      <w:bookmarkStart w:id="147" w:name="_Toc39933014"/>
      <w:bookmarkStart w:id="148" w:name="_Toc39933197"/>
      <w:bookmarkStart w:id="149" w:name="_Toc40026331"/>
      <w:bookmarkStart w:id="150" w:name="_Toc40026872"/>
      <w:bookmarkStart w:id="151" w:name="_Toc40028008"/>
      <w:bookmarkStart w:id="152" w:name="_Toc40028531"/>
      <w:bookmarkStart w:id="153" w:name="_Toc40029217"/>
      <w:bookmarkStart w:id="154" w:name="_Toc40029394"/>
      <w:bookmarkStart w:id="155" w:name="_Toc183639192"/>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r w:rsidRPr="00FF756A">
        <w:t>P</w:t>
      </w:r>
      <w:r w:rsidR="00DA2EDE" w:rsidRPr="00FF756A">
        <w:t xml:space="preserve">ërfshirja e </w:t>
      </w:r>
      <w:r w:rsidR="00FF1FEE" w:rsidRPr="00FF756A">
        <w:t>K</w:t>
      </w:r>
      <w:r w:rsidR="00B015B8" w:rsidRPr="00FF756A">
        <w:t>uvendi</w:t>
      </w:r>
      <w:r w:rsidR="00FF1FEE" w:rsidRPr="00FF756A">
        <w:t>t</w:t>
      </w:r>
      <w:r w:rsidR="00DA2EDE" w:rsidRPr="00FF756A">
        <w:t xml:space="preserve"> </w:t>
      </w:r>
      <w:r w:rsidR="003A3148" w:rsidRPr="00FF756A">
        <w:t>të Shqipërisë</w:t>
      </w:r>
      <w:bookmarkEnd w:id="155"/>
    </w:p>
    <w:p w14:paraId="5259BC67" w14:textId="5755E39B" w:rsidR="00DA2EDE" w:rsidRPr="00FF756A" w:rsidRDefault="00DA2EDE" w:rsidP="008E73F4">
      <w:pPr>
        <w:rPr>
          <w:rFonts w:eastAsia="Yu Gothic"/>
          <w:iCs/>
          <w:color w:val="000000" w:themeColor="text1"/>
        </w:rPr>
      </w:pPr>
      <w:r w:rsidRPr="00FF756A">
        <w:rPr>
          <w:iCs/>
          <w:color w:val="000000" w:themeColor="text1"/>
        </w:rPr>
        <w:t>MIE është përgjegjëse për menaxhimin e procesit të konsultimeve me</w:t>
      </w:r>
      <w:r w:rsidRPr="00FF756A">
        <w:t xml:space="preserve"> </w:t>
      </w:r>
      <w:r w:rsidRPr="00FF756A">
        <w:rPr>
          <w:iCs/>
          <w:color w:val="000000" w:themeColor="text1"/>
        </w:rPr>
        <w:t xml:space="preserve">institucionet e përfshira drejtpërdrejt ose tërthorazi në hartimin dhe zbatimin e PKEK-së në të gjitha aspektet. Me marrjen e komenteve, MIE reflekton të gjitha sugjerimet e dhëna nga aktorë të ndryshëm në draftin e PKEK-së dhe e paraqet draftin së bashku me reflektimet pranë </w:t>
      </w:r>
      <w:r w:rsidR="003C65F0" w:rsidRPr="00FF756A">
        <w:rPr>
          <w:iCs/>
          <w:color w:val="000000" w:themeColor="text1"/>
        </w:rPr>
        <w:t>Kuvendit</w:t>
      </w:r>
      <w:r w:rsidRPr="00FF756A">
        <w:rPr>
          <w:iCs/>
          <w:color w:val="000000" w:themeColor="text1"/>
        </w:rPr>
        <w:t xml:space="preserve">, dhe më konkretisht pranë një organi specifik brenda </w:t>
      </w:r>
      <w:r w:rsidR="00850898" w:rsidRPr="00FF756A">
        <w:rPr>
          <w:iCs/>
          <w:color w:val="000000" w:themeColor="text1"/>
        </w:rPr>
        <w:t>tij</w:t>
      </w:r>
      <w:r w:rsidRPr="00FF756A">
        <w:rPr>
          <w:iCs/>
          <w:color w:val="000000" w:themeColor="text1"/>
        </w:rPr>
        <w:t xml:space="preserve">, për të vijuar me procesin e diskutimeve.  </w:t>
      </w:r>
    </w:p>
    <w:p w14:paraId="579D9F99" w14:textId="2CDB0392" w:rsidR="00DA2EDE" w:rsidRPr="00FF756A" w:rsidRDefault="00DA2EDE" w:rsidP="008E73F4">
      <w:pPr>
        <w:pStyle w:val="BodyText"/>
        <w:spacing w:line="276" w:lineRule="auto"/>
        <w:ind w:right="23"/>
        <w:rPr>
          <w:rFonts w:ascii="Times New Roman" w:hAnsi="Times New Roman" w:cs="Times New Roman"/>
          <w:iCs/>
          <w:color w:val="000000" w:themeColor="text1"/>
          <w:sz w:val="22"/>
          <w:szCs w:val="22"/>
        </w:rPr>
      </w:pPr>
      <w:r w:rsidRPr="00FF756A">
        <w:rPr>
          <w:rFonts w:ascii="Times New Roman" w:hAnsi="Times New Roman" w:cs="Times New Roman"/>
          <w:iCs/>
          <w:color w:val="000000" w:themeColor="text1"/>
          <w:sz w:val="22"/>
          <w:szCs w:val="22"/>
        </w:rPr>
        <w:t xml:space="preserve">Ministritë e përfshira në këtë proces prezantojnë dhe informojnë </w:t>
      </w:r>
      <w:r w:rsidR="00850898" w:rsidRPr="00FF756A">
        <w:rPr>
          <w:rFonts w:ascii="Times New Roman" w:hAnsi="Times New Roman" w:cs="Times New Roman"/>
          <w:iCs/>
          <w:color w:val="000000" w:themeColor="text1"/>
          <w:sz w:val="22"/>
          <w:szCs w:val="22"/>
        </w:rPr>
        <w:t xml:space="preserve">Kuvendin </w:t>
      </w:r>
      <w:r w:rsidRPr="00FF756A">
        <w:rPr>
          <w:rFonts w:ascii="Times New Roman" w:hAnsi="Times New Roman" w:cs="Times New Roman"/>
          <w:iCs/>
          <w:color w:val="000000" w:themeColor="text1"/>
          <w:sz w:val="22"/>
          <w:szCs w:val="22"/>
        </w:rPr>
        <w:t xml:space="preserve">për avantazhet që pritet të sjellë PKEK-ja, konkretisht shfrytëzimi i potencialit të plotë të sinergjive midis të gjitha dimensioneve të PKEK-së në favor të shoqërisë dhe mjedisit. Ato kërkojnë mbështetjen e tyre për çështje të ndryshme, si për shembull për miratimin e fondeve të investimit në EE. </w:t>
      </w:r>
    </w:p>
    <w:p w14:paraId="7023878E" w14:textId="2AAE25D3" w:rsidR="00914F1E" w:rsidRPr="00FF756A" w:rsidRDefault="00DA2EDE" w:rsidP="008E73F4">
      <w:pPr>
        <w:tabs>
          <w:tab w:val="left" w:pos="284"/>
        </w:tabs>
        <w:snapToGrid w:val="0"/>
        <w:contextualSpacing/>
        <w:rPr>
          <w:rFonts w:eastAsia="Yu Gothic"/>
          <w:w w:val="105"/>
          <w:lang w:bidi="en-US"/>
        </w:rPr>
      </w:pPr>
      <w:r w:rsidRPr="00FF756A">
        <w:rPr>
          <w:iCs/>
          <w:color w:val="000000" w:themeColor="text1"/>
        </w:rPr>
        <w:t xml:space="preserve">Seancat plenare </w:t>
      </w:r>
      <w:r w:rsidR="008E6806" w:rsidRPr="00FF756A">
        <w:rPr>
          <w:iCs/>
          <w:color w:val="000000" w:themeColor="text1"/>
        </w:rPr>
        <w:t>në Kuvend</w:t>
      </w:r>
      <w:r w:rsidRPr="00FF756A">
        <w:rPr>
          <w:iCs/>
          <w:color w:val="000000" w:themeColor="text1"/>
        </w:rPr>
        <w:t>, si për shembull mbi çështjet e energjisë dhe të klimës, organizohen me qëllim rritjen e ndërgjegjësimit mbi mënyrën sesi mund të arrihet objektivi për ajër të pastër me shkarkime minimale të GES-ve. Kjo seancë plenare ka për synim të shpjegojë se kjo mund të arrihet përmes një PKEK-je të besueshme (bazuar</w:t>
      </w:r>
      <w:r w:rsidRPr="00FF756A">
        <w:t xml:space="preserve"> në SKE dhe PKVEE), një pakete të mjaftueshme investimesh (një pjesë e tyre nga buxheti i shtetit), zbatimit të masave për EE-në, përcaktimit të institucioneve përgjegjëse dhe një procesi monitorimi efektiv.</w:t>
      </w:r>
    </w:p>
    <w:p w14:paraId="0FF38C9C" w14:textId="77777777" w:rsidR="00DA2EDE" w:rsidRPr="00FF756A" w:rsidRDefault="00DA2EDE" w:rsidP="00EF0D31"/>
    <w:p w14:paraId="0D65F1E0" w14:textId="7C2A439E" w:rsidR="00DA2EDE" w:rsidRPr="00FF756A" w:rsidRDefault="00DA2EDE" w:rsidP="004A3257">
      <w:pPr>
        <w:pStyle w:val="Heading3"/>
        <w:numPr>
          <w:ilvl w:val="2"/>
          <w:numId w:val="221"/>
        </w:numPr>
      </w:pPr>
      <w:bookmarkStart w:id="156" w:name="_Toc183639193"/>
      <w:r w:rsidRPr="00FF756A">
        <w:t>Përfshirja e autoriteteve vendore dhe rajonale</w:t>
      </w:r>
      <w:bookmarkEnd w:id="156"/>
    </w:p>
    <w:p w14:paraId="1AFCD081" w14:textId="77777777" w:rsidR="00DA2EDE" w:rsidRPr="00FF756A" w:rsidRDefault="00DA2EDE" w:rsidP="004A3257">
      <w:pPr>
        <w:pStyle w:val="BodyText"/>
        <w:tabs>
          <w:tab w:val="left" w:pos="9540"/>
        </w:tabs>
        <w:spacing w:before="40" w:after="40"/>
        <w:ind w:right="-62"/>
        <w:rPr>
          <w:rFonts w:ascii="Times New Roman" w:hAnsi="Times New Roman" w:cs="Times New Roman"/>
          <w:iCs/>
          <w:color w:val="000000" w:themeColor="text1"/>
          <w:sz w:val="22"/>
          <w:szCs w:val="22"/>
        </w:rPr>
      </w:pPr>
      <w:r w:rsidRPr="00FF756A">
        <w:rPr>
          <w:rFonts w:ascii="Times New Roman" w:hAnsi="Times New Roman" w:cs="Times New Roman"/>
          <w:iCs/>
          <w:color w:val="000000" w:themeColor="text1"/>
          <w:sz w:val="22"/>
          <w:szCs w:val="22"/>
        </w:rPr>
        <w:t xml:space="preserve">Qeveritë vendore janë pjesëmarrës aktivë në procesin e hartimit dhe zbatimit të PKEK-së. </w:t>
      </w:r>
    </w:p>
    <w:p w14:paraId="537C4E4B" w14:textId="77777777" w:rsidR="008E73F4" w:rsidRPr="00FF756A" w:rsidRDefault="00DA2EDE" w:rsidP="004A3257">
      <w:pPr>
        <w:spacing w:before="40" w:after="40" w:line="240" w:lineRule="auto"/>
        <w:rPr>
          <w:rFonts w:eastAsia="Yu Gothic"/>
          <w:iCs/>
          <w:color w:val="000000" w:themeColor="text1"/>
        </w:rPr>
      </w:pPr>
      <w:r w:rsidRPr="00FF756A">
        <w:rPr>
          <w:iCs/>
          <w:color w:val="000000" w:themeColor="text1"/>
        </w:rPr>
        <w:t xml:space="preserve">Autoritetet e qeverisjes vendore përgatisin periodikisht plane vendore veprimi për mjedisin, në përputhje me strategjitë dhe planet e përmendura në nenin 21 të ligjit nr. 10431, datë 9.6.2011 “Për mbrojtjen e mjedisit”, të ndryshuar. </w:t>
      </w:r>
    </w:p>
    <w:p w14:paraId="3FF5D102" w14:textId="50547794" w:rsidR="00DA2EDE" w:rsidRPr="00FF756A" w:rsidRDefault="00DA2EDE" w:rsidP="004A3257">
      <w:pPr>
        <w:spacing w:before="40" w:after="40" w:line="240" w:lineRule="auto"/>
        <w:rPr>
          <w:rFonts w:eastAsia="Yu Gothic"/>
          <w:w w:val="105"/>
        </w:rPr>
      </w:pPr>
      <w:r w:rsidRPr="00FF756A">
        <w:rPr>
          <w:iCs/>
          <w:color w:val="000000" w:themeColor="text1"/>
        </w:rPr>
        <w:t>Prandaj, ato përfshihen në procesin e hartimit të politikave të energjisë në tryezat e rrumbullakëta me aktorë të ndryshëm, duke qenë se do të luajnë një rol mjaft të rëndësishëm në zbatimin e masave të EE-së në projektet e ndërtimit, në projektim, në transport dhe në fushat e shërbimeve.</w:t>
      </w:r>
      <w:bookmarkStart w:id="157" w:name="_Hlk40007848"/>
      <w:r w:rsidRPr="00FF756A">
        <w:rPr>
          <w:iCs/>
          <w:color w:val="000000" w:themeColor="text1"/>
        </w:rPr>
        <w:t xml:space="preserve"> Qeveritë vendore hartojnë Planet e veta të Veprimit për Efiçencën e Energjisë dhe luajnë një rol shumë të rëndësishëm përmes prokurimit publik të EE-së</w:t>
      </w:r>
      <w:r w:rsidRPr="00FF756A">
        <w:t xml:space="preserve"> për nevojat e tyre. </w:t>
      </w:r>
      <w:bookmarkEnd w:id="157"/>
      <w:r w:rsidRPr="00FF756A">
        <w:t xml:space="preserve">Zbatimi i politikave dhe masave që lidhen me investimet rezulton në kursime energjie dhe reduktim të shkarkimeve, si dhe ndikon pozitivisht në tregun e punës, rritjen e PBB-së dhe përfitimet sociale. Institucionet përgjegjëse, së bashku me qeveritë </w:t>
      </w:r>
      <w:r w:rsidRPr="00FF756A">
        <w:lastRenderedPageBreak/>
        <w:t xml:space="preserve">vendore, mund të nxisin bizneset dhe të këshillojnë popullsinë për përdorimin efikas të burimeve të energjisë. </w:t>
      </w:r>
    </w:p>
    <w:p w14:paraId="54600148" w14:textId="77777777" w:rsidR="00DA2EDE" w:rsidRPr="00FF756A" w:rsidRDefault="00DA2EDE" w:rsidP="004A3257">
      <w:pPr>
        <w:pStyle w:val="NormalWeb"/>
        <w:shd w:val="clear" w:color="auto" w:fill="FFFFFF"/>
        <w:spacing w:before="40" w:after="40"/>
        <w:textAlignment w:val="baseline"/>
        <w:rPr>
          <w:rFonts w:ascii="Times New Roman" w:eastAsia="Yu Gothic" w:hAnsi="Times New Roman"/>
          <w:w w:val="105"/>
        </w:rPr>
      </w:pPr>
      <w:r w:rsidRPr="00FF756A">
        <w:rPr>
          <w:rFonts w:ascii="Times New Roman" w:hAnsi="Times New Roman"/>
        </w:rPr>
        <w:t>Institucionet kryesore të përfshira në këtë proces janë:</w:t>
      </w:r>
    </w:p>
    <w:p w14:paraId="021E12E8" w14:textId="75EDE3DE" w:rsidR="00DA2EDE" w:rsidRPr="00FF756A" w:rsidRDefault="008A279C" w:rsidP="004A3257">
      <w:pPr>
        <w:pStyle w:val="NormalWeb"/>
        <w:shd w:val="clear" w:color="auto" w:fill="FFFFFF"/>
        <w:spacing w:before="40" w:after="40"/>
        <w:textAlignment w:val="baseline"/>
        <w:rPr>
          <w:rFonts w:ascii="Times New Roman" w:eastAsia="Yu Gothic" w:hAnsi="Times New Roman"/>
          <w:w w:val="105"/>
        </w:rPr>
      </w:pPr>
      <w:hyperlink r:id="rId44" w:history="1">
        <w:r w:rsidR="00ED43F8" w:rsidRPr="00FF756A">
          <w:rPr>
            <w:rFonts w:ascii="Times New Roman" w:hAnsi="Times New Roman"/>
          </w:rPr>
          <w:t xml:space="preserve">Ministria e Infrastrukturës dhe Energjisë, </w:t>
        </w:r>
      </w:hyperlink>
      <w:hyperlink r:id="rId45" w:history="1">
        <w:r w:rsidR="00ED43F8" w:rsidRPr="00FF756A">
          <w:rPr>
            <w:rFonts w:ascii="Times New Roman" w:hAnsi="Times New Roman"/>
          </w:rPr>
          <w:t>Ministria e Financave dhe Ekonomisë</w:t>
        </w:r>
      </w:hyperlink>
      <w:r w:rsidR="00ED43F8" w:rsidRPr="00FF756A">
        <w:rPr>
          <w:rFonts w:ascii="Times New Roman" w:hAnsi="Times New Roman"/>
        </w:rPr>
        <w:t xml:space="preserve">, </w:t>
      </w:r>
      <w:hyperlink r:id="rId46" w:history="1">
        <w:r w:rsidR="00ED43F8" w:rsidRPr="00FF756A">
          <w:rPr>
            <w:rFonts w:ascii="Times New Roman" w:hAnsi="Times New Roman"/>
          </w:rPr>
          <w:t>Ministria e Turizmit dhe Mjedisit</w:t>
        </w:r>
      </w:hyperlink>
      <w:r w:rsidR="00ED43F8" w:rsidRPr="00FF756A">
        <w:rPr>
          <w:rFonts w:ascii="Times New Roman" w:hAnsi="Times New Roman"/>
        </w:rPr>
        <w:t xml:space="preserve">, </w:t>
      </w:r>
      <w:hyperlink r:id="rId47" w:history="1">
        <w:r w:rsidR="00ED43F8" w:rsidRPr="00FF756A">
          <w:rPr>
            <w:rFonts w:ascii="Times New Roman" w:hAnsi="Times New Roman"/>
          </w:rPr>
          <w:t>Agjencia Shqiptare e Zhvillimit të Investimeve</w:t>
        </w:r>
      </w:hyperlink>
      <w:r w:rsidR="00ED43F8" w:rsidRPr="00FF756A">
        <w:rPr>
          <w:rFonts w:ascii="Times New Roman" w:hAnsi="Times New Roman"/>
        </w:rPr>
        <w:t xml:space="preserve">, </w:t>
      </w:r>
      <w:bookmarkStart w:id="158" w:name="_Hlk45796825"/>
      <w:r w:rsidR="00ED43F8" w:rsidRPr="00FF756A">
        <w:rPr>
          <w:rFonts w:ascii="Times New Roman" w:hAnsi="Times New Roman"/>
        </w:rPr>
        <w:t xml:space="preserve">Agjencia për Efiçencën e Energjisë, </w:t>
      </w:r>
      <w:bookmarkEnd w:id="158"/>
      <w:r w:rsidR="00ED43F8" w:rsidRPr="00FF756A">
        <w:rPr>
          <w:rFonts w:ascii="Times New Roman" w:hAnsi="Times New Roman"/>
        </w:rPr>
        <w:t xml:space="preserve">Agjencia Kombëtare e Burimeve Natyrore, </w:t>
      </w:r>
      <w:hyperlink r:id="rId48" w:history="1">
        <w:r w:rsidR="00ED43F8" w:rsidRPr="00FF756A">
          <w:rPr>
            <w:rFonts w:ascii="Times New Roman" w:hAnsi="Times New Roman"/>
          </w:rPr>
          <w:t xml:space="preserve">Agjencia e Prokurimit Publik, </w:t>
        </w:r>
      </w:hyperlink>
      <w:hyperlink r:id="rId49" w:history="1">
        <w:r w:rsidR="00ED43F8" w:rsidRPr="00FF756A">
          <w:rPr>
            <w:rFonts w:ascii="Times New Roman" w:hAnsi="Times New Roman"/>
          </w:rPr>
          <w:t xml:space="preserve">Shoqata Shqiptare e Biznesit, </w:t>
        </w:r>
      </w:hyperlink>
      <w:r w:rsidR="00ED43F8" w:rsidRPr="00FF756A">
        <w:rPr>
          <w:rFonts w:ascii="Times New Roman" w:hAnsi="Times New Roman"/>
        </w:rPr>
        <w:t xml:space="preserve">Shoqata Shqiptare e Ndërtuesve, qeveritë </w:t>
      </w:r>
      <w:hyperlink r:id="rId50" w:history="1">
        <w:r w:rsidR="00F46B02" w:rsidRPr="00FF756A">
          <w:rPr>
            <w:rFonts w:ascii="Times New Roman" w:hAnsi="Times New Roman"/>
          </w:rPr>
          <w:t>vendore</w:t>
        </w:r>
      </w:hyperlink>
      <w:r w:rsidR="00ED43F8" w:rsidRPr="00FF756A">
        <w:rPr>
          <w:rFonts w:ascii="Times New Roman" w:hAnsi="Times New Roman"/>
        </w:rPr>
        <w:t>, Agjencia Kombëtare e Planifikimit të Territorit dhe Këshilli Kombëtar i Territorit.</w:t>
      </w:r>
    </w:p>
    <w:p w14:paraId="2BF6700C" w14:textId="77777777" w:rsidR="00DA2EDE" w:rsidRPr="00FF756A" w:rsidRDefault="00DA2EDE" w:rsidP="00EF0D31"/>
    <w:p w14:paraId="2835415F" w14:textId="1785042C" w:rsidR="00DA2EDE" w:rsidRPr="00FF756A" w:rsidRDefault="00DA2EDE" w:rsidP="004A3257">
      <w:pPr>
        <w:pStyle w:val="Heading3"/>
        <w:numPr>
          <w:ilvl w:val="2"/>
          <w:numId w:val="221"/>
        </w:numPr>
      </w:pPr>
      <w:bookmarkStart w:id="159" w:name="_Toc183639194"/>
      <w:r w:rsidRPr="00FF756A">
        <w:t>Konsultimet e grupeve të interesit, duke përfshirë partnerët socialë, dhe angazhimi i shoqërisë civile dhe publikut të gjerë</w:t>
      </w:r>
      <w:bookmarkEnd w:id="159"/>
    </w:p>
    <w:p w14:paraId="1E199827" w14:textId="77777777" w:rsidR="00DA2EDE" w:rsidRPr="00FF756A" w:rsidRDefault="00DA2EDE" w:rsidP="004A3257">
      <w:pPr>
        <w:spacing w:line="240" w:lineRule="auto"/>
        <w:rPr>
          <w:rFonts w:eastAsia="Yu Gothic"/>
          <w:w w:val="105"/>
        </w:rPr>
      </w:pPr>
      <w:r w:rsidRPr="00FF756A">
        <w:t xml:space="preserve">Një proces interaktiv që synon pjesëmarrjen në vendimmarrje ose politikëbërje duhet të planifikohet veçanërisht midis aktorëve të përfaqësuar nga institucionet publike, institucioneve të qeverisë qendrore dhe vendore dhe bankave, ESCO-ve dhe institucioneve të tjera financiare, për të dhënë informacion dhe për të shkëmbyer opsione në lidhje me investimet për zbatimin e masave të PKEK-së (ligji Nr. 146/2014 "Për njoftimin dhe konsultimin publik"). </w:t>
      </w:r>
    </w:p>
    <w:p w14:paraId="56EEE450" w14:textId="77777777" w:rsidR="00DA2EDE" w:rsidRPr="00FF756A" w:rsidRDefault="00DA2EDE" w:rsidP="004A3257">
      <w:pPr>
        <w:widowControl w:val="0"/>
        <w:tabs>
          <w:tab w:val="left" w:pos="0"/>
        </w:tabs>
        <w:autoSpaceDE w:val="0"/>
        <w:autoSpaceDN w:val="0"/>
        <w:adjustRightInd w:val="0"/>
        <w:spacing w:line="240" w:lineRule="auto"/>
        <w:rPr>
          <w:rFonts w:eastAsia="Yu Gothic"/>
          <w:w w:val="105"/>
        </w:rPr>
      </w:pPr>
      <w:r w:rsidRPr="00FF756A">
        <w:t>Procesi i informimit dhe konsultimit publik realizohet mbi bazën e planit të përshkruar në fillim të këtij kreu, sipas parimeve të mëposhtme:</w:t>
      </w:r>
    </w:p>
    <w:p w14:paraId="25B9AA3B" w14:textId="77777777" w:rsidR="00DA2EDE" w:rsidRPr="00FF756A" w:rsidRDefault="00DA2EDE" w:rsidP="0020443F">
      <w:pPr>
        <w:pStyle w:val="ListParagraph"/>
        <w:widowControl w:val="0"/>
        <w:numPr>
          <w:ilvl w:val="0"/>
          <w:numId w:val="17"/>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line="240" w:lineRule="auto"/>
      </w:pPr>
      <w:r w:rsidRPr="00FF756A">
        <w:t>Transparenca gjatë procesit të njoftimit dhe konsultimit publik me pjesëmarrje gjithëpërfshirëse dhe jodiskriminuese;</w:t>
      </w:r>
    </w:p>
    <w:p w14:paraId="5EC452C1" w14:textId="77777777" w:rsidR="00DA2EDE" w:rsidRPr="00FF756A" w:rsidRDefault="00DA2EDE" w:rsidP="0020443F">
      <w:pPr>
        <w:pStyle w:val="ListParagraph"/>
        <w:widowControl w:val="0"/>
        <w:numPr>
          <w:ilvl w:val="0"/>
          <w:numId w:val="17"/>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line="240" w:lineRule="auto"/>
      </w:pPr>
      <w:r w:rsidRPr="00FF756A">
        <w:t>Efektiviteti i procesit të vendimmarrjes;</w:t>
      </w:r>
    </w:p>
    <w:p w14:paraId="2CA78E3B" w14:textId="77777777" w:rsidR="00DA2EDE" w:rsidRPr="00FF756A" w:rsidRDefault="00DA2EDE" w:rsidP="0020443F">
      <w:pPr>
        <w:pStyle w:val="ListParagraph"/>
        <w:widowControl w:val="0"/>
        <w:numPr>
          <w:ilvl w:val="0"/>
          <w:numId w:val="17"/>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after="0" w:line="240" w:lineRule="auto"/>
        <w:rPr>
          <w:bCs/>
          <w:spacing w:val="-11"/>
        </w:rPr>
      </w:pPr>
      <w:r w:rsidRPr="00FF756A">
        <w:t>Përgjegjësia e autoriteteve/institucioneve publike ndaj palëve/aktorëve të interesuar mbi çështje të caktuara.</w:t>
      </w:r>
    </w:p>
    <w:p w14:paraId="3308384A" w14:textId="77777777" w:rsidR="00DA2EDE" w:rsidRPr="00FF756A" w:rsidRDefault="00DA2EDE" w:rsidP="004A3257">
      <w:pPr>
        <w:spacing w:line="240" w:lineRule="auto"/>
      </w:pPr>
    </w:p>
    <w:p w14:paraId="5D6433F7" w14:textId="27DC26AF" w:rsidR="00DA2EDE" w:rsidRPr="00FF756A" w:rsidRDefault="00DA2EDE" w:rsidP="004A3257">
      <w:pPr>
        <w:pStyle w:val="Heading3"/>
        <w:numPr>
          <w:ilvl w:val="2"/>
          <w:numId w:val="221"/>
        </w:numPr>
      </w:pPr>
      <w:bookmarkStart w:id="160" w:name="_Toc183639195"/>
      <w:r w:rsidRPr="00FF756A">
        <w:t>Konsultimet e palëve të tjera kontraktuese</w:t>
      </w:r>
      <w:bookmarkEnd w:id="160"/>
    </w:p>
    <w:p w14:paraId="682A76B3" w14:textId="77777777" w:rsidR="00DA2EDE" w:rsidRPr="00FF756A" w:rsidRDefault="00DA2EDE" w:rsidP="004A3257">
      <w:pPr>
        <w:spacing w:line="240" w:lineRule="auto"/>
        <w:rPr>
          <w:color w:val="000000" w:themeColor="text1"/>
        </w:rPr>
      </w:pPr>
      <w:r w:rsidRPr="00FF756A">
        <w:rPr>
          <w:color w:val="000000" w:themeColor="text1"/>
        </w:rPr>
        <w:t xml:space="preserve">Konsultimi i palëve të tjera kontraktuese kryhet mbi tema të ndryshme me rëndësi ndërkufitare dhe mbi tema specifike ku ndarja e praktikave të mira është e dobishme. </w:t>
      </w:r>
    </w:p>
    <w:p w14:paraId="0CDB670D" w14:textId="51782D97" w:rsidR="00DA2EDE" w:rsidRPr="00FF756A" w:rsidRDefault="00DA2EDE" w:rsidP="004A3257">
      <w:pPr>
        <w:spacing w:line="240" w:lineRule="auto"/>
        <w:rPr>
          <w:color w:val="000000" w:themeColor="text1"/>
        </w:rPr>
      </w:pPr>
      <w:r w:rsidRPr="00FF756A">
        <w:rPr>
          <w:color w:val="000000" w:themeColor="text1"/>
        </w:rPr>
        <w:t xml:space="preserve">Informacione të mëtejshme rreth politikave dhe masave të zbatuara mbi bazën e një bashkëpunimi ndërkufitar ose rajonal mund të gjenden në kreun përkatës 1.4. </w:t>
      </w:r>
    </w:p>
    <w:p w14:paraId="0A79E4C8" w14:textId="77777777" w:rsidR="000F2696" w:rsidRPr="00FF756A" w:rsidRDefault="000F2696" w:rsidP="004A3257">
      <w:pPr>
        <w:spacing w:line="240" w:lineRule="auto"/>
        <w:rPr>
          <w:color w:val="000000" w:themeColor="text1"/>
        </w:rPr>
      </w:pPr>
    </w:p>
    <w:p w14:paraId="580D1385" w14:textId="201ADC95" w:rsidR="00DA2EDE" w:rsidRPr="00FF756A" w:rsidRDefault="00FA1B89" w:rsidP="00E54CFE">
      <w:pPr>
        <w:pStyle w:val="Heading3"/>
      </w:pPr>
      <w:bookmarkStart w:id="161" w:name="_Toc183639196"/>
      <w:r w:rsidRPr="00FF756A">
        <w:t>1.3.5.</w:t>
      </w:r>
      <w:r w:rsidR="00A63AFC" w:rsidRPr="00FF756A">
        <w:t xml:space="preserve"> </w:t>
      </w:r>
      <w:r w:rsidR="00DA2EDE" w:rsidRPr="00FF756A">
        <w:t>Procesi i vazhdueshëm me Sekretariatin e Komunitetit të Energjisë</w:t>
      </w:r>
      <w:bookmarkEnd w:id="161"/>
    </w:p>
    <w:p w14:paraId="08B2BF32" w14:textId="77777777" w:rsidR="00DA2EDE" w:rsidRPr="00FF756A" w:rsidRDefault="00DA2EDE" w:rsidP="004A3257">
      <w:pPr>
        <w:spacing w:before="40" w:after="40" w:line="240" w:lineRule="auto"/>
      </w:pPr>
      <w:r w:rsidRPr="00FF756A">
        <w:t xml:space="preserve">Sekretariati i Komunitetit të Energjisë është përfshirë që prej fillimit dhe ka ofruar mbështetjen e tij përmes informacioneve gjatë fazës së hartimit dhe përmes diskutimeve mbi versionet e mëparshme. </w:t>
      </w:r>
    </w:p>
    <w:p w14:paraId="4C5D8787" w14:textId="77777777" w:rsidR="00DA2EDE" w:rsidRPr="00FF756A" w:rsidRDefault="00DA2EDE" w:rsidP="004A3257">
      <w:pPr>
        <w:spacing w:before="40" w:after="40" w:line="240" w:lineRule="auto"/>
        <w:rPr>
          <w:color w:val="000000" w:themeColor="text1"/>
        </w:rPr>
      </w:pPr>
      <w:r w:rsidRPr="00FF756A">
        <w:rPr>
          <w:color w:val="000000" w:themeColor="text1"/>
        </w:rPr>
        <w:t xml:space="preserve">Sekretariati ka marrë pjesë në mbledhjet në vijim: </w:t>
      </w:r>
    </w:p>
    <w:p w14:paraId="3B251FE2" w14:textId="77777777" w:rsidR="00DA2EDE" w:rsidRPr="00FF756A" w:rsidRDefault="00DA2EDE" w:rsidP="004A3257">
      <w:pPr>
        <w:pStyle w:val="ListParagraph"/>
        <w:widowControl w:val="0"/>
        <w:numPr>
          <w:ilvl w:val="0"/>
          <w:numId w:val="16"/>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Mbledhje virtuale për koordinimin jozyrtar ndërmjet anëtarëve të ekipit bazë</w:t>
      </w:r>
    </w:p>
    <w:p w14:paraId="1A44F2C7" w14:textId="77777777" w:rsidR="00DA2EDE" w:rsidRPr="00FF756A" w:rsidRDefault="00DA2EDE" w:rsidP="004A3257">
      <w:pPr>
        <w:pStyle w:val="ListParagraph"/>
        <w:widowControl w:val="0"/>
        <w:numPr>
          <w:ilvl w:val="0"/>
          <w:numId w:val="16"/>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 xml:space="preserve">Mbledhjet e grupit të punës të PKEK-së </w:t>
      </w:r>
    </w:p>
    <w:p w14:paraId="7039EAAC" w14:textId="77777777" w:rsidR="00C71D05" w:rsidRPr="00FF756A" w:rsidRDefault="00DA2EDE" w:rsidP="004A3257">
      <w:pPr>
        <w:pStyle w:val="ListParagraph"/>
        <w:widowControl w:val="0"/>
        <w:numPr>
          <w:ilvl w:val="0"/>
          <w:numId w:val="16"/>
        </w:numPr>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contextualSpacing w:val="0"/>
      </w:pPr>
      <w:r w:rsidRPr="00FF756A">
        <w:t>Mbledhje të tjera koordinuese</w:t>
      </w:r>
    </w:p>
    <w:p w14:paraId="7F601378" w14:textId="0B83AED4" w:rsidR="00C11930" w:rsidRPr="00FF756A" w:rsidRDefault="00932CF8" w:rsidP="004A3257">
      <w:pPr>
        <w:widowControl w:val="0"/>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pPr>
      <w:r w:rsidRPr="00FF756A">
        <w:t>Seminare të posaçme u</w:t>
      </w:r>
      <w:r w:rsidR="00C71D05" w:rsidRPr="00FF756A">
        <w:t xml:space="preserve"> zhvilluan për çështje specifike lidhur me përgatitjen e PKEK-ve, të tilla si rritja e kapaciteteve për operimin e softuerit të modelimit të PKEK-së dhe lehtësimi i shkëmbimit të ekspertizës midis anëtarëve të grupeve të punës.</w:t>
      </w:r>
    </w:p>
    <w:p w14:paraId="50DC594C" w14:textId="407B61D9" w:rsidR="00914F1E" w:rsidRPr="00FF756A" w:rsidRDefault="00C11930" w:rsidP="0020443F">
      <w:pPr>
        <w:widowControl w:val="0"/>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pPr>
      <w:r w:rsidRPr="00FF756A">
        <w:t xml:space="preserve">Në dhjetor 2021, Sekretariati dorëzoi rekomandimet për draftin e PKEK-së, me fokus në përmirësimin e politikave dhe masave, ndarjen më të mirë të rritjes ekonomike dhe konsumit të energjisë nga shkarkimet e GES-ve, rritjen e fokusit në shkëmbimet rajonale etj.     </w:t>
      </w:r>
    </w:p>
    <w:p w14:paraId="0CB359E2" w14:textId="77777777" w:rsidR="009D5118" w:rsidRPr="00FF756A" w:rsidRDefault="009D5118" w:rsidP="004A3257">
      <w:pPr>
        <w:widowControl w:val="0"/>
        <w:pBdr>
          <w:top w:val="none" w:sz="0" w:space="0" w:color="auto"/>
          <w:left w:val="none" w:sz="0" w:space="0" w:color="auto"/>
          <w:bottom w:val="none" w:sz="0" w:space="0" w:color="auto"/>
          <w:right w:val="none" w:sz="0" w:space="0" w:color="auto"/>
          <w:between w:val="none" w:sz="0" w:space="0" w:color="auto"/>
        </w:pBdr>
        <w:shd w:val="clear" w:color="auto" w:fill="FFFFFF"/>
        <w:tabs>
          <w:tab w:val="left" w:pos="284"/>
        </w:tabs>
        <w:autoSpaceDE w:val="0"/>
        <w:autoSpaceDN w:val="0"/>
        <w:adjustRightInd w:val="0"/>
        <w:snapToGrid w:val="0"/>
        <w:spacing w:before="40" w:after="40" w:line="240" w:lineRule="auto"/>
      </w:pPr>
    </w:p>
    <w:p w14:paraId="7F2B9D81" w14:textId="14C4A2D5" w:rsidR="00914F1E" w:rsidRPr="00FF756A" w:rsidRDefault="00914F1E" w:rsidP="004A3257">
      <w:pPr>
        <w:spacing w:before="40" w:after="40" w:line="240" w:lineRule="auto"/>
      </w:pPr>
      <w:r w:rsidRPr="00FF756A">
        <w:t xml:space="preserve">Gjatë periudhës janar 2022 deri në tetor 2024, PKEK-ja u rishikua në bazë të rekomandimeve të Sekretariatit të Komunitetit të Energjisë. Në datën 20.6.2022, u organizua mbledhja e 9-të e Komitetit për Energjinë dhe Klimën, me qëllim diskutimin dhe shkëmbimin e pikëpamjeve lidhur me objektivat e propozuara për vitin 2030. Bazuar në Vendimin e Këshillit Ministror të Komunitetit të Energjisë nr. 2022/02/MC-EnC, datë 15 dhjetor 2022, “Për ndryshimin e Vendimit të Këshillit Ministror nr. </w:t>
      </w:r>
      <w:r w:rsidRPr="00FF756A">
        <w:lastRenderedPageBreak/>
        <w:t>2021/14/MC- EnC që ndryshon shtojcën I të Traktatit për Themelimin e Komunitetit të Energjisë dhe integron Direktivën (BE) 2018/2001, Direktivën (BE) 2018/2002, Rregulloren (BE) 2018/1999, Rregulloren e Deleguar (BE) 2020/1044 dhe Rregulloren Zbatuese (BE) 2020/1208 në tërësinë e legjislacionit të Komunitetit të Energjisë”, në PKEK janë reflektuar objektivat e reja.</w:t>
      </w:r>
    </w:p>
    <w:p w14:paraId="58492FF3" w14:textId="0AC16834" w:rsidR="004D2DC6" w:rsidRPr="00FF756A" w:rsidRDefault="004D2DC6" w:rsidP="00EF0D31"/>
    <w:p w14:paraId="7F37E1CD" w14:textId="55777FF8" w:rsidR="00EB58CB" w:rsidRPr="00FF756A" w:rsidRDefault="00DA2EDE" w:rsidP="004A3257">
      <w:pPr>
        <w:pStyle w:val="Heading2"/>
        <w:numPr>
          <w:ilvl w:val="1"/>
          <w:numId w:val="221"/>
        </w:numPr>
      </w:pPr>
      <w:bookmarkStart w:id="162" w:name="_Toc183639197"/>
      <w:r w:rsidRPr="00FF756A">
        <w:t>Bashkëpunimi rajonal në përgatitjen e planit</w:t>
      </w:r>
      <w:bookmarkEnd w:id="162"/>
    </w:p>
    <w:p w14:paraId="4639AEE3" w14:textId="77777777" w:rsidR="00EB58CB" w:rsidRPr="00FF756A" w:rsidRDefault="00EB58CB" w:rsidP="00EB58CB">
      <w:pPr>
        <w:rPr>
          <w:lang w:eastAsia="de-DE"/>
        </w:rPr>
      </w:pPr>
    </w:p>
    <w:p w14:paraId="44C4C577" w14:textId="745ED27B" w:rsidR="00DA2EDE" w:rsidRPr="00FF756A" w:rsidRDefault="00DB6CB1" w:rsidP="00DB6CB1">
      <w:pPr>
        <w:pStyle w:val="Heading3"/>
      </w:pPr>
      <w:bookmarkStart w:id="163" w:name="_Toc183639198"/>
      <w:r w:rsidRPr="00FF756A">
        <w:t xml:space="preserve">1.4.1 </w:t>
      </w:r>
      <w:r w:rsidR="00DA2EDE" w:rsidRPr="00FF756A">
        <w:t>Elementet që i nënshtrohen planifikimit të përbashkët ose të koordinuar me palë të tjera kontraktuese</w:t>
      </w:r>
      <w:bookmarkEnd w:id="163"/>
    </w:p>
    <w:p w14:paraId="4BD848C3" w14:textId="5EB877F9" w:rsidR="00DA2EDE" w:rsidRPr="00FF756A" w:rsidRDefault="00DA2EDE" w:rsidP="004A3257">
      <w:pPr>
        <w:spacing w:line="240" w:lineRule="auto"/>
        <w:rPr>
          <w:bCs/>
          <w:color w:val="000000" w:themeColor="text1"/>
        </w:rPr>
      </w:pPr>
      <w:r w:rsidRPr="00FF756A">
        <w:t>Çështjet e planifikimit për energjinë dhe klimën</w:t>
      </w:r>
      <w:r w:rsidRPr="00FF756A">
        <w:rPr>
          <w:bCs/>
          <w:color w:val="000000" w:themeColor="text1"/>
        </w:rPr>
        <w:t xml:space="preserve"> që lidhen me tregun e energjisë konsultohen me palët e tjera kontraktuese të përshkruara në kreun 1.2.2 </w:t>
      </w:r>
      <w:r w:rsidRPr="00FF756A">
        <w:rPr>
          <w:bCs/>
          <w:color w:val="000000" w:themeColor="text1"/>
        </w:rPr>
        <w:fldChar w:fldCharType="begin"/>
      </w:r>
      <w:r w:rsidRPr="00FF756A">
        <w:rPr>
          <w:bCs/>
          <w:color w:val="000000" w:themeColor="text1"/>
        </w:rPr>
        <w:instrText xml:space="preserve"> REF _Ref44698862 \h  \* MERGEFORMAT </w:instrText>
      </w:r>
      <w:r w:rsidRPr="00FF756A">
        <w:rPr>
          <w:bCs/>
          <w:color w:val="000000" w:themeColor="text1"/>
        </w:rPr>
      </w:r>
      <w:r w:rsidRPr="00FF756A">
        <w:rPr>
          <w:bCs/>
          <w:color w:val="000000" w:themeColor="text1"/>
        </w:rPr>
        <w:fldChar w:fldCharType="separate"/>
      </w:r>
      <w:r w:rsidR="001438D2" w:rsidRPr="00FF756A">
        <w:rPr>
          <w:bCs/>
        </w:rPr>
        <w:t>Dimensioni i tregut të</w:t>
      </w:r>
      <w:r w:rsidR="001438D2" w:rsidRPr="00FF756A">
        <w:t xml:space="preserve"> brendshëm të energjisë</w:t>
      </w:r>
      <w:r w:rsidRPr="00FF756A">
        <w:rPr>
          <w:bCs/>
          <w:color w:val="000000" w:themeColor="text1"/>
        </w:rPr>
        <w:fldChar w:fldCharType="end"/>
      </w:r>
      <w:r w:rsidRPr="00FF756A">
        <w:rPr>
          <w:bCs/>
          <w:color w:val="000000" w:themeColor="text1"/>
        </w:rPr>
        <w:t xml:space="preserve">. Transporti është një tjetër fushë që i nënshtrohet planifikimit të koordinuar. </w:t>
      </w:r>
    </w:p>
    <w:p w14:paraId="389CEC4C" w14:textId="62259C26" w:rsidR="00161242" w:rsidRPr="00FF756A" w:rsidRDefault="00DA2EDE">
      <w:pPr>
        <w:spacing w:line="240" w:lineRule="auto"/>
        <w:rPr>
          <w:bCs/>
          <w:color w:val="000000" w:themeColor="text1"/>
        </w:rPr>
      </w:pPr>
      <w:r w:rsidRPr="00FF756A">
        <w:rPr>
          <w:bCs/>
          <w:color w:val="000000" w:themeColor="text1"/>
        </w:rPr>
        <w:t>Për sa i përket promovimit dhe lehtësimit të mëtejshëm të zbatimit të Master Planit të Gazit, është vendosur bashkëpunim ndërministror midis Shqipërisë, Malit të Zi, Bosnjë-Hercegovinës dhe Kroacisë lidhur me projektin e Gazsjellësit Adriatiko-Jonian (IAP). Është vendosur gjithashtu bashkëpunim edhe me Kosovën për projektin ALKOGAP.</w:t>
      </w:r>
      <w:r w:rsidR="00161242" w:rsidRPr="00FF756A">
        <w:rPr>
          <w:bCs/>
          <w:color w:val="000000" w:themeColor="text1"/>
        </w:rPr>
        <w:t xml:space="preserve"> </w:t>
      </w:r>
      <w:r w:rsidRPr="00FF756A">
        <w:rPr>
          <w:bCs/>
          <w:color w:val="000000" w:themeColor="text1"/>
        </w:rPr>
        <w:t>Procedurat bazohen në marrëveshjet ndërkombëtare të përshkruara më poshtë.</w:t>
      </w:r>
    </w:p>
    <w:p w14:paraId="72121F68" w14:textId="77777777" w:rsidR="00DB6CB1" w:rsidRPr="00FF756A" w:rsidRDefault="00DB6CB1" w:rsidP="004A3257">
      <w:pPr>
        <w:spacing w:line="240" w:lineRule="auto"/>
        <w:rPr>
          <w:bCs/>
          <w:color w:val="000000" w:themeColor="text1"/>
        </w:rPr>
      </w:pPr>
    </w:p>
    <w:p w14:paraId="68DEE378" w14:textId="77777777" w:rsidR="00DA2EDE" w:rsidRPr="00FF756A" w:rsidRDefault="00DA2EDE" w:rsidP="00952622">
      <w:pPr>
        <w:spacing w:line="240" w:lineRule="auto"/>
        <w:rPr>
          <w:b/>
          <w:color w:val="000000" w:themeColor="text1"/>
        </w:rPr>
      </w:pPr>
      <w:r w:rsidRPr="00FF756A">
        <w:rPr>
          <w:b/>
          <w:color w:val="000000" w:themeColor="text1"/>
        </w:rPr>
        <w:t>Marrëveshjet ndërkombëtare në lidhje me planifikimin e përbashkët ose të koordinuar:</w:t>
      </w:r>
    </w:p>
    <w:p w14:paraId="76BED99E" w14:textId="77777777" w:rsidR="00161242" w:rsidRPr="00FF756A" w:rsidRDefault="00161242" w:rsidP="004A3257">
      <w:pPr>
        <w:spacing w:line="240" w:lineRule="auto"/>
        <w:rPr>
          <w:b/>
          <w:color w:val="000000" w:themeColor="text1"/>
        </w:rPr>
      </w:pPr>
    </w:p>
    <w:p w14:paraId="49C97232" w14:textId="61C3F5E6" w:rsidR="00DA2EDE" w:rsidRPr="00FF756A" w:rsidRDefault="00DA2EDE" w:rsidP="004A3257">
      <w:pPr>
        <w:spacing w:line="240" w:lineRule="auto"/>
      </w:pPr>
      <w:r w:rsidRPr="00FF756A">
        <w:rPr>
          <w:b/>
          <w:i/>
        </w:rPr>
        <w:t xml:space="preserve">“Traktati i Komunitetit të Energjisë", </w:t>
      </w:r>
      <w:r w:rsidRPr="00FF756A">
        <w:t>i ratifikuar nga Parlamenti Shqiptar me ligjin nr. 9501, datë 3.4.2006, “Për ratifikimin e Traktatit themelues të Komunitetit të Energjisë”. Që prej vitit 2006, tërësia e legjislacionit të Komunitetit të Energjisë ka evoluar ndjeshëm duke përfshirë direktiva dhe rregullore të reja. Aktualisht, ajo mbulon legjislacionin për energjinë elektrike, gazin, naftën, infrastrukturën, energjinë e rinovueshme, efiçencën e energjisë, konkurrencën dhe ndihmën shtetërore, mjedisin, statistikat, sigurinë kibernetike dhe klimën. Në sektorin e energjisë elektrike në Shqipëri, zbatimi është mesatarisht i avancuar</w:t>
      </w:r>
      <w:r w:rsidRPr="00FF756A">
        <w:rPr>
          <w:rStyle w:val="FootnoteReference"/>
          <w:noProof/>
        </w:rPr>
        <w:footnoteReference w:id="6"/>
      </w:r>
      <w:r w:rsidRPr="00FF756A">
        <w:t>.</w:t>
      </w:r>
    </w:p>
    <w:p w14:paraId="502ECED1" w14:textId="20E8366A" w:rsidR="00DA2EDE" w:rsidRPr="00FF756A" w:rsidRDefault="00DA2EDE" w:rsidP="004A3257">
      <w:pPr>
        <w:spacing w:line="240" w:lineRule="auto"/>
        <w:ind w:right="4"/>
      </w:pPr>
      <w:r w:rsidRPr="00FF756A">
        <w:t xml:space="preserve">Në sektorin e gazit natyror është nënshkruar marrëveshja trepalëshe </w:t>
      </w:r>
      <w:r w:rsidRPr="00FF756A">
        <w:rPr>
          <w:b/>
          <w:i/>
        </w:rPr>
        <w:t>Greqi-Shqipëri- Itali (Marrëveshja Ndërqeveritare - IGA)</w:t>
      </w:r>
      <w:r w:rsidRPr="00FF756A">
        <w:t>, e ratifikuar nga Parlamenti Shqiptar me ligjin nr. 104/2013, datë 25.3.2013, “Për ratifikimin e Marrëveshjes ndërmjet Republikës së Shqipërisë, Republikës së Greqisë dhe Republikës së Italisë për projektin e Gazsjellësit Trans-Adriatik (Projekti TAP)”. (Hyrë në fuqi më 19 shkurt 2014).</w:t>
      </w:r>
    </w:p>
    <w:p w14:paraId="2EC0FBEC" w14:textId="77777777" w:rsidR="00DA2EDE" w:rsidRPr="00FF756A" w:rsidRDefault="00DA2EDE" w:rsidP="004A3257">
      <w:pPr>
        <w:autoSpaceDE w:val="0"/>
        <w:autoSpaceDN w:val="0"/>
        <w:adjustRightInd w:val="0"/>
        <w:spacing w:line="240" w:lineRule="auto"/>
        <w:rPr>
          <w:rFonts w:eastAsia="Times New Roman"/>
        </w:rPr>
      </w:pPr>
      <w:r w:rsidRPr="00FF756A">
        <w:t xml:space="preserve">OST ka nënshkruar </w:t>
      </w:r>
      <w:r w:rsidRPr="00FF756A">
        <w:rPr>
          <w:b/>
        </w:rPr>
        <w:t>Marrëveshjen Kuadër të Zonës Sinkrone (SAFA)</w:t>
      </w:r>
      <w:r w:rsidRPr="00FF756A">
        <w:t xml:space="preserve"> për Grupin Rajonal Kontinental si anëtar i Rrjetit Evropian të Operatorëve të Sistemit të Transmetimit të Energjisë Elektrike (</w:t>
      </w:r>
      <w:r w:rsidRPr="00FF756A">
        <w:rPr>
          <w:b/>
        </w:rPr>
        <w:t>ENTSO-E</w:t>
      </w:r>
      <w:r w:rsidRPr="00FF756A">
        <w:t xml:space="preserve">) më 6 mars 2019, e cila ka hyrë në fuqi për një kohëzgjatje të pakufizuar më 14.4.2019. Objekti i kësaj marrëveshjeje është të sigurojë një kuadër ligjor për operimin e rrjeteve të ndërlidhura nga OST-të e Zonës Sinkrone të Evropës Kontinentale (anëtarët e ENTSO-E të këtij rajoni) përmes pajtueshmërisë me metodologjitë, kushtet dhe vlerat e tjera që ndjek ENTSO-E. </w:t>
      </w:r>
    </w:p>
    <w:p w14:paraId="3C8D57F7" w14:textId="57E457DD" w:rsidR="00DA2EDE" w:rsidRPr="00FF756A" w:rsidRDefault="00DA2EDE" w:rsidP="004A3257">
      <w:pPr>
        <w:spacing w:line="240" w:lineRule="auto"/>
        <w:rPr>
          <w:iCs/>
        </w:rPr>
      </w:pPr>
      <w:r w:rsidRPr="00FF756A">
        <w:t xml:space="preserve">OST ka nënshkruar Marrëveshjen e </w:t>
      </w:r>
      <w:r w:rsidRPr="00FF756A">
        <w:rPr>
          <w:b/>
        </w:rPr>
        <w:t xml:space="preserve">Zyrës së Koordinuar të Ankandeve për Evropën Juglindore (SEE CAO) </w:t>
      </w:r>
      <w:r w:rsidRPr="00FF756A">
        <w:t xml:space="preserve">më 1.4.2014, me objektivin për të kryer alokimin e qartë të kapacitetit ndërkufitar të transmetimit në të dyja drejtimet midis Zonave të Kontrollit të OST-ve pjesëmarrësve, përmes proceseve të ankandit të bazuara në kapacitetet neto të transmetimit (NTC), në përputhje me kushtet e aksesit në rrjet për shkëmbimet ndërkufitare të energjisë elektrike. Operacionet e SEE CAO kanë të bëjnë me harmonizimin e metodave të menaxhimit të </w:t>
      </w:r>
      <w:r w:rsidR="00B45707" w:rsidRPr="00FF756A">
        <w:t>ngarkesës</w:t>
      </w:r>
      <w:r w:rsidRPr="00FF756A">
        <w:t xml:space="preserve"> në Evropën Juglindore, rregullat e përbashkëta për tregun e brendshëm të energjisë elektrike dhe, sipas rastit, zbatimin e tyre në legjislacionin e brendshëm të shteteve përkatëse. Shqipëria ka filluar ankandet e koordinuara në kufijtë Shqipëri-Mal i Zi që prej majit të vitit 2015. </w:t>
      </w:r>
    </w:p>
    <w:p w14:paraId="3C99766E" w14:textId="7BA6FA88" w:rsidR="008246B9" w:rsidRPr="00FF756A" w:rsidRDefault="00DA2EDE" w:rsidP="004A3257">
      <w:pPr>
        <w:spacing w:line="240" w:lineRule="auto"/>
      </w:pPr>
      <w:r w:rsidRPr="00FF756A">
        <w:t xml:space="preserve">Bashkimi Evropian dhe vendet e Evropës Juglindore, Shqipëria, Bosnjë-Hercegovina, Maqedonia e Veriut, Mali i Zi dhe Serbia kanë nënshkruar </w:t>
      </w:r>
      <w:r w:rsidRPr="00FF756A">
        <w:rPr>
          <w:b/>
        </w:rPr>
        <w:t>Traktatin themelues të Komunitetit të Transportit</w:t>
      </w:r>
      <w:r w:rsidRPr="00FF756A">
        <w:t xml:space="preserve">, të miratuar me ligjin nr. 8/2018, në fushën e transportit rrugor, hekurudhor, tokësor dhe detar, si dhe për </w:t>
      </w:r>
      <w:r w:rsidRPr="00FF756A">
        <w:lastRenderedPageBreak/>
        <w:t xml:space="preserve">zhvillimin e një rrjeti transporti midis Bashkimit Evropian dhe vendeve të Evropës Juglindore. Ndër arsyet e tjera, Shqipëria e nënshkroi këtë traktat për shkak të nevojës së saj për të mbrojtur mjedisin, për të zbutur ndryshimet klimatike dhe për të zhvilluar transportin e qëndrueshëm. Shqipëria është angazhuar të zbatojë pjesën përkatëse të tërësisë së legjislacionit të BE-së për transportin që lidhet me mjedisin, veçanërisht Vlerësimin Strategjik Mjedisor, Vlerësimin e Ndikimit në Mjedis dhe direktivat për natyrën dhe cilësinë e ujit dhe të ajrit. </w:t>
      </w:r>
    </w:p>
    <w:p w14:paraId="30ADBE4B" w14:textId="7C48F115" w:rsidR="006C199B" w:rsidRPr="00FF756A" w:rsidRDefault="008246B9" w:rsidP="004A3257">
      <w:pPr>
        <w:spacing w:line="240" w:lineRule="auto"/>
      </w:pPr>
      <w:r w:rsidRPr="00FF756A">
        <w:t xml:space="preserve">Katër planet e veprimit të Komunitetit të Transportit përbëjnë një manual udhëzues mbi të gjitha hapat dhe etapat e rëndësishme, shoqëruar me afate kohore, të cilat do të na udhëheqin drejt realizimit të objektivave mbi bazën e synimeve dhe ambicieve konkrete: rrugë më të sigurta; më pak kohë pritjeje në pikat e kalimit të kufirit; sisteme hekurudhore të sigurta dhe moderne dhe rrugë të së ardhmes me elemente të integruara ekologjike dhe dixhitale. Plani i Veprimit për Rrugët synon të zhvillojë në Ballkanin Perëndimor një rrjet rrugor TEN-T të qëndrueshëm ndaj kushteve të klimës, inteligjent dhe efiçent nga pikëpamja e burimeve, përmes përfshirjes së elementeve ekologjike dhe inteligjente në investimet e infrastrukturës rrugore. Qëllimi ynë final është të nxisim operacione të transportit rrugor që janë novatore, me shkarkime të ulëta dhe të përshtatshme për epokën dixhitale. </w:t>
      </w:r>
    </w:p>
    <w:p w14:paraId="060B6EFA" w14:textId="77777777" w:rsidR="00572861" w:rsidRPr="00FF756A" w:rsidRDefault="00572861" w:rsidP="004A3257">
      <w:pPr>
        <w:spacing w:line="240" w:lineRule="auto"/>
      </w:pPr>
    </w:p>
    <w:p w14:paraId="691AFCEE" w14:textId="18D88EAE" w:rsidR="00DA2EDE" w:rsidRPr="00FF756A" w:rsidRDefault="00DA2EDE" w:rsidP="004A3257">
      <w:pPr>
        <w:pStyle w:val="Heading3"/>
        <w:numPr>
          <w:ilvl w:val="2"/>
          <w:numId w:val="253"/>
        </w:numPr>
      </w:pPr>
      <w:bookmarkStart w:id="164" w:name="_Toc183639199"/>
      <w:r w:rsidRPr="00FF756A">
        <w:t>Shpjegim mbi mënyrën se si është trajtuar bashkëpunimi rajonal në plan</w:t>
      </w:r>
      <w:bookmarkEnd w:id="164"/>
    </w:p>
    <w:p w14:paraId="557EE09C" w14:textId="77777777" w:rsidR="00FA1B89" w:rsidRPr="00FF756A" w:rsidRDefault="00FA1B89">
      <w:pPr>
        <w:spacing w:line="240" w:lineRule="auto"/>
      </w:pPr>
    </w:p>
    <w:p w14:paraId="4B6624C1" w14:textId="1EC3B837" w:rsidR="00DA2EDE" w:rsidRPr="00FF756A" w:rsidRDefault="00DA2EDE" w:rsidP="004A3257">
      <w:pPr>
        <w:spacing w:line="240" w:lineRule="auto"/>
      </w:pPr>
      <w:r w:rsidRPr="00FF756A">
        <w:t xml:space="preserve">Bashkëpunimi rajonal lehtësohet përmes mbledhjeve të grupeve të punës të organizuara nga Sekretariati i Komunitetit të Energjisë. </w:t>
      </w:r>
    </w:p>
    <w:p w14:paraId="7376E6B4" w14:textId="3E9D58F7" w:rsidR="004D2DC6" w:rsidRPr="00FF756A" w:rsidRDefault="004D2DC6" w:rsidP="004A3257">
      <w:pPr>
        <w:spacing w:line="240" w:lineRule="auto"/>
      </w:pPr>
      <w:r w:rsidRPr="00FF756A">
        <w:t xml:space="preserve">Bashkëpunimi ndërkufitar me Maqedoninë e Veriut, </w:t>
      </w:r>
      <w:r w:rsidR="00C12D57" w:rsidRPr="00FF756A">
        <w:t xml:space="preserve">pritet të shtohet </w:t>
      </w:r>
      <w:r w:rsidRPr="00FF756A">
        <w:t>për sa i përket shkëmbimit të energjisë elektrike dhe sigurisë së energjisë</w:t>
      </w:r>
      <w:r w:rsidR="00C12D57" w:rsidRPr="00FF756A">
        <w:t>.</w:t>
      </w:r>
      <w:r w:rsidRPr="00FF756A">
        <w:t xml:space="preserve"> Në PKEK parashikohet ndërtimi i linjës së transmetimit ndërkufitar 400 kV Manastir-Elbasan, e cila do të forcojë interkoneksionet me rrjetin elektrik të rajonit, duke mundësuar rritjen e kapaciteteve të eksportit dhe importit të energjisë elektrike dhe transitit pa kufizim të energjisë elektrike në rajon, si dhe sigurinë e furnizimit në të dy vendet. Zhvillimi i planifikuar i BRE-ve të reja në Shqipëri pritet të rrisë fluksin e energjisë elektrike drejt Maqedonisë së Veriut dhe pritet të ndikojë pozitivisht edhe në çmimin e energjisë elektrike. Megjithatë, performanca e shkëmbimeve të energjisë elektrike me Maqedoninë e Veriut dhe pjesën tjetër të rajonit do të mbetet e lidhur ngushtësisht me zbatimin në kohë të projekteve të parashikuara në PKEK-ja për burimet e rinovueshme të energjisë. Futja e taksës së CO2 në vitin 2030 në vendet e rajonit pritet ta intensifikojë më tej këtë prirje.</w:t>
      </w:r>
    </w:p>
    <w:p w14:paraId="337D8964" w14:textId="77777777" w:rsidR="004D2DC6" w:rsidRPr="00FF756A" w:rsidRDefault="004D2DC6">
      <w:pPr>
        <w:spacing w:line="240" w:lineRule="auto"/>
        <w:rPr>
          <w:color w:val="000000" w:themeColor="text1"/>
        </w:rPr>
      </w:pPr>
      <w:r w:rsidRPr="00FF756A">
        <w:rPr>
          <w:color w:val="000000" w:themeColor="text1"/>
        </w:rPr>
        <w:t>Linja e transmetimit ndërkufitar 400 kV Manastir-Elbasan konsiderohet si pjesë e korridorit evropian Lindje-Perëndim të transmetimit të energjisë elektrike midis Bullgarisë, Maqedonisë së Veriut, Shqipërisë, Malit të Zi dhe Italisë. Linja e interkoneksionit 400 kV midis Malit të Zi dhe Italisë do të lehtësojë ndërveprimin e sistemeve të energjisë në Ballkan dhe integrimin e tregut të brendshëm me tregun evropian të energjisë (Ballkani është i lidhur drejtpërdrejt me BE-në).</w:t>
      </w:r>
    </w:p>
    <w:p w14:paraId="0923A7AD" w14:textId="77777777" w:rsidR="00550513" w:rsidRPr="00FF756A" w:rsidRDefault="00550513" w:rsidP="004A3257">
      <w:pPr>
        <w:spacing w:line="240" w:lineRule="auto"/>
        <w:rPr>
          <w:color w:val="000000" w:themeColor="text1"/>
        </w:rPr>
      </w:pPr>
    </w:p>
    <w:p w14:paraId="19BEA2EA" w14:textId="1FF5BE69" w:rsidR="006C199B" w:rsidRPr="00FF756A" w:rsidRDefault="004D2DC6" w:rsidP="004A3257">
      <w:pPr>
        <w:spacing w:line="240" w:lineRule="auto"/>
      </w:pPr>
      <w:r w:rsidRPr="00FF756A">
        <w:t>Lidhur me bashkëpunimin ndërkufitar me Kosovën, hyrja në funksion e linjës së interkoneksionit 400 kV me Kosovën dhe themelimi i Bursës së Energjisë Elektrike (ALPEX) do të stimulojnë shkëmbimet e energjisë elektrike midis dy vendeve, si dhe sigurinë e furnizimit në të dy vendet. Tregu i përbashkët i energjisë me Kosovën pritet të reduktojë kostot e transmetimit midis dy vendeve, si dhe të mundësojë një përdorim më të mirë të kapaciteteve të tyre. Marrëveshja e Bllokut Rregullator AK përcakton dimensionin e përbashkët të kapacitetit të rezervave të energjisë brenda Bllokut AK (Shqipëri-Kosovë), ku sipas llogaritjeve, kursimet totale vlerësohen deri në 4 milionë EUR/vit për të dy vendet, përkatësisht 1,4 milionë EUR për OST (Shqipëri) dhe 2,6 milionë EUR për KOST (Kosovë). Linja e re e interkoneksionit 400 kV midis Malit të Zi dhe Italisë do të rrisë ndërveprimin me tregun evropian të energjisë</w:t>
      </w:r>
      <w:r w:rsidR="006C199B" w:rsidRPr="00FF756A">
        <w:t>.</w:t>
      </w:r>
    </w:p>
    <w:p w14:paraId="64D7E78F" w14:textId="77777777" w:rsidR="000055CB" w:rsidRDefault="000055CB" w:rsidP="00C60633"/>
    <w:p w14:paraId="3B456B4E" w14:textId="77777777" w:rsidR="00762683" w:rsidRPr="00FF756A" w:rsidRDefault="00762683" w:rsidP="00C60633"/>
    <w:p w14:paraId="2F308E0D" w14:textId="4D917EB2" w:rsidR="001B7C9F" w:rsidRPr="00FF756A" w:rsidRDefault="001B7C9F" w:rsidP="004A3257">
      <w:pPr>
        <w:pStyle w:val="Heading1"/>
        <w:numPr>
          <w:ilvl w:val="0"/>
          <w:numId w:val="243"/>
        </w:numPr>
      </w:pPr>
      <w:bookmarkStart w:id="165" w:name="_Toc183639200"/>
      <w:r w:rsidRPr="00FF756A">
        <w:lastRenderedPageBreak/>
        <w:t>SYNIMET DHE OBJEKTIVAT KOM</w:t>
      </w:r>
      <w:r w:rsidR="00503853" w:rsidRPr="00FF756A">
        <w:t>BËTARE</w:t>
      </w:r>
      <w:bookmarkEnd w:id="165"/>
      <w:r w:rsidR="00503853" w:rsidRPr="00FF756A">
        <w:t xml:space="preserve"> </w:t>
      </w:r>
    </w:p>
    <w:p w14:paraId="74C65D50" w14:textId="77777777" w:rsidR="001B7C9F" w:rsidRPr="00FF756A" w:rsidRDefault="001B7C9F" w:rsidP="001B7C9F">
      <w:pPr>
        <w:rPr>
          <w:b/>
          <w:bCs/>
        </w:rPr>
      </w:pPr>
    </w:p>
    <w:p w14:paraId="78F6C909" w14:textId="0F32618E" w:rsidR="001B7C9F" w:rsidRPr="00FF756A" w:rsidRDefault="001B7C9F" w:rsidP="001B7C9F">
      <w:pPr>
        <w:rPr>
          <w:b/>
          <w:bCs/>
        </w:rPr>
      </w:pPr>
      <w:r w:rsidRPr="00FF756A">
        <w:rPr>
          <w:b/>
          <w:bCs/>
        </w:rPr>
        <w:t xml:space="preserve">Shpjegim: </w:t>
      </w:r>
      <w:r w:rsidR="002A466E" w:rsidRPr="00FF756A">
        <w:rPr>
          <w:b/>
          <w:bCs/>
        </w:rPr>
        <w:t>P</w:t>
      </w:r>
      <w:r w:rsidR="00503853" w:rsidRPr="00FF756A">
        <w:rPr>
          <w:b/>
          <w:bCs/>
        </w:rPr>
        <w:t>ërputhja</w:t>
      </w:r>
      <w:r w:rsidRPr="00FF756A">
        <w:rPr>
          <w:b/>
          <w:bCs/>
        </w:rPr>
        <w:t xml:space="preserve"> e PKEK me </w:t>
      </w:r>
      <w:r w:rsidR="00503853" w:rsidRPr="00FF756A">
        <w:rPr>
          <w:b/>
          <w:bCs/>
        </w:rPr>
        <w:t>Strategjinë</w:t>
      </w:r>
      <w:r w:rsidRPr="00FF756A">
        <w:rPr>
          <w:b/>
          <w:bCs/>
        </w:rPr>
        <w:t xml:space="preserve"> </w:t>
      </w:r>
      <w:r w:rsidR="00503853" w:rsidRPr="00FF756A">
        <w:rPr>
          <w:b/>
          <w:bCs/>
        </w:rPr>
        <w:t>Kombëtare</w:t>
      </w:r>
      <w:r w:rsidRPr="00FF756A">
        <w:rPr>
          <w:b/>
          <w:bCs/>
        </w:rPr>
        <w:t xml:space="preserve"> t</w:t>
      </w:r>
      <w:r w:rsidR="00503853" w:rsidRPr="00FF756A">
        <w:rPr>
          <w:b/>
          <w:bCs/>
        </w:rPr>
        <w:t>ë</w:t>
      </w:r>
      <w:r w:rsidRPr="00FF756A">
        <w:rPr>
          <w:b/>
          <w:bCs/>
        </w:rPr>
        <w:t xml:space="preserve"> </w:t>
      </w:r>
      <w:r w:rsidR="00503853" w:rsidRPr="00FF756A">
        <w:rPr>
          <w:b/>
          <w:bCs/>
        </w:rPr>
        <w:t>Energjisë</w:t>
      </w:r>
      <w:r w:rsidRPr="00FF756A">
        <w:rPr>
          <w:b/>
          <w:bCs/>
        </w:rPr>
        <w:t xml:space="preserve"> dhe </w:t>
      </w:r>
      <w:r w:rsidR="00503853" w:rsidRPr="00FF756A">
        <w:rPr>
          <w:b/>
          <w:bCs/>
        </w:rPr>
        <w:t>KKP</w:t>
      </w:r>
    </w:p>
    <w:p w14:paraId="228C979E" w14:textId="77777777" w:rsidR="00C4659F" w:rsidRPr="00FF756A" w:rsidRDefault="00C4659F" w:rsidP="001B7C9F">
      <w:pPr>
        <w:rPr>
          <w:b/>
          <w:bCs/>
        </w:rPr>
      </w:pPr>
    </w:p>
    <w:p w14:paraId="008C35C3" w14:textId="4836F2AC" w:rsidR="000055CB" w:rsidRPr="00FF756A" w:rsidRDefault="000055CB" w:rsidP="000073A1">
      <w:pPr>
        <w:spacing w:before="0" w:after="0" w:line="240" w:lineRule="auto"/>
      </w:pPr>
      <w:r w:rsidRPr="00FF756A">
        <w:t xml:space="preserve">Planet kombëtare </w:t>
      </w:r>
      <w:r w:rsidR="00720303" w:rsidRPr="00FF756A">
        <w:t xml:space="preserve">të referuara gjatë hartimit të këtij </w:t>
      </w:r>
      <w:r w:rsidRPr="00FF756A">
        <w:t xml:space="preserve">dokumenti përfshijnë Strategjinë Kombëtare të Energjisë dhe Kontributin </w:t>
      </w:r>
      <w:r w:rsidR="002A466E" w:rsidRPr="00FF756A">
        <w:t>Kombëtar të Pikësynuar</w:t>
      </w:r>
      <w:r w:rsidRPr="00FF756A">
        <w:t xml:space="preserve"> (KK</w:t>
      </w:r>
      <w:r w:rsidR="002A466E" w:rsidRPr="00FF756A">
        <w:t>P</w:t>
      </w:r>
      <w:r w:rsidRPr="00FF756A">
        <w:t>).</w:t>
      </w:r>
    </w:p>
    <w:p w14:paraId="1FE28149" w14:textId="77777777" w:rsidR="00AA6EBF" w:rsidRPr="00FF756A" w:rsidRDefault="00AA6EBF" w:rsidP="004A3257">
      <w:pPr>
        <w:spacing w:before="0" w:after="0" w:line="240" w:lineRule="auto"/>
      </w:pPr>
    </w:p>
    <w:p w14:paraId="639D42A5" w14:textId="3BB538B5" w:rsidR="0053435E" w:rsidRPr="00FF756A" w:rsidRDefault="000055CB" w:rsidP="000073A1">
      <w:pPr>
        <w:spacing w:before="0" w:after="0" w:line="240" w:lineRule="auto"/>
      </w:pPr>
      <w:r w:rsidRPr="00FF756A">
        <w:t xml:space="preserve">Strategjia Kombëtare e Energjisë ka </w:t>
      </w:r>
      <w:r w:rsidR="00761E1F" w:rsidRPr="00FF756A">
        <w:t xml:space="preserve">synim të </w:t>
      </w:r>
      <w:r w:rsidR="0008675C" w:rsidRPr="00FF756A">
        <w:t>arrijë</w:t>
      </w:r>
      <w:r w:rsidR="00761E1F" w:rsidRPr="00FF756A">
        <w:t xml:space="preserve"> </w:t>
      </w:r>
      <w:r w:rsidR="00B7523D" w:rsidRPr="00FF756A">
        <w:t>një nivel</w:t>
      </w:r>
      <w:r w:rsidR="00761E1F" w:rsidRPr="00FF756A">
        <w:t xml:space="preserve"> të</w:t>
      </w:r>
      <w:r w:rsidR="00B7523D" w:rsidRPr="00FF756A">
        <w:t xml:space="preserve"> T</w:t>
      </w:r>
      <w:r w:rsidR="00FC5D82" w:rsidRPr="00FF756A">
        <w:t>FEP</w:t>
      </w:r>
      <w:r w:rsidR="006F7634" w:rsidRPr="00FF756A">
        <w:t>-</w:t>
      </w:r>
      <w:r w:rsidR="00FC5D82" w:rsidRPr="00FF756A">
        <w:t>së</w:t>
      </w:r>
      <w:r w:rsidR="006F7634" w:rsidRPr="00FF756A">
        <w:t xml:space="preserve"> </w:t>
      </w:r>
      <w:r w:rsidR="00C065B6" w:rsidRPr="00FF756A">
        <w:t>pr</w:t>
      </w:r>
      <w:r w:rsidRPr="00FF756A">
        <w:t xml:space="preserve">ej 42% dhe </w:t>
      </w:r>
      <w:r w:rsidR="00FC5D82" w:rsidRPr="00FF756A">
        <w:t xml:space="preserve">një reduktim prej </w:t>
      </w:r>
      <w:r w:rsidRPr="00FF756A">
        <w:t>15%</w:t>
      </w:r>
      <w:r w:rsidR="00FC5D82" w:rsidRPr="00FF756A">
        <w:t xml:space="preserve"> në </w:t>
      </w:r>
      <w:r w:rsidRPr="00FF756A">
        <w:t>përdorimi</w:t>
      </w:r>
      <w:r w:rsidR="00FC5D82" w:rsidRPr="00FF756A">
        <w:t xml:space="preserve">n e </w:t>
      </w:r>
      <w:r w:rsidRPr="00FF756A">
        <w:t xml:space="preserve">energjisë </w:t>
      </w:r>
      <w:r w:rsidR="00646646" w:rsidRPr="00FF756A">
        <w:t>krahasuar me vitin baz</w:t>
      </w:r>
      <w:r w:rsidRPr="00FF756A">
        <w:t xml:space="preserve">ë 2030. </w:t>
      </w:r>
      <w:r w:rsidR="00646646" w:rsidRPr="00FF756A">
        <w:t>Modelimi i strategjisë bazohet në parashikime për rritjen ekonomike dhe atë demografike. Për energjinë e rinovueshme, strategjia përcakton nivele efiçence nën 78% për prodhimin dhe përfshirjen e një përqindjeje më të lartë të burimeve të rinovueshme të energjisë (BRE) në konsumin final.</w:t>
      </w:r>
      <w:r w:rsidR="00C05485" w:rsidRPr="00FF756A">
        <w:t xml:space="preserve"> </w:t>
      </w:r>
      <w:r w:rsidR="00F259E5" w:rsidRPr="00FF756A">
        <w:t xml:space="preserve">Në konsumin final të energjisë, PKEK-ja arrin gjithashtu një përqindje më të lartë të BRE-ve. </w:t>
      </w:r>
    </w:p>
    <w:p w14:paraId="7DC4A7E6" w14:textId="77777777" w:rsidR="0053435E" w:rsidRPr="00FF756A" w:rsidRDefault="0053435E" w:rsidP="000073A1">
      <w:pPr>
        <w:spacing w:before="0" w:after="0" w:line="240" w:lineRule="auto"/>
      </w:pPr>
    </w:p>
    <w:p w14:paraId="161CC78D" w14:textId="77777777" w:rsidR="001433B4" w:rsidRPr="00FF756A" w:rsidRDefault="00F259E5" w:rsidP="000073A1">
      <w:pPr>
        <w:spacing w:before="0" w:after="0" w:line="240" w:lineRule="auto"/>
      </w:pPr>
      <w:r w:rsidRPr="00FF756A">
        <w:t>Në nivelin sektorial, Strategjia Kombëtare për Energjinë nuk merr në konsideratë rinovimin e konsiderueshëm të parashikuar nga SLED (2015),</w:t>
      </w:r>
      <w:r w:rsidR="00E22292" w:rsidRPr="00FF756A">
        <w:rPr>
          <w:rStyle w:val="FootnoteReference"/>
        </w:rPr>
        <w:t xml:space="preserve"> </w:t>
      </w:r>
      <w:r w:rsidR="00E22292" w:rsidRPr="00FF756A">
        <w:rPr>
          <w:rStyle w:val="FootnoteReference"/>
        </w:rPr>
        <w:footnoteReference w:id="7"/>
      </w:r>
      <w:r w:rsidRPr="00FF756A">
        <w:t xml:space="preserve"> në të cilin bazohet edhe PKEK-ja. </w:t>
      </w:r>
      <w:r w:rsidR="0020084D" w:rsidRPr="00FF756A">
        <w:t>Strategjia</w:t>
      </w:r>
      <w:r w:rsidR="00681CFD" w:rsidRPr="00FF756A">
        <w:t xml:space="preserve"> përfshin përdorimin e peletave të</w:t>
      </w:r>
      <w:r w:rsidRPr="00FF756A">
        <w:t xml:space="preserve"> biomas</w:t>
      </w:r>
      <w:r w:rsidR="00681CFD" w:rsidRPr="00FF756A">
        <w:t>ës</w:t>
      </w:r>
      <w:r w:rsidRPr="00FF756A">
        <w:t xml:space="preserve"> për ngrohjen e hapësirave, ndërsa PKEK-ja bazohet</w:t>
      </w:r>
      <w:r w:rsidR="00681CFD" w:rsidRPr="00FF756A">
        <w:t xml:space="preserve"> </w:t>
      </w:r>
      <w:r w:rsidRPr="00FF756A">
        <w:t>tek elektrifikimi dhe rinovim</w:t>
      </w:r>
      <w:r w:rsidR="001433B4" w:rsidRPr="00FF756A">
        <w:t xml:space="preserve">et. </w:t>
      </w:r>
    </w:p>
    <w:p w14:paraId="7D8B0D3F" w14:textId="77777777" w:rsidR="00C636B9" w:rsidRPr="00FF756A" w:rsidRDefault="00C636B9" w:rsidP="000073A1">
      <w:pPr>
        <w:spacing w:before="0" w:after="0" w:line="240" w:lineRule="auto"/>
      </w:pPr>
    </w:p>
    <w:p w14:paraId="5C2E87D1" w14:textId="0FB772AE" w:rsidR="00F259E5" w:rsidRPr="00FF756A" w:rsidRDefault="00F259E5" w:rsidP="000073A1">
      <w:pPr>
        <w:spacing w:before="0" w:after="0" w:line="240" w:lineRule="auto"/>
      </w:pPr>
      <w:r w:rsidRPr="00FF756A">
        <w:t xml:space="preserve">Në </w:t>
      </w:r>
      <w:r w:rsidR="001433B4" w:rsidRPr="00FF756A">
        <w:t>sektorin e</w:t>
      </w:r>
      <w:r w:rsidRPr="00FF756A">
        <w:t xml:space="preserve"> shërbimeve, </w:t>
      </w:r>
      <w:r w:rsidR="001433B4" w:rsidRPr="00FF756A">
        <w:t xml:space="preserve">SKE-ja </w:t>
      </w:r>
      <w:r w:rsidRPr="00FF756A">
        <w:t>parashikon</w:t>
      </w:r>
      <w:r w:rsidR="001433B4" w:rsidRPr="00FF756A">
        <w:t xml:space="preserve"> </w:t>
      </w:r>
      <w:r w:rsidRPr="00FF756A">
        <w:t xml:space="preserve">një rritje të ndjeshme të kërkesës për energji. </w:t>
      </w:r>
      <w:r w:rsidR="001433B4" w:rsidRPr="00FF756A">
        <w:t>Ndërkohë, n</w:t>
      </w:r>
      <w:r w:rsidRPr="00FF756A">
        <w:t xml:space="preserve">ë </w:t>
      </w:r>
      <w:r w:rsidR="001433B4" w:rsidRPr="00FF756A">
        <w:t xml:space="preserve">sektorin </w:t>
      </w:r>
      <w:r w:rsidRPr="00FF756A">
        <w:t>e transportit, elektrifikimi</w:t>
      </w:r>
      <w:r w:rsidR="001C02C2" w:rsidRPr="00FF756A">
        <w:t xml:space="preserve"> nuk është marrë parasysh, dhe humbjet në rrjetin e transmetimit janë </w:t>
      </w:r>
      <w:r w:rsidRPr="00FF756A">
        <w:t>nënvlerës</w:t>
      </w:r>
      <w:r w:rsidR="001C02C2" w:rsidRPr="00FF756A">
        <w:t xml:space="preserve">uar. </w:t>
      </w:r>
      <w:r w:rsidR="00D775F0" w:rsidRPr="00FF756A">
        <w:t xml:space="preserve">Një diferencë e madhe është vënë re edhe në përdorimin e gazit natyror, i cili pritet të mbulojë 20% të kërkesës finale për energji deri në vitin 2030, krahasuar me përdorimin aktual të kufizuar kryesisht në industri. </w:t>
      </w:r>
      <w:r w:rsidRPr="00FF756A">
        <w:t xml:space="preserve">Pavarësisht këtyre </w:t>
      </w:r>
      <w:r w:rsidR="00D775F0" w:rsidRPr="00FF756A">
        <w:t>dallimeve</w:t>
      </w:r>
      <w:r w:rsidRPr="00FF756A">
        <w:t>,</w:t>
      </w:r>
      <w:r w:rsidR="00D775F0" w:rsidRPr="00FF756A">
        <w:t xml:space="preserve"> </w:t>
      </w:r>
      <w:r w:rsidRPr="00FF756A">
        <w:t>Strategji</w:t>
      </w:r>
      <w:r w:rsidR="00D775F0" w:rsidRPr="00FF756A">
        <w:t>a</w:t>
      </w:r>
      <w:r w:rsidR="00E22292" w:rsidRPr="00FF756A">
        <w:t xml:space="preserve"> </w:t>
      </w:r>
      <w:r w:rsidRPr="00FF756A">
        <w:t xml:space="preserve">Kombëtare </w:t>
      </w:r>
      <w:r w:rsidR="00D775F0" w:rsidRPr="00FF756A">
        <w:t>e</w:t>
      </w:r>
      <w:r w:rsidRPr="00FF756A">
        <w:t xml:space="preserve"> Energji</w:t>
      </w:r>
      <w:r w:rsidR="00D775F0" w:rsidRPr="00FF756A">
        <w:t>s</w:t>
      </w:r>
      <w:r w:rsidRPr="00FF756A">
        <w:t xml:space="preserve">ë ka </w:t>
      </w:r>
      <w:r w:rsidR="00AA6EBF" w:rsidRPr="00FF756A">
        <w:t xml:space="preserve">shërbyer si një </w:t>
      </w:r>
      <w:r w:rsidR="00E50D54" w:rsidRPr="00FF756A">
        <w:t>referencë</w:t>
      </w:r>
      <w:r w:rsidR="00AA6EBF" w:rsidRPr="00FF756A">
        <w:t xml:space="preserve"> e vlefshme për hartimin e PKEK-</w:t>
      </w:r>
      <w:r w:rsidR="004C7BB1" w:rsidRPr="00FF756A">
        <w:t>s</w:t>
      </w:r>
      <w:r w:rsidR="00AA6EBF" w:rsidRPr="00FF756A">
        <w:t xml:space="preserve">ë. </w:t>
      </w:r>
    </w:p>
    <w:p w14:paraId="5063DDEC" w14:textId="77777777" w:rsidR="00C636B9" w:rsidRPr="00FF756A" w:rsidRDefault="00C636B9" w:rsidP="004A3257">
      <w:pPr>
        <w:spacing w:before="0" w:after="0" w:line="240" w:lineRule="auto"/>
      </w:pPr>
    </w:p>
    <w:p w14:paraId="59B95AF3" w14:textId="77777777" w:rsidR="000073A1" w:rsidRPr="00FF756A" w:rsidRDefault="000073A1" w:rsidP="004A3257">
      <w:pPr>
        <w:spacing w:before="0" w:after="0" w:line="240" w:lineRule="auto"/>
      </w:pPr>
      <w:r w:rsidRPr="00FF756A">
        <w:t>Sa i përket KKP-së së Shqipërisë, e dorëzuar në vitin 2015 dhe që mbulonte vetëm sektorin e energjisë, gjatë periudhës 2020-2021 u ndërmor një proces rishikimi për të zgjeruar mbulimin në të gjithë sektorët ekonomikë. Rregullorja për qeverisjen e energjisë e përcakton PKEK-në si prioritet ndaj KKP-së. Gjithsesi, puna për të dyja dokumentet është zhvilluar paralelisht, me disa përpjekje për harmonizim dhe përafrim të qasjeve. Materialet e siguruara nga ekipi i KKP-së ndihmuan në përmirësimin e përmbajtjes së PKEK-së për sektorët joenergjetikë, ndërsa vlerësimet e efekteve u trajtuan veçmas.</w:t>
      </w:r>
    </w:p>
    <w:p w14:paraId="36E2F5BE" w14:textId="77777777" w:rsidR="000073A1" w:rsidRPr="00FF756A" w:rsidRDefault="000073A1" w:rsidP="004A3257">
      <w:pPr>
        <w:spacing w:before="0" w:after="0" w:line="240" w:lineRule="auto"/>
      </w:pPr>
    </w:p>
    <w:p w14:paraId="753A72BF" w14:textId="3BFA4F38" w:rsidR="00C4659F" w:rsidRPr="00FF756A" w:rsidRDefault="000073A1" w:rsidP="004A3257">
      <w:pPr>
        <w:spacing w:before="0" w:after="0" w:line="240" w:lineRule="auto"/>
      </w:pPr>
      <w:r w:rsidRPr="00FF756A">
        <w:t>Për sektorin LULUCF, PKEK-ja përdori vlerësimet e KKP-së, ndërsa ato për sektorin energjetik u bazuan në Strategjinë Kombëtare të Energjisë, me përditësime të kufizuara në modelim. Dallimet midis këtyre qasjeve janë diskutuar më herët në dokument. Rishikimi aktual i PKEK-së për vitin 2024 synon të kontribuojë me të dhëna për rishikimin e ardhshëm të KKP-së nga ekipi përkatës.</w:t>
      </w:r>
    </w:p>
    <w:p w14:paraId="14DA3876" w14:textId="77777777" w:rsidR="000073A1" w:rsidRPr="00FF756A" w:rsidRDefault="000073A1" w:rsidP="000073A1"/>
    <w:p w14:paraId="0E89B837" w14:textId="77777777" w:rsidR="000055CB" w:rsidRPr="00FF756A" w:rsidRDefault="000055CB" w:rsidP="000055CB">
      <w:pPr>
        <w:rPr>
          <w:b/>
          <w:bCs/>
        </w:rPr>
      </w:pPr>
      <w:r w:rsidRPr="00FF756A">
        <w:rPr>
          <w:b/>
          <w:bCs/>
        </w:rPr>
        <w:t>Shënim paraprak mbi Strategjinë Kombëtare të Energjisë</w:t>
      </w:r>
    </w:p>
    <w:p w14:paraId="2570B126" w14:textId="60576B60" w:rsidR="00386113" w:rsidRPr="00FF756A" w:rsidRDefault="000055CB" w:rsidP="004A3257">
      <w:pPr>
        <w:spacing w:line="240" w:lineRule="auto"/>
      </w:pPr>
      <w:r w:rsidRPr="00FF756A">
        <w:t>Strategjia Kombëtare e Energjisë (SK</w:t>
      </w:r>
      <w:r w:rsidR="00E50D54" w:rsidRPr="00FF756A">
        <w:t>E</w:t>
      </w:r>
      <w:r w:rsidRPr="00FF756A">
        <w:t xml:space="preserve">) 2018-2030 </w:t>
      </w:r>
      <w:r w:rsidRPr="00FF756A">
        <w:rPr>
          <w:rStyle w:val="FootnoteReference"/>
        </w:rPr>
        <w:footnoteReference w:id="8"/>
      </w:r>
      <w:r w:rsidRPr="00FF756A">
        <w:t xml:space="preserve">është një strategji e përgjithshme e sektorit të energjisë dhe </w:t>
      </w:r>
      <w:r w:rsidR="00386113" w:rsidRPr="00FF756A">
        <w:t>për rrjedhojë ka qenë dokumenti kryesor politik në sektorin e energjisë, i cili shërbente si</w:t>
      </w:r>
    </w:p>
    <w:p w14:paraId="546CC8C8" w14:textId="51695D7F" w:rsidR="000055CB" w:rsidRPr="00FF756A" w:rsidRDefault="00386113" w:rsidP="004A3257">
      <w:pPr>
        <w:spacing w:line="240" w:lineRule="auto"/>
      </w:pPr>
      <w:r w:rsidRPr="00FF756A">
        <w:t xml:space="preserve">burim informacioni për dimensionet 1-4 të Unionit të Energjisë dhe të PKEK-së së Shqipërisë </w:t>
      </w:r>
      <w:r w:rsidR="00F91237" w:rsidRPr="00FF756A">
        <w:t xml:space="preserve">. SKE  </w:t>
      </w:r>
      <w:r w:rsidR="000055CB" w:rsidRPr="00FF756A">
        <w:t>(</w:t>
      </w:r>
      <w:r w:rsidR="00F91237" w:rsidRPr="00FF756A">
        <w:t xml:space="preserve">në </w:t>
      </w:r>
      <w:r w:rsidR="000055CB" w:rsidRPr="00FF756A">
        <w:t>faqe</w:t>
      </w:r>
      <w:r w:rsidR="00F91237" w:rsidRPr="00FF756A">
        <w:t>n</w:t>
      </w:r>
      <w:r w:rsidR="000055CB" w:rsidRPr="00FF756A">
        <w:t xml:space="preserve"> 107) vlerëson se kontributi i investimeve publike është i barabartë me 252 </w:t>
      </w:r>
      <w:r w:rsidR="00F91237" w:rsidRPr="00FF756A">
        <w:t xml:space="preserve">milionë euro </w:t>
      </w:r>
      <w:r w:rsidR="000055CB" w:rsidRPr="00FF756A">
        <w:t xml:space="preserve">për periudhën 2018-2030, kryesisht për mbështetjen e fushatave ndërgjegjësuese dhe projekteve pilot për promovimin e EE në të gjithë sektorët </w:t>
      </w:r>
      <w:r w:rsidR="006B6DE7" w:rsidRPr="00FF756A">
        <w:t xml:space="preserve">e </w:t>
      </w:r>
      <w:r w:rsidR="000055CB" w:rsidRPr="00FF756A">
        <w:t>ekonomi</w:t>
      </w:r>
      <w:r w:rsidR="006B6DE7" w:rsidRPr="00FF756A">
        <w:t>s</w:t>
      </w:r>
      <w:r w:rsidR="000055CB" w:rsidRPr="00FF756A">
        <w:t xml:space="preserve">ë. Investimet private dhe financimet nga donatorët </w:t>
      </w:r>
      <w:r w:rsidR="006B6DE7" w:rsidRPr="00FF756A">
        <w:t>parashikohen në vlerë</w:t>
      </w:r>
      <w:r w:rsidR="007A2BCD" w:rsidRPr="00FF756A">
        <w:t xml:space="preserve">n </w:t>
      </w:r>
      <w:r w:rsidR="000055CB" w:rsidRPr="00FF756A">
        <w:t xml:space="preserve">3,399 </w:t>
      </w:r>
      <w:r w:rsidR="007A2BCD" w:rsidRPr="00FF756A">
        <w:t xml:space="preserve">milionë euro </w:t>
      </w:r>
      <w:r w:rsidR="000055CB" w:rsidRPr="00FF756A">
        <w:t>për periudhën 2018-2030.</w:t>
      </w:r>
    </w:p>
    <w:p w14:paraId="46575DEE" w14:textId="4E5DADCF" w:rsidR="007A2BCD" w:rsidRPr="00FF756A" w:rsidRDefault="007A2BCD" w:rsidP="007A2BCD">
      <w:pPr>
        <w:spacing w:line="240" w:lineRule="auto"/>
      </w:pPr>
      <w:r w:rsidRPr="00FF756A">
        <w:t>Për sa i përket dimensionit të dekarbonizimit dhe efiçencës së energjisë, pikësynimet e SKE-së janë përshtatur me evoluimin e bazës së njohurive</w:t>
      </w:r>
    </w:p>
    <w:p w14:paraId="6370C10F" w14:textId="4D609AFE" w:rsidR="000055CB" w:rsidRPr="00FF756A" w:rsidRDefault="000055CB" w:rsidP="000055CB">
      <w:pPr>
        <w:spacing w:before="0" w:after="0" w:line="240" w:lineRule="auto"/>
        <w:jc w:val="left"/>
        <w:rPr>
          <w:b/>
          <w:bCs/>
        </w:rPr>
      </w:pPr>
      <w:bookmarkStart w:id="166" w:name="_Hlk180507648"/>
    </w:p>
    <w:p w14:paraId="77AB47E5" w14:textId="4AB33B97" w:rsidR="000055CB" w:rsidRPr="00FF756A" w:rsidRDefault="000055CB" w:rsidP="000055CB">
      <w:pPr>
        <w:rPr>
          <w:b/>
          <w:bCs/>
        </w:rPr>
      </w:pPr>
      <w:r w:rsidRPr="00FF756A">
        <w:rPr>
          <w:b/>
          <w:bCs/>
        </w:rPr>
        <w:t>Vlerësimi ndër</w:t>
      </w:r>
      <w:r w:rsidR="003E3A3D" w:rsidRPr="00FF756A">
        <w:rPr>
          <w:b/>
          <w:bCs/>
        </w:rPr>
        <w:t>-</w:t>
      </w:r>
      <w:r w:rsidRPr="00FF756A">
        <w:rPr>
          <w:b/>
          <w:bCs/>
        </w:rPr>
        <w:t xml:space="preserve">dimensional i </w:t>
      </w:r>
      <w:r w:rsidR="0008675C" w:rsidRPr="00FF756A">
        <w:rPr>
          <w:b/>
          <w:bCs/>
        </w:rPr>
        <w:t>pikësynimeve</w:t>
      </w:r>
    </w:p>
    <w:p w14:paraId="00F2082B" w14:textId="5901E041" w:rsidR="000055CB" w:rsidRPr="00FF756A" w:rsidRDefault="000055CB" w:rsidP="004A3257">
      <w:pPr>
        <w:spacing w:line="240" w:lineRule="auto"/>
      </w:pPr>
      <w:r w:rsidRPr="00FF756A">
        <w:t xml:space="preserve">Tabela e mëposhtme paraqet një analizë cilësore sesi </w:t>
      </w:r>
      <w:r w:rsidR="0008675C" w:rsidRPr="00FF756A">
        <w:t>pikësynimet</w:t>
      </w:r>
      <w:r w:rsidRPr="00FF756A">
        <w:t xml:space="preserve"> e përzgjedhura dhe ato kritike ndikojnë njëri-tjetrin. Instalimi i kapaciteteve gjeneruese të rinovueshme pritet të ndikojë në balancimin e rrjetit të energjisë elektrike, por mund të menaxhohet përmes çmimeve dinamike dhe përdorimit të kapacitetit të magazinimit EV.</w:t>
      </w:r>
    </w:p>
    <w:bookmarkEnd w:id="166"/>
    <w:p w14:paraId="6030035B" w14:textId="77777777" w:rsidR="000055CB" w:rsidRPr="00FF756A" w:rsidRDefault="000055CB" w:rsidP="000055CB"/>
    <w:tbl>
      <w:tblPr>
        <w:tblStyle w:val="TableGrid"/>
        <w:tblW w:w="9071" w:type="dxa"/>
        <w:tblLook w:val="04A0" w:firstRow="1" w:lastRow="0" w:firstColumn="1" w:lastColumn="0" w:noHBand="0" w:noVBand="1"/>
      </w:tblPr>
      <w:tblGrid>
        <w:gridCol w:w="1587"/>
        <w:gridCol w:w="1871"/>
        <w:gridCol w:w="1871"/>
        <w:gridCol w:w="1871"/>
        <w:gridCol w:w="1871"/>
      </w:tblGrid>
      <w:tr w:rsidR="000055CB" w:rsidRPr="00FF756A" w14:paraId="4ABCC310" w14:textId="77777777" w:rsidTr="000055CB">
        <w:tc>
          <w:tcPr>
            <w:tcW w:w="1587" w:type="dxa"/>
            <w:tcBorders>
              <w:top w:val="single" w:sz="4" w:space="0" w:color="auto"/>
              <w:left w:val="single" w:sz="4" w:space="0" w:color="auto"/>
              <w:bottom w:val="single" w:sz="4" w:space="0" w:color="auto"/>
              <w:right w:val="single" w:sz="4" w:space="0" w:color="auto"/>
            </w:tcBorders>
          </w:tcPr>
          <w:p w14:paraId="2CFD9A92" w14:textId="77777777" w:rsidR="000055CB" w:rsidRPr="00FF756A" w:rsidRDefault="000055CB" w:rsidP="004A3257">
            <w:pPr>
              <w:spacing w:before="0" w:after="0" w:line="240" w:lineRule="auto"/>
              <w:jc w:val="left"/>
              <w:rPr>
                <w:lang w:eastAsia="de-DE"/>
              </w:rPr>
            </w:pPr>
          </w:p>
        </w:tc>
        <w:tc>
          <w:tcPr>
            <w:tcW w:w="1871" w:type="dxa"/>
            <w:tcBorders>
              <w:top w:val="single" w:sz="4" w:space="0" w:color="auto"/>
              <w:left w:val="single" w:sz="4" w:space="0" w:color="auto"/>
              <w:bottom w:val="single" w:sz="4" w:space="0" w:color="auto"/>
              <w:right w:val="single" w:sz="4" w:space="0" w:color="auto"/>
            </w:tcBorders>
            <w:hideMark/>
          </w:tcPr>
          <w:p w14:paraId="181F902F" w14:textId="77777777" w:rsidR="000055CB" w:rsidRPr="00FF756A" w:rsidRDefault="000055CB" w:rsidP="004A3257">
            <w:pPr>
              <w:spacing w:before="0" w:after="0" w:line="240" w:lineRule="auto"/>
              <w:jc w:val="left"/>
              <w:rPr>
                <w:lang w:eastAsia="de-DE"/>
              </w:rPr>
            </w:pPr>
            <w:r w:rsidRPr="00FF756A">
              <w:rPr>
                <w:lang w:eastAsia="de-DE"/>
              </w:rPr>
              <w:t>Energjia e rinovueshme</w:t>
            </w:r>
          </w:p>
        </w:tc>
        <w:tc>
          <w:tcPr>
            <w:tcW w:w="1871" w:type="dxa"/>
            <w:tcBorders>
              <w:top w:val="single" w:sz="4" w:space="0" w:color="auto"/>
              <w:left w:val="single" w:sz="4" w:space="0" w:color="auto"/>
              <w:bottom w:val="single" w:sz="4" w:space="0" w:color="auto"/>
              <w:right w:val="single" w:sz="4" w:space="0" w:color="auto"/>
            </w:tcBorders>
            <w:hideMark/>
          </w:tcPr>
          <w:p w14:paraId="0DEB16F2" w14:textId="77777777" w:rsidR="000055CB" w:rsidRPr="00FF756A" w:rsidRDefault="000055CB" w:rsidP="004A3257">
            <w:pPr>
              <w:spacing w:before="0" w:after="0" w:line="240" w:lineRule="auto"/>
              <w:jc w:val="left"/>
              <w:rPr>
                <w:lang w:eastAsia="de-DE"/>
              </w:rPr>
            </w:pPr>
            <w:r w:rsidRPr="00FF756A">
              <w:rPr>
                <w:lang w:eastAsia="de-DE"/>
              </w:rPr>
              <w:t>Transporti</w:t>
            </w:r>
          </w:p>
        </w:tc>
        <w:tc>
          <w:tcPr>
            <w:tcW w:w="1871" w:type="dxa"/>
            <w:tcBorders>
              <w:top w:val="single" w:sz="4" w:space="0" w:color="auto"/>
              <w:left w:val="single" w:sz="4" w:space="0" w:color="auto"/>
              <w:bottom w:val="single" w:sz="4" w:space="0" w:color="auto"/>
              <w:right w:val="single" w:sz="4" w:space="0" w:color="auto"/>
            </w:tcBorders>
            <w:hideMark/>
          </w:tcPr>
          <w:p w14:paraId="0EDBFA6A" w14:textId="77777777" w:rsidR="000055CB" w:rsidRPr="00FF756A" w:rsidRDefault="000055CB" w:rsidP="004A3257">
            <w:pPr>
              <w:spacing w:before="0" w:after="0" w:line="240" w:lineRule="auto"/>
              <w:jc w:val="left"/>
              <w:rPr>
                <w:lang w:eastAsia="de-DE"/>
              </w:rPr>
            </w:pPr>
            <w:r w:rsidRPr="00FF756A">
              <w:rPr>
                <w:lang w:eastAsia="de-DE"/>
              </w:rPr>
              <w:t>Tregu i brendshëm i energjisë</w:t>
            </w:r>
          </w:p>
        </w:tc>
        <w:tc>
          <w:tcPr>
            <w:tcW w:w="1871" w:type="dxa"/>
            <w:tcBorders>
              <w:top w:val="single" w:sz="4" w:space="0" w:color="auto"/>
              <w:left w:val="single" w:sz="4" w:space="0" w:color="auto"/>
              <w:bottom w:val="single" w:sz="4" w:space="0" w:color="auto"/>
              <w:right w:val="single" w:sz="4" w:space="0" w:color="auto"/>
            </w:tcBorders>
            <w:hideMark/>
          </w:tcPr>
          <w:p w14:paraId="28226656" w14:textId="77777777" w:rsidR="000055CB" w:rsidRPr="00FF756A" w:rsidRDefault="000055CB" w:rsidP="004A3257">
            <w:pPr>
              <w:spacing w:before="0" w:after="0" w:line="240" w:lineRule="auto"/>
              <w:jc w:val="left"/>
              <w:rPr>
                <w:lang w:eastAsia="de-DE"/>
              </w:rPr>
            </w:pPr>
            <w:r w:rsidRPr="00FF756A">
              <w:rPr>
                <w:lang w:eastAsia="de-DE"/>
              </w:rPr>
              <w:t>Siguria energjetike</w:t>
            </w:r>
          </w:p>
        </w:tc>
      </w:tr>
      <w:tr w:rsidR="000055CB" w:rsidRPr="00FF756A" w14:paraId="29809CC5" w14:textId="77777777" w:rsidTr="000055CB">
        <w:tc>
          <w:tcPr>
            <w:tcW w:w="1587" w:type="dxa"/>
            <w:tcBorders>
              <w:top w:val="single" w:sz="4" w:space="0" w:color="auto"/>
              <w:left w:val="single" w:sz="4" w:space="0" w:color="auto"/>
              <w:bottom w:val="single" w:sz="4" w:space="0" w:color="auto"/>
              <w:right w:val="single" w:sz="4" w:space="0" w:color="auto"/>
            </w:tcBorders>
            <w:hideMark/>
          </w:tcPr>
          <w:p w14:paraId="46942423" w14:textId="77777777" w:rsidR="000055CB" w:rsidRPr="00FF756A" w:rsidRDefault="000055CB" w:rsidP="004A3257">
            <w:pPr>
              <w:spacing w:before="0" w:after="0" w:line="240" w:lineRule="auto"/>
              <w:jc w:val="left"/>
              <w:rPr>
                <w:lang w:eastAsia="de-DE"/>
              </w:rPr>
            </w:pPr>
            <w:r w:rsidRPr="00FF756A">
              <w:rPr>
                <w:lang w:eastAsia="de-DE"/>
              </w:rPr>
              <w:t>Energjia e rinovueshme</w:t>
            </w:r>
          </w:p>
        </w:tc>
        <w:tc>
          <w:tcPr>
            <w:tcW w:w="1871" w:type="dxa"/>
            <w:tcBorders>
              <w:top w:val="single" w:sz="4" w:space="0" w:color="auto"/>
              <w:left w:val="single" w:sz="4" w:space="0" w:color="auto"/>
              <w:bottom w:val="single" w:sz="4" w:space="0" w:color="auto"/>
              <w:right w:val="single" w:sz="4" w:space="0" w:color="auto"/>
            </w:tcBorders>
            <w:shd w:val="clear" w:color="auto" w:fill="E7E6E6" w:themeFill="background2"/>
          </w:tcPr>
          <w:p w14:paraId="3C3B3F10" w14:textId="77777777" w:rsidR="000055CB" w:rsidRPr="00FF756A" w:rsidRDefault="000055CB" w:rsidP="004A3257">
            <w:pPr>
              <w:spacing w:before="0" w:after="0" w:line="240" w:lineRule="auto"/>
              <w:jc w:val="left"/>
              <w:rPr>
                <w:lang w:eastAsia="de-DE"/>
              </w:rPr>
            </w:pPr>
          </w:p>
        </w:tc>
        <w:tc>
          <w:tcPr>
            <w:tcW w:w="1871" w:type="dxa"/>
            <w:tcBorders>
              <w:top w:val="single" w:sz="4" w:space="0" w:color="auto"/>
              <w:left w:val="single" w:sz="4" w:space="0" w:color="auto"/>
              <w:bottom w:val="single" w:sz="4" w:space="0" w:color="auto"/>
              <w:right w:val="single" w:sz="4" w:space="0" w:color="auto"/>
            </w:tcBorders>
            <w:hideMark/>
          </w:tcPr>
          <w:p w14:paraId="47EF1550" w14:textId="77777777" w:rsidR="000055CB" w:rsidRPr="00FF756A" w:rsidRDefault="000055CB" w:rsidP="004A3257">
            <w:pPr>
              <w:spacing w:before="0" w:after="0" w:line="240" w:lineRule="auto"/>
              <w:jc w:val="left"/>
              <w:rPr>
                <w:lang w:eastAsia="de-DE"/>
              </w:rPr>
            </w:pPr>
            <w:r w:rsidRPr="00FF756A">
              <w:rPr>
                <w:lang w:eastAsia="de-DE"/>
              </w:rPr>
              <w:t>Elektrifikimi i sektorit të transportit do të marrë një pjesë të madhe të energjisë elektrike të rinovueshme të luhatshme dhe do të dekarbonizojë sektorin e transportit</w:t>
            </w:r>
          </w:p>
        </w:tc>
        <w:tc>
          <w:tcPr>
            <w:tcW w:w="1871" w:type="dxa"/>
            <w:tcBorders>
              <w:top w:val="single" w:sz="4" w:space="0" w:color="auto"/>
              <w:left w:val="single" w:sz="4" w:space="0" w:color="auto"/>
              <w:bottom w:val="single" w:sz="4" w:space="0" w:color="auto"/>
              <w:right w:val="single" w:sz="4" w:space="0" w:color="auto"/>
            </w:tcBorders>
            <w:hideMark/>
          </w:tcPr>
          <w:p w14:paraId="3A11895C" w14:textId="77777777" w:rsidR="000055CB" w:rsidRPr="00FF756A" w:rsidRDefault="000055CB" w:rsidP="004A3257">
            <w:pPr>
              <w:spacing w:before="0" w:after="0" w:line="240" w:lineRule="auto"/>
              <w:jc w:val="left"/>
              <w:rPr>
                <w:lang w:eastAsia="de-DE"/>
              </w:rPr>
            </w:pPr>
            <w:r w:rsidRPr="00FF756A">
              <w:rPr>
                <w:lang w:eastAsia="de-DE"/>
              </w:rPr>
              <w:t>Burimet e luhatshme të energjisë së rinovueshme ndikojnë në balancimin e rrjetit të energjisë elektrike</w:t>
            </w:r>
          </w:p>
        </w:tc>
        <w:tc>
          <w:tcPr>
            <w:tcW w:w="1871" w:type="dxa"/>
            <w:tcBorders>
              <w:top w:val="single" w:sz="4" w:space="0" w:color="auto"/>
              <w:left w:val="single" w:sz="4" w:space="0" w:color="auto"/>
              <w:bottom w:val="single" w:sz="4" w:space="0" w:color="auto"/>
              <w:right w:val="single" w:sz="4" w:space="0" w:color="auto"/>
            </w:tcBorders>
            <w:hideMark/>
          </w:tcPr>
          <w:p w14:paraId="4DCF6C75" w14:textId="77777777" w:rsidR="000055CB" w:rsidRPr="00FF756A" w:rsidRDefault="000055CB" w:rsidP="004A3257">
            <w:pPr>
              <w:spacing w:before="0" w:after="0" w:line="240" w:lineRule="auto"/>
              <w:jc w:val="left"/>
              <w:rPr>
                <w:lang w:eastAsia="de-DE"/>
              </w:rPr>
            </w:pPr>
            <w:r w:rsidRPr="00FF756A">
              <w:rPr>
                <w:lang w:eastAsia="de-DE"/>
              </w:rPr>
              <w:t>Rritja e pjesës së energjisë së rinovueshme redukton varësinë nga importi</w:t>
            </w:r>
          </w:p>
        </w:tc>
      </w:tr>
      <w:tr w:rsidR="000055CB" w:rsidRPr="00FF756A" w14:paraId="0513FB6A" w14:textId="77777777" w:rsidTr="000055CB">
        <w:tc>
          <w:tcPr>
            <w:tcW w:w="1587" w:type="dxa"/>
            <w:tcBorders>
              <w:top w:val="single" w:sz="4" w:space="0" w:color="auto"/>
              <w:left w:val="single" w:sz="4" w:space="0" w:color="auto"/>
              <w:bottom w:val="single" w:sz="4" w:space="0" w:color="auto"/>
              <w:right w:val="single" w:sz="4" w:space="0" w:color="auto"/>
            </w:tcBorders>
            <w:hideMark/>
          </w:tcPr>
          <w:p w14:paraId="460B0A5B" w14:textId="77777777" w:rsidR="000055CB" w:rsidRPr="00FF756A" w:rsidRDefault="000055CB" w:rsidP="004A3257">
            <w:pPr>
              <w:spacing w:before="0" w:after="0" w:line="240" w:lineRule="auto"/>
              <w:jc w:val="left"/>
              <w:rPr>
                <w:lang w:eastAsia="de-DE"/>
              </w:rPr>
            </w:pPr>
            <w:r w:rsidRPr="00FF756A">
              <w:rPr>
                <w:lang w:eastAsia="de-DE"/>
              </w:rPr>
              <w:t>Transporti</w:t>
            </w:r>
          </w:p>
        </w:tc>
        <w:tc>
          <w:tcPr>
            <w:tcW w:w="1871" w:type="dxa"/>
            <w:tcBorders>
              <w:top w:val="single" w:sz="4" w:space="0" w:color="auto"/>
              <w:left w:val="single" w:sz="4" w:space="0" w:color="auto"/>
              <w:bottom w:val="single" w:sz="4" w:space="0" w:color="auto"/>
              <w:right w:val="single" w:sz="4" w:space="0" w:color="auto"/>
            </w:tcBorders>
            <w:hideMark/>
          </w:tcPr>
          <w:p w14:paraId="30992844" w14:textId="77777777" w:rsidR="000055CB" w:rsidRPr="00FF756A" w:rsidRDefault="000055CB" w:rsidP="004A3257">
            <w:pPr>
              <w:spacing w:before="0" w:after="0" w:line="240" w:lineRule="auto"/>
              <w:jc w:val="left"/>
              <w:rPr>
                <w:lang w:eastAsia="de-DE"/>
              </w:rPr>
            </w:pPr>
            <w:r w:rsidRPr="00FF756A">
              <w:rPr>
                <w:lang w:eastAsia="de-DE"/>
              </w:rPr>
              <w:t>Rritja e synuar e automjeteve elektrike (EV)</w:t>
            </w:r>
          </w:p>
        </w:tc>
        <w:tc>
          <w:tcPr>
            <w:tcW w:w="1871" w:type="dxa"/>
            <w:tcBorders>
              <w:top w:val="single" w:sz="4" w:space="0" w:color="auto"/>
              <w:left w:val="single" w:sz="4" w:space="0" w:color="auto"/>
              <w:bottom w:val="single" w:sz="4" w:space="0" w:color="auto"/>
              <w:right w:val="single" w:sz="4" w:space="0" w:color="auto"/>
            </w:tcBorders>
            <w:shd w:val="clear" w:color="auto" w:fill="E7E6E6" w:themeFill="background2"/>
          </w:tcPr>
          <w:p w14:paraId="7EAA7F0F" w14:textId="77777777" w:rsidR="000055CB" w:rsidRPr="00FF756A" w:rsidRDefault="000055CB" w:rsidP="004A3257">
            <w:pPr>
              <w:spacing w:before="0" w:after="0" w:line="240" w:lineRule="auto"/>
              <w:jc w:val="left"/>
              <w:rPr>
                <w:lang w:eastAsia="de-DE"/>
              </w:rPr>
            </w:pPr>
          </w:p>
        </w:tc>
        <w:tc>
          <w:tcPr>
            <w:tcW w:w="1871" w:type="dxa"/>
            <w:tcBorders>
              <w:top w:val="single" w:sz="4" w:space="0" w:color="auto"/>
              <w:left w:val="single" w:sz="4" w:space="0" w:color="auto"/>
              <w:bottom w:val="single" w:sz="4" w:space="0" w:color="auto"/>
              <w:right w:val="single" w:sz="4" w:space="0" w:color="auto"/>
            </w:tcBorders>
            <w:hideMark/>
          </w:tcPr>
          <w:p w14:paraId="6DD951CA" w14:textId="77777777" w:rsidR="000055CB" w:rsidRPr="00FF756A" w:rsidRDefault="000055CB" w:rsidP="004A3257">
            <w:pPr>
              <w:spacing w:before="0" w:after="0" w:line="240" w:lineRule="auto"/>
              <w:jc w:val="left"/>
              <w:rPr>
                <w:lang w:eastAsia="de-DE"/>
              </w:rPr>
            </w:pPr>
            <w:r w:rsidRPr="00FF756A">
              <w:rPr>
                <w:lang w:eastAsia="de-DE"/>
              </w:rPr>
              <w:t xml:space="preserve">Përdorimi i kapaciteteve të ruajtjes së automjeteve elektrike rrit fleksibilitetin </w:t>
            </w:r>
            <w:r w:rsidRPr="00FF756A">
              <w:rPr>
                <w:lang w:eastAsia="de-DE"/>
              </w:rPr>
              <w:sym w:font="Wingdings" w:char="F0E0"/>
            </w:r>
            <w:r w:rsidRPr="00FF756A">
              <w:rPr>
                <w:lang w:eastAsia="de-DE"/>
              </w:rPr>
              <w:t>dhe kontribuon në balancimin e rrjetit të energjisë elektrike</w:t>
            </w:r>
          </w:p>
        </w:tc>
        <w:tc>
          <w:tcPr>
            <w:tcW w:w="1871" w:type="dxa"/>
            <w:tcBorders>
              <w:top w:val="single" w:sz="4" w:space="0" w:color="auto"/>
              <w:left w:val="single" w:sz="4" w:space="0" w:color="auto"/>
              <w:bottom w:val="single" w:sz="4" w:space="0" w:color="auto"/>
              <w:right w:val="single" w:sz="4" w:space="0" w:color="auto"/>
            </w:tcBorders>
            <w:hideMark/>
          </w:tcPr>
          <w:p w14:paraId="4523AF97" w14:textId="77777777" w:rsidR="000055CB" w:rsidRPr="00FF756A" w:rsidRDefault="000055CB" w:rsidP="004A3257">
            <w:pPr>
              <w:spacing w:before="0" w:after="0" w:line="240" w:lineRule="auto"/>
              <w:jc w:val="left"/>
              <w:rPr>
                <w:lang w:eastAsia="de-DE"/>
              </w:rPr>
            </w:pPr>
            <w:r w:rsidRPr="00FF756A">
              <w:rPr>
                <w:lang w:eastAsia="de-DE"/>
              </w:rPr>
              <w:t>Përdorimi i kapaciteteve të ruajtjes së automjeteve elektrike rrit fleksibilitetin dhe për këtë arsye gjithashtu kontribuon në sigurinë e energjisë</w:t>
            </w:r>
          </w:p>
        </w:tc>
      </w:tr>
      <w:tr w:rsidR="000055CB" w:rsidRPr="00FF756A" w14:paraId="1B9BD8F2" w14:textId="77777777" w:rsidTr="000055CB">
        <w:tc>
          <w:tcPr>
            <w:tcW w:w="1587" w:type="dxa"/>
            <w:tcBorders>
              <w:top w:val="single" w:sz="4" w:space="0" w:color="auto"/>
              <w:left w:val="single" w:sz="4" w:space="0" w:color="auto"/>
              <w:bottom w:val="single" w:sz="4" w:space="0" w:color="auto"/>
              <w:right w:val="single" w:sz="4" w:space="0" w:color="auto"/>
            </w:tcBorders>
            <w:hideMark/>
          </w:tcPr>
          <w:p w14:paraId="6AA0D6E4" w14:textId="77777777" w:rsidR="000055CB" w:rsidRPr="00FF756A" w:rsidRDefault="000055CB" w:rsidP="004A3257">
            <w:pPr>
              <w:spacing w:before="0" w:after="0" w:line="240" w:lineRule="auto"/>
              <w:jc w:val="left"/>
              <w:rPr>
                <w:lang w:eastAsia="de-DE"/>
              </w:rPr>
            </w:pPr>
            <w:r w:rsidRPr="00FF756A">
              <w:rPr>
                <w:lang w:eastAsia="de-DE"/>
              </w:rPr>
              <w:t>Tregu i brendshëm i energjisë</w:t>
            </w:r>
          </w:p>
        </w:tc>
        <w:tc>
          <w:tcPr>
            <w:tcW w:w="1871" w:type="dxa"/>
            <w:tcBorders>
              <w:top w:val="single" w:sz="4" w:space="0" w:color="auto"/>
              <w:left w:val="single" w:sz="4" w:space="0" w:color="auto"/>
              <w:bottom w:val="single" w:sz="4" w:space="0" w:color="auto"/>
              <w:right w:val="single" w:sz="4" w:space="0" w:color="auto"/>
            </w:tcBorders>
            <w:hideMark/>
          </w:tcPr>
          <w:p w14:paraId="3760CA50" w14:textId="77777777" w:rsidR="000055CB" w:rsidRPr="00FF756A" w:rsidRDefault="000055CB" w:rsidP="004A3257">
            <w:pPr>
              <w:spacing w:before="0" w:after="0" w:line="240" w:lineRule="auto"/>
              <w:jc w:val="left"/>
              <w:rPr>
                <w:lang w:eastAsia="de-DE"/>
              </w:rPr>
            </w:pPr>
            <w:r w:rsidRPr="00FF756A">
              <w:rPr>
                <w:lang w:eastAsia="de-DE"/>
              </w:rPr>
              <w:t>Çmimi dinamik për të përballuar luhatjen e prodhimit të energjisë elektrike nga burimet e rinovueshme</w:t>
            </w:r>
          </w:p>
        </w:tc>
        <w:tc>
          <w:tcPr>
            <w:tcW w:w="1871" w:type="dxa"/>
            <w:tcBorders>
              <w:top w:val="single" w:sz="4" w:space="0" w:color="auto"/>
              <w:left w:val="single" w:sz="4" w:space="0" w:color="auto"/>
              <w:bottom w:val="single" w:sz="4" w:space="0" w:color="auto"/>
              <w:right w:val="single" w:sz="4" w:space="0" w:color="auto"/>
            </w:tcBorders>
            <w:hideMark/>
          </w:tcPr>
          <w:p w14:paraId="173E1E9B" w14:textId="77777777" w:rsidR="000055CB" w:rsidRPr="00FF756A" w:rsidRDefault="000055CB" w:rsidP="004A3257">
            <w:pPr>
              <w:spacing w:before="0" w:after="0" w:line="240" w:lineRule="auto"/>
              <w:jc w:val="left"/>
              <w:rPr>
                <w:lang w:eastAsia="de-DE"/>
              </w:rPr>
            </w:pPr>
            <w:r w:rsidRPr="00FF756A">
              <w:rPr>
                <w:lang w:eastAsia="de-DE"/>
              </w:rPr>
              <w:t>Çmimi dinamik i energjisë elektrike të rinovueshme për automjetet elektrike</w:t>
            </w:r>
          </w:p>
        </w:tc>
        <w:tc>
          <w:tcPr>
            <w:tcW w:w="1871" w:type="dxa"/>
            <w:tcBorders>
              <w:top w:val="single" w:sz="4" w:space="0" w:color="auto"/>
              <w:left w:val="single" w:sz="4" w:space="0" w:color="auto"/>
              <w:bottom w:val="single" w:sz="4" w:space="0" w:color="auto"/>
              <w:right w:val="single" w:sz="4" w:space="0" w:color="auto"/>
            </w:tcBorders>
            <w:shd w:val="clear" w:color="auto" w:fill="E7E6E6" w:themeFill="background2"/>
          </w:tcPr>
          <w:p w14:paraId="4528D4FC" w14:textId="77777777" w:rsidR="000055CB" w:rsidRPr="00FF756A" w:rsidRDefault="000055CB" w:rsidP="004A3257">
            <w:pPr>
              <w:spacing w:before="0" w:after="0" w:line="240" w:lineRule="auto"/>
              <w:jc w:val="left"/>
              <w:rPr>
                <w:lang w:eastAsia="de-DE"/>
              </w:rPr>
            </w:pPr>
          </w:p>
        </w:tc>
        <w:tc>
          <w:tcPr>
            <w:tcW w:w="1871" w:type="dxa"/>
            <w:tcBorders>
              <w:top w:val="single" w:sz="4" w:space="0" w:color="auto"/>
              <w:left w:val="single" w:sz="4" w:space="0" w:color="auto"/>
              <w:bottom w:val="single" w:sz="4" w:space="0" w:color="auto"/>
              <w:right w:val="single" w:sz="4" w:space="0" w:color="auto"/>
            </w:tcBorders>
            <w:hideMark/>
          </w:tcPr>
          <w:p w14:paraId="4A7F959F" w14:textId="5DFC00BD" w:rsidR="000055CB" w:rsidRPr="00FF756A" w:rsidRDefault="000055CB" w:rsidP="004A3257">
            <w:pPr>
              <w:spacing w:before="0" w:after="0" w:line="240" w:lineRule="auto"/>
              <w:jc w:val="left"/>
              <w:rPr>
                <w:lang w:eastAsia="de-DE"/>
              </w:rPr>
            </w:pPr>
            <w:r w:rsidRPr="00FF756A">
              <w:rPr>
                <w:lang w:eastAsia="de-DE"/>
              </w:rPr>
              <w:t>Një treg i mirë</w:t>
            </w:r>
            <w:r w:rsidR="00580213">
              <w:rPr>
                <w:lang w:eastAsia="de-DE"/>
              </w:rPr>
              <w:t xml:space="preserve"> dhe </w:t>
            </w:r>
            <w:r w:rsidRPr="00FF756A">
              <w:rPr>
                <w:lang w:eastAsia="de-DE"/>
              </w:rPr>
              <w:t>funksional i energjisë elektrike kontribuon në rritjen e sigurisë energjetike</w:t>
            </w:r>
          </w:p>
        </w:tc>
      </w:tr>
      <w:tr w:rsidR="000055CB" w:rsidRPr="00FF756A" w14:paraId="5D18EA99" w14:textId="77777777" w:rsidTr="000055CB">
        <w:tc>
          <w:tcPr>
            <w:tcW w:w="1587" w:type="dxa"/>
            <w:tcBorders>
              <w:top w:val="single" w:sz="4" w:space="0" w:color="auto"/>
              <w:left w:val="single" w:sz="4" w:space="0" w:color="auto"/>
              <w:bottom w:val="single" w:sz="4" w:space="0" w:color="auto"/>
              <w:right w:val="single" w:sz="4" w:space="0" w:color="auto"/>
            </w:tcBorders>
            <w:hideMark/>
          </w:tcPr>
          <w:p w14:paraId="44DE69C5" w14:textId="77777777" w:rsidR="000055CB" w:rsidRPr="00FF756A" w:rsidRDefault="000055CB" w:rsidP="004A3257">
            <w:pPr>
              <w:spacing w:before="0" w:after="0" w:line="240" w:lineRule="auto"/>
              <w:jc w:val="left"/>
              <w:rPr>
                <w:lang w:eastAsia="de-DE"/>
              </w:rPr>
            </w:pPr>
            <w:r w:rsidRPr="00FF756A">
              <w:rPr>
                <w:lang w:eastAsia="de-DE"/>
              </w:rPr>
              <w:t>Siguria energjetike</w:t>
            </w:r>
          </w:p>
        </w:tc>
        <w:tc>
          <w:tcPr>
            <w:tcW w:w="1871" w:type="dxa"/>
            <w:tcBorders>
              <w:top w:val="single" w:sz="4" w:space="0" w:color="auto"/>
              <w:left w:val="single" w:sz="4" w:space="0" w:color="auto"/>
              <w:bottom w:val="single" w:sz="4" w:space="0" w:color="auto"/>
              <w:right w:val="single" w:sz="4" w:space="0" w:color="auto"/>
            </w:tcBorders>
            <w:hideMark/>
          </w:tcPr>
          <w:p w14:paraId="238C8AB4" w14:textId="77777777" w:rsidR="000055CB" w:rsidRPr="00FF756A" w:rsidRDefault="000055CB" w:rsidP="004A3257">
            <w:pPr>
              <w:spacing w:before="0" w:after="0" w:line="240" w:lineRule="auto"/>
              <w:jc w:val="left"/>
              <w:rPr>
                <w:lang w:eastAsia="de-DE"/>
              </w:rPr>
            </w:pPr>
            <w:r w:rsidRPr="00FF756A">
              <w:rPr>
                <w:lang w:eastAsia="de-DE"/>
              </w:rPr>
              <w:t>Rritja e pjesës së energjisë së rinovueshme redukton varësinë nga importi</w:t>
            </w:r>
          </w:p>
        </w:tc>
        <w:tc>
          <w:tcPr>
            <w:tcW w:w="1871" w:type="dxa"/>
            <w:tcBorders>
              <w:top w:val="single" w:sz="4" w:space="0" w:color="auto"/>
              <w:left w:val="single" w:sz="4" w:space="0" w:color="auto"/>
              <w:bottom w:val="single" w:sz="4" w:space="0" w:color="auto"/>
              <w:right w:val="single" w:sz="4" w:space="0" w:color="auto"/>
            </w:tcBorders>
            <w:hideMark/>
          </w:tcPr>
          <w:p w14:paraId="61B1D097" w14:textId="16A7DE2E" w:rsidR="000055CB" w:rsidRPr="00FF756A" w:rsidRDefault="000055CB" w:rsidP="004A3257">
            <w:pPr>
              <w:spacing w:before="0" w:after="0" w:line="240" w:lineRule="auto"/>
              <w:jc w:val="left"/>
              <w:rPr>
                <w:lang w:eastAsia="de-DE"/>
              </w:rPr>
            </w:pPr>
            <w:r w:rsidRPr="00FF756A">
              <w:rPr>
                <w:lang w:eastAsia="de-DE"/>
              </w:rPr>
              <w:t xml:space="preserve">Reduktimi i varësisë nga importi ndaj produkteve të naftës </w:t>
            </w:r>
            <w:r w:rsidR="00B603F0" w:rsidRPr="00FF756A">
              <w:rPr>
                <w:lang w:eastAsia="de-DE"/>
              </w:rPr>
              <w:t>s</w:t>
            </w:r>
            <w:r w:rsidRPr="00FF756A">
              <w:rPr>
                <w:lang w:eastAsia="de-DE"/>
              </w:rPr>
              <w:t>ë rafinuar</w:t>
            </w:r>
          </w:p>
        </w:tc>
        <w:tc>
          <w:tcPr>
            <w:tcW w:w="1871" w:type="dxa"/>
            <w:tcBorders>
              <w:top w:val="single" w:sz="4" w:space="0" w:color="auto"/>
              <w:left w:val="single" w:sz="4" w:space="0" w:color="auto"/>
              <w:bottom w:val="single" w:sz="4" w:space="0" w:color="auto"/>
              <w:right w:val="single" w:sz="4" w:space="0" w:color="auto"/>
            </w:tcBorders>
            <w:hideMark/>
          </w:tcPr>
          <w:p w14:paraId="7D9C0958" w14:textId="77777777" w:rsidR="000055CB" w:rsidRPr="00FF756A" w:rsidRDefault="000055CB" w:rsidP="004A3257">
            <w:pPr>
              <w:spacing w:before="0" w:after="0" w:line="240" w:lineRule="auto"/>
              <w:jc w:val="left"/>
              <w:rPr>
                <w:lang w:eastAsia="de-DE"/>
              </w:rPr>
            </w:pPr>
            <w:r w:rsidRPr="00FF756A">
              <w:rPr>
                <w:lang w:eastAsia="de-DE"/>
              </w:rPr>
              <w:t>Një treg i mirëfunksional i energjisë elektrike kontribuon në rritjen e sigurisë energjetike</w:t>
            </w:r>
          </w:p>
        </w:tc>
        <w:tc>
          <w:tcPr>
            <w:tcW w:w="1871" w:type="dxa"/>
            <w:tcBorders>
              <w:top w:val="single" w:sz="4" w:space="0" w:color="auto"/>
              <w:left w:val="single" w:sz="4" w:space="0" w:color="auto"/>
              <w:bottom w:val="single" w:sz="4" w:space="0" w:color="auto"/>
              <w:right w:val="single" w:sz="4" w:space="0" w:color="auto"/>
            </w:tcBorders>
            <w:shd w:val="clear" w:color="auto" w:fill="E7E6E6" w:themeFill="background2"/>
          </w:tcPr>
          <w:p w14:paraId="661F62A9" w14:textId="77777777" w:rsidR="000055CB" w:rsidRPr="00FF756A" w:rsidRDefault="000055CB" w:rsidP="004A3257">
            <w:pPr>
              <w:keepNext/>
              <w:spacing w:before="0" w:after="0" w:line="240" w:lineRule="auto"/>
              <w:jc w:val="left"/>
              <w:rPr>
                <w:lang w:eastAsia="de-DE"/>
              </w:rPr>
            </w:pPr>
          </w:p>
        </w:tc>
      </w:tr>
    </w:tbl>
    <w:p w14:paraId="1E77DF7B" w14:textId="41034B4D" w:rsidR="000055CB" w:rsidRPr="00FF756A" w:rsidRDefault="001B7C9F" w:rsidP="001B7C9F">
      <w:pPr>
        <w:pStyle w:val="Caption"/>
        <w:rPr>
          <w:rFonts w:ascii="Times New Roman" w:hAnsi="Times New Roman"/>
        </w:rPr>
      </w:pPr>
      <w:bookmarkStart w:id="167" w:name="_Toc183016476"/>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12</w:t>
      </w:r>
      <w:r w:rsidR="008E7DE9" w:rsidRPr="00FF756A">
        <w:rPr>
          <w:rFonts w:ascii="Times New Roman" w:hAnsi="Times New Roman"/>
          <w:noProof/>
        </w:rPr>
        <w:fldChar w:fldCharType="end"/>
      </w:r>
      <w:r w:rsidRPr="00FF756A">
        <w:rPr>
          <w:rFonts w:ascii="Times New Roman" w:hAnsi="Times New Roman"/>
        </w:rPr>
        <w:t xml:space="preserve">: Vlerësimi ndërdimensional i </w:t>
      </w:r>
      <w:r w:rsidR="006A388C" w:rsidRPr="00FF756A">
        <w:rPr>
          <w:rFonts w:ascii="Times New Roman" w:hAnsi="Times New Roman"/>
        </w:rPr>
        <w:t xml:space="preserve">pikësynimeve </w:t>
      </w:r>
      <w:bookmarkEnd w:id="167"/>
    </w:p>
    <w:p w14:paraId="77C530D8" w14:textId="77777777" w:rsidR="000055CB" w:rsidRDefault="000055CB" w:rsidP="000055CB"/>
    <w:p w14:paraId="119D9311" w14:textId="77777777" w:rsidR="0071694F" w:rsidRDefault="0071694F" w:rsidP="000055CB"/>
    <w:p w14:paraId="50067CA8" w14:textId="77777777" w:rsidR="0071694F" w:rsidRDefault="0071694F" w:rsidP="000055CB"/>
    <w:p w14:paraId="124E2FFE" w14:textId="77777777" w:rsidR="0071694F" w:rsidRPr="00FF756A" w:rsidRDefault="0071694F" w:rsidP="000055CB"/>
    <w:p w14:paraId="258D8629" w14:textId="004F2D46" w:rsidR="000055CB" w:rsidRPr="00FF756A" w:rsidRDefault="000055CB" w:rsidP="001B7C9F">
      <w:pPr>
        <w:spacing w:before="0" w:after="0" w:line="240" w:lineRule="auto"/>
        <w:jc w:val="left"/>
        <w:rPr>
          <w:b/>
          <w:bCs/>
        </w:rPr>
      </w:pPr>
      <w:bookmarkStart w:id="168" w:name="_Hlk180425450"/>
      <w:r w:rsidRPr="00FF756A">
        <w:rPr>
          <w:b/>
          <w:bCs/>
        </w:rPr>
        <w:lastRenderedPageBreak/>
        <w:t xml:space="preserve">Krahasimi i objektivave të </w:t>
      </w:r>
      <w:r w:rsidR="00553262" w:rsidRPr="00FF756A">
        <w:rPr>
          <w:b/>
          <w:bCs/>
        </w:rPr>
        <w:t>PKEK</w:t>
      </w:r>
      <w:r w:rsidRPr="00FF756A">
        <w:rPr>
          <w:b/>
          <w:bCs/>
        </w:rPr>
        <w:t xml:space="preserve"> 2030 me objektivat e EnC sipas </w:t>
      </w:r>
      <w:hyperlink r:id="rId51" w:history="1">
        <w:r w:rsidRPr="00FF756A">
          <w:rPr>
            <w:rStyle w:val="Hyperlink"/>
            <w:b/>
            <w:bCs/>
          </w:rPr>
          <w:t xml:space="preserve">Vendimit 2022/02/MC- </w:t>
        </w:r>
      </w:hyperlink>
      <w:hyperlink r:id="rId52" w:history="1">
        <w:r w:rsidRPr="00FF756A">
          <w:rPr>
            <w:rStyle w:val="Hyperlink"/>
            <w:b/>
            <w:bCs/>
          </w:rPr>
          <w:t>EnC</w:t>
        </w:r>
      </w:hyperlink>
      <w:r w:rsidRPr="00FF756A">
        <w:rPr>
          <w:rStyle w:val="FootnoteReference"/>
          <w:b/>
          <w:bCs/>
        </w:rPr>
        <w:footnoteReference w:id="9"/>
      </w:r>
    </w:p>
    <w:p w14:paraId="41609CC6" w14:textId="2A72083E" w:rsidR="000055CB" w:rsidRPr="00FF756A" w:rsidRDefault="000055CB" w:rsidP="000055CB">
      <w:r w:rsidRPr="00FF756A">
        <w:t xml:space="preserve">Tabela e mëposhtme paraqet një krahasim të </w:t>
      </w:r>
      <w:r w:rsidR="00736CE8" w:rsidRPr="00FF756A">
        <w:t xml:space="preserve">pikësynimeve dhe </w:t>
      </w:r>
      <w:r w:rsidR="00707B10" w:rsidRPr="00FF756A">
        <w:t xml:space="preserve">tregon </w:t>
      </w:r>
      <w:r w:rsidRPr="00FF756A">
        <w:t xml:space="preserve">se </w:t>
      </w:r>
      <w:r w:rsidR="00707B10" w:rsidRPr="00FF756A">
        <w:t xml:space="preserve">pikësynimet </w:t>
      </w:r>
      <w:r w:rsidR="00A014FB">
        <w:t xml:space="preserve">janë brenda kufirit të </w:t>
      </w:r>
      <w:r w:rsidRPr="00FF756A">
        <w:t xml:space="preserve">WAM </w:t>
      </w:r>
      <w:r w:rsidR="004C2A8D" w:rsidRPr="00FF756A">
        <w:t>të PKEK-së</w:t>
      </w:r>
      <w:r w:rsidRPr="00FF756A">
        <w:t xml:space="preserve"> 2030</w:t>
      </w:r>
      <w:r w:rsidR="00A014FB">
        <w:t xml:space="preserve">. Pikësynimet e paraqitura </w:t>
      </w:r>
      <w:r w:rsidR="00F86B9B">
        <w:t xml:space="preserve">për 2050 theksojnë se pikësynimet kombëtare janë të realizueshme. </w:t>
      </w:r>
      <w:r w:rsidR="00A014FB">
        <w:t xml:space="preserve">  </w:t>
      </w:r>
    </w:p>
    <w:p w14:paraId="326B3584" w14:textId="73B1DCA1" w:rsidR="000055CB" w:rsidRPr="00FF756A" w:rsidRDefault="000055CB" w:rsidP="000055CB">
      <w:pPr>
        <w:rPr>
          <w:b/>
          <w:bCs/>
        </w:rPr>
      </w:pPr>
      <w:r w:rsidRPr="00FF756A">
        <w:rPr>
          <w:b/>
          <w:bCs/>
        </w:rPr>
        <w:t xml:space="preserve">Kështu, </w:t>
      </w:r>
      <w:r w:rsidR="004C2A8D" w:rsidRPr="00FF756A">
        <w:rPr>
          <w:b/>
          <w:bCs/>
        </w:rPr>
        <w:t>pikësynimet</w:t>
      </w:r>
      <w:r w:rsidRPr="00FF756A">
        <w:rPr>
          <w:b/>
          <w:bCs/>
        </w:rPr>
        <w:t xml:space="preserve"> sipas </w:t>
      </w:r>
      <w:r w:rsidR="004C2A8D" w:rsidRPr="00FF756A">
        <w:rPr>
          <w:b/>
          <w:bCs/>
        </w:rPr>
        <w:t>PKEK</w:t>
      </w:r>
      <w:r w:rsidRPr="00FF756A">
        <w:rPr>
          <w:b/>
          <w:bCs/>
        </w:rPr>
        <w:t xml:space="preserve"> 2030 WAM janë miratuar si </w:t>
      </w:r>
      <w:r w:rsidR="004406E9" w:rsidRPr="00FF756A">
        <w:rPr>
          <w:b/>
          <w:bCs/>
        </w:rPr>
        <w:t>pikësynime PKEK</w:t>
      </w:r>
      <w:r w:rsidRPr="00FF756A">
        <w:rPr>
          <w:b/>
          <w:bCs/>
        </w:rPr>
        <w:t xml:space="preserve"> 2030.</w:t>
      </w:r>
    </w:p>
    <w:p w14:paraId="55F0DDC5" w14:textId="77777777" w:rsidR="000055CB" w:rsidRPr="00FF756A" w:rsidRDefault="000055CB" w:rsidP="000055CB">
      <w:pPr>
        <w:pStyle w:val="Caption"/>
        <w:rPr>
          <w:rFonts w:ascii="Times New Roman" w:hAnsi="Times New Roman"/>
        </w:rPr>
      </w:pPr>
    </w:p>
    <w:tbl>
      <w:tblPr>
        <w:tblStyle w:val="TableGrid"/>
        <w:tblW w:w="10089" w:type="dxa"/>
        <w:tblLayout w:type="fixed"/>
        <w:tblLook w:val="04A0" w:firstRow="1" w:lastRow="0" w:firstColumn="1" w:lastColumn="0" w:noHBand="0" w:noVBand="1"/>
      </w:tblPr>
      <w:tblGrid>
        <w:gridCol w:w="3235"/>
        <w:gridCol w:w="1184"/>
        <w:gridCol w:w="1134"/>
        <w:gridCol w:w="1134"/>
        <w:gridCol w:w="1134"/>
        <w:gridCol w:w="1105"/>
        <w:gridCol w:w="1163"/>
      </w:tblGrid>
      <w:tr w:rsidR="00BA42E3" w:rsidRPr="00FF756A" w14:paraId="4E2CA05B" w14:textId="77777777" w:rsidTr="00460655">
        <w:tc>
          <w:tcPr>
            <w:tcW w:w="3235" w:type="dxa"/>
            <w:tcBorders>
              <w:top w:val="single" w:sz="4" w:space="0" w:color="auto"/>
              <w:left w:val="single" w:sz="4" w:space="0" w:color="auto"/>
              <w:bottom w:val="single" w:sz="4" w:space="0" w:color="auto"/>
              <w:right w:val="single" w:sz="4" w:space="0" w:color="auto"/>
            </w:tcBorders>
          </w:tcPr>
          <w:p w14:paraId="1478C016" w14:textId="77777777" w:rsidR="00BA42E3" w:rsidRPr="00FF756A" w:rsidRDefault="00BA42E3">
            <w:pPr>
              <w:jc w:val="left"/>
              <w:rPr>
                <w:lang w:eastAsia="de-DE"/>
              </w:rPr>
            </w:pPr>
          </w:p>
        </w:tc>
        <w:tc>
          <w:tcPr>
            <w:tcW w:w="1184" w:type="dxa"/>
            <w:tcBorders>
              <w:top w:val="single" w:sz="4" w:space="0" w:color="auto"/>
              <w:left w:val="single" w:sz="4" w:space="0" w:color="auto"/>
              <w:bottom w:val="single" w:sz="4" w:space="0" w:color="auto"/>
              <w:right w:val="single" w:sz="4" w:space="0" w:color="auto"/>
            </w:tcBorders>
            <w:hideMark/>
          </w:tcPr>
          <w:p w14:paraId="776DC695" w14:textId="417BF665" w:rsidR="00BA42E3" w:rsidRPr="00F57FB8" w:rsidRDefault="00BA42E3" w:rsidP="00F57FB8">
            <w:pPr>
              <w:jc w:val="left"/>
              <w:rPr>
                <w:b/>
                <w:bCs/>
                <w:sz w:val="20"/>
                <w:szCs w:val="20"/>
                <w:lang w:eastAsia="de-DE"/>
              </w:rPr>
            </w:pPr>
            <w:r w:rsidRPr="00F57FB8">
              <w:rPr>
                <w:b/>
                <w:bCs/>
                <w:color w:val="C00000"/>
                <w:sz w:val="20"/>
                <w:szCs w:val="20"/>
                <w:lang w:eastAsia="de-DE"/>
              </w:rPr>
              <w:t>Pikësynimi i EnC 2030</w:t>
            </w:r>
          </w:p>
        </w:tc>
        <w:tc>
          <w:tcPr>
            <w:tcW w:w="1134" w:type="dxa"/>
            <w:tcBorders>
              <w:top w:val="single" w:sz="4" w:space="0" w:color="auto"/>
              <w:left w:val="single" w:sz="4" w:space="0" w:color="auto"/>
              <w:bottom w:val="single" w:sz="4" w:space="0" w:color="auto"/>
              <w:right w:val="single" w:sz="4" w:space="0" w:color="auto"/>
            </w:tcBorders>
          </w:tcPr>
          <w:p w14:paraId="370816F3" w14:textId="77777777" w:rsidR="00BA42E3" w:rsidRPr="00F57FB8" w:rsidRDefault="00F57FB8" w:rsidP="00F57FB8">
            <w:pPr>
              <w:jc w:val="left"/>
              <w:rPr>
                <w:color w:val="385623" w:themeColor="accent6" w:themeShade="80"/>
                <w:sz w:val="20"/>
                <w:szCs w:val="20"/>
                <w:lang w:eastAsia="de-DE"/>
              </w:rPr>
            </w:pPr>
            <w:r w:rsidRPr="00F57FB8">
              <w:rPr>
                <w:color w:val="385623" w:themeColor="accent6" w:themeShade="80"/>
                <w:sz w:val="20"/>
                <w:szCs w:val="20"/>
                <w:lang w:eastAsia="de-DE"/>
              </w:rPr>
              <w:t xml:space="preserve">Pikësynimi kombëtar </w:t>
            </w:r>
          </w:p>
          <w:p w14:paraId="1AD10786" w14:textId="37A0133F" w:rsidR="00F57FB8" w:rsidRPr="00F57FB8" w:rsidRDefault="00F57FB8" w:rsidP="00F57FB8">
            <w:pPr>
              <w:jc w:val="left"/>
              <w:rPr>
                <w:color w:val="808080" w:themeColor="background1" w:themeShade="80"/>
                <w:sz w:val="20"/>
                <w:szCs w:val="20"/>
                <w:lang w:eastAsia="de-DE"/>
              </w:rPr>
            </w:pPr>
            <w:r w:rsidRPr="00F57FB8">
              <w:rPr>
                <w:color w:val="385623" w:themeColor="accent6" w:themeShade="80"/>
                <w:sz w:val="20"/>
                <w:szCs w:val="20"/>
                <w:lang w:eastAsia="de-DE"/>
              </w:rPr>
              <w:t>2030</w:t>
            </w:r>
          </w:p>
        </w:tc>
        <w:tc>
          <w:tcPr>
            <w:tcW w:w="1134" w:type="dxa"/>
            <w:tcBorders>
              <w:top w:val="single" w:sz="4" w:space="0" w:color="auto"/>
              <w:left w:val="single" w:sz="4" w:space="0" w:color="auto"/>
              <w:bottom w:val="single" w:sz="4" w:space="0" w:color="auto"/>
              <w:right w:val="single" w:sz="4" w:space="0" w:color="auto"/>
            </w:tcBorders>
            <w:hideMark/>
          </w:tcPr>
          <w:p w14:paraId="496843FB" w14:textId="27E517DB" w:rsidR="00BA42E3" w:rsidRPr="00F57FB8" w:rsidRDefault="00BA42E3" w:rsidP="00F57FB8">
            <w:pPr>
              <w:jc w:val="left"/>
              <w:rPr>
                <w:color w:val="808080" w:themeColor="background1" w:themeShade="80"/>
                <w:sz w:val="20"/>
                <w:szCs w:val="20"/>
                <w:lang w:eastAsia="de-DE"/>
              </w:rPr>
            </w:pPr>
            <w:r w:rsidRPr="00F57FB8">
              <w:rPr>
                <w:color w:val="808080" w:themeColor="background1" w:themeShade="80"/>
                <w:sz w:val="20"/>
                <w:szCs w:val="20"/>
                <w:lang w:eastAsia="de-DE"/>
              </w:rPr>
              <w:t>Pikësynimi i PKEK 2030</w:t>
            </w:r>
          </w:p>
          <w:p w14:paraId="4004C5C8" w14:textId="77777777" w:rsidR="00BA42E3" w:rsidRPr="00F57FB8" w:rsidRDefault="00BA42E3" w:rsidP="00F57FB8">
            <w:pPr>
              <w:jc w:val="left"/>
              <w:rPr>
                <w:color w:val="808080" w:themeColor="background1" w:themeShade="80"/>
                <w:sz w:val="20"/>
                <w:szCs w:val="20"/>
                <w:lang w:eastAsia="de-DE"/>
              </w:rPr>
            </w:pPr>
            <w:r w:rsidRPr="00F57FB8">
              <w:rPr>
                <w:color w:val="808080" w:themeColor="background1" w:themeShade="80"/>
                <w:sz w:val="20"/>
                <w:szCs w:val="20"/>
                <w:lang w:eastAsia="de-DE"/>
              </w:rPr>
              <w:t>WEM</w:t>
            </w:r>
          </w:p>
        </w:tc>
        <w:tc>
          <w:tcPr>
            <w:tcW w:w="1134" w:type="dxa"/>
            <w:tcBorders>
              <w:top w:val="single" w:sz="4" w:space="0" w:color="auto"/>
              <w:left w:val="single" w:sz="4" w:space="0" w:color="auto"/>
              <w:bottom w:val="single" w:sz="4" w:space="0" w:color="auto"/>
              <w:right w:val="single" w:sz="4" w:space="0" w:color="auto"/>
            </w:tcBorders>
            <w:hideMark/>
          </w:tcPr>
          <w:p w14:paraId="12245C15" w14:textId="2BBD91D3" w:rsidR="00BA42E3" w:rsidRPr="00F57FB8" w:rsidRDefault="00BA42E3" w:rsidP="00F57FB8">
            <w:pPr>
              <w:jc w:val="left"/>
              <w:rPr>
                <w:color w:val="808080" w:themeColor="background1" w:themeShade="80"/>
                <w:sz w:val="20"/>
                <w:szCs w:val="20"/>
                <w:lang w:eastAsia="de-DE"/>
              </w:rPr>
            </w:pPr>
            <w:r w:rsidRPr="00F57FB8">
              <w:rPr>
                <w:color w:val="808080" w:themeColor="background1" w:themeShade="80"/>
                <w:sz w:val="20"/>
                <w:szCs w:val="20"/>
                <w:lang w:eastAsia="de-DE"/>
              </w:rPr>
              <w:t>Parashikimi i PKEK 2050</w:t>
            </w:r>
          </w:p>
          <w:p w14:paraId="17ED3D9D" w14:textId="77777777" w:rsidR="00BA42E3" w:rsidRPr="00F57FB8" w:rsidRDefault="00BA42E3" w:rsidP="00F57FB8">
            <w:pPr>
              <w:jc w:val="left"/>
              <w:rPr>
                <w:color w:val="808080" w:themeColor="background1" w:themeShade="80"/>
                <w:sz w:val="20"/>
                <w:szCs w:val="20"/>
                <w:lang w:eastAsia="de-DE"/>
              </w:rPr>
            </w:pPr>
            <w:r w:rsidRPr="00F57FB8">
              <w:rPr>
                <w:color w:val="808080" w:themeColor="background1" w:themeShade="80"/>
                <w:sz w:val="20"/>
                <w:szCs w:val="20"/>
                <w:lang w:eastAsia="de-DE"/>
              </w:rPr>
              <w:t>WEM</w:t>
            </w:r>
          </w:p>
        </w:tc>
        <w:tc>
          <w:tcPr>
            <w:tcW w:w="1105" w:type="dxa"/>
            <w:tcBorders>
              <w:top w:val="single" w:sz="4" w:space="0" w:color="auto"/>
              <w:left w:val="single" w:sz="4" w:space="0" w:color="auto"/>
              <w:bottom w:val="single" w:sz="4" w:space="0" w:color="auto"/>
              <w:right w:val="single" w:sz="4" w:space="0" w:color="auto"/>
            </w:tcBorders>
            <w:hideMark/>
          </w:tcPr>
          <w:p w14:paraId="03617B6B" w14:textId="0DC4B26A" w:rsidR="00BA42E3" w:rsidRPr="00F57FB8" w:rsidRDefault="00BA42E3" w:rsidP="00F57FB8">
            <w:pPr>
              <w:jc w:val="left"/>
              <w:rPr>
                <w:b/>
                <w:bCs/>
                <w:color w:val="C00000"/>
                <w:sz w:val="20"/>
                <w:szCs w:val="20"/>
                <w:lang w:eastAsia="de-DE"/>
              </w:rPr>
            </w:pPr>
            <w:r w:rsidRPr="00F57FB8">
              <w:rPr>
                <w:b/>
                <w:bCs/>
                <w:color w:val="C00000"/>
                <w:sz w:val="20"/>
                <w:szCs w:val="20"/>
                <w:lang w:eastAsia="de-DE"/>
              </w:rPr>
              <w:t>Pikësynimi i PKEK 2030</w:t>
            </w:r>
          </w:p>
          <w:p w14:paraId="4DC86102" w14:textId="77777777" w:rsidR="00BA42E3" w:rsidRPr="00F57FB8" w:rsidRDefault="00BA42E3" w:rsidP="00F57FB8">
            <w:pPr>
              <w:jc w:val="left"/>
              <w:rPr>
                <w:b/>
                <w:bCs/>
                <w:sz w:val="20"/>
                <w:szCs w:val="20"/>
                <w:lang w:eastAsia="de-DE"/>
              </w:rPr>
            </w:pPr>
            <w:r w:rsidRPr="00F57FB8">
              <w:rPr>
                <w:b/>
                <w:bCs/>
                <w:color w:val="C00000"/>
                <w:sz w:val="20"/>
                <w:szCs w:val="20"/>
                <w:lang w:eastAsia="de-DE"/>
              </w:rPr>
              <w:t>WAM</w:t>
            </w:r>
          </w:p>
        </w:tc>
        <w:tc>
          <w:tcPr>
            <w:tcW w:w="1163" w:type="dxa"/>
            <w:tcBorders>
              <w:top w:val="single" w:sz="4" w:space="0" w:color="auto"/>
              <w:left w:val="single" w:sz="4" w:space="0" w:color="auto"/>
              <w:bottom w:val="single" w:sz="4" w:space="0" w:color="auto"/>
              <w:right w:val="single" w:sz="4" w:space="0" w:color="auto"/>
            </w:tcBorders>
            <w:hideMark/>
          </w:tcPr>
          <w:p w14:paraId="1B3E58DA" w14:textId="4DFD569D" w:rsidR="00BA42E3" w:rsidRPr="00F57FB8" w:rsidRDefault="00BA42E3" w:rsidP="00F57FB8">
            <w:pPr>
              <w:jc w:val="left"/>
              <w:rPr>
                <w:color w:val="808080" w:themeColor="background1" w:themeShade="80"/>
                <w:sz w:val="20"/>
                <w:szCs w:val="20"/>
                <w:lang w:eastAsia="de-DE"/>
              </w:rPr>
            </w:pPr>
            <w:r w:rsidRPr="00F57FB8">
              <w:rPr>
                <w:color w:val="808080" w:themeColor="background1" w:themeShade="80"/>
                <w:sz w:val="20"/>
                <w:szCs w:val="20"/>
                <w:lang w:eastAsia="de-DE"/>
              </w:rPr>
              <w:t>Parashikimi i PKEK 2050</w:t>
            </w:r>
          </w:p>
          <w:p w14:paraId="41E375D7" w14:textId="77777777" w:rsidR="00BA42E3" w:rsidRPr="00F57FB8" w:rsidRDefault="00BA42E3" w:rsidP="00F57FB8">
            <w:pPr>
              <w:jc w:val="left"/>
              <w:rPr>
                <w:color w:val="808080" w:themeColor="background1" w:themeShade="80"/>
                <w:sz w:val="20"/>
                <w:szCs w:val="20"/>
                <w:lang w:eastAsia="de-DE"/>
              </w:rPr>
            </w:pPr>
            <w:r w:rsidRPr="00F57FB8">
              <w:rPr>
                <w:color w:val="808080" w:themeColor="background1" w:themeShade="80"/>
                <w:sz w:val="20"/>
                <w:szCs w:val="20"/>
                <w:lang w:eastAsia="de-DE"/>
              </w:rPr>
              <w:t>WAM</w:t>
            </w:r>
          </w:p>
        </w:tc>
      </w:tr>
      <w:tr w:rsidR="00BA42E3" w:rsidRPr="00FF756A" w14:paraId="1873A647" w14:textId="77777777" w:rsidTr="00460655">
        <w:tc>
          <w:tcPr>
            <w:tcW w:w="3235" w:type="dxa"/>
            <w:tcBorders>
              <w:top w:val="single" w:sz="4" w:space="0" w:color="auto"/>
              <w:left w:val="single" w:sz="4" w:space="0" w:color="auto"/>
              <w:bottom w:val="single" w:sz="4" w:space="0" w:color="auto"/>
              <w:right w:val="single" w:sz="4" w:space="0" w:color="auto"/>
            </w:tcBorders>
            <w:hideMark/>
          </w:tcPr>
          <w:p w14:paraId="2110A870" w14:textId="201200DF" w:rsidR="00BA42E3" w:rsidRPr="00421ABB" w:rsidRDefault="00BA42E3">
            <w:pPr>
              <w:jc w:val="left"/>
              <w:rPr>
                <w:sz w:val="18"/>
                <w:szCs w:val="18"/>
                <w:lang w:eastAsia="de-DE"/>
              </w:rPr>
            </w:pPr>
            <w:r w:rsidRPr="00421ABB">
              <w:rPr>
                <w:sz w:val="18"/>
                <w:szCs w:val="18"/>
                <w:lang w:eastAsia="de-DE"/>
              </w:rPr>
              <w:t>Piksynimi për përqindjen e energjisë nga burimet e rinovueshme në konsumin e përgjithshëm final të energjisë</w:t>
            </w:r>
          </w:p>
        </w:tc>
        <w:tc>
          <w:tcPr>
            <w:tcW w:w="1184" w:type="dxa"/>
            <w:tcBorders>
              <w:top w:val="single" w:sz="4" w:space="0" w:color="auto"/>
              <w:left w:val="single" w:sz="4" w:space="0" w:color="auto"/>
              <w:bottom w:val="single" w:sz="4" w:space="0" w:color="auto"/>
              <w:right w:val="single" w:sz="4" w:space="0" w:color="auto"/>
            </w:tcBorders>
            <w:hideMark/>
          </w:tcPr>
          <w:p w14:paraId="171AA150" w14:textId="77777777" w:rsidR="00BA42E3" w:rsidRPr="00724C01" w:rsidRDefault="00BA42E3" w:rsidP="00724C01">
            <w:pPr>
              <w:jc w:val="left"/>
              <w:rPr>
                <w:b/>
                <w:bCs/>
                <w:sz w:val="20"/>
                <w:szCs w:val="20"/>
                <w:lang w:eastAsia="de-DE"/>
              </w:rPr>
            </w:pPr>
            <w:r w:rsidRPr="00724C01">
              <w:rPr>
                <w:b/>
                <w:bCs/>
                <w:color w:val="C00000"/>
                <w:sz w:val="20"/>
                <w:szCs w:val="20"/>
                <w:lang w:eastAsia="de-DE"/>
              </w:rPr>
              <w:t>52%</w:t>
            </w:r>
          </w:p>
        </w:tc>
        <w:tc>
          <w:tcPr>
            <w:tcW w:w="1134" w:type="dxa"/>
            <w:tcBorders>
              <w:top w:val="single" w:sz="4" w:space="0" w:color="auto"/>
              <w:left w:val="single" w:sz="4" w:space="0" w:color="auto"/>
              <w:bottom w:val="single" w:sz="4" w:space="0" w:color="auto"/>
              <w:right w:val="single" w:sz="4" w:space="0" w:color="auto"/>
            </w:tcBorders>
          </w:tcPr>
          <w:p w14:paraId="6D92088F" w14:textId="793A8245" w:rsidR="00BA42E3" w:rsidRPr="00724C01" w:rsidRDefault="00F57FB8" w:rsidP="00724C01">
            <w:pPr>
              <w:jc w:val="left"/>
              <w:rPr>
                <w:b/>
                <w:bCs/>
                <w:color w:val="808080" w:themeColor="background1" w:themeShade="80"/>
                <w:sz w:val="20"/>
                <w:szCs w:val="20"/>
                <w:lang w:eastAsia="de-DE"/>
              </w:rPr>
            </w:pPr>
            <w:r w:rsidRPr="00724C01">
              <w:rPr>
                <w:b/>
                <w:bCs/>
                <w:color w:val="808080" w:themeColor="background1" w:themeShade="80"/>
                <w:sz w:val="20"/>
                <w:szCs w:val="20"/>
                <w:lang w:eastAsia="de-DE"/>
              </w:rPr>
              <w:t>59.4%</w:t>
            </w:r>
          </w:p>
        </w:tc>
        <w:tc>
          <w:tcPr>
            <w:tcW w:w="1134" w:type="dxa"/>
            <w:tcBorders>
              <w:top w:val="single" w:sz="4" w:space="0" w:color="auto"/>
              <w:left w:val="single" w:sz="4" w:space="0" w:color="auto"/>
              <w:bottom w:val="single" w:sz="4" w:space="0" w:color="auto"/>
              <w:right w:val="single" w:sz="4" w:space="0" w:color="auto"/>
            </w:tcBorders>
            <w:hideMark/>
          </w:tcPr>
          <w:p w14:paraId="73AB3E9E" w14:textId="39C8F5FF" w:rsidR="00BA42E3" w:rsidRPr="00724C01" w:rsidRDefault="00BA42E3" w:rsidP="00724C01">
            <w:pPr>
              <w:jc w:val="left"/>
              <w:rPr>
                <w:color w:val="808080" w:themeColor="background1" w:themeShade="80"/>
                <w:sz w:val="20"/>
                <w:szCs w:val="20"/>
                <w:lang w:eastAsia="de-DE"/>
              </w:rPr>
            </w:pPr>
            <w:r w:rsidRPr="00724C01">
              <w:rPr>
                <w:b/>
                <w:bCs/>
                <w:color w:val="808080" w:themeColor="background1" w:themeShade="80"/>
                <w:sz w:val="20"/>
                <w:szCs w:val="20"/>
                <w:lang w:eastAsia="de-DE"/>
              </w:rPr>
              <w:t>37.1</w:t>
            </w:r>
          </w:p>
        </w:tc>
        <w:tc>
          <w:tcPr>
            <w:tcW w:w="1134" w:type="dxa"/>
            <w:tcBorders>
              <w:top w:val="single" w:sz="4" w:space="0" w:color="auto"/>
              <w:left w:val="single" w:sz="4" w:space="0" w:color="auto"/>
              <w:bottom w:val="single" w:sz="4" w:space="0" w:color="auto"/>
              <w:right w:val="single" w:sz="4" w:space="0" w:color="auto"/>
            </w:tcBorders>
            <w:hideMark/>
          </w:tcPr>
          <w:p w14:paraId="0B8E3B52" w14:textId="77777777" w:rsidR="00BA42E3" w:rsidRPr="00724C01" w:rsidRDefault="00BA42E3" w:rsidP="00724C01">
            <w:pPr>
              <w:jc w:val="left"/>
              <w:rPr>
                <w:color w:val="808080" w:themeColor="background1" w:themeShade="80"/>
                <w:sz w:val="20"/>
                <w:szCs w:val="20"/>
                <w:lang w:eastAsia="de-DE"/>
              </w:rPr>
            </w:pPr>
            <w:r w:rsidRPr="00724C01">
              <w:rPr>
                <w:color w:val="808080" w:themeColor="background1" w:themeShade="80"/>
                <w:sz w:val="20"/>
                <w:szCs w:val="20"/>
                <w:lang w:eastAsia="de-DE"/>
              </w:rPr>
              <w:t>27.6</w:t>
            </w:r>
          </w:p>
        </w:tc>
        <w:tc>
          <w:tcPr>
            <w:tcW w:w="1105" w:type="dxa"/>
            <w:tcBorders>
              <w:top w:val="single" w:sz="4" w:space="0" w:color="auto"/>
              <w:left w:val="single" w:sz="4" w:space="0" w:color="auto"/>
              <w:bottom w:val="single" w:sz="4" w:space="0" w:color="auto"/>
              <w:right w:val="single" w:sz="4" w:space="0" w:color="auto"/>
            </w:tcBorders>
            <w:hideMark/>
          </w:tcPr>
          <w:p w14:paraId="6A867F72" w14:textId="77777777" w:rsidR="00BA42E3" w:rsidRPr="00724C01" w:rsidRDefault="00BA42E3" w:rsidP="00724C01">
            <w:pPr>
              <w:jc w:val="left"/>
              <w:rPr>
                <w:b/>
                <w:bCs/>
                <w:color w:val="C00000"/>
                <w:sz w:val="20"/>
                <w:szCs w:val="20"/>
                <w:lang w:eastAsia="de-DE"/>
              </w:rPr>
            </w:pPr>
            <w:r w:rsidRPr="00724C01">
              <w:rPr>
                <w:b/>
                <w:bCs/>
                <w:color w:val="C00000"/>
                <w:sz w:val="20"/>
                <w:szCs w:val="20"/>
                <w:lang w:eastAsia="de-DE"/>
              </w:rPr>
              <w:t>57.1%</w:t>
            </w:r>
          </w:p>
        </w:tc>
        <w:tc>
          <w:tcPr>
            <w:tcW w:w="1163" w:type="dxa"/>
            <w:tcBorders>
              <w:top w:val="single" w:sz="4" w:space="0" w:color="auto"/>
              <w:left w:val="single" w:sz="4" w:space="0" w:color="auto"/>
              <w:bottom w:val="single" w:sz="4" w:space="0" w:color="auto"/>
              <w:right w:val="single" w:sz="4" w:space="0" w:color="auto"/>
            </w:tcBorders>
            <w:hideMark/>
          </w:tcPr>
          <w:p w14:paraId="44D41D44" w14:textId="77777777" w:rsidR="00BA42E3" w:rsidRPr="00724C01" w:rsidRDefault="00BA42E3" w:rsidP="00724C01">
            <w:pPr>
              <w:jc w:val="left"/>
              <w:rPr>
                <w:color w:val="808080" w:themeColor="background1" w:themeShade="80"/>
                <w:sz w:val="20"/>
                <w:szCs w:val="20"/>
                <w:lang w:eastAsia="de-DE"/>
              </w:rPr>
            </w:pPr>
            <w:r w:rsidRPr="00724C01">
              <w:rPr>
                <w:color w:val="808080" w:themeColor="background1" w:themeShade="80"/>
                <w:sz w:val="20"/>
                <w:szCs w:val="20"/>
                <w:lang w:eastAsia="de-DE"/>
              </w:rPr>
              <w:t>66.7</w:t>
            </w:r>
          </w:p>
        </w:tc>
      </w:tr>
      <w:tr w:rsidR="00BA42E3" w:rsidRPr="00FF756A" w14:paraId="73CB0801" w14:textId="77777777" w:rsidTr="00460655">
        <w:tc>
          <w:tcPr>
            <w:tcW w:w="3235" w:type="dxa"/>
            <w:tcBorders>
              <w:top w:val="single" w:sz="4" w:space="0" w:color="auto"/>
              <w:left w:val="single" w:sz="4" w:space="0" w:color="auto"/>
              <w:bottom w:val="single" w:sz="4" w:space="0" w:color="auto"/>
              <w:right w:val="single" w:sz="4" w:space="0" w:color="auto"/>
            </w:tcBorders>
            <w:hideMark/>
          </w:tcPr>
          <w:p w14:paraId="27BEACD7" w14:textId="6DB82F0B" w:rsidR="00BA42E3" w:rsidRPr="00421ABB" w:rsidRDefault="00BA42E3">
            <w:pPr>
              <w:jc w:val="left"/>
              <w:rPr>
                <w:sz w:val="18"/>
                <w:szCs w:val="18"/>
                <w:lang w:eastAsia="de-DE"/>
              </w:rPr>
            </w:pPr>
            <w:r w:rsidRPr="00421ABB">
              <w:rPr>
                <w:sz w:val="18"/>
                <w:szCs w:val="18"/>
                <w:lang w:eastAsia="de-DE"/>
              </w:rPr>
              <w:t>Pikësynimi për kontributin kombëtar në efiçencën e energjisë:</w:t>
            </w:r>
          </w:p>
        </w:tc>
        <w:tc>
          <w:tcPr>
            <w:tcW w:w="1184" w:type="dxa"/>
            <w:tcBorders>
              <w:top w:val="single" w:sz="4" w:space="0" w:color="auto"/>
              <w:left w:val="single" w:sz="4" w:space="0" w:color="auto"/>
              <w:bottom w:val="single" w:sz="4" w:space="0" w:color="auto"/>
              <w:right w:val="single" w:sz="4" w:space="0" w:color="auto"/>
            </w:tcBorders>
          </w:tcPr>
          <w:p w14:paraId="0F5EF648" w14:textId="77777777" w:rsidR="00BA42E3" w:rsidRPr="00724C01" w:rsidRDefault="00BA42E3" w:rsidP="00724C01">
            <w:pPr>
              <w:jc w:val="left"/>
              <w:rPr>
                <w:sz w:val="20"/>
                <w:szCs w:val="20"/>
                <w:lang w:eastAsia="de-DE"/>
              </w:rPr>
            </w:pPr>
          </w:p>
        </w:tc>
        <w:tc>
          <w:tcPr>
            <w:tcW w:w="5670" w:type="dxa"/>
            <w:gridSpan w:val="5"/>
            <w:tcBorders>
              <w:top w:val="single" w:sz="4" w:space="0" w:color="auto"/>
              <w:left w:val="single" w:sz="4" w:space="0" w:color="auto"/>
              <w:bottom w:val="single" w:sz="4" w:space="0" w:color="auto"/>
              <w:right w:val="single" w:sz="4" w:space="0" w:color="auto"/>
            </w:tcBorders>
          </w:tcPr>
          <w:p w14:paraId="58F96CAD" w14:textId="2EC67ABA" w:rsidR="00BA42E3" w:rsidRPr="00724C01" w:rsidRDefault="00BA42E3" w:rsidP="00724C01">
            <w:pPr>
              <w:jc w:val="left"/>
              <w:rPr>
                <w:sz w:val="20"/>
                <w:szCs w:val="20"/>
                <w:lang w:eastAsia="de-DE"/>
              </w:rPr>
            </w:pPr>
          </w:p>
        </w:tc>
      </w:tr>
      <w:tr w:rsidR="00BA42E3" w:rsidRPr="00FF756A" w14:paraId="212AEE4B" w14:textId="77777777" w:rsidTr="00460655">
        <w:tc>
          <w:tcPr>
            <w:tcW w:w="3235" w:type="dxa"/>
            <w:tcBorders>
              <w:top w:val="single" w:sz="4" w:space="0" w:color="auto"/>
              <w:left w:val="single" w:sz="4" w:space="0" w:color="auto"/>
              <w:bottom w:val="single" w:sz="4" w:space="0" w:color="auto"/>
              <w:right w:val="single" w:sz="4" w:space="0" w:color="auto"/>
            </w:tcBorders>
            <w:hideMark/>
          </w:tcPr>
          <w:p w14:paraId="4EFF026D" w14:textId="4DF1B680" w:rsidR="00BA42E3" w:rsidRPr="00421ABB" w:rsidRDefault="00BA42E3">
            <w:pPr>
              <w:jc w:val="left"/>
              <w:rPr>
                <w:sz w:val="18"/>
                <w:szCs w:val="18"/>
                <w:lang w:eastAsia="de-DE"/>
              </w:rPr>
            </w:pPr>
            <w:r w:rsidRPr="00421ABB">
              <w:rPr>
                <w:sz w:val="18"/>
                <w:szCs w:val="18"/>
                <w:lang w:eastAsia="de-DE"/>
              </w:rPr>
              <w:t>Përqindja maksimale e konsumit primar të energjisë (Mtoe)</w:t>
            </w:r>
          </w:p>
        </w:tc>
        <w:tc>
          <w:tcPr>
            <w:tcW w:w="1184" w:type="dxa"/>
            <w:tcBorders>
              <w:top w:val="single" w:sz="4" w:space="0" w:color="auto"/>
              <w:left w:val="single" w:sz="4" w:space="0" w:color="auto"/>
              <w:bottom w:val="single" w:sz="4" w:space="0" w:color="auto"/>
              <w:right w:val="single" w:sz="4" w:space="0" w:color="auto"/>
            </w:tcBorders>
            <w:hideMark/>
          </w:tcPr>
          <w:p w14:paraId="280CF760" w14:textId="77777777" w:rsidR="00BA42E3" w:rsidRPr="00724C01" w:rsidRDefault="00BA42E3" w:rsidP="00724C01">
            <w:pPr>
              <w:jc w:val="left"/>
              <w:rPr>
                <w:b/>
                <w:bCs/>
                <w:sz w:val="20"/>
                <w:szCs w:val="20"/>
                <w:lang w:eastAsia="de-DE"/>
              </w:rPr>
            </w:pPr>
            <w:r w:rsidRPr="00724C01">
              <w:rPr>
                <w:b/>
                <w:bCs/>
                <w:color w:val="C00000"/>
                <w:sz w:val="20"/>
                <w:szCs w:val="20"/>
                <w:lang w:eastAsia="de-DE"/>
              </w:rPr>
              <w:t>2.60</w:t>
            </w:r>
          </w:p>
        </w:tc>
        <w:tc>
          <w:tcPr>
            <w:tcW w:w="1134" w:type="dxa"/>
            <w:tcBorders>
              <w:top w:val="single" w:sz="4" w:space="0" w:color="auto"/>
              <w:left w:val="single" w:sz="4" w:space="0" w:color="auto"/>
              <w:bottom w:val="single" w:sz="4" w:space="0" w:color="auto"/>
              <w:right w:val="single" w:sz="4" w:space="0" w:color="auto"/>
            </w:tcBorders>
          </w:tcPr>
          <w:p w14:paraId="16F6A05E" w14:textId="63718914" w:rsidR="00BA42E3" w:rsidRPr="00724C01" w:rsidRDefault="00724C01" w:rsidP="00724C01">
            <w:pPr>
              <w:jc w:val="left"/>
              <w:rPr>
                <w:color w:val="808080" w:themeColor="background1" w:themeShade="80"/>
                <w:sz w:val="18"/>
                <w:szCs w:val="18"/>
                <w:lang w:eastAsia="de-DE"/>
              </w:rPr>
            </w:pPr>
            <w:r w:rsidRPr="00724C01">
              <w:rPr>
                <w:color w:val="808080" w:themeColor="background1" w:themeShade="80"/>
                <w:sz w:val="18"/>
                <w:szCs w:val="18"/>
                <w:lang w:eastAsia="de-DE"/>
              </w:rPr>
              <w:t>I pa adresuar në PKEK miratuar në Dhejtor 2021</w:t>
            </w:r>
          </w:p>
        </w:tc>
        <w:tc>
          <w:tcPr>
            <w:tcW w:w="1134" w:type="dxa"/>
            <w:tcBorders>
              <w:top w:val="single" w:sz="4" w:space="0" w:color="auto"/>
              <w:left w:val="single" w:sz="4" w:space="0" w:color="auto"/>
              <w:bottom w:val="single" w:sz="4" w:space="0" w:color="auto"/>
              <w:right w:val="single" w:sz="4" w:space="0" w:color="auto"/>
            </w:tcBorders>
            <w:hideMark/>
          </w:tcPr>
          <w:p w14:paraId="147AE74F" w14:textId="156D2379" w:rsidR="00BA42E3" w:rsidRPr="00724C01" w:rsidRDefault="00BA42E3" w:rsidP="00724C01">
            <w:pPr>
              <w:jc w:val="left"/>
              <w:rPr>
                <w:color w:val="808080" w:themeColor="background1" w:themeShade="80"/>
                <w:sz w:val="20"/>
                <w:szCs w:val="20"/>
                <w:lang w:eastAsia="de-DE"/>
              </w:rPr>
            </w:pPr>
            <w:r w:rsidRPr="00724C01">
              <w:rPr>
                <w:color w:val="808080" w:themeColor="background1" w:themeShade="80"/>
                <w:sz w:val="20"/>
                <w:szCs w:val="20"/>
                <w:lang w:eastAsia="de-DE"/>
              </w:rPr>
              <w:t>2.57</w:t>
            </w:r>
          </w:p>
        </w:tc>
        <w:tc>
          <w:tcPr>
            <w:tcW w:w="1134" w:type="dxa"/>
            <w:tcBorders>
              <w:top w:val="single" w:sz="4" w:space="0" w:color="auto"/>
              <w:left w:val="single" w:sz="4" w:space="0" w:color="auto"/>
              <w:bottom w:val="single" w:sz="4" w:space="0" w:color="auto"/>
              <w:right w:val="single" w:sz="4" w:space="0" w:color="auto"/>
            </w:tcBorders>
            <w:hideMark/>
          </w:tcPr>
          <w:p w14:paraId="4A087579" w14:textId="77777777" w:rsidR="00BA42E3" w:rsidRPr="00724C01" w:rsidRDefault="00BA42E3" w:rsidP="00724C01">
            <w:pPr>
              <w:jc w:val="left"/>
              <w:rPr>
                <w:color w:val="808080" w:themeColor="background1" w:themeShade="80"/>
                <w:sz w:val="20"/>
                <w:szCs w:val="20"/>
                <w:lang w:eastAsia="de-DE"/>
              </w:rPr>
            </w:pPr>
            <w:r w:rsidRPr="00724C01">
              <w:rPr>
                <w:color w:val="808080" w:themeColor="background1" w:themeShade="80"/>
                <w:sz w:val="20"/>
                <w:szCs w:val="20"/>
                <w:lang w:eastAsia="de-DE"/>
              </w:rPr>
              <w:t>4.18</w:t>
            </w:r>
          </w:p>
        </w:tc>
        <w:tc>
          <w:tcPr>
            <w:tcW w:w="1105" w:type="dxa"/>
            <w:tcBorders>
              <w:top w:val="single" w:sz="4" w:space="0" w:color="auto"/>
              <w:left w:val="single" w:sz="4" w:space="0" w:color="auto"/>
              <w:bottom w:val="single" w:sz="4" w:space="0" w:color="auto"/>
              <w:right w:val="single" w:sz="4" w:space="0" w:color="auto"/>
            </w:tcBorders>
            <w:hideMark/>
          </w:tcPr>
          <w:p w14:paraId="418F9081" w14:textId="77777777" w:rsidR="00BA42E3" w:rsidRPr="00724C01" w:rsidRDefault="00BA42E3" w:rsidP="00724C01">
            <w:pPr>
              <w:jc w:val="left"/>
              <w:rPr>
                <w:b/>
                <w:bCs/>
                <w:sz w:val="20"/>
                <w:szCs w:val="20"/>
                <w:lang w:eastAsia="de-DE"/>
              </w:rPr>
            </w:pPr>
            <w:r w:rsidRPr="00724C01">
              <w:rPr>
                <w:b/>
                <w:bCs/>
                <w:color w:val="C00000"/>
                <w:sz w:val="20"/>
                <w:szCs w:val="20"/>
                <w:lang w:eastAsia="de-DE"/>
              </w:rPr>
              <w:t>2.43</w:t>
            </w:r>
          </w:p>
        </w:tc>
        <w:tc>
          <w:tcPr>
            <w:tcW w:w="1163" w:type="dxa"/>
            <w:tcBorders>
              <w:top w:val="single" w:sz="4" w:space="0" w:color="auto"/>
              <w:left w:val="single" w:sz="4" w:space="0" w:color="auto"/>
              <w:bottom w:val="single" w:sz="4" w:space="0" w:color="auto"/>
              <w:right w:val="single" w:sz="4" w:space="0" w:color="auto"/>
            </w:tcBorders>
            <w:hideMark/>
          </w:tcPr>
          <w:p w14:paraId="3BA76DC5" w14:textId="77777777" w:rsidR="00BA42E3" w:rsidRPr="00724C01" w:rsidRDefault="00BA42E3" w:rsidP="00724C01">
            <w:pPr>
              <w:jc w:val="left"/>
              <w:rPr>
                <w:color w:val="808080" w:themeColor="background1" w:themeShade="80"/>
                <w:sz w:val="20"/>
                <w:szCs w:val="20"/>
                <w:lang w:eastAsia="de-DE"/>
              </w:rPr>
            </w:pPr>
            <w:r w:rsidRPr="00724C01">
              <w:rPr>
                <w:color w:val="808080" w:themeColor="background1" w:themeShade="80"/>
                <w:sz w:val="20"/>
                <w:szCs w:val="20"/>
                <w:lang w:eastAsia="de-DE"/>
              </w:rPr>
              <w:t>3.15</w:t>
            </w:r>
          </w:p>
        </w:tc>
      </w:tr>
      <w:tr w:rsidR="00BA42E3" w:rsidRPr="00FF756A" w14:paraId="1BDA80D2" w14:textId="77777777" w:rsidTr="00460655">
        <w:tc>
          <w:tcPr>
            <w:tcW w:w="3235" w:type="dxa"/>
            <w:tcBorders>
              <w:top w:val="single" w:sz="4" w:space="0" w:color="auto"/>
              <w:left w:val="single" w:sz="4" w:space="0" w:color="auto"/>
              <w:bottom w:val="single" w:sz="4" w:space="0" w:color="auto"/>
              <w:right w:val="single" w:sz="4" w:space="0" w:color="auto"/>
            </w:tcBorders>
            <w:hideMark/>
          </w:tcPr>
          <w:p w14:paraId="070470EA" w14:textId="4CF32FEE" w:rsidR="00BA42E3" w:rsidRPr="00421ABB" w:rsidRDefault="00BA42E3">
            <w:pPr>
              <w:jc w:val="left"/>
              <w:rPr>
                <w:sz w:val="18"/>
                <w:szCs w:val="18"/>
                <w:lang w:eastAsia="de-DE"/>
              </w:rPr>
            </w:pPr>
            <w:r w:rsidRPr="00421ABB">
              <w:rPr>
                <w:sz w:val="18"/>
                <w:szCs w:val="18"/>
                <w:lang w:eastAsia="de-DE"/>
              </w:rPr>
              <w:t>Përqindja maksimale e konsumit final të energjisë (Mtoe)</w:t>
            </w:r>
          </w:p>
        </w:tc>
        <w:tc>
          <w:tcPr>
            <w:tcW w:w="1184" w:type="dxa"/>
            <w:tcBorders>
              <w:top w:val="single" w:sz="4" w:space="0" w:color="auto"/>
              <w:left w:val="single" w:sz="4" w:space="0" w:color="auto"/>
              <w:bottom w:val="single" w:sz="4" w:space="0" w:color="auto"/>
              <w:right w:val="single" w:sz="4" w:space="0" w:color="auto"/>
            </w:tcBorders>
            <w:hideMark/>
          </w:tcPr>
          <w:p w14:paraId="506C874A" w14:textId="77777777" w:rsidR="00BA42E3" w:rsidRPr="00724C01" w:rsidRDefault="00BA42E3" w:rsidP="00724C01">
            <w:pPr>
              <w:jc w:val="left"/>
              <w:rPr>
                <w:b/>
                <w:bCs/>
                <w:sz w:val="20"/>
                <w:szCs w:val="20"/>
                <w:lang w:eastAsia="de-DE"/>
              </w:rPr>
            </w:pPr>
            <w:r w:rsidRPr="00724C01">
              <w:rPr>
                <w:b/>
                <w:bCs/>
                <w:color w:val="C00000"/>
                <w:sz w:val="20"/>
                <w:szCs w:val="20"/>
                <w:lang w:eastAsia="de-DE"/>
              </w:rPr>
              <w:t>2.40</w:t>
            </w:r>
          </w:p>
        </w:tc>
        <w:tc>
          <w:tcPr>
            <w:tcW w:w="1134" w:type="dxa"/>
            <w:tcBorders>
              <w:top w:val="single" w:sz="4" w:space="0" w:color="auto"/>
              <w:left w:val="single" w:sz="4" w:space="0" w:color="auto"/>
              <w:bottom w:val="single" w:sz="4" w:space="0" w:color="auto"/>
              <w:right w:val="single" w:sz="4" w:space="0" w:color="auto"/>
            </w:tcBorders>
          </w:tcPr>
          <w:p w14:paraId="229D6679" w14:textId="6729956B" w:rsidR="00BA42E3" w:rsidRPr="00724C01" w:rsidRDefault="00724C01" w:rsidP="00724C01">
            <w:pPr>
              <w:jc w:val="left"/>
              <w:rPr>
                <w:color w:val="808080" w:themeColor="background1" w:themeShade="80"/>
                <w:sz w:val="20"/>
                <w:szCs w:val="20"/>
                <w:lang w:eastAsia="de-DE"/>
              </w:rPr>
            </w:pPr>
            <w:r>
              <w:rPr>
                <w:color w:val="808080" w:themeColor="background1" w:themeShade="80"/>
                <w:sz w:val="20"/>
                <w:szCs w:val="20"/>
                <w:lang w:eastAsia="de-DE"/>
              </w:rPr>
              <w:t>2.34</w:t>
            </w:r>
          </w:p>
        </w:tc>
        <w:tc>
          <w:tcPr>
            <w:tcW w:w="1134" w:type="dxa"/>
            <w:tcBorders>
              <w:top w:val="single" w:sz="4" w:space="0" w:color="auto"/>
              <w:left w:val="single" w:sz="4" w:space="0" w:color="auto"/>
              <w:bottom w:val="single" w:sz="4" w:space="0" w:color="auto"/>
              <w:right w:val="single" w:sz="4" w:space="0" w:color="auto"/>
            </w:tcBorders>
            <w:hideMark/>
          </w:tcPr>
          <w:p w14:paraId="6E8F0A41" w14:textId="477D07B4" w:rsidR="00BA42E3" w:rsidRPr="00724C01" w:rsidRDefault="00BA42E3" w:rsidP="00724C01">
            <w:pPr>
              <w:jc w:val="left"/>
              <w:rPr>
                <w:color w:val="808080" w:themeColor="background1" w:themeShade="80"/>
                <w:sz w:val="20"/>
                <w:szCs w:val="20"/>
                <w:lang w:eastAsia="de-DE"/>
              </w:rPr>
            </w:pPr>
            <w:r w:rsidRPr="00724C01">
              <w:rPr>
                <w:color w:val="808080" w:themeColor="background1" w:themeShade="80"/>
                <w:sz w:val="20"/>
                <w:szCs w:val="20"/>
                <w:lang w:eastAsia="de-DE"/>
              </w:rPr>
              <w:t>2.38</w:t>
            </w:r>
          </w:p>
        </w:tc>
        <w:tc>
          <w:tcPr>
            <w:tcW w:w="1134" w:type="dxa"/>
            <w:tcBorders>
              <w:top w:val="single" w:sz="4" w:space="0" w:color="auto"/>
              <w:left w:val="single" w:sz="4" w:space="0" w:color="auto"/>
              <w:bottom w:val="single" w:sz="4" w:space="0" w:color="auto"/>
              <w:right w:val="single" w:sz="4" w:space="0" w:color="auto"/>
            </w:tcBorders>
            <w:hideMark/>
          </w:tcPr>
          <w:p w14:paraId="008960CB" w14:textId="77777777" w:rsidR="00BA42E3" w:rsidRPr="00724C01" w:rsidRDefault="00BA42E3" w:rsidP="00724C01">
            <w:pPr>
              <w:jc w:val="left"/>
              <w:rPr>
                <w:color w:val="808080" w:themeColor="background1" w:themeShade="80"/>
                <w:sz w:val="20"/>
                <w:szCs w:val="20"/>
                <w:lang w:eastAsia="de-DE"/>
              </w:rPr>
            </w:pPr>
            <w:r w:rsidRPr="00724C01">
              <w:rPr>
                <w:color w:val="808080" w:themeColor="background1" w:themeShade="80"/>
                <w:sz w:val="20"/>
                <w:szCs w:val="20"/>
                <w:lang w:eastAsia="de-DE"/>
              </w:rPr>
              <w:t>3.86</w:t>
            </w:r>
          </w:p>
        </w:tc>
        <w:tc>
          <w:tcPr>
            <w:tcW w:w="1105" w:type="dxa"/>
            <w:tcBorders>
              <w:top w:val="single" w:sz="4" w:space="0" w:color="auto"/>
              <w:left w:val="single" w:sz="4" w:space="0" w:color="auto"/>
              <w:bottom w:val="single" w:sz="4" w:space="0" w:color="auto"/>
              <w:right w:val="single" w:sz="4" w:space="0" w:color="auto"/>
            </w:tcBorders>
            <w:hideMark/>
          </w:tcPr>
          <w:p w14:paraId="315304EB" w14:textId="77777777" w:rsidR="00BA42E3" w:rsidRPr="00724C01" w:rsidRDefault="00BA42E3" w:rsidP="00724C01">
            <w:pPr>
              <w:jc w:val="left"/>
              <w:rPr>
                <w:b/>
                <w:bCs/>
                <w:sz w:val="20"/>
                <w:szCs w:val="20"/>
                <w:lang w:eastAsia="de-DE"/>
              </w:rPr>
            </w:pPr>
            <w:r w:rsidRPr="00724C01">
              <w:rPr>
                <w:b/>
                <w:bCs/>
                <w:color w:val="C00000"/>
                <w:sz w:val="20"/>
                <w:szCs w:val="20"/>
                <w:lang w:eastAsia="de-DE"/>
              </w:rPr>
              <w:t>2.25</w:t>
            </w:r>
          </w:p>
        </w:tc>
        <w:tc>
          <w:tcPr>
            <w:tcW w:w="1163" w:type="dxa"/>
            <w:tcBorders>
              <w:top w:val="single" w:sz="4" w:space="0" w:color="auto"/>
              <w:left w:val="single" w:sz="4" w:space="0" w:color="auto"/>
              <w:bottom w:val="single" w:sz="4" w:space="0" w:color="auto"/>
              <w:right w:val="single" w:sz="4" w:space="0" w:color="auto"/>
            </w:tcBorders>
            <w:hideMark/>
          </w:tcPr>
          <w:p w14:paraId="58F0758D" w14:textId="77777777" w:rsidR="00BA42E3" w:rsidRPr="00724C01" w:rsidRDefault="00BA42E3" w:rsidP="00724C01">
            <w:pPr>
              <w:jc w:val="left"/>
              <w:rPr>
                <w:color w:val="808080" w:themeColor="background1" w:themeShade="80"/>
                <w:sz w:val="20"/>
                <w:szCs w:val="20"/>
                <w:lang w:eastAsia="de-DE"/>
              </w:rPr>
            </w:pPr>
            <w:r w:rsidRPr="00724C01">
              <w:rPr>
                <w:color w:val="808080" w:themeColor="background1" w:themeShade="80"/>
                <w:sz w:val="20"/>
                <w:szCs w:val="20"/>
                <w:lang w:eastAsia="de-DE"/>
              </w:rPr>
              <w:t>2.76</w:t>
            </w:r>
          </w:p>
        </w:tc>
      </w:tr>
      <w:tr w:rsidR="00BA42E3" w:rsidRPr="00FF756A" w14:paraId="32ADE1D0" w14:textId="77777777" w:rsidTr="00460655">
        <w:tc>
          <w:tcPr>
            <w:tcW w:w="3235" w:type="dxa"/>
            <w:tcBorders>
              <w:top w:val="single" w:sz="4" w:space="0" w:color="auto"/>
              <w:left w:val="single" w:sz="4" w:space="0" w:color="auto"/>
              <w:bottom w:val="single" w:sz="4" w:space="0" w:color="auto"/>
              <w:right w:val="single" w:sz="4" w:space="0" w:color="auto"/>
            </w:tcBorders>
            <w:hideMark/>
          </w:tcPr>
          <w:p w14:paraId="288CCB50" w14:textId="360F4BF5" w:rsidR="00BA42E3" w:rsidRPr="00421ABB" w:rsidRDefault="00BA42E3">
            <w:pPr>
              <w:jc w:val="left"/>
              <w:rPr>
                <w:sz w:val="18"/>
                <w:szCs w:val="18"/>
                <w:lang w:eastAsia="de-DE"/>
              </w:rPr>
            </w:pPr>
            <w:r w:rsidRPr="00421ABB">
              <w:rPr>
                <w:sz w:val="18"/>
                <w:szCs w:val="18"/>
                <w:lang w:eastAsia="de-DE"/>
              </w:rPr>
              <w:t xml:space="preserve">Pikësynimi për shkarkimet  neto të gazeve serrë </w:t>
            </w:r>
            <w:r w:rsidRPr="00421ABB">
              <w:rPr>
                <w:sz w:val="18"/>
                <w:szCs w:val="18"/>
                <w:vertAlign w:val="superscript"/>
                <w:lang w:eastAsia="de-DE"/>
              </w:rPr>
              <w:t xml:space="preserve">1  </w:t>
            </w:r>
            <w:r w:rsidRPr="00421ABB">
              <w:rPr>
                <w:sz w:val="18"/>
                <w:szCs w:val="18"/>
                <w:lang w:eastAsia="de-DE"/>
              </w:rPr>
              <w:t>në 2030 krahasuar me nivelet e vitit 1990: ulja në (%) nën nivelet e vitit 1990</w:t>
            </w:r>
          </w:p>
        </w:tc>
        <w:tc>
          <w:tcPr>
            <w:tcW w:w="1184" w:type="dxa"/>
            <w:tcBorders>
              <w:top w:val="single" w:sz="4" w:space="0" w:color="auto"/>
              <w:left w:val="single" w:sz="4" w:space="0" w:color="auto"/>
              <w:bottom w:val="single" w:sz="4" w:space="0" w:color="auto"/>
              <w:right w:val="single" w:sz="4" w:space="0" w:color="auto"/>
            </w:tcBorders>
            <w:hideMark/>
          </w:tcPr>
          <w:p w14:paraId="3C60796E" w14:textId="77777777" w:rsidR="00BA42E3" w:rsidRPr="00724C01" w:rsidRDefault="00BA42E3" w:rsidP="00724C01">
            <w:pPr>
              <w:jc w:val="left"/>
              <w:rPr>
                <w:b/>
                <w:bCs/>
                <w:color w:val="C00000"/>
                <w:sz w:val="20"/>
                <w:szCs w:val="20"/>
                <w:lang w:eastAsia="de-DE"/>
              </w:rPr>
            </w:pPr>
            <w:r w:rsidRPr="00724C01">
              <w:rPr>
                <w:b/>
                <w:bCs/>
                <w:color w:val="C00000"/>
                <w:sz w:val="20"/>
                <w:szCs w:val="20"/>
                <w:lang w:eastAsia="de-DE"/>
              </w:rPr>
              <w:t>+53,2%</w:t>
            </w:r>
          </w:p>
          <w:p w14:paraId="5C1F41BB" w14:textId="77777777" w:rsidR="00BA42E3" w:rsidRPr="00724C01" w:rsidRDefault="00BA42E3" w:rsidP="00724C01">
            <w:pPr>
              <w:jc w:val="left"/>
              <w:rPr>
                <w:b/>
                <w:bCs/>
                <w:color w:val="C00000"/>
                <w:sz w:val="20"/>
                <w:szCs w:val="20"/>
                <w:lang w:eastAsia="de-DE"/>
              </w:rPr>
            </w:pPr>
            <w:r w:rsidRPr="00724C01">
              <w:rPr>
                <w:b/>
                <w:bCs/>
                <w:color w:val="C00000"/>
                <w:sz w:val="20"/>
                <w:szCs w:val="20"/>
                <w:lang w:eastAsia="de-DE"/>
              </w:rPr>
              <w:t>12.00</w:t>
            </w:r>
          </w:p>
          <w:p w14:paraId="36299BCB" w14:textId="77777777" w:rsidR="00BA42E3" w:rsidRPr="00724C01" w:rsidRDefault="00BA42E3" w:rsidP="00724C01">
            <w:pPr>
              <w:jc w:val="left"/>
              <w:rPr>
                <w:b/>
                <w:bCs/>
                <w:sz w:val="20"/>
                <w:szCs w:val="20"/>
                <w:lang w:eastAsia="de-DE"/>
              </w:rPr>
            </w:pPr>
            <w:r w:rsidRPr="00724C01">
              <w:rPr>
                <w:b/>
                <w:bCs/>
                <w:color w:val="C00000"/>
                <w:sz w:val="20"/>
                <w:szCs w:val="20"/>
                <w:lang w:eastAsia="de-DE"/>
              </w:rPr>
              <w:t>MtCO2e</w:t>
            </w:r>
          </w:p>
        </w:tc>
        <w:tc>
          <w:tcPr>
            <w:tcW w:w="1134" w:type="dxa"/>
            <w:tcBorders>
              <w:top w:val="single" w:sz="4" w:space="0" w:color="auto"/>
              <w:left w:val="single" w:sz="4" w:space="0" w:color="auto"/>
              <w:bottom w:val="single" w:sz="4" w:space="0" w:color="auto"/>
              <w:right w:val="single" w:sz="4" w:space="0" w:color="auto"/>
            </w:tcBorders>
          </w:tcPr>
          <w:p w14:paraId="79B48474" w14:textId="6EA4AD9F" w:rsidR="00BA42E3" w:rsidRPr="00724C01" w:rsidRDefault="00724C01" w:rsidP="00724C01">
            <w:pPr>
              <w:jc w:val="left"/>
              <w:rPr>
                <w:color w:val="808080" w:themeColor="background1" w:themeShade="80"/>
                <w:sz w:val="20"/>
                <w:szCs w:val="20"/>
                <w:lang w:eastAsia="de-DE"/>
              </w:rPr>
            </w:pPr>
            <w:r>
              <w:rPr>
                <w:color w:val="808080" w:themeColor="background1" w:themeShade="80"/>
                <w:sz w:val="20"/>
                <w:szCs w:val="20"/>
                <w:lang w:eastAsia="de-DE"/>
              </w:rPr>
              <w:t>10.21 MtCo2e</w:t>
            </w:r>
          </w:p>
        </w:tc>
        <w:tc>
          <w:tcPr>
            <w:tcW w:w="1134" w:type="dxa"/>
            <w:tcBorders>
              <w:top w:val="single" w:sz="4" w:space="0" w:color="auto"/>
              <w:left w:val="single" w:sz="4" w:space="0" w:color="auto"/>
              <w:bottom w:val="single" w:sz="4" w:space="0" w:color="auto"/>
              <w:right w:val="single" w:sz="4" w:space="0" w:color="auto"/>
            </w:tcBorders>
          </w:tcPr>
          <w:p w14:paraId="754A940F" w14:textId="4E49A10E" w:rsidR="00BA42E3" w:rsidRPr="00724C01" w:rsidRDefault="00BA42E3" w:rsidP="00724C01">
            <w:pPr>
              <w:jc w:val="left"/>
              <w:rPr>
                <w:color w:val="808080" w:themeColor="background1" w:themeShade="80"/>
                <w:sz w:val="20"/>
                <w:szCs w:val="20"/>
                <w:lang w:eastAsia="de-DE"/>
              </w:rPr>
            </w:pPr>
          </w:p>
          <w:p w14:paraId="491EF112" w14:textId="77777777" w:rsidR="00BA42E3" w:rsidRPr="00724C01" w:rsidRDefault="00BA42E3" w:rsidP="00724C01">
            <w:pPr>
              <w:jc w:val="left"/>
              <w:rPr>
                <w:color w:val="808080" w:themeColor="background1" w:themeShade="80"/>
                <w:sz w:val="20"/>
                <w:szCs w:val="20"/>
                <w:lang w:eastAsia="de-DE"/>
              </w:rPr>
            </w:pPr>
            <w:r w:rsidRPr="00724C01">
              <w:rPr>
                <w:color w:val="808080" w:themeColor="background1" w:themeShade="80"/>
                <w:sz w:val="20"/>
                <w:szCs w:val="20"/>
                <w:lang w:eastAsia="de-DE"/>
              </w:rPr>
              <w:t>11.72</w:t>
            </w:r>
          </w:p>
          <w:p w14:paraId="43130F7D" w14:textId="77777777" w:rsidR="00BA42E3" w:rsidRPr="00724C01" w:rsidRDefault="00BA42E3" w:rsidP="00724C01">
            <w:pPr>
              <w:jc w:val="left"/>
              <w:rPr>
                <w:sz w:val="20"/>
                <w:szCs w:val="20"/>
                <w:lang w:eastAsia="de-DE"/>
              </w:rPr>
            </w:pPr>
            <w:r w:rsidRPr="00724C01">
              <w:rPr>
                <w:color w:val="808080" w:themeColor="background1" w:themeShade="80"/>
                <w:sz w:val="20"/>
                <w:szCs w:val="20"/>
                <w:lang w:eastAsia="de-DE"/>
              </w:rPr>
              <w:t>MtCO2e</w:t>
            </w:r>
          </w:p>
        </w:tc>
        <w:tc>
          <w:tcPr>
            <w:tcW w:w="1134" w:type="dxa"/>
            <w:tcBorders>
              <w:top w:val="single" w:sz="4" w:space="0" w:color="auto"/>
              <w:left w:val="single" w:sz="4" w:space="0" w:color="auto"/>
              <w:bottom w:val="single" w:sz="4" w:space="0" w:color="auto"/>
              <w:right w:val="single" w:sz="4" w:space="0" w:color="auto"/>
            </w:tcBorders>
          </w:tcPr>
          <w:p w14:paraId="4D4600FB" w14:textId="77777777" w:rsidR="00BA42E3" w:rsidRPr="00724C01" w:rsidRDefault="00BA42E3" w:rsidP="00724C01">
            <w:pPr>
              <w:jc w:val="left"/>
              <w:rPr>
                <w:color w:val="808080" w:themeColor="background1" w:themeShade="80"/>
                <w:sz w:val="20"/>
                <w:szCs w:val="20"/>
                <w:lang w:eastAsia="de-DE"/>
              </w:rPr>
            </w:pPr>
          </w:p>
          <w:p w14:paraId="11A07D78" w14:textId="77777777" w:rsidR="00BA42E3" w:rsidRPr="00724C01" w:rsidRDefault="00BA42E3" w:rsidP="00724C01">
            <w:pPr>
              <w:jc w:val="left"/>
              <w:rPr>
                <w:color w:val="808080" w:themeColor="background1" w:themeShade="80"/>
                <w:sz w:val="20"/>
                <w:szCs w:val="20"/>
                <w:lang w:eastAsia="de-DE"/>
              </w:rPr>
            </w:pPr>
            <w:r w:rsidRPr="00724C01">
              <w:rPr>
                <w:color w:val="808080" w:themeColor="background1" w:themeShade="80"/>
                <w:sz w:val="20"/>
                <w:szCs w:val="20"/>
                <w:lang w:eastAsia="de-DE"/>
              </w:rPr>
              <w:t>14.91</w:t>
            </w:r>
          </w:p>
          <w:p w14:paraId="54FA27BB" w14:textId="77777777" w:rsidR="00BA42E3" w:rsidRPr="00724C01" w:rsidRDefault="00BA42E3" w:rsidP="00724C01">
            <w:pPr>
              <w:jc w:val="left"/>
              <w:rPr>
                <w:color w:val="808080" w:themeColor="background1" w:themeShade="80"/>
                <w:sz w:val="20"/>
                <w:szCs w:val="20"/>
                <w:lang w:eastAsia="de-DE"/>
              </w:rPr>
            </w:pPr>
            <w:r w:rsidRPr="00724C01">
              <w:rPr>
                <w:color w:val="808080" w:themeColor="background1" w:themeShade="80"/>
                <w:sz w:val="20"/>
                <w:szCs w:val="20"/>
                <w:lang w:eastAsia="de-DE"/>
              </w:rPr>
              <w:t>MtCO2e</w:t>
            </w:r>
          </w:p>
        </w:tc>
        <w:tc>
          <w:tcPr>
            <w:tcW w:w="1105" w:type="dxa"/>
            <w:tcBorders>
              <w:top w:val="single" w:sz="4" w:space="0" w:color="auto"/>
              <w:left w:val="single" w:sz="4" w:space="0" w:color="auto"/>
              <w:bottom w:val="single" w:sz="4" w:space="0" w:color="auto"/>
              <w:right w:val="single" w:sz="4" w:space="0" w:color="auto"/>
            </w:tcBorders>
          </w:tcPr>
          <w:p w14:paraId="1BD3012F" w14:textId="77777777" w:rsidR="00BA42E3" w:rsidRPr="00724C01" w:rsidRDefault="00BA42E3" w:rsidP="00724C01">
            <w:pPr>
              <w:jc w:val="left"/>
              <w:rPr>
                <w:b/>
                <w:bCs/>
                <w:color w:val="C00000"/>
                <w:sz w:val="20"/>
                <w:szCs w:val="20"/>
                <w:lang w:eastAsia="de-DE"/>
              </w:rPr>
            </w:pPr>
          </w:p>
          <w:p w14:paraId="08E13029" w14:textId="77777777" w:rsidR="00BA42E3" w:rsidRPr="00724C01" w:rsidRDefault="00BA42E3" w:rsidP="00724C01">
            <w:pPr>
              <w:jc w:val="left"/>
              <w:rPr>
                <w:b/>
                <w:bCs/>
                <w:color w:val="C00000"/>
                <w:sz w:val="20"/>
                <w:szCs w:val="20"/>
                <w:lang w:eastAsia="de-DE"/>
              </w:rPr>
            </w:pPr>
            <w:r w:rsidRPr="00724C01">
              <w:rPr>
                <w:b/>
                <w:bCs/>
                <w:color w:val="C00000"/>
                <w:sz w:val="20"/>
                <w:szCs w:val="20"/>
                <w:lang w:eastAsia="de-DE"/>
              </w:rPr>
              <w:t>10.86</w:t>
            </w:r>
          </w:p>
          <w:p w14:paraId="42013E55" w14:textId="77777777" w:rsidR="00BA42E3" w:rsidRPr="00724C01" w:rsidRDefault="00BA42E3" w:rsidP="00724C01">
            <w:pPr>
              <w:jc w:val="left"/>
              <w:rPr>
                <w:b/>
                <w:bCs/>
                <w:sz w:val="20"/>
                <w:szCs w:val="20"/>
                <w:lang w:eastAsia="de-DE"/>
              </w:rPr>
            </w:pPr>
            <w:r w:rsidRPr="00724C01">
              <w:rPr>
                <w:b/>
                <w:bCs/>
                <w:color w:val="C00000"/>
                <w:sz w:val="20"/>
                <w:szCs w:val="20"/>
                <w:lang w:eastAsia="de-DE"/>
              </w:rPr>
              <w:t>MtCO2e</w:t>
            </w:r>
          </w:p>
        </w:tc>
        <w:tc>
          <w:tcPr>
            <w:tcW w:w="1163" w:type="dxa"/>
            <w:tcBorders>
              <w:top w:val="single" w:sz="4" w:space="0" w:color="auto"/>
              <w:left w:val="single" w:sz="4" w:space="0" w:color="auto"/>
              <w:bottom w:val="single" w:sz="4" w:space="0" w:color="auto"/>
              <w:right w:val="single" w:sz="4" w:space="0" w:color="auto"/>
            </w:tcBorders>
          </w:tcPr>
          <w:p w14:paraId="44C10783" w14:textId="77777777" w:rsidR="00BA42E3" w:rsidRPr="00724C01" w:rsidRDefault="00BA42E3" w:rsidP="00724C01">
            <w:pPr>
              <w:jc w:val="left"/>
              <w:rPr>
                <w:color w:val="808080" w:themeColor="background1" w:themeShade="80"/>
                <w:sz w:val="20"/>
                <w:szCs w:val="20"/>
                <w:lang w:eastAsia="de-DE"/>
              </w:rPr>
            </w:pPr>
          </w:p>
          <w:p w14:paraId="3C4A151E" w14:textId="77777777" w:rsidR="00BA42E3" w:rsidRPr="00724C01" w:rsidRDefault="00BA42E3" w:rsidP="00724C01">
            <w:pPr>
              <w:jc w:val="left"/>
              <w:rPr>
                <w:color w:val="808080" w:themeColor="background1" w:themeShade="80"/>
                <w:sz w:val="20"/>
                <w:szCs w:val="20"/>
                <w:lang w:eastAsia="de-DE"/>
              </w:rPr>
            </w:pPr>
            <w:r w:rsidRPr="00724C01">
              <w:rPr>
                <w:color w:val="808080" w:themeColor="background1" w:themeShade="80"/>
                <w:sz w:val="20"/>
                <w:szCs w:val="20"/>
                <w:lang w:eastAsia="de-DE"/>
              </w:rPr>
              <w:t>5.29</w:t>
            </w:r>
          </w:p>
          <w:p w14:paraId="0118E24A" w14:textId="77777777" w:rsidR="00BA42E3" w:rsidRPr="00724C01" w:rsidRDefault="00BA42E3" w:rsidP="00724C01">
            <w:pPr>
              <w:keepNext/>
              <w:jc w:val="left"/>
              <w:rPr>
                <w:color w:val="808080" w:themeColor="background1" w:themeShade="80"/>
                <w:sz w:val="20"/>
                <w:szCs w:val="20"/>
                <w:lang w:eastAsia="de-DE"/>
              </w:rPr>
            </w:pPr>
            <w:r w:rsidRPr="00724C01">
              <w:rPr>
                <w:color w:val="808080" w:themeColor="background1" w:themeShade="80"/>
                <w:sz w:val="20"/>
                <w:szCs w:val="20"/>
                <w:lang w:eastAsia="de-DE"/>
              </w:rPr>
              <w:t>MtCO2e</w:t>
            </w:r>
          </w:p>
        </w:tc>
      </w:tr>
    </w:tbl>
    <w:p w14:paraId="7E36FE5E" w14:textId="266B5F25" w:rsidR="001B7C9F" w:rsidRPr="00FF756A" w:rsidRDefault="001B7C9F" w:rsidP="001B7C9F">
      <w:pPr>
        <w:pStyle w:val="Caption"/>
        <w:rPr>
          <w:rFonts w:ascii="Times New Roman" w:hAnsi="Times New Roman"/>
          <w:vertAlign w:val="superscript"/>
        </w:rPr>
      </w:pPr>
      <w:bookmarkStart w:id="169" w:name="_Toc183016477"/>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13</w:t>
      </w:r>
      <w:r w:rsidR="008E7DE9" w:rsidRPr="00FF756A">
        <w:rPr>
          <w:rFonts w:ascii="Times New Roman" w:hAnsi="Times New Roman"/>
          <w:noProof/>
        </w:rPr>
        <w:fldChar w:fldCharType="end"/>
      </w:r>
      <w:r w:rsidRPr="00FF756A">
        <w:rPr>
          <w:rFonts w:ascii="Times New Roman" w:hAnsi="Times New Roman"/>
        </w:rPr>
        <w:t xml:space="preserve">: Krahasimi i </w:t>
      </w:r>
      <w:r w:rsidR="00766558" w:rsidRPr="00FF756A">
        <w:rPr>
          <w:rFonts w:ascii="Times New Roman" w:hAnsi="Times New Roman"/>
        </w:rPr>
        <w:t xml:space="preserve">pikësynimeve </w:t>
      </w:r>
      <w:r w:rsidR="00241C66">
        <w:rPr>
          <w:rFonts w:ascii="Times New Roman" w:hAnsi="Times New Roman"/>
        </w:rPr>
        <w:t xml:space="preserve">kombëtare </w:t>
      </w:r>
      <w:r w:rsidR="000053AD">
        <w:rPr>
          <w:rFonts w:ascii="Times New Roman" w:hAnsi="Times New Roman"/>
        </w:rPr>
        <w:t>me skenarër e</w:t>
      </w:r>
      <w:r w:rsidR="00766558" w:rsidRPr="00FF756A">
        <w:rPr>
          <w:rFonts w:ascii="Times New Roman" w:hAnsi="Times New Roman"/>
        </w:rPr>
        <w:t xml:space="preserve"> PKEK-së</w:t>
      </w:r>
      <w:r w:rsidRPr="00FF756A">
        <w:rPr>
          <w:rFonts w:ascii="Times New Roman" w:hAnsi="Times New Roman"/>
        </w:rPr>
        <w:t xml:space="preserve"> (WAM</w:t>
      </w:r>
      <w:r w:rsidR="000053AD">
        <w:rPr>
          <w:rFonts w:ascii="Times New Roman" w:hAnsi="Times New Roman"/>
        </w:rPr>
        <w:t xml:space="preserve"> &amp;WEM)</w:t>
      </w:r>
      <w:r w:rsidRPr="00FF756A">
        <w:rPr>
          <w:rFonts w:ascii="Times New Roman" w:hAnsi="Times New Roman"/>
        </w:rPr>
        <w:t xml:space="preserve"> 2030) me </w:t>
      </w:r>
      <w:r w:rsidR="00766558" w:rsidRPr="00FF756A">
        <w:rPr>
          <w:rFonts w:ascii="Times New Roman" w:hAnsi="Times New Roman"/>
        </w:rPr>
        <w:t xml:space="preserve">pikësynimet </w:t>
      </w:r>
      <w:r w:rsidRPr="00FF756A">
        <w:rPr>
          <w:rFonts w:ascii="Times New Roman" w:hAnsi="Times New Roman"/>
        </w:rPr>
        <w:t>e EnC</w:t>
      </w:r>
      <w:bookmarkEnd w:id="169"/>
    </w:p>
    <w:p w14:paraId="49331B7D" w14:textId="281C6182" w:rsidR="00285222" w:rsidRPr="00FF756A" w:rsidRDefault="00766558" w:rsidP="008639B2">
      <w:pPr>
        <w:pStyle w:val="ListParagraph"/>
        <w:numPr>
          <w:ilvl w:val="0"/>
          <w:numId w:val="67"/>
        </w:numPr>
        <w:spacing w:line="240" w:lineRule="auto"/>
        <w:rPr>
          <w:sz w:val="20"/>
          <w:szCs w:val="20"/>
          <w:vertAlign w:val="superscript"/>
        </w:rPr>
      </w:pPr>
      <w:r w:rsidRPr="00FF756A">
        <w:rPr>
          <w:i/>
          <w:iCs/>
          <w:sz w:val="20"/>
          <w:szCs w:val="20"/>
        </w:rPr>
        <w:t>Pikësynimet</w:t>
      </w:r>
      <w:r w:rsidR="003B3233" w:rsidRPr="00FF756A">
        <w:rPr>
          <w:i/>
          <w:iCs/>
          <w:sz w:val="20"/>
          <w:szCs w:val="20"/>
        </w:rPr>
        <w:t xml:space="preserve"> përfshijnë të gjitha </w:t>
      </w:r>
      <w:r w:rsidR="00515835" w:rsidRPr="00FF756A">
        <w:rPr>
          <w:i/>
          <w:iCs/>
          <w:sz w:val="20"/>
          <w:szCs w:val="20"/>
        </w:rPr>
        <w:t>shkarkimet</w:t>
      </w:r>
      <w:r w:rsidR="003B3233" w:rsidRPr="00FF756A">
        <w:rPr>
          <w:i/>
          <w:iCs/>
          <w:sz w:val="20"/>
          <w:szCs w:val="20"/>
        </w:rPr>
        <w:t xml:space="preserve"> neto të gazeve serrë (GHG) brenda vendit nga Palët Kontraktuese, duke përfshirë </w:t>
      </w:r>
      <w:r w:rsidR="00D82CFA" w:rsidRPr="00FF756A">
        <w:rPr>
          <w:i/>
          <w:iCs/>
          <w:sz w:val="20"/>
          <w:szCs w:val="20"/>
        </w:rPr>
        <w:t xml:space="preserve">shkarkimet dhe </w:t>
      </w:r>
      <w:r w:rsidR="00D80C02" w:rsidRPr="00FF756A">
        <w:rPr>
          <w:i/>
          <w:iCs/>
          <w:sz w:val="20"/>
          <w:szCs w:val="20"/>
        </w:rPr>
        <w:t>eliminimet n</w:t>
      </w:r>
      <w:r w:rsidR="003B3233" w:rsidRPr="00FF756A">
        <w:rPr>
          <w:i/>
          <w:iCs/>
          <w:sz w:val="20"/>
          <w:szCs w:val="20"/>
        </w:rPr>
        <w:t xml:space="preserve">ga LULUCF. </w:t>
      </w:r>
      <w:bookmarkStart w:id="170" w:name="_Toc46945530"/>
      <w:bookmarkStart w:id="171" w:name="_Toc100575560"/>
      <w:bookmarkStart w:id="172" w:name="_Toc181516980"/>
      <w:bookmarkEnd w:id="168"/>
    </w:p>
    <w:p w14:paraId="59CA8CA1" w14:textId="77777777" w:rsidR="00C4659F" w:rsidRPr="00FF756A" w:rsidRDefault="00C4659F" w:rsidP="00C4659F">
      <w:pPr>
        <w:rPr>
          <w:lang w:eastAsia="de-DE"/>
        </w:rPr>
      </w:pPr>
    </w:p>
    <w:p w14:paraId="47A71FB9" w14:textId="3DAB8350" w:rsidR="000055CB" w:rsidRPr="00FF756A" w:rsidRDefault="006C199B" w:rsidP="004A3257">
      <w:pPr>
        <w:pStyle w:val="Heading2"/>
        <w:ind w:left="142"/>
      </w:pPr>
      <w:bookmarkStart w:id="173" w:name="_Toc183639201"/>
      <w:r w:rsidRPr="00FF756A">
        <w:t>2.1</w:t>
      </w:r>
      <w:bookmarkEnd w:id="173"/>
      <w:r w:rsidRPr="00FF756A">
        <w:t xml:space="preserve"> </w:t>
      </w:r>
      <w:bookmarkStart w:id="174" w:name="_Toc181467424"/>
      <w:bookmarkStart w:id="175" w:name="_Toc181472374"/>
      <w:bookmarkStart w:id="176" w:name="_Toc181476938"/>
      <w:bookmarkStart w:id="177" w:name="_Toc181479210"/>
      <w:bookmarkStart w:id="178" w:name="_Toc181479384"/>
      <w:bookmarkStart w:id="179" w:name="_Toc181514724"/>
      <w:bookmarkStart w:id="180" w:name="_Toc181516794"/>
      <w:bookmarkStart w:id="181" w:name="_Toc181516981"/>
      <w:bookmarkStart w:id="182" w:name="_Toc181467425"/>
      <w:bookmarkStart w:id="183" w:name="_Toc181472375"/>
      <w:bookmarkStart w:id="184" w:name="_Toc181476939"/>
      <w:bookmarkStart w:id="185" w:name="_Toc181479211"/>
      <w:bookmarkStart w:id="186" w:name="_Toc181479385"/>
      <w:bookmarkStart w:id="187" w:name="_Toc181514725"/>
      <w:bookmarkStart w:id="188" w:name="_Toc181516795"/>
      <w:bookmarkStart w:id="189" w:name="_Toc181516982"/>
      <w:bookmarkStart w:id="190" w:name="_Toc183639202"/>
      <w:bookmarkStart w:id="191" w:name="_Toc100575561"/>
      <w:bookmarkStart w:id="192" w:name="_Toc46945531"/>
      <w:bookmarkStart w:id="193" w:name="_Hlk77606882"/>
      <w:bookmarkEnd w:id="170"/>
      <w:bookmarkEnd w:id="171"/>
      <w:bookmarkEnd w:id="172"/>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r w:rsidR="006D2851" w:rsidRPr="00FF756A">
        <w:t>Dimensioni i Dekarbonizimit</w:t>
      </w:r>
      <w:bookmarkEnd w:id="190"/>
    </w:p>
    <w:p w14:paraId="29B27E87" w14:textId="77777777" w:rsidR="0090355B" w:rsidRPr="00FF756A" w:rsidRDefault="0090355B" w:rsidP="0090355B">
      <w:pPr>
        <w:rPr>
          <w:lang w:eastAsia="de-DE"/>
        </w:rPr>
      </w:pPr>
    </w:p>
    <w:p w14:paraId="46944C40" w14:textId="18D41D8D" w:rsidR="009E2880" w:rsidRPr="00FF756A" w:rsidRDefault="006463C7" w:rsidP="004A3257">
      <w:pPr>
        <w:pStyle w:val="Heading3"/>
      </w:pPr>
      <w:bookmarkStart w:id="194" w:name="_Toc181516983"/>
      <w:bookmarkStart w:id="195" w:name="_Toc183639203"/>
      <w:r w:rsidRPr="00FF756A">
        <w:t>2.1.</w:t>
      </w:r>
      <w:r w:rsidR="00770920" w:rsidRPr="00FF756A">
        <w:t>1</w:t>
      </w:r>
      <w:r w:rsidRPr="00FF756A">
        <w:t xml:space="preserve">. </w:t>
      </w:r>
      <w:r w:rsidR="00515835" w:rsidRPr="00FF756A">
        <w:t xml:space="preserve">Shkarkimet dhe </w:t>
      </w:r>
      <w:r w:rsidR="00C55CCA" w:rsidRPr="00FF756A">
        <w:t>eliminimi</w:t>
      </w:r>
      <w:r w:rsidR="00515835" w:rsidRPr="00FF756A">
        <w:t xml:space="preserve"> i </w:t>
      </w:r>
      <w:r w:rsidR="000055CB" w:rsidRPr="00FF756A">
        <w:t>G</w:t>
      </w:r>
      <w:bookmarkStart w:id="196" w:name="_Toc181516984"/>
      <w:bookmarkEnd w:id="191"/>
      <w:bookmarkEnd w:id="192"/>
      <w:bookmarkEnd w:id="193"/>
      <w:bookmarkEnd w:id="194"/>
      <w:r w:rsidR="00515835" w:rsidRPr="00FF756A">
        <w:t>ES-ve</w:t>
      </w:r>
      <w:bookmarkEnd w:id="195"/>
      <w:r w:rsidR="009E2880" w:rsidRPr="00FF756A">
        <w:t xml:space="preserve"> </w:t>
      </w:r>
    </w:p>
    <w:p w14:paraId="13A6A767" w14:textId="77777777" w:rsidR="00D303AD" w:rsidRPr="00FF756A" w:rsidRDefault="00D303AD" w:rsidP="004A3257"/>
    <w:p w14:paraId="79D0DD34" w14:textId="08202B44" w:rsidR="000055CB" w:rsidRPr="00FF756A" w:rsidRDefault="000055CB" w:rsidP="004A3257">
      <w:pPr>
        <w:pStyle w:val="BodyText"/>
        <w:rPr>
          <w:rFonts w:ascii="Times New Roman" w:eastAsiaTheme="majorEastAsia" w:hAnsi="Times New Roman" w:cs="Times New Roman"/>
          <w:color w:val="0070C0"/>
        </w:rPr>
      </w:pPr>
      <w:r w:rsidRPr="00FF756A">
        <w:rPr>
          <w:rFonts w:ascii="Times New Roman" w:hAnsi="Times New Roman" w:cs="Times New Roman"/>
          <w:color w:val="0070C0"/>
          <w:sz w:val="22"/>
          <w:szCs w:val="22"/>
        </w:rPr>
        <w:t>Elementet e përcaktuara në neni</w:t>
      </w:r>
      <w:r w:rsidR="00EC51DB" w:rsidRPr="00FF756A">
        <w:rPr>
          <w:rFonts w:ascii="Times New Roman" w:hAnsi="Times New Roman" w:cs="Times New Roman"/>
          <w:color w:val="0070C0"/>
          <w:sz w:val="22"/>
          <w:szCs w:val="22"/>
        </w:rPr>
        <w:t>n</w:t>
      </w:r>
      <w:r w:rsidRPr="00FF756A">
        <w:rPr>
          <w:rFonts w:ascii="Times New Roman" w:hAnsi="Times New Roman" w:cs="Times New Roman"/>
          <w:color w:val="0070C0"/>
          <w:sz w:val="22"/>
          <w:szCs w:val="22"/>
        </w:rPr>
        <w:t xml:space="preserve"> 4</w:t>
      </w:r>
      <w:bookmarkEnd w:id="196"/>
      <w:r w:rsidR="00D80C02" w:rsidRPr="00FF756A">
        <w:rPr>
          <w:rFonts w:ascii="Times New Roman" w:hAnsi="Times New Roman" w:cs="Times New Roman"/>
          <w:color w:val="0070C0"/>
          <w:sz w:val="22"/>
          <w:szCs w:val="22"/>
        </w:rPr>
        <w:t xml:space="preserve">, pika 1, germa </w:t>
      </w:r>
      <w:r w:rsidR="00D303AD" w:rsidRPr="00FF756A">
        <w:rPr>
          <w:rFonts w:ascii="Times New Roman" w:hAnsi="Times New Roman" w:cs="Times New Roman"/>
          <w:color w:val="0070C0"/>
          <w:sz w:val="22"/>
          <w:szCs w:val="22"/>
        </w:rPr>
        <w:t>“a”</w:t>
      </w:r>
    </w:p>
    <w:p w14:paraId="6902B629" w14:textId="77777777" w:rsidR="009E2880" w:rsidRPr="00FF756A" w:rsidRDefault="009E2880" w:rsidP="000055CB">
      <w:pPr>
        <w:rPr>
          <w:b/>
          <w:bCs/>
          <w:color w:val="000000" w:themeColor="text1"/>
          <w:u w:val="single"/>
        </w:rPr>
      </w:pPr>
    </w:p>
    <w:p w14:paraId="5CC316CA" w14:textId="76FDB660" w:rsidR="000055CB" w:rsidRPr="00FF756A" w:rsidRDefault="00D303AD" w:rsidP="000055CB">
      <w:pPr>
        <w:rPr>
          <w:b/>
          <w:bCs/>
          <w:color w:val="000000" w:themeColor="text1"/>
          <w:u w:val="single"/>
        </w:rPr>
      </w:pPr>
      <w:r w:rsidRPr="00FF756A">
        <w:rPr>
          <w:b/>
          <w:bCs/>
          <w:color w:val="000000" w:themeColor="text1"/>
          <w:u w:val="single"/>
        </w:rPr>
        <w:t>Pikës</w:t>
      </w:r>
      <w:r w:rsidR="000055CB" w:rsidRPr="00FF756A">
        <w:rPr>
          <w:b/>
          <w:bCs/>
          <w:color w:val="000000" w:themeColor="text1"/>
          <w:u w:val="single"/>
        </w:rPr>
        <w:t xml:space="preserve">ynimet e bazuara në Pjesën </w:t>
      </w:r>
      <w:r w:rsidR="00012267" w:rsidRPr="00FF756A">
        <w:rPr>
          <w:b/>
          <w:bCs/>
          <w:color w:val="000000" w:themeColor="text1"/>
          <w:u w:val="single"/>
        </w:rPr>
        <w:t xml:space="preserve">B </w:t>
      </w:r>
      <w:r w:rsidR="000055CB" w:rsidRPr="00FF756A">
        <w:rPr>
          <w:b/>
          <w:bCs/>
          <w:color w:val="000000" w:themeColor="text1"/>
          <w:u w:val="single"/>
        </w:rPr>
        <w:t xml:space="preserve">Analitike të </w:t>
      </w:r>
      <w:r w:rsidR="00EC51DB" w:rsidRPr="00FF756A">
        <w:rPr>
          <w:b/>
          <w:bCs/>
          <w:color w:val="000000" w:themeColor="text1"/>
          <w:u w:val="single"/>
        </w:rPr>
        <w:t>PKEK</w:t>
      </w:r>
      <w:r w:rsidR="000055CB" w:rsidRPr="00FF756A">
        <w:rPr>
          <w:b/>
          <w:bCs/>
          <w:color w:val="000000" w:themeColor="text1"/>
          <w:u w:val="single"/>
        </w:rPr>
        <w:t>-së</w:t>
      </w:r>
    </w:p>
    <w:p w14:paraId="7754E688" w14:textId="51EBBB7F" w:rsidR="00AA47F2" w:rsidRPr="00FF756A" w:rsidRDefault="000055CB" w:rsidP="004A3257">
      <w:pPr>
        <w:spacing w:line="240" w:lineRule="auto"/>
      </w:pPr>
      <w:r w:rsidRPr="00FF756A">
        <w:t>Për sa i përket emetimeve të G</w:t>
      </w:r>
      <w:r w:rsidR="00012267" w:rsidRPr="00FF756A">
        <w:t>ES-ve</w:t>
      </w:r>
      <w:r w:rsidRPr="00FF756A">
        <w:t xml:space="preserve">, skenari WEM </w:t>
      </w:r>
      <w:r w:rsidR="009B3608" w:rsidRPr="00FF756A">
        <w:t xml:space="preserve">rezulton </w:t>
      </w:r>
      <w:r w:rsidRPr="00FF756A">
        <w:t xml:space="preserve">në </w:t>
      </w:r>
      <w:r w:rsidR="009B3608" w:rsidRPr="00FF756A">
        <w:t xml:space="preserve">një total </w:t>
      </w:r>
      <w:r w:rsidR="00012267" w:rsidRPr="00FF756A">
        <w:t xml:space="preserve">shkarkime </w:t>
      </w:r>
      <w:r w:rsidRPr="00FF756A">
        <w:t xml:space="preserve"> prej 11.7 Mt</w:t>
      </w:r>
      <w:r w:rsidR="003D0BB3" w:rsidRPr="00FF756A">
        <w:t xml:space="preserve"> ekuivalentë të </w:t>
      </w:r>
      <w:r w:rsidR="00C55CCA" w:rsidRPr="00FF756A">
        <w:t>dyoksidit</w:t>
      </w:r>
      <w:r w:rsidR="003D0BB3" w:rsidRPr="00FF756A">
        <w:t xml:space="preserve"> të karbonit </w:t>
      </w:r>
      <w:r w:rsidRPr="00FF756A">
        <w:t xml:space="preserve">në vitin 2030, ndërsa vlerat në </w:t>
      </w:r>
      <w:r w:rsidR="003D0BB3" w:rsidRPr="00FF756A">
        <w:t xml:space="preserve">skenarin </w:t>
      </w:r>
      <w:r w:rsidRPr="00FF756A">
        <w:t>WAM arrijnë në 10.8 Mt</w:t>
      </w:r>
      <w:r w:rsidR="003D0BB3" w:rsidRPr="00FF756A">
        <w:t xml:space="preserve"> ekuivalentë të </w:t>
      </w:r>
      <w:r w:rsidR="00C55CCA" w:rsidRPr="00FF756A">
        <w:t>dyoksid</w:t>
      </w:r>
      <w:r w:rsidR="003D0BB3" w:rsidRPr="00FF756A">
        <w:t xml:space="preserve"> karbonit</w:t>
      </w:r>
      <w:r w:rsidRPr="00FF756A">
        <w:t xml:space="preserve">, që </w:t>
      </w:r>
      <w:r w:rsidR="00AA47F2" w:rsidRPr="00FF756A">
        <w:t xml:space="preserve">përkojnë </w:t>
      </w:r>
      <w:r w:rsidRPr="00FF756A">
        <w:t xml:space="preserve">me një reduktim prej 7.7% në krahasim me vlerat </w:t>
      </w:r>
      <w:r w:rsidR="00AA47F2" w:rsidRPr="00FF756A">
        <w:t xml:space="preserve">e skenarit </w:t>
      </w:r>
      <w:r w:rsidRPr="00FF756A">
        <w:t xml:space="preserve">WEM. </w:t>
      </w:r>
    </w:p>
    <w:p w14:paraId="434E29CF" w14:textId="45B833C3" w:rsidR="000055CB" w:rsidRPr="00FF756A" w:rsidRDefault="000055CB" w:rsidP="004A3257">
      <w:pPr>
        <w:spacing w:line="240" w:lineRule="auto"/>
      </w:pPr>
      <w:r w:rsidRPr="00FF756A">
        <w:t xml:space="preserve">Në krahasim me vitin </w:t>
      </w:r>
      <w:r w:rsidR="00AA47F2" w:rsidRPr="00FF756A">
        <w:t xml:space="preserve">referencë </w:t>
      </w:r>
      <w:r w:rsidRPr="00FF756A">
        <w:t xml:space="preserve">2020, WAM sjell një rritje të </w:t>
      </w:r>
      <w:r w:rsidR="00A50EAE" w:rsidRPr="00FF756A">
        <w:t xml:space="preserve">shkarkimeve </w:t>
      </w:r>
      <w:r w:rsidRPr="00FF756A">
        <w:t xml:space="preserve">prej 2.8% në vitin 2030, por </w:t>
      </w:r>
      <w:r w:rsidR="00A50EAE" w:rsidRPr="00FF756A">
        <w:t xml:space="preserve">që ulet </w:t>
      </w:r>
      <w:r w:rsidRPr="00FF756A">
        <w:t xml:space="preserve">më vonë </w:t>
      </w:r>
      <w:r w:rsidR="00A50EAE" w:rsidRPr="00FF756A">
        <w:t>n</w:t>
      </w:r>
      <w:r w:rsidRPr="00FF756A">
        <w:t>ë vitin 2040 me -22.6% dhe zvogëlohet më tej deri në vitin 2050, duke arritur në -</w:t>
      </w:r>
      <w:r w:rsidRPr="00FF756A">
        <w:lastRenderedPageBreak/>
        <w:t xml:space="preserve">49.9%. </w:t>
      </w:r>
      <w:r w:rsidR="00C0668C" w:rsidRPr="00FF756A">
        <w:t>Në s</w:t>
      </w:r>
      <w:r w:rsidRPr="00FF756A">
        <w:t>kenari</w:t>
      </w:r>
      <w:r w:rsidR="00C0668C" w:rsidRPr="00FF756A">
        <w:t>n</w:t>
      </w:r>
      <w:r w:rsidRPr="00FF756A">
        <w:t xml:space="preserve"> WEM </w:t>
      </w:r>
      <w:r w:rsidR="00C0668C" w:rsidRPr="00FF756A">
        <w:t xml:space="preserve">vërehet </w:t>
      </w:r>
      <w:r w:rsidRPr="00FF756A">
        <w:t xml:space="preserve">një rritje </w:t>
      </w:r>
      <w:r w:rsidR="00C0668C" w:rsidRPr="00FF756A">
        <w:t>e shkarkimeve</w:t>
      </w:r>
      <w:r w:rsidR="00D215EC" w:rsidRPr="00FF756A">
        <w:t xml:space="preserve"> me </w:t>
      </w:r>
      <w:r w:rsidRPr="00FF756A">
        <w:t xml:space="preserve">11% në </w:t>
      </w:r>
      <w:r w:rsidR="00D215EC" w:rsidRPr="00FF756A">
        <w:t xml:space="preserve">vitin </w:t>
      </w:r>
      <w:r w:rsidRPr="00FF756A">
        <w:t xml:space="preserve">2030 krahasuar me </w:t>
      </w:r>
      <w:r w:rsidR="00D215EC" w:rsidRPr="00FF756A">
        <w:t xml:space="preserve">vitin </w:t>
      </w:r>
      <w:r w:rsidRPr="00FF756A">
        <w:t>2020 dhe një rritje me 41.2% në 2050.</w:t>
      </w:r>
    </w:p>
    <w:p w14:paraId="1997F7C8" w14:textId="4180EFB3" w:rsidR="000055CB" w:rsidRPr="00FF756A" w:rsidRDefault="000055CB">
      <w:pPr>
        <w:spacing w:line="240" w:lineRule="auto"/>
        <w:rPr>
          <w:rFonts w:eastAsia="Times New Roman"/>
          <w:color w:val="000000" w:themeColor="text1"/>
        </w:rPr>
      </w:pPr>
      <w:r w:rsidRPr="00FF756A">
        <w:t xml:space="preserve">Analiza tregon se </w:t>
      </w:r>
      <w:r w:rsidR="00A672C1" w:rsidRPr="00FF756A">
        <w:t xml:space="preserve">shkarkimet </w:t>
      </w:r>
      <w:r w:rsidRPr="00FF756A">
        <w:t xml:space="preserve">më të larta </w:t>
      </w:r>
      <w:r w:rsidR="00A672C1" w:rsidRPr="00FF756A">
        <w:t xml:space="preserve">prodhohen </w:t>
      </w:r>
      <w:r w:rsidRPr="00FF756A">
        <w:t xml:space="preserve">nga sektorët </w:t>
      </w:r>
      <w:r w:rsidR="00A92337" w:rsidRPr="00FF756A">
        <w:t>“</w:t>
      </w:r>
      <w:r w:rsidRPr="00FF756A">
        <w:t>Kërkesa</w:t>
      </w:r>
      <w:r w:rsidR="00A92337" w:rsidRPr="00FF756A">
        <w:t>”</w:t>
      </w:r>
      <w:r w:rsidRPr="00FF756A">
        <w:t xml:space="preserve"> dhe </w:t>
      </w:r>
      <w:r w:rsidR="00A92337" w:rsidRPr="00FF756A">
        <w:t>“</w:t>
      </w:r>
      <w:r w:rsidRPr="00FF756A">
        <w:t>Jo-Energjia</w:t>
      </w:r>
      <w:r w:rsidR="00A92337" w:rsidRPr="00FF756A">
        <w:t>”</w:t>
      </w:r>
      <w:r w:rsidRPr="00FF756A">
        <w:t xml:space="preserve">, dhe brenda tyre, </w:t>
      </w:r>
      <w:r w:rsidR="00A92337" w:rsidRPr="00FF756A">
        <w:t>“</w:t>
      </w:r>
      <w:r w:rsidRPr="00FF756A">
        <w:t>Industria dhe Transporti</w:t>
      </w:r>
      <w:r w:rsidR="00A92337" w:rsidRPr="00FF756A">
        <w:t>”</w:t>
      </w:r>
      <w:r w:rsidRPr="00FF756A">
        <w:t xml:space="preserve">, </w:t>
      </w:r>
      <w:r w:rsidRPr="00FF756A">
        <w:rPr>
          <w:rFonts w:eastAsia="Times New Roman"/>
          <w:color w:val="000000" w:themeColor="text1"/>
        </w:rPr>
        <w:t xml:space="preserve">IPPU (Proceset Industriale dhe Përdorimi i Produkteve) dhe Bujqësia (kryesisht Fermentimi Enterik CH4) janë </w:t>
      </w:r>
      <w:r w:rsidR="00DA5346" w:rsidRPr="00FF756A">
        <w:rPr>
          <w:rFonts w:eastAsia="Times New Roman"/>
          <w:color w:val="000000" w:themeColor="text1"/>
        </w:rPr>
        <w:t xml:space="preserve">ndotësit </w:t>
      </w:r>
      <w:r w:rsidRPr="00FF756A">
        <w:rPr>
          <w:rFonts w:eastAsia="Times New Roman"/>
          <w:color w:val="000000" w:themeColor="text1"/>
        </w:rPr>
        <w:t>kryesorë të gazeve serrë  dhe për këtë arsye kërkojnë vëmendje të veçantë</w:t>
      </w:r>
      <w:r w:rsidR="000528C5" w:rsidRPr="00FF756A">
        <w:rPr>
          <w:rFonts w:eastAsia="Times New Roman"/>
          <w:color w:val="000000" w:themeColor="text1"/>
        </w:rPr>
        <w:t>.</w:t>
      </w:r>
    </w:p>
    <w:p w14:paraId="49B7BBA1" w14:textId="77777777" w:rsidR="001F48F6" w:rsidRPr="00FF756A" w:rsidRDefault="001F48F6" w:rsidP="004A3257">
      <w:pPr>
        <w:spacing w:line="240" w:lineRule="auto"/>
        <w:rPr>
          <w:rFonts w:eastAsia="Times New Roman"/>
          <w:color w:val="000000" w:themeColor="text1"/>
        </w:rPr>
      </w:pPr>
    </w:p>
    <w:tbl>
      <w:tblPr>
        <w:tblStyle w:val="TableGrid"/>
        <w:tblW w:w="9071" w:type="dxa"/>
        <w:tblLook w:val="04A0" w:firstRow="1" w:lastRow="0" w:firstColumn="1" w:lastColumn="0" w:noHBand="0" w:noVBand="1"/>
      </w:tblPr>
      <w:tblGrid>
        <w:gridCol w:w="4535"/>
        <w:gridCol w:w="2268"/>
        <w:gridCol w:w="2268"/>
      </w:tblGrid>
      <w:tr w:rsidR="000055CB" w:rsidRPr="00FF756A" w14:paraId="7A2C64E7" w14:textId="77777777" w:rsidTr="000055CB">
        <w:tc>
          <w:tcPr>
            <w:tcW w:w="45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096F39" w14:textId="77777777" w:rsidR="000055CB" w:rsidRPr="00FF756A" w:rsidRDefault="000055CB">
            <w:pPr>
              <w:spacing w:before="0" w:after="0" w:line="240" w:lineRule="auto"/>
              <w:jc w:val="left"/>
              <w:rPr>
                <w:color w:val="000000" w:themeColor="text1"/>
                <w:lang w:eastAsia="de-DE"/>
              </w:rPr>
            </w:pPr>
            <w:r w:rsidRPr="00FF756A">
              <w:rPr>
                <w:color w:val="000000" w:themeColor="text1"/>
                <w:lang w:eastAsia="de-DE"/>
              </w:rPr>
              <w:t>Sektori</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2FCC70E" w14:textId="77777777" w:rsidR="000055CB" w:rsidRPr="00FF756A" w:rsidRDefault="000055CB">
            <w:pPr>
              <w:spacing w:before="0" w:after="0" w:line="240" w:lineRule="auto"/>
              <w:jc w:val="left"/>
              <w:rPr>
                <w:color w:val="000000" w:themeColor="text1"/>
                <w:lang w:eastAsia="de-DE"/>
              </w:rPr>
            </w:pPr>
            <w:r w:rsidRPr="00FF756A">
              <w:rPr>
                <w:color w:val="000000" w:themeColor="text1"/>
                <w:lang w:eastAsia="de-DE"/>
              </w:rPr>
              <w:t>WEM 2030</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6D4CEA" w14:textId="77777777" w:rsidR="000055CB" w:rsidRPr="00FF756A" w:rsidRDefault="000055CB">
            <w:pPr>
              <w:spacing w:before="0" w:after="0" w:line="240" w:lineRule="auto"/>
              <w:jc w:val="left"/>
              <w:rPr>
                <w:b/>
                <w:bCs/>
                <w:color w:val="000000" w:themeColor="text1"/>
                <w:lang w:eastAsia="de-DE"/>
              </w:rPr>
            </w:pPr>
            <w:r w:rsidRPr="00FF756A">
              <w:rPr>
                <w:b/>
                <w:bCs/>
                <w:color w:val="000000" w:themeColor="text1"/>
                <w:lang w:eastAsia="de-DE"/>
              </w:rPr>
              <w:t>WAM 2030</w:t>
            </w:r>
          </w:p>
        </w:tc>
      </w:tr>
      <w:tr w:rsidR="000055CB" w:rsidRPr="00FF756A" w14:paraId="1C390499" w14:textId="77777777" w:rsidTr="000055CB">
        <w:trPr>
          <w:trHeight w:val="283"/>
        </w:trPr>
        <w:tc>
          <w:tcPr>
            <w:tcW w:w="4535" w:type="dxa"/>
            <w:tcBorders>
              <w:top w:val="single" w:sz="4" w:space="0" w:color="auto"/>
              <w:left w:val="single" w:sz="4" w:space="0" w:color="auto"/>
              <w:bottom w:val="single" w:sz="4" w:space="0" w:color="auto"/>
              <w:right w:val="single" w:sz="4" w:space="0" w:color="auto"/>
            </w:tcBorders>
            <w:vAlign w:val="center"/>
            <w:hideMark/>
          </w:tcPr>
          <w:p w14:paraId="1427DF17" w14:textId="77777777" w:rsidR="000055CB" w:rsidRPr="00FF756A" w:rsidRDefault="000055CB">
            <w:pPr>
              <w:spacing w:before="0" w:after="0" w:line="240" w:lineRule="auto"/>
              <w:jc w:val="left"/>
              <w:rPr>
                <w:color w:val="C00000"/>
                <w:lang w:eastAsia="de-DE"/>
              </w:rPr>
            </w:pPr>
            <w:r w:rsidRPr="00FF756A">
              <w:rPr>
                <w:color w:val="C00000"/>
                <w:lang w:eastAsia="de-DE"/>
              </w:rPr>
              <w:t>Kërkesa</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8A641DB" w14:textId="77777777" w:rsidR="000055CB" w:rsidRPr="00FF756A" w:rsidRDefault="000055CB">
            <w:pPr>
              <w:spacing w:before="0" w:after="0" w:line="240" w:lineRule="auto"/>
              <w:jc w:val="left"/>
              <w:rPr>
                <w:color w:val="C00000"/>
                <w:lang w:eastAsia="de-DE"/>
              </w:rPr>
            </w:pPr>
            <w:r w:rsidRPr="00FF756A">
              <w:rPr>
                <w:color w:val="C00000"/>
                <w:lang w:eastAsia="de-DE"/>
              </w:rPr>
              <w:t>4,860.2</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D3959DA" w14:textId="77777777" w:rsidR="000055CB" w:rsidRPr="00FF756A" w:rsidRDefault="000055CB">
            <w:pPr>
              <w:spacing w:before="0" w:after="0" w:line="240" w:lineRule="auto"/>
              <w:jc w:val="left"/>
              <w:rPr>
                <w:b/>
                <w:bCs/>
                <w:color w:val="C00000"/>
                <w:lang w:eastAsia="de-DE"/>
              </w:rPr>
            </w:pPr>
            <w:r w:rsidRPr="00FF756A">
              <w:rPr>
                <w:b/>
                <w:bCs/>
                <w:color w:val="C00000"/>
                <w:lang w:eastAsia="de-DE"/>
              </w:rPr>
              <w:t>4,192.7</w:t>
            </w:r>
          </w:p>
        </w:tc>
      </w:tr>
      <w:tr w:rsidR="000055CB" w:rsidRPr="00FF756A" w14:paraId="604218E9" w14:textId="77777777" w:rsidTr="000055CB">
        <w:trPr>
          <w:trHeight w:val="283"/>
        </w:trPr>
        <w:tc>
          <w:tcPr>
            <w:tcW w:w="4535" w:type="dxa"/>
            <w:tcBorders>
              <w:top w:val="single" w:sz="4" w:space="0" w:color="auto"/>
              <w:left w:val="single" w:sz="4" w:space="0" w:color="auto"/>
              <w:bottom w:val="single" w:sz="4" w:space="0" w:color="auto"/>
              <w:right w:val="single" w:sz="4" w:space="0" w:color="auto"/>
            </w:tcBorders>
            <w:vAlign w:val="center"/>
            <w:hideMark/>
          </w:tcPr>
          <w:p w14:paraId="5272138F" w14:textId="77777777" w:rsidR="000055CB" w:rsidRPr="00FF756A" w:rsidRDefault="000055CB">
            <w:pPr>
              <w:spacing w:before="0" w:after="0" w:line="240" w:lineRule="auto"/>
              <w:jc w:val="left"/>
              <w:rPr>
                <w:color w:val="000000" w:themeColor="text1"/>
                <w:lang w:eastAsia="de-DE"/>
              </w:rPr>
            </w:pPr>
            <w:r w:rsidRPr="00FF756A">
              <w:rPr>
                <w:color w:val="000000" w:themeColor="text1"/>
                <w:lang w:eastAsia="de-DE"/>
              </w:rPr>
              <w:t>Transformimi</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D6534B4" w14:textId="77777777" w:rsidR="000055CB" w:rsidRPr="00FF756A" w:rsidRDefault="000055CB">
            <w:pPr>
              <w:spacing w:before="0" w:after="0" w:line="240" w:lineRule="auto"/>
              <w:jc w:val="left"/>
              <w:rPr>
                <w:color w:val="000000" w:themeColor="text1"/>
                <w:lang w:eastAsia="de-DE"/>
              </w:rPr>
            </w:pPr>
            <w:r w:rsidRPr="00FF756A">
              <w:rPr>
                <w:lang w:eastAsia="de-DE"/>
              </w:rPr>
              <w:t>167.1</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EA3E2D7" w14:textId="77777777" w:rsidR="000055CB" w:rsidRPr="00FF756A" w:rsidRDefault="000055CB">
            <w:pPr>
              <w:spacing w:before="0" w:after="0" w:line="240" w:lineRule="auto"/>
              <w:jc w:val="left"/>
              <w:rPr>
                <w:b/>
                <w:bCs/>
                <w:color w:val="000000" w:themeColor="text1"/>
                <w:lang w:eastAsia="de-DE"/>
              </w:rPr>
            </w:pPr>
            <w:r w:rsidRPr="00FF756A">
              <w:rPr>
                <w:b/>
                <w:bCs/>
                <w:lang w:eastAsia="de-DE"/>
              </w:rPr>
              <w:t>159.0</w:t>
            </w:r>
          </w:p>
        </w:tc>
      </w:tr>
      <w:tr w:rsidR="000055CB" w:rsidRPr="00FF756A" w14:paraId="69B2DD8A" w14:textId="77777777" w:rsidTr="000055CB">
        <w:trPr>
          <w:trHeight w:val="283"/>
        </w:trPr>
        <w:tc>
          <w:tcPr>
            <w:tcW w:w="4535" w:type="dxa"/>
            <w:tcBorders>
              <w:top w:val="single" w:sz="4" w:space="0" w:color="auto"/>
              <w:left w:val="single" w:sz="4" w:space="0" w:color="auto"/>
              <w:bottom w:val="single" w:sz="4" w:space="0" w:color="auto"/>
              <w:right w:val="single" w:sz="4" w:space="0" w:color="auto"/>
            </w:tcBorders>
            <w:vAlign w:val="center"/>
            <w:hideMark/>
          </w:tcPr>
          <w:p w14:paraId="62C2956F" w14:textId="77777777" w:rsidR="000055CB" w:rsidRPr="00FF756A" w:rsidRDefault="000055CB">
            <w:pPr>
              <w:spacing w:before="0" w:after="0" w:line="240" w:lineRule="auto"/>
              <w:jc w:val="left"/>
              <w:rPr>
                <w:color w:val="C00000"/>
                <w:lang w:eastAsia="de-DE"/>
              </w:rPr>
            </w:pPr>
            <w:r w:rsidRPr="00FF756A">
              <w:rPr>
                <w:color w:val="C00000"/>
                <w:lang w:eastAsia="de-DE"/>
              </w:rPr>
              <w:t>Jo Energjitike</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DEBA7A7" w14:textId="77777777" w:rsidR="000055CB" w:rsidRPr="00FF756A" w:rsidRDefault="000055CB">
            <w:pPr>
              <w:spacing w:before="0" w:after="0" w:line="240" w:lineRule="auto"/>
              <w:jc w:val="left"/>
              <w:rPr>
                <w:color w:val="C00000"/>
                <w:lang w:eastAsia="de-DE"/>
              </w:rPr>
            </w:pPr>
            <w:r w:rsidRPr="00FF756A">
              <w:rPr>
                <w:color w:val="C00000"/>
                <w:lang w:eastAsia="de-DE"/>
              </w:rPr>
              <w:t>6,692.5</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48B93D3" w14:textId="77777777" w:rsidR="000055CB" w:rsidRPr="00FF756A" w:rsidRDefault="000055CB">
            <w:pPr>
              <w:spacing w:before="0" w:after="0" w:line="240" w:lineRule="auto"/>
              <w:jc w:val="left"/>
              <w:rPr>
                <w:b/>
                <w:bCs/>
                <w:color w:val="C00000"/>
                <w:lang w:eastAsia="de-DE"/>
              </w:rPr>
            </w:pPr>
            <w:r w:rsidRPr="00FF756A">
              <w:rPr>
                <w:b/>
                <w:bCs/>
                <w:color w:val="C00000"/>
                <w:lang w:eastAsia="de-DE"/>
              </w:rPr>
              <w:t>6,506.3</w:t>
            </w:r>
          </w:p>
        </w:tc>
      </w:tr>
      <w:tr w:rsidR="000055CB" w:rsidRPr="00FF756A" w14:paraId="35B296F9" w14:textId="77777777" w:rsidTr="000055CB">
        <w:trPr>
          <w:trHeight w:val="283"/>
        </w:trPr>
        <w:tc>
          <w:tcPr>
            <w:tcW w:w="45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E9F9D0" w14:textId="77777777" w:rsidR="000055CB" w:rsidRPr="00FF756A" w:rsidRDefault="000055CB">
            <w:pPr>
              <w:spacing w:before="0" w:after="0" w:line="240" w:lineRule="auto"/>
              <w:jc w:val="left"/>
              <w:rPr>
                <w:color w:val="000000" w:themeColor="text1"/>
                <w:lang w:eastAsia="de-DE"/>
              </w:rPr>
            </w:pPr>
            <w:r w:rsidRPr="00FF756A">
              <w:rPr>
                <w:color w:val="000000" w:themeColor="text1"/>
                <w:lang w:eastAsia="de-DE"/>
              </w:rPr>
              <w:t>Gjithsej</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214BA5" w14:textId="77777777" w:rsidR="000055CB" w:rsidRPr="00FF756A" w:rsidRDefault="000055CB">
            <w:pPr>
              <w:spacing w:before="0" w:after="0" w:line="240" w:lineRule="auto"/>
              <w:jc w:val="left"/>
              <w:rPr>
                <w:color w:val="000000" w:themeColor="text1"/>
                <w:lang w:eastAsia="de-DE"/>
              </w:rPr>
            </w:pPr>
            <w:r w:rsidRPr="00FF756A">
              <w:rPr>
                <w:lang w:eastAsia="de-DE"/>
              </w:rPr>
              <w:t>11,719.8</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C5FE3C9" w14:textId="77777777" w:rsidR="000055CB" w:rsidRPr="00FF756A" w:rsidRDefault="000055CB" w:rsidP="006051DC">
            <w:pPr>
              <w:keepNext/>
              <w:spacing w:before="0" w:after="0" w:line="240" w:lineRule="auto"/>
              <w:jc w:val="left"/>
              <w:rPr>
                <w:b/>
                <w:bCs/>
                <w:color w:val="000000" w:themeColor="text1"/>
                <w:lang w:eastAsia="de-DE"/>
              </w:rPr>
            </w:pPr>
            <w:r w:rsidRPr="00FF756A">
              <w:rPr>
                <w:b/>
                <w:bCs/>
                <w:lang w:eastAsia="de-DE"/>
              </w:rPr>
              <w:t>10,858.0</w:t>
            </w:r>
          </w:p>
        </w:tc>
      </w:tr>
    </w:tbl>
    <w:p w14:paraId="1F56992A" w14:textId="2FDF5F2D" w:rsidR="000055CB" w:rsidRPr="00FF756A" w:rsidRDefault="006051DC" w:rsidP="006051DC">
      <w:pPr>
        <w:pStyle w:val="Caption"/>
        <w:rPr>
          <w:rFonts w:ascii="Times New Roman" w:hAnsi="Times New Roman"/>
          <w:color w:val="000000" w:themeColor="text1"/>
        </w:rPr>
      </w:pPr>
      <w:bookmarkStart w:id="197" w:name="_Toc183016478"/>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14</w:t>
      </w:r>
      <w:r w:rsidR="008E7DE9" w:rsidRPr="00FF756A">
        <w:rPr>
          <w:rFonts w:ascii="Times New Roman" w:hAnsi="Times New Roman"/>
          <w:noProof/>
        </w:rPr>
        <w:fldChar w:fldCharType="end"/>
      </w:r>
      <w:r w:rsidRPr="00FF756A">
        <w:rPr>
          <w:rFonts w:ascii="Times New Roman" w:hAnsi="Times New Roman"/>
        </w:rPr>
        <w:t>:</w:t>
      </w:r>
      <w:r w:rsidR="007834EE" w:rsidRPr="00FF756A">
        <w:rPr>
          <w:rFonts w:ascii="Times New Roman" w:hAnsi="Times New Roman"/>
        </w:rPr>
        <w:t>Shkarkimet</w:t>
      </w:r>
      <w:r w:rsidR="007A3515" w:rsidRPr="00FF756A">
        <w:rPr>
          <w:rFonts w:ascii="Times New Roman" w:hAnsi="Times New Roman"/>
        </w:rPr>
        <w:t xml:space="preserve"> </w:t>
      </w:r>
      <w:r w:rsidR="007834EE" w:rsidRPr="00FF756A">
        <w:rPr>
          <w:rFonts w:ascii="Times New Roman" w:hAnsi="Times New Roman"/>
        </w:rPr>
        <w:t xml:space="preserve">e </w:t>
      </w:r>
      <w:r w:rsidR="007A3515" w:rsidRPr="00FF756A">
        <w:rPr>
          <w:rFonts w:ascii="Times New Roman" w:hAnsi="Times New Roman"/>
        </w:rPr>
        <w:t>G</w:t>
      </w:r>
      <w:r w:rsidR="007834EE" w:rsidRPr="00FF756A">
        <w:rPr>
          <w:rFonts w:ascii="Times New Roman" w:hAnsi="Times New Roman"/>
        </w:rPr>
        <w:t>ES-ve</w:t>
      </w:r>
      <w:r w:rsidRPr="00FF756A">
        <w:rPr>
          <w:rFonts w:ascii="Times New Roman" w:hAnsi="Times New Roman"/>
        </w:rPr>
        <w:t xml:space="preserve"> [kt CO2eq] siç janë parashikuar me masat ekzistuese dhe me masa shtesë për vitin 2030 për të gjithë ekonominë</w:t>
      </w:r>
      <w:bookmarkEnd w:id="197"/>
    </w:p>
    <w:p w14:paraId="583E9767" w14:textId="77777777" w:rsidR="000055CB" w:rsidRPr="00FF756A" w:rsidRDefault="000055CB" w:rsidP="000055CB">
      <w:pPr>
        <w:pStyle w:val="Caption"/>
        <w:rPr>
          <w:rFonts w:ascii="Times New Roman" w:hAnsi="Times New Roman"/>
          <w:color w:val="000000" w:themeColor="text1"/>
        </w:rPr>
      </w:pPr>
    </w:p>
    <w:tbl>
      <w:tblPr>
        <w:tblStyle w:val="TableGrid"/>
        <w:tblW w:w="9071" w:type="dxa"/>
        <w:tblLook w:val="04A0" w:firstRow="1" w:lastRow="0" w:firstColumn="1" w:lastColumn="0" w:noHBand="0" w:noVBand="1"/>
      </w:tblPr>
      <w:tblGrid>
        <w:gridCol w:w="4535"/>
        <w:gridCol w:w="2268"/>
        <w:gridCol w:w="2268"/>
      </w:tblGrid>
      <w:tr w:rsidR="000055CB" w:rsidRPr="00FF756A" w14:paraId="132A8802" w14:textId="77777777" w:rsidTr="000055CB">
        <w:trPr>
          <w:trHeight w:val="283"/>
        </w:trPr>
        <w:tc>
          <w:tcPr>
            <w:tcW w:w="45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4433EA1" w14:textId="77777777" w:rsidR="000055CB" w:rsidRPr="00FF756A" w:rsidRDefault="000055CB">
            <w:pPr>
              <w:spacing w:before="0" w:line="240" w:lineRule="auto"/>
              <w:jc w:val="left"/>
              <w:rPr>
                <w:color w:val="000000" w:themeColor="text1"/>
                <w:lang w:eastAsia="de-DE"/>
              </w:rPr>
            </w:pPr>
            <w:r w:rsidRPr="00FF756A">
              <w:rPr>
                <w:color w:val="000000" w:themeColor="text1"/>
                <w:lang w:eastAsia="de-DE"/>
              </w:rPr>
              <w:t>Sektori</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C69C20" w14:textId="77777777" w:rsidR="000055CB" w:rsidRPr="00FF756A" w:rsidRDefault="000055CB">
            <w:pPr>
              <w:spacing w:before="0" w:line="240" w:lineRule="auto"/>
              <w:jc w:val="left"/>
              <w:rPr>
                <w:color w:val="000000" w:themeColor="text1"/>
                <w:lang w:eastAsia="de-DE"/>
              </w:rPr>
            </w:pPr>
            <w:r w:rsidRPr="00FF756A">
              <w:rPr>
                <w:color w:val="000000" w:themeColor="text1"/>
                <w:lang w:eastAsia="de-DE"/>
              </w:rPr>
              <w:t>WEM 2030</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60585C" w14:textId="77777777" w:rsidR="000055CB" w:rsidRPr="00FF756A" w:rsidRDefault="000055CB">
            <w:pPr>
              <w:spacing w:before="0" w:line="240" w:lineRule="auto"/>
              <w:jc w:val="left"/>
              <w:rPr>
                <w:b/>
                <w:bCs/>
                <w:color w:val="000000" w:themeColor="text1"/>
                <w:lang w:eastAsia="de-DE"/>
              </w:rPr>
            </w:pPr>
            <w:r w:rsidRPr="00FF756A">
              <w:rPr>
                <w:b/>
                <w:bCs/>
                <w:color w:val="000000" w:themeColor="text1"/>
                <w:lang w:eastAsia="de-DE"/>
              </w:rPr>
              <w:t>WAM 2030</w:t>
            </w:r>
          </w:p>
        </w:tc>
      </w:tr>
      <w:tr w:rsidR="000055CB" w:rsidRPr="00FF756A" w14:paraId="14FCCF91" w14:textId="77777777" w:rsidTr="000055CB">
        <w:trPr>
          <w:trHeight w:val="283"/>
        </w:trPr>
        <w:tc>
          <w:tcPr>
            <w:tcW w:w="4535" w:type="dxa"/>
            <w:tcBorders>
              <w:top w:val="single" w:sz="4" w:space="0" w:color="auto"/>
              <w:left w:val="single" w:sz="4" w:space="0" w:color="auto"/>
              <w:bottom w:val="single" w:sz="4" w:space="0" w:color="auto"/>
              <w:right w:val="single" w:sz="4" w:space="0" w:color="auto"/>
            </w:tcBorders>
            <w:vAlign w:val="center"/>
            <w:hideMark/>
          </w:tcPr>
          <w:p w14:paraId="61B06C3F" w14:textId="77777777" w:rsidR="000055CB" w:rsidRPr="00FF756A" w:rsidRDefault="000055CB">
            <w:pPr>
              <w:spacing w:before="0" w:line="240" w:lineRule="auto"/>
              <w:jc w:val="left"/>
              <w:rPr>
                <w:color w:val="000000" w:themeColor="text1"/>
                <w:lang w:eastAsia="de-DE"/>
              </w:rPr>
            </w:pPr>
            <w:r w:rsidRPr="00FF756A">
              <w:rPr>
                <w:rFonts w:eastAsia="Times New Roman"/>
                <w:color w:val="000000" w:themeColor="text1"/>
                <w:lang w:eastAsia="de-DE"/>
              </w:rPr>
              <w:t>Rezidenciale</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8359D94" w14:textId="77777777" w:rsidR="000055CB" w:rsidRPr="00FF756A" w:rsidRDefault="000055CB">
            <w:pPr>
              <w:spacing w:before="0" w:line="240" w:lineRule="auto"/>
              <w:jc w:val="left"/>
              <w:rPr>
                <w:color w:val="000000" w:themeColor="text1"/>
                <w:lang w:eastAsia="de-DE"/>
              </w:rPr>
            </w:pPr>
            <w:r w:rsidRPr="00FF756A">
              <w:rPr>
                <w:color w:val="000000" w:themeColor="text1"/>
                <w:lang w:eastAsia="de-DE"/>
              </w:rPr>
              <w:t>310.2</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BEB17CC" w14:textId="77777777" w:rsidR="000055CB" w:rsidRPr="00FF756A" w:rsidRDefault="000055CB">
            <w:pPr>
              <w:spacing w:before="0" w:line="240" w:lineRule="auto"/>
              <w:jc w:val="left"/>
              <w:rPr>
                <w:b/>
                <w:bCs/>
                <w:color w:val="000000" w:themeColor="text1"/>
                <w:lang w:eastAsia="de-DE"/>
              </w:rPr>
            </w:pPr>
            <w:r w:rsidRPr="00FF756A">
              <w:rPr>
                <w:b/>
                <w:bCs/>
                <w:color w:val="000000" w:themeColor="text1"/>
                <w:lang w:eastAsia="de-DE"/>
              </w:rPr>
              <w:t>291.6</w:t>
            </w:r>
          </w:p>
        </w:tc>
      </w:tr>
      <w:tr w:rsidR="000055CB" w:rsidRPr="00FF756A" w14:paraId="10DF3F86" w14:textId="77777777" w:rsidTr="000055CB">
        <w:trPr>
          <w:trHeight w:val="283"/>
        </w:trPr>
        <w:tc>
          <w:tcPr>
            <w:tcW w:w="4535" w:type="dxa"/>
            <w:tcBorders>
              <w:top w:val="single" w:sz="4" w:space="0" w:color="auto"/>
              <w:left w:val="single" w:sz="4" w:space="0" w:color="auto"/>
              <w:bottom w:val="single" w:sz="4" w:space="0" w:color="auto"/>
              <w:right w:val="single" w:sz="4" w:space="0" w:color="auto"/>
            </w:tcBorders>
            <w:vAlign w:val="center"/>
            <w:hideMark/>
          </w:tcPr>
          <w:p w14:paraId="41B3BB14" w14:textId="77777777" w:rsidR="000055CB" w:rsidRPr="00FF756A" w:rsidRDefault="000055CB">
            <w:pPr>
              <w:spacing w:before="0" w:line="240" w:lineRule="auto"/>
              <w:jc w:val="left"/>
              <w:rPr>
                <w:color w:val="000000" w:themeColor="text1"/>
                <w:lang w:eastAsia="de-DE"/>
              </w:rPr>
            </w:pPr>
            <w:r w:rsidRPr="00FF756A">
              <w:rPr>
                <w:rFonts w:eastAsia="Times New Roman"/>
                <w:color w:val="000000" w:themeColor="text1"/>
                <w:lang w:eastAsia="de-DE"/>
              </w:rPr>
              <w:t>Shërbimet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71CBA18" w14:textId="77777777" w:rsidR="000055CB" w:rsidRPr="00FF756A" w:rsidRDefault="000055CB">
            <w:pPr>
              <w:spacing w:before="0" w:line="240" w:lineRule="auto"/>
              <w:jc w:val="left"/>
              <w:rPr>
                <w:color w:val="000000" w:themeColor="text1"/>
                <w:lang w:eastAsia="de-DE"/>
              </w:rPr>
            </w:pPr>
            <w:r w:rsidRPr="00FF756A">
              <w:rPr>
                <w:color w:val="000000" w:themeColor="text1"/>
                <w:lang w:eastAsia="de-DE"/>
              </w:rPr>
              <w:t>281.9</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41BFDAB" w14:textId="77777777" w:rsidR="000055CB" w:rsidRPr="00FF756A" w:rsidRDefault="000055CB">
            <w:pPr>
              <w:spacing w:before="0" w:line="240" w:lineRule="auto"/>
              <w:jc w:val="left"/>
              <w:rPr>
                <w:b/>
                <w:bCs/>
                <w:color w:val="000000" w:themeColor="text1"/>
                <w:lang w:eastAsia="de-DE"/>
              </w:rPr>
            </w:pPr>
            <w:r w:rsidRPr="00FF756A">
              <w:rPr>
                <w:b/>
                <w:bCs/>
                <w:color w:val="000000" w:themeColor="text1"/>
                <w:lang w:eastAsia="de-DE"/>
              </w:rPr>
              <w:t>247.0</w:t>
            </w:r>
          </w:p>
        </w:tc>
      </w:tr>
      <w:tr w:rsidR="000055CB" w:rsidRPr="00FF756A" w14:paraId="721725FF" w14:textId="77777777" w:rsidTr="000055CB">
        <w:trPr>
          <w:trHeight w:val="283"/>
        </w:trPr>
        <w:tc>
          <w:tcPr>
            <w:tcW w:w="4535" w:type="dxa"/>
            <w:tcBorders>
              <w:top w:val="single" w:sz="4" w:space="0" w:color="auto"/>
              <w:left w:val="single" w:sz="4" w:space="0" w:color="auto"/>
              <w:bottom w:val="single" w:sz="4" w:space="0" w:color="auto"/>
              <w:right w:val="single" w:sz="4" w:space="0" w:color="auto"/>
            </w:tcBorders>
            <w:vAlign w:val="center"/>
            <w:hideMark/>
          </w:tcPr>
          <w:p w14:paraId="5F94A635" w14:textId="77777777" w:rsidR="000055CB" w:rsidRPr="00FF756A" w:rsidRDefault="000055CB">
            <w:pPr>
              <w:spacing w:before="0" w:line="240" w:lineRule="auto"/>
              <w:jc w:val="left"/>
              <w:rPr>
                <w:color w:val="C00000"/>
                <w:lang w:eastAsia="de-DE"/>
              </w:rPr>
            </w:pPr>
            <w:r w:rsidRPr="00FF756A">
              <w:rPr>
                <w:rFonts w:eastAsia="Times New Roman"/>
                <w:color w:val="C00000"/>
                <w:lang w:eastAsia="de-DE"/>
              </w:rPr>
              <w:t>Industria</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4B937BD" w14:textId="77777777" w:rsidR="000055CB" w:rsidRPr="00FF756A" w:rsidRDefault="000055CB">
            <w:pPr>
              <w:spacing w:before="0" w:line="240" w:lineRule="auto"/>
              <w:jc w:val="left"/>
              <w:rPr>
                <w:color w:val="C00000"/>
                <w:lang w:eastAsia="de-DE"/>
              </w:rPr>
            </w:pPr>
            <w:r w:rsidRPr="00FF756A">
              <w:rPr>
                <w:color w:val="C00000"/>
                <w:lang w:eastAsia="de-DE"/>
              </w:rPr>
              <w:t>1,415.0</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09C2A7F" w14:textId="77777777" w:rsidR="000055CB" w:rsidRPr="00FF756A" w:rsidRDefault="000055CB">
            <w:pPr>
              <w:spacing w:before="0" w:line="240" w:lineRule="auto"/>
              <w:jc w:val="left"/>
              <w:rPr>
                <w:b/>
                <w:bCs/>
                <w:color w:val="C00000"/>
                <w:lang w:eastAsia="de-DE"/>
              </w:rPr>
            </w:pPr>
            <w:r w:rsidRPr="00FF756A">
              <w:rPr>
                <w:b/>
                <w:bCs/>
                <w:color w:val="C00000"/>
                <w:lang w:eastAsia="de-DE"/>
              </w:rPr>
              <w:t>1,233.6</w:t>
            </w:r>
          </w:p>
        </w:tc>
      </w:tr>
      <w:tr w:rsidR="000055CB" w:rsidRPr="00FF756A" w14:paraId="22324487" w14:textId="77777777" w:rsidTr="000055CB">
        <w:trPr>
          <w:trHeight w:val="283"/>
        </w:trPr>
        <w:tc>
          <w:tcPr>
            <w:tcW w:w="4535" w:type="dxa"/>
            <w:tcBorders>
              <w:top w:val="single" w:sz="4" w:space="0" w:color="auto"/>
              <w:left w:val="single" w:sz="4" w:space="0" w:color="auto"/>
              <w:bottom w:val="single" w:sz="4" w:space="0" w:color="auto"/>
              <w:right w:val="single" w:sz="4" w:space="0" w:color="auto"/>
            </w:tcBorders>
            <w:vAlign w:val="center"/>
            <w:hideMark/>
          </w:tcPr>
          <w:p w14:paraId="7D199BFF" w14:textId="77777777" w:rsidR="000055CB" w:rsidRPr="00FF756A" w:rsidRDefault="000055CB">
            <w:pPr>
              <w:spacing w:before="0" w:line="240" w:lineRule="auto"/>
              <w:jc w:val="left"/>
              <w:rPr>
                <w:color w:val="C00000"/>
                <w:lang w:eastAsia="de-DE"/>
              </w:rPr>
            </w:pPr>
            <w:r w:rsidRPr="00FF756A">
              <w:rPr>
                <w:rFonts w:eastAsia="Times New Roman"/>
                <w:color w:val="C00000"/>
                <w:lang w:eastAsia="de-DE"/>
              </w:rPr>
              <w:t>Transporti</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A828949" w14:textId="77777777" w:rsidR="000055CB" w:rsidRPr="00FF756A" w:rsidRDefault="000055CB">
            <w:pPr>
              <w:spacing w:before="0" w:line="240" w:lineRule="auto"/>
              <w:jc w:val="left"/>
              <w:rPr>
                <w:color w:val="C00000"/>
                <w:lang w:eastAsia="de-DE"/>
              </w:rPr>
            </w:pPr>
            <w:r w:rsidRPr="00FF756A">
              <w:rPr>
                <w:color w:val="C00000"/>
                <w:lang w:eastAsia="de-DE"/>
              </w:rPr>
              <w:t>2,457.4</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CD994E7" w14:textId="77777777" w:rsidR="000055CB" w:rsidRPr="00FF756A" w:rsidRDefault="000055CB">
            <w:pPr>
              <w:spacing w:before="0" w:line="240" w:lineRule="auto"/>
              <w:jc w:val="left"/>
              <w:rPr>
                <w:b/>
                <w:bCs/>
                <w:color w:val="C00000"/>
                <w:lang w:eastAsia="de-DE"/>
              </w:rPr>
            </w:pPr>
            <w:r w:rsidRPr="00FF756A">
              <w:rPr>
                <w:b/>
                <w:bCs/>
                <w:color w:val="C00000"/>
                <w:lang w:eastAsia="de-DE"/>
              </w:rPr>
              <w:t>2,024.9</w:t>
            </w:r>
          </w:p>
        </w:tc>
      </w:tr>
      <w:tr w:rsidR="000055CB" w:rsidRPr="00FF756A" w14:paraId="522A53FE" w14:textId="77777777" w:rsidTr="000055CB">
        <w:trPr>
          <w:trHeight w:val="283"/>
        </w:trPr>
        <w:tc>
          <w:tcPr>
            <w:tcW w:w="4535" w:type="dxa"/>
            <w:tcBorders>
              <w:top w:val="single" w:sz="4" w:space="0" w:color="auto"/>
              <w:left w:val="single" w:sz="4" w:space="0" w:color="auto"/>
              <w:bottom w:val="single" w:sz="4" w:space="0" w:color="auto"/>
              <w:right w:val="single" w:sz="4" w:space="0" w:color="auto"/>
            </w:tcBorders>
            <w:vAlign w:val="center"/>
            <w:hideMark/>
          </w:tcPr>
          <w:p w14:paraId="7D7BA404" w14:textId="77777777" w:rsidR="000055CB" w:rsidRPr="00FF756A" w:rsidRDefault="000055CB">
            <w:pPr>
              <w:spacing w:before="0" w:line="240" w:lineRule="auto"/>
              <w:jc w:val="left"/>
              <w:rPr>
                <w:rFonts w:eastAsia="Times New Roman"/>
                <w:color w:val="000000" w:themeColor="text1"/>
                <w:lang w:eastAsia="de-DE"/>
              </w:rPr>
            </w:pPr>
            <w:r w:rsidRPr="00FF756A">
              <w:rPr>
                <w:rFonts w:eastAsia="Times New Roman"/>
                <w:color w:val="000000" w:themeColor="text1"/>
                <w:lang w:eastAsia="de-DE"/>
              </w:rPr>
              <w:t>Pylltaria Bujqësore</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B501768" w14:textId="77777777" w:rsidR="000055CB" w:rsidRPr="00FF756A" w:rsidRDefault="000055CB">
            <w:pPr>
              <w:spacing w:before="0" w:line="240" w:lineRule="auto"/>
              <w:jc w:val="left"/>
              <w:rPr>
                <w:color w:val="000000" w:themeColor="text1"/>
                <w:lang w:eastAsia="de-DE"/>
              </w:rPr>
            </w:pPr>
            <w:r w:rsidRPr="00FF756A">
              <w:rPr>
                <w:color w:val="000000" w:themeColor="text1"/>
                <w:lang w:eastAsia="de-DE"/>
              </w:rPr>
              <w:t>221.1</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A9E9E44" w14:textId="77777777" w:rsidR="000055CB" w:rsidRPr="00FF756A" w:rsidRDefault="000055CB">
            <w:pPr>
              <w:spacing w:before="0" w:line="240" w:lineRule="auto"/>
              <w:jc w:val="left"/>
              <w:rPr>
                <w:b/>
                <w:bCs/>
                <w:color w:val="000000" w:themeColor="text1"/>
                <w:lang w:eastAsia="de-DE"/>
              </w:rPr>
            </w:pPr>
            <w:r w:rsidRPr="00FF756A">
              <w:rPr>
                <w:b/>
                <w:bCs/>
                <w:color w:val="000000" w:themeColor="text1"/>
                <w:lang w:eastAsia="de-DE"/>
              </w:rPr>
              <w:t>221.1</w:t>
            </w:r>
          </w:p>
        </w:tc>
      </w:tr>
      <w:tr w:rsidR="000055CB" w:rsidRPr="00FF756A" w14:paraId="49C19597" w14:textId="77777777" w:rsidTr="000055CB">
        <w:trPr>
          <w:trHeight w:val="283"/>
        </w:trPr>
        <w:tc>
          <w:tcPr>
            <w:tcW w:w="4535" w:type="dxa"/>
            <w:tcBorders>
              <w:top w:val="single" w:sz="4" w:space="0" w:color="auto"/>
              <w:left w:val="single" w:sz="4" w:space="0" w:color="auto"/>
              <w:bottom w:val="single" w:sz="4" w:space="0" w:color="auto"/>
              <w:right w:val="single" w:sz="4" w:space="0" w:color="auto"/>
            </w:tcBorders>
            <w:vAlign w:val="center"/>
            <w:hideMark/>
          </w:tcPr>
          <w:p w14:paraId="3CE52771" w14:textId="54FBBA7C" w:rsidR="000055CB" w:rsidRPr="00FF756A" w:rsidRDefault="000055CB">
            <w:pPr>
              <w:spacing w:before="0" w:line="240" w:lineRule="auto"/>
              <w:jc w:val="left"/>
              <w:rPr>
                <w:rFonts w:eastAsia="Times New Roman"/>
                <w:color w:val="000000" w:themeColor="text1"/>
                <w:lang w:eastAsia="de-DE"/>
              </w:rPr>
            </w:pPr>
            <w:r w:rsidRPr="00FF756A">
              <w:rPr>
                <w:rFonts w:eastAsia="Times New Roman"/>
                <w:color w:val="000000" w:themeColor="text1"/>
                <w:lang w:eastAsia="de-DE"/>
              </w:rPr>
              <w:t>Peshkimi</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E26F0AB" w14:textId="77777777" w:rsidR="000055CB" w:rsidRPr="00FF756A" w:rsidRDefault="000055CB">
            <w:pPr>
              <w:spacing w:before="0" w:line="240" w:lineRule="auto"/>
              <w:jc w:val="left"/>
              <w:rPr>
                <w:color w:val="000000" w:themeColor="text1"/>
                <w:lang w:eastAsia="de-DE"/>
              </w:rPr>
            </w:pPr>
            <w:r w:rsidRPr="00FF756A">
              <w:rPr>
                <w:color w:val="000000" w:themeColor="text1"/>
                <w:lang w:eastAsia="de-DE"/>
              </w:rPr>
              <w:t>174.5</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6EBA90F" w14:textId="77777777" w:rsidR="000055CB" w:rsidRPr="00FF756A" w:rsidRDefault="000055CB">
            <w:pPr>
              <w:spacing w:before="0" w:line="240" w:lineRule="auto"/>
              <w:jc w:val="left"/>
              <w:rPr>
                <w:b/>
                <w:bCs/>
                <w:color w:val="000000" w:themeColor="text1"/>
                <w:lang w:eastAsia="de-DE"/>
              </w:rPr>
            </w:pPr>
            <w:r w:rsidRPr="00FF756A">
              <w:rPr>
                <w:b/>
                <w:bCs/>
                <w:color w:val="000000" w:themeColor="text1"/>
                <w:lang w:eastAsia="de-DE"/>
              </w:rPr>
              <w:t>174.5</w:t>
            </w:r>
          </w:p>
        </w:tc>
      </w:tr>
      <w:tr w:rsidR="000055CB" w:rsidRPr="00FF756A" w14:paraId="235A7347" w14:textId="77777777" w:rsidTr="000055CB">
        <w:trPr>
          <w:trHeight w:val="283"/>
        </w:trPr>
        <w:tc>
          <w:tcPr>
            <w:tcW w:w="45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94A67C" w14:textId="77777777" w:rsidR="000055CB" w:rsidRPr="00FF756A" w:rsidRDefault="000055CB">
            <w:pPr>
              <w:spacing w:before="0" w:line="240" w:lineRule="auto"/>
              <w:jc w:val="left"/>
              <w:rPr>
                <w:rFonts w:eastAsia="Times New Roman"/>
                <w:color w:val="000000" w:themeColor="text1"/>
                <w:lang w:eastAsia="de-DE"/>
              </w:rPr>
            </w:pPr>
            <w:r w:rsidRPr="00FF756A">
              <w:rPr>
                <w:rFonts w:eastAsia="Times New Roman"/>
                <w:color w:val="000000" w:themeColor="text1"/>
                <w:lang w:eastAsia="de-DE"/>
              </w:rPr>
              <w:t>Gjithsej</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C3BAB7" w14:textId="77777777" w:rsidR="000055CB" w:rsidRPr="00FF756A" w:rsidRDefault="000055CB">
            <w:pPr>
              <w:spacing w:before="0" w:line="240" w:lineRule="auto"/>
              <w:jc w:val="left"/>
              <w:rPr>
                <w:color w:val="000000" w:themeColor="text1"/>
                <w:lang w:eastAsia="de-DE"/>
              </w:rPr>
            </w:pPr>
            <w:r w:rsidRPr="00FF756A">
              <w:rPr>
                <w:color w:val="000000" w:themeColor="text1"/>
                <w:lang w:eastAsia="de-DE"/>
              </w:rPr>
              <w:t>4,860.2</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EDEC5E3" w14:textId="77777777" w:rsidR="000055CB" w:rsidRPr="00FF756A" w:rsidRDefault="000055CB" w:rsidP="006051DC">
            <w:pPr>
              <w:keepNext/>
              <w:spacing w:before="0" w:line="240" w:lineRule="auto"/>
              <w:jc w:val="left"/>
              <w:rPr>
                <w:b/>
                <w:bCs/>
                <w:color w:val="000000" w:themeColor="text1"/>
                <w:lang w:eastAsia="de-DE"/>
              </w:rPr>
            </w:pPr>
            <w:r w:rsidRPr="00FF756A">
              <w:rPr>
                <w:b/>
                <w:bCs/>
                <w:color w:val="000000" w:themeColor="text1"/>
                <w:lang w:eastAsia="de-DE"/>
              </w:rPr>
              <w:t>4,192.7</w:t>
            </w:r>
          </w:p>
        </w:tc>
      </w:tr>
    </w:tbl>
    <w:p w14:paraId="41C87352" w14:textId="6FF8FC1D" w:rsidR="000055CB" w:rsidRPr="00FF756A" w:rsidRDefault="006051DC" w:rsidP="006051DC">
      <w:pPr>
        <w:pStyle w:val="Caption"/>
        <w:rPr>
          <w:rFonts w:ascii="Times New Roman" w:hAnsi="Times New Roman"/>
        </w:rPr>
      </w:pPr>
      <w:bookmarkStart w:id="198" w:name="_Toc183016479"/>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15</w:t>
      </w:r>
      <w:r w:rsidR="008E7DE9" w:rsidRPr="00FF756A">
        <w:rPr>
          <w:rFonts w:ascii="Times New Roman" w:hAnsi="Times New Roman"/>
          <w:noProof/>
        </w:rPr>
        <w:fldChar w:fldCharType="end"/>
      </w:r>
      <w:r w:rsidRPr="00FF756A">
        <w:rPr>
          <w:rFonts w:ascii="Times New Roman" w:hAnsi="Times New Roman"/>
        </w:rPr>
        <w:t xml:space="preserve">: </w:t>
      </w:r>
      <w:r w:rsidR="007A3515" w:rsidRPr="00FF756A">
        <w:rPr>
          <w:rFonts w:ascii="Times New Roman" w:hAnsi="Times New Roman"/>
        </w:rPr>
        <w:t>Shkarkimet e GES-ve</w:t>
      </w:r>
      <w:r w:rsidRPr="00FF756A">
        <w:rPr>
          <w:rFonts w:ascii="Times New Roman" w:hAnsi="Times New Roman"/>
        </w:rPr>
        <w:t>[kt CO2eq] siç janë parashikuar me masat ekzistuese dhe me masa shtesë për vitin 2030 për sektorët specifikë të kërkesës</w:t>
      </w:r>
      <w:bookmarkEnd w:id="198"/>
    </w:p>
    <w:p w14:paraId="10DE05ED" w14:textId="77777777" w:rsidR="007A3515" w:rsidRPr="00FF756A" w:rsidRDefault="007A3515" w:rsidP="004A3257"/>
    <w:tbl>
      <w:tblPr>
        <w:tblStyle w:val="TableGrid"/>
        <w:tblW w:w="9071" w:type="dxa"/>
        <w:tblInd w:w="-38" w:type="dxa"/>
        <w:tblLook w:val="04A0" w:firstRow="1" w:lastRow="0" w:firstColumn="1" w:lastColumn="0" w:noHBand="0" w:noVBand="1"/>
      </w:tblPr>
      <w:tblGrid>
        <w:gridCol w:w="4535"/>
        <w:gridCol w:w="2268"/>
        <w:gridCol w:w="2268"/>
      </w:tblGrid>
      <w:tr w:rsidR="000055CB" w:rsidRPr="00FF756A" w14:paraId="10E90F0D" w14:textId="77777777" w:rsidTr="000055CB">
        <w:trPr>
          <w:trHeight w:val="283"/>
        </w:trPr>
        <w:tc>
          <w:tcPr>
            <w:tcW w:w="45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1FCF2DF" w14:textId="77777777" w:rsidR="000055CB" w:rsidRPr="00FF756A" w:rsidRDefault="000055CB">
            <w:pPr>
              <w:spacing w:before="0" w:after="0" w:line="240" w:lineRule="auto"/>
              <w:jc w:val="left"/>
              <w:rPr>
                <w:color w:val="000000" w:themeColor="text1"/>
                <w:lang w:eastAsia="de-DE"/>
              </w:rPr>
            </w:pPr>
            <w:r w:rsidRPr="00FF756A">
              <w:rPr>
                <w:color w:val="000000" w:themeColor="text1"/>
                <w:lang w:eastAsia="de-DE"/>
              </w:rPr>
              <w:t>Sektori</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FE25F0" w14:textId="77777777" w:rsidR="000055CB" w:rsidRPr="00FF756A" w:rsidRDefault="000055CB">
            <w:pPr>
              <w:spacing w:before="0" w:after="0" w:line="240" w:lineRule="auto"/>
              <w:jc w:val="left"/>
              <w:rPr>
                <w:lang w:eastAsia="de-DE"/>
              </w:rPr>
            </w:pPr>
            <w:r w:rsidRPr="00FF756A">
              <w:rPr>
                <w:color w:val="000000" w:themeColor="text1"/>
                <w:lang w:eastAsia="de-DE"/>
              </w:rPr>
              <w:t>WEM 2030</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4022241" w14:textId="77777777" w:rsidR="000055CB" w:rsidRPr="00FF756A" w:rsidRDefault="000055CB">
            <w:pPr>
              <w:spacing w:before="0" w:after="0" w:line="240" w:lineRule="auto"/>
              <w:jc w:val="left"/>
              <w:rPr>
                <w:b/>
                <w:bCs/>
                <w:lang w:eastAsia="de-DE"/>
              </w:rPr>
            </w:pPr>
            <w:r w:rsidRPr="00FF756A">
              <w:rPr>
                <w:b/>
                <w:bCs/>
                <w:color w:val="000000" w:themeColor="text1"/>
                <w:lang w:eastAsia="de-DE"/>
              </w:rPr>
              <w:t>WAM 2030</w:t>
            </w:r>
          </w:p>
        </w:tc>
      </w:tr>
      <w:tr w:rsidR="000055CB" w:rsidRPr="00FF756A" w14:paraId="30EC0990" w14:textId="77777777" w:rsidTr="000055CB">
        <w:trPr>
          <w:trHeight w:val="283"/>
        </w:trPr>
        <w:tc>
          <w:tcPr>
            <w:tcW w:w="4535" w:type="dxa"/>
            <w:tcBorders>
              <w:top w:val="single" w:sz="4" w:space="0" w:color="auto"/>
              <w:left w:val="single" w:sz="4" w:space="0" w:color="auto"/>
              <w:bottom w:val="single" w:sz="4" w:space="0" w:color="auto"/>
              <w:right w:val="single" w:sz="4" w:space="0" w:color="auto"/>
            </w:tcBorders>
            <w:vAlign w:val="center"/>
            <w:hideMark/>
          </w:tcPr>
          <w:p w14:paraId="57F32DE1" w14:textId="77777777" w:rsidR="000055CB" w:rsidRPr="00FF756A" w:rsidRDefault="000055CB">
            <w:pPr>
              <w:spacing w:before="0" w:after="0" w:line="240" w:lineRule="auto"/>
              <w:jc w:val="left"/>
              <w:rPr>
                <w:color w:val="C00000"/>
                <w:lang w:eastAsia="de-DE"/>
              </w:rPr>
            </w:pPr>
            <w:r w:rsidRPr="00FF756A">
              <w:rPr>
                <w:rFonts w:eastAsia="Times New Roman"/>
                <w:color w:val="C00000"/>
                <w:lang w:eastAsia="de-DE"/>
              </w:rPr>
              <w:t>IPPU (Proceset industriale dhe përdorimi i produktit)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733E782" w14:textId="77777777" w:rsidR="000055CB" w:rsidRPr="00FF756A" w:rsidRDefault="000055CB">
            <w:pPr>
              <w:spacing w:before="0" w:after="0" w:line="240" w:lineRule="auto"/>
              <w:jc w:val="left"/>
              <w:rPr>
                <w:color w:val="C00000"/>
                <w:lang w:eastAsia="de-DE"/>
              </w:rPr>
            </w:pPr>
            <w:r w:rsidRPr="00FF756A">
              <w:rPr>
                <w:color w:val="C00000"/>
                <w:lang w:eastAsia="de-DE"/>
              </w:rPr>
              <w:t>1910.3</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D4526BE" w14:textId="77777777" w:rsidR="000055CB" w:rsidRPr="00FF756A" w:rsidRDefault="000055CB">
            <w:pPr>
              <w:spacing w:before="0" w:after="0" w:line="240" w:lineRule="auto"/>
              <w:jc w:val="left"/>
              <w:rPr>
                <w:b/>
                <w:bCs/>
                <w:color w:val="C00000"/>
                <w:lang w:eastAsia="de-DE"/>
              </w:rPr>
            </w:pPr>
            <w:r w:rsidRPr="00FF756A">
              <w:rPr>
                <w:b/>
                <w:bCs/>
                <w:color w:val="C00000"/>
                <w:lang w:eastAsia="de-DE"/>
              </w:rPr>
              <w:t>2806.3</w:t>
            </w:r>
          </w:p>
        </w:tc>
      </w:tr>
      <w:tr w:rsidR="000055CB" w:rsidRPr="00FF756A" w14:paraId="470E6A71" w14:textId="77777777" w:rsidTr="000055CB">
        <w:trPr>
          <w:trHeight w:val="283"/>
        </w:trPr>
        <w:tc>
          <w:tcPr>
            <w:tcW w:w="4535" w:type="dxa"/>
            <w:tcBorders>
              <w:top w:val="single" w:sz="4" w:space="0" w:color="auto"/>
              <w:left w:val="single" w:sz="4" w:space="0" w:color="auto"/>
              <w:bottom w:val="single" w:sz="4" w:space="0" w:color="auto"/>
              <w:right w:val="single" w:sz="4" w:space="0" w:color="auto"/>
            </w:tcBorders>
            <w:vAlign w:val="center"/>
            <w:hideMark/>
          </w:tcPr>
          <w:p w14:paraId="6A37982D" w14:textId="77777777" w:rsidR="000055CB" w:rsidRPr="00FF756A" w:rsidRDefault="000055CB">
            <w:pPr>
              <w:spacing w:before="0" w:after="0" w:line="240" w:lineRule="auto"/>
              <w:jc w:val="left"/>
              <w:rPr>
                <w:color w:val="C00000"/>
                <w:lang w:eastAsia="de-DE"/>
              </w:rPr>
            </w:pPr>
            <w:r w:rsidRPr="00FF756A">
              <w:rPr>
                <w:rFonts w:eastAsia="Times New Roman"/>
                <w:color w:val="C00000"/>
                <w:lang w:eastAsia="de-DE"/>
              </w:rPr>
              <w:t>Bujqësi (kryesisht Fermentimi Enterik CH4)</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1D5DF65" w14:textId="77777777" w:rsidR="000055CB" w:rsidRPr="00FF756A" w:rsidRDefault="000055CB">
            <w:pPr>
              <w:spacing w:before="0" w:after="0" w:line="240" w:lineRule="auto"/>
              <w:jc w:val="left"/>
              <w:rPr>
                <w:color w:val="C00000"/>
                <w:lang w:eastAsia="de-DE"/>
              </w:rPr>
            </w:pPr>
            <w:r w:rsidRPr="00FF756A">
              <w:rPr>
                <w:color w:val="C00000"/>
                <w:lang w:eastAsia="de-DE"/>
              </w:rPr>
              <w:t>2,286.4</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4E818DB" w14:textId="77777777" w:rsidR="000055CB" w:rsidRPr="00FF756A" w:rsidRDefault="000055CB">
            <w:pPr>
              <w:spacing w:before="0" w:after="0" w:line="240" w:lineRule="auto"/>
              <w:jc w:val="left"/>
              <w:rPr>
                <w:b/>
                <w:bCs/>
                <w:color w:val="C00000"/>
                <w:lang w:eastAsia="de-DE"/>
              </w:rPr>
            </w:pPr>
            <w:r w:rsidRPr="00FF756A">
              <w:rPr>
                <w:b/>
                <w:bCs/>
                <w:color w:val="C00000"/>
                <w:lang w:eastAsia="de-DE"/>
              </w:rPr>
              <w:t>2,225,9</w:t>
            </w:r>
          </w:p>
        </w:tc>
      </w:tr>
      <w:tr w:rsidR="000055CB" w:rsidRPr="00FF756A" w14:paraId="0BE093A9" w14:textId="77777777" w:rsidTr="000055CB">
        <w:trPr>
          <w:trHeight w:val="283"/>
        </w:trPr>
        <w:tc>
          <w:tcPr>
            <w:tcW w:w="4535" w:type="dxa"/>
            <w:tcBorders>
              <w:top w:val="single" w:sz="4" w:space="0" w:color="auto"/>
              <w:left w:val="single" w:sz="4" w:space="0" w:color="auto"/>
              <w:bottom w:val="single" w:sz="4" w:space="0" w:color="auto"/>
              <w:right w:val="single" w:sz="4" w:space="0" w:color="auto"/>
            </w:tcBorders>
            <w:vAlign w:val="center"/>
            <w:hideMark/>
          </w:tcPr>
          <w:p w14:paraId="0F164593" w14:textId="77777777" w:rsidR="000055CB" w:rsidRPr="00FF756A" w:rsidRDefault="000055CB">
            <w:pPr>
              <w:spacing w:before="0" w:after="0" w:line="240" w:lineRule="auto"/>
              <w:jc w:val="left"/>
              <w:rPr>
                <w:color w:val="000000" w:themeColor="text1"/>
                <w:lang w:eastAsia="de-DE"/>
              </w:rPr>
            </w:pPr>
            <w:r w:rsidRPr="00FF756A">
              <w:rPr>
                <w:rFonts w:eastAsia="Times New Roman"/>
                <w:color w:val="000000" w:themeColor="text1"/>
                <w:lang w:eastAsia="de-DE"/>
              </w:rPr>
              <w:t>LULUCF</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477C7AE" w14:textId="77777777" w:rsidR="000055CB" w:rsidRPr="00FF756A" w:rsidRDefault="000055CB">
            <w:pPr>
              <w:spacing w:before="0" w:after="0" w:line="240" w:lineRule="auto"/>
              <w:jc w:val="left"/>
              <w:rPr>
                <w:lang w:eastAsia="de-DE"/>
              </w:rPr>
            </w:pPr>
            <w:r w:rsidRPr="00FF756A">
              <w:rPr>
                <w:lang w:eastAsia="de-DE"/>
              </w:rPr>
              <w:t>1,457,9</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2344FA7" w14:textId="77777777" w:rsidR="000055CB" w:rsidRPr="00FF756A" w:rsidRDefault="000055CB">
            <w:pPr>
              <w:spacing w:before="0" w:after="0" w:line="240" w:lineRule="auto"/>
              <w:jc w:val="left"/>
              <w:rPr>
                <w:b/>
                <w:bCs/>
                <w:lang w:eastAsia="de-DE"/>
              </w:rPr>
            </w:pPr>
            <w:r w:rsidRPr="00FF756A">
              <w:rPr>
                <w:b/>
                <w:bCs/>
                <w:lang w:eastAsia="de-DE"/>
              </w:rPr>
              <w:t>1,515.0</w:t>
            </w:r>
          </w:p>
        </w:tc>
      </w:tr>
      <w:tr w:rsidR="000055CB" w:rsidRPr="00FF756A" w14:paraId="1C87B892" w14:textId="77777777" w:rsidTr="000055CB">
        <w:trPr>
          <w:trHeight w:val="283"/>
        </w:trPr>
        <w:tc>
          <w:tcPr>
            <w:tcW w:w="4535" w:type="dxa"/>
            <w:tcBorders>
              <w:top w:val="single" w:sz="4" w:space="0" w:color="auto"/>
              <w:left w:val="single" w:sz="4" w:space="0" w:color="auto"/>
              <w:bottom w:val="single" w:sz="4" w:space="0" w:color="auto"/>
              <w:right w:val="single" w:sz="4" w:space="0" w:color="auto"/>
            </w:tcBorders>
            <w:vAlign w:val="center"/>
            <w:hideMark/>
          </w:tcPr>
          <w:p w14:paraId="418D73A4" w14:textId="387FE807" w:rsidR="000055CB" w:rsidRPr="00FF756A" w:rsidRDefault="000055CB">
            <w:pPr>
              <w:spacing w:before="0" w:after="0" w:line="240" w:lineRule="auto"/>
              <w:jc w:val="left"/>
              <w:rPr>
                <w:color w:val="000000" w:themeColor="text1"/>
                <w:lang w:eastAsia="de-DE"/>
              </w:rPr>
            </w:pPr>
            <w:r w:rsidRPr="00FF756A">
              <w:rPr>
                <w:rFonts w:eastAsia="Times New Roman"/>
                <w:color w:val="000000" w:themeColor="text1"/>
                <w:lang w:eastAsia="de-DE"/>
              </w:rPr>
              <w:t>Mbet</w:t>
            </w:r>
            <w:r w:rsidR="00F44F91" w:rsidRPr="00FF756A">
              <w:rPr>
                <w:rFonts w:eastAsia="Times New Roman"/>
                <w:color w:val="000000" w:themeColor="text1"/>
                <w:lang w:eastAsia="de-DE"/>
              </w:rPr>
              <w:t>jet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A9A2BB9" w14:textId="77777777" w:rsidR="000055CB" w:rsidRPr="00FF756A" w:rsidRDefault="000055CB">
            <w:pPr>
              <w:spacing w:before="0" w:after="0" w:line="240" w:lineRule="auto"/>
              <w:jc w:val="left"/>
              <w:rPr>
                <w:lang w:eastAsia="de-DE"/>
              </w:rPr>
            </w:pPr>
            <w:r w:rsidRPr="00FF756A">
              <w:rPr>
                <w:lang w:eastAsia="de-DE"/>
              </w:rPr>
              <w:t>1037.8</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78C4D8C" w14:textId="77777777" w:rsidR="000055CB" w:rsidRPr="00FF756A" w:rsidRDefault="000055CB">
            <w:pPr>
              <w:spacing w:before="0" w:after="0" w:line="240" w:lineRule="auto"/>
              <w:jc w:val="left"/>
              <w:rPr>
                <w:b/>
                <w:bCs/>
                <w:lang w:eastAsia="de-DE"/>
              </w:rPr>
            </w:pPr>
            <w:r w:rsidRPr="00FF756A">
              <w:rPr>
                <w:b/>
                <w:bCs/>
                <w:lang w:eastAsia="de-DE"/>
              </w:rPr>
              <w:t>598.2</w:t>
            </w:r>
          </w:p>
        </w:tc>
      </w:tr>
      <w:tr w:rsidR="000055CB" w:rsidRPr="00FF756A" w14:paraId="19A904EE" w14:textId="77777777" w:rsidTr="000055CB">
        <w:trPr>
          <w:trHeight w:val="283"/>
        </w:trPr>
        <w:tc>
          <w:tcPr>
            <w:tcW w:w="45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DC0822C" w14:textId="77777777" w:rsidR="000055CB" w:rsidRPr="00FF756A" w:rsidRDefault="000055CB">
            <w:pPr>
              <w:spacing w:before="0" w:after="0" w:line="240" w:lineRule="auto"/>
              <w:jc w:val="left"/>
              <w:rPr>
                <w:rFonts w:eastAsia="Times New Roman"/>
                <w:color w:val="000000" w:themeColor="text1"/>
                <w:lang w:eastAsia="de-DE"/>
              </w:rPr>
            </w:pPr>
            <w:r w:rsidRPr="00FF756A">
              <w:rPr>
                <w:rFonts w:eastAsia="Times New Roman"/>
                <w:color w:val="000000" w:themeColor="text1"/>
                <w:lang w:eastAsia="de-DE"/>
              </w:rPr>
              <w:t>Gjithsej</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4E903F" w14:textId="77777777" w:rsidR="000055CB" w:rsidRPr="00FF756A" w:rsidRDefault="000055CB">
            <w:pPr>
              <w:spacing w:before="0" w:after="0" w:line="240" w:lineRule="auto"/>
              <w:jc w:val="left"/>
              <w:rPr>
                <w:color w:val="000000" w:themeColor="text1"/>
                <w:lang w:eastAsia="de-DE"/>
              </w:rPr>
            </w:pPr>
            <w:r w:rsidRPr="00FF756A">
              <w:rPr>
                <w:color w:val="000000" w:themeColor="text1"/>
                <w:lang w:eastAsia="de-DE"/>
              </w:rPr>
              <w:t>6,692.5</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00BEEA" w14:textId="77777777" w:rsidR="000055CB" w:rsidRPr="00FF756A" w:rsidRDefault="000055CB" w:rsidP="006051DC">
            <w:pPr>
              <w:keepNext/>
              <w:spacing w:before="0" w:after="0" w:line="240" w:lineRule="auto"/>
              <w:jc w:val="left"/>
              <w:rPr>
                <w:b/>
                <w:bCs/>
                <w:color w:val="000000" w:themeColor="text1"/>
                <w:lang w:eastAsia="de-DE"/>
              </w:rPr>
            </w:pPr>
            <w:r w:rsidRPr="00FF756A">
              <w:rPr>
                <w:b/>
                <w:bCs/>
                <w:color w:val="000000" w:themeColor="text1"/>
                <w:lang w:eastAsia="de-DE"/>
              </w:rPr>
              <w:t>7,145.5</w:t>
            </w:r>
          </w:p>
        </w:tc>
      </w:tr>
    </w:tbl>
    <w:p w14:paraId="6337C1B8" w14:textId="5E18E447" w:rsidR="006051DC" w:rsidRPr="00FF756A" w:rsidRDefault="006051DC">
      <w:pPr>
        <w:pStyle w:val="Caption"/>
        <w:rPr>
          <w:rFonts w:ascii="Times New Roman" w:hAnsi="Times New Roman"/>
        </w:rPr>
      </w:pPr>
      <w:bookmarkStart w:id="199" w:name="_Toc183016480"/>
      <w:bookmarkStart w:id="200" w:name="_Toc181517258"/>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16</w:t>
      </w:r>
      <w:r w:rsidR="008E7DE9" w:rsidRPr="00FF756A">
        <w:rPr>
          <w:rFonts w:ascii="Times New Roman" w:hAnsi="Times New Roman"/>
          <w:noProof/>
        </w:rPr>
        <w:fldChar w:fldCharType="end"/>
      </w:r>
      <w:r w:rsidRPr="00FF756A">
        <w:rPr>
          <w:rFonts w:ascii="Times New Roman" w:hAnsi="Times New Roman"/>
        </w:rPr>
        <w:t xml:space="preserve">: </w:t>
      </w:r>
      <w:r w:rsidR="00F44F91" w:rsidRPr="00FF756A">
        <w:rPr>
          <w:rFonts w:ascii="Times New Roman" w:hAnsi="Times New Roman"/>
        </w:rPr>
        <w:t>Shkarkimet e GES-ve</w:t>
      </w:r>
      <w:r w:rsidRPr="00FF756A">
        <w:rPr>
          <w:rFonts w:ascii="Times New Roman" w:hAnsi="Times New Roman"/>
        </w:rPr>
        <w:t xml:space="preserve"> [kt CO2eq] siç janë parashikuar me masat ekzistuese dhe me masa shtesë për vitin 2030 për sektorët specifikë joenergjetikë</w:t>
      </w:r>
      <w:bookmarkEnd w:id="199"/>
    </w:p>
    <w:bookmarkEnd w:id="200"/>
    <w:p w14:paraId="15E7B6F4" w14:textId="77777777" w:rsidR="000055CB" w:rsidRPr="00FF756A" w:rsidRDefault="000055CB" w:rsidP="000055CB"/>
    <w:p w14:paraId="75626E2D" w14:textId="5B612D0C" w:rsidR="000055CB" w:rsidRPr="00FF756A" w:rsidRDefault="000055CB" w:rsidP="004A3257">
      <w:bookmarkStart w:id="201" w:name="_Toc46945534"/>
      <w:bookmarkStart w:id="202" w:name="_Toc181516985"/>
      <w:r w:rsidRPr="00FF756A">
        <w:rPr>
          <w:b/>
          <w:bCs/>
        </w:rPr>
        <w:t>P</w:t>
      </w:r>
      <w:r w:rsidR="00336EC0" w:rsidRPr="00FF756A">
        <w:rPr>
          <w:b/>
          <w:bCs/>
        </w:rPr>
        <w:t xml:space="preserve">arashikimi </w:t>
      </w:r>
      <w:r w:rsidRPr="00FF756A">
        <w:rPr>
          <w:b/>
          <w:bCs/>
        </w:rPr>
        <w:t>deri në vitin 2050</w:t>
      </w:r>
      <w:bookmarkEnd w:id="201"/>
      <w:bookmarkEnd w:id="202"/>
    </w:p>
    <w:p w14:paraId="5C29B5BF" w14:textId="50F318D1" w:rsidR="000055CB" w:rsidRPr="00FF756A" w:rsidRDefault="000055CB" w:rsidP="000055CB">
      <w:pPr>
        <w:rPr>
          <w:color w:val="000000" w:themeColor="text1"/>
        </w:rPr>
      </w:pPr>
      <w:bookmarkStart w:id="203" w:name="_Toc46945535"/>
      <w:r w:rsidRPr="00FF756A">
        <w:rPr>
          <w:color w:val="000000" w:themeColor="text1"/>
        </w:rPr>
        <w:t>P</w:t>
      </w:r>
      <w:r w:rsidR="00336EC0" w:rsidRPr="00FF756A">
        <w:rPr>
          <w:color w:val="000000" w:themeColor="text1"/>
        </w:rPr>
        <w:t>arashikimi</w:t>
      </w:r>
      <w:r w:rsidRPr="00FF756A">
        <w:rPr>
          <w:color w:val="000000" w:themeColor="text1"/>
        </w:rPr>
        <w:t xml:space="preserve"> për vitin 2050 tregon se politikat dhe masat shtesë janë të përshtatshme për të reduktuar ndjeshëm </w:t>
      </w:r>
      <w:r w:rsidR="00F87D63" w:rsidRPr="00FF756A">
        <w:rPr>
          <w:color w:val="000000" w:themeColor="text1"/>
        </w:rPr>
        <w:t>shkar</w:t>
      </w:r>
      <w:r w:rsidR="00C22A11" w:rsidRPr="00FF756A">
        <w:rPr>
          <w:color w:val="000000" w:themeColor="text1"/>
        </w:rPr>
        <w:t>2.1.</w:t>
      </w:r>
      <w:r w:rsidR="00F87D63" w:rsidRPr="00FF756A">
        <w:rPr>
          <w:color w:val="000000" w:themeColor="text1"/>
        </w:rPr>
        <w:t xml:space="preserve">kimet </w:t>
      </w:r>
      <w:r w:rsidRPr="00FF756A">
        <w:rPr>
          <w:color w:val="000000" w:themeColor="text1"/>
        </w:rPr>
        <w:t xml:space="preserve"> e G</w:t>
      </w:r>
      <w:r w:rsidR="00F87D63" w:rsidRPr="00FF756A">
        <w:rPr>
          <w:color w:val="000000" w:themeColor="text1"/>
        </w:rPr>
        <w:t>E</w:t>
      </w:r>
      <w:r w:rsidRPr="00FF756A">
        <w:rPr>
          <w:color w:val="000000" w:themeColor="text1"/>
        </w:rPr>
        <w:t>S</w:t>
      </w:r>
      <w:r w:rsidR="00F87D63" w:rsidRPr="00FF756A">
        <w:rPr>
          <w:color w:val="000000" w:themeColor="text1"/>
        </w:rPr>
        <w:t>-ve</w:t>
      </w:r>
      <w:r w:rsidRPr="00FF756A">
        <w:rPr>
          <w:color w:val="000000" w:themeColor="text1"/>
        </w:rPr>
        <w:t xml:space="preserve"> në sektorët kritikë, me përjashtim të bujqësisë (kryesisht fermentimi enterik CH4), ku nevojitet ende veprim për të arritur neutralitetin e karbonit.</w:t>
      </w:r>
    </w:p>
    <w:p w14:paraId="472E54E6" w14:textId="77777777" w:rsidR="000055CB" w:rsidRPr="00FF756A" w:rsidRDefault="000055CB" w:rsidP="000055CB">
      <w:pPr>
        <w:pStyle w:val="Caption"/>
        <w:rPr>
          <w:rFonts w:ascii="Times New Roman" w:hAnsi="Times New Roman"/>
          <w:color w:val="000000" w:themeColor="text1"/>
        </w:rPr>
      </w:pPr>
    </w:p>
    <w:tbl>
      <w:tblPr>
        <w:tblStyle w:val="TableGrid"/>
        <w:tblW w:w="9067" w:type="dxa"/>
        <w:tblLook w:val="04A0" w:firstRow="1" w:lastRow="0" w:firstColumn="1" w:lastColumn="0" w:noHBand="0" w:noVBand="1"/>
      </w:tblPr>
      <w:tblGrid>
        <w:gridCol w:w="4531"/>
        <w:gridCol w:w="2268"/>
        <w:gridCol w:w="2268"/>
      </w:tblGrid>
      <w:tr w:rsidR="000055CB" w:rsidRPr="00FF756A" w14:paraId="626AAD69" w14:textId="77777777" w:rsidTr="000055CB">
        <w:trPr>
          <w:trHeight w:val="283"/>
        </w:trPr>
        <w:tc>
          <w:tcPr>
            <w:tcW w:w="453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7BE6B3" w14:textId="77777777" w:rsidR="000055CB" w:rsidRPr="00FF756A" w:rsidRDefault="000055CB">
            <w:pPr>
              <w:spacing w:before="0" w:after="0" w:line="240" w:lineRule="auto"/>
              <w:jc w:val="left"/>
              <w:rPr>
                <w:color w:val="000000" w:themeColor="text1"/>
                <w:lang w:eastAsia="de-DE"/>
              </w:rPr>
            </w:pPr>
            <w:r w:rsidRPr="00FF756A">
              <w:rPr>
                <w:color w:val="000000" w:themeColor="text1"/>
                <w:lang w:eastAsia="de-DE"/>
              </w:rPr>
              <w:t>Sektori</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4E577D" w14:textId="77777777" w:rsidR="000055CB" w:rsidRPr="00FF756A" w:rsidRDefault="000055CB">
            <w:pPr>
              <w:spacing w:before="0" w:after="0" w:line="240" w:lineRule="auto"/>
              <w:jc w:val="left"/>
              <w:rPr>
                <w:color w:val="000000" w:themeColor="text1"/>
                <w:lang w:eastAsia="de-DE"/>
              </w:rPr>
            </w:pPr>
            <w:r w:rsidRPr="00FF756A">
              <w:rPr>
                <w:color w:val="000000" w:themeColor="text1"/>
                <w:lang w:eastAsia="de-DE"/>
              </w:rPr>
              <w:t>WEM 2050</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37F36EB" w14:textId="77777777" w:rsidR="000055CB" w:rsidRPr="00FF756A" w:rsidRDefault="000055CB">
            <w:pPr>
              <w:spacing w:before="0" w:after="0" w:line="240" w:lineRule="auto"/>
              <w:jc w:val="left"/>
              <w:rPr>
                <w:b/>
                <w:bCs/>
                <w:color w:val="000000" w:themeColor="text1"/>
                <w:lang w:eastAsia="de-DE"/>
              </w:rPr>
            </w:pPr>
            <w:r w:rsidRPr="00FF756A">
              <w:rPr>
                <w:b/>
                <w:bCs/>
                <w:color w:val="000000" w:themeColor="text1"/>
                <w:lang w:eastAsia="de-DE"/>
              </w:rPr>
              <w:t>WAM 2050</w:t>
            </w:r>
          </w:p>
        </w:tc>
      </w:tr>
      <w:tr w:rsidR="000055CB" w:rsidRPr="00FF756A" w14:paraId="5897E2ED" w14:textId="77777777" w:rsidTr="000055CB">
        <w:trPr>
          <w:trHeight w:val="283"/>
        </w:trPr>
        <w:tc>
          <w:tcPr>
            <w:tcW w:w="4531" w:type="dxa"/>
            <w:tcBorders>
              <w:top w:val="single" w:sz="4" w:space="0" w:color="auto"/>
              <w:left w:val="single" w:sz="4" w:space="0" w:color="auto"/>
              <w:bottom w:val="single" w:sz="4" w:space="0" w:color="auto"/>
              <w:right w:val="single" w:sz="4" w:space="0" w:color="auto"/>
            </w:tcBorders>
            <w:vAlign w:val="center"/>
            <w:hideMark/>
          </w:tcPr>
          <w:p w14:paraId="318B7F65" w14:textId="77777777" w:rsidR="000055CB" w:rsidRPr="00FF756A" w:rsidRDefault="000055CB">
            <w:pPr>
              <w:spacing w:before="0" w:after="0" w:line="240" w:lineRule="auto"/>
              <w:jc w:val="left"/>
              <w:rPr>
                <w:color w:val="C00000"/>
                <w:lang w:eastAsia="de-DE"/>
              </w:rPr>
            </w:pPr>
            <w:r w:rsidRPr="00FF756A">
              <w:rPr>
                <w:color w:val="C00000"/>
                <w:lang w:eastAsia="de-DE"/>
              </w:rPr>
              <w:t>Kërkesa</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FA30EE5" w14:textId="77777777" w:rsidR="000055CB" w:rsidRPr="00FF756A" w:rsidRDefault="000055CB">
            <w:pPr>
              <w:spacing w:before="0" w:after="0" w:line="240" w:lineRule="auto"/>
              <w:jc w:val="left"/>
              <w:rPr>
                <w:color w:val="C00000"/>
                <w:lang w:eastAsia="de-DE"/>
              </w:rPr>
            </w:pPr>
            <w:r w:rsidRPr="00FF756A">
              <w:rPr>
                <w:color w:val="C00000"/>
                <w:lang w:eastAsia="de-DE"/>
              </w:rPr>
              <w:t>7,284.6</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D7F52CA" w14:textId="77777777" w:rsidR="000055CB" w:rsidRPr="00FF756A" w:rsidRDefault="000055CB">
            <w:pPr>
              <w:spacing w:before="0" w:after="0" w:line="240" w:lineRule="auto"/>
              <w:jc w:val="left"/>
              <w:rPr>
                <w:b/>
                <w:bCs/>
                <w:color w:val="C00000"/>
                <w:lang w:eastAsia="de-DE"/>
              </w:rPr>
            </w:pPr>
            <w:r w:rsidRPr="00FF756A">
              <w:rPr>
                <w:b/>
                <w:bCs/>
                <w:color w:val="C00000"/>
                <w:lang w:eastAsia="de-DE"/>
              </w:rPr>
              <w:t>2,221,5</w:t>
            </w:r>
          </w:p>
        </w:tc>
      </w:tr>
      <w:tr w:rsidR="000055CB" w:rsidRPr="00FF756A" w14:paraId="0208FA3E" w14:textId="77777777" w:rsidTr="000055CB">
        <w:trPr>
          <w:trHeight w:val="283"/>
        </w:trPr>
        <w:tc>
          <w:tcPr>
            <w:tcW w:w="4531" w:type="dxa"/>
            <w:tcBorders>
              <w:top w:val="single" w:sz="4" w:space="0" w:color="auto"/>
              <w:left w:val="single" w:sz="4" w:space="0" w:color="auto"/>
              <w:bottom w:val="single" w:sz="4" w:space="0" w:color="auto"/>
              <w:right w:val="single" w:sz="4" w:space="0" w:color="auto"/>
            </w:tcBorders>
            <w:vAlign w:val="center"/>
            <w:hideMark/>
          </w:tcPr>
          <w:p w14:paraId="55E98C3E" w14:textId="77777777" w:rsidR="000055CB" w:rsidRPr="00FF756A" w:rsidRDefault="000055CB">
            <w:pPr>
              <w:spacing w:before="0" w:after="0" w:line="240" w:lineRule="auto"/>
              <w:jc w:val="left"/>
              <w:rPr>
                <w:color w:val="000000" w:themeColor="text1"/>
                <w:lang w:eastAsia="de-DE"/>
              </w:rPr>
            </w:pPr>
            <w:r w:rsidRPr="00FF756A">
              <w:rPr>
                <w:color w:val="000000" w:themeColor="text1"/>
                <w:lang w:eastAsia="de-DE"/>
              </w:rPr>
              <w:t>Transformimi</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BB600CF" w14:textId="77777777" w:rsidR="000055CB" w:rsidRPr="00FF756A" w:rsidRDefault="000055CB">
            <w:pPr>
              <w:spacing w:before="0" w:after="0" w:line="240" w:lineRule="auto"/>
              <w:jc w:val="left"/>
              <w:rPr>
                <w:color w:val="000000" w:themeColor="text1"/>
                <w:lang w:eastAsia="de-DE"/>
              </w:rPr>
            </w:pPr>
            <w:r w:rsidRPr="00FF756A">
              <w:rPr>
                <w:lang w:eastAsia="de-DE"/>
              </w:rPr>
              <w:t>484.1</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04A00AF" w14:textId="77777777" w:rsidR="000055CB" w:rsidRPr="00FF756A" w:rsidRDefault="000055CB">
            <w:pPr>
              <w:spacing w:before="0" w:after="0" w:line="240" w:lineRule="auto"/>
              <w:jc w:val="left"/>
              <w:rPr>
                <w:b/>
                <w:bCs/>
                <w:color w:val="000000" w:themeColor="text1"/>
                <w:lang w:eastAsia="de-DE"/>
              </w:rPr>
            </w:pPr>
            <w:r w:rsidRPr="00FF756A">
              <w:rPr>
                <w:b/>
                <w:bCs/>
                <w:lang w:eastAsia="de-DE"/>
              </w:rPr>
              <w:t>770.0</w:t>
            </w:r>
          </w:p>
        </w:tc>
      </w:tr>
      <w:tr w:rsidR="000055CB" w:rsidRPr="00FF756A" w14:paraId="53249AA0" w14:textId="77777777" w:rsidTr="000055CB">
        <w:trPr>
          <w:trHeight w:val="283"/>
        </w:trPr>
        <w:tc>
          <w:tcPr>
            <w:tcW w:w="4531" w:type="dxa"/>
            <w:tcBorders>
              <w:top w:val="single" w:sz="4" w:space="0" w:color="auto"/>
              <w:left w:val="single" w:sz="4" w:space="0" w:color="auto"/>
              <w:bottom w:val="single" w:sz="4" w:space="0" w:color="auto"/>
              <w:right w:val="single" w:sz="4" w:space="0" w:color="auto"/>
            </w:tcBorders>
            <w:vAlign w:val="center"/>
            <w:hideMark/>
          </w:tcPr>
          <w:p w14:paraId="2D74C6A2" w14:textId="77777777" w:rsidR="000055CB" w:rsidRPr="00FF756A" w:rsidRDefault="000055CB">
            <w:pPr>
              <w:spacing w:before="0" w:after="0" w:line="240" w:lineRule="auto"/>
              <w:jc w:val="left"/>
              <w:rPr>
                <w:color w:val="C00000"/>
                <w:lang w:eastAsia="de-DE"/>
              </w:rPr>
            </w:pPr>
            <w:r w:rsidRPr="00FF756A">
              <w:rPr>
                <w:color w:val="C00000"/>
                <w:lang w:eastAsia="de-DE"/>
              </w:rPr>
              <w:t>Jo Energjitike</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3F511D6" w14:textId="77777777" w:rsidR="000055CB" w:rsidRPr="00FF756A" w:rsidRDefault="000055CB">
            <w:pPr>
              <w:spacing w:before="0" w:after="0" w:line="240" w:lineRule="auto"/>
              <w:jc w:val="left"/>
              <w:rPr>
                <w:color w:val="C00000"/>
                <w:lang w:eastAsia="de-DE"/>
              </w:rPr>
            </w:pPr>
            <w:r w:rsidRPr="00FF756A">
              <w:rPr>
                <w:color w:val="C00000"/>
                <w:lang w:eastAsia="de-DE"/>
              </w:rPr>
              <w:t>7,145.5</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BBA3F8C" w14:textId="77777777" w:rsidR="000055CB" w:rsidRPr="00FF756A" w:rsidRDefault="000055CB">
            <w:pPr>
              <w:spacing w:before="0" w:after="0" w:line="240" w:lineRule="auto"/>
              <w:jc w:val="left"/>
              <w:rPr>
                <w:b/>
                <w:bCs/>
                <w:color w:val="C00000"/>
                <w:lang w:eastAsia="de-DE"/>
              </w:rPr>
            </w:pPr>
            <w:r w:rsidRPr="00FF756A">
              <w:rPr>
                <w:b/>
                <w:bCs/>
                <w:color w:val="C00000"/>
                <w:lang w:eastAsia="de-DE"/>
              </w:rPr>
              <w:t>2,303.8</w:t>
            </w:r>
          </w:p>
        </w:tc>
      </w:tr>
      <w:tr w:rsidR="000055CB" w:rsidRPr="00FF756A" w14:paraId="5350E1AA" w14:textId="77777777" w:rsidTr="000055CB">
        <w:trPr>
          <w:trHeight w:val="283"/>
        </w:trPr>
        <w:tc>
          <w:tcPr>
            <w:tcW w:w="453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E4CD1E1" w14:textId="77777777" w:rsidR="000055CB" w:rsidRPr="00FF756A" w:rsidRDefault="000055CB">
            <w:pPr>
              <w:spacing w:before="0" w:after="0" w:line="240" w:lineRule="auto"/>
              <w:jc w:val="left"/>
              <w:rPr>
                <w:color w:val="000000" w:themeColor="text1"/>
                <w:lang w:eastAsia="de-DE"/>
              </w:rPr>
            </w:pPr>
            <w:r w:rsidRPr="00FF756A">
              <w:rPr>
                <w:color w:val="000000" w:themeColor="text1"/>
                <w:lang w:eastAsia="de-DE"/>
              </w:rPr>
              <w:t>Gjithsej</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1C71D7" w14:textId="77777777" w:rsidR="000055CB" w:rsidRPr="00FF756A" w:rsidRDefault="000055CB">
            <w:pPr>
              <w:spacing w:before="0" w:after="0" w:line="240" w:lineRule="auto"/>
              <w:jc w:val="left"/>
              <w:rPr>
                <w:color w:val="000000" w:themeColor="text1"/>
                <w:lang w:eastAsia="de-DE"/>
              </w:rPr>
            </w:pPr>
            <w:r w:rsidRPr="00FF756A">
              <w:rPr>
                <w:lang w:eastAsia="de-DE"/>
              </w:rPr>
              <w:t>14,914.1</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481B6C" w14:textId="77777777" w:rsidR="000055CB" w:rsidRPr="00FF756A" w:rsidRDefault="000055CB">
            <w:pPr>
              <w:spacing w:before="0" w:after="0" w:line="240" w:lineRule="auto"/>
              <w:jc w:val="left"/>
              <w:rPr>
                <w:b/>
                <w:bCs/>
                <w:color w:val="000000" w:themeColor="text1"/>
                <w:lang w:eastAsia="de-DE"/>
              </w:rPr>
            </w:pPr>
            <w:r w:rsidRPr="00FF756A">
              <w:rPr>
                <w:b/>
                <w:bCs/>
                <w:lang w:eastAsia="de-DE"/>
              </w:rPr>
              <w:t>5,295.2</w:t>
            </w:r>
          </w:p>
        </w:tc>
      </w:tr>
    </w:tbl>
    <w:p w14:paraId="28390CAB" w14:textId="7B5B2346" w:rsidR="000055CB" w:rsidRPr="00FF756A" w:rsidRDefault="000055CB" w:rsidP="000528C5">
      <w:pPr>
        <w:pStyle w:val="Caption"/>
        <w:rPr>
          <w:rFonts w:ascii="Times New Roman" w:hAnsi="Times New Roman"/>
          <w:color w:val="000000" w:themeColor="text1"/>
        </w:rPr>
      </w:pPr>
      <w:bookmarkStart w:id="204" w:name="_Toc181517259"/>
      <w:r w:rsidRPr="00FF756A">
        <w:rPr>
          <w:rFonts w:ascii="Times New Roman" w:hAnsi="Times New Roman"/>
        </w:rPr>
        <w:t xml:space="preserve">Tabela </w:t>
      </w:r>
      <w:r w:rsidRPr="00FF756A">
        <w:rPr>
          <w:rFonts w:ascii="Times New Roman" w:hAnsi="Times New Roman"/>
        </w:rPr>
        <w:fldChar w:fldCharType="begin"/>
      </w:r>
      <w:r w:rsidRPr="00FF756A">
        <w:rPr>
          <w:rFonts w:ascii="Times New Roman" w:hAnsi="Times New Roman"/>
        </w:rPr>
        <w:instrText xml:space="preserve"> SEQ Table \* ARABIC </w:instrText>
      </w:r>
      <w:r w:rsidRPr="00FF756A">
        <w:rPr>
          <w:rFonts w:ascii="Times New Roman" w:hAnsi="Times New Roman"/>
        </w:rPr>
        <w:fldChar w:fldCharType="separate"/>
      </w:r>
      <w:r w:rsidRPr="00FF756A">
        <w:rPr>
          <w:rFonts w:ascii="Times New Roman" w:hAnsi="Times New Roman"/>
          <w:noProof/>
        </w:rPr>
        <w:t xml:space="preserve">16 </w:t>
      </w:r>
      <w:r w:rsidRPr="00FF756A">
        <w:rPr>
          <w:rFonts w:ascii="Times New Roman" w:hAnsi="Times New Roman"/>
          <w:noProof/>
        </w:rPr>
        <w:fldChar w:fldCharType="end"/>
      </w:r>
      <w:r w:rsidRPr="00FF756A">
        <w:rPr>
          <w:rFonts w:ascii="Times New Roman" w:hAnsi="Times New Roman"/>
        </w:rPr>
        <w:t xml:space="preserve">: </w:t>
      </w:r>
      <w:r w:rsidR="00336EC0" w:rsidRPr="00FF756A">
        <w:rPr>
          <w:rFonts w:ascii="Times New Roman" w:hAnsi="Times New Roman"/>
        </w:rPr>
        <w:t>Shkarkimet e</w:t>
      </w:r>
      <w:r w:rsidRPr="00FF756A">
        <w:rPr>
          <w:rFonts w:ascii="Times New Roman" w:hAnsi="Times New Roman"/>
        </w:rPr>
        <w:t xml:space="preserve"> G</w:t>
      </w:r>
      <w:r w:rsidR="00336EC0" w:rsidRPr="00FF756A">
        <w:rPr>
          <w:rFonts w:ascii="Times New Roman" w:hAnsi="Times New Roman"/>
        </w:rPr>
        <w:t>ES-ve</w:t>
      </w:r>
      <w:r w:rsidRPr="00FF756A">
        <w:rPr>
          <w:rFonts w:ascii="Times New Roman" w:hAnsi="Times New Roman"/>
        </w:rPr>
        <w:t xml:space="preserve"> [kt CO2eq] siç janë parashikuar me masat ekzistuese dhe me masa shtesë për vitin 2050 për të gjithë ekonominë</w:t>
      </w:r>
      <w:bookmarkEnd w:id="204"/>
    </w:p>
    <w:p w14:paraId="2FA7CFD1" w14:textId="77777777" w:rsidR="000055CB" w:rsidRPr="00FF756A" w:rsidRDefault="000055CB" w:rsidP="000055CB">
      <w:pPr>
        <w:pStyle w:val="Caption"/>
        <w:rPr>
          <w:rFonts w:ascii="Times New Roman" w:hAnsi="Times New Roman"/>
          <w:color w:val="000000" w:themeColor="text1"/>
        </w:rPr>
      </w:pPr>
    </w:p>
    <w:tbl>
      <w:tblPr>
        <w:tblStyle w:val="TableGrid"/>
        <w:tblW w:w="9067" w:type="dxa"/>
        <w:tblLook w:val="04A0" w:firstRow="1" w:lastRow="0" w:firstColumn="1" w:lastColumn="0" w:noHBand="0" w:noVBand="1"/>
      </w:tblPr>
      <w:tblGrid>
        <w:gridCol w:w="4531"/>
        <w:gridCol w:w="2268"/>
        <w:gridCol w:w="2268"/>
      </w:tblGrid>
      <w:tr w:rsidR="000055CB" w:rsidRPr="00FF756A" w14:paraId="39AAFA47" w14:textId="77777777" w:rsidTr="000055CB">
        <w:trPr>
          <w:trHeight w:val="283"/>
        </w:trPr>
        <w:tc>
          <w:tcPr>
            <w:tcW w:w="453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DC5AA5" w14:textId="77777777" w:rsidR="000055CB" w:rsidRPr="00FF756A" w:rsidRDefault="000055CB">
            <w:pPr>
              <w:spacing w:before="0" w:after="0" w:line="240" w:lineRule="auto"/>
              <w:jc w:val="left"/>
              <w:rPr>
                <w:color w:val="000000" w:themeColor="text1"/>
                <w:lang w:eastAsia="de-DE"/>
              </w:rPr>
            </w:pPr>
            <w:r w:rsidRPr="00FF756A">
              <w:rPr>
                <w:color w:val="000000" w:themeColor="text1"/>
                <w:lang w:eastAsia="de-DE"/>
              </w:rPr>
              <w:t>Sektori</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8E3DFD" w14:textId="77777777" w:rsidR="000055CB" w:rsidRPr="00FF756A" w:rsidRDefault="000055CB">
            <w:pPr>
              <w:spacing w:before="0" w:after="0" w:line="240" w:lineRule="auto"/>
              <w:jc w:val="left"/>
              <w:rPr>
                <w:color w:val="000000" w:themeColor="text1"/>
                <w:lang w:eastAsia="de-DE"/>
              </w:rPr>
            </w:pPr>
            <w:r w:rsidRPr="00FF756A">
              <w:rPr>
                <w:color w:val="000000" w:themeColor="text1"/>
                <w:lang w:eastAsia="de-DE"/>
              </w:rPr>
              <w:t>WEM 2050</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6ECE8C7" w14:textId="77777777" w:rsidR="000055CB" w:rsidRPr="00FF756A" w:rsidRDefault="000055CB">
            <w:pPr>
              <w:spacing w:before="0" w:after="0" w:line="240" w:lineRule="auto"/>
              <w:jc w:val="left"/>
              <w:rPr>
                <w:b/>
                <w:bCs/>
                <w:color w:val="000000" w:themeColor="text1"/>
                <w:lang w:eastAsia="de-DE"/>
              </w:rPr>
            </w:pPr>
            <w:r w:rsidRPr="00FF756A">
              <w:rPr>
                <w:b/>
                <w:bCs/>
                <w:color w:val="000000" w:themeColor="text1"/>
                <w:lang w:eastAsia="de-DE"/>
              </w:rPr>
              <w:t>WAM 2050</w:t>
            </w:r>
          </w:p>
        </w:tc>
      </w:tr>
      <w:tr w:rsidR="000055CB" w:rsidRPr="00FF756A" w14:paraId="61E728A8" w14:textId="77777777" w:rsidTr="000055CB">
        <w:trPr>
          <w:trHeight w:val="283"/>
        </w:trPr>
        <w:tc>
          <w:tcPr>
            <w:tcW w:w="4531" w:type="dxa"/>
            <w:tcBorders>
              <w:top w:val="single" w:sz="4" w:space="0" w:color="auto"/>
              <w:left w:val="single" w:sz="4" w:space="0" w:color="auto"/>
              <w:bottom w:val="single" w:sz="4" w:space="0" w:color="auto"/>
              <w:right w:val="single" w:sz="4" w:space="0" w:color="auto"/>
            </w:tcBorders>
            <w:vAlign w:val="center"/>
            <w:hideMark/>
          </w:tcPr>
          <w:p w14:paraId="6F50436B" w14:textId="77777777" w:rsidR="000055CB" w:rsidRPr="00FF756A" w:rsidRDefault="000055CB">
            <w:pPr>
              <w:spacing w:before="0" w:after="0"/>
              <w:jc w:val="left"/>
              <w:rPr>
                <w:color w:val="000000" w:themeColor="text1"/>
                <w:lang w:eastAsia="de-DE"/>
              </w:rPr>
            </w:pPr>
            <w:r w:rsidRPr="00FF756A">
              <w:rPr>
                <w:rFonts w:eastAsia="Times New Roman"/>
                <w:color w:val="000000" w:themeColor="text1"/>
                <w:lang w:eastAsia="de-DE"/>
              </w:rPr>
              <w:t>Rezidenciale</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537409A" w14:textId="77777777" w:rsidR="000055CB" w:rsidRPr="00FF756A" w:rsidRDefault="000055CB">
            <w:pPr>
              <w:spacing w:before="0" w:after="0"/>
              <w:jc w:val="left"/>
              <w:rPr>
                <w:lang w:eastAsia="de-DE"/>
              </w:rPr>
            </w:pPr>
            <w:r w:rsidRPr="00FF756A">
              <w:rPr>
                <w:lang w:eastAsia="de-DE"/>
              </w:rPr>
              <w:t>328.6</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3B640F7" w14:textId="77777777" w:rsidR="000055CB" w:rsidRPr="00FF756A" w:rsidRDefault="000055CB">
            <w:pPr>
              <w:spacing w:before="0" w:after="0"/>
              <w:jc w:val="left"/>
              <w:rPr>
                <w:b/>
                <w:bCs/>
                <w:color w:val="000000" w:themeColor="text1"/>
                <w:lang w:eastAsia="de-DE"/>
              </w:rPr>
            </w:pPr>
            <w:r w:rsidRPr="00FF756A">
              <w:rPr>
                <w:b/>
                <w:bCs/>
                <w:color w:val="000000" w:themeColor="text1"/>
                <w:lang w:eastAsia="de-DE"/>
              </w:rPr>
              <w:t>123.4</w:t>
            </w:r>
          </w:p>
        </w:tc>
      </w:tr>
      <w:tr w:rsidR="000055CB" w:rsidRPr="00FF756A" w14:paraId="0B289374" w14:textId="77777777" w:rsidTr="000055CB">
        <w:trPr>
          <w:trHeight w:val="283"/>
        </w:trPr>
        <w:tc>
          <w:tcPr>
            <w:tcW w:w="4531" w:type="dxa"/>
            <w:tcBorders>
              <w:top w:val="single" w:sz="4" w:space="0" w:color="auto"/>
              <w:left w:val="single" w:sz="4" w:space="0" w:color="auto"/>
              <w:bottom w:val="single" w:sz="4" w:space="0" w:color="auto"/>
              <w:right w:val="single" w:sz="4" w:space="0" w:color="auto"/>
            </w:tcBorders>
            <w:vAlign w:val="center"/>
            <w:hideMark/>
          </w:tcPr>
          <w:p w14:paraId="7C0FA891" w14:textId="77777777" w:rsidR="000055CB" w:rsidRPr="00FF756A" w:rsidRDefault="000055CB">
            <w:pPr>
              <w:spacing w:before="0" w:after="0"/>
              <w:jc w:val="left"/>
              <w:rPr>
                <w:color w:val="000000" w:themeColor="text1"/>
                <w:lang w:eastAsia="de-DE"/>
              </w:rPr>
            </w:pPr>
            <w:r w:rsidRPr="00FF756A">
              <w:rPr>
                <w:rFonts w:eastAsia="Times New Roman"/>
                <w:color w:val="000000" w:themeColor="text1"/>
                <w:lang w:eastAsia="de-DE"/>
              </w:rPr>
              <w:t>Shërbimet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FC2C652" w14:textId="77777777" w:rsidR="000055CB" w:rsidRPr="00FF756A" w:rsidRDefault="000055CB">
            <w:pPr>
              <w:spacing w:before="0" w:after="0"/>
              <w:jc w:val="left"/>
              <w:rPr>
                <w:lang w:eastAsia="de-DE"/>
              </w:rPr>
            </w:pPr>
            <w:r w:rsidRPr="00FF756A">
              <w:rPr>
                <w:lang w:eastAsia="de-DE"/>
              </w:rPr>
              <w:t>447,9</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E3F3D89" w14:textId="77777777" w:rsidR="000055CB" w:rsidRPr="00FF756A" w:rsidRDefault="000055CB">
            <w:pPr>
              <w:spacing w:before="0" w:after="0"/>
              <w:jc w:val="left"/>
              <w:rPr>
                <w:b/>
                <w:bCs/>
                <w:color w:val="000000" w:themeColor="text1"/>
                <w:lang w:eastAsia="de-DE"/>
              </w:rPr>
            </w:pPr>
            <w:r w:rsidRPr="00FF756A">
              <w:rPr>
                <w:b/>
                <w:bCs/>
                <w:color w:val="000000" w:themeColor="text1"/>
                <w:lang w:eastAsia="de-DE"/>
              </w:rPr>
              <w:t>306.6</w:t>
            </w:r>
          </w:p>
        </w:tc>
      </w:tr>
      <w:tr w:rsidR="000055CB" w:rsidRPr="00FF756A" w14:paraId="5F21D1CD" w14:textId="77777777" w:rsidTr="000055CB">
        <w:trPr>
          <w:trHeight w:val="283"/>
        </w:trPr>
        <w:tc>
          <w:tcPr>
            <w:tcW w:w="4531" w:type="dxa"/>
            <w:tcBorders>
              <w:top w:val="single" w:sz="4" w:space="0" w:color="auto"/>
              <w:left w:val="single" w:sz="4" w:space="0" w:color="auto"/>
              <w:bottom w:val="single" w:sz="4" w:space="0" w:color="auto"/>
              <w:right w:val="single" w:sz="4" w:space="0" w:color="auto"/>
            </w:tcBorders>
            <w:vAlign w:val="center"/>
            <w:hideMark/>
          </w:tcPr>
          <w:p w14:paraId="2EAD8529" w14:textId="77777777" w:rsidR="000055CB" w:rsidRPr="00FF756A" w:rsidRDefault="000055CB">
            <w:pPr>
              <w:spacing w:before="0" w:after="0"/>
              <w:jc w:val="left"/>
              <w:rPr>
                <w:color w:val="C00000"/>
                <w:lang w:eastAsia="de-DE"/>
              </w:rPr>
            </w:pPr>
            <w:r w:rsidRPr="00FF756A">
              <w:rPr>
                <w:rFonts w:eastAsia="Times New Roman"/>
                <w:color w:val="C00000"/>
                <w:lang w:eastAsia="de-DE"/>
              </w:rPr>
              <w:t>Industria</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1DA3C54" w14:textId="77777777" w:rsidR="000055CB" w:rsidRPr="00FF756A" w:rsidRDefault="000055CB">
            <w:pPr>
              <w:spacing w:before="0" w:after="0"/>
              <w:jc w:val="left"/>
              <w:rPr>
                <w:lang w:eastAsia="de-DE"/>
              </w:rPr>
            </w:pPr>
            <w:r w:rsidRPr="00FF756A">
              <w:rPr>
                <w:lang w:eastAsia="de-DE"/>
              </w:rPr>
              <w:t>2,253.0</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C493277" w14:textId="77777777" w:rsidR="000055CB" w:rsidRPr="00FF756A" w:rsidRDefault="000055CB">
            <w:pPr>
              <w:spacing w:before="0" w:after="0"/>
              <w:jc w:val="left"/>
              <w:rPr>
                <w:b/>
                <w:bCs/>
                <w:color w:val="C00000"/>
                <w:lang w:eastAsia="de-DE"/>
              </w:rPr>
            </w:pPr>
            <w:r w:rsidRPr="00FF756A">
              <w:rPr>
                <w:b/>
                <w:bCs/>
                <w:color w:val="C00000"/>
                <w:lang w:eastAsia="de-DE"/>
              </w:rPr>
              <w:t>776.7</w:t>
            </w:r>
          </w:p>
        </w:tc>
      </w:tr>
      <w:tr w:rsidR="000055CB" w:rsidRPr="00FF756A" w14:paraId="419B299A" w14:textId="77777777" w:rsidTr="000055CB">
        <w:trPr>
          <w:trHeight w:val="283"/>
        </w:trPr>
        <w:tc>
          <w:tcPr>
            <w:tcW w:w="4531" w:type="dxa"/>
            <w:tcBorders>
              <w:top w:val="single" w:sz="4" w:space="0" w:color="auto"/>
              <w:left w:val="single" w:sz="4" w:space="0" w:color="auto"/>
              <w:bottom w:val="single" w:sz="4" w:space="0" w:color="auto"/>
              <w:right w:val="single" w:sz="4" w:space="0" w:color="auto"/>
            </w:tcBorders>
            <w:vAlign w:val="center"/>
            <w:hideMark/>
          </w:tcPr>
          <w:p w14:paraId="2F7A85C2" w14:textId="77777777" w:rsidR="000055CB" w:rsidRPr="00FF756A" w:rsidRDefault="000055CB">
            <w:pPr>
              <w:spacing w:before="0" w:after="0"/>
              <w:jc w:val="left"/>
              <w:rPr>
                <w:color w:val="C00000"/>
                <w:lang w:eastAsia="de-DE"/>
              </w:rPr>
            </w:pPr>
            <w:r w:rsidRPr="00FF756A">
              <w:rPr>
                <w:rFonts w:eastAsia="Times New Roman"/>
                <w:color w:val="C00000"/>
                <w:lang w:eastAsia="de-DE"/>
              </w:rPr>
              <w:t>Transporti</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A6A269E" w14:textId="77777777" w:rsidR="000055CB" w:rsidRPr="00FF756A" w:rsidRDefault="000055CB">
            <w:pPr>
              <w:spacing w:before="0" w:after="0"/>
              <w:jc w:val="left"/>
              <w:rPr>
                <w:lang w:eastAsia="de-DE"/>
              </w:rPr>
            </w:pPr>
            <w:r w:rsidRPr="00FF756A">
              <w:rPr>
                <w:lang w:eastAsia="de-DE"/>
              </w:rPr>
              <w:t>3,453.4</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5582549" w14:textId="77777777" w:rsidR="000055CB" w:rsidRPr="00FF756A" w:rsidRDefault="000055CB">
            <w:pPr>
              <w:spacing w:before="0" w:after="0"/>
              <w:jc w:val="left"/>
              <w:rPr>
                <w:b/>
                <w:bCs/>
                <w:color w:val="C00000"/>
                <w:lang w:eastAsia="de-DE"/>
              </w:rPr>
            </w:pPr>
            <w:r w:rsidRPr="00FF756A">
              <w:rPr>
                <w:b/>
                <w:bCs/>
                <w:color w:val="C00000"/>
                <w:lang w:eastAsia="de-DE"/>
              </w:rPr>
              <w:t>734.8</w:t>
            </w:r>
          </w:p>
        </w:tc>
      </w:tr>
      <w:tr w:rsidR="000055CB" w:rsidRPr="00FF756A" w14:paraId="3B8A666E" w14:textId="77777777" w:rsidTr="000055CB">
        <w:trPr>
          <w:trHeight w:val="283"/>
        </w:trPr>
        <w:tc>
          <w:tcPr>
            <w:tcW w:w="4531" w:type="dxa"/>
            <w:tcBorders>
              <w:top w:val="single" w:sz="4" w:space="0" w:color="auto"/>
              <w:left w:val="single" w:sz="4" w:space="0" w:color="auto"/>
              <w:bottom w:val="single" w:sz="4" w:space="0" w:color="auto"/>
              <w:right w:val="single" w:sz="4" w:space="0" w:color="auto"/>
            </w:tcBorders>
            <w:vAlign w:val="center"/>
            <w:hideMark/>
          </w:tcPr>
          <w:p w14:paraId="7897C8BE" w14:textId="77777777" w:rsidR="000055CB" w:rsidRPr="00FF756A" w:rsidRDefault="000055CB">
            <w:pPr>
              <w:spacing w:before="0" w:after="0"/>
              <w:jc w:val="left"/>
              <w:rPr>
                <w:rFonts w:eastAsia="Times New Roman"/>
                <w:color w:val="000000" w:themeColor="text1"/>
                <w:lang w:eastAsia="de-DE"/>
              </w:rPr>
            </w:pPr>
            <w:r w:rsidRPr="00FF756A">
              <w:rPr>
                <w:rFonts w:eastAsia="Times New Roman"/>
                <w:color w:val="000000" w:themeColor="text1"/>
                <w:lang w:eastAsia="de-DE"/>
              </w:rPr>
              <w:t>Pylltaria Bujqësore</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1FD0C05" w14:textId="77777777" w:rsidR="000055CB" w:rsidRPr="00FF756A" w:rsidRDefault="000055CB">
            <w:pPr>
              <w:spacing w:before="0" w:after="0"/>
              <w:jc w:val="left"/>
              <w:rPr>
                <w:lang w:eastAsia="de-DE"/>
              </w:rPr>
            </w:pPr>
            <w:r w:rsidRPr="00FF756A">
              <w:rPr>
                <w:lang w:eastAsia="de-DE"/>
              </w:rPr>
              <w:t>360.6</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3C30458" w14:textId="77777777" w:rsidR="000055CB" w:rsidRPr="00FF756A" w:rsidRDefault="000055CB">
            <w:pPr>
              <w:spacing w:before="0" w:after="0"/>
              <w:jc w:val="left"/>
              <w:rPr>
                <w:b/>
                <w:bCs/>
                <w:color w:val="000000" w:themeColor="text1"/>
                <w:lang w:eastAsia="de-DE"/>
              </w:rPr>
            </w:pPr>
            <w:r w:rsidRPr="00FF756A">
              <w:rPr>
                <w:b/>
                <w:bCs/>
                <w:color w:val="000000" w:themeColor="text1"/>
                <w:lang w:eastAsia="de-DE"/>
              </w:rPr>
              <w:t>111.4</w:t>
            </w:r>
          </w:p>
        </w:tc>
      </w:tr>
      <w:tr w:rsidR="000055CB" w:rsidRPr="00FF756A" w14:paraId="6A5CD291" w14:textId="77777777" w:rsidTr="000055CB">
        <w:tc>
          <w:tcPr>
            <w:tcW w:w="4531" w:type="dxa"/>
            <w:tcBorders>
              <w:top w:val="single" w:sz="4" w:space="0" w:color="auto"/>
              <w:left w:val="single" w:sz="4" w:space="0" w:color="auto"/>
              <w:bottom w:val="single" w:sz="4" w:space="0" w:color="auto"/>
              <w:right w:val="single" w:sz="4" w:space="0" w:color="auto"/>
            </w:tcBorders>
            <w:vAlign w:val="center"/>
            <w:hideMark/>
          </w:tcPr>
          <w:p w14:paraId="47886838" w14:textId="726524D2" w:rsidR="000055CB" w:rsidRPr="00FF756A" w:rsidRDefault="000055CB">
            <w:pPr>
              <w:spacing w:before="0" w:after="0"/>
              <w:jc w:val="left"/>
              <w:rPr>
                <w:rFonts w:eastAsia="Times New Roman"/>
                <w:color w:val="000000" w:themeColor="text1"/>
                <w:lang w:eastAsia="de-DE"/>
              </w:rPr>
            </w:pPr>
            <w:r w:rsidRPr="00FF756A">
              <w:rPr>
                <w:rFonts w:eastAsia="Times New Roman"/>
                <w:color w:val="000000" w:themeColor="text1"/>
                <w:lang w:eastAsia="de-DE"/>
              </w:rPr>
              <w:t>Peshkimi</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7131983" w14:textId="77777777" w:rsidR="000055CB" w:rsidRPr="00FF756A" w:rsidRDefault="000055CB">
            <w:pPr>
              <w:spacing w:before="0" w:after="0"/>
              <w:jc w:val="left"/>
              <w:rPr>
                <w:lang w:eastAsia="de-DE"/>
              </w:rPr>
            </w:pPr>
            <w:r w:rsidRPr="00FF756A">
              <w:rPr>
                <w:lang w:eastAsia="de-DE"/>
              </w:rPr>
              <w:t>441.1</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2C6A962" w14:textId="77777777" w:rsidR="000055CB" w:rsidRPr="00FF756A" w:rsidRDefault="000055CB">
            <w:pPr>
              <w:spacing w:before="0" w:after="0"/>
              <w:jc w:val="left"/>
              <w:rPr>
                <w:b/>
                <w:bCs/>
                <w:color w:val="000000" w:themeColor="text1"/>
                <w:lang w:eastAsia="de-DE"/>
              </w:rPr>
            </w:pPr>
            <w:r w:rsidRPr="00FF756A">
              <w:rPr>
                <w:b/>
                <w:bCs/>
                <w:color w:val="000000" w:themeColor="text1"/>
                <w:lang w:eastAsia="de-DE"/>
              </w:rPr>
              <w:t>168.7</w:t>
            </w:r>
          </w:p>
        </w:tc>
      </w:tr>
      <w:tr w:rsidR="000055CB" w:rsidRPr="00FF756A" w14:paraId="57097AAF" w14:textId="77777777" w:rsidTr="000055CB">
        <w:tc>
          <w:tcPr>
            <w:tcW w:w="453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606E6D6" w14:textId="77777777" w:rsidR="000055CB" w:rsidRPr="00FF756A" w:rsidRDefault="000055CB">
            <w:pPr>
              <w:spacing w:before="0" w:after="0" w:line="240" w:lineRule="auto"/>
              <w:jc w:val="left"/>
              <w:rPr>
                <w:color w:val="000000" w:themeColor="text1"/>
                <w:lang w:eastAsia="de-DE"/>
              </w:rPr>
            </w:pPr>
            <w:r w:rsidRPr="00FF756A">
              <w:rPr>
                <w:color w:val="000000" w:themeColor="text1"/>
                <w:lang w:eastAsia="de-DE"/>
              </w:rPr>
              <w:t>Gjithsej</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D25145" w14:textId="77777777" w:rsidR="000055CB" w:rsidRPr="00FF756A" w:rsidRDefault="000055CB">
            <w:pPr>
              <w:spacing w:before="0" w:after="0" w:line="240" w:lineRule="auto"/>
              <w:jc w:val="left"/>
              <w:rPr>
                <w:color w:val="000000" w:themeColor="text1"/>
                <w:lang w:eastAsia="de-DE"/>
              </w:rPr>
            </w:pPr>
            <w:r w:rsidRPr="00FF756A">
              <w:rPr>
                <w:color w:val="000000" w:themeColor="text1"/>
                <w:lang w:eastAsia="de-DE"/>
              </w:rPr>
              <w:t>7,284.6</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C84A062" w14:textId="77777777" w:rsidR="000055CB" w:rsidRPr="00FF756A" w:rsidRDefault="000055CB" w:rsidP="006939FE">
            <w:pPr>
              <w:keepNext/>
              <w:spacing w:before="0" w:after="0" w:line="240" w:lineRule="auto"/>
              <w:jc w:val="left"/>
              <w:rPr>
                <w:b/>
                <w:bCs/>
                <w:color w:val="000000" w:themeColor="text1"/>
                <w:lang w:eastAsia="de-DE"/>
              </w:rPr>
            </w:pPr>
            <w:r w:rsidRPr="00FF756A">
              <w:rPr>
                <w:b/>
                <w:bCs/>
                <w:color w:val="000000" w:themeColor="text1"/>
                <w:lang w:eastAsia="de-DE"/>
              </w:rPr>
              <w:t>2,221,5</w:t>
            </w:r>
          </w:p>
        </w:tc>
      </w:tr>
    </w:tbl>
    <w:p w14:paraId="21B4766D" w14:textId="69FB3336" w:rsidR="000055CB" w:rsidRPr="00FF756A" w:rsidRDefault="006939FE" w:rsidP="006939FE">
      <w:pPr>
        <w:pStyle w:val="Caption"/>
        <w:rPr>
          <w:rFonts w:ascii="Times New Roman" w:hAnsi="Times New Roman"/>
          <w:color w:val="000000" w:themeColor="text1"/>
        </w:rPr>
      </w:pPr>
      <w:bookmarkStart w:id="205" w:name="_Toc183016481"/>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17</w:t>
      </w:r>
      <w:r w:rsidR="008E7DE9" w:rsidRPr="00FF756A">
        <w:rPr>
          <w:rFonts w:ascii="Times New Roman" w:hAnsi="Times New Roman"/>
          <w:noProof/>
        </w:rPr>
        <w:fldChar w:fldCharType="end"/>
      </w:r>
      <w:r w:rsidRPr="00FF756A">
        <w:rPr>
          <w:rFonts w:ascii="Times New Roman" w:hAnsi="Times New Roman"/>
        </w:rPr>
        <w:t xml:space="preserve">: </w:t>
      </w:r>
      <w:r w:rsidR="00336EC0" w:rsidRPr="00FF756A">
        <w:rPr>
          <w:rFonts w:ascii="Times New Roman" w:hAnsi="Times New Roman"/>
        </w:rPr>
        <w:t xml:space="preserve">Shkarkimet </w:t>
      </w:r>
      <w:r w:rsidRPr="00FF756A">
        <w:rPr>
          <w:rFonts w:ascii="Times New Roman" w:hAnsi="Times New Roman"/>
        </w:rPr>
        <w:t>e G</w:t>
      </w:r>
      <w:r w:rsidR="00336EC0" w:rsidRPr="00FF756A">
        <w:rPr>
          <w:rFonts w:ascii="Times New Roman" w:hAnsi="Times New Roman"/>
        </w:rPr>
        <w:t>ES-ve</w:t>
      </w:r>
      <w:r w:rsidRPr="00FF756A">
        <w:rPr>
          <w:rFonts w:ascii="Times New Roman" w:hAnsi="Times New Roman"/>
        </w:rPr>
        <w:t xml:space="preserve"> [kt CO2eq] siç janë parashikuar me masat ekzistuese dhe me masa shtesë për vitin 2050 për sektorët specifikë të kërkesës</w:t>
      </w:r>
      <w:bookmarkEnd w:id="205"/>
    </w:p>
    <w:p w14:paraId="232FE7D3" w14:textId="77777777" w:rsidR="000055CB" w:rsidRPr="00FF756A" w:rsidRDefault="000055CB" w:rsidP="000055CB">
      <w:pPr>
        <w:pStyle w:val="Caption"/>
        <w:rPr>
          <w:rFonts w:ascii="Times New Roman" w:hAnsi="Times New Roman"/>
          <w:color w:val="000000" w:themeColor="text1"/>
        </w:rPr>
      </w:pPr>
      <w:bookmarkStart w:id="206" w:name="_Toc100575562"/>
    </w:p>
    <w:tbl>
      <w:tblPr>
        <w:tblStyle w:val="TableGrid"/>
        <w:tblW w:w="9071" w:type="dxa"/>
        <w:tblInd w:w="-38" w:type="dxa"/>
        <w:tblLook w:val="04A0" w:firstRow="1" w:lastRow="0" w:firstColumn="1" w:lastColumn="0" w:noHBand="0" w:noVBand="1"/>
      </w:tblPr>
      <w:tblGrid>
        <w:gridCol w:w="4535"/>
        <w:gridCol w:w="2268"/>
        <w:gridCol w:w="2268"/>
      </w:tblGrid>
      <w:tr w:rsidR="000055CB" w:rsidRPr="00FF756A" w14:paraId="1693E3C6" w14:textId="77777777" w:rsidTr="000055CB">
        <w:tc>
          <w:tcPr>
            <w:tcW w:w="45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DD5447" w14:textId="77777777" w:rsidR="000055CB" w:rsidRPr="00FF756A" w:rsidRDefault="000055CB">
            <w:pPr>
              <w:spacing w:before="0" w:after="0" w:line="240" w:lineRule="auto"/>
              <w:jc w:val="left"/>
              <w:rPr>
                <w:color w:val="000000" w:themeColor="text1"/>
                <w:lang w:eastAsia="de-DE"/>
              </w:rPr>
            </w:pPr>
            <w:r w:rsidRPr="00FF756A">
              <w:rPr>
                <w:color w:val="000000" w:themeColor="text1"/>
                <w:lang w:eastAsia="de-DE"/>
              </w:rPr>
              <w:t>Sektori</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F724B2" w14:textId="77777777" w:rsidR="000055CB" w:rsidRPr="00FF756A" w:rsidRDefault="000055CB">
            <w:pPr>
              <w:spacing w:before="0" w:after="0" w:line="240" w:lineRule="auto"/>
              <w:jc w:val="left"/>
              <w:rPr>
                <w:color w:val="000000" w:themeColor="text1"/>
                <w:lang w:eastAsia="de-DE"/>
              </w:rPr>
            </w:pPr>
            <w:r w:rsidRPr="00FF756A">
              <w:rPr>
                <w:color w:val="000000" w:themeColor="text1"/>
                <w:lang w:eastAsia="de-DE"/>
              </w:rPr>
              <w:t>WEM 2050</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C47B912" w14:textId="77777777" w:rsidR="000055CB" w:rsidRPr="00FF756A" w:rsidRDefault="000055CB">
            <w:pPr>
              <w:spacing w:before="0" w:after="0" w:line="240" w:lineRule="auto"/>
              <w:jc w:val="left"/>
              <w:rPr>
                <w:b/>
                <w:bCs/>
                <w:color w:val="000000" w:themeColor="text1"/>
                <w:lang w:eastAsia="de-DE"/>
              </w:rPr>
            </w:pPr>
            <w:r w:rsidRPr="00FF756A">
              <w:rPr>
                <w:b/>
                <w:bCs/>
                <w:color w:val="000000" w:themeColor="text1"/>
                <w:lang w:eastAsia="de-DE"/>
              </w:rPr>
              <w:t>WAM 2050</w:t>
            </w:r>
          </w:p>
        </w:tc>
      </w:tr>
      <w:tr w:rsidR="000055CB" w:rsidRPr="00FF756A" w14:paraId="5F5DFCAA" w14:textId="77777777" w:rsidTr="000055CB">
        <w:tc>
          <w:tcPr>
            <w:tcW w:w="4535" w:type="dxa"/>
            <w:tcBorders>
              <w:top w:val="single" w:sz="4" w:space="0" w:color="auto"/>
              <w:left w:val="single" w:sz="4" w:space="0" w:color="auto"/>
              <w:bottom w:val="single" w:sz="4" w:space="0" w:color="auto"/>
              <w:right w:val="single" w:sz="4" w:space="0" w:color="auto"/>
            </w:tcBorders>
            <w:vAlign w:val="center"/>
            <w:hideMark/>
          </w:tcPr>
          <w:p w14:paraId="4295DCB3" w14:textId="77777777" w:rsidR="000055CB" w:rsidRPr="00FF756A" w:rsidRDefault="000055CB">
            <w:pPr>
              <w:spacing w:before="0" w:after="0"/>
              <w:jc w:val="left"/>
              <w:rPr>
                <w:color w:val="C00000"/>
                <w:lang w:eastAsia="de-DE"/>
              </w:rPr>
            </w:pPr>
            <w:r w:rsidRPr="00FF756A">
              <w:rPr>
                <w:rFonts w:eastAsia="Times New Roman"/>
                <w:color w:val="C00000"/>
                <w:lang w:eastAsia="de-DE"/>
              </w:rPr>
              <w:t>IPPU (Proceset industriale dhe përdorimi i produktit)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A409A98" w14:textId="77777777" w:rsidR="000055CB" w:rsidRPr="00FF756A" w:rsidRDefault="000055CB">
            <w:pPr>
              <w:spacing w:before="0" w:after="0"/>
              <w:jc w:val="left"/>
              <w:rPr>
                <w:color w:val="C00000"/>
                <w:lang w:eastAsia="de-DE"/>
              </w:rPr>
            </w:pPr>
            <w:r w:rsidRPr="00FF756A">
              <w:rPr>
                <w:color w:val="C00000"/>
                <w:lang w:eastAsia="de-DE"/>
              </w:rPr>
              <w:t>2806.3</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B776B58" w14:textId="77777777" w:rsidR="000055CB" w:rsidRPr="00FF756A" w:rsidRDefault="000055CB">
            <w:pPr>
              <w:spacing w:before="0" w:after="0"/>
              <w:jc w:val="left"/>
              <w:rPr>
                <w:b/>
                <w:bCs/>
                <w:color w:val="C00000"/>
                <w:lang w:eastAsia="de-DE"/>
              </w:rPr>
            </w:pPr>
            <w:r w:rsidRPr="00FF756A">
              <w:rPr>
                <w:b/>
                <w:bCs/>
                <w:color w:val="C00000"/>
                <w:lang w:eastAsia="de-DE"/>
              </w:rPr>
              <w:t>830.8</w:t>
            </w:r>
          </w:p>
        </w:tc>
      </w:tr>
      <w:tr w:rsidR="000055CB" w:rsidRPr="00FF756A" w14:paraId="0A89998E" w14:textId="77777777" w:rsidTr="000055CB">
        <w:tc>
          <w:tcPr>
            <w:tcW w:w="4535" w:type="dxa"/>
            <w:tcBorders>
              <w:top w:val="single" w:sz="4" w:space="0" w:color="auto"/>
              <w:left w:val="single" w:sz="4" w:space="0" w:color="auto"/>
              <w:bottom w:val="single" w:sz="4" w:space="0" w:color="auto"/>
              <w:right w:val="single" w:sz="4" w:space="0" w:color="auto"/>
            </w:tcBorders>
            <w:vAlign w:val="center"/>
            <w:hideMark/>
          </w:tcPr>
          <w:p w14:paraId="33B2DC9A" w14:textId="77777777" w:rsidR="000055CB" w:rsidRPr="00FF756A" w:rsidRDefault="000055CB">
            <w:pPr>
              <w:spacing w:before="0" w:after="0"/>
              <w:jc w:val="left"/>
              <w:rPr>
                <w:color w:val="C00000"/>
                <w:lang w:eastAsia="de-DE"/>
              </w:rPr>
            </w:pPr>
            <w:r w:rsidRPr="00FF756A">
              <w:rPr>
                <w:rFonts w:eastAsia="Times New Roman"/>
                <w:color w:val="C00000"/>
                <w:lang w:eastAsia="de-DE"/>
              </w:rPr>
              <w:t>Bujqësi (kryesisht Fermentimi Enterik CH4)</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FC5C76D" w14:textId="77777777" w:rsidR="000055CB" w:rsidRPr="00FF756A" w:rsidRDefault="000055CB">
            <w:pPr>
              <w:spacing w:before="0" w:after="0"/>
              <w:jc w:val="left"/>
              <w:rPr>
                <w:color w:val="C00000"/>
                <w:lang w:eastAsia="de-DE"/>
              </w:rPr>
            </w:pPr>
            <w:r w:rsidRPr="00FF756A">
              <w:rPr>
                <w:color w:val="C00000"/>
                <w:lang w:eastAsia="de-DE"/>
              </w:rPr>
              <w:t>2,225,9</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1808561" w14:textId="77777777" w:rsidR="000055CB" w:rsidRPr="00FF756A" w:rsidRDefault="000055CB">
            <w:pPr>
              <w:spacing w:before="0" w:after="0"/>
              <w:jc w:val="left"/>
              <w:rPr>
                <w:b/>
                <w:bCs/>
                <w:color w:val="C00000"/>
                <w:lang w:eastAsia="de-DE"/>
              </w:rPr>
            </w:pPr>
            <w:r w:rsidRPr="00FF756A">
              <w:rPr>
                <w:b/>
                <w:bCs/>
                <w:color w:val="C00000"/>
                <w:lang w:eastAsia="de-DE"/>
              </w:rPr>
              <w:t>1,533.7</w:t>
            </w:r>
          </w:p>
        </w:tc>
      </w:tr>
      <w:tr w:rsidR="000055CB" w:rsidRPr="00FF756A" w14:paraId="644A8E66" w14:textId="77777777" w:rsidTr="000055CB">
        <w:tc>
          <w:tcPr>
            <w:tcW w:w="4535" w:type="dxa"/>
            <w:tcBorders>
              <w:top w:val="single" w:sz="4" w:space="0" w:color="auto"/>
              <w:left w:val="single" w:sz="4" w:space="0" w:color="auto"/>
              <w:bottom w:val="single" w:sz="4" w:space="0" w:color="auto"/>
              <w:right w:val="single" w:sz="4" w:space="0" w:color="auto"/>
            </w:tcBorders>
            <w:vAlign w:val="center"/>
            <w:hideMark/>
          </w:tcPr>
          <w:p w14:paraId="5BD4A2B8" w14:textId="77777777" w:rsidR="000055CB" w:rsidRPr="00FF756A" w:rsidRDefault="000055CB">
            <w:pPr>
              <w:spacing w:before="0" w:after="0"/>
              <w:jc w:val="left"/>
              <w:rPr>
                <w:color w:val="000000" w:themeColor="text1"/>
                <w:lang w:eastAsia="de-DE"/>
              </w:rPr>
            </w:pPr>
            <w:r w:rsidRPr="00FF756A">
              <w:rPr>
                <w:rFonts w:eastAsia="Times New Roman"/>
                <w:color w:val="000000" w:themeColor="text1"/>
                <w:lang w:eastAsia="de-DE"/>
              </w:rPr>
              <w:t>LULUCF</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7734749" w14:textId="77777777" w:rsidR="000055CB" w:rsidRPr="00FF756A" w:rsidRDefault="000055CB">
            <w:pPr>
              <w:spacing w:before="0" w:after="0"/>
              <w:jc w:val="left"/>
              <w:rPr>
                <w:lang w:eastAsia="de-DE"/>
              </w:rPr>
            </w:pPr>
            <w:r w:rsidRPr="00FF756A">
              <w:rPr>
                <w:lang w:eastAsia="de-DE"/>
              </w:rPr>
              <w:t>1,515.0</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C827836" w14:textId="77777777" w:rsidR="000055CB" w:rsidRPr="00FF756A" w:rsidRDefault="000055CB">
            <w:pPr>
              <w:spacing w:before="0" w:after="0"/>
              <w:jc w:val="left"/>
              <w:rPr>
                <w:b/>
                <w:bCs/>
                <w:lang w:eastAsia="de-DE"/>
              </w:rPr>
            </w:pPr>
            <w:r w:rsidRPr="00FF756A">
              <w:rPr>
                <w:b/>
                <w:bCs/>
                <w:lang w:eastAsia="de-DE"/>
              </w:rPr>
              <w:t>-658,9</w:t>
            </w:r>
          </w:p>
        </w:tc>
      </w:tr>
      <w:tr w:rsidR="000055CB" w:rsidRPr="00FF756A" w14:paraId="186070C7" w14:textId="77777777" w:rsidTr="000055CB">
        <w:tc>
          <w:tcPr>
            <w:tcW w:w="4535" w:type="dxa"/>
            <w:tcBorders>
              <w:top w:val="single" w:sz="4" w:space="0" w:color="auto"/>
              <w:left w:val="single" w:sz="4" w:space="0" w:color="auto"/>
              <w:bottom w:val="single" w:sz="4" w:space="0" w:color="auto"/>
              <w:right w:val="single" w:sz="4" w:space="0" w:color="auto"/>
            </w:tcBorders>
            <w:vAlign w:val="center"/>
            <w:hideMark/>
          </w:tcPr>
          <w:p w14:paraId="1B45D6B8" w14:textId="77777777" w:rsidR="000055CB" w:rsidRPr="00FF756A" w:rsidRDefault="000055CB">
            <w:pPr>
              <w:spacing w:before="0" w:after="0"/>
              <w:jc w:val="left"/>
              <w:rPr>
                <w:color w:val="000000" w:themeColor="text1"/>
                <w:lang w:eastAsia="de-DE"/>
              </w:rPr>
            </w:pPr>
            <w:r w:rsidRPr="00FF756A">
              <w:rPr>
                <w:rFonts w:eastAsia="Times New Roman"/>
                <w:color w:val="000000" w:themeColor="text1"/>
                <w:lang w:eastAsia="de-DE"/>
              </w:rPr>
              <w:t>Mbeturinat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14B0764" w14:textId="77777777" w:rsidR="000055CB" w:rsidRPr="00FF756A" w:rsidRDefault="000055CB">
            <w:pPr>
              <w:spacing w:before="0" w:after="0"/>
              <w:jc w:val="left"/>
              <w:rPr>
                <w:lang w:eastAsia="de-DE"/>
              </w:rPr>
            </w:pPr>
            <w:r w:rsidRPr="00FF756A">
              <w:rPr>
                <w:lang w:eastAsia="de-DE"/>
              </w:rPr>
              <w:t>598.2</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6676A29" w14:textId="77777777" w:rsidR="000055CB" w:rsidRPr="00FF756A" w:rsidRDefault="000055CB">
            <w:pPr>
              <w:spacing w:before="0" w:after="0"/>
              <w:jc w:val="left"/>
              <w:rPr>
                <w:b/>
                <w:bCs/>
                <w:lang w:eastAsia="de-DE"/>
              </w:rPr>
            </w:pPr>
            <w:r w:rsidRPr="00FF756A">
              <w:rPr>
                <w:b/>
                <w:bCs/>
                <w:lang w:eastAsia="de-DE"/>
              </w:rPr>
              <w:t>598.2</w:t>
            </w:r>
          </w:p>
        </w:tc>
      </w:tr>
      <w:tr w:rsidR="000055CB" w:rsidRPr="00FF756A" w14:paraId="6C95DA95" w14:textId="77777777" w:rsidTr="000055CB">
        <w:tc>
          <w:tcPr>
            <w:tcW w:w="45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D33984" w14:textId="77777777" w:rsidR="000055CB" w:rsidRPr="00FF756A" w:rsidRDefault="000055CB">
            <w:pPr>
              <w:spacing w:before="0" w:after="0" w:line="240" w:lineRule="auto"/>
              <w:jc w:val="left"/>
              <w:rPr>
                <w:color w:val="000000" w:themeColor="text1"/>
                <w:lang w:eastAsia="de-DE"/>
              </w:rPr>
            </w:pPr>
            <w:r w:rsidRPr="00FF756A">
              <w:rPr>
                <w:color w:val="000000" w:themeColor="text1"/>
                <w:lang w:eastAsia="de-DE"/>
              </w:rPr>
              <w:t>Gjithsej</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05251C6" w14:textId="77777777" w:rsidR="000055CB" w:rsidRPr="00FF756A" w:rsidRDefault="000055CB">
            <w:pPr>
              <w:spacing w:before="0" w:after="0" w:line="240" w:lineRule="auto"/>
              <w:jc w:val="left"/>
              <w:rPr>
                <w:color w:val="000000" w:themeColor="text1"/>
                <w:lang w:eastAsia="de-DE"/>
              </w:rPr>
            </w:pPr>
            <w:r w:rsidRPr="00FF756A">
              <w:rPr>
                <w:color w:val="000000" w:themeColor="text1"/>
                <w:lang w:eastAsia="de-DE"/>
              </w:rPr>
              <w:t>7,145.5</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117E415" w14:textId="77777777" w:rsidR="000055CB" w:rsidRPr="00FF756A" w:rsidRDefault="000055CB" w:rsidP="006939FE">
            <w:pPr>
              <w:keepNext/>
              <w:spacing w:before="0" w:after="0" w:line="240" w:lineRule="auto"/>
              <w:jc w:val="left"/>
              <w:rPr>
                <w:b/>
                <w:bCs/>
                <w:color w:val="000000" w:themeColor="text1"/>
                <w:lang w:eastAsia="de-DE"/>
              </w:rPr>
            </w:pPr>
            <w:r w:rsidRPr="00FF756A">
              <w:rPr>
                <w:b/>
                <w:bCs/>
                <w:color w:val="000000" w:themeColor="text1"/>
                <w:lang w:eastAsia="de-DE"/>
              </w:rPr>
              <w:t>2,303.8</w:t>
            </w:r>
          </w:p>
        </w:tc>
      </w:tr>
    </w:tbl>
    <w:p w14:paraId="4BEF87FB" w14:textId="4A165BFD" w:rsidR="000055CB" w:rsidRPr="00FF756A" w:rsidRDefault="006939FE" w:rsidP="006939FE">
      <w:pPr>
        <w:pStyle w:val="Caption"/>
        <w:rPr>
          <w:rFonts w:ascii="Times New Roman" w:hAnsi="Times New Roman"/>
        </w:rPr>
      </w:pPr>
      <w:bookmarkStart w:id="207" w:name="_Toc183016482"/>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18</w:t>
      </w:r>
      <w:r w:rsidR="008E7DE9" w:rsidRPr="00FF756A">
        <w:rPr>
          <w:rFonts w:ascii="Times New Roman" w:hAnsi="Times New Roman"/>
          <w:noProof/>
        </w:rPr>
        <w:fldChar w:fldCharType="end"/>
      </w:r>
      <w:r w:rsidRPr="00FF756A">
        <w:rPr>
          <w:rFonts w:ascii="Times New Roman" w:hAnsi="Times New Roman"/>
        </w:rPr>
        <w:t xml:space="preserve">: </w:t>
      </w:r>
      <w:r w:rsidR="00671921" w:rsidRPr="00FF756A">
        <w:rPr>
          <w:rFonts w:ascii="Times New Roman" w:hAnsi="Times New Roman"/>
        </w:rPr>
        <w:t xml:space="preserve">Shkarkimet </w:t>
      </w:r>
      <w:r w:rsidRPr="00FF756A">
        <w:rPr>
          <w:rFonts w:ascii="Times New Roman" w:hAnsi="Times New Roman"/>
        </w:rPr>
        <w:t>e G</w:t>
      </w:r>
      <w:r w:rsidR="00671921" w:rsidRPr="00FF756A">
        <w:rPr>
          <w:rFonts w:ascii="Times New Roman" w:hAnsi="Times New Roman"/>
        </w:rPr>
        <w:t xml:space="preserve">ES-ve </w:t>
      </w:r>
      <w:r w:rsidRPr="00FF756A">
        <w:rPr>
          <w:rFonts w:ascii="Times New Roman" w:hAnsi="Times New Roman"/>
        </w:rPr>
        <w:t>[kt CO2eq] siç janë parashikuar me masat ekzistuese dhe me masa shtesë për vitin 2050 për sektorët specifikë joenergjetikë</w:t>
      </w:r>
      <w:bookmarkEnd w:id="207"/>
    </w:p>
    <w:p w14:paraId="3F4079C8" w14:textId="77777777" w:rsidR="000055CB" w:rsidRPr="00FF756A" w:rsidRDefault="000055CB" w:rsidP="000055CB"/>
    <w:p w14:paraId="278CC014" w14:textId="2481A054" w:rsidR="000055CB" w:rsidRPr="00FF756A" w:rsidRDefault="00770920" w:rsidP="004A3257">
      <w:pPr>
        <w:pStyle w:val="Heading3"/>
      </w:pPr>
      <w:bookmarkStart w:id="208" w:name="_Toc181516986"/>
      <w:bookmarkStart w:id="209" w:name="_Toc183639204"/>
      <w:r w:rsidRPr="00FF756A">
        <w:t xml:space="preserve">2.1.2 </w:t>
      </w:r>
      <w:r w:rsidR="000055CB" w:rsidRPr="00FF756A">
        <w:t>Energjia e Rinovueshme</w:t>
      </w:r>
      <w:bookmarkEnd w:id="203"/>
      <w:bookmarkEnd w:id="206"/>
      <w:bookmarkEnd w:id="208"/>
      <w:bookmarkEnd w:id="209"/>
    </w:p>
    <w:p w14:paraId="0EC7DCF2" w14:textId="77777777" w:rsidR="00702AC2" w:rsidRPr="00FF756A" w:rsidRDefault="00702AC2" w:rsidP="004A3257"/>
    <w:p w14:paraId="3D7C788B" w14:textId="34EFFA6A" w:rsidR="009A468F" w:rsidRPr="00FF756A" w:rsidRDefault="000055CB" w:rsidP="000055CB">
      <w:pPr>
        <w:rPr>
          <w:b/>
          <w:bCs/>
          <w:color w:val="0070C0"/>
          <w:u w:val="single"/>
        </w:rPr>
      </w:pPr>
      <w:bookmarkStart w:id="210" w:name="_Toc181516987"/>
      <w:r w:rsidRPr="00FF756A">
        <w:rPr>
          <w:color w:val="0070C0"/>
        </w:rPr>
        <w:t>Elementet e përcaktuara në</w:t>
      </w:r>
      <w:r w:rsidR="009A468F" w:rsidRPr="00FF756A">
        <w:rPr>
          <w:color w:val="0070C0"/>
        </w:rPr>
        <w:t xml:space="preserve"> </w:t>
      </w:r>
      <w:r w:rsidR="00671921" w:rsidRPr="00FF756A">
        <w:rPr>
          <w:color w:val="0070C0"/>
        </w:rPr>
        <w:t>nenin 4,</w:t>
      </w:r>
      <w:r w:rsidR="009A468F" w:rsidRPr="00FF756A">
        <w:rPr>
          <w:color w:val="0070C0"/>
        </w:rPr>
        <w:t xml:space="preserve"> pika 2, germa “a”</w:t>
      </w:r>
      <w:r w:rsidRPr="00FF756A">
        <w:rPr>
          <w:color w:val="0070C0"/>
        </w:rPr>
        <w:t>4</w:t>
      </w:r>
      <w:bookmarkEnd w:id="210"/>
    </w:p>
    <w:p w14:paraId="002BFF6B" w14:textId="7B83B196" w:rsidR="000055CB" w:rsidRPr="00FF756A" w:rsidRDefault="009A468F" w:rsidP="000055CB">
      <w:pPr>
        <w:rPr>
          <w:b/>
          <w:bCs/>
          <w:color w:val="000000" w:themeColor="text1"/>
          <w:u w:val="single"/>
        </w:rPr>
      </w:pPr>
      <w:r w:rsidRPr="00FF756A">
        <w:rPr>
          <w:b/>
          <w:bCs/>
          <w:color w:val="000000" w:themeColor="text1"/>
          <w:u w:val="single"/>
        </w:rPr>
        <w:t>Pikës</w:t>
      </w:r>
      <w:r w:rsidR="000055CB" w:rsidRPr="00FF756A">
        <w:rPr>
          <w:b/>
          <w:bCs/>
          <w:color w:val="000000" w:themeColor="text1"/>
          <w:u w:val="single"/>
        </w:rPr>
        <w:t xml:space="preserve">ynimet e bazuara në Pjesën </w:t>
      </w:r>
      <w:r w:rsidRPr="00FF756A">
        <w:rPr>
          <w:b/>
          <w:bCs/>
          <w:color w:val="000000" w:themeColor="text1"/>
          <w:u w:val="single"/>
        </w:rPr>
        <w:t xml:space="preserve">B </w:t>
      </w:r>
      <w:r w:rsidR="000055CB" w:rsidRPr="00FF756A">
        <w:rPr>
          <w:b/>
          <w:bCs/>
          <w:color w:val="000000" w:themeColor="text1"/>
          <w:u w:val="single"/>
        </w:rPr>
        <w:t xml:space="preserve">Analitike të </w:t>
      </w:r>
      <w:r w:rsidRPr="00FF756A">
        <w:rPr>
          <w:b/>
          <w:bCs/>
          <w:color w:val="000000" w:themeColor="text1"/>
          <w:u w:val="single"/>
        </w:rPr>
        <w:t>PKEK-së</w:t>
      </w:r>
    </w:p>
    <w:p w14:paraId="32F25502" w14:textId="77777777" w:rsidR="000055CB" w:rsidRPr="00FF756A" w:rsidRDefault="000055CB" w:rsidP="000055CB">
      <w:pPr>
        <w:rPr>
          <w:color w:val="000000" w:themeColor="text1"/>
        </w:rPr>
      </w:pPr>
    </w:p>
    <w:p w14:paraId="15B3FCDB" w14:textId="0640BB69" w:rsidR="000055CB" w:rsidRPr="00FF756A" w:rsidRDefault="000055CB" w:rsidP="000055CB">
      <w:pPr>
        <w:rPr>
          <w:b/>
          <w:bCs/>
          <w:color w:val="000000" w:themeColor="text1"/>
        </w:rPr>
      </w:pPr>
      <w:r w:rsidRPr="00FF756A">
        <w:rPr>
          <w:b/>
          <w:bCs/>
          <w:color w:val="000000" w:themeColor="text1"/>
        </w:rPr>
        <w:t>Në lidhje me furnizimin total me energji primare (TPE</w:t>
      </w:r>
      <w:r w:rsidR="0003323C" w:rsidRPr="00FF756A">
        <w:rPr>
          <w:b/>
          <w:bCs/>
          <w:color w:val="000000" w:themeColor="text1"/>
        </w:rPr>
        <w:t>S</w:t>
      </w:r>
      <w:r w:rsidRPr="00FF756A">
        <w:rPr>
          <w:b/>
          <w:bCs/>
          <w:color w:val="000000" w:themeColor="text1"/>
        </w:rPr>
        <w:t>)</w:t>
      </w:r>
    </w:p>
    <w:p w14:paraId="34F8183A" w14:textId="7C625E9E" w:rsidR="000055CB" w:rsidRPr="00FF756A" w:rsidRDefault="000055CB" w:rsidP="000055CB">
      <w:pPr>
        <w:rPr>
          <w:color w:val="000000" w:themeColor="text1"/>
        </w:rPr>
      </w:pPr>
      <w:r w:rsidRPr="00FF756A">
        <w:rPr>
          <w:color w:val="000000" w:themeColor="text1"/>
        </w:rPr>
        <w:t xml:space="preserve">Në skenarin </w:t>
      </w:r>
      <w:r w:rsidR="0003323C" w:rsidRPr="00FF756A">
        <w:rPr>
          <w:color w:val="000000" w:themeColor="text1"/>
        </w:rPr>
        <w:t xml:space="preserve">e </w:t>
      </w:r>
      <w:r w:rsidRPr="00FF756A">
        <w:rPr>
          <w:color w:val="000000" w:themeColor="text1"/>
        </w:rPr>
        <w:t>WEM</w:t>
      </w:r>
      <w:r w:rsidR="0003323C" w:rsidRPr="00FF756A">
        <w:rPr>
          <w:color w:val="000000" w:themeColor="text1"/>
        </w:rPr>
        <w:t>-së</w:t>
      </w:r>
      <w:r w:rsidRPr="00FF756A">
        <w:rPr>
          <w:color w:val="000000" w:themeColor="text1"/>
        </w:rPr>
        <w:t>, pjesa e burimeve të rinovueshme në TPES (sasia totale e energjisë primare që ka në dispozicion një vend) ndryshon nga 29.2% në 2020 në 34.8% në 2030. Në skenarin WAM, pjesa e energjisë së rinovueshme në TPES arrin në 58.4 %. Në rastin e skenarit WAM RE që merr në konsideratë vetëm kërkesën e brendshme për energji elektrike (WAM RE për të përmbushur kërkesën), p</w:t>
      </w:r>
      <w:r w:rsidR="00D240A6" w:rsidRPr="00FF756A">
        <w:rPr>
          <w:color w:val="000000" w:themeColor="text1"/>
        </w:rPr>
        <w:t xml:space="preserve">ërqindja </w:t>
      </w:r>
      <w:r w:rsidRPr="00FF756A">
        <w:rPr>
          <w:color w:val="000000" w:themeColor="text1"/>
        </w:rPr>
        <w:t>arrin në 39.6%.</w:t>
      </w:r>
    </w:p>
    <w:p w14:paraId="2CC64B87" w14:textId="77777777" w:rsidR="000055CB" w:rsidRPr="00FF756A" w:rsidRDefault="000055CB" w:rsidP="000055CB">
      <w:pPr>
        <w:pStyle w:val="Caption"/>
        <w:rPr>
          <w:rFonts w:ascii="Times New Roman" w:hAnsi="Times New Roman"/>
          <w:color w:val="000000" w:themeColor="text1"/>
        </w:rPr>
      </w:pPr>
      <w:bookmarkStart w:id="211" w:name="_Hlk77608770"/>
    </w:p>
    <w:tbl>
      <w:tblPr>
        <w:tblStyle w:val="TableGrid"/>
        <w:tblW w:w="0" w:type="auto"/>
        <w:tblLayout w:type="fixed"/>
        <w:tblLook w:val="04A0" w:firstRow="1" w:lastRow="0" w:firstColumn="1" w:lastColumn="0" w:noHBand="0" w:noVBand="1"/>
      </w:tblPr>
      <w:tblGrid>
        <w:gridCol w:w="1472"/>
        <w:gridCol w:w="1701"/>
        <w:gridCol w:w="1701"/>
        <w:gridCol w:w="1701"/>
      </w:tblGrid>
      <w:tr w:rsidR="000055CB" w:rsidRPr="00FF756A" w14:paraId="135910F5" w14:textId="77777777" w:rsidTr="000055CB">
        <w:trPr>
          <w:trHeight w:val="283"/>
        </w:trPr>
        <w:tc>
          <w:tcPr>
            <w:tcW w:w="1472" w:type="dxa"/>
            <w:tcBorders>
              <w:top w:val="single" w:sz="4" w:space="0" w:color="auto"/>
              <w:left w:val="single" w:sz="4" w:space="0" w:color="auto"/>
              <w:bottom w:val="single" w:sz="4" w:space="0" w:color="auto"/>
              <w:right w:val="single" w:sz="4" w:space="0" w:color="auto"/>
            </w:tcBorders>
            <w:hideMark/>
          </w:tcPr>
          <w:p w14:paraId="4E4C4771" w14:textId="77777777" w:rsidR="000055CB" w:rsidRPr="00FF756A" w:rsidRDefault="000055CB">
            <w:pPr>
              <w:spacing w:before="0" w:after="0"/>
              <w:rPr>
                <w:color w:val="000000" w:themeColor="text1"/>
                <w:lang w:eastAsia="de-DE"/>
              </w:rPr>
            </w:pPr>
            <w:r w:rsidRPr="00FF756A">
              <w:rPr>
                <w:color w:val="000000" w:themeColor="text1"/>
                <w:lang w:eastAsia="de-DE"/>
              </w:rPr>
              <w:t>Sektori</w:t>
            </w:r>
          </w:p>
        </w:tc>
        <w:tc>
          <w:tcPr>
            <w:tcW w:w="1701" w:type="dxa"/>
            <w:tcBorders>
              <w:top w:val="single" w:sz="4" w:space="0" w:color="auto"/>
              <w:left w:val="single" w:sz="4" w:space="0" w:color="auto"/>
              <w:bottom w:val="single" w:sz="4" w:space="0" w:color="auto"/>
              <w:right w:val="single" w:sz="4" w:space="0" w:color="auto"/>
            </w:tcBorders>
            <w:hideMark/>
          </w:tcPr>
          <w:p w14:paraId="5F5DAC3D" w14:textId="77777777" w:rsidR="000055CB" w:rsidRPr="00FF756A" w:rsidRDefault="000055CB">
            <w:pPr>
              <w:spacing w:before="0" w:after="0"/>
              <w:jc w:val="left"/>
              <w:rPr>
                <w:color w:val="000000" w:themeColor="text1"/>
                <w:lang w:eastAsia="de-DE"/>
              </w:rPr>
            </w:pPr>
            <w:r w:rsidRPr="00FF756A">
              <w:rPr>
                <w:color w:val="000000" w:themeColor="text1"/>
                <w:lang w:eastAsia="de-DE"/>
              </w:rPr>
              <w:t>WEM 2030</w:t>
            </w:r>
          </w:p>
        </w:tc>
        <w:tc>
          <w:tcPr>
            <w:tcW w:w="1701" w:type="dxa"/>
            <w:tcBorders>
              <w:top w:val="single" w:sz="4" w:space="0" w:color="auto"/>
              <w:left w:val="single" w:sz="4" w:space="0" w:color="auto"/>
              <w:bottom w:val="single" w:sz="4" w:space="0" w:color="auto"/>
              <w:right w:val="single" w:sz="4" w:space="0" w:color="auto"/>
            </w:tcBorders>
            <w:hideMark/>
          </w:tcPr>
          <w:p w14:paraId="27A59979" w14:textId="77777777" w:rsidR="000055CB" w:rsidRPr="00FF756A" w:rsidRDefault="000055CB">
            <w:pPr>
              <w:spacing w:before="0" w:after="0"/>
              <w:jc w:val="left"/>
              <w:rPr>
                <w:color w:val="000000" w:themeColor="text1"/>
                <w:lang w:eastAsia="de-DE"/>
              </w:rPr>
            </w:pPr>
            <w:r w:rsidRPr="00FF756A">
              <w:rPr>
                <w:color w:val="000000" w:themeColor="text1"/>
                <w:lang w:eastAsia="de-DE"/>
              </w:rPr>
              <w:t>WAM RE 2030</w:t>
            </w:r>
          </w:p>
        </w:tc>
        <w:tc>
          <w:tcPr>
            <w:tcW w:w="1701" w:type="dxa"/>
            <w:tcBorders>
              <w:top w:val="single" w:sz="4" w:space="0" w:color="auto"/>
              <w:left w:val="single" w:sz="4" w:space="0" w:color="auto"/>
              <w:bottom w:val="single" w:sz="4" w:space="0" w:color="auto"/>
              <w:right w:val="single" w:sz="4" w:space="0" w:color="auto"/>
            </w:tcBorders>
            <w:hideMark/>
          </w:tcPr>
          <w:p w14:paraId="16FD6D5C" w14:textId="77777777" w:rsidR="000055CB" w:rsidRPr="00FF756A" w:rsidRDefault="000055CB">
            <w:pPr>
              <w:spacing w:before="0" w:after="0"/>
              <w:jc w:val="left"/>
              <w:rPr>
                <w:b/>
                <w:bCs/>
                <w:color w:val="000000" w:themeColor="text1"/>
                <w:lang w:eastAsia="de-DE"/>
              </w:rPr>
            </w:pPr>
            <w:r w:rsidRPr="00FF756A">
              <w:rPr>
                <w:b/>
                <w:bCs/>
                <w:color w:val="000000" w:themeColor="text1"/>
                <w:lang w:eastAsia="de-DE"/>
              </w:rPr>
              <w:t>WAM 2030</w:t>
            </w:r>
          </w:p>
        </w:tc>
      </w:tr>
      <w:tr w:rsidR="000055CB" w:rsidRPr="00FF756A" w14:paraId="50E0E31C" w14:textId="77777777" w:rsidTr="000055CB">
        <w:trPr>
          <w:trHeight w:val="283"/>
        </w:trPr>
        <w:tc>
          <w:tcPr>
            <w:tcW w:w="1472" w:type="dxa"/>
            <w:tcBorders>
              <w:top w:val="single" w:sz="4" w:space="0" w:color="auto"/>
              <w:left w:val="single" w:sz="4" w:space="0" w:color="auto"/>
              <w:bottom w:val="single" w:sz="4" w:space="0" w:color="auto"/>
              <w:right w:val="single" w:sz="4" w:space="0" w:color="auto"/>
            </w:tcBorders>
            <w:hideMark/>
          </w:tcPr>
          <w:p w14:paraId="5AEC32C3" w14:textId="77777777" w:rsidR="000055CB" w:rsidRPr="00FF756A" w:rsidRDefault="000055CB">
            <w:pPr>
              <w:spacing w:before="0" w:after="0"/>
              <w:rPr>
                <w:color w:val="000000" w:themeColor="text1"/>
                <w:lang w:eastAsia="de-DE"/>
              </w:rPr>
            </w:pPr>
            <w:r w:rsidRPr="00FF756A">
              <w:rPr>
                <w:color w:val="000000" w:themeColor="text1"/>
                <w:lang w:eastAsia="de-DE"/>
              </w:rPr>
              <w:t>BRE</w:t>
            </w:r>
          </w:p>
        </w:tc>
        <w:tc>
          <w:tcPr>
            <w:tcW w:w="1701" w:type="dxa"/>
            <w:tcBorders>
              <w:top w:val="single" w:sz="4" w:space="0" w:color="auto"/>
              <w:left w:val="single" w:sz="4" w:space="0" w:color="auto"/>
              <w:bottom w:val="single" w:sz="4" w:space="0" w:color="auto"/>
              <w:right w:val="single" w:sz="4" w:space="0" w:color="auto"/>
            </w:tcBorders>
            <w:hideMark/>
          </w:tcPr>
          <w:p w14:paraId="32643FAD" w14:textId="77777777" w:rsidR="000055CB" w:rsidRPr="00FF756A" w:rsidRDefault="000055CB">
            <w:pPr>
              <w:spacing w:before="0" w:after="0"/>
              <w:jc w:val="left"/>
              <w:rPr>
                <w:color w:val="000000" w:themeColor="text1"/>
                <w:lang w:eastAsia="de-DE"/>
              </w:rPr>
            </w:pPr>
            <w:r w:rsidRPr="00FF756A">
              <w:rPr>
                <w:color w:val="000000" w:themeColor="text1"/>
                <w:lang w:eastAsia="de-DE"/>
              </w:rPr>
              <w:t xml:space="preserve"> 34.8%</w:t>
            </w:r>
          </w:p>
        </w:tc>
        <w:tc>
          <w:tcPr>
            <w:tcW w:w="1701" w:type="dxa"/>
            <w:tcBorders>
              <w:top w:val="single" w:sz="4" w:space="0" w:color="auto"/>
              <w:left w:val="single" w:sz="4" w:space="0" w:color="auto"/>
              <w:bottom w:val="single" w:sz="4" w:space="0" w:color="auto"/>
              <w:right w:val="single" w:sz="4" w:space="0" w:color="auto"/>
            </w:tcBorders>
            <w:hideMark/>
          </w:tcPr>
          <w:p w14:paraId="4AEBABB6" w14:textId="77777777" w:rsidR="000055CB" w:rsidRPr="00FF756A" w:rsidRDefault="000055CB">
            <w:pPr>
              <w:spacing w:before="0" w:after="0"/>
              <w:jc w:val="left"/>
              <w:rPr>
                <w:color w:val="000000" w:themeColor="text1"/>
                <w:lang w:eastAsia="de-DE"/>
              </w:rPr>
            </w:pPr>
            <w:r w:rsidRPr="00FF756A">
              <w:rPr>
                <w:color w:val="000000" w:themeColor="text1"/>
                <w:lang w:eastAsia="de-DE"/>
              </w:rPr>
              <w:t>39.6%</w:t>
            </w:r>
          </w:p>
        </w:tc>
        <w:tc>
          <w:tcPr>
            <w:tcW w:w="1701" w:type="dxa"/>
            <w:tcBorders>
              <w:top w:val="single" w:sz="4" w:space="0" w:color="auto"/>
              <w:left w:val="single" w:sz="4" w:space="0" w:color="auto"/>
              <w:bottom w:val="single" w:sz="4" w:space="0" w:color="auto"/>
              <w:right w:val="single" w:sz="4" w:space="0" w:color="auto"/>
            </w:tcBorders>
            <w:hideMark/>
          </w:tcPr>
          <w:p w14:paraId="4E27331E" w14:textId="77777777" w:rsidR="000055CB" w:rsidRPr="00FF756A" w:rsidRDefault="000055CB" w:rsidP="006939FE">
            <w:pPr>
              <w:keepNext/>
              <w:spacing w:before="0" w:after="0"/>
              <w:jc w:val="left"/>
              <w:rPr>
                <w:b/>
                <w:bCs/>
                <w:color w:val="000000" w:themeColor="text1"/>
                <w:lang w:eastAsia="de-DE"/>
              </w:rPr>
            </w:pPr>
            <w:r w:rsidRPr="00FF756A">
              <w:rPr>
                <w:b/>
                <w:bCs/>
                <w:color w:val="000000" w:themeColor="text1"/>
                <w:lang w:eastAsia="de-DE"/>
              </w:rPr>
              <w:t>58.4%</w:t>
            </w:r>
            <w:r w:rsidRPr="00FF756A">
              <w:rPr>
                <w:b/>
                <w:bCs/>
                <w:color w:val="000000" w:themeColor="text1"/>
                <w:lang w:eastAsia="de-DE"/>
              </w:rPr>
              <w:tab/>
            </w:r>
          </w:p>
        </w:tc>
      </w:tr>
    </w:tbl>
    <w:p w14:paraId="5CF65E59" w14:textId="7794F29B" w:rsidR="000055CB" w:rsidRPr="00FF756A" w:rsidRDefault="006939FE" w:rsidP="006939FE">
      <w:pPr>
        <w:pStyle w:val="Caption"/>
        <w:rPr>
          <w:rFonts w:ascii="Times New Roman" w:hAnsi="Times New Roman"/>
        </w:rPr>
      </w:pPr>
      <w:bookmarkStart w:id="212" w:name="_Toc183016483"/>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19</w:t>
      </w:r>
      <w:r w:rsidR="008E7DE9" w:rsidRPr="00FF756A">
        <w:rPr>
          <w:rFonts w:ascii="Times New Roman" w:hAnsi="Times New Roman"/>
          <w:noProof/>
        </w:rPr>
        <w:fldChar w:fldCharType="end"/>
      </w:r>
      <w:r w:rsidRPr="00FF756A">
        <w:rPr>
          <w:rFonts w:ascii="Times New Roman" w:hAnsi="Times New Roman"/>
        </w:rPr>
        <w:t>: P</w:t>
      </w:r>
      <w:r w:rsidR="00D240A6" w:rsidRPr="00FF756A">
        <w:rPr>
          <w:rFonts w:ascii="Times New Roman" w:hAnsi="Times New Roman"/>
        </w:rPr>
        <w:t>ërqindja</w:t>
      </w:r>
      <w:r w:rsidR="00FE5670" w:rsidRPr="00FF756A">
        <w:rPr>
          <w:rFonts w:ascii="Times New Roman" w:hAnsi="Times New Roman"/>
        </w:rPr>
        <w:t xml:space="preserve"> </w:t>
      </w:r>
      <w:r w:rsidRPr="00FF756A">
        <w:rPr>
          <w:rFonts w:ascii="Times New Roman" w:hAnsi="Times New Roman"/>
        </w:rPr>
        <w:t>totale e burimeve të rinovueshme</w:t>
      </w:r>
      <w:r w:rsidR="00FE5670" w:rsidRPr="00FF756A">
        <w:rPr>
          <w:rFonts w:ascii="Times New Roman" w:hAnsi="Times New Roman"/>
        </w:rPr>
        <w:t xml:space="preserve"> (%)</w:t>
      </w:r>
      <w:r w:rsidRPr="00FF756A">
        <w:rPr>
          <w:rFonts w:ascii="Times New Roman" w:hAnsi="Times New Roman"/>
        </w:rPr>
        <w:t xml:space="preserve"> në 2030 në TPES për skenarë të ndryshëm</w:t>
      </w:r>
      <w:bookmarkEnd w:id="212"/>
    </w:p>
    <w:p w14:paraId="226127E5" w14:textId="77777777" w:rsidR="006939FE" w:rsidRPr="00FF756A" w:rsidRDefault="006939FE" w:rsidP="006939FE">
      <w:pPr>
        <w:rPr>
          <w:lang w:eastAsia="ja-JP"/>
        </w:rPr>
      </w:pPr>
    </w:p>
    <w:p w14:paraId="728E5B6A" w14:textId="77777777" w:rsidR="000055CB" w:rsidRPr="00FF756A" w:rsidRDefault="000055CB" w:rsidP="000055CB">
      <w:pPr>
        <w:jc w:val="left"/>
        <w:rPr>
          <w:b/>
          <w:bCs/>
          <w:color w:val="000000" w:themeColor="text1"/>
        </w:rPr>
      </w:pPr>
      <w:r w:rsidRPr="00FF756A">
        <w:rPr>
          <w:b/>
          <w:bCs/>
          <w:color w:val="000000" w:themeColor="text1"/>
        </w:rPr>
        <w:t>Lidhur me kërkesën përfundimtare për energji</w:t>
      </w:r>
    </w:p>
    <w:p w14:paraId="5A55DE9A" w14:textId="4E675EA5" w:rsidR="000055CB" w:rsidRPr="00FF756A" w:rsidRDefault="005455D1" w:rsidP="004A3257">
      <w:pPr>
        <w:spacing w:line="240" w:lineRule="auto"/>
      </w:pPr>
      <w:r w:rsidRPr="00FF756A">
        <w:t>Masat shtesë çojnë në</w:t>
      </w:r>
      <w:r w:rsidR="00561257" w:rsidRPr="00FF756A">
        <w:t xml:space="preserve"> një rritje të ndjeshme të</w:t>
      </w:r>
      <w:r w:rsidR="000055CB" w:rsidRPr="00FF756A">
        <w:t xml:space="preserve"> pjesë</w:t>
      </w:r>
      <w:r w:rsidR="00561257" w:rsidRPr="00FF756A">
        <w:t>s së</w:t>
      </w:r>
      <w:r w:rsidR="000055CB" w:rsidRPr="00FF756A">
        <w:t xml:space="preserve"> burimeve të rinovueshme në energjinë përfundimtare</w:t>
      </w:r>
      <w:r w:rsidR="00561257" w:rsidRPr="00FF756A">
        <w:t>. Në skenarin WEM, kjo pjesë</w:t>
      </w:r>
      <w:r w:rsidR="00F613F1" w:rsidRPr="00FF756A">
        <w:t xml:space="preserve"> është </w:t>
      </w:r>
      <w:r w:rsidR="000055CB" w:rsidRPr="00FF756A">
        <w:t xml:space="preserve">37.1% </w:t>
      </w:r>
      <w:r w:rsidR="00F613F1" w:rsidRPr="00FF756A">
        <w:t xml:space="preserve">për vitin </w:t>
      </w:r>
      <w:r w:rsidR="000055CB" w:rsidRPr="00FF756A">
        <w:t>2030</w:t>
      </w:r>
      <w:r w:rsidR="00F613F1" w:rsidRPr="00FF756A">
        <w:t>, ndërsa n</w:t>
      </w:r>
      <w:r w:rsidR="000055CB" w:rsidRPr="00FF756A">
        <w:t>ë</w:t>
      </w:r>
      <w:r w:rsidR="00F613F1" w:rsidRPr="00FF756A">
        <w:t xml:space="preserve"> skenarin WAM, ajo arrin në </w:t>
      </w:r>
      <w:r w:rsidR="000055CB" w:rsidRPr="00FF756A">
        <w:t>57.1%</w:t>
      </w:r>
      <w:r w:rsidR="00F613F1" w:rsidRPr="00FF756A">
        <w:t xml:space="preserve">. </w:t>
      </w:r>
      <w:r w:rsidR="00AD2638" w:rsidRPr="00FF756A">
        <w:t xml:space="preserve"> Krahasuar me vlerën historike prej 44% n</w:t>
      </w:r>
      <w:r w:rsidR="000055CB" w:rsidRPr="00FF756A">
        <w:t>ë viti</w:t>
      </w:r>
      <w:r w:rsidR="00AD2638" w:rsidRPr="00FF756A">
        <w:t>n</w:t>
      </w:r>
      <w:r w:rsidR="000055CB" w:rsidRPr="00FF756A">
        <w:t xml:space="preserve"> 2020</w:t>
      </w:r>
      <w:r w:rsidR="00AD2638" w:rsidRPr="00FF756A">
        <w:t xml:space="preserve">, skenari WAM tregon një rritje </w:t>
      </w:r>
      <w:r w:rsidR="00A73113" w:rsidRPr="00FF756A">
        <w:t xml:space="preserve"> prej </w:t>
      </w:r>
      <w:r w:rsidR="000055CB" w:rsidRPr="00FF756A">
        <w:t xml:space="preserve">13% </w:t>
      </w:r>
      <w:r w:rsidR="00A73113" w:rsidRPr="00FF756A">
        <w:t xml:space="preserve"> deri </w:t>
      </w:r>
      <w:r w:rsidR="000055CB" w:rsidRPr="00FF756A">
        <w:t xml:space="preserve">në vitin 2030. </w:t>
      </w:r>
      <w:r w:rsidRPr="00FF756A">
        <w:t>Edhe kur merret parasysh vetëm kërkesa e brendshme për energji elektrike (skenari WAM RE), pjesa e burimeve të rinovueshme arrin në 49.4%, duke treguar një rritje të qëndrueshme të energjisë së gjelbër.</w:t>
      </w:r>
    </w:p>
    <w:p w14:paraId="2B49A5C5" w14:textId="77777777" w:rsidR="000055CB" w:rsidRPr="00FF756A" w:rsidRDefault="000055CB" w:rsidP="004A3257">
      <w:pPr>
        <w:spacing w:line="240" w:lineRule="auto"/>
        <w:rPr>
          <w:color w:val="000000" w:themeColor="text1"/>
        </w:rPr>
      </w:pPr>
      <w:r w:rsidRPr="00FF756A">
        <w:rPr>
          <w:color w:val="000000" w:themeColor="text1"/>
        </w:rPr>
        <w:t>Tabela e mëposhtme tregon peshën e BRE-ve në kërkesën përfundimtare për energji, e llogaritur sipas DAR (Direktiva 2009/28/KE) me masat ekzistuese dhe shtesë në vitin 2030.</w:t>
      </w:r>
    </w:p>
    <w:p w14:paraId="7C485730" w14:textId="77777777" w:rsidR="000055CB" w:rsidRPr="00FF756A" w:rsidRDefault="000055CB" w:rsidP="00DE6623">
      <w:pPr>
        <w:pStyle w:val="Caption"/>
        <w:rPr>
          <w:rFonts w:ascii="Times New Roman" w:hAnsi="Times New Roman"/>
          <w:color w:val="000000" w:themeColor="text1"/>
        </w:rPr>
      </w:pPr>
      <w:bookmarkStart w:id="213" w:name="_Hlk180514012"/>
    </w:p>
    <w:tbl>
      <w:tblPr>
        <w:tblStyle w:val="TableGrid"/>
        <w:tblW w:w="0" w:type="auto"/>
        <w:jc w:val="center"/>
        <w:tblLayout w:type="fixed"/>
        <w:tblLook w:val="04A0" w:firstRow="1" w:lastRow="0" w:firstColumn="1" w:lastColumn="0" w:noHBand="0" w:noVBand="1"/>
      </w:tblPr>
      <w:tblGrid>
        <w:gridCol w:w="1472"/>
        <w:gridCol w:w="1701"/>
        <w:gridCol w:w="1701"/>
        <w:gridCol w:w="1701"/>
      </w:tblGrid>
      <w:tr w:rsidR="000055CB" w:rsidRPr="00FF756A" w14:paraId="3C8D7768" w14:textId="77777777" w:rsidTr="004A3257">
        <w:trPr>
          <w:trHeight w:val="283"/>
          <w:jc w:val="center"/>
        </w:trPr>
        <w:tc>
          <w:tcPr>
            <w:tcW w:w="1472" w:type="dxa"/>
            <w:tcBorders>
              <w:top w:val="single" w:sz="4" w:space="0" w:color="auto"/>
              <w:left w:val="single" w:sz="4" w:space="0" w:color="auto"/>
              <w:bottom w:val="single" w:sz="4" w:space="0" w:color="auto"/>
              <w:right w:val="single" w:sz="4" w:space="0" w:color="auto"/>
            </w:tcBorders>
            <w:hideMark/>
          </w:tcPr>
          <w:bookmarkEnd w:id="213"/>
          <w:p w14:paraId="7E45BD5A" w14:textId="77777777" w:rsidR="000055CB" w:rsidRPr="00FF756A" w:rsidRDefault="000055CB">
            <w:pPr>
              <w:spacing w:before="0" w:after="0"/>
              <w:jc w:val="left"/>
              <w:rPr>
                <w:color w:val="000000" w:themeColor="text1"/>
                <w:lang w:eastAsia="de-DE"/>
              </w:rPr>
            </w:pPr>
            <w:r w:rsidRPr="00FF756A">
              <w:rPr>
                <w:color w:val="000000" w:themeColor="text1"/>
                <w:lang w:eastAsia="de-DE"/>
              </w:rPr>
              <w:t>Sektori</w:t>
            </w:r>
          </w:p>
        </w:tc>
        <w:tc>
          <w:tcPr>
            <w:tcW w:w="1701" w:type="dxa"/>
            <w:tcBorders>
              <w:top w:val="single" w:sz="4" w:space="0" w:color="auto"/>
              <w:left w:val="single" w:sz="4" w:space="0" w:color="auto"/>
              <w:bottom w:val="single" w:sz="4" w:space="0" w:color="auto"/>
              <w:right w:val="single" w:sz="4" w:space="0" w:color="auto"/>
            </w:tcBorders>
            <w:hideMark/>
          </w:tcPr>
          <w:p w14:paraId="547E1BB5" w14:textId="77777777" w:rsidR="000055CB" w:rsidRPr="00FF756A" w:rsidRDefault="000055CB">
            <w:pPr>
              <w:spacing w:before="0" w:after="0"/>
              <w:jc w:val="left"/>
              <w:rPr>
                <w:color w:val="000000" w:themeColor="text1"/>
                <w:lang w:eastAsia="de-DE"/>
              </w:rPr>
            </w:pPr>
            <w:r w:rsidRPr="00FF756A">
              <w:rPr>
                <w:color w:val="000000" w:themeColor="text1"/>
                <w:lang w:eastAsia="de-DE"/>
              </w:rPr>
              <w:t>WEM 2030</w:t>
            </w:r>
          </w:p>
        </w:tc>
        <w:tc>
          <w:tcPr>
            <w:tcW w:w="1701" w:type="dxa"/>
            <w:tcBorders>
              <w:top w:val="single" w:sz="4" w:space="0" w:color="auto"/>
              <w:left w:val="single" w:sz="4" w:space="0" w:color="auto"/>
              <w:bottom w:val="single" w:sz="4" w:space="0" w:color="auto"/>
              <w:right w:val="single" w:sz="4" w:space="0" w:color="auto"/>
            </w:tcBorders>
            <w:hideMark/>
          </w:tcPr>
          <w:p w14:paraId="04F9CBE5" w14:textId="77777777" w:rsidR="000055CB" w:rsidRPr="00FF756A" w:rsidRDefault="000055CB">
            <w:pPr>
              <w:spacing w:before="0" w:after="0"/>
              <w:jc w:val="left"/>
              <w:rPr>
                <w:color w:val="000000" w:themeColor="text1"/>
                <w:lang w:eastAsia="de-DE"/>
              </w:rPr>
            </w:pPr>
            <w:r w:rsidRPr="00FF756A">
              <w:rPr>
                <w:color w:val="000000" w:themeColor="text1"/>
                <w:lang w:eastAsia="de-DE"/>
              </w:rPr>
              <w:t>WAM RE 2030</w:t>
            </w:r>
          </w:p>
        </w:tc>
        <w:tc>
          <w:tcPr>
            <w:tcW w:w="1701" w:type="dxa"/>
            <w:tcBorders>
              <w:top w:val="single" w:sz="4" w:space="0" w:color="auto"/>
              <w:left w:val="single" w:sz="4" w:space="0" w:color="auto"/>
              <w:bottom w:val="single" w:sz="4" w:space="0" w:color="auto"/>
              <w:right w:val="single" w:sz="4" w:space="0" w:color="auto"/>
            </w:tcBorders>
            <w:hideMark/>
          </w:tcPr>
          <w:p w14:paraId="7E0FBB32" w14:textId="77777777" w:rsidR="000055CB" w:rsidRPr="00FF756A" w:rsidRDefault="000055CB">
            <w:pPr>
              <w:spacing w:before="0" w:after="0"/>
              <w:jc w:val="left"/>
              <w:rPr>
                <w:b/>
                <w:bCs/>
                <w:color w:val="000000" w:themeColor="text1"/>
                <w:lang w:eastAsia="de-DE"/>
              </w:rPr>
            </w:pPr>
            <w:r w:rsidRPr="00FF756A">
              <w:rPr>
                <w:b/>
                <w:bCs/>
                <w:color w:val="000000" w:themeColor="text1"/>
                <w:lang w:eastAsia="de-DE"/>
              </w:rPr>
              <w:t>WAM 2030</w:t>
            </w:r>
          </w:p>
        </w:tc>
      </w:tr>
      <w:tr w:rsidR="000055CB" w:rsidRPr="00FF756A" w14:paraId="68A9F9BB" w14:textId="77777777" w:rsidTr="004A3257">
        <w:trPr>
          <w:trHeight w:val="283"/>
          <w:jc w:val="center"/>
        </w:trPr>
        <w:tc>
          <w:tcPr>
            <w:tcW w:w="1472" w:type="dxa"/>
            <w:tcBorders>
              <w:top w:val="single" w:sz="4" w:space="0" w:color="auto"/>
              <w:left w:val="single" w:sz="4" w:space="0" w:color="auto"/>
              <w:bottom w:val="single" w:sz="4" w:space="0" w:color="auto"/>
              <w:right w:val="single" w:sz="4" w:space="0" w:color="auto"/>
            </w:tcBorders>
            <w:hideMark/>
          </w:tcPr>
          <w:p w14:paraId="1A2AAF91" w14:textId="77777777" w:rsidR="000055CB" w:rsidRPr="00FF756A" w:rsidRDefault="000055CB">
            <w:pPr>
              <w:spacing w:before="0" w:after="0"/>
              <w:jc w:val="left"/>
              <w:rPr>
                <w:color w:val="000000" w:themeColor="text1"/>
                <w:lang w:eastAsia="de-DE"/>
              </w:rPr>
            </w:pPr>
            <w:r w:rsidRPr="00FF756A">
              <w:rPr>
                <w:color w:val="000000" w:themeColor="text1"/>
                <w:lang w:eastAsia="de-DE"/>
              </w:rPr>
              <w:t>BRE</w:t>
            </w:r>
          </w:p>
        </w:tc>
        <w:tc>
          <w:tcPr>
            <w:tcW w:w="1701" w:type="dxa"/>
            <w:tcBorders>
              <w:top w:val="single" w:sz="4" w:space="0" w:color="auto"/>
              <w:left w:val="single" w:sz="4" w:space="0" w:color="auto"/>
              <w:bottom w:val="single" w:sz="4" w:space="0" w:color="auto"/>
              <w:right w:val="single" w:sz="4" w:space="0" w:color="auto"/>
            </w:tcBorders>
            <w:hideMark/>
          </w:tcPr>
          <w:p w14:paraId="729E1EE5" w14:textId="77777777" w:rsidR="000055CB" w:rsidRPr="00FF756A" w:rsidRDefault="000055CB">
            <w:pPr>
              <w:spacing w:before="0" w:after="0"/>
              <w:jc w:val="left"/>
              <w:rPr>
                <w:color w:val="000000" w:themeColor="text1"/>
                <w:lang w:eastAsia="de-DE"/>
              </w:rPr>
            </w:pPr>
            <w:r w:rsidRPr="00FF756A">
              <w:rPr>
                <w:color w:val="000000" w:themeColor="text1"/>
                <w:lang w:eastAsia="de-DE"/>
              </w:rPr>
              <w:t>37.1</w:t>
            </w:r>
          </w:p>
        </w:tc>
        <w:tc>
          <w:tcPr>
            <w:tcW w:w="1701" w:type="dxa"/>
            <w:tcBorders>
              <w:top w:val="single" w:sz="4" w:space="0" w:color="auto"/>
              <w:left w:val="single" w:sz="4" w:space="0" w:color="auto"/>
              <w:bottom w:val="single" w:sz="4" w:space="0" w:color="auto"/>
              <w:right w:val="single" w:sz="4" w:space="0" w:color="auto"/>
            </w:tcBorders>
            <w:hideMark/>
          </w:tcPr>
          <w:p w14:paraId="37143380" w14:textId="77777777" w:rsidR="000055CB" w:rsidRPr="00FF756A" w:rsidRDefault="000055CB">
            <w:pPr>
              <w:spacing w:before="0" w:after="0"/>
              <w:jc w:val="left"/>
              <w:rPr>
                <w:color w:val="000000" w:themeColor="text1"/>
                <w:lang w:eastAsia="de-DE"/>
              </w:rPr>
            </w:pPr>
            <w:r w:rsidRPr="00FF756A">
              <w:rPr>
                <w:color w:val="000000" w:themeColor="text1"/>
                <w:lang w:eastAsia="de-DE"/>
              </w:rPr>
              <w:t>49.4</w:t>
            </w:r>
          </w:p>
        </w:tc>
        <w:tc>
          <w:tcPr>
            <w:tcW w:w="1701" w:type="dxa"/>
            <w:tcBorders>
              <w:top w:val="single" w:sz="4" w:space="0" w:color="auto"/>
              <w:left w:val="single" w:sz="4" w:space="0" w:color="auto"/>
              <w:bottom w:val="single" w:sz="4" w:space="0" w:color="auto"/>
              <w:right w:val="single" w:sz="4" w:space="0" w:color="auto"/>
            </w:tcBorders>
            <w:hideMark/>
          </w:tcPr>
          <w:p w14:paraId="1D08762A" w14:textId="77777777" w:rsidR="000055CB" w:rsidRPr="00FF756A" w:rsidRDefault="000055CB">
            <w:pPr>
              <w:spacing w:before="0" w:after="0"/>
              <w:jc w:val="left"/>
              <w:rPr>
                <w:b/>
                <w:bCs/>
                <w:color w:val="000000" w:themeColor="text1"/>
                <w:highlight w:val="yellow"/>
                <w:lang w:eastAsia="de-DE"/>
              </w:rPr>
            </w:pPr>
            <w:r w:rsidRPr="00FF756A">
              <w:rPr>
                <w:b/>
                <w:bCs/>
                <w:color w:val="000000" w:themeColor="text1"/>
                <w:lang w:eastAsia="de-DE"/>
              </w:rPr>
              <w:t>57.1</w:t>
            </w:r>
          </w:p>
        </w:tc>
      </w:tr>
      <w:tr w:rsidR="000055CB" w:rsidRPr="00FF756A" w14:paraId="371963B7" w14:textId="77777777" w:rsidTr="004A3257">
        <w:trPr>
          <w:trHeight w:val="283"/>
          <w:jc w:val="center"/>
        </w:trPr>
        <w:tc>
          <w:tcPr>
            <w:tcW w:w="1472" w:type="dxa"/>
            <w:tcBorders>
              <w:top w:val="single" w:sz="4" w:space="0" w:color="auto"/>
              <w:left w:val="single" w:sz="4" w:space="0" w:color="auto"/>
              <w:bottom w:val="single" w:sz="4" w:space="0" w:color="auto"/>
              <w:right w:val="single" w:sz="4" w:space="0" w:color="auto"/>
            </w:tcBorders>
            <w:hideMark/>
          </w:tcPr>
          <w:p w14:paraId="5BDE57EB" w14:textId="77777777" w:rsidR="000055CB" w:rsidRPr="00FF756A" w:rsidRDefault="000055CB">
            <w:pPr>
              <w:spacing w:before="0" w:after="0"/>
              <w:jc w:val="left"/>
              <w:rPr>
                <w:color w:val="000000" w:themeColor="text1"/>
                <w:lang w:eastAsia="de-DE"/>
              </w:rPr>
            </w:pPr>
            <w:r w:rsidRPr="00FF756A">
              <w:rPr>
                <w:color w:val="000000" w:themeColor="text1"/>
                <w:lang w:eastAsia="de-DE"/>
              </w:rPr>
              <w:t>BRE T</w:t>
            </w:r>
          </w:p>
        </w:tc>
        <w:tc>
          <w:tcPr>
            <w:tcW w:w="1701" w:type="dxa"/>
            <w:tcBorders>
              <w:top w:val="single" w:sz="4" w:space="0" w:color="auto"/>
              <w:left w:val="single" w:sz="4" w:space="0" w:color="auto"/>
              <w:bottom w:val="single" w:sz="4" w:space="0" w:color="auto"/>
              <w:right w:val="single" w:sz="4" w:space="0" w:color="auto"/>
            </w:tcBorders>
            <w:hideMark/>
          </w:tcPr>
          <w:p w14:paraId="7BDFBC2B" w14:textId="77777777" w:rsidR="000055CB" w:rsidRPr="00FF756A" w:rsidRDefault="000055CB">
            <w:pPr>
              <w:spacing w:before="0" w:after="0"/>
              <w:jc w:val="left"/>
              <w:rPr>
                <w:color w:val="000000" w:themeColor="text1"/>
                <w:lang w:eastAsia="de-DE"/>
              </w:rPr>
            </w:pPr>
            <w:r w:rsidRPr="00FF756A">
              <w:rPr>
                <w:color w:val="000000" w:themeColor="text1"/>
                <w:lang w:eastAsia="de-DE"/>
              </w:rPr>
              <w:t>17.8</w:t>
            </w:r>
          </w:p>
        </w:tc>
        <w:tc>
          <w:tcPr>
            <w:tcW w:w="1701" w:type="dxa"/>
            <w:tcBorders>
              <w:top w:val="single" w:sz="4" w:space="0" w:color="auto"/>
              <w:left w:val="single" w:sz="4" w:space="0" w:color="auto"/>
              <w:bottom w:val="single" w:sz="4" w:space="0" w:color="auto"/>
              <w:right w:val="single" w:sz="4" w:space="0" w:color="auto"/>
            </w:tcBorders>
            <w:hideMark/>
          </w:tcPr>
          <w:p w14:paraId="5142A9BE" w14:textId="77777777" w:rsidR="000055CB" w:rsidRPr="00FF756A" w:rsidRDefault="000055CB">
            <w:pPr>
              <w:spacing w:before="0" w:after="0"/>
              <w:jc w:val="left"/>
              <w:rPr>
                <w:color w:val="000000" w:themeColor="text1"/>
                <w:lang w:eastAsia="de-DE"/>
              </w:rPr>
            </w:pPr>
            <w:r w:rsidRPr="00FF756A">
              <w:rPr>
                <w:color w:val="000000" w:themeColor="text1"/>
                <w:lang w:eastAsia="de-DE"/>
              </w:rPr>
              <w:t>34.8</w:t>
            </w:r>
          </w:p>
        </w:tc>
        <w:tc>
          <w:tcPr>
            <w:tcW w:w="1701" w:type="dxa"/>
            <w:tcBorders>
              <w:top w:val="single" w:sz="4" w:space="0" w:color="auto"/>
              <w:left w:val="single" w:sz="4" w:space="0" w:color="auto"/>
              <w:bottom w:val="single" w:sz="4" w:space="0" w:color="auto"/>
              <w:right w:val="single" w:sz="4" w:space="0" w:color="auto"/>
            </w:tcBorders>
            <w:hideMark/>
          </w:tcPr>
          <w:p w14:paraId="0576BC10" w14:textId="77777777" w:rsidR="000055CB" w:rsidRPr="00FF756A" w:rsidRDefault="000055CB">
            <w:pPr>
              <w:spacing w:before="0" w:after="0"/>
              <w:jc w:val="left"/>
              <w:rPr>
                <w:b/>
                <w:bCs/>
                <w:color w:val="000000" w:themeColor="text1"/>
                <w:highlight w:val="yellow"/>
                <w:lang w:eastAsia="de-DE"/>
              </w:rPr>
            </w:pPr>
            <w:r w:rsidRPr="00FF756A">
              <w:rPr>
                <w:b/>
                <w:bCs/>
                <w:color w:val="000000" w:themeColor="text1"/>
                <w:lang w:eastAsia="de-DE"/>
              </w:rPr>
              <w:t>34.8</w:t>
            </w:r>
          </w:p>
        </w:tc>
      </w:tr>
      <w:tr w:rsidR="000055CB" w:rsidRPr="00FF756A" w14:paraId="382995A1" w14:textId="77777777" w:rsidTr="004A3257">
        <w:trPr>
          <w:trHeight w:val="283"/>
          <w:jc w:val="center"/>
        </w:trPr>
        <w:tc>
          <w:tcPr>
            <w:tcW w:w="1472" w:type="dxa"/>
            <w:tcBorders>
              <w:top w:val="single" w:sz="4" w:space="0" w:color="auto"/>
              <w:left w:val="single" w:sz="4" w:space="0" w:color="auto"/>
              <w:bottom w:val="single" w:sz="4" w:space="0" w:color="auto"/>
              <w:right w:val="single" w:sz="4" w:space="0" w:color="auto"/>
            </w:tcBorders>
            <w:hideMark/>
          </w:tcPr>
          <w:p w14:paraId="64133C45" w14:textId="77777777" w:rsidR="000055CB" w:rsidRPr="00FF756A" w:rsidRDefault="000055CB">
            <w:pPr>
              <w:spacing w:before="0" w:after="0"/>
              <w:jc w:val="left"/>
              <w:rPr>
                <w:color w:val="000000" w:themeColor="text1"/>
                <w:lang w:eastAsia="de-DE"/>
              </w:rPr>
            </w:pPr>
            <w:r w:rsidRPr="00FF756A">
              <w:rPr>
                <w:color w:val="000000" w:themeColor="text1"/>
                <w:lang w:eastAsia="de-DE"/>
              </w:rPr>
              <w:t>BRE E</w:t>
            </w:r>
          </w:p>
        </w:tc>
        <w:tc>
          <w:tcPr>
            <w:tcW w:w="1701" w:type="dxa"/>
            <w:tcBorders>
              <w:top w:val="single" w:sz="4" w:space="0" w:color="auto"/>
              <w:left w:val="single" w:sz="4" w:space="0" w:color="auto"/>
              <w:bottom w:val="single" w:sz="4" w:space="0" w:color="auto"/>
              <w:right w:val="single" w:sz="4" w:space="0" w:color="auto"/>
            </w:tcBorders>
            <w:hideMark/>
          </w:tcPr>
          <w:p w14:paraId="50FC0645" w14:textId="77777777" w:rsidR="000055CB" w:rsidRPr="00FF756A" w:rsidRDefault="000055CB">
            <w:pPr>
              <w:spacing w:before="0" w:after="0"/>
              <w:jc w:val="left"/>
              <w:rPr>
                <w:color w:val="000000" w:themeColor="text1"/>
                <w:lang w:eastAsia="de-DE"/>
              </w:rPr>
            </w:pPr>
            <w:r w:rsidRPr="00FF756A">
              <w:rPr>
                <w:color w:val="000000" w:themeColor="text1"/>
                <w:lang w:eastAsia="de-DE"/>
              </w:rPr>
              <w:t>98.3</w:t>
            </w:r>
          </w:p>
        </w:tc>
        <w:tc>
          <w:tcPr>
            <w:tcW w:w="1701" w:type="dxa"/>
            <w:tcBorders>
              <w:top w:val="single" w:sz="4" w:space="0" w:color="auto"/>
              <w:left w:val="single" w:sz="4" w:space="0" w:color="auto"/>
              <w:bottom w:val="single" w:sz="4" w:space="0" w:color="auto"/>
              <w:right w:val="single" w:sz="4" w:space="0" w:color="auto"/>
            </w:tcBorders>
            <w:hideMark/>
          </w:tcPr>
          <w:p w14:paraId="6F8971C9" w14:textId="77777777" w:rsidR="000055CB" w:rsidRPr="00FF756A" w:rsidRDefault="000055CB">
            <w:pPr>
              <w:spacing w:before="0" w:after="0"/>
              <w:jc w:val="left"/>
              <w:rPr>
                <w:color w:val="000000" w:themeColor="text1"/>
                <w:lang w:eastAsia="de-DE"/>
              </w:rPr>
            </w:pPr>
            <w:r w:rsidRPr="00FF756A">
              <w:rPr>
                <w:color w:val="000000" w:themeColor="text1"/>
                <w:lang w:eastAsia="de-DE"/>
              </w:rPr>
              <w:t>121.2</w:t>
            </w:r>
          </w:p>
        </w:tc>
        <w:tc>
          <w:tcPr>
            <w:tcW w:w="1701" w:type="dxa"/>
            <w:tcBorders>
              <w:top w:val="single" w:sz="4" w:space="0" w:color="auto"/>
              <w:left w:val="single" w:sz="4" w:space="0" w:color="auto"/>
              <w:bottom w:val="single" w:sz="4" w:space="0" w:color="auto"/>
              <w:right w:val="single" w:sz="4" w:space="0" w:color="auto"/>
            </w:tcBorders>
            <w:hideMark/>
          </w:tcPr>
          <w:p w14:paraId="06DF1B5E" w14:textId="77777777" w:rsidR="000055CB" w:rsidRPr="00FF756A" w:rsidRDefault="000055CB">
            <w:pPr>
              <w:spacing w:before="0" w:after="0"/>
              <w:jc w:val="left"/>
              <w:rPr>
                <w:b/>
                <w:bCs/>
                <w:color w:val="000000" w:themeColor="text1"/>
                <w:highlight w:val="yellow"/>
                <w:lang w:eastAsia="de-DE"/>
              </w:rPr>
            </w:pPr>
            <w:r w:rsidRPr="00FF756A">
              <w:rPr>
                <w:b/>
                <w:bCs/>
                <w:color w:val="000000" w:themeColor="text1"/>
                <w:lang w:eastAsia="de-DE"/>
              </w:rPr>
              <w:t>145.8</w:t>
            </w:r>
          </w:p>
        </w:tc>
      </w:tr>
      <w:tr w:rsidR="000055CB" w:rsidRPr="00FF756A" w14:paraId="74B94CDE" w14:textId="77777777" w:rsidTr="004A3257">
        <w:trPr>
          <w:trHeight w:val="283"/>
          <w:jc w:val="center"/>
        </w:trPr>
        <w:tc>
          <w:tcPr>
            <w:tcW w:w="1472" w:type="dxa"/>
            <w:tcBorders>
              <w:top w:val="single" w:sz="4" w:space="0" w:color="auto"/>
              <w:left w:val="single" w:sz="4" w:space="0" w:color="auto"/>
              <w:bottom w:val="single" w:sz="4" w:space="0" w:color="auto"/>
              <w:right w:val="single" w:sz="4" w:space="0" w:color="auto"/>
            </w:tcBorders>
            <w:hideMark/>
          </w:tcPr>
          <w:p w14:paraId="2E5E08F9" w14:textId="77777777" w:rsidR="000055CB" w:rsidRPr="00FF756A" w:rsidRDefault="000055CB">
            <w:pPr>
              <w:spacing w:before="0" w:after="0"/>
              <w:jc w:val="left"/>
              <w:rPr>
                <w:color w:val="000000" w:themeColor="text1"/>
                <w:lang w:eastAsia="de-DE"/>
              </w:rPr>
            </w:pPr>
            <w:r w:rsidRPr="00FF756A">
              <w:rPr>
                <w:color w:val="000000" w:themeColor="text1"/>
                <w:lang w:eastAsia="de-DE"/>
              </w:rPr>
              <w:t>BRE HC</w:t>
            </w:r>
          </w:p>
        </w:tc>
        <w:tc>
          <w:tcPr>
            <w:tcW w:w="1701" w:type="dxa"/>
            <w:tcBorders>
              <w:top w:val="single" w:sz="4" w:space="0" w:color="auto"/>
              <w:left w:val="single" w:sz="4" w:space="0" w:color="auto"/>
              <w:bottom w:val="single" w:sz="4" w:space="0" w:color="auto"/>
              <w:right w:val="single" w:sz="4" w:space="0" w:color="auto"/>
            </w:tcBorders>
            <w:hideMark/>
          </w:tcPr>
          <w:p w14:paraId="688AF6DF" w14:textId="77777777" w:rsidR="000055CB" w:rsidRPr="00FF756A" w:rsidRDefault="000055CB">
            <w:pPr>
              <w:spacing w:before="0" w:after="0"/>
              <w:jc w:val="left"/>
              <w:rPr>
                <w:color w:val="000000" w:themeColor="text1"/>
                <w:lang w:eastAsia="de-DE"/>
              </w:rPr>
            </w:pPr>
            <w:r w:rsidRPr="00FF756A">
              <w:rPr>
                <w:color w:val="000000" w:themeColor="text1"/>
                <w:lang w:eastAsia="de-DE"/>
              </w:rPr>
              <w:t>18.1</w:t>
            </w:r>
          </w:p>
        </w:tc>
        <w:tc>
          <w:tcPr>
            <w:tcW w:w="1701" w:type="dxa"/>
            <w:tcBorders>
              <w:top w:val="single" w:sz="4" w:space="0" w:color="auto"/>
              <w:left w:val="single" w:sz="4" w:space="0" w:color="auto"/>
              <w:bottom w:val="single" w:sz="4" w:space="0" w:color="auto"/>
              <w:right w:val="single" w:sz="4" w:space="0" w:color="auto"/>
            </w:tcBorders>
            <w:hideMark/>
          </w:tcPr>
          <w:p w14:paraId="362DAE9E" w14:textId="77777777" w:rsidR="000055CB" w:rsidRPr="00FF756A" w:rsidRDefault="000055CB">
            <w:pPr>
              <w:spacing w:before="0" w:after="0"/>
              <w:jc w:val="left"/>
              <w:rPr>
                <w:color w:val="000000" w:themeColor="text1"/>
                <w:lang w:eastAsia="de-DE"/>
              </w:rPr>
            </w:pPr>
            <w:r w:rsidRPr="00FF756A">
              <w:rPr>
                <w:color w:val="000000" w:themeColor="text1"/>
                <w:lang w:eastAsia="de-DE"/>
              </w:rPr>
              <w:t>22.6</w:t>
            </w:r>
          </w:p>
        </w:tc>
        <w:tc>
          <w:tcPr>
            <w:tcW w:w="1701" w:type="dxa"/>
            <w:tcBorders>
              <w:top w:val="single" w:sz="4" w:space="0" w:color="auto"/>
              <w:left w:val="single" w:sz="4" w:space="0" w:color="auto"/>
              <w:bottom w:val="single" w:sz="4" w:space="0" w:color="auto"/>
              <w:right w:val="single" w:sz="4" w:space="0" w:color="auto"/>
            </w:tcBorders>
            <w:hideMark/>
          </w:tcPr>
          <w:p w14:paraId="1190A291" w14:textId="77777777" w:rsidR="000055CB" w:rsidRPr="00FF756A" w:rsidRDefault="000055CB" w:rsidP="006939FE">
            <w:pPr>
              <w:keepNext/>
              <w:spacing w:before="0" w:after="0"/>
              <w:jc w:val="left"/>
              <w:rPr>
                <w:b/>
                <w:bCs/>
                <w:color w:val="000000" w:themeColor="text1"/>
                <w:highlight w:val="yellow"/>
                <w:lang w:eastAsia="de-DE"/>
              </w:rPr>
            </w:pPr>
            <w:r w:rsidRPr="00FF756A">
              <w:rPr>
                <w:b/>
                <w:bCs/>
                <w:color w:val="000000" w:themeColor="text1"/>
                <w:lang w:eastAsia="de-DE"/>
              </w:rPr>
              <w:t>22.6</w:t>
            </w:r>
          </w:p>
        </w:tc>
      </w:tr>
    </w:tbl>
    <w:p w14:paraId="6472A55E" w14:textId="5DD1AD76" w:rsidR="006939FE" w:rsidRPr="00FF756A" w:rsidRDefault="006939FE" w:rsidP="006939FE">
      <w:pPr>
        <w:pStyle w:val="Caption"/>
        <w:rPr>
          <w:rFonts w:ascii="Times New Roman" w:hAnsi="Times New Roman"/>
          <w:color w:val="000000" w:themeColor="text1"/>
        </w:rPr>
      </w:pPr>
      <w:bookmarkStart w:id="214" w:name="_Toc183016484"/>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20</w:t>
      </w:r>
      <w:r w:rsidR="008E7DE9" w:rsidRPr="00FF756A">
        <w:rPr>
          <w:rFonts w:ascii="Times New Roman" w:hAnsi="Times New Roman"/>
          <w:noProof/>
        </w:rPr>
        <w:fldChar w:fldCharType="end"/>
      </w:r>
      <w:r w:rsidRPr="00FF756A">
        <w:rPr>
          <w:rFonts w:ascii="Times New Roman" w:hAnsi="Times New Roman"/>
        </w:rPr>
        <w:t>: P</w:t>
      </w:r>
      <w:r w:rsidR="005A12B8" w:rsidRPr="00FF756A">
        <w:rPr>
          <w:rFonts w:ascii="Times New Roman" w:hAnsi="Times New Roman"/>
        </w:rPr>
        <w:t>ërqindja e</w:t>
      </w:r>
      <w:r w:rsidRPr="00FF756A">
        <w:rPr>
          <w:rFonts w:ascii="Times New Roman" w:hAnsi="Times New Roman"/>
        </w:rPr>
        <w:t xml:space="preserve"> burimeve të rinovueshme (%) në kërkesën për energji finale</w:t>
      </w:r>
      <w:bookmarkEnd w:id="214"/>
      <w:r w:rsidR="005A12B8" w:rsidRPr="00FF756A">
        <w:rPr>
          <w:rFonts w:ascii="Times New Roman" w:hAnsi="Times New Roman"/>
        </w:rPr>
        <w:t xml:space="preserve"> në 2030</w:t>
      </w:r>
    </w:p>
    <w:p w14:paraId="01000DB0" w14:textId="3013034E" w:rsidR="000055CB" w:rsidRPr="00FF756A" w:rsidRDefault="000055CB" w:rsidP="000055CB">
      <w:pPr>
        <w:rPr>
          <w:color w:val="000000" w:themeColor="text1"/>
        </w:rPr>
      </w:pPr>
      <w:r w:rsidRPr="00FF756A">
        <w:rPr>
          <w:color w:val="000000" w:themeColor="text1"/>
        </w:rPr>
        <w:t xml:space="preserve">( </w:t>
      </w:r>
      <w:r w:rsidRPr="00FF756A">
        <w:rPr>
          <w:color w:val="000000" w:themeColor="text1"/>
          <w:sz w:val="16"/>
          <w:szCs w:val="18"/>
        </w:rPr>
        <w:t xml:space="preserve">* Vlerat mbi 100% janë për shkak të eksporteve të energjisë elektrike. </w:t>
      </w:r>
      <w:r w:rsidRPr="00FF756A">
        <w:rPr>
          <w:color w:val="000000" w:themeColor="text1"/>
        </w:rPr>
        <w:t>)</w:t>
      </w:r>
    </w:p>
    <w:p w14:paraId="7A19B901" w14:textId="77777777" w:rsidR="000055CB" w:rsidRPr="00FF756A" w:rsidRDefault="000055CB" w:rsidP="000055CB">
      <w:pPr>
        <w:jc w:val="left"/>
        <w:rPr>
          <w:color w:val="000000" w:themeColor="text1"/>
        </w:rPr>
      </w:pPr>
    </w:p>
    <w:p w14:paraId="47DB51AD" w14:textId="18D9B88D" w:rsidR="000055CB" w:rsidRPr="00FF756A" w:rsidRDefault="000C452F" w:rsidP="000055CB">
      <w:pPr>
        <w:rPr>
          <w:color w:val="000000" w:themeColor="text1"/>
        </w:rPr>
      </w:pPr>
      <w:r w:rsidRPr="00FF756A">
        <w:rPr>
          <w:color w:val="000000" w:themeColor="text1"/>
        </w:rPr>
        <w:t>S</w:t>
      </w:r>
      <w:r w:rsidR="000055CB" w:rsidRPr="00FF756A">
        <w:rPr>
          <w:color w:val="000000" w:themeColor="text1"/>
        </w:rPr>
        <w:t xml:space="preserve">a i përket furnizimit me energji të rinovueshme, hidrocentralet </w:t>
      </w:r>
      <w:r w:rsidR="00062943" w:rsidRPr="00FF756A">
        <w:rPr>
          <w:color w:val="000000" w:themeColor="text1"/>
        </w:rPr>
        <w:t>përbëjnë pjesën më të madhe, ndërsa energjia diellore dhe biomasa e drurit zënë një pjesë të vogël</w:t>
      </w:r>
      <w:r w:rsidR="00B83E77" w:rsidRPr="00FF756A">
        <w:rPr>
          <w:color w:val="000000" w:themeColor="text1"/>
        </w:rPr>
        <w:t>, por të rëndësishme. P</w:t>
      </w:r>
      <w:r w:rsidR="000055CB" w:rsidRPr="00FF756A">
        <w:rPr>
          <w:color w:val="000000" w:themeColor="text1"/>
        </w:rPr>
        <w:t xml:space="preserve">ërpjekje </w:t>
      </w:r>
      <w:r w:rsidR="00B83E77" w:rsidRPr="00FF756A">
        <w:rPr>
          <w:color w:val="000000" w:themeColor="text1"/>
        </w:rPr>
        <w:t xml:space="preserve">të </w:t>
      </w:r>
      <w:r w:rsidR="00510CBF" w:rsidRPr="00FF756A">
        <w:rPr>
          <w:color w:val="000000" w:themeColor="text1"/>
        </w:rPr>
        <w:t>vazhdueshme</w:t>
      </w:r>
      <w:r w:rsidR="000055CB" w:rsidRPr="00FF756A">
        <w:rPr>
          <w:color w:val="000000" w:themeColor="text1"/>
        </w:rPr>
        <w:t xml:space="preserve"> po bëhen për të rritur pjesën e energjisë diellore</w:t>
      </w:r>
      <w:r w:rsidR="00510CBF" w:rsidRPr="00FF756A">
        <w:rPr>
          <w:color w:val="000000" w:themeColor="text1"/>
        </w:rPr>
        <w:t xml:space="preserve"> në miksin energjitik.</w:t>
      </w:r>
    </w:p>
    <w:bookmarkEnd w:id="211"/>
    <w:p w14:paraId="55F33270" w14:textId="250A9528" w:rsidR="000C452F" w:rsidRPr="00FF756A" w:rsidRDefault="000C452F" w:rsidP="000055CB">
      <w:pPr>
        <w:rPr>
          <w:color w:val="000000" w:themeColor="text1"/>
        </w:rPr>
      </w:pPr>
      <w:r w:rsidRPr="00FF756A">
        <w:rPr>
          <w:color w:val="000000" w:themeColor="text1"/>
        </w:rPr>
        <w:t>Kapitulli 5 analizon kapacitetet e reja të planifikuara për gjenerimin e energjisë dhe vënien e tyre në punë gjatë viteve të ardhshme, duke treguar se si mund të arrihen objektivat e përcaktuara për energjinë e rinovueshme.</w:t>
      </w:r>
    </w:p>
    <w:p w14:paraId="7F47711B" w14:textId="77777777" w:rsidR="000055CB" w:rsidRPr="00FF756A" w:rsidRDefault="000055CB" w:rsidP="000055CB"/>
    <w:p w14:paraId="72CB0FB8" w14:textId="2208EDFC" w:rsidR="000055CB" w:rsidRPr="00FF756A" w:rsidRDefault="000055CB" w:rsidP="00FF1BDC">
      <w:pPr>
        <w:pStyle w:val="Heading4"/>
        <w:numPr>
          <w:ilvl w:val="0"/>
          <w:numId w:val="0"/>
        </w:numPr>
        <w:ind w:left="864" w:hanging="864"/>
        <w:rPr>
          <w:rFonts w:cs="Times New Roman"/>
        </w:rPr>
      </w:pPr>
      <w:bookmarkStart w:id="215" w:name="_Toc181516988"/>
      <w:bookmarkStart w:id="216" w:name="_Toc183639205"/>
      <w:r w:rsidRPr="00FF756A">
        <w:rPr>
          <w:rFonts w:cs="Times New Roman"/>
        </w:rPr>
        <w:t xml:space="preserve">Trajektoret e </w:t>
      </w:r>
      <w:r w:rsidR="006D7A5E" w:rsidRPr="00FF756A">
        <w:rPr>
          <w:rFonts w:cs="Times New Roman"/>
        </w:rPr>
        <w:t>parashikuara</w:t>
      </w:r>
      <w:r w:rsidRPr="00FF756A">
        <w:rPr>
          <w:rFonts w:cs="Times New Roman"/>
        </w:rPr>
        <w:t xml:space="preserve"> për energjinë e rinovueshme</w:t>
      </w:r>
      <w:bookmarkEnd w:id="215"/>
      <w:bookmarkEnd w:id="216"/>
      <w:r w:rsidRPr="00FF756A">
        <w:rPr>
          <w:rFonts w:cs="Times New Roman"/>
        </w:rPr>
        <w:t xml:space="preserve"> </w:t>
      </w:r>
    </w:p>
    <w:p w14:paraId="0EF8B370" w14:textId="6E7B56B7" w:rsidR="00D51480" w:rsidRPr="00FF756A" w:rsidRDefault="000055CB" w:rsidP="000055CB">
      <w:pPr>
        <w:rPr>
          <w:bCs/>
          <w:color w:val="000000" w:themeColor="text1"/>
        </w:rPr>
      </w:pPr>
      <w:r w:rsidRPr="00FF756A">
        <w:rPr>
          <w:bCs/>
          <w:color w:val="000000" w:themeColor="text1"/>
        </w:rPr>
        <w:t xml:space="preserve">Trajektoret e </w:t>
      </w:r>
      <w:r w:rsidR="006D7A5E" w:rsidRPr="00FF756A">
        <w:rPr>
          <w:bCs/>
          <w:color w:val="000000" w:themeColor="text1"/>
        </w:rPr>
        <w:t>parashikuara sipas</w:t>
      </w:r>
      <w:r w:rsidRPr="00FF756A">
        <w:rPr>
          <w:bCs/>
          <w:color w:val="000000" w:themeColor="text1"/>
        </w:rPr>
        <w:t xml:space="preserve"> teknologji</w:t>
      </w:r>
      <w:r w:rsidR="006D7A5E" w:rsidRPr="00FF756A">
        <w:rPr>
          <w:bCs/>
          <w:color w:val="000000" w:themeColor="text1"/>
        </w:rPr>
        <w:t>së së</w:t>
      </w:r>
      <w:r w:rsidRPr="00FF756A">
        <w:rPr>
          <w:bCs/>
          <w:color w:val="000000" w:themeColor="text1"/>
        </w:rPr>
        <w:t xml:space="preserve"> energjisë së rinovueshme janë të disponueshme në Pjesën</w:t>
      </w:r>
      <w:r w:rsidR="000E55F8" w:rsidRPr="00FF756A">
        <w:rPr>
          <w:bCs/>
          <w:color w:val="000000" w:themeColor="text1"/>
        </w:rPr>
        <w:t xml:space="preserve"> </w:t>
      </w:r>
      <w:r w:rsidRPr="00FF756A">
        <w:rPr>
          <w:bCs/>
          <w:color w:val="000000" w:themeColor="text1"/>
        </w:rPr>
        <w:t>B të</w:t>
      </w:r>
      <w:r w:rsidR="00D51480" w:rsidRPr="00FF756A">
        <w:rPr>
          <w:bCs/>
          <w:color w:val="000000" w:themeColor="text1"/>
        </w:rPr>
        <w:t xml:space="preserve"> PKEK-së</w:t>
      </w:r>
      <w:r w:rsidRPr="00FF756A">
        <w:rPr>
          <w:bCs/>
          <w:color w:val="000000" w:themeColor="text1"/>
        </w:rPr>
        <w:t>.</w:t>
      </w:r>
    </w:p>
    <w:p w14:paraId="1ADA4F1A" w14:textId="1BF400D9" w:rsidR="00DC6784" w:rsidRPr="00FF756A" w:rsidRDefault="000055CB" w:rsidP="000055CB">
      <w:pPr>
        <w:rPr>
          <w:bCs/>
          <w:color w:val="000000" w:themeColor="text1"/>
        </w:rPr>
      </w:pPr>
      <w:r w:rsidRPr="00FF756A">
        <w:rPr>
          <w:bCs/>
          <w:color w:val="000000" w:themeColor="text1"/>
        </w:rPr>
        <w:t xml:space="preserve">Trajektoret e </w:t>
      </w:r>
      <w:r w:rsidR="006D7A5E" w:rsidRPr="00FF756A">
        <w:rPr>
          <w:bCs/>
          <w:color w:val="000000" w:themeColor="text1"/>
        </w:rPr>
        <w:t>parashikuara lidhur me</w:t>
      </w:r>
      <w:r w:rsidRPr="00FF756A">
        <w:rPr>
          <w:bCs/>
          <w:color w:val="000000" w:themeColor="text1"/>
        </w:rPr>
        <w:t xml:space="preserve"> kërkesë</w:t>
      </w:r>
      <w:r w:rsidR="006D7A5E" w:rsidRPr="00FF756A">
        <w:rPr>
          <w:bCs/>
          <w:color w:val="000000" w:themeColor="text1"/>
        </w:rPr>
        <w:t>n</w:t>
      </w:r>
      <w:r w:rsidRPr="00FF756A">
        <w:rPr>
          <w:bCs/>
          <w:color w:val="000000" w:themeColor="text1"/>
        </w:rPr>
        <w:t xml:space="preserve"> për bioenergji (të ndara) janë të disponueshme në Pjesën B të </w:t>
      </w:r>
      <w:r w:rsidR="00DC6784" w:rsidRPr="00FF756A">
        <w:rPr>
          <w:bCs/>
          <w:color w:val="000000" w:themeColor="text1"/>
        </w:rPr>
        <w:t>PKEK-së</w:t>
      </w:r>
      <w:r w:rsidRPr="00FF756A">
        <w:rPr>
          <w:bCs/>
          <w:color w:val="000000" w:themeColor="text1"/>
        </w:rPr>
        <w:t>.</w:t>
      </w:r>
      <w:r w:rsidR="000E55F8" w:rsidRPr="00FF756A">
        <w:rPr>
          <w:bCs/>
          <w:color w:val="000000" w:themeColor="text1"/>
        </w:rPr>
        <w:t xml:space="preserve"> </w:t>
      </w:r>
    </w:p>
    <w:p w14:paraId="567A815A" w14:textId="4BCDEDCE" w:rsidR="000055CB" w:rsidRPr="00FF756A" w:rsidRDefault="000055CB" w:rsidP="000055CB">
      <w:pPr>
        <w:rPr>
          <w:bCs/>
          <w:color w:val="000000" w:themeColor="text1"/>
        </w:rPr>
      </w:pPr>
      <w:r w:rsidRPr="00FF756A">
        <w:t xml:space="preserve">Trajektoret e </w:t>
      </w:r>
      <w:r w:rsidR="00017E77" w:rsidRPr="00FF756A">
        <w:t>parashikuara për përqindjet e BRE-</w:t>
      </w:r>
      <w:r w:rsidRPr="00FF756A">
        <w:t>ve në sektorin e transportit, sektorin e energjisë dhe në ngrohje</w:t>
      </w:r>
      <w:r w:rsidR="00017E77" w:rsidRPr="00FF756A">
        <w:t>s</w:t>
      </w:r>
      <w:r w:rsidRPr="00FF756A">
        <w:t xml:space="preserve"> dhe ftohje</w:t>
      </w:r>
      <w:r w:rsidR="00017E77" w:rsidRPr="00FF756A">
        <w:t>s</w:t>
      </w:r>
      <w:r w:rsidRPr="00FF756A">
        <w:t xml:space="preserve"> janë të disponueshme në Pjesën B të PKEK</w:t>
      </w:r>
      <w:r w:rsidR="00017E77" w:rsidRPr="00FF756A">
        <w:t>-ë.</w:t>
      </w:r>
    </w:p>
    <w:p w14:paraId="34C1375B" w14:textId="77777777" w:rsidR="000055CB" w:rsidRPr="00FF756A" w:rsidRDefault="000055CB" w:rsidP="000055CB">
      <w:pPr>
        <w:jc w:val="left"/>
        <w:rPr>
          <w:color w:val="000000" w:themeColor="text1"/>
        </w:rPr>
      </w:pPr>
    </w:p>
    <w:p w14:paraId="737579D8" w14:textId="77777777" w:rsidR="000055CB" w:rsidRPr="00FF756A" w:rsidRDefault="000055CB" w:rsidP="000055CB">
      <w:pPr>
        <w:rPr>
          <w:color w:val="000000" w:themeColor="text1"/>
        </w:rPr>
      </w:pPr>
      <w:r w:rsidRPr="00FF756A">
        <w:rPr>
          <w:color w:val="000000" w:themeColor="text1"/>
        </w:rPr>
        <w:t>Tabela e mëposhtme tregon peshën totale të burimeve të rinovueshme në TPES për skenarë të ndryshëm.</w:t>
      </w:r>
    </w:p>
    <w:p w14:paraId="7CD040DC" w14:textId="77777777" w:rsidR="000055CB" w:rsidRPr="00FF756A" w:rsidRDefault="000055CB" w:rsidP="000055CB">
      <w:pPr>
        <w:pStyle w:val="Caption"/>
        <w:rPr>
          <w:rFonts w:ascii="Times New Roman" w:hAnsi="Times New Roman"/>
          <w:color w:val="000000" w:themeColor="text1"/>
        </w:rPr>
      </w:pPr>
    </w:p>
    <w:tbl>
      <w:tblPr>
        <w:tblStyle w:val="TableGrid"/>
        <w:tblW w:w="0" w:type="auto"/>
        <w:tblLayout w:type="fixed"/>
        <w:tblLook w:val="04A0" w:firstRow="1" w:lastRow="0" w:firstColumn="1" w:lastColumn="0" w:noHBand="0" w:noVBand="1"/>
      </w:tblPr>
      <w:tblGrid>
        <w:gridCol w:w="1472"/>
        <w:gridCol w:w="1701"/>
        <w:gridCol w:w="1701"/>
        <w:gridCol w:w="1701"/>
      </w:tblGrid>
      <w:tr w:rsidR="000055CB" w:rsidRPr="00FF756A" w14:paraId="799C71EC" w14:textId="77777777" w:rsidTr="000055CB">
        <w:trPr>
          <w:trHeight w:val="283"/>
        </w:trPr>
        <w:tc>
          <w:tcPr>
            <w:tcW w:w="1472" w:type="dxa"/>
            <w:tcBorders>
              <w:top w:val="single" w:sz="4" w:space="0" w:color="auto"/>
              <w:left w:val="single" w:sz="4" w:space="0" w:color="auto"/>
              <w:bottom w:val="single" w:sz="4" w:space="0" w:color="auto"/>
              <w:right w:val="single" w:sz="4" w:space="0" w:color="auto"/>
            </w:tcBorders>
            <w:hideMark/>
          </w:tcPr>
          <w:p w14:paraId="5C553F9E" w14:textId="77777777" w:rsidR="000055CB" w:rsidRPr="00FF756A" w:rsidRDefault="000055CB">
            <w:pPr>
              <w:spacing w:before="0" w:after="0"/>
              <w:rPr>
                <w:color w:val="000000" w:themeColor="text1"/>
                <w:lang w:eastAsia="de-DE"/>
              </w:rPr>
            </w:pPr>
            <w:r w:rsidRPr="00FF756A">
              <w:rPr>
                <w:color w:val="000000" w:themeColor="text1"/>
                <w:lang w:eastAsia="de-DE"/>
              </w:rPr>
              <w:t>Sektori</w:t>
            </w:r>
          </w:p>
        </w:tc>
        <w:tc>
          <w:tcPr>
            <w:tcW w:w="1701" w:type="dxa"/>
            <w:tcBorders>
              <w:top w:val="single" w:sz="4" w:space="0" w:color="auto"/>
              <w:left w:val="single" w:sz="4" w:space="0" w:color="auto"/>
              <w:bottom w:val="single" w:sz="4" w:space="0" w:color="auto"/>
              <w:right w:val="single" w:sz="4" w:space="0" w:color="auto"/>
            </w:tcBorders>
            <w:hideMark/>
          </w:tcPr>
          <w:p w14:paraId="4D766870" w14:textId="77777777" w:rsidR="000055CB" w:rsidRPr="00FF756A" w:rsidRDefault="000055CB">
            <w:pPr>
              <w:spacing w:before="0" w:after="0"/>
              <w:jc w:val="left"/>
              <w:rPr>
                <w:color w:val="000000" w:themeColor="text1"/>
                <w:lang w:eastAsia="de-DE"/>
              </w:rPr>
            </w:pPr>
            <w:r w:rsidRPr="00FF756A">
              <w:rPr>
                <w:color w:val="000000" w:themeColor="text1"/>
                <w:lang w:eastAsia="de-DE"/>
              </w:rPr>
              <w:t>WEM 2050</w:t>
            </w:r>
          </w:p>
        </w:tc>
        <w:tc>
          <w:tcPr>
            <w:tcW w:w="1701" w:type="dxa"/>
            <w:tcBorders>
              <w:top w:val="single" w:sz="4" w:space="0" w:color="auto"/>
              <w:left w:val="single" w:sz="4" w:space="0" w:color="auto"/>
              <w:bottom w:val="single" w:sz="4" w:space="0" w:color="auto"/>
              <w:right w:val="single" w:sz="4" w:space="0" w:color="auto"/>
            </w:tcBorders>
            <w:hideMark/>
          </w:tcPr>
          <w:p w14:paraId="52917AEF" w14:textId="77777777" w:rsidR="000055CB" w:rsidRPr="00FF756A" w:rsidRDefault="000055CB">
            <w:pPr>
              <w:spacing w:before="0" w:after="0"/>
              <w:jc w:val="left"/>
              <w:rPr>
                <w:color w:val="000000" w:themeColor="text1"/>
                <w:lang w:eastAsia="de-DE"/>
              </w:rPr>
            </w:pPr>
            <w:r w:rsidRPr="00FF756A">
              <w:rPr>
                <w:color w:val="000000" w:themeColor="text1"/>
                <w:lang w:eastAsia="de-DE"/>
              </w:rPr>
              <w:t>WAM RE 2050</w:t>
            </w:r>
          </w:p>
        </w:tc>
        <w:tc>
          <w:tcPr>
            <w:tcW w:w="1701" w:type="dxa"/>
            <w:tcBorders>
              <w:top w:val="single" w:sz="4" w:space="0" w:color="auto"/>
              <w:left w:val="single" w:sz="4" w:space="0" w:color="auto"/>
              <w:bottom w:val="single" w:sz="4" w:space="0" w:color="auto"/>
              <w:right w:val="single" w:sz="4" w:space="0" w:color="auto"/>
            </w:tcBorders>
            <w:hideMark/>
          </w:tcPr>
          <w:p w14:paraId="32261265" w14:textId="77777777" w:rsidR="000055CB" w:rsidRPr="00FF756A" w:rsidRDefault="000055CB">
            <w:pPr>
              <w:spacing w:before="0" w:after="0"/>
              <w:jc w:val="left"/>
              <w:rPr>
                <w:b/>
                <w:bCs/>
                <w:color w:val="000000" w:themeColor="text1"/>
                <w:lang w:eastAsia="de-DE"/>
              </w:rPr>
            </w:pPr>
            <w:r w:rsidRPr="00FF756A">
              <w:rPr>
                <w:b/>
                <w:bCs/>
                <w:color w:val="000000" w:themeColor="text1"/>
                <w:lang w:eastAsia="de-DE"/>
              </w:rPr>
              <w:t>WAM 2050</w:t>
            </w:r>
          </w:p>
        </w:tc>
      </w:tr>
      <w:tr w:rsidR="000055CB" w:rsidRPr="00FF756A" w14:paraId="1F682A03" w14:textId="77777777" w:rsidTr="000055CB">
        <w:trPr>
          <w:trHeight w:val="283"/>
        </w:trPr>
        <w:tc>
          <w:tcPr>
            <w:tcW w:w="1472" w:type="dxa"/>
            <w:tcBorders>
              <w:top w:val="single" w:sz="4" w:space="0" w:color="auto"/>
              <w:left w:val="single" w:sz="4" w:space="0" w:color="auto"/>
              <w:bottom w:val="single" w:sz="4" w:space="0" w:color="auto"/>
              <w:right w:val="single" w:sz="4" w:space="0" w:color="auto"/>
            </w:tcBorders>
            <w:hideMark/>
          </w:tcPr>
          <w:p w14:paraId="01CB64A6" w14:textId="77777777" w:rsidR="000055CB" w:rsidRPr="00FF756A" w:rsidRDefault="000055CB">
            <w:pPr>
              <w:spacing w:before="0" w:after="0"/>
              <w:rPr>
                <w:color w:val="000000" w:themeColor="text1"/>
                <w:lang w:eastAsia="de-DE"/>
              </w:rPr>
            </w:pPr>
            <w:r w:rsidRPr="00FF756A">
              <w:rPr>
                <w:color w:val="000000" w:themeColor="text1"/>
                <w:lang w:eastAsia="de-DE"/>
              </w:rPr>
              <w:t>BRE</w:t>
            </w:r>
          </w:p>
        </w:tc>
        <w:tc>
          <w:tcPr>
            <w:tcW w:w="1701" w:type="dxa"/>
            <w:tcBorders>
              <w:top w:val="single" w:sz="4" w:space="0" w:color="auto"/>
              <w:left w:val="single" w:sz="4" w:space="0" w:color="auto"/>
              <w:bottom w:val="single" w:sz="4" w:space="0" w:color="auto"/>
              <w:right w:val="single" w:sz="4" w:space="0" w:color="auto"/>
            </w:tcBorders>
            <w:hideMark/>
          </w:tcPr>
          <w:p w14:paraId="72E0D5CB" w14:textId="77777777" w:rsidR="000055CB" w:rsidRPr="00FF756A" w:rsidRDefault="000055CB">
            <w:pPr>
              <w:spacing w:before="0" w:after="0"/>
              <w:jc w:val="left"/>
              <w:rPr>
                <w:color w:val="000000" w:themeColor="text1"/>
                <w:lang w:eastAsia="de-DE"/>
              </w:rPr>
            </w:pPr>
            <w:r w:rsidRPr="00FF756A">
              <w:rPr>
                <w:color w:val="000000" w:themeColor="text1"/>
                <w:lang w:eastAsia="de-DE"/>
              </w:rPr>
              <w:t>26.8%</w:t>
            </w:r>
          </w:p>
        </w:tc>
        <w:tc>
          <w:tcPr>
            <w:tcW w:w="1701" w:type="dxa"/>
            <w:tcBorders>
              <w:top w:val="single" w:sz="4" w:space="0" w:color="auto"/>
              <w:left w:val="single" w:sz="4" w:space="0" w:color="auto"/>
              <w:bottom w:val="single" w:sz="4" w:space="0" w:color="auto"/>
              <w:right w:val="single" w:sz="4" w:space="0" w:color="auto"/>
            </w:tcBorders>
            <w:hideMark/>
          </w:tcPr>
          <w:p w14:paraId="3676D45F" w14:textId="77777777" w:rsidR="000055CB" w:rsidRPr="00FF756A" w:rsidRDefault="000055CB">
            <w:pPr>
              <w:spacing w:before="0" w:after="0"/>
              <w:jc w:val="left"/>
              <w:rPr>
                <w:color w:val="000000" w:themeColor="text1"/>
                <w:lang w:eastAsia="de-DE"/>
              </w:rPr>
            </w:pPr>
            <w:r w:rsidRPr="00FF756A">
              <w:rPr>
                <w:color w:val="000000" w:themeColor="text1"/>
                <w:lang w:eastAsia="de-DE"/>
              </w:rPr>
              <w:t>63.1%</w:t>
            </w:r>
          </w:p>
        </w:tc>
        <w:tc>
          <w:tcPr>
            <w:tcW w:w="1701" w:type="dxa"/>
            <w:tcBorders>
              <w:top w:val="single" w:sz="4" w:space="0" w:color="auto"/>
              <w:left w:val="single" w:sz="4" w:space="0" w:color="auto"/>
              <w:bottom w:val="single" w:sz="4" w:space="0" w:color="auto"/>
              <w:right w:val="single" w:sz="4" w:space="0" w:color="auto"/>
            </w:tcBorders>
            <w:hideMark/>
          </w:tcPr>
          <w:p w14:paraId="07BE023A" w14:textId="77777777" w:rsidR="000055CB" w:rsidRPr="00FF756A" w:rsidRDefault="000055CB" w:rsidP="006939FE">
            <w:pPr>
              <w:keepNext/>
              <w:spacing w:before="0" w:after="0"/>
              <w:jc w:val="left"/>
              <w:rPr>
                <w:b/>
                <w:bCs/>
                <w:color w:val="000000" w:themeColor="text1"/>
                <w:lang w:eastAsia="de-DE"/>
              </w:rPr>
            </w:pPr>
            <w:r w:rsidRPr="00FF756A">
              <w:rPr>
                <w:b/>
                <w:bCs/>
                <w:color w:val="000000" w:themeColor="text1"/>
                <w:lang w:eastAsia="de-DE"/>
              </w:rPr>
              <w:t>81.2%</w:t>
            </w:r>
          </w:p>
        </w:tc>
      </w:tr>
    </w:tbl>
    <w:p w14:paraId="4BAB2E11" w14:textId="3628D13A" w:rsidR="000055CB" w:rsidRPr="00FF756A" w:rsidRDefault="006939FE" w:rsidP="006939FE">
      <w:pPr>
        <w:pStyle w:val="Caption"/>
        <w:rPr>
          <w:rFonts w:ascii="Times New Roman" w:hAnsi="Times New Roman"/>
        </w:rPr>
      </w:pPr>
      <w:bookmarkStart w:id="217" w:name="_Toc183016485"/>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21</w:t>
      </w:r>
      <w:r w:rsidR="008E7DE9" w:rsidRPr="00FF756A">
        <w:rPr>
          <w:rFonts w:ascii="Times New Roman" w:hAnsi="Times New Roman"/>
          <w:noProof/>
        </w:rPr>
        <w:fldChar w:fldCharType="end"/>
      </w:r>
      <w:r w:rsidRPr="00FF756A">
        <w:rPr>
          <w:rFonts w:ascii="Times New Roman" w:hAnsi="Times New Roman"/>
        </w:rPr>
        <w:t>: P</w:t>
      </w:r>
      <w:r w:rsidR="000024AB" w:rsidRPr="00FF756A">
        <w:rPr>
          <w:rFonts w:ascii="Times New Roman" w:hAnsi="Times New Roman"/>
        </w:rPr>
        <w:t>ërqindja</w:t>
      </w:r>
      <w:r w:rsidRPr="00FF756A">
        <w:rPr>
          <w:rFonts w:ascii="Times New Roman" w:hAnsi="Times New Roman"/>
        </w:rPr>
        <w:t xml:space="preserve"> totale e burimeve të rinovueshme (%) në 2050 në TPES për skenarë të ndryshëm</w:t>
      </w:r>
      <w:bookmarkEnd w:id="217"/>
    </w:p>
    <w:p w14:paraId="4E3B6DA6" w14:textId="77777777" w:rsidR="006939FE" w:rsidRPr="00FF756A" w:rsidRDefault="006939FE" w:rsidP="006939FE">
      <w:pPr>
        <w:rPr>
          <w:lang w:eastAsia="ja-JP"/>
        </w:rPr>
      </w:pPr>
    </w:p>
    <w:p w14:paraId="01132383" w14:textId="77777777" w:rsidR="000055CB" w:rsidRPr="00FF756A" w:rsidRDefault="000055CB" w:rsidP="000055CB">
      <w:pPr>
        <w:rPr>
          <w:color w:val="000000" w:themeColor="text1"/>
        </w:rPr>
      </w:pPr>
      <w:r w:rsidRPr="00FF756A">
        <w:rPr>
          <w:color w:val="000000" w:themeColor="text1"/>
        </w:rPr>
        <w:t>Tabela e mëposhtme tregon peshën e BRE-ve në kërkesën përfundimtare për energji, e llogaritur sipas DAR (Direktiva 2009/28/KE) me masat ekzistuese dhe shtesë në vitin 2050.</w:t>
      </w:r>
    </w:p>
    <w:p w14:paraId="56460A31" w14:textId="77777777" w:rsidR="000055CB" w:rsidRPr="00FF756A" w:rsidRDefault="000055CB" w:rsidP="000055CB">
      <w:pPr>
        <w:pStyle w:val="Caption"/>
        <w:rPr>
          <w:rFonts w:ascii="Times New Roman" w:hAnsi="Times New Roman"/>
          <w:color w:val="000000" w:themeColor="text1"/>
        </w:rPr>
      </w:pPr>
    </w:p>
    <w:tbl>
      <w:tblPr>
        <w:tblStyle w:val="TableGrid"/>
        <w:tblW w:w="0" w:type="auto"/>
        <w:tblLayout w:type="fixed"/>
        <w:tblLook w:val="04A0" w:firstRow="1" w:lastRow="0" w:firstColumn="1" w:lastColumn="0" w:noHBand="0" w:noVBand="1"/>
      </w:tblPr>
      <w:tblGrid>
        <w:gridCol w:w="1472"/>
        <w:gridCol w:w="1701"/>
        <w:gridCol w:w="1701"/>
        <w:gridCol w:w="1701"/>
      </w:tblGrid>
      <w:tr w:rsidR="000055CB" w:rsidRPr="00FF756A" w14:paraId="183F031C" w14:textId="77777777" w:rsidTr="000055CB">
        <w:trPr>
          <w:trHeight w:val="283"/>
        </w:trPr>
        <w:tc>
          <w:tcPr>
            <w:tcW w:w="1472" w:type="dxa"/>
            <w:tcBorders>
              <w:top w:val="single" w:sz="4" w:space="0" w:color="auto"/>
              <w:left w:val="single" w:sz="4" w:space="0" w:color="auto"/>
              <w:bottom w:val="single" w:sz="4" w:space="0" w:color="auto"/>
              <w:right w:val="single" w:sz="4" w:space="0" w:color="auto"/>
            </w:tcBorders>
            <w:hideMark/>
          </w:tcPr>
          <w:p w14:paraId="5801DD15" w14:textId="77777777" w:rsidR="000055CB" w:rsidRPr="00FF756A" w:rsidRDefault="000055CB">
            <w:pPr>
              <w:spacing w:before="0" w:after="0"/>
              <w:jc w:val="left"/>
              <w:rPr>
                <w:color w:val="000000" w:themeColor="text1"/>
                <w:lang w:eastAsia="de-DE"/>
              </w:rPr>
            </w:pPr>
            <w:r w:rsidRPr="00FF756A">
              <w:rPr>
                <w:color w:val="000000" w:themeColor="text1"/>
                <w:lang w:eastAsia="de-DE"/>
              </w:rPr>
              <w:t>Sektori</w:t>
            </w:r>
          </w:p>
        </w:tc>
        <w:tc>
          <w:tcPr>
            <w:tcW w:w="1701" w:type="dxa"/>
            <w:tcBorders>
              <w:top w:val="single" w:sz="4" w:space="0" w:color="auto"/>
              <w:left w:val="single" w:sz="4" w:space="0" w:color="auto"/>
              <w:bottom w:val="single" w:sz="4" w:space="0" w:color="auto"/>
              <w:right w:val="single" w:sz="4" w:space="0" w:color="auto"/>
            </w:tcBorders>
            <w:hideMark/>
          </w:tcPr>
          <w:p w14:paraId="5A8B476B" w14:textId="77777777" w:rsidR="000055CB" w:rsidRPr="00FF756A" w:rsidRDefault="000055CB">
            <w:pPr>
              <w:spacing w:before="0" w:after="0"/>
              <w:jc w:val="left"/>
              <w:rPr>
                <w:color w:val="000000" w:themeColor="text1"/>
                <w:lang w:eastAsia="de-DE"/>
              </w:rPr>
            </w:pPr>
            <w:r w:rsidRPr="00FF756A">
              <w:rPr>
                <w:color w:val="000000" w:themeColor="text1"/>
                <w:lang w:eastAsia="de-DE"/>
              </w:rPr>
              <w:t>WEM 2050</w:t>
            </w:r>
          </w:p>
        </w:tc>
        <w:tc>
          <w:tcPr>
            <w:tcW w:w="1701" w:type="dxa"/>
            <w:tcBorders>
              <w:top w:val="single" w:sz="4" w:space="0" w:color="auto"/>
              <w:left w:val="single" w:sz="4" w:space="0" w:color="auto"/>
              <w:bottom w:val="single" w:sz="4" w:space="0" w:color="auto"/>
              <w:right w:val="single" w:sz="4" w:space="0" w:color="auto"/>
            </w:tcBorders>
            <w:hideMark/>
          </w:tcPr>
          <w:p w14:paraId="2C3FB714" w14:textId="77777777" w:rsidR="000055CB" w:rsidRPr="00FF756A" w:rsidRDefault="000055CB">
            <w:pPr>
              <w:spacing w:before="0" w:after="0"/>
              <w:jc w:val="left"/>
              <w:rPr>
                <w:color w:val="000000" w:themeColor="text1"/>
                <w:lang w:eastAsia="de-DE"/>
              </w:rPr>
            </w:pPr>
            <w:r w:rsidRPr="00FF756A">
              <w:rPr>
                <w:color w:val="000000" w:themeColor="text1"/>
                <w:lang w:eastAsia="de-DE"/>
              </w:rPr>
              <w:t>WAM RE 2050</w:t>
            </w:r>
          </w:p>
        </w:tc>
        <w:tc>
          <w:tcPr>
            <w:tcW w:w="1701" w:type="dxa"/>
            <w:tcBorders>
              <w:top w:val="single" w:sz="4" w:space="0" w:color="auto"/>
              <w:left w:val="single" w:sz="4" w:space="0" w:color="auto"/>
              <w:bottom w:val="single" w:sz="4" w:space="0" w:color="auto"/>
              <w:right w:val="single" w:sz="4" w:space="0" w:color="auto"/>
            </w:tcBorders>
            <w:hideMark/>
          </w:tcPr>
          <w:p w14:paraId="235F40A0" w14:textId="77777777" w:rsidR="000055CB" w:rsidRPr="00FF756A" w:rsidRDefault="000055CB">
            <w:pPr>
              <w:spacing w:before="0" w:after="0"/>
              <w:jc w:val="left"/>
              <w:rPr>
                <w:b/>
                <w:bCs/>
                <w:color w:val="000000" w:themeColor="text1"/>
                <w:lang w:eastAsia="de-DE"/>
              </w:rPr>
            </w:pPr>
            <w:r w:rsidRPr="00FF756A">
              <w:rPr>
                <w:b/>
                <w:bCs/>
                <w:color w:val="000000" w:themeColor="text1"/>
                <w:lang w:eastAsia="de-DE"/>
              </w:rPr>
              <w:t>WAM 2050</w:t>
            </w:r>
          </w:p>
        </w:tc>
      </w:tr>
      <w:tr w:rsidR="000055CB" w:rsidRPr="00FF756A" w14:paraId="496C06B9" w14:textId="77777777" w:rsidTr="000055CB">
        <w:trPr>
          <w:trHeight w:val="283"/>
        </w:trPr>
        <w:tc>
          <w:tcPr>
            <w:tcW w:w="1472" w:type="dxa"/>
            <w:tcBorders>
              <w:top w:val="single" w:sz="4" w:space="0" w:color="auto"/>
              <w:left w:val="single" w:sz="4" w:space="0" w:color="auto"/>
              <w:bottom w:val="single" w:sz="4" w:space="0" w:color="auto"/>
              <w:right w:val="single" w:sz="4" w:space="0" w:color="auto"/>
            </w:tcBorders>
            <w:hideMark/>
          </w:tcPr>
          <w:p w14:paraId="4466F980" w14:textId="77777777" w:rsidR="000055CB" w:rsidRPr="00FF756A" w:rsidRDefault="000055CB">
            <w:pPr>
              <w:spacing w:before="0" w:after="0"/>
              <w:jc w:val="left"/>
              <w:rPr>
                <w:color w:val="000000" w:themeColor="text1"/>
                <w:lang w:eastAsia="de-DE"/>
              </w:rPr>
            </w:pPr>
            <w:r w:rsidRPr="00FF756A">
              <w:rPr>
                <w:color w:val="000000" w:themeColor="text1"/>
                <w:lang w:eastAsia="de-DE"/>
              </w:rPr>
              <w:t>BRE</w:t>
            </w:r>
          </w:p>
        </w:tc>
        <w:tc>
          <w:tcPr>
            <w:tcW w:w="1701" w:type="dxa"/>
            <w:tcBorders>
              <w:top w:val="single" w:sz="4" w:space="0" w:color="auto"/>
              <w:left w:val="single" w:sz="4" w:space="0" w:color="auto"/>
              <w:bottom w:val="single" w:sz="4" w:space="0" w:color="auto"/>
              <w:right w:val="single" w:sz="4" w:space="0" w:color="auto"/>
            </w:tcBorders>
            <w:hideMark/>
          </w:tcPr>
          <w:p w14:paraId="3D7E8369" w14:textId="77777777" w:rsidR="000055CB" w:rsidRPr="00FF756A" w:rsidRDefault="000055CB">
            <w:pPr>
              <w:spacing w:before="0" w:after="0"/>
              <w:jc w:val="left"/>
              <w:rPr>
                <w:color w:val="000000" w:themeColor="text1"/>
                <w:lang w:eastAsia="de-DE"/>
              </w:rPr>
            </w:pPr>
            <w:r w:rsidRPr="00FF756A">
              <w:rPr>
                <w:color w:val="000000" w:themeColor="text1"/>
                <w:lang w:eastAsia="de-DE"/>
              </w:rPr>
              <w:t>27.6</w:t>
            </w:r>
          </w:p>
        </w:tc>
        <w:tc>
          <w:tcPr>
            <w:tcW w:w="1701" w:type="dxa"/>
            <w:tcBorders>
              <w:top w:val="single" w:sz="4" w:space="0" w:color="auto"/>
              <w:left w:val="single" w:sz="4" w:space="0" w:color="auto"/>
              <w:bottom w:val="single" w:sz="4" w:space="0" w:color="auto"/>
              <w:right w:val="single" w:sz="4" w:space="0" w:color="auto"/>
            </w:tcBorders>
            <w:hideMark/>
          </w:tcPr>
          <w:p w14:paraId="398419CD" w14:textId="77777777" w:rsidR="000055CB" w:rsidRPr="00FF756A" w:rsidRDefault="000055CB">
            <w:pPr>
              <w:spacing w:before="0" w:after="0"/>
              <w:jc w:val="left"/>
              <w:rPr>
                <w:color w:val="000000" w:themeColor="text1"/>
                <w:lang w:eastAsia="de-DE"/>
              </w:rPr>
            </w:pPr>
            <w:r w:rsidRPr="00FF756A">
              <w:rPr>
                <w:color w:val="000000" w:themeColor="text1"/>
                <w:lang w:eastAsia="de-DE"/>
              </w:rPr>
              <w:t>66.7</w:t>
            </w:r>
          </w:p>
        </w:tc>
        <w:tc>
          <w:tcPr>
            <w:tcW w:w="1701" w:type="dxa"/>
            <w:tcBorders>
              <w:top w:val="single" w:sz="4" w:space="0" w:color="auto"/>
              <w:left w:val="single" w:sz="4" w:space="0" w:color="auto"/>
              <w:bottom w:val="single" w:sz="4" w:space="0" w:color="auto"/>
              <w:right w:val="single" w:sz="4" w:space="0" w:color="auto"/>
            </w:tcBorders>
            <w:hideMark/>
          </w:tcPr>
          <w:p w14:paraId="1BDEB254" w14:textId="77777777" w:rsidR="000055CB" w:rsidRPr="00FF756A" w:rsidRDefault="000055CB">
            <w:pPr>
              <w:spacing w:before="0" w:after="0"/>
              <w:jc w:val="left"/>
              <w:rPr>
                <w:b/>
                <w:bCs/>
                <w:color w:val="000000" w:themeColor="text1"/>
                <w:lang w:eastAsia="de-DE"/>
              </w:rPr>
            </w:pPr>
            <w:r w:rsidRPr="00FF756A">
              <w:rPr>
                <w:b/>
                <w:bCs/>
                <w:color w:val="000000" w:themeColor="text1"/>
                <w:lang w:eastAsia="de-DE"/>
              </w:rPr>
              <w:t>88.1</w:t>
            </w:r>
          </w:p>
        </w:tc>
      </w:tr>
      <w:tr w:rsidR="000055CB" w:rsidRPr="00FF756A" w14:paraId="25FCB5C4" w14:textId="77777777" w:rsidTr="000055CB">
        <w:trPr>
          <w:trHeight w:val="283"/>
        </w:trPr>
        <w:tc>
          <w:tcPr>
            <w:tcW w:w="1472" w:type="dxa"/>
            <w:tcBorders>
              <w:top w:val="single" w:sz="4" w:space="0" w:color="auto"/>
              <w:left w:val="single" w:sz="4" w:space="0" w:color="auto"/>
              <w:bottom w:val="single" w:sz="4" w:space="0" w:color="auto"/>
              <w:right w:val="single" w:sz="4" w:space="0" w:color="auto"/>
            </w:tcBorders>
            <w:hideMark/>
          </w:tcPr>
          <w:p w14:paraId="504AC89D" w14:textId="77777777" w:rsidR="000055CB" w:rsidRPr="00FF756A" w:rsidRDefault="000055CB">
            <w:pPr>
              <w:spacing w:before="0" w:after="0"/>
              <w:jc w:val="left"/>
              <w:rPr>
                <w:color w:val="000000" w:themeColor="text1"/>
                <w:lang w:eastAsia="de-DE"/>
              </w:rPr>
            </w:pPr>
            <w:r w:rsidRPr="00FF756A">
              <w:rPr>
                <w:color w:val="000000" w:themeColor="text1"/>
                <w:lang w:eastAsia="de-DE"/>
              </w:rPr>
              <w:t>BRE T</w:t>
            </w:r>
          </w:p>
        </w:tc>
        <w:tc>
          <w:tcPr>
            <w:tcW w:w="1701" w:type="dxa"/>
            <w:tcBorders>
              <w:top w:val="single" w:sz="4" w:space="0" w:color="auto"/>
              <w:left w:val="single" w:sz="4" w:space="0" w:color="auto"/>
              <w:bottom w:val="single" w:sz="4" w:space="0" w:color="auto"/>
              <w:right w:val="single" w:sz="4" w:space="0" w:color="auto"/>
            </w:tcBorders>
            <w:hideMark/>
          </w:tcPr>
          <w:p w14:paraId="5FFF0DF8" w14:textId="77777777" w:rsidR="000055CB" w:rsidRPr="00FF756A" w:rsidRDefault="000055CB">
            <w:pPr>
              <w:spacing w:before="0" w:after="0"/>
              <w:jc w:val="left"/>
              <w:rPr>
                <w:color w:val="000000" w:themeColor="text1"/>
                <w:lang w:eastAsia="de-DE"/>
              </w:rPr>
            </w:pPr>
            <w:r w:rsidRPr="00FF756A">
              <w:rPr>
                <w:color w:val="000000" w:themeColor="text1"/>
                <w:lang w:eastAsia="de-DE"/>
              </w:rPr>
              <w:t>44.8</w:t>
            </w:r>
          </w:p>
        </w:tc>
        <w:tc>
          <w:tcPr>
            <w:tcW w:w="1701" w:type="dxa"/>
            <w:tcBorders>
              <w:top w:val="single" w:sz="4" w:space="0" w:color="auto"/>
              <w:left w:val="single" w:sz="4" w:space="0" w:color="auto"/>
              <w:bottom w:val="single" w:sz="4" w:space="0" w:color="auto"/>
              <w:right w:val="single" w:sz="4" w:space="0" w:color="auto"/>
            </w:tcBorders>
            <w:hideMark/>
          </w:tcPr>
          <w:p w14:paraId="56C7C240" w14:textId="77777777" w:rsidR="000055CB" w:rsidRPr="00FF756A" w:rsidRDefault="000055CB">
            <w:pPr>
              <w:spacing w:before="0" w:after="0"/>
              <w:jc w:val="left"/>
              <w:rPr>
                <w:color w:val="000000" w:themeColor="text1"/>
                <w:lang w:eastAsia="de-DE"/>
              </w:rPr>
            </w:pPr>
            <w:r w:rsidRPr="00FF756A">
              <w:rPr>
                <w:color w:val="000000" w:themeColor="text1"/>
                <w:lang w:eastAsia="de-DE"/>
              </w:rPr>
              <w:t>197.3</w:t>
            </w:r>
          </w:p>
        </w:tc>
        <w:tc>
          <w:tcPr>
            <w:tcW w:w="1701" w:type="dxa"/>
            <w:tcBorders>
              <w:top w:val="single" w:sz="4" w:space="0" w:color="auto"/>
              <w:left w:val="single" w:sz="4" w:space="0" w:color="auto"/>
              <w:bottom w:val="single" w:sz="4" w:space="0" w:color="auto"/>
              <w:right w:val="single" w:sz="4" w:space="0" w:color="auto"/>
            </w:tcBorders>
            <w:hideMark/>
          </w:tcPr>
          <w:p w14:paraId="48740550" w14:textId="77777777" w:rsidR="000055CB" w:rsidRPr="00FF756A" w:rsidRDefault="000055CB">
            <w:pPr>
              <w:spacing w:before="0" w:after="0"/>
              <w:jc w:val="left"/>
              <w:rPr>
                <w:b/>
                <w:bCs/>
                <w:color w:val="000000" w:themeColor="text1"/>
                <w:lang w:eastAsia="de-DE"/>
              </w:rPr>
            </w:pPr>
            <w:r w:rsidRPr="00FF756A">
              <w:rPr>
                <w:b/>
                <w:bCs/>
                <w:color w:val="000000" w:themeColor="text1"/>
                <w:lang w:eastAsia="de-DE"/>
              </w:rPr>
              <w:t>222.7</w:t>
            </w:r>
          </w:p>
        </w:tc>
      </w:tr>
      <w:tr w:rsidR="000055CB" w:rsidRPr="00FF756A" w14:paraId="08063756" w14:textId="77777777" w:rsidTr="000055CB">
        <w:trPr>
          <w:trHeight w:val="283"/>
        </w:trPr>
        <w:tc>
          <w:tcPr>
            <w:tcW w:w="1472" w:type="dxa"/>
            <w:tcBorders>
              <w:top w:val="single" w:sz="4" w:space="0" w:color="auto"/>
              <w:left w:val="single" w:sz="4" w:space="0" w:color="auto"/>
              <w:bottom w:val="single" w:sz="4" w:space="0" w:color="auto"/>
              <w:right w:val="single" w:sz="4" w:space="0" w:color="auto"/>
            </w:tcBorders>
            <w:hideMark/>
          </w:tcPr>
          <w:p w14:paraId="6AD5E2AA" w14:textId="77777777" w:rsidR="000055CB" w:rsidRPr="00FF756A" w:rsidRDefault="000055CB">
            <w:pPr>
              <w:spacing w:before="0" w:after="0"/>
              <w:jc w:val="left"/>
              <w:rPr>
                <w:color w:val="000000" w:themeColor="text1"/>
                <w:lang w:eastAsia="de-DE"/>
              </w:rPr>
            </w:pPr>
            <w:r w:rsidRPr="00FF756A">
              <w:rPr>
                <w:color w:val="000000" w:themeColor="text1"/>
                <w:lang w:eastAsia="de-DE"/>
              </w:rPr>
              <w:t>BRE E</w:t>
            </w:r>
          </w:p>
        </w:tc>
        <w:tc>
          <w:tcPr>
            <w:tcW w:w="1701" w:type="dxa"/>
            <w:tcBorders>
              <w:top w:val="single" w:sz="4" w:space="0" w:color="auto"/>
              <w:left w:val="single" w:sz="4" w:space="0" w:color="auto"/>
              <w:bottom w:val="single" w:sz="4" w:space="0" w:color="auto"/>
              <w:right w:val="single" w:sz="4" w:space="0" w:color="auto"/>
            </w:tcBorders>
            <w:hideMark/>
          </w:tcPr>
          <w:p w14:paraId="2A657205" w14:textId="77777777" w:rsidR="000055CB" w:rsidRPr="00FF756A" w:rsidRDefault="000055CB">
            <w:pPr>
              <w:spacing w:before="0" w:after="0"/>
              <w:jc w:val="left"/>
              <w:rPr>
                <w:color w:val="000000" w:themeColor="text1"/>
                <w:lang w:eastAsia="de-DE"/>
              </w:rPr>
            </w:pPr>
            <w:r w:rsidRPr="00FF756A">
              <w:rPr>
                <w:color w:val="000000" w:themeColor="text1"/>
                <w:lang w:eastAsia="de-DE"/>
              </w:rPr>
              <w:t>58.0</w:t>
            </w:r>
          </w:p>
        </w:tc>
        <w:tc>
          <w:tcPr>
            <w:tcW w:w="1701" w:type="dxa"/>
            <w:tcBorders>
              <w:top w:val="single" w:sz="4" w:space="0" w:color="auto"/>
              <w:left w:val="single" w:sz="4" w:space="0" w:color="auto"/>
              <w:bottom w:val="single" w:sz="4" w:space="0" w:color="auto"/>
              <w:right w:val="single" w:sz="4" w:space="0" w:color="auto"/>
            </w:tcBorders>
            <w:hideMark/>
          </w:tcPr>
          <w:p w14:paraId="10D3F0C7" w14:textId="77777777" w:rsidR="000055CB" w:rsidRPr="00FF756A" w:rsidRDefault="000055CB">
            <w:pPr>
              <w:spacing w:before="0" w:after="0"/>
              <w:jc w:val="left"/>
              <w:rPr>
                <w:color w:val="000000" w:themeColor="text1"/>
                <w:lang w:eastAsia="de-DE"/>
              </w:rPr>
            </w:pPr>
            <w:r w:rsidRPr="00FF756A">
              <w:rPr>
                <w:color w:val="000000" w:themeColor="text1"/>
                <w:lang w:eastAsia="de-DE"/>
              </w:rPr>
              <w:t>86.1</w:t>
            </w:r>
          </w:p>
        </w:tc>
        <w:tc>
          <w:tcPr>
            <w:tcW w:w="1701" w:type="dxa"/>
            <w:tcBorders>
              <w:top w:val="single" w:sz="4" w:space="0" w:color="auto"/>
              <w:left w:val="single" w:sz="4" w:space="0" w:color="auto"/>
              <w:bottom w:val="single" w:sz="4" w:space="0" w:color="auto"/>
              <w:right w:val="single" w:sz="4" w:space="0" w:color="auto"/>
            </w:tcBorders>
            <w:hideMark/>
          </w:tcPr>
          <w:p w14:paraId="2DC8B64B" w14:textId="77777777" w:rsidR="000055CB" w:rsidRPr="00FF756A" w:rsidRDefault="000055CB">
            <w:pPr>
              <w:spacing w:before="0" w:after="0"/>
              <w:jc w:val="left"/>
              <w:rPr>
                <w:b/>
                <w:bCs/>
                <w:color w:val="000000" w:themeColor="text1"/>
                <w:lang w:eastAsia="de-DE"/>
              </w:rPr>
            </w:pPr>
            <w:r w:rsidRPr="00FF756A">
              <w:rPr>
                <w:b/>
                <w:bCs/>
                <w:color w:val="000000" w:themeColor="text1"/>
                <w:lang w:eastAsia="de-DE"/>
              </w:rPr>
              <w:t>129.6</w:t>
            </w:r>
          </w:p>
        </w:tc>
      </w:tr>
      <w:tr w:rsidR="000055CB" w:rsidRPr="00FF756A" w14:paraId="6F4D8374" w14:textId="77777777" w:rsidTr="000055CB">
        <w:trPr>
          <w:trHeight w:val="283"/>
        </w:trPr>
        <w:tc>
          <w:tcPr>
            <w:tcW w:w="1472" w:type="dxa"/>
            <w:tcBorders>
              <w:top w:val="single" w:sz="4" w:space="0" w:color="auto"/>
              <w:left w:val="single" w:sz="4" w:space="0" w:color="auto"/>
              <w:bottom w:val="single" w:sz="4" w:space="0" w:color="auto"/>
              <w:right w:val="single" w:sz="4" w:space="0" w:color="auto"/>
            </w:tcBorders>
            <w:hideMark/>
          </w:tcPr>
          <w:p w14:paraId="71859AC8" w14:textId="77777777" w:rsidR="000055CB" w:rsidRPr="00FF756A" w:rsidRDefault="000055CB">
            <w:pPr>
              <w:spacing w:before="0" w:after="0"/>
              <w:jc w:val="left"/>
              <w:rPr>
                <w:color w:val="000000" w:themeColor="text1"/>
                <w:lang w:eastAsia="de-DE"/>
              </w:rPr>
            </w:pPr>
            <w:r w:rsidRPr="00FF756A">
              <w:rPr>
                <w:color w:val="000000" w:themeColor="text1"/>
                <w:lang w:eastAsia="de-DE"/>
              </w:rPr>
              <w:t>BRE HC</w:t>
            </w:r>
          </w:p>
        </w:tc>
        <w:tc>
          <w:tcPr>
            <w:tcW w:w="1701" w:type="dxa"/>
            <w:tcBorders>
              <w:top w:val="single" w:sz="4" w:space="0" w:color="auto"/>
              <w:left w:val="single" w:sz="4" w:space="0" w:color="auto"/>
              <w:bottom w:val="single" w:sz="4" w:space="0" w:color="auto"/>
              <w:right w:val="single" w:sz="4" w:space="0" w:color="auto"/>
            </w:tcBorders>
            <w:hideMark/>
          </w:tcPr>
          <w:p w14:paraId="2D8FE1DE" w14:textId="77777777" w:rsidR="000055CB" w:rsidRPr="00FF756A" w:rsidRDefault="000055CB">
            <w:pPr>
              <w:spacing w:before="0" w:after="0"/>
              <w:jc w:val="left"/>
              <w:rPr>
                <w:color w:val="000000" w:themeColor="text1"/>
                <w:lang w:eastAsia="de-DE"/>
              </w:rPr>
            </w:pPr>
            <w:r w:rsidRPr="00FF756A">
              <w:rPr>
                <w:color w:val="000000" w:themeColor="text1"/>
                <w:lang w:eastAsia="de-DE"/>
              </w:rPr>
              <w:t>15.7</w:t>
            </w:r>
          </w:p>
        </w:tc>
        <w:tc>
          <w:tcPr>
            <w:tcW w:w="1701" w:type="dxa"/>
            <w:tcBorders>
              <w:top w:val="single" w:sz="4" w:space="0" w:color="auto"/>
              <w:left w:val="single" w:sz="4" w:space="0" w:color="auto"/>
              <w:bottom w:val="single" w:sz="4" w:space="0" w:color="auto"/>
              <w:right w:val="single" w:sz="4" w:space="0" w:color="auto"/>
            </w:tcBorders>
            <w:hideMark/>
          </w:tcPr>
          <w:p w14:paraId="03D8DB31" w14:textId="77777777" w:rsidR="000055CB" w:rsidRPr="00FF756A" w:rsidRDefault="000055CB">
            <w:pPr>
              <w:spacing w:before="0" w:after="0"/>
              <w:jc w:val="left"/>
              <w:rPr>
                <w:color w:val="000000" w:themeColor="text1"/>
                <w:lang w:eastAsia="de-DE"/>
              </w:rPr>
            </w:pPr>
            <w:r w:rsidRPr="00FF756A">
              <w:rPr>
                <w:color w:val="000000" w:themeColor="text1"/>
                <w:lang w:eastAsia="de-DE"/>
              </w:rPr>
              <w:t>45.9</w:t>
            </w:r>
          </w:p>
        </w:tc>
        <w:tc>
          <w:tcPr>
            <w:tcW w:w="1701" w:type="dxa"/>
            <w:tcBorders>
              <w:top w:val="single" w:sz="4" w:space="0" w:color="auto"/>
              <w:left w:val="single" w:sz="4" w:space="0" w:color="auto"/>
              <w:bottom w:val="single" w:sz="4" w:space="0" w:color="auto"/>
              <w:right w:val="single" w:sz="4" w:space="0" w:color="auto"/>
            </w:tcBorders>
            <w:hideMark/>
          </w:tcPr>
          <w:p w14:paraId="315D9C9A" w14:textId="77777777" w:rsidR="000055CB" w:rsidRPr="00FF756A" w:rsidRDefault="000055CB" w:rsidP="006939FE">
            <w:pPr>
              <w:keepNext/>
              <w:spacing w:before="0" w:after="0"/>
              <w:jc w:val="left"/>
              <w:rPr>
                <w:b/>
                <w:bCs/>
                <w:color w:val="000000" w:themeColor="text1"/>
                <w:lang w:eastAsia="de-DE"/>
              </w:rPr>
            </w:pPr>
            <w:r w:rsidRPr="00FF756A">
              <w:rPr>
                <w:b/>
                <w:bCs/>
                <w:color w:val="000000" w:themeColor="text1"/>
                <w:lang w:eastAsia="de-DE"/>
              </w:rPr>
              <w:t>45.9</w:t>
            </w:r>
          </w:p>
        </w:tc>
      </w:tr>
    </w:tbl>
    <w:p w14:paraId="0BB8EC3C" w14:textId="38674505" w:rsidR="000055CB" w:rsidRPr="00FF756A" w:rsidRDefault="006939FE" w:rsidP="006939FE">
      <w:pPr>
        <w:pStyle w:val="Caption"/>
        <w:rPr>
          <w:rFonts w:ascii="Times New Roman" w:hAnsi="Times New Roman"/>
          <w:color w:val="000000" w:themeColor="text1"/>
        </w:rPr>
      </w:pPr>
      <w:bookmarkStart w:id="218" w:name="_Toc183016486"/>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22</w:t>
      </w:r>
      <w:r w:rsidR="008E7DE9" w:rsidRPr="00FF756A">
        <w:rPr>
          <w:rFonts w:ascii="Times New Roman" w:hAnsi="Times New Roman"/>
          <w:noProof/>
        </w:rPr>
        <w:fldChar w:fldCharType="end"/>
      </w:r>
      <w:r w:rsidRPr="00FF756A">
        <w:rPr>
          <w:rFonts w:ascii="Times New Roman" w:hAnsi="Times New Roman"/>
        </w:rPr>
        <w:t>: P</w:t>
      </w:r>
      <w:r w:rsidR="000024AB" w:rsidRPr="00FF756A">
        <w:rPr>
          <w:rFonts w:ascii="Times New Roman" w:hAnsi="Times New Roman"/>
        </w:rPr>
        <w:t xml:space="preserve">ërqindja </w:t>
      </w:r>
      <w:r w:rsidRPr="00FF756A">
        <w:rPr>
          <w:rFonts w:ascii="Times New Roman" w:hAnsi="Times New Roman"/>
        </w:rPr>
        <w:t>e burimeve të rinovueshme (%)në kërkesën për energji finale</w:t>
      </w:r>
      <w:bookmarkEnd w:id="218"/>
      <w:r w:rsidR="000024AB" w:rsidRPr="00FF756A">
        <w:rPr>
          <w:rFonts w:ascii="Times New Roman" w:hAnsi="Times New Roman"/>
        </w:rPr>
        <w:t xml:space="preserve"> në vitin 2050</w:t>
      </w:r>
    </w:p>
    <w:p w14:paraId="504B6D46" w14:textId="77777777" w:rsidR="000055CB" w:rsidRPr="00FF756A" w:rsidRDefault="000055CB" w:rsidP="000055CB">
      <w:pPr>
        <w:rPr>
          <w:color w:val="000000" w:themeColor="text1"/>
        </w:rPr>
      </w:pPr>
      <w:r w:rsidRPr="00FF756A">
        <w:rPr>
          <w:color w:val="000000" w:themeColor="text1"/>
        </w:rPr>
        <w:t xml:space="preserve">( </w:t>
      </w:r>
      <w:r w:rsidRPr="00FF756A">
        <w:rPr>
          <w:color w:val="000000" w:themeColor="text1"/>
          <w:sz w:val="16"/>
          <w:szCs w:val="18"/>
        </w:rPr>
        <w:t xml:space="preserve">* Vlerat mbi 100% janë për shkak të eksporteve të energjisë elektrike. </w:t>
      </w:r>
      <w:r w:rsidRPr="00FF756A">
        <w:rPr>
          <w:color w:val="000000" w:themeColor="text1"/>
        </w:rPr>
        <w:t>)</w:t>
      </w:r>
    </w:p>
    <w:p w14:paraId="78ABE819" w14:textId="77777777" w:rsidR="000055CB" w:rsidRPr="00FF756A" w:rsidRDefault="000055CB" w:rsidP="000055CB">
      <w:pPr>
        <w:spacing w:before="0" w:after="0" w:line="240" w:lineRule="auto"/>
        <w:jc w:val="left"/>
        <w:rPr>
          <w:color w:val="000000" w:themeColor="text1"/>
        </w:rPr>
      </w:pPr>
      <w:r w:rsidRPr="00FF756A">
        <w:rPr>
          <w:color w:val="000000" w:themeColor="text1"/>
        </w:rPr>
        <w:br w:type="page"/>
      </w:r>
    </w:p>
    <w:p w14:paraId="75F406D5" w14:textId="77777777" w:rsidR="000055CB" w:rsidRPr="00FF756A" w:rsidRDefault="000055CB" w:rsidP="000055CB">
      <w:pPr>
        <w:jc w:val="left"/>
        <w:rPr>
          <w:color w:val="000000" w:themeColor="text1"/>
        </w:rPr>
      </w:pPr>
    </w:p>
    <w:p w14:paraId="2DB70E0B" w14:textId="59457A1E" w:rsidR="000055CB" w:rsidRPr="00FF756A" w:rsidRDefault="000055CB" w:rsidP="004A3257">
      <w:pPr>
        <w:pStyle w:val="Heading2"/>
        <w:numPr>
          <w:ilvl w:val="1"/>
          <w:numId w:val="244"/>
        </w:numPr>
        <w:rPr>
          <w:color w:val="auto"/>
        </w:rPr>
      </w:pPr>
      <w:bookmarkStart w:id="219" w:name="_Toc46945541"/>
      <w:bookmarkStart w:id="220" w:name="_Toc100575563"/>
      <w:bookmarkStart w:id="221" w:name="_Toc181516989"/>
      <w:bookmarkStart w:id="222" w:name="_Toc183639206"/>
      <w:r w:rsidRPr="00FF756A">
        <w:t xml:space="preserve">Dimensioni i </w:t>
      </w:r>
      <w:r w:rsidR="006E3E41" w:rsidRPr="00FF756A">
        <w:t>e</w:t>
      </w:r>
      <w:r w:rsidRPr="00FF756A">
        <w:t>fi</w:t>
      </w:r>
      <w:r w:rsidR="006E3E41" w:rsidRPr="00FF756A">
        <w:t>çenc</w:t>
      </w:r>
      <w:r w:rsidRPr="00FF756A">
        <w:t>ë</w:t>
      </w:r>
      <w:r w:rsidR="006E3E41" w:rsidRPr="00FF756A">
        <w:t>s</w:t>
      </w:r>
      <w:r w:rsidRPr="00FF756A">
        <w:t xml:space="preserve"> </w:t>
      </w:r>
      <w:r w:rsidR="006E3E41" w:rsidRPr="00FF756A">
        <w:t>së e</w:t>
      </w:r>
      <w:r w:rsidRPr="00FF756A">
        <w:t>nergjisë</w:t>
      </w:r>
      <w:bookmarkEnd w:id="219"/>
      <w:bookmarkEnd w:id="220"/>
      <w:bookmarkEnd w:id="221"/>
      <w:bookmarkEnd w:id="222"/>
    </w:p>
    <w:p w14:paraId="62A28ECA" w14:textId="77777777" w:rsidR="000055CB" w:rsidRPr="00FF756A" w:rsidRDefault="000055CB" w:rsidP="004A3257">
      <w:pPr>
        <w:rPr>
          <w:lang w:eastAsia="de-DE"/>
        </w:rPr>
      </w:pPr>
      <w:bookmarkStart w:id="223" w:name="_Toc181467433"/>
      <w:bookmarkStart w:id="224" w:name="_Toc181472383"/>
      <w:bookmarkStart w:id="225" w:name="_Toc181476947"/>
      <w:bookmarkStart w:id="226" w:name="_Toc181479219"/>
      <w:bookmarkStart w:id="227" w:name="_Toc181479393"/>
      <w:bookmarkStart w:id="228" w:name="_Toc181514733"/>
      <w:bookmarkStart w:id="229" w:name="_Toc181516803"/>
      <w:bookmarkStart w:id="230" w:name="_Toc181516990"/>
      <w:bookmarkStart w:id="231" w:name="_Toc100575564"/>
      <w:bookmarkEnd w:id="223"/>
      <w:bookmarkEnd w:id="224"/>
      <w:bookmarkEnd w:id="225"/>
      <w:bookmarkEnd w:id="226"/>
      <w:bookmarkEnd w:id="227"/>
      <w:bookmarkEnd w:id="228"/>
      <w:bookmarkEnd w:id="229"/>
      <w:bookmarkEnd w:id="230"/>
    </w:p>
    <w:p w14:paraId="114CD093" w14:textId="7097331E" w:rsidR="000055CB" w:rsidRPr="00FF756A" w:rsidRDefault="00C22A11" w:rsidP="00FF1BDC">
      <w:pPr>
        <w:pStyle w:val="Heading4"/>
        <w:numPr>
          <w:ilvl w:val="0"/>
          <w:numId w:val="0"/>
        </w:numPr>
        <w:ind w:left="864" w:hanging="864"/>
        <w:rPr>
          <w:rFonts w:eastAsiaTheme="majorEastAsia" w:cs="Times New Roman"/>
          <w:color w:val="auto"/>
        </w:rPr>
      </w:pPr>
      <w:bookmarkStart w:id="232" w:name="_Toc183639207"/>
      <w:bookmarkStart w:id="233" w:name="_Toc181516991"/>
      <w:r w:rsidRPr="00FF756A">
        <w:rPr>
          <w:rFonts w:cs="Times New Roman"/>
        </w:rPr>
        <w:t xml:space="preserve">2.2.1. </w:t>
      </w:r>
      <w:r w:rsidR="000055CB" w:rsidRPr="00FF756A">
        <w:rPr>
          <w:rFonts w:cs="Times New Roman"/>
        </w:rPr>
        <w:t xml:space="preserve">Elementet e përcaktuara në </w:t>
      </w:r>
      <w:r w:rsidR="006E3E41" w:rsidRPr="00FF756A">
        <w:rPr>
          <w:rFonts w:cs="Times New Roman"/>
        </w:rPr>
        <w:t>nenin 4, germa “</w:t>
      </w:r>
      <w:r w:rsidR="000055CB" w:rsidRPr="00FF756A">
        <w:rPr>
          <w:rFonts w:cs="Times New Roman"/>
        </w:rPr>
        <w:t>b</w:t>
      </w:r>
      <w:r w:rsidR="006E3E41" w:rsidRPr="00FF756A">
        <w:rPr>
          <w:rFonts w:cs="Times New Roman"/>
        </w:rPr>
        <w:t>”</w:t>
      </w:r>
      <w:bookmarkEnd w:id="231"/>
      <w:bookmarkEnd w:id="232"/>
      <w:bookmarkEnd w:id="233"/>
    </w:p>
    <w:p w14:paraId="41C4ED6B" w14:textId="77777777" w:rsidR="00C22A11" w:rsidRPr="00FF756A" w:rsidRDefault="00C22A11" w:rsidP="00FF1BDC">
      <w:pPr>
        <w:rPr>
          <w:i/>
          <w:iCs/>
          <w:color w:val="2F5496" w:themeColor="accent1" w:themeShade="BF"/>
        </w:rPr>
      </w:pPr>
    </w:p>
    <w:p w14:paraId="22E7B3FA" w14:textId="2996D08C" w:rsidR="009012AD" w:rsidRPr="00FF756A" w:rsidRDefault="000055CB" w:rsidP="004A3257">
      <w:pPr>
        <w:spacing w:line="240" w:lineRule="auto"/>
        <w:rPr>
          <w:i/>
          <w:iCs/>
          <w:color w:val="0070C0"/>
        </w:rPr>
      </w:pPr>
      <w:r w:rsidRPr="00FF756A">
        <w:rPr>
          <w:i/>
          <w:iCs/>
          <w:color w:val="0070C0"/>
        </w:rPr>
        <w:t>(1) kontribu</w:t>
      </w:r>
      <w:r w:rsidR="006E3E41" w:rsidRPr="00FF756A">
        <w:rPr>
          <w:i/>
          <w:iCs/>
          <w:color w:val="0070C0"/>
        </w:rPr>
        <w:t>ti indikativ kombëtar i</w:t>
      </w:r>
      <w:r w:rsidRPr="00FF756A">
        <w:rPr>
          <w:i/>
          <w:iCs/>
          <w:color w:val="0070C0"/>
        </w:rPr>
        <w:t xml:space="preserve"> efiçencës së energjisë për arritjen e </w:t>
      </w:r>
      <w:r w:rsidR="006E3E41" w:rsidRPr="00FF756A">
        <w:rPr>
          <w:i/>
          <w:iCs/>
          <w:color w:val="0070C0"/>
        </w:rPr>
        <w:t>pikësynimeve të BE-së</w:t>
      </w:r>
      <w:r w:rsidR="009012AD" w:rsidRPr="00FF756A">
        <w:rPr>
          <w:i/>
          <w:iCs/>
          <w:color w:val="0070C0"/>
        </w:rPr>
        <w:t xml:space="preserve"> për efiçencën e energjisë prej të paktën 32,5% të 2030, siç përmendet në nenin 1, paragrafi 1 dhe në nenin 3, paragrafi 5 të Direktivës 2012/27/BE, bazuar në konsumin primar ose final të energjisë, kursimet primare ose finale të energjisë ose intensitetin e energjisë.</w:t>
      </w:r>
    </w:p>
    <w:p w14:paraId="780C6F51" w14:textId="77777777" w:rsidR="009012AD" w:rsidRPr="00FF756A" w:rsidRDefault="009012AD" w:rsidP="009012AD">
      <w:pPr>
        <w:rPr>
          <w:i/>
          <w:iCs/>
        </w:rPr>
      </w:pPr>
    </w:p>
    <w:p w14:paraId="580AA7B9" w14:textId="49AB2D44" w:rsidR="000055CB" w:rsidRPr="00FF756A" w:rsidRDefault="001254BE" w:rsidP="000055CB">
      <w:pPr>
        <w:rPr>
          <w:b/>
          <w:bCs/>
          <w:color w:val="000000" w:themeColor="text1"/>
          <w:u w:val="single"/>
        </w:rPr>
      </w:pPr>
      <w:r w:rsidRPr="00FF756A">
        <w:rPr>
          <w:b/>
          <w:bCs/>
          <w:color w:val="000000" w:themeColor="text1"/>
          <w:u w:val="single"/>
        </w:rPr>
        <w:t>Pikës</w:t>
      </w:r>
      <w:r w:rsidR="000055CB" w:rsidRPr="00FF756A">
        <w:rPr>
          <w:b/>
          <w:bCs/>
          <w:color w:val="000000" w:themeColor="text1"/>
          <w:u w:val="single"/>
        </w:rPr>
        <w:t>ynimet bazuar</w:t>
      </w:r>
      <w:r w:rsidRPr="00FF756A">
        <w:rPr>
          <w:b/>
          <w:bCs/>
          <w:color w:val="000000" w:themeColor="text1"/>
          <w:u w:val="single"/>
        </w:rPr>
        <w:t xml:space="preserve"> </w:t>
      </w:r>
      <w:r w:rsidR="000055CB" w:rsidRPr="00FF756A">
        <w:rPr>
          <w:b/>
          <w:bCs/>
          <w:color w:val="000000" w:themeColor="text1"/>
          <w:u w:val="single"/>
        </w:rPr>
        <w:t xml:space="preserve">në Pjesën </w:t>
      </w:r>
      <w:r w:rsidRPr="00FF756A">
        <w:rPr>
          <w:b/>
          <w:bCs/>
          <w:color w:val="000000" w:themeColor="text1"/>
          <w:u w:val="single"/>
        </w:rPr>
        <w:t xml:space="preserve">B </w:t>
      </w:r>
      <w:r w:rsidR="000055CB" w:rsidRPr="00FF756A">
        <w:rPr>
          <w:b/>
          <w:bCs/>
          <w:color w:val="000000" w:themeColor="text1"/>
          <w:u w:val="single"/>
        </w:rPr>
        <w:t xml:space="preserve">Analitike të </w:t>
      </w:r>
      <w:r w:rsidRPr="00FF756A">
        <w:rPr>
          <w:b/>
          <w:bCs/>
          <w:color w:val="000000" w:themeColor="text1"/>
          <w:u w:val="single"/>
        </w:rPr>
        <w:t>PKEK</w:t>
      </w:r>
      <w:r w:rsidR="000055CB" w:rsidRPr="00FF756A">
        <w:rPr>
          <w:b/>
          <w:bCs/>
          <w:color w:val="000000" w:themeColor="text1"/>
          <w:u w:val="single"/>
        </w:rPr>
        <w:t>-së</w:t>
      </w:r>
    </w:p>
    <w:p w14:paraId="2BD142EB" w14:textId="77777777" w:rsidR="000055CB" w:rsidRPr="00FF756A" w:rsidRDefault="000055CB" w:rsidP="000055CB">
      <w:pPr>
        <w:rPr>
          <w:b/>
          <w:bCs/>
          <w:color w:val="000000" w:themeColor="text1"/>
          <w:u w:val="single"/>
        </w:rPr>
      </w:pPr>
    </w:p>
    <w:p w14:paraId="1600FBA1" w14:textId="77777777" w:rsidR="000055CB" w:rsidRPr="00FF756A" w:rsidRDefault="000055CB" w:rsidP="000055CB">
      <w:pPr>
        <w:rPr>
          <w:b/>
          <w:bCs/>
          <w:color w:val="000000" w:themeColor="text1"/>
        </w:rPr>
      </w:pPr>
      <w:r w:rsidRPr="00FF756A">
        <w:rPr>
          <w:b/>
          <w:bCs/>
          <w:color w:val="000000" w:themeColor="text1"/>
        </w:rPr>
        <w:t>Furnizimi me energji primare</w:t>
      </w:r>
    </w:p>
    <w:p w14:paraId="3EC20330" w14:textId="5B6B4B2B" w:rsidR="000055CB" w:rsidRPr="00FF756A" w:rsidRDefault="00913DEF" w:rsidP="000055CB">
      <w:pPr>
        <w:rPr>
          <w:color w:val="000000" w:themeColor="text1"/>
        </w:rPr>
      </w:pPr>
      <w:r w:rsidRPr="00FF756A">
        <w:rPr>
          <w:color w:val="000000" w:themeColor="text1"/>
        </w:rPr>
        <w:t>Teksa</w:t>
      </w:r>
      <w:r w:rsidR="000055CB" w:rsidRPr="00FF756A">
        <w:rPr>
          <w:color w:val="000000" w:themeColor="text1"/>
        </w:rPr>
        <w:t xml:space="preserve"> në skenarin WEM, konsumi </w:t>
      </w:r>
      <w:r w:rsidRPr="00FF756A">
        <w:rPr>
          <w:color w:val="000000" w:themeColor="text1"/>
        </w:rPr>
        <w:t>final</w:t>
      </w:r>
      <w:r w:rsidR="000055CB" w:rsidRPr="00FF756A">
        <w:rPr>
          <w:color w:val="000000" w:themeColor="text1"/>
        </w:rPr>
        <w:t xml:space="preserve"> i energjisë rritet (krahasuar me 2020) me 21.3% deri në vitin 2030 dhe 97.3% deri në vitin 2050, ai rritet vetëm me 14.8% deri në vitin 2030 dhe 48.5% deri në vitin 2050 në skenarin WAM. </w:t>
      </w:r>
      <w:r w:rsidR="00B812DF" w:rsidRPr="00FF756A">
        <w:rPr>
          <w:color w:val="000000" w:themeColor="text1"/>
        </w:rPr>
        <w:t>Nga ana tjetër</w:t>
      </w:r>
      <w:r w:rsidR="000055CB" w:rsidRPr="00FF756A">
        <w:rPr>
          <w:color w:val="000000" w:themeColor="text1"/>
        </w:rPr>
        <w:t>, konsumi në skenarin WAM zvogëlohet krahas</w:t>
      </w:r>
      <w:r w:rsidR="004868F9" w:rsidRPr="00FF756A">
        <w:rPr>
          <w:color w:val="000000" w:themeColor="text1"/>
        </w:rPr>
        <w:t xml:space="preserve">uar </w:t>
      </w:r>
      <w:r w:rsidR="000055CB" w:rsidRPr="00FF756A">
        <w:rPr>
          <w:color w:val="000000" w:themeColor="text1"/>
        </w:rPr>
        <w:t>me skenarin WEM me 6.4% në 2030 dhe 48.8% në 2050.</w:t>
      </w:r>
    </w:p>
    <w:p w14:paraId="34012F04" w14:textId="77777777" w:rsidR="000055CB" w:rsidRPr="00FF756A" w:rsidRDefault="000055CB" w:rsidP="000055CB">
      <w:pPr>
        <w:pStyle w:val="Caption"/>
        <w:rPr>
          <w:rFonts w:ascii="Times New Roman" w:hAnsi="Times New Roman"/>
          <w:color w:val="000000" w:themeColor="text1"/>
        </w:rPr>
      </w:pPr>
    </w:p>
    <w:tbl>
      <w:tblPr>
        <w:tblStyle w:val="TableGrid"/>
        <w:tblW w:w="0" w:type="auto"/>
        <w:tblLook w:val="04A0" w:firstRow="1" w:lastRow="0" w:firstColumn="1" w:lastColumn="0" w:noHBand="0" w:noVBand="1"/>
      </w:tblPr>
      <w:tblGrid>
        <w:gridCol w:w="3020"/>
        <w:gridCol w:w="1511"/>
        <w:gridCol w:w="1511"/>
        <w:gridCol w:w="1511"/>
        <w:gridCol w:w="1418"/>
      </w:tblGrid>
      <w:tr w:rsidR="000055CB" w:rsidRPr="00FF756A" w14:paraId="4A73C26E" w14:textId="77777777" w:rsidTr="000055CB">
        <w:trPr>
          <w:trHeight w:val="283"/>
        </w:trPr>
        <w:tc>
          <w:tcPr>
            <w:tcW w:w="3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C75797B" w14:textId="77777777" w:rsidR="000055CB" w:rsidRPr="00FF756A" w:rsidRDefault="000055CB">
            <w:pPr>
              <w:spacing w:before="0" w:after="0"/>
              <w:rPr>
                <w:color w:val="000000" w:themeColor="text1"/>
                <w:lang w:eastAsia="de-DE"/>
              </w:rPr>
            </w:pPr>
          </w:p>
        </w:tc>
        <w:tc>
          <w:tcPr>
            <w:tcW w:w="151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1C23309" w14:textId="77777777" w:rsidR="000055CB" w:rsidRPr="00FF756A" w:rsidRDefault="000055CB">
            <w:pPr>
              <w:spacing w:before="0" w:after="0"/>
              <w:rPr>
                <w:color w:val="000000" w:themeColor="text1"/>
                <w:lang w:eastAsia="de-DE"/>
              </w:rPr>
            </w:pPr>
            <w:r w:rsidRPr="00FF756A">
              <w:rPr>
                <w:color w:val="000000" w:themeColor="text1"/>
                <w:lang w:eastAsia="de-DE"/>
              </w:rPr>
              <w:t>WEM 2030</w:t>
            </w:r>
          </w:p>
        </w:tc>
        <w:tc>
          <w:tcPr>
            <w:tcW w:w="151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22CA176" w14:textId="77777777" w:rsidR="000055CB" w:rsidRPr="00FF756A" w:rsidRDefault="000055CB">
            <w:pPr>
              <w:spacing w:before="0" w:after="0"/>
              <w:rPr>
                <w:color w:val="000000" w:themeColor="text1"/>
                <w:lang w:eastAsia="de-DE"/>
              </w:rPr>
            </w:pPr>
            <w:r w:rsidRPr="00FF756A">
              <w:rPr>
                <w:color w:val="000000" w:themeColor="text1"/>
                <w:lang w:eastAsia="de-DE"/>
              </w:rPr>
              <w:t>WEM 2050</w:t>
            </w:r>
          </w:p>
        </w:tc>
        <w:tc>
          <w:tcPr>
            <w:tcW w:w="151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53AE065" w14:textId="77777777" w:rsidR="000055CB" w:rsidRPr="00FF756A" w:rsidRDefault="000055CB">
            <w:pPr>
              <w:spacing w:before="0" w:after="0"/>
              <w:rPr>
                <w:b/>
                <w:bCs/>
                <w:color w:val="000000" w:themeColor="text1"/>
                <w:lang w:eastAsia="de-DE"/>
              </w:rPr>
            </w:pPr>
            <w:r w:rsidRPr="00FF756A">
              <w:rPr>
                <w:b/>
                <w:bCs/>
                <w:color w:val="000000" w:themeColor="text1"/>
                <w:lang w:eastAsia="de-DE"/>
              </w:rPr>
              <w:t>WAM 2030</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EBF42D5" w14:textId="77777777" w:rsidR="000055CB" w:rsidRPr="00FF756A" w:rsidRDefault="000055CB">
            <w:pPr>
              <w:spacing w:before="0" w:after="0"/>
              <w:rPr>
                <w:color w:val="000000" w:themeColor="text1"/>
                <w:lang w:eastAsia="de-DE"/>
              </w:rPr>
            </w:pPr>
            <w:r w:rsidRPr="00FF756A">
              <w:rPr>
                <w:color w:val="000000" w:themeColor="text1"/>
                <w:lang w:eastAsia="de-DE"/>
              </w:rPr>
              <w:t>WAM 2050</w:t>
            </w:r>
          </w:p>
        </w:tc>
      </w:tr>
      <w:tr w:rsidR="000055CB" w:rsidRPr="00FF756A" w14:paraId="44CFF423" w14:textId="77777777" w:rsidTr="000055CB">
        <w:trPr>
          <w:trHeight w:val="283"/>
        </w:trPr>
        <w:tc>
          <w:tcPr>
            <w:tcW w:w="3020" w:type="dxa"/>
            <w:tcBorders>
              <w:top w:val="single" w:sz="4" w:space="0" w:color="auto"/>
              <w:left w:val="single" w:sz="4" w:space="0" w:color="auto"/>
              <w:bottom w:val="single" w:sz="4" w:space="0" w:color="auto"/>
              <w:right w:val="single" w:sz="4" w:space="0" w:color="auto"/>
            </w:tcBorders>
            <w:hideMark/>
          </w:tcPr>
          <w:p w14:paraId="55F6D771" w14:textId="77777777" w:rsidR="000055CB" w:rsidRPr="00FF756A" w:rsidRDefault="000055CB">
            <w:pPr>
              <w:spacing w:before="0" w:after="0"/>
              <w:rPr>
                <w:color w:val="000000" w:themeColor="text1"/>
                <w:lang w:eastAsia="de-DE"/>
              </w:rPr>
            </w:pPr>
            <w:r w:rsidRPr="00FF756A">
              <w:rPr>
                <w:color w:val="000000" w:themeColor="text1"/>
                <w:lang w:eastAsia="de-DE"/>
              </w:rPr>
              <w:t>Gjithsej [ ktoe ]</w:t>
            </w:r>
          </w:p>
        </w:tc>
        <w:tc>
          <w:tcPr>
            <w:tcW w:w="1511" w:type="dxa"/>
            <w:tcBorders>
              <w:top w:val="single" w:sz="4" w:space="0" w:color="auto"/>
              <w:left w:val="single" w:sz="4" w:space="0" w:color="auto"/>
              <w:bottom w:val="single" w:sz="4" w:space="0" w:color="auto"/>
              <w:right w:val="single" w:sz="4" w:space="0" w:color="auto"/>
            </w:tcBorders>
            <w:hideMark/>
          </w:tcPr>
          <w:p w14:paraId="79B3EFF3" w14:textId="77777777" w:rsidR="000055CB" w:rsidRPr="00FF756A" w:rsidRDefault="000055CB">
            <w:pPr>
              <w:spacing w:before="0" w:after="0"/>
              <w:rPr>
                <w:color w:val="000000" w:themeColor="text1"/>
                <w:lang w:eastAsia="de-DE"/>
              </w:rPr>
            </w:pPr>
            <w:r w:rsidRPr="00FF756A">
              <w:rPr>
                <w:color w:val="000000" w:themeColor="text1"/>
                <w:lang w:eastAsia="de-DE"/>
              </w:rPr>
              <w:t>2,570.5</w:t>
            </w:r>
          </w:p>
        </w:tc>
        <w:tc>
          <w:tcPr>
            <w:tcW w:w="1511" w:type="dxa"/>
            <w:tcBorders>
              <w:top w:val="single" w:sz="4" w:space="0" w:color="auto"/>
              <w:left w:val="single" w:sz="4" w:space="0" w:color="auto"/>
              <w:bottom w:val="single" w:sz="4" w:space="0" w:color="auto"/>
              <w:right w:val="single" w:sz="4" w:space="0" w:color="auto"/>
            </w:tcBorders>
            <w:hideMark/>
          </w:tcPr>
          <w:p w14:paraId="07093EAF" w14:textId="77777777" w:rsidR="000055CB" w:rsidRPr="00FF756A" w:rsidRDefault="000055CB">
            <w:pPr>
              <w:spacing w:before="0" w:after="0"/>
              <w:rPr>
                <w:color w:val="000000" w:themeColor="text1"/>
                <w:lang w:eastAsia="de-DE"/>
              </w:rPr>
            </w:pPr>
            <w:r w:rsidRPr="00FF756A">
              <w:rPr>
                <w:color w:val="000000" w:themeColor="text1"/>
                <w:lang w:eastAsia="de-DE"/>
              </w:rPr>
              <w:t>4,183.3</w:t>
            </w:r>
          </w:p>
        </w:tc>
        <w:tc>
          <w:tcPr>
            <w:tcW w:w="1511" w:type="dxa"/>
            <w:tcBorders>
              <w:top w:val="single" w:sz="4" w:space="0" w:color="auto"/>
              <w:left w:val="single" w:sz="4" w:space="0" w:color="auto"/>
              <w:bottom w:val="single" w:sz="4" w:space="0" w:color="auto"/>
              <w:right w:val="single" w:sz="4" w:space="0" w:color="auto"/>
            </w:tcBorders>
            <w:hideMark/>
          </w:tcPr>
          <w:p w14:paraId="08B6675D" w14:textId="77777777" w:rsidR="000055CB" w:rsidRPr="00FF756A" w:rsidRDefault="000055CB">
            <w:pPr>
              <w:spacing w:before="0" w:after="0"/>
              <w:rPr>
                <w:b/>
                <w:bCs/>
                <w:lang w:eastAsia="de-DE"/>
              </w:rPr>
            </w:pPr>
            <w:r w:rsidRPr="00FF756A">
              <w:rPr>
                <w:b/>
                <w:bCs/>
                <w:lang w:eastAsia="de-DE"/>
              </w:rPr>
              <w:t>2,435.0</w:t>
            </w:r>
          </w:p>
        </w:tc>
        <w:tc>
          <w:tcPr>
            <w:tcW w:w="1418" w:type="dxa"/>
            <w:tcBorders>
              <w:top w:val="single" w:sz="4" w:space="0" w:color="auto"/>
              <w:left w:val="single" w:sz="4" w:space="0" w:color="auto"/>
              <w:bottom w:val="single" w:sz="4" w:space="0" w:color="auto"/>
              <w:right w:val="single" w:sz="4" w:space="0" w:color="auto"/>
            </w:tcBorders>
            <w:hideMark/>
          </w:tcPr>
          <w:p w14:paraId="58A81F91" w14:textId="77777777" w:rsidR="000055CB" w:rsidRPr="00FF756A" w:rsidRDefault="000055CB">
            <w:pPr>
              <w:spacing w:before="0" w:after="0"/>
              <w:rPr>
                <w:lang w:eastAsia="de-DE"/>
              </w:rPr>
            </w:pPr>
            <w:r w:rsidRPr="00FF756A">
              <w:rPr>
                <w:lang w:eastAsia="de-DE"/>
              </w:rPr>
              <w:t>3,147.3</w:t>
            </w:r>
          </w:p>
        </w:tc>
      </w:tr>
      <w:tr w:rsidR="000055CB" w:rsidRPr="00FF756A" w14:paraId="17115F58" w14:textId="77777777" w:rsidTr="000055CB">
        <w:trPr>
          <w:trHeight w:val="283"/>
        </w:trPr>
        <w:tc>
          <w:tcPr>
            <w:tcW w:w="3020" w:type="dxa"/>
            <w:tcBorders>
              <w:top w:val="single" w:sz="4" w:space="0" w:color="auto"/>
              <w:left w:val="single" w:sz="4" w:space="0" w:color="auto"/>
              <w:bottom w:val="single" w:sz="4" w:space="0" w:color="auto"/>
              <w:right w:val="single" w:sz="4" w:space="0" w:color="auto"/>
            </w:tcBorders>
            <w:hideMark/>
          </w:tcPr>
          <w:p w14:paraId="78D5C338" w14:textId="77777777" w:rsidR="000055CB" w:rsidRPr="00FF756A" w:rsidRDefault="000055CB">
            <w:pPr>
              <w:spacing w:before="0" w:after="0"/>
              <w:rPr>
                <w:color w:val="000000" w:themeColor="text1"/>
                <w:lang w:eastAsia="de-DE"/>
              </w:rPr>
            </w:pPr>
            <w:r w:rsidRPr="00FF756A">
              <w:rPr>
                <w:color w:val="000000" w:themeColor="text1"/>
                <w:lang w:eastAsia="de-DE"/>
              </w:rPr>
              <w:t>Totali [Mtoe]</w:t>
            </w:r>
          </w:p>
        </w:tc>
        <w:tc>
          <w:tcPr>
            <w:tcW w:w="1511" w:type="dxa"/>
            <w:tcBorders>
              <w:top w:val="single" w:sz="4" w:space="0" w:color="auto"/>
              <w:left w:val="single" w:sz="4" w:space="0" w:color="auto"/>
              <w:bottom w:val="single" w:sz="4" w:space="0" w:color="auto"/>
              <w:right w:val="single" w:sz="4" w:space="0" w:color="auto"/>
            </w:tcBorders>
            <w:hideMark/>
          </w:tcPr>
          <w:p w14:paraId="3BAF39C0" w14:textId="77777777" w:rsidR="000055CB" w:rsidRPr="00FF756A" w:rsidRDefault="000055CB">
            <w:pPr>
              <w:spacing w:before="0" w:after="0"/>
              <w:rPr>
                <w:color w:val="000000" w:themeColor="text1"/>
                <w:lang w:eastAsia="de-DE"/>
              </w:rPr>
            </w:pPr>
            <w:r w:rsidRPr="00FF756A">
              <w:rPr>
                <w:color w:val="000000" w:themeColor="text1"/>
                <w:lang w:eastAsia="de-DE"/>
              </w:rPr>
              <w:t>2.57</w:t>
            </w:r>
          </w:p>
        </w:tc>
        <w:tc>
          <w:tcPr>
            <w:tcW w:w="1511" w:type="dxa"/>
            <w:tcBorders>
              <w:top w:val="single" w:sz="4" w:space="0" w:color="auto"/>
              <w:left w:val="single" w:sz="4" w:space="0" w:color="auto"/>
              <w:bottom w:val="single" w:sz="4" w:space="0" w:color="auto"/>
              <w:right w:val="single" w:sz="4" w:space="0" w:color="auto"/>
            </w:tcBorders>
            <w:hideMark/>
          </w:tcPr>
          <w:p w14:paraId="4C473EB6" w14:textId="77777777" w:rsidR="000055CB" w:rsidRPr="00FF756A" w:rsidRDefault="000055CB">
            <w:pPr>
              <w:spacing w:before="0" w:after="0"/>
              <w:rPr>
                <w:color w:val="000000" w:themeColor="text1"/>
                <w:lang w:eastAsia="de-DE"/>
              </w:rPr>
            </w:pPr>
            <w:r w:rsidRPr="00FF756A">
              <w:rPr>
                <w:color w:val="000000" w:themeColor="text1"/>
                <w:lang w:eastAsia="de-DE"/>
              </w:rPr>
              <w:t>4.18</w:t>
            </w:r>
          </w:p>
        </w:tc>
        <w:tc>
          <w:tcPr>
            <w:tcW w:w="1511" w:type="dxa"/>
            <w:tcBorders>
              <w:top w:val="single" w:sz="4" w:space="0" w:color="auto"/>
              <w:left w:val="single" w:sz="4" w:space="0" w:color="auto"/>
              <w:bottom w:val="single" w:sz="4" w:space="0" w:color="auto"/>
              <w:right w:val="single" w:sz="4" w:space="0" w:color="auto"/>
            </w:tcBorders>
            <w:hideMark/>
          </w:tcPr>
          <w:p w14:paraId="643D9C4A" w14:textId="77777777" w:rsidR="000055CB" w:rsidRPr="00FF756A" w:rsidRDefault="000055CB">
            <w:pPr>
              <w:spacing w:before="0" w:after="0"/>
              <w:rPr>
                <w:b/>
                <w:bCs/>
                <w:lang w:eastAsia="de-DE"/>
              </w:rPr>
            </w:pPr>
            <w:r w:rsidRPr="00FF756A">
              <w:rPr>
                <w:b/>
                <w:bCs/>
                <w:lang w:eastAsia="de-DE"/>
              </w:rPr>
              <w:t>2.43</w:t>
            </w:r>
          </w:p>
        </w:tc>
        <w:tc>
          <w:tcPr>
            <w:tcW w:w="1418" w:type="dxa"/>
            <w:tcBorders>
              <w:top w:val="single" w:sz="4" w:space="0" w:color="auto"/>
              <w:left w:val="single" w:sz="4" w:space="0" w:color="auto"/>
              <w:bottom w:val="single" w:sz="4" w:space="0" w:color="auto"/>
              <w:right w:val="single" w:sz="4" w:space="0" w:color="auto"/>
            </w:tcBorders>
            <w:hideMark/>
          </w:tcPr>
          <w:p w14:paraId="2AA1AA5C" w14:textId="77777777" w:rsidR="000055CB" w:rsidRPr="00FF756A" w:rsidRDefault="000055CB" w:rsidP="006939FE">
            <w:pPr>
              <w:keepNext/>
              <w:spacing w:before="0" w:after="0"/>
              <w:rPr>
                <w:lang w:eastAsia="de-DE"/>
              </w:rPr>
            </w:pPr>
            <w:r w:rsidRPr="00FF756A">
              <w:rPr>
                <w:lang w:eastAsia="de-DE"/>
              </w:rPr>
              <w:t>3.15</w:t>
            </w:r>
          </w:p>
        </w:tc>
      </w:tr>
    </w:tbl>
    <w:p w14:paraId="1E81D81F" w14:textId="03EC3BFE" w:rsidR="000055CB" w:rsidRPr="00FF756A" w:rsidRDefault="006939FE" w:rsidP="006939FE">
      <w:pPr>
        <w:pStyle w:val="Caption"/>
        <w:rPr>
          <w:rFonts w:ascii="Times New Roman" w:hAnsi="Times New Roman"/>
          <w:color w:val="000000" w:themeColor="text1"/>
        </w:rPr>
      </w:pPr>
      <w:bookmarkStart w:id="234" w:name="_Toc183016487"/>
      <w:bookmarkStart w:id="235" w:name="_Hlk77609279"/>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23</w:t>
      </w:r>
      <w:r w:rsidR="008E7DE9" w:rsidRPr="00FF756A">
        <w:rPr>
          <w:rFonts w:ascii="Times New Roman" w:hAnsi="Times New Roman"/>
          <w:noProof/>
        </w:rPr>
        <w:fldChar w:fldCharType="end"/>
      </w:r>
      <w:r w:rsidRPr="00FF756A">
        <w:rPr>
          <w:rFonts w:ascii="Times New Roman" w:hAnsi="Times New Roman"/>
        </w:rPr>
        <w:t>: Furnizimi me energji primare siç është parashikuar deri në vitin 2030 dhe 2050 për WEM dhe WAM</w:t>
      </w:r>
      <w:bookmarkEnd w:id="234"/>
    </w:p>
    <w:p w14:paraId="6CFF8F73" w14:textId="77777777" w:rsidR="006939FE" w:rsidRPr="00FF756A" w:rsidRDefault="006939FE" w:rsidP="000055CB">
      <w:pPr>
        <w:rPr>
          <w:b/>
          <w:bCs/>
          <w:color w:val="000000" w:themeColor="text1"/>
        </w:rPr>
      </w:pPr>
    </w:p>
    <w:p w14:paraId="764CCDE3" w14:textId="1A69EEEC" w:rsidR="000055CB" w:rsidRPr="00FF756A" w:rsidRDefault="000055CB" w:rsidP="000055CB">
      <w:pPr>
        <w:rPr>
          <w:b/>
          <w:bCs/>
          <w:color w:val="000000" w:themeColor="text1"/>
        </w:rPr>
      </w:pPr>
      <w:r w:rsidRPr="00FF756A">
        <w:rPr>
          <w:b/>
          <w:bCs/>
          <w:color w:val="000000" w:themeColor="text1"/>
        </w:rPr>
        <w:t>Konsumi final i energjisë</w:t>
      </w:r>
    </w:p>
    <w:bookmarkEnd w:id="235"/>
    <w:p w14:paraId="7B83793E" w14:textId="6E0E08A2" w:rsidR="000055CB" w:rsidRPr="00FF756A" w:rsidRDefault="00EC482D" w:rsidP="000055CB">
      <w:r w:rsidRPr="00FF756A">
        <w:t>N</w:t>
      </w:r>
      <w:r w:rsidR="000055CB" w:rsidRPr="00FF756A">
        <w:t xml:space="preserve">ë skenarin WEM, konsumi final i energjisë </w:t>
      </w:r>
      <w:r w:rsidRPr="00FF756A">
        <w:t>shënon rritje të konsiderueshme</w:t>
      </w:r>
      <w:r w:rsidR="00185EC8" w:rsidRPr="00FF756A">
        <w:t xml:space="preserve"> krahasuar me vitin</w:t>
      </w:r>
      <w:r w:rsidR="000055CB" w:rsidRPr="00FF756A">
        <w:t xml:space="preserve"> 2020</w:t>
      </w:r>
      <w:r w:rsidR="00185EC8" w:rsidRPr="00FF756A">
        <w:t>:</w:t>
      </w:r>
      <w:r w:rsidR="000055CB" w:rsidRPr="00FF756A">
        <w:t xml:space="preserve"> me 24.4% deri në 2030</w:t>
      </w:r>
      <w:r w:rsidR="00185EC8" w:rsidRPr="00FF756A">
        <w:t xml:space="preserve">; </w:t>
      </w:r>
      <w:r w:rsidR="000055CB" w:rsidRPr="00FF756A">
        <w:t xml:space="preserve"> 55.3% deri në 2040 dhe 101% në 2050</w:t>
      </w:r>
      <w:r w:rsidR="007F2349" w:rsidRPr="00FF756A">
        <w:t xml:space="preserve">. Ndërkohë, në skenarin WAM, rritja është më e moderuar: </w:t>
      </w:r>
      <w:r w:rsidR="000055CB" w:rsidRPr="00FF756A">
        <w:t>17.4% deri në vitin 2030</w:t>
      </w:r>
      <w:r w:rsidR="007F2349" w:rsidRPr="00FF756A">
        <w:t>;</w:t>
      </w:r>
      <w:r w:rsidR="000055CB" w:rsidRPr="00FF756A">
        <w:t xml:space="preserve"> 30% deri në 2040% dhe 43.</w:t>
      </w:r>
      <w:r w:rsidR="0001791E" w:rsidRPr="00FF756A">
        <w:t>8%</w:t>
      </w:r>
      <w:r w:rsidR="00F7420F" w:rsidRPr="00FF756A">
        <w:t xml:space="preserve"> në 2050</w:t>
      </w:r>
      <w:r w:rsidR="007F2349" w:rsidRPr="00FF756A">
        <w:t>.</w:t>
      </w:r>
      <w:r w:rsidR="000055CB" w:rsidRPr="00FF756A">
        <w:t xml:space="preserve"> </w:t>
      </w:r>
      <w:r w:rsidR="0001791E" w:rsidRPr="00FF756A">
        <w:t>Nga ana tjetër</w:t>
      </w:r>
      <w:r w:rsidR="000055CB" w:rsidRPr="00FF756A">
        <w:t>, konsumi final i energjisë në skenarin WAM zvogëlohet në krahasim me skenarin WEM me 6.9% në 2030, 25.3% në 2040 dhe 57.4% në 2050.</w:t>
      </w:r>
    </w:p>
    <w:p w14:paraId="7DCF426B" w14:textId="77777777" w:rsidR="000055CB" w:rsidRPr="00FF756A" w:rsidRDefault="000055CB" w:rsidP="000055CB">
      <w:pPr>
        <w:pStyle w:val="Caption"/>
        <w:rPr>
          <w:rFonts w:ascii="Times New Roman" w:hAnsi="Times New Roman"/>
          <w:color w:val="000000" w:themeColor="text1"/>
        </w:rPr>
      </w:pPr>
    </w:p>
    <w:tbl>
      <w:tblPr>
        <w:tblStyle w:val="TableGrid"/>
        <w:tblW w:w="0" w:type="auto"/>
        <w:tblLook w:val="04A0" w:firstRow="1" w:lastRow="0" w:firstColumn="1" w:lastColumn="0" w:noHBand="0" w:noVBand="1"/>
      </w:tblPr>
      <w:tblGrid>
        <w:gridCol w:w="3020"/>
        <w:gridCol w:w="1511"/>
        <w:gridCol w:w="1511"/>
        <w:gridCol w:w="1511"/>
        <w:gridCol w:w="1418"/>
      </w:tblGrid>
      <w:tr w:rsidR="000055CB" w:rsidRPr="00FF756A" w14:paraId="4A6B813F" w14:textId="77777777" w:rsidTr="000055CB">
        <w:trPr>
          <w:trHeight w:val="283"/>
        </w:trPr>
        <w:tc>
          <w:tcPr>
            <w:tcW w:w="3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3340FAA" w14:textId="77777777" w:rsidR="000055CB" w:rsidRPr="00FF756A" w:rsidRDefault="000055CB">
            <w:pPr>
              <w:spacing w:before="0" w:after="0"/>
              <w:rPr>
                <w:color w:val="000000" w:themeColor="text1"/>
                <w:lang w:eastAsia="de-DE"/>
              </w:rPr>
            </w:pPr>
            <w:r w:rsidRPr="00FF756A">
              <w:rPr>
                <w:color w:val="000000" w:themeColor="text1"/>
                <w:lang w:eastAsia="de-DE"/>
              </w:rPr>
              <w:t>Sektori</w:t>
            </w:r>
          </w:p>
        </w:tc>
        <w:tc>
          <w:tcPr>
            <w:tcW w:w="151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F49ABEC" w14:textId="77777777" w:rsidR="000055CB" w:rsidRPr="00FF756A" w:rsidRDefault="000055CB">
            <w:pPr>
              <w:spacing w:before="0" w:after="0"/>
              <w:rPr>
                <w:color w:val="000000" w:themeColor="text1"/>
                <w:lang w:eastAsia="de-DE"/>
              </w:rPr>
            </w:pPr>
            <w:r w:rsidRPr="00FF756A">
              <w:rPr>
                <w:color w:val="000000" w:themeColor="text1"/>
                <w:lang w:eastAsia="de-DE"/>
              </w:rPr>
              <w:t>WEM 2030</w:t>
            </w:r>
          </w:p>
        </w:tc>
        <w:tc>
          <w:tcPr>
            <w:tcW w:w="151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8555B4B" w14:textId="77777777" w:rsidR="000055CB" w:rsidRPr="00FF756A" w:rsidRDefault="000055CB">
            <w:pPr>
              <w:spacing w:before="0" w:after="0"/>
              <w:rPr>
                <w:color w:val="000000" w:themeColor="text1"/>
                <w:lang w:eastAsia="de-DE"/>
              </w:rPr>
            </w:pPr>
            <w:r w:rsidRPr="00FF756A">
              <w:rPr>
                <w:color w:val="000000" w:themeColor="text1"/>
                <w:lang w:eastAsia="de-DE"/>
              </w:rPr>
              <w:t>WEM 2050</w:t>
            </w:r>
          </w:p>
        </w:tc>
        <w:tc>
          <w:tcPr>
            <w:tcW w:w="151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D9C2EED" w14:textId="77777777" w:rsidR="000055CB" w:rsidRPr="00FF756A" w:rsidRDefault="000055CB">
            <w:pPr>
              <w:spacing w:before="0" w:after="0"/>
              <w:rPr>
                <w:b/>
                <w:bCs/>
                <w:color w:val="000000" w:themeColor="text1"/>
                <w:lang w:eastAsia="de-DE"/>
              </w:rPr>
            </w:pPr>
            <w:r w:rsidRPr="00FF756A">
              <w:rPr>
                <w:b/>
                <w:bCs/>
                <w:color w:val="000000" w:themeColor="text1"/>
                <w:lang w:eastAsia="de-DE"/>
              </w:rPr>
              <w:t>WAM 2030</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BC11C67" w14:textId="77777777" w:rsidR="000055CB" w:rsidRPr="00FF756A" w:rsidRDefault="000055CB">
            <w:pPr>
              <w:spacing w:before="0" w:after="0"/>
              <w:rPr>
                <w:color w:val="000000" w:themeColor="text1"/>
                <w:lang w:eastAsia="de-DE"/>
              </w:rPr>
            </w:pPr>
            <w:r w:rsidRPr="00FF756A">
              <w:rPr>
                <w:color w:val="000000" w:themeColor="text1"/>
                <w:lang w:eastAsia="de-DE"/>
              </w:rPr>
              <w:t>WAM 2050</w:t>
            </w:r>
          </w:p>
        </w:tc>
      </w:tr>
      <w:tr w:rsidR="000055CB" w:rsidRPr="00FF756A" w14:paraId="2FD93468" w14:textId="77777777" w:rsidTr="000055CB">
        <w:trPr>
          <w:trHeight w:val="283"/>
        </w:trPr>
        <w:tc>
          <w:tcPr>
            <w:tcW w:w="3020" w:type="dxa"/>
            <w:tcBorders>
              <w:top w:val="single" w:sz="4" w:space="0" w:color="auto"/>
              <w:left w:val="single" w:sz="4" w:space="0" w:color="auto"/>
              <w:bottom w:val="single" w:sz="4" w:space="0" w:color="auto"/>
              <w:right w:val="single" w:sz="4" w:space="0" w:color="auto"/>
            </w:tcBorders>
            <w:hideMark/>
          </w:tcPr>
          <w:p w14:paraId="194A21F5" w14:textId="77777777" w:rsidR="000055CB" w:rsidRPr="00FF756A" w:rsidRDefault="000055CB">
            <w:pPr>
              <w:spacing w:before="0" w:after="0"/>
              <w:rPr>
                <w:color w:val="000000" w:themeColor="text1"/>
                <w:lang w:eastAsia="de-DE"/>
              </w:rPr>
            </w:pPr>
            <w:r w:rsidRPr="00FF756A">
              <w:rPr>
                <w:color w:val="000000" w:themeColor="text1"/>
                <w:lang w:eastAsia="de-DE"/>
              </w:rPr>
              <w:t>Rezidenciale</w:t>
            </w:r>
          </w:p>
        </w:tc>
        <w:tc>
          <w:tcPr>
            <w:tcW w:w="1511" w:type="dxa"/>
            <w:tcBorders>
              <w:top w:val="single" w:sz="4" w:space="0" w:color="auto"/>
              <w:left w:val="single" w:sz="4" w:space="0" w:color="auto"/>
              <w:bottom w:val="single" w:sz="4" w:space="0" w:color="auto"/>
              <w:right w:val="single" w:sz="4" w:space="0" w:color="auto"/>
            </w:tcBorders>
            <w:hideMark/>
          </w:tcPr>
          <w:p w14:paraId="4C058633" w14:textId="77777777" w:rsidR="000055CB" w:rsidRPr="00FF756A" w:rsidRDefault="000055CB">
            <w:pPr>
              <w:spacing w:before="0" w:after="0"/>
              <w:rPr>
                <w:color w:val="000000" w:themeColor="text1"/>
                <w:lang w:eastAsia="de-DE"/>
              </w:rPr>
            </w:pPr>
            <w:r w:rsidRPr="00FF756A">
              <w:rPr>
                <w:color w:val="000000" w:themeColor="text1"/>
                <w:lang w:eastAsia="de-DE"/>
              </w:rPr>
              <w:t>481.5</w:t>
            </w:r>
          </w:p>
        </w:tc>
        <w:tc>
          <w:tcPr>
            <w:tcW w:w="1511" w:type="dxa"/>
            <w:tcBorders>
              <w:top w:val="single" w:sz="4" w:space="0" w:color="auto"/>
              <w:left w:val="single" w:sz="4" w:space="0" w:color="auto"/>
              <w:bottom w:val="single" w:sz="4" w:space="0" w:color="auto"/>
              <w:right w:val="single" w:sz="4" w:space="0" w:color="auto"/>
            </w:tcBorders>
            <w:hideMark/>
          </w:tcPr>
          <w:p w14:paraId="0AFA3656" w14:textId="77777777" w:rsidR="000055CB" w:rsidRPr="00FF756A" w:rsidRDefault="000055CB">
            <w:pPr>
              <w:spacing w:before="0" w:after="0"/>
              <w:rPr>
                <w:color w:val="000000" w:themeColor="text1"/>
                <w:lang w:eastAsia="de-DE"/>
              </w:rPr>
            </w:pPr>
            <w:r w:rsidRPr="00FF756A">
              <w:rPr>
                <w:color w:val="000000" w:themeColor="text1"/>
                <w:lang w:eastAsia="de-DE"/>
              </w:rPr>
              <w:t>579.2</w:t>
            </w:r>
          </w:p>
        </w:tc>
        <w:tc>
          <w:tcPr>
            <w:tcW w:w="1511" w:type="dxa"/>
            <w:tcBorders>
              <w:top w:val="single" w:sz="4" w:space="0" w:color="auto"/>
              <w:left w:val="single" w:sz="4" w:space="0" w:color="auto"/>
              <w:bottom w:val="single" w:sz="4" w:space="0" w:color="auto"/>
              <w:right w:val="single" w:sz="4" w:space="0" w:color="auto"/>
            </w:tcBorders>
            <w:hideMark/>
          </w:tcPr>
          <w:p w14:paraId="3C03329F" w14:textId="77777777" w:rsidR="000055CB" w:rsidRPr="00FF756A" w:rsidRDefault="000055CB">
            <w:pPr>
              <w:spacing w:before="0" w:after="0"/>
              <w:rPr>
                <w:b/>
                <w:bCs/>
                <w:color w:val="000000" w:themeColor="text1"/>
                <w:lang w:eastAsia="de-DE"/>
              </w:rPr>
            </w:pPr>
            <w:r w:rsidRPr="00FF756A">
              <w:rPr>
                <w:b/>
                <w:bCs/>
                <w:color w:val="000000" w:themeColor="text1"/>
                <w:lang w:eastAsia="de-DE"/>
              </w:rPr>
              <w:t xml:space="preserve">  453.4</w:t>
            </w:r>
          </w:p>
        </w:tc>
        <w:tc>
          <w:tcPr>
            <w:tcW w:w="1418" w:type="dxa"/>
            <w:tcBorders>
              <w:top w:val="single" w:sz="4" w:space="0" w:color="auto"/>
              <w:left w:val="single" w:sz="4" w:space="0" w:color="auto"/>
              <w:bottom w:val="single" w:sz="4" w:space="0" w:color="auto"/>
              <w:right w:val="single" w:sz="4" w:space="0" w:color="auto"/>
            </w:tcBorders>
            <w:hideMark/>
          </w:tcPr>
          <w:p w14:paraId="61B9CC23" w14:textId="77777777" w:rsidR="000055CB" w:rsidRPr="00FF756A" w:rsidRDefault="000055CB">
            <w:pPr>
              <w:spacing w:before="0" w:after="0"/>
              <w:rPr>
                <w:color w:val="000000" w:themeColor="text1"/>
                <w:lang w:eastAsia="de-DE"/>
              </w:rPr>
            </w:pPr>
            <w:r w:rsidRPr="00FF756A">
              <w:rPr>
                <w:color w:val="000000" w:themeColor="text1"/>
                <w:lang w:eastAsia="de-DE"/>
              </w:rPr>
              <w:t>483.4</w:t>
            </w:r>
          </w:p>
        </w:tc>
      </w:tr>
      <w:tr w:rsidR="000055CB" w:rsidRPr="00FF756A" w14:paraId="525909CE" w14:textId="77777777" w:rsidTr="000055CB">
        <w:trPr>
          <w:trHeight w:val="283"/>
        </w:trPr>
        <w:tc>
          <w:tcPr>
            <w:tcW w:w="3020" w:type="dxa"/>
            <w:tcBorders>
              <w:top w:val="single" w:sz="4" w:space="0" w:color="auto"/>
              <w:left w:val="single" w:sz="4" w:space="0" w:color="auto"/>
              <w:bottom w:val="single" w:sz="4" w:space="0" w:color="auto"/>
              <w:right w:val="single" w:sz="4" w:space="0" w:color="auto"/>
            </w:tcBorders>
            <w:hideMark/>
          </w:tcPr>
          <w:p w14:paraId="3ABC3D84" w14:textId="77777777" w:rsidR="000055CB" w:rsidRPr="00FF756A" w:rsidRDefault="000055CB">
            <w:pPr>
              <w:spacing w:before="0" w:after="0"/>
              <w:rPr>
                <w:color w:val="000000" w:themeColor="text1"/>
                <w:lang w:eastAsia="de-DE"/>
              </w:rPr>
            </w:pPr>
            <w:r w:rsidRPr="00FF756A">
              <w:rPr>
                <w:color w:val="000000" w:themeColor="text1"/>
                <w:lang w:eastAsia="de-DE"/>
              </w:rPr>
              <w:t>Shërbimet</w:t>
            </w:r>
          </w:p>
        </w:tc>
        <w:tc>
          <w:tcPr>
            <w:tcW w:w="1511" w:type="dxa"/>
            <w:tcBorders>
              <w:top w:val="single" w:sz="4" w:space="0" w:color="auto"/>
              <w:left w:val="single" w:sz="4" w:space="0" w:color="auto"/>
              <w:bottom w:val="single" w:sz="4" w:space="0" w:color="auto"/>
              <w:right w:val="single" w:sz="4" w:space="0" w:color="auto"/>
            </w:tcBorders>
            <w:hideMark/>
          </w:tcPr>
          <w:p w14:paraId="6290D295" w14:textId="77777777" w:rsidR="000055CB" w:rsidRPr="00FF756A" w:rsidRDefault="000055CB">
            <w:pPr>
              <w:spacing w:before="0" w:after="0"/>
              <w:rPr>
                <w:color w:val="000000" w:themeColor="text1"/>
                <w:lang w:eastAsia="de-DE"/>
              </w:rPr>
            </w:pPr>
            <w:r w:rsidRPr="00FF756A">
              <w:rPr>
                <w:color w:val="000000" w:themeColor="text1"/>
                <w:lang w:eastAsia="de-DE"/>
              </w:rPr>
              <w:t>288.4</w:t>
            </w:r>
          </w:p>
        </w:tc>
        <w:tc>
          <w:tcPr>
            <w:tcW w:w="1511" w:type="dxa"/>
            <w:tcBorders>
              <w:top w:val="single" w:sz="4" w:space="0" w:color="auto"/>
              <w:left w:val="single" w:sz="4" w:space="0" w:color="auto"/>
              <w:bottom w:val="single" w:sz="4" w:space="0" w:color="auto"/>
              <w:right w:val="single" w:sz="4" w:space="0" w:color="auto"/>
            </w:tcBorders>
            <w:hideMark/>
          </w:tcPr>
          <w:p w14:paraId="68EB91F7" w14:textId="77777777" w:rsidR="000055CB" w:rsidRPr="00FF756A" w:rsidRDefault="000055CB">
            <w:pPr>
              <w:spacing w:before="0" w:after="0"/>
              <w:rPr>
                <w:color w:val="000000" w:themeColor="text1"/>
                <w:lang w:eastAsia="de-DE"/>
              </w:rPr>
            </w:pPr>
            <w:r w:rsidRPr="00FF756A">
              <w:rPr>
                <w:color w:val="000000" w:themeColor="text1"/>
                <w:lang w:eastAsia="de-DE"/>
              </w:rPr>
              <w:t>458.2</w:t>
            </w:r>
          </w:p>
        </w:tc>
        <w:tc>
          <w:tcPr>
            <w:tcW w:w="1511" w:type="dxa"/>
            <w:tcBorders>
              <w:top w:val="single" w:sz="4" w:space="0" w:color="auto"/>
              <w:left w:val="single" w:sz="4" w:space="0" w:color="auto"/>
              <w:bottom w:val="single" w:sz="4" w:space="0" w:color="auto"/>
              <w:right w:val="single" w:sz="4" w:space="0" w:color="auto"/>
            </w:tcBorders>
            <w:hideMark/>
          </w:tcPr>
          <w:p w14:paraId="304BA9E4" w14:textId="77777777" w:rsidR="000055CB" w:rsidRPr="00FF756A" w:rsidRDefault="000055CB">
            <w:pPr>
              <w:spacing w:before="0" w:after="0"/>
              <w:rPr>
                <w:b/>
                <w:bCs/>
                <w:color w:val="000000" w:themeColor="text1"/>
                <w:lang w:eastAsia="de-DE"/>
              </w:rPr>
            </w:pPr>
            <w:r w:rsidRPr="00FF756A">
              <w:rPr>
                <w:b/>
                <w:bCs/>
                <w:color w:val="000000" w:themeColor="text1"/>
                <w:lang w:eastAsia="de-DE"/>
              </w:rPr>
              <w:t xml:space="preserve">  268.4</w:t>
            </w:r>
          </w:p>
        </w:tc>
        <w:tc>
          <w:tcPr>
            <w:tcW w:w="1418" w:type="dxa"/>
            <w:tcBorders>
              <w:top w:val="single" w:sz="4" w:space="0" w:color="auto"/>
              <w:left w:val="single" w:sz="4" w:space="0" w:color="auto"/>
              <w:bottom w:val="single" w:sz="4" w:space="0" w:color="auto"/>
              <w:right w:val="single" w:sz="4" w:space="0" w:color="auto"/>
            </w:tcBorders>
            <w:hideMark/>
          </w:tcPr>
          <w:p w14:paraId="61C15EA7" w14:textId="77777777" w:rsidR="000055CB" w:rsidRPr="00FF756A" w:rsidRDefault="000055CB">
            <w:pPr>
              <w:spacing w:before="0" w:after="0"/>
              <w:rPr>
                <w:color w:val="000000" w:themeColor="text1"/>
                <w:lang w:eastAsia="de-DE"/>
              </w:rPr>
            </w:pPr>
            <w:r w:rsidRPr="00FF756A">
              <w:rPr>
                <w:color w:val="000000" w:themeColor="text1"/>
                <w:lang w:eastAsia="de-DE"/>
              </w:rPr>
              <w:t>353.1</w:t>
            </w:r>
          </w:p>
        </w:tc>
      </w:tr>
      <w:tr w:rsidR="000055CB" w:rsidRPr="00FF756A" w14:paraId="2CE951BD" w14:textId="77777777" w:rsidTr="000055CB">
        <w:trPr>
          <w:trHeight w:val="283"/>
        </w:trPr>
        <w:tc>
          <w:tcPr>
            <w:tcW w:w="3020" w:type="dxa"/>
            <w:tcBorders>
              <w:top w:val="single" w:sz="4" w:space="0" w:color="auto"/>
              <w:left w:val="single" w:sz="4" w:space="0" w:color="auto"/>
              <w:bottom w:val="single" w:sz="4" w:space="0" w:color="auto"/>
              <w:right w:val="single" w:sz="4" w:space="0" w:color="auto"/>
            </w:tcBorders>
            <w:hideMark/>
          </w:tcPr>
          <w:p w14:paraId="3CD9F535" w14:textId="77777777" w:rsidR="000055CB" w:rsidRPr="00FF756A" w:rsidRDefault="000055CB">
            <w:pPr>
              <w:spacing w:before="0" w:after="0"/>
              <w:rPr>
                <w:color w:val="000000" w:themeColor="text1"/>
                <w:lang w:eastAsia="de-DE"/>
              </w:rPr>
            </w:pPr>
            <w:r w:rsidRPr="00FF756A">
              <w:rPr>
                <w:color w:val="000000" w:themeColor="text1"/>
                <w:lang w:eastAsia="de-DE"/>
              </w:rPr>
              <w:t>Industria</w:t>
            </w:r>
          </w:p>
        </w:tc>
        <w:tc>
          <w:tcPr>
            <w:tcW w:w="1511" w:type="dxa"/>
            <w:tcBorders>
              <w:top w:val="single" w:sz="4" w:space="0" w:color="auto"/>
              <w:left w:val="single" w:sz="4" w:space="0" w:color="auto"/>
              <w:bottom w:val="single" w:sz="4" w:space="0" w:color="auto"/>
              <w:right w:val="single" w:sz="4" w:space="0" w:color="auto"/>
            </w:tcBorders>
            <w:hideMark/>
          </w:tcPr>
          <w:p w14:paraId="10A0D623" w14:textId="77777777" w:rsidR="000055CB" w:rsidRPr="00FF756A" w:rsidRDefault="000055CB">
            <w:pPr>
              <w:spacing w:before="0" w:after="0"/>
              <w:rPr>
                <w:color w:val="000000" w:themeColor="text1"/>
                <w:lang w:eastAsia="de-DE"/>
              </w:rPr>
            </w:pPr>
            <w:r w:rsidRPr="00FF756A">
              <w:rPr>
                <w:color w:val="000000" w:themeColor="text1"/>
                <w:lang w:eastAsia="de-DE"/>
              </w:rPr>
              <w:t>551.6</w:t>
            </w:r>
          </w:p>
        </w:tc>
        <w:tc>
          <w:tcPr>
            <w:tcW w:w="1511" w:type="dxa"/>
            <w:tcBorders>
              <w:top w:val="single" w:sz="4" w:space="0" w:color="auto"/>
              <w:left w:val="single" w:sz="4" w:space="0" w:color="auto"/>
              <w:bottom w:val="single" w:sz="4" w:space="0" w:color="auto"/>
              <w:right w:val="single" w:sz="4" w:space="0" w:color="auto"/>
            </w:tcBorders>
            <w:hideMark/>
          </w:tcPr>
          <w:p w14:paraId="0543B511" w14:textId="77777777" w:rsidR="000055CB" w:rsidRPr="00FF756A" w:rsidRDefault="000055CB">
            <w:pPr>
              <w:spacing w:before="0" w:after="0"/>
              <w:rPr>
                <w:color w:val="000000" w:themeColor="text1"/>
                <w:lang w:eastAsia="de-DE"/>
              </w:rPr>
            </w:pPr>
            <w:r w:rsidRPr="00FF756A">
              <w:rPr>
                <w:color w:val="000000" w:themeColor="text1"/>
                <w:lang w:eastAsia="de-DE"/>
              </w:rPr>
              <w:t>1,036.0</w:t>
            </w:r>
          </w:p>
        </w:tc>
        <w:tc>
          <w:tcPr>
            <w:tcW w:w="1511" w:type="dxa"/>
            <w:tcBorders>
              <w:top w:val="single" w:sz="4" w:space="0" w:color="auto"/>
              <w:left w:val="single" w:sz="4" w:space="0" w:color="auto"/>
              <w:bottom w:val="single" w:sz="4" w:space="0" w:color="auto"/>
              <w:right w:val="single" w:sz="4" w:space="0" w:color="auto"/>
            </w:tcBorders>
            <w:hideMark/>
          </w:tcPr>
          <w:p w14:paraId="1185F112" w14:textId="77777777" w:rsidR="000055CB" w:rsidRPr="00FF756A" w:rsidRDefault="000055CB">
            <w:pPr>
              <w:spacing w:before="0" w:after="0"/>
              <w:rPr>
                <w:b/>
                <w:bCs/>
                <w:color w:val="000000" w:themeColor="text1"/>
                <w:lang w:eastAsia="de-DE"/>
              </w:rPr>
            </w:pPr>
            <w:r w:rsidRPr="00FF756A">
              <w:rPr>
                <w:b/>
                <w:bCs/>
                <w:color w:val="000000" w:themeColor="text1"/>
                <w:lang w:eastAsia="de-DE"/>
              </w:rPr>
              <w:t xml:space="preserve">  540.7</w:t>
            </w:r>
          </w:p>
        </w:tc>
        <w:tc>
          <w:tcPr>
            <w:tcW w:w="1418" w:type="dxa"/>
            <w:tcBorders>
              <w:top w:val="single" w:sz="4" w:space="0" w:color="auto"/>
              <w:left w:val="single" w:sz="4" w:space="0" w:color="auto"/>
              <w:bottom w:val="single" w:sz="4" w:space="0" w:color="auto"/>
              <w:right w:val="single" w:sz="4" w:space="0" w:color="auto"/>
            </w:tcBorders>
            <w:hideMark/>
          </w:tcPr>
          <w:p w14:paraId="5A7DF33D" w14:textId="77777777" w:rsidR="000055CB" w:rsidRPr="00FF756A" w:rsidRDefault="000055CB">
            <w:pPr>
              <w:spacing w:before="0" w:after="0"/>
              <w:rPr>
                <w:color w:val="000000" w:themeColor="text1"/>
                <w:lang w:eastAsia="de-DE"/>
              </w:rPr>
            </w:pPr>
            <w:r w:rsidRPr="00FF756A">
              <w:rPr>
                <w:color w:val="000000" w:themeColor="text1"/>
                <w:lang w:eastAsia="de-DE"/>
              </w:rPr>
              <w:t>956.1</w:t>
            </w:r>
          </w:p>
        </w:tc>
      </w:tr>
      <w:tr w:rsidR="000055CB" w:rsidRPr="00FF756A" w14:paraId="2B725F81" w14:textId="77777777" w:rsidTr="000055CB">
        <w:trPr>
          <w:trHeight w:val="283"/>
        </w:trPr>
        <w:tc>
          <w:tcPr>
            <w:tcW w:w="3020" w:type="dxa"/>
            <w:tcBorders>
              <w:top w:val="single" w:sz="4" w:space="0" w:color="auto"/>
              <w:left w:val="single" w:sz="4" w:space="0" w:color="auto"/>
              <w:bottom w:val="single" w:sz="4" w:space="0" w:color="auto"/>
              <w:right w:val="single" w:sz="4" w:space="0" w:color="auto"/>
            </w:tcBorders>
            <w:hideMark/>
          </w:tcPr>
          <w:p w14:paraId="0DF18CB1" w14:textId="77777777" w:rsidR="000055CB" w:rsidRPr="00FF756A" w:rsidRDefault="000055CB">
            <w:pPr>
              <w:spacing w:before="0" w:after="0"/>
              <w:rPr>
                <w:color w:val="000000" w:themeColor="text1"/>
                <w:lang w:eastAsia="de-DE"/>
              </w:rPr>
            </w:pPr>
            <w:r w:rsidRPr="00FF756A">
              <w:rPr>
                <w:color w:val="000000" w:themeColor="text1"/>
                <w:lang w:eastAsia="de-DE"/>
              </w:rPr>
              <w:t>Transporti</w:t>
            </w:r>
          </w:p>
        </w:tc>
        <w:tc>
          <w:tcPr>
            <w:tcW w:w="1511" w:type="dxa"/>
            <w:tcBorders>
              <w:top w:val="single" w:sz="4" w:space="0" w:color="auto"/>
              <w:left w:val="single" w:sz="4" w:space="0" w:color="auto"/>
              <w:bottom w:val="single" w:sz="4" w:space="0" w:color="auto"/>
              <w:right w:val="single" w:sz="4" w:space="0" w:color="auto"/>
            </w:tcBorders>
            <w:hideMark/>
          </w:tcPr>
          <w:p w14:paraId="06AF0B4A" w14:textId="77777777" w:rsidR="000055CB" w:rsidRPr="00FF756A" w:rsidRDefault="000055CB">
            <w:pPr>
              <w:spacing w:before="0" w:after="0"/>
              <w:rPr>
                <w:color w:val="000000" w:themeColor="text1"/>
                <w:lang w:eastAsia="de-DE"/>
              </w:rPr>
            </w:pPr>
            <w:r w:rsidRPr="00FF756A">
              <w:rPr>
                <w:color w:val="000000" w:themeColor="text1"/>
                <w:lang w:eastAsia="de-DE"/>
              </w:rPr>
              <w:t>842.1</w:t>
            </w:r>
          </w:p>
        </w:tc>
        <w:tc>
          <w:tcPr>
            <w:tcW w:w="1511" w:type="dxa"/>
            <w:tcBorders>
              <w:top w:val="single" w:sz="4" w:space="0" w:color="auto"/>
              <w:left w:val="single" w:sz="4" w:space="0" w:color="auto"/>
              <w:bottom w:val="single" w:sz="4" w:space="0" w:color="auto"/>
              <w:right w:val="single" w:sz="4" w:space="0" w:color="auto"/>
            </w:tcBorders>
            <w:hideMark/>
          </w:tcPr>
          <w:p w14:paraId="0450D713" w14:textId="77777777" w:rsidR="000055CB" w:rsidRPr="00FF756A" w:rsidRDefault="000055CB">
            <w:pPr>
              <w:spacing w:before="0" w:after="0"/>
              <w:rPr>
                <w:color w:val="000000" w:themeColor="text1"/>
                <w:lang w:eastAsia="de-DE"/>
              </w:rPr>
            </w:pPr>
            <w:r w:rsidRPr="00FF756A">
              <w:rPr>
                <w:color w:val="000000" w:themeColor="text1"/>
                <w:lang w:eastAsia="de-DE"/>
              </w:rPr>
              <w:t>1,374.6</w:t>
            </w:r>
          </w:p>
        </w:tc>
        <w:tc>
          <w:tcPr>
            <w:tcW w:w="1511" w:type="dxa"/>
            <w:tcBorders>
              <w:top w:val="single" w:sz="4" w:space="0" w:color="auto"/>
              <w:left w:val="single" w:sz="4" w:space="0" w:color="auto"/>
              <w:bottom w:val="single" w:sz="4" w:space="0" w:color="auto"/>
              <w:right w:val="single" w:sz="4" w:space="0" w:color="auto"/>
            </w:tcBorders>
            <w:hideMark/>
          </w:tcPr>
          <w:p w14:paraId="2C57A86E" w14:textId="77777777" w:rsidR="000055CB" w:rsidRPr="00FF756A" w:rsidRDefault="000055CB">
            <w:pPr>
              <w:spacing w:before="0" w:after="0"/>
              <w:rPr>
                <w:b/>
                <w:bCs/>
                <w:color w:val="000000" w:themeColor="text1"/>
                <w:lang w:eastAsia="de-DE"/>
              </w:rPr>
            </w:pPr>
            <w:r w:rsidRPr="00FF756A">
              <w:rPr>
                <w:b/>
                <w:bCs/>
                <w:color w:val="000000" w:themeColor="text1"/>
                <w:lang w:eastAsia="de-DE"/>
              </w:rPr>
              <w:t>769.7</w:t>
            </w:r>
          </w:p>
        </w:tc>
        <w:tc>
          <w:tcPr>
            <w:tcW w:w="1418" w:type="dxa"/>
            <w:tcBorders>
              <w:top w:val="single" w:sz="4" w:space="0" w:color="auto"/>
              <w:left w:val="single" w:sz="4" w:space="0" w:color="auto"/>
              <w:bottom w:val="single" w:sz="4" w:space="0" w:color="auto"/>
              <w:right w:val="single" w:sz="4" w:space="0" w:color="auto"/>
            </w:tcBorders>
            <w:hideMark/>
          </w:tcPr>
          <w:p w14:paraId="39E5441A" w14:textId="77777777" w:rsidR="000055CB" w:rsidRPr="00FF756A" w:rsidRDefault="000055CB">
            <w:pPr>
              <w:spacing w:before="0" w:after="0"/>
              <w:rPr>
                <w:color w:val="000000" w:themeColor="text1"/>
                <w:lang w:eastAsia="de-DE"/>
              </w:rPr>
            </w:pPr>
            <w:r w:rsidRPr="00FF756A">
              <w:rPr>
                <w:color w:val="000000" w:themeColor="text1"/>
                <w:lang w:eastAsia="de-DE"/>
              </w:rPr>
              <w:t>670.0</w:t>
            </w:r>
          </w:p>
        </w:tc>
      </w:tr>
      <w:tr w:rsidR="000055CB" w:rsidRPr="00FF756A" w14:paraId="0B32719A" w14:textId="77777777" w:rsidTr="000055CB">
        <w:trPr>
          <w:trHeight w:val="283"/>
        </w:trPr>
        <w:tc>
          <w:tcPr>
            <w:tcW w:w="3020" w:type="dxa"/>
            <w:tcBorders>
              <w:top w:val="single" w:sz="4" w:space="0" w:color="auto"/>
              <w:left w:val="single" w:sz="4" w:space="0" w:color="auto"/>
              <w:bottom w:val="single" w:sz="4" w:space="0" w:color="auto"/>
              <w:right w:val="single" w:sz="4" w:space="0" w:color="auto"/>
            </w:tcBorders>
            <w:hideMark/>
          </w:tcPr>
          <w:p w14:paraId="5DC6AB55" w14:textId="77777777" w:rsidR="000055CB" w:rsidRPr="00FF756A" w:rsidRDefault="000055CB">
            <w:pPr>
              <w:spacing w:before="0" w:after="0"/>
              <w:rPr>
                <w:color w:val="000000" w:themeColor="text1"/>
                <w:lang w:eastAsia="de-DE"/>
              </w:rPr>
            </w:pPr>
            <w:r w:rsidRPr="00FF756A">
              <w:rPr>
                <w:color w:val="000000" w:themeColor="text1"/>
                <w:lang w:eastAsia="de-DE"/>
              </w:rPr>
              <w:t>Pylltaria Bujqësore</w:t>
            </w:r>
          </w:p>
        </w:tc>
        <w:tc>
          <w:tcPr>
            <w:tcW w:w="1511" w:type="dxa"/>
            <w:tcBorders>
              <w:top w:val="single" w:sz="4" w:space="0" w:color="auto"/>
              <w:left w:val="single" w:sz="4" w:space="0" w:color="auto"/>
              <w:bottom w:val="single" w:sz="4" w:space="0" w:color="auto"/>
              <w:right w:val="single" w:sz="4" w:space="0" w:color="auto"/>
            </w:tcBorders>
            <w:hideMark/>
          </w:tcPr>
          <w:p w14:paraId="29A7C30F" w14:textId="77777777" w:rsidR="000055CB" w:rsidRPr="00FF756A" w:rsidRDefault="000055CB">
            <w:pPr>
              <w:spacing w:before="0" w:after="0"/>
              <w:rPr>
                <w:color w:val="000000" w:themeColor="text1"/>
                <w:lang w:eastAsia="de-DE"/>
              </w:rPr>
            </w:pPr>
            <w:r w:rsidRPr="00FF756A">
              <w:rPr>
                <w:color w:val="000000" w:themeColor="text1"/>
                <w:lang w:eastAsia="de-DE"/>
              </w:rPr>
              <w:t>96.7</w:t>
            </w:r>
          </w:p>
        </w:tc>
        <w:tc>
          <w:tcPr>
            <w:tcW w:w="1511" w:type="dxa"/>
            <w:tcBorders>
              <w:top w:val="single" w:sz="4" w:space="0" w:color="auto"/>
              <w:left w:val="single" w:sz="4" w:space="0" w:color="auto"/>
              <w:bottom w:val="single" w:sz="4" w:space="0" w:color="auto"/>
              <w:right w:val="single" w:sz="4" w:space="0" w:color="auto"/>
            </w:tcBorders>
            <w:hideMark/>
          </w:tcPr>
          <w:p w14:paraId="23F2CE7F" w14:textId="77777777" w:rsidR="000055CB" w:rsidRPr="00FF756A" w:rsidRDefault="000055CB">
            <w:pPr>
              <w:spacing w:before="0" w:after="0"/>
              <w:rPr>
                <w:color w:val="000000" w:themeColor="text1"/>
                <w:lang w:eastAsia="de-DE"/>
              </w:rPr>
            </w:pPr>
            <w:r w:rsidRPr="00FF756A">
              <w:rPr>
                <w:color w:val="000000" w:themeColor="text1"/>
                <w:lang w:eastAsia="de-DE"/>
              </w:rPr>
              <w:t>157.6</w:t>
            </w:r>
          </w:p>
        </w:tc>
        <w:tc>
          <w:tcPr>
            <w:tcW w:w="1511" w:type="dxa"/>
            <w:tcBorders>
              <w:top w:val="single" w:sz="4" w:space="0" w:color="auto"/>
              <w:left w:val="single" w:sz="4" w:space="0" w:color="auto"/>
              <w:bottom w:val="single" w:sz="4" w:space="0" w:color="auto"/>
              <w:right w:val="single" w:sz="4" w:space="0" w:color="auto"/>
            </w:tcBorders>
            <w:hideMark/>
          </w:tcPr>
          <w:p w14:paraId="34E8B2E2" w14:textId="77777777" w:rsidR="000055CB" w:rsidRPr="00FF756A" w:rsidRDefault="000055CB">
            <w:pPr>
              <w:spacing w:before="0" w:after="0"/>
              <w:rPr>
                <w:b/>
                <w:bCs/>
                <w:color w:val="000000" w:themeColor="text1"/>
                <w:lang w:eastAsia="de-DE"/>
              </w:rPr>
            </w:pPr>
            <w:r w:rsidRPr="00FF756A">
              <w:rPr>
                <w:b/>
                <w:bCs/>
                <w:color w:val="000000" w:themeColor="text1"/>
                <w:lang w:eastAsia="de-DE"/>
              </w:rPr>
              <w:t xml:space="preserve">    96.7</w:t>
            </w:r>
          </w:p>
        </w:tc>
        <w:tc>
          <w:tcPr>
            <w:tcW w:w="1418" w:type="dxa"/>
            <w:tcBorders>
              <w:top w:val="single" w:sz="4" w:space="0" w:color="auto"/>
              <w:left w:val="single" w:sz="4" w:space="0" w:color="auto"/>
              <w:bottom w:val="single" w:sz="4" w:space="0" w:color="auto"/>
              <w:right w:val="single" w:sz="4" w:space="0" w:color="auto"/>
            </w:tcBorders>
            <w:hideMark/>
          </w:tcPr>
          <w:p w14:paraId="5E234C49" w14:textId="77777777" w:rsidR="000055CB" w:rsidRPr="00FF756A" w:rsidRDefault="000055CB">
            <w:pPr>
              <w:spacing w:before="0" w:after="0"/>
              <w:rPr>
                <w:color w:val="000000" w:themeColor="text1"/>
                <w:lang w:eastAsia="de-DE"/>
              </w:rPr>
            </w:pPr>
            <w:r w:rsidRPr="00FF756A">
              <w:rPr>
                <w:color w:val="000000" w:themeColor="text1"/>
                <w:lang w:eastAsia="de-DE"/>
              </w:rPr>
              <w:t>104.6</w:t>
            </w:r>
          </w:p>
        </w:tc>
      </w:tr>
      <w:tr w:rsidR="000055CB" w:rsidRPr="00FF756A" w14:paraId="52DE5E66" w14:textId="77777777" w:rsidTr="000055CB">
        <w:trPr>
          <w:trHeight w:val="283"/>
        </w:trPr>
        <w:tc>
          <w:tcPr>
            <w:tcW w:w="3020" w:type="dxa"/>
            <w:tcBorders>
              <w:top w:val="single" w:sz="4" w:space="0" w:color="auto"/>
              <w:left w:val="single" w:sz="4" w:space="0" w:color="auto"/>
              <w:bottom w:val="single" w:sz="4" w:space="0" w:color="auto"/>
              <w:right w:val="single" w:sz="4" w:space="0" w:color="auto"/>
            </w:tcBorders>
            <w:hideMark/>
          </w:tcPr>
          <w:p w14:paraId="293CD5B2" w14:textId="2B6E2B75" w:rsidR="000055CB" w:rsidRPr="00FF756A" w:rsidRDefault="000055CB">
            <w:pPr>
              <w:spacing w:before="0" w:after="0"/>
              <w:rPr>
                <w:color w:val="000000" w:themeColor="text1"/>
                <w:lang w:eastAsia="de-DE"/>
              </w:rPr>
            </w:pPr>
            <w:r w:rsidRPr="00FF756A">
              <w:rPr>
                <w:color w:val="000000" w:themeColor="text1"/>
                <w:lang w:eastAsia="de-DE"/>
              </w:rPr>
              <w:t>Peshkimi</w:t>
            </w:r>
          </w:p>
        </w:tc>
        <w:tc>
          <w:tcPr>
            <w:tcW w:w="1511" w:type="dxa"/>
            <w:tcBorders>
              <w:top w:val="single" w:sz="4" w:space="0" w:color="auto"/>
              <w:left w:val="single" w:sz="4" w:space="0" w:color="auto"/>
              <w:bottom w:val="single" w:sz="4" w:space="0" w:color="auto"/>
              <w:right w:val="single" w:sz="4" w:space="0" w:color="auto"/>
            </w:tcBorders>
            <w:hideMark/>
          </w:tcPr>
          <w:p w14:paraId="1DDEE2B6" w14:textId="77777777" w:rsidR="000055CB" w:rsidRPr="00FF756A" w:rsidRDefault="000055CB">
            <w:pPr>
              <w:spacing w:before="0" w:after="0"/>
              <w:rPr>
                <w:color w:val="000000" w:themeColor="text1"/>
                <w:lang w:eastAsia="de-DE"/>
              </w:rPr>
            </w:pPr>
            <w:r w:rsidRPr="00FF756A">
              <w:rPr>
                <w:color w:val="000000" w:themeColor="text1"/>
                <w:lang w:eastAsia="de-DE"/>
              </w:rPr>
              <w:t>60.4</w:t>
            </w:r>
          </w:p>
        </w:tc>
        <w:tc>
          <w:tcPr>
            <w:tcW w:w="1511" w:type="dxa"/>
            <w:tcBorders>
              <w:top w:val="single" w:sz="4" w:space="0" w:color="auto"/>
              <w:left w:val="single" w:sz="4" w:space="0" w:color="auto"/>
              <w:bottom w:val="single" w:sz="4" w:space="0" w:color="auto"/>
              <w:right w:val="single" w:sz="4" w:space="0" w:color="auto"/>
            </w:tcBorders>
            <w:hideMark/>
          </w:tcPr>
          <w:p w14:paraId="0AAC19D1" w14:textId="77777777" w:rsidR="000055CB" w:rsidRPr="00FF756A" w:rsidRDefault="000055CB">
            <w:pPr>
              <w:spacing w:before="0" w:after="0"/>
              <w:rPr>
                <w:color w:val="000000" w:themeColor="text1"/>
                <w:lang w:eastAsia="de-DE"/>
              </w:rPr>
            </w:pPr>
            <w:r w:rsidRPr="00FF756A">
              <w:rPr>
                <w:color w:val="000000" w:themeColor="text1"/>
                <w:lang w:eastAsia="de-DE"/>
              </w:rPr>
              <w:t>152.7</w:t>
            </w:r>
          </w:p>
        </w:tc>
        <w:tc>
          <w:tcPr>
            <w:tcW w:w="1511" w:type="dxa"/>
            <w:tcBorders>
              <w:top w:val="single" w:sz="4" w:space="0" w:color="auto"/>
              <w:left w:val="single" w:sz="4" w:space="0" w:color="auto"/>
              <w:bottom w:val="single" w:sz="4" w:space="0" w:color="auto"/>
              <w:right w:val="single" w:sz="4" w:space="0" w:color="auto"/>
            </w:tcBorders>
            <w:hideMark/>
          </w:tcPr>
          <w:p w14:paraId="07671529" w14:textId="77777777" w:rsidR="000055CB" w:rsidRPr="00FF756A" w:rsidRDefault="000055CB">
            <w:pPr>
              <w:spacing w:before="0" w:after="0"/>
              <w:rPr>
                <w:b/>
                <w:bCs/>
                <w:color w:val="000000" w:themeColor="text1"/>
                <w:lang w:eastAsia="de-DE"/>
              </w:rPr>
            </w:pPr>
            <w:r w:rsidRPr="00FF756A">
              <w:rPr>
                <w:b/>
                <w:bCs/>
                <w:color w:val="000000" w:themeColor="text1"/>
                <w:lang w:eastAsia="de-DE"/>
              </w:rPr>
              <w:t xml:space="preserve">    60.4</w:t>
            </w:r>
          </w:p>
        </w:tc>
        <w:tc>
          <w:tcPr>
            <w:tcW w:w="1418" w:type="dxa"/>
            <w:tcBorders>
              <w:top w:val="single" w:sz="4" w:space="0" w:color="auto"/>
              <w:left w:val="single" w:sz="4" w:space="0" w:color="auto"/>
              <w:bottom w:val="single" w:sz="4" w:space="0" w:color="auto"/>
              <w:right w:val="single" w:sz="4" w:space="0" w:color="auto"/>
            </w:tcBorders>
            <w:hideMark/>
          </w:tcPr>
          <w:p w14:paraId="18A37C25" w14:textId="77777777" w:rsidR="000055CB" w:rsidRPr="00FF756A" w:rsidRDefault="000055CB">
            <w:pPr>
              <w:spacing w:before="0" w:after="0"/>
              <w:rPr>
                <w:color w:val="000000" w:themeColor="text1"/>
                <w:lang w:eastAsia="de-DE"/>
              </w:rPr>
            </w:pPr>
            <w:r w:rsidRPr="00FF756A">
              <w:rPr>
                <w:color w:val="000000" w:themeColor="text1"/>
                <w:lang w:eastAsia="de-DE"/>
              </w:rPr>
              <w:t>101.3</w:t>
            </w:r>
          </w:p>
        </w:tc>
      </w:tr>
      <w:tr w:rsidR="000055CB" w:rsidRPr="00FF756A" w14:paraId="1191715B" w14:textId="77777777" w:rsidTr="000055CB">
        <w:trPr>
          <w:trHeight w:val="283"/>
        </w:trPr>
        <w:tc>
          <w:tcPr>
            <w:tcW w:w="3020" w:type="dxa"/>
            <w:tcBorders>
              <w:top w:val="single" w:sz="4" w:space="0" w:color="auto"/>
              <w:left w:val="single" w:sz="4" w:space="0" w:color="auto"/>
              <w:bottom w:val="single" w:sz="4" w:space="0" w:color="auto"/>
              <w:right w:val="single" w:sz="4" w:space="0" w:color="auto"/>
            </w:tcBorders>
            <w:hideMark/>
          </w:tcPr>
          <w:p w14:paraId="37D8496B" w14:textId="77777777" w:rsidR="000055CB" w:rsidRPr="00FF756A" w:rsidRDefault="000055CB">
            <w:pPr>
              <w:spacing w:before="0" w:after="0"/>
              <w:rPr>
                <w:color w:val="000000" w:themeColor="text1"/>
                <w:lang w:eastAsia="de-DE"/>
              </w:rPr>
            </w:pPr>
            <w:r w:rsidRPr="00FF756A">
              <w:rPr>
                <w:color w:val="000000" w:themeColor="text1"/>
                <w:lang w:eastAsia="de-DE"/>
              </w:rPr>
              <w:t>Jo energji</w:t>
            </w:r>
            <w:r w:rsidRPr="00FF756A">
              <w:rPr>
                <w:color w:val="000000" w:themeColor="text1"/>
                <w:lang w:eastAsia="de-DE"/>
              </w:rPr>
              <w:tab/>
            </w:r>
          </w:p>
        </w:tc>
        <w:tc>
          <w:tcPr>
            <w:tcW w:w="1511" w:type="dxa"/>
            <w:tcBorders>
              <w:top w:val="single" w:sz="4" w:space="0" w:color="auto"/>
              <w:left w:val="single" w:sz="4" w:space="0" w:color="auto"/>
              <w:bottom w:val="single" w:sz="4" w:space="0" w:color="auto"/>
              <w:right w:val="single" w:sz="4" w:space="0" w:color="auto"/>
            </w:tcBorders>
            <w:hideMark/>
          </w:tcPr>
          <w:p w14:paraId="7F8569F4" w14:textId="77777777" w:rsidR="000055CB" w:rsidRPr="00FF756A" w:rsidRDefault="000055CB">
            <w:pPr>
              <w:spacing w:before="0" w:after="0"/>
              <w:rPr>
                <w:color w:val="000000" w:themeColor="text1"/>
                <w:lang w:eastAsia="de-DE"/>
              </w:rPr>
            </w:pPr>
            <w:r w:rsidRPr="00FF756A">
              <w:rPr>
                <w:color w:val="000000" w:themeColor="text1"/>
                <w:lang w:eastAsia="de-DE"/>
              </w:rPr>
              <w:t>62.4</w:t>
            </w:r>
          </w:p>
        </w:tc>
        <w:tc>
          <w:tcPr>
            <w:tcW w:w="1511" w:type="dxa"/>
            <w:tcBorders>
              <w:top w:val="single" w:sz="4" w:space="0" w:color="auto"/>
              <w:left w:val="single" w:sz="4" w:space="0" w:color="auto"/>
              <w:bottom w:val="single" w:sz="4" w:space="0" w:color="auto"/>
              <w:right w:val="single" w:sz="4" w:space="0" w:color="auto"/>
            </w:tcBorders>
            <w:hideMark/>
          </w:tcPr>
          <w:p w14:paraId="3C3EBEE9" w14:textId="77777777" w:rsidR="000055CB" w:rsidRPr="00FF756A" w:rsidRDefault="000055CB">
            <w:pPr>
              <w:spacing w:before="0" w:after="0"/>
              <w:rPr>
                <w:color w:val="000000" w:themeColor="text1"/>
                <w:lang w:eastAsia="de-DE"/>
              </w:rPr>
            </w:pPr>
            <w:r w:rsidRPr="00FF756A">
              <w:rPr>
                <w:color w:val="000000" w:themeColor="text1"/>
                <w:lang w:eastAsia="de-DE"/>
              </w:rPr>
              <w:t>97.2</w:t>
            </w:r>
          </w:p>
        </w:tc>
        <w:tc>
          <w:tcPr>
            <w:tcW w:w="1511" w:type="dxa"/>
            <w:tcBorders>
              <w:top w:val="single" w:sz="4" w:space="0" w:color="auto"/>
              <w:left w:val="single" w:sz="4" w:space="0" w:color="auto"/>
              <w:bottom w:val="single" w:sz="4" w:space="0" w:color="auto"/>
              <w:right w:val="single" w:sz="4" w:space="0" w:color="auto"/>
            </w:tcBorders>
            <w:hideMark/>
          </w:tcPr>
          <w:p w14:paraId="4E2EC17E" w14:textId="77777777" w:rsidR="000055CB" w:rsidRPr="00FF756A" w:rsidRDefault="000055CB">
            <w:pPr>
              <w:spacing w:before="0" w:after="0"/>
              <w:rPr>
                <w:b/>
                <w:bCs/>
                <w:color w:val="000000" w:themeColor="text1"/>
                <w:lang w:eastAsia="de-DE"/>
              </w:rPr>
            </w:pPr>
            <w:r w:rsidRPr="00FF756A">
              <w:rPr>
                <w:b/>
                <w:bCs/>
                <w:color w:val="000000" w:themeColor="text1"/>
                <w:lang w:eastAsia="de-DE"/>
              </w:rPr>
              <w:t xml:space="preserve">    61.4</w:t>
            </w:r>
          </w:p>
        </w:tc>
        <w:tc>
          <w:tcPr>
            <w:tcW w:w="1418" w:type="dxa"/>
            <w:tcBorders>
              <w:top w:val="single" w:sz="4" w:space="0" w:color="auto"/>
              <w:left w:val="single" w:sz="4" w:space="0" w:color="auto"/>
              <w:bottom w:val="single" w:sz="4" w:space="0" w:color="auto"/>
              <w:right w:val="single" w:sz="4" w:space="0" w:color="auto"/>
            </w:tcBorders>
            <w:hideMark/>
          </w:tcPr>
          <w:p w14:paraId="72C1D83C" w14:textId="77777777" w:rsidR="000055CB" w:rsidRPr="00FF756A" w:rsidRDefault="000055CB">
            <w:pPr>
              <w:spacing w:before="0" w:after="0"/>
              <w:rPr>
                <w:color w:val="000000" w:themeColor="text1"/>
                <w:lang w:eastAsia="de-DE"/>
              </w:rPr>
            </w:pPr>
            <w:r w:rsidRPr="00FF756A">
              <w:rPr>
                <w:color w:val="000000" w:themeColor="text1"/>
                <w:lang w:eastAsia="de-DE"/>
              </w:rPr>
              <w:t>86.9</w:t>
            </w:r>
          </w:p>
        </w:tc>
      </w:tr>
      <w:tr w:rsidR="000055CB" w:rsidRPr="00FF756A" w14:paraId="5A474793" w14:textId="77777777" w:rsidTr="000055CB">
        <w:trPr>
          <w:trHeight w:val="283"/>
        </w:trPr>
        <w:tc>
          <w:tcPr>
            <w:tcW w:w="3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3B677C5" w14:textId="77777777" w:rsidR="000055CB" w:rsidRPr="00FF756A" w:rsidRDefault="000055CB">
            <w:pPr>
              <w:spacing w:before="0" w:after="0"/>
              <w:rPr>
                <w:color w:val="000000" w:themeColor="text1"/>
                <w:lang w:eastAsia="de-DE"/>
              </w:rPr>
            </w:pPr>
            <w:r w:rsidRPr="00FF756A">
              <w:rPr>
                <w:lang w:eastAsia="de-DE"/>
              </w:rPr>
              <w:t xml:space="preserve">Gjithsej </w:t>
            </w:r>
            <w:r w:rsidRPr="00FF756A">
              <w:rPr>
                <w:color w:val="000000" w:themeColor="text1"/>
                <w:lang w:eastAsia="de-DE"/>
              </w:rPr>
              <w:t>[ ktoe ]</w:t>
            </w:r>
          </w:p>
        </w:tc>
        <w:tc>
          <w:tcPr>
            <w:tcW w:w="151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A1D6D86" w14:textId="77777777" w:rsidR="000055CB" w:rsidRPr="00FF756A" w:rsidRDefault="000055CB">
            <w:pPr>
              <w:spacing w:before="0" w:after="0"/>
              <w:rPr>
                <w:color w:val="000000" w:themeColor="text1"/>
                <w:lang w:eastAsia="de-DE"/>
              </w:rPr>
            </w:pPr>
            <w:r w:rsidRPr="00FF756A">
              <w:rPr>
                <w:color w:val="000000" w:themeColor="text1"/>
                <w:lang w:eastAsia="de-DE"/>
              </w:rPr>
              <w:t>2,383.0</w:t>
            </w:r>
          </w:p>
        </w:tc>
        <w:tc>
          <w:tcPr>
            <w:tcW w:w="151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5FF86EC" w14:textId="77777777" w:rsidR="000055CB" w:rsidRPr="00FF756A" w:rsidRDefault="000055CB">
            <w:pPr>
              <w:spacing w:before="0" w:after="0"/>
              <w:rPr>
                <w:color w:val="000000" w:themeColor="text1"/>
                <w:lang w:eastAsia="de-DE"/>
              </w:rPr>
            </w:pPr>
            <w:r w:rsidRPr="00FF756A">
              <w:rPr>
                <w:color w:val="000000" w:themeColor="text1"/>
                <w:lang w:eastAsia="de-DE"/>
              </w:rPr>
              <w:t>3,855.4</w:t>
            </w:r>
          </w:p>
        </w:tc>
        <w:tc>
          <w:tcPr>
            <w:tcW w:w="151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6E7CC06" w14:textId="77777777" w:rsidR="000055CB" w:rsidRPr="00FF756A" w:rsidRDefault="000055CB">
            <w:pPr>
              <w:spacing w:before="0" w:after="0"/>
              <w:rPr>
                <w:b/>
                <w:bCs/>
                <w:color w:val="000000" w:themeColor="text1"/>
                <w:lang w:eastAsia="de-DE"/>
              </w:rPr>
            </w:pPr>
            <w:r w:rsidRPr="00FF756A">
              <w:rPr>
                <w:b/>
                <w:bCs/>
                <w:color w:val="000000" w:themeColor="text1"/>
                <w:lang w:eastAsia="de-DE"/>
              </w:rPr>
              <w:t>2,250.6</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58AD62D" w14:textId="77777777" w:rsidR="000055CB" w:rsidRPr="00FF756A" w:rsidRDefault="000055CB">
            <w:pPr>
              <w:spacing w:before="0" w:after="0"/>
              <w:rPr>
                <w:color w:val="000000" w:themeColor="text1"/>
                <w:lang w:eastAsia="de-DE"/>
              </w:rPr>
            </w:pPr>
            <w:r w:rsidRPr="00FF756A">
              <w:rPr>
                <w:color w:val="000000" w:themeColor="text1"/>
                <w:lang w:eastAsia="de-DE"/>
              </w:rPr>
              <w:t>2755.3</w:t>
            </w:r>
          </w:p>
        </w:tc>
      </w:tr>
      <w:tr w:rsidR="000055CB" w:rsidRPr="00FF756A" w14:paraId="3F8BB538" w14:textId="77777777" w:rsidTr="000055CB">
        <w:trPr>
          <w:trHeight w:val="283"/>
        </w:trPr>
        <w:tc>
          <w:tcPr>
            <w:tcW w:w="3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B91BA53" w14:textId="77777777" w:rsidR="000055CB" w:rsidRPr="00FF756A" w:rsidRDefault="000055CB">
            <w:pPr>
              <w:spacing w:before="0" w:after="0"/>
              <w:rPr>
                <w:color w:val="000000" w:themeColor="text1"/>
                <w:lang w:eastAsia="de-DE"/>
              </w:rPr>
            </w:pPr>
            <w:r w:rsidRPr="00FF756A">
              <w:rPr>
                <w:lang w:eastAsia="de-DE"/>
              </w:rPr>
              <w:t>Totali [Mtoe]</w:t>
            </w:r>
          </w:p>
        </w:tc>
        <w:tc>
          <w:tcPr>
            <w:tcW w:w="151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0A5FFE2" w14:textId="77777777" w:rsidR="000055CB" w:rsidRPr="00FF756A" w:rsidRDefault="000055CB">
            <w:pPr>
              <w:spacing w:before="0" w:after="0"/>
              <w:rPr>
                <w:color w:val="000000" w:themeColor="text1"/>
                <w:lang w:eastAsia="de-DE"/>
              </w:rPr>
            </w:pPr>
            <w:r w:rsidRPr="00FF756A">
              <w:rPr>
                <w:color w:val="000000" w:themeColor="text1"/>
                <w:lang w:eastAsia="de-DE"/>
              </w:rPr>
              <w:t>2.38</w:t>
            </w:r>
          </w:p>
        </w:tc>
        <w:tc>
          <w:tcPr>
            <w:tcW w:w="151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B565327" w14:textId="77777777" w:rsidR="000055CB" w:rsidRPr="00FF756A" w:rsidRDefault="000055CB">
            <w:pPr>
              <w:spacing w:before="0" w:after="0"/>
              <w:rPr>
                <w:color w:val="000000" w:themeColor="text1"/>
                <w:lang w:eastAsia="de-DE"/>
              </w:rPr>
            </w:pPr>
            <w:r w:rsidRPr="00FF756A">
              <w:rPr>
                <w:color w:val="000000" w:themeColor="text1"/>
                <w:lang w:eastAsia="de-DE"/>
              </w:rPr>
              <w:t>3.86</w:t>
            </w:r>
          </w:p>
        </w:tc>
        <w:tc>
          <w:tcPr>
            <w:tcW w:w="151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9C0AEAC" w14:textId="77777777" w:rsidR="000055CB" w:rsidRPr="00FF756A" w:rsidRDefault="000055CB">
            <w:pPr>
              <w:spacing w:before="0" w:after="0"/>
              <w:rPr>
                <w:b/>
                <w:bCs/>
                <w:color w:val="000000" w:themeColor="text1"/>
                <w:lang w:eastAsia="de-DE"/>
              </w:rPr>
            </w:pPr>
            <w:r w:rsidRPr="00FF756A">
              <w:rPr>
                <w:b/>
                <w:bCs/>
                <w:color w:val="000000" w:themeColor="text1"/>
                <w:lang w:eastAsia="de-DE"/>
              </w:rPr>
              <w:t>2.25</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FF9DC78" w14:textId="77777777" w:rsidR="000055CB" w:rsidRPr="00FF756A" w:rsidRDefault="000055CB" w:rsidP="006939FE">
            <w:pPr>
              <w:keepNext/>
              <w:spacing w:before="0" w:after="0"/>
              <w:rPr>
                <w:color w:val="000000" w:themeColor="text1"/>
                <w:lang w:eastAsia="de-DE"/>
              </w:rPr>
            </w:pPr>
            <w:r w:rsidRPr="00FF756A">
              <w:rPr>
                <w:color w:val="000000" w:themeColor="text1"/>
                <w:lang w:eastAsia="de-DE"/>
              </w:rPr>
              <w:t>2.76</w:t>
            </w:r>
          </w:p>
        </w:tc>
      </w:tr>
    </w:tbl>
    <w:p w14:paraId="2E59F3D9" w14:textId="3C86040A" w:rsidR="000055CB" w:rsidRPr="00FF756A" w:rsidRDefault="006939FE" w:rsidP="006939FE">
      <w:pPr>
        <w:pStyle w:val="Caption"/>
        <w:rPr>
          <w:rFonts w:ascii="Times New Roman" w:hAnsi="Times New Roman"/>
          <w:color w:val="auto"/>
        </w:rPr>
      </w:pPr>
      <w:bookmarkStart w:id="236" w:name="_Toc183016488"/>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24</w:t>
      </w:r>
      <w:r w:rsidR="008E7DE9" w:rsidRPr="00FF756A">
        <w:rPr>
          <w:rFonts w:ascii="Times New Roman" w:hAnsi="Times New Roman"/>
          <w:noProof/>
        </w:rPr>
        <w:fldChar w:fldCharType="end"/>
      </w:r>
      <w:r w:rsidRPr="00FF756A">
        <w:rPr>
          <w:rFonts w:ascii="Times New Roman" w:hAnsi="Times New Roman"/>
        </w:rPr>
        <w:t>: Konsumi final i energjisë siç është parashikuar me masat ekzistuese dhe shtesë për skenarë të ndryshëm</w:t>
      </w:r>
      <w:bookmarkEnd w:id="236"/>
    </w:p>
    <w:p w14:paraId="673DE8C2" w14:textId="77777777" w:rsidR="00FF1BDC" w:rsidRPr="00FF756A" w:rsidRDefault="00FF1BDC" w:rsidP="00FF1BDC">
      <w:pPr>
        <w:pStyle w:val="Text1"/>
        <w:ind w:left="0"/>
        <w:rPr>
          <w:sz w:val="22"/>
          <w:szCs w:val="22"/>
        </w:rPr>
      </w:pPr>
      <w:bookmarkStart w:id="237" w:name="_Ref45119848"/>
      <w:bookmarkStart w:id="238" w:name="_Ref45119860"/>
      <w:bookmarkStart w:id="239" w:name="_Toc46945543"/>
    </w:p>
    <w:p w14:paraId="4BECA9DE" w14:textId="24E12263" w:rsidR="000055CB" w:rsidRPr="00FF756A" w:rsidRDefault="000055CB" w:rsidP="00FF1BDC">
      <w:pPr>
        <w:rPr>
          <w:i/>
          <w:iCs/>
          <w:color w:val="2F5496" w:themeColor="accent1" w:themeShade="BF"/>
        </w:rPr>
      </w:pPr>
      <w:r w:rsidRPr="00FF756A">
        <w:rPr>
          <w:i/>
          <w:iCs/>
          <w:color w:val="2F5496" w:themeColor="accent1" w:themeShade="BF"/>
        </w:rPr>
        <w:t xml:space="preserve">(2) sasia kumulative e kursimeve të energjisë për përdorim </w:t>
      </w:r>
      <w:r w:rsidR="00AB0F41" w:rsidRPr="00FF756A">
        <w:rPr>
          <w:i/>
          <w:iCs/>
          <w:color w:val="2F5496" w:themeColor="accent1" w:themeShade="BF"/>
        </w:rPr>
        <w:t>fundor</w:t>
      </w:r>
      <w:r w:rsidRPr="00FF756A">
        <w:rPr>
          <w:i/>
          <w:iCs/>
          <w:color w:val="2F5496" w:themeColor="accent1" w:themeShade="BF"/>
        </w:rPr>
        <w:t xml:space="preserve"> që </w:t>
      </w:r>
      <w:r w:rsidR="001752D6" w:rsidRPr="00FF756A">
        <w:rPr>
          <w:i/>
          <w:iCs/>
          <w:color w:val="2F5496" w:themeColor="accent1" w:themeShade="BF"/>
        </w:rPr>
        <w:t xml:space="preserve">do </w:t>
      </w:r>
      <w:r w:rsidRPr="00FF756A">
        <w:rPr>
          <w:i/>
          <w:iCs/>
          <w:color w:val="2F5496" w:themeColor="accent1" w:themeShade="BF"/>
        </w:rPr>
        <w:t>duhet të arrihe</w:t>
      </w:r>
      <w:r w:rsidR="001752D6" w:rsidRPr="00FF756A">
        <w:rPr>
          <w:i/>
          <w:iCs/>
          <w:color w:val="2F5496" w:themeColor="accent1" w:themeShade="BF"/>
        </w:rPr>
        <w:t>n</w:t>
      </w:r>
      <w:r w:rsidRPr="00FF756A">
        <w:rPr>
          <w:i/>
          <w:iCs/>
          <w:color w:val="2F5496" w:themeColor="accent1" w:themeShade="BF"/>
        </w:rPr>
        <w:t xml:space="preserve"> gjatë periudhës 2021-2030 sipas </w:t>
      </w:r>
      <w:r w:rsidR="001752D6" w:rsidRPr="00FF756A">
        <w:rPr>
          <w:i/>
          <w:iCs/>
          <w:color w:val="2F5496" w:themeColor="accent1" w:themeShade="BF"/>
        </w:rPr>
        <w:t>germës</w:t>
      </w:r>
      <w:r w:rsidRPr="00FF756A">
        <w:rPr>
          <w:i/>
          <w:iCs/>
          <w:color w:val="2F5496" w:themeColor="accent1" w:themeShade="BF"/>
        </w:rPr>
        <w:t xml:space="preserve"> </w:t>
      </w:r>
      <w:r w:rsidR="001752D6" w:rsidRPr="00FF756A">
        <w:rPr>
          <w:i/>
          <w:iCs/>
          <w:color w:val="2F5496" w:themeColor="accent1" w:themeShade="BF"/>
        </w:rPr>
        <w:t>“</w:t>
      </w:r>
      <w:r w:rsidRPr="00FF756A">
        <w:rPr>
          <w:i/>
          <w:iCs/>
          <w:color w:val="2F5496" w:themeColor="accent1" w:themeShade="BF"/>
        </w:rPr>
        <w:t>b</w:t>
      </w:r>
      <w:r w:rsidR="001752D6" w:rsidRPr="00FF756A">
        <w:rPr>
          <w:i/>
          <w:iCs/>
          <w:color w:val="2F5496" w:themeColor="accent1" w:themeShade="BF"/>
        </w:rPr>
        <w:t>”</w:t>
      </w:r>
      <w:r w:rsidRPr="00FF756A">
        <w:rPr>
          <w:i/>
          <w:iCs/>
          <w:color w:val="2F5496" w:themeColor="accent1" w:themeShade="BF"/>
        </w:rPr>
        <w:t xml:space="preserve"> të nenit 7</w:t>
      </w:r>
      <w:r w:rsidR="001752D6" w:rsidRPr="00FF756A">
        <w:rPr>
          <w:i/>
          <w:iCs/>
          <w:color w:val="2F5496" w:themeColor="accent1" w:themeShade="BF"/>
        </w:rPr>
        <w:t xml:space="preserve">, pika </w:t>
      </w:r>
      <w:r w:rsidRPr="00FF756A">
        <w:rPr>
          <w:i/>
          <w:iCs/>
          <w:color w:val="2F5496" w:themeColor="accent1" w:themeShade="BF"/>
        </w:rPr>
        <w:t xml:space="preserve">1 mbi detyrimet e kursimit të energjisë në përputhje me Direktivën 2012/27/ BE; </w:t>
      </w:r>
    </w:p>
    <w:p w14:paraId="242E5141" w14:textId="305B8DB2" w:rsidR="00FD7422" w:rsidRPr="00FF756A" w:rsidRDefault="005152F4" w:rsidP="00FD7422">
      <w:r w:rsidRPr="00FF756A">
        <w:lastRenderedPageBreak/>
        <w:t xml:space="preserve">Pikësynimet </w:t>
      </w:r>
      <w:r w:rsidR="000055CB" w:rsidRPr="00FF756A">
        <w:t>deri në vitin 2030 (</w:t>
      </w:r>
      <w:r w:rsidRPr="00FF756A">
        <w:t>ose</w:t>
      </w:r>
      <w:r w:rsidR="000055CB" w:rsidRPr="00FF756A">
        <w:t xml:space="preserve"> deri në vitin 2020) sipas nenit 7</w:t>
      </w:r>
      <w:r w:rsidRPr="00FF756A">
        <w:t>, pika 1, germa “</w:t>
      </w:r>
      <w:r w:rsidR="000055CB" w:rsidRPr="00FF756A">
        <w:t>b</w:t>
      </w:r>
      <w:r w:rsidRPr="00FF756A">
        <w:t>”</w:t>
      </w:r>
      <w:r w:rsidR="000055CB" w:rsidRPr="00FF756A">
        <w:t xml:space="preserve"> – Skemat e detyrim</w:t>
      </w:r>
      <w:r w:rsidR="00AC5A33" w:rsidRPr="00FF756A">
        <w:t xml:space="preserve">eve, </w:t>
      </w:r>
      <w:r w:rsidR="000055CB" w:rsidRPr="00FF756A">
        <w:t xml:space="preserve">nuk </w:t>
      </w:r>
      <w:r w:rsidR="00AC5A33" w:rsidRPr="00FF756A">
        <w:t>disponohen</w:t>
      </w:r>
      <w:r w:rsidR="000055CB" w:rsidRPr="00FF756A">
        <w:t xml:space="preserve"> ende</w:t>
      </w:r>
      <w:r w:rsidR="00AC5A33" w:rsidRPr="00FF756A">
        <w:t xml:space="preserve">, për shkak </w:t>
      </w:r>
      <w:r w:rsidR="000055CB" w:rsidRPr="00FF756A">
        <w:t>se PKVEE</w:t>
      </w:r>
      <w:r w:rsidR="00BE0BEC" w:rsidRPr="00FF756A">
        <w:t>-ja e</w:t>
      </w:r>
      <w:r w:rsidR="000055CB" w:rsidRPr="00FF756A">
        <w:t xml:space="preserve"> 2</w:t>
      </w:r>
      <w:r w:rsidR="00BE0BEC" w:rsidRPr="00FF756A">
        <w:t xml:space="preserve">-të dhe e 3-të </w:t>
      </w:r>
      <w:r w:rsidR="000055CB" w:rsidRPr="00FF756A">
        <w:t xml:space="preserve"> </w:t>
      </w:r>
      <w:r w:rsidR="00FD7422" w:rsidRPr="00FF756A">
        <w:t>nuk parashikonte qasjen e propozuar për arritjen e pikësynimeve të nenit 7. Megjithatë, parashikohet miratimi i një ndryshimi në ligjin për EE 2021, i cili do ta përfshijë këtë dispozitë.</w:t>
      </w:r>
    </w:p>
    <w:p w14:paraId="13209298" w14:textId="77777777" w:rsidR="009270AC" w:rsidRPr="00FF756A" w:rsidRDefault="009270AC" w:rsidP="00FD7422"/>
    <w:p w14:paraId="3FADC6CC" w14:textId="64A59F04" w:rsidR="000055CB" w:rsidRPr="00FF756A" w:rsidRDefault="000055CB" w:rsidP="000055CB">
      <w:r w:rsidRPr="00FF756A">
        <w:t>P</w:t>
      </w:r>
      <w:r w:rsidR="00AA6F5B" w:rsidRPr="00FF756A">
        <w:t>i</w:t>
      </w:r>
      <w:r w:rsidRPr="00FF756A">
        <w:t>M EE-O1 “Skema e detyrimit për efiçencën e energjisë dhe masat alternative për Shqipërinë” është prezantuar për të mbuluar këtë aspekt.</w:t>
      </w:r>
    </w:p>
    <w:p w14:paraId="08B06351" w14:textId="77777777" w:rsidR="000055CB" w:rsidRPr="00FF756A" w:rsidRDefault="000055CB" w:rsidP="000055CB"/>
    <w:p w14:paraId="71DEE0C8" w14:textId="6FEEC84D" w:rsidR="000055CB" w:rsidRPr="00FF756A" w:rsidRDefault="000055CB" w:rsidP="000055CB">
      <w:pPr>
        <w:rPr>
          <w:i/>
          <w:iCs/>
          <w:color w:val="2F5496" w:themeColor="accent1" w:themeShade="BF"/>
        </w:rPr>
      </w:pPr>
      <w:r w:rsidRPr="00FF756A">
        <w:rPr>
          <w:i/>
          <w:iCs/>
          <w:color w:val="2F5496" w:themeColor="accent1" w:themeShade="BF"/>
        </w:rPr>
        <w:t>(3) Strategjia për rinovimin e stokut kombëtar të ndërtesave rezidenciale dhe jo-</w:t>
      </w:r>
      <w:r w:rsidR="00B51128" w:rsidRPr="00FF756A">
        <w:rPr>
          <w:i/>
          <w:iCs/>
          <w:color w:val="2F5496" w:themeColor="accent1" w:themeShade="BF"/>
        </w:rPr>
        <w:t>rezidenciale , si publike dhe</w:t>
      </w:r>
      <w:r w:rsidRPr="00FF756A">
        <w:rPr>
          <w:i/>
          <w:iCs/>
          <w:color w:val="2F5496" w:themeColor="accent1" w:themeShade="BF"/>
        </w:rPr>
        <w:t xml:space="preserve"> private, udhërrëfyesi me tregues të matshëm të progresit të vendosur brenda vendit, një </w:t>
      </w:r>
      <w:r w:rsidR="00AD53EE" w:rsidRPr="00FF756A">
        <w:rPr>
          <w:i/>
          <w:iCs/>
          <w:color w:val="2F5496" w:themeColor="accent1" w:themeShade="BF"/>
        </w:rPr>
        <w:t>parashikim</w:t>
      </w:r>
      <w:r w:rsidR="00611327" w:rsidRPr="00FF756A">
        <w:rPr>
          <w:i/>
          <w:iCs/>
          <w:color w:val="2F5496" w:themeColor="accent1" w:themeShade="BF"/>
        </w:rPr>
        <w:t xml:space="preserve"> i</w:t>
      </w:r>
      <w:r w:rsidRPr="00FF756A">
        <w:rPr>
          <w:i/>
          <w:iCs/>
          <w:color w:val="2F5496" w:themeColor="accent1" w:themeShade="BF"/>
        </w:rPr>
        <w:t xml:space="preserve"> bazuar në </w:t>
      </w:r>
      <w:r w:rsidR="00611327" w:rsidRPr="00FF756A">
        <w:rPr>
          <w:i/>
          <w:iCs/>
          <w:color w:val="2F5496" w:themeColor="accent1" w:themeShade="BF"/>
        </w:rPr>
        <w:t xml:space="preserve">prova </w:t>
      </w:r>
      <w:r w:rsidRPr="00FF756A">
        <w:rPr>
          <w:i/>
          <w:iCs/>
          <w:color w:val="2F5496" w:themeColor="accent1" w:themeShade="BF"/>
        </w:rPr>
        <w:t xml:space="preserve">të kursimeve të pritshme të energjisë dhe përfitimeve më të gjera, dhe kontributet në </w:t>
      </w:r>
      <w:r w:rsidR="00611327" w:rsidRPr="00FF756A">
        <w:rPr>
          <w:i/>
          <w:iCs/>
          <w:color w:val="2F5496" w:themeColor="accent1" w:themeShade="BF"/>
        </w:rPr>
        <w:t xml:space="preserve">pikësynimet </w:t>
      </w:r>
      <w:r w:rsidRPr="00FF756A">
        <w:rPr>
          <w:i/>
          <w:iCs/>
          <w:color w:val="2F5496" w:themeColor="accent1" w:themeShade="BF"/>
        </w:rPr>
        <w:t xml:space="preserve">e </w:t>
      </w:r>
      <w:r w:rsidR="00A832DC" w:rsidRPr="00FF756A">
        <w:rPr>
          <w:i/>
          <w:iCs/>
          <w:color w:val="2F5496" w:themeColor="accent1" w:themeShade="BF"/>
        </w:rPr>
        <w:t>BE-s</w:t>
      </w:r>
      <w:r w:rsidRPr="00FF756A">
        <w:rPr>
          <w:i/>
          <w:iCs/>
          <w:color w:val="2F5496" w:themeColor="accent1" w:themeShade="BF"/>
        </w:rPr>
        <w:t>ë</w:t>
      </w:r>
      <w:r w:rsidR="00A832DC" w:rsidRPr="00FF756A">
        <w:rPr>
          <w:i/>
          <w:iCs/>
          <w:color w:val="2F5496" w:themeColor="accent1" w:themeShade="BF"/>
        </w:rPr>
        <w:t xml:space="preserve"> për </w:t>
      </w:r>
      <w:r w:rsidRPr="00FF756A">
        <w:rPr>
          <w:i/>
          <w:iCs/>
          <w:color w:val="2F5496" w:themeColor="accent1" w:themeShade="BF"/>
        </w:rPr>
        <w:t>efiçencën e energjisë</w:t>
      </w:r>
      <w:r w:rsidR="00A832DC" w:rsidRPr="00FF756A">
        <w:rPr>
          <w:i/>
          <w:iCs/>
          <w:color w:val="2F5496" w:themeColor="accent1" w:themeShade="BF"/>
        </w:rPr>
        <w:t>, sipas</w:t>
      </w:r>
      <w:r w:rsidRPr="00FF756A">
        <w:rPr>
          <w:i/>
          <w:iCs/>
          <w:color w:val="2F5496" w:themeColor="accent1" w:themeShade="BF"/>
        </w:rPr>
        <w:t xml:space="preserve"> Direktivë</w:t>
      </w:r>
      <w:r w:rsidR="00A832DC" w:rsidRPr="00FF756A">
        <w:rPr>
          <w:i/>
          <w:iCs/>
          <w:color w:val="2F5496" w:themeColor="accent1" w:themeShade="BF"/>
        </w:rPr>
        <w:t>s</w:t>
      </w:r>
      <w:r w:rsidRPr="00FF756A">
        <w:rPr>
          <w:i/>
          <w:iCs/>
          <w:color w:val="2F5496" w:themeColor="accent1" w:themeShade="BF"/>
        </w:rPr>
        <w:t xml:space="preserve"> 2012/27/BE në përputhje me nenin 2a të Direktivës 2010/31/ BE; </w:t>
      </w:r>
    </w:p>
    <w:p w14:paraId="0E624801" w14:textId="3E75D57F" w:rsidR="000055CB" w:rsidRPr="00FF756A" w:rsidRDefault="000055CB" w:rsidP="000055CB">
      <w:pPr>
        <w:pStyle w:val="ECABodyText"/>
        <w:spacing w:before="60" w:after="60" w:line="276" w:lineRule="auto"/>
        <w:jc w:val="both"/>
        <w:rPr>
          <w:rFonts w:ascii="Times New Roman" w:eastAsia="MS Mincho" w:hAnsi="Times New Roman"/>
          <w:szCs w:val="22"/>
        </w:rPr>
      </w:pPr>
      <w:r w:rsidRPr="00FF756A">
        <w:rPr>
          <w:rFonts w:ascii="Times New Roman" w:hAnsi="Times New Roman"/>
        </w:rPr>
        <w:t>P</w:t>
      </w:r>
      <w:r w:rsidR="00AA6F5B" w:rsidRPr="00FF756A">
        <w:rPr>
          <w:rFonts w:ascii="Times New Roman" w:hAnsi="Times New Roman"/>
        </w:rPr>
        <w:t>i</w:t>
      </w:r>
      <w:r w:rsidRPr="00FF756A">
        <w:rPr>
          <w:rFonts w:ascii="Times New Roman" w:hAnsi="Times New Roman"/>
        </w:rPr>
        <w:t xml:space="preserve">M </w:t>
      </w:r>
      <w:r w:rsidRPr="00FF756A">
        <w:rPr>
          <w:rFonts w:ascii="Times New Roman" w:eastAsia="MS Mincho" w:hAnsi="Times New Roman"/>
          <w:szCs w:val="22"/>
        </w:rPr>
        <w:t xml:space="preserve">EE-L2 “Plani afatgjatë i rinovimit të ndërtesave (për ndërtesa publike dhe private) sipas </w:t>
      </w:r>
      <w:r w:rsidR="000263D5" w:rsidRPr="00FF756A">
        <w:rPr>
          <w:rFonts w:ascii="Times New Roman" w:eastAsia="MS Mincho" w:hAnsi="Times New Roman"/>
          <w:szCs w:val="22"/>
        </w:rPr>
        <w:t xml:space="preserve">versionit </w:t>
      </w:r>
      <w:r w:rsidR="006931DF" w:rsidRPr="00FF756A">
        <w:rPr>
          <w:rFonts w:ascii="Times New Roman" w:eastAsia="MS Mincho" w:hAnsi="Times New Roman"/>
          <w:szCs w:val="22"/>
        </w:rPr>
        <w:t xml:space="preserve">të rishikuar të </w:t>
      </w:r>
      <w:r w:rsidRPr="00FF756A">
        <w:rPr>
          <w:rFonts w:ascii="Times New Roman" w:eastAsia="MS Mincho" w:hAnsi="Times New Roman"/>
          <w:szCs w:val="22"/>
        </w:rPr>
        <w:t xml:space="preserve">EPBD 2024” </w:t>
      </w:r>
      <w:r w:rsidR="006931DF" w:rsidRPr="00FF756A">
        <w:rPr>
          <w:rFonts w:ascii="Times New Roman" w:eastAsia="MS Mincho" w:hAnsi="Times New Roman"/>
          <w:szCs w:val="22"/>
        </w:rPr>
        <w:t>janë</w:t>
      </w:r>
      <w:r w:rsidRPr="00FF756A">
        <w:rPr>
          <w:rFonts w:ascii="Times New Roman" w:eastAsia="MS Mincho" w:hAnsi="Times New Roman"/>
          <w:szCs w:val="22"/>
        </w:rPr>
        <w:t xml:space="preserve"> prezantuar për të </w:t>
      </w:r>
      <w:r w:rsidR="006931DF" w:rsidRPr="00FF756A">
        <w:rPr>
          <w:rFonts w:ascii="Times New Roman" w:eastAsia="MS Mincho" w:hAnsi="Times New Roman"/>
          <w:szCs w:val="22"/>
        </w:rPr>
        <w:t xml:space="preserve">adresuar </w:t>
      </w:r>
      <w:r w:rsidRPr="00FF756A">
        <w:rPr>
          <w:rFonts w:ascii="Times New Roman" w:eastAsia="MS Mincho" w:hAnsi="Times New Roman"/>
          <w:szCs w:val="22"/>
        </w:rPr>
        <w:t>këtë aspekt.</w:t>
      </w:r>
    </w:p>
    <w:p w14:paraId="6B70FED7" w14:textId="77777777" w:rsidR="000055CB" w:rsidRPr="00FF756A" w:rsidRDefault="000055CB" w:rsidP="000055CB"/>
    <w:p w14:paraId="68ED6BF3" w14:textId="498C47FF" w:rsidR="000055CB" w:rsidRPr="00FF756A" w:rsidRDefault="000055CB" w:rsidP="000055CB">
      <w:pPr>
        <w:rPr>
          <w:i/>
          <w:iCs/>
          <w:color w:val="2F5496" w:themeColor="accent1" w:themeShade="BF"/>
        </w:rPr>
      </w:pPr>
      <w:r w:rsidRPr="00FF756A">
        <w:rPr>
          <w:i/>
          <w:iCs/>
          <w:color w:val="2F5496" w:themeColor="accent1" w:themeShade="BF"/>
        </w:rPr>
        <w:t>(4) sipërfaqja totale e dyshemesë që do të rinovohet ose kursimet ekuivalente vjetore të energjisë që duhet të arrihe</w:t>
      </w:r>
      <w:r w:rsidR="000263D5" w:rsidRPr="00FF756A">
        <w:rPr>
          <w:i/>
          <w:iCs/>
          <w:color w:val="2F5496" w:themeColor="accent1" w:themeShade="BF"/>
        </w:rPr>
        <w:t>n</w:t>
      </w:r>
      <w:r w:rsidRPr="00FF756A">
        <w:rPr>
          <w:i/>
          <w:iCs/>
          <w:color w:val="2F5496" w:themeColor="accent1" w:themeShade="BF"/>
        </w:rPr>
        <w:t xml:space="preserve"> nga viti 2021 deri në vitin 2030</w:t>
      </w:r>
      <w:r w:rsidR="000263D5" w:rsidRPr="00FF756A">
        <w:rPr>
          <w:i/>
          <w:iCs/>
          <w:color w:val="2F5496" w:themeColor="accent1" w:themeShade="BF"/>
        </w:rPr>
        <w:t>,</w:t>
      </w:r>
      <w:r w:rsidRPr="00FF756A">
        <w:rPr>
          <w:i/>
          <w:iCs/>
          <w:color w:val="2F5496" w:themeColor="accent1" w:themeShade="BF"/>
        </w:rPr>
        <w:t xml:space="preserve"> sipas nenit 5 të Direktivës 2012/27/BE mbi rolin shembullor të ndërtesave të organeve publike;</w:t>
      </w:r>
    </w:p>
    <w:p w14:paraId="77532E34" w14:textId="2321F086" w:rsidR="000055CB" w:rsidRPr="00FF756A" w:rsidRDefault="000055CB" w:rsidP="000055CB">
      <w:pPr>
        <w:pStyle w:val="ECABodyText"/>
        <w:spacing w:before="60" w:after="60" w:line="276" w:lineRule="auto"/>
        <w:jc w:val="both"/>
        <w:rPr>
          <w:rFonts w:ascii="Times New Roman" w:eastAsia="MS Mincho" w:hAnsi="Times New Roman"/>
          <w:szCs w:val="22"/>
        </w:rPr>
      </w:pPr>
      <w:r w:rsidRPr="00FF756A">
        <w:rPr>
          <w:rFonts w:ascii="Times New Roman" w:hAnsi="Times New Roman"/>
        </w:rPr>
        <w:t>P</w:t>
      </w:r>
      <w:r w:rsidR="006931DF" w:rsidRPr="00FF756A">
        <w:rPr>
          <w:rFonts w:ascii="Times New Roman" w:hAnsi="Times New Roman"/>
        </w:rPr>
        <w:t>i</w:t>
      </w:r>
      <w:r w:rsidRPr="00FF756A">
        <w:rPr>
          <w:rFonts w:ascii="Times New Roman" w:hAnsi="Times New Roman"/>
        </w:rPr>
        <w:t xml:space="preserve">M </w:t>
      </w:r>
      <w:r w:rsidRPr="00FF756A">
        <w:rPr>
          <w:rFonts w:ascii="Times New Roman" w:eastAsia="MS Mincho" w:hAnsi="Times New Roman"/>
          <w:szCs w:val="22"/>
        </w:rPr>
        <w:t xml:space="preserve">EE-L2 “Plani afatgjatë i rinovimit të ndërtesave (për ndërtesa publike dhe private) sipas </w:t>
      </w:r>
      <w:r w:rsidR="00807999" w:rsidRPr="00FF756A">
        <w:rPr>
          <w:rFonts w:ascii="Times New Roman" w:eastAsia="MS Mincho" w:hAnsi="Times New Roman"/>
          <w:szCs w:val="22"/>
        </w:rPr>
        <w:t>versionit</w:t>
      </w:r>
      <w:r w:rsidR="0089362F" w:rsidRPr="00FF756A">
        <w:rPr>
          <w:rFonts w:ascii="Times New Roman" w:eastAsia="MS Mincho" w:hAnsi="Times New Roman"/>
          <w:szCs w:val="22"/>
        </w:rPr>
        <w:t xml:space="preserve"> të rishikuar të </w:t>
      </w:r>
      <w:r w:rsidRPr="00FF756A">
        <w:rPr>
          <w:rFonts w:ascii="Times New Roman" w:eastAsia="MS Mincho" w:hAnsi="Times New Roman"/>
          <w:szCs w:val="22"/>
        </w:rPr>
        <w:t>EPBD 2024”</w:t>
      </w:r>
      <w:r w:rsidR="00807999" w:rsidRPr="00FF756A">
        <w:rPr>
          <w:rFonts w:ascii="Times New Roman" w:eastAsia="MS Mincho" w:hAnsi="Times New Roman"/>
          <w:szCs w:val="22"/>
        </w:rPr>
        <w:t xml:space="preserve"> janë</w:t>
      </w:r>
      <w:r w:rsidRPr="00FF756A">
        <w:rPr>
          <w:rFonts w:ascii="Times New Roman" w:eastAsia="MS Mincho" w:hAnsi="Times New Roman"/>
          <w:szCs w:val="22"/>
        </w:rPr>
        <w:t xml:space="preserve"> prezantuar për të </w:t>
      </w:r>
      <w:r w:rsidR="0089362F" w:rsidRPr="00FF756A">
        <w:rPr>
          <w:rFonts w:ascii="Times New Roman" w:eastAsia="MS Mincho" w:hAnsi="Times New Roman"/>
          <w:szCs w:val="22"/>
        </w:rPr>
        <w:t>adresuar</w:t>
      </w:r>
      <w:r w:rsidR="00807999" w:rsidRPr="00FF756A">
        <w:rPr>
          <w:rFonts w:ascii="Times New Roman" w:eastAsia="MS Mincho" w:hAnsi="Times New Roman"/>
          <w:szCs w:val="22"/>
        </w:rPr>
        <w:t xml:space="preserve"> </w:t>
      </w:r>
      <w:r w:rsidRPr="00FF756A">
        <w:rPr>
          <w:rFonts w:ascii="Times New Roman" w:eastAsia="MS Mincho" w:hAnsi="Times New Roman"/>
          <w:szCs w:val="22"/>
        </w:rPr>
        <w:t>këtë aspekt.</w:t>
      </w:r>
    </w:p>
    <w:p w14:paraId="4D20746E" w14:textId="77777777" w:rsidR="000055CB" w:rsidRPr="00FF756A" w:rsidRDefault="000055CB" w:rsidP="000055CB">
      <w:pPr>
        <w:rPr>
          <w:color w:val="000000" w:themeColor="text1"/>
        </w:rPr>
      </w:pPr>
    </w:p>
    <w:p w14:paraId="711F7D65" w14:textId="4D8830AF" w:rsidR="000055CB" w:rsidRPr="00FF756A" w:rsidRDefault="000055CB" w:rsidP="004A3257">
      <w:pPr>
        <w:pStyle w:val="Heading3"/>
        <w:numPr>
          <w:ilvl w:val="2"/>
          <w:numId w:val="243"/>
        </w:numPr>
        <w:rPr>
          <w:color w:val="auto"/>
        </w:rPr>
      </w:pPr>
      <w:bookmarkStart w:id="240" w:name="_Toc100575565"/>
      <w:bookmarkStart w:id="241" w:name="_Toc181516992"/>
      <w:bookmarkStart w:id="242" w:name="_Toc183639208"/>
      <w:r w:rsidRPr="00FF756A">
        <w:t>Strategjia afatgjatë e rinovimit që adreson stokun kombëtar të ndërtesave</w:t>
      </w:r>
      <w:bookmarkEnd w:id="237"/>
      <w:bookmarkEnd w:id="238"/>
      <w:bookmarkEnd w:id="239"/>
      <w:bookmarkEnd w:id="240"/>
      <w:bookmarkEnd w:id="241"/>
      <w:bookmarkEnd w:id="242"/>
    </w:p>
    <w:p w14:paraId="601A78EF" w14:textId="02E27829" w:rsidR="000055CB" w:rsidRPr="00FF756A" w:rsidRDefault="000055CB" w:rsidP="000055CB">
      <w:pPr>
        <w:pStyle w:val="ECABodyText"/>
        <w:spacing w:before="60" w:after="60" w:line="276" w:lineRule="auto"/>
        <w:jc w:val="both"/>
        <w:rPr>
          <w:rFonts w:ascii="Times New Roman" w:eastAsia="MS Mincho" w:hAnsi="Times New Roman"/>
          <w:szCs w:val="22"/>
        </w:rPr>
      </w:pPr>
      <w:r w:rsidRPr="00FF756A">
        <w:rPr>
          <w:rFonts w:ascii="Times New Roman" w:hAnsi="Times New Roman"/>
        </w:rPr>
        <w:t>P</w:t>
      </w:r>
      <w:r w:rsidR="006931DF" w:rsidRPr="00FF756A">
        <w:rPr>
          <w:rFonts w:ascii="Times New Roman" w:hAnsi="Times New Roman"/>
        </w:rPr>
        <w:t>i</w:t>
      </w:r>
      <w:r w:rsidRPr="00FF756A">
        <w:rPr>
          <w:rFonts w:ascii="Times New Roman" w:hAnsi="Times New Roman"/>
        </w:rPr>
        <w:t xml:space="preserve">M </w:t>
      </w:r>
      <w:r w:rsidRPr="00FF756A">
        <w:rPr>
          <w:rFonts w:ascii="Times New Roman" w:eastAsia="MS Mincho" w:hAnsi="Times New Roman"/>
          <w:szCs w:val="22"/>
        </w:rPr>
        <w:t xml:space="preserve">EE-L2 “Plani afatgjatë i rinovimit të ndërtesave (për ndërtesa publike dhe private) sipas </w:t>
      </w:r>
      <w:r w:rsidR="006931DF" w:rsidRPr="00FF756A">
        <w:rPr>
          <w:rFonts w:ascii="Times New Roman" w:eastAsia="MS Mincho" w:hAnsi="Times New Roman"/>
          <w:szCs w:val="22"/>
        </w:rPr>
        <w:t xml:space="preserve">versionit të rishikuar të </w:t>
      </w:r>
      <w:r w:rsidRPr="00FF756A">
        <w:rPr>
          <w:rFonts w:ascii="Times New Roman" w:eastAsia="MS Mincho" w:hAnsi="Times New Roman"/>
          <w:szCs w:val="22"/>
        </w:rPr>
        <w:t>EPBD</w:t>
      </w:r>
      <w:r w:rsidR="006931DF" w:rsidRPr="00FF756A">
        <w:rPr>
          <w:rFonts w:ascii="Times New Roman" w:eastAsia="MS Mincho" w:hAnsi="Times New Roman"/>
          <w:szCs w:val="22"/>
        </w:rPr>
        <w:t xml:space="preserve"> </w:t>
      </w:r>
      <w:r w:rsidRPr="00FF756A">
        <w:rPr>
          <w:rFonts w:ascii="Times New Roman" w:eastAsia="MS Mincho" w:hAnsi="Times New Roman"/>
          <w:szCs w:val="22"/>
        </w:rPr>
        <w:t xml:space="preserve">2024” </w:t>
      </w:r>
      <w:r w:rsidR="006931DF" w:rsidRPr="00FF756A">
        <w:rPr>
          <w:rFonts w:ascii="Times New Roman" w:eastAsia="MS Mincho" w:hAnsi="Times New Roman"/>
          <w:szCs w:val="22"/>
        </w:rPr>
        <w:t>janë</w:t>
      </w:r>
      <w:r w:rsidRPr="00FF756A">
        <w:rPr>
          <w:rFonts w:ascii="Times New Roman" w:eastAsia="MS Mincho" w:hAnsi="Times New Roman"/>
          <w:szCs w:val="22"/>
        </w:rPr>
        <w:t xml:space="preserve"> prezantuar për të </w:t>
      </w:r>
      <w:r w:rsidR="006931DF" w:rsidRPr="00FF756A">
        <w:rPr>
          <w:rFonts w:ascii="Times New Roman" w:eastAsia="MS Mincho" w:hAnsi="Times New Roman"/>
          <w:szCs w:val="22"/>
        </w:rPr>
        <w:t xml:space="preserve">adresuar </w:t>
      </w:r>
      <w:r w:rsidRPr="00FF756A">
        <w:rPr>
          <w:rFonts w:ascii="Times New Roman" w:eastAsia="MS Mincho" w:hAnsi="Times New Roman"/>
          <w:szCs w:val="22"/>
        </w:rPr>
        <w:t>këtë aspekt.</w:t>
      </w:r>
    </w:p>
    <w:p w14:paraId="729E62BB" w14:textId="77777777" w:rsidR="000055CB" w:rsidRPr="00FF756A" w:rsidRDefault="000055CB" w:rsidP="000055CB"/>
    <w:p w14:paraId="413E8E14" w14:textId="77777777" w:rsidR="000055CB" w:rsidRPr="00FF756A" w:rsidRDefault="000055CB" w:rsidP="004A3257">
      <w:pPr>
        <w:pStyle w:val="Heading3"/>
        <w:numPr>
          <w:ilvl w:val="2"/>
          <w:numId w:val="243"/>
        </w:numPr>
      </w:pPr>
      <w:bookmarkStart w:id="243" w:name="_Toc46945544"/>
      <w:bookmarkStart w:id="244" w:name="_Toc100575566"/>
      <w:bookmarkStart w:id="245" w:name="_Toc181516993"/>
      <w:bookmarkStart w:id="246" w:name="_Toc183639209"/>
      <w:r w:rsidRPr="00FF756A">
        <w:t>Objektiva të tjera kombëtare dhe strategji afatgjata</w:t>
      </w:r>
      <w:bookmarkEnd w:id="243"/>
      <w:bookmarkEnd w:id="244"/>
      <w:bookmarkEnd w:id="245"/>
      <w:bookmarkEnd w:id="246"/>
      <w:r w:rsidRPr="00FF756A">
        <w:t xml:space="preserve"> </w:t>
      </w:r>
    </w:p>
    <w:p w14:paraId="17DD6FB5" w14:textId="3CC1E5CB" w:rsidR="000055CB" w:rsidRPr="00FF756A" w:rsidRDefault="000055CB" w:rsidP="000055CB">
      <w:pPr>
        <w:rPr>
          <w:b/>
          <w:bCs/>
          <w:color w:val="000000" w:themeColor="text1"/>
        </w:rPr>
      </w:pPr>
      <w:r w:rsidRPr="00FF756A">
        <w:rPr>
          <w:color w:val="000000" w:themeColor="text1"/>
        </w:rPr>
        <w:t>Ngrohj</w:t>
      </w:r>
      <w:r w:rsidR="00DE6623" w:rsidRPr="00FF756A">
        <w:rPr>
          <w:color w:val="000000" w:themeColor="text1"/>
        </w:rPr>
        <w:t>a</w:t>
      </w:r>
      <w:r w:rsidRPr="00FF756A">
        <w:rPr>
          <w:color w:val="000000" w:themeColor="text1"/>
        </w:rPr>
        <w:t xml:space="preserve"> dhe ftohj</w:t>
      </w:r>
      <w:r w:rsidR="00DE6623" w:rsidRPr="00FF756A">
        <w:rPr>
          <w:color w:val="000000" w:themeColor="text1"/>
        </w:rPr>
        <w:t>a</w:t>
      </w:r>
      <w:r w:rsidRPr="00FF756A">
        <w:rPr>
          <w:color w:val="000000" w:themeColor="text1"/>
        </w:rPr>
        <w:t>, Sektori i Transportit:</w:t>
      </w:r>
      <w:r w:rsidRPr="00FF756A">
        <w:rPr>
          <w:b/>
          <w:bCs/>
          <w:color w:val="000000" w:themeColor="text1"/>
        </w:rPr>
        <w:t xml:space="preserve"> </w:t>
      </w:r>
      <w:r w:rsidRPr="00FF756A">
        <w:rPr>
          <w:color w:val="000000" w:themeColor="text1"/>
        </w:rPr>
        <w:t>Nuk ka objektiva të tjera kombëtare apo strategji afatgjata.</w:t>
      </w:r>
    </w:p>
    <w:p w14:paraId="25132F73" w14:textId="77777777" w:rsidR="000055CB" w:rsidRPr="00FF756A" w:rsidRDefault="000055CB" w:rsidP="000055CB"/>
    <w:p w14:paraId="6C100732" w14:textId="6CC6EF04" w:rsidR="000055CB" w:rsidRPr="00FF756A" w:rsidRDefault="000E2FD1" w:rsidP="004A3257">
      <w:pPr>
        <w:pStyle w:val="Heading2"/>
        <w:numPr>
          <w:ilvl w:val="1"/>
          <w:numId w:val="244"/>
        </w:numPr>
      </w:pPr>
      <w:bookmarkStart w:id="247" w:name="_Toc46945545"/>
      <w:bookmarkStart w:id="248" w:name="_Toc100575567"/>
      <w:bookmarkStart w:id="249" w:name="_Toc181516994"/>
      <w:r w:rsidRPr="00FF756A">
        <w:t xml:space="preserve"> </w:t>
      </w:r>
      <w:bookmarkStart w:id="250" w:name="_Toc183639210"/>
      <w:r w:rsidR="000055CB" w:rsidRPr="00FF756A">
        <w:t>Dimensioni i Sigurisë së Energjisë</w:t>
      </w:r>
      <w:bookmarkEnd w:id="247"/>
      <w:bookmarkEnd w:id="248"/>
      <w:bookmarkEnd w:id="249"/>
      <w:bookmarkEnd w:id="250"/>
    </w:p>
    <w:p w14:paraId="3DF100C0" w14:textId="77777777" w:rsidR="000055CB" w:rsidRPr="00FF756A" w:rsidRDefault="000055CB" w:rsidP="004A3257">
      <w:pPr>
        <w:rPr>
          <w:lang w:eastAsia="de-DE"/>
        </w:rPr>
      </w:pPr>
      <w:bookmarkStart w:id="251" w:name="_Toc181467438"/>
      <w:bookmarkStart w:id="252" w:name="_Toc181472388"/>
      <w:bookmarkStart w:id="253" w:name="_Toc181476952"/>
      <w:bookmarkStart w:id="254" w:name="_Toc181479224"/>
      <w:bookmarkStart w:id="255" w:name="_Toc181479398"/>
      <w:bookmarkStart w:id="256" w:name="_Toc181514738"/>
      <w:bookmarkStart w:id="257" w:name="_Toc181516808"/>
      <w:bookmarkStart w:id="258" w:name="_Toc181516995"/>
      <w:bookmarkStart w:id="259" w:name="_Toc100575568"/>
      <w:bookmarkStart w:id="260" w:name="_Toc46945546"/>
      <w:bookmarkEnd w:id="251"/>
      <w:bookmarkEnd w:id="252"/>
      <w:bookmarkEnd w:id="253"/>
      <w:bookmarkEnd w:id="254"/>
      <w:bookmarkEnd w:id="255"/>
      <w:bookmarkEnd w:id="256"/>
      <w:bookmarkEnd w:id="257"/>
      <w:bookmarkEnd w:id="258"/>
    </w:p>
    <w:p w14:paraId="61B69BB1" w14:textId="209752EA" w:rsidR="000055CB" w:rsidRPr="00FF756A" w:rsidRDefault="00DE6623" w:rsidP="004E7EFC">
      <w:pPr>
        <w:pStyle w:val="Heading4"/>
        <w:numPr>
          <w:ilvl w:val="0"/>
          <w:numId w:val="0"/>
        </w:numPr>
        <w:ind w:left="864" w:hanging="864"/>
        <w:rPr>
          <w:rFonts w:eastAsiaTheme="majorEastAsia" w:cs="Times New Roman"/>
          <w:color w:val="auto"/>
        </w:rPr>
      </w:pPr>
      <w:bookmarkStart w:id="261" w:name="_Toc183639211"/>
      <w:bookmarkStart w:id="262" w:name="_Toc181516996"/>
      <w:r w:rsidRPr="00FF756A">
        <w:rPr>
          <w:rFonts w:cs="Times New Roman"/>
        </w:rPr>
        <w:t xml:space="preserve">2.3.1 </w:t>
      </w:r>
      <w:r w:rsidR="000055CB" w:rsidRPr="00FF756A">
        <w:rPr>
          <w:rFonts w:cs="Times New Roman"/>
        </w:rPr>
        <w:t>Elementet e përcaktuara në</w:t>
      </w:r>
      <w:r w:rsidRPr="00FF756A">
        <w:rPr>
          <w:rFonts w:cs="Times New Roman"/>
        </w:rPr>
        <w:t xml:space="preserve"> nenin 4</w:t>
      </w:r>
      <w:r w:rsidR="002B3295" w:rsidRPr="00FF756A">
        <w:rPr>
          <w:rFonts w:cs="Times New Roman"/>
        </w:rPr>
        <w:t>,</w:t>
      </w:r>
      <w:r w:rsidR="000055CB" w:rsidRPr="00FF756A">
        <w:rPr>
          <w:rFonts w:cs="Times New Roman"/>
        </w:rPr>
        <w:t xml:space="preserve"> </w:t>
      </w:r>
      <w:r w:rsidR="002B3295" w:rsidRPr="00FF756A">
        <w:rPr>
          <w:rFonts w:cs="Times New Roman"/>
        </w:rPr>
        <w:t>germa “</w:t>
      </w:r>
      <w:r w:rsidR="000055CB" w:rsidRPr="00FF756A">
        <w:rPr>
          <w:rFonts w:cs="Times New Roman"/>
        </w:rPr>
        <w:t>c</w:t>
      </w:r>
      <w:r w:rsidR="002B3295" w:rsidRPr="00FF756A">
        <w:rPr>
          <w:rFonts w:cs="Times New Roman"/>
        </w:rPr>
        <w:t>”</w:t>
      </w:r>
      <w:bookmarkEnd w:id="259"/>
      <w:bookmarkEnd w:id="260"/>
      <w:bookmarkEnd w:id="261"/>
      <w:bookmarkEnd w:id="262"/>
    </w:p>
    <w:p w14:paraId="2770795B" w14:textId="77777777" w:rsidR="00ED1E85" w:rsidRPr="00FF756A" w:rsidRDefault="00ED1E85">
      <w:pPr>
        <w:spacing w:before="0" w:after="0" w:line="240" w:lineRule="auto"/>
      </w:pPr>
    </w:p>
    <w:p w14:paraId="357FBC41" w14:textId="022F9F82" w:rsidR="000055CB" w:rsidRPr="00FF756A" w:rsidRDefault="000055CB" w:rsidP="004A3257">
      <w:pPr>
        <w:spacing w:before="0" w:after="0" w:line="240" w:lineRule="auto"/>
      </w:pPr>
      <w:r w:rsidRPr="00FF756A">
        <w:t xml:space="preserve">Objektivi i sigurisë së energjisë është të </w:t>
      </w:r>
      <w:r w:rsidR="009011BE" w:rsidRPr="00FF756A">
        <w:t>garant</w:t>
      </w:r>
      <w:r w:rsidR="003F22A8" w:rsidRPr="00FF756A">
        <w:t xml:space="preserve">ojë </w:t>
      </w:r>
      <w:r w:rsidRPr="00FF756A">
        <w:t xml:space="preserve">një furnizim </w:t>
      </w:r>
      <w:r w:rsidR="003F22A8" w:rsidRPr="00FF756A">
        <w:t xml:space="preserve">afatgjatë, </w:t>
      </w:r>
      <w:r w:rsidRPr="00FF756A">
        <w:t xml:space="preserve">të sigurt dhe cilësor </w:t>
      </w:r>
      <w:r w:rsidR="003F22A8" w:rsidRPr="00FF756A">
        <w:t xml:space="preserve">për </w:t>
      </w:r>
      <w:r w:rsidRPr="00FF756A">
        <w:t>të gjitha sisteme</w:t>
      </w:r>
      <w:r w:rsidR="003F22A8" w:rsidRPr="00FF756A">
        <w:t>t e p</w:t>
      </w:r>
      <w:r w:rsidRPr="00FF756A">
        <w:t xml:space="preserve">rodhimit dhe furnizimit </w:t>
      </w:r>
      <w:r w:rsidR="00095523" w:rsidRPr="00FF756A">
        <w:t xml:space="preserve">të </w:t>
      </w:r>
      <w:r w:rsidRPr="00FF756A">
        <w:t>energji</w:t>
      </w:r>
      <w:r w:rsidR="00095523" w:rsidRPr="00FF756A">
        <w:t>së</w:t>
      </w:r>
      <w:r w:rsidRPr="00FF756A">
        <w:t xml:space="preserve">. Siguria energjetike do të thotë që energjia duhet të jetë e disponueshme, e aksesueshme, e përballueshme dhe e pranueshme në </w:t>
      </w:r>
      <w:r w:rsidR="00915FE7" w:rsidRPr="00FF756A">
        <w:t xml:space="preserve">proporcion </w:t>
      </w:r>
      <w:r w:rsidRPr="00FF756A">
        <w:t>me zhvillimin e vendit.</w:t>
      </w:r>
    </w:p>
    <w:p w14:paraId="5D610701" w14:textId="54691B25" w:rsidR="000055CB" w:rsidRPr="00FF756A" w:rsidRDefault="000055CB" w:rsidP="004A3257">
      <w:pPr>
        <w:spacing w:before="0" w:after="0" w:line="240" w:lineRule="auto"/>
      </w:pPr>
      <w:r w:rsidRPr="00FF756A">
        <w:t>Shqipëria pret të bëhet një eksportues neto i energjisë elektrike deri në vitin 2030. Ky është një gur themeli i sigurisë energjetike.</w:t>
      </w:r>
      <w:r w:rsidR="00ED1E85" w:rsidRPr="00FF756A">
        <w:t xml:space="preserve"> </w:t>
      </w:r>
      <w:r w:rsidRPr="00FF756A">
        <w:t>Shqipëria ka bërë përpjekje të konsiderueshme në drejtim të sigurisë energjetike si:</w:t>
      </w:r>
    </w:p>
    <w:p w14:paraId="6E569AC9" w14:textId="5FFD67CC" w:rsidR="000055CB" w:rsidRPr="00FF756A" w:rsidRDefault="000055CB" w:rsidP="008639B2">
      <w:pPr>
        <w:pStyle w:val="ListParagraph"/>
        <w:numPr>
          <w:ilvl w:val="0"/>
          <w:numId w:val="57"/>
        </w:numPr>
        <w:pBdr>
          <w:top w:val="none" w:sz="0" w:space="0" w:color="auto"/>
          <w:left w:val="none" w:sz="0" w:space="0" w:color="auto"/>
          <w:bottom w:val="none" w:sz="0" w:space="0" w:color="auto"/>
          <w:right w:val="none" w:sz="0" w:space="0" w:color="auto"/>
          <w:between w:val="none" w:sz="0" w:space="0" w:color="auto"/>
        </w:pBdr>
      </w:pPr>
      <w:r w:rsidRPr="00FF756A">
        <w:t xml:space="preserve">Instalimi i </w:t>
      </w:r>
      <w:r w:rsidR="00F1531F" w:rsidRPr="00FF756A">
        <w:t>Anijeve Termale</w:t>
      </w:r>
      <w:r w:rsidRPr="00FF756A">
        <w:t xml:space="preserve"> (infrastruktur</w:t>
      </w:r>
      <w:r w:rsidR="00E21063" w:rsidRPr="00FF756A">
        <w:t>ë</w:t>
      </w:r>
      <w:r w:rsidRPr="00FF756A">
        <w:t xml:space="preserve"> emergjente) (me HFO</w:t>
      </w:r>
      <w:r w:rsidR="00E655C1" w:rsidRPr="00FF756A">
        <w:rPr>
          <w:rStyle w:val="FootnoteReference"/>
        </w:rPr>
        <w:footnoteReference w:id="10"/>
      </w:r>
      <w:r w:rsidRPr="00FF756A">
        <w:t xml:space="preserve"> dhe do te transformohet ne G</w:t>
      </w:r>
      <w:r w:rsidR="00E21063" w:rsidRPr="00FF756A">
        <w:t>N</w:t>
      </w:r>
      <w:r w:rsidRPr="00FF756A">
        <w:t>)</w:t>
      </w:r>
      <w:r w:rsidR="006A2224" w:rsidRPr="00FF756A">
        <w:t>;</w:t>
      </w:r>
    </w:p>
    <w:p w14:paraId="0B7D0F0D" w14:textId="307F7F6B" w:rsidR="000055CB" w:rsidRPr="00FF756A" w:rsidRDefault="000055CB" w:rsidP="008639B2">
      <w:pPr>
        <w:pStyle w:val="ListParagraph"/>
        <w:numPr>
          <w:ilvl w:val="0"/>
          <w:numId w:val="57"/>
        </w:numPr>
        <w:pBdr>
          <w:top w:val="none" w:sz="0" w:space="0" w:color="auto"/>
          <w:left w:val="none" w:sz="0" w:space="0" w:color="auto"/>
          <w:bottom w:val="none" w:sz="0" w:space="0" w:color="auto"/>
          <w:right w:val="none" w:sz="0" w:space="0" w:color="auto"/>
          <w:between w:val="none" w:sz="0" w:space="0" w:color="auto"/>
        </w:pBdr>
      </w:pPr>
      <w:r w:rsidRPr="00FF756A">
        <w:t>Zgjerimi i prodhimit të energjisë së rinovueshme</w:t>
      </w:r>
      <w:r w:rsidR="006A2224" w:rsidRPr="00FF756A">
        <w:t>;</w:t>
      </w:r>
    </w:p>
    <w:p w14:paraId="57B72D47" w14:textId="290B2C17" w:rsidR="000055CB" w:rsidRPr="00FF756A" w:rsidRDefault="000055CB" w:rsidP="008639B2">
      <w:pPr>
        <w:pStyle w:val="ListParagraph"/>
        <w:numPr>
          <w:ilvl w:val="0"/>
          <w:numId w:val="57"/>
        </w:numPr>
        <w:pBdr>
          <w:top w:val="none" w:sz="0" w:space="0" w:color="auto"/>
          <w:left w:val="none" w:sz="0" w:space="0" w:color="auto"/>
          <w:bottom w:val="none" w:sz="0" w:space="0" w:color="auto"/>
          <w:right w:val="none" w:sz="0" w:space="0" w:color="auto"/>
          <w:between w:val="none" w:sz="0" w:space="0" w:color="auto"/>
        </w:pBdr>
      </w:pPr>
      <w:r w:rsidRPr="00FF756A">
        <w:lastRenderedPageBreak/>
        <w:t>Rehabilitimi dhe zgjerimi i termocentraleve me gaz natyror</w:t>
      </w:r>
      <w:r w:rsidR="006A2224" w:rsidRPr="00FF756A">
        <w:t>;</w:t>
      </w:r>
    </w:p>
    <w:p w14:paraId="2950E88B" w14:textId="77777777" w:rsidR="000055CB" w:rsidRPr="00FF756A" w:rsidRDefault="000055CB" w:rsidP="008639B2">
      <w:pPr>
        <w:pStyle w:val="ListParagraph"/>
        <w:numPr>
          <w:ilvl w:val="0"/>
          <w:numId w:val="57"/>
        </w:numPr>
        <w:pBdr>
          <w:top w:val="none" w:sz="0" w:space="0" w:color="auto"/>
          <w:left w:val="none" w:sz="0" w:space="0" w:color="auto"/>
          <w:bottom w:val="none" w:sz="0" w:space="0" w:color="auto"/>
          <w:right w:val="none" w:sz="0" w:space="0" w:color="auto"/>
          <w:between w:val="none" w:sz="0" w:space="0" w:color="auto"/>
        </w:pBdr>
      </w:pPr>
      <w:r w:rsidRPr="00FF756A">
        <w:t>Rezerva 3 mujore të naftës dhe produkteve të naftës (parakusht nga Komuniteti i Energjisë)</w:t>
      </w:r>
    </w:p>
    <w:p w14:paraId="1FF5D79E" w14:textId="13BA456F" w:rsidR="000055CB" w:rsidRPr="00FF756A" w:rsidRDefault="000055CB" w:rsidP="004A3257">
      <w:pPr>
        <w:spacing w:line="240" w:lineRule="auto"/>
      </w:pPr>
      <w:r w:rsidRPr="00FF756A">
        <w:t xml:space="preserve">Pjesa më e madhe e energjisë elektrike prodhohet nga hidrocentralet, e cila është shumë e ndjeshme ndaj viteve të thata dhe efekteve të ndryshimeve klimatike. Gazi natyror ka një rol të rëndësishëm në tranzicionin energjetik drejt neutralitetit të karbonit, veçanërisht në </w:t>
      </w:r>
      <w:r w:rsidR="001F1604" w:rsidRPr="00FF756A">
        <w:t xml:space="preserve">balancimin e efekteve </w:t>
      </w:r>
      <w:r w:rsidRPr="00FF756A">
        <w:t>negative të viteve të thata,</w:t>
      </w:r>
      <w:r w:rsidR="001F1604" w:rsidRPr="00FF756A">
        <w:t xml:space="preserve"> si dhe natyrës ndërprerëse</w:t>
      </w:r>
      <w:r w:rsidR="00E44F5B" w:rsidRPr="00FF756A">
        <w:t xml:space="preserve"> t</w:t>
      </w:r>
      <w:r w:rsidRPr="00FF756A">
        <w:t xml:space="preserve">ë </w:t>
      </w:r>
      <w:r w:rsidR="00E44F5B" w:rsidRPr="00FF756A">
        <w:t>prodhimit të energjisë</w:t>
      </w:r>
      <w:r w:rsidRPr="00FF756A">
        <w:t xml:space="preserve"> nga dielli dhe era. </w:t>
      </w:r>
      <w:r w:rsidR="00E44F5B" w:rsidRPr="00FF756A">
        <w:t>Megjithatë,</w:t>
      </w:r>
      <w:r w:rsidR="00275BD9" w:rsidRPr="00FF756A">
        <w:t xml:space="preserve"> n</w:t>
      </w:r>
      <w:r w:rsidRPr="00FF756A">
        <w:t xml:space="preserve">uk është ende e qartë se cila do të jetë sasia e saktë e gazit natyror në </w:t>
      </w:r>
      <w:r w:rsidR="00275BD9" w:rsidRPr="00FF756A">
        <w:t xml:space="preserve">miksin energjitik </w:t>
      </w:r>
      <w:r w:rsidRPr="00FF756A">
        <w:t>dhe si do të evoluojë rruga drejt</w:t>
      </w:r>
      <w:r w:rsidR="00275BD9" w:rsidRPr="00FF756A">
        <w:t xml:space="preserve"> zero</w:t>
      </w:r>
      <w:r w:rsidRPr="00FF756A">
        <w:t xml:space="preserve"> karbonit</w:t>
      </w:r>
      <w:r w:rsidR="00275BD9" w:rsidRPr="00FF756A">
        <w:t>.</w:t>
      </w:r>
      <w:r w:rsidRPr="00FF756A">
        <w:t xml:space="preserve"> Gazi natyror mund të përdoret kryesisht në termocentrale, industri dhe ngrohje.</w:t>
      </w:r>
    </w:p>
    <w:p w14:paraId="355D87F0" w14:textId="4C6EDA79" w:rsidR="000055CB" w:rsidRPr="00FF756A" w:rsidRDefault="000055CB" w:rsidP="004A3257">
      <w:pPr>
        <w:spacing w:line="240" w:lineRule="auto"/>
      </w:pPr>
      <w:r w:rsidRPr="00FF756A">
        <w:t xml:space="preserve">Integrimi i tregut shqiptar të energjisë elektrike me Kosovën përmes bashkimit të tregjeve të ditës në </w:t>
      </w:r>
      <w:r w:rsidR="00F80D95" w:rsidRPr="00FF756A">
        <w:t>avancë r</w:t>
      </w:r>
      <w:r w:rsidRPr="00FF756A">
        <w:t xml:space="preserve">rit gjithashtu sigurinë energjetike, pasi Shqipëria ka pothuajse 100% kapacitet hidro (e ndjeshme ndaj ndryshimit të kushteve hidrologjike) dhe Kosova ka pothuajse 100% kapacitet </w:t>
      </w:r>
      <w:r w:rsidR="00AE0304" w:rsidRPr="00FF756A">
        <w:t>bazuar në qymyr.</w:t>
      </w:r>
    </w:p>
    <w:p w14:paraId="6034DD39" w14:textId="77777777" w:rsidR="000055CB" w:rsidRPr="00FF756A" w:rsidRDefault="000055CB" w:rsidP="000055CB"/>
    <w:p w14:paraId="6717C825" w14:textId="67ECF879" w:rsidR="000055CB" w:rsidRPr="00FF756A" w:rsidRDefault="00AE0304" w:rsidP="000055CB">
      <w:pPr>
        <w:spacing w:after="120"/>
      </w:pPr>
      <w:r w:rsidRPr="00FF756A">
        <w:t xml:space="preserve">Objektivat e sigurisë </w:t>
      </w:r>
      <w:r w:rsidR="000055CB" w:rsidRPr="00FF756A">
        <w:t>kombëtare të përcaktuara nga Strategjia Kombëtare e Energjisë e miratuar 2018–2030,</w:t>
      </w:r>
      <w:r w:rsidR="00B97D62" w:rsidRPr="00FF756A">
        <w:t xml:space="preserve"> dhe që janë të vlefshme</w:t>
      </w:r>
      <w:r w:rsidR="00F66B86" w:rsidRPr="00FF756A">
        <w:t xml:space="preserve"> në kuadrin e PKEK-ut lidhur me sigurinë energjetike, janë: </w:t>
      </w:r>
    </w:p>
    <w:p w14:paraId="166617A0" w14:textId="1E8B3AFE" w:rsidR="000055CB" w:rsidRPr="00FF756A" w:rsidRDefault="00A0199D" w:rsidP="008639B2">
      <w:pPr>
        <w:pStyle w:val="ListParagraph"/>
        <w:numPr>
          <w:ilvl w:val="0"/>
          <w:numId w:val="58"/>
        </w:numPr>
        <w:pBdr>
          <w:top w:val="none" w:sz="0" w:space="0" w:color="auto"/>
          <w:left w:val="none" w:sz="0" w:space="0" w:color="auto"/>
          <w:bottom w:val="none" w:sz="0" w:space="0" w:color="auto"/>
          <w:right w:val="none" w:sz="0" w:space="0" w:color="auto"/>
          <w:between w:val="none" w:sz="0" w:space="0" w:color="auto"/>
        </w:pBdr>
      </w:pPr>
      <w:r w:rsidRPr="00FF756A">
        <w:t xml:space="preserve">Shtimi </w:t>
      </w:r>
      <w:r w:rsidR="000055CB" w:rsidRPr="00FF756A">
        <w:t>dhe zhvillimi i mëtejshëm i burimeve primare të energjisë në</w:t>
      </w:r>
      <w:r w:rsidRPr="00FF756A">
        <w:t xml:space="preserve"> nivel kombëtar,</w:t>
      </w:r>
      <w:r w:rsidR="000055CB" w:rsidRPr="00FF756A">
        <w:t xml:space="preserve"> mënyrë të qëndrueshme dhe konkurruese. Për të arritur këtë objektiv, është e nevojshme të futet një planifikim integral dhe sistematik i furnizimit të të gjitha produkteve dhe formave të </w:t>
      </w:r>
      <w:r w:rsidR="00EF1651" w:rsidRPr="00FF756A">
        <w:t xml:space="preserve">prodhimit të </w:t>
      </w:r>
      <w:r w:rsidR="000055CB" w:rsidRPr="00FF756A">
        <w:t>energjisë</w:t>
      </w:r>
      <w:r w:rsidR="00EF1651" w:rsidRPr="00FF756A">
        <w:t>.</w:t>
      </w:r>
    </w:p>
    <w:p w14:paraId="3CE26C6C" w14:textId="3686D2C9" w:rsidR="00E72246" w:rsidRPr="00FF756A" w:rsidRDefault="00E72246" w:rsidP="004A3257">
      <w:pPr>
        <w:pStyle w:val="ListParagraph"/>
        <w:numPr>
          <w:ilvl w:val="0"/>
          <w:numId w:val="58"/>
        </w:numPr>
        <w:pBdr>
          <w:top w:val="none" w:sz="0" w:space="0" w:color="auto"/>
          <w:left w:val="none" w:sz="0" w:space="0" w:color="auto"/>
          <w:bottom w:val="none" w:sz="0" w:space="0" w:color="auto"/>
          <w:right w:val="none" w:sz="0" w:space="0" w:color="auto"/>
          <w:between w:val="none" w:sz="0" w:space="0" w:color="auto"/>
        </w:pBdr>
        <w:spacing w:line="240" w:lineRule="auto"/>
        <w:rPr>
          <w:iCs/>
        </w:rPr>
      </w:pPr>
      <w:r w:rsidRPr="00FF756A">
        <w:rPr>
          <w:iCs/>
        </w:rPr>
        <w:t>Krijimi i burimeve të ndryshme të furnizimit përmes investimeve të reja, përforcimi bashkëpunimit dhe integrimit rajonal dhe ndërlidhja me rrjetet evropiane dhe rajonale të energjisë elektrike dhe gazit natyror, në përputhje me Acquis e Traktatit të Komunitetit të</w:t>
      </w:r>
      <w:r w:rsidR="000C7C14" w:rsidRPr="00FF756A">
        <w:rPr>
          <w:iCs/>
        </w:rPr>
        <w:t xml:space="preserve"> </w:t>
      </w:r>
      <w:r w:rsidRPr="00FF756A">
        <w:rPr>
          <w:iCs/>
        </w:rPr>
        <w:t>Energjisë</w:t>
      </w:r>
    </w:p>
    <w:p w14:paraId="06703752" w14:textId="31F85FDC" w:rsidR="000055CB" w:rsidRPr="00FF756A" w:rsidRDefault="000055CB" w:rsidP="008639B2">
      <w:pPr>
        <w:pStyle w:val="ListParagraph"/>
        <w:numPr>
          <w:ilvl w:val="0"/>
          <w:numId w:val="58"/>
        </w:numPr>
        <w:pBdr>
          <w:top w:val="none" w:sz="0" w:space="0" w:color="auto"/>
          <w:left w:val="none" w:sz="0" w:space="0" w:color="auto"/>
          <w:bottom w:val="none" w:sz="0" w:space="0" w:color="auto"/>
          <w:right w:val="none" w:sz="0" w:space="0" w:color="auto"/>
          <w:between w:val="none" w:sz="0" w:space="0" w:color="auto"/>
        </w:pBdr>
      </w:pPr>
      <w:r w:rsidRPr="00FF756A">
        <w:t>Rritja e sigurisë së transmetimit dhe furnizimit me energji përmes diversifikimit të rrugëve të furnizimit me energji dhe përmirësimi i sigurisë dhe besueshmërisë së tyre nëpërmjet investimeve kosto-ef</w:t>
      </w:r>
      <w:r w:rsidR="000C7C14" w:rsidRPr="00FF756A">
        <w:t>ikase.</w:t>
      </w:r>
      <w:r w:rsidRPr="00FF756A">
        <w:t xml:space="preserve"> Rritja e sigurisë së furnizimit me energji me kosto të përballueshme për qytetarët dhe</w:t>
      </w:r>
      <w:r w:rsidR="000C7C14" w:rsidRPr="00FF756A">
        <w:t xml:space="preserve"> për </w:t>
      </w:r>
      <w:r w:rsidRPr="00FF756A">
        <w:t xml:space="preserve">ekonominë </w:t>
      </w:r>
      <w:r w:rsidR="000C7C14" w:rsidRPr="00FF756A">
        <w:t>e Shqipërisë</w:t>
      </w:r>
      <w:r w:rsidRPr="00FF756A">
        <w:t>.</w:t>
      </w:r>
    </w:p>
    <w:p w14:paraId="1A06F9FE" w14:textId="340F53E1" w:rsidR="000055CB" w:rsidRPr="00FF756A" w:rsidRDefault="000055CB" w:rsidP="008639B2">
      <w:pPr>
        <w:pStyle w:val="ListParagraph"/>
        <w:numPr>
          <w:ilvl w:val="0"/>
          <w:numId w:val="58"/>
        </w:numPr>
        <w:pBdr>
          <w:top w:val="none" w:sz="0" w:space="0" w:color="auto"/>
          <w:left w:val="none" w:sz="0" w:space="0" w:color="auto"/>
          <w:bottom w:val="none" w:sz="0" w:space="0" w:color="auto"/>
          <w:right w:val="none" w:sz="0" w:space="0" w:color="auto"/>
          <w:between w:val="none" w:sz="0" w:space="0" w:color="auto"/>
        </w:pBdr>
      </w:pPr>
      <w:r w:rsidRPr="00FF756A">
        <w:t xml:space="preserve">Integrimi i tregut shqiptar të energjisë elektrike dhe gazit natyror me Kosovën, rajonin dhe tregjet evropiane. </w:t>
      </w:r>
      <w:r w:rsidR="000C7C14" w:rsidRPr="00FF756A">
        <w:t xml:space="preserve">Bashkimi i </w:t>
      </w:r>
      <w:r w:rsidRPr="00FF756A">
        <w:t>tregu</w:t>
      </w:r>
      <w:r w:rsidR="000C7C14" w:rsidRPr="00FF756A">
        <w:t>t</w:t>
      </w:r>
      <w:r w:rsidR="00A16C93" w:rsidRPr="00FF756A">
        <w:t xml:space="preserve"> të</w:t>
      </w:r>
      <w:r w:rsidRPr="00FF756A">
        <w:t xml:space="preserve"> energjisë elektrike në përputhje me angazhimet e marra në kuadër të </w:t>
      </w:r>
      <w:r w:rsidR="00A16C93" w:rsidRPr="00FF756A">
        <w:t>P</w:t>
      </w:r>
      <w:r w:rsidRPr="00FF756A">
        <w:t>rocesi</w:t>
      </w:r>
      <w:r w:rsidR="00A16C93" w:rsidRPr="00FF756A">
        <w:t>t të</w:t>
      </w:r>
      <w:r w:rsidRPr="00FF756A">
        <w:t xml:space="preserve"> Berlinit.</w:t>
      </w:r>
    </w:p>
    <w:p w14:paraId="18B13767" w14:textId="7AF724E4" w:rsidR="000055CB" w:rsidRPr="00FF756A" w:rsidRDefault="000055CB" w:rsidP="008639B2">
      <w:pPr>
        <w:pStyle w:val="ListParagraph"/>
        <w:numPr>
          <w:ilvl w:val="0"/>
          <w:numId w:val="58"/>
        </w:numPr>
        <w:pBdr>
          <w:top w:val="none" w:sz="0" w:space="0" w:color="auto"/>
          <w:left w:val="none" w:sz="0" w:space="0" w:color="auto"/>
          <w:bottom w:val="none" w:sz="0" w:space="0" w:color="auto"/>
          <w:right w:val="none" w:sz="0" w:space="0" w:color="auto"/>
          <w:between w:val="none" w:sz="0" w:space="0" w:color="auto"/>
        </w:pBdr>
      </w:pPr>
      <w:r w:rsidRPr="00FF756A">
        <w:t xml:space="preserve">Siguria e furnizimit me energji do të bazohet në tregje konkurruese energjetike që funksionojnë mirë, që ofrojnë </w:t>
      </w:r>
      <w:r w:rsidR="00A16C93" w:rsidRPr="00FF756A">
        <w:t xml:space="preserve">mundësitë </w:t>
      </w:r>
      <w:r w:rsidRPr="00FF756A">
        <w:t xml:space="preserve">e duhura për prodhimin dhe konsumin e energjisë elektrike dhe gazit dhe një politikë </w:t>
      </w:r>
      <w:r w:rsidR="006B3D19" w:rsidRPr="00FF756A">
        <w:t>afatgjatë për</w:t>
      </w:r>
      <w:r w:rsidRPr="00FF756A">
        <w:t xml:space="preserve"> energj</w:t>
      </w:r>
      <w:r w:rsidR="006B3D19" w:rsidRPr="00FF756A">
        <w:t>inë,</w:t>
      </w:r>
      <w:r w:rsidRPr="00FF756A">
        <w:t xml:space="preserve"> që </w:t>
      </w:r>
      <w:r w:rsidR="006B3D19" w:rsidRPr="00FF756A">
        <w:t>nxit</w:t>
      </w:r>
      <w:r w:rsidRPr="00FF756A">
        <w:t xml:space="preserve"> investimet.</w:t>
      </w:r>
    </w:p>
    <w:p w14:paraId="61A731BF" w14:textId="57BF1869" w:rsidR="000055CB" w:rsidRPr="00FF756A" w:rsidRDefault="00BE1786" w:rsidP="008639B2">
      <w:pPr>
        <w:pStyle w:val="ListParagraph"/>
        <w:numPr>
          <w:ilvl w:val="0"/>
          <w:numId w:val="58"/>
        </w:numPr>
        <w:pBdr>
          <w:top w:val="none" w:sz="0" w:space="0" w:color="auto"/>
          <w:left w:val="none" w:sz="0" w:space="0" w:color="auto"/>
          <w:bottom w:val="none" w:sz="0" w:space="0" w:color="auto"/>
          <w:right w:val="none" w:sz="0" w:space="0" w:color="auto"/>
          <w:between w:val="none" w:sz="0" w:space="0" w:color="auto"/>
        </w:pBdr>
      </w:pPr>
      <w:r w:rsidRPr="00FF756A">
        <w:t>Shtimi i</w:t>
      </w:r>
      <w:r w:rsidR="000055CB" w:rsidRPr="00FF756A">
        <w:t xml:space="preserve"> kapacitet</w:t>
      </w:r>
      <w:r w:rsidRPr="00FF756A">
        <w:t>eve</w:t>
      </w:r>
      <w:r w:rsidR="000055CB" w:rsidRPr="00FF756A">
        <w:t xml:space="preserve"> të ruajtjes së gazit, naftës dhe energjisë në sistemin energjetik në përputhje me Direktivën 2009/119/EC të datës 14 shtator 2009</w:t>
      </w:r>
      <w:r w:rsidRPr="00FF756A">
        <w:t>,</w:t>
      </w:r>
      <w:r w:rsidR="000055CB" w:rsidRPr="00FF756A">
        <w:t xml:space="preserve"> që vendos detyrimin për të mbajtur stoqe minimale të produkteve.</w:t>
      </w:r>
    </w:p>
    <w:p w14:paraId="662C6997" w14:textId="59185613" w:rsidR="000055CB" w:rsidRPr="00FF756A" w:rsidRDefault="000055CB" w:rsidP="008639B2">
      <w:pPr>
        <w:pStyle w:val="ListParagraph"/>
        <w:numPr>
          <w:ilvl w:val="0"/>
          <w:numId w:val="59"/>
        </w:numPr>
        <w:pBdr>
          <w:top w:val="none" w:sz="0" w:space="0" w:color="auto"/>
          <w:left w:val="none" w:sz="0" w:space="0" w:color="auto"/>
          <w:bottom w:val="none" w:sz="0" w:space="0" w:color="auto"/>
          <w:right w:val="none" w:sz="0" w:space="0" w:color="auto"/>
          <w:between w:val="none" w:sz="0" w:space="0" w:color="auto"/>
        </w:pBdr>
      </w:pPr>
      <w:r w:rsidRPr="00FF756A">
        <w:t>Arritja e objektivave të vendit për burimet e rinovueshme të energjisë, efiçencën e energjisë, reduktimin e intensitetit energjetik të PBB-së dhe zhvillimin e politikave dhe strategjive me kosto ef</w:t>
      </w:r>
      <w:r w:rsidR="00BE1786" w:rsidRPr="00FF756A">
        <w:t>ikase</w:t>
      </w:r>
      <w:r w:rsidRPr="00FF756A">
        <w:t xml:space="preserve"> për rritjen e performancës energjetike në ndërtesat publike dhe rezidenciale</w:t>
      </w:r>
      <w:r w:rsidR="00BE1786" w:rsidRPr="00FF756A">
        <w:t>,</w:t>
      </w:r>
      <w:r w:rsidRPr="00FF756A">
        <w:t xml:space="preserve"> pritet të kenë një efekt stabilizues në sigurinë e furnizimit.</w:t>
      </w:r>
    </w:p>
    <w:p w14:paraId="50DBB3B3" w14:textId="0B79776D" w:rsidR="000055CB" w:rsidRPr="00FF756A" w:rsidRDefault="00BE1786" w:rsidP="008639B2">
      <w:pPr>
        <w:pStyle w:val="ListParagraph"/>
        <w:numPr>
          <w:ilvl w:val="0"/>
          <w:numId w:val="59"/>
        </w:numPr>
        <w:pBdr>
          <w:top w:val="none" w:sz="0" w:space="0" w:color="auto"/>
          <w:left w:val="none" w:sz="0" w:space="0" w:color="auto"/>
          <w:bottom w:val="none" w:sz="0" w:space="0" w:color="auto"/>
          <w:right w:val="none" w:sz="0" w:space="0" w:color="auto"/>
          <w:between w:val="none" w:sz="0" w:space="0" w:color="auto"/>
        </w:pBdr>
      </w:pPr>
      <w:r w:rsidRPr="00FF756A">
        <w:t>Krijimi</w:t>
      </w:r>
      <w:r w:rsidR="000055CB" w:rsidRPr="00FF756A">
        <w:t xml:space="preserve"> i një kuadri politikash për energjinë (përfshirë efiçencën e energjisë për transport të qëndrueshëm) në </w:t>
      </w:r>
      <w:r w:rsidR="006003F1" w:rsidRPr="00FF756A">
        <w:t xml:space="preserve">fushën e </w:t>
      </w:r>
      <w:r w:rsidR="000055CB" w:rsidRPr="00FF756A">
        <w:t>transport</w:t>
      </w:r>
      <w:r w:rsidR="006003F1" w:rsidRPr="00FF756A">
        <w:t>it, duke u</w:t>
      </w:r>
      <w:r w:rsidR="000055CB" w:rsidRPr="00FF756A">
        <w:t xml:space="preserve"> bazuar në Strategjinë </w:t>
      </w:r>
      <w:r w:rsidR="006003F1" w:rsidRPr="00FF756A">
        <w:t>s</w:t>
      </w:r>
      <w:r w:rsidR="000055CB" w:rsidRPr="00FF756A">
        <w:t xml:space="preserve">ektoriale të </w:t>
      </w:r>
      <w:r w:rsidR="006003F1" w:rsidRPr="00FF756A">
        <w:t>t</w:t>
      </w:r>
      <w:r w:rsidR="000055CB" w:rsidRPr="00FF756A">
        <w:t>ransportit në Shqipëri dhe futja e teknologjive të reja në të gjithë sektorët e saj pritet gjithashtu të ketë një efekt stabilizues në sigurinë e furnizimit</w:t>
      </w:r>
      <w:r w:rsidR="006003F1" w:rsidRPr="00FF756A">
        <w:t>,</w:t>
      </w:r>
      <w:r w:rsidR="000055CB" w:rsidRPr="00FF756A">
        <w:t xml:space="preserve"> duke ulur sasia e importit të naftës dhe benzinës.</w:t>
      </w:r>
    </w:p>
    <w:p w14:paraId="1789BECF" w14:textId="2D9C4AC6" w:rsidR="000055CB" w:rsidRPr="00FF756A" w:rsidRDefault="000055CB" w:rsidP="008639B2">
      <w:pPr>
        <w:pStyle w:val="ListParagraph"/>
        <w:numPr>
          <w:ilvl w:val="0"/>
          <w:numId w:val="59"/>
        </w:numPr>
        <w:pBdr>
          <w:top w:val="none" w:sz="0" w:space="0" w:color="auto"/>
          <w:left w:val="none" w:sz="0" w:space="0" w:color="auto"/>
          <w:bottom w:val="none" w:sz="0" w:space="0" w:color="auto"/>
          <w:right w:val="none" w:sz="0" w:space="0" w:color="auto"/>
          <w:between w:val="none" w:sz="0" w:space="0" w:color="auto"/>
        </w:pBdr>
      </w:pPr>
      <w:r w:rsidRPr="00FF756A">
        <w:t>Transporti rrugor do të z</w:t>
      </w:r>
      <w:r w:rsidR="0023104F" w:rsidRPr="00FF756A">
        <w:t xml:space="preserve">ëvendësohet nga modalitete </w:t>
      </w:r>
      <w:r w:rsidRPr="00FF756A">
        <w:t xml:space="preserve">të tjera transporti, </w:t>
      </w:r>
      <w:r w:rsidR="00F96D31" w:rsidRPr="00FF756A">
        <w:t>të tilla s</w:t>
      </w:r>
      <w:r w:rsidRPr="00FF756A">
        <w:t>i transporti hekurudhor ose ujor. Përmbushja e këtij objektivi do të kontribuojë në uljen e konsumit të karburantit.</w:t>
      </w:r>
    </w:p>
    <w:p w14:paraId="1A69CA71" w14:textId="30D84C11" w:rsidR="000055CB" w:rsidRPr="00FF756A" w:rsidRDefault="000055CB" w:rsidP="008639B2">
      <w:pPr>
        <w:pStyle w:val="ListParagraph"/>
        <w:numPr>
          <w:ilvl w:val="0"/>
          <w:numId w:val="59"/>
        </w:numPr>
        <w:pBdr>
          <w:top w:val="none" w:sz="0" w:space="0" w:color="auto"/>
          <w:left w:val="none" w:sz="0" w:space="0" w:color="auto"/>
          <w:bottom w:val="none" w:sz="0" w:space="0" w:color="auto"/>
          <w:right w:val="none" w:sz="0" w:space="0" w:color="auto"/>
          <w:between w:val="none" w:sz="0" w:space="0" w:color="auto"/>
        </w:pBdr>
      </w:pPr>
      <w:r w:rsidRPr="00FF756A">
        <w:t>Rinovimi i industrisë së naftës dhe naftës dhe infrastrukturës së furnizimit, sisteme</w:t>
      </w:r>
      <w:r w:rsidR="00F96D31" w:rsidRPr="00FF756A">
        <w:t>ve të</w:t>
      </w:r>
      <w:r w:rsidRPr="00FF756A">
        <w:t xml:space="preserve"> kontrollit të cilësisë dhe futja e teknologjive të reja në sektorin e naftës.</w:t>
      </w:r>
    </w:p>
    <w:p w14:paraId="67881037" w14:textId="49850E9E" w:rsidR="000055CB" w:rsidRPr="00FF756A" w:rsidRDefault="000055CB" w:rsidP="008639B2">
      <w:pPr>
        <w:pStyle w:val="ListParagraph"/>
        <w:numPr>
          <w:ilvl w:val="0"/>
          <w:numId w:val="59"/>
        </w:numPr>
        <w:pBdr>
          <w:top w:val="none" w:sz="0" w:space="0" w:color="auto"/>
          <w:left w:val="none" w:sz="0" w:space="0" w:color="auto"/>
          <w:bottom w:val="none" w:sz="0" w:space="0" w:color="auto"/>
          <w:right w:val="none" w:sz="0" w:space="0" w:color="auto"/>
          <w:between w:val="none" w:sz="0" w:space="0" w:color="auto"/>
        </w:pBdr>
      </w:pPr>
      <w:r w:rsidRPr="00FF756A">
        <w:lastRenderedPageBreak/>
        <w:t xml:space="preserve">Planifikimi i </w:t>
      </w:r>
      <w:r w:rsidR="00F96D31" w:rsidRPr="00FF756A">
        <w:t xml:space="preserve">kërkimit </w:t>
      </w:r>
      <w:r w:rsidRPr="00FF756A">
        <w:t>të rezervave të naftës në vend dhe krijimi i stoku</w:t>
      </w:r>
      <w:r w:rsidR="00773D33" w:rsidRPr="00FF756A">
        <w:t>t</w:t>
      </w:r>
      <w:r w:rsidRPr="00FF756A">
        <w:t xml:space="preserve"> </w:t>
      </w:r>
      <w:r w:rsidR="00773D33" w:rsidRPr="00FF756A">
        <w:t>të rezervave/</w:t>
      </w:r>
      <w:r w:rsidRPr="00FF756A">
        <w:t>sigurisë</w:t>
      </w:r>
      <w:r w:rsidR="00773D33" w:rsidRPr="00FF756A">
        <w:t xml:space="preserve"> kombëtare.</w:t>
      </w:r>
    </w:p>
    <w:p w14:paraId="69E2EC8A" w14:textId="77777777" w:rsidR="000055CB" w:rsidRPr="00FF756A" w:rsidRDefault="000055CB" w:rsidP="000055CB">
      <w:pPr>
        <w:rPr>
          <w:color w:val="44546A" w:themeColor="text2"/>
        </w:rPr>
      </w:pPr>
      <w:bookmarkStart w:id="263" w:name="_Toc46945547"/>
    </w:p>
    <w:p w14:paraId="41994CD0" w14:textId="3EEF8024" w:rsidR="000055CB" w:rsidRPr="00FF756A" w:rsidRDefault="000055CB" w:rsidP="004A3257">
      <w:pPr>
        <w:pStyle w:val="Heading3"/>
        <w:numPr>
          <w:ilvl w:val="2"/>
          <w:numId w:val="249"/>
        </w:numPr>
        <w:rPr>
          <w:color w:val="auto"/>
        </w:rPr>
      </w:pPr>
      <w:bookmarkStart w:id="264" w:name="_Toc100575569"/>
      <w:bookmarkStart w:id="265" w:name="_Toc181516997"/>
      <w:bookmarkStart w:id="266" w:name="_Toc183639212"/>
      <w:r w:rsidRPr="00FF756A">
        <w:t>Objektivat kombëtare në lidhje me diversifikimin dhe elasticitetin</w:t>
      </w:r>
      <w:bookmarkEnd w:id="263"/>
      <w:bookmarkEnd w:id="264"/>
      <w:bookmarkEnd w:id="265"/>
      <w:bookmarkEnd w:id="266"/>
      <w:r w:rsidRPr="00FF756A">
        <w:t xml:space="preserve"> </w:t>
      </w:r>
      <w:bookmarkStart w:id="267" w:name="_Hlk39347595"/>
    </w:p>
    <w:p w14:paraId="3124A9DF" w14:textId="2E410D0D" w:rsidR="000055CB" w:rsidRPr="00FF756A" w:rsidRDefault="000055CB" w:rsidP="004A3257">
      <w:pPr>
        <w:spacing w:line="240" w:lineRule="auto"/>
      </w:pPr>
      <w:bookmarkStart w:id="268" w:name="_Toc46945548"/>
      <w:bookmarkEnd w:id="267"/>
      <w:r w:rsidRPr="00FF756A">
        <w:t xml:space="preserve">Strategjia Kombëtare e Energjisë 2018-2030 parashikon stimulimin e diversifikimit të duhur të prodhimit të energjisë përmes investimeve të reja, rritjes së bashkëpunimit rajonal dhe integrimit dhe ndërlidhjes me rrjetet rajonale dhe evropiane të energjisë elektrike dhe gazit natyror në përputhje me </w:t>
      </w:r>
      <w:r w:rsidR="00EC0674" w:rsidRPr="00FF756A">
        <w:rPr>
          <w:i/>
          <w:iCs/>
        </w:rPr>
        <w:t>legjislacionin e</w:t>
      </w:r>
      <w:r w:rsidRPr="00FF756A">
        <w:t xml:space="preserve"> Traktatit të Komunitetit të Energjisë. Në sektorin e energjisë</w:t>
      </w:r>
      <w:r w:rsidR="00D35FA4" w:rsidRPr="00FF756A">
        <w:t xml:space="preserve"> elektrike</w:t>
      </w:r>
      <w:r w:rsidRPr="00FF756A">
        <w:t xml:space="preserve">, Shqipëria </w:t>
      </w:r>
      <w:r w:rsidR="00D16EC8" w:rsidRPr="00FF756A">
        <w:t xml:space="preserve">varet </w:t>
      </w:r>
      <w:r w:rsidRPr="00FF756A">
        <w:t xml:space="preserve">pothuajse tërësisht nga </w:t>
      </w:r>
      <w:r w:rsidR="00D16EC8" w:rsidRPr="00FF756A">
        <w:t xml:space="preserve">energjia hidrike. Shtimi i </w:t>
      </w:r>
      <w:r w:rsidRPr="00FF756A">
        <w:t xml:space="preserve">BRE-ve, </w:t>
      </w:r>
      <w:r w:rsidR="003A3E62" w:rsidRPr="00FF756A">
        <w:t xml:space="preserve">të ndryshme nga energjia hidrike, </w:t>
      </w:r>
      <w:r w:rsidRPr="00FF756A">
        <w:t xml:space="preserve"> në strukturën e produkteve të përdorura</w:t>
      </w:r>
      <w:r w:rsidR="003A3E62" w:rsidRPr="00FF756A">
        <w:t xml:space="preserve"> për prodhimin e</w:t>
      </w:r>
      <w:r w:rsidRPr="00FF756A">
        <w:t xml:space="preserve"> energjisë</w:t>
      </w:r>
      <w:r w:rsidR="003A3E62" w:rsidRPr="00FF756A">
        <w:t>,</w:t>
      </w:r>
      <w:r w:rsidRPr="00FF756A">
        <w:t xml:space="preserve"> do të kontribuojë në uljen e varësisë nga burimet ujore.</w:t>
      </w:r>
    </w:p>
    <w:p w14:paraId="79E877C2" w14:textId="30C95B49" w:rsidR="00A5015E" w:rsidRPr="00FF756A" w:rsidRDefault="00A5015E" w:rsidP="004A3257">
      <w:pPr>
        <w:spacing w:line="240" w:lineRule="auto"/>
      </w:pPr>
      <w:r w:rsidRPr="00FF756A">
        <w:t>Për të rritur pjesën e burimeve të rinovueshme në miksin energjetik, janë ndërmarrë disa masa kyçe. Këto përfshijnë vendosjen e tarifave stimuluese për prodhuesit e vegjël, deri në 2 MW ose 3 MW për centralet me erë, krijimin e një kuadri për vetë-konsumatorët e energjisë, si dhe organizimin e tenderëve të mëdhenj për zgjerimin e kapaciteteve të reja për energjinë nga era dhe panelet diellore (PV). Për më tepër, disa projekte të mëdha në shkallë industriale, edhe pa mbështetje qeveritare, pritet të realizohen falë krijimit të bursës së energjisë dhe çmimeve të larta të energjisë elektrike në tregjet ndërkombëtare.</w:t>
      </w:r>
    </w:p>
    <w:p w14:paraId="32B89F85" w14:textId="77777777" w:rsidR="00522E7D" w:rsidRPr="00FF756A" w:rsidRDefault="00522E7D" w:rsidP="004A3257">
      <w:pPr>
        <w:spacing w:line="240" w:lineRule="auto"/>
      </w:pPr>
    </w:p>
    <w:p w14:paraId="12AE0F65" w14:textId="37BFD7A3" w:rsidR="000055CB" w:rsidRPr="00FF756A" w:rsidRDefault="000055CB" w:rsidP="00AF581D">
      <w:pPr>
        <w:spacing w:line="240" w:lineRule="auto"/>
      </w:pPr>
      <w:r w:rsidRPr="00FF756A">
        <w:t xml:space="preserve">Ndërtimi i gazsjellësit TAP dhe </w:t>
      </w:r>
      <w:r w:rsidR="002C1A40" w:rsidRPr="00FF756A">
        <w:t xml:space="preserve">qëllimi </w:t>
      </w:r>
      <w:r w:rsidRPr="00FF756A">
        <w:t xml:space="preserve">përkatës për krijimin e një tregu rajonal të gazit pritet të kontribuojë në diversifikimin e burimeve të energjisë. Furnizimi me gaz i termocentralit ekzistues në Vlorë do të kontribuojë në rritjen e diversitetit të </w:t>
      </w:r>
      <w:r w:rsidR="00AD0DBC" w:rsidRPr="00FF756A">
        <w:t xml:space="preserve">burimeve të </w:t>
      </w:r>
      <w:r w:rsidRPr="00FF756A">
        <w:t>energjisë.</w:t>
      </w:r>
    </w:p>
    <w:p w14:paraId="7F2B5B3E" w14:textId="77777777" w:rsidR="00AF581D" w:rsidRPr="00FF756A" w:rsidRDefault="00AF581D" w:rsidP="004A3257">
      <w:pPr>
        <w:spacing w:line="240" w:lineRule="auto"/>
      </w:pPr>
    </w:p>
    <w:p w14:paraId="5FBB42AC" w14:textId="35756D52" w:rsidR="00AF581D" w:rsidRPr="00FF756A" w:rsidRDefault="00AF581D" w:rsidP="004A3257">
      <w:pPr>
        <w:spacing w:line="240" w:lineRule="auto"/>
      </w:pPr>
      <w:r w:rsidRPr="00FF756A">
        <w:t>Pritet që objektivat e biokarburanteve prej 10%, si përqindje e biokarburanteve, përkundrejt konsumit total të lëndëve djegëse në sektorin e transportit në vitin 2030, të kenë ndikim në diversifikimin e burimeve të energjisë në sektorin e transportit</w:t>
      </w:r>
    </w:p>
    <w:p w14:paraId="718B957B" w14:textId="77777777" w:rsidR="000055CB" w:rsidRPr="00FF756A" w:rsidRDefault="000055CB" w:rsidP="000055CB">
      <w:pPr>
        <w:spacing w:before="0" w:after="0" w:line="240" w:lineRule="auto"/>
        <w:jc w:val="left"/>
        <w:rPr>
          <w:sz w:val="24"/>
          <w:szCs w:val="24"/>
        </w:rPr>
      </w:pPr>
    </w:p>
    <w:p w14:paraId="12F28DCA" w14:textId="1AF2A987" w:rsidR="000055CB" w:rsidRPr="00FF756A" w:rsidRDefault="000055CB" w:rsidP="004A3257">
      <w:pPr>
        <w:pStyle w:val="Heading3"/>
        <w:numPr>
          <w:ilvl w:val="2"/>
          <w:numId w:val="249"/>
        </w:numPr>
      </w:pPr>
      <w:bookmarkStart w:id="269" w:name="_Toc100575570"/>
      <w:bookmarkStart w:id="270" w:name="_Toc181516998"/>
      <w:bookmarkStart w:id="271" w:name="_Toc183639213"/>
      <w:r w:rsidRPr="00FF756A">
        <w:t>Objektivat kombëtare lidh</w:t>
      </w:r>
      <w:r w:rsidR="00AF581D" w:rsidRPr="00FF756A">
        <w:t>ur</w:t>
      </w:r>
      <w:r w:rsidRPr="00FF756A">
        <w:t xml:space="preserve"> me reduktimin e varësisë n</w:t>
      </w:r>
      <w:r w:rsidR="00F06AAC" w:rsidRPr="00FF756A">
        <w:t>daj</w:t>
      </w:r>
      <w:r w:rsidRPr="00FF756A">
        <w:t xml:space="preserve"> import</w:t>
      </w:r>
      <w:r w:rsidR="00F06AAC" w:rsidRPr="00FF756A">
        <w:t>eve të</w:t>
      </w:r>
      <w:r w:rsidRPr="00FF756A">
        <w:t xml:space="preserve"> energjisë</w:t>
      </w:r>
      <w:bookmarkEnd w:id="268"/>
      <w:bookmarkEnd w:id="269"/>
      <w:bookmarkEnd w:id="270"/>
      <w:bookmarkEnd w:id="271"/>
      <w:r w:rsidRPr="00FF756A">
        <w:t xml:space="preserve"> </w:t>
      </w:r>
    </w:p>
    <w:p w14:paraId="564D435D" w14:textId="77777777" w:rsidR="00F06AAC" w:rsidRPr="00FF756A" w:rsidRDefault="00F06AAC" w:rsidP="000055CB">
      <w:bookmarkStart w:id="272" w:name="_Toc46945549"/>
    </w:p>
    <w:p w14:paraId="7E364CD4" w14:textId="69D2C7F0" w:rsidR="000055CB" w:rsidRPr="00FF756A" w:rsidRDefault="000055CB" w:rsidP="000055CB">
      <w:r w:rsidRPr="00FF756A">
        <w:t>Objektivat kryesore janë si më poshtë:</w:t>
      </w:r>
    </w:p>
    <w:p w14:paraId="042E680A" w14:textId="6A5E6A72" w:rsidR="000055CB" w:rsidRPr="00FF756A" w:rsidRDefault="00D0108C" w:rsidP="008639B2">
      <w:pPr>
        <w:pStyle w:val="ListParagraph"/>
        <w:numPr>
          <w:ilvl w:val="0"/>
          <w:numId w:val="60"/>
        </w:numPr>
        <w:pBdr>
          <w:top w:val="none" w:sz="0" w:space="0" w:color="auto"/>
          <w:left w:val="none" w:sz="0" w:space="0" w:color="auto"/>
          <w:bottom w:val="none" w:sz="0" w:space="0" w:color="auto"/>
          <w:right w:val="none" w:sz="0" w:space="0" w:color="auto"/>
          <w:between w:val="none" w:sz="0" w:space="0" w:color="auto"/>
        </w:pBdr>
      </w:pPr>
      <w:r w:rsidRPr="00FF756A">
        <w:t xml:space="preserve">Reduktimi i varësisë ndaj importeve të energjisë </w:t>
      </w:r>
      <w:r w:rsidR="000055CB" w:rsidRPr="00FF756A">
        <w:t>elektrike</w:t>
      </w:r>
    </w:p>
    <w:p w14:paraId="035A0767" w14:textId="36F2E3D8" w:rsidR="000055CB" w:rsidRPr="00FF756A" w:rsidRDefault="00D0108C" w:rsidP="008639B2">
      <w:pPr>
        <w:pStyle w:val="ListParagraph"/>
        <w:numPr>
          <w:ilvl w:val="0"/>
          <w:numId w:val="60"/>
        </w:numPr>
        <w:pBdr>
          <w:top w:val="none" w:sz="0" w:space="0" w:color="auto"/>
          <w:left w:val="none" w:sz="0" w:space="0" w:color="auto"/>
          <w:bottom w:val="none" w:sz="0" w:space="0" w:color="auto"/>
          <w:right w:val="none" w:sz="0" w:space="0" w:color="auto"/>
          <w:between w:val="none" w:sz="0" w:space="0" w:color="auto"/>
        </w:pBdr>
      </w:pPr>
      <w:r w:rsidRPr="00FF756A">
        <w:t>Reduktimi i varësisë</w:t>
      </w:r>
      <w:r w:rsidR="00FC7244" w:rsidRPr="00FF756A">
        <w:t xml:space="preserve"> ndja importeve të produkteve të </w:t>
      </w:r>
      <w:r w:rsidR="000055CB" w:rsidRPr="00FF756A">
        <w:t>naftës</w:t>
      </w:r>
    </w:p>
    <w:p w14:paraId="42CBAB4E" w14:textId="77777777" w:rsidR="00FC7244" w:rsidRPr="00FF756A" w:rsidRDefault="00FC7244" w:rsidP="000055CB">
      <w:pPr>
        <w:rPr>
          <w:b/>
        </w:rPr>
      </w:pPr>
    </w:p>
    <w:p w14:paraId="2FDA9DA3" w14:textId="1F1BA33F" w:rsidR="000055CB" w:rsidRPr="00FF756A" w:rsidRDefault="000055CB" w:rsidP="000055CB">
      <w:pPr>
        <w:rPr>
          <w:b/>
        </w:rPr>
      </w:pPr>
      <w:r w:rsidRPr="00FF756A">
        <w:rPr>
          <w:b/>
        </w:rPr>
        <w:t>Sektori i energjisë</w:t>
      </w:r>
      <w:r w:rsidR="00FC7244" w:rsidRPr="00FF756A">
        <w:rPr>
          <w:b/>
        </w:rPr>
        <w:t xml:space="preserve"> elektrike:</w:t>
      </w:r>
    </w:p>
    <w:p w14:paraId="70DE37ED" w14:textId="68E5B035" w:rsidR="000055CB" w:rsidRPr="00FF756A" w:rsidRDefault="000055CB" w:rsidP="000055CB">
      <w:r w:rsidRPr="00FF756A">
        <w:t xml:space="preserve">Zgjerimi i kapaciteteve të reja </w:t>
      </w:r>
      <w:r w:rsidR="00FC7244" w:rsidRPr="00FF756A">
        <w:t>prodhuese</w:t>
      </w:r>
      <w:r w:rsidRPr="00FF756A">
        <w:t xml:space="preserve"> në të ardhmen: projekti i Skavicës , disa HEC-e të reja të mëdha si </w:t>
      </w:r>
      <w:r w:rsidR="00013FE1" w:rsidRPr="00FF756A">
        <w:t>K</w:t>
      </w:r>
      <w:r w:rsidRPr="00FF756A">
        <w:t xml:space="preserve">askada e </w:t>
      </w:r>
      <w:r w:rsidR="00013FE1" w:rsidRPr="00FF756A">
        <w:t>L</w:t>
      </w:r>
      <w:r w:rsidRPr="00FF756A">
        <w:t xml:space="preserve">umit Devoll , </w:t>
      </w:r>
      <w:r w:rsidR="00013FE1" w:rsidRPr="00FF756A">
        <w:t>K</w:t>
      </w:r>
      <w:r w:rsidRPr="00FF756A">
        <w:t xml:space="preserve">askada e </w:t>
      </w:r>
      <w:r w:rsidR="00013FE1" w:rsidRPr="00FF756A">
        <w:t>L</w:t>
      </w:r>
      <w:r w:rsidRPr="00FF756A">
        <w:t>umit Fan</w:t>
      </w:r>
      <w:r w:rsidR="00F642BC" w:rsidRPr="00FF756A">
        <w:t>;</w:t>
      </w:r>
      <w:r w:rsidRPr="00FF756A">
        <w:t xml:space="preserve"> disa termocentrale të vegjël që janë në ndërtim e sipër</w:t>
      </w:r>
      <w:r w:rsidR="00F642BC" w:rsidRPr="00FF756A">
        <w:t>;</w:t>
      </w:r>
      <w:r w:rsidRPr="00FF756A">
        <w:t xml:space="preserve"> fotovoltaikë dhe impiante me erë, etj. do të kontribuojnë në uljen e varësisë nga importi i energjisë. </w:t>
      </w:r>
    </w:p>
    <w:p w14:paraId="142E364B" w14:textId="77777777" w:rsidR="006F686C" w:rsidRPr="00FF756A" w:rsidRDefault="006F686C" w:rsidP="000055CB"/>
    <w:p w14:paraId="18146467" w14:textId="77777777" w:rsidR="000055CB" w:rsidRPr="00FF756A" w:rsidRDefault="000055CB" w:rsidP="000055CB">
      <w:pPr>
        <w:rPr>
          <w:b/>
        </w:rPr>
      </w:pPr>
      <w:r w:rsidRPr="00FF756A">
        <w:rPr>
          <w:b/>
        </w:rPr>
        <w:t>Sektori i gazit:</w:t>
      </w:r>
    </w:p>
    <w:p w14:paraId="6DF89BAA" w14:textId="2944203D" w:rsidR="00EC7477" w:rsidRPr="00FF756A" w:rsidRDefault="00EC7477" w:rsidP="00EC7477">
      <w:pPr>
        <w:spacing w:line="240" w:lineRule="auto"/>
      </w:pPr>
      <w:r w:rsidRPr="00FF756A">
        <w:t>Krijimi dhe funksionimi i tregut të gazit dhe krijimi i një klime të favorshme të investimeve, për investimet në sistemin kombëtar të transmetimit dhe shpërndarjes së gazit dhe integrimi në rrjetet rajonale dhe ndërkombëtare do të kontribuojë në reduktimin e varësisë ndaj importeve të energjisë dhe në fleksibilitetin e sistemeve kombëtare të energjisë. Furnizimi me gaz i termocentralit ekzistues të Vlorës dhe TEC-i i planifikuar në Korçë do të kontribuojë në reduktimin e sasisë së importeve të energjisë dhe rritjen e diversitetit të burimeve të energjisë.</w:t>
      </w:r>
    </w:p>
    <w:p w14:paraId="6E6F6D93" w14:textId="77777777" w:rsidR="00EC7477" w:rsidRPr="00FF756A" w:rsidRDefault="00EC7477" w:rsidP="004A3257">
      <w:pPr>
        <w:spacing w:line="240" w:lineRule="auto"/>
      </w:pPr>
    </w:p>
    <w:p w14:paraId="369CDA95" w14:textId="77777777" w:rsidR="000055CB" w:rsidRPr="00FF756A" w:rsidRDefault="000055CB" w:rsidP="000055CB">
      <w:pPr>
        <w:rPr>
          <w:b/>
        </w:rPr>
      </w:pPr>
      <w:r w:rsidRPr="00FF756A">
        <w:rPr>
          <w:b/>
        </w:rPr>
        <w:t>Sektori i naftës:</w:t>
      </w:r>
    </w:p>
    <w:p w14:paraId="3A7A6750" w14:textId="145A7C3B" w:rsidR="000055CB" w:rsidRPr="00FF756A" w:rsidRDefault="000055CB" w:rsidP="000055CB">
      <w:r w:rsidRPr="00FF756A">
        <w:lastRenderedPageBreak/>
        <w:t xml:space="preserve">Shqipëria është </w:t>
      </w:r>
      <w:r w:rsidR="00FB445F" w:rsidRPr="00FF756A">
        <w:t xml:space="preserve">tejet </w:t>
      </w:r>
      <w:r w:rsidRPr="00FF756A">
        <w:t>e varur nga produktet e importuara të naftës për shkak të rënies së prodhimit të naftës</w:t>
      </w:r>
      <w:r w:rsidR="00A31069" w:rsidRPr="00FF756A">
        <w:t>,</w:t>
      </w:r>
      <w:r w:rsidRPr="00FF756A">
        <w:t xml:space="preserve"> në kombinim me një kërkesë </w:t>
      </w:r>
      <w:r w:rsidR="00A31069" w:rsidRPr="00FF756A">
        <w:t xml:space="preserve">lartë </w:t>
      </w:r>
      <w:r w:rsidRPr="00FF756A">
        <w:t>në rritje për benzinë, naftë</w:t>
      </w:r>
      <w:r w:rsidR="00A31069" w:rsidRPr="00FF756A">
        <w:t xml:space="preserve"> dizel</w:t>
      </w:r>
      <w:r w:rsidRPr="00FF756A">
        <w:t xml:space="preserve"> dhe </w:t>
      </w:r>
      <w:r w:rsidR="000509D5" w:rsidRPr="00FF756A">
        <w:t xml:space="preserve">lëndë djegëse </w:t>
      </w:r>
      <w:r w:rsidRPr="00FF756A">
        <w:t>të rëndë. Sektori i transportit ishte konsumatori më i madh i energjisë, me rreth 40% të konsumit total përfundimtar (2013). Shqipëria vlerësohet si një nga vendet më të pasura të Evropës me rezerva hidrokarbure në tokë dhe po përdor teknologji të reja për të shfrytëzuar burimet e brendshme për prodhimin e naftës bruto.</w:t>
      </w:r>
    </w:p>
    <w:p w14:paraId="04DA3218" w14:textId="415736DA" w:rsidR="000055CB" w:rsidRPr="00FF756A" w:rsidRDefault="000055CB" w:rsidP="000055CB">
      <w:r w:rsidRPr="00FF756A">
        <w:t>Objektivi për të z</w:t>
      </w:r>
      <w:r w:rsidR="007732FF" w:rsidRPr="00FF756A">
        <w:t>ëvendësuar</w:t>
      </w:r>
      <w:r w:rsidRPr="00FF756A">
        <w:t xml:space="preserve"> transportin rrugor ekzistues </w:t>
      </w:r>
      <w:r w:rsidR="00352A25" w:rsidRPr="00FF756A">
        <w:t>me</w:t>
      </w:r>
      <w:r w:rsidRPr="00FF756A">
        <w:t xml:space="preserve"> modalitete të tjera transporti, si transporti hekurudhor </w:t>
      </w:r>
      <w:r w:rsidR="00352A25" w:rsidRPr="00FF756A">
        <w:t>apo</w:t>
      </w:r>
      <w:r w:rsidRPr="00FF756A">
        <w:t xml:space="preserve"> ujor, do të kontribuojë në uljen e konsumit të karburan</w:t>
      </w:r>
      <w:r w:rsidR="0019048F" w:rsidRPr="00FF756A">
        <w:t>teve djegëse.</w:t>
      </w:r>
    </w:p>
    <w:p w14:paraId="7B84554D" w14:textId="433C303C" w:rsidR="00F51B5D" w:rsidRPr="00FF756A" w:rsidRDefault="00F51B5D" w:rsidP="000055CB">
      <w:r w:rsidRPr="00FF756A">
        <w:t>Objektivi për rritjen e pjesës së biokarburanteve në krahasim me konsumimin total të karburantit në sektorin e transportit, i vendosur në 10% për vitet 2020, 2025 dhe 2030, në krahasim me vetëm 3.55% në vitin 2015, pritet të kontribuojë ndjeshëm në uljen e konsumit të lëndëve djegëse tradicionale në këtë sektor.</w:t>
      </w:r>
    </w:p>
    <w:p w14:paraId="12298F51" w14:textId="77777777" w:rsidR="000055CB" w:rsidRPr="00FF756A" w:rsidRDefault="000055CB" w:rsidP="000055CB">
      <w:pPr>
        <w:suppressAutoHyphens/>
        <w:spacing w:line="300" w:lineRule="exact"/>
      </w:pPr>
    </w:p>
    <w:p w14:paraId="5F6BE254" w14:textId="38860419" w:rsidR="000055CB" w:rsidRPr="00FF756A" w:rsidRDefault="000055CB" w:rsidP="004A3257">
      <w:pPr>
        <w:pStyle w:val="Heading3"/>
        <w:numPr>
          <w:ilvl w:val="2"/>
          <w:numId w:val="249"/>
        </w:numPr>
      </w:pPr>
      <w:bookmarkStart w:id="273" w:name="_Toc100575571"/>
      <w:bookmarkStart w:id="274" w:name="_Toc181516999"/>
      <w:bookmarkStart w:id="275" w:name="_Toc183639214"/>
      <w:r w:rsidRPr="00FF756A">
        <w:t>Objektivat kombëtare</w:t>
      </w:r>
      <w:r w:rsidR="00F51B5D" w:rsidRPr="00FF756A">
        <w:t xml:space="preserve"> </w:t>
      </w:r>
      <w:r w:rsidRPr="00FF756A">
        <w:t>lidh</w:t>
      </w:r>
      <w:r w:rsidR="00F51B5D" w:rsidRPr="00FF756A">
        <w:t xml:space="preserve">ur </w:t>
      </w:r>
      <w:r w:rsidRPr="00FF756A">
        <w:t>me rritjen e fleksibilitetit</w:t>
      </w:r>
      <w:bookmarkEnd w:id="272"/>
      <w:bookmarkEnd w:id="273"/>
      <w:bookmarkEnd w:id="274"/>
      <w:bookmarkEnd w:id="275"/>
      <w:r w:rsidRPr="00FF756A">
        <w:t xml:space="preserve"> </w:t>
      </w:r>
      <w:bookmarkStart w:id="276" w:name="OLE_LINK1"/>
      <w:bookmarkStart w:id="277" w:name="_Toc31731043"/>
    </w:p>
    <w:p w14:paraId="48D68A6E" w14:textId="09F1CD94" w:rsidR="000055CB" w:rsidRPr="00FF756A" w:rsidRDefault="000055CB" w:rsidP="000055CB">
      <w:r w:rsidRPr="00FF756A">
        <w:t>Rritja e prodhimit të energjisë së rinovueshme, depërtimi i gazit natyror, zhvillimi i burimeve të ndryshme të furnizimit përmes investimeve të reja, rritja e bashkëpunimit dhe integrimit rajonal dhe ndërlidhja me rrjetet rajonale dhe evropiane të energjisë elektrike dhe gazit natyror,</w:t>
      </w:r>
      <w:r w:rsidR="009004F7" w:rsidRPr="00FF756A">
        <w:t xml:space="preserve"> janë hapa thelbësorë. Përmirësimi i sigurisë</w:t>
      </w:r>
      <w:r w:rsidR="004B72EA" w:rsidRPr="00FF756A">
        <w:t xml:space="preserve"> së </w:t>
      </w:r>
      <w:r w:rsidRPr="00FF756A">
        <w:t>transmetimit dhe furnizimit të energjisë përmes diversifikimit të rrugëve të furnizimit me energji dhe përmirësimi i sigurisë dhe besueshmërisë së tyre nëpërmjet investimeve me kosto efektive</w:t>
      </w:r>
      <w:r w:rsidR="004B72EA" w:rsidRPr="00FF756A">
        <w:t xml:space="preserve">, pritet të </w:t>
      </w:r>
      <w:r w:rsidRPr="00FF756A">
        <w:t xml:space="preserve"> rrisë fleksibilitetin e sistemit kombëtar të energjisë.</w:t>
      </w:r>
    </w:p>
    <w:p w14:paraId="69897699" w14:textId="1C730E91" w:rsidR="000055CB" w:rsidRPr="00FF756A" w:rsidRDefault="000055CB" w:rsidP="000055CB">
      <w:r w:rsidRPr="00FF756A">
        <w:t xml:space="preserve">Në të ardhmen planifikohet zgjerimi i kapaciteteve të reja gjeneruese: disa HEC-e të rinj të mëdhenj si </w:t>
      </w:r>
      <w:r w:rsidR="00E37A68" w:rsidRPr="00FF756A">
        <w:t>K</w:t>
      </w:r>
      <w:r w:rsidRPr="00FF756A">
        <w:t xml:space="preserve">askada e </w:t>
      </w:r>
      <w:r w:rsidR="00E37A68" w:rsidRPr="00FF756A">
        <w:t>L</w:t>
      </w:r>
      <w:r w:rsidRPr="00FF756A">
        <w:t xml:space="preserve">umit Devolli , </w:t>
      </w:r>
      <w:r w:rsidR="00E37A68" w:rsidRPr="00FF756A">
        <w:t>K</w:t>
      </w:r>
      <w:r w:rsidRPr="00FF756A">
        <w:t xml:space="preserve">askada e </w:t>
      </w:r>
      <w:r w:rsidR="00E37A68" w:rsidRPr="00FF756A">
        <w:t>L</w:t>
      </w:r>
      <w:r w:rsidRPr="00FF756A">
        <w:t xml:space="preserve">umit Fan, disa termocentrale të vegjël që janë në ndërtim e sipër, dy termocentrale të rinj në Korçë , Kuçovë , etj. </w:t>
      </w:r>
      <w:r w:rsidR="00E37A68" w:rsidRPr="00FF756A">
        <w:t xml:space="preserve">Pritet të rrisin </w:t>
      </w:r>
      <w:r w:rsidRPr="00FF756A">
        <w:t>fleksibiliteti</w:t>
      </w:r>
      <w:r w:rsidR="00E37A68" w:rsidRPr="00FF756A">
        <w:t xml:space="preserve">n e </w:t>
      </w:r>
      <w:r w:rsidRPr="00FF756A">
        <w:t>sistemit kombëtar të energjisë.</w:t>
      </w:r>
    </w:p>
    <w:p w14:paraId="5997C736" w14:textId="77777777" w:rsidR="000055CB" w:rsidRPr="00FF756A" w:rsidRDefault="000055CB" w:rsidP="000055CB"/>
    <w:p w14:paraId="2EC25795" w14:textId="2E8C7A77" w:rsidR="000055CB" w:rsidRPr="00FF756A" w:rsidRDefault="000055CB" w:rsidP="004A3257">
      <w:pPr>
        <w:pStyle w:val="Heading2"/>
        <w:numPr>
          <w:ilvl w:val="1"/>
          <w:numId w:val="249"/>
        </w:numPr>
      </w:pPr>
      <w:bookmarkStart w:id="278" w:name="_Toc46945550"/>
      <w:bookmarkStart w:id="279" w:name="_Toc100575572"/>
      <w:bookmarkStart w:id="280" w:name="_Toc181517000"/>
      <w:bookmarkStart w:id="281" w:name="_Toc183639215"/>
      <w:bookmarkEnd w:id="276"/>
      <w:bookmarkEnd w:id="277"/>
      <w:r w:rsidRPr="00FF756A">
        <w:t>Dimensioni i Tregut të Brendshëm të Energjisë</w:t>
      </w:r>
      <w:bookmarkEnd w:id="278"/>
      <w:bookmarkEnd w:id="279"/>
      <w:bookmarkEnd w:id="280"/>
      <w:bookmarkEnd w:id="281"/>
    </w:p>
    <w:p w14:paraId="269E0088" w14:textId="77777777" w:rsidR="004E7EFC" w:rsidRPr="00FF756A" w:rsidRDefault="004E7EFC" w:rsidP="004E7EFC">
      <w:pPr>
        <w:rPr>
          <w:lang w:eastAsia="de-DE"/>
        </w:rPr>
      </w:pPr>
    </w:p>
    <w:p w14:paraId="52518471" w14:textId="78AE277E" w:rsidR="00BE1553" w:rsidRPr="00FF756A" w:rsidRDefault="000055CB" w:rsidP="004A3257">
      <w:pPr>
        <w:spacing w:line="240" w:lineRule="auto"/>
      </w:pPr>
      <w:r w:rsidRPr="00FF756A">
        <w:t xml:space="preserve">Objektivat dhe </w:t>
      </w:r>
      <w:r w:rsidR="008A5D90" w:rsidRPr="00FF756A">
        <w:t xml:space="preserve">pikësynimet </w:t>
      </w:r>
      <w:r w:rsidRPr="00FF756A">
        <w:t>për dimensionin e tregut të brendshëm të energjisë janë të lidhura me dimensione të tjera relevante, përkatësisht sigurinë energji</w:t>
      </w:r>
      <w:r w:rsidR="008A5D90" w:rsidRPr="00FF756A">
        <w:t>tike</w:t>
      </w:r>
      <w:r w:rsidRPr="00FF756A">
        <w:t xml:space="preserve"> dhe dekarbonizimin. </w:t>
      </w:r>
      <w:r w:rsidR="00A27873" w:rsidRPr="00FF756A">
        <w:t xml:space="preserve">Qëllimi është të krijohet </w:t>
      </w:r>
      <w:r w:rsidRPr="00FF756A">
        <w:t xml:space="preserve"> një treg </w:t>
      </w:r>
      <w:r w:rsidR="002E2F9A" w:rsidRPr="00FF756A">
        <w:t xml:space="preserve">i energjisë elektrike </w:t>
      </w:r>
      <w:r w:rsidRPr="00FF756A">
        <w:t>që funksionon mirë, i bazuar kryesisht në burimet e rinovueshme të energjisë, të kontribuojë jo vetëm në sigurinë e furnizimit me energji, por edhe dekarbonizimin e ekonomisë.</w:t>
      </w:r>
    </w:p>
    <w:p w14:paraId="798C3B5C" w14:textId="003691B8" w:rsidR="000055CB" w:rsidRPr="00FF756A" w:rsidRDefault="000055CB" w:rsidP="004A3257">
      <w:pPr>
        <w:spacing w:line="240" w:lineRule="auto"/>
      </w:pPr>
      <w:r w:rsidRPr="00FF756A">
        <w:t>Objektivi i tregut të brendshëm të energjisë është të harmonizojë dhe liberalizojë tregun e energjisë në vend, të adresoj</w:t>
      </w:r>
      <w:r w:rsidR="00960D8B" w:rsidRPr="00FF756A">
        <w:t>ë</w:t>
      </w:r>
      <w:r w:rsidRPr="00FF756A">
        <w:t xml:space="preserve"> aksesin në treg, transparencën dhe rregullimin, mbrojtjen e konsumatorit, mbështetjen e </w:t>
      </w:r>
      <w:r w:rsidR="000E3AB0" w:rsidRPr="00FF756A">
        <w:t>ndër lidhshmërisë</w:t>
      </w:r>
      <w:r w:rsidRPr="00FF756A">
        <w:t xml:space="preserve"> dhe </w:t>
      </w:r>
      <w:r w:rsidR="00B90498" w:rsidRPr="00FF756A">
        <w:t xml:space="preserve">sigurinë e furnizimit me </w:t>
      </w:r>
      <w:r w:rsidR="000E3AB0" w:rsidRPr="00FF756A">
        <w:t>sasinë e</w:t>
      </w:r>
      <w:r w:rsidRPr="00FF756A">
        <w:t xml:space="preserve"> duhur</w:t>
      </w:r>
      <w:r w:rsidR="00B90498" w:rsidRPr="00FF756A">
        <w:t xml:space="preserve">. </w:t>
      </w:r>
    </w:p>
    <w:p w14:paraId="3D750CCC" w14:textId="77777777" w:rsidR="000D0FCF" w:rsidRPr="00FF756A" w:rsidRDefault="000D0FCF" w:rsidP="004A3257">
      <w:pPr>
        <w:spacing w:line="240" w:lineRule="auto"/>
      </w:pPr>
    </w:p>
    <w:p w14:paraId="13CE28AB" w14:textId="3568B55D" w:rsidR="000055CB" w:rsidRPr="00FF756A" w:rsidRDefault="000055CB" w:rsidP="004A3257">
      <w:pPr>
        <w:spacing w:line="240" w:lineRule="auto"/>
      </w:pPr>
      <w:r w:rsidRPr="00FF756A">
        <w:t xml:space="preserve">Qëllimi është të ndërtohet një treg </w:t>
      </w:r>
      <w:r w:rsidR="003358AE" w:rsidRPr="00FF756A">
        <w:t xml:space="preserve">i energjisë elektrike </w:t>
      </w:r>
      <w:r w:rsidRPr="00FF756A">
        <w:t xml:space="preserve">më konkurrues, </w:t>
      </w:r>
      <w:r w:rsidR="003358AE" w:rsidRPr="00FF756A">
        <w:t>që ka</w:t>
      </w:r>
      <w:r w:rsidRPr="00FF756A">
        <w:t xml:space="preserve"> në qendër klientin, </w:t>
      </w:r>
      <w:r w:rsidR="003358AE" w:rsidRPr="00FF756A">
        <w:t xml:space="preserve">është </w:t>
      </w:r>
      <w:r w:rsidRPr="00FF756A">
        <w:t>fleksibël dhe jodiskriminues</w:t>
      </w:r>
      <w:r w:rsidR="004D3900" w:rsidRPr="00FF756A">
        <w:t>,</w:t>
      </w:r>
      <w:r w:rsidRPr="00FF756A">
        <w:t xml:space="preserve"> me çmime furnizimi </w:t>
      </w:r>
      <w:r w:rsidR="003358AE" w:rsidRPr="00FF756A">
        <w:t xml:space="preserve">të </w:t>
      </w:r>
      <w:r w:rsidRPr="00FF756A">
        <w:t xml:space="preserve">bazuara në treg. </w:t>
      </w:r>
      <w:r w:rsidR="00AB6982" w:rsidRPr="00FF756A">
        <w:t>Kjo do të</w:t>
      </w:r>
      <w:r w:rsidRPr="00FF756A">
        <w:t xml:space="preserve"> forcojë dhe zgjerojë të drejtat e klientëve individualë dhe komuniteteve energjetike, adresojnë varfërinë energjetike, qartësojnë rolet dhe përgjegjësitë e pjesëmarrësve të tregut dhe rregullatorëve dhe adresojnë sigurinë e furnizimit me energji elektrike, gaz dhe naftë, si dhe zhvillimin të rrjeteve rajonale dhe evropiane për transportin e energjisë elektrike dhe gazit.</w:t>
      </w:r>
    </w:p>
    <w:p w14:paraId="4E97D011" w14:textId="77777777" w:rsidR="00A91A18" w:rsidRPr="00FF756A" w:rsidRDefault="00A91A18" w:rsidP="004A3257">
      <w:pPr>
        <w:spacing w:line="240" w:lineRule="auto"/>
      </w:pPr>
    </w:p>
    <w:p w14:paraId="66FADF7E" w14:textId="491F3DEF" w:rsidR="000055CB" w:rsidRPr="00FF756A" w:rsidRDefault="000055CB" w:rsidP="004A3257">
      <w:pPr>
        <w:spacing w:line="240" w:lineRule="auto"/>
      </w:pPr>
      <w:r w:rsidRPr="00FF756A">
        <w:t>Për të arritur këtë qëllim, Qeveria Shqiptare ka miratuar Strategjinë Kombëtare të Energjisë 2018–2030 si një strategji e përgjithshme e sektorit të energjisë, në të cilën objektivat që lidhen me dimensionin e tregut të brendshëm të energjisë janë:</w:t>
      </w:r>
    </w:p>
    <w:p w14:paraId="32F0649A" w14:textId="77777777" w:rsidR="00A91A18" w:rsidRPr="00FF756A" w:rsidRDefault="00A91A18" w:rsidP="004A3257">
      <w:pPr>
        <w:spacing w:line="240" w:lineRule="auto"/>
      </w:pPr>
    </w:p>
    <w:p w14:paraId="415CC787" w14:textId="09C3B802" w:rsidR="000055CB" w:rsidRPr="00FF756A" w:rsidRDefault="000055CB" w:rsidP="004A3257">
      <w:pPr>
        <w:spacing w:line="240" w:lineRule="auto"/>
      </w:pPr>
      <w:r w:rsidRPr="00FF756A">
        <w:lastRenderedPageBreak/>
        <w:t>1.- Hapja e tregut të energjisë elektrike 100% në vitin 2025</w:t>
      </w:r>
      <w:r w:rsidR="00AB6982" w:rsidRPr="00FF756A">
        <w:t>;</w:t>
      </w:r>
    </w:p>
    <w:p w14:paraId="1F5F6F52" w14:textId="77777777" w:rsidR="000055CB" w:rsidRPr="00FF756A" w:rsidRDefault="000055CB" w:rsidP="004A3257">
      <w:pPr>
        <w:spacing w:line="240" w:lineRule="auto"/>
      </w:pPr>
      <w:r w:rsidRPr="00FF756A">
        <w:t>2.- Normat e arkëtimit të faturave të energjisë elektrike prej 92% në 2020 , 95% në 2025 dhe 98% në 2030 krahasuar me 90% në 2018</w:t>
      </w:r>
    </w:p>
    <w:p w14:paraId="2B3E5822" w14:textId="384CBFF0" w:rsidR="000055CB" w:rsidRPr="00FF756A" w:rsidRDefault="000055CB" w:rsidP="004A3257">
      <w:pPr>
        <w:spacing w:line="240" w:lineRule="auto"/>
      </w:pPr>
      <w:r w:rsidRPr="00FF756A">
        <w:t xml:space="preserve">3.- </w:t>
      </w:r>
      <w:r w:rsidR="001D526E" w:rsidRPr="00FF756A">
        <w:t>Krijimi</w:t>
      </w:r>
      <w:r w:rsidRPr="00FF756A">
        <w:t xml:space="preserve"> i burimeve të ndryshme të furnizimit, rritja e bashkëpunimit rajonal dhe integrimi dhe ndërlidhja me rrjetet rajonale dhe evropiane të energjisë elektrike dhe gazit natyror në përputhje me </w:t>
      </w:r>
      <w:r w:rsidR="001D526E" w:rsidRPr="00FF756A">
        <w:rPr>
          <w:i/>
          <w:iCs/>
        </w:rPr>
        <w:t>legjislacionin e</w:t>
      </w:r>
      <w:r w:rsidRPr="00FF756A">
        <w:t xml:space="preserve"> Traktatit të Komunitetit të Energjisë.</w:t>
      </w:r>
    </w:p>
    <w:p w14:paraId="11C7E4CD" w14:textId="03B7EAD4" w:rsidR="000055CB" w:rsidRPr="00FF756A" w:rsidRDefault="000055CB" w:rsidP="004A3257">
      <w:pPr>
        <w:spacing w:line="240" w:lineRule="auto"/>
      </w:pPr>
      <w:r w:rsidRPr="00FF756A">
        <w:t xml:space="preserve">4.- Integrimi i tregut shqiptar të energjisë elektrike dhe gazit natyror me Kosovën, rajonin dhe tregjet evropiane. </w:t>
      </w:r>
      <w:r w:rsidR="002F1D50" w:rsidRPr="00FF756A">
        <w:t>Bashkimi i tregut të</w:t>
      </w:r>
      <w:r w:rsidRPr="00FF756A">
        <w:t xml:space="preserve"> energjisë elektrike në përputhje me angazhimet e marra në kuadër të </w:t>
      </w:r>
      <w:r w:rsidR="002F1D50" w:rsidRPr="00FF756A">
        <w:t>P</w:t>
      </w:r>
      <w:r w:rsidRPr="00FF756A">
        <w:t>rocesi</w:t>
      </w:r>
      <w:r w:rsidR="002F1D50" w:rsidRPr="00FF756A">
        <w:t>t të</w:t>
      </w:r>
      <w:r w:rsidRPr="00FF756A">
        <w:t xml:space="preserve"> Berlinit.</w:t>
      </w:r>
    </w:p>
    <w:p w14:paraId="3CA134C9" w14:textId="1CF447F9" w:rsidR="000055CB" w:rsidRPr="00FF756A" w:rsidRDefault="000055CB" w:rsidP="004A3257">
      <w:pPr>
        <w:spacing w:line="240" w:lineRule="auto"/>
      </w:pPr>
      <w:r w:rsidRPr="00FF756A">
        <w:t xml:space="preserve">5.- Tregje konkurruese </w:t>
      </w:r>
      <w:r w:rsidR="00325FC4" w:rsidRPr="00FF756A">
        <w:t>të energjisë, që funksionojnë mir</w:t>
      </w:r>
      <w:r w:rsidRPr="00FF756A">
        <w:t>ë</w:t>
      </w:r>
      <w:r w:rsidR="00325FC4" w:rsidRPr="00FF756A">
        <w:t xml:space="preserve">, dhe </w:t>
      </w:r>
      <w:r w:rsidRPr="00FF756A">
        <w:t xml:space="preserve">që ofrojnë </w:t>
      </w:r>
      <w:r w:rsidR="00CE2B31" w:rsidRPr="00FF756A">
        <w:t>mundësitë</w:t>
      </w:r>
      <w:r w:rsidRPr="00FF756A">
        <w:t xml:space="preserve"> e duhura për prodhimin dhe konsumin e energjisë elektrike dhe gazit.</w:t>
      </w:r>
    </w:p>
    <w:p w14:paraId="0F72D239" w14:textId="45FCA493" w:rsidR="000055CB" w:rsidRPr="00FF756A" w:rsidRDefault="000055CB" w:rsidP="004A3257">
      <w:pPr>
        <w:spacing w:line="240" w:lineRule="auto"/>
      </w:pPr>
      <w:r w:rsidRPr="00FF756A">
        <w:t xml:space="preserve">6.- </w:t>
      </w:r>
      <w:r w:rsidR="00CE2B31" w:rsidRPr="00FF756A">
        <w:t xml:space="preserve">Shtimi i </w:t>
      </w:r>
      <w:r w:rsidRPr="00FF756A">
        <w:t>kapacitet</w:t>
      </w:r>
      <w:r w:rsidR="00CE2B31" w:rsidRPr="00FF756A">
        <w:t>eve</w:t>
      </w:r>
      <w:r w:rsidRPr="00FF756A">
        <w:t xml:space="preserve"> të ruajtjes së gazit, naftës dhe energjisë në sistemin energjetik në përputhje me Direktivën 2009/119/EC të datës 14 shtator 2009</w:t>
      </w:r>
      <w:r w:rsidR="0065748C" w:rsidRPr="00FF756A">
        <w:t xml:space="preserve">, </w:t>
      </w:r>
      <w:r w:rsidRPr="00FF756A">
        <w:t>që vendos detyrimin për të mbajtur stoqe minimale të produkteve.</w:t>
      </w:r>
    </w:p>
    <w:p w14:paraId="42F787F5" w14:textId="056C170A" w:rsidR="000055CB" w:rsidRPr="00FF756A" w:rsidRDefault="000055CB" w:rsidP="004A3257">
      <w:pPr>
        <w:spacing w:line="240" w:lineRule="auto"/>
      </w:pPr>
      <w:r w:rsidRPr="00FF756A">
        <w:t xml:space="preserve">7.- </w:t>
      </w:r>
      <w:r w:rsidR="0065748C" w:rsidRPr="00FF756A">
        <w:t xml:space="preserve">Hartimi </w:t>
      </w:r>
      <w:r w:rsidRPr="00FF756A">
        <w:t xml:space="preserve">i planeve për krijimin e tregut shqiptar të gazit dhe integrimin e tij rajonal, si dhe </w:t>
      </w:r>
      <w:r w:rsidR="001E54C6" w:rsidRPr="00FF756A">
        <w:t xml:space="preserve">hartimi i planeve </w:t>
      </w:r>
      <w:r w:rsidRPr="00FF756A">
        <w:t>për shitjen, transmetimin, shpërndarjen dhe shitjen me pakicë të gazit natyror nga TAP</w:t>
      </w:r>
      <w:r w:rsidR="001E54C6" w:rsidRPr="00FF756A">
        <w:t>-i</w:t>
      </w:r>
      <w:r w:rsidRPr="00FF756A">
        <w:t xml:space="preserve"> dhe burime të tjera </w:t>
      </w:r>
      <w:r w:rsidR="001E54C6" w:rsidRPr="00FF756A">
        <w:t xml:space="preserve">të </w:t>
      </w:r>
      <w:r w:rsidRPr="00FF756A">
        <w:t>gazi</w:t>
      </w:r>
      <w:r w:rsidR="001E54C6" w:rsidRPr="00FF756A">
        <w:t>t</w:t>
      </w:r>
      <w:r w:rsidRPr="00FF756A">
        <w:t>. Zbatimi i reformave të tregut</w:t>
      </w:r>
      <w:r w:rsidR="001E54C6" w:rsidRPr="00FF756A">
        <w:t>,</w:t>
      </w:r>
      <w:r w:rsidRPr="00FF756A">
        <w:t xml:space="preserve"> </w:t>
      </w:r>
      <w:r w:rsidR="001E54C6" w:rsidRPr="00FF756A">
        <w:t xml:space="preserve">që janë </w:t>
      </w:r>
      <w:r w:rsidRPr="00FF756A">
        <w:t xml:space="preserve">të nevojshme për të </w:t>
      </w:r>
      <w:r w:rsidR="00CB0CF9" w:rsidRPr="00FF756A">
        <w:t xml:space="preserve">respektuar Legjislacionin </w:t>
      </w:r>
      <w:r w:rsidR="00CB0CF9" w:rsidRPr="00FF756A">
        <w:rPr>
          <w:i/>
          <w:iCs/>
        </w:rPr>
        <w:t>e</w:t>
      </w:r>
      <w:r w:rsidRPr="00FF756A">
        <w:t xml:space="preserve"> Komunitetit të Energjisë </w:t>
      </w:r>
    </w:p>
    <w:p w14:paraId="2D27A523" w14:textId="4345929A" w:rsidR="000055CB" w:rsidRPr="00FF756A" w:rsidRDefault="000055CB" w:rsidP="004A3257">
      <w:pPr>
        <w:spacing w:line="240" w:lineRule="auto"/>
      </w:pPr>
      <w:r w:rsidRPr="00FF756A">
        <w:t>8.- Konsolidimi dhe fuqizimi i mëtejshëm i ALBGAZ sh.a</w:t>
      </w:r>
      <w:r w:rsidR="00CB0CF9" w:rsidRPr="00FF756A">
        <w:t xml:space="preserve">, në cilësinë e operatorit </w:t>
      </w:r>
      <w:r w:rsidRPr="00FF756A">
        <w:t xml:space="preserve">të kombinuar të </w:t>
      </w:r>
      <w:r w:rsidR="002068A6" w:rsidRPr="00FF756A">
        <w:t xml:space="preserve">sistemit të </w:t>
      </w:r>
      <w:r w:rsidRPr="00FF756A">
        <w:t xml:space="preserve">transmetimit dhe </w:t>
      </w:r>
      <w:r w:rsidR="002068A6" w:rsidRPr="00FF756A">
        <w:t xml:space="preserve">të </w:t>
      </w:r>
      <w:r w:rsidRPr="00FF756A">
        <w:t>shpërndarjes së gazit</w:t>
      </w:r>
      <w:r w:rsidR="002068A6" w:rsidRPr="00FF756A">
        <w:t>.</w:t>
      </w:r>
    </w:p>
    <w:p w14:paraId="64F6EF1A" w14:textId="68A76D80" w:rsidR="000055CB" w:rsidRPr="00FF756A" w:rsidRDefault="000055CB" w:rsidP="004A3257">
      <w:pPr>
        <w:spacing w:line="240" w:lineRule="auto"/>
      </w:pPr>
      <w:r w:rsidRPr="00FF756A">
        <w:t xml:space="preserve">Objektivat e gazit natyror </w:t>
      </w:r>
      <w:r w:rsidR="001755F5" w:rsidRPr="00FF756A">
        <w:t xml:space="preserve">në lidhje </w:t>
      </w:r>
      <w:r w:rsidRPr="00FF756A">
        <w:t>me tregun e brendshëm të energjisë siç përcaktohet në Masterplanin e sektorit të gazit natyror në Shqipëri</w:t>
      </w:r>
      <w:r w:rsidR="001755F5" w:rsidRPr="00FF756A">
        <w:t xml:space="preserve">, </w:t>
      </w:r>
      <w:r w:rsidRPr="00FF756A">
        <w:t>për periudhën 2020-2040 janë:</w:t>
      </w:r>
    </w:p>
    <w:p w14:paraId="703FABE8" w14:textId="7A20B438" w:rsidR="000055CB" w:rsidRPr="00FF756A" w:rsidRDefault="000055CB" w:rsidP="008A5D90">
      <w:pPr>
        <w:pStyle w:val="ListParagraph"/>
        <w:widowControl w:val="0"/>
        <w:numPr>
          <w:ilvl w:val="0"/>
          <w:numId w:val="61"/>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ind w:left="805" w:hanging="357"/>
      </w:pPr>
      <w:r w:rsidRPr="00FF756A">
        <w:t xml:space="preserve">Harmonizimi i legjislacionit </w:t>
      </w:r>
      <w:r w:rsidR="001755F5" w:rsidRPr="00FF756A">
        <w:t xml:space="preserve">të brendshëm </w:t>
      </w:r>
      <w:r w:rsidRPr="00FF756A">
        <w:t xml:space="preserve">si </w:t>
      </w:r>
      <w:r w:rsidR="001755F5" w:rsidRPr="00FF756A">
        <w:t>p.sh.</w:t>
      </w:r>
      <w:r w:rsidRPr="00FF756A">
        <w:t xml:space="preserve">sistemet tarifore, kodet e rrjetit, rregullat e furnizimit dhe kodi i tregut në përputhje me </w:t>
      </w:r>
      <w:r w:rsidRPr="00FF756A">
        <w:rPr>
          <w:i/>
          <w:iCs/>
        </w:rPr>
        <w:t xml:space="preserve">Acquis Communitaire </w:t>
      </w:r>
      <w:r w:rsidRPr="00FF756A">
        <w:t>.</w:t>
      </w:r>
    </w:p>
    <w:p w14:paraId="55B2DFF6" w14:textId="77777777" w:rsidR="000055CB" w:rsidRPr="00FF756A" w:rsidRDefault="000055CB" w:rsidP="008A5D90">
      <w:pPr>
        <w:pStyle w:val="ListParagraph"/>
        <w:widowControl w:val="0"/>
        <w:numPr>
          <w:ilvl w:val="0"/>
          <w:numId w:val="61"/>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ind w:left="805" w:hanging="357"/>
      </w:pPr>
      <w:r w:rsidRPr="00FF756A">
        <w:t>Krijimi dhe funksionimi i tregut të gazit në përputhje me standardet e BE-së, siç përcaktohet në Paketën e Tretë të Energjisë të BE-së;</w:t>
      </w:r>
    </w:p>
    <w:p w14:paraId="3C6A6D54" w14:textId="2F27000B" w:rsidR="001826C5" w:rsidRPr="00FF756A" w:rsidRDefault="000055CB" w:rsidP="001826C5">
      <w:pPr>
        <w:pStyle w:val="ListParagraph"/>
      </w:pPr>
      <w:r w:rsidRPr="00FF756A">
        <w:t xml:space="preserve">Ndërtimi i një baze të dhënash për rrjetet e transmetimit dhe shpërndarjes, si dhe </w:t>
      </w:r>
      <w:r w:rsidR="003C0290" w:rsidRPr="00FF756A">
        <w:t xml:space="preserve">krijimi i depozitave nëntokësore ose i terminaleve të GNL-së </w:t>
      </w:r>
      <w:r w:rsidRPr="00FF756A">
        <w:t>të operatorëve të tregut, që do të</w:t>
      </w:r>
      <w:r w:rsidR="003C0290" w:rsidRPr="00FF756A">
        <w:t xml:space="preserve"> bëjnë të mundur </w:t>
      </w:r>
      <w:r w:rsidRPr="00FF756A">
        <w:t>monitorim</w:t>
      </w:r>
      <w:r w:rsidR="003C0290" w:rsidRPr="00FF756A">
        <w:t>in gjithëpërfshirës</w:t>
      </w:r>
      <w:r w:rsidRPr="00FF756A">
        <w:t xml:space="preserve"> të të gjitha aktiviteteve </w:t>
      </w:r>
      <w:r w:rsidR="006E2CC6" w:rsidRPr="00FF756A">
        <w:t>n</w:t>
      </w:r>
      <w:r w:rsidRPr="00FF756A">
        <w:t>ë sektorit të gazit.</w:t>
      </w:r>
      <w:bookmarkStart w:id="282" w:name="_Toc181467444"/>
      <w:bookmarkStart w:id="283" w:name="_Toc181472394"/>
      <w:bookmarkStart w:id="284" w:name="_Toc181476958"/>
      <w:bookmarkStart w:id="285" w:name="_Toc181479230"/>
      <w:bookmarkStart w:id="286" w:name="_Toc181479404"/>
      <w:bookmarkStart w:id="287" w:name="_Toc181514744"/>
      <w:bookmarkStart w:id="288" w:name="_Toc181516814"/>
      <w:bookmarkStart w:id="289" w:name="_Toc181517001"/>
      <w:bookmarkStart w:id="290" w:name="_Toc46945551"/>
      <w:bookmarkStart w:id="291" w:name="_Toc100575573"/>
      <w:bookmarkEnd w:id="282"/>
      <w:bookmarkEnd w:id="283"/>
      <w:bookmarkEnd w:id="284"/>
      <w:bookmarkEnd w:id="285"/>
      <w:bookmarkEnd w:id="286"/>
      <w:bookmarkEnd w:id="287"/>
      <w:bookmarkEnd w:id="288"/>
      <w:bookmarkEnd w:id="289"/>
    </w:p>
    <w:p w14:paraId="7157EE81" w14:textId="77777777" w:rsidR="001826C5" w:rsidRPr="00FF756A" w:rsidRDefault="001826C5" w:rsidP="001826C5">
      <w:pPr>
        <w:pStyle w:val="ListParagraph"/>
      </w:pPr>
    </w:p>
    <w:p w14:paraId="26DF6097" w14:textId="1128AFA1" w:rsidR="000055CB" w:rsidRPr="00FF756A" w:rsidRDefault="007331E4" w:rsidP="004A3257">
      <w:pPr>
        <w:pStyle w:val="Heading3"/>
      </w:pPr>
      <w:bookmarkStart w:id="292" w:name="_Toc183632846"/>
      <w:bookmarkStart w:id="293" w:name="_Toc183637163"/>
      <w:bookmarkStart w:id="294" w:name="_Toc181517002"/>
      <w:bookmarkStart w:id="295" w:name="_Toc183639216"/>
      <w:bookmarkEnd w:id="292"/>
      <w:bookmarkEnd w:id="293"/>
      <w:r w:rsidRPr="00FF756A">
        <w:t>Interkoneksioni i</w:t>
      </w:r>
      <w:r w:rsidR="000055CB" w:rsidRPr="00FF756A">
        <w:t xml:space="preserve"> energjisë elektrike</w:t>
      </w:r>
      <w:bookmarkEnd w:id="290"/>
      <w:bookmarkEnd w:id="291"/>
      <w:bookmarkEnd w:id="294"/>
      <w:bookmarkEnd w:id="295"/>
    </w:p>
    <w:p w14:paraId="62895632" w14:textId="68980E19" w:rsidR="000055CB" w:rsidRPr="00FF756A" w:rsidRDefault="000055CB" w:rsidP="004A3257">
      <w:pPr>
        <w:spacing w:line="240" w:lineRule="auto"/>
      </w:pPr>
      <w:bookmarkStart w:id="296" w:name="_Toc46945552"/>
      <w:r w:rsidRPr="00FF756A">
        <w:t>Integrimi në tregjet e energjisë</w:t>
      </w:r>
      <w:r w:rsidR="00CE42F1" w:rsidRPr="00FF756A">
        <w:t>, në nivel</w:t>
      </w:r>
      <w:r w:rsidRPr="00FF756A">
        <w:t xml:space="preserve"> rajonal dhe të BE-</w:t>
      </w:r>
      <w:r w:rsidR="00CE42F1" w:rsidRPr="00FF756A">
        <w:t>je,</w:t>
      </w:r>
      <w:r w:rsidRPr="00FF756A">
        <w:t xml:space="preserve"> është një objektiv strategjik i qeverisë</w:t>
      </w:r>
      <w:r w:rsidR="00CE42F1" w:rsidRPr="00FF756A">
        <w:t xml:space="preserve"> S</w:t>
      </w:r>
      <w:r w:rsidRPr="00FF756A">
        <w:t>hqiptare për të përmbushur kërkesën e saj në rritje për energji, diversit</w:t>
      </w:r>
      <w:r w:rsidR="00CE42F1" w:rsidRPr="00FF756A">
        <w:t>et të</w:t>
      </w:r>
      <w:r w:rsidRPr="00FF756A">
        <w:t xml:space="preserve"> burimeve të energjisë, efi</w:t>
      </w:r>
      <w:r w:rsidR="00D16956" w:rsidRPr="00FF756A">
        <w:t xml:space="preserve">kasitet </w:t>
      </w:r>
      <w:r w:rsidRPr="00FF756A">
        <w:t>dhe fleksibilitet</w:t>
      </w:r>
      <w:r w:rsidR="00D16956" w:rsidRPr="00FF756A">
        <w:t xml:space="preserve"> të</w:t>
      </w:r>
      <w:r w:rsidRPr="00FF756A">
        <w:t xml:space="preserve"> sistemit kombëtar të energjisë. Për të arritur këtë objektiv, Shqipëria duhet të investojë në infrastrukturën e </w:t>
      </w:r>
      <w:r w:rsidR="00D16956" w:rsidRPr="00FF756A">
        <w:t>interkoneksionit</w:t>
      </w:r>
      <w:r w:rsidR="00BE60AF" w:rsidRPr="00FF756A">
        <w:t xml:space="preserve"> të</w:t>
      </w:r>
      <w:r w:rsidRPr="00FF756A">
        <w:t xml:space="preserve"> energjisë elektrike.</w:t>
      </w:r>
    </w:p>
    <w:p w14:paraId="49BCB818" w14:textId="2C61BCDC" w:rsidR="000055CB" w:rsidRPr="00FF756A" w:rsidRDefault="000055CB" w:rsidP="004A3257">
      <w:pPr>
        <w:spacing w:line="240" w:lineRule="auto"/>
      </w:pPr>
      <w:r w:rsidRPr="00FF756A">
        <w:t xml:space="preserve">Shqipëria ka infrastrukturë të </w:t>
      </w:r>
      <w:r w:rsidR="00BE60AF" w:rsidRPr="00FF756A">
        <w:t>interkoneksionit me  K</w:t>
      </w:r>
      <w:r w:rsidRPr="00FF756A">
        <w:t>osovën, Malin e Zi dhe Greqinë përmes gjashtë linjave të interkoneksionit:</w:t>
      </w:r>
    </w:p>
    <w:p w14:paraId="67EF5B31" w14:textId="77777777" w:rsidR="000055CB" w:rsidRPr="00FF756A" w:rsidRDefault="000055CB" w:rsidP="008639B2">
      <w:pPr>
        <w:pStyle w:val="ListParagraph"/>
        <w:widowControl w:val="0"/>
        <w:numPr>
          <w:ilvl w:val="0"/>
          <w:numId w:val="62"/>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pPr>
      <w:r w:rsidRPr="00FF756A">
        <w:t>Linja 400 kV Zemblak - Kardia (Greqi)</w:t>
      </w:r>
    </w:p>
    <w:p w14:paraId="648A44E9" w14:textId="77777777" w:rsidR="000055CB" w:rsidRPr="00FF756A" w:rsidRDefault="000055CB" w:rsidP="008639B2">
      <w:pPr>
        <w:pStyle w:val="ListParagraph"/>
        <w:widowControl w:val="0"/>
        <w:numPr>
          <w:ilvl w:val="0"/>
          <w:numId w:val="62"/>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pPr>
      <w:r w:rsidRPr="00FF756A">
        <w:t>Linja 400 kV Tirana 2 - Podgoricë (Mali i Zi)</w:t>
      </w:r>
    </w:p>
    <w:p w14:paraId="27827DE1" w14:textId="77777777" w:rsidR="000055CB" w:rsidRPr="00FF756A" w:rsidRDefault="000055CB" w:rsidP="008639B2">
      <w:pPr>
        <w:pStyle w:val="ListParagraph"/>
        <w:widowControl w:val="0"/>
        <w:numPr>
          <w:ilvl w:val="0"/>
          <w:numId w:val="62"/>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pPr>
      <w:r w:rsidRPr="00FF756A">
        <w:t>Linja 400 kV Tirana2 - Kosova B (Kosovë)</w:t>
      </w:r>
    </w:p>
    <w:p w14:paraId="5423F568" w14:textId="77777777" w:rsidR="000055CB" w:rsidRPr="00FF756A" w:rsidRDefault="000055CB" w:rsidP="008639B2">
      <w:pPr>
        <w:pStyle w:val="ListParagraph"/>
        <w:widowControl w:val="0"/>
        <w:numPr>
          <w:ilvl w:val="0"/>
          <w:numId w:val="62"/>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pPr>
      <w:r w:rsidRPr="00FF756A">
        <w:t>Linja 220 kV Koplik - Podgoricë (Mali i Zi)</w:t>
      </w:r>
    </w:p>
    <w:p w14:paraId="028A7A5D" w14:textId="77777777" w:rsidR="000055CB" w:rsidRPr="00FF756A" w:rsidRDefault="000055CB" w:rsidP="008639B2">
      <w:pPr>
        <w:pStyle w:val="ListParagraph"/>
        <w:widowControl w:val="0"/>
        <w:numPr>
          <w:ilvl w:val="0"/>
          <w:numId w:val="62"/>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pPr>
      <w:r w:rsidRPr="00FF756A">
        <w:t>Linja 220 kV Fierzë - Prishtinë (Kosovë)</w:t>
      </w:r>
    </w:p>
    <w:p w14:paraId="158504A0" w14:textId="77777777" w:rsidR="000055CB" w:rsidRPr="00FF756A" w:rsidRDefault="000055CB" w:rsidP="008639B2">
      <w:pPr>
        <w:pStyle w:val="ListParagraph"/>
        <w:widowControl w:val="0"/>
        <w:numPr>
          <w:ilvl w:val="0"/>
          <w:numId w:val="62"/>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pPr>
      <w:r w:rsidRPr="00FF756A">
        <w:t>150 kV Bistrica 1 - Igumenica (Greqi).</w:t>
      </w:r>
    </w:p>
    <w:p w14:paraId="5CD6331C" w14:textId="77777777" w:rsidR="004E7EFC" w:rsidRPr="00FF756A" w:rsidRDefault="004E7EFC" w:rsidP="004E7EFC">
      <w:pPr>
        <w:pStyle w:val="ListParagraph"/>
        <w:widowControl w:val="0"/>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pPr>
    </w:p>
    <w:p w14:paraId="2B0F2281" w14:textId="1AF4D217" w:rsidR="000055CB" w:rsidRPr="00FF756A" w:rsidRDefault="000055CB" w:rsidP="000055CB">
      <w:r w:rsidRPr="00FF756A">
        <w:t xml:space="preserve">Analiza në kapitullin 4 tregon se sistemi i energjisë elektrike </w:t>
      </w:r>
      <w:r w:rsidR="00BE60AF" w:rsidRPr="00FF756A">
        <w:t xml:space="preserve">nga burimet hidrike të </w:t>
      </w:r>
      <w:r w:rsidRPr="00FF756A">
        <w:t xml:space="preserve">Shqipërisë </w:t>
      </w:r>
      <w:r w:rsidR="00BE60AF" w:rsidRPr="00FF756A">
        <w:t xml:space="preserve">pritet të pësojë </w:t>
      </w:r>
      <w:r w:rsidRPr="00FF756A">
        <w:t xml:space="preserve">mungesave në vitet </w:t>
      </w:r>
      <w:r w:rsidR="00BE60AF" w:rsidRPr="00FF756A">
        <w:t>me klimë të thatë.</w:t>
      </w:r>
      <w:r w:rsidRPr="00FF756A">
        <w:t xml:space="preserve"> Kjo </w:t>
      </w:r>
      <w:r w:rsidR="00AC538E" w:rsidRPr="00FF756A">
        <w:t xml:space="preserve">gjë nënkupton </w:t>
      </w:r>
      <w:r w:rsidRPr="00FF756A">
        <w:t xml:space="preserve">se në të ardhmen e afërt pritet një rritje e kapacitetit të shkëmbimit me sistemet </w:t>
      </w:r>
      <w:r w:rsidR="00580455" w:rsidRPr="00FF756A">
        <w:t xml:space="preserve">e vendeve </w:t>
      </w:r>
      <w:r w:rsidRPr="00FF756A">
        <w:t xml:space="preserve">fqinje dhe nevoja për investime në forcimin dhe zhvillimin e rrjetit të interkonjeksionit është </w:t>
      </w:r>
      <w:r w:rsidR="00AC538E" w:rsidRPr="00FF756A">
        <w:t xml:space="preserve">e dukshme. </w:t>
      </w:r>
      <w:r w:rsidRPr="00FF756A">
        <w:t xml:space="preserve"> Zhvillimi i projekteve të reja do të bazohet në konsiderata</w:t>
      </w:r>
      <w:r w:rsidR="00580455" w:rsidRPr="00FF756A">
        <w:t>t</w:t>
      </w:r>
      <w:r w:rsidRPr="00FF756A">
        <w:t xml:space="preserve"> teknike dhe ekonomike dhe në analizën </w:t>
      </w:r>
      <w:r w:rsidR="00580455" w:rsidRPr="00FF756A">
        <w:t xml:space="preserve">e </w:t>
      </w:r>
      <w:r w:rsidRPr="00FF756A">
        <w:t>kosto-përfitim</w:t>
      </w:r>
      <w:r w:rsidR="00580455" w:rsidRPr="00FF756A">
        <w:t>eve</w:t>
      </w:r>
      <w:r w:rsidRPr="00FF756A">
        <w:t xml:space="preserve"> në përputhje me metodologjinë ENTSO-E.</w:t>
      </w:r>
    </w:p>
    <w:p w14:paraId="7EAB7811" w14:textId="5819B7D9" w:rsidR="000055CB" w:rsidRPr="00FF756A" w:rsidRDefault="000055CB" w:rsidP="000055CB">
      <w:r w:rsidRPr="00FF756A">
        <w:lastRenderedPageBreak/>
        <w:t>Forcimi dhe zhvillimi i rrjet</w:t>
      </w:r>
      <w:r w:rsidR="00580455" w:rsidRPr="00FF756A">
        <w:t>it të interkon</w:t>
      </w:r>
      <w:r w:rsidR="00DD27C6" w:rsidRPr="00FF756A">
        <w:t>j</w:t>
      </w:r>
      <w:r w:rsidR="00580455" w:rsidRPr="00FF756A">
        <w:t xml:space="preserve">eksionit </w:t>
      </w:r>
      <w:r w:rsidRPr="00FF756A">
        <w:t xml:space="preserve">do të krijojë kushte </w:t>
      </w:r>
      <w:r w:rsidR="001F202A" w:rsidRPr="00FF756A">
        <w:t xml:space="preserve">më të favorshme </w:t>
      </w:r>
      <w:r w:rsidRPr="00FF756A">
        <w:t xml:space="preserve">teknike për </w:t>
      </w:r>
      <w:r w:rsidR="001F202A" w:rsidRPr="00FF756A">
        <w:t xml:space="preserve">të </w:t>
      </w:r>
      <w:r w:rsidRPr="00FF756A">
        <w:t>zhvill</w:t>
      </w:r>
      <w:r w:rsidR="001F202A" w:rsidRPr="00FF756A">
        <w:t>uar</w:t>
      </w:r>
      <w:r w:rsidRPr="00FF756A">
        <w:t xml:space="preserve"> një treg të integruar të energjisë elektrike në rajon dhe do të ndihmojë sektorin energjetik të vendit të vazhdojë transformimin e tij drejt një tregu më konkurrues, </w:t>
      </w:r>
      <w:r w:rsidR="001B3A47" w:rsidRPr="00FF756A">
        <w:t xml:space="preserve">ndërkohë që harmonizohet </w:t>
      </w:r>
      <w:r w:rsidRPr="00FF756A">
        <w:t xml:space="preserve">me nismën dhe objektivat e Paketës së Tretë të Energjisë. . </w:t>
      </w:r>
      <w:r w:rsidR="001B3A47" w:rsidRPr="00FF756A">
        <w:t xml:space="preserve">Në kuadër të fokusit </w:t>
      </w:r>
      <w:r w:rsidRPr="00FF756A">
        <w:t xml:space="preserve">të Paketës së Tretë të Energjisë, integrimi i tregut </w:t>
      </w:r>
      <w:r w:rsidR="001B3A47" w:rsidRPr="00FF756A">
        <w:t xml:space="preserve">në nivel </w:t>
      </w:r>
      <w:r w:rsidRPr="00FF756A">
        <w:t xml:space="preserve">ndërkufitar është një hap vendimtar drejt një tregu </w:t>
      </w:r>
      <w:r w:rsidR="00614D6C" w:rsidRPr="00FF756A">
        <w:t xml:space="preserve">energjitik </w:t>
      </w:r>
      <w:r w:rsidRPr="00FF756A">
        <w:t xml:space="preserve">rajonal </w:t>
      </w:r>
      <w:r w:rsidR="00614D6C" w:rsidRPr="00FF756A">
        <w:t>dhe mbarë</w:t>
      </w:r>
      <w:r w:rsidRPr="00FF756A">
        <w:t>-evropian.</w:t>
      </w:r>
    </w:p>
    <w:p w14:paraId="132A0FC7" w14:textId="0CA14B43" w:rsidR="000055CB" w:rsidRPr="00FF756A" w:rsidRDefault="000055CB" w:rsidP="000055CB">
      <w:r w:rsidRPr="00FF756A">
        <w:t>Strategji</w:t>
      </w:r>
      <w:r w:rsidR="00614D6C" w:rsidRPr="00FF756A">
        <w:t>a</w:t>
      </w:r>
      <w:r w:rsidRPr="00FF756A">
        <w:t xml:space="preserve"> Kombëtare </w:t>
      </w:r>
      <w:r w:rsidR="00614D6C" w:rsidRPr="00FF756A">
        <w:t>e</w:t>
      </w:r>
      <w:r w:rsidRPr="00FF756A">
        <w:t xml:space="preserve"> Energjisë 2018–2030 parashiko</w:t>
      </w:r>
      <w:r w:rsidR="00614D6C" w:rsidRPr="00FF756A">
        <w:t>n</w:t>
      </w:r>
      <w:r w:rsidRPr="00FF756A">
        <w:t>:</w:t>
      </w:r>
    </w:p>
    <w:p w14:paraId="4FABF279" w14:textId="48349BF1" w:rsidR="000055CB" w:rsidRPr="00FF756A" w:rsidRDefault="000055CB" w:rsidP="008639B2">
      <w:pPr>
        <w:pStyle w:val="ListParagraph"/>
        <w:widowControl w:val="0"/>
        <w:numPr>
          <w:ilvl w:val="0"/>
          <w:numId w:val="63"/>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pPr>
      <w:r w:rsidRPr="00FF756A">
        <w:t>Përafrimi</w:t>
      </w:r>
      <w:r w:rsidR="00DD27C6" w:rsidRPr="00FF756A">
        <w:t>n e</w:t>
      </w:r>
      <w:r w:rsidRPr="00FF756A">
        <w:t xml:space="preserve"> kuadrit ligjor dhe rregullator të sektorit të energjisë elektrike me </w:t>
      </w:r>
      <w:r w:rsidRPr="00FF756A">
        <w:rPr>
          <w:i/>
          <w:iCs/>
        </w:rPr>
        <w:t xml:space="preserve">Acquis të BE-së </w:t>
      </w:r>
      <w:r w:rsidRPr="00FF756A">
        <w:t>dhe përmbushj</w:t>
      </w:r>
      <w:r w:rsidR="00DD27C6" w:rsidRPr="00FF756A">
        <w:t>en</w:t>
      </w:r>
      <w:r w:rsidRPr="00FF756A">
        <w:t xml:space="preserve"> e detyrimeve të Paketës së Tretë të Energjisë.</w:t>
      </w:r>
    </w:p>
    <w:p w14:paraId="1281FA1B" w14:textId="76453858" w:rsidR="000055CB" w:rsidRPr="00FF756A" w:rsidRDefault="000055CB" w:rsidP="008639B2">
      <w:pPr>
        <w:pStyle w:val="ListParagraph"/>
        <w:widowControl w:val="0"/>
        <w:numPr>
          <w:ilvl w:val="0"/>
          <w:numId w:val="63"/>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pPr>
      <w:r w:rsidRPr="00FF756A">
        <w:t>Ndërtim</w:t>
      </w:r>
      <w:r w:rsidR="00DD27C6" w:rsidRPr="00FF756A">
        <w:t>in e</w:t>
      </w:r>
      <w:r w:rsidRPr="00FF756A">
        <w:t xml:space="preserve"> linjës së re të interkonjeksionit 400 kV Fier – Elbasan – Manastir (Maqedonia e Veriut). Projekti përfshin ndërtimin e linjës së re të transmetimit 400 kV Elbasan - Ohër - Manastir, 151 km (56 km në territorin e Shqipërisë), zgjerimin e Nënstacionit Elbasan2 dhe instalimin e reaktorit të ri shunt 120 MVAr, ndërtimin e linjës së re 400 kV 68 km nga Elbasani2- Fier, zgjerimi i </w:t>
      </w:r>
      <w:r w:rsidR="00963017" w:rsidRPr="00FF756A">
        <w:t>Nënstacionit</w:t>
      </w:r>
      <w:r w:rsidRPr="00FF756A">
        <w:t xml:space="preserve"> Fier , me 1 te ri AT-400 MVA.</w:t>
      </w:r>
    </w:p>
    <w:p w14:paraId="0E73D967" w14:textId="77777777" w:rsidR="004E7EFC" w:rsidRPr="00FF756A" w:rsidRDefault="004E7EFC" w:rsidP="004E7EFC">
      <w:pPr>
        <w:pStyle w:val="ListParagraph"/>
        <w:widowControl w:val="0"/>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pPr>
    </w:p>
    <w:p w14:paraId="6716EF73" w14:textId="588F8001" w:rsidR="004E7EFC" w:rsidRPr="00FF756A" w:rsidRDefault="000055CB" w:rsidP="000055CB">
      <w:r w:rsidRPr="00FF756A">
        <w:t xml:space="preserve">Në planin e zhvillimit të Operatorit të Sistemit të Transmetimit, parashikohet edhe zhvillimi i rrjetit ekzistues 400 kV duke mbyllur unazën 400 kV ndërmjet Shqipërisë – Maqedonisë së Veriut – Greqisë, e cila do të </w:t>
      </w:r>
      <w:r w:rsidR="004120A3" w:rsidRPr="00FF756A">
        <w:t>sjellë</w:t>
      </w:r>
      <w:r w:rsidRPr="00FF756A">
        <w:t xml:space="preserve"> përfitime</w:t>
      </w:r>
      <w:r w:rsidR="004120A3" w:rsidRPr="00FF756A">
        <w:t>t e mëposhtme</w:t>
      </w:r>
      <w:r w:rsidRPr="00FF756A">
        <w:t>:</w:t>
      </w:r>
    </w:p>
    <w:p w14:paraId="5757389A" w14:textId="77777777" w:rsidR="004E7EFC" w:rsidRPr="00FF756A" w:rsidRDefault="004E7EFC" w:rsidP="000055CB"/>
    <w:p w14:paraId="7037AE6A" w14:textId="35DC87AD" w:rsidR="000055CB" w:rsidRPr="00FF756A" w:rsidRDefault="00504C77" w:rsidP="00413FCE">
      <w:pPr>
        <w:pStyle w:val="ListParagraph"/>
        <w:widowControl w:val="0"/>
        <w:numPr>
          <w:ilvl w:val="0"/>
          <w:numId w:val="64"/>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pPr>
      <w:r w:rsidRPr="00FF756A">
        <w:t>p</w:t>
      </w:r>
      <w:r w:rsidR="000055CB" w:rsidRPr="00FF756A">
        <w:t>ërmirësimi</w:t>
      </w:r>
      <w:r w:rsidR="00EC2A63" w:rsidRPr="00FF756A">
        <w:t xml:space="preserve">n e </w:t>
      </w:r>
      <w:r w:rsidR="000055CB" w:rsidRPr="00FF756A">
        <w:t>kapacitetit të rrjetit për të lehtësuar rritjen e parashikuar të ngarkesës dhe tranzi</w:t>
      </w:r>
      <w:r w:rsidR="00EC2A63" w:rsidRPr="00FF756A">
        <w:t xml:space="preserve">tin </w:t>
      </w:r>
      <w:r w:rsidR="000055CB" w:rsidRPr="00FF756A">
        <w:t>,</w:t>
      </w:r>
      <w:r w:rsidR="00413FCE" w:rsidRPr="00FF756A">
        <w:t xml:space="preserve"> koneksionet e reja të prodhimit në kuadër të përmirësimit të kapacitetit të transmetimit në Shqipëri, Maqedoninë e Veriut dhe në rajonin e Ballkanit në përgjithësi,</w:t>
      </w:r>
      <w:r w:rsidR="000055CB" w:rsidRPr="00FF756A">
        <w:t xml:space="preserve"> </w:t>
      </w:r>
    </w:p>
    <w:p w14:paraId="232AFF89" w14:textId="5E65B199" w:rsidR="000055CB" w:rsidRPr="00FF756A" w:rsidRDefault="00413FCE" w:rsidP="008639B2">
      <w:pPr>
        <w:pStyle w:val="ListParagraph"/>
        <w:widowControl w:val="0"/>
        <w:numPr>
          <w:ilvl w:val="0"/>
          <w:numId w:val="64"/>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pPr>
      <w:r w:rsidRPr="00FF756A">
        <w:t>P</w:t>
      </w:r>
      <w:r w:rsidR="000055CB" w:rsidRPr="00FF756A">
        <w:t>ërmirësimi</w:t>
      </w:r>
      <w:r w:rsidRPr="00FF756A">
        <w:t>n e</w:t>
      </w:r>
      <w:r w:rsidR="000055CB" w:rsidRPr="00FF756A">
        <w:t xml:space="preserve"> besueshmërisë së rrjetit rajonal, </w:t>
      </w:r>
      <w:r w:rsidR="00191176" w:rsidRPr="00FF756A">
        <w:t xml:space="preserve">të </w:t>
      </w:r>
      <w:r w:rsidR="000055CB" w:rsidRPr="00FF756A">
        <w:t>sigur</w:t>
      </w:r>
      <w:r w:rsidR="00191176" w:rsidRPr="00FF756A">
        <w:t>isë</w:t>
      </w:r>
      <w:r w:rsidR="000055CB" w:rsidRPr="00FF756A">
        <w:t xml:space="preserve"> </w:t>
      </w:r>
      <w:r w:rsidR="00191176" w:rsidRPr="00FF756A">
        <w:t>së</w:t>
      </w:r>
      <w:r w:rsidR="000055CB" w:rsidRPr="00FF756A">
        <w:t xml:space="preserve"> përgjithshme </w:t>
      </w:r>
      <w:r w:rsidR="00191176" w:rsidRPr="00FF756A">
        <w:t>të</w:t>
      </w:r>
      <w:r w:rsidR="000055CB" w:rsidRPr="00FF756A">
        <w:t xml:space="preserve"> furnizimit dhe</w:t>
      </w:r>
      <w:r w:rsidR="00191176" w:rsidRPr="00FF756A">
        <w:t xml:space="preserve"> të</w:t>
      </w:r>
      <w:r w:rsidR="000055CB" w:rsidRPr="00FF756A">
        <w:t xml:space="preserve"> fleksibilitet</w:t>
      </w:r>
      <w:r w:rsidR="0070472B" w:rsidRPr="00FF756A">
        <w:t>t në</w:t>
      </w:r>
      <w:r w:rsidR="000055CB" w:rsidRPr="00FF756A">
        <w:t xml:space="preserve"> funksion</w:t>
      </w:r>
      <w:r w:rsidR="0070472B" w:rsidRPr="00FF756A">
        <w:t xml:space="preserve"> të sistemit të energjisë elektrike. </w:t>
      </w:r>
    </w:p>
    <w:p w14:paraId="4399FB51" w14:textId="77777777" w:rsidR="000055CB" w:rsidRPr="00FF756A" w:rsidRDefault="000055CB" w:rsidP="008639B2">
      <w:pPr>
        <w:pStyle w:val="ListParagraph"/>
        <w:widowControl w:val="0"/>
        <w:numPr>
          <w:ilvl w:val="0"/>
          <w:numId w:val="64"/>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pPr>
      <w:r w:rsidRPr="00FF756A">
        <w:t>uljen e humbjeve teknike në sistemin e transmetimit,</w:t>
      </w:r>
    </w:p>
    <w:p w14:paraId="054B3662" w14:textId="7E5B1039" w:rsidR="000055CB" w:rsidRPr="00FF756A" w:rsidRDefault="000055CB" w:rsidP="008639B2">
      <w:pPr>
        <w:pStyle w:val="ListParagraph"/>
        <w:widowControl w:val="0"/>
        <w:numPr>
          <w:ilvl w:val="0"/>
          <w:numId w:val="64"/>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pPr>
      <w:r w:rsidRPr="00FF756A">
        <w:t>eliminim</w:t>
      </w:r>
      <w:r w:rsidR="0070472B" w:rsidRPr="00FF756A">
        <w:t>in e</w:t>
      </w:r>
      <w:r w:rsidRPr="00FF756A">
        <w:t xml:space="preserve"> mbingarkesës në unazën kombëtare 220 kV.</w:t>
      </w:r>
    </w:p>
    <w:p w14:paraId="31720CEB" w14:textId="3AC525FE" w:rsidR="000055CB" w:rsidRPr="00FF756A" w:rsidRDefault="00DF056F" w:rsidP="00DF056F">
      <w:pPr>
        <w:pStyle w:val="ListParagraph"/>
        <w:widowControl w:val="0"/>
        <w:numPr>
          <w:ilvl w:val="0"/>
          <w:numId w:val="64"/>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pPr>
      <w:r w:rsidRPr="00FF756A">
        <w:t>P</w:t>
      </w:r>
      <w:r w:rsidR="000055CB" w:rsidRPr="00FF756A">
        <w:t>ërmirësimi</w:t>
      </w:r>
      <w:r w:rsidRPr="00FF756A">
        <w:t>n e</w:t>
      </w:r>
      <w:r w:rsidR="000055CB" w:rsidRPr="00FF756A">
        <w:t xml:space="preserve"> cilësisë së furnizimit me energji elektrike (normalizimi i niveleve të tensionit, stabilizimi i </w:t>
      </w:r>
      <w:r w:rsidRPr="00FF756A">
        <w:t>fluksit t</w:t>
      </w:r>
      <w:r w:rsidR="000055CB" w:rsidRPr="00FF756A">
        <w:t>ë ngarkesës dhe</w:t>
      </w:r>
      <w:r w:rsidRPr="00FF756A">
        <w:t xml:space="preserve"> të</w:t>
      </w:r>
      <w:r w:rsidR="000055CB" w:rsidRPr="00FF756A">
        <w:t xml:space="preserve"> luhatjeve të frekuenc</w:t>
      </w:r>
      <w:r w:rsidRPr="00FF756A">
        <w:t>ave</w:t>
      </w:r>
      <w:r w:rsidR="000055CB" w:rsidRPr="00FF756A">
        <w:t>, etj.),</w:t>
      </w:r>
    </w:p>
    <w:p w14:paraId="7F665980" w14:textId="3885DCD2" w:rsidR="000055CB" w:rsidRPr="00FF756A" w:rsidRDefault="000055CB" w:rsidP="008639B2">
      <w:pPr>
        <w:pStyle w:val="ListParagraph"/>
        <w:widowControl w:val="0"/>
        <w:numPr>
          <w:ilvl w:val="0"/>
          <w:numId w:val="64"/>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pPr>
      <w:r w:rsidRPr="00FF756A">
        <w:t>mbështetjen e potencialit për zhvill</w:t>
      </w:r>
      <w:r w:rsidR="00DF056F" w:rsidRPr="00FF756A">
        <w:t xml:space="preserve">imin e një </w:t>
      </w:r>
      <w:r w:rsidRPr="00FF756A">
        <w:t>tregu rajonal të energjisë në Evropën Juglindore dhe krijimin e mundësive tregtare me Bullgarinë dhe Italinë,</w:t>
      </w:r>
    </w:p>
    <w:p w14:paraId="1484844E" w14:textId="68A1BEAA" w:rsidR="000055CB" w:rsidRPr="00FF756A" w:rsidRDefault="000055CB" w:rsidP="008639B2">
      <w:pPr>
        <w:pStyle w:val="ListParagraph"/>
        <w:widowControl w:val="0"/>
        <w:numPr>
          <w:ilvl w:val="0"/>
          <w:numId w:val="64"/>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pPr>
      <w:r w:rsidRPr="00FF756A">
        <w:t xml:space="preserve">mbështetje reciproke midis Maqedonisë së Veriut dhe Shqipërisë për shkak të llojeve </w:t>
      </w:r>
      <w:r w:rsidR="0026281B" w:rsidRPr="00FF756A">
        <w:t xml:space="preserve">plotësuese </w:t>
      </w:r>
      <w:r w:rsidRPr="00FF756A">
        <w:t xml:space="preserve">të </w:t>
      </w:r>
      <w:r w:rsidR="0026281B" w:rsidRPr="00FF756A">
        <w:t xml:space="preserve">prodhimit </w:t>
      </w:r>
      <w:r w:rsidRPr="00FF756A">
        <w:t>(Shqipëri – hidro, Maqedonia e Veriut – termike),</w:t>
      </w:r>
    </w:p>
    <w:p w14:paraId="3AD4611A" w14:textId="7F9A00AA" w:rsidR="000055CB" w:rsidRPr="00FF756A" w:rsidRDefault="000055CB" w:rsidP="008639B2">
      <w:pPr>
        <w:pStyle w:val="ListParagraph"/>
        <w:widowControl w:val="0"/>
        <w:numPr>
          <w:ilvl w:val="0"/>
          <w:numId w:val="64"/>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pPr>
      <w:r w:rsidRPr="00FF756A">
        <w:t xml:space="preserve">uljen e kostos së </w:t>
      </w:r>
      <w:r w:rsidR="008548F5" w:rsidRPr="00FF756A">
        <w:t xml:space="preserve">ofrimit </w:t>
      </w:r>
      <w:r w:rsidRPr="00FF756A">
        <w:t>të kapacitet</w:t>
      </w:r>
      <w:r w:rsidR="008548F5" w:rsidRPr="00FF756A">
        <w:t>it të</w:t>
      </w:r>
      <w:r w:rsidRPr="00FF756A">
        <w:t xml:space="preserve"> rezerv</w:t>
      </w:r>
      <w:r w:rsidR="008548F5" w:rsidRPr="00FF756A">
        <w:t>ave</w:t>
      </w:r>
      <w:r w:rsidRPr="00FF756A">
        <w:t xml:space="preserve"> dhe ofrimin e mbështetjes </w:t>
      </w:r>
      <w:r w:rsidR="008548F5" w:rsidRPr="00FF756A">
        <w:t>së ndërsjellë</w:t>
      </w:r>
      <w:r w:rsidR="00504C77" w:rsidRPr="00FF756A">
        <w:t xml:space="preserve"> në raste emergjence.</w:t>
      </w:r>
    </w:p>
    <w:p w14:paraId="0DD9CEF1" w14:textId="77777777" w:rsidR="004E7EFC" w:rsidRPr="00FF756A" w:rsidRDefault="004E7EFC" w:rsidP="004E7EFC">
      <w:pPr>
        <w:pStyle w:val="ListParagraph"/>
        <w:widowControl w:val="0"/>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pPr>
    </w:p>
    <w:p w14:paraId="009E0834" w14:textId="0F1C0F1B" w:rsidR="000055CB" w:rsidRPr="00FF756A" w:rsidRDefault="000055CB" w:rsidP="004A3257">
      <w:pPr>
        <w:spacing w:line="240" w:lineRule="auto"/>
      </w:pPr>
      <w:r w:rsidRPr="00FF756A">
        <w:t>Aksesi i palëve të treta në sistemin e transmetimit dhe</w:t>
      </w:r>
      <w:r w:rsidR="004708EF" w:rsidRPr="00FF756A">
        <w:t xml:space="preserve"> paarashikimet</w:t>
      </w:r>
      <w:r w:rsidR="00250B58" w:rsidRPr="00FF756A">
        <w:t xml:space="preserve"> lidhur me mena</w:t>
      </w:r>
      <w:r w:rsidRPr="00FF756A">
        <w:t>xhimin e</w:t>
      </w:r>
      <w:r w:rsidR="00250B58" w:rsidRPr="00FF756A">
        <w:t xml:space="preserve"> kongjestionit </w:t>
      </w:r>
      <w:r w:rsidRPr="00FF756A">
        <w:t xml:space="preserve">në linjat ndërkufitare janë në përputhje me </w:t>
      </w:r>
      <w:r w:rsidR="00250B58" w:rsidRPr="00FF756A">
        <w:t>legjislacionin e BE-së.</w:t>
      </w:r>
      <w:r w:rsidRPr="00FF756A">
        <w:t xml:space="preserve"> Kapacitetet transmetuese ndërkufitare në kufijtë me Malin e Zi dhe Greqinë shpërndahen nëpërmjet platformës </w:t>
      </w:r>
      <w:r w:rsidR="008109CC" w:rsidRPr="00FF756A">
        <w:t>rajonale të</w:t>
      </w:r>
      <w:r w:rsidRPr="00FF756A">
        <w:t xml:space="preserve"> koordinuar </w:t>
      </w:r>
      <w:r w:rsidR="008109CC" w:rsidRPr="00FF756A">
        <w:t xml:space="preserve">të </w:t>
      </w:r>
      <w:r w:rsidRPr="00FF756A">
        <w:t xml:space="preserve">Zyrës së Koordinuar </w:t>
      </w:r>
      <w:r w:rsidR="00803D00" w:rsidRPr="00FF756A">
        <w:t>të Ankandave p</w:t>
      </w:r>
      <w:r w:rsidRPr="00FF756A">
        <w:t>ë</w:t>
      </w:r>
      <w:r w:rsidR="00803D00" w:rsidRPr="00FF756A">
        <w:t>r</w:t>
      </w:r>
      <w:r w:rsidRPr="00FF756A">
        <w:t xml:space="preserve"> Evropë</w:t>
      </w:r>
      <w:r w:rsidR="00803D00" w:rsidRPr="00FF756A">
        <w:t>n</w:t>
      </w:r>
      <w:r w:rsidRPr="00FF756A">
        <w:t xml:space="preserve"> Juglindore në Mal të Zi (SEE CAO).</w:t>
      </w:r>
    </w:p>
    <w:p w14:paraId="49AD59A1" w14:textId="30547B32" w:rsidR="000055CB" w:rsidRPr="00FF756A" w:rsidRDefault="000055CB" w:rsidP="004A3257">
      <w:pPr>
        <w:spacing w:line="240" w:lineRule="auto"/>
      </w:pPr>
      <w:r w:rsidRPr="00FF756A">
        <w:t>Operatori i Sistemit të Transmetimit Shqiptar dhe Operatori i Sistemit të Transmetimit të Energjisë në Kosovë KOSTT kanë nënshkruar një marrëveshje për krijimin e një tregu të përbashkët të energjisë</w:t>
      </w:r>
      <w:r w:rsidR="004E072A" w:rsidRPr="00FF756A">
        <w:t xml:space="preserve"> elektrike</w:t>
      </w:r>
      <w:r w:rsidRPr="00FF756A">
        <w:t xml:space="preserve"> si dy vende fqinje. Marrëveshja është në përputhje me rregulloret e reja të ENTSO-E</w:t>
      </w:r>
      <w:r w:rsidR="004E072A" w:rsidRPr="00FF756A">
        <w:t>,</w:t>
      </w:r>
      <w:r w:rsidRPr="00FF756A">
        <w:t xml:space="preserve"> që synojnë promovimin e bashkëpunimit të OST-ve </w:t>
      </w:r>
      <w:r w:rsidR="004E072A" w:rsidRPr="00FF756A">
        <w:t xml:space="preserve">për sa i përket </w:t>
      </w:r>
      <w:r w:rsidR="00C81CD5" w:rsidRPr="00FF756A">
        <w:t xml:space="preserve">operacioneve të sigurta </w:t>
      </w:r>
      <w:r w:rsidRPr="00FF756A">
        <w:t>të  sistemeve të energjisë dhe minimizimit të kostove.</w:t>
      </w:r>
    </w:p>
    <w:p w14:paraId="1A544BCF" w14:textId="50DCDBC9" w:rsidR="000055CB" w:rsidRPr="00FF756A" w:rsidRDefault="000055CB" w:rsidP="004A3257">
      <w:pPr>
        <w:spacing w:line="240" w:lineRule="auto"/>
      </w:pPr>
      <w:r w:rsidRPr="00FF756A">
        <w:t xml:space="preserve">Rezultatet e </w:t>
      </w:r>
      <w:r w:rsidR="00C81CD5" w:rsidRPr="00FF756A">
        <w:t>skenarit</w:t>
      </w:r>
      <w:r w:rsidRPr="00FF756A">
        <w:t xml:space="preserve"> të tregut të energjisë elektrike Shqipëri-Kosovë tregojnë se </w:t>
      </w:r>
      <w:r w:rsidR="00C81CD5" w:rsidRPr="00FF756A">
        <w:t>ka</w:t>
      </w:r>
      <w:r w:rsidRPr="00FF756A">
        <w:t xml:space="preserve"> një potencial </w:t>
      </w:r>
      <w:r w:rsidR="00C81CD5" w:rsidRPr="00FF756A">
        <w:t>të</w:t>
      </w:r>
      <w:r w:rsidRPr="00FF756A">
        <w:t xml:space="preserve"> konsiderueshëm për shfrytëzim më të mirë të kapaciteteve transmetuese ndërkufitare dhe rritje të mirëqenies përmes optimizimit të tregut të funksionimit të burimeve të energjisë termike në Kosovë dhe burimeve hidrike në Shqipëri (konkretisht , kaskada e lumit Drin), si dhe </w:t>
      </w:r>
      <w:r w:rsidR="00CC57F5" w:rsidRPr="00FF756A">
        <w:t xml:space="preserve">duke </w:t>
      </w:r>
      <w:r w:rsidRPr="00FF756A">
        <w:t>shkëmb</w:t>
      </w:r>
      <w:r w:rsidR="00CC57F5" w:rsidRPr="00FF756A">
        <w:t xml:space="preserve">yer  kërkesat e </w:t>
      </w:r>
      <w:r w:rsidRPr="00FF756A">
        <w:t>rezervë</w:t>
      </w:r>
      <w:r w:rsidR="00CC57F5" w:rsidRPr="00FF756A">
        <w:t>s</w:t>
      </w:r>
      <w:r w:rsidRPr="00FF756A">
        <w:t xml:space="preserve"> balancuese.</w:t>
      </w:r>
    </w:p>
    <w:p w14:paraId="2EED0CBB" w14:textId="77777777" w:rsidR="000055CB" w:rsidRPr="00FF756A" w:rsidRDefault="000055CB" w:rsidP="000055CB"/>
    <w:p w14:paraId="570E352E" w14:textId="77777777" w:rsidR="000055CB" w:rsidRPr="00FF756A" w:rsidRDefault="000055CB" w:rsidP="004A3257">
      <w:pPr>
        <w:pStyle w:val="Heading3"/>
        <w:numPr>
          <w:ilvl w:val="2"/>
          <w:numId w:val="250"/>
        </w:numPr>
      </w:pPr>
      <w:bookmarkStart w:id="297" w:name="_Toc100575574"/>
      <w:bookmarkStart w:id="298" w:name="_Toc181517003"/>
      <w:bookmarkStart w:id="299" w:name="_Toc183639217"/>
      <w:r w:rsidRPr="00FF756A">
        <w:lastRenderedPageBreak/>
        <w:t>Infrastruktura e transmetimit të energjisë</w:t>
      </w:r>
      <w:bookmarkEnd w:id="296"/>
      <w:bookmarkEnd w:id="297"/>
      <w:bookmarkEnd w:id="298"/>
      <w:bookmarkEnd w:id="299"/>
    </w:p>
    <w:p w14:paraId="6375E7ED" w14:textId="77777777" w:rsidR="007E7161" w:rsidRPr="00FF756A" w:rsidRDefault="007E7161" w:rsidP="000055CB">
      <w:pPr>
        <w:rPr>
          <w:b/>
          <w:color w:val="44546A" w:themeColor="text2"/>
        </w:rPr>
      </w:pPr>
      <w:bookmarkStart w:id="300" w:name="_Toc46945553"/>
    </w:p>
    <w:p w14:paraId="40A842F5" w14:textId="21FAD363" w:rsidR="000055CB" w:rsidRPr="00FF756A" w:rsidRDefault="0048399C" w:rsidP="004A3257">
      <w:pPr>
        <w:spacing w:line="240" w:lineRule="auto"/>
        <w:rPr>
          <w:bCs/>
        </w:rPr>
      </w:pPr>
      <w:r w:rsidRPr="00FF756A">
        <w:rPr>
          <w:bCs/>
        </w:rPr>
        <w:t>Pikë</w:t>
      </w:r>
      <w:r w:rsidR="000C2550" w:rsidRPr="00FF756A">
        <w:rPr>
          <w:bCs/>
        </w:rPr>
        <w:t>sy</w:t>
      </w:r>
      <w:r w:rsidRPr="00FF756A">
        <w:rPr>
          <w:bCs/>
        </w:rPr>
        <w:t xml:space="preserve">nimet </w:t>
      </w:r>
      <w:r w:rsidR="000055CB" w:rsidRPr="00FF756A">
        <w:rPr>
          <w:bCs/>
        </w:rPr>
        <w:t>kryesore për infrastrukturën e transmetimit të energjisë elektrike janë këto:</w:t>
      </w:r>
    </w:p>
    <w:p w14:paraId="19103E6A" w14:textId="77777777" w:rsidR="000C2550" w:rsidRPr="00FF756A" w:rsidRDefault="000C2550" w:rsidP="004A3257">
      <w:pPr>
        <w:pStyle w:val="ListParagraph"/>
        <w:numPr>
          <w:ilvl w:val="0"/>
          <w:numId w:val="227"/>
        </w:numPr>
        <w:spacing w:before="0" w:after="0" w:line="240" w:lineRule="auto"/>
      </w:pPr>
      <w:r w:rsidRPr="00FF756A">
        <w:t>Reduktimi i humbjeve teknike në rrjetin e transmetimit të energjisë elektrike me 1.7% deri në vitin 2030.</w:t>
      </w:r>
    </w:p>
    <w:p w14:paraId="1F37340A" w14:textId="77777777" w:rsidR="000C2550" w:rsidRPr="00FF756A" w:rsidRDefault="000C2550" w:rsidP="004A3257">
      <w:pPr>
        <w:pStyle w:val="ListParagraph"/>
        <w:numPr>
          <w:ilvl w:val="0"/>
          <w:numId w:val="227"/>
        </w:numPr>
        <w:spacing w:before="0" w:after="0" w:line="240" w:lineRule="auto"/>
      </w:pPr>
      <w:r w:rsidRPr="00FF756A">
        <w:t>Përmirësimi i besueshmërisë së sistemit të transmetimit dhe garantimi i sigurisë së furnizimit me energji elektrike.</w:t>
      </w:r>
    </w:p>
    <w:p w14:paraId="23D41AB5" w14:textId="77777777" w:rsidR="000C2550" w:rsidRPr="00FF756A" w:rsidRDefault="000C2550" w:rsidP="004A3257">
      <w:pPr>
        <w:pStyle w:val="ListParagraph"/>
        <w:numPr>
          <w:ilvl w:val="0"/>
          <w:numId w:val="227"/>
        </w:numPr>
        <w:spacing w:before="0" w:after="0" w:line="240" w:lineRule="auto"/>
      </w:pPr>
      <w:r w:rsidRPr="00FF756A">
        <w:t>Modernizimi i rrjetit të komunikimit dhe sistemit të monitorimit e kontrollit në distancë për të rritur sigurinë e furnizimit me energji.</w:t>
      </w:r>
    </w:p>
    <w:p w14:paraId="1B1158A3" w14:textId="20A6B532" w:rsidR="000C2550" w:rsidRPr="00FF756A" w:rsidRDefault="000C2550" w:rsidP="004A3257">
      <w:pPr>
        <w:pStyle w:val="ListParagraph"/>
        <w:numPr>
          <w:ilvl w:val="0"/>
          <w:numId w:val="227"/>
        </w:numPr>
        <w:spacing w:before="0" w:after="0" w:line="240" w:lineRule="auto"/>
      </w:pPr>
      <w:r w:rsidRPr="00FF756A">
        <w:t>Zhvillimi i rrjetit të transmetimit për të përballuar rritjen e kërkesës nga konsumatorët industrialë dhe prodhimi</w:t>
      </w:r>
      <w:r w:rsidR="00A870E2" w:rsidRPr="00FF756A">
        <w:t>t</w:t>
      </w:r>
      <w:r w:rsidRPr="00FF756A">
        <w:t xml:space="preserve"> hidro.</w:t>
      </w:r>
    </w:p>
    <w:p w14:paraId="0382389D" w14:textId="77777777" w:rsidR="000C2550" w:rsidRPr="00FF756A" w:rsidRDefault="000C2550" w:rsidP="004A3257">
      <w:pPr>
        <w:pStyle w:val="ListParagraph"/>
        <w:numPr>
          <w:ilvl w:val="0"/>
          <w:numId w:val="227"/>
        </w:numPr>
        <w:spacing w:before="0" w:after="0" w:line="240" w:lineRule="auto"/>
      </w:pPr>
      <w:r w:rsidRPr="00FF756A">
        <w:t>Integrimi i përshpejtuar i burimeve të rinovueshme në sistemin energjetik, duke siguruar rezerva të mjaftueshme për të balancuar prodhimin e tyre.</w:t>
      </w:r>
    </w:p>
    <w:p w14:paraId="35C298E1" w14:textId="77777777" w:rsidR="000C2550" w:rsidRPr="00FF756A" w:rsidRDefault="000C2550" w:rsidP="004A3257">
      <w:pPr>
        <w:pStyle w:val="ListParagraph"/>
        <w:numPr>
          <w:ilvl w:val="0"/>
          <w:numId w:val="227"/>
        </w:numPr>
        <w:spacing w:before="0" w:after="0" w:line="240" w:lineRule="auto"/>
      </w:pPr>
      <w:r w:rsidRPr="00FF756A">
        <w:t>Realizimi i investimeve strategjike për të mundësuar integrimin e burimeve të rinovueshme në sistemin elektroenergjetik në kohën e duhur.</w:t>
      </w:r>
    </w:p>
    <w:p w14:paraId="056FD246" w14:textId="77777777" w:rsidR="000C2550" w:rsidRPr="00FF756A" w:rsidRDefault="000C2550" w:rsidP="004A3257">
      <w:pPr>
        <w:pStyle w:val="ListParagraph"/>
        <w:numPr>
          <w:ilvl w:val="0"/>
          <w:numId w:val="227"/>
        </w:numPr>
        <w:spacing w:before="0" w:after="0" w:line="240" w:lineRule="auto"/>
      </w:pPr>
      <w:r w:rsidRPr="00FF756A">
        <w:t>Mbështetja e transaksioneve të tregut brenda vendit dhe rajonit për të siguruar që rrjeti i transmetimit të mos kufizojë konkurrencën.</w:t>
      </w:r>
    </w:p>
    <w:p w14:paraId="2DE27570" w14:textId="06C5A7FC" w:rsidR="000C2550" w:rsidRPr="00FF756A" w:rsidRDefault="000C2550" w:rsidP="004A3257">
      <w:pPr>
        <w:pStyle w:val="ListParagraph"/>
        <w:numPr>
          <w:ilvl w:val="0"/>
          <w:numId w:val="227"/>
        </w:numPr>
        <w:spacing w:before="0" w:after="0" w:line="240" w:lineRule="auto"/>
      </w:pPr>
      <w:r w:rsidRPr="00FF756A">
        <w:t>R</w:t>
      </w:r>
      <w:r w:rsidR="006A063B" w:rsidRPr="00FF756A">
        <w:t xml:space="preserve">ijetësimi </w:t>
      </w:r>
      <w:r w:rsidRPr="00FF756A">
        <w:t>dhe zëvendësimi i njësive të vjetruara të rrjetit për të përmirësuar performancën dhe besueshmërinë.</w:t>
      </w:r>
    </w:p>
    <w:p w14:paraId="63C01164" w14:textId="5338E3DA" w:rsidR="000C2550" w:rsidRPr="00FF756A" w:rsidRDefault="000C2550" w:rsidP="004A3257">
      <w:pPr>
        <w:pStyle w:val="ListParagraph"/>
        <w:numPr>
          <w:ilvl w:val="0"/>
          <w:numId w:val="227"/>
        </w:numPr>
        <w:spacing w:before="0" w:after="0" w:line="240" w:lineRule="auto"/>
      </w:pPr>
      <w:r w:rsidRPr="00FF756A">
        <w:t>Rritja e kapacitetit të linjave transmetuese që janë planifikuar për ri</w:t>
      </w:r>
      <w:r w:rsidR="006A063B" w:rsidRPr="00FF756A">
        <w:t>jetësim</w:t>
      </w:r>
      <w:r w:rsidRPr="00FF756A">
        <w:t>, duke përmirësuar efikasitetin e tyre.</w:t>
      </w:r>
    </w:p>
    <w:p w14:paraId="460098D7" w14:textId="4425FB3E" w:rsidR="000C2550" w:rsidRPr="00FF756A" w:rsidRDefault="006A063B" w:rsidP="004A3257">
      <w:pPr>
        <w:pStyle w:val="ListParagraph"/>
        <w:numPr>
          <w:ilvl w:val="0"/>
          <w:numId w:val="227"/>
        </w:numPr>
        <w:spacing w:before="0" w:after="0" w:line="240" w:lineRule="auto"/>
      </w:pPr>
      <w:r w:rsidRPr="00FF756A">
        <w:t xml:space="preserve">Zbatimi </w:t>
      </w:r>
      <w:r w:rsidR="000C2550" w:rsidRPr="00FF756A">
        <w:t xml:space="preserve">i teknologjive të avancuara në transmetim, </w:t>
      </w:r>
      <w:r w:rsidR="00A20FAD" w:rsidRPr="00FF756A">
        <w:t xml:space="preserve">nëse </w:t>
      </w:r>
      <w:r w:rsidR="000C2550" w:rsidRPr="00FF756A">
        <w:t>janë të justifikuara teknikisht dhe ekonomikisht.</w:t>
      </w:r>
    </w:p>
    <w:p w14:paraId="733B2A12" w14:textId="6530FB04" w:rsidR="000055CB" w:rsidRPr="00FF756A" w:rsidRDefault="000055CB" w:rsidP="004A3257">
      <w:pPr>
        <w:spacing w:line="240" w:lineRule="auto"/>
      </w:pPr>
      <w:r w:rsidRPr="00FF756A">
        <w:t xml:space="preserve">Për shkak të karakteristikave klimatike, Shqipëria është veçanërisht e përshtatshme për zhvillimin e </w:t>
      </w:r>
      <w:r w:rsidR="00984421" w:rsidRPr="00FF756A">
        <w:t xml:space="preserve">impianteve me erë </w:t>
      </w:r>
      <w:r w:rsidRPr="00FF756A">
        <w:t>dhe diellore</w:t>
      </w:r>
      <w:r w:rsidR="00984421" w:rsidRPr="00FF756A">
        <w:t>, si</w:t>
      </w:r>
      <w:r w:rsidRPr="00FF756A">
        <w:t xml:space="preserve"> dhe investitor</w:t>
      </w:r>
      <w:r w:rsidR="00984421" w:rsidRPr="00FF756A">
        <w:t>ët kan</w:t>
      </w:r>
      <w:r w:rsidR="004859AB" w:rsidRPr="00FF756A">
        <w:t xml:space="preserve">ë interes të lartën në </w:t>
      </w:r>
      <w:r w:rsidRPr="00FF756A">
        <w:t xml:space="preserve">ndërtimin e </w:t>
      </w:r>
      <w:r w:rsidR="004859AB" w:rsidRPr="00FF756A">
        <w:t>impianteve të</w:t>
      </w:r>
      <w:r w:rsidRPr="00FF756A">
        <w:t xml:space="preserve"> reja. Rrjeti ekzistues i transmetimit dhe kapaciteti i </w:t>
      </w:r>
      <w:r w:rsidR="004859AB" w:rsidRPr="00FF756A">
        <w:t xml:space="preserve">interkonjeksionit </w:t>
      </w:r>
      <w:r w:rsidRPr="00FF756A">
        <w:t xml:space="preserve">me vendet fqinje duhet të zhvillohen për të mundësuar integrimin e impianteve të reja të parashikuara të </w:t>
      </w:r>
      <w:r w:rsidR="00E87F86" w:rsidRPr="00FF756A">
        <w:t xml:space="preserve">prodhimit </w:t>
      </w:r>
      <w:r w:rsidRPr="00FF756A">
        <w:t xml:space="preserve"> të BRE</w:t>
      </w:r>
      <w:r w:rsidR="00E87F86" w:rsidRPr="00FF756A">
        <w:t>-ve</w:t>
      </w:r>
      <w:r w:rsidRPr="00FF756A">
        <w:t>.</w:t>
      </w:r>
    </w:p>
    <w:p w14:paraId="3FC9FC29" w14:textId="231AC463" w:rsidR="000055CB" w:rsidRPr="00FF756A" w:rsidRDefault="000055CB" w:rsidP="004A3257">
      <w:pPr>
        <w:spacing w:line="240" w:lineRule="auto"/>
        <w:rPr>
          <w:bCs/>
        </w:rPr>
      </w:pPr>
      <w:r w:rsidRPr="00FF756A">
        <w:rPr>
          <w:bCs/>
        </w:rPr>
        <w:t xml:space="preserve">Projektet kryesore të infrastrukturës për të arritur </w:t>
      </w:r>
      <w:r w:rsidR="00E87F86" w:rsidRPr="00FF756A">
        <w:rPr>
          <w:bCs/>
        </w:rPr>
        <w:t>pikësynimet</w:t>
      </w:r>
      <w:r w:rsidRPr="00FF756A">
        <w:rPr>
          <w:bCs/>
        </w:rPr>
        <w:t xml:space="preserve"> e vitit 2030: shih</w:t>
      </w:r>
      <w:r w:rsidR="00F1701F" w:rsidRPr="00FF756A">
        <w:rPr>
          <w:bCs/>
        </w:rPr>
        <w:t>ni</w:t>
      </w:r>
      <w:r w:rsidRPr="00FF756A">
        <w:rPr>
          <w:bCs/>
        </w:rPr>
        <w:t xml:space="preserve"> kapitullin 1.2.2 Dimensioni i Tregut të Energjisë.</w:t>
      </w:r>
    </w:p>
    <w:p w14:paraId="42DB820B" w14:textId="77777777" w:rsidR="000055CB" w:rsidRPr="00FF756A" w:rsidRDefault="000055CB" w:rsidP="000055CB">
      <w:pPr>
        <w:rPr>
          <w:b/>
        </w:rPr>
      </w:pPr>
    </w:p>
    <w:p w14:paraId="7A18AEF8" w14:textId="77777777" w:rsidR="000055CB" w:rsidRPr="00FF756A" w:rsidRDefault="000055CB" w:rsidP="000055CB">
      <w:pPr>
        <w:rPr>
          <w:b/>
        </w:rPr>
      </w:pPr>
      <w:r w:rsidRPr="00FF756A">
        <w:rPr>
          <w:b/>
        </w:rPr>
        <w:t>Qëllimet kryesore për infrastrukturën e transmetimit të gazit</w:t>
      </w:r>
    </w:p>
    <w:p w14:paraId="1FFD4B2B" w14:textId="14281798" w:rsidR="000055CB" w:rsidRPr="00FF756A" w:rsidRDefault="000055CB" w:rsidP="004A3257">
      <w:pPr>
        <w:spacing w:line="240" w:lineRule="auto"/>
      </w:pPr>
      <w:r w:rsidRPr="00FF756A">
        <w:t xml:space="preserve">Masterplani i gazit </w:t>
      </w:r>
      <w:r w:rsidR="006246A3" w:rsidRPr="00FF756A">
        <w:t xml:space="preserve">ka për qëllim </w:t>
      </w:r>
      <w:r w:rsidR="00BC5CB8" w:rsidRPr="00FF756A">
        <w:t xml:space="preserve">zhvillimin e një </w:t>
      </w:r>
      <w:r w:rsidRPr="00FF756A">
        <w:t>sistem</w:t>
      </w:r>
      <w:r w:rsidR="00BC5CB8" w:rsidRPr="00FF756A">
        <w:t>i</w:t>
      </w:r>
      <w:r w:rsidRPr="00FF756A">
        <w:t xml:space="preserve"> të qëndrueshëm të gazit natyror që mundëson një kontribut të </w:t>
      </w:r>
      <w:r w:rsidR="006246A3" w:rsidRPr="00FF756A">
        <w:t xml:space="preserve">ekuilibruar </w:t>
      </w:r>
      <w:r w:rsidRPr="00FF756A">
        <w:t>në sistemin energjetik, duke siguruar furnizimin me gaz nëpërmjet konkurrencës dhe mbrojtje</w:t>
      </w:r>
      <w:r w:rsidR="006246A3" w:rsidRPr="00FF756A">
        <w:t>s</w:t>
      </w:r>
      <w:r w:rsidRPr="00FF756A">
        <w:t xml:space="preserve"> </w:t>
      </w:r>
      <w:r w:rsidR="006246A3" w:rsidRPr="00FF756A">
        <w:t>së</w:t>
      </w:r>
      <w:r w:rsidRPr="00FF756A">
        <w:t xml:space="preserve"> mjedisit. Nevojitet një sistem krejtësisht i ri i transmetimit dhe shpërndarjes së gazit. </w:t>
      </w:r>
      <w:r w:rsidR="00BC5CB8" w:rsidRPr="00FF756A">
        <w:t xml:space="preserve">Pritete edhe krijimi i një </w:t>
      </w:r>
      <w:r w:rsidRPr="00FF756A">
        <w:t>sistemit të depozitimit të gazit.</w:t>
      </w:r>
    </w:p>
    <w:p w14:paraId="533979D3" w14:textId="4F87EBC0" w:rsidR="000055CB" w:rsidRPr="00FF756A" w:rsidRDefault="000055CB" w:rsidP="004A3257">
      <w:pPr>
        <w:spacing w:line="240" w:lineRule="auto"/>
        <w:rPr>
          <w:bCs/>
        </w:rPr>
      </w:pPr>
      <w:r w:rsidRPr="00FF756A">
        <w:rPr>
          <w:bCs/>
        </w:rPr>
        <w:t xml:space="preserve">Projektet kryesore të infrastrukturës </w:t>
      </w:r>
      <w:r w:rsidR="00BC5CB8" w:rsidRPr="00FF756A">
        <w:rPr>
          <w:bCs/>
        </w:rPr>
        <w:t xml:space="preserve">që pritet të përmbushin </w:t>
      </w:r>
      <w:r w:rsidR="00702AD8" w:rsidRPr="00FF756A">
        <w:rPr>
          <w:bCs/>
        </w:rPr>
        <w:t xml:space="preserve">pikësynimet </w:t>
      </w:r>
      <w:r w:rsidRPr="00FF756A">
        <w:rPr>
          <w:bCs/>
        </w:rPr>
        <w:t>e vitit 2030: shih</w:t>
      </w:r>
      <w:r w:rsidR="0030051B" w:rsidRPr="00FF756A">
        <w:rPr>
          <w:bCs/>
        </w:rPr>
        <w:t>ni</w:t>
      </w:r>
      <w:r w:rsidRPr="00FF756A">
        <w:rPr>
          <w:bCs/>
        </w:rPr>
        <w:t xml:space="preserve"> kapitullin 1.2.2 Dimensioni i Tregut të Energjisë.</w:t>
      </w:r>
    </w:p>
    <w:p w14:paraId="5F037F3F" w14:textId="77777777" w:rsidR="000055CB" w:rsidRPr="00FF756A" w:rsidRDefault="000055CB" w:rsidP="000055CB"/>
    <w:p w14:paraId="24358DCC" w14:textId="77777777" w:rsidR="000055CB" w:rsidRPr="00FF756A" w:rsidRDefault="000055CB" w:rsidP="004A3257">
      <w:pPr>
        <w:pStyle w:val="Heading3"/>
        <w:numPr>
          <w:ilvl w:val="2"/>
          <w:numId w:val="250"/>
        </w:numPr>
      </w:pPr>
      <w:bookmarkStart w:id="301" w:name="_Toc100575575"/>
      <w:bookmarkStart w:id="302" w:name="_Toc181517004"/>
      <w:bookmarkStart w:id="303" w:name="_Toc183639218"/>
      <w:r w:rsidRPr="00FF756A">
        <w:t>Integrimi i tregut</w:t>
      </w:r>
      <w:bookmarkEnd w:id="300"/>
      <w:bookmarkEnd w:id="301"/>
      <w:bookmarkEnd w:id="302"/>
      <w:bookmarkEnd w:id="303"/>
    </w:p>
    <w:p w14:paraId="358D92E4" w14:textId="4C801B40" w:rsidR="000055CB" w:rsidRPr="00FF756A" w:rsidRDefault="000055CB" w:rsidP="004A3257">
      <w:pPr>
        <w:spacing w:line="240" w:lineRule="auto"/>
      </w:pPr>
      <w:bookmarkStart w:id="304" w:name="_Toc46945554"/>
      <w:r w:rsidRPr="00FF756A">
        <w:t>Integrimi në tregjet e energjisë rajonale dhe të BE-së është një nga objektivat kryesore të Strategjisë të Energjisë, e cila nënvizon se siguria e energjisë duhet të arrihet bazuar në diversi</w:t>
      </w:r>
      <w:r w:rsidR="00C337AD" w:rsidRPr="00FF756A">
        <w:t xml:space="preserve">tetin </w:t>
      </w:r>
      <w:r w:rsidRPr="00FF756A">
        <w:t>e burimeve të energjisë, solidaritetin dhe besimin.</w:t>
      </w:r>
    </w:p>
    <w:p w14:paraId="13490F1F" w14:textId="69A23E97" w:rsidR="000055CB" w:rsidRPr="00FF756A" w:rsidRDefault="000055CB" w:rsidP="004A3257">
      <w:pPr>
        <w:spacing w:line="240" w:lineRule="auto"/>
      </w:pPr>
      <w:r w:rsidRPr="00FF756A">
        <w:t>Parimet që drejtojnë zhvillimin e Strategjisë të Energjisë janë plotësisht në përputhje me parimet e Strategjisë së Dytë Kombëtare për Zhvillim dhe Integrim.</w:t>
      </w:r>
    </w:p>
    <w:p w14:paraId="74D5C704" w14:textId="4D692FFE" w:rsidR="000055CB" w:rsidRPr="00FF756A" w:rsidRDefault="000055CB" w:rsidP="000055CB">
      <w:r w:rsidRPr="00FF756A">
        <w:t xml:space="preserve">Për </w:t>
      </w:r>
      <w:r w:rsidR="00F907FC" w:rsidRPr="00FF756A">
        <w:t>sa i përket elementeve të tjera</w:t>
      </w:r>
      <w:r w:rsidR="009969E3" w:rsidRPr="00FF756A">
        <w:t xml:space="preserve"> lidhur</w:t>
      </w:r>
      <w:r w:rsidRPr="00FF756A">
        <w:t xml:space="preserve"> me integrimin e tregut, objektivat </w:t>
      </w:r>
      <w:r w:rsidR="009969E3" w:rsidRPr="00FF756A">
        <w:t>përfshijnë</w:t>
      </w:r>
      <w:r w:rsidRPr="00FF756A">
        <w:t>:</w:t>
      </w:r>
    </w:p>
    <w:p w14:paraId="4840CB7B" w14:textId="77777777" w:rsidR="000055CB" w:rsidRPr="00FF756A" w:rsidRDefault="000055CB" w:rsidP="008639B2">
      <w:pPr>
        <w:pStyle w:val="ListParagraph"/>
        <w:widowControl w:val="0"/>
        <w:numPr>
          <w:ilvl w:val="0"/>
          <w:numId w:val="61"/>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ind w:left="805" w:hanging="357"/>
      </w:pPr>
      <w:r w:rsidRPr="00FF756A">
        <w:t>Hapja e plotë e tregut të energjisë elektrike (100%) në vitin 2025</w:t>
      </w:r>
    </w:p>
    <w:p w14:paraId="78CAFE3A" w14:textId="5311F767" w:rsidR="000055CB" w:rsidRPr="00FF756A" w:rsidRDefault="000055CB" w:rsidP="008639B2">
      <w:pPr>
        <w:pStyle w:val="ListParagraph"/>
        <w:widowControl w:val="0"/>
        <w:numPr>
          <w:ilvl w:val="0"/>
          <w:numId w:val="61"/>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ind w:left="805" w:hanging="357"/>
      </w:pPr>
      <w:r w:rsidRPr="00FF756A">
        <w:t>Divers</w:t>
      </w:r>
      <w:r w:rsidR="009969E3" w:rsidRPr="00FF756A">
        <w:t>itet</w:t>
      </w:r>
      <w:r w:rsidRPr="00FF756A">
        <w:t xml:space="preserve">i i mëtejshëm i burimeve të furnizimit dhe </w:t>
      </w:r>
      <w:r w:rsidR="0015082D" w:rsidRPr="00FF756A">
        <w:t>interkonjeksionin</w:t>
      </w:r>
      <w:r w:rsidRPr="00FF756A">
        <w:t xml:space="preserve"> me rrjetet rajonale dhe evropiane të energjisë elektrike dhe gazit</w:t>
      </w:r>
    </w:p>
    <w:p w14:paraId="1E880164" w14:textId="3C764E79" w:rsidR="000055CB" w:rsidRPr="00FF756A" w:rsidRDefault="000055CB" w:rsidP="008639B2">
      <w:pPr>
        <w:pStyle w:val="ListParagraph"/>
        <w:widowControl w:val="0"/>
        <w:numPr>
          <w:ilvl w:val="0"/>
          <w:numId w:val="61"/>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ind w:left="805" w:hanging="357"/>
      </w:pPr>
      <w:r w:rsidRPr="00FF756A">
        <w:t xml:space="preserve">Krijimi i një tregu konkurrues dhe të organizuar që </w:t>
      </w:r>
      <w:r w:rsidR="0015082D" w:rsidRPr="00FF756A">
        <w:t>ofron mundësit</w:t>
      </w:r>
      <w:r w:rsidR="00B610E8" w:rsidRPr="00FF756A">
        <w:t xml:space="preserve">ë e duhura </w:t>
      </w:r>
      <w:r w:rsidRPr="00FF756A">
        <w:t xml:space="preserve">për prodhimin dhe konsumin e energjisë elektrike dhe gazit natyror, duke marrë </w:t>
      </w:r>
      <w:r w:rsidR="00B610E8" w:rsidRPr="00FF756A">
        <w:t xml:space="preserve">në konsideratë </w:t>
      </w:r>
      <w:r w:rsidRPr="00FF756A">
        <w:t xml:space="preserve">ndikimin </w:t>
      </w:r>
      <w:r w:rsidRPr="00FF756A">
        <w:lastRenderedPageBreak/>
        <w:t>specifik të ndryshimeve klimatike në prodhimin e brendshëm të energjisë elektrike.</w:t>
      </w:r>
    </w:p>
    <w:p w14:paraId="62AA18CA" w14:textId="339B953C" w:rsidR="000055CB" w:rsidRPr="00FF756A" w:rsidRDefault="009969E3" w:rsidP="008639B2">
      <w:pPr>
        <w:pStyle w:val="ListParagraph"/>
        <w:widowControl w:val="0"/>
        <w:numPr>
          <w:ilvl w:val="0"/>
          <w:numId w:val="61"/>
        </w:numPr>
        <w:pBdr>
          <w:top w:val="none" w:sz="0" w:space="0" w:color="auto"/>
          <w:left w:val="none" w:sz="0" w:space="0" w:color="auto"/>
          <w:bottom w:val="none" w:sz="0" w:space="0" w:color="auto"/>
          <w:right w:val="none" w:sz="0" w:space="0" w:color="auto"/>
          <w:between w:val="none" w:sz="0" w:space="0" w:color="auto"/>
        </w:pBdr>
        <w:tabs>
          <w:tab w:val="left" w:pos="450"/>
        </w:tabs>
        <w:autoSpaceDE w:val="0"/>
        <w:autoSpaceDN w:val="0"/>
        <w:spacing w:before="0" w:after="0" w:line="240" w:lineRule="auto"/>
        <w:ind w:left="805" w:hanging="357"/>
      </w:pPr>
      <w:r w:rsidRPr="00FF756A">
        <w:t xml:space="preserve">Bashkimi </w:t>
      </w:r>
      <w:r w:rsidR="00B610E8" w:rsidRPr="00FF756A">
        <w:t xml:space="preserve">i </w:t>
      </w:r>
      <w:r w:rsidR="000055CB" w:rsidRPr="00FF756A">
        <w:t>tregu</w:t>
      </w:r>
      <w:r w:rsidR="00B610E8" w:rsidRPr="00FF756A">
        <w:t>t të</w:t>
      </w:r>
      <w:r w:rsidR="000055CB" w:rsidRPr="00FF756A">
        <w:t xml:space="preserve"> energjisë elektrike në përputhje me angazhimet e marra në kuadër të të ashtuquajturit </w:t>
      </w:r>
      <w:r w:rsidR="00B610E8" w:rsidRPr="00FF756A">
        <w:t>P</w:t>
      </w:r>
      <w:r w:rsidR="000055CB" w:rsidRPr="00FF756A">
        <w:t>rocesi i Berlinit</w:t>
      </w:r>
      <w:r w:rsidR="00B610E8" w:rsidRPr="00FF756A">
        <w:t>.</w:t>
      </w:r>
    </w:p>
    <w:p w14:paraId="3285F7D1" w14:textId="77777777" w:rsidR="000055CB" w:rsidRPr="00FF756A" w:rsidRDefault="000055CB" w:rsidP="000055CB"/>
    <w:p w14:paraId="5880DF1F" w14:textId="77777777" w:rsidR="000055CB" w:rsidRPr="00FF756A" w:rsidRDefault="000055CB" w:rsidP="004A3257">
      <w:pPr>
        <w:pStyle w:val="Heading3"/>
        <w:numPr>
          <w:ilvl w:val="2"/>
          <w:numId w:val="250"/>
        </w:numPr>
      </w:pPr>
      <w:bookmarkStart w:id="305" w:name="_Toc100575576"/>
      <w:bookmarkStart w:id="306" w:name="_Toc181517005"/>
      <w:bookmarkStart w:id="307" w:name="_Toc183639219"/>
      <w:r w:rsidRPr="00FF756A">
        <w:t>Varfëria energjetike</w:t>
      </w:r>
      <w:bookmarkEnd w:id="304"/>
      <w:bookmarkEnd w:id="305"/>
      <w:bookmarkEnd w:id="306"/>
      <w:bookmarkEnd w:id="307"/>
    </w:p>
    <w:p w14:paraId="62FC8C10" w14:textId="1582126F" w:rsidR="000055CB" w:rsidRPr="00FF756A" w:rsidRDefault="000055CB" w:rsidP="004A3257">
      <w:pPr>
        <w:spacing w:line="240" w:lineRule="auto"/>
      </w:pPr>
      <w:r w:rsidRPr="00FF756A">
        <w:t xml:space="preserve">Varfëria energjetike nuk është ende e përcaktuar qartë dhe nuk monitorohet në mënyrë sistematike në Shqipëri. </w:t>
      </w:r>
      <w:r w:rsidRPr="00FF756A">
        <w:rPr>
          <w:rStyle w:val="FootnoteReference"/>
        </w:rPr>
        <w:footnoteReference w:id="11"/>
      </w:r>
      <w:r w:rsidR="00FA12E9" w:rsidRPr="00FF756A">
        <w:t xml:space="preserve"> </w:t>
      </w:r>
      <w:r w:rsidRPr="00FF756A">
        <w:t>Gjithashtu, nuk ka politika specifike për adresimin e varfërisë energjetike. Instrumentet e vetme që aplikohen</w:t>
      </w:r>
      <w:r w:rsidR="00FA12E9" w:rsidRPr="00FF756A">
        <w:t>,</w:t>
      </w:r>
      <w:r w:rsidRPr="00FF756A">
        <w:t xml:space="preserve"> përbëhen nga skemat e kompensimit në formën e përfitimeve në para që aplikohen për familjet në nevojë. Kuadri ligjor ekzistues përbëhet nga:</w:t>
      </w:r>
    </w:p>
    <w:p w14:paraId="0D963FEC" w14:textId="6EB723C2" w:rsidR="000055CB" w:rsidRPr="00FF756A" w:rsidRDefault="000055CB" w:rsidP="008639B2">
      <w:pPr>
        <w:pStyle w:val="Default"/>
        <w:numPr>
          <w:ilvl w:val="0"/>
          <w:numId w:val="66"/>
        </w:numPr>
        <w:pBdr>
          <w:top w:val="none" w:sz="0" w:space="0" w:color="auto"/>
          <w:left w:val="none" w:sz="0" w:space="0" w:color="auto"/>
          <w:bottom w:val="none" w:sz="0" w:space="0" w:color="auto"/>
          <w:right w:val="none" w:sz="0" w:space="0" w:color="auto"/>
          <w:between w:val="none" w:sz="0" w:space="0" w:color="auto"/>
        </w:pBdr>
        <w:spacing w:after="80"/>
        <w:rPr>
          <w:sz w:val="22"/>
          <w:szCs w:val="22"/>
        </w:rPr>
      </w:pPr>
      <w:r w:rsidRPr="00FF756A">
        <w:rPr>
          <w:sz w:val="22"/>
          <w:szCs w:val="22"/>
        </w:rPr>
        <w:t>VKM Nr. 8, datë 14.1.2015 “Për mbrojtjen e shtresave (kategorive) në nevojë, për efekt të heqjes së brezit të konsumit të energjisë elektrike deri në 300 kwh/muaj” si dhe udhëzimi në zbatim të tij nr.1. datë 02.02.2015, i ndryshuar me Udhëzimin nr.15, datë 08.04.2015;</w:t>
      </w:r>
    </w:p>
    <w:p w14:paraId="581EE8BF" w14:textId="02E3AB56" w:rsidR="000055CB" w:rsidRPr="00FF756A" w:rsidRDefault="000055CB" w:rsidP="008639B2">
      <w:pPr>
        <w:pStyle w:val="Default"/>
        <w:numPr>
          <w:ilvl w:val="0"/>
          <w:numId w:val="66"/>
        </w:numPr>
        <w:pBdr>
          <w:top w:val="none" w:sz="0" w:space="0" w:color="auto"/>
          <w:left w:val="none" w:sz="0" w:space="0" w:color="auto"/>
          <w:bottom w:val="none" w:sz="0" w:space="0" w:color="auto"/>
          <w:right w:val="none" w:sz="0" w:space="0" w:color="auto"/>
          <w:between w:val="none" w:sz="0" w:space="0" w:color="auto"/>
        </w:pBdr>
        <w:spacing w:after="80"/>
        <w:jc w:val="both"/>
        <w:rPr>
          <w:sz w:val="22"/>
          <w:szCs w:val="22"/>
        </w:rPr>
      </w:pPr>
      <w:r w:rsidRPr="00FF756A">
        <w:rPr>
          <w:sz w:val="22"/>
          <w:szCs w:val="22"/>
        </w:rPr>
        <w:t>VKM Nr. 495, datë 29.6.2015 “Për disa ndryshime dhe shtesa në VKM.8, datë 14.01.2015, “Për mbrojtjen e shtresave në nevojë, për efekt të heqjes së fashës së konsumit të energjisë elektrike deri në 300 kwh/muaj”</w:t>
      </w:r>
      <w:r w:rsidR="00701C5C" w:rsidRPr="00FF756A">
        <w:rPr>
          <w:sz w:val="22"/>
          <w:szCs w:val="22"/>
        </w:rPr>
        <w:t>.</w:t>
      </w:r>
    </w:p>
    <w:p w14:paraId="34D3C114" w14:textId="4725B7C3" w:rsidR="000055CB" w:rsidRPr="00FF756A" w:rsidRDefault="000055CB" w:rsidP="000055CB">
      <w:pPr>
        <w:pStyle w:val="Default"/>
        <w:spacing w:after="80"/>
        <w:jc w:val="both"/>
      </w:pPr>
      <w:r w:rsidRPr="00FF756A">
        <w:rPr>
          <w:sz w:val="22"/>
          <w:szCs w:val="22"/>
        </w:rPr>
        <w:t xml:space="preserve">Më tej, Ligji për Sektorin e Energjisë 7/2018, Art. 95, paraqet përkufizimin e </w:t>
      </w:r>
      <w:r w:rsidRPr="00FF756A">
        <w:rPr>
          <w:i/>
          <w:iCs/>
          <w:sz w:val="22"/>
          <w:szCs w:val="22"/>
        </w:rPr>
        <w:t xml:space="preserve">konsumatorit vulnerabël </w:t>
      </w:r>
      <w:r w:rsidRPr="00FF756A">
        <w:rPr>
          <w:sz w:val="22"/>
          <w:szCs w:val="22"/>
        </w:rPr>
        <w:t>. Ai përcakton se Enti Rregullator i Energjisë (ERE) është përgjegjës për mbrojtjen e konsumatorëve vulnerabël (neni 18</w:t>
      </w:r>
      <w:r w:rsidR="00701C5C" w:rsidRPr="00FF756A">
        <w:rPr>
          <w:sz w:val="22"/>
          <w:szCs w:val="22"/>
        </w:rPr>
        <w:t>, germa “</w:t>
      </w:r>
      <w:r w:rsidRPr="00FF756A">
        <w:rPr>
          <w:sz w:val="22"/>
          <w:szCs w:val="22"/>
        </w:rPr>
        <w:t>e</w:t>
      </w:r>
      <w:r w:rsidR="006F3197" w:rsidRPr="00FF756A">
        <w:rPr>
          <w:sz w:val="22"/>
          <w:szCs w:val="22"/>
        </w:rPr>
        <w:t>”</w:t>
      </w:r>
      <w:r w:rsidRPr="00FF756A">
        <w:rPr>
          <w:sz w:val="22"/>
          <w:szCs w:val="22"/>
        </w:rPr>
        <w:t xml:space="preserve">). Gjithashtu, në këtë paragraf thuhet se Ministria përgjegjëse e Çështjeve Sociale, në bashkëpunim me Ministrinë përgjegjëse të Energjisë, Ministria e Financave, në konsultim me ERE-n dhe duke përfshirë aktorët në terren, do të </w:t>
      </w:r>
      <w:r w:rsidRPr="00FF756A">
        <w:rPr>
          <w:i/>
          <w:iCs/>
          <w:sz w:val="22"/>
          <w:szCs w:val="22"/>
        </w:rPr>
        <w:t xml:space="preserve">hartojë </w:t>
      </w:r>
      <w:r w:rsidRPr="00FF756A">
        <w:rPr>
          <w:sz w:val="22"/>
          <w:szCs w:val="22"/>
        </w:rPr>
        <w:t xml:space="preserve">kriteret dhe procedurat për ata që kualifikohen </w:t>
      </w:r>
      <w:r w:rsidR="006F3197" w:rsidRPr="00FF756A">
        <w:rPr>
          <w:sz w:val="22"/>
          <w:szCs w:val="22"/>
        </w:rPr>
        <w:t xml:space="preserve">me status klineti </w:t>
      </w:r>
      <w:r w:rsidRPr="00FF756A">
        <w:rPr>
          <w:sz w:val="22"/>
          <w:szCs w:val="22"/>
        </w:rPr>
        <w:t xml:space="preserve">si </w:t>
      </w:r>
      <w:r w:rsidR="006F3197" w:rsidRPr="00FF756A">
        <w:rPr>
          <w:sz w:val="22"/>
          <w:szCs w:val="22"/>
        </w:rPr>
        <w:t xml:space="preserve">vulnerabil. </w:t>
      </w:r>
      <w:r w:rsidR="009B067C" w:rsidRPr="00FF756A">
        <w:rPr>
          <w:sz w:val="22"/>
          <w:szCs w:val="22"/>
        </w:rPr>
        <w:t>Metodologjia</w:t>
      </w:r>
      <w:r w:rsidRPr="00FF756A">
        <w:rPr>
          <w:sz w:val="22"/>
          <w:szCs w:val="22"/>
        </w:rPr>
        <w:t xml:space="preserve"> për trajtimin e konsumatorëve vulnerabël duhet të miratohet me </w:t>
      </w:r>
      <w:r w:rsidR="009B067C" w:rsidRPr="00FF756A">
        <w:rPr>
          <w:sz w:val="22"/>
          <w:szCs w:val="22"/>
        </w:rPr>
        <w:t>VKM.</w:t>
      </w:r>
    </w:p>
    <w:p w14:paraId="3AA2E000" w14:textId="782902FB" w:rsidR="000055CB" w:rsidRPr="00FF756A" w:rsidRDefault="000055CB" w:rsidP="000055CB">
      <w:pPr>
        <w:rPr>
          <w:i/>
          <w:iCs/>
          <w:sz w:val="20"/>
          <w:szCs w:val="20"/>
        </w:rPr>
      </w:pPr>
      <w:r w:rsidRPr="00FF756A">
        <w:rPr>
          <w:rFonts w:eastAsia="Calibri"/>
          <w:color w:val="000000"/>
        </w:rPr>
        <w:t>P</w:t>
      </w:r>
      <w:r w:rsidR="009B067C" w:rsidRPr="00FF756A">
        <w:rPr>
          <w:rFonts w:eastAsia="Calibri"/>
          <w:color w:val="000000"/>
        </w:rPr>
        <w:t>lani i Masave (PM</w:t>
      </w:r>
      <w:r w:rsidRPr="00FF756A">
        <w:rPr>
          <w:rFonts w:eastAsia="Calibri"/>
          <w:color w:val="000000"/>
        </w:rPr>
        <w:t>-ja</w:t>
      </w:r>
      <w:r w:rsidR="009B067C" w:rsidRPr="00FF756A">
        <w:rPr>
          <w:rFonts w:eastAsia="Calibri"/>
          <w:color w:val="000000"/>
        </w:rPr>
        <w:t>)</w:t>
      </w:r>
      <w:r w:rsidRPr="00FF756A">
        <w:rPr>
          <w:rFonts w:eastAsia="Calibri"/>
          <w:color w:val="000000"/>
        </w:rPr>
        <w:t xml:space="preserve"> përkatëse është integruar në </w:t>
      </w:r>
      <w:r w:rsidR="009B067C" w:rsidRPr="00FF756A">
        <w:rPr>
          <w:rFonts w:eastAsia="Calibri"/>
          <w:color w:val="000000"/>
        </w:rPr>
        <w:t>PKEK</w:t>
      </w:r>
      <w:r w:rsidRPr="00FF756A">
        <w:rPr>
          <w:rFonts w:eastAsia="Calibri"/>
          <w:color w:val="000000"/>
        </w:rPr>
        <w:t>: (EM-P1) "Çrrënjosja e varfërisë energjetike"</w:t>
      </w:r>
      <w:r w:rsidR="009B067C" w:rsidRPr="00FF756A">
        <w:rPr>
          <w:rFonts w:eastAsia="Calibri"/>
          <w:color w:val="000000"/>
        </w:rPr>
        <w:t>.</w:t>
      </w:r>
    </w:p>
    <w:p w14:paraId="157841A2" w14:textId="77777777" w:rsidR="000055CB" w:rsidRPr="00FF756A" w:rsidRDefault="000055CB" w:rsidP="000055CB"/>
    <w:p w14:paraId="417AB154" w14:textId="586449BF" w:rsidR="000055CB" w:rsidRPr="00FF756A" w:rsidRDefault="000055CB" w:rsidP="004A3257">
      <w:pPr>
        <w:pStyle w:val="Heading2"/>
        <w:numPr>
          <w:ilvl w:val="1"/>
          <w:numId w:val="250"/>
        </w:numPr>
      </w:pPr>
      <w:bookmarkStart w:id="308" w:name="_Toc183639220"/>
      <w:bookmarkStart w:id="309" w:name="_Toc46945555"/>
      <w:bookmarkStart w:id="310" w:name="_Toc100575577"/>
      <w:bookmarkStart w:id="311" w:name="_Toc181517006"/>
      <w:r w:rsidRPr="00FF756A">
        <w:t>Dimensioni i Kërkimit, Inovacioni dhe Konkurrueshmëri</w:t>
      </w:r>
      <w:r w:rsidR="009B067C" w:rsidRPr="00FF756A">
        <w:t>së</w:t>
      </w:r>
      <w:bookmarkEnd w:id="308"/>
      <w:bookmarkEnd w:id="309"/>
      <w:bookmarkEnd w:id="310"/>
      <w:bookmarkEnd w:id="311"/>
    </w:p>
    <w:p w14:paraId="63AFAB1A" w14:textId="77777777" w:rsidR="009B067C" w:rsidRPr="00FF756A" w:rsidRDefault="009B067C" w:rsidP="000055CB">
      <w:pPr>
        <w:spacing w:before="0"/>
        <w:contextualSpacing/>
        <w:rPr>
          <w:rFonts w:eastAsia="Times New Roman"/>
          <w:bCs/>
          <w:lang w:eastAsia="sq-AL"/>
        </w:rPr>
      </w:pPr>
      <w:bookmarkStart w:id="312" w:name="_Hlk45114927"/>
      <w:bookmarkEnd w:id="312"/>
    </w:p>
    <w:p w14:paraId="0678869B" w14:textId="5B9A4F4A" w:rsidR="000055CB" w:rsidRPr="00FF756A" w:rsidRDefault="00975261" w:rsidP="004A3257">
      <w:pPr>
        <w:spacing w:before="0"/>
        <w:contextualSpacing/>
        <w:rPr>
          <w:rFonts w:eastAsia="Times New Roman"/>
          <w:bCs/>
          <w:lang w:eastAsia="sq-AL"/>
        </w:rPr>
      </w:pPr>
      <w:r w:rsidRPr="00FF756A">
        <w:rPr>
          <w:rFonts w:eastAsia="Times New Roman"/>
          <w:bCs/>
          <w:lang w:eastAsia="sq-AL"/>
        </w:rPr>
        <w:t>O</w:t>
      </w:r>
      <w:r w:rsidR="000055CB" w:rsidRPr="00FF756A">
        <w:rPr>
          <w:rFonts w:eastAsia="Times New Roman"/>
          <w:bCs/>
          <w:lang w:eastAsia="sq-AL"/>
        </w:rPr>
        <w:t xml:space="preserve">bjektivi i qeverisë </w:t>
      </w:r>
      <w:r w:rsidRPr="00FF756A">
        <w:rPr>
          <w:rFonts w:eastAsia="Times New Roman"/>
          <w:bCs/>
          <w:lang w:eastAsia="sq-AL"/>
        </w:rPr>
        <w:t xml:space="preserve">është </w:t>
      </w:r>
      <w:r w:rsidR="000055CB" w:rsidRPr="00FF756A">
        <w:rPr>
          <w:rFonts w:eastAsia="Times New Roman"/>
          <w:bCs/>
          <w:lang w:eastAsia="sq-AL"/>
        </w:rPr>
        <w:t xml:space="preserve">që ta </w:t>
      </w:r>
      <w:r w:rsidRPr="00FF756A">
        <w:rPr>
          <w:rFonts w:eastAsia="Times New Roman"/>
          <w:bCs/>
          <w:lang w:eastAsia="sq-AL"/>
        </w:rPr>
        <w:t xml:space="preserve">shndërrojë </w:t>
      </w:r>
      <w:r w:rsidR="000055CB" w:rsidRPr="00FF756A">
        <w:rPr>
          <w:rFonts w:eastAsia="Times New Roman"/>
          <w:bCs/>
          <w:lang w:eastAsia="sq-AL"/>
        </w:rPr>
        <w:t xml:space="preserve">Shqipërinë drejt një ekonomie më konkurruese, më të orientuar nga inovacioni dhe të bazuar në njohuri. Për këtë qëllim, PM të veçanta janë integruar në </w:t>
      </w:r>
      <w:r w:rsidR="00CF224B" w:rsidRPr="00FF756A">
        <w:rPr>
          <w:rFonts w:eastAsia="Times New Roman"/>
          <w:bCs/>
          <w:lang w:eastAsia="sq-AL"/>
        </w:rPr>
        <w:t>PKEK</w:t>
      </w:r>
      <w:r w:rsidR="000055CB" w:rsidRPr="00FF756A">
        <w:rPr>
          <w:rFonts w:eastAsia="Times New Roman"/>
          <w:bCs/>
          <w:lang w:eastAsia="sq-AL"/>
        </w:rPr>
        <w:t>.</w:t>
      </w:r>
      <w:r w:rsidR="007E7161" w:rsidRPr="00FF756A">
        <w:rPr>
          <w:rFonts w:eastAsia="Times New Roman"/>
          <w:bCs/>
          <w:lang w:eastAsia="sq-AL"/>
        </w:rPr>
        <w:t xml:space="preserve"> </w:t>
      </w:r>
      <w:r w:rsidR="000055CB" w:rsidRPr="00FF756A">
        <w:rPr>
          <w:rFonts w:eastAsia="Times New Roman"/>
          <w:bCs/>
          <w:lang w:eastAsia="sq-AL"/>
        </w:rPr>
        <w:t>Në përgjithësi, synimi është që shpenzimet publike vjetore për kërkimin shkencor dhe inovacionin të arrijnë 2% të PBB-së në vit dhe që ky nivel shpenzimesh të ruhet edhe në të ardhmen.</w:t>
      </w:r>
    </w:p>
    <w:p w14:paraId="00936464" w14:textId="77777777" w:rsidR="00835192" w:rsidRPr="00FF756A" w:rsidRDefault="00835192" w:rsidP="00835192">
      <w:pPr>
        <w:spacing w:before="0" w:after="0"/>
        <w:contextualSpacing/>
        <w:rPr>
          <w:rFonts w:eastAsia="Times New Roman"/>
          <w:bCs/>
          <w:lang w:eastAsia="sq-AL"/>
        </w:rPr>
      </w:pPr>
    </w:p>
    <w:p w14:paraId="70406D53" w14:textId="77777777" w:rsidR="00835192" w:rsidRPr="00FF756A" w:rsidRDefault="00835192" w:rsidP="00835192">
      <w:pPr>
        <w:spacing w:before="0" w:after="0"/>
        <w:contextualSpacing/>
        <w:rPr>
          <w:rFonts w:eastAsia="Times New Roman"/>
          <w:bCs/>
          <w:lang w:eastAsia="sq-AL"/>
        </w:rPr>
      </w:pPr>
    </w:p>
    <w:p w14:paraId="40BA61AF" w14:textId="77777777" w:rsidR="00835192" w:rsidRPr="00FF756A" w:rsidRDefault="00835192" w:rsidP="00835192">
      <w:pPr>
        <w:spacing w:before="0" w:after="0"/>
        <w:contextualSpacing/>
        <w:rPr>
          <w:rFonts w:eastAsia="Times New Roman"/>
          <w:bCs/>
          <w:lang w:eastAsia="sq-AL"/>
        </w:rPr>
      </w:pPr>
    </w:p>
    <w:p w14:paraId="06B6B1D1" w14:textId="77777777" w:rsidR="00835192" w:rsidRPr="00FF756A" w:rsidRDefault="00835192" w:rsidP="00835192">
      <w:pPr>
        <w:spacing w:before="0" w:after="0"/>
        <w:contextualSpacing/>
        <w:rPr>
          <w:rFonts w:eastAsia="Times New Roman"/>
          <w:bCs/>
          <w:lang w:eastAsia="sq-AL"/>
        </w:rPr>
      </w:pPr>
    </w:p>
    <w:p w14:paraId="356C6852" w14:textId="77777777" w:rsidR="00835192" w:rsidRDefault="00835192" w:rsidP="00835192">
      <w:pPr>
        <w:spacing w:before="0" w:after="0"/>
        <w:contextualSpacing/>
        <w:rPr>
          <w:rFonts w:eastAsia="Times New Roman"/>
          <w:bCs/>
          <w:lang w:eastAsia="sq-AL"/>
        </w:rPr>
      </w:pPr>
    </w:p>
    <w:p w14:paraId="67E99958" w14:textId="77777777" w:rsidR="00391DFB" w:rsidRDefault="00391DFB" w:rsidP="00835192">
      <w:pPr>
        <w:spacing w:before="0" w:after="0"/>
        <w:contextualSpacing/>
        <w:rPr>
          <w:rFonts w:eastAsia="Times New Roman"/>
          <w:bCs/>
          <w:lang w:eastAsia="sq-AL"/>
        </w:rPr>
      </w:pPr>
    </w:p>
    <w:p w14:paraId="4312069A" w14:textId="77777777" w:rsidR="00391DFB" w:rsidRDefault="00391DFB" w:rsidP="00835192">
      <w:pPr>
        <w:spacing w:before="0" w:after="0"/>
        <w:contextualSpacing/>
        <w:rPr>
          <w:rFonts w:eastAsia="Times New Roman"/>
          <w:bCs/>
          <w:lang w:eastAsia="sq-AL"/>
        </w:rPr>
      </w:pPr>
    </w:p>
    <w:p w14:paraId="3BB619D1" w14:textId="77777777" w:rsidR="00391DFB" w:rsidRDefault="00391DFB" w:rsidP="00835192">
      <w:pPr>
        <w:spacing w:before="0" w:after="0"/>
        <w:contextualSpacing/>
        <w:rPr>
          <w:rFonts w:eastAsia="Times New Roman"/>
          <w:bCs/>
          <w:lang w:eastAsia="sq-AL"/>
        </w:rPr>
      </w:pPr>
    </w:p>
    <w:p w14:paraId="003A8592" w14:textId="77777777" w:rsidR="00391DFB" w:rsidRDefault="00391DFB" w:rsidP="00835192">
      <w:pPr>
        <w:spacing w:before="0" w:after="0"/>
        <w:contextualSpacing/>
        <w:rPr>
          <w:rFonts w:eastAsia="Times New Roman"/>
          <w:bCs/>
          <w:lang w:eastAsia="sq-AL"/>
        </w:rPr>
      </w:pPr>
    </w:p>
    <w:p w14:paraId="36CE7EFD" w14:textId="77777777" w:rsidR="00391DFB" w:rsidRDefault="00391DFB" w:rsidP="00835192">
      <w:pPr>
        <w:spacing w:before="0" w:after="0"/>
        <w:contextualSpacing/>
        <w:rPr>
          <w:rFonts w:eastAsia="Times New Roman"/>
          <w:bCs/>
          <w:lang w:eastAsia="sq-AL"/>
        </w:rPr>
      </w:pPr>
    </w:p>
    <w:p w14:paraId="00F2F09A" w14:textId="77777777" w:rsidR="00391DFB" w:rsidRPr="00FF756A" w:rsidRDefault="00391DFB" w:rsidP="00835192">
      <w:pPr>
        <w:spacing w:before="0" w:after="0"/>
        <w:contextualSpacing/>
        <w:rPr>
          <w:rFonts w:eastAsia="Times New Roman"/>
          <w:bCs/>
          <w:lang w:eastAsia="sq-AL"/>
        </w:rPr>
      </w:pPr>
    </w:p>
    <w:p w14:paraId="7FD18832" w14:textId="77777777" w:rsidR="00835192" w:rsidRPr="00FF756A" w:rsidRDefault="00835192" w:rsidP="00835192">
      <w:pPr>
        <w:spacing w:before="0" w:after="0"/>
        <w:contextualSpacing/>
        <w:rPr>
          <w:rFonts w:eastAsia="Times New Roman"/>
          <w:bCs/>
          <w:lang w:eastAsia="sq-AL"/>
        </w:rPr>
      </w:pPr>
    </w:p>
    <w:p w14:paraId="29A42F9A" w14:textId="260F2900" w:rsidR="00835192" w:rsidRPr="00FF756A" w:rsidRDefault="00E66C70" w:rsidP="00835192">
      <w:pPr>
        <w:keepNext/>
        <w:keepLines/>
        <w:spacing w:before="240" w:after="0"/>
        <w:ind w:left="432" w:hanging="432"/>
        <w:outlineLvl w:val="0"/>
        <w:rPr>
          <w:rFonts w:eastAsia="Times New Roman"/>
          <w:color w:val="365F91"/>
          <w:sz w:val="32"/>
          <w:szCs w:val="32"/>
        </w:rPr>
      </w:pPr>
      <w:bookmarkStart w:id="313" w:name="_Toc75616119"/>
      <w:bookmarkStart w:id="314" w:name="_Toc182897775"/>
      <w:bookmarkStart w:id="315" w:name="_Toc183639221"/>
      <w:r w:rsidRPr="00FF756A">
        <w:rPr>
          <w:rFonts w:eastAsia="Times New Roman"/>
          <w:color w:val="365F91"/>
          <w:sz w:val="32"/>
          <w:szCs w:val="32"/>
        </w:rPr>
        <w:lastRenderedPageBreak/>
        <w:t xml:space="preserve">3 </w:t>
      </w:r>
      <w:r w:rsidR="00835192" w:rsidRPr="00FF756A">
        <w:rPr>
          <w:rFonts w:eastAsia="Times New Roman"/>
          <w:color w:val="365F91"/>
          <w:sz w:val="32"/>
          <w:szCs w:val="32"/>
        </w:rPr>
        <w:t>POLITIKAT DHE MASAT</w:t>
      </w:r>
      <w:bookmarkEnd w:id="313"/>
      <w:bookmarkEnd w:id="314"/>
      <w:bookmarkEnd w:id="315"/>
    </w:p>
    <w:p w14:paraId="1AC2EC8E" w14:textId="77777777" w:rsidR="00835192" w:rsidRPr="00FF756A" w:rsidRDefault="00835192" w:rsidP="00835192">
      <w:pPr>
        <w:spacing w:after="0"/>
        <w:rPr>
          <w:b/>
          <w:bCs/>
        </w:rPr>
      </w:pPr>
    </w:p>
    <w:p w14:paraId="42F9D39C" w14:textId="77777777" w:rsidR="00835192" w:rsidRPr="00FF756A" w:rsidRDefault="00835192" w:rsidP="00835192">
      <w:pPr>
        <w:rPr>
          <w:b/>
        </w:rPr>
      </w:pPr>
      <w:r w:rsidRPr="00FF756A">
        <w:rPr>
          <w:b/>
        </w:rPr>
        <w:t xml:space="preserve">Politikat dhe masat (PM) për skenarin me PM ekzistuese dhe skenarin me PM shtesë </w:t>
      </w:r>
    </w:p>
    <w:p w14:paraId="0537E137" w14:textId="77777777" w:rsidR="00835192" w:rsidRPr="00FF756A" w:rsidRDefault="00835192" w:rsidP="00835192">
      <w:r w:rsidRPr="00FF756A">
        <w:t>Politikat dhe masat e paraqitura më poshtë identifikohen në bazë të përkufizimeve të dhëna në nenin 2 të Rregullores për qeverisjen:</w:t>
      </w:r>
    </w:p>
    <w:p w14:paraId="4BC7B0C7" w14:textId="77777777" w:rsidR="00835192" w:rsidRPr="00FF756A" w:rsidRDefault="00835192" w:rsidP="008639B2">
      <w:pPr>
        <w:numPr>
          <w:ilvl w:val="0"/>
          <w:numId w:val="134"/>
        </w:numPr>
        <w:contextualSpacing/>
        <w:rPr>
          <w:bCs/>
        </w:rPr>
      </w:pPr>
      <w:r w:rsidRPr="00FF756A">
        <w:rPr>
          <w:b/>
        </w:rPr>
        <w:t xml:space="preserve">“politikat dhe masat” </w:t>
      </w:r>
      <w:r w:rsidRPr="00FF756A">
        <w:t xml:space="preserve">janë të gjitha instrumentet që kontribuojnë në përmbushjen e objektivave të planeve të integruara kombëtare për energjinë dhe klimën […] </w:t>
      </w:r>
    </w:p>
    <w:p w14:paraId="46D5AC2B" w14:textId="77777777" w:rsidR="00835192" w:rsidRPr="00FF756A" w:rsidRDefault="00835192" w:rsidP="008639B2">
      <w:pPr>
        <w:numPr>
          <w:ilvl w:val="0"/>
          <w:numId w:val="134"/>
        </w:numPr>
        <w:contextualSpacing/>
        <w:rPr>
          <w:bCs/>
        </w:rPr>
      </w:pPr>
      <w:r w:rsidRPr="00FF756A">
        <w:rPr>
          <w:b/>
        </w:rPr>
        <w:t xml:space="preserve">“politikat dhe masat ekzistuese” </w:t>
      </w:r>
      <w:r w:rsidRPr="00FF756A">
        <w:t xml:space="preserve">janë politikat dhe masat e zbatuara dhe ato të miratuara; </w:t>
      </w:r>
    </w:p>
    <w:p w14:paraId="0E3ABA5A" w14:textId="29DBAECF" w:rsidR="00835192" w:rsidRPr="00FF756A" w:rsidRDefault="00835192" w:rsidP="008639B2">
      <w:pPr>
        <w:numPr>
          <w:ilvl w:val="1"/>
          <w:numId w:val="134"/>
        </w:numPr>
        <w:ind w:left="1434" w:hanging="357"/>
        <w:contextualSpacing/>
        <w:rPr>
          <w:bCs/>
        </w:rPr>
      </w:pPr>
      <w:r w:rsidRPr="00FF756A">
        <w:t xml:space="preserve">“politikat dhe masat e zbatuara” </w:t>
      </w:r>
      <w:r w:rsidR="00E37C7C" w:rsidRPr="00FF756A">
        <w:t>i referohen atyre politikave dhe masave për të cilat, në momentin e dorëzimit të planit të integruar kombëtar të energjisë dhe klimës ose raportit të progresit të tij, plotësohet të paktën një nga kushtet e mëposhtme:</w:t>
      </w:r>
      <w:r w:rsidR="00631205" w:rsidRPr="00FF756A">
        <w:t xml:space="preserve"> i)</w:t>
      </w:r>
      <w:r w:rsidRPr="00FF756A">
        <w:t xml:space="preserve"> ka në fuqi legjislacion kombëtar ose komunitar drejtpërdrejt të zbatueshëm, </w:t>
      </w:r>
      <w:r w:rsidR="00631205" w:rsidRPr="00FF756A">
        <w:t xml:space="preserve">ii) </w:t>
      </w:r>
      <w:r w:rsidRPr="00FF756A">
        <w:t xml:space="preserve">janë hartuar një ose disa marrëveshje vullnetare, </w:t>
      </w:r>
      <w:r w:rsidR="00631205" w:rsidRPr="00FF756A">
        <w:t xml:space="preserve">iii) </w:t>
      </w:r>
      <w:r w:rsidRPr="00FF756A">
        <w:t xml:space="preserve">janë alokuar burime financiare, </w:t>
      </w:r>
      <w:r w:rsidR="00631205" w:rsidRPr="00FF756A">
        <w:t xml:space="preserve">iv) </w:t>
      </w:r>
      <w:r w:rsidRPr="00FF756A">
        <w:t>janë mobilizuar burime njerëzore;</w:t>
      </w:r>
    </w:p>
    <w:p w14:paraId="7E0BC22B" w14:textId="77777777" w:rsidR="00835192" w:rsidRPr="00FF756A" w:rsidRDefault="00835192" w:rsidP="008639B2">
      <w:pPr>
        <w:numPr>
          <w:ilvl w:val="1"/>
          <w:numId w:val="134"/>
        </w:numPr>
        <w:contextualSpacing/>
        <w:rPr>
          <w:bCs/>
        </w:rPr>
      </w:pPr>
      <w:r w:rsidRPr="00FF756A">
        <w:t xml:space="preserve">“politikat dhe masat e miratuara” janë politikat dhe masat për të cilat, deri në datën e dorëzimit të planit të integruar kombëtar të energjisë dhe klimës ose të progres-raportit të integruar kombëtar të energjisë dhe klimës, është nxjerrë një vendim zyrtar qeveritar dhe ka një angazhim të qartë për të vijuar me zbatimin; </w:t>
      </w:r>
    </w:p>
    <w:p w14:paraId="2424E3A9" w14:textId="77777777" w:rsidR="00835192" w:rsidRPr="00FF756A" w:rsidRDefault="00835192" w:rsidP="008639B2">
      <w:pPr>
        <w:numPr>
          <w:ilvl w:val="0"/>
          <w:numId w:val="134"/>
        </w:numPr>
        <w:contextualSpacing/>
        <w:rPr>
          <w:b/>
        </w:rPr>
      </w:pPr>
      <w:r w:rsidRPr="00FF756A">
        <w:rPr>
          <w:b/>
        </w:rPr>
        <w:t xml:space="preserve">“politikat dhe masat e planifikuara” </w:t>
      </w:r>
      <w:r w:rsidRPr="00FF756A">
        <w:t>janë opsionet të cilat janë në diskutim e sipër dhe kanë realisht gjasa për t’u miratuar dhe zbatuar pas datës së paraqitjes së planit të integruar kombëtar të energjisë dhe klimës ose të progres-raportit të integruar kombëtar të energjisë dhe klimës;</w:t>
      </w:r>
    </w:p>
    <w:p w14:paraId="363E7D92" w14:textId="262DBBE2" w:rsidR="00835192" w:rsidRPr="00FF756A" w:rsidRDefault="00835192" w:rsidP="00835192">
      <w:pPr>
        <w:rPr>
          <w:bCs/>
        </w:rPr>
      </w:pPr>
      <w:r w:rsidRPr="00FF756A">
        <w:t>PM-të caktohen skenarë</w:t>
      </w:r>
      <w:r w:rsidR="00054C1F" w:rsidRPr="00FF756A">
        <w:t>ve</w:t>
      </w:r>
      <w:r w:rsidRPr="00FF756A">
        <w:t xml:space="preserve"> me PM ekzistuese (skenari WEM) dhe PM shtesë (skenari WAM), ku ky i fundit u referohet politikave e masave të planifikuara dhe politikave e masave të reja të cilat kanë realisht gjasa të zbatohen. Modelimi i skenarëve është dokumentuar në kreun 4. </w:t>
      </w:r>
    </w:p>
    <w:p w14:paraId="16642634" w14:textId="77777777" w:rsidR="00835192" w:rsidRPr="00FF756A" w:rsidRDefault="00835192" w:rsidP="00835192">
      <w:pPr>
        <w:rPr>
          <w:b/>
          <w:bCs/>
        </w:rPr>
      </w:pPr>
      <w:r w:rsidRPr="00FF756A">
        <w:rPr>
          <w:b/>
          <w:bCs/>
        </w:rPr>
        <w:t>Analiza që rezulton në PM të reja</w:t>
      </w:r>
    </w:p>
    <w:p w14:paraId="1B1A5C67" w14:textId="77777777" w:rsidR="00835192" w:rsidRPr="00FF756A" w:rsidRDefault="00835192" w:rsidP="00835192">
      <w:r w:rsidRPr="00FF756A">
        <w:t xml:space="preserve">Analiza e objektivave konfliktuese dhe sfidave të tjera të identifikuara gjatë punës ka sjellë zhvillimin e PM-ve të reja të cilat synojnë trajtimin e këtyre çështjeve. Në skenarin WAM merren në konsideratë PM të reja të cilat kanë realisht gjasa për t'u zbatuar. </w:t>
      </w:r>
    </w:p>
    <w:p w14:paraId="5D57A825" w14:textId="438D8D17" w:rsidR="00835192" w:rsidRPr="00FF756A" w:rsidRDefault="00835192" w:rsidP="00835192">
      <w:pPr>
        <w:rPr>
          <w:b/>
        </w:rPr>
      </w:pPr>
      <w:r w:rsidRPr="00FF756A">
        <w:rPr>
          <w:b/>
        </w:rPr>
        <w:t xml:space="preserve">Harmonizimi i PM-ve të PKEK-së dhe </w:t>
      </w:r>
      <w:r w:rsidR="007649DD" w:rsidRPr="00FF756A">
        <w:rPr>
          <w:b/>
        </w:rPr>
        <w:t>PM-ve të KKP-së</w:t>
      </w:r>
    </w:p>
    <w:p w14:paraId="2B3DD4C3" w14:textId="77777777" w:rsidR="005C5C38" w:rsidRPr="00FF756A" w:rsidRDefault="005C5C38" w:rsidP="00835192">
      <w:r w:rsidRPr="00FF756A">
        <w:t>Janë bërë përpjekje të rëndësishme për të harmonizuar procesin e përgatitjes së PKEK-së dhe KKP-së. Edhe pse janë zhvilluar takime paraprake për koordinim, në praktikë janë hasur sfida të mëdha, kryesisht për shkak të dallimeve në ekipet përgjegjëse dhe afatet kohore të planifikuara për këto dy dokumente. Një sfidë tjetër e rëndësishme ka qenë mungesa e disponueshmërisë dhe transparencës së të dhënave. Megjithatë, hartimi i draftit të PKEK-së ka krijuar një bazë të dhënash të qartë dhe të aksesueshme, duke ofruar mundësi për përditësime dhe përmirësime të ardhshme.</w:t>
      </w:r>
    </w:p>
    <w:p w14:paraId="6317C2FC" w14:textId="77777777" w:rsidR="005C5C38" w:rsidRPr="00FF756A" w:rsidRDefault="005C5C38" w:rsidP="00835192">
      <w:pPr>
        <w:rPr>
          <w:b/>
        </w:rPr>
      </w:pPr>
    </w:p>
    <w:p w14:paraId="049F34D5" w14:textId="3D759667" w:rsidR="00835192" w:rsidRPr="00FF756A" w:rsidRDefault="00835192" w:rsidP="00835192">
      <w:pPr>
        <w:rPr>
          <w:b/>
        </w:rPr>
      </w:pPr>
      <w:r w:rsidRPr="00FF756A">
        <w:rPr>
          <w:b/>
        </w:rPr>
        <w:t>Burimet e PM-ve</w:t>
      </w:r>
    </w:p>
    <w:p w14:paraId="6ABA8267" w14:textId="77777777" w:rsidR="00835192" w:rsidRPr="00FF756A" w:rsidRDefault="00835192" w:rsidP="00835192">
      <w:pPr>
        <w:rPr>
          <w:bCs/>
        </w:rPr>
      </w:pPr>
      <w:r w:rsidRPr="00FF756A">
        <w:t xml:space="preserve">Politikat dhe masat u hartuan në bazë të politikave dhe strategjive të prezantuara në kreun 1, duke u bazuar në studimet e kryera, si p.sh. studimi SLED, si dhe në shembujt e praktikave të mira.   </w:t>
      </w:r>
    </w:p>
    <w:p w14:paraId="10299E02" w14:textId="77777777" w:rsidR="00835192" w:rsidRPr="00FF756A" w:rsidRDefault="00835192" w:rsidP="00835192">
      <w:pPr>
        <w:spacing w:after="0" w:line="240" w:lineRule="auto"/>
        <w:rPr>
          <w:b/>
        </w:rPr>
      </w:pPr>
      <w:r w:rsidRPr="00FF756A">
        <w:br w:type="page"/>
      </w:r>
      <w:r w:rsidRPr="00FF756A">
        <w:rPr>
          <w:b/>
        </w:rPr>
        <w:lastRenderedPageBreak/>
        <w:t>Përshkrimi i PM-ve</w:t>
      </w:r>
    </w:p>
    <w:p w14:paraId="279F7E7B" w14:textId="77777777" w:rsidR="00835192" w:rsidRPr="00FF756A" w:rsidRDefault="00835192" w:rsidP="004A3257">
      <w:pPr>
        <w:spacing w:line="240" w:lineRule="auto"/>
      </w:pPr>
      <w:r w:rsidRPr="00FF756A">
        <w:t>Në tabelën e mëposhtme tregohet një përmbledhje e politikave dhe masave kryesore që ndikojnë në objektivin kombëtar klimatik deri në vitin 2030 e në vazhdim.</w:t>
      </w:r>
    </w:p>
    <w:p w14:paraId="2CC400AA" w14:textId="77777777" w:rsidR="00835192" w:rsidRPr="00FF756A" w:rsidRDefault="00835192" w:rsidP="004A3257">
      <w:pPr>
        <w:spacing w:line="240" w:lineRule="auto"/>
      </w:pPr>
      <w:r w:rsidRPr="00FF756A">
        <w:t xml:space="preserve">Përshkrimet e hollësishme gjenden në pjesën e nënkrerëve, sipas dimensionit. </w:t>
      </w:r>
    </w:p>
    <w:p w14:paraId="765A3446" w14:textId="77777777" w:rsidR="00835192" w:rsidRPr="00FF756A" w:rsidRDefault="00835192" w:rsidP="00EC35CE">
      <w:pPr>
        <w:spacing w:line="240" w:lineRule="auto"/>
      </w:pPr>
      <w:r w:rsidRPr="00FF756A">
        <w:t>Ndër detaje të tjera, përshkrimet përmbajnë parashikime buxhetore që synojnë të ofrojnë orientim për planifikimin e detajuar të PM-ve individuale. Në analogji me kostot e transaksionit në teorinë ekonomike, përcaktohen edhe të ashtuquajturat kosto paraprake të transaksionit, të cilat përfshijnë studimet e zhvillimit të strategjisë, studimet e fizibilitetit teknik dhe financiar, trajnimin e stafit, zhvillimin e udhëzimeve etj., të cilat janë të nevojshme për të bërë një investim të suksesshëm për sa i përket arritjes së objektivave të një politike dhe mase. Është e qartë se shumat reale varen nga niveli i detajeve dhe ekspertët e përfshirë (kombëtarë/ndërkombëtarë), si dhe nga burimet ekzistuese që mund të përdoren, ose jo, si p.sh. udhëzimet për prokurimin publik me në fokus efiçencën e energjisë.</w:t>
      </w:r>
    </w:p>
    <w:p w14:paraId="23A64384" w14:textId="77777777" w:rsidR="00EC35CE" w:rsidRPr="00FF756A" w:rsidRDefault="00EC35CE" w:rsidP="004A3257">
      <w:pPr>
        <w:spacing w:line="240" w:lineRule="auto"/>
      </w:pPr>
    </w:p>
    <w:p w14:paraId="7D945C4F" w14:textId="77777777" w:rsidR="00835192" w:rsidRPr="00FF756A" w:rsidRDefault="00835192" w:rsidP="004A3257">
      <w:pPr>
        <w:spacing w:line="240" w:lineRule="auto"/>
      </w:pPr>
      <w:r w:rsidRPr="00FF756A">
        <w:t>Përshkrimi përmban edhe një seksion për subjektin zbatues dhe subjektin monitorues. Nëse këto nuk janë identike, organi monitorues tregohet në kllapa.</w:t>
      </w:r>
    </w:p>
    <w:p w14:paraId="3FA63EB5" w14:textId="77777777" w:rsidR="00835192" w:rsidRPr="00FF756A" w:rsidRDefault="00835192" w:rsidP="00835192"/>
    <w:tbl>
      <w:tblPr>
        <w:tblStyle w:val="TableGrid"/>
        <w:tblW w:w="5000" w:type="pct"/>
        <w:tblLook w:val="04A0" w:firstRow="1" w:lastRow="0" w:firstColumn="1" w:lastColumn="0" w:noHBand="0" w:noVBand="1"/>
      </w:tblPr>
      <w:tblGrid>
        <w:gridCol w:w="651"/>
        <w:gridCol w:w="567"/>
        <w:gridCol w:w="812"/>
        <w:gridCol w:w="4464"/>
        <w:gridCol w:w="1488"/>
        <w:gridCol w:w="1080"/>
      </w:tblGrid>
      <w:tr w:rsidR="00835192" w:rsidRPr="00FF756A" w14:paraId="635FDFD0" w14:textId="77777777" w:rsidTr="007F3F7B">
        <w:trPr>
          <w:cantSplit/>
          <w:trHeight w:val="1327"/>
        </w:trPr>
        <w:tc>
          <w:tcPr>
            <w:tcW w:w="359" w:type="pct"/>
            <w:tcBorders>
              <w:bottom w:val="single" w:sz="4" w:space="0" w:color="auto"/>
            </w:tcBorders>
            <w:textDirection w:val="btLr"/>
            <w:vAlign w:val="center"/>
          </w:tcPr>
          <w:p w14:paraId="67C070E8" w14:textId="77777777" w:rsidR="00835192" w:rsidRPr="00FF756A" w:rsidRDefault="00835192" w:rsidP="00835192">
            <w:pPr>
              <w:ind w:left="113" w:right="113"/>
              <w:rPr>
                <w:b/>
                <w:bCs/>
                <w:sz w:val="20"/>
                <w:szCs w:val="20"/>
              </w:rPr>
            </w:pPr>
            <w:r w:rsidRPr="00FF756A">
              <w:rPr>
                <w:b/>
                <w:bCs/>
                <w:sz w:val="20"/>
                <w:szCs w:val="20"/>
              </w:rPr>
              <w:t>Dimensioni</w:t>
            </w:r>
          </w:p>
        </w:tc>
        <w:tc>
          <w:tcPr>
            <w:tcW w:w="313" w:type="pct"/>
            <w:vAlign w:val="center"/>
          </w:tcPr>
          <w:p w14:paraId="5CB8553D" w14:textId="77777777" w:rsidR="00835192" w:rsidRPr="00FF756A" w:rsidRDefault="00835192" w:rsidP="00835192">
            <w:pPr>
              <w:spacing w:after="0" w:line="240" w:lineRule="auto"/>
              <w:jc w:val="center"/>
              <w:rPr>
                <w:b/>
                <w:bCs/>
                <w:sz w:val="20"/>
                <w:szCs w:val="20"/>
              </w:rPr>
            </w:pPr>
            <w:r w:rsidRPr="00FF756A">
              <w:rPr>
                <w:b/>
                <w:bCs/>
                <w:sz w:val="20"/>
                <w:szCs w:val="20"/>
              </w:rPr>
              <w:t>Nr.</w:t>
            </w:r>
          </w:p>
        </w:tc>
        <w:tc>
          <w:tcPr>
            <w:tcW w:w="448" w:type="pct"/>
            <w:vAlign w:val="center"/>
          </w:tcPr>
          <w:p w14:paraId="26AAE0A6" w14:textId="77777777" w:rsidR="00835192" w:rsidRPr="00FF756A" w:rsidRDefault="00835192" w:rsidP="00835192">
            <w:pPr>
              <w:spacing w:after="0" w:line="240" w:lineRule="auto"/>
              <w:jc w:val="left"/>
              <w:rPr>
                <w:b/>
                <w:bCs/>
                <w:sz w:val="20"/>
                <w:szCs w:val="20"/>
              </w:rPr>
            </w:pPr>
            <w:r w:rsidRPr="00FF756A">
              <w:rPr>
                <w:b/>
                <w:bCs/>
                <w:sz w:val="20"/>
                <w:szCs w:val="20"/>
              </w:rPr>
              <w:t>Kodi i PM</w:t>
            </w:r>
          </w:p>
        </w:tc>
        <w:tc>
          <w:tcPr>
            <w:tcW w:w="2463" w:type="pct"/>
            <w:vAlign w:val="center"/>
          </w:tcPr>
          <w:p w14:paraId="047911D5" w14:textId="77777777" w:rsidR="00835192" w:rsidRPr="00FF756A" w:rsidRDefault="00835192" w:rsidP="00835192">
            <w:pPr>
              <w:spacing w:after="0" w:line="240" w:lineRule="auto"/>
              <w:jc w:val="left"/>
              <w:rPr>
                <w:b/>
                <w:bCs/>
                <w:sz w:val="20"/>
                <w:szCs w:val="20"/>
              </w:rPr>
            </w:pPr>
            <w:r w:rsidRPr="00FF756A">
              <w:rPr>
                <w:b/>
                <w:bCs/>
                <w:sz w:val="20"/>
                <w:szCs w:val="20"/>
              </w:rPr>
              <w:t>Emri i PM</w:t>
            </w:r>
          </w:p>
        </w:tc>
        <w:tc>
          <w:tcPr>
            <w:tcW w:w="821" w:type="pct"/>
            <w:vAlign w:val="center"/>
          </w:tcPr>
          <w:p w14:paraId="33ADBD78" w14:textId="77777777" w:rsidR="00835192" w:rsidRPr="00FF756A" w:rsidRDefault="00835192" w:rsidP="00835192">
            <w:pPr>
              <w:spacing w:after="0" w:line="240" w:lineRule="auto"/>
              <w:jc w:val="left"/>
              <w:rPr>
                <w:b/>
                <w:bCs/>
                <w:sz w:val="20"/>
                <w:szCs w:val="20"/>
              </w:rPr>
            </w:pPr>
            <w:r w:rsidRPr="00FF756A">
              <w:rPr>
                <w:b/>
                <w:bCs/>
                <w:sz w:val="20"/>
                <w:szCs w:val="20"/>
              </w:rPr>
              <w:t>Lloji i PM</w:t>
            </w:r>
          </w:p>
        </w:tc>
        <w:tc>
          <w:tcPr>
            <w:tcW w:w="597" w:type="pct"/>
            <w:vAlign w:val="center"/>
          </w:tcPr>
          <w:p w14:paraId="2B4A7B10" w14:textId="77777777" w:rsidR="00835192" w:rsidRPr="00FF756A" w:rsidRDefault="00835192" w:rsidP="00835192">
            <w:pPr>
              <w:spacing w:after="0" w:line="240" w:lineRule="auto"/>
              <w:jc w:val="left"/>
              <w:rPr>
                <w:b/>
                <w:bCs/>
                <w:sz w:val="20"/>
                <w:szCs w:val="20"/>
              </w:rPr>
            </w:pPr>
            <w:r w:rsidRPr="00FF756A">
              <w:rPr>
                <w:b/>
                <w:bCs/>
                <w:sz w:val="20"/>
                <w:szCs w:val="20"/>
              </w:rPr>
              <w:t>Caktuar në skenarin</w:t>
            </w:r>
          </w:p>
        </w:tc>
      </w:tr>
      <w:tr w:rsidR="00835192" w:rsidRPr="00FF756A" w14:paraId="267562B4" w14:textId="77777777" w:rsidTr="006A3266">
        <w:trPr>
          <w:trHeight w:val="20"/>
        </w:trPr>
        <w:tc>
          <w:tcPr>
            <w:tcW w:w="359" w:type="pct"/>
            <w:vMerge w:val="restart"/>
            <w:shd w:val="clear" w:color="auto" w:fill="E2EFD9" w:themeFill="accent6" w:themeFillTint="33"/>
            <w:textDirection w:val="btLr"/>
          </w:tcPr>
          <w:p w14:paraId="701A27F2" w14:textId="77777777" w:rsidR="00835192" w:rsidRPr="00FF756A" w:rsidRDefault="00835192" w:rsidP="00835192">
            <w:pPr>
              <w:ind w:left="113" w:right="113"/>
              <w:jc w:val="right"/>
              <w:rPr>
                <w:b/>
                <w:bCs/>
                <w:sz w:val="18"/>
                <w:szCs w:val="18"/>
              </w:rPr>
            </w:pPr>
            <w:r w:rsidRPr="00FF756A">
              <w:rPr>
                <w:b/>
                <w:bCs/>
                <w:sz w:val="18"/>
                <w:szCs w:val="18"/>
              </w:rPr>
              <w:t>Dekarbonizimi/shkarkimet dhe eliminimi i GES-ve</w:t>
            </w:r>
          </w:p>
        </w:tc>
        <w:tc>
          <w:tcPr>
            <w:tcW w:w="313" w:type="pct"/>
            <w:vAlign w:val="center"/>
          </w:tcPr>
          <w:p w14:paraId="367B52A5" w14:textId="77777777" w:rsidR="00835192" w:rsidRPr="00FF756A" w:rsidRDefault="00835192" w:rsidP="00835192">
            <w:pPr>
              <w:spacing w:after="0" w:line="240" w:lineRule="auto"/>
              <w:jc w:val="center"/>
              <w:rPr>
                <w:sz w:val="18"/>
                <w:szCs w:val="18"/>
              </w:rPr>
            </w:pPr>
            <w:r w:rsidRPr="00FF756A">
              <w:rPr>
                <w:sz w:val="18"/>
                <w:szCs w:val="18"/>
              </w:rPr>
              <w:t>1</w:t>
            </w:r>
          </w:p>
        </w:tc>
        <w:tc>
          <w:tcPr>
            <w:tcW w:w="448" w:type="pct"/>
            <w:vAlign w:val="center"/>
          </w:tcPr>
          <w:p w14:paraId="341E54CA" w14:textId="77777777" w:rsidR="00835192" w:rsidRPr="00FF756A" w:rsidRDefault="00835192" w:rsidP="00835192">
            <w:pPr>
              <w:spacing w:after="0" w:line="240" w:lineRule="auto"/>
              <w:jc w:val="left"/>
              <w:rPr>
                <w:sz w:val="20"/>
                <w:szCs w:val="20"/>
              </w:rPr>
            </w:pPr>
            <w:r w:rsidRPr="00FF756A">
              <w:rPr>
                <w:sz w:val="20"/>
                <w:szCs w:val="20"/>
              </w:rPr>
              <w:t>G-T1</w:t>
            </w:r>
          </w:p>
        </w:tc>
        <w:tc>
          <w:tcPr>
            <w:tcW w:w="2463" w:type="pct"/>
            <w:vAlign w:val="center"/>
          </w:tcPr>
          <w:p w14:paraId="0AA7A2DA" w14:textId="77777777" w:rsidR="00835192" w:rsidRPr="00FF756A" w:rsidRDefault="00835192" w:rsidP="00835192">
            <w:pPr>
              <w:spacing w:after="0" w:line="240" w:lineRule="auto"/>
              <w:jc w:val="left"/>
              <w:rPr>
                <w:sz w:val="20"/>
                <w:szCs w:val="20"/>
              </w:rPr>
            </w:pPr>
            <w:r w:rsidRPr="00FF756A">
              <w:rPr>
                <w:sz w:val="20"/>
                <w:szCs w:val="20"/>
              </w:rPr>
              <w:t>Përmirësimi i linjave të rrjetit të autobusëve ndërurban/ndërqytetas</w:t>
            </w:r>
          </w:p>
        </w:tc>
        <w:tc>
          <w:tcPr>
            <w:tcW w:w="821" w:type="pct"/>
            <w:vAlign w:val="center"/>
          </w:tcPr>
          <w:p w14:paraId="5C1F3406"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341BB82D"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3967C21E" w14:textId="77777777" w:rsidTr="006A3266">
        <w:trPr>
          <w:trHeight w:val="20"/>
        </w:trPr>
        <w:tc>
          <w:tcPr>
            <w:tcW w:w="359" w:type="pct"/>
            <w:vMerge/>
            <w:shd w:val="clear" w:color="auto" w:fill="E2EFD9" w:themeFill="accent6" w:themeFillTint="33"/>
            <w:textDirection w:val="btLr"/>
          </w:tcPr>
          <w:p w14:paraId="00584A64" w14:textId="77777777" w:rsidR="00835192" w:rsidRPr="00FF756A" w:rsidRDefault="00835192" w:rsidP="00835192">
            <w:pPr>
              <w:ind w:left="113" w:right="113"/>
              <w:rPr>
                <w:b/>
                <w:bCs/>
                <w:sz w:val="20"/>
                <w:szCs w:val="20"/>
              </w:rPr>
            </w:pPr>
          </w:p>
        </w:tc>
        <w:tc>
          <w:tcPr>
            <w:tcW w:w="313" w:type="pct"/>
            <w:vAlign w:val="center"/>
          </w:tcPr>
          <w:p w14:paraId="562A9E3E" w14:textId="77777777" w:rsidR="00835192" w:rsidRPr="00FF756A" w:rsidRDefault="00835192" w:rsidP="00835192">
            <w:pPr>
              <w:spacing w:after="0" w:line="240" w:lineRule="auto"/>
              <w:jc w:val="center"/>
              <w:rPr>
                <w:sz w:val="18"/>
                <w:szCs w:val="18"/>
              </w:rPr>
            </w:pPr>
            <w:r w:rsidRPr="00FF756A">
              <w:rPr>
                <w:sz w:val="18"/>
                <w:szCs w:val="18"/>
              </w:rPr>
              <w:t>2</w:t>
            </w:r>
          </w:p>
        </w:tc>
        <w:tc>
          <w:tcPr>
            <w:tcW w:w="448" w:type="pct"/>
            <w:vAlign w:val="center"/>
          </w:tcPr>
          <w:p w14:paraId="3C05880B" w14:textId="77777777" w:rsidR="00835192" w:rsidRPr="00FF756A" w:rsidRDefault="00835192" w:rsidP="00835192">
            <w:pPr>
              <w:spacing w:after="0" w:line="240" w:lineRule="auto"/>
              <w:jc w:val="left"/>
              <w:rPr>
                <w:sz w:val="20"/>
                <w:szCs w:val="20"/>
              </w:rPr>
            </w:pPr>
            <w:r w:rsidRPr="00FF756A">
              <w:rPr>
                <w:sz w:val="20"/>
                <w:szCs w:val="20"/>
              </w:rPr>
              <w:t>G-T2</w:t>
            </w:r>
          </w:p>
        </w:tc>
        <w:tc>
          <w:tcPr>
            <w:tcW w:w="2463" w:type="pct"/>
            <w:vAlign w:val="center"/>
          </w:tcPr>
          <w:p w14:paraId="3B40D5DA" w14:textId="77777777" w:rsidR="00835192" w:rsidRPr="00FF756A" w:rsidRDefault="00835192" w:rsidP="00835192">
            <w:pPr>
              <w:spacing w:after="0" w:line="240" w:lineRule="auto"/>
              <w:jc w:val="left"/>
              <w:rPr>
                <w:sz w:val="20"/>
                <w:szCs w:val="20"/>
              </w:rPr>
            </w:pPr>
            <w:r w:rsidRPr="00FF756A">
              <w:rPr>
                <w:sz w:val="20"/>
                <w:szCs w:val="20"/>
              </w:rPr>
              <w:t>Menaxhimi i integruar i transportit të mallrave</w:t>
            </w:r>
          </w:p>
        </w:tc>
        <w:tc>
          <w:tcPr>
            <w:tcW w:w="821" w:type="pct"/>
            <w:vAlign w:val="center"/>
          </w:tcPr>
          <w:p w14:paraId="4158ED74"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0B9A4C24"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2A8B6257" w14:textId="77777777" w:rsidTr="006A3266">
        <w:trPr>
          <w:trHeight w:val="20"/>
        </w:trPr>
        <w:tc>
          <w:tcPr>
            <w:tcW w:w="359" w:type="pct"/>
            <w:vMerge/>
            <w:shd w:val="clear" w:color="auto" w:fill="E2EFD9" w:themeFill="accent6" w:themeFillTint="33"/>
            <w:textDirection w:val="btLr"/>
          </w:tcPr>
          <w:p w14:paraId="5C8EC5D9" w14:textId="77777777" w:rsidR="00835192" w:rsidRPr="00FF756A" w:rsidRDefault="00835192" w:rsidP="00835192">
            <w:pPr>
              <w:ind w:left="113" w:right="113"/>
              <w:rPr>
                <w:b/>
                <w:bCs/>
                <w:sz w:val="20"/>
                <w:szCs w:val="20"/>
              </w:rPr>
            </w:pPr>
          </w:p>
        </w:tc>
        <w:tc>
          <w:tcPr>
            <w:tcW w:w="313" w:type="pct"/>
            <w:vAlign w:val="center"/>
          </w:tcPr>
          <w:p w14:paraId="6C490493" w14:textId="77777777" w:rsidR="00835192" w:rsidRPr="00FF756A" w:rsidRDefault="00835192" w:rsidP="00835192">
            <w:pPr>
              <w:spacing w:after="0" w:line="240" w:lineRule="auto"/>
              <w:jc w:val="center"/>
              <w:rPr>
                <w:sz w:val="18"/>
                <w:szCs w:val="18"/>
              </w:rPr>
            </w:pPr>
            <w:r w:rsidRPr="00FF756A">
              <w:rPr>
                <w:sz w:val="18"/>
                <w:szCs w:val="18"/>
              </w:rPr>
              <w:t>3</w:t>
            </w:r>
          </w:p>
        </w:tc>
        <w:tc>
          <w:tcPr>
            <w:tcW w:w="448" w:type="pct"/>
            <w:vAlign w:val="center"/>
          </w:tcPr>
          <w:p w14:paraId="48416713" w14:textId="77777777" w:rsidR="00835192" w:rsidRPr="00FF756A" w:rsidRDefault="00835192" w:rsidP="00835192">
            <w:pPr>
              <w:spacing w:after="0" w:line="240" w:lineRule="auto"/>
              <w:jc w:val="left"/>
              <w:rPr>
                <w:sz w:val="20"/>
                <w:szCs w:val="20"/>
              </w:rPr>
            </w:pPr>
            <w:r w:rsidRPr="00FF756A">
              <w:rPr>
                <w:sz w:val="20"/>
                <w:szCs w:val="20"/>
              </w:rPr>
              <w:t>G-T3</w:t>
            </w:r>
          </w:p>
        </w:tc>
        <w:tc>
          <w:tcPr>
            <w:tcW w:w="2463" w:type="pct"/>
            <w:vAlign w:val="center"/>
          </w:tcPr>
          <w:p w14:paraId="101C1E7E" w14:textId="5EE1F0B9" w:rsidR="00835192" w:rsidRPr="00FF756A" w:rsidRDefault="00131E0C" w:rsidP="004A3257">
            <w:pPr>
              <w:spacing w:after="0"/>
              <w:rPr>
                <w:sz w:val="20"/>
                <w:szCs w:val="20"/>
              </w:rPr>
            </w:pPr>
            <w:r w:rsidRPr="00FF756A">
              <w:rPr>
                <w:sz w:val="20"/>
                <w:szCs w:val="20"/>
              </w:rPr>
              <w:t>Vendosja e tarifave për automjetet në bazë të efikasitetit të tyre energjetik dhe ofrimi i stimujve për rinovimin e flotës</w:t>
            </w:r>
          </w:p>
        </w:tc>
        <w:tc>
          <w:tcPr>
            <w:tcW w:w="821" w:type="pct"/>
            <w:vAlign w:val="center"/>
          </w:tcPr>
          <w:p w14:paraId="21CA9267" w14:textId="77777777" w:rsidR="00835192" w:rsidRPr="00FF756A" w:rsidRDefault="00835192" w:rsidP="00835192">
            <w:pPr>
              <w:spacing w:after="0" w:line="240" w:lineRule="auto"/>
              <w:jc w:val="left"/>
              <w:rPr>
                <w:sz w:val="20"/>
                <w:szCs w:val="20"/>
              </w:rPr>
            </w:pPr>
            <w:r w:rsidRPr="00FF756A">
              <w:rPr>
                <w:sz w:val="20"/>
                <w:szCs w:val="20"/>
              </w:rPr>
              <w:t>Rregullatore; Fiskale</w:t>
            </w:r>
          </w:p>
        </w:tc>
        <w:tc>
          <w:tcPr>
            <w:tcW w:w="597" w:type="pct"/>
            <w:vAlign w:val="center"/>
          </w:tcPr>
          <w:p w14:paraId="735F4FF5"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2161D224" w14:textId="77777777" w:rsidTr="006A3266">
        <w:trPr>
          <w:trHeight w:val="20"/>
        </w:trPr>
        <w:tc>
          <w:tcPr>
            <w:tcW w:w="359" w:type="pct"/>
            <w:vMerge/>
            <w:shd w:val="clear" w:color="auto" w:fill="E2EFD9" w:themeFill="accent6" w:themeFillTint="33"/>
            <w:textDirection w:val="btLr"/>
          </w:tcPr>
          <w:p w14:paraId="404872A8" w14:textId="77777777" w:rsidR="00835192" w:rsidRPr="00FF756A" w:rsidRDefault="00835192" w:rsidP="00835192">
            <w:pPr>
              <w:ind w:left="113" w:right="113"/>
              <w:rPr>
                <w:b/>
                <w:bCs/>
                <w:sz w:val="20"/>
                <w:szCs w:val="20"/>
              </w:rPr>
            </w:pPr>
          </w:p>
        </w:tc>
        <w:tc>
          <w:tcPr>
            <w:tcW w:w="313" w:type="pct"/>
            <w:vAlign w:val="center"/>
          </w:tcPr>
          <w:p w14:paraId="366362B6" w14:textId="77777777" w:rsidR="00835192" w:rsidRPr="00FF756A" w:rsidRDefault="00835192" w:rsidP="00835192">
            <w:pPr>
              <w:spacing w:after="0" w:line="240" w:lineRule="auto"/>
              <w:jc w:val="center"/>
              <w:rPr>
                <w:sz w:val="18"/>
                <w:szCs w:val="18"/>
              </w:rPr>
            </w:pPr>
            <w:r w:rsidRPr="00FF756A">
              <w:rPr>
                <w:sz w:val="18"/>
                <w:szCs w:val="18"/>
              </w:rPr>
              <w:t>4</w:t>
            </w:r>
          </w:p>
        </w:tc>
        <w:tc>
          <w:tcPr>
            <w:tcW w:w="448" w:type="pct"/>
            <w:vAlign w:val="center"/>
          </w:tcPr>
          <w:p w14:paraId="1DCEA521" w14:textId="77777777" w:rsidR="00835192" w:rsidRPr="00FF756A" w:rsidRDefault="00835192" w:rsidP="00835192">
            <w:pPr>
              <w:spacing w:after="0" w:line="240" w:lineRule="auto"/>
              <w:jc w:val="left"/>
              <w:rPr>
                <w:sz w:val="20"/>
                <w:szCs w:val="20"/>
              </w:rPr>
            </w:pPr>
            <w:r w:rsidRPr="00FF756A">
              <w:rPr>
                <w:sz w:val="20"/>
                <w:szCs w:val="20"/>
              </w:rPr>
              <w:t>G-T4</w:t>
            </w:r>
          </w:p>
        </w:tc>
        <w:tc>
          <w:tcPr>
            <w:tcW w:w="2463" w:type="pct"/>
            <w:vAlign w:val="center"/>
          </w:tcPr>
          <w:p w14:paraId="1BA1A1A2" w14:textId="77777777" w:rsidR="00835192" w:rsidRPr="00FF756A" w:rsidRDefault="00835192" w:rsidP="00835192">
            <w:pPr>
              <w:spacing w:before="20" w:after="20" w:line="240" w:lineRule="auto"/>
              <w:jc w:val="left"/>
              <w:rPr>
                <w:sz w:val="20"/>
                <w:szCs w:val="20"/>
              </w:rPr>
            </w:pPr>
            <w:r w:rsidRPr="00FF756A">
              <w:rPr>
                <w:sz w:val="20"/>
                <w:szCs w:val="20"/>
              </w:rPr>
              <w:t xml:space="preserve">Automjetet me lëndë djegëse të pastra në prokurimin publik </w:t>
            </w:r>
          </w:p>
        </w:tc>
        <w:tc>
          <w:tcPr>
            <w:tcW w:w="821" w:type="pct"/>
            <w:vAlign w:val="center"/>
          </w:tcPr>
          <w:p w14:paraId="22C271A3"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188E2D05"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4C47C48F" w14:textId="77777777" w:rsidTr="006A3266">
        <w:trPr>
          <w:trHeight w:val="20"/>
        </w:trPr>
        <w:tc>
          <w:tcPr>
            <w:tcW w:w="359" w:type="pct"/>
            <w:vMerge/>
            <w:shd w:val="clear" w:color="auto" w:fill="E2EFD9" w:themeFill="accent6" w:themeFillTint="33"/>
            <w:textDirection w:val="btLr"/>
          </w:tcPr>
          <w:p w14:paraId="40C760D5" w14:textId="77777777" w:rsidR="00835192" w:rsidRPr="00FF756A" w:rsidRDefault="00835192" w:rsidP="00835192">
            <w:pPr>
              <w:ind w:left="113" w:right="113"/>
              <w:rPr>
                <w:b/>
                <w:bCs/>
                <w:sz w:val="20"/>
                <w:szCs w:val="20"/>
              </w:rPr>
            </w:pPr>
          </w:p>
        </w:tc>
        <w:tc>
          <w:tcPr>
            <w:tcW w:w="313" w:type="pct"/>
            <w:vAlign w:val="center"/>
          </w:tcPr>
          <w:p w14:paraId="3BDA963C" w14:textId="77777777" w:rsidR="00835192" w:rsidRPr="00FF756A" w:rsidRDefault="00835192" w:rsidP="00835192">
            <w:pPr>
              <w:spacing w:after="0" w:line="240" w:lineRule="auto"/>
              <w:jc w:val="center"/>
              <w:rPr>
                <w:sz w:val="18"/>
                <w:szCs w:val="18"/>
              </w:rPr>
            </w:pPr>
            <w:r w:rsidRPr="00FF756A">
              <w:rPr>
                <w:sz w:val="18"/>
                <w:szCs w:val="18"/>
              </w:rPr>
              <w:t>5</w:t>
            </w:r>
          </w:p>
        </w:tc>
        <w:tc>
          <w:tcPr>
            <w:tcW w:w="448" w:type="pct"/>
            <w:vAlign w:val="center"/>
          </w:tcPr>
          <w:p w14:paraId="4BC240E1" w14:textId="77777777" w:rsidR="00835192" w:rsidRPr="00FF756A" w:rsidRDefault="00835192" w:rsidP="00835192">
            <w:pPr>
              <w:spacing w:after="0" w:line="240" w:lineRule="auto"/>
              <w:jc w:val="left"/>
              <w:rPr>
                <w:sz w:val="20"/>
                <w:szCs w:val="20"/>
              </w:rPr>
            </w:pPr>
            <w:r w:rsidRPr="00FF756A">
              <w:rPr>
                <w:sz w:val="20"/>
                <w:szCs w:val="20"/>
              </w:rPr>
              <w:t>G-T5</w:t>
            </w:r>
          </w:p>
        </w:tc>
        <w:tc>
          <w:tcPr>
            <w:tcW w:w="2463" w:type="pct"/>
            <w:vAlign w:val="center"/>
          </w:tcPr>
          <w:p w14:paraId="763FE3B5" w14:textId="1CDCDB40" w:rsidR="00835192" w:rsidRPr="00FF756A" w:rsidRDefault="00835192" w:rsidP="00835192">
            <w:pPr>
              <w:spacing w:before="20" w:after="20" w:line="240" w:lineRule="auto"/>
              <w:jc w:val="left"/>
              <w:rPr>
                <w:i/>
                <w:iCs/>
                <w:sz w:val="20"/>
                <w:szCs w:val="20"/>
              </w:rPr>
            </w:pPr>
            <w:r w:rsidRPr="00FF756A">
              <w:rPr>
                <w:sz w:val="20"/>
                <w:szCs w:val="20"/>
              </w:rPr>
              <w:t xml:space="preserve">Hidrogjeni ekologjik </w:t>
            </w:r>
            <w:r w:rsidR="00AE664D" w:rsidRPr="00FF756A">
              <w:rPr>
                <w:sz w:val="20"/>
                <w:szCs w:val="20"/>
              </w:rPr>
              <w:t>p</w:t>
            </w:r>
            <w:r w:rsidRPr="00FF756A">
              <w:rPr>
                <w:sz w:val="20"/>
                <w:szCs w:val="20"/>
              </w:rPr>
              <w:t>ë</w:t>
            </w:r>
            <w:r w:rsidR="00AE664D" w:rsidRPr="00FF756A">
              <w:rPr>
                <w:sz w:val="20"/>
                <w:szCs w:val="20"/>
              </w:rPr>
              <w:t>r</w:t>
            </w:r>
            <w:r w:rsidRPr="00FF756A">
              <w:rPr>
                <w:sz w:val="20"/>
                <w:szCs w:val="20"/>
              </w:rPr>
              <w:t xml:space="preserve"> transportin me mjete të rënda</w:t>
            </w:r>
            <w:r w:rsidRPr="00FF756A">
              <w:rPr>
                <w:i/>
                <w:iCs/>
                <w:sz w:val="20"/>
                <w:szCs w:val="20"/>
              </w:rPr>
              <w:t xml:space="preserve"> </w:t>
            </w:r>
          </w:p>
        </w:tc>
        <w:tc>
          <w:tcPr>
            <w:tcW w:w="821" w:type="pct"/>
            <w:vAlign w:val="center"/>
          </w:tcPr>
          <w:p w14:paraId="0C0F8D25" w14:textId="77777777" w:rsidR="00835192" w:rsidRPr="00FF756A" w:rsidRDefault="00835192" w:rsidP="00835192">
            <w:pPr>
              <w:spacing w:after="0" w:line="240" w:lineRule="auto"/>
              <w:jc w:val="left"/>
              <w:rPr>
                <w:sz w:val="20"/>
                <w:szCs w:val="20"/>
              </w:rPr>
            </w:pPr>
            <w:r w:rsidRPr="00FF756A">
              <w:rPr>
                <w:sz w:val="20"/>
                <w:szCs w:val="20"/>
              </w:rPr>
              <w:t>Teknike; Financiare</w:t>
            </w:r>
          </w:p>
        </w:tc>
        <w:tc>
          <w:tcPr>
            <w:tcW w:w="597" w:type="pct"/>
            <w:vAlign w:val="center"/>
          </w:tcPr>
          <w:p w14:paraId="4BA6779E"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3B29E007" w14:textId="77777777" w:rsidTr="006A3266">
        <w:trPr>
          <w:trHeight w:val="20"/>
        </w:trPr>
        <w:tc>
          <w:tcPr>
            <w:tcW w:w="359" w:type="pct"/>
            <w:vMerge/>
            <w:shd w:val="clear" w:color="auto" w:fill="E2EFD9" w:themeFill="accent6" w:themeFillTint="33"/>
            <w:textDirection w:val="btLr"/>
          </w:tcPr>
          <w:p w14:paraId="784C8BD2" w14:textId="77777777" w:rsidR="00835192" w:rsidRPr="00FF756A" w:rsidRDefault="00835192" w:rsidP="00835192">
            <w:pPr>
              <w:ind w:left="113" w:right="113"/>
              <w:rPr>
                <w:b/>
                <w:bCs/>
                <w:sz w:val="20"/>
                <w:szCs w:val="20"/>
              </w:rPr>
            </w:pPr>
          </w:p>
        </w:tc>
        <w:tc>
          <w:tcPr>
            <w:tcW w:w="313" w:type="pct"/>
            <w:vAlign w:val="center"/>
          </w:tcPr>
          <w:p w14:paraId="2B9CEA61" w14:textId="77777777" w:rsidR="00835192" w:rsidRPr="00FF756A" w:rsidRDefault="00835192" w:rsidP="00835192">
            <w:pPr>
              <w:spacing w:after="0" w:line="240" w:lineRule="auto"/>
              <w:jc w:val="center"/>
              <w:rPr>
                <w:sz w:val="18"/>
                <w:szCs w:val="18"/>
              </w:rPr>
            </w:pPr>
            <w:r w:rsidRPr="00FF756A">
              <w:rPr>
                <w:sz w:val="18"/>
                <w:szCs w:val="18"/>
              </w:rPr>
              <w:t>6</w:t>
            </w:r>
          </w:p>
        </w:tc>
        <w:tc>
          <w:tcPr>
            <w:tcW w:w="448" w:type="pct"/>
            <w:vAlign w:val="center"/>
          </w:tcPr>
          <w:p w14:paraId="3DD86514" w14:textId="77777777" w:rsidR="00835192" w:rsidRPr="00FF756A" w:rsidRDefault="00835192" w:rsidP="00835192">
            <w:pPr>
              <w:spacing w:after="0" w:line="240" w:lineRule="auto"/>
              <w:jc w:val="left"/>
              <w:rPr>
                <w:sz w:val="20"/>
                <w:szCs w:val="20"/>
              </w:rPr>
            </w:pPr>
            <w:r w:rsidRPr="00FF756A">
              <w:rPr>
                <w:sz w:val="20"/>
                <w:szCs w:val="20"/>
              </w:rPr>
              <w:t>G-B1</w:t>
            </w:r>
          </w:p>
        </w:tc>
        <w:tc>
          <w:tcPr>
            <w:tcW w:w="2463" w:type="pct"/>
            <w:vAlign w:val="center"/>
          </w:tcPr>
          <w:p w14:paraId="31AA81F0" w14:textId="77777777" w:rsidR="00835192" w:rsidRPr="00FF756A" w:rsidRDefault="00835192" w:rsidP="00835192">
            <w:pPr>
              <w:spacing w:after="0" w:line="240" w:lineRule="auto"/>
              <w:jc w:val="left"/>
              <w:rPr>
                <w:sz w:val="20"/>
                <w:szCs w:val="20"/>
              </w:rPr>
            </w:pPr>
            <w:r w:rsidRPr="00FF756A">
              <w:rPr>
                <w:sz w:val="20"/>
                <w:szCs w:val="20"/>
              </w:rPr>
              <w:t>Politikat për nxitjen e përdorimit të BRE-ve në sektorin e ngrohjes dhe ftohjes</w:t>
            </w:r>
          </w:p>
        </w:tc>
        <w:tc>
          <w:tcPr>
            <w:tcW w:w="821" w:type="pct"/>
            <w:vAlign w:val="center"/>
          </w:tcPr>
          <w:p w14:paraId="7547AD93" w14:textId="77777777" w:rsidR="00835192" w:rsidRPr="00FF756A" w:rsidRDefault="00835192" w:rsidP="00835192">
            <w:pPr>
              <w:spacing w:after="0" w:line="240" w:lineRule="auto"/>
              <w:jc w:val="left"/>
              <w:rPr>
                <w:sz w:val="20"/>
                <w:szCs w:val="20"/>
              </w:rPr>
            </w:pPr>
            <w:r w:rsidRPr="00FF756A">
              <w:rPr>
                <w:sz w:val="20"/>
                <w:szCs w:val="20"/>
              </w:rPr>
              <w:t>Rregullatore; Financiare; Edukative</w:t>
            </w:r>
          </w:p>
        </w:tc>
        <w:tc>
          <w:tcPr>
            <w:tcW w:w="597" w:type="pct"/>
            <w:vAlign w:val="center"/>
          </w:tcPr>
          <w:p w14:paraId="59DAD4FD"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2721F514" w14:textId="77777777" w:rsidTr="006A3266">
        <w:trPr>
          <w:trHeight w:val="20"/>
        </w:trPr>
        <w:tc>
          <w:tcPr>
            <w:tcW w:w="359" w:type="pct"/>
            <w:vMerge/>
            <w:shd w:val="clear" w:color="auto" w:fill="E2EFD9" w:themeFill="accent6" w:themeFillTint="33"/>
            <w:textDirection w:val="btLr"/>
          </w:tcPr>
          <w:p w14:paraId="50843885" w14:textId="77777777" w:rsidR="00835192" w:rsidRPr="00FF756A" w:rsidRDefault="00835192" w:rsidP="00835192">
            <w:pPr>
              <w:ind w:left="113" w:right="113"/>
              <w:rPr>
                <w:b/>
                <w:bCs/>
                <w:sz w:val="20"/>
                <w:szCs w:val="20"/>
              </w:rPr>
            </w:pPr>
          </w:p>
        </w:tc>
        <w:tc>
          <w:tcPr>
            <w:tcW w:w="313" w:type="pct"/>
            <w:vAlign w:val="center"/>
          </w:tcPr>
          <w:p w14:paraId="7B792732" w14:textId="77777777" w:rsidR="00835192" w:rsidRPr="00FF756A" w:rsidRDefault="00835192" w:rsidP="00835192">
            <w:pPr>
              <w:spacing w:after="0" w:line="240" w:lineRule="auto"/>
              <w:jc w:val="center"/>
              <w:rPr>
                <w:sz w:val="18"/>
                <w:szCs w:val="18"/>
              </w:rPr>
            </w:pPr>
            <w:r w:rsidRPr="00FF756A">
              <w:rPr>
                <w:sz w:val="18"/>
                <w:szCs w:val="18"/>
              </w:rPr>
              <w:t>7</w:t>
            </w:r>
          </w:p>
        </w:tc>
        <w:tc>
          <w:tcPr>
            <w:tcW w:w="448" w:type="pct"/>
            <w:vAlign w:val="center"/>
          </w:tcPr>
          <w:p w14:paraId="71E1A40B" w14:textId="77777777" w:rsidR="00835192" w:rsidRPr="00FF756A" w:rsidRDefault="00835192" w:rsidP="00835192">
            <w:pPr>
              <w:spacing w:after="0" w:line="240" w:lineRule="auto"/>
              <w:jc w:val="left"/>
              <w:rPr>
                <w:sz w:val="20"/>
                <w:szCs w:val="20"/>
              </w:rPr>
            </w:pPr>
            <w:r w:rsidRPr="00FF756A">
              <w:rPr>
                <w:sz w:val="20"/>
                <w:szCs w:val="20"/>
              </w:rPr>
              <w:t>G-I1</w:t>
            </w:r>
          </w:p>
        </w:tc>
        <w:tc>
          <w:tcPr>
            <w:tcW w:w="2463" w:type="pct"/>
            <w:vAlign w:val="center"/>
          </w:tcPr>
          <w:p w14:paraId="785F3600" w14:textId="77777777" w:rsidR="00835192" w:rsidRPr="00FF756A" w:rsidRDefault="00835192" w:rsidP="00835192">
            <w:pPr>
              <w:spacing w:after="0" w:line="240" w:lineRule="auto"/>
              <w:jc w:val="left"/>
              <w:rPr>
                <w:sz w:val="20"/>
                <w:szCs w:val="20"/>
              </w:rPr>
            </w:pPr>
            <w:r w:rsidRPr="00FF756A">
              <w:rPr>
                <w:sz w:val="20"/>
                <w:szCs w:val="20"/>
              </w:rPr>
              <w:t>Zbatimi i ETS-së në Shqipëri</w:t>
            </w:r>
          </w:p>
        </w:tc>
        <w:tc>
          <w:tcPr>
            <w:tcW w:w="821" w:type="pct"/>
            <w:vAlign w:val="center"/>
          </w:tcPr>
          <w:p w14:paraId="77A78F83" w14:textId="77777777" w:rsidR="00835192" w:rsidRPr="00FF756A" w:rsidRDefault="00835192" w:rsidP="00835192">
            <w:pPr>
              <w:spacing w:after="0" w:line="240" w:lineRule="auto"/>
              <w:jc w:val="left"/>
              <w:rPr>
                <w:sz w:val="20"/>
                <w:szCs w:val="20"/>
              </w:rPr>
            </w:pPr>
            <w:r w:rsidRPr="00FF756A">
              <w:rPr>
                <w:sz w:val="20"/>
                <w:szCs w:val="20"/>
              </w:rPr>
              <w:t>Rregullatore; Edukative</w:t>
            </w:r>
          </w:p>
        </w:tc>
        <w:tc>
          <w:tcPr>
            <w:tcW w:w="597" w:type="pct"/>
            <w:vAlign w:val="center"/>
          </w:tcPr>
          <w:p w14:paraId="72399BFC"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141205FA" w14:textId="77777777" w:rsidTr="006A3266">
        <w:trPr>
          <w:trHeight w:val="20"/>
        </w:trPr>
        <w:tc>
          <w:tcPr>
            <w:tcW w:w="359" w:type="pct"/>
            <w:vMerge/>
            <w:shd w:val="clear" w:color="auto" w:fill="E2EFD9" w:themeFill="accent6" w:themeFillTint="33"/>
            <w:textDirection w:val="btLr"/>
          </w:tcPr>
          <w:p w14:paraId="5CC3D4B5" w14:textId="77777777" w:rsidR="00835192" w:rsidRPr="00FF756A" w:rsidRDefault="00835192" w:rsidP="00835192">
            <w:pPr>
              <w:ind w:left="113" w:right="113"/>
              <w:rPr>
                <w:b/>
                <w:bCs/>
                <w:sz w:val="20"/>
                <w:szCs w:val="20"/>
              </w:rPr>
            </w:pPr>
          </w:p>
        </w:tc>
        <w:tc>
          <w:tcPr>
            <w:tcW w:w="313" w:type="pct"/>
            <w:vAlign w:val="center"/>
          </w:tcPr>
          <w:p w14:paraId="5FC418CA" w14:textId="77777777" w:rsidR="00835192" w:rsidRPr="00FF756A" w:rsidRDefault="00835192" w:rsidP="00835192">
            <w:pPr>
              <w:spacing w:after="0" w:line="240" w:lineRule="auto"/>
              <w:jc w:val="center"/>
              <w:rPr>
                <w:sz w:val="18"/>
                <w:szCs w:val="18"/>
              </w:rPr>
            </w:pPr>
            <w:r w:rsidRPr="00FF756A">
              <w:rPr>
                <w:sz w:val="18"/>
                <w:szCs w:val="18"/>
              </w:rPr>
              <w:t>8</w:t>
            </w:r>
          </w:p>
        </w:tc>
        <w:tc>
          <w:tcPr>
            <w:tcW w:w="448" w:type="pct"/>
            <w:vAlign w:val="center"/>
          </w:tcPr>
          <w:p w14:paraId="00F7F2F3" w14:textId="77777777" w:rsidR="00835192" w:rsidRPr="00FF756A" w:rsidRDefault="00835192" w:rsidP="00835192">
            <w:pPr>
              <w:spacing w:after="0" w:line="240" w:lineRule="auto"/>
              <w:jc w:val="left"/>
              <w:rPr>
                <w:sz w:val="20"/>
                <w:szCs w:val="20"/>
              </w:rPr>
            </w:pPr>
            <w:r w:rsidRPr="00FF756A">
              <w:rPr>
                <w:sz w:val="20"/>
                <w:szCs w:val="20"/>
              </w:rPr>
              <w:t>G-I2</w:t>
            </w:r>
          </w:p>
        </w:tc>
        <w:tc>
          <w:tcPr>
            <w:tcW w:w="2463" w:type="pct"/>
            <w:vAlign w:val="center"/>
          </w:tcPr>
          <w:p w14:paraId="43300787" w14:textId="77777777" w:rsidR="00835192" w:rsidRPr="00FF756A" w:rsidRDefault="00835192" w:rsidP="00835192">
            <w:pPr>
              <w:spacing w:after="0" w:line="240" w:lineRule="auto"/>
              <w:jc w:val="left"/>
              <w:rPr>
                <w:sz w:val="20"/>
                <w:szCs w:val="20"/>
              </w:rPr>
            </w:pPr>
            <w:r w:rsidRPr="00FF756A">
              <w:rPr>
                <w:sz w:val="20"/>
                <w:szCs w:val="20"/>
              </w:rPr>
              <w:t>Ngritja e një mekanizmi për zbatimin e MMR-së</w:t>
            </w:r>
          </w:p>
        </w:tc>
        <w:tc>
          <w:tcPr>
            <w:tcW w:w="821" w:type="pct"/>
            <w:vAlign w:val="center"/>
          </w:tcPr>
          <w:p w14:paraId="249DA92D"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4F6FEE33"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2E35F80C" w14:textId="77777777" w:rsidTr="006A3266">
        <w:trPr>
          <w:trHeight w:val="20"/>
        </w:trPr>
        <w:tc>
          <w:tcPr>
            <w:tcW w:w="359" w:type="pct"/>
            <w:vMerge/>
            <w:shd w:val="clear" w:color="auto" w:fill="E2EFD9" w:themeFill="accent6" w:themeFillTint="33"/>
            <w:textDirection w:val="btLr"/>
          </w:tcPr>
          <w:p w14:paraId="127C0D6F" w14:textId="77777777" w:rsidR="00835192" w:rsidRPr="00FF756A" w:rsidRDefault="00835192" w:rsidP="00835192">
            <w:pPr>
              <w:ind w:left="113" w:right="113"/>
              <w:rPr>
                <w:b/>
                <w:bCs/>
                <w:sz w:val="20"/>
                <w:szCs w:val="20"/>
              </w:rPr>
            </w:pPr>
          </w:p>
        </w:tc>
        <w:tc>
          <w:tcPr>
            <w:tcW w:w="313" w:type="pct"/>
            <w:vAlign w:val="center"/>
          </w:tcPr>
          <w:p w14:paraId="3C1C04FC" w14:textId="77777777" w:rsidR="00835192" w:rsidRPr="00FF756A" w:rsidRDefault="00835192" w:rsidP="00835192">
            <w:pPr>
              <w:spacing w:after="0" w:line="240" w:lineRule="auto"/>
              <w:jc w:val="center"/>
              <w:rPr>
                <w:sz w:val="18"/>
                <w:szCs w:val="18"/>
              </w:rPr>
            </w:pPr>
            <w:r w:rsidRPr="00FF756A">
              <w:rPr>
                <w:sz w:val="18"/>
                <w:szCs w:val="18"/>
              </w:rPr>
              <w:t>9</w:t>
            </w:r>
          </w:p>
        </w:tc>
        <w:tc>
          <w:tcPr>
            <w:tcW w:w="448" w:type="pct"/>
            <w:vAlign w:val="center"/>
          </w:tcPr>
          <w:p w14:paraId="19F81117" w14:textId="77777777" w:rsidR="00835192" w:rsidRPr="00FF756A" w:rsidRDefault="00835192" w:rsidP="00835192">
            <w:pPr>
              <w:spacing w:after="0" w:line="240" w:lineRule="auto"/>
              <w:jc w:val="left"/>
              <w:rPr>
                <w:sz w:val="20"/>
                <w:szCs w:val="20"/>
              </w:rPr>
            </w:pPr>
            <w:r w:rsidRPr="00FF756A">
              <w:rPr>
                <w:sz w:val="20"/>
                <w:szCs w:val="20"/>
              </w:rPr>
              <w:t>G-I3</w:t>
            </w:r>
          </w:p>
        </w:tc>
        <w:tc>
          <w:tcPr>
            <w:tcW w:w="2463" w:type="pct"/>
            <w:vAlign w:val="center"/>
          </w:tcPr>
          <w:p w14:paraId="5CB45527" w14:textId="77777777" w:rsidR="00835192" w:rsidRPr="00FF756A" w:rsidRDefault="00835192" w:rsidP="00835192">
            <w:pPr>
              <w:spacing w:after="0" w:line="240" w:lineRule="auto"/>
              <w:jc w:val="left"/>
              <w:rPr>
                <w:sz w:val="20"/>
                <w:szCs w:val="20"/>
              </w:rPr>
            </w:pPr>
            <w:r w:rsidRPr="00FF756A">
              <w:rPr>
                <w:sz w:val="20"/>
                <w:szCs w:val="20"/>
              </w:rPr>
              <w:t>Reduktimi i shkarkimeve të GES-ve nga prodhimi i çimentos</w:t>
            </w:r>
          </w:p>
        </w:tc>
        <w:tc>
          <w:tcPr>
            <w:tcW w:w="821" w:type="pct"/>
            <w:vAlign w:val="center"/>
          </w:tcPr>
          <w:p w14:paraId="0D33A30C" w14:textId="77777777" w:rsidR="00835192" w:rsidRPr="00FF756A" w:rsidRDefault="00835192" w:rsidP="00835192">
            <w:pPr>
              <w:spacing w:after="0" w:line="240" w:lineRule="auto"/>
              <w:jc w:val="left"/>
              <w:rPr>
                <w:sz w:val="20"/>
                <w:szCs w:val="20"/>
              </w:rPr>
            </w:pPr>
            <w:r w:rsidRPr="00FF756A">
              <w:rPr>
                <w:sz w:val="20"/>
                <w:szCs w:val="20"/>
              </w:rPr>
              <w:t>Teknike</w:t>
            </w:r>
          </w:p>
        </w:tc>
        <w:tc>
          <w:tcPr>
            <w:tcW w:w="597" w:type="pct"/>
            <w:vAlign w:val="center"/>
          </w:tcPr>
          <w:p w14:paraId="1102A9BA"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3DE93A77" w14:textId="77777777" w:rsidTr="006A3266">
        <w:trPr>
          <w:trHeight w:val="20"/>
        </w:trPr>
        <w:tc>
          <w:tcPr>
            <w:tcW w:w="359" w:type="pct"/>
            <w:vMerge/>
            <w:shd w:val="clear" w:color="auto" w:fill="E2EFD9" w:themeFill="accent6" w:themeFillTint="33"/>
            <w:textDirection w:val="btLr"/>
          </w:tcPr>
          <w:p w14:paraId="6779B607" w14:textId="77777777" w:rsidR="00835192" w:rsidRPr="00FF756A" w:rsidRDefault="00835192" w:rsidP="00835192">
            <w:pPr>
              <w:ind w:left="113" w:right="113"/>
              <w:rPr>
                <w:b/>
                <w:bCs/>
                <w:sz w:val="20"/>
                <w:szCs w:val="20"/>
              </w:rPr>
            </w:pPr>
          </w:p>
        </w:tc>
        <w:tc>
          <w:tcPr>
            <w:tcW w:w="313" w:type="pct"/>
            <w:vAlign w:val="center"/>
          </w:tcPr>
          <w:p w14:paraId="43492A4C" w14:textId="77777777" w:rsidR="00835192" w:rsidRPr="00FF756A" w:rsidRDefault="00835192" w:rsidP="00835192">
            <w:pPr>
              <w:spacing w:after="0" w:line="240" w:lineRule="auto"/>
              <w:jc w:val="center"/>
              <w:rPr>
                <w:sz w:val="18"/>
                <w:szCs w:val="18"/>
              </w:rPr>
            </w:pPr>
            <w:r w:rsidRPr="00FF756A">
              <w:rPr>
                <w:sz w:val="18"/>
                <w:szCs w:val="18"/>
              </w:rPr>
              <w:t>10</w:t>
            </w:r>
          </w:p>
        </w:tc>
        <w:tc>
          <w:tcPr>
            <w:tcW w:w="448" w:type="pct"/>
            <w:vAlign w:val="center"/>
          </w:tcPr>
          <w:p w14:paraId="68E873D5" w14:textId="77777777" w:rsidR="00835192" w:rsidRPr="00FF756A" w:rsidRDefault="00835192" w:rsidP="00835192">
            <w:pPr>
              <w:spacing w:after="0" w:line="240" w:lineRule="auto"/>
              <w:jc w:val="left"/>
              <w:rPr>
                <w:sz w:val="20"/>
                <w:szCs w:val="20"/>
              </w:rPr>
            </w:pPr>
            <w:r w:rsidRPr="00FF756A">
              <w:rPr>
                <w:sz w:val="20"/>
                <w:szCs w:val="20"/>
              </w:rPr>
              <w:t>G-I4</w:t>
            </w:r>
          </w:p>
        </w:tc>
        <w:tc>
          <w:tcPr>
            <w:tcW w:w="2463" w:type="pct"/>
            <w:vAlign w:val="center"/>
          </w:tcPr>
          <w:p w14:paraId="38B0A47F" w14:textId="77777777" w:rsidR="00835192" w:rsidRPr="00FF756A" w:rsidRDefault="00835192" w:rsidP="00835192">
            <w:pPr>
              <w:spacing w:before="20" w:after="20" w:line="240" w:lineRule="auto"/>
              <w:jc w:val="left"/>
              <w:rPr>
                <w:sz w:val="20"/>
                <w:szCs w:val="20"/>
              </w:rPr>
            </w:pPr>
            <w:r w:rsidRPr="00FF756A">
              <w:rPr>
                <w:sz w:val="20"/>
                <w:szCs w:val="20"/>
              </w:rPr>
              <w:t xml:space="preserve">Reduktimi i shkarkimeve të gazeve të fluorinuara (Gazet-F) </w:t>
            </w:r>
          </w:p>
        </w:tc>
        <w:tc>
          <w:tcPr>
            <w:tcW w:w="821" w:type="pct"/>
            <w:vAlign w:val="center"/>
          </w:tcPr>
          <w:p w14:paraId="6BA3681D" w14:textId="77777777" w:rsidR="00835192" w:rsidRPr="00FF756A" w:rsidRDefault="00835192" w:rsidP="00835192">
            <w:pPr>
              <w:spacing w:after="0" w:line="240" w:lineRule="auto"/>
              <w:jc w:val="left"/>
              <w:rPr>
                <w:sz w:val="20"/>
                <w:szCs w:val="20"/>
              </w:rPr>
            </w:pPr>
            <w:r w:rsidRPr="00FF756A">
              <w:rPr>
                <w:sz w:val="20"/>
                <w:szCs w:val="20"/>
              </w:rPr>
              <w:t>Rregullatore; Financiare</w:t>
            </w:r>
          </w:p>
        </w:tc>
        <w:tc>
          <w:tcPr>
            <w:tcW w:w="597" w:type="pct"/>
            <w:vAlign w:val="center"/>
          </w:tcPr>
          <w:p w14:paraId="76DE016A"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5E8708DF" w14:textId="77777777" w:rsidTr="006A3266">
        <w:trPr>
          <w:trHeight w:val="20"/>
        </w:trPr>
        <w:tc>
          <w:tcPr>
            <w:tcW w:w="359" w:type="pct"/>
            <w:vMerge/>
            <w:shd w:val="clear" w:color="auto" w:fill="E2EFD9" w:themeFill="accent6" w:themeFillTint="33"/>
            <w:textDirection w:val="btLr"/>
          </w:tcPr>
          <w:p w14:paraId="3774C3EB" w14:textId="77777777" w:rsidR="00835192" w:rsidRPr="00FF756A" w:rsidRDefault="00835192" w:rsidP="00835192">
            <w:pPr>
              <w:ind w:left="113" w:right="113"/>
              <w:rPr>
                <w:b/>
                <w:bCs/>
                <w:sz w:val="20"/>
                <w:szCs w:val="20"/>
              </w:rPr>
            </w:pPr>
          </w:p>
        </w:tc>
        <w:tc>
          <w:tcPr>
            <w:tcW w:w="313" w:type="pct"/>
            <w:vAlign w:val="center"/>
          </w:tcPr>
          <w:p w14:paraId="158CDC4D" w14:textId="77777777" w:rsidR="00835192" w:rsidRPr="00FF756A" w:rsidRDefault="00835192" w:rsidP="00835192">
            <w:pPr>
              <w:spacing w:after="0" w:line="240" w:lineRule="auto"/>
              <w:jc w:val="center"/>
              <w:rPr>
                <w:sz w:val="18"/>
                <w:szCs w:val="18"/>
              </w:rPr>
            </w:pPr>
            <w:r w:rsidRPr="00FF756A">
              <w:rPr>
                <w:sz w:val="18"/>
                <w:szCs w:val="18"/>
              </w:rPr>
              <w:t>11</w:t>
            </w:r>
          </w:p>
        </w:tc>
        <w:tc>
          <w:tcPr>
            <w:tcW w:w="448" w:type="pct"/>
            <w:vAlign w:val="center"/>
          </w:tcPr>
          <w:p w14:paraId="57EC25DA" w14:textId="77777777" w:rsidR="00835192" w:rsidRPr="00FF756A" w:rsidRDefault="00835192" w:rsidP="00835192">
            <w:pPr>
              <w:spacing w:after="0" w:line="240" w:lineRule="auto"/>
              <w:jc w:val="left"/>
              <w:rPr>
                <w:sz w:val="20"/>
                <w:szCs w:val="20"/>
              </w:rPr>
            </w:pPr>
            <w:r w:rsidRPr="00FF756A">
              <w:rPr>
                <w:sz w:val="20"/>
                <w:szCs w:val="20"/>
              </w:rPr>
              <w:t>G-I5</w:t>
            </w:r>
          </w:p>
        </w:tc>
        <w:tc>
          <w:tcPr>
            <w:tcW w:w="2463" w:type="pct"/>
            <w:vAlign w:val="center"/>
          </w:tcPr>
          <w:p w14:paraId="1974F8A9" w14:textId="77777777" w:rsidR="00835192" w:rsidRPr="00FF756A" w:rsidRDefault="00835192" w:rsidP="00835192">
            <w:pPr>
              <w:spacing w:after="0" w:line="240" w:lineRule="auto"/>
              <w:jc w:val="left"/>
              <w:rPr>
                <w:sz w:val="20"/>
                <w:szCs w:val="20"/>
              </w:rPr>
            </w:pPr>
            <w:r w:rsidRPr="00FF756A">
              <w:rPr>
                <w:sz w:val="20"/>
                <w:szCs w:val="20"/>
              </w:rPr>
              <w:t>Hidrogjeni ekologjik për industrinë e prodhimit të ferrokromit dhe çelikut</w:t>
            </w:r>
            <w:r w:rsidRPr="00FF756A">
              <w:rPr>
                <w:i/>
                <w:iCs/>
                <w:sz w:val="20"/>
                <w:szCs w:val="20"/>
              </w:rPr>
              <w:t xml:space="preserve"> </w:t>
            </w:r>
          </w:p>
        </w:tc>
        <w:tc>
          <w:tcPr>
            <w:tcW w:w="821" w:type="pct"/>
            <w:vAlign w:val="center"/>
          </w:tcPr>
          <w:p w14:paraId="3774246A" w14:textId="77777777" w:rsidR="00835192" w:rsidRPr="00FF756A" w:rsidRDefault="00835192" w:rsidP="00835192">
            <w:pPr>
              <w:spacing w:after="0" w:line="240" w:lineRule="auto"/>
              <w:jc w:val="left"/>
              <w:rPr>
                <w:sz w:val="20"/>
                <w:szCs w:val="20"/>
              </w:rPr>
            </w:pPr>
            <w:r w:rsidRPr="00FF756A">
              <w:rPr>
                <w:sz w:val="20"/>
                <w:szCs w:val="20"/>
              </w:rPr>
              <w:t>Teknike; Financiare</w:t>
            </w:r>
          </w:p>
        </w:tc>
        <w:tc>
          <w:tcPr>
            <w:tcW w:w="597" w:type="pct"/>
            <w:vAlign w:val="center"/>
          </w:tcPr>
          <w:p w14:paraId="7DA5D91C"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18672D92" w14:textId="77777777" w:rsidTr="006A3266">
        <w:trPr>
          <w:trHeight w:val="20"/>
        </w:trPr>
        <w:tc>
          <w:tcPr>
            <w:tcW w:w="359" w:type="pct"/>
            <w:vMerge/>
            <w:shd w:val="clear" w:color="auto" w:fill="E2EFD9" w:themeFill="accent6" w:themeFillTint="33"/>
            <w:textDirection w:val="btLr"/>
          </w:tcPr>
          <w:p w14:paraId="7D6C3D08" w14:textId="77777777" w:rsidR="00835192" w:rsidRPr="00FF756A" w:rsidRDefault="00835192" w:rsidP="00835192">
            <w:pPr>
              <w:ind w:left="113" w:right="113"/>
              <w:rPr>
                <w:b/>
                <w:bCs/>
                <w:sz w:val="20"/>
                <w:szCs w:val="20"/>
              </w:rPr>
            </w:pPr>
          </w:p>
        </w:tc>
        <w:tc>
          <w:tcPr>
            <w:tcW w:w="313" w:type="pct"/>
            <w:vAlign w:val="center"/>
          </w:tcPr>
          <w:p w14:paraId="3C6E5CEF" w14:textId="77777777" w:rsidR="00835192" w:rsidRPr="00FF756A" w:rsidRDefault="00835192" w:rsidP="00835192">
            <w:pPr>
              <w:spacing w:after="0" w:line="240" w:lineRule="auto"/>
              <w:jc w:val="center"/>
              <w:rPr>
                <w:sz w:val="18"/>
                <w:szCs w:val="18"/>
              </w:rPr>
            </w:pPr>
            <w:r w:rsidRPr="00FF756A">
              <w:rPr>
                <w:sz w:val="18"/>
                <w:szCs w:val="18"/>
              </w:rPr>
              <w:t>12</w:t>
            </w:r>
          </w:p>
        </w:tc>
        <w:tc>
          <w:tcPr>
            <w:tcW w:w="448" w:type="pct"/>
            <w:vAlign w:val="center"/>
          </w:tcPr>
          <w:p w14:paraId="70F00E91" w14:textId="77777777" w:rsidR="00835192" w:rsidRPr="00FF756A" w:rsidRDefault="00835192" w:rsidP="00835192">
            <w:pPr>
              <w:spacing w:after="0" w:line="240" w:lineRule="auto"/>
              <w:jc w:val="left"/>
              <w:rPr>
                <w:sz w:val="20"/>
                <w:szCs w:val="20"/>
              </w:rPr>
            </w:pPr>
            <w:r w:rsidRPr="00FF756A">
              <w:rPr>
                <w:sz w:val="20"/>
                <w:szCs w:val="20"/>
              </w:rPr>
              <w:t>G-I6</w:t>
            </w:r>
          </w:p>
        </w:tc>
        <w:tc>
          <w:tcPr>
            <w:tcW w:w="2463" w:type="pct"/>
            <w:vAlign w:val="center"/>
          </w:tcPr>
          <w:p w14:paraId="446BD766" w14:textId="77777777" w:rsidR="00835192" w:rsidRPr="00FF756A" w:rsidRDefault="00835192" w:rsidP="00835192">
            <w:pPr>
              <w:spacing w:after="0" w:line="240" w:lineRule="auto"/>
              <w:jc w:val="left"/>
              <w:rPr>
                <w:sz w:val="20"/>
                <w:szCs w:val="20"/>
              </w:rPr>
            </w:pPr>
            <w:r w:rsidRPr="00FF756A">
              <w:rPr>
                <w:sz w:val="20"/>
                <w:szCs w:val="20"/>
              </w:rPr>
              <w:t xml:space="preserve">Strategjia e hidrogjenit ekologjik </w:t>
            </w:r>
          </w:p>
        </w:tc>
        <w:tc>
          <w:tcPr>
            <w:tcW w:w="821" w:type="pct"/>
            <w:vAlign w:val="center"/>
          </w:tcPr>
          <w:p w14:paraId="78332E4E" w14:textId="77777777" w:rsidR="00835192" w:rsidRPr="00FF756A" w:rsidRDefault="00835192" w:rsidP="00835192">
            <w:pPr>
              <w:spacing w:after="0" w:line="240" w:lineRule="auto"/>
              <w:jc w:val="left"/>
              <w:rPr>
                <w:sz w:val="20"/>
                <w:szCs w:val="20"/>
              </w:rPr>
            </w:pPr>
            <w:r w:rsidRPr="00FF756A">
              <w:rPr>
                <w:sz w:val="20"/>
                <w:szCs w:val="20"/>
              </w:rPr>
              <w:t>Promocionale; Rregullatore</w:t>
            </w:r>
          </w:p>
        </w:tc>
        <w:tc>
          <w:tcPr>
            <w:tcW w:w="597" w:type="pct"/>
            <w:vAlign w:val="center"/>
          </w:tcPr>
          <w:p w14:paraId="5E8466C3"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703ACABB" w14:textId="77777777" w:rsidTr="006A3266">
        <w:trPr>
          <w:trHeight w:val="20"/>
        </w:trPr>
        <w:tc>
          <w:tcPr>
            <w:tcW w:w="359" w:type="pct"/>
            <w:vMerge/>
            <w:shd w:val="clear" w:color="auto" w:fill="E2EFD9" w:themeFill="accent6" w:themeFillTint="33"/>
            <w:textDirection w:val="btLr"/>
          </w:tcPr>
          <w:p w14:paraId="494BEEA3" w14:textId="77777777" w:rsidR="00835192" w:rsidRPr="00FF756A" w:rsidRDefault="00835192" w:rsidP="00835192">
            <w:pPr>
              <w:ind w:left="113" w:right="113"/>
              <w:rPr>
                <w:b/>
                <w:bCs/>
                <w:sz w:val="20"/>
                <w:szCs w:val="20"/>
              </w:rPr>
            </w:pPr>
          </w:p>
        </w:tc>
        <w:tc>
          <w:tcPr>
            <w:tcW w:w="313" w:type="pct"/>
            <w:vAlign w:val="center"/>
          </w:tcPr>
          <w:p w14:paraId="010ED0B0" w14:textId="77777777" w:rsidR="00835192" w:rsidRPr="00FF756A" w:rsidRDefault="00835192" w:rsidP="00835192">
            <w:pPr>
              <w:spacing w:after="0" w:line="240" w:lineRule="auto"/>
              <w:jc w:val="center"/>
              <w:rPr>
                <w:sz w:val="18"/>
                <w:szCs w:val="18"/>
              </w:rPr>
            </w:pPr>
            <w:r w:rsidRPr="00FF756A">
              <w:rPr>
                <w:sz w:val="18"/>
                <w:szCs w:val="18"/>
              </w:rPr>
              <w:t>13</w:t>
            </w:r>
          </w:p>
        </w:tc>
        <w:tc>
          <w:tcPr>
            <w:tcW w:w="448" w:type="pct"/>
            <w:vAlign w:val="center"/>
          </w:tcPr>
          <w:p w14:paraId="3068B1E0" w14:textId="77777777" w:rsidR="00835192" w:rsidRPr="00FF756A" w:rsidRDefault="00835192" w:rsidP="00835192">
            <w:pPr>
              <w:spacing w:after="0" w:line="240" w:lineRule="auto"/>
              <w:jc w:val="left"/>
              <w:rPr>
                <w:sz w:val="20"/>
                <w:szCs w:val="20"/>
              </w:rPr>
            </w:pPr>
            <w:r w:rsidRPr="00FF756A">
              <w:rPr>
                <w:sz w:val="20"/>
                <w:szCs w:val="20"/>
              </w:rPr>
              <w:t>G-A1</w:t>
            </w:r>
          </w:p>
        </w:tc>
        <w:tc>
          <w:tcPr>
            <w:tcW w:w="2463" w:type="pct"/>
            <w:vAlign w:val="center"/>
          </w:tcPr>
          <w:p w14:paraId="3B7CB239" w14:textId="77777777" w:rsidR="00835192" w:rsidRPr="00FF756A" w:rsidRDefault="00835192" w:rsidP="00835192">
            <w:pPr>
              <w:spacing w:after="0" w:line="240" w:lineRule="auto"/>
              <w:jc w:val="left"/>
              <w:rPr>
                <w:sz w:val="20"/>
                <w:szCs w:val="20"/>
              </w:rPr>
            </w:pPr>
            <w:r w:rsidRPr="00FF756A">
              <w:rPr>
                <w:sz w:val="20"/>
                <w:szCs w:val="20"/>
              </w:rPr>
              <w:t>Promovimi i bujqësisë organike</w:t>
            </w:r>
          </w:p>
        </w:tc>
        <w:tc>
          <w:tcPr>
            <w:tcW w:w="821" w:type="pct"/>
            <w:vAlign w:val="center"/>
          </w:tcPr>
          <w:p w14:paraId="39CDFD80" w14:textId="77777777" w:rsidR="00835192" w:rsidRPr="00FF756A" w:rsidRDefault="00835192" w:rsidP="00835192">
            <w:pPr>
              <w:spacing w:after="0" w:line="240" w:lineRule="auto"/>
              <w:jc w:val="left"/>
              <w:rPr>
                <w:sz w:val="20"/>
                <w:szCs w:val="20"/>
              </w:rPr>
            </w:pPr>
            <w:r w:rsidRPr="00FF756A">
              <w:rPr>
                <w:sz w:val="20"/>
                <w:szCs w:val="20"/>
              </w:rPr>
              <w:t>Rregullatore; Financiare; Edukative</w:t>
            </w:r>
          </w:p>
        </w:tc>
        <w:tc>
          <w:tcPr>
            <w:tcW w:w="597" w:type="pct"/>
            <w:vAlign w:val="center"/>
          </w:tcPr>
          <w:p w14:paraId="2E82EFEB"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5C2C6BCB" w14:textId="77777777" w:rsidTr="006A3266">
        <w:trPr>
          <w:trHeight w:val="20"/>
        </w:trPr>
        <w:tc>
          <w:tcPr>
            <w:tcW w:w="359" w:type="pct"/>
            <w:vMerge/>
            <w:shd w:val="clear" w:color="auto" w:fill="E2EFD9" w:themeFill="accent6" w:themeFillTint="33"/>
            <w:textDirection w:val="btLr"/>
          </w:tcPr>
          <w:p w14:paraId="1A806943" w14:textId="77777777" w:rsidR="00835192" w:rsidRPr="00FF756A" w:rsidRDefault="00835192" w:rsidP="00835192">
            <w:pPr>
              <w:ind w:left="113" w:right="113"/>
              <w:rPr>
                <w:b/>
                <w:bCs/>
                <w:sz w:val="20"/>
                <w:szCs w:val="20"/>
              </w:rPr>
            </w:pPr>
          </w:p>
        </w:tc>
        <w:tc>
          <w:tcPr>
            <w:tcW w:w="313" w:type="pct"/>
            <w:vAlign w:val="center"/>
          </w:tcPr>
          <w:p w14:paraId="4B52F699" w14:textId="77777777" w:rsidR="00835192" w:rsidRPr="00FF756A" w:rsidRDefault="00835192" w:rsidP="00835192">
            <w:pPr>
              <w:spacing w:after="0" w:line="240" w:lineRule="auto"/>
              <w:jc w:val="center"/>
              <w:rPr>
                <w:sz w:val="18"/>
                <w:szCs w:val="18"/>
              </w:rPr>
            </w:pPr>
            <w:r w:rsidRPr="00FF756A">
              <w:rPr>
                <w:sz w:val="18"/>
                <w:szCs w:val="18"/>
              </w:rPr>
              <w:t>14</w:t>
            </w:r>
          </w:p>
        </w:tc>
        <w:tc>
          <w:tcPr>
            <w:tcW w:w="448" w:type="pct"/>
            <w:vAlign w:val="center"/>
          </w:tcPr>
          <w:p w14:paraId="48CB1B75" w14:textId="77777777" w:rsidR="00835192" w:rsidRPr="00FF756A" w:rsidRDefault="00835192" w:rsidP="00835192">
            <w:pPr>
              <w:spacing w:after="0" w:line="240" w:lineRule="auto"/>
              <w:jc w:val="left"/>
              <w:rPr>
                <w:sz w:val="20"/>
                <w:szCs w:val="20"/>
              </w:rPr>
            </w:pPr>
            <w:r w:rsidRPr="00FF756A">
              <w:rPr>
                <w:sz w:val="20"/>
                <w:szCs w:val="20"/>
              </w:rPr>
              <w:t>G-A2</w:t>
            </w:r>
          </w:p>
        </w:tc>
        <w:tc>
          <w:tcPr>
            <w:tcW w:w="2463" w:type="pct"/>
            <w:vAlign w:val="center"/>
          </w:tcPr>
          <w:p w14:paraId="32E9231C" w14:textId="77777777" w:rsidR="00835192" w:rsidRPr="00FF756A" w:rsidRDefault="00835192" w:rsidP="00835192">
            <w:pPr>
              <w:spacing w:after="0" w:line="240" w:lineRule="auto"/>
              <w:jc w:val="left"/>
              <w:rPr>
                <w:sz w:val="20"/>
                <w:szCs w:val="20"/>
              </w:rPr>
            </w:pPr>
            <w:r w:rsidRPr="00FF756A">
              <w:rPr>
                <w:sz w:val="20"/>
                <w:szCs w:val="20"/>
              </w:rPr>
              <w:t>Përmirësimi i monitorimit bujqësor në Shqipëri</w:t>
            </w:r>
          </w:p>
        </w:tc>
        <w:tc>
          <w:tcPr>
            <w:tcW w:w="821" w:type="pct"/>
            <w:vAlign w:val="center"/>
          </w:tcPr>
          <w:p w14:paraId="34F4A737"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28BFABBE"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098122CB" w14:textId="77777777" w:rsidTr="006A3266">
        <w:trPr>
          <w:trHeight w:val="20"/>
        </w:trPr>
        <w:tc>
          <w:tcPr>
            <w:tcW w:w="359" w:type="pct"/>
            <w:vMerge/>
            <w:shd w:val="clear" w:color="auto" w:fill="E2EFD9" w:themeFill="accent6" w:themeFillTint="33"/>
            <w:textDirection w:val="btLr"/>
          </w:tcPr>
          <w:p w14:paraId="2F30276F" w14:textId="77777777" w:rsidR="00835192" w:rsidRPr="00FF756A" w:rsidRDefault="00835192" w:rsidP="00835192">
            <w:pPr>
              <w:ind w:left="113" w:right="113"/>
              <w:rPr>
                <w:b/>
                <w:bCs/>
                <w:sz w:val="20"/>
                <w:szCs w:val="20"/>
              </w:rPr>
            </w:pPr>
          </w:p>
        </w:tc>
        <w:tc>
          <w:tcPr>
            <w:tcW w:w="313" w:type="pct"/>
            <w:vAlign w:val="center"/>
          </w:tcPr>
          <w:p w14:paraId="65659B3F" w14:textId="77777777" w:rsidR="00835192" w:rsidRPr="00FF756A" w:rsidRDefault="00835192" w:rsidP="00835192">
            <w:pPr>
              <w:spacing w:after="0" w:line="240" w:lineRule="auto"/>
              <w:jc w:val="center"/>
              <w:rPr>
                <w:sz w:val="18"/>
                <w:szCs w:val="18"/>
              </w:rPr>
            </w:pPr>
            <w:r w:rsidRPr="00FF756A">
              <w:rPr>
                <w:sz w:val="18"/>
                <w:szCs w:val="18"/>
              </w:rPr>
              <w:t>15</w:t>
            </w:r>
          </w:p>
        </w:tc>
        <w:tc>
          <w:tcPr>
            <w:tcW w:w="448" w:type="pct"/>
            <w:vAlign w:val="center"/>
          </w:tcPr>
          <w:p w14:paraId="0601BC7F" w14:textId="77777777" w:rsidR="00835192" w:rsidRPr="00FF756A" w:rsidRDefault="00835192" w:rsidP="00835192">
            <w:pPr>
              <w:spacing w:after="0" w:line="240" w:lineRule="auto"/>
              <w:jc w:val="left"/>
              <w:rPr>
                <w:sz w:val="20"/>
                <w:szCs w:val="20"/>
              </w:rPr>
            </w:pPr>
            <w:r w:rsidRPr="00FF756A">
              <w:rPr>
                <w:sz w:val="20"/>
                <w:szCs w:val="20"/>
              </w:rPr>
              <w:t>G-A3</w:t>
            </w:r>
          </w:p>
        </w:tc>
        <w:tc>
          <w:tcPr>
            <w:tcW w:w="2463" w:type="pct"/>
            <w:vAlign w:val="center"/>
          </w:tcPr>
          <w:p w14:paraId="0BA90A3D" w14:textId="77777777" w:rsidR="00835192" w:rsidRPr="00FF756A" w:rsidRDefault="00835192" w:rsidP="00835192">
            <w:pPr>
              <w:spacing w:after="0" w:line="240" w:lineRule="auto"/>
              <w:jc w:val="left"/>
              <w:rPr>
                <w:sz w:val="20"/>
                <w:szCs w:val="20"/>
              </w:rPr>
            </w:pPr>
            <w:r w:rsidRPr="00FF756A">
              <w:rPr>
                <w:sz w:val="20"/>
                <w:szCs w:val="20"/>
              </w:rPr>
              <w:t>Rregullimi i praktikave të djegies në bujqësi</w:t>
            </w:r>
          </w:p>
        </w:tc>
        <w:tc>
          <w:tcPr>
            <w:tcW w:w="821" w:type="pct"/>
            <w:vAlign w:val="center"/>
          </w:tcPr>
          <w:p w14:paraId="6EFA7F2E" w14:textId="77777777" w:rsidR="00835192" w:rsidRPr="00FF756A" w:rsidRDefault="00835192" w:rsidP="00835192">
            <w:pPr>
              <w:spacing w:after="0" w:line="240" w:lineRule="auto"/>
              <w:jc w:val="left"/>
              <w:rPr>
                <w:sz w:val="20"/>
                <w:szCs w:val="20"/>
              </w:rPr>
            </w:pPr>
            <w:r w:rsidRPr="00FF756A">
              <w:rPr>
                <w:sz w:val="20"/>
                <w:szCs w:val="20"/>
              </w:rPr>
              <w:t xml:space="preserve">Rregullatore; </w:t>
            </w:r>
          </w:p>
          <w:p w14:paraId="1AEDEA52" w14:textId="77777777" w:rsidR="00835192" w:rsidRPr="00FF756A" w:rsidRDefault="00835192" w:rsidP="00835192">
            <w:pPr>
              <w:spacing w:after="0" w:line="240" w:lineRule="auto"/>
              <w:jc w:val="left"/>
              <w:rPr>
                <w:sz w:val="20"/>
                <w:szCs w:val="20"/>
              </w:rPr>
            </w:pPr>
            <w:r w:rsidRPr="00FF756A">
              <w:rPr>
                <w:sz w:val="20"/>
                <w:szCs w:val="20"/>
              </w:rPr>
              <w:t>Edukative</w:t>
            </w:r>
          </w:p>
        </w:tc>
        <w:tc>
          <w:tcPr>
            <w:tcW w:w="597" w:type="pct"/>
            <w:vAlign w:val="center"/>
          </w:tcPr>
          <w:p w14:paraId="344300C4"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3574A226" w14:textId="77777777" w:rsidTr="006A3266">
        <w:trPr>
          <w:trHeight w:val="20"/>
        </w:trPr>
        <w:tc>
          <w:tcPr>
            <w:tcW w:w="359" w:type="pct"/>
            <w:vMerge/>
            <w:shd w:val="clear" w:color="auto" w:fill="E2EFD9" w:themeFill="accent6" w:themeFillTint="33"/>
            <w:textDirection w:val="btLr"/>
          </w:tcPr>
          <w:p w14:paraId="3A207314" w14:textId="77777777" w:rsidR="00835192" w:rsidRPr="00FF756A" w:rsidRDefault="00835192" w:rsidP="00835192">
            <w:pPr>
              <w:ind w:left="113" w:right="113"/>
              <w:rPr>
                <w:b/>
                <w:bCs/>
                <w:sz w:val="20"/>
                <w:szCs w:val="20"/>
              </w:rPr>
            </w:pPr>
          </w:p>
        </w:tc>
        <w:tc>
          <w:tcPr>
            <w:tcW w:w="313" w:type="pct"/>
            <w:vAlign w:val="center"/>
          </w:tcPr>
          <w:p w14:paraId="09EB9BFD" w14:textId="77777777" w:rsidR="00835192" w:rsidRPr="00FF756A" w:rsidRDefault="00835192" w:rsidP="00835192">
            <w:pPr>
              <w:spacing w:after="0" w:line="240" w:lineRule="auto"/>
              <w:jc w:val="center"/>
              <w:rPr>
                <w:sz w:val="18"/>
                <w:szCs w:val="18"/>
              </w:rPr>
            </w:pPr>
            <w:r w:rsidRPr="00FF756A">
              <w:rPr>
                <w:sz w:val="18"/>
                <w:szCs w:val="18"/>
              </w:rPr>
              <w:t>16</w:t>
            </w:r>
          </w:p>
        </w:tc>
        <w:tc>
          <w:tcPr>
            <w:tcW w:w="448" w:type="pct"/>
            <w:vAlign w:val="center"/>
          </w:tcPr>
          <w:p w14:paraId="2ECBE498" w14:textId="77777777" w:rsidR="00835192" w:rsidRPr="00FF756A" w:rsidRDefault="00835192" w:rsidP="00835192">
            <w:pPr>
              <w:spacing w:after="0" w:line="240" w:lineRule="auto"/>
              <w:jc w:val="left"/>
              <w:rPr>
                <w:sz w:val="20"/>
                <w:szCs w:val="20"/>
              </w:rPr>
            </w:pPr>
            <w:r w:rsidRPr="00FF756A">
              <w:rPr>
                <w:sz w:val="20"/>
                <w:szCs w:val="20"/>
              </w:rPr>
              <w:t>G-W1</w:t>
            </w:r>
          </w:p>
        </w:tc>
        <w:tc>
          <w:tcPr>
            <w:tcW w:w="2463" w:type="pct"/>
            <w:vAlign w:val="center"/>
          </w:tcPr>
          <w:p w14:paraId="5F0D7116" w14:textId="77777777" w:rsidR="00835192" w:rsidRPr="00FF756A" w:rsidRDefault="00835192" w:rsidP="00835192">
            <w:pPr>
              <w:spacing w:after="0" w:line="240" w:lineRule="auto"/>
              <w:jc w:val="left"/>
              <w:rPr>
                <w:sz w:val="20"/>
                <w:szCs w:val="20"/>
              </w:rPr>
            </w:pPr>
            <w:r w:rsidRPr="00FF756A">
              <w:rPr>
                <w:sz w:val="20"/>
                <w:szCs w:val="20"/>
              </w:rPr>
              <w:t>Reduktimi i shkarkimeve nga mbetjet</w:t>
            </w:r>
          </w:p>
        </w:tc>
        <w:tc>
          <w:tcPr>
            <w:tcW w:w="821" w:type="pct"/>
            <w:vAlign w:val="center"/>
          </w:tcPr>
          <w:p w14:paraId="21B838FA" w14:textId="77777777" w:rsidR="00835192" w:rsidRPr="00FF756A" w:rsidRDefault="00835192" w:rsidP="00835192">
            <w:pPr>
              <w:spacing w:after="0" w:line="240" w:lineRule="auto"/>
              <w:jc w:val="left"/>
              <w:rPr>
                <w:sz w:val="20"/>
                <w:szCs w:val="20"/>
              </w:rPr>
            </w:pPr>
            <w:r w:rsidRPr="00FF756A">
              <w:rPr>
                <w:sz w:val="20"/>
                <w:szCs w:val="20"/>
              </w:rPr>
              <w:t>Rregullatore; Financiare</w:t>
            </w:r>
          </w:p>
        </w:tc>
        <w:tc>
          <w:tcPr>
            <w:tcW w:w="597" w:type="pct"/>
            <w:vAlign w:val="center"/>
          </w:tcPr>
          <w:p w14:paraId="336E9C72"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3B8C1DAA" w14:textId="77777777" w:rsidTr="006A3266">
        <w:trPr>
          <w:trHeight w:val="20"/>
        </w:trPr>
        <w:tc>
          <w:tcPr>
            <w:tcW w:w="359" w:type="pct"/>
            <w:vMerge/>
            <w:shd w:val="clear" w:color="auto" w:fill="E2EFD9" w:themeFill="accent6" w:themeFillTint="33"/>
            <w:textDirection w:val="btLr"/>
          </w:tcPr>
          <w:p w14:paraId="567D5263" w14:textId="77777777" w:rsidR="00835192" w:rsidRPr="00FF756A" w:rsidRDefault="00835192" w:rsidP="00835192">
            <w:pPr>
              <w:ind w:left="113" w:right="113"/>
              <w:rPr>
                <w:b/>
                <w:bCs/>
                <w:sz w:val="20"/>
                <w:szCs w:val="20"/>
              </w:rPr>
            </w:pPr>
          </w:p>
        </w:tc>
        <w:tc>
          <w:tcPr>
            <w:tcW w:w="313" w:type="pct"/>
            <w:vAlign w:val="center"/>
          </w:tcPr>
          <w:p w14:paraId="20CE7DDA" w14:textId="77777777" w:rsidR="00835192" w:rsidRPr="00FF756A" w:rsidRDefault="00835192" w:rsidP="00835192">
            <w:pPr>
              <w:spacing w:after="0" w:line="240" w:lineRule="auto"/>
              <w:jc w:val="center"/>
              <w:rPr>
                <w:sz w:val="18"/>
                <w:szCs w:val="18"/>
              </w:rPr>
            </w:pPr>
            <w:r w:rsidRPr="00FF756A">
              <w:rPr>
                <w:sz w:val="18"/>
                <w:szCs w:val="18"/>
              </w:rPr>
              <w:t>17</w:t>
            </w:r>
          </w:p>
        </w:tc>
        <w:tc>
          <w:tcPr>
            <w:tcW w:w="448" w:type="pct"/>
            <w:vAlign w:val="center"/>
          </w:tcPr>
          <w:p w14:paraId="2CBEDE87" w14:textId="77777777" w:rsidR="00835192" w:rsidRPr="00FF756A" w:rsidRDefault="00835192" w:rsidP="00835192">
            <w:pPr>
              <w:spacing w:after="0" w:line="240" w:lineRule="auto"/>
              <w:jc w:val="left"/>
              <w:rPr>
                <w:sz w:val="20"/>
                <w:szCs w:val="20"/>
              </w:rPr>
            </w:pPr>
            <w:r w:rsidRPr="00FF756A">
              <w:rPr>
                <w:sz w:val="20"/>
                <w:szCs w:val="20"/>
              </w:rPr>
              <w:t>G-W2</w:t>
            </w:r>
          </w:p>
        </w:tc>
        <w:tc>
          <w:tcPr>
            <w:tcW w:w="2463" w:type="pct"/>
            <w:vAlign w:val="center"/>
          </w:tcPr>
          <w:p w14:paraId="316B9BB7" w14:textId="77777777" w:rsidR="00835192" w:rsidRPr="00FF756A" w:rsidRDefault="00835192" w:rsidP="00835192">
            <w:pPr>
              <w:spacing w:after="0" w:line="240" w:lineRule="auto"/>
              <w:jc w:val="left"/>
              <w:rPr>
                <w:sz w:val="20"/>
                <w:szCs w:val="20"/>
              </w:rPr>
            </w:pPr>
            <w:r w:rsidRPr="00FF756A">
              <w:rPr>
                <w:sz w:val="20"/>
                <w:szCs w:val="20"/>
              </w:rPr>
              <w:t>Përdorimi i impianteve të incinerimit të mbetjeve për procesin e menaxhimit të integruar të mbetjeve në Shqipëri</w:t>
            </w:r>
          </w:p>
        </w:tc>
        <w:tc>
          <w:tcPr>
            <w:tcW w:w="821" w:type="pct"/>
            <w:vAlign w:val="center"/>
          </w:tcPr>
          <w:p w14:paraId="08417794" w14:textId="77777777" w:rsidR="00835192" w:rsidRPr="00FF756A" w:rsidRDefault="00835192" w:rsidP="00835192">
            <w:pPr>
              <w:spacing w:after="0" w:line="240" w:lineRule="auto"/>
              <w:jc w:val="left"/>
              <w:rPr>
                <w:sz w:val="20"/>
                <w:szCs w:val="20"/>
              </w:rPr>
            </w:pPr>
            <w:r w:rsidRPr="00FF756A">
              <w:rPr>
                <w:sz w:val="20"/>
                <w:szCs w:val="20"/>
              </w:rPr>
              <w:t>Rregullatore; Financiare</w:t>
            </w:r>
          </w:p>
        </w:tc>
        <w:tc>
          <w:tcPr>
            <w:tcW w:w="597" w:type="pct"/>
            <w:vAlign w:val="center"/>
          </w:tcPr>
          <w:p w14:paraId="52950FCD"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3843252E" w14:textId="77777777" w:rsidTr="006A3266">
        <w:trPr>
          <w:trHeight w:val="20"/>
        </w:trPr>
        <w:tc>
          <w:tcPr>
            <w:tcW w:w="359" w:type="pct"/>
            <w:vMerge/>
            <w:shd w:val="clear" w:color="auto" w:fill="E2EFD9" w:themeFill="accent6" w:themeFillTint="33"/>
            <w:textDirection w:val="btLr"/>
          </w:tcPr>
          <w:p w14:paraId="095AD5B5" w14:textId="77777777" w:rsidR="00835192" w:rsidRPr="00FF756A" w:rsidRDefault="00835192" w:rsidP="00835192">
            <w:pPr>
              <w:ind w:left="113" w:right="113"/>
              <w:rPr>
                <w:b/>
                <w:bCs/>
                <w:sz w:val="20"/>
                <w:szCs w:val="20"/>
              </w:rPr>
            </w:pPr>
          </w:p>
        </w:tc>
        <w:tc>
          <w:tcPr>
            <w:tcW w:w="313" w:type="pct"/>
            <w:vAlign w:val="center"/>
          </w:tcPr>
          <w:p w14:paraId="7CC53726" w14:textId="77777777" w:rsidR="00835192" w:rsidRPr="00FF756A" w:rsidRDefault="00835192" w:rsidP="00835192">
            <w:pPr>
              <w:spacing w:after="0" w:line="240" w:lineRule="auto"/>
              <w:jc w:val="center"/>
              <w:rPr>
                <w:sz w:val="18"/>
                <w:szCs w:val="18"/>
              </w:rPr>
            </w:pPr>
            <w:r w:rsidRPr="00FF756A">
              <w:rPr>
                <w:sz w:val="18"/>
                <w:szCs w:val="18"/>
              </w:rPr>
              <w:t>18</w:t>
            </w:r>
          </w:p>
        </w:tc>
        <w:tc>
          <w:tcPr>
            <w:tcW w:w="448" w:type="pct"/>
            <w:vAlign w:val="center"/>
          </w:tcPr>
          <w:p w14:paraId="34E1A810" w14:textId="77777777" w:rsidR="00835192" w:rsidRPr="00FF756A" w:rsidRDefault="00835192" w:rsidP="00835192">
            <w:pPr>
              <w:spacing w:after="0" w:line="240" w:lineRule="auto"/>
              <w:jc w:val="left"/>
              <w:rPr>
                <w:sz w:val="20"/>
                <w:szCs w:val="20"/>
              </w:rPr>
            </w:pPr>
            <w:r w:rsidRPr="00FF756A">
              <w:rPr>
                <w:sz w:val="20"/>
                <w:szCs w:val="20"/>
              </w:rPr>
              <w:t>G-W3</w:t>
            </w:r>
          </w:p>
        </w:tc>
        <w:tc>
          <w:tcPr>
            <w:tcW w:w="2463" w:type="pct"/>
            <w:vAlign w:val="center"/>
          </w:tcPr>
          <w:p w14:paraId="4FF94002" w14:textId="77777777" w:rsidR="00835192" w:rsidRPr="00FF756A" w:rsidRDefault="00835192" w:rsidP="00835192">
            <w:pPr>
              <w:spacing w:after="0" w:line="240" w:lineRule="auto"/>
              <w:jc w:val="left"/>
              <w:rPr>
                <w:sz w:val="20"/>
                <w:szCs w:val="20"/>
              </w:rPr>
            </w:pPr>
            <w:r w:rsidRPr="00FF756A">
              <w:rPr>
                <w:sz w:val="20"/>
                <w:szCs w:val="20"/>
              </w:rPr>
              <w:t>Shtimi i impianteve të trajtimit të ujërave të përdorura dhe mbulimit të tyre përkatës</w:t>
            </w:r>
          </w:p>
        </w:tc>
        <w:tc>
          <w:tcPr>
            <w:tcW w:w="821" w:type="pct"/>
            <w:vAlign w:val="center"/>
          </w:tcPr>
          <w:p w14:paraId="28197088" w14:textId="77777777" w:rsidR="00835192" w:rsidRPr="00FF756A" w:rsidRDefault="00835192" w:rsidP="00835192">
            <w:pPr>
              <w:spacing w:after="0" w:line="240" w:lineRule="auto"/>
              <w:jc w:val="left"/>
              <w:rPr>
                <w:sz w:val="20"/>
                <w:szCs w:val="20"/>
              </w:rPr>
            </w:pPr>
            <w:r w:rsidRPr="00FF756A">
              <w:rPr>
                <w:sz w:val="20"/>
                <w:szCs w:val="20"/>
              </w:rPr>
              <w:t>Rregullatore; Financiare</w:t>
            </w:r>
          </w:p>
        </w:tc>
        <w:tc>
          <w:tcPr>
            <w:tcW w:w="597" w:type="pct"/>
            <w:vAlign w:val="center"/>
          </w:tcPr>
          <w:p w14:paraId="72FEE925"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01456B45" w14:textId="77777777" w:rsidTr="006A3266">
        <w:trPr>
          <w:trHeight w:val="20"/>
        </w:trPr>
        <w:tc>
          <w:tcPr>
            <w:tcW w:w="359" w:type="pct"/>
            <w:vMerge/>
            <w:shd w:val="clear" w:color="auto" w:fill="E2EFD9" w:themeFill="accent6" w:themeFillTint="33"/>
            <w:textDirection w:val="btLr"/>
          </w:tcPr>
          <w:p w14:paraId="02F62F8E" w14:textId="77777777" w:rsidR="00835192" w:rsidRPr="00FF756A" w:rsidRDefault="00835192" w:rsidP="00835192">
            <w:pPr>
              <w:ind w:left="113" w:right="113"/>
              <w:rPr>
                <w:b/>
                <w:bCs/>
                <w:sz w:val="20"/>
                <w:szCs w:val="20"/>
              </w:rPr>
            </w:pPr>
          </w:p>
        </w:tc>
        <w:tc>
          <w:tcPr>
            <w:tcW w:w="313" w:type="pct"/>
            <w:vAlign w:val="center"/>
          </w:tcPr>
          <w:p w14:paraId="398B05E5" w14:textId="77777777" w:rsidR="00835192" w:rsidRPr="00FF756A" w:rsidRDefault="00835192" w:rsidP="00835192">
            <w:pPr>
              <w:spacing w:after="0" w:line="240" w:lineRule="auto"/>
              <w:jc w:val="center"/>
              <w:rPr>
                <w:sz w:val="18"/>
                <w:szCs w:val="18"/>
              </w:rPr>
            </w:pPr>
            <w:r w:rsidRPr="00FF756A">
              <w:rPr>
                <w:sz w:val="18"/>
                <w:szCs w:val="18"/>
              </w:rPr>
              <w:t>19</w:t>
            </w:r>
          </w:p>
        </w:tc>
        <w:tc>
          <w:tcPr>
            <w:tcW w:w="448" w:type="pct"/>
            <w:vAlign w:val="center"/>
          </w:tcPr>
          <w:p w14:paraId="256DFB96" w14:textId="77777777" w:rsidR="00835192" w:rsidRPr="00FF756A" w:rsidRDefault="00835192" w:rsidP="00835192">
            <w:pPr>
              <w:spacing w:after="0" w:line="240" w:lineRule="auto"/>
              <w:jc w:val="left"/>
              <w:rPr>
                <w:sz w:val="20"/>
                <w:szCs w:val="20"/>
              </w:rPr>
            </w:pPr>
            <w:r w:rsidRPr="00FF756A">
              <w:rPr>
                <w:sz w:val="20"/>
                <w:szCs w:val="20"/>
              </w:rPr>
              <w:t>G-W4</w:t>
            </w:r>
          </w:p>
        </w:tc>
        <w:tc>
          <w:tcPr>
            <w:tcW w:w="2463" w:type="pct"/>
            <w:vAlign w:val="center"/>
          </w:tcPr>
          <w:p w14:paraId="0759685C" w14:textId="77777777" w:rsidR="00835192" w:rsidRPr="00FF756A" w:rsidRDefault="00835192" w:rsidP="00835192">
            <w:pPr>
              <w:spacing w:after="0" w:line="240" w:lineRule="auto"/>
              <w:jc w:val="left"/>
              <w:rPr>
                <w:sz w:val="20"/>
                <w:szCs w:val="20"/>
              </w:rPr>
            </w:pPr>
            <w:r w:rsidRPr="00FF756A">
              <w:rPr>
                <w:sz w:val="20"/>
                <w:szCs w:val="20"/>
              </w:rPr>
              <w:t>Ngritja e kapaciteteve dhe zhvillimi organizativ për bashkitë lidhur me trajtimin e mbetjeve dhe ujërave të përdorura</w:t>
            </w:r>
          </w:p>
        </w:tc>
        <w:tc>
          <w:tcPr>
            <w:tcW w:w="821" w:type="pct"/>
            <w:vAlign w:val="center"/>
          </w:tcPr>
          <w:p w14:paraId="0C05541D" w14:textId="77777777" w:rsidR="00835192" w:rsidRPr="00FF756A" w:rsidRDefault="00835192" w:rsidP="00835192">
            <w:pPr>
              <w:spacing w:after="0" w:line="240" w:lineRule="auto"/>
              <w:jc w:val="left"/>
              <w:rPr>
                <w:sz w:val="20"/>
                <w:szCs w:val="20"/>
              </w:rPr>
            </w:pPr>
            <w:r w:rsidRPr="00FF756A">
              <w:rPr>
                <w:sz w:val="20"/>
                <w:szCs w:val="20"/>
              </w:rPr>
              <w:t>Edukative</w:t>
            </w:r>
          </w:p>
        </w:tc>
        <w:tc>
          <w:tcPr>
            <w:tcW w:w="597" w:type="pct"/>
            <w:vAlign w:val="center"/>
          </w:tcPr>
          <w:p w14:paraId="437882F9"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7427EC84" w14:textId="77777777" w:rsidTr="006A3266">
        <w:trPr>
          <w:trHeight w:val="20"/>
        </w:trPr>
        <w:tc>
          <w:tcPr>
            <w:tcW w:w="359" w:type="pct"/>
            <w:vMerge/>
            <w:shd w:val="clear" w:color="auto" w:fill="E2EFD9" w:themeFill="accent6" w:themeFillTint="33"/>
            <w:textDirection w:val="btLr"/>
          </w:tcPr>
          <w:p w14:paraId="5F30DD41" w14:textId="77777777" w:rsidR="00835192" w:rsidRPr="00FF756A" w:rsidRDefault="00835192" w:rsidP="00835192">
            <w:pPr>
              <w:ind w:left="113" w:right="113"/>
              <w:rPr>
                <w:b/>
                <w:bCs/>
                <w:sz w:val="20"/>
                <w:szCs w:val="20"/>
              </w:rPr>
            </w:pPr>
          </w:p>
        </w:tc>
        <w:tc>
          <w:tcPr>
            <w:tcW w:w="313" w:type="pct"/>
            <w:vAlign w:val="center"/>
          </w:tcPr>
          <w:p w14:paraId="70A4E060" w14:textId="77777777" w:rsidR="00835192" w:rsidRPr="00FF756A" w:rsidRDefault="00835192" w:rsidP="00835192">
            <w:pPr>
              <w:spacing w:after="0" w:line="240" w:lineRule="auto"/>
              <w:jc w:val="center"/>
              <w:rPr>
                <w:sz w:val="18"/>
                <w:szCs w:val="18"/>
              </w:rPr>
            </w:pPr>
            <w:r w:rsidRPr="00FF756A">
              <w:rPr>
                <w:sz w:val="18"/>
                <w:szCs w:val="18"/>
              </w:rPr>
              <w:t>20</w:t>
            </w:r>
          </w:p>
        </w:tc>
        <w:tc>
          <w:tcPr>
            <w:tcW w:w="448" w:type="pct"/>
            <w:vAlign w:val="center"/>
          </w:tcPr>
          <w:p w14:paraId="0040BF69" w14:textId="77777777" w:rsidR="00835192" w:rsidRPr="00FF756A" w:rsidRDefault="00835192" w:rsidP="00835192">
            <w:pPr>
              <w:spacing w:after="0" w:line="240" w:lineRule="auto"/>
              <w:jc w:val="left"/>
              <w:rPr>
                <w:sz w:val="20"/>
                <w:szCs w:val="20"/>
              </w:rPr>
            </w:pPr>
            <w:r w:rsidRPr="00FF756A">
              <w:rPr>
                <w:sz w:val="20"/>
                <w:szCs w:val="20"/>
              </w:rPr>
              <w:t>G-LF1</w:t>
            </w:r>
          </w:p>
        </w:tc>
        <w:tc>
          <w:tcPr>
            <w:tcW w:w="2463" w:type="pct"/>
            <w:vAlign w:val="center"/>
          </w:tcPr>
          <w:p w14:paraId="4EFBCE6C" w14:textId="77777777" w:rsidR="00835192" w:rsidRPr="00FF756A" w:rsidRDefault="00835192" w:rsidP="00835192">
            <w:pPr>
              <w:spacing w:after="0" w:line="240" w:lineRule="auto"/>
              <w:jc w:val="left"/>
              <w:rPr>
                <w:sz w:val="20"/>
                <w:szCs w:val="20"/>
              </w:rPr>
            </w:pPr>
            <w:r w:rsidRPr="00FF756A">
              <w:rPr>
                <w:sz w:val="20"/>
                <w:szCs w:val="20"/>
              </w:rPr>
              <w:t>Rritja e kapacitetit natyror të përthithjes së karbonit të pyjeve dhe kullotave</w:t>
            </w:r>
          </w:p>
        </w:tc>
        <w:tc>
          <w:tcPr>
            <w:tcW w:w="821" w:type="pct"/>
            <w:vAlign w:val="center"/>
          </w:tcPr>
          <w:p w14:paraId="2D2AF6AE" w14:textId="77777777" w:rsidR="00835192" w:rsidRPr="00FF756A" w:rsidRDefault="00835192" w:rsidP="00835192">
            <w:pPr>
              <w:spacing w:after="0" w:line="240" w:lineRule="auto"/>
              <w:jc w:val="left"/>
              <w:rPr>
                <w:sz w:val="20"/>
                <w:szCs w:val="20"/>
              </w:rPr>
            </w:pPr>
            <w:r w:rsidRPr="00FF756A">
              <w:rPr>
                <w:sz w:val="20"/>
                <w:szCs w:val="20"/>
              </w:rPr>
              <w:t>Rregullatore; Financiare; Promocionale</w:t>
            </w:r>
          </w:p>
        </w:tc>
        <w:tc>
          <w:tcPr>
            <w:tcW w:w="597" w:type="pct"/>
            <w:vAlign w:val="center"/>
          </w:tcPr>
          <w:p w14:paraId="64463339"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7D18BECB" w14:textId="77777777" w:rsidTr="006A3266">
        <w:trPr>
          <w:trHeight w:val="20"/>
        </w:trPr>
        <w:tc>
          <w:tcPr>
            <w:tcW w:w="359" w:type="pct"/>
            <w:vMerge/>
            <w:shd w:val="clear" w:color="auto" w:fill="E2EFD9" w:themeFill="accent6" w:themeFillTint="33"/>
            <w:textDirection w:val="btLr"/>
          </w:tcPr>
          <w:p w14:paraId="3AA989DA" w14:textId="77777777" w:rsidR="00835192" w:rsidRPr="00FF756A" w:rsidRDefault="00835192" w:rsidP="00835192">
            <w:pPr>
              <w:ind w:left="113" w:right="113"/>
              <w:rPr>
                <w:b/>
                <w:bCs/>
                <w:sz w:val="20"/>
                <w:szCs w:val="20"/>
              </w:rPr>
            </w:pPr>
          </w:p>
        </w:tc>
        <w:tc>
          <w:tcPr>
            <w:tcW w:w="313" w:type="pct"/>
            <w:vAlign w:val="center"/>
          </w:tcPr>
          <w:p w14:paraId="151A3A74" w14:textId="77777777" w:rsidR="00835192" w:rsidRPr="00FF756A" w:rsidRDefault="00835192" w:rsidP="00835192">
            <w:pPr>
              <w:spacing w:after="0" w:line="240" w:lineRule="auto"/>
              <w:jc w:val="center"/>
              <w:rPr>
                <w:sz w:val="18"/>
                <w:szCs w:val="18"/>
              </w:rPr>
            </w:pPr>
            <w:r w:rsidRPr="00FF756A">
              <w:rPr>
                <w:sz w:val="18"/>
                <w:szCs w:val="18"/>
              </w:rPr>
              <w:t>21</w:t>
            </w:r>
          </w:p>
        </w:tc>
        <w:tc>
          <w:tcPr>
            <w:tcW w:w="448" w:type="pct"/>
            <w:vAlign w:val="center"/>
          </w:tcPr>
          <w:p w14:paraId="2A4127D8" w14:textId="77777777" w:rsidR="00835192" w:rsidRPr="00FF756A" w:rsidRDefault="00835192" w:rsidP="00835192">
            <w:pPr>
              <w:spacing w:after="0" w:line="240" w:lineRule="auto"/>
              <w:jc w:val="left"/>
              <w:rPr>
                <w:sz w:val="20"/>
                <w:szCs w:val="20"/>
              </w:rPr>
            </w:pPr>
            <w:r w:rsidRPr="00FF756A">
              <w:rPr>
                <w:sz w:val="20"/>
                <w:szCs w:val="20"/>
              </w:rPr>
              <w:t>G-LF2</w:t>
            </w:r>
          </w:p>
        </w:tc>
        <w:tc>
          <w:tcPr>
            <w:tcW w:w="2463" w:type="pct"/>
            <w:vAlign w:val="center"/>
          </w:tcPr>
          <w:p w14:paraId="20A249AF" w14:textId="77777777" w:rsidR="00835192" w:rsidRPr="00FF756A" w:rsidRDefault="00835192" w:rsidP="00835192">
            <w:pPr>
              <w:spacing w:after="0" w:line="240" w:lineRule="auto"/>
              <w:jc w:val="left"/>
              <w:rPr>
                <w:sz w:val="20"/>
                <w:szCs w:val="20"/>
              </w:rPr>
            </w:pPr>
            <w:r w:rsidRPr="00FF756A">
              <w:rPr>
                <w:sz w:val="20"/>
                <w:szCs w:val="20"/>
              </w:rPr>
              <w:t>Menaxhimi ekologjik i pyjeve</w:t>
            </w:r>
          </w:p>
        </w:tc>
        <w:tc>
          <w:tcPr>
            <w:tcW w:w="821" w:type="pct"/>
            <w:vAlign w:val="center"/>
          </w:tcPr>
          <w:p w14:paraId="0CF18B9B" w14:textId="77777777" w:rsidR="00835192" w:rsidRPr="00FF756A" w:rsidRDefault="00835192" w:rsidP="00835192">
            <w:pPr>
              <w:spacing w:after="0" w:line="240" w:lineRule="auto"/>
              <w:jc w:val="left"/>
              <w:rPr>
                <w:sz w:val="20"/>
                <w:szCs w:val="20"/>
              </w:rPr>
            </w:pPr>
            <w:r w:rsidRPr="00FF756A">
              <w:rPr>
                <w:sz w:val="20"/>
                <w:szCs w:val="20"/>
              </w:rPr>
              <w:t>Rregullatore; Financiare</w:t>
            </w:r>
          </w:p>
        </w:tc>
        <w:tc>
          <w:tcPr>
            <w:tcW w:w="597" w:type="pct"/>
            <w:vAlign w:val="center"/>
          </w:tcPr>
          <w:p w14:paraId="2985624C"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3D375E0C" w14:textId="77777777" w:rsidTr="006A3266">
        <w:trPr>
          <w:trHeight w:val="20"/>
        </w:trPr>
        <w:tc>
          <w:tcPr>
            <w:tcW w:w="359" w:type="pct"/>
            <w:vMerge w:val="restart"/>
            <w:shd w:val="clear" w:color="auto" w:fill="D9E2F3" w:themeFill="accent1" w:themeFillTint="33"/>
            <w:textDirection w:val="btLr"/>
          </w:tcPr>
          <w:p w14:paraId="395C7300" w14:textId="77777777" w:rsidR="00835192" w:rsidRPr="00FF756A" w:rsidRDefault="00835192" w:rsidP="00835192">
            <w:pPr>
              <w:ind w:left="113" w:right="113"/>
              <w:jc w:val="center"/>
              <w:rPr>
                <w:b/>
                <w:bCs/>
                <w:sz w:val="20"/>
                <w:szCs w:val="20"/>
              </w:rPr>
            </w:pPr>
            <w:r w:rsidRPr="00FF756A">
              <w:rPr>
                <w:b/>
                <w:bCs/>
                <w:sz w:val="18"/>
                <w:szCs w:val="18"/>
              </w:rPr>
              <w:t>Energjitë e rinovueshme</w:t>
            </w:r>
          </w:p>
        </w:tc>
        <w:tc>
          <w:tcPr>
            <w:tcW w:w="313" w:type="pct"/>
            <w:shd w:val="clear" w:color="auto" w:fill="FFFFFF" w:themeFill="background1"/>
            <w:vAlign w:val="center"/>
          </w:tcPr>
          <w:p w14:paraId="2AB48737" w14:textId="77777777" w:rsidR="00835192" w:rsidRPr="00FF756A" w:rsidRDefault="00835192" w:rsidP="00835192">
            <w:pPr>
              <w:spacing w:after="0" w:line="240" w:lineRule="auto"/>
              <w:jc w:val="center"/>
              <w:rPr>
                <w:sz w:val="18"/>
                <w:szCs w:val="18"/>
              </w:rPr>
            </w:pPr>
            <w:r w:rsidRPr="00FF756A">
              <w:rPr>
                <w:sz w:val="18"/>
                <w:szCs w:val="18"/>
              </w:rPr>
              <w:t>22</w:t>
            </w:r>
          </w:p>
        </w:tc>
        <w:tc>
          <w:tcPr>
            <w:tcW w:w="448" w:type="pct"/>
            <w:vAlign w:val="center"/>
          </w:tcPr>
          <w:p w14:paraId="6AB41601" w14:textId="77777777" w:rsidR="00835192" w:rsidRPr="00FF756A" w:rsidRDefault="00835192" w:rsidP="00835192">
            <w:pPr>
              <w:spacing w:after="0" w:line="240" w:lineRule="auto"/>
              <w:jc w:val="left"/>
              <w:rPr>
                <w:sz w:val="20"/>
                <w:szCs w:val="20"/>
              </w:rPr>
            </w:pPr>
            <w:r w:rsidRPr="00FF756A">
              <w:rPr>
                <w:sz w:val="20"/>
                <w:szCs w:val="20"/>
              </w:rPr>
              <w:t>R-E1</w:t>
            </w:r>
          </w:p>
        </w:tc>
        <w:tc>
          <w:tcPr>
            <w:tcW w:w="2463" w:type="pct"/>
            <w:vAlign w:val="center"/>
          </w:tcPr>
          <w:p w14:paraId="19BD1A14" w14:textId="77777777" w:rsidR="00835192" w:rsidRPr="00FF756A" w:rsidRDefault="00835192" w:rsidP="00835192">
            <w:pPr>
              <w:spacing w:after="0" w:line="240" w:lineRule="auto"/>
              <w:jc w:val="left"/>
              <w:rPr>
                <w:sz w:val="20"/>
                <w:szCs w:val="20"/>
              </w:rPr>
            </w:pPr>
            <w:r w:rsidRPr="00FF756A">
              <w:rPr>
                <w:sz w:val="20"/>
                <w:szCs w:val="20"/>
              </w:rPr>
              <w:t xml:space="preserve">Mekanizmi i tarifës “feed-in” për kapacitetet e vogla të rinovueshme </w:t>
            </w:r>
          </w:p>
        </w:tc>
        <w:tc>
          <w:tcPr>
            <w:tcW w:w="821" w:type="pct"/>
            <w:vAlign w:val="center"/>
          </w:tcPr>
          <w:p w14:paraId="069E3275" w14:textId="77777777" w:rsidR="00835192" w:rsidRPr="00FF756A" w:rsidRDefault="00835192" w:rsidP="00835192">
            <w:pPr>
              <w:spacing w:after="0" w:line="240" w:lineRule="auto"/>
              <w:jc w:val="left"/>
              <w:rPr>
                <w:sz w:val="20"/>
                <w:szCs w:val="20"/>
              </w:rPr>
            </w:pPr>
            <w:r w:rsidRPr="00FF756A">
              <w:rPr>
                <w:sz w:val="20"/>
                <w:szCs w:val="20"/>
              </w:rPr>
              <w:t>Rregullatore; Financiare</w:t>
            </w:r>
          </w:p>
        </w:tc>
        <w:tc>
          <w:tcPr>
            <w:tcW w:w="597" w:type="pct"/>
            <w:vAlign w:val="center"/>
          </w:tcPr>
          <w:p w14:paraId="7E026706" w14:textId="77777777" w:rsidR="00835192" w:rsidRPr="00FF756A" w:rsidRDefault="00835192" w:rsidP="00835192">
            <w:pPr>
              <w:spacing w:after="0" w:line="240" w:lineRule="auto"/>
              <w:jc w:val="left"/>
              <w:rPr>
                <w:sz w:val="20"/>
                <w:szCs w:val="20"/>
              </w:rPr>
            </w:pPr>
            <w:r w:rsidRPr="00FF756A">
              <w:rPr>
                <w:sz w:val="20"/>
                <w:szCs w:val="20"/>
              </w:rPr>
              <w:t>WEM dhe WAM</w:t>
            </w:r>
          </w:p>
        </w:tc>
      </w:tr>
      <w:tr w:rsidR="00835192" w:rsidRPr="00FF756A" w14:paraId="61F04073" w14:textId="77777777" w:rsidTr="006A3266">
        <w:trPr>
          <w:trHeight w:val="20"/>
        </w:trPr>
        <w:tc>
          <w:tcPr>
            <w:tcW w:w="359" w:type="pct"/>
            <w:vMerge/>
            <w:shd w:val="clear" w:color="auto" w:fill="D9E2F3" w:themeFill="accent1" w:themeFillTint="33"/>
            <w:textDirection w:val="btLr"/>
          </w:tcPr>
          <w:p w14:paraId="101FB86C" w14:textId="77777777" w:rsidR="00835192" w:rsidRPr="00FF756A" w:rsidRDefault="00835192" w:rsidP="00835192">
            <w:pPr>
              <w:ind w:left="113" w:right="113"/>
              <w:rPr>
                <w:b/>
                <w:bCs/>
                <w:sz w:val="20"/>
                <w:szCs w:val="20"/>
              </w:rPr>
            </w:pPr>
          </w:p>
        </w:tc>
        <w:tc>
          <w:tcPr>
            <w:tcW w:w="313" w:type="pct"/>
            <w:vAlign w:val="center"/>
          </w:tcPr>
          <w:p w14:paraId="2BF2B458" w14:textId="77777777" w:rsidR="00835192" w:rsidRPr="00FF756A" w:rsidRDefault="00835192" w:rsidP="00835192">
            <w:pPr>
              <w:spacing w:after="0" w:line="240" w:lineRule="auto"/>
              <w:jc w:val="center"/>
              <w:rPr>
                <w:sz w:val="18"/>
                <w:szCs w:val="18"/>
              </w:rPr>
            </w:pPr>
            <w:r w:rsidRPr="00FF756A">
              <w:rPr>
                <w:sz w:val="18"/>
                <w:szCs w:val="18"/>
              </w:rPr>
              <w:t>23</w:t>
            </w:r>
          </w:p>
        </w:tc>
        <w:tc>
          <w:tcPr>
            <w:tcW w:w="448" w:type="pct"/>
            <w:vAlign w:val="center"/>
          </w:tcPr>
          <w:p w14:paraId="18FD54C9" w14:textId="77777777" w:rsidR="00835192" w:rsidRPr="00FF756A" w:rsidRDefault="00835192" w:rsidP="00835192">
            <w:pPr>
              <w:spacing w:after="0" w:line="240" w:lineRule="auto"/>
              <w:jc w:val="left"/>
              <w:rPr>
                <w:sz w:val="20"/>
                <w:szCs w:val="20"/>
              </w:rPr>
            </w:pPr>
            <w:r w:rsidRPr="00FF756A">
              <w:rPr>
                <w:sz w:val="20"/>
                <w:szCs w:val="20"/>
              </w:rPr>
              <w:t>R-E2</w:t>
            </w:r>
          </w:p>
        </w:tc>
        <w:tc>
          <w:tcPr>
            <w:tcW w:w="2463" w:type="pct"/>
            <w:vAlign w:val="center"/>
          </w:tcPr>
          <w:p w14:paraId="49AA5B11" w14:textId="77777777" w:rsidR="00835192" w:rsidRPr="00FF756A" w:rsidRDefault="00835192" w:rsidP="00835192">
            <w:pPr>
              <w:spacing w:after="0" w:line="240" w:lineRule="auto"/>
              <w:jc w:val="left"/>
              <w:rPr>
                <w:sz w:val="20"/>
                <w:szCs w:val="20"/>
              </w:rPr>
            </w:pPr>
            <w:r w:rsidRPr="00FF756A">
              <w:rPr>
                <w:sz w:val="20"/>
                <w:szCs w:val="20"/>
              </w:rPr>
              <w:t>Ankandet për kapacitetet e reja të energjisë së rinovueshme (eolike dhe diellore) dhe ruajtjen; Miratimi i planit 3-vjeçar të ankandit</w:t>
            </w:r>
          </w:p>
        </w:tc>
        <w:tc>
          <w:tcPr>
            <w:tcW w:w="821" w:type="pct"/>
            <w:vAlign w:val="center"/>
          </w:tcPr>
          <w:p w14:paraId="27746FEC" w14:textId="77777777" w:rsidR="00835192" w:rsidRPr="00FF756A" w:rsidRDefault="00835192" w:rsidP="00835192">
            <w:pPr>
              <w:spacing w:after="0" w:line="240" w:lineRule="auto"/>
              <w:jc w:val="left"/>
              <w:rPr>
                <w:sz w:val="20"/>
                <w:szCs w:val="20"/>
              </w:rPr>
            </w:pPr>
            <w:r w:rsidRPr="00FF756A">
              <w:rPr>
                <w:sz w:val="20"/>
                <w:szCs w:val="20"/>
              </w:rPr>
              <w:t>Rregullatore; Financiare</w:t>
            </w:r>
          </w:p>
        </w:tc>
        <w:tc>
          <w:tcPr>
            <w:tcW w:w="597" w:type="pct"/>
            <w:vAlign w:val="center"/>
          </w:tcPr>
          <w:p w14:paraId="38F674EB" w14:textId="77777777" w:rsidR="00835192" w:rsidRPr="00FF756A" w:rsidRDefault="00835192" w:rsidP="00835192">
            <w:pPr>
              <w:spacing w:after="0" w:line="240" w:lineRule="auto"/>
              <w:jc w:val="left"/>
              <w:rPr>
                <w:sz w:val="20"/>
                <w:szCs w:val="20"/>
              </w:rPr>
            </w:pPr>
            <w:r w:rsidRPr="00FF756A">
              <w:rPr>
                <w:sz w:val="20"/>
                <w:szCs w:val="20"/>
              </w:rPr>
              <w:t>WEM dhe WAM</w:t>
            </w:r>
          </w:p>
        </w:tc>
      </w:tr>
      <w:tr w:rsidR="00835192" w:rsidRPr="00FF756A" w14:paraId="45DDE773" w14:textId="77777777" w:rsidTr="006A3266">
        <w:trPr>
          <w:trHeight w:val="20"/>
        </w:trPr>
        <w:tc>
          <w:tcPr>
            <w:tcW w:w="359" w:type="pct"/>
            <w:vMerge/>
            <w:shd w:val="clear" w:color="auto" w:fill="D9E2F3" w:themeFill="accent1" w:themeFillTint="33"/>
            <w:textDirection w:val="btLr"/>
          </w:tcPr>
          <w:p w14:paraId="58E556E4" w14:textId="77777777" w:rsidR="00835192" w:rsidRPr="00FF756A" w:rsidRDefault="00835192" w:rsidP="00835192">
            <w:pPr>
              <w:ind w:left="113" w:right="113"/>
              <w:rPr>
                <w:b/>
                <w:bCs/>
                <w:sz w:val="20"/>
                <w:szCs w:val="20"/>
              </w:rPr>
            </w:pPr>
          </w:p>
        </w:tc>
        <w:tc>
          <w:tcPr>
            <w:tcW w:w="313" w:type="pct"/>
            <w:vAlign w:val="center"/>
          </w:tcPr>
          <w:p w14:paraId="71433DDE" w14:textId="77777777" w:rsidR="00835192" w:rsidRPr="00FF756A" w:rsidRDefault="00835192" w:rsidP="00835192">
            <w:pPr>
              <w:spacing w:after="0" w:line="240" w:lineRule="auto"/>
              <w:jc w:val="center"/>
              <w:rPr>
                <w:sz w:val="18"/>
                <w:szCs w:val="18"/>
              </w:rPr>
            </w:pPr>
            <w:r w:rsidRPr="00FF756A">
              <w:rPr>
                <w:sz w:val="18"/>
                <w:szCs w:val="18"/>
              </w:rPr>
              <w:t>24</w:t>
            </w:r>
          </w:p>
        </w:tc>
        <w:tc>
          <w:tcPr>
            <w:tcW w:w="448" w:type="pct"/>
            <w:vAlign w:val="center"/>
          </w:tcPr>
          <w:p w14:paraId="3BA97412" w14:textId="77777777" w:rsidR="00835192" w:rsidRPr="00FF756A" w:rsidRDefault="00835192" w:rsidP="00835192">
            <w:pPr>
              <w:spacing w:after="0" w:line="240" w:lineRule="auto"/>
              <w:jc w:val="left"/>
              <w:rPr>
                <w:sz w:val="20"/>
                <w:szCs w:val="20"/>
              </w:rPr>
            </w:pPr>
            <w:r w:rsidRPr="00FF756A">
              <w:rPr>
                <w:sz w:val="20"/>
                <w:szCs w:val="20"/>
              </w:rPr>
              <w:t>R-E3</w:t>
            </w:r>
          </w:p>
        </w:tc>
        <w:tc>
          <w:tcPr>
            <w:tcW w:w="2463" w:type="pct"/>
            <w:vAlign w:val="center"/>
          </w:tcPr>
          <w:p w14:paraId="6ED6AB48" w14:textId="5FF527FA" w:rsidR="00835192" w:rsidRPr="00FF756A" w:rsidRDefault="00835192" w:rsidP="00835192">
            <w:pPr>
              <w:spacing w:after="0" w:line="240" w:lineRule="auto"/>
              <w:jc w:val="left"/>
              <w:rPr>
                <w:sz w:val="20"/>
                <w:szCs w:val="20"/>
              </w:rPr>
            </w:pPr>
            <w:r w:rsidRPr="00FF756A">
              <w:rPr>
                <w:sz w:val="20"/>
                <w:szCs w:val="20"/>
              </w:rPr>
              <w:t>Planifikimi hapësinor për rritjen e përqindjes së energjisë së rinovueshme dhe përmirësimin e efiçencës së energjisë</w:t>
            </w:r>
          </w:p>
        </w:tc>
        <w:tc>
          <w:tcPr>
            <w:tcW w:w="821" w:type="pct"/>
            <w:vAlign w:val="center"/>
          </w:tcPr>
          <w:p w14:paraId="3C75D3B4" w14:textId="77777777" w:rsidR="00835192" w:rsidRPr="00FF756A" w:rsidRDefault="00835192" w:rsidP="00835192">
            <w:pPr>
              <w:spacing w:after="0" w:line="240" w:lineRule="auto"/>
              <w:jc w:val="left"/>
              <w:rPr>
                <w:sz w:val="20"/>
                <w:szCs w:val="20"/>
              </w:rPr>
            </w:pPr>
            <w:r w:rsidRPr="00FF756A">
              <w:rPr>
                <w:sz w:val="20"/>
                <w:szCs w:val="20"/>
              </w:rPr>
              <w:t>Rregullatore; Teknike</w:t>
            </w:r>
          </w:p>
        </w:tc>
        <w:tc>
          <w:tcPr>
            <w:tcW w:w="597" w:type="pct"/>
            <w:vAlign w:val="center"/>
          </w:tcPr>
          <w:p w14:paraId="0F47859F"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77182D00" w14:textId="77777777" w:rsidTr="006A3266">
        <w:trPr>
          <w:trHeight w:val="20"/>
        </w:trPr>
        <w:tc>
          <w:tcPr>
            <w:tcW w:w="359" w:type="pct"/>
            <w:vMerge/>
            <w:shd w:val="clear" w:color="auto" w:fill="D9E2F3" w:themeFill="accent1" w:themeFillTint="33"/>
            <w:textDirection w:val="btLr"/>
          </w:tcPr>
          <w:p w14:paraId="6D04F394" w14:textId="77777777" w:rsidR="00835192" w:rsidRPr="00FF756A" w:rsidRDefault="00835192" w:rsidP="00835192">
            <w:pPr>
              <w:ind w:left="113" w:right="113"/>
              <w:rPr>
                <w:b/>
                <w:bCs/>
                <w:sz w:val="20"/>
                <w:szCs w:val="20"/>
              </w:rPr>
            </w:pPr>
          </w:p>
        </w:tc>
        <w:tc>
          <w:tcPr>
            <w:tcW w:w="313" w:type="pct"/>
            <w:vAlign w:val="center"/>
          </w:tcPr>
          <w:p w14:paraId="72015592" w14:textId="77777777" w:rsidR="00835192" w:rsidRPr="00FF756A" w:rsidRDefault="00835192" w:rsidP="00835192">
            <w:pPr>
              <w:spacing w:after="0" w:line="240" w:lineRule="auto"/>
              <w:jc w:val="center"/>
              <w:rPr>
                <w:sz w:val="18"/>
                <w:szCs w:val="18"/>
              </w:rPr>
            </w:pPr>
            <w:r w:rsidRPr="00FF756A">
              <w:rPr>
                <w:sz w:val="18"/>
                <w:szCs w:val="18"/>
              </w:rPr>
              <w:t>25</w:t>
            </w:r>
          </w:p>
        </w:tc>
        <w:tc>
          <w:tcPr>
            <w:tcW w:w="448" w:type="pct"/>
            <w:vAlign w:val="center"/>
          </w:tcPr>
          <w:p w14:paraId="383CB5F4" w14:textId="77777777" w:rsidR="00835192" w:rsidRPr="00FF756A" w:rsidRDefault="00835192" w:rsidP="00835192">
            <w:pPr>
              <w:spacing w:after="0" w:line="240" w:lineRule="auto"/>
              <w:jc w:val="left"/>
              <w:rPr>
                <w:sz w:val="20"/>
                <w:szCs w:val="20"/>
              </w:rPr>
            </w:pPr>
            <w:r w:rsidRPr="00FF756A">
              <w:rPr>
                <w:sz w:val="20"/>
                <w:szCs w:val="20"/>
              </w:rPr>
              <w:t>R-E4</w:t>
            </w:r>
          </w:p>
        </w:tc>
        <w:tc>
          <w:tcPr>
            <w:tcW w:w="2463" w:type="pct"/>
            <w:vAlign w:val="center"/>
          </w:tcPr>
          <w:p w14:paraId="0C1D2B7C" w14:textId="77777777" w:rsidR="00835192" w:rsidRPr="00FF756A" w:rsidRDefault="00835192" w:rsidP="00835192">
            <w:pPr>
              <w:spacing w:after="0" w:line="240" w:lineRule="auto"/>
              <w:jc w:val="left"/>
              <w:rPr>
                <w:sz w:val="20"/>
                <w:szCs w:val="20"/>
              </w:rPr>
            </w:pPr>
            <w:r w:rsidRPr="00FF756A">
              <w:rPr>
                <w:sz w:val="20"/>
                <w:szCs w:val="20"/>
              </w:rPr>
              <w:t>Mekanizmi i matjes së energjisë neto për instalimet deri në 500 kW</w:t>
            </w:r>
          </w:p>
        </w:tc>
        <w:tc>
          <w:tcPr>
            <w:tcW w:w="821" w:type="pct"/>
            <w:vAlign w:val="center"/>
          </w:tcPr>
          <w:p w14:paraId="5619DF5B"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399A7F73"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11EEFB90" w14:textId="77777777" w:rsidTr="006A3266">
        <w:trPr>
          <w:trHeight w:val="20"/>
        </w:trPr>
        <w:tc>
          <w:tcPr>
            <w:tcW w:w="359" w:type="pct"/>
            <w:vMerge/>
            <w:shd w:val="clear" w:color="auto" w:fill="D9E2F3" w:themeFill="accent1" w:themeFillTint="33"/>
            <w:textDirection w:val="btLr"/>
          </w:tcPr>
          <w:p w14:paraId="75834B1D" w14:textId="77777777" w:rsidR="00835192" w:rsidRPr="00FF756A" w:rsidRDefault="00835192" w:rsidP="00835192">
            <w:pPr>
              <w:ind w:left="113" w:right="113"/>
              <w:rPr>
                <w:b/>
                <w:bCs/>
                <w:sz w:val="20"/>
                <w:szCs w:val="20"/>
              </w:rPr>
            </w:pPr>
          </w:p>
        </w:tc>
        <w:tc>
          <w:tcPr>
            <w:tcW w:w="313" w:type="pct"/>
            <w:vAlign w:val="center"/>
          </w:tcPr>
          <w:p w14:paraId="48E589F3" w14:textId="77777777" w:rsidR="00835192" w:rsidRPr="00FF756A" w:rsidRDefault="00835192" w:rsidP="00835192">
            <w:pPr>
              <w:spacing w:after="0" w:line="240" w:lineRule="auto"/>
              <w:jc w:val="center"/>
              <w:rPr>
                <w:sz w:val="18"/>
                <w:szCs w:val="18"/>
              </w:rPr>
            </w:pPr>
            <w:r w:rsidRPr="00FF756A">
              <w:rPr>
                <w:sz w:val="18"/>
                <w:szCs w:val="18"/>
              </w:rPr>
              <w:t>26</w:t>
            </w:r>
          </w:p>
        </w:tc>
        <w:tc>
          <w:tcPr>
            <w:tcW w:w="448" w:type="pct"/>
            <w:vAlign w:val="center"/>
          </w:tcPr>
          <w:p w14:paraId="28EA1734" w14:textId="77777777" w:rsidR="00835192" w:rsidRPr="00FF756A" w:rsidRDefault="00835192" w:rsidP="00835192">
            <w:pPr>
              <w:spacing w:after="0" w:line="240" w:lineRule="auto"/>
              <w:jc w:val="left"/>
              <w:rPr>
                <w:sz w:val="20"/>
                <w:szCs w:val="20"/>
              </w:rPr>
            </w:pPr>
            <w:r w:rsidRPr="00FF756A">
              <w:rPr>
                <w:sz w:val="20"/>
                <w:szCs w:val="20"/>
              </w:rPr>
              <w:t>R-E5</w:t>
            </w:r>
          </w:p>
        </w:tc>
        <w:tc>
          <w:tcPr>
            <w:tcW w:w="2463" w:type="pct"/>
            <w:vAlign w:val="center"/>
          </w:tcPr>
          <w:p w14:paraId="3788FD42" w14:textId="4E444660" w:rsidR="00835192" w:rsidRPr="00FF756A" w:rsidRDefault="00835192" w:rsidP="00835192">
            <w:pPr>
              <w:spacing w:after="0" w:line="240" w:lineRule="auto"/>
              <w:jc w:val="left"/>
              <w:rPr>
                <w:sz w:val="20"/>
                <w:szCs w:val="20"/>
              </w:rPr>
            </w:pPr>
            <w:r w:rsidRPr="00FF756A">
              <w:rPr>
                <w:sz w:val="20"/>
                <w:szCs w:val="20"/>
              </w:rPr>
              <w:t>Rrjet elektrik i fuqishëm për të përballuar rritjen e kapacitetit të energjisë së rinovueshme, investime</w:t>
            </w:r>
            <w:r w:rsidR="004B5D3B" w:rsidRPr="00FF756A">
              <w:rPr>
                <w:sz w:val="20"/>
                <w:szCs w:val="20"/>
              </w:rPr>
              <w:t>t</w:t>
            </w:r>
            <w:r w:rsidRPr="00FF756A">
              <w:rPr>
                <w:sz w:val="20"/>
                <w:szCs w:val="20"/>
              </w:rPr>
              <w:t xml:space="preserve"> në kapacitetin e energjisë së rinovueshme në tregun e lirë</w:t>
            </w:r>
          </w:p>
        </w:tc>
        <w:tc>
          <w:tcPr>
            <w:tcW w:w="821" w:type="pct"/>
            <w:vAlign w:val="center"/>
          </w:tcPr>
          <w:p w14:paraId="1D689EE0" w14:textId="77777777" w:rsidR="00835192" w:rsidRPr="00FF756A" w:rsidRDefault="00835192" w:rsidP="00835192">
            <w:pPr>
              <w:spacing w:after="0" w:line="240" w:lineRule="auto"/>
              <w:jc w:val="left"/>
              <w:rPr>
                <w:sz w:val="20"/>
                <w:szCs w:val="20"/>
              </w:rPr>
            </w:pPr>
            <w:r w:rsidRPr="00FF756A">
              <w:rPr>
                <w:sz w:val="20"/>
                <w:szCs w:val="20"/>
              </w:rPr>
              <w:t>Financiare</w:t>
            </w:r>
          </w:p>
        </w:tc>
        <w:tc>
          <w:tcPr>
            <w:tcW w:w="597" w:type="pct"/>
            <w:vAlign w:val="center"/>
          </w:tcPr>
          <w:p w14:paraId="51A3BF4E"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24FC3656" w14:textId="77777777" w:rsidTr="006A3266">
        <w:trPr>
          <w:trHeight w:val="20"/>
        </w:trPr>
        <w:tc>
          <w:tcPr>
            <w:tcW w:w="359" w:type="pct"/>
            <w:vMerge/>
            <w:shd w:val="clear" w:color="auto" w:fill="D9E2F3" w:themeFill="accent1" w:themeFillTint="33"/>
            <w:textDirection w:val="btLr"/>
          </w:tcPr>
          <w:p w14:paraId="18359031" w14:textId="77777777" w:rsidR="00835192" w:rsidRPr="00FF756A" w:rsidRDefault="00835192" w:rsidP="00835192">
            <w:pPr>
              <w:ind w:left="113" w:right="113"/>
              <w:rPr>
                <w:b/>
                <w:bCs/>
                <w:sz w:val="20"/>
                <w:szCs w:val="20"/>
              </w:rPr>
            </w:pPr>
          </w:p>
        </w:tc>
        <w:tc>
          <w:tcPr>
            <w:tcW w:w="313" w:type="pct"/>
            <w:vAlign w:val="center"/>
          </w:tcPr>
          <w:p w14:paraId="59E96936" w14:textId="77777777" w:rsidR="00835192" w:rsidRPr="00FF756A" w:rsidRDefault="00835192" w:rsidP="00835192">
            <w:pPr>
              <w:spacing w:after="0" w:line="240" w:lineRule="auto"/>
              <w:jc w:val="center"/>
              <w:rPr>
                <w:sz w:val="18"/>
                <w:szCs w:val="18"/>
              </w:rPr>
            </w:pPr>
            <w:r w:rsidRPr="00FF756A">
              <w:rPr>
                <w:sz w:val="18"/>
                <w:szCs w:val="18"/>
              </w:rPr>
              <w:t>27</w:t>
            </w:r>
          </w:p>
        </w:tc>
        <w:tc>
          <w:tcPr>
            <w:tcW w:w="448" w:type="pct"/>
            <w:vAlign w:val="center"/>
          </w:tcPr>
          <w:p w14:paraId="6A762C68" w14:textId="77777777" w:rsidR="00835192" w:rsidRPr="00FF756A" w:rsidRDefault="00835192" w:rsidP="00835192">
            <w:pPr>
              <w:spacing w:after="0" w:line="240" w:lineRule="auto"/>
              <w:jc w:val="left"/>
              <w:rPr>
                <w:sz w:val="20"/>
                <w:szCs w:val="20"/>
              </w:rPr>
            </w:pPr>
            <w:r w:rsidRPr="00FF756A">
              <w:rPr>
                <w:sz w:val="20"/>
                <w:szCs w:val="20"/>
              </w:rPr>
              <w:t>R-E6</w:t>
            </w:r>
          </w:p>
        </w:tc>
        <w:tc>
          <w:tcPr>
            <w:tcW w:w="2463" w:type="pct"/>
            <w:vAlign w:val="center"/>
          </w:tcPr>
          <w:p w14:paraId="52929248" w14:textId="77777777" w:rsidR="00835192" w:rsidRPr="00FF756A" w:rsidRDefault="00835192" w:rsidP="00835192">
            <w:pPr>
              <w:spacing w:after="0" w:line="240" w:lineRule="auto"/>
              <w:jc w:val="left"/>
              <w:rPr>
                <w:sz w:val="20"/>
                <w:szCs w:val="20"/>
              </w:rPr>
            </w:pPr>
            <w:r w:rsidRPr="00FF756A">
              <w:rPr>
                <w:sz w:val="20"/>
                <w:szCs w:val="20"/>
              </w:rPr>
              <w:t>Lehtësimi i lidhjes rregullatore dhe fizike me rrjetin elektrik</w:t>
            </w:r>
          </w:p>
        </w:tc>
        <w:tc>
          <w:tcPr>
            <w:tcW w:w="821" w:type="pct"/>
            <w:vAlign w:val="center"/>
          </w:tcPr>
          <w:p w14:paraId="5C02C1B3"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70CDDF4B"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570271F5" w14:textId="77777777" w:rsidTr="006A3266">
        <w:trPr>
          <w:trHeight w:val="20"/>
        </w:trPr>
        <w:tc>
          <w:tcPr>
            <w:tcW w:w="359" w:type="pct"/>
            <w:vMerge/>
            <w:shd w:val="clear" w:color="auto" w:fill="D9E2F3" w:themeFill="accent1" w:themeFillTint="33"/>
            <w:textDirection w:val="btLr"/>
          </w:tcPr>
          <w:p w14:paraId="7ABD3EE8" w14:textId="77777777" w:rsidR="00835192" w:rsidRPr="00FF756A" w:rsidRDefault="00835192" w:rsidP="00835192">
            <w:pPr>
              <w:ind w:left="113" w:right="113"/>
              <w:rPr>
                <w:b/>
                <w:bCs/>
                <w:sz w:val="20"/>
                <w:szCs w:val="20"/>
              </w:rPr>
            </w:pPr>
          </w:p>
        </w:tc>
        <w:tc>
          <w:tcPr>
            <w:tcW w:w="313" w:type="pct"/>
            <w:vAlign w:val="center"/>
          </w:tcPr>
          <w:p w14:paraId="492336ED" w14:textId="77777777" w:rsidR="00835192" w:rsidRPr="00FF756A" w:rsidRDefault="00835192" w:rsidP="00835192">
            <w:pPr>
              <w:spacing w:after="0" w:line="240" w:lineRule="auto"/>
              <w:jc w:val="center"/>
              <w:rPr>
                <w:sz w:val="18"/>
                <w:szCs w:val="18"/>
              </w:rPr>
            </w:pPr>
            <w:r w:rsidRPr="00FF756A">
              <w:rPr>
                <w:sz w:val="18"/>
                <w:szCs w:val="18"/>
              </w:rPr>
              <w:t>28</w:t>
            </w:r>
          </w:p>
        </w:tc>
        <w:tc>
          <w:tcPr>
            <w:tcW w:w="448" w:type="pct"/>
            <w:vAlign w:val="center"/>
          </w:tcPr>
          <w:p w14:paraId="66FF0A9F" w14:textId="77777777" w:rsidR="00835192" w:rsidRPr="00FF756A" w:rsidRDefault="00835192" w:rsidP="00835192">
            <w:pPr>
              <w:spacing w:after="0" w:line="240" w:lineRule="auto"/>
              <w:jc w:val="left"/>
              <w:rPr>
                <w:sz w:val="20"/>
                <w:szCs w:val="20"/>
              </w:rPr>
            </w:pPr>
            <w:r w:rsidRPr="00FF756A">
              <w:rPr>
                <w:sz w:val="20"/>
                <w:szCs w:val="20"/>
              </w:rPr>
              <w:t>R-E7</w:t>
            </w:r>
          </w:p>
        </w:tc>
        <w:tc>
          <w:tcPr>
            <w:tcW w:w="2463" w:type="pct"/>
            <w:vAlign w:val="center"/>
          </w:tcPr>
          <w:p w14:paraId="61475E82" w14:textId="67791BAE" w:rsidR="00835192" w:rsidRPr="00FF756A" w:rsidRDefault="00835192" w:rsidP="00835192">
            <w:pPr>
              <w:spacing w:after="0" w:line="240" w:lineRule="auto"/>
              <w:jc w:val="left"/>
              <w:rPr>
                <w:sz w:val="20"/>
                <w:szCs w:val="20"/>
              </w:rPr>
            </w:pPr>
            <w:r w:rsidRPr="00FF756A">
              <w:rPr>
                <w:sz w:val="20"/>
                <w:szCs w:val="20"/>
              </w:rPr>
              <w:t>Menaxhimi i</w:t>
            </w:r>
            <w:r w:rsidR="00C36544" w:rsidRPr="00FF756A">
              <w:rPr>
                <w:sz w:val="20"/>
                <w:szCs w:val="20"/>
              </w:rPr>
              <w:t xml:space="preserve"> </w:t>
            </w:r>
            <w:r w:rsidRPr="00FF756A">
              <w:rPr>
                <w:sz w:val="20"/>
                <w:szCs w:val="20"/>
              </w:rPr>
              <w:t>kërkesës dhe sistemet e rezervave të energjisë elektrike për fleksibilite</w:t>
            </w:r>
            <w:r w:rsidR="000E312B" w:rsidRPr="00FF756A">
              <w:rPr>
                <w:sz w:val="20"/>
                <w:szCs w:val="20"/>
              </w:rPr>
              <w:t xml:space="preserve">t </w:t>
            </w:r>
            <w:r w:rsidRPr="00FF756A">
              <w:rPr>
                <w:sz w:val="20"/>
                <w:szCs w:val="20"/>
              </w:rPr>
              <w:t>të rrjetit elektrik</w:t>
            </w:r>
          </w:p>
        </w:tc>
        <w:tc>
          <w:tcPr>
            <w:tcW w:w="821" w:type="pct"/>
            <w:vAlign w:val="center"/>
          </w:tcPr>
          <w:p w14:paraId="0A019EE3"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7B390F07"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40E10F61" w14:textId="77777777" w:rsidTr="006A3266">
        <w:trPr>
          <w:trHeight w:val="20"/>
        </w:trPr>
        <w:tc>
          <w:tcPr>
            <w:tcW w:w="359" w:type="pct"/>
            <w:vMerge/>
            <w:shd w:val="clear" w:color="auto" w:fill="D9E2F3" w:themeFill="accent1" w:themeFillTint="33"/>
            <w:textDirection w:val="btLr"/>
          </w:tcPr>
          <w:p w14:paraId="13DAABEF" w14:textId="77777777" w:rsidR="00835192" w:rsidRPr="00FF756A" w:rsidRDefault="00835192" w:rsidP="00835192">
            <w:pPr>
              <w:ind w:left="113" w:right="113"/>
              <w:rPr>
                <w:b/>
                <w:bCs/>
                <w:sz w:val="20"/>
                <w:szCs w:val="20"/>
              </w:rPr>
            </w:pPr>
          </w:p>
        </w:tc>
        <w:tc>
          <w:tcPr>
            <w:tcW w:w="313" w:type="pct"/>
            <w:vAlign w:val="center"/>
          </w:tcPr>
          <w:p w14:paraId="4702A0D4" w14:textId="77777777" w:rsidR="00835192" w:rsidRPr="00FF756A" w:rsidRDefault="00835192" w:rsidP="00835192">
            <w:pPr>
              <w:spacing w:after="0" w:line="240" w:lineRule="auto"/>
              <w:jc w:val="center"/>
              <w:rPr>
                <w:sz w:val="18"/>
                <w:szCs w:val="18"/>
              </w:rPr>
            </w:pPr>
            <w:r w:rsidRPr="00FF756A">
              <w:rPr>
                <w:sz w:val="18"/>
                <w:szCs w:val="18"/>
              </w:rPr>
              <w:t>29</w:t>
            </w:r>
          </w:p>
        </w:tc>
        <w:tc>
          <w:tcPr>
            <w:tcW w:w="448" w:type="pct"/>
            <w:vAlign w:val="center"/>
          </w:tcPr>
          <w:p w14:paraId="4AE0B6E9" w14:textId="77777777" w:rsidR="00835192" w:rsidRPr="00FF756A" w:rsidRDefault="00835192" w:rsidP="00835192">
            <w:pPr>
              <w:spacing w:after="0" w:line="240" w:lineRule="auto"/>
              <w:jc w:val="left"/>
              <w:rPr>
                <w:sz w:val="20"/>
                <w:szCs w:val="20"/>
              </w:rPr>
            </w:pPr>
            <w:r w:rsidRPr="00FF756A">
              <w:rPr>
                <w:sz w:val="20"/>
                <w:szCs w:val="20"/>
              </w:rPr>
              <w:t>R-E8</w:t>
            </w:r>
          </w:p>
        </w:tc>
        <w:tc>
          <w:tcPr>
            <w:tcW w:w="2463" w:type="pct"/>
            <w:vAlign w:val="center"/>
          </w:tcPr>
          <w:p w14:paraId="29D5F6F1" w14:textId="77777777" w:rsidR="00835192" w:rsidRPr="00FF756A" w:rsidRDefault="00835192" w:rsidP="00835192">
            <w:pPr>
              <w:spacing w:after="0" w:line="240" w:lineRule="auto"/>
              <w:jc w:val="left"/>
              <w:rPr>
                <w:sz w:val="20"/>
                <w:szCs w:val="20"/>
              </w:rPr>
            </w:pPr>
            <w:r w:rsidRPr="00FF756A">
              <w:rPr>
                <w:sz w:val="20"/>
                <w:szCs w:val="20"/>
              </w:rPr>
              <w:t>Strategjia e matjes dhe dixhitalizimi i sektorit të energjisë</w:t>
            </w:r>
          </w:p>
        </w:tc>
        <w:tc>
          <w:tcPr>
            <w:tcW w:w="821" w:type="pct"/>
            <w:vAlign w:val="center"/>
          </w:tcPr>
          <w:p w14:paraId="106F3D6A"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1693D863"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778EDAC1" w14:textId="77777777" w:rsidTr="006A3266">
        <w:trPr>
          <w:trHeight w:val="20"/>
        </w:trPr>
        <w:tc>
          <w:tcPr>
            <w:tcW w:w="359" w:type="pct"/>
            <w:vMerge/>
            <w:shd w:val="clear" w:color="auto" w:fill="D9E2F3" w:themeFill="accent1" w:themeFillTint="33"/>
            <w:textDirection w:val="btLr"/>
          </w:tcPr>
          <w:p w14:paraId="1517C5AC" w14:textId="77777777" w:rsidR="00835192" w:rsidRPr="00FF756A" w:rsidRDefault="00835192" w:rsidP="00835192">
            <w:pPr>
              <w:ind w:left="113" w:right="113"/>
              <w:rPr>
                <w:b/>
                <w:bCs/>
                <w:sz w:val="20"/>
                <w:szCs w:val="20"/>
              </w:rPr>
            </w:pPr>
          </w:p>
        </w:tc>
        <w:tc>
          <w:tcPr>
            <w:tcW w:w="313" w:type="pct"/>
            <w:vAlign w:val="center"/>
          </w:tcPr>
          <w:p w14:paraId="4C070B42" w14:textId="77777777" w:rsidR="00835192" w:rsidRPr="00FF756A" w:rsidRDefault="00835192" w:rsidP="00835192">
            <w:pPr>
              <w:spacing w:after="0" w:line="240" w:lineRule="auto"/>
              <w:jc w:val="center"/>
              <w:rPr>
                <w:sz w:val="18"/>
                <w:szCs w:val="18"/>
              </w:rPr>
            </w:pPr>
            <w:r w:rsidRPr="00FF756A">
              <w:rPr>
                <w:sz w:val="18"/>
                <w:szCs w:val="18"/>
              </w:rPr>
              <w:t>30</w:t>
            </w:r>
          </w:p>
        </w:tc>
        <w:tc>
          <w:tcPr>
            <w:tcW w:w="448" w:type="pct"/>
            <w:vAlign w:val="center"/>
          </w:tcPr>
          <w:p w14:paraId="4547D086" w14:textId="77777777" w:rsidR="00835192" w:rsidRPr="00FF756A" w:rsidRDefault="00835192" w:rsidP="00835192">
            <w:pPr>
              <w:spacing w:after="0" w:line="240" w:lineRule="auto"/>
              <w:jc w:val="left"/>
              <w:rPr>
                <w:sz w:val="20"/>
                <w:szCs w:val="20"/>
              </w:rPr>
            </w:pPr>
            <w:r w:rsidRPr="00FF756A">
              <w:rPr>
                <w:sz w:val="20"/>
                <w:szCs w:val="20"/>
              </w:rPr>
              <w:t>R-E9</w:t>
            </w:r>
          </w:p>
        </w:tc>
        <w:tc>
          <w:tcPr>
            <w:tcW w:w="2463" w:type="pct"/>
            <w:vAlign w:val="center"/>
          </w:tcPr>
          <w:p w14:paraId="6F176D95" w14:textId="2C27C1E5" w:rsidR="00835192" w:rsidRPr="00FF756A" w:rsidRDefault="00835192" w:rsidP="00835192">
            <w:pPr>
              <w:spacing w:after="0" w:line="240" w:lineRule="auto"/>
              <w:jc w:val="left"/>
              <w:rPr>
                <w:sz w:val="20"/>
                <w:szCs w:val="20"/>
              </w:rPr>
            </w:pPr>
            <w:r w:rsidRPr="00FF756A">
              <w:rPr>
                <w:sz w:val="20"/>
                <w:szCs w:val="20"/>
              </w:rPr>
              <w:t xml:space="preserve">Mbështetja e </w:t>
            </w:r>
            <w:r w:rsidR="00DA4B5D" w:rsidRPr="00FF756A">
              <w:rPr>
                <w:sz w:val="20"/>
                <w:szCs w:val="20"/>
              </w:rPr>
              <w:t>krijimit</w:t>
            </w:r>
            <w:r w:rsidRPr="00FF756A">
              <w:rPr>
                <w:sz w:val="20"/>
                <w:szCs w:val="20"/>
              </w:rPr>
              <w:t xml:space="preserve"> të komuniteteve të energjisë së rinovueshme </w:t>
            </w:r>
          </w:p>
          <w:p w14:paraId="70D3E337" w14:textId="77777777" w:rsidR="00835192" w:rsidRPr="00FF756A" w:rsidRDefault="00835192" w:rsidP="00835192">
            <w:pPr>
              <w:spacing w:after="0" w:line="240" w:lineRule="auto"/>
              <w:jc w:val="left"/>
              <w:rPr>
                <w:sz w:val="20"/>
                <w:szCs w:val="20"/>
              </w:rPr>
            </w:pPr>
          </w:p>
        </w:tc>
        <w:tc>
          <w:tcPr>
            <w:tcW w:w="821" w:type="pct"/>
            <w:vAlign w:val="center"/>
          </w:tcPr>
          <w:p w14:paraId="0BC09903" w14:textId="77777777" w:rsidR="00835192" w:rsidRPr="00FF756A" w:rsidRDefault="00835192" w:rsidP="00835192">
            <w:pPr>
              <w:spacing w:after="0" w:line="240" w:lineRule="auto"/>
              <w:jc w:val="left"/>
              <w:rPr>
                <w:sz w:val="20"/>
                <w:szCs w:val="20"/>
              </w:rPr>
            </w:pPr>
            <w:r w:rsidRPr="00FF756A">
              <w:rPr>
                <w:sz w:val="20"/>
                <w:szCs w:val="20"/>
              </w:rPr>
              <w:t>Rregullatore; Organizative; Promocionale</w:t>
            </w:r>
          </w:p>
        </w:tc>
        <w:tc>
          <w:tcPr>
            <w:tcW w:w="597" w:type="pct"/>
            <w:vAlign w:val="center"/>
          </w:tcPr>
          <w:p w14:paraId="76BACE72"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26280AE3" w14:textId="77777777" w:rsidTr="006A3266">
        <w:trPr>
          <w:trHeight w:val="20"/>
        </w:trPr>
        <w:tc>
          <w:tcPr>
            <w:tcW w:w="359" w:type="pct"/>
            <w:vMerge/>
            <w:shd w:val="clear" w:color="auto" w:fill="D9E2F3" w:themeFill="accent1" w:themeFillTint="33"/>
            <w:textDirection w:val="btLr"/>
          </w:tcPr>
          <w:p w14:paraId="3E6B1B52" w14:textId="77777777" w:rsidR="00835192" w:rsidRPr="00FF756A" w:rsidRDefault="00835192" w:rsidP="00835192">
            <w:pPr>
              <w:ind w:left="113" w:right="113"/>
              <w:rPr>
                <w:b/>
                <w:bCs/>
                <w:sz w:val="20"/>
                <w:szCs w:val="20"/>
              </w:rPr>
            </w:pPr>
          </w:p>
        </w:tc>
        <w:tc>
          <w:tcPr>
            <w:tcW w:w="313" w:type="pct"/>
            <w:vAlign w:val="center"/>
          </w:tcPr>
          <w:p w14:paraId="2E03E059" w14:textId="77777777" w:rsidR="00835192" w:rsidRPr="00FF756A" w:rsidRDefault="00835192" w:rsidP="00835192">
            <w:pPr>
              <w:spacing w:after="0" w:line="240" w:lineRule="auto"/>
              <w:jc w:val="center"/>
              <w:rPr>
                <w:sz w:val="18"/>
                <w:szCs w:val="18"/>
              </w:rPr>
            </w:pPr>
            <w:r w:rsidRPr="00FF756A">
              <w:rPr>
                <w:sz w:val="18"/>
                <w:szCs w:val="18"/>
              </w:rPr>
              <w:t>31</w:t>
            </w:r>
          </w:p>
        </w:tc>
        <w:tc>
          <w:tcPr>
            <w:tcW w:w="448" w:type="pct"/>
            <w:vAlign w:val="center"/>
          </w:tcPr>
          <w:p w14:paraId="65C27BB7" w14:textId="77777777" w:rsidR="00835192" w:rsidRPr="00FF756A" w:rsidRDefault="00835192" w:rsidP="00835192">
            <w:pPr>
              <w:spacing w:after="0" w:line="240" w:lineRule="auto"/>
              <w:jc w:val="left"/>
              <w:rPr>
                <w:sz w:val="20"/>
                <w:szCs w:val="20"/>
              </w:rPr>
            </w:pPr>
            <w:r w:rsidRPr="00FF756A">
              <w:rPr>
                <w:sz w:val="20"/>
                <w:szCs w:val="20"/>
              </w:rPr>
              <w:t>R-E10</w:t>
            </w:r>
          </w:p>
        </w:tc>
        <w:tc>
          <w:tcPr>
            <w:tcW w:w="2463" w:type="pct"/>
            <w:vAlign w:val="center"/>
          </w:tcPr>
          <w:p w14:paraId="7110FCF6" w14:textId="77777777" w:rsidR="00835192" w:rsidRPr="00FF756A" w:rsidRDefault="00835192" w:rsidP="00835192">
            <w:pPr>
              <w:spacing w:after="0" w:line="240" w:lineRule="auto"/>
              <w:jc w:val="left"/>
              <w:rPr>
                <w:sz w:val="20"/>
                <w:szCs w:val="20"/>
              </w:rPr>
            </w:pPr>
            <w:r w:rsidRPr="00FF756A">
              <w:rPr>
                <w:sz w:val="20"/>
                <w:szCs w:val="20"/>
              </w:rPr>
              <w:t>Pjesëmarrja në një sistem rajonal për garancinë e origjinës (GO)</w:t>
            </w:r>
          </w:p>
        </w:tc>
        <w:tc>
          <w:tcPr>
            <w:tcW w:w="821" w:type="pct"/>
            <w:vAlign w:val="center"/>
          </w:tcPr>
          <w:p w14:paraId="33C54F45" w14:textId="77777777" w:rsidR="00835192" w:rsidRPr="00FF756A" w:rsidRDefault="00835192" w:rsidP="00835192">
            <w:pPr>
              <w:spacing w:after="0" w:line="240" w:lineRule="auto"/>
              <w:jc w:val="left"/>
              <w:rPr>
                <w:sz w:val="20"/>
                <w:szCs w:val="20"/>
              </w:rPr>
            </w:pPr>
            <w:r w:rsidRPr="00FF756A">
              <w:rPr>
                <w:sz w:val="20"/>
                <w:szCs w:val="20"/>
              </w:rPr>
              <w:t>Rregullatore; Organizative</w:t>
            </w:r>
          </w:p>
        </w:tc>
        <w:tc>
          <w:tcPr>
            <w:tcW w:w="597" w:type="pct"/>
            <w:vAlign w:val="center"/>
          </w:tcPr>
          <w:p w14:paraId="337EE51B"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3A9A3619" w14:textId="77777777" w:rsidTr="006A3266">
        <w:trPr>
          <w:trHeight w:val="20"/>
        </w:trPr>
        <w:tc>
          <w:tcPr>
            <w:tcW w:w="359" w:type="pct"/>
            <w:vMerge/>
            <w:shd w:val="clear" w:color="auto" w:fill="D9E2F3" w:themeFill="accent1" w:themeFillTint="33"/>
            <w:textDirection w:val="btLr"/>
          </w:tcPr>
          <w:p w14:paraId="69366447" w14:textId="77777777" w:rsidR="00835192" w:rsidRPr="00FF756A" w:rsidRDefault="00835192" w:rsidP="00835192">
            <w:pPr>
              <w:ind w:left="113" w:right="113"/>
              <w:rPr>
                <w:b/>
                <w:bCs/>
                <w:sz w:val="20"/>
                <w:szCs w:val="20"/>
              </w:rPr>
            </w:pPr>
          </w:p>
        </w:tc>
        <w:tc>
          <w:tcPr>
            <w:tcW w:w="313" w:type="pct"/>
            <w:vAlign w:val="center"/>
          </w:tcPr>
          <w:p w14:paraId="66B1F260" w14:textId="77777777" w:rsidR="00835192" w:rsidRPr="00FF756A" w:rsidRDefault="00835192" w:rsidP="00835192">
            <w:pPr>
              <w:spacing w:after="0" w:line="240" w:lineRule="auto"/>
              <w:jc w:val="center"/>
              <w:rPr>
                <w:sz w:val="18"/>
                <w:szCs w:val="18"/>
              </w:rPr>
            </w:pPr>
            <w:r w:rsidRPr="00FF756A">
              <w:rPr>
                <w:sz w:val="18"/>
                <w:szCs w:val="18"/>
              </w:rPr>
              <w:t>32</w:t>
            </w:r>
          </w:p>
        </w:tc>
        <w:tc>
          <w:tcPr>
            <w:tcW w:w="448" w:type="pct"/>
            <w:vAlign w:val="center"/>
          </w:tcPr>
          <w:p w14:paraId="53AC2D02" w14:textId="77777777" w:rsidR="00835192" w:rsidRPr="00FF756A" w:rsidRDefault="00835192" w:rsidP="00835192">
            <w:pPr>
              <w:spacing w:after="0" w:line="240" w:lineRule="auto"/>
              <w:jc w:val="left"/>
              <w:rPr>
                <w:sz w:val="20"/>
                <w:szCs w:val="20"/>
              </w:rPr>
            </w:pPr>
            <w:r w:rsidRPr="00FF756A">
              <w:rPr>
                <w:sz w:val="20"/>
                <w:szCs w:val="20"/>
              </w:rPr>
              <w:t>R-E11</w:t>
            </w:r>
          </w:p>
        </w:tc>
        <w:tc>
          <w:tcPr>
            <w:tcW w:w="2463" w:type="pct"/>
            <w:vAlign w:val="center"/>
          </w:tcPr>
          <w:p w14:paraId="0F47814B" w14:textId="77777777" w:rsidR="00835192" w:rsidRPr="00FF756A" w:rsidRDefault="00835192" w:rsidP="00835192">
            <w:pPr>
              <w:spacing w:after="0" w:line="240" w:lineRule="auto"/>
              <w:jc w:val="left"/>
              <w:rPr>
                <w:sz w:val="20"/>
                <w:szCs w:val="20"/>
              </w:rPr>
            </w:pPr>
            <w:r w:rsidRPr="00FF756A">
              <w:rPr>
                <w:sz w:val="20"/>
                <w:szCs w:val="20"/>
              </w:rPr>
              <w:t xml:space="preserve">Hartat e nxehtësisë </w:t>
            </w:r>
          </w:p>
        </w:tc>
        <w:tc>
          <w:tcPr>
            <w:tcW w:w="821" w:type="pct"/>
            <w:vAlign w:val="center"/>
          </w:tcPr>
          <w:p w14:paraId="4537CC60" w14:textId="77777777" w:rsidR="00835192" w:rsidRPr="00FF756A" w:rsidRDefault="00835192" w:rsidP="00835192">
            <w:pPr>
              <w:spacing w:after="0" w:line="240" w:lineRule="auto"/>
              <w:jc w:val="left"/>
              <w:rPr>
                <w:sz w:val="20"/>
                <w:szCs w:val="20"/>
              </w:rPr>
            </w:pPr>
            <w:r w:rsidRPr="00FF756A">
              <w:rPr>
                <w:sz w:val="20"/>
                <w:szCs w:val="20"/>
              </w:rPr>
              <w:t>Rregullatore; Informuese</w:t>
            </w:r>
          </w:p>
        </w:tc>
        <w:tc>
          <w:tcPr>
            <w:tcW w:w="597" w:type="pct"/>
            <w:vAlign w:val="center"/>
          </w:tcPr>
          <w:p w14:paraId="08A84636"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69C7FF44" w14:textId="77777777" w:rsidTr="006A3266">
        <w:trPr>
          <w:trHeight w:val="20"/>
        </w:trPr>
        <w:tc>
          <w:tcPr>
            <w:tcW w:w="359" w:type="pct"/>
            <w:vMerge/>
            <w:shd w:val="clear" w:color="auto" w:fill="D9E2F3" w:themeFill="accent1" w:themeFillTint="33"/>
            <w:textDirection w:val="btLr"/>
          </w:tcPr>
          <w:p w14:paraId="491A2490" w14:textId="77777777" w:rsidR="00835192" w:rsidRPr="00FF756A" w:rsidRDefault="00835192" w:rsidP="00835192">
            <w:pPr>
              <w:ind w:left="113" w:right="113"/>
              <w:rPr>
                <w:b/>
                <w:bCs/>
                <w:sz w:val="20"/>
                <w:szCs w:val="20"/>
              </w:rPr>
            </w:pPr>
          </w:p>
        </w:tc>
        <w:tc>
          <w:tcPr>
            <w:tcW w:w="313" w:type="pct"/>
            <w:vAlign w:val="center"/>
          </w:tcPr>
          <w:p w14:paraId="0AF98D18" w14:textId="77777777" w:rsidR="00835192" w:rsidRPr="00FF756A" w:rsidRDefault="00835192" w:rsidP="00835192">
            <w:pPr>
              <w:spacing w:after="0" w:line="240" w:lineRule="auto"/>
              <w:jc w:val="center"/>
              <w:rPr>
                <w:sz w:val="18"/>
                <w:szCs w:val="18"/>
              </w:rPr>
            </w:pPr>
            <w:r w:rsidRPr="00FF756A">
              <w:rPr>
                <w:sz w:val="18"/>
                <w:szCs w:val="18"/>
              </w:rPr>
              <w:t>33</w:t>
            </w:r>
          </w:p>
        </w:tc>
        <w:tc>
          <w:tcPr>
            <w:tcW w:w="448" w:type="pct"/>
            <w:vAlign w:val="center"/>
          </w:tcPr>
          <w:p w14:paraId="22A690F6" w14:textId="77777777" w:rsidR="00835192" w:rsidRPr="00FF756A" w:rsidRDefault="00835192" w:rsidP="00835192">
            <w:pPr>
              <w:spacing w:after="0" w:line="240" w:lineRule="auto"/>
              <w:jc w:val="left"/>
              <w:rPr>
                <w:sz w:val="20"/>
                <w:szCs w:val="20"/>
              </w:rPr>
            </w:pPr>
            <w:r w:rsidRPr="00FF756A">
              <w:rPr>
                <w:sz w:val="20"/>
                <w:szCs w:val="20"/>
              </w:rPr>
              <w:t>R-T1</w:t>
            </w:r>
          </w:p>
        </w:tc>
        <w:tc>
          <w:tcPr>
            <w:tcW w:w="2463" w:type="pct"/>
            <w:vAlign w:val="center"/>
          </w:tcPr>
          <w:p w14:paraId="6B13EC88" w14:textId="77777777" w:rsidR="00835192" w:rsidRPr="00FF756A" w:rsidRDefault="00835192" w:rsidP="00835192">
            <w:pPr>
              <w:spacing w:after="0" w:line="240" w:lineRule="auto"/>
              <w:jc w:val="left"/>
              <w:rPr>
                <w:sz w:val="20"/>
                <w:szCs w:val="20"/>
              </w:rPr>
            </w:pPr>
            <w:r w:rsidRPr="00FF756A">
              <w:rPr>
                <w:sz w:val="20"/>
                <w:szCs w:val="20"/>
              </w:rPr>
              <w:t>Elektrifikimi i sektorit të transportit</w:t>
            </w:r>
          </w:p>
        </w:tc>
        <w:tc>
          <w:tcPr>
            <w:tcW w:w="821" w:type="pct"/>
            <w:vAlign w:val="center"/>
          </w:tcPr>
          <w:p w14:paraId="7665FBF6"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41801590"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6D8B40FB" w14:textId="77777777" w:rsidTr="006A3266">
        <w:trPr>
          <w:trHeight w:val="20"/>
        </w:trPr>
        <w:tc>
          <w:tcPr>
            <w:tcW w:w="359" w:type="pct"/>
            <w:vMerge/>
            <w:shd w:val="clear" w:color="auto" w:fill="D9E2F3" w:themeFill="accent1" w:themeFillTint="33"/>
            <w:textDirection w:val="btLr"/>
          </w:tcPr>
          <w:p w14:paraId="3898B842" w14:textId="77777777" w:rsidR="00835192" w:rsidRPr="00FF756A" w:rsidRDefault="00835192" w:rsidP="00835192">
            <w:pPr>
              <w:ind w:left="113" w:right="113"/>
              <w:rPr>
                <w:b/>
                <w:bCs/>
                <w:sz w:val="20"/>
                <w:szCs w:val="20"/>
              </w:rPr>
            </w:pPr>
          </w:p>
        </w:tc>
        <w:tc>
          <w:tcPr>
            <w:tcW w:w="313" w:type="pct"/>
            <w:vAlign w:val="center"/>
          </w:tcPr>
          <w:p w14:paraId="55E18CAC" w14:textId="77777777" w:rsidR="00835192" w:rsidRPr="00FF756A" w:rsidRDefault="00835192" w:rsidP="00835192">
            <w:pPr>
              <w:spacing w:after="0" w:line="240" w:lineRule="auto"/>
              <w:jc w:val="center"/>
              <w:rPr>
                <w:sz w:val="18"/>
                <w:szCs w:val="18"/>
              </w:rPr>
            </w:pPr>
            <w:r w:rsidRPr="00FF756A">
              <w:rPr>
                <w:sz w:val="18"/>
                <w:szCs w:val="18"/>
              </w:rPr>
              <w:t>34</w:t>
            </w:r>
          </w:p>
        </w:tc>
        <w:tc>
          <w:tcPr>
            <w:tcW w:w="448" w:type="pct"/>
            <w:vAlign w:val="center"/>
          </w:tcPr>
          <w:p w14:paraId="48DE9460" w14:textId="77777777" w:rsidR="00835192" w:rsidRPr="00FF756A" w:rsidRDefault="00835192" w:rsidP="00835192">
            <w:pPr>
              <w:spacing w:after="0" w:line="240" w:lineRule="auto"/>
              <w:jc w:val="left"/>
              <w:rPr>
                <w:sz w:val="20"/>
                <w:szCs w:val="20"/>
              </w:rPr>
            </w:pPr>
            <w:r w:rsidRPr="00FF756A">
              <w:rPr>
                <w:sz w:val="20"/>
                <w:szCs w:val="20"/>
              </w:rPr>
              <w:t>R-T2</w:t>
            </w:r>
          </w:p>
        </w:tc>
        <w:tc>
          <w:tcPr>
            <w:tcW w:w="2463" w:type="pct"/>
            <w:vAlign w:val="center"/>
          </w:tcPr>
          <w:p w14:paraId="1DEF0450" w14:textId="77777777" w:rsidR="00835192" w:rsidRPr="00FF756A" w:rsidRDefault="00835192" w:rsidP="00835192">
            <w:pPr>
              <w:spacing w:after="0" w:line="240" w:lineRule="auto"/>
              <w:jc w:val="left"/>
              <w:rPr>
                <w:sz w:val="20"/>
                <w:szCs w:val="20"/>
              </w:rPr>
            </w:pPr>
            <w:r w:rsidRPr="00FF756A">
              <w:rPr>
                <w:sz w:val="20"/>
                <w:szCs w:val="20"/>
              </w:rPr>
              <w:t>Biokarburantet e qëndrueshme/të avancuara</w:t>
            </w:r>
          </w:p>
        </w:tc>
        <w:tc>
          <w:tcPr>
            <w:tcW w:w="821" w:type="pct"/>
            <w:vAlign w:val="center"/>
          </w:tcPr>
          <w:p w14:paraId="758537F1" w14:textId="77777777" w:rsidR="00835192" w:rsidRPr="00FF756A" w:rsidRDefault="00835192" w:rsidP="00835192">
            <w:pPr>
              <w:spacing w:after="0" w:line="240" w:lineRule="auto"/>
              <w:jc w:val="left"/>
              <w:rPr>
                <w:sz w:val="20"/>
                <w:szCs w:val="20"/>
              </w:rPr>
            </w:pPr>
            <w:r w:rsidRPr="00FF756A">
              <w:rPr>
                <w:sz w:val="20"/>
                <w:szCs w:val="20"/>
              </w:rPr>
              <w:t>Rregullatore; Fiskale</w:t>
            </w:r>
          </w:p>
        </w:tc>
        <w:tc>
          <w:tcPr>
            <w:tcW w:w="597" w:type="pct"/>
            <w:vAlign w:val="center"/>
          </w:tcPr>
          <w:p w14:paraId="12C01250"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63B0A81C" w14:textId="77777777" w:rsidTr="006A3266">
        <w:trPr>
          <w:trHeight w:val="20"/>
        </w:trPr>
        <w:tc>
          <w:tcPr>
            <w:tcW w:w="359" w:type="pct"/>
            <w:vMerge/>
            <w:shd w:val="clear" w:color="auto" w:fill="D9E2F3" w:themeFill="accent1" w:themeFillTint="33"/>
            <w:textDirection w:val="btLr"/>
          </w:tcPr>
          <w:p w14:paraId="1248C6B0" w14:textId="77777777" w:rsidR="00835192" w:rsidRPr="00FF756A" w:rsidRDefault="00835192" w:rsidP="00835192">
            <w:pPr>
              <w:ind w:left="113" w:right="113"/>
              <w:rPr>
                <w:b/>
                <w:bCs/>
                <w:sz w:val="20"/>
                <w:szCs w:val="20"/>
              </w:rPr>
            </w:pPr>
          </w:p>
        </w:tc>
        <w:tc>
          <w:tcPr>
            <w:tcW w:w="313" w:type="pct"/>
            <w:vAlign w:val="center"/>
          </w:tcPr>
          <w:p w14:paraId="0CFAF7D3" w14:textId="77777777" w:rsidR="00835192" w:rsidRPr="00FF756A" w:rsidRDefault="00835192" w:rsidP="00835192">
            <w:pPr>
              <w:spacing w:after="0" w:line="240" w:lineRule="auto"/>
              <w:jc w:val="center"/>
              <w:rPr>
                <w:sz w:val="18"/>
                <w:szCs w:val="18"/>
              </w:rPr>
            </w:pPr>
            <w:r w:rsidRPr="00FF756A">
              <w:rPr>
                <w:sz w:val="18"/>
                <w:szCs w:val="18"/>
              </w:rPr>
              <w:t>35</w:t>
            </w:r>
          </w:p>
        </w:tc>
        <w:tc>
          <w:tcPr>
            <w:tcW w:w="448" w:type="pct"/>
            <w:vAlign w:val="center"/>
          </w:tcPr>
          <w:p w14:paraId="130221BD" w14:textId="77777777" w:rsidR="00835192" w:rsidRPr="00FF756A" w:rsidRDefault="00835192" w:rsidP="00835192">
            <w:pPr>
              <w:spacing w:after="0" w:line="240" w:lineRule="auto"/>
              <w:jc w:val="left"/>
              <w:rPr>
                <w:sz w:val="20"/>
                <w:szCs w:val="20"/>
              </w:rPr>
            </w:pPr>
            <w:r w:rsidRPr="00FF756A">
              <w:rPr>
                <w:sz w:val="20"/>
                <w:szCs w:val="20"/>
              </w:rPr>
              <w:t>R-T3</w:t>
            </w:r>
          </w:p>
        </w:tc>
        <w:tc>
          <w:tcPr>
            <w:tcW w:w="2463" w:type="pct"/>
            <w:vAlign w:val="center"/>
          </w:tcPr>
          <w:p w14:paraId="53D4F918" w14:textId="77777777" w:rsidR="00835192" w:rsidRPr="00FF756A" w:rsidRDefault="00835192" w:rsidP="00835192">
            <w:pPr>
              <w:spacing w:after="0" w:line="240" w:lineRule="auto"/>
              <w:jc w:val="left"/>
              <w:rPr>
                <w:sz w:val="20"/>
                <w:szCs w:val="20"/>
              </w:rPr>
            </w:pPr>
            <w:r w:rsidRPr="00FF756A">
              <w:rPr>
                <w:sz w:val="20"/>
                <w:szCs w:val="20"/>
              </w:rPr>
              <w:t>Instalimi i stacioneve të karikimit për automjetet elektrike dhe instalimi i paneleve fotovoltaike</w:t>
            </w:r>
          </w:p>
        </w:tc>
        <w:tc>
          <w:tcPr>
            <w:tcW w:w="821" w:type="pct"/>
            <w:vAlign w:val="center"/>
          </w:tcPr>
          <w:p w14:paraId="2C64F8B8" w14:textId="77777777" w:rsidR="00835192" w:rsidRPr="00FF756A" w:rsidRDefault="00835192" w:rsidP="00835192">
            <w:pPr>
              <w:spacing w:after="0" w:line="240" w:lineRule="auto"/>
              <w:jc w:val="left"/>
              <w:rPr>
                <w:sz w:val="20"/>
                <w:szCs w:val="20"/>
              </w:rPr>
            </w:pPr>
            <w:r w:rsidRPr="00FF756A">
              <w:rPr>
                <w:sz w:val="20"/>
                <w:szCs w:val="20"/>
              </w:rPr>
              <w:t xml:space="preserve">Financiare </w:t>
            </w:r>
          </w:p>
        </w:tc>
        <w:tc>
          <w:tcPr>
            <w:tcW w:w="597" w:type="pct"/>
            <w:vAlign w:val="center"/>
          </w:tcPr>
          <w:p w14:paraId="38A66D02"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4DE3365E" w14:textId="77777777" w:rsidTr="006A3266">
        <w:trPr>
          <w:trHeight w:val="20"/>
        </w:trPr>
        <w:tc>
          <w:tcPr>
            <w:tcW w:w="359" w:type="pct"/>
            <w:vMerge/>
            <w:shd w:val="clear" w:color="auto" w:fill="D9E2F3" w:themeFill="accent1" w:themeFillTint="33"/>
            <w:textDirection w:val="btLr"/>
          </w:tcPr>
          <w:p w14:paraId="0B2E37D5" w14:textId="77777777" w:rsidR="00835192" w:rsidRPr="00FF756A" w:rsidRDefault="00835192" w:rsidP="00835192">
            <w:pPr>
              <w:ind w:left="113" w:right="113"/>
              <w:rPr>
                <w:b/>
                <w:bCs/>
                <w:sz w:val="20"/>
                <w:szCs w:val="20"/>
              </w:rPr>
            </w:pPr>
          </w:p>
        </w:tc>
        <w:tc>
          <w:tcPr>
            <w:tcW w:w="313" w:type="pct"/>
            <w:vAlign w:val="center"/>
          </w:tcPr>
          <w:p w14:paraId="07208AF3" w14:textId="77777777" w:rsidR="00835192" w:rsidRPr="00FF756A" w:rsidRDefault="00835192" w:rsidP="00835192">
            <w:pPr>
              <w:spacing w:after="0" w:line="240" w:lineRule="auto"/>
              <w:jc w:val="center"/>
              <w:rPr>
                <w:sz w:val="18"/>
                <w:szCs w:val="18"/>
              </w:rPr>
            </w:pPr>
            <w:r w:rsidRPr="00FF756A">
              <w:rPr>
                <w:sz w:val="18"/>
                <w:szCs w:val="18"/>
              </w:rPr>
              <w:t>36</w:t>
            </w:r>
          </w:p>
        </w:tc>
        <w:tc>
          <w:tcPr>
            <w:tcW w:w="448" w:type="pct"/>
            <w:vAlign w:val="center"/>
          </w:tcPr>
          <w:p w14:paraId="067F31F8" w14:textId="77777777" w:rsidR="00835192" w:rsidRPr="00FF756A" w:rsidRDefault="00835192" w:rsidP="00835192">
            <w:pPr>
              <w:spacing w:after="0" w:line="240" w:lineRule="auto"/>
              <w:jc w:val="left"/>
              <w:rPr>
                <w:sz w:val="20"/>
                <w:szCs w:val="20"/>
              </w:rPr>
            </w:pPr>
            <w:r w:rsidRPr="00FF756A">
              <w:rPr>
                <w:sz w:val="20"/>
                <w:szCs w:val="20"/>
              </w:rPr>
              <w:t>R-I1</w:t>
            </w:r>
          </w:p>
        </w:tc>
        <w:tc>
          <w:tcPr>
            <w:tcW w:w="2463" w:type="pct"/>
            <w:vAlign w:val="center"/>
          </w:tcPr>
          <w:p w14:paraId="58ACB894" w14:textId="0C464650" w:rsidR="00835192" w:rsidRPr="00FF756A" w:rsidRDefault="00DA4B5D" w:rsidP="00835192">
            <w:pPr>
              <w:spacing w:after="0" w:line="240" w:lineRule="auto"/>
              <w:jc w:val="left"/>
              <w:rPr>
                <w:sz w:val="20"/>
                <w:szCs w:val="20"/>
              </w:rPr>
            </w:pPr>
            <w:r w:rsidRPr="00FF756A">
              <w:rPr>
                <w:sz w:val="20"/>
                <w:szCs w:val="20"/>
              </w:rPr>
              <w:t>Mbështetja e aplikimeve në shkallë të vogël për shfrytëzimin e energjisë së rinovueshme në sektorin industrial joushqimor</w:t>
            </w:r>
          </w:p>
        </w:tc>
        <w:tc>
          <w:tcPr>
            <w:tcW w:w="821" w:type="pct"/>
            <w:vAlign w:val="center"/>
          </w:tcPr>
          <w:p w14:paraId="7531FC86" w14:textId="77777777" w:rsidR="00835192" w:rsidRPr="00FF756A" w:rsidRDefault="00835192" w:rsidP="00835192">
            <w:pPr>
              <w:spacing w:after="0" w:line="240" w:lineRule="auto"/>
              <w:jc w:val="left"/>
              <w:rPr>
                <w:sz w:val="20"/>
                <w:szCs w:val="20"/>
              </w:rPr>
            </w:pPr>
            <w:r w:rsidRPr="00FF756A">
              <w:rPr>
                <w:sz w:val="20"/>
                <w:szCs w:val="20"/>
              </w:rPr>
              <w:t>Investuese; Financiare; Informative; Edukative</w:t>
            </w:r>
          </w:p>
        </w:tc>
        <w:tc>
          <w:tcPr>
            <w:tcW w:w="597" w:type="pct"/>
            <w:vAlign w:val="center"/>
          </w:tcPr>
          <w:p w14:paraId="19B19D10"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56D644C2" w14:textId="77777777" w:rsidTr="006A3266">
        <w:trPr>
          <w:trHeight w:val="20"/>
        </w:trPr>
        <w:tc>
          <w:tcPr>
            <w:tcW w:w="359" w:type="pct"/>
            <w:vMerge/>
            <w:shd w:val="clear" w:color="auto" w:fill="D9E2F3" w:themeFill="accent1" w:themeFillTint="33"/>
            <w:textDirection w:val="btLr"/>
          </w:tcPr>
          <w:p w14:paraId="20A99FE6" w14:textId="77777777" w:rsidR="00835192" w:rsidRPr="00FF756A" w:rsidRDefault="00835192" w:rsidP="00835192">
            <w:pPr>
              <w:ind w:left="113" w:right="113"/>
              <w:rPr>
                <w:b/>
                <w:bCs/>
                <w:sz w:val="20"/>
                <w:szCs w:val="20"/>
              </w:rPr>
            </w:pPr>
          </w:p>
        </w:tc>
        <w:tc>
          <w:tcPr>
            <w:tcW w:w="313" w:type="pct"/>
            <w:vAlign w:val="center"/>
          </w:tcPr>
          <w:p w14:paraId="2667F5AD" w14:textId="77777777" w:rsidR="00835192" w:rsidRPr="00FF756A" w:rsidRDefault="00835192" w:rsidP="00835192">
            <w:pPr>
              <w:spacing w:after="0" w:line="240" w:lineRule="auto"/>
              <w:jc w:val="center"/>
              <w:rPr>
                <w:sz w:val="18"/>
                <w:szCs w:val="18"/>
              </w:rPr>
            </w:pPr>
            <w:r w:rsidRPr="00FF756A">
              <w:rPr>
                <w:sz w:val="18"/>
                <w:szCs w:val="18"/>
              </w:rPr>
              <w:t>37</w:t>
            </w:r>
          </w:p>
        </w:tc>
        <w:tc>
          <w:tcPr>
            <w:tcW w:w="448" w:type="pct"/>
            <w:vAlign w:val="center"/>
          </w:tcPr>
          <w:p w14:paraId="7D48AD62" w14:textId="77777777" w:rsidR="00835192" w:rsidRPr="00FF756A" w:rsidRDefault="00835192" w:rsidP="00835192">
            <w:pPr>
              <w:spacing w:after="0" w:line="240" w:lineRule="auto"/>
              <w:jc w:val="left"/>
              <w:rPr>
                <w:sz w:val="20"/>
                <w:szCs w:val="20"/>
              </w:rPr>
            </w:pPr>
            <w:r w:rsidRPr="00FF756A">
              <w:rPr>
                <w:sz w:val="20"/>
                <w:szCs w:val="20"/>
              </w:rPr>
              <w:t>R-W1</w:t>
            </w:r>
          </w:p>
        </w:tc>
        <w:tc>
          <w:tcPr>
            <w:tcW w:w="2463" w:type="pct"/>
            <w:vAlign w:val="center"/>
          </w:tcPr>
          <w:p w14:paraId="68308A00" w14:textId="77777777" w:rsidR="00835192" w:rsidRPr="00FF756A" w:rsidRDefault="00835192" w:rsidP="00835192">
            <w:pPr>
              <w:spacing w:after="0" w:line="240" w:lineRule="auto"/>
              <w:jc w:val="left"/>
              <w:rPr>
                <w:sz w:val="20"/>
                <w:szCs w:val="20"/>
              </w:rPr>
            </w:pPr>
            <w:r w:rsidRPr="00FF756A">
              <w:rPr>
                <w:sz w:val="20"/>
                <w:szCs w:val="20"/>
              </w:rPr>
              <w:t xml:space="preserve">Vlerësimi i përdorimit të energjisë dhe mundësive për zbatimin e burimeve të rinovueshme të energjisë në sektorin e ujit </w:t>
            </w:r>
          </w:p>
        </w:tc>
        <w:tc>
          <w:tcPr>
            <w:tcW w:w="821" w:type="pct"/>
            <w:vAlign w:val="center"/>
          </w:tcPr>
          <w:p w14:paraId="292B1684" w14:textId="77777777" w:rsidR="00835192" w:rsidRPr="00FF756A" w:rsidRDefault="00835192" w:rsidP="00835192">
            <w:pPr>
              <w:spacing w:after="0" w:line="240" w:lineRule="auto"/>
              <w:jc w:val="left"/>
              <w:rPr>
                <w:sz w:val="20"/>
                <w:szCs w:val="20"/>
              </w:rPr>
            </w:pPr>
            <w:r w:rsidRPr="00FF756A">
              <w:rPr>
                <w:sz w:val="20"/>
                <w:szCs w:val="20"/>
              </w:rPr>
              <w:t>Investuese, Financiare</w:t>
            </w:r>
          </w:p>
        </w:tc>
        <w:tc>
          <w:tcPr>
            <w:tcW w:w="597" w:type="pct"/>
            <w:vAlign w:val="center"/>
          </w:tcPr>
          <w:p w14:paraId="750B8ABC"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38DFEDEE" w14:textId="77777777" w:rsidTr="006A3266">
        <w:trPr>
          <w:trHeight w:val="20"/>
        </w:trPr>
        <w:tc>
          <w:tcPr>
            <w:tcW w:w="359" w:type="pct"/>
            <w:vMerge w:val="restart"/>
            <w:shd w:val="clear" w:color="auto" w:fill="FFF2CC" w:themeFill="accent4" w:themeFillTint="33"/>
            <w:textDirection w:val="btLr"/>
          </w:tcPr>
          <w:p w14:paraId="7518A70E" w14:textId="77777777" w:rsidR="00835192" w:rsidRPr="00FF756A" w:rsidRDefault="00835192" w:rsidP="00835192">
            <w:pPr>
              <w:ind w:left="113" w:right="113"/>
              <w:rPr>
                <w:sz w:val="20"/>
                <w:szCs w:val="20"/>
              </w:rPr>
            </w:pPr>
            <w:r w:rsidRPr="00FF756A">
              <w:rPr>
                <w:b/>
                <w:bCs/>
                <w:sz w:val="20"/>
                <w:szCs w:val="20"/>
              </w:rPr>
              <w:lastRenderedPageBreak/>
              <w:t>Efiçenca e energjisë</w:t>
            </w:r>
          </w:p>
        </w:tc>
        <w:tc>
          <w:tcPr>
            <w:tcW w:w="313" w:type="pct"/>
            <w:vAlign w:val="center"/>
          </w:tcPr>
          <w:p w14:paraId="4DCDC975" w14:textId="77777777" w:rsidR="00835192" w:rsidRPr="00FF756A" w:rsidRDefault="00835192" w:rsidP="00835192">
            <w:pPr>
              <w:spacing w:after="0" w:line="240" w:lineRule="auto"/>
              <w:jc w:val="center"/>
              <w:rPr>
                <w:sz w:val="18"/>
                <w:szCs w:val="18"/>
              </w:rPr>
            </w:pPr>
            <w:r w:rsidRPr="00FF756A">
              <w:rPr>
                <w:sz w:val="18"/>
                <w:szCs w:val="18"/>
              </w:rPr>
              <w:t>38</w:t>
            </w:r>
          </w:p>
        </w:tc>
        <w:tc>
          <w:tcPr>
            <w:tcW w:w="448" w:type="pct"/>
            <w:vAlign w:val="center"/>
          </w:tcPr>
          <w:p w14:paraId="6AB673A1" w14:textId="77777777" w:rsidR="00835192" w:rsidRPr="00FF756A" w:rsidRDefault="00835192" w:rsidP="00835192">
            <w:pPr>
              <w:spacing w:after="0" w:line="240" w:lineRule="auto"/>
              <w:jc w:val="left"/>
              <w:rPr>
                <w:sz w:val="20"/>
                <w:szCs w:val="20"/>
              </w:rPr>
            </w:pPr>
            <w:r w:rsidRPr="00FF756A">
              <w:rPr>
                <w:sz w:val="20"/>
                <w:szCs w:val="20"/>
              </w:rPr>
              <w:t>EE-O1</w:t>
            </w:r>
          </w:p>
        </w:tc>
        <w:tc>
          <w:tcPr>
            <w:tcW w:w="2463" w:type="pct"/>
            <w:vAlign w:val="center"/>
          </w:tcPr>
          <w:p w14:paraId="747ED76E" w14:textId="77777777" w:rsidR="00835192" w:rsidRPr="00FF756A" w:rsidRDefault="00835192" w:rsidP="00835192">
            <w:pPr>
              <w:spacing w:after="0" w:line="240" w:lineRule="auto"/>
              <w:jc w:val="left"/>
              <w:rPr>
                <w:sz w:val="20"/>
                <w:szCs w:val="20"/>
              </w:rPr>
            </w:pPr>
            <w:r w:rsidRPr="00FF756A">
              <w:rPr>
                <w:sz w:val="20"/>
                <w:szCs w:val="20"/>
              </w:rPr>
              <w:t>Skema detyruese e efiçencës së energjisë dhe masat alternative për Shqipërinë</w:t>
            </w:r>
          </w:p>
        </w:tc>
        <w:tc>
          <w:tcPr>
            <w:tcW w:w="821" w:type="pct"/>
            <w:vAlign w:val="center"/>
          </w:tcPr>
          <w:p w14:paraId="411B7F09"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56E561A5"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0515B6E5" w14:textId="77777777" w:rsidTr="006A3266">
        <w:trPr>
          <w:trHeight w:val="20"/>
        </w:trPr>
        <w:tc>
          <w:tcPr>
            <w:tcW w:w="359" w:type="pct"/>
            <w:vMerge/>
            <w:shd w:val="clear" w:color="auto" w:fill="FFF2CC" w:themeFill="accent4" w:themeFillTint="33"/>
          </w:tcPr>
          <w:p w14:paraId="01B78806" w14:textId="77777777" w:rsidR="00835192" w:rsidRPr="00FF756A" w:rsidRDefault="00835192" w:rsidP="00835192">
            <w:pPr>
              <w:rPr>
                <w:sz w:val="20"/>
                <w:szCs w:val="20"/>
              </w:rPr>
            </w:pPr>
          </w:p>
        </w:tc>
        <w:tc>
          <w:tcPr>
            <w:tcW w:w="313" w:type="pct"/>
            <w:vAlign w:val="center"/>
          </w:tcPr>
          <w:p w14:paraId="78EA095F" w14:textId="77777777" w:rsidR="00835192" w:rsidRPr="00FF756A" w:rsidRDefault="00835192" w:rsidP="00835192">
            <w:pPr>
              <w:spacing w:after="0" w:line="240" w:lineRule="auto"/>
              <w:jc w:val="center"/>
              <w:rPr>
                <w:sz w:val="18"/>
                <w:szCs w:val="18"/>
              </w:rPr>
            </w:pPr>
            <w:r w:rsidRPr="00FF756A">
              <w:rPr>
                <w:sz w:val="18"/>
                <w:szCs w:val="18"/>
              </w:rPr>
              <w:t>39</w:t>
            </w:r>
          </w:p>
        </w:tc>
        <w:tc>
          <w:tcPr>
            <w:tcW w:w="448" w:type="pct"/>
            <w:vAlign w:val="center"/>
          </w:tcPr>
          <w:p w14:paraId="45766E63" w14:textId="77777777" w:rsidR="00835192" w:rsidRPr="00FF756A" w:rsidRDefault="00835192" w:rsidP="00835192">
            <w:pPr>
              <w:spacing w:after="0" w:line="240" w:lineRule="auto"/>
              <w:jc w:val="left"/>
              <w:rPr>
                <w:sz w:val="20"/>
                <w:szCs w:val="20"/>
              </w:rPr>
            </w:pPr>
            <w:r w:rsidRPr="00FF756A">
              <w:rPr>
                <w:sz w:val="20"/>
                <w:szCs w:val="20"/>
              </w:rPr>
              <w:t>EE-I1</w:t>
            </w:r>
          </w:p>
        </w:tc>
        <w:tc>
          <w:tcPr>
            <w:tcW w:w="2463" w:type="pct"/>
            <w:vAlign w:val="center"/>
          </w:tcPr>
          <w:p w14:paraId="6B759385" w14:textId="77777777" w:rsidR="00835192" w:rsidRPr="00FF756A" w:rsidRDefault="00835192" w:rsidP="00835192">
            <w:pPr>
              <w:spacing w:after="0" w:line="240" w:lineRule="auto"/>
              <w:jc w:val="left"/>
              <w:rPr>
                <w:sz w:val="20"/>
                <w:szCs w:val="20"/>
              </w:rPr>
            </w:pPr>
            <w:r w:rsidRPr="00FF756A">
              <w:rPr>
                <w:sz w:val="20"/>
                <w:szCs w:val="20"/>
              </w:rPr>
              <w:t>Inspektimi i sistemeve teknike në ndërtesa</w:t>
            </w:r>
          </w:p>
        </w:tc>
        <w:tc>
          <w:tcPr>
            <w:tcW w:w="821" w:type="pct"/>
            <w:vAlign w:val="center"/>
          </w:tcPr>
          <w:p w14:paraId="18A94111" w14:textId="77777777" w:rsidR="00835192" w:rsidRPr="00FF756A" w:rsidRDefault="00835192" w:rsidP="00835192">
            <w:pPr>
              <w:spacing w:after="0" w:line="240" w:lineRule="auto"/>
              <w:jc w:val="left"/>
              <w:rPr>
                <w:sz w:val="20"/>
                <w:szCs w:val="20"/>
              </w:rPr>
            </w:pPr>
            <w:r w:rsidRPr="00FF756A">
              <w:rPr>
                <w:sz w:val="20"/>
                <w:szCs w:val="20"/>
              </w:rPr>
              <w:t>Rregullatore; Teknike</w:t>
            </w:r>
          </w:p>
        </w:tc>
        <w:tc>
          <w:tcPr>
            <w:tcW w:w="597" w:type="pct"/>
            <w:vAlign w:val="center"/>
          </w:tcPr>
          <w:p w14:paraId="3031E472"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245FCC6E" w14:textId="77777777" w:rsidTr="006A3266">
        <w:trPr>
          <w:trHeight w:val="20"/>
        </w:trPr>
        <w:tc>
          <w:tcPr>
            <w:tcW w:w="359" w:type="pct"/>
            <w:vMerge/>
            <w:shd w:val="clear" w:color="auto" w:fill="FFF2CC" w:themeFill="accent4" w:themeFillTint="33"/>
          </w:tcPr>
          <w:p w14:paraId="2D161BA0" w14:textId="77777777" w:rsidR="00835192" w:rsidRPr="00FF756A" w:rsidRDefault="00835192" w:rsidP="00835192">
            <w:pPr>
              <w:rPr>
                <w:sz w:val="20"/>
                <w:szCs w:val="20"/>
              </w:rPr>
            </w:pPr>
          </w:p>
        </w:tc>
        <w:tc>
          <w:tcPr>
            <w:tcW w:w="313" w:type="pct"/>
            <w:vAlign w:val="center"/>
          </w:tcPr>
          <w:p w14:paraId="442E97F3" w14:textId="77777777" w:rsidR="00835192" w:rsidRPr="00FF756A" w:rsidRDefault="00835192" w:rsidP="00835192">
            <w:pPr>
              <w:spacing w:after="0" w:line="240" w:lineRule="auto"/>
              <w:jc w:val="center"/>
              <w:rPr>
                <w:sz w:val="18"/>
                <w:szCs w:val="18"/>
              </w:rPr>
            </w:pPr>
            <w:r w:rsidRPr="00FF756A">
              <w:rPr>
                <w:sz w:val="18"/>
                <w:szCs w:val="18"/>
              </w:rPr>
              <w:t>40</w:t>
            </w:r>
          </w:p>
        </w:tc>
        <w:tc>
          <w:tcPr>
            <w:tcW w:w="448" w:type="pct"/>
            <w:vAlign w:val="center"/>
          </w:tcPr>
          <w:p w14:paraId="4A88226A" w14:textId="77777777" w:rsidR="00835192" w:rsidRPr="00FF756A" w:rsidRDefault="00835192" w:rsidP="00835192">
            <w:pPr>
              <w:spacing w:after="0" w:line="240" w:lineRule="auto"/>
              <w:jc w:val="left"/>
              <w:rPr>
                <w:sz w:val="20"/>
                <w:szCs w:val="20"/>
              </w:rPr>
            </w:pPr>
            <w:r w:rsidRPr="00FF756A">
              <w:rPr>
                <w:sz w:val="20"/>
                <w:szCs w:val="20"/>
              </w:rPr>
              <w:t>EE-L1</w:t>
            </w:r>
          </w:p>
        </w:tc>
        <w:tc>
          <w:tcPr>
            <w:tcW w:w="2463" w:type="pct"/>
            <w:vAlign w:val="center"/>
          </w:tcPr>
          <w:p w14:paraId="639D0DE1" w14:textId="77777777" w:rsidR="00835192" w:rsidRPr="00FF756A" w:rsidRDefault="00835192" w:rsidP="00835192">
            <w:pPr>
              <w:spacing w:after="0" w:line="240" w:lineRule="auto"/>
              <w:jc w:val="left"/>
              <w:rPr>
                <w:sz w:val="20"/>
                <w:szCs w:val="20"/>
              </w:rPr>
            </w:pPr>
            <w:r w:rsidRPr="00FF756A">
              <w:rPr>
                <w:sz w:val="20"/>
                <w:szCs w:val="20"/>
              </w:rPr>
              <w:t>Zbatimi i kërkesave minimale të performancës së energjisë në ndërtesa</w:t>
            </w:r>
          </w:p>
        </w:tc>
        <w:tc>
          <w:tcPr>
            <w:tcW w:w="821" w:type="pct"/>
            <w:vAlign w:val="center"/>
          </w:tcPr>
          <w:p w14:paraId="1B2A549F"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41FD101C"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6A75A6A5" w14:textId="77777777" w:rsidTr="006A3266">
        <w:trPr>
          <w:trHeight w:val="20"/>
        </w:trPr>
        <w:tc>
          <w:tcPr>
            <w:tcW w:w="359" w:type="pct"/>
            <w:vMerge/>
            <w:shd w:val="clear" w:color="auto" w:fill="FFF2CC" w:themeFill="accent4" w:themeFillTint="33"/>
          </w:tcPr>
          <w:p w14:paraId="0A324BAA" w14:textId="77777777" w:rsidR="00835192" w:rsidRPr="00FF756A" w:rsidRDefault="00835192" w:rsidP="00835192">
            <w:pPr>
              <w:rPr>
                <w:sz w:val="20"/>
                <w:szCs w:val="20"/>
              </w:rPr>
            </w:pPr>
          </w:p>
        </w:tc>
        <w:tc>
          <w:tcPr>
            <w:tcW w:w="313" w:type="pct"/>
            <w:vAlign w:val="center"/>
          </w:tcPr>
          <w:p w14:paraId="468D78F9" w14:textId="77777777" w:rsidR="00835192" w:rsidRPr="00FF756A" w:rsidRDefault="00835192" w:rsidP="00835192">
            <w:pPr>
              <w:spacing w:after="0" w:line="240" w:lineRule="auto"/>
              <w:jc w:val="center"/>
              <w:rPr>
                <w:sz w:val="18"/>
                <w:szCs w:val="18"/>
              </w:rPr>
            </w:pPr>
            <w:r w:rsidRPr="00FF756A">
              <w:rPr>
                <w:sz w:val="18"/>
                <w:szCs w:val="18"/>
              </w:rPr>
              <w:t>41</w:t>
            </w:r>
          </w:p>
        </w:tc>
        <w:tc>
          <w:tcPr>
            <w:tcW w:w="448" w:type="pct"/>
            <w:vAlign w:val="center"/>
          </w:tcPr>
          <w:p w14:paraId="3C66B57C" w14:textId="77777777" w:rsidR="00835192" w:rsidRPr="00FF756A" w:rsidRDefault="00835192" w:rsidP="00835192">
            <w:pPr>
              <w:spacing w:after="0" w:line="240" w:lineRule="auto"/>
              <w:jc w:val="left"/>
              <w:rPr>
                <w:sz w:val="20"/>
                <w:szCs w:val="20"/>
              </w:rPr>
            </w:pPr>
            <w:r w:rsidRPr="00FF756A">
              <w:rPr>
                <w:sz w:val="20"/>
                <w:szCs w:val="20"/>
              </w:rPr>
              <w:t>EE-L2</w:t>
            </w:r>
          </w:p>
        </w:tc>
        <w:tc>
          <w:tcPr>
            <w:tcW w:w="2463" w:type="pct"/>
            <w:vAlign w:val="center"/>
          </w:tcPr>
          <w:p w14:paraId="4B4D2565" w14:textId="77777777" w:rsidR="00835192" w:rsidRPr="00FF756A" w:rsidRDefault="00835192" w:rsidP="00835192">
            <w:pPr>
              <w:spacing w:after="0" w:line="240" w:lineRule="auto"/>
              <w:jc w:val="left"/>
              <w:rPr>
                <w:sz w:val="20"/>
                <w:szCs w:val="20"/>
              </w:rPr>
            </w:pPr>
            <w:r w:rsidRPr="00FF756A">
              <w:rPr>
                <w:iCs/>
                <w:sz w:val="20"/>
                <w:szCs w:val="20"/>
              </w:rPr>
              <w:t>Plani afatgjatë i rinovimit të ndërtesave (për ndërtesat publike dhe private) sipas riformulimit të EPBD-së në vitin 2024</w:t>
            </w:r>
          </w:p>
        </w:tc>
        <w:tc>
          <w:tcPr>
            <w:tcW w:w="821" w:type="pct"/>
            <w:vAlign w:val="center"/>
          </w:tcPr>
          <w:p w14:paraId="69A07B3D" w14:textId="77777777" w:rsidR="00835192" w:rsidRPr="00FF756A" w:rsidRDefault="00835192" w:rsidP="00835192">
            <w:pPr>
              <w:spacing w:after="0" w:line="240" w:lineRule="auto"/>
              <w:jc w:val="left"/>
              <w:rPr>
                <w:sz w:val="20"/>
                <w:szCs w:val="20"/>
              </w:rPr>
            </w:pPr>
            <w:r w:rsidRPr="00FF756A">
              <w:rPr>
                <w:sz w:val="20"/>
                <w:szCs w:val="20"/>
              </w:rPr>
              <w:t>Rregullatore; Financiare; Informative</w:t>
            </w:r>
          </w:p>
        </w:tc>
        <w:tc>
          <w:tcPr>
            <w:tcW w:w="597" w:type="pct"/>
            <w:vAlign w:val="center"/>
          </w:tcPr>
          <w:p w14:paraId="4CA4D469"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4773BB15" w14:textId="77777777" w:rsidTr="006A3266">
        <w:trPr>
          <w:trHeight w:val="20"/>
        </w:trPr>
        <w:tc>
          <w:tcPr>
            <w:tcW w:w="359" w:type="pct"/>
            <w:vMerge/>
            <w:shd w:val="clear" w:color="auto" w:fill="FFF2CC" w:themeFill="accent4" w:themeFillTint="33"/>
          </w:tcPr>
          <w:p w14:paraId="3E86F45D" w14:textId="77777777" w:rsidR="00835192" w:rsidRPr="00FF756A" w:rsidRDefault="00835192" w:rsidP="00835192">
            <w:pPr>
              <w:rPr>
                <w:sz w:val="20"/>
                <w:szCs w:val="20"/>
              </w:rPr>
            </w:pPr>
          </w:p>
        </w:tc>
        <w:tc>
          <w:tcPr>
            <w:tcW w:w="313" w:type="pct"/>
            <w:vAlign w:val="center"/>
          </w:tcPr>
          <w:p w14:paraId="5A596741" w14:textId="77777777" w:rsidR="00835192" w:rsidRPr="00FF756A" w:rsidRDefault="00835192" w:rsidP="00835192">
            <w:pPr>
              <w:spacing w:after="0" w:line="240" w:lineRule="auto"/>
              <w:jc w:val="center"/>
              <w:rPr>
                <w:sz w:val="18"/>
                <w:szCs w:val="18"/>
              </w:rPr>
            </w:pPr>
            <w:r w:rsidRPr="00FF756A">
              <w:rPr>
                <w:sz w:val="18"/>
                <w:szCs w:val="18"/>
              </w:rPr>
              <w:t>42</w:t>
            </w:r>
          </w:p>
        </w:tc>
        <w:tc>
          <w:tcPr>
            <w:tcW w:w="448" w:type="pct"/>
            <w:vAlign w:val="center"/>
          </w:tcPr>
          <w:p w14:paraId="32DB0FCA" w14:textId="77777777" w:rsidR="00835192" w:rsidRPr="00FF756A" w:rsidRDefault="00835192" w:rsidP="00835192">
            <w:pPr>
              <w:spacing w:after="0" w:line="240" w:lineRule="auto"/>
              <w:jc w:val="left"/>
              <w:rPr>
                <w:sz w:val="20"/>
                <w:szCs w:val="20"/>
              </w:rPr>
            </w:pPr>
            <w:r w:rsidRPr="00FF756A">
              <w:rPr>
                <w:sz w:val="20"/>
                <w:szCs w:val="20"/>
              </w:rPr>
              <w:t>EE-L3</w:t>
            </w:r>
          </w:p>
        </w:tc>
        <w:tc>
          <w:tcPr>
            <w:tcW w:w="2463" w:type="pct"/>
            <w:vAlign w:val="center"/>
          </w:tcPr>
          <w:p w14:paraId="18F996CC" w14:textId="77777777" w:rsidR="00835192" w:rsidRPr="00FF756A" w:rsidRDefault="00835192" w:rsidP="00835192">
            <w:pPr>
              <w:spacing w:after="0" w:line="240" w:lineRule="auto"/>
              <w:jc w:val="left"/>
              <w:rPr>
                <w:sz w:val="20"/>
                <w:szCs w:val="20"/>
              </w:rPr>
            </w:pPr>
            <w:r w:rsidRPr="00FF756A">
              <w:rPr>
                <w:sz w:val="20"/>
                <w:szCs w:val="20"/>
              </w:rPr>
              <w:t xml:space="preserve">Standardet minimale të performancës së energjisë për ndërtesat jorezidenciale dhe trajektoret për rinovimin progresiv të stokut të ndërtesave rezidenciale </w:t>
            </w:r>
          </w:p>
        </w:tc>
        <w:tc>
          <w:tcPr>
            <w:tcW w:w="821" w:type="pct"/>
            <w:vAlign w:val="center"/>
          </w:tcPr>
          <w:p w14:paraId="3A1ABE7E" w14:textId="77777777" w:rsidR="00835192" w:rsidRPr="00FF756A" w:rsidRDefault="00835192" w:rsidP="00835192">
            <w:pPr>
              <w:spacing w:after="0" w:line="240" w:lineRule="auto"/>
              <w:jc w:val="left"/>
              <w:rPr>
                <w:sz w:val="20"/>
                <w:szCs w:val="20"/>
              </w:rPr>
            </w:pPr>
            <w:r w:rsidRPr="00FF756A">
              <w:rPr>
                <w:sz w:val="20"/>
                <w:szCs w:val="20"/>
              </w:rPr>
              <w:t>Rregullatore; Teknike</w:t>
            </w:r>
          </w:p>
        </w:tc>
        <w:tc>
          <w:tcPr>
            <w:tcW w:w="597" w:type="pct"/>
            <w:vAlign w:val="center"/>
          </w:tcPr>
          <w:p w14:paraId="2F0AABF6"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68E09497" w14:textId="77777777" w:rsidTr="006A3266">
        <w:trPr>
          <w:trHeight w:val="20"/>
        </w:trPr>
        <w:tc>
          <w:tcPr>
            <w:tcW w:w="359" w:type="pct"/>
            <w:vMerge/>
            <w:shd w:val="clear" w:color="auto" w:fill="FFF2CC" w:themeFill="accent4" w:themeFillTint="33"/>
          </w:tcPr>
          <w:p w14:paraId="3DDCEFBE" w14:textId="77777777" w:rsidR="00835192" w:rsidRPr="00FF756A" w:rsidRDefault="00835192" w:rsidP="00835192">
            <w:pPr>
              <w:rPr>
                <w:sz w:val="20"/>
                <w:szCs w:val="20"/>
              </w:rPr>
            </w:pPr>
          </w:p>
        </w:tc>
        <w:tc>
          <w:tcPr>
            <w:tcW w:w="313" w:type="pct"/>
            <w:vAlign w:val="center"/>
          </w:tcPr>
          <w:p w14:paraId="5FE62111" w14:textId="77777777" w:rsidR="00835192" w:rsidRPr="00FF756A" w:rsidRDefault="00835192" w:rsidP="00835192">
            <w:pPr>
              <w:spacing w:after="0" w:line="240" w:lineRule="auto"/>
              <w:jc w:val="center"/>
              <w:rPr>
                <w:sz w:val="18"/>
                <w:szCs w:val="18"/>
              </w:rPr>
            </w:pPr>
            <w:r w:rsidRPr="00FF756A">
              <w:rPr>
                <w:sz w:val="18"/>
                <w:szCs w:val="18"/>
              </w:rPr>
              <w:t>43</w:t>
            </w:r>
          </w:p>
        </w:tc>
        <w:tc>
          <w:tcPr>
            <w:tcW w:w="448" w:type="pct"/>
            <w:vAlign w:val="center"/>
          </w:tcPr>
          <w:p w14:paraId="1A8F693D" w14:textId="77777777" w:rsidR="00835192" w:rsidRPr="00FF756A" w:rsidRDefault="00835192" w:rsidP="00835192">
            <w:pPr>
              <w:spacing w:after="0" w:line="240" w:lineRule="auto"/>
              <w:jc w:val="left"/>
              <w:rPr>
                <w:sz w:val="20"/>
                <w:szCs w:val="20"/>
              </w:rPr>
            </w:pPr>
            <w:r w:rsidRPr="00FF756A">
              <w:rPr>
                <w:sz w:val="20"/>
                <w:szCs w:val="20"/>
              </w:rPr>
              <w:t>EE-L4</w:t>
            </w:r>
          </w:p>
        </w:tc>
        <w:tc>
          <w:tcPr>
            <w:tcW w:w="2463" w:type="pct"/>
            <w:vAlign w:val="center"/>
          </w:tcPr>
          <w:p w14:paraId="0AC4F765" w14:textId="77777777" w:rsidR="00835192" w:rsidRPr="00FF756A" w:rsidRDefault="00835192" w:rsidP="00835192">
            <w:pPr>
              <w:spacing w:after="0" w:line="240" w:lineRule="auto"/>
              <w:jc w:val="left"/>
              <w:rPr>
                <w:sz w:val="20"/>
                <w:szCs w:val="20"/>
              </w:rPr>
            </w:pPr>
            <w:r w:rsidRPr="00FF756A">
              <w:rPr>
                <w:sz w:val="20"/>
                <w:szCs w:val="20"/>
              </w:rPr>
              <w:t xml:space="preserve">Rikonstruktimi i ndërtesave ekzistuese të qeverisë qendrore </w:t>
            </w:r>
            <w:r w:rsidRPr="00FF756A">
              <w:rPr>
                <w:i/>
                <w:iCs/>
                <w:sz w:val="20"/>
                <w:szCs w:val="20"/>
              </w:rPr>
              <w:t>(</w:t>
            </w:r>
            <w:r w:rsidRPr="00FF756A">
              <w:rPr>
                <w:i/>
                <w:sz w:val="20"/>
                <w:szCs w:val="20"/>
              </w:rPr>
              <w:t>me përjashtim të ndërtesave të tjera publike në pronësi të bashkive etj.</w:t>
            </w:r>
            <w:r w:rsidRPr="00FF756A">
              <w:rPr>
                <w:i/>
                <w:iCs/>
                <w:sz w:val="20"/>
                <w:szCs w:val="20"/>
              </w:rPr>
              <w:t>)</w:t>
            </w:r>
          </w:p>
        </w:tc>
        <w:tc>
          <w:tcPr>
            <w:tcW w:w="821" w:type="pct"/>
            <w:vAlign w:val="center"/>
          </w:tcPr>
          <w:p w14:paraId="415393F1" w14:textId="77777777" w:rsidR="00835192" w:rsidRPr="00FF756A" w:rsidRDefault="00835192" w:rsidP="00835192">
            <w:pPr>
              <w:spacing w:after="0" w:line="240" w:lineRule="auto"/>
              <w:jc w:val="left"/>
              <w:rPr>
                <w:sz w:val="20"/>
                <w:szCs w:val="20"/>
              </w:rPr>
            </w:pPr>
            <w:r w:rsidRPr="00FF756A">
              <w:rPr>
                <w:sz w:val="20"/>
                <w:szCs w:val="20"/>
              </w:rPr>
              <w:t>Investuese; Rregullatore</w:t>
            </w:r>
          </w:p>
        </w:tc>
        <w:tc>
          <w:tcPr>
            <w:tcW w:w="597" w:type="pct"/>
            <w:vAlign w:val="center"/>
          </w:tcPr>
          <w:p w14:paraId="3E5F4B82"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10FE2C23" w14:textId="77777777" w:rsidTr="006A3266">
        <w:trPr>
          <w:trHeight w:val="20"/>
        </w:trPr>
        <w:tc>
          <w:tcPr>
            <w:tcW w:w="359" w:type="pct"/>
            <w:vMerge/>
            <w:shd w:val="clear" w:color="auto" w:fill="FFF2CC" w:themeFill="accent4" w:themeFillTint="33"/>
          </w:tcPr>
          <w:p w14:paraId="0AB140F2" w14:textId="77777777" w:rsidR="00835192" w:rsidRPr="00FF756A" w:rsidRDefault="00835192" w:rsidP="00835192">
            <w:pPr>
              <w:rPr>
                <w:sz w:val="20"/>
                <w:szCs w:val="20"/>
              </w:rPr>
            </w:pPr>
          </w:p>
        </w:tc>
        <w:tc>
          <w:tcPr>
            <w:tcW w:w="313" w:type="pct"/>
            <w:vAlign w:val="center"/>
          </w:tcPr>
          <w:p w14:paraId="4D154075" w14:textId="77777777" w:rsidR="00835192" w:rsidRPr="00FF756A" w:rsidRDefault="00835192" w:rsidP="00835192">
            <w:pPr>
              <w:spacing w:after="0" w:line="240" w:lineRule="auto"/>
              <w:jc w:val="center"/>
              <w:rPr>
                <w:sz w:val="18"/>
                <w:szCs w:val="18"/>
              </w:rPr>
            </w:pPr>
            <w:r w:rsidRPr="00FF756A">
              <w:rPr>
                <w:sz w:val="18"/>
                <w:szCs w:val="18"/>
              </w:rPr>
              <w:t>44</w:t>
            </w:r>
          </w:p>
        </w:tc>
        <w:tc>
          <w:tcPr>
            <w:tcW w:w="448" w:type="pct"/>
            <w:vAlign w:val="center"/>
          </w:tcPr>
          <w:p w14:paraId="4356995A" w14:textId="77777777" w:rsidR="00835192" w:rsidRPr="00FF756A" w:rsidRDefault="00835192" w:rsidP="00835192">
            <w:pPr>
              <w:spacing w:after="0" w:line="240" w:lineRule="auto"/>
              <w:jc w:val="left"/>
              <w:rPr>
                <w:sz w:val="20"/>
                <w:szCs w:val="20"/>
              </w:rPr>
            </w:pPr>
            <w:r w:rsidRPr="00FF756A">
              <w:rPr>
                <w:sz w:val="20"/>
                <w:szCs w:val="20"/>
              </w:rPr>
              <w:t>EE-L5</w:t>
            </w:r>
          </w:p>
        </w:tc>
        <w:tc>
          <w:tcPr>
            <w:tcW w:w="2463" w:type="pct"/>
            <w:vAlign w:val="center"/>
          </w:tcPr>
          <w:p w14:paraId="6C45EB28" w14:textId="77777777" w:rsidR="00835192" w:rsidRPr="00FF756A" w:rsidRDefault="00835192" w:rsidP="00835192">
            <w:pPr>
              <w:spacing w:after="0" w:line="240" w:lineRule="auto"/>
              <w:jc w:val="left"/>
              <w:rPr>
                <w:sz w:val="20"/>
                <w:szCs w:val="20"/>
              </w:rPr>
            </w:pPr>
            <w:r w:rsidRPr="00FF756A">
              <w:rPr>
                <w:sz w:val="20"/>
                <w:szCs w:val="20"/>
              </w:rPr>
              <w:t>Rikonstruktimi i stokut të ndërtesave publike (të gjitha ndërtesat publike me përjashtim të atyre të qeverisë qendrore)</w:t>
            </w:r>
          </w:p>
        </w:tc>
        <w:tc>
          <w:tcPr>
            <w:tcW w:w="821" w:type="pct"/>
            <w:vAlign w:val="center"/>
          </w:tcPr>
          <w:p w14:paraId="515B5916" w14:textId="77777777" w:rsidR="00835192" w:rsidRPr="00FF756A" w:rsidRDefault="00835192" w:rsidP="00835192">
            <w:pPr>
              <w:spacing w:after="0" w:line="240" w:lineRule="auto"/>
              <w:jc w:val="left"/>
              <w:rPr>
                <w:sz w:val="20"/>
                <w:szCs w:val="20"/>
              </w:rPr>
            </w:pPr>
            <w:r w:rsidRPr="00FF756A">
              <w:rPr>
                <w:sz w:val="20"/>
                <w:szCs w:val="20"/>
              </w:rPr>
              <w:t>Investuese; Rregullatore</w:t>
            </w:r>
          </w:p>
        </w:tc>
        <w:tc>
          <w:tcPr>
            <w:tcW w:w="597" w:type="pct"/>
            <w:vAlign w:val="center"/>
          </w:tcPr>
          <w:p w14:paraId="38758F10"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351C480C" w14:textId="77777777" w:rsidTr="006A3266">
        <w:trPr>
          <w:trHeight w:val="20"/>
        </w:trPr>
        <w:tc>
          <w:tcPr>
            <w:tcW w:w="359" w:type="pct"/>
            <w:vMerge/>
            <w:shd w:val="clear" w:color="auto" w:fill="FFF2CC" w:themeFill="accent4" w:themeFillTint="33"/>
          </w:tcPr>
          <w:p w14:paraId="01EFED98" w14:textId="77777777" w:rsidR="00835192" w:rsidRPr="00FF756A" w:rsidRDefault="00835192" w:rsidP="00835192">
            <w:pPr>
              <w:rPr>
                <w:sz w:val="20"/>
                <w:szCs w:val="20"/>
              </w:rPr>
            </w:pPr>
          </w:p>
        </w:tc>
        <w:tc>
          <w:tcPr>
            <w:tcW w:w="313" w:type="pct"/>
            <w:vAlign w:val="center"/>
          </w:tcPr>
          <w:p w14:paraId="6C7AA081" w14:textId="77777777" w:rsidR="00835192" w:rsidRPr="00FF756A" w:rsidRDefault="00835192" w:rsidP="00835192">
            <w:pPr>
              <w:spacing w:after="0" w:line="240" w:lineRule="auto"/>
              <w:jc w:val="center"/>
              <w:rPr>
                <w:sz w:val="18"/>
                <w:szCs w:val="18"/>
              </w:rPr>
            </w:pPr>
            <w:r w:rsidRPr="00FF756A">
              <w:rPr>
                <w:sz w:val="18"/>
                <w:szCs w:val="18"/>
              </w:rPr>
              <w:t>45</w:t>
            </w:r>
          </w:p>
        </w:tc>
        <w:tc>
          <w:tcPr>
            <w:tcW w:w="448" w:type="pct"/>
            <w:vAlign w:val="center"/>
          </w:tcPr>
          <w:p w14:paraId="376C6F39" w14:textId="77777777" w:rsidR="00835192" w:rsidRPr="00FF756A" w:rsidRDefault="00835192" w:rsidP="00835192">
            <w:pPr>
              <w:spacing w:after="0" w:line="240" w:lineRule="auto"/>
              <w:jc w:val="left"/>
              <w:rPr>
                <w:sz w:val="20"/>
                <w:szCs w:val="20"/>
              </w:rPr>
            </w:pPr>
            <w:r w:rsidRPr="00FF756A">
              <w:rPr>
                <w:sz w:val="20"/>
                <w:szCs w:val="20"/>
              </w:rPr>
              <w:t>EE-L6</w:t>
            </w:r>
          </w:p>
        </w:tc>
        <w:tc>
          <w:tcPr>
            <w:tcW w:w="2463" w:type="pct"/>
            <w:vAlign w:val="center"/>
          </w:tcPr>
          <w:p w14:paraId="55F3BFF0" w14:textId="77777777" w:rsidR="00835192" w:rsidRPr="00FF756A" w:rsidRDefault="00835192" w:rsidP="00835192">
            <w:pPr>
              <w:spacing w:after="0" w:line="240" w:lineRule="auto"/>
              <w:jc w:val="left"/>
              <w:rPr>
                <w:sz w:val="20"/>
                <w:szCs w:val="20"/>
              </w:rPr>
            </w:pPr>
            <w:r w:rsidRPr="00FF756A">
              <w:rPr>
                <w:sz w:val="20"/>
                <w:szCs w:val="20"/>
              </w:rPr>
              <w:t>Skemat e mbështetjes financiare për përmirësimin e efiçencës së energjisë në ndërtesa (sektori privat)</w:t>
            </w:r>
          </w:p>
        </w:tc>
        <w:tc>
          <w:tcPr>
            <w:tcW w:w="821" w:type="pct"/>
            <w:vAlign w:val="center"/>
          </w:tcPr>
          <w:p w14:paraId="0317390D" w14:textId="77777777" w:rsidR="00835192" w:rsidRPr="00FF756A" w:rsidRDefault="00835192" w:rsidP="00835192">
            <w:pPr>
              <w:spacing w:after="0" w:line="240" w:lineRule="auto"/>
              <w:jc w:val="left"/>
              <w:rPr>
                <w:sz w:val="20"/>
                <w:szCs w:val="20"/>
              </w:rPr>
            </w:pPr>
            <w:r w:rsidRPr="00FF756A">
              <w:rPr>
                <w:sz w:val="20"/>
                <w:szCs w:val="20"/>
              </w:rPr>
              <w:t>Financiare; Fiskale</w:t>
            </w:r>
          </w:p>
        </w:tc>
        <w:tc>
          <w:tcPr>
            <w:tcW w:w="597" w:type="pct"/>
            <w:vAlign w:val="center"/>
          </w:tcPr>
          <w:p w14:paraId="2CF4598D"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444CD771" w14:textId="77777777" w:rsidTr="006A3266">
        <w:trPr>
          <w:trHeight w:val="20"/>
        </w:trPr>
        <w:tc>
          <w:tcPr>
            <w:tcW w:w="359" w:type="pct"/>
            <w:vMerge/>
            <w:shd w:val="clear" w:color="auto" w:fill="FFF2CC" w:themeFill="accent4" w:themeFillTint="33"/>
          </w:tcPr>
          <w:p w14:paraId="1904CC54" w14:textId="77777777" w:rsidR="00835192" w:rsidRPr="00FF756A" w:rsidRDefault="00835192" w:rsidP="00835192">
            <w:pPr>
              <w:rPr>
                <w:sz w:val="20"/>
                <w:szCs w:val="20"/>
              </w:rPr>
            </w:pPr>
          </w:p>
        </w:tc>
        <w:tc>
          <w:tcPr>
            <w:tcW w:w="313" w:type="pct"/>
            <w:vAlign w:val="center"/>
          </w:tcPr>
          <w:p w14:paraId="681F6F6E" w14:textId="77777777" w:rsidR="00835192" w:rsidRPr="00FF756A" w:rsidRDefault="00835192" w:rsidP="00835192">
            <w:pPr>
              <w:spacing w:after="0" w:line="240" w:lineRule="auto"/>
              <w:jc w:val="center"/>
              <w:rPr>
                <w:sz w:val="18"/>
                <w:szCs w:val="18"/>
              </w:rPr>
            </w:pPr>
            <w:r w:rsidRPr="00FF756A">
              <w:rPr>
                <w:sz w:val="18"/>
                <w:szCs w:val="18"/>
              </w:rPr>
              <w:t>46</w:t>
            </w:r>
          </w:p>
        </w:tc>
        <w:tc>
          <w:tcPr>
            <w:tcW w:w="448" w:type="pct"/>
            <w:vAlign w:val="center"/>
          </w:tcPr>
          <w:p w14:paraId="1902C2A7" w14:textId="77777777" w:rsidR="00835192" w:rsidRPr="00FF756A" w:rsidRDefault="00835192" w:rsidP="00835192">
            <w:pPr>
              <w:spacing w:after="0" w:line="240" w:lineRule="auto"/>
              <w:jc w:val="left"/>
              <w:rPr>
                <w:sz w:val="20"/>
                <w:szCs w:val="20"/>
              </w:rPr>
            </w:pPr>
            <w:r w:rsidRPr="00FF756A">
              <w:rPr>
                <w:sz w:val="20"/>
                <w:szCs w:val="20"/>
              </w:rPr>
              <w:t>EE-L7</w:t>
            </w:r>
          </w:p>
        </w:tc>
        <w:tc>
          <w:tcPr>
            <w:tcW w:w="2463" w:type="pct"/>
            <w:vAlign w:val="center"/>
          </w:tcPr>
          <w:p w14:paraId="19F24588" w14:textId="77777777" w:rsidR="00835192" w:rsidRPr="00FF756A" w:rsidRDefault="00835192" w:rsidP="00835192">
            <w:pPr>
              <w:spacing w:before="20" w:after="20"/>
              <w:jc w:val="left"/>
              <w:rPr>
                <w:sz w:val="20"/>
                <w:szCs w:val="20"/>
              </w:rPr>
            </w:pPr>
            <w:r w:rsidRPr="00FF756A">
              <w:rPr>
                <w:sz w:val="20"/>
                <w:szCs w:val="20"/>
              </w:rPr>
              <w:t>Auditimi i energjisë dhe rikonstruktimi i stokut të ndërtesave publike</w:t>
            </w:r>
          </w:p>
        </w:tc>
        <w:tc>
          <w:tcPr>
            <w:tcW w:w="821" w:type="pct"/>
            <w:vAlign w:val="center"/>
          </w:tcPr>
          <w:p w14:paraId="7E62231B" w14:textId="77777777" w:rsidR="00835192" w:rsidRPr="00FF756A" w:rsidRDefault="00835192" w:rsidP="00835192">
            <w:pPr>
              <w:spacing w:after="0" w:line="240" w:lineRule="auto"/>
              <w:jc w:val="left"/>
              <w:rPr>
                <w:sz w:val="20"/>
                <w:szCs w:val="20"/>
              </w:rPr>
            </w:pPr>
            <w:r w:rsidRPr="00FF756A">
              <w:rPr>
                <w:sz w:val="20"/>
                <w:szCs w:val="20"/>
              </w:rPr>
              <w:t xml:space="preserve">Financiare </w:t>
            </w:r>
          </w:p>
        </w:tc>
        <w:tc>
          <w:tcPr>
            <w:tcW w:w="597" w:type="pct"/>
            <w:vAlign w:val="center"/>
          </w:tcPr>
          <w:p w14:paraId="15E9C590"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230A235D" w14:textId="77777777" w:rsidTr="006A3266">
        <w:trPr>
          <w:trHeight w:val="20"/>
        </w:trPr>
        <w:tc>
          <w:tcPr>
            <w:tcW w:w="359" w:type="pct"/>
            <w:vMerge/>
            <w:shd w:val="clear" w:color="auto" w:fill="FFF2CC" w:themeFill="accent4" w:themeFillTint="33"/>
          </w:tcPr>
          <w:p w14:paraId="52F1D162" w14:textId="77777777" w:rsidR="00835192" w:rsidRPr="00FF756A" w:rsidRDefault="00835192" w:rsidP="00835192">
            <w:pPr>
              <w:rPr>
                <w:sz w:val="20"/>
                <w:szCs w:val="20"/>
              </w:rPr>
            </w:pPr>
          </w:p>
        </w:tc>
        <w:tc>
          <w:tcPr>
            <w:tcW w:w="313" w:type="pct"/>
            <w:vAlign w:val="center"/>
          </w:tcPr>
          <w:p w14:paraId="21FA7372" w14:textId="77777777" w:rsidR="00835192" w:rsidRPr="00FF756A" w:rsidRDefault="00835192" w:rsidP="00835192">
            <w:pPr>
              <w:spacing w:after="0" w:line="240" w:lineRule="auto"/>
              <w:jc w:val="center"/>
              <w:rPr>
                <w:sz w:val="18"/>
                <w:szCs w:val="18"/>
              </w:rPr>
            </w:pPr>
            <w:r w:rsidRPr="00FF756A">
              <w:rPr>
                <w:sz w:val="18"/>
                <w:szCs w:val="18"/>
              </w:rPr>
              <w:t>47</w:t>
            </w:r>
          </w:p>
        </w:tc>
        <w:tc>
          <w:tcPr>
            <w:tcW w:w="448" w:type="pct"/>
            <w:vAlign w:val="center"/>
          </w:tcPr>
          <w:p w14:paraId="202BA3E6" w14:textId="77777777" w:rsidR="00835192" w:rsidRPr="00FF756A" w:rsidRDefault="00835192" w:rsidP="00835192">
            <w:pPr>
              <w:spacing w:after="0" w:line="240" w:lineRule="auto"/>
              <w:jc w:val="left"/>
              <w:rPr>
                <w:sz w:val="20"/>
                <w:szCs w:val="20"/>
              </w:rPr>
            </w:pPr>
            <w:r w:rsidRPr="00FF756A">
              <w:rPr>
                <w:sz w:val="20"/>
                <w:szCs w:val="20"/>
              </w:rPr>
              <w:t>EE-L8</w:t>
            </w:r>
          </w:p>
        </w:tc>
        <w:tc>
          <w:tcPr>
            <w:tcW w:w="2463" w:type="pct"/>
            <w:vAlign w:val="center"/>
          </w:tcPr>
          <w:p w14:paraId="453B6CF8" w14:textId="77777777" w:rsidR="00835192" w:rsidRPr="00FF756A" w:rsidRDefault="00835192" w:rsidP="00835192">
            <w:pPr>
              <w:spacing w:after="0" w:line="240" w:lineRule="auto"/>
              <w:jc w:val="left"/>
              <w:rPr>
                <w:sz w:val="20"/>
                <w:szCs w:val="20"/>
              </w:rPr>
            </w:pPr>
            <w:r w:rsidRPr="00FF756A">
              <w:rPr>
                <w:sz w:val="20"/>
                <w:szCs w:val="20"/>
              </w:rPr>
              <w:t xml:space="preserve">Programi i rehabilitimit të efiçencës së energjisë në Qytetin Studenti I- Tiranë, Shqipëri - projekt pilot </w:t>
            </w:r>
          </w:p>
        </w:tc>
        <w:tc>
          <w:tcPr>
            <w:tcW w:w="821" w:type="pct"/>
            <w:vAlign w:val="center"/>
          </w:tcPr>
          <w:p w14:paraId="13D04BB3" w14:textId="77777777" w:rsidR="00835192" w:rsidRPr="00FF756A" w:rsidRDefault="00835192" w:rsidP="00835192">
            <w:pPr>
              <w:spacing w:after="0" w:line="240" w:lineRule="auto"/>
              <w:jc w:val="left"/>
              <w:rPr>
                <w:sz w:val="20"/>
                <w:szCs w:val="20"/>
              </w:rPr>
            </w:pPr>
            <w:r w:rsidRPr="00FF756A">
              <w:rPr>
                <w:sz w:val="20"/>
                <w:szCs w:val="20"/>
              </w:rPr>
              <w:t xml:space="preserve">Financiare </w:t>
            </w:r>
          </w:p>
        </w:tc>
        <w:tc>
          <w:tcPr>
            <w:tcW w:w="597" w:type="pct"/>
            <w:vAlign w:val="center"/>
          </w:tcPr>
          <w:p w14:paraId="38F4D131"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6817BAE2" w14:textId="77777777" w:rsidTr="006A3266">
        <w:trPr>
          <w:trHeight w:val="20"/>
        </w:trPr>
        <w:tc>
          <w:tcPr>
            <w:tcW w:w="359" w:type="pct"/>
            <w:vMerge/>
            <w:shd w:val="clear" w:color="auto" w:fill="FFF2CC" w:themeFill="accent4" w:themeFillTint="33"/>
          </w:tcPr>
          <w:p w14:paraId="56FB631A" w14:textId="77777777" w:rsidR="00835192" w:rsidRPr="00FF756A" w:rsidRDefault="00835192" w:rsidP="00835192">
            <w:pPr>
              <w:rPr>
                <w:sz w:val="20"/>
                <w:szCs w:val="20"/>
              </w:rPr>
            </w:pPr>
          </w:p>
        </w:tc>
        <w:tc>
          <w:tcPr>
            <w:tcW w:w="313" w:type="pct"/>
            <w:vAlign w:val="center"/>
          </w:tcPr>
          <w:p w14:paraId="0515BEC1" w14:textId="77777777" w:rsidR="00835192" w:rsidRPr="00FF756A" w:rsidRDefault="00835192" w:rsidP="00835192">
            <w:pPr>
              <w:spacing w:after="0" w:line="240" w:lineRule="auto"/>
              <w:jc w:val="center"/>
              <w:rPr>
                <w:sz w:val="18"/>
                <w:szCs w:val="18"/>
              </w:rPr>
            </w:pPr>
            <w:r w:rsidRPr="00FF756A">
              <w:rPr>
                <w:sz w:val="18"/>
                <w:szCs w:val="18"/>
              </w:rPr>
              <w:t>48</w:t>
            </w:r>
          </w:p>
        </w:tc>
        <w:tc>
          <w:tcPr>
            <w:tcW w:w="448" w:type="pct"/>
            <w:vAlign w:val="center"/>
          </w:tcPr>
          <w:p w14:paraId="2E43B194" w14:textId="77777777" w:rsidR="00835192" w:rsidRPr="00FF756A" w:rsidRDefault="00835192" w:rsidP="00835192">
            <w:pPr>
              <w:spacing w:after="0" w:line="240" w:lineRule="auto"/>
              <w:jc w:val="left"/>
              <w:rPr>
                <w:sz w:val="20"/>
                <w:szCs w:val="20"/>
              </w:rPr>
            </w:pPr>
            <w:r w:rsidRPr="00FF756A">
              <w:rPr>
                <w:sz w:val="20"/>
                <w:szCs w:val="20"/>
              </w:rPr>
              <w:t>EE-S1</w:t>
            </w:r>
          </w:p>
        </w:tc>
        <w:tc>
          <w:tcPr>
            <w:tcW w:w="2463" w:type="pct"/>
            <w:vAlign w:val="center"/>
          </w:tcPr>
          <w:p w14:paraId="76004ED5" w14:textId="77777777" w:rsidR="00835192" w:rsidRPr="00FF756A" w:rsidRDefault="00835192" w:rsidP="00835192">
            <w:pPr>
              <w:spacing w:after="0" w:line="240" w:lineRule="auto"/>
              <w:jc w:val="left"/>
              <w:rPr>
                <w:sz w:val="20"/>
                <w:szCs w:val="20"/>
              </w:rPr>
            </w:pPr>
            <w:r w:rsidRPr="00FF756A">
              <w:rPr>
                <w:sz w:val="20"/>
                <w:szCs w:val="20"/>
              </w:rPr>
              <w:t>Zbatimi i modeleve të ESCO</w:t>
            </w:r>
          </w:p>
        </w:tc>
        <w:tc>
          <w:tcPr>
            <w:tcW w:w="821" w:type="pct"/>
            <w:vAlign w:val="center"/>
          </w:tcPr>
          <w:p w14:paraId="04DD39F1" w14:textId="77777777" w:rsidR="00835192" w:rsidRPr="00FF756A" w:rsidRDefault="00835192" w:rsidP="00835192">
            <w:pPr>
              <w:spacing w:after="0" w:line="240" w:lineRule="auto"/>
              <w:jc w:val="left"/>
              <w:rPr>
                <w:sz w:val="20"/>
                <w:szCs w:val="20"/>
              </w:rPr>
            </w:pPr>
            <w:r w:rsidRPr="00FF756A">
              <w:rPr>
                <w:sz w:val="20"/>
                <w:szCs w:val="20"/>
              </w:rPr>
              <w:t>Rregullatore; Financiare</w:t>
            </w:r>
          </w:p>
        </w:tc>
        <w:tc>
          <w:tcPr>
            <w:tcW w:w="597" w:type="pct"/>
            <w:vAlign w:val="center"/>
          </w:tcPr>
          <w:p w14:paraId="36049011"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68DF8870" w14:textId="77777777" w:rsidTr="006A3266">
        <w:trPr>
          <w:trHeight w:val="20"/>
        </w:trPr>
        <w:tc>
          <w:tcPr>
            <w:tcW w:w="359" w:type="pct"/>
            <w:vMerge/>
            <w:shd w:val="clear" w:color="auto" w:fill="FFF2CC" w:themeFill="accent4" w:themeFillTint="33"/>
          </w:tcPr>
          <w:p w14:paraId="716960B7" w14:textId="77777777" w:rsidR="00835192" w:rsidRPr="00FF756A" w:rsidRDefault="00835192" w:rsidP="00835192">
            <w:pPr>
              <w:rPr>
                <w:sz w:val="20"/>
                <w:szCs w:val="20"/>
              </w:rPr>
            </w:pPr>
          </w:p>
        </w:tc>
        <w:tc>
          <w:tcPr>
            <w:tcW w:w="313" w:type="pct"/>
            <w:vAlign w:val="center"/>
          </w:tcPr>
          <w:p w14:paraId="72B04CE8" w14:textId="77777777" w:rsidR="00835192" w:rsidRPr="00FF756A" w:rsidRDefault="00835192" w:rsidP="00835192">
            <w:pPr>
              <w:spacing w:after="0" w:line="240" w:lineRule="auto"/>
              <w:jc w:val="center"/>
              <w:rPr>
                <w:sz w:val="18"/>
                <w:szCs w:val="18"/>
              </w:rPr>
            </w:pPr>
            <w:r w:rsidRPr="00FF756A">
              <w:rPr>
                <w:sz w:val="18"/>
                <w:szCs w:val="18"/>
              </w:rPr>
              <w:t>49</w:t>
            </w:r>
          </w:p>
        </w:tc>
        <w:tc>
          <w:tcPr>
            <w:tcW w:w="448" w:type="pct"/>
            <w:vAlign w:val="center"/>
          </w:tcPr>
          <w:p w14:paraId="70834701" w14:textId="77777777" w:rsidR="00835192" w:rsidRPr="00FF756A" w:rsidRDefault="00835192" w:rsidP="00835192">
            <w:pPr>
              <w:spacing w:after="0" w:line="240" w:lineRule="auto"/>
              <w:jc w:val="left"/>
              <w:rPr>
                <w:sz w:val="20"/>
                <w:szCs w:val="20"/>
              </w:rPr>
            </w:pPr>
            <w:r w:rsidRPr="00FF756A">
              <w:rPr>
                <w:sz w:val="20"/>
                <w:szCs w:val="20"/>
              </w:rPr>
              <w:t>EE-P1</w:t>
            </w:r>
          </w:p>
        </w:tc>
        <w:tc>
          <w:tcPr>
            <w:tcW w:w="2463" w:type="pct"/>
            <w:vAlign w:val="center"/>
          </w:tcPr>
          <w:p w14:paraId="7747F2C3" w14:textId="77777777" w:rsidR="00835192" w:rsidRPr="00FF756A" w:rsidRDefault="00835192" w:rsidP="00835192">
            <w:pPr>
              <w:spacing w:after="0" w:line="240" w:lineRule="auto"/>
              <w:jc w:val="left"/>
              <w:rPr>
                <w:sz w:val="20"/>
                <w:szCs w:val="20"/>
              </w:rPr>
            </w:pPr>
            <w:r w:rsidRPr="00FF756A">
              <w:rPr>
                <w:sz w:val="20"/>
                <w:szCs w:val="20"/>
              </w:rPr>
              <w:t>Masat për efiçencën e energjisë që lidhen me blerjen nga autoritetet publike</w:t>
            </w:r>
          </w:p>
        </w:tc>
        <w:tc>
          <w:tcPr>
            <w:tcW w:w="821" w:type="pct"/>
            <w:vAlign w:val="center"/>
          </w:tcPr>
          <w:p w14:paraId="1E39175B"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0F41C2EC"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57F844AE" w14:textId="77777777" w:rsidTr="006A3266">
        <w:trPr>
          <w:trHeight w:val="20"/>
        </w:trPr>
        <w:tc>
          <w:tcPr>
            <w:tcW w:w="359" w:type="pct"/>
            <w:vMerge/>
            <w:shd w:val="clear" w:color="auto" w:fill="FFF2CC" w:themeFill="accent4" w:themeFillTint="33"/>
          </w:tcPr>
          <w:p w14:paraId="62820D13" w14:textId="77777777" w:rsidR="00835192" w:rsidRPr="00FF756A" w:rsidRDefault="00835192" w:rsidP="00835192">
            <w:pPr>
              <w:rPr>
                <w:sz w:val="20"/>
                <w:szCs w:val="20"/>
              </w:rPr>
            </w:pPr>
          </w:p>
        </w:tc>
        <w:tc>
          <w:tcPr>
            <w:tcW w:w="313" w:type="pct"/>
            <w:vAlign w:val="center"/>
          </w:tcPr>
          <w:p w14:paraId="323C6A52" w14:textId="77777777" w:rsidR="00835192" w:rsidRPr="00FF756A" w:rsidRDefault="00835192" w:rsidP="00835192">
            <w:pPr>
              <w:spacing w:after="0" w:line="240" w:lineRule="auto"/>
              <w:jc w:val="center"/>
              <w:rPr>
                <w:sz w:val="18"/>
                <w:szCs w:val="18"/>
              </w:rPr>
            </w:pPr>
            <w:r w:rsidRPr="00FF756A">
              <w:rPr>
                <w:sz w:val="18"/>
                <w:szCs w:val="18"/>
              </w:rPr>
              <w:t>50</w:t>
            </w:r>
          </w:p>
        </w:tc>
        <w:tc>
          <w:tcPr>
            <w:tcW w:w="448" w:type="pct"/>
            <w:vAlign w:val="center"/>
          </w:tcPr>
          <w:p w14:paraId="52C78C27" w14:textId="77777777" w:rsidR="00835192" w:rsidRPr="00FF756A" w:rsidRDefault="00835192" w:rsidP="00835192">
            <w:pPr>
              <w:spacing w:after="0" w:line="240" w:lineRule="auto"/>
              <w:jc w:val="left"/>
              <w:rPr>
                <w:sz w:val="20"/>
                <w:szCs w:val="20"/>
              </w:rPr>
            </w:pPr>
            <w:r w:rsidRPr="00FF756A">
              <w:rPr>
                <w:sz w:val="20"/>
                <w:szCs w:val="20"/>
              </w:rPr>
              <w:t>EE-P2</w:t>
            </w:r>
          </w:p>
        </w:tc>
        <w:tc>
          <w:tcPr>
            <w:tcW w:w="2463" w:type="pct"/>
            <w:vAlign w:val="center"/>
          </w:tcPr>
          <w:p w14:paraId="4C588F21" w14:textId="7F040F8D" w:rsidR="00835192" w:rsidRPr="00FF756A" w:rsidRDefault="00835192" w:rsidP="00835192">
            <w:pPr>
              <w:spacing w:after="0" w:line="240" w:lineRule="auto"/>
              <w:jc w:val="left"/>
              <w:rPr>
                <w:sz w:val="20"/>
                <w:szCs w:val="20"/>
              </w:rPr>
            </w:pPr>
            <w:r w:rsidRPr="00FF756A">
              <w:rPr>
                <w:sz w:val="20"/>
                <w:szCs w:val="20"/>
              </w:rPr>
              <w:t xml:space="preserve">Planet </w:t>
            </w:r>
            <w:r w:rsidR="002F676D" w:rsidRPr="00FF756A">
              <w:rPr>
                <w:sz w:val="20"/>
                <w:szCs w:val="20"/>
              </w:rPr>
              <w:t>vendore</w:t>
            </w:r>
            <w:r w:rsidRPr="00FF756A">
              <w:rPr>
                <w:sz w:val="20"/>
                <w:szCs w:val="20"/>
              </w:rPr>
              <w:t xml:space="preserve"> të veprimit për efiçencën e energjisë, zbatimi dhe raportimi</w:t>
            </w:r>
          </w:p>
        </w:tc>
        <w:tc>
          <w:tcPr>
            <w:tcW w:w="821" w:type="pct"/>
            <w:vAlign w:val="center"/>
          </w:tcPr>
          <w:p w14:paraId="7C77D275" w14:textId="77777777" w:rsidR="00835192" w:rsidRPr="00FF756A" w:rsidRDefault="00835192" w:rsidP="00835192">
            <w:pPr>
              <w:spacing w:after="0" w:line="240" w:lineRule="auto"/>
              <w:jc w:val="left"/>
              <w:rPr>
                <w:sz w:val="20"/>
                <w:szCs w:val="20"/>
              </w:rPr>
            </w:pPr>
            <w:r w:rsidRPr="00FF756A">
              <w:rPr>
                <w:sz w:val="20"/>
                <w:szCs w:val="20"/>
              </w:rPr>
              <w:t>Rregullatore, Edukative</w:t>
            </w:r>
          </w:p>
        </w:tc>
        <w:tc>
          <w:tcPr>
            <w:tcW w:w="597" w:type="pct"/>
            <w:vAlign w:val="center"/>
          </w:tcPr>
          <w:p w14:paraId="1BD1BACE"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46F3A6C0" w14:textId="77777777" w:rsidTr="006A3266">
        <w:trPr>
          <w:trHeight w:val="20"/>
        </w:trPr>
        <w:tc>
          <w:tcPr>
            <w:tcW w:w="359" w:type="pct"/>
            <w:vMerge/>
            <w:shd w:val="clear" w:color="auto" w:fill="FFF2CC" w:themeFill="accent4" w:themeFillTint="33"/>
          </w:tcPr>
          <w:p w14:paraId="6A6FAADD" w14:textId="77777777" w:rsidR="00835192" w:rsidRPr="00FF756A" w:rsidRDefault="00835192" w:rsidP="00835192">
            <w:pPr>
              <w:rPr>
                <w:sz w:val="20"/>
                <w:szCs w:val="20"/>
              </w:rPr>
            </w:pPr>
          </w:p>
        </w:tc>
        <w:tc>
          <w:tcPr>
            <w:tcW w:w="313" w:type="pct"/>
            <w:vAlign w:val="center"/>
          </w:tcPr>
          <w:p w14:paraId="58FAD074" w14:textId="77777777" w:rsidR="00835192" w:rsidRPr="00FF756A" w:rsidRDefault="00835192" w:rsidP="00835192">
            <w:pPr>
              <w:spacing w:after="0" w:line="240" w:lineRule="auto"/>
              <w:jc w:val="center"/>
              <w:rPr>
                <w:sz w:val="18"/>
                <w:szCs w:val="18"/>
              </w:rPr>
            </w:pPr>
            <w:r w:rsidRPr="00FF756A">
              <w:rPr>
                <w:sz w:val="18"/>
                <w:szCs w:val="18"/>
              </w:rPr>
              <w:t>51</w:t>
            </w:r>
          </w:p>
        </w:tc>
        <w:tc>
          <w:tcPr>
            <w:tcW w:w="448" w:type="pct"/>
            <w:vAlign w:val="center"/>
          </w:tcPr>
          <w:p w14:paraId="291BC8C2" w14:textId="77777777" w:rsidR="00835192" w:rsidRPr="00FF756A" w:rsidRDefault="00835192" w:rsidP="00835192">
            <w:pPr>
              <w:spacing w:after="0" w:line="240" w:lineRule="auto"/>
              <w:jc w:val="left"/>
              <w:rPr>
                <w:sz w:val="20"/>
                <w:szCs w:val="20"/>
              </w:rPr>
            </w:pPr>
            <w:r w:rsidRPr="00FF756A">
              <w:rPr>
                <w:sz w:val="20"/>
                <w:szCs w:val="20"/>
              </w:rPr>
              <w:t>EE-P3</w:t>
            </w:r>
          </w:p>
        </w:tc>
        <w:tc>
          <w:tcPr>
            <w:tcW w:w="2463" w:type="pct"/>
            <w:vAlign w:val="center"/>
          </w:tcPr>
          <w:p w14:paraId="29F1936B" w14:textId="77777777" w:rsidR="00835192" w:rsidRPr="00FF756A" w:rsidRDefault="00835192" w:rsidP="00835192">
            <w:pPr>
              <w:spacing w:after="0" w:line="240" w:lineRule="auto"/>
              <w:jc w:val="left"/>
              <w:rPr>
                <w:sz w:val="20"/>
                <w:szCs w:val="20"/>
              </w:rPr>
            </w:pPr>
            <w:r w:rsidRPr="00FF756A">
              <w:rPr>
                <w:sz w:val="20"/>
                <w:szCs w:val="20"/>
              </w:rPr>
              <w:t>Përgatitja e planeve të integruara zhvillimore bashkiake/rajonale të cilat janë të lidhura me PKEK-në</w:t>
            </w:r>
          </w:p>
        </w:tc>
        <w:tc>
          <w:tcPr>
            <w:tcW w:w="821" w:type="pct"/>
            <w:vAlign w:val="center"/>
          </w:tcPr>
          <w:p w14:paraId="33B13AA7" w14:textId="77777777" w:rsidR="00835192" w:rsidRPr="00FF756A" w:rsidRDefault="00835192" w:rsidP="00835192">
            <w:pPr>
              <w:spacing w:after="0" w:line="240" w:lineRule="auto"/>
              <w:jc w:val="left"/>
              <w:rPr>
                <w:sz w:val="20"/>
                <w:szCs w:val="20"/>
              </w:rPr>
            </w:pPr>
            <w:r w:rsidRPr="00FF756A">
              <w:rPr>
                <w:sz w:val="20"/>
                <w:szCs w:val="20"/>
              </w:rPr>
              <w:t>Rregullatore; Teknike</w:t>
            </w:r>
          </w:p>
        </w:tc>
        <w:tc>
          <w:tcPr>
            <w:tcW w:w="597" w:type="pct"/>
            <w:vAlign w:val="center"/>
          </w:tcPr>
          <w:p w14:paraId="3123D6C9"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0134B6DC" w14:textId="77777777" w:rsidTr="006A3266">
        <w:trPr>
          <w:trHeight w:val="20"/>
        </w:trPr>
        <w:tc>
          <w:tcPr>
            <w:tcW w:w="359" w:type="pct"/>
            <w:vMerge/>
            <w:shd w:val="clear" w:color="auto" w:fill="FFF2CC" w:themeFill="accent4" w:themeFillTint="33"/>
          </w:tcPr>
          <w:p w14:paraId="0C50E367" w14:textId="77777777" w:rsidR="00835192" w:rsidRPr="00FF756A" w:rsidRDefault="00835192" w:rsidP="00835192">
            <w:pPr>
              <w:rPr>
                <w:sz w:val="20"/>
                <w:szCs w:val="20"/>
              </w:rPr>
            </w:pPr>
          </w:p>
        </w:tc>
        <w:tc>
          <w:tcPr>
            <w:tcW w:w="313" w:type="pct"/>
            <w:vAlign w:val="center"/>
          </w:tcPr>
          <w:p w14:paraId="16309D1E" w14:textId="77777777" w:rsidR="00835192" w:rsidRPr="00FF756A" w:rsidRDefault="00835192" w:rsidP="00835192">
            <w:pPr>
              <w:spacing w:after="0" w:line="240" w:lineRule="auto"/>
              <w:jc w:val="center"/>
              <w:rPr>
                <w:sz w:val="18"/>
                <w:szCs w:val="18"/>
              </w:rPr>
            </w:pPr>
            <w:r w:rsidRPr="00FF756A">
              <w:rPr>
                <w:sz w:val="18"/>
                <w:szCs w:val="18"/>
              </w:rPr>
              <w:t>52</w:t>
            </w:r>
          </w:p>
        </w:tc>
        <w:tc>
          <w:tcPr>
            <w:tcW w:w="448" w:type="pct"/>
            <w:vAlign w:val="center"/>
          </w:tcPr>
          <w:p w14:paraId="6208524D" w14:textId="77777777" w:rsidR="00835192" w:rsidRPr="00FF756A" w:rsidRDefault="00835192" w:rsidP="00835192">
            <w:pPr>
              <w:spacing w:after="0" w:line="240" w:lineRule="auto"/>
              <w:jc w:val="left"/>
              <w:rPr>
                <w:sz w:val="20"/>
                <w:szCs w:val="20"/>
              </w:rPr>
            </w:pPr>
            <w:r w:rsidRPr="00FF756A">
              <w:rPr>
                <w:sz w:val="20"/>
                <w:szCs w:val="20"/>
              </w:rPr>
              <w:t>EE-E1</w:t>
            </w:r>
          </w:p>
        </w:tc>
        <w:tc>
          <w:tcPr>
            <w:tcW w:w="2463" w:type="pct"/>
            <w:vAlign w:val="center"/>
          </w:tcPr>
          <w:p w14:paraId="744A3BF8" w14:textId="77777777" w:rsidR="00835192" w:rsidRPr="00FF756A" w:rsidRDefault="00835192" w:rsidP="00835192">
            <w:pPr>
              <w:spacing w:after="0" w:line="240" w:lineRule="auto"/>
              <w:jc w:val="left"/>
              <w:rPr>
                <w:sz w:val="20"/>
                <w:szCs w:val="20"/>
              </w:rPr>
            </w:pPr>
            <w:r w:rsidRPr="00FF756A">
              <w:rPr>
                <w:sz w:val="20"/>
                <w:szCs w:val="20"/>
              </w:rPr>
              <w:t>Auditimet e energjisë për konsumatorët e mëdhenj, me fokus në aktivitetet industriale</w:t>
            </w:r>
          </w:p>
        </w:tc>
        <w:tc>
          <w:tcPr>
            <w:tcW w:w="821" w:type="pct"/>
            <w:vAlign w:val="center"/>
          </w:tcPr>
          <w:p w14:paraId="5EEB9DCA" w14:textId="77777777" w:rsidR="00835192" w:rsidRPr="00FF756A" w:rsidRDefault="00835192" w:rsidP="00835192">
            <w:pPr>
              <w:spacing w:after="0" w:line="240" w:lineRule="auto"/>
              <w:jc w:val="left"/>
              <w:rPr>
                <w:sz w:val="20"/>
                <w:szCs w:val="20"/>
              </w:rPr>
            </w:pPr>
            <w:r w:rsidRPr="00FF756A">
              <w:rPr>
                <w:sz w:val="20"/>
                <w:szCs w:val="20"/>
              </w:rPr>
              <w:t>Rregullatore; Organizative</w:t>
            </w:r>
          </w:p>
        </w:tc>
        <w:tc>
          <w:tcPr>
            <w:tcW w:w="597" w:type="pct"/>
            <w:vAlign w:val="center"/>
          </w:tcPr>
          <w:p w14:paraId="1011429A"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5B72D890" w14:textId="77777777" w:rsidTr="006A3266">
        <w:trPr>
          <w:trHeight w:val="20"/>
        </w:trPr>
        <w:tc>
          <w:tcPr>
            <w:tcW w:w="359" w:type="pct"/>
            <w:vMerge/>
            <w:shd w:val="clear" w:color="auto" w:fill="FFF2CC" w:themeFill="accent4" w:themeFillTint="33"/>
          </w:tcPr>
          <w:p w14:paraId="5E57D024" w14:textId="77777777" w:rsidR="00835192" w:rsidRPr="00FF756A" w:rsidRDefault="00835192" w:rsidP="00835192">
            <w:pPr>
              <w:rPr>
                <w:sz w:val="20"/>
                <w:szCs w:val="20"/>
              </w:rPr>
            </w:pPr>
          </w:p>
        </w:tc>
        <w:tc>
          <w:tcPr>
            <w:tcW w:w="313" w:type="pct"/>
            <w:vAlign w:val="center"/>
          </w:tcPr>
          <w:p w14:paraId="69D8D416" w14:textId="77777777" w:rsidR="00835192" w:rsidRPr="00FF756A" w:rsidRDefault="00835192" w:rsidP="00835192">
            <w:pPr>
              <w:spacing w:after="0" w:line="240" w:lineRule="auto"/>
              <w:jc w:val="center"/>
              <w:rPr>
                <w:sz w:val="18"/>
                <w:szCs w:val="18"/>
              </w:rPr>
            </w:pPr>
            <w:r w:rsidRPr="00FF756A">
              <w:rPr>
                <w:sz w:val="18"/>
                <w:szCs w:val="18"/>
              </w:rPr>
              <w:t>53</w:t>
            </w:r>
          </w:p>
        </w:tc>
        <w:tc>
          <w:tcPr>
            <w:tcW w:w="448" w:type="pct"/>
            <w:vAlign w:val="center"/>
          </w:tcPr>
          <w:p w14:paraId="3E4D4195" w14:textId="77777777" w:rsidR="00835192" w:rsidRPr="00FF756A" w:rsidRDefault="00835192" w:rsidP="00835192">
            <w:pPr>
              <w:spacing w:after="0" w:line="240" w:lineRule="auto"/>
              <w:jc w:val="left"/>
              <w:rPr>
                <w:sz w:val="20"/>
                <w:szCs w:val="20"/>
              </w:rPr>
            </w:pPr>
            <w:r w:rsidRPr="00FF756A">
              <w:rPr>
                <w:sz w:val="20"/>
                <w:szCs w:val="20"/>
              </w:rPr>
              <w:t>EE-E2</w:t>
            </w:r>
          </w:p>
        </w:tc>
        <w:tc>
          <w:tcPr>
            <w:tcW w:w="2463" w:type="pct"/>
            <w:vAlign w:val="center"/>
          </w:tcPr>
          <w:p w14:paraId="34D9D90E" w14:textId="77777777" w:rsidR="00835192" w:rsidRPr="00FF756A" w:rsidRDefault="00835192" w:rsidP="00835192">
            <w:pPr>
              <w:spacing w:after="0" w:line="240" w:lineRule="auto"/>
              <w:jc w:val="left"/>
              <w:rPr>
                <w:sz w:val="20"/>
                <w:szCs w:val="20"/>
              </w:rPr>
            </w:pPr>
            <w:r w:rsidRPr="00FF756A">
              <w:rPr>
                <w:sz w:val="20"/>
                <w:szCs w:val="20"/>
              </w:rPr>
              <w:t>Sistemet e menaxhimit të energjisë për NVM-të</w:t>
            </w:r>
          </w:p>
        </w:tc>
        <w:tc>
          <w:tcPr>
            <w:tcW w:w="821" w:type="pct"/>
            <w:vAlign w:val="center"/>
          </w:tcPr>
          <w:p w14:paraId="2468C574" w14:textId="77777777" w:rsidR="00835192" w:rsidRPr="00FF756A" w:rsidRDefault="00835192" w:rsidP="00835192">
            <w:pPr>
              <w:spacing w:after="0" w:line="240" w:lineRule="auto"/>
              <w:jc w:val="left"/>
              <w:rPr>
                <w:sz w:val="20"/>
                <w:szCs w:val="20"/>
              </w:rPr>
            </w:pPr>
            <w:r w:rsidRPr="00FF756A">
              <w:rPr>
                <w:sz w:val="20"/>
                <w:szCs w:val="20"/>
              </w:rPr>
              <w:t>Rregullatore; Organizative; Promocionale</w:t>
            </w:r>
          </w:p>
        </w:tc>
        <w:tc>
          <w:tcPr>
            <w:tcW w:w="597" w:type="pct"/>
            <w:vAlign w:val="center"/>
          </w:tcPr>
          <w:p w14:paraId="626BC509"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5A964FB5" w14:textId="77777777" w:rsidTr="006A3266">
        <w:trPr>
          <w:trHeight w:val="20"/>
        </w:trPr>
        <w:tc>
          <w:tcPr>
            <w:tcW w:w="359" w:type="pct"/>
            <w:vMerge/>
            <w:shd w:val="clear" w:color="auto" w:fill="FFF2CC" w:themeFill="accent4" w:themeFillTint="33"/>
          </w:tcPr>
          <w:p w14:paraId="5FEAF489" w14:textId="77777777" w:rsidR="00835192" w:rsidRPr="00FF756A" w:rsidRDefault="00835192" w:rsidP="00835192">
            <w:pPr>
              <w:rPr>
                <w:sz w:val="20"/>
                <w:szCs w:val="20"/>
              </w:rPr>
            </w:pPr>
          </w:p>
        </w:tc>
        <w:tc>
          <w:tcPr>
            <w:tcW w:w="313" w:type="pct"/>
            <w:vAlign w:val="center"/>
          </w:tcPr>
          <w:p w14:paraId="53B41F02" w14:textId="77777777" w:rsidR="00835192" w:rsidRPr="00FF756A" w:rsidRDefault="00835192" w:rsidP="00835192">
            <w:pPr>
              <w:spacing w:after="0" w:line="240" w:lineRule="auto"/>
              <w:jc w:val="center"/>
              <w:rPr>
                <w:sz w:val="18"/>
                <w:szCs w:val="18"/>
              </w:rPr>
            </w:pPr>
            <w:r w:rsidRPr="00FF756A">
              <w:rPr>
                <w:sz w:val="18"/>
                <w:szCs w:val="18"/>
              </w:rPr>
              <w:t>54</w:t>
            </w:r>
          </w:p>
        </w:tc>
        <w:tc>
          <w:tcPr>
            <w:tcW w:w="448" w:type="pct"/>
            <w:vAlign w:val="center"/>
          </w:tcPr>
          <w:p w14:paraId="40167781" w14:textId="77777777" w:rsidR="00835192" w:rsidRPr="00FF756A" w:rsidRDefault="00835192" w:rsidP="00835192">
            <w:pPr>
              <w:spacing w:after="0" w:line="240" w:lineRule="auto"/>
              <w:jc w:val="left"/>
              <w:rPr>
                <w:sz w:val="20"/>
                <w:szCs w:val="20"/>
              </w:rPr>
            </w:pPr>
            <w:r w:rsidRPr="00FF756A">
              <w:rPr>
                <w:sz w:val="20"/>
                <w:szCs w:val="20"/>
              </w:rPr>
              <w:t>EE-C1</w:t>
            </w:r>
          </w:p>
        </w:tc>
        <w:tc>
          <w:tcPr>
            <w:tcW w:w="2463" w:type="pct"/>
            <w:vAlign w:val="center"/>
          </w:tcPr>
          <w:p w14:paraId="38F3594B" w14:textId="77777777" w:rsidR="00835192" w:rsidRPr="00FF756A" w:rsidRDefault="00835192" w:rsidP="00835192">
            <w:pPr>
              <w:spacing w:after="0" w:line="240" w:lineRule="auto"/>
              <w:jc w:val="left"/>
              <w:rPr>
                <w:sz w:val="20"/>
                <w:szCs w:val="20"/>
              </w:rPr>
            </w:pPr>
            <w:r w:rsidRPr="00FF756A">
              <w:rPr>
                <w:sz w:val="20"/>
                <w:szCs w:val="20"/>
              </w:rPr>
              <w:t>Prezantimi i kërkesave të etiketimit të energjisë dhe të dizajnit ekologjik</w:t>
            </w:r>
          </w:p>
        </w:tc>
        <w:tc>
          <w:tcPr>
            <w:tcW w:w="821" w:type="pct"/>
            <w:vAlign w:val="center"/>
          </w:tcPr>
          <w:p w14:paraId="6AB56C62" w14:textId="77777777" w:rsidR="00835192" w:rsidRPr="00FF756A" w:rsidRDefault="00835192" w:rsidP="00835192">
            <w:pPr>
              <w:spacing w:after="0" w:line="240" w:lineRule="auto"/>
              <w:jc w:val="left"/>
              <w:rPr>
                <w:sz w:val="20"/>
                <w:szCs w:val="20"/>
              </w:rPr>
            </w:pPr>
            <w:r w:rsidRPr="00FF756A">
              <w:rPr>
                <w:sz w:val="20"/>
                <w:szCs w:val="20"/>
              </w:rPr>
              <w:t>Rregullatore; Informative</w:t>
            </w:r>
          </w:p>
        </w:tc>
        <w:tc>
          <w:tcPr>
            <w:tcW w:w="597" w:type="pct"/>
            <w:vAlign w:val="center"/>
          </w:tcPr>
          <w:p w14:paraId="4D0BD925"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325AFDBA" w14:textId="77777777" w:rsidTr="006A3266">
        <w:trPr>
          <w:trHeight w:val="20"/>
        </w:trPr>
        <w:tc>
          <w:tcPr>
            <w:tcW w:w="359" w:type="pct"/>
            <w:vMerge/>
            <w:shd w:val="clear" w:color="auto" w:fill="FFF2CC" w:themeFill="accent4" w:themeFillTint="33"/>
          </w:tcPr>
          <w:p w14:paraId="537CC8D7" w14:textId="77777777" w:rsidR="00835192" w:rsidRPr="00FF756A" w:rsidRDefault="00835192" w:rsidP="00835192">
            <w:pPr>
              <w:rPr>
                <w:sz w:val="20"/>
                <w:szCs w:val="20"/>
              </w:rPr>
            </w:pPr>
          </w:p>
        </w:tc>
        <w:tc>
          <w:tcPr>
            <w:tcW w:w="313" w:type="pct"/>
            <w:vAlign w:val="center"/>
          </w:tcPr>
          <w:p w14:paraId="7531C422" w14:textId="77777777" w:rsidR="00835192" w:rsidRPr="00FF756A" w:rsidRDefault="00835192" w:rsidP="00835192">
            <w:pPr>
              <w:spacing w:after="0" w:line="240" w:lineRule="auto"/>
              <w:jc w:val="center"/>
              <w:rPr>
                <w:sz w:val="18"/>
                <w:szCs w:val="18"/>
              </w:rPr>
            </w:pPr>
            <w:r w:rsidRPr="00FF756A">
              <w:rPr>
                <w:sz w:val="18"/>
                <w:szCs w:val="18"/>
              </w:rPr>
              <w:t>55</w:t>
            </w:r>
          </w:p>
        </w:tc>
        <w:tc>
          <w:tcPr>
            <w:tcW w:w="448" w:type="pct"/>
            <w:vAlign w:val="center"/>
          </w:tcPr>
          <w:p w14:paraId="113E3900" w14:textId="77777777" w:rsidR="00835192" w:rsidRPr="00FF756A" w:rsidRDefault="00835192" w:rsidP="00835192">
            <w:pPr>
              <w:spacing w:after="0" w:line="240" w:lineRule="auto"/>
              <w:jc w:val="left"/>
              <w:rPr>
                <w:sz w:val="20"/>
                <w:szCs w:val="20"/>
              </w:rPr>
            </w:pPr>
            <w:r w:rsidRPr="00FF756A">
              <w:rPr>
                <w:sz w:val="20"/>
                <w:szCs w:val="20"/>
              </w:rPr>
              <w:t>EE-T1</w:t>
            </w:r>
          </w:p>
        </w:tc>
        <w:tc>
          <w:tcPr>
            <w:tcW w:w="2463" w:type="pct"/>
            <w:vAlign w:val="center"/>
          </w:tcPr>
          <w:p w14:paraId="1B1D772A" w14:textId="77777777" w:rsidR="00835192" w:rsidRPr="00FF756A" w:rsidRDefault="00835192" w:rsidP="00835192">
            <w:pPr>
              <w:spacing w:after="0" w:line="240" w:lineRule="auto"/>
              <w:jc w:val="left"/>
              <w:rPr>
                <w:sz w:val="20"/>
                <w:szCs w:val="20"/>
              </w:rPr>
            </w:pPr>
            <w:r w:rsidRPr="00FF756A">
              <w:rPr>
                <w:sz w:val="20"/>
                <w:szCs w:val="20"/>
              </w:rPr>
              <w:t>Etiketimi i energjisë për makinat e reja</w:t>
            </w:r>
          </w:p>
        </w:tc>
        <w:tc>
          <w:tcPr>
            <w:tcW w:w="821" w:type="pct"/>
            <w:vAlign w:val="center"/>
          </w:tcPr>
          <w:p w14:paraId="547148A5" w14:textId="77777777" w:rsidR="00835192" w:rsidRPr="00FF756A" w:rsidRDefault="00835192" w:rsidP="00835192">
            <w:pPr>
              <w:spacing w:after="0" w:line="240" w:lineRule="auto"/>
              <w:jc w:val="left"/>
              <w:rPr>
                <w:sz w:val="20"/>
                <w:szCs w:val="20"/>
              </w:rPr>
            </w:pPr>
            <w:r w:rsidRPr="00FF756A">
              <w:rPr>
                <w:sz w:val="20"/>
                <w:szCs w:val="20"/>
              </w:rPr>
              <w:t>Informative; Edukative</w:t>
            </w:r>
          </w:p>
        </w:tc>
        <w:tc>
          <w:tcPr>
            <w:tcW w:w="597" w:type="pct"/>
            <w:vAlign w:val="center"/>
          </w:tcPr>
          <w:p w14:paraId="18FCB93C"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1931D22D" w14:textId="77777777" w:rsidTr="006A3266">
        <w:trPr>
          <w:trHeight w:val="20"/>
        </w:trPr>
        <w:tc>
          <w:tcPr>
            <w:tcW w:w="359" w:type="pct"/>
            <w:vMerge/>
            <w:shd w:val="clear" w:color="auto" w:fill="FFF2CC" w:themeFill="accent4" w:themeFillTint="33"/>
          </w:tcPr>
          <w:p w14:paraId="67C4949F" w14:textId="77777777" w:rsidR="00835192" w:rsidRPr="00FF756A" w:rsidRDefault="00835192" w:rsidP="00835192">
            <w:pPr>
              <w:rPr>
                <w:sz w:val="20"/>
                <w:szCs w:val="20"/>
              </w:rPr>
            </w:pPr>
          </w:p>
        </w:tc>
        <w:tc>
          <w:tcPr>
            <w:tcW w:w="313" w:type="pct"/>
            <w:vAlign w:val="center"/>
          </w:tcPr>
          <w:p w14:paraId="7B867F9C" w14:textId="77777777" w:rsidR="00835192" w:rsidRPr="00FF756A" w:rsidRDefault="00835192" w:rsidP="00835192">
            <w:pPr>
              <w:spacing w:after="0" w:line="240" w:lineRule="auto"/>
              <w:jc w:val="center"/>
              <w:rPr>
                <w:sz w:val="18"/>
                <w:szCs w:val="18"/>
              </w:rPr>
            </w:pPr>
            <w:r w:rsidRPr="00FF756A">
              <w:rPr>
                <w:sz w:val="18"/>
                <w:szCs w:val="18"/>
              </w:rPr>
              <w:t>56</w:t>
            </w:r>
          </w:p>
        </w:tc>
        <w:tc>
          <w:tcPr>
            <w:tcW w:w="448" w:type="pct"/>
            <w:vAlign w:val="center"/>
          </w:tcPr>
          <w:p w14:paraId="71DA7A6E" w14:textId="77777777" w:rsidR="00835192" w:rsidRPr="00FF756A" w:rsidRDefault="00835192" w:rsidP="00835192">
            <w:pPr>
              <w:spacing w:after="0" w:line="240" w:lineRule="auto"/>
              <w:jc w:val="left"/>
              <w:rPr>
                <w:sz w:val="20"/>
                <w:szCs w:val="20"/>
              </w:rPr>
            </w:pPr>
            <w:r w:rsidRPr="00FF756A">
              <w:rPr>
                <w:sz w:val="20"/>
                <w:szCs w:val="20"/>
              </w:rPr>
              <w:t>EE-T2</w:t>
            </w:r>
          </w:p>
        </w:tc>
        <w:tc>
          <w:tcPr>
            <w:tcW w:w="2463" w:type="pct"/>
            <w:vAlign w:val="center"/>
          </w:tcPr>
          <w:p w14:paraId="6597CA6A" w14:textId="77777777" w:rsidR="00835192" w:rsidRPr="00FF756A" w:rsidRDefault="00835192" w:rsidP="00835192">
            <w:pPr>
              <w:spacing w:after="0" w:line="240" w:lineRule="auto"/>
              <w:jc w:val="left"/>
              <w:rPr>
                <w:sz w:val="20"/>
                <w:szCs w:val="20"/>
              </w:rPr>
            </w:pPr>
            <w:r w:rsidRPr="00FF756A">
              <w:rPr>
                <w:sz w:val="20"/>
                <w:szCs w:val="20"/>
              </w:rPr>
              <w:t>Rritja e përqindjes së automjeteve elektrike në flotën kombëtare të automjeteve.</w:t>
            </w:r>
          </w:p>
        </w:tc>
        <w:tc>
          <w:tcPr>
            <w:tcW w:w="821" w:type="pct"/>
            <w:vAlign w:val="center"/>
          </w:tcPr>
          <w:p w14:paraId="0B3D3979" w14:textId="77777777" w:rsidR="00835192" w:rsidRPr="00FF756A" w:rsidRDefault="00835192" w:rsidP="00835192">
            <w:pPr>
              <w:spacing w:after="0" w:line="240" w:lineRule="auto"/>
              <w:jc w:val="left"/>
              <w:rPr>
                <w:sz w:val="20"/>
                <w:szCs w:val="20"/>
              </w:rPr>
            </w:pPr>
            <w:r w:rsidRPr="00FF756A">
              <w:rPr>
                <w:sz w:val="20"/>
                <w:szCs w:val="20"/>
              </w:rPr>
              <w:t>Rregullatore; Financiare; Fiskale</w:t>
            </w:r>
          </w:p>
        </w:tc>
        <w:tc>
          <w:tcPr>
            <w:tcW w:w="597" w:type="pct"/>
            <w:vAlign w:val="center"/>
          </w:tcPr>
          <w:p w14:paraId="46D29F30"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0B5D223C" w14:textId="77777777" w:rsidTr="006A3266">
        <w:trPr>
          <w:trHeight w:val="20"/>
        </w:trPr>
        <w:tc>
          <w:tcPr>
            <w:tcW w:w="359" w:type="pct"/>
            <w:vMerge/>
            <w:shd w:val="clear" w:color="auto" w:fill="FFF2CC" w:themeFill="accent4" w:themeFillTint="33"/>
          </w:tcPr>
          <w:p w14:paraId="2758C4BE" w14:textId="77777777" w:rsidR="00835192" w:rsidRPr="00FF756A" w:rsidRDefault="00835192" w:rsidP="00835192">
            <w:pPr>
              <w:rPr>
                <w:sz w:val="20"/>
                <w:szCs w:val="20"/>
              </w:rPr>
            </w:pPr>
          </w:p>
        </w:tc>
        <w:tc>
          <w:tcPr>
            <w:tcW w:w="313" w:type="pct"/>
            <w:vAlign w:val="center"/>
          </w:tcPr>
          <w:p w14:paraId="13806FF0" w14:textId="77777777" w:rsidR="00835192" w:rsidRPr="00FF756A" w:rsidRDefault="00835192" w:rsidP="00835192">
            <w:pPr>
              <w:spacing w:after="0" w:line="240" w:lineRule="auto"/>
              <w:jc w:val="center"/>
              <w:rPr>
                <w:sz w:val="18"/>
                <w:szCs w:val="18"/>
              </w:rPr>
            </w:pPr>
            <w:r w:rsidRPr="00FF756A">
              <w:rPr>
                <w:sz w:val="18"/>
                <w:szCs w:val="18"/>
              </w:rPr>
              <w:t>57</w:t>
            </w:r>
          </w:p>
        </w:tc>
        <w:tc>
          <w:tcPr>
            <w:tcW w:w="448" w:type="pct"/>
            <w:vAlign w:val="center"/>
          </w:tcPr>
          <w:p w14:paraId="41530588" w14:textId="77777777" w:rsidR="00835192" w:rsidRPr="00FF756A" w:rsidRDefault="00835192" w:rsidP="00835192">
            <w:pPr>
              <w:spacing w:after="0" w:line="240" w:lineRule="auto"/>
              <w:jc w:val="left"/>
              <w:rPr>
                <w:sz w:val="20"/>
                <w:szCs w:val="20"/>
              </w:rPr>
            </w:pPr>
            <w:r w:rsidRPr="00FF756A">
              <w:rPr>
                <w:sz w:val="20"/>
                <w:szCs w:val="20"/>
              </w:rPr>
              <w:t>EE-T3</w:t>
            </w:r>
          </w:p>
        </w:tc>
        <w:tc>
          <w:tcPr>
            <w:tcW w:w="2463" w:type="pct"/>
            <w:vAlign w:val="center"/>
          </w:tcPr>
          <w:p w14:paraId="290806DA" w14:textId="77777777" w:rsidR="00835192" w:rsidRPr="00FF756A" w:rsidRDefault="00835192" w:rsidP="00835192">
            <w:pPr>
              <w:spacing w:after="0" w:line="240" w:lineRule="auto"/>
              <w:jc w:val="left"/>
              <w:rPr>
                <w:sz w:val="20"/>
                <w:szCs w:val="20"/>
              </w:rPr>
            </w:pPr>
            <w:r w:rsidRPr="00FF756A">
              <w:rPr>
                <w:sz w:val="20"/>
                <w:szCs w:val="20"/>
              </w:rPr>
              <w:t>Mekanizmat mbështetës për EE-në dhe automjetet me lëndë djegëse të pastra</w:t>
            </w:r>
          </w:p>
        </w:tc>
        <w:tc>
          <w:tcPr>
            <w:tcW w:w="821" w:type="pct"/>
            <w:vAlign w:val="center"/>
          </w:tcPr>
          <w:p w14:paraId="33FBA7DF" w14:textId="77777777" w:rsidR="00835192" w:rsidRPr="00FF756A" w:rsidRDefault="00835192" w:rsidP="00835192">
            <w:pPr>
              <w:spacing w:after="0" w:line="240" w:lineRule="auto"/>
              <w:jc w:val="left"/>
              <w:rPr>
                <w:sz w:val="20"/>
                <w:szCs w:val="20"/>
              </w:rPr>
            </w:pPr>
            <w:r w:rsidRPr="00FF756A">
              <w:rPr>
                <w:sz w:val="20"/>
                <w:szCs w:val="20"/>
              </w:rPr>
              <w:t>Rregullatore; Financiare; Fiskale</w:t>
            </w:r>
          </w:p>
        </w:tc>
        <w:tc>
          <w:tcPr>
            <w:tcW w:w="597" w:type="pct"/>
            <w:vAlign w:val="center"/>
          </w:tcPr>
          <w:p w14:paraId="5863E536"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1C87153D" w14:textId="77777777" w:rsidTr="006A3266">
        <w:trPr>
          <w:trHeight w:val="20"/>
        </w:trPr>
        <w:tc>
          <w:tcPr>
            <w:tcW w:w="359" w:type="pct"/>
            <w:vMerge/>
            <w:tcBorders>
              <w:bottom w:val="single" w:sz="4" w:space="0" w:color="auto"/>
            </w:tcBorders>
            <w:shd w:val="clear" w:color="auto" w:fill="FFF2CC" w:themeFill="accent4" w:themeFillTint="33"/>
          </w:tcPr>
          <w:p w14:paraId="0EF71491" w14:textId="77777777" w:rsidR="00835192" w:rsidRPr="00FF756A" w:rsidRDefault="00835192" w:rsidP="00835192">
            <w:pPr>
              <w:rPr>
                <w:sz w:val="20"/>
                <w:szCs w:val="20"/>
              </w:rPr>
            </w:pPr>
          </w:p>
        </w:tc>
        <w:tc>
          <w:tcPr>
            <w:tcW w:w="313" w:type="pct"/>
            <w:vAlign w:val="center"/>
          </w:tcPr>
          <w:p w14:paraId="37DCBE11" w14:textId="77777777" w:rsidR="00835192" w:rsidRPr="00FF756A" w:rsidRDefault="00835192" w:rsidP="00835192">
            <w:pPr>
              <w:spacing w:after="0" w:line="240" w:lineRule="auto"/>
              <w:jc w:val="center"/>
              <w:rPr>
                <w:sz w:val="18"/>
                <w:szCs w:val="18"/>
              </w:rPr>
            </w:pPr>
            <w:r w:rsidRPr="00FF756A">
              <w:rPr>
                <w:sz w:val="18"/>
                <w:szCs w:val="18"/>
              </w:rPr>
              <w:t>58</w:t>
            </w:r>
          </w:p>
        </w:tc>
        <w:tc>
          <w:tcPr>
            <w:tcW w:w="448" w:type="pct"/>
            <w:vAlign w:val="center"/>
          </w:tcPr>
          <w:p w14:paraId="2A745F47" w14:textId="77777777" w:rsidR="00835192" w:rsidRPr="00FF756A" w:rsidRDefault="00835192" w:rsidP="00835192">
            <w:pPr>
              <w:spacing w:after="0" w:line="240" w:lineRule="auto"/>
              <w:jc w:val="left"/>
              <w:rPr>
                <w:sz w:val="20"/>
                <w:szCs w:val="20"/>
              </w:rPr>
            </w:pPr>
            <w:r w:rsidRPr="00FF756A">
              <w:rPr>
                <w:sz w:val="20"/>
                <w:szCs w:val="20"/>
              </w:rPr>
              <w:t>EE-T4</w:t>
            </w:r>
          </w:p>
        </w:tc>
        <w:tc>
          <w:tcPr>
            <w:tcW w:w="2463" w:type="pct"/>
            <w:vAlign w:val="center"/>
          </w:tcPr>
          <w:p w14:paraId="4D77FD1C" w14:textId="77777777" w:rsidR="00835192" w:rsidRPr="00FF756A" w:rsidRDefault="00835192" w:rsidP="00835192">
            <w:pPr>
              <w:spacing w:after="0" w:line="240" w:lineRule="auto"/>
              <w:jc w:val="left"/>
              <w:rPr>
                <w:sz w:val="20"/>
                <w:szCs w:val="20"/>
              </w:rPr>
            </w:pPr>
            <w:r w:rsidRPr="00FF756A">
              <w:rPr>
                <w:sz w:val="20"/>
                <w:szCs w:val="20"/>
              </w:rPr>
              <w:t>Rritja e përqindjes së transportit publik për udhëtarët dhe mallrat (në rrugë tokësore, ujore dhe hekurudhore)</w:t>
            </w:r>
          </w:p>
        </w:tc>
        <w:tc>
          <w:tcPr>
            <w:tcW w:w="821" w:type="pct"/>
            <w:vAlign w:val="center"/>
          </w:tcPr>
          <w:p w14:paraId="0F35FE9B"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25753536"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0DD09C67" w14:textId="77777777" w:rsidTr="006A3266">
        <w:trPr>
          <w:trHeight w:val="20"/>
        </w:trPr>
        <w:tc>
          <w:tcPr>
            <w:tcW w:w="359" w:type="pct"/>
            <w:tcBorders>
              <w:bottom w:val="single" w:sz="4" w:space="0" w:color="auto"/>
            </w:tcBorders>
            <w:shd w:val="clear" w:color="auto" w:fill="FFF2CC" w:themeFill="accent4" w:themeFillTint="33"/>
          </w:tcPr>
          <w:p w14:paraId="0546769E" w14:textId="77777777" w:rsidR="00835192" w:rsidRPr="00FF756A" w:rsidRDefault="00835192" w:rsidP="00835192">
            <w:pPr>
              <w:rPr>
                <w:sz w:val="20"/>
                <w:szCs w:val="20"/>
              </w:rPr>
            </w:pPr>
          </w:p>
        </w:tc>
        <w:tc>
          <w:tcPr>
            <w:tcW w:w="313" w:type="pct"/>
            <w:vAlign w:val="center"/>
          </w:tcPr>
          <w:p w14:paraId="7B413A60" w14:textId="77777777" w:rsidR="00835192" w:rsidRPr="00FF756A" w:rsidRDefault="00835192" w:rsidP="00835192">
            <w:pPr>
              <w:spacing w:after="0" w:line="240" w:lineRule="auto"/>
              <w:jc w:val="center"/>
              <w:rPr>
                <w:sz w:val="18"/>
                <w:szCs w:val="18"/>
              </w:rPr>
            </w:pPr>
            <w:r w:rsidRPr="00FF756A">
              <w:rPr>
                <w:sz w:val="18"/>
                <w:szCs w:val="18"/>
              </w:rPr>
              <w:t>59</w:t>
            </w:r>
          </w:p>
        </w:tc>
        <w:tc>
          <w:tcPr>
            <w:tcW w:w="448" w:type="pct"/>
            <w:vAlign w:val="center"/>
          </w:tcPr>
          <w:p w14:paraId="106970CF" w14:textId="77777777" w:rsidR="00835192" w:rsidRPr="00FF756A" w:rsidRDefault="00835192" w:rsidP="00835192">
            <w:pPr>
              <w:spacing w:after="0" w:line="240" w:lineRule="auto"/>
              <w:jc w:val="left"/>
              <w:rPr>
                <w:sz w:val="20"/>
                <w:szCs w:val="20"/>
              </w:rPr>
            </w:pPr>
            <w:r w:rsidRPr="00FF756A">
              <w:rPr>
                <w:sz w:val="20"/>
                <w:szCs w:val="20"/>
              </w:rPr>
              <w:t>EE-T5</w:t>
            </w:r>
          </w:p>
        </w:tc>
        <w:tc>
          <w:tcPr>
            <w:tcW w:w="2463" w:type="pct"/>
            <w:vAlign w:val="center"/>
          </w:tcPr>
          <w:p w14:paraId="38197976" w14:textId="77777777" w:rsidR="00835192" w:rsidRPr="00FF756A" w:rsidRDefault="00835192" w:rsidP="00835192">
            <w:pPr>
              <w:spacing w:after="0" w:line="240" w:lineRule="auto"/>
              <w:jc w:val="left"/>
              <w:rPr>
                <w:sz w:val="20"/>
                <w:szCs w:val="20"/>
              </w:rPr>
            </w:pPr>
            <w:r w:rsidRPr="00FF756A">
              <w:rPr>
                <w:sz w:val="20"/>
                <w:szCs w:val="20"/>
              </w:rPr>
              <w:t>Përmirësimi i rrjetit të transportit hekurudhor, që lidh Shqipërinë me rrjetin ndërkombëtar të transportit hekurudhor</w:t>
            </w:r>
          </w:p>
        </w:tc>
        <w:tc>
          <w:tcPr>
            <w:tcW w:w="821" w:type="pct"/>
            <w:vAlign w:val="center"/>
          </w:tcPr>
          <w:p w14:paraId="4455698D" w14:textId="77777777" w:rsidR="00835192" w:rsidRPr="00FF756A" w:rsidRDefault="00835192" w:rsidP="00835192">
            <w:pPr>
              <w:spacing w:after="0" w:line="240" w:lineRule="auto"/>
              <w:jc w:val="left"/>
              <w:rPr>
                <w:sz w:val="20"/>
                <w:szCs w:val="20"/>
              </w:rPr>
            </w:pPr>
            <w:r w:rsidRPr="00FF756A">
              <w:rPr>
                <w:sz w:val="20"/>
                <w:szCs w:val="20"/>
              </w:rPr>
              <w:t>Rregullatore; Financiare</w:t>
            </w:r>
          </w:p>
        </w:tc>
        <w:tc>
          <w:tcPr>
            <w:tcW w:w="597" w:type="pct"/>
            <w:vAlign w:val="center"/>
          </w:tcPr>
          <w:p w14:paraId="1BBF1D38" w14:textId="77777777" w:rsidR="00835192" w:rsidRPr="00FF756A" w:rsidRDefault="00835192" w:rsidP="00835192">
            <w:pPr>
              <w:spacing w:after="0" w:line="240" w:lineRule="auto"/>
              <w:jc w:val="left"/>
              <w:rPr>
                <w:sz w:val="20"/>
                <w:szCs w:val="20"/>
              </w:rPr>
            </w:pPr>
            <w:r w:rsidRPr="00FF756A">
              <w:rPr>
                <w:sz w:val="20"/>
                <w:szCs w:val="20"/>
              </w:rPr>
              <w:t>WEM dhe WAM</w:t>
            </w:r>
          </w:p>
        </w:tc>
      </w:tr>
      <w:tr w:rsidR="00835192" w:rsidRPr="00FF756A" w14:paraId="1C11522C" w14:textId="77777777" w:rsidTr="006A3266">
        <w:trPr>
          <w:trHeight w:val="20"/>
        </w:trPr>
        <w:tc>
          <w:tcPr>
            <w:tcW w:w="359" w:type="pct"/>
            <w:vMerge w:val="restart"/>
            <w:shd w:val="clear" w:color="auto" w:fill="2E74B5" w:themeFill="accent5" w:themeFillShade="BF"/>
            <w:textDirection w:val="btLr"/>
          </w:tcPr>
          <w:p w14:paraId="170CD198" w14:textId="77777777" w:rsidR="00835192" w:rsidRPr="00FF756A" w:rsidRDefault="00835192" w:rsidP="00835192">
            <w:pPr>
              <w:ind w:left="113" w:right="113"/>
              <w:jc w:val="center"/>
              <w:rPr>
                <w:b/>
                <w:bCs/>
                <w:sz w:val="20"/>
                <w:szCs w:val="20"/>
              </w:rPr>
            </w:pPr>
            <w:r w:rsidRPr="00FF756A">
              <w:rPr>
                <w:b/>
                <w:bCs/>
                <w:sz w:val="20"/>
                <w:szCs w:val="20"/>
              </w:rPr>
              <w:t>Siguria energjetike</w:t>
            </w:r>
          </w:p>
        </w:tc>
        <w:tc>
          <w:tcPr>
            <w:tcW w:w="313" w:type="pct"/>
            <w:vAlign w:val="center"/>
          </w:tcPr>
          <w:p w14:paraId="61D17435" w14:textId="77777777" w:rsidR="00835192" w:rsidRPr="00FF756A" w:rsidRDefault="00835192" w:rsidP="00835192">
            <w:pPr>
              <w:spacing w:after="0" w:line="240" w:lineRule="auto"/>
              <w:jc w:val="center"/>
              <w:rPr>
                <w:sz w:val="18"/>
                <w:szCs w:val="18"/>
              </w:rPr>
            </w:pPr>
            <w:r w:rsidRPr="00FF756A">
              <w:rPr>
                <w:sz w:val="18"/>
                <w:szCs w:val="18"/>
              </w:rPr>
              <w:t>60</w:t>
            </w:r>
          </w:p>
        </w:tc>
        <w:tc>
          <w:tcPr>
            <w:tcW w:w="448" w:type="pct"/>
            <w:vAlign w:val="center"/>
          </w:tcPr>
          <w:p w14:paraId="3B63F3BD" w14:textId="77777777" w:rsidR="00835192" w:rsidRPr="00FF756A" w:rsidRDefault="00835192" w:rsidP="00835192">
            <w:pPr>
              <w:spacing w:after="0" w:line="240" w:lineRule="auto"/>
              <w:jc w:val="left"/>
              <w:rPr>
                <w:sz w:val="20"/>
                <w:szCs w:val="20"/>
              </w:rPr>
            </w:pPr>
            <w:r w:rsidRPr="00FF756A">
              <w:rPr>
                <w:sz w:val="20"/>
                <w:szCs w:val="20"/>
              </w:rPr>
              <w:t>ES-P1</w:t>
            </w:r>
          </w:p>
        </w:tc>
        <w:tc>
          <w:tcPr>
            <w:tcW w:w="2463" w:type="pct"/>
            <w:vAlign w:val="center"/>
          </w:tcPr>
          <w:p w14:paraId="048A7560" w14:textId="77777777" w:rsidR="00835192" w:rsidRPr="00FF756A" w:rsidRDefault="00835192" w:rsidP="00835192">
            <w:pPr>
              <w:spacing w:after="0" w:line="240" w:lineRule="auto"/>
              <w:jc w:val="left"/>
              <w:rPr>
                <w:sz w:val="20"/>
                <w:szCs w:val="20"/>
              </w:rPr>
            </w:pPr>
            <w:r w:rsidRPr="00FF756A">
              <w:rPr>
                <w:sz w:val="20"/>
                <w:szCs w:val="20"/>
              </w:rPr>
              <w:t>Furnizimi me gaz për termocentralin e Vlorës</w:t>
            </w:r>
          </w:p>
        </w:tc>
        <w:tc>
          <w:tcPr>
            <w:tcW w:w="821" w:type="pct"/>
            <w:vAlign w:val="center"/>
          </w:tcPr>
          <w:p w14:paraId="4EC5A3F0"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0F2F13A5"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0D12DB7E" w14:textId="77777777" w:rsidTr="006A3266">
        <w:trPr>
          <w:trHeight w:val="20"/>
        </w:trPr>
        <w:tc>
          <w:tcPr>
            <w:tcW w:w="359" w:type="pct"/>
            <w:vMerge/>
            <w:shd w:val="clear" w:color="auto" w:fill="2E74B5" w:themeFill="accent5" w:themeFillShade="BF"/>
            <w:textDirection w:val="btLr"/>
          </w:tcPr>
          <w:p w14:paraId="5F8A226C" w14:textId="77777777" w:rsidR="00835192" w:rsidRPr="00FF756A" w:rsidRDefault="00835192" w:rsidP="00835192">
            <w:pPr>
              <w:ind w:left="113" w:right="113"/>
              <w:rPr>
                <w:b/>
                <w:bCs/>
                <w:sz w:val="20"/>
                <w:szCs w:val="20"/>
              </w:rPr>
            </w:pPr>
          </w:p>
        </w:tc>
        <w:tc>
          <w:tcPr>
            <w:tcW w:w="313" w:type="pct"/>
            <w:vAlign w:val="center"/>
          </w:tcPr>
          <w:p w14:paraId="51576B2A" w14:textId="77777777" w:rsidR="00835192" w:rsidRPr="00FF756A" w:rsidRDefault="00835192" w:rsidP="00835192">
            <w:pPr>
              <w:spacing w:after="0" w:line="240" w:lineRule="auto"/>
              <w:jc w:val="center"/>
              <w:rPr>
                <w:sz w:val="18"/>
                <w:szCs w:val="18"/>
              </w:rPr>
            </w:pPr>
            <w:r w:rsidRPr="00FF756A">
              <w:rPr>
                <w:sz w:val="18"/>
                <w:szCs w:val="18"/>
              </w:rPr>
              <w:t>61</w:t>
            </w:r>
          </w:p>
        </w:tc>
        <w:tc>
          <w:tcPr>
            <w:tcW w:w="448" w:type="pct"/>
            <w:vAlign w:val="center"/>
          </w:tcPr>
          <w:p w14:paraId="21B7139C" w14:textId="77777777" w:rsidR="00835192" w:rsidRPr="00FF756A" w:rsidRDefault="00835192" w:rsidP="00835192">
            <w:pPr>
              <w:spacing w:after="0" w:line="240" w:lineRule="auto"/>
              <w:jc w:val="left"/>
              <w:rPr>
                <w:sz w:val="20"/>
                <w:szCs w:val="20"/>
              </w:rPr>
            </w:pPr>
            <w:r w:rsidRPr="00FF756A">
              <w:rPr>
                <w:sz w:val="20"/>
                <w:szCs w:val="20"/>
              </w:rPr>
              <w:t>ES-P2</w:t>
            </w:r>
          </w:p>
        </w:tc>
        <w:tc>
          <w:tcPr>
            <w:tcW w:w="2463" w:type="pct"/>
            <w:vAlign w:val="center"/>
          </w:tcPr>
          <w:p w14:paraId="077809FD" w14:textId="77777777" w:rsidR="00835192" w:rsidRPr="00FF756A" w:rsidRDefault="00835192" w:rsidP="00835192">
            <w:pPr>
              <w:spacing w:after="0" w:line="240" w:lineRule="auto"/>
              <w:jc w:val="left"/>
              <w:rPr>
                <w:sz w:val="20"/>
                <w:szCs w:val="20"/>
              </w:rPr>
            </w:pPr>
            <w:r w:rsidRPr="00FF756A">
              <w:rPr>
                <w:sz w:val="20"/>
                <w:szCs w:val="20"/>
              </w:rPr>
              <w:t>Ndërtimi i centraleve të reja shtetërore - Skavica, Vau i Dejës, Belsh</w:t>
            </w:r>
          </w:p>
        </w:tc>
        <w:tc>
          <w:tcPr>
            <w:tcW w:w="821" w:type="pct"/>
            <w:vAlign w:val="center"/>
          </w:tcPr>
          <w:p w14:paraId="2323D8DF" w14:textId="77777777" w:rsidR="00835192" w:rsidRPr="00FF756A" w:rsidRDefault="00835192" w:rsidP="00835192">
            <w:pPr>
              <w:spacing w:after="0" w:line="240" w:lineRule="auto"/>
              <w:jc w:val="left"/>
              <w:rPr>
                <w:sz w:val="20"/>
                <w:szCs w:val="20"/>
              </w:rPr>
            </w:pPr>
            <w:r w:rsidRPr="00FF756A">
              <w:rPr>
                <w:sz w:val="20"/>
                <w:szCs w:val="20"/>
              </w:rPr>
              <w:t>Rregullatore; Financiare</w:t>
            </w:r>
          </w:p>
        </w:tc>
        <w:tc>
          <w:tcPr>
            <w:tcW w:w="597" w:type="pct"/>
            <w:vAlign w:val="center"/>
          </w:tcPr>
          <w:p w14:paraId="3143B210" w14:textId="77777777" w:rsidR="00835192" w:rsidRPr="00FF756A" w:rsidRDefault="00835192" w:rsidP="00835192">
            <w:pPr>
              <w:spacing w:after="0" w:line="240" w:lineRule="auto"/>
              <w:jc w:val="left"/>
              <w:rPr>
                <w:sz w:val="20"/>
                <w:szCs w:val="20"/>
              </w:rPr>
            </w:pPr>
            <w:r w:rsidRPr="00FF756A">
              <w:rPr>
                <w:sz w:val="20"/>
                <w:szCs w:val="20"/>
              </w:rPr>
              <w:t>WEM dhe WAM</w:t>
            </w:r>
          </w:p>
        </w:tc>
      </w:tr>
      <w:tr w:rsidR="00835192" w:rsidRPr="00FF756A" w14:paraId="6A8536A3" w14:textId="77777777" w:rsidTr="006A3266">
        <w:trPr>
          <w:trHeight w:val="20"/>
        </w:trPr>
        <w:tc>
          <w:tcPr>
            <w:tcW w:w="359" w:type="pct"/>
            <w:vMerge/>
            <w:shd w:val="clear" w:color="auto" w:fill="2E74B5" w:themeFill="accent5" w:themeFillShade="BF"/>
            <w:textDirection w:val="btLr"/>
          </w:tcPr>
          <w:p w14:paraId="277B35C9" w14:textId="77777777" w:rsidR="00835192" w:rsidRPr="00FF756A" w:rsidRDefault="00835192" w:rsidP="00835192">
            <w:pPr>
              <w:ind w:left="113" w:right="113"/>
              <w:rPr>
                <w:b/>
                <w:bCs/>
                <w:sz w:val="20"/>
                <w:szCs w:val="20"/>
              </w:rPr>
            </w:pPr>
          </w:p>
        </w:tc>
        <w:tc>
          <w:tcPr>
            <w:tcW w:w="313" w:type="pct"/>
            <w:vAlign w:val="center"/>
          </w:tcPr>
          <w:p w14:paraId="3CCB1EA9" w14:textId="77777777" w:rsidR="00835192" w:rsidRPr="00FF756A" w:rsidRDefault="00835192" w:rsidP="00835192">
            <w:pPr>
              <w:spacing w:after="0" w:line="240" w:lineRule="auto"/>
              <w:jc w:val="center"/>
              <w:rPr>
                <w:sz w:val="18"/>
                <w:szCs w:val="18"/>
              </w:rPr>
            </w:pPr>
            <w:r w:rsidRPr="00FF756A">
              <w:rPr>
                <w:sz w:val="18"/>
                <w:szCs w:val="18"/>
              </w:rPr>
              <w:t>62</w:t>
            </w:r>
          </w:p>
        </w:tc>
        <w:tc>
          <w:tcPr>
            <w:tcW w:w="448" w:type="pct"/>
            <w:vAlign w:val="center"/>
          </w:tcPr>
          <w:p w14:paraId="57640D8A" w14:textId="77777777" w:rsidR="00835192" w:rsidRPr="00FF756A" w:rsidRDefault="00835192" w:rsidP="00835192">
            <w:pPr>
              <w:spacing w:after="0" w:line="240" w:lineRule="auto"/>
              <w:jc w:val="left"/>
              <w:rPr>
                <w:sz w:val="20"/>
                <w:szCs w:val="20"/>
              </w:rPr>
            </w:pPr>
            <w:r w:rsidRPr="00FF756A">
              <w:rPr>
                <w:sz w:val="20"/>
                <w:szCs w:val="20"/>
              </w:rPr>
              <w:t>ES-O1</w:t>
            </w:r>
          </w:p>
        </w:tc>
        <w:tc>
          <w:tcPr>
            <w:tcW w:w="2463" w:type="pct"/>
            <w:vAlign w:val="center"/>
          </w:tcPr>
          <w:p w14:paraId="3468404C" w14:textId="77777777" w:rsidR="00835192" w:rsidRPr="00FF756A" w:rsidRDefault="00835192" w:rsidP="00835192">
            <w:pPr>
              <w:spacing w:after="0" w:line="240" w:lineRule="auto"/>
              <w:jc w:val="left"/>
              <w:rPr>
                <w:sz w:val="20"/>
                <w:szCs w:val="20"/>
              </w:rPr>
            </w:pPr>
            <w:r w:rsidRPr="00FF756A">
              <w:rPr>
                <w:sz w:val="20"/>
                <w:szCs w:val="20"/>
              </w:rPr>
              <w:t>Kuadri ligjor plotësisht funksional për një furnizim të besueshëm e të sigurt me gaz për konsumatorët</w:t>
            </w:r>
          </w:p>
        </w:tc>
        <w:tc>
          <w:tcPr>
            <w:tcW w:w="821" w:type="pct"/>
            <w:vAlign w:val="center"/>
          </w:tcPr>
          <w:p w14:paraId="1E77834C"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69F4AC5C"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031C2AEA" w14:textId="77777777" w:rsidTr="006A3266">
        <w:trPr>
          <w:trHeight w:val="20"/>
        </w:trPr>
        <w:tc>
          <w:tcPr>
            <w:tcW w:w="359" w:type="pct"/>
            <w:vMerge/>
            <w:shd w:val="clear" w:color="auto" w:fill="2E74B5" w:themeFill="accent5" w:themeFillShade="BF"/>
            <w:textDirection w:val="btLr"/>
          </w:tcPr>
          <w:p w14:paraId="138DF6AA" w14:textId="77777777" w:rsidR="00835192" w:rsidRPr="00FF756A" w:rsidRDefault="00835192" w:rsidP="00835192">
            <w:pPr>
              <w:ind w:left="113" w:right="113"/>
              <w:rPr>
                <w:b/>
                <w:bCs/>
                <w:sz w:val="20"/>
                <w:szCs w:val="20"/>
              </w:rPr>
            </w:pPr>
          </w:p>
        </w:tc>
        <w:tc>
          <w:tcPr>
            <w:tcW w:w="313" w:type="pct"/>
            <w:vAlign w:val="center"/>
          </w:tcPr>
          <w:p w14:paraId="483C9D5E" w14:textId="77777777" w:rsidR="00835192" w:rsidRPr="00FF756A" w:rsidRDefault="00835192" w:rsidP="00835192">
            <w:pPr>
              <w:spacing w:after="0" w:line="240" w:lineRule="auto"/>
              <w:jc w:val="center"/>
              <w:rPr>
                <w:sz w:val="18"/>
                <w:szCs w:val="18"/>
              </w:rPr>
            </w:pPr>
            <w:r w:rsidRPr="00FF756A">
              <w:rPr>
                <w:sz w:val="18"/>
                <w:szCs w:val="18"/>
              </w:rPr>
              <w:t>63</w:t>
            </w:r>
          </w:p>
        </w:tc>
        <w:tc>
          <w:tcPr>
            <w:tcW w:w="448" w:type="pct"/>
            <w:vAlign w:val="center"/>
          </w:tcPr>
          <w:p w14:paraId="586DEF2C" w14:textId="77777777" w:rsidR="00835192" w:rsidRPr="00FF756A" w:rsidRDefault="00835192" w:rsidP="00835192">
            <w:pPr>
              <w:spacing w:after="0" w:line="240" w:lineRule="auto"/>
              <w:jc w:val="left"/>
              <w:rPr>
                <w:sz w:val="20"/>
                <w:szCs w:val="20"/>
              </w:rPr>
            </w:pPr>
            <w:r w:rsidRPr="00FF756A">
              <w:rPr>
                <w:sz w:val="20"/>
                <w:szCs w:val="20"/>
              </w:rPr>
              <w:t>ES-O2</w:t>
            </w:r>
          </w:p>
        </w:tc>
        <w:tc>
          <w:tcPr>
            <w:tcW w:w="2463" w:type="pct"/>
            <w:vAlign w:val="center"/>
          </w:tcPr>
          <w:p w14:paraId="0C7D4487" w14:textId="77777777" w:rsidR="00835192" w:rsidRPr="00FF756A" w:rsidRDefault="00835192" w:rsidP="00835192">
            <w:pPr>
              <w:spacing w:after="0" w:line="240" w:lineRule="auto"/>
              <w:jc w:val="left"/>
              <w:rPr>
                <w:sz w:val="20"/>
                <w:szCs w:val="20"/>
              </w:rPr>
            </w:pPr>
            <w:r w:rsidRPr="00FF756A">
              <w:rPr>
                <w:sz w:val="20"/>
                <w:szCs w:val="20"/>
              </w:rPr>
              <w:t>Zhvillimi dhe zbatimi i projektit të shpërndarjes dhe transmetimit të brendshëm të identifikuar në master planin e gazit</w:t>
            </w:r>
          </w:p>
        </w:tc>
        <w:tc>
          <w:tcPr>
            <w:tcW w:w="821" w:type="pct"/>
            <w:vAlign w:val="center"/>
          </w:tcPr>
          <w:p w14:paraId="3CBAA4D8" w14:textId="77777777" w:rsidR="00835192" w:rsidRPr="00FF756A" w:rsidRDefault="00835192" w:rsidP="00835192">
            <w:pPr>
              <w:spacing w:after="0" w:line="240" w:lineRule="auto"/>
              <w:jc w:val="left"/>
              <w:rPr>
                <w:sz w:val="20"/>
                <w:szCs w:val="20"/>
              </w:rPr>
            </w:pPr>
            <w:r w:rsidRPr="00FF756A">
              <w:rPr>
                <w:sz w:val="20"/>
                <w:szCs w:val="20"/>
              </w:rPr>
              <w:t>Rregullatore; Financiare</w:t>
            </w:r>
          </w:p>
        </w:tc>
        <w:tc>
          <w:tcPr>
            <w:tcW w:w="597" w:type="pct"/>
            <w:vAlign w:val="center"/>
          </w:tcPr>
          <w:p w14:paraId="5F52B5FA"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6CB5B0A2" w14:textId="77777777" w:rsidTr="006A3266">
        <w:trPr>
          <w:trHeight w:val="20"/>
        </w:trPr>
        <w:tc>
          <w:tcPr>
            <w:tcW w:w="359" w:type="pct"/>
            <w:vMerge/>
            <w:shd w:val="clear" w:color="auto" w:fill="2E74B5" w:themeFill="accent5" w:themeFillShade="BF"/>
            <w:textDirection w:val="btLr"/>
          </w:tcPr>
          <w:p w14:paraId="6AA7067B" w14:textId="77777777" w:rsidR="00835192" w:rsidRPr="00FF756A" w:rsidRDefault="00835192" w:rsidP="00835192">
            <w:pPr>
              <w:ind w:left="113" w:right="113"/>
              <w:rPr>
                <w:b/>
                <w:bCs/>
                <w:sz w:val="20"/>
                <w:szCs w:val="20"/>
              </w:rPr>
            </w:pPr>
          </w:p>
        </w:tc>
        <w:tc>
          <w:tcPr>
            <w:tcW w:w="313" w:type="pct"/>
            <w:vAlign w:val="center"/>
          </w:tcPr>
          <w:p w14:paraId="24B094B9" w14:textId="77777777" w:rsidR="00835192" w:rsidRPr="00FF756A" w:rsidRDefault="00835192" w:rsidP="00835192">
            <w:pPr>
              <w:spacing w:after="0" w:line="240" w:lineRule="auto"/>
              <w:jc w:val="center"/>
              <w:rPr>
                <w:sz w:val="18"/>
                <w:szCs w:val="18"/>
              </w:rPr>
            </w:pPr>
            <w:r w:rsidRPr="00FF756A">
              <w:rPr>
                <w:sz w:val="18"/>
                <w:szCs w:val="18"/>
              </w:rPr>
              <w:t>64</w:t>
            </w:r>
          </w:p>
        </w:tc>
        <w:tc>
          <w:tcPr>
            <w:tcW w:w="448" w:type="pct"/>
            <w:vAlign w:val="center"/>
          </w:tcPr>
          <w:p w14:paraId="2546473D" w14:textId="77777777" w:rsidR="00835192" w:rsidRPr="00FF756A" w:rsidRDefault="00835192" w:rsidP="00835192">
            <w:pPr>
              <w:spacing w:after="0" w:line="240" w:lineRule="auto"/>
              <w:jc w:val="left"/>
              <w:rPr>
                <w:sz w:val="20"/>
                <w:szCs w:val="20"/>
              </w:rPr>
            </w:pPr>
            <w:r w:rsidRPr="00FF756A">
              <w:rPr>
                <w:sz w:val="20"/>
                <w:szCs w:val="20"/>
              </w:rPr>
              <w:t>ES-O3</w:t>
            </w:r>
          </w:p>
        </w:tc>
        <w:tc>
          <w:tcPr>
            <w:tcW w:w="2463" w:type="pct"/>
            <w:vAlign w:val="center"/>
          </w:tcPr>
          <w:p w14:paraId="1427B452" w14:textId="77777777" w:rsidR="00835192" w:rsidRPr="00FF756A" w:rsidRDefault="00835192" w:rsidP="00835192">
            <w:pPr>
              <w:spacing w:after="0" w:line="240" w:lineRule="auto"/>
              <w:jc w:val="left"/>
              <w:rPr>
                <w:sz w:val="20"/>
                <w:szCs w:val="20"/>
              </w:rPr>
            </w:pPr>
            <w:r w:rsidRPr="00FF756A">
              <w:rPr>
                <w:sz w:val="20"/>
                <w:szCs w:val="20"/>
              </w:rPr>
              <w:t>Lidhja e Shqipërisë me rrjetin ndërkombëtar të gazit</w:t>
            </w:r>
          </w:p>
        </w:tc>
        <w:tc>
          <w:tcPr>
            <w:tcW w:w="821" w:type="pct"/>
            <w:vAlign w:val="center"/>
          </w:tcPr>
          <w:p w14:paraId="523D7A5D"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1B8C340E"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41CA090C" w14:textId="77777777" w:rsidTr="006A3266">
        <w:trPr>
          <w:trHeight w:val="20"/>
        </w:trPr>
        <w:tc>
          <w:tcPr>
            <w:tcW w:w="359" w:type="pct"/>
            <w:vMerge/>
            <w:shd w:val="clear" w:color="auto" w:fill="2E74B5" w:themeFill="accent5" w:themeFillShade="BF"/>
            <w:textDirection w:val="btLr"/>
          </w:tcPr>
          <w:p w14:paraId="114635DC" w14:textId="77777777" w:rsidR="00835192" w:rsidRPr="00FF756A" w:rsidRDefault="00835192" w:rsidP="00835192">
            <w:pPr>
              <w:ind w:left="113" w:right="113"/>
              <w:rPr>
                <w:b/>
                <w:bCs/>
                <w:sz w:val="20"/>
                <w:szCs w:val="20"/>
              </w:rPr>
            </w:pPr>
          </w:p>
        </w:tc>
        <w:tc>
          <w:tcPr>
            <w:tcW w:w="313" w:type="pct"/>
            <w:vAlign w:val="center"/>
          </w:tcPr>
          <w:p w14:paraId="4D8CE7E7" w14:textId="77777777" w:rsidR="00835192" w:rsidRPr="00FF756A" w:rsidRDefault="00835192" w:rsidP="00835192">
            <w:pPr>
              <w:spacing w:after="0" w:line="240" w:lineRule="auto"/>
              <w:jc w:val="center"/>
              <w:rPr>
                <w:sz w:val="18"/>
                <w:szCs w:val="18"/>
              </w:rPr>
            </w:pPr>
            <w:r w:rsidRPr="00FF756A">
              <w:rPr>
                <w:sz w:val="18"/>
                <w:szCs w:val="18"/>
              </w:rPr>
              <w:t>65</w:t>
            </w:r>
          </w:p>
        </w:tc>
        <w:tc>
          <w:tcPr>
            <w:tcW w:w="448" w:type="pct"/>
            <w:vAlign w:val="center"/>
          </w:tcPr>
          <w:p w14:paraId="31A95E7D" w14:textId="77777777" w:rsidR="00835192" w:rsidRPr="00FF756A" w:rsidRDefault="00835192" w:rsidP="00835192">
            <w:pPr>
              <w:spacing w:after="0" w:line="240" w:lineRule="auto"/>
              <w:jc w:val="left"/>
              <w:rPr>
                <w:sz w:val="20"/>
                <w:szCs w:val="20"/>
              </w:rPr>
            </w:pPr>
            <w:r w:rsidRPr="00FF756A">
              <w:rPr>
                <w:sz w:val="20"/>
                <w:szCs w:val="20"/>
              </w:rPr>
              <w:t>ES-O4</w:t>
            </w:r>
          </w:p>
        </w:tc>
        <w:tc>
          <w:tcPr>
            <w:tcW w:w="2463" w:type="pct"/>
            <w:vAlign w:val="center"/>
          </w:tcPr>
          <w:p w14:paraId="499AA585" w14:textId="77777777" w:rsidR="00835192" w:rsidRPr="00FF756A" w:rsidRDefault="00835192" w:rsidP="00835192">
            <w:pPr>
              <w:spacing w:after="0" w:line="240" w:lineRule="auto"/>
              <w:jc w:val="left"/>
              <w:rPr>
                <w:sz w:val="20"/>
                <w:szCs w:val="20"/>
              </w:rPr>
            </w:pPr>
            <w:r w:rsidRPr="00FF756A">
              <w:rPr>
                <w:sz w:val="20"/>
                <w:szCs w:val="20"/>
              </w:rPr>
              <w:t>Kërkimi, prodhimi dhe përpunimi i hidrokarbureve</w:t>
            </w:r>
          </w:p>
        </w:tc>
        <w:tc>
          <w:tcPr>
            <w:tcW w:w="821" w:type="pct"/>
            <w:vAlign w:val="center"/>
          </w:tcPr>
          <w:p w14:paraId="4CCCBD6D" w14:textId="77777777" w:rsidR="00835192" w:rsidRPr="00FF756A" w:rsidRDefault="00835192" w:rsidP="00835192">
            <w:pPr>
              <w:spacing w:after="0" w:line="240" w:lineRule="auto"/>
              <w:jc w:val="left"/>
              <w:rPr>
                <w:sz w:val="20"/>
                <w:szCs w:val="20"/>
              </w:rPr>
            </w:pPr>
            <w:r w:rsidRPr="00FF756A">
              <w:rPr>
                <w:sz w:val="20"/>
                <w:szCs w:val="20"/>
              </w:rPr>
              <w:t>Rregullatore; Financiare</w:t>
            </w:r>
          </w:p>
        </w:tc>
        <w:tc>
          <w:tcPr>
            <w:tcW w:w="597" w:type="pct"/>
            <w:vAlign w:val="center"/>
          </w:tcPr>
          <w:p w14:paraId="658BDDD4"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4F3CB7F5" w14:textId="77777777" w:rsidTr="006A3266">
        <w:trPr>
          <w:trHeight w:val="20"/>
        </w:trPr>
        <w:tc>
          <w:tcPr>
            <w:tcW w:w="359" w:type="pct"/>
            <w:vMerge/>
            <w:shd w:val="clear" w:color="auto" w:fill="2E74B5" w:themeFill="accent5" w:themeFillShade="BF"/>
            <w:textDirection w:val="btLr"/>
          </w:tcPr>
          <w:p w14:paraId="7EC9F4F0" w14:textId="77777777" w:rsidR="00835192" w:rsidRPr="00FF756A" w:rsidRDefault="00835192" w:rsidP="00835192">
            <w:pPr>
              <w:ind w:left="113" w:right="113"/>
              <w:rPr>
                <w:b/>
                <w:bCs/>
                <w:sz w:val="20"/>
                <w:szCs w:val="20"/>
              </w:rPr>
            </w:pPr>
          </w:p>
        </w:tc>
        <w:tc>
          <w:tcPr>
            <w:tcW w:w="313" w:type="pct"/>
            <w:vAlign w:val="center"/>
          </w:tcPr>
          <w:p w14:paraId="24C68464" w14:textId="77777777" w:rsidR="00835192" w:rsidRPr="00FF756A" w:rsidRDefault="00835192" w:rsidP="00835192">
            <w:pPr>
              <w:spacing w:after="0" w:line="240" w:lineRule="auto"/>
              <w:jc w:val="center"/>
              <w:rPr>
                <w:sz w:val="18"/>
                <w:szCs w:val="18"/>
              </w:rPr>
            </w:pPr>
            <w:r w:rsidRPr="00FF756A">
              <w:rPr>
                <w:sz w:val="18"/>
                <w:szCs w:val="18"/>
              </w:rPr>
              <w:t>66</w:t>
            </w:r>
          </w:p>
        </w:tc>
        <w:tc>
          <w:tcPr>
            <w:tcW w:w="448" w:type="pct"/>
            <w:vAlign w:val="center"/>
          </w:tcPr>
          <w:p w14:paraId="6ED1A4B3" w14:textId="77777777" w:rsidR="00835192" w:rsidRPr="00FF756A" w:rsidRDefault="00835192" w:rsidP="00835192">
            <w:pPr>
              <w:spacing w:after="0" w:line="240" w:lineRule="auto"/>
              <w:jc w:val="left"/>
              <w:rPr>
                <w:sz w:val="20"/>
                <w:szCs w:val="20"/>
              </w:rPr>
            </w:pPr>
            <w:r w:rsidRPr="00FF756A">
              <w:rPr>
                <w:sz w:val="20"/>
                <w:szCs w:val="20"/>
              </w:rPr>
              <w:t>ES-O5</w:t>
            </w:r>
          </w:p>
        </w:tc>
        <w:tc>
          <w:tcPr>
            <w:tcW w:w="2463" w:type="pct"/>
            <w:vAlign w:val="center"/>
          </w:tcPr>
          <w:p w14:paraId="7BA865F4" w14:textId="77777777" w:rsidR="00835192" w:rsidRPr="00FF756A" w:rsidRDefault="00835192" w:rsidP="00835192">
            <w:pPr>
              <w:spacing w:after="0" w:line="240" w:lineRule="auto"/>
              <w:jc w:val="left"/>
              <w:rPr>
                <w:sz w:val="20"/>
                <w:szCs w:val="20"/>
              </w:rPr>
            </w:pPr>
            <w:r w:rsidRPr="00FF756A">
              <w:rPr>
                <w:sz w:val="20"/>
                <w:szCs w:val="20"/>
              </w:rPr>
              <w:t>Plani i emergjencës për gazin natyror</w:t>
            </w:r>
          </w:p>
        </w:tc>
        <w:tc>
          <w:tcPr>
            <w:tcW w:w="821" w:type="pct"/>
            <w:vAlign w:val="center"/>
          </w:tcPr>
          <w:p w14:paraId="065C3675" w14:textId="77777777" w:rsidR="00835192" w:rsidRPr="00FF756A" w:rsidRDefault="00835192" w:rsidP="00835192">
            <w:pPr>
              <w:spacing w:after="0" w:line="240" w:lineRule="auto"/>
              <w:jc w:val="left"/>
              <w:rPr>
                <w:sz w:val="20"/>
                <w:szCs w:val="20"/>
              </w:rPr>
            </w:pPr>
            <w:r w:rsidRPr="00FF756A">
              <w:rPr>
                <w:sz w:val="20"/>
                <w:szCs w:val="20"/>
              </w:rPr>
              <w:t>Rregullatore; Financiare</w:t>
            </w:r>
          </w:p>
        </w:tc>
        <w:tc>
          <w:tcPr>
            <w:tcW w:w="597" w:type="pct"/>
            <w:vAlign w:val="center"/>
          </w:tcPr>
          <w:p w14:paraId="1AA1E0E0"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2FB288E2" w14:textId="77777777" w:rsidTr="006A3266">
        <w:trPr>
          <w:trHeight w:val="20"/>
        </w:trPr>
        <w:tc>
          <w:tcPr>
            <w:tcW w:w="359" w:type="pct"/>
            <w:vMerge/>
            <w:shd w:val="clear" w:color="auto" w:fill="2E74B5" w:themeFill="accent5" w:themeFillShade="BF"/>
            <w:textDirection w:val="btLr"/>
          </w:tcPr>
          <w:p w14:paraId="676A0FE3" w14:textId="77777777" w:rsidR="00835192" w:rsidRPr="00FF756A" w:rsidRDefault="00835192" w:rsidP="00835192">
            <w:pPr>
              <w:ind w:left="113" w:right="113"/>
              <w:rPr>
                <w:b/>
                <w:bCs/>
                <w:sz w:val="20"/>
                <w:szCs w:val="20"/>
              </w:rPr>
            </w:pPr>
          </w:p>
        </w:tc>
        <w:tc>
          <w:tcPr>
            <w:tcW w:w="313" w:type="pct"/>
            <w:vAlign w:val="center"/>
          </w:tcPr>
          <w:p w14:paraId="6AF06828" w14:textId="77777777" w:rsidR="00835192" w:rsidRPr="00FF756A" w:rsidRDefault="00835192" w:rsidP="00835192">
            <w:pPr>
              <w:spacing w:after="0" w:line="240" w:lineRule="auto"/>
              <w:jc w:val="center"/>
              <w:rPr>
                <w:sz w:val="18"/>
                <w:szCs w:val="18"/>
              </w:rPr>
            </w:pPr>
            <w:r w:rsidRPr="00FF756A">
              <w:rPr>
                <w:sz w:val="18"/>
                <w:szCs w:val="18"/>
              </w:rPr>
              <w:t>67</w:t>
            </w:r>
          </w:p>
        </w:tc>
        <w:tc>
          <w:tcPr>
            <w:tcW w:w="448" w:type="pct"/>
            <w:vAlign w:val="center"/>
          </w:tcPr>
          <w:p w14:paraId="23D8A791" w14:textId="77777777" w:rsidR="00835192" w:rsidRPr="00FF756A" w:rsidRDefault="00835192" w:rsidP="00835192">
            <w:pPr>
              <w:spacing w:after="0" w:line="240" w:lineRule="auto"/>
              <w:jc w:val="left"/>
              <w:rPr>
                <w:sz w:val="20"/>
                <w:szCs w:val="20"/>
              </w:rPr>
            </w:pPr>
            <w:r w:rsidRPr="00FF756A">
              <w:rPr>
                <w:sz w:val="20"/>
                <w:szCs w:val="20"/>
              </w:rPr>
              <w:t>ES-O6</w:t>
            </w:r>
          </w:p>
        </w:tc>
        <w:tc>
          <w:tcPr>
            <w:tcW w:w="2463" w:type="pct"/>
            <w:vAlign w:val="center"/>
          </w:tcPr>
          <w:p w14:paraId="49A121D8" w14:textId="77777777" w:rsidR="00835192" w:rsidRPr="00FF756A" w:rsidRDefault="00835192" w:rsidP="00835192">
            <w:pPr>
              <w:spacing w:after="0" w:line="240" w:lineRule="auto"/>
              <w:jc w:val="left"/>
              <w:rPr>
                <w:sz w:val="20"/>
                <w:szCs w:val="20"/>
              </w:rPr>
            </w:pPr>
            <w:r w:rsidRPr="00FF756A">
              <w:rPr>
                <w:sz w:val="20"/>
                <w:szCs w:val="20"/>
              </w:rPr>
              <w:t>Miratimi i ligjit “Për krijimin, mbajtjen dhe menaxhimin e rezervave minimale të sigurisë të naftës bruto dhe nënprodukteve të saj”</w:t>
            </w:r>
          </w:p>
        </w:tc>
        <w:tc>
          <w:tcPr>
            <w:tcW w:w="821" w:type="pct"/>
            <w:vAlign w:val="center"/>
          </w:tcPr>
          <w:p w14:paraId="459C2FD7" w14:textId="77777777" w:rsidR="00835192" w:rsidRPr="00FF756A" w:rsidRDefault="00835192" w:rsidP="00835192">
            <w:pPr>
              <w:spacing w:after="0" w:line="240" w:lineRule="auto"/>
              <w:jc w:val="left"/>
              <w:rPr>
                <w:sz w:val="20"/>
                <w:szCs w:val="20"/>
              </w:rPr>
            </w:pPr>
            <w:r w:rsidRPr="00FF756A">
              <w:rPr>
                <w:sz w:val="20"/>
                <w:szCs w:val="20"/>
              </w:rPr>
              <w:t>Rregullatore; Financiare</w:t>
            </w:r>
          </w:p>
        </w:tc>
        <w:tc>
          <w:tcPr>
            <w:tcW w:w="597" w:type="pct"/>
            <w:vAlign w:val="center"/>
          </w:tcPr>
          <w:p w14:paraId="13E412D1"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1B478428" w14:textId="77777777" w:rsidTr="006A3266">
        <w:trPr>
          <w:trHeight w:val="20"/>
        </w:trPr>
        <w:tc>
          <w:tcPr>
            <w:tcW w:w="359" w:type="pct"/>
            <w:vMerge/>
            <w:tcBorders>
              <w:bottom w:val="single" w:sz="4" w:space="0" w:color="auto"/>
            </w:tcBorders>
            <w:shd w:val="clear" w:color="auto" w:fill="2E74B5" w:themeFill="accent5" w:themeFillShade="BF"/>
            <w:textDirection w:val="btLr"/>
          </w:tcPr>
          <w:p w14:paraId="6F3A1F57" w14:textId="77777777" w:rsidR="00835192" w:rsidRPr="00FF756A" w:rsidRDefault="00835192" w:rsidP="00835192">
            <w:pPr>
              <w:ind w:left="113" w:right="113"/>
              <w:rPr>
                <w:b/>
                <w:bCs/>
                <w:sz w:val="20"/>
                <w:szCs w:val="20"/>
              </w:rPr>
            </w:pPr>
          </w:p>
        </w:tc>
        <w:tc>
          <w:tcPr>
            <w:tcW w:w="313" w:type="pct"/>
            <w:vAlign w:val="center"/>
          </w:tcPr>
          <w:p w14:paraId="23D13342" w14:textId="77777777" w:rsidR="00835192" w:rsidRPr="00FF756A" w:rsidRDefault="00835192" w:rsidP="00835192">
            <w:pPr>
              <w:spacing w:after="0" w:line="240" w:lineRule="auto"/>
              <w:jc w:val="center"/>
              <w:rPr>
                <w:sz w:val="18"/>
                <w:szCs w:val="18"/>
              </w:rPr>
            </w:pPr>
            <w:r w:rsidRPr="00FF756A">
              <w:rPr>
                <w:sz w:val="18"/>
                <w:szCs w:val="18"/>
              </w:rPr>
              <w:t>68</w:t>
            </w:r>
          </w:p>
        </w:tc>
        <w:tc>
          <w:tcPr>
            <w:tcW w:w="448" w:type="pct"/>
            <w:vAlign w:val="center"/>
          </w:tcPr>
          <w:p w14:paraId="2BA83F1F" w14:textId="77777777" w:rsidR="00835192" w:rsidRPr="00FF756A" w:rsidRDefault="00835192" w:rsidP="00835192">
            <w:pPr>
              <w:spacing w:after="0" w:line="240" w:lineRule="auto"/>
              <w:jc w:val="left"/>
              <w:rPr>
                <w:sz w:val="20"/>
                <w:szCs w:val="20"/>
              </w:rPr>
            </w:pPr>
            <w:r w:rsidRPr="00FF756A">
              <w:rPr>
                <w:sz w:val="20"/>
                <w:szCs w:val="20"/>
              </w:rPr>
              <w:t>ES-R1</w:t>
            </w:r>
          </w:p>
        </w:tc>
        <w:tc>
          <w:tcPr>
            <w:tcW w:w="2463" w:type="pct"/>
            <w:vAlign w:val="center"/>
          </w:tcPr>
          <w:p w14:paraId="708A616C" w14:textId="77777777" w:rsidR="00835192" w:rsidRPr="00FF756A" w:rsidRDefault="00835192" w:rsidP="00835192">
            <w:pPr>
              <w:spacing w:after="0" w:line="240" w:lineRule="auto"/>
              <w:jc w:val="left"/>
              <w:rPr>
                <w:sz w:val="20"/>
                <w:szCs w:val="20"/>
              </w:rPr>
            </w:pPr>
            <w:r w:rsidRPr="00FF756A">
              <w:rPr>
                <w:sz w:val="20"/>
                <w:szCs w:val="20"/>
              </w:rPr>
              <w:t>Gazsjellësi Adriatiko-Jonian dhe gazsjellësi Shqipëri-Kosovë</w:t>
            </w:r>
          </w:p>
        </w:tc>
        <w:tc>
          <w:tcPr>
            <w:tcW w:w="821" w:type="pct"/>
            <w:vAlign w:val="center"/>
          </w:tcPr>
          <w:p w14:paraId="07C87249" w14:textId="77777777" w:rsidR="00835192" w:rsidRPr="00FF756A" w:rsidRDefault="00835192" w:rsidP="00835192">
            <w:pPr>
              <w:spacing w:after="0" w:line="240" w:lineRule="auto"/>
              <w:jc w:val="left"/>
              <w:rPr>
                <w:sz w:val="20"/>
                <w:szCs w:val="20"/>
              </w:rPr>
            </w:pPr>
            <w:r w:rsidRPr="00FF756A">
              <w:rPr>
                <w:sz w:val="20"/>
                <w:szCs w:val="20"/>
              </w:rPr>
              <w:t>Rregullatore; Financiare</w:t>
            </w:r>
          </w:p>
        </w:tc>
        <w:tc>
          <w:tcPr>
            <w:tcW w:w="597" w:type="pct"/>
            <w:vAlign w:val="center"/>
          </w:tcPr>
          <w:p w14:paraId="2FD50C59"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5F15B456" w14:textId="77777777" w:rsidTr="006A3266">
        <w:trPr>
          <w:trHeight w:val="20"/>
        </w:trPr>
        <w:tc>
          <w:tcPr>
            <w:tcW w:w="359" w:type="pct"/>
            <w:vMerge w:val="restart"/>
            <w:shd w:val="clear" w:color="auto" w:fill="AEAAAA" w:themeFill="background2" w:themeFillShade="BF"/>
            <w:textDirection w:val="btLr"/>
            <w:vAlign w:val="center"/>
          </w:tcPr>
          <w:p w14:paraId="21A5B37F" w14:textId="77777777" w:rsidR="00835192" w:rsidRPr="00FF756A" w:rsidRDefault="00835192" w:rsidP="00835192">
            <w:pPr>
              <w:ind w:left="113" w:right="113"/>
              <w:jc w:val="right"/>
              <w:rPr>
                <w:sz w:val="20"/>
                <w:szCs w:val="20"/>
              </w:rPr>
            </w:pPr>
            <w:r w:rsidRPr="00FF756A">
              <w:rPr>
                <w:b/>
                <w:bCs/>
                <w:sz w:val="20"/>
                <w:szCs w:val="20"/>
              </w:rPr>
              <w:t>Tregu i energjisë</w:t>
            </w:r>
          </w:p>
        </w:tc>
        <w:tc>
          <w:tcPr>
            <w:tcW w:w="313" w:type="pct"/>
            <w:vAlign w:val="center"/>
          </w:tcPr>
          <w:p w14:paraId="6CE3D51E" w14:textId="77777777" w:rsidR="00835192" w:rsidRPr="00FF756A" w:rsidRDefault="00835192" w:rsidP="00835192">
            <w:pPr>
              <w:spacing w:after="0" w:line="240" w:lineRule="auto"/>
              <w:jc w:val="center"/>
              <w:rPr>
                <w:sz w:val="18"/>
                <w:szCs w:val="18"/>
              </w:rPr>
            </w:pPr>
            <w:r w:rsidRPr="00FF756A">
              <w:rPr>
                <w:sz w:val="18"/>
                <w:szCs w:val="18"/>
              </w:rPr>
              <w:t>69</w:t>
            </w:r>
          </w:p>
        </w:tc>
        <w:tc>
          <w:tcPr>
            <w:tcW w:w="448" w:type="pct"/>
            <w:vAlign w:val="center"/>
          </w:tcPr>
          <w:p w14:paraId="7B73D2C3" w14:textId="77777777" w:rsidR="00835192" w:rsidRPr="00FF756A" w:rsidRDefault="00835192" w:rsidP="00835192">
            <w:pPr>
              <w:spacing w:after="0" w:line="240" w:lineRule="auto"/>
              <w:jc w:val="left"/>
              <w:rPr>
                <w:sz w:val="20"/>
                <w:szCs w:val="20"/>
              </w:rPr>
            </w:pPr>
            <w:r w:rsidRPr="00FF756A">
              <w:rPr>
                <w:sz w:val="20"/>
                <w:szCs w:val="20"/>
              </w:rPr>
              <w:t>EM-I1</w:t>
            </w:r>
          </w:p>
        </w:tc>
        <w:tc>
          <w:tcPr>
            <w:tcW w:w="2463" w:type="pct"/>
            <w:vAlign w:val="center"/>
          </w:tcPr>
          <w:p w14:paraId="25696E37" w14:textId="77777777" w:rsidR="00835192" w:rsidRPr="00FF756A" w:rsidRDefault="00835192" w:rsidP="00835192">
            <w:pPr>
              <w:spacing w:after="0" w:line="240" w:lineRule="auto"/>
              <w:jc w:val="left"/>
              <w:rPr>
                <w:sz w:val="20"/>
                <w:szCs w:val="20"/>
              </w:rPr>
            </w:pPr>
            <w:r w:rsidRPr="00FF756A">
              <w:rPr>
                <w:sz w:val="20"/>
                <w:szCs w:val="20"/>
              </w:rPr>
              <w:t>Ndërlidhësit elektrikë</w:t>
            </w:r>
          </w:p>
        </w:tc>
        <w:tc>
          <w:tcPr>
            <w:tcW w:w="821" w:type="pct"/>
            <w:vAlign w:val="center"/>
          </w:tcPr>
          <w:p w14:paraId="58B5F2B2" w14:textId="77777777" w:rsidR="00835192" w:rsidRPr="00FF756A" w:rsidRDefault="00835192" w:rsidP="00835192">
            <w:pPr>
              <w:spacing w:after="0" w:line="240" w:lineRule="auto"/>
              <w:jc w:val="left"/>
              <w:rPr>
                <w:sz w:val="20"/>
                <w:szCs w:val="20"/>
              </w:rPr>
            </w:pPr>
            <w:r w:rsidRPr="00FF756A">
              <w:rPr>
                <w:sz w:val="20"/>
                <w:szCs w:val="20"/>
              </w:rPr>
              <w:t>Rregullatore; Financiare</w:t>
            </w:r>
          </w:p>
        </w:tc>
        <w:tc>
          <w:tcPr>
            <w:tcW w:w="597" w:type="pct"/>
            <w:vAlign w:val="center"/>
          </w:tcPr>
          <w:p w14:paraId="572C71C7"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19EEA01E" w14:textId="77777777" w:rsidTr="006A3266">
        <w:trPr>
          <w:trHeight w:val="20"/>
        </w:trPr>
        <w:tc>
          <w:tcPr>
            <w:tcW w:w="359" w:type="pct"/>
            <w:vMerge/>
            <w:shd w:val="clear" w:color="auto" w:fill="AEAAAA" w:themeFill="background2" w:themeFillShade="BF"/>
          </w:tcPr>
          <w:p w14:paraId="5EB4274C" w14:textId="77777777" w:rsidR="00835192" w:rsidRPr="00FF756A" w:rsidRDefault="00835192" w:rsidP="00835192">
            <w:pPr>
              <w:rPr>
                <w:sz w:val="20"/>
                <w:szCs w:val="20"/>
              </w:rPr>
            </w:pPr>
          </w:p>
        </w:tc>
        <w:tc>
          <w:tcPr>
            <w:tcW w:w="313" w:type="pct"/>
            <w:vAlign w:val="center"/>
          </w:tcPr>
          <w:p w14:paraId="40548991" w14:textId="77777777" w:rsidR="00835192" w:rsidRPr="00FF756A" w:rsidRDefault="00835192" w:rsidP="00835192">
            <w:pPr>
              <w:spacing w:after="0" w:line="240" w:lineRule="auto"/>
              <w:jc w:val="center"/>
              <w:rPr>
                <w:sz w:val="18"/>
                <w:szCs w:val="18"/>
              </w:rPr>
            </w:pPr>
            <w:r w:rsidRPr="00FF756A">
              <w:rPr>
                <w:sz w:val="18"/>
                <w:szCs w:val="18"/>
              </w:rPr>
              <w:t>70</w:t>
            </w:r>
          </w:p>
        </w:tc>
        <w:tc>
          <w:tcPr>
            <w:tcW w:w="448" w:type="pct"/>
            <w:vAlign w:val="center"/>
          </w:tcPr>
          <w:p w14:paraId="062E5C4A" w14:textId="77777777" w:rsidR="00835192" w:rsidRPr="00FF756A" w:rsidRDefault="00835192" w:rsidP="00835192">
            <w:pPr>
              <w:spacing w:after="0" w:line="240" w:lineRule="auto"/>
              <w:jc w:val="left"/>
              <w:rPr>
                <w:sz w:val="20"/>
                <w:szCs w:val="20"/>
              </w:rPr>
            </w:pPr>
            <w:r w:rsidRPr="00FF756A">
              <w:rPr>
                <w:sz w:val="20"/>
                <w:szCs w:val="20"/>
              </w:rPr>
              <w:t>EM-I2</w:t>
            </w:r>
          </w:p>
        </w:tc>
        <w:tc>
          <w:tcPr>
            <w:tcW w:w="2463" w:type="pct"/>
            <w:vAlign w:val="center"/>
          </w:tcPr>
          <w:p w14:paraId="3B9749D7" w14:textId="77777777" w:rsidR="00835192" w:rsidRPr="00FF756A" w:rsidRDefault="00835192" w:rsidP="00835192">
            <w:pPr>
              <w:spacing w:after="0" w:line="240" w:lineRule="auto"/>
              <w:jc w:val="left"/>
              <w:rPr>
                <w:sz w:val="20"/>
                <w:szCs w:val="20"/>
              </w:rPr>
            </w:pPr>
            <w:r w:rsidRPr="00FF756A">
              <w:rPr>
                <w:sz w:val="20"/>
                <w:szCs w:val="20"/>
              </w:rPr>
              <w:t>Reforma ne sektorin e energjisë elektrike</w:t>
            </w:r>
          </w:p>
        </w:tc>
        <w:tc>
          <w:tcPr>
            <w:tcW w:w="821" w:type="pct"/>
            <w:vAlign w:val="center"/>
          </w:tcPr>
          <w:p w14:paraId="35F89778"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1CD7B2AF"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3E49FEE8" w14:textId="77777777" w:rsidTr="006A3266">
        <w:trPr>
          <w:trHeight w:val="20"/>
        </w:trPr>
        <w:tc>
          <w:tcPr>
            <w:tcW w:w="359" w:type="pct"/>
            <w:vMerge/>
            <w:shd w:val="clear" w:color="auto" w:fill="AEAAAA" w:themeFill="background2" w:themeFillShade="BF"/>
          </w:tcPr>
          <w:p w14:paraId="72816FBE" w14:textId="77777777" w:rsidR="00835192" w:rsidRPr="00FF756A" w:rsidRDefault="00835192" w:rsidP="00835192">
            <w:pPr>
              <w:rPr>
                <w:sz w:val="20"/>
                <w:szCs w:val="20"/>
              </w:rPr>
            </w:pPr>
          </w:p>
        </w:tc>
        <w:tc>
          <w:tcPr>
            <w:tcW w:w="313" w:type="pct"/>
            <w:vAlign w:val="center"/>
          </w:tcPr>
          <w:p w14:paraId="6AA8CBD9" w14:textId="77777777" w:rsidR="00835192" w:rsidRPr="00FF756A" w:rsidRDefault="00835192" w:rsidP="00835192">
            <w:pPr>
              <w:spacing w:after="0" w:line="240" w:lineRule="auto"/>
              <w:jc w:val="center"/>
              <w:rPr>
                <w:sz w:val="18"/>
                <w:szCs w:val="18"/>
              </w:rPr>
            </w:pPr>
            <w:r w:rsidRPr="00FF756A">
              <w:rPr>
                <w:sz w:val="18"/>
                <w:szCs w:val="18"/>
              </w:rPr>
              <w:t>71</w:t>
            </w:r>
          </w:p>
        </w:tc>
        <w:tc>
          <w:tcPr>
            <w:tcW w:w="448" w:type="pct"/>
            <w:vAlign w:val="center"/>
          </w:tcPr>
          <w:p w14:paraId="68A13F89" w14:textId="77777777" w:rsidR="00835192" w:rsidRPr="00FF756A" w:rsidRDefault="00835192" w:rsidP="00835192">
            <w:pPr>
              <w:spacing w:after="0" w:line="240" w:lineRule="auto"/>
              <w:jc w:val="left"/>
              <w:rPr>
                <w:sz w:val="20"/>
                <w:szCs w:val="20"/>
              </w:rPr>
            </w:pPr>
            <w:r w:rsidRPr="00FF756A">
              <w:rPr>
                <w:sz w:val="20"/>
                <w:szCs w:val="20"/>
              </w:rPr>
              <w:t>EM-I3</w:t>
            </w:r>
          </w:p>
        </w:tc>
        <w:tc>
          <w:tcPr>
            <w:tcW w:w="2463" w:type="pct"/>
            <w:vAlign w:val="center"/>
          </w:tcPr>
          <w:p w14:paraId="0D0F66B4" w14:textId="77777777" w:rsidR="00835192" w:rsidRPr="00FF756A" w:rsidRDefault="00835192" w:rsidP="00835192">
            <w:pPr>
              <w:spacing w:after="0" w:line="240" w:lineRule="auto"/>
              <w:jc w:val="left"/>
              <w:rPr>
                <w:sz w:val="20"/>
                <w:szCs w:val="20"/>
              </w:rPr>
            </w:pPr>
            <w:r w:rsidRPr="00FF756A">
              <w:rPr>
                <w:sz w:val="20"/>
                <w:szCs w:val="20"/>
              </w:rPr>
              <w:t>Caktimi i një operatori BRE dhe transformimi i tarifave “feed-in”</w:t>
            </w:r>
          </w:p>
        </w:tc>
        <w:tc>
          <w:tcPr>
            <w:tcW w:w="821" w:type="pct"/>
            <w:vAlign w:val="center"/>
          </w:tcPr>
          <w:p w14:paraId="22E3CB81"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1802CB9D"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22E9B49E" w14:textId="77777777" w:rsidTr="006A3266">
        <w:trPr>
          <w:trHeight w:val="20"/>
        </w:trPr>
        <w:tc>
          <w:tcPr>
            <w:tcW w:w="359" w:type="pct"/>
            <w:vMerge/>
            <w:tcBorders>
              <w:bottom w:val="single" w:sz="4" w:space="0" w:color="auto"/>
            </w:tcBorders>
            <w:shd w:val="clear" w:color="auto" w:fill="AEAAAA" w:themeFill="background2" w:themeFillShade="BF"/>
          </w:tcPr>
          <w:p w14:paraId="37C4DEF3" w14:textId="77777777" w:rsidR="00835192" w:rsidRPr="00FF756A" w:rsidRDefault="00835192" w:rsidP="00835192">
            <w:pPr>
              <w:rPr>
                <w:sz w:val="20"/>
                <w:szCs w:val="20"/>
              </w:rPr>
            </w:pPr>
          </w:p>
        </w:tc>
        <w:tc>
          <w:tcPr>
            <w:tcW w:w="313" w:type="pct"/>
            <w:vAlign w:val="center"/>
          </w:tcPr>
          <w:p w14:paraId="16A9F3DC" w14:textId="77777777" w:rsidR="00835192" w:rsidRPr="00FF756A" w:rsidRDefault="00835192" w:rsidP="00835192">
            <w:pPr>
              <w:spacing w:after="0" w:line="240" w:lineRule="auto"/>
              <w:jc w:val="center"/>
              <w:rPr>
                <w:sz w:val="18"/>
                <w:szCs w:val="18"/>
              </w:rPr>
            </w:pPr>
            <w:r w:rsidRPr="00FF756A">
              <w:rPr>
                <w:sz w:val="18"/>
                <w:szCs w:val="18"/>
              </w:rPr>
              <w:t>72</w:t>
            </w:r>
          </w:p>
        </w:tc>
        <w:tc>
          <w:tcPr>
            <w:tcW w:w="448" w:type="pct"/>
            <w:vAlign w:val="center"/>
          </w:tcPr>
          <w:p w14:paraId="10FD01C3" w14:textId="77777777" w:rsidR="00835192" w:rsidRPr="00FF756A" w:rsidRDefault="00835192" w:rsidP="00835192">
            <w:pPr>
              <w:spacing w:after="0" w:line="240" w:lineRule="auto"/>
              <w:jc w:val="left"/>
              <w:rPr>
                <w:sz w:val="20"/>
                <w:szCs w:val="20"/>
              </w:rPr>
            </w:pPr>
            <w:r w:rsidRPr="00FF756A">
              <w:rPr>
                <w:sz w:val="20"/>
                <w:szCs w:val="20"/>
              </w:rPr>
              <w:t>EM-P1</w:t>
            </w:r>
          </w:p>
        </w:tc>
        <w:tc>
          <w:tcPr>
            <w:tcW w:w="2463" w:type="pct"/>
            <w:vAlign w:val="center"/>
          </w:tcPr>
          <w:p w14:paraId="55394A37" w14:textId="77777777" w:rsidR="00835192" w:rsidRPr="00FF756A" w:rsidRDefault="00835192" w:rsidP="00835192">
            <w:pPr>
              <w:spacing w:after="0" w:line="240" w:lineRule="auto"/>
              <w:jc w:val="left"/>
              <w:rPr>
                <w:sz w:val="20"/>
                <w:szCs w:val="20"/>
              </w:rPr>
            </w:pPr>
            <w:r w:rsidRPr="00FF756A">
              <w:rPr>
                <w:sz w:val="20"/>
                <w:szCs w:val="20"/>
              </w:rPr>
              <w:t>Eliminimi i varfërisë energjetike</w:t>
            </w:r>
          </w:p>
        </w:tc>
        <w:tc>
          <w:tcPr>
            <w:tcW w:w="821" w:type="pct"/>
            <w:vAlign w:val="center"/>
          </w:tcPr>
          <w:p w14:paraId="11E0F88D"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7EABE128"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6108EEA7" w14:textId="77777777" w:rsidTr="006A3266">
        <w:trPr>
          <w:cantSplit/>
          <w:trHeight w:val="20"/>
        </w:trPr>
        <w:tc>
          <w:tcPr>
            <w:tcW w:w="359" w:type="pct"/>
            <w:vMerge w:val="restart"/>
            <w:shd w:val="clear" w:color="auto" w:fill="C45911" w:themeFill="accent2" w:themeFillShade="BF"/>
            <w:textDirection w:val="btLr"/>
            <w:vAlign w:val="center"/>
          </w:tcPr>
          <w:p w14:paraId="7AC2D940" w14:textId="77777777" w:rsidR="00835192" w:rsidRPr="00FF756A" w:rsidRDefault="00835192" w:rsidP="00835192">
            <w:pPr>
              <w:ind w:left="113" w:right="113"/>
              <w:jc w:val="center"/>
              <w:rPr>
                <w:b/>
                <w:bCs/>
                <w:sz w:val="18"/>
                <w:szCs w:val="18"/>
              </w:rPr>
            </w:pPr>
            <w:r w:rsidRPr="00FF756A">
              <w:rPr>
                <w:b/>
                <w:bCs/>
                <w:sz w:val="18"/>
                <w:szCs w:val="18"/>
              </w:rPr>
              <w:t>Kërkimi, inovacioni dhe konkurrenca</w:t>
            </w:r>
          </w:p>
        </w:tc>
        <w:tc>
          <w:tcPr>
            <w:tcW w:w="313" w:type="pct"/>
            <w:vAlign w:val="center"/>
          </w:tcPr>
          <w:p w14:paraId="201573DF" w14:textId="77777777" w:rsidR="00835192" w:rsidRPr="00FF756A" w:rsidRDefault="00835192" w:rsidP="00835192">
            <w:pPr>
              <w:spacing w:after="0" w:line="240" w:lineRule="auto"/>
              <w:jc w:val="center"/>
              <w:rPr>
                <w:sz w:val="18"/>
                <w:szCs w:val="18"/>
              </w:rPr>
            </w:pPr>
            <w:r w:rsidRPr="00FF756A">
              <w:rPr>
                <w:sz w:val="18"/>
                <w:szCs w:val="18"/>
              </w:rPr>
              <w:t>73</w:t>
            </w:r>
          </w:p>
        </w:tc>
        <w:tc>
          <w:tcPr>
            <w:tcW w:w="448" w:type="pct"/>
            <w:vAlign w:val="center"/>
          </w:tcPr>
          <w:p w14:paraId="720B0328" w14:textId="77777777" w:rsidR="00835192" w:rsidRPr="00FF756A" w:rsidRDefault="00835192" w:rsidP="00835192">
            <w:pPr>
              <w:spacing w:after="0" w:line="240" w:lineRule="auto"/>
              <w:jc w:val="left"/>
              <w:rPr>
                <w:sz w:val="20"/>
                <w:szCs w:val="20"/>
              </w:rPr>
            </w:pPr>
            <w:r w:rsidRPr="00FF756A">
              <w:rPr>
                <w:sz w:val="20"/>
                <w:szCs w:val="20"/>
              </w:rPr>
              <w:t>RIC-E1</w:t>
            </w:r>
          </w:p>
        </w:tc>
        <w:tc>
          <w:tcPr>
            <w:tcW w:w="2463" w:type="pct"/>
            <w:vAlign w:val="center"/>
          </w:tcPr>
          <w:p w14:paraId="2B850ADF" w14:textId="77777777" w:rsidR="00835192" w:rsidRPr="00FF756A" w:rsidRDefault="00835192" w:rsidP="00835192">
            <w:pPr>
              <w:spacing w:after="0" w:line="240" w:lineRule="auto"/>
              <w:jc w:val="left"/>
              <w:rPr>
                <w:sz w:val="20"/>
                <w:szCs w:val="20"/>
              </w:rPr>
            </w:pPr>
            <w:r w:rsidRPr="00FF756A">
              <w:rPr>
                <w:sz w:val="20"/>
                <w:szCs w:val="20"/>
              </w:rPr>
              <w:t>Përmirësimi i bashkëpunimit në nivel rajonal dhe ndërkombëtar për kërkimin shkencor në lidhje me sektorin e energjisë</w:t>
            </w:r>
          </w:p>
        </w:tc>
        <w:tc>
          <w:tcPr>
            <w:tcW w:w="821" w:type="pct"/>
            <w:vAlign w:val="center"/>
          </w:tcPr>
          <w:p w14:paraId="29FED1DF" w14:textId="77777777" w:rsidR="00835192" w:rsidRPr="00FF756A" w:rsidRDefault="00835192" w:rsidP="00835192">
            <w:pPr>
              <w:spacing w:after="0" w:line="240" w:lineRule="auto"/>
              <w:jc w:val="left"/>
              <w:rPr>
                <w:sz w:val="20"/>
                <w:szCs w:val="20"/>
              </w:rPr>
            </w:pPr>
            <w:r w:rsidRPr="00FF756A">
              <w:rPr>
                <w:sz w:val="20"/>
                <w:szCs w:val="20"/>
              </w:rPr>
              <w:t>Rregullatore; Informative; Edukative; Financiare</w:t>
            </w:r>
          </w:p>
        </w:tc>
        <w:tc>
          <w:tcPr>
            <w:tcW w:w="597" w:type="pct"/>
            <w:vAlign w:val="center"/>
          </w:tcPr>
          <w:p w14:paraId="2FC62F14"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7327F0B5" w14:textId="77777777" w:rsidTr="006A3266">
        <w:trPr>
          <w:cantSplit/>
          <w:trHeight w:val="20"/>
        </w:trPr>
        <w:tc>
          <w:tcPr>
            <w:tcW w:w="359" w:type="pct"/>
            <w:vMerge/>
            <w:shd w:val="clear" w:color="auto" w:fill="C45911" w:themeFill="accent2" w:themeFillShade="BF"/>
            <w:textDirection w:val="btLr"/>
          </w:tcPr>
          <w:p w14:paraId="2EB85516" w14:textId="77777777" w:rsidR="00835192" w:rsidRPr="00FF756A" w:rsidRDefault="00835192" w:rsidP="00835192">
            <w:pPr>
              <w:ind w:left="113" w:right="113"/>
              <w:rPr>
                <w:b/>
                <w:bCs/>
                <w:sz w:val="20"/>
                <w:szCs w:val="20"/>
              </w:rPr>
            </w:pPr>
          </w:p>
        </w:tc>
        <w:tc>
          <w:tcPr>
            <w:tcW w:w="313" w:type="pct"/>
            <w:vAlign w:val="center"/>
          </w:tcPr>
          <w:p w14:paraId="70A4ED5A" w14:textId="77777777" w:rsidR="00835192" w:rsidRPr="00FF756A" w:rsidRDefault="00835192" w:rsidP="00835192">
            <w:pPr>
              <w:spacing w:after="0" w:line="240" w:lineRule="auto"/>
              <w:jc w:val="center"/>
              <w:rPr>
                <w:sz w:val="18"/>
                <w:szCs w:val="18"/>
              </w:rPr>
            </w:pPr>
            <w:r w:rsidRPr="00FF756A">
              <w:rPr>
                <w:sz w:val="18"/>
                <w:szCs w:val="18"/>
              </w:rPr>
              <w:t>74</w:t>
            </w:r>
          </w:p>
        </w:tc>
        <w:tc>
          <w:tcPr>
            <w:tcW w:w="448" w:type="pct"/>
            <w:vAlign w:val="center"/>
          </w:tcPr>
          <w:p w14:paraId="02329707" w14:textId="77777777" w:rsidR="00835192" w:rsidRPr="00FF756A" w:rsidRDefault="00835192" w:rsidP="00835192">
            <w:pPr>
              <w:spacing w:after="0" w:line="240" w:lineRule="auto"/>
              <w:jc w:val="left"/>
              <w:rPr>
                <w:sz w:val="20"/>
                <w:szCs w:val="20"/>
              </w:rPr>
            </w:pPr>
            <w:r w:rsidRPr="00FF756A">
              <w:rPr>
                <w:sz w:val="20"/>
                <w:szCs w:val="20"/>
              </w:rPr>
              <w:t>RIC-E2</w:t>
            </w:r>
          </w:p>
        </w:tc>
        <w:tc>
          <w:tcPr>
            <w:tcW w:w="2463" w:type="pct"/>
            <w:vAlign w:val="center"/>
          </w:tcPr>
          <w:p w14:paraId="69D8886F" w14:textId="77777777" w:rsidR="00835192" w:rsidRPr="00FF756A" w:rsidRDefault="00835192" w:rsidP="00835192">
            <w:pPr>
              <w:spacing w:after="0" w:line="240" w:lineRule="auto"/>
              <w:jc w:val="left"/>
              <w:rPr>
                <w:sz w:val="20"/>
                <w:szCs w:val="20"/>
              </w:rPr>
            </w:pPr>
            <w:r w:rsidRPr="00FF756A">
              <w:rPr>
                <w:sz w:val="20"/>
                <w:szCs w:val="20"/>
              </w:rPr>
              <w:t>Programi Kombëtar i Kërkimit dhe Zhvillimit</w:t>
            </w:r>
          </w:p>
        </w:tc>
        <w:tc>
          <w:tcPr>
            <w:tcW w:w="821" w:type="pct"/>
            <w:vAlign w:val="center"/>
          </w:tcPr>
          <w:p w14:paraId="32F70091" w14:textId="77777777" w:rsidR="00835192" w:rsidRPr="00FF756A" w:rsidRDefault="00835192" w:rsidP="00835192">
            <w:pPr>
              <w:spacing w:after="0" w:line="240" w:lineRule="auto"/>
              <w:jc w:val="left"/>
              <w:rPr>
                <w:sz w:val="20"/>
                <w:szCs w:val="20"/>
              </w:rPr>
            </w:pPr>
            <w:r w:rsidRPr="00FF756A">
              <w:rPr>
                <w:sz w:val="20"/>
                <w:szCs w:val="20"/>
              </w:rPr>
              <w:t>Financiare</w:t>
            </w:r>
          </w:p>
        </w:tc>
        <w:tc>
          <w:tcPr>
            <w:tcW w:w="597" w:type="pct"/>
            <w:vAlign w:val="center"/>
          </w:tcPr>
          <w:p w14:paraId="48DD76EB" w14:textId="77777777" w:rsidR="00835192" w:rsidRPr="00FF756A" w:rsidRDefault="00835192" w:rsidP="00835192">
            <w:pPr>
              <w:spacing w:after="0" w:line="240" w:lineRule="auto"/>
              <w:jc w:val="left"/>
              <w:rPr>
                <w:sz w:val="20"/>
                <w:szCs w:val="20"/>
              </w:rPr>
            </w:pPr>
            <w:r w:rsidRPr="00FF756A">
              <w:rPr>
                <w:sz w:val="20"/>
                <w:szCs w:val="20"/>
              </w:rPr>
              <w:t>WEM</w:t>
            </w:r>
          </w:p>
        </w:tc>
      </w:tr>
      <w:tr w:rsidR="00835192" w:rsidRPr="00FF756A" w14:paraId="4E0E7F1C" w14:textId="77777777" w:rsidTr="006A3266">
        <w:trPr>
          <w:cantSplit/>
          <w:trHeight w:val="20"/>
        </w:trPr>
        <w:tc>
          <w:tcPr>
            <w:tcW w:w="359" w:type="pct"/>
            <w:vMerge/>
            <w:shd w:val="clear" w:color="auto" w:fill="C45911" w:themeFill="accent2" w:themeFillShade="BF"/>
            <w:textDirection w:val="btLr"/>
          </w:tcPr>
          <w:p w14:paraId="5E4A39B3" w14:textId="77777777" w:rsidR="00835192" w:rsidRPr="00FF756A" w:rsidRDefault="00835192" w:rsidP="00835192">
            <w:pPr>
              <w:ind w:left="113" w:right="113"/>
              <w:rPr>
                <w:b/>
                <w:bCs/>
                <w:sz w:val="20"/>
                <w:szCs w:val="20"/>
              </w:rPr>
            </w:pPr>
          </w:p>
        </w:tc>
        <w:tc>
          <w:tcPr>
            <w:tcW w:w="313" w:type="pct"/>
            <w:vAlign w:val="center"/>
          </w:tcPr>
          <w:p w14:paraId="6094823C" w14:textId="77777777" w:rsidR="00835192" w:rsidRPr="00FF756A" w:rsidRDefault="00835192" w:rsidP="00835192">
            <w:pPr>
              <w:spacing w:after="0" w:line="240" w:lineRule="auto"/>
              <w:jc w:val="center"/>
              <w:rPr>
                <w:sz w:val="18"/>
                <w:szCs w:val="18"/>
              </w:rPr>
            </w:pPr>
            <w:r w:rsidRPr="00FF756A">
              <w:rPr>
                <w:sz w:val="18"/>
                <w:szCs w:val="18"/>
              </w:rPr>
              <w:t>75</w:t>
            </w:r>
          </w:p>
        </w:tc>
        <w:tc>
          <w:tcPr>
            <w:tcW w:w="448" w:type="pct"/>
            <w:vAlign w:val="center"/>
          </w:tcPr>
          <w:p w14:paraId="3C551B74" w14:textId="77777777" w:rsidR="00835192" w:rsidRPr="00FF756A" w:rsidRDefault="00835192" w:rsidP="00835192">
            <w:pPr>
              <w:spacing w:after="0" w:line="240" w:lineRule="auto"/>
              <w:jc w:val="left"/>
              <w:rPr>
                <w:sz w:val="20"/>
                <w:szCs w:val="20"/>
              </w:rPr>
            </w:pPr>
            <w:r w:rsidRPr="00FF756A">
              <w:rPr>
                <w:sz w:val="20"/>
                <w:szCs w:val="20"/>
              </w:rPr>
              <w:t>RIC-E3</w:t>
            </w:r>
          </w:p>
        </w:tc>
        <w:tc>
          <w:tcPr>
            <w:tcW w:w="2463" w:type="pct"/>
            <w:vAlign w:val="center"/>
          </w:tcPr>
          <w:p w14:paraId="280AFAF2" w14:textId="77777777" w:rsidR="00835192" w:rsidRPr="00FF756A" w:rsidRDefault="00835192" w:rsidP="00835192">
            <w:pPr>
              <w:spacing w:after="0" w:line="240" w:lineRule="auto"/>
              <w:jc w:val="left"/>
              <w:rPr>
                <w:sz w:val="20"/>
                <w:szCs w:val="20"/>
              </w:rPr>
            </w:pPr>
            <w:r w:rsidRPr="00FF756A">
              <w:rPr>
                <w:sz w:val="20"/>
                <w:szCs w:val="20"/>
              </w:rPr>
              <w:t>Strategjia e zhvillimit të biznesit dhe investimeve (BIDS)</w:t>
            </w:r>
          </w:p>
        </w:tc>
        <w:tc>
          <w:tcPr>
            <w:tcW w:w="821" w:type="pct"/>
            <w:vAlign w:val="center"/>
          </w:tcPr>
          <w:p w14:paraId="4849EC88" w14:textId="77777777" w:rsidR="00835192" w:rsidRPr="00FF756A" w:rsidRDefault="00835192" w:rsidP="00835192">
            <w:pPr>
              <w:spacing w:after="0" w:line="240" w:lineRule="auto"/>
              <w:jc w:val="left"/>
              <w:rPr>
                <w:sz w:val="20"/>
                <w:szCs w:val="20"/>
              </w:rPr>
            </w:pPr>
            <w:r w:rsidRPr="00FF756A">
              <w:rPr>
                <w:sz w:val="20"/>
                <w:szCs w:val="20"/>
              </w:rPr>
              <w:t>Rregullatore</w:t>
            </w:r>
          </w:p>
        </w:tc>
        <w:tc>
          <w:tcPr>
            <w:tcW w:w="597" w:type="pct"/>
            <w:vAlign w:val="center"/>
          </w:tcPr>
          <w:p w14:paraId="5703F658"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71B58557" w14:textId="77777777" w:rsidTr="006A3266">
        <w:trPr>
          <w:cantSplit/>
          <w:trHeight w:val="20"/>
        </w:trPr>
        <w:tc>
          <w:tcPr>
            <w:tcW w:w="359" w:type="pct"/>
            <w:vMerge/>
            <w:shd w:val="clear" w:color="auto" w:fill="C45911" w:themeFill="accent2" w:themeFillShade="BF"/>
            <w:textDirection w:val="btLr"/>
          </w:tcPr>
          <w:p w14:paraId="1D2F39A7" w14:textId="77777777" w:rsidR="00835192" w:rsidRPr="00FF756A" w:rsidRDefault="00835192" w:rsidP="00835192">
            <w:pPr>
              <w:ind w:left="113" w:right="113"/>
              <w:rPr>
                <w:b/>
                <w:bCs/>
                <w:sz w:val="20"/>
                <w:szCs w:val="20"/>
              </w:rPr>
            </w:pPr>
          </w:p>
        </w:tc>
        <w:tc>
          <w:tcPr>
            <w:tcW w:w="313" w:type="pct"/>
            <w:vAlign w:val="center"/>
          </w:tcPr>
          <w:p w14:paraId="37C38566" w14:textId="77777777" w:rsidR="00835192" w:rsidRPr="00FF756A" w:rsidRDefault="00835192" w:rsidP="00835192">
            <w:pPr>
              <w:spacing w:after="0" w:line="240" w:lineRule="auto"/>
              <w:jc w:val="center"/>
              <w:rPr>
                <w:sz w:val="18"/>
                <w:szCs w:val="18"/>
              </w:rPr>
            </w:pPr>
            <w:r w:rsidRPr="00FF756A">
              <w:rPr>
                <w:sz w:val="18"/>
                <w:szCs w:val="18"/>
              </w:rPr>
              <w:t>76</w:t>
            </w:r>
          </w:p>
        </w:tc>
        <w:tc>
          <w:tcPr>
            <w:tcW w:w="448" w:type="pct"/>
            <w:vAlign w:val="center"/>
          </w:tcPr>
          <w:p w14:paraId="62E169B4" w14:textId="77777777" w:rsidR="00835192" w:rsidRPr="00FF756A" w:rsidRDefault="00835192" w:rsidP="00835192">
            <w:pPr>
              <w:spacing w:after="0" w:line="240" w:lineRule="auto"/>
              <w:jc w:val="left"/>
              <w:rPr>
                <w:sz w:val="20"/>
                <w:szCs w:val="20"/>
              </w:rPr>
            </w:pPr>
            <w:r w:rsidRPr="00FF756A">
              <w:rPr>
                <w:sz w:val="20"/>
                <w:szCs w:val="20"/>
              </w:rPr>
              <w:t>RIC-E4</w:t>
            </w:r>
          </w:p>
        </w:tc>
        <w:tc>
          <w:tcPr>
            <w:tcW w:w="2463" w:type="pct"/>
            <w:vAlign w:val="center"/>
          </w:tcPr>
          <w:p w14:paraId="7CA0FB73" w14:textId="77777777" w:rsidR="00835192" w:rsidRPr="00FF756A" w:rsidRDefault="00835192" w:rsidP="00835192">
            <w:pPr>
              <w:spacing w:after="0" w:line="240" w:lineRule="auto"/>
              <w:jc w:val="left"/>
              <w:rPr>
                <w:sz w:val="20"/>
                <w:szCs w:val="20"/>
              </w:rPr>
            </w:pPr>
            <w:r w:rsidRPr="00FF756A">
              <w:rPr>
                <w:sz w:val="20"/>
                <w:szCs w:val="20"/>
              </w:rPr>
              <w:t>Demonstrimi i inovacionit dhe konkurrencës</w:t>
            </w:r>
          </w:p>
        </w:tc>
        <w:tc>
          <w:tcPr>
            <w:tcW w:w="821" w:type="pct"/>
            <w:vAlign w:val="center"/>
          </w:tcPr>
          <w:p w14:paraId="46DB5B8B" w14:textId="77777777" w:rsidR="00835192" w:rsidRPr="00FF756A" w:rsidRDefault="00835192" w:rsidP="00835192">
            <w:pPr>
              <w:spacing w:after="0" w:line="240" w:lineRule="auto"/>
              <w:jc w:val="left"/>
              <w:rPr>
                <w:sz w:val="20"/>
                <w:szCs w:val="20"/>
              </w:rPr>
            </w:pPr>
            <w:r w:rsidRPr="00FF756A">
              <w:rPr>
                <w:sz w:val="20"/>
                <w:szCs w:val="20"/>
              </w:rPr>
              <w:t>Financiare</w:t>
            </w:r>
          </w:p>
        </w:tc>
        <w:tc>
          <w:tcPr>
            <w:tcW w:w="597" w:type="pct"/>
            <w:vAlign w:val="center"/>
          </w:tcPr>
          <w:p w14:paraId="6853CB92"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38D55A4D" w14:textId="77777777" w:rsidTr="006A3266">
        <w:trPr>
          <w:cantSplit/>
          <w:trHeight w:val="20"/>
        </w:trPr>
        <w:tc>
          <w:tcPr>
            <w:tcW w:w="359" w:type="pct"/>
            <w:vMerge/>
            <w:shd w:val="clear" w:color="auto" w:fill="C45911" w:themeFill="accent2" w:themeFillShade="BF"/>
            <w:textDirection w:val="btLr"/>
          </w:tcPr>
          <w:p w14:paraId="5BC94A9F" w14:textId="77777777" w:rsidR="00835192" w:rsidRPr="00FF756A" w:rsidRDefault="00835192" w:rsidP="00835192">
            <w:pPr>
              <w:ind w:left="113" w:right="113"/>
              <w:rPr>
                <w:b/>
                <w:bCs/>
                <w:sz w:val="20"/>
                <w:szCs w:val="20"/>
              </w:rPr>
            </w:pPr>
          </w:p>
        </w:tc>
        <w:tc>
          <w:tcPr>
            <w:tcW w:w="313" w:type="pct"/>
            <w:vAlign w:val="center"/>
          </w:tcPr>
          <w:p w14:paraId="5440A4E1" w14:textId="77777777" w:rsidR="00835192" w:rsidRPr="00FF756A" w:rsidRDefault="00835192" w:rsidP="00835192">
            <w:pPr>
              <w:spacing w:after="0" w:line="240" w:lineRule="auto"/>
              <w:jc w:val="center"/>
              <w:rPr>
                <w:sz w:val="18"/>
                <w:szCs w:val="18"/>
              </w:rPr>
            </w:pPr>
            <w:r w:rsidRPr="00FF756A">
              <w:rPr>
                <w:sz w:val="18"/>
                <w:szCs w:val="18"/>
              </w:rPr>
              <w:t>77</w:t>
            </w:r>
          </w:p>
        </w:tc>
        <w:tc>
          <w:tcPr>
            <w:tcW w:w="448" w:type="pct"/>
            <w:vAlign w:val="center"/>
          </w:tcPr>
          <w:p w14:paraId="4F0233E3" w14:textId="77777777" w:rsidR="00835192" w:rsidRPr="00FF756A" w:rsidRDefault="00835192" w:rsidP="00835192">
            <w:pPr>
              <w:spacing w:after="0" w:line="240" w:lineRule="auto"/>
              <w:jc w:val="left"/>
              <w:rPr>
                <w:sz w:val="20"/>
                <w:szCs w:val="20"/>
              </w:rPr>
            </w:pPr>
            <w:r w:rsidRPr="00FF756A">
              <w:rPr>
                <w:sz w:val="20"/>
                <w:szCs w:val="20"/>
              </w:rPr>
              <w:t>RIC-E5</w:t>
            </w:r>
          </w:p>
        </w:tc>
        <w:tc>
          <w:tcPr>
            <w:tcW w:w="2463" w:type="pct"/>
            <w:vAlign w:val="center"/>
          </w:tcPr>
          <w:p w14:paraId="228D77BD" w14:textId="77777777" w:rsidR="00835192" w:rsidRPr="00FF756A" w:rsidRDefault="00835192" w:rsidP="00835192">
            <w:pPr>
              <w:spacing w:after="0" w:line="240" w:lineRule="auto"/>
              <w:jc w:val="left"/>
              <w:rPr>
                <w:sz w:val="20"/>
                <w:szCs w:val="20"/>
              </w:rPr>
            </w:pPr>
            <w:r w:rsidRPr="00FF756A">
              <w:rPr>
                <w:sz w:val="20"/>
                <w:szCs w:val="20"/>
              </w:rPr>
              <w:t>Mbështetja e NVM-ve novatore me anë të lehtësirave tatimore</w:t>
            </w:r>
          </w:p>
          <w:p w14:paraId="28375332" w14:textId="77777777" w:rsidR="00835192" w:rsidRPr="00FF756A" w:rsidRDefault="00835192" w:rsidP="00835192">
            <w:pPr>
              <w:spacing w:after="0" w:line="240" w:lineRule="auto"/>
              <w:jc w:val="left"/>
              <w:rPr>
                <w:sz w:val="20"/>
                <w:szCs w:val="20"/>
              </w:rPr>
            </w:pPr>
            <w:r w:rsidRPr="00FF756A">
              <w:rPr>
                <w:sz w:val="20"/>
                <w:szCs w:val="20"/>
              </w:rPr>
              <w:t>(RIC-E5)</w:t>
            </w:r>
          </w:p>
        </w:tc>
        <w:tc>
          <w:tcPr>
            <w:tcW w:w="821" w:type="pct"/>
            <w:vAlign w:val="center"/>
          </w:tcPr>
          <w:p w14:paraId="6D7F6E37" w14:textId="77777777" w:rsidR="00835192" w:rsidRPr="00FF756A" w:rsidRDefault="00835192" w:rsidP="00835192">
            <w:pPr>
              <w:spacing w:after="0" w:line="240" w:lineRule="auto"/>
              <w:jc w:val="left"/>
              <w:rPr>
                <w:sz w:val="20"/>
                <w:szCs w:val="20"/>
              </w:rPr>
            </w:pPr>
            <w:r w:rsidRPr="00FF756A">
              <w:rPr>
                <w:sz w:val="20"/>
                <w:szCs w:val="20"/>
              </w:rPr>
              <w:t xml:space="preserve">Fiskale </w:t>
            </w:r>
          </w:p>
        </w:tc>
        <w:tc>
          <w:tcPr>
            <w:tcW w:w="597" w:type="pct"/>
            <w:vAlign w:val="center"/>
          </w:tcPr>
          <w:p w14:paraId="4CB43801"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17468260" w14:textId="77777777" w:rsidTr="006A3266">
        <w:trPr>
          <w:cantSplit/>
          <w:trHeight w:val="20"/>
        </w:trPr>
        <w:tc>
          <w:tcPr>
            <w:tcW w:w="359" w:type="pct"/>
            <w:vMerge/>
            <w:shd w:val="clear" w:color="auto" w:fill="C45911" w:themeFill="accent2" w:themeFillShade="BF"/>
            <w:textDirection w:val="btLr"/>
          </w:tcPr>
          <w:p w14:paraId="6BF610F0" w14:textId="77777777" w:rsidR="00835192" w:rsidRPr="00FF756A" w:rsidRDefault="00835192" w:rsidP="00835192">
            <w:pPr>
              <w:ind w:left="113" w:right="113"/>
              <w:rPr>
                <w:b/>
                <w:bCs/>
                <w:sz w:val="20"/>
                <w:szCs w:val="20"/>
              </w:rPr>
            </w:pPr>
          </w:p>
        </w:tc>
        <w:tc>
          <w:tcPr>
            <w:tcW w:w="313" w:type="pct"/>
            <w:vAlign w:val="center"/>
          </w:tcPr>
          <w:p w14:paraId="59F4C6A4" w14:textId="77777777" w:rsidR="00835192" w:rsidRPr="00FF756A" w:rsidRDefault="00835192" w:rsidP="00835192">
            <w:pPr>
              <w:spacing w:after="0" w:line="240" w:lineRule="auto"/>
              <w:jc w:val="center"/>
              <w:rPr>
                <w:sz w:val="18"/>
                <w:szCs w:val="18"/>
              </w:rPr>
            </w:pPr>
            <w:r w:rsidRPr="00FF756A">
              <w:rPr>
                <w:sz w:val="18"/>
                <w:szCs w:val="18"/>
              </w:rPr>
              <w:t>78</w:t>
            </w:r>
          </w:p>
        </w:tc>
        <w:tc>
          <w:tcPr>
            <w:tcW w:w="448" w:type="pct"/>
            <w:vAlign w:val="center"/>
          </w:tcPr>
          <w:p w14:paraId="1E755A5F" w14:textId="77777777" w:rsidR="00835192" w:rsidRPr="00FF756A" w:rsidRDefault="00835192" w:rsidP="00835192">
            <w:pPr>
              <w:spacing w:after="0" w:line="240" w:lineRule="auto"/>
              <w:jc w:val="left"/>
              <w:rPr>
                <w:sz w:val="20"/>
                <w:szCs w:val="20"/>
              </w:rPr>
            </w:pPr>
            <w:r w:rsidRPr="00FF756A">
              <w:rPr>
                <w:sz w:val="20"/>
                <w:szCs w:val="20"/>
              </w:rPr>
              <w:t>RIC-E6</w:t>
            </w:r>
          </w:p>
        </w:tc>
        <w:tc>
          <w:tcPr>
            <w:tcW w:w="2463" w:type="pct"/>
            <w:vAlign w:val="center"/>
          </w:tcPr>
          <w:p w14:paraId="1718AB5B" w14:textId="77777777" w:rsidR="00835192" w:rsidRPr="00FF756A" w:rsidRDefault="00835192" w:rsidP="00835192">
            <w:pPr>
              <w:spacing w:after="0" w:line="240" w:lineRule="auto"/>
              <w:jc w:val="left"/>
              <w:rPr>
                <w:sz w:val="20"/>
                <w:szCs w:val="20"/>
              </w:rPr>
            </w:pPr>
            <w:r w:rsidRPr="00FF756A">
              <w:rPr>
                <w:sz w:val="20"/>
                <w:szCs w:val="20"/>
              </w:rPr>
              <w:t xml:space="preserve">Formimi i grupeve për të mbështetur inovacionin dhe konkurrencën </w:t>
            </w:r>
          </w:p>
          <w:p w14:paraId="2872886B" w14:textId="77777777" w:rsidR="00835192" w:rsidRPr="00FF756A" w:rsidRDefault="00835192" w:rsidP="00835192">
            <w:pPr>
              <w:spacing w:after="0" w:line="240" w:lineRule="auto"/>
              <w:jc w:val="left"/>
              <w:rPr>
                <w:sz w:val="20"/>
                <w:szCs w:val="20"/>
              </w:rPr>
            </w:pPr>
          </w:p>
        </w:tc>
        <w:tc>
          <w:tcPr>
            <w:tcW w:w="821" w:type="pct"/>
            <w:vAlign w:val="center"/>
          </w:tcPr>
          <w:p w14:paraId="4CE839DA" w14:textId="77777777" w:rsidR="00835192" w:rsidRPr="00FF756A" w:rsidRDefault="00835192" w:rsidP="00835192">
            <w:pPr>
              <w:spacing w:after="0" w:line="240" w:lineRule="auto"/>
              <w:jc w:val="left"/>
              <w:rPr>
                <w:sz w:val="20"/>
                <w:szCs w:val="20"/>
              </w:rPr>
            </w:pPr>
            <w:r w:rsidRPr="00FF756A">
              <w:rPr>
                <w:sz w:val="20"/>
                <w:szCs w:val="20"/>
              </w:rPr>
              <w:t>Financiare</w:t>
            </w:r>
          </w:p>
        </w:tc>
        <w:tc>
          <w:tcPr>
            <w:tcW w:w="597" w:type="pct"/>
            <w:vAlign w:val="center"/>
          </w:tcPr>
          <w:p w14:paraId="040036E4" w14:textId="77777777" w:rsidR="00835192" w:rsidRPr="00FF756A" w:rsidRDefault="00835192" w:rsidP="00835192">
            <w:pPr>
              <w:spacing w:after="0" w:line="240" w:lineRule="auto"/>
              <w:jc w:val="left"/>
              <w:rPr>
                <w:sz w:val="20"/>
                <w:szCs w:val="20"/>
              </w:rPr>
            </w:pPr>
            <w:r w:rsidRPr="00FF756A">
              <w:rPr>
                <w:sz w:val="20"/>
                <w:szCs w:val="20"/>
              </w:rPr>
              <w:t>WAM</w:t>
            </w:r>
          </w:p>
        </w:tc>
      </w:tr>
      <w:tr w:rsidR="00835192" w:rsidRPr="00FF756A" w14:paraId="6B7CA0DF" w14:textId="77777777" w:rsidTr="006A3266">
        <w:trPr>
          <w:cantSplit/>
          <w:trHeight w:val="20"/>
        </w:trPr>
        <w:tc>
          <w:tcPr>
            <w:tcW w:w="359" w:type="pct"/>
            <w:vMerge/>
            <w:shd w:val="clear" w:color="auto" w:fill="C45911" w:themeFill="accent2" w:themeFillShade="BF"/>
            <w:textDirection w:val="btLr"/>
          </w:tcPr>
          <w:p w14:paraId="07046389" w14:textId="77777777" w:rsidR="00835192" w:rsidRPr="00FF756A" w:rsidRDefault="00835192" w:rsidP="00835192">
            <w:pPr>
              <w:ind w:left="113" w:right="113"/>
              <w:rPr>
                <w:b/>
                <w:bCs/>
                <w:sz w:val="20"/>
                <w:szCs w:val="20"/>
              </w:rPr>
            </w:pPr>
          </w:p>
        </w:tc>
        <w:tc>
          <w:tcPr>
            <w:tcW w:w="313" w:type="pct"/>
            <w:vAlign w:val="center"/>
          </w:tcPr>
          <w:p w14:paraId="4E6B3D42" w14:textId="77777777" w:rsidR="00835192" w:rsidRPr="00FF756A" w:rsidRDefault="00835192" w:rsidP="00835192">
            <w:pPr>
              <w:spacing w:after="0" w:line="240" w:lineRule="auto"/>
              <w:jc w:val="center"/>
              <w:rPr>
                <w:sz w:val="18"/>
                <w:szCs w:val="18"/>
              </w:rPr>
            </w:pPr>
            <w:r w:rsidRPr="00FF756A">
              <w:rPr>
                <w:sz w:val="18"/>
                <w:szCs w:val="18"/>
              </w:rPr>
              <w:t>79</w:t>
            </w:r>
          </w:p>
        </w:tc>
        <w:tc>
          <w:tcPr>
            <w:tcW w:w="448" w:type="pct"/>
            <w:vAlign w:val="center"/>
          </w:tcPr>
          <w:p w14:paraId="0319F98D" w14:textId="77777777" w:rsidR="00835192" w:rsidRPr="00FF756A" w:rsidRDefault="00835192" w:rsidP="00835192">
            <w:pPr>
              <w:spacing w:after="0" w:line="240" w:lineRule="auto"/>
              <w:jc w:val="left"/>
              <w:rPr>
                <w:sz w:val="20"/>
                <w:szCs w:val="20"/>
              </w:rPr>
            </w:pPr>
            <w:r w:rsidRPr="00FF756A">
              <w:rPr>
                <w:sz w:val="20"/>
                <w:szCs w:val="20"/>
              </w:rPr>
              <w:t>RIC-E7</w:t>
            </w:r>
          </w:p>
        </w:tc>
        <w:tc>
          <w:tcPr>
            <w:tcW w:w="2463" w:type="pct"/>
            <w:vAlign w:val="center"/>
          </w:tcPr>
          <w:p w14:paraId="16875145" w14:textId="77777777" w:rsidR="00835192" w:rsidRPr="00FF756A" w:rsidRDefault="00835192" w:rsidP="00835192">
            <w:pPr>
              <w:spacing w:before="20" w:after="20" w:line="240" w:lineRule="auto"/>
              <w:rPr>
                <w:sz w:val="20"/>
                <w:szCs w:val="20"/>
              </w:rPr>
            </w:pPr>
            <w:r w:rsidRPr="00FF756A">
              <w:rPr>
                <w:sz w:val="20"/>
                <w:szCs w:val="20"/>
              </w:rPr>
              <w:t>Inovacioni dhe ekselenca në administratën publike</w:t>
            </w:r>
          </w:p>
        </w:tc>
        <w:tc>
          <w:tcPr>
            <w:tcW w:w="821" w:type="pct"/>
            <w:vAlign w:val="center"/>
          </w:tcPr>
          <w:p w14:paraId="60457CA3" w14:textId="77777777" w:rsidR="00835192" w:rsidRPr="00FF756A" w:rsidRDefault="00835192" w:rsidP="00835192">
            <w:pPr>
              <w:spacing w:after="0" w:line="240" w:lineRule="auto"/>
              <w:jc w:val="left"/>
              <w:rPr>
                <w:sz w:val="20"/>
                <w:szCs w:val="20"/>
              </w:rPr>
            </w:pPr>
            <w:r w:rsidRPr="00FF756A">
              <w:rPr>
                <w:sz w:val="20"/>
                <w:szCs w:val="20"/>
              </w:rPr>
              <w:t>Financiare</w:t>
            </w:r>
          </w:p>
        </w:tc>
        <w:tc>
          <w:tcPr>
            <w:tcW w:w="597" w:type="pct"/>
            <w:vAlign w:val="center"/>
          </w:tcPr>
          <w:p w14:paraId="64CB6F60" w14:textId="77777777" w:rsidR="00835192" w:rsidRPr="00FF756A" w:rsidRDefault="00835192" w:rsidP="007F3F7B">
            <w:pPr>
              <w:keepNext/>
              <w:spacing w:after="0" w:line="240" w:lineRule="auto"/>
              <w:jc w:val="left"/>
              <w:rPr>
                <w:sz w:val="20"/>
                <w:szCs w:val="20"/>
              </w:rPr>
            </w:pPr>
            <w:r w:rsidRPr="00FF756A">
              <w:rPr>
                <w:sz w:val="20"/>
                <w:szCs w:val="20"/>
              </w:rPr>
              <w:t>WAM</w:t>
            </w:r>
          </w:p>
        </w:tc>
      </w:tr>
    </w:tbl>
    <w:p w14:paraId="3780DCCF" w14:textId="59D57FAB" w:rsidR="007F3F7B" w:rsidRPr="00FF756A" w:rsidRDefault="007F3F7B">
      <w:pPr>
        <w:pStyle w:val="Caption"/>
        <w:rPr>
          <w:rFonts w:ascii="Times New Roman" w:hAnsi="Times New Roman"/>
        </w:rPr>
      </w:pPr>
      <w:bookmarkStart w:id="316" w:name="_Toc183016489"/>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25</w:t>
      </w:r>
      <w:r w:rsidR="008E7DE9" w:rsidRPr="00FF756A">
        <w:rPr>
          <w:rFonts w:ascii="Times New Roman" w:hAnsi="Times New Roman"/>
          <w:noProof/>
        </w:rPr>
        <w:fldChar w:fldCharType="end"/>
      </w:r>
      <w:r w:rsidRPr="00FF756A">
        <w:rPr>
          <w:rFonts w:ascii="Times New Roman" w:hAnsi="Times New Roman"/>
        </w:rPr>
        <w:t xml:space="preserve">: Tabelë përmbledhëse e politikave kyçe që ndikojnë në </w:t>
      </w:r>
      <w:r w:rsidR="00B80477" w:rsidRPr="00FF756A">
        <w:rPr>
          <w:rFonts w:ascii="Times New Roman" w:hAnsi="Times New Roman"/>
        </w:rPr>
        <w:t xml:space="preserve">pikësynimin </w:t>
      </w:r>
      <w:r w:rsidRPr="00FF756A">
        <w:rPr>
          <w:rFonts w:ascii="Times New Roman" w:hAnsi="Times New Roman"/>
        </w:rPr>
        <w:t>kombëtar klimatik deri në vitin 2030</w:t>
      </w:r>
      <w:bookmarkEnd w:id="316"/>
    </w:p>
    <w:p w14:paraId="555F557D" w14:textId="71CC2EEC" w:rsidR="00835192" w:rsidRPr="00FF756A" w:rsidRDefault="00835192" w:rsidP="00835192">
      <w:pPr>
        <w:spacing w:after="0" w:line="240" w:lineRule="auto"/>
      </w:pPr>
      <w:r w:rsidRPr="00FF756A">
        <w:br w:type="page"/>
      </w:r>
    </w:p>
    <w:p w14:paraId="455F8F33" w14:textId="435F519D" w:rsidR="00835192" w:rsidRPr="00FF756A" w:rsidRDefault="00835192" w:rsidP="004A3257">
      <w:pPr>
        <w:pStyle w:val="Heading2"/>
        <w:numPr>
          <w:ilvl w:val="1"/>
          <w:numId w:val="49"/>
        </w:numPr>
      </w:pPr>
      <w:bookmarkStart w:id="317" w:name="_Toc182897776"/>
      <w:bookmarkStart w:id="318" w:name="_Toc183639222"/>
      <w:r w:rsidRPr="00FF756A">
        <w:lastRenderedPageBreak/>
        <w:t>Dimensioni i dekarbonizimit</w:t>
      </w:r>
      <w:bookmarkEnd w:id="317"/>
      <w:bookmarkEnd w:id="318"/>
    </w:p>
    <w:p w14:paraId="7E057BDA" w14:textId="77777777" w:rsidR="00835192" w:rsidRPr="00FF756A" w:rsidRDefault="00835192" w:rsidP="00835192"/>
    <w:p w14:paraId="336D62B7" w14:textId="56586EB2" w:rsidR="00835192" w:rsidRPr="00FF756A" w:rsidRDefault="00B1202C" w:rsidP="004A3257">
      <w:pPr>
        <w:pStyle w:val="Heading3"/>
      </w:pPr>
      <w:bookmarkStart w:id="319" w:name="_Toc55836376"/>
      <w:bookmarkStart w:id="320" w:name="_Toc75616121"/>
      <w:bookmarkStart w:id="321" w:name="_Toc182897777"/>
      <w:bookmarkStart w:id="322" w:name="_Toc183639223"/>
      <w:r w:rsidRPr="00FF756A">
        <w:t xml:space="preserve">3.1.1 </w:t>
      </w:r>
      <w:r w:rsidR="00835192" w:rsidRPr="00FF756A">
        <w:t>Kuadri ligjor gjithëpërfshirës</w:t>
      </w:r>
      <w:bookmarkEnd w:id="319"/>
      <w:bookmarkEnd w:id="320"/>
      <w:bookmarkEnd w:id="321"/>
      <w:bookmarkEnd w:id="322"/>
    </w:p>
    <w:p w14:paraId="0670DE86" w14:textId="77777777" w:rsidR="00835192" w:rsidRPr="00FF756A" w:rsidRDefault="00835192" w:rsidP="00835192">
      <w:r w:rsidRPr="00FF756A">
        <w:t>Më poshtë renditen aktet ligjore kryesore (duke përfshirë strategjitë dhe planet) në lidhje me këtë dimension:</w:t>
      </w:r>
    </w:p>
    <w:p w14:paraId="33157E91" w14:textId="6BE2E680" w:rsidR="00835192" w:rsidRPr="00FF756A" w:rsidRDefault="00835192" w:rsidP="008639B2">
      <w:pPr>
        <w:numPr>
          <w:ilvl w:val="0"/>
          <w:numId w:val="69"/>
        </w:numPr>
        <w:contextualSpacing/>
        <w:rPr>
          <w:bCs/>
          <w:iCs/>
        </w:rPr>
      </w:pPr>
      <w:r w:rsidRPr="00FF756A">
        <w:rPr>
          <w:bCs/>
          <w:iCs/>
        </w:rPr>
        <w:t>Ligji nr. 43/2015, datë 30.4.2015, “Për sektorin e energjisë elektrike”, i ndryshuar</w:t>
      </w:r>
      <w:r w:rsidR="0036441E" w:rsidRPr="00FF756A">
        <w:rPr>
          <w:bCs/>
          <w:iCs/>
        </w:rPr>
        <w:t>;</w:t>
      </w:r>
    </w:p>
    <w:p w14:paraId="5AA549E1" w14:textId="42B758E7" w:rsidR="00835192" w:rsidRPr="00FF756A" w:rsidRDefault="00835192" w:rsidP="008639B2">
      <w:pPr>
        <w:numPr>
          <w:ilvl w:val="0"/>
          <w:numId w:val="69"/>
        </w:numPr>
        <w:contextualSpacing/>
        <w:rPr>
          <w:bCs/>
          <w:iCs/>
        </w:rPr>
      </w:pPr>
      <w:r w:rsidRPr="00FF756A">
        <w:rPr>
          <w:bCs/>
          <w:iCs/>
        </w:rPr>
        <w:t>Ligji nr. 24/2023, datë 23.3.2023, “Për nxitjen e përdorimit të energjisë nga burimet e rinovueshme”</w:t>
      </w:r>
      <w:r w:rsidR="0036441E" w:rsidRPr="00FF756A">
        <w:rPr>
          <w:bCs/>
          <w:iCs/>
        </w:rPr>
        <w:t>;</w:t>
      </w:r>
    </w:p>
    <w:p w14:paraId="12102857" w14:textId="7C5AD41F" w:rsidR="00835192" w:rsidRPr="00FF756A" w:rsidRDefault="00835192" w:rsidP="008639B2">
      <w:pPr>
        <w:numPr>
          <w:ilvl w:val="0"/>
          <w:numId w:val="69"/>
        </w:numPr>
        <w:contextualSpacing/>
        <w:rPr>
          <w:bCs/>
          <w:iCs/>
        </w:rPr>
      </w:pPr>
      <w:r w:rsidRPr="00FF756A">
        <w:rPr>
          <w:bCs/>
          <w:iCs/>
        </w:rPr>
        <w:t>Ligji nr. 155/2020, datë 17.12.2020, “Për ndryshimet klimatike”</w:t>
      </w:r>
      <w:r w:rsidR="0036441E" w:rsidRPr="00FF756A">
        <w:rPr>
          <w:bCs/>
          <w:iCs/>
        </w:rPr>
        <w:t>;</w:t>
      </w:r>
    </w:p>
    <w:p w14:paraId="10E83ECA" w14:textId="1A4748D3" w:rsidR="00835192" w:rsidRPr="00FF756A" w:rsidRDefault="00835192" w:rsidP="008639B2">
      <w:pPr>
        <w:numPr>
          <w:ilvl w:val="0"/>
          <w:numId w:val="69"/>
        </w:numPr>
        <w:contextualSpacing/>
        <w:rPr>
          <w:bCs/>
          <w:iCs/>
        </w:rPr>
      </w:pPr>
      <w:r w:rsidRPr="00FF756A">
        <w:rPr>
          <w:bCs/>
          <w:iCs/>
        </w:rPr>
        <w:t>Ligji nr. 2/2023, “Për gazet serrë të fluorinuara”</w:t>
      </w:r>
      <w:r w:rsidR="0036441E" w:rsidRPr="00FF756A">
        <w:rPr>
          <w:bCs/>
          <w:iCs/>
        </w:rPr>
        <w:t>;</w:t>
      </w:r>
    </w:p>
    <w:p w14:paraId="38BD932A" w14:textId="54488DE8" w:rsidR="00835192" w:rsidRPr="00FF756A" w:rsidRDefault="00835192" w:rsidP="008639B2">
      <w:pPr>
        <w:numPr>
          <w:ilvl w:val="0"/>
          <w:numId w:val="69"/>
        </w:numPr>
        <w:contextualSpacing/>
        <w:rPr>
          <w:bCs/>
          <w:iCs/>
        </w:rPr>
      </w:pPr>
      <w:r w:rsidRPr="00FF756A">
        <w:rPr>
          <w:bCs/>
          <w:iCs/>
        </w:rPr>
        <w:t>Ligji nr. 57/2020, datë 30.4.2020, “Për pyjet”</w:t>
      </w:r>
      <w:r w:rsidR="0036441E" w:rsidRPr="00FF756A">
        <w:rPr>
          <w:bCs/>
          <w:iCs/>
        </w:rPr>
        <w:t>;</w:t>
      </w:r>
    </w:p>
    <w:p w14:paraId="5BC38C8C" w14:textId="403690D6" w:rsidR="00835192" w:rsidRPr="00FF756A" w:rsidRDefault="00835192" w:rsidP="008639B2">
      <w:pPr>
        <w:numPr>
          <w:ilvl w:val="0"/>
          <w:numId w:val="69"/>
        </w:numPr>
        <w:contextualSpacing/>
        <w:rPr>
          <w:bCs/>
          <w:iCs/>
        </w:rPr>
      </w:pPr>
      <w:r w:rsidRPr="00FF756A">
        <w:rPr>
          <w:bCs/>
          <w:iCs/>
        </w:rPr>
        <w:t>Ligji nr. 9957, datë 28.7.2008, “Për taksat kombëtare”, i ndryshuar</w:t>
      </w:r>
      <w:r w:rsidR="0036441E" w:rsidRPr="00FF756A">
        <w:rPr>
          <w:bCs/>
          <w:iCs/>
        </w:rPr>
        <w:t>;</w:t>
      </w:r>
    </w:p>
    <w:p w14:paraId="7AFE542D" w14:textId="77777777" w:rsidR="00844A68" w:rsidRPr="00FF756A" w:rsidRDefault="00844A68" w:rsidP="00844A68">
      <w:pPr>
        <w:numPr>
          <w:ilvl w:val="0"/>
          <w:numId w:val="69"/>
        </w:numPr>
        <w:contextualSpacing/>
        <w:rPr>
          <w:bCs/>
          <w:iCs/>
        </w:rPr>
      </w:pPr>
      <w:r w:rsidRPr="00FF756A">
        <w:rPr>
          <w:bCs/>
          <w:iCs/>
        </w:rPr>
        <w:t>Ligji nr. 8244, datë 17.6.2004, “Për mbrojtjen e tokës bujqësore”, i ndryshuar</w:t>
      </w:r>
    </w:p>
    <w:p w14:paraId="09F03F68" w14:textId="77777777" w:rsidR="00844A68" w:rsidRPr="00FF756A" w:rsidRDefault="00844A68" w:rsidP="00844A68">
      <w:pPr>
        <w:numPr>
          <w:ilvl w:val="0"/>
          <w:numId w:val="69"/>
        </w:numPr>
        <w:contextualSpacing/>
        <w:rPr>
          <w:bCs/>
          <w:iCs/>
        </w:rPr>
      </w:pPr>
      <w:r w:rsidRPr="00FF756A">
        <w:rPr>
          <w:bCs/>
          <w:iCs/>
        </w:rPr>
        <w:t>Ligji nr. 9115, datë 24.07.2003, “Për trajtimin mjedisor të ujërave të ndotura”, i ndryshuar</w:t>
      </w:r>
    </w:p>
    <w:p w14:paraId="60BD3266" w14:textId="77777777" w:rsidR="00844A68" w:rsidRPr="00FF756A" w:rsidRDefault="00844A68" w:rsidP="00844A68">
      <w:pPr>
        <w:numPr>
          <w:ilvl w:val="0"/>
          <w:numId w:val="69"/>
        </w:numPr>
        <w:contextualSpacing/>
        <w:rPr>
          <w:bCs/>
          <w:iCs/>
        </w:rPr>
      </w:pPr>
      <w:r w:rsidRPr="00FF756A">
        <w:rPr>
          <w:bCs/>
          <w:iCs/>
        </w:rPr>
        <w:t>Ligji nr. 107/2014, datë 31.7.2014, “Për planifikimin dhe zhvillimin e territorit”, i ndryshuar dhe aktet nënligjore përkatëse</w:t>
      </w:r>
    </w:p>
    <w:p w14:paraId="25641C58" w14:textId="4CDFE5B8" w:rsidR="00335C41" w:rsidRPr="00FF756A" w:rsidRDefault="00844A68" w:rsidP="00844A68">
      <w:pPr>
        <w:numPr>
          <w:ilvl w:val="0"/>
          <w:numId w:val="69"/>
        </w:numPr>
        <w:contextualSpacing/>
        <w:rPr>
          <w:bCs/>
          <w:iCs/>
        </w:rPr>
      </w:pPr>
      <w:r w:rsidRPr="00FF756A">
        <w:rPr>
          <w:bCs/>
          <w:iCs/>
        </w:rPr>
        <w:t>Ligji nr. 81/2017, datë 4.5.2017, “Për zonat e mbrojtura” dhe aktet nënligjore përkatëse;</w:t>
      </w:r>
    </w:p>
    <w:p w14:paraId="18930D4A" w14:textId="77777777" w:rsidR="00AE61FE" w:rsidRPr="00FF756A" w:rsidRDefault="00AE61FE" w:rsidP="00AE61FE">
      <w:pPr>
        <w:numPr>
          <w:ilvl w:val="0"/>
          <w:numId w:val="69"/>
        </w:numPr>
        <w:contextualSpacing/>
        <w:rPr>
          <w:bCs/>
          <w:iCs/>
        </w:rPr>
      </w:pPr>
      <w:r w:rsidRPr="00FF756A">
        <w:rPr>
          <w:bCs/>
          <w:iCs/>
        </w:rPr>
        <w:t>Ligjin nr. 28/2021 “Për disa ndryshime dhe shtesa në Ligjin nr. 124/2015 “Për efiçencën e energjisë</w:t>
      </w:r>
    </w:p>
    <w:p w14:paraId="5C717FC3" w14:textId="77777777" w:rsidR="00AE61FE" w:rsidRPr="00FF756A" w:rsidRDefault="00AE61FE" w:rsidP="00AE61FE">
      <w:pPr>
        <w:numPr>
          <w:ilvl w:val="0"/>
          <w:numId w:val="69"/>
        </w:numPr>
        <w:contextualSpacing/>
        <w:rPr>
          <w:bCs/>
          <w:iCs/>
        </w:rPr>
      </w:pPr>
      <w:r w:rsidRPr="00FF756A">
        <w:rPr>
          <w:bCs/>
          <w:iCs/>
        </w:rPr>
        <w:t>Ligji nr. 90/2021 “Për ndarjen e shoqërisë “Hekurudha Shqiptare sh.a</w:t>
      </w:r>
    </w:p>
    <w:p w14:paraId="093F384E" w14:textId="77777777" w:rsidR="00AE61FE" w:rsidRPr="00FF756A" w:rsidRDefault="00AE61FE" w:rsidP="00AE61FE">
      <w:pPr>
        <w:numPr>
          <w:ilvl w:val="0"/>
          <w:numId w:val="69"/>
        </w:numPr>
        <w:contextualSpacing/>
        <w:rPr>
          <w:bCs/>
          <w:iCs/>
        </w:rPr>
      </w:pPr>
      <w:r w:rsidRPr="00FF756A">
        <w:rPr>
          <w:bCs/>
          <w:iCs/>
        </w:rPr>
        <w:t>Ligji nr. 88/2021 “Për krijimin e Autoritetit të Sigurisë Hekurudhore</w:t>
      </w:r>
    </w:p>
    <w:p w14:paraId="5C6686C8" w14:textId="08538A58" w:rsidR="008F36CD" w:rsidRPr="00FF756A" w:rsidRDefault="00AE61FE" w:rsidP="00AE61FE">
      <w:pPr>
        <w:numPr>
          <w:ilvl w:val="0"/>
          <w:numId w:val="69"/>
        </w:numPr>
        <w:contextualSpacing/>
        <w:rPr>
          <w:bCs/>
          <w:iCs/>
        </w:rPr>
      </w:pPr>
      <w:r w:rsidRPr="00FF756A">
        <w:rPr>
          <w:bCs/>
          <w:iCs/>
        </w:rPr>
        <w:t>Ligji nr. 89/2021 “Për krijimin e Autoritetit Rregullator Hekurudhor”;</w:t>
      </w:r>
    </w:p>
    <w:p w14:paraId="77F3ABFA" w14:textId="769352A3" w:rsidR="00835192" w:rsidRPr="00FF756A" w:rsidRDefault="00835192" w:rsidP="008639B2">
      <w:pPr>
        <w:numPr>
          <w:ilvl w:val="0"/>
          <w:numId w:val="69"/>
        </w:numPr>
        <w:contextualSpacing/>
        <w:rPr>
          <w:bCs/>
          <w:iCs/>
        </w:rPr>
      </w:pPr>
      <w:r w:rsidRPr="00FF756A">
        <w:rPr>
          <w:bCs/>
          <w:iCs/>
        </w:rPr>
        <w:t xml:space="preserve">Kontributet </w:t>
      </w:r>
      <w:bookmarkStart w:id="323" w:name="_Hlk75520078"/>
      <w:r w:rsidRPr="00FF756A">
        <w:rPr>
          <w:bCs/>
          <w:iCs/>
        </w:rPr>
        <w:t xml:space="preserve">Kombëtare të Pikësynuara për Shqipërinë </w:t>
      </w:r>
      <w:bookmarkStart w:id="324" w:name="_Hlk75520052"/>
      <w:bookmarkEnd w:id="323"/>
      <w:r w:rsidRPr="00FF756A">
        <w:rPr>
          <w:bCs/>
          <w:iCs/>
        </w:rPr>
        <w:t>(NDC)</w:t>
      </w:r>
      <w:bookmarkEnd w:id="324"/>
      <w:r w:rsidR="0036441E" w:rsidRPr="00FF756A">
        <w:rPr>
          <w:bCs/>
          <w:iCs/>
        </w:rPr>
        <w:t>;</w:t>
      </w:r>
    </w:p>
    <w:p w14:paraId="5A197CD8" w14:textId="0233A493" w:rsidR="00835192" w:rsidRPr="00FF756A" w:rsidRDefault="00835192" w:rsidP="008639B2">
      <w:pPr>
        <w:numPr>
          <w:ilvl w:val="0"/>
          <w:numId w:val="69"/>
        </w:numPr>
        <w:contextualSpacing/>
        <w:rPr>
          <w:bCs/>
          <w:iCs/>
        </w:rPr>
      </w:pPr>
      <w:r w:rsidRPr="00FF756A">
        <w:rPr>
          <w:bCs/>
          <w:iCs/>
        </w:rPr>
        <w:t>VKM nr. 418, datë 20.5.2020, “Për miratimin e strategjisë kombëtare dhe planit kombëtar të veprimit për menaxhimin e integruar të mbetjeve në Shqipëri, 2020–2035”</w:t>
      </w:r>
      <w:r w:rsidR="0036441E" w:rsidRPr="00FF756A">
        <w:rPr>
          <w:bCs/>
          <w:iCs/>
        </w:rPr>
        <w:t>;</w:t>
      </w:r>
    </w:p>
    <w:p w14:paraId="1ED76162" w14:textId="6F731712" w:rsidR="00835192" w:rsidRPr="00FF756A" w:rsidRDefault="00835192" w:rsidP="008639B2">
      <w:pPr>
        <w:numPr>
          <w:ilvl w:val="0"/>
          <w:numId w:val="69"/>
        </w:numPr>
        <w:contextualSpacing/>
        <w:rPr>
          <w:bCs/>
          <w:iCs/>
        </w:rPr>
      </w:pPr>
      <w:r w:rsidRPr="00FF756A">
        <w:rPr>
          <w:bCs/>
          <w:iCs/>
        </w:rPr>
        <w:t>VKM nr. 580, datë 28.8.2019, “Për miratimin e planit të konsoliduar kombëtar të veprimit për burimet e rinovueshme të energjisë, 2019-2020”</w:t>
      </w:r>
      <w:r w:rsidR="00DA31F8" w:rsidRPr="00FF756A">
        <w:rPr>
          <w:bCs/>
          <w:iCs/>
        </w:rPr>
        <w:t>;</w:t>
      </w:r>
    </w:p>
    <w:p w14:paraId="47BFAA31" w14:textId="39B9D6D6" w:rsidR="00835192" w:rsidRPr="00FF756A" w:rsidRDefault="00835192" w:rsidP="008639B2">
      <w:pPr>
        <w:numPr>
          <w:ilvl w:val="0"/>
          <w:numId w:val="69"/>
        </w:numPr>
        <w:contextualSpacing/>
        <w:rPr>
          <w:bCs/>
          <w:iCs/>
        </w:rPr>
      </w:pPr>
      <w:r w:rsidRPr="00FF756A">
        <w:rPr>
          <w:bCs/>
          <w:iCs/>
        </w:rPr>
        <w:t>VKM nr. 466, datë 3.7.2019, “Për miratimin e dokumentit strategjik dhe planit kombëtar për zbutjen e gazeve me efekt serrë dhe për përshtatjen ndaj ndryshimeve klimatike”</w:t>
      </w:r>
      <w:r w:rsidR="00DA31F8" w:rsidRPr="00FF756A">
        <w:rPr>
          <w:bCs/>
          <w:iCs/>
        </w:rPr>
        <w:t>;</w:t>
      </w:r>
    </w:p>
    <w:p w14:paraId="1EF0FF7B" w14:textId="35FB9AE8" w:rsidR="00835192" w:rsidRPr="00FF756A" w:rsidRDefault="00835192" w:rsidP="008639B2">
      <w:pPr>
        <w:numPr>
          <w:ilvl w:val="0"/>
          <w:numId w:val="69"/>
        </w:numPr>
        <w:contextualSpacing/>
        <w:rPr>
          <w:bCs/>
          <w:iCs/>
        </w:rPr>
      </w:pPr>
      <w:r w:rsidRPr="00FF756A">
        <w:rPr>
          <w:bCs/>
          <w:iCs/>
        </w:rPr>
        <w:t>VKM nr. 814, datë 31.12.2018, “Për miratimin e dokumentit të politikave për pyjet në Shqipëri, 2019–2030”</w:t>
      </w:r>
      <w:r w:rsidR="00DA31F8" w:rsidRPr="00FF756A">
        <w:rPr>
          <w:bCs/>
          <w:iCs/>
        </w:rPr>
        <w:t>;</w:t>
      </w:r>
    </w:p>
    <w:p w14:paraId="1E85D7D2" w14:textId="3791B2EC" w:rsidR="00835192" w:rsidRPr="00FF756A" w:rsidRDefault="00835192" w:rsidP="008639B2">
      <w:pPr>
        <w:numPr>
          <w:ilvl w:val="0"/>
          <w:numId w:val="69"/>
        </w:numPr>
        <w:contextualSpacing/>
        <w:rPr>
          <w:bCs/>
          <w:iCs/>
        </w:rPr>
      </w:pPr>
      <w:r w:rsidRPr="00FF756A">
        <w:rPr>
          <w:bCs/>
          <w:iCs/>
        </w:rPr>
        <w:t>VKM nr. 349, datë 12.6.2018, “Për miratimin e masave mbështetëse për nxitjen e përdorimit të energjisë elektrike nga burimet e rinovueshme të diellit dhe erës, si dhe të procedurave për përzgjedhjen e projekteve për përfitimin e tyre”, i ndryshuar</w:t>
      </w:r>
      <w:r w:rsidR="00DA31F8" w:rsidRPr="00FF756A">
        <w:rPr>
          <w:bCs/>
          <w:iCs/>
        </w:rPr>
        <w:t>l</w:t>
      </w:r>
    </w:p>
    <w:p w14:paraId="0FB5475E" w14:textId="0DC7A5A5" w:rsidR="00835192" w:rsidRPr="00FF756A" w:rsidRDefault="00835192" w:rsidP="008639B2">
      <w:pPr>
        <w:numPr>
          <w:ilvl w:val="0"/>
          <w:numId w:val="69"/>
        </w:numPr>
        <w:contextualSpacing/>
        <w:rPr>
          <w:bCs/>
          <w:iCs/>
        </w:rPr>
      </w:pPr>
      <w:r w:rsidRPr="00FF756A">
        <w:rPr>
          <w:bCs/>
          <w:iCs/>
        </w:rPr>
        <w:t>VKM nr. 822, datë 7.10.2015, “Për miratimin e rregullave dhe procedurave të ndërtimit të kapaciteteve të reja prodhuese të energjisë elektrike, që nuk janë objekt koncesioni”, i ndryshuar</w:t>
      </w:r>
      <w:r w:rsidR="00DA31F8" w:rsidRPr="00FF756A">
        <w:rPr>
          <w:bCs/>
          <w:iCs/>
        </w:rPr>
        <w:t>;</w:t>
      </w:r>
    </w:p>
    <w:p w14:paraId="387F9DD7" w14:textId="2E03251A" w:rsidR="00835192" w:rsidRPr="00FF756A" w:rsidRDefault="00835192" w:rsidP="008639B2">
      <w:pPr>
        <w:numPr>
          <w:ilvl w:val="0"/>
          <w:numId w:val="69"/>
        </w:numPr>
        <w:contextualSpacing/>
        <w:rPr>
          <w:bCs/>
          <w:iCs/>
        </w:rPr>
      </w:pPr>
      <w:r w:rsidRPr="00FF756A">
        <w:rPr>
          <w:bCs/>
          <w:iCs/>
        </w:rPr>
        <w:t>VKM nr. 633, datë 26.10.2018, “Për masat kundër ndotjes së ajrit nga shkarkimet e mjeteve motorike dhe reduktimin e shkarkimeve në ajër të ndotësve të gaztë dhe të lëndës së ngurtë pezull nga motorët me ndezje pozitive dhe ata me ndezje me kompresion që djegin gaz natyror apo të lëngshëm për përdorim në automjete”, e ndryshuar</w:t>
      </w:r>
      <w:r w:rsidR="004D27E8" w:rsidRPr="00FF756A">
        <w:rPr>
          <w:bCs/>
          <w:iCs/>
        </w:rPr>
        <w:t>;</w:t>
      </w:r>
    </w:p>
    <w:p w14:paraId="12D71FE5" w14:textId="418B0D0A" w:rsidR="00835192" w:rsidRPr="00FF756A" w:rsidRDefault="00835192" w:rsidP="008639B2">
      <w:pPr>
        <w:numPr>
          <w:ilvl w:val="0"/>
          <w:numId w:val="69"/>
        </w:numPr>
        <w:contextualSpacing/>
        <w:rPr>
          <w:bCs/>
          <w:iCs/>
        </w:rPr>
      </w:pPr>
      <w:r w:rsidRPr="00FF756A">
        <w:rPr>
          <w:bCs/>
          <w:iCs/>
        </w:rPr>
        <w:t>VKM nr. 369, datë 26.4.2017, “Për miratimin e metodologjisë për përcaktimin e çmimit të blerjes së energjisë elektrike të prodhuar nga burimet e vogla të rinovueshme nga dielli dhe era”</w:t>
      </w:r>
      <w:r w:rsidR="004D27E8" w:rsidRPr="00FF756A">
        <w:rPr>
          <w:bCs/>
          <w:iCs/>
        </w:rPr>
        <w:t>;</w:t>
      </w:r>
    </w:p>
    <w:p w14:paraId="61EF3F0C" w14:textId="57BE0327" w:rsidR="00835192" w:rsidRPr="00FF756A" w:rsidRDefault="00835192" w:rsidP="008639B2">
      <w:pPr>
        <w:numPr>
          <w:ilvl w:val="0"/>
          <w:numId w:val="69"/>
        </w:numPr>
        <w:contextualSpacing/>
        <w:rPr>
          <w:bCs/>
          <w:iCs/>
        </w:rPr>
      </w:pPr>
      <w:r w:rsidRPr="00FF756A">
        <w:rPr>
          <w:bCs/>
        </w:rPr>
        <w:t>VKM nr. 811, datë 16.11.2016, “Për miratimin e strategjisë sektoriale të transportit dhe planit të veprimit, 2016–2020” (SSTPV)</w:t>
      </w:r>
      <w:r w:rsidR="004D27E8" w:rsidRPr="00FF756A">
        <w:rPr>
          <w:bCs/>
        </w:rPr>
        <w:t>;</w:t>
      </w:r>
    </w:p>
    <w:p w14:paraId="3252ABAB" w14:textId="489C97F4" w:rsidR="00835192" w:rsidRPr="00FF756A" w:rsidRDefault="00835192" w:rsidP="008639B2">
      <w:pPr>
        <w:numPr>
          <w:ilvl w:val="0"/>
          <w:numId w:val="69"/>
        </w:numPr>
        <w:contextualSpacing/>
        <w:rPr>
          <w:bCs/>
          <w:iCs/>
        </w:rPr>
      </w:pPr>
      <w:r w:rsidRPr="00FF756A">
        <w:rPr>
          <w:bCs/>
          <w:iCs/>
        </w:rPr>
        <w:t>VKM nr. 460, datë 29.06.2022 “Për miratimin e strategjisë së bujqësisë, zhvillimit rural dhe peshkimit (2021-2027)</w:t>
      </w:r>
      <w:r w:rsidR="004D27E8" w:rsidRPr="00FF756A">
        <w:rPr>
          <w:bCs/>
          <w:iCs/>
        </w:rPr>
        <w:t>;</w:t>
      </w:r>
    </w:p>
    <w:p w14:paraId="6007B96B" w14:textId="77777777" w:rsidR="005D1EE4" w:rsidRPr="00FF756A" w:rsidRDefault="005D1EE4" w:rsidP="005D1EE4">
      <w:pPr>
        <w:numPr>
          <w:ilvl w:val="0"/>
          <w:numId w:val="69"/>
        </w:numPr>
        <w:contextualSpacing/>
        <w:rPr>
          <w:bCs/>
          <w:iCs/>
        </w:rPr>
      </w:pPr>
      <w:r w:rsidRPr="00FF756A">
        <w:rPr>
          <w:bCs/>
          <w:iCs/>
        </w:rPr>
        <w:lastRenderedPageBreak/>
        <w:t>VKM nr. 633, datë 26.10.2018, “Për masat kundër ndotjes së ajrit nga shkarkimet e mjeteve motorike dhe reduktimin e shkarkimeve në ajër të ndotësve të gaztë dhe të lëndës së ngurtë pezull nga motorët me ndezje pozitive dhe ata me ndezje me kompresion që djegin gaz natyror apo të lëngshëm për përdorim në automjete”</w:t>
      </w:r>
    </w:p>
    <w:p w14:paraId="236138E8" w14:textId="77777777" w:rsidR="005D1EE4" w:rsidRPr="00FF756A" w:rsidRDefault="005D1EE4" w:rsidP="005D1EE4">
      <w:pPr>
        <w:numPr>
          <w:ilvl w:val="0"/>
          <w:numId w:val="69"/>
        </w:numPr>
        <w:contextualSpacing/>
        <w:rPr>
          <w:bCs/>
          <w:iCs/>
        </w:rPr>
      </w:pPr>
      <w:r w:rsidRPr="00FF756A">
        <w:rPr>
          <w:bCs/>
          <w:iCs/>
        </w:rPr>
        <w:t>VKM nr. 619, datë 7.9.2011, “Për miratimin e planit kombëtar të veprimit për efiçencën e energjisë, 2011 – 2018</w:t>
      </w:r>
    </w:p>
    <w:p w14:paraId="63D0D97F" w14:textId="77777777" w:rsidR="005D1EE4" w:rsidRPr="00FF756A" w:rsidRDefault="005D1EE4" w:rsidP="005D1EE4">
      <w:pPr>
        <w:numPr>
          <w:ilvl w:val="0"/>
          <w:numId w:val="69"/>
        </w:numPr>
        <w:contextualSpacing/>
        <w:rPr>
          <w:bCs/>
          <w:iCs/>
        </w:rPr>
      </w:pPr>
      <w:r w:rsidRPr="00FF756A">
        <w:rPr>
          <w:bCs/>
          <w:iCs/>
        </w:rPr>
        <w:t>VKM nr. 537, datë 8.7.2020, “Për miratimin e kërkesave minimale të performancës së energjisë së ndërtesave dhe të elementeve të ndërtesave”;</w:t>
      </w:r>
    </w:p>
    <w:p w14:paraId="5E34C656" w14:textId="77777777" w:rsidR="005D1EE4" w:rsidRPr="00FF756A" w:rsidRDefault="005D1EE4" w:rsidP="005D1EE4">
      <w:pPr>
        <w:numPr>
          <w:ilvl w:val="0"/>
          <w:numId w:val="69"/>
        </w:numPr>
        <w:contextualSpacing/>
        <w:rPr>
          <w:bCs/>
          <w:iCs/>
        </w:rPr>
      </w:pPr>
      <w:r w:rsidRPr="00FF756A">
        <w:rPr>
          <w:bCs/>
          <w:iCs/>
        </w:rPr>
        <w:t>VKM nr. 934, datë 25.11.2020 “Për miratimin e kritereve dhe të procedurave për mënyrën e përzgjedhjes dhe sasinë e certifikatave që do të verifikohen, si dhe procesi i mbikëqyrjes së certifikatave të performancës së energjisë në ndërtesa</w:t>
      </w:r>
    </w:p>
    <w:p w14:paraId="29A9ABFB" w14:textId="77777777" w:rsidR="005D1EE4" w:rsidRPr="00FF756A" w:rsidRDefault="005D1EE4" w:rsidP="005D1EE4">
      <w:pPr>
        <w:numPr>
          <w:ilvl w:val="0"/>
          <w:numId w:val="69"/>
        </w:numPr>
        <w:contextualSpacing/>
        <w:rPr>
          <w:bCs/>
          <w:iCs/>
        </w:rPr>
      </w:pPr>
      <w:r w:rsidRPr="00FF756A">
        <w:rPr>
          <w:bCs/>
          <w:iCs/>
        </w:rPr>
        <w:t>VKM nr.958, datë 2.12.2020, “Për miratimin e procedurave e të kushteve të certifikimit të performancës së energjisë së ndërtesave dhe të modelit, përmbajtjes e kushteve të regjistrimit të “Certifikatës së performancës së energjisë së ndërtesave”</w:t>
      </w:r>
    </w:p>
    <w:p w14:paraId="6D3794BF" w14:textId="78AF8D83" w:rsidR="005D1EE4" w:rsidRPr="00FF756A" w:rsidRDefault="005D1EE4" w:rsidP="005D1EE4">
      <w:pPr>
        <w:numPr>
          <w:ilvl w:val="0"/>
          <w:numId w:val="69"/>
        </w:numPr>
        <w:contextualSpacing/>
        <w:rPr>
          <w:bCs/>
          <w:iCs/>
        </w:rPr>
      </w:pPr>
      <w:r w:rsidRPr="00FF756A">
        <w:rPr>
          <w:bCs/>
          <w:iCs/>
        </w:rPr>
        <w:t>VKM nr.1049, datë 24.12.2020, “Për metodologjinë kombëtare të llogaritjes së performancës së energjisë në ndërtesa</w:t>
      </w:r>
      <w:r w:rsidR="00131638" w:rsidRPr="00FF756A">
        <w:rPr>
          <w:bCs/>
          <w:iCs/>
        </w:rPr>
        <w:t>;</w:t>
      </w:r>
    </w:p>
    <w:p w14:paraId="32055981" w14:textId="77777777" w:rsidR="00131638" w:rsidRPr="00FF756A" w:rsidRDefault="00131638" w:rsidP="00131638">
      <w:pPr>
        <w:numPr>
          <w:ilvl w:val="0"/>
          <w:numId w:val="69"/>
        </w:numPr>
        <w:contextualSpacing/>
        <w:rPr>
          <w:bCs/>
          <w:iCs/>
        </w:rPr>
      </w:pPr>
      <w:r w:rsidRPr="00FF756A">
        <w:rPr>
          <w:bCs/>
          <w:iCs/>
        </w:rPr>
        <w:t>VKM nr. 177, datë 06.03.2012, “Për ambalazhet dhe mbetjet e tyre”, i ndryshuar,</w:t>
      </w:r>
    </w:p>
    <w:p w14:paraId="12477312" w14:textId="77777777" w:rsidR="00131638" w:rsidRPr="00FF756A" w:rsidRDefault="00131638" w:rsidP="00131638">
      <w:pPr>
        <w:numPr>
          <w:ilvl w:val="0"/>
          <w:numId w:val="69"/>
        </w:numPr>
        <w:contextualSpacing/>
        <w:rPr>
          <w:bCs/>
          <w:iCs/>
        </w:rPr>
      </w:pPr>
      <w:r w:rsidRPr="00FF756A">
        <w:rPr>
          <w:bCs/>
          <w:iCs/>
        </w:rPr>
        <w:t>VKM nr. 418, datë 25.06.2014, “Për grumbullimin e diferencuar te mbetjeve ne burim”,</w:t>
      </w:r>
    </w:p>
    <w:p w14:paraId="5A163EC6" w14:textId="77777777" w:rsidR="00131638" w:rsidRPr="00FF756A" w:rsidRDefault="00131638" w:rsidP="00131638">
      <w:pPr>
        <w:numPr>
          <w:ilvl w:val="0"/>
          <w:numId w:val="69"/>
        </w:numPr>
        <w:contextualSpacing/>
        <w:rPr>
          <w:bCs/>
          <w:iCs/>
        </w:rPr>
      </w:pPr>
      <w:r w:rsidRPr="00FF756A">
        <w:rPr>
          <w:bCs/>
          <w:iCs/>
        </w:rPr>
        <w:t>VKM nr. 575, datë 24.06.2015, “Për miratimin e kërkesave për menaxhimin e mbetjeve inerte”,</w:t>
      </w:r>
    </w:p>
    <w:p w14:paraId="284FD71C" w14:textId="16D72A57" w:rsidR="00131638" w:rsidRPr="00FF756A" w:rsidRDefault="00131638" w:rsidP="00335C41">
      <w:pPr>
        <w:numPr>
          <w:ilvl w:val="0"/>
          <w:numId w:val="69"/>
        </w:numPr>
        <w:contextualSpacing/>
        <w:rPr>
          <w:bCs/>
          <w:iCs/>
        </w:rPr>
      </w:pPr>
      <w:r w:rsidRPr="00FF756A">
        <w:rPr>
          <w:bCs/>
          <w:iCs/>
        </w:rPr>
        <w:t>VKM nr. 581, datë 6.10.2021, “Për miratimin e Dokumentit të Kontributit Kombëtar të Pikësynuar”;</w:t>
      </w:r>
    </w:p>
    <w:p w14:paraId="4EE77D11" w14:textId="2B2F677B" w:rsidR="005D1EE4" w:rsidRPr="00FF756A" w:rsidRDefault="005D1EE4" w:rsidP="005D1EE4">
      <w:pPr>
        <w:numPr>
          <w:ilvl w:val="0"/>
          <w:numId w:val="69"/>
        </w:numPr>
        <w:contextualSpacing/>
        <w:rPr>
          <w:bCs/>
          <w:iCs/>
        </w:rPr>
      </w:pPr>
      <w:r w:rsidRPr="00FF756A">
        <w:rPr>
          <w:bCs/>
          <w:iCs/>
        </w:rPr>
        <w:t>VKM nr.189, datë 5.4.2023 “Për miratimin e platformës së monitorimit dhe verifikimit”;</w:t>
      </w:r>
    </w:p>
    <w:p w14:paraId="56652FBF" w14:textId="77777777" w:rsidR="008B4EB9" w:rsidRPr="00FF756A" w:rsidRDefault="008B4EB9" w:rsidP="008B4EB9">
      <w:pPr>
        <w:numPr>
          <w:ilvl w:val="0"/>
          <w:numId w:val="69"/>
        </w:numPr>
        <w:contextualSpacing/>
        <w:rPr>
          <w:bCs/>
          <w:iCs/>
        </w:rPr>
      </w:pPr>
      <w:r w:rsidRPr="00FF756A">
        <w:rPr>
          <w:bCs/>
          <w:iCs/>
        </w:rPr>
        <w:t>VKM nr. 608, datë 17.9.2014: “Për përcaktimin e masave të nevojshme për grumbullimin dhe trajtimin e mbetjeve bio”.</w:t>
      </w:r>
    </w:p>
    <w:p w14:paraId="02E5A674" w14:textId="77777777" w:rsidR="008B4EB9" w:rsidRPr="00FF756A" w:rsidRDefault="008B4EB9" w:rsidP="008B4EB9">
      <w:pPr>
        <w:numPr>
          <w:ilvl w:val="0"/>
          <w:numId w:val="69"/>
        </w:numPr>
        <w:contextualSpacing/>
        <w:rPr>
          <w:bCs/>
          <w:iCs/>
        </w:rPr>
      </w:pPr>
      <w:r w:rsidRPr="00FF756A">
        <w:rPr>
          <w:bCs/>
          <w:iCs/>
        </w:rPr>
        <w:t>VKM nr. 418, datë 25.06.2014, “Për grumbullimin e diferencuar të mbetjeve në burim”</w:t>
      </w:r>
    </w:p>
    <w:p w14:paraId="3F2F717A" w14:textId="77777777" w:rsidR="008B4EB9" w:rsidRPr="00FF756A" w:rsidRDefault="008B4EB9" w:rsidP="008B4EB9">
      <w:pPr>
        <w:numPr>
          <w:ilvl w:val="0"/>
          <w:numId w:val="69"/>
        </w:numPr>
        <w:contextualSpacing/>
        <w:rPr>
          <w:bCs/>
          <w:iCs/>
        </w:rPr>
      </w:pPr>
      <w:r w:rsidRPr="00FF756A">
        <w:rPr>
          <w:bCs/>
          <w:iCs/>
        </w:rPr>
        <w:t>VKM nr. 178, datë 6.3.2012, “Për incinerimin e mbetjeve”</w:t>
      </w:r>
    </w:p>
    <w:p w14:paraId="1A213E26" w14:textId="77777777" w:rsidR="008B4EB9" w:rsidRPr="00FF756A" w:rsidRDefault="008B4EB9" w:rsidP="008B4EB9">
      <w:pPr>
        <w:numPr>
          <w:ilvl w:val="0"/>
          <w:numId w:val="69"/>
        </w:numPr>
        <w:contextualSpacing/>
        <w:rPr>
          <w:bCs/>
          <w:iCs/>
        </w:rPr>
      </w:pPr>
      <w:r w:rsidRPr="00FF756A">
        <w:rPr>
          <w:bCs/>
          <w:iCs/>
        </w:rPr>
        <w:t>VKM nr. 177, datë 31.03.2005, “Për normat e lejuara te shkarkimeve të lëngëta dhe kriteret e zonimit të mjediseve ujore pritëse”</w:t>
      </w:r>
    </w:p>
    <w:p w14:paraId="79322877" w14:textId="443F4258" w:rsidR="008B4EB9" w:rsidRPr="00FF756A" w:rsidRDefault="008B4EB9" w:rsidP="008B4EB9">
      <w:pPr>
        <w:numPr>
          <w:ilvl w:val="0"/>
          <w:numId w:val="69"/>
        </w:numPr>
        <w:contextualSpacing/>
        <w:rPr>
          <w:bCs/>
          <w:iCs/>
        </w:rPr>
      </w:pPr>
      <w:r w:rsidRPr="00FF756A">
        <w:rPr>
          <w:bCs/>
          <w:iCs/>
        </w:rPr>
        <w:t>VKM nr. 319, datë 31.5.2018 “Për miratimin e masave për koston e menaxhimit të integruar të mbetjeve”.</w:t>
      </w:r>
    </w:p>
    <w:p w14:paraId="28907FB6" w14:textId="5550B8DA" w:rsidR="00835192" w:rsidRPr="00FF756A" w:rsidRDefault="00835192" w:rsidP="008639B2">
      <w:pPr>
        <w:numPr>
          <w:ilvl w:val="0"/>
          <w:numId w:val="69"/>
        </w:numPr>
        <w:contextualSpacing/>
        <w:rPr>
          <w:bCs/>
          <w:iCs/>
        </w:rPr>
      </w:pPr>
      <w:r w:rsidRPr="00FF756A">
        <w:rPr>
          <w:bCs/>
          <w:iCs/>
        </w:rPr>
        <w:t>Udhëzimi nr. 3 i ministrit të infrastrukturës dhe energjisë, datë 20.6.2019, “Për miratimin e procedurës së lehtësuar të autorizimit për lidhjen në sistemin e shpërndarjes të projekteve të vogla të rinovueshme për vetëprodhuesit e energjisë elektrike nga dielli”</w:t>
      </w:r>
      <w:r w:rsidR="004D27E8" w:rsidRPr="00FF756A">
        <w:rPr>
          <w:bCs/>
          <w:iCs/>
        </w:rPr>
        <w:t>;</w:t>
      </w:r>
    </w:p>
    <w:p w14:paraId="62DF0765" w14:textId="77777777" w:rsidR="00131638" w:rsidRPr="00FF756A" w:rsidRDefault="00131638" w:rsidP="00131638">
      <w:pPr>
        <w:numPr>
          <w:ilvl w:val="0"/>
          <w:numId w:val="69"/>
        </w:numPr>
        <w:contextualSpacing/>
        <w:rPr>
          <w:bCs/>
          <w:iCs/>
        </w:rPr>
      </w:pPr>
      <w:r w:rsidRPr="00FF756A">
        <w:rPr>
          <w:bCs/>
          <w:iCs/>
        </w:rPr>
        <w:t>Udhëzimi i Ministrit të Infrastrukturës dhe Energjisë nr.22, datë 27.10.2022, “Për përcaktimin e rregullave, procedurave dhe metodologjisë për klientët familjarë që përfitojnë nga masat e financimit për kursimin e energjisë nga panelet diellore”.</w:t>
      </w:r>
    </w:p>
    <w:p w14:paraId="212B8942" w14:textId="77777777" w:rsidR="00131638" w:rsidRPr="00FF756A" w:rsidRDefault="00131638" w:rsidP="00131638">
      <w:pPr>
        <w:numPr>
          <w:ilvl w:val="0"/>
          <w:numId w:val="69"/>
        </w:numPr>
        <w:contextualSpacing/>
        <w:rPr>
          <w:bCs/>
          <w:iCs/>
        </w:rPr>
      </w:pPr>
      <w:r w:rsidRPr="00FF756A">
        <w:rPr>
          <w:bCs/>
          <w:iCs/>
        </w:rPr>
        <w:t>Udhëzimit nr. 6527, datë 24.12.2004, “Mbi vlerat e lejueshme të elementeve ndotës të ajrit në mjedis nga shkarkimet e gazrave dhe zhurmave shkaktuar nga mjetet rrugore, dhe mënyrat e kontrollit të tyre”, i ndryshuar</w:t>
      </w:r>
    </w:p>
    <w:p w14:paraId="1E3D5B1B" w14:textId="77777777" w:rsidR="00131638" w:rsidRPr="00FF756A" w:rsidRDefault="00131638" w:rsidP="00131638">
      <w:pPr>
        <w:numPr>
          <w:ilvl w:val="0"/>
          <w:numId w:val="69"/>
        </w:numPr>
        <w:contextualSpacing/>
        <w:rPr>
          <w:bCs/>
          <w:iCs/>
        </w:rPr>
      </w:pPr>
      <w:r w:rsidRPr="00FF756A">
        <w:rPr>
          <w:bCs/>
          <w:iCs/>
        </w:rPr>
        <w:t xml:space="preserve">Udhëzimi i Ministrit të Infrastrukturës dhe Energjisë nr. 23, datë 17.10.2022, “Për modelin e kontratës për kontraktimin e performancës së energjisë” </w:t>
      </w:r>
    </w:p>
    <w:p w14:paraId="32DCE224" w14:textId="77777777" w:rsidR="00131638" w:rsidRPr="00FF756A" w:rsidRDefault="00131638" w:rsidP="00131638">
      <w:pPr>
        <w:numPr>
          <w:ilvl w:val="0"/>
          <w:numId w:val="69"/>
        </w:numPr>
        <w:contextualSpacing/>
        <w:rPr>
          <w:bCs/>
          <w:iCs/>
        </w:rPr>
      </w:pPr>
      <w:r w:rsidRPr="00FF756A">
        <w:rPr>
          <w:bCs/>
          <w:iCs/>
        </w:rPr>
        <w:t>Urdhri i Ministrit të Infrastrukturës dhe Energjisë nr. 206, datë 25.10.2022, “Për miratimin e formatit të planeve vendore të veprimit për efiçencën e energjisë dhe raportit të progresit për zbatimin e planeve”</w:t>
      </w:r>
    </w:p>
    <w:p w14:paraId="3137FBBD" w14:textId="0DE9D5C4" w:rsidR="00131638" w:rsidRPr="00FF756A" w:rsidRDefault="00131638" w:rsidP="00335C41">
      <w:pPr>
        <w:numPr>
          <w:ilvl w:val="0"/>
          <w:numId w:val="69"/>
        </w:numPr>
        <w:contextualSpacing/>
        <w:rPr>
          <w:bCs/>
          <w:iCs/>
        </w:rPr>
      </w:pPr>
      <w:r w:rsidRPr="00FF756A">
        <w:rPr>
          <w:bCs/>
          <w:iCs/>
        </w:rPr>
        <w:t>Urdhri i Ministrit të Infrastrukturës dhe Energjisë nr. 203, datë 18.10.2022, “Për miratimin e formatit të planeve të veprimit të konsumatorëve të mëdhenj të energjisë dhe raportit vjetor të progresit”.</w:t>
      </w:r>
    </w:p>
    <w:p w14:paraId="191BD7FF" w14:textId="3E42EEC1" w:rsidR="002916CD" w:rsidRPr="00FF756A" w:rsidRDefault="002916CD" w:rsidP="00C22BD1">
      <w:pPr>
        <w:numPr>
          <w:ilvl w:val="0"/>
          <w:numId w:val="69"/>
        </w:numPr>
        <w:contextualSpacing/>
        <w:rPr>
          <w:bCs/>
          <w:iCs/>
        </w:rPr>
      </w:pPr>
      <w:r w:rsidRPr="00FF756A">
        <w:rPr>
          <w:i/>
          <w:iCs/>
        </w:rPr>
        <w:lastRenderedPageBreak/>
        <w:t>Udhëzimi i Ministrit të Infrastrukturës dhe Energjisë nr. 2, datë 1.2.2023, “Për elementet, kërkesat dhe parimet e përgjithshme të analizës së kostos dhe përfitimit për vlerësimin e potencialit të aplikimit të kogjenerimit me efiçencë të lartë, si dhe të ngrohjes dhe ftohjes efiçente”</w:t>
      </w:r>
    </w:p>
    <w:p w14:paraId="4A80329F" w14:textId="7B313006" w:rsidR="00835192" w:rsidRPr="00FF756A" w:rsidRDefault="00835192" w:rsidP="008639B2">
      <w:pPr>
        <w:numPr>
          <w:ilvl w:val="0"/>
          <w:numId w:val="69"/>
        </w:numPr>
        <w:contextualSpacing/>
        <w:rPr>
          <w:bCs/>
          <w:iCs/>
        </w:rPr>
      </w:pPr>
      <w:r w:rsidRPr="00FF756A">
        <w:rPr>
          <w:bCs/>
          <w:iCs/>
        </w:rPr>
        <w:t xml:space="preserve">Studim Sektori mbi Nevojën për Investime në </w:t>
      </w:r>
      <w:bookmarkStart w:id="325" w:name="_Hlk75520140"/>
      <w:r w:rsidRPr="00FF756A">
        <w:rPr>
          <w:bCs/>
          <w:iCs/>
        </w:rPr>
        <w:t xml:space="preserve">Menaxhimin e Integruar të Mbetjeve të Ngurta (MIMN) </w:t>
      </w:r>
      <w:bookmarkEnd w:id="325"/>
      <w:r w:rsidRPr="00FF756A">
        <w:rPr>
          <w:bCs/>
          <w:iCs/>
        </w:rPr>
        <w:t>në Shqipëri (2018)</w:t>
      </w:r>
      <w:r w:rsidR="004D27E8" w:rsidRPr="00FF756A">
        <w:rPr>
          <w:bCs/>
          <w:iCs/>
        </w:rPr>
        <w:t>;</w:t>
      </w:r>
    </w:p>
    <w:p w14:paraId="3028C912" w14:textId="1E371B34" w:rsidR="00131638" w:rsidRPr="00FF756A" w:rsidRDefault="00835192" w:rsidP="00335C41">
      <w:pPr>
        <w:numPr>
          <w:ilvl w:val="0"/>
          <w:numId w:val="69"/>
        </w:numPr>
        <w:contextualSpacing/>
        <w:rPr>
          <w:bCs/>
          <w:iCs/>
        </w:rPr>
      </w:pPr>
      <w:r w:rsidRPr="00FF756A">
        <w:rPr>
          <w:bCs/>
          <w:iCs/>
        </w:rPr>
        <w:t>Plani Kombëtar Sektorial për menaxhimin e mbetjeve të ngurta, i miratuar me Vendim të KKT-së Nr.1, datë 13.1.2020</w:t>
      </w:r>
      <w:r w:rsidR="004D27E8" w:rsidRPr="00FF756A">
        <w:rPr>
          <w:bCs/>
          <w:iCs/>
        </w:rPr>
        <w:t>;</w:t>
      </w:r>
    </w:p>
    <w:p w14:paraId="5E5E0080" w14:textId="77777777" w:rsidR="00835192" w:rsidRPr="00FF756A" w:rsidRDefault="00835192" w:rsidP="008639B2">
      <w:pPr>
        <w:numPr>
          <w:ilvl w:val="0"/>
          <w:numId w:val="69"/>
        </w:numPr>
        <w:contextualSpacing/>
        <w:rPr>
          <w:bCs/>
          <w:iCs/>
        </w:rPr>
      </w:pPr>
      <w:r w:rsidRPr="00FF756A">
        <w:rPr>
          <w:bCs/>
          <w:iCs/>
        </w:rPr>
        <w:t xml:space="preserve">Ligji “Për prodhimin, transportimin dhe tregtimin e biokarburanteve dhe të lëndëve të tjera djegëse, të rinovueshme, për transport” </w:t>
      </w:r>
      <w:r w:rsidRPr="00FF756A">
        <w:rPr>
          <w:bCs/>
        </w:rPr>
        <w:t>(versioni draft)</w:t>
      </w:r>
    </w:p>
    <w:p w14:paraId="6C41C354" w14:textId="56191AD3" w:rsidR="00335C41" w:rsidRPr="00FF756A" w:rsidRDefault="00335C41" w:rsidP="004A3257">
      <w:pPr>
        <w:pStyle w:val="ListParagraph"/>
        <w:numPr>
          <w:ilvl w:val="0"/>
          <w:numId w:val="69"/>
        </w:numPr>
        <w:jc w:val="left"/>
        <w:rPr>
          <w:bCs/>
        </w:rPr>
      </w:pPr>
      <w:r w:rsidRPr="00FF756A">
        <w:t>Përgatitja e projektligjit “Për etiketimin e produkteve me ndikim në energji;</w:t>
      </w:r>
    </w:p>
    <w:p w14:paraId="57460544" w14:textId="77777777" w:rsidR="00835192" w:rsidRPr="00FF756A" w:rsidRDefault="00835192" w:rsidP="008639B2">
      <w:pPr>
        <w:numPr>
          <w:ilvl w:val="0"/>
          <w:numId w:val="69"/>
        </w:numPr>
        <w:contextualSpacing/>
        <w:rPr>
          <w:bCs/>
          <w:iCs/>
        </w:rPr>
      </w:pPr>
      <w:r w:rsidRPr="00FF756A">
        <w:rPr>
          <w:bCs/>
        </w:rPr>
        <w:t>Plani për Transportin e Qëndrueshëm (versioni draft)</w:t>
      </w:r>
    </w:p>
    <w:p w14:paraId="4CE4B646" w14:textId="77777777" w:rsidR="004343D6" w:rsidRPr="00FF756A" w:rsidRDefault="004343D6" w:rsidP="004343D6">
      <w:pPr>
        <w:numPr>
          <w:ilvl w:val="0"/>
          <w:numId w:val="69"/>
        </w:numPr>
        <w:contextualSpacing/>
        <w:rPr>
          <w:bCs/>
          <w:iCs/>
        </w:rPr>
      </w:pPr>
      <w:r w:rsidRPr="00FF756A">
        <w:rPr>
          <w:bCs/>
          <w:iCs/>
        </w:rPr>
        <w:t>Master Plani Kombëtar i Ujësjellës Kanalizimeve (2013 – 2040</w:t>
      </w:r>
    </w:p>
    <w:p w14:paraId="71906E4F" w14:textId="7D3172B8" w:rsidR="004343D6" w:rsidRPr="00FF756A" w:rsidRDefault="004343D6" w:rsidP="004343D6">
      <w:pPr>
        <w:numPr>
          <w:ilvl w:val="0"/>
          <w:numId w:val="69"/>
        </w:numPr>
        <w:contextualSpacing/>
        <w:rPr>
          <w:bCs/>
          <w:iCs/>
        </w:rPr>
      </w:pPr>
      <w:r w:rsidRPr="00FF756A">
        <w:rPr>
          <w:bCs/>
          <w:iCs/>
        </w:rPr>
        <w:t xml:space="preserve"> Strategjia Kombëtare e Sektorit të Furnizimit me Ujë dhe Kanalizimeve, 2020-2030 (draft);  </w:t>
      </w:r>
    </w:p>
    <w:p w14:paraId="3444E895" w14:textId="77777777" w:rsidR="00835192" w:rsidRPr="00FF756A" w:rsidRDefault="00835192" w:rsidP="00835192"/>
    <w:p w14:paraId="529B5EAA" w14:textId="5778011F" w:rsidR="00835192" w:rsidRPr="00FF756A" w:rsidRDefault="00B1202C" w:rsidP="004A3257">
      <w:pPr>
        <w:pStyle w:val="Heading3"/>
      </w:pPr>
      <w:bookmarkStart w:id="326" w:name="_Toc55836377"/>
      <w:bookmarkStart w:id="327" w:name="_Toc75616122"/>
      <w:bookmarkStart w:id="328" w:name="_Toc182897778"/>
      <w:bookmarkStart w:id="329" w:name="_Toc183639224"/>
      <w:r w:rsidRPr="00FF756A">
        <w:t xml:space="preserve">3.1.2 </w:t>
      </w:r>
      <w:r w:rsidR="00835192" w:rsidRPr="00FF756A">
        <w:t>Shkarkimet dhe eliminimi i GES-ve</w:t>
      </w:r>
      <w:bookmarkEnd w:id="326"/>
      <w:bookmarkEnd w:id="327"/>
      <w:bookmarkEnd w:id="328"/>
      <w:bookmarkEnd w:id="329"/>
    </w:p>
    <w:p w14:paraId="2D8B84FD" w14:textId="77777777" w:rsidR="00835192" w:rsidRPr="00FF756A" w:rsidRDefault="00835192" w:rsidP="00835192">
      <w:r w:rsidRPr="00FF756A">
        <w:t>Në tabelat më poshtë jepen politikat dhe masat, të ndara sipas sektorëve përkatës.</w:t>
      </w:r>
    </w:p>
    <w:p w14:paraId="5C79A098" w14:textId="77777777" w:rsidR="00835192" w:rsidRPr="00FF756A" w:rsidRDefault="00835192" w:rsidP="004A3257">
      <w:pPr>
        <w:pStyle w:val="Heading4"/>
        <w:numPr>
          <w:ilvl w:val="0"/>
          <w:numId w:val="0"/>
        </w:numPr>
        <w:ind w:left="864" w:hanging="864"/>
        <w:rPr>
          <w:rFonts w:cs="Times New Roman"/>
        </w:rPr>
      </w:pPr>
      <w:bookmarkStart w:id="330" w:name="_Toc52903534"/>
      <w:bookmarkStart w:id="331" w:name="_Toc53766087"/>
      <w:bookmarkStart w:id="332" w:name="_Toc55836378"/>
      <w:bookmarkStart w:id="333" w:name="_Toc183639225"/>
      <w:r w:rsidRPr="00FF756A">
        <w:rPr>
          <w:rFonts w:cs="Times New Roman"/>
        </w:rPr>
        <w:t>Sektori i transportit</w:t>
      </w:r>
      <w:bookmarkEnd w:id="330"/>
      <w:bookmarkEnd w:id="331"/>
      <w:bookmarkEnd w:id="332"/>
      <w:bookmarkEnd w:id="3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7"/>
        <w:gridCol w:w="1218"/>
        <w:gridCol w:w="573"/>
        <w:gridCol w:w="410"/>
        <w:gridCol w:w="3728"/>
        <w:gridCol w:w="986"/>
      </w:tblGrid>
      <w:tr w:rsidR="00835192" w:rsidRPr="00FF756A" w14:paraId="707D9D6D" w14:textId="77777777" w:rsidTr="006A3266">
        <w:trPr>
          <w:trHeight w:val="20"/>
        </w:trPr>
        <w:tc>
          <w:tcPr>
            <w:tcW w:w="2399" w:type="pct"/>
            <w:gridSpan w:val="4"/>
            <w:shd w:val="clear" w:color="auto" w:fill="D9F2D0"/>
          </w:tcPr>
          <w:p w14:paraId="4112DA62"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2601" w:type="pct"/>
            <w:gridSpan w:val="2"/>
            <w:shd w:val="clear" w:color="auto" w:fill="D9F2D0"/>
          </w:tcPr>
          <w:p w14:paraId="0B50C26A" w14:textId="77777777" w:rsidR="00835192" w:rsidRPr="00FF756A" w:rsidRDefault="00835192" w:rsidP="008639B2">
            <w:pPr>
              <w:numPr>
                <w:ilvl w:val="0"/>
                <w:numId w:val="76"/>
              </w:numPr>
              <w:spacing w:before="20" w:after="20" w:line="240" w:lineRule="auto"/>
              <w:contextualSpacing/>
              <w:rPr>
                <w:i/>
                <w:iCs/>
                <w:sz w:val="20"/>
                <w:szCs w:val="20"/>
              </w:rPr>
            </w:pPr>
            <w:r w:rsidRPr="00FF756A">
              <w:rPr>
                <w:i/>
                <w:iCs/>
                <w:sz w:val="20"/>
                <w:szCs w:val="20"/>
              </w:rPr>
              <w:t>Dekarbonizimi</w:t>
            </w:r>
          </w:p>
          <w:p w14:paraId="343F03B2" w14:textId="04DAC14A" w:rsidR="00835192" w:rsidRPr="00FF756A" w:rsidRDefault="00835192" w:rsidP="004A3257">
            <w:pPr>
              <w:spacing w:before="20" w:after="20" w:line="240" w:lineRule="auto"/>
              <w:contextualSpacing/>
              <w:rPr>
                <w:i/>
                <w:iCs/>
                <w:sz w:val="20"/>
                <w:szCs w:val="20"/>
              </w:rPr>
            </w:pPr>
            <w:r w:rsidRPr="00FF756A">
              <w:rPr>
                <w:i/>
                <w:iCs/>
                <w:sz w:val="20"/>
                <w:szCs w:val="20"/>
              </w:rPr>
              <w:t>Shkarkimet dhe eliminimi i GES-ve</w:t>
            </w:r>
          </w:p>
        </w:tc>
      </w:tr>
      <w:tr w:rsidR="00835192" w:rsidRPr="00FF756A" w14:paraId="05B7A6CB" w14:textId="77777777" w:rsidTr="006A3266">
        <w:trPr>
          <w:trHeight w:val="20"/>
        </w:trPr>
        <w:tc>
          <w:tcPr>
            <w:tcW w:w="2173" w:type="pct"/>
            <w:gridSpan w:val="3"/>
            <w:shd w:val="clear" w:color="auto" w:fill="D9F2D0"/>
          </w:tcPr>
          <w:p w14:paraId="1E0D4FAB"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2827" w:type="pct"/>
            <w:gridSpan w:val="3"/>
            <w:shd w:val="clear" w:color="auto" w:fill="D9F2D0"/>
          </w:tcPr>
          <w:p w14:paraId="7FB60A57" w14:textId="77777777" w:rsidR="00835192" w:rsidRPr="00FF756A" w:rsidRDefault="00835192" w:rsidP="00835192">
            <w:pPr>
              <w:spacing w:before="20" w:after="20" w:line="240" w:lineRule="auto"/>
              <w:rPr>
                <w:i/>
                <w:iCs/>
                <w:sz w:val="20"/>
                <w:szCs w:val="20"/>
              </w:rPr>
            </w:pPr>
            <w:r w:rsidRPr="00FF756A">
              <w:rPr>
                <w:i/>
                <w:iCs/>
                <w:sz w:val="20"/>
                <w:szCs w:val="20"/>
              </w:rPr>
              <w:t>Transporti</w:t>
            </w:r>
          </w:p>
        </w:tc>
      </w:tr>
      <w:tr w:rsidR="00835192" w:rsidRPr="00FF756A" w14:paraId="4A0D58B1" w14:textId="77777777" w:rsidTr="006A3266">
        <w:trPr>
          <w:trHeight w:val="20"/>
        </w:trPr>
        <w:tc>
          <w:tcPr>
            <w:tcW w:w="1857" w:type="pct"/>
            <w:gridSpan w:val="2"/>
          </w:tcPr>
          <w:p w14:paraId="71865E88"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4AE58EBA"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3143" w:type="pct"/>
            <w:gridSpan w:val="4"/>
          </w:tcPr>
          <w:p w14:paraId="63A15135" w14:textId="77777777" w:rsidR="00835192" w:rsidRPr="00FF756A" w:rsidRDefault="00835192" w:rsidP="00835192">
            <w:pPr>
              <w:spacing w:before="20" w:after="20" w:line="240" w:lineRule="auto"/>
              <w:rPr>
                <w:i/>
                <w:iCs/>
                <w:sz w:val="20"/>
                <w:szCs w:val="20"/>
              </w:rPr>
            </w:pPr>
            <w:r w:rsidRPr="00FF756A">
              <w:rPr>
                <w:i/>
                <w:iCs/>
                <w:sz w:val="20"/>
                <w:szCs w:val="20"/>
              </w:rPr>
              <w:t>WAM</w:t>
            </w:r>
          </w:p>
          <w:p w14:paraId="3EB53DB7"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4AEE9802" w14:textId="77777777" w:rsidTr="006A3266">
        <w:trPr>
          <w:trHeight w:val="20"/>
        </w:trPr>
        <w:tc>
          <w:tcPr>
            <w:tcW w:w="1185" w:type="pct"/>
          </w:tcPr>
          <w:p w14:paraId="7D105584"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76AD9346"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3815" w:type="pct"/>
            <w:gridSpan w:val="5"/>
          </w:tcPr>
          <w:p w14:paraId="7BF7DB0A" w14:textId="77777777" w:rsidR="00835192" w:rsidRPr="00FF756A" w:rsidRDefault="00835192" w:rsidP="00835192">
            <w:pPr>
              <w:spacing w:before="20" w:after="20" w:line="240" w:lineRule="auto"/>
              <w:rPr>
                <w:i/>
                <w:iCs/>
                <w:sz w:val="20"/>
                <w:szCs w:val="20"/>
              </w:rPr>
            </w:pPr>
            <w:r w:rsidRPr="00FF756A">
              <w:rPr>
                <w:i/>
                <w:iCs/>
                <w:sz w:val="20"/>
                <w:szCs w:val="20"/>
              </w:rPr>
              <w:t>Përmirësimi i rrjetit të linjave ndërqytetëse të autobusëve</w:t>
            </w:r>
          </w:p>
          <w:p w14:paraId="6E9AFD26" w14:textId="77777777" w:rsidR="00835192" w:rsidRPr="00FF756A" w:rsidRDefault="00835192" w:rsidP="00835192">
            <w:pPr>
              <w:spacing w:before="20" w:after="20" w:line="240" w:lineRule="auto"/>
              <w:rPr>
                <w:i/>
                <w:iCs/>
                <w:sz w:val="20"/>
                <w:szCs w:val="20"/>
              </w:rPr>
            </w:pPr>
            <w:r w:rsidRPr="00FF756A">
              <w:rPr>
                <w:i/>
                <w:iCs/>
                <w:sz w:val="20"/>
                <w:szCs w:val="20"/>
              </w:rPr>
              <w:t>(G-T1)</w:t>
            </w:r>
          </w:p>
        </w:tc>
      </w:tr>
      <w:tr w:rsidR="00835192" w:rsidRPr="00FF756A" w14:paraId="7AEFB46A" w14:textId="77777777" w:rsidTr="006A3266">
        <w:trPr>
          <w:trHeight w:val="20"/>
        </w:trPr>
        <w:tc>
          <w:tcPr>
            <w:tcW w:w="1185" w:type="pct"/>
          </w:tcPr>
          <w:p w14:paraId="3E4A72A6"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3815" w:type="pct"/>
            <w:gridSpan w:val="5"/>
          </w:tcPr>
          <w:p w14:paraId="491D0FB0" w14:textId="77777777" w:rsidR="00835192" w:rsidRPr="00FF756A" w:rsidRDefault="00835192" w:rsidP="00835192">
            <w:pPr>
              <w:spacing w:before="20" w:after="20" w:line="240" w:lineRule="auto"/>
              <w:rPr>
                <w:i/>
                <w:iCs/>
                <w:sz w:val="20"/>
                <w:szCs w:val="20"/>
              </w:rPr>
            </w:pPr>
            <w:r w:rsidRPr="00FF756A">
              <w:rPr>
                <w:i/>
                <w:iCs/>
                <w:sz w:val="20"/>
                <w:szCs w:val="20"/>
              </w:rPr>
              <w:t>2023 – në vazhdim</w:t>
            </w:r>
          </w:p>
        </w:tc>
      </w:tr>
      <w:tr w:rsidR="00835192" w:rsidRPr="00FF756A" w14:paraId="0844082C" w14:textId="77777777" w:rsidTr="006A3266">
        <w:trPr>
          <w:trHeight w:val="20"/>
        </w:trPr>
        <w:tc>
          <w:tcPr>
            <w:tcW w:w="1185" w:type="pct"/>
          </w:tcPr>
          <w:p w14:paraId="58E952C6"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3815" w:type="pct"/>
            <w:gridSpan w:val="5"/>
          </w:tcPr>
          <w:p w14:paraId="0A1950F9" w14:textId="77777777" w:rsidR="00835192" w:rsidRPr="00FF756A" w:rsidRDefault="00835192" w:rsidP="00835192">
            <w:pPr>
              <w:spacing w:before="20" w:after="20" w:line="240" w:lineRule="auto"/>
              <w:rPr>
                <w:i/>
                <w:iCs/>
                <w:sz w:val="20"/>
                <w:szCs w:val="20"/>
              </w:rPr>
            </w:pPr>
            <w:r w:rsidRPr="00FF756A">
              <w:rPr>
                <w:i/>
                <w:iCs/>
                <w:sz w:val="20"/>
                <w:szCs w:val="20"/>
              </w:rPr>
              <w:t xml:space="preserve">VKM nr. 811, datë 16.11.2016, “Për miratimin e strategjisë sektoriale të transportit dhe planit të veprimit, 2016–2020”; Ligji nr. 8308, datë 18.03.1998 “Për transportet rrugore”, i ndryshuar </w:t>
            </w:r>
          </w:p>
        </w:tc>
      </w:tr>
      <w:tr w:rsidR="00835192" w:rsidRPr="00FF756A" w14:paraId="7EFA7F0D" w14:textId="77777777" w:rsidTr="006A3266">
        <w:trPr>
          <w:trHeight w:val="20"/>
        </w:trPr>
        <w:tc>
          <w:tcPr>
            <w:tcW w:w="1185" w:type="pct"/>
          </w:tcPr>
          <w:p w14:paraId="34FA3DCD"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3815" w:type="pct"/>
            <w:gridSpan w:val="5"/>
          </w:tcPr>
          <w:p w14:paraId="7F21B5B0" w14:textId="77777777" w:rsidR="00835192" w:rsidRPr="00FF756A" w:rsidRDefault="00835192" w:rsidP="008639B2">
            <w:pPr>
              <w:numPr>
                <w:ilvl w:val="0"/>
                <w:numId w:val="77"/>
              </w:numPr>
              <w:spacing w:before="20" w:after="20" w:line="240" w:lineRule="auto"/>
              <w:contextualSpacing/>
              <w:rPr>
                <w:i/>
                <w:iCs/>
                <w:sz w:val="20"/>
                <w:szCs w:val="20"/>
              </w:rPr>
            </w:pPr>
            <w:r w:rsidRPr="00FF756A">
              <w:rPr>
                <w:i/>
                <w:iCs/>
                <w:sz w:val="20"/>
                <w:szCs w:val="20"/>
              </w:rPr>
              <w:t xml:space="preserve">Riorganizimi i linjave të transportit ndërqytetës të udhëtarëve me autobus, në përputhje me studimin ose anketën mbi ofertën dhe kërkesën/fluksin e udhëtarëve nga pika e nisjes - pika e mbërritjes për këtë lloj transporti </w:t>
            </w:r>
          </w:p>
          <w:p w14:paraId="4B44276F" w14:textId="77777777" w:rsidR="00835192" w:rsidRPr="00FF756A" w:rsidRDefault="00835192" w:rsidP="008639B2">
            <w:pPr>
              <w:numPr>
                <w:ilvl w:val="0"/>
                <w:numId w:val="77"/>
              </w:numPr>
              <w:spacing w:before="20" w:after="20" w:line="240" w:lineRule="auto"/>
              <w:contextualSpacing/>
              <w:rPr>
                <w:i/>
                <w:iCs/>
                <w:sz w:val="20"/>
                <w:szCs w:val="20"/>
              </w:rPr>
            </w:pPr>
            <w:r w:rsidRPr="00FF756A">
              <w:rPr>
                <w:i/>
                <w:iCs/>
                <w:sz w:val="20"/>
                <w:szCs w:val="20"/>
              </w:rPr>
              <w:t>Intensifikimi i ngritjes së kapaciteteve të Task-Forcës në përputhje me VKM nr. 465, datë 26.07.2018, “Për përmirësimin e nivelit të kontrollit të mjeteve motorike e rimorkiove të tyre”, i ndryshuar</w:t>
            </w:r>
          </w:p>
          <w:p w14:paraId="10A9A8F7" w14:textId="77777777" w:rsidR="00835192" w:rsidRPr="00FF756A" w:rsidRDefault="00835192" w:rsidP="008639B2">
            <w:pPr>
              <w:numPr>
                <w:ilvl w:val="0"/>
                <w:numId w:val="77"/>
              </w:numPr>
              <w:spacing w:before="20" w:after="20" w:line="240" w:lineRule="auto"/>
              <w:contextualSpacing/>
              <w:rPr>
                <w:i/>
                <w:iCs/>
                <w:sz w:val="20"/>
                <w:szCs w:val="20"/>
              </w:rPr>
            </w:pPr>
            <w:r w:rsidRPr="00FF756A">
              <w:rPr>
                <w:i/>
                <w:iCs/>
                <w:sz w:val="20"/>
                <w:szCs w:val="20"/>
              </w:rPr>
              <w:t>Miratimi i rrjetit të ri të linjave në përputhje me udhëzimin nr. 5628 të ministrit, datë 18.11.2016, “Për miratimin e rrjetit të linjave ndërqytetëse”, i ndryshuar.</w:t>
            </w:r>
          </w:p>
          <w:p w14:paraId="57C3C4D3" w14:textId="77777777" w:rsidR="00835192" w:rsidRPr="00FF756A" w:rsidRDefault="00835192" w:rsidP="008639B2">
            <w:pPr>
              <w:numPr>
                <w:ilvl w:val="0"/>
                <w:numId w:val="77"/>
              </w:numPr>
              <w:spacing w:before="20" w:after="20" w:line="240" w:lineRule="auto"/>
              <w:contextualSpacing/>
              <w:rPr>
                <w:i/>
                <w:iCs/>
                <w:sz w:val="20"/>
                <w:szCs w:val="20"/>
              </w:rPr>
            </w:pPr>
            <w:r w:rsidRPr="00FF756A">
              <w:rPr>
                <w:i/>
                <w:iCs/>
                <w:sz w:val="20"/>
                <w:szCs w:val="20"/>
              </w:rPr>
              <w:t>Ndërtimi i 10 km korsi të dedikuara për biçikletat në Tiranë</w:t>
            </w:r>
          </w:p>
          <w:p w14:paraId="0C62BC3B" w14:textId="77777777" w:rsidR="00835192" w:rsidRPr="00FF756A" w:rsidRDefault="00835192" w:rsidP="008639B2">
            <w:pPr>
              <w:numPr>
                <w:ilvl w:val="0"/>
                <w:numId w:val="77"/>
              </w:numPr>
              <w:spacing w:before="20" w:after="20" w:line="240" w:lineRule="auto"/>
              <w:contextualSpacing/>
              <w:rPr>
                <w:i/>
                <w:iCs/>
                <w:sz w:val="20"/>
                <w:szCs w:val="20"/>
              </w:rPr>
            </w:pPr>
            <w:r w:rsidRPr="00FF756A">
              <w:rPr>
                <w:i/>
                <w:iCs/>
                <w:sz w:val="20"/>
                <w:szCs w:val="20"/>
              </w:rPr>
              <w:t>Koncesioni i terminalit të ri të udhëtarëve në Tiranë (Bashkia e Tiranës) është në proces e sipër</w:t>
            </w:r>
          </w:p>
          <w:p w14:paraId="42DBD449" w14:textId="77777777" w:rsidR="00835192" w:rsidRPr="00FF756A" w:rsidRDefault="00835192" w:rsidP="008639B2">
            <w:pPr>
              <w:numPr>
                <w:ilvl w:val="0"/>
                <w:numId w:val="77"/>
              </w:numPr>
              <w:spacing w:before="20" w:after="20" w:line="240" w:lineRule="auto"/>
              <w:contextualSpacing/>
              <w:rPr>
                <w:i/>
                <w:iCs/>
                <w:sz w:val="20"/>
                <w:szCs w:val="20"/>
              </w:rPr>
            </w:pPr>
            <w:r w:rsidRPr="00FF756A">
              <w:rPr>
                <w:i/>
                <w:iCs/>
                <w:sz w:val="20"/>
                <w:szCs w:val="20"/>
              </w:rPr>
              <w:t>Përdorimi i taksive elektrike dhe autobusëve elektrikë për udhëtarët në Tiranë</w:t>
            </w:r>
          </w:p>
          <w:p w14:paraId="066BDED9" w14:textId="77777777" w:rsidR="00835192" w:rsidRPr="00FF756A" w:rsidRDefault="00835192" w:rsidP="008639B2">
            <w:pPr>
              <w:numPr>
                <w:ilvl w:val="0"/>
                <w:numId w:val="77"/>
              </w:numPr>
              <w:spacing w:before="20" w:after="20" w:line="240" w:lineRule="auto"/>
              <w:contextualSpacing/>
              <w:rPr>
                <w:i/>
                <w:iCs/>
                <w:sz w:val="20"/>
                <w:szCs w:val="20"/>
              </w:rPr>
            </w:pPr>
            <w:r w:rsidRPr="00FF756A">
              <w:rPr>
                <w:i/>
                <w:iCs/>
                <w:sz w:val="20"/>
                <w:szCs w:val="20"/>
              </w:rPr>
              <w:t xml:space="preserve">Ndërtimi i terminalit të ri të udhëtarëve në portin e Vlorës dhe të Durrësit </w:t>
            </w:r>
          </w:p>
          <w:p w14:paraId="7350D4A4" w14:textId="77777777" w:rsidR="00835192" w:rsidRPr="00FF756A" w:rsidRDefault="00835192" w:rsidP="008639B2">
            <w:pPr>
              <w:numPr>
                <w:ilvl w:val="0"/>
                <w:numId w:val="77"/>
              </w:numPr>
              <w:spacing w:before="20" w:after="20" w:line="240" w:lineRule="auto"/>
              <w:contextualSpacing/>
              <w:rPr>
                <w:i/>
                <w:iCs/>
                <w:sz w:val="20"/>
                <w:szCs w:val="20"/>
              </w:rPr>
            </w:pPr>
            <w:r w:rsidRPr="00FF756A">
              <w:rPr>
                <w:i/>
                <w:iCs/>
                <w:sz w:val="20"/>
                <w:szCs w:val="20"/>
              </w:rPr>
              <w:t>Studimi “Mundësia e zhvillimit të transportit intermodal në Shqipëri” (Instituti i Transportit i Shqipërisë)</w:t>
            </w:r>
          </w:p>
        </w:tc>
      </w:tr>
      <w:tr w:rsidR="00835192" w:rsidRPr="00FF756A" w14:paraId="3F68596E" w14:textId="77777777" w:rsidTr="006A3266">
        <w:trPr>
          <w:trHeight w:val="20"/>
        </w:trPr>
        <w:tc>
          <w:tcPr>
            <w:tcW w:w="1185" w:type="pct"/>
          </w:tcPr>
          <w:p w14:paraId="6AE91014"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3815" w:type="pct"/>
            <w:gridSpan w:val="5"/>
          </w:tcPr>
          <w:p w14:paraId="0A1AC0EF" w14:textId="77777777" w:rsidR="00835192" w:rsidRPr="00FF756A" w:rsidRDefault="00835192" w:rsidP="00835192">
            <w:pPr>
              <w:spacing w:before="20" w:after="20" w:line="240" w:lineRule="auto"/>
              <w:rPr>
                <w:i/>
                <w:iCs/>
                <w:sz w:val="20"/>
                <w:szCs w:val="20"/>
              </w:rPr>
            </w:pPr>
            <w:r w:rsidRPr="00FF756A">
              <w:rPr>
                <w:i/>
                <w:iCs/>
                <w:sz w:val="20"/>
                <w:szCs w:val="20"/>
              </w:rPr>
              <w:t>Objektivat kryesore janë: (i) përmirësimi i infrastrukturës së terminaleve të udhëtarëve; (ii) rritja e efiçencës së rrjetit të autobusëve ndërqytetas; dhe (iii) reduktimi i shkarkimeve të CO</w:t>
            </w:r>
            <w:r w:rsidRPr="00FF756A">
              <w:rPr>
                <w:i/>
                <w:iCs/>
                <w:sz w:val="20"/>
                <w:szCs w:val="20"/>
                <w:vertAlign w:val="subscript"/>
              </w:rPr>
              <w:t>2</w:t>
            </w:r>
            <w:r w:rsidRPr="00FF756A">
              <w:rPr>
                <w:i/>
                <w:iCs/>
                <w:sz w:val="20"/>
                <w:szCs w:val="20"/>
              </w:rPr>
              <w:t xml:space="preserve"> të shkaktuara nga automjetet e përdorura në rrjetin e autobusëve ndërqytetas.</w:t>
            </w:r>
          </w:p>
        </w:tc>
      </w:tr>
      <w:tr w:rsidR="00835192" w:rsidRPr="00FF756A" w14:paraId="27989EA4" w14:textId="77777777" w:rsidTr="006A3266">
        <w:trPr>
          <w:trHeight w:val="20"/>
        </w:trPr>
        <w:tc>
          <w:tcPr>
            <w:tcW w:w="1185" w:type="pct"/>
          </w:tcPr>
          <w:p w14:paraId="213BAB2D"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3815" w:type="pct"/>
            <w:gridSpan w:val="5"/>
          </w:tcPr>
          <w:p w14:paraId="0922AB80"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Rritja e efikasitetit ekonomiko-financiar të operatorëve me 30-40% (brenda një viti)</w:t>
            </w:r>
          </w:p>
          <w:p w14:paraId="121A124A"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lastRenderedPageBreak/>
              <w:t xml:space="preserve">Reduktimi i bllokimit të trafikut si rezultat i reduktimit të numrit të autobusëve që qarkullojnë në rrjetin rrugor kombëtar. </w:t>
            </w:r>
          </w:p>
          <w:p w14:paraId="0D3C4A9F"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Reduktimi i nisjeve dhe mbërritjeve të autobusëve me 15-20% (brenda një viti)</w:t>
            </w:r>
          </w:p>
          <w:p w14:paraId="5D076FE8" w14:textId="77777777" w:rsidR="00835192" w:rsidRPr="00FF756A" w:rsidRDefault="00835192" w:rsidP="008639B2">
            <w:pPr>
              <w:numPr>
                <w:ilvl w:val="1"/>
                <w:numId w:val="71"/>
              </w:numPr>
              <w:spacing w:before="20" w:after="20" w:line="240" w:lineRule="auto"/>
              <w:contextualSpacing/>
              <w:rPr>
                <w:i/>
                <w:sz w:val="20"/>
                <w:szCs w:val="20"/>
              </w:rPr>
            </w:pPr>
            <w:r w:rsidRPr="00FF756A">
              <w:rPr>
                <w:i/>
                <w:iCs/>
                <w:sz w:val="20"/>
                <w:szCs w:val="20"/>
              </w:rPr>
              <w:t>Reduktimi i shkarkimeve të CO</w:t>
            </w:r>
            <w:r w:rsidRPr="00FF756A">
              <w:rPr>
                <w:i/>
                <w:iCs/>
                <w:sz w:val="20"/>
                <w:szCs w:val="20"/>
                <w:vertAlign w:val="subscript"/>
              </w:rPr>
              <w:t>2</w:t>
            </w:r>
            <w:r w:rsidRPr="00FF756A">
              <w:rPr>
                <w:i/>
                <w:iCs/>
                <w:sz w:val="20"/>
                <w:szCs w:val="20"/>
              </w:rPr>
              <w:t xml:space="preserve"> paralelisht me reduktimin e autobusëve në qarkullim me 15-20%</w:t>
            </w:r>
          </w:p>
          <w:p w14:paraId="015CEF53" w14:textId="77777777" w:rsidR="00835192" w:rsidRPr="00FF756A" w:rsidRDefault="00835192" w:rsidP="008639B2">
            <w:pPr>
              <w:numPr>
                <w:ilvl w:val="0"/>
                <w:numId w:val="71"/>
              </w:numPr>
              <w:spacing w:before="20" w:after="20" w:line="240" w:lineRule="auto"/>
              <w:contextualSpacing/>
              <w:rPr>
                <w:i/>
                <w:iCs/>
                <w:sz w:val="20"/>
                <w:szCs w:val="20"/>
              </w:rPr>
            </w:pPr>
            <w:r w:rsidRPr="00FF756A">
              <w:rPr>
                <w:bCs/>
                <w:i/>
                <w:sz w:val="20"/>
                <w:szCs w:val="20"/>
              </w:rPr>
              <w:t>Promovimi i transportit multimodal</w:t>
            </w:r>
          </w:p>
          <w:p w14:paraId="6556070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Rritja e efiçencës financiare të operatorëve të rrjetit ndërqytetës.</w:t>
            </w:r>
          </w:p>
          <w:p w14:paraId="3058D3D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Rritja e sigurisë së transportit ndërqytetës</w:t>
            </w:r>
          </w:p>
          <w:p w14:paraId="5AC3AFC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sz w:val="20"/>
                <w:szCs w:val="20"/>
              </w:rPr>
              <w:t>Reduktimi i intensitetit të energjisë në sektorin e transportit me 10%, si rezultat i menaxhimit të mirë</w:t>
            </w:r>
            <w:r w:rsidRPr="00FF756A">
              <w:rPr>
                <w:i/>
                <w:iCs/>
                <w:sz w:val="20"/>
                <w:szCs w:val="20"/>
              </w:rPr>
              <w:t xml:space="preserve"> </w:t>
            </w:r>
          </w:p>
          <w:p w14:paraId="203C3D5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Përmirësimi i sigurisë dhe cilësisë së shërbimit në linjat ndërqytetëse</w:t>
            </w:r>
          </w:p>
          <w:p w14:paraId="420AF63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Reduktimi i nevojave për lëvizshmërinë dhe distancave me anë të planifikimit të integruar</w:t>
            </w:r>
          </w:p>
          <w:p w14:paraId="3994AF9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Reduktimi i konsumit të lëndës djegëse për automjetet dhe kalimi në modalitete transporti më efikase nga pikëpamja e trafikut</w:t>
            </w:r>
          </w:p>
          <w:p w14:paraId="1821074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Përdorimi i lëndëve djegëse me nivele të ulëta karboni, si biokarburantet e qëndrueshme ose burimet e energjisë elektrike të rinovueshme</w:t>
            </w:r>
          </w:p>
          <w:p w14:paraId="4620027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Mundësia e multimodalitetit dhe intermodalitetit midis modaliteteve të transportit</w:t>
            </w:r>
          </w:p>
          <w:p w14:paraId="550B2509" w14:textId="77777777" w:rsidR="00835192" w:rsidRPr="00FF756A" w:rsidRDefault="00835192" w:rsidP="008639B2">
            <w:pPr>
              <w:numPr>
                <w:ilvl w:val="0"/>
                <w:numId w:val="71"/>
              </w:numPr>
              <w:spacing w:before="20" w:after="20" w:line="240" w:lineRule="auto"/>
              <w:contextualSpacing/>
              <w:rPr>
                <w:i/>
                <w:sz w:val="20"/>
                <w:szCs w:val="20"/>
              </w:rPr>
            </w:pPr>
            <w:r w:rsidRPr="00FF756A">
              <w:rPr>
                <w:i/>
                <w:iCs/>
                <w:sz w:val="20"/>
                <w:szCs w:val="20"/>
              </w:rPr>
              <w:t>Krijimi i terminaleve të udhëtarëve</w:t>
            </w:r>
          </w:p>
        </w:tc>
      </w:tr>
      <w:tr w:rsidR="00835192" w:rsidRPr="00FF756A" w14:paraId="61459098" w14:textId="77777777" w:rsidTr="004A3257">
        <w:trPr>
          <w:trHeight w:val="20"/>
        </w:trPr>
        <w:tc>
          <w:tcPr>
            <w:tcW w:w="1185" w:type="pct"/>
          </w:tcPr>
          <w:p w14:paraId="250AC149"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Masat që duhet të zbatohen</w:t>
            </w:r>
          </w:p>
        </w:tc>
        <w:tc>
          <w:tcPr>
            <w:tcW w:w="3271" w:type="pct"/>
            <w:gridSpan w:val="4"/>
          </w:tcPr>
          <w:p w14:paraId="28A5E0D7" w14:textId="77777777" w:rsidR="00835192" w:rsidRPr="00FF756A" w:rsidRDefault="00835192" w:rsidP="00835192">
            <w:pPr>
              <w:spacing w:before="0" w:after="0" w:line="240" w:lineRule="auto"/>
              <w:rPr>
                <w:i/>
                <w:iCs/>
                <w:sz w:val="20"/>
                <w:szCs w:val="20"/>
              </w:rPr>
            </w:pPr>
            <w:r w:rsidRPr="00FF756A">
              <w:rPr>
                <w:i/>
                <w:iCs/>
                <w:sz w:val="20"/>
                <w:szCs w:val="20"/>
              </w:rPr>
              <w:t xml:space="preserve">Reduktimi i përdorimit të burimeve të energjisë nëpërmjet masave të mëposhtme: </w:t>
            </w:r>
          </w:p>
          <w:p w14:paraId="7EAF7157" w14:textId="77777777" w:rsidR="00835192" w:rsidRPr="00FF756A" w:rsidRDefault="00835192" w:rsidP="00835192">
            <w:pPr>
              <w:spacing w:before="0" w:after="0" w:line="240" w:lineRule="auto"/>
              <w:rPr>
                <w:i/>
                <w:iCs/>
                <w:sz w:val="20"/>
                <w:szCs w:val="20"/>
              </w:rPr>
            </w:pPr>
            <w:r w:rsidRPr="00FF756A">
              <w:rPr>
                <w:i/>
                <w:iCs/>
                <w:sz w:val="20"/>
                <w:szCs w:val="20"/>
              </w:rPr>
              <w:t>Funksionimi efikas</w:t>
            </w:r>
          </w:p>
          <w:p w14:paraId="2B9C239F" w14:textId="77777777" w:rsidR="00835192" w:rsidRPr="00FF756A" w:rsidRDefault="00835192" w:rsidP="008639B2">
            <w:pPr>
              <w:numPr>
                <w:ilvl w:val="0"/>
                <w:numId w:val="71"/>
              </w:numPr>
              <w:spacing w:before="0" w:after="0" w:line="240" w:lineRule="auto"/>
              <w:contextualSpacing/>
              <w:rPr>
                <w:i/>
                <w:iCs/>
                <w:sz w:val="20"/>
                <w:szCs w:val="20"/>
              </w:rPr>
            </w:pPr>
            <w:r w:rsidRPr="00FF756A">
              <w:rPr>
                <w:i/>
                <w:iCs/>
                <w:sz w:val="20"/>
                <w:szCs w:val="20"/>
              </w:rPr>
              <w:t>Studimi për eliminimin e mbivendosjeve të linjave në itineraret e tyre</w:t>
            </w:r>
          </w:p>
          <w:p w14:paraId="200F5EE9" w14:textId="77777777" w:rsidR="00835192" w:rsidRPr="00FF756A" w:rsidRDefault="00835192" w:rsidP="008639B2">
            <w:pPr>
              <w:numPr>
                <w:ilvl w:val="0"/>
                <w:numId w:val="71"/>
              </w:numPr>
              <w:spacing w:before="0" w:after="0" w:line="240" w:lineRule="auto"/>
              <w:contextualSpacing/>
              <w:rPr>
                <w:i/>
                <w:iCs/>
                <w:sz w:val="20"/>
                <w:szCs w:val="20"/>
              </w:rPr>
            </w:pPr>
            <w:r w:rsidRPr="00FF756A">
              <w:rPr>
                <w:i/>
                <w:iCs/>
                <w:sz w:val="20"/>
                <w:szCs w:val="20"/>
              </w:rPr>
              <w:t xml:space="preserve">Përdorimi i teknologjive të reja si “Sistemet e Transportit Inteligjent” dhe “Logjistika Inteligjente” për të ndihmuar në menaxhimin efikas të sistemeve të transportit </w:t>
            </w:r>
          </w:p>
          <w:p w14:paraId="08B8C373" w14:textId="77777777" w:rsidR="00835192" w:rsidRPr="00FF756A" w:rsidRDefault="00835192" w:rsidP="00835192">
            <w:pPr>
              <w:spacing w:before="0" w:after="0" w:line="240" w:lineRule="auto"/>
              <w:rPr>
                <w:i/>
                <w:iCs/>
                <w:sz w:val="20"/>
                <w:szCs w:val="20"/>
              </w:rPr>
            </w:pPr>
            <w:r w:rsidRPr="00FF756A">
              <w:rPr>
                <w:i/>
                <w:iCs/>
                <w:sz w:val="20"/>
                <w:szCs w:val="20"/>
              </w:rPr>
              <w:t xml:space="preserve">Promovimi dhe rritja e ndërgjegjësimit: </w:t>
            </w:r>
          </w:p>
          <w:p w14:paraId="332ECC19" w14:textId="77777777" w:rsidR="00835192" w:rsidRPr="00FF756A" w:rsidRDefault="00835192" w:rsidP="008639B2">
            <w:pPr>
              <w:numPr>
                <w:ilvl w:val="0"/>
                <w:numId w:val="71"/>
              </w:numPr>
              <w:spacing w:before="0" w:after="0" w:line="240" w:lineRule="auto"/>
              <w:contextualSpacing/>
              <w:rPr>
                <w:i/>
                <w:iCs/>
                <w:sz w:val="20"/>
                <w:szCs w:val="20"/>
              </w:rPr>
            </w:pPr>
            <w:r w:rsidRPr="00FF756A">
              <w:rPr>
                <w:i/>
                <w:iCs/>
                <w:sz w:val="20"/>
                <w:szCs w:val="20"/>
              </w:rPr>
              <w:t>Promovimi i transportit rrugor publik të udhëtarëve</w:t>
            </w:r>
          </w:p>
          <w:p w14:paraId="2558B333" w14:textId="77777777" w:rsidR="00835192" w:rsidRPr="00FF756A" w:rsidRDefault="00835192" w:rsidP="008639B2">
            <w:pPr>
              <w:numPr>
                <w:ilvl w:val="0"/>
                <w:numId w:val="71"/>
              </w:numPr>
              <w:spacing w:before="0" w:after="0" w:line="240" w:lineRule="auto"/>
              <w:contextualSpacing/>
              <w:rPr>
                <w:i/>
                <w:iCs/>
                <w:sz w:val="20"/>
                <w:szCs w:val="20"/>
              </w:rPr>
            </w:pPr>
            <w:r w:rsidRPr="00FF756A">
              <w:rPr>
                <w:i/>
                <w:iCs/>
                <w:sz w:val="20"/>
                <w:szCs w:val="20"/>
              </w:rPr>
              <w:t>Fushatat e ndërgjegjësimit publik</w:t>
            </w:r>
          </w:p>
          <w:p w14:paraId="56DF7661" w14:textId="77777777" w:rsidR="00835192" w:rsidRPr="00FF756A" w:rsidRDefault="00835192" w:rsidP="00835192">
            <w:pPr>
              <w:spacing w:before="0" w:after="0" w:line="240" w:lineRule="auto"/>
              <w:rPr>
                <w:i/>
                <w:iCs/>
                <w:sz w:val="20"/>
                <w:szCs w:val="20"/>
              </w:rPr>
            </w:pPr>
            <w:r w:rsidRPr="00FF756A">
              <w:rPr>
                <w:i/>
                <w:iCs/>
                <w:sz w:val="20"/>
                <w:szCs w:val="20"/>
              </w:rPr>
              <w:t xml:space="preserve">Tarifa: </w:t>
            </w:r>
          </w:p>
          <w:p w14:paraId="049CC151" w14:textId="3D2CD6AB" w:rsidR="004E46CC" w:rsidRPr="00DF469A" w:rsidRDefault="004E46CC" w:rsidP="004E46CC">
            <w:pPr>
              <w:spacing w:before="0" w:after="0" w:line="240" w:lineRule="auto"/>
              <w:rPr>
                <w:i/>
                <w:iCs/>
                <w:sz w:val="20"/>
                <w:szCs w:val="20"/>
              </w:rPr>
            </w:pPr>
            <w:r w:rsidRPr="00DF469A">
              <w:rPr>
                <w:i/>
                <w:iCs/>
                <w:sz w:val="20"/>
                <w:szCs w:val="20"/>
              </w:rPr>
              <w:t>Në kuadër të masave për përmirësimin e cilësisë së ajrit dhe lehtësimin e trafikut në zonat me qarkullim të rënduar, njësitë e qeverisjes vendore hartojnë dhe zbatojnë një plan masash që përfshin:</w:t>
            </w:r>
          </w:p>
          <w:p w14:paraId="0CB0F900" w14:textId="051BD4CB" w:rsidR="004E46CC" w:rsidRPr="00DF469A" w:rsidRDefault="004E46CC" w:rsidP="004E46CC">
            <w:pPr>
              <w:numPr>
                <w:ilvl w:val="0"/>
                <w:numId w:val="256"/>
              </w:numPr>
              <w:spacing w:before="0" w:after="0" w:line="240" w:lineRule="auto"/>
              <w:rPr>
                <w:i/>
                <w:iCs/>
                <w:sz w:val="20"/>
                <w:szCs w:val="20"/>
              </w:rPr>
            </w:pPr>
            <w:r w:rsidRPr="00DF469A">
              <w:rPr>
                <w:i/>
                <w:iCs/>
                <w:sz w:val="20"/>
                <w:szCs w:val="20"/>
              </w:rPr>
              <w:t>Kufizimin e qarkullimit të automjeteve me norma të larta ndotjeje në zonat me trafik të rënduar .</w:t>
            </w:r>
          </w:p>
          <w:p w14:paraId="7C4D2DCB" w14:textId="77777777" w:rsidR="004E46CC" w:rsidRPr="00DF469A" w:rsidRDefault="004E46CC" w:rsidP="004E46CC">
            <w:pPr>
              <w:numPr>
                <w:ilvl w:val="0"/>
                <w:numId w:val="256"/>
              </w:numPr>
              <w:spacing w:before="0" w:after="0" w:line="240" w:lineRule="auto"/>
              <w:rPr>
                <w:i/>
                <w:iCs/>
                <w:sz w:val="20"/>
                <w:szCs w:val="20"/>
              </w:rPr>
            </w:pPr>
            <w:r w:rsidRPr="00DF469A">
              <w:rPr>
                <w:i/>
                <w:iCs/>
                <w:sz w:val="20"/>
                <w:szCs w:val="20"/>
              </w:rPr>
              <w:t>Caktimin e tarifave të qarkullimit për automjetet që hyjnë në këto zona, si mjet ekonomik për kontrollin e numrit të mjeteve dhe për stimulimin e përdorimit të mjeteve me emetime më të ulëta.</w:t>
            </w:r>
          </w:p>
          <w:p w14:paraId="37E2B8D0" w14:textId="77777777" w:rsidR="004E46CC" w:rsidRPr="00DF469A" w:rsidRDefault="004E46CC" w:rsidP="004E46CC">
            <w:pPr>
              <w:numPr>
                <w:ilvl w:val="0"/>
                <w:numId w:val="256"/>
              </w:numPr>
              <w:spacing w:before="0" w:after="0" w:line="240" w:lineRule="auto"/>
              <w:rPr>
                <w:i/>
                <w:iCs/>
                <w:sz w:val="20"/>
                <w:szCs w:val="20"/>
              </w:rPr>
            </w:pPr>
            <w:r w:rsidRPr="00DF469A">
              <w:rPr>
                <w:i/>
                <w:iCs/>
                <w:sz w:val="20"/>
                <w:szCs w:val="20"/>
              </w:rPr>
              <w:t>Vendosjen e mekanizmave të kontrollit dhe monitorimit për zbatimin efektiv të kufizimeve dhe tarifave të përcaktuara.</w:t>
            </w:r>
          </w:p>
          <w:p w14:paraId="40E9EF8C" w14:textId="77777777" w:rsidR="00835192" w:rsidRPr="00FF756A" w:rsidRDefault="00835192" w:rsidP="008639B2">
            <w:pPr>
              <w:numPr>
                <w:ilvl w:val="0"/>
                <w:numId w:val="71"/>
              </w:numPr>
              <w:spacing w:before="0" w:after="0" w:line="240" w:lineRule="auto"/>
              <w:rPr>
                <w:i/>
                <w:iCs/>
                <w:sz w:val="20"/>
                <w:szCs w:val="20"/>
              </w:rPr>
            </w:pPr>
            <w:r w:rsidRPr="00FF756A">
              <w:rPr>
                <w:i/>
                <w:iCs/>
                <w:sz w:val="20"/>
                <w:szCs w:val="20"/>
              </w:rPr>
              <w:t>Përgatitja e një plani optimal parkimi dhe caktimi i tarifave optimale të parkimit, veçanërisht në nyjat kryesore të transportit të udhëtarëve dhe të mallrave</w:t>
            </w:r>
          </w:p>
          <w:p w14:paraId="69979DE1" w14:textId="77777777" w:rsidR="00835192" w:rsidRPr="00FF756A" w:rsidRDefault="00835192" w:rsidP="00835192">
            <w:pPr>
              <w:spacing w:before="0" w:after="0" w:line="240" w:lineRule="auto"/>
              <w:rPr>
                <w:i/>
                <w:iCs/>
                <w:sz w:val="20"/>
                <w:szCs w:val="20"/>
              </w:rPr>
            </w:pPr>
            <w:r w:rsidRPr="00FF756A">
              <w:rPr>
                <w:i/>
                <w:iCs/>
                <w:sz w:val="20"/>
                <w:szCs w:val="20"/>
              </w:rPr>
              <w:t xml:space="preserve">Infrastruktura: </w:t>
            </w:r>
          </w:p>
          <w:p w14:paraId="7890C0A3" w14:textId="77777777" w:rsidR="00835192" w:rsidRPr="00FF756A" w:rsidRDefault="00835192" w:rsidP="008639B2">
            <w:pPr>
              <w:numPr>
                <w:ilvl w:val="0"/>
                <w:numId w:val="71"/>
              </w:numPr>
              <w:spacing w:before="0" w:after="0" w:line="240" w:lineRule="auto"/>
              <w:rPr>
                <w:i/>
                <w:iCs/>
                <w:sz w:val="20"/>
                <w:szCs w:val="20"/>
              </w:rPr>
            </w:pPr>
            <w:r w:rsidRPr="00FF756A">
              <w:rPr>
                <w:i/>
                <w:iCs/>
                <w:sz w:val="20"/>
                <w:szCs w:val="20"/>
              </w:rPr>
              <w:t xml:space="preserve">Përdorimi i automjeteve me efiçencë energjie </w:t>
            </w:r>
          </w:p>
          <w:p w14:paraId="643B2FBD" w14:textId="77777777" w:rsidR="00835192" w:rsidRPr="00FF756A" w:rsidRDefault="00835192" w:rsidP="008639B2">
            <w:pPr>
              <w:numPr>
                <w:ilvl w:val="0"/>
                <w:numId w:val="71"/>
              </w:numPr>
              <w:spacing w:before="0" w:after="0" w:line="240" w:lineRule="auto"/>
              <w:rPr>
                <w:i/>
                <w:iCs/>
                <w:sz w:val="20"/>
                <w:szCs w:val="20"/>
              </w:rPr>
            </w:pPr>
            <w:r w:rsidRPr="00FF756A">
              <w:rPr>
                <w:i/>
                <w:iCs/>
                <w:sz w:val="20"/>
                <w:szCs w:val="20"/>
              </w:rPr>
              <w:t>Përmirësimi i cilësisë së rrugëve</w:t>
            </w:r>
          </w:p>
          <w:p w14:paraId="4DA34FAF" w14:textId="77777777" w:rsidR="00835192" w:rsidRPr="00FF756A" w:rsidRDefault="00835192" w:rsidP="00835192">
            <w:pPr>
              <w:spacing w:after="0"/>
              <w:rPr>
                <w:i/>
                <w:iCs/>
                <w:sz w:val="20"/>
                <w:szCs w:val="20"/>
              </w:rPr>
            </w:pPr>
            <w:r w:rsidRPr="00FF756A">
              <w:rPr>
                <w:i/>
                <w:iCs/>
                <w:sz w:val="20"/>
                <w:szCs w:val="20"/>
              </w:rPr>
              <w:t xml:space="preserve">Planifikimi urban: </w:t>
            </w:r>
          </w:p>
          <w:p w14:paraId="0D34C73E" w14:textId="77777777" w:rsidR="00835192" w:rsidRPr="00FF756A" w:rsidDel="00D2163C" w:rsidRDefault="00835192" w:rsidP="008639B2">
            <w:pPr>
              <w:numPr>
                <w:ilvl w:val="0"/>
                <w:numId w:val="71"/>
              </w:numPr>
              <w:spacing w:before="0"/>
              <w:ind w:left="714" w:hanging="357"/>
              <w:contextualSpacing/>
              <w:rPr>
                <w:sz w:val="20"/>
                <w:szCs w:val="20"/>
              </w:rPr>
            </w:pPr>
            <w:r w:rsidRPr="00FF756A">
              <w:rPr>
                <w:i/>
                <w:iCs/>
                <w:sz w:val="20"/>
                <w:szCs w:val="20"/>
              </w:rPr>
              <w:t xml:space="preserve">Reduktimi i nevojave për lëvizshmërinë dhe distancave me anë të planifikimit të integruar </w:t>
            </w:r>
          </w:p>
        </w:tc>
        <w:tc>
          <w:tcPr>
            <w:tcW w:w="545" w:type="pct"/>
          </w:tcPr>
          <w:p w14:paraId="3CCC40C2" w14:textId="77777777" w:rsidR="00835192" w:rsidRPr="00FF756A" w:rsidRDefault="00835192" w:rsidP="00835192">
            <w:pPr>
              <w:spacing w:before="0" w:after="0" w:line="240" w:lineRule="auto"/>
              <w:rPr>
                <w:i/>
                <w:iCs/>
                <w:sz w:val="20"/>
                <w:szCs w:val="20"/>
              </w:rPr>
            </w:pPr>
            <w:r w:rsidRPr="00FF756A">
              <w:rPr>
                <w:i/>
                <w:iCs/>
                <w:sz w:val="20"/>
                <w:szCs w:val="20"/>
              </w:rPr>
              <w:br/>
              <w:t xml:space="preserve">brenda vitit 2025 </w:t>
            </w:r>
          </w:p>
          <w:p w14:paraId="02DD24E7" w14:textId="77777777" w:rsidR="00835192" w:rsidRPr="00FF756A" w:rsidRDefault="00835192" w:rsidP="00835192">
            <w:pPr>
              <w:spacing w:before="0" w:after="0" w:line="240" w:lineRule="auto"/>
              <w:rPr>
                <w:i/>
                <w:iCs/>
                <w:sz w:val="20"/>
                <w:szCs w:val="20"/>
              </w:rPr>
            </w:pPr>
          </w:p>
          <w:p w14:paraId="78DD5DE6" w14:textId="77777777" w:rsidR="00835192" w:rsidRPr="00FF756A" w:rsidRDefault="00835192" w:rsidP="00835192">
            <w:pPr>
              <w:spacing w:before="0" w:after="0" w:line="240" w:lineRule="auto"/>
              <w:rPr>
                <w:i/>
                <w:iCs/>
                <w:sz w:val="20"/>
                <w:szCs w:val="20"/>
              </w:rPr>
            </w:pPr>
          </w:p>
          <w:p w14:paraId="5F68324C" w14:textId="77777777" w:rsidR="00835192" w:rsidRPr="00FF756A" w:rsidRDefault="00835192" w:rsidP="00835192">
            <w:pPr>
              <w:spacing w:before="0" w:after="0" w:line="240" w:lineRule="auto"/>
              <w:rPr>
                <w:i/>
                <w:iCs/>
                <w:sz w:val="20"/>
                <w:szCs w:val="20"/>
              </w:rPr>
            </w:pPr>
          </w:p>
          <w:p w14:paraId="3B5E7430" w14:textId="77777777" w:rsidR="00835192" w:rsidRPr="00FF756A" w:rsidRDefault="00835192" w:rsidP="00835192">
            <w:pPr>
              <w:spacing w:before="0" w:after="0" w:line="240" w:lineRule="auto"/>
              <w:rPr>
                <w:i/>
                <w:iCs/>
                <w:sz w:val="20"/>
                <w:szCs w:val="20"/>
              </w:rPr>
            </w:pPr>
            <w:r w:rsidRPr="00FF756A">
              <w:rPr>
                <w:i/>
                <w:iCs/>
                <w:sz w:val="20"/>
                <w:szCs w:val="20"/>
              </w:rPr>
              <w:t>brenda vitit 2025</w:t>
            </w:r>
          </w:p>
          <w:p w14:paraId="319C2277" w14:textId="77777777" w:rsidR="00835192" w:rsidRPr="00FF756A" w:rsidRDefault="00835192" w:rsidP="00835192">
            <w:pPr>
              <w:spacing w:before="0" w:after="0" w:line="240" w:lineRule="auto"/>
              <w:rPr>
                <w:i/>
                <w:iCs/>
                <w:sz w:val="20"/>
                <w:szCs w:val="20"/>
              </w:rPr>
            </w:pPr>
          </w:p>
          <w:p w14:paraId="4DE2FE94" w14:textId="77777777" w:rsidR="00835192" w:rsidRPr="00FF756A" w:rsidRDefault="00835192" w:rsidP="00835192">
            <w:pPr>
              <w:spacing w:before="0" w:after="0" w:line="240" w:lineRule="auto"/>
              <w:rPr>
                <w:i/>
                <w:iCs/>
                <w:sz w:val="20"/>
                <w:szCs w:val="20"/>
              </w:rPr>
            </w:pPr>
          </w:p>
          <w:p w14:paraId="184D5B52" w14:textId="77777777" w:rsidR="00835192" w:rsidRPr="00FF756A" w:rsidRDefault="00835192" w:rsidP="00835192">
            <w:pPr>
              <w:spacing w:before="0" w:after="0" w:line="240" w:lineRule="auto"/>
              <w:rPr>
                <w:i/>
                <w:iCs/>
                <w:sz w:val="20"/>
                <w:szCs w:val="20"/>
              </w:rPr>
            </w:pPr>
            <w:r w:rsidRPr="00FF756A">
              <w:rPr>
                <w:i/>
                <w:iCs/>
                <w:sz w:val="20"/>
                <w:szCs w:val="20"/>
              </w:rPr>
              <w:t>brenda vitit 2025</w:t>
            </w:r>
          </w:p>
          <w:p w14:paraId="6AB50D50" w14:textId="77777777" w:rsidR="00835192" w:rsidRPr="00FF756A" w:rsidRDefault="00835192" w:rsidP="00835192">
            <w:pPr>
              <w:spacing w:before="0" w:after="0" w:line="240" w:lineRule="auto"/>
              <w:rPr>
                <w:i/>
                <w:iCs/>
                <w:sz w:val="20"/>
                <w:szCs w:val="20"/>
              </w:rPr>
            </w:pPr>
          </w:p>
          <w:p w14:paraId="3ECC9C91" w14:textId="77777777" w:rsidR="00835192" w:rsidRPr="00FF756A" w:rsidRDefault="00835192" w:rsidP="00835192">
            <w:pPr>
              <w:spacing w:before="0" w:after="0" w:line="240" w:lineRule="auto"/>
              <w:rPr>
                <w:i/>
                <w:iCs/>
                <w:sz w:val="20"/>
                <w:szCs w:val="20"/>
              </w:rPr>
            </w:pPr>
          </w:p>
          <w:p w14:paraId="4A9F2CBC" w14:textId="77777777" w:rsidR="00835192" w:rsidRPr="00FF756A" w:rsidRDefault="00835192" w:rsidP="00835192">
            <w:pPr>
              <w:spacing w:before="0" w:after="0" w:line="240" w:lineRule="auto"/>
              <w:rPr>
                <w:i/>
                <w:iCs/>
                <w:sz w:val="20"/>
                <w:szCs w:val="20"/>
              </w:rPr>
            </w:pPr>
          </w:p>
          <w:p w14:paraId="5783FBC4" w14:textId="77777777" w:rsidR="00835192" w:rsidRPr="00FF756A" w:rsidRDefault="00835192" w:rsidP="00835192">
            <w:pPr>
              <w:spacing w:before="0" w:after="0" w:line="240" w:lineRule="auto"/>
              <w:rPr>
                <w:i/>
                <w:iCs/>
                <w:sz w:val="20"/>
                <w:szCs w:val="20"/>
              </w:rPr>
            </w:pPr>
          </w:p>
          <w:p w14:paraId="7D5E7560" w14:textId="77777777" w:rsidR="00835192" w:rsidRPr="00FF756A" w:rsidRDefault="00835192" w:rsidP="00835192">
            <w:pPr>
              <w:spacing w:before="0" w:after="0" w:line="240" w:lineRule="auto"/>
              <w:rPr>
                <w:i/>
                <w:iCs/>
                <w:sz w:val="20"/>
                <w:szCs w:val="20"/>
              </w:rPr>
            </w:pPr>
            <w:r w:rsidRPr="00FF756A">
              <w:rPr>
                <w:i/>
                <w:iCs/>
                <w:sz w:val="20"/>
                <w:szCs w:val="20"/>
              </w:rPr>
              <w:t>brenda vitit 2026</w:t>
            </w:r>
          </w:p>
          <w:p w14:paraId="2BC9E8A6" w14:textId="77777777" w:rsidR="00835192" w:rsidRPr="00FF756A" w:rsidRDefault="00835192" w:rsidP="00835192">
            <w:pPr>
              <w:spacing w:before="0" w:after="0" w:line="240" w:lineRule="auto"/>
              <w:rPr>
                <w:i/>
                <w:iCs/>
                <w:sz w:val="20"/>
                <w:szCs w:val="20"/>
              </w:rPr>
            </w:pPr>
          </w:p>
          <w:p w14:paraId="7BEEFD0C" w14:textId="77777777" w:rsidR="00835192" w:rsidRPr="00FF756A" w:rsidRDefault="00835192" w:rsidP="00835192">
            <w:pPr>
              <w:spacing w:before="0" w:after="0" w:line="240" w:lineRule="auto"/>
              <w:rPr>
                <w:i/>
                <w:iCs/>
                <w:sz w:val="20"/>
                <w:szCs w:val="20"/>
              </w:rPr>
            </w:pPr>
          </w:p>
          <w:p w14:paraId="1A6E9FE9" w14:textId="77777777" w:rsidR="00835192" w:rsidRPr="00FF756A" w:rsidRDefault="00835192" w:rsidP="00835192">
            <w:pPr>
              <w:spacing w:before="0" w:after="0" w:line="240" w:lineRule="auto"/>
              <w:rPr>
                <w:i/>
                <w:iCs/>
                <w:sz w:val="20"/>
                <w:szCs w:val="20"/>
              </w:rPr>
            </w:pPr>
            <w:r w:rsidRPr="00FF756A">
              <w:rPr>
                <w:i/>
                <w:iCs/>
                <w:sz w:val="20"/>
                <w:szCs w:val="20"/>
              </w:rPr>
              <w:t>brenda vitit 2026</w:t>
            </w:r>
          </w:p>
          <w:p w14:paraId="20F96C83" w14:textId="77777777" w:rsidR="00835192" w:rsidRPr="00FF756A" w:rsidRDefault="00835192" w:rsidP="00835192">
            <w:pPr>
              <w:spacing w:before="0" w:after="0" w:line="240" w:lineRule="auto"/>
              <w:rPr>
                <w:sz w:val="20"/>
                <w:szCs w:val="20"/>
              </w:rPr>
            </w:pPr>
          </w:p>
          <w:p w14:paraId="1BC4A047" w14:textId="77777777" w:rsidR="00835192" w:rsidRPr="00FF756A" w:rsidRDefault="00835192" w:rsidP="00835192">
            <w:pPr>
              <w:spacing w:before="0" w:after="0" w:line="240" w:lineRule="auto"/>
              <w:rPr>
                <w:sz w:val="20"/>
                <w:szCs w:val="20"/>
              </w:rPr>
            </w:pPr>
          </w:p>
        </w:tc>
      </w:tr>
      <w:tr w:rsidR="00835192" w:rsidRPr="00FF756A" w14:paraId="4083CBE7" w14:textId="77777777" w:rsidTr="006A3266">
        <w:trPr>
          <w:trHeight w:val="20"/>
        </w:trPr>
        <w:tc>
          <w:tcPr>
            <w:tcW w:w="1185" w:type="pct"/>
          </w:tcPr>
          <w:p w14:paraId="44C8F807"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3815" w:type="pct"/>
            <w:gridSpan w:val="5"/>
          </w:tcPr>
          <w:p w14:paraId="6CDFF217" w14:textId="77777777" w:rsidR="00835192" w:rsidRPr="00FF756A" w:rsidRDefault="00835192" w:rsidP="00835192">
            <w:pPr>
              <w:spacing w:before="20" w:after="20" w:line="240" w:lineRule="auto"/>
              <w:rPr>
                <w:i/>
                <w:iCs/>
                <w:sz w:val="20"/>
                <w:szCs w:val="20"/>
              </w:rPr>
            </w:pPr>
            <w:r w:rsidRPr="00FF756A">
              <w:rPr>
                <w:i/>
                <w:iCs/>
                <w:sz w:val="20"/>
                <w:szCs w:val="20"/>
              </w:rPr>
              <w:t xml:space="preserve">Nuk disponohet buxhet specifik. </w:t>
            </w:r>
          </w:p>
          <w:p w14:paraId="66575C7B" w14:textId="77777777" w:rsidR="00835192" w:rsidRPr="00FF756A" w:rsidRDefault="00835192" w:rsidP="00835192">
            <w:pPr>
              <w:spacing w:before="20" w:after="20" w:line="240" w:lineRule="auto"/>
              <w:rPr>
                <w:i/>
                <w:iCs/>
                <w:sz w:val="20"/>
                <w:szCs w:val="20"/>
              </w:rPr>
            </w:pPr>
            <w:r w:rsidRPr="00FF756A">
              <w:rPr>
                <w:i/>
                <w:iCs/>
                <w:sz w:val="20"/>
                <w:szCs w:val="20"/>
              </w:rPr>
              <w:t>Buxheti total i parashikuar për investimet në sektorin e transportit për një periudhë 20-vjeçare (2019-2038) është 4888,03 milionë euro. Nga këto, 4458,53 milionë euro janë të destinuara për projekte të zhvilluara nga sektori publik, ndërsa 429,5 milionë euro janë investime private.</w:t>
            </w:r>
          </w:p>
        </w:tc>
      </w:tr>
      <w:tr w:rsidR="00835192" w:rsidRPr="00FF756A" w14:paraId="459207DE" w14:textId="77777777" w:rsidTr="006A3266">
        <w:trPr>
          <w:trHeight w:val="20"/>
        </w:trPr>
        <w:tc>
          <w:tcPr>
            <w:tcW w:w="1185" w:type="pct"/>
          </w:tcPr>
          <w:p w14:paraId="1B322201"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Subjekti zbatues</w:t>
            </w:r>
          </w:p>
          <w:p w14:paraId="6D4F45F8"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3815" w:type="pct"/>
            <w:gridSpan w:val="5"/>
          </w:tcPr>
          <w:p w14:paraId="153C317C"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Drejtoria e Përgjithshme e Shërbimeve të Transportit Rrugor; shoqëritë operatore të transportit ndërqytetës me autobusë; agjencitë e udhëtimit. Autoriteti Rrugor Shqiptar; Agjencia për mbështetjen e vetëqeverisjes vendore/Bashkitë</w:t>
            </w:r>
          </w:p>
          <w:p w14:paraId="41431539" w14:textId="77777777" w:rsidR="00835192" w:rsidRPr="00FF756A" w:rsidRDefault="00835192" w:rsidP="00835192">
            <w:pPr>
              <w:spacing w:before="20" w:after="20" w:line="240" w:lineRule="auto"/>
              <w:rPr>
                <w:i/>
                <w:iCs/>
                <w:sz w:val="20"/>
                <w:szCs w:val="20"/>
              </w:rPr>
            </w:pPr>
            <w:r w:rsidRPr="00FF756A">
              <w:rPr>
                <w:i/>
                <w:iCs/>
                <w:sz w:val="20"/>
                <w:szCs w:val="20"/>
              </w:rPr>
              <w:t xml:space="preserve">Task-Forca </w:t>
            </w:r>
          </w:p>
        </w:tc>
      </w:tr>
      <w:tr w:rsidR="00835192" w:rsidRPr="00FF756A" w14:paraId="4EFE6D9F" w14:textId="77777777" w:rsidTr="006A3266">
        <w:trPr>
          <w:trHeight w:val="20"/>
        </w:trPr>
        <w:tc>
          <w:tcPr>
            <w:tcW w:w="1185" w:type="pct"/>
          </w:tcPr>
          <w:p w14:paraId="0E44B987"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3815" w:type="pct"/>
            <w:gridSpan w:val="5"/>
          </w:tcPr>
          <w:p w14:paraId="7D8E1667" w14:textId="77777777" w:rsidR="00835192" w:rsidRPr="00FF756A" w:rsidRDefault="00835192" w:rsidP="00835192">
            <w:pPr>
              <w:spacing w:before="20" w:after="20" w:line="240" w:lineRule="auto"/>
              <w:rPr>
                <w:i/>
                <w:iCs/>
                <w:sz w:val="20"/>
                <w:szCs w:val="20"/>
              </w:rPr>
            </w:pPr>
            <w:r w:rsidRPr="00FF756A">
              <w:rPr>
                <w:i/>
                <w:iCs/>
                <w:sz w:val="20"/>
                <w:szCs w:val="20"/>
              </w:rPr>
              <w:t>Efiçenca e energjisë</w:t>
            </w:r>
          </w:p>
        </w:tc>
      </w:tr>
    </w:tbl>
    <w:p w14:paraId="11C03E83" w14:textId="77777777" w:rsidR="00835192" w:rsidRPr="00FF756A" w:rsidRDefault="00835192" w:rsidP="00835192"/>
    <w:tbl>
      <w:tblPr>
        <w:tblStyle w:val="TableGrid"/>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7"/>
        <w:gridCol w:w="953"/>
        <w:gridCol w:w="598"/>
        <w:gridCol w:w="428"/>
        <w:gridCol w:w="3054"/>
        <w:gridCol w:w="1512"/>
      </w:tblGrid>
      <w:tr w:rsidR="00835192" w:rsidRPr="00FF756A" w14:paraId="3F1B0C93" w14:textId="77777777" w:rsidTr="004A3257">
        <w:trPr>
          <w:trHeight w:val="20"/>
        </w:trPr>
        <w:tc>
          <w:tcPr>
            <w:tcW w:w="2481" w:type="pct"/>
            <w:gridSpan w:val="4"/>
            <w:shd w:val="clear" w:color="auto" w:fill="E2EFD9" w:themeFill="accent6" w:themeFillTint="33"/>
          </w:tcPr>
          <w:p w14:paraId="172AE196" w14:textId="77777777" w:rsidR="00835192" w:rsidRPr="00FF756A" w:rsidRDefault="00835192" w:rsidP="00835192">
            <w:pPr>
              <w:spacing w:before="20" w:after="20" w:line="240" w:lineRule="auto"/>
              <w:jc w:val="right"/>
              <w:rPr>
                <w:b/>
                <w:bCs/>
                <w:sz w:val="20"/>
                <w:szCs w:val="20"/>
              </w:rPr>
            </w:pPr>
            <w:bookmarkStart w:id="334" w:name="_Hlk174613141"/>
            <w:r w:rsidRPr="00FF756A">
              <w:rPr>
                <w:b/>
                <w:bCs/>
                <w:sz w:val="20"/>
                <w:szCs w:val="20"/>
              </w:rPr>
              <w:t>Dimensioni i energjisë</w:t>
            </w:r>
          </w:p>
        </w:tc>
        <w:tc>
          <w:tcPr>
            <w:tcW w:w="2519" w:type="pct"/>
            <w:gridSpan w:val="2"/>
            <w:shd w:val="clear" w:color="auto" w:fill="E2EFD9" w:themeFill="accent6" w:themeFillTint="33"/>
          </w:tcPr>
          <w:p w14:paraId="631D0198" w14:textId="77777777" w:rsidR="00835192" w:rsidRPr="00FF756A" w:rsidRDefault="00835192" w:rsidP="008639B2">
            <w:pPr>
              <w:numPr>
                <w:ilvl w:val="0"/>
                <w:numId w:val="78"/>
              </w:numPr>
              <w:spacing w:before="20" w:after="20" w:line="240" w:lineRule="auto"/>
              <w:contextualSpacing/>
              <w:rPr>
                <w:i/>
                <w:iCs/>
                <w:sz w:val="20"/>
                <w:szCs w:val="20"/>
              </w:rPr>
            </w:pPr>
            <w:r w:rsidRPr="00FF756A">
              <w:rPr>
                <w:i/>
                <w:iCs/>
                <w:sz w:val="20"/>
                <w:szCs w:val="20"/>
              </w:rPr>
              <w:t>Dekarbonizimi</w:t>
            </w:r>
          </w:p>
          <w:p w14:paraId="6AD316B5" w14:textId="5735D9A5" w:rsidR="00835192" w:rsidRPr="00FF756A" w:rsidRDefault="00835192" w:rsidP="004A3257">
            <w:pPr>
              <w:spacing w:before="20" w:after="20" w:line="240" w:lineRule="auto"/>
              <w:contextualSpacing/>
              <w:rPr>
                <w:i/>
                <w:iCs/>
                <w:sz w:val="20"/>
                <w:szCs w:val="20"/>
              </w:rPr>
            </w:pPr>
            <w:r w:rsidRPr="00FF756A">
              <w:rPr>
                <w:i/>
                <w:iCs/>
                <w:sz w:val="20"/>
                <w:szCs w:val="20"/>
              </w:rPr>
              <w:t>Shkarkimet dhe eliminimi i GES-ve</w:t>
            </w:r>
          </w:p>
        </w:tc>
      </w:tr>
      <w:tr w:rsidR="00835192" w:rsidRPr="00FF756A" w14:paraId="5F28F43C" w14:textId="77777777" w:rsidTr="004A3257">
        <w:trPr>
          <w:trHeight w:val="20"/>
        </w:trPr>
        <w:tc>
          <w:tcPr>
            <w:tcW w:w="2245" w:type="pct"/>
            <w:gridSpan w:val="3"/>
            <w:shd w:val="clear" w:color="auto" w:fill="E2EFD9" w:themeFill="accent6" w:themeFillTint="33"/>
          </w:tcPr>
          <w:p w14:paraId="0BBE2FC2"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2755" w:type="pct"/>
            <w:gridSpan w:val="3"/>
            <w:shd w:val="clear" w:color="auto" w:fill="E2EFD9" w:themeFill="accent6" w:themeFillTint="33"/>
          </w:tcPr>
          <w:p w14:paraId="1A3ADC7A" w14:textId="77777777" w:rsidR="00835192" w:rsidRPr="00FF756A" w:rsidRDefault="00835192" w:rsidP="00835192">
            <w:pPr>
              <w:spacing w:before="20" w:after="20" w:line="240" w:lineRule="auto"/>
              <w:rPr>
                <w:i/>
                <w:iCs/>
                <w:sz w:val="20"/>
                <w:szCs w:val="20"/>
              </w:rPr>
            </w:pPr>
            <w:r w:rsidRPr="00FF756A">
              <w:rPr>
                <w:i/>
                <w:iCs/>
                <w:sz w:val="20"/>
                <w:szCs w:val="20"/>
              </w:rPr>
              <w:t>Transporti</w:t>
            </w:r>
          </w:p>
        </w:tc>
      </w:tr>
      <w:tr w:rsidR="00835192" w:rsidRPr="00FF756A" w14:paraId="4B6BBF55" w14:textId="77777777" w:rsidTr="004A3257">
        <w:trPr>
          <w:trHeight w:val="20"/>
        </w:trPr>
        <w:tc>
          <w:tcPr>
            <w:tcW w:w="1915" w:type="pct"/>
            <w:gridSpan w:val="2"/>
          </w:tcPr>
          <w:p w14:paraId="412E7950"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2EF0D1E6"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3085" w:type="pct"/>
            <w:gridSpan w:val="4"/>
          </w:tcPr>
          <w:p w14:paraId="67B1243E" w14:textId="77777777" w:rsidR="00835192" w:rsidRPr="00FF756A" w:rsidRDefault="00835192" w:rsidP="00835192">
            <w:pPr>
              <w:spacing w:before="20" w:after="20" w:line="240" w:lineRule="auto"/>
              <w:rPr>
                <w:i/>
                <w:iCs/>
                <w:sz w:val="20"/>
                <w:szCs w:val="20"/>
              </w:rPr>
            </w:pPr>
            <w:r w:rsidRPr="00FF756A">
              <w:rPr>
                <w:i/>
                <w:iCs/>
                <w:sz w:val="20"/>
                <w:szCs w:val="20"/>
              </w:rPr>
              <w:t>WAM</w:t>
            </w:r>
          </w:p>
          <w:p w14:paraId="11C84780"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75698C4E" w14:textId="77777777" w:rsidTr="004A3257">
        <w:trPr>
          <w:trHeight w:val="20"/>
        </w:trPr>
        <w:tc>
          <w:tcPr>
            <w:tcW w:w="1389" w:type="pct"/>
          </w:tcPr>
          <w:p w14:paraId="7F9804CE"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05FD4661"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3611" w:type="pct"/>
            <w:gridSpan w:val="5"/>
          </w:tcPr>
          <w:p w14:paraId="6081AE4F" w14:textId="77777777" w:rsidR="00835192" w:rsidRPr="00FF756A" w:rsidRDefault="00835192" w:rsidP="00835192">
            <w:pPr>
              <w:spacing w:before="20" w:after="20" w:line="240" w:lineRule="auto"/>
              <w:rPr>
                <w:i/>
                <w:iCs/>
                <w:sz w:val="20"/>
                <w:szCs w:val="20"/>
              </w:rPr>
            </w:pPr>
            <w:r w:rsidRPr="00FF756A">
              <w:rPr>
                <w:i/>
                <w:iCs/>
                <w:sz w:val="20"/>
                <w:szCs w:val="20"/>
              </w:rPr>
              <w:t>Menaxhimi i integruar i transportit të mallrave</w:t>
            </w:r>
          </w:p>
          <w:p w14:paraId="6A08F9F1" w14:textId="77777777" w:rsidR="00835192" w:rsidRPr="00FF756A" w:rsidRDefault="00835192" w:rsidP="00835192">
            <w:pPr>
              <w:spacing w:before="20" w:after="20" w:line="240" w:lineRule="auto"/>
              <w:rPr>
                <w:i/>
                <w:iCs/>
                <w:sz w:val="20"/>
                <w:szCs w:val="20"/>
              </w:rPr>
            </w:pPr>
            <w:r w:rsidRPr="00FF756A">
              <w:rPr>
                <w:i/>
                <w:iCs/>
                <w:sz w:val="20"/>
                <w:szCs w:val="20"/>
              </w:rPr>
              <w:t>(G-T2)</w:t>
            </w:r>
          </w:p>
        </w:tc>
      </w:tr>
      <w:tr w:rsidR="00835192" w:rsidRPr="00FF756A" w14:paraId="0153F003" w14:textId="77777777" w:rsidTr="004A3257">
        <w:trPr>
          <w:trHeight w:val="20"/>
        </w:trPr>
        <w:tc>
          <w:tcPr>
            <w:tcW w:w="1389" w:type="pct"/>
          </w:tcPr>
          <w:p w14:paraId="6D3892E8"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3611" w:type="pct"/>
            <w:gridSpan w:val="5"/>
          </w:tcPr>
          <w:p w14:paraId="2E68B0D0" w14:textId="77777777" w:rsidR="00835192" w:rsidRPr="00FF756A" w:rsidRDefault="00835192" w:rsidP="00835192">
            <w:pPr>
              <w:spacing w:before="20" w:after="20" w:line="240" w:lineRule="auto"/>
              <w:rPr>
                <w:i/>
                <w:iCs/>
                <w:sz w:val="20"/>
                <w:szCs w:val="20"/>
              </w:rPr>
            </w:pPr>
            <w:r w:rsidRPr="00FF756A">
              <w:rPr>
                <w:i/>
                <w:iCs/>
                <w:sz w:val="20"/>
                <w:szCs w:val="20"/>
              </w:rPr>
              <w:t>2020 – 2025</w:t>
            </w:r>
          </w:p>
        </w:tc>
      </w:tr>
      <w:tr w:rsidR="00835192" w:rsidRPr="00FF756A" w14:paraId="1EF7FB84" w14:textId="77777777" w:rsidTr="004A3257">
        <w:trPr>
          <w:trHeight w:val="20"/>
        </w:trPr>
        <w:tc>
          <w:tcPr>
            <w:tcW w:w="1389" w:type="pct"/>
          </w:tcPr>
          <w:p w14:paraId="0C2B4B68"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3611" w:type="pct"/>
            <w:gridSpan w:val="5"/>
          </w:tcPr>
          <w:p w14:paraId="73F87D9E" w14:textId="77777777" w:rsidR="00835192" w:rsidRPr="00FF756A" w:rsidRDefault="00835192" w:rsidP="00835192">
            <w:pPr>
              <w:spacing w:before="20" w:after="20" w:line="240" w:lineRule="auto"/>
              <w:rPr>
                <w:i/>
                <w:iCs/>
                <w:sz w:val="20"/>
                <w:szCs w:val="20"/>
              </w:rPr>
            </w:pPr>
            <w:r w:rsidRPr="00FF756A">
              <w:rPr>
                <w:i/>
                <w:iCs/>
                <w:sz w:val="20"/>
                <w:szCs w:val="20"/>
              </w:rPr>
              <w:t xml:space="preserve">VKM nr. 811, datë 16.11.2016, “Për miratimin e strategjisë sektoriale të transportit dhe planit të veprimit 2016–2020”  </w:t>
            </w:r>
          </w:p>
        </w:tc>
      </w:tr>
      <w:tr w:rsidR="00835192" w:rsidRPr="00FF756A" w14:paraId="72DECEA2" w14:textId="77777777" w:rsidTr="004A3257">
        <w:trPr>
          <w:trHeight w:val="20"/>
        </w:trPr>
        <w:tc>
          <w:tcPr>
            <w:tcW w:w="1389" w:type="pct"/>
          </w:tcPr>
          <w:p w14:paraId="2A78C268"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3611" w:type="pct"/>
            <w:gridSpan w:val="5"/>
          </w:tcPr>
          <w:p w14:paraId="75C6E63F" w14:textId="77777777" w:rsidR="00835192" w:rsidRPr="00FF756A" w:rsidRDefault="00835192" w:rsidP="00835192">
            <w:pPr>
              <w:spacing w:before="20" w:after="20" w:line="240" w:lineRule="auto"/>
              <w:rPr>
                <w:i/>
                <w:iCs/>
                <w:sz w:val="20"/>
                <w:szCs w:val="20"/>
              </w:rPr>
            </w:pPr>
            <w:r w:rsidRPr="00FF756A">
              <w:rPr>
                <w:i/>
                <w:iCs/>
                <w:sz w:val="20"/>
                <w:szCs w:val="20"/>
              </w:rPr>
              <w:t xml:space="preserve">Në dokumentin e sipërpërmendur, specifikohen veprimet e mëposhtme:  </w:t>
            </w:r>
          </w:p>
          <w:p w14:paraId="6A7BF040" w14:textId="77777777" w:rsidR="00835192" w:rsidRPr="00FF756A" w:rsidRDefault="00835192" w:rsidP="008639B2">
            <w:pPr>
              <w:numPr>
                <w:ilvl w:val="0"/>
                <w:numId w:val="77"/>
              </w:numPr>
              <w:spacing w:before="20" w:after="20" w:line="240" w:lineRule="auto"/>
              <w:contextualSpacing/>
              <w:rPr>
                <w:i/>
                <w:iCs/>
                <w:sz w:val="20"/>
                <w:szCs w:val="20"/>
              </w:rPr>
            </w:pPr>
            <w:r w:rsidRPr="00FF756A">
              <w:rPr>
                <w:i/>
                <w:iCs/>
                <w:sz w:val="20"/>
                <w:szCs w:val="20"/>
              </w:rPr>
              <w:t xml:space="preserve">Reduktimi i peshës </w:t>
            </w:r>
          </w:p>
          <w:p w14:paraId="2FBCC0B6" w14:textId="77777777" w:rsidR="00835192" w:rsidRPr="00FF756A" w:rsidRDefault="00835192" w:rsidP="008639B2">
            <w:pPr>
              <w:numPr>
                <w:ilvl w:val="0"/>
                <w:numId w:val="77"/>
              </w:numPr>
              <w:spacing w:before="20" w:after="20" w:line="240" w:lineRule="auto"/>
              <w:contextualSpacing/>
              <w:rPr>
                <w:i/>
                <w:iCs/>
                <w:sz w:val="20"/>
                <w:szCs w:val="20"/>
              </w:rPr>
            </w:pPr>
            <w:r w:rsidRPr="00FF756A">
              <w:rPr>
                <w:i/>
                <w:iCs/>
                <w:sz w:val="20"/>
                <w:szCs w:val="20"/>
              </w:rPr>
              <w:t>Përdorimi i automjeteve me performancë të përmirësuar energjetike.</w:t>
            </w:r>
          </w:p>
          <w:p w14:paraId="7739CA73" w14:textId="77777777" w:rsidR="00835192" w:rsidRPr="00FF756A" w:rsidRDefault="00835192" w:rsidP="008639B2">
            <w:pPr>
              <w:numPr>
                <w:ilvl w:val="0"/>
                <w:numId w:val="77"/>
              </w:numPr>
              <w:spacing w:before="20" w:after="20" w:line="240" w:lineRule="auto"/>
              <w:contextualSpacing/>
              <w:rPr>
                <w:i/>
                <w:iCs/>
                <w:sz w:val="20"/>
                <w:szCs w:val="20"/>
              </w:rPr>
            </w:pPr>
            <w:r w:rsidRPr="00FF756A">
              <w:rPr>
                <w:i/>
                <w:iCs/>
                <w:sz w:val="20"/>
                <w:szCs w:val="20"/>
              </w:rPr>
              <w:t xml:space="preserve">Goma më efikase  </w:t>
            </w:r>
          </w:p>
          <w:p w14:paraId="7F1890CA" w14:textId="77777777" w:rsidR="00835192" w:rsidRPr="00FF756A" w:rsidRDefault="00835192" w:rsidP="008639B2">
            <w:pPr>
              <w:numPr>
                <w:ilvl w:val="0"/>
                <w:numId w:val="77"/>
              </w:numPr>
              <w:spacing w:before="20" w:after="20" w:line="240" w:lineRule="auto"/>
              <w:contextualSpacing/>
              <w:rPr>
                <w:i/>
                <w:iCs/>
                <w:sz w:val="20"/>
                <w:szCs w:val="20"/>
              </w:rPr>
            </w:pPr>
            <w:r w:rsidRPr="00FF756A">
              <w:rPr>
                <w:i/>
                <w:iCs/>
                <w:sz w:val="20"/>
                <w:szCs w:val="20"/>
              </w:rPr>
              <w:t>Përmirësimi i sistemit të mirëmbajtjes së kamionëve me qëllim reduktimin e niveleve të ndotjes.</w:t>
            </w:r>
          </w:p>
          <w:p w14:paraId="6C778EB0" w14:textId="77777777" w:rsidR="00835192" w:rsidRPr="00FF756A" w:rsidRDefault="00835192" w:rsidP="008639B2">
            <w:pPr>
              <w:numPr>
                <w:ilvl w:val="0"/>
                <w:numId w:val="77"/>
              </w:numPr>
              <w:spacing w:before="20" w:after="20" w:line="240" w:lineRule="auto"/>
              <w:contextualSpacing/>
              <w:rPr>
                <w:i/>
                <w:iCs/>
                <w:sz w:val="20"/>
                <w:szCs w:val="20"/>
              </w:rPr>
            </w:pPr>
            <w:r w:rsidRPr="00FF756A">
              <w:rPr>
                <w:i/>
                <w:iCs/>
                <w:sz w:val="20"/>
                <w:szCs w:val="20"/>
              </w:rPr>
              <w:t>Krijimi i një sistemi taksash dhe tarifash për nxitjen e transportit efikas të mallrave.</w:t>
            </w:r>
          </w:p>
          <w:p w14:paraId="41A9F923" w14:textId="77777777" w:rsidR="00835192" w:rsidRPr="00FF756A" w:rsidRDefault="00835192" w:rsidP="008639B2">
            <w:pPr>
              <w:numPr>
                <w:ilvl w:val="0"/>
                <w:numId w:val="77"/>
              </w:numPr>
              <w:spacing w:before="20" w:after="20" w:line="240" w:lineRule="auto"/>
              <w:contextualSpacing/>
              <w:rPr>
                <w:i/>
                <w:iCs/>
                <w:sz w:val="20"/>
                <w:szCs w:val="20"/>
              </w:rPr>
            </w:pPr>
            <w:r w:rsidRPr="00FF756A">
              <w:rPr>
                <w:i/>
                <w:iCs/>
                <w:sz w:val="20"/>
                <w:szCs w:val="20"/>
              </w:rPr>
              <w:t>Përmirësimi i trajnimit të drejtuesve të mjeteve për rritjen e aftësive drejtuese</w:t>
            </w:r>
          </w:p>
          <w:p w14:paraId="30C78FA7" w14:textId="77777777" w:rsidR="00835192" w:rsidRPr="00FF756A" w:rsidRDefault="00835192" w:rsidP="00835192">
            <w:pPr>
              <w:spacing w:before="20" w:after="20" w:line="240" w:lineRule="auto"/>
              <w:rPr>
                <w:i/>
                <w:iCs/>
                <w:sz w:val="20"/>
                <w:szCs w:val="20"/>
              </w:rPr>
            </w:pPr>
            <w:r w:rsidRPr="00FF756A">
              <w:rPr>
                <w:i/>
                <w:iCs/>
                <w:sz w:val="20"/>
                <w:szCs w:val="20"/>
              </w:rPr>
              <w:t xml:space="preserve">Zbatimi i strategjisë dhe planit të veprimit është ende në pritje. </w:t>
            </w:r>
          </w:p>
        </w:tc>
      </w:tr>
      <w:tr w:rsidR="00835192" w:rsidRPr="00FF756A" w14:paraId="3F8D6FD5" w14:textId="77777777" w:rsidTr="004A3257">
        <w:trPr>
          <w:trHeight w:val="20"/>
        </w:trPr>
        <w:tc>
          <w:tcPr>
            <w:tcW w:w="1389" w:type="pct"/>
          </w:tcPr>
          <w:p w14:paraId="68AA1C4D"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3611" w:type="pct"/>
            <w:gridSpan w:val="5"/>
          </w:tcPr>
          <w:p w14:paraId="610CB520" w14:textId="77777777" w:rsidR="00835192" w:rsidRPr="00FF756A" w:rsidRDefault="00835192" w:rsidP="00835192">
            <w:pPr>
              <w:spacing w:before="20" w:after="20" w:line="240" w:lineRule="auto"/>
              <w:rPr>
                <w:i/>
                <w:iCs/>
                <w:sz w:val="20"/>
                <w:szCs w:val="20"/>
              </w:rPr>
            </w:pPr>
            <w:r w:rsidRPr="00FF756A">
              <w:rPr>
                <w:i/>
                <w:iCs/>
                <w:sz w:val="20"/>
                <w:szCs w:val="20"/>
              </w:rPr>
              <w:t>Objektivat kryesore sipas Strategjisë Kombëtare të Energjisë përfshijnë një skenar transporti aktiv dhe synojnë reduktimin me 10% të intensitetit të energjisë në sektorin e transportit. Objektivat: Reduktimi i kostove të logjistikës. Reduktimi i trafikut rrugor dhe bllokimit të trafikut.</w:t>
            </w:r>
          </w:p>
        </w:tc>
      </w:tr>
      <w:tr w:rsidR="00835192" w:rsidRPr="00FF756A" w14:paraId="657B1C31" w14:textId="77777777" w:rsidTr="004A3257">
        <w:trPr>
          <w:trHeight w:val="20"/>
        </w:trPr>
        <w:tc>
          <w:tcPr>
            <w:tcW w:w="1389" w:type="pct"/>
          </w:tcPr>
          <w:p w14:paraId="300804BD"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3611" w:type="pct"/>
            <w:gridSpan w:val="5"/>
          </w:tcPr>
          <w:p w14:paraId="3EAA8FA4"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Integrimi i transportit rrugor, hekurudhor, detar dhe ajror në transportin e mallrave (afatmesëm, 5-8 vite)</w:t>
            </w:r>
          </w:p>
          <w:p w14:paraId="30555D4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Rritja e efikasitetit të transportit të mallrave</w:t>
            </w:r>
          </w:p>
          <w:p w14:paraId="55E7FFF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Reduktimi i kohës së transitit dhe kostove të transportit përgjatë zinxhirit të transportit të mallrave nëpërmjet marrëveshjeve të bashkëpunimit me vendet fqinje.</w:t>
            </w:r>
          </w:p>
          <w:p w14:paraId="4053E07A"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Reduktimi i bllokimit të trafikut në rrjetin rrugor kombëtar</w:t>
            </w:r>
          </w:p>
          <w:p w14:paraId="6CD78D2C"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Reduktimi i konsumit të energjisë (ton/km)</w:t>
            </w:r>
          </w:p>
          <w:p w14:paraId="244FBD8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Reduktimi i shkarkimeve të CO</w:t>
            </w:r>
            <w:r w:rsidRPr="00FF756A">
              <w:rPr>
                <w:i/>
                <w:iCs/>
                <w:sz w:val="20"/>
                <w:szCs w:val="20"/>
                <w:vertAlign w:val="subscript"/>
              </w:rPr>
              <w:t>2</w:t>
            </w:r>
            <w:r w:rsidRPr="00FF756A">
              <w:rPr>
                <w:i/>
                <w:iCs/>
                <w:sz w:val="20"/>
                <w:szCs w:val="20"/>
              </w:rPr>
              <w:t xml:space="preserve"> </w:t>
            </w:r>
          </w:p>
          <w:p w14:paraId="2227D212"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Reduktimi i konsumit të lëndës djegëse për automjetet dhe kalimi në modalitete transporti më efikase nga pikëpamja e trafikut</w:t>
            </w:r>
          </w:p>
          <w:p w14:paraId="6CB2BC1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Përdorimi i lëndëve djegëse me nivele të ulëta karboni, si biokarburantet e qëndrueshme ose burimet e energjisë elektrike të rinovueshme</w:t>
            </w:r>
          </w:p>
          <w:p w14:paraId="1FE6264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Rritja e investimeve në sektorin e menaxhimit të transportit të mallrave</w:t>
            </w:r>
          </w:p>
          <w:p w14:paraId="5B584C7C"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Reduktimi i kostos së transportit nga origjina deri në destinacionin e mallrave (gjatë zinxhirit të transportit)</w:t>
            </w:r>
          </w:p>
        </w:tc>
      </w:tr>
      <w:tr w:rsidR="00835192" w:rsidRPr="00FF756A" w14:paraId="6B282F72" w14:textId="77777777" w:rsidTr="004A3257">
        <w:trPr>
          <w:trHeight w:val="20"/>
        </w:trPr>
        <w:tc>
          <w:tcPr>
            <w:tcW w:w="1389" w:type="pct"/>
          </w:tcPr>
          <w:p w14:paraId="3EF57A43"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2777" w:type="pct"/>
            <w:gridSpan w:val="4"/>
          </w:tcPr>
          <w:p w14:paraId="6A603CD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Përmirësimi i koeficientit të ngarkesës së automjetit në transportin e mallrave </w:t>
            </w:r>
          </w:p>
          <w:p w14:paraId="090B28E0"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Aplikimi i sistemeve inteligjente të transportit (SIT) </w:t>
            </w:r>
          </w:p>
          <w:p w14:paraId="0C2BDD4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lastRenderedPageBreak/>
              <w:t xml:space="preserve">Integrimi i sistemit të transportit të mallrave me rrjetet e BE-së (sistemet e transportit të mallrave të BE-së) </w:t>
            </w:r>
          </w:p>
          <w:p w14:paraId="09D41C8C"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Krijimi i nyjave intermodale dhe atyre logjistike </w:t>
            </w:r>
          </w:p>
        </w:tc>
        <w:tc>
          <w:tcPr>
            <w:tcW w:w="834" w:type="pct"/>
          </w:tcPr>
          <w:p w14:paraId="2957EC18" w14:textId="77777777" w:rsidR="00835192" w:rsidRPr="00FF756A" w:rsidRDefault="00835192" w:rsidP="00835192">
            <w:pPr>
              <w:spacing w:before="20" w:after="20" w:line="240" w:lineRule="auto"/>
              <w:contextualSpacing/>
              <w:rPr>
                <w:i/>
                <w:iCs/>
                <w:sz w:val="20"/>
                <w:szCs w:val="20"/>
              </w:rPr>
            </w:pPr>
            <w:r w:rsidRPr="00FF756A">
              <w:rPr>
                <w:i/>
                <w:iCs/>
                <w:sz w:val="20"/>
                <w:szCs w:val="20"/>
              </w:rPr>
              <w:lastRenderedPageBreak/>
              <w:t xml:space="preserve">brenda vitit 2025 </w:t>
            </w:r>
          </w:p>
          <w:p w14:paraId="2D092844" w14:textId="77777777" w:rsidR="00835192" w:rsidRPr="00FF756A" w:rsidRDefault="00835192" w:rsidP="00835192">
            <w:pPr>
              <w:spacing w:before="20" w:after="20" w:line="240" w:lineRule="auto"/>
              <w:contextualSpacing/>
              <w:rPr>
                <w:i/>
                <w:iCs/>
                <w:sz w:val="20"/>
                <w:szCs w:val="20"/>
              </w:rPr>
            </w:pPr>
            <w:r w:rsidRPr="00FF756A">
              <w:rPr>
                <w:i/>
                <w:iCs/>
                <w:sz w:val="20"/>
                <w:szCs w:val="20"/>
              </w:rPr>
              <w:t xml:space="preserve">brenda vitit 2025 </w:t>
            </w:r>
          </w:p>
          <w:p w14:paraId="535A807C" w14:textId="77777777" w:rsidR="00835192" w:rsidRPr="00FF756A" w:rsidRDefault="00835192" w:rsidP="00835192">
            <w:pPr>
              <w:spacing w:before="20" w:after="20" w:line="240" w:lineRule="auto"/>
              <w:contextualSpacing/>
              <w:rPr>
                <w:i/>
                <w:iCs/>
                <w:sz w:val="20"/>
                <w:szCs w:val="20"/>
              </w:rPr>
            </w:pPr>
            <w:r w:rsidRPr="00FF756A">
              <w:rPr>
                <w:i/>
                <w:iCs/>
                <w:sz w:val="20"/>
                <w:szCs w:val="20"/>
              </w:rPr>
              <w:lastRenderedPageBreak/>
              <w:t xml:space="preserve">brenda vitit 2028 </w:t>
            </w:r>
          </w:p>
          <w:p w14:paraId="51FFEF56" w14:textId="77777777" w:rsidR="00835192" w:rsidRPr="00FF756A" w:rsidRDefault="00835192" w:rsidP="00835192">
            <w:pPr>
              <w:spacing w:before="20" w:after="20" w:line="240" w:lineRule="auto"/>
              <w:contextualSpacing/>
              <w:rPr>
                <w:i/>
                <w:iCs/>
                <w:sz w:val="20"/>
                <w:szCs w:val="20"/>
              </w:rPr>
            </w:pPr>
          </w:p>
          <w:p w14:paraId="628D8B5C" w14:textId="77777777" w:rsidR="00835192" w:rsidRPr="00FF756A" w:rsidRDefault="00835192" w:rsidP="00835192">
            <w:pPr>
              <w:spacing w:before="20" w:after="20" w:line="240" w:lineRule="auto"/>
              <w:contextualSpacing/>
              <w:rPr>
                <w:i/>
                <w:iCs/>
                <w:sz w:val="20"/>
                <w:szCs w:val="20"/>
              </w:rPr>
            </w:pPr>
            <w:r w:rsidRPr="00FF756A">
              <w:rPr>
                <w:i/>
                <w:iCs/>
                <w:sz w:val="20"/>
                <w:szCs w:val="20"/>
              </w:rPr>
              <w:t>brenda vitit 2028</w:t>
            </w:r>
          </w:p>
        </w:tc>
      </w:tr>
      <w:tr w:rsidR="00835192" w:rsidRPr="00FF756A" w14:paraId="6E702269" w14:textId="77777777" w:rsidTr="004A3257">
        <w:trPr>
          <w:trHeight w:val="20"/>
        </w:trPr>
        <w:tc>
          <w:tcPr>
            <w:tcW w:w="1389" w:type="pct"/>
          </w:tcPr>
          <w:p w14:paraId="7FB11F3F"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Buxheti (burimi i financimit)</w:t>
            </w:r>
          </w:p>
        </w:tc>
        <w:tc>
          <w:tcPr>
            <w:tcW w:w="3611" w:type="pct"/>
            <w:gridSpan w:val="5"/>
          </w:tcPr>
          <w:p w14:paraId="4908B763" w14:textId="77777777" w:rsidR="00835192" w:rsidRPr="00FF756A" w:rsidRDefault="00835192" w:rsidP="00835192">
            <w:pPr>
              <w:spacing w:before="20" w:after="20" w:line="240" w:lineRule="auto"/>
              <w:rPr>
                <w:i/>
                <w:iCs/>
                <w:sz w:val="20"/>
                <w:szCs w:val="20"/>
              </w:rPr>
            </w:pPr>
            <w:r w:rsidRPr="00FF756A">
              <w:rPr>
                <w:i/>
                <w:iCs/>
                <w:sz w:val="20"/>
                <w:szCs w:val="20"/>
              </w:rPr>
              <w:t>Shihni G-T1, nuk disponohet buxhet specifik</w:t>
            </w:r>
          </w:p>
        </w:tc>
      </w:tr>
      <w:tr w:rsidR="00835192" w:rsidRPr="00FF756A" w14:paraId="3A82389A" w14:textId="77777777" w:rsidTr="004A3257">
        <w:trPr>
          <w:trHeight w:val="20"/>
        </w:trPr>
        <w:tc>
          <w:tcPr>
            <w:tcW w:w="1389" w:type="pct"/>
          </w:tcPr>
          <w:p w14:paraId="5EE500FE"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1263EB04"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3611" w:type="pct"/>
            <w:gridSpan w:val="5"/>
          </w:tcPr>
          <w:p w14:paraId="1E3BAAA8"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portet detare shqiptare, Autoriteti Kombëtar i Sigurisë Hekurudhore, doganat shqiptare, Autoriteti Rrugor Shqiptar</w:t>
            </w:r>
          </w:p>
          <w:p w14:paraId="720EBD54"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w:t>
            </w:r>
          </w:p>
        </w:tc>
      </w:tr>
      <w:tr w:rsidR="00835192" w:rsidRPr="00FF756A" w14:paraId="27D676EF" w14:textId="77777777" w:rsidTr="004A3257">
        <w:trPr>
          <w:trHeight w:val="20"/>
        </w:trPr>
        <w:tc>
          <w:tcPr>
            <w:tcW w:w="1389" w:type="pct"/>
          </w:tcPr>
          <w:p w14:paraId="30C233CE"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3611" w:type="pct"/>
            <w:gridSpan w:val="5"/>
          </w:tcPr>
          <w:p w14:paraId="254A20BB" w14:textId="77777777" w:rsidR="00835192" w:rsidRPr="00FF756A" w:rsidRDefault="00835192" w:rsidP="00835192">
            <w:pPr>
              <w:spacing w:before="20" w:after="20" w:line="240" w:lineRule="auto"/>
              <w:rPr>
                <w:i/>
                <w:iCs/>
                <w:sz w:val="20"/>
                <w:szCs w:val="20"/>
              </w:rPr>
            </w:pPr>
            <w:r w:rsidRPr="00FF756A">
              <w:rPr>
                <w:i/>
                <w:iCs/>
                <w:sz w:val="20"/>
                <w:szCs w:val="20"/>
              </w:rPr>
              <w:t>Efiçenca e energjisë</w:t>
            </w:r>
          </w:p>
        </w:tc>
      </w:tr>
      <w:bookmarkEnd w:id="334"/>
    </w:tbl>
    <w:p w14:paraId="699D6FDC" w14:textId="77777777" w:rsidR="00835192" w:rsidRPr="00FF756A" w:rsidRDefault="00835192" w:rsidP="00835192"/>
    <w:p w14:paraId="57D93E3C" w14:textId="77777777" w:rsidR="00835192" w:rsidRPr="00FF756A" w:rsidRDefault="00835192" w:rsidP="00835192">
      <w:pPr>
        <w:spacing w:before="0" w:after="0" w:line="240" w:lineRule="auto"/>
        <w:jc w:val="left"/>
      </w:pPr>
      <w:r w:rsidRPr="00FF756A">
        <w:br w:type="page"/>
      </w:r>
    </w:p>
    <w:p w14:paraId="4435728A"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1280"/>
        <w:gridCol w:w="600"/>
        <w:gridCol w:w="429"/>
        <w:gridCol w:w="3705"/>
        <w:gridCol w:w="850"/>
      </w:tblGrid>
      <w:tr w:rsidR="00835192" w:rsidRPr="00FF756A" w14:paraId="4FBD0DB9" w14:textId="77777777" w:rsidTr="004A3257">
        <w:trPr>
          <w:trHeight w:val="20"/>
        </w:trPr>
        <w:tc>
          <w:tcPr>
            <w:tcW w:w="4513" w:type="dxa"/>
            <w:gridSpan w:val="4"/>
            <w:shd w:val="clear" w:color="auto" w:fill="E2EFD9" w:themeFill="accent6" w:themeFillTint="33"/>
          </w:tcPr>
          <w:p w14:paraId="517803CE" w14:textId="77777777" w:rsidR="00835192" w:rsidRPr="00FF756A" w:rsidRDefault="00835192" w:rsidP="00835192">
            <w:pPr>
              <w:spacing w:before="20" w:after="20" w:line="240" w:lineRule="auto"/>
              <w:jc w:val="right"/>
              <w:rPr>
                <w:b/>
                <w:bCs/>
                <w:sz w:val="20"/>
                <w:szCs w:val="20"/>
              </w:rPr>
            </w:pPr>
            <w:bookmarkStart w:id="335" w:name="_Hlk174613125"/>
            <w:r w:rsidRPr="00FF756A">
              <w:rPr>
                <w:b/>
                <w:bCs/>
                <w:sz w:val="20"/>
                <w:szCs w:val="20"/>
              </w:rPr>
              <w:t>Dimensioni i energjisë</w:t>
            </w:r>
          </w:p>
        </w:tc>
        <w:tc>
          <w:tcPr>
            <w:tcW w:w="4559" w:type="dxa"/>
            <w:gridSpan w:val="2"/>
            <w:shd w:val="clear" w:color="auto" w:fill="E2EFD9" w:themeFill="accent6" w:themeFillTint="33"/>
          </w:tcPr>
          <w:p w14:paraId="0436D05A" w14:textId="77777777" w:rsidR="00835192" w:rsidRPr="00FF756A" w:rsidRDefault="00835192" w:rsidP="008639B2">
            <w:pPr>
              <w:numPr>
                <w:ilvl w:val="0"/>
                <w:numId w:val="79"/>
              </w:numPr>
              <w:spacing w:before="20" w:after="20" w:line="240" w:lineRule="auto"/>
              <w:contextualSpacing/>
              <w:rPr>
                <w:i/>
                <w:iCs/>
                <w:sz w:val="20"/>
                <w:szCs w:val="20"/>
              </w:rPr>
            </w:pPr>
            <w:r w:rsidRPr="00FF756A">
              <w:rPr>
                <w:i/>
                <w:iCs/>
                <w:sz w:val="20"/>
                <w:szCs w:val="20"/>
              </w:rPr>
              <w:t>Dekarbonizimi</w:t>
            </w:r>
          </w:p>
          <w:p w14:paraId="45E3D05B" w14:textId="17F5A176" w:rsidR="00835192" w:rsidRPr="00FF756A" w:rsidRDefault="00835192" w:rsidP="004A3257">
            <w:pPr>
              <w:spacing w:before="20" w:after="20" w:line="240" w:lineRule="auto"/>
              <w:contextualSpacing/>
              <w:rPr>
                <w:i/>
                <w:iCs/>
                <w:sz w:val="20"/>
                <w:szCs w:val="20"/>
              </w:rPr>
            </w:pPr>
            <w:r w:rsidRPr="00FF756A">
              <w:rPr>
                <w:i/>
                <w:iCs/>
                <w:sz w:val="20"/>
                <w:szCs w:val="20"/>
              </w:rPr>
              <w:t>Shkarkimet dhe eliminimi i GES-ve</w:t>
            </w:r>
          </w:p>
        </w:tc>
      </w:tr>
      <w:tr w:rsidR="00835192" w:rsidRPr="00FF756A" w14:paraId="24CB9E53" w14:textId="77777777" w:rsidTr="004A3257">
        <w:trPr>
          <w:trHeight w:val="20"/>
        </w:trPr>
        <w:tc>
          <w:tcPr>
            <w:tcW w:w="4083" w:type="dxa"/>
            <w:gridSpan w:val="3"/>
            <w:shd w:val="clear" w:color="auto" w:fill="E2EFD9" w:themeFill="accent6" w:themeFillTint="33"/>
          </w:tcPr>
          <w:p w14:paraId="22C443CE"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89" w:type="dxa"/>
            <w:gridSpan w:val="3"/>
            <w:shd w:val="clear" w:color="auto" w:fill="E2EFD9" w:themeFill="accent6" w:themeFillTint="33"/>
          </w:tcPr>
          <w:p w14:paraId="5E6A0841" w14:textId="77777777" w:rsidR="00835192" w:rsidRPr="00FF756A" w:rsidRDefault="00835192" w:rsidP="00835192">
            <w:pPr>
              <w:spacing w:before="20" w:after="20" w:line="240" w:lineRule="auto"/>
              <w:rPr>
                <w:i/>
                <w:iCs/>
                <w:sz w:val="20"/>
                <w:szCs w:val="20"/>
              </w:rPr>
            </w:pPr>
            <w:r w:rsidRPr="00FF756A">
              <w:rPr>
                <w:i/>
                <w:iCs/>
                <w:sz w:val="20"/>
                <w:szCs w:val="20"/>
              </w:rPr>
              <w:t>Transporti</w:t>
            </w:r>
          </w:p>
        </w:tc>
      </w:tr>
      <w:tr w:rsidR="00835192" w:rsidRPr="00FF756A" w14:paraId="78C5D0D8" w14:textId="77777777" w:rsidTr="004A3257">
        <w:trPr>
          <w:trHeight w:val="20"/>
        </w:trPr>
        <w:tc>
          <w:tcPr>
            <w:tcW w:w="3482" w:type="dxa"/>
            <w:gridSpan w:val="2"/>
          </w:tcPr>
          <w:p w14:paraId="3285A188"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4B92ADE8"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0" w:type="dxa"/>
            <w:gridSpan w:val="4"/>
          </w:tcPr>
          <w:p w14:paraId="55266C68" w14:textId="77777777" w:rsidR="00835192" w:rsidRPr="00FF756A" w:rsidRDefault="00835192" w:rsidP="00835192">
            <w:pPr>
              <w:spacing w:before="20" w:after="20" w:line="240" w:lineRule="auto"/>
              <w:rPr>
                <w:i/>
                <w:iCs/>
                <w:sz w:val="20"/>
                <w:szCs w:val="20"/>
              </w:rPr>
            </w:pPr>
            <w:r w:rsidRPr="00FF756A">
              <w:rPr>
                <w:i/>
                <w:iCs/>
                <w:sz w:val="20"/>
                <w:szCs w:val="20"/>
              </w:rPr>
              <w:t>WEM</w:t>
            </w:r>
          </w:p>
          <w:p w14:paraId="3E19A46D" w14:textId="77777777" w:rsidR="00835192" w:rsidRPr="00FF756A" w:rsidRDefault="00835192" w:rsidP="00835192">
            <w:pPr>
              <w:spacing w:before="20" w:after="20" w:line="240" w:lineRule="auto"/>
              <w:rPr>
                <w:i/>
                <w:iCs/>
                <w:sz w:val="20"/>
                <w:szCs w:val="20"/>
              </w:rPr>
            </w:pPr>
            <w:r w:rsidRPr="00FF756A">
              <w:rPr>
                <w:i/>
                <w:iCs/>
                <w:sz w:val="20"/>
                <w:szCs w:val="20"/>
              </w:rPr>
              <w:t>Rregullator; Fiskal</w:t>
            </w:r>
          </w:p>
        </w:tc>
      </w:tr>
      <w:tr w:rsidR="00835192" w:rsidRPr="00FF756A" w14:paraId="50E53C26" w14:textId="77777777" w:rsidTr="004A3257">
        <w:trPr>
          <w:trHeight w:val="20"/>
        </w:trPr>
        <w:tc>
          <w:tcPr>
            <w:tcW w:w="2200" w:type="dxa"/>
          </w:tcPr>
          <w:p w14:paraId="57E9FA35"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4630BA51"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2" w:type="dxa"/>
            <w:gridSpan w:val="5"/>
          </w:tcPr>
          <w:p w14:paraId="566880F4" w14:textId="181FB718" w:rsidR="00835192" w:rsidRPr="00FF756A" w:rsidRDefault="001A5042" w:rsidP="00835192">
            <w:pPr>
              <w:spacing w:before="20" w:after="20" w:line="240" w:lineRule="auto"/>
              <w:rPr>
                <w:i/>
                <w:iCs/>
                <w:sz w:val="20"/>
                <w:szCs w:val="20"/>
              </w:rPr>
            </w:pPr>
            <w:r w:rsidRPr="00FF756A">
              <w:rPr>
                <w:i/>
                <w:iCs/>
                <w:sz w:val="20"/>
                <w:szCs w:val="20"/>
              </w:rPr>
              <w:t>Vendosja e tarifave për automjetet në bazë të efikasitetit të tyre energjetik dhe ofrimi i stimujve për rinovimin e flotës</w:t>
            </w:r>
          </w:p>
          <w:p w14:paraId="0227EE15" w14:textId="77777777" w:rsidR="00835192" w:rsidRPr="00FF756A" w:rsidRDefault="00835192" w:rsidP="00835192">
            <w:pPr>
              <w:spacing w:before="20" w:after="20" w:line="240" w:lineRule="auto"/>
              <w:rPr>
                <w:i/>
                <w:iCs/>
                <w:sz w:val="20"/>
                <w:szCs w:val="20"/>
              </w:rPr>
            </w:pPr>
            <w:r w:rsidRPr="00FF756A">
              <w:rPr>
                <w:i/>
                <w:iCs/>
                <w:sz w:val="20"/>
                <w:szCs w:val="20"/>
              </w:rPr>
              <w:t>(G-T3)</w:t>
            </w:r>
          </w:p>
        </w:tc>
      </w:tr>
      <w:tr w:rsidR="00835192" w:rsidRPr="00FF756A" w14:paraId="48BD1420" w14:textId="77777777" w:rsidTr="004A3257">
        <w:trPr>
          <w:trHeight w:val="20"/>
        </w:trPr>
        <w:tc>
          <w:tcPr>
            <w:tcW w:w="2200" w:type="dxa"/>
          </w:tcPr>
          <w:p w14:paraId="05415135"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2" w:type="dxa"/>
            <w:gridSpan w:val="5"/>
          </w:tcPr>
          <w:p w14:paraId="35D508BD" w14:textId="77777777" w:rsidR="00835192" w:rsidRPr="00FF756A" w:rsidRDefault="00835192" w:rsidP="00835192">
            <w:pPr>
              <w:spacing w:before="20" w:after="20" w:line="240" w:lineRule="auto"/>
              <w:rPr>
                <w:i/>
                <w:iCs/>
                <w:sz w:val="20"/>
                <w:szCs w:val="20"/>
              </w:rPr>
            </w:pPr>
            <w:r w:rsidRPr="00FF756A">
              <w:rPr>
                <w:i/>
                <w:iCs/>
                <w:sz w:val="20"/>
                <w:szCs w:val="20"/>
              </w:rPr>
              <w:t>2020 – në vazhdim</w:t>
            </w:r>
          </w:p>
        </w:tc>
      </w:tr>
      <w:tr w:rsidR="00835192" w:rsidRPr="00FF756A" w14:paraId="4EE51116" w14:textId="77777777" w:rsidTr="004A3257">
        <w:trPr>
          <w:trHeight w:val="20"/>
        </w:trPr>
        <w:tc>
          <w:tcPr>
            <w:tcW w:w="2200" w:type="dxa"/>
          </w:tcPr>
          <w:p w14:paraId="18B9E4D2"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2" w:type="dxa"/>
            <w:gridSpan w:val="5"/>
          </w:tcPr>
          <w:p w14:paraId="2E8C13EC" w14:textId="77777777" w:rsidR="00835192" w:rsidRPr="00FF756A" w:rsidRDefault="00835192" w:rsidP="00835192">
            <w:pPr>
              <w:spacing w:before="20" w:after="20" w:line="240" w:lineRule="auto"/>
              <w:rPr>
                <w:i/>
                <w:iCs/>
                <w:sz w:val="20"/>
                <w:szCs w:val="20"/>
              </w:rPr>
            </w:pPr>
            <w:r w:rsidRPr="00FF756A">
              <w:rPr>
                <w:i/>
                <w:iCs/>
                <w:sz w:val="20"/>
                <w:szCs w:val="20"/>
              </w:rPr>
              <w:t>VKM nr. 633, datë 26.10.2018, “Për masat kundër ndotjes së ajrit nga shkarkimet e mjeteve motorike dhe reduktimin e shkarkimeve në ajër të ndotësve të gaztë dhe të lëndës së ngurtë pezull nga motorët me ndezje pozitive dhe ata me ndezje me kompresion që djegin gaz natyror apo të lëngshëm për përdorim në automjete”, e ndryshuar; Ligji nr. 9957, datë 28.7.2008, “Për taksat kombëtare”, i ndryshuar</w:t>
            </w:r>
          </w:p>
        </w:tc>
      </w:tr>
      <w:tr w:rsidR="00835192" w:rsidRPr="00FF756A" w14:paraId="5CF02BEF" w14:textId="77777777" w:rsidTr="004A3257">
        <w:trPr>
          <w:trHeight w:val="20"/>
        </w:trPr>
        <w:tc>
          <w:tcPr>
            <w:tcW w:w="2200" w:type="dxa"/>
          </w:tcPr>
          <w:p w14:paraId="44CD565A"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2" w:type="dxa"/>
            <w:gridSpan w:val="5"/>
          </w:tcPr>
          <w:p w14:paraId="1476A0FA" w14:textId="77777777" w:rsidR="00835192" w:rsidRPr="00FF756A" w:rsidRDefault="00835192" w:rsidP="008639B2">
            <w:pPr>
              <w:numPr>
                <w:ilvl w:val="0"/>
                <w:numId w:val="77"/>
              </w:numPr>
              <w:spacing w:before="20" w:after="20" w:line="240" w:lineRule="auto"/>
              <w:contextualSpacing/>
              <w:rPr>
                <w:i/>
                <w:iCs/>
                <w:sz w:val="20"/>
                <w:szCs w:val="20"/>
              </w:rPr>
            </w:pPr>
            <w:r w:rsidRPr="00FF756A">
              <w:rPr>
                <w:i/>
                <w:iCs/>
                <w:sz w:val="20"/>
                <w:szCs w:val="20"/>
              </w:rPr>
              <w:t>Asnjë tarifë regjistrimi për automjetet elektrike</w:t>
            </w:r>
          </w:p>
          <w:p w14:paraId="260A47FA" w14:textId="77777777" w:rsidR="00835192" w:rsidRPr="00FF756A" w:rsidRDefault="00835192" w:rsidP="008639B2">
            <w:pPr>
              <w:numPr>
                <w:ilvl w:val="0"/>
                <w:numId w:val="77"/>
              </w:numPr>
              <w:spacing w:before="20" w:after="20" w:line="240" w:lineRule="auto"/>
              <w:contextualSpacing/>
              <w:rPr>
                <w:i/>
                <w:iCs/>
                <w:sz w:val="20"/>
                <w:szCs w:val="20"/>
              </w:rPr>
            </w:pPr>
            <w:r w:rsidRPr="00FF756A">
              <w:rPr>
                <w:i/>
                <w:iCs/>
                <w:sz w:val="20"/>
                <w:szCs w:val="20"/>
              </w:rPr>
              <w:t xml:space="preserve">Shteti rimburson 7500 lekë, afërsisht 55 euro, për </w:t>
            </w:r>
            <w:bookmarkStart w:id="336" w:name="_Hlk75521162"/>
            <w:r w:rsidRPr="00FF756A">
              <w:rPr>
                <w:i/>
                <w:iCs/>
                <w:sz w:val="20"/>
                <w:szCs w:val="20"/>
              </w:rPr>
              <w:t>mjetet elektrike hibride me karikim me prizë (PHEV)</w:t>
            </w:r>
            <w:bookmarkEnd w:id="336"/>
          </w:p>
          <w:p w14:paraId="7377FB4A" w14:textId="77777777" w:rsidR="00835192" w:rsidRPr="00FF756A" w:rsidRDefault="00835192" w:rsidP="008639B2">
            <w:pPr>
              <w:numPr>
                <w:ilvl w:val="0"/>
                <w:numId w:val="77"/>
              </w:numPr>
              <w:spacing w:before="20" w:after="20" w:line="240" w:lineRule="auto"/>
              <w:contextualSpacing/>
              <w:rPr>
                <w:i/>
                <w:iCs/>
                <w:sz w:val="20"/>
                <w:szCs w:val="20"/>
              </w:rPr>
            </w:pPr>
            <w:r w:rsidRPr="00FF756A">
              <w:rPr>
                <w:i/>
                <w:iCs/>
                <w:sz w:val="20"/>
                <w:szCs w:val="20"/>
              </w:rPr>
              <w:t>Automjetet e reja përjashtohen nga taksat për tri vite</w:t>
            </w:r>
          </w:p>
        </w:tc>
      </w:tr>
      <w:tr w:rsidR="00835192" w:rsidRPr="00FF756A" w14:paraId="0745470D" w14:textId="77777777" w:rsidTr="004A3257">
        <w:trPr>
          <w:trHeight w:val="20"/>
        </w:trPr>
        <w:tc>
          <w:tcPr>
            <w:tcW w:w="2200" w:type="dxa"/>
          </w:tcPr>
          <w:p w14:paraId="04D258F4"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2" w:type="dxa"/>
            <w:gridSpan w:val="5"/>
          </w:tcPr>
          <w:p w14:paraId="14AB360D" w14:textId="30F3B6B7" w:rsidR="00835192" w:rsidRPr="00FF756A" w:rsidRDefault="00835192" w:rsidP="00835192">
            <w:pPr>
              <w:spacing w:before="20" w:after="20" w:line="240" w:lineRule="auto"/>
              <w:rPr>
                <w:i/>
                <w:iCs/>
                <w:sz w:val="20"/>
                <w:szCs w:val="20"/>
              </w:rPr>
            </w:pPr>
            <w:r w:rsidRPr="00FF756A">
              <w:rPr>
                <w:i/>
                <w:iCs/>
                <w:sz w:val="20"/>
                <w:szCs w:val="20"/>
              </w:rPr>
              <w:t>Masa synon reduktimin e vjetërsisë mesatare të makinave dhe rritjen e standardit të kërkuar. Masa është</w:t>
            </w:r>
            <w:r w:rsidR="009C51C6" w:rsidRPr="00FF756A">
              <w:rPr>
                <w:i/>
                <w:iCs/>
                <w:sz w:val="20"/>
                <w:szCs w:val="20"/>
              </w:rPr>
              <w:t xml:space="preserve"> në përputhje</w:t>
            </w:r>
            <w:r w:rsidRPr="00FF756A">
              <w:rPr>
                <w:i/>
                <w:iCs/>
                <w:sz w:val="20"/>
                <w:szCs w:val="20"/>
              </w:rPr>
              <w:t xml:space="preserve"> me skenarin zbutës të </w:t>
            </w:r>
            <w:r w:rsidR="009C51C6" w:rsidRPr="00FF756A">
              <w:rPr>
                <w:i/>
                <w:iCs/>
                <w:sz w:val="20"/>
                <w:szCs w:val="20"/>
              </w:rPr>
              <w:t>KKP</w:t>
            </w:r>
            <w:r w:rsidRPr="00FF756A">
              <w:rPr>
                <w:i/>
                <w:iCs/>
                <w:sz w:val="20"/>
                <w:szCs w:val="20"/>
              </w:rPr>
              <w:t>-së. Ajo përfshin ndalimin e regjistrimit dhe rritjen e taksave për automjetet e dorës së dytë, me qëllim reduktimin në maksimum të hyrjes së tyre në tregun shqiptar.</w:t>
            </w:r>
          </w:p>
        </w:tc>
      </w:tr>
      <w:tr w:rsidR="00835192" w:rsidRPr="00FF756A" w14:paraId="036F3A69" w14:textId="77777777" w:rsidTr="004A3257">
        <w:trPr>
          <w:trHeight w:val="20"/>
        </w:trPr>
        <w:tc>
          <w:tcPr>
            <w:tcW w:w="2200" w:type="dxa"/>
          </w:tcPr>
          <w:p w14:paraId="07C3654A"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2" w:type="dxa"/>
            <w:gridSpan w:val="5"/>
          </w:tcPr>
          <w:p w14:paraId="6E1177C2"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Reduktimi i importeve të automjeteve të përdorura</w:t>
            </w:r>
          </w:p>
          <w:p w14:paraId="2F2C504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Rritja e përdorimit të automjeteve të reja</w:t>
            </w:r>
          </w:p>
          <w:p w14:paraId="5211798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Rritja e përdorimit të automjeteve elektrike</w:t>
            </w:r>
          </w:p>
        </w:tc>
      </w:tr>
      <w:tr w:rsidR="00835192" w:rsidRPr="00FF756A" w14:paraId="502D26A7" w14:textId="77777777" w:rsidTr="004A3257">
        <w:trPr>
          <w:trHeight w:val="20"/>
        </w:trPr>
        <w:tc>
          <w:tcPr>
            <w:tcW w:w="2200" w:type="dxa"/>
          </w:tcPr>
          <w:p w14:paraId="5D207AE0"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2" w:type="dxa"/>
            <w:gridSpan w:val="4"/>
          </w:tcPr>
          <w:p w14:paraId="4216CE1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Vijimësia e zbatimit të masave të përshkruara në seksionin “Masat e marra deri më tani”</w:t>
            </w:r>
          </w:p>
          <w:p w14:paraId="7FEC7B8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Rritja e taksave vjetore në bazë të vjetërsisë së automjetit dhe llojit të lëndës djegëse të përdorur</w:t>
            </w:r>
          </w:p>
          <w:p w14:paraId="2E4CC97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Rregullore për përcaktimin e çmimit për karikimin e automjeteve elektrike (EV) dhe instalimin e stacioneve të karikimit.</w:t>
            </w:r>
          </w:p>
          <w:p w14:paraId="52D96372"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Rregullore për lidhjen në rrjet të stacioneve të karikimit dhe forcimin e kapaciteteve të rrjetit</w:t>
            </w:r>
          </w:p>
        </w:tc>
        <w:tc>
          <w:tcPr>
            <w:tcW w:w="850" w:type="dxa"/>
          </w:tcPr>
          <w:p w14:paraId="78C8F35D" w14:textId="77777777" w:rsidR="00835192" w:rsidRPr="00FF756A" w:rsidRDefault="00835192" w:rsidP="00835192">
            <w:pPr>
              <w:spacing w:before="20" w:after="20" w:line="240" w:lineRule="auto"/>
              <w:rPr>
                <w:i/>
                <w:iCs/>
                <w:sz w:val="20"/>
                <w:szCs w:val="20"/>
              </w:rPr>
            </w:pPr>
            <w:r w:rsidRPr="00FF756A">
              <w:rPr>
                <w:i/>
                <w:iCs/>
                <w:sz w:val="20"/>
                <w:szCs w:val="20"/>
              </w:rPr>
              <w:t>Çdo vit</w:t>
            </w:r>
          </w:p>
        </w:tc>
      </w:tr>
      <w:tr w:rsidR="00835192" w:rsidRPr="00FF756A" w14:paraId="07D6143C" w14:textId="77777777" w:rsidTr="004A3257">
        <w:trPr>
          <w:trHeight w:val="20"/>
        </w:trPr>
        <w:tc>
          <w:tcPr>
            <w:tcW w:w="2200" w:type="dxa"/>
          </w:tcPr>
          <w:p w14:paraId="6F30B5D9"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2" w:type="dxa"/>
            <w:gridSpan w:val="5"/>
          </w:tcPr>
          <w:p w14:paraId="3ABD363A" w14:textId="77777777" w:rsidR="00835192" w:rsidRPr="00FF756A" w:rsidRDefault="00835192" w:rsidP="00835192">
            <w:pPr>
              <w:spacing w:before="20" w:after="20" w:line="240" w:lineRule="auto"/>
              <w:rPr>
                <w:i/>
                <w:iCs/>
                <w:sz w:val="20"/>
                <w:szCs w:val="20"/>
              </w:rPr>
            </w:pPr>
            <w:r w:rsidRPr="00FF756A">
              <w:rPr>
                <w:i/>
                <w:iCs/>
                <w:sz w:val="20"/>
                <w:szCs w:val="20"/>
              </w:rPr>
              <w:t>Shihni G-T1, nuk disponohet buxhet specifik</w:t>
            </w:r>
          </w:p>
        </w:tc>
      </w:tr>
      <w:tr w:rsidR="00835192" w:rsidRPr="00FF756A" w14:paraId="4DC8CE89" w14:textId="77777777" w:rsidTr="004A3257">
        <w:trPr>
          <w:trHeight w:val="20"/>
        </w:trPr>
        <w:tc>
          <w:tcPr>
            <w:tcW w:w="2200" w:type="dxa"/>
          </w:tcPr>
          <w:p w14:paraId="3AD2E803"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481B86FE"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2" w:type="dxa"/>
            <w:gridSpan w:val="5"/>
          </w:tcPr>
          <w:p w14:paraId="63169830" w14:textId="77777777" w:rsidR="00835192" w:rsidRPr="00FF756A" w:rsidRDefault="00835192" w:rsidP="00835192">
            <w:pPr>
              <w:spacing w:before="20" w:after="20" w:line="240" w:lineRule="auto"/>
              <w:rPr>
                <w:i/>
                <w:iCs/>
                <w:sz w:val="20"/>
                <w:szCs w:val="20"/>
              </w:rPr>
            </w:pPr>
            <w:r w:rsidRPr="00FF756A">
              <w:rPr>
                <w:i/>
                <w:iCs/>
                <w:sz w:val="20"/>
                <w:szCs w:val="20"/>
              </w:rPr>
              <w:t>Autoriteti Doganor, Ministria e Infrastrukturës dhe Energjisë, Ministria e Turizmit dhe Mjedisit, Drejtoria e Përgjithshme e Transportit, njësitë e qeverisjes vendore</w:t>
            </w:r>
          </w:p>
          <w:p w14:paraId="74D94213"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w:t>
            </w:r>
          </w:p>
        </w:tc>
      </w:tr>
      <w:tr w:rsidR="00835192" w:rsidRPr="00FF756A" w14:paraId="16A52A8B" w14:textId="77777777" w:rsidTr="004A3257">
        <w:trPr>
          <w:trHeight w:val="20"/>
        </w:trPr>
        <w:tc>
          <w:tcPr>
            <w:tcW w:w="2200" w:type="dxa"/>
          </w:tcPr>
          <w:p w14:paraId="2BA82C85"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2" w:type="dxa"/>
            <w:gridSpan w:val="5"/>
          </w:tcPr>
          <w:p w14:paraId="6DC0C07B" w14:textId="77777777" w:rsidR="00835192" w:rsidRPr="00FF756A" w:rsidRDefault="00835192" w:rsidP="00835192">
            <w:pPr>
              <w:spacing w:before="20" w:after="20" w:line="240" w:lineRule="auto"/>
              <w:rPr>
                <w:i/>
                <w:iCs/>
                <w:sz w:val="20"/>
                <w:szCs w:val="20"/>
              </w:rPr>
            </w:pPr>
            <w:r w:rsidRPr="00FF756A">
              <w:rPr>
                <w:i/>
                <w:iCs/>
                <w:sz w:val="20"/>
                <w:szCs w:val="20"/>
              </w:rPr>
              <w:t>Efiçenca e energjisë</w:t>
            </w:r>
          </w:p>
        </w:tc>
      </w:tr>
      <w:bookmarkEnd w:id="335"/>
    </w:tbl>
    <w:p w14:paraId="595DD3B6" w14:textId="77777777" w:rsidR="00835192" w:rsidRPr="00FF756A" w:rsidRDefault="00835192" w:rsidP="00835192"/>
    <w:p w14:paraId="7F8FD650" w14:textId="77777777" w:rsidR="00835192" w:rsidRPr="00FF756A" w:rsidRDefault="00835192" w:rsidP="00835192">
      <w:pPr>
        <w:spacing w:before="0" w:after="0" w:line="240" w:lineRule="auto"/>
        <w:jc w:val="left"/>
      </w:pP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0"/>
        <w:gridCol w:w="470"/>
        <w:gridCol w:w="402"/>
        <w:gridCol w:w="4406"/>
        <w:gridCol w:w="1454"/>
      </w:tblGrid>
      <w:tr w:rsidR="00835192" w:rsidRPr="00FF756A" w14:paraId="2BF53041" w14:textId="77777777" w:rsidTr="004A3257">
        <w:trPr>
          <w:trHeight w:val="20"/>
        </w:trPr>
        <w:tc>
          <w:tcPr>
            <w:tcW w:w="3212" w:type="dxa"/>
            <w:gridSpan w:val="3"/>
            <w:shd w:val="clear" w:color="auto" w:fill="E2EFD9" w:themeFill="accent6" w:themeFillTint="33"/>
          </w:tcPr>
          <w:p w14:paraId="4C1DBC2A"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5860" w:type="dxa"/>
            <w:gridSpan w:val="2"/>
            <w:shd w:val="clear" w:color="auto" w:fill="E2EFD9" w:themeFill="accent6" w:themeFillTint="33"/>
          </w:tcPr>
          <w:p w14:paraId="2BC86FE6" w14:textId="3A57558E" w:rsidR="00835192" w:rsidRPr="00FF756A" w:rsidRDefault="00835192" w:rsidP="004A3257">
            <w:pPr>
              <w:pStyle w:val="ListParagraph"/>
              <w:numPr>
                <w:ilvl w:val="2"/>
                <w:numId w:val="7"/>
              </w:numPr>
              <w:tabs>
                <w:tab w:val="clear" w:pos="2160"/>
              </w:tabs>
              <w:spacing w:before="20" w:after="20" w:line="240" w:lineRule="auto"/>
              <w:ind w:left="355" w:firstLine="0"/>
              <w:rPr>
                <w:i/>
                <w:iCs/>
                <w:sz w:val="20"/>
                <w:szCs w:val="20"/>
              </w:rPr>
            </w:pPr>
            <w:r w:rsidRPr="00FF756A">
              <w:rPr>
                <w:i/>
                <w:iCs/>
                <w:sz w:val="20"/>
                <w:szCs w:val="20"/>
              </w:rPr>
              <w:t>Dekarbonizimi</w:t>
            </w:r>
          </w:p>
          <w:p w14:paraId="43799FD3" w14:textId="1DDE5212" w:rsidR="00835192" w:rsidRPr="00FF756A" w:rsidRDefault="00835192" w:rsidP="004A3257">
            <w:pPr>
              <w:spacing w:before="20" w:after="20" w:line="240" w:lineRule="auto"/>
              <w:contextualSpacing/>
              <w:rPr>
                <w:i/>
                <w:iCs/>
                <w:sz w:val="20"/>
                <w:szCs w:val="20"/>
              </w:rPr>
            </w:pPr>
            <w:r w:rsidRPr="00FF756A">
              <w:rPr>
                <w:i/>
                <w:iCs/>
                <w:sz w:val="20"/>
                <w:szCs w:val="20"/>
              </w:rPr>
              <w:t>Shkarkimet dhe eliminimi i GES-ve</w:t>
            </w:r>
          </w:p>
        </w:tc>
      </w:tr>
      <w:tr w:rsidR="00835192" w:rsidRPr="00FF756A" w14:paraId="4A94D6B9" w14:textId="77777777" w:rsidTr="004A3257">
        <w:trPr>
          <w:trHeight w:val="20"/>
        </w:trPr>
        <w:tc>
          <w:tcPr>
            <w:tcW w:w="2810" w:type="dxa"/>
            <w:gridSpan w:val="2"/>
            <w:shd w:val="clear" w:color="auto" w:fill="E2EFD9" w:themeFill="accent6" w:themeFillTint="33"/>
          </w:tcPr>
          <w:p w14:paraId="7848F5D7"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6262" w:type="dxa"/>
            <w:gridSpan w:val="3"/>
            <w:shd w:val="clear" w:color="auto" w:fill="E2EFD9" w:themeFill="accent6" w:themeFillTint="33"/>
          </w:tcPr>
          <w:p w14:paraId="220C3D35" w14:textId="77777777" w:rsidR="00835192" w:rsidRPr="00FF756A" w:rsidRDefault="00835192" w:rsidP="00835192">
            <w:pPr>
              <w:spacing w:before="20" w:after="20" w:line="240" w:lineRule="auto"/>
              <w:rPr>
                <w:i/>
                <w:iCs/>
                <w:sz w:val="20"/>
                <w:szCs w:val="20"/>
              </w:rPr>
            </w:pPr>
            <w:r w:rsidRPr="00FF756A">
              <w:rPr>
                <w:i/>
                <w:iCs/>
                <w:sz w:val="20"/>
                <w:szCs w:val="20"/>
              </w:rPr>
              <w:t>Transporti</w:t>
            </w:r>
          </w:p>
        </w:tc>
      </w:tr>
      <w:tr w:rsidR="00835192" w:rsidRPr="00FF756A" w14:paraId="703D1BF9" w14:textId="77777777" w:rsidTr="004A3257">
        <w:trPr>
          <w:trHeight w:val="20"/>
        </w:trPr>
        <w:tc>
          <w:tcPr>
            <w:tcW w:w="2340" w:type="dxa"/>
          </w:tcPr>
          <w:p w14:paraId="4AFE4116"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1713C695"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6732" w:type="dxa"/>
            <w:gridSpan w:val="4"/>
          </w:tcPr>
          <w:p w14:paraId="6CB5F095" w14:textId="77777777" w:rsidR="00835192" w:rsidRPr="00FF756A" w:rsidRDefault="00835192" w:rsidP="00835192">
            <w:pPr>
              <w:spacing w:before="20" w:after="20" w:line="240" w:lineRule="auto"/>
              <w:rPr>
                <w:i/>
                <w:iCs/>
                <w:sz w:val="20"/>
                <w:szCs w:val="20"/>
              </w:rPr>
            </w:pPr>
            <w:r w:rsidRPr="00FF756A">
              <w:rPr>
                <w:i/>
                <w:iCs/>
                <w:sz w:val="20"/>
                <w:szCs w:val="20"/>
              </w:rPr>
              <w:t>WAM</w:t>
            </w:r>
          </w:p>
          <w:p w14:paraId="1ADB75A6"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245333A1" w14:textId="77777777" w:rsidTr="004A3257">
        <w:trPr>
          <w:trHeight w:val="20"/>
        </w:trPr>
        <w:tc>
          <w:tcPr>
            <w:tcW w:w="2340" w:type="dxa"/>
          </w:tcPr>
          <w:p w14:paraId="736701E9"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51C13B8F"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732" w:type="dxa"/>
            <w:gridSpan w:val="4"/>
          </w:tcPr>
          <w:p w14:paraId="7D16B6C9" w14:textId="77777777" w:rsidR="00835192" w:rsidRPr="00FF756A" w:rsidRDefault="00835192" w:rsidP="00835192">
            <w:pPr>
              <w:spacing w:before="20" w:after="20" w:line="240" w:lineRule="auto"/>
              <w:rPr>
                <w:i/>
                <w:iCs/>
                <w:sz w:val="20"/>
                <w:szCs w:val="20"/>
              </w:rPr>
            </w:pPr>
            <w:r w:rsidRPr="00FF756A">
              <w:rPr>
                <w:i/>
                <w:iCs/>
                <w:sz w:val="20"/>
                <w:szCs w:val="20"/>
              </w:rPr>
              <w:t xml:space="preserve">Automjetet me lëndë djegëse të pastra në prokurimin publik </w:t>
            </w:r>
          </w:p>
          <w:p w14:paraId="6B6F350D" w14:textId="77777777" w:rsidR="00835192" w:rsidRPr="00FF756A" w:rsidRDefault="00835192" w:rsidP="00835192">
            <w:pPr>
              <w:spacing w:before="20" w:after="20" w:line="240" w:lineRule="auto"/>
              <w:rPr>
                <w:i/>
                <w:iCs/>
                <w:sz w:val="20"/>
                <w:szCs w:val="20"/>
              </w:rPr>
            </w:pPr>
            <w:r w:rsidRPr="00FF756A">
              <w:rPr>
                <w:i/>
                <w:iCs/>
                <w:sz w:val="20"/>
                <w:szCs w:val="20"/>
              </w:rPr>
              <w:t>(G-T4)</w:t>
            </w:r>
          </w:p>
        </w:tc>
      </w:tr>
      <w:tr w:rsidR="00835192" w:rsidRPr="00FF756A" w14:paraId="55CA904F" w14:textId="77777777" w:rsidTr="004A3257">
        <w:trPr>
          <w:trHeight w:val="20"/>
        </w:trPr>
        <w:tc>
          <w:tcPr>
            <w:tcW w:w="2340" w:type="dxa"/>
          </w:tcPr>
          <w:p w14:paraId="26F05D5D"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732" w:type="dxa"/>
            <w:gridSpan w:val="4"/>
          </w:tcPr>
          <w:p w14:paraId="6E3A8343" w14:textId="77777777" w:rsidR="00835192" w:rsidRPr="00FF756A" w:rsidRDefault="00835192" w:rsidP="00835192">
            <w:pPr>
              <w:spacing w:before="20" w:after="20" w:line="240" w:lineRule="auto"/>
              <w:rPr>
                <w:i/>
                <w:iCs/>
                <w:sz w:val="20"/>
                <w:szCs w:val="20"/>
              </w:rPr>
            </w:pPr>
            <w:r w:rsidRPr="00FF756A">
              <w:rPr>
                <w:i/>
                <w:iCs/>
                <w:sz w:val="20"/>
                <w:szCs w:val="20"/>
              </w:rPr>
              <w:t>2025 – në vazhdim</w:t>
            </w:r>
          </w:p>
        </w:tc>
      </w:tr>
      <w:tr w:rsidR="00835192" w:rsidRPr="00FF756A" w14:paraId="729E5691" w14:textId="77777777" w:rsidTr="004A3257">
        <w:trPr>
          <w:trHeight w:val="20"/>
        </w:trPr>
        <w:tc>
          <w:tcPr>
            <w:tcW w:w="2340" w:type="dxa"/>
          </w:tcPr>
          <w:p w14:paraId="570F00FD"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Baza ligjore dhe dokumentet e planifikimit</w:t>
            </w:r>
          </w:p>
        </w:tc>
        <w:tc>
          <w:tcPr>
            <w:tcW w:w="6732" w:type="dxa"/>
            <w:gridSpan w:val="4"/>
          </w:tcPr>
          <w:p w14:paraId="75A5BF07" w14:textId="77777777" w:rsidR="00835192" w:rsidRPr="00FF756A" w:rsidRDefault="00835192" w:rsidP="00835192">
            <w:pPr>
              <w:spacing w:before="20" w:after="20" w:line="240" w:lineRule="auto"/>
              <w:rPr>
                <w:i/>
                <w:iCs/>
                <w:sz w:val="20"/>
                <w:szCs w:val="20"/>
              </w:rPr>
            </w:pPr>
            <w:r w:rsidRPr="00FF756A">
              <w:rPr>
                <w:i/>
                <w:iCs/>
                <w:sz w:val="20"/>
                <w:szCs w:val="20"/>
              </w:rPr>
              <w:t>Direktiva (BE) 2019/1161 që ndryshon Direktivën 2009/33/KE “Për promovimin e mjeteve të transportit rrugor me lëndë djegëse të pastra dhe me efiçencë energjie” (direktiva për automjetet me lëndë djegëse të pastra, e rishikuar: https://eur-lex.europa.eu/eli/dir/2019/1161/oj) adreson tenderat e prokurimit publik. Ajo përkufizon “automjetet me lëndë djegëse të pastra” dhe përcakton pikësynimet kombëtare për shtetet anëtare të BE-së për prokurimin e tyre publik. Ajo zbatohet për mjete të ndryshme të prokurimit publik, duke përfshirë kontratat e blerjes, qirasë dhe shërbimeve përkatëse (Përmbledhje e përmbajtjes: https://transport.ec.europa.eu/transport-themes/clean-transport/clean-and-energy-efficient-vehicles/clean-vehicles-directive_en#:~:text=The%20revised%20Directive%20defines%20a,%3A%20only%20zero%2Demission%20vehicles).</w:t>
            </w:r>
          </w:p>
        </w:tc>
      </w:tr>
      <w:tr w:rsidR="00835192" w:rsidRPr="00FF756A" w14:paraId="707B70BD" w14:textId="77777777" w:rsidTr="004A3257">
        <w:trPr>
          <w:trHeight w:val="20"/>
        </w:trPr>
        <w:tc>
          <w:tcPr>
            <w:tcW w:w="2340" w:type="dxa"/>
          </w:tcPr>
          <w:p w14:paraId="3F6BEF96"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732" w:type="dxa"/>
            <w:gridSpan w:val="4"/>
          </w:tcPr>
          <w:p w14:paraId="2AD33186" w14:textId="77777777" w:rsidR="00835192" w:rsidRPr="00FF756A" w:rsidRDefault="00835192" w:rsidP="008639B2">
            <w:pPr>
              <w:numPr>
                <w:ilvl w:val="0"/>
                <w:numId w:val="77"/>
              </w:numPr>
              <w:spacing w:before="20" w:after="20" w:line="240" w:lineRule="auto"/>
              <w:contextualSpacing/>
              <w:rPr>
                <w:i/>
                <w:iCs/>
                <w:sz w:val="20"/>
                <w:szCs w:val="20"/>
              </w:rPr>
            </w:pPr>
            <w:r w:rsidRPr="00FF756A">
              <w:rPr>
                <w:i/>
                <w:iCs/>
                <w:sz w:val="20"/>
                <w:szCs w:val="20"/>
              </w:rPr>
              <w:t xml:space="preserve">Është përgatitur drafti i parë i VKM-së “Për promovimin e automjeteve me shkarkime të ulëta, performancë të lartë dhe efiçencë energjie nëpërmjet prokurimit publik dhe shërbimeve publike në transportin e udhëtarëve” </w:t>
            </w:r>
          </w:p>
          <w:p w14:paraId="031FA7F7" w14:textId="77777777" w:rsidR="00835192" w:rsidRPr="00FF756A" w:rsidRDefault="00835192" w:rsidP="008639B2">
            <w:pPr>
              <w:numPr>
                <w:ilvl w:val="0"/>
                <w:numId w:val="77"/>
              </w:numPr>
              <w:spacing w:before="20" w:after="20" w:line="240" w:lineRule="auto"/>
              <w:contextualSpacing/>
              <w:rPr>
                <w:i/>
                <w:iCs/>
                <w:sz w:val="20"/>
                <w:szCs w:val="20"/>
              </w:rPr>
            </w:pPr>
            <w:r w:rsidRPr="00FF756A">
              <w:rPr>
                <w:i/>
                <w:iCs/>
                <w:sz w:val="20"/>
                <w:szCs w:val="20"/>
              </w:rPr>
              <w:t xml:space="preserve">Aktivitetet fillojnë në bazë të përkufizimeve dhe pikësynimeve të parashikuara nga direktiva për automjetet me lëndë djegëse të pastra. Pikësynimet e mundshme për Shqipërinë bazohen në pikësynimet e shteteve anëtare të BE-së, të cilat janë relativisht më pak sfiduese.  </w:t>
            </w:r>
          </w:p>
        </w:tc>
      </w:tr>
      <w:tr w:rsidR="00835192" w:rsidRPr="00FF756A" w14:paraId="68706B09" w14:textId="77777777" w:rsidTr="004A3257">
        <w:trPr>
          <w:trHeight w:val="20"/>
        </w:trPr>
        <w:tc>
          <w:tcPr>
            <w:tcW w:w="2340" w:type="dxa"/>
          </w:tcPr>
          <w:p w14:paraId="4AA103D7"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732" w:type="dxa"/>
            <w:gridSpan w:val="4"/>
          </w:tcPr>
          <w:p w14:paraId="1E1D1F5B" w14:textId="77777777" w:rsidR="00835192" w:rsidRPr="00FF756A" w:rsidRDefault="00835192" w:rsidP="00835192">
            <w:pPr>
              <w:spacing w:before="20" w:after="20" w:line="240" w:lineRule="auto"/>
              <w:rPr>
                <w:i/>
                <w:iCs/>
                <w:sz w:val="20"/>
                <w:szCs w:val="20"/>
              </w:rPr>
            </w:pPr>
            <w:r w:rsidRPr="00FF756A">
              <w:rPr>
                <w:i/>
                <w:iCs/>
                <w:sz w:val="20"/>
                <w:szCs w:val="20"/>
              </w:rPr>
              <w:t xml:space="preserve">Masa synon të rrisë përqindjen e automjeteve me lëndë djegëse të pastra në prokurimin publik. Sipas direktivës së rishikuar për automjetet me lëndë djegëse të pastra, këto të fundit përkufizohen si më poshtë: </w:t>
            </w:r>
          </w:p>
          <w:p w14:paraId="5E48AE23" w14:textId="77777777" w:rsidR="00835192" w:rsidRPr="00FF756A" w:rsidRDefault="00835192" w:rsidP="00835192">
            <w:pPr>
              <w:spacing w:before="20" w:after="20" w:line="240" w:lineRule="auto"/>
              <w:rPr>
                <w:i/>
                <w:iCs/>
                <w:sz w:val="20"/>
                <w:szCs w:val="20"/>
              </w:rPr>
            </w:pPr>
            <w:r w:rsidRPr="00FF756A">
              <w:rPr>
                <w:i/>
                <w:iCs/>
                <w:sz w:val="20"/>
                <w:szCs w:val="20"/>
              </w:rPr>
              <w:t>Automjet i lehtë me lëndë djegëse të pastra: çdo makinë ose furgon që përmbush pragjet e mëposhtme të emetimit:</w:t>
            </w:r>
          </w:p>
          <w:p w14:paraId="254D6AE1" w14:textId="6E0C763C" w:rsidR="00835192" w:rsidRPr="00FF756A" w:rsidRDefault="00835192" w:rsidP="004A3257">
            <w:pPr>
              <w:pStyle w:val="ListParagraph"/>
              <w:numPr>
                <w:ilvl w:val="0"/>
                <w:numId w:val="77"/>
              </w:numPr>
              <w:spacing w:before="20" w:after="20" w:line="240" w:lineRule="auto"/>
              <w:rPr>
                <w:i/>
                <w:iCs/>
                <w:sz w:val="20"/>
                <w:szCs w:val="20"/>
              </w:rPr>
            </w:pPr>
            <w:r w:rsidRPr="00FF756A">
              <w:rPr>
                <w:i/>
                <w:iCs/>
                <w:sz w:val="20"/>
                <w:szCs w:val="20"/>
              </w:rPr>
              <w:t>deri më 31 dhjetor 2025: jo më shumë se 50g/km CO2 dhe deri në 80% të kufijve të zbatueshëm të emetimeve në kushte reale të drejtimit (RDE) për NOx dhe PN; nga 1 janari 2026: vetëm automjete me zero shkarkime.</w:t>
            </w:r>
          </w:p>
          <w:p w14:paraId="2609FE60" w14:textId="77777777" w:rsidR="00835192" w:rsidRPr="00FF756A" w:rsidRDefault="00835192" w:rsidP="00835192">
            <w:pPr>
              <w:spacing w:before="20" w:after="20" w:line="240" w:lineRule="auto"/>
              <w:rPr>
                <w:i/>
                <w:iCs/>
                <w:sz w:val="20"/>
                <w:szCs w:val="20"/>
              </w:rPr>
            </w:pPr>
            <w:r w:rsidRPr="00FF756A">
              <w:rPr>
                <w:i/>
                <w:iCs/>
                <w:sz w:val="20"/>
                <w:szCs w:val="20"/>
              </w:rPr>
              <w:t>Automjet i rëndë me lëndë djegëse të pastra: çdo kamion ose autobus që përdor një nga lëndët djegëse alternative të mëposhtme: hidrogjen, bateri elektrike (duke përfshirë hibridet plug-in), gaz natyror (në formë të ngjeshur (GNN) dhe në formë të lëngshme (GNL) duke përfshirë biometanin), biokarburante të lëngshme, lëndë djegëse sintetike dhe parafinike, gaz i lëngshëm nafte (GLN).</w:t>
            </w:r>
          </w:p>
        </w:tc>
      </w:tr>
      <w:tr w:rsidR="00835192" w:rsidRPr="00FF756A" w14:paraId="1EAAC5FD" w14:textId="77777777" w:rsidTr="004A3257">
        <w:trPr>
          <w:trHeight w:val="20"/>
        </w:trPr>
        <w:tc>
          <w:tcPr>
            <w:tcW w:w="2340" w:type="dxa"/>
          </w:tcPr>
          <w:p w14:paraId="3BC72105"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732" w:type="dxa"/>
            <w:gridSpan w:val="4"/>
          </w:tcPr>
          <w:p w14:paraId="614A941B" w14:textId="74FF47D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Duke filluar nga viti 2025,</w:t>
            </w:r>
            <w:r w:rsidRPr="00FF756A">
              <w:rPr>
                <w:sz w:val="20"/>
                <w:szCs w:val="20"/>
              </w:rPr>
              <w:t xml:space="preserve"> 100% e automjeteve të lehta të prokuruara do të jenë EV ose PHEV</w:t>
            </w:r>
          </w:p>
          <w:p w14:paraId="0520C11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Brenda vitit 2030, 20% e automjeteve të rënda/kamionëve do të përdorin lëndë djegëse të pastra si hidrogjeni ose burime të tjera të pastra në bazë të zhvillimit teknologjik </w:t>
            </w:r>
          </w:p>
          <w:p w14:paraId="549CCE7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Brenda vitit 2030, 25% e automjeteve të rënda/autobusëve do të përdorin lëndë djegëse të pastra si hidrogjeni ose burime të tjera të pastra në bazë të zhvillimit teknologjik</w:t>
            </w:r>
          </w:p>
        </w:tc>
      </w:tr>
      <w:tr w:rsidR="00835192" w:rsidRPr="00FF756A" w14:paraId="682ABB88" w14:textId="77777777" w:rsidTr="004A3257">
        <w:trPr>
          <w:trHeight w:val="20"/>
        </w:trPr>
        <w:tc>
          <w:tcPr>
            <w:tcW w:w="2340" w:type="dxa"/>
          </w:tcPr>
          <w:p w14:paraId="187A4B50"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5278" w:type="dxa"/>
            <w:gridSpan w:val="3"/>
          </w:tcPr>
          <w:p w14:paraId="26A7EBB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Miratimi i objektivit minimal të prokurimit për përqindjen e automjeteve me lëndë djegëse të pastra dhe miratimi i legjislacionit të nevojshëm; mbështetja e autoriteteve publike me dokumentet e prokurimit të gatshme për përdorim</w:t>
            </w:r>
          </w:p>
          <w:p w14:paraId="130AB96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Prokurimi nga autoritetet publike sipas rregullave </w:t>
            </w:r>
          </w:p>
        </w:tc>
        <w:tc>
          <w:tcPr>
            <w:tcW w:w="1454" w:type="dxa"/>
          </w:tcPr>
          <w:p w14:paraId="1D7769CE"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2025</w:t>
            </w:r>
            <w:r w:rsidRPr="00FF756A">
              <w:rPr>
                <w:i/>
                <w:iCs/>
                <w:sz w:val="20"/>
                <w:szCs w:val="20"/>
              </w:rPr>
              <w:br/>
            </w:r>
            <w:r w:rsidRPr="00FF756A">
              <w:rPr>
                <w:i/>
                <w:iCs/>
                <w:sz w:val="20"/>
                <w:szCs w:val="20"/>
              </w:rPr>
              <w:br/>
            </w:r>
          </w:p>
          <w:p w14:paraId="0922BEF5" w14:textId="77777777" w:rsidR="00835192" w:rsidRPr="00FF756A" w:rsidRDefault="00835192" w:rsidP="00835192">
            <w:pPr>
              <w:spacing w:before="20" w:after="20" w:line="240" w:lineRule="auto"/>
              <w:jc w:val="left"/>
              <w:rPr>
                <w:i/>
                <w:iCs/>
                <w:sz w:val="20"/>
                <w:szCs w:val="20"/>
              </w:rPr>
            </w:pPr>
            <w:r w:rsidRPr="00FF756A">
              <w:rPr>
                <w:i/>
                <w:iCs/>
                <w:sz w:val="20"/>
                <w:szCs w:val="20"/>
              </w:rPr>
              <w:t>Nga viti 2025 e në vazhdim</w:t>
            </w:r>
          </w:p>
          <w:p w14:paraId="15047C8C" w14:textId="77777777" w:rsidR="00835192" w:rsidRPr="00FF756A" w:rsidRDefault="00835192" w:rsidP="00835192">
            <w:pPr>
              <w:spacing w:before="20" w:after="20" w:line="240" w:lineRule="auto"/>
              <w:jc w:val="left"/>
              <w:rPr>
                <w:i/>
                <w:iCs/>
                <w:sz w:val="20"/>
                <w:szCs w:val="20"/>
              </w:rPr>
            </w:pPr>
          </w:p>
        </w:tc>
      </w:tr>
      <w:tr w:rsidR="00835192" w:rsidRPr="00FF756A" w14:paraId="123D1287" w14:textId="77777777" w:rsidTr="004A3257">
        <w:trPr>
          <w:trHeight w:val="20"/>
        </w:trPr>
        <w:tc>
          <w:tcPr>
            <w:tcW w:w="2340" w:type="dxa"/>
          </w:tcPr>
          <w:p w14:paraId="4A6944D8"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732" w:type="dxa"/>
            <w:gridSpan w:val="4"/>
          </w:tcPr>
          <w:p w14:paraId="4382F6A6" w14:textId="77777777" w:rsidR="00835192" w:rsidRPr="00FF756A" w:rsidRDefault="00835192" w:rsidP="00835192">
            <w:pPr>
              <w:spacing w:before="20" w:after="20" w:line="240" w:lineRule="auto"/>
              <w:rPr>
                <w:i/>
                <w:iCs/>
                <w:sz w:val="20"/>
                <w:szCs w:val="20"/>
              </w:rPr>
            </w:pPr>
            <w:r w:rsidRPr="00FF756A">
              <w:rPr>
                <w:i/>
                <w:iCs/>
                <w:sz w:val="20"/>
                <w:szCs w:val="20"/>
              </w:rPr>
              <w:t>Nuk disponohet buxhet specifik për kostot e investimit; kostot e transaksionit për përgatitjen e dokumenteve të prokurimit dhe për trajnimin e stafit (shuma e përllogaritur për asistencën teknike: 10 000 euro)</w:t>
            </w:r>
          </w:p>
        </w:tc>
      </w:tr>
      <w:tr w:rsidR="00835192" w:rsidRPr="00FF756A" w14:paraId="0F8D2847" w14:textId="77777777" w:rsidTr="004A3257">
        <w:trPr>
          <w:trHeight w:val="20"/>
        </w:trPr>
        <w:tc>
          <w:tcPr>
            <w:tcW w:w="2340" w:type="dxa"/>
          </w:tcPr>
          <w:p w14:paraId="4BFC7ED0"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3099CD20"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732" w:type="dxa"/>
            <w:gridSpan w:val="4"/>
          </w:tcPr>
          <w:p w14:paraId="175F1D1E"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Drejtoria e Përgjithshme e Transportit; ministritë, autoritetet publike, njësitë e qeverisjes vendore</w:t>
            </w:r>
          </w:p>
          <w:p w14:paraId="36ECCF3B" w14:textId="77777777" w:rsidR="00835192" w:rsidRPr="00FF756A" w:rsidRDefault="00835192" w:rsidP="00835192">
            <w:pPr>
              <w:spacing w:before="20" w:after="20" w:line="240" w:lineRule="auto"/>
              <w:rPr>
                <w:i/>
                <w:iCs/>
                <w:sz w:val="20"/>
                <w:szCs w:val="20"/>
              </w:rPr>
            </w:pPr>
            <w:r w:rsidRPr="00FF756A">
              <w:rPr>
                <w:i/>
                <w:iCs/>
                <w:sz w:val="20"/>
                <w:szCs w:val="20"/>
              </w:rPr>
              <w:t>(Drejtoria e Përgjithshme e Transportit)</w:t>
            </w:r>
          </w:p>
          <w:p w14:paraId="35D6E147" w14:textId="77777777" w:rsidR="00835192" w:rsidRPr="00FF756A" w:rsidRDefault="00835192" w:rsidP="00835192">
            <w:pPr>
              <w:spacing w:before="20" w:after="20" w:line="240" w:lineRule="auto"/>
              <w:rPr>
                <w:i/>
                <w:iCs/>
                <w:sz w:val="20"/>
                <w:szCs w:val="20"/>
              </w:rPr>
            </w:pPr>
          </w:p>
        </w:tc>
      </w:tr>
      <w:tr w:rsidR="00835192" w:rsidRPr="00FF756A" w14:paraId="3D3B2F16" w14:textId="77777777" w:rsidTr="004A3257">
        <w:trPr>
          <w:trHeight w:val="20"/>
        </w:trPr>
        <w:tc>
          <w:tcPr>
            <w:tcW w:w="2340" w:type="dxa"/>
          </w:tcPr>
          <w:p w14:paraId="354EEA36"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732" w:type="dxa"/>
            <w:gridSpan w:val="4"/>
          </w:tcPr>
          <w:p w14:paraId="2F7BD8DC" w14:textId="77777777" w:rsidR="00835192" w:rsidRPr="00FF756A" w:rsidRDefault="00835192" w:rsidP="00835192">
            <w:pPr>
              <w:spacing w:before="20" w:after="20" w:line="240" w:lineRule="auto"/>
              <w:rPr>
                <w:i/>
                <w:iCs/>
                <w:sz w:val="20"/>
                <w:szCs w:val="20"/>
              </w:rPr>
            </w:pPr>
            <w:r w:rsidRPr="00FF756A">
              <w:rPr>
                <w:i/>
                <w:iCs/>
                <w:sz w:val="20"/>
                <w:szCs w:val="20"/>
              </w:rPr>
              <w:t xml:space="preserve">Energjia e rinovueshme </w:t>
            </w:r>
          </w:p>
        </w:tc>
      </w:tr>
    </w:tbl>
    <w:p w14:paraId="228A3D8E" w14:textId="77777777" w:rsidR="00835192" w:rsidRPr="00FF756A" w:rsidRDefault="00835192" w:rsidP="00835192">
      <w:pPr>
        <w:spacing w:before="0" w:after="0" w:line="240" w:lineRule="auto"/>
        <w:jc w:val="left"/>
      </w:pPr>
    </w:p>
    <w:tbl>
      <w:tblPr>
        <w:tblStyle w:val="TableGrid"/>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51"/>
        <w:gridCol w:w="1841"/>
        <w:gridCol w:w="3540"/>
        <w:gridCol w:w="992"/>
      </w:tblGrid>
      <w:tr w:rsidR="00835192" w:rsidRPr="00FF756A" w14:paraId="0EBF67D8" w14:textId="77777777" w:rsidTr="004A3257">
        <w:trPr>
          <w:trHeight w:val="20"/>
        </w:trPr>
        <w:tc>
          <w:tcPr>
            <w:tcW w:w="4535" w:type="dxa"/>
            <w:gridSpan w:val="3"/>
            <w:shd w:val="clear" w:color="auto" w:fill="E2EFD9" w:themeFill="accent6" w:themeFillTint="33"/>
          </w:tcPr>
          <w:p w14:paraId="2C682CE8"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32" w:type="dxa"/>
            <w:gridSpan w:val="2"/>
            <w:shd w:val="clear" w:color="auto" w:fill="E2EFD9" w:themeFill="accent6" w:themeFillTint="33"/>
          </w:tcPr>
          <w:p w14:paraId="30D61780" w14:textId="6F47B0D7" w:rsidR="00CF37CA" w:rsidRPr="00FF756A" w:rsidRDefault="00835192" w:rsidP="004A3257">
            <w:pPr>
              <w:pStyle w:val="ListParagraph"/>
              <w:numPr>
                <w:ilvl w:val="0"/>
                <w:numId w:val="228"/>
              </w:numPr>
              <w:spacing w:before="20" w:after="20" w:line="240" w:lineRule="auto"/>
              <w:rPr>
                <w:i/>
                <w:iCs/>
                <w:sz w:val="20"/>
                <w:szCs w:val="20"/>
              </w:rPr>
            </w:pPr>
            <w:r w:rsidRPr="00FF756A">
              <w:rPr>
                <w:i/>
                <w:iCs/>
                <w:sz w:val="20"/>
                <w:szCs w:val="20"/>
              </w:rPr>
              <w:t>Dekarbonizimi</w:t>
            </w:r>
          </w:p>
          <w:p w14:paraId="229D7C89" w14:textId="03E2DA1C" w:rsidR="00835192" w:rsidRPr="00FF756A" w:rsidRDefault="00835192" w:rsidP="004A3257">
            <w:pPr>
              <w:spacing w:before="20" w:after="20" w:line="240" w:lineRule="auto"/>
              <w:contextualSpacing/>
              <w:rPr>
                <w:i/>
                <w:iCs/>
                <w:sz w:val="20"/>
                <w:szCs w:val="20"/>
              </w:rPr>
            </w:pPr>
            <w:r w:rsidRPr="00FF756A">
              <w:rPr>
                <w:i/>
                <w:iCs/>
                <w:sz w:val="20"/>
                <w:szCs w:val="20"/>
              </w:rPr>
              <w:t>Shkarkimet dhe eliminimi i GES-ve</w:t>
            </w:r>
          </w:p>
        </w:tc>
      </w:tr>
      <w:tr w:rsidR="00835192" w:rsidRPr="00FF756A" w14:paraId="572C2008" w14:textId="77777777" w:rsidTr="004A3257">
        <w:trPr>
          <w:trHeight w:val="20"/>
        </w:trPr>
        <w:tc>
          <w:tcPr>
            <w:tcW w:w="4535" w:type="dxa"/>
            <w:gridSpan w:val="3"/>
            <w:shd w:val="clear" w:color="auto" w:fill="E2EFD9" w:themeFill="accent6" w:themeFillTint="33"/>
          </w:tcPr>
          <w:p w14:paraId="5FFF754D" w14:textId="77777777" w:rsidR="00835192" w:rsidRPr="00FF756A" w:rsidRDefault="00835192" w:rsidP="00835192">
            <w:pPr>
              <w:spacing w:before="20" w:after="20" w:line="240" w:lineRule="auto"/>
              <w:jc w:val="right"/>
              <w:rPr>
                <w:b/>
                <w:bCs/>
                <w:sz w:val="20"/>
                <w:szCs w:val="20"/>
              </w:rPr>
            </w:pPr>
            <w:r w:rsidRPr="00FF756A">
              <w:rPr>
                <w:b/>
                <w:bCs/>
                <w:sz w:val="20"/>
                <w:szCs w:val="20"/>
              </w:rPr>
              <w:t xml:space="preserve"> </w:t>
            </w:r>
          </w:p>
        </w:tc>
        <w:tc>
          <w:tcPr>
            <w:tcW w:w="4532" w:type="dxa"/>
            <w:gridSpan w:val="2"/>
            <w:shd w:val="clear" w:color="auto" w:fill="E2EFD9" w:themeFill="accent6" w:themeFillTint="33"/>
          </w:tcPr>
          <w:p w14:paraId="6643EEC6" w14:textId="77777777" w:rsidR="00835192" w:rsidRPr="00FF756A" w:rsidRDefault="00835192" w:rsidP="00835192">
            <w:pPr>
              <w:spacing w:before="20" w:after="20" w:line="240" w:lineRule="auto"/>
              <w:rPr>
                <w:i/>
                <w:iCs/>
                <w:sz w:val="20"/>
                <w:szCs w:val="20"/>
              </w:rPr>
            </w:pPr>
            <w:r w:rsidRPr="00FF756A">
              <w:rPr>
                <w:i/>
                <w:iCs/>
                <w:sz w:val="20"/>
                <w:szCs w:val="20"/>
              </w:rPr>
              <w:t>Transporti</w:t>
            </w:r>
          </w:p>
        </w:tc>
      </w:tr>
      <w:tr w:rsidR="00835192" w:rsidRPr="00FF756A" w14:paraId="64353519" w14:textId="77777777" w:rsidTr="004A3257">
        <w:trPr>
          <w:trHeight w:val="20"/>
        </w:trPr>
        <w:tc>
          <w:tcPr>
            <w:tcW w:w="2694" w:type="dxa"/>
            <w:gridSpan w:val="2"/>
          </w:tcPr>
          <w:p w14:paraId="52D5C7A5"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6E58DEA1"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6373" w:type="dxa"/>
            <w:gridSpan w:val="3"/>
          </w:tcPr>
          <w:p w14:paraId="6261B096" w14:textId="77777777" w:rsidR="00835192" w:rsidRPr="00FF756A" w:rsidRDefault="00835192" w:rsidP="00835192">
            <w:pPr>
              <w:spacing w:before="20" w:after="20" w:line="240" w:lineRule="auto"/>
              <w:rPr>
                <w:i/>
                <w:iCs/>
                <w:sz w:val="20"/>
                <w:szCs w:val="20"/>
              </w:rPr>
            </w:pPr>
            <w:r w:rsidRPr="00FF756A">
              <w:rPr>
                <w:i/>
                <w:iCs/>
                <w:sz w:val="20"/>
                <w:szCs w:val="20"/>
              </w:rPr>
              <w:t>WAM</w:t>
            </w:r>
          </w:p>
          <w:p w14:paraId="58C04C1F" w14:textId="77777777" w:rsidR="00835192" w:rsidRPr="00FF756A" w:rsidRDefault="00835192" w:rsidP="00835192">
            <w:pPr>
              <w:spacing w:before="20" w:after="20" w:line="240" w:lineRule="auto"/>
              <w:rPr>
                <w:i/>
                <w:iCs/>
                <w:sz w:val="20"/>
                <w:szCs w:val="20"/>
              </w:rPr>
            </w:pPr>
            <w:r w:rsidRPr="00FF756A">
              <w:rPr>
                <w:i/>
                <w:iCs/>
                <w:sz w:val="20"/>
                <w:szCs w:val="20"/>
              </w:rPr>
              <w:t xml:space="preserve">Teknik; Financiar </w:t>
            </w:r>
          </w:p>
        </w:tc>
      </w:tr>
      <w:tr w:rsidR="00835192" w:rsidRPr="00FF756A" w14:paraId="4AB8B47B" w14:textId="77777777" w:rsidTr="004A3257">
        <w:trPr>
          <w:trHeight w:val="20"/>
        </w:trPr>
        <w:tc>
          <w:tcPr>
            <w:tcW w:w="1843" w:type="dxa"/>
          </w:tcPr>
          <w:p w14:paraId="6842F93D"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6C608E58"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7224" w:type="dxa"/>
            <w:gridSpan w:val="4"/>
          </w:tcPr>
          <w:p w14:paraId="4F41C978" w14:textId="2C58210B" w:rsidR="00835192" w:rsidRPr="00FF756A" w:rsidRDefault="00835192" w:rsidP="00835192">
            <w:pPr>
              <w:spacing w:before="20" w:after="20" w:line="240" w:lineRule="auto"/>
              <w:rPr>
                <w:i/>
                <w:iCs/>
                <w:sz w:val="20"/>
                <w:szCs w:val="20"/>
              </w:rPr>
            </w:pPr>
            <w:r w:rsidRPr="00FF756A">
              <w:rPr>
                <w:i/>
                <w:iCs/>
                <w:sz w:val="20"/>
                <w:szCs w:val="20"/>
              </w:rPr>
              <w:t xml:space="preserve">Hidrogjeni ekologjik </w:t>
            </w:r>
            <w:r w:rsidR="00CF37CA" w:rsidRPr="00FF756A">
              <w:rPr>
                <w:i/>
                <w:iCs/>
                <w:sz w:val="20"/>
                <w:szCs w:val="20"/>
              </w:rPr>
              <w:t>p</w:t>
            </w:r>
            <w:r w:rsidRPr="00FF756A">
              <w:rPr>
                <w:i/>
                <w:iCs/>
                <w:sz w:val="20"/>
                <w:szCs w:val="20"/>
              </w:rPr>
              <w:t>ë</w:t>
            </w:r>
            <w:r w:rsidR="00CF37CA" w:rsidRPr="00FF756A">
              <w:rPr>
                <w:i/>
                <w:iCs/>
                <w:sz w:val="20"/>
                <w:szCs w:val="20"/>
              </w:rPr>
              <w:t>r</w:t>
            </w:r>
            <w:r w:rsidRPr="00FF756A">
              <w:rPr>
                <w:i/>
                <w:iCs/>
                <w:sz w:val="20"/>
                <w:szCs w:val="20"/>
              </w:rPr>
              <w:t xml:space="preserve"> transportin me mjete të rënda </w:t>
            </w:r>
          </w:p>
          <w:p w14:paraId="29DAD20B" w14:textId="77777777" w:rsidR="00835192" w:rsidRPr="00FF756A" w:rsidRDefault="00835192" w:rsidP="00835192">
            <w:pPr>
              <w:spacing w:before="20" w:after="20" w:line="240" w:lineRule="auto"/>
              <w:rPr>
                <w:i/>
                <w:iCs/>
                <w:sz w:val="20"/>
                <w:szCs w:val="20"/>
              </w:rPr>
            </w:pPr>
            <w:r w:rsidRPr="00FF756A">
              <w:rPr>
                <w:i/>
                <w:iCs/>
                <w:sz w:val="20"/>
                <w:szCs w:val="20"/>
              </w:rPr>
              <w:t>(G-T5)</w:t>
            </w:r>
          </w:p>
        </w:tc>
      </w:tr>
      <w:tr w:rsidR="00835192" w:rsidRPr="00FF756A" w14:paraId="60E512FD" w14:textId="77777777" w:rsidTr="004A3257">
        <w:trPr>
          <w:trHeight w:val="20"/>
        </w:trPr>
        <w:tc>
          <w:tcPr>
            <w:tcW w:w="1843" w:type="dxa"/>
          </w:tcPr>
          <w:p w14:paraId="2AF0AD46"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7224" w:type="dxa"/>
            <w:gridSpan w:val="4"/>
          </w:tcPr>
          <w:p w14:paraId="6E34210E" w14:textId="77777777" w:rsidR="00835192" w:rsidRPr="00FF756A" w:rsidRDefault="00835192" w:rsidP="00835192">
            <w:pPr>
              <w:spacing w:before="20" w:after="20" w:line="240" w:lineRule="auto"/>
              <w:rPr>
                <w:i/>
                <w:iCs/>
                <w:sz w:val="20"/>
                <w:szCs w:val="20"/>
              </w:rPr>
            </w:pPr>
            <w:r w:rsidRPr="00FF756A">
              <w:rPr>
                <w:i/>
                <w:iCs/>
                <w:sz w:val="20"/>
                <w:szCs w:val="20"/>
              </w:rPr>
              <w:t>2025 – në vazhdim</w:t>
            </w:r>
          </w:p>
        </w:tc>
      </w:tr>
      <w:tr w:rsidR="00835192" w:rsidRPr="00FF756A" w14:paraId="68371C03" w14:textId="77777777" w:rsidTr="004A3257">
        <w:trPr>
          <w:trHeight w:val="20"/>
        </w:trPr>
        <w:tc>
          <w:tcPr>
            <w:tcW w:w="1843" w:type="dxa"/>
          </w:tcPr>
          <w:p w14:paraId="4F166C52"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7224" w:type="dxa"/>
            <w:gridSpan w:val="4"/>
          </w:tcPr>
          <w:p w14:paraId="2A465BA9" w14:textId="12172640" w:rsidR="00835192" w:rsidRPr="00FF756A" w:rsidRDefault="00CF37CA" w:rsidP="00835192">
            <w:pPr>
              <w:spacing w:before="20" w:after="20" w:line="240" w:lineRule="auto"/>
              <w:rPr>
                <w:i/>
                <w:iCs/>
                <w:sz w:val="20"/>
                <w:szCs w:val="20"/>
              </w:rPr>
            </w:pPr>
            <w:r w:rsidRPr="00FF756A">
              <w:rPr>
                <w:i/>
                <w:iCs/>
                <w:sz w:val="20"/>
                <w:szCs w:val="20"/>
              </w:rPr>
              <w:t>S</w:t>
            </w:r>
            <w:r w:rsidR="00835192" w:rsidRPr="00FF756A">
              <w:rPr>
                <w:i/>
                <w:iCs/>
                <w:sz w:val="20"/>
                <w:szCs w:val="20"/>
              </w:rPr>
              <w:t>tudime</w:t>
            </w:r>
            <w:r w:rsidRPr="00FF756A">
              <w:rPr>
                <w:i/>
                <w:iCs/>
                <w:sz w:val="20"/>
                <w:szCs w:val="20"/>
              </w:rPr>
              <w:t xml:space="preserve"> bazë</w:t>
            </w:r>
            <w:r w:rsidR="00835192" w:rsidRPr="00FF756A">
              <w:rPr>
                <w:i/>
                <w:iCs/>
                <w:sz w:val="20"/>
                <w:szCs w:val="20"/>
              </w:rPr>
              <w:t xml:space="preserve"> për përdorimin e hidrogjenit ekologjik në transportin me mjete të rënda. Për shembull, ekziston mundësia e modifikimit të kamionëve me naftë për të funksionuar me hidrogjen ekologjik:</w:t>
            </w:r>
            <w:r w:rsidR="00835192" w:rsidRPr="00FF756A">
              <w:t xml:space="preserve"> </w:t>
            </w:r>
            <w:hyperlink r:id="rId53" w:anchor=":~:text=A%20cutting%2Dedge%20solution%20keeps,standard%20diesel%20into%20hydrogen%20engines.&amp;text=Heavy%2Dduty%20vehicles%20such%20as,road%20transport%20in%20the%20EU" w:history="1">
              <w:r w:rsidR="00835192" w:rsidRPr="00FF756A">
                <w:rPr>
                  <w:i/>
                  <w:iCs/>
                  <w:color w:val="0000FF"/>
                  <w:sz w:val="20"/>
                  <w:szCs w:val="20"/>
                  <w:u w:val="single"/>
                </w:rPr>
                <w:t>https://cordis.europa.eu/article/id/442780-retrofitted-zero-emission-trucks-to-hit-the-road-in-2023#:~:text=A%20cutting%2Dedge%20solution%20keeps,standard%20diesel%20into%20hydrogen%20engines.&amp;text=Heavy%2Dduty%20vehicles%20such%20as,road%20transport%20in%20the%20EU</w:t>
              </w:r>
            </w:hyperlink>
            <w:r w:rsidR="00835192" w:rsidRPr="00FF756A">
              <w:rPr>
                <w:i/>
                <w:iCs/>
                <w:sz w:val="20"/>
                <w:szCs w:val="20"/>
              </w:rPr>
              <w:t>. Hidrogjeni është i përshtatshëm për të zëvendësuar lëndët djegëse fosile në sektorin e transportit me mjete të rënda, pasi ka dendësi më të lartë energjie sesa bateritë elektrike, duke e bërë atë të përshtatshëm për automjetet që mbajnë ngarkesa të rënda në distanca të mëdha.</w:t>
            </w:r>
          </w:p>
        </w:tc>
      </w:tr>
      <w:tr w:rsidR="00835192" w:rsidRPr="00FF756A" w14:paraId="71959194" w14:textId="77777777" w:rsidTr="004A3257">
        <w:trPr>
          <w:trHeight w:val="20"/>
        </w:trPr>
        <w:tc>
          <w:tcPr>
            <w:tcW w:w="1843" w:type="dxa"/>
          </w:tcPr>
          <w:p w14:paraId="253A9315"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7224" w:type="dxa"/>
            <w:gridSpan w:val="4"/>
          </w:tcPr>
          <w:p w14:paraId="532946FF" w14:textId="77777777" w:rsidR="00835192" w:rsidRPr="00FF756A" w:rsidRDefault="00835192" w:rsidP="00835192">
            <w:pPr>
              <w:spacing w:before="20" w:after="20" w:line="240" w:lineRule="auto"/>
              <w:rPr>
                <w:i/>
                <w:iCs/>
                <w:sz w:val="20"/>
                <w:szCs w:val="20"/>
              </w:rPr>
            </w:pPr>
            <w:r w:rsidRPr="00FF756A">
              <w:rPr>
                <w:i/>
                <w:iCs/>
                <w:sz w:val="20"/>
                <w:szCs w:val="20"/>
              </w:rPr>
              <w:t xml:space="preserve">Asnjë masë e marrë deri më tani. </w:t>
            </w:r>
          </w:p>
        </w:tc>
      </w:tr>
      <w:tr w:rsidR="00835192" w:rsidRPr="00FF756A" w14:paraId="187CC790" w14:textId="77777777" w:rsidTr="004A3257">
        <w:trPr>
          <w:trHeight w:val="20"/>
        </w:trPr>
        <w:tc>
          <w:tcPr>
            <w:tcW w:w="1843" w:type="dxa"/>
          </w:tcPr>
          <w:p w14:paraId="11FEDF04"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7224" w:type="dxa"/>
            <w:gridSpan w:val="4"/>
          </w:tcPr>
          <w:p w14:paraId="79BE66DB" w14:textId="77777777" w:rsidR="00835192" w:rsidRPr="00FF756A" w:rsidRDefault="00835192" w:rsidP="00835192">
            <w:pPr>
              <w:spacing w:before="20" w:after="20" w:line="240" w:lineRule="auto"/>
              <w:rPr>
                <w:i/>
                <w:iCs/>
                <w:sz w:val="20"/>
                <w:szCs w:val="20"/>
              </w:rPr>
            </w:pPr>
            <w:r w:rsidRPr="00FF756A">
              <w:rPr>
                <w:i/>
                <w:iCs/>
                <w:sz w:val="20"/>
                <w:szCs w:val="20"/>
              </w:rPr>
              <w:t>Dekarbonizimi i transportit me mjete të rënda.</w:t>
            </w:r>
          </w:p>
        </w:tc>
      </w:tr>
      <w:tr w:rsidR="00835192" w:rsidRPr="00FF756A" w14:paraId="213EB5B7" w14:textId="77777777" w:rsidTr="004A3257">
        <w:trPr>
          <w:trHeight w:val="20"/>
        </w:trPr>
        <w:tc>
          <w:tcPr>
            <w:tcW w:w="1843" w:type="dxa"/>
          </w:tcPr>
          <w:p w14:paraId="0600974A"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7224" w:type="dxa"/>
            <w:gridSpan w:val="4"/>
          </w:tcPr>
          <w:p w14:paraId="5FB8994B" w14:textId="77777777" w:rsidR="00835192" w:rsidRPr="00FF756A" w:rsidRDefault="00835192" w:rsidP="008639B2">
            <w:pPr>
              <w:numPr>
                <w:ilvl w:val="0"/>
                <w:numId w:val="166"/>
              </w:numPr>
              <w:spacing w:before="20" w:after="20" w:line="240" w:lineRule="auto"/>
              <w:contextualSpacing/>
              <w:rPr>
                <w:i/>
                <w:iCs/>
                <w:sz w:val="20"/>
                <w:szCs w:val="20"/>
              </w:rPr>
            </w:pPr>
            <w:r w:rsidRPr="00FF756A">
              <w:rPr>
                <w:i/>
                <w:iCs/>
                <w:sz w:val="20"/>
                <w:szCs w:val="20"/>
              </w:rPr>
              <w:t>Zhvillimi i infrastrukturës së furnizimit në pika të rëndësishme, p.sh. terminalet e transportit të mallrave në porte</w:t>
            </w:r>
          </w:p>
          <w:p w14:paraId="47DDC0EA" w14:textId="77777777" w:rsidR="00835192" w:rsidRPr="00FF756A" w:rsidRDefault="00835192" w:rsidP="008639B2">
            <w:pPr>
              <w:numPr>
                <w:ilvl w:val="0"/>
                <w:numId w:val="166"/>
              </w:numPr>
              <w:spacing w:before="20" w:after="20" w:line="240" w:lineRule="auto"/>
              <w:contextualSpacing/>
              <w:rPr>
                <w:i/>
                <w:iCs/>
                <w:sz w:val="20"/>
                <w:szCs w:val="20"/>
              </w:rPr>
            </w:pPr>
            <w:r w:rsidRPr="00FF756A">
              <w:rPr>
                <w:i/>
                <w:iCs/>
                <w:sz w:val="20"/>
                <w:szCs w:val="20"/>
              </w:rPr>
              <w:t xml:space="preserve">Modifikimi i kamionëve ekzistues me naftë të kompanive shqiptare të transportit të mallrave për të funksionuar me hidrogjen </w:t>
            </w:r>
          </w:p>
        </w:tc>
      </w:tr>
      <w:tr w:rsidR="00835192" w:rsidRPr="00FF756A" w14:paraId="55901C94" w14:textId="77777777" w:rsidTr="004A3257">
        <w:trPr>
          <w:trHeight w:val="20"/>
        </w:trPr>
        <w:tc>
          <w:tcPr>
            <w:tcW w:w="1843" w:type="dxa"/>
          </w:tcPr>
          <w:p w14:paraId="7DCDE5C0"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232" w:type="dxa"/>
            <w:gridSpan w:val="3"/>
          </w:tcPr>
          <w:p w14:paraId="5EF3E066" w14:textId="77777777" w:rsidR="00835192" w:rsidRPr="00FF756A" w:rsidRDefault="00835192" w:rsidP="008639B2">
            <w:pPr>
              <w:numPr>
                <w:ilvl w:val="0"/>
                <w:numId w:val="165"/>
              </w:numPr>
              <w:spacing w:before="20" w:after="20" w:line="240" w:lineRule="auto"/>
              <w:contextualSpacing/>
              <w:rPr>
                <w:i/>
                <w:iCs/>
                <w:sz w:val="20"/>
                <w:szCs w:val="20"/>
              </w:rPr>
            </w:pPr>
            <w:r w:rsidRPr="00FF756A">
              <w:rPr>
                <w:i/>
                <w:iCs/>
                <w:sz w:val="20"/>
                <w:szCs w:val="20"/>
              </w:rPr>
              <w:t xml:space="preserve">Studimi i fizibilitetit së bashku me një terminal të transportit të mallrave në porte në lidhje me sigurimin e infrastrukturës së nevojshme të furnizimit </w:t>
            </w:r>
          </w:p>
          <w:p w14:paraId="4CF48764" w14:textId="77777777" w:rsidR="00835192" w:rsidRPr="00FF756A" w:rsidRDefault="00835192" w:rsidP="008639B2">
            <w:pPr>
              <w:numPr>
                <w:ilvl w:val="0"/>
                <w:numId w:val="165"/>
              </w:numPr>
              <w:spacing w:before="20" w:after="20" w:line="240" w:lineRule="auto"/>
              <w:contextualSpacing/>
              <w:rPr>
                <w:i/>
                <w:iCs/>
                <w:sz w:val="20"/>
                <w:szCs w:val="20"/>
              </w:rPr>
            </w:pPr>
            <w:r w:rsidRPr="00FF756A">
              <w:rPr>
                <w:i/>
                <w:iCs/>
                <w:sz w:val="20"/>
                <w:szCs w:val="20"/>
              </w:rPr>
              <w:t>Studimi i fizibilitetit së bashku me një kompani shqiptare të transportit të mallrave për modifikimin e kamionëve me naftë për të funksionuar me hidrogjen</w:t>
            </w:r>
          </w:p>
          <w:p w14:paraId="5BFAD51A" w14:textId="1D232D42" w:rsidR="00835192" w:rsidRPr="00FF756A" w:rsidRDefault="00835192" w:rsidP="008639B2">
            <w:pPr>
              <w:numPr>
                <w:ilvl w:val="0"/>
                <w:numId w:val="165"/>
              </w:numPr>
              <w:spacing w:before="20" w:after="20" w:line="240" w:lineRule="auto"/>
              <w:contextualSpacing/>
              <w:rPr>
                <w:i/>
                <w:iCs/>
                <w:sz w:val="20"/>
                <w:szCs w:val="20"/>
              </w:rPr>
            </w:pPr>
            <w:r w:rsidRPr="00FF756A">
              <w:rPr>
                <w:i/>
                <w:iCs/>
                <w:sz w:val="20"/>
                <w:szCs w:val="20"/>
              </w:rPr>
              <w:t xml:space="preserve">Hartimi i programit të financimit për mbështetjen e </w:t>
            </w:r>
            <w:r w:rsidR="00C45DDD" w:rsidRPr="00FF756A">
              <w:rPr>
                <w:i/>
                <w:iCs/>
                <w:sz w:val="20"/>
                <w:szCs w:val="20"/>
              </w:rPr>
              <w:t>nismëtarë</w:t>
            </w:r>
            <w:r w:rsidR="00131F8B" w:rsidRPr="00FF756A">
              <w:rPr>
                <w:i/>
                <w:iCs/>
                <w:sz w:val="20"/>
                <w:szCs w:val="20"/>
              </w:rPr>
              <w:t>vetë parë</w:t>
            </w:r>
            <w:r w:rsidRPr="00FF756A">
              <w:rPr>
                <w:i/>
                <w:iCs/>
                <w:sz w:val="20"/>
                <w:szCs w:val="20"/>
              </w:rPr>
              <w:t xml:space="preserve"> në zbatimin e masave</w:t>
            </w:r>
          </w:p>
          <w:p w14:paraId="40CE351D" w14:textId="77777777" w:rsidR="00835192" w:rsidRPr="00FF756A" w:rsidRDefault="00835192" w:rsidP="008639B2">
            <w:pPr>
              <w:numPr>
                <w:ilvl w:val="0"/>
                <w:numId w:val="165"/>
              </w:numPr>
              <w:spacing w:before="20" w:after="20" w:line="240" w:lineRule="auto"/>
              <w:contextualSpacing/>
              <w:rPr>
                <w:i/>
                <w:iCs/>
                <w:sz w:val="20"/>
                <w:szCs w:val="20"/>
              </w:rPr>
            </w:pPr>
            <w:r w:rsidRPr="00FF756A">
              <w:rPr>
                <w:i/>
                <w:iCs/>
                <w:sz w:val="20"/>
                <w:szCs w:val="20"/>
              </w:rPr>
              <w:t>Kuadri ligjor për përcaktimin e kërkesave të detyrueshme bazuar në mësimet e nxjerra nga zbatimi i programit të financimit</w:t>
            </w:r>
          </w:p>
        </w:tc>
        <w:tc>
          <w:tcPr>
            <w:tcW w:w="992" w:type="dxa"/>
          </w:tcPr>
          <w:p w14:paraId="41D87E3D"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2026</w:t>
            </w:r>
            <w:r w:rsidRPr="00FF756A">
              <w:rPr>
                <w:i/>
                <w:iCs/>
                <w:sz w:val="20"/>
                <w:szCs w:val="20"/>
              </w:rPr>
              <w:br/>
            </w:r>
            <w:r w:rsidRPr="00FF756A">
              <w:rPr>
                <w:i/>
                <w:iCs/>
                <w:sz w:val="20"/>
                <w:szCs w:val="20"/>
              </w:rPr>
              <w:br/>
              <w:t>Brenda vitit 2026</w:t>
            </w:r>
            <w:r w:rsidRPr="00FF756A">
              <w:rPr>
                <w:i/>
                <w:iCs/>
                <w:sz w:val="20"/>
                <w:szCs w:val="20"/>
              </w:rPr>
              <w:br/>
            </w:r>
          </w:p>
          <w:p w14:paraId="296FC8CC"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2028</w:t>
            </w:r>
          </w:p>
          <w:p w14:paraId="4076FD65" w14:textId="77777777" w:rsidR="00835192" w:rsidRPr="00FF756A" w:rsidRDefault="00835192" w:rsidP="00835192">
            <w:pPr>
              <w:spacing w:before="20" w:after="20" w:line="240" w:lineRule="auto"/>
              <w:rPr>
                <w:i/>
                <w:iCs/>
                <w:sz w:val="20"/>
                <w:szCs w:val="20"/>
              </w:rPr>
            </w:pPr>
          </w:p>
          <w:p w14:paraId="2FE3E9E1" w14:textId="77777777" w:rsidR="00835192" w:rsidRPr="00FF756A" w:rsidRDefault="00835192" w:rsidP="00835192">
            <w:pPr>
              <w:spacing w:before="20" w:after="20" w:line="240" w:lineRule="auto"/>
              <w:rPr>
                <w:i/>
                <w:iCs/>
                <w:sz w:val="20"/>
                <w:szCs w:val="20"/>
              </w:rPr>
            </w:pPr>
            <w:r w:rsidRPr="00FF756A">
              <w:rPr>
                <w:i/>
                <w:iCs/>
                <w:sz w:val="20"/>
                <w:szCs w:val="20"/>
              </w:rPr>
              <w:t>Nga viti 2030 e në vazhdim</w:t>
            </w:r>
          </w:p>
        </w:tc>
      </w:tr>
      <w:tr w:rsidR="00835192" w:rsidRPr="00FF756A" w14:paraId="202D3622" w14:textId="77777777" w:rsidTr="004A3257">
        <w:trPr>
          <w:trHeight w:val="20"/>
        </w:trPr>
        <w:tc>
          <w:tcPr>
            <w:tcW w:w="1843" w:type="dxa"/>
          </w:tcPr>
          <w:p w14:paraId="14A52A51"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7224" w:type="dxa"/>
            <w:gridSpan w:val="4"/>
          </w:tcPr>
          <w:p w14:paraId="5C48DA3B" w14:textId="77777777" w:rsidR="00131F8B" w:rsidRPr="00FF756A" w:rsidRDefault="00835192" w:rsidP="00835192">
            <w:pPr>
              <w:spacing w:before="20" w:after="20" w:line="240" w:lineRule="auto"/>
              <w:rPr>
                <w:i/>
                <w:iCs/>
                <w:sz w:val="20"/>
                <w:szCs w:val="20"/>
              </w:rPr>
            </w:pPr>
            <w:r w:rsidRPr="00FF756A">
              <w:rPr>
                <w:i/>
                <w:iCs/>
                <w:sz w:val="20"/>
                <w:szCs w:val="20"/>
              </w:rPr>
              <w:t xml:space="preserve">Nuk disponohet buxhet specifik për kostot e investimit dhe financimit; ato do të përcaktohen nga studimet e fizibilitetit; </w:t>
            </w:r>
          </w:p>
          <w:p w14:paraId="1F552305" w14:textId="698C05CE" w:rsidR="00835192" w:rsidRPr="00FF756A" w:rsidRDefault="00131F8B" w:rsidP="00835192">
            <w:pPr>
              <w:spacing w:before="20" w:after="20" w:line="240" w:lineRule="auto"/>
              <w:rPr>
                <w:i/>
                <w:iCs/>
                <w:sz w:val="20"/>
                <w:szCs w:val="20"/>
              </w:rPr>
            </w:pPr>
            <w:r w:rsidRPr="00FF756A">
              <w:rPr>
                <w:i/>
                <w:iCs/>
                <w:sz w:val="20"/>
                <w:szCs w:val="20"/>
              </w:rPr>
              <w:t>S</w:t>
            </w:r>
            <w:r w:rsidR="00835192" w:rsidRPr="00FF756A">
              <w:rPr>
                <w:i/>
                <w:iCs/>
                <w:sz w:val="20"/>
                <w:szCs w:val="20"/>
              </w:rPr>
              <w:t xml:space="preserve">tudimet e fizibilitetit do të financohen nga programet e asistencës teknike (shuma e përllogaritur: 20 000 euro për studim fizibiliteti); kostot e transaksionit për përgatitjen dhe zbatimin e programit të financimit (stafit); kostot e transaksionit për përgatitjen e kuadrit ligjor (stafit). </w:t>
            </w:r>
          </w:p>
        </w:tc>
      </w:tr>
      <w:tr w:rsidR="00835192" w:rsidRPr="00FF756A" w14:paraId="4D0B89CC" w14:textId="77777777" w:rsidTr="004A3257">
        <w:trPr>
          <w:trHeight w:val="20"/>
        </w:trPr>
        <w:tc>
          <w:tcPr>
            <w:tcW w:w="1843" w:type="dxa"/>
          </w:tcPr>
          <w:p w14:paraId="01827C7D"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05EE7B7D"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7224" w:type="dxa"/>
            <w:gridSpan w:val="4"/>
          </w:tcPr>
          <w:p w14:paraId="2904271B" w14:textId="77777777" w:rsidR="00835192" w:rsidRPr="00FF756A" w:rsidRDefault="00835192" w:rsidP="00835192">
            <w:pPr>
              <w:spacing w:before="20" w:after="20" w:line="240" w:lineRule="auto"/>
              <w:rPr>
                <w:i/>
                <w:iCs/>
                <w:sz w:val="20"/>
                <w:szCs w:val="20"/>
              </w:rPr>
            </w:pPr>
            <w:r w:rsidRPr="00FF756A">
              <w:rPr>
                <w:i/>
                <w:iCs/>
                <w:sz w:val="20"/>
                <w:szCs w:val="20"/>
              </w:rPr>
              <w:t xml:space="preserve">Ministria e Infrastrukturës dhe Energjisë, Ministria e Transportit, Ministria e Ekonomisë, Kulturës dhe Inovacionit, Ministria e Financave, Dhoma e Tregtisë dhe Industrisë, kompanitë përkatëse </w:t>
            </w:r>
          </w:p>
          <w:p w14:paraId="1F5CFABB"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w:t>
            </w:r>
          </w:p>
        </w:tc>
      </w:tr>
      <w:tr w:rsidR="00835192" w:rsidRPr="00FF756A" w14:paraId="42DAAAD3" w14:textId="77777777" w:rsidTr="004A3257">
        <w:trPr>
          <w:trHeight w:val="20"/>
        </w:trPr>
        <w:tc>
          <w:tcPr>
            <w:tcW w:w="1843" w:type="dxa"/>
          </w:tcPr>
          <w:p w14:paraId="4EB23F99"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7224" w:type="dxa"/>
            <w:gridSpan w:val="4"/>
          </w:tcPr>
          <w:p w14:paraId="273EA2B5" w14:textId="77777777" w:rsidR="00835192" w:rsidRPr="00FF756A" w:rsidRDefault="00835192" w:rsidP="00835192">
            <w:pPr>
              <w:spacing w:before="20" w:after="20" w:line="240" w:lineRule="auto"/>
              <w:rPr>
                <w:i/>
                <w:iCs/>
                <w:sz w:val="20"/>
                <w:szCs w:val="20"/>
              </w:rPr>
            </w:pPr>
            <w:r w:rsidRPr="00FF756A">
              <w:rPr>
                <w:i/>
                <w:iCs/>
                <w:sz w:val="20"/>
                <w:szCs w:val="20"/>
              </w:rPr>
              <w:t xml:space="preserve">Efiçenca e energjisë; Kërkimi, inovacioni dhe konkurrenca </w:t>
            </w:r>
          </w:p>
          <w:p w14:paraId="28F4B03A" w14:textId="77777777" w:rsidR="00835192" w:rsidRPr="00FF756A" w:rsidRDefault="00835192" w:rsidP="00835192">
            <w:pPr>
              <w:spacing w:before="20" w:after="20" w:line="240" w:lineRule="auto"/>
              <w:rPr>
                <w:i/>
                <w:iCs/>
                <w:sz w:val="20"/>
                <w:szCs w:val="20"/>
              </w:rPr>
            </w:pPr>
            <w:r w:rsidRPr="00FF756A">
              <w:rPr>
                <w:i/>
                <w:iCs/>
                <w:sz w:val="20"/>
                <w:szCs w:val="20"/>
              </w:rPr>
              <w:t xml:space="preserve">Marrëdhënia me PM-në e mëposhtme: </w:t>
            </w:r>
          </w:p>
          <w:p w14:paraId="4E197CEF" w14:textId="77777777" w:rsidR="00835192" w:rsidRPr="00FF756A" w:rsidRDefault="00835192" w:rsidP="00835192">
            <w:pPr>
              <w:spacing w:before="20" w:after="20" w:line="240" w:lineRule="auto"/>
              <w:rPr>
                <w:i/>
                <w:iCs/>
                <w:sz w:val="20"/>
                <w:szCs w:val="20"/>
              </w:rPr>
            </w:pPr>
            <w:r w:rsidRPr="00FF756A">
              <w:rPr>
                <w:i/>
                <w:iCs/>
                <w:sz w:val="20"/>
                <w:szCs w:val="20"/>
              </w:rPr>
              <w:t>G-I6 Strategjia e hidrogjenit ekologjik</w:t>
            </w:r>
          </w:p>
        </w:tc>
      </w:tr>
    </w:tbl>
    <w:p w14:paraId="59D83DDD" w14:textId="77777777" w:rsidR="00835192" w:rsidRPr="00FF756A" w:rsidRDefault="00835192" w:rsidP="00835192">
      <w:pPr>
        <w:spacing w:before="0" w:after="0" w:line="240" w:lineRule="auto"/>
        <w:jc w:val="left"/>
      </w:pPr>
      <w:r w:rsidRPr="00FF756A">
        <w:br w:type="page"/>
      </w:r>
    </w:p>
    <w:p w14:paraId="57CA1FA0" w14:textId="77777777" w:rsidR="00835192" w:rsidRPr="00FF756A" w:rsidRDefault="00835192" w:rsidP="00835192"/>
    <w:p w14:paraId="3310CF82" w14:textId="44367F6B" w:rsidR="00B4598E" w:rsidRPr="00FF756A" w:rsidRDefault="00835192" w:rsidP="004A3257">
      <w:pPr>
        <w:pStyle w:val="Heading4"/>
        <w:numPr>
          <w:ilvl w:val="0"/>
          <w:numId w:val="0"/>
        </w:numPr>
        <w:ind w:left="864" w:hanging="864"/>
        <w:rPr>
          <w:rFonts w:cs="Times New Roman"/>
        </w:rPr>
      </w:pPr>
      <w:bookmarkStart w:id="337" w:name="_Toc183639226"/>
      <w:r w:rsidRPr="00FF756A">
        <w:rPr>
          <w:rFonts w:cs="Times New Roman"/>
        </w:rPr>
        <w:t>Sektori i ndërtesave</w:t>
      </w:r>
      <w:bookmarkEnd w:id="337"/>
    </w:p>
    <w:tbl>
      <w:tblPr>
        <w:tblStyle w:val="TableGrid"/>
        <w:tblW w:w="0" w:type="auto"/>
        <w:tblBorders>
          <w:left w:val="none" w:sz="0" w:space="0" w:color="auto"/>
          <w:right w:val="none" w:sz="0" w:space="0" w:color="auto"/>
        </w:tblBorders>
        <w:tblLook w:val="04A0" w:firstRow="1" w:lastRow="0" w:firstColumn="1" w:lastColumn="0" w:noHBand="0" w:noVBand="1"/>
      </w:tblPr>
      <w:tblGrid>
        <w:gridCol w:w="2186"/>
        <w:gridCol w:w="1292"/>
        <w:gridCol w:w="605"/>
        <w:gridCol w:w="433"/>
        <w:gridCol w:w="2992"/>
        <w:gridCol w:w="1554"/>
      </w:tblGrid>
      <w:tr w:rsidR="00835192" w:rsidRPr="00FF756A" w14:paraId="11BACCAD" w14:textId="77777777" w:rsidTr="004A3257">
        <w:trPr>
          <w:trHeight w:val="20"/>
        </w:trPr>
        <w:tc>
          <w:tcPr>
            <w:tcW w:w="4516"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75CE930"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6"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26A9D2D" w14:textId="77777777" w:rsidR="00835192" w:rsidRPr="00FF756A" w:rsidRDefault="00835192" w:rsidP="008639B2">
            <w:pPr>
              <w:numPr>
                <w:ilvl w:val="0"/>
                <w:numId w:val="72"/>
              </w:numPr>
              <w:spacing w:before="20" w:after="20" w:line="240" w:lineRule="auto"/>
              <w:contextualSpacing/>
              <w:rPr>
                <w:i/>
                <w:iCs/>
                <w:sz w:val="20"/>
                <w:szCs w:val="20"/>
              </w:rPr>
            </w:pPr>
            <w:r w:rsidRPr="00FF756A">
              <w:rPr>
                <w:i/>
                <w:iCs/>
                <w:sz w:val="20"/>
                <w:szCs w:val="20"/>
              </w:rPr>
              <w:t>Dekarbonizimi</w:t>
            </w:r>
          </w:p>
          <w:p w14:paraId="4F1C74D4" w14:textId="6529F78A" w:rsidR="00835192" w:rsidRPr="00FF756A" w:rsidRDefault="00835192" w:rsidP="004A3257">
            <w:pPr>
              <w:spacing w:before="20" w:after="20" w:line="240" w:lineRule="auto"/>
              <w:contextualSpacing/>
              <w:rPr>
                <w:i/>
                <w:iCs/>
                <w:sz w:val="20"/>
                <w:szCs w:val="20"/>
              </w:rPr>
            </w:pPr>
            <w:r w:rsidRPr="00FF756A">
              <w:rPr>
                <w:i/>
                <w:iCs/>
                <w:sz w:val="20"/>
                <w:szCs w:val="20"/>
              </w:rPr>
              <w:t>Shkarkimet dhe eliminimi i GES-ve</w:t>
            </w:r>
          </w:p>
        </w:tc>
      </w:tr>
      <w:tr w:rsidR="00835192" w:rsidRPr="00FF756A" w14:paraId="640D28DF" w14:textId="77777777" w:rsidTr="004A3257">
        <w:trPr>
          <w:trHeight w:val="20"/>
        </w:trPr>
        <w:tc>
          <w:tcPr>
            <w:tcW w:w="4083"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64AC34B"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9"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D32E1CC" w14:textId="77777777" w:rsidR="00835192" w:rsidRPr="00FF756A" w:rsidRDefault="00835192" w:rsidP="00835192">
            <w:pPr>
              <w:spacing w:before="20" w:after="20" w:line="240" w:lineRule="auto"/>
              <w:rPr>
                <w:i/>
                <w:iCs/>
                <w:sz w:val="20"/>
                <w:szCs w:val="20"/>
              </w:rPr>
            </w:pPr>
            <w:r w:rsidRPr="00FF756A">
              <w:rPr>
                <w:i/>
                <w:iCs/>
                <w:sz w:val="20"/>
                <w:szCs w:val="20"/>
              </w:rPr>
              <w:t>Sektori i ndërtesave</w:t>
            </w:r>
          </w:p>
        </w:tc>
      </w:tr>
      <w:tr w:rsidR="00835192" w:rsidRPr="00FF756A" w14:paraId="6763EEEF" w14:textId="77777777" w:rsidTr="004A3257">
        <w:trPr>
          <w:trHeight w:val="20"/>
        </w:trPr>
        <w:tc>
          <w:tcPr>
            <w:tcW w:w="3478" w:type="dxa"/>
            <w:gridSpan w:val="2"/>
            <w:tcBorders>
              <w:top w:val="single" w:sz="4" w:space="0" w:color="auto"/>
              <w:left w:val="single" w:sz="4" w:space="0" w:color="auto"/>
              <w:bottom w:val="single" w:sz="4" w:space="0" w:color="auto"/>
              <w:right w:val="single" w:sz="4" w:space="0" w:color="auto"/>
            </w:tcBorders>
          </w:tcPr>
          <w:p w14:paraId="67E5E414"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796BB0C6"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4" w:type="dxa"/>
            <w:gridSpan w:val="4"/>
            <w:tcBorders>
              <w:top w:val="single" w:sz="4" w:space="0" w:color="auto"/>
              <w:left w:val="single" w:sz="4" w:space="0" w:color="auto"/>
              <w:bottom w:val="single" w:sz="4" w:space="0" w:color="auto"/>
              <w:right w:val="single" w:sz="4" w:space="0" w:color="auto"/>
            </w:tcBorders>
          </w:tcPr>
          <w:p w14:paraId="33699025" w14:textId="77777777" w:rsidR="00835192" w:rsidRPr="00FF756A" w:rsidRDefault="00835192" w:rsidP="00835192">
            <w:pPr>
              <w:spacing w:before="20" w:after="20" w:line="240" w:lineRule="auto"/>
              <w:rPr>
                <w:i/>
                <w:iCs/>
                <w:sz w:val="20"/>
                <w:szCs w:val="20"/>
              </w:rPr>
            </w:pPr>
            <w:r w:rsidRPr="00FF756A">
              <w:rPr>
                <w:i/>
                <w:iCs/>
                <w:sz w:val="20"/>
                <w:szCs w:val="20"/>
              </w:rPr>
              <w:t>WEM</w:t>
            </w:r>
          </w:p>
          <w:p w14:paraId="73CBAACA" w14:textId="77777777" w:rsidR="00835192" w:rsidRPr="00FF756A" w:rsidRDefault="00835192" w:rsidP="00835192">
            <w:pPr>
              <w:spacing w:before="20" w:after="20" w:line="240" w:lineRule="auto"/>
              <w:rPr>
                <w:i/>
                <w:iCs/>
                <w:sz w:val="20"/>
                <w:szCs w:val="20"/>
              </w:rPr>
            </w:pPr>
            <w:r w:rsidRPr="00FF756A">
              <w:rPr>
                <w:i/>
                <w:iCs/>
                <w:sz w:val="20"/>
                <w:szCs w:val="20"/>
              </w:rPr>
              <w:t>Rregullator; Financiar; Edukativ</w:t>
            </w:r>
          </w:p>
        </w:tc>
      </w:tr>
      <w:tr w:rsidR="00835192" w:rsidRPr="00FF756A" w14:paraId="26DFA92D" w14:textId="77777777" w:rsidTr="004A3257">
        <w:trPr>
          <w:trHeight w:val="20"/>
        </w:trPr>
        <w:tc>
          <w:tcPr>
            <w:tcW w:w="2186" w:type="dxa"/>
            <w:tcBorders>
              <w:top w:val="single" w:sz="4" w:space="0" w:color="auto"/>
              <w:left w:val="single" w:sz="4" w:space="0" w:color="auto"/>
              <w:bottom w:val="single" w:sz="4" w:space="0" w:color="auto"/>
              <w:right w:val="single" w:sz="4" w:space="0" w:color="auto"/>
            </w:tcBorders>
          </w:tcPr>
          <w:p w14:paraId="7FD221DC"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3B69E95C"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6" w:type="dxa"/>
            <w:gridSpan w:val="5"/>
            <w:tcBorders>
              <w:top w:val="single" w:sz="4" w:space="0" w:color="auto"/>
              <w:left w:val="single" w:sz="4" w:space="0" w:color="auto"/>
              <w:bottom w:val="single" w:sz="4" w:space="0" w:color="auto"/>
              <w:right w:val="single" w:sz="4" w:space="0" w:color="auto"/>
            </w:tcBorders>
          </w:tcPr>
          <w:p w14:paraId="692A52C0" w14:textId="77777777" w:rsidR="00835192" w:rsidRPr="00FF756A" w:rsidRDefault="00835192" w:rsidP="00835192">
            <w:pPr>
              <w:spacing w:before="20" w:after="20" w:line="240" w:lineRule="auto"/>
              <w:rPr>
                <w:i/>
                <w:iCs/>
                <w:sz w:val="20"/>
                <w:szCs w:val="20"/>
              </w:rPr>
            </w:pPr>
            <w:r w:rsidRPr="00FF756A">
              <w:rPr>
                <w:i/>
                <w:iCs/>
                <w:sz w:val="20"/>
                <w:szCs w:val="20"/>
              </w:rPr>
              <w:t>Politikat për nxitjen e përdorimit të BRE-ve në sektorin e ngrohjes dhe ftohjes</w:t>
            </w:r>
          </w:p>
          <w:p w14:paraId="17B571E9" w14:textId="77777777" w:rsidR="00835192" w:rsidRPr="00FF756A" w:rsidRDefault="00835192" w:rsidP="00835192">
            <w:pPr>
              <w:spacing w:before="20" w:after="20" w:line="240" w:lineRule="auto"/>
              <w:rPr>
                <w:i/>
                <w:iCs/>
                <w:sz w:val="20"/>
                <w:szCs w:val="20"/>
              </w:rPr>
            </w:pPr>
            <w:r w:rsidRPr="00FF756A">
              <w:rPr>
                <w:i/>
                <w:iCs/>
                <w:sz w:val="20"/>
                <w:szCs w:val="20"/>
              </w:rPr>
              <w:t>(G-B1)</w:t>
            </w:r>
          </w:p>
        </w:tc>
      </w:tr>
      <w:tr w:rsidR="00835192" w:rsidRPr="00FF756A" w14:paraId="7F08A601" w14:textId="77777777" w:rsidTr="004A3257">
        <w:trPr>
          <w:trHeight w:val="20"/>
        </w:trPr>
        <w:tc>
          <w:tcPr>
            <w:tcW w:w="2186" w:type="dxa"/>
            <w:tcBorders>
              <w:top w:val="single" w:sz="4" w:space="0" w:color="auto"/>
              <w:left w:val="single" w:sz="4" w:space="0" w:color="auto"/>
              <w:bottom w:val="single" w:sz="4" w:space="0" w:color="auto"/>
              <w:right w:val="single" w:sz="4" w:space="0" w:color="auto"/>
            </w:tcBorders>
          </w:tcPr>
          <w:p w14:paraId="6D69D94B"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6" w:type="dxa"/>
            <w:gridSpan w:val="5"/>
            <w:tcBorders>
              <w:top w:val="single" w:sz="4" w:space="0" w:color="auto"/>
              <w:left w:val="single" w:sz="4" w:space="0" w:color="auto"/>
              <w:bottom w:val="single" w:sz="4" w:space="0" w:color="auto"/>
              <w:right w:val="single" w:sz="4" w:space="0" w:color="auto"/>
            </w:tcBorders>
          </w:tcPr>
          <w:p w14:paraId="10C20A0F" w14:textId="77777777" w:rsidR="00835192" w:rsidRPr="00FF756A" w:rsidRDefault="00835192" w:rsidP="00835192">
            <w:pPr>
              <w:spacing w:before="20" w:after="20" w:line="240" w:lineRule="auto"/>
              <w:rPr>
                <w:i/>
                <w:iCs/>
                <w:sz w:val="20"/>
                <w:szCs w:val="20"/>
              </w:rPr>
            </w:pPr>
            <w:r w:rsidRPr="00FF756A">
              <w:rPr>
                <w:i/>
                <w:iCs/>
                <w:sz w:val="20"/>
                <w:szCs w:val="20"/>
              </w:rPr>
              <w:t>2017 – 2030</w:t>
            </w:r>
          </w:p>
        </w:tc>
      </w:tr>
      <w:tr w:rsidR="00835192" w:rsidRPr="00FF756A" w14:paraId="2D6E177E" w14:textId="77777777" w:rsidTr="004A3257">
        <w:trPr>
          <w:trHeight w:val="20"/>
        </w:trPr>
        <w:tc>
          <w:tcPr>
            <w:tcW w:w="2186" w:type="dxa"/>
            <w:tcBorders>
              <w:top w:val="single" w:sz="4" w:space="0" w:color="auto"/>
              <w:left w:val="single" w:sz="4" w:space="0" w:color="auto"/>
              <w:bottom w:val="single" w:sz="4" w:space="0" w:color="auto"/>
              <w:right w:val="single" w:sz="4" w:space="0" w:color="auto"/>
            </w:tcBorders>
          </w:tcPr>
          <w:p w14:paraId="09D57C49"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6" w:type="dxa"/>
            <w:gridSpan w:val="5"/>
            <w:tcBorders>
              <w:top w:val="single" w:sz="4" w:space="0" w:color="auto"/>
              <w:left w:val="single" w:sz="4" w:space="0" w:color="auto"/>
              <w:bottom w:val="single" w:sz="4" w:space="0" w:color="auto"/>
              <w:right w:val="single" w:sz="4" w:space="0" w:color="auto"/>
            </w:tcBorders>
          </w:tcPr>
          <w:p w14:paraId="5E0DC32D" w14:textId="77777777" w:rsidR="00835192" w:rsidRPr="00FF756A" w:rsidRDefault="00835192" w:rsidP="00835192">
            <w:pPr>
              <w:spacing w:before="20" w:after="20" w:line="240" w:lineRule="auto"/>
              <w:rPr>
                <w:i/>
                <w:iCs/>
                <w:sz w:val="20"/>
                <w:szCs w:val="20"/>
              </w:rPr>
            </w:pPr>
            <w:r w:rsidRPr="00FF756A">
              <w:rPr>
                <w:i/>
                <w:iCs/>
                <w:sz w:val="20"/>
                <w:szCs w:val="20"/>
              </w:rPr>
              <w:t>Ligji nr. 24/2023, datë 23.3.2023, “Për nxitjen e përdorimit të energjisë nga burimet e rinovueshme”</w:t>
            </w:r>
          </w:p>
          <w:p w14:paraId="51057A33" w14:textId="5B3FE4C8" w:rsidR="00835192" w:rsidRPr="00FF756A" w:rsidRDefault="00835192" w:rsidP="00835192">
            <w:pPr>
              <w:spacing w:before="20" w:after="20" w:line="240" w:lineRule="auto"/>
              <w:rPr>
                <w:i/>
                <w:iCs/>
                <w:sz w:val="20"/>
                <w:szCs w:val="20"/>
              </w:rPr>
            </w:pPr>
            <w:r w:rsidRPr="00FF756A">
              <w:rPr>
                <w:i/>
                <w:iCs/>
                <w:sz w:val="20"/>
                <w:szCs w:val="20"/>
              </w:rPr>
              <w:t xml:space="preserve">Ligji </w:t>
            </w:r>
            <w:r w:rsidR="00634E84" w:rsidRPr="00FF756A">
              <w:rPr>
                <w:i/>
                <w:iCs/>
                <w:sz w:val="20"/>
                <w:szCs w:val="20"/>
              </w:rPr>
              <w:t xml:space="preserve">116/2016 </w:t>
            </w:r>
            <w:r w:rsidRPr="00FF756A">
              <w:rPr>
                <w:i/>
                <w:iCs/>
                <w:sz w:val="20"/>
                <w:szCs w:val="20"/>
              </w:rPr>
              <w:t>“Për performancën e energjisë së ndërtesave”</w:t>
            </w:r>
            <w:r w:rsidR="00634E84" w:rsidRPr="00FF756A">
              <w:rPr>
                <w:rStyle w:val="FootnoteReference"/>
                <w:i/>
                <w:iCs/>
                <w:sz w:val="20"/>
                <w:szCs w:val="20"/>
              </w:rPr>
              <w:footnoteReference w:id="12"/>
            </w:r>
          </w:p>
          <w:p w14:paraId="5A2DE319" w14:textId="41F2116A" w:rsidR="00835192" w:rsidRPr="00FF756A" w:rsidRDefault="00835192" w:rsidP="00835192">
            <w:pPr>
              <w:spacing w:before="20" w:after="20" w:line="240" w:lineRule="auto"/>
              <w:rPr>
                <w:i/>
                <w:iCs/>
                <w:sz w:val="20"/>
                <w:szCs w:val="20"/>
              </w:rPr>
            </w:pPr>
            <w:r w:rsidRPr="00FF756A">
              <w:rPr>
                <w:i/>
                <w:iCs/>
                <w:sz w:val="20"/>
                <w:szCs w:val="20"/>
              </w:rPr>
              <w:t>Ligji</w:t>
            </w:r>
            <w:r w:rsidR="00F65F24" w:rsidRPr="00FF756A">
              <w:rPr>
                <w:i/>
                <w:iCs/>
                <w:sz w:val="20"/>
                <w:szCs w:val="20"/>
              </w:rPr>
              <w:t xml:space="preserve"> 124/2015</w:t>
            </w:r>
            <w:r w:rsidRPr="00FF756A">
              <w:rPr>
                <w:i/>
                <w:iCs/>
                <w:sz w:val="20"/>
                <w:szCs w:val="20"/>
              </w:rPr>
              <w:t xml:space="preserve"> “Për efiçencën e energjisë”</w:t>
            </w:r>
            <w:r w:rsidR="00F65F24" w:rsidRPr="00FF756A">
              <w:rPr>
                <w:i/>
                <w:iCs/>
                <w:sz w:val="20"/>
                <w:szCs w:val="20"/>
              </w:rPr>
              <w:t>, i ndryshuar</w:t>
            </w:r>
            <w:r w:rsidR="00AE5D64" w:rsidRPr="00FF756A">
              <w:rPr>
                <w:i/>
                <w:iCs/>
                <w:sz w:val="20"/>
                <w:szCs w:val="20"/>
              </w:rPr>
              <w:t xml:space="preserve"> me ligjin 5/2019</w:t>
            </w:r>
          </w:p>
        </w:tc>
      </w:tr>
      <w:tr w:rsidR="00835192" w:rsidRPr="00FF756A" w14:paraId="6B3F3BD2" w14:textId="77777777" w:rsidTr="004A3257">
        <w:trPr>
          <w:trHeight w:val="20"/>
        </w:trPr>
        <w:tc>
          <w:tcPr>
            <w:tcW w:w="2186" w:type="dxa"/>
            <w:tcBorders>
              <w:top w:val="single" w:sz="4" w:space="0" w:color="auto"/>
              <w:left w:val="single" w:sz="4" w:space="0" w:color="auto"/>
              <w:bottom w:val="single" w:sz="4" w:space="0" w:color="auto"/>
              <w:right w:val="single" w:sz="4" w:space="0" w:color="auto"/>
            </w:tcBorders>
          </w:tcPr>
          <w:p w14:paraId="7387F557"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6" w:type="dxa"/>
            <w:gridSpan w:val="5"/>
            <w:tcBorders>
              <w:top w:val="single" w:sz="4" w:space="0" w:color="auto"/>
              <w:left w:val="single" w:sz="4" w:space="0" w:color="auto"/>
              <w:bottom w:val="single" w:sz="4" w:space="0" w:color="auto"/>
              <w:right w:val="single" w:sz="4" w:space="0" w:color="auto"/>
            </w:tcBorders>
          </w:tcPr>
          <w:p w14:paraId="41DC1021" w14:textId="77777777" w:rsidR="00835192" w:rsidRPr="00FF756A" w:rsidRDefault="00835192" w:rsidP="00835192">
            <w:pPr>
              <w:spacing w:before="20" w:after="20" w:line="240" w:lineRule="auto"/>
              <w:rPr>
                <w:i/>
                <w:iCs/>
                <w:sz w:val="20"/>
                <w:szCs w:val="20"/>
              </w:rPr>
            </w:pPr>
            <w:r w:rsidRPr="00FF756A">
              <w:rPr>
                <w:i/>
                <w:iCs/>
                <w:sz w:val="20"/>
                <w:szCs w:val="20"/>
              </w:rPr>
              <w:t>Deri më tani, janë ndërmarrë aktivitete për rritjen e kapaciteteve në njësitë e qeverisjes qendrore dhe vendore (bashkitë).</w:t>
            </w:r>
          </w:p>
          <w:p w14:paraId="32638FD7" w14:textId="77777777" w:rsidR="00835192" w:rsidRPr="00FF756A" w:rsidRDefault="00835192" w:rsidP="00835192">
            <w:pPr>
              <w:spacing w:before="20" w:after="20" w:line="240" w:lineRule="auto"/>
              <w:rPr>
                <w:i/>
                <w:iCs/>
                <w:sz w:val="20"/>
                <w:szCs w:val="20"/>
              </w:rPr>
            </w:pPr>
            <w:r w:rsidRPr="00FF756A">
              <w:rPr>
                <w:i/>
                <w:iCs/>
                <w:sz w:val="20"/>
                <w:szCs w:val="20"/>
              </w:rPr>
              <w:t>2000 panele diellore për ngrohjen e ujit (sisteme termike diellore) janë subvencionuar në masën 70% nga qeveria e Shqipërisë.</w:t>
            </w:r>
          </w:p>
          <w:p w14:paraId="3091FA62" w14:textId="77777777" w:rsidR="00835192" w:rsidRPr="00FF756A" w:rsidRDefault="00835192" w:rsidP="00835192">
            <w:pPr>
              <w:spacing w:before="20" w:after="20" w:line="240" w:lineRule="auto"/>
              <w:rPr>
                <w:sz w:val="18"/>
                <w:szCs w:val="18"/>
              </w:rPr>
            </w:pPr>
            <w:r w:rsidRPr="00FF756A">
              <w:rPr>
                <w:i/>
                <w:iCs/>
                <w:sz w:val="20"/>
                <w:szCs w:val="20"/>
              </w:rPr>
              <w:t>Ligji i ri parashikon një skemë për mbështetjen e BRE-ve në sektorin e ngrohjes dhe ftohjes.</w:t>
            </w:r>
          </w:p>
        </w:tc>
      </w:tr>
      <w:tr w:rsidR="00835192" w:rsidRPr="00FF756A" w14:paraId="28311751" w14:textId="77777777" w:rsidTr="004A3257">
        <w:trPr>
          <w:trHeight w:val="20"/>
        </w:trPr>
        <w:tc>
          <w:tcPr>
            <w:tcW w:w="2186" w:type="dxa"/>
            <w:tcBorders>
              <w:top w:val="single" w:sz="4" w:space="0" w:color="auto"/>
              <w:left w:val="single" w:sz="4" w:space="0" w:color="auto"/>
              <w:bottom w:val="single" w:sz="4" w:space="0" w:color="auto"/>
              <w:right w:val="single" w:sz="4" w:space="0" w:color="auto"/>
            </w:tcBorders>
          </w:tcPr>
          <w:p w14:paraId="73E6C64C"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6" w:type="dxa"/>
            <w:gridSpan w:val="5"/>
            <w:tcBorders>
              <w:top w:val="single" w:sz="4" w:space="0" w:color="auto"/>
              <w:left w:val="single" w:sz="4" w:space="0" w:color="auto"/>
              <w:bottom w:val="single" w:sz="4" w:space="0" w:color="auto"/>
              <w:right w:val="single" w:sz="4" w:space="0" w:color="auto"/>
            </w:tcBorders>
          </w:tcPr>
          <w:p w14:paraId="775237BC" w14:textId="77777777" w:rsidR="00835192" w:rsidRPr="00FF756A" w:rsidRDefault="00835192" w:rsidP="00835192">
            <w:pPr>
              <w:spacing w:before="20" w:after="20" w:line="240" w:lineRule="auto"/>
              <w:rPr>
                <w:i/>
                <w:iCs/>
                <w:sz w:val="20"/>
                <w:szCs w:val="20"/>
              </w:rPr>
            </w:pPr>
            <w:r w:rsidRPr="00FF756A">
              <w:rPr>
                <w:i/>
                <w:iCs/>
                <w:sz w:val="20"/>
                <w:szCs w:val="20"/>
              </w:rPr>
              <w:t xml:space="preserve">Nxitja e përdorimit të gjerë të energjive të rinovueshme për ngrohje dhe ftohje </w:t>
            </w:r>
          </w:p>
        </w:tc>
      </w:tr>
      <w:tr w:rsidR="00835192" w:rsidRPr="00FF756A" w14:paraId="3A61BF58" w14:textId="77777777" w:rsidTr="004A3257">
        <w:trPr>
          <w:trHeight w:val="20"/>
        </w:trPr>
        <w:tc>
          <w:tcPr>
            <w:tcW w:w="2186" w:type="dxa"/>
            <w:tcBorders>
              <w:top w:val="single" w:sz="4" w:space="0" w:color="auto"/>
              <w:left w:val="single" w:sz="4" w:space="0" w:color="auto"/>
              <w:bottom w:val="single" w:sz="4" w:space="0" w:color="auto"/>
              <w:right w:val="single" w:sz="4" w:space="0" w:color="auto"/>
            </w:tcBorders>
          </w:tcPr>
          <w:p w14:paraId="7E58472D"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6" w:type="dxa"/>
            <w:gridSpan w:val="5"/>
            <w:tcBorders>
              <w:top w:val="single" w:sz="4" w:space="0" w:color="auto"/>
              <w:left w:val="single" w:sz="4" w:space="0" w:color="auto"/>
              <w:bottom w:val="single" w:sz="4" w:space="0" w:color="auto"/>
              <w:right w:val="single" w:sz="4" w:space="0" w:color="auto"/>
            </w:tcBorders>
          </w:tcPr>
          <w:p w14:paraId="1BAF97D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Rritja e kapacitetit të instaluar të BRE-ve në ndërtesa </w:t>
            </w:r>
          </w:p>
        </w:tc>
      </w:tr>
      <w:tr w:rsidR="00835192" w:rsidRPr="00FF756A" w14:paraId="533D97AB" w14:textId="77777777" w:rsidTr="004A3257">
        <w:trPr>
          <w:trHeight w:val="20"/>
        </w:trPr>
        <w:tc>
          <w:tcPr>
            <w:tcW w:w="2186" w:type="dxa"/>
            <w:tcBorders>
              <w:top w:val="single" w:sz="4" w:space="0" w:color="auto"/>
              <w:left w:val="single" w:sz="4" w:space="0" w:color="auto"/>
              <w:bottom w:val="single" w:sz="4" w:space="0" w:color="auto"/>
              <w:right w:val="single" w:sz="4" w:space="0" w:color="auto"/>
            </w:tcBorders>
          </w:tcPr>
          <w:p w14:paraId="52F66670"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5322" w:type="dxa"/>
            <w:gridSpan w:val="4"/>
            <w:tcBorders>
              <w:top w:val="single" w:sz="4" w:space="0" w:color="auto"/>
              <w:left w:val="single" w:sz="4" w:space="0" w:color="auto"/>
              <w:bottom w:val="single" w:sz="4" w:space="0" w:color="auto"/>
              <w:right w:val="single" w:sz="4" w:space="0" w:color="auto"/>
            </w:tcBorders>
          </w:tcPr>
          <w:p w14:paraId="51C4BDD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VKM për të mbështetur arritjen e objektivit kombëtar për burimet e rinovueshme të energjisë në sektorin e ngrohjes dhe ftohjes.</w:t>
            </w:r>
          </w:p>
          <w:p w14:paraId="03B4A5B3" w14:textId="23397650"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Përcaktimi i </w:t>
            </w:r>
            <w:r w:rsidR="001B6124" w:rsidRPr="00FF756A">
              <w:rPr>
                <w:i/>
                <w:iCs/>
                <w:sz w:val="20"/>
                <w:szCs w:val="20"/>
              </w:rPr>
              <w:t xml:space="preserve">treguesve </w:t>
            </w:r>
            <w:r w:rsidRPr="00FF756A">
              <w:rPr>
                <w:i/>
                <w:iCs/>
                <w:sz w:val="20"/>
                <w:szCs w:val="20"/>
              </w:rPr>
              <w:t>minimal për përdorimin e energjisë diellore duke marrë në konsideratë sasinë e rrezatimit diellor për zona të ndryshme të vendit.</w:t>
            </w:r>
          </w:p>
          <w:p w14:paraId="3742EA55" w14:textId="1D8D06AA" w:rsidR="00835192" w:rsidRPr="00FF756A" w:rsidRDefault="00835192" w:rsidP="004A3257">
            <w:pPr>
              <w:numPr>
                <w:ilvl w:val="0"/>
                <w:numId w:val="71"/>
              </w:numPr>
              <w:spacing w:before="20" w:after="20" w:line="240" w:lineRule="auto"/>
              <w:contextualSpacing/>
              <w:rPr>
                <w:i/>
                <w:iCs/>
                <w:sz w:val="20"/>
                <w:szCs w:val="20"/>
              </w:rPr>
            </w:pPr>
            <w:r w:rsidRPr="00FF756A">
              <w:rPr>
                <w:i/>
                <w:iCs/>
                <w:sz w:val="20"/>
                <w:szCs w:val="20"/>
              </w:rPr>
              <w:t xml:space="preserve">Miratimi i kritereve specifike për llogaritjen e energjisë diellore të përdorur për përftimin e ujit të ngrohtë veçanërisht ose si pjesë e kodit të energjisë së ndërtesave duke marrë në konsideratë standardet më të fundit të BE-së të miratuara për këtë qëllim. </w:t>
            </w:r>
          </w:p>
          <w:p w14:paraId="1D247D9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Skemat rregullatore për instalimin e paneleve fotovoltaike në sektorin e banesave dhe në sektorë të tjerë.</w:t>
            </w:r>
          </w:p>
          <w:p w14:paraId="1BF30B56" w14:textId="4645742F"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Skemat e </w:t>
            </w:r>
            <w:r w:rsidR="001B6124" w:rsidRPr="00FF756A">
              <w:rPr>
                <w:i/>
                <w:iCs/>
                <w:sz w:val="20"/>
                <w:szCs w:val="20"/>
              </w:rPr>
              <w:t xml:space="preserve">stimujve </w:t>
            </w:r>
            <w:r w:rsidRPr="00FF756A">
              <w:rPr>
                <w:i/>
                <w:iCs/>
                <w:sz w:val="20"/>
                <w:szCs w:val="20"/>
              </w:rPr>
              <w:t xml:space="preserve">financiare për sistemet termike diellore në lidhje me: </w:t>
            </w:r>
          </w:p>
          <w:p w14:paraId="560690EC" w14:textId="77777777" w:rsidR="00835192" w:rsidRPr="00FF756A" w:rsidRDefault="00835192" w:rsidP="008639B2">
            <w:pPr>
              <w:numPr>
                <w:ilvl w:val="1"/>
                <w:numId w:val="71"/>
              </w:numPr>
              <w:spacing w:before="20" w:after="20" w:line="240" w:lineRule="auto"/>
              <w:rPr>
                <w:i/>
                <w:iCs/>
                <w:sz w:val="20"/>
                <w:szCs w:val="20"/>
              </w:rPr>
            </w:pPr>
            <w:r w:rsidRPr="00FF756A">
              <w:rPr>
                <w:i/>
                <w:iCs/>
                <w:sz w:val="20"/>
                <w:szCs w:val="20"/>
              </w:rPr>
              <w:t xml:space="preserve">Vazhdimësinë e skemës së incentivave për sistemet termike diellore: 2000 panele diellore për ngrohjen e ujit (sisteme termike diellore) të subvencionuara në masën 70% nga qeveria e Shqipërisë. </w:t>
            </w:r>
          </w:p>
          <w:p w14:paraId="54F28DCB" w14:textId="77777777" w:rsidR="00835192" w:rsidRPr="00FF756A" w:rsidRDefault="00835192" w:rsidP="008639B2">
            <w:pPr>
              <w:numPr>
                <w:ilvl w:val="1"/>
                <w:numId w:val="71"/>
              </w:numPr>
              <w:spacing w:before="20" w:after="20" w:line="240" w:lineRule="auto"/>
              <w:rPr>
                <w:i/>
                <w:iCs/>
                <w:sz w:val="20"/>
                <w:szCs w:val="20"/>
              </w:rPr>
            </w:pPr>
            <w:r w:rsidRPr="00FF756A">
              <w:rPr>
                <w:i/>
                <w:iCs/>
                <w:sz w:val="20"/>
                <w:szCs w:val="20"/>
              </w:rPr>
              <w:t xml:space="preserve">Masat familjare të tilla si përmirësimi i efiçencës së energjisë së sistemeve të ngrohjes, modernizimi dhe zgjerimi i sistemeve efikase të ngrohjes, zëvendësimi i lëndës djegëse etj. </w:t>
            </w:r>
          </w:p>
          <w:p w14:paraId="78367956" w14:textId="77777777" w:rsidR="00835192" w:rsidRPr="00FF756A" w:rsidRDefault="00835192" w:rsidP="008639B2">
            <w:pPr>
              <w:numPr>
                <w:ilvl w:val="1"/>
                <w:numId w:val="71"/>
              </w:numPr>
              <w:spacing w:before="20" w:after="20" w:line="240" w:lineRule="auto"/>
              <w:rPr>
                <w:i/>
                <w:iCs/>
                <w:sz w:val="20"/>
                <w:szCs w:val="20"/>
              </w:rPr>
            </w:pPr>
            <w:r w:rsidRPr="00FF756A">
              <w:rPr>
                <w:i/>
                <w:iCs/>
                <w:sz w:val="20"/>
                <w:szCs w:val="20"/>
              </w:rPr>
              <w:t xml:space="preserve">Përmirësimin e sistemit të ngrohjes (HIS) për ndërtesat e përbashkëta, si instalimi i </w:t>
            </w:r>
            <w:r w:rsidRPr="00FF756A">
              <w:rPr>
                <w:i/>
                <w:iCs/>
                <w:sz w:val="20"/>
                <w:szCs w:val="20"/>
              </w:rPr>
              <w:lastRenderedPageBreak/>
              <w:t>pajisjeve të thjeshta dhe me kosto të ulët, zhvillimi i auditimeve të thjeshta të energjisë së bashku me fushatat e edukimit, zëvendësimi i lëndës djegëse;</w:t>
            </w:r>
          </w:p>
          <w:p w14:paraId="5CD9DB3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Skemat rregullatore</w:t>
            </w:r>
            <w:r w:rsidRPr="00FF756A">
              <w:t xml:space="preserve"> </w:t>
            </w:r>
            <w:r w:rsidRPr="00FF756A">
              <w:rPr>
                <w:i/>
                <w:iCs/>
                <w:sz w:val="20"/>
                <w:szCs w:val="20"/>
              </w:rPr>
              <w:t>për miratimin e skemës mbështetëse për arritjen e objektivit kombëtar për burimet e rinovueshme të energjisë në sektorin e ngrohjes dhe ftohjes.</w:t>
            </w:r>
          </w:p>
          <w:p w14:paraId="2CBBBA4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Skemat rregullatore për zëvendësimin e kaldajave me lëndë djegëse fosile.</w:t>
            </w:r>
          </w:p>
          <w:p w14:paraId="38E6F656"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Udhëzime mbi procedurën e aplikimit së bashku me praktikat më të mira dhe avantazhet.</w:t>
            </w:r>
          </w:p>
          <w:p w14:paraId="0F851D55"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Kombinimi i masave të mësipërme me programet e rikonstruktimit të zhvilluara nga bashkitë dhe qeveritë qendrore.</w:t>
            </w:r>
          </w:p>
        </w:tc>
        <w:tc>
          <w:tcPr>
            <w:tcW w:w="1554" w:type="dxa"/>
            <w:tcBorders>
              <w:top w:val="single" w:sz="4" w:space="0" w:color="auto"/>
              <w:left w:val="single" w:sz="4" w:space="0" w:color="auto"/>
              <w:bottom w:val="single" w:sz="4" w:space="0" w:color="auto"/>
              <w:right w:val="single" w:sz="4" w:space="0" w:color="auto"/>
            </w:tcBorders>
          </w:tcPr>
          <w:p w14:paraId="00C3026D" w14:textId="77777777" w:rsidR="00835192" w:rsidRPr="00FF756A" w:rsidRDefault="00835192" w:rsidP="00835192">
            <w:pPr>
              <w:spacing w:before="0" w:after="100" w:afterAutospacing="1" w:line="240" w:lineRule="auto"/>
              <w:jc w:val="left"/>
              <w:rPr>
                <w:i/>
                <w:iCs/>
                <w:sz w:val="20"/>
                <w:szCs w:val="20"/>
              </w:rPr>
            </w:pPr>
            <w:r w:rsidRPr="00FF756A">
              <w:rPr>
                <w:i/>
                <w:iCs/>
                <w:sz w:val="20"/>
                <w:szCs w:val="20"/>
              </w:rPr>
              <w:lastRenderedPageBreak/>
              <w:t>brenda vitit 2025</w:t>
            </w:r>
          </w:p>
          <w:p w14:paraId="5440BA15" w14:textId="77777777" w:rsidR="00835192" w:rsidRPr="00FF756A" w:rsidRDefault="00835192" w:rsidP="00835192">
            <w:pPr>
              <w:spacing w:before="0" w:after="100" w:afterAutospacing="1" w:line="240" w:lineRule="auto"/>
              <w:rPr>
                <w:i/>
                <w:iCs/>
                <w:sz w:val="20"/>
                <w:szCs w:val="20"/>
              </w:rPr>
            </w:pPr>
          </w:p>
          <w:p w14:paraId="522F9118" w14:textId="77777777" w:rsidR="00835192" w:rsidRPr="00FF756A" w:rsidRDefault="00835192" w:rsidP="00835192">
            <w:pPr>
              <w:spacing w:before="0" w:after="100" w:afterAutospacing="1" w:line="240" w:lineRule="auto"/>
              <w:rPr>
                <w:i/>
                <w:iCs/>
                <w:sz w:val="20"/>
                <w:szCs w:val="20"/>
              </w:rPr>
            </w:pPr>
          </w:p>
          <w:p w14:paraId="05DE2661" w14:textId="77777777" w:rsidR="00835192" w:rsidRPr="00FF756A" w:rsidRDefault="00835192" w:rsidP="00835192">
            <w:pPr>
              <w:spacing w:before="0" w:after="100" w:afterAutospacing="1" w:line="240" w:lineRule="auto"/>
              <w:rPr>
                <w:i/>
                <w:iCs/>
                <w:sz w:val="20"/>
                <w:szCs w:val="20"/>
              </w:rPr>
            </w:pPr>
          </w:p>
          <w:p w14:paraId="367316DA" w14:textId="77777777" w:rsidR="00835192" w:rsidRPr="00FF756A" w:rsidRDefault="00835192" w:rsidP="00835192">
            <w:pPr>
              <w:spacing w:before="0" w:after="100" w:afterAutospacing="1" w:line="240" w:lineRule="auto"/>
              <w:rPr>
                <w:i/>
                <w:iCs/>
                <w:sz w:val="20"/>
                <w:szCs w:val="20"/>
              </w:rPr>
            </w:pPr>
          </w:p>
          <w:p w14:paraId="78408B33" w14:textId="77777777" w:rsidR="00835192" w:rsidRPr="00FF756A" w:rsidRDefault="00835192" w:rsidP="00835192">
            <w:pPr>
              <w:spacing w:before="0" w:after="100" w:afterAutospacing="1" w:line="240" w:lineRule="auto"/>
              <w:jc w:val="left"/>
              <w:rPr>
                <w:i/>
                <w:iCs/>
                <w:sz w:val="20"/>
                <w:szCs w:val="20"/>
              </w:rPr>
            </w:pPr>
            <w:r w:rsidRPr="00FF756A">
              <w:rPr>
                <w:i/>
                <w:iCs/>
                <w:sz w:val="20"/>
                <w:szCs w:val="20"/>
              </w:rPr>
              <w:t>Nga viti 2024 e në vazhdim</w:t>
            </w:r>
            <w:r w:rsidRPr="00FF756A">
              <w:rPr>
                <w:i/>
                <w:iCs/>
                <w:sz w:val="20"/>
                <w:szCs w:val="20"/>
              </w:rPr>
              <w:br/>
            </w:r>
            <w:r w:rsidRPr="00FF756A">
              <w:rPr>
                <w:i/>
                <w:iCs/>
                <w:sz w:val="20"/>
                <w:szCs w:val="20"/>
              </w:rPr>
              <w:br/>
            </w:r>
          </w:p>
          <w:p w14:paraId="5F2913D8" w14:textId="77777777" w:rsidR="00835192" w:rsidRPr="00FF756A" w:rsidRDefault="00835192" w:rsidP="00835192">
            <w:pPr>
              <w:spacing w:before="0" w:after="100" w:afterAutospacing="1" w:line="240" w:lineRule="auto"/>
              <w:jc w:val="left"/>
              <w:rPr>
                <w:i/>
                <w:iCs/>
                <w:sz w:val="20"/>
                <w:szCs w:val="20"/>
              </w:rPr>
            </w:pPr>
            <w:r w:rsidRPr="00FF756A">
              <w:rPr>
                <w:i/>
                <w:iCs/>
                <w:sz w:val="20"/>
                <w:szCs w:val="20"/>
              </w:rPr>
              <w:br/>
            </w:r>
            <w:r w:rsidRPr="00FF756A">
              <w:rPr>
                <w:i/>
                <w:iCs/>
                <w:sz w:val="20"/>
                <w:szCs w:val="20"/>
              </w:rPr>
              <w:br/>
            </w:r>
            <w:r w:rsidRPr="00FF756A">
              <w:rPr>
                <w:i/>
                <w:iCs/>
                <w:sz w:val="20"/>
                <w:szCs w:val="20"/>
              </w:rPr>
              <w:br/>
            </w:r>
          </w:p>
          <w:p w14:paraId="45EB2A19" w14:textId="77777777" w:rsidR="00835192" w:rsidRPr="00FF756A" w:rsidRDefault="00835192" w:rsidP="00835192">
            <w:pPr>
              <w:spacing w:before="0" w:after="100" w:afterAutospacing="1" w:line="240" w:lineRule="auto"/>
              <w:jc w:val="left"/>
              <w:rPr>
                <w:i/>
                <w:iCs/>
                <w:sz w:val="20"/>
                <w:szCs w:val="20"/>
              </w:rPr>
            </w:pPr>
            <w:r w:rsidRPr="00FF756A">
              <w:rPr>
                <w:i/>
                <w:iCs/>
                <w:sz w:val="20"/>
                <w:szCs w:val="20"/>
              </w:rPr>
              <w:br/>
            </w:r>
            <w:r w:rsidRPr="00FF756A">
              <w:rPr>
                <w:i/>
                <w:iCs/>
                <w:sz w:val="20"/>
                <w:szCs w:val="20"/>
              </w:rPr>
              <w:br/>
            </w:r>
            <w:r w:rsidRPr="00FF756A">
              <w:rPr>
                <w:i/>
                <w:iCs/>
                <w:sz w:val="20"/>
                <w:szCs w:val="20"/>
              </w:rPr>
              <w:br/>
            </w:r>
            <w:r w:rsidRPr="00FF756A">
              <w:rPr>
                <w:i/>
                <w:iCs/>
                <w:sz w:val="20"/>
                <w:szCs w:val="20"/>
              </w:rPr>
              <w:br/>
              <w:t xml:space="preserve">Nga viti 2024 e </w:t>
            </w:r>
            <w:r w:rsidRPr="00FF756A">
              <w:rPr>
                <w:i/>
                <w:iCs/>
                <w:sz w:val="20"/>
                <w:szCs w:val="20"/>
              </w:rPr>
              <w:lastRenderedPageBreak/>
              <w:t>në vazhdim</w:t>
            </w:r>
            <w:r w:rsidRPr="00FF756A">
              <w:rPr>
                <w:i/>
                <w:iCs/>
                <w:sz w:val="20"/>
                <w:szCs w:val="20"/>
              </w:rPr>
              <w:br/>
            </w:r>
          </w:p>
          <w:p w14:paraId="69BAD8BF" w14:textId="77777777" w:rsidR="00835192" w:rsidRPr="00FF756A" w:rsidRDefault="00835192" w:rsidP="00835192">
            <w:pPr>
              <w:spacing w:before="0" w:after="100" w:afterAutospacing="1" w:line="240" w:lineRule="auto"/>
              <w:rPr>
                <w:i/>
                <w:iCs/>
                <w:sz w:val="20"/>
                <w:szCs w:val="20"/>
              </w:rPr>
            </w:pPr>
            <w:r w:rsidRPr="00FF756A">
              <w:rPr>
                <w:i/>
                <w:iCs/>
                <w:sz w:val="20"/>
                <w:szCs w:val="20"/>
              </w:rPr>
              <w:t>Nga viti 2024 e në vazhdim</w:t>
            </w:r>
          </w:p>
          <w:p w14:paraId="401A0528" w14:textId="77777777" w:rsidR="00835192" w:rsidRPr="00FF756A" w:rsidRDefault="00835192" w:rsidP="00835192">
            <w:pPr>
              <w:spacing w:before="0" w:after="100" w:afterAutospacing="1" w:line="240" w:lineRule="auto"/>
              <w:rPr>
                <w:i/>
                <w:iCs/>
                <w:sz w:val="20"/>
                <w:szCs w:val="20"/>
              </w:rPr>
            </w:pPr>
          </w:p>
          <w:p w14:paraId="4144AD57" w14:textId="77777777" w:rsidR="00835192" w:rsidRPr="00FF756A" w:rsidRDefault="00835192" w:rsidP="00835192">
            <w:pPr>
              <w:spacing w:before="0" w:after="100" w:afterAutospacing="1" w:line="240" w:lineRule="auto"/>
              <w:rPr>
                <w:i/>
                <w:iCs/>
                <w:sz w:val="20"/>
                <w:szCs w:val="20"/>
              </w:rPr>
            </w:pPr>
          </w:p>
          <w:p w14:paraId="02BACC55" w14:textId="77777777" w:rsidR="00835192" w:rsidRPr="00FF756A" w:rsidRDefault="00835192" w:rsidP="00835192">
            <w:pPr>
              <w:spacing w:before="0" w:after="100" w:afterAutospacing="1" w:line="240" w:lineRule="auto"/>
              <w:rPr>
                <w:i/>
                <w:iCs/>
                <w:sz w:val="20"/>
                <w:szCs w:val="20"/>
              </w:rPr>
            </w:pPr>
          </w:p>
        </w:tc>
      </w:tr>
      <w:tr w:rsidR="00835192" w:rsidRPr="00FF756A" w14:paraId="20734F2F" w14:textId="77777777" w:rsidTr="004A3257">
        <w:trPr>
          <w:trHeight w:val="20"/>
        </w:trPr>
        <w:tc>
          <w:tcPr>
            <w:tcW w:w="2186" w:type="dxa"/>
            <w:tcBorders>
              <w:top w:val="single" w:sz="4" w:space="0" w:color="auto"/>
              <w:left w:val="single" w:sz="4" w:space="0" w:color="auto"/>
              <w:bottom w:val="single" w:sz="4" w:space="0" w:color="auto"/>
              <w:right w:val="single" w:sz="4" w:space="0" w:color="auto"/>
            </w:tcBorders>
          </w:tcPr>
          <w:p w14:paraId="7CF05D34"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Buxheti (burimi i financimit)</w:t>
            </w:r>
          </w:p>
        </w:tc>
        <w:tc>
          <w:tcPr>
            <w:tcW w:w="6876" w:type="dxa"/>
            <w:gridSpan w:val="5"/>
            <w:tcBorders>
              <w:top w:val="single" w:sz="4" w:space="0" w:color="auto"/>
              <w:left w:val="single" w:sz="4" w:space="0" w:color="auto"/>
              <w:bottom w:val="single" w:sz="4" w:space="0" w:color="auto"/>
              <w:right w:val="single" w:sz="4" w:space="0" w:color="auto"/>
            </w:tcBorders>
          </w:tcPr>
          <w:p w14:paraId="2C347BD1" w14:textId="77777777" w:rsidR="00835192" w:rsidRPr="00FF756A" w:rsidRDefault="00835192" w:rsidP="00835192">
            <w:pPr>
              <w:spacing w:before="20" w:after="20" w:line="240" w:lineRule="auto"/>
              <w:rPr>
                <w:i/>
                <w:iCs/>
                <w:sz w:val="20"/>
                <w:szCs w:val="20"/>
              </w:rPr>
            </w:pPr>
            <w:r w:rsidRPr="00FF756A">
              <w:rPr>
                <w:i/>
                <w:iCs/>
                <w:sz w:val="20"/>
                <w:szCs w:val="20"/>
              </w:rPr>
              <w:t>Kostoja e skemës së impianteve fotovoltaike mbulohet nga tarifat e energjisë elektrike.</w:t>
            </w:r>
          </w:p>
          <w:p w14:paraId="747ED85D" w14:textId="71871367" w:rsidR="00835192" w:rsidRPr="00FF756A" w:rsidRDefault="00835192" w:rsidP="00835192">
            <w:pPr>
              <w:spacing w:before="20" w:after="20" w:line="240" w:lineRule="auto"/>
              <w:rPr>
                <w:i/>
                <w:iCs/>
                <w:sz w:val="20"/>
                <w:szCs w:val="20"/>
              </w:rPr>
            </w:pPr>
            <w:r w:rsidRPr="00FF756A">
              <w:rPr>
                <w:i/>
                <w:iCs/>
                <w:sz w:val="20"/>
                <w:szCs w:val="20"/>
              </w:rPr>
              <w:t xml:space="preserve">Kostoja e skemës së sistemeve termike diellore mbulohet nga skemat e incentivave financiare të financuara nga buxheti i shtetit (shuma e përllogaritur: 1200 euro për sistem, 70% financim, 2000 instalime: buxheti për skemën e incentivave është 1,680,000.00 euro; përllogaritja sipas </w:t>
            </w:r>
            <w:hyperlink r:id="rId54" w:history="1">
              <w:r w:rsidR="00BB3262" w:rsidRPr="00FF756A">
                <w:rPr>
                  <w:rStyle w:val="Hyperlink"/>
                  <w:i/>
                  <w:iCs/>
                  <w:sz w:val="20"/>
                  <w:szCs w:val="20"/>
                </w:rPr>
                <w:t>https://balkangreenenergynews.com/albania-to-subsidize-solar-thermal-collectors-for-households-with-up-to-70/</w:t>
              </w:r>
            </w:hyperlink>
            <w:r w:rsidRPr="00FF756A">
              <w:rPr>
                <w:i/>
                <w:iCs/>
                <w:sz w:val="20"/>
                <w:szCs w:val="20"/>
              </w:rPr>
              <w:t>)</w:t>
            </w:r>
            <w:r w:rsidR="00BB3262" w:rsidRPr="00FF756A">
              <w:rPr>
                <w:i/>
                <w:iCs/>
                <w:sz w:val="20"/>
                <w:szCs w:val="20"/>
              </w:rPr>
              <w:t xml:space="preserve"> </w:t>
            </w:r>
          </w:p>
          <w:p w14:paraId="413F6703" w14:textId="66003892" w:rsidR="00835192" w:rsidRPr="00FF756A" w:rsidRDefault="00835192" w:rsidP="00835192">
            <w:pPr>
              <w:spacing w:before="20" w:after="20" w:line="240" w:lineRule="auto"/>
              <w:rPr>
                <w:i/>
                <w:iCs/>
                <w:sz w:val="20"/>
                <w:szCs w:val="20"/>
              </w:rPr>
            </w:pPr>
            <w:r w:rsidRPr="00FF756A">
              <w:rPr>
                <w:i/>
                <w:iCs/>
                <w:sz w:val="20"/>
                <w:szCs w:val="20"/>
              </w:rPr>
              <w:t xml:space="preserve">Zbatimi do të kryhet në faza dhe mekanizmi i financimit do të jetë një nga </w:t>
            </w:r>
            <w:r w:rsidR="00B56D2C" w:rsidRPr="00FF756A">
              <w:rPr>
                <w:i/>
                <w:iCs/>
                <w:sz w:val="20"/>
                <w:szCs w:val="20"/>
              </w:rPr>
              <w:t>lista</w:t>
            </w:r>
            <w:r w:rsidRPr="00FF756A">
              <w:rPr>
                <w:i/>
                <w:iCs/>
                <w:sz w:val="20"/>
                <w:szCs w:val="20"/>
              </w:rPr>
              <w:t xml:space="preserve"> më poshtë:</w:t>
            </w:r>
          </w:p>
          <w:p w14:paraId="385FC86A" w14:textId="77777777" w:rsidR="00835192" w:rsidRPr="00FF756A" w:rsidRDefault="00835192" w:rsidP="004A3257">
            <w:pPr>
              <w:pStyle w:val="ListParagraph"/>
              <w:numPr>
                <w:ilvl w:val="0"/>
                <w:numId w:val="229"/>
              </w:numPr>
              <w:spacing w:before="20" w:after="20" w:line="240" w:lineRule="auto"/>
              <w:rPr>
                <w:i/>
                <w:iCs/>
                <w:sz w:val="20"/>
                <w:szCs w:val="20"/>
              </w:rPr>
            </w:pPr>
            <w:r w:rsidRPr="00FF756A">
              <w:rPr>
                <w:i/>
                <w:iCs/>
                <w:sz w:val="20"/>
                <w:szCs w:val="20"/>
              </w:rPr>
              <w:t>Një përqindje e caktuar e grantit për koston totale të investimit</w:t>
            </w:r>
          </w:p>
          <w:p w14:paraId="4D985AAE" w14:textId="77777777" w:rsidR="00835192" w:rsidRPr="00FF756A" w:rsidRDefault="00835192" w:rsidP="004A3257">
            <w:pPr>
              <w:pStyle w:val="ListParagraph"/>
              <w:numPr>
                <w:ilvl w:val="0"/>
                <w:numId w:val="229"/>
              </w:numPr>
              <w:spacing w:before="20" w:after="20" w:line="240" w:lineRule="auto"/>
              <w:rPr>
                <w:i/>
                <w:iCs/>
                <w:sz w:val="20"/>
                <w:szCs w:val="20"/>
              </w:rPr>
            </w:pPr>
            <w:r w:rsidRPr="00FF756A">
              <w:rPr>
                <w:i/>
                <w:iCs/>
                <w:sz w:val="20"/>
                <w:szCs w:val="20"/>
              </w:rPr>
              <w:t>Kredi me interes të ulët</w:t>
            </w:r>
          </w:p>
          <w:p w14:paraId="68DBACAF" w14:textId="77777777" w:rsidR="00835192" w:rsidRPr="00FF756A" w:rsidRDefault="00835192" w:rsidP="004A3257">
            <w:pPr>
              <w:pStyle w:val="ListParagraph"/>
              <w:numPr>
                <w:ilvl w:val="0"/>
                <w:numId w:val="229"/>
              </w:numPr>
              <w:spacing w:before="20" w:after="20" w:line="240" w:lineRule="auto"/>
              <w:rPr>
                <w:i/>
                <w:iCs/>
                <w:sz w:val="20"/>
                <w:szCs w:val="20"/>
              </w:rPr>
            </w:pPr>
            <w:r w:rsidRPr="00FF756A">
              <w:rPr>
                <w:i/>
                <w:iCs/>
                <w:sz w:val="20"/>
                <w:szCs w:val="20"/>
              </w:rPr>
              <w:t>Përjashtime tatimore</w:t>
            </w:r>
          </w:p>
          <w:p w14:paraId="4E7CAFDB" w14:textId="77777777" w:rsidR="00835192" w:rsidRPr="00FF756A" w:rsidRDefault="00835192" w:rsidP="00835192">
            <w:pPr>
              <w:spacing w:before="20" w:after="20" w:line="240" w:lineRule="auto"/>
              <w:rPr>
                <w:i/>
                <w:iCs/>
                <w:sz w:val="20"/>
                <w:szCs w:val="20"/>
              </w:rPr>
            </w:pPr>
            <w:r w:rsidRPr="00FF756A">
              <w:rPr>
                <w:i/>
                <w:iCs/>
                <w:sz w:val="20"/>
                <w:szCs w:val="20"/>
              </w:rPr>
              <w:t>Kostot e transaksionit ndodhin për përgatitjen dhe zbatimin e kuadrit ligjor, krijimin e udhëzimeve të aplikimit dhe ofrimin e asistencës/trajnimit për stafin e bashkisë (duke përfshirë asistencën teknike, kostoja e së cilës vlerësohet në 50 000 euro).</w:t>
            </w:r>
          </w:p>
        </w:tc>
      </w:tr>
      <w:tr w:rsidR="00835192" w:rsidRPr="00FF756A" w14:paraId="362384A5" w14:textId="77777777" w:rsidTr="004A3257">
        <w:trPr>
          <w:trHeight w:val="20"/>
        </w:trPr>
        <w:tc>
          <w:tcPr>
            <w:tcW w:w="2186" w:type="dxa"/>
            <w:tcBorders>
              <w:top w:val="single" w:sz="4" w:space="0" w:color="auto"/>
              <w:left w:val="single" w:sz="4" w:space="0" w:color="auto"/>
              <w:bottom w:val="single" w:sz="4" w:space="0" w:color="auto"/>
              <w:right w:val="single" w:sz="4" w:space="0" w:color="auto"/>
            </w:tcBorders>
          </w:tcPr>
          <w:p w14:paraId="02B183C3"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6F188077"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6" w:type="dxa"/>
            <w:gridSpan w:val="5"/>
            <w:tcBorders>
              <w:top w:val="single" w:sz="4" w:space="0" w:color="auto"/>
              <w:left w:val="single" w:sz="4" w:space="0" w:color="auto"/>
              <w:bottom w:val="single" w:sz="4" w:space="0" w:color="auto"/>
              <w:right w:val="single" w:sz="4" w:space="0" w:color="auto"/>
            </w:tcBorders>
          </w:tcPr>
          <w:p w14:paraId="1A055104"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bashkitë</w:t>
            </w:r>
          </w:p>
          <w:p w14:paraId="5901D3B4"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Agjencia Kombëtare për Efiçencën)</w:t>
            </w:r>
          </w:p>
        </w:tc>
      </w:tr>
      <w:tr w:rsidR="00835192" w:rsidRPr="00FF756A" w14:paraId="696D42EF" w14:textId="77777777" w:rsidTr="004A3257">
        <w:trPr>
          <w:trHeight w:val="20"/>
        </w:trPr>
        <w:tc>
          <w:tcPr>
            <w:tcW w:w="2186" w:type="dxa"/>
            <w:tcBorders>
              <w:top w:val="single" w:sz="4" w:space="0" w:color="auto"/>
              <w:left w:val="single" w:sz="4" w:space="0" w:color="auto"/>
              <w:bottom w:val="single" w:sz="4" w:space="0" w:color="auto"/>
              <w:right w:val="single" w:sz="4" w:space="0" w:color="auto"/>
            </w:tcBorders>
          </w:tcPr>
          <w:p w14:paraId="0BA48922"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6" w:type="dxa"/>
            <w:gridSpan w:val="5"/>
            <w:tcBorders>
              <w:top w:val="single" w:sz="4" w:space="0" w:color="auto"/>
              <w:left w:val="single" w:sz="4" w:space="0" w:color="auto"/>
              <w:bottom w:val="single" w:sz="4" w:space="0" w:color="auto"/>
              <w:right w:val="single" w:sz="4" w:space="0" w:color="auto"/>
            </w:tcBorders>
          </w:tcPr>
          <w:p w14:paraId="422D9300" w14:textId="77777777" w:rsidR="00835192" w:rsidRPr="00FF756A" w:rsidRDefault="00835192" w:rsidP="00835192">
            <w:pPr>
              <w:spacing w:before="20" w:after="20" w:line="240" w:lineRule="auto"/>
              <w:rPr>
                <w:i/>
                <w:iCs/>
                <w:sz w:val="20"/>
                <w:szCs w:val="20"/>
              </w:rPr>
            </w:pPr>
            <w:r w:rsidRPr="00FF756A">
              <w:rPr>
                <w:i/>
                <w:iCs/>
                <w:sz w:val="20"/>
                <w:szCs w:val="20"/>
              </w:rPr>
              <w:t xml:space="preserve">Efiçenca e energjisë </w:t>
            </w:r>
          </w:p>
        </w:tc>
      </w:tr>
    </w:tbl>
    <w:p w14:paraId="1FADC629" w14:textId="77777777" w:rsidR="00835192" w:rsidRPr="00FF756A" w:rsidRDefault="00835192" w:rsidP="00835192"/>
    <w:p w14:paraId="6897C59E" w14:textId="37D56A71" w:rsidR="00835192" w:rsidRPr="00FF756A" w:rsidRDefault="00835192" w:rsidP="004A3257">
      <w:pPr>
        <w:pStyle w:val="Heading4"/>
        <w:numPr>
          <w:ilvl w:val="0"/>
          <w:numId w:val="0"/>
        </w:numPr>
        <w:ind w:left="864" w:hanging="864"/>
        <w:rPr>
          <w:rFonts w:cs="Times New Roman"/>
        </w:rPr>
      </w:pPr>
      <w:bookmarkStart w:id="338" w:name="_Toc183639227"/>
      <w:r w:rsidRPr="00FF756A">
        <w:rPr>
          <w:rFonts w:cs="Times New Roman"/>
        </w:rPr>
        <w:t>Sektori industrial</w:t>
      </w:r>
      <w:bookmarkEnd w:id="338"/>
    </w:p>
    <w:p w14:paraId="45362CDA" w14:textId="77777777" w:rsidR="00B4598E" w:rsidRPr="00FF756A" w:rsidRDefault="00B4598E" w:rsidP="004A3257">
      <w:pPr>
        <w:pStyle w:val="ListParagraph"/>
        <w:keepNext/>
        <w:keepLines/>
        <w:spacing w:before="40" w:after="0"/>
        <w:ind w:left="1080"/>
        <w:outlineLvl w:val="3"/>
        <w:rPr>
          <w:rFonts w:eastAsia="Calibri Light"/>
          <w:i/>
          <w:iCs/>
          <w:color w:val="2F5496" w:themeColor="accent1" w:themeShade="BF"/>
        </w:rPr>
      </w:pP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5"/>
        <w:gridCol w:w="1273"/>
        <w:gridCol w:w="598"/>
        <w:gridCol w:w="427"/>
        <w:gridCol w:w="3699"/>
        <w:gridCol w:w="850"/>
      </w:tblGrid>
      <w:tr w:rsidR="00835192" w:rsidRPr="00FF756A" w14:paraId="36251191" w14:textId="77777777" w:rsidTr="004A3257">
        <w:trPr>
          <w:trHeight w:val="20"/>
        </w:trPr>
        <w:tc>
          <w:tcPr>
            <w:tcW w:w="4519" w:type="dxa"/>
            <w:gridSpan w:val="4"/>
            <w:shd w:val="clear" w:color="auto" w:fill="E2EFD9" w:themeFill="accent6" w:themeFillTint="33"/>
          </w:tcPr>
          <w:p w14:paraId="21853D7B"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53" w:type="dxa"/>
            <w:gridSpan w:val="2"/>
            <w:shd w:val="clear" w:color="auto" w:fill="E2EFD9" w:themeFill="accent6" w:themeFillTint="33"/>
          </w:tcPr>
          <w:p w14:paraId="0F944D8F" w14:textId="77777777" w:rsidR="00835192" w:rsidRPr="00FF756A" w:rsidRDefault="00835192" w:rsidP="008639B2">
            <w:pPr>
              <w:numPr>
                <w:ilvl w:val="0"/>
                <w:numId w:val="73"/>
              </w:numPr>
              <w:spacing w:before="20" w:after="20" w:line="240" w:lineRule="auto"/>
              <w:contextualSpacing/>
              <w:rPr>
                <w:i/>
                <w:iCs/>
                <w:sz w:val="20"/>
                <w:szCs w:val="20"/>
              </w:rPr>
            </w:pPr>
            <w:r w:rsidRPr="00FF756A">
              <w:rPr>
                <w:i/>
                <w:iCs/>
                <w:sz w:val="20"/>
                <w:szCs w:val="20"/>
              </w:rPr>
              <w:t>Dekarbonizimi</w:t>
            </w:r>
          </w:p>
          <w:p w14:paraId="4770316E" w14:textId="2DF4670C" w:rsidR="00835192" w:rsidRPr="00FF756A" w:rsidRDefault="00835192" w:rsidP="004A3257">
            <w:pPr>
              <w:spacing w:before="20" w:after="20" w:line="240" w:lineRule="auto"/>
              <w:contextualSpacing/>
              <w:rPr>
                <w:i/>
                <w:iCs/>
                <w:sz w:val="20"/>
                <w:szCs w:val="20"/>
              </w:rPr>
            </w:pPr>
            <w:r w:rsidRPr="00FF756A">
              <w:rPr>
                <w:i/>
                <w:iCs/>
                <w:sz w:val="20"/>
                <w:szCs w:val="20"/>
              </w:rPr>
              <w:t>Shkarkimet dhe eliminimi i GES-ve</w:t>
            </w:r>
          </w:p>
        </w:tc>
      </w:tr>
      <w:tr w:rsidR="00835192" w:rsidRPr="00FF756A" w14:paraId="3C7E02F8" w14:textId="77777777" w:rsidTr="004A3257">
        <w:trPr>
          <w:trHeight w:val="20"/>
        </w:trPr>
        <w:tc>
          <w:tcPr>
            <w:tcW w:w="4091" w:type="dxa"/>
            <w:gridSpan w:val="3"/>
            <w:shd w:val="clear" w:color="auto" w:fill="E2EFD9" w:themeFill="accent6" w:themeFillTint="33"/>
          </w:tcPr>
          <w:p w14:paraId="471FC1E4"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81" w:type="dxa"/>
            <w:gridSpan w:val="3"/>
            <w:shd w:val="clear" w:color="auto" w:fill="E2EFD9" w:themeFill="accent6" w:themeFillTint="33"/>
          </w:tcPr>
          <w:p w14:paraId="285E15FB" w14:textId="77777777" w:rsidR="00835192" w:rsidRPr="00FF756A" w:rsidRDefault="00835192" w:rsidP="00835192">
            <w:pPr>
              <w:spacing w:before="20" w:after="20" w:line="240" w:lineRule="auto"/>
              <w:rPr>
                <w:i/>
                <w:iCs/>
                <w:sz w:val="20"/>
                <w:szCs w:val="20"/>
              </w:rPr>
            </w:pPr>
            <w:r w:rsidRPr="00FF756A">
              <w:rPr>
                <w:i/>
                <w:iCs/>
                <w:sz w:val="20"/>
                <w:szCs w:val="20"/>
              </w:rPr>
              <w:t>Industria</w:t>
            </w:r>
          </w:p>
        </w:tc>
      </w:tr>
      <w:tr w:rsidR="00835192" w:rsidRPr="00FF756A" w14:paraId="599409CB" w14:textId="77777777" w:rsidTr="004A3257">
        <w:trPr>
          <w:trHeight w:val="20"/>
        </w:trPr>
        <w:tc>
          <w:tcPr>
            <w:tcW w:w="3492" w:type="dxa"/>
            <w:gridSpan w:val="2"/>
          </w:tcPr>
          <w:p w14:paraId="4944B431"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6BC19C4E"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0" w:type="dxa"/>
            <w:gridSpan w:val="4"/>
          </w:tcPr>
          <w:p w14:paraId="7D965ABD" w14:textId="77777777" w:rsidR="00835192" w:rsidRPr="00FF756A" w:rsidRDefault="00835192" w:rsidP="00835192">
            <w:pPr>
              <w:spacing w:before="20" w:after="20" w:line="240" w:lineRule="auto"/>
              <w:rPr>
                <w:i/>
                <w:iCs/>
                <w:sz w:val="20"/>
                <w:szCs w:val="20"/>
              </w:rPr>
            </w:pPr>
            <w:r w:rsidRPr="00FF756A">
              <w:rPr>
                <w:i/>
                <w:iCs/>
                <w:sz w:val="20"/>
                <w:szCs w:val="20"/>
              </w:rPr>
              <w:t>WAM</w:t>
            </w:r>
          </w:p>
          <w:p w14:paraId="0C23EEFD" w14:textId="77777777" w:rsidR="00835192" w:rsidRPr="00FF756A" w:rsidRDefault="00835192" w:rsidP="00835192">
            <w:pPr>
              <w:spacing w:before="20" w:after="20" w:line="240" w:lineRule="auto"/>
              <w:rPr>
                <w:i/>
                <w:iCs/>
                <w:sz w:val="20"/>
                <w:szCs w:val="20"/>
              </w:rPr>
            </w:pPr>
            <w:r w:rsidRPr="00FF756A">
              <w:rPr>
                <w:i/>
                <w:iCs/>
                <w:sz w:val="20"/>
                <w:szCs w:val="20"/>
              </w:rPr>
              <w:t>Rregullator; Edukativ</w:t>
            </w:r>
          </w:p>
        </w:tc>
      </w:tr>
      <w:tr w:rsidR="00835192" w:rsidRPr="00FF756A" w14:paraId="26D727A2" w14:textId="77777777" w:rsidTr="004A3257">
        <w:trPr>
          <w:trHeight w:val="20"/>
        </w:trPr>
        <w:tc>
          <w:tcPr>
            <w:tcW w:w="2216" w:type="dxa"/>
          </w:tcPr>
          <w:p w14:paraId="1F489F31"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400FEA9A"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56" w:type="dxa"/>
            <w:gridSpan w:val="5"/>
          </w:tcPr>
          <w:p w14:paraId="3DA7DA95" w14:textId="77777777" w:rsidR="00835192" w:rsidRPr="00FF756A" w:rsidRDefault="00835192" w:rsidP="00835192">
            <w:pPr>
              <w:spacing w:before="20" w:after="20" w:line="240" w:lineRule="auto"/>
              <w:rPr>
                <w:i/>
                <w:iCs/>
                <w:sz w:val="20"/>
                <w:szCs w:val="20"/>
              </w:rPr>
            </w:pPr>
            <w:r w:rsidRPr="00FF756A">
              <w:rPr>
                <w:i/>
                <w:iCs/>
                <w:sz w:val="20"/>
                <w:szCs w:val="20"/>
              </w:rPr>
              <w:t xml:space="preserve">Zbatimi i ETS-së në Shqipëri  </w:t>
            </w:r>
          </w:p>
          <w:p w14:paraId="6B79484A" w14:textId="77777777" w:rsidR="00835192" w:rsidRPr="00FF756A" w:rsidRDefault="00835192" w:rsidP="00835192">
            <w:pPr>
              <w:spacing w:before="20" w:after="20" w:line="240" w:lineRule="auto"/>
              <w:rPr>
                <w:i/>
                <w:iCs/>
                <w:sz w:val="20"/>
                <w:szCs w:val="20"/>
              </w:rPr>
            </w:pPr>
            <w:r w:rsidRPr="00FF756A">
              <w:rPr>
                <w:i/>
                <w:iCs/>
                <w:sz w:val="20"/>
                <w:szCs w:val="20"/>
              </w:rPr>
              <w:t>(G-I1)</w:t>
            </w:r>
          </w:p>
        </w:tc>
      </w:tr>
      <w:tr w:rsidR="00835192" w:rsidRPr="00FF756A" w14:paraId="1D0B6B59" w14:textId="77777777" w:rsidTr="004A3257">
        <w:trPr>
          <w:trHeight w:val="20"/>
        </w:trPr>
        <w:tc>
          <w:tcPr>
            <w:tcW w:w="2216" w:type="dxa"/>
          </w:tcPr>
          <w:p w14:paraId="2718494B"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56" w:type="dxa"/>
            <w:gridSpan w:val="5"/>
          </w:tcPr>
          <w:p w14:paraId="69C09B1C" w14:textId="77777777" w:rsidR="00835192" w:rsidRPr="00FF756A" w:rsidRDefault="00835192" w:rsidP="00835192">
            <w:pPr>
              <w:spacing w:before="20" w:after="20" w:line="240" w:lineRule="auto"/>
              <w:rPr>
                <w:i/>
                <w:iCs/>
                <w:sz w:val="20"/>
                <w:szCs w:val="20"/>
              </w:rPr>
            </w:pPr>
            <w:r w:rsidRPr="00FF756A">
              <w:rPr>
                <w:i/>
                <w:iCs/>
                <w:sz w:val="20"/>
                <w:szCs w:val="20"/>
              </w:rPr>
              <w:t>2022 – 2030</w:t>
            </w:r>
          </w:p>
        </w:tc>
      </w:tr>
      <w:tr w:rsidR="00835192" w:rsidRPr="00FF756A" w14:paraId="3CF5A6DD" w14:textId="77777777" w:rsidTr="004A3257">
        <w:trPr>
          <w:trHeight w:val="20"/>
        </w:trPr>
        <w:tc>
          <w:tcPr>
            <w:tcW w:w="2216" w:type="dxa"/>
          </w:tcPr>
          <w:p w14:paraId="5A21F791"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56" w:type="dxa"/>
            <w:gridSpan w:val="5"/>
          </w:tcPr>
          <w:p w14:paraId="64236564" w14:textId="3A57EF74" w:rsidR="00835192" w:rsidRPr="00FF756A" w:rsidRDefault="00835192" w:rsidP="00835192">
            <w:pPr>
              <w:spacing w:before="20" w:after="20" w:line="240" w:lineRule="auto"/>
              <w:rPr>
                <w:i/>
                <w:iCs/>
                <w:sz w:val="20"/>
                <w:szCs w:val="20"/>
              </w:rPr>
            </w:pPr>
            <w:r w:rsidRPr="00FF756A">
              <w:rPr>
                <w:i/>
                <w:iCs/>
                <w:sz w:val="20"/>
                <w:szCs w:val="20"/>
              </w:rPr>
              <w:t>Ligji nr. 155/2020, datë 17.12.2020, “Për ndryshimet klimatike”; VKM nr. 466, datë 3.7.2019, “Për miratimin e dokumentit strategjik dhe planit kombëtar për zbutjen e gazeve me efekt serrë dhe për përshtatjen ndaj ndryshimeve klimatike”</w:t>
            </w:r>
            <w:r w:rsidR="00B56D2C" w:rsidRPr="00FF756A">
              <w:rPr>
                <w:i/>
                <w:iCs/>
                <w:sz w:val="20"/>
                <w:szCs w:val="20"/>
              </w:rPr>
              <w:t>.</w:t>
            </w:r>
          </w:p>
        </w:tc>
      </w:tr>
      <w:tr w:rsidR="00835192" w:rsidRPr="00FF756A" w14:paraId="24CDD2E4" w14:textId="77777777" w:rsidTr="004A3257">
        <w:trPr>
          <w:trHeight w:val="20"/>
        </w:trPr>
        <w:tc>
          <w:tcPr>
            <w:tcW w:w="2216" w:type="dxa"/>
          </w:tcPr>
          <w:p w14:paraId="370F3797"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56" w:type="dxa"/>
            <w:gridSpan w:val="5"/>
          </w:tcPr>
          <w:p w14:paraId="5DD46462" w14:textId="19DDF5C2" w:rsidR="00835192" w:rsidRPr="00FF756A" w:rsidRDefault="00835192" w:rsidP="00835192">
            <w:pPr>
              <w:spacing w:before="20" w:after="20" w:line="240" w:lineRule="auto"/>
              <w:rPr>
                <w:i/>
                <w:iCs/>
                <w:sz w:val="20"/>
                <w:szCs w:val="20"/>
              </w:rPr>
            </w:pPr>
            <w:r w:rsidRPr="00FF756A">
              <w:rPr>
                <w:i/>
                <w:iCs/>
                <w:sz w:val="20"/>
                <w:szCs w:val="20"/>
              </w:rPr>
              <w:t xml:space="preserve">Ligji </w:t>
            </w:r>
            <w:r w:rsidR="00D563E7" w:rsidRPr="00FF756A">
              <w:rPr>
                <w:i/>
                <w:iCs/>
                <w:sz w:val="20"/>
                <w:szCs w:val="20"/>
              </w:rPr>
              <w:t xml:space="preserve">nr. </w:t>
            </w:r>
            <w:r w:rsidRPr="00FF756A">
              <w:rPr>
                <w:i/>
                <w:iCs/>
                <w:sz w:val="20"/>
                <w:szCs w:val="20"/>
              </w:rPr>
              <w:t>10448, datë 14.7.2011, ngre një sistem për lejet mjedisore lidhur me ushtrimin e disa grupeve të caktuara të aktiviteteve industriale ndotëse, në pajtueshmëri me standardet mjedisore. Operatorët industrialë kanë detyrimin të monitorojnë dhe të raportojnë shkarkimet në mjedis nga këto aktivitete, në bazë të kushteve të përcaktuara në lejen mjedisore përkatëse.</w:t>
            </w:r>
          </w:p>
          <w:p w14:paraId="381BFD36" w14:textId="77777777" w:rsidR="00835192" w:rsidRPr="00FF756A" w:rsidRDefault="00835192" w:rsidP="00835192">
            <w:pPr>
              <w:spacing w:before="20" w:after="20" w:line="240" w:lineRule="auto"/>
              <w:rPr>
                <w:i/>
                <w:iCs/>
                <w:sz w:val="20"/>
                <w:szCs w:val="20"/>
              </w:rPr>
            </w:pPr>
            <w:r w:rsidRPr="00FF756A">
              <w:rPr>
                <w:i/>
                <w:iCs/>
                <w:sz w:val="20"/>
                <w:szCs w:val="20"/>
              </w:rPr>
              <w:lastRenderedPageBreak/>
              <w:t>Agjencia Kombëtare e Mjedisit ka identifikuar 13 operatorë që drejtojnë 20 instalime të cilat mund t’i nënshtrohen ETS-së së BE-së.</w:t>
            </w:r>
          </w:p>
        </w:tc>
      </w:tr>
      <w:tr w:rsidR="00835192" w:rsidRPr="00FF756A" w14:paraId="1E314369" w14:textId="77777777" w:rsidTr="004A3257">
        <w:trPr>
          <w:trHeight w:val="20"/>
        </w:trPr>
        <w:tc>
          <w:tcPr>
            <w:tcW w:w="2216" w:type="dxa"/>
          </w:tcPr>
          <w:p w14:paraId="0720393E"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Objektivi kryesor i PM</w:t>
            </w:r>
          </w:p>
        </w:tc>
        <w:tc>
          <w:tcPr>
            <w:tcW w:w="6856" w:type="dxa"/>
            <w:gridSpan w:val="5"/>
          </w:tcPr>
          <w:p w14:paraId="7A40ACC7" w14:textId="1421FF12" w:rsidR="00835192" w:rsidRPr="00FF756A" w:rsidRDefault="00835192" w:rsidP="00835192">
            <w:pPr>
              <w:spacing w:before="20" w:after="20" w:line="240" w:lineRule="auto"/>
              <w:rPr>
                <w:i/>
                <w:iCs/>
                <w:sz w:val="20"/>
                <w:szCs w:val="20"/>
              </w:rPr>
            </w:pPr>
            <w:r w:rsidRPr="00FF756A">
              <w:rPr>
                <w:i/>
                <w:iCs/>
                <w:sz w:val="20"/>
                <w:szCs w:val="20"/>
              </w:rPr>
              <w:t xml:space="preserve">Ngritja e ETS-së në Shqipëri do të kontribuojë në arritjen e pikësynimit të </w:t>
            </w:r>
            <w:r w:rsidR="00AA31BA" w:rsidRPr="00FF756A">
              <w:rPr>
                <w:i/>
                <w:iCs/>
                <w:sz w:val="20"/>
                <w:szCs w:val="20"/>
              </w:rPr>
              <w:t>KK</w:t>
            </w:r>
            <w:r w:rsidR="00D563E7" w:rsidRPr="00FF756A">
              <w:rPr>
                <w:i/>
                <w:iCs/>
                <w:sz w:val="20"/>
                <w:szCs w:val="20"/>
              </w:rPr>
              <w:t>P</w:t>
            </w:r>
            <w:r w:rsidRPr="00FF756A">
              <w:rPr>
                <w:i/>
                <w:iCs/>
                <w:sz w:val="20"/>
                <w:szCs w:val="20"/>
              </w:rPr>
              <w:t>-së për reduktimin e shkarkimeve të GES-ve nga sektori i industrisë, si dhe në arritjen e pikësynimit të PKEK-së për dekarbonizimin e ekonomisë.</w:t>
            </w:r>
          </w:p>
        </w:tc>
      </w:tr>
      <w:tr w:rsidR="00835192" w:rsidRPr="00FF756A" w14:paraId="7630B00C" w14:textId="77777777" w:rsidTr="004A3257">
        <w:trPr>
          <w:trHeight w:val="20"/>
        </w:trPr>
        <w:tc>
          <w:tcPr>
            <w:tcW w:w="2216" w:type="dxa"/>
          </w:tcPr>
          <w:p w14:paraId="62F3C306" w14:textId="77777777" w:rsidR="00835192" w:rsidRPr="00FF756A" w:rsidRDefault="00835192" w:rsidP="008639B2">
            <w:pPr>
              <w:numPr>
                <w:ilvl w:val="0"/>
                <w:numId w:val="71"/>
              </w:numPr>
              <w:spacing w:before="20" w:after="20" w:line="240" w:lineRule="auto"/>
              <w:contextualSpacing/>
              <w:rPr>
                <w:b/>
                <w:bCs/>
                <w:sz w:val="20"/>
                <w:szCs w:val="20"/>
              </w:rPr>
            </w:pPr>
            <w:bookmarkStart w:id="339" w:name="_Hlk178005756"/>
            <w:r w:rsidRPr="00FF756A">
              <w:rPr>
                <w:b/>
                <w:bCs/>
                <w:sz w:val="20"/>
                <w:szCs w:val="20"/>
              </w:rPr>
              <w:t>Rezultatet për t'u arritur</w:t>
            </w:r>
          </w:p>
        </w:tc>
        <w:tc>
          <w:tcPr>
            <w:tcW w:w="6856" w:type="dxa"/>
            <w:gridSpan w:val="5"/>
          </w:tcPr>
          <w:p w14:paraId="3C8D99A4" w14:textId="77777777" w:rsidR="00835192" w:rsidRPr="00FF756A" w:rsidRDefault="00835192" w:rsidP="008639B2">
            <w:pPr>
              <w:numPr>
                <w:ilvl w:val="0"/>
                <w:numId w:val="71"/>
              </w:numPr>
              <w:spacing w:before="20" w:after="20" w:line="240" w:lineRule="auto"/>
              <w:ind w:left="714" w:hanging="357"/>
              <w:contextualSpacing/>
              <w:rPr>
                <w:i/>
                <w:iCs/>
                <w:sz w:val="20"/>
                <w:szCs w:val="20"/>
              </w:rPr>
            </w:pPr>
            <w:r w:rsidRPr="00FF756A">
              <w:rPr>
                <w:i/>
                <w:iCs/>
                <w:sz w:val="20"/>
                <w:szCs w:val="20"/>
              </w:rPr>
              <w:t>Reduktimi i synuar me 50% i shkarkimeve të GES-ve nga sektori i industrisë, deri në vitin 2030</w:t>
            </w:r>
          </w:p>
          <w:p w14:paraId="1F4C07F7" w14:textId="77777777" w:rsidR="00835192" w:rsidRPr="00FF756A" w:rsidRDefault="00835192" w:rsidP="008639B2">
            <w:pPr>
              <w:numPr>
                <w:ilvl w:val="0"/>
                <w:numId w:val="71"/>
              </w:numPr>
              <w:spacing w:before="20" w:after="20" w:line="240" w:lineRule="auto"/>
              <w:ind w:left="714" w:hanging="357"/>
              <w:contextualSpacing/>
              <w:rPr>
                <w:i/>
                <w:iCs/>
                <w:sz w:val="20"/>
                <w:szCs w:val="20"/>
              </w:rPr>
            </w:pPr>
            <w:r w:rsidRPr="00FF756A">
              <w:rPr>
                <w:i/>
                <w:iCs/>
                <w:sz w:val="20"/>
                <w:szCs w:val="20"/>
              </w:rPr>
              <w:t xml:space="preserve">Për të ngritur skemën e tregtimit të shkarkimeve, MTM është angazhuar për miratimin e bazës së nevojshme ligjore për sistemin e monitorimit, raportimit, verifikimit dhe akreditimit (MRVA) </w:t>
            </w:r>
            <w:r w:rsidRPr="00FF756A">
              <w:rPr>
                <w:i/>
                <w:iCs/>
                <w:sz w:val="20"/>
                <w:szCs w:val="20"/>
                <w:u w:val="single"/>
              </w:rPr>
              <w:t>brenda vitit 2025</w:t>
            </w:r>
            <w:r w:rsidRPr="00FF756A">
              <w:rPr>
                <w:i/>
                <w:iCs/>
                <w:sz w:val="20"/>
                <w:szCs w:val="20"/>
              </w:rPr>
              <w:t xml:space="preserve">, duke siguruar harmonizimin me paketën MRVA të BE-së. </w:t>
            </w:r>
          </w:p>
          <w:p w14:paraId="42DA4AF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Prezantimi nga Shqipëria i tregtimit në nivel kombëtar të kuotave pa pagesë, me pjesëmarrjen e industrisë së çimentos, plehëruesve, hekurit dhe çelikut </w:t>
            </w:r>
            <w:r w:rsidRPr="00FF756A">
              <w:rPr>
                <w:i/>
                <w:iCs/>
                <w:sz w:val="20"/>
                <w:szCs w:val="20"/>
                <w:u w:val="single"/>
              </w:rPr>
              <w:t>(2026)</w:t>
            </w:r>
          </w:p>
          <w:p w14:paraId="4B7B0DC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Ligji “Për ndryshimet klimatike” do të ndryshohet dhe/ose do të miratohen akte të tjera të reja ligjore dhe nënligjore për të përcaktuar dhe përfshirë elementët e mëposhtëm të nevojshëm për zbatimin e dispozitave të Direktivës 2003/87/BE, të ndryshuar nga Direktiva 2008/101/KE, për sistemin e tregtimit të shkarkimeve (EU ETS):</w:t>
            </w:r>
          </w:p>
          <w:p w14:paraId="4ACD0EB2" w14:textId="77777777" w:rsidR="00835192" w:rsidRPr="00FF756A" w:rsidRDefault="00835192" w:rsidP="008639B2">
            <w:pPr>
              <w:numPr>
                <w:ilvl w:val="1"/>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i/>
                <w:iCs/>
                <w:sz w:val="20"/>
                <w:szCs w:val="20"/>
              </w:rPr>
            </w:pPr>
            <w:r w:rsidRPr="00FF756A">
              <w:rPr>
                <w:i/>
                <w:iCs/>
                <w:sz w:val="20"/>
                <w:szCs w:val="20"/>
              </w:rPr>
              <w:t>organi përgjegjës për pjesëmarrjen e Republikës së Shqipërisë në Skemën për Kompensimin dhe Reduktimin e Karbonit për Aviacionin Ndërkombëtar (CORSIA)</w:t>
            </w:r>
          </w:p>
          <w:p w14:paraId="37B9965C" w14:textId="77777777" w:rsidR="00835192" w:rsidRPr="00FF756A" w:rsidRDefault="00835192" w:rsidP="008639B2">
            <w:pPr>
              <w:numPr>
                <w:ilvl w:val="1"/>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i/>
                <w:iCs/>
                <w:sz w:val="20"/>
                <w:szCs w:val="20"/>
              </w:rPr>
            </w:pPr>
            <w:r w:rsidRPr="00FF756A">
              <w:rPr>
                <w:i/>
                <w:iCs/>
                <w:sz w:val="20"/>
                <w:szCs w:val="20"/>
              </w:rPr>
              <w:t>mënyra dhe qëllimi i përdorimit të të ardhurave të gjeneruara nga ankandi i kuotave, në përputhje me nenin 3d(4) dhe 10(3) të Direktivës 2003/87/BE dhe organi zbatues përgjegjës për zbatimin e tenderave dhe projekteve që do të financohen nga të ardhurat e ankandeve.</w:t>
            </w:r>
          </w:p>
          <w:p w14:paraId="65CA1D23" w14:textId="77777777" w:rsidR="00835192" w:rsidRPr="00FF756A" w:rsidRDefault="00835192" w:rsidP="008639B2">
            <w:pPr>
              <w:numPr>
                <w:ilvl w:val="1"/>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i/>
                <w:iCs/>
                <w:sz w:val="20"/>
                <w:szCs w:val="20"/>
              </w:rPr>
            </w:pPr>
            <w:r w:rsidRPr="00FF756A">
              <w:rPr>
                <w:i/>
                <w:iCs/>
                <w:sz w:val="20"/>
                <w:szCs w:val="20"/>
              </w:rPr>
              <w:t>masat financiare në favor të sektorëve ose nënsektorëve që janë të ekspozuar ndaj një rreziku të vërtetë të transferimit të shkarkimeve të karbonit për shkak të kostove të konsiderueshme indirekte që lindin nga kostot e shkarkimeve të gazeve me efekt serrë të përfshira në çmimet e energjisë elektrike, me kusht që këto masa financiare të jenë në përputhje me rregullat e ndihmës shtetërore, në përputhje me nenin 10, paragrafi 6 të Direktivës 2003/87/BE</w:t>
            </w:r>
          </w:p>
          <w:p w14:paraId="15CCC021" w14:textId="7743197F" w:rsidR="00835192" w:rsidRPr="00FF756A" w:rsidRDefault="00835192" w:rsidP="008639B2">
            <w:pPr>
              <w:numPr>
                <w:ilvl w:val="1"/>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i/>
                <w:iCs/>
                <w:sz w:val="20"/>
                <w:szCs w:val="20"/>
              </w:rPr>
            </w:pPr>
            <w:r w:rsidRPr="00FF756A">
              <w:rPr>
                <w:i/>
                <w:iCs/>
                <w:sz w:val="20"/>
                <w:szCs w:val="20"/>
              </w:rPr>
              <w:t>një alokim i mundshëm kalimtar pa pagesë për instalimet e prodhimit të energjisë elektrike me qëllim modernizimin, divers</w:t>
            </w:r>
            <w:r w:rsidR="00312056" w:rsidRPr="00FF756A">
              <w:rPr>
                <w:i/>
                <w:iCs/>
                <w:sz w:val="20"/>
                <w:szCs w:val="20"/>
              </w:rPr>
              <w:t xml:space="preserve">itetin </w:t>
            </w:r>
            <w:r w:rsidRPr="00FF756A">
              <w:rPr>
                <w:i/>
                <w:iCs/>
                <w:sz w:val="20"/>
                <w:szCs w:val="20"/>
              </w:rPr>
              <w:t>dhe transformimin e qëndrueshëm të sektorit të energjisë në përputhje me nenin 10c(1) të Direktivës 2003/87/BE (Neni 10c “Mundësi për alokim kalimtar pa pagesë për modernizimin e sektorit të energjisë”; i referohet shteteve anëtare të cilat në vitin 2013 kishin një PBB për frymë me çmimet e tregut (në euro) nën 60% të mesatares së Bashkimit Evropian)</w:t>
            </w:r>
          </w:p>
          <w:p w14:paraId="6AF3617E" w14:textId="77777777" w:rsidR="00835192" w:rsidRPr="00FF756A" w:rsidRDefault="00835192" w:rsidP="008639B2">
            <w:pPr>
              <w:numPr>
                <w:ilvl w:val="1"/>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i/>
                <w:iCs/>
                <w:sz w:val="20"/>
                <w:szCs w:val="20"/>
              </w:rPr>
            </w:pPr>
            <w:r w:rsidRPr="00FF756A">
              <w:rPr>
                <w:i/>
                <w:iCs/>
                <w:sz w:val="20"/>
                <w:szCs w:val="20"/>
              </w:rPr>
              <w:t xml:space="preserve">nëse dhe çfarë përqindje e kuotave do t’i shtohet Shqipërisë, duke rritur kështu fondet e alokuara dhe duke mbështetur investimet në Fondin e Modernizimit në përputhje me nenin 10d(4). </w:t>
            </w:r>
          </w:p>
          <w:p w14:paraId="15EFFEC2" w14:textId="77777777" w:rsidR="00835192" w:rsidRPr="00FF756A" w:rsidRDefault="00835192" w:rsidP="008639B2">
            <w:pPr>
              <w:numPr>
                <w:ilvl w:val="1"/>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i/>
                <w:iCs/>
                <w:sz w:val="20"/>
                <w:szCs w:val="20"/>
              </w:rPr>
            </w:pPr>
            <w:r w:rsidRPr="00FF756A">
              <w:rPr>
                <w:i/>
                <w:iCs/>
                <w:sz w:val="20"/>
                <w:szCs w:val="20"/>
              </w:rPr>
              <w:t>nëse Republika e Shqipërisë do të zbatojë ETS në përputhje me nenin 24 për veprimtaritë dhe gazet me efekt serrë që nuk janë të listuara në Shtojcën I të Direktivës 2003/87/BE</w:t>
            </w:r>
          </w:p>
          <w:p w14:paraId="330D262E" w14:textId="77777777" w:rsidR="00835192" w:rsidRPr="00FF756A" w:rsidRDefault="00835192" w:rsidP="008639B2">
            <w:pPr>
              <w:numPr>
                <w:ilvl w:val="1"/>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i/>
                <w:iCs/>
                <w:sz w:val="20"/>
                <w:szCs w:val="20"/>
              </w:rPr>
            </w:pPr>
            <w:r w:rsidRPr="00FF756A">
              <w:rPr>
                <w:i/>
                <w:iCs/>
                <w:sz w:val="20"/>
                <w:szCs w:val="20"/>
              </w:rPr>
              <w:t>nëse, pas konsultimit me operatorin, Republika e Shqipërisë do të përjashtojë nga ETS instalimet që kanë raportuar shkarkime më të ulëta se 25 000 ton ekuivalentë të dyoksidit të karbonit dhe, kur kryejnë veprimtari djegieje, kanë një energji termike nominale në hyrje nën 35 MW</w:t>
            </w:r>
          </w:p>
          <w:p w14:paraId="1A7E740D" w14:textId="77777777" w:rsidR="00835192" w:rsidRPr="00FF756A" w:rsidRDefault="00835192" w:rsidP="008639B2">
            <w:pPr>
              <w:numPr>
                <w:ilvl w:val="1"/>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i/>
                <w:iCs/>
                <w:sz w:val="20"/>
                <w:szCs w:val="20"/>
              </w:rPr>
            </w:pPr>
            <w:r w:rsidRPr="00FF756A">
              <w:rPr>
                <w:i/>
                <w:iCs/>
                <w:sz w:val="20"/>
                <w:szCs w:val="20"/>
              </w:rPr>
              <w:t>nëse Republika e Shqipërisë do të përjashtojë nga ETS instalimet që kanë raportuar pranë autoritetit kompetent të shtetit anëtar përkatës shkarkime më të ulëta se 2500 ton ekuivalentë të dyoksidit të karbonit</w:t>
            </w:r>
          </w:p>
          <w:p w14:paraId="0036D930" w14:textId="77777777" w:rsidR="00835192" w:rsidRPr="00FF756A" w:rsidRDefault="00835192" w:rsidP="008639B2">
            <w:pPr>
              <w:numPr>
                <w:ilvl w:val="1"/>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i/>
                <w:iCs/>
                <w:sz w:val="20"/>
                <w:szCs w:val="20"/>
              </w:rPr>
            </w:pPr>
            <w:r w:rsidRPr="00FF756A">
              <w:rPr>
                <w:i/>
                <w:iCs/>
                <w:sz w:val="20"/>
                <w:szCs w:val="20"/>
                <w:u w:val="single"/>
              </w:rPr>
              <w:lastRenderedPageBreak/>
              <w:t>Deri në qershor të vitit 2025</w:t>
            </w:r>
            <w:r w:rsidRPr="00FF756A">
              <w:rPr>
                <w:i/>
                <w:iCs/>
                <w:sz w:val="20"/>
                <w:szCs w:val="20"/>
              </w:rPr>
              <w:t xml:space="preserve"> do të miratohen akte nënligjore për t’u përafruar plotësisht me legjislacionin e BE-së për MRVA e instalimeve industriale;</w:t>
            </w:r>
          </w:p>
          <w:p w14:paraId="5336BE5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Aftësimi, </w:t>
            </w:r>
            <w:r w:rsidRPr="00FF756A">
              <w:rPr>
                <w:i/>
                <w:iCs/>
                <w:sz w:val="20"/>
                <w:szCs w:val="20"/>
                <w:u w:val="single"/>
              </w:rPr>
              <w:t>deri në vitin 2027</w:t>
            </w:r>
            <w:r w:rsidRPr="00FF756A">
              <w:rPr>
                <w:i/>
                <w:iCs/>
                <w:sz w:val="20"/>
                <w:szCs w:val="20"/>
              </w:rPr>
              <w:t>, i 20 operatorëve industrialë në shtojcën II të ligjit 155/2020, për monitorimin, raportimin dhe verifikimin e shkarkimeve të GES-ve në pajtueshmëri me udhëzimet e BE-së.</w:t>
            </w:r>
          </w:p>
        </w:tc>
      </w:tr>
      <w:bookmarkEnd w:id="339"/>
      <w:tr w:rsidR="00835192" w:rsidRPr="00FF756A" w14:paraId="61888C05" w14:textId="77777777" w:rsidTr="004A3257">
        <w:trPr>
          <w:trHeight w:val="20"/>
        </w:trPr>
        <w:tc>
          <w:tcPr>
            <w:tcW w:w="2216" w:type="dxa"/>
          </w:tcPr>
          <w:p w14:paraId="44DEBD89"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Masat që duhet të zbatohen</w:t>
            </w:r>
          </w:p>
        </w:tc>
        <w:tc>
          <w:tcPr>
            <w:tcW w:w="6006" w:type="dxa"/>
            <w:gridSpan w:val="4"/>
          </w:tcPr>
          <w:p w14:paraId="301A104E" w14:textId="77777777" w:rsidR="00835192" w:rsidRPr="00FF756A" w:rsidRDefault="00835192" w:rsidP="00835192">
            <w:pPr>
              <w:spacing w:before="20" w:after="20" w:line="240" w:lineRule="auto"/>
              <w:rPr>
                <w:i/>
                <w:iCs/>
                <w:sz w:val="20"/>
                <w:szCs w:val="20"/>
              </w:rPr>
            </w:pPr>
            <w:r w:rsidRPr="00FF756A">
              <w:rPr>
                <w:i/>
                <w:sz w:val="20"/>
                <w:szCs w:val="20"/>
              </w:rPr>
              <w:t>Projektimi i ETS-së së ardhshme në përputhje me standardet e BE-së, me qëllim lehtësimin e procesit të çdo ndërlidhjeje të mundshme në të ardhmen me ETS-në e BE-së.</w:t>
            </w:r>
            <w:r w:rsidRPr="00FF756A">
              <w:rPr>
                <w:i/>
                <w:iCs/>
                <w:sz w:val="20"/>
                <w:szCs w:val="20"/>
              </w:rPr>
              <w:t xml:space="preserve"> </w:t>
            </w:r>
          </w:p>
          <w:p w14:paraId="72F04A83"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Përmirësimi i kuadrit legjislativ (legjislacionit dytësor për procedurat e nxjerrjes së lejeve për shkarkimin e GES-ve dhe udhëzimet teknike)</w:t>
            </w:r>
          </w:p>
          <w:p w14:paraId="07677D0D"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Krijimi i një sporteli shërbimi për operatorët industrialë</w:t>
            </w:r>
          </w:p>
          <w:p w14:paraId="28352022"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 xml:space="preserve">Caktimi i çmimit të karbonit </w:t>
            </w:r>
          </w:p>
          <w:p w14:paraId="191E8BF9"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Trajnimi i operatorëve industrialë lidhur me:</w:t>
            </w:r>
          </w:p>
          <w:p w14:paraId="43EC9E35" w14:textId="77777777" w:rsidR="00835192" w:rsidRPr="00FF756A" w:rsidRDefault="00835192" w:rsidP="008639B2">
            <w:pPr>
              <w:numPr>
                <w:ilvl w:val="1"/>
                <w:numId w:val="71"/>
              </w:numPr>
              <w:spacing w:before="20" w:after="20" w:line="240" w:lineRule="auto"/>
              <w:rPr>
                <w:i/>
                <w:iCs/>
                <w:sz w:val="20"/>
                <w:szCs w:val="20"/>
              </w:rPr>
            </w:pPr>
            <w:r w:rsidRPr="00FF756A">
              <w:rPr>
                <w:i/>
                <w:iCs/>
                <w:sz w:val="20"/>
                <w:szCs w:val="20"/>
              </w:rPr>
              <w:t>Krijimin e planit të monitorimit (kategorizimi, sistemi me nivele, qasja e bazuar në llogaritje, pasiguria, kërkesa të tjera)</w:t>
            </w:r>
          </w:p>
          <w:p w14:paraId="677E2D6B" w14:textId="77777777" w:rsidR="00835192" w:rsidRPr="00FF756A" w:rsidRDefault="00835192" w:rsidP="008639B2">
            <w:pPr>
              <w:numPr>
                <w:ilvl w:val="1"/>
                <w:numId w:val="71"/>
              </w:numPr>
              <w:spacing w:before="20" w:after="20" w:line="240" w:lineRule="auto"/>
              <w:rPr>
                <w:i/>
                <w:iCs/>
                <w:sz w:val="20"/>
                <w:szCs w:val="20"/>
              </w:rPr>
            </w:pPr>
            <w:r w:rsidRPr="00FF756A">
              <w:rPr>
                <w:i/>
                <w:iCs/>
                <w:sz w:val="20"/>
                <w:szCs w:val="20"/>
              </w:rPr>
              <w:t xml:space="preserve">Ngritjen e një kuadri verifikimi dhe raportimi (raport vjetor mbi shkarkimet, shoqëruar me të dhëna të verifikuara lidhur me këto shkarkime; </w:t>
            </w:r>
          </w:p>
          <w:p w14:paraId="6EA15DBA" w14:textId="77777777" w:rsidR="00835192" w:rsidRPr="00FF756A" w:rsidRDefault="00835192" w:rsidP="008639B2">
            <w:pPr>
              <w:numPr>
                <w:ilvl w:val="1"/>
                <w:numId w:val="71"/>
              </w:numPr>
              <w:spacing w:before="20" w:after="20" w:line="240" w:lineRule="auto"/>
              <w:rPr>
                <w:i/>
                <w:iCs/>
                <w:sz w:val="20"/>
                <w:szCs w:val="20"/>
              </w:rPr>
            </w:pPr>
            <w:r w:rsidRPr="00FF756A">
              <w:rPr>
                <w:i/>
                <w:iCs/>
                <w:sz w:val="20"/>
                <w:szCs w:val="20"/>
              </w:rPr>
              <w:t xml:space="preserve">raport verifikimi, raport mbi përmirësimin) </w:t>
            </w:r>
          </w:p>
          <w:p w14:paraId="3F958C13" w14:textId="77777777" w:rsidR="00835192" w:rsidRPr="00FF756A" w:rsidRDefault="00835192" w:rsidP="008639B2">
            <w:pPr>
              <w:numPr>
                <w:ilvl w:val="1"/>
                <w:numId w:val="71"/>
              </w:numPr>
              <w:spacing w:before="20" w:after="20" w:line="240" w:lineRule="auto"/>
              <w:rPr>
                <w:i/>
                <w:iCs/>
                <w:sz w:val="20"/>
                <w:szCs w:val="20"/>
              </w:rPr>
            </w:pPr>
            <w:r w:rsidRPr="00FF756A">
              <w:rPr>
                <w:i/>
                <w:iCs/>
                <w:sz w:val="20"/>
                <w:szCs w:val="20"/>
              </w:rPr>
              <w:t>Mënyrën e përftimit të kuotave në nivel BE-je (blerje, përftim pa pagesë) apo kthimit të tyre</w:t>
            </w:r>
          </w:p>
          <w:p w14:paraId="672B9722" w14:textId="77777777" w:rsidR="00835192" w:rsidRPr="00FF756A" w:rsidRDefault="00835192" w:rsidP="008639B2">
            <w:pPr>
              <w:numPr>
                <w:ilvl w:val="1"/>
                <w:numId w:val="71"/>
              </w:numPr>
              <w:spacing w:before="20" w:after="20" w:line="240" w:lineRule="auto"/>
              <w:rPr>
                <w:i/>
                <w:iCs/>
                <w:sz w:val="20"/>
                <w:szCs w:val="20"/>
              </w:rPr>
            </w:pPr>
            <w:r w:rsidRPr="00FF756A">
              <w:rPr>
                <w:i/>
                <w:iCs/>
                <w:sz w:val="20"/>
                <w:szCs w:val="20"/>
              </w:rPr>
              <w:t>Nisjen e procesit të akreditimit dhe/ose njohjen e verifikuesve të jashtëm për shkak të përmasave të tregut.</w:t>
            </w:r>
          </w:p>
          <w:p w14:paraId="0E51D237"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Trajnimi i stafit të AKM-së dhe institucioneve të tjera në përpunimin e të dhënave, zhvillimin e treguesve, menaxhimin, arkivimin, procedurat e vlerësimit dhe miratimit të planeve të monitorimit etj.</w:t>
            </w:r>
          </w:p>
        </w:tc>
        <w:tc>
          <w:tcPr>
            <w:tcW w:w="850" w:type="dxa"/>
          </w:tcPr>
          <w:p w14:paraId="73FA39CE" w14:textId="77777777" w:rsidR="00835192" w:rsidRPr="00FF756A" w:rsidRDefault="00835192" w:rsidP="00835192">
            <w:pPr>
              <w:spacing w:before="20" w:after="20" w:line="240" w:lineRule="auto"/>
              <w:rPr>
                <w:i/>
                <w:iCs/>
                <w:sz w:val="20"/>
                <w:szCs w:val="20"/>
              </w:rPr>
            </w:pPr>
            <w:r w:rsidRPr="00FF756A">
              <w:rPr>
                <w:i/>
                <w:iCs/>
                <w:sz w:val="20"/>
                <w:szCs w:val="20"/>
              </w:rPr>
              <w:t>brenda vitit 2030</w:t>
            </w:r>
          </w:p>
        </w:tc>
      </w:tr>
      <w:tr w:rsidR="00835192" w:rsidRPr="00FF756A" w14:paraId="656B2C61" w14:textId="77777777" w:rsidTr="004A3257">
        <w:trPr>
          <w:trHeight w:val="20"/>
        </w:trPr>
        <w:tc>
          <w:tcPr>
            <w:tcW w:w="2216" w:type="dxa"/>
          </w:tcPr>
          <w:p w14:paraId="4E708324"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56" w:type="dxa"/>
            <w:gridSpan w:val="5"/>
          </w:tcPr>
          <w:p w14:paraId="4D63E86D" w14:textId="77777777" w:rsidR="00835192" w:rsidRPr="00FF756A" w:rsidRDefault="00835192" w:rsidP="00835192">
            <w:pPr>
              <w:spacing w:before="20" w:after="20" w:line="240" w:lineRule="auto"/>
              <w:rPr>
                <w:i/>
                <w:iCs/>
                <w:sz w:val="20"/>
                <w:szCs w:val="20"/>
              </w:rPr>
            </w:pPr>
            <w:r w:rsidRPr="00FF756A">
              <w:rPr>
                <w:i/>
                <w:iCs/>
                <w:sz w:val="20"/>
                <w:szCs w:val="20"/>
              </w:rPr>
              <w:t>2 milionë euro (shifër treguese e bazuar në një analizë krahasuese, e cila mbulon kostot për ngritjen e kapaciteteve të autoritetit kompetent dhe operatorëve dhe për ngritjen e kuadrit teknik).</w:t>
            </w:r>
          </w:p>
          <w:p w14:paraId="0CD86A1A" w14:textId="77777777" w:rsidR="00835192" w:rsidRPr="00FF756A" w:rsidRDefault="00835192" w:rsidP="00835192">
            <w:pPr>
              <w:spacing w:before="20" w:after="20" w:line="240" w:lineRule="auto"/>
              <w:rPr>
                <w:i/>
                <w:iCs/>
                <w:sz w:val="20"/>
                <w:szCs w:val="20"/>
              </w:rPr>
            </w:pPr>
            <w:r w:rsidRPr="00FF756A">
              <w:rPr>
                <w:i/>
                <w:iCs/>
                <w:sz w:val="20"/>
                <w:szCs w:val="20"/>
              </w:rPr>
              <w:t>Buxheti mund të përftohet përmes donatorëve të ndryshëm ndërkombëtarë dhe mekanizmave të ndryshëm financues në nivel BE-je, si asistenca teknike në kuadër të IPA-s, TAIEX etj.</w:t>
            </w:r>
          </w:p>
        </w:tc>
      </w:tr>
      <w:tr w:rsidR="00835192" w:rsidRPr="00FF756A" w14:paraId="06C416B2" w14:textId="77777777" w:rsidTr="004A3257">
        <w:trPr>
          <w:trHeight w:val="20"/>
        </w:trPr>
        <w:tc>
          <w:tcPr>
            <w:tcW w:w="2216" w:type="dxa"/>
          </w:tcPr>
          <w:p w14:paraId="5B926346"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19F74CB3"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56" w:type="dxa"/>
            <w:gridSpan w:val="5"/>
          </w:tcPr>
          <w:p w14:paraId="3F462174" w14:textId="77777777" w:rsidR="00835192" w:rsidRPr="00FF756A" w:rsidRDefault="00835192" w:rsidP="00835192">
            <w:pPr>
              <w:spacing w:before="20" w:after="20" w:line="240" w:lineRule="auto"/>
              <w:rPr>
                <w:i/>
                <w:iCs/>
                <w:sz w:val="20"/>
                <w:szCs w:val="20"/>
              </w:rPr>
            </w:pPr>
            <w:r w:rsidRPr="00FF756A">
              <w:rPr>
                <w:i/>
                <w:iCs/>
                <w:sz w:val="20"/>
                <w:szCs w:val="20"/>
              </w:rPr>
              <w:t>Ministria e Turizmit dhe Mjedisit, Ministria e Infrastrukturës dhe Energjisë, Ministria e Financave</w:t>
            </w:r>
          </w:p>
          <w:p w14:paraId="007E425A" w14:textId="77777777" w:rsidR="00835192" w:rsidRPr="00FF756A" w:rsidRDefault="00835192" w:rsidP="00835192">
            <w:pPr>
              <w:spacing w:before="20" w:after="20" w:line="240" w:lineRule="auto"/>
              <w:rPr>
                <w:i/>
                <w:iCs/>
                <w:sz w:val="20"/>
                <w:szCs w:val="20"/>
              </w:rPr>
            </w:pPr>
            <w:r w:rsidRPr="00FF756A">
              <w:rPr>
                <w:i/>
                <w:iCs/>
                <w:sz w:val="20"/>
                <w:szCs w:val="20"/>
              </w:rPr>
              <w:t>Agjencia Kombëtare e Mjedisit</w:t>
            </w:r>
          </w:p>
        </w:tc>
      </w:tr>
      <w:tr w:rsidR="00835192" w:rsidRPr="00FF756A" w14:paraId="337035E4" w14:textId="77777777" w:rsidTr="004A3257">
        <w:trPr>
          <w:trHeight w:val="20"/>
        </w:trPr>
        <w:tc>
          <w:tcPr>
            <w:tcW w:w="2216" w:type="dxa"/>
          </w:tcPr>
          <w:p w14:paraId="2BA74D49"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56" w:type="dxa"/>
            <w:gridSpan w:val="5"/>
          </w:tcPr>
          <w:p w14:paraId="4C4CA559" w14:textId="77777777" w:rsidR="00835192" w:rsidRPr="00FF756A" w:rsidRDefault="00835192" w:rsidP="00835192">
            <w:pPr>
              <w:spacing w:before="20" w:after="20" w:line="240" w:lineRule="auto"/>
              <w:rPr>
                <w:i/>
                <w:iCs/>
                <w:sz w:val="20"/>
                <w:szCs w:val="20"/>
              </w:rPr>
            </w:pPr>
            <w:r w:rsidRPr="00FF756A">
              <w:rPr>
                <w:i/>
                <w:iCs/>
                <w:sz w:val="20"/>
                <w:szCs w:val="20"/>
              </w:rPr>
              <w:t>Dekarbonizimi (PIPP dhe prodhimi i energjisë elektrike); ndikimi potencial në efiçencën e energjisë dhe në kërkim, inovacion dhe konkurrencë</w:t>
            </w:r>
          </w:p>
        </w:tc>
      </w:tr>
    </w:tbl>
    <w:p w14:paraId="72D032DB" w14:textId="77777777" w:rsidR="00835192" w:rsidRPr="00FF756A" w:rsidRDefault="00835192" w:rsidP="00835192"/>
    <w:p w14:paraId="383C0341"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6"/>
        <w:gridCol w:w="1280"/>
        <w:gridCol w:w="600"/>
        <w:gridCol w:w="429"/>
        <w:gridCol w:w="3707"/>
        <w:gridCol w:w="850"/>
      </w:tblGrid>
      <w:tr w:rsidR="00835192" w:rsidRPr="00FF756A" w14:paraId="679E7ED0" w14:textId="77777777" w:rsidTr="004A3257">
        <w:trPr>
          <w:trHeight w:val="20"/>
        </w:trPr>
        <w:tc>
          <w:tcPr>
            <w:tcW w:w="4511" w:type="dxa"/>
            <w:gridSpan w:val="4"/>
            <w:shd w:val="clear" w:color="auto" w:fill="E2EFD9" w:themeFill="accent6" w:themeFillTint="33"/>
          </w:tcPr>
          <w:p w14:paraId="7155ACA7"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61" w:type="dxa"/>
            <w:gridSpan w:val="2"/>
            <w:shd w:val="clear" w:color="auto" w:fill="E2EFD9" w:themeFill="accent6" w:themeFillTint="33"/>
          </w:tcPr>
          <w:p w14:paraId="7ECD6CEA" w14:textId="77777777" w:rsidR="00835192" w:rsidRPr="00FF756A" w:rsidRDefault="00835192" w:rsidP="008639B2">
            <w:pPr>
              <w:numPr>
                <w:ilvl w:val="0"/>
                <w:numId w:val="74"/>
              </w:numPr>
              <w:spacing w:before="20" w:after="20" w:line="240" w:lineRule="auto"/>
              <w:contextualSpacing/>
              <w:rPr>
                <w:i/>
                <w:iCs/>
                <w:sz w:val="20"/>
                <w:szCs w:val="20"/>
              </w:rPr>
            </w:pPr>
            <w:r w:rsidRPr="00FF756A">
              <w:rPr>
                <w:i/>
                <w:iCs/>
                <w:sz w:val="20"/>
                <w:szCs w:val="20"/>
              </w:rPr>
              <w:t>Dekarbonizimi</w:t>
            </w:r>
          </w:p>
          <w:p w14:paraId="29D83CBA" w14:textId="41C54AAF" w:rsidR="00835192" w:rsidRPr="00FF756A" w:rsidRDefault="00835192" w:rsidP="004A3257">
            <w:pPr>
              <w:spacing w:before="20" w:after="20" w:line="240" w:lineRule="auto"/>
              <w:contextualSpacing/>
              <w:rPr>
                <w:i/>
                <w:iCs/>
                <w:sz w:val="20"/>
                <w:szCs w:val="20"/>
              </w:rPr>
            </w:pPr>
            <w:r w:rsidRPr="00FF756A">
              <w:rPr>
                <w:i/>
                <w:iCs/>
                <w:sz w:val="20"/>
                <w:szCs w:val="20"/>
              </w:rPr>
              <w:t>Shkarkimet dhe eliminimi i GES-ve</w:t>
            </w:r>
          </w:p>
        </w:tc>
      </w:tr>
      <w:tr w:rsidR="00835192" w:rsidRPr="00FF756A" w14:paraId="73CF4CCE" w14:textId="77777777" w:rsidTr="004A3257">
        <w:trPr>
          <w:trHeight w:val="20"/>
        </w:trPr>
        <w:tc>
          <w:tcPr>
            <w:tcW w:w="4081" w:type="dxa"/>
            <w:gridSpan w:val="3"/>
            <w:shd w:val="clear" w:color="auto" w:fill="E2EFD9" w:themeFill="accent6" w:themeFillTint="33"/>
          </w:tcPr>
          <w:p w14:paraId="4673EA32"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91" w:type="dxa"/>
            <w:gridSpan w:val="3"/>
            <w:shd w:val="clear" w:color="auto" w:fill="E2EFD9" w:themeFill="accent6" w:themeFillTint="33"/>
          </w:tcPr>
          <w:p w14:paraId="67EC6AEF" w14:textId="77777777" w:rsidR="00835192" w:rsidRPr="00FF756A" w:rsidRDefault="00835192" w:rsidP="00835192">
            <w:pPr>
              <w:spacing w:before="20" w:after="20" w:line="240" w:lineRule="auto"/>
              <w:rPr>
                <w:i/>
                <w:iCs/>
                <w:sz w:val="20"/>
                <w:szCs w:val="20"/>
              </w:rPr>
            </w:pPr>
            <w:r w:rsidRPr="00FF756A">
              <w:rPr>
                <w:i/>
                <w:iCs/>
                <w:sz w:val="20"/>
                <w:szCs w:val="20"/>
              </w:rPr>
              <w:t>Industria / Ndërsektorial</w:t>
            </w:r>
          </w:p>
        </w:tc>
      </w:tr>
      <w:tr w:rsidR="00835192" w:rsidRPr="00FF756A" w14:paraId="0371FF59" w14:textId="77777777" w:rsidTr="004A3257">
        <w:trPr>
          <w:trHeight w:val="20"/>
        </w:trPr>
        <w:tc>
          <w:tcPr>
            <w:tcW w:w="3480" w:type="dxa"/>
            <w:gridSpan w:val="2"/>
          </w:tcPr>
          <w:p w14:paraId="72C26FF2"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284D9386"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2" w:type="dxa"/>
            <w:gridSpan w:val="4"/>
          </w:tcPr>
          <w:p w14:paraId="432131DA" w14:textId="77777777" w:rsidR="00835192" w:rsidRPr="00FF756A" w:rsidRDefault="00835192" w:rsidP="00835192">
            <w:pPr>
              <w:spacing w:before="20" w:after="20" w:line="240" w:lineRule="auto"/>
              <w:rPr>
                <w:i/>
                <w:iCs/>
                <w:sz w:val="20"/>
                <w:szCs w:val="20"/>
              </w:rPr>
            </w:pPr>
            <w:r w:rsidRPr="00FF756A">
              <w:rPr>
                <w:i/>
                <w:iCs/>
                <w:sz w:val="20"/>
                <w:szCs w:val="20"/>
              </w:rPr>
              <w:t>WEM</w:t>
            </w:r>
          </w:p>
          <w:p w14:paraId="6B825E8C"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2A0E6C29" w14:textId="77777777" w:rsidTr="004A3257">
        <w:trPr>
          <w:trHeight w:val="20"/>
        </w:trPr>
        <w:tc>
          <w:tcPr>
            <w:tcW w:w="2198" w:type="dxa"/>
          </w:tcPr>
          <w:p w14:paraId="475DAEC1"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70060F82"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4" w:type="dxa"/>
            <w:gridSpan w:val="5"/>
          </w:tcPr>
          <w:p w14:paraId="338DCF8F" w14:textId="77777777" w:rsidR="00835192" w:rsidRPr="00FF756A" w:rsidRDefault="00835192" w:rsidP="00835192">
            <w:pPr>
              <w:spacing w:before="20" w:after="20" w:line="240" w:lineRule="auto"/>
              <w:rPr>
                <w:i/>
                <w:iCs/>
                <w:sz w:val="20"/>
                <w:szCs w:val="20"/>
              </w:rPr>
            </w:pPr>
            <w:bookmarkStart w:id="340" w:name="_Hlk178006058"/>
            <w:r w:rsidRPr="00FF756A">
              <w:rPr>
                <w:i/>
                <w:iCs/>
                <w:sz w:val="20"/>
                <w:szCs w:val="20"/>
              </w:rPr>
              <w:t xml:space="preserve">Ngritja e një mekanizmi për zbatimin e </w:t>
            </w:r>
            <w:bookmarkStart w:id="341" w:name="_Hlk75521652"/>
            <w:r w:rsidRPr="00FF756A">
              <w:rPr>
                <w:i/>
                <w:iCs/>
                <w:sz w:val="20"/>
                <w:szCs w:val="20"/>
              </w:rPr>
              <w:t>MMR-së (Rregullorja për Mekanizmat e Monitorimit)</w:t>
            </w:r>
            <w:bookmarkEnd w:id="341"/>
          </w:p>
          <w:bookmarkEnd w:id="340"/>
          <w:p w14:paraId="626078FD" w14:textId="77777777" w:rsidR="00835192" w:rsidRPr="00FF756A" w:rsidRDefault="00835192" w:rsidP="00835192">
            <w:pPr>
              <w:spacing w:before="20" w:after="20" w:line="240" w:lineRule="auto"/>
              <w:rPr>
                <w:i/>
                <w:iCs/>
                <w:sz w:val="20"/>
                <w:szCs w:val="20"/>
              </w:rPr>
            </w:pPr>
            <w:r w:rsidRPr="00FF756A">
              <w:rPr>
                <w:i/>
                <w:iCs/>
                <w:sz w:val="20"/>
                <w:szCs w:val="20"/>
              </w:rPr>
              <w:t>(G-I2)</w:t>
            </w:r>
          </w:p>
        </w:tc>
      </w:tr>
      <w:tr w:rsidR="00835192" w:rsidRPr="00FF756A" w14:paraId="51ABA2C1" w14:textId="77777777" w:rsidTr="004A3257">
        <w:trPr>
          <w:trHeight w:val="20"/>
        </w:trPr>
        <w:tc>
          <w:tcPr>
            <w:tcW w:w="2198" w:type="dxa"/>
          </w:tcPr>
          <w:p w14:paraId="06582A1A"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4" w:type="dxa"/>
            <w:gridSpan w:val="5"/>
          </w:tcPr>
          <w:p w14:paraId="7F53ECAD" w14:textId="77777777" w:rsidR="00835192" w:rsidRPr="00FF756A" w:rsidRDefault="00835192" w:rsidP="00835192">
            <w:pPr>
              <w:spacing w:before="20" w:after="20" w:line="240" w:lineRule="auto"/>
              <w:rPr>
                <w:i/>
                <w:iCs/>
                <w:sz w:val="20"/>
                <w:szCs w:val="20"/>
              </w:rPr>
            </w:pPr>
            <w:r w:rsidRPr="00FF756A">
              <w:rPr>
                <w:i/>
                <w:iCs/>
                <w:sz w:val="20"/>
                <w:szCs w:val="20"/>
              </w:rPr>
              <w:t>2022 – në vazhdim</w:t>
            </w:r>
          </w:p>
        </w:tc>
      </w:tr>
      <w:tr w:rsidR="00835192" w:rsidRPr="00FF756A" w14:paraId="558CC9B6" w14:textId="77777777" w:rsidTr="004A3257">
        <w:trPr>
          <w:trHeight w:val="20"/>
        </w:trPr>
        <w:tc>
          <w:tcPr>
            <w:tcW w:w="2198" w:type="dxa"/>
          </w:tcPr>
          <w:p w14:paraId="408FB455"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Baza ligjore dhe dokumentet e planifikimit</w:t>
            </w:r>
          </w:p>
        </w:tc>
        <w:tc>
          <w:tcPr>
            <w:tcW w:w="6874" w:type="dxa"/>
            <w:gridSpan w:val="5"/>
          </w:tcPr>
          <w:p w14:paraId="64060222" w14:textId="77777777" w:rsidR="00835192" w:rsidRPr="00FF756A" w:rsidRDefault="00835192" w:rsidP="00835192">
            <w:pPr>
              <w:spacing w:before="20" w:after="20" w:line="240" w:lineRule="auto"/>
              <w:rPr>
                <w:i/>
                <w:iCs/>
                <w:sz w:val="20"/>
                <w:szCs w:val="20"/>
              </w:rPr>
            </w:pPr>
            <w:r w:rsidRPr="00FF756A">
              <w:rPr>
                <w:i/>
                <w:iCs/>
                <w:sz w:val="20"/>
                <w:szCs w:val="20"/>
              </w:rPr>
              <w:t xml:space="preserve">Ligji nr. 155/2020, datë 17.12.2020, “Për ndryshimet klimatike”; VKM nr. 466, datë 3.7.2019, “Për miratimin e dokumentit strategjik dhe planit kombëtar për zbutjen e gazeve me efekt serrë dhe për përshtatjen ndaj ndryshimeve klimatike”; </w:t>
            </w:r>
            <w:bookmarkStart w:id="342" w:name="_Hlk75521580"/>
            <w:r w:rsidRPr="00FF756A">
              <w:rPr>
                <w:i/>
                <w:iCs/>
                <w:sz w:val="20"/>
                <w:szCs w:val="20"/>
              </w:rPr>
              <w:t>Ratifikimi i KKKBNK-së</w:t>
            </w:r>
            <w:bookmarkEnd w:id="342"/>
            <w:r w:rsidRPr="00FF756A">
              <w:rPr>
                <w:i/>
                <w:iCs/>
                <w:sz w:val="20"/>
                <w:szCs w:val="20"/>
              </w:rPr>
              <w:t xml:space="preserve"> nga Parlamenti Shqiptar në 1994; dhe VKM nr. 889, datë 27.12.2022, “Për miratimin e rregullores për monitorimin, raportimin e shkarkimeve të gazeve me efekt serrë dhe të informacioneve të tjera që lidhen me ndryshimet klimatike në nivel kombëtar”. </w:t>
            </w:r>
          </w:p>
        </w:tc>
      </w:tr>
      <w:tr w:rsidR="00835192" w:rsidRPr="00FF756A" w14:paraId="34495073" w14:textId="77777777" w:rsidTr="004A3257">
        <w:trPr>
          <w:trHeight w:val="20"/>
        </w:trPr>
        <w:tc>
          <w:tcPr>
            <w:tcW w:w="2198" w:type="dxa"/>
          </w:tcPr>
          <w:p w14:paraId="15233285"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4" w:type="dxa"/>
            <w:gridSpan w:val="5"/>
          </w:tcPr>
          <w:p w14:paraId="0255E546" w14:textId="48CEE4EE" w:rsidR="00835192" w:rsidRPr="00FF756A" w:rsidRDefault="00835192" w:rsidP="00835192">
            <w:pPr>
              <w:spacing w:before="20" w:after="20" w:line="240" w:lineRule="auto"/>
              <w:rPr>
                <w:i/>
                <w:iCs/>
                <w:sz w:val="20"/>
                <w:szCs w:val="20"/>
              </w:rPr>
            </w:pPr>
            <w:r w:rsidRPr="00FF756A">
              <w:rPr>
                <w:i/>
                <w:iCs/>
                <w:sz w:val="20"/>
                <w:szCs w:val="20"/>
              </w:rPr>
              <w:t xml:space="preserve">Përgatitja dhe miratimi i ligjit “Për ndryshimet klimatike” dhe i procesit të rishikimit të </w:t>
            </w:r>
            <w:r w:rsidR="00211189" w:rsidRPr="00FF756A">
              <w:rPr>
                <w:i/>
                <w:iCs/>
                <w:sz w:val="20"/>
                <w:szCs w:val="20"/>
              </w:rPr>
              <w:t>KKP</w:t>
            </w:r>
            <w:r w:rsidRPr="00FF756A">
              <w:rPr>
                <w:i/>
                <w:iCs/>
                <w:sz w:val="20"/>
                <w:szCs w:val="20"/>
              </w:rPr>
              <w:t>-së.</w:t>
            </w:r>
          </w:p>
        </w:tc>
      </w:tr>
      <w:tr w:rsidR="00835192" w:rsidRPr="00FF756A" w14:paraId="454EDE42" w14:textId="77777777" w:rsidTr="004A3257">
        <w:trPr>
          <w:trHeight w:val="20"/>
        </w:trPr>
        <w:tc>
          <w:tcPr>
            <w:tcW w:w="2198" w:type="dxa"/>
          </w:tcPr>
          <w:p w14:paraId="7BA01116"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4" w:type="dxa"/>
            <w:gridSpan w:val="5"/>
          </w:tcPr>
          <w:p w14:paraId="46BC6A82" w14:textId="77777777" w:rsidR="00835192" w:rsidRPr="00FF756A" w:rsidRDefault="00835192" w:rsidP="00835192">
            <w:pPr>
              <w:spacing w:before="20" w:after="20" w:line="240" w:lineRule="auto"/>
              <w:rPr>
                <w:i/>
                <w:iCs/>
                <w:sz w:val="20"/>
                <w:szCs w:val="20"/>
              </w:rPr>
            </w:pPr>
            <w:r w:rsidRPr="00FF756A">
              <w:rPr>
                <w:i/>
                <w:iCs/>
                <w:sz w:val="20"/>
                <w:szCs w:val="20"/>
              </w:rPr>
              <w:t>Garantimi i harmonizimit me tërësinë e legjislacionit të BE-së për ndryshimet klimatike dhe përmbushja e kërkesave të KKKBNK-së përmes prezantimit të një mekanizmi për monitorimin dhe raportimin e rregullt të shkarkimeve të GES-ve dhe informacioneve të tjera lidhur me ndryshimet klimatike.</w:t>
            </w:r>
          </w:p>
        </w:tc>
      </w:tr>
      <w:tr w:rsidR="00835192" w:rsidRPr="00FF756A" w14:paraId="6D2D5DDE" w14:textId="77777777" w:rsidTr="004A3257">
        <w:trPr>
          <w:trHeight w:val="20"/>
        </w:trPr>
        <w:tc>
          <w:tcPr>
            <w:tcW w:w="2198" w:type="dxa"/>
          </w:tcPr>
          <w:p w14:paraId="7DB16C6E"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4" w:type="dxa"/>
            <w:gridSpan w:val="5"/>
          </w:tcPr>
          <w:p w14:paraId="1A99ABBA" w14:textId="77777777" w:rsidR="00835192" w:rsidRPr="00FF756A" w:rsidRDefault="00835192" w:rsidP="008639B2">
            <w:pPr>
              <w:numPr>
                <w:ilvl w:val="0"/>
                <w:numId w:val="71"/>
              </w:numPr>
              <w:spacing w:before="20" w:after="20" w:line="240" w:lineRule="auto"/>
              <w:ind w:left="307" w:hanging="307"/>
              <w:contextualSpacing/>
              <w:rPr>
                <w:i/>
                <w:iCs/>
                <w:sz w:val="20"/>
                <w:szCs w:val="20"/>
              </w:rPr>
            </w:pPr>
            <w:r w:rsidRPr="00FF756A">
              <w:rPr>
                <w:i/>
                <w:iCs/>
                <w:sz w:val="20"/>
                <w:szCs w:val="20"/>
              </w:rPr>
              <w:t>Ngritja e një sistemi të përshtatshëm monitorimi, raportimi dhe verifikimi (MRV) për monitorimin e shkarkimeve, siç është parashikuar në ligjin “Për ndryshimet klimatike” e miratuar së fundmi dhe VKM-në nr. 889, datë 27.12.2022 “Për miratimin e rregullores për monitorimin, raportimin e shkarkimeve të gazeve me efekt serrë dhe të informacioneve të tjera që lidhen me ndryshimet klimatike në nivel kombëtar”</w:t>
            </w:r>
          </w:p>
          <w:p w14:paraId="145DCA7A" w14:textId="33157F28" w:rsidR="00835192" w:rsidRPr="00FF756A" w:rsidRDefault="00835192" w:rsidP="008639B2">
            <w:pPr>
              <w:numPr>
                <w:ilvl w:val="0"/>
                <w:numId w:val="71"/>
              </w:numPr>
              <w:spacing w:before="20" w:after="20" w:line="240" w:lineRule="auto"/>
              <w:ind w:left="307" w:hanging="307"/>
              <w:contextualSpacing/>
              <w:rPr>
                <w:i/>
                <w:iCs/>
                <w:sz w:val="20"/>
                <w:szCs w:val="20"/>
              </w:rPr>
            </w:pPr>
            <w:r w:rsidRPr="00FF756A">
              <w:rPr>
                <w:i/>
                <w:iCs/>
                <w:sz w:val="20"/>
                <w:szCs w:val="20"/>
              </w:rPr>
              <w:t xml:space="preserve">Në </w:t>
            </w:r>
            <w:r w:rsidR="00754AF4" w:rsidRPr="00FF756A">
              <w:rPr>
                <w:i/>
                <w:iCs/>
                <w:sz w:val="20"/>
                <w:szCs w:val="20"/>
              </w:rPr>
              <w:t>KKP</w:t>
            </w:r>
            <w:r w:rsidRPr="00FF756A">
              <w:rPr>
                <w:i/>
                <w:iCs/>
                <w:sz w:val="20"/>
                <w:szCs w:val="20"/>
              </w:rPr>
              <w:t xml:space="preserve">-në e parë të rishikuar në vitin 2021, Shqipëria vendosi një pikësynim të pakushtëzuar për të reduktuar shkarkimet me 20,9% deri në vitin 2030 krahasuar me skenarin bazë. Kjo është një rritje në krahasim me </w:t>
            </w:r>
            <w:r w:rsidR="00754AF4" w:rsidRPr="00FF756A">
              <w:rPr>
                <w:i/>
                <w:iCs/>
                <w:sz w:val="20"/>
                <w:szCs w:val="20"/>
              </w:rPr>
              <w:t>KKP</w:t>
            </w:r>
            <w:r w:rsidRPr="00FF756A">
              <w:rPr>
                <w:i/>
                <w:iCs/>
                <w:sz w:val="20"/>
                <w:szCs w:val="20"/>
              </w:rPr>
              <w:t xml:space="preserve">-në e parë e cila synonte të reduktonte shkarkimet me 11,5% deri në vitin 2030 në krahasim me nivelet e vitit 2016. </w:t>
            </w:r>
          </w:p>
        </w:tc>
      </w:tr>
      <w:tr w:rsidR="00835192" w:rsidRPr="00FF756A" w14:paraId="0523E699" w14:textId="77777777" w:rsidTr="004A3257">
        <w:trPr>
          <w:trHeight w:val="20"/>
        </w:trPr>
        <w:tc>
          <w:tcPr>
            <w:tcW w:w="2198" w:type="dxa"/>
          </w:tcPr>
          <w:p w14:paraId="00770CA8"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4" w:type="dxa"/>
            <w:gridSpan w:val="4"/>
          </w:tcPr>
          <w:p w14:paraId="722D3802" w14:textId="77777777" w:rsidR="00835192" w:rsidRPr="00FF756A" w:rsidRDefault="00835192" w:rsidP="00835192">
            <w:pPr>
              <w:spacing w:before="20" w:after="20" w:line="240" w:lineRule="auto"/>
              <w:rPr>
                <w:i/>
                <w:iCs/>
                <w:sz w:val="20"/>
                <w:szCs w:val="20"/>
              </w:rPr>
            </w:pPr>
            <w:r w:rsidRPr="00FF756A">
              <w:rPr>
                <w:i/>
                <w:iCs/>
                <w:sz w:val="20"/>
                <w:szCs w:val="20"/>
              </w:rPr>
              <w:t xml:space="preserve">Baza ligjore: </w:t>
            </w:r>
          </w:p>
          <w:p w14:paraId="4BCAA0A9" w14:textId="77777777" w:rsidR="00835192" w:rsidRPr="00FF756A" w:rsidRDefault="00835192" w:rsidP="00835192">
            <w:pPr>
              <w:spacing w:before="20" w:after="20" w:line="240" w:lineRule="auto"/>
              <w:rPr>
                <w:i/>
                <w:iCs/>
                <w:sz w:val="20"/>
                <w:szCs w:val="20"/>
              </w:rPr>
            </w:pPr>
            <w:r w:rsidRPr="00FF756A">
              <w:rPr>
                <w:i/>
                <w:iCs/>
                <w:sz w:val="20"/>
                <w:szCs w:val="20"/>
              </w:rPr>
              <w:t xml:space="preserve">Zbatimi: </w:t>
            </w:r>
          </w:p>
          <w:p w14:paraId="3782430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Një plan zbatimi për MMR-në</w:t>
            </w:r>
          </w:p>
          <w:p w14:paraId="1B52DA0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Krijimi i një ekipi kryesor për inventarin e GES-ve prej të paktën 6 personash në të gjitha institucionet, plotësisht të familjarizuar me detyrat e ekipit të inventarit (ekspertë të sektorit, bashkë-koordinator, </w:t>
            </w:r>
            <w:bookmarkStart w:id="343" w:name="_Hlk75522235"/>
            <w:r w:rsidRPr="00FF756A">
              <w:rPr>
                <w:i/>
                <w:iCs/>
                <w:sz w:val="20"/>
                <w:szCs w:val="20"/>
              </w:rPr>
              <w:t>QA/QC</w:t>
            </w:r>
            <w:bookmarkEnd w:id="343"/>
            <w:r w:rsidRPr="00FF756A">
              <w:rPr>
                <w:i/>
                <w:iCs/>
                <w:sz w:val="20"/>
                <w:szCs w:val="20"/>
              </w:rPr>
              <w:t>, vlerësime mes homologëve)</w:t>
            </w:r>
          </w:p>
          <w:p w14:paraId="54843BDA"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Krijimi i një ekipi kryesor për MMR-në prej të paktën 10 personash nga institucionet, plotësisht të familjarizuar me detyrat për të cilat janë trajnuar dhe të aftë për të kryer të gjitha detyrat statutore që kërkohen nga MMR</w:t>
            </w:r>
          </w:p>
          <w:p w14:paraId="6FF90231" w14:textId="0D4AEE01"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Ngritja e kapaciteteve për personelin e kualifikuar </w:t>
            </w:r>
            <w:bookmarkStart w:id="344" w:name="_Hlk178069978"/>
            <w:r w:rsidRPr="00FF756A">
              <w:rPr>
                <w:i/>
                <w:iCs/>
                <w:sz w:val="20"/>
                <w:szCs w:val="20"/>
              </w:rPr>
              <w:t>të</w:t>
            </w:r>
            <w:bookmarkStart w:id="345" w:name="_Hlk75522197"/>
            <w:r w:rsidR="00283A8D" w:rsidRPr="00FF756A">
              <w:rPr>
                <w:i/>
                <w:iCs/>
                <w:sz w:val="20"/>
                <w:szCs w:val="20"/>
              </w:rPr>
              <w:t xml:space="preserve"> </w:t>
            </w:r>
            <w:r w:rsidRPr="00FF756A">
              <w:rPr>
                <w:i/>
                <w:iCs/>
                <w:sz w:val="20"/>
                <w:szCs w:val="20"/>
              </w:rPr>
              <w:t xml:space="preserve">MTM, AKM, MIE, MBZHR </w:t>
            </w:r>
            <w:bookmarkEnd w:id="345"/>
            <w:r w:rsidRPr="00FF756A">
              <w:rPr>
                <w:i/>
                <w:iCs/>
                <w:sz w:val="20"/>
                <w:szCs w:val="20"/>
              </w:rPr>
              <w:t>dhe për të gjitha grupet e interesit të identifikuara nga CCL</w:t>
            </w:r>
          </w:p>
          <w:bookmarkEnd w:id="344"/>
          <w:p w14:paraId="3ED61680"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Ngritja e kapaciteteve për verifikuesit e kualifikuar, të pavarur dhe të akredituar të raporteve të monitorimit të GES-ve </w:t>
            </w:r>
          </w:p>
          <w:p w14:paraId="3629FA5A"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Ngritja e kapaciteteve për personelin e kualifikuar dhe atë të institucioneve të tjera për përpunimin e të dhënave, zhvillimin e treguesve, menaxhimin dhe arkivimin  </w:t>
            </w:r>
          </w:p>
          <w:p w14:paraId="03761DF9" w14:textId="5ABBEA0F"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Krijimi i </w:t>
            </w:r>
            <w:r w:rsidR="00ED0ADB" w:rsidRPr="00FF756A">
              <w:rPr>
                <w:i/>
                <w:iCs/>
                <w:sz w:val="20"/>
                <w:szCs w:val="20"/>
              </w:rPr>
              <w:t xml:space="preserve">bazave </w:t>
            </w:r>
            <w:r w:rsidRPr="00FF756A">
              <w:rPr>
                <w:i/>
                <w:iCs/>
                <w:sz w:val="20"/>
                <w:szCs w:val="20"/>
              </w:rPr>
              <w:t>të të dhënave dhe arkivave</w:t>
            </w:r>
            <w:r w:rsidR="00ED0ADB" w:rsidRPr="00FF756A">
              <w:rPr>
                <w:i/>
                <w:iCs/>
                <w:sz w:val="20"/>
                <w:szCs w:val="20"/>
              </w:rPr>
              <w:t xml:space="preserve"> të përditësuara</w:t>
            </w:r>
            <w:r w:rsidRPr="00FF756A">
              <w:rPr>
                <w:i/>
                <w:iCs/>
                <w:sz w:val="20"/>
                <w:szCs w:val="20"/>
              </w:rPr>
              <w:t xml:space="preserve"> dhe shkëmbimi i informacionit midis të gjitha institucioneve të përfshira në MMR </w:t>
            </w:r>
          </w:p>
          <w:p w14:paraId="656893A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Ngritja e një sistemi elektronik për ngarkimin/shkarkimin e të dhënave të aktiviteteve nga MIE, MBZHR, MTM, AKM dhe të gjitha institucionet e tjera të përfshira në MMR</w:t>
            </w:r>
          </w:p>
          <w:p w14:paraId="77F632D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Përmirësimi i kapaciteteve të koordinimit në MTM dhe i bashkëpunimit ndërinstitucional për zbatimin e politikave të CCL-së, MMR-së dhe pjesës tjetër të tërësisë së legjislacionit për ndryshimet klimatike për arritjen e pajtueshmërisë me kërkesat për raportim të politikave</w:t>
            </w:r>
          </w:p>
        </w:tc>
        <w:tc>
          <w:tcPr>
            <w:tcW w:w="850" w:type="dxa"/>
          </w:tcPr>
          <w:p w14:paraId="3B09E1B0"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2025</w:t>
            </w:r>
            <w:r w:rsidRPr="00FF756A">
              <w:rPr>
                <w:i/>
                <w:iCs/>
                <w:sz w:val="20"/>
                <w:szCs w:val="20"/>
              </w:rPr>
              <w:br/>
              <w:t>brenda vitit 2026</w:t>
            </w:r>
          </w:p>
        </w:tc>
      </w:tr>
      <w:tr w:rsidR="00835192" w:rsidRPr="00FF756A" w14:paraId="7A4DD9B0" w14:textId="77777777" w:rsidTr="004A3257">
        <w:trPr>
          <w:trHeight w:val="20"/>
        </w:trPr>
        <w:tc>
          <w:tcPr>
            <w:tcW w:w="2198" w:type="dxa"/>
          </w:tcPr>
          <w:p w14:paraId="4D521DE6"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4" w:type="dxa"/>
            <w:gridSpan w:val="5"/>
          </w:tcPr>
          <w:p w14:paraId="6251E1BC" w14:textId="77777777" w:rsidR="00835192" w:rsidRPr="00FF756A" w:rsidRDefault="00835192" w:rsidP="00835192">
            <w:pPr>
              <w:spacing w:before="20" w:after="20" w:line="240" w:lineRule="auto"/>
              <w:rPr>
                <w:i/>
                <w:iCs/>
                <w:sz w:val="20"/>
                <w:szCs w:val="20"/>
              </w:rPr>
            </w:pPr>
            <w:r w:rsidRPr="00FF756A">
              <w:rPr>
                <w:i/>
                <w:iCs/>
                <w:sz w:val="20"/>
                <w:szCs w:val="20"/>
              </w:rPr>
              <w:t xml:space="preserve">1 milion euro, bashkëpunim dypalësh, asistenca teknike në kuadër të IPA-s </w:t>
            </w:r>
          </w:p>
        </w:tc>
      </w:tr>
      <w:tr w:rsidR="00835192" w:rsidRPr="00FF756A" w14:paraId="5AFA4B72" w14:textId="77777777" w:rsidTr="004A3257">
        <w:trPr>
          <w:trHeight w:val="20"/>
        </w:trPr>
        <w:tc>
          <w:tcPr>
            <w:tcW w:w="2198" w:type="dxa"/>
          </w:tcPr>
          <w:p w14:paraId="17A52076"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34DB1B85"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4" w:type="dxa"/>
            <w:gridSpan w:val="5"/>
          </w:tcPr>
          <w:p w14:paraId="54BB9030" w14:textId="77777777" w:rsidR="00835192" w:rsidRPr="00FF756A" w:rsidRDefault="00835192" w:rsidP="00835192">
            <w:pPr>
              <w:spacing w:before="20" w:after="20" w:line="240" w:lineRule="auto"/>
              <w:rPr>
                <w:i/>
                <w:iCs/>
                <w:sz w:val="20"/>
                <w:szCs w:val="20"/>
              </w:rPr>
            </w:pPr>
            <w:r w:rsidRPr="00FF756A">
              <w:rPr>
                <w:i/>
                <w:iCs/>
                <w:sz w:val="20"/>
                <w:szCs w:val="20"/>
              </w:rPr>
              <w:t>Agjencia Kombëtare e Mjedisit, Agjencia dhe Inspektorati Rajonal i Mjedisit</w:t>
            </w:r>
          </w:p>
          <w:p w14:paraId="3A97573B" w14:textId="77777777" w:rsidR="00835192" w:rsidRPr="00FF756A" w:rsidRDefault="00835192" w:rsidP="00835192">
            <w:pPr>
              <w:spacing w:before="20" w:after="20" w:line="240" w:lineRule="auto"/>
              <w:rPr>
                <w:i/>
                <w:iCs/>
                <w:sz w:val="20"/>
                <w:szCs w:val="20"/>
              </w:rPr>
            </w:pPr>
            <w:r w:rsidRPr="00FF756A">
              <w:rPr>
                <w:i/>
                <w:iCs/>
                <w:sz w:val="20"/>
                <w:szCs w:val="20"/>
              </w:rPr>
              <w:t>(Agjencia Kombëtare e Mjedisit: Përgatitja dhe verifikimi i raporteve mbi shkarkimet e GES-ve)</w:t>
            </w:r>
          </w:p>
        </w:tc>
      </w:tr>
      <w:tr w:rsidR="00835192" w:rsidRPr="00FF756A" w14:paraId="2A11F6BD" w14:textId="77777777" w:rsidTr="004A3257">
        <w:trPr>
          <w:trHeight w:val="20"/>
        </w:trPr>
        <w:tc>
          <w:tcPr>
            <w:tcW w:w="2198" w:type="dxa"/>
          </w:tcPr>
          <w:p w14:paraId="4F2D4C86"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Marrëdhënia me dimensionet e tjera (nëse ka)</w:t>
            </w:r>
          </w:p>
        </w:tc>
        <w:tc>
          <w:tcPr>
            <w:tcW w:w="6874" w:type="dxa"/>
            <w:gridSpan w:val="5"/>
          </w:tcPr>
          <w:p w14:paraId="17DD910A" w14:textId="77777777" w:rsidR="00835192" w:rsidRPr="00FF756A" w:rsidRDefault="00835192" w:rsidP="00835192">
            <w:pPr>
              <w:spacing w:before="20" w:after="20" w:line="240" w:lineRule="auto"/>
              <w:rPr>
                <w:i/>
                <w:iCs/>
                <w:sz w:val="20"/>
                <w:szCs w:val="20"/>
              </w:rPr>
            </w:pPr>
            <w:r w:rsidRPr="00FF756A">
              <w:rPr>
                <w:i/>
                <w:iCs/>
                <w:sz w:val="20"/>
                <w:szCs w:val="20"/>
              </w:rPr>
              <w:t xml:space="preserve">Efiçenca e energjisë </w:t>
            </w:r>
          </w:p>
        </w:tc>
      </w:tr>
    </w:tbl>
    <w:p w14:paraId="0AB71963"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0"/>
        <w:gridCol w:w="810"/>
        <w:gridCol w:w="844"/>
        <w:gridCol w:w="992"/>
        <w:gridCol w:w="3024"/>
        <w:gridCol w:w="1512"/>
      </w:tblGrid>
      <w:tr w:rsidR="00835192" w:rsidRPr="00FF756A" w14:paraId="680E327A" w14:textId="77777777" w:rsidTr="004A3257">
        <w:trPr>
          <w:trHeight w:val="20"/>
        </w:trPr>
        <w:tc>
          <w:tcPr>
            <w:tcW w:w="4536" w:type="dxa"/>
            <w:gridSpan w:val="4"/>
            <w:shd w:val="clear" w:color="auto" w:fill="E2EFD9" w:themeFill="accent6" w:themeFillTint="33"/>
          </w:tcPr>
          <w:p w14:paraId="2D559AFF"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36" w:type="dxa"/>
            <w:gridSpan w:val="2"/>
            <w:shd w:val="clear" w:color="auto" w:fill="E2EFD9" w:themeFill="accent6" w:themeFillTint="33"/>
          </w:tcPr>
          <w:p w14:paraId="4827ECAC" w14:textId="77777777" w:rsidR="00835192" w:rsidRPr="00FF756A" w:rsidRDefault="00835192" w:rsidP="008639B2">
            <w:pPr>
              <w:numPr>
                <w:ilvl w:val="0"/>
                <w:numId w:val="141"/>
              </w:numPr>
              <w:spacing w:before="20" w:after="20" w:line="240" w:lineRule="auto"/>
              <w:contextualSpacing/>
              <w:rPr>
                <w:i/>
                <w:iCs/>
                <w:sz w:val="20"/>
                <w:szCs w:val="20"/>
              </w:rPr>
            </w:pPr>
            <w:r w:rsidRPr="00FF756A">
              <w:rPr>
                <w:i/>
                <w:iCs/>
                <w:sz w:val="20"/>
                <w:szCs w:val="20"/>
              </w:rPr>
              <w:t>Dekarbonizimi</w:t>
            </w:r>
          </w:p>
          <w:p w14:paraId="3EAF59A0" w14:textId="6BD5E458" w:rsidR="00835192" w:rsidRPr="00FF756A" w:rsidRDefault="00835192" w:rsidP="004A3257">
            <w:pPr>
              <w:spacing w:before="20" w:after="20" w:line="240" w:lineRule="auto"/>
              <w:contextualSpacing/>
              <w:rPr>
                <w:rFonts w:eastAsia="Times New Roman"/>
                <w:i/>
                <w:iCs/>
                <w:sz w:val="20"/>
                <w:szCs w:val="20"/>
              </w:rPr>
            </w:pPr>
            <w:r w:rsidRPr="00FF756A">
              <w:rPr>
                <w:i/>
                <w:iCs/>
                <w:sz w:val="20"/>
                <w:szCs w:val="20"/>
              </w:rPr>
              <w:t>Shkarkimet dhe eliminimi i GES-ve</w:t>
            </w:r>
          </w:p>
        </w:tc>
      </w:tr>
      <w:tr w:rsidR="00835192" w:rsidRPr="00FF756A" w14:paraId="68E5CA2C" w14:textId="77777777" w:rsidTr="004A3257">
        <w:trPr>
          <w:trHeight w:val="20"/>
        </w:trPr>
        <w:tc>
          <w:tcPr>
            <w:tcW w:w="3544" w:type="dxa"/>
            <w:gridSpan w:val="3"/>
            <w:shd w:val="clear" w:color="auto" w:fill="E2EFD9" w:themeFill="accent6" w:themeFillTint="33"/>
          </w:tcPr>
          <w:p w14:paraId="03B36CFB"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5528" w:type="dxa"/>
            <w:gridSpan w:val="3"/>
            <w:shd w:val="clear" w:color="auto" w:fill="E2EFD9" w:themeFill="accent6" w:themeFillTint="33"/>
          </w:tcPr>
          <w:p w14:paraId="156899ED" w14:textId="77777777" w:rsidR="00835192" w:rsidRPr="00FF756A" w:rsidRDefault="00835192" w:rsidP="00835192">
            <w:pPr>
              <w:spacing w:before="20" w:after="20" w:line="240" w:lineRule="auto"/>
              <w:rPr>
                <w:i/>
                <w:iCs/>
                <w:sz w:val="20"/>
                <w:szCs w:val="20"/>
              </w:rPr>
            </w:pPr>
            <w:r w:rsidRPr="00FF756A">
              <w:rPr>
                <w:i/>
                <w:iCs/>
                <w:sz w:val="20"/>
                <w:szCs w:val="20"/>
              </w:rPr>
              <w:t>Industria</w:t>
            </w:r>
          </w:p>
        </w:tc>
      </w:tr>
      <w:tr w:rsidR="00835192" w:rsidRPr="00FF756A" w14:paraId="0E77F018" w14:textId="77777777" w:rsidTr="004A3257">
        <w:trPr>
          <w:trHeight w:val="20"/>
        </w:trPr>
        <w:tc>
          <w:tcPr>
            <w:tcW w:w="2700" w:type="dxa"/>
            <w:gridSpan w:val="2"/>
          </w:tcPr>
          <w:p w14:paraId="5289F936"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122A76CB"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6372" w:type="dxa"/>
            <w:gridSpan w:val="4"/>
          </w:tcPr>
          <w:p w14:paraId="021C0BFD" w14:textId="77777777" w:rsidR="00835192" w:rsidRPr="00FF756A" w:rsidRDefault="00835192" w:rsidP="00835192">
            <w:pPr>
              <w:spacing w:before="20" w:after="20" w:line="240" w:lineRule="auto"/>
              <w:rPr>
                <w:i/>
                <w:iCs/>
                <w:sz w:val="20"/>
                <w:szCs w:val="20"/>
              </w:rPr>
            </w:pPr>
            <w:r w:rsidRPr="00FF756A">
              <w:rPr>
                <w:i/>
                <w:iCs/>
                <w:sz w:val="20"/>
                <w:szCs w:val="20"/>
              </w:rPr>
              <w:t>WAM</w:t>
            </w:r>
          </w:p>
          <w:p w14:paraId="09048BE8" w14:textId="77777777" w:rsidR="00835192" w:rsidRPr="00FF756A" w:rsidRDefault="00835192" w:rsidP="00835192">
            <w:pPr>
              <w:spacing w:before="20" w:after="20" w:line="240" w:lineRule="auto"/>
              <w:rPr>
                <w:i/>
                <w:iCs/>
                <w:sz w:val="20"/>
                <w:szCs w:val="20"/>
              </w:rPr>
            </w:pPr>
            <w:r w:rsidRPr="00FF756A">
              <w:rPr>
                <w:i/>
                <w:iCs/>
                <w:sz w:val="20"/>
                <w:szCs w:val="20"/>
              </w:rPr>
              <w:t xml:space="preserve">Teknik </w:t>
            </w:r>
          </w:p>
        </w:tc>
      </w:tr>
      <w:tr w:rsidR="00835192" w:rsidRPr="00FF756A" w14:paraId="0C69C142" w14:textId="77777777" w:rsidTr="004A3257">
        <w:trPr>
          <w:trHeight w:val="20"/>
        </w:trPr>
        <w:tc>
          <w:tcPr>
            <w:tcW w:w="1890" w:type="dxa"/>
          </w:tcPr>
          <w:p w14:paraId="2A4284A7"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54E7D13F"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7182" w:type="dxa"/>
            <w:gridSpan w:val="5"/>
          </w:tcPr>
          <w:p w14:paraId="5C534686" w14:textId="77777777" w:rsidR="00835192" w:rsidRPr="00FF756A" w:rsidRDefault="00835192" w:rsidP="00835192">
            <w:pPr>
              <w:spacing w:before="20" w:after="20" w:line="240" w:lineRule="auto"/>
              <w:rPr>
                <w:i/>
                <w:iCs/>
                <w:sz w:val="20"/>
                <w:szCs w:val="20"/>
              </w:rPr>
            </w:pPr>
            <w:r w:rsidRPr="00FF756A">
              <w:rPr>
                <w:i/>
                <w:iCs/>
                <w:sz w:val="20"/>
                <w:szCs w:val="20"/>
              </w:rPr>
              <w:t xml:space="preserve">Reduktimi i shkarkimeve të GES-ve në sektorin e prodhimit të çimentos </w:t>
            </w:r>
          </w:p>
          <w:p w14:paraId="01C562BE" w14:textId="77777777" w:rsidR="00835192" w:rsidRPr="00FF756A" w:rsidRDefault="00835192" w:rsidP="00835192">
            <w:pPr>
              <w:spacing w:before="20" w:after="20" w:line="240" w:lineRule="auto"/>
              <w:rPr>
                <w:i/>
                <w:iCs/>
                <w:sz w:val="20"/>
                <w:szCs w:val="20"/>
              </w:rPr>
            </w:pPr>
            <w:r w:rsidRPr="00FF756A">
              <w:rPr>
                <w:i/>
                <w:iCs/>
                <w:sz w:val="20"/>
                <w:szCs w:val="20"/>
              </w:rPr>
              <w:t>(G-I3)</w:t>
            </w:r>
          </w:p>
        </w:tc>
      </w:tr>
      <w:tr w:rsidR="00835192" w:rsidRPr="00FF756A" w14:paraId="6F664A30" w14:textId="77777777" w:rsidTr="004A3257">
        <w:trPr>
          <w:trHeight w:val="20"/>
        </w:trPr>
        <w:tc>
          <w:tcPr>
            <w:tcW w:w="1890" w:type="dxa"/>
          </w:tcPr>
          <w:p w14:paraId="5027B73A"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7182" w:type="dxa"/>
            <w:gridSpan w:val="5"/>
          </w:tcPr>
          <w:p w14:paraId="1EAD0A06" w14:textId="77777777" w:rsidR="00835192" w:rsidRPr="00FF756A" w:rsidRDefault="00835192" w:rsidP="00835192">
            <w:pPr>
              <w:spacing w:before="20" w:after="20" w:line="240" w:lineRule="auto"/>
              <w:rPr>
                <w:i/>
                <w:iCs/>
                <w:sz w:val="20"/>
                <w:szCs w:val="20"/>
              </w:rPr>
            </w:pPr>
            <w:r w:rsidRPr="00FF756A">
              <w:rPr>
                <w:i/>
                <w:iCs/>
                <w:sz w:val="20"/>
                <w:szCs w:val="20"/>
              </w:rPr>
              <w:t>2023 – në vazhdim</w:t>
            </w:r>
          </w:p>
        </w:tc>
      </w:tr>
      <w:tr w:rsidR="00835192" w:rsidRPr="00FF756A" w14:paraId="6D146D37" w14:textId="77777777" w:rsidTr="004A3257">
        <w:trPr>
          <w:trHeight w:val="20"/>
        </w:trPr>
        <w:tc>
          <w:tcPr>
            <w:tcW w:w="1890" w:type="dxa"/>
          </w:tcPr>
          <w:p w14:paraId="4239149D"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7182" w:type="dxa"/>
            <w:gridSpan w:val="5"/>
          </w:tcPr>
          <w:p w14:paraId="22D8AA92" w14:textId="77777777" w:rsidR="00835192" w:rsidRPr="00FF756A" w:rsidRDefault="00835192" w:rsidP="00835192">
            <w:pPr>
              <w:pBdr>
                <w:bottom w:val="none" w:sz="4" w:space="7" w:color="000000"/>
              </w:pBdr>
              <w:spacing w:after="0" w:line="240" w:lineRule="exact"/>
              <w:rPr>
                <w:i/>
                <w:color w:val="212121"/>
                <w:sz w:val="20"/>
                <w:szCs w:val="20"/>
                <w:shd w:val="clear" w:color="auto" w:fill="FFFFFF"/>
              </w:rPr>
            </w:pPr>
            <w:r w:rsidRPr="00FF756A">
              <w:rPr>
                <w:i/>
                <w:sz w:val="20"/>
                <w:szCs w:val="20"/>
                <w:shd w:val="clear" w:color="auto" w:fill="FFFFFF"/>
              </w:rPr>
              <w:t>Ligji nr. 10304, datë 15.7.2010, “Për sektorin minerar në Republikën e Shqipërisë”, i ndryshuar, VKM nr. 479, datë 29.06.2011, “Për miratimin e strategjisë minerare të Republikës së Shqipërisë 2011-2025”, Ligji 125/2013, datë 25.4.2013, “Për koncesionet dhe partneritetin publik privat”, i ndryshuar</w:t>
            </w:r>
          </w:p>
        </w:tc>
      </w:tr>
      <w:tr w:rsidR="00835192" w:rsidRPr="00FF756A" w14:paraId="3F4DA41A" w14:textId="77777777" w:rsidTr="004A3257">
        <w:trPr>
          <w:trHeight w:val="20"/>
        </w:trPr>
        <w:tc>
          <w:tcPr>
            <w:tcW w:w="1890" w:type="dxa"/>
          </w:tcPr>
          <w:p w14:paraId="43AED070"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7182" w:type="dxa"/>
            <w:gridSpan w:val="5"/>
          </w:tcPr>
          <w:p w14:paraId="247F4376" w14:textId="77777777" w:rsidR="00835192" w:rsidRPr="00FF756A" w:rsidRDefault="00835192" w:rsidP="00835192">
            <w:pPr>
              <w:spacing w:before="20" w:after="20" w:line="240" w:lineRule="auto"/>
              <w:rPr>
                <w:i/>
                <w:iCs/>
                <w:sz w:val="20"/>
                <w:szCs w:val="20"/>
              </w:rPr>
            </w:pPr>
            <w:r w:rsidRPr="00FF756A">
              <w:rPr>
                <w:i/>
                <w:iCs/>
                <w:sz w:val="20"/>
                <w:szCs w:val="20"/>
              </w:rPr>
              <w:t xml:space="preserve">Asnjë masë e marrë deri më tani, veprimtari e re. </w:t>
            </w:r>
          </w:p>
          <w:p w14:paraId="414BD97D" w14:textId="77777777" w:rsidR="00835192" w:rsidRPr="00FF756A" w:rsidRDefault="00835192" w:rsidP="00835192">
            <w:pPr>
              <w:spacing w:before="20" w:after="20" w:line="240" w:lineRule="auto"/>
              <w:rPr>
                <w:i/>
                <w:iCs/>
                <w:sz w:val="20"/>
                <w:szCs w:val="20"/>
              </w:rPr>
            </w:pPr>
            <w:r w:rsidRPr="00FF756A">
              <w:rPr>
                <w:i/>
                <w:iCs/>
                <w:sz w:val="20"/>
                <w:szCs w:val="20"/>
              </w:rPr>
              <w:t xml:space="preserve">MTM ka përgatitur </w:t>
            </w:r>
            <w:bookmarkStart w:id="346" w:name="_Hlk178355859"/>
            <w:r w:rsidRPr="00FF756A">
              <w:rPr>
                <w:i/>
                <w:iCs/>
                <w:sz w:val="20"/>
                <w:szCs w:val="20"/>
              </w:rPr>
              <w:t>NAMA (Masa Zbutëse Kombëtare të Përshtatshme</w:t>
            </w:r>
            <w:bookmarkEnd w:id="346"/>
            <w:r w:rsidRPr="00FF756A">
              <w:rPr>
                <w:i/>
                <w:iCs/>
                <w:sz w:val="20"/>
                <w:szCs w:val="20"/>
              </w:rPr>
              <w:t xml:space="preserve">) për sektorin e prodhimit të çimentos në Shqipëri. </w:t>
            </w:r>
          </w:p>
          <w:p w14:paraId="15E35F2A" w14:textId="77777777" w:rsidR="00835192" w:rsidRPr="00FF756A" w:rsidRDefault="00835192" w:rsidP="00835192">
            <w:pPr>
              <w:spacing w:before="20" w:after="20" w:line="240" w:lineRule="auto"/>
              <w:rPr>
                <w:i/>
                <w:iCs/>
                <w:sz w:val="20"/>
                <w:szCs w:val="20"/>
              </w:rPr>
            </w:pPr>
            <w:r w:rsidRPr="00FF756A">
              <w:rPr>
                <w:i/>
                <w:iCs/>
                <w:sz w:val="20"/>
                <w:szCs w:val="20"/>
              </w:rPr>
              <w:t xml:space="preserve">Në këtë kontekst, po konsiderohet përdorimi i lëndëve djegëse alternative si mbetjet. </w:t>
            </w:r>
          </w:p>
          <w:p w14:paraId="4EC67E10" w14:textId="77777777" w:rsidR="00835192" w:rsidRPr="00FF756A" w:rsidRDefault="00835192" w:rsidP="00835192">
            <w:pPr>
              <w:spacing w:before="20" w:after="20" w:line="240" w:lineRule="auto"/>
              <w:rPr>
                <w:i/>
                <w:iCs/>
                <w:sz w:val="20"/>
                <w:szCs w:val="20"/>
              </w:rPr>
            </w:pPr>
            <w:r w:rsidRPr="00FF756A">
              <w:rPr>
                <w:i/>
                <w:iCs/>
                <w:sz w:val="20"/>
                <w:szCs w:val="20"/>
              </w:rPr>
              <w:t xml:space="preserve">Status quo-ja: </w:t>
            </w:r>
          </w:p>
          <w:p w14:paraId="2FDF014F" w14:textId="77777777" w:rsidR="00835192" w:rsidRPr="00FF756A" w:rsidRDefault="00835192" w:rsidP="00835192">
            <w:pPr>
              <w:spacing w:before="20" w:after="20" w:line="240" w:lineRule="auto"/>
              <w:rPr>
                <w:i/>
                <w:iCs/>
                <w:sz w:val="20"/>
                <w:szCs w:val="20"/>
              </w:rPr>
            </w:pPr>
            <w:r w:rsidRPr="00FF756A">
              <w:rPr>
                <w:i/>
                <w:iCs/>
                <w:sz w:val="20"/>
                <w:szCs w:val="20"/>
              </w:rPr>
              <w:t>Privatizimi i plotë i sektorit të prodhimit të çimentos;</w:t>
            </w:r>
          </w:p>
          <w:p w14:paraId="1941F0D8" w14:textId="77777777" w:rsidR="00835192" w:rsidRPr="00FF756A" w:rsidRDefault="00835192" w:rsidP="00835192">
            <w:pPr>
              <w:spacing w:before="20" w:after="20" w:line="240" w:lineRule="auto"/>
              <w:rPr>
                <w:i/>
                <w:iCs/>
                <w:sz w:val="20"/>
                <w:szCs w:val="20"/>
              </w:rPr>
            </w:pPr>
            <w:r w:rsidRPr="00FF756A">
              <w:rPr>
                <w:i/>
                <w:iCs/>
                <w:sz w:val="20"/>
                <w:szCs w:val="20"/>
              </w:rPr>
              <w:t xml:space="preserve">Rinovimi i teknologjisë së prodhimit të çimentos; rritja e gamës së produkteve; </w:t>
            </w:r>
          </w:p>
          <w:p w14:paraId="11C14A57" w14:textId="77777777" w:rsidR="00835192" w:rsidRPr="00FF756A" w:rsidRDefault="00835192" w:rsidP="00835192">
            <w:pPr>
              <w:spacing w:before="20" w:after="20" w:line="240" w:lineRule="auto"/>
              <w:rPr>
                <w:i/>
                <w:iCs/>
                <w:sz w:val="20"/>
                <w:szCs w:val="20"/>
              </w:rPr>
            </w:pPr>
            <w:r w:rsidRPr="00FF756A">
              <w:rPr>
                <w:i/>
                <w:iCs/>
                <w:sz w:val="20"/>
                <w:szCs w:val="20"/>
              </w:rPr>
              <w:t>Pak shqetësim për reduktimin e shkarkimeve të GES-ve.</w:t>
            </w:r>
          </w:p>
        </w:tc>
      </w:tr>
      <w:tr w:rsidR="00835192" w:rsidRPr="00FF756A" w14:paraId="2AECFF91" w14:textId="77777777" w:rsidTr="004A3257">
        <w:trPr>
          <w:trHeight w:val="20"/>
        </w:trPr>
        <w:tc>
          <w:tcPr>
            <w:tcW w:w="1890" w:type="dxa"/>
          </w:tcPr>
          <w:p w14:paraId="209D51A3"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7182" w:type="dxa"/>
            <w:gridSpan w:val="5"/>
          </w:tcPr>
          <w:p w14:paraId="4E51AC09" w14:textId="77777777" w:rsidR="00835192" w:rsidRPr="00FF756A" w:rsidRDefault="00835192" w:rsidP="00835192">
            <w:pPr>
              <w:spacing w:before="20" w:after="20" w:line="240" w:lineRule="auto"/>
              <w:rPr>
                <w:i/>
                <w:iCs/>
                <w:sz w:val="20"/>
                <w:szCs w:val="20"/>
              </w:rPr>
            </w:pPr>
            <w:r w:rsidRPr="00FF756A">
              <w:rPr>
                <w:i/>
                <w:iCs/>
                <w:sz w:val="20"/>
                <w:szCs w:val="20"/>
              </w:rPr>
              <w:t xml:space="preserve">Modernizimi i prodhimit të çimentos në mënyrë që potenciali teknik dhe ekonomik për reduktimin e shkarkimeve të GES-ve të shfrytëzohet plotësisht. </w:t>
            </w:r>
          </w:p>
          <w:p w14:paraId="2E41BC99" w14:textId="77777777" w:rsidR="00835192" w:rsidRPr="00FF756A" w:rsidRDefault="00835192" w:rsidP="00835192">
            <w:pPr>
              <w:spacing w:before="20" w:after="20" w:line="240" w:lineRule="auto"/>
              <w:rPr>
                <w:i/>
                <w:iCs/>
                <w:sz w:val="20"/>
                <w:szCs w:val="20"/>
              </w:rPr>
            </w:pPr>
            <w:r w:rsidRPr="00FF756A">
              <w:rPr>
                <w:i/>
                <w:iCs/>
                <w:sz w:val="20"/>
                <w:szCs w:val="20"/>
              </w:rPr>
              <w:t xml:space="preserve">Përdorimi i lëndëve djegëse alternative (si mbetjet) si një mjet për reduktimin e shkarkimeve të gazeve me efekt serrë.   </w:t>
            </w:r>
          </w:p>
        </w:tc>
      </w:tr>
      <w:tr w:rsidR="00835192" w:rsidRPr="00FF756A" w14:paraId="75B2AD15" w14:textId="77777777" w:rsidTr="004A3257">
        <w:trPr>
          <w:trHeight w:val="20"/>
        </w:trPr>
        <w:tc>
          <w:tcPr>
            <w:tcW w:w="1890" w:type="dxa"/>
          </w:tcPr>
          <w:p w14:paraId="61152A2D"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7182" w:type="dxa"/>
            <w:gridSpan w:val="5"/>
          </w:tcPr>
          <w:p w14:paraId="03FFEBA6" w14:textId="77777777" w:rsidR="00835192" w:rsidRPr="00FF756A" w:rsidRDefault="00835192" w:rsidP="00835192">
            <w:pPr>
              <w:spacing w:before="20" w:after="20" w:line="240" w:lineRule="auto"/>
              <w:contextualSpacing/>
              <w:rPr>
                <w:rFonts w:eastAsia="Times New Roman"/>
                <w:i/>
                <w:iCs/>
                <w:sz w:val="20"/>
                <w:szCs w:val="20"/>
              </w:rPr>
            </w:pPr>
            <w:r w:rsidRPr="00FF756A">
              <w:rPr>
                <w:i/>
                <w:iCs/>
                <w:sz w:val="20"/>
                <w:szCs w:val="20"/>
              </w:rPr>
              <w:t>Reduktimi me 50% i shkarkimeve të GES-ve nga prodhimi i çimentos</w:t>
            </w:r>
          </w:p>
          <w:p w14:paraId="0BFFF6FB" w14:textId="77777777" w:rsidR="00835192" w:rsidRPr="00FF756A" w:rsidRDefault="00835192" w:rsidP="00835192">
            <w:pPr>
              <w:spacing w:before="20" w:after="20" w:line="240" w:lineRule="auto"/>
              <w:ind w:left="720" w:hanging="360"/>
              <w:contextualSpacing/>
              <w:rPr>
                <w:rFonts w:eastAsia="Times New Roman"/>
                <w:i/>
                <w:iCs/>
                <w:sz w:val="20"/>
                <w:szCs w:val="20"/>
                <w:lang w:eastAsia="en-GB"/>
              </w:rPr>
            </w:pPr>
          </w:p>
        </w:tc>
      </w:tr>
      <w:tr w:rsidR="00835192" w:rsidRPr="00FF756A" w14:paraId="008ED1B0" w14:textId="77777777" w:rsidTr="004A3257">
        <w:trPr>
          <w:trHeight w:val="20"/>
        </w:trPr>
        <w:tc>
          <w:tcPr>
            <w:tcW w:w="1890" w:type="dxa"/>
          </w:tcPr>
          <w:p w14:paraId="62A6FDC8"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5670" w:type="dxa"/>
            <w:gridSpan w:val="4"/>
          </w:tcPr>
          <w:p w14:paraId="3B62C4F0" w14:textId="77777777" w:rsidR="00835192" w:rsidRPr="00FF756A" w:rsidRDefault="00835192" w:rsidP="00835192">
            <w:pPr>
              <w:spacing w:before="20" w:after="20" w:line="240" w:lineRule="auto"/>
              <w:contextualSpacing/>
              <w:jc w:val="left"/>
              <w:rPr>
                <w:i/>
                <w:iCs/>
                <w:sz w:val="20"/>
                <w:szCs w:val="20"/>
              </w:rPr>
            </w:pPr>
            <w:r w:rsidRPr="00FF756A">
              <w:rPr>
                <w:i/>
                <w:iCs/>
                <w:sz w:val="20"/>
                <w:szCs w:val="20"/>
              </w:rPr>
              <w:t xml:space="preserve">Kryerja e studimit të fizibilitetit teknik dhe financiar nga grupi i ekspertëve: </w:t>
            </w:r>
          </w:p>
          <w:p w14:paraId="5729F883" w14:textId="77777777" w:rsidR="00835192" w:rsidRPr="00FF756A" w:rsidRDefault="00835192" w:rsidP="008639B2">
            <w:pPr>
              <w:numPr>
                <w:ilvl w:val="0"/>
                <w:numId w:val="146"/>
              </w:numPr>
              <w:spacing w:before="20" w:after="20" w:line="240" w:lineRule="auto"/>
              <w:ind w:left="714" w:hanging="357"/>
              <w:contextualSpacing/>
              <w:rPr>
                <w:rFonts w:eastAsia="Times New Roman"/>
                <w:i/>
                <w:iCs/>
                <w:sz w:val="20"/>
                <w:szCs w:val="20"/>
              </w:rPr>
            </w:pPr>
            <w:r w:rsidRPr="00FF756A">
              <w:rPr>
                <w:i/>
                <w:iCs/>
                <w:sz w:val="20"/>
                <w:szCs w:val="20"/>
              </w:rPr>
              <w:t xml:space="preserve">Investigimi i përshtatjeve të mundshme teknologjike të të gjithë zinxhirit të proceseve të prodhimit, identifikimi i kostove përkatëse, reduktimi i shkarkimeve të GES-ve etj. </w:t>
            </w:r>
          </w:p>
          <w:p w14:paraId="002FA4D1" w14:textId="77777777" w:rsidR="00835192" w:rsidRPr="00FF756A" w:rsidRDefault="00835192" w:rsidP="008639B2">
            <w:pPr>
              <w:numPr>
                <w:ilvl w:val="0"/>
                <w:numId w:val="146"/>
              </w:numPr>
              <w:spacing w:before="20" w:after="20" w:line="240" w:lineRule="auto"/>
              <w:contextualSpacing/>
            </w:pPr>
            <w:r w:rsidRPr="00FF756A">
              <w:rPr>
                <w:i/>
                <w:iCs/>
                <w:sz w:val="20"/>
                <w:szCs w:val="20"/>
              </w:rPr>
              <w:t>Identifikimi i mënyrave të prodhimit të çimentos me karbon të ulët, duke përfshirë përdorimin e lëndëve djegëse me zero shkarkime, si dhe gjetja e zëvendësuesve të pranueshëm për klinkerin me origjinë gëlqerore</w:t>
            </w:r>
          </w:p>
          <w:p w14:paraId="3ED296A1" w14:textId="77777777" w:rsidR="00835192" w:rsidRPr="00FF756A" w:rsidRDefault="00835192" w:rsidP="008639B2">
            <w:pPr>
              <w:numPr>
                <w:ilvl w:val="0"/>
                <w:numId w:val="146"/>
              </w:numPr>
              <w:spacing w:before="20" w:after="20" w:line="240" w:lineRule="auto"/>
              <w:contextualSpacing/>
              <w:rPr>
                <w:i/>
                <w:iCs/>
                <w:sz w:val="20"/>
                <w:szCs w:val="20"/>
              </w:rPr>
            </w:pPr>
            <w:r w:rsidRPr="00FF756A">
              <w:rPr>
                <w:i/>
                <w:iCs/>
                <w:sz w:val="20"/>
                <w:szCs w:val="20"/>
              </w:rPr>
              <w:t>Vlerësimi i politikave të ndjekura në vendet konkurruese (Itali, Greqi) për politikat e karbonit në industrinë e çimentos, për të shmangur çdo diskriminim të mundshëm në treg</w:t>
            </w:r>
          </w:p>
          <w:p w14:paraId="2FE97AE1" w14:textId="77777777" w:rsidR="00835192" w:rsidRPr="00FF756A" w:rsidRDefault="00835192" w:rsidP="008639B2">
            <w:pPr>
              <w:numPr>
                <w:ilvl w:val="0"/>
                <w:numId w:val="146"/>
              </w:numPr>
              <w:spacing w:before="20" w:after="20" w:line="240" w:lineRule="auto"/>
              <w:contextualSpacing/>
              <w:rPr>
                <w:rFonts w:eastAsia="Times New Roman"/>
                <w:i/>
                <w:iCs/>
                <w:sz w:val="20"/>
                <w:szCs w:val="20"/>
              </w:rPr>
            </w:pPr>
            <w:r w:rsidRPr="00FF756A">
              <w:rPr>
                <w:i/>
                <w:iCs/>
                <w:sz w:val="20"/>
                <w:szCs w:val="20"/>
              </w:rPr>
              <w:t xml:space="preserve">Identifikimi i masave të mundshme mbështetëse, fiskale ose financiare, për të mbështetur procesin e tranzicionit të industrisë së çimentos  </w:t>
            </w:r>
          </w:p>
          <w:p w14:paraId="2B1BCA2E" w14:textId="77777777" w:rsidR="00835192" w:rsidRPr="00FF756A" w:rsidRDefault="00835192" w:rsidP="00835192">
            <w:pPr>
              <w:spacing w:before="20" w:after="20" w:line="240" w:lineRule="auto"/>
              <w:contextualSpacing/>
              <w:rPr>
                <w:rFonts w:eastAsia="Times New Roman"/>
                <w:i/>
                <w:iCs/>
                <w:sz w:val="20"/>
                <w:szCs w:val="20"/>
              </w:rPr>
            </w:pPr>
            <w:r w:rsidRPr="00FF756A">
              <w:rPr>
                <w:i/>
                <w:iCs/>
                <w:sz w:val="20"/>
                <w:szCs w:val="20"/>
              </w:rPr>
              <w:t xml:space="preserve">Planifikimi i zbatimit </w:t>
            </w:r>
          </w:p>
          <w:p w14:paraId="64280247" w14:textId="77777777" w:rsidR="00835192" w:rsidRPr="00FF756A" w:rsidRDefault="00835192" w:rsidP="00835192">
            <w:pPr>
              <w:spacing w:before="20" w:after="20" w:line="240" w:lineRule="auto"/>
              <w:contextualSpacing/>
              <w:rPr>
                <w:rFonts w:eastAsia="Times New Roman"/>
                <w:i/>
                <w:iCs/>
                <w:sz w:val="20"/>
                <w:szCs w:val="20"/>
              </w:rPr>
            </w:pPr>
            <w:r w:rsidRPr="00FF756A">
              <w:rPr>
                <w:i/>
                <w:iCs/>
                <w:sz w:val="20"/>
                <w:szCs w:val="20"/>
              </w:rPr>
              <w:t xml:space="preserve">Zbatimi i masave të rinovimit në vendet e prodhimit të çimentos </w:t>
            </w:r>
          </w:p>
        </w:tc>
        <w:tc>
          <w:tcPr>
            <w:tcW w:w="1512" w:type="dxa"/>
          </w:tcPr>
          <w:p w14:paraId="6DEC4724" w14:textId="77777777" w:rsidR="00835192" w:rsidRPr="00FF756A" w:rsidRDefault="00835192" w:rsidP="00835192">
            <w:pPr>
              <w:spacing w:before="20" w:after="20" w:line="240" w:lineRule="auto"/>
              <w:contextualSpacing/>
              <w:rPr>
                <w:i/>
                <w:iCs/>
                <w:sz w:val="20"/>
                <w:szCs w:val="20"/>
              </w:rPr>
            </w:pPr>
            <w:r w:rsidRPr="00FF756A">
              <w:rPr>
                <w:i/>
                <w:iCs/>
                <w:sz w:val="20"/>
                <w:szCs w:val="20"/>
              </w:rPr>
              <w:t xml:space="preserve"> brenda vitit 2026</w:t>
            </w:r>
          </w:p>
          <w:p w14:paraId="1C7218C1" w14:textId="77777777" w:rsidR="00835192" w:rsidRPr="00FF756A" w:rsidRDefault="00835192" w:rsidP="00835192">
            <w:pPr>
              <w:spacing w:before="20" w:after="20" w:line="240" w:lineRule="auto"/>
              <w:contextualSpacing/>
              <w:rPr>
                <w:i/>
                <w:iCs/>
                <w:sz w:val="20"/>
                <w:szCs w:val="20"/>
              </w:rPr>
            </w:pPr>
            <w:r w:rsidRPr="00FF756A">
              <w:rPr>
                <w:i/>
                <w:iCs/>
                <w:sz w:val="20"/>
                <w:szCs w:val="20"/>
              </w:rPr>
              <w:br/>
            </w:r>
            <w:r w:rsidRPr="00FF756A">
              <w:rPr>
                <w:i/>
                <w:iCs/>
                <w:sz w:val="20"/>
                <w:szCs w:val="20"/>
              </w:rPr>
              <w:br/>
            </w:r>
          </w:p>
          <w:p w14:paraId="602C7482" w14:textId="77777777" w:rsidR="00835192" w:rsidRPr="00FF756A" w:rsidRDefault="00835192" w:rsidP="00835192">
            <w:pPr>
              <w:spacing w:before="20" w:after="20" w:line="240" w:lineRule="auto"/>
              <w:contextualSpacing/>
              <w:rPr>
                <w:i/>
                <w:iCs/>
                <w:sz w:val="20"/>
                <w:szCs w:val="20"/>
              </w:rPr>
            </w:pPr>
            <w:r w:rsidRPr="00FF756A">
              <w:rPr>
                <w:i/>
                <w:iCs/>
                <w:sz w:val="20"/>
                <w:szCs w:val="20"/>
              </w:rPr>
              <w:br/>
            </w:r>
            <w:r w:rsidRPr="00FF756A">
              <w:rPr>
                <w:i/>
                <w:iCs/>
                <w:sz w:val="20"/>
                <w:szCs w:val="20"/>
              </w:rPr>
              <w:br/>
            </w:r>
          </w:p>
          <w:p w14:paraId="247E9B9C" w14:textId="77777777" w:rsidR="00835192" w:rsidRPr="00FF756A" w:rsidRDefault="00835192" w:rsidP="00835192">
            <w:pPr>
              <w:spacing w:before="20" w:after="20" w:line="240" w:lineRule="auto"/>
              <w:contextualSpacing/>
              <w:rPr>
                <w:i/>
                <w:iCs/>
                <w:sz w:val="20"/>
                <w:szCs w:val="20"/>
              </w:rPr>
            </w:pPr>
            <w:r w:rsidRPr="00FF756A">
              <w:rPr>
                <w:i/>
                <w:iCs/>
                <w:sz w:val="20"/>
                <w:szCs w:val="20"/>
              </w:rPr>
              <w:br/>
            </w:r>
            <w:r w:rsidRPr="00FF756A">
              <w:rPr>
                <w:i/>
                <w:iCs/>
                <w:sz w:val="20"/>
                <w:szCs w:val="20"/>
              </w:rPr>
              <w:br/>
            </w:r>
          </w:p>
          <w:p w14:paraId="2824773B" w14:textId="77777777" w:rsidR="00835192" w:rsidRPr="00FF756A" w:rsidRDefault="00835192" w:rsidP="00835192">
            <w:pPr>
              <w:spacing w:before="20" w:after="20" w:line="240" w:lineRule="auto"/>
              <w:contextualSpacing/>
              <w:rPr>
                <w:i/>
                <w:iCs/>
                <w:sz w:val="20"/>
                <w:szCs w:val="20"/>
              </w:rPr>
            </w:pPr>
            <w:r w:rsidRPr="00FF756A">
              <w:rPr>
                <w:i/>
                <w:iCs/>
                <w:sz w:val="20"/>
                <w:szCs w:val="20"/>
              </w:rPr>
              <w:br/>
            </w:r>
          </w:p>
          <w:p w14:paraId="19FED7D2" w14:textId="77777777" w:rsidR="00835192" w:rsidRPr="00FF756A" w:rsidRDefault="00835192" w:rsidP="00835192">
            <w:pPr>
              <w:spacing w:before="20" w:after="20" w:line="240" w:lineRule="auto"/>
              <w:rPr>
                <w:i/>
                <w:iCs/>
                <w:sz w:val="20"/>
                <w:szCs w:val="20"/>
              </w:rPr>
            </w:pPr>
            <w:r w:rsidRPr="00FF756A">
              <w:rPr>
                <w:i/>
                <w:iCs/>
                <w:sz w:val="20"/>
                <w:szCs w:val="20"/>
              </w:rPr>
              <w:t>brenda vitit 2030</w:t>
            </w:r>
          </w:p>
          <w:p w14:paraId="60AA4E68" w14:textId="77777777" w:rsidR="00835192" w:rsidRPr="00FF756A" w:rsidRDefault="00835192" w:rsidP="00835192">
            <w:pPr>
              <w:spacing w:before="20" w:after="20" w:line="240" w:lineRule="auto"/>
              <w:rPr>
                <w:i/>
                <w:iCs/>
                <w:sz w:val="20"/>
                <w:szCs w:val="20"/>
              </w:rPr>
            </w:pPr>
            <w:r w:rsidRPr="00FF756A">
              <w:rPr>
                <w:i/>
                <w:iCs/>
                <w:sz w:val="20"/>
                <w:szCs w:val="20"/>
              </w:rPr>
              <w:t>Nga viti 2030 e në vazhdim</w:t>
            </w:r>
          </w:p>
        </w:tc>
      </w:tr>
      <w:tr w:rsidR="00835192" w:rsidRPr="00FF756A" w14:paraId="4C66CBDA" w14:textId="77777777" w:rsidTr="004A3257">
        <w:trPr>
          <w:trHeight w:val="20"/>
        </w:trPr>
        <w:tc>
          <w:tcPr>
            <w:tcW w:w="1890" w:type="dxa"/>
          </w:tcPr>
          <w:p w14:paraId="020F019E"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7182" w:type="dxa"/>
            <w:gridSpan w:val="5"/>
          </w:tcPr>
          <w:p w14:paraId="14BDB21D" w14:textId="77777777" w:rsidR="00835192" w:rsidRPr="00FF756A" w:rsidRDefault="00835192" w:rsidP="00835192">
            <w:pPr>
              <w:spacing w:before="20" w:after="20" w:line="240" w:lineRule="auto"/>
              <w:rPr>
                <w:i/>
                <w:iCs/>
                <w:color w:val="FF0000"/>
                <w:sz w:val="20"/>
                <w:szCs w:val="20"/>
              </w:rPr>
            </w:pPr>
            <w:r w:rsidRPr="00FF756A">
              <w:rPr>
                <w:i/>
                <w:iCs/>
                <w:sz w:val="20"/>
                <w:szCs w:val="20"/>
              </w:rPr>
              <w:t>Studimi i fizibilitetit teknik dhe financiar do të financohet nga një Program i Asistencës Teknike, me një buxhet të parashikuar prej 0,3 milionë eurosh</w:t>
            </w:r>
          </w:p>
        </w:tc>
      </w:tr>
      <w:tr w:rsidR="00835192" w:rsidRPr="00FF756A" w14:paraId="0FB221C6" w14:textId="77777777" w:rsidTr="004A3257">
        <w:trPr>
          <w:trHeight w:val="20"/>
        </w:trPr>
        <w:tc>
          <w:tcPr>
            <w:tcW w:w="1890" w:type="dxa"/>
          </w:tcPr>
          <w:p w14:paraId="1EA73610"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0FD1C71A" w14:textId="77777777" w:rsidR="00835192" w:rsidRPr="00FF756A" w:rsidRDefault="00835192" w:rsidP="00835192">
            <w:pPr>
              <w:spacing w:before="20" w:after="20" w:line="240" w:lineRule="auto"/>
              <w:jc w:val="right"/>
              <w:rPr>
                <w:b/>
                <w:bCs/>
                <w:sz w:val="20"/>
                <w:szCs w:val="20"/>
              </w:rPr>
            </w:pPr>
          </w:p>
          <w:p w14:paraId="7DCFE843"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7182" w:type="dxa"/>
            <w:gridSpan w:val="5"/>
          </w:tcPr>
          <w:p w14:paraId="2C0E5EE8"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Agjencia Kombëtare e Burimeve Natyrore, Industria e prodhimit të çimentos;</w:t>
            </w:r>
          </w:p>
          <w:p w14:paraId="3E5BBAD4"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w:t>
            </w:r>
          </w:p>
          <w:p w14:paraId="601B3AF8" w14:textId="77777777" w:rsidR="00835192" w:rsidRPr="00FF756A" w:rsidRDefault="00835192" w:rsidP="00835192">
            <w:pPr>
              <w:spacing w:before="20" w:after="20" w:line="240" w:lineRule="auto"/>
              <w:rPr>
                <w:i/>
                <w:iCs/>
                <w:sz w:val="20"/>
                <w:szCs w:val="20"/>
              </w:rPr>
            </w:pPr>
          </w:p>
        </w:tc>
      </w:tr>
      <w:tr w:rsidR="00835192" w:rsidRPr="00FF756A" w14:paraId="73E5127B" w14:textId="77777777" w:rsidTr="004A3257">
        <w:trPr>
          <w:trHeight w:val="20"/>
        </w:trPr>
        <w:tc>
          <w:tcPr>
            <w:tcW w:w="1890" w:type="dxa"/>
          </w:tcPr>
          <w:p w14:paraId="3FC66F10"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Marrëdhënia me dimensionet e tjera (nëse ka)</w:t>
            </w:r>
          </w:p>
        </w:tc>
        <w:tc>
          <w:tcPr>
            <w:tcW w:w="7182" w:type="dxa"/>
            <w:gridSpan w:val="5"/>
          </w:tcPr>
          <w:p w14:paraId="3A9F9340" w14:textId="77777777" w:rsidR="00835192" w:rsidRPr="00FF756A" w:rsidRDefault="00835192" w:rsidP="00835192">
            <w:pPr>
              <w:spacing w:before="20" w:after="20" w:line="240" w:lineRule="auto"/>
              <w:rPr>
                <w:i/>
                <w:iCs/>
                <w:sz w:val="20"/>
                <w:szCs w:val="20"/>
              </w:rPr>
            </w:pPr>
            <w:r w:rsidRPr="00FF756A">
              <w:rPr>
                <w:i/>
                <w:iCs/>
                <w:sz w:val="20"/>
                <w:szCs w:val="20"/>
              </w:rPr>
              <w:t xml:space="preserve">Efiçenca e energjisë; Kërkimi, inovacioni dhe konkurrenca </w:t>
            </w:r>
            <w:bookmarkStart w:id="347" w:name="_Hlk178165193"/>
          </w:p>
          <w:p w14:paraId="16E0E14F" w14:textId="77777777" w:rsidR="00835192" w:rsidRPr="00FF756A" w:rsidRDefault="00835192" w:rsidP="00835192">
            <w:pPr>
              <w:spacing w:before="20" w:after="20" w:line="240" w:lineRule="auto"/>
              <w:rPr>
                <w:i/>
                <w:iCs/>
                <w:sz w:val="20"/>
                <w:szCs w:val="20"/>
              </w:rPr>
            </w:pPr>
            <w:r w:rsidRPr="00FF756A">
              <w:rPr>
                <w:i/>
                <w:iCs/>
                <w:sz w:val="20"/>
                <w:szCs w:val="20"/>
              </w:rPr>
              <w:t xml:space="preserve">Marrëdhënia me PM-në e mëposhtme: </w:t>
            </w:r>
          </w:p>
          <w:bookmarkEnd w:id="347"/>
          <w:p w14:paraId="4C304C1F" w14:textId="07A60141" w:rsidR="00835192" w:rsidRPr="00FF756A" w:rsidRDefault="00835192" w:rsidP="00835192">
            <w:pPr>
              <w:spacing w:before="20" w:after="20" w:line="240" w:lineRule="auto"/>
              <w:rPr>
                <w:i/>
                <w:iCs/>
                <w:sz w:val="20"/>
                <w:szCs w:val="20"/>
              </w:rPr>
            </w:pPr>
            <w:r w:rsidRPr="00FF756A">
              <w:rPr>
                <w:i/>
                <w:iCs/>
                <w:sz w:val="20"/>
                <w:szCs w:val="20"/>
              </w:rPr>
              <w:t>G-W2 Përdorimi i impianteve t</w:t>
            </w:r>
            <w:r w:rsidR="007319A5" w:rsidRPr="00FF756A">
              <w:rPr>
                <w:i/>
                <w:iCs/>
                <w:sz w:val="20"/>
                <w:szCs w:val="20"/>
              </w:rPr>
              <w:t xml:space="preserve">ë </w:t>
            </w:r>
            <w:r w:rsidRPr="00FF756A">
              <w:rPr>
                <w:i/>
                <w:iCs/>
                <w:sz w:val="20"/>
                <w:szCs w:val="20"/>
              </w:rPr>
              <w:t xml:space="preserve"> incinerimit</w:t>
            </w:r>
            <w:r w:rsidR="007319A5" w:rsidRPr="00FF756A">
              <w:rPr>
                <w:i/>
                <w:iCs/>
                <w:sz w:val="20"/>
                <w:szCs w:val="20"/>
              </w:rPr>
              <w:t xml:space="preserve"> (djegësit)</w:t>
            </w:r>
            <w:r w:rsidRPr="00FF756A">
              <w:rPr>
                <w:i/>
                <w:iCs/>
                <w:sz w:val="20"/>
                <w:szCs w:val="20"/>
              </w:rPr>
              <w:t xml:space="preserve"> të mbetjeve për procesin e menaxhimit të integruar të mbetjeve në Shqipëri </w:t>
            </w:r>
          </w:p>
        </w:tc>
      </w:tr>
    </w:tbl>
    <w:p w14:paraId="3602F4FE" w14:textId="77777777" w:rsidR="00835192" w:rsidRPr="00FF756A" w:rsidRDefault="00835192" w:rsidP="00835192"/>
    <w:tbl>
      <w:tblPr>
        <w:tblStyle w:val="TableGrid"/>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8"/>
        <w:gridCol w:w="1144"/>
        <w:gridCol w:w="602"/>
        <w:gridCol w:w="428"/>
        <w:gridCol w:w="3492"/>
        <w:gridCol w:w="1058"/>
      </w:tblGrid>
      <w:tr w:rsidR="00835192" w:rsidRPr="00FF756A" w14:paraId="6B656609" w14:textId="77777777" w:rsidTr="004A3257">
        <w:trPr>
          <w:trHeight w:val="20"/>
        </w:trPr>
        <w:tc>
          <w:tcPr>
            <w:tcW w:w="2489" w:type="pct"/>
            <w:gridSpan w:val="4"/>
            <w:shd w:val="clear" w:color="auto" w:fill="E2EFD9" w:themeFill="accent6" w:themeFillTint="33"/>
          </w:tcPr>
          <w:p w14:paraId="2A7D74F0" w14:textId="77777777" w:rsidR="00835192" w:rsidRPr="00FF756A" w:rsidRDefault="00835192" w:rsidP="00835192">
            <w:pPr>
              <w:spacing w:before="20" w:after="20" w:line="240" w:lineRule="auto"/>
              <w:jc w:val="right"/>
              <w:rPr>
                <w:b/>
                <w:bCs/>
                <w:sz w:val="20"/>
                <w:szCs w:val="20"/>
              </w:rPr>
            </w:pPr>
            <w:bookmarkStart w:id="348" w:name="_Hlk175168588"/>
            <w:r w:rsidRPr="00FF756A">
              <w:br w:type="page"/>
            </w:r>
            <w:r w:rsidRPr="00FF756A">
              <w:rPr>
                <w:b/>
                <w:bCs/>
                <w:sz w:val="20"/>
                <w:szCs w:val="20"/>
              </w:rPr>
              <w:t>Dimensioni i energjisë</w:t>
            </w:r>
          </w:p>
        </w:tc>
        <w:tc>
          <w:tcPr>
            <w:tcW w:w="2511" w:type="pct"/>
            <w:gridSpan w:val="2"/>
            <w:shd w:val="clear" w:color="auto" w:fill="E2EFD9" w:themeFill="accent6" w:themeFillTint="33"/>
          </w:tcPr>
          <w:p w14:paraId="29FBEBAA" w14:textId="77777777" w:rsidR="00835192" w:rsidRPr="00FF756A" w:rsidRDefault="00835192" w:rsidP="008639B2">
            <w:pPr>
              <w:numPr>
                <w:ilvl w:val="0"/>
                <w:numId w:val="125"/>
              </w:numPr>
              <w:spacing w:before="20" w:after="20" w:line="240" w:lineRule="auto"/>
              <w:contextualSpacing/>
              <w:rPr>
                <w:i/>
                <w:iCs/>
                <w:sz w:val="20"/>
                <w:szCs w:val="20"/>
              </w:rPr>
            </w:pPr>
            <w:r w:rsidRPr="00FF756A">
              <w:rPr>
                <w:i/>
                <w:iCs/>
                <w:sz w:val="20"/>
                <w:szCs w:val="20"/>
              </w:rPr>
              <w:t>Dekarbonizimi</w:t>
            </w:r>
          </w:p>
          <w:p w14:paraId="408C8F61" w14:textId="068AC2B4" w:rsidR="00835192" w:rsidRPr="00FF756A" w:rsidRDefault="00835192" w:rsidP="004A3257">
            <w:pPr>
              <w:spacing w:before="20" w:after="20" w:line="240" w:lineRule="auto"/>
              <w:contextualSpacing/>
              <w:rPr>
                <w:i/>
                <w:iCs/>
                <w:sz w:val="20"/>
                <w:szCs w:val="20"/>
              </w:rPr>
            </w:pPr>
            <w:r w:rsidRPr="00FF756A">
              <w:rPr>
                <w:i/>
                <w:iCs/>
                <w:sz w:val="20"/>
                <w:szCs w:val="20"/>
              </w:rPr>
              <w:t>Shkarkimet dhe eliminimi i GES-ve</w:t>
            </w:r>
          </w:p>
        </w:tc>
      </w:tr>
      <w:tr w:rsidR="00835192" w:rsidRPr="00FF756A" w14:paraId="3B65250D" w14:textId="77777777" w:rsidTr="004A3257">
        <w:trPr>
          <w:trHeight w:val="20"/>
        </w:trPr>
        <w:tc>
          <w:tcPr>
            <w:tcW w:w="2253" w:type="pct"/>
            <w:gridSpan w:val="3"/>
            <w:shd w:val="clear" w:color="auto" w:fill="E2EFD9" w:themeFill="accent6" w:themeFillTint="33"/>
          </w:tcPr>
          <w:p w14:paraId="2C085365"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2747" w:type="pct"/>
            <w:gridSpan w:val="3"/>
            <w:shd w:val="clear" w:color="auto" w:fill="E2EFD9" w:themeFill="accent6" w:themeFillTint="33"/>
          </w:tcPr>
          <w:p w14:paraId="5674015D" w14:textId="77777777" w:rsidR="00835192" w:rsidRPr="00FF756A" w:rsidRDefault="00835192" w:rsidP="00835192">
            <w:pPr>
              <w:spacing w:before="20" w:after="20" w:line="240" w:lineRule="auto"/>
              <w:rPr>
                <w:i/>
                <w:iCs/>
                <w:sz w:val="20"/>
                <w:szCs w:val="20"/>
              </w:rPr>
            </w:pPr>
            <w:r w:rsidRPr="00FF756A">
              <w:rPr>
                <w:i/>
                <w:iCs/>
                <w:sz w:val="20"/>
                <w:szCs w:val="20"/>
              </w:rPr>
              <w:t>Industria, Energjia elektrike, Ftohja</w:t>
            </w:r>
          </w:p>
        </w:tc>
      </w:tr>
      <w:tr w:rsidR="00835192" w:rsidRPr="00FF756A" w14:paraId="12BABA19" w14:textId="77777777" w:rsidTr="004A3257">
        <w:trPr>
          <w:trHeight w:val="20"/>
        </w:trPr>
        <w:tc>
          <w:tcPr>
            <w:tcW w:w="1921" w:type="pct"/>
            <w:gridSpan w:val="2"/>
          </w:tcPr>
          <w:p w14:paraId="324B3C84"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0B5D50CC"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3079" w:type="pct"/>
            <w:gridSpan w:val="4"/>
          </w:tcPr>
          <w:p w14:paraId="15F16878" w14:textId="77777777" w:rsidR="00835192" w:rsidRPr="00FF756A" w:rsidRDefault="00835192" w:rsidP="00835192">
            <w:pPr>
              <w:spacing w:before="20" w:after="20" w:line="240" w:lineRule="auto"/>
              <w:rPr>
                <w:i/>
                <w:iCs/>
                <w:sz w:val="20"/>
                <w:szCs w:val="20"/>
              </w:rPr>
            </w:pPr>
            <w:r w:rsidRPr="00FF756A">
              <w:rPr>
                <w:i/>
                <w:iCs/>
                <w:sz w:val="20"/>
                <w:szCs w:val="20"/>
              </w:rPr>
              <w:t>WAM</w:t>
            </w:r>
          </w:p>
          <w:p w14:paraId="69418C92" w14:textId="77777777" w:rsidR="00835192" w:rsidRPr="00FF756A" w:rsidRDefault="00835192" w:rsidP="00835192">
            <w:pPr>
              <w:spacing w:before="20" w:after="20" w:line="240" w:lineRule="auto"/>
              <w:rPr>
                <w:i/>
                <w:iCs/>
                <w:sz w:val="20"/>
                <w:szCs w:val="20"/>
              </w:rPr>
            </w:pPr>
            <w:r w:rsidRPr="00FF756A">
              <w:rPr>
                <w:i/>
                <w:iCs/>
                <w:sz w:val="20"/>
                <w:szCs w:val="20"/>
              </w:rPr>
              <w:t>Rregullator; Financiar</w:t>
            </w:r>
          </w:p>
        </w:tc>
      </w:tr>
      <w:tr w:rsidR="00835192" w:rsidRPr="00FF756A" w14:paraId="5493B568" w14:textId="77777777" w:rsidTr="004A3257">
        <w:trPr>
          <w:trHeight w:val="20"/>
        </w:trPr>
        <w:tc>
          <w:tcPr>
            <w:tcW w:w="1290" w:type="pct"/>
          </w:tcPr>
          <w:p w14:paraId="20820AA1"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37DE8926"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3710" w:type="pct"/>
            <w:gridSpan w:val="5"/>
          </w:tcPr>
          <w:p w14:paraId="6F40354B" w14:textId="77777777" w:rsidR="00835192" w:rsidRPr="00FF756A" w:rsidRDefault="00835192" w:rsidP="00835192">
            <w:pPr>
              <w:spacing w:before="20" w:after="20" w:line="240" w:lineRule="auto"/>
              <w:rPr>
                <w:i/>
                <w:iCs/>
                <w:sz w:val="20"/>
                <w:szCs w:val="20"/>
              </w:rPr>
            </w:pPr>
            <w:r w:rsidRPr="00FF756A">
              <w:rPr>
                <w:i/>
                <w:iCs/>
                <w:sz w:val="20"/>
                <w:szCs w:val="20"/>
              </w:rPr>
              <w:t xml:space="preserve">Reduktimi i shkarkimeve të gazeve të fluorinuara (Gazet-F) </w:t>
            </w:r>
          </w:p>
          <w:p w14:paraId="0D496AD2" w14:textId="77777777" w:rsidR="00835192" w:rsidRPr="00FF756A" w:rsidRDefault="00835192" w:rsidP="00835192">
            <w:pPr>
              <w:spacing w:before="20" w:after="20" w:line="240" w:lineRule="auto"/>
              <w:rPr>
                <w:i/>
                <w:iCs/>
                <w:sz w:val="20"/>
                <w:szCs w:val="20"/>
              </w:rPr>
            </w:pPr>
            <w:r w:rsidRPr="00FF756A">
              <w:rPr>
                <w:i/>
                <w:iCs/>
                <w:sz w:val="20"/>
                <w:szCs w:val="20"/>
              </w:rPr>
              <w:t>(G-I4)</w:t>
            </w:r>
          </w:p>
        </w:tc>
      </w:tr>
      <w:tr w:rsidR="00835192" w:rsidRPr="00FF756A" w14:paraId="15C4B51D" w14:textId="77777777" w:rsidTr="004A3257">
        <w:trPr>
          <w:trHeight w:val="20"/>
        </w:trPr>
        <w:tc>
          <w:tcPr>
            <w:tcW w:w="1290" w:type="pct"/>
          </w:tcPr>
          <w:p w14:paraId="41A33CAF"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3710" w:type="pct"/>
            <w:gridSpan w:val="5"/>
          </w:tcPr>
          <w:p w14:paraId="2E5BE09D" w14:textId="77777777" w:rsidR="00835192" w:rsidRPr="00FF756A" w:rsidRDefault="00835192" w:rsidP="00835192">
            <w:pPr>
              <w:spacing w:before="20" w:after="20" w:line="240" w:lineRule="auto"/>
              <w:rPr>
                <w:i/>
                <w:iCs/>
                <w:sz w:val="20"/>
                <w:szCs w:val="20"/>
              </w:rPr>
            </w:pPr>
            <w:r w:rsidRPr="00FF756A">
              <w:rPr>
                <w:i/>
                <w:iCs/>
                <w:sz w:val="20"/>
                <w:szCs w:val="20"/>
              </w:rPr>
              <w:t>2024-2045</w:t>
            </w:r>
          </w:p>
        </w:tc>
      </w:tr>
      <w:tr w:rsidR="00835192" w:rsidRPr="00FF756A" w14:paraId="6C86D023" w14:textId="77777777" w:rsidTr="004A3257">
        <w:trPr>
          <w:trHeight w:val="20"/>
        </w:trPr>
        <w:tc>
          <w:tcPr>
            <w:tcW w:w="1290" w:type="pct"/>
          </w:tcPr>
          <w:p w14:paraId="3664D75A"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3710" w:type="pct"/>
            <w:gridSpan w:val="5"/>
          </w:tcPr>
          <w:p w14:paraId="55A66BEA" w14:textId="77777777" w:rsidR="00835192" w:rsidRPr="00FF756A" w:rsidRDefault="00835192" w:rsidP="00835192">
            <w:pPr>
              <w:spacing w:before="20" w:after="20" w:line="240" w:lineRule="auto"/>
              <w:rPr>
                <w:i/>
                <w:iCs/>
                <w:sz w:val="20"/>
                <w:szCs w:val="20"/>
              </w:rPr>
            </w:pPr>
            <w:r w:rsidRPr="00FF756A">
              <w:rPr>
                <w:i/>
                <w:iCs/>
                <w:sz w:val="20"/>
                <w:szCs w:val="20"/>
              </w:rPr>
              <w:t>Ligji nr. 2/2023 “Për gazet serrë të fluorinuara”</w:t>
            </w:r>
          </w:p>
        </w:tc>
      </w:tr>
      <w:tr w:rsidR="00835192" w:rsidRPr="00FF756A" w14:paraId="616BC59C" w14:textId="77777777" w:rsidTr="004A3257">
        <w:trPr>
          <w:trHeight w:val="20"/>
        </w:trPr>
        <w:tc>
          <w:tcPr>
            <w:tcW w:w="1290" w:type="pct"/>
          </w:tcPr>
          <w:p w14:paraId="0AEBD0A5"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3710" w:type="pct"/>
            <w:gridSpan w:val="5"/>
          </w:tcPr>
          <w:p w14:paraId="13AFFC39" w14:textId="77777777" w:rsidR="00835192" w:rsidRPr="00FF756A" w:rsidRDefault="00835192" w:rsidP="00835192">
            <w:pPr>
              <w:spacing w:before="20" w:after="20" w:line="240" w:lineRule="auto"/>
              <w:rPr>
                <w:i/>
                <w:iCs/>
                <w:sz w:val="20"/>
                <w:szCs w:val="20"/>
              </w:rPr>
            </w:pPr>
            <w:r w:rsidRPr="00FF756A">
              <w:rPr>
                <w:i/>
                <w:iCs/>
                <w:sz w:val="20"/>
                <w:szCs w:val="20"/>
              </w:rPr>
              <w:t>Baza ligjore është miratuar</w:t>
            </w:r>
          </w:p>
        </w:tc>
      </w:tr>
      <w:tr w:rsidR="00835192" w:rsidRPr="00FF756A" w14:paraId="38B9F690" w14:textId="77777777" w:rsidTr="004A3257">
        <w:trPr>
          <w:trHeight w:val="20"/>
        </w:trPr>
        <w:tc>
          <w:tcPr>
            <w:tcW w:w="1290" w:type="pct"/>
          </w:tcPr>
          <w:p w14:paraId="7E88E6A2"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3710" w:type="pct"/>
            <w:gridSpan w:val="5"/>
          </w:tcPr>
          <w:p w14:paraId="6504C372" w14:textId="77777777" w:rsidR="00835192" w:rsidRPr="00FF756A" w:rsidRDefault="00835192" w:rsidP="00835192">
            <w:pPr>
              <w:spacing w:before="20" w:after="20" w:line="240" w:lineRule="auto"/>
              <w:rPr>
                <w:i/>
                <w:iCs/>
                <w:sz w:val="20"/>
                <w:szCs w:val="20"/>
              </w:rPr>
            </w:pPr>
            <w:r w:rsidRPr="00FF756A">
              <w:rPr>
                <w:i/>
                <w:iCs/>
                <w:sz w:val="20"/>
                <w:szCs w:val="20"/>
              </w:rPr>
              <w:t>Reduktimi i shkarkimeve të gazeve të fluorinuara (Gazet-F) përmes masave rregullatore, përmirësimeve të teknologjisë dhe praktikave të përmirësuara, duke kontribuar kështu në objektivat dhe detyrimet kombëtare klimatike të parashikuara në Kuadrin e BE-së për Klimën dhe Energjinë.</w:t>
            </w:r>
          </w:p>
          <w:p w14:paraId="02CACA27" w14:textId="77777777" w:rsidR="00835192" w:rsidRPr="00FF756A" w:rsidRDefault="00835192" w:rsidP="00835192">
            <w:pPr>
              <w:spacing w:before="20" w:after="20" w:line="240" w:lineRule="auto"/>
              <w:rPr>
                <w:i/>
                <w:iCs/>
                <w:sz w:val="20"/>
                <w:szCs w:val="20"/>
              </w:rPr>
            </w:pPr>
            <w:r w:rsidRPr="00FF756A">
              <w:rPr>
                <w:i/>
                <w:iCs/>
                <w:sz w:val="20"/>
                <w:szCs w:val="20"/>
              </w:rPr>
              <w:t xml:space="preserve">Objektivi i përgjithshëm i </w:t>
            </w:r>
            <w:bookmarkStart w:id="349" w:name="_Hlk178340140"/>
            <w:r w:rsidRPr="00FF756A">
              <w:rPr>
                <w:i/>
                <w:iCs/>
                <w:sz w:val="20"/>
                <w:szCs w:val="20"/>
              </w:rPr>
              <w:t xml:space="preserve">strategjisë për reduktimin e HFC-ve </w:t>
            </w:r>
            <w:bookmarkEnd w:id="349"/>
            <w:r w:rsidRPr="00FF756A">
              <w:rPr>
                <w:i/>
                <w:iCs/>
                <w:sz w:val="20"/>
                <w:szCs w:val="20"/>
              </w:rPr>
              <w:t>të zhvilluar nga Shqipëria (Njësia Kombëtare e Ozonit) është të garantojë zhvillimin e qëndrueshëm të vendit duke zbatuar masa të përshtatshme për uljen e kontributit të Shqipërisë në ndryshimin klimatik për shkak të përdorimit të substancave me PNG. Objektivi specifik i strategjisë është reduktimi i konsumit të HFC-ve në Shqipëri me 80 përqind gjatë periudhës 2024 - 2045.</w:t>
            </w:r>
          </w:p>
        </w:tc>
      </w:tr>
      <w:tr w:rsidR="00835192" w:rsidRPr="00FF756A" w14:paraId="5A62883F" w14:textId="77777777" w:rsidTr="004A3257">
        <w:trPr>
          <w:trHeight w:val="20"/>
        </w:trPr>
        <w:tc>
          <w:tcPr>
            <w:tcW w:w="1290" w:type="pct"/>
          </w:tcPr>
          <w:p w14:paraId="5134B53A"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3710" w:type="pct"/>
            <w:gridSpan w:val="5"/>
          </w:tcPr>
          <w:p w14:paraId="79DDEF2A" w14:textId="77777777" w:rsidR="00757EA8" w:rsidRPr="00FF756A" w:rsidRDefault="00835192" w:rsidP="00835192">
            <w:pPr>
              <w:spacing w:before="20" w:after="20" w:line="240" w:lineRule="auto"/>
              <w:rPr>
                <w:i/>
                <w:iCs/>
                <w:sz w:val="20"/>
                <w:szCs w:val="20"/>
              </w:rPr>
            </w:pPr>
            <w:r w:rsidRPr="00FF756A">
              <w:rPr>
                <w:b/>
                <w:bCs/>
                <w:i/>
                <w:iCs/>
                <w:sz w:val="20"/>
                <w:szCs w:val="20"/>
              </w:rPr>
              <w:t>Objektivi afatshkurtër:</w:t>
            </w:r>
            <w:r w:rsidRPr="00FF756A">
              <w:rPr>
                <w:i/>
                <w:iCs/>
                <w:sz w:val="20"/>
                <w:szCs w:val="20"/>
              </w:rPr>
              <w:t xml:space="preserve"> Reduktimi i shkarkimeve të Gazit F me 10% deri në vitin 2029, në krahasim me vitin bazë (2020-2022). </w:t>
            </w:r>
          </w:p>
          <w:p w14:paraId="6E19446A" w14:textId="6DABFB8B" w:rsidR="00835192" w:rsidRPr="00FF756A" w:rsidRDefault="00835192" w:rsidP="00835192">
            <w:pPr>
              <w:spacing w:before="20" w:after="20" w:line="240" w:lineRule="auto"/>
              <w:rPr>
                <w:i/>
                <w:iCs/>
                <w:sz w:val="20"/>
                <w:szCs w:val="20"/>
              </w:rPr>
            </w:pPr>
            <w:r w:rsidRPr="00FF756A">
              <w:rPr>
                <w:b/>
                <w:bCs/>
                <w:i/>
                <w:iCs/>
                <w:sz w:val="20"/>
                <w:szCs w:val="20"/>
              </w:rPr>
              <w:t>Objektivi afatgjatë:</w:t>
            </w:r>
            <w:r w:rsidRPr="00FF756A">
              <w:rPr>
                <w:i/>
                <w:iCs/>
                <w:sz w:val="20"/>
                <w:szCs w:val="20"/>
              </w:rPr>
              <w:t xml:space="preserve"> Arritja e një reduktimi me 80% deri në vitin 2045, në përputhje me pikësynimet kombëtare dhe ndërkombëtare të angazhimeve (ratifikimi i amendamentit të Kigalit të protokollit të Montrealit).</w:t>
            </w:r>
          </w:p>
        </w:tc>
      </w:tr>
      <w:tr w:rsidR="00835192" w:rsidRPr="00FF756A" w14:paraId="10CD07E8" w14:textId="77777777" w:rsidTr="004A3257">
        <w:trPr>
          <w:trHeight w:val="5746"/>
        </w:trPr>
        <w:tc>
          <w:tcPr>
            <w:tcW w:w="1290" w:type="pct"/>
          </w:tcPr>
          <w:p w14:paraId="1111CEE7"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Masat që duhet të zbatohen</w:t>
            </w:r>
          </w:p>
        </w:tc>
        <w:tc>
          <w:tcPr>
            <w:tcW w:w="3126" w:type="pct"/>
            <w:gridSpan w:val="4"/>
          </w:tcPr>
          <w:p w14:paraId="733B2A9D" w14:textId="77777777" w:rsidR="00835192" w:rsidRPr="00FF756A" w:rsidRDefault="00835192" w:rsidP="00835192">
            <w:pPr>
              <w:spacing w:before="20" w:after="20" w:line="240" w:lineRule="auto"/>
              <w:rPr>
                <w:i/>
                <w:iCs/>
                <w:sz w:val="20"/>
                <w:szCs w:val="20"/>
              </w:rPr>
            </w:pPr>
            <w:r w:rsidRPr="00FF756A">
              <w:rPr>
                <w:b/>
                <w:bCs/>
                <w:i/>
                <w:iCs/>
                <w:sz w:val="20"/>
                <w:szCs w:val="20"/>
              </w:rPr>
              <w:t xml:space="preserve"> Zbatimi i planit të zbatimit të Kigalit, Faza I </w:t>
            </w:r>
            <w:r w:rsidRPr="00FF756A">
              <w:rPr>
                <w:i/>
                <w:iCs/>
                <w:sz w:val="20"/>
                <w:szCs w:val="20"/>
              </w:rPr>
              <w:t>(përfshin reduktimin e shkarkimeve me 10 përqind)</w:t>
            </w:r>
          </w:p>
          <w:p w14:paraId="3FDEB9CD" w14:textId="145C2DB0" w:rsidR="00835192" w:rsidRPr="00FF756A" w:rsidRDefault="00835192" w:rsidP="00835192">
            <w:pPr>
              <w:spacing w:before="20" w:after="20" w:line="240" w:lineRule="auto"/>
              <w:rPr>
                <w:i/>
                <w:iCs/>
                <w:sz w:val="20"/>
                <w:szCs w:val="20"/>
              </w:rPr>
            </w:pPr>
            <w:r w:rsidRPr="00FF756A">
              <w:rPr>
                <w:i/>
                <w:iCs/>
                <w:sz w:val="20"/>
                <w:szCs w:val="20"/>
              </w:rPr>
              <w:t xml:space="preserve">Kombinimi i masave të ndryshme për të ulur nevojën </w:t>
            </w:r>
            <w:bookmarkStart w:id="350" w:name="_Hlk178340379"/>
            <w:r w:rsidRPr="00FF756A">
              <w:rPr>
                <w:i/>
                <w:iCs/>
                <w:sz w:val="20"/>
                <w:szCs w:val="20"/>
              </w:rPr>
              <w:t>për HFC në sektorin e s</w:t>
            </w:r>
            <w:r w:rsidR="004C62F9" w:rsidRPr="00FF756A">
              <w:rPr>
                <w:i/>
                <w:iCs/>
                <w:sz w:val="20"/>
                <w:szCs w:val="20"/>
              </w:rPr>
              <w:t>hërbimeve</w:t>
            </w:r>
            <w:r w:rsidRPr="00FF756A">
              <w:rPr>
                <w:i/>
                <w:iCs/>
                <w:sz w:val="20"/>
                <w:szCs w:val="20"/>
              </w:rPr>
              <w:t xml:space="preserve"> të sistemeve të ftohjes dhe kondicionimit të ajrit (RAC), të tilla si:  </w:t>
            </w:r>
          </w:p>
          <w:p w14:paraId="5E8AD58C" w14:textId="2F51788E" w:rsidR="00835192" w:rsidRPr="00FF756A" w:rsidRDefault="00835192" w:rsidP="004A3257">
            <w:pPr>
              <w:spacing w:before="20" w:after="20" w:line="240" w:lineRule="auto"/>
              <w:ind w:left="240" w:hanging="240"/>
              <w:rPr>
                <w:i/>
                <w:iCs/>
                <w:sz w:val="20"/>
                <w:szCs w:val="20"/>
              </w:rPr>
            </w:pPr>
            <w:r w:rsidRPr="00FF756A">
              <w:rPr>
                <w:i/>
                <w:iCs/>
                <w:sz w:val="20"/>
                <w:szCs w:val="20"/>
              </w:rPr>
              <w:t xml:space="preserve">(i) ofrimi i trajnimeve për teknikët e sektorit të RAC </w:t>
            </w:r>
            <w:bookmarkEnd w:id="350"/>
            <w:r w:rsidRPr="00FF756A">
              <w:rPr>
                <w:i/>
                <w:iCs/>
                <w:sz w:val="20"/>
                <w:szCs w:val="20"/>
              </w:rPr>
              <w:t xml:space="preserve">, duke përfshirë operimin e një skeme certifikimi, për të përmirësuar praktikat e mira të </w:t>
            </w:r>
            <w:r w:rsidR="009276D9" w:rsidRPr="00FF756A">
              <w:rPr>
                <w:i/>
                <w:iCs/>
                <w:sz w:val="20"/>
                <w:szCs w:val="20"/>
              </w:rPr>
              <w:t>shërbimeve</w:t>
            </w:r>
            <w:r w:rsidRPr="00FF756A">
              <w:rPr>
                <w:i/>
                <w:iCs/>
                <w:sz w:val="20"/>
                <w:szCs w:val="20"/>
              </w:rPr>
              <w:t xml:space="preserve">, për të minimizuar rrjedhjet dhe për të mbështetur rikuperimin dhe riciklimin; </w:t>
            </w:r>
          </w:p>
          <w:p w14:paraId="0F2F412A" w14:textId="77777777" w:rsidR="00835192" w:rsidRPr="00FF756A" w:rsidRDefault="00835192" w:rsidP="004A3257">
            <w:pPr>
              <w:spacing w:before="20" w:after="20" w:line="240" w:lineRule="auto"/>
              <w:ind w:left="240" w:hanging="240"/>
              <w:rPr>
                <w:i/>
                <w:iCs/>
                <w:sz w:val="20"/>
                <w:szCs w:val="20"/>
              </w:rPr>
            </w:pPr>
            <w:r w:rsidRPr="00FF756A">
              <w:rPr>
                <w:i/>
                <w:iCs/>
                <w:sz w:val="20"/>
                <w:szCs w:val="20"/>
              </w:rPr>
              <w:t xml:space="preserve">(ii) përforcimi i politikave dhe rregulloreve kombëtare për reduktimin e HFC-ve dhe zbatimin e tyre, duke përfshirë masat ekonomike (kuotat, lejet e importit), masat e kontrollit (ndalimi i importit të pajisjeve) dhe zhvillimin e mëtejshëm të standardeve kombëtare për sigurinë gjatë përdorimit të gazeve ftohëse toksike ose të ndezshme, si dhe trajnimin e oficerëve të doganave dhe zbatimit të ligjit; </w:t>
            </w:r>
          </w:p>
          <w:p w14:paraId="74FB486F" w14:textId="638A9B3A" w:rsidR="001F3C31" w:rsidRPr="00FF756A" w:rsidRDefault="00835192" w:rsidP="004A3257">
            <w:pPr>
              <w:pStyle w:val="ListParagraph"/>
              <w:numPr>
                <w:ilvl w:val="0"/>
                <w:numId w:val="9"/>
              </w:numPr>
              <w:spacing w:before="20" w:after="20" w:line="240" w:lineRule="auto"/>
              <w:ind w:left="240" w:hanging="240"/>
              <w:jc w:val="left"/>
              <w:rPr>
                <w:i/>
                <w:iCs/>
                <w:sz w:val="20"/>
                <w:szCs w:val="20"/>
              </w:rPr>
            </w:pPr>
            <w:r w:rsidRPr="00FF756A">
              <w:rPr>
                <w:i/>
                <w:iCs/>
                <w:sz w:val="20"/>
                <w:szCs w:val="20"/>
              </w:rPr>
              <w:t xml:space="preserve">promovimi i alternativave me PNG të ulët dhe përmirësimi i raportimit të të dhënave mbi to; </w:t>
            </w:r>
          </w:p>
          <w:p w14:paraId="22E3B1EA" w14:textId="6874C103" w:rsidR="00835192" w:rsidRPr="00FF756A" w:rsidRDefault="00835192" w:rsidP="004A3257">
            <w:pPr>
              <w:pStyle w:val="ListParagraph"/>
              <w:numPr>
                <w:ilvl w:val="0"/>
                <w:numId w:val="9"/>
              </w:numPr>
              <w:spacing w:before="20" w:after="20" w:line="240" w:lineRule="auto"/>
              <w:ind w:left="240" w:hanging="240"/>
              <w:jc w:val="left"/>
              <w:rPr>
                <w:i/>
                <w:iCs/>
                <w:sz w:val="20"/>
                <w:szCs w:val="20"/>
              </w:rPr>
            </w:pPr>
            <w:r w:rsidRPr="00FF756A">
              <w:rPr>
                <w:i/>
                <w:iCs/>
                <w:sz w:val="20"/>
                <w:szCs w:val="20"/>
              </w:rPr>
              <w:t>angazhimi i të gjitha grupeve përkatëse të interesit dhe nxitja e tyre për të integruar më mirë planin për reduktimin e HFC-ve në planet e tyre të biznesit; duke vendosur një theks të veçantë në integrimin e aspekteve gjinore në të gjithë TKP</w:t>
            </w:r>
            <w:r w:rsidRPr="00FF756A">
              <w:rPr>
                <w:i/>
                <w:iCs/>
                <w:sz w:val="20"/>
                <w:szCs w:val="20"/>
              </w:rPr>
              <w:br/>
            </w:r>
            <w:bookmarkStart w:id="351" w:name="_Hlk178340453"/>
            <w:r w:rsidRPr="00FF756A">
              <w:rPr>
                <w:i/>
                <w:iCs/>
                <w:sz w:val="20"/>
                <w:szCs w:val="20"/>
              </w:rPr>
              <w:t xml:space="preserve"> </w:t>
            </w:r>
            <w:bookmarkEnd w:id="351"/>
          </w:p>
          <w:p w14:paraId="142D26B1" w14:textId="77777777" w:rsidR="00835192" w:rsidRPr="00FF756A" w:rsidRDefault="00835192" w:rsidP="00835192">
            <w:pPr>
              <w:spacing w:before="20" w:after="20" w:line="240" w:lineRule="auto"/>
              <w:rPr>
                <w:b/>
                <w:bCs/>
                <w:i/>
                <w:iCs/>
                <w:sz w:val="20"/>
                <w:szCs w:val="20"/>
              </w:rPr>
            </w:pPr>
          </w:p>
          <w:p w14:paraId="23320F1F" w14:textId="77777777" w:rsidR="00835192" w:rsidRPr="00FF756A" w:rsidRDefault="00835192" w:rsidP="00835192">
            <w:pPr>
              <w:spacing w:before="20" w:after="20" w:line="240" w:lineRule="auto"/>
              <w:rPr>
                <w:i/>
                <w:iCs/>
                <w:sz w:val="20"/>
                <w:szCs w:val="20"/>
              </w:rPr>
            </w:pPr>
            <w:r w:rsidRPr="00FF756A">
              <w:rPr>
                <w:b/>
                <w:bCs/>
                <w:i/>
                <w:iCs/>
                <w:sz w:val="20"/>
                <w:szCs w:val="20"/>
              </w:rPr>
              <w:t>Faza II</w:t>
            </w:r>
            <w:r w:rsidRPr="00FF756A">
              <w:rPr>
                <w:i/>
                <w:iCs/>
                <w:sz w:val="20"/>
                <w:szCs w:val="20"/>
              </w:rPr>
              <w:t xml:space="preserve"> përfshin reduktimin me 30 përqind në vitin 2035. </w:t>
            </w:r>
          </w:p>
          <w:p w14:paraId="527AE24A" w14:textId="77777777" w:rsidR="00835192" w:rsidRPr="00FF756A" w:rsidRDefault="00835192" w:rsidP="00835192">
            <w:pPr>
              <w:spacing w:before="20" w:after="20" w:line="240" w:lineRule="auto"/>
              <w:rPr>
                <w:i/>
                <w:iCs/>
                <w:sz w:val="20"/>
                <w:szCs w:val="20"/>
              </w:rPr>
            </w:pPr>
          </w:p>
          <w:p w14:paraId="4F481C68" w14:textId="77777777" w:rsidR="00835192" w:rsidRPr="00FF756A" w:rsidRDefault="00835192" w:rsidP="00835192">
            <w:pPr>
              <w:spacing w:before="20" w:after="0" w:line="240" w:lineRule="auto"/>
              <w:rPr>
                <w:i/>
                <w:iCs/>
                <w:sz w:val="20"/>
                <w:szCs w:val="20"/>
              </w:rPr>
            </w:pPr>
            <w:r w:rsidRPr="00FF756A">
              <w:rPr>
                <w:b/>
                <w:bCs/>
                <w:i/>
                <w:iCs/>
                <w:sz w:val="20"/>
                <w:szCs w:val="20"/>
              </w:rPr>
              <w:t>Faza III</w:t>
            </w:r>
            <w:r w:rsidRPr="00FF756A">
              <w:rPr>
                <w:i/>
                <w:iCs/>
                <w:sz w:val="20"/>
                <w:szCs w:val="20"/>
              </w:rPr>
              <w:t xml:space="preserve"> përfshin reduktimin me 50 përqind në vitin 2040 dhe me 80 përqind në vitin 2025.</w:t>
            </w:r>
          </w:p>
        </w:tc>
        <w:tc>
          <w:tcPr>
            <w:tcW w:w="585" w:type="pct"/>
          </w:tcPr>
          <w:p w14:paraId="1C768E5C"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2029</w:t>
            </w:r>
            <w:r w:rsidRPr="00FF756A">
              <w:rPr>
                <w:i/>
                <w:iCs/>
                <w:sz w:val="20"/>
                <w:szCs w:val="20"/>
              </w:rPr>
              <w:br/>
            </w:r>
          </w:p>
          <w:p w14:paraId="0B402B54" w14:textId="77777777" w:rsidR="00835192" w:rsidRPr="00FF756A" w:rsidRDefault="00835192" w:rsidP="00835192">
            <w:pPr>
              <w:spacing w:before="20" w:after="20" w:line="240" w:lineRule="auto"/>
              <w:jc w:val="left"/>
              <w:rPr>
                <w:i/>
                <w:iCs/>
                <w:sz w:val="20"/>
                <w:szCs w:val="20"/>
              </w:rPr>
            </w:pPr>
            <w:r w:rsidRPr="00FF756A">
              <w:rPr>
                <w:i/>
                <w:iCs/>
                <w:sz w:val="20"/>
                <w:szCs w:val="20"/>
              </w:rPr>
              <w:br/>
            </w:r>
          </w:p>
          <w:p w14:paraId="37CAE911" w14:textId="77777777" w:rsidR="00835192" w:rsidRPr="00FF756A" w:rsidRDefault="00835192" w:rsidP="00835192">
            <w:pPr>
              <w:spacing w:before="20" w:after="20" w:line="240" w:lineRule="auto"/>
              <w:jc w:val="left"/>
              <w:rPr>
                <w:i/>
                <w:iCs/>
                <w:sz w:val="20"/>
                <w:szCs w:val="20"/>
              </w:rPr>
            </w:pPr>
            <w:r w:rsidRPr="00FF756A">
              <w:rPr>
                <w:i/>
                <w:iCs/>
                <w:sz w:val="20"/>
                <w:szCs w:val="20"/>
              </w:rPr>
              <w:br/>
            </w:r>
            <w:r w:rsidRPr="00FF756A">
              <w:rPr>
                <w:i/>
                <w:iCs/>
                <w:sz w:val="20"/>
                <w:szCs w:val="20"/>
              </w:rPr>
              <w:br/>
            </w:r>
          </w:p>
          <w:p w14:paraId="7E5C09D0" w14:textId="77777777" w:rsidR="00835192" w:rsidRPr="00FF756A" w:rsidRDefault="00835192" w:rsidP="00835192">
            <w:pPr>
              <w:spacing w:before="20" w:after="20" w:line="240" w:lineRule="auto"/>
              <w:jc w:val="left"/>
              <w:rPr>
                <w:i/>
                <w:iCs/>
                <w:sz w:val="20"/>
                <w:szCs w:val="20"/>
              </w:rPr>
            </w:pPr>
            <w:r w:rsidRPr="00FF756A">
              <w:rPr>
                <w:i/>
                <w:iCs/>
                <w:sz w:val="20"/>
                <w:szCs w:val="20"/>
              </w:rPr>
              <w:br/>
            </w:r>
            <w:r w:rsidRPr="00FF756A">
              <w:rPr>
                <w:i/>
                <w:iCs/>
                <w:sz w:val="20"/>
                <w:szCs w:val="20"/>
              </w:rPr>
              <w:br/>
            </w:r>
            <w:r w:rsidRPr="00FF756A">
              <w:rPr>
                <w:i/>
                <w:iCs/>
                <w:sz w:val="20"/>
                <w:szCs w:val="20"/>
              </w:rPr>
              <w:br/>
            </w:r>
            <w:r w:rsidRPr="00FF756A">
              <w:rPr>
                <w:i/>
                <w:iCs/>
                <w:sz w:val="20"/>
                <w:szCs w:val="20"/>
              </w:rPr>
              <w:br/>
            </w:r>
          </w:p>
          <w:p w14:paraId="2BF16C32" w14:textId="77777777" w:rsidR="00835192" w:rsidRPr="00FF756A" w:rsidRDefault="00835192" w:rsidP="00835192">
            <w:pPr>
              <w:spacing w:before="20" w:after="20" w:line="240" w:lineRule="auto"/>
              <w:jc w:val="left"/>
              <w:rPr>
                <w:i/>
                <w:iCs/>
                <w:sz w:val="20"/>
                <w:szCs w:val="20"/>
              </w:rPr>
            </w:pPr>
            <w:r w:rsidRPr="00FF756A">
              <w:rPr>
                <w:i/>
                <w:iCs/>
                <w:sz w:val="20"/>
                <w:szCs w:val="20"/>
              </w:rPr>
              <w:br/>
            </w:r>
            <w:r w:rsidRPr="00FF756A">
              <w:rPr>
                <w:i/>
                <w:iCs/>
                <w:sz w:val="20"/>
                <w:szCs w:val="20"/>
              </w:rPr>
              <w:br/>
            </w:r>
            <w:r w:rsidRPr="00FF756A">
              <w:rPr>
                <w:i/>
                <w:iCs/>
                <w:sz w:val="20"/>
                <w:szCs w:val="20"/>
              </w:rPr>
              <w:br/>
            </w:r>
          </w:p>
          <w:p w14:paraId="67D088E9" w14:textId="77777777" w:rsidR="00835192" w:rsidRPr="00FF756A" w:rsidRDefault="00835192" w:rsidP="00835192">
            <w:pPr>
              <w:spacing w:before="20" w:after="20" w:line="240" w:lineRule="auto"/>
              <w:jc w:val="left"/>
              <w:rPr>
                <w:i/>
                <w:iCs/>
                <w:sz w:val="20"/>
                <w:szCs w:val="20"/>
              </w:rPr>
            </w:pPr>
          </w:p>
          <w:p w14:paraId="46214F2D"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2035</w:t>
            </w:r>
          </w:p>
          <w:p w14:paraId="06E746D8" w14:textId="77777777" w:rsidR="00835192" w:rsidRPr="00FF756A" w:rsidRDefault="00835192" w:rsidP="00835192">
            <w:pPr>
              <w:spacing w:before="20" w:after="20" w:line="240" w:lineRule="auto"/>
              <w:jc w:val="left"/>
              <w:rPr>
                <w:i/>
                <w:iCs/>
                <w:sz w:val="20"/>
                <w:szCs w:val="20"/>
              </w:rPr>
            </w:pPr>
          </w:p>
          <w:p w14:paraId="7195899C" w14:textId="77777777" w:rsidR="00835192" w:rsidRPr="00FF756A" w:rsidRDefault="00835192" w:rsidP="00835192">
            <w:pPr>
              <w:spacing w:before="20" w:after="0" w:line="240" w:lineRule="auto"/>
              <w:jc w:val="left"/>
              <w:rPr>
                <w:i/>
                <w:iCs/>
                <w:sz w:val="20"/>
                <w:szCs w:val="20"/>
              </w:rPr>
            </w:pPr>
            <w:r w:rsidRPr="00FF756A">
              <w:rPr>
                <w:i/>
                <w:iCs/>
                <w:sz w:val="20"/>
                <w:szCs w:val="20"/>
              </w:rPr>
              <w:t>brenda vitit 2045</w:t>
            </w:r>
          </w:p>
        </w:tc>
      </w:tr>
      <w:tr w:rsidR="00835192" w:rsidRPr="00FF756A" w14:paraId="6E6F11C2" w14:textId="77777777" w:rsidTr="004A3257">
        <w:trPr>
          <w:trHeight w:val="20"/>
        </w:trPr>
        <w:tc>
          <w:tcPr>
            <w:tcW w:w="1290" w:type="pct"/>
          </w:tcPr>
          <w:p w14:paraId="24B507DB"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3710" w:type="pct"/>
            <w:gridSpan w:val="5"/>
          </w:tcPr>
          <w:p w14:paraId="4FFB155B" w14:textId="77777777" w:rsidR="00835192" w:rsidRPr="00FF756A" w:rsidRDefault="00835192" w:rsidP="00835192">
            <w:pPr>
              <w:spacing w:before="20" w:after="20" w:line="240" w:lineRule="auto"/>
              <w:rPr>
                <w:i/>
                <w:iCs/>
                <w:sz w:val="20"/>
                <w:szCs w:val="20"/>
              </w:rPr>
            </w:pPr>
            <w:r w:rsidRPr="00FF756A">
              <w:rPr>
                <w:i/>
                <w:iCs/>
                <w:sz w:val="20"/>
                <w:szCs w:val="20"/>
              </w:rPr>
              <w:t xml:space="preserve">Fondi Multilateral i Protokollit të Montrealit, përafërsisht 0,5 milionë euro. </w:t>
            </w:r>
          </w:p>
        </w:tc>
      </w:tr>
      <w:tr w:rsidR="00835192" w:rsidRPr="00FF756A" w14:paraId="1BCD3418" w14:textId="77777777" w:rsidTr="004A3257">
        <w:trPr>
          <w:trHeight w:val="20"/>
        </w:trPr>
        <w:tc>
          <w:tcPr>
            <w:tcW w:w="1290" w:type="pct"/>
          </w:tcPr>
          <w:p w14:paraId="3609272E"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1830D22D"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3710" w:type="pct"/>
            <w:gridSpan w:val="5"/>
          </w:tcPr>
          <w:p w14:paraId="23FBC03F" w14:textId="77777777" w:rsidR="00835192" w:rsidRPr="00FF756A" w:rsidRDefault="00835192" w:rsidP="00835192">
            <w:pPr>
              <w:spacing w:before="20" w:after="20" w:line="240" w:lineRule="auto"/>
              <w:rPr>
                <w:i/>
                <w:iCs/>
                <w:sz w:val="20"/>
                <w:szCs w:val="20"/>
              </w:rPr>
            </w:pPr>
            <w:r w:rsidRPr="00FF756A">
              <w:rPr>
                <w:i/>
                <w:iCs/>
                <w:sz w:val="20"/>
                <w:szCs w:val="20"/>
              </w:rPr>
              <w:t>Ministria e Turizmit dhe Mjedisit, Njësia Kombëtare e Ozonit</w:t>
            </w:r>
          </w:p>
          <w:p w14:paraId="0C0AF7B3" w14:textId="77777777" w:rsidR="00835192" w:rsidRPr="00FF756A" w:rsidRDefault="00835192" w:rsidP="00835192">
            <w:pPr>
              <w:spacing w:before="20" w:after="20" w:line="240" w:lineRule="auto"/>
              <w:rPr>
                <w:i/>
                <w:iCs/>
                <w:sz w:val="20"/>
                <w:szCs w:val="20"/>
              </w:rPr>
            </w:pPr>
            <w:r w:rsidRPr="00FF756A">
              <w:rPr>
                <w:i/>
                <w:iCs/>
                <w:sz w:val="20"/>
                <w:szCs w:val="20"/>
              </w:rPr>
              <w:t>Agjencia Kombëtare e Mjedisit</w:t>
            </w:r>
          </w:p>
        </w:tc>
      </w:tr>
      <w:tr w:rsidR="00835192" w:rsidRPr="00FF756A" w14:paraId="775336D2" w14:textId="77777777" w:rsidTr="004A3257">
        <w:trPr>
          <w:trHeight w:val="20"/>
        </w:trPr>
        <w:tc>
          <w:tcPr>
            <w:tcW w:w="1290" w:type="pct"/>
          </w:tcPr>
          <w:p w14:paraId="2A543AB0"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3710" w:type="pct"/>
            <w:gridSpan w:val="5"/>
          </w:tcPr>
          <w:p w14:paraId="7C5C2DBA" w14:textId="77777777" w:rsidR="00835192" w:rsidRPr="00FF756A" w:rsidRDefault="00835192" w:rsidP="00835192">
            <w:pPr>
              <w:spacing w:before="20" w:after="20" w:line="240" w:lineRule="auto"/>
              <w:rPr>
                <w:i/>
                <w:iCs/>
                <w:sz w:val="20"/>
                <w:szCs w:val="20"/>
              </w:rPr>
            </w:pPr>
            <w:r w:rsidRPr="00FF756A">
              <w:rPr>
                <w:i/>
                <w:iCs/>
                <w:sz w:val="20"/>
                <w:szCs w:val="20"/>
              </w:rPr>
              <w:t>Dekarbonizimi; Efiçenca e energjisë; Kërkimi, inovacioni dhe konkurrenca</w:t>
            </w:r>
          </w:p>
        </w:tc>
      </w:tr>
      <w:bookmarkEnd w:id="348"/>
    </w:tbl>
    <w:p w14:paraId="4E6B190A" w14:textId="77777777" w:rsidR="00835192" w:rsidRPr="00FF756A" w:rsidRDefault="00835192" w:rsidP="00835192">
      <w:pPr>
        <w:spacing w:before="0" w:after="0" w:line="240" w:lineRule="auto"/>
        <w:jc w:val="left"/>
      </w:pPr>
      <w:r w:rsidRPr="00FF756A">
        <w:br w:type="page"/>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6"/>
        <w:gridCol w:w="1280"/>
        <w:gridCol w:w="600"/>
        <w:gridCol w:w="429"/>
        <w:gridCol w:w="3315"/>
        <w:gridCol w:w="1242"/>
      </w:tblGrid>
      <w:tr w:rsidR="00835192" w:rsidRPr="00FF756A" w14:paraId="7F37484F" w14:textId="77777777" w:rsidTr="004A3257">
        <w:trPr>
          <w:trHeight w:val="20"/>
        </w:trPr>
        <w:tc>
          <w:tcPr>
            <w:tcW w:w="4511" w:type="dxa"/>
            <w:gridSpan w:val="4"/>
            <w:shd w:val="clear" w:color="auto" w:fill="E2EFD9" w:themeFill="accent6" w:themeFillTint="33"/>
          </w:tcPr>
          <w:p w14:paraId="7DAC6D1F"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Dimensioni i energjisë</w:t>
            </w:r>
          </w:p>
        </w:tc>
        <w:tc>
          <w:tcPr>
            <w:tcW w:w="4561" w:type="dxa"/>
            <w:gridSpan w:val="2"/>
            <w:shd w:val="clear" w:color="auto" w:fill="E2EFD9" w:themeFill="accent6" w:themeFillTint="33"/>
          </w:tcPr>
          <w:p w14:paraId="5AE32BF5" w14:textId="77777777" w:rsidR="00835192" w:rsidRPr="00FF756A" w:rsidRDefault="00835192" w:rsidP="008639B2">
            <w:pPr>
              <w:numPr>
                <w:ilvl w:val="0"/>
                <w:numId w:val="167"/>
              </w:numPr>
              <w:spacing w:before="20" w:after="20" w:line="240" w:lineRule="auto"/>
              <w:contextualSpacing/>
              <w:rPr>
                <w:i/>
                <w:iCs/>
                <w:sz w:val="20"/>
                <w:szCs w:val="20"/>
              </w:rPr>
            </w:pPr>
            <w:r w:rsidRPr="00FF756A">
              <w:rPr>
                <w:i/>
                <w:iCs/>
                <w:sz w:val="20"/>
                <w:szCs w:val="20"/>
              </w:rPr>
              <w:t>Dekarbonizimi</w:t>
            </w:r>
          </w:p>
          <w:p w14:paraId="581A2CD8" w14:textId="5E35BC1D" w:rsidR="00835192" w:rsidRPr="00FF756A" w:rsidRDefault="00835192" w:rsidP="004A3257">
            <w:pPr>
              <w:spacing w:before="20" w:after="20" w:line="240" w:lineRule="auto"/>
              <w:contextualSpacing/>
              <w:rPr>
                <w:i/>
                <w:iCs/>
                <w:sz w:val="20"/>
                <w:szCs w:val="20"/>
              </w:rPr>
            </w:pPr>
            <w:r w:rsidRPr="00FF756A">
              <w:rPr>
                <w:i/>
                <w:iCs/>
                <w:sz w:val="20"/>
                <w:szCs w:val="20"/>
              </w:rPr>
              <w:t>Shkarkimet dhe eliminimi i GES-ve</w:t>
            </w:r>
          </w:p>
        </w:tc>
      </w:tr>
      <w:tr w:rsidR="00835192" w:rsidRPr="00FF756A" w14:paraId="34D67F27" w14:textId="77777777" w:rsidTr="004A3257">
        <w:trPr>
          <w:trHeight w:val="20"/>
        </w:trPr>
        <w:tc>
          <w:tcPr>
            <w:tcW w:w="4081" w:type="dxa"/>
            <w:gridSpan w:val="3"/>
            <w:shd w:val="clear" w:color="auto" w:fill="E2EFD9" w:themeFill="accent6" w:themeFillTint="33"/>
          </w:tcPr>
          <w:p w14:paraId="06DE09D8"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91" w:type="dxa"/>
            <w:gridSpan w:val="3"/>
            <w:shd w:val="clear" w:color="auto" w:fill="E2EFD9" w:themeFill="accent6" w:themeFillTint="33"/>
          </w:tcPr>
          <w:p w14:paraId="0F2C62C9" w14:textId="77777777" w:rsidR="00835192" w:rsidRPr="00FF756A" w:rsidRDefault="00835192" w:rsidP="00835192">
            <w:pPr>
              <w:spacing w:before="20" w:after="20" w:line="240" w:lineRule="auto"/>
              <w:rPr>
                <w:i/>
                <w:iCs/>
                <w:sz w:val="20"/>
                <w:szCs w:val="20"/>
              </w:rPr>
            </w:pPr>
            <w:r w:rsidRPr="00FF756A">
              <w:rPr>
                <w:i/>
                <w:iCs/>
                <w:sz w:val="20"/>
                <w:szCs w:val="20"/>
              </w:rPr>
              <w:t>Industria</w:t>
            </w:r>
          </w:p>
        </w:tc>
      </w:tr>
      <w:tr w:rsidR="00835192" w:rsidRPr="00FF756A" w14:paraId="2854BE49" w14:textId="77777777" w:rsidTr="004A3257">
        <w:trPr>
          <w:trHeight w:val="20"/>
        </w:trPr>
        <w:tc>
          <w:tcPr>
            <w:tcW w:w="3480" w:type="dxa"/>
            <w:gridSpan w:val="2"/>
          </w:tcPr>
          <w:p w14:paraId="23D8D59C"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50877E5D"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2" w:type="dxa"/>
            <w:gridSpan w:val="4"/>
          </w:tcPr>
          <w:p w14:paraId="79079491" w14:textId="77777777" w:rsidR="00835192" w:rsidRPr="00FF756A" w:rsidRDefault="00835192" w:rsidP="00835192">
            <w:pPr>
              <w:spacing w:before="20" w:after="20" w:line="240" w:lineRule="auto"/>
              <w:rPr>
                <w:i/>
                <w:iCs/>
                <w:sz w:val="20"/>
                <w:szCs w:val="20"/>
              </w:rPr>
            </w:pPr>
            <w:r w:rsidRPr="00FF756A">
              <w:rPr>
                <w:i/>
                <w:iCs/>
                <w:sz w:val="20"/>
                <w:szCs w:val="20"/>
              </w:rPr>
              <w:t>WAM</w:t>
            </w:r>
          </w:p>
          <w:p w14:paraId="32DB7643" w14:textId="77777777" w:rsidR="00835192" w:rsidRPr="00FF756A" w:rsidRDefault="00835192" w:rsidP="00835192">
            <w:pPr>
              <w:spacing w:before="20" w:after="20" w:line="240" w:lineRule="auto"/>
              <w:rPr>
                <w:i/>
                <w:iCs/>
                <w:sz w:val="20"/>
                <w:szCs w:val="20"/>
              </w:rPr>
            </w:pPr>
            <w:r w:rsidRPr="00FF756A">
              <w:rPr>
                <w:i/>
                <w:iCs/>
                <w:sz w:val="20"/>
                <w:szCs w:val="20"/>
              </w:rPr>
              <w:t xml:space="preserve">Teknik; Financiar </w:t>
            </w:r>
          </w:p>
        </w:tc>
      </w:tr>
      <w:tr w:rsidR="00835192" w:rsidRPr="00FF756A" w14:paraId="66EBEA74" w14:textId="77777777" w:rsidTr="004A3257">
        <w:trPr>
          <w:trHeight w:val="20"/>
        </w:trPr>
        <w:tc>
          <w:tcPr>
            <w:tcW w:w="2198" w:type="dxa"/>
          </w:tcPr>
          <w:p w14:paraId="5614B71B"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73C176AC"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4" w:type="dxa"/>
            <w:gridSpan w:val="5"/>
          </w:tcPr>
          <w:p w14:paraId="5FF2ABF4" w14:textId="77777777" w:rsidR="00835192" w:rsidRPr="00FF756A" w:rsidRDefault="00835192" w:rsidP="00835192">
            <w:pPr>
              <w:spacing w:before="20" w:after="20" w:line="240" w:lineRule="auto"/>
              <w:rPr>
                <w:i/>
                <w:iCs/>
                <w:sz w:val="20"/>
                <w:szCs w:val="20"/>
              </w:rPr>
            </w:pPr>
            <w:r w:rsidRPr="00FF756A">
              <w:rPr>
                <w:i/>
                <w:iCs/>
                <w:sz w:val="20"/>
                <w:szCs w:val="20"/>
              </w:rPr>
              <w:t xml:space="preserve">Hidrogjeni ekologjik për industrinë e prodhimit të ferrokromit dhe çelikut dhe për eksport </w:t>
            </w:r>
          </w:p>
          <w:p w14:paraId="7BBB9910" w14:textId="77777777" w:rsidR="00835192" w:rsidRPr="00FF756A" w:rsidRDefault="00835192" w:rsidP="00835192">
            <w:pPr>
              <w:spacing w:before="20" w:after="20" w:line="240" w:lineRule="auto"/>
              <w:rPr>
                <w:i/>
                <w:iCs/>
                <w:sz w:val="20"/>
                <w:szCs w:val="20"/>
              </w:rPr>
            </w:pPr>
            <w:r w:rsidRPr="00FF756A">
              <w:rPr>
                <w:i/>
                <w:iCs/>
                <w:sz w:val="20"/>
                <w:szCs w:val="20"/>
              </w:rPr>
              <w:t>(G-I5)</w:t>
            </w:r>
          </w:p>
        </w:tc>
      </w:tr>
      <w:tr w:rsidR="00835192" w:rsidRPr="00FF756A" w14:paraId="4CDBD9A6" w14:textId="77777777" w:rsidTr="004A3257">
        <w:trPr>
          <w:trHeight w:val="20"/>
        </w:trPr>
        <w:tc>
          <w:tcPr>
            <w:tcW w:w="2198" w:type="dxa"/>
          </w:tcPr>
          <w:p w14:paraId="038E56DC"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4" w:type="dxa"/>
            <w:gridSpan w:val="5"/>
          </w:tcPr>
          <w:p w14:paraId="06A6ECEC" w14:textId="77777777" w:rsidR="00835192" w:rsidRPr="00FF756A" w:rsidRDefault="00835192" w:rsidP="00835192">
            <w:pPr>
              <w:spacing w:before="20" w:after="20" w:line="240" w:lineRule="auto"/>
              <w:rPr>
                <w:i/>
                <w:iCs/>
                <w:sz w:val="20"/>
                <w:szCs w:val="20"/>
              </w:rPr>
            </w:pPr>
            <w:r w:rsidRPr="00FF756A">
              <w:rPr>
                <w:i/>
                <w:iCs/>
                <w:sz w:val="20"/>
                <w:szCs w:val="20"/>
              </w:rPr>
              <w:t>2025 – në vazhdim</w:t>
            </w:r>
          </w:p>
        </w:tc>
      </w:tr>
      <w:tr w:rsidR="00835192" w:rsidRPr="00FF756A" w14:paraId="5DC86F50" w14:textId="77777777" w:rsidTr="004A3257">
        <w:trPr>
          <w:trHeight w:val="20"/>
        </w:trPr>
        <w:tc>
          <w:tcPr>
            <w:tcW w:w="2198" w:type="dxa"/>
          </w:tcPr>
          <w:p w14:paraId="29398CD3"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4" w:type="dxa"/>
            <w:gridSpan w:val="5"/>
          </w:tcPr>
          <w:p w14:paraId="1FDC3420" w14:textId="4E7E9BE5" w:rsidR="00835192" w:rsidRPr="00FF756A" w:rsidRDefault="007851E2" w:rsidP="00835192">
            <w:pPr>
              <w:spacing w:before="20" w:after="20" w:line="240" w:lineRule="auto"/>
              <w:rPr>
                <w:i/>
                <w:iCs/>
                <w:sz w:val="20"/>
                <w:szCs w:val="20"/>
              </w:rPr>
            </w:pPr>
            <w:r w:rsidRPr="00FF756A">
              <w:rPr>
                <w:i/>
                <w:iCs/>
                <w:sz w:val="20"/>
                <w:szCs w:val="20"/>
              </w:rPr>
              <w:t>S</w:t>
            </w:r>
            <w:r w:rsidR="00835192" w:rsidRPr="00FF756A">
              <w:rPr>
                <w:i/>
                <w:iCs/>
                <w:sz w:val="20"/>
                <w:szCs w:val="20"/>
              </w:rPr>
              <w:t>tudime</w:t>
            </w:r>
            <w:r w:rsidRPr="00FF756A">
              <w:rPr>
                <w:i/>
                <w:iCs/>
                <w:sz w:val="20"/>
                <w:szCs w:val="20"/>
              </w:rPr>
              <w:t xml:space="preserve"> bazë</w:t>
            </w:r>
            <w:r w:rsidR="00835192" w:rsidRPr="00FF756A">
              <w:rPr>
                <w:i/>
                <w:iCs/>
                <w:sz w:val="20"/>
                <w:szCs w:val="20"/>
              </w:rPr>
              <w:t xml:space="preserve"> për përdorimin e hidrogjenit ekologjik në industri, për shembull: </w:t>
            </w:r>
            <w:hyperlink r:id="rId55" w:history="1">
              <w:r w:rsidR="00835192" w:rsidRPr="00FF756A">
                <w:rPr>
                  <w:i/>
                  <w:iCs/>
                  <w:color w:val="0000FF"/>
                  <w:sz w:val="20"/>
                  <w:szCs w:val="20"/>
                  <w:u w:val="single"/>
                </w:rPr>
                <w:t>https://www.irena.org/Publications/2022/Mar/Green-Hydrogen-for-Industry</w:t>
              </w:r>
            </w:hyperlink>
            <w:r w:rsidR="00835192" w:rsidRPr="00FF756A">
              <w:rPr>
                <w:i/>
                <w:iCs/>
                <w:sz w:val="20"/>
                <w:szCs w:val="20"/>
              </w:rPr>
              <w:t>. Parimi bazë është se procesi kimik i reduktimit kryhet duke përdorur hidrogjen ekologjik në vend të qymyrit. Hidrogjeni përdoret në rafineri, industrinë kimike dhe prodhimin e çelikut, të cilët klasifikohen si sektorë ku reduktimi është i vështirë. Kjo kërkesë e madhe dhe e centralizuar është thelbësore për zhvillimin e sektorit të hidrogjenit ekologjik. Bashkëpunimi në nivel rajonal është i rëndësishëm për sa i përket ekonomive të shkallës.</w:t>
            </w:r>
          </w:p>
        </w:tc>
      </w:tr>
      <w:tr w:rsidR="00835192" w:rsidRPr="00FF756A" w14:paraId="676F65D3" w14:textId="77777777" w:rsidTr="004A3257">
        <w:trPr>
          <w:trHeight w:val="20"/>
        </w:trPr>
        <w:tc>
          <w:tcPr>
            <w:tcW w:w="2198" w:type="dxa"/>
          </w:tcPr>
          <w:p w14:paraId="6D633909"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4" w:type="dxa"/>
            <w:gridSpan w:val="5"/>
          </w:tcPr>
          <w:p w14:paraId="128FFA78" w14:textId="77777777" w:rsidR="00835192" w:rsidRPr="00FF756A" w:rsidRDefault="00835192" w:rsidP="00835192">
            <w:pPr>
              <w:spacing w:before="20" w:after="20" w:line="240" w:lineRule="auto"/>
              <w:rPr>
                <w:i/>
                <w:iCs/>
                <w:sz w:val="20"/>
                <w:szCs w:val="20"/>
              </w:rPr>
            </w:pPr>
            <w:r w:rsidRPr="00FF756A">
              <w:rPr>
                <w:i/>
                <w:iCs/>
                <w:sz w:val="20"/>
                <w:szCs w:val="20"/>
              </w:rPr>
              <w:t xml:space="preserve">Asnjë masë e marrë deri më tani. </w:t>
            </w:r>
          </w:p>
          <w:p w14:paraId="38888C29" w14:textId="77777777" w:rsidR="00835192" w:rsidRPr="00FF756A" w:rsidRDefault="00835192" w:rsidP="00835192">
            <w:pPr>
              <w:spacing w:before="20" w:after="20" w:line="240" w:lineRule="auto"/>
              <w:rPr>
                <w:i/>
                <w:iCs/>
                <w:sz w:val="20"/>
                <w:szCs w:val="20"/>
              </w:rPr>
            </w:pPr>
            <w:r w:rsidRPr="00FF756A">
              <w:rPr>
                <w:i/>
                <w:iCs/>
                <w:sz w:val="20"/>
                <w:szCs w:val="20"/>
              </w:rPr>
              <w:t>Në vitin 2024, në një minierë shqiptare u gjet një burim hidrogjeni natyror pothuajse i pastër, që çlironte të paktën 200 ton H2 në vit (</w:t>
            </w:r>
            <w:hyperlink r:id="rId56" w:history="1">
              <w:r w:rsidRPr="00FF756A">
                <w:rPr>
                  <w:i/>
                  <w:iCs/>
                  <w:color w:val="0000FF"/>
                  <w:sz w:val="20"/>
                  <w:szCs w:val="20"/>
                  <w:u w:val="single"/>
                </w:rPr>
                <w:t>https://www.hydrogeninsight.com/production/massive-spring-of-almost-pure-natural-hydrogen-found-in-albanian-mine-emitting-at-least-200-tonnes-of-h2-a-year/2-1-1596637</w:t>
              </w:r>
            </w:hyperlink>
            <w:r w:rsidRPr="00FF756A">
              <w:rPr>
                <w:i/>
                <w:iCs/>
                <w:sz w:val="20"/>
                <w:szCs w:val="20"/>
              </w:rPr>
              <w:t>).</w:t>
            </w:r>
          </w:p>
          <w:p w14:paraId="6975CE12" w14:textId="77777777" w:rsidR="00835192" w:rsidRPr="00FF756A" w:rsidRDefault="00835192" w:rsidP="00835192">
            <w:pPr>
              <w:spacing w:before="20" w:after="20" w:line="240" w:lineRule="auto"/>
              <w:rPr>
                <w:i/>
                <w:iCs/>
                <w:sz w:val="20"/>
                <w:szCs w:val="20"/>
              </w:rPr>
            </w:pPr>
            <w:r w:rsidRPr="00FF756A">
              <w:rPr>
                <w:i/>
                <w:iCs/>
                <w:sz w:val="20"/>
                <w:szCs w:val="20"/>
              </w:rPr>
              <w:t xml:space="preserve">Gjithashtu, hidrogjeni ekologjik prodhohet nga elektrolizatorët që furnizohen me energji elektrike të rinovueshme. </w:t>
            </w:r>
          </w:p>
        </w:tc>
      </w:tr>
      <w:tr w:rsidR="00835192" w:rsidRPr="00FF756A" w14:paraId="19DF58D3" w14:textId="77777777" w:rsidTr="004A3257">
        <w:trPr>
          <w:trHeight w:val="20"/>
        </w:trPr>
        <w:tc>
          <w:tcPr>
            <w:tcW w:w="2198" w:type="dxa"/>
          </w:tcPr>
          <w:p w14:paraId="37A22EF6"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4" w:type="dxa"/>
            <w:gridSpan w:val="5"/>
          </w:tcPr>
          <w:p w14:paraId="63F06F01" w14:textId="77777777" w:rsidR="00835192" w:rsidRPr="00FF756A" w:rsidRDefault="00835192" w:rsidP="00835192">
            <w:pPr>
              <w:spacing w:before="20" w:after="20" w:line="240" w:lineRule="auto"/>
              <w:rPr>
                <w:i/>
                <w:iCs/>
                <w:sz w:val="20"/>
                <w:szCs w:val="20"/>
              </w:rPr>
            </w:pPr>
            <w:r w:rsidRPr="00FF756A">
              <w:rPr>
                <w:i/>
                <w:iCs/>
                <w:sz w:val="20"/>
                <w:szCs w:val="20"/>
              </w:rPr>
              <w:t>Transformimi i prodhimit industrial që përdor qymyr për proceset kimike të reduktimit drejt prodhimit më të pastër (më shumë informacion mbi prodhimin më të pastër:</w:t>
            </w:r>
            <w:hyperlink r:id="rId57" w:history="1">
              <w:r w:rsidRPr="00FF756A">
                <w:rPr>
                  <w:i/>
                  <w:iCs/>
                  <w:color w:val="0000FF"/>
                  <w:sz w:val="20"/>
                  <w:szCs w:val="20"/>
                  <w:u w:val="single"/>
                </w:rPr>
                <w:t>https://www.unido.org/our-focus-cross-cutting-services-partnerships-prosperity-networks-centres-forums-and-platforms/national-cleaner-production-centres-ncpcs-networks</w:t>
              </w:r>
            </w:hyperlink>
            <w:r w:rsidRPr="00FF756A">
              <w:rPr>
                <w:i/>
                <w:iCs/>
                <w:sz w:val="20"/>
                <w:szCs w:val="20"/>
              </w:rPr>
              <w:t xml:space="preserve">). </w:t>
            </w:r>
          </w:p>
        </w:tc>
      </w:tr>
      <w:tr w:rsidR="00835192" w:rsidRPr="00FF756A" w14:paraId="4BC1FAD3" w14:textId="77777777" w:rsidTr="004A3257">
        <w:trPr>
          <w:trHeight w:val="20"/>
        </w:trPr>
        <w:tc>
          <w:tcPr>
            <w:tcW w:w="2198" w:type="dxa"/>
          </w:tcPr>
          <w:p w14:paraId="285F59DD"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4" w:type="dxa"/>
            <w:gridSpan w:val="5"/>
          </w:tcPr>
          <w:p w14:paraId="6D074A80" w14:textId="77777777" w:rsidR="00835192" w:rsidRPr="00FF756A" w:rsidRDefault="00835192" w:rsidP="00835192">
            <w:pPr>
              <w:spacing w:before="20" w:after="20" w:line="240" w:lineRule="auto"/>
              <w:rPr>
                <w:i/>
                <w:iCs/>
                <w:sz w:val="20"/>
                <w:szCs w:val="20"/>
              </w:rPr>
            </w:pPr>
            <w:r w:rsidRPr="00FF756A">
              <w:rPr>
                <w:i/>
                <w:iCs/>
                <w:sz w:val="20"/>
                <w:szCs w:val="20"/>
              </w:rPr>
              <w:t>Transformimi i prodhimit industrial që përdor qymyr për proceset kimike të reduktimit deri në vitin 2050.</w:t>
            </w:r>
          </w:p>
        </w:tc>
      </w:tr>
      <w:tr w:rsidR="00835192" w:rsidRPr="00FF756A" w14:paraId="1D92227D" w14:textId="77777777" w:rsidTr="004A3257">
        <w:trPr>
          <w:trHeight w:val="20"/>
        </w:trPr>
        <w:tc>
          <w:tcPr>
            <w:tcW w:w="2198" w:type="dxa"/>
          </w:tcPr>
          <w:p w14:paraId="6BC040E6"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5632" w:type="dxa"/>
            <w:gridSpan w:val="4"/>
          </w:tcPr>
          <w:p w14:paraId="4986A600" w14:textId="77777777" w:rsidR="00835192" w:rsidRPr="00FF756A" w:rsidRDefault="00835192" w:rsidP="00835192">
            <w:pPr>
              <w:spacing w:before="20" w:after="20" w:line="240" w:lineRule="auto"/>
              <w:rPr>
                <w:i/>
                <w:iCs/>
                <w:sz w:val="20"/>
                <w:szCs w:val="20"/>
                <w:u w:val="single"/>
              </w:rPr>
            </w:pPr>
            <w:r w:rsidRPr="00FF756A">
              <w:rPr>
                <w:i/>
                <w:iCs/>
                <w:sz w:val="20"/>
                <w:szCs w:val="20"/>
                <w:u w:val="single"/>
              </w:rPr>
              <w:t xml:space="preserve">Niveli strategjik: </w:t>
            </w:r>
          </w:p>
          <w:p w14:paraId="4D9B1DF3" w14:textId="77777777" w:rsidR="00835192" w:rsidRPr="00FF756A" w:rsidRDefault="00835192" w:rsidP="00835192">
            <w:pPr>
              <w:spacing w:before="20" w:after="20" w:line="240" w:lineRule="auto"/>
              <w:rPr>
                <w:i/>
                <w:iCs/>
                <w:sz w:val="20"/>
                <w:szCs w:val="20"/>
              </w:rPr>
            </w:pPr>
            <w:r w:rsidRPr="00FF756A">
              <w:rPr>
                <w:i/>
                <w:iCs/>
                <w:sz w:val="20"/>
                <w:szCs w:val="20"/>
              </w:rPr>
              <w:t>Strategjia e zhvillimit industrial: Identifikimi i industrive që do të zhvillohen dhe krijimi i një plani për të modernizuar/rindërtuar proceset e prodhimit drejt prodhimit me karbon të ulët, duke marrë parasysh përdorimin e hidrogjenit ekologjik.</w:t>
            </w:r>
          </w:p>
          <w:p w14:paraId="52D8C5D9" w14:textId="77777777" w:rsidR="00835192" w:rsidRPr="00FF756A" w:rsidRDefault="00835192" w:rsidP="00835192">
            <w:pPr>
              <w:spacing w:before="20" w:after="20" w:line="240" w:lineRule="auto"/>
              <w:rPr>
                <w:i/>
                <w:iCs/>
                <w:sz w:val="20"/>
                <w:szCs w:val="20"/>
                <w:u w:val="single"/>
              </w:rPr>
            </w:pPr>
            <w:r w:rsidRPr="00FF756A">
              <w:rPr>
                <w:i/>
                <w:iCs/>
                <w:sz w:val="20"/>
                <w:szCs w:val="20"/>
                <w:u w:val="single"/>
              </w:rPr>
              <w:t xml:space="preserve">Studimet e fizibilitetit: </w:t>
            </w:r>
          </w:p>
          <w:p w14:paraId="612AF61D" w14:textId="77777777" w:rsidR="00835192" w:rsidRPr="00FF756A" w:rsidRDefault="00835192" w:rsidP="00835192">
            <w:pPr>
              <w:spacing w:before="20" w:after="20" w:line="240" w:lineRule="auto"/>
              <w:rPr>
                <w:i/>
                <w:iCs/>
                <w:sz w:val="20"/>
                <w:szCs w:val="20"/>
              </w:rPr>
            </w:pPr>
            <w:r w:rsidRPr="00FF756A">
              <w:rPr>
                <w:i/>
                <w:iCs/>
                <w:sz w:val="20"/>
                <w:szCs w:val="20"/>
              </w:rPr>
              <w:t>Zhvillimi i një udhërrëfyesi për tranzicionin, duke përfshirë strategjinë e investimeve/konceptin e financimit për impiante specifike, së bashku me kompanitë.</w:t>
            </w:r>
          </w:p>
          <w:p w14:paraId="4830A009" w14:textId="77777777" w:rsidR="00835192" w:rsidRPr="00FF756A" w:rsidRDefault="00835192" w:rsidP="00835192">
            <w:pPr>
              <w:spacing w:before="20" w:after="20" w:line="240" w:lineRule="auto"/>
              <w:rPr>
                <w:i/>
                <w:iCs/>
                <w:sz w:val="20"/>
                <w:szCs w:val="20"/>
              </w:rPr>
            </w:pPr>
            <w:r w:rsidRPr="00FF756A">
              <w:rPr>
                <w:i/>
                <w:iCs/>
                <w:sz w:val="20"/>
                <w:szCs w:val="20"/>
              </w:rPr>
              <w:t>Analizimi i mundësive për të prodhuar hidrogjen ekologjik për eksport.</w:t>
            </w:r>
          </w:p>
          <w:p w14:paraId="0C784985" w14:textId="77777777" w:rsidR="00835192" w:rsidRPr="00FF756A" w:rsidRDefault="00835192" w:rsidP="00835192">
            <w:pPr>
              <w:spacing w:before="20" w:after="20" w:line="240" w:lineRule="auto"/>
              <w:rPr>
                <w:i/>
                <w:iCs/>
                <w:sz w:val="20"/>
                <w:szCs w:val="20"/>
                <w:u w:val="single"/>
              </w:rPr>
            </w:pPr>
            <w:r w:rsidRPr="00FF756A">
              <w:rPr>
                <w:i/>
                <w:iCs/>
                <w:sz w:val="20"/>
                <w:szCs w:val="20"/>
                <w:u w:val="single"/>
              </w:rPr>
              <w:t xml:space="preserve">Zbatimi: </w:t>
            </w:r>
          </w:p>
          <w:p w14:paraId="7DA93B65" w14:textId="77777777" w:rsidR="00835192" w:rsidRPr="00FF756A" w:rsidRDefault="00835192" w:rsidP="00835192">
            <w:pPr>
              <w:spacing w:before="20" w:after="20" w:line="240" w:lineRule="auto"/>
              <w:rPr>
                <w:i/>
                <w:iCs/>
                <w:sz w:val="20"/>
                <w:szCs w:val="20"/>
              </w:rPr>
            </w:pPr>
            <w:r w:rsidRPr="00FF756A">
              <w:rPr>
                <w:i/>
                <w:iCs/>
                <w:sz w:val="20"/>
                <w:szCs w:val="20"/>
              </w:rPr>
              <w:t>Investime në modernizimin e impianteve të prodhimit në përputhje me udhërrëfyesit e transformimit.</w:t>
            </w:r>
          </w:p>
        </w:tc>
        <w:tc>
          <w:tcPr>
            <w:tcW w:w="1242" w:type="dxa"/>
          </w:tcPr>
          <w:p w14:paraId="605887DA"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2026</w:t>
            </w:r>
          </w:p>
          <w:p w14:paraId="3F60A145" w14:textId="77777777" w:rsidR="00835192" w:rsidRPr="00FF756A" w:rsidRDefault="00835192" w:rsidP="00835192">
            <w:pPr>
              <w:spacing w:before="20" w:after="20" w:line="240" w:lineRule="auto"/>
              <w:jc w:val="left"/>
              <w:rPr>
                <w:i/>
                <w:iCs/>
                <w:sz w:val="20"/>
                <w:szCs w:val="20"/>
              </w:rPr>
            </w:pPr>
            <w:r w:rsidRPr="00FF756A">
              <w:rPr>
                <w:i/>
                <w:iCs/>
                <w:sz w:val="20"/>
                <w:szCs w:val="20"/>
              </w:rPr>
              <w:br/>
            </w:r>
            <w:r w:rsidRPr="00FF756A">
              <w:rPr>
                <w:i/>
                <w:iCs/>
                <w:sz w:val="20"/>
                <w:szCs w:val="20"/>
              </w:rPr>
              <w:br/>
            </w:r>
            <w:r w:rsidRPr="00FF756A">
              <w:rPr>
                <w:i/>
                <w:iCs/>
                <w:sz w:val="20"/>
                <w:szCs w:val="20"/>
              </w:rPr>
              <w:br/>
              <w:t>brenda vitit 2028</w:t>
            </w:r>
          </w:p>
          <w:p w14:paraId="79179D31" w14:textId="77777777" w:rsidR="00835192" w:rsidRPr="00FF756A" w:rsidRDefault="00835192" w:rsidP="00835192">
            <w:pPr>
              <w:spacing w:before="20" w:after="20" w:line="240" w:lineRule="auto"/>
              <w:jc w:val="left"/>
              <w:rPr>
                <w:i/>
                <w:iCs/>
                <w:sz w:val="20"/>
                <w:szCs w:val="20"/>
              </w:rPr>
            </w:pPr>
            <w:r w:rsidRPr="00FF756A">
              <w:rPr>
                <w:i/>
                <w:iCs/>
                <w:sz w:val="20"/>
                <w:szCs w:val="20"/>
              </w:rPr>
              <w:br/>
            </w:r>
          </w:p>
          <w:p w14:paraId="19F66BCC" w14:textId="77777777" w:rsidR="00835192" w:rsidRPr="00FF756A" w:rsidRDefault="00835192" w:rsidP="00835192">
            <w:pPr>
              <w:spacing w:before="20" w:after="20" w:line="240" w:lineRule="auto"/>
              <w:jc w:val="left"/>
              <w:rPr>
                <w:i/>
                <w:iCs/>
                <w:sz w:val="20"/>
                <w:szCs w:val="20"/>
              </w:rPr>
            </w:pPr>
            <w:r w:rsidRPr="00FF756A">
              <w:rPr>
                <w:i/>
                <w:iCs/>
                <w:sz w:val="20"/>
                <w:szCs w:val="20"/>
              </w:rPr>
              <w:br/>
              <w:t>Nga viti 2030 e në vazhdim</w:t>
            </w:r>
          </w:p>
        </w:tc>
      </w:tr>
      <w:tr w:rsidR="00835192" w:rsidRPr="00FF756A" w14:paraId="4584F8D4" w14:textId="77777777" w:rsidTr="004A3257">
        <w:trPr>
          <w:trHeight w:val="20"/>
        </w:trPr>
        <w:tc>
          <w:tcPr>
            <w:tcW w:w="2198" w:type="dxa"/>
          </w:tcPr>
          <w:p w14:paraId="0A41E3CA"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4" w:type="dxa"/>
            <w:gridSpan w:val="5"/>
          </w:tcPr>
          <w:p w14:paraId="1CCC6FB6" w14:textId="77777777" w:rsidR="00835192" w:rsidRPr="00FF756A" w:rsidRDefault="00835192" w:rsidP="00835192">
            <w:pPr>
              <w:spacing w:before="20" w:after="20" w:line="240" w:lineRule="auto"/>
              <w:rPr>
                <w:i/>
                <w:iCs/>
                <w:sz w:val="20"/>
                <w:szCs w:val="20"/>
              </w:rPr>
            </w:pPr>
            <w:r w:rsidRPr="00FF756A">
              <w:rPr>
                <w:i/>
                <w:iCs/>
                <w:sz w:val="20"/>
                <w:szCs w:val="20"/>
              </w:rPr>
              <w:t>Investimi i nevojshëm do të specifikohet me anë të studimeve të fizibilitetit; strategjia e zhvillimit industrial dhe studimet e fizibilitetit do të financohen nga programet e asistencës teknike</w:t>
            </w:r>
          </w:p>
          <w:p w14:paraId="69E65CDA" w14:textId="77777777" w:rsidR="00835192" w:rsidRPr="00FF756A" w:rsidRDefault="00835192" w:rsidP="00835192">
            <w:pPr>
              <w:spacing w:before="20" w:after="20" w:line="240" w:lineRule="auto"/>
              <w:rPr>
                <w:i/>
                <w:iCs/>
                <w:sz w:val="20"/>
                <w:szCs w:val="20"/>
              </w:rPr>
            </w:pPr>
            <w:r w:rsidRPr="00FF756A">
              <w:rPr>
                <w:i/>
                <w:iCs/>
                <w:sz w:val="20"/>
                <w:szCs w:val="20"/>
              </w:rPr>
              <w:t xml:space="preserve">(shuma e përllogaritur: 0,5 milionë euro për studimet në nivel strategjik dhe fizibiliteti). </w:t>
            </w:r>
          </w:p>
        </w:tc>
      </w:tr>
      <w:tr w:rsidR="00835192" w:rsidRPr="00FF756A" w14:paraId="765E6409" w14:textId="77777777" w:rsidTr="004A3257">
        <w:trPr>
          <w:trHeight w:val="20"/>
        </w:trPr>
        <w:tc>
          <w:tcPr>
            <w:tcW w:w="2198" w:type="dxa"/>
          </w:tcPr>
          <w:p w14:paraId="194AAA7F"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607B7691"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4" w:type="dxa"/>
            <w:gridSpan w:val="5"/>
          </w:tcPr>
          <w:p w14:paraId="7B808DDC" w14:textId="77777777" w:rsidR="00835192" w:rsidRPr="00FF756A" w:rsidRDefault="00835192" w:rsidP="00835192">
            <w:pPr>
              <w:spacing w:before="20" w:after="20" w:line="240" w:lineRule="auto"/>
              <w:rPr>
                <w:i/>
                <w:iCs/>
                <w:sz w:val="20"/>
                <w:szCs w:val="20"/>
              </w:rPr>
            </w:pPr>
            <w:r w:rsidRPr="00FF756A">
              <w:rPr>
                <w:i/>
                <w:iCs/>
                <w:sz w:val="20"/>
                <w:szCs w:val="20"/>
              </w:rPr>
              <w:t xml:space="preserve">Ministria e Infrastrukturës dhe Energjisë, Ministria e Ekonomisë, Kulturës dhe Inovacionit, Ministria e Financave, Dhoma e Tregtisë dhe Industrisë </w:t>
            </w:r>
          </w:p>
          <w:p w14:paraId="0DCF346D"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w:t>
            </w:r>
          </w:p>
          <w:p w14:paraId="611AE4AE"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Agjencia Kombëtare e Mjedisit, Agjencia dhe Inspektorati Rajonal i Mjedisit</w:t>
            </w:r>
          </w:p>
          <w:p w14:paraId="5FC3D20F" w14:textId="77777777" w:rsidR="00835192" w:rsidRPr="00FF756A" w:rsidRDefault="00835192" w:rsidP="00835192">
            <w:pPr>
              <w:spacing w:before="20" w:after="20" w:line="240" w:lineRule="auto"/>
              <w:rPr>
                <w:i/>
                <w:iCs/>
                <w:sz w:val="20"/>
                <w:szCs w:val="20"/>
              </w:rPr>
            </w:pPr>
            <w:r w:rsidRPr="00FF756A">
              <w:rPr>
                <w:i/>
                <w:iCs/>
                <w:sz w:val="20"/>
                <w:szCs w:val="20"/>
              </w:rPr>
              <w:lastRenderedPageBreak/>
              <w:t>Agjencia Kombëtare e Mjedisit (përgatitja dhe verifikimi i raporteve mbi shkarkimet e GES-ve)</w:t>
            </w:r>
          </w:p>
        </w:tc>
      </w:tr>
      <w:tr w:rsidR="00835192" w:rsidRPr="00FF756A" w14:paraId="5DF2D593" w14:textId="77777777" w:rsidTr="004A3257">
        <w:trPr>
          <w:trHeight w:val="20"/>
        </w:trPr>
        <w:tc>
          <w:tcPr>
            <w:tcW w:w="2198" w:type="dxa"/>
          </w:tcPr>
          <w:p w14:paraId="1E309E44"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Marrëdhënia me dimensionet e tjera (nëse ka)</w:t>
            </w:r>
          </w:p>
        </w:tc>
        <w:tc>
          <w:tcPr>
            <w:tcW w:w="6874" w:type="dxa"/>
            <w:gridSpan w:val="5"/>
          </w:tcPr>
          <w:p w14:paraId="4A3446E2" w14:textId="77777777" w:rsidR="00835192" w:rsidRPr="00FF756A" w:rsidRDefault="00835192" w:rsidP="00835192">
            <w:pPr>
              <w:spacing w:before="20" w:after="20" w:line="240" w:lineRule="auto"/>
              <w:rPr>
                <w:i/>
                <w:iCs/>
                <w:sz w:val="20"/>
                <w:szCs w:val="20"/>
              </w:rPr>
            </w:pPr>
            <w:r w:rsidRPr="00FF756A">
              <w:rPr>
                <w:i/>
                <w:iCs/>
                <w:sz w:val="20"/>
                <w:szCs w:val="20"/>
              </w:rPr>
              <w:t xml:space="preserve">Kërkimi, inovacioni dhe konkurrenca </w:t>
            </w:r>
          </w:p>
          <w:p w14:paraId="52901E13" w14:textId="77777777" w:rsidR="00835192" w:rsidRPr="00FF756A" w:rsidRDefault="00835192" w:rsidP="00835192">
            <w:pPr>
              <w:spacing w:before="20" w:after="20" w:line="240" w:lineRule="auto"/>
              <w:rPr>
                <w:i/>
                <w:iCs/>
                <w:sz w:val="20"/>
                <w:szCs w:val="20"/>
              </w:rPr>
            </w:pPr>
            <w:r w:rsidRPr="00FF756A">
              <w:rPr>
                <w:i/>
                <w:iCs/>
                <w:sz w:val="20"/>
                <w:szCs w:val="20"/>
              </w:rPr>
              <w:t xml:space="preserve">Marrëdhënia me PM-në e mëposhtme: </w:t>
            </w:r>
          </w:p>
          <w:p w14:paraId="7DDE8DCC" w14:textId="77777777" w:rsidR="00835192" w:rsidRPr="00FF756A" w:rsidRDefault="00835192" w:rsidP="00835192">
            <w:pPr>
              <w:spacing w:before="20" w:after="20" w:line="240" w:lineRule="auto"/>
              <w:rPr>
                <w:i/>
                <w:iCs/>
                <w:sz w:val="20"/>
                <w:szCs w:val="20"/>
              </w:rPr>
            </w:pPr>
            <w:r w:rsidRPr="00FF756A">
              <w:rPr>
                <w:i/>
                <w:iCs/>
                <w:sz w:val="20"/>
                <w:szCs w:val="20"/>
              </w:rPr>
              <w:t>G-I6 Strategjia e hidrogjenit ekologjik</w:t>
            </w:r>
          </w:p>
        </w:tc>
      </w:tr>
    </w:tbl>
    <w:p w14:paraId="47F85C04" w14:textId="77777777" w:rsidR="00835192" w:rsidRPr="00FF756A" w:rsidRDefault="00835192" w:rsidP="00835192">
      <w:pPr>
        <w:spacing w:before="0" w:after="0" w:line="240" w:lineRule="auto"/>
        <w:jc w:val="left"/>
      </w:pP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418"/>
        <w:gridCol w:w="425"/>
        <w:gridCol w:w="567"/>
        <w:gridCol w:w="3365"/>
        <w:gridCol w:w="1454"/>
      </w:tblGrid>
      <w:tr w:rsidR="00835192" w:rsidRPr="00FF756A" w14:paraId="638ABC3F" w14:textId="77777777" w:rsidTr="004A3257">
        <w:tc>
          <w:tcPr>
            <w:tcW w:w="4253" w:type="dxa"/>
            <w:gridSpan w:val="4"/>
            <w:shd w:val="clear" w:color="auto" w:fill="E2EFD9" w:themeFill="accent6" w:themeFillTint="33"/>
          </w:tcPr>
          <w:p w14:paraId="1DEEE9B6"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819" w:type="dxa"/>
            <w:gridSpan w:val="2"/>
            <w:shd w:val="clear" w:color="auto" w:fill="E2EFD9" w:themeFill="accent6" w:themeFillTint="33"/>
          </w:tcPr>
          <w:p w14:paraId="71889FF0" w14:textId="68A2E5DA" w:rsidR="00835192" w:rsidRPr="00FF756A" w:rsidRDefault="00835192" w:rsidP="004A3257">
            <w:pPr>
              <w:pStyle w:val="ListParagraph"/>
              <w:numPr>
                <w:ilvl w:val="0"/>
                <w:numId w:val="230"/>
              </w:numPr>
              <w:spacing w:before="20" w:after="20" w:line="240" w:lineRule="auto"/>
              <w:rPr>
                <w:i/>
                <w:iCs/>
                <w:sz w:val="20"/>
                <w:szCs w:val="20"/>
              </w:rPr>
            </w:pPr>
            <w:r w:rsidRPr="00FF756A">
              <w:rPr>
                <w:i/>
                <w:iCs/>
                <w:sz w:val="20"/>
                <w:szCs w:val="20"/>
              </w:rPr>
              <w:t>Dekarbonizimi</w:t>
            </w:r>
          </w:p>
          <w:p w14:paraId="216CBC91" w14:textId="6A2F8797" w:rsidR="00835192" w:rsidRPr="00FF756A" w:rsidRDefault="00835192" w:rsidP="004A3257">
            <w:pPr>
              <w:spacing w:before="20" w:after="20" w:line="240" w:lineRule="auto"/>
              <w:contextualSpacing/>
              <w:rPr>
                <w:i/>
                <w:iCs/>
                <w:sz w:val="20"/>
                <w:szCs w:val="20"/>
              </w:rPr>
            </w:pPr>
            <w:r w:rsidRPr="00FF756A">
              <w:rPr>
                <w:i/>
                <w:iCs/>
                <w:sz w:val="20"/>
                <w:szCs w:val="20"/>
              </w:rPr>
              <w:t>Shkarkimet dhe eliminimi i GES-ve</w:t>
            </w:r>
          </w:p>
        </w:tc>
      </w:tr>
      <w:tr w:rsidR="00835192" w:rsidRPr="00FF756A" w14:paraId="47CF1C0A" w14:textId="77777777" w:rsidTr="004A3257">
        <w:trPr>
          <w:trHeight w:hRule="exact" w:val="288"/>
        </w:trPr>
        <w:tc>
          <w:tcPr>
            <w:tcW w:w="3686" w:type="dxa"/>
            <w:gridSpan w:val="3"/>
            <w:shd w:val="clear" w:color="auto" w:fill="E2EFD9" w:themeFill="accent6" w:themeFillTint="33"/>
          </w:tcPr>
          <w:p w14:paraId="5C64B838"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5386" w:type="dxa"/>
            <w:gridSpan w:val="3"/>
            <w:shd w:val="clear" w:color="auto" w:fill="E2EFD9" w:themeFill="accent6" w:themeFillTint="33"/>
          </w:tcPr>
          <w:p w14:paraId="1EFC1570" w14:textId="77777777" w:rsidR="00835192" w:rsidRPr="00FF756A" w:rsidRDefault="00835192" w:rsidP="00835192">
            <w:pPr>
              <w:spacing w:before="20" w:after="20" w:line="240" w:lineRule="auto"/>
              <w:rPr>
                <w:i/>
                <w:iCs/>
                <w:sz w:val="20"/>
                <w:szCs w:val="20"/>
              </w:rPr>
            </w:pPr>
            <w:r w:rsidRPr="00FF756A">
              <w:rPr>
                <w:i/>
                <w:iCs/>
                <w:sz w:val="20"/>
                <w:szCs w:val="20"/>
              </w:rPr>
              <w:t>Industria; Ndërsektorial</w:t>
            </w:r>
          </w:p>
        </w:tc>
      </w:tr>
      <w:tr w:rsidR="00835192" w:rsidRPr="00FF756A" w14:paraId="0C9FB513" w14:textId="77777777" w:rsidTr="004A3257">
        <w:trPr>
          <w:trHeight w:hRule="exact" w:val="567"/>
        </w:trPr>
        <w:tc>
          <w:tcPr>
            <w:tcW w:w="3261" w:type="dxa"/>
            <w:gridSpan w:val="2"/>
          </w:tcPr>
          <w:p w14:paraId="6F7387DE"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3E30407E"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811" w:type="dxa"/>
            <w:gridSpan w:val="4"/>
          </w:tcPr>
          <w:p w14:paraId="5C26EA87" w14:textId="77777777" w:rsidR="00835192" w:rsidRPr="00FF756A" w:rsidRDefault="00835192" w:rsidP="00835192">
            <w:pPr>
              <w:spacing w:before="20" w:after="20" w:line="240" w:lineRule="auto"/>
              <w:rPr>
                <w:i/>
                <w:iCs/>
                <w:sz w:val="20"/>
                <w:szCs w:val="20"/>
              </w:rPr>
            </w:pPr>
            <w:r w:rsidRPr="00FF756A">
              <w:rPr>
                <w:i/>
                <w:iCs/>
                <w:sz w:val="20"/>
                <w:szCs w:val="20"/>
              </w:rPr>
              <w:t>WAM</w:t>
            </w:r>
          </w:p>
          <w:p w14:paraId="5C002531" w14:textId="77777777" w:rsidR="00835192" w:rsidRPr="00FF756A" w:rsidRDefault="00835192" w:rsidP="00835192">
            <w:pPr>
              <w:spacing w:before="20" w:after="20" w:line="240" w:lineRule="auto"/>
              <w:rPr>
                <w:i/>
                <w:iCs/>
                <w:sz w:val="20"/>
                <w:szCs w:val="20"/>
              </w:rPr>
            </w:pPr>
            <w:r w:rsidRPr="00FF756A">
              <w:rPr>
                <w:i/>
                <w:iCs/>
                <w:sz w:val="20"/>
                <w:szCs w:val="20"/>
              </w:rPr>
              <w:t>Promocional; Rregullator</w:t>
            </w:r>
          </w:p>
        </w:tc>
      </w:tr>
      <w:tr w:rsidR="00835192" w:rsidRPr="00FF756A" w14:paraId="0A5241D2" w14:textId="77777777" w:rsidTr="004A3257">
        <w:trPr>
          <w:trHeight w:hRule="exact" w:val="576"/>
        </w:trPr>
        <w:tc>
          <w:tcPr>
            <w:tcW w:w="1843" w:type="dxa"/>
          </w:tcPr>
          <w:p w14:paraId="65F25F6F"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1E4414BF"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7229" w:type="dxa"/>
            <w:gridSpan w:val="5"/>
          </w:tcPr>
          <w:p w14:paraId="34DC9AAF" w14:textId="77777777" w:rsidR="00835192" w:rsidRPr="00FF756A" w:rsidRDefault="00835192" w:rsidP="00835192">
            <w:pPr>
              <w:spacing w:before="20" w:after="20" w:line="240" w:lineRule="auto"/>
              <w:rPr>
                <w:i/>
                <w:iCs/>
                <w:sz w:val="20"/>
                <w:szCs w:val="20"/>
              </w:rPr>
            </w:pPr>
            <w:r w:rsidRPr="00FF756A">
              <w:rPr>
                <w:i/>
                <w:iCs/>
                <w:sz w:val="20"/>
                <w:szCs w:val="20"/>
              </w:rPr>
              <w:t xml:space="preserve">Strategjia e hidrogjenit ekologjik  </w:t>
            </w:r>
          </w:p>
          <w:p w14:paraId="0E27075D" w14:textId="77777777" w:rsidR="00835192" w:rsidRPr="00FF756A" w:rsidRDefault="00835192" w:rsidP="00835192">
            <w:pPr>
              <w:spacing w:before="20" w:after="20" w:line="240" w:lineRule="auto"/>
              <w:rPr>
                <w:i/>
                <w:iCs/>
                <w:sz w:val="20"/>
                <w:szCs w:val="20"/>
              </w:rPr>
            </w:pPr>
            <w:r w:rsidRPr="00FF756A">
              <w:rPr>
                <w:i/>
                <w:iCs/>
                <w:sz w:val="20"/>
                <w:szCs w:val="20"/>
              </w:rPr>
              <w:t>(G-I6)</w:t>
            </w:r>
          </w:p>
        </w:tc>
      </w:tr>
      <w:tr w:rsidR="00835192" w:rsidRPr="00FF756A" w14:paraId="5FF33FD4" w14:textId="77777777" w:rsidTr="004A3257">
        <w:trPr>
          <w:trHeight w:hRule="exact" w:val="288"/>
        </w:trPr>
        <w:tc>
          <w:tcPr>
            <w:tcW w:w="1843" w:type="dxa"/>
          </w:tcPr>
          <w:p w14:paraId="10B3D043"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7229" w:type="dxa"/>
            <w:gridSpan w:val="5"/>
          </w:tcPr>
          <w:p w14:paraId="5D494BF1" w14:textId="77777777" w:rsidR="00835192" w:rsidRPr="00FF756A" w:rsidRDefault="00835192" w:rsidP="00835192">
            <w:pPr>
              <w:spacing w:before="20" w:after="20" w:line="240" w:lineRule="auto"/>
              <w:rPr>
                <w:i/>
                <w:iCs/>
                <w:sz w:val="20"/>
                <w:szCs w:val="20"/>
              </w:rPr>
            </w:pPr>
            <w:r w:rsidRPr="00FF756A">
              <w:rPr>
                <w:i/>
                <w:iCs/>
                <w:sz w:val="20"/>
                <w:szCs w:val="20"/>
              </w:rPr>
              <w:t>2025 – në vazhdim</w:t>
            </w:r>
          </w:p>
        </w:tc>
      </w:tr>
      <w:tr w:rsidR="00835192" w:rsidRPr="00FF756A" w14:paraId="5C66E51A" w14:textId="77777777" w:rsidTr="004A3257">
        <w:tc>
          <w:tcPr>
            <w:tcW w:w="1843" w:type="dxa"/>
          </w:tcPr>
          <w:p w14:paraId="11E49BB5"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7229" w:type="dxa"/>
            <w:gridSpan w:val="5"/>
          </w:tcPr>
          <w:p w14:paraId="0A36339E" w14:textId="77777777" w:rsidR="00835192" w:rsidRPr="00FF756A" w:rsidRDefault="00835192" w:rsidP="00835192">
            <w:pPr>
              <w:spacing w:before="20" w:after="20" w:line="240" w:lineRule="auto"/>
              <w:rPr>
                <w:i/>
                <w:iCs/>
                <w:sz w:val="20"/>
                <w:szCs w:val="20"/>
              </w:rPr>
            </w:pPr>
            <w:r w:rsidRPr="00FF756A">
              <w:rPr>
                <w:i/>
                <w:iCs/>
                <w:sz w:val="20"/>
                <w:szCs w:val="20"/>
              </w:rPr>
              <w:t>Komunikata e Komisionit drejtuar Parlamentit Evropian, Këshillit, Komitetit Evropian Ekonomik dhe Social dhe Komitetit të Rajoneve: Strategjia e hidrogjenit për një Evropë neutrale ndaj klimës. Bruksel, 8.7.2020, COM(2020) 301 versioni përfundimtar</w:t>
            </w:r>
          </w:p>
        </w:tc>
      </w:tr>
      <w:tr w:rsidR="00835192" w:rsidRPr="00FF756A" w14:paraId="6E639BEB" w14:textId="77777777" w:rsidTr="004A3257">
        <w:tc>
          <w:tcPr>
            <w:tcW w:w="1843" w:type="dxa"/>
          </w:tcPr>
          <w:p w14:paraId="726FF2D4"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7229" w:type="dxa"/>
            <w:gridSpan w:val="5"/>
          </w:tcPr>
          <w:p w14:paraId="4BC3ADCB" w14:textId="77777777" w:rsidR="00835192" w:rsidRPr="00FF756A" w:rsidRDefault="00835192" w:rsidP="008639B2">
            <w:pPr>
              <w:numPr>
                <w:ilvl w:val="0"/>
                <w:numId w:val="170"/>
              </w:numPr>
              <w:spacing w:before="20" w:after="20" w:line="240" w:lineRule="auto"/>
              <w:contextualSpacing/>
              <w:rPr>
                <w:i/>
                <w:iCs/>
                <w:sz w:val="20"/>
                <w:szCs w:val="20"/>
              </w:rPr>
            </w:pPr>
            <w:r w:rsidRPr="00FF756A">
              <w:rPr>
                <w:i/>
                <w:iCs/>
                <w:sz w:val="20"/>
                <w:szCs w:val="20"/>
              </w:rPr>
              <w:t xml:space="preserve">Puna përgatitore për zhvillimin e strategjisë së hidrogjenit ekologjik </w:t>
            </w:r>
          </w:p>
          <w:p w14:paraId="2CEF2B79" w14:textId="77777777" w:rsidR="00835192" w:rsidRPr="00FF756A" w:rsidRDefault="00835192" w:rsidP="008639B2">
            <w:pPr>
              <w:numPr>
                <w:ilvl w:val="0"/>
                <w:numId w:val="170"/>
              </w:numPr>
              <w:spacing w:before="20" w:after="20" w:line="240" w:lineRule="auto"/>
              <w:contextualSpacing/>
              <w:rPr>
                <w:i/>
                <w:iCs/>
                <w:sz w:val="20"/>
                <w:szCs w:val="20"/>
              </w:rPr>
            </w:pPr>
            <w:r w:rsidRPr="00FF756A">
              <w:rPr>
                <w:i/>
                <w:iCs/>
                <w:sz w:val="20"/>
                <w:szCs w:val="20"/>
              </w:rPr>
              <w:t xml:space="preserve">Rritja e konsiderueshme e kapacitetit të planifikuar fotovoltaik  </w:t>
            </w:r>
          </w:p>
        </w:tc>
      </w:tr>
      <w:tr w:rsidR="00835192" w:rsidRPr="00FF756A" w14:paraId="6F1F6076" w14:textId="77777777" w:rsidTr="004A3257">
        <w:tc>
          <w:tcPr>
            <w:tcW w:w="1843" w:type="dxa"/>
          </w:tcPr>
          <w:p w14:paraId="7E6173D6"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7229" w:type="dxa"/>
            <w:gridSpan w:val="5"/>
          </w:tcPr>
          <w:p w14:paraId="7BA5E77A" w14:textId="77777777" w:rsidR="00835192" w:rsidRPr="00FF756A" w:rsidRDefault="00835192" w:rsidP="00835192">
            <w:pPr>
              <w:spacing w:before="20" w:after="20" w:line="240" w:lineRule="auto"/>
              <w:rPr>
                <w:i/>
                <w:iCs/>
                <w:sz w:val="20"/>
                <w:szCs w:val="20"/>
              </w:rPr>
            </w:pPr>
            <w:r w:rsidRPr="00FF756A">
              <w:rPr>
                <w:i/>
                <w:iCs/>
                <w:sz w:val="20"/>
                <w:szCs w:val="20"/>
              </w:rPr>
              <w:t>Qëllimi i strategjisë është të mbështesë hidrogjenin si një komponent kyç të strategjisë së dekarbonizimit të energjisë dhe industrisë në përputhje me programet e BE-së. Strategjia ndahet në fushat e mëposhtme të ndërhyrjes:</w:t>
            </w:r>
          </w:p>
          <w:p w14:paraId="26AE3493" w14:textId="77777777" w:rsidR="00835192" w:rsidRPr="00FF756A" w:rsidRDefault="00835192" w:rsidP="008639B2">
            <w:pPr>
              <w:numPr>
                <w:ilvl w:val="0"/>
                <w:numId w:val="168"/>
              </w:numPr>
              <w:spacing w:before="20" w:after="20" w:line="240" w:lineRule="auto"/>
              <w:contextualSpacing/>
              <w:rPr>
                <w:i/>
                <w:iCs/>
                <w:sz w:val="20"/>
                <w:szCs w:val="20"/>
              </w:rPr>
            </w:pPr>
            <w:r w:rsidRPr="00FF756A">
              <w:rPr>
                <w:i/>
                <w:iCs/>
                <w:sz w:val="20"/>
                <w:szCs w:val="20"/>
              </w:rPr>
              <w:t xml:space="preserve">Prodhimi, ruajtja, shpërndarja për përdorim kombëtar dhe eksport </w:t>
            </w:r>
          </w:p>
          <w:p w14:paraId="0423AB9F" w14:textId="77777777" w:rsidR="00835192" w:rsidRPr="00FF756A" w:rsidRDefault="00835192" w:rsidP="008639B2">
            <w:pPr>
              <w:numPr>
                <w:ilvl w:val="0"/>
                <w:numId w:val="168"/>
              </w:numPr>
              <w:spacing w:before="20" w:after="20" w:line="240" w:lineRule="auto"/>
              <w:contextualSpacing/>
              <w:rPr>
                <w:i/>
                <w:iCs/>
                <w:sz w:val="20"/>
                <w:szCs w:val="20"/>
              </w:rPr>
            </w:pPr>
            <w:r w:rsidRPr="00FF756A">
              <w:rPr>
                <w:i/>
                <w:iCs/>
                <w:sz w:val="20"/>
                <w:szCs w:val="20"/>
              </w:rPr>
              <w:t>Përdorimi kombëtar (përdorimi industrial, lëvizshmëria dhe transporti)</w:t>
            </w:r>
          </w:p>
          <w:p w14:paraId="677B996C" w14:textId="77777777" w:rsidR="00835192" w:rsidRPr="00FF756A" w:rsidRDefault="00835192" w:rsidP="008639B2">
            <w:pPr>
              <w:numPr>
                <w:ilvl w:val="0"/>
                <w:numId w:val="168"/>
              </w:numPr>
              <w:spacing w:before="20" w:after="20" w:line="240" w:lineRule="auto"/>
              <w:contextualSpacing/>
              <w:rPr>
                <w:i/>
                <w:iCs/>
                <w:sz w:val="20"/>
                <w:szCs w:val="20"/>
              </w:rPr>
            </w:pPr>
            <w:r w:rsidRPr="00FF756A">
              <w:rPr>
                <w:i/>
                <w:iCs/>
                <w:sz w:val="20"/>
                <w:szCs w:val="20"/>
              </w:rPr>
              <w:t>Kërkimi, zhvillimi dhe inovacioni</w:t>
            </w:r>
          </w:p>
          <w:p w14:paraId="0BB9B9F3" w14:textId="77777777" w:rsidR="00835192" w:rsidRPr="00FF756A" w:rsidRDefault="00835192" w:rsidP="00835192">
            <w:pPr>
              <w:spacing w:before="20" w:after="20" w:line="240" w:lineRule="auto"/>
              <w:rPr>
                <w:i/>
                <w:iCs/>
                <w:sz w:val="20"/>
                <w:szCs w:val="20"/>
              </w:rPr>
            </w:pPr>
            <w:r w:rsidRPr="00FF756A">
              <w:rPr>
                <w:i/>
                <w:iCs/>
                <w:sz w:val="20"/>
                <w:szCs w:val="20"/>
              </w:rPr>
              <w:t>Qëllimi është nxitja e investimeve në prodhimin e hidrogjenit të rinovueshëm dhe në të njëjtën kohë krijimi i një infrastrukture të përshtatshme për transportin e hidrogjenit, si p.sh. përmes shfrytëzimit dhe konvertimit të synuar të infrastrukturës ekzistuese të gazit natyror në një infrastrukturë hidrogjeni të pastër. Gjithashtu, strategjia synon të rrisë bashkëpunimin e Shqipërisë me partnerët e mundshëm tregtarë për hidrogjenin, të krijojë mundësi për eksporte dhe të paraqesë mundësi tregtimi për kompanitë vendase.</w:t>
            </w:r>
          </w:p>
        </w:tc>
      </w:tr>
      <w:tr w:rsidR="00835192" w:rsidRPr="00FF756A" w14:paraId="45DA20E1" w14:textId="77777777" w:rsidTr="004A3257">
        <w:tc>
          <w:tcPr>
            <w:tcW w:w="1843" w:type="dxa"/>
          </w:tcPr>
          <w:p w14:paraId="21C4901F"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7229" w:type="dxa"/>
            <w:gridSpan w:val="5"/>
          </w:tcPr>
          <w:p w14:paraId="0CD9B57B" w14:textId="77777777" w:rsidR="00835192" w:rsidRPr="00FF756A" w:rsidRDefault="00835192" w:rsidP="00835192">
            <w:pPr>
              <w:spacing w:before="20" w:after="20" w:line="240" w:lineRule="auto"/>
              <w:rPr>
                <w:i/>
                <w:iCs/>
                <w:sz w:val="20"/>
                <w:szCs w:val="20"/>
              </w:rPr>
            </w:pPr>
            <w:r w:rsidRPr="00FF756A">
              <w:rPr>
                <w:i/>
                <w:iCs/>
                <w:sz w:val="20"/>
                <w:szCs w:val="20"/>
              </w:rPr>
              <w:t xml:space="preserve">Hidrogjeni është një prioritet kyç për arritjen e objektivit të tranzicionit drejt energjisë së pastër të Paktit të Gjelbër Evropian dhe të Evropës. Në vizionin e saj strategjik për një BE neutrale ndaj klimës, të publikuar në nëntor të vitit 2018, përqindja e hidrogjenit në kombinimin e energjisë së Evropës parashikohet të rritet nga niveli aktual prej më pak se 2% në 13-14% deri në vitin 2050 (COM(2020) 301 versioni përfundimtar). </w:t>
            </w:r>
          </w:p>
          <w:p w14:paraId="1713D659" w14:textId="77777777" w:rsidR="00835192" w:rsidRPr="00FF756A" w:rsidRDefault="00835192" w:rsidP="00835192">
            <w:pPr>
              <w:spacing w:before="20" w:after="20" w:line="240" w:lineRule="auto"/>
              <w:rPr>
                <w:i/>
                <w:iCs/>
                <w:sz w:val="20"/>
                <w:szCs w:val="20"/>
              </w:rPr>
            </w:pPr>
            <w:r w:rsidRPr="00FF756A">
              <w:rPr>
                <w:i/>
                <w:iCs/>
                <w:sz w:val="20"/>
                <w:szCs w:val="20"/>
              </w:rPr>
              <w:t xml:space="preserve">Mbi bazën e këtij informacioni, pikësynimet e Shqipërisë parashikohen si më poshtë: </w:t>
            </w:r>
          </w:p>
          <w:p w14:paraId="6F12E3AE" w14:textId="77777777" w:rsidR="00835192" w:rsidRPr="00FF756A" w:rsidRDefault="00835192" w:rsidP="008639B2">
            <w:pPr>
              <w:numPr>
                <w:ilvl w:val="0"/>
                <w:numId w:val="169"/>
              </w:numPr>
              <w:spacing w:before="20" w:after="20" w:line="240" w:lineRule="auto"/>
              <w:contextualSpacing/>
              <w:rPr>
                <w:i/>
                <w:iCs/>
                <w:sz w:val="20"/>
                <w:szCs w:val="20"/>
              </w:rPr>
            </w:pPr>
            <w:r w:rsidRPr="00FF756A">
              <w:rPr>
                <w:i/>
                <w:iCs/>
                <w:sz w:val="20"/>
                <w:szCs w:val="20"/>
              </w:rPr>
              <w:t>Hidrogjeni ekologjik në kombinimin e energjisë së Shqipërisë: 14% deri në vitin 2050</w:t>
            </w:r>
          </w:p>
          <w:p w14:paraId="42B571C3" w14:textId="77777777" w:rsidR="00835192" w:rsidRPr="00FF756A" w:rsidRDefault="00835192" w:rsidP="008639B2">
            <w:pPr>
              <w:numPr>
                <w:ilvl w:val="0"/>
                <w:numId w:val="169"/>
              </w:numPr>
              <w:spacing w:before="20" w:after="20" w:line="240" w:lineRule="auto"/>
              <w:contextualSpacing/>
              <w:rPr>
                <w:i/>
                <w:iCs/>
                <w:sz w:val="20"/>
                <w:szCs w:val="20"/>
              </w:rPr>
            </w:pPr>
            <w:r w:rsidRPr="00FF756A">
              <w:rPr>
                <w:i/>
                <w:iCs/>
                <w:sz w:val="20"/>
                <w:szCs w:val="20"/>
              </w:rPr>
              <w:t>Hidrogjeni ekologjik që zëvendëson hidrogjenin e prodhuar nga lëndët djegëse fosile për përdorim industrial: 50% deri në vitin 2050</w:t>
            </w:r>
          </w:p>
        </w:tc>
      </w:tr>
      <w:tr w:rsidR="00835192" w:rsidRPr="00FF756A" w14:paraId="4A9C0744" w14:textId="77777777" w:rsidTr="004A3257">
        <w:tc>
          <w:tcPr>
            <w:tcW w:w="1843" w:type="dxa"/>
          </w:tcPr>
          <w:p w14:paraId="5C2C25D0"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5775" w:type="dxa"/>
            <w:gridSpan w:val="4"/>
          </w:tcPr>
          <w:p w14:paraId="24B380B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Zhvillimi dhe rënia dakord për strategjinë e hidrogjenit ekologjik, duke përfshirë planin e investimeve  </w:t>
            </w:r>
          </w:p>
          <w:p w14:paraId="155ECD3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Zhvillimi i projekteve individuale (p.sh. hidrogjeni ekologjik në industrinë e ferrokromit)</w:t>
            </w:r>
          </w:p>
          <w:p w14:paraId="70F4A3A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Zbatimi i projekteve individuale  </w:t>
            </w:r>
          </w:p>
        </w:tc>
        <w:tc>
          <w:tcPr>
            <w:tcW w:w="1454" w:type="dxa"/>
          </w:tcPr>
          <w:p w14:paraId="74373F97"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2026</w:t>
            </w:r>
            <w:r w:rsidRPr="00FF756A">
              <w:rPr>
                <w:i/>
                <w:iCs/>
                <w:sz w:val="20"/>
                <w:szCs w:val="20"/>
              </w:rPr>
              <w:br/>
            </w:r>
            <w:r w:rsidRPr="00FF756A">
              <w:rPr>
                <w:i/>
                <w:iCs/>
                <w:sz w:val="20"/>
                <w:szCs w:val="20"/>
              </w:rPr>
              <w:br/>
              <w:t>Brenda vitit 2030</w:t>
            </w:r>
            <w:r w:rsidRPr="00FF756A">
              <w:rPr>
                <w:i/>
                <w:iCs/>
                <w:sz w:val="20"/>
                <w:szCs w:val="20"/>
              </w:rPr>
              <w:br/>
            </w:r>
          </w:p>
          <w:p w14:paraId="068F82DD" w14:textId="77777777" w:rsidR="00835192" w:rsidRPr="00FF756A" w:rsidRDefault="00835192" w:rsidP="00835192">
            <w:pPr>
              <w:spacing w:before="20" w:after="20" w:line="240" w:lineRule="auto"/>
              <w:jc w:val="left"/>
              <w:rPr>
                <w:i/>
                <w:iCs/>
                <w:sz w:val="20"/>
                <w:szCs w:val="20"/>
              </w:rPr>
            </w:pPr>
            <w:r w:rsidRPr="00FF756A">
              <w:rPr>
                <w:i/>
                <w:iCs/>
                <w:sz w:val="20"/>
                <w:szCs w:val="20"/>
              </w:rPr>
              <w:t xml:space="preserve">Nga viti 2030 e në vazhdim </w:t>
            </w:r>
          </w:p>
        </w:tc>
      </w:tr>
      <w:tr w:rsidR="00835192" w:rsidRPr="00FF756A" w14:paraId="4440023E" w14:textId="77777777" w:rsidTr="004A3257">
        <w:tc>
          <w:tcPr>
            <w:tcW w:w="1843" w:type="dxa"/>
          </w:tcPr>
          <w:p w14:paraId="5ECF9145"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7229" w:type="dxa"/>
            <w:gridSpan w:val="5"/>
          </w:tcPr>
          <w:p w14:paraId="5C04EE8A" w14:textId="77777777" w:rsidR="00835192" w:rsidRPr="00FF756A" w:rsidRDefault="00835192" w:rsidP="00835192">
            <w:pPr>
              <w:spacing w:before="20" w:after="20" w:line="240" w:lineRule="auto"/>
              <w:rPr>
                <w:i/>
                <w:iCs/>
                <w:sz w:val="20"/>
                <w:szCs w:val="20"/>
              </w:rPr>
            </w:pPr>
            <w:r w:rsidRPr="00FF756A">
              <w:rPr>
                <w:i/>
                <w:iCs/>
                <w:sz w:val="20"/>
                <w:szCs w:val="20"/>
              </w:rPr>
              <w:t>Zhvillimi i strategjisë do të financohet nga një Program i Asistencës Teknike, me një buxhet të parashikuar prej 0,3 milionë eurosh.</w:t>
            </w:r>
          </w:p>
        </w:tc>
      </w:tr>
      <w:tr w:rsidR="00835192" w:rsidRPr="00FF756A" w14:paraId="021FD632" w14:textId="77777777" w:rsidTr="004A3257">
        <w:trPr>
          <w:trHeight w:hRule="exact" w:val="567"/>
        </w:trPr>
        <w:tc>
          <w:tcPr>
            <w:tcW w:w="1843" w:type="dxa"/>
          </w:tcPr>
          <w:p w14:paraId="66A2E3C1"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12085E26"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7229" w:type="dxa"/>
            <w:gridSpan w:val="5"/>
          </w:tcPr>
          <w:p w14:paraId="66109505"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w:t>
            </w:r>
          </w:p>
          <w:p w14:paraId="2531CA05"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w:t>
            </w:r>
          </w:p>
        </w:tc>
      </w:tr>
      <w:tr w:rsidR="00835192" w:rsidRPr="00FF756A" w14:paraId="0BAFFCAD" w14:textId="77777777" w:rsidTr="004A3257">
        <w:trPr>
          <w:trHeight w:val="548"/>
        </w:trPr>
        <w:tc>
          <w:tcPr>
            <w:tcW w:w="1843" w:type="dxa"/>
          </w:tcPr>
          <w:p w14:paraId="1A68EE5E"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7229" w:type="dxa"/>
            <w:gridSpan w:val="5"/>
          </w:tcPr>
          <w:p w14:paraId="468D5A73" w14:textId="77777777" w:rsidR="00835192" w:rsidRPr="00FF756A" w:rsidRDefault="00835192" w:rsidP="00835192">
            <w:pPr>
              <w:spacing w:before="20" w:after="20" w:line="240" w:lineRule="auto"/>
              <w:rPr>
                <w:i/>
                <w:iCs/>
                <w:sz w:val="20"/>
                <w:szCs w:val="20"/>
              </w:rPr>
            </w:pPr>
            <w:r w:rsidRPr="00FF756A">
              <w:rPr>
                <w:i/>
                <w:iCs/>
                <w:sz w:val="20"/>
                <w:szCs w:val="20"/>
              </w:rPr>
              <w:t xml:space="preserve">Energjia e rinovueshme </w:t>
            </w:r>
          </w:p>
          <w:p w14:paraId="37D3D781" w14:textId="77777777" w:rsidR="00835192" w:rsidRPr="00FF756A" w:rsidRDefault="00835192" w:rsidP="00835192">
            <w:pPr>
              <w:spacing w:before="20" w:after="20" w:line="240" w:lineRule="auto"/>
              <w:rPr>
                <w:i/>
                <w:iCs/>
                <w:sz w:val="20"/>
                <w:szCs w:val="20"/>
              </w:rPr>
            </w:pPr>
            <w:r w:rsidRPr="00FF756A">
              <w:rPr>
                <w:i/>
                <w:iCs/>
                <w:sz w:val="20"/>
                <w:szCs w:val="20"/>
              </w:rPr>
              <w:t xml:space="preserve">Marrëdhënia me PM-të e mëposhtme: </w:t>
            </w:r>
          </w:p>
          <w:p w14:paraId="54FF2EA7" w14:textId="3C719F2C" w:rsidR="00835192" w:rsidRPr="00FF756A" w:rsidRDefault="00835192" w:rsidP="00835192">
            <w:pPr>
              <w:spacing w:before="20" w:after="20" w:line="240" w:lineRule="auto"/>
              <w:rPr>
                <w:i/>
                <w:iCs/>
                <w:sz w:val="20"/>
                <w:szCs w:val="20"/>
              </w:rPr>
            </w:pPr>
            <w:r w:rsidRPr="00FF756A">
              <w:rPr>
                <w:i/>
                <w:iCs/>
                <w:sz w:val="20"/>
                <w:szCs w:val="20"/>
              </w:rPr>
              <w:t xml:space="preserve">G-T5 Hidrogjeni ekologjik </w:t>
            </w:r>
            <w:r w:rsidR="00BD67E9" w:rsidRPr="00FF756A">
              <w:rPr>
                <w:i/>
                <w:iCs/>
                <w:sz w:val="20"/>
                <w:szCs w:val="20"/>
              </w:rPr>
              <w:t>p</w:t>
            </w:r>
            <w:r w:rsidRPr="00FF756A">
              <w:rPr>
                <w:i/>
                <w:iCs/>
                <w:sz w:val="20"/>
                <w:szCs w:val="20"/>
              </w:rPr>
              <w:t>ë</w:t>
            </w:r>
            <w:r w:rsidR="00BD67E9" w:rsidRPr="00FF756A">
              <w:rPr>
                <w:i/>
                <w:iCs/>
                <w:sz w:val="20"/>
                <w:szCs w:val="20"/>
              </w:rPr>
              <w:t>r</w:t>
            </w:r>
            <w:r w:rsidRPr="00FF756A">
              <w:rPr>
                <w:i/>
                <w:iCs/>
                <w:sz w:val="20"/>
                <w:szCs w:val="20"/>
              </w:rPr>
              <w:t xml:space="preserve"> transportin me mjete të rënda </w:t>
            </w:r>
          </w:p>
          <w:p w14:paraId="5CAD9EBF" w14:textId="77777777" w:rsidR="00835192" w:rsidRPr="00FF756A" w:rsidRDefault="00835192" w:rsidP="00835192">
            <w:pPr>
              <w:spacing w:before="20" w:after="20" w:line="240" w:lineRule="auto"/>
              <w:rPr>
                <w:i/>
                <w:iCs/>
                <w:sz w:val="20"/>
                <w:szCs w:val="20"/>
              </w:rPr>
            </w:pPr>
            <w:r w:rsidRPr="00FF756A">
              <w:rPr>
                <w:i/>
                <w:iCs/>
                <w:sz w:val="20"/>
                <w:szCs w:val="20"/>
              </w:rPr>
              <w:lastRenderedPageBreak/>
              <w:t>G-I4 Hidrogjeni ekologjik për industrinë e prodhimit të ferrokromit dhe çelikut</w:t>
            </w:r>
          </w:p>
        </w:tc>
      </w:tr>
    </w:tbl>
    <w:p w14:paraId="797D32EA" w14:textId="77777777" w:rsidR="00835192" w:rsidRPr="00FF756A" w:rsidRDefault="00835192" w:rsidP="00835192">
      <w:pPr>
        <w:spacing w:before="0" w:after="0" w:line="240" w:lineRule="auto"/>
        <w:jc w:val="left"/>
      </w:pPr>
      <w:r w:rsidRPr="00FF756A">
        <w:lastRenderedPageBreak/>
        <w:br w:type="page"/>
      </w:r>
    </w:p>
    <w:p w14:paraId="3BF70792" w14:textId="77777777" w:rsidR="00835192" w:rsidRPr="00FF756A" w:rsidRDefault="00835192" w:rsidP="004A3257">
      <w:pPr>
        <w:pStyle w:val="Heading4"/>
        <w:numPr>
          <w:ilvl w:val="0"/>
          <w:numId w:val="0"/>
        </w:numPr>
        <w:ind w:left="864" w:hanging="864"/>
        <w:rPr>
          <w:rFonts w:cs="Times New Roman"/>
        </w:rPr>
      </w:pPr>
      <w:bookmarkStart w:id="352" w:name="_Toc183639228"/>
      <w:r w:rsidRPr="00FF756A">
        <w:rPr>
          <w:rFonts w:cs="Times New Roman"/>
        </w:rPr>
        <w:lastRenderedPageBreak/>
        <w:t>Sektori i bujqësisë</w:t>
      </w:r>
      <w:bookmarkEnd w:id="352"/>
    </w:p>
    <w:p w14:paraId="7D52DAE0" w14:textId="77777777" w:rsidR="00DE1017" w:rsidRPr="00FF756A" w:rsidRDefault="00DE1017" w:rsidP="004A3257">
      <w:pPr>
        <w:keepNext/>
        <w:keepLines/>
        <w:spacing w:before="40" w:after="0"/>
        <w:outlineLvl w:val="3"/>
        <w:rPr>
          <w:rFonts w:eastAsia="Calibri Light"/>
          <w:i/>
          <w:iCs/>
          <w:color w:val="2F5496" w:themeColor="accent1" w:themeShade="BF"/>
        </w:rPr>
      </w:pP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0"/>
        <w:gridCol w:w="1272"/>
        <w:gridCol w:w="597"/>
        <w:gridCol w:w="427"/>
        <w:gridCol w:w="3693"/>
        <w:gridCol w:w="883"/>
      </w:tblGrid>
      <w:tr w:rsidR="00835192" w:rsidRPr="00FF756A" w14:paraId="449288AE" w14:textId="77777777" w:rsidTr="004A3257">
        <w:trPr>
          <w:trHeight w:val="20"/>
        </w:trPr>
        <w:tc>
          <w:tcPr>
            <w:tcW w:w="4511" w:type="dxa"/>
            <w:gridSpan w:val="4"/>
            <w:shd w:val="clear" w:color="auto" w:fill="E2EFD9" w:themeFill="accent6" w:themeFillTint="33"/>
          </w:tcPr>
          <w:p w14:paraId="0EEA42CF"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61" w:type="dxa"/>
            <w:gridSpan w:val="2"/>
            <w:shd w:val="clear" w:color="auto" w:fill="E2EFD9" w:themeFill="accent6" w:themeFillTint="33"/>
          </w:tcPr>
          <w:p w14:paraId="4C11BFB6" w14:textId="77777777" w:rsidR="00835192" w:rsidRPr="00FF756A" w:rsidRDefault="00835192" w:rsidP="008639B2">
            <w:pPr>
              <w:numPr>
                <w:ilvl w:val="0"/>
                <w:numId w:val="70"/>
              </w:numPr>
              <w:spacing w:before="20" w:after="20" w:line="240" w:lineRule="auto"/>
              <w:contextualSpacing/>
              <w:rPr>
                <w:i/>
                <w:iCs/>
                <w:sz w:val="20"/>
                <w:szCs w:val="20"/>
              </w:rPr>
            </w:pPr>
            <w:r w:rsidRPr="00FF756A">
              <w:rPr>
                <w:i/>
                <w:iCs/>
                <w:sz w:val="20"/>
                <w:szCs w:val="20"/>
              </w:rPr>
              <w:t>Dekarbonizimi</w:t>
            </w:r>
          </w:p>
          <w:p w14:paraId="5FF49204" w14:textId="7C08F6C5" w:rsidR="00835192" w:rsidRPr="00FF756A" w:rsidRDefault="00835192" w:rsidP="004A3257">
            <w:pPr>
              <w:spacing w:before="20" w:after="20" w:line="240" w:lineRule="auto"/>
              <w:contextualSpacing/>
              <w:rPr>
                <w:i/>
                <w:iCs/>
                <w:sz w:val="20"/>
                <w:szCs w:val="20"/>
              </w:rPr>
            </w:pPr>
            <w:r w:rsidRPr="00FF756A">
              <w:rPr>
                <w:i/>
                <w:iCs/>
                <w:sz w:val="20"/>
                <w:szCs w:val="20"/>
              </w:rPr>
              <w:t>Shkarkimet dhe eliminimi i GES-ve</w:t>
            </w:r>
          </w:p>
        </w:tc>
      </w:tr>
      <w:tr w:rsidR="00835192" w:rsidRPr="00FF756A" w14:paraId="5D0CE4E2" w14:textId="77777777" w:rsidTr="004A3257">
        <w:trPr>
          <w:trHeight w:val="20"/>
        </w:trPr>
        <w:tc>
          <w:tcPr>
            <w:tcW w:w="4081" w:type="dxa"/>
            <w:gridSpan w:val="3"/>
            <w:shd w:val="clear" w:color="auto" w:fill="E2EFD9" w:themeFill="accent6" w:themeFillTint="33"/>
          </w:tcPr>
          <w:p w14:paraId="44926443"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91" w:type="dxa"/>
            <w:gridSpan w:val="3"/>
            <w:shd w:val="clear" w:color="auto" w:fill="E2EFD9" w:themeFill="accent6" w:themeFillTint="33"/>
          </w:tcPr>
          <w:p w14:paraId="3F1D2B24" w14:textId="77777777" w:rsidR="00835192" w:rsidRPr="00FF756A" w:rsidRDefault="00835192" w:rsidP="00835192">
            <w:pPr>
              <w:spacing w:before="20" w:after="20" w:line="240" w:lineRule="auto"/>
              <w:rPr>
                <w:i/>
                <w:iCs/>
                <w:sz w:val="20"/>
                <w:szCs w:val="20"/>
              </w:rPr>
            </w:pPr>
            <w:r w:rsidRPr="00FF756A">
              <w:rPr>
                <w:i/>
                <w:iCs/>
                <w:sz w:val="20"/>
                <w:szCs w:val="20"/>
              </w:rPr>
              <w:t>Bujqësia</w:t>
            </w:r>
          </w:p>
        </w:tc>
      </w:tr>
      <w:tr w:rsidR="00835192" w:rsidRPr="00FF756A" w14:paraId="431E49DD" w14:textId="77777777" w:rsidTr="004A3257">
        <w:trPr>
          <w:trHeight w:val="20"/>
        </w:trPr>
        <w:tc>
          <w:tcPr>
            <w:tcW w:w="3480" w:type="dxa"/>
            <w:gridSpan w:val="2"/>
          </w:tcPr>
          <w:p w14:paraId="52B5A604"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1DAEC138"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2" w:type="dxa"/>
            <w:gridSpan w:val="4"/>
          </w:tcPr>
          <w:p w14:paraId="54374C0C" w14:textId="77777777" w:rsidR="00835192" w:rsidRPr="00FF756A" w:rsidRDefault="00835192" w:rsidP="00835192">
            <w:pPr>
              <w:spacing w:before="20" w:after="20" w:line="240" w:lineRule="auto"/>
              <w:rPr>
                <w:i/>
                <w:iCs/>
                <w:sz w:val="20"/>
                <w:szCs w:val="20"/>
              </w:rPr>
            </w:pPr>
            <w:r w:rsidRPr="00FF756A">
              <w:rPr>
                <w:i/>
                <w:iCs/>
                <w:sz w:val="20"/>
                <w:szCs w:val="20"/>
              </w:rPr>
              <w:t>WEM</w:t>
            </w:r>
          </w:p>
          <w:p w14:paraId="686D45DE" w14:textId="77777777" w:rsidR="00835192" w:rsidRPr="00FF756A" w:rsidRDefault="00835192" w:rsidP="00835192">
            <w:pPr>
              <w:spacing w:before="20" w:after="20" w:line="240" w:lineRule="auto"/>
              <w:rPr>
                <w:i/>
                <w:iCs/>
                <w:sz w:val="20"/>
                <w:szCs w:val="20"/>
              </w:rPr>
            </w:pPr>
            <w:r w:rsidRPr="00FF756A">
              <w:rPr>
                <w:i/>
                <w:iCs/>
                <w:sz w:val="20"/>
                <w:szCs w:val="20"/>
              </w:rPr>
              <w:t>Rregullator; Financiar; Edukativ</w:t>
            </w:r>
          </w:p>
        </w:tc>
      </w:tr>
      <w:tr w:rsidR="00835192" w:rsidRPr="00FF756A" w14:paraId="2A0620B0" w14:textId="77777777" w:rsidTr="004A3257">
        <w:trPr>
          <w:trHeight w:val="20"/>
        </w:trPr>
        <w:tc>
          <w:tcPr>
            <w:tcW w:w="2198" w:type="dxa"/>
          </w:tcPr>
          <w:p w14:paraId="7C04728E"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51ABB888"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4" w:type="dxa"/>
            <w:gridSpan w:val="5"/>
          </w:tcPr>
          <w:p w14:paraId="43D3187E" w14:textId="77777777" w:rsidR="00835192" w:rsidRPr="00FF756A" w:rsidRDefault="00835192" w:rsidP="00835192">
            <w:pPr>
              <w:spacing w:before="20" w:after="20" w:line="240" w:lineRule="auto"/>
              <w:rPr>
                <w:i/>
                <w:iCs/>
                <w:sz w:val="20"/>
                <w:szCs w:val="20"/>
              </w:rPr>
            </w:pPr>
            <w:r w:rsidRPr="00FF756A">
              <w:rPr>
                <w:i/>
                <w:iCs/>
                <w:sz w:val="20"/>
                <w:szCs w:val="20"/>
              </w:rPr>
              <w:t>Promovimi i bujqësisë organike</w:t>
            </w:r>
          </w:p>
          <w:p w14:paraId="145F6082" w14:textId="77777777" w:rsidR="00835192" w:rsidRPr="00FF756A" w:rsidRDefault="00835192" w:rsidP="00835192">
            <w:pPr>
              <w:spacing w:before="20" w:after="20" w:line="240" w:lineRule="auto"/>
              <w:rPr>
                <w:i/>
                <w:iCs/>
                <w:sz w:val="20"/>
                <w:szCs w:val="20"/>
              </w:rPr>
            </w:pPr>
            <w:r w:rsidRPr="00FF756A">
              <w:rPr>
                <w:i/>
                <w:iCs/>
                <w:sz w:val="20"/>
                <w:szCs w:val="20"/>
              </w:rPr>
              <w:t>(G-A1)</w:t>
            </w:r>
          </w:p>
        </w:tc>
      </w:tr>
      <w:tr w:rsidR="00835192" w:rsidRPr="00FF756A" w14:paraId="09AF55C9" w14:textId="77777777" w:rsidTr="004A3257">
        <w:trPr>
          <w:trHeight w:val="20"/>
        </w:trPr>
        <w:tc>
          <w:tcPr>
            <w:tcW w:w="2198" w:type="dxa"/>
          </w:tcPr>
          <w:p w14:paraId="4820C206"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4" w:type="dxa"/>
            <w:gridSpan w:val="5"/>
          </w:tcPr>
          <w:p w14:paraId="2BC041F6" w14:textId="77777777" w:rsidR="00835192" w:rsidRPr="00FF756A" w:rsidRDefault="00835192" w:rsidP="00835192">
            <w:pPr>
              <w:spacing w:before="20" w:after="20" w:line="240" w:lineRule="auto"/>
              <w:rPr>
                <w:i/>
                <w:iCs/>
                <w:sz w:val="20"/>
                <w:szCs w:val="20"/>
              </w:rPr>
            </w:pPr>
            <w:r w:rsidRPr="00FF756A">
              <w:rPr>
                <w:i/>
                <w:iCs/>
                <w:sz w:val="20"/>
                <w:szCs w:val="20"/>
              </w:rPr>
              <w:t>2020 – 2030</w:t>
            </w:r>
          </w:p>
        </w:tc>
      </w:tr>
      <w:tr w:rsidR="00835192" w:rsidRPr="00FF756A" w14:paraId="37AB0BB8" w14:textId="77777777" w:rsidTr="004A3257">
        <w:trPr>
          <w:trHeight w:val="20"/>
        </w:trPr>
        <w:tc>
          <w:tcPr>
            <w:tcW w:w="2198" w:type="dxa"/>
          </w:tcPr>
          <w:p w14:paraId="267AA436"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4" w:type="dxa"/>
            <w:gridSpan w:val="5"/>
          </w:tcPr>
          <w:p w14:paraId="49FA7B31" w14:textId="77777777" w:rsidR="00835192" w:rsidRPr="00FF756A" w:rsidRDefault="00835192" w:rsidP="00835192">
            <w:pPr>
              <w:spacing w:before="20" w:after="20" w:line="240" w:lineRule="auto"/>
              <w:rPr>
                <w:i/>
                <w:iCs/>
                <w:sz w:val="20"/>
                <w:szCs w:val="20"/>
              </w:rPr>
            </w:pPr>
            <w:r w:rsidRPr="00FF756A">
              <w:rPr>
                <w:i/>
                <w:iCs/>
                <w:sz w:val="20"/>
                <w:szCs w:val="20"/>
              </w:rPr>
              <w:t>VKM nr. 709, datë 29.10.2014, “Për miratimin e SNZHRB - Strategjia Ndërsektoriale për Zhvillimin Rural dhe Bujqësor, 2014-2020”, e ndryshuar</w:t>
            </w:r>
          </w:p>
          <w:p w14:paraId="2954DCE5" w14:textId="77777777" w:rsidR="00835192" w:rsidRPr="00FF756A" w:rsidRDefault="008A279C" w:rsidP="00835192">
            <w:pPr>
              <w:spacing w:before="20" w:after="20" w:line="240" w:lineRule="auto"/>
              <w:rPr>
                <w:sz w:val="20"/>
                <w:szCs w:val="20"/>
              </w:rPr>
            </w:pPr>
            <w:hyperlink r:id="rId58" w:tgtFrame="_blank" w:history="1">
              <w:r w:rsidR="00835192" w:rsidRPr="00FF756A">
                <w:rPr>
                  <w:i/>
                  <w:iCs/>
                  <w:sz w:val="20"/>
                  <w:szCs w:val="20"/>
                </w:rPr>
                <w:t>VKM nr. 460, datë 29.6.2022, “Për miratimin e strategjisë së bujqësisë, zhvillimit rural dhe peshkimit 2021-2027”</w:t>
              </w:r>
            </w:hyperlink>
          </w:p>
        </w:tc>
      </w:tr>
      <w:tr w:rsidR="00835192" w:rsidRPr="00FF756A" w14:paraId="25674B83" w14:textId="77777777" w:rsidTr="004A3257">
        <w:trPr>
          <w:trHeight w:val="20"/>
        </w:trPr>
        <w:tc>
          <w:tcPr>
            <w:tcW w:w="2198" w:type="dxa"/>
          </w:tcPr>
          <w:p w14:paraId="37ED531B"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4" w:type="dxa"/>
            <w:gridSpan w:val="5"/>
          </w:tcPr>
          <w:p w14:paraId="269A14AB" w14:textId="77777777" w:rsidR="00835192" w:rsidRPr="00FF756A" w:rsidRDefault="00835192" w:rsidP="00835192">
            <w:pPr>
              <w:spacing w:before="20" w:after="20" w:line="240" w:lineRule="auto"/>
              <w:rPr>
                <w:i/>
                <w:iCs/>
                <w:sz w:val="20"/>
                <w:szCs w:val="20"/>
              </w:rPr>
            </w:pPr>
            <w:r w:rsidRPr="00FF756A">
              <w:rPr>
                <w:i/>
                <w:iCs/>
                <w:sz w:val="20"/>
                <w:szCs w:val="20"/>
              </w:rPr>
              <w:t xml:space="preserve">Nuk disponohen raporte lidhur me progresin, por dihet se </w:t>
            </w:r>
            <w:bookmarkStart w:id="353" w:name="_Hlk75522508"/>
            <w:r w:rsidRPr="00FF756A">
              <w:rPr>
                <w:i/>
                <w:iCs/>
                <w:sz w:val="20"/>
                <w:szCs w:val="20"/>
              </w:rPr>
              <w:t>Instrumenti IPA (IPARD</w:t>
            </w:r>
            <w:bookmarkEnd w:id="353"/>
            <w:r w:rsidRPr="00FF756A">
              <w:rPr>
                <w:i/>
                <w:iCs/>
                <w:sz w:val="20"/>
                <w:szCs w:val="20"/>
              </w:rPr>
              <w:t>) e mbështet këtë orientim (fermat organike).</w:t>
            </w:r>
          </w:p>
          <w:p w14:paraId="0017A025" w14:textId="6D020113" w:rsidR="00835192" w:rsidRPr="00FF756A" w:rsidRDefault="00835192" w:rsidP="00835192">
            <w:pPr>
              <w:spacing w:before="20" w:after="20" w:line="240" w:lineRule="auto"/>
              <w:rPr>
                <w:i/>
                <w:iCs/>
                <w:sz w:val="20"/>
                <w:szCs w:val="20"/>
              </w:rPr>
            </w:pPr>
            <w:r w:rsidRPr="00FF756A">
              <w:rPr>
                <w:i/>
                <w:iCs/>
                <w:sz w:val="20"/>
                <w:szCs w:val="20"/>
              </w:rPr>
              <w:t>Në total, masat agro-mjedisore, klimatike dhe ato të bujqësisë organike, sipas parashikimit në skemën IPARD II (2014-2020), kanë një buxhet indikativ prej 1,7 milionë euro dhe një kohë indikative nisjeje në 2018</w:t>
            </w:r>
            <w:r w:rsidR="00832F0F" w:rsidRPr="00FF756A">
              <w:rPr>
                <w:i/>
                <w:iCs/>
                <w:sz w:val="20"/>
                <w:szCs w:val="20"/>
              </w:rPr>
              <w:t>.</w:t>
            </w:r>
          </w:p>
        </w:tc>
      </w:tr>
      <w:tr w:rsidR="00835192" w:rsidRPr="00FF756A" w14:paraId="3EE0B223" w14:textId="77777777" w:rsidTr="004A3257">
        <w:trPr>
          <w:trHeight w:val="20"/>
        </w:trPr>
        <w:tc>
          <w:tcPr>
            <w:tcW w:w="2198" w:type="dxa"/>
          </w:tcPr>
          <w:p w14:paraId="06C8B08B"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4" w:type="dxa"/>
            <w:gridSpan w:val="5"/>
          </w:tcPr>
          <w:p w14:paraId="5C297E57" w14:textId="77777777" w:rsidR="00835192" w:rsidRPr="00FF756A" w:rsidRDefault="00835192" w:rsidP="00835192">
            <w:pPr>
              <w:spacing w:before="20" w:after="20" w:line="240" w:lineRule="auto"/>
              <w:rPr>
                <w:i/>
                <w:iCs/>
                <w:sz w:val="20"/>
                <w:szCs w:val="20"/>
              </w:rPr>
            </w:pPr>
            <w:r w:rsidRPr="00FF756A">
              <w:rPr>
                <w:i/>
                <w:iCs/>
                <w:sz w:val="20"/>
                <w:szCs w:val="20"/>
              </w:rPr>
              <w:t>Nxitja e fermave organike, rritja e përqindjes që zënë fermat organike në sektorin e bujqësisë dhe përmirësimi i metodave të plehërimit.</w:t>
            </w:r>
          </w:p>
        </w:tc>
      </w:tr>
      <w:tr w:rsidR="00835192" w:rsidRPr="00FF756A" w14:paraId="147BF25A" w14:textId="77777777" w:rsidTr="004A3257">
        <w:trPr>
          <w:trHeight w:val="20"/>
        </w:trPr>
        <w:tc>
          <w:tcPr>
            <w:tcW w:w="2198" w:type="dxa"/>
          </w:tcPr>
          <w:p w14:paraId="4D1EBD15"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4" w:type="dxa"/>
            <w:gridSpan w:val="5"/>
          </w:tcPr>
          <w:p w14:paraId="2F48BCB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Ulja e normës mesatare të plehërimit me 10% midis 2019 dhe 2030 dhe një reduktim me 50% i uresë së shpërndarë midis 2019 dhe 2030</w:t>
            </w:r>
          </w:p>
        </w:tc>
      </w:tr>
      <w:tr w:rsidR="00835192" w:rsidRPr="00FF756A" w14:paraId="6DAE3543" w14:textId="77777777" w:rsidTr="004A3257">
        <w:trPr>
          <w:trHeight w:val="20"/>
        </w:trPr>
        <w:tc>
          <w:tcPr>
            <w:tcW w:w="2198" w:type="dxa"/>
          </w:tcPr>
          <w:p w14:paraId="720D1992"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4" w:type="dxa"/>
            <w:gridSpan w:val="4"/>
          </w:tcPr>
          <w:p w14:paraId="7B9ADCB0" w14:textId="77777777" w:rsidR="00835192" w:rsidRPr="00FF756A" w:rsidRDefault="00835192" w:rsidP="00835192">
            <w:pPr>
              <w:spacing w:before="20" w:after="20" w:line="240" w:lineRule="auto"/>
              <w:rPr>
                <w:i/>
                <w:iCs/>
                <w:sz w:val="20"/>
                <w:szCs w:val="20"/>
              </w:rPr>
            </w:pPr>
            <w:r w:rsidRPr="00FF756A">
              <w:rPr>
                <w:i/>
                <w:iCs/>
                <w:sz w:val="20"/>
                <w:szCs w:val="20"/>
              </w:rPr>
              <w:t>Kuadri ligjor</w:t>
            </w:r>
          </w:p>
          <w:p w14:paraId="7F11467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Përmirësimi i kuadrit legjislativ për mbështetjen e bujqësisë organike me subvencione të synuara</w:t>
            </w:r>
          </w:p>
          <w:p w14:paraId="54C85CA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Krijimi i një procesi për mbledhjen e të dhënave për femrat organike dhe për sipërfaqen e shfrytëzuar për ferma organike për të vlerësuar dhe përshtatur politikat </w:t>
            </w:r>
          </w:p>
          <w:p w14:paraId="25975966" w14:textId="77777777" w:rsidR="00835192" w:rsidRPr="00FF756A" w:rsidRDefault="00835192" w:rsidP="00835192">
            <w:pPr>
              <w:spacing w:before="20" w:after="20" w:line="240" w:lineRule="auto"/>
              <w:rPr>
                <w:i/>
                <w:iCs/>
                <w:sz w:val="20"/>
                <w:szCs w:val="20"/>
              </w:rPr>
            </w:pPr>
            <w:r w:rsidRPr="00FF756A">
              <w:rPr>
                <w:i/>
                <w:iCs/>
                <w:sz w:val="20"/>
                <w:szCs w:val="20"/>
              </w:rPr>
              <w:t xml:space="preserve">Trajnimi dhe rritja e ndërgjegjësimit </w:t>
            </w:r>
          </w:p>
          <w:p w14:paraId="3A4D52A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Hartimi, botimi dhe shpërndarja e </w:t>
            </w:r>
            <w:bookmarkStart w:id="354" w:name="_Hlk75522548"/>
            <w:bookmarkStart w:id="355" w:name="_Hlk178086233"/>
            <w:r w:rsidRPr="00FF756A">
              <w:rPr>
                <w:i/>
                <w:iCs/>
                <w:sz w:val="20"/>
                <w:szCs w:val="20"/>
              </w:rPr>
              <w:t>Kodit të Politikave të Mira Bujqësore (PMB)</w:t>
            </w:r>
            <w:bookmarkEnd w:id="354"/>
            <w:r w:rsidRPr="00FF756A">
              <w:rPr>
                <w:i/>
                <w:iCs/>
                <w:sz w:val="20"/>
                <w:szCs w:val="20"/>
              </w:rPr>
              <w:t xml:space="preserve"> </w:t>
            </w:r>
          </w:p>
          <w:bookmarkEnd w:id="355"/>
          <w:p w14:paraId="4368BE23" w14:textId="77777777" w:rsidR="00835192" w:rsidRPr="00FF756A" w:rsidRDefault="00835192" w:rsidP="008639B2">
            <w:pPr>
              <w:numPr>
                <w:ilvl w:val="0"/>
                <w:numId w:val="71"/>
              </w:numPr>
              <w:spacing w:before="20" w:after="20" w:line="240" w:lineRule="auto"/>
              <w:contextualSpacing/>
            </w:pPr>
            <w:r w:rsidRPr="00FF756A">
              <w:rPr>
                <w:i/>
                <w:iCs/>
                <w:sz w:val="20"/>
                <w:szCs w:val="20"/>
              </w:rPr>
              <w:t>Trajnimi i fermerëve për zbatimin e Kodit të PMB-së</w:t>
            </w:r>
          </w:p>
        </w:tc>
        <w:tc>
          <w:tcPr>
            <w:tcW w:w="850" w:type="dxa"/>
          </w:tcPr>
          <w:p w14:paraId="24532D04"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2025</w:t>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p>
          <w:p w14:paraId="25F2C64D" w14:textId="77777777" w:rsidR="00835192" w:rsidRPr="00FF756A" w:rsidRDefault="00835192" w:rsidP="00835192">
            <w:pPr>
              <w:spacing w:before="20" w:after="20" w:line="240" w:lineRule="auto"/>
              <w:rPr>
                <w:i/>
                <w:sz w:val="20"/>
                <w:szCs w:val="20"/>
              </w:rPr>
            </w:pPr>
            <w:r w:rsidRPr="00FF756A">
              <w:rPr>
                <w:i/>
                <w:iCs/>
                <w:sz w:val="20"/>
                <w:szCs w:val="20"/>
              </w:rPr>
              <w:t>Nga viti 2024 e në vazhdim</w:t>
            </w:r>
          </w:p>
        </w:tc>
      </w:tr>
      <w:tr w:rsidR="00835192" w:rsidRPr="00FF756A" w14:paraId="705ED747" w14:textId="77777777" w:rsidTr="004A3257">
        <w:trPr>
          <w:trHeight w:val="20"/>
        </w:trPr>
        <w:tc>
          <w:tcPr>
            <w:tcW w:w="2198" w:type="dxa"/>
          </w:tcPr>
          <w:p w14:paraId="4F3E3B82"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4" w:type="dxa"/>
            <w:gridSpan w:val="5"/>
          </w:tcPr>
          <w:p w14:paraId="217DC0EC" w14:textId="4721144A" w:rsidR="00835192" w:rsidRPr="00FF756A" w:rsidRDefault="00835192" w:rsidP="00835192">
            <w:pPr>
              <w:spacing w:before="20" w:after="20" w:line="240" w:lineRule="auto"/>
              <w:rPr>
                <w:i/>
                <w:iCs/>
                <w:sz w:val="20"/>
                <w:szCs w:val="20"/>
              </w:rPr>
            </w:pPr>
            <w:r w:rsidRPr="00FF756A">
              <w:rPr>
                <w:i/>
                <w:iCs/>
                <w:sz w:val="20"/>
                <w:szCs w:val="20"/>
              </w:rPr>
              <w:t xml:space="preserve">Pas vitit 2020: Sipas Programit IPARD III 2021-2027 (në total 149 milionë euro, nga të cilat 122 milionë euro janë kontribut i BE-së), buxheti për masat agro-mjedisore, klimatike dhe ato të bujqësisë organike është 2,5 milionë euro.  IPARD III ofron gjithashtu buxhete për asistencë teknike (2,2 milionë euro) dhe shërbime këshillimore (2,9 milionë euro) pjesë e të cilave mund të përdoren për të mbuluar përpjekjet për zhvillimin e kuadrit, duke përfshirë trajnimin dhe rritjen e ndërgjegjësimit (shuma e përllogaritur: 150 000 euro). </w:t>
            </w:r>
            <w:hyperlink r:id="rId59" w:history="1">
              <w:r w:rsidR="00832F0F" w:rsidRPr="00FF756A">
                <w:rPr>
                  <w:rStyle w:val="Hyperlink"/>
                  <w:i/>
                  <w:iCs/>
                  <w:sz w:val="20"/>
                  <w:szCs w:val="20"/>
                </w:rPr>
                <w:t>https://ipard.gov.al/wp-content/uploads/2021/03/Programi-IPARD-III_2021-2027_English.pdf</w:t>
              </w:r>
            </w:hyperlink>
            <w:r w:rsidR="00832F0F" w:rsidRPr="00FF756A">
              <w:rPr>
                <w:i/>
                <w:iCs/>
                <w:sz w:val="20"/>
                <w:szCs w:val="20"/>
              </w:rPr>
              <w:t xml:space="preserve"> </w:t>
            </w:r>
          </w:p>
        </w:tc>
      </w:tr>
      <w:tr w:rsidR="00835192" w:rsidRPr="00FF756A" w14:paraId="5CDC03C5" w14:textId="77777777" w:rsidTr="004A3257">
        <w:trPr>
          <w:trHeight w:val="20"/>
        </w:trPr>
        <w:tc>
          <w:tcPr>
            <w:tcW w:w="2198" w:type="dxa"/>
          </w:tcPr>
          <w:p w14:paraId="0175ABD1"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1A4D2F7E"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4" w:type="dxa"/>
            <w:gridSpan w:val="5"/>
          </w:tcPr>
          <w:p w14:paraId="1E23C1F4" w14:textId="77777777" w:rsidR="00835192" w:rsidRPr="00FF756A" w:rsidRDefault="00835192" w:rsidP="00835192">
            <w:pPr>
              <w:spacing w:before="20" w:after="20" w:line="240" w:lineRule="auto"/>
              <w:rPr>
                <w:i/>
                <w:iCs/>
                <w:sz w:val="20"/>
                <w:szCs w:val="20"/>
              </w:rPr>
            </w:pPr>
            <w:r w:rsidRPr="00FF756A">
              <w:rPr>
                <w:i/>
                <w:iCs/>
                <w:sz w:val="20"/>
                <w:szCs w:val="20"/>
              </w:rPr>
              <w:t xml:space="preserve">Ministria e Bujqësisë dhe Zhvillimit Rural, Agjencia për Zhvillim Bujqësor dhe Rural </w:t>
            </w:r>
          </w:p>
          <w:p w14:paraId="5CD47010" w14:textId="77777777" w:rsidR="00835192" w:rsidRPr="00FF756A" w:rsidRDefault="00835192" w:rsidP="00835192">
            <w:pPr>
              <w:spacing w:before="20" w:after="20" w:line="240" w:lineRule="auto"/>
              <w:rPr>
                <w:i/>
                <w:iCs/>
                <w:sz w:val="20"/>
                <w:szCs w:val="20"/>
              </w:rPr>
            </w:pPr>
            <w:r w:rsidRPr="00FF756A">
              <w:rPr>
                <w:i/>
                <w:iCs/>
                <w:sz w:val="20"/>
                <w:szCs w:val="20"/>
              </w:rPr>
              <w:t xml:space="preserve">Agjencitë Rajonale të Ekstensionit Bujqësor </w:t>
            </w:r>
          </w:p>
        </w:tc>
      </w:tr>
      <w:tr w:rsidR="00835192" w:rsidRPr="00FF756A" w14:paraId="52BF4B6F" w14:textId="77777777" w:rsidTr="004A3257">
        <w:trPr>
          <w:trHeight w:val="20"/>
        </w:trPr>
        <w:tc>
          <w:tcPr>
            <w:tcW w:w="2198" w:type="dxa"/>
          </w:tcPr>
          <w:p w14:paraId="7F897893"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4" w:type="dxa"/>
            <w:gridSpan w:val="5"/>
          </w:tcPr>
          <w:p w14:paraId="57E3A1B4" w14:textId="77777777" w:rsidR="00835192" w:rsidRPr="00FF756A" w:rsidRDefault="00835192" w:rsidP="00835192">
            <w:pPr>
              <w:spacing w:before="20" w:after="20" w:line="240" w:lineRule="auto"/>
              <w:rPr>
                <w:i/>
                <w:iCs/>
                <w:sz w:val="20"/>
                <w:szCs w:val="20"/>
              </w:rPr>
            </w:pPr>
          </w:p>
        </w:tc>
      </w:tr>
    </w:tbl>
    <w:p w14:paraId="60EDD5B0"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1"/>
        <w:gridCol w:w="1281"/>
        <w:gridCol w:w="600"/>
        <w:gridCol w:w="428"/>
        <w:gridCol w:w="3702"/>
        <w:gridCol w:w="850"/>
      </w:tblGrid>
      <w:tr w:rsidR="00835192" w:rsidRPr="00FF756A" w14:paraId="7EA2426C" w14:textId="77777777" w:rsidTr="004A3257">
        <w:trPr>
          <w:trHeight w:val="20"/>
        </w:trPr>
        <w:tc>
          <w:tcPr>
            <w:tcW w:w="4516" w:type="dxa"/>
            <w:gridSpan w:val="4"/>
            <w:shd w:val="clear" w:color="auto" w:fill="E2EFD9" w:themeFill="accent6" w:themeFillTint="33"/>
          </w:tcPr>
          <w:p w14:paraId="1F2BA3FF"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56" w:type="dxa"/>
            <w:gridSpan w:val="2"/>
            <w:shd w:val="clear" w:color="auto" w:fill="E2EFD9" w:themeFill="accent6" w:themeFillTint="33"/>
          </w:tcPr>
          <w:p w14:paraId="683F260E" w14:textId="77777777" w:rsidR="00835192" w:rsidRPr="00FF756A" w:rsidRDefault="00835192" w:rsidP="008639B2">
            <w:pPr>
              <w:numPr>
                <w:ilvl w:val="0"/>
                <w:numId w:val="129"/>
              </w:numPr>
              <w:spacing w:before="20" w:after="20" w:line="240" w:lineRule="auto"/>
              <w:contextualSpacing/>
              <w:rPr>
                <w:i/>
                <w:iCs/>
                <w:sz w:val="20"/>
                <w:szCs w:val="20"/>
              </w:rPr>
            </w:pPr>
            <w:r w:rsidRPr="00FF756A">
              <w:rPr>
                <w:i/>
                <w:iCs/>
                <w:sz w:val="20"/>
                <w:szCs w:val="20"/>
              </w:rPr>
              <w:t>Dekarbonizimi</w:t>
            </w:r>
          </w:p>
          <w:p w14:paraId="59A3DEAC" w14:textId="020E2A91" w:rsidR="00835192" w:rsidRPr="00FF756A" w:rsidRDefault="00835192" w:rsidP="004A3257">
            <w:pPr>
              <w:spacing w:before="20" w:after="20" w:line="240" w:lineRule="auto"/>
              <w:contextualSpacing/>
              <w:rPr>
                <w:i/>
                <w:iCs/>
                <w:sz w:val="20"/>
                <w:szCs w:val="20"/>
              </w:rPr>
            </w:pPr>
            <w:r w:rsidRPr="00FF756A">
              <w:rPr>
                <w:i/>
                <w:iCs/>
                <w:sz w:val="20"/>
                <w:szCs w:val="20"/>
              </w:rPr>
              <w:t>Shkarkimet dhe eliminimi i GES-ve</w:t>
            </w:r>
          </w:p>
        </w:tc>
      </w:tr>
      <w:tr w:rsidR="00835192" w:rsidRPr="00FF756A" w14:paraId="4537E86B" w14:textId="77777777" w:rsidTr="004A3257">
        <w:trPr>
          <w:trHeight w:val="20"/>
        </w:trPr>
        <w:tc>
          <w:tcPr>
            <w:tcW w:w="4087" w:type="dxa"/>
            <w:gridSpan w:val="3"/>
            <w:shd w:val="clear" w:color="auto" w:fill="E2EFD9" w:themeFill="accent6" w:themeFillTint="33"/>
          </w:tcPr>
          <w:p w14:paraId="31DB368D"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85" w:type="dxa"/>
            <w:gridSpan w:val="3"/>
            <w:shd w:val="clear" w:color="auto" w:fill="E2EFD9" w:themeFill="accent6" w:themeFillTint="33"/>
          </w:tcPr>
          <w:p w14:paraId="41C888E1" w14:textId="77777777" w:rsidR="00835192" w:rsidRPr="00FF756A" w:rsidRDefault="00835192" w:rsidP="00835192">
            <w:pPr>
              <w:spacing w:before="20" w:after="20" w:line="240" w:lineRule="auto"/>
              <w:rPr>
                <w:i/>
                <w:iCs/>
                <w:sz w:val="20"/>
                <w:szCs w:val="20"/>
              </w:rPr>
            </w:pPr>
            <w:r w:rsidRPr="00FF756A">
              <w:rPr>
                <w:i/>
                <w:iCs/>
                <w:sz w:val="20"/>
                <w:szCs w:val="20"/>
              </w:rPr>
              <w:t>Bujqësia</w:t>
            </w:r>
          </w:p>
        </w:tc>
      </w:tr>
      <w:tr w:rsidR="00835192" w:rsidRPr="00FF756A" w14:paraId="0097B952" w14:textId="77777777" w:rsidTr="004A3257">
        <w:trPr>
          <w:trHeight w:val="20"/>
        </w:trPr>
        <w:tc>
          <w:tcPr>
            <w:tcW w:w="3486" w:type="dxa"/>
            <w:gridSpan w:val="2"/>
          </w:tcPr>
          <w:p w14:paraId="0CDC320E"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76790D1D"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Lloj i instrumentit</w:t>
            </w:r>
          </w:p>
        </w:tc>
        <w:tc>
          <w:tcPr>
            <w:tcW w:w="5586" w:type="dxa"/>
            <w:gridSpan w:val="4"/>
          </w:tcPr>
          <w:p w14:paraId="1CF8FD0F" w14:textId="77777777" w:rsidR="00835192" w:rsidRPr="00FF756A" w:rsidRDefault="00835192" w:rsidP="00835192">
            <w:pPr>
              <w:spacing w:before="20" w:after="20" w:line="240" w:lineRule="auto"/>
              <w:rPr>
                <w:i/>
                <w:iCs/>
                <w:sz w:val="20"/>
                <w:szCs w:val="20"/>
              </w:rPr>
            </w:pPr>
            <w:r w:rsidRPr="00FF756A">
              <w:rPr>
                <w:i/>
                <w:iCs/>
                <w:sz w:val="20"/>
                <w:szCs w:val="20"/>
              </w:rPr>
              <w:lastRenderedPageBreak/>
              <w:t>WEM</w:t>
            </w:r>
          </w:p>
          <w:p w14:paraId="1710F51B"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309B8F8F" w14:textId="77777777" w:rsidTr="004A3257">
        <w:trPr>
          <w:trHeight w:val="20"/>
        </w:trPr>
        <w:tc>
          <w:tcPr>
            <w:tcW w:w="2203" w:type="dxa"/>
          </w:tcPr>
          <w:p w14:paraId="57AD2E38"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Titulli i PM</w:t>
            </w:r>
          </w:p>
          <w:p w14:paraId="29D2F35D"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9" w:type="dxa"/>
            <w:gridSpan w:val="5"/>
          </w:tcPr>
          <w:p w14:paraId="1CCEEDA3" w14:textId="77777777" w:rsidR="00835192" w:rsidRPr="00FF756A" w:rsidRDefault="00835192" w:rsidP="00835192">
            <w:pPr>
              <w:spacing w:before="20" w:after="20" w:line="240" w:lineRule="auto"/>
              <w:rPr>
                <w:i/>
                <w:iCs/>
                <w:sz w:val="20"/>
                <w:szCs w:val="20"/>
              </w:rPr>
            </w:pPr>
            <w:r w:rsidRPr="00FF756A">
              <w:rPr>
                <w:i/>
                <w:iCs/>
                <w:sz w:val="20"/>
                <w:szCs w:val="20"/>
              </w:rPr>
              <w:t>Përmirësimi i monitorimit bujqësor në Shqipëri</w:t>
            </w:r>
          </w:p>
          <w:p w14:paraId="497F3831" w14:textId="77777777" w:rsidR="00835192" w:rsidRPr="00FF756A" w:rsidRDefault="00835192" w:rsidP="00835192">
            <w:pPr>
              <w:spacing w:before="20" w:after="20" w:line="240" w:lineRule="auto"/>
              <w:rPr>
                <w:i/>
                <w:iCs/>
                <w:sz w:val="20"/>
                <w:szCs w:val="20"/>
              </w:rPr>
            </w:pPr>
            <w:r w:rsidRPr="00FF756A">
              <w:rPr>
                <w:i/>
                <w:iCs/>
                <w:sz w:val="20"/>
                <w:szCs w:val="20"/>
              </w:rPr>
              <w:t>(G-A2)</w:t>
            </w:r>
          </w:p>
        </w:tc>
      </w:tr>
      <w:tr w:rsidR="00835192" w:rsidRPr="00FF756A" w14:paraId="7377CBD2" w14:textId="77777777" w:rsidTr="004A3257">
        <w:trPr>
          <w:trHeight w:val="20"/>
        </w:trPr>
        <w:tc>
          <w:tcPr>
            <w:tcW w:w="2203" w:type="dxa"/>
          </w:tcPr>
          <w:p w14:paraId="5ADF4008"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9" w:type="dxa"/>
            <w:gridSpan w:val="5"/>
          </w:tcPr>
          <w:p w14:paraId="41A86001" w14:textId="77777777" w:rsidR="00835192" w:rsidRPr="00FF756A" w:rsidRDefault="00835192" w:rsidP="00835192">
            <w:pPr>
              <w:spacing w:before="20" w:after="20" w:line="240" w:lineRule="auto"/>
              <w:rPr>
                <w:i/>
                <w:iCs/>
                <w:sz w:val="20"/>
                <w:szCs w:val="20"/>
              </w:rPr>
            </w:pPr>
            <w:r w:rsidRPr="00FF756A">
              <w:rPr>
                <w:i/>
                <w:iCs/>
                <w:sz w:val="20"/>
                <w:szCs w:val="20"/>
              </w:rPr>
              <w:t>2015 - vazhdim</w:t>
            </w:r>
          </w:p>
        </w:tc>
      </w:tr>
      <w:tr w:rsidR="00835192" w:rsidRPr="00FF756A" w14:paraId="728F4490" w14:textId="77777777" w:rsidTr="004A3257">
        <w:trPr>
          <w:trHeight w:val="20"/>
        </w:trPr>
        <w:tc>
          <w:tcPr>
            <w:tcW w:w="2203" w:type="dxa"/>
          </w:tcPr>
          <w:p w14:paraId="55D31FBD"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9" w:type="dxa"/>
            <w:gridSpan w:val="5"/>
          </w:tcPr>
          <w:p w14:paraId="197FCF9B" w14:textId="77777777" w:rsidR="00832F0F" w:rsidRPr="00FF756A" w:rsidRDefault="00835192" w:rsidP="00835192">
            <w:pPr>
              <w:spacing w:before="20" w:after="20" w:line="240" w:lineRule="auto"/>
              <w:rPr>
                <w:i/>
                <w:iCs/>
                <w:sz w:val="20"/>
                <w:szCs w:val="20"/>
              </w:rPr>
            </w:pPr>
            <w:r w:rsidRPr="00FF756A">
              <w:rPr>
                <w:i/>
                <w:iCs/>
                <w:sz w:val="20"/>
                <w:szCs w:val="20"/>
              </w:rPr>
              <w:t>VKM nr. 709, datë 29.10.2014, “Për miratimin e SNZHRB - Strategjia Ndërsektoriale për Zhvillimin Rural dhe Bujqësor, 2014-2020”, e ndryshuar;</w:t>
            </w:r>
            <w:r w:rsidR="00832F0F" w:rsidRPr="00FF756A">
              <w:rPr>
                <w:i/>
                <w:iCs/>
                <w:sz w:val="20"/>
                <w:szCs w:val="20"/>
              </w:rPr>
              <w:t xml:space="preserve"> </w:t>
            </w:r>
          </w:p>
          <w:p w14:paraId="1F757798" w14:textId="468C9012" w:rsidR="00835192" w:rsidRPr="00FF756A" w:rsidRDefault="00835192" w:rsidP="00835192">
            <w:pPr>
              <w:spacing w:before="20" w:after="20" w:line="240" w:lineRule="auto"/>
              <w:rPr>
                <w:i/>
                <w:iCs/>
                <w:sz w:val="20"/>
                <w:szCs w:val="20"/>
              </w:rPr>
            </w:pPr>
            <w:r w:rsidRPr="00FF756A">
              <w:rPr>
                <w:i/>
                <w:iCs/>
                <w:sz w:val="20"/>
                <w:szCs w:val="20"/>
              </w:rPr>
              <w:t>Ligji nr. 8244, datë 17.6.2004, “Për mbrojtjen e tokës bujqësore”, i ndryshuar</w:t>
            </w:r>
          </w:p>
          <w:p w14:paraId="7879C534" w14:textId="77777777" w:rsidR="00835192" w:rsidRPr="00FF756A" w:rsidRDefault="008A279C" w:rsidP="00835192">
            <w:pPr>
              <w:spacing w:before="20" w:after="20" w:line="240" w:lineRule="auto"/>
              <w:rPr>
                <w:i/>
                <w:iCs/>
                <w:sz w:val="20"/>
                <w:szCs w:val="20"/>
              </w:rPr>
            </w:pPr>
            <w:hyperlink r:id="rId60" w:tgtFrame="_blank" w:history="1">
              <w:r w:rsidR="00835192" w:rsidRPr="00FF756A">
                <w:rPr>
                  <w:i/>
                  <w:iCs/>
                  <w:sz w:val="20"/>
                  <w:szCs w:val="20"/>
                </w:rPr>
                <w:t>VKM nr. 460, datë 29.6.2022, “Për miratimin e strategjisë së bujqësisë, zhvillimit rural dhe peshkimit 2021-2027”</w:t>
              </w:r>
            </w:hyperlink>
          </w:p>
        </w:tc>
      </w:tr>
      <w:tr w:rsidR="00835192" w:rsidRPr="00FF756A" w14:paraId="7D63B23C" w14:textId="77777777" w:rsidTr="004A3257">
        <w:trPr>
          <w:trHeight w:val="20"/>
        </w:trPr>
        <w:tc>
          <w:tcPr>
            <w:tcW w:w="2203" w:type="dxa"/>
          </w:tcPr>
          <w:p w14:paraId="7D463F12"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9" w:type="dxa"/>
            <w:gridSpan w:val="5"/>
          </w:tcPr>
          <w:p w14:paraId="0AEE9200" w14:textId="77777777" w:rsidR="00835192" w:rsidRPr="00FF756A" w:rsidRDefault="00835192" w:rsidP="00835192">
            <w:pPr>
              <w:spacing w:before="20" w:after="20" w:line="240" w:lineRule="auto"/>
              <w:rPr>
                <w:i/>
                <w:iCs/>
                <w:sz w:val="20"/>
                <w:szCs w:val="20"/>
              </w:rPr>
            </w:pPr>
            <w:r w:rsidRPr="00FF756A">
              <w:rPr>
                <w:i/>
                <w:iCs/>
                <w:sz w:val="20"/>
                <w:szCs w:val="20"/>
              </w:rPr>
              <w:t>Nuk disponohen raporte lidhur me progresin.</w:t>
            </w:r>
          </w:p>
        </w:tc>
      </w:tr>
      <w:tr w:rsidR="00835192" w:rsidRPr="00FF756A" w14:paraId="29FE40A5" w14:textId="77777777" w:rsidTr="004A3257">
        <w:trPr>
          <w:trHeight w:val="20"/>
        </w:trPr>
        <w:tc>
          <w:tcPr>
            <w:tcW w:w="2203" w:type="dxa"/>
          </w:tcPr>
          <w:p w14:paraId="74B99663"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9" w:type="dxa"/>
            <w:gridSpan w:val="5"/>
          </w:tcPr>
          <w:p w14:paraId="0ECB5811" w14:textId="77777777" w:rsidR="00835192" w:rsidRPr="00FF756A" w:rsidRDefault="00835192" w:rsidP="00835192">
            <w:pPr>
              <w:spacing w:before="20" w:after="20" w:line="240" w:lineRule="auto"/>
              <w:rPr>
                <w:i/>
                <w:iCs/>
                <w:sz w:val="20"/>
                <w:szCs w:val="20"/>
              </w:rPr>
            </w:pPr>
            <w:r w:rsidRPr="00FF756A">
              <w:rPr>
                <w:i/>
                <w:iCs/>
                <w:sz w:val="20"/>
                <w:szCs w:val="20"/>
              </w:rPr>
              <w:t>Ngritja e një mekanizmi të përhershëm kombëtar të monitorimit të tokave dhe aktiviteteve bujqësore në lidhje me shkarkimet e GES-ve.</w:t>
            </w:r>
          </w:p>
        </w:tc>
      </w:tr>
      <w:tr w:rsidR="00835192" w:rsidRPr="00FF756A" w14:paraId="3D08E351" w14:textId="77777777" w:rsidTr="004A3257">
        <w:trPr>
          <w:trHeight w:val="20"/>
        </w:trPr>
        <w:tc>
          <w:tcPr>
            <w:tcW w:w="2203" w:type="dxa"/>
          </w:tcPr>
          <w:p w14:paraId="1A02C3D3"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9" w:type="dxa"/>
            <w:gridSpan w:val="5"/>
          </w:tcPr>
          <w:p w14:paraId="771F2CD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Krijimi i një regjistri kombëtar nën kujdesin e </w:t>
            </w:r>
            <w:bookmarkStart w:id="356" w:name="_Hlk75522591"/>
            <w:r w:rsidRPr="00FF756A">
              <w:rPr>
                <w:i/>
                <w:iCs/>
                <w:sz w:val="20"/>
                <w:szCs w:val="20"/>
              </w:rPr>
              <w:t>INSTAT</w:t>
            </w:r>
            <w:bookmarkEnd w:id="356"/>
            <w:r w:rsidRPr="00FF756A">
              <w:rPr>
                <w:i/>
                <w:iCs/>
                <w:sz w:val="20"/>
                <w:szCs w:val="20"/>
              </w:rPr>
              <w:t xml:space="preserve"> në periudhën 2025-2030</w:t>
            </w:r>
          </w:p>
          <w:p w14:paraId="0209623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Trajnimi i personelit të bashkive, fermerëve etj.</w:t>
            </w:r>
          </w:p>
        </w:tc>
      </w:tr>
      <w:tr w:rsidR="00835192" w:rsidRPr="00FF756A" w14:paraId="3443C783" w14:textId="77777777" w:rsidTr="004A3257">
        <w:trPr>
          <w:trHeight w:val="20"/>
        </w:trPr>
        <w:tc>
          <w:tcPr>
            <w:tcW w:w="2203" w:type="dxa"/>
          </w:tcPr>
          <w:p w14:paraId="19057B63"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9" w:type="dxa"/>
            <w:gridSpan w:val="4"/>
          </w:tcPr>
          <w:p w14:paraId="025B511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Mbështetja financiare (kryesisht përmes instrumentit IPARD)</w:t>
            </w:r>
          </w:p>
          <w:p w14:paraId="0442CE2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Përmirësimi i kuadrit legjislativ lidhur me metodologjinë e monitorimit.</w:t>
            </w:r>
          </w:p>
        </w:tc>
        <w:tc>
          <w:tcPr>
            <w:tcW w:w="850" w:type="dxa"/>
          </w:tcPr>
          <w:p w14:paraId="11EC60A1" w14:textId="77777777" w:rsidR="00835192" w:rsidRPr="00FF756A" w:rsidRDefault="00835192" w:rsidP="00835192">
            <w:pPr>
              <w:spacing w:before="20" w:after="20" w:line="240" w:lineRule="auto"/>
              <w:rPr>
                <w:i/>
                <w:sz w:val="20"/>
                <w:szCs w:val="20"/>
              </w:rPr>
            </w:pPr>
            <w:r w:rsidRPr="00FF756A">
              <w:rPr>
                <w:i/>
                <w:iCs/>
                <w:sz w:val="20"/>
                <w:szCs w:val="20"/>
              </w:rPr>
              <w:t>brenda vitit 2030</w:t>
            </w:r>
          </w:p>
        </w:tc>
      </w:tr>
      <w:tr w:rsidR="00835192" w:rsidRPr="00FF756A" w14:paraId="42DABF8F" w14:textId="77777777" w:rsidTr="004A3257">
        <w:trPr>
          <w:trHeight w:val="20"/>
        </w:trPr>
        <w:tc>
          <w:tcPr>
            <w:tcW w:w="2203" w:type="dxa"/>
          </w:tcPr>
          <w:p w14:paraId="2749BEAD"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9" w:type="dxa"/>
            <w:gridSpan w:val="5"/>
          </w:tcPr>
          <w:p w14:paraId="5324B904" w14:textId="77777777" w:rsidR="00835192" w:rsidRPr="00FF756A" w:rsidRDefault="00835192" w:rsidP="00835192">
            <w:pPr>
              <w:spacing w:before="20" w:after="20" w:line="240" w:lineRule="auto"/>
              <w:rPr>
                <w:i/>
                <w:iCs/>
                <w:sz w:val="20"/>
                <w:szCs w:val="20"/>
              </w:rPr>
            </w:pPr>
            <w:r w:rsidRPr="00FF756A">
              <w:rPr>
                <w:i/>
                <w:iCs/>
                <w:sz w:val="20"/>
                <w:szCs w:val="20"/>
              </w:rPr>
              <w:t>Për këtë PM nuk është identifikuar buxhet i posaçëm. Programi IPARD III 2021-2027 ofron gjithashtu buxhete për asistencë teknike (2,2 milionë euro) dhe shërbime këshillimore (2,9 milionë euro) pjesë e të cilave mund të përdoret për të mbuluar këtë PM. Përpjekjet për zhvillimin e kuadrit, duke përfshirë masat e trajnimit vlerësohen në 150 000 euro. https://ipard.gov.al/wp-content/uploads/2021/03/Programi-IPARD-III_2021-2027_English.pdf</w:t>
            </w:r>
          </w:p>
        </w:tc>
      </w:tr>
      <w:tr w:rsidR="00835192" w:rsidRPr="00FF756A" w14:paraId="10129135" w14:textId="77777777" w:rsidTr="004A3257">
        <w:trPr>
          <w:trHeight w:val="20"/>
        </w:trPr>
        <w:tc>
          <w:tcPr>
            <w:tcW w:w="2203" w:type="dxa"/>
          </w:tcPr>
          <w:p w14:paraId="5CF39EB9"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091D0DE1"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9" w:type="dxa"/>
            <w:gridSpan w:val="5"/>
          </w:tcPr>
          <w:p w14:paraId="3AAA2F14" w14:textId="77777777" w:rsidR="00835192" w:rsidRPr="00FF756A" w:rsidRDefault="00835192" w:rsidP="00835192">
            <w:pPr>
              <w:spacing w:before="20" w:after="20" w:line="240" w:lineRule="auto"/>
              <w:rPr>
                <w:i/>
                <w:iCs/>
                <w:sz w:val="20"/>
                <w:szCs w:val="20"/>
              </w:rPr>
            </w:pPr>
            <w:r w:rsidRPr="00FF756A">
              <w:rPr>
                <w:i/>
                <w:iCs/>
                <w:sz w:val="20"/>
                <w:szCs w:val="20"/>
              </w:rPr>
              <w:t>Ministria e Bujqësisë dhe Zhvillimit Rural; INSTAT</w:t>
            </w:r>
          </w:p>
          <w:p w14:paraId="2DDCF0E7" w14:textId="77777777" w:rsidR="00835192" w:rsidRPr="00FF756A" w:rsidRDefault="00835192" w:rsidP="00835192">
            <w:pPr>
              <w:spacing w:before="20" w:after="20" w:line="240" w:lineRule="auto"/>
              <w:rPr>
                <w:i/>
                <w:iCs/>
                <w:sz w:val="20"/>
                <w:szCs w:val="20"/>
              </w:rPr>
            </w:pPr>
            <w:r w:rsidRPr="00FF756A">
              <w:rPr>
                <w:i/>
                <w:iCs/>
                <w:sz w:val="20"/>
                <w:szCs w:val="20"/>
              </w:rPr>
              <w:t>(INSTAT; Agjencitë Rajonale të Ekstensionit Bujqësor)</w:t>
            </w:r>
          </w:p>
        </w:tc>
      </w:tr>
      <w:tr w:rsidR="00835192" w:rsidRPr="00FF756A" w14:paraId="35C5C55C" w14:textId="77777777" w:rsidTr="004A3257">
        <w:trPr>
          <w:trHeight w:val="20"/>
        </w:trPr>
        <w:tc>
          <w:tcPr>
            <w:tcW w:w="2203" w:type="dxa"/>
          </w:tcPr>
          <w:p w14:paraId="33595614"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9" w:type="dxa"/>
            <w:gridSpan w:val="5"/>
          </w:tcPr>
          <w:p w14:paraId="0547FD1C" w14:textId="77777777" w:rsidR="00835192" w:rsidRPr="00FF756A" w:rsidRDefault="00835192" w:rsidP="00835192">
            <w:pPr>
              <w:spacing w:before="20" w:after="20" w:line="240" w:lineRule="auto"/>
              <w:rPr>
                <w:i/>
                <w:iCs/>
                <w:sz w:val="20"/>
                <w:szCs w:val="20"/>
              </w:rPr>
            </w:pPr>
          </w:p>
        </w:tc>
      </w:tr>
    </w:tbl>
    <w:p w14:paraId="7F311802"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5"/>
        <w:gridCol w:w="1272"/>
        <w:gridCol w:w="596"/>
        <w:gridCol w:w="426"/>
        <w:gridCol w:w="3690"/>
        <w:gridCol w:w="883"/>
      </w:tblGrid>
      <w:tr w:rsidR="00835192" w:rsidRPr="00FF756A" w14:paraId="60D02E2D" w14:textId="77777777" w:rsidTr="004A3257">
        <w:trPr>
          <w:trHeight w:val="20"/>
        </w:trPr>
        <w:tc>
          <w:tcPr>
            <w:tcW w:w="4516" w:type="dxa"/>
            <w:gridSpan w:val="4"/>
            <w:shd w:val="clear" w:color="auto" w:fill="E2EFD9" w:themeFill="accent6" w:themeFillTint="33"/>
          </w:tcPr>
          <w:p w14:paraId="197310C5"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56" w:type="dxa"/>
            <w:gridSpan w:val="2"/>
            <w:shd w:val="clear" w:color="auto" w:fill="E2EFD9" w:themeFill="accent6" w:themeFillTint="33"/>
          </w:tcPr>
          <w:p w14:paraId="6E571BC6" w14:textId="77777777" w:rsidR="00835192" w:rsidRPr="00FF756A" w:rsidRDefault="00835192" w:rsidP="008639B2">
            <w:pPr>
              <w:numPr>
                <w:ilvl w:val="0"/>
                <w:numId w:val="128"/>
              </w:numPr>
              <w:spacing w:before="20" w:after="20" w:line="240" w:lineRule="auto"/>
              <w:contextualSpacing/>
              <w:rPr>
                <w:i/>
                <w:iCs/>
                <w:sz w:val="20"/>
                <w:szCs w:val="20"/>
              </w:rPr>
            </w:pPr>
            <w:r w:rsidRPr="00FF756A">
              <w:rPr>
                <w:i/>
                <w:iCs/>
                <w:sz w:val="20"/>
                <w:szCs w:val="20"/>
              </w:rPr>
              <w:t>Dekarbonizimi</w:t>
            </w:r>
          </w:p>
          <w:p w14:paraId="1ED15C57" w14:textId="77777777" w:rsidR="00835192" w:rsidRPr="00FF756A" w:rsidRDefault="00835192" w:rsidP="008639B2">
            <w:pPr>
              <w:numPr>
                <w:ilvl w:val="1"/>
                <w:numId w:val="128"/>
              </w:numPr>
              <w:spacing w:before="20" w:after="20" w:line="240" w:lineRule="auto"/>
              <w:contextualSpacing/>
              <w:rPr>
                <w:i/>
                <w:iCs/>
                <w:sz w:val="20"/>
                <w:szCs w:val="20"/>
              </w:rPr>
            </w:pPr>
            <w:r w:rsidRPr="00FF756A">
              <w:rPr>
                <w:i/>
                <w:iCs/>
                <w:sz w:val="20"/>
                <w:szCs w:val="20"/>
              </w:rPr>
              <w:tab/>
              <w:t>Shkarkimet dhe eliminimi i GES-ve</w:t>
            </w:r>
          </w:p>
        </w:tc>
      </w:tr>
      <w:tr w:rsidR="00835192" w:rsidRPr="00FF756A" w14:paraId="12EABECD" w14:textId="77777777" w:rsidTr="004A3257">
        <w:trPr>
          <w:trHeight w:val="20"/>
        </w:trPr>
        <w:tc>
          <w:tcPr>
            <w:tcW w:w="4087" w:type="dxa"/>
            <w:gridSpan w:val="3"/>
            <w:shd w:val="clear" w:color="auto" w:fill="E2EFD9" w:themeFill="accent6" w:themeFillTint="33"/>
          </w:tcPr>
          <w:p w14:paraId="2D885382"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85" w:type="dxa"/>
            <w:gridSpan w:val="3"/>
            <w:shd w:val="clear" w:color="auto" w:fill="E2EFD9" w:themeFill="accent6" w:themeFillTint="33"/>
          </w:tcPr>
          <w:p w14:paraId="61F86FED" w14:textId="77777777" w:rsidR="00835192" w:rsidRPr="00FF756A" w:rsidRDefault="00835192" w:rsidP="00835192">
            <w:pPr>
              <w:spacing w:before="20" w:after="20" w:line="240" w:lineRule="auto"/>
              <w:rPr>
                <w:i/>
                <w:iCs/>
                <w:sz w:val="20"/>
                <w:szCs w:val="20"/>
              </w:rPr>
            </w:pPr>
            <w:r w:rsidRPr="00FF756A">
              <w:rPr>
                <w:i/>
                <w:iCs/>
                <w:sz w:val="20"/>
                <w:szCs w:val="20"/>
              </w:rPr>
              <w:t>Bujqësia</w:t>
            </w:r>
          </w:p>
        </w:tc>
      </w:tr>
      <w:tr w:rsidR="00835192" w:rsidRPr="00FF756A" w14:paraId="3F985CE2" w14:textId="77777777" w:rsidTr="004A3257">
        <w:trPr>
          <w:trHeight w:val="20"/>
        </w:trPr>
        <w:tc>
          <w:tcPr>
            <w:tcW w:w="3486" w:type="dxa"/>
            <w:gridSpan w:val="2"/>
          </w:tcPr>
          <w:p w14:paraId="52A680EF"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58AD2F15"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6" w:type="dxa"/>
            <w:gridSpan w:val="4"/>
          </w:tcPr>
          <w:p w14:paraId="06F425CE" w14:textId="77777777" w:rsidR="00835192" w:rsidRPr="00FF756A" w:rsidRDefault="00835192" w:rsidP="00835192">
            <w:pPr>
              <w:spacing w:before="20" w:after="20" w:line="240" w:lineRule="auto"/>
              <w:rPr>
                <w:i/>
                <w:iCs/>
                <w:sz w:val="20"/>
                <w:szCs w:val="20"/>
              </w:rPr>
            </w:pPr>
            <w:r w:rsidRPr="00FF756A">
              <w:rPr>
                <w:i/>
                <w:iCs/>
                <w:sz w:val="20"/>
                <w:szCs w:val="20"/>
              </w:rPr>
              <w:t>WEM</w:t>
            </w:r>
          </w:p>
          <w:p w14:paraId="5F5AF5E6" w14:textId="77777777" w:rsidR="00835192" w:rsidRPr="00FF756A" w:rsidRDefault="00835192" w:rsidP="00835192">
            <w:pPr>
              <w:spacing w:before="20" w:after="20" w:line="240" w:lineRule="auto"/>
              <w:rPr>
                <w:i/>
                <w:iCs/>
                <w:sz w:val="20"/>
                <w:szCs w:val="20"/>
              </w:rPr>
            </w:pPr>
            <w:r w:rsidRPr="00FF756A">
              <w:rPr>
                <w:i/>
                <w:iCs/>
                <w:sz w:val="20"/>
                <w:szCs w:val="20"/>
              </w:rPr>
              <w:t>Rregullator; Edukativ</w:t>
            </w:r>
          </w:p>
        </w:tc>
      </w:tr>
      <w:tr w:rsidR="00835192" w:rsidRPr="00FF756A" w14:paraId="5774FF69" w14:textId="77777777" w:rsidTr="004A3257">
        <w:trPr>
          <w:trHeight w:val="20"/>
        </w:trPr>
        <w:tc>
          <w:tcPr>
            <w:tcW w:w="2203" w:type="dxa"/>
          </w:tcPr>
          <w:p w14:paraId="53302C42"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7A1EB7DD"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9" w:type="dxa"/>
            <w:gridSpan w:val="5"/>
          </w:tcPr>
          <w:p w14:paraId="07809BF7" w14:textId="77777777" w:rsidR="00835192" w:rsidRPr="00FF756A" w:rsidRDefault="00835192" w:rsidP="00835192">
            <w:pPr>
              <w:spacing w:before="20" w:after="20" w:line="240" w:lineRule="auto"/>
              <w:rPr>
                <w:i/>
                <w:iCs/>
                <w:sz w:val="20"/>
                <w:szCs w:val="20"/>
              </w:rPr>
            </w:pPr>
            <w:r w:rsidRPr="00FF756A">
              <w:rPr>
                <w:i/>
                <w:iCs/>
                <w:sz w:val="20"/>
                <w:szCs w:val="20"/>
              </w:rPr>
              <w:t>Rregullimi i praktikave të djegies në bujqësi</w:t>
            </w:r>
          </w:p>
          <w:p w14:paraId="6BEBFDD0" w14:textId="77777777" w:rsidR="00835192" w:rsidRPr="00FF756A" w:rsidRDefault="00835192" w:rsidP="00835192">
            <w:pPr>
              <w:spacing w:before="20" w:after="20" w:line="240" w:lineRule="auto"/>
              <w:rPr>
                <w:i/>
                <w:iCs/>
                <w:sz w:val="20"/>
                <w:szCs w:val="20"/>
              </w:rPr>
            </w:pPr>
            <w:r w:rsidRPr="00FF756A">
              <w:rPr>
                <w:i/>
                <w:iCs/>
                <w:sz w:val="20"/>
                <w:szCs w:val="20"/>
              </w:rPr>
              <w:t>(G-A3)</w:t>
            </w:r>
          </w:p>
        </w:tc>
      </w:tr>
      <w:tr w:rsidR="00835192" w:rsidRPr="00FF756A" w14:paraId="01D34D6D" w14:textId="77777777" w:rsidTr="004A3257">
        <w:trPr>
          <w:trHeight w:val="20"/>
        </w:trPr>
        <w:tc>
          <w:tcPr>
            <w:tcW w:w="2203" w:type="dxa"/>
          </w:tcPr>
          <w:p w14:paraId="3E7739E2"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9" w:type="dxa"/>
            <w:gridSpan w:val="5"/>
          </w:tcPr>
          <w:p w14:paraId="7EF46BAA" w14:textId="77777777" w:rsidR="00835192" w:rsidRPr="00FF756A" w:rsidRDefault="00835192" w:rsidP="00835192">
            <w:pPr>
              <w:spacing w:before="20" w:after="20" w:line="240" w:lineRule="auto"/>
              <w:rPr>
                <w:i/>
                <w:iCs/>
                <w:sz w:val="20"/>
                <w:szCs w:val="20"/>
              </w:rPr>
            </w:pPr>
            <w:r w:rsidRPr="00FF756A">
              <w:rPr>
                <w:i/>
                <w:iCs/>
                <w:sz w:val="20"/>
                <w:szCs w:val="20"/>
              </w:rPr>
              <w:t>2019 - vazhdim</w:t>
            </w:r>
          </w:p>
        </w:tc>
      </w:tr>
      <w:tr w:rsidR="00835192" w:rsidRPr="00FF756A" w14:paraId="5A682335" w14:textId="77777777" w:rsidTr="004A3257">
        <w:trPr>
          <w:trHeight w:val="20"/>
        </w:trPr>
        <w:tc>
          <w:tcPr>
            <w:tcW w:w="2203" w:type="dxa"/>
          </w:tcPr>
          <w:p w14:paraId="224DFB08"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9" w:type="dxa"/>
            <w:gridSpan w:val="5"/>
          </w:tcPr>
          <w:p w14:paraId="24A430BC" w14:textId="77777777" w:rsidR="00835192" w:rsidRPr="00FF756A" w:rsidRDefault="00835192" w:rsidP="00835192">
            <w:pPr>
              <w:spacing w:before="20" w:after="20" w:line="240" w:lineRule="auto"/>
              <w:rPr>
                <w:i/>
                <w:iCs/>
                <w:sz w:val="20"/>
                <w:szCs w:val="20"/>
              </w:rPr>
            </w:pPr>
            <w:r w:rsidRPr="00FF756A">
              <w:rPr>
                <w:i/>
                <w:iCs/>
                <w:sz w:val="20"/>
                <w:szCs w:val="20"/>
              </w:rPr>
              <w:t xml:space="preserve">VKM nr. 709, datë 29.10.2014, “Për miratimin e SNZHRB - Strategjia Ndërsektoriale për Zhvillimin Rural dhe Bujqësor, 2014-2020”, i ndryshuar. </w:t>
            </w:r>
            <w:hyperlink r:id="rId61" w:tgtFrame="_blank" w:history="1">
              <w:r w:rsidRPr="00FF756A">
                <w:rPr>
                  <w:i/>
                  <w:iCs/>
                  <w:sz w:val="20"/>
                  <w:szCs w:val="20"/>
                </w:rPr>
                <w:t>VKM nr. 460, datë 29.6.2022, “Për miratimin e strategjisë së bujqësisë, zhvillimit rural dhe peshkimit 2021-2027”</w:t>
              </w:r>
            </w:hyperlink>
            <w:r w:rsidRPr="00FF756A">
              <w:rPr>
                <w:i/>
                <w:iCs/>
                <w:sz w:val="20"/>
                <w:szCs w:val="20"/>
              </w:rPr>
              <w:t>.</w:t>
            </w:r>
          </w:p>
          <w:p w14:paraId="49EE6A12" w14:textId="77777777" w:rsidR="00835192" w:rsidRPr="00FF756A" w:rsidRDefault="00835192" w:rsidP="00835192">
            <w:pPr>
              <w:spacing w:before="20" w:after="20" w:line="240" w:lineRule="auto"/>
              <w:rPr>
                <w:i/>
                <w:iCs/>
                <w:sz w:val="20"/>
                <w:szCs w:val="20"/>
              </w:rPr>
            </w:pPr>
            <w:r w:rsidRPr="00FF756A">
              <w:rPr>
                <w:i/>
                <w:iCs/>
                <w:sz w:val="20"/>
                <w:szCs w:val="20"/>
              </w:rPr>
              <w:t xml:space="preserve">Ligji nr. 8244, datë 17.6.2004, “Për mbrojtjen e tokës bujqësore”. VKM nr. 608, datë 17.9.2014: “Për përcaktimin e masave të nevojshme për grumbullimin dhe trajtimin e mbetjeve bio”. </w:t>
            </w:r>
          </w:p>
        </w:tc>
      </w:tr>
      <w:tr w:rsidR="00835192" w:rsidRPr="00FF756A" w14:paraId="604363DD" w14:textId="77777777" w:rsidTr="004A3257">
        <w:trPr>
          <w:trHeight w:val="20"/>
        </w:trPr>
        <w:tc>
          <w:tcPr>
            <w:tcW w:w="2203" w:type="dxa"/>
          </w:tcPr>
          <w:p w14:paraId="681B8CF5"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9" w:type="dxa"/>
            <w:gridSpan w:val="5"/>
          </w:tcPr>
          <w:p w14:paraId="03FB71A4" w14:textId="77777777" w:rsidR="00835192" w:rsidRPr="00FF756A" w:rsidRDefault="00835192" w:rsidP="00835192">
            <w:pPr>
              <w:spacing w:before="20" w:after="20" w:line="240" w:lineRule="auto"/>
              <w:rPr>
                <w:i/>
                <w:iCs/>
                <w:sz w:val="20"/>
                <w:szCs w:val="20"/>
              </w:rPr>
            </w:pPr>
            <w:r w:rsidRPr="00FF756A">
              <w:rPr>
                <w:i/>
                <w:iCs/>
                <w:sz w:val="20"/>
                <w:szCs w:val="20"/>
              </w:rPr>
              <w:t>Nuk disponohen raporte lidhur me progresin.</w:t>
            </w:r>
          </w:p>
        </w:tc>
      </w:tr>
      <w:tr w:rsidR="00835192" w:rsidRPr="00FF756A" w14:paraId="7898EAA7" w14:textId="77777777" w:rsidTr="004A3257">
        <w:trPr>
          <w:trHeight w:val="20"/>
        </w:trPr>
        <w:tc>
          <w:tcPr>
            <w:tcW w:w="2203" w:type="dxa"/>
          </w:tcPr>
          <w:p w14:paraId="145AF379"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9" w:type="dxa"/>
            <w:gridSpan w:val="5"/>
          </w:tcPr>
          <w:p w14:paraId="003B28CD" w14:textId="77777777" w:rsidR="00835192" w:rsidRPr="00FF756A" w:rsidRDefault="00835192" w:rsidP="00835192">
            <w:pPr>
              <w:spacing w:before="20" w:after="20" w:line="240" w:lineRule="auto"/>
              <w:rPr>
                <w:i/>
                <w:iCs/>
                <w:sz w:val="20"/>
                <w:szCs w:val="20"/>
              </w:rPr>
            </w:pPr>
            <w:r w:rsidRPr="00FF756A">
              <w:rPr>
                <w:i/>
                <w:iCs/>
                <w:sz w:val="20"/>
                <w:szCs w:val="20"/>
              </w:rPr>
              <w:t>Ndalimi i djegies së mbetjeve bujqësore në mjedise të hapura.</w:t>
            </w:r>
          </w:p>
        </w:tc>
      </w:tr>
      <w:tr w:rsidR="00835192" w:rsidRPr="00FF756A" w14:paraId="5E215656" w14:textId="77777777" w:rsidTr="004A3257">
        <w:trPr>
          <w:trHeight w:val="20"/>
        </w:trPr>
        <w:tc>
          <w:tcPr>
            <w:tcW w:w="2203" w:type="dxa"/>
          </w:tcPr>
          <w:p w14:paraId="1D6F12FD"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9" w:type="dxa"/>
            <w:gridSpan w:val="5"/>
          </w:tcPr>
          <w:p w14:paraId="4938419C"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Reduktim i shkarkimeve si rezultat i djegies së mbetjeve bujqësore</w:t>
            </w:r>
          </w:p>
          <w:p w14:paraId="0E39E560"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Trajnimi i fermerëve etj.</w:t>
            </w:r>
          </w:p>
        </w:tc>
      </w:tr>
      <w:tr w:rsidR="00835192" w:rsidRPr="00FF756A" w14:paraId="720A1B97" w14:textId="77777777" w:rsidTr="004A3257">
        <w:trPr>
          <w:trHeight w:val="20"/>
        </w:trPr>
        <w:tc>
          <w:tcPr>
            <w:tcW w:w="2203" w:type="dxa"/>
          </w:tcPr>
          <w:p w14:paraId="3FF9FF81"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9" w:type="dxa"/>
            <w:gridSpan w:val="4"/>
          </w:tcPr>
          <w:p w14:paraId="74CBBEAB" w14:textId="77777777" w:rsidR="00835192" w:rsidRPr="00FF756A" w:rsidRDefault="00835192" w:rsidP="00835192">
            <w:pPr>
              <w:spacing w:before="20" w:after="20" w:line="240" w:lineRule="auto"/>
              <w:rPr>
                <w:i/>
                <w:iCs/>
                <w:sz w:val="20"/>
                <w:szCs w:val="20"/>
              </w:rPr>
            </w:pPr>
            <w:r w:rsidRPr="00FF756A">
              <w:rPr>
                <w:i/>
                <w:iCs/>
                <w:sz w:val="20"/>
                <w:szCs w:val="20"/>
              </w:rPr>
              <w:t xml:space="preserve">Kuadri ligjor </w:t>
            </w:r>
          </w:p>
          <w:p w14:paraId="475E98E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lastRenderedPageBreak/>
              <w:t>Intensifikim i kontrollit mbi incinerimin e mbetjeve bujqësore: Kontrolli i djegies së mbetjeve bujqësore me anë të marrjes së masave të sigurisë ndaj zjarrit dhe disponimi i një programi të qartë dhe i zonave të përcaktuara për incinerimin e tyre</w:t>
            </w:r>
          </w:p>
          <w:p w14:paraId="131D06FA" w14:textId="77777777" w:rsidR="00835192" w:rsidRPr="00FF756A" w:rsidRDefault="00835192" w:rsidP="00835192">
            <w:pPr>
              <w:spacing w:before="20" w:after="20" w:line="240" w:lineRule="auto"/>
              <w:rPr>
                <w:i/>
                <w:iCs/>
                <w:sz w:val="20"/>
                <w:szCs w:val="20"/>
              </w:rPr>
            </w:pPr>
            <w:r w:rsidRPr="00FF756A">
              <w:rPr>
                <w:i/>
                <w:iCs/>
                <w:sz w:val="20"/>
                <w:szCs w:val="20"/>
              </w:rPr>
              <w:t xml:space="preserve">Trajnimi dhe rritja e ndërgjegjësimit </w:t>
            </w:r>
          </w:p>
          <w:p w14:paraId="5BA1609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Hartimi, botimi dhe shpërndarja e Kodit të Praktikave të Mira Bujqësore</w:t>
            </w:r>
          </w:p>
          <w:p w14:paraId="59043EE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Trajnimi i fermerëve për zbatimin e Kodit të PMB-së</w:t>
            </w:r>
          </w:p>
        </w:tc>
        <w:tc>
          <w:tcPr>
            <w:tcW w:w="850" w:type="dxa"/>
          </w:tcPr>
          <w:p w14:paraId="12EEE66A" w14:textId="77777777" w:rsidR="00835192" w:rsidRPr="00FF756A" w:rsidRDefault="00835192" w:rsidP="00835192">
            <w:pPr>
              <w:spacing w:before="20" w:after="20" w:line="240" w:lineRule="auto"/>
              <w:jc w:val="left"/>
              <w:rPr>
                <w:i/>
                <w:iCs/>
                <w:sz w:val="20"/>
                <w:szCs w:val="20"/>
              </w:rPr>
            </w:pPr>
            <w:r w:rsidRPr="00FF756A">
              <w:rPr>
                <w:i/>
                <w:iCs/>
                <w:sz w:val="20"/>
                <w:szCs w:val="20"/>
              </w:rPr>
              <w:lastRenderedPageBreak/>
              <w:t xml:space="preserve">brenda vitit </w:t>
            </w:r>
            <w:r w:rsidRPr="00FF756A">
              <w:rPr>
                <w:i/>
                <w:iCs/>
                <w:sz w:val="20"/>
                <w:szCs w:val="20"/>
              </w:rPr>
              <w:lastRenderedPageBreak/>
              <w:t>2025</w:t>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t>2024 e në vazhdim</w:t>
            </w:r>
          </w:p>
        </w:tc>
      </w:tr>
      <w:tr w:rsidR="00835192" w:rsidRPr="00FF756A" w14:paraId="03D3788F" w14:textId="77777777" w:rsidTr="004A3257">
        <w:trPr>
          <w:trHeight w:val="20"/>
        </w:trPr>
        <w:tc>
          <w:tcPr>
            <w:tcW w:w="2203" w:type="dxa"/>
          </w:tcPr>
          <w:p w14:paraId="08D15AB5"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Buxheti (burimi i financimit)</w:t>
            </w:r>
          </w:p>
        </w:tc>
        <w:tc>
          <w:tcPr>
            <w:tcW w:w="6869" w:type="dxa"/>
            <w:gridSpan w:val="5"/>
          </w:tcPr>
          <w:p w14:paraId="62918621" w14:textId="7495D194" w:rsidR="00835192" w:rsidRPr="00FF756A" w:rsidRDefault="00835192" w:rsidP="00835192">
            <w:pPr>
              <w:spacing w:before="20" w:after="20" w:line="240" w:lineRule="auto"/>
              <w:rPr>
                <w:i/>
                <w:iCs/>
                <w:sz w:val="20"/>
                <w:szCs w:val="20"/>
              </w:rPr>
            </w:pPr>
            <w:r w:rsidRPr="00FF756A">
              <w:rPr>
                <w:i/>
                <w:iCs/>
                <w:sz w:val="20"/>
                <w:szCs w:val="20"/>
              </w:rPr>
              <w:t xml:space="preserve">Për këtë PM nuk është identifikuar buxhet i posaçëm. Programi IPARD III 2021-2027 ofron gjithashtu buxhete për asistencë teknike (2,2 milionë euro) dhe shërbime këshillimore (2,9 milionë euro) pjesë e të cilave mund të përdoret për të mbuluar këtë PM. Përpjekjet për zhvillimin e kuadrit, duke përfshirë udhëzimet dhe masat e trajnimit vlerësohen në 150 000 euro. </w:t>
            </w:r>
            <w:hyperlink r:id="rId62" w:history="1">
              <w:r w:rsidR="001055E1" w:rsidRPr="00FF756A">
                <w:rPr>
                  <w:rStyle w:val="Hyperlink"/>
                  <w:i/>
                  <w:iCs/>
                  <w:sz w:val="20"/>
                  <w:szCs w:val="20"/>
                </w:rPr>
                <w:t>https://ipard.gov.al/wp-content/uploads/2021/03/Programi-IPARD-III_2021-2027_English.pdf</w:t>
              </w:r>
            </w:hyperlink>
            <w:r w:rsidR="001055E1" w:rsidRPr="00FF756A">
              <w:rPr>
                <w:i/>
                <w:iCs/>
                <w:sz w:val="20"/>
                <w:szCs w:val="20"/>
              </w:rPr>
              <w:t xml:space="preserve"> </w:t>
            </w:r>
          </w:p>
        </w:tc>
      </w:tr>
      <w:tr w:rsidR="00835192" w:rsidRPr="00FF756A" w14:paraId="08E8FCDD" w14:textId="77777777" w:rsidTr="004A3257">
        <w:trPr>
          <w:trHeight w:val="20"/>
        </w:trPr>
        <w:tc>
          <w:tcPr>
            <w:tcW w:w="2203" w:type="dxa"/>
          </w:tcPr>
          <w:p w14:paraId="62C4ADE2"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2E4FB030"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9" w:type="dxa"/>
            <w:gridSpan w:val="5"/>
          </w:tcPr>
          <w:p w14:paraId="4226E94B" w14:textId="77777777" w:rsidR="00835192" w:rsidRPr="00FF756A" w:rsidRDefault="00835192" w:rsidP="00835192">
            <w:pPr>
              <w:spacing w:before="20" w:after="20" w:line="240" w:lineRule="auto"/>
              <w:rPr>
                <w:i/>
                <w:iCs/>
                <w:sz w:val="20"/>
                <w:szCs w:val="20"/>
              </w:rPr>
            </w:pPr>
            <w:r w:rsidRPr="00FF756A">
              <w:rPr>
                <w:i/>
                <w:iCs/>
                <w:sz w:val="20"/>
                <w:szCs w:val="20"/>
              </w:rPr>
              <w:t>Ministria e Bujqësisë dhe Zhvillimit Rural; INSTAT</w:t>
            </w:r>
          </w:p>
          <w:p w14:paraId="69D0C380" w14:textId="77777777" w:rsidR="00835192" w:rsidRPr="00FF756A" w:rsidRDefault="00835192" w:rsidP="00835192">
            <w:pPr>
              <w:spacing w:before="20" w:after="20" w:line="240" w:lineRule="auto"/>
              <w:rPr>
                <w:i/>
                <w:iCs/>
                <w:sz w:val="20"/>
                <w:szCs w:val="20"/>
              </w:rPr>
            </w:pPr>
            <w:r w:rsidRPr="00FF756A">
              <w:rPr>
                <w:i/>
                <w:iCs/>
                <w:sz w:val="20"/>
                <w:szCs w:val="20"/>
              </w:rPr>
              <w:t>(INSTAT; Agjencitë Rajonale të Ekstensionit Bujqësor)</w:t>
            </w:r>
          </w:p>
        </w:tc>
      </w:tr>
      <w:tr w:rsidR="00835192" w:rsidRPr="00FF756A" w14:paraId="2D5E0044" w14:textId="77777777" w:rsidTr="004A3257">
        <w:trPr>
          <w:trHeight w:val="20"/>
        </w:trPr>
        <w:tc>
          <w:tcPr>
            <w:tcW w:w="2203" w:type="dxa"/>
          </w:tcPr>
          <w:p w14:paraId="6D396B52"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9" w:type="dxa"/>
            <w:gridSpan w:val="5"/>
          </w:tcPr>
          <w:p w14:paraId="4ED71C1A" w14:textId="77777777" w:rsidR="00835192" w:rsidRPr="00FF756A" w:rsidRDefault="00835192" w:rsidP="00835192">
            <w:pPr>
              <w:spacing w:before="20" w:after="20" w:line="240" w:lineRule="auto"/>
              <w:rPr>
                <w:i/>
                <w:iCs/>
                <w:sz w:val="20"/>
                <w:szCs w:val="20"/>
              </w:rPr>
            </w:pPr>
          </w:p>
        </w:tc>
      </w:tr>
    </w:tbl>
    <w:p w14:paraId="7FBC386F" w14:textId="77777777" w:rsidR="001055E1" w:rsidRPr="00FF756A" w:rsidRDefault="001055E1" w:rsidP="00835192"/>
    <w:p w14:paraId="60C1FF93" w14:textId="77777777" w:rsidR="00835192" w:rsidRPr="00FF756A" w:rsidRDefault="00835192" w:rsidP="004A3257">
      <w:pPr>
        <w:pStyle w:val="Heading4"/>
        <w:numPr>
          <w:ilvl w:val="0"/>
          <w:numId w:val="0"/>
        </w:numPr>
        <w:ind w:left="864" w:hanging="864"/>
        <w:rPr>
          <w:rFonts w:cs="Times New Roman"/>
        </w:rPr>
      </w:pPr>
      <w:bookmarkStart w:id="357" w:name="_Toc183639229"/>
      <w:r w:rsidRPr="00FF756A">
        <w:rPr>
          <w:rFonts w:cs="Times New Roman"/>
        </w:rPr>
        <w:t>Sektori i menaxhimit të mbetjeve</w:t>
      </w:r>
      <w:bookmarkEnd w:id="357"/>
    </w:p>
    <w:p w14:paraId="76848EF1" w14:textId="77777777" w:rsidR="001055E1" w:rsidRPr="00FF756A" w:rsidRDefault="001055E1" w:rsidP="004A3257">
      <w:pPr>
        <w:keepNext/>
        <w:keepLines/>
        <w:spacing w:before="40" w:after="0"/>
        <w:outlineLvl w:val="3"/>
        <w:rPr>
          <w:rFonts w:eastAsia="Calibri Light"/>
          <w:i/>
          <w:iCs/>
          <w:color w:val="2F5496" w:themeColor="accent1" w:themeShade="BF"/>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2201"/>
        <w:gridCol w:w="1280"/>
        <w:gridCol w:w="600"/>
        <w:gridCol w:w="428"/>
        <w:gridCol w:w="3561"/>
        <w:gridCol w:w="992"/>
      </w:tblGrid>
      <w:tr w:rsidR="00835192" w:rsidRPr="00FF756A" w14:paraId="70C97D9F" w14:textId="77777777" w:rsidTr="004A3257">
        <w:trPr>
          <w:trHeight w:val="20"/>
        </w:trPr>
        <w:tc>
          <w:tcPr>
            <w:tcW w:w="4516"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D7694CE"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56"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937539E" w14:textId="77777777" w:rsidR="00835192" w:rsidRPr="00FF756A" w:rsidRDefault="00835192" w:rsidP="008639B2">
            <w:pPr>
              <w:numPr>
                <w:ilvl w:val="0"/>
                <w:numId w:val="75"/>
              </w:numPr>
              <w:spacing w:before="20" w:after="20" w:line="240" w:lineRule="auto"/>
              <w:contextualSpacing/>
              <w:rPr>
                <w:i/>
                <w:iCs/>
                <w:sz w:val="20"/>
                <w:szCs w:val="20"/>
              </w:rPr>
            </w:pPr>
            <w:r w:rsidRPr="00FF756A">
              <w:rPr>
                <w:i/>
                <w:iCs/>
                <w:sz w:val="20"/>
                <w:szCs w:val="20"/>
              </w:rPr>
              <w:t>Dekarbonizimi</w:t>
            </w:r>
          </w:p>
          <w:p w14:paraId="7A8F9163" w14:textId="77777777" w:rsidR="00835192" w:rsidRPr="00FF756A" w:rsidRDefault="00835192" w:rsidP="008639B2">
            <w:pPr>
              <w:numPr>
                <w:ilvl w:val="1"/>
                <w:numId w:val="75"/>
              </w:numPr>
              <w:spacing w:before="20" w:after="20" w:line="240" w:lineRule="auto"/>
              <w:contextualSpacing/>
              <w:rPr>
                <w:i/>
                <w:iCs/>
                <w:sz w:val="20"/>
                <w:szCs w:val="20"/>
              </w:rPr>
            </w:pPr>
            <w:r w:rsidRPr="00FF756A">
              <w:rPr>
                <w:i/>
                <w:iCs/>
                <w:sz w:val="20"/>
                <w:szCs w:val="20"/>
              </w:rPr>
              <w:tab/>
              <w:t>Shkarkimet dhe eliminimi i GES-ve</w:t>
            </w:r>
          </w:p>
        </w:tc>
      </w:tr>
      <w:tr w:rsidR="00835192" w:rsidRPr="00FF756A" w14:paraId="13417E46" w14:textId="77777777" w:rsidTr="004A3257">
        <w:trPr>
          <w:trHeight w:val="20"/>
        </w:trPr>
        <w:tc>
          <w:tcPr>
            <w:tcW w:w="4087"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CE523EF"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85"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DA08CAB" w14:textId="77777777" w:rsidR="00835192" w:rsidRPr="00FF756A" w:rsidRDefault="00835192" w:rsidP="00835192">
            <w:pPr>
              <w:spacing w:before="20" w:after="20" w:line="240" w:lineRule="auto"/>
              <w:rPr>
                <w:i/>
                <w:iCs/>
                <w:sz w:val="20"/>
                <w:szCs w:val="20"/>
              </w:rPr>
            </w:pPr>
            <w:r w:rsidRPr="00FF756A">
              <w:rPr>
                <w:i/>
                <w:iCs/>
                <w:sz w:val="20"/>
                <w:szCs w:val="20"/>
              </w:rPr>
              <w:t>Menaxhimi i mbetjeve</w:t>
            </w:r>
          </w:p>
        </w:tc>
      </w:tr>
      <w:tr w:rsidR="00835192" w:rsidRPr="00FF756A" w14:paraId="3CB6A4C8" w14:textId="77777777" w:rsidTr="004A3257">
        <w:trPr>
          <w:trHeight w:val="20"/>
        </w:trPr>
        <w:tc>
          <w:tcPr>
            <w:tcW w:w="3486" w:type="dxa"/>
            <w:gridSpan w:val="2"/>
            <w:tcBorders>
              <w:top w:val="single" w:sz="4" w:space="0" w:color="auto"/>
              <w:left w:val="single" w:sz="4" w:space="0" w:color="auto"/>
              <w:bottom w:val="single" w:sz="4" w:space="0" w:color="auto"/>
              <w:right w:val="single" w:sz="4" w:space="0" w:color="auto"/>
            </w:tcBorders>
          </w:tcPr>
          <w:p w14:paraId="52960A89"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611F1211"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6" w:type="dxa"/>
            <w:gridSpan w:val="4"/>
            <w:tcBorders>
              <w:top w:val="single" w:sz="4" w:space="0" w:color="auto"/>
              <w:left w:val="single" w:sz="4" w:space="0" w:color="auto"/>
              <w:bottom w:val="single" w:sz="4" w:space="0" w:color="auto"/>
              <w:right w:val="single" w:sz="4" w:space="0" w:color="auto"/>
            </w:tcBorders>
          </w:tcPr>
          <w:p w14:paraId="00051063" w14:textId="77777777" w:rsidR="00835192" w:rsidRPr="00FF756A" w:rsidRDefault="00835192" w:rsidP="00835192">
            <w:pPr>
              <w:spacing w:before="20" w:after="20" w:line="240" w:lineRule="auto"/>
              <w:rPr>
                <w:i/>
                <w:iCs/>
                <w:sz w:val="20"/>
                <w:szCs w:val="20"/>
              </w:rPr>
            </w:pPr>
            <w:r w:rsidRPr="00FF756A">
              <w:rPr>
                <w:i/>
                <w:iCs/>
                <w:sz w:val="20"/>
                <w:szCs w:val="20"/>
              </w:rPr>
              <w:t>WEM</w:t>
            </w:r>
          </w:p>
          <w:p w14:paraId="5D526341" w14:textId="77777777" w:rsidR="00835192" w:rsidRPr="00FF756A" w:rsidRDefault="00835192" w:rsidP="00835192">
            <w:pPr>
              <w:spacing w:before="20" w:after="20" w:line="240" w:lineRule="auto"/>
              <w:rPr>
                <w:i/>
                <w:iCs/>
                <w:sz w:val="20"/>
                <w:szCs w:val="20"/>
              </w:rPr>
            </w:pPr>
            <w:r w:rsidRPr="00FF756A">
              <w:rPr>
                <w:i/>
                <w:iCs/>
                <w:sz w:val="20"/>
                <w:szCs w:val="20"/>
              </w:rPr>
              <w:t>Rregullator; Financiar</w:t>
            </w:r>
          </w:p>
        </w:tc>
      </w:tr>
      <w:tr w:rsidR="00835192" w:rsidRPr="00FF756A" w14:paraId="7B188BC7"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45DC7123"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34ED1572"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9" w:type="dxa"/>
            <w:gridSpan w:val="5"/>
            <w:tcBorders>
              <w:top w:val="single" w:sz="4" w:space="0" w:color="auto"/>
              <w:left w:val="single" w:sz="4" w:space="0" w:color="auto"/>
              <w:bottom w:val="single" w:sz="4" w:space="0" w:color="auto"/>
              <w:right w:val="single" w:sz="4" w:space="0" w:color="auto"/>
            </w:tcBorders>
          </w:tcPr>
          <w:p w14:paraId="065C8611" w14:textId="77777777" w:rsidR="00835192" w:rsidRPr="00FF756A" w:rsidRDefault="00835192" w:rsidP="00835192">
            <w:pPr>
              <w:spacing w:before="20" w:after="20" w:line="240" w:lineRule="auto"/>
              <w:rPr>
                <w:i/>
                <w:iCs/>
                <w:sz w:val="20"/>
                <w:szCs w:val="20"/>
              </w:rPr>
            </w:pPr>
            <w:r w:rsidRPr="00FF756A">
              <w:rPr>
                <w:i/>
                <w:iCs/>
                <w:sz w:val="20"/>
                <w:szCs w:val="20"/>
              </w:rPr>
              <w:t>Reduktimi i shkarkimeve nga mbetjet</w:t>
            </w:r>
          </w:p>
          <w:p w14:paraId="268FF0E0" w14:textId="77777777" w:rsidR="00835192" w:rsidRPr="00FF756A" w:rsidRDefault="00835192" w:rsidP="00835192">
            <w:pPr>
              <w:spacing w:before="20" w:after="20" w:line="240" w:lineRule="auto"/>
              <w:rPr>
                <w:i/>
                <w:iCs/>
                <w:sz w:val="20"/>
                <w:szCs w:val="20"/>
              </w:rPr>
            </w:pPr>
            <w:r w:rsidRPr="00FF756A">
              <w:rPr>
                <w:i/>
                <w:iCs/>
                <w:sz w:val="20"/>
                <w:szCs w:val="20"/>
              </w:rPr>
              <w:t>(G-W1)</w:t>
            </w:r>
          </w:p>
        </w:tc>
      </w:tr>
      <w:tr w:rsidR="00835192" w:rsidRPr="00FF756A" w14:paraId="51D7B1FB"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77B7394A"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9" w:type="dxa"/>
            <w:gridSpan w:val="5"/>
            <w:tcBorders>
              <w:top w:val="single" w:sz="4" w:space="0" w:color="auto"/>
              <w:left w:val="single" w:sz="4" w:space="0" w:color="auto"/>
              <w:bottom w:val="single" w:sz="4" w:space="0" w:color="auto"/>
              <w:right w:val="single" w:sz="4" w:space="0" w:color="auto"/>
            </w:tcBorders>
          </w:tcPr>
          <w:p w14:paraId="4B1DD095" w14:textId="77777777" w:rsidR="00835192" w:rsidRPr="00FF756A" w:rsidRDefault="00835192" w:rsidP="00835192">
            <w:pPr>
              <w:spacing w:before="20" w:after="20" w:line="240" w:lineRule="auto"/>
              <w:rPr>
                <w:i/>
                <w:iCs/>
                <w:sz w:val="20"/>
                <w:szCs w:val="20"/>
              </w:rPr>
            </w:pPr>
            <w:r w:rsidRPr="00FF756A">
              <w:rPr>
                <w:i/>
                <w:iCs/>
                <w:sz w:val="20"/>
                <w:szCs w:val="20"/>
              </w:rPr>
              <w:t>2020 – 2035</w:t>
            </w:r>
          </w:p>
        </w:tc>
      </w:tr>
      <w:tr w:rsidR="00835192" w:rsidRPr="00FF756A" w14:paraId="1F839101"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5AD3B975"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9" w:type="dxa"/>
            <w:gridSpan w:val="5"/>
            <w:tcBorders>
              <w:top w:val="single" w:sz="4" w:space="0" w:color="auto"/>
              <w:left w:val="single" w:sz="4" w:space="0" w:color="auto"/>
              <w:bottom w:val="single" w:sz="4" w:space="0" w:color="auto"/>
              <w:right w:val="single" w:sz="4" w:space="0" w:color="auto"/>
            </w:tcBorders>
          </w:tcPr>
          <w:p w14:paraId="077E9E17" w14:textId="77777777" w:rsidR="00835192" w:rsidRPr="00FF756A" w:rsidRDefault="00835192" w:rsidP="00835192">
            <w:pPr>
              <w:spacing w:before="20" w:after="20" w:line="240" w:lineRule="auto"/>
              <w:rPr>
                <w:i/>
                <w:iCs/>
                <w:sz w:val="20"/>
                <w:szCs w:val="20"/>
              </w:rPr>
            </w:pPr>
            <w:r w:rsidRPr="00FF756A">
              <w:rPr>
                <w:i/>
                <w:iCs/>
                <w:sz w:val="20"/>
                <w:szCs w:val="20"/>
              </w:rPr>
              <w:t xml:space="preserve">VKM nr. 418, datë 20.5.2020, “Për miratimin e strategjisë kombëtare dhe planit kombëtar të veprimit për menaxhimin e integruar të mbetjeve në Shqipëri, 2020–2035”; Studimi i Sektorit mbi Nevojën për Investime </w:t>
            </w:r>
            <w:bookmarkStart w:id="358" w:name="_Hlk178088451"/>
            <w:r w:rsidRPr="00FF756A">
              <w:rPr>
                <w:i/>
                <w:iCs/>
                <w:sz w:val="20"/>
                <w:szCs w:val="20"/>
              </w:rPr>
              <w:t xml:space="preserve">në Menaxhimin e Integruar të Mbetjeve të Ngurta (MIMN) </w:t>
            </w:r>
            <w:bookmarkEnd w:id="358"/>
            <w:r w:rsidRPr="00FF756A">
              <w:rPr>
                <w:i/>
                <w:iCs/>
                <w:sz w:val="20"/>
                <w:szCs w:val="20"/>
              </w:rPr>
              <w:t xml:space="preserve">në Shqipëri (2018); Plani Kombëtar Sektorial për menaxhimin e mbetjeve të ngurta, i miratuar me Vendim të KKT-së Nr.1, datë 13.1.2020, VKM nr. 177, datë 06.03.2012, “Për ambalazhet dhe mbetjet e tyre”, i ndryshuar, VKM nr. 418, datë 25.06.2014, “Për grumbullimin e diferencuar të mbetjeve në burim”, VKM. Nr. 575, datë 24.06.2015, “Për miratimin e kërkesave për menaxhimin e mbetjeve inerte”. </w:t>
            </w:r>
          </w:p>
        </w:tc>
      </w:tr>
      <w:tr w:rsidR="00835192" w:rsidRPr="00FF756A" w14:paraId="591DFCC0"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155E9321"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9" w:type="dxa"/>
            <w:gridSpan w:val="5"/>
            <w:tcBorders>
              <w:top w:val="single" w:sz="4" w:space="0" w:color="auto"/>
              <w:left w:val="single" w:sz="4" w:space="0" w:color="auto"/>
              <w:bottom w:val="single" w:sz="4" w:space="0" w:color="auto"/>
              <w:right w:val="single" w:sz="4" w:space="0" w:color="auto"/>
            </w:tcBorders>
          </w:tcPr>
          <w:p w14:paraId="683F2291" w14:textId="77777777" w:rsidR="00835192" w:rsidRPr="00FF756A" w:rsidRDefault="00835192" w:rsidP="00835192">
            <w:pPr>
              <w:spacing w:before="20" w:after="20" w:line="240" w:lineRule="auto"/>
              <w:rPr>
                <w:i/>
                <w:iCs/>
                <w:sz w:val="20"/>
                <w:szCs w:val="20"/>
              </w:rPr>
            </w:pPr>
            <w:r w:rsidRPr="00FF756A">
              <w:rPr>
                <w:i/>
                <w:iCs/>
                <w:sz w:val="20"/>
                <w:szCs w:val="20"/>
              </w:rPr>
              <w:t>35 nga 61 bashki disponojnë një plan për menaxhimin e integruar të mbetjeve dhe 12 bashki të tjera janë në procesin e përgatitjes së tyre. 17% e totalit të rrymave të mbetjeve shkojnë për riciklim dhe rreth 10% e mbetjeve të ambalazheve grumbullohen nga bashkitë. 40% e baterive dhe akumulatorëve, 5% e llumrave të ujërave të ndotura dhe 0% e mbetjeve inerte grumbullohen dhe trajtohen në mënyrën e duhur.</w:t>
            </w:r>
          </w:p>
        </w:tc>
      </w:tr>
      <w:tr w:rsidR="00835192" w:rsidRPr="00FF756A" w14:paraId="2F898AC8"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6E76370D"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9" w:type="dxa"/>
            <w:gridSpan w:val="5"/>
            <w:tcBorders>
              <w:top w:val="single" w:sz="4" w:space="0" w:color="auto"/>
              <w:left w:val="single" w:sz="4" w:space="0" w:color="auto"/>
              <w:bottom w:val="single" w:sz="4" w:space="0" w:color="auto"/>
              <w:right w:val="single" w:sz="4" w:space="0" w:color="auto"/>
            </w:tcBorders>
          </w:tcPr>
          <w:p w14:paraId="482ADDBE" w14:textId="77777777" w:rsidR="00835192" w:rsidRPr="00FF756A" w:rsidRDefault="00835192" w:rsidP="00835192">
            <w:pPr>
              <w:spacing w:before="20" w:after="20" w:line="240" w:lineRule="auto"/>
              <w:rPr>
                <w:i/>
                <w:iCs/>
                <w:sz w:val="20"/>
                <w:szCs w:val="20"/>
              </w:rPr>
            </w:pPr>
            <w:r w:rsidRPr="00FF756A">
              <w:rPr>
                <w:i/>
                <w:iCs/>
                <w:sz w:val="20"/>
                <w:szCs w:val="20"/>
              </w:rPr>
              <w:t>Mundësimi i grumbullimit dhe trajtimit të mbetjeve në mënyrë të integruar, në përputhje me standardet e BE-së, në sajë të përmirësimit të menaxhimit të mbetjeve. Ngritja e një sistemi për menaxhimin e integruar të rrymave të tjera të mbetjeve bashkiake, që bazohet në hierarkinë e mbetjeve.</w:t>
            </w:r>
          </w:p>
        </w:tc>
      </w:tr>
      <w:tr w:rsidR="00835192" w:rsidRPr="00FF756A" w14:paraId="163CAD9D"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4A9DDC71"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9" w:type="dxa"/>
            <w:gridSpan w:val="5"/>
            <w:tcBorders>
              <w:top w:val="single" w:sz="4" w:space="0" w:color="auto"/>
              <w:left w:val="single" w:sz="4" w:space="0" w:color="auto"/>
              <w:bottom w:val="single" w:sz="4" w:space="0" w:color="auto"/>
              <w:right w:val="single" w:sz="4" w:space="0" w:color="auto"/>
            </w:tcBorders>
          </w:tcPr>
          <w:p w14:paraId="251EC75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Deri në vitin 2035, të gjitha bashkitë do të disponojnë një plan për menaxhimin e integruar të mbetjeve. Deri në vitin 2035, do të riciklohet 40% e totalit të rrymave të mbetjeve dhe do të grumbullohet në nivel bashkiak jo më pak se 70% e mbetjeve të ambalazheve.</w:t>
            </w:r>
          </w:p>
          <w:p w14:paraId="28D180B0"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Deri në vitin 2035, të gjitha bashkitë do të kenë mbyllur vendgrumbullimet e papajtueshme.</w:t>
            </w:r>
          </w:p>
          <w:p w14:paraId="0842A8F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lastRenderedPageBreak/>
              <w:t>Deri në vitin 2035, do të grumbullohet dhe trajtohet si duhet 80% e baterive dhe akumulatorëve, 80% e llumrave të ujërave të ndotura dhe 80% e mbetjeve inerte.</w:t>
            </w:r>
          </w:p>
          <w:p w14:paraId="0059F5F0"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Fillimi i përthithjes së CH</w:t>
            </w:r>
            <w:r w:rsidRPr="00FF756A">
              <w:rPr>
                <w:i/>
                <w:iCs/>
                <w:sz w:val="20"/>
                <w:szCs w:val="20"/>
                <w:vertAlign w:val="subscript"/>
              </w:rPr>
              <w:t>4</w:t>
            </w:r>
            <w:r w:rsidRPr="00FF756A">
              <w:rPr>
                <w:i/>
                <w:iCs/>
                <w:sz w:val="20"/>
                <w:szCs w:val="20"/>
              </w:rPr>
              <w:t xml:space="preserve"> në vitin 2025 dhe ndjekja e një progresi linear derisa të arrihet një përthithje prej 10% ose 1,34 milionë tonë </w:t>
            </w:r>
            <w:bookmarkStart w:id="359" w:name="_Hlk75522708"/>
            <w:r w:rsidRPr="00FF756A">
              <w:rPr>
                <w:i/>
                <w:iCs/>
                <w:sz w:val="20"/>
                <w:szCs w:val="20"/>
              </w:rPr>
              <w:t>CH</w:t>
            </w:r>
            <w:r w:rsidRPr="00FF756A">
              <w:rPr>
                <w:i/>
                <w:iCs/>
                <w:sz w:val="20"/>
                <w:szCs w:val="20"/>
                <w:vertAlign w:val="subscript"/>
              </w:rPr>
              <w:t>4</w:t>
            </w:r>
            <w:r w:rsidRPr="00FF756A">
              <w:rPr>
                <w:i/>
                <w:iCs/>
                <w:sz w:val="20"/>
                <w:szCs w:val="20"/>
              </w:rPr>
              <w:t xml:space="preserve"> në vitin 2030 (vlerësuar me anë të analizës së të dhënave të instrumentit GACMO të skenarit të Komunikimit të Tretë Kombëtar dhe NDC-së).</w:t>
            </w:r>
            <w:bookmarkEnd w:id="359"/>
          </w:p>
        </w:tc>
      </w:tr>
      <w:tr w:rsidR="00835192" w:rsidRPr="00FF756A" w14:paraId="33708DFC"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30DD2712"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Masat që duhet të zbatohen</w:t>
            </w:r>
          </w:p>
        </w:tc>
        <w:tc>
          <w:tcPr>
            <w:tcW w:w="5877" w:type="dxa"/>
            <w:gridSpan w:val="4"/>
            <w:tcBorders>
              <w:top w:val="single" w:sz="4" w:space="0" w:color="auto"/>
              <w:left w:val="single" w:sz="4" w:space="0" w:color="auto"/>
              <w:bottom w:val="single" w:sz="4" w:space="0" w:color="auto"/>
              <w:right w:val="single" w:sz="4" w:space="0" w:color="auto"/>
            </w:tcBorders>
          </w:tcPr>
          <w:p w14:paraId="2F30A6E0" w14:textId="77777777" w:rsidR="00835192" w:rsidRPr="00FF756A" w:rsidRDefault="00835192" w:rsidP="00835192">
            <w:pPr>
              <w:spacing w:before="20" w:after="20" w:line="240" w:lineRule="auto"/>
              <w:rPr>
                <w:i/>
                <w:iCs/>
                <w:sz w:val="20"/>
                <w:szCs w:val="20"/>
              </w:rPr>
            </w:pPr>
            <w:r w:rsidRPr="00FF756A">
              <w:rPr>
                <w:i/>
                <w:iCs/>
                <w:sz w:val="20"/>
                <w:szCs w:val="20"/>
              </w:rPr>
              <w:t xml:space="preserve">Bashkitë: </w:t>
            </w:r>
          </w:p>
          <w:p w14:paraId="787EBA6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Instalimi i impianteve të thithjes së metanit në vendgrumbullime</w:t>
            </w:r>
          </w:p>
          <w:p w14:paraId="30C24296"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Hartimi i një plani për menaxhimin e mbetjeve të ambalazheve dhe i një programi për parandalimin e mbetjeve, në mbështetje të zbatimit të dokumentit politik strategjik për menaxhimin e integruar të mbetjeve dhe planit të veprimit</w:t>
            </w:r>
          </w:p>
          <w:p w14:paraId="27813276"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Mbyllja dhe trajtimi i të gjitha vendgrumbullimeve bashkiake (të papajtueshme) për mbetjet e trashëguara, në përputhje me udhëzimet në fuqi</w:t>
            </w:r>
          </w:p>
          <w:p w14:paraId="227994A9" w14:textId="77777777" w:rsidR="00835192" w:rsidRPr="00FF756A" w:rsidRDefault="00835192" w:rsidP="00835192">
            <w:pPr>
              <w:spacing w:before="20" w:after="20" w:line="240" w:lineRule="auto"/>
              <w:rPr>
                <w:i/>
                <w:iCs/>
                <w:sz w:val="20"/>
                <w:szCs w:val="20"/>
              </w:rPr>
            </w:pPr>
            <w:r w:rsidRPr="00FF756A">
              <w:rPr>
                <w:i/>
                <w:iCs/>
                <w:sz w:val="20"/>
                <w:szCs w:val="20"/>
              </w:rPr>
              <w:t xml:space="preserve">Ministria dhe Agjencia Kombëtare </w:t>
            </w:r>
          </w:p>
          <w:p w14:paraId="2D48EF4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Zbatimi i skemave kombëtare të përgjegjësisë së zgjeruar të prodhuesit për ambalazhet dhe mbetjet e tyre</w:t>
            </w:r>
          </w:p>
        </w:tc>
        <w:tc>
          <w:tcPr>
            <w:tcW w:w="992" w:type="dxa"/>
            <w:tcBorders>
              <w:top w:val="single" w:sz="4" w:space="0" w:color="auto"/>
              <w:left w:val="single" w:sz="4" w:space="0" w:color="auto"/>
              <w:bottom w:val="single" w:sz="4" w:space="0" w:color="auto"/>
              <w:right w:val="single" w:sz="4" w:space="0" w:color="auto"/>
            </w:tcBorders>
          </w:tcPr>
          <w:p w14:paraId="62109FD4" w14:textId="77777777" w:rsidR="00835192" w:rsidRPr="00FF756A" w:rsidRDefault="00835192" w:rsidP="00835192">
            <w:pPr>
              <w:spacing w:before="20" w:after="20" w:line="240" w:lineRule="auto"/>
              <w:jc w:val="left"/>
              <w:rPr>
                <w:i/>
                <w:iCs/>
                <w:sz w:val="20"/>
                <w:szCs w:val="20"/>
              </w:rPr>
            </w:pPr>
            <w:r w:rsidRPr="00FF756A">
              <w:rPr>
                <w:i/>
                <w:iCs/>
                <w:sz w:val="20"/>
                <w:szCs w:val="20"/>
              </w:rPr>
              <w:br/>
              <w:t>Nga viti 2025 e në vazhdim</w:t>
            </w:r>
            <w:r w:rsidRPr="00FF756A">
              <w:rPr>
                <w:i/>
                <w:iCs/>
                <w:sz w:val="20"/>
                <w:szCs w:val="20"/>
              </w:rPr>
              <w:br/>
              <w:t>brenda vitit 2035</w:t>
            </w:r>
            <w:r w:rsidRPr="00FF756A">
              <w:rPr>
                <w:i/>
                <w:iCs/>
                <w:sz w:val="20"/>
                <w:szCs w:val="20"/>
              </w:rPr>
              <w:br/>
            </w:r>
            <w:r w:rsidRPr="00FF756A">
              <w:rPr>
                <w:i/>
                <w:iCs/>
                <w:sz w:val="20"/>
                <w:szCs w:val="20"/>
              </w:rPr>
              <w:br/>
            </w:r>
            <w:r w:rsidRPr="00FF756A">
              <w:rPr>
                <w:i/>
                <w:iCs/>
                <w:sz w:val="20"/>
                <w:szCs w:val="20"/>
              </w:rPr>
              <w:br/>
            </w:r>
          </w:p>
          <w:p w14:paraId="32D07FD4"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2035</w:t>
            </w:r>
            <w:r w:rsidRPr="00FF756A">
              <w:rPr>
                <w:i/>
                <w:iCs/>
                <w:sz w:val="20"/>
                <w:szCs w:val="20"/>
              </w:rPr>
              <w:br/>
            </w:r>
          </w:p>
          <w:p w14:paraId="03C4AC81" w14:textId="77777777" w:rsidR="00835192" w:rsidRPr="00FF756A" w:rsidRDefault="00835192" w:rsidP="00835192">
            <w:pPr>
              <w:spacing w:before="20" w:after="20" w:line="240" w:lineRule="auto"/>
              <w:jc w:val="left"/>
              <w:rPr>
                <w:i/>
                <w:iCs/>
                <w:sz w:val="20"/>
                <w:szCs w:val="20"/>
              </w:rPr>
            </w:pPr>
          </w:p>
          <w:p w14:paraId="2B1A8517" w14:textId="77777777" w:rsidR="00835192" w:rsidRPr="00FF756A" w:rsidRDefault="00835192" w:rsidP="00835192">
            <w:pPr>
              <w:spacing w:before="20" w:after="20" w:line="240" w:lineRule="auto"/>
              <w:jc w:val="left"/>
              <w:rPr>
                <w:i/>
                <w:iCs/>
                <w:sz w:val="20"/>
                <w:szCs w:val="20"/>
              </w:rPr>
            </w:pPr>
            <w:r w:rsidRPr="00FF756A">
              <w:rPr>
                <w:i/>
                <w:iCs/>
                <w:sz w:val="20"/>
                <w:szCs w:val="20"/>
              </w:rPr>
              <w:t>Nga viti 2025 e në vazhdim</w:t>
            </w:r>
          </w:p>
        </w:tc>
      </w:tr>
      <w:tr w:rsidR="00835192" w:rsidRPr="00FF756A" w14:paraId="1CE1C46B"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0003D318"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9" w:type="dxa"/>
            <w:gridSpan w:val="5"/>
            <w:tcBorders>
              <w:top w:val="single" w:sz="4" w:space="0" w:color="auto"/>
              <w:left w:val="single" w:sz="4" w:space="0" w:color="auto"/>
              <w:bottom w:val="single" w:sz="4" w:space="0" w:color="auto"/>
              <w:right w:val="single" w:sz="4" w:space="0" w:color="auto"/>
            </w:tcBorders>
          </w:tcPr>
          <w:p w14:paraId="2DC5EB54" w14:textId="77777777" w:rsidR="00835192" w:rsidRPr="00FF756A" w:rsidRDefault="00835192" w:rsidP="00835192">
            <w:pPr>
              <w:spacing w:before="20" w:after="20" w:line="240" w:lineRule="auto"/>
              <w:rPr>
                <w:i/>
                <w:iCs/>
                <w:sz w:val="20"/>
                <w:szCs w:val="20"/>
              </w:rPr>
            </w:pPr>
            <w:r w:rsidRPr="00FF756A">
              <w:rPr>
                <w:i/>
                <w:iCs/>
                <w:sz w:val="20"/>
                <w:szCs w:val="20"/>
              </w:rPr>
              <w:t>Vlera e parashikuar për rehabilitimin e vendgrumbullimit është rreth 76 milionë euro; vlera për grumbullimin e materialeve të riciklueshme të thata rreth 18,5 milionë euro dhe ajo për grumbullimin e mbetjeve organike dhe kompostimin rreth 13 milionë euro. (Të gjitha vlerat janë llogaritur për periudhën 2018-2032.)</w:t>
            </w:r>
          </w:p>
        </w:tc>
      </w:tr>
      <w:tr w:rsidR="00835192" w:rsidRPr="00FF756A" w14:paraId="67A20EC3"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1C390870"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53057E6D"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9" w:type="dxa"/>
            <w:gridSpan w:val="5"/>
            <w:tcBorders>
              <w:top w:val="single" w:sz="4" w:space="0" w:color="auto"/>
              <w:left w:val="single" w:sz="4" w:space="0" w:color="auto"/>
              <w:bottom w:val="single" w:sz="4" w:space="0" w:color="auto"/>
              <w:right w:val="single" w:sz="4" w:space="0" w:color="auto"/>
            </w:tcBorders>
          </w:tcPr>
          <w:p w14:paraId="14CFF39B" w14:textId="77777777" w:rsidR="00835192" w:rsidRPr="00FF756A" w:rsidRDefault="00835192" w:rsidP="00835192">
            <w:pPr>
              <w:spacing w:before="20" w:after="20" w:line="240" w:lineRule="auto"/>
              <w:rPr>
                <w:i/>
                <w:iCs/>
                <w:sz w:val="20"/>
                <w:szCs w:val="20"/>
              </w:rPr>
            </w:pPr>
            <w:r w:rsidRPr="00FF756A">
              <w:rPr>
                <w:i/>
                <w:iCs/>
                <w:sz w:val="20"/>
                <w:szCs w:val="20"/>
              </w:rPr>
              <w:t xml:space="preserve">Ministria e Infrastrukturës dhe Energjisë; Ministria e Turizmit dhe Mjedisit, </w:t>
            </w:r>
            <w:bookmarkStart w:id="360" w:name="_Hlk178088680"/>
            <w:r w:rsidRPr="00FF756A">
              <w:rPr>
                <w:i/>
                <w:iCs/>
                <w:sz w:val="20"/>
                <w:szCs w:val="20"/>
              </w:rPr>
              <w:t xml:space="preserve">Agjencia Kombëtare e Ekonomisë së Mbetjeve (AKEM) </w:t>
            </w:r>
            <w:bookmarkEnd w:id="360"/>
            <w:r w:rsidRPr="00FF756A">
              <w:rPr>
                <w:i/>
                <w:iCs/>
                <w:sz w:val="20"/>
                <w:szCs w:val="20"/>
              </w:rPr>
              <w:t>, Agjencia Kombëtare e Ujësjellës-Kanalizimeve; Bashkitë</w:t>
            </w:r>
          </w:p>
          <w:p w14:paraId="76243F6C" w14:textId="1C5D80B8" w:rsidR="00835192" w:rsidRPr="00FF756A" w:rsidRDefault="00835192" w:rsidP="00835192">
            <w:pPr>
              <w:spacing w:before="20" w:after="20" w:line="240" w:lineRule="auto"/>
              <w:rPr>
                <w:i/>
                <w:iCs/>
                <w:sz w:val="20"/>
                <w:szCs w:val="20"/>
              </w:rPr>
            </w:pPr>
            <w:r w:rsidRPr="00FF756A">
              <w:rPr>
                <w:i/>
                <w:iCs/>
                <w:sz w:val="20"/>
                <w:szCs w:val="20"/>
              </w:rPr>
              <w:t>(Agjencia Kombëtare e Ekonomisë së Mbetjeve (AKEM), Agjencia Kombëtare e Ujësjellës-Kanalizimeve; Agjencia Kombëtare e Mjedisit; Bashkitë)</w:t>
            </w:r>
          </w:p>
        </w:tc>
      </w:tr>
      <w:tr w:rsidR="00835192" w:rsidRPr="00FF756A" w14:paraId="38DFD376"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4F1D4AD8"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9" w:type="dxa"/>
            <w:gridSpan w:val="5"/>
            <w:tcBorders>
              <w:top w:val="single" w:sz="4" w:space="0" w:color="auto"/>
              <w:left w:val="single" w:sz="4" w:space="0" w:color="auto"/>
              <w:bottom w:val="single" w:sz="4" w:space="0" w:color="auto"/>
              <w:right w:val="single" w:sz="4" w:space="0" w:color="auto"/>
            </w:tcBorders>
          </w:tcPr>
          <w:p w14:paraId="31CD31E9" w14:textId="77777777" w:rsidR="00835192" w:rsidRPr="00FF756A" w:rsidRDefault="00835192" w:rsidP="00835192">
            <w:pPr>
              <w:spacing w:before="20" w:after="20" w:line="240" w:lineRule="auto"/>
              <w:rPr>
                <w:i/>
                <w:iCs/>
                <w:sz w:val="20"/>
                <w:szCs w:val="20"/>
              </w:rPr>
            </w:pPr>
            <w:r w:rsidRPr="00FF756A">
              <w:rPr>
                <w:i/>
                <w:iCs/>
                <w:sz w:val="20"/>
                <w:szCs w:val="20"/>
              </w:rPr>
              <w:t xml:space="preserve">Marrëdhënia me PM-në e mëposhtme: </w:t>
            </w:r>
          </w:p>
          <w:p w14:paraId="280091A3" w14:textId="77777777" w:rsidR="00835192" w:rsidRPr="00FF756A" w:rsidRDefault="00835192" w:rsidP="00835192">
            <w:pPr>
              <w:spacing w:before="20" w:after="20" w:line="240" w:lineRule="auto"/>
              <w:rPr>
                <w:i/>
                <w:iCs/>
                <w:sz w:val="20"/>
                <w:szCs w:val="20"/>
              </w:rPr>
            </w:pPr>
            <w:r w:rsidRPr="00FF756A">
              <w:rPr>
                <w:i/>
                <w:iCs/>
                <w:sz w:val="20"/>
                <w:szCs w:val="20"/>
              </w:rPr>
              <w:t>G-W2 Përdorimi i impianteve të incinerimit të mbetjeve për procesin e menaxhimit të integruar të mbetjeve në Shqipëri</w:t>
            </w:r>
          </w:p>
        </w:tc>
      </w:tr>
    </w:tbl>
    <w:p w14:paraId="7DC02703"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1"/>
        <w:gridCol w:w="1281"/>
        <w:gridCol w:w="600"/>
        <w:gridCol w:w="428"/>
        <w:gridCol w:w="3702"/>
        <w:gridCol w:w="850"/>
      </w:tblGrid>
      <w:tr w:rsidR="00835192" w:rsidRPr="00FF756A" w14:paraId="42385172" w14:textId="77777777" w:rsidTr="004A3257">
        <w:trPr>
          <w:trHeight w:val="20"/>
        </w:trPr>
        <w:tc>
          <w:tcPr>
            <w:tcW w:w="4516" w:type="dxa"/>
            <w:gridSpan w:val="4"/>
            <w:shd w:val="clear" w:color="auto" w:fill="E2EFD9" w:themeFill="accent6" w:themeFillTint="33"/>
          </w:tcPr>
          <w:p w14:paraId="4FA5936D"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56" w:type="dxa"/>
            <w:gridSpan w:val="2"/>
            <w:shd w:val="clear" w:color="auto" w:fill="E2EFD9" w:themeFill="accent6" w:themeFillTint="33"/>
          </w:tcPr>
          <w:p w14:paraId="1E15A7D3" w14:textId="77777777" w:rsidR="00835192" w:rsidRPr="00FF756A" w:rsidRDefault="00835192" w:rsidP="008639B2">
            <w:pPr>
              <w:numPr>
                <w:ilvl w:val="0"/>
                <w:numId w:val="127"/>
              </w:numPr>
              <w:spacing w:before="20" w:after="20" w:line="240" w:lineRule="auto"/>
              <w:contextualSpacing/>
              <w:rPr>
                <w:i/>
                <w:iCs/>
                <w:sz w:val="20"/>
                <w:szCs w:val="20"/>
              </w:rPr>
            </w:pPr>
            <w:r w:rsidRPr="00FF756A">
              <w:rPr>
                <w:i/>
                <w:iCs/>
                <w:sz w:val="20"/>
                <w:szCs w:val="20"/>
              </w:rPr>
              <w:t>Dekarbonizimi</w:t>
            </w:r>
          </w:p>
          <w:p w14:paraId="3FD3FA5B" w14:textId="4A1FC1AC" w:rsidR="00835192" w:rsidRPr="00FF756A" w:rsidRDefault="00835192" w:rsidP="004A3257">
            <w:pPr>
              <w:spacing w:before="20" w:after="20" w:line="240" w:lineRule="auto"/>
              <w:contextualSpacing/>
              <w:rPr>
                <w:i/>
                <w:iCs/>
                <w:sz w:val="20"/>
                <w:szCs w:val="20"/>
              </w:rPr>
            </w:pPr>
            <w:r w:rsidRPr="00FF756A">
              <w:rPr>
                <w:i/>
                <w:iCs/>
                <w:sz w:val="20"/>
                <w:szCs w:val="20"/>
              </w:rPr>
              <w:t>Shkarkimet dhe eliminimi i GES-ve</w:t>
            </w:r>
          </w:p>
        </w:tc>
      </w:tr>
      <w:tr w:rsidR="00835192" w:rsidRPr="00FF756A" w14:paraId="5E9F1CFC" w14:textId="77777777" w:rsidTr="004A3257">
        <w:trPr>
          <w:trHeight w:val="20"/>
        </w:trPr>
        <w:tc>
          <w:tcPr>
            <w:tcW w:w="4087" w:type="dxa"/>
            <w:gridSpan w:val="3"/>
            <w:shd w:val="clear" w:color="auto" w:fill="E2EFD9" w:themeFill="accent6" w:themeFillTint="33"/>
          </w:tcPr>
          <w:p w14:paraId="05995AD5"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85" w:type="dxa"/>
            <w:gridSpan w:val="3"/>
            <w:shd w:val="clear" w:color="auto" w:fill="E2EFD9" w:themeFill="accent6" w:themeFillTint="33"/>
          </w:tcPr>
          <w:p w14:paraId="673E5DBE" w14:textId="77777777" w:rsidR="00835192" w:rsidRPr="00FF756A" w:rsidRDefault="00835192" w:rsidP="00835192">
            <w:pPr>
              <w:spacing w:before="20" w:after="20" w:line="240" w:lineRule="auto"/>
              <w:rPr>
                <w:i/>
                <w:iCs/>
                <w:sz w:val="20"/>
                <w:szCs w:val="20"/>
              </w:rPr>
            </w:pPr>
            <w:r w:rsidRPr="00FF756A">
              <w:rPr>
                <w:i/>
                <w:iCs/>
                <w:sz w:val="20"/>
                <w:szCs w:val="20"/>
              </w:rPr>
              <w:t>Menaxhimi i mbetjeve</w:t>
            </w:r>
          </w:p>
        </w:tc>
      </w:tr>
      <w:tr w:rsidR="00835192" w:rsidRPr="00FF756A" w14:paraId="1A52F834" w14:textId="77777777" w:rsidTr="004A3257">
        <w:trPr>
          <w:trHeight w:val="20"/>
        </w:trPr>
        <w:tc>
          <w:tcPr>
            <w:tcW w:w="3486" w:type="dxa"/>
            <w:gridSpan w:val="2"/>
          </w:tcPr>
          <w:p w14:paraId="1927DD05"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2956CAC1"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6" w:type="dxa"/>
            <w:gridSpan w:val="4"/>
          </w:tcPr>
          <w:p w14:paraId="01AD21F6" w14:textId="77777777" w:rsidR="00835192" w:rsidRPr="00FF756A" w:rsidRDefault="00835192" w:rsidP="00835192">
            <w:pPr>
              <w:spacing w:before="20" w:after="20" w:line="240" w:lineRule="auto"/>
              <w:rPr>
                <w:i/>
                <w:iCs/>
                <w:sz w:val="20"/>
                <w:szCs w:val="20"/>
              </w:rPr>
            </w:pPr>
            <w:r w:rsidRPr="00FF756A">
              <w:rPr>
                <w:i/>
                <w:iCs/>
                <w:sz w:val="20"/>
                <w:szCs w:val="20"/>
              </w:rPr>
              <w:t>WEM</w:t>
            </w:r>
          </w:p>
          <w:p w14:paraId="69FC97A8" w14:textId="77777777" w:rsidR="00835192" w:rsidRPr="00FF756A" w:rsidRDefault="00835192" w:rsidP="00835192">
            <w:pPr>
              <w:spacing w:before="20" w:after="20" w:line="240" w:lineRule="auto"/>
              <w:rPr>
                <w:i/>
                <w:iCs/>
                <w:sz w:val="20"/>
                <w:szCs w:val="20"/>
              </w:rPr>
            </w:pPr>
            <w:r w:rsidRPr="00FF756A">
              <w:rPr>
                <w:i/>
                <w:iCs/>
                <w:sz w:val="20"/>
                <w:szCs w:val="20"/>
              </w:rPr>
              <w:t>Rregullator; Financiar</w:t>
            </w:r>
          </w:p>
        </w:tc>
      </w:tr>
      <w:tr w:rsidR="00835192" w:rsidRPr="00FF756A" w14:paraId="5504B082" w14:textId="77777777" w:rsidTr="004A3257">
        <w:trPr>
          <w:trHeight w:val="20"/>
        </w:trPr>
        <w:tc>
          <w:tcPr>
            <w:tcW w:w="2203" w:type="dxa"/>
          </w:tcPr>
          <w:p w14:paraId="7C08AA25"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737443AD"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9" w:type="dxa"/>
            <w:gridSpan w:val="5"/>
          </w:tcPr>
          <w:p w14:paraId="4E5535F7" w14:textId="77777777" w:rsidR="00835192" w:rsidRPr="00FF756A" w:rsidRDefault="00835192" w:rsidP="00835192">
            <w:pPr>
              <w:spacing w:before="20" w:after="20" w:line="240" w:lineRule="auto"/>
              <w:rPr>
                <w:i/>
                <w:iCs/>
                <w:sz w:val="20"/>
                <w:szCs w:val="20"/>
              </w:rPr>
            </w:pPr>
            <w:r w:rsidRPr="00FF756A">
              <w:rPr>
                <w:i/>
                <w:iCs/>
                <w:sz w:val="20"/>
                <w:szCs w:val="20"/>
              </w:rPr>
              <w:t>Përdorimi i impianteve të incinerimit të mbetjeve për procesin e menaxhimit të integruar të mbetjeve në Shqipëri</w:t>
            </w:r>
          </w:p>
          <w:p w14:paraId="360410C9" w14:textId="77777777" w:rsidR="00835192" w:rsidRPr="00FF756A" w:rsidRDefault="00835192" w:rsidP="00835192">
            <w:pPr>
              <w:spacing w:before="20" w:after="20" w:line="240" w:lineRule="auto"/>
              <w:rPr>
                <w:i/>
                <w:iCs/>
                <w:sz w:val="20"/>
                <w:szCs w:val="20"/>
              </w:rPr>
            </w:pPr>
            <w:r w:rsidRPr="00FF756A">
              <w:rPr>
                <w:i/>
                <w:iCs/>
                <w:sz w:val="20"/>
                <w:szCs w:val="20"/>
              </w:rPr>
              <w:t>(G-W2)</w:t>
            </w:r>
          </w:p>
        </w:tc>
      </w:tr>
      <w:tr w:rsidR="00835192" w:rsidRPr="00FF756A" w14:paraId="69A335FF" w14:textId="77777777" w:rsidTr="004A3257">
        <w:trPr>
          <w:trHeight w:val="20"/>
        </w:trPr>
        <w:tc>
          <w:tcPr>
            <w:tcW w:w="2203" w:type="dxa"/>
          </w:tcPr>
          <w:p w14:paraId="2FF43BA0"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9" w:type="dxa"/>
            <w:gridSpan w:val="5"/>
          </w:tcPr>
          <w:p w14:paraId="47A03F24" w14:textId="77777777" w:rsidR="00835192" w:rsidRPr="00FF756A" w:rsidRDefault="00835192" w:rsidP="00835192">
            <w:pPr>
              <w:spacing w:before="20" w:after="20" w:line="240" w:lineRule="auto"/>
              <w:rPr>
                <w:i/>
                <w:iCs/>
                <w:sz w:val="20"/>
                <w:szCs w:val="20"/>
              </w:rPr>
            </w:pPr>
            <w:r w:rsidRPr="00FF756A">
              <w:rPr>
                <w:i/>
                <w:iCs/>
                <w:sz w:val="20"/>
                <w:szCs w:val="20"/>
              </w:rPr>
              <w:t>2020 – 2035</w:t>
            </w:r>
          </w:p>
        </w:tc>
      </w:tr>
      <w:tr w:rsidR="00835192" w:rsidRPr="00FF756A" w14:paraId="45717388" w14:textId="77777777" w:rsidTr="004A3257">
        <w:trPr>
          <w:trHeight w:val="20"/>
        </w:trPr>
        <w:tc>
          <w:tcPr>
            <w:tcW w:w="2203" w:type="dxa"/>
          </w:tcPr>
          <w:p w14:paraId="355B6362"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9" w:type="dxa"/>
            <w:gridSpan w:val="5"/>
          </w:tcPr>
          <w:p w14:paraId="0E008816" w14:textId="77777777" w:rsidR="00835192" w:rsidRPr="00FF756A" w:rsidRDefault="00835192" w:rsidP="00835192">
            <w:pPr>
              <w:spacing w:before="20" w:after="20" w:line="240" w:lineRule="auto"/>
              <w:rPr>
                <w:i/>
                <w:iCs/>
                <w:sz w:val="20"/>
                <w:szCs w:val="20"/>
              </w:rPr>
            </w:pPr>
            <w:r w:rsidRPr="00FF756A">
              <w:rPr>
                <w:i/>
                <w:iCs/>
                <w:sz w:val="20"/>
                <w:szCs w:val="20"/>
              </w:rPr>
              <w:t>VKM nr. 418, datë 20.5.2020, “Për miratimin e strategjisë kombëtare dhe planit kombëtar të veprimit për menaxhimin e integruar të mbetjeve në Shqipëri, 2020–2035”; Studim Sektori mbi Nevojën për Investime në Menaxhimin e Integruar të Mbetjeve të Ngurta (MIMN) në Shqipëri (2018); VKM nr. 178, datë 6.3.2012, “Për incinerimin e mbetjeve”</w:t>
            </w:r>
          </w:p>
        </w:tc>
      </w:tr>
      <w:tr w:rsidR="00835192" w:rsidRPr="00FF756A" w14:paraId="4337D2E8" w14:textId="77777777" w:rsidTr="004A3257">
        <w:trPr>
          <w:trHeight w:val="20"/>
        </w:trPr>
        <w:tc>
          <w:tcPr>
            <w:tcW w:w="2203" w:type="dxa"/>
          </w:tcPr>
          <w:p w14:paraId="2C6A0372"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9" w:type="dxa"/>
            <w:gridSpan w:val="5"/>
          </w:tcPr>
          <w:p w14:paraId="7A12FA7C" w14:textId="5A522809" w:rsidR="00835192" w:rsidRPr="00FF756A" w:rsidRDefault="006B6D6E" w:rsidP="00835192">
            <w:pPr>
              <w:spacing w:before="20" w:after="20" w:line="240" w:lineRule="auto"/>
              <w:rPr>
                <w:i/>
                <w:iCs/>
                <w:sz w:val="20"/>
                <w:szCs w:val="20"/>
              </w:rPr>
            </w:pPr>
            <w:r w:rsidRPr="00FF756A">
              <w:rPr>
                <w:i/>
                <w:iCs/>
                <w:sz w:val="20"/>
                <w:szCs w:val="20"/>
              </w:rPr>
              <w:t>Ndërtimi i një</w:t>
            </w:r>
            <w:r w:rsidR="00835192" w:rsidRPr="00FF756A">
              <w:rPr>
                <w:i/>
                <w:iCs/>
                <w:sz w:val="20"/>
                <w:szCs w:val="20"/>
              </w:rPr>
              <w:t xml:space="preserve"> incenerator</w:t>
            </w:r>
            <w:r w:rsidRPr="00FF756A">
              <w:rPr>
                <w:i/>
                <w:iCs/>
                <w:sz w:val="20"/>
                <w:szCs w:val="20"/>
              </w:rPr>
              <w:t>i ka</w:t>
            </w:r>
            <w:r w:rsidR="00835192" w:rsidRPr="00FF756A">
              <w:rPr>
                <w:i/>
                <w:iCs/>
                <w:sz w:val="20"/>
                <w:szCs w:val="20"/>
              </w:rPr>
              <w:t xml:space="preserve"> përfunduar dhe </w:t>
            </w:r>
            <w:r w:rsidRPr="00FF756A">
              <w:rPr>
                <w:i/>
                <w:iCs/>
                <w:sz w:val="20"/>
                <w:szCs w:val="20"/>
              </w:rPr>
              <w:t xml:space="preserve">është </w:t>
            </w:r>
            <w:r w:rsidR="00835192" w:rsidRPr="00FF756A">
              <w:rPr>
                <w:i/>
                <w:iCs/>
                <w:sz w:val="20"/>
                <w:szCs w:val="20"/>
              </w:rPr>
              <w:t>funksional në Elbasan.</w:t>
            </w:r>
          </w:p>
          <w:p w14:paraId="45207197" w14:textId="77777777" w:rsidR="00835192" w:rsidRPr="00FF756A" w:rsidRDefault="00835192" w:rsidP="00835192">
            <w:pPr>
              <w:spacing w:before="20" w:after="20" w:line="240" w:lineRule="auto"/>
              <w:rPr>
                <w:i/>
                <w:iCs/>
                <w:sz w:val="20"/>
                <w:szCs w:val="20"/>
              </w:rPr>
            </w:pPr>
            <w:r w:rsidRPr="00FF756A">
              <w:rPr>
                <w:i/>
                <w:iCs/>
                <w:sz w:val="20"/>
                <w:szCs w:val="20"/>
              </w:rPr>
              <w:t>Kostot e parashikuara për periudhën 2018-2022 për investimet në impiantet e incinerimit me zgarë të lëvizshme në Fier dhe Tiranë janë përkatësisht 25,5 dhe 76 milionë euro.</w:t>
            </w:r>
          </w:p>
          <w:p w14:paraId="08B28227" w14:textId="77777777" w:rsidR="00835192" w:rsidRPr="00FF756A" w:rsidRDefault="00835192" w:rsidP="00835192">
            <w:pPr>
              <w:spacing w:before="20" w:after="20" w:line="240" w:lineRule="auto"/>
              <w:rPr>
                <w:i/>
                <w:iCs/>
                <w:sz w:val="20"/>
                <w:szCs w:val="20"/>
              </w:rPr>
            </w:pPr>
            <w:r w:rsidRPr="00FF756A">
              <w:rPr>
                <w:i/>
                <w:iCs/>
                <w:sz w:val="20"/>
                <w:szCs w:val="20"/>
              </w:rPr>
              <w:lastRenderedPageBreak/>
              <w:t>Që prej vitit 2020, 6 bashki i dërgojnë mbetjet e tyre në incineratorët përkatës.</w:t>
            </w:r>
          </w:p>
        </w:tc>
      </w:tr>
      <w:tr w:rsidR="00835192" w:rsidRPr="00FF756A" w14:paraId="236F73B7" w14:textId="77777777" w:rsidTr="004A3257">
        <w:trPr>
          <w:trHeight w:val="20"/>
        </w:trPr>
        <w:tc>
          <w:tcPr>
            <w:tcW w:w="2203" w:type="dxa"/>
          </w:tcPr>
          <w:p w14:paraId="4FA2E5B9"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Objektivi kryesor i PM</w:t>
            </w:r>
          </w:p>
        </w:tc>
        <w:tc>
          <w:tcPr>
            <w:tcW w:w="6869" w:type="dxa"/>
            <w:gridSpan w:val="5"/>
          </w:tcPr>
          <w:p w14:paraId="3753C313" w14:textId="1CD6BEA2" w:rsidR="00835192" w:rsidRPr="00FF756A" w:rsidRDefault="00C3156B" w:rsidP="00835192">
            <w:pPr>
              <w:spacing w:before="20" w:after="20" w:line="240" w:lineRule="auto"/>
              <w:rPr>
                <w:i/>
                <w:iCs/>
                <w:sz w:val="20"/>
                <w:szCs w:val="20"/>
              </w:rPr>
            </w:pPr>
            <w:r w:rsidRPr="00FF756A">
              <w:rPr>
                <w:i/>
                <w:iCs/>
                <w:sz w:val="20"/>
                <w:szCs w:val="20"/>
              </w:rPr>
              <w:t xml:space="preserve">Përmirësimi </w:t>
            </w:r>
            <w:r w:rsidR="00835192" w:rsidRPr="00FF756A">
              <w:rPr>
                <w:i/>
                <w:iCs/>
                <w:sz w:val="20"/>
                <w:szCs w:val="20"/>
              </w:rPr>
              <w:t>i grumbullimit dhe trajtimit të mbetjeve në mënyrë të integruar, në përputhje me standardet e BE-së, në sajë të përmirësimit të menaxhimit të mbetjeve. Transporti i mbetjeve në impiantet e transformimit të mbetjeve në energji.</w:t>
            </w:r>
          </w:p>
        </w:tc>
      </w:tr>
      <w:tr w:rsidR="00835192" w:rsidRPr="00FF756A" w14:paraId="38D7DE55" w14:textId="77777777" w:rsidTr="004A3257">
        <w:trPr>
          <w:trHeight w:val="20"/>
        </w:trPr>
        <w:tc>
          <w:tcPr>
            <w:tcW w:w="2203" w:type="dxa"/>
          </w:tcPr>
          <w:p w14:paraId="05B6F5B9"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9" w:type="dxa"/>
            <w:gridSpan w:val="5"/>
          </w:tcPr>
          <w:p w14:paraId="56FD5D3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Numri i bashkive që dërgojnë mbetjet e tyre në impiantet e prodhimit të energjisë nga mbetjet (WtE) do të shkojë nga 6 në vitin 2019 në 12 në vitin 2025. </w:t>
            </w:r>
          </w:p>
          <w:p w14:paraId="50ED40B2"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Të gjitha bashkitë që bëjnë pjesë në </w:t>
            </w:r>
            <w:bookmarkStart w:id="361" w:name="_Hlk178096927"/>
            <w:r w:rsidRPr="00FF756A">
              <w:rPr>
                <w:i/>
                <w:iCs/>
                <w:sz w:val="20"/>
                <w:szCs w:val="20"/>
              </w:rPr>
              <w:t xml:space="preserve">diapazonin e shërbimit të impianteve WtE </w:t>
            </w:r>
            <w:bookmarkEnd w:id="361"/>
            <w:r w:rsidRPr="00FF756A">
              <w:rPr>
                <w:i/>
                <w:iCs/>
                <w:sz w:val="20"/>
                <w:szCs w:val="20"/>
              </w:rPr>
              <w:t>pritet të dërgojnë mbetjet e tyre brenda vitit 2030 (duke mbuluar rreth 58% të popullsisë shqiptare).</w:t>
            </w:r>
          </w:p>
        </w:tc>
      </w:tr>
      <w:tr w:rsidR="00835192" w:rsidRPr="00FF756A" w14:paraId="0E9A92AF" w14:textId="77777777" w:rsidTr="004A3257">
        <w:trPr>
          <w:trHeight w:val="20"/>
        </w:trPr>
        <w:tc>
          <w:tcPr>
            <w:tcW w:w="2203" w:type="dxa"/>
          </w:tcPr>
          <w:p w14:paraId="4C792B69"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9" w:type="dxa"/>
            <w:gridSpan w:val="4"/>
          </w:tcPr>
          <w:p w14:paraId="5F832E6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Pas ndjekjes së të gjitha proceseve paraprake të grumbullimit të diferencuar, riciklimit, kompostimit, asgjësimit të mbetjeve të ngurta, në përputhje me politikat në këtë Dokument dhe skemat teknike të përcaktuara në Planin Kombëtar Sektorial për menaxhimin e mbetjeve të ngurta, bashkitë dhe prodhuesit e tjerë të mbetjeve mund të dërgojnë mbetje të tjera të djegshme në këto impiante të incinerimit në Elbasan, Fier dhe Tiranë.</w:t>
            </w:r>
          </w:p>
          <w:p w14:paraId="4697849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Mbështetja e bashkive në marrjen parasysh të incinerimit në planin e tyre të menaxhimit të integruar të mbetjeve. </w:t>
            </w:r>
          </w:p>
        </w:tc>
        <w:tc>
          <w:tcPr>
            <w:tcW w:w="850" w:type="dxa"/>
          </w:tcPr>
          <w:p w14:paraId="3DC6CC5B" w14:textId="77777777" w:rsidR="00835192" w:rsidRPr="00FF756A" w:rsidRDefault="00835192" w:rsidP="00835192">
            <w:pPr>
              <w:spacing w:before="20" w:after="20" w:line="240" w:lineRule="auto"/>
              <w:rPr>
                <w:i/>
                <w:iCs/>
                <w:sz w:val="20"/>
                <w:szCs w:val="20"/>
              </w:rPr>
            </w:pPr>
            <w:r w:rsidRPr="00FF756A">
              <w:rPr>
                <w:i/>
                <w:iCs/>
                <w:sz w:val="20"/>
                <w:szCs w:val="20"/>
              </w:rPr>
              <w:t>brenda vitit 2030</w:t>
            </w:r>
          </w:p>
        </w:tc>
      </w:tr>
      <w:tr w:rsidR="00835192" w:rsidRPr="00FF756A" w14:paraId="2279E744" w14:textId="77777777" w:rsidTr="004A3257">
        <w:trPr>
          <w:trHeight w:val="20"/>
        </w:trPr>
        <w:tc>
          <w:tcPr>
            <w:tcW w:w="2203" w:type="dxa"/>
          </w:tcPr>
          <w:p w14:paraId="5AF9EBF6"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9" w:type="dxa"/>
            <w:gridSpan w:val="5"/>
          </w:tcPr>
          <w:p w14:paraId="40DE1289" w14:textId="77777777" w:rsidR="00835192" w:rsidRPr="00FF756A" w:rsidRDefault="00835192" w:rsidP="00835192">
            <w:pPr>
              <w:spacing w:before="20" w:after="20" w:line="240" w:lineRule="auto"/>
              <w:rPr>
                <w:i/>
                <w:iCs/>
                <w:sz w:val="20"/>
                <w:szCs w:val="20"/>
              </w:rPr>
            </w:pPr>
            <w:r w:rsidRPr="00FF756A">
              <w:rPr>
                <w:i/>
                <w:iCs/>
                <w:sz w:val="20"/>
                <w:szCs w:val="20"/>
              </w:rPr>
              <w:t>Aktivitetet për rritjen e ndërgjegjësimit dhe trajnimin për bashkitë do të financohen nga programet e asistencës teknike, me një buxhet të parashikuar prej 100 000 eurosh.</w:t>
            </w:r>
          </w:p>
        </w:tc>
      </w:tr>
      <w:tr w:rsidR="00835192" w:rsidRPr="00FF756A" w14:paraId="2A1E7BDB" w14:textId="77777777" w:rsidTr="004A3257">
        <w:trPr>
          <w:trHeight w:val="20"/>
        </w:trPr>
        <w:tc>
          <w:tcPr>
            <w:tcW w:w="2203" w:type="dxa"/>
          </w:tcPr>
          <w:p w14:paraId="39A9D8D8"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43F0B8B3"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9" w:type="dxa"/>
            <w:gridSpan w:val="5"/>
          </w:tcPr>
          <w:p w14:paraId="04EA89E4"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Agjencia Kombëtare e Ujësjellës-Kanalizimeve dhe e Infrastrukturës së Mbetjeve; Bashkitë</w:t>
            </w:r>
          </w:p>
          <w:p w14:paraId="34B8A1A8" w14:textId="77777777" w:rsidR="00835192" w:rsidRPr="00FF756A" w:rsidRDefault="00835192" w:rsidP="00835192">
            <w:pPr>
              <w:spacing w:before="20" w:after="20" w:line="240" w:lineRule="auto"/>
              <w:rPr>
                <w:i/>
                <w:iCs/>
                <w:sz w:val="20"/>
                <w:szCs w:val="20"/>
              </w:rPr>
            </w:pPr>
            <w:r w:rsidRPr="00FF756A">
              <w:rPr>
                <w:i/>
                <w:iCs/>
                <w:sz w:val="20"/>
                <w:szCs w:val="20"/>
              </w:rPr>
              <w:t>(Agjencia Kombëtare e Ujësjellës-Kanalizimeve dhe e Infrastrukturës së Mbetjeve; Agjencia Kombëtare e Mjedisit; Bashkitë)</w:t>
            </w:r>
          </w:p>
        </w:tc>
      </w:tr>
      <w:tr w:rsidR="00835192" w:rsidRPr="00FF756A" w14:paraId="5FBA68E6" w14:textId="77777777" w:rsidTr="004A3257">
        <w:trPr>
          <w:trHeight w:val="20"/>
        </w:trPr>
        <w:tc>
          <w:tcPr>
            <w:tcW w:w="2203" w:type="dxa"/>
          </w:tcPr>
          <w:p w14:paraId="6E824185"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9" w:type="dxa"/>
            <w:gridSpan w:val="5"/>
          </w:tcPr>
          <w:p w14:paraId="161877AA" w14:textId="77777777" w:rsidR="00835192" w:rsidRPr="00FF756A" w:rsidRDefault="00835192" w:rsidP="00835192">
            <w:pPr>
              <w:spacing w:before="20" w:after="20" w:line="240" w:lineRule="auto"/>
              <w:rPr>
                <w:i/>
                <w:iCs/>
                <w:sz w:val="20"/>
                <w:szCs w:val="20"/>
              </w:rPr>
            </w:pPr>
            <w:r w:rsidRPr="00FF756A">
              <w:rPr>
                <w:i/>
                <w:iCs/>
                <w:sz w:val="20"/>
                <w:szCs w:val="20"/>
              </w:rPr>
              <w:t xml:space="preserve">Efiçenca e energjisë </w:t>
            </w:r>
          </w:p>
          <w:p w14:paraId="43B38169" w14:textId="77777777" w:rsidR="00835192" w:rsidRPr="00FF756A" w:rsidRDefault="00835192" w:rsidP="00835192">
            <w:pPr>
              <w:spacing w:before="20" w:after="20" w:line="240" w:lineRule="auto"/>
              <w:rPr>
                <w:i/>
                <w:iCs/>
                <w:sz w:val="20"/>
                <w:szCs w:val="20"/>
              </w:rPr>
            </w:pPr>
            <w:r w:rsidRPr="00FF756A">
              <w:rPr>
                <w:i/>
                <w:iCs/>
                <w:sz w:val="20"/>
                <w:szCs w:val="20"/>
              </w:rPr>
              <w:t xml:space="preserve">Marrëdhënia me PM-të e mëposhtme: </w:t>
            </w:r>
          </w:p>
          <w:p w14:paraId="58786C04" w14:textId="77777777" w:rsidR="00835192" w:rsidRPr="00FF756A" w:rsidRDefault="00835192" w:rsidP="00835192">
            <w:pPr>
              <w:spacing w:before="20" w:after="20" w:line="240" w:lineRule="auto"/>
              <w:rPr>
                <w:i/>
                <w:iCs/>
                <w:sz w:val="20"/>
                <w:szCs w:val="20"/>
              </w:rPr>
            </w:pPr>
            <w:r w:rsidRPr="00FF756A">
              <w:rPr>
                <w:i/>
                <w:iCs/>
                <w:sz w:val="20"/>
                <w:szCs w:val="20"/>
              </w:rPr>
              <w:t>G-W1 Reduktimi i shkarkimeve nga mbetjet</w:t>
            </w:r>
          </w:p>
          <w:p w14:paraId="1ED4AB40" w14:textId="77777777" w:rsidR="00835192" w:rsidRPr="00FF756A" w:rsidRDefault="00835192" w:rsidP="00835192">
            <w:pPr>
              <w:spacing w:before="20" w:after="20" w:line="240" w:lineRule="auto"/>
              <w:rPr>
                <w:i/>
                <w:iCs/>
                <w:sz w:val="20"/>
                <w:szCs w:val="20"/>
              </w:rPr>
            </w:pPr>
            <w:r w:rsidRPr="00FF756A">
              <w:rPr>
                <w:i/>
                <w:iCs/>
                <w:sz w:val="20"/>
                <w:szCs w:val="20"/>
              </w:rPr>
              <w:t xml:space="preserve">G-I3 Reduktimi i shkarkimeve të GES-ve nga prodhimi i çimentos </w:t>
            </w:r>
          </w:p>
        </w:tc>
      </w:tr>
    </w:tbl>
    <w:p w14:paraId="0D5737AB" w14:textId="77777777" w:rsidR="00835192" w:rsidRPr="00FF756A" w:rsidRDefault="00835192" w:rsidP="00835192"/>
    <w:tbl>
      <w:tblPr>
        <w:tblStyle w:val="TableGrid"/>
        <w:tblW w:w="0" w:type="auto"/>
        <w:tblBorders>
          <w:left w:val="none" w:sz="0" w:space="0" w:color="auto"/>
          <w:right w:val="none" w:sz="0" w:space="0" w:color="auto"/>
        </w:tblBorders>
        <w:tblLook w:val="04A0" w:firstRow="1" w:lastRow="0" w:firstColumn="1" w:lastColumn="0" w:noHBand="0" w:noVBand="1"/>
      </w:tblPr>
      <w:tblGrid>
        <w:gridCol w:w="2197"/>
        <w:gridCol w:w="1280"/>
        <w:gridCol w:w="600"/>
        <w:gridCol w:w="429"/>
        <w:gridCol w:w="3706"/>
        <w:gridCol w:w="850"/>
      </w:tblGrid>
      <w:tr w:rsidR="00835192" w:rsidRPr="00FF756A" w14:paraId="5C9B8E3A" w14:textId="77777777" w:rsidTr="004A3257">
        <w:trPr>
          <w:trHeight w:val="20"/>
        </w:trPr>
        <w:tc>
          <w:tcPr>
            <w:tcW w:w="4512"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5FF551D"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60"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F712A01" w14:textId="77777777" w:rsidR="00835192" w:rsidRPr="00FF756A" w:rsidRDefault="00835192" w:rsidP="008639B2">
            <w:pPr>
              <w:numPr>
                <w:ilvl w:val="0"/>
                <w:numId w:val="126"/>
              </w:numPr>
              <w:spacing w:before="20" w:after="20" w:line="240" w:lineRule="auto"/>
              <w:contextualSpacing/>
              <w:rPr>
                <w:i/>
                <w:iCs/>
                <w:sz w:val="20"/>
                <w:szCs w:val="20"/>
              </w:rPr>
            </w:pPr>
            <w:r w:rsidRPr="00FF756A">
              <w:rPr>
                <w:i/>
                <w:iCs/>
                <w:sz w:val="20"/>
                <w:szCs w:val="20"/>
              </w:rPr>
              <w:t>Dekarbonizimi</w:t>
            </w:r>
          </w:p>
          <w:p w14:paraId="0365347F" w14:textId="755C0CC3" w:rsidR="00835192" w:rsidRPr="00FF756A" w:rsidRDefault="00835192" w:rsidP="004A3257">
            <w:pPr>
              <w:spacing w:before="20" w:after="20" w:line="240" w:lineRule="auto"/>
              <w:contextualSpacing/>
              <w:rPr>
                <w:i/>
                <w:iCs/>
                <w:sz w:val="20"/>
                <w:szCs w:val="20"/>
              </w:rPr>
            </w:pPr>
            <w:r w:rsidRPr="00FF756A">
              <w:rPr>
                <w:i/>
                <w:iCs/>
                <w:sz w:val="20"/>
                <w:szCs w:val="20"/>
              </w:rPr>
              <w:t>Shkarkimet dhe eliminimi i GES-ve</w:t>
            </w:r>
          </w:p>
        </w:tc>
      </w:tr>
      <w:tr w:rsidR="00835192" w:rsidRPr="00FF756A" w14:paraId="272852A0" w14:textId="77777777" w:rsidTr="004A3257">
        <w:trPr>
          <w:trHeight w:val="20"/>
        </w:trPr>
        <w:tc>
          <w:tcPr>
            <w:tcW w:w="4082"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6AC39B6"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90"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82ED183" w14:textId="77777777" w:rsidR="00835192" w:rsidRPr="00FF756A" w:rsidRDefault="00835192" w:rsidP="00835192">
            <w:pPr>
              <w:spacing w:before="20" w:after="20" w:line="240" w:lineRule="auto"/>
              <w:rPr>
                <w:i/>
                <w:iCs/>
                <w:sz w:val="20"/>
                <w:szCs w:val="20"/>
              </w:rPr>
            </w:pPr>
            <w:r w:rsidRPr="00FF756A">
              <w:rPr>
                <w:i/>
                <w:iCs/>
                <w:sz w:val="20"/>
                <w:szCs w:val="20"/>
              </w:rPr>
              <w:t>Menaxhimi i mbetjeve</w:t>
            </w:r>
          </w:p>
        </w:tc>
      </w:tr>
      <w:tr w:rsidR="00835192" w:rsidRPr="00FF756A" w14:paraId="66FB5D10" w14:textId="77777777" w:rsidTr="004A3257">
        <w:trPr>
          <w:trHeight w:val="20"/>
        </w:trPr>
        <w:tc>
          <w:tcPr>
            <w:tcW w:w="3481" w:type="dxa"/>
            <w:gridSpan w:val="2"/>
            <w:tcBorders>
              <w:top w:val="single" w:sz="4" w:space="0" w:color="auto"/>
              <w:left w:val="single" w:sz="4" w:space="0" w:color="auto"/>
              <w:bottom w:val="single" w:sz="4" w:space="0" w:color="auto"/>
              <w:right w:val="single" w:sz="4" w:space="0" w:color="auto"/>
            </w:tcBorders>
          </w:tcPr>
          <w:p w14:paraId="50F69B44"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1FAF630F"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1" w:type="dxa"/>
            <w:gridSpan w:val="4"/>
            <w:tcBorders>
              <w:top w:val="single" w:sz="4" w:space="0" w:color="auto"/>
              <w:left w:val="single" w:sz="4" w:space="0" w:color="auto"/>
              <w:bottom w:val="single" w:sz="4" w:space="0" w:color="auto"/>
              <w:right w:val="single" w:sz="4" w:space="0" w:color="auto"/>
            </w:tcBorders>
          </w:tcPr>
          <w:p w14:paraId="26780ABF" w14:textId="77777777" w:rsidR="00835192" w:rsidRPr="00FF756A" w:rsidRDefault="00835192" w:rsidP="00835192">
            <w:pPr>
              <w:spacing w:before="20" w:after="20" w:line="240" w:lineRule="auto"/>
              <w:rPr>
                <w:i/>
                <w:iCs/>
                <w:sz w:val="20"/>
                <w:szCs w:val="20"/>
              </w:rPr>
            </w:pPr>
            <w:r w:rsidRPr="00FF756A">
              <w:rPr>
                <w:i/>
                <w:iCs/>
                <w:sz w:val="20"/>
                <w:szCs w:val="20"/>
              </w:rPr>
              <w:t>WEM</w:t>
            </w:r>
          </w:p>
          <w:p w14:paraId="6641021F" w14:textId="77777777" w:rsidR="00835192" w:rsidRPr="00FF756A" w:rsidRDefault="00835192" w:rsidP="00835192">
            <w:pPr>
              <w:spacing w:before="20" w:after="20" w:line="240" w:lineRule="auto"/>
              <w:rPr>
                <w:i/>
                <w:iCs/>
                <w:sz w:val="20"/>
                <w:szCs w:val="20"/>
              </w:rPr>
            </w:pPr>
            <w:r w:rsidRPr="00FF756A">
              <w:rPr>
                <w:i/>
                <w:iCs/>
                <w:sz w:val="20"/>
                <w:szCs w:val="20"/>
              </w:rPr>
              <w:t>Rregullator; Financiar</w:t>
            </w:r>
          </w:p>
        </w:tc>
      </w:tr>
      <w:tr w:rsidR="00835192" w:rsidRPr="00FF756A" w14:paraId="5B485D2A" w14:textId="77777777" w:rsidTr="004A3257">
        <w:trPr>
          <w:trHeight w:val="20"/>
        </w:trPr>
        <w:tc>
          <w:tcPr>
            <w:tcW w:w="2199" w:type="dxa"/>
            <w:tcBorders>
              <w:top w:val="single" w:sz="4" w:space="0" w:color="auto"/>
              <w:left w:val="single" w:sz="4" w:space="0" w:color="auto"/>
              <w:bottom w:val="single" w:sz="4" w:space="0" w:color="auto"/>
              <w:right w:val="single" w:sz="4" w:space="0" w:color="auto"/>
            </w:tcBorders>
          </w:tcPr>
          <w:p w14:paraId="542E2E0A"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0AA91FCF"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3" w:type="dxa"/>
            <w:gridSpan w:val="5"/>
            <w:tcBorders>
              <w:top w:val="single" w:sz="4" w:space="0" w:color="auto"/>
              <w:left w:val="single" w:sz="4" w:space="0" w:color="auto"/>
              <w:bottom w:val="single" w:sz="4" w:space="0" w:color="auto"/>
              <w:right w:val="single" w:sz="4" w:space="0" w:color="auto"/>
            </w:tcBorders>
          </w:tcPr>
          <w:p w14:paraId="15360A70" w14:textId="77777777" w:rsidR="00835192" w:rsidRPr="00FF756A" w:rsidRDefault="00835192" w:rsidP="00835192">
            <w:pPr>
              <w:spacing w:before="20" w:after="20" w:line="240" w:lineRule="auto"/>
              <w:rPr>
                <w:i/>
                <w:iCs/>
                <w:sz w:val="20"/>
                <w:szCs w:val="20"/>
              </w:rPr>
            </w:pPr>
            <w:r w:rsidRPr="00FF756A">
              <w:rPr>
                <w:i/>
                <w:iCs/>
                <w:sz w:val="20"/>
                <w:szCs w:val="20"/>
              </w:rPr>
              <w:t>Shtimi i impianteve të trajtimit të ujërave të përdorura dhe mbulimit të tyre përkatës</w:t>
            </w:r>
          </w:p>
          <w:p w14:paraId="553B340B" w14:textId="77777777" w:rsidR="00835192" w:rsidRPr="00FF756A" w:rsidRDefault="00835192" w:rsidP="00835192">
            <w:pPr>
              <w:spacing w:before="20" w:after="20" w:line="240" w:lineRule="auto"/>
              <w:rPr>
                <w:i/>
                <w:iCs/>
                <w:sz w:val="20"/>
                <w:szCs w:val="20"/>
              </w:rPr>
            </w:pPr>
            <w:r w:rsidRPr="00FF756A">
              <w:rPr>
                <w:i/>
                <w:iCs/>
                <w:sz w:val="20"/>
                <w:szCs w:val="20"/>
              </w:rPr>
              <w:t>(G-W3)</w:t>
            </w:r>
          </w:p>
        </w:tc>
      </w:tr>
      <w:tr w:rsidR="00835192" w:rsidRPr="00FF756A" w14:paraId="58707CBC" w14:textId="77777777" w:rsidTr="004A3257">
        <w:trPr>
          <w:trHeight w:val="20"/>
        </w:trPr>
        <w:tc>
          <w:tcPr>
            <w:tcW w:w="2199" w:type="dxa"/>
            <w:tcBorders>
              <w:top w:val="single" w:sz="4" w:space="0" w:color="auto"/>
              <w:left w:val="single" w:sz="4" w:space="0" w:color="auto"/>
              <w:bottom w:val="single" w:sz="4" w:space="0" w:color="auto"/>
              <w:right w:val="single" w:sz="4" w:space="0" w:color="auto"/>
            </w:tcBorders>
          </w:tcPr>
          <w:p w14:paraId="022B05EE"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3" w:type="dxa"/>
            <w:gridSpan w:val="5"/>
            <w:tcBorders>
              <w:top w:val="single" w:sz="4" w:space="0" w:color="auto"/>
              <w:left w:val="single" w:sz="4" w:space="0" w:color="auto"/>
              <w:bottom w:val="single" w:sz="4" w:space="0" w:color="auto"/>
              <w:right w:val="single" w:sz="4" w:space="0" w:color="auto"/>
            </w:tcBorders>
          </w:tcPr>
          <w:p w14:paraId="478F1DA1" w14:textId="77777777" w:rsidR="00835192" w:rsidRPr="00FF756A" w:rsidRDefault="00835192" w:rsidP="00835192">
            <w:pPr>
              <w:spacing w:before="20" w:after="20" w:line="240" w:lineRule="auto"/>
              <w:rPr>
                <w:i/>
                <w:iCs/>
                <w:sz w:val="20"/>
                <w:szCs w:val="20"/>
              </w:rPr>
            </w:pPr>
            <w:r w:rsidRPr="00FF756A">
              <w:rPr>
                <w:i/>
                <w:iCs/>
                <w:sz w:val="20"/>
                <w:szCs w:val="20"/>
              </w:rPr>
              <w:t>2020 – 2040</w:t>
            </w:r>
          </w:p>
        </w:tc>
      </w:tr>
      <w:tr w:rsidR="00835192" w:rsidRPr="00FF756A" w14:paraId="416AD6D5" w14:textId="77777777" w:rsidTr="004A3257">
        <w:trPr>
          <w:trHeight w:val="20"/>
        </w:trPr>
        <w:tc>
          <w:tcPr>
            <w:tcW w:w="2199" w:type="dxa"/>
            <w:tcBorders>
              <w:top w:val="single" w:sz="4" w:space="0" w:color="auto"/>
              <w:left w:val="single" w:sz="4" w:space="0" w:color="auto"/>
              <w:bottom w:val="single" w:sz="4" w:space="0" w:color="auto"/>
              <w:right w:val="single" w:sz="4" w:space="0" w:color="auto"/>
            </w:tcBorders>
          </w:tcPr>
          <w:p w14:paraId="6E6E2192"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3" w:type="dxa"/>
            <w:gridSpan w:val="5"/>
            <w:tcBorders>
              <w:top w:val="single" w:sz="4" w:space="0" w:color="auto"/>
              <w:left w:val="single" w:sz="4" w:space="0" w:color="auto"/>
              <w:bottom w:val="single" w:sz="4" w:space="0" w:color="auto"/>
              <w:right w:val="single" w:sz="4" w:space="0" w:color="auto"/>
            </w:tcBorders>
          </w:tcPr>
          <w:p w14:paraId="120ABFC0" w14:textId="77777777" w:rsidR="00835192" w:rsidRPr="00FF756A" w:rsidRDefault="00835192" w:rsidP="00835192">
            <w:pPr>
              <w:spacing w:before="20" w:after="20" w:line="240" w:lineRule="auto"/>
              <w:rPr>
                <w:i/>
                <w:iCs/>
                <w:sz w:val="20"/>
                <w:szCs w:val="20"/>
              </w:rPr>
            </w:pPr>
            <w:r w:rsidRPr="00FF756A">
              <w:rPr>
                <w:i/>
                <w:iCs/>
                <w:sz w:val="20"/>
                <w:szCs w:val="20"/>
              </w:rPr>
              <w:t>Master Plani Kombëtar i Ujësjellës Kanalizimeve (2013 – 2040); Strategjia Kombëtare e Sektorit të Furnizimit me Ujë dhe Kanalizimeve, 2020-2030 (draft); Ligji nr. 9115, datë 24.07.2003, “Për trajtimin mjedisor të ujërave të ndotura”, i ndryshuar; VKM nr. 177, datë 31.03.2005, “Për normat e lejuara te shkarkimeve të lëngëta dhe kriteret e zonimit të mjediseve ujore pritëse”</w:t>
            </w:r>
          </w:p>
        </w:tc>
      </w:tr>
      <w:tr w:rsidR="00835192" w:rsidRPr="00FF756A" w14:paraId="67A84A22" w14:textId="77777777" w:rsidTr="004A3257">
        <w:trPr>
          <w:trHeight w:val="20"/>
        </w:trPr>
        <w:tc>
          <w:tcPr>
            <w:tcW w:w="2199" w:type="dxa"/>
            <w:tcBorders>
              <w:top w:val="single" w:sz="4" w:space="0" w:color="auto"/>
              <w:left w:val="single" w:sz="4" w:space="0" w:color="auto"/>
              <w:bottom w:val="single" w:sz="4" w:space="0" w:color="auto"/>
              <w:right w:val="single" w:sz="4" w:space="0" w:color="auto"/>
            </w:tcBorders>
          </w:tcPr>
          <w:p w14:paraId="3AC0780E"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3" w:type="dxa"/>
            <w:gridSpan w:val="5"/>
            <w:tcBorders>
              <w:top w:val="single" w:sz="4" w:space="0" w:color="auto"/>
              <w:left w:val="single" w:sz="4" w:space="0" w:color="auto"/>
              <w:bottom w:val="single" w:sz="4" w:space="0" w:color="auto"/>
              <w:right w:val="single" w:sz="4" w:space="0" w:color="auto"/>
            </w:tcBorders>
          </w:tcPr>
          <w:p w14:paraId="04CA804A" w14:textId="77777777" w:rsidR="00835192" w:rsidRPr="00FF756A" w:rsidRDefault="00835192" w:rsidP="00835192">
            <w:pPr>
              <w:spacing w:before="20" w:after="20" w:line="240" w:lineRule="auto"/>
              <w:rPr>
                <w:i/>
                <w:iCs/>
                <w:sz w:val="20"/>
                <w:szCs w:val="20"/>
              </w:rPr>
            </w:pPr>
            <w:r w:rsidRPr="00FF756A">
              <w:rPr>
                <w:i/>
                <w:iCs/>
                <w:sz w:val="20"/>
                <w:szCs w:val="20"/>
              </w:rPr>
              <w:t>Mbulimi me kanalizime në nivel kombëtar ka arritur në 56,3%. Mbulimi me kanalizime, në bazë të tipologjisë së zonave të shërbimit, është 79,5% në zonat urbane dhe 16% në zonat rurale. Vetëm 14,3% e popullsisë urbane është e lidhur me impiant trajtimi të ujërave të përdorura. Në Shqipëri ka 12 impiante aktualisht funksionale të trajtimit të ujërave të përdorura.</w:t>
            </w:r>
          </w:p>
        </w:tc>
      </w:tr>
      <w:tr w:rsidR="00835192" w:rsidRPr="00FF756A" w14:paraId="667D9EC9" w14:textId="77777777" w:rsidTr="004A3257">
        <w:trPr>
          <w:trHeight w:val="20"/>
        </w:trPr>
        <w:tc>
          <w:tcPr>
            <w:tcW w:w="2199" w:type="dxa"/>
            <w:tcBorders>
              <w:top w:val="single" w:sz="4" w:space="0" w:color="auto"/>
              <w:left w:val="single" w:sz="4" w:space="0" w:color="auto"/>
              <w:bottom w:val="single" w:sz="4" w:space="0" w:color="auto"/>
              <w:right w:val="single" w:sz="4" w:space="0" w:color="auto"/>
            </w:tcBorders>
          </w:tcPr>
          <w:p w14:paraId="3E30DD7B"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3" w:type="dxa"/>
            <w:gridSpan w:val="5"/>
            <w:tcBorders>
              <w:top w:val="single" w:sz="4" w:space="0" w:color="auto"/>
              <w:left w:val="single" w:sz="4" w:space="0" w:color="auto"/>
              <w:bottom w:val="single" w:sz="4" w:space="0" w:color="auto"/>
              <w:right w:val="single" w:sz="4" w:space="0" w:color="auto"/>
            </w:tcBorders>
          </w:tcPr>
          <w:p w14:paraId="73AD9D6F" w14:textId="77777777" w:rsidR="00835192" w:rsidRPr="00FF756A" w:rsidRDefault="00835192" w:rsidP="00835192">
            <w:pPr>
              <w:spacing w:before="20" w:after="20" w:line="240" w:lineRule="auto"/>
              <w:rPr>
                <w:i/>
                <w:iCs/>
                <w:sz w:val="20"/>
                <w:szCs w:val="20"/>
              </w:rPr>
            </w:pPr>
            <w:r w:rsidRPr="00FF756A">
              <w:rPr>
                <w:i/>
                <w:iCs/>
                <w:sz w:val="20"/>
                <w:szCs w:val="20"/>
              </w:rPr>
              <w:t>Rritja e numrit të impianteve të trajtimit të ujërave të përdorura në Shqipëri dhe e përqindjes së popullsisë së lidhur me impiant trajtimi të ujërave të përdorura.</w:t>
            </w:r>
          </w:p>
        </w:tc>
      </w:tr>
      <w:tr w:rsidR="00835192" w:rsidRPr="00FF756A" w14:paraId="494FF09B" w14:textId="77777777" w:rsidTr="004A3257">
        <w:trPr>
          <w:trHeight w:val="20"/>
        </w:trPr>
        <w:tc>
          <w:tcPr>
            <w:tcW w:w="2199" w:type="dxa"/>
            <w:tcBorders>
              <w:top w:val="single" w:sz="4" w:space="0" w:color="auto"/>
              <w:left w:val="single" w:sz="4" w:space="0" w:color="auto"/>
              <w:bottom w:val="single" w:sz="4" w:space="0" w:color="auto"/>
              <w:right w:val="single" w:sz="4" w:space="0" w:color="auto"/>
            </w:tcBorders>
          </w:tcPr>
          <w:p w14:paraId="7C4181C6"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3" w:type="dxa"/>
            <w:gridSpan w:val="5"/>
            <w:tcBorders>
              <w:top w:val="single" w:sz="4" w:space="0" w:color="auto"/>
              <w:left w:val="single" w:sz="4" w:space="0" w:color="auto"/>
              <w:bottom w:val="single" w:sz="4" w:space="0" w:color="auto"/>
              <w:right w:val="single" w:sz="4" w:space="0" w:color="auto"/>
            </w:tcBorders>
          </w:tcPr>
          <w:p w14:paraId="781C735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Objektivi për mbulimin me trajtim të ujërave të përdorura nga</w:t>
            </w:r>
            <w:r w:rsidRPr="00FF756A">
              <w:t xml:space="preserve"> </w:t>
            </w:r>
            <w:bookmarkStart w:id="362" w:name="_Hlk75523154"/>
            <w:r w:rsidRPr="00FF756A">
              <w:rPr>
                <w:i/>
                <w:iCs/>
                <w:sz w:val="20"/>
                <w:szCs w:val="20"/>
              </w:rPr>
              <w:t>ITUP</w:t>
            </w:r>
            <w:bookmarkEnd w:id="362"/>
            <w:r w:rsidRPr="00FF756A">
              <w:rPr>
                <w:i/>
                <w:iCs/>
                <w:sz w:val="20"/>
                <w:szCs w:val="20"/>
              </w:rPr>
              <w:t xml:space="preserve"> është si më poshtë: </w:t>
            </w:r>
          </w:p>
          <w:p w14:paraId="768134A7" w14:textId="77777777" w:rsidR="00835192" w:rsidRPr="00FF756A" w:rsidRDefault="00835192" w:rsidP="00835192">
            <w:pPr>
              <w:spacing w:before="20" w:after="20" w:line="240" w:lineRule="auto"/>
              <w:ind w:left="720"/>
              <w:contextualSpacing/>
              <w:rPr>
                <w:i/>
                <w:iCs/>
                <w:sz w:val="20"/>
                <w:szCs w:val="20"/>
              </w:rPr>
            </w:pPr>
            <w:r w:rsidRPr="00FF756A">
              <w:rPr>
                <w:i/>
                <w:iCs/>
                <w:sz w:val="20"/>
                <w:szCs w:val="20"/>
              </w:rPr>
              <w:tab/>
              <w:t xml:space="preserve">Viti </w:t>
            </w:r>
            <w:r w:rsidRPr="00FF756A">
              <w:rPr>
                <w:i/>
                <w:iCs/>
                <w:sz w:val="20"/>
                <w:szCs w:val="20"/>
              </w:rPr>
              <w:tab/>
            </w:r>
            <w:r w:rsidRPr="00FF756A">
              <w:rPr>
                <w:i/>
                <w:iCs/>
                <w:sz w:val="20"/>
                <w:szCs w:val="20"/>
              </w:rPr>
              <w:tab/>
              <w:t>Përqindja</w:t>
            </w:r>
          </w:p>
          <w:p w14:paraId="55CDF476" w14:textId="77777777" w:rsidR="00835192" w:rsidRPr="00FF756A" w:rsidRDefault="00835192" w:rsidP="00835192">
            <w:pPr>
              <w:spacing w:before="20" w:after="20" w:line="240" w:lineRule="auto"/>
              <w:ind w:left="720"/>
              <w:contextualSpacing/>
              <w:rPr>
                <w:i/>
                <w:iCs/>
                <w:sz w:val="20"/>
                <w:szCs w:val="20"/>
              </w:rPr>
            </w:pPr>
            <w:r w:rsidRPr="00FF756A">
              <w:rPr>
                <w:i/>
                <w:iCs/>
                <w:sz w:val="20"/>
                <w:szCs w:val="20"/>
              </w:rPr>
              <w:tab/>
              <w:t>2021</w:t>
            </w:r>
            <w:r w:rsidRPr="00FF756A">
              <w:rPr>
                <w:i/>
                <w:iCs/>
                <w:sz w:val="20"/>
                <w:szCs w:val="20"/>
              </w:rPr>
              <w:tab/>
            </w:r>
            <w:r w:rsidRPr="00FF756A">
              <w:rPr>
                <w:i/>
                <w:iCs/>
                <w:sz w:val="20"/>
                <w:szCs w:val="20"/>
              </w:rPr>
              <w:tab/>
              <w:t>14</w:t>
            </w:r>
          </w:p>
          <w:p w14:paraId="59282E34" w14:textId="77777777" w:rsidR="00835192" w:rsidRPr="00FF756A" w:rsidRDefault="00835192" w:rsidP="00835192">
            <w:pPr>
              <w:spacing w:before="20" w:after="20" w:line="240" w:lineRule="auto"/>
              <w:ind w:left="720"/>
              <w:contextualSpacing/>
              <w:rPr>
                <w:i/>
                <w:iCs/>
                <w:sz w:val="20"/>
                <w:szCs w:val="20"/>
              </w:rPr>
            </w:pPr>
            <w:r w:rsidRPr="00FF756A">
              <w:rPr>
                <w:i/>
                <w:iCs/>
                <w:sz w:val="20"/>
                <w:szCs w:val="20"/>
              </w:rPr>
              <w:tab/>
              <w:t>2022</w:t>
            </w:r>
            <w:r w:rsidRPr="00FF756A">
              <w:rPr>
                <w:i/>
                <w:iCs/>
                <w:sz w:val="20"/>
                <w:szCs w:val="20"/>
              </w:rPr>
              <w:tab/>
            </w:r>
            <w:r w:rsidRPr="00FF756A">
              <w:rPr>
                <w:i/>
                <w:iCs/>
                <w:sz w:val="20"/>
                <w:szCs w:val="20"/>
              </w:rPr>
              <w:tab/>
              <w:t>17</w:t>
            </w:r>
          </w:p>
          <w:p w14:paraId="75816AD6" w14:textId="77777777" w:rsidR="00835192" w:rsidRPr="00FF756A" w:rsidRDefault="00835192" w:rsidP="00835192">
            <w:pPr>
              <w:spacing w:before="20" w:after="20" w:line="240" w:lineRule="auto"/>
              <w:ind w:left="720"/>
              <w:contextualSpacing/>
              <w:rPr>
                <w:i/>
                <w:iCs/>
                <w:sz w:val="20"/>
                <w:szCs w:val="20"/>
              </w:rPr>
            </w:pPr>
            <w:r w:rsidRPr="00FF756A">
              <w:rPr>
                <w:i/>
                <w:iCs/>
                <w:sz w:val="20"/>
                <w:szCs w:val="20"/>
              </w:rPr>
              <w:lastRenderedPageBreak/>
              <w:tab/>
              <w:t>2023</w:t>
            </w:r>
            <w:r w:rsidRPr="00FF756A">
              <w:rPr>
                <w:i/>
                <w:iCs/>
                <w:sz w:val="20"/>
                <w:szCs w:val="20"/>
              </w:rPr>
              <w:tab/>
            </w:r>
            <w:r w:rsidRPr="00FF756A">
              <w:rPr>
                <w:i/>
                <w:iCs/>
                <w:sz w:val="20"/>
                <w:szCs w:val="20"/>
              </w:rPr>
              <w:tab/>
              <w:t>20</w:t>
            </w:r>
          </w:p>
          <w:p w14:paraId="00EC8DCE" w14:textId="77777777" w:rsidR="00835192" w:rsidRPr="00FF756A" w:rsidRDefault="00835192" w:rsidP="00835192">
            <w:pPr>
              <w:spacing w:before="20" w:after="20" w:line="240" w:lineRule="auto"/>
              <w:ind w:left="720"/>
              <w:contextualSpacing/>
              <w:rPr>
                <w:i/>
                <w:iCs/>
                <w:sz w:val="20"/>
                <w:szCs w:val="20"/>
              </w:rPr>
            </w:pPr>
            <w:r w:rsidRPr="00FF756A">
              <w:rPr>
                <w:i/>
                <w:iCs/>
                <w:sz w:val="20"/>
                <w:szCs w:val="20"/>
              </w:rPr>
              <w:tab/>
              <w:t>2024</w:t>
            </w:r>
            <w:r w:rsidRPr="00FF756A">
              <w:rPr>
                <w:i/>
                <w:iCs/>
                <w:sz w:val="20"/>
                <w:szCs w:val="20"/>
              </w:rPr>
              <w:tab/>
            </w:r>
            <w:r w:rsidRPr="00FF756A">
              <w:rPr>
                <w:i/>
                <w:iCs/>
                <w:sz w:val="20"/>
                <w:szCs w:val="20"/>
              </w:rPr>
              <w:tab/>
              <w:t>24</w:t>
            </w:r>
          </w:p>
          <w:p w14:paraId="0E08C745" w14:textId="77777777" w:rsidR="00835192" w:rsidRPr="00FF756A" w:rsidRDefault="00835192" w:rsidP="00835192">
            <w:pPr>
              <w:spacing w:before="20" w:after="20" w:line="240" w:lineRule="auto"/>
              <w:ind w:left="720"/>
              <w:contextualSpacing/>
              <w:rPr>
                <w:i/>
                <w:iCs/>
                <w:sz w:val="20"/>
                <w:szCs w:val="20"/>
              </w:rPr>
            </w:pPr>
            <w:r w:rsidRPr="00FF756A">
              <w:rPr>
                <w:i/>
                <w:iCs/>
                <w:sz w:val="20"/>
                <w:szCs w:val="20"/>
              </w:rPr>
              <w:tab/>
              <w:t>2025</w:t>
            </w:r>
            <w:r w:rsidRPr="00FF756A">
              <w:rPr>
                <w:i/>
                <w:iCs/>
                <w:sz w:val="20"/>
                <w:szCs w:val="20"/>
              </w:rPr>
              <w:tab/>
            </w:r>
            <w:r w:rsidRPr="00FF756A">
              <w:rPr>
                <w:i/>
                <w:iCs/>
                <w:sz w:val="20"/>
                <w:szCs w:val="20"/>
              </w:rPr>
              <w:tab/>
              <w:t>28</w:t>
            </w:r>
          </w:p>
          <w:p w14:paraId="01D154B9" w14:textId="77777777" w:rsidR="00835192" w:rsidRPr="00FF756A" w:rsidRDefault="00835192" w:rsidP="00835192">
            <w:pPr>
              <w:spacing w:before="20" w:after="20" w:line="240" w:lineRule="auto"/>
              <w:ind w:left="720"/>
              <w:contextualSpacing/>
              <w:rPr>
                <w:i/>
                <w:iCs/>
                <w:sz w:val="20"/>
                <w:szCs w:val="20"/>
              </w:rPr>
            </w:pPr>
            <w:r w:rsidRPr="00FF756A">
              <w:rPr>
                <w:i/>
                <w:iCs/>
                <w:sz w:val="20"/>
                <w:szCs w:val="20"/>
              </w:rPr>
              <w:tab/>
              <w:t>2026</w:t>
            </w:r>
            <w:r w:rsidRPr="00FF756A">
              <w:rPr>
                <w:i/>
                <w:iCs/>
                <w:sz w:val="20"/>
                <w:szCs w:val="20"/>
              </w:rPr>
              <w:tab/>
            </w:r>
            <w:r w:rsidRPr="00FF756A">
              <w:rPr>
                <w:i/>
                <w:iCs/>
                <w:sz w:val="20"/>
                <w:szCs w:val="20"/>
              </w:rPr>
              <w:tab/>
              <w:t>32</w:t>
            </w:r>
          </w:p>
          <w:p w14:paraId="56ABF417" w14:textId="77777777" w:rsidR="00835192" w:rsidRPr="00FF756A" w:rsidRDefault="00835192" w:rsidP="00835192">
            <w:pPr>
              <w:spacing w:before="20" w:after="20" w:line="240" w:lineRule="auto"/>
              <w:ind w:left="720"/>
              <w:contextualSpacing/>
              <w:rPr>
                <w:i/>
                <w:iCs/>
                <w:sz w:val="20"/>
                <w:szCs w:val="20"/>
              </w:rPr>
            </w:pPr>
            <w:r w:rsidRPr="00FF756A">
              <w:rPr>
                <w:i/>
                <w:iCs/>
                <w:sz w:val="20"/>
                <w:szCs w:val="20"/>
              </w:rPr>
              <w:tab/>
              <w:t>2027</w:t>
            </w:r>
            <w:r w:rsidRPr="00FF756A">
              <w:rPr>
                <w:i/>
                <w:iCs/>
                <w:sz w:val="20"/>
                <w:szCs w:val="20"/>
              </w:rPr>
              <w:tab/>
            </w:r>
            <w:r w:rsidRPr="00FF756A">
              <w:rPr>
                <w:i/>
                <w:iCs/>
                <w:sz w:val="20"/>
                <w:szCs w:val="20"/>
              </w:rPr>
              <w:tab/>
              <w:t>39</w:t>
            </w:r>
          </w:p>
          <w:p w14:paraId="1DC0055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Në 2024 pritet të miratohet strategjia e menaxhimit të llumrave.</w:t>
            </w:r>
          </w:p>
          <w:p w14:paraId="6A9AA244"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Në 2025 pritet të miratohet ngritja e një laboratori për analizën e llumrave në Shqipëri.</w:t>
            </w:r>
          </w:p>
        </w:tc>
      </w:tr>
      <w:tr w:rsidR="00835192" w:rsidRPr="00FF756A" w14:paraId="763FB2FD" w14:textId="77777777" w:rsidTr="004A3257">
        <w:trPr>
          <w:trHeight w:val="20"/>
        </w:trPr>
        <w:tc>
          <w:tcPr>
            <w:tcW w:w="2199" w:type="dxa"/>
            <w:tcBorders>
              <w:top w:val="single" w:sz="4" w:space="0" w:color="auto"/>
              <w:left w:val="single" w:sz="4" w:space="0" w:color="auto"/>
              <w:bottom w:val="single" w:sz="4" w:space="0" w:color="auto"/>
              <w:right w:val="single" w:sz="4" w:space="0" w:color="auto"/>
            </w:tcBorders>
          </w:tcPr>
          <w:p w14:paraId="1ACE4559"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Masat që duhet të zbatohen</w:t>
            </w:r>
          </w:p>
        </w:tc>
        <w:tc>
          <w:tcPr>
            <w:tcW w:w="6023" w:type="dxa"/>
            <w:gridSpan w:val="4"/>
            <w:tcBorders>
              <w:top w:val="single" w:sz="4" w:space="0" w:color="auto"/>
              <w:left w:val="single" w:sz="4" w:space="0" w:color="auto"/>
              <w:bottom w:val="single" w:sz="4" w:space="0" w:color="auto"/>
              <w:right w:val="single" w:sz="4" w:space="0" w:color="auto"/>
            </w:tcBorders>
          </w:tcPr>
          <w:p w14:paraId="76473568" w14:textId="77777777" w:rsidR="00835192" w:rsidRPr="00FF756A" w:rsidRDefault="00835192" w:rsidP="00835192">
            <w:pPr>
              <w:spacing w:before="20" w:after="20" w:line="240" w:lineRule="auto"/>
              <w:rPr>
                <w:i/>
                <w:iCs/>
                <w:sz w:val="20"/>
                <w:szCs w:val="20"/>
              </w:rPr>
            </w:pPr>
            <w:r w:rsidRPr="00FF756A">
              <w:rPr>
                <w:i/>
                <w:iCs/>
                <w:sz w:val="20"/>
                <w:szCs w:val="20"/>
              </w:rPr>
              <w:t xml:space="preserve">Kuadri ligjor </w:t>
            </w:r>
          </w:p>
          <w:p w14:paraId="24D8BAF6"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Harmonizimi i plotë me Direktivën “Për trajtimin e ujërave të përdorura urbane”</w:t>
            </w:r>
          </w:p>
          <w:p w14:paraId="298943AA" w14:textId="77777777" w:rsidR="00835192" w:rsidRPr="00FF756A" w:rsidRDefault="00835192" w:rsidP="00835192">
            <w:pPr>
              <w:spacing w:before="20" w:after="20" w:line="240" w:lineRule="auto"/>
              <w:rPr>
                <w:i/>
                <w:iCs/>
                <w:sz w:val="20"/>
                <w:szCs w:val="20"/>
              </w:rPr>
            </w:pPr>
            <w:r w:rsidRPr="00FF756A">
              <w:rPr>
                <w:i/>
                <w:iCs/>
                <w:sz w:val="20"/>
                <w:szCs w:val="20"/>
              </w:rPr>
              <w:t xml:space="preserve">Financimi i infrastrukturës </w:t>
            </w:r>
          </w:p>
          <w:p w14:paraId="11F59180"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Zgjerimi i rrjeteve të kanalizimeve, licencimi dhe aplikimi i tarifave për të gjitha impiantet e trajtimit të ujërave të përdorura dhe ndërtimi i impianteve të reja, veçanërisht në zonat urbane dhe bregdetare dhe ato të parapëlqyera nga turistët</w:t>
            </w:r>
          </w:p>
          <w:p w14:paraId="14DB8C9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Financimi shtetëror për ndërhyrjet e drejtpërdrejta në infrastrukturën e trajtimit të ujërave të përdorura, mbështetja nga donatorët e huaj (kryesisht IPA III dhe donatorët dypalësh), kompanitë private (përmes Partneriteteve Publike Private) dhe projekti IPA (III) 2022 për sektorin e ujit në Shqipëri</w:t>
            </w:r>
          </w:p>
          <w:p w14:paraId="45ACE2A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Mbledhje e tarifave për ujërat e përdorura nga qytetarët</w:t>
            </w:r>
          </w:p>
        </w:tc>
        <w:tc>
          <w:tcPr>
            <w:tcW w:w="850" w:type="dxa"/>
            <w:tcBorders>
              <w:top w:val="single" w:sz="4" w:space="0" w:color="auto"/>
              <w:left w:val="single" w:sz="4" w:space="0" w:color="auto"/>
              <w:bottom w:val="single" w:sz="4" w:space="0" w:color="auto"/>
              <w:right w:val="single" w:sz="4" w:space="0" w:color="auto"/>
            </w:tcBorders>
          </w:tcPr>
          <w:p w14:paraId="147F24AA"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2025</w:t>
            </w:r>
            <w:r w:rsidRPr="00FF756A">
              <w:rPr>
                <w:i/>
                <w:iCs/>
                <w:sz w:val="20"/>
                <w:szCs w:val="20"/>
              </w:rPr>
              <w:br/>
            </w:r>
          </w:p>
          <w:p w14:paraId="6CAE4FFE"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2040</w:t>
            </w:r>
          </w:p>
        </w:tc>
      </w:tr>
      <w:tr w:rsidR="00835192" w:rsidRPr="00FF756A" w14:paraId="2ACC95B5" w14:textId="77777777" w:rsidTr="004A3257">
        <w:trPr>
          <w:trHeight w:val="20"/>
        </w:trPr>
        <w:tc>
          <w:tcPr>
            <w:tcW w:w="2199" w:type="dxa"/>
            <w:tcBorders>
              <w:top w:val="single" w:sz="4" w:space="0" w:color="auto"/>
              <w:left w:val="single" w:sz="4" w:space="0" w:color="auto"/>
              <w:bottom w:val="single" w:sz="4" w:space="0" w:color="auto"/>
              <w:right w:val="single" w:sz="4" w:space="0" w:color="auto"/>
            </w:tcBorders>
          </w:tcPr>
          <w:p w14:paraId="04C28D86"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3" w:type="dxa"/>
            <w:gridSpan w:val="5"/>
            <w:tcBorders>
              <w:top w:val="single" w:sz="4" w:space="0" w:color="auto"/>
              <w:left w:val="single" w:sz="4" w:space="0" w:color="auto"/>
              <w:bottom w:val="single" w:sz="4" w:space="0" w:color="auto"/>
              <w:right w:val="single" w:sz="4" w:space="0" w:color="auto"/>
            </w:tcBorders>
          </w:tcPr>
          <w:p w14:paraId="36BBF9AA" w14:textId="77777777" w:rsidR="00835192" w:rsidRPr="00FF756A" w:rsidRDefault="00835192" w:rsidP="00835192">
            <w:pPr>
              <w:spacing w:before="20" w:after="20" w:line="240" w:lineRule="auto"/>
              <w:rPr>
                <w:i/>
                <w:iCs/>
                <w:sz w:val="20"/>
                <w:szCs w:val="20"/>
              </w:rPr>
            </w:pPr>
            <w:r w:rsidRPr="00FF756A">
              <w:rPr>
                <w:i/>
                <w:iCs/>
                <w:sz w:val="20"/>
                <w:szCs w:val="20"/>
              </w:rPr>
              <w:t>Strategjia Kombëtare e Sektorit të Furnizimit me Ujë dhe Kanalizimeve 2019-2030 (draft) ka një kosto prej rreth 1,5 miliardë euro, nga të cilat 99,2% i zë infrastruktura dhe 0,8% asistenca teknike.</w:t>
            </w:r>
          </w:p>
          <w:p w14:paraId="6465BA22" w14:textId="77777777" w:rsidR="00835192" w:rsidRPr="00FF756A" w:rsidRDefault="00835192" w:rsidP="00835192">
            <w:pPr>
              <w:spacing w:before="20" w:after="20" w:line="240" w:lineRule="auto"/>
              <w:rPr>
                <w:i/>
                <w:iCs/>
                <w:sz w:val="20"/>
                <w:szCs w:val="20"/>
              </w:rPr>
            </w:pPr>
            <w:r w:rsidRPr="00FF756A">
              <w:rPr>
                <w:i/>
                <w:iCs/>
                <w:sz w:val="20"/>
                <w:szCs w:val="20"/>
              </w:rPr>
              <w:t xml:space="preserve">Sipas Agjencisë Kombëtare të Ujësjellës-Kanalizimeve dhe Infrastrukturës së Mbetjeve, buxheti i parashikuar për </w:t>
            </w:r>
            <w:bookmarkStart w:id="363" w:name="_Hlk178099556"/>
            <w:r w:rsidRPr="00FF756A">
              <w:rPr>
                <w:i/>
                <w:iCs/>
                <w:sz w:val="20"/>
                <w:szCs w:val="20"/>
              </w:rPr>
              <w:t xml:space="preserve"> furnizimin me ujë, grumbullimin dhe trajtimin e ujërave të përdorura </w:t>
            </w:r>
            <w:bookmarkEnd w:id="363"/>
            <w:r w:rsidRPr="00FF756A">
              <w:rPr>
                <w:i/>
                <w:iCs/>
                <w:sz w:val="20"/>
                <w:szCs w:val="20"/>
              </w:rPr>
              <w:t>ishte:</w:t>
            </w:r>
          </w:p>
          <w:p w14:paraId="2DA2A037" w14:textId="77777777" w:rsidR="00835192" w:rsidRPr="00FF756A" w:rsidRDefault="00835192" w:rsidP="00835192">
            <w:pPr>
              <w:spacing w:before="20" w:after="20" w:line="240" w:lineRule="auto"/>
              <w:rPr>
                <w:i/>
                <w:iCs/>
                <w:sz w:val="20"/>
                <w:szCs w:val="20"/>
              </w:rPr>
            </w:pPr>
            <w:r w:rsidRPr="00FF756A">
              <w:rPr>
                <w:i/>
                <w:iCs/>
                <w:sz w:val="20"/>
                <w:szCs w:val="20"/>
              </w:rPr>
              <w:t>Viti</w:t>
            </w:r>
            <w:r w:rsidRPr="00FF756A">
              <w:rPr>
                <w:i/>
                <w:iCs/>
                <w:sz w:val="20"/>
                <w:szCs w:val="20"/>
              </w:rPr>
              <w:tab/>
              <w:t>Buxheti i shtetit</w:t>
            </w:r>
            <w:r w:rsidRPr="00FF756A">
              <w:rPr>
                <w:i/>
                <w:iCs/>
                <w:sz w:val="20"/>
                <w:szCs w:val="20"/>
              </w:rPr>
              <w:tab/>
              <w:t>Investime të huaja</w:t>
            </w:r>
            <w:r w:rsidRPr="00FF756A">
              <w:rPr>
                <w:i/>
                <w:iCs/>
                <w:sz w:val="20"/>
                <w:szCs w:val="20"/>
              </w:rPr>
              <w:tab/>
              <w:t>Totali</w:t>
            </w:r>
          </w:p>
          <w:p w14:paraId="52E92D1B" w14:textId="77777777" w:rsidR="00835192" w:rsidRPr="00FF756A" w:rsidRDefault="00835192" w:rsidP="00835192">
            <w:pPr>
              <w:spacing w:before="20" w:after="20" w:line="240" w:lineRule="auto"/>
              <w:rPr>
                <w:i/>
                <w:iCs/>
                <w:sz w:val="20"/>
                <w:szCs w:val="20"/>
              </w:rPr>
            </w:pPr>
            <w:r w:rsidRPr="00FF756A">
              <w:rPr>
                <w:i/>
                <w:iCs/>
                <w:sz w:val="20"/>
                <w:szCs w:val="20"/>
              </w:rPr>
              <w:t>2021</w:t>
            </w:r>
            <w:r w:rsidRPr="00FF756A">
              <w:rPr>
                <w:i/>
                <w:iCs/>
                <w:sz w:val="20"/>
                <w:szCs w:val="20"/>
              </w:rPr>
              <w:tab/>
              <w:t>36,35</w:t>
            </w:r>
            <w:r w:rsidRPr="00FF756A">
              <w:rPr>
                <w:i/>
                <w:iCs/>
                <w:sz w:val="20"/>
                <w:szCs w:val="20"/>
              </w:rPr>
              <w:tab/>
            </w:r>
            <w:r w:rsidRPr="00FF756A">
              <w:rPr>
                <w:i/>
                <w:iCs/>
                <w:sz w:val="20"/>
                <w:szCs w:val="20"/>
              </w:rPr>
              <w:tab/>
              <w:t>46,82</w:t>
            </w:r>
            <w:r w:rsidRPr="00FF756A">
              <w:rPr>
                <w:i/>
                <w:iCs/>
                <w:sz w:val="20"/>
                <w:szCs w:val="20"/>
              </w:rPr>
              <w:tab/>
            </w:r>
            <w:r w:rsidRPr="00FF756A">
              <w:rPr>
                <w:i/>
                <w:iCs/>
                <w:sz w:val="20"/>
                <w:szCs w:val="20"/>
              </w:rPr>
              <w:tab/>
            </w:r>
            <w:r w:rsidRPr="00FF756A">
              <w:rPr>
                <w:i/>
                <w:iCs/>
                <w:sz w:val="20"/>
                <w:szCs w:val="20"/>
              </w:rPr>
              <w:tab/>
              <w:t>83,17 milionë euro</w:t>
            </w:r>
          </w:p>
          <w:p w14:paraId="56743774" w14:textId="77777777" w:rsidR="00835192" w:rsidRPr="00FF756A" w:rsidRDefault="00835192" w:rsidP="00835192">
            <w:pPr>
              <w:spacing w:before="20" w:after="20" w:line="240" w:lineRule="auto"/>
              <w:rPr>
                <w:i/>
                <w:iCs/>
                <w:sz w:val="20"/>
                <w:szCs w:val="20"/>
              </w:rPr>
            </w:pPr>
            <w:r w:rsidRPr="00FF756A">
              <w:rPr>
                <w:i/>
                <w:iCs/>
                <w:sz w:val="20"/>
                <w:szCs w:val="20"/>
              </w:rPr>
              <w:t>2022</w:t>
            </w:r>
            <w:r w:rsidRPr="00FF756A">
              <w:rPr>
                <w:i/>
                <w:iCs/>
                <w:sz w:val="20"/>
                <w:szCs w:val="20"/>
              </w:rPr>
              <w:tab/>
              <w:t>44,35</w:t>
            </w:r>
            <w:r w:rsidRPr="00FF756A">
              <w:rPr>
                <w:i/>
                <w:iCs/>
                <w:sz w:val="20"/>
                <w:szCs w:val="20"/>
              </w:rPr>
              <w:tab/>
            </w:r>
            <w:r w:rsidRPr="00FF756A">
              <w:rPr>
                <w:i/>
                <w:iCs/>
                <w:sz w:val="20"/>
                <w:szCs w:val="20"/>
              </w:rPr>
              <w:tab/>
              <w:t>40,18</w:t>
            </w:r>
            <w:r w:rsidRPr="00FF756A">
              <w:rPr>
                <w:i/>
                <w:iCs/>
                <w:sz w:val="20"/>
                <w:szCs w:val="20"/>
              </w:rPr>
              <w:tab/>
            </w:r>
            <w:r w:rsidRPr="00FF756A">
              <w:rPr>
                <w:i/>
                <w:iCs/>
                <w:sz w:val="20"/>
                <w:szCs w:val="20"/>
              </w:rPr>
              <w:tab/>
            </w:r>
            <w:r w:rsidRPr="00FF756A">
              <w:rPr>
                <w:i/>
                <w:iCs/>
                <w:sz w:val="20"/>
                <w:szCs w:val="20"/>
              </w:rPr>
              <w:tab/>
              <w:t>84,53 milionë euro</w:t>
            </w:r>
          </w:p>
          <w:p w14:paraId="43804464" w14:textId="77777777" w:rsidR="00835192" w:rsidRPr="00FF756A" w:rsidRDefault="00835192" w:rsidP="00835192">
            <w:pPr>
              <w:spacing w:before="20" w:after="20" w:line="240" w:lineRule="auto"/>
              <w:rPr>
                <w:i/>
                <w:iCs/>
                <w:sz w:val="20"/>
                <w:szCs w:val="20"/>
              </w:rPr>
            </w:pPr>
            <w:r w:rsidRPr="00FF756A">
              <w:rPr>
                <w:i/>
                <w:iCs/>
                <w:sz w:val="20"/>
                <w:szCs w:val="20"/>
              </w:rPr>
              <w:t xml:space="preserve">Kjo mund të shërbejë si një tregues për shpenzimet vjetore. </w:t>
            </w:r>
          </w:p>
        </w:tc>
      </w:tr>
      <w:tr w:rsidR="00835192" w:rsidRPr="00FF756A" w14:paraId="13EDB268" w14:textId="77777777" w:rsidTr="004A3257">
        <w:trPr>
          <w:trHeight w:val="20"/>
        </w:trPr>
        <w:tc>
          <w:tcPr>
            <w:tcW w:w="2199" w:type="dxa"/>
            <w:tcBorders>
              <w:top w:val="single" w:sz="4" w:space="0" w:color="auto"/>
              <w:left w:val="single" w:sz="4" w:space="0" w:color="auto"/>
              <w:bottom w:val="single" w:sz="4" w:space="0" w:color="auto"/>
              <w:right w:val="single" w:sz="4" w:space="0" w:color="auto"/>
            </w:tcBorders>
          </w:tcPr>
          <w:p w14:paraId="05981161"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35DF7ACC"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3" w:type="dxa"/>
            <w:gridSpan w:val="5"/>
            <w:tcBorders>
              <w:top w:val="single" w:sz="4" w:space="0" w:color="auto"/>
              <w:left w:val="single" w:sz="4" w:space="0" w:color="auto"/>
              <w:bottom w:val="single" w:sz="4" w:space="0" w:color="auto"/>
              <w:right w:val="single" w:sz="4" w:space="0" w:color="auto"/>
            </w:tcBorders>
          </w:tcPr>
          <w:p w14:paraId="5976C5AA"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Agjencia Kombëtare e Ujësjellës-Kanalizimeve dhe e Infrastrukturës së Mbetjeve; bashkitë</w:t>
            </w:r>
          </w:p>
          <w:p w14:paraId="3C89F7A1" w14:textId="77777777" w:rsidR="00835192" w:rsidRPr="00FF756A" w:rsidRDefault="00835192" w:rsidP="00835192">
            <w:pPr>
              <w:spacing w:before="20" w:after="20" w:line="240" w:lineRule="auto"/>
              <w:rPr>
                <w:i/>
                <w:iCs/>
                <w:sz w:val="20"/>
                <w:szCs w:val="20"/>
              </w:rPr>
            </w:pPr>
            <w:r w:rsidRPr="00FF756A">
              <w:rPr>
                <w:i/>
                <w:iCs/>
                <w:sz w:val="20"/>
                <w:szCs w:val="20"/>
              </w:rPr>
              <w:t xml:space="preserve">(Agjencia Kombëtare e Ujësjellës-Kanalizimeve dhe Infrastrukturës së Mbetjeve; </w:t>
            </w:r>
            <w:bookmarkStart w:id="364" w:name="_Hlk178099602"/>
            <w:r w:rsidRPr="00FF756A">
              <w:rPr>
                <w:i/>
                <w:iCs/>
                <w:sz w:val="20"/>
                <w:szCs w:val="20"/>
              </w:rPr>
              <w:t>ERRU;</w:t>
            </w:r>
            <w:bookmarkEnd w:id="364"/>
            <w:r w:rsidRPr="00FF756A">
              <w:rPr>
                <w:i/>
                <w:iCs/>
                <w:sz w:val="20"/>
                <w:szCs w:val="20"/>
              </w:rPr>
              <w:t xml:space="preserve"> Bashkitë)</w:t>
            </w:r>
          </w:p>
        </w:tc>
      </w:tr>
      <w:tr w:rsidR="00835192" w:rsidRPr="00FF756A" w14:paraId="53172E55" w14:textId="77777777" w:rsidTr="004A3257">
        <w:trPr>
          <w:trHeight w:val="20"/>
        </w:trPr>
        <w:tc>
          <w:tcPr>
            <w:tcW w:w="2199" w:type="dxa"/>
            <w:tcBorders>
              <w:top w:val="single" w:sz="4" w:space="0" w:color="auto"/>
              <w:left w:val="single" w:sz="4" w:space="0" w:color="auto"/>
              <w:bottom w:val="single" w:sz="4" w:space="0" w:color="auto"/>
              <w:right w:val="single" w:sz="4" w:space="0" w:color="auto"/>
            </w:tcBorders>
          </w:tcPr>
          <w:p w14:paraId="20E20E3C"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3" w:type="dxa"/>
            <w:gridSpan w:val="5"/>
            <w:tcBorders>
              <w:top w:val="single" w:sz="4" w:space="0" w:color="auto"/>
              <w:left w:val="single" w:sz="4" w:space="0" w:color="auto"/>
              <w:bottom w:val="single" w:sz="4" w:space="0" w:color="auto"/>
              <w:right w:val="single" w:sz="4" w:space="0" w:color="auto"/>
            </w:tcBorders>
          </w:tcPr>
          <w:p w14:paraId="1B48CE18" w14:textId="77777777" w:rsidR="00835192" w:rsidRPr="00FF756A" w:rsidRDefault="00835192" w:rsidP="00835192">
            <w:pPr>
              <w:spacing w:before="20" w:after="20" w:line="240" w:lineRule="auto"/>
              <w:rPr>
                <w:i/>
                <w:iCs/>
                <w:sz w:val="20"/>
                <w:szCs w:val="20"/>
              </w:rPr>
            </w:pPr>
          </w:p>
        </w:tc>
      </w:tr>
    </w:tbl>
    <w:p w14:paraId="3B5954E3" w14:textId="77777777" w:rsidR="00835192" w:rsidRPr="00FF756A" w:rsidRDefault="00835192" w:rsidP="00835192">
      <w:pPr>
        <w:spacing w:before="0" w:after="0" w:line="240" w:lineRule="auto"/>
        <w:jc w:val="left"/>
      </w:pPr>
    </w:p>
    <w:p w14:paraId="795BFABA" w14:textId="77777777" w:rsidR="0040658E" w:rsidRPr="00FF756A" w:rsidRDefault="0040658E" w:rsidP="00835192">
      <w:pPr>
        <w:spacing w:before="0" w:after="0" w:line="240" w:lineRule="auto"/>
        <w:jc w:val="left"/>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2201"/>
        <w:gridCol w:w="1281"/>
        <w:gridCol w:w="600"/>
        <w:gridCol w:w="428"/>
        <w:gridCol w:w="3702"/>
        <w:gridCol w:w="850"/>
      </w:tblGrid>
      <w:tr w:rsidR="00835192" w:rsidRPr="00FF756A" w14:paraId="079B6BE2" w14:textId="77777777" w:rsidTr="004A3257">
        <w:trPr>
          <w:trHeight w:val="20"/>
        </w:trPr>
        <w:tc>
          <w:tcPr>
            <w:tcW w:w="4516"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D1A526B"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56"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5D8B76D" w14:textId="77777777" w:rsidR="00835192" w:rsidRPr="00FF756A" w:rsidRDefault="00835192" w:rsidP="008639B2">
            <w:pPr>
              <w:numPr>
                <w:ilvl w:val="0"/>
                <w:numId w:val="142"/>
              </w:numPr>
              <w:spacing w:before="20" w:after="20" w:line="240" w:lineRule="auto"/>
              <w:contextualSpacing/>
              <w:rPr>
                <w:i/>
                <w:iCs/>
                <w:sz w:val="20"/>
                <w:szCs w:val="20"/>
              </w:rPr>
            </w:pPr>
            <w:r w:rsidRPr="00FF756A">
              <w:rPr>
                <w:i/>
                <w:iCs/>
                <w:sz w:val="20"/>
                <w:szCs w:val="20"/>
              </w:rPr>
              <w:t>Dekarbonizimi</w:t>
            </w:r>
          </w:p>
          <w:p w14:paraId="0601A173" w14:textId="676292B8" w:rsidR="00835192" w:rsidRPr="00FF756A" w:rsidRDefault="00835192" w:rsidP="004A3257">
            <w:pPr>
              <w:spacing w:before="20" w:after="20" w:line="240" w:lineRule="auto"/>
              <w:contextualSpacing/>
              <w:rPr>
                <w:i/>
                <w:iCs/>
                <w:sz w:val="20"/>
                <w:szCs w:val="20"/>
              </w:rPr>
            </w:pPr>
            <w:r w:rsidRPr="00FF756A">
              <w:rPr>
                <w:i/>
                <w:iCs/>
                <w:sz w:val="20"/>
                <w:szCs w:val="20"/>
              </w:rPr>
              <w:t>Shkarkimet dhe eliminimi i GES-ve</w:t>
            </w:r>
          </w:p>
        </w:tc>
      </w:tr>
      <w:tr w:rsidR="00835192" w:rsidRPr="00FF756A" w14:paraId="1DDE8FDC" w14:textId="77777777" w:rsidTr="004A3257">
        <w:trPr>
          <w:trHeight w:val="20"/>
        </w:trPr>
        <w:tc>
          <w:tcPr>
            <w:tcW w:w="4087"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0866BEE"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85"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FE77774" w14:textId="77777777" w:rsidR="00835192" w:rsidRPr="00FF756A" w:rsidRDefault="00835192" w:rsidP="00835192">
            <w:pPr>
              <w:spacing w:before="20" w:after="20" w:line="240" w:lineRule="auto"/>
              <w:rPr>
                <w:i/>
                <w:iCs/>
                <w:sz w:val="20"/>
                <w:szCs w:val="20"/>
              </w:rPr>
            </w:pPr>
            <w:r w:rsidRPr="00FF756A">
              <w:rPr>
                <w:i/>
                <w:iCs/>
                <w:sz w:val="20"/>
                <w:szCs w:val="20"/>
              </w:rPr>
              <w:t>Menaxhimi i mbetjeve</w:t>
            </w:r>
          </w:p>
        </w:tc>
      </w:tr>
      <w:tr w:rsidR="00835192" w:rsidRPr="00FF756A" w14:paraId="4516DF77" w14:textId="77777777" w:rsidTr="004A3257">
        <w:trPr>
          <w:trHeight w:val="20"/>
        </w:trPr>
        <w:tc>
          <w:tcPr>
            <w:tcW w:w="3486" w:type="dxa"/>
            <w:gridSpan w:val="2"/>
            <w:tcBorders>
              <w:top w:val="single" w:sz="4" w:space="0" w:color="auto"/>
              <w:left w:val="single" w:sz="4" w:space="0" w:color="auto"/>
              <w:bottom w:val="single" w:sz="4" w:space="0" w:color="auto"/>
              <w:right w:val="single" w:sz="4" w:space="0" w:color="auto"/>
            </w:tcBorders>
          </w:tcPr>
          <w:p w14:paraId="7E41A1FE"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36F07A85"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6" w:type="dxa"/>
            <w:gridSpan w:val="4"/>
            <w:tcBorders>
              <w:top w:val="single" w:sz="4" w:space="0" w:color="auto"/>
              <w:left w:val="single" w:sz="4" w:space="0" w:color="auto"/>
              <w:bottom w:val="single" w:sz="4" w:space="0" w:color="auto"/>
              <w:right w:val="single" w:sz="4" w:space="0" w:color="auto"/>
            </w:tcBorders>
          </w:tcPr>
          <w:p w14:paraId="429913DD" w14:textId="77777777" w:rsidR="00835192" w:rsidRPr="00FF756A" w:rsidRDefault="00835192" w:rsidP="00835192">
            <w:pPr>
              <w:spacing w:before="20" w:after="20" w:line="240" w:lineRule="auto"/>
              <w:rPr>
                <w:i/>
                <w:iCs/>
                <w:sz w:val="20"/>
                <w:szCs w:val="20"/>
              </w:rPr>
            </w:pPr>
            <w:r w:rsidRPr="00FF756A">
              <w:rPr>
                <w:i/>
                <w:iCs/>
                <w:sz w:val="20"/>
                <w:szCs w:val="20"/>
              </w:rPr>
              <w:t xml:space="preserve">WEM    </w:t>
            </w:r>
          </w:p>
          <w:p w14:paraId="059BCD12" w14:textId="77777777" w:rsidR="00835192" w:rsidRPr="00FF756A" w:rsidRDefault="00835192" w:rsidP="00835192">
            <w:pPr>
              <w:spacing w:before="20" w:after="20" w:line="240" w:lineRule="auto"/>
              <w:rPr>
                <w:i/>
                <w:iCs/>
                <w:sz w:val="20"/>
                <w:szCs w:val="20"/>
              </w:rPr>
            </w:pPr>
            <w:r w:rsidRPr="00FF756A">
              <w:rPr>
                <w:i/>
                <w:iCs/>
                <w:sz w:val="20"/>
                <w:szCs w:val="20"/>
              </w:rPr>
              <w:t xml:space="preserve">Edukativ </w:t>
            </w:r>
          </w:p>
        </w:tc>
      </w:tr>
      <w:tr w:rsidR="00835192" w:rsidRPr="00FF756A" w14:paraId="6A6CED25"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1987AD5A"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0512165D"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9" w:type="dxa"/>
            <w:gridSpan w:val="5"/>
            <w:tcBorders>
              <w:top w:val="single" w:sz="4" w:space="0" w:color="auto"/>
              <w:left w:val="single" w:sz="4" w:space="0" w:color="auto"/>
              <w:bottom w:val="single" w:sz="4" w:space="0" w:color="auto"/>
              <w:right w:val="single" w:sz="4" w:space="0" w:color="auto"/>
            </w:tcBorders>
          </w:tcPr>
          <w:p w14:paraId="21F097E6" w14:textId="77777777" w:rsidR="00835192" w:rsidRPr="00FF756A" w:rsidRDefault="00835192" w:rsidP="00835192">
            <w:pPr>
              <w:spacing w:before="20" w:after="20" w:line="240" w:lineRule="auto"/>
              <w:rPr>
                <w:i/>
                <w:iCs/>
                <w:sz w:val="20"/>
                <w:szCs w:val="20"/>
              </w:rPr>
            </w:pPr>
            <w:r w:rsidRPr="00FF756A">
              <w:rPr>
                <w:i/>
                <w:iCs/>
                <w:sz w:val="20"/>
                <w:szCs w:val="20"/>
              </w:rPr>
              <w:t xml:space="preserve">Ngritja e kapaciteteve dhe zhvillimi organizativ për bashkitë lidhur me trajtimin e mbetjeve dhe ujërave të përdorura </w:t>
            </w:r>
          </w:p>
          <w:p w14:paraId="2600092E" w14:textId="77777777" w:rsidR="00835192" w:rsidRPr="00FF756A" w:rsidRDefault="00835192" w:rsidP="00835192">
            <w:pPr>
              <w:spacing w:before="20" w:after="20" w:line="240" w:lineRule="auto"/>
              <w:rPr>
                <w:i/>
                <w:iCs/>
                <w:sz w:val="20"/>
                <w:szCs w:val="20"/>
              </w:rPr>
            </w:pPr>
            <w:r w:rsidRPr="00FF756A">
              <w:rPr>
                <w:i/>
                <w:iCs/>
                <w:sz w:val="20"/>
                <w:szCs w:val="20"/>
              </w:rPr>
              <w:t>(G-W4)</w:t>
            </w:r>
          </w:p>
        </w:tc>
      </w:tr>
      <w:tr w:rsidR="00835192" w:rsidRPr="00FF756A" w14:paraId="4429C8E0"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6FD2908F"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9" w:type="dxa"/>
            <w:gridSpan w:val="5"/>
            <w:tcBorders>
              <w:top w:val="single" w:sz="4" w:space="0" w:color="auto"/>
              <w:left w:val="single" w:sz="4" w:space="0" w:color="auto"/>
              <w:bottom w:val="single" w:sz="4" w:space="0" w:color="auto"/>
              <w:right w:val="single" w:sz="4" w:space="0" w:color="auto"/>
            </w:tcBorders>
          </w:tcPr>
          <w:p w14:paraId="7C00C245" w14:textId="77777777" w:rsidR="00835192" w:rsidRPr="00FF756A" w:rsidRDefault="00835192" w:rsidP="00835192">
            <w:pPr>
              <w:spacing w:before="20" w:after="20" w:line="240" w:lineRule="auto"/>
              <w:rPr>
                <w:i/>
                <w:iCs/>
                <w:sz w:val="20"/>
                <w:szCs w:val="20"/>
              </w:rPr>
            </w:pPr>
            <w:r w:rsidRPr="00FF756A">
              <w:rPr>
                <w:i/>
                <w:iCs/>
                <w:sz w:val="20"/>
                <w:szCs w:val="20"/>
              </w:rPr>
              <w:t>2023 – në vazhdim</w:t>
            </w:r>
          </w:p>
        </w:tc>
      </w:tr>
      <w:tr w:rsidR="00835192" w:rsidRPr="00FF756A" w14:paraId="498DCF9A"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120C244D"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9" w:type="dxa"/>
            <w:gridSpan w:val="5"/>
            <w:tcBorders>
              <w:top w:val="single" w:sz="4" w:space="0" w:color="auto"/>
              <w:left w:val="single" w:sz="4" w:space="0" w:color="auto"/>
              <w:bottom w:val="single" w:sz="4" w:space="0" w:color="auto"/>
              <w:right w:val="single" w:sz="4" w:space="0" w:color="auto"/>
            </w:tcBorders>
          </w:tcPr>
          <w:p w14:paraId="76D9592A" w14:textId="77777777" w:rsidR="00835192" w:rsidRPr="00FF756A" w:rsidRDefault="00835192" w:rsidP="00835192">
            <w:pPr>
              <w:spacing w:before="20" w:after="20" w:line="240" w:lineRule="auto"/>
              <w:rPr>
                <w:i/>
                <w:iCs/>
                <w:sz w:val="20"/>
                <w:szCs w:val="20"/>
              </w:rPr>
            </w:pPr>
            <w:r w:rsidRPr="00FF756A">
              <w:rPr>
                <w:i/>
                <w:iCs/>
                <w:sz w:val="20"/>
                <w:szCs w:val="20"/>
              </w:rPr>
              <w:t>VKM nr. 418, datë 20.5.2020, “Për miratimin e strategjisë kombëtare dhe planit kombëtar të veprimit për menaxhimin e integruar të mbetjeve në Shqipëri, 2020–2035”; Studimi i Sektorit mbi Nevojën për Investime në Menaxhimin e Integruar të Mbetjeve të Ngurta (MIMN) në Shqipëri (2018);</w:t>
            </w:r>
          </w:p>
          <w:p w14:paraId="0B3E8D22" w14:textId="77777777" w:rsidR="00835192" w:rsidRPr="00FF756A" w:rsidRDefault="00835192" w:rsidP="00835192">
            <w:pPr>
              <w:spacing w:before="20" w:after="20" w:line="240" w:lineRule="auto"/>
              <w:rPr>
                <w:i/>
                <w:iCs/>
                <w:sz w:val="20"/>
                <w:szCs w:val="20"/>
              </w:rPr>
            </w:pPr>
            <w:r w:rsidRPr="00FF756A">
              <w:rPr>
                <w:i/>
                <w:iCs/>
                <w:sz w:val="20"/>
                <w:szCs w:val="20"/>
              </w:rPr>
              <w:lastRenderedPageBreak/>
              <w:t>Plani Kombëtar Sektorial për menaxhimin e mbetjeve të ngurta, i miratuar me Vendim të KKT-së Nr.1, datë 13.1.2020, VKM nr. 418, datë 25.06.2014, “Për grumbullimin e diferencuar të mbetjeve në burim”, VKM nr. 177, datë 06.03.2012 “Për ambalazhet dhe mbetjet e tyre”, i ndryshuar, VKM nr. 575, datë 24.06.2015, “Për miratimin e kërkesave për menaxhimin e mbetjeve inerte”, VKM nr. 319, datë 31.5.2018 “Për miratimin e masave për koston e menaxhimit të integruar të mbetjeve”.</w:t>
            </w:r>
          </w:p>
          <w:p w14:paraId="79B901FA" w14:textId="77777777" w:rsidR="00835192" w:rsidRPr="00FF756A" w:rsidRDefault="00835192" w:rsidP="00835192">
            <w:pPr>
              <w:spacing w:before="20" w:after="20" w:line="240" w:lineRule="auto"/>
              <w:rPr>
                <w:i/>
                <w:iCs/>
                <w:sz w:val="20"/>
                <w:szCs w:val="20"/>
              </w:rPr>
            </w:pPr>
            <w:r w:rsidRPr="00FF756A">
              <w:rPr>
                <w:i/>
                <w:iCs/>
                <w:sz w:val="20"/>
                <w:szCs w:val="20"/>
              </w:rPr>
              <w:t>Master Plani Kombëtar i Ujësjellës Kanalizimeve (2013 – 2040); Strategjia Kombëtare e Sektorit të Furnizimit me Ujë dhe Kanalizimeve, 2020-2030 (draft); Ligji nr. 9115, datë 24.07.2003, “Për trajtimin mjedisor të ujërave të ndotura”, i ndryshuar; VKM nr. 177, datë 31.03.2005, “Për normat e lejuara te shkarkimeve të lëngëta dhe kriteret e zonimit të mjediseve ujore pritëse”</w:t>
            </w:r>
          </w:p>
        </w:tc>
      </w:tr>
      <w:tr w:rsidR="00835192" w:rsidRPr="00FF756A" w14:paraId="59F293C1"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6062237B"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Masat e marra deri më tani</w:t>
            </w:r>
          </w:p>
        </w:tc>
        <w:tc>
          <w:tcPr>
            <w:tcW w:w="6869" w:type="dxa"/>
            <w:gridSpan w:val="5"/>
            <w:tcBorders>
              <w:top w:val="single" w:sz="4" w:space="0" w:color="auto"/>
              <w:left w:val="single" w:sz="4" w:space="0" w:color="auto"/>
              <w:bottom w:val="single" w:sz="4" w:space="0" w:color="auto"/>
              <w:right w:val="single" w:sz="4" w:space="0" w:color="auto"/>
            </w:tcBorders>
          </w:tcPr>
          <w:p w14:paraId="2FF80C09" w14:textId="77777777" w:rsidR="00835192" w:rsidRPr="00FF756A" w:rsidRDefault="00835192" w:rsidP="00835192">
            <w:pPr>
              <w:spacing w:before="20" w:after="20" w:line="240" w:lineRule="auto"/>
              <w:rPr>
                <w:i/>
                <w:iCs/>
                <w:sz w:val="20"/>
                <w:szCs w:val="20"/>
              </w:rPr>
            </w:pPr>
            <w:r w:rsidRPr="00FF756A">
              <w:rPr>
                <w:i/>
                <w:iCs/>
                <w:sz w:val="20"/>
                <w:szCs w:val="20"/>
              </w:rPr>
              <w:t>Zbatimi i masave në G-W1, G-W2, G-W3 është në vazhdim</w:t>
            </w:r>
          </w:p>
        </w:tc>
      </w:tr>
      <w:tr w:rsidR="00835192" w:rsidRPr="00FF756A" w14:paraId="284753B8"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4A1B2ED3"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9" w:type="dxa"/>
            <w:gridSpan w:val="5"/>
            <w:tcBorders>
              <w:top w:val="single" w:sz="4" w:space="0" w:color="auto"/>
              <w:left w:val="single" w:sz="4" w:space="0" w:color="auto"/>
              <w:bottom w:val="single" w:sz="4" w:space="0" w:color="auto"/>
              <w:right w:val="single" w:sz="4" w:space="0" w:color="auto"/>
            </w:tcBorders>
          </w:tcPr>
          <w:p w14:paraId="0FE03B15" w14:textId="77777777" w:rsidR="00835192" w:rsidRPr="00FF756A" w:rsidRDefault="00835192" w:rsidP="00835192">
            <w:pPr>
              <w:spacing w:before="20" w:after="20" w:line="240" w:lineRule="auto"/>
              <w:rPr>
                <w:i/>
                <w:iCs/>
                <w:sz w:val="20"/>
                <w:szCs w:val="20"/>
              </w:rPr>
            </w:pPr>
            <w:r w:rsidRPr="00FF756A">
              <w:rPr>
                <w:i/>
                <w:iCs/>
                <w:sz w:val="20"/>
                <w:szCs w:val="20"/>
              </w:rPr>
              <w:t>Sigurimi i zbatimit të praktikave më të mira për G-W1, G-W2, G-W3, p.sh. në lidhje me zvogëlimin e rreziqeve administrative, krijimin e skemave efektive të kostove dhe tarifave për shërbimet e menaxhimit, sistemin efektiv të mbledhjes së të dhënave mbi mbetjet e rrezikshme etj.</w:t>
            </w:r>
          </w:p>
        </w:tc>
      </w:tr>
      <w:tr w:rsidR="00835192" w:rsidRPr="00FF756A" w14:paraId="015C4B8F"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5363916F"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9" w:type="dxa"/>
            <w:gridSpan w:val="5"/>
            <w:tcBorders>
              <w:top w:val="single" w:sz="4" w:space="0" w:color="auto"/>
              <w:left w:val="single" w:sz="4" w:space="0" w:color="auto"/>
              <w:bottom w:val="single" w:sz="4" w:space="0" w:color="auto"/>
              <w:right w:val="single" w:sz="4" w:space="0" w:color="auto"/>
            </w:tcBorders>
          </w:tcPr>
          <w:p w14:paraId="2DCF3621" w14:textId="77777777" w:rsidR="00835192" w:rsidRPr="00FF756A" w:rsidRDefault="00835192" w:rsidP="00835192">
            <w:pPr>
              <w:spacing w:before="20" w:after="20" w:line="240" w:lineRule="auto"/>
              <w:contextualSpacing/>
              <w:rPr>
                <w:rFonts w:eastAsia="Times New Roman"/>
                <w:i/>
                <w:iCs/>
                <w:sz w:val="20"/>
                <w:szCs w:val="20"/>
              </w:rPr>
            </w:pPr>
            <w:r w:rsidRPr="00FF756A">
              <w:rPr>
                <w:i/>
                <w:iCs/>
                <w:sz w:val="20"/>
                <w:szCs w:val="20"/>
              </w:rPr>
              <w:t>Përmirësimi i qëndrueshmërisë së politikave dhe masave të propozuara për arritjen e pikësynimeve të lidhura me mbetjet dhe ujërat e ndotura</w:t>
            </w:r>
          </w:p>
        </w:tc>
      </w:tr>
      <w:tr w:rsidR="00835192" w:rsidRPr="00FF756A" w14:paraId="0BD5A8EA"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4CCB6FEF"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9" w:type="dxa"/>
            <w:gridSpan w:val="4"/>
            <w:tcBorders>
              <w:top w:val="single" w:sz="4" w:space="0" w:color="auto"/>
              <w:left w:val="single" w:sz="4" w:space="0" w:color="auto"/>
              <w:bottom w:val="single" w:sz="4" w:space="0" w:color="auto"/>
              <w:right w:val="single" w:sz="4" w:space="0" w:color="auto"/>
            </w:tcBorders>
          </w:tcPr>
          <w:p w14:paraId="33920C80" w14:textId="77777777" w:rsidR="00835192" w:rsidRPr="00FF756A" w:rsidRDefault="00835192" w:rsidP="00835192">
            <w:pPr>
              <w:spacing w:before="20" w:after="20" w:line="240" w:lineRule="auto"/>
              <w:rPr>
                <w:i/>
                <w:iCs/>
                <w:sz w:val="20"/>
                <w:szCs w:val="20"/>
              </w:rPr>
            </w:pPr>
            <w:r w:rsidRPr="00FF756A">
              <w:rPr>
                <w:i/>
                <w:iCs/>
                <w:sz w:val="20"/>
                <w:szCs w:val="20"/>
              </w:rPr>
              <w:t>Veprimet përgatitore që rezultojnë në një raport vlerësimi</w:t>
            </w:r>
          </w:p>
          <w:p w14:paraId="04F6664B" w14:textId="77777777" w:rsidR="00835192" w:rsidRPr="00FF756A" w:rsidRDefault="00835192" w:rsidP="008639B2">
            <w:pPr>
              <w:numPr>
                <w:ilvl w:val="0"/>
                <w:numId w:val="147"/>
              </w:numPr>
              <w:spacing w:before="20" w:after="20" w:line="240" w:lineRule="auto"/>
              <w:contextualSpacing/>
              <w:rPr>
                <w:rFonts w:eastAsia="Times New Roman"/>
                <w:i/>
                <w:iCs/>
                <w:sz w:val="20"/>
                <w:szCs w:val="20"/>
              </w:rPr>
            </w:pPr>
            <w:r w:rsidRPr="00FF756A">
              <w:rPr>
                <w:i/>
                <w:iCs/>
                <w:sz w:val="20"/>
                <w:szCs w:val="20"/>
              </w:rPr>
              <w:t xml:space="preserve">Vlerësimi i rreziqeve dhe barrierave që pengojnë zbatimin efektiv dhe efikas të masave të lidhura me mbetjet dhe ujërat e ndotura </w:t>
            </w:r>
          </w:p>
          <w:p w14:paraId="7BBEEBE9" w14:textId="77777777" w:rsidR="00835192" w:rsidRPr="00FF756A" w:rsidRDefault="00835192" w:rsidP="008639B2">
            <w:pPr>
              <w:numPr>
                <w:ilvl w:val="0"/>
                <w:numId w:val="147"/>
              </w:numPr>
              <w:spacing w:before="20" w:after="20" w:line="240" w:lineRule="auto"/>
              <w:contextualSpacing/>
              <w:rPr>
                <w:rFonts w:eastAsia="Times New Roman"/>
                <w:i/>
                <w:iCs/>
                <w:sz w:val="20"/>
                <w:szCs w:val="20"/>
              </w:rPr>
            </w:pPr>
            <w:r w:rsidRPr="00FF756A">
              <w:rPr>
                <w:i/>
                <w:iCs/>
                <w:sz w:val="20"/>
                <w:szCs w:val="20"/>
              </w:rPr>
              <w:t>Identifikimi i fushave që mund të adresohen nëpërmjet veprimtarive për ngritjen e kapaciteteve dhe zhvillimin organizativ</w:t>
            </w:r>
          </w:p>
          <w:p w14:paraId="666D5156" w14:textId="77777777" w:rsidR="00835192" w:rsidRPr="00FF756A" w:rsidRDefault="00835192" w:rsidP="00835192">
            <w:pPr>
              <w:spacing w:before="20" w:after="20" w:line="240" w:lineRule="auto"/>
              <w:rPr>
                <w:i/>
                <w:iCs/>
                <w:sz w:val="20"/>
                <w:szCs w:val="20"/>
              </w:rPr>
            </w:pPr>
            <w:r w:rsidRPr="00FF756A">
              <w:rPr>
                <w:i/>
                <w:iCs/>
                <w:sz w:val="20"/>
                <w:szCs w:val="20"/>
              </w:rPr>
              <w:t xml:space="preserve">Zhvillimi i projektit për ngritjen e kapaciteteve dhe zhvillimin organizativ </w:t>
            </w:r>
          </w:p>
          <w:p w14:paraId="0AD64EA6" w14:textId="77777777" w:rsidR="00835192" w:rsidRPr="00FF756A" w:rsidRDefault="00835192" w:rsidP="00835192">
            <w:pPr>
              <w:spacing w:before="20" w:after="20" w:line="240" w:lineRule="auto"/>
              <w:contextualSpacing/>
              <w:rPr>
                <w:rFonts w:eastAsia="Times New Roman"/>
                <w:i/>
                <w:iCs/>
                <w:sz w:val="20"/>
                <w:szCs w:val="20"/>
              </w:rPr>
            </w:pPr>
            <w:r w:rsidRPr="00FF756A">
              <w:rPr>
                <w:i/>
                <w:iCs/>
                <w:sz w:val="20"/>
                <w:szCs w:val="20"/>
              </w:rPr>
              <w:t xml:space="preserve">Zbatimi i projektit për ngritjen e kapaciteteve dhe zhvillimin organizativ </w:t>
            </w:r>
          </w:p>
        </w:tc>
        <w:tc>
          <w:tcPr>
            <w:tcW w:w="850" w:type="dxa"/>
            <w:tcBorders>
              <w:top w:val="single" w:sz="4" w:space="0" w:color="auto"/>
              <w:left w:val="single" w:sz="4" w:space="0" w:color="auto"/>
              <w:bottom w:val="single" w:sz="4" w:space="0" w:color="auto"/>
              <w:right w:val="single" w:sz="4" w:space="0" w:color="auto"/>
            </w:tcBorders>
          </w:tcPr>
          <w:p w14:paraId="5A93FA30" w14:textId="77777777" w:rsidR="00835192" w:rsidRPr="00FF756A" w:rsidRDefault="00835192" w:rsidP="00835192">
            <w:pPr>
              <w:spacing w:before="20" w:after="20" w:line="240" w:lineRule="auto"/>
              <w:rPr>
                <w:i/>
                <w:iCs/>
                <w:sz w:val="20"/>
                <w:szCs w:val="20"/>
              </w:rPr>
            </w:pPr>
            <w:r w:rsidRPr="00FF756A">
              <w:rPr>
                <w:i/>
                <w:iCs/>
                <w:sz w:val="20"/>
                <w:szCs w:val="20"/>
              </w:rPr>
              <w:t>brenda vitit 2025</w:t>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p>
          <w:p w14:paraId="79F1F301" w14:textId="77777777" w:rsidR="00835192" w:rsidRPr="00FF756A" w:rsidRDefault="00835192" w:rsidP="00835192">
            <w:pPr>
              <w:spacing w:before="20" w:after="20" w:line="240" w:lineRule="auto"/>
              <w:rPr>
                <w:i/>
                <w:iCs/>
                <w:sz w:val="20"/>
                <w:szCs w:val="20"/>
              </w:rPr>
            </w:pPr>
            <w:r w:rsidRPr="00FF756A">
              <w:rPr>
                <w:i/>
                <w:iCs/>
                <w:sz w:val="20"/>
                <w:szCs w:val="20"/>
              </w:rPr>
              <w:t>brenda vitit 2026</w:t>
            </w:r>
          </w:p>
          <w:p w14:paraId="520458F6" w14:textId="77777777" w:rsidR="00835192" w:rsidRPr="00FF756A" w:rsidRDefault="00835192" w:rsidP="00835192">
            <w:pPr>
              <w:spacing w:before="20" w:after="20" w:line="240" w:lineRule="auto"/>
              <w:rPr>
                <w:i/>
                <w:iCs/>
                <w:sz w:val="20"/>
                <w:szCs w:val="20"/>
              </w:rPr>
            </w:pPr>
            <w:r w:rsidRPr="00FF756A">
              <w:rPr>
                <w:i/>
                <w:iCs/>
                <w:sz w:val="20"/>
                <w:szCs w:val="20"/>
              </w:rPr>
              <w:t>brenda vitit 2027</w:t>
            </w:r>
          </w:p>
        </w:tc>
      </w:tr>
      <w:tr w:rsidR="00835192" w:rsidRPr="00FF756A" w14:paraId="51DFBE9A"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1EBDE0CB"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9" w:type="dxa"/>
            <w:gridSpan w:val="5"/>
            <w:tcBorders>
              <w:top w:val="single" w:sz="4" w:space="0" w:color="auto"/>
              <w:left w:val="single" w:sz="4" w:space="0" w:color="auto"/>
              <w:bottom w:val="single" w:sz="4" w:space="0" w:color="auto"/>
              <w:right w:val="single" w:sz="4" w:space="0" w:color="auto"/>
            </w:tcBorders>
          </w:tcPr>
          <w:p w14:paraId="75657FAB" w14:textId="77777777" w:rsidR="00835192" w:rsidRPr="00FF756A" w:rsidRDefault="00835192" w:rsidP="00835192">
            <w:pPr>
              <w:spacing w:before="20" w:after="20" w:line="240" w:lineRule="auto"/>
              <w:rPr>
                <w:i/>
                <w:iCs/>
                <w:sz w:val="20"/>
                <w:szCs w:val="20"/>
              </w:rPr>
            </w:pPr>
            <w:r w:rsidRPr="00FF756A">
              <w:rPr>
                <w:i/>
                <w:iCs/>
                <w:sz w:val="20"/>
                <w:szCs w:val="20"/>
              </w:rPr>
              <w:t>Aktivitetet përgatitore që rezultojnë në një raport vlerësimi, zhvillimi dhe zbatimi i projektit do të financohen nga programet e asistencës teknike, me një buxhet të parashikuar prej 150 000 eurosh.</w:t>
            </w:r>
          </w:p>
        </w:tc>
      </w:tr>
      <w:tr w:rsidR="00835192" w:rsidRPr="00FF756A" w14:paraId="013445BE"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0FA000FA"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085220EF"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9" w:type="dxa"/>
            <w:gridSpan w:val="5"/>
            <w:tcBorders>
              <w:top w:val="single" w:sz="4" w:space="0" w:color="auto"/>
              <w:left w:val="single" w:sz="4" w:space="0" w:color="auto"/>
              <w:bottom w:val="single" w:sz="4" w:space="0" w:color="auto"/>
              <w:right w:val="single" w:sz="4" w:space="0" w:color="auto"/>
            </w:tcBorders>
          </w:tcPr>
          <w:p w14:paraId="51C62772"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Ministria e Turizmit dhe Mjedisit; Agjencia Kombëtare e Ekonomisë së Mbetjeve (AKEM); Agjencia Kombëtare e Ujësjellës-Kanalizimeve; Bashkitë</w:t>
            </w:r>
          </w:p>
          <w:p w14:paraId="39E42A37" w14:textId="77777777" w:rsidR="00835192" w:rsidRPr="00FF756A" w:rsidRDefault="00835192" w:rsidP="00835192">
            <w:pPr>
              <w:spacing w:before="20" w:after="20" w:line="240" w:lineRule="auto"/>
              <w:rPr>
                <w:i/>
                <w:iCs/>
                <w:sz w:val="20"/>
                <w:szCs w:val="20"/>
              </w:rPr>
            </w:pPr>
            <w:r w:rsidRPr="00FF756A">
              <w:rPr>
                <w:i/>
                <w:iCs/>
                <w:sz w:val="20"/>
                <w:szCs w:val="20"/>
              </w:rPr>
              <w:t>(Agjencia Kombëtare e Ujësjellës-Kanalizimeve; Agjencia Kombëtare e Mjedisit; Bashkitë)</w:t>
            </w:r>
          </w:p>
        </w:tc>
      </w:tr>
      <w:tr w:rsidR="00835192" w:rsidRPr="00FF756A" w14:paraId="07AB09B3"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4D64419F"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9" w:type="dxa"/>
            <w:gridSpan w:val="5"/>
            <w:tcBorders>
              <w:top w:val="single" w:sz="4" w:space="0" w:color="auto"/>
              <w:left w:val="single" w:sz="4" w:space="0" w:color="auto"/>
              <w:bottom w:val="single" w:sz="4" w:space="0" w:color="auto"/>
              <w:right w:val="single" w:sz="4" w:space="0" w:color="auto"/>
            </w:tcBorders>
          </w:tcPr>
          <w:p w14:paraId="1A364210" w14:textId="77777777" w:rsidR="00835192" w:rsidRPr="00FF756A" w:rsidRDefault="00835192" w:rsidP="00835192">
            <w:pPr>
              <w:spacing w:before="20" w:after="20" w:line="240" w:lineRule="auto"/>
              <w:rPr>
                <w:i/>
                <w:iCs/>
                <w:sz w:val="20"/>
                <w:szCs w:val="20"/>
              </w:rPr>
            </w:pPr>
            <w:r w:rsidRPr="00FF756A">
              <w:rPr>
                <w:i/>
                <w:iCs/>
                <w:sz w:val="20"/>
                <w:szCs w:val="20"/>
              </w:rPr>
              <w:t xml:space="preserve">Marrëdhënia me PM-të e mëposhtme: </w:t>
            </w:r>
          </w:p>
          <w:p w14:paraId="2E9121D3" w14:textId="77777777" w:rsidR="00835192" w:rsidRPr="00FF756A" w:rsidRDefault="00835192" w:rsidP="00835192">
            <w:pPr>
              <w:spacing w:before="20" w:after="20" w:line="240" w:lineRule="auto"/>
              <w:rPr>
                <w:i/>
                <w:iCs/>
                <w:sz w:val="20"/>
                <w:szCs w:val="20"/>
              </w:rPr>
            </w:pPr>
            <w:r w:rsidRPr="00FF756A">
              <w:rPr>
                <w:i/>
                <w:iCs/>
                <w:sz w:val="20"/>
                <w:szCs w:val="20"/>
              </w:rPr>
              <w:t>G-W1 Reduktimi i shkarkimeve nga mbetjet (planet bashkiake për menaxhimin e integruar të mbetjeve)</w:t>
            </w:r>
          </w:p>
          <w:p w14:paraId="10CB7678" w14:textId="77777777" w:rsidR="00835192" w:rsidRPr="00FF756A" w:rsidRDefault="00835192" w:rsidP="00835192">
            <w:pPr>
              <w:spacing w:before="20" w:after="20" w:line="240" w:lineRule="auto"/>
              <w:rPr>
                <w:i/>
                <w:iCs/>
                <w:sz w:val="20"/>
                <w:szCs w:val="20"/>
              </w:rPr>
            </w:pPr>
            <w:r w:rsidRPr="00FF756A">
              <w:rPr>
                <w:i/>
                <w:iCs/>
                <w:sz w:val="20"/>
                <w:szCs w:val="20"/>
              </w:rPr>
              <w:t xml:space="preserve">EE-P3: Përgatitja e planeve të integruara zhvillimore bashkiake/rajonale të cilat janë të lidhura me PKEK-në </w:t>
            </w:r>
          </w:p>
          <w:p w14:paraId="688C92C3" w14:textId="77777777" w:rsidR="00835192" w:rsidRPr="00FF756A" w:rsidRDefault="00835192" w:rsidP="00835192">
            <w:pPr>
              <w:spacing w:before="20" w:after="20" w:line="240" w:lineRule="auto"/>
              <w:rPr>
                <w:i/>
                <w:iCs/>
                <w:sz w:val="20"/>
                <w:szCs w:val="20"/>
              </w:rPr>
            </w:pPr>
            <w:r w:rsidRPr="00FF756A">
              <w:rPr>
                <w:i/>
                <w:iCs/>
                <w:sz w:val="20"/>
                <w:szCs w:val="20"/>
              </w:rPr>
              <w:t>G-W2 Përdorimi i impianteve të incinerimit të mbetjeve për procesin e menaxhimit të integruar të mbetjeve në Shqipëri</w:t>
            </w:r>
          </w:p>
          <w:p w14:paraId="73E73361" w14:textId="77777777" w:rsidR="00835192" w:rsidRPr="00FF756A" w:rsidRDefault="00835192" w:rsidP="00835192">
            <w:pPr>
              <w:spacing w:before="20" w:after="20" w:line="240" w:lineRule="auto"/>
              <w:rPr>
                <w:i/>
                <w:iCs/>
                <w:sz w:val="20"/>
                <w:szCs w:val="20"/>
              </w:rPr>
            </w:pPr>
            <w:r w:rsidRPr="00FF756A">
              <w:rPr>
                <w:i/>
                <w:iCs/>
                <w:sz w:val="20"/>
                <w:szCs w:val="20"/>
              </w:rPr>
              <w:t>G-W3 Shtimi i impianteve të trajtimit të ujërave të përdorura dhe mbulimit të tyre përkatës</w:t>
            </w:r>
          </w:p>
        </w:tc>
      </w:tr>
    </w:tbl>
    <w:p w14:paraId="479FDC70" w14:textId="77777777" w:rsidR="00835192" w:rsidRPr="00FF756A" w:rsidRDefault="00835192" w:rsidP="00835192"/>
    <w:p w14:paraId="5AD8884E" w14:textId="77777777" w:rsidR="00835192" w:rsidRPr="00FF756A" w:rsidRDefault="00835192" w:rsidP="00835192">
      <w:pPr>
        <w:spacing w:before="0" w:after="0" w:line="240" w:lineRule="auto"/>
        <w:jc w:val="left"/>
      </w:pPr>
      <w:r w:rsidRPr="00FF756A">
        <w:br w:type="page"/>
      </w:r>
    </w:p>
    <w:p w14:paraId="3FF20D73" w14:textId="77777777" w:rsidR="00835192" w:rsidRPr="00FF756A" w:rsidRDefault="00835192" w:rsidP="00835192"/>
    <w:p w14:paraId="43FACAF2" w14:textId="77777777" w:rsidR="00835192" w:rsidRPr="00FF756A" w:rsidRDefault="00835192" w:rsidP="004A3257">
      <w:pPr>
        <w:pStyle w:val="Heading4"/>
        <w:numPr>
          <w:ilvl w:val="0"/>
          <w:numId w:val="0"/>
        </w:numPr>
        <w:ind w:left="864" w:hanging="864"/>
        <w:rPr>
          <w:rFonts w:cs="Times New Roman"/>
        </w:rPr>
      </w:pPr>
      <w:bookmarkStart w:id="365" w:name="_Toc183639230"/>
      <w:r w:rsidRPr="00FF756A">
        <w:rPr>
          <w:rFonts w:cs="Times New Roman"/>
        </w:rPr>
        <w:t>Ndryshimi i përdorimit të tokës dhe pyjet</w:t>
      </w:r>
      <w:bookmarkEnd w:id="365"/>
    </w:p>
    <w:p w14:paraId="0CDFA47A" w14:textId="77777777" w:rsidR="00DE1017" w:rsidRPr="00FF756A" w:rsidRDefault="00DE1017" w:rsidP="004A3257">
      <w:pPr>
        <w:keepNext/>
        <w:keepLines/>
        <w:spacing w:before="40" w:after="0"/>
        <w:outlineLvl w:val="3"/>
        <w:rPr>
          <w:rFonts w:eastAsia="Calibri Light"/>
          <w:i/>
          <w:iCs/>
          <w:color w:val="2F5496" w:themeColor="accent1" w:themeShade="BF"/>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2195"/>
        <w:gridCol w:w="1273"/>
        <w:gridCol w:w="597"/>
        <w:gridCol w:w="426"/>
        <w:gridCol w:w="3688"/>
        <w:gridCol w:w="883"/>
      </w:tblGrid>
      <w:tr w:rsidR="00835192" w:rsidRPr="00FF756A" w14:paraId="372F569D" w14:textId="77777777" w:rsidTr="004A3257">
        <w:trPr>
          <w:trHeight w:val="20"/>
        </w:trPr>
        <w:tc>
          <w:tcPr>
            <w:tcW w:w="4516"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7487B69"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56"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2B3284A" w14:textId="77777777" w:rsidR="00835192" w:rsidRPr="00FF756A" w:rsidRDefault="00835192" w:rsidP="008639B2">
            <w:pPr>
              <w:numPr>
                <w:ilvl w:val="0"/>
                <w:numId w:val="80"/>
              </w:numPr>
              <w:spacing w:before="20" w:after="20" w:line="240" w:lineRule="auto"/>
              <w:contextualSpacing/>
              <w:rPr>
                <w:i/>
                <w:iCs/>
                <w:sz w:val="20"/>
                <w:szCs w:val="20"/>
              </w:rPr>
            </w:pPr>
            <w:r w:rsidRPr="00FF756A">
              <w:rPr>
                <w:i/>
                <w:iCs/>
                <w:sz w:val="20"/>
                <w:szCs w:val="20"/>
              </w:rPr>
              <w:t>Dekarbonizimi</w:t>
            </w:r>
          </w:p>
          <w:p w14:paraId="2E1D5AC0" w14:textId="4BA37CAD" w:rsidR="00835192" w:rsidRPr="00FF756A" w:rsidRDefault="00835192" w:rsidP="004A3257">
            <w:pPr>
              <w:spacing w:before="20" w:after="20" w:line="240" w:lineRule="auto"/>
              <w:contextualSpacing/>
              <w:rPr>
                <w:i/>
                <w:iCs/>
                <w:sz w:val="20"/>
                <w:szCs w:val="20"/>
              </w:rPr>
            </w:pPr>
            <w:r w:rsidRPr="00FF756A">
              <w:rPr>
                <w:i/>
                <w:iCs/>
                <w:sz w:val="20"/>
                <w:szCs w:val="20"/>
              </w:rPr>
              <w:t>Shkarkimet dhe eliminimi i GES-ve</w:t>
            </w:r>
          </w:p>
        </w:tc>
      </w:tr>
      <w:tr w:rsidR="00835192" w:rsidRPr="00FF756A" w14:paraId="50B6C591" w14:textId="77777777" w:rsidTr="004A3257">
        <w:trPr>
          <w:trHeight w:val="20"/>
        </w:trPr>
        <w:tc>
          <w:tcPr>
            <w:tcW w:w="4087"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E1A8DDE"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85"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BC14667" w14:textId="77777777" w:rsidR="00835192" w:rsidRPr="00FF756A" w:rsidRDefault="00835192" w:rsidP="00835192">
            <w:pPr>
              <w:spacing w:before="20" w:after="20" w:line="240" w:lineRule="auto"/>
              <w:rPr>
                <w:i/>
                <w:iCs/>
                <w:sz w:val="20"/>
                <w:szCs w:val="20"/>
              </w:rPr>
            </w:pPr>
            <w:r w:rsidRPr="00FF756A">
              <w:rPr>
                <w:i/>
                <w:iCs/>
                <w:sz w:val="20"/>
                <w:szCs w:val="20"/>
              </w:rPr>
              <w:t>Ndryshimi i përdorimit të tokës dhe pyjet</w:t>
            </w:r>
          </w:p>
        </w:tc>
      </w:tr>
      <w:tr w:rsidR="00835192" w:rsidRPr="00FF756A" w14:paraId="1A40003D" w14:textId="77777777" w:rsidTr="004A3257">
        <w:trPr>
          <w:trHeight w:val="20"/>
        </w:trPr>
        <w:tc>
          <w:tcPr>
            <w:tcW w:w="3486" w:type="dxa"/>
            <w:gridSpan w:val="2"/>
            <w:tcBorders>
              <w:top w:val="single" w:sz="4" w:space="0" w:color="auto"/>
              <w:left w:val="single" w:sz="4" w:space="0" w:color="auto"/>
              <w:bottom w:val="single" w:sz="4" w:space="0" w:color="auto"/>
              <w:right w:val="single" w:sz="4" w:space="0" w:color="auto"/>
            </w:tcBorders>
          </w:tcPr>
          <w:p w14:paraId="0EC637F3"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655D2ACF"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6" w:type="dxa"/>
            <w:gridSpan w:val="4"/>
            <w:tcBorders>
              <w:top w:val="single" w:sz="4" w:space="0" w:color="auto"/>
              <w:left w:val="single" w:sz="4" w:space="0" w:color="auto"/>
              <w:bottom w:val="single" w:sz="4" w:space="0" w:color="auto"/>
              <w:right w:val="single" w:sz="4" w:space="0" w:color="auto"/>
            </w:tcBorders>
          </w:tcPr>
          <w:p w14:paraId="4240369E" w14:textId="77777777" w:rsidR="00835192" w:rsidRPr="00FF756A" w:rsidRDefault="00835192" w:rsidP="00835192">
            <w:pPr>
              <w:spacing w:before="20" w:after="20" w:line="240" w:lineRule="auto"/>
              <w:rPr>
                <w:i/>
                <w:iCs/>
                <w:sz w:val="20"/>
                <w:szCs w:val="20"/>
              </w:rPr>
            </w:pPr>
            <w:r w:rsidRPr="00FF756A">
              <w:rPr>
                <w:i/>
                <w:iCs/>
                <w:sz w:val="20"/>
                <w:szCs w:val="20"/>
              </w:rPr>
              <w:t>WAM</w:t>
            </w:r>
          </w:p>
          <w:p w14:paraId="347C290F" w14:textId="77777777" w:rsidR="00835192" w:rsidRPr="00FF756A" w:rsidRDefault="00835192" w:rsidP="00835192">
            <w:pPr>
              <w:spacing w:before="20" w:after="20" w:line="240" w:lineRule="auto"/>
              <w:rPr>
                <w:i/>
                <w:iCs/>
                <w:sz w:val="20"/>
                <w:szCs w:val="20"/>
              </w:rPr>
            </w:pPr>
            <w:r w:rsidRPr="00FF756A">
              <w:rPr>
                <w:i/>
                <w:iCs/>
                <w:sz w:val="20"/>
                <w:szCs w:val="20"/>
              </w:rPr>
              <w:t>Rregullator; Financiar; Promocional</w:t>
            </w:r>
          </w:p>
        </w:tc>
      </w:tr>
      <w:tr w:rsidR="00835192" w:rsidRPr="00FF756A" w14:paraId="24078315"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2455EB32"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0F2C9823"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9" w:type="dxa"/>
            <w:gridSpan w:val="5"/>
            <w:tcBorders>
              <w:top w:val="single" w:sz="4" w:space="0" w:color="auto"/>
              <w:left w:val="single" w:sz="4" w:space="0" w:color="auto"/>
              <w:bottom w:val="single" w:sz="4" w:space="0" w:color="auto"/>
              <w:right w:val="single" w:sz="4" w:space="0" w:color="auto"/>
            </w:tcBorders>
          </w:tcPr>
          <w:p w14:paraId="3CD52851" w14:textId="77777777" w:rsidR="00835192" w:rsidRPr="00FF756A" w:rsidRDefault="00835192" w:rsidP="00835192">
            <w:pPr>
              <w:spacing w:before="20" w:after="20" w:line="240" w:lineRule="auto"/>
              <w:rPr>
                <w:i/>
                <w:iCs/>
                <w:sz w:val="20"/>
                <w:szCs w:val="20"/>
              </w:rPr>
            </w:pPr>
            <w:r w:rsidRPr="00FF756A">
              <w:rPr>
                <w:i/>
                <w:iCs/>
                <w:sz w:val="20"/>
                <w:szCs w:val="20"/>
              </w:rPr>
              <w:t>Rritja e kapacitetit natyror të përthithjes së karbonit të pyjeve dhe kullotave</w:t>
            </w:r>
          </w:p>
          <w:p w14:paraId="58788EB4" w14:textId="77777777" w:rsidR="00835192" w:rsidRPr="00FF756A" w:rsidRDefault="00835192" w:rsidP="00835192">
            <w:pPr>
              <w:spacing w:before="20" w:after="20" w:line="240" w:lineRule="auto"/>
              <w:rPr>
                <w:i/>
                <w:iCs/>
                <w:sz w:val="20"/>
                <w:szCs w:val="20"/>
              </w:rPr>
            </w:pPr>
            <w:r w:rsidRPr="00FF756A">
              <w:rPr>
                <w:i/>
                <w:iCs/>
                <w:sz w:val="20"/>
                <w:szCs w:val="20"/>
              </w:rPr>
              <w:t>(G-LF1)</w:t>
            </w:r>
          </w:p>
        </w:tc>
      </w:tr>
      <w:tr w:rsidR="00835192" w:rsidRPr="00FF756A" w14:paraId="460177B5"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4F3C817D"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9" w:type="dxa"/>
            <w:gridSpan w:val="5"/>
            <w:tcBorders>
              <w:top w:val="single" w:sz="4" w:space="0" w:color="auto"/>
              <w:left w:val="single" w:sz="4" w:space="0" w:color="auto"/>
              <w:bottom w:val="single" w:sz="4" w:space="0" w:color="auto"/>
              <w:right w:val="single" w:sz="4" w:space="0" w:color="auto"/>
            </w:tcBorders>
          </w:tcPr>
          <w:p w14:paraId="5F406F7A" w14:textId="77777777" w:rsidR="00835192" w:rsidRPr="00FF756A" w:rsidRDefault="00835192" w:rsidP="00835192">
            <w:pPr>
              <w:spacing w:before="20" w:after="20" w:line="240" w:lineRule="auto"/>
              <w:rPr>
                <w:i/>
                <w:iCs/>
                <w:sz w:val="20"/>
                <w:szCs w:val="20"/>
              </w:rPr>
            </w:pPr>
            <w:r w:rsidRPr="00FF756A">
              <w:rPr>
                <w:i/>
                <w:iCs/>
                <w:sz w:val="20"/>
                <w:szCs w:val="20"/>
              </w:rPr>
              <w:t>2020 – 2030</w:t>
            </w:r>
          </w:p>
        </w:tc>
      </w:tr>
      <w:tr w:rsidR="00835192" w:rsidRPr="00FF756A" w14:paraId="44AA344C"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415A332B"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9" w:type="dxa"/>
            <w:gridSpan w:val="5"/>
            <w:tcBorders>
              <w:top w:val="single" w:sz="4" w:space="0" w:color="auto"/>
              <w:left w:val="single" w:sz="4" w:space="0" w:color="auto"/>
              <w:bottom w:val="single" w:sz="4" w:space="0" w:color="auto"/>
              <w:right w:val="single" w:sz="4" w:space="0" w:color="auto"/>
            </w:tcBorders>
          </w:tcPr>
          <w:p w14:paraId="3C69DF59" w14:textId="77777777" w:rsidR="00835192" w:rsidRPr="00FF756A" w:rsidRDefault="00835192" w:rsidP="00835192">
            <w:pPr>
              <w:spacing w:before="20" w:after="20" w:line="240" w:lineRule="auto"/>
              <w:rPr>
                <w:i/>
                <w:iCs/>
                <w:sz w:val="20"/>
                <w:szCs w:val="20"/>
              </w:rPr>
            </w:pPr>
            <w:r w:rsidRPr="00FF756A">
              <w:rPr>
                <w:i/>
                <w:iCs/>
                <w:sz w:val="20"/>
                <w:szCs w:val="20"/>
              </w:rPr>
              <w:t>VKM nr. 814, datë 31.12.2018, “Për miratimin e dokumentit të politikave për pyjet në Shqipëri, 2019–2030”; Ligji nr. 57/2020, datë 30.4.2020, “Për pyjet”</w:t>
            </w:r>
          </w:p>
        </w:tc>
      </w:tr>
      <w:tr w:rsidR="00835192" w:rsidRPr="00FF756A" w14:paraId="14374E81"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50A50EB7"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9" w:type="dxa"/>
            <w:gridSpan w:val="5"/>
            <w:tcBorders>
              <w:top w:val="single" w:sz="4" w:space="0" w:color="auto"/>
              <w:left w:val="single" w:sz="4" w:space="0" w:color="auto"/>
              <w:bottom w:val="single" w:sz="4" w:space="0" w:color="auto"/>
              <w:right w:val="single" w:sz="4" w:space="0" w:color="auto"/>
            </w:tcBorders>
          </w:tcPr>
          <w:p w14:paraId="67326AC7" w14:textId="77777777" w:rsidR="00835192" w:rsidRPr="00FF756A" w:rsidRDefault="00835192" w:rsidP="00835192">
            <w:pPr>
              <w:spacing w:before="20" w:after="20" w:line="240" w:lineRule="auto"/>
              <w:rPr>
                <w:i/>
                <w:iCs/>
                <w:sz w:val="20"/>
                <w:szCs w:val="20"/>
              </w:rPr>
            </w:pPr>
            <w:r w:rsidRPr="00FF756A">
              <w:rPr>
                <w:i/>
                <w:iCs/>
                <w:sz w:val="20"/>
                <w:szCs w:val="20"/>
              </w:rPr>
              <w:t>Nuk disponohen raporte për progresin lidhur me masat.</w:t>
            </w:r>
          </w:p>
        </w:tc>
      </w:tr>
      <w:tr w:rsidR="00835192" w:rsidRPr="00FF756A" w14:paraId="0712EAD2"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28CB6828"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9" w:type="dxa"/>
            <w:gridSpan w:val="5"/>
            <w:tcBorders>
              <w:top w:val="single" w:sz="4" w:space="0" w:color="auto"/>
              <w:left w:val="single" w:sz="4" w:space="0" w:color="auto"/>
              <w:bottom w:val="single" w:sz="4" w:space="0" w:color="auto"/>
              <w:right w:val="single" w:sz="4" w:space="0" w:color="auto"/>
            </w:tcBorders>
          </w:tcPr>
          <w:p w14:paraId="1E679057" w14:textId="77777777" w:rsidR="00835192" w:rsidRPr="00FF756A" w:rsidRDefault="00835192" w:rsidP="00835192">
            <w:pPr>
              <w:spacing w:before="20" w:after="20" w:line="240" w:lineRule="auto"/>
              <w:rPr>
                <w:i/>
                <w:iCs/>
                <w:sz w:val="20"/>
                <w:szCs w:val="20"/>
              </w:rPr>
            </w:pPr>
            <w:r w:rsidRPr="00FF756A">
              <w:rPr>
                <w:i/>
                <w:iCs/>
                <w:sz w:val="20"/>
                <w:szCs w:val="20"/>
              </w:rPr>
              <w:t xml:space="preserve">Objektivi i përgjithshëm: </w:t>
            </w:r>
          </w:p>
          <w:p w14:paraId="061909DD" w14:textId="77777777" w:rsidR="00835192" w:rsidRPr="00FF756A" w:rsidRDefault="00835192" w:rsidP="00835192">
            <w:pPr>
              <w:spacing w:before="20" w:after="20" w:line="240" w:lineRule="auto"/>
              <w:rPr>
                <w:i/>
                <w:iCs/>
                <w:sz w:val="20"/>
                <w:szCs w:val="20"/>
              </w:rPr>
            </w:pPr>
            <w:r w:rsidRPr="00FF756A">
              <w:rPr>
                <w:i/>
                <w:iCs/>
                <w:sz w:val="20"/>
                <w:szCs w:val="20"/>
              </w:rPr>
              <w:t>Ripyllëzimi i zonave brenda fondit pyjor, me fokus në zonat e dëmtuara nga zjarri dhe shpyllëzimi masiv, zgjerimi me zona të reja të orientuara kryesisht drejt agropylltarisë, gjelbërimi urban dhe rrugor, çka do të sjellin rigjenerimin e pyjeve dhe rritjen e kapacitetit të tyre të përthithjes së karbonit.</w:t>
            </w:r>
          </w:p>
          <w:p w14:paraId="099C15DE" w14:textId="77777777" w:rsidR="00835192" w:rsidRPr="00FF756A" w:rsidRDefault="00835192" w:rsidP="00835192">
            <w:pPr>
              <w:spacing w:before="20" w:after="20" w:line="240" w:lineRule="auto"/>
              <w:rPr>
                <w:i/>
                <w:iCs/>
                <w:sz w:val="20"/>
                <w:szCs w:val="20"/>
              </w:rPr>
            </w:pPr>
          </w:p>
          <w:p w14:paraId="43FF8A10" w14:textId="77777777" w:rsidR="00835192" w:rsidRPr="00FF756A" w:rsidRDefault="00835192" w:rsidP="00835192">
            <w:pPr>
              <w:spacing w:before="20" w:after="20" w:line="240" w:lineRule="auto"/>
              <w:rPr>
                <w:i/>
                <w:iCs/>
                <w:sz w:val="20"/>
                <w:szCs w:val="20"/>
              </w:rPr>
            </w:pPr>
            <w:r w:rsidRPr="00FF756A">
              <w:rPr>
                <w:i/>
                <w:iCs/>
                <w:sz w:val="20"/>
                <w:szCs w:val="20"/>
              </w:rPr>
              <w:t>Objektivat e detajuara:</w:t>
            </w:r>
          </w:p>
          <w:p w14:paraId="3D606C4B" w14:textId="132D553E" w:rsidR="00835192" w:rsidRPr="00FF756A" w:rsidRDefault="00835192" w:rsidP="00835192">
            <w:pPr>
              <w:spacing w:before="20" w:after="20" w:line="240" w:lineRule="auto"/>
              <w:rPr>
                <w:b/>
                <w:bCs/>
                <w:i/>
                <w:iCs/>
                <w:color w:val="0D0D0D" w:themeColor="text1" w:themeTint="F2"/>
                <w:sz w:val="20"/>
                <w:szCs w:val="20"/>
              </w:rPr>
            </w:pPr>
            <w:r w:rsidRPr="00FF756A">
              <w:rPr>
                <w:i/>
                <w:iCs/>
                <w:color w:val="0D0D0D" w:themeColor="text1" w:themeTint="F2"/>
                <w:sz w:val="20"/>
                <w:szCs w:val="20"/>
              </w:rPr>
              <w:t xml:space="preserve">Veprimi </w:t>
            </w:r>
            <w:r w:rsidRPr="00FF756A">
              <w:rPr>
                <w:b/>
                <w:bCs/>
                <w:i/>
                <w:iCs/>
                <w:color w:val="0D0D0D" w:themeColor="text1" w:themeTint="F2"/>
                <w:sz w:val="20"/>
                <w:szCs w:val="20"/>
              </w:rPr>
              <w:t>EU For Nature</w:t>
            </w:r>
            <w:r w:rsidR="00946BD0" w:rsidRPr="00FF756A">
              <w:rPr>
                <w:b/>
                <w:bCs/>
                <w:i/>
                <w:iCs/>
                <w:color w:val="0D0D0D" w:themeColor="text1" w:themeTint="F2"/>
                <w:sz w:val="20"/>
                <w:szCs w:val="20"/>
              </w:rPr>
              <w:t xml:space="preserve"> (BE për Natyrën) </w:t>
            </w:r>
            <w:r w:rsidRPr="00FF756A">
              <w:rPr>
                <w:i/>
                <w:iCs/>
                <w:color w:val="0D0D0D" w:themeColor="text1" w:themeTint="F2"/>
                <w:sz w:val="20"/>
                <w:szCs w:val="20"/>
              </w:rPr>
              <w:t xml:space="preserve"> (financuar përmes IPA-III, viti i programimit 2021): Ky Veprim përfshin përgatitjen e planit të menaxhimit për zonat e mbrojtura, përditësimin e listës kombëtare të habitateve, rritjen e kapaciteteve për mbrojtjen e natyrës dhe zbatimin e zgjidhjeve të bazuara në natyrë që janë të lidhura ngushtë me disa nga aktivitetet e </w:t>
            </w:r>
            <w:r w:rsidRPr="00FF756A">
              <w:rPr>
                <w:b/>
                <w:bCs/>
                <w:i/>
                <w:iCs/>
                <w:color w:val="0D0D0D" w:themeColor="text1" w:themeTint="F2"/>
                <w:sz w:val="20"/>
                <w:szCs w:val="20"/>
              </w:rPr>
              <w:t>EU For Forests</w:t>
            </w:r>
            <w:r w:rsidR="00946BD0" w:rsidRPr="00FF756A">
              <w:rPr>
                <w:b/>
                <w:bCs/>
                <w:i/>
                <w:iCs/>
                <w:color w:val="0D0D0D" w:themeColor="text1" w:themeTint="F2"/>
                <w:sz w:val="20"/>
                <w:szCs w:val="20"/>
              </w:rPr>
              <w:t xml:space="preserve"> (BE për Pyjet)</w:t>
            </w:r>
          </w:p>
          <w:p w14:paraId="372742FA" w14:textId="77777777" w:rsidR="00835192" w:rsidRPr="00FF756A" w:rsidRDefault="00835192" w:rsidP="00835192">
            <w:pPr>
              <w:spacing w:before="20" w:after="20" w:line="240" w:lineRule="auto"/>
              <w:rPr>
                <w:i/>
                <w:iCs/>
                <w:color w:val="0D0D0D" w:themeColor="text1" w:themeTint="F2"/>
                <w:sz w:val="20"/>
                <w:szCs w:val="20"/>
              </w:rPr>
            </w:pPr>
            <w:r w:rsidRPr="00FF756A">
              <w:rPr>
                <w:i/>
                <w:iCs/>
                <w:color w:val="0D0D0D" w:themeColor="text1" w:themeTint="F2"/>
                <w:sz w:val="20"/>
                <w:szCs w:val="20"/>
              </w:rPr>
              <w:t xml:space="preserve">Një tjetër iniciativë e ardhshme që do të jetë në sinergji me Veprimin është </w:t>
            </w:r>
            <w:r w:rsidRPr="00FF756A">
              <w:rPr>
                <w:b/>
                <w:bCs/>
                <w:i/>
                <w:iCs/>
                <w:color w:val="0D0D0D" w:themeColor="text1" w:themeTint="F2"/>
                <w:sz w:val="20"/>
                <w:szCs w:val="20"/>
              </w:rPr>
              <w:t>mbështetja e IPARD në lidhje me Masën 11. - Krijimi dhe mbrojtja e pyjeve</w:t>
            </w:r>
            <w:r w:rsidRPr="00FF756A">
              <w:rPr>
                <w:i/>
                <w:iCs/>
                <w:color w:val="0D0D0D" w:themeColor="text1" w:themeTint="F2"/>
                <w:sz w:val="20"/>
                <w:szCs w:val="20"/>
              </w:rPr>
              <w:t>. Kjo mbështetje e ardhshme do të synojë disa aktivitete pyllëzimi, masa menaxhimi dhe mbrojtje nga zjarri që do të koordinohen me “EU 4 Forests” në periudhën në vijim.</w:t>
            </w:r>
          </w:p>
          <w:p w14:paraId="78414077" w14:textId="77777777" w:rsidR="00835192" w:rsidRPr="00FF756A" w:rsidRDefault="00835192" w:rsidP="00835192">
            <w:pPr>
              <w:spacing w:before="20" w:after="20" w:line="240" w:lineRule="auto"/>
              <w:rPr>
                <w:i/>
                <w:iCs/>
                <w:color w:val="0D0D0D" w:themeColor="text1" w:themeTint="F2"/>
                <w:sz w:val="20"/>
                <w:szCs w:val="20"/>
              </w:rPr>
            </w:pPr>
            <w:r w:rsidRPr="00FF756A">
              <w:rPr>
                <w:i/>
                <w:iCs/>
                <w:color w:val="0D0D0D" w:themeColor="text1" w:themeTint="F2"/>
                <w:sz w:val="20"/>
                <w:szCs w:val="20"/>
              </w:rPr>
              <w:t>Objektivi i përgjithshëm i “EU for Nature” është përmirësimi i cilësisë së mbrojtjes së mjedisit dhe kontributi në veprimet dhe politikat kundër ndryshimeve klimatike për të përshpejtuar kalimin drejt një ekonomie me karbon të ulët. Objektivat specifike që duhet të arrihen me Veprimin janë përmirësimi i kapaciteteve administrative dhe i kuadrit ligjor të sektorit të pyjeve në Shqipëri, si dhe përmirësimi i mbulimit pyjor dhe i kapaciteteve të përthithjes së karbonit për Shqipërinë.</w:t>
            </w:r>
          </w:p>
          <w:p w14:paraId="7A5318A7" w14:textId="77777777" w:rsidR="00835192" w:rsidRPr="00FF756A" w:rsidRDefault="00835192" w:rsidP="00835192">
            <w:pPr>
              <w:spacing w:before="20" w:after="20" w:line="240" w:lineRule="auto"/>
              <w:rPr>
                <w:i/>
                <w:iCs/>
                <w:color w:val="0D0D0D" w:themeColor="text1" w:themeTint="F2"/>
                <w:sz w:val="20"/>
                <w:szCs w:val="20"/>
              </w:rPr>
            </w:pPr>
            <w:r w:rsidRPr="00FF756A">
              <w:rPr>
                <w:b/>
                <w:bCs/>
                <w:i/>
                <w:iCs/>
                <w:sz w:val="20"/>
                <w:szCs w:val="20"/>
              </w:rPr>
              <w:t xml:space="preserve">Objektivi specifik 2: </w:t>
            </w:r>
            <w:r w:rsidRPr="00FF756A">
              <w:rPr>
                <w:i/>
                <w:iCs/>
                <w:color w:val="0D0D0D" w:themeColor="text1" w:themeTint="F2"/>
                <w:sz w:val="20"/>
                <w:szCs w:val="20"/>
              </w:rPr>
              <w:t>Rritja e mbulimit pyjor dhe e kapaciteteve të përthithjes së karbonit për Shqipërinë.</w:t>
            </w:r>
          </w:p>
          <w:p w14:paraId="60E5AF95" w14:textId="77777777" w:rsidR="00835192" w:rsidRPr="00FF756A" w:rsidRDefault="00835192" w:rsidP="00835192">
            <w:pPr>
              <w:spacing w:before="20" w:after="20" w:line="240" w:lineRule="auto"/>
              <w:rPr>
                <w:i/>
                <w:iCs/>
                <w:sz w:val="20"/>
                <w:szCs w:val="20"/>
              </w:rPr>
            </w:pPr>
            <w:r w:rsidRPr="00FF756A">
              <w:rPr>
                <w:b/>
                <w:bCs/>
                <w:i/>
                <w:iCs/>
                <w:sz w:val="20"/>
                <w:szCs w:val="20"/>
              </w:rPr>
              <w:t xml:space="preserve">Produkti 3 (me ndikim te objektivi specifik 2): </w:t>
            </w:r>
            <w:r w:rsidRPr="00FF756A">
              <w:rPr>
                <w:i/>
                <w:iCs/>
                <w:sz w:val="20"/>
                <w:szCs w:val="20"/>
              </w:rPr>
              <w:t>Mbështetja e procesit të matjes së shkarkimeve dhe largimeve nga pyjet në përputhje me LULUCF dhe legjislacionin përkatës</w:t>
            </w:r>
          </w:p>
          <w:p w14:paraId="668DDD24" w14:textId="77777777" w:rsidR="00835192" w:rsidRPr="00FF756A" w:rsidRDefault="00835192" w:rsidP="00835192">
            <w:pPr>
              <w:spacing w:before="20" w:after="20" w:line="240" w:lineRule="auto"/>
              <w:rPr>
                <w:i/>
                <w:iCs/>
                <w:sz w:val="20"/>
                <w:szCs w:val="20"/>
              </w:rPr>
            </w:pPr>
            <w:r w:rsidRPr="00FF756A">
              <w:rPr>
                <w:i/>
                <w:iCs/>
                <w:sz w:val="20"/>
                <w:szCs w:val="20"/>
              </w:rPr>
              <w:t>Menaxhimi i pyjeve ekzistuese ofron gjithashtu një portofol të pasur opsionesh, duke përfshirë ruajtjen dhe përmirësimin e përthithjes aktuale të CO</w:t>
            </w:r>
            <w:r w:rsidRPr="00FF756A">
              <w:rPr>
                <w:i/>
                <w:iCs/>
                <w:sz w:val="20"/>
                <w:szCs w:val="20"/>
                <w:vertAlign w:val="subscript"/>
              </w:rPr>
              <w:t>2</w:t>
            </w:r>
            <w:r w:rsidRPr="00FF756A">
              <w:rPr>
                <w:i/>
                <w:iCs/>
                <w:sz w:val="20"/>
                <w:szCs w:val="20"/>
              </w:rPr>
              <w:t xml:space="preserve"> dhe përdorimin e produkteve me bazë drurin për të reduktuar shkarkimet në sektorë të tjerë përmes zëvendësimit të materialeve dhe energjisë. Rregullorja LULUCF paraqet një ndryshim të rëndësishëm drejt harmonizimit të qasjeve të raportimit dhe matjes pasi i referohet “matjes së bazuar në tokë”. Veprimi do të mbështesë përgatitjen e një vlerësimi për të identifikuar opsionet më të mira për zbatimin e Rregullores LULUCF për Shqipërinë. </w:t>
            </w:r>
          </w:p>
          <w:p w14:paraId="6B698B23" w14:textId="77777777" w:rsidR="00835192" w:rsidRPr="00FF756A" w:rsidRDefault="00835192" w:rsidP="00835192">
            <w:pPr>
              <w:spacing w:before="20" w:after="20" w:line="240" w:lineRule="auto"/>
              <w:rPr>
                <w:i/>
                <w:iCs/>
                <w:sz w:val="20"/>
                <w:szCs w:val="20"/>
              </w:rPr>
            </w:pPr>
            <w:r w:rsidRPr="00FF756A">
              <w:rPr>
                <w:b/>
                <w:bCs/>
                <w:i/>
                <w:iCs/>
                <w:sz w:val="20"/>
                <w:szCs w:val="20"/>
              </w:rPr>
              <w:t>Produkti 4 (me ndikim te objektivi specifik 1 dhe 2):</w:t>
            </w:r>
            <w:r w:rsidRPr="00FF756A">
              <w:rPr>
                <w:i/>
                <w:iCs/>
                <w:sz w:val="20"/>
                <w:szCs w:val="20"/>
              </w:rPr>
              <w:t xml:space="preserve"> Përgatitja e planeve të menaxhimit të pyjeve dhe mbështetja e zbatimit të tyre</w:t>
            </w:r>
          </w:p>
          <w:p w14:paraId="4B0BAE7B" w14:textId="77777777" w:rsidR="00835192" w:rsidRPr="00FF756A" w:rsidRDefault="00835192" w:rsidP="00835192">
            <w:pPr>
              <w:spacing w:before="20" w:after="20" w:line="240" w:lineRule="auto"/>
              <w:rPr>
                <w:i/>
                <w:iCs/>
                <w:sz w:val="20"/>
                <w:szCs w:val="20"/>
              </w:rPr>
            </w:pPr>
            <w:r w:rsidRPr="00FF756A">
              <w:rPr>
                <w:i/>
                <w:iCs/>
                <w:sz w:val="20"/>
                <w:szCs w:val="20"/>
              </w:rPr>
              <w:lastRenderedPageBreak/>
              <w:t>Ky aktivitetet do të mbështesë zhvillimin dhe zbatimin e planeve të menaxhimit të pyjeve në Shqipëri. MTM ka miratuar standarde për përmbajtjen e planeve të menaxhimit për zonat e mbrojtura dhe pyjet komunale.</w:t>
            </w:r>
          </w:p>
          <w:p w14:paraId="1A318CC3" w14:textId="77777777" w:rsidR="00835192" w:rsidRPr="00FF756A" w:rsidRDefault="00835192" w:rsidP="00835192">
            <w:pPr>
              <w:spacing w:before="20" w:after="20" w:line="240" w:lineRule="auto"/>
              <w:rPr>
                <w:b/>
                <w:bCs/>
                <w:i/>
                <w:iCs/>
                <w:sz w:val="20"/>
                <w:szCs w:val="20"/>
              </w:rPr>
            </w:pPr>
            <w:r w:rsidRPr="00FF756A">
              <w:rPr>
                <w:b/>
                <w:bCs/>
                <w:i/>
                <w:iCs/>
                <w:sz w:val="20"/>
                <w:szCs w:val="20"/>
              </w:rPr>
              <w:t xml:space="preserve">Produkti 5 (me ndikim te objektivi specifik 2): </w:t>
            </w:r>
            <w:r w:rsidRPr="00FF756A">
              <w:rPr>
                <w:i/>
                <w:iCs/>
                <w:sz w:val="20"/>
                <w:szCs w:val="20"/>
              </w:rPr>
              <w:t>Pyllëzimi/ripyllëzmi i zonave pyjore prioritare dhe përmirësimi i praktikave të menaxhimit dhe kapaciteteve teknike për menaxhimin e qëndrueshëm të pyjeve</w:t>
            </w:r>
          </w:p>
          <w:p w14:paraId="79F1D3C7" w14:textId="77777777" w:rsidR="00835192" w:rsidRPr="00FF756A" w:rsidRDefault="00835192" w:rsidP="00835192">
            <w:pPr>
              <w:spacing w:before="20" w:after="20" w:line="240" w:lineRule="auto"/>
              <w:rPr>
                <w:i/>
                <w:iCs/>
                <w:sz w:val="20"/>
                <w:szCs w:val="20"/>
              </w:rPr>
            </w:pPr>
            <w:r w:rsidRPr="00FF756A">
              <w:rPr>
                <w:i/>
                <w:iCs/>
                <w:sz w:val="20"/>
                <w:szCs w:val="20"/>
              </w:rPr>
              <w:t>Përshtatja e pyjeve me ndryshimet klimatike dhe rikuperimi i pyjeve do të kërkojë gjithashtu sasi të mëdha të materialeve të përshtatshme riprodhuese pyjore. Ajo do të marrë parasysh rrezikun e zjarreve në pyje për shkak të rritjes së temperaturës dhe ndryshimeve klimatike, duke ulur kështu probabilitetin e zjarreve. Kjo nënkupton përpjekje për të siguruar dhe përdorur në mënyrë të qëndrueshme, në bazë të parimeve ekologjike, burimet gjenetike nga të cilat varet një pylltari më e qëndrueshme ndaj klimës. Duhet t’i kushtohet vëmendje e veçantë kapacitetit të sektorit të fidanishtes për të siguruar sasi të mjaftueshme të materialeve të përshtatshme riprodhuese pyjore të nevojshme për përshtatjen dhe restaurimin e pyjeve, si dhe ndryshimet klimatike.</w:t>
            </w:r>
          </w:p>
          <w:p w14:paraId="4D56694F" w14:textId="77777777" w:rsidR="00835192" w:rsidRPr="00FF756A" w:rsidRDefault="00835192" w:rsidP="00835192">
            <w:pPr>
              <w:spacing w:before="20" w:after="20" w:line="240" w:lineRule="auto"/>
              <w:rPr>
                <w:i/>
                <w:iCs/>
                <w:sz w:val="20"/>
                <w:szCs w:val="20"/>
              </w:rPr>
            </w:pPr>
            <w:r w:rsidRPr="00FF756A">
              <w:rPr>
                <w:b/>
                <w:bCs/>
                <w:i/>
                <w:iCs/>
                <w:sz w:val="20"/>
                <w:szCs w:val="20"/>
              </w:rPr>
              <w:t xml:space="preserve">Produkti 6 (me ndikim te objektivi specifik 2): </w:t>
            </w:r>
            <w:r w:rsidRPr="00FF756A">
              <w:rPr>
                <w:i/>
                <w:iCs/>
                <w:sz w:val="20"/>
                <w:szCs w:val="20"/>
              </w:rPr>
              <w:t>Skema e granteve për zbatimin e masave për menaxhimin e qëndrueshëm të pyjeve, duke përfshirë për parandalimin e erozionit dhe zjarreve në pyje.</w:t>
            </w:r>
          </w:p>
        </w:tc>
      </w:tr>
      <w:tr w:rsidR="00835192" w:rsidRPr="00FF756A" w14:paraId="14048361" w14:textId="77777777" w:rsidTr="004A3257">
        <w:tc>
          <w:tcPr>
            <w:tcW w:w="2203" w:type="dxa"/>
            <w:tcBorders>
              <w:top w:val="single" w:sz="4" w:space="0" w:color="auto"/>
              <w:left w:val="single" w:sz="4" w:space="0" w:color="auto"/>
              <w:bottom w:val="single" w:sz="4" w:space="0" w:color="auto"/>
              <w:right w:val="single" w:sz="4" w:space="0" w:color="auto"/>
            </w:tcBorders>
          </w:tcPr>
          <w:p w14:paraId="7BC73C13" w14:textId="77777777" w:rsidR="00835192" w:rsidRPr="00FF756A" w:rsidRDefault="00835192" w:rsidP="00835192">
            <w:pPr>
              <w:spacing w:before="20" w:after="20" w:line="240" w:lineRule="auto"/>
              <w:jc w:val="right"/>
              <w:rPr>
                <w:b/>
                <w:bCs/>
                <w:i/>
                <w:iCs/>
                <w:sz w:val="20"/>
                <w:szCs w:val="20"/>
              </w:rPr>
            </w:pPr>
            <w:r w:rsidRPr="00FF756A">
              <w:rPr>
                <w:b/>
                <w:bCs/>
                <w:i/>
                <w:iCs/>
                <w:sz w:val="20"/>
                <w:szCs w:val="20"/>
              </w:rPr>
              <w:lastRenderedPageBreak/>
              <w:t>Rezultatet për t'u arritur</w:t>
            </w:r>
          </w:p>
        </w:tc>
        <w:tc>
          <w:tcPr>
            <w:tcW w:w="6869" w:type="dxa"/>
            <w:gridSpan w:val="5"/>
            <w:tcBorders>
              <w:top w:val="single" w:sz="4" w:space="0" w:color="auto"/>
              <w:left w:val="single" w:sz="4" w:space="0" w:color="auto"/>
              <w:bottom w:val="single" w:sz="4" w:space="0" w:color="auto"/>
              <w:right w:val="single" w:sz="4" w:space="0" w:color="auto"/>
            </w:tcBorders>
          </w:tcPr>
          <w:p w14:paraId="2558912D" w14:textId="4D2BEA1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Në bazë të rrethanave kombëtare dhe duke marrë në konsideratë tendencat aktuale, potenciali për pyllëzime të reja vlerësohet në 300 ha në vit. Në vitin 2030, zbatimi i kësaj mase do të lejojë reduktimin e shkarkimeve vjetore në një masë të parashikuar prej -7 kt CO</w:t>
            </w:r>
            <w:r w:rsidRPr="00FF756A">
              <w:rPr>
                <w:i/>
                <w:iCs/>
                <w:sz w:val="20"/>
                <w:szCs w:val="20"/>
                <w:vertAlign w:val="subscript"/>
              </w:rPr>
              <w:t>2</w:t>
            </w:r>
            <w:r w:rsidRPr="00FF756A">
              <w:rPr>
                <w:i/>
                <w:iCs/>
                <w:sz w:val="20"/>
                <w:szCs w:val="20"/>
              </w:rPr>
              <w:t xml:space="preserve">eq, krahasuar me skenarin BAU (të dhënat e </w:t>
            </w:r>
            <w:r w:rsidR="006467B6" w:rsidRPr="00FF756A">
              <w:rPr>
                <w:i/>
                <w:iCs/>
                <w:sz w:val="20"/>
                <w:szCs w:val="20"/>
              </w:rPr>
              <w:t>KKP</w:t>
            </w:r>
            <w:r w:rsidRPr="00FF756A">
              <w:rPr>
                <w:i/>
                <w:iCs/>
                <w:sz w:val="20"/>
                <w:szCs w:val="20"/>
              </w:rPr>
              <w:t>).</w:t>
            </w:r>
          </w:p>
          <w:p w14:paraId="51C630F5" w14:textId="729EDBB0"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Përmirësimi i efiçencës së përdorimit të drurëve të zjarrit çon në reduktimin e mbetjeve të drurëve të zjarrit. Në vitin 2030, zbatimi i kësaj mase do të lejojë reduktimin e shkarkimeve vjetore në një masë të parashikuar prej -145 kt CO2e, krahasuar me skenarin BAU (të dhënat e </w:t>
            </w:r>
            <w:r w:rsidR="006467B6" w:rsidRPr="00FF756A">
              <w:rPr>
                <w:i/>
                <w:iCs/>
                <w:sz w:val="20"/>
                <w:szCs w:val="20"/>
              </w:rPr>
              <w:t>KKpP</w:t>
            </w:r>
            <w:r w:rsidRPr="00FF756A">
              <w:rPr>
                <w:i/>
                <w:iCs/>
                <w:sz w:val="20"/>
                <w:szCs w:val="20"/>
              </w:rPr>
              <w:t>).</w:t>
            </w:r>
          </w:p>
          <w:p w14:paraId="3B50F70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Mbështetja financiare (kryesisht përmes instrumentit IPARD)</w:t>
            </w:r>
          </w:p>
          <w:p w14:paraId="2C21A115" w14:textId="77777777" w:rsidR="00835192" w:rsidRPr="00FF756A" w:rsidRDefault="00835192" w:rsidP="00835192">
            <w:pPr>
              <w:spacing w:before="20" w:after="20" w:line="240" w:lineRule="auto"/>
              <w:rPr>
                <w:i/>
                <w:iCs/>
                <w:sz w:val="20"/>
                <w:szCs w:val="20"/>
              </w:rPr>
            </w:pPr>
            <w:r w:rsidRPr="00FF756A">
              <w:rPr>
                <w:i/>
                <w:iCs/>
                <w:sz w:val="20"/>
                <w:szCs w:val="20"/>
              </w:rPr>
              <w:tab/>
            </w:r>
          </w:p>
          <w:p w14:paraId="212D7ECB" w14:textId="77777777" w:rsidR="00835192" w:rsidRPr="00FF756A" w:rsidRDefault="00835192" w:rsidP="00835192">
            <w:pPr>
              <w:spacing w:before="20" w:after="20" w:line="240" w:lineRule="auto"/>
              <w:rPr>
                <w:i/>
                <w:iCs/>
                <w:sz w:val="20"/>
                <w:szCs w:val="20"/>
              </w:rPr>
            </w:pPr>
            <w:r w:rsidRPr="00FF756A">
              <w:rPr>
                <w:i/>
                <w:iCs/>
                <w:sz w:val="20"/>
                <w:szCs w:val="20"/>
              </w:rPr>
              <w:t>Ndërhyrjet që do të zbatohen në kuadër të Veprimit do të kenë ndikime pozitive mjedisore pasi ato synojnë rritjen e kapacitetit të grupeve kombëtare të interesit për të planifikuar dhe zbatuar masa për mundësimin e menaxhimit të qëndrueshëm të pyjeve. Aktivitetet e zbatuara do të hartohen për të përmirësuar kushtet mjedisore në pyje dhe habitatet e tyre në një periudhë afatshkurtër deri në një periudhë afatgjatë. Nuk ka aktivitete që mund të kenë ndonjë ndikim negativ në mjedis, duke përfshirë klimën ose që mund të rrisin cenueshmërinë ndaj fatkeqësive. Programi i monitorimit dhe vlerësimit të projektit do të adresojë të gjitha shqetësimet dhe mundësitë mjedisore.</w:t>
            </w:r>
          </w:p>
          <w:p w14:paraId="6965F541" w14:textId="77777777" w:rsidR="00835192" w:rsidRPr="00FF756A" w:rsidRDefault="00835192" w:rsidP="00835192">
            <w:pPr>
              <w:spacing w:before="20" w:after="20" w:line="240" w:lineRule="auto"/>
              <w:rPr>
                <w:i/>
                <w:iCs/>
                <w:sz w:val="20"/>
                <w:szCs w:val="20"/>
              </w:rPr>
            </w:pPr>
            <w:r w:rsidRPr="00FF756A">
              <w:rPr>
                <w:i/>
                <w:iCs/>
                <w:sz w:val="20"/>
                <w:szCs w:val="20"/>
              </w:rPr>
              <w:t>Duke nxitur dhe mbështetur menaxhimin e qëndrueshëm të pyjeve, ky veprim do të adresojë në mënyrë të tërthortë disa nga problematikat në qëndrueshmërinë mjedisore dhe do të përmirësojë qëndrueshmërinë e përgjithshme të vendit ndaj efekteve të ndryshimeve klimatike. I rëndësishëm është përmirësimi i cilësisë së mbrojtjes së mjedisit dhe kontributi në veprimet dhe politikat kundër ndryshimeve klimatike për të përshpejtuar kalimin drejt një ekonomie me karbon të ulët.</w:t>
            </w:r>
          </w:p>
          <w:p w14:paraId="077EB1B5" w14:textId="77777777" w:rsidR="00835192" w:rsidRPr="00FF756A" w:rsidRDefault="00835192" w:rsidP="00835192">
            <w:pPr>
              <w:spacing w:before="20" w:after="20" w:line="240" w:lineRule="auto"/>
              <w:rPr>
                <w:i/>
                <w:iCs/>
                <w:sz w:val="20"/>
                <w:szCs w:val="20"/>
              </w:rPr>
            </w:pPr>
            <w:r w:rsidRPr="00FF756A">
              <w:rPr>
                <w:i/>
                <w:iCs/>
                <w:sz w:val="20"/>
                <w:szCs w:val="20"/>
              </w:rPr>
              <w:t xml:space="preserve">Për t’u arritur: </w:t>
            </w:r>
          </w:p>
          <w:p w14:paraId="2274203B" w14:textId="77777777" w:rsidR="00835192" w:rsidRPr="00FF756A" w:rsidRDefault="00835192" w:rsidP="008639B2">
            <w:pPr>
              <w:numPr>
                <w:ilvl w:val="0"/>
                <w:numId w:val="180"/>
              </w:numPr>
              <w:spacing w:before="20" w:after="20" w:line="240" w:lineRule="auto"/>
              <w:contextualSpacing/>
              <w:rPr>
                <w:i/>
                <w:iCs/>
                <w:sz w:val="20"/>
                <w:szCs w:val="20"/>
              </w:rPr>
            </w:pPr>
            <w:r w:rsidRPr="00FF756A">
              <w:rPr>
                <w:i/>
                <w:iCs/>
                <w:sz w:val="20"/>
                <w:szCs w:val="20"/>
              </w:rPr>
              <w:t>Përmirësimi i kapaciteteve administrative dhe i kuadrit ligjor në sektorin e pyjeve në Shqipëri</w:t>
            </w:r>
          </w:p>
          <w:p w14:paraId="5C05491B" w14:textId="77777777" w:rsidR="00835192" w:rsidRPr="00FF756A" w:rsidRDefault="00835192" w:rsidP="008639B2">
            <w:pPr>
              <w:numPr>
                <w:ilvl w:val="0"/>
                <w:numId w:val="180"/>
              </w:numPr>
              <w:spacing w:before="20" w:after="20" w:line="240" w:lineRule="auto"/>
              <w:contextualSpacing/>
              <w:rPr>
                <w:i/>
                <w:iCs/>
                <w:sz w:val="20"/>
                <w:szCs w:val="20"/>
              </w:rPr>
            </w:pPr>
            <w:r w:rsidRPr="00FF756A">
              <w:rPr>
                <w:i/>
                <w:iCs/>
                <w:sz w:val="20"/>
                <w:szCs w:val="20"/>
              </w:rPr>
              <w:t>Rritja e mbulimit pyjor dhe e kapaciteteve të përthithjes së karbonit për Shqipërinë</w:t>
            </w:r>
          </w:p>
          <w:p w14:paraId="51D26A33" w14:textId="77777777" w:rsidR="00835192" w:rsidRPr="00FF756A" w:rsidRDefault="00835192" w:rsidP="008639B2">
            <w:pPr>
              <w:numPr>
                <w:ilvl w:val="0"/>
                <w:numId w:val="180"/>
              </w:numPr>
              <w:spacing w:before="20" w:after="20" w:line="240" w:lineRule="auto"/>
              <w:contextualSpacing/>
              <w:rPr>
                <w:i/>
                <w:iCs/>
                <w:sz w:val="20"/>
                <w:szCs w:val="20"/>
              </w:rPr>
            </w:pPr>
            <w:r w:rsidRPr="00FF756A">
              <w:rPr>
                <w:i/>
                <w:iCs/>
                <w:sz w:val="20"/>
                <w:szCs w:val="20"/>
              </w:rPr>
              <w:t>Harmonizimi me legjislacionin e BE-së për pyjet dhe përgatitja e legjislacioneve të tjera përkatëse</w:t>
            </w:r>
          </w:p>
          <w:p w14:paraId="1040F4C1" w14:textId="77777777" w:rsidR="00835192" w:rsidRPr="00FF756A" w:rsidRDefault="00835192" w:rsidP="008639B2">
            <w:pPr>
              <w:numPr>
                <w:ilvl w:val="0"/>
                <w:numId w:val="180"/>
              </w:numPr>
              <w:spacing w:before="20" w:after="20" w:line="240" w:lineRule="auto"/>
              <w:contextualSpacing/>
              <w:rPr>
                <w:i/>
                <w:iCs/>
                <w:sz w:val="20"/>
                <w:szCs w:val="20"/>
              </w:rPr>
            </w:pPr>
            <w:r w:rsidRPr="00FF756A">
              <w:rPr>
                <w:i/>
                <w:iCs/>
                <w:sz w:val="20"/>
                <w:szCs w:val="20"/>
              </w:rPr>
              <w:t>Përmirësimi i kapaciteteve administrative dhe i kapaciteteve për menaxhimin e qëndrueshëm të pyjeve dhe mbledhjen dhe raportimin e të dhënave</w:t>
            </w:r>
          </w:p>
          <w:p w14:paraId="26FA5BDE" w14:textId="77777777" w:rsidR="00835192" w:rsidRPr="00FF756A" w:rsidRDefault="00835192" w:rsidP="008639B2">
            <w:pPr>
              <w:numPr>
                <w:ilvl w:val="0"/>
                <w:numId w:val="180"/>
              </w:numPr>
              <w:spacing w:before="20" w:after="20" w:line="240" w:lineRule="auto"/>
              <w:contextualSpacing/>
              <w:rPr>
                <w:i/>
                <w:iCs/>
                <w:sz w:val="20"/>
                <w:szCs w:val="20"/>
              </w:rPr>
            </w:pPr>
            <w:r w:rsidRPr="00FF756A">
              <w:rPr>
                <w:i/>
                <w:iCs/>
                <w:sz w:val="20"/>
                <w:szCs w:val="20"/>
              </w:rPr>
              <w:t>Mbështetja e procesit të matjes së shkarkimeve dhe largimeve nga pyjet në përputhje me LULUCF dhe legjislacionin përkatës</w:t>
            </w:r>
          </w:p>
          <w:p w14:paraId="6DA31FA0" w14:textId="77777777" w:rsidR="00835192" w:rsidRPr="00FF756A" w:rsidRDefault="00835192" w:rsidP="008639B2">
            <w:pPr>
              <w:numPr>
                <w:ilvl w:val="0"/>
                <w:numId w:val="180"/>
              </w:numPr>
              <w:spacing w:before="20" w:after="20" w:line="240" w:lineRule="auto"/>
              <w:contextualSpacing/>
              <w:rPr>
                <w:i/>
                <w:iCs/>
                <w:sz w:val="20"/>
                <w:szCs w:val="20"/>
              </w:rPr>
            </w:pPr>
            <w:r w:rsidRPr="00FF756A">
              <w:rPr>
                <w:i/>
                <w:iCs/>
                <w:sz w:val="20"/>
                <w:szCs w:val="20"/>
              </w:rPr>
              <w:t>Përgatitja e planeve të menaxhimit të pyjeve dhe mbështetja e zbatimit të tyre</w:t>
            </w:r>
          </w:p>
          <w:p w14:paraId="26011E02" w14:textId="77777777" w:rsidR="00835192" w:rsidRPr="00FF756A" w:rsidRDefault="00835192" w:rsidP="008639B2">
            <w:pPr>
              <w:numPr>
                <w:ilvl w:val="0"/>
                <w:numId w:val="180"/>
              </w:numPr>
              <w:spacing w:before="20" w:after="20" w:line="240" w:lineRule="auto"/>
              <w:contextualSpacing/>
              <w:rPr>
                <w:i/>
                <w:iCs/>
                <w:sz w:val="20"/>
                <w:szCs w:val="20"/>
              </w:rPr>
            </w:pPr>
            <w:r w:rsidRPr="00FF756A">
              <w:rPr>
                <w:i/>
                <w:iCs/>
                <w:sz w:val="20"/>
                <w:szCs w:val="20"/>
              </w:rPr>
              <w:lastRenderedPageBreak/>
              <w:t>Pyllëzimi/ripyllëzmi i zonave pyjore prioritare dhe përmirësimi i praktikave të menaxhimit dhe kapaciteteve teknike për menaxhimin e qëndrueshëm të pyjeve (SFM)</w:t>
            </w:r>
          </w:p>
          <w:p w14:paraId="13E90753" w14:textId="77777777" w:rsidR="00835192" w:rsidRPr="00FF756A" w:rsidRDefault="00835192" w:rsidP="008639B2">
            <w:pPr>
              <w:numPr>
                <w:ilvl w:val="0"/>
                <w:numId w:val="180"/>
              </w:numPr>
              <w:spacing w:before="20" w:after="20" w:line="240" w:lineRule="auto"/>
              <w:contextualSpacing/>
              <w:rPr>
                <w:i/>
                <w:iCs/>
                <w:sz w:val="20"/>
                <w:szCs w:val="20"/>
              </w:rPr>
            </w:pPr>
            <w:r w:rsidRPr="00FF756A">
              <w:rPr>
                <w:i/>
                <w:iCs/>
                <w:sz w:val="20"/>
                <w:szCs w:val="20"/>
              </w:rPr>
              <w:t>Skema e granteve për zbatimin e masave për menaxhimin e qëndrueshëm të pyjeve, duke përfshirë për parandalimin e erozionit dhe zjarreve në pyje</w:t>
            </w:r>
          </w:p>
          <w:p w14:paraId="6DCAB166" w14:textId="77777777" w:rsidR="00835192" w:rsidRPr="00FF756A" w:rsidRDefault="00835192" w:rsidP="008639B2">
            <w:pPr>
              <w:numPr>
                <w:ilvl w:val="0"/>
                <w:numId w:val="180"/>
              </w:numPr>
              <w:spacing w:before="20" w:after="20" w:line="240" w:lineRule="auto"/>
              <w:contextualSpacing/>
              <w:rPr>
                <w:i/>
                <w:iCs/>
                <w:sz w:val="20"/>
                <w:szCs w:val="20"/>
              </w:rPr>
            </w:pPr>
            <w:r w:rsidRPr="00FF756A">
              <w:rPr>
                <w:i/>
                <w:iCs/>
                <w:sz w:val="20"/>
                <w:szCs w:val="20"/>
              </w:rPr>
              <w:t>Zbatimi i fushatave të ndërgjegjësimit publik që synojnë komunitetet lokale për menaxhimin e qëndrueshëm të pyjeve</w:t>
            </w:r>
          </w:p>
        </w:tc>
      </w:tr>
      <w:tr w:rsidR="00835192" w:rsidRPr="00FF756A" w14:paraId="3CAB4E0A"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0C30D451"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Masat që duhet të zbatohen</w:t>
            </w:r>
          </w:p>
        </w:tc>
        <w:tc>
          <w:tcPr>
            <w:tcW w:w="6019" w:type="dxa"/>
            <w:gridSpan w:val="4"/>
            <w:tcBorders>
              <w:top w:val="single" w:sz="4" w:space="0" w:color="auto"/>
              <w:left w:val="single" w:sz="4" w:space="0" w:color="auto"/>
              <w:bottom w:val="single" w:sz="4" w:space="0" w:color="auto"/>
              <w:right w:val="single" w:sz="4" w:space="0" w:color="auto"/>
            </w:tcBorders>
          </w:tcPr>
          <w:p w14:paraId="484DE41E" w14:textId="77777777" w:rsidR="00835192" w:rsidRPr="00FF756A" w:rsidRDefault="00835192" w:rsidP="00835192">
            <w:pPr>
              <w:spacing w:before="20" w:after="20" w:line="240" w:lineRule="auto"/>
              <w:rPr>
                <w:i/>
                <w:iCs/>
                <w:sz w:val="20"/>
                <w:szCs w:val="20"/>
              </w:rPr>
            </w:pPr>
            <w:r w:rsidRPr="00FF756A">
              <w:rPr>
                <w:i/>
                <w:iCs/>
                <w:sz w:val="20"/>
                <w:szCs w:val="20"/>
              </w:rPr>
              <w:t>Kuadri ligjor</w:t>
            </w:r>
          </w:p>
          <w:p w14:paraId="6F3531A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Plani kombëtar për mbjelljen në zonat e dëmtuara nga prerja e paligjshme e drurëve dhe në zonat e djegura brenda fondit pyjor</w:t>
            </w:r>
          </w:p>
          <w:p w14:paraId="66BFD7CB" w14:textId="77777777" w:rsidR="00835192" w:rsidRPr="00FF756A" w:rsidRDefault="00835192" w:rsidP="00835192">
            <w:pPr>
              <w:spacing w:before="20" w:after="20" w:line="240" w:lineRule="auto"/>
              <w:rPr>
                <w:i/>
                <w:iCs/>
                <w:sz w:val="20"/>
                <w:szCs w:val="20"/>
              </w:rPr>
            </w:pPr>
            <w:r w:rsidRPr="00FF756A">
              <w:rPr>
                <w:i/>
                <w:iCs/>
                <w:sz w:val="20"/>
                <w:szCs w:val="20"/>
              </w:rPr>
              <w:t xml:space="preserve">Zbatimi i pyllëzimit </w:t>
            </w:r>
          </w:p>
          <w:p w14:paraId="68C6830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Pyllëzimi me lloje të reja me rritje të shpejtë për produktet e drurit, duke përdorur hapësirat e lira, tokat djerrë etj. dhe duke bashkëpunuar me individë dhe sipërmarrje</w:t>
            </w:r>
          </w:p>
          <w:p w14:paraId="229E70AD" w14:textId="77777777" w:rsidR="00835192" w:rsidRPr="00FF756A" w:rsidRDefault="00835192" w:rsidP="00835192">
            <w:pPr>
              <w:spacing w:before="20" w:after="20" w:line="240" w:lineRule="auto"/>
              <w:rPr>
                <w:i/>
                <w:iCs/>
                <w:sz w:val="20"/>
                <w:szCs w:val="20"/>
              </w:rPr>
            </w:pPr>
            <w:r w:rsidRPr="00FF756A">
              <w:rPr>
                <w:i/>
                <w:iCs/>
                <w:sz w:val="20"/>
                <w:szCs w:val="20"/>
              </w:rPr>
              <w:t xml:space="preserve">Promovimi dhe rritja e ndërgjegjësimit </w:t>
            </w:r>
          </w:p>
          <w:p w14:paraId="3355665A"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Promovimi i agropylltarisë përmes incentivave financiare, me pemë frutore, me truall apo me fidanë (drurë frutorë / </w:t>
            </w:r>
            <w:bookmarkStart w:id="366" w:name="_Hlk75523331"/>
            <w:r w:rsidRPr="00FF756A">
              <w:rPr>
                <w:i/>
                <w:iCs/>
                <w:sz w:val="20"/>
                <w:szCs w:val="20"/>
              </w:rPr>
              <w:t>Agjencia për Zhvillim Bujqësor dhe Rural - AZHBR</w:t>
            </w:r>
            <w:bookmarkEnd w:id="366"/>
            <w:r w:rsidRPr="00FF756A">
              <w:rPr>
                <w:i/>
                <w:iCs/>
                <w:sz w:val="20"/>
                <w:szCs w:val="20"/>
              </w:rPr>
              <w:t>), etj.</w:t>
            </w:r>
          </w:p>
          <w:p w14:paraId="6E446BC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Promovimi i gjelbërimit rrugor dhe urban në parqe, përreth burimeve ujore dhe në zonat e ndjeshme, me qëllim rritjen e sipërfaqes së mbuluar me pemë/gjelbërim dhe parandalimin e rreziqeve natyrore</w:t>
            </w:r>
          </w:p>
        </w:tc>
        <w:tc>
          <w:tcPr>
            <w:tcW w:w="850" w:type="dxa"/>
            <w:tcBorders>
              <w:top w:val="single" w:sz="4" w:space="0" w:color="auto"/>
              <w:left w:val="single" w:sz="4" w:space="0" w:color="auto"/>
              <w:bottom w:val="single" w:sz="4" w:space="0" w:color="auto"/>
              <w:right w:val="single" w:sz="4" w:space="0" w:color="auto"/>
            </w:tcBorders>
          </w:tcPr>
          <w:p w14:paraId="51E880E5"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2025</w:t>
            </w:r>
          </w:p>
          <w:p w14:paraId="5FA5C0E8" w14:textId="77777777" w:rsidR="00835192" w:rsidRPr="00FF756A" w:rsidRDefault="00835192" w:rsidP="00835192">
            <w:pPr>
              <w:spacing w:before="20" w:after="20" w:line="240" w:lineRule="auto"/>
              <w:jc w:val="left"/>
              <w:rPr>
                <w:i/>
                <w:iCs/>
                <w:sz w:val="20"/>
                <w:szCs w:val="20"/>
              </w:rPr>
            </w:pPr>
            <w:r w:rsidRPr="00FF756A">
              <w:rPr>
                <w:i/>
                <w:iCs/>
                <w:sz w:val="20"/>
                <w:szCs w:val="20"/>
              </w:rPr>
              <w:br/>
            </w:r>
          </w:p>
          <w:p w14:paraId="74E67DD0" w14:textId="77777777" w:rsidR="00835192" w:rsidRPr="00FF756A" w:rsidRDefault="00835192" w:rsidP="00835192">
            <w:pPr>
              <w:spacing w:before="20" w:after="20" w:line="240" w:lineRule="auto"/>
              <w:jc w:val="left"/>
              <w:rPr>
                <w:i/>
                <w:iCs/>
                <w:sz w:val="20"/>
                <w:szCs w:val="20"/>
              </w:rPr>
            </w:pPr>
            <w:r w:rsidRPr="00FF756A">
              <w:rPr>
                <w:i/>
                <w:iCs/>
                <w:sz w:val="20"/>
                <w:szCs w:val="20"/>
              </w:rPr>
              <w:t xml:space="preserve">Nga viti 2026 e në vazhdim </w:t>
            </w:r>
            <w:r w:rsidRPr="00FF756A">
              <w:rPr>
                <w:i/>
                <w:iCs/>
                <w:sz w:val="20"/>
                <w:szCs w:val="20"/>
              </w:rPr>
              <w:br/>
            </w:r>
            <w:r w:rsidRPr="00FF756A">
              <w:rPr>
                <w:i/>
                <w:iCs/>
                <w:sz w:val="20"/>
                <w:szCs w:val="20"/>
              </w:rPr>
              <w:br/>
            </w:r>
            <w:r w:rsidRPr="00FF756A">
              <w:rPr>
                <w:i/>
                <w:iCs/>
                <w:sz w:val="20"/>
                <w:szCs w:val="20"/>
              </w:rPr>
              <w:br/>
            </w:r>
          </w:p>
          <w:p w14:paraId="4975863A" w14:textId="77777777" w:rsidR="00835192" w:rsidRPr="00FF756A" w:rsidRDefault="00835192" w:rsidP="00835192">
            <w:pPr>
              <w:spacing w:before="20" w:after="20" w:line="240" w:lineRule="auto"/>
              <w:jc w:val="left"/>
              <w:rPr>
                <w:i/>
                <w:iCs/>
                <w:sz w:val="20"/>
                <w:szCs w:val="20"/>
              </w:rPr>
            </w:pPr>
            <w:r w:rsidRPr="00FF756A">
              <w:rPr>
                <w:i/>
                <w:iCs/>
                <w:sz w:val="20"/>
                <w:szCs w:val="20"/>
              </w:rPr>
              <w:t>Nga viti 2025 e në vazhdim</w:t>
            </w:r>
          </w:p>
        </w:tc>
      </w:tr>
      <w:tr w:rsidR="00835192" w:rsidRPr="00FF756A" w14:paraId="4016B955"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12DDAFD9"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9" w:type="dxa"/>
            <w:gridSpan w:val="5"/>
            <w:tcBorders>
              <w:top w:val="single" w:sz="4" w:space="0" w:color="auto"/>
              <w:left w:val="single" w:sz="4" w:space="0" w:color="auto"/>
              <w:bottom w:val="single" w:sz="4" w:space="0" w:color="auto"/>
              <w:right w:val="single" w:sz="4" w:space="0" w:color="auto"/>
            </w:tcBorders>
          </w:tcPr>
          <w:p w14:paraId="5DAFE5FB" w14:textId="77777777" w:rsidR="00835192" w:rsidRPr="00FF756A" w:rsidRDefault="00835192" w:rsidP="00835192">
            <w:pPr>
              <w:spacing w:before="20" w:after="20" w:line="240" w:lineRule="auto"/>
              <w:rPr>
                <w:i/>
                <w:iCs/>
                <w:sz w:val="20"/>
                <w:szCs w:val="20"/>
              </w:rPr>
            </w:pPr>
            <w:r w:rsidRPr="00FF756A">
              <w:rPr>
                <w:i/>
                <w:iCs/>
                <w:sz w:val="20"/>
                <w:szCs w:val="20"/>
              </w:rPr>
              <w:t>Fonde shtetërore në vlerën 6,5 milionë euro (çdo vit, për sektorin e pyjeve, megjithëse nuk specifikohet nga masat)</w:t>
            </w:r>
          </w:p>
        </w:tc>
      </w:tr>
      <w:tr w:rsidR="00835192" w:rsidRPr="00FF756A" w14:paraId="641449F2"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42D0C1FA"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5DAE7454"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9" w:type="dxa"/>
            <w:gridSpan w:val="5"/>
            <w:tcBorders>
              <w:top w:val="single" w:sz="4" w:space="0" w:color="auto"/>
              <w:left w:val="single" w:sz="4" w:space="0" w:color="auto"/>
              <w:bottom w:val="single" w:sz="4" w:space="0" w:color="auto"/>
              <w:right w:val="single" w:sz="4" w:space="0" w:color="auto"/>
            </w:tcBorders>
          </w:tcPr>
          <w:p w14:paraId="08B1928F" w14:textId="77777777" w:rsidR="00835192" w:rsidRPr="00FF756A" w:rsidRDefault="00835192" w:rsidP="00835192">
            <w:pPr>
              <w:spacing w:before="20" w:after="20" w:line="240" w:lineRule="auto"/>
              <w:rPr>
                <w:i/>
                <w:iCs/>
                <w:sz w:val="20"/>
                <w:szCs w:val="20"/>
              </w:rPr>
            </w:pPr>
            <w:r w:rsidRPr="00FF756A">
              <w:rPr>
                <w:i/>
                <w:iCs/>
                <w:sz w:val="20"/>
                <w:szCs w:val="20"/>
              </w:rPr>
              <w:t xml:space="preserve">Ministria e Turizmit dhe Mjedisit: Agjencia Kombëtare e Pyjeve; </w:t>
            </w:r>
          </w:p>
          <w:p w14:paraId="1F503BD6" w14:textId="77777777" w:rsidR="00835192" w:rsidRPr="00FF756A" w:rsidRDefault="00835192" w:rsidP="00835192">
            <w:pPr>
              <w:spacing w:before="20" w:after="20" w:line="240" w:lineRule="auto"/>
              <w:rPr>
                <w:i/>
                <w:iCs/>
                <w:sz w:val="20"/>
                <w:szCs w:val="20"/>
              </w:rPr>
            </w:pPr>
            <w:r w:rsidRPr="00FF756A">
              <w:rPr>
                <w:i/>
                <w:iCs/>
                <w:sz w:val="20"/>
                <w:szCs w:val="20"/>
              </w:rPr>
              <w:t>Agjencia Kombëtare e Zonave të Mbrojtura; Agjencia për Zhvillim Bujqësor dhe Rural (të gjitha të përfshira në zbatim dhe monitorim)</w:t>
            </w:r>
          </w:p>
        </w:tc>
      </w:tr>
      <w:tr w:rsidR="00835192" w:rsidRPr="00FF756A" w14:paraId="79F8DB91"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7965B482"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9" w:type="dxa"/>
            <w:gridSpan w:val="5"/>
            <w:tcBorders>
              <w:top w:val="single" w:sz="4" w:space="0" w:color="auto"/>
              <w:left w:val="single" w:sz="4" w:space="0" w:color="auto"/>
              <w:bottom w:val="single" w:sz="4" w:space="0" w:color="auto"/>
              <w:right w:val="single" w:sz="4" w:space="0" w:color="auto"/>
            </w:tcBorders>
          </w:tcPr>
          <w:p w14:paraId="4DCAD922" w14:textId="77777777" w:rsidR="00835192" w:rsidRPr="00FF756A" w:rsidRDefault="00835192" w:rsidP="00835192">
            <w:pPr>
              <w:spacing w:before="20" w:after="20" w:line="240" w:lineRule="auto"/>
              <w:rPr>
                <w:i/>
                <w:iCs/>
                <w:sz w:val="20"/>
                <w:szCs w:val="20"/>
              </w:rPr>
            </w:pPr>
          </w:p>
        </w:tc>
      </w:tr>
    </w:tbl>
    <w:p w14:paraId="0297A1C3"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6"/>
        <w:gridCol w:w="1272"/>
        <w:gridCol w:w="596"/>
        <w:gridCol w:w="426"/>
        <w:gridCol w:w="3689"/>
        <w:gridCol w:w="883"/>
      </w:tblGrid>
      <w:tr w:rsidR="00835192" w:rsidRPr="00FF756A" w14:paraId="162B9D15" w14:textId="77777777" w:rsidTr="004A3257">
        <w:trPr>
          <w:trHeight w:val="20"/>
        </w:trPr>
        <w:tc>
          <w:tcPr>
            <w:tcW w:w="4516" w:type="dxa"/>
            <w:gridSpan w:val="4"/>
            <w:shd w:val="clear" w:color="auto" w:fill="E2EFD9" w:themeFill="accent6" w:themeFillTint="33"/>
          </w:tcPr>
          <w:p w14:paraId="0E255E74" w14:textId="77777777" w:rsidR="00835192" w:rsidRPr="00FF756A" w:rsidRDefault="00835192" w:rsidP="00835192">
            <w:pPr>
              <w:spacing w:before="20" w:after="20" w:line="240" w:lineRule="auto"/>
              <w:jc w:val="right"/>
              <w:rPr>
                <w:b/>
                <w:bCs/>
                <w:sz w:val="20"/>
                <w:szCs w:val="20"/>
              </w:rPr>
            </w:pPr>
            <w:r w:rsidRPr="00FF756A">
              <w:br w:type="page"/>
            </w:r>
            <w:r w:rsidRPr="00FF756A">
              <w:rPr>
                <w:b/>
                <w:bCs/>
                <w:sz w:val="20"/>
                <w:szCs w:val="20"/>
              </w:rPr>
              <w:t>Dimensioni i energjisë</w:t>
            </w:r>
          </w:p>
        </w:tc>
        <w:tc>
          <w:tcPr>
            <w:tcW w:w="4556" w:type="dxa"/>
            <w:gridSpan w:val="2"/>
            <w:shd w:val="clear" w:color="auto" w:fill="E2EFD9" w:themeFill="accent6" w:themeFillTint="33"/>
          </w:tcPr>
          <w:p w14:paraId="4AA54CDA" w14:textId="7263D73F" w:rsidR="00835192" w:rsidRPr="00FF756A" w:rsidRDefault="00835192" w:rsidP="004A3257">
            <w:pPr>
              <w:pStyle w:val="ListParagraph"/>
              <w:numPr>
                <w:ilvl w:val="0"/>
                <w:numId w:val="231"/>
              </w:numPr>
              <w:spacing w:before="20" w:after="20" w:line="240" w:lineRule="auto"/>
              <w:rPr>
                <w:i/>
                <w:iCs/>
                <w:sz w:val="20"/>
                <w:szCs w:val="20"/>
              </w:rPr>
            </w:pPr>
            <w:r w:rsidRPr="00FF756A">
              <w:rPr>
                <w:i/>
                <w:iCs/>
                <w:sz w:val="20"/>
                <w:szCs w:val="20"/>
              </w:rPr>
              <w:t>Dekarbonizimi</w:t>
            </w:r>
          </w:p>
          <w:p w14:paraId="42822754" w14:textId="73DC1628" w:rsidR="00835192" w:rsidRPr="00FF756A" w:rsidRDefault="00835192" w:rsidP="004A3257">
            <w:pPr>
              <w:spacing w:before="20" w:after="20" w:line="240" w:lineRule="auto"/>
              <w:contextualSpacing/>
              <w:rPr>
                <w:i/>
                <w:iCs/>
                <w:sz w:val="20"/>
                <w:szCs w:val="20"/>
              </w:rPr>
            </w:pPr>
            <w:r w:rsidRPr="00FF756A">
              <w:rPr>
                <w:i/>
                <w:iCs/>
                <w:sz w:val="20"/>
                <w:szCs w:val="20"/>
              </w:rPr>
              <w:t>Shkarkimet dhe eliminimi i GES-ve</w:t>
            </w:r>
          </w:p>
        </w:tc>
      </w:tr>
      <w:tr w:rsidR="00835192" w:rsidRPr="00FF756A" w14:paraId="7242910A" w14:textId="77777777" w:rsidTr="004A3257">
        <w:trPr>
          <w:trHeight w:val="20"/>
        </w:trPr>
        <w:tc>
          <w:tcPr>
            <w:tcW w:w="4087" w:type="dxa"/>
            <w:gridSpan w:val="3"/>
            <w:shd w:val="clear" w:color="auto" w:fill="E2EFD9" w:themeFill="accent6" w:themeFillTint="33"/>
          </w:tcPr>
          <w:p w14:paraId="2235E0C2"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85" w:type="dxa"/>
            <w:gridSpan w:val="3"/>
            <w:shd w:val="clear" w:color="auto" w:fill="E2EFD9" w:themeFill="accent6" w:themeFillTint="33"/>
          </w:tcPr>
          <w:p w14:paraId="07FC39D0" w14:textId="77777777" w:rsidR="00835192" w:rsidRPr="00FF756A" w:rsidRDefault="00835192" w:rsidP="00835192">
            <w:pPr>
              <w:spacing w:before="20" w:after="20" w:line="240" w:lineRule="auto"/>
              <w:rPr>
                <w:i/>
                <w:iCs/>
                <w:sz w:val="20"/>
                <w:szCs w:val="20"/>
              </w:rPr>
            </w:pPr>
            <w:r w:rsidRPr="00FF756A">
              <w:rPr>
                <w:i/>
                <w:iCs/>
                <w:sz w:val="20"/>
                <w:szCs w:val="20"/>
              </w:rPr>
              <w:t>Ndryshimi i përdorimit të tokës dhe pyjet</w:t>
            </w:r>
          </w:p>
        </w:tc>
      </w:tr>
      <w:tr w:rsidR="00835192" w:rsidRPr="00FF756A" w14:paraId="5766F04D" w14:textId="77777777" w:rsidTr="004A3257">
        <w:trPr>
          <w:trHeight w:val="20"/>
        </w:trPr>
        <w:tc>
          <w:tcPr>
            <w:tcW w:w="3486" w:type="dxa"/>
            <w:gridSpan w:val="2"/>
          </w:tcPr>
          <w:p w14:paraId="7EC31A79"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1DDB9F40"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6" w:type="dxa"/>
            <w:gridSpan w:val="4"/>
          </w:tcPr>
          <w:p w14:paraId="0D792781" w14:textId="77777777" w:rsidR="00835192" w:rsidRPr="00FF756A" w:rsidRDefault="00835192" w:rsidP="00835192">
            <w:pPr>
              <w:spacing w:before="20" w:after="20" w:line="240" w:lineRule="auto"/>
              <w:rPr>
                <w:i/>
                <w:iCs/>
                <w:sz w:val="20"/>
                <w:szCs w:val="20"/>
              </w:rPr>
            </w:pPr>
            <w:r w:rsidRPr="00FF756A">
              <w:rPr>
                <w:i/>
                <w:iCs/>
                <w:sz w:val="20"/>
                <w:szCs w:val="20"/>
              </w:rPr>
              <w:t>WAM</w:t>
            </w:r>
          </w:p>
          <w:p w14:paraId="7BED3DC0" w14:textId="77777777" w:rsidR="00835192" w:rsidRPr="00FF756A" w:rsidRDefault="00835192" w:rsidP="00835192">
            <w:pPr>
              <w:spacing w:before="20" w:after="20" w:line="240" w:lineRule="auto"/>
              <w:rPr>
                <w:i/>
                <w:iCs/>
                <w:sz w:val="20"/>
                <w:szCs w:val="20"/>
              </w:rPr>
            </w:pPr>
            <w:r w:rsidRPr="00FF756A">
              <w:rPr>
                <w:i/>
                <w:iCs/>
                <w:sz w:val="20"/>
                <w:szCs w:val="20"/>
              </w:rPr>
              <w:t>Rregullator; Financiar</w:t>
            </w:r>
          </w:p>
        </w:tc>
      </w:tr>
      <w:tr w:rsidR="00835192" w:rsidRPr="00FF756A" w14:paraId="5ACBE895" w14:textId="77777777" w:rsidTr="004A3257">
        <w:trPr>
          <w:trHeight w:val="20"/>
        </w:trPr>
        <w:tc>
          <w:tcPr>
            <w:tcW w:w="2203" w:type="dxa"/>
          </w:tcPr>
          <w:p w14:paraId="231D9610"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4112A05B"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9" w:type="dxa"/>
            <w:gridSpan w:val="5"/>
          </w:tcPr>
          <w:p w14:paraId="029E93E9" w14:textId="77777777" w:rsidR="00835192" w:rsidRPr="00FF756A" w:rsidRDefault="00835192" w:rsidP="00835192">
            <w:pPr>
              <w:spacing w:before="20" w:after="20" w:line="240" w:lineRule="auto"/>
              <w:rPr>
                <w:i/>
                <w:iCs/>
                <w:sz w:val="20"/>
                <w:szCs w:val="20"/>
              </w:rPr>
            </w:pPr>
            <w:r w:rsidRPr="00FF756A">
              <w:rPr>
                <w:i/>
                <w:iCs/>
                <w:sz w:val="20"/>
                <w:szCs w:val="20"/>
              </w:rPr>
              <w:t>Menaxhimi ekologjik i pyjeve</w:t>
            </w:r>
          </w:p>
          <w:p w14:paraId="189D04C0" w14:textId="77777777" w:rsidR="00835192" w:rsidRPr="00FF756A" w:rsidRDefault="00835192" w:rsidP="00835192">
            <w:pPr>
              <w:spacing w:before="20" w:after="20" w:line="240" w:lineRule="auto"/>
              <w:rPr>
                <w:i/>
                <w:iCs/>
                <w:sz w:val="20"/>
                <w:szCs w:val="20"/>
              </w:rPr>
            </w:pPr>
            <w:r w:rsidRPr="00FF756A">
              <w:rPr>
                <w:i/>
                <w:iCs/>
                <w:sz w:val="20"/>
                <w:szCs w:val="20"/>
              </w:rPr>
              <w:t>(G-LF2)</w:t>
            </w:r>
          </w:p>
        </w:tc>
      </w:tr>
      <w:tr w:rsidR="00835192" w:rsidRPr="00FF756A" w14:paraId="1E41BD99" w14:textId="77777777" w:rsidTr="004A3257">
        <w:trPr>
          <w:trHeight w:val="20"/>
        </w:trPr>
        <w:tc>
          <w:tcPr>
            <w:tcW w:w="2203" w:type="dxa"/>
          </w:tcPr>
          <w:p w14:paraId="5BA67AC3"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9" w:type="dxa"/>
            <w:gridSpan w:val="5"/>
          </w:tcPr>
          <w:p w14:paraId="1CC0747E" w14:textId="77777777" w:rsidR="00835192" w:rsidRPr="00FF756A" w:rsidRDefault="00835192" w:rsidP="00835192">
            <w:pPr>
              <w:spacing w:before="20" w:after="20" w:line="240" w:lineRule="auto"/>
              <w:rPr>
                <w:i/>
                <w:iCs/>
                <w:sz w:val="20"/>
                <w:szCs w:val="20"/>
              </w:rPr>
            </w:pPr>
            <w:r w:rsidRPr="00FF756A">
              <w:rPr>
                <w:i/>
                <w:iCs/>
                <w:sz w:val="20"/>
                <w:szCs w:val="20"/>
              </w:rPr>
              <w:t>2019 – 2030</w:t>
            </w:r>
          </w:p>
        </w:tc>
      </w:tr>
      <w:tr w:rsidR="00835192" w:rsidRPr="00FF756A" w14:paraId="353A059D" w14:textId="77777777" w:rsidTr="004A3257">
        <w:trPr>
          <w:trHeight w:val="20"/>
        </w:trPr>
        <w:tc>
          <w:tcPr>
            <w:tcW w:w="2203" w:type="dxa"/>
          </w:tcPr>
          <w:p w14:paraId="5B13566B"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9" w:type="dxa"/>
            <w:gridSpan w:val="5"/>
          </w:tcPr>
          <w:p w14:paraId="0FE73DC9" w14:textId="77777777" w:rsidR="00835192" w:rsidRPr="00FF756A" w:rsidRDefault="00835192" w:rsidP="00835192">
            <w:pPr>
              <w:spacing w:before="20" w:after="20" w:line="240" w:lineRule="auto"/>
              <w:rPr>
                <w:i/>
                <w:iCs/>
                <w:sz w:val="20"/>
                <w:szCs w:val="20"/>
              </w:rPr>
            </w:pPr>
            <w:r w:rsidRPr="00FF756A">
              <w:rPr>
                <w:i/>
                <w:iCs/>
                <w:sz w:val="20"/>
                <w:szCs w:val="20"/>
              </w:rPr>
              <w:t>VKM nr. 814, datë 31.12.2018, “Për miratimin e dokumentit të politikave për pyjet në Shqipëri, 2019–2030”; ligji nr. 57/2020, datë 30.4.2020, “Për pyjet”; VKM nr. 466, datë 3.7.2019, “Për miratimin e dokumentit strategjik dhe planit kombëtar për zbutjen e gazeve me efekt serrë dhe për përshtatjen ndaj ndryshimeve klimatike”; Kontributi Kombëtar i Përcaktuar</w:t>
            </w:r>
          </w:p>
        </w:tc>
      </w:tr>
      <w:tr w:rsidR="00835192" w:rsidRPr="00FF756A" w14:paraId="27B5A875" w14:textId="77777777" w:rsidTr="004A3257">
        <w:trPr>
          <w:trHeight w:val="20"/>
        </w:trPr>
        <w:tc>
          <w:tcPr>
            <w:tcW w:w="2203" w:type="dxa"/>
          </w:tcPr>
          <w:p w14:paraId="0DF6175A"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9" w:type="dxa"/>
            <w:gridSpan w:val="5"/>
          </w:tcPr>
          <w:p w14:paraId="34EA9DD4" w14:textId="77777777" w:rsidR="00835192" w:rsidRPr="00FF756A" w:rsidRDefault="00835192" w:rsidP="00835192">
            <w:pPr>
              <w:spacing w:before="20" w:after="20" w:line="240" w:lineRule="auto"/>
              <w:rPr>
                <w:i/>
                <w:iCs/>
                <w:sz w:val="20"/>
                <w:szCs w:val="20"/>
              </w:rPr>
            </w:pPr>
            <w:r w:rsidRPr="00FF756A">
              <w:rPr>
                <w:i/>
                <w:iCs/>
                <w:sz w:val="20"/>
                <w:szCs w:val="20"/>
              </w:rPr>
              <w:t>Nuk disponohen raporte për progresin lidhur me masat.</w:t>
            </w:r>
          </w:p>
        </w:tc>
      </w:tr>
      <w:tr w:rsidR="00835192" w:rsidRPr="00FF756A" w14:paraId="3FC01C93" w14:textId="77777777" w:rsidTr="004A3257">
        <w:trPr>
          <w:trHeight w:val="20"/>
        </w:trPr>
        <w:tc>
          <w:tcPr>
            <w:tcW w:w="2203" w:type="dxa"/>
          </w:tcPr>
          <w:p w14:paraId="7F0C4D31"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9" w:type="dxa"/>
            <w:gridSpan w:val="5"/>
          </w:tcPr>
          <w:p w14:paraId="15FA55F4" w14:textId="77777777" w:rsidR="00835192" w:rsidRPr="00FF756A" w:rsidRDefault="00835192" w:rsidP="00835192">
            <w:pPr>
              <w:spacing w:before="20" w:after="20" w:line="240" w:lineRule="auto"/>
              <w:rPr>
                <w:i/>
                <w:iCs/>
                <w:sz w:val="20"/>
                <w:szCs w:val="20"/>
              </w:rPr>
            </w:pPr>
            <w:r w:rsidRPr="00FF756A">
              <w:rPr>
                <w:i/>
                <w:iCs/>
                <w:sz w:val="20"/>
                <w:szCs w:val="20"/>
              </w:rPr>
              <w:t>Përmirësimi i menaxhimit të qëndrueshëm të pyjeve me qëllim përmirësimin e përthithjes së karbonit dhe mbrojtjen e biodiversitetit.</w:t>
            </w:r>
          </w:p>
        </w:tc>
      </w:tr>
      <w:tr w:rsidR="00835192" w:rsidRPr="00FF756A" w14:paraId="18604E30" w14:textId="77777777" w:rsidTr="004A3257">
        <w:trPr>
          <w:trHeight w:val="20"/>
        </w:trPr>
        <w:tc>
          <w:tcPr>
            <w:tcW w:w="2203" w:type="dxa"/>
          </w:tcPr>
          <w:p w14:paraId="48151050"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9" w:type="dxa"/>
            <w:gridSpan w:val="5"/>
          </w:tcPr>
          <w:p w14:paraId="6B1FAFE4"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Në bazë të një prej llogaritjeve të bëra, përmirësimi i menaxhimit të pyjeve, nëse arrihet të zbatohet në mënyrë progresive në një sipërfaqe prej 5000 ha në vit, do të lejojë një normë më të lartë të rritjes së biomasës së pemëve në këto zona.</w:t>
            </w:r>
          </w:p>
          <w:p w14:paraId="39ABAE12"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Në vitin 2030, parashikohet që zbatimi i kësaj mase të mundësojë uljen e emetimit vjetor që përllogaritet në -18 kt CO</w:t>
            </w:r>
            <w:r w:rsidRPr="00FF756A">
              <w:rPr>
                <w:i/>
                <w:iCs/>
                <w:sz w:val="20"/>
                <w:szCs w:val="20"/>
                <w:vertAlign w:val="subscript"/>
              </w:rPr>
              <w:t>2</w:t>
            </w:r>
            <w:r w:rsidRPr="00FF756A">
              <w:rPr>
                <w:i/>
                <w:iCs/>
                <w:sz w:val="20"/>
                <w:szCs w:val="20"/>
              </w:rPr>
              <w:t>e krahasuar me skenarin BaU.</w:t>
            </w:r>
          </w:p>
          <w:p w14:paraId="0A41C647" w14:textId="77777777" w:rsidR="00835192" w:rsidRPr="00FF756A" w:rsidRDefault="00835192" w:rsidP="00835192">
            <w:pPr>
              <w:spacing w:before="20" w:after="20" w:line="240" w:lineRule="auto"/>
              <w:ind w:left="360"/>
              <w:rPr>
                <w:i/>
                <w:iCs/>
                <w:sz w:val="20"/>
                <w:szCs w:val="20"/>
              </w:rPr>
            </w:pPr>
            <w:r w:rsidRPr="00FF756A">
              <w:rPr>
                <w:i/>
                <w:iCs/>
                <w:sz w:val="20"/>
                <w:szCs w:val="20"/>
              </w:rPr>
              <w:lastRenderedPageBreak/>
              <w:t>(Burimi: Kontributi Kombëtar i Përcaktuar 2021, tabela 4)</w:t>
            </w:r>
          </w:p>
        </w:tc>
      </w:tr>
      <w:tr w:rsidR="00835192" w:rsidRPr="00FF756A" w14:paraId="630BD501" w14:textId="77777777" w:rsidTr="004A3257">
        <w:trPr>
          <w:trHeight w:val="20"/>
        </w:trPr>
        <w:tc>
          <w:tcPr>
            <w:tcW w:w="2203" w:type="dxa"/>
          </w:tcPr>
          <w:p w14:paraId="41A44A59"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Masat që duhet të zbatohen</w:t>
            </w:r>
          </w:p>
        </w:tc>
        <w:tc>
          <w:tcPr>
            <w:tcW w:w="6019" w:type="dxa"/>
            <w:gridSpan w:val="4"/>
          </w:tcPr>
          <w:p w14:paraId="56C51A0A" w14:textId="77777777" w:rsidR="00835192" w:rsidRPr="00FF756A" w:rsidRDefault="00835192" w:rsidP="00835192">
            <w:pPr>
              <w:spacing w:before="20" w:after="20" w:line="240" w:lineRule="auto"/>
              <w:rPr>
                <w:i/>
                <w:iCs/>
                <w:sz w:val="20"/>
                <w:szCs w:val="20"/>
              </w:rPr>
            </w:pPr>
            <w:r w:rsidRPr="00FF756A">
              <w:rPr>
                <w:i/>
                <w:iCs/>
                <w:sz w:val="20"/>
                <w:szCs w:val="20"/>
              </w:rPr>
              <w:t xml:space="preserve">Kuadri ligjor </w:t>
            </w:r>
          </w:p>
          <w:p w14:paraId="49EAFB80" w14:textId="740E9127" w:rsidR="002806AF"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Përmirësimi i kuadrit legjislativ për sa i përket pylltarisë për të mbështetur menaxhimin ekologjik të pyjeve. </w:t>
            </w:r>
          </w:p>
          <w:p w14:paraId="1AAFBBF1" w14:textId="77777777" w:rsidR="00835192" w:rsidRPr="00FF756A" w:rsidRDefault="00835192" w:rsidP="004A3257">
            <w:pPr>
              <w:spacing w:before="20" w:after="20" w:line="240" w:lineRule="auto"/>
              <w:contextualSpacing/>
              <w:rPr>
                <w:i/>
                <w:iCs/>
                <w:sz w:val="20"/>
                <w:szCs w:val="20"/>
              </w:rPr>
            </w:pPr>
            <w:r w:rsidRPr="00FF756A">
              <w:rPr>
                <w:i/>
                <w:iCs/>
                <w:sz w:val="20"/>
                <w:szCs w:val="20"/>
              </w:rPr>
              <w:t xml:space="preserve">Mbështetja financiare përmes buxhetit të shtetit dhe financimit ndërkombëtar për praktikat e menaxhimit ekologjik të pyjeve, të cilat përfshijnë:  </w:t>
            </w:r>
          </w:p>
          <w:p w14:paraId="62C9DBC0"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Mirëmbajtjen dhe përmirësimin e burimeve pyjore dhe kontributit të tyre në ciklet globale të karbonit</w:t>
            </w:r>
          </w:p>
          <w:p w14:paraId="75002E5C"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Ruajtjen e vitalitetit dhe shëndetit të ekosistemeve pyjore</w:t>
            </w:r>
          </w:p>
          <w:p w14:paraId="22FF88E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Ruajtjen dhe promovimin e funksioneve produktive të pyjeve (lëndë drusore dhe jodrusore).</w:t>
            </w:r>
          </w:p>
          <w:p w14:paraId="40345ED6"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Mirëmbajtjen e duhur, ruajtjen dhe përmirësimin e diversitetit biologjik në ekosistemet pyjore</w:t>
            </w:r>
          </w:p>
          <w:p w14:paraId="34270BD0"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Mirëmbajtjen dhe përmirësimin e funksioneve mbrojtëse në menaxhimin e pyjeve (sidomos të tokës dhe ujit)</w:t>
            </w:r>
          </w:p>
        </w:tc>
        <w:tc>
          <w:tcPr>
            <w:tcW w:w="850" w:type="dxa"/>
          </w:tcPr>
          <w:p w14:paraId="58FCFCC2" w14:textId="77777777" w:rsidR="00835192" w:rsidRPr="00FF756A" w:rsidRDefault="00835192" w:rsidP="00835192">
            <w:pPr>
              <w:spacing w:before="20" w:after="20" w:line="240" w:lineRule="auto"/>
              <w:rPr>
                <w:i/>
                <w:iCs/>
                <w:sz w:val="20"/>
                <w:szCs w:val="20"/>
              </w:rPr>
            </w:pPr>
            <w:r w:rsidRPr="00FF756A">
              <w:rPr>
                <w:i/>
                <w:iCs/>
                <w:sz w:val="20"/>
                <w:szCs w:val="20"/>
              </w:rPr>
              <w:t>brenda vitit 2025</w:t>
            </w:r>
          </w:p>
          <w:p w14:paraId="7C798247" w14:textId="77777777" w:rsidR="00835192" w:rsidRPr="00FF756A" w:rsidRDefault="00835192" w:rsidP="00835192">
            <w:pPr>
              <w:spacing w:before="20" w:after="20" w:line="240" w:lineRule="auto"/>
              <w:rPr>
                <w:i/>
                <w:iCs/>
                <w:sz w:val="20"/>
                <w:szCs w:val="20"/>
              </w:rPr>
            </w:pPr>
            <w:r w:rsidRPr="00FF756A">
              <w:rPr>
                <w:i/>
                <w:iCs/>
                <w:sz w:val="20"/>
                <w:szCs w:val="20"/>
              </w:rPr>
              <w:br/>
            </w:r>
          </w:p>
          <w:p w14:paraId="5C87DBE5" w14:textId="77777777" w:rsidR="00835192" w:rsidRPr="00FF756A" w:rsidRDefault="00835192" w:rsidP="00835192">
            <w:pPr>
              <w:spacing w:before="20" w:after="20" w:line="240" w:lineRule="auto"/>
              <w:rPr>
                <w:i/>
                <w:iCs/>
                <w:sz w:val="20"/>
                <w:szCs w:val="20"/>
              </w:rPr>
            </w:pPr>
            <w:r w:rsidRPr="00FF756A">
              <w:rPr>
                <w:i/>
                <w:iCs/>
                <w:sz w:val="20"/>
                <w:szCs w:val="20"/>
              </w:rPr>
              <w:t>Nga viti 2025 e në vazhdim</w:t>
            </w:r>
          </w:p>
        </w:tc>
      </w:tr>
      <w:tr w:rsidR="00835192" w:rsidRPr="00FF756A" w14:paraId="0BEF4412" w14:textId="77777777" w:rsidTr="004A3257">
        <w:trPr>
          <w:trHeight w:val="20"/>
        </w:trPr>
        <w:tc>
          <w:tcPr>
            <w:tcW w:w="2203" w:type="dxa"/>
          </w:tcPr>
          <w:p w14:paraId="57F76805"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9" w:type="dxa"/>
            <w:gridSpan w:val="5"/>
          </w:tcPr>
          <w:p w14:paraId="495E6DCB" w14:textId="77777777" w:rsidR="00835192" w:rsidRPr="00FF756A" w:rsidRDefault="00835192" w:rsidP="00835192">
            <w:pPr>
              <w:spacing w:before="20" w:after="20" w:line="240" w:lineRule="auto"/>
              <w:rPr>
                <w:i/>
                <w:iCs/>
                <w:sz w:val="20"/>
                <w:szCs w:val="20"/>
              </w:rPr>
            </w:pPr>
            <w:r w:rsidRPr="00FF756A">
              <w:rPr>
                <w:i/>
                <w:iCs/>
                <w:sz w:val="20"/>
                <w:szCs w:val="20"/>
              </w:rPr>
              <w:t>Fonde shtetërore në vlerën 6,5 milionë euro (çdo vit, për sektorin e pyjeve, megjithëse nuk specifikohet nga masat)</w:t>
            </w:r>
          </w:p>
          <w:p w14:paraId="46A6E6C1" w14:textId="77777777" w:rsidR="00835192" w:rsidRPr="00FF756A" w:rsidRDefault="00835192" w:rsidP="00835192">
            <w:pPr>
              <w:spacing w:before="20" w:after="20" w:line="240" w:lineRule="auto"/>
              <w:rPr>
                <w:i/>
                <w:iCs/>
                <w:sz w:val="20"/>
                <w:szCs w:val="20"/>
              </w:rPr>
            </w:pPr>
            <w:r w:rsidRPr="00FF756A">
              <w:rPr>
                <w:i/>
                <w:iCs/>
                <w:sz w:val="20"/>
                <w:szCs w:val="20"/>
              </w:rPr>
              <w:t>(Në Dokumentin e Politikave nuk disponohen llogaritje financiare për koston e zbatimit të masave, por në dokumentin për ndryshimet klimatike ka një kosto të përllogaritur prej 1,22 milionë euro, bazuar gjithashtu në SNZHRB dhe në burimet e tjera për L14)</w:t>
            </w:r>
          </w:p>
        </w:tc>
      </w:tr>
      <w:tr w:rsidR="00835192" w:rsidRPr="00FF756A" w14:paraId="04CF8AA0" w14:textId="77777777" w:rsidTr="004A3257">
        <w:trPr>
          <w:trHeight w:val="20"/>
        </w:trPr>
        <w:tc>
          <w:tcPr>
            <w:tcW w:w="2203" w:type="dxa"/>
          </w:tcPr>
          <w:p w14:paraId="751324BA"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7A74EAA1"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9" w:type="dxa"/>
            <w:gridSpan w:val="5"/>
          </w:tcPr>
          <w:p w14:paraId="725A1474" w14:textId="77777777" w:rsidR="00835192" w:rsidRPr="00FF756A" w:rsidRDefault="00835192" w:rsidP="00835192">
            <w:pPr>
              <w:spacing w:before="20" w:after="20" w:line="240" w:lineRule="auto"/>
              <w:rPr>
                <w:i/>
                <w:iCs/>
                <w:sz w:val="20"/>
                <w:szCs w:val="20"/>
              </w:rPr>
            </w:pPr>
            <w:r w:rsidRPr="00FF756A">
              <w:rPr>
                <w:i/>
                <w:iCs/>
                <w:sz w:val="20"/>
                <w:szCs w:val="20"/>
              </w:rPr>
              <w:t>Ministria e Turizmit dhe Mjedisit; Agjencia Kombëtare e Pyjeve; Agjencia Kombëtare e Zonave të Mbrojtura; Agjencia për Zhvillim Bujqësor dhe Rural (të gjitha të përfshira në zbatim dhe monitorim)</w:t>
            </w:r>
          </w:p>
        </w:tc>
      </w:tr>
      <w:tr w:rsidR="00835192" w:rsidRPr="00FF756A" w14:paraId="0CB2BA30" w14:textId="77777777" w:rsidTr="004A3257">
        <w:trPr>
          <w:trHeight w:val="20"/>
        </w:trPr>
        <w:tc>
          <w:tcPr>
            <w:tcW w:w="2203" w:type="dxa"/>
          </w:tcPr>
          <w:p w14:paraId="2905BF91"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9" w:type="dxa"/>
            <w:gridSpan w:val="5"/>
          </w:tcPr>
          <w:p w14:paraId="5C92F44B" w14:textId="77777777" w:rsidR="00835192" w:rsidRPr="00FF756A" w:rsidRDefault="00835192" w:rsidP="00835192">
            <w:pPr>
              <w:spacing w:before="20" w:after="20" w:line="240" w:lineRule="auto"/>
              <w:rPr>
                <w:i/>
                <w:iCs/>
                <w:sz w:val="20"/>
                <w:szCs w:val="20"/>
              </w:rPr>
            </w:pPr>
          </w:p>
        </w:tc>
      </w:tr>
    </w:tbl>
    <w:p w14:paraId="3F9D8E37" w14:textId="77777777" w:rsidR="00835192" w:rsidRPr="00FF756A" w:rsidRDefault="00835192" w:rsidP="00835192"/>
    <w:p w14:paraId="1A65B876" w14:textId="77777777" w:rsidR="00835192" w:rsidRPr="00FF756A" w:rsidRDefault="00835192" w:rsidP="00835192">
      <w:pPr>
        <w:spacing w:before="0" w:after="0" w:line="240" w:lineRule="auto"/>
        <w:jc w:val="left"/>
      </w:pPr>
      <w:r w:rsidRPr="00FF756A">
        <w:br w:type="page"/>
      </w:r>
    </w:p>
    <w:p w14:paraId="4B625099" w14:textId="20990B8C" w:rsidR="00835192" w:rsidRPr="00FF756A" w:rsidRDefault="00D0257D" w:rsidP="004A3257">
      <w:pPr>
        <w:pStyle w:val="Heading3"/>
      </w:pPr>
      <w:bookmarkStart w:id="367" w:name="_Toc75616123"/>
      <w:bookmarkStart w:id="368" w:name="_Toc182897779"/>
      <w:bookmarkStart w:id="369" w:name="_Toc183639231"/>
      <w:r w:rsidRPr="00FF756A">
        <w:lastRenderedPageBreak/>
        <w:t xml:space="preserve">3.1.3 </w:t>
      </w:r>
      <w:r w:rsidR="00835192" w:rsidRPr="00FF756A">
        <w:t>Energjia e rinovueshme</w:t>
      </w:r>
      <w:bookmarkEnd w:id="367"/>
      <w:bookmarkEnd w:id="368"/>
      <w:bookmarkEnd w:id="369"/>
    </w:p>
    <w:p w14:paraId="47CB17DC" w14:textId="77777777" w:rsidR="00D0257D" w:rsidRPr="00FF756A" w:rsidRDefault="00D0257D" w:rsidP="00835192"/>
    <w:p w14:paraId="15BACD3C" w14:textId="04C9ABA9" w:rsidR="00835192" w:rsidRPr="00FF756A" w:rsidRDefault="00835192" w:rsidP="00835192">
      <w:r w:rsidRPr="00FF756A">
        <w:t>Në tabelat më poshtë jepen politikat dhe masat, të ndara sipas sektorëve përkatës.</w:t>
      </w:r>
    </w:p>
    <w:p w14:paraId="5470B828" w14:textId="77777777" w:rsidR="00D0257D" w:rsidRPr="00FF756A" w:rsidRDefault="00D0257D" w:rsidP="00835192"/>
    <w:p w14:paraId="3A602D7F" w14:textId="77777777" w:rsidR="00835192" w:rsidRPr="00FF756A" w:rsidRDefault="00835192" w:rsidP="004A3257">
      <w:pPr>
        <w:pStyle w:val="Heading4"/>
        <w:numPr>
          <w:ilvl w:val="0"/>
          <w:numId w:val="0"/>
        </w:numPr>
        <w:ind w:left="864" w:hanging="864"/>
        <w:rPr>
          <w:rFonts w:cs="Times New Roman"/>
        </w:rPr>
      </w:pPr>
      <w:bookmarkStart w:id="370" w:name="_Toc183639232"/>
      <w:r w:rsidRPr="00FF756A">
        <w:rPr>
          <w:rFonts w:cs="Times New Roman"/>
        </w:rPr>
        <w:t>Energjia elektrike, ngrohja dhe ftohja</w:t>
      </w:r>
      <w:bookmarkEnd w:id="370"/>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2"/>
        <w:gridCol w:w="1269"/>
        <w:gridCol w:w="595"/>
        <w:gridCol w:w="425"/>
        <w:gridCol w:w="3698"/>
        <w:gridCol w:w="883"/>
      </w:tblGrid>
      <w:tr w:rsidR="00835192" w:rsidRPr="00FF756A" w14:paraId="129D28B7" w14:textId="77777777" w:rsidTr="004A3257">
        <w:trPr>
          <w:trHeight w:val="20"/>
        </w:trPr>
        <w:tc>
          <w:tcPr>
            <w:tcW w:w="4506" w:type="dxa"/>
            <w:gridSpan w:val="4"/>
            <w:shd w:val="clear" w:color="auto" w:fill="D9E2F3" w:themeFill="accent1" w:themeFillTint="33"/>
          </w:tcPr>
          <w:p w14:paraId="16BE2B8B"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66" w:type="dxa"/>
            <w:gridSpan w:val="2"/>
            <w:shd w:val="clear" w:color="auto" w:fill="D9E2F3" w:themeFill="accent1" w:themeFillTint="33"/>
          </w:tcPr>
          <w:p w14:paraId="18993523" w14:textId="77777777" w:rsidR="00835192" w:rsidRPr="00FF756A" w:rsidRDefault="00835192" w:rsidP="008639B2">
            <w:pPr>
              <w:numPr>
                <w:ilvl w:val="0"/>
                <w:numId w:val="81"/>
              </w:numPr>
              <w:spacing w:before="20" w:after="20" w:line="240" w:lineRule="auto"/>
              <w:contextualSpacing/>
              <w:rPr>
                <w:i/>
                <w:iCs/>
                <w:sz w:val="20"/>
                <w:szCs w:val="20"/>
              </w:rPr>
            </w:pPr>
            <w:r w:rsidRPr="00FF756A">
              <w:rPr>
                <w:i/>
                <w:iCs/>
                <w:sz w:val="20"/>
                <w:szCs w:val="20"/>
              </w:rPr>
              <w:t>Dekarbonizimi</w:t>
            </w:r>
          </w:p>
          <w:p w14:paraId="489837B0" w14:textId="003FA76C" w:rsidR="00835192" w:rsidRPr="00FF756A" w:rsidRDefault="00835192" w:rsidP="004A3257">
            <w:pPr>
              <w:spacing w:before="20" w:after="20" w:line="240" w:lineRule="auto"/>
              <w:contextualSpacing/>
              <w:rPr>
                <w:i/>
                <w:iCs/>
                <w:sz w:val="20"/>
                <w:szCs w:val="20"/>
              </w:rPr>
            </w:pPr>
            <w:r w:rsidRPr="00FF756A">
              <w:rPr>
                <w:i/>
                <w:iCs/>
                <w:sz w:val="20"/>
                <w:szCs w:val="20"/>
              </w:rPr>
              <w:t>Energjia e rinovueshme</w:t>
            </w:r>
          </w:p>
        </w:tc>
      </w:tr>
      <w:tr w:rsidR="00835192" w:rsidRPr="00FF756A" w14:paraId="45814AD7" w14:textId="77777777" w:rsidTr="004A3257">
        <w:trPr>
          <w:trHeight w:val="20"/>
        </w:trPr>
        <w:tc>
          <w:tcPr>
            <w:tcW w:w="4078" w:type="dxa"/>
            <w:gridSpan w:val="3"/>
            <w:shd w:val="clear" w:color="auto" w:fill="D9E2F3" w:themeFill="accent1" w:themeFillTint="33"/>
          </w:tcPr>
          <w:p w14:paraId="322FBCCA"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94" w:type="dxa"/>
            <w:gridSpan w:val="3"/>
            <w:shd w:val="clear" w:color="auto" w:fill="D9E2F3" w:themeFill="accent1" w:themeFillTint="33"/>
          </w:tcPr>
          <w:p w14:paraId="6C6A4FB9" w14:textId="77777777" w:rsidR="00835192" w:rsidRPr="00FF756A" w:rsidRDefault="00835192" w:rsidP="00835192">
            <w:pPr>
              <w:spacing w:before="20" w:after="20" w:line="240" w:lineRule="auto"/>
              <w:rPr>
                <w:i/>
                <w:iCs/>
                <w:sz w:val="20"/>
                <w:szCs w:val="20"/>
              </w:rPr>
            </w:pPr>
            <w:r w:rsidRPr="00FF756A">
              <w:rPr>
                <w:i/>
                <w:iCs/>
                <w:sz w:val="20"/>
                <w:szCs w:val="20"/>
              </w:rPr>
              <w:t>Energjia elektrike, ngrohja dhe ftohja</w:t>
            </w:r>
          </w:p>
        </w:tc>
      </w:tr>
      <w:tr w:rsidR="00835192" w:rsidRPr="00FF756A" w14:paraId="6DD42F7E" w14:textId="77777777" w:rsidTr="004A3257">
        <w:trPr>
          <w:trHeight w:val="20"/>
        </w:trPr>
        <w:tc>
          <w:tcPr>
            <w:tcW w:w="3479" w:type="dxa"/>
            <w:gridSpan w:val="2"/>
          </w:tcPr>
          <w:p w14:paraId="0C2103D5"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699CC12B"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3" w:type="dxa"/>
            <w:gridSpan w:val="4"/>
          </w:tcPr>
          <w:p w14:paraId="3DAB70B4" w14:textId="77777777" w:rsidR="00835192" w:rsidRPr="00FF756A" w:rsidRDefault="00835192" w:rsidP="00835192">
            <w:pPr>
              <w:spacing w:before="20" w:after="20" w:line="240" w:lineRule="auto"/>
              <w:rPr>
                <w:i/>
                <w:iCs/>
                <w:sz w:val="20"/>
                <w:szCs w:val="20"/>
              </w:rPr>
            </w:pPr>
            <w:r w:rsidRPr="00FF756A">
              <w:rPr>
                <w:i/>
                <w:iCs/>
                <w:sz w:val="20"/>
                <w:szCs w:val="20"/>
              </w:rPr>
              <w:t>WEM dhe WAM (shihni seksionin e rezultateve)</w:t>
            </w:r>
          </w:p>
          <w:p w14:paraId="750F7A4F" w14:textId="77777777" w:rsidR="00835192" w:rsidRPr="00FF756A" w:rsidRDefault="00835192" w:rsidP="00835192">
            <w:pPr>
              <w:spacing w:before="20" w:after="20" w:line="240" w:lineRule="auto"/>
              <w:rPr>
                <w:i/>
                <w:iCs/>
                <w:sz w:val="20"/>
                <w:szCs w:val="20"/>
              </w:rPr>
            </w:pPr>
            <w:r w:rsidRPr="00FF756A">
              <w:rPr>
                <w:i/>
                <w:iCs/>
                <w:sz w:val="20"/>
                <w:szCs w:val="20"/>
              </w:rPr>
              <w:t>Rregullator; Financiar</w:t>
            </w:r>
          </w:p>
        </w:tc>
      </w:tr>
      <w:tr w:rsidR="00835192" w:rsidRPr="00FF756A" w14:paraId="3C0D855E" w14:textId="77777777" w:rsidTr="004A3257">
        <w:trPr>
          <w:trHeight w:val="20"/>
        </w:trPr>
        <w:tc>
          <w:tcPr>
            <w:tcW w:w="2200" w:type="dxa"/>
          </w:tcPr>
          <w:p w14:paraId="002EEC4A"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232B7B92"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2" w:type="dxa"/>
            <w:gridSpan w:val="5"/>
          </w:tcPr>
          <w:p w14:paraId="56305BB8" w14:textId="77777777" w:rsidR="00835192" w:rsidRPr="00FF756A" w:rsidRDefault="00835192" w:rsidP="00835192">
            <w:pPr>
              <w:spacing w:before="20" w:after="20" w:line="240" w:lineRule="auto"/>
              <w:rPr>
                <w:i/>
                <w:iCs/>
                <w:sz w:val="20"/>
                <w:szCs w:val="20"/>
              </w:rPr>
            </w:pPr>
            <w:r w:rsidRPr="00FF756A">
              <w:rPr>
                <w:i/>
                <w:iCs/>
                <w:sz w:val="20"/>
                <w:szCs w:val="20"/>
              </w:rPr>
              <w:t>Mekanizmi i tarifës “feed-in” për kapacitetet e vogla të rinovueshme i miratuar para hyrjes në fuqi të ligjit nr. 24/2023, datë 14.04.2023, “Për nxitjen e përdorimit të energjisë nga burimet e rinovueshme”</w:t>
            </w:r>
          </w:p>
          <w:p w14:paraId="183B753E" w14:textId="77777777" w:rsidR="00835192" w:rsidRPr="00FF756A" w:rsidRDefault="00835192" w:rsidP="00835192">
            <w:pPr>
              <w:spacing w:before="20" w:after="20" w:line="240" w:lineRule="auto"/>
              <w:rPr>
                <w:i/>
                <w:iCs/>
                <w:sz w:val="20"/>
                <w:szCs w:val="20"/>
              </w:rPr>
            </w:pPr>
            <w:r w:rsidRPr="00FF756A">
              <w:rPr>
                <w:i/>
                <w:iCs/>
                <w:sz w:val="20"/>
                <w:szCs w:val="20"/>
              </w:rPr>
              <w:t>(R-E1)</w:t>
            </w:r>
          </w:p>
        </w:tc>
      </w:tr>
      <w:tr w:rsidR="00835192" w:rsidRPr="00FF756A" w14:paraId="52FF57FC" w14:textId="77777777" w:rsidTr="004A3257">
        <w:trPr>
          <w:trHeight w:val="20"/>
        </w:trPr>
        <w:tc>
          <w:tcPr>
            <w:tcW w:w="2200" w:type="dxa"/>
          </w:tcPr>
          <w:p w14:paraId="6DC249AD"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2" w:type="dxa"/>
            <w:gridSpan w:val="5"/>
          </w:tcPr>
          <w:p w14:paraId="51916C94" w14:textId="77777777" w:rsidR="00835192" w:rsidRPr="00FF756A" w:rsidRDefault="00835192" w:rsidP="00835192">
            <w:pPr>
              <w:spacing w:before="20" w:after="20" w:line="240" w:lineRule="auto"/>
              <w:rPr>
                <w:i/>
                <w:iCs/>
                <w:sz w:val="20"/>
                <w:szCs w:val="20"/>
              </w:rPr>
            </w:pPr>
            <w:r w:rsidRPr="00FF756A">
              <w:rPr>
                <w:i/>
                <w:iCs/>
                <w:sz w:val="20"/>
                <w:szCs w:val="20"/>
              </w:rPr>
              <w:t>2021 -2030</w:t>
            </w:r>
          </w:p>
        </w:tc>
      </w:tr>
      <w:tr w:rsidR="00835192" w:rsidRPr="00FF756A" w14:paraId="5FD0DCC7" w14:textId="77777777" w:rsidTr="004A3257">
        <w:trPr>
          <w:trHeight w:val="20"/>
        </w:trPr>
        <w:tc>
          <w:tcPr>
            <w:tcW w:w="2200" w:type="dxa"/>
          </w:tcPr>
          <w:p w14:paraId="28DF3FCE"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2" w:type="dxa"/>
            <w:gridSpan w:val="5"/>
          </w:tcPr>
          <w:p w14:paraId="179F92D6" w14:textId="611FF15D" w:rsidR="00835192" w:rsidRPr="00FF756A" w:rsidRDefault="00835192" w:rsidP="00835192">
            <w:pPr>
              <w:spacing w:before="20" w:after="20" w:line="240" w:lineRule="auto"/>
              <w:rPr>
                <w:i/>
                <w:iCs/>
                <w:sz w:val="20"/>
                <w:szCs w:val="20"/>
              </w:rPr>
            </w:pPr>
            <w:r w:rsidRPr="00FF756A">
              <w:rPr>
                <w:i/>
                <w:iCs/>
                <w:sz w:val="20"/>
                <w:szCs w:val="20"/>
              </w:rPr>
              <w:t>VKM nr. 580, datë 28.8.2019, “Për miratimin e planit të konsoliduar kombëtar të veprimit për burimet e rinovueshme të energjisë, 2019-2020”; VKM nr. 369, datë 26.4.2017, “Për miratimin e metodologjisë për përcaktimin e çmimit të blerjes së energjisë elektrike të prodhuar nga burimet e vogla të rinovueshme nga dielli dhe era”</w:t>
            </w:r>
            <w:r w:rsidR="00CC3C3F" w:rsidRPr="00FF756A">
              <w:rPr>
                <w:i/>
                <w:iCs/>
                <w:sz w:val="20"/>
                <w:szCs w:val="20"/>
              </w:rPr>
              <w:t>.</w:t>
            </w:r>
          </w:p>
        </w:tc>
      </w:tr>
      <w:tr w:rsidR="00835192" w:rsidRPr="00FF756A" w14:paraId="1741BC66" w14:textId="77777777" w:rsidTr="004A3257">
        <w:trPr>
          <w:trHeight w:val="20"/>
        </w:trPr>
        <w:tc>
          <w:tcPr>
            <w:tcW w:w="2200" w:type="dxa"/>
          </w:tcPr>
          <w:p w14:paraId="6AB2B19B"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2" w:type="dxa"/>
            <w:gridSpan w:val="5"/>
          </w:tcPr>
          <w:p w14:paraId="6454760D" w14:textId="77777777" w:rsidR="00835192" w:rsidRPr="00FF756A" w:rsidRDefault="00835192" w:rsidP="00835192">
            <w:pPr>
              <w:spacing w:before="20" w:after="20" w:line="240" w:lineRule="auto"/>
              <w:rPr>
                <w:i/>
                <w:iCs/>
                <w:sz w:val="20"/>
                <w:szCs w:val="20"/>
              </w:rPr>
            </w:pPr>
            <w:r w:rsidRPr="00FF756A">
              <w:rPr>
                <w:i/>
                <w:iCs/>
                <w:sz w:val="20"/>
                <w:szCs w:val="20"/>
              </w:rPr>
              <w:t>Në përputhje me strategjinë, janë nënshkruar 45 kontrata sipas kësaj skeme.</w:t>
            </w:r>
          </w:p>
        </w:tc>
      </w:tr>
      <w:tr w:rsidR="00835192" w:rsidRPr="00FF756A" w14:paraId="7D58A0AB" w14:textId="77777777" w:rsidTr="004A3257">
        <w:trPr>
          <w:trHeight w:val="20"/>
        </w:trPr>
        <w:tc>
          <w:tcPr>
            <w:tcW w:w="2200" w:type="dxa"/>
          </w:tcPr>
          <w:p w14:paraId="4FE54934"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2" w:type="dxa"/>
            <w:gridSpan w:val="5"/>
          </w:tcPr>
          <w:p w14:paraId="2A3639EA" w14:textId="77777777" w:rsidR="00835192" w:rsidRPr="00FF756A" w:rsidRDefault="00835192" w:rsidP="00835192">
            <w:pPr>
              <w:spacing w:before="20" w:after="20" w:line="240" w:lineRule="auto"/>
              <w:rPr>
                <w:i/>
                <w:iCs/>
                <w:sz w:val="20"/>
                <w:szCs w:val="20"/>
              </w:rPr>
            </w:pPr>
            <w:r w:rsidRPr="00FF756A">
              <w:rPr>
                <w:i/>
                <w:iCs/>
                <w:sz w:val="20"/>
                <w:szCs w:val="20"/>
              </w:rPr>
              <w:t>Objektivi është rritja e kapacitetit të energjisë së rinovueshme, duke siguruar një skemë mbështetjeje (FiT) për kapacitetet e vogla të energjisë së rinovueshme. Kjo skemë mbështetjeje është e zbatueshme për projektet që kanë marrë miratimin përfundimtar nga MIE më parë. Bazuar në ligjin nr. 24/2023, datë 14.04.2023, “Për nxitjen e përdorimit të energjisë nga burimet e rinovueshme”, mbështetja për prodhimin e energjisë elektrike të rinovueshme tashmë sigurohet përmes një procesi konkurrues në formën e kontratave për mbështetje në përputhje me dispozitat e këtij ligji.</w:t>
            </w:r>
          </w:p>
        </w:tc>
      </w:tr>
      <w:tr w:rsidR="00835192" w:rsidRPr="00FF756A" w14:paraId="6A2A03D3" w14:textId="77777777" w:rsidTr="004A3257">
        <w:trPr>
          <w:trHeight w:val="20"/>
        </w:trPr>
        <w:tc>
          <w:tcPr>
            <w:tcW w:w="2200" w:type="dxa"/>
          </w:tcPr>
          <w:p w14:paraId="4C18B815"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2" w:type="dxa"/>
            <w:gridSpan w:val="5"/>
          </w:tcPr>
          <w:p w14:paraId="6B5AD01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Objektivi është nxitja e rritjes së prodhimit të energjisë nga burimet e rinovueshme për të garantuar një zhvillim të qëndrueshëm në Republikën e Shqipërisë, në përputhje me detyrimet në kuadër të Traktatit të Komunitetit të Energjisë.</w:t>
            </w:r>
          </w:p>
          <w:p w14:paraId="15EF34F1" w14:textId="49FF590A"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Kjo masë kontribuon gjithashtu në objektivin kombëtar për BRE-të deri në vitin 2030 lidhur me përqindjen e burimeve të rinovueshme në raport me Konsumin Final Bruto të Energjisë dhe, në mënyrë specifike, në arritjen e objektivit lidhur me energjinë e rinovueshme për prodhimin e energjisë elektrike (RES-</w:t>
            </w:r>
            <w:r w:rsidR="004E7F76" w:rsidRPr="00FF756A">
              <w:rPr>
                <w:i/>
                <w:iCs/>
                <w:sz w:val="20"/>
                <w:szCs w:val="20"/>
              </w:rPr>
              <w:t>E</w:t>
            </w:r>
            <w:r w:rsidRPr="00FF756A">
              <w:rPr>
                <w:i/>
                <w:iCs/>
                <w:sz w:val="20"/>
                <w:szCs w:val="20"/>
              </w:rPr>
              <w:t xml:space="preserve"> ).</w:t>
            </w:r>
          </w:p>
          <w:p w14:paraId="14CEC8D0" w14:textId="77777777" w:rsidR="00835192" w:rsidRPr="00FF756A" w:rsidRDefault="00835192" w:rsidP="00835192">
            <w:pPr>
              <w:spacing w:before="20" w:after="20" w:line="240" w:lineRule="auto"/>
              <w:rPr>
                <w:i/>
                <w:iCs/>
                <w:sz w:val="20"/>
                <w:szCs w:val="20"/>
              </w:rPr>
            </w:pPr>
            <w:r w:rsidRPr="00FF756A">
              <w:rPr>
                <w:i/>
                <w:iCs/>
                <w:sz w:val="20"/>
                <w:szCs w:val="20"/>
              </w:rPr>
              <w:t xml:space="preserve">Për WEM: </w:t>
            </w:r>
          </w:p>
          <w:p w14:paraId="5BFA7D12"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Do të ndërtohen të tjera hidrocentrale të vogla në kuadër të lejeve të dhëna më parë. Pritet që gjatë periudhës 2021-2028 të shtohen 40 MW në vit ose 320 MW në total. </w:t>
            </w:r>
          </w:p>
          <w:p w14:paraId="339D0D82" w14:textId="77777777" w:rsidR="00835192" w:rsidRPr="00FF756A" w:rsidRDefault="00835192" w:rsidP="00835192">
            <w:pPr>
              <w:spacing w:before="20" w:after="20" w:line="240" w:lineRule="auto"/>
              <w:rPr>
                <w:i/>
                <w:iCs/>
                <w:sz w:val="20"/>
                <w:szCs w:val="20"/>
              </w:rPr>
            </w:pPr>
            <w:r w:rsidRPr="00FF756A">
              <w:rPr>
                <w:i/>
                <w:iCs/>
                <w:sz w:val="20"/>
                <w:szCs w:val="20"/>
              </w:rPr>
              <w:t>Për WAM:</w:t>
            </w:r>
          </w:p>
          <w:p w14:paraId="2B1BF245" w14:textId="6407BCA2"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Pritet që brenda vitit 2030 të shtohen </w:t>
            </w:r>
            <w:r w:rsidR="004E7F76" w:rsidRPr="00FF756A">
              <w:rPr>
                <w:i/>
                <w:iCs/>
                <w:sz w:val="20"/>
                <w:szCs w:val="20"/>
              </w:rPr>
              <w:t xml:space="preserve">në rrjet </w:t>
            </w:r>
            <w:r w:rsidRPr="00FF756A">
              <w:rPr>
                <w:i/>
                <w:iCs/>
                <w:sz w:val="20"/>
                <w:szCs w:val="20"/>
              </w:rPr>
              <w:t>100 MW energji fotovoltaike. Për teknologjitë e tjera nuk parashikohet ndonjë rritje e ndjeshme.</w:t>
            </w:r>
          </w:p>
        </w:tc>
      </w:tr>
      <w:tr w:rsidR="00835192" w:rsidRPr="00FF756A" w14:paraId="5C1CF699" w14:textId="77777777" w:rsidTr="004A3257">
        <w:trPr>
          <w:trHeight w:val="20"/>
        </w:trPr>
        <w:tc>
          <w:tcPr>
            <w:tcW w:w="2200" w:type="dxa"/>
          </w:tcPr>
          <w:p w14:paraId="68E1AFC9"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2" w:type="dxa"/>
            <w:gridSpan w:val="4"/>
          </w:tcPr>
          <w:p w14:paraId="35218EB5" w14:textId="77777777" w:rsidR="00835192" w:rsidRPr="00FF756A" w:rsidRDefault="00835192" w:rsidP="00835192">
            <w:pPr>
              <w:spacing w:before="20" w:after="20" w:line="240" w:lineRule="auto"/>
              <w:rPr>
                <w:i/>
                <w:iCs/>
                <w:sz w:val="20"/>
                <w:szCs w:val="20"/>
              </w:rPr>
            </w:pPr>
            <w:r w:rsidRPr="00FF756A">
              <w:rPr>
                <w:i/>
                <w:iCs/>
                <w:sz w:val="20"/>
                <w:szCs w:val="20"/>
              </w:rPr>
              <w:t>Aplikimi i tarifave FiT</w:t>
            </w:r>
            <w:r w:rsidRPr="00FF756A">
              <w:t xml:space="preserve"> </w:t>
            </w:r>
            <w:r w:rsidRPr="00FF756A">
              <w:rPr>
                <w:i/>
                <w:iCs/>
                <w:sz w:val="20"/>
                <w:szCs w:val="20"/>
              </w:rPr>
              <w:t>për projektin që ka marrë miratimin përfundimtar për ndërtimin më parë.</w:t>
            </w:r>
          </w:p>
          <w:p w14:paraId="636C83A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Të gjitha kapacitetet e energjisë së rinovueshme nën 2 MW (ose 3 MW për energjinë eolike) dhe projektet demonstruese dhe ato pilot mund të përfitojnë nga tarifa FiT. </w:t>
            </w:r>
          </w:p>
          <w:p w14:paraId="55048074"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Tarifat llogariten nga ERE në mënyrë që të garantohet një normë e mjaftueshme e kthimit të investimit për të gjithë operatorët e energjisë së rinovueshme. </w:t>
            </w:r>
          </w:p>
          <w:p w14:paraId="28C0BE9B" w14:textId="77777777" w:rsidR="00835192" w:rsidRPr="00FF756A" w:rsidRDefault="00835192" w:rsidP="008639B2">
            <w:pPr>
              <w:numPr>
                <w:ilvl w:val="0"/>
                <w:numId w:val="71"/>
              </w:numPr>
              <w:spacing w:before="20" w:after="20" w:line="240" w:lineRule="auto"/>
              <w:ind w:left="714" w:hanging="357"/>
              <w:contextualSpacing/>
              <w:rPr>
                <w:i/>
                <w:iCs/>
                <w:sz w:val="20"/>
                <w:szCs w:val="20"/>
              </w:rPr>
            </w:pPr>
            <w:r w:rsidRPr="00FF756A">
              <w:rPr>
                <w:i/>
                <w:iCs/>
                <w:sz w:val="20"/>
                <w:szCs w:val="20"/>
              </w:rPr>
              <w:lastRenderedPageBreak/>
              <w:t>Enti Rregullator i Energjisë miraton çmimin e blerjes së energjisë elektrike të prodhuar nga burimet e vogla të rinovueshme nga dielli dhe era, sipas çmimit mesatar për vitin 2017, në përputhje me parashikimet e metodologjisë së përcaktuar në VKM nr. 369.</w:t>
            </w:r>
          </w:p>
          <w:p w14:paraId="055CF95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Duke nisur nga viti 2019, çmimi i ERE i përfshirë në strategji është 100 €/MWh për energjinë e prodhuar nga dielli dhe 76 €/MWh për atë të prodhuar nga era.</w:t>
            </w:r>
          </w:p>
        </w:tc>
        <w:tc>
          <w:tcPr>
            <w:tcW w:w="850" w:type="dxa"/>
          </w:tcPr>
          <w:p w14:paraId="5AD5EE1F" w14:textId="77777777" w:rsidR="00835192" w:rsidRPr="00FF756A" w:rsidRDefault="00835192" w:rsidP="00835192">
            <w:pPr>
              <w:spacing w:before="20" w:after="20" w:line="240" w:lineRule="auto"/>
              <w:rPr>
                <w:i/>
                <w:iCs/>
                <w:sz w:val="20"/>
                <w:szCs w:val="20"/>
              </w:rPr>
            </w:pPr>
            <w:r w:rsidRPr="00FF756A">
              <w:rPr>
                <w:i/>
                <w:iCs/>
                <w:sz w:val="20"/>
                <w:szCs w:val="20"/>
              </w:rPr>
              <w:lastRenderedPageBreak/>
              <w:t>Nga viti 2020 e në vazhdim</w:t>
            </w:r>
          </w:p>
        </w:tc>
      </w:tr>
      <w:tr w:rsidR="00835192" w:rsidRPr="00FF756A" w14:paraId="409E992A" w14:textId="77777777" w:rsidTr="004A3257">
        <w:trPr>
          <w:trHeight w:val="20"/>
        </w:trPr>
        <w:tc>
          <w:tcPr>
            <w:tcW w:w="2200" w:type="dxa"/>
          </w:tcPr>
          <w:p w14:paraId="5E2D3587"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Buxheti (burimi i financimit)</w:t>
            </w:r>
          </w:p>
        </w:tc>
        <w:tc>
          <w:tcPr>
            <w:tcW w:w="6872" w:type="dxa"/>
            <w:gridSpan w:val="5"/>
          </w:tcPr>
          <w:p w14:paraId="076B761B" w14:textId="77777777" w:rsidR="00835192" w:rsidRPr="00FF756A" w:rsidRDefault="00835192" w:rsidP="00835192">
            <w:pPr>
              <w:spacing w:before="20" w:after="20" w:line="240" w:lineRule="auto"/>
              <w:rPr>
                <w:i/>
                <w:iCs/>
                <w:sz w:val="20"/>
                <w:szCs w:val="20"/>
              </w:rPr>
            </w:pPr>
            <w:r w:rsidRPr="00FF756A">
              <w:rPr>
                <w:i/>
                <w:iCs/>
                <w:sz w:val="20"/>
                <w:szCs w:val="20"/>
              </w:rPr>
              <w:t>Nuk është parashikuar financim nga buxheti i shtetit, pasi kostoja e skemës do të mbulohej nga tarifat e energjisë elektrike. Megjithatë, ka një ndikim në buxhetin e blerësit, që është në fund të fundit në pronësi të shtetit.</w:t>
            </w:r>
          </w:p>
        </w:tc>
      </w:tr>
      <w:tr w:rsidR="00835192" w:rsidRPr="00FF756A" w14:paraId="0E5ACDBC" w14:textId="77777777" w:rsidTr="004A3257">
        <w:trPr>
          <w:trHeight w:val="20"/>
        </w:trPr>
        <w:tc>
          <w:tcPr>
            <w:tcW w:w="2200" w:type="dxa"/>
          </w:tcPr>
          <w:p w14:paraId="1F66B24E"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41D33034"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2" w:type="dxa"/>
            <w:gridSpan w:val="5"/>
          </w:tcPr>
          <w:p w14:paraId="5DED1ADF"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Enti Rregullator i Energjisë; operatorët privatë</w:t>
            </w:r>
          </w:p>
          <w:p w14:paraId="6C2CD100"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Enti Rregullator i Energjisë)</w:t>
            </w:r>
          </w:p>
        </w:tc>
      </w:tr>
      <w:tr w:rsidR="00835192" w:rsidRPr="00FF756A" w14:paraId="1E335259" w14:textId="77777777" w:rsidTr="004A3257">
        <w:trPr>
          <w:trHeight w:val="20"/>
        </w:trPr>
        <w:tc>
          <w:tcPr>
            <w:tcW w:w="2200" w:type="dxa"/>
          </w:tcPr>
          <w:p w14:paraId="4C936BF4"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2" w:type="dxa"/>
            <w:gridSpan w:val="5"/>
          </w:tcPr>
          <w:p w14:paraId="4EA1547E" w14:textId="77777777" w:rsidR="00835192" w:rsidRPr="00FF756A" w:rsidRDefault="00835192" w:rsidP="00835192">
            <w:pPr>
              <w:spacing w:before="20" w:after="20" w:line="240" w:lineRule="auto"/>
              <w:rPr>
                <w:i/>
                <w:iCs/>
                <w:sz w:val="20"/>
                <w:szCs w:val="20"/>
              </w:rPr>
            </w:pPr>
            <w:r w:rsidRPr="00FF756A">
              <w:rPr>
                <w:i/>
                <w:iCs/>
                <w:sz w:val="20"/>
                <w:szCs w:val="20"/>
              </w:rPr>
              <w:t xml:space="preserve">Siguria energjetike </w:t>
            </w:r>
          </w:p>
        </w:tc>
      </w:tr>
    </w:tbl>
    <w:p w14:paraId="31EADB60" w14:textId="77777777" w:rsidR="00835192" w:rsidRPr="00FF756A" w:rsidRDefault="00835192" w:rsidP="00835192"/>
    <w:tbl>
      <w:tblPr>
        <w:tblStyle w:val="TableGrid"/>
        <w:tblW w:w="0" w:type="auto"/>
        <w:tblBorders>
          <w:left w:val="none" w:sz="0" w:space="0" w:color="auto"/>
          <w:right w:val="none" w:sz="0" w:space="0" w:color="auto"/>
        </w:tblBorders>
        <w:tblLook w:val="04A0" w:firstRow="1" w:lastRow="0" w:firstColumn="1" w:lastColumn="0" w:noHBand="0" w:noVBand="1"/>
      </w:tblPr>
      <w:tblGrid>
        <w:gridCol w:w="2192"/>
        <w:gridCol w:w="1269"/>
        <w:gridCol w:w="595"/>
        <w:gridCol w:w="425"/>
        <w:gridCol w:w="3698"/>
        <w:gridCol w:w="883"/>
      </w:tblGrid>
      <w:tr w:rsidR="00835192" w:rsidRPr="00FF756A" w14:paraId="43187C0A" w14:textId="77777777" w:rsidTr="004A3257">
        <w:trPr>
          <w:trHeight w:val="20"/>
        </w:trPr>
        <w:tc>
          <w:tcPr>
            <w:tcW w:w="4506"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tcPr>
          <w:p w14:paraId="19EED0D0"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66"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tcPr>
          <w:p w14:paraId="79CD745B" w14:textId="77777777" w:rsidR="00835192" w:rsidRPr="00FF756A" w:rsidRDefault="00835192" w:rsidP="008639B2">
            <w:pPr>
              <w:numPr>
                <w:ilvl w:val="0"/>
                <w:numId w:val="83"/>
              </w:numPr>
              <w:spacing w:before="20" w:after="20" w:line="240" w:lineRule="auto"/>
              <w:contextualSpacing/>
              <w:rPr>
                <w:i/>
                <w:iCs/>
                <w:sz w:val="20"/>
                <w:szCs w:val="20"/>
              </w:rPr>
            </w:pPr>
            <w:r w:rsidRPr="00FF756A">
              <w:rPr>
                <w:i/>
                <w:iCs/>
                <w:sz w:val="20"/>
                <w:szCs w:val="20"/>
              </w:rPr>
              <w:t>Dekarbonizimi</w:t>
            </w:r>
          </w:p>
          <w:p w14:paraId="59F5BB1F" w14:textId="17DC7130" w:rsidR="00835192" w:rsidRPr="00FF756A" w:rsidRDefault="00835192" w:rsidP="004A3257">
            <w:pPr>
              <w:spacing w:before="20" w:after="20" w:line="240" w:lineRule="auto"/>
              <w:contextualSpacing/>
              <w:rPr>
                <w:i/>
                <w:iCs/>
                <w:sz w:val="20"/>
                <w:szCs w:val="20"/>
              </w:rPr>
            </w:pPr>
            <w:r w:rsidRPr="00FF756A">
              <w:rPr>
                <w:i/>
                <w:iCs/>
                <w:sz w:val="20"/>
                <w:szCs w:val="20"/>
              </w:rPr>
              <w:t>Energjia e rinovueshme</w:t>
            </w:r>
          </w:p>
        </w:tc>
      </w:tr>
      <w:tr w:rsidR="00835192" w:rsidRPr="00FF756A" w14:paraId="188BF7D3" w14:textId="77777777" w:rsidTr="004A3257">
        <w:trPr>
          <w:trHeight w:val="20"/>
        </w:trPr>
        <w:tc>
          <w:tcPr>
            <w:tcW w:w="4078"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tcPr>
          <w:p w14:paraId="1D5B5511"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94"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tcPr>
          <w:p w14:paraId="53DB20F3" w14:textId="77777777" w:rsidR="00835192" w:rsidRPr="00FF756A" w:rsidRDefault="00835192" w:rsidP="00835192">
            <w:pPr>
              <w:spacing w:before="20" w:after="20" w:line="240" w:lineRule="auto"/>
              <w:rPr>
                <w:i/>
                <w:iCs/>
                <w:sz w:val="20"/>
                <w:szCs w:val="20"/>
              </w:rPr>
            </w:pPr>
            <w:r w:rsidRPr="00FF756A">
              <w:rPr>
                <w:i/>
                <w:iCs/>
                <w:sz w:val="20"/>
                <w:szCs w:val="20"/>
              </w:rPr>
              <w:t>Energjia elektrike, ngrohja dhe ftohja</w:t>
            </w:r>
          </w:p>
        </w:tc>
      </w:tr>
      <w:tr w:rsidR="00835192" w:rsidRPr="00FF756A" w14:paraId="5DD9C91E" w14:textId="77777777" w:rsidTr="004A3257">
        <w:trPr>
          <w:trHeight w:val="20"/>
        </w:trPr>
        <w:tc>
          <w:tcPr>
            <w:tcW w:w="3479" w:type="dxa"/>
            <w:gridSpan w:val="2"/>
            <w:tcBorders>
              <w:top w:val="single" w:sz="4" w:space="0" w:color="auto"/>
              <w:left w:val="single" w:sz="4" w:space="0" w:color="auto"/>
              <w:bottom w:val="single" w:sz="4" w:space="0" w:color="auto"/>
              <w:right w:val="single" w:sz="4" w:space="0" w:color="auto"/>
            </w:tcBorders>
          </w:tcPr>
          <w:p w14:paraId="4CAF228F"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75CD97AC"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3" w:type="dxa"/>
            <w:gridSpan w:val="4"/>
            <w:tcBorders>
              <w:top w:val="single" w:sz="4" w:space="0" w:color="auto"/>
              <w:left w:val="single" w:sz="4" w:space="0" w:color="auto"/>
              <w:bottom w:val="single" w:sz="4" w:space="0" w:color="auto"/>
              <w:right w:val="single" w:sz="4" w:space="0" w:color="auto"/>
            </w:tcBorders>
          </w:tcPr>
          <w:p w14:paraId="6B408583" w14:textId="77777777" w:rsidR="00835192" w:rsidRPr="00FF756A" w:rsidRDefault="00835192" w:rsidP="00835192">
            <w:pPr>
              <w:spacing w:before="20" w:after="20" w:line="240" w:lineRule="auto"/>
              <w:rPr>
                <w:i/>
                <w:iCs/>
                <w:sz w:val="20"/>
                <w:szCs w:val="20"/>
              </w:rPr>
            </w:pPr>
            <w:r w:rsidRPr="00FF756A">
              <w:rPr>
                <w:i/>
                <w:iCs/>
                <w:sz w:val="20"/>
                <w:szCs w:val="20"/>
              </w:rPr>
              <w:t>WEM dhe WAM (shihni seksionin e rezultateve)</w:t>
            </w:r>
          </w:p>
          <w:p w14:paraId="254EDF50" w14:textId="77777777" w:rsidR="00835192" w:rsidRPr="00FF756A" w:rsidRDefault="00835192" w:rsidP="00835192">
            <w:pPr>
              <w:spacing w:before="20" w:after="20" w:line="240" w:lineRule="auto"/>
              <w:rPr>
                <w:i/>
                <w:iCs/>
                <w:sz w:val="20"/>
                <w:szCs w:val="20"/>
              </w:rPr>
            </w:pPr>
            <w:r w:rsidRPr="00FF756A">
              <w:rPr>
                <w:i/>
                <w:iCs/>
                <w:sz w:val="20"/>
                <w:szCs w:val="20"/>
              </w:rPr>
              <w:t>Rregullator; Financiar</w:t>
            </w:r>
          </w:p>
        </w:tc>
      </w:tr>
      <w:tr w:rsidR="00835192" w:rsidRPr="00FF756A" w14:paraId="2497C8D2" w14:textId="77777777" w:rsidTr="004A3257">
        <w:trPr>
          <w:trHeight w:val="20"/>
        </w:trPr>
        <w:tc>
          <w:tcPr>
            <w:tcW w:w="2200" w:type="dxa"/>
            <w:tcBorders>
              <w:top w:val="single" w:sz="4" w:space="0" w:color="auto"/>
              <w:left w:val="single" w:sz="4" w:space="0" w:color="auto"/>
              <w:bottom w:val="single" w:sz="4" w:space="0" w:color="auto"/>
              <w:right w:val="single" w:sz="4" w:space="0" w:color="auto"/>
            </w:tcBorders>
          </w:tcPr>
          <w:p w14:paraId="07056190"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747C86BC"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2" w:type="dxa"/>
            <w:gridSpan w:val="5"/>
            <w:tcBorders>
              <w:top w:val="single" w:sz="4" w:space="0" w:color="auto"/>
              <w:left w:val="single" w:sz="4" w:space="0" w:color="auto"/>
              <w:bottom w:val="single" w:sz="4" w:space="0" w:color="auto"/>
              <w:right w:val="single" w:sz="4" w:space="0" w:color="auto"/>
            </w:tcBorders>
          </w:tcPr>
          <w:p w14:paraId="6849C7B1" w14:textId="77777777" w:rsidR="00835192" w:rsidRPr="00FF756A" w:rsidRDefault="00835192" w:rsidP="00835192">
            <w:pPr>
              <w:spacing w:before="20" w:after="20" w:line="240" w:lineRule="auto"/>
              <w:rPr>
                <w:i/>
                <w:iCs/>
                <w:sz w:val="20"/>
                <w:szCs w:val="20"/>
              </w:rPr>
            </w:pPr>
            <w:r w:rsidRPr="00FF756A">
              <w:rPr>
                <w:i/>
                <w:iCs/>
                <w:sz w:val="20"/>
                <w:szCs w:val="20"/>
              </w:rPr>
              <w:t>Ankandet për kapacitetet e reja të energjisë së rinovueshme (eolike dhe diellore) dhe ruajtjen; Miratimi i planit 3-vjeçar të ankandit</w:t>
            </w:r>
          </w:p>
          <w:p w14:paraId="717EB2A1" w14:textId="77777777" w:rsidR="00835192" w:rsidRPr="00FF756A" w:rsidRDefault="00835192" w:rsidP="00835192">
            <w:pPr>
              <w:spacing w:before="20" w:after="20" w:line="240" w:lineRule="auto"/>
              <w:rPr>
                <w:i/>
                <w:iCs/>
                <w:sz w:val="20"/>
                <w:szCs w:val="20"/>
              </w:rPr>
            </w:pPr>
            <w:r w:rsidRPr="00FF756A">
              <w:rPr>
                <w:i/>
                <w:iCs/>
                <w:sz w:val="20"/>
                <w:szCs w:val="20"/>
              </w:rPr>
              <w:t>(R-E2)</w:t>
            </w:r>
          </w:p>
        </w:tc>
      </w:tr>
      <w:tr w:rsidR="00835192" w:rsidRPr="00FF756A" w14:paraId="097A77EC" w14:textId="77777777" w:rsidTr="004A3257">
        <w:trPr>
          <w:trHeight w:val="20"/>
        </w:trPr>
        <w:tc>
          <w:tcPr>
            <w:tcW w:w="2200" w:type="dxa"/>
            <w:tcBorders>
              <w:top w:val="single" w:sz="4" w:space="0" w:color="auto"/>
              <w:left w:val="single" w:sz="4" w:space="0" w:color="auto"/>
              <w:bottom w:val="single" w:sz="4" w:space="0" w:color="auto"/>
              <w:right w:val="single" w:sz="4" w:space="0" w:color="auto"/>
            </w:tcBorders>
          </w:tcPr>
          <w:p w14:paraId="6DFFDD5A"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2" w:type="dxa"/>
            <w:gridSpan w:val="5"/>
            <w:tcBorders>
              <w:top w:val="single" w:sz="4" w:space="0" w:color="auto"/>
              <w:left w:val="single" w:sz="4" w:space="0" w:color="auto"/>
              <w:bottom w:val="single" w:sz="4" w:space="0" w:color="auto"/>
              <w:right w:val="single" w:sz="4" w:space="0" w:color="auto"/>
            </w:tcBorders>
          </w:tcPr>
          <w:p w14:paraId="0BDBC753" w14:textId="77777777" w:rsidR="00835192" w:rsidRPr="00FF756A" w:rsidRDefault="00835192" w:rsidP="00835192">
            <w:pPr>
              <w:spacing w:before="20" w:after="20" w:line="240" w:lineRule="auto"/>
              <w:rPr>
                <w:i/>
                <w:iCs/>
                <w:sz w:val="20"/>
                <w:szCs w:val="20"/>
              </w:rPr>
            </w:pPr>
            <w:r w:rsidRPr="00FF756A">
              <w:rPr>
                <w:i/>
                <w:iCs/>
                <w:sz w:val="20"/>
                <w:szCs w:val="20"/>
              </w:rPr>
              <w:t>2017 e në vazhdim</w:t>
            </w:r>
          </w:p>
        </w:tc>
      </w:tr>
      <w:tr w:rsidR="00835192" w:rsidRPr="00FF756A" w14:paraId="7FA905E2" w14:textId="77777777" w:rsidTr="004A3257">
        <w:trPr>
          <w:trHeight w:val="20"/>
        </w:trPr>
        <w:tc>
          <w:tcPr>
            <w:tcW w:w="2200" w:type="dxa"/>
            <w:tcBorders>
              <w:top w:val="single" w:sz="4" w:space="0" w:color="auto"/>
              <w:left w:val="single" w:sz="4" w:space="0" w:color="auto"/>
              <w:bottom w:val="single" w:sz="4" w:space="0" w:color="auto"/>
              <w:right w:val="single" w:sz="4" w:space="0" w:color="auto"/>
            </w:tcBorders>
          </w:tcPr>
          <w:p w14:paraId="3A575820"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2" w:type="dxa"/>
            <w:gridSpan w:val="5"/>
            <w:tcBorders>
              <w:top w:val="single" w:sz="4" w:space="0" w:color="auto"/>
              <w:left w:val="single" w:sz="4" w:space="0" w:color="auto"/>
              <w:bottom w:val="single" w:sz="4" w:space="0" w:color="auto"/>
              <w:right w:val="single" w:sz="4" w:space="0" w:color="auto"/>
            </w:tcBorders>
          </w:tcPr>
          <w:p w14:paraId="43DC90BA" w14:textId="77777777" w:rsidR="00835192" w:rsidRPr="00FF756A" w:rsidRDefault="00835192" w:rsidP="00835192">
            <w:pPr>
              <w:spacing w:before="20" w:after="20" w:line="240" w:lineRule="auto"/>
              <w:rPr>
                <w:i/>
                <w:iCs/>
                <w:sz w:val="20"/>
                <w:szCs w:val="20"/>
              </w:rPr>
            </w:pPr>
            <w:r w:rsidRPr="00FF756A">
              <w:rPr>
                <w:i/>
                <w:iCs/>
                <w:sz w:val="20"/>
                <w:szCs w:val="20"/>
              </w:rPr>
              <w:t>VKM nr. 580, datë 28.8.2019, “Për miratimin e planit të konsoliduar kombëtar të veprimit për burimet e rinovueshme të energjisë, 2019-2020”; Ligji nr. 24/2023, datë 23.03.2023, “Për nxitjen e përdorimit të energjisë nga burimet e rinovueshme”</w:t>
            </w:r>
          </w:p>
        </w:tc>
      </w:tr>
      <w:tr w:rsidR="00835192" w:rsidRPr="00FF756A" w14:paraId="765F98FD" w14:textId="77777777" w:rsidTr="004A3257">
        <w:trPr>
          <w:trHeight w:val="20"/>
        </w:trPr>
        <w:tc>
          <w:tcPr>
            <w:tcW w:w="2200" w:type="dxa"/>
            <w:tcBorders>
              <w:top w:val="single" w:sz="4" w:space="0" w:color="auto"/>
              <w:left w:val="single" w:sz="4" w:space="0" w:color="auto"/>
              <w:bottom w:val="single" w:sz="4" w:space="0" w:color="auto"/>
              <w:right w:val="single" w:sz="4" w:space="0" w:color="auto"/>
            </w:tcBorders>
          </w:tcPr>
          <w:p w14:paraId="1253B8E6"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2" w:type="dxa"/>
            <w:gridSpan w:val="5"/>
            <w:tcBorders>
              <w:top w:val="single" w:sz="4" w:space="0" w:color="auto"/>
              <w:left w:val="single" w:sz="4" w:space="0" w:color="auto"/>
              <w:bottom w:val="single" w:sz="4" w:space="0" w:color="auto"/>
              <w:right w:val="single" w:sz="4" w:space="0" w:color="auto"/>
            </w:tcBorders>
          </w:tcPr>
          <w:p w14:paraId="30E90488" w14:textId="77777777" w:rsidR="00835192" w:rsidRPr="00FF756A" w:rsidRDefault="00835192" w:rsidP="00835192">
            <w:pPr>
              <w:spacing w:before="20" w:after="20" w:line="240" w:lineRule="auto"/>
              <w:rPr>
                <w:i/>
                <w:iCs/>
                <w:sz w:val="20"/>
                <w:szCs w:val="20"/>
              </w:rPr>
            </w:pPr>
            <w:r w:rsidRPr="00FF756A">
              <w:rPr>
                <w:i/>
                <w:iCs/>
                <w:sz w:val="20"/>
                <w:szCs w:val="20"/>
              </w:rPr>
              <w:t>Janë nënshkruar ankandet e Karavastasë dhe të Spitallës.</w:t>
            </w:r>
          </w:p>
        </w:tc>
      </w:tr>
      <w:tr w:rsidR="00835192" w:rsidRPr="00FF756A" w14:paraId="785BB37A" w14:textId="77777777" w:rsidTr="004A3257">
        <w:trPr>
          <w:trHeight w:val="20"/>
        </w:trPr>
        <w:tc>
          <w:tcPr>
            <w:tcW w:w="2200" w:type="dxa"/>
            <w:tcBorders>
              <w:top w:val="single" w:sz="4" w:space="0" w:color="auto"/>
              <w:left w:val="single" w:sz="4" w:space="0" w:color="auto"/>
              <w:bottom w:val="single" w:sz="4" w:space="0" w:color="auto"/>
              <w:right w:val="single" w:sz="4" w:space="0" w:color="auto"/>
            </w:tcBorders>
          </w:tcPr>
          <w:p w14:paraId="4C7D1BF8"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2" w:type="dxa"/>
            <w:gridSpan w:val="5"/>
            <w:tcBorders>
              <w:top w:val="single" w:sz="4" w:space="0" w:color="auto"/>
              <w:left w:val="single" w:sz="4" w:space="0" w:color="auto"/>
              <w:bottom w:val="single" w:sz="4" w:space="0" w:color="auto"/>
              <w:right w:val="single" w:sz="4" w:space="0" w:color="auto"/>
            </w:tcBorders>
          </w:tcPr>
          <w:p w14:paraId="76A6CEE2" w14:textId="77777777" w:rsidR="00835192" w:rsidRPr="00FF756A" w:rsidRDefault="00835192" w:rsidP="00835192">
            <w:pPr>
              <w:spacing w:before="20" w:after="20" w:line="240" w:lineRule="auto"/>
              <w:rPr>
                <w:i/>
                <w:iCs/>
                <w:sz w:val="20"/>
                <w:szCs w:val="20"/>
              </w:rPr>
            </w:pPr>
            <w:r w:rsidRPr="00FF756A">
              <w:rPr>
                <w:i/>
                <w:iCs/>
                <w:sz w:val="20"/>
                <w:szCs w:val="20"/>
              </w:rPr>
              <w:t>Objektivi është rritja e kapacitetit të energjisë së rinovueshme (eolike dhe diellore) nëpërmjet organizimit të ankandeve; Zhvillimi i planit 3-vjeçar të ankandit transparent dhe konkurrues të bazuar në sasi për energjinë e rinovueshme dhe ruajtjen.</w:t>
            </w:r>
          </w:p>
        </w:tc>
      </w:tr>
      <w:tr w:rsidR="00835192" w:rsidRPr="00FF756A" w14:paraId="69B7C7F3" w14:textId="77777777" w:rsidTr="004A3257">
        <w:trPr>
          <w:trHeight w:val="20"/>
        </w:trPr>
        <w:tc>
          <w:tcPr>
            <w:tcW w:w="2200" w:type="dxa"/>
            <w:tcBorders>
              <w:top w:val="single" w:sz="4" w:space="0" w:color="auto"/>
              <w:left w:val="single" w:sz="4" w:space="0" w:color="auto"/>
              <w:bottom w:val="single" w:sz="4" w:space="0" w:color="auto"/>
              <w:right w:val="single" w:sz="4" w:space="0" w:color="auto"/>
            </w:tcBorders>
          </w:tcPr>
          <w:p w14:paraId="7101476D"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2" w:type="dxa"/>
            <w:gridSpan w:val="5"/>
            <w:tcBorders>
              <w:top w:val="single" w:sz="4" w:space="0" w:color="auto"/>
              <w:left w:val="single" w:sz="4" w:space="0" w:color="auto"/>
              <w:bottom w:val="single" w:sz="4" w:space="0" w:color="auto"/>
              <w:right w:val="single" w:sz="4" w:space="0" w:color="auto"/>
            </w:tcBorders>
          </w:tcPr>
          <w:p w14:paraId="591E2764"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Objektivi është nxitja e rritjes së prodhimit të energjisë nga burimet e rinovueshme për të garantuar një zhvillim të qëndrueshëm në Republikën e Shqipërisë, në përputhje me detyrimet në kuadër të Traktatit të Komunitetit të Energjisë.</w:t>
            </w:r>
          </w:p>
          <w:p w14:paraId="74DA1ED6" w14:textId="7EEF0C36"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Kjo masë kontribuon gjithashtu në objektivin kombëtar për BRE-në për vitin 2030 lidhur me përqindjen e burimeve të rinovueshme në raport me Konsumin Final Bruto të Energjisë.</w:t>
            </w:r>
          </w:p>
          <w:p w14:paraId="6EDDED14" w14:textId="77777777" w:rsidR="00835192" w:rsidRPr="00FF756A" w:rsidRDefault="00835192" w:rsidP="008639B2">
            <w:pPr>
              <w:numPr>
                <w:ilvl w:val="0"/>
                <w:numId w:val="71"/>
              </w:numPr>
              <w:ind w:left="714" w:hanging="357"/>
              <w:contextualSpacing/>
              <w:rPr>
                <w:i/>
                <w:iCs/>
                <w:sz w:val="20"/>
                <w:szCs w:val="20"/>
              </w:rPr>
            </w:pPr>
            <w:r w:rsidRPr="00FF756A">
              <w:rPr>
                <w:i/>
                <w:iCs/>
                <w:sz w:val="20"/>
                <w:szCs w:val="20"/>
              </w:rPr>
              <w:t>Miratimi i një plani ankandi të bazuar në sasi për të paktën 600 MW kapacitete të reja të energjisë së rinovueshme të instaluara gjatë tre viteve të ardhshme (me 300 MW të projekteve në zhvillim e sipër që do të konsiderohen si pjesë e planit trevjeçar të ankandit)</w:t>
            </w:r>
          </w:p>
          <w:p w14:paraId="52DD037D" w14:textId="77777777" w:rsidR="00835192" w:rsidRPr="00FF756A" w:rsidRDefault="00835192" w:rsidP="00835192">
            <w:pPr>
              <w:spacing w:before="20" w:after="20" w:line="240" w:lineRule="auto"/>
              <w:rPr>
                <w:i/>
                <w:iCs/>
                <w:sz w:val="20"/>
                <w:szCs w:val="20"/>
              </w:rPr>
            </w:pPr>
            <w:r w:rsidRPr="00FF756A">
              <w:rPr>
                <w:i/>
                <w:iCs/>
                <w:sz w:val="20"/>
                <w:szCs w:val="20"/>
              </w:rPr>
              <w:t xml:space="preserve">Për WEM: </w:t>
            </w:r>
          </w:p>
          <w:p w14:paraId="03DBA98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Parku fotovoltaik i Karavastasë me fuqi 140 MW është në funksion </w:t>
            </w:r>
          </w:p>
          <w:p w14:paraId="1D046994"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 Parku fotovoltaik i Spitallës me fuqi 100 MW do të jetë në funksion brenda vitit 2030</w:t>
            </w:r>
          </w:p>
          <w:p w14:paraId="4D53270F" w14:textId="77777777" w:rsidR="00835192" w:rsidRPr="00FF756A" w:rsidRDefault="00835192" w:rsidP="008639B2">
            <w:pPr>
              <w:numPr>
                <w:ilvl w:val="0"/>
                <w:numId w:val="71"/>
              </w:numPr>
              <w:spacing w:line="240" w:lineRule="auto"/>
              <w:ind w:left="714" w:hanging="357"/>
              <w:contextualSpacing/>
              <w:rPr>
                <w:i/>
                <w:iCs/>
                <w:sz w:val="20"/>
                <w:szCs w:val="20"/>
              </w:rPr>
            </w:pPr>
            <w:r w:rsidRPr="00FF756A">
              <w:rPr>
                <w:i/>
                <w:iCs/>
                <w:sz w:val="20"/>
                <w:szCs w:val="20"/>
              </w:rPr>
              <w:t xml:space="preserve">Shtimi i kapacitetit eolik me 220 MW deri në 2030. </w:t>
            </w:r>
          </w:p>
          <w:p w14:paraId="0A0E518E" w14:textId="77777777" w:rsidR="00835192" w:rsidRPr="00FF756A" w:rsidRDefault="00835192" w:rsidP="00835192">
            <w:pPr>
              <w:spacing w:before="20" w:after="20" w:line="240" w:lineRule="auto"/>
              <w:rPr>
                <w:i/>
                <w:iCs/>
                <w:sz w:val="20"/>
                <w:szCs w:val="20"/>
              </w:rPr>
            </w:pPr>
            <w:r w:rsidRPr="00FF756A">
              <w:rPr>
                <w:i/>
                <w:iCs/>
                <w:sz w:val="20"/>
                <w:szCs w:val="20"/>
              </w:rPr>
              <w:t>Për WAM:</w:t>
            </w:r>
          </w:p>
          <w:p w14:paraId="625B65AA"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Shtimi i energjisë fotovoltaike me të paktën 100 MW në vit nga 2024 deri në 2030 (një total prej 600 MW)</w:t>
            </w:r>
          </w:p>
          <w:p w14:paraId="6758039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lastRenderedPageBreak/>
              <w:t>Shtimi i kapacitetit eolik me të paktën 60 MW nga 2026 deri në 2030 (një total prej 300 MW)</w:t>
            </w:r>
          </w:p>
          <w:p w14:paraId="368FD4F0"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Ankand për kapacitetin e ruajtjes </w:t>
            </w:r>
          </w:p>
          <w:p w14:paraId="46E8BD6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Zbatimi i planit 3-vjeçar të ankandit të bazuar në sasi.</w:t>
            </w:r>
          </w:p>
        </w:tc>
      </w:tr>
      <w:tr w:rsidR="00835192" w:rsidRPr="00FF756A" w14:paraId="4AFD095A" w14:textId="77777777" w:rsidTr="004A3257">
        <w:trPr>
          <w:trHeight w:val="20"/>
        </w:trPr>
        <w:tc>
          <w:tcPr>
            <w:tcW w:w="2200" w:type="dxa"/>
            <w:tcBorders>
              <w:top w:val="single" w:sz="4" w:space="0" w:color="auto"/>
              <w:left w:val="single" w:sz="4" w:space="0" w:color="auto"/>
              <w:bottom w:val="single" w:sz="4" w:space="0" w:color="auto"/>
              <w:right w:val="single" w:sz="4" w:space="0" w:color="auto"/>
            </w:tcBorders>
          </w:tcPr>
          <w:p w14:paraId="4A7EAED0"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Masat që duhet të zbatohen</w:t>
            </w:r>
          </w:p>
        </w:tc>
        <w:tc>
          <w:tcPr>
            <w:tcW w:w="6022" w:type="dxa"/>
            <w:gridSpan w:val="4"/>
            <w:tcBorders>
              <w:top w:val="single" w:sz="4" w:space="0" w:color="auto"/>
              <w:left w:val="single" w:sz="4" w:space="0" w:color="auto"/>
              <w:bottom w:val="single" w:sz="4" w:space="0" w:color="auto"/>
              <w:right w:val="single" w:sz="4" w:space="0" w:color="auto"/>
            </w:tcBorders>
          </w:tcPr>
          <w:p w14:paraId="79052CDD" w14:textId="77777777" w:rsidR="00835192" w:rsidRPr="00FF756A" w:rsidRDefault="00835192" w:rsidP="00835192">
            <w:pPr>
              <w:spacing w:before="20" w:after="20" w:line="240" w:lineRule="auto"/>
              <w:rPr>
                <w:i/>
                <w:iCs/>
                <w:sz w:val="20"/>
                <w:szCs w:val="20"/>
              </w:rPr>
            </w:pPr>
            <w:r w:rsidRPr="00FF756A">
              <w:rPr>
                <w:i/>
                <w:iCs/>
                <w:sz w:val="20"/>
                <w:szCs w:val="20"/>
              </w:rPr>
              <w:t xml:space="preserve">Menaxhimi i ankandeve për kapacitetin e energjisë së rinovueshme; </w:t>
            </w:r>
          </w:p>
          <w:p w14:paraId="5697092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Ankandet do të zhvillohen me anë të një procedure konkurruese (bazuar në treg). </w:t>
            </w:r>
          </w:p>
          <w:p w14:paraId="7B47FCF4"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 Ofertuesit të zgjedhur nga ankandet do t’i akordohet një </w:t>
            </w:r>
            <w:bookmarkStart w:id="371" w:name="_Hlk178160965"/>
            <w:r w:rsidRPr="00FF756A">
              <w:rPr>
                <w:i/>
                <w:iCs/>
                <w:sz w:val="20"/>
                <w:szCs w:val="20"/>
              </w:rPr>
              <w:t xml:space="preserve">marrëveshje për blerjen e energjisë (PPA) e konvertueshme në një kontratë për diferencë (CfD) </w:t>
            </w:r>
            <w:bookmarkEnd w:id="371"/>
            <w:r w:rsidRPr="00FF756A">
              <w:rPr>
                <w:i/>
                <w:iCs/>
                <w:sz w:val="20"/>
                <w:szCs w:val="20"/>
              </w:rPr>
              <w:t>në bazë të dispozitave të ligjit nr. 24/2023, datë 23.03.2023, “Për nxitjen e përdorimit të energjisë nga burimet e rinovueshme”</w:t>
            </w:r>
          </w:p>
        </w:tc>
        <w:tc>
          <w:tcPr>
            <w:tcW w:w="850" w:type="dxa"/>
            <w:tcBorders>
              <w:top w:val="single" w:sz="4" w:space="0" w:color="auto"/>
              <w:left w:val="single" w:sz="4" w:space="0" w:color="auto"/>
              <w:bottom w:val="single" w:sz="4" w:space="0" w:color="auto"/>
              <w:right w:val="single" w:sz="4" w:space="0" w:color="auto"/>
            </w:tcBorders>
          </w:tcPr>
          <w:p w14:paraId="13C01547" w14:textId="77777777" w:rsidR="00835192" w:rsidRPr="00FF756A" w:rsidRDefault="00835192" w:rsidP="00835192">
            <w:pPr>
              <w:spacing w:before="20" w:after="20" w:line="240" w:lineRule="auto"/>
              <w:rPr>
                <w:i/>
                <w:iCs/>
                <w:sz w:val="20"/>
                <w:szCs w:val="20"/>
              </w:rPr>
            </w:pPr>
            <w:r w:rsidRPr="00FF756A">
              <w:rPr>
                <w:i/>
                <w:iCs/>
                <w:sz w:val="20"/>
                <w:szCs w:val="20"/>
              </w:rPr>
              <w:t xml:space="preserve"> Nga viti 2017 e në vazhdim</w:t>
            </w:r>
          </w:p>
        </w:tc>
      </w:tr>
      <w:tr w:rsidR="00835192" w:rsidRPr="00FF756A" w14:paraId="3BEA6B2E" w14:textId="77777777" w:rsidTr="004A3257">
        <w:trPr>
          <w:trHeight w:val="20"/>
        </w:trPr>
        <w:tc>
          <w:tcPr>
            <w:tcW w:w="2200" w:type="dxa"/>
            <w:tcBorders>
              <w:top w:val="single" w:sz="4" w:space="0" w:color="auto"/>
              <w:left w:val="single" w:sz="4" w:space="0" w:color="auto"/>
              <w:bottom w:val="single" w:sz="4" w:space="0" w:color="auto"/>
              <w:right w:val="single" w:sz="4" w:space="0" w:color="auto"/>
            </w:tcBorders>
          </w:tcPr>
          <w:p w14:paraId="685CA340"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2" w:type="dxa"/>
            <w:gridSpan w:val="5"/>
            <w:tcBorders>
              <w:top w:val="single" w:sz="4" w:space="0" w:color="auto"/>
              <w:left w:val="single" w:sz="4" w:space="0" w:color="auto"/>
              <w:bottom w:val="single" w:sz="4" w:space="0" w:color="auto"/>
              <w:right w:val="single" w:sz="4" w:space="0" w:color="auto"/>
            </w:tcBorders>
          </w:tcPr>
          <w:p w14:paraId="44EFBB1F" w14:textId="77777777" w:rsidR="00835192" w:rsidRPr="00FF756A" w:rsidRDefault="00835192" w:rsidP="00835192">
            <w:pPr>
              <w:spacing w:before="20" w:after="20" w:line="240" w:lineRule="auto"/>
              <w:rPr>
                <w:i/>
                <w:iCs/>
                <w:sz w:val="20"/>
                <w:szCs w:val="20"/>
              </w:rPr>
            </w:pPr>
            <w:r w:rsidRPr="00FF756A">
              <w:rPr>
                <w:i/>
                <w:iCs/>
                <w:sz w:val="20"/>
                <w:szCs w:val="20"/>
              </w:rPr>
              <w:t>Nuk është parashikuar financim nga buxheti i shtetit, pasi kostoja e skemës do të mbulohej nga detyrimi për energjinë e rinovueshme që do të paguhej nga çdo furnizues dhe, në hallkën e fundit, nga secili prej konsumatorëve të energjisë elektrike.</w:t>
            </w:r>
          </w:p>
        </w:tc>
      </w:tr>
      <w:tr w:rsidR="00835192" w:rsidRPr="00FF756A" w14:paraId="6656C9B9" w14:textId="77777777" w:rsidTr="004A3257">
        <w:trPr>
          <w:trHeight w:val="20"/>
        </w:trPr>
        <w:tc>
          <w:tcPr>
            <w:tcW w:w="2200" w:type="dxa"/>
            <w:tcBorders>
              <w:top w:val="single" w:sz="4" w:space="0" w:color="auto"/>
              <w:left w:val="single" w:sz="4" w:space="0" w:color="auto"/>
              <w:bottom w:val="single" w:sz="4" w:space="0" w:color="auto"/>
              <w:right w:val="single" w:sz="4" w:space="0" w:color="auto"/>
            </w:tcBorders>
          </w:tcPr>
          <w:p w14:paraId="2B1E922A"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4EDA0F8D"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2" w:type="dxa"/>
            <w:gridSpan w:val="5"/>
            <w:tcBorders>
              <w:top w:val="single" w:sz="4" w:space="0" w:color="auto"/>
              <w:left w:val="single" w:sz="4" w:space="0" w:color="auto"/>
              <w:bottom w:val="single" w:sz="4" w:space="0" w:color="auto"/>
              <w:right w:val="single" w:sz="4" w:space="0" w:color="auto"/>
            </w:tcBorders>
          </w:tcPr>
          <w:p w14:paraId="1E937A34" w14:textId="77777777" w:rsidR="00835192" w:rsidRPr="00FF756A" w:rsidRDefault="00835192" w:rsidP="00835192">
            <w:pPr>
              <w:spacing w:before="20" w:after="20" w:line="240" w:lineRule="auto"/>
              <w:rPr>
                <w:i/>
                <w:iCs/>
                <w:sz w:val="20"/>
                <w:szCs w:val="20"/>
              </w:rPr>
            </w:pPr>
            <w:r w:rsidRPr="00FF756A">
              <w:rPr>
                <w:i/>
                <w:iCs/>
                <w:sz w:val="20"/>
                <w:szCs w:val="20"/>
              </w:rPr>
              <w:t>Këshilli i Ministrave; Enti Rregullator i Energjisë; operatorët privatë</w:t>
            </w:r>
          </w:p>
          <w:p w14:paraId="1AC3D889"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Enti Rregullator i Energjisë)</w:t>
            </w:r>
          </w:p>
        </w:tc>
      </w:tr>
      <w:tr w:rsidR="00835192" w:rsidRPr="00FF756A" w14:paraId="2042F0AA" w14:textId="77777777" w:rsidTr="004A3257">
        <w:trPr>
          <w:trHeight w:val="20"/>
        </w:trPr>
        <w:tc>
          <w:tcPr>
            <w:tcW w:w="2200" w:type="dxa"/>
            <w:tcBorders>
              <w:top w:val="single" w:sz="4" w:space="0" w:color="auto"/>
              <w:left w:val="single" w:sz="4" w:space="0" w:color="auto"/>
              <w:bottom w:val="single" w:sz="4" w:space="0" w:color="auto"/>
              <w:right w:val="single" w:sz="4" w:space="0" w:color="auto"/>
            </w:tcBorders>
          </w:tcPr>
          <w:p w14:paraId="2A85A2C3"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2" w:type="dxa"/>
            <w:gridSpan w:val="5"/>
            <w:tcBorders>
              <w:top w:val="single" w:sz="4" w:space="0" w:color="auto"/>
              <w:left w:val="single" w:sz="4" w:space="0" w:color="auto"/>
              <w:bottom w:val="single" w:sz="4" w:space="0" w:color="auto"/>
              <w:right w:val="single" w:sz="4" w:space="0" w:color="auto"/>
            </w:tcBorders>
          </w:tcPr>
          <w:p w14:paraId="63C1E389" w14:textId="77777777" w:rsidR="00835192" w:rsidRPr="00FF756A" w:rsidRDefault="00835192" w:rsidP="00835192">
            <w:pPr>
              <w:spacing w:before="20" w:after="20" w:line="240" w:lineRule="auto"/>
              <w:rPr>
                <w:i/>
                <w:iCs/>
                <w:sz w:val="20"/>
                <w:szCs w:val="20"/>
              </w:rPr>
            </w:pPr>
            <w:r w:rsidRPr="00FF756A">
              <w:rPr>
                <w:i/>
                <w:iCs/>
                <w:sz w:val="20"/>
                <w:szCs w:val="20"/>
              </w:rPr>
              <w:t xml:space="preserve">Siguria energjetike </w:t>
            </w:r>
          </w:p>
        </w:tc>
      </w:tr>
    </w:tbl>
    <w:p w14:paraId="431760D5" w14:textId="77777777" w:rsidR="00835192" w:rsidRPr="00FF756A" w:rsidRDefault="00835192" w:rsidP="00835192"/>
    <w:tbl>
      <w:tblPr>
        <w:tblStyle w:val="TableGrid"/>
        <w:tblW w:w="9067" w:type="dxa"/>
        <w:tblBorders>
          <w:left w:val="none" w:sz="0" w:space="0" w:color="auto"/>
          <w:right w:val="none" w:sz="0" w:space="0" w:color="auto"/>
        </w:tblBorders>
        <w:tblLayout w:type="fixed"/>
        <w:tblLook w:val="04A0" w:firstRow="1" w:lastRow="0" w:firstColumn="1" w:lastColumn="0" w:noHBand="0" w:noVBand="1"/>
      </w:tblPr>
      <w:tblGrid>
        <w:gridCol w:w="2035"/>
        <w:gridCol w:w="1206"/>
        <w:gridCol w:w="561"/>
        <w:gridCol w:w="404"/>
        <w:gridCol w:w="2882"/>
        <w:gridCol w:w="1979"/>
      </w:tblGrid>
      <w:tr w:rsidR="00835192" w:rsidRPr="00FF756A" w14:paraId="7095D243" w14:textId="77777777" w:rsidTr="004A3257">
        <w:trPr>
          <w:trHeight w:val="20"/>
        </w:trPr>
        <w:tc>
          <w:tcPr>
            <w:tcW w:w="4206"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tcPr>
          <w:p w14:paraId="72EA9242"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86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tcPr>
          <w:p w14:paraId="2BF9E7BD" w14:textId="77777777" w:rsidR="00835192" w:rsidRPr="00FF756A" w:rsidRDefault="00835192" w:rsidP="008639B2">
            <w:pPr>
              <w:numPr>
                <w:ilvl w:val="0"/>
                <w:numId w:val="143"/>
              </w:numPr>
              <w:spacing w:before="20" w:after="20" w:line="240" w:lineRule="auto"/>
              <w:contextualSpacing/>
              <w:rPr>
                <w:i/>
                <w:iCs/>
                <w:sz w:val="20"/>
                <w:szCs w:val="20"/>
              </w:rPr>
            </w:pPr>
            <w:r w:rsidRPr="00FF756A">
              <w:rPr>
                <w:i/>
                <w:iCs/>
                <w:sz w:val="20"/>
                <w:szCs w:val="20"/>
              </w:rPr>
              <w:t>Dekarbonizimi</w:t>
            </w:r>
          </w:p>
          <w:p w14:paraId="2D3BF795" w14:textId="33B4624A" w:rsidR="00835192" w:rsidRPr="00FF756A" w:rsidRDefault="00835192" w:rsidP="004A3257">
            <w:pPr>
              <w:spacing w:before="20" w:after="20" w:line="240" w:lineRule="auto"/>
              <w:contextualSpacing/>
              <w:rPr>
                <w:rFonts w:eastAsia="Times New Roman"/>
                <w:i/>
                <w:iCs/>
                <w:sz w:val="20"/>
                <w:szCs w:val="20"/>
              </w:rPr>
            </w:pPr>
            <w:r w:rsidRPr="00FF756A">
              <w:rPr>
                <w:i/>
                <w:iCs/>
                <w:sz w:val="20"/>
                <w:szCs w:val="20"/>
              </w:rPr>
              <w:t>Energjia e rinovueshme</w:t>
            </w:r>
          </w:p>
        </w:tc>
      </w:tr>
      <w:tr w:rsidR="00835192" w:rsidRPr="00FF756A" w14:paraId="64347AE0" w14:textId="77777777" w:rsidTr="004A3257">
        <w:trPr>
          <w:trHeight w:val="20"/>
        </w:trPr>
        <w:tc>
          <w:tcPr>
            <w:tcW w:w="3802"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tcPr>
          <w:p w14:paraId="3EB04AF4"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5265"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tcPr>
          <w:p w14:paraId="0C383ACD" w14:textId="77777777" w:rsidR="00835192" w:rsidRPr="00FF756A" w:rsidRDefault="00835192" w:rsidP="00835192">
            <w:pPr>
              <w:spacing w:before="20" w:after="20" w:line="240" w:lineRule="auto"/>
              <w:rPr>
                <w:i/>
                <w:iCs/>
                <w:sz w:val="20"/>
                <w:szCs w:val="20"/>
              </w:rPr>
            </w:pPr>
            <w:r w:rsidRPr="00FF756A">
              <w:rPr>
                <w:i/>
                <w:iCs/>
                <w:sz w:val="20"/>
                <w:szCs w:val="20"/>
              </w:rPr>
              <w:t>Ndërsektorial</w:t>
            </w:r>
          </w:p>
        </w:tc>
      </w:tr>
      <w:tr w:rsidR="00835192" w:rsidRPr="00FF756A" w14:paraId="643C4BF4" w14:textId="77777777" w:rsidTr="004A3257">
        <w:trPr>
          <w:trHeight w:val="20"/>
        </w:trPr>
        <w:tc>
          <w:tcPr>
            <w:tcW w:w="3241" w:type="dxa"/>
            <w:gridSpan w:val="2"/>
            <w:tcBorders>
              <w:top w:val="single" w:sz="4" w:space="0" w:color="auto"/>
              <w:left w:val="single" w:sz="4" w:space="0" w:color="auto"/>
              <w:bottom w:val="single" w:sz="4" w:space="0" w:color="auto"/>
              <w:right w:val="single" w:sz="4" w:space="0" w:color="auto"/>
            </w:tcBorders>
          </w:tcPr>
          <w:p w14:paraId="4C5ACA40"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520DE226"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826" w:type="dxa"/>
            <w:gridSpan w:val="4"/>
            <w:tcBorders>
              <w:top w:val="single" w:sz="4" w:space="0" w:color="auto"/>
              <w:left w:val="single" w:sz="4" w:space="0" w:color="auto"/>
              <w:bottom w:val="single" w:sz="4" w:space="0" w:color="auto"/>
              <w:right w:val="single" w:sz="4" w:space="0" w:color="auto"/>
            </w:tcBorders>
          </w:tcPr>
          <w:p w14:paraId="79A9B108" w14:textId="77777777" w:rsidR="00835192" w:rsidRPr="00FF756A" w:rsidRDefault="00835192" w:rsidP="00835192">
            <w:pPr>
              <w:spacing w:before="20" w:after="20" w:line="240" w:lineRule="auto"/>
              <w:rPr>
                <w:i/>
                <w:iCs/>
                <w:sz w:val="20"/>
                <w:szCs w:val="20"/>
              </w:rPr>
            </w:pPr>
            <w:r w:rsidRPr="00FF756A">
              <w:rPr>
                <w:i/>
                <w:iCs/>
                <w:sz w:val="20"/>
                <w:szCs w:val="20"/>
              </w:rPr>
              <w:t xml:space="preserve">WAM </w:t>
            </w:r>
          </w:p>
          <w:p w14:paraId="7DF968F4" w14:textId="77777777" w:rsidR="00835192" w:rsidRPr="00FF756A" w:rsidRDefault="00835192" w:rsidP="00835192">
            <w:pPr>
              <w:spacing w:before="20" w:after="20" w:line="240" w:lineRule="auto"/>
              <w:rPr>
                <w:i/>
                <w:iCs/>
                <w:sz w:val="20"/>
                <w:szCs w:val="20"/>
              </w:rPr>
            </w:pPr>
            <w:r w:rsidRPr="00FF756A">
              <w:rPr>
                <w:i/>
                <w:iCs/>
                <w:sz w:val="20"/>
                <w:szCs w:val="20"/>
              </w:rPr>
              <w:t xml:space="preserve">Rregullator dhe teknik </w:t>
            </w:r>
          </w:p>
        </w:tc>
      </w:tr>
      <w:tr w:rsidR="00835192" w:rsidRPr="00FF756A" w14:paraId="73C197B6" w14:textId="77777777" w:rsidTr="004A3257">
        <w:trPr>
          <w:trHeight w:val="20"/>
        </w:trPr>
        <w:tc>
          <w:tcPr>
            <w:tcW w:w="2035" w:type="dxa"/>
            <w:tcBorders>
              <w:top w:val="single" w:sz="4" w:space="0" w:color="auto"/>
              <w:left w:val="single" w:sz="4" w:space="0" w:color="auto"/>
              <w:bottom w:val="single" w:sz="4" w:space="0" w:color="auto"/>
              <w:right w:val="single" w:sz="4" w:space="0" w:color="auto"/>
            </w:tcBorders>
          </w:tcPr>
          <w:p w14:paraId="783ABE75"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00A98126"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7032" w:type="dxa"/>
            <w:gridSpan w:val="5"/>
            <w:tcBorders>
              <w:top w:val="single" w:sz="4" w:space="0" w:color="auto"/>
              <w:left w:val="single" w:sz="4" w:space="0" w:color="auto"/>
              <w:bottom w:val="single" w:sz="4" w:space="0" w:color="auto"/>
              <w:right w:val="single" w:sz="4" w:space="0" w:color="auto"/>
            </w:tcBorders>
          </w:tcPr>
          <w:p w14:paraId="01CC3EFD" w14:textId="77777777" w:rsidR="00835192" w:rsidRPr="00FF756A" w:rsidRDefault="00835192" w:rsidP="00835192">
            <w:pPr>
              <w:spacing w:before="20" w:after="20" w:line="240" w:lineRule="auto"/>
              <w:rPr>
                <w:i/>
                <w:iCs/>
                <w:sz w:val="20"/>
                <w:szCs w:val="20"/>
              </w:rPr>
            </w:pPr>
            <w:r w:rsidRPr="00FF756A">
              <w:rPr>
                <w:i/>
                <w:iCs/>
                <w:sz w:val="20"/>
                <w:szCs w:val="20"/>
              </w:rPr>
              <w:t>Planifikimi hapësinor për energjinë për rritjen e përqindjes së energjisë së rinovueshme dhe përmirësimin e efiçencës së energjisë</w:t>
            </w:r>
          </w:p>
          <w:p w14:paraId="13991B86" w14:textId="77777777" w:rsidR="00835192" w:rsidRPr="00FF756A" w:rsidRDefault="00835192" w:rsidP="00835192">
            <w:pPr>
              <w:spacing w:before="20" w:after="20" w:line="240" w:lineRule="auto"/>
              <w:rPr>
                <w:i/>
                <w:iCs/>
                <w:sz w:val="20"/>
                <w:szCs w:val="20"/>
              </w:rPr>
            </w:pPr>
            <w:r w:rsidRPr="00FF756A">
              <w:rPr>
                <w:i/>
                <w:iCs/>
                <w:sz w:val="20"/>
                <w:szCs w:val="20"/>
              </w:rPr>
              <w:t>(R-E3)</w:t>
            </w:r>
          </w:p>
        </w:tc>
      </w:tr>
      <w:tr w:rsidR="00835192" w:rsidRPr="00FF756A" w14:paraId="67541C46" w14:textId="77777777" w:rsidTr="004A3257">
        <w:trPr>
          <w:trHeight w:val="20"/>
        </w:trPr>
        <w:tc>
          <w:tcPr>
            <w:tcW w:w="2035" w:type="dxa"/>
            <w:tcBorders>
              <w:top w:val="single" w:sz="4" w:space="0" w:color="auto"/>
              <w:left w:val="single" w:sz="4" w:space="0" w:color="auto"/>
              <w:bottom w:val="single" w:sz="4" w:space="0" w:color="auto"/>
              <w:right w:val="single" w:sz="4" w:space="0" w:color="auto"/>
            </w:tcBorders>
          </w:tcPr>
          <w:p w14:paraId="64E6233A"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7032" w:type="dxa"/>
            <w:gridSpan w:val="5"/>
            <w:tcBorders>
              <w:top w:val="single" w:sz="4" w:space="0" w:color="auto"/>
              <w:left w:val="single" w:sz="4" w:space="0" w:color="auto"/>
              <w:bottom w:val="single" w:sz="4" w:space="0" w:color="auto"/>
              <w:right w:val="single" w:sz="4" w:space="0" w:color="auto"/>
            </w:tcBorders>
          </w:tcPr>
          <w:p w14:paraId="6BE26546" w14:textId="77777777" w:rsidR="00835192" w:rsidRPr="00FF756A" w:rsidRDefault="00835192" w:rsidP="00835192">
            <w:pPr>
              <w:spacing w:before="20" w:after="20" w:line="240" w:lineRule="auto"/>
              <w:rPr>
                <w:i/>
                <w:iCs/>
                <w:sz w:val="20"/>
                <w:szCs w:val="20"/>
              </w:rPr>
            </w:pPr>
            <w:r w:rsidRPr="00FF756A">
              <w:rPr>
                <w:i/>
                <w:iCs/>
                <w:sz w:val="20"/>
                <w:szCs w:val="20"/>
              </w:rPr>
              <w:t>2023 – në vazhdim</w:t>
            </w:r>
          </w:p>
        </w:tc>
      </w:tr>
      <w:tr w:rsidR="00835192" w:rsidRPr="00FF756A" w14:paraId="7009BFA3" w14:textId="77777777" w:rsidTr="004A3257">
        <w:trPr>
          <w:trHeight w:val="20"/>
        </w:trPr>
        <w:tc>
          <w:tcPr>
            <w:tcW w:w="2035" w:type="dxa"/>
            <w:tcBorders>
              <w:top w:val="single" w:sz="4" w:space="0" w:color="auto"/>
              <w:left w:val="single" w:sz="4" w:space="0" w:color="auto"/>
              <w:bottom w:val="single" w:sz="4" w:space="0" w:color="auto"/>
              <w:right w:val="single" w:sz="4" w:space="0" w:color="auto"/>
            </w:tcBorders>
          </w:tcPr>
          <w:p w14:paraId="20CD8E5C"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7032" w:type="dxa"/>
            <w:gridSpan w:val="5"/>
            <w:tcBorders>
              <w:top w:val="single" w:sz="4" w:space="0" w:color="auto"/>
              <w:left w:val="single" w:sz="4" w:space="0" w:color="auto"/>
              <w:bottom w:val="single" w:sz="4" w:space="0" w:color="auto"/>
              <w:right w:val="single" w:sz="4" w:space="0" w:color="auto"/>
            </w:tcBorders>
          </w:tcPr>
          <w:p w14:paraId="08DB2C9A" w14:textId="77777777" w:rsidR="00835192" w:rsidRPr="00FF756A" w:rsidRDefault="00835192" w:rsidP="00835192">
            <w:pPr>
              <w:spacing w:before="20" w:after="20" w:line="240" w:lineRule="auto"/>
              <w:rPr>
                <w:i/>
                <w:iCs/>
                <w:sz w:val="20"/>
                <w:szCs w:val="20"/>
              </w:rPr>
            </w:pPr>
            <w:r w:rsidRPr="00FF756A">
              <w:rPr>
                <w:i/>
                <w:iCs/>
                <w:sz w:val="20"/>
                <w:szCs w:val="20"/>
              </w:rPr>
              <w:t>Ligji nr. 107/2014, datë 31.7.2014, “Për planifikimin dhe zhvillimin e territorit”, i ndryshuar dhe aktet nënligjore përkatëse</w:t>
            </w:r>
          </w:p>
          <w:p w14:paraId="5B4AC6DE" w14:textId="77777777" w:rsidR="00835192" w:rsidRPr="00FF756A" w:rsidRDefault="00835192" w:rsidP="00835192">
            <w:pPr>
              <w:spacing w:before="20" w:after="20" w:line="240" w:lineRule="auto"/>
              <w:rPr>
                <w:i/>
                <w:iCs/>
                <w:sz w:val="20"/>
                <w:szCs w:val="20"/>
              </w:rPr>
            </w:pPr>
            <w:r w:rsidRPr="00FF756A">
              <w:rPr>
                <w:i/>
                <w:iCs/>
                <w:sz w:val="20"/>
                <w:szCs w:val="20"/>
              </w:rPr>
              <w:t>Ligji nr. 81/2017, datë 4.5.2017, “Për zonat e mbrojtura” dhe aktet nënligjore përkatëse</w:t>
            </w:r>
          </w:p>
          <w:p w14:paraId="5EBC11F5" w14:textId="77777777" w:rsidR="00835192" w:rsidRPr="00FF756A" w:rsidRDefault="00835192" w:rsidP="00835192">
            <w:pPr>
              <w:spacing w:before="20" w:after="20" w:line="240" w:lineRule="auto"/>
              <w:rPr>
                <w:i/>
                <w:iCs/>
                <w:sz w:val="20"/>
                <w:szCs w:val="20"/>
              </w:rPr>
            </w:pPr>
            <w:r w:rsidRPr="00FF756A">
              <w:rPr>
                <w:i/>
                <w:iCs/>
                <w:sz w:val="20"/>
                <w:szCs w:val="20"/>
              </w:rPr>
              <w:t>Direktiva për Energjinë e Rinovueshme (REDII, e ndryshuar nga Direktiva (BE) 2023/2413)</w:t>
            </w:r>
          </w:p>
        </w:tc>
      </w:tr>
      <w:tr w:rsidR="00835192" w:rsidRPr="00FF756A" w14:paraId="664B38AD" w14:textId="77777777" w:rsidTr="004A3257">
        <w:trPr>
          <w:trHeight w:val="20"/>
        </w:trPr>
        <w:tc>
          <w:tcPr>
            <w:tcW w:w="2035" w:type="dxa"/>
            <w:tcBorders>
              <w:top w:val="single" w:sz="4" w:space="0" w:color="auto"/>
              <w:left w:val="single" w:sz="4" w:space="0" w:color="auto"/>
              <w:bottom w:val="single" w:sz="4" w:space="0" w:color="auto"/>
              <w:right w:val="single" w:sz="4" w:space="0" w:color="auto"/>
            </w:tcBorders>
          </w:tcPr>
          <w:p w14:paraId="4109D609"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7032" w:type="dxa"/>
            <w:gridSpan w:val="5"/>
            <w:tcBorders>
              <w:top w:val="single" w:sz="4" w:space="0" w:color="auto"/>
              <w:left w:val="single" w:sz="4" w:space="0" w:color="auto"/>
              <w:bottom w:val="single" w:sz="4" w:space="0" w:color="auto"/>
              <w:right w:val="single" w:sz="4" w:space="0" w:color="auto"/>
            </w:tcBorders>
          </w:tcPr>
          <w:p w14:paraId="316500FF" w14:textId="77777777" w:rsidR="00835192" w:rsidRPr="00FF756A" w:rsidRDefault="00835192" w:rsidP="00835192">
            <w:pPr>
              <w:spacing w:before="20" w:after="20" w:line="240" w:lineRule="auto"/>
              <w:rPr>
                <w:i/>
                <w:iCs/>
                <w:sz w:val="20"/>
                <w:szCs w:val="20"/>
              </w:rPr>
            </w:pPr>
            <w:r w:rsidRPr="00FF756A">
              <w:rPr>
                <w:i/>
                <w:iCs/>
                <w:sz w:val="20"/>
                <w:szCs w:val="20"/>
              </w:rPr>
              <w:t xml:space="preserve">Asnjë masë e marrë deri më tani, veprimtari e re. </w:t>
            </w:r>
          </w:p>
          <w:p w14:paraId="0AE3F56E" w14:textId="77777777" w:rsidR="00835192" w:rsidRPr="00FF756A" w:rsidRDefault="00835192" w:rsidP="00835192">
            <w:pPr>
              <w:spacing w:before="20" w:after="20" w:line="240" w:lineRule="auto"/>
              <w:rPr>
                <w:i/>
                <w:iCs/>
                <w:sz w:val="20"/>
                <w:szCs w:val="20"/>
              </w:rPr>
            </w:pPr>
            <w:bookmarkStart w:id="372" w:name="_Hlk178166227"/>
            <w:r w:rsidRPr="00FF756A">
              <w:rPr>
                <w:i/>
                <w:iCs/>
                <w:sz w:val="20"/>
                <w:szCs w:val="20"/>
              </w:rPr>
              <w:t xml:space="preserve">Autoriteti Shtetëror për Informacionin Gjeohapësinor (ASIG) </w:t>
            </w:r>
            <w:bookmarkEnd w:id="372"/>
            <w:r w:rsidRPr="00FF756A">
              <w:rPr>
                <w:i/>
                <w:iCs/>
                <w:sz w:val="20"/>
                <w:szCs w:val="20"/>
              </w:rPr>
              <w:t>ofron një GIS që mund të zhvillohet më tej: https://geoportal.asig.gov.al/en/services</w:t>
            </w:r>
          </w:p>
        </w:tc>
      </w:tr>
      <w:tr w:rsidR="00835192" w:rsidRPr="00FF756A" w14:paraId="2A97242B" w14:textId="77777777" w:rsidTr="004A3257">
        <w:trPr>
          <w:trHeight w:val="20"/>
        </w:trPr>
        <w:tc>
          <w:tcPr>
            <w:tcW w:w="2035" w:type="dxa"/>
            <w:tcBorders>
              <w:top w:val="single" w:sz="4" w:space="0" w:color="auto"/>
              <w:left w:val="single" w:sz="4" w:space="0" w:color="auto"/>
              <w:bottom w:val="single" w:sz="4" w:space="0" w:color="auto"/>
              <w:right w:val="single" w:sz="4" w:space="0" w:color="auto"/>
            </w:tcBorders>
          </w:tcPr>
          <w:p w14:paraId="6ECA3C22"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7032" w:type="dxa"/>
            <w:gridSpan w:val="5"/>
            <w:tcBorders>
              <w:top w:val="single" w:sz="4" w:space="0" w:color="auto"/>
              <w:left w:val="single" w:sz="4" w:space="0" w:color="auto"/>
              <w:bottom w:val="single" w:sz="4" w:space="0" w:color="auto"/>
              <w:right w:val="single" w:sz="4" w:space="0" w:color="auto"/>
            </w:tcBorders>
          </w:tcPr>
          <w:p w14:paraId="5F71C4C8" w14:textId="77777777" w:rsidR="00835192" w:rsidRPr="00FF756A" w:rsidRDefault="00835192" w:rsidP="00835192">
            <w:pPr>
              <w:spacing w:before="20" w:after="20" w:line="240" w:lineRule="auto"/>
              <w:rPr>
                <w:i/>
                <w:iCs/>
                <w:sz w:val="20"/>
                <w:szCs w:val="20"/>
              </w:rPr>
            </w:pPr>
            <w:r w:rsidRPr="00FF756A">
              <w:rPr>
                <w:i/>
                <w:iCs/>
                <w:sz w:val="20"/>
                <w:szCs w:val="20"/>
              </w:rPr>
              <w:t xml:space="preserve">Identifikimi i zonave prioritare për përdorimin e tokës me ndikim në energji, me qëllim thjeshtimin dhe përshpejtimin e procedurave të marrjes së lejeve dhe rritjen e sigurisë së investimeve </w:t>
            </w:r>
          </w:p>
        </w:tc>
      </w:tr>
      <w:tr w:rsidR="00835192" w:rsidRPr="00FF756A" w14:paraId="10ECA462" w14:textId="77777777" w:rsidTr="004A3257">
        <w:trPr>
          <w:trHeight w:val="20"/>
        </w:trPr>
        <w:tc>
          <w:tcPr>
            <w:tcW w:w="2035" w:type="dxa"/>
            <w:tcBorders>
              <w:top w:val="single" w:sz="4" w:space="0" w:color="auto"/>
              <w:left w:val="single" w:sz="4" w:space="0" w:color="auto"/>
              <w:bottom w:val="single" w:sz="4" w:space="0" w:color="auto"/>
              <w:right w:val="single" w:sz="4" w:space="0" w:color="auto"/>
            </w:tcBorders>
          </w:tcPr>
          <w:p w14:paraId="03535499"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7032" w:type="dxa"/>
            <w:gridSpan w:val="5"/>
            <w:tcBorders>
              <w:top w:val="single" w:sz="4" w:space="0" w:color="auto"/>
              <w:left w:val="single" w:sz="4" w:space="0" w:color="auto"/>
              <w:bottom w:val="single" w:sz="4" w:space="0" w:color="auto"/>
              <w:right w:val="single" w:sz="4" w:space="0" w:color="auto"/>
            </w:tcBorders>
          </w:tcPr>
          <w:p w14:paraId="2EE1364B" w14:textId="77777777" w:rsidR="00835192" w:rsidRPr="00FF756A" w:rsidRDefault="00835192" w:rsidP="00835192">
            <w:pPr>
              <w:spacing w:before="20" w:after="20" w:line="240" w:lineRule="auto"/>
              <w:rPr>
                <w:i/>
                <w:iCs/>
                <w:sz w:val="20"/>
                <w:szCs w:val="20"/>
              </w:rPr>
            </w:pPr>
            <w:r w:rsidRPr="00FF756A">
              <w:rPr>
                <w:i/>
                <w:iCs/>
                <w:sz w:val="20"/>
                <w:szCs w:val="20"/>
              </w:rPr>
              <w:t>Një hartë e miratuar zyrtarisht dhe e aksesueshme nga publiku, e cila tregon zonat prioritare për përdorimin e burimeve specifike të rinovueshme të energjisë, rinovimet e ndërtesave dhe veprime të tjera me ndikim në energji të rëndësishme për zhvilluesit e projekteve</w:t>
            </w:r>
          </w:p>
        </w:tc>
      </w:tr>
      <w:tr w:rsidR="00835192" w:rsidRPr="00FF756A" w14:paraId="42DADEA7" w14:textId="77777777" w:rsidTr="004A3257">
        <w:trPr>
          <w:trHeight w:val="20"/>
        </w:trPr>
        <w:tc>
          <w:tcPr>
            <w:tcW w:w="2035" w:type="dxa"/>
            <w:tcBorders>
              <w:top w:val="single" w:sz="4" w:space="0" w:color="auto"/>
              <w:left w:val="single" w:sz="4" w:space="0" w:color="auto"/>
              <w:bottom w:val="single" w:sz="4" w:space="0" w:color="auto"/>
              <w:right w:val="single" w:sz="4" w:space="0" w:color="auto"/>
            </w:tcBorders>
          </w:tcPr>
          <w:p w14:paraId="616AF281"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5053" w:type="dxa"/>
            <w:gridSpan w:val="4"/>
            <w:tcBorders>
              <w:top w:val="single" w:sz="4" w:space="0" w:color="auto"/>
              <w:left w:val="single" w:sz="4" w:space="0" w:color="auto"/>
              <w:bottom w:val="single" w:sz="4" w:space="0" w:color="auto"/>
              <w:right w:val="single" w:sz="4" w:space="0" w:color="auto"/>
            </w:tcBorders>
          </w:tcPr>
          <w:p w14:paraId="5EE633D3" w14:textId="77777777" w:rsidR="00835192" w:rsidRPr="00FF756A" w:rsidRDefault="00835192" w:rsidP="00835192">
            <w:pPr>
              <w:spacing w:before="20" w:after="20" w:line="240" w:lineRule="auto"/>
              <w:rPr>
                <w:i/>
                <w:iCs/>
                <w:sz w:val="20"/>
                <w:szCs w:val="20"/>
              </w:rPr>
            </w:pPr>
            <w:r w:rsidRPr="00FF756A">
              <w:rPr>
                <w:i/>
                <w:iCs/>
                <w:sz w:val="20"/>
                <w:szCs w:val="20"/>
                <w:u w:val="single"/>
              </w:rPr>
              <w:t>Rregullatore:</w:t>
            </w:r>
            <w:r w:rsidRPr="00FF756A">
              <w:rPr>
                <w:i/>
                <w:iCs/>
                <w:sz w:val="20"/>
                <w:szCs w:val="20"/>
              </w:rPr>
              <w:t xml:space="preserve"> Përcaktimi i procedurës së zhvillimit të hartës dhe dokumentit shpjegues, si dhe i procedurës së konsultimit publik, miratimit dhe rishikimit të hartës dhe dokumentit shpjegues. </w:t>
            </w:r>
          </w:p>
          <w:p w14:paraId="405F143F" w14:textId="77777777" w:rsidR="00835192" w:rsidRPr="00FF756A" w:rsidRDefault="00835192" w:rsidP="00835192">
            <w:pPr>
              <w:spacing w:before="20" w:after="20" w:line="240" w:lineRule="auto"/>
              <w:rPr>
                <w:i/>
                <w:iCs/>
                <w:sz w:val="20"/>
                <w:szCs w:val="20"/>
              </w:rPr>
            </w:pPr>
            <w:r w:rsidRPr="00FF756A">
              <w:rPr>
                <w:i/>
                <w:iCs/>
                <w:sz w:val="20"/>
                <w:szCs w:val="20"/>
                <w:u w:val="single"/>
              </w:rPr>
              <w:t xml:space="preserve">Teknike: </w:t>
            </w:r>
            <w:r w:rsidRPr="00FF756A">
              <w:rPr>
                <w:i/>
                <w:iCs/>
                <w:sz w:val="20"/>
                <w:szCs w:val="20"/>
              </w:rPr>
              <w:t xml:space="preserve">Kryerja e një studimi shkencor që rezulton në një hartë, shoqëruar nga një dokument shpjegues me përmbajtje ekzemplare: </w:t>
            </w:r>
          </w:p>
          <w:p w14:paraId="1A9892A0" w14:textId="77777777" w:rsidR="00835192" w:rsidRPr="00FF756A" w:rsidRDefault="00835192" w:rsidP="008639B2">
            <w:pPr>
              <w:numPr>
                <w:ilvl w:val="0"/>
                <w:numId w:val="148"/>
              </w:numPr>
              <w:spacing w:before="20" w:after="20" w:line="240" w:lineRule="auto"/>
              <w:contextualSpacing/>
              <w:rPr>
                <w:rFonts w:eastAsia="Times New Roman"/>
                <w:i/>
                <w:iCs/>
                <w:sz w:val="20"/>
                <w:szCs w:val="20"/>
              </w:rPr>
            </w:pPr>
            <w:r w:rsidRPr="00FF756A">
              <w:rPr>
                <w:i/>
                <w:iCs/>
                <w:sz w:val="20"/>
                <w:szCs w:val="20"/>
                <w:u w:val="single"/>
              </w:rPr>
              <w:lastRenderedPageBreak/>
              <w:t>Kapacitetet fotovoltaike</w:t>
            </w:r>
            <w:r w:rsidRPr="00FF756A">
              <w:rPr>
                <w:i/>
                <w:iCs/>
                <w:sz w:val="20"/>
                <w:szCs w:val="20"/>
              </w:rPr>
              <w:t xml:space="preserve">: Në lidhje me përdorimin e tokës, ekzistojnë objektiva konfliktuese (p.sh. me shërbimet e ekosistemit të hapësirave të hapura) dhe efekte sinergjike (p.sh. përdorime të shumëfishta të impianteve fotovoltaike në zonat e grumbullimit të mbetjeve dhe përgjatë autostradave dhe hekurudhave si barriera ndaj zhurmës, në rezervuarë dhe në zona portuale, si dhe në sipërfaqe të mëdha të çative të sallave të magazinimit, godinave industriale etj.). Identifikimi dhe lokalizimi i këtyre mundësive. </w:t>
            </w:r>
          </w:p>
          <w:p w14:paraId="6A3DC084" w14:textId="77777777" w:rsidR="00835192" w:rsidRPr="00FF756A" w:rsidRDefault="00835192" w:rsidP="008639B2">
            <w:pPr>
              <w:numPr>
                <w:ilvl w:val="0"/>
                <w:numId w:val="148"/>
              </w:numPr>
              <w:spacing w:before="20" w:after="20" w:line="240" w:lineRule="auto"/>
              <w:contextualSpacing/>
              <w:rPr>
                <w:rFonts w:eastAsia="Times New Roman"/>
                <w:i/>
                <w:iCs/>
                <w:sz w:val="20"/>
                <w:szCs w:val="20"/>
              </w:rPr>
            </w:pPr>
            <w:r w:rsidRPr="00FF756A">
              <w:rPr>
                <w:i/>
                <w:iCs/>
                <w:sz w:val="20"/>
                <w:szCs w:val="20"/>
              </w:rPr>
              <w:t xml:space="preserve">Vlerësimi dhe lokalizimi i </w:t>
            </w:r>
            <w:r w:rsidRPr="00FF756A">
              <w:rPr>
                <w:i/>
                <w:iCs/>
                <w:sz w:val="20"/>
                <w:szCs w:val="20"/>
                <w:u w:val="single"/>
              </w:rPr>
              <w:t>kapaciteteve të nxehtësisë termike</w:t>
            </w:r>
            <w:r w:rsidRPr="00FF756A">
              <w:rPr>
                <w:i/>
                <w:iCs/>
                <w:sz w:val="20"/>
                <w:szCs w:val="20"/>
              </w:rPr>
              <w:t xml:space="preserve"> dhe identifikimi i përdorimeve të mundshme. </w:t>
            </w:r>
          </w:p>
          <w:p w14:paraId="5E0F713A" w14:textId="77777777" w:rsidR="00835192" w:rsidRPr="00FF756A" w:rsidRDefault="00835192" w:rsidP="008639B2">
            <w:pPr>
              <w:numPr>
                <w:ilvl w:val="0"/>
                <w:numId w:val="148"/>
              </w:numPr>
              <w:spacing w:before="20" w:after="20" w:line="240" w:lineRule="auto"/>
              <w:contextualSpacing/>
            </w:pPr>
            <w:r w:rsidRPr="00FF756A">
              <w:rPr>
                <w:i/>
                <w:iCs/>
                <w:sz w:val="20"/>
                <w:szCs w:val="20"/>
              </w:rPr>
              <w:t xml:space="preserve">Identifikimi dhe lokalizimi i </w:t>
            </w:r>
            <w:r w:rsidRPr="00FF756A">
              <w:rPr>
                <w:i/>
                <w:iCs/>
                <w:sz w:val="20"/>
                <w:szCs w:val="20"/>
                <w:u w:val="single"/>
              </w:rPr>
              <w:t>nevojave për rinovimin e ndërtesave</w:t>
            </w:r>
            <w:r w:rsidRPr="00FF756A">
              <w:rPr>
                <w:i/>
                <w:iCs/>
                <w:sz w:val="20"/>
                <w:szCs w:val="20"/>
              </w:rPr>
              <w:t xml:space="preserve"> si bazë për zhvillimin e masave të optimizuara të krahut të kërkesës dhe ofertës, për përdorimin sa më të mirë të burimeve të rinovueshme të energjisë.</w:t>
            </w:r>
          </w:p>
          <w:p w14:paraId="11779FC8" w14:textId="77777777" w:rsidR="00835192" w:rsidRPr="00FF756A" w:rsidRDefault="00835192" w:rsidP="00835192">
            <w:pPr>
              <w:spacing w:before="20" w:after="20" w:line="240" w:lineRule="auto"/>
              <w:rPr>
                <w:i/>
                <w:iCs/>
                <w:sz w:val="20"/>
                <w:szCs w:val="20"/>
                <w:u w:val="single"/>
              </w:rPr>
            </w:pPr>
            <w:r w:rsidRPr="00FF756A">
              <w:rPr>
                <w:i/>
                <w:iCs/>
                <w:sz w:val="20"/>
                <w:szCs w:val="20"/>
                <w:u w:val="single"/>
              </w:rPr>
              <w:t xml:space="preserve">Zbatimi: </w:t>
            </w:r>
          </w:p>
          <w:p w14:paraId="353969BD" w14:textId="77777777" w:rsidR="00835192" w:rsidRPr="00FF756A" w:rsidRDefault="00835192" w:rsidP="008639B2">
            <w:pPr>
              <w:numPr>
                <w:ilvl w:val="0"/>
                <w:numId w:val="149"/>
              </w:numPr>
              <w:spacing w:before="20" w:after="20" w:line="240" w:lineRule="auto"/>
              <w:contextualSpacing/>
              <w:rPr>
                <w:i/>
                <w:iCs/>
                <w:sz w:val="20"/>
                <w:szCs w:val="20"/>
              </w:rPr>
            </w:pPr>
            <w:r w:rsidRPr="00FF756A">
              <w:rPr>
                <w:i/>
                <w:iCs/>
                <w:sz w:val="20"/>
                <w:szCs w:val="20"/>
              </w:rPr>
              <w:t xml:space="preserve">Konsultimi publik dhe rishikimi i studimit  </w:t>
            </w:r>
          </w:p>
          <w:p w14:paraId="769A4655" w14:textId="77777777" w:rsidR="00835192" w:rsidRPr="00FF756A" w:rsidRDefault="00835192" w:rsidP="008639B2">
            <w:pPr>
              <w:numPr>
                <w:ilvl w:val="0"/>
                <w:numId w:val="149"/>
              </w:numPr>
              <w:spacing w:before="20" w:after="20" w:line="240" w:lineRule="auto"/>
              <w:contextualSpacing/>
              <w:rPr>
                <w:i/>
                <w:iCs/>
                <w:sz w:val="20"/>
                <w:szCs w:val="20"/>
              </w:rPr>
            </w:pPr>
            <w:r w:rsidRPr="00FF756A">
              <w:rPr>
                <w:i/>
                <w:iCs/>
                <w:sz w:val="20"/>
                <w:szCs w:val="20"/>
              </w:rPr>
              <w:t>Miratimi i hartës dhe dokumentit shpjegues</w:t>
            </w:r>
          </w:p>
          <w:p w14:paraId="17892072" w14:textId="77777777" w:rsidR="00835192" w:rsidRPr="00FF756A" w:rsidRDefault="00835192" w:rsidP="008639B2">
            <w:pPr>
              <w:numPr>
                <w:ilvl w:val="0"/>
                <w:numId w:val="149"/>
              </w:numPr>
              <w:spacing w:before="20" w:after="20" w:line="240" w:lineRule="auto"/>
              <w:contextualSpacing/>
              <w:rPr>
                <w:rFonts w:eastAsia="Times New Roman"/>
                <w:i/>
                <w:iCs/>
                <w:sz w:val="20"/>
                <w:szCs w:val="20"/>
              </w:rPr>
            </w:pPr>
            <w:r w:rsidRPr="00FF756A">
              <w:rPr>
                <w:i/>
                <w:iCs/>
                <w:sz w:val="20"/>
                <w:szCs w:val="20"/>
              </w:rPr>
              <w:t xml:space="preserve">Publikimi i hartës dhe dokumentit shpjegues </w:t>
            </w:r>
          </w:p>
        </w:tc>
        <w:tc>
          <w:tcPr>
            <w:tcW w:w="1979" w:type="dxa"/>
            <w:tcBorders>
              <w:top w:val="single" w:sz="4" w:space="0" w:color="auto"/>
              <w:left w:val="single" w:sz="4" w:space="0" w:color="auto"/>
              <w:bottom w:val="single" w:sz="4" w:space="0" w:color="auto"/>
              <w:right w:val="single" w:sz="4" w:space="0" w:color="auto"/>
            </w:tcBorders>
          </w:tcPr>
          <w:p w14:paraId="02AE68BE" w14:textId="77777777" w:rsidR="00835192" w:rsidRPr="00FF756A" w:rsidRDefault="00835192" w:rsidP="00835192">
            <w:pPr>
              <w:spacing w:before="20" w:after="20" w:line="240" w:lineRule="auto"/>
              <w:jc w:val="left"/>
              <w:rPr>
                <w:i/>
                <w:iCs/>
                <w:sz w:val="20"/>
                <w:szCs w:val="20"/>
              </w:rPr>
            </w:pPr>
            <w:r w:rsidRPr="00FF756A">
              <w:rPr>
                <w:i/>
                <w:iCs/>
                <w:sz w:val="20"/>
                <w:szCs w:val="20"/>
              </w:rPr>
              <w:lastRenderedPageBreak/>
              <w:t>brenda vitit 2025</w:t>
            </w:r>
            <w:r w:rsidRPr="00FF756A">
              <w:rPr>
                <w:i/>
                <w:iCs/>
                <w:sz w:val="20"/>
                <w:szCs w:val="20"/>
              </w:rPr>
              <w:br/>
            </w:r>
            <w:r w:rsidRPr="00FF756A">
              <w:rPr>
                <w:i/>
                <w:iCs/>
                <w:sz w:val="20"/>
                <w:szCs w:val="20"/>
              </w:rPr>
              <w:br/>
            </w:r>
            <w:r w:rsidRPr="00FF756A">
              <w:rPr>
                <w:i/>
                <w:iCs/>
                <w:sz w:val="20"/>
                <w:szCs w:val="20"/>
              </w:rPr>
              <w:br/>
            </w:r>
          </w:p>
          <w:p w14:paraId="77F504C1"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2026</w:t>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lastRenderedPageBreak/>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p>
          <w:p w14:paraId="0DC4681D"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2026</w:t>
            </w:r>
          </w:p>
        </w:tc>
      </w:tr>
      <w:tr w:rsidR="00835192" w:rsidRPr="00FF756A" w14:paraId="50E33473" w14:textId="77777777" w:rsidTr="004A3257">
        <w:trPr>
          <w:trHeight w:val="20"/>
        </w:trPr>
        <w:tc>
          <w:tcPr>
            <w:tcW w:w="2035" w:type="dxa"/>
            <w:tcBorders>
              <w:top w:val="single" w:sz="4" w:space="0" w:color="auto"/>
              <w:left w:val="single" w:sz="4" w:space="0" w:color="auto"/>
              <w:bottom w:val="single" w:sz="4" w:space="0" w:color="auto"/>
              <w:right w:val="single" w:sz="4" w:space="0" w:color="auto"/>
            </w:tcBorders>
          </w:tcPr>
          <w:p w14:paraId="619C7665"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Buxheti (burimi i financimit)</w:t>
            </w:r>
          </w:p>
        </w:tc>
        <w:tc>
          <w:tcPr>
            <w:tcW w:w="7032" w:type="dxa"/>
            <w:gridSpan w:val="5"/>
            <w:tcBorders>
              <w:top w:val="single" w:sz="4" w:space="0" w:color="auto"/>
              <w:left w:val="single" w:sz="4" w:space="0" w:color="auto"/>
              <w:bottom w:val="single" w:sz="4" w:space="0" w:color="auto"/>
              <w:right w:val="single" w:sz="4" w:space="0" w:color="auto"/>
            </w:tcBorders>
          </w:tcPr>
          <w:p w14:paraId="4A76F6B4" w14:textId="77777777" w:rsidR="00835192" w:rsidRPr="00FF756A" w:rsidRDefault="00835192" w:rsidP="00835192">
            <w:pPr>
              <w:rPr>
                <w:i/>
                <w:iCs/>
                <w:sz w:val="20"/>
                <w:szCs w:val="20"/>
              </w:rPr>
            </w:pPr>
            <w:r w:rsidRPr="00FF756A">
              <w:rPr>
                <w:i/>
                <w:iCs/>
                <w:sz w:val="20"/>
                <w:szCs w:val="20"/>
              </w:rPr>
              <w:t xml:space="preserve">Përgatitja e kuadrit ligjor dhe studimit shkencor do të financohet nga një Program i Asistencës Teknike, me një buxhet të parashikuar prej 0,5 milionë eurosh. </w:t>
            </w:r>
          </w:p>
        </w:tc>
      </w:tr>
      <w:tr w:rsidR="00835192" w:rsidRPr="00FF756A" w14:paraId="7C8269CE" w14:textId="77777777" w:rsidTr="004A3257">
        <w:trPr>
          <w:trHeight w:val="20"/>
        </w:trPr>
        <w:tc>
          <w:tcPr>
            <w:tcW w:w="2035" w:type="dxa"/>
            <w:tcBorders>
              <w:top w:val="single" w:sz="4" w:space="0" w:color="auto"/>
              <w:left w:val="single" w:sz="4" w:space="0" w:color="auto"/>
              <w:bottom w:val="single" w:sz="4" w:space="0" w:color="auto"/>
              <w:right w:val="single" w:sz="4" w:space="0" w:color="auto"/>
            </w:tcBorders>
          </w:tcPr>
          <w:p w14:paraId="3760108C"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7B678C7E"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7032" w:type="dxa"/>
            <w:gridSpan w:val="5"/>
            <w:tcBorders>
              <w:top w:val="single" w:sz="4" w:space="0" w:color="auto"/>
              <w:left w:val="single" w:sz="4" w:space="0" w:color="auto"/>
              <w:bottom w:val="single" w:sz="4" w:space="0" w:color="auto"/>
              <w:right w:val="single" w:sz="4" w:space="0" w:color="auto"/>
            </w:tcBorders>
          </w:tcPr>
          <w:p w14:paraId="4E85C279" w14:textId="77777777" w:rsidR="00835192" w:rsidRPr="00FF756A" w:rsidRDefault="00835192" w:rsidP="00835192">
            <w:pPr>
              <w:spacing w:before="20" w:after="20" w:line="240" w:lineRule="auto"/>
              <w:rPr>
                <w:i/>
                <w:iCs/>
                <w:sz w:val="20"/>
                <w:szCs w:val="20"/>
              </w:rPr>
            </w:pPr>
            <w:r w:rsidRPr="00FF756A">
              <w:rPr>
                <w:i/>
                <w:iCs/>
                <w:sz w:val="20"/>
                <w:szCs w:val="20"/>
              </w:rPr>
              <w:t>Ministria dhe/ose agjencia përgjegjëse</w:t>
            </w:r>
          </w:p>
        </w:tc>
      </w:tr>
      <w:tr w:rsidR="00835192" w:rsidRPr="00FF756A" w14:paraId="3380DA61" w14:textId="77777777" w:rsidTr="004A3257">
        <w:trPr>
          <w:trHeight w:val="20"/>
        </w:trPr>
        <w:tc>
          <w:tcPr>
            <w:tcW w:w="2035" w:type="dxa"/>
            <w:tcBorders>
              <w:top w:val="single" w:sz="4" w:space="0" w:color="auto"/>
              <w:left w:val="single" w:sz="4" w:space="0" w:color="auto"/>
              <w:bottom w:val="single" w:sz="4" w:space="0" w:color="auto"/>
              <w:right w:val="single" w:sz="4" w:space="0" w:color="auto"/>
            </w:tcBorders>
          </w:tcPr>
          <w:p w14:paraId="3221F979"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7032" w:type="dxa"/>
            <w:gridSpan w:val="5"/>
            <w:tcBorders>
              <w:top w:val="single" w:sz="4" w:space="0" w:color="auto"/>
              <w:left w:val="single" w:sz="4" w:space="0" w:color="auto"/>
              <w:bottom w:val="single" w:sz="4" w:space="0" w:color="auto"/>
              <w:right w:val="single" w:sz="4" w:space="0" w:color="auto"/>
            </w:tcBorders>
          </w:tcPr>
          <w:p w14:paraId="5C6C77B0" w14:textId="77777777" w:rsidR="00835192" w:rsidRPr="00FF756A" w:rsidRDefault="00835192" w:rsidP="00835192">
            <w:pPr>
              <w:spacing w:before="20" w:after="20" w:line="240" w:lineRule="auto"/>
              <w:rPr>
                <w:i/>
                <w:iCs/>
                <w:sz w:val="20"/>
                <w:szCs w:val="20"/>
              </w:rPr>
            </w:pPr>
            <w:r w:rsidRPr="00FF756A">
              <w:rPr>
                <w:i/>
                <w:iCs/>
                <w:sz w:val="20"/>
                <w:szCs w:val="20"/>
              </w:rPr>
              <w:t xml:space="preserve">Marrëdhënia me PM-të e mëposhtme: </w:t>
            </w:r>
          </w:p>
          <w:p w14:paraId="483887E2" w14:textId="77777777" w:rsidR="00835192" w:rsidRPr="00FF756A" w:rsidRDefault="00835192" w:rsidP="00835192">
            <w:pPr>
              <w:spacing w:before="20" w:after="20" w:line="240" w:lineRule="auto"/>
              <w:rPr>
                <w:i/>
                <w:iCs/>
                <w:sz w:val="20"/>
                <w:szCs w:val="20"/>
              </w:rPr>
            </w:pPr>
            <w:r w:rsidRPr="00FF756A">
              <w:rPr>
                <w:i/>
                <w:iCs/>
                <w:sz w:val="20"/>
                <w:szCs w:val="20"/>
              </w:rPr>
              <w:t>EE-P2 Planet bashkiake të veprimit për efiçencën e energjisë, zbatimi dhe raportimi</w:t>
            </w:r>
          </w:p>
          <w:p w14:paraId="3BC1C6FD" w14:textId="77777777" w:rsidR="00835192" w:rsidRPr="00FF756A" w:rsidRDefault="00835192" w:rsidP="00835192">
            <w:pPr>
              <w:spacing w:before="20" w:after="20" w:line="240" w:lineRule="auto"/>
              <w:rPr>
                <w:i/>
                <w:iCs/>
                <w:sz w:val="20"/>
                <w:szCs w:val="20"/>
              </w:rPr>
            </w:pPr>
            <w:r w:rsidRPr="00FF756A">
              <w:rPr>
                <w:i/>
                <w:iCs/>
                <w:sz w:val="20"/>
                <w:szCs w:val="20"/>
              </w:rPr>
              <w:t>G-W1 Reduktimi i shkarkimeve nga mbetjet (planet bashkiake për menaxhimin e integruar të mbetjeve)</w:t>
            </w:r>
          </w:p>
          <w:p w14:paraId="13FBA23E" w14:textId="77777777" w:rsidR="00835192" w:rsidRPr="00FF756A" w:rsidRDefault="00835192" w:rsidP="00835192">
            <w:pPr>
              <w:spacing w:before="20" w:after="20" w:line="240" w:lineRule="auto"/>
              <w:rPr>
                <w:i/>
                <w:iCs/>
                <w:sz w:val="20"/>
                <w:szCs w:val="20"/>
              </w:rPr>
            </w:pPr>
            <w:r w:rsidRPr="00FF756A">
              <w:rPr>
                <w:i/>
                <w:iCs/>
                <w:sz w:val="20"/>
                <w:szCs w:val="20"/>
              </w:rPr>
              <w:t xml:space="preserve">EE-P3: Përgatitja e planeve të integruara zhvillimore bashkiake/rajonale të cilat janë të lidhura me PKEK-në </w:t>
            </w:r>
          </w:p>
          <w:p w14:paraId="378BDF31" w14:textId="77777777" w:rsidR="00835192" w:rsidRPr="00FF756A" w:rsidRDefault="00835192" w:rsidP="00835192">
            <w:pPr>
              <w:spacing w:before="20" w:after="20" w:line="240" w:lineRule="auto"/>
              <w:rPr>
                <w:i/>
                <w:iCs/>
                <w:sz w:val="20"/>
                <w:szCs w:val="20"/>
              </w:rPr>
            </w:pPr>
            <w:r w:rsidRPr="00FF756A">
              <w:rPr>
                <w:i/>
                <w:iCs/>
                <w:sz w:val="20"/>
                <w:szCs w:val="20"/>
              </w:rPr>
              <w:t>G-W2 Përdorimi i impianteve të incinerimit të mbetjeve për procesin e menaxhimit të integruar të mbetjeve në Shqipëri</w:t>
            </w:r>
          </w:p>
          <w:p w14:paraId="0BFE3D43" w14:textId="77777777" w:rsidR="00835192" w:rsidRPr="00FF756A" w:rsidRDefault="00835192" w:rsidP="00835192">
            <w:pPr>
              <w:spacing w:before="20" w:after="20" w:line="240" w:lineRule="auto"/>
              <w:rPr>
                <w:i/>
                <w:iCs/>
                <w:sz w:val="20"/>
                <w:szCs w:val="20"/>
              </w:rPr>
            </w:pPr>
            <w:r w:rsidRPr="00FF756A">
              <w:rPr>
                <w:i/>
                <w:iCs/>
                <w:sz w:val="20"/>
                <w:szCs w:val="20"/>
              </w:rPr>
              <w:t xml:space="preserve">R-E11 Hartat e nxehtësisë </w:t>
            </w:r>
          </w:p>
        </w:tc>
      </w:tr>
    </w:tbl>
    <w:p w14:paraId="71468710" w14:textId="77777777" w:rsidR="00835192" w:rsidRPr="00FF756A" w:rsidRDefault="00835192" w:rsidP="00835192">
      <w:pPr>
        <w:spacing w:before="0" w:after="0" w:line="240" w:lineRule="auto"/>
        <w:jc w:val="left"/>
      </w:pPr>
    </w:p>
    <w:p w14:paraId="39B86A1F" w14:textId="77777777" w:rsidR="00835192" w:rsidRPr="00FF756A" w:rsidRDefault="00835192" w:rsidP="00835192">
      <w:pPr>
        <w:spacing w:before="0" w:after="0" w:line="240" w:lineRule="auto"/>
        <w:jc w:val="left"/>
      </w:pP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2"/>
        <w:gridCol w:w="1269"/>
        <w:gridCol w:w="595"/>
        <w:gridCol w:w="425"/>
        <w:gridCol w:w="3698"/>
        <w:gridCol w:w="883"/>
      </w:tblGrid>
      <w:tr w:rsidR="00835192" w:rsidRPr="00FF756A" w14:paraId="1965D8F6" w14:textId="77777777" w:rsidTr="004A3257">
        <w:trPr>
          <w:trHeight w:val="20"/>
        </w:trPr>
        <w:tc>
          <w:tcPr>
            <w:tcW w:w="4506" w:type="dxa"/>
            <w:gridSpan w:val="4"/>
            <w:shd w:val="clear" w:color="auto" w:fill="D9E2F3" w:themeFill="accent1" w:themeFillTint="33"/>
          </w:tcPr>
          <w:p w14:paraId="72CC0418"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66" w:type="dxa"/>
            <w:gridSpan w:val="2"/>
            <w:shd w:val="clear" w:color="auto" w:fill="D9E2F3" w:themeFill="accent1" w:themeFillTint="33"/>
          </w:tcPr>
          <w:p w14:paraId="17C60EF2" w14:textId="77777777" w:rsidR="00835192" w:rsidRPr="00FF756A" w:rsidRDefault="00835192" w:rsidP="008639B2">
            <w:pPr>
              <w:numPr>
                <w:ilvl w:val="0"/>
                <w:numId w:val="85"/>
              </w:numPr>
              <w:spacing w:before="20" w:after="20" w:line="240" w:lineRule="auto"/>
              <w:contextualSpacing/>
              <w:rPr>
                <w:i/>
                <w:iCs/>
                <w:sz w:val="20"/>
                <w:szCs w:val="20"/>
              </w:rPr>
            </w:pPr>
            <w:r w:rsidRPr="00FF756A">
              <w:rPr>
                <w:i/>
                <w:iCs/>
                <w:sz w:val="20"/>
                <w:szCs w:val="20"/>
              </w:rPr>
              <w:t>Dekarbonizimi</w:t>
            </w:r>
          </w:p>
          <w:p w14:paraId="24382811" w14:textId="2A2B6F4D" w:rsidR="00835192" w:rsidRPr="00FF756A" w:rsidRDefault="00835192" w:rsidP="004A3257">
            <w:pPr>
              <w:spacing w:before="20" w:after="20" w:line="240" w:lineRule="auto"/>
              <w:contextualSpacing/>
              <w:rPr>
                <w:i/>
                <w:iCs/>
                <w:sz w:val="20"/>
                <w:szCs w:val="20"/>
              </w:rPr>
            </w:pPr>
            <w:r w:rsidRPr="00FF756A">
              <w:rPr>
                <w:i/>
                <w:iCs/>
                <w:sz w:val="20"/>
                <w:szCs w:val="20"/>
              </w:rPr>
              <w:t>Energjia e rinovueshme</w:t>
            </w:r>
          </w:p>
        </w:tc>
      </w:tr>
      <w:tr w:rsidR="00835192" w:rsidRPr="00FF756A" w14:paraId="35A5F8B4" w14:textId="77777777" w:rsidTr="004A3257">
        <w:trPr>
          <w:trHeight w:val="20"/>
        </w:trPr>
        <w:tc>
          <w:tcPr>
            <w:tcW w:w="4078" w:type="dxa"/>
            <w:gridSpan w:val="3"/>
            <w:shd w:val="clear" w:color="auto" w:fill="D9E2F3" w:themeFill="accent1" w:themeFillTint="33"/>
          </w:tcPr>
          <w:p w14:paraId="73412576"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94" w:type="dxa"/>
            <w:gridSpan w:val="3"/>
            <w:shd w:val="clear" w:color="auto" w:fill="D9E2F3" w:themeFill="accent1" w:themeFillTint="33"/>
          </w:tcPr>
          <w:p w14:paraId="254726BD" w14:textId="77777777" w:rsidR="00835192" w:rsidRPr="00FF756A" w:rsidRDefault="00835192" w:rsidP="00835192">
            <w:pPr>
              <w:spacing w:before="20" w:after="20" w:line="240" w:lineRule="auto"/>
              <w:rPr>
                <w:i/>
                <w:iCs/>
                <w:sz w:val="20"/>
                <w:szCs w:val="20"/>
              </w:rPr>
            </w:pPr>
            <w:r w:rsidRPr="00FF756A">
              <w:rPr>
                <w:i/>
                <w:iCs/>
                <w:sz w:val="20"/>
                <w:szCs w:val="20"/>
              </w:rPr>
              <w:t>Energjia elektrike, ngrohja dhe ftohja</w:t>
            </w:r>
          </w:p>
        </w:tc>
      </w:tr>
      <w:tr w:rsidR="00835192" w:rsidRPr="00FF756A" w14:paraId="656497C0" w14:textId="77777777" w:rsidTr="004A3257">
        <w:trPr>
          <w:trHeight w:val="20"/>
        </w:trPr>
        <w:tc>
          <w:tcPr>
            <w:tcW w:w="3479" w:type="dxa"/>
            <w:gridSpan w:val="2"/>
          </w:tcPr>
          <w:p w14:paraId="3B42D547"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0DFCCE00"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3" w:type="dxa"/>
            <w:gridSpan w:val="4"/>
          </w:tcPr>
          <w:p w14:paraId="36779B3C" w14:textId="77777777" w:rsidR="00835192" w:rsidRPr="00FF756A" w:rsidRDefault="00835192" w:rsidP="00835192">
            <w:pPr>
              <w:spacing w:before="20" w:after="20" w:line="240" w:lineRule="auto"/>
              <w:rPr>
                <w:i/>
                <w:iCs/>
                <w:sz w:val="20"/>
                <w:szCs w:val="20"/>
              </w:rPr>
            </w:pPr>
            <w:r w:rsidRPr="00FF756A">
              <w:rPr>
                <w:i/>
                <w:iCs/>
                <w:sz w:val="20"/>
                <w:szCs w:val="20"/>
              </w:rPr>
              <w:t>WEM</w:t>
            </w:r>
          </w:p>
          <w:p w14:paraId="258B2058"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79AE3130" w14:textId="77777777" w:rsidTr="004A3257">
        <w:trPr>
          <w:trHeight w:val="20"/>
        </w:trPr>
        <w:tc>
          <w:tcPr>
            <w:tcW w:w="2200" w:type="dxa"/>
          </w:tcPr>
          <w:p w14:paraId="5F1E7B09"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2F6303C1"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2" w:type="dxa"/>
            <w:gridSpan w:val="5"/>
          </w:tcPr>
          <w:p w14:paraId="0493C3C8" w14:textId="77777777" w:rsidR="00835192" w:rsidRPr="00FF756A" w:rsidRDefault="00835192" w:rsidP="00835192">
            <w:pPr>
              <w:spacing w:before="20" w:after="20" w:line="240" w:lineRule="auto"/>
              <w:rPr>
                <w:i/>
                <w:iCs/>
                <w:sz w:val="20"/>
                <w:szCs w:val="20"/>
              </w:rPr>
            </w:pPr>
            <w:r w:rsidRPr="00FF756A">
              <w:rPr>
                <w:i/>
                <w:iCs/>
                <w:sz w:val="20"/>
                <w:szCs w:val="20"/>
              </w:rPr>
              <w:t>Mekanizmi i matjes së energjisë neto për instalimet deri në 500 kW</w:t>
            </w:r>
          </w:p>
          <w:p w14:paraId="33CA79C4" w14:textId="77777777" w:rsidR="00835192" w:rsidRPr="00FF756A" w:rsidRDefault="00835192" w:rsidP="00835192">
            <w:pPr>
              <w:spacing w:before="20" w:after="20" w:line="240" w:lineRule="auto"/>
              <w:rPr>
                <w:i/>
                <w:iCs/>
                <w:sz w:val="20"/>
                <w:szCs w:val="20"/>
              </w:rPr>
            </w:pPr>
            <w:r w:rsidRPr="00FF756A">
              <w:rPr>
                <w:i/>
                <w:iCs/>
                <w:sz w:val="20"/>
                <w:szCs w:val="20"/>
              </w:rPr>
              <w:t>(R-E4)</w:t>
            </w:r>
          </w:p>
        </w:tc>
      </w:tr>
      <w:tr w:rsidR="00835192" w:rsidRPr="00FF756A" w14:paraId="4C22E255" w14:textId="77777777" w:rsidTr="004A3257">
        <w:trPr>
          <w:trHeight w:val="20"/>
        </w:trPr>
        <w:tc>
          <w:tcPr>
            <w:tcW w:w="2200" w:type="dxa"/>
          </w:tcPr>
          <w:p w14:paraId="2AA1E83D"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2" w:type="dxa"/>
            <w:gridSpan w:val="5"/>
          </w:tcPr>
          <w:p w14:paraId="205731EC" w14:textId="77777777" w:rsidR="00835192" w:rsidRPr="00FF756A" w:rsidRDefault="00835192" w:rsidP="00835192">
            <w:pPr>
              <w:spacing w:before="20" w:after="20" w:line="240" w:lineRule="auto"/>
              <w:rPr>
                <w:i/>
                <w:iCs/>
                <w:sz w:val="20"/>
                <w:szCs w:val="20"/>
              </w:rPr>
            </w:pPr>
            <w:r w:rsidRPr="00FF756A">
              <w:rPr>
                <w:i/>
                <w:iCs/>
                <w:sz w:val="20"/>
                <w:szCs w:val="20"/>
              </w:rPr>
              <w:t>2017 e në vazhdim</w:t>
            </w:r>
          </w:p>
        </w:tc>
      </w:tr>
      <w:tr w:rsidR="00835192" w:rsidRPr="00FF756A" w14:paraId="2E81B814" w14:textId="77777777" w:rsidTr="004A3257">
        <w:trPr>
          <w:trHeight w:val="20"/>
        </w:trPr>
        <w:tc>
          <w:tcPr>
            <w:tcW w:w="2200" w:type="dxa"/>
          </w:tcPr>
          <w:p w14:paraId="7151A82C"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2" w:type="dxa"/>
            <w:gridSpan w:val="5"/>
          </w:tcPr>
          <w:p w14:paraId="64ADA342" w14:textId="77777777" w:rsidR="00835192" w:rsidRPr="00FF756A" w:rsidRDefault="00835192" w:rsidP="00835192">
            <w:pPr>
              <w:spacing w:before="20" w:after="20" w:line="240" w:lineRule="auto"/>
              <w:rPr>
                <w:i/>
                <w:iCs/>
                <w:sz w:val="20"/>
                <w:szCs w:val="20"/>
              </w:rPr>
            </w:pPr>
            <w:r w:rsidRPr="00FF756A">
              <w:rPr>
                <w:i/>
                <w:iCs/>
                <w:sz w:val="20"/>
                <w:szCs w:val="20"/>
              </w:rPr>
              <w:t>Ligji nr. 24/2023, datë 23.3.2023, “Për nxitjen e përdorimit të energjisë nga burimet e rinovueshme”.</w:t>
            </w:r>
          </w:p>
          <w:p w14:paraId="745CFDCE" w14:textId="77777777" w:rsidR="00835192" w:rsidRPr="00FF756A" w:rsidRDefault="00835192" w:rsidP="00835192">
            <w:pPr>
              <w:spacing w:before="20" w:after="20" w:line="240" w:lineRule="auto"/>
              <w:rPr>
                <w:i/>
                <w:iCs/>
                <w:sz w:val="20"/>
                <w:szCs w:val="20"/>
              </w:rPr>
            </w:pPr>
            <w:r w:rsidRPr="00FF756A">
              <w:rPr>
                <w:i/>
                <w:iCs/>
                <w:sz w:val="20"/>
                <w:szCs w:val="20"/>
              </w:rPr>
              <w:t>Udhëzimi nr. 3 i ministrit të infrastrukturës dhe energjisë, datë 20.6.2019, “Për miratimin e procedurës së lehtësuar të autorizimit për lidhjen në sistemin e shpërndarjes të projekteve të vogla të rinovueshme për vetëprodhuesit e energjisë elektrike nga dielli”</w:t>
            </w:r>
          </w:p>
        </w:tc>
      </w:tr>
      <w:tr w:rsidR="00835192" w:rsidRPr="00FF756A" w14:paraId="48CA13AC" w14:textId="77777777" w:rsidTr="004A3257">
        <w:trPr>
          <w:trHeight w:val="20"/>
        </w:trPr>
        <w:tc>
          <w:tcPr>
            <w:tcW w:w="2200" w:type="dxa"/>
          </w:tcPr>
          <w:p w14:paraId="417FB500"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2" w:type="dxa"/>
            <w:gridSpan w:val="5"/>
          </w:tcPr>
          <w:p w14:paraId="5B4FA3C1" w14:textId="77777777" w:rsidR="00835192" w:rsidRPr="00FF756A" w:rsidRDefault="00835192" w:rsidP="00835192">
            <w:pPr>
              <w:spacing w:before="20" w:after="20" w:line="240" w:lineRule="auto"/>
              <w:rPr>
                <w:i/>
                <w:iCs/>
                <w:sz w:val="20"/>
                <w:szCs w:val="20"/>
              </w:rPr>
            </w:pPr>
            <w:r w:rsidRPr="00FF756A">
              <w:rPr>
                <w:i/>
                <w:iCs/>
                <w:sz w:val="20"/>
                <w:szCs w:val="20"/>
              </w:rPr>
              <w:t>OSHEE ka përfshirë në faqen e saj të internetit standardet e zbatueshme për matjen, por nuk disponon një bazë të dhënash për projektet e zbatuara.</w:t>
            </w:r>
          </w:p>
          <w:p w14:paraId="194A0C64" w14:textId="77777777" w:rsidR="00835192" w:rsidRPr="00FF756A" w:rsidRDefault="00835192" w:rsidP="00835192">
            <w:pPr>
              <w:spacing w:before="20" w:after="20" w:line="240" w:lineRule="auto"/>
              <w:rPr>
                <w:i/>
                <w:iCs/>
                <w:sz w:val="20"/>
                <w:szCs w:val="20"/>
              </w:rPr>
            </w:pPr>
            <w:r w:rsidRPr="00FF756A">
              <w:rPr>
                <w:i/>
                <w:iCs/>
                <w:sz w:val="20"/>
                <w:szCs w:val="20"/>
              </w:rPr>
              <w:t xml:space="preserve">Kapaciteti total i instaluar është rreth 160 MW.  </w:t>
            </w:r>
          </w:p>
        </w:tc>
      </w:tr>
      <w:tr w:rsidR="00835192" w:rsidRPr="00FF756A" w14:paraId="586F4BEA" w14:textId="77777777" w:rsidTr="004A3257">
        <w:trPr>
          <w:trHeight w:val="20"/>
        </w:trPr>
        <w:tc>
          <w:tcPr>
            <w:tcW w:w="2200" w:type="dxa"/>
          </w:tcPr>
          <w:p w14:paraId="0B6181EF"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Objektivi kryesor i PM</w:t>
            </w:r>
          </w:p>
        </w:tc>
        <w:tc>
          <w:tcPr>
            <w:tcW w:w="6872" w:type="dxa"/>
            <w:gridSpan w:val="5"/>
          </w:tcPr>
          <w:p w14:paraId="36C25623" w14:textId="77777777" w:rsidR="00835192" w:rsidRPr="00FF756A" w:rsidRDefault="00835192" w:rsidP="00835192">
            <w:pPr>
              <w:spacing w:before="20" w:after="20" w:line="240" w:lineRule="auto"/>
              <w:rPr>
                <w:i/>
                <w:iCs/>
                <w:sz w:val="20"/>
                <w:szCs w:val="20"/>
              </w:rPr>
            </w:pPr>
            <w:r w:rsidRPr="00FF756A">
              <w:rPr>
                <w:i/>
                <w:iCs/>
                <w:sz w:val="20"/>
                <w:szCs w:val="20"/>
              </w:rPr>
              <w:t>Objektivi është inkurajimi i familjeve dhe konsumatorëve (për instalimet deri në 500 kW) për të instaluar kapacitete të rinovueshme, si dhe promovimi i vetëkonsumit.</w:t>
            </w:r>
          </w:p>
        </w:tc>
      </w:tr>
      <w:tr w:rsidR="00835192" w:rsidRPr="00FF756A" w14:paraId="1F49462F" w14:textId="77777777" w:rsidTr="004A3257">
        <w:trPr>
          <w:trHeight w:val="20"/>
        </w:trPr>
        <w:tc>
          <w:tcPr>
            <w:tcW w:w="2200" w:type="dxa"/>
          </w:tcPr>
          <w:p w14:paraId="40C0299F"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2" w:type="dxa"/>
            <w:gridSpan w:val="5"/>
          </w:tcPr>
          <w:p w14:paraId="27099BE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Rritja e prodhimit të energjisë nga burimet e rinovueshme për të garantuar një zhvillim të qëndrueshëm në Republikën e Shqipërisë, në përputhje me detyrimet në kuadër të Traktatit të Komunitetit të Energjisë</w:t>
            </w:r>
          </w:p>
          <w:p w14:paraId="36AE5F95" w14:textId="78C7CEFF"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Kjo masë kontribuon gjithashtu në objektivin kombëtar për BRE-të deri në vitin 2030 lidhur me përqindjen e burimeve të rinovueshme në raport me Konsumin Final Bruto të Energjisë dhe, në mënyrë specifike, në arritjen e objektivit lidhur me energjinë e rinovueshme për prodhimin e energjisë elektrike (BRE-E ).</w:t>
            </w:r>
          </w:p>
          <w:p w14:paraId="5A95A43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Rritja e kapacitetit të rinovueshëm, kryesisht atij të energjisë fotovoltaike, nuk paraqitet veçmas për këtë masë, por kapaciteti total supozohet të pasqyrohet në R-E1.</w:t>
            </w:r>
          </w:p>
          <w:p w14:paraId="39CA41C0"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Rritja e vetëkonsumit do të përmirësojë sigurinë energjetike duke diversifikuar burimet e gjenerimit të sektorit të energjisë elektrike.   </w:t>
            </w:r>
          </w:p>
        </w:tc>
      </w:tr>
      <w:tr w:rsidR="00835192" w:rsidRPr="00FF756A" w14:paraId="620C4BE3" w14:textId="77777777" w:rsidTr="004A3257">
        <w:trPr>
          <w:trHeight w:val="20"/>
        </w:trPr>
        <w:tc>
          <w:tcPr>
            <w:tcW w:w="2200" w:type="dxa"/>
          </w:tcPr>
          <w:p w14:paraId="59162DF9"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2" w:type="dxa"/>
            <w:gridSpan w:val="4"/>
          </w:tcPr>
          <w:p w14:paraId="42EE8C70" w14:textId="77777777" w:rsidR="00835192" w:rsidRPr="00FF756A" w:rsidRDefault="00835192" w:rsidP="00835192">
            <w:pPr>
              <w:spacing w:before="20" w:after="20" w:line="240" w:lineRule="auto"/>
              <w:rPr>
                <w:i/>
                <w:iCs/>
                <w:sz w:val="20"/>
                <w:szCs w:val="20"/>
              </w:rPr>
            </w:pPr>
            <w:r w:rsidRPr="00FF756A">
              <w:rPr>
                <w:i/>
                <w:iCs/>
                <w:sz w:val="20"/>
                <w:szCs w:val="20"/>
              </w:rPr>
              <w:t xml:space="preserve">Skema e mëposhtme zbatohet në bazë të ligjit 7/2017: </w:t>
            </w:r>
          </w:p>
          <w:p w14:paraId="548E7C8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Në përputhje me ligjin për energjinë e rinovueshme të vitit 2017, një shoqëri e vogël ose e mesme apo një konsumator familjar mund të instalojë një kapacitet të përgjithshëm praj maksimumi 500 kW për prodhimin e energjisë elektrike nga era ose dielli, me qëllim mbulimin e plotë ose të pjesshëm të nevojave të tij për energji, dhe ta injektojë energjinë e tepërt të prodhuar në rrjetin e shpërndarjes.</w:t>
            </w:r>
          </w:p>
          <w:p w14:paraId="794B3634"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Konsumatorët, sipas skemës së matjes neto të energjisë, duhet të instalojnë me shpenzimet e tyre një matës me dy drejtime.</w:t>
            </w:r>
          </w:p>
          <w:p w14:paraId="556B64D2" w14:textId="77777777" w:rsidR="00835192" w:rsidRPr="00FF756A" w:rsidRDefault="00835192" w:rsidP="008639B2">
            <w:pPr>
              <w:numPr>
                <w:ilvl w:val="0"/>
                <w:numId w:val="71"/>
              </w:numPr>
              <w:spacing w:before="20" w:after="20" w:line="240" w:lineRule="auto"/>
              <w:contextualSpacing/>
              <w:rPr>
                <w:i/>
                <w:sz w:val="20"/>
                <w:szCs w:val="20"/>
              </w:rPr>
            </w:pPr>
            <w:r w:rsidRPr="00FF756A">
              <w:rPr>
                <w:i/>
                <w:iCs/>
                <w:sz w:val="20"/>
                <w:szCs w:val="20"/>
              </w:rPr>
              <w:t xml:space="preserve">Bilanci neto dhe faturimi bëhen në baza mujore për secilën pikë matëse. Teprica e energjisë elektrike mbi konsumin mujor shitet te furnizuesi i shërbimit universal, i ngarkuar me detyrimin e shërbimit publik, sipas çmimit të caktuar nga ERE, bazuar në metodologjinë e miratuar nga Këshilli i Ministrave, me propozimin e ministrit.  </w:t>
            </w:r>
          </w:p>
          <w:p w14:paraId="1407B6EA" w14:textId="77777777" w:rsidR="00835192" w:rsidRPr="00FF756A" w:rsidRDefault="00835192" w:rsidP="00835192">
            <w:pPr>
              <w:spacing w:before="20" w:after="20" w:line="240" w:lineRule="auto"/>
              <w:rPr>
                <w:i/>
                <w:sz w:val="20"/>
                <w:szCs w:val="20"/>
              </w:rPr>
            </w:pPr>
            <w:r w:rsidRPr="00FF756A">
              <w:rPr>
                <w:i/>
                <w:sz w:val="20"/>
                <w:szCs w:val="20"/>
              </w:rPr>
              <w:t>Skema e mëposhtme zbatohet në bazë të ligjit 24/2023:</w:t>
            </w:r>
          </w:p>
          <w:p w14:paraId="0700F4B2" w14:textId="245D15AF" w:rsidR="00835192" w:rsidRPr="00FF756A" w:rsidRDefault="00835192" w:rsidP="008639B2">
            <w:pPr>
              <w:numPr>
                <w:ilvl w:val="0"/>
                <w:numId w:val="71"/>
              </w:numPr>
              <w:spacing w:before="20" w:after="20" w:line="240" w:lineRule="auto"/>
              <w:contextualSpacing/>
              <w:rPr>
                <w:i/>
                <w:sz w:val="20"/>
                <w:szCs w:val="20"/>
              </w:rPr>
            </w:pPr>
            <w:r w:rsidRPr="00FF756A">
              <w:rPr>
                <w:i/>
                <w:sz w:val="20"/>
                <w:szCs w:val="20"/>
              </w:rPr>
              <w:t>Koncepti i vetë-konsumatorëve të energjisë së rinovueshme i përcaktuar në Shqipëri me ligjin nr. 24/2023 po rrit fuqizimin e klientëve fundorë. Vetë-konsumatorët e energjisë së rinovueshme kanë një kapacitet maksimal prej 500 kW dhe kanë të drejtë të</w:t>
            </w:r>
            <w:r w:rsidR="00A1717C" w:rsidRPr="00FF756A">
              <w:rPr>
                <w:i/>
                <w:sz w:val="20"/>
                <w:szCs w:val="20"/>
              </w:rPr>
              <w:t xml:space="preserve"> prodhojnë</w:t>
            </w:r>
            <w:r w:rsidR="009A6568" w:rsidRPr="00FF756A">
              <w:rPr>
                <w:i/>
                <w:sz w:val="20"/>
                <w:szCs w:val="20"/>
              </w:rPr>
              <w:t>,</w:t>
            </w:r>
            <w:r w:rsidRPr="00FF756A">
              <w:rPr>
                <w:i/>
                <w:sz w:val="20"/>
                <w:szCs w:val="20"/>
              </w:rPr>
              <w:t xml:space="preserve"> të konsumojnë, të ruajnë dhe të shesin prodhimin e tepërt të energjisë elektrike të rinovueshme, individualisht ose përmes agregatorëve, duke përfshirë përmes marrëveshjeve dypalëshe, furnizuesve të energjisë elektrike dhe marrëveshjeve të tregtisë me homologët.</w:t>
            </w:r>
          </w:p>
          <w:p w14:paraId="4AB8014B" w14:textId="77777777" w:rsidR="00835192" w:rsidRPr="00FF756A" w:rsidRDefault="00835192" w:rsidP="008639B2">
            <w:pPr>
              <w:numPr>
                <w:ilvl w:val="0"/>
                <w:numId w:val="71"/>
              </w:numPr>
              <w:spacing w:before="20" w:after="20" w:line="240" w:lineRule="auto"/>
              <w:contextualSpacing/>
              <w:rPr>
                <w:i/>
                <w:sz w:val="20"/>
                <w:szCs w:val="20"/>
              </w:rPr>
            </w:pPr>
            <w:r w:rsidRPr="00FF756A">
              <w:rPr>
                <w:i/>
                <w:sz w:val="20"/>
                <w:szCs w:val="20"/>
              </w:rPr>
              <w:t>Skema e kompensimit të vetë-konsumatorëve të energjisë së rinovueshme bazuar në një metodologji të faturimit neto nga 1 janari i vitit 2024.</w:t>
            </w:r>
          </w:p>
          <w:p w14:paraId="10166FAB" w14:textId="77777777" w:rsidR="00835192" w:rsidRPr="00FF756A" w:rsidRDefault="00835192" w:rsidP="008639B2">
            <w:pPr>
              <w:numPr>
                <w:ilvl w:val="0"/>
                <w:numId w:val="71"/>
              </w:numPr>
              <w:spacing w:before="20" w:after="20" w:line="240" w:lineRule="auto"/>
              <w:contextualSpacing/>
              <w:rPr>
                <w:i/>
                <w:sz w:val="20"/>
                <w:szCs w:val="20"/>
              </w:rPr>
            </w:pPr>
            <w:r w:rsidRPr="00FF756A">
              <w:rPr>
                <w:i/>
                <w:sz w:val="20"/>
                <w:szCs w:val="20"/>
              </w:rPr>
              <w:t>Instalimi i impiantit të vetë-konsumatorit të energjisë së rinovueshme mund të jetë në pronësi të një pale të tretë ose të menaxhohet nga një palë e tretë për instalim, operim, duke përfshirë matjen dhe mirëmbajtjen, me kusht që pala e tretë të mbetet subjekt i udhëzimeve të vetë-konsumatorit të energjisë së rinovueshme. Vetë pala e tretë nuk konsiderohet një vetë-konsumator i energjisë së rinovueshme.</w:t>
            </w:r>
          </w:p>
          <w:p w14:paraId="47C6A94B" w14:textId="77777777" w:rsidR="00835192" w:rsidRPr="00FF756A" w:rsidRDefault="00835192" w:rsidP="008639B2">
            <w:pPr>
              <w:numPr>
                <w:ilvl w:val="0"/>
                <w:numId w:val="71"/>
              </w:numPr>
              <w:spacing w:before="20" w:after="20" w:line="240" w:lineRule="auto"/>
              <w:contextualSpacing/>
              <w:rPr>
                <w:i/>
                <w:sz w:val="20"/>
                <w:szCs w:val="20"/>
              </w:rPr>
            </w:pPr>
            <w:r w:rsidRPr="00FF756A">
              <w:rPr>
                <w:i/>
                <w:sz w:val="20"/>
                <w:szCs w:val="20"/>
              </w:rPr>
              <w:t>Vetë-konsumatorët e energjisë së rinovueshme të vendosur në të njëjtën ndërtesë, duke përfshirë blloqet me shumë apartamente, kanë të drejtë të angazhohen bashkërisht si vetë-konsumatorë të energjisë së rinovueshme dhe u lejohet të organizojnë ndarjen e energjisë së rinovueshme që prodhohet në ndërtesën ose ndërtesat e tyre midis tyre.</w:t>
            </w:r>
          </w:p>
          <w:p w14:paraId="2B59889A" w14:textId="77777777" w:rsidR="00835192" w:rsidRPr="00FF756A" w:rsidRDefault="00835192" w:rsidP="008639B2">
            <w:pPr>
              <w:numPr>
                <w:ilvl w:val="0"/>
                <w:numId w:val="71"/>
              </w:numPr>
              <w:spacing w:before="20" w:after="20" w:line="240" w:lineRule="auto"/>
              <w:contextualSpacing/>
              <w:rPr>
                <w:i/>
                <w:sz w:val="20"/>
                <w:szCs w:val="20"/>
              </w:rPr>
            </w:pPr>
            <w:r w:rsidRPr="00FF756A">
              <w:rPr>
                <w:i/>
                <w:sz w:val="20"/>
                <w:szCs w:val="20"/>
              </w:rPr>
              <w:t>Miratimi i procedurës së lehtësuar të autorizimit për lidhjen në sistemin e shpërndarjes të projekteve të vogla të rinovueshme për vetëprodhuesit e energjisë elektrike nga dielli.</w:t>
            </w:r>
          </w:p>
        </w:tc>
        <w:tc>
          <w:tcPr>
            <w:tcW w:w="850" w:type="dxa"/>
          </w:tcPr>
          <w:p w14:paraId="24DA3412" w14:textId="77777777" w:rsidR="00835192" w:rsidRPr="00FF756A" w:rsidRDefault="00835192" w:rsidP="00835192">
            <w:pPr>
              <w:spacing w:before="20" w:after="20" w:line="240" w:lineRule="auto"/>
              <w:rPr>
                <w:i/>
                <w:iCs/>
                <w:sz w:val="20"/>
                <w:szCs w:val="20"/>
              </w:rPr>
            </w:pPr>
            <w:r w:rsidRPr="00FF756A">
              <w:rPr>
                <w:i/>
                <w:iCs/>
                <w:sz w:val="20"/>
                <w:szCs w:val="20"/>
              </w:rPr>
              <w:t>Nga viti 2017 e në vazhdim</w:t>
            </w:r>
          </w:p>
        </w:tc>
      </w:tr>
      <w:tr w:rsidR="00835192" w:rsidRPr="00FF756A" w14:paraId="5DFDA2BF" w14:textId="77777777" w:rsidTr="004A3257">
        <w:trPr>
          <w:trHeight w:val="20"/>
        </w:trPr>
        <w:tc>
          <w:tcPr>
            <w:tcW w:w="2200" w:type="dxa"/>
          </w:tcPr>
          <w:p w14:paraId="0CC829E5"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Buxheti (burimi i financimit)</w:t>
            </w:r>
          </w:p>
        </w:tc>
        <w:tc>
          <w:tcPr>
            <w:tcW w:w="6872" w:type="dxa"/>
            <w:gridSpan w:val="5"/>
          </w:tcPr>
          <w:p w14:paraId="75FBF547" w14:textId="77777777" w:rsidR="00835192" w:rsidRPr="00FF756A" w:rsidRDefault="00835192" w:rsidP="00835192">
            <w:pPr>
              <w:spacing w:before="20" w:after="20" w:line="240" w:lineRule="auto"/>
              <w:rPr>
                <w:i/>
                <w:iCs/>
                <w:sz w:val="20"/>
                <w:szCs w:val="20"/>
              </w:rPr>
            </w:pPr>
            <w:r w:rsidRPr="00FF756A">
              <w:rPr>
                <w:i/>
                <w:iCs/>
                <w:sz w:val="20"/>
                <w:szCs w:val="20"/>
              </w:rPr>
              <w:t>Nuk është parashikuar financim nga buxheti i shtetit, pasi kostoja e skemës mbulohet në mënyrë të tërthortë nga tarifa e energjisë elektrike. Prodhuesit nuk paguhen, por përfitojnë vetëm një reduktim në faturat e tyre të energjisë elektrike.</w:t>
            </w:r>
          </w:p>
        </w:tc>
      </w:tr>
      <w:tr w:rsidR="00835192" w:rsidRPr="00FF756A" w14:paraId="154FF942" w14:textId="77777777" w:rsidTr="004A3257">
        <w:trPr>
          <w:trHeight w:val="20"/>
        </w:trPr>
        <w:tc>
          <w:tcPr>
            <w:tcW w:w="2200" w:type="dxa"/>
          </w:tcPr>
          <w:p w14:paraId="66596043"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0DCED33E"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2" w:type="dxa"/>
            <w:gridSpan w:val="5"/>
          </w:tcPr>
          <w:p w14:paraId="528AB063" w14:textId="77777777" w:rsidR="00835192" w:rsidRPr="00FF756A" w:rsidRDefault="00835192" w:rsidP="00835192">
            <w:pPr>
              <w:spacing w:before="20" w:after="20" w:line="240" w:lineRule="auto"/>
              <w:rPr>
                <w:i/>
                <w:iCs/>
                <w:sz w:val="20"/>
                <w:szCs w:val="20"/>
              </w:rPr>
            </w:pPr>
            <w:r w:rsidRPr="00FF756A">
              <w:rPr>
                <w:i/>
                <w:iCs/>
                <w:sz w:val="20"/>
                <w:szCs w:val="20"/>
              </w:rPr>
              <w:t>OSHEE, shoqëritë private</w:t>
            </w:r>
          </w:p>
          <w:p w14:paraId="2D9DAF04" w14:textId="77777777" w:rsidR="00835192" w:rsidRPr="00FF756A" w:rsidRDefault="00835192" w:rsidP="00835192">
            <w:pPr>
              <w:spacing w:before="20" w:after="20" w:line="240" w:lineRule="auto"/>
              <w:rPr>
                <w:i/>
                <w:iCs/>
                <w:sz w:val="20"/>
                <w:szCs w:val="20"/>
              </w:rPr>
            </w:pPr>
            <w:r w:rsidRPr="00FF756A">
              <w:rPr>
                <w:i/>
                <w:iCs/>
                <w:sz w:val="20"/>
                <w:szCs w:val="20"/>
              </w:rPr>
              <w:t>(OSHEE; Ministria e Infrastrukturës dhe Energjisë; Enti Rregullator i Energjisë)</w:t>
            </w:r>
          </w:p>
        </w:tc>
      </w:tr>
      <w:tr w:rsidR="00835192" w:rsidRPr="00FF756A" w14:paraId="3B9A6FC9" w14:textId="77777777" w:rsidTr="004A3257">
        <w:trPr>
          <w:trHeight w:val="20"/>
        </w:trPr>
        <w:tc>
          <w:tcPr>
            <w:tcW w:w="2200" w:type="dxa"/>
          </w:tcPr>
          <w:p w14:paraId="381A136C"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2" w:type="dxa"/>
            <w:gridSpan w:val="5"/>
          </w:tcPr>
          <w:p w14:paraId="5B67E3C9" w14:textId="77777777" w:rsidR="00835192" w:rsidRPr="00FF756A" w:rsidRDefault="00835192" w:rsidP="00835192">
            <w:pPr>
              <w:spacing w:before="20" w:after="20" w:line="240" w:lineRule="auto"/>
              <w:rPr>
                <w:i/>
                <w:iCs/>
                <w:sz w:val="20"/>
                <w:szCs w:val="20"/>
              </w:rPr>
            </w:pPr>
            <w:r w:rsidRPr="00FF756A">
              <w:rPr>
                <w:i/>
                <w:iCs/>
                <w:sz w:val="20"/>
                <w:szCs w:val="20"/>
              </w:rPr>
              <w:t xml:space="preserve">Siguria energjetike </w:t>
            </w:r>
          </w:p>
        </w:tc>
      </w:tr>
    </w:tbl>
    <w:p w14:paraId="2EBF3CB9"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2"/>
        <w:gridCol w:w="1269"/>
        <w:gridCol w:w="595"/>
        <w:gridCol w:w="425"/>
        <w:gridCol w:w="3698"/>
        <w:gridCol w:w="883"/>
      </w:tblGrid>
      <w:tr w:rsidR="00835192" w:rsidRPr="00FF756A" w14:paraId="109FB0A5" w14:textId="77777777" w:rsidTr="004A3257">
        <w:trPr>
          <w:trHeight w:val="20"/>
        </w:trPr>
        <w:tc>
          <w:tcPr>
            <w:tcW w:w="4506" w:type="dxa"/>
            <w:gridSpan w:val="4"/>
            <w:shd w:val="clear" w:color="auto" w:fill="D9E2F3" w:themeFill="accent1" w:themeFillTint="33"/>
          </w:tcPr>
          <w:p w14:paraId="798962B7"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66" w:type="dxa"/>
            <w:gridSpan w:val="2"/>
            <w:shd w:val="clear" w:color="auto" w:fill="D9E2F3" w:themeFill="accent1" w:themeFillTint="33"/>
          </w:tcPr>
          <w:p w14:paraId="269CFAB2" w14:textId="77777777" w:rsidR="00835192" w:rsidRPr="00FF756A" w:rsidRDefault="00835192" w:rsidP="008639B2">
            <w:pPr>
              <w:numPr>
                <w:ilvl w:val="0"/>
                <w:numId w:val="87"/>
              </w:numPr>
              <w:spacing w:before="20" w:after="20" w:line="240" w:lineRule="auto"/>
              <w:contextualSpacing/>
              <w:rPr>
                <w:i/>
                <w:iCs/>
                <w:sz w:val="20"/>
                <w:szCs w:val="20"/>
              </w:rPr>
            </w:pPr>
            <w:r w:rsidRPr="00FF756A">
              <w:rPr>
                <w:i/>
                <w:iCs/>
                <w:sz w:val="20"/>
                <w:szCs w:val="20"/>
              </w:rPr>
              <w:t>Dekarbonizimi</w:t>
            </w:r>
          </w:p>
          <w:p w14:paraId="6F4A4E03" w14:textId="22159698" w:rsidR="00835192" w:rsidRPr="00FF756A" w:rsidRDefault="00835192" w:rsidP="004A3257">
            <w:pPr>
              <w:spacing w:before="20" w:after="20" w:line="240" w:lineRule="auto"/>
              <w:contextualSpacing/>
              <w:rPr>
                <w:i/>
                <w:iCs/>
                <w:sz w:val="20"/>
                <w:szCs w:val="20"/>
              </w:rPr>
            </w:pPr>
            <w:r w:rsidRPr="00FF756A">
              <w:rPr>
                <w:i/>
                <w:iCs/>
                <w:sz w:val="20"/>
                <w:szCs w:val="20"/>
              </w:rPr>
              <w:t>Energjia e rinovueshme</w:t>
            </w:r>
          </w:p>
        </w:tc>
      </w:tr>
      <w:tr w:rsidR="00835192" w:rsidRPr="00FF756A" w14:paraId="0AD98324" w14:textId="77777777" w:rsidTr="004A3257">
        <w:trPr>
          <w:trHeight w:val="20"/>
        </w:trPr>
        <w:tc>
          <w:tcPr>
            <w:tcW w:w="4078" w:type="dxa"/>
            <w:gridSpan w:val="3"/>
            <w:shd w:val="clear" w:color="auto" w:fill="D9E2F3" w:themeFill="accent1" w:themeFillTint="33"/>
          </w:tcPr>
          <w:p w14:paraId="59485E9D"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94" w:type="dxa"/>
            <w:gridSpan w:val="3"/>
            <w:shd w:val="clear" w:color="auto" w:fill="D9E2F3" w:themeFill="accent1" w:themeFillTint="33"/>
          </w:tcPr>
          <w:p w14:paraId="4862A179" w14:textId="77777777" w:rsidR="00835192" w:rsidRPr="00FF756A" w:rsidRDefault="00835192" w:rsidP="00835192">
            <w:pPr>
              <w:spacing w:before="20" w:after="20" w:line="240" w:lineRule="auto"/>
              <w:rPr>
                <w:i/>
                <w:iCs/>
                <w:sz w:val="20"/>
                <w:szCs w:val="20"/>
              </w:rPr>
            </w:pPr>
            <w:r w:rsidRPr="00FF756A">
              <w:rPr>
                <w:i/>
                <w:iCs/>
                <w:sz w:val="20"/>
                <w:szCs w:val="20"/>
              </w:rPr>
              <w:t>Energjia elektrike, ngrohja dhe ftohja</w:t>
            </w:r>
          </w:p>
        </w:tc>
      </w:tr>
      <w:tr w:rsidR="00835192" w:rsidRPr="00FF756A" w14:paraId="0B346AB3" w14:textId="77777777" w:rsidTr="004A3257">
        <w:trPr>
          <w:trHeight w:val="20"/>
        </w:trPr>
        <w:tc>
          <w:tcPr>
            <w:tcW w:w="3479" w:type="dxa"/>
            <w:gridSpan w:val="2"/>
          </w:tcPr>
          <w:p w14:paraId="5588A9EF"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76EC15F4"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3" w:type="dxa"/>
            <w:gridSpan w:val="4"/>
          </w:tcPr>
          <w:p w14:paraId="5A133391" w14:textId="77777777" w:rsidR="00835192" w:rsidRPr="00FF756A" w:rsidRDefault="00835192" w:rsidP="00835192">
            <w:pPr>
              <w:spacing w:before="20" w:after="20" w:line="240" w:lineRule="auto"/>
              <w:rPr>
                <w:i/>
                <w:iCs/>
                <w:sz w:val="20"/>
                <w:szCs w:val="20"/>
              </w:rPr>
            </w:pPr>
            <w:r w:rsidRPr="00FF756A">
              <w:rPr>
                <w:i/>
                <w:iCs/>
                <w:sz w:val="20"/>
                <w:szCs w:val="20"/>
              </w:rPr>
              <w:t>WEM</w:t>
            </w:r>
          </w:p>
          <w:p w14:paraId="2DAE1A51" w14:textId="77777777" w:rsidR="00835192" w:rsidRPr="00FF756A" w:rsidRDefault="00835192" w:rsidP="00835192">
            <w:pPr>
              <w:spacing w:before="20" w:after="20" w:line="240" w:lineRule="auto"/>
              <w:rPr>
                <w:i/>
                <w:iCs/>
                <w:sz w:val="20"/>
                <w:szCs w:val="20"/>
              </w:rPr>
            </w:pPr>
            <w:r w:rsidRPr="00FF756A">
              <w:rPr>
                <w:i/>
                <w:iCs/>
                <w:sz w:val="20"/>
                <w:szCs w:val="20"/>
              </w:rPr>
              <w:t>Teknik; Financiar</w:t>
            </w:r>
          </w:p>
        </w:tc>
      </w:tr>
      <w:tr w:rsidR="00835192" w:rsidRPr="00FF756A" w14:paraId="6276F5AA" w14:textId="77777777" w:rsidTr="004A3257">
        <w:trPr>
          <w:trHeight w:val="20"/>
        </w:trPr>
        <w:tc>
          <w:tcPr>
            <w:tcW w:w="2200" w:type="dxa"/>
          </w:tcPr>
          <w:p w14:paraId="74EDFD43"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6919E1EF"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2" w:type="dxa"/>
            <w:gridSpan w:val="5"/>
          </w:tcPr>
          <w:p w14:paraId="20FD6B90" w14:textId="77777777" w:rsidR="00835192" w:rsidRPr="00FF756A" w:rsidRDefault="00835192" w:rsidP="00835192">
            <w:pPr>
              <w:spacing w:before="20" w:after="20" w:line="240" w:lineRule="auto"/>
              <w:rPr>
                <w:i/>
                <w:iCs/>
                <w:sz w:val="20"/>
                <w:szCs w:val="20"/>
              </w:rPr>
            </w:pPr>
            <w:r w:rsidRPr="00FF756A">
              <w:rPr>
                <w:i/>
                <w:iCs/>
                <w:sz w:val="20"/>
                <w:szCs w:val="20"/>
              </w:rPr>
              <w:t>Rrjet elektrik i fuqishëm për të përballuar rritjen e kapacitetit të energjisë së rinovueshme, investime në kapacitetin e energjisë së rinovueshme në tregun e lirë</w:t>
            </w:r>
          </w:p>
          <w:p w14:paraId="35142FB5" w14:textId="77777777" w:rsidR="00835192" w:rsidRPr="00FF756A" w:rsidRDefault="00835192" w:rsidP="00835192">
            <w:pPr>
              <w:spacing w:before="20" w:after="20" w:line="240" w:lineRule="auto"/>
              <w:rPr>
                <w:i/>
                <w:iCs/>
                <w:sz w:val="20"/>
                <w:szCs w:val="20"/>
              </w:rPr>
            </w:pPr>
            <w:r w:rsidRPr="00FF756A">
              <w:rPr>
                <w:i/>
                <w:iCs/>
                <w:sz w:val="20"/>
                <w:szCs w:val="20"/>
              </w:rPr>
              <w:t>(R-E5)</w:t>
            </w:r>
          </w:p>
        </w:tc>
      </w:tr>
      <w:tr w:rsidR="00835192" w:rsidRPr="00FF756A" w14:paraId="54675C85" w14:textId="77777777" w:rsidTr="004A3257">
        <w:trPr>
          <w:trHeight w:val="20"/>
        </w:trPr>
        <w:tc>
          <w:tcPr>
            <w:tcW w:w="2200" w:type="dxa"/>
          </w:tcPr>
          <w:p w14:paraId="08BB5C78"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2" w:type="dxa"/>
            <w:gridSpan w:val="5"/>
          </w:tcPr>
          <w:p w14:paraId="16D715AD" w14:textId="77777777" w:rsidR="00835192" w:rsidRPr="00FF756A" w:rsidRDefault="00835192" w:rsidP="00835192">
            <w:pPr>
              <w:spacing w:before="20" w:after="20" w:line="240" w:lineRule="auto"/>
              <w:rPr>
                <w:i/>
                <w:iCs/>
                <w:sz w:val="20"/>
                <w:szCs w:val="20"/>
              </w:rPr>
            </w:pPr>
            <w:r w:rsidRPr="00FF756A">
              <w:rPr>
                <w:i/>
                <w:iCs/>
                <w:sz w:val="20"/>
                <w:szCs w:val="20"/>
              </w:rPr>
              <w:t>2017 e në vazhdim</w:t>
            </w:r>
          </w:p>
        </w:tc>
      </w:tr>
      <w:tr w:rsidR="00835192" w:rsidRPr="00FF756A" w14:paraId="0FD913D4" w14:textId="77777777" w:rsidTr="004A3257">
        <w:trPr>
          <w:trHeight w:val="20"/>
        </w:trPr>
        <w:tc>
          <w:tcPr>
            <w:tcW w:w="2200" w:type="dxa"/>
          </w:tcPr>
          <w:p w14:paraId="1C554FE2"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2" w:type="dxa"/>
            <w:gridSpan w:val="5"/>
          </w:tcPr>
          <w:p w14:paraId="0FE6445B" w14:textId="77777777" w:rsidR="00835192" w:rsidRPr="00FF756A" w:rsidRDefault="00835192" w:rsidP="00835192">
            <w:pPr>
              <w:spacing w:before="20" w:after="20" w:line="240" w:lineRule="auto"/>
              <w:rPr>
                <w:i/>
                <w:iCs/>
                <w:sz w:val="20"/>
                <w:szCs w:val="20"/>
              </w:rPr>
            </w:pPr>
            <w:r w:rsidRPr="00FF756A">
              <w:rPr>
                <w:i/>
                <w:iCs/>
                <w:sz w:val="20"/>
                <w:szCs w:val="20"/>
              </w:rPr>
              <w:t>Ligji nr. 43/2015 “Për sektorin e energjisë elektrike”, i ndryshuar; Ligji nr. 24/2023, datë 23.3.2023, “Për nxitjen e përdorimit të energjisë nga burimet e rinovueshme”</w:t>
            </w:r>
          </w:p>
        </w:tc>
      </w:tr>
      <w:tr w:rsidR="00835192" w:rsidRPr="00FF756A" w14:paraId="6987516B" w14:textId="77777777" w:rsidTr="004A3257">
        <w:trPr>
          <w:trHeight w:val="20"/>
        </w:trPr>
        <w:tc>
          <w:tcPr>
            <w:tcW w:w="2200" w:type="dxa"/>
          </w:tcPr>
          <w:p w14:paraId="15DA6B68"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2" w:type="dxa"/>
            <w:gridSpan w:val="5"/>
          </w:tcPr>
          <w:p w14:paraId="775741E1" w14:textId="77777777" w:rsidR="00835192" w:rsidRPr="00FF756A" w:rsidRDefault="00835192" w:rsidP="00835192">
            <w:pPr>
              <w:spacing w:before="20" w:after="20" w:line="240" w:lineRule="auto"/>
              <w:rPr>
                <w:i/>
                <w:iCs/>
                <w:sz w:val="20"/>
                <w:szCs w:val="20"/>
              </w:rPr>
            </w:pPr>
            <w:r w:rsidRPr="00FF756A">
              <w:rPr>
                <w:i/>
                <w:iCs/>
                <w:sz w:val="20"/>
                <w:szCs w:val="20"/>
              </w:rPr>
              <w:t>Investime të vazhdueshme në rrjetin e transmetimit dhe shpërndarjes. Rritja e investimeve private në prodhimin e energjisë nga burimet e rinovueshme të energjisë.</w:t>
            </w:r>
          </w:p>
        </w:tc>
      </w:tr>
      <w:tr w:rsidR="00835192" w:rsidRPr="00FF756A" w14:paraId="53CE72C7" w14:textId="77777777" w:rsidTr="004A3257">
        <w:trPr>
          <w:trHeight w:val="20"/>
        </w:trPr>
        <w:tc>
          <w:tcPr>
            <w:tcW w:w="2200" w:type="dxa"/>
          </w:tcPr>
          <w:p w14:paraId="074B594E"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2" w:type="dxa"/>
            <w:gridSpan w:val="5"/>
          </w:tcPr>
          <w:p w14:paraId="70ADBA3C" w14:textId="77777777" w:rsidR="00835192" w:rsidRPr="00FF756A" w:rsidRDefault="00835192" w:rsidP="00835192">
            <w:pPr>
              <w:spacing w:before="20" w:after="20" w:line="240" w:lineRule="auto"/>
              <w:rPr>
                <w:i/>
                <w:iCs/>
                <w:sz w:val="20"/>
                <w:szCs w:val="20"/>
              </w:rPr>
            </w:pPr>
            <w:r w:rsidRPr="00FF756A">
              <w:rPr>
                <w:i/>
                <w:iCs/>
                <w:sz w:val="20"/>
                <w:szCs w:val="20"/>
              </w:rPr>
              <w:t>Objektivi është rritja e kapacitetit të rrjetit elektrik, si atij transmetues ashtu dhe atij shpërndarës, për të përmbushur nevojat për burime shtesë të energjisë së rinovueshme. Kjo është veçanërisht me rëndësi për rrjetin e shpërndarjes, pasi skemat mbështetëse FiT dhe ato të matjes së energjisë neto kanë ndikim të konsiderueshëm në rrjetin e shpërndarjes. Rritja e investimeve private në prodhimin e energjisë nga burimet e rinovueshme të energjisë.</w:t>
            </w:r>
          </w:p>
        </w:tc>
      </w:tr>
      <w:tr w:rsidR="00835192" w:rsidRPr="00FF756A" w14:paraId="71BA4669" w14:textId="77777777" w:rsidTr="004A3257">
        <w:trPr>
          <w:trHeight w:val="20"/>
        </w:trPr>
        <w:tc>
          <w:tcPr>
            <w:tcW w:w="2200" w:type="dxa"/>
          </w:tcPr>
          <w:p w14:paraId="3216142F"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2" w:type="dxa"/>
            <w:gridSpan w:val="5"/>
          </w:tcPr>
          <w:p w14:paraId="14112B64" w14:textId="77777777" w:rsidR="00835192" w:rsidRPr="00FF756A" w:rsidRDefault="00835192" w:rsidP="00835192">
            <w:pPr>
              <w:spacing w:before="20" w:after="20" w:line="240" w:lineRule="auto"/>
              <w:rPr>
                <w:i/>
                <w:iCs/>
                <w:sz w:val="20"/>
                <w:szCs w:val="20"/>
              </w:rPr>
            </w:pPr>
            <w:r w:rsidRPr="00FF756A">
              <w:rPr>
                <w:i/>
                <w:iCs/>
                <w:sz w:val="20"/>
                <w:szCs w:val="20"/>
              </w:rPr>
              <w:t>Të njëjta me objektivin kryesor</w:t>
            </w:r>
          </w:p>
        </w:tc>
      </w:tr>
      <w:tr w:rsidR="00835192" w:rsidRPr="00FF756A" w14:paraId="2AF146F3" w14:textId="77777777" w:rsidTr="004A3257">
        <w:trPr>
          <w:trHeight w:val="20"/>
        </w:trPr>
        <w:tc>
          <w:tcPr>
            <w:tcW w:w="2200" w:type="dxa"/>
          </w:tcPr>
          <w:p w14:paraId="122C14FF"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2" w:type="dxa"/>
            <w:gridSpan w:val="4"/>
          </w:tcPr>
          <w:p w14:paraId="402E2F03" w14:textId="77777777" w:rsidR="00835192" w:rsidRPr="00FF756A" w:rsidRDefault="00835192" w:rsidP="00835192">
            <w:pPr>
              <w:spacing w:before="20" w:after="20" w:line="240" w:lineRule="auto"/>
              <w:rPr>
                <w:i/>
                <w:iCs/>
                <w:sz w:val="20"/>
                <w:szCs w:val="20"/>
              </w:rPr>
            </w:pPr>
            <w:r w:rsidRPr="00FF756A">
              <w:rPr>
                <w:i/>
                <w:iCs/>
                <w:sz w:val="20"/>
                <w:szCs w:val="20"/>
              </w:rPr>
              <w:t xml:space="preserve">Rinovimi i rrjetit të shpërndarjes - investime në infrastrukturën teknike </w:t>
            </w:r>
          </w:p>
          <w:p w14:paraId="46CE5EA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Rikonstruktimi dhe rehabilitimi i nënstacioneve elektrike</w:t>
            </w:r>
          </w:p>
          <w:p w14:paraId="76122154"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Rikonstruktimi i linjave të transmetimit të energjisë elektrike</w:t>
            </w:r>
          </w:p>
          <w:p w14:paraId="30958C9A" w14:textId="5AAED59D" w:rsidR="00835192" w:rsidRPr="00FF756A" w:rsidRDefault="003D0E2D" w:rsidP="008639B2">
            <w:pPr>
              <w:numPr>
                <w:ilvl w:val="0"/>
                <w:numId w:val="71"/>
              </w:numPr>
              <w:spacing w:before="20" w:after="20" w:line="240" w:lineRule="auto"/>
              <w:contextualSpacing/>
              <w:rPr>
                <w:i/>
                <w:iCs/>
                <w:sz w:val="20"/>
                <w:szCs w:val="20"/>
              </w:rPr>
            </w:pPr>
            <w:r w:rsidRPr="00FF756A">
              <w:rPr>
                <w:i/>
                <w:iCs/>
                <w:sz w:val="20"/>
                <w:szCs w:val="20"/>
              </w:rPr>
              <w:t>Zba</w:t>
            </w:r>
            <w:r w:rsidR="00296A04" w:rsidRPr="00FF756A">
              <w:rPr>
                <w:i/>
                <w:iCs/>
                <w:sz w:val="20"/>
                <w:szCs w:val="20"/>
              </w:rPr>
              <w:t xml:space="preserve">timi </w:t>
            </w:r>
            <w:r w:rsidR="00835192" w:rsidRPr="00FF756A">
              <w:rPr>
                <w:i/>
                <w:iCs/>
                <w:sz w:val="20"/>
                <w:szCs w:val="20"/>
              </w:rPr>
              <w:t xml:space="preserve">i Sistemit të Analizimit të Rrjetit nëpërmjet </w:t>
            </w:r>
            <w:bookmarkStart w:id="373" w:name="_Hlk75526899"/>
            <w:r w:rsidR="00835192" w:rsidRPr="00FF756A">
              <w:rPr>
                <w:i/>
                <w:iCs/>
                <w:sz w:val="20"/>
                <w:szCs w:val="20"/>
              </w:rPr>
              <w:t>PMU-së (Njësi matëse fazorësh).</w:t>
            </w:r>
            <w:bookmarkEnd w:id="373"/>
            <w:r w:rsidR="00835192" w:rsidRPr="00FF756A">
              <w:rPr>
                <w:i/>
                <w:iCs/>
                <w:sz w:val="20"/>
                <w:szCs w:val="20"/>
              </w:rPr>
              <w:t xml:space="preserve"> </w:t>
            </w:r>
          </w:p>
          <w:p w14:paraId="743FB7CC"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Krijimi i nyjave të reja të konjeksionit</w:t>
            </w:r>
          </w:p>
          <w:p w14:paraId="4B7B14BB" w14:textId="77777777" w:rsidR="00835192" w:rsidRPr="00FF756A" w:rsidRDefault="00835192" w:rsidP="00835192">
            <w:pPr>
              <w:spacing w:before="20" w:after="20" w:line="240" w:lineRule="auto"/>
              <w:rPr>
                <w:i/>
                <w:iCs/>
                <w:sz w:val="20"/>
                <w:szCs w:val="20"/>
              </w:rPr>
            </w:pPr>
            <w:r w:rsidRPr="00FF756A">
              <w:rPr>
                <w:i/>
                <w:iCs/>
                <w:sz w:val="20"/>
                <w:szCs w:val="20"/>
              </w:rPr>
              <w:t xml:space="preserve">Menaxhimi i infrastrukturës teknike </w:t>
            </w:r>
          </w:p>
          <w:p w14:paraId="4BD71B1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Përmirësimi i procesit të menaxhimit, kontrollit dhe matjes</w:t>
            </w:r>
          </w:p>
          <w:p w14:paraId="1636C39B" w14:textId="0045E0F9"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Aksesi dhe garantimi i transmetimit dhe shpërndarjes së energjisë elektrike nga burimet e rinovueshme në rrjetin e transmetimit</w:t>
            </w:r>
          </w:p>
        </w:tc>
        <w:tc>
          <w:tcPr>
            <w:tcW w:w="850" w:type="dxa"/>
          </w:tcPr>
          <w:p w14:paraId="4DFAD604" w14:textId="77777777" w:rsidR="00835192" w:rsidRPr="00FF756A" w:rsidRDefault="00835192" w:rsidP="00835192">
            <w:pPr>
              <w:spacing w:before="20" w:after="20" w:line="240" w:lineRule="auto"/>
              <w:rPr>
                <w:i/>
                <w:iCs/>
                <w:sz w:val="20"/>
                <w:szCs w:val="20"/>
              </w:rPr>
            </w:pPr>
            <w:r w:rsidRPr="00FF756A">
              <w:rPr>
                <w:i/>
                <w:iCs/>
                <w:sz w:val="20"/>
                <w:szCs w:val="20"/>
              </w:rPr>
              <w:t xml:space="preserve">Nga viti 2017 e në vazhdim </w:t>
            </w:r>
          </w:p>
        </w:tc>
      </w:tr>
      <w:tr w:rsidR="00835192" w:rsidRPr="00FF756A" w14:paraId="0C85DB92" w14:textId="77777777" w:rsidTr="004A3257">
        <w:trPr>
          <w:trHeight w:val="20"/>
        </w:trPr>
        <w:tc>
          <w:tcPr>
            <w:tcW w:w="2200" w:type="dxa"/>
          </w:tcPr>
          <w:p w14:paraId="053B968C"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2" w:type="dxa"/>
            <w:gridSpan w:val="5"/>
          </w:tcPr>
          <w:p w14:paraId="5A0B2A29" w14:textId="13D46A61" w:rsidR="00835192" w:rsidRPr="00FF756A" w:rsidRDefault="00835192" w:rsidP="00835192">
            <w:pPr>
              <w:spacing w:before="20" w:after="20" w:line="240" w:lineRule="auto"/>
              <w:rPr>
                <w:i/>
                <w:iCs/>
                <w:sz w:val="20"/>
                <w:szCs w:val="20"/>
              </w:rPr>
            </w:pPr>
            <w:r w:rsidRPr="00FF756A">
              <w:rPr>
                <w:i/>
                <w:iCs/>
                <w:sz w:val="20"/>
                <w:szCs w:val="20"/>
              </w:rPr>
              <w:t xml:space="preserve">Sipas disa vlerësimeve paraprake, </w:t>
            </w:r>
            <w:r w:rsidR="00296A04" w:rsidRPr="00FF756A">
              <w:rPr>
                <w:i/>
                <w:iCs/>
                <w:sz w:val="20"/>
                <w:szCs w:val="20"/>
              </w:rPr>
              <w:t xml:space="preserve">nevojiten rreth 40 deri në 80 milionë euro investime </w:t>
            </w:r>
            <w:r w:rsidRPr="00FF756A">
              <w:rPr>
                <w:i/>
                <w:iCs/>
                <w:sz w:val="20"/>
                <w:szCs w:val="20"/>
              </w:rPr>
              <w:t>për rinovimin e rrjetit të shpërndarjes për një përballim më të mirë të injektimit të ndryshueshëm të energjisë së rinovueshme në terma afatshkurtër.</w:t>
            </w:r>
          </w:p>
          <w:p w14:paraId="795D54A9" w14:textId="77777777" w:rsidR="00835192" w:rsidRPr="00FF756A" w:rsidRDefault="00835192" w:rsidP="00835192">
            <w:pPr>
              <w:spacing w:before="20" w:after="20" w:line="240" w:lineRule="auto"/>
              <w:rPr>
                <w:i/>
                <w:iCs/>
                <w:sz w:val="20"/>
                <w:szCs w:val="20"/>
              </w:rPr>
            </w:pPr>
            <w:r w:rsidRPr="00FF756A">
              <w:rPr>
                <w:i/>
                <w:iCs/>
                <w:sz w:val="20"/>
                <w:szCs w:val="20"/>
              </w:rPr>
              <w:t>Buxheti përfshihet në planet e investimeve të shoqërive të transmetimit dhe shpërndarjes. Nuk është parashikuar buxhet i veçantë.</w:t>
            </w:r>
          </w:p>
        </w:tc>
      </w:tr>
      <w:tr w:rsidR="00835192" w:rsidRPr="00FF756A" w14:paraId="1FC2C3B1" w14:textId="77777777" w:rsidTr="004A3257">
        <w:trPr>
          <w:trHeight w:val="20"/>
        </w:trPr>
        <w:tc>
          <w:tcPr>
            <w:tcW w:w="2200" w:type="dxa"/>
          </w:tcPr>
          <w:p w14:paraId="06453367"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27D1B536"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2" w:type="dxa"/>
            <w:gridSpan w:val="5"/>
          </w:tcPr>
          <w:p w14:paraId="33219456" w14:textId="77777777" w:rsidR="00835192" w:rsidRPr="00FF756A" w:rsidRDefault="00835192" w:rsidP="00835192">
            <w:pPr>
              <w:spacing w:before="20" w:after="20" w:line="240" w:lineRule="auto"/>
              <w:rPr>
                <w:i/>
                <w:iCs/>
                <w:sz w:val="20"/>
                <w:szCs w:val="20"/>
              </w:rPr>
            </w:pPr>
            <w:r w:rsidRPr="00FF756A">
              <w:rPr>
                <w:i/>
                <w:iCs/>
                <w:sz w:val="20"/>
                <w:szCs w:val="20"/>
              </w:rPr>
              <w:t>Këshilli i Ministrave; Enti Rregullator i Energjisë</w:t>
            </w:r>
          </w:p>
          <w:p w14:paraId="2A44782B"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Enti Rregullator i Energjisë)</w:t>
            </w:r>
          </w:p>
        </w:tc>
      </w:tr>
      <w:tr w:rsidR="00835192" w:rsidRPr="00FF756A" w14:paraId="428D06EF" w14:textId="77777777" w:rsidTr="004A3257">
        <w:trPr>
          <w:trHeight w:val="20"/>
        </w:trPr>
        <w:tc>
          <w:tcPr>
            <w:tcW w:w="2200" w:type="dxa"/>
          </w:tcPr>
          <w:p w14:paraId="0DDA2E60"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2" w:type="dxa"/>
            <w:gridSpan w:val="5"/>
          </w:tcPr>
          <w:p w14:paraId="0631E0E3" w14:textId="77777777" w:rsidR="00835192" w:rsidRPr="00FF756A" w:rsidRDefault="00835192" w:rsidP="00835192">
            <w:pPr>
              <w:spacing w:before="20" w:after="20" w:line="240" w:lineRule="auto"/>
              <w:rPr>
                <w:i/>
                <w:iCs/>
                <w:sz w:val="20"/>
                <w:szCs w:val="20"/>
              </w:rPr>
            </w:pPr>
            <w:r w:rsidRPr="00FF756A">
              <w:rPr>
                <w:i/>
                <w:iCs/>
                <w:sz w:val="20"/>
                <w:szCs w:val="20"/>
              </w:rPr>
              <w:t xml:space="preserve">Siguria energjetike </w:t>
            </w:r>
          </w:p>
        </w:tc>
      </w:tr>
    </w:tbl>
    <w:p w14:paraId="374FC795"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1277"/>
        <w:gridCol w:w="598"/>
        <w:gridCol w:w="427"/>
        <w:gridCol w:w="3712"/>
        <w:gridCol w:w="850"/>
      </w:tblGrid>
      <w:tr w:rsidR="00835192" w:rsidRPr="00FF756A" w14:paraId="5BB0C75B" w14:textId="77777777" w:rsidTr="004A3257">
        <w:trPr>
          <w:trHeight w:val="20"/>
        </w:trPr>
        <w:tc>
          <w:tcPr>
            <w:tcW w:w="4506" w:type="dxa"/>
            <w:gridSpan w:val="4"/>
            <w:shd w:val="clear" w:color="auto" w:fill="D9E2F3" w:themeFill="accent1" w:themeFillTint="33"/>
          </w:tcPr>
          <w:p w14:paraId="0AA860EB"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Dimensioni i energjisë</w:t>
            </w:r>
          </w:p>
        </w:tc>
        <w:tc>
          <w:tcPr>
            <w:tcW w:w="4566" w:type="dxa"/>
            <w:gridSpan w:val="2"/>
            <w:shd w:val="clear" w:color="auto" w:fill="D9E2F3" w:themeFill="accent1" w:themeFillTint="33"/>
          </w:tcPr>
          <w:p w14:paraId="789ADD47" w14:textId="77777777" w:rsidR="00835192" w:rsidRPr="00FF756A" w:rsidRDefault="00835192" w:rsidP="008639B2">
            <w:pPr>
              <w:numPr>
                <w:ilvl w:val="0"/>
                <w:numId w:val="89"/>
              </w:numPr>
              <w:spacing w:before="20" w:after="20" w:line="240" w:lineRule="auto"/>
              <w:contextualSpacing/>
              <w:rPr>
                <w:i/>
                <w:iCs/>
                <w:sz w:val="20"/>
                <w:szCs w:val="20"/>
              </w:rPr>
            </w:pPr>
            <w:r w:rsidRPr="00FF756A">
              <w:rPr>
                <w:i/>
                <w:iCs/>
                <w:sz w:val="20"/>
                <w:szCs w:val="20"/>
              </w:rPr>
              <w:t>Dekarbonizimi</w:t>
            </w:r>
          </w:p>
          <w:p w14:paraId="6827D8B0" w14:textId="5701CE60" w:rsidR="00835192" w:rsidRPr="00FF756A" w:rsidRDefault="00835192" w:rsidP="004A3257">
            <w:pPr>
              <w:spacing w:before="20" w:after="20" w:line="240" w:lineRule="auto"/>
              <w:contextualSpacing/>
              <w:rPr>
                <w:i/>
                <w:iCs/>
                <w:sz w:val="20"/>
                <w:szCs w:val="20"/>
              </w:rPr>
            </w:pPr>
            <w:r w:rsidRPr="00FF756A">
              <w:rPr>
                <w:i/>
                <w:iCs/>
                <w:sz w:val="20"/>
                <w:szCs w:val="20"/>
              </w:rPr>
              <w:t>Energjia e rinovueshme</w:t>
            </w:r>
          </w:p>
        </w:tc>
      </w:tr>
      <w:tr w:rsidR="00835192" w:rsidRPr="00FF756A" w14:paraId="3C6366E2" w14:textId="77777777" w:rsidTr="004A3257">
        <w:trPr>
          <w:trHeight w:val="20"/>
        </w:trPr>
        <w:tc>
          <w:tcPr>
            <w:tcW w:w="4078" w:type="dxa"/>
            <w:gridSpan w:val="3"/>
            <w:shd w:val="clear" w:color="auto" w:fill="D9E2F3" w:themeFill="accent1" w:themeFillTint="33"/>
          </w:tcPr>
          <w:p w14:paraId="27DCCBB9"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94" w:type="dxa"/>
            <w:gridSpan w:val="3"/>
            <w:shd w:val="clear" w:color="auto" w:fill="D9E2F3" w:themeFill="accent1" w:themeFillTint="33"/>
          </w:tcPr>
          <w:p w14:paraId="5C802DA1" w14:textId="77777777" w:rsidR="00835192" w:rsidRPr="00FF756A" w:rsidRDefault="00835192" w:rsidP="00835192">
            <w:pPr>
              <w:spacing w:before="20" w:after="20" w:line="240" w:lineRule="auto"/>
              <w:rPr>
                <w:i/>
                <w:iCs/>
                <w:sz w:val="20"/>
                <w:szCs w:val="20"/>
              </w:rPr>
            </w:pPr>
            <w:r w:rsidRPr="00FF756A">
              <w:rPr>
                <w:i/>
                <w:iCs/>
                <w:sz w:val="20"/>
                <w:szCs w:val="20"/>
              </w:rPr>
              <w:t>Energjia elektrike, ngrohja dhe ftohja</w:t>
            </w:r>
          </w:p>
        </w:tc>
      </w:tr>
      <w:tr w:rsidR="00835192" w:rsidRPr="00FF756A" w14:paraId="7DDC0059" w14:textId="77777777" w:rsidTr="004A3257">
        <w:trPr>
          <w:trHeight w:val="20"/>
        </w:trPr>
        <w:tc>
          <w:tcPr>
            <w:tcW w:w="3479" w:type="dxa"/>
            <w:gridSpan w:val="2"/>
          </w:tcPr>
          <w:p w14:paraId="4C6ECD6F"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51CBF34A"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3" w:type="dxa"/>
            <w:gridSpan w:val="4"/>
          </w:tcPr>
          <w:p w14:paraId="1841412A" w14:textId="77777777" w:rsidR="00835192" w:rsidRPr="00FF756A" w:rsidRDefault="00835192" w:rsidP="00835192">
            <w:pPr>
              <w:spacing w:before="20" w:after="20" w:line="240" w:lineRule="auto"/>
              <w:rPr>
                <w:i/>
                <w:iCs/>
                <w:sz w:val="20"/>
                <w:szCs w:val="20"/>
              </w:rPr>
            </w:pPr>
            <w:r w:rsidRPr="00FF756A">
              <w:rPr>
                <w:i/>
                <w:iCs/>
                <w:sz w:val="20"/>
                <w:szCs w:val="20"/>
              </w:rPr>
              <w:t>WEM</w:t>
            </w:r>
          </w:p>
          <w:p w14:paraId="1A6DB596"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5B91FD30" w14:textId="77777777" w:rsidTr="004A3257">
        <w:trPr>
          <w:trHeight w:val="20"/>
        </w:trPr>
        <w:tc>
          <w:tcPr>
            <w:tcW w:w="2200" w:type="dxa"/>
          </w:tcPr>
          <w:p w14:paraId="7C0653C2"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19C83C61"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2" w:type="dxa"/>
            <w:gridSpan w:val="5"/>
          </w:tcPr>
          <w:p w14:paraId="31C1154E" w14:textId="77777777" w:rsidR="00835192" w:rsidRPr="00FF756A" w:rsidRDefault="00835192" w:rsidP="00835192">
            <w:pPr>
              <w:spacing w:before="20" w:after="20" w:line="240" w:lineRule="auto"/>
              <w:rPr>
                <w:i/>
                <w:iCs/>
                <w:sz w:val="20"/>
                <w:szCs w:val="20"/>
              </w:rPr>
            </w:pPr>
            <w:r w:rsidRPr="00FF756A">
              <w:rPr>
                <w:i/>
                <w:iCs/>
                <w:sz w:val="20"/>
                <w:szCs w:val="20"/>
              </w:rPr>
              <w:t>Lehtësimi i lidhjes rregullatore dhe fizike me rrjetin elektrik</w:t>
            </w:r>
          </w:p>
          <w:p w14:paraId="575B106D" w14:textId="77777777" w:rsidR="00835192" w:rsidRPr="00FF756A" w:rsidRDefault="00835192" w:rsidP="00835192">
            <w:pPr>
              <w:spacing w:before="20" w:after="20" w:line="240" w:lineRule="auto"/>
              <w:rPr>
                <w:i/>
                <w:iCs/>
                <w:sz w:val="20"/>
                <w:szCs w:val="20"/>
              </w:rPr>
            </w:pPr>
            <w:r w:rsidRPr="00FF756A">
              <w:rPr>
                <w:i/>
                <w:iCs/>
                <w:sz w:val="20"/>
                <w:szCs w:val="20"/>
              </w:rPr>
              <w:t>(R-E6)</w:t>
            </w:r>
          </w:p>
        </w:tc>
      </w:tr>
      <w:tr w:rsidR="00835192" w:rsidRPr="00FF756A" w14:paraId="15F552B5" w14:textId="77777777" w:rsidTr="004A3257">
        <w:trPr>
          <w:trHeight w:val="20"/>
        </w:trPr>
        <w:tc>
          <w:tcPr>
            <w:tcW w:w="2200" w:type="dxa"/>
          </w:tcPr>
          <w:p w14:paraId="0AAB013E"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2" w:type="dxa"/>
            <w:gridSpan w:val="5"/>
          </w:tcPr>
          <w:p w14:paraId="5D5B6317" w14:textId="77777777" w:rsidR="00835192" w:rsidRPr="00FF756A" w:rsidRDefault="00835192" w:rsidP="00835192">
            <w:pPr>
              <w:spacing w:before="20" w:after="20" w:line="240" w:lineRule="auto"/>
              <w:rPr>
                <w:i/>
                <w:iCs/>
                <w:sz w:val="20"/>
                <w:szCs w:val="20"/>
              </w:rPr>
            </w:pPr>
            <w:r w:rsidRPr="00FF756A">
              <w:rPr>
                <w:i/>
                <w:iCs/>
                <w:sz w:val="20"/>
                <w:szCs w:val="20"/>
              </w:rPr>
              <w:t>2017 e në vazhdim</w:t>
            </w:r>
          </w:p>
        </w:tc>
      </w:tr>
      <w:tr w:rsidR="00835192" w:rsidRPr="00FF756A" w14:paraId="4561758D" w14:textId="77777777" w:rsidTr="004A3257">
        <w:trPr>
          <w:trHeight w:val="20"/>
        </w:trPr>
        <w:tc>
          <w:tcPr>
            <w:tcW w:w="2200" w:type="dxa"/>
          </w:tcPr>
          <w:p w14:paraId="7F72AC10"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2" w:type="dxa"/>
            <w:gridSpan w:val="5"/>
          </w:tcPr>
          <w:p w14:paraId="6D3FD87F" w14:textId="77777777" w:rsidR="00835192" w:rsidRPr="00FF756A" w:rsidRDefault="00835192" w:rsidP="00835192">
            <w:pPr>
              <w:spacing w:before="20" w:after="20" w:line="240" w:lineRule="auto"/>
              <w:rPr>
                <w:i/>
                <w:iCs/>
                <w:sz w:val="20"/>
                <w:szCs w:val="20"/>
              </w:rPr>
            </w:pPr>
            <w:r w:rsidRPr="00FF756A">
              <w:rPr>
                <w:i/>
                <w:iCs/>
                <w:sz w:val="20"/>
                <w:szCs w:val="20"/>
              </w:rPr>
              <w:t>VKM nr. 580, datë 28.8.2019, “Për miratimin e planit të konsoliduar kombëtar të veprimit për burimet e rinovueshme të energjisë, 2019-2020”; Ligji nr. 24/2023, datë 23.03.2023, “Për nxitjen e përdorimit të energjisë nga burimet e rinovueshme”; Ligji nr. 43/2015, datë 30.4.2015, “Për sektorin e energjisë elektrike”, i ndryshuar</w:t>
            </w:r>
          </w:p>
        </w:tc>
      </w:tr>
      <w:tr w:rsidR="00835192" w:rsidRPr="00FF756A" w14:paraId="4C6701FE" w14:textId="77777777" w:rsidTr="004A3257">
        <w:trPr>
          <w:trHeight w:val="20"/>
        </w:trPr>
        <w:tc>
          <w:tcPr>
            <w:tcW w:w="2200" w:type="dxa"/>
          </w:tcPr>
          <w:p w14:paraId="46E76DFA"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2" w:type="dxa"/>
            <w:gridSpan w:val="5"/>
          </w:tcPr>
          <w:p w14:paraId="3772DBCC" w14:textId="77777777" w:rsidR="00835192" w:rsidRPr="00FF756A" w:rsidRDefault="00835192" w:rsidP="00835192">
            <w:pPr>
              <w:spacing w:before="20" w:after="20" w:line="240" w:lineRule="auto"/>
              <w:rPr>
                <w:i/>
                <w:iCs/>
                <w:sz w:val="20"/>
                <w:szCs w:val="20"/>
              </w:rPr>
            </w:pPr>
            <w:r w:rsidRPr="00FF756A">
              <w:rPr>
                <w:i/>
                <w:iCs/>
                <w:sz w:val="20"/>
                <w:szCs w:val="20"/>
              </w:rPr>
              <w:t>Nuk disponohet informacion në lidhje me masat e marra deri më sot</w:t>
            </w:r>
          </w:p>
        </w:tc>
      </w:tr>
      <w:tr w:rsidR="00835192" w:rsidRPr="00FF756A" w14:paraId="388C6D68" w14:textId="77777777" w:rsidTr="004A3257">
        <w:trPr>
          <w:trHeight w:val="20"/>
        </w:trPr>
        <w:tc>
          <w:tcPr>
            <w:tcW w:w="2200" w:type="dxa"/>
          </w:tcPr>
          <w:p w14:paraId="26C441CB"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2" w:type="dxa"/>
            <w:gridSpan w:val="5"/>
          </w:tcPr>
          <w:p w14:paraId="521CDE63" w14:textId="77777777" w:rsidR="00835192" w:rsidRPr="00FF756A" w:rsidRDefault="00835192" w:rsidP="00835192">
            <w:pPr>
              <w:spacing w:before="20" w:after="20" w:line="240" w:lineRule="auto"/>
              <w:rPr>
                <w:i/>
                <w:iCs/>
                <w:sz w:val="20"/>
                <w:szCs w:val="20"/>
              </w:rPr>
            </w:pPr>
            <w:r w:rsidRPr="00FF756A">
              <w:rPr>
                <w:i/>
                <w:iCs/>
                <w:sz w:val="20"/>
                <w:szCs w:val="20"/>
              </w:rPr>
              <w:t>Lehtësimi i rritjes së kapacitetit të ri të energjisë së rinovueshme</w:t>
            </w:r>
          </w:p>
        </w:tc>
      </w:tr>
      <w:tr w:rsidR="00835192" w:rsidRPr="00FF756A" w14:paraId="03A48880" w14:textId="77777777" w:rsidTr="004A3257">
        <w:trPr>
          <w:trHeight w:val="20"/>
        </w:trPr>
        <w:tc>
          <w:tcPr>
            <w:tcW w:w="2200" w:type="dxa"/>
          </w:tcPr>
          <w:p w14:paraId="7E4E08C4"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2" w:type="dxa"/>
            <w:gridSpan w:val="5"/>
          </w:tcPr>
          <w:p w14:paraId="12B34D2E" w14:textId="77777777" w:rsidR="00835192" w:rsidRPr="00FF756A" w:rsidRDefault="00835192" w:rsidP="00835192">
            <w:pPr>
              <w:spacing w:before="20" w:after="20" w:line="240" w:lineRule="auto"/>
              <w:rPr>
                <w:i/>
                <w:iCs/>
                <w:sz w:val="20"/>
                <w:szCs w:val="20"/>
              </w:rPr>
            </w:pPr>
            <w:r w:rsidRPr="00FF756A">
              <w:rPr>
                <w:i/>
                <w:iCs/>
                <w:sz w:val="20"/>
                <w:szCs w:val="20"/>
              </w:rPr>
              <w:t>Operatorët e sistemit të transmetimit dhe shpërndarjes, me kërkesë të një prodhuesi të energjisë nga burime të rinovueshme dhe në përputhje me kodet dhe rregulloret e miratuara nga ERE, do të propozojnë si pikë lidhjeje me rrjetin e tyre pikën që përmbush kushtet më të favorshme për prodhuesin e energjisë së rinovueshme për nga pikëpamja e kostos dhe distancës me rrjetin.</w:t>
            </w:r>
          </w:p>
        </w:tc>
      </w:tr>
      <w:tr w:rsidR="00835192" w:rsidRPr="00FF756A" w14:paraId="0D379016" w14:textId="77777777" w:rsidTr="004A3257">
        <w:trPr>
          <w:trHeight w:val="20"/>
        </w:trPr>
        <w:tc>
          <w:tcPr>
            <w:tcW w:w="2200" w:type="dxa"/>
          </w:tcPr>
          <w:p w14:paraId="5A153F1C"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2" w:type="dxa"/>
            <w:gridSpan w:val="4"/>
          </w:tcPr>
          <w:p w14:paraId="7C23003E" w14:textId="77777777" w:rsidR="00835192" w:rsidRPr="00FF756A" w:rsidRDefault="00835192" w:rsidP="00835192">
            <w:pPr>
              <w:spacing w:before="20" w:after="20" w:line="240" w:lineRule="auto"/>
              <w:rPr>
                <w:i/>
                <w:iCs/>
                <w:sz w:val="20"/>
                <w:szCs w:val="20"/>
              </w:rPr>
            </w:pPr>
            <w:r w:rsidRPr="00FF756A">
              <w:rPr>
                <w:i/>
                <w:iCs/>
                <w:sz w:val="20"/>
                <w:szCs w:val="20"/>
              </w:rPr>
              <w:t>Të gjitha masat rregullatore të nevojshme për arritjen e objektivit.</w:t>
            </w:r>
          </w:p>
        </w:tc>
        <w:tc>
          <w:tcPr>
            <w:tcW w:w="850" w:type="dxa"/>
          </w:tcPr>
          <w:p w14:paraId="65CD3A04" w14:textId="77777777" w:rsidR="00835192" w:rsidRPr="00FF756A" w:rsidRDefault="00835192" w:rsidP="00835192">
            <w:pPr>
              <w:spacing w:before="20" w:after="20" w:line="240" w:lineRule="auto"/>
              <w:rPr>
                <w:i/>
                <w:iCs/>
                <w:sz w:val="20"/>
                <w:szCs w:val="20"/>
              </w:rPr>
            </w:pPr>
            <w:r w:rsidRPr="00FF756A">
              <w:rPr>
                <w:i/>
                <w:iCs/>
                <w:sz w:val="20"/>
                <w:szCs w:val="20"/>
              </w:rPr>
              <w:t>brenda vitit 2025</w:t>
            </w:r>
          </w:p>
        </w:tc>
      </w:tr>
      <w:tr w:rsidR="00835192" w:rsidRPr="00FF756A" w14:paraId="34238B44" w14:textId="77777777" w:rsidTr="004A3257">
        <w:trPr>
          <w:trHeight w:val="20"/>
        </w:trPr>
        <w:tc>
          <w:tcPr>
            <w:tcW w:w="2200" w:type="dxa"/>
          </w:tcPr>
          <w:p w14:paraId="279F4D4C"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2" w:type="dxa"/>
            <w:gridSpan w:val="5"/>
          </w:tcPr>
          <w:p w14:paraId="25652405" w14:textId="77777777" w:rsidR="00835192" w:rsidRPr="00FF756A" w:rsidRDefault="00835192" w:rsidP="00835192">
            <w:pPr>
              <w:spacing w:before="20" w:after="20" w:line="240" w:lineRule="auto"/>
              <w:rPr>
                <w:i/>
                <w:iCs/>
                <w:sz w:val="20"/>
                <w:szCs w:val="20"/>
              </w:rPr>
            </w:pPr>
            <w:r w:rsidRPr="00FF756A">
              <w:rPr>
                <w:i/>
                <w:iCs/>
                <w:sz w:val="20"/>
                <w:szCs w:val="20"/>
              </w:rPr>
              <w:t>Nuk është parashikuar buxhet, pasi bëhet fjalë kryesisht për masa rregullatore.</w:t>
            </w:r>
          </w:p>
        </w:tc>
      </w:tr>
      <w:tr w:rsidR="00835192" w:rsidRPr="00FF756A" w14:paraId="36C1237B" w14:textId="77777777" w:rsidTr="004A3257">
        <w:trPr>
          <w:trHeight w:val="20"/>
        </w:trPr>
        <w:tc>
          <w:tcPr>
            <w:tcW w:w="2200" w:type="dxa"/>
          </w:tcPr>
          <w:p w14:paraId="52A27310"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3D2511F7"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2" w:type="dxa"/>
            <w:gridSpan w:val="5"/>
          </w:tcPr>
          <w:p w14:paraId="522F12D0" w14:textId="77777777" w:rsidR="00835192" w:rsidRPr="00FF756A" w:rsidRDefault="00835192" w:rsidP="00835192">
            <w:pPr>
              <w:spacing w:before="20" w:after="20" w:line="240" w:lineRule="auto"/>
              <w:rPr>
                <w:i/>
                <w:iCs/>
                <w:sz w:val="20"/>
                <w:szCs w:val="20"/>
              </w:rPr>
            </w:pPr>
            <w:r w:rsidRPr="00FF756A">
              <w:rPr>
                <w:i/>
                <w:iCs/>
                <w:sz w:val="20"/>
                <w:szCs w:val="20"/>
              </w:rPr>
              <w:t>Këshilli i Ministrave; Enti Rregullator i Energjisë</w:t>
            </w:r>
          </w:p>
          <w:p w14:paraId="72F1867B"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Enti Rregullator i Energjisë)</w:t>
            </w:r>
          </w:p>
        </w:tc>
      </w:tr>
      <w:tr w:rsidR="00835192" w:rsidRPr="00FF756A" w14:paraId="4A1F1FC4" w14:textId="77777777" w:rsidTr="004A3257">
        <w:trPr>
          <w:trHeight w:val="20"/>
        </w:trPr>
        <w:tc>
          <w:tcPr>
            <w:tcW w:w="2200" w:type="dxa"/>
          </w:tcPr>
          <w:p w14:paraId="2A7AF6D5"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2" w:type="dxa"/>
            <w:gridSpan w:val="5"/>
          </w:tcPr>
          <w:p w14:paraId="4A5C185A" w14:textId="77777777" w:rsidR="00835192" w:rsidRPr="00FF756A" w:rsidRDefault="00835192" w:rsidP="00835192">
            <w:pPr>
              <w:spacing w:before="20" w:after="20" w:line="240" w:lineRule="auto"/>
              <w:rPr>
                <w:i/>
                <w:iCs/>
                <w:sz w:val="20"/>
                <w:szCs w:val="20"/>
              </w:rPr>
            </w:pPr>
            <w:r w:rsidRPr="00FF756A">
              <w:rPr>
                <w:i/>
                <w:iCs/>
                <w:sz w:val="20"/>
                <w:szCs w:val="20"/>
              </w:rPr>
              <w:t xml:space="preserve">Siguria energjetike </w:t>
            </w:r>
          </w:p>
        </w:tc>
      </w:tr>
    </w:tbl>
    <w:p w14:paraId="271291B3"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1277"/>
        <w:gridCol w:w="598"/>
        <w:gridCol w:w="427"/>
        <w:gridCol w:w="3712"/>
        <w:gridCol w:w="850"/>
      </w:tblGrid>
      <w:tr w:rsidR="00835192" w:rsidRPr="00FF756A" w14:paraId="00C72252" w14:textId="77777777" w:rsidTr="004A3257">
        <w:trPr>
          <w:trHeight w:val="20"/>
        </w:trPr>
        <w:tc>
          <w:tcPr>
            <w:tcW w:w="4506" w:type="dxa"/>
            <w:gridSpan w:val="4"/>
            <w:shd w:val="clear" w:color="auto" w:fill="D9E2F3" w:themeFill="accent1" w:themeFillTint="33"/>
          </w:tcPr>
          <w:p w14:paraId="0E6C3E4C"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66" w:type="dxa"/>
            <w:gridSpan w:val="2"/>
            <w:shd w:val="clear" w:color="auto" w:fill="D9E2F3" w:themeFill="accent1" w:themeFillTint="33"/>
          </w:tcPr>
          <w:p w14:paraId="699E9AE9" w14:textId="77777777" w:rsidR="00835192" w:rsidRPr="00FF756A" w:rsidRDefault="00835192" w:rsidP="008639B2">
            <w:pPr>
              <w:numPr>
                <w:ilvl w:val="0"/>
                <w:numId w:val="91"/>
              </w:numPr>
              <w:spacing w:before="20" w:after="20" w:line="240" w:lineRule="auto"/>
              <w:contextualSpacing/>
              <w:rPr>
                <w:i/>
                <w:iCs/>
                <w:sz w:val="20"/>
                <w:szCs w:val="20"/>
              </w:rPr>
            </w:pPr>
            <w:r w:rsidRPr="00FF756A">
              <w:rPr>
                <w:i/>
                <w:iCs/>
                <w:sz w:val="20"/>
                <w:szCs w:val="20"/>
              </w:rPr>
              <w:t>Dekarbonizimi</w:t>
            </w:r>
          </w:p>
          <w:p w14:paraId="04A9CA6B" w14:textId="7B57177D" w:rsidR="00835192" w:rsidRPr="00FF756A" w:rsidRDefault="00835192" w:rsidP="004A3257">
            <w:pPr>
              <w:spacing w:before="20" w:after="20" w:line="240" w:lineRule="auto"/>
              <w:contextualSpacing/>
              <w:rPr>
                <w:i/>
                <w:iCs/>
                <w:sz w:val="20"/>
                <w:szCs w:val="20"/>
              </w:rPr>
            </w:pPr>
            <w:r w:rsidRPr="00FF756A">
              <w:rPr>
                <w:i/>
                <w:iCs/>
                <w:sz w:val="20"/>
                <w:szCs w:val="20"/>
              </w:rPr>
              <w:t>Energjia e rinovueshme</w:t>
            </w:r>
          </w:p>
        </w:tc>
      </w:tr>
      <w:tr w:rsidR="00835192" w:rsidRPr="00FF756A" w14:paraId="47EE01A0" w14:textId="77777777" w:rsidTr="004A3257">
        <w:trPr>
          <w:trHeight w:val="20"/>
        </w:trPr>
        <w:tc>
          <w:tcPr>
            <w:tcW w:w="4078" w:type="dxa"/>
            <w:gridSpan w:val="3"/>
            <w:shd w:val="clear" w:color="auto" w:fill="D9E2F3" w:themeFill="accent1" w:themeFillTint="33"/>
          </w:tcPr>
          <w:p w14:paraId="727C6726"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94" w:type="dxa"/>
            <w:gridSpan w:val="3"/>
            <w:shd w:val="clear" w:color="auto" w:fill="D9E2F3" w:themeFill="accent1" w:themeFillTint="33"/>
          </w:tcPr>
          <w:p w14:paraId="298E01F6" w14:textId="77777777" w:rsidR="00835192" w:rsidRPr="00FF756A" w:rsidRDefault="00835192" w:rsidP="00835192">
            <w:pPr>
              <w:spacing w:before="20" w:after="20" w:line="240" w:lineRule="auto"/>
              <w:rPr>
                <w:i/>
                <w:iCs/>
                <w:sz w:val="20"/>
                <w:szCs w:val="20"/>
              </w:rPr>
            </w:pPr>
            <w:r w:rsidRPr="00FF756A">
              <w:rPr>
                <w:i/>
                <w:iCs/>
                <w:sz w:val="20"/>
                <w:szCs w:val="20"/>
              </w:rPr>
              <w:t>Energjia elektrike, ngrohja dhe ftohja</w:t>
            </w:r>
          </w:p>
        </w:tc>
      </w:tr>
      <w:tr w:rsidR="00835192" w:rsidRPr="00FF756A" w14:paraId="5990C546" w14:textId="77777777" w:rsidTr="004A3257">
        <w:trPr>
          <w:trHeight w:val="20"/>
        </w:trPr>
        <w:tc>
          <w:tcPr>
            <w:tcW w:w="3479" w:type="dxa"/>
            <w:gridSpan w:val="2"/>
          </w:tcPr>
          <w:p w14:paraId="10C12700"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5D01F69A"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3" w:type="dxa"/>
            <w:gridSpan w:val="4"/>
          </w:tcPr>
          <w:p w14:paraId="2F5E565A" w14:textId="77777777" w:rsidR="00835192" w:rsidRPr="00FF756A" w:rsidRDefault="00835192" w:rsidP="00835192">
            <w:pPr>
              <w:spacing w:before="20" w:after="20" w:line="240" w:lineRule="auto"/>
              <w:rPr>
                <w:i/>
                <w:iCs/>
                <w:sz w:val="20"/>
                <w:szCs w:val="20"/>
              </w:rPr>
            </w:pPr>
            <w:r w:rsidRPr="00FF756A">
              <w:rPr>
                <w:i/>
                <w:iCs/>
                <w:sz w:val="20"/>
                <w:szCs w:val="20"/>
              </w:rPr>
              <w:t>WAM</w:t>
            </w:r>
          </w:p>
          <w:p w14:paraId="51237D75"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4331AA0D" w14:textId="77777777" w:rsidTr="004A3257">
        <w:trPr>
          <w:trHeight w:val="20"/>
        </w:trPr>
        <w:tc>
          <w:tcPr>
            <w:tcW w:w="2200" w:type="dxa"/>
          </w:tcPr>
          <w:p w14:paraId="21ECEB1E"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1904ABD4"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2" w:type="dxa"/>
            <w:gridSpan w:val="5"/>
          </w:tcPr>
          <w:p w14:paraId="634093E5" w14:textId="142A0472" w:rsidR="00835192" w:rsidRPr="00FF756A" w:rsidRDefault="00835192" w:rsidP="00835192">
            <w:pPr>
              <w:spacing w:before="20" w:after="20" w:line="240" w:lineRule="auto"/>
              <w:rPr>
                <w:i/>
                <w:iCs/>
                <w:sz w:val="20"/>
                <w:szCs w:val="20"/>
              </w:rPr>
            </w:pPr>
            <w:r w:rsidRPr="00FF756A">
              <w:rPr>
                <w:i/>
                <w:iCs/>
                <w:sz w:val="20"/>
                <w:szCs w:val="20"/>
              </w:rPr>
              <w:t xml:space="preserve">Menaxhimi i </w:t>
            </w:r>
            <w:r w:rsidR="00513D32" w:rsidRPr="00FF756A">
              <w:rPr>
                <w:i/>
                <w:iCs/>
                <w:sz w:val="20"/>
                <w:szCs w:val="20"/>
              </w:rPr>
              <w:t>anës s</w:t>
            </w:r>
            <w:r w:rsidRPr="00FF756A">
              <w:rPr>
                <w:i/>
                <w:iCs/>
                <w:sz w:val="20"/>
                <w:szCs w:val="20"/>
              </w:rPr>
              <w:t xml:space="preserve">ë kërkesës dhe sistemet e </w:t>
            </w:r>
            <w:r w:rsidR="00513D32" w:rsidRPr="00FF756A">
              <w:rPr>
                <w:i/>
                <w:iCs/>
                <w:sz w:val="20"/>
                <w:szCs w:val="20"/>
              </w:rPr>
              <w:t xml:space="preserve">ruajtjes së </w:t>
            </w:r>
            <w:r w:rsidRPr="00FF756A">
              <w:rPr>
                <w:i/>
                <w:iCs/>
                <w:sz w:val="20"/>
                <w:szCs w:val="20"/>
              </w:rPr>
              <w:t>energjisë elektrike për fleksibilitet</w:t>
            </w:r>
            <w:r w:rsidR="007040FD" w:rsidRPr="00FF756A">
              <w:rPr>
                <w:i/>
                <w:iCs/>
                <w:sz w:val="20"/>
                <w:szCs w:val="20"/>
              </w:rPr>
              <w:t xml:space="preserve">in e </w:t>
            </w:r>
            <w:r w:rsidRPr="00FF756A">
              <w:rPr>
                <w:i/>
                <w:iCs/>
                <w:sz w:val="20"/>
                <w:szCs w:val="20"/>
              </w:rPr>
              <w:t>rrjetit elektrik</w:t>
            </w:r>
          </w:p>
          <w:p w14:paraId="3F7694A7" w14:textId="77777777" w:rsidR="00835192" w:rsidRPr="00FF756A" w:rsidRDefault="00835192" w:rsidP="00835192">
            <w:pPr>
              <w:spacing w:before="20" w:after="20" w:line="240" w:lineRule="auto"/>
              <w:rPr>
                <w:i/>
                <w:iCs/>
                <w:sz w:val="20"/>
                <w:szCs w:val="20"/>
              </w:rPr>
            </w:pPr>
            <w:r w:rsidRPr="00FF756A">
              <w:rPr>
                <w:i/>
                <w:iCs/>
                <w:sz w:val="20"/>
                <w:szCs w:val="20"/>
              </w:rPr>
              <w:t>(R-E7)</w:t>
            </w:r>
          </w:p>
        </w:tc>
      </w:tr>
      <w:tr w:rsidR="00835192" w:rsidRPr="00FF756A" w14:paraId="11E03126" w14:textId="77777777" w:rsidTr="004A3257">
        <w:trPr>
          <w:trHeight w:val="20"/>
        </w:trPr>
        <w:tc>
          <w:tcPr>
            <w:tcW w:w="2200" w:type="dxa"/>
          </w:tcPr>
          <w:p w14:paraId="63559754"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2" w:type="dxa"/>
            <w:gridSpan w:val="5"/>
          </w:tcPr>
          <w:p w14:paraId="659B4CDA" w14:textId="77777777" w:rsidR="00835192" w:rsidRPr="00FF756A" w:rsidRDefault="00835192" w:rsidP="00835192">
            <w:pPr>
              <w:spacing w:before="20" w:after="20" w:line="240" w:lineRule="auto"/>
              <w:rPr>
                <w:i/>
                <w:iCs/>
                <w:sz w:val="20"/>
                <w:szCs w:val="20"/>
              </w:rPr>
            </w:pPr>
            <w:r w:rsidRPr="00FF756A">
              <w:rPr>
                <w:i/>
                <w:iCs/>
                <w:sz w:val="20"/>
                <w:szCs w:val="20"/>
              </w:rPr>
              <w:t>2025 e në vazhdim</w:t>
            </w:r>
          </w:p>
        </w:tc>
      </w:tr>
      <w:tr w:rsidR="00835192" w:rsidRPr="00FF756A" w14:paraId="34DF445F" w14:textId="77777777" w:rsidTr="004A3257">
        <w:trPr>
          <w:trHeight w:val="20"/>
        </w:trPr>
        <w:tc>
          <w:tcPr>
            <w:tcW w:w="2200" w:type="dxa"/>
          </w:tcPr>
          <w:p w14:paraId="60CA2C22"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2" w:type="dxa"/>
            <w:gridSpan w:val="5"/>
          </w:tcPr>
          <w:p w14:paraId="470C106F" w14:textId="77777777" w:rsidR="00835192" w:rsidRPr="00FF756A" w:rsidRDefault="00835192" w:rsidP="00835192">
            <w:pPr>
              <w:spacing w:before="20" w:after="20" w:line="240" w:lineRule="auto"/>
              <w:rPr>
                <w:i/>
                <w:iCs/>
                <w:sz w:val="20"/>
                <w:szCs w:val="20"/>
              </w:rPr>
            </w:pPr>
            <w:r w:rsidRPr="00FF756A">
              <w:rPr>
                <w:i/>
                <w:iCs/>
                <w:sz w:val="20"/>
                <w:szCs w:val="20"/>
              </w:rPr>
              <w:t>Ligji nr. 24/2023, datë 23.03.2023, “Për nxitjen e përdorimit të energjisë nga burimet e rinovueshme”; Ligji nr. 43/2015, datë 30.4.2015, “Për sektorin e energjisë elektrike”, i ndryshuar</w:t>
            </w:r>
          </w:p>
        </w:tc>
      </w:tr>
      <w:tr w:rsidR="00835192" w:rsidRPr="00FF756A" w14:paraId="39A7F369" w14:textId="77777777" w:rsidTr="004A3257">
        <w:trPr>
          <w:trHeight w:val="20"/>
        </w:trPr>
        <w:tc>
          <w:tcPr>
            <w:tcW w:w="2200" w:type="dxa"/>
          </w:tcPr>
          <w:p w14:paraId="744EC660"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2" w:type="dxa"/>
            <w:gridSpan w:val="5"/>
          </w:tcPr>
          <w:p w14:paraId="0D1D573A" w14:textId="77777777" w:rsidR="00835192" w:rsidRPr="00FF756A" w:rsidRDefault="00835192" w:rsidP="00835192">
            <w:pPr>
              <w:spacing w:before="20" w:after="20" w:line="240" w:lineRule="auto"/>
              <w:rPr>
                <w:i/>
                <w:iCs/>
                <w:sz w:val="20"/>
                <w:szCs w:val="20"/>
              </w:rPr>
            </w:pPr>
            <w:r w:rsidRPr="00FF756A">
              <w:rPr>
                <w:i/>
                <w:iCs/>
                <w:sz w:val="20"/>
                <w:szCs w:val="20"/>
              </w:rPr>
              <w:t>Asnjë masë e marrë deri më tani</w:t>
            </w:r>
          </w:p>
        </w:tc>
      </w:tr>
      <w:tr w:rsidR="00835192" w:rsidRPr="00FF756A" w14:paraId="78466CA8" w14:textId="77777777" w:rsidTr="004A3257">
        <w:trPr>
          <w:trHeight w:val="20"/>
        </w:trPr>
        <w:tc>
          <w:tcPr>
            <w:tcW w:w="2200" w:type="dxa"/>
          </w:tcPr>
          <w:p w14:paraId="7B31C47B"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2" w:type="dxa"/>
            <w:gridSpan w:val="5"/>
          </w:tcPr>
          <w:p w14:paraId="3A0495D4" w14:textId="4046929E" w:rsidR="007E7656" w:rsidRPr="00FF756A" w:rsidRDefault="007E7656" w:rsidP="00835192">
            <w:pPr>
              <w:spacing w:before="20" w:after="20" w:line="240" w:lineRule="auto"/>
              <w:rPr>
                <w:i/>
                <w:iCs/>
                <w:sz w:val="20"/>
                <w:szCs w:val="20"/>
              </w:rPr>
            </w:pPr>
            <w:r w:rsidRPr="00FF756A">
              <w:rPr>
                <w:i/>
                <w:iCs/>
                <w:sz w:val="20"/>
                <w:szCs w:val="20"/>
              </w:rPr>
              <w:t>Arritja e një operativiteti më të lartë të rrjetit të shpërndarjes për të mundësuar integrimin e një kapaciteti më të madh të burimeve të rinovueshme të shpërndara.</w:t>
            </w:r>
          </w:p>
          <w:p w14:paraId="5033D890" w14:textId="60CBB786" w:rsidR="00835192" w:rsidRPr="00FF756A" w:rsidRDefault="008865C1" w:rsidP="00835192">
            <w:pPr>
              <w:spacing w:before="20" w:after="20" w:line="240" w:lineRule="auto"/>
              <w:rPr>
                <w:i/>
                <w:iCs/>
                <w:sz w:val="20"/>
                <w:szCs w:val="20"/>
              </w:rPr>
            </w:pPr>
            <w:r w:rsidRPr="00FF756A">
              <w:rPr>
                <w:i/>
                <w:iCs/>
                <w:sz w:val="20"/>
                <w:szCs w:val="20"/>
              </w:rPr>
              <w:t>Shfrytëzimi i</w:t>
            </w:r>
            <w:r w:rsidR="00835192" w:rsidRPr="00FF756A">
              <w:rPr>
                <w:i/>
                <w:iCs/>
                <w:sz w:val="20"/>
                <w:szCs w:val="20"/>
              </w:rPr>
              <w:t xml:space="preserve"> ndërtesave, duke përfshirë stacionet e karikimit për automjetet elektrike, si një rezervë fleksib</w:t>
            </w:r>
            <w:r w:rsidR="000D1D81" w:rsidRPr="00FF756A">
              <w:rPr>
                <w:i/>
                <w:iCs/>
                <w:sz w:val="20"/>
                <w:szCs w:val="20"/>
              </w:rPr>
              <w:t xml:space="preserve">iliteti </w:t>
            </w:r>
            <w:r w:rsidR="00835192" w:rsidRPr="00FF756A">
              <w:rPr>
                <w:i/>
                <w:iCs/>
                <w:sz w:val="20"/>
                <w:szCs w:val="20"/>
              </w:rPr>
              <w:t xml:space="preserve">për rrjetin elektrik </w:t>
            </w:r>
          </w:p>
          <w:p w14:paraId="7007DA16" w14:textId="77777777" w:rsidR="00835192" w:rsidRPr="00FF756A" w:rsidRDefault="00835192" w:rsidP="00835192">
            <w:pPr>
              <w:spacing w:before="20" w:after="20" w:line="240" w:lineRule="auto"/>
              <w:rPr>
                <w:i/>
                <w:iCs/>
                <w:sz w:val="20"/>
                <w:szCs w:val="20"/>
              </w:rPr>
            </w:pPr>
            <w:r w:rsidRPr="00FF756A">
              <w:rPr>
                <w:i/>
                <w:iCs/>
                <w:sz w:val="20"/>
                <w:szCs w:val="20"/>
              </w:rPr>
              <w:t>Zbatimi i projekteve për ruajtjen e energjisë elektrike.</w:t>
            </w:r>
          </w:p>
        </w:tc>
      </w:tr>
      <w:tr w:rsidR="00835192" w:rsidRPr="00FF756A" w14:paraId="7B76B240" w14:textId="77777777" w:rsidTr="004A3257">
        <w:trPr>
          <w:trHeight w:val="20"/>
        </w:trPr>
        <w:tc>
          <w:tcPr>
            <w:tcW w:w="2200" w:type="dxa"/>
          </w:tcPr>
          <w:p w14:paraId="40C3742C"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Rezultatet për t'u arritur</w:t>
            </w:r>
          </w:p>
        </w:tc>
        <w:tc>
          <w:tcPr>
            <w:tcW w:w="6872" w:type="dxa"/>
            <w:gridSpan w:val="5"/>
          </w:tcPr>
          <w:p w14:paraId="254CA1AA" w14:textId="024C706B" w:rsidR="00835192" w:rsidRPr="00FF756A" w:rsidRDefault="00835192" w:rsidP="00835192">
            <w:pPr>
              <w:spacing w:before="20" w:after="20" w:line="240" w:lineRule="auto"/>
              <w:rPr>
                <w:i/>
                <w:iCs/>
                <w:sz w:val="20"/>
                <w:szCs w:val="20"/>
              </w:rPr>
            </w:pPr>
            <w:r w:rsidRPr="00FF756A">
              <w:rPr>
                <w:i/>
                <w:iCs/>
                <w:sz w:val="20"/>
                <w:szCs w:val="20"/>
              </w:rPr>
              <w:t xml:space="preserve">Studime paraprake për të vlerësuar potencialin për menaxhimin e kërkesës dhe rezervat;  </w:t>
            </w:r>
          </w:p>
          <w:p w14:paraId="07E2BCE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Lidhja me ndërtimin e kapaciteteve të reja prodhuese</w:t>
            </w:r>
          </w:p>
          <w:p w14:paraId="2075514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Lidhja me skemën e matjes së energjisë neto</w:t>
            </w:r>
          </w:p>
          <w:p w14:paraId="4FBB80C2"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Lidhja me instalimin e matësve inteligjentë (strategjia e matjes)</w:t>
            </w:r>
          </w:p>
          <w:p w14:paraId="67477142"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Lidhja me rritjen e automjeteve elektrike</w:t>
            </w:r>
          </w:p>
          <w:p w14:paraId="3AD0E890"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Lidhja me zhvillimet e Direktivës për Performancën e Energjisë së Ndërtesave në lidhje me instalimin e stacioneve të karikimit në ndërtesa dhe instalimin e sistemeve të automatizimit dhe kontrollit në ndërtesa për rritjen e gatishmërisë inteligjente të ndërtesave</w:t>
            </w:r>
          </w:p>
        </w:tc>
      </w:tr>
      <w:tr w:rsidR="00835192" w:rsidRPr="00FF756A" w14:paraId="33C9CA22" w14:textId="77777777" w:rsidTr="004A3257">
        <w:trPr>
          <w:trHeight w:val="20"/>
        </w:trPr>
        <w:tc>
          <w:tcPr>
            <w:tcW w:w="2200" w:type="dxa"/>
          </w:tcPr>
          <w:p w14:paraId="13A14E91"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2" w:type="dxa"/>
            <w:gridSpan w:val="4"/>
          </w:tcPr>
          <w:p w14:paraId="2E4FDA55" w14:textId="77777777" w:rsidR="00835192" w:rsidRPr="00FF756A" w:rsidRDefault="00835192" w:rsidP="00835192">
            <w:pPr>
              <w:spacing w:before="20" w:after="20" w:line="240" w:lineRule="auto"/>
              <w:rPr>
                <w:i/>
                <w:iCs/>
                <w:sz w:val="20"/>
                <w:szCs w:val="20"/>
              </w:rPr>
            </w:pPr>
            <w:r w:rsidRPr="00FF756A">
              <w:rPr>
                <w:i/>
                <w:iCs/>
                <w:sz w:val="20"/>
                <w:szCs w:val="20"/>
              </w:rPr>
              <w:t>Operatori i sistemit të transmetimit, së bashku me ministrinë dhe entin rregullator, do të marrin përsipër kryerjen e studimeve për të vlerësuar potencialin real të menaxhimit të krahut të kërkesës dhe rezervave në Shqipëri. Në bazë të këtyre studimeve, duhet të ndërmerren disa masa zbatuese.</w:t>
            </w:r>
          </w:p>
        </w:tc>
        <w:tc>
          <w:tcPr>
            <w:tcW w:w="850" w:type="dxa"/>
          </w:tcPr>
          <w:p w14:paraId="4877B78F" w14:textId="77777777" w:rsidR="00835192" w:rsidRPr="00FF756A" w:rsidRDefault="00835192" w:rsidP="00835192">
            <w:pPr>
              <w:spacing w:before="20" w:after="20" w:line="240" w:lineRule="auto"/>
              <w:rPr>
                <w:i/>
                <w:iCs/>
                <w:sz w:val="20"/>
                <w:szCs w:val="20"/>
              </w:rPr>
            </w:pPr>
            <w:r w:rsidRPr="00FF756A">
              <w:rPr>
                <w:i/>
                <w:iCs/>
                <w:sz w:val="20"/>
                <w:szCs w:val="20"/>
              </w:rPr>
              <w:t>brenda vitit 2026</w:t>
            </w:r>
          </w:p>
        </w:tc>
      </w:tr>
      <w:tr w:rsidR="00835192" w:rsidRPr="00FF756A" w14:paraId="41008D6B" w14:textId="77777777" w:rsidTr="004A3257">
        <w:trPr>
          <w:trHeight w:val="20"/>
        </w:trPr>
        <w:tc>
          <w:tcPr>
            <w:tcW w:w="2200" w:type="dxa"/>
          </w:tcPr>
          <w:p w14:paraId="5F5C4461"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2" w:type="dxa"/>
            <w:gridSpan w:val="5"/>
          </w:tcPr>
          <w:p w14:paraId="71B828C2" w14:textId="77777777" w:rsidR="00835192" w:rsidRPr="00FF756A" w:rsidRDefault="00835192" w:rsidP="00835192">
            <w:pPr>
              <w:spacing w:before="20" w:after="20" w:line="240" w:lineRule="auto"/>
              <w:rPr>
                <w:i/>
                <w:iCs/>
                <w:sz w:val="20"/>
                <w:szCs w:val="20"/>
              </w:rPr>
            </w:pPr>
            <w:r w:rsidRPr="00FF756A">
              <w:rPr>
                <w:i/>
                <w:iCs/>
                <w:sz w:val="20"/>
                <w:szCs w:val="20"/>
              </w:rPr>
              <w:t>Studimet për identifikimin e potencialit të menaxhimit të krahut të kërkesës dhe sistemeve të rezervave të energjisë elektrike për fleksibilitetin e rrjetit elektrik do të financohen nga një Program i Asistencës Teknike, me një buxhet të parashikuar prej 150 000 eurosh.</w:t>
            </w:r>
          </w:p>
        </w:tc>
      </w:tr>
      <w:tr w:rsidR="00835192" w:rsidRPr="00FF756A" w14:paraId="4B545C63" w14:textId="77777777" w:rsidTr="004A3257">
        <w:trPr>
          <w:trHeight w:val="20"/>
        </w:trPr>
        <w:tc>
          <w:tcPr>
            <w:tcW w:w="2200" w:type="dxa"/>
          </w:tcPr>
          <w:p w14:paraId="4D3E0DEC"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60A8FE95"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2" w:type="dxa"/>
            <w:gridSpan w:val="5"/>
          </w:tcPr>
          <w:p w14:paraId="4E3B90E4" w14:textId="77777777" w:rsidR="00835192" w:rsidRPr="00FF756A" w:rsidRDefault="00835192" w:rsidP="00835192">
            <w:pPr>
              <w:spacing w:before="20" w:after="20" w:line="240" w:lineRule="auto"/>
              <w:rPr>
                <w:i/>
                <w:iCs/>
                <w:sz w:val="20"/>
                <w:szCs w:val="20"/>
              </w:rPr>
            </w:pPr>
            <w:r w:rsidRPr="00FF756A">
              <w:rPr>
                <w:i/>
                <w:iCs/>
                <w:sz w:val="20"/>
                <w:szCs w:val="20"/>
              </w:rPr>
              <w:t>Këshilli i Ministrave</w:t>
            </w:r>
          </w:p>
          <w:p w14:paraId="5E3250D8" w14:textId="77777777" w:rsidR="00835192" w:rsidRPr="00FF756A" w:rsidRDefault="00835192" w:rsidP="00835192">
            <w:pPr>
              <w:spacing w:before="20" w:after="20" w:line="240" w:lineRule="auto"/>
              <w:rPr>
                <w:i/>
                <w:iCs/>
                <w:sz w:val="20"/>
                <w:szCs w:val="20"/>
              </w:rPr>
            </w:pPr>
            <w:r w:rsidRPr="00FF756A">
              <w:rPr>
                <w:i/>
                <w:iCs/>
                <w:sz w:val="20"/>
                <w:szCs w:val="20"/>
              </w:rPr>
              <w:t xml:space="preserve">(Ministria e Infrastrukturës dhe Energjisë, OST) </w:t>
            </w:r>
          </w:p>
        </w:tc>
      </w:tr>
      <w:tr w:rsidR="00835192" w:rsidRPr="00FF756A" w14:paraId="63DEC18E" w14:textId="77777777" w:rsidTr="004A3257">
        <w:trPr>
          <w:trHeight w:val="20"/>
        </w:trPr>
        <w:tc>
          <w:tcPr>
            <w:tcW w:w="2200" w:type="dxa"/>
          </w:tcPr>
          <w:p w14:paraId="7E692DB5"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2" w:type="dxa"/>
            <w:gridSpan w:val="5"/>
          </w:tcPr>
          <w:p w14:paraId="240B809A" w14:textId="77777777" w:rsidR="00835192" w:rsidRPr="00FF756A" w:rsidRDefault="00835192" w:rsidP="00835192">
            <w:pPr>
              <w:spacing w:before="0" w:after="0" w:line="240" w:lineRule="auto"/>
              <w:rPr>
                <w:i/>
                <w:iCs/>
                <w:sz w:val="20"/>
                <w:szCs w:val="20"/>
              </w:rPr>
            </w:pPr>
            <w:r w:rsidRPr="00FF756A">
              <w:rPr>
                <w:i/>
                <w:iCs/>
                <w:sz w:val="20"/>
                <w:szCs w:val="20"/>
              </w:rPr>
              <w:t>Siguria energjetike</w:t>
            </w:r>
          </w:p>
          <w:p w14:paraId="6851538F" w14:textId="77777777" w:rsidR="00835192" w:rsidRPr="00FF756A" w:rsidRDefault="00835192" w:rsidP="00835192">
            <w:pPr>
              <w:spacing w:before="0" w:after="0" w:line="240" w:lineRule="auto"/>
              <w:rPr>
                <w:i/>
                <w:iCs/>
                <w:sz w:val="20"/>
                <w:szCs w:val="20"/>
              </w:rPr>
            </w:pPr>
            <w:r w:rsidRPr="00FF756A">
              <w:rPr>
                <w:i/>
                <w:iCs/>
                <w:sz w:val="20"/>
                <w:szCs w:val="20"/>
              </w:rPr>
              <w:t xml:space="preserve">Marrëdhënia me PM-të e mëposhtme: </w:t>
            </w:r>
          </w:p>
          <w:p w14:paraId="12FF76F5" w14:textId="77777777" w:rsidR="00835192" w:rsidRPr="00FF756A" w:rsidRDefault="00835192" w:rsidP="00835192">
            <w:pPr>
              <w:spacing w:before="0" w:after="0" w:line="240" w:lineRule="auto"/>
              <w:rPr>
                <w:i/>
                <w:iCs/>
                <w:sz w:val="20"/>
                <w:szCs w:val="20"/>
              </w:rPr>
            </w:pPr>
            <w:r w:rsidRPr="00FF756A">
              <w:rPr>
                <w:i/>
                <w:iCs/>
                <w:sz w:val="20"/>
                <w:szCs w:val="20"/>
              </w:rPr>
              <w:t>R-T1 Elektrifikimi i sektorit të transportit</w:t>
            </w:r>
          </w:p>
          <w:p w14:paraId="6D835EF5" w14:textId="77777777" w:rsidR="00835192" w:rsidRPr="00FF756A" w:rsidRDefault="00835192" w:rsidP="00835192">
            <w:pPr>
              <w:spacing w:before="0" w:after="0" w:line="240" w:lineRule="auto"/>
              <w:rPr>
                <w:i/>
                <w:iCs/>
                <w:sz w:val="20"/>
                <w:szCs w:val="20"/>
              </w:rPr>
            </w:pPr>
            <w:r w:rsidRPr="00FF756A">
              <w:rPr>
                <w:i/>
                <w:iCs/>
                <w:sz w:val="20"/>
                <w:szCs w:val="20"/>
              </w:rPr>
              <w:t>R-T3 Instalimi i stacioneve të karikimit për automjetet elektrike dhe instalimi i paneleve fotovoltaike</w:t>
            </w:r>
          </w:p>
        </w:tc>
      </w:tr>
    </w:tbl>
    <w:p w14:paraId="73B45BCB"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1277"/>
        <w:gridCol w:w="598"/>
        <w:gridCol w:w="427"/>
        <w:gridCol w:w="3712"/>
        <w:gridCol w:w="850"/>
      </w:tblGrid>
      <w:tr w:rsidR="00835192" w:rsidRPr="00FF756A" w14:paraId="5A8FBD1D" w14:textId="77777777" w:rsidTr="004A3257">
        <w:trPr>
          <w:trHeight w:val="20"/>
        </w:trPr>
        <w:tc>
          <w:tcPr>
            <w:tcW w:w="4506" w:type="dxa"/>
            <w:gridSpan w:val="4"/>
            <w:shd w:val="clear" w:color="auto" w:fill="D9E2F3" w:themeFill="accent1" w:themeFillTint="33"/>
          </w:tcPr>
          <w:p w14:paraId="69327A92"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66" w:type="dxa"/>
            <w:gridSpan w:val="2"/>
            <w:shd w:val="clear" w:color="auto" w:fill="D9E2F3" w:themeFill="accent1" w:themeFillTint="33"/>
          </w:tcPr>
          <w:p w14:paraId="50952EBF" w14:textId="77777777" w:rsidR="00835192" w:rsidRPr="00FF756A" w:rsidRDefault="00835192" w:rsidP="008639B2">
            <w:pPr>
              <w:numPr>
                <w:ilvl w:val="0"/>
                <w:numId w:val="93"/>
              </w:numPr>
              <w:spacing w:before="20" w:after="20" w:line="240" w:lineRule="auto"/>
              <w:contextualSpacing/>
              <w:rPr>
                <w:i/>
                <w:iCs/>
                <w:sz w:val="20"/>
                <w:szCs w:val="20"/>
              </w:rPr>
            </w:pPr>
            <w:r w:rsidRPr="00FF756A">
              <w:rPr>
                <w:i/>
                <w:iCs/>
                <w:sz w:val="20"/>
                <w:szCs w:val="20"/>
              </w:rPr>
              <w:t>Dekarbonizimi</w:t>
            </w:r>
          </w:p>
          <w:p w14:paraId="062F2AF5" w14:textId="49815917" w:rsidR="00835192" w:rsidRPr="00FF756A" w:rsidRDefault="00835192" w:rsidP="004A3257">
            <w:pPr>
              <w:spacing w:before="20" w:after="20" w:line="240" w:lineRule="auto"/>
              <w:contextualSpacing/>
              <w:rPr>
                <w:i/>
                <w:iCs/>
                <w:sz w:val="20"/>
                <w:szCs w:val="20"/>
              </w:rPr>
            </w:pPr>
            <w:r w:rsidRPr="00FF756A">
              <w:rPr>
                <w:i/>
                <w:iCs/>
                <w:sz w:val="20"/>
                <w:szCs w:val="20"/>
              </w:rPr>
              <w:t>Energjia e rinovueshme</w:t>
            </w:r>
          </w:p>
        </w:tc>
      </w:tr>
      <w:tr w:rsidR="00835192" w:rsidRPr="00FF756A" w14:paraId="234A3F05" w14:textId="77777777" w:rsidTr="004A3257">
        <w:trPr>
          <w:trHeight w:val="20"/>
        </w:trPr>
        <w:tc>
          <w:tcPr>
            <w:tcW w:w="4078" w:type="dxa"/>
            <w:gridSpan w:val="3"/>
            <w:shd w:val="clear" w:color="auto" w:fill="D9E2F3" w:themeFill="accent1" w:themeFillTint="33"/>
          </w:tcPr>
          <w:p w14:paraId="5756DFA5"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94" w:type="dxa"/>
            <w:gridSpan w:val="3"/>
            <w:shd w:val="clear" w:color="auto" w:fill="D9E2F3" w:themeFill="accent1" w:themeFillTint="33"/>
          </w:tcPr>
          <w:p w14:paraId="3ACE9C2D" w14:textId="77777777" w:rsidR="00835192" w:rsidRPr="00FF756A" w:rsidRDefault="00835192" w:rsidP="00835192">
            <w:pPr>
              <w:spacing w:before="20" w:after="20" w:line="240" w:lineRule="auto"/>
              <w:rPr>
                <w:i/>
                <w:iCs/>
                <w:sz w:val="20"/>
                <w:szCs w:val="20"/>
              </w:rPr>
            </w:pPr>
            <w:r w:rsidRPr="00FF756A">
              <w:rPr>
                <w:i/>
                <w:iCs/>
                <w:sz w:val="20"/>
                <w:szCs w:val="20"/>
              </w:rPr>
              <w:t>Energjia elektrike, ngrohja dhe ftohja</w:t>
            </w:r>
          </w:p>
        </w:tc>
      </w:tr>
      <w:tr w:rsidR="00835192" w:rsidRPr="00FF756A" w14:paraId="18432CC5" w14:textId="77777777" w:rsidTr="004A3257">
        <w:trPr>
          <w:trHeight w:val="20"/>
        </w:trPr>
        <w:tc>
          <w:tcPr>
            <w:tcW w:w="3479" w:type="dxa"/>
            <w:gridSpan w:val="2"/>
          </w:tcPr>
          <w:p w14:paraId="72606008"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7650FC1A"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3" w:type="dxa"/>
            <w:gridSpan w:val="4"/>
          </w:tcPr>
          <w:p w14:paraId="1BE4728D" w14:textId="77777777" w:rsidR="00835192" w:rsidRPr="00FF756A" w:rsidRDefault="00835192" w:rsidP="00835192">
            <w:pPr>
              <w:spacing w:before="20" w:after="20" w:line="240" w:lineRule="auto"/>
              <w:rPr>
                <w:i/>
                <w:iCs/>
                <w:sz w:val="20"/>
                <w:szCs w:val="20"/>
              </w:rPr>
            </w:pPr>
            <w:r w:rsidRPr="00FF756A">
              <w:rPr>
                <w:i/>
                <w:iCs/>
                <w:sz w:val="20"/>
                <w:szCs w:val="20"/>
              </w:rPr>
              <w:t>WEM</w:t>
            </w:r>
          </w:p>
          <w:p w14:paraId="260B3D80"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0B909542" w14:textId="77777777" w:rsidTr="004A3257">
        <w:trPr>
          <w:trHeight w:val="20"/>
        </w:trPr>
        <w:tc>
          <w:tcPr>
            <w:tcW w:w="2200" w:type="dxa"/>
          </w:tcPr>
          <w:p w14:paraId="6419502A"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3A2549DA"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2" w:type="dxa"/>
            <w:gridSpan w:val="5"/>
          </w:tcPr>
          <w:p w14:paraId="438F0DEE" w14:textId="77777777" w:rsidR="00835192" w:rsidRPr="00FF756A" w:rsidRDefault="00835192" w:rsidP="00835192">
            <w:pPr>
              <w:spacing w:before="20" w:after="20" w:line="240" w:lineRule="auto"/>
              <w:rPr>
                <w:i/>
                <w:iCs/>
                <w:sz w:val="20"/>
                <w:szCs w:val="20"/>
              </w:rPr>
            </w:pPr>
            <w:r w:rsidRPr="00FF756A">
              <w:rPr>
                <w:i/>
                <w:iCs/>
                <w:sz w:val="20"/>
                <w:szCs w:val="20"/>
              </w:rPr>
              <w:t>Strategjia e matjes dhe dixhitalizimi i sektorit të energjisë</w:t>
            </w:r>
          </w:p>
          <w:p w14:paraId="62164637" w14:textId="77777777" w:rsidR="00835192" w:rsidRPr="00FF756A" w:rsidRDefault="00835192" w:rsidP="00835192">
            <w:pPr>
              <w:spacing w:before="20" w:after="20" w:line="240" w:lineRule="auto"/>
              <w:rPr>
                <w:i/>
                <w:iCs/>
                <w:sz w:val="20"/>
                <w:szCs w:val="20"/>
              </w:rPr>
            </w:pPr>
            <w:r w:rsidRPr="00FF756A">
              <w:rPr>
                <w:i/>
                <w:iCs/>
                <w:sz w:val="20"/>
                <w:szCs w:val="20"/>
              </w:rPr>
              <w:t>(R-E8)</w:t>
            </w:r>
          </w:p>
        </w:tc>
      </w:tr>
      <w:tr w:rsidR="00835192" w:rsidRPr="00FF756A" w14:paraId="440A7279" w14:textId="77777777" w:rsidTr="004A3257">
        <w:trPr>
          <w:trHeight w:val="20"/>
        </w:trPr>
        <w:tc>
          <w:tcPr>
            <w:tcW w:w="2200" w:type="dxa"/>
          </w:tcPr>
          <w:p w14:paraId="44BAC052"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2" w:type="dxa"/>
            <w:gridSpan w:val="5"/>
          </w:tcPr>
          <w:p w14:paraId="4B70DE3C" w14:textId="77777777" w:rsidR="00835192" w:rsidRPr="00FF756A" w:rsidRDefault="00835192" w:rsidP="00835192">
            <w:pPr>
              <w:spacing w:before="20" w:after="20" w:line="240" w:lineRule="auto"/>
              <w:rPr>
                <w:i/>
                <w:iCs/>
                <w:sz w:val="20"/>
                <w:szCs w:val="20"/>
              </w:rPr>
            </w:pPr>
            <w:r w:rsidRPr="00FF756A">
              <w:rPr>
                <w:i/>
                <w:iCs/>
                <w:sz w:val="20"/>
                <w:szCs w:val="20"/>
              </w:rPr>
              <w:t xml:space="preserve">2021 dhe në vazhdim </w:t>
            </w:r>
          </w:p>
        </w:tc>
      </w:tr>
      <w:tr w:rsidR="00835192" w:rsidRPr="00FF756A" w14:paraId="22775993" w14:textId="77777777" w:rsidTr="004A3257">
        <w:trPr>
          <w:trHeight w:val="20"/>
        </w:trPr>
        <w:tc>
          <w:tcPr>
            <w:tcW w:w="2200" w:type="dxa"/>
          </w:tcPr>
          <w:p w14:paraId="5FD65B28"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2" w:type="dxa"/>
            <w:gridSpan w:val="5"/>
          </w:tcPr>
          <w:p w14:paraId="3D73E725" w14:textId="77777777" w:rsidR="00835192" w:rsidRPr="00FF756A" w:rsidRDefault="00835192" w:rsidP="00835192">
            <w:pPr>
              <w:spacing w:before="20" w:after="20" w:line="240" w:lineRule="auto"/>
              <w:rPr>
                <w:i/>
                <w:iCs/>
                <w:sz w:val="20"/>
                <w:szCs w:val="20"/>
              </w:rPr>
            </w:pPr>
            <w:r w:rsidRPr="00FF756A">
              <w:rPr>
                <w:i/>
                <w:iCs/>
                <w:sz w:val="20"/>
                <w:szCs w:val="20"/>
              </w:rPr>
              <w:t>Ligji nr. 24/2023, datë 23.03.2023, “Për nxitjen e përdorimit të energjisë nga burimet e rinovueshme”; Ligji nr. 43/2015, datë 30.4.2015, “Për sektorin e energjisë elektrike”, i ndryshuar</w:t>
            </w:r>
          </w:p>
        </w:tc>
      </w:tr>
      <w:tr w:rsidR="00835192" w:rsidRPr="00FF756A" w14:paraId="5D88E626" w14:textId="77777777" w:rsidTr="004A3257">
        <w:trPr>
          <w:trHeight w:val="20"/>
        </w:trPr>
        <w:tc>
          <w:tcPr>
            <w:tcW w:w="2200" w:type="dxa"/>
          </w:tcPr>
          <w:p w14:paraId="57B41BCA"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2" w:type="dxa"/>
            <w:gridSpan w:val="5"/>
          </w:tcPr>
          <w:p w14:paraId="339B07D9" w14:textId="77777777" w:rsidR="00835192" w:rsidRPr="00FF756A" w:rsidRDefault="00835192" w:rsidP="00835192">
            <w:pPr>
              <w:spacing w:before="20" w:after="20" w:line="240" w:lineRule="auto"/>
              <w:rPr>
                <w:i/>
                <w:iCs/>
                <w:sz w:val="20"/>
                <w:szCs w:val="20"/>
              </w:rPr>
            </w:pPr>
            <w:r w:rsidRPr="00FF756A">
              <w:rPr>
                <w:i/>
                <w:iCs/>
                <w:sz w:val="20"/>
                <w:szCs w:val="20"/>
              </w:rPr>
              <w:t>Masat e marra konsistojnë në: (I) Përgatitjen e strategjisë së matjes; dhe (ii) Fazën pilot për matësit inteligjentë në rajonet e Tiranës dhe Durrësit. Që nga fundi i vitit 2021, përafërsisht 700 konsumatorë të lidhur në tensionin e mesëm janë pajisur me matës inteligjentë.</w:t>
            </w:r>
          </w:p>
        </w:tc>
      </w:tr>
      <w:tr w:rsidR="00835192" w:rsidRPr="00FF756A" w14:paraId="34D850A3" w14:textId="77777777" w:rsidTr="004A3257">
        <w:trPr>
          <w:trHeight w:val="20"/>
        </w:trPr>
        <w:tc>
          <w:tcPr>
            <w:tcW w:w="2200" w:type="dxa"/>
          </w:tcPr>
          <w:p w14:paraId="67F2233B"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2" w:type="dxa"/>
            <w:gridSpan w:val="5"/>
          </w:tcPr>
          <w:p w14:paraId="4F3E900F" w14:textId="77777777" w:rsidR="00835192" w:rsidRPr="00FF756A" w:rsidRDefault="00835192" w:rsidP="00835192">
            <w:pPr>
              <w:spacing w:before="20" w:after="20" w:line="240" w:lineRule="auto"/>
              <w:rPr>
                <w:i/>
                <w:iCs/>
                <w:sz w:val="20"/>
                <w:szCs w:val="20"/>
              </w:rPr>
            </w:pPr>
            <w:r w:rsidRPr="00FF756A">
              <w:rPr>
                <w:i/>
                <w:iCs/>
                <w:sz w:val="20"/>
                <w:szCs w:val="20"/>
              </w:rPr>
              <w:t>Transformimi i rrjetit elektrik në një rrjet inteligjent dhe kalimi drejt një sektori më të dixhitalizuar të energjisë elektrike.</w:t>
            </w:r>
          </w:p>
          <w:p w14:paraId="2E29726E" w14:textId="0243A53F" w:rsidR="00835192" w:rsidRPr="00FF756A" w:rsidRDefault="00835192" w:rsidP="00835192">
            <w:pPr>
              <w:spacing w:before="20" w:after="20" w:line="240" w:lineRule="auto"/>
              <w:rPr>
                <w:i/>
                <w:iCs/>
                <w:sz w:val="20"/>
                <w:szCs w:val="20"/>
              </w:rPr>
            </w:pPr>
            <w:r w:rsidRPr="00FF756A">
              <w:rPr>
                <w:i/>
                <w:iCs/>
                <w:sz w:val="20"/>
                <w:szCs w:val="20"/>
              </w:rPr>
              <w:t xml:space="preserve">Krijimi i infrastrukturës teknike dhe </w:t>
            </w:r>
            <w:r w:rsidR="008A550E" w:rsidRPr="00FF756A">
              <w:rPr>
                <w:i/>
                <w:iCs/>
                <w:sz w:val="20"/>
                <w:szCs w:val="20"/>
              </w:rPr>
              <w:t xml:space="preserve"> programatike</w:t>
            </w:r>
            <w:r w:rsidRPr="00FF756A">
              <w:rPr>
                <w:i/>
                <w:iCs/>
                <w:sz w:val="20"/>
                <w:szCs w:val="20"/>
              </w:rPr>
              <w:t xml:space="preserve"> të nevojshme për shtrirjen e sistemit inteligjent të matjes te konsumatorët e lidhur në tensionin e mesëm dhe të ulët. </w:t>
            </w:r>
          </w:p>
          <w:p w14:paraId="0717BDC8" w14:textId="77777777" w:rsidR="00835192" w:rsidRPr="00FF756A" w:rsidRDefault="00835192" w:rsidP="00835192">
            <w:pPr>
              <w:spacing w:before="20" w:after="20" w:line="240" w:lineRule="auto"/>
              <w:rPr>
                <w:i/>
                <w:iCs/>
                <w:sz w:val="20"/>
                <w:szCs w:val="20"/>
              </w:rPr>
            </w:pPr>
            <w:r w:rsidRPr="00FF756A">
              <w:rPr>
                <w:i/>
                <w:iCs/>
                <w:sz w:val="20"/>
                <w:szCs w:val="20"/>
              </w:rPr>
              <w:t>Rritja e matësve të përshtatshëm do të mundësojë një liberalizim të mëtejshëm të sektorit të energjisë elektrike, duke e bërë atë më të orientuar drejt tregut.</w:t>
            </w:r>
          </w:p>
        </w:tc>
      </w:tr>
      <w:tr w:rsidR="00835192" w:rsidRPr="00FF756A" w14:paraId="13EBEF4D" w14:textId="77777777" w:rsidTr="004A3257">
        <w:trPr>
          <w:trHeight w:val="20"/>
        </w:trPr>
        <w:tc>
          <w:tcPr>
            <w:tcW w:w="2200" w:type="dxa"/>
          </w:tcPr>
          <w:p w14:paraId="699A52C8"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2" w:type="dxa"/>
            <w:gridSpan w:val="5"/>
          </w:tcPr>
          <w:p w14:paraId="6066AD2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Përmirësimi i arkëtimit të faturave, rritja e transparencës dhe rritja e aksesit për matjen në kohë reale të konsumit të energjisë elektrike.</w:t>
            </w:r>
          </w:p>
          <w:p w14:paraId="5E0CA91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Reduktimi i kostos operacionale të matjes së konsumit të energjisë elektrike (nëpërmjet optimizimit të kostove të leximit, shkëputjes dhe rilidhjes së furnizimeve etj.).</w:t>
            </w:r>
          </w:p>
          <w:p w14:paraId="26C0035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Reduktimi i humbjeve (jo-teknike dhe komerciale) në rrjet</w:t>
            </w:r>
          </w:p>
          <w:p w14:paraId="2F4C0F1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lastRenderedPageBreak/>
              <w:t>Sigurimi i një menaxhimi proaktiv të rrjetit të shpërndarjes me anë të përdorimit të mjeteve të përshtatshme informatike dhe të dhënave të matësve inteligjentë (dixhitalizimi)</w:t>
            </w:r>
          </w:p>
        </w:tc>
      </w:tr>
      <w:tr w:rsidR="00835192" w:rsidRPr="00FF756A" w14:paraId="54BB0241" w14:textId="77777777" w:rsidTr="004A3257">
        <w:trPr>
          <w:trHeight w:val="20"/>
        </w:trPr>
        <w:tc>
          <w:tcPr>
            <w:tcW w:w="2200" w:type="dxa"/>
          </w:tcPr>
          <w:p w14:paraId="5D481FCF"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Masat që duhet të zbatohen</w:t>
            </w:r>
          </w:p>
        </w:tc>
        <w:tc>
          <w:tcPr>
            <w:tcW w:w="6022" w:type="dxa"/>
            <w:gridSpan w:val="4"/>
          </w:tcPr>
          <w:p w14:paraId="32F922F0" w14:textId="77777777" w:rsidR="00835192" w:rsidRPr="00FF756A" w:rsidRDefault="00835192" w:rsidP="00835192">
            <w:pPr>
              <w:spacing w:before="20" w:after="20" w:line="240" w:lineRule="auto"/>
              <w:rPr>
                <w:i/>
                <w:iCs/>
                <w:sz w:val="20"/>
                <w:szCs w:val="20"/>
              </w:rPr>
            </w:pPr>
            <w:r w:rsidRPr="00FF756A">
              <w:rPr>
                <w:i/>
                <w:iCs/>
                <w:sz w:val="20"/>
                <w:szCs w:val="20"/>
              </w:rPr>
              <w:t xml:space="preserve">Përgatitja e vënies në punë të matësve inteligjentë: </w:t>
            </w:r>
          </w:p>
          <w:p w14:paraId="1ABE29C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Ndërtimi i kapaciteteve të operatorëve për administrimin e matësve inteligjentë dhe pajisjeve përkatëse, si dhe krijimin e një bazë të dhënash</w:t>
            </w:r>
          </w:p>
          <w:p w14:paraId="0C549F6B" w14:textId="77777777" w:rsidR="00835192" w:rsidRPr="00FF756A" w:rsidRDefault="00835192" w:rsidP="00835192">
            <w:pPr>
              <w:spacing w:before="20" w:after="20" w:line="240" w:lineRule="auto"/>
              <w:rPr>
                <w:i/>
                <w:iCs/>
                <w:sz w:val="20"/>
                <w:szCs w:val="20"/>
              </w:rPr>
            </w:pPr>
            <w:r w:rsidRPr="00FF756A">
              <w:rPr>
                <w:i/>
                <w:iCs/>
                <w:sz w:val="20"/>
                <w:szCs w:val="20"/>
              </w:rPr>
              <w:t xml:space="preserve">Faza I e vënies në punë: </w:t>
            </w:r>
          </w:p>
          <w:p w14:paraId="2574783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Instalimi i matësve inteligjentë në të gjithë transformatorët e tensionit të mesëm dhe të ulët</w:t>
            </w:r>
          </w:p>
          <w:p w14:paraId="0035374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Shtrirja e sistemit inteligjent të matjes te konsumatorët e lidhur në tensionin e mesëm (rreth 7400 biznese) </w:t>
            </w:r>
          </w:p>
          <w:p w14:paraId="1496F325" w14:textId="77777777" w:rsidR="00835192" w:rsidRPr="00FF756A" w:rsidRDefault="00835192" w:rsidP="00835192">
            <w:pPr>
              <w:spacing w:before="20" w:after="20" w:line="240" w:lineRule="auto"/>
              <w:rPr>
                <w:i/>
                <w:iCs/>
                <w:sz w:val="20"/>
                <w:szCs w:val="20"/>
              </w:rPr>
            </w:pPr>
            <w:r w:rsidRPr="00FF756A">
              <w:rPr>
                <w:i/>
                <w:iCs/>
                <w:sz w:val="20"/>
                <w:szCs w:val="20"/>
              </w:rPr>
              <w:t xml:space="preserve">Faza II e vënies në punë: </w:t>
            </w:r>
          </w:p>
          <w:p w14:paraId="7DFA7D1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Shtrirja e sistemit inteligjent të matjes te konsumatorët e lidhur në tensionin e ulët (bizneset e vogla dhe konsumatorët familjarë). </w:t>
            </w:r>
          </w:p>
          <w:p w14:paraId="0D9D37A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Përparësi do t’i jepet instalimit të matësve inteligjentë në zonat/rajonet me humbje të mëdha (Durrës, Shkodër, Kukës, Vlorë, Burrel).</w:t>
            </w:r>
          </w:p>
        </w:tc>
        <w:tc>
          <w:tcPr>
            <w:tcW w:w="850" w:type="dxa"/>
          </w:tcPr>
          <w:p w14:paraId="636D9195" w14:textId="77777777" w:rsidR="00835192" w:rsidRPr="00FF756A" w:rsidRDefault="00835192" w:rsidP="00835192">
            <w:pPr>
              <w:spacing w:before="20" w:after="20" w:line="240" w:lineRule="auto"/>
              <w:rPr>
                <w:i/>
                <w:iCs/>
                <w:sz w:val="20"/>
                <w:szCs w:val="20"/>
              </w:rPr>
            </w:pPr>
            <w:r w:rsidRPr="00FF756A">
              <w:rPr>
                <w:i/>
                <w:iCs/>
                <w:sz w:val="20"/>
                <w:szCs w:val="20"/>
              </w:rPr>
              <w:t>brenda vitit 2024</w:t>
            </w:r>
            <w:r w:rsidRPr="00FF756A">
              <w:rPr>
                <w:i/>
                <w:iCs/>
                <w:sz w:val="20"/>
                <w:szCs w:val="20"/>
              </w:rPr>
              <w:br/>
            </w:r>
            <w:r w:rsidRPr="00FF756A">
              <w:rPr>
                <w:i/>
                <w:iCs/>
                <w:sz w:val="20"/>
                <w:szCs w:val="20"/>
              </w:rPr>
              <w:br/>
            </w:r>
          </w:p>
          <w:p w14:paraId="7D76E1A2" w14:textId="77777777" w:rsidR="00835192" w:rsidRPr="00FF756A" w:rsidRDefault="00835192" w:rsidP="00835192">
            <w:pPr>
              <w:spacing w:before="20" w:after="20" w:line="240" w:lineRule="auto"/>
              <w:rPr>
                <w:i/>
                <w:iCs/>
                <w:sz w:val="20"/>
                <w:szCs w:val="20"/>
              </w:rPr>
            </w:pPr>
            <w:r w:rsidRPr="00FF756A">
              <w:rPr>
                <w:i/>
                <w:iCs/>
                <w:sz w:val="20"/>
                <w:szCs w:val="20"/>
              </w:rPr>
              <w:t>brenda vitit 2026</w:t>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t>brenda vitit 2028</w:t>
            </w:r>
          </w:p>
        </w:tc>
      </w:tr>
      <w:tr w:rsidR="00835192" w:rsidRPr="00FF756A" w14:paraId="37A824E6" w14:textId="77777777" w:rsidTr="004A3257">
        <w:trPr>
          <w:trHeight w:val="20"/>
        </w:trPr>
        <w:tc>
          <w:tcPr>
            <w:tcW w:w="2200" w:type="dxa"/>
          </w:tcPr>
          <w:p w14:paraId="255261F0"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2" w:type="dxa"/>
            <w:gridSpan w:val="5"/>
          </w:tcPr>
          <w:p w14:paraId="6484045C" w14:textId="77777777" w:rsidR="00835192" w:rsidRPr="00FF756A" w:rsidRDefault="00835192" w:rsidP="00835192">
            <w:pPr>
              <w:spacing w:before="20" w:after="20" w:line="240" w:lineRule="auto"/>
              <w:rPr>
                <w:i/>
                <w:iCs/>
                <w:sz w:val="20"/>
                <w:szCs w:val="20"/>
              </w:rPr>
            </w:pPr>
            <w:r w:rsidRPr="00FF756A">
              <w:rPr>
                <w:i/>
                <w:iCs/>
                <w:sz w:val="20"/>
                <w:szCs w:val="20"/>
              </w:rPr>
              <w:t>Sipas strategjisë së matjes, investimi afatmesëm i nevojshëm vlerësohet në 3,691 milionë lekë (përafërsisht 29,5 milionë euro).</w:t>
            </w:r>
          </w:p>
        </w:tc>
      </w:tr>
      <w:tr w:rsidR="00835192" w:rsidRPr="00FF756A" w14:paraId="28B359E7" w14:textId="77777777" w:rsidTr="004A3257">
        <w:trPr>
          <w:trHeight w:val="20"/>
        </w:trPr>
        <w:tc>
          <w:tcPr>
            <w:tcW w:w="2200" w:type="dxa"/>
          </w:tcPr>
          <w:p w14:paraId="489C5F79"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32078F95"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2" w:type="dxa"/>
            <w:gridSpan w:val="5"/>
          </w:tcPr>
          <w:p w14:paraId="671C0CCF" w14:textId="77777777" w:rsidR="00835192" w:rsidRPr="00FF756A" w:rsidRDefault="00835192" w:rsidP="00835192">
            <w:pPr>
              <w:spacing w:before="20" w:after="20" w:line="240" w:lineRule="auto"/>
              <w:rPr>
                <w:i/>
                <w:iCs/>
                <w:sz w:val="20"/>
                <w:szCs w:val="20"/>
              </w:rPr>
            </w:pPr>
            <w:r w:rsidRPr="00FF756A">
              <w:rPr>
                <w:i/>
                <w:iCs/>
                <w:sz w:val="20"/>
                <w:szCs w:val="20"/>
              </w:rPr>
              <w:t>Shoqëria e shpërndarjes OSSH sha, shoqëritë private</w:t>
            </w:r>
          </w:p>
          <w:p w14:paraId="3A245E8E"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OSHEE sha,</w:t>
            </w:r>
          </w:p>
          <w:p w14:paraId="204C4302"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Enti Rregullator i Energjisë)</w:t>
            </w:r>
          </w:p>
        </w:tc>
      </w:tr>
      <w:tr w:rsidR="00835192" w:rsidRPr="00FF756A" w14:paraId="0465D6EB" w14:textId="77777777" w:rsidTr="004A3257">
        <w:trPr>
          <w:trHeight w:val="20"/>
        </w:trPr>
        <w:tc>
          <w:tcPr>
            <w:tcW w:w="2200" w:type="dxa"/>
          </w:tcPr>
          <w:p w14:paraId="038CB2E9"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2" w:type="dxa"/>
            <w:gridSpan w:val="5"/>
          </w:tcPr>
          <w:p w14:paraId="47B84CC4" w14:textId="77777777" w:rsidR="00835192" w:rsidRPr="00FF756A" w:rsidRDefault="00835192" w:rsidP="00835192">
            <w:pPr>
              <w:spacing w:before="20" w:after="20" w:line="240" w:lineRule="auto"/>
              <w:rPr>
                <w:i/>
                <w:iCs/>
                <w:sz w:val="20"/>
                <w:szCs w:val="20"/>
              </w:rPr>
            </w:pPr>
            <w:r w:rsidRPr="00FF756A">
              <w:rPr>
                <w:i/>
                <w:iCs/>
                <w:sz w:val="20"/>
                <w:szCs w:val="20"/>
              </w:rPr>
              <w:t xml:space="preserve">Efiçenca e energjisë </w:t>
            </w:r>
          </w:p>
        </w:tc>
      </w:tr>
    </w:tbl>
    <w:p w14:paraId="51F2B56F"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1277"/>
        <w:gridCol w:w="598"/>
        <w:gridCol w:w="427"/>
        <w:gridCol w:w="3712"/>
        <w:gridCol w:w="850"/>
      </w:tblGrid>
      <w:tr w:rsidR="00835192" w:rsidRPr="00FF756A" w14:paraId="628CCCD9" w14:textId="77777777" w:rsidTr="004A3257">
        <w:trPr>
          <w:trHeight w:val="20"/>
        </w:trPr>
        <w:tc>
          <w:tcPr>
            <w:tcW w:w="4506" w:type="dxa"/>
            <w:gridSpan w:val="4"/>
            <w:shd w:val="clear" w:color="auto" w:fill="D9E2F3" w:themeFill="accent1" w:themeFillTint="33"/>
          </w:tcPr>
          <w:p w14:paraId="672748C6"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66" w:type="dxa"/>
            <w:gridSpan w:val="2"/>
            <w:shd w:val="clear" w:color="auto" w:fill="D9E2F3" w:themeFill="accent1" w:themeFillTint="33"/>
          </w:tcPr>
          <w:p w14:paraId="691FD1E2" w14:textId="07C7EE02" w:rsidR="00835192" w:rsidRPr="00FF756A" w:rsidRDefault="00835192" w:rsidP="004A3257">
            <w:pPr>
              <w:pStyle w:val="ListParagraph"/>
              <w:numPr>
                <w:ilvl w:val="0"/>
                <w:numId w:val="232"/>
              </w:numPr>
              <w:spacing w:before="20" w:after="20" w:line="240" w:lineRule="auto"/>
              <w:rPr>
                <w:i/>
                <w:iCs/>
                <w:sz w:val="20"/>
                <w:szCs w:val="20"/>
              </w:rPr>
            </w:pPr>
            <w:r w:rsidRPr="00FF756A">
              <w:rPr>
                <w:i/>
                <w:iCs/>
                <w:sz w:val="20"/>
                <w:szCs w:val="20"/>
              </w:rPr>
              <w:t>Dekarbonizimi</w:t>
            </w:r>
          </w:p>
          <w:p w14:paraId="04C3B1E8" w14:textId="78271CDA" w:rsidR="00835192" w:rsidRPr="00FF756A" w:rsidRDefault="00835192" w:rsidP="004A3257">
            <w:pPr>
              <w:spacing w:before="20" w:after="20" w:line="240" w:lineRule="auto"/>
              <w:rPr>
                <w:i/>
                <w:iCs/>
                <w:sz w:val="20"/>
                <w:szCs w:val="20"/>
              </w:rPr>
            </w:pPr>
            <w:r w:rsidRPr="00FF756A">
              <w:rPr>
                <w:i/>
                <w:iCs/>
                <w:sz w:val="20"/>
                <w:szCs w:val="20"/>
              </w:rPr>
              <w:t>Energjia e rinovueshme</w:t>
            </w:r>
          </w:p>
        </w:tc>
      </w:tr>
      <w:tr w:rsidR="00835192" w:rsidRPr="00FF756A" w14:paraId="64BC7949" w14:textId="77777777" w:rsidTr="004A3257">
        <w:trPr>
          <w:trHeight w:val="20"/>
        </w:trPr>
        <w:tc>
          <w:tcPr>
            <w:tcW w:w="4078" w:type="dxa"/>
            <w:gridSpan w:val="3"/>
            <w:shd w:val="clear" w:color="auto" w:fill="D9E2F3" w:themeFill="accent1" w:themeFillTint="33"/>
          </w:tcPr>
          <w:p w14:paraId="4E9B8A2E"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94" w:type="dxa"/>
            <w:gridSpan w:val="3"/>
            <w:shd w:val="clear" w:color="auto" w:fill="D9E2F3" w:themeFill="accent1" w:themeFillTint="33"/>
          </w:tcPr>
          <w:p w14:paraId="4010EF63" w14:textId="77777777" w:rsidR="00835192" w:rsidRPr="00FF756A" w:rsidRDefault="00835192" w:rsidP="00835192">
            <w:pPr>
              <w:spacing w:before="20" w:after="20" w:line="240" w:lineRule="auto"/>
              <w:rPr>
                <w:i/>
                <w:iCs/>
                <w:sz w:val="20"/>
                <w:szCs w:val="20"/>
              </w:rPr>
            </w:pPr>
            <w:r w:rsidRPr="00FF756A">
              <w:rPr>
                <w:i/>
                <w:iCs/>
                <w:sz w:val="20"/>
                <w:szCs w:val="20"/>
              </w:rPr>
              <w:t>Energjia elektrike, ngrohja dhe ftohja</w:t>
            </w:r>
          </w:p>
        </w:tc>
      </w:tr>
      <w:tr w:rsidR="00835192" w:rsidRPr="00FF756A" w14:paraId="5B393B99" w14:textId="77777777" w:rsidTr="004A3257">
        <w:trPr>
          <w:trHeight w:val="20"/>
        </w:trPr>
        <w:tc>
          <w:tcPr>
            <w:tcW w:w="3479" w:type="dxa"/>
            <w:gridSpan w:val="2"/>
          </w:tcPr>
          <w:p w14:paraId="2D85DAEF"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032CCE81"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3" w:type="dxa"/>
            <w:gridSpan w:val="4"/>
          </w:tcPr>
          <w:p w14:paraId="68FAEFDF" w14:textId="77777777" w:rsidR="00835192" w:rsidRPr="00FF756A" w:rsidRDefault="00835192" w:rsidP="00835192">
            <w:pPr>
              <w:spacing w:before="20" w:after="20" w:line="240" w:lineRule="auto"/>
              <w:rPr>
                <w:i/>
                <w:iCs/>
                <w:sz w:val="20"/>
                <w:szCs w:val="20"/>
              </w:rPr>
            </w:pPr>
            <w:r w:rsidRPr="00FF756A">
              <w:rPr>
                <w:i/>
                <w:iCs/>
                <w:sz w:val="20"/>
                <w:szCs w:val="20"/>
              </w:rPr>
              <w:t>WAM</w:t>
            </w:r>
          </w:p>
          <w:p w14:paraId="7DD12304" w14:textId="77777777" w:rsidR="00835192" w:rsidRPr="00FF756A" w:rsidRDefault="00835192" w:rsidP="00835192">
            <w:pPr>
              <w:spacing w:before="20" w:after="20" w:line="240" w:lineRule="auto"/>
              <w:rPr>
                <w:i/>
                <w:iCs/>
                <w:sz w:val="20"/>
                <w:szCs w:val="20"/>
              </w:rPr>
            </w:pPr>
            <w:r w:rsidRPr="00FF756A">
              <w:rPr>
                <w:i/>
                <w:iCs/>
                <w:sz w:val="20"/>
                <w:szCs w:val="20"/>
              </w:rPr>
              <w:t>Rregullator; Organizativ; Promocional</w:t>
            </w:r>
          </w:p>
        </w:tc>
      </w:tr>
      <w:tr w:rsidR="00835192" w:rsidRPr="00FF756A" w14:paraId="77D93E90" w14:textId="77777777" w:rsidTr="004A3257">
        <w:trPr>
          <w:trHeight w:val="20"/>
        </w:trPr>
        <w:tc>
          <w:tcPr>
            <w:tcW w:w="2200" w:type="dxa"/>
          </w:tcPr>
          <w:p w14:paraId="3DB05332"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30746D3F"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2" w:type="dxa"/>
            <w:gridSpan w:val="5"/>
          </w:tcPr>
          <w:p w14:paraId="7D8FD9AF" w14:textId="0F8AD588" w:rsidR="00835192" w:rsidRPr="00FF756A" w:rsidRDefault="00835192" w:rsidP="00835192">
            <w:pPr>
              <w:spacing w:before="20" w:after="20" w:line="240" w:lineRule="auto"/>
              <w:rPr>
                <w:i/>
                <w:iCs/>
                <w:sz w:val="20"/>
                <w:szCs w:val="20"/>
              </w:rPr>
            </w:pPr>
            <w:r w:rsidRPr="00FF756A">
              <w:rPr>
                <w:i/>
                <w:iCs/>
                <w:sz w:val="20"/>
                <w:szCs w:val="20"/>
              </w:rPr>
              <w:t xml:space="preserve">Mbështetja e </w:t>
            </w:r>
            <w:r w:rsidR="00F27037" w:rsidRPr="00FF756A">
              <w:rPr>
                <w:i/>
                <w:iCs/>
                <w:sz w:val="20"/>
                <w:szCs w:val="20"/>
              </w:rPr>
              <w:t xml:space="preserve">krijimit </w:t>
            </w:r>
            <w:r w:rsidRPr="00FF756A">
              <w:rPr>
                <w:i/>
                <w:iCs/>
                <w:sz w:val="20"/>
                <w:szCs w:val="20"/>
              </w:rPr>
              <w:t xml:space="preserve"> të komuniteteve të energjisë së rinovueshme </w:t>
            </w:r>
          </w:p>
          <w:p w14:paraId="129EF993" w14:textId="77777777" w:rsidR="00835192" w:rsidRPr="00FF756A" w:rsidRDefault="00835192" w:rsidP="00835192">
            <w:pPr>
              <w:spacing w:before="20" w:after="20" w:line="240" w:lineRule="auto"/>
              <w:rPr>
                <w:i/>
                <w:iCs/>
                <w:sz w:val="20"/>
                <w:szCs w:val="20"/>
              </w:rPr>
            </w:pPr>
            <w:r w:rsidRPr="00FF756A">
              <w:rPr>
                <w:i/>
                <w:iCs/>
                <w:sz w:val="20"/>
                <w:szCs w:val="20"/>
              </w:rPr>
              <w:t>(R-E9)</w:t>
            </w:r>
          </w:p>
        </w:tc>
      </w:tr>
      <w:tr w:rsidR="00835192" w:rsidRPr="00FF756A" w14:paraId="63B91A7A" w14:textId="77777777" w:rsidTr="004A3257">
        <w:trPr>
          <w:trHeight w:val="20"/>
        </w:trPr>
        <w:tc>
          <w:tcPr>
            <w:tcW w:w="2200" w:type="dxa"/>
          </w:tcPr>
          <w:p w14:paraId="6442030F"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2" w:type="dxa"/>
            <w:gridSpan w:val="5"/>
          </w:tcPr>
          <w:p w14:paraId="537C5441" w14:textId="77777777" w:rsidR="00835192" w:rsidRPr="00FF756A" w:rsidRDefault="00835192" w:rsidP="00835192">
            <w:pPr>
              <w:spacing w:before="20" w:after="20" w:line="240" w:lineRule="auto"/>
              <w:rPr>
                <w:i/>
                <w:iCs/>
                <w:sz w:val="20"/>
                <w:szCs w:val="20"/>
              </w:rPr>
            </w:pPr>
            <w:r w:rsidRPr="00FF756A">
              <w:rPr>
                <w:i/>
                <w:iCs/>
                <w:sz w:val="20"/>
                <w:szCs w:val="20"/>
              </w:rPr>
              <w:t>2024 dhe në vazhdim</w:t>
            </w:r>
          </w:p>
        </w:tc>
      </w:tr>
      <w:tr w:rsidR="00835192" w:rsidRPr="00FF756A" w14:paraId="36D474AE" w14:textId="77777777" w:rsidTr="004A3257">
        <w:trPr>
          <w:trHeight w:val="20"/>
        </w:trPr>
        <w:tc>
          <w:tcPr>
            <w:tcW w:w="2200" w:type="dxa"/>
          </w:tcPr>
          <w:p w14:paraId="4F39A47E"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2" w:type="dxa"/>
            <w:gridSpan w:val="5"/>
          </w:tcPr>
          <w:p w14:paraId="71685E5F" w14:textId="77777777" w:rsidR="00835192" w:rsidRPr="00FF756A" w:rsidRDefault="00835192" w:rsidP="00835192">
            <w:pPr>
              <w:spacing w:before="20" w:after="20" w:line="240" w:lineRule="auto"/>
              <w:rPr>
                <w:i/>
                <w:iCs/>
                <w:sz w:val="20"/>
                <w:szCs w:val="20"/>
              </w:rPr>
            </w:pPr>
            <w:r w:rsidRPr="00FF756A">
              <w:rPr>
                <w:i/>
                <w:iCs/>
                <w:sz w:val="20"/>
                <w:szCs w:val="20"/>
              </w:rPr>
              <w:t>Ligji nr. 24/2023, datë 23.3.2023, “Për nxitjen e përdorimit të energjisë nga burimet e rinovueshme”</w:t>
            </w:r>
          </w:p>
          <w:p w14:paraId="4BF9523B" w14:textId="77777777" w:rsidR="00835192" w:rsidRPr="00FF756A" w:rsidRDefault="00835192" w:rsidP="00835192">
            <w:pPr>
              <w:spacing w:before="20" w:after="20" w:line="240" w:lineRule="auto"/>
              <w:rPr>
                <w:i/>
                <w:iCs/>
                <w:sz w:val="20"/>
                <w:szCs w:val="20"/>
              </w:rPr>
            </w:pPr>
            <w:r w:rsidRPr="00FF756A">
              <w:rPr>
                <w:i/>
                <w:iCs/>
                <w:sz w:val="20"/>
                <w:szCs w:val="20"/>
              </w:rPr>
              <w:t xml:space="preserve">Direktiva për Energjinë e Rinovueshme (REDII, e ndryshuar nga Direktiva (BE) 2023/2413) </w:t>
            </w:r>
          </w:p>
        </w:tc>
      </w:tr>
      <w:tr w:rsidR="00835192" w:rsidRPr="00FF756A" w14:paraId="2918C220" w14:textId="77777777" w:rsidTr="004A3257">
        <w:trPr>
          <w:trHeight w:val="20"/>
        </w:trPr>
        <w:tc>
          <w:tcPr>
            <w:tcW w:w="2200" w:type="dxa"/>
          </w:tcPr>
          <w:p w14:paraId="0F8D097C"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2" w:type="dxa"/>
            <w:gridSpan w:val="5"/>
          </w:tcPr>
          <w:p w14:paraId="30B19E75" w14:textId="77777777" w:rsidR="00835192" w:rsidRPr="00FF756A" w:rsidRDefault="00835192" w:rsidP="00835192">
            <w:pPr>
              <w:spacing w:before="20" w:after="20" w:line="240" w:lineRule="auto"/>
              <w:rPr>
                <w:i/>
                <w:iCs/>
                <w:sz w:val="20"/>
                <w:szCs w:val="20"/>
              </w:rPr>
            </w:pPr>
            <w:r w:rsidRPr="00FF756A">
              <w:rPr>
                <w:i/>
                <w:iCs/>
                <w:sz w:val="20"/>
                <w:szCs w:val="20"/>
              </w:rPr>
              <w:t>Asnjë masë e marrë deri më tani</w:t>
            </w:r>
          </w:p>
        </w:tc>
      </w:tr>
      <w:tr w:rsidR="00835192" w:rsidRPr="00FF756A" w14:paraId="770572E9" w14:textId="77777777" w:rsidTr="004A3257">
        <w:trPr>
          <w:trHeight w:val="20"/>
        </w:trPr>
        <w:tc>
          <w:tcPr>
            <w:tcW w:w="2200" w:type="dxa"/>
          </w:tcPr>
          <w:p w14:paraId="35DC1460"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2" w:type="dxa"/>
            <w:gridSpan w:val="5"/>
          </w:tcPr>
          <w:p w14:paraId="57067D0B" w14:textId="77777777" w:rsidR="00835192" w:rsidRPr="00FF756A" w:rsidRDefault="00835192" w:rsidP="008639B2">
            <w:pPr>
              <w:numPr>
                <w:ilvl w:val="0"/>
                <w:numId w:val="158"/>
              </w:numPr>
              <w:spacing w:before="20" w:after="20" w:line="240" w:lineRule="auto"/>
              <w:contextualSpacing/>
              <w:rPr>
                <w:i/>
                <w:iCs/>
                <w:sz w:val="20"/>
                <w:szCs w:val="20"/>
              </w:rPr>
            </w:pPr>
            <w:r w:rsidRPr="00FF756A">
              <w:rPr>
                <w:i/>
                <w:iCs/>
                <w:sz w:val="20"/>
                <w:szCs w:val="20"/>
              </w:rPr>
              <w:t>Nxitja e një revolucioni të energjisë së rinovueshme: Me direktivën për nxitjen e përdorimit të energjisë nga burimet e rinovueshme (BE) 2018/2001 (REDII) dhe direktivën për rregullat e përbashkëta për tregun e brendshëm të energjisë elektrike (BE) 2019/944, ligjvënësi evropian jo vetëm prezantoi një riorganizim gjithëpërfshirës të kuadrit evropian të financimit dhe subvencioneve në fushën e energjisë së rinovueshme, por gjithashtu adresoi çështjen e pjesëmarrjes së qytetarëve për të nxitur një revolucion të energjisë së rinovueshme në Evropë.</w:t>
            </w:r>
          </w:p>
          <w:p w14:paraId="2EF7E47E" w14:textId="5C2E7009" w:rsidR="00835192" w:rsidRPr="00FF756A" w:rsidRDefault="00835192" w:rsidP="008639B2">
            <w:pPr>
              <w:numPr>
                <w:ilvl w:val="0"/>
                <w:numId w:val="158"/>
              </w:numPr>
              <w:spacing w:before="20" w:after="20" w:line="240" w:lineRule="auto"/>
              <w:contextualSpacing/>
              <w:rPr>
                <w:i/>
                <w:iCs/>
                <w:sz w:val="20"/>
                <w:szCs w:val="20"/>
              </w:rPr>
            </w:pPr>
            <w:r w:rsidRPr="00FF756A">
              <w:rPr>
                <w:i/>
                <w:iCs/>
                <w:sz w:val="20"/>
                <w:szCs w:val="20"/>
              </w:rPr>
              <w:t xml:space="preserve">Rritja e vetëkonsumit: Mbështetja e qytetarëve është një instrument për të rritur vetëkonsumit në zona të përshtatshme dhe për t’i transformuar ato në komunitete të energjisë së rinovueshme (sipas nenit 21 dhe nenit 22 të REDII). Sipas nenit 2, paragrafi 16 të REDII, “komuniteti i energjisë së rinovueshme” është një entitet juridik: (a) që, në përputhje me legjislacionin e brendshëm të zbatueshëm, bazohet në pjesëmarrjen e hapur dhe vullnetare, është i pavarur </w:t>
            </w:r>
            <w:r w:rsidRPr="00FF756A">
              <w:rPr>
                <w:i/>
                <w:iCs/>
                <w:sz w:val="20"/>
                <w:szCs w:val="20"/>
              </w:rPr>
              <w:lastRenderedPageBreak/>
              <w:t xml:space="preserve">dhe kontrollohet efektivisht nga aksionarët ose anëtarët që ndodhen në afërsi të projekteve të energjisë së rinovueshme, të cilat janë në pronësi dhe janë zhvilluar nga ai entitet juridik; (b) aksionarët dhe anëtarët e të cilit janë persona fizikë, NVM, autoritete lokale, duke përfshirë bashkitë; (c) qëllimi kryesor i të cilit është të sigurojë përfitime mjedisore, ekonomike ose sociale për aksionarët, anëtarët e tij ose për zonat lokale ku operon, në vend të fitimeve financiare. Shembuj të mirë mund të gjenden në </w:t>
            </w:r>
            <w:hyperlink r:id="rId63" w:history="1">
              <w:r w:rsidRPr="00FF756A">
                <w:rPr>
                  <w:i/>
                  <w:iCs/>
                  <w:sz w:val="20"/>
                  <w:szCs w:val="20"/>
                </w:rPr>
                <w:t>https://www.rescoop.eu/</w:t>
              </w:r>
            </w:hyperlink>
          </w:p>
        </w:tc>
      </w:tr>
      <w:tr w:rsidR="00835192" w:rsidRPr="00FF756A" w14:paraId="4CB993E1" w14:textId="77777777" w:rsidTr="004A3257">
        <w:trPr>
          <w:trHeight w:val="20"/>
        </w:trPr>
        <w:tc>
          <w:tcPr>
            <w:tcW w:w="2200" w:type="dxa"/>
          </w:tcPr>
          <w:p w14:paraId="27165D3E"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Rezultatet për t'u arritur</w:t>
            </w:r>
          </w:p>
        </w:tc>
        <w:tc>
          <w:tcPr>
            <w:tcW w:w="6872" w:type="dxa"/>
            <w:gridSpan w:val="5"/>
          </w:tcPr>
          <w:p w14:paraId="2003CC19" w14:textId="77777777" w:rsidR="00835192" w:rsidRPr="00FF756A" w:rsidRDefault="00835192" w:rsidP="00835192">
            <w:pPr>
              <w:spacing w:before="20" w:after="20" w:line="240" w:lineRule="auto"/>
              <w:rPr>
                <w:i/>
                <w:iCs/>
                <w:sz w:val="20"/>
                <w:szCs w:val="20"/>
              </w:rPr>
            </w:pPr>
            <w:r w:rsidRPr="00FF756A">
              <w:rPr>
                <w:i/>
                <w:iCs/>
                <w:sz w:val="20"/>
                <w:szCs w:val="20"/>
              </w:rPr>
              <w:t xml:space="preserve">Krijimi i komuniteteve të energjisë së rinovueshme </w:t>
            </w:r>
          </w:p>
        </w:tc>
      </w:tr>
      <w:tr w:rsidR="00835192" w:rsidRPr="00FF756A" w14:paraId="681F3026" w14:textId="77777777" w:rsidTr="004A3257">
        <w:trPr>
          <w:trHeight w:val="20"/>
        </w:trPr>
        <w:tc>
          <w:tcPr>
            <w:tcW w:w="2200" w:type="dxa"/>
          </w:tcPr>
          <w:p w14:paraId="066AEC71"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2" w:type="dxa"/>
            <w:gridSpan w:val="4"/>
          </w:tcPr>
          <w:p w14:paraId="4EFD6C63" w14:textId="77777777" w:rsidR="00835192" w:rsidRPr="00FF756A" w:rsidRDefault="00835192" w:rsidP="008639B2">
            <w:pPr>
              <w:numPr>
                <w:ilvl w:val="0"/>
                <w:numId w:val="158"/>
              </w:numPr>
              <w:spacing w:before="20" w:after="20" w:line="240" w:lineRule="auto"/>
              <w:contextualSpacing/>
              <w:rPr>
                <w:i/>
                <w:iCs/>
                <w:sz w:val="20"/>
                <w:szCs w:val="20"/>
              </w:rPr>
            </w:pPr>
            <w:r w:rsidRPr="00FF756A">
              <w:rPr>
                <w:i/>
                <w:iCs/>
                <w:sz w:val="20"/>
                <w:szCs w:val="20"/>
              </w:rPr>
              <w:t xml:space="preserve">Kryerja e një studimi paraprak për të zbuluar se çfarë lloj mbështetjeje nevojitet dhe cilat bashki mund të marrin pjesë në aktivitete pilot dhe demonstruese për shkak të një iniciative aktive të shoqërisë civile. </w:t>
            </w:r>
          </w:p>
          <w:p w14:paraId="6B33FACA" w14:textId="77777777" w:rsidR="00835192" w:rsidRPr="00FF756A" w:rsidRDefault="00835192" w:rsidP="008639B2">
            <w:pPr>
              <w:numPr>
                <w:ilvl w:val="0"/>
                <w:numId w:val="158"/>
              </w:numPr>
              <w:spacing w:before="20" w:after="20" w:line="240" w:lineRule="auto"/>
              <w:contextualSpacing/>
              <w:rPr>
                <w:i/>
                <w:iCs/>
                <w:sz w:val="20"/>
                <w:szCs w:val="20"/>
              </w:rPr>
            </w:pPr>
            <w:r w:rsidRPr="00FF756A">
              <w:rPr>
                <w:i/>
                <w:iCs/>
                <w:sz w:val="20"/>
                <w:szCs w:val="20"/>
              </w:rPr>
              <w:t>Hartimi i një legjislacioni dytësor që parashikon krijimin e komuniteteve të energjisë së rinovueshme.</w:t>
            </w:r>
          </w:p>
          <w:p w14:paraId="4428F5A5" w14:textId="77777777" w:rsidR="00835192" w:rsidRPr="00FF756A" w:rsidRDefault="00835192" w:rsidP="008639B2">
            <w:pPr>
              <w:numPr>
                <w:ilvl w:val="0"/>
                <w:numId w:val="158"/>
              </w:numPr>
              <w:spacing w:before="20" w:after="20" w:line="240" w:lineRule="auto"/>
              <w:contextualSpacing/>
              <w:rPr>
                <w:i/>
                <w:iCs/>
                <w:sz w:val="20"/>
                <w:szCs w:val="20"/>
              </w:rPr>
            </w:pPr>
            <w:r w:rsidRPr="00FF756A">
              <w:rPr>
                <w:i/>
                <w:iCs/>
                <w:sz w:val="20"/>
                <w:szCs w:val="20"/>
              </w:rPr>
              <w:t xml:space="preserve">Ngritja e strukturës mbështetëse organizative dhe promovuese </w:t>
            </w:r>
          </w:p>
          <w:p w14:paraId="726481E5" w14:textId="77777777" w:rsidR="00835192" w:rsidRPr="00FF756A" w:rsidRDefault="00835192" w:rsidP="008639B2">
            <w:pPr>
              <w:numPr>
                <w:ilvl w:val="0"/>
                <w:numId w:val="158"/>
              </w:numPr>
              <w:spacing w:before="20" w:after="20" w:line="240" w:lineRule="auto"/>
              <w:contextualSpacing/>
              <w:rPr>
                <w:i/>
                <w:iCs/>
                <w:sz w:val="20"/>
                <w:szCs w:val="20"/>
              </w:rPr>
            </w:pPr>
            <w:r w:rsidRPr="00FF756A">
              <w:rPr>
                <w:i/>
                <w:iCs/>
                <w:sz w:val="20"/>
                <w:szCs w:val="20"/>
              </w:rPr>
              <w:t xml:space="preserve">Mbështetja e krijimit të komuniteteve të përzgjedhura të energjisë së rinovueshme dhe promovimi i tyre  </w:t>
            </w:r>
          </w:p>
        </w:tc>
        <w:tc>
          <w:tcPr>
            <w:tcW w:w="850" w:type="dxa"/>
          </w:tcPr>
          <w:p w14:paraId="14D82EEC" w14:textId="77777777" w:rsidR="00835192" w:rsidRPr="00FF756A" w:rsidRDefault="00835192" w:rsidP="00835192">
            <w:pPr>
              <w:spacing w:before="20" w:after="20" w:line="240" w:lineRule="auto"/>
              <w:rPr>
                <w:i/>
                <w:iCs/>
                <w:sz w:val="20"/>
                <w:szCs w:val="20"/>
              </w:rPr>
            </w:pPr>
            <w:r w:rsidRPr="00FF756A">
              <w:rPr>
                <w:i/>
                <w:iCs/>
                <w:sz w:val="20"/>
                <w:szCs w:val="20"/>
              </w:rPr>
              <w:t>brenda vitit 2025</w:t>
            </w:r>
            <w:r w:rsidRPr="00FF756A">
              <w:rPr>
                <w:i/>
                <w:iCs/>
                <w:sz w:val="20"/>
                <w:szCs w:val="20"/>
              </w:rPr>
              <w:br/>
            </w:r>
            <w:r w:rsidRPr="00FF756A">
              <w:rPr>
                <w:i/>
                <w:iCs/>
                <w:sz w:val="20"/>
                <w:szCs w:val="20"/>
              </w:rPr>
              <w:br/>
            </w:r>
            <w:r w:rsidRPr="00FF756A">
              <w:rPr>
                <w:i/>
                <w:iCs/>
                <w:sz w:val="20"/>
                <w:szCs w:val="20"/>
              </w:rPr>
              <w:br/>
              <w:t>brenda vitit 2025</w:t>
            </w:r>
            <w:r w:rsidRPr="00FF756A">
              <w:rPr>
                <w:i/>
                <w:iCs/>
                <w:sz w:val="20"/>
                <w:szCs w:val="20"/>
              </w:rPr>
              <w:br/>
            </w:r>
            <w:r w:rsidRPr="00FF756A">
              <w:rPr>
                <w:i/>
                <w:iCs/>
                <w:sz w:val="20"/>
                <w:szCs w:val="20"/>
              </w:rPr>
              <w:br/>
              <w:t>brenda vitit 2026</w:t>
            </w:r>
          </w:p>
          <w:p w14:paraId="448CC99C" w14:textId="77777777" w:rsidR="00835192" w:rsidRPr="00FF756A" w:rsidRDefault="00835192" w:rsidP="00835192">
            <w:pPr>
              <w:spacing w:before="20" w:after="20" w:line="240" w:lineRule="auto"/>
              <w:rPr>
                <w:i/>
                <w:iCs/>
                <w:sz w:val="20"/>
                <w:szCs w:val="20"/>
              </w:rPr>
            </w:pPr>
            <w:r w:rsidRPr="00FF756A">
              <w:rPr>
                <w:i/>
                <w:iCs/>
                <w:sz w:val="20"/>
                <w:szCs w:val="20"/>
              </w:rPr>
              <w:t>brenda vitit 2026</w:t>
            </w:r>
          </w:p>
        </w:tc>
      </w:tr>
      <w:tr w:rsidR="00835192" w:rsidRPr="00FF756A" w14:paraId="21449798" w14:textId="77777777" w:rsidTr="004A3257">
        <w:trPr>
          <w:trHeight w:val="20"/>
        </w:trPr>
        <w:tc>
          <w:tcPr>
            <w:tcW w:w="2200" w:type="dxa"/>
          </w:tcPr>
          <w:p w14:paraId="0F8710C7"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2" w:type="dxa"/>
            <w:gridSpan w:val="5"/>
          </w:tcPr>
          <w:p w14:paraId="4B9B5625" w14:textId="77777777" w:rsidR="00835192" w:rsidRPr="00FF756A" w:rsidRDefault="00835192" w:rsidP="00835192">
            <w:pPr>
              <w:spacing w:before="20" w:after="20" w:line="240" w:lineRule="auto"/>
              <w:rPr>
                <w:i/>
                <w:iCs/>
                <w:sz w:val="20"/>
                <w:szCs w:val="20"/>
              </w:rPr>
            </w:pPr>
            <w:r w:rsidRPr="00FF756A">
              <w:rPr>
                <w:i/>
                <w:iCs/>
                <w:sz w:val="20"/>
                <w:szCs w:val="20"/>
              </w:rPr>
              <w:t>Studimi paraprak dhe zhvillimi i kuadrit ligjor dhe organizativ do të financohet nga një Program i Asistencës Teknike, me një buxhet të parashikuar prej 150 000 eurosh. Mbështetja për projektet pilot me komunitetet e përzgjedhura të energjisë së rinovueshme do të financohet nga një Program i Asistencës Teknike, me një buxhet të parashikuar prej 20 000 eurosh për komunitet të energjisë së rinovueshme.</w:t>
            </w:r>
          </w:p>
        </w:tc>
      </w:tr>
      <w:tr w:rsidR="00835192" w:rsidRPr="00FF756A" w14:paraId="366F3942" w14:textId="77777777" w:rsidTr="004A3257">
        <w:trPr>
          <w:trHeight w:val="20"/>
        </w:trPr>
        <w:tc>
          <w:tcPr>
            <w:tcW w:w="2200" w:type="dxa"/>
          </w:tcPr>
          <w:p w14:paraId="5F786700"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29146177"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2" w:type="dxa"/>
            <w:gridSpan w:val="5"/>
          </w:tcPr>
          <w:p w14:paraId="0DEBCC61" w14:textId="77777777" w:rsidR="00835192" w:rsidRPr="00FF756A" w:rsidRDefault="00835192" w:rsidP="00835192">
            <w:pPr>
              <w:spacing w:before="20" w:after="20" w:line="240" w:lineRule="auto"/>
              <w:rPr>
                <w:i/>
                <w:iCs/>
                <w:sz w:val="20"/>
                <w:szCs w:val="20"/>
              </w:rPr>
            </w:pPr>
            <w:r w:rsidRPr="00FF756A">
              <w:rPr>
                <w:i/>
                <w:iCs/>
                <w:sz w:val="20"/>
                <w:szCs w:val="20"/>
              </w:rPr>
              <w:t>Bashkitë, Shoqëria e shpërndarjes OSSH sha, Enti Rregullator i Energjisë</w:t>
            </w:r>
          </w:p>
          <w:p w14:paraId="2A0C56EB"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Enti Rregullator i Energjisë)</w:t>
            </w:r>
          </w:p>
        </w:tc>
      </w:tr>
      <w:tr w:rsidR="00835192" w:rsidRPr="00FF756A" w14:paraId="55BC34AB" w14:textId="77777777" w:rsidTr="004A3257">
        <w:trPr>
          <w:trHeight w:val="20"/>
        </w:trPr>
        <w:tc>
          <w:tcPr>
            <w:tcW w:w="2200" w:type="dxa"/>
          </w:tcPr>
          <w:p w14:paraId="63F4622E"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2" w:type="dxa"/>
            <w:gridSpan w:val="5"/>
          </w:tcPr>
          <w:p w14:paraId="31676A4F" w14:textId="77777777" w:rsidR="00835192" w:rsidRPr="00FF756A" w:rsidRDefault="00835192" w:rsidP="00835192">
            <w:pPr>
              <w:spacing w:before="0" w:after="0" w:line="240" w:lineRule="auto"/>
              <w:rPr>
                <w:i/>
                <w:iCs/>
                <w:sz w:val="20"/>
                <w:szCs w:val="20"/>
              </w:rPr>
            </w:pPr>
            <w:r w:rsidRPr="00FF756A">
              <w:rPr>
                <w:i/>
                <w:iCs/>
                <w:sz w:val="20"/>
                <w:szCs w:val="20"/>
              </w:rPr>
              <w:t>Siguria energjetike</w:t>
            </w:r>
          </w:p>
          <w:p w14:paraId="67662C3E" w14:textId="77777777" w:rsidR="00835192" w:rsidRPr="00FF756A" w:rsidRDefault="00835192" w:rsidP="00835192">
            <w:pPr>
              <w:spacing w:before="0" w:after="0" w:line="240" w:lineRule="auto"/>
              <w:rPr>
                <w:i/>
                <w:iCs/>
                <w:sz w:val="20"/>
                <w:szCs w:val="20"/>
              </w:rPr>
            </w:pPr>
          </w:p>
        </w:tc>
      </w:tr>
    </w:tbl>
    <w:p w14:paraId="303D5E69"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2"/>
        <w:gridCol w:w="1269"/>
        <w:gridCol w:w="595"/>
        <w:gridCol w:w="425"/>
        <w:gridCol w:w="3698"/>
        <w:gridCol w:w="883"/>
      </w:tblGrid>
      <w:tr w:rsidR="00835192" w:rsidRPr="00FF756A" w14:paraId="24C10AC1" w14:textId="77777777" w:rsidTr="004A3257">
        <w:trPr>
          <w:trHeight w:val="20"/>
        </w:trPr>
        <w:tc>
          <w:tcPr>
            <w:tcW w:w="4506" w:type="dxa"/>
            <w:gridSpan w:val="4"/>
            <w:shd w:val="clear" w:color="auto" w:fill="D9E2F3" w:themeFill="accent1" w:themeFillTint="33"/>
          </w:tcPr>
          <w:p w14:paraId="3D5BB743"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66" w:type="dxa"/>
            <w:gridSpan w:val="2"/>
            <w:shd w:val="clear" w:color="auto" w:fill="D9E2F3" w:themeFill="accent1" w:themeFillTint="33"/>
          </w:tcPr>
          <w:p w14:paraId="02926C5F" w14:textId="4C04E42A" w:rsidR="00835192" w:rsidRPr="00FF756A" w:rsidRDefault="00835192" w:rsidP="004A3257">
            <w:pPr>
              <w:pStyle w:val="ListParagraph"/>
              <w:numPr>
                <w:ilvl w:val="0"/>
                <w:numId w:val="233"/>
              </w:numPr>
              <w:spacing w:before="20" w:after="20" w:line="240" w:lineRule="auto"/>
              <w:rPr>
                <w:i/>
                <w:iCs/>
                <w:sz w:val="20"/>
                <w:szCs w:val="20"/>
              </w:rPr>
            </w:pPr>
            <w:r w:rsidRPr="00FF756A">
              <w:rPr>
                <w:i/>
                <w:iCs/>
                <w:sz w:val="20"/>
                <w:szCs w:val="20"/>
              </w:rPr>
              <w:t>Dekarbonizimi</w:t>
            </w:r>
          </w:p>
          <w:p w14:paraId="4654229F" w14:textId="7C8CFADC" w:rsidR="00835192" w:rsidRPr="00FF756A" w:rsidRDefault="00835192" w:rsidP="004A3257">
            <w:pPr>
              <w:spacing w:before="20" w:after="20" w:line="240" w:lineRule="auto"/>
              <w:rPr>
                <w:i/>
                <w:iCs/>
                <w:sz w:val="20"/>
                <w:szCs w:val="20"/>
              </w:rPr>
            </w:pPr>
            <w:r w:rsidRPr="00FF756A">
              <w:rPr>
                <w:i/>
                <w:iCs/>
                <w:sz w:val="20"/>
                <w:szCs w:val="20"/>
              </w:rPr>
              <w:t>Energjia e rinovueshme</w:t>
            </w:r>
          </w:p>
        </w:tc>
      </w:tr>
      <w:tr w:rsidR="00835192" w:rsidRPr="00FF756A" w14:paraId="20C6D68F" w14:textId="77777777" w:rsidTr="004A3257">
        <w:trPr>
          <w:trHeight w:val="20"/>
        </w:trPr>
        <w:tc>
          <w:tcPr>
            <w:tcW w:w="4078" w:type="dxa"/>
            <w:gridSpan w:val="3"/>
            <w:shd w:val="clear" w:color="auto" w:fill="D9E2F3" w:themeFill="accent1" w:themeFillTint="33"/>
          </w:tcPr>
          <w:p w14:paraId="1CC64231"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94" w:type="dxa"/>
            <w:gridSpan w:val="3"/>
            <w:shd w:val="clear" w:color="auto" w:fill="D9E2F3" w:themeFill="accent1" w:themeFillTint="33"/>
          </w:tcPr>
          <w:p w14:paraId="7CE60E7D" w14:textId="77777777" w:rsidR="00835192" w:rsidRPr="00FF756A" w:rsidRDefault="00835192" w:rsidP="00835192">
            <w:pPr>
              <w:spacing w:before="20" w:after="20" w:line="240" w:lineRule="auto"/>
              <w:rPr>
                <w:i/>
                <w:iCs/>
                <w:sz w:val="20"/>
                <w:szCs w:val="20"/>
              </w:rPr>
            </w:pPr>
            <w:r w:rsidRPr="00FF756A">
              <w:rPr>
                <w:i/>
                <w:iCs/>
                <w:sz w:val="20"/>
                <w:szCs w:val="20"/>
              </w:rPr>
              <w:t>Energjia elektrike, ngrohja dhe ftohja</w:t>
            </w:r>
          </w:p>
        </w:tc>
      </w:tr>
      <w:tr w:rsidR="00835192" w:rsidRPr="00FF756A" w14:paraId="3E0F668C" w14:textId="77777777" w:rsidTr="004A3257">
        <w:trPr>
          <w:trHeight w:val="20"/>
        </w:trPr>
        <w:tc>
          <w:tcPr>
            <w:tcW w:w="3479" w:type="dxa"/>
            <w:gridSpan w:val="2"/>
          </w:tcPr>
          <w:p w14:paraId="0721FD40"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3DFD36CC"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3" w:type="dxa"/>
            <w:gridSpan w:val="4"/>
          </w:tcPr>
          <w:p w14:paraId="362C12F1" w14:textId="77777777" w:rsidR="00835192" w:rsidRPr="00FF756A" w:rsidRDefault="00835192" w:rsidP="00835192">
            <w:pPr>
              <w:spacing w:before="20" w:after="20" w:line="240" w:lineRule="auto"/>
              <w:rPr>
                <w:i/>
                <w:iCs/>
                <w:sz w:val="20"/>
                <w:szCs w:val="20"/>
              </w:rPr>
            </w:pPr>
            <w:r w:rsidRPr="00FF756A">
              <w:rPr>
                <w:i/>
                <w:iCs/>
                <w:sz w:val="20"/>
                <w:szCs w:val="20"/>
              </w:rPr>
              <w:t>WAM</w:t>
            </w:r>
          </w:p>
          <w:p w14:paraId="53DF716E"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64BE7400" w14:textId="77777777" w:rsidTr="004A3257">
        <w:trPr>
          <w:trHeight w:val="20"/>
        </w:trPr>
        <w:tc>
          <w:tcPr>
            <w:tcW w:w="2200" w:type="dxa"/>
          </w:tcPr>
          <w:p w14:paraId="6FDDDDAD"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2D8E275E"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2" w:type="dxa"/>
            <w:gridSpan w:val="5"/>
          </w:tcPr>
          <w:p w14:paraId="4188FBD1" w14:textId="77777777" w:rsidR="00835192" w:rsidRPr="00FF756A" w:rsidRDefault="00835192" w:rsidP="00835192">
            <w:pPr>
              <w:spacing w:before="20" w:after="20" w:line="240" w:lineRule="auto"/>
              <w:rPr>
                <w:i/>
                <w:iCs/>
                <w:sz w:val="20"/>
                <w:szCs w:val="20"/>
              </w:rPr>
            </w:pPr>
            <w:r w:rsidRPr="00FF756A">
              <w:rPr>
                <w:i/>
                <w:iCs/>
                <w:sz w:val="20"/>
                <w:szCs w:val="20"/>
              </w:rPr>
              <w:t xml:space="preserve">Pjesëmarrja në një sistem rajonal për garancinë e origjinës (GO) </w:t>
            </w:r>
          </w:p>
          <w:p w14:paraId="3F316362" w14:textId="77777777" w:rsidR="00835192" w:rsidRPr="00FF756A" w:rsidRDefault="00835192" w:rsidP="00835192">
            <w:pPr>
              <w:spacing w:before="20" w:after="20" w:line="240" w:lineRule="auto"/>
              <w:rPr>
                <w:i/>
                <w:iCs/>
                <w:sz w:val="20"/>
                <w:szCs w:val="20"/>
              </w:rPr>
            </w:pPr>
            <w:r w:rsidRPr="00FF756A">
              <w:rPr>
                <w:i/>
                <w:iCs/>
                <w:sz w:val="20"/>
                <w:szCs w:val="20"/>
              </w:rPr>
              <w:t>(R-E10)</w:t>
            </w:r>
          </w:p>
        </w:tc>
      </w:tr>
      <w:tr w:rsidR="00835192" w:rsidRPr="00FF756A" w14:paraId="27E5043A" w14:textId="77777777" w:rsidTr="004A3257">
        <w:trPr>
          <w:trHeight w:val="20"/>
        </w:trPr>
        <w:tc>
          <w:tcPr>
            <w:tcW w:w="2200" w:type="dxa"/>
          </w:tcPr>
          <w:p w14:paraId="79751630"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2" w:type="dxa"/>
            <w:gridSpan w:val="5"/>
          </w:tcPr>
          <w:p w14:paraId="1BE128C0" w14:textId="77777777" w:rsidR="00835192" w:rsidRPr="00FF756A" w:rsidRDefault="00835192" w:rsidP="00835192">
            <w:pPr>
              <w:spacing w:before="20" w:after="20" w:line="240" w:lineRule="auto"/>
              <w:rPr>
                <w:i/>
                <w:iCs/>
                <w:sz w:val="20"/>
                <w:szCs w:val="20"/>
              </w:rPr>
            </w:pPr>
            <w:r w:rsidRPr="00FF756A">
              <w:rPr>
                <w:i/>
                <w:iCs/>
                <w:sz w:val="20"/>
                <w:szCs w:val="20"/>
              </w:rPr>
              <w:t>Nga viti 2023 e në vazhdim</w:t>
            </w:r>
          </w:p>
        </w:tc>
      </w:tr>
      <w:tr w:rsidR="00835192" w:rsidRPr="00FF756A" w14:paraId="132A4BD1" w14:textId="77777777" w:rsidTr="004A3257">
        <w:trPr>
          <w:trHeight w:val="20"/>
        </w:trPr>
        <w:tc>
          <w:tcPr>
            <w:tcW w:w="2200" w:type="dxa"/>
          </w:tcPr>
          <w:p w14:paraId="17DFDA92"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2" w:type="dxa"/>
            <w:gridSpan w:val="5"/>
          </w:tcPr>
          <w:p w14:paraId="01D0E10B" w14:textId="77777777" w:rsidR="00835192" w:rsidRPr="00FF756A" w:rsidRDefault="00835192" w:rsidP="00835192">
            <w:pPr>
              <w:spacing w:before="20" w:after="20" w:line="240" w:lineRule="auto"/>
              <w:rPr>
                <w:i/>
                <w:iCs/>
                <w:sz w:val="20"/>
                <w:szCs w:val="20"/>
              </w:rPr>
            </w:pPr>
            <w:r w:rsidRPr="00FF756A">
              <w:rPr>
                <w:i/>
                <w:iCs/>
                <w:sz w:val="20"/>
                <w:szCs w:val="20"/>
              </w:rPr>
              <w:t>Ligji nr. 24/2023, datë 23.3.2023, “Për nxitjen e përdorimit të energjisë nga burimet e rinovueshme”</w:t>
            </w:r>
          </w:p>
          <w:p w14:paraId="455619D8" w14:textId="77777777" w:rsidR="00835192" w:rsidRPr="00FF756A" w:rsidRDefault="00835192" w:rsidP="00835192">
            <w:pPr>
              <w:spacing w:before="20" w:after="20" w:line="240" w:lineRule="auto"/>
              <w:rPr>
                <w:i/>
                <w:iCs/>
                <w:sz w:val="20"/>
                <w:szCs w:val="20"/>
              </w:rPr>
            </w:pPr>
            <w:r w:rsidRPr="00FF756A">
              <w:rPr>
                <w:i/>
                <w:iCs/>
                <w:sz w:val="20"/>
                <w:szCs w:val="20"/>
              </w:rPr>
              <w:t>Direktiva për Energjinë e Rinovueshme (REDII, e ndryshuar nga Direktiva (BE) 2023/2413)</w:t>
            </w:r>
          </w:p>
        </w:tc>
      </w:tr>
      <w:tr w:rsidR="00835192" w:rsidRPr="00FF756A" w14:paraId="744B900F" w14:textId="77777777" w:rsidTr="004A3257">
        <w:trPr>
          <w:trHeight w:val="20"/>
        </w:trPr>
        <w:tc>
          <w:tcPr>
            <w:tcW w:w="2200" w:type="dxa"/>
          </w:tcPr>
          <w:p w14:paraId="58AB3AF6"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2" w:type="dxa"/>
            <w:gridSpan w:val="5"/>
          </w:tcPr>
          <w:p w14:paraId="3C01C563" w14:textId="77777777" w:rsidR="00835192" w:rsidRPr="00FF756A" w:rsidRDefault="00835192" w:rsidP="008639B2">
            <w:pPr>
              <w:numPr>
                <w:ilvl w:val="0"/>
                <w:numId w:val="159"/>
              </w:numPr>
              <w:spacing w:before="20" w:after="20" w:line="240" w:lineRule="auto"/>
              <w:contextualSpacing/>
              <w:rPr>
                <w:i/>
                <w:iCs/>
                <w:sz w:val="20"/>
                <w:szCs w:val="20"/>
              </w:rPr>
            </w:pPr>
            <w:r w:rsidRPr="00FF756A">
              <w:rPr>
                <w:i/>
                <w:iCs/>
                <w:sz w:val="20"/>
                <w:szCs w:val="20"/>
              </w:rPr>
              <w:t>ERE iu bashkua iniciativës së Sekretariatit të Komunitetit të Energjisë për krijimin e një sistemi rajonal për garancinë e origjinës (GO).</w:t>
            </w:r>
          </w:p>
          <w:p w14:paraId="2AFE2E86" w14:textId="77777777" w:rsidR="00835192" w:rsidRPr="00FF756A" w:rsidRDefault="00835192" w:rsidP="008639B2">
            <w:pPr>
              <w:numPr>
                <w:ilvl w:val="0"/>
                <w:numId w:val="159"/>
              </w:numPr>
              <w:spacing w:before="20" w:after="20" w:line="240" w:lineRule="auto"/>
              <w:contextualSpacing/>
              <w:rPr>
                <w:i/>
                <w:iCs/>
                <w:sz w:val="20"/>
                <w:szCs w:val="20"/>
              </w:rPr>
            </w:pPr>
            <w:r w:rsidRPr="00FF756A">
              <w:rPr>
                <w:i/>
                <w:iCs/>
                <w:sz w:val="20"/>
                <w:szCs w:val="20"/>
              </w:rPr>
              <w:t>Me Vendimin e Bordit të Komisionerëve nr. 140, datë 14.04.2023, ERE miratoi autorizimin e Kryetarit të ERE-s për të nënshkruar marrëveshjen dhe për t’iu bashkuar sistemit rajonal brenda majit të vitit 2023.</w:t>
            </w:r>
          </w:p>
        </w:tc>
      </w:tr>
      <w:tr w:rsidR="00835192" w:rsidRPr="00FF756A" w14:paraId="056FB2B8" w14:textId="77777777" w:rsidTr="004A3257">
        <w:trPr>
          <w:trHeight w:val="20"/>
        </w:trPr>
        <w:tc>
          <w:tcPr>
            <w:tcW w:w="2200" w:type="dxa"/>
          </w:tcPr>
          <w:p w14:paraId="11E2974C"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2" w:type="dxa"/>
            <w:gridSpan w:val="5"/>
          </w:tcPr>
          <w:p w14:paraId="3CD2FE39" w14:textId="77777777" w:rsidR="00835192" w:rsidRPr="00FF756A" w:rsidRDefault="00835192" w:rsidP="00835192">
            <w:pPr>
              <w:spacing w:before="20" w:after="20" w:line="240" w:lineRule="auto"/>
              <w:rPr>
                <w:i/>
                <w:iCs/>
                <w:sz w:val="20"/>
                <w:szCs w:val="20"/>
              </w:rPr>
            </w:pPr>
            <w:r w:rsidRPr="00FF756A">
              <w:rPr>
                <w:i/>
                <w:iCs/>
                <w:sz w:val="20"/>
                <w:szCs w:val="20"/>
              </w:rPr>
              <w:t>Garancitë e origjinës përdoren për të provuar origjinën e energjisë elektrike të prodhuar nga burimet e rinovueshme të energjisë dhe kështu mundësojnë dekarbonizimin e sistemit të energjisë elektrike.</w:t>
            </w:r>
          </w:p>
        </w:tc>
      </w:tr>
      <w:tr w:rsidR="00835192" w:rsidRPr="00FF756A" w14:paraId="377B1670" w14:textId="77777777" w:rsidTr="004A3257">
        <w:trPr>
          <w:trHeight w:val="20"/>
        </w:trPr>
        <w:tc>
          <w:tcPr>
            <w:tcW w:w="2200" w:type="dxa"/>
          </w:tcPr>
          <w:p w14:paraId="2927E070"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Rezultatet për t'u arritur</w:t>
            </w:r>
          </w:p>
        </w:tc>
        <w:tc>
          <w:tcPr>
            <w:tcW w:w="6872" w:type="dxa"/>
            <w:gridSpan w:val="5"/>
          </w:tcPr>
          <w:p w14:paraId="79D9E6E0" w14:textId="77777777" w:rsidR="00835192" w:rsidRPr="00FF756A" w:rsidRDefault="00835192" w:rsidP="00835192">
            <w:pPr>
              <w:spacing w:before="20" w:after="20" w:line="240" w:lineRule="auto"/>
              <w:rPr>
                <w:i/>
                <w:iCs/>
                <w:sz w:val="20"/>
                <w:szCs w:val="20"/>
              </w:rPr>
            </w:pPr>
            <w:r w:rsidRPr="00FF756A">
              <w:rPr>
                <w:i/>
                <w:iCs/>
                <w:sz w:val="20"/>
                <w:szCs w:val="20"/>
              </w:rPr>
              <w:t xml:space="preserve">Rezultati kryesor i projektit është regjistri elektronik/domeni për çdo organ lëshues në përputhje me </w:t>
            </w:r>
            <w:bookmarkStart w:id="374" w:name="_Hlk178173546"/>
            <w:r w:rsidRPr="00FF756A">
              <w:rPr>
                <w:i/>
                <w:iCs/>
                <w:sz w:val="20"/>
                <w:szCs w:val="20"/>
              </w:rPr>
              <w:t xml:space="preserve">REDII dhe Sistemin Evropian për Certifikimin e Energjisë (EECS) </w:t>
            </w:r>
            <w:bookmarkEnd w:id="374"/>
            <w:r w:rsidRPr="00FF756A">
              <w:rPr>
                <w:i/>
                <w:iCs/>
                <w:sz w:val="20"/>
                <w:szCs w:val="20"/>
              </w:rPr>
              <w:t xml:space="preserve">dhe një sistem rajonal i cili do të mundësojë tregtinë e garancive të origjinës midis palëve kontraktuese. </w:t>
            </w:r>
          </w:p>
        </w:tc>
      </w:tr>
      <w:tr w:rsidR="00835192" w:rsidRPr="00FF756A" w14:paraId="75F47BBB" w14:textId="77777777" w:rsidTr="004A3257">
        <w:trPr>
          <w:trHeight w:val="20"/>
        </w:trPr>
        <w:tc>
          <w:tcPr>
            <w:tcW w:w="2200" w:type="dxa"/>
          </w:tcPr>
          <w:p w14:paraId="0818924B"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2" w:type="dxa"/>
            <w:gridSpan w:val="4"/>
          </w:tcPr>
          <w:p w14:paraId="31B1054A" w14:textId="77777777" w:rsidR="00835192" w:rsidRPr="00FF756A" w:rsidRDefault="00835192" w:rsidP="008639B2">
            <w:pPr>
              <w:numPr>
                <w:ilvl w:val="0"/>
                <w:numId w:val="160"/>
              </w:numPr>
              <w:spacing w:before="20" w:after="20" w:line="240" w:lineRule="auto"/>
              <w:contextualSpacing/>
              <w:rPr>
                <w:i/>
                <w:iCs/>
                <w:sz w:val="20"/>
                <w:szCs w:val="20"/>
              </w:rPr>
            </w:pPr>
            <w:r w:rsidRPr="00FF756A">
              <w:rPr>
                <w:i/>
                <w:iCs/>
                <w:sz w:val="20"/>
                <w:szCs w:val="20"/>
              </w:rPr>
              <w:t xml:space="preserve">Miratimi i legjislacionit dytësor të nevojshëm </w:t>
            </w:r>
          </w:p>
          <w:p w14:paraId="6F24AAA4" w14:textId="77777777" w:rsidR="00835192" w:rsidRPr="00FF756A" w:rsidRDefault="00835192" w:rsidP="008639B2">
            <w:pPr>
              <w:numPr>
                <w:ilvl w:val="0"/>
                <w:numId w:val="160"/>
              </w:numPr>
              <w:spacing w:before="20" w:after="20" w:line="240" w:lineRule="auto"/>
              <w:contextualSpacing/>
              <w:rPr>
                <w:i/>
                <w:iCs/>
                <w:sz w:val="20"/>
                <w:szCs w:val="20"/>
              </w:rPr>
            </w:pPr>
            <w:r w:rsidRPr="00FF756A">
              <w:rPr>
                <w:i/>
                <w:iCs/>
                <w:sz w:val="20"/>
                <w:szCs w:val="20"/>
              </w:rPr>
              <w:t>Ngritja e infrastrukturës organizative, harduerit dhe softuerit</w:t>
            </w:r>
          </w:p>
          <w:p w14:paraId="6CB34FB5" w14:textId="77777777" w:rsidR="00835192" w:rsidRPr="00FF756A" w:rsidRDefault="00835192" w:rsidP="008639B2">
            <w:pPr>
              <w:numPr>
                <w:ilvl w:val="0"/>
                <w:numId w:val="160"/>
              </w:numPr>
              <w:spacing w:before="20" w:after="20" w:line="240" w:lineRule="auto"/>
              <w:contextualSpacing/>
              <w:rPr>
                <w:i/>
                <w:iCs/>
                <w:sz w:val="20"/>
                <w:szCs w:val="20"/>
              </w:rPr>
            </w:pPr>
            <w:r w:rsidRPr="00FF756A">
              <w:rPr>
                <w:i/>
                <w:iCs/>
                <w:sz w:val="20"/>
                <w:szCs w:val="20"/>
              </w:rPr>
              <w:t xml:space="preserve">Përdorimi i sistemit rajonal të tregtimit të garancive të origjinës </w:t>
            </w:r>
          </w:p>
        </w:tc>
        <w:tc>
          <w:tcPr>
            <w:tcW w:w="850" w:type="dxa"/>
          </w:tcPr>
          <w:p w14:paraId="3605D5F4"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2024</w:t>
            </w:r>
          </w:p>
          <w:p w14:paraId="18EDCD95"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2024</w:t>
            </w:r>
            <w:r w:rsidRPr="00FF756A">
              <w:rPr>
                <w:i/>
                <w:iCs/>
                <w:sz w:val="20"/>
                <w:szCs w:val="20"/>
              </w:rPr>
              <w:br/>
            </w:r>
            <w:r w:rsidRPr="00FF756A">
              <w:rPr>
                <w:i/>
                <w:iCs/>
                <w:sz w:val="20"/>
                <w:szCs w:val="20"/>
              </w:rPr>
              <w:br/>
              <w:t>2024 e në vazhdim</w:t>
            </w:r>
          </w:p>
        </w:tc>
      </w:tr>
      <w:tr w:rsidR="00835192" w:rsidRPr="00FF756A" w14:paraId="15D05952" w14:textId="77777777" w:rsidTr="004A3257">
        <w:trPr>
          <w:trHeight w:val="20"/>
        </w:trPr>
        <w:tc>
          <w:tcPr>
            <w:tcW w:w="2200" w:type="dxa"/>
          </w:tcPr>
          <w:p w14:paraId="3F3BB463"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2" w:type="dxa"/>
            <w:gridSpan w:val="5"/>
          </w:tcPr>
          <w:p w14:paraId="708412C1" w14:textId="1A4D44CF" w:rsidR="00835192" w:rsidRPr="00FF756A" w:rsidRDefault="00835192" w:rsidP="00835192">
            <w:pPr>
              <w:spacing w:before="20" w:after="20" w:line="240" w:lineRule="auto"/>
              <w:rPr>
                <w:i/>
                <w:iCs/>
                <w:sz w:val="20"/>
                <w:szCs w:val="20"/>
              </w:rPr>
            </w:pPr>
            <w:r w:rsidRPr="00FF756A">
              <w:rPr>
                <w:i/>
                <w:iCs/>
                <w:sz w:val="20"/>
                <w:szCs w:val="20"/>
              </w:rPr>
              <w:t>Ofruesi i shërbimit Grexel në emër të Komunitetit të Energjisë (</w:t>
            </w:r>
            <w:hyperlink r:id="rId64" w:history="1">
              <w:r w:rsidR="007918BF" w:rsidRPr="00FF756A">
                <w:rPr>
                  <w:rStyle w:val="Hyperlink"/>
                  <w:i/>
                  <w:iCs/>
                  <w:sz w:val="20"/>
                  <w:szCs w:val="20"/>
                </w:rPr>
                <w:t>https://www.energy-community.org/news/Energy-Community-News/2023/06/06.html</w:t>
              </w:r>
            </w:hyperlink>
            <w:r w:rsidRPr="00FF756A">
              <w:rPr>
                <w:i/>
                <w:iCs/>
                <w:sz w:val="20"/>
                <w:szCs w:val="20"/>
              </w:rPr>
              <w:t>)</w:t>
            </w:r>
            <w:r w:rsidR="007918BF" w:rsidRPr="00FF756A">
              <w:rPr>
                <w:i/>
                <w:iCs/>
                <w:sz w:val="20"/>
                <w:szCs w:val="20"/>
              </w:rPr>
              <w:t xml:space="preserve"> </w:t>
            </w:r>
          </w:p>
        </w:tc>
      </w:tr>
      <w:tr w:rsidR="00835192" w:rsidRPr="00FF756A" w14:paraId="0C40A923" w14:textId="77777777" w:rsidTr="004A3257">
        <w:trPr>
          <w:trHeight w:val="20"/>
        </w:trPr>
        <w:tc>
          <w:tcPr>
            <w:tcW w:w="2200" w:type="dxa"/>
          </w:tcPr>
          <w:p w14:paraId="74FF6525"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04D82BCA"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2" w:type="dxa"/>
            <w:gridSpan w:val="5"/>
          </w:tcPr>
          <w:p w14:paraId="741494DC" w14:textId="77777777" w:rsidR="00835192" w:rsidRPr="00FF756A" w:rsidRDefault="00835192" w:rsidP="00835192">
            <w:pPr>
              <w:spacing w:before="20" w:after="20" w:line="240" w:lineRule="auto"/>
              <w:rPr>
                <w:i/>
                <w:iCs/>
                <w:sz w:val="20"/>
                <w:szCs w:val="20"/>
              </w:rPr>
            </w:pPr>
            <w:r w:rsidRPr="00FF756A">
              <w:rPr>
                <w:i/>
                <w:iCs/>
                <w:sz w:val="20"/>
                <w:szCs w:val="20"/>
              </w:rPr>
              <w:t>Këshilli i Ministrave; Enti Rregullator i Energjisë</w:t>
            </w:r>
          </w:p>
          <w:p w14:paraId="549FA9C4"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Enti Rregullator i Energjisë)</w:t>
            </w:r>
          </w:p>
        </w:tc>
      </w:tr>
      <w:tr w:rsidR="00835192" w:rsidRPr="00FF756A" w14:paraId="3E1847D3" w14:textId="77777777" w:rsidTr="004A3257">
        <w:trPr>
          <w:trHeight w:val="20"/>
        </w:trPr>
        <w:tc>
          <w:tcPr>
            <w:tcW w:w="2200" w:type="dxa"/>
          </w:tcPr>
          <w:p w14:paraId="27A54A88"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2" w:type="dxa"/>
            <w:gridSpan w:val="5"/>
          </w:tcPr>
          <w:p w14:paraId="0B28FA55" w14:textId="77777777" w:rsidR="00835192" w:rsidRPr="00FF756A" w:rsidRDefault="00835192" w:rsidP="00835192">
            <w:pPr>
              <w:spacing w:before="0" w:after="0" w:line="240" w:lineRule="auto"/>
              <w:rPr>
                <w:i/>
                <w:iCs/>
                <w:sz w:val="20"/>
                <w:szCs w:val="20"/>
              </w:rPr>
            </w:pPr>
          </w:p>
        </w:tc>
      </w:tr>
    </w:tbl>
    <w:p w14:paraId="4488454A"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1277"/>
        <w:gridCol w:w="598"/>
        <w:gridCol w:w="427"/>
        <w:gridCol w:w="3712"/>
        <w:gridCol w:w="850"/>
      </w:tblGrid>
      <w:tr w:rsidR="00835192" w:rsidRPr="00FF756A" w14:paraId="048F4B6D" w14:textId="77777777" w:rsidTr="004A3257">
        <w:trPr>
          <w:trHeight w:val="20"/>
        </w:trPr>
        <w:tc>
          <w:tcPr>
            <w:tcW w:w="4506" w:type="dxa"/>
            <w:gridSpan w:val="4"/>
            <w:shd w:val="clear" w:color="auto" w:fill="D9E2F3" w:themeFill="accent1" w:themeFillTint="33"/>
          </w:tcPr>
          <w:p w14:paraId="3AD70758"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66" w:type="dxa"/>
            <w:gridSpan w:val="2"/>
            <w:shd w:val="clear" w:color="auto" w:fill="D9E2F3" w:themeFill="accent1" w:themeFillTint="33"/>
          </w:tcPr>
          <w:p w14:paraId="66417E2D" w14:textId="64263634" w:rsidR="00835192" w:rsidRPr="00FF756A" w:rsidRDefault="00835192" w:rsidP="004A3257">
            <w:pPr>
              <w:pStyle w:val="ListParagraph"/>
              <w:numPr>
                <w:ilvl w:val="0"/>
                <w:numId w:val="234"/>
              </w:numPr>
              <w:spacing w:before="20" w:after="20" w:line="240" w:lineRule="auto"/>
              <w:rPr>
                <w:i/>
                <w:iCs/>
                <w:sz w:val="20"/>
                <w:szCs w:val="20"/>
              </w:rPr>
            </w:pPr>
            <w:r w:rsidRPr="00FF756A">
              <w:rPr>
                <w:i/>
                <w:iCs/>
                <w:sz w:val="20"/>
                <w:szCs w:val="20"/>
              </w:rPr>
              <w:t>Dekarbonizimi</w:t>
            </w:r>
          </w:p>
          <w:p w14:paraId="799281ED" w14:textId="4780B1D9" w:rsidR="00835192" w:rsidRPr="00FF756A" w:rsidRDefault="00835192" w:rsidP="004A3257">
            <w:pPr>
              <w:spacing w:before="20" w:after="20" w:line="240" w:lineRule="auto"/>
              <w:rPr>
                <w:i/>
                <w:iCs/>
                <w:sz w:val="20"/>
                <w:szCs w:val="20"/>
              </w:rPr>
            </w:pPr>
            <w:r w:rsidRPr="00FF756A">
              <w:rPr>
                <w:i/>
                <w:iCs/>
                <w:sz w:val="20"/>
                <w:szCs w:val="20"/>
              </w:rPr>
              <w:t>Energjia e rinovueshme</w:t>
            </w:r>
          </w:p>
        </w:tc>
      </w:tr>
      <w:tr w:rsidR="00835192" w:rsidRPr="00FF756A" w14:paraId="6AB038C9" w14:textId="77777777" w:rsidTr="004A3257">
        <w:trPr>
          <w:trHeight w:val="20"/>
        </w:trPr>
        <w:tc>
          <w:tcPr>
            <w:tcW w:w="4078" w:type="dxa"/>
            <w:gridSpan w:val="3"/>
            <w:shd w:val="clear" w:color="auto" w:fill="D9E2F3" w:themeFill="accent1" w:themeFillTint="33"/>
          </w:tcPr>
          <w:p w14:paraId="084D3E7C"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94" w:type="dxa"/>
            <w:gridSpan w:val="3"/>
            <w:shd w:val="clear" w:color="auto" w:fill="D9E2F3" w:themeFill="accent1" w:themeFillTint="33"/>
          </w:tcPr>
          <w:p w14:paraId="1662E321" w14:textId="77777777" w:rsidR="00835192" w:rsidRPr="00FF756A" w:rsidRDefault="00835192" w:rsidP="00835192">
            <w:pPr>
              <w:spacing w:before="20" w:after="20" w:line="240" w:lineRule="auto"/>
              <w:rPr>
                <w:i/>
                <w:iCs/>
                <w:sz w:val="20"/>
                <w:szCs w:val="20"/>
              </w:rPr>
            </w:pPr>
            <w:r w:rsidRPr="00FF756A">
              <w:rPr>
                <w:i/>
                <w:iCs/>
                <w:sz w:val="20"/>
                <w:szCs w:val="20"/>
              </w:rPr>
              <w:t>Energjia elektrike, ngrohja dhe ftohja</w:t>
            </w:r>
          </w:p>
        </w:tc>
      </w:tr>
      <w:tr w:rsidR="00835192" w:rsidRPr="00FF756A" w14:paraId="6E2E94CF" w14:textId="77777777" w:rsidTr="004A3257">
        <w:trPr>
          <w:trHeight w:val="20"/>
        </w:trPr>
        <w:tc>
          <w:tcPr>
            <w:tcW w:w="3479" w:type="dxa"/>
            <w:gridSpan w:val="2"/>
          </w:tcPr>
          <w:p w14:paraId="057F6205"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02E01BFB"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3" w:type="dxa"/>
            <w:gridSpan w:val="4"/>
          </w:tcPr>
          <w:p w14:paraId="6A9E2E91" w14:textId="77777777" w:rsidR="00835192" w:rsidRPr="00FF756A" w:rsidRDefault="00835192" w:rsidP="00835192">
            <w:pPr>
              <w:spacing w:before="20" w:after="20" w:line="240" w:lineRule="auto"/>
              <w:rPr>
                <w:i/>
                <w:iCs/>
                <w:sz w:val="20"/>
                <w:szCs w:val="20"/>
              </w:rPr>
            </w:pPr>
            <w:r w:rsidRPr="00FF756A">
              <w:rPr>
                <w:i/>
                <w:iCs/>
                <w:sz w:val="20"/>
                <w:szCs w:val="20"/>
              </w:rPr>
              <w:t>WAM</w:t>
            </w:r>
          </w:p>
          <w:p w14:paraId="516D6E55" w14:textId="77777777" w:rsidR="00835192" w:rsidRPr="00FF756A" w:rsidRDefault="00835192" w:rsidP="00835192">
            <w:pPr>
              <w:spacing w:before="20" w:after="20" w:line="240" w:lineRule="auto"/>
              <w:rPr>
                <w:i/>
                <w:iCs/>
                <w:sz w:val="20"/>
                <w:szCs w:val="20"/>
              </w:rPr>
            </w:pPr>
            <w:r w:rsidRPr="00FF756A">
              <w:rPr>
                <w:i/>
                <w:iCs/>
                <w:sz w:val="20"/>
                <w:szCs w:val="20"/>
              </w:rPr>
              <w:t>Rregullator; Informues</w:t>
            </w:r>
          </w:p>
        </w:tc>
      </w:tr>
      <w:tr w:rsidR="00835192" w:rsidRPr="00FF756A" w14:paraId="7C9835A5" w14:textId="77777777" w:rsidTr="004A3257">
        <w:trPr>
          <w:trHeight w:val="20"/>
        </w:trPr>
        <w:tc>
          <w:tcPr>
            <w:tcW w:w="2200" w:type="dxa"/>
          </w:tcPr>
          <w:p w14:paraId="0C0FB28D"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51418DAF"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2" w:type="dxa"/>
            <w:gridSpan w:val="5"/>
          </w:tcPr>
          <w:p w14:paraId="5AE550D5" w14:textId="77777777" w:rsidR="00835192" w:rsidRPr="00FF756A" w:rsidRDefault="00835192" w:rsidP="00835192">
            <w:pPr>
              <w:spacing w:before="20" w:after="20" w:line="240" w:lineRule="auto"/>
              <w:rPr>
                <w:i/>
                <w:iCs/>
                <w:sz w:val="20"/>
                <w:szCs w:val="20"/>
              </w:rPr>
            </w:pPr>
            <w:r w:rsidRPr="00FF756A">
              <w:rPr>
                <w:i/>
                <w:iCs/>
                <w:sz w:val="20"/>
                <w:szCs w:val="20"/>
              </w:rPr>
              <w:t xml:space="preserve">Hartat e nxehtësisë </w:t>
            </w:r>
          </w:p>
          <w:p w14:paraId="2A5AE88D" w14:textId="77777777" w:rsidR="00835192" w:rsidRPr="00FF756A" w:rsidRDefault="00835192" w:rsidP="00835192">
            <w:pPr>
              <w:spacing w:before="20" w:after="20" w:line="240" w:lineRule="auto"/>
              <w:rPr>
                <w:i/>
                <w:iCs/>
                <w:sz w:val="20"/>
                <w:szCs w:val="20"/>
              </w:rPr>
            </w:pPr>
            <w:r w:rsidRPr="00FF756A">
              <w:rPr>
                <w:i/>
                <w:iCs/>
                <w:sz w:val="20"/>
                <w:szCs w:val="20"/>
              </w:rPr>
              <w:t>(R-E11)</w:t>
            </w:r>
          </w:p>
        </w:tc>
      </w:tr>
      <w:tr w:rsidR="00835192" w:rsidRPr="00FF756A" w14:paraId="7161D68F" w14:textId="77777777" w:rsidTr="004A3257">
        <w:trPr>
          <w:trHeight w:val="20"/>
        </w:trPr>
        <w:tc>
          <w:tcPr>
            <w:tcW w:w="2200" w:type="dxa"/>
          </w:tcPr>
          <w:p w14:paraId="764F05A1"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2" w:type="dxa"/>
            <w:gridSpan w:val="5"/>
          </w:tcPr>
          <w:p w14:paraId="5097FA15" w14:textId="77777777" w:rsidR="00835192" w:rsidRPr="00FF756A" w:rsidRDefault="00835192" w:rsidP="00835192">
            <w:pPr>
              <w:spacing w:before="20" w:after="20" w:line="240" w:lineRule="auto"/>
              <w:rPr>
                <w:i/>
                <w:iCs/>
                <w:sz w:val="20"/>
                <w:szCs w:val="20"/>
              </w:rPr>
            </w:pPr>
            <w:r w:rsidRPr="00FF756A">
              <w:rPr>
                <w:i/>
                <w:iCs/>
                <w:sz w:val="20"/>
                <w:szCs w:val="20"/>
              </w:rPr>
              <w:t>2024 – 2030</w:t>
            </w:r>
          </w:p>
        </w:tc>
      </w:tr>
      <w:tr w:rsidR="00835192" w:rsidRPr="00FF756A" w14:paraId="56BDA2B0" w14:textId="77777777" w:rsidTr="004A3257">
        <w:trPr>
          <w:trHeight w:val="20"/>
        </w:trPr>
        <w:tc>
          <w:tcPr>
            <w:tcW w:w="2200" w:type="dxa"/>
          </w:tcPr>
          <w:p w14:paraId="51713179"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2" w:type="dxa"/>
            <w:gridSpan w:val="5"/>
          </w:tcPr>
          <w:p w14:paraId="7E83BCCE" w14:textId="77777777" w:rsidR="00835192" w:rsidRPr="00FF756A" w:rsidRDefault="00835192" w:rsidP="00835192">
            <w:pPr>
              <w:spacing w:before="20" w:after="20" w:line="240" w:lineRule="auto"/>
              <w:rPr>
                <w:i/>
                <w:iCs/>
                <w:sz w:val="20"/>
                <w:szCs w:val="20"/>
              </w:rPr>
            </w:pPr>
            <w:r w:rsidRPr="00FF756A">
              <w:rPr>
                <w:i/>
                <w:iCs/>
                <w:sz w:val="20"/>
                <w:szCs w:val="20"/>
              </w:rPr>
              <w:t>Ligji nr. 124/2015, datë 12.11.2015, “Për efiçencën e energjisë”</w:t>
            </w:r>
          </w:p>
          <w:p w14:paraId="1EEF207A" w14:textId="77777777" w:rsidR="00835192" w:rsidRPr="00FF756A" w:rsidRDefault="00835192" w:rsidP="00835192">
            <w:pPr>
              <w:spacing w:before="20" w:after="20" w:line="240" w:lineRule="auto"/>
              <w:rPr>
                <w:i/>
                <w:iCs/>
                <w:sz w:val="20"/>
                <w:szCs w:val="20"/>
              </w:rPr>
            </w:pPr>
            <w:r w:rsidRPr="00FF756A">
              <w:rPr>
                <w:i/>
                <w:iCs/>
                <w:sz w:val="20"/>
                <w:szCs w:val="20"/>
              </w:rPr>
              <w:t>Udhëzimi i Ministrit të Infrastrukturës dhe Energjisë nr. 2, datë 1.2.2023, “Për elementet, kërkesat dhe parimet e përgjithshme të analizës së kostos dhe përfitimit për vlerësimin e potencialit të aplikimit të kogjenerimit me efiçencë të lartë, si dhe të ngrohjes dhe ftohjes efiçente”</w:t>
            </w:r>
          </w:p>
        </w:tc>
      </w:tr>
      <w:tr w:rsidR="00835192" w:rsidRPr="00FF756A" w14:paraId="1EB70C42" w14:textId="77777777" w:rsidTr="004A3257">
        <w:trPr>
          <w:trHeight w:val="20"/>
        </w:trPr>
        <w:tc>
          <w:tcPr>
            <w:tcW w:w="2200" w:type="dxa"/>
          </w:tcPr>
          <w:p w14:paraId="441726E2"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2" w:type="dxa"/>
            <w:gridSpan w:val="5"/>
          </w:tcPr>
          <w:p w14:paraId="473B89FD" w14:textId="77777777" w:rsidR="00835192" w:rsidRPr="00FF756A" w:rsidRDefault="00835192" w:rsidP="00835192">
            <w:pPr>
              <w:spacing w:before="20" w:after="20" w:line="240" w:lineRule="auto"/>
              <w:rPr>
                <w:i/>
                <w:iCs/>
                <w:sz w:val="20"/>
                <w:szCs w:val="20"/>
              </w:rPr>
            </w:pPr>
            <w:r w:rsidRPr="00FF756A">
              <w:rPr>
                <w:i/>
                <w:iCs/>
                <w:sz w:val="20"/>
                <w:szCs w:val="20"/>
              </w:rPr>
              <w:t>Asnjë masë e marrë deri më tani</w:t>
            </w:r>
          </w:p>
          <w:p w14:paraId="5229793D" w14:textId="2F33A946" w:rsidR="00835192" w:rsidRPr="00FF756A" w:rsidRDefault="00835192" w:rsidP="004A3257">
            <w:pPr>
              <w:spacing w:before="0" w:after="0" w:line="240" w:lineRule="auto"/>
              <w:rPr>
                <w:i/>
                <w:iCs/>
                <w:sz w:val="20"/>
                <w:szCs w:val="20"/>
              </w:rPr>
            </w:pPr>
            <w:r w:rsidRPr="00FF756A">
              <w:rPr>
                <w:i/>
                <w:iCs/>
                <w:sz w:val="20"/>
                <w:szCs w:val="20"/>
              </w:rPr>
              <w:t>Kjo PM mund të mbështetet në Fondin “Energjia e Rinovueshme Zhvillimore në</w:t>
            </w:r>
            <w:r w:rsidRPr="00FF756A">
              <w:rPr>
                <w:i/>
                <w:iCs/>
                <w:sz w:val="20"/>
                <w:szCs w:val="20"/>
              </w:rPr>
              <w:br/>
              <w:t>Ballkanin Perëndimor”</w:t>
            </w:r>
          </w:p>
          <w:p w14:paraId="1C1CFA32" w14:textId="4F41A79B" w:rsidR="00835192" w:rsidRPr="00FF756A" w:rsidRDefault="00835192" w:rsidP="00835192">
            <w:pPr>
              <w:spacing w:before="20" w:after="20" w:line="240" w:lineRule="auto"/>
              <w:rPr>
                <w:i/>
                <w:iCs/>
                <w:sz w:val="20"/>
                <w:szCs w:val="20"/>
              </w:rPr>
            </w:pPr>
            <w:r w:rsidRPr="00FF756A">
              <w:rPr>
                <w:i/>
                <w:iCs/>
                <w:sz w:val="20"/>
                <w:szCs w:val="20"/>
              </w:rPr>
              <w:t>(ReDEWeB) financuar nga BERZH (</w:t>
            </w:r>
            <w:hyperlink r:id="rId65" w:history="1">
              <w:r w:rsidR="00384E21" w:rsidRPr="00FF756A">
                <w:rPr>
                  <w:rStyle w:val="Hyperlink"/>
                  <w:i/>
                  <w:iCs/>
                  <w:sz w:val="20"/>
                  <w:szCs w:val="20"/>
                </w:rPr>
                <w:t>https://www.energy-community.org/dam/jcr:1e419b0f-0832-421f-82aa-b66f6a19daa6/CARi_EBRD_0222.pdf</w:t>
              </w:r>
            </w:hyperlink>
            <w:r w:rsidRPr="00FF756A">
              <w:rPr>
                <w:i/>
                <w:iCs/>
                <w:sz w:val="20"/>
                <w:szCs w:val="20"/>
              </w:rPr>
              <w:t>)</w:t>
            </w:r>
            <w:r w:rsidR="00384E21" w:rsidRPr="00FF756A">
              <w:rPr>
                <w:i/>
                <w:iCs/>
                <w:sz w:val="20"/>
                <w:szCs w:val="20"/>
              </w:rPr>
              <w:t xml:space="preserve"> </w:t>
            </w:r>
          </w:p>
        </w:tc>
      </w:tr>
      <w:tr w:rsidR="00835192" w:rsidRPr="00FF756A" w14:paraId="160C7520" w14:textId="77777777" w:rsidTr="004A3257">
        <w:trPr>
          <w:trHeight w:val="20"/>
        </w:trPr>
        <w:tc>
          <w:tcPr>
            <w:tcW w:w="2200" w:type="dxa"/>
          </w:tcPr>
          <w:p w14:paraId="6F5E0D60"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2" w:type="dxa"/>
            <w:gridSpan w:val="5"/>
          </w:tcPr>
          <w:p w14:paraId="06340E12" w14:textId="77777777" w:rsidR="00835192" w:rsidRPr="00FF756A" w:rsidRDefault="00835192" w:rsidP="00835192">
            <w:pPr>
              <w:spacing w:before="20" w:after="20" w:line="240" w:lineRule="auto"/>
              <w:rPr>
                <w:i/>
                <w:iCs/>
                <w:sz w:val="20"/>
                <w:szCs w:val="20"/>
              </w:rPr>
            </w:pPr>
            <w:r w:rsidRPr="00FF756A">
              <w:rPr>
                <w:i/>
                <w:iCs/>
                <w:sz w:val="20"/>
                <w:szCs w:val="20"/>
              </w:rPr>
              <w:t xml:space="preserve"> Kontributi në dekarbonizimin e ngrohjes (duke përfshirë sigurimin e ujit të ngrohtë në banesa) </w:t>
            </w:r>
          </w:p>
        </w:tc>
      </w:tr>
      <w:tr w:rsidR="00835192" w:rsidRPr="00FF756A" w14:paraId="3D2DF519" w14:textId="77777777" w:rsidTr="004A3257">
        <w:trPr>
          <w:trHeight w:val="20"/>
        </w:trPr>
        <w:tc>
          <w:tcPr>
            <w:tcW w:w="2200" w:type="dxa"/>
          </w:tcPr>
          <w:p w14:paraId="76F60305"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2" w:type="dxa"/>
            <w:gridSpan w:val="5"/>
          </w:tcPr>
          <w:p w14:paraId="56DED213" w14:textId="77777777" w:rsidR="00835192" w:rsidRPr="00FF756A" w:rsidRDefault="00835192" w:rsidP="00835192">
            <w:pPr>
              <w:spacing w:before="20" w:after="20" w:line="240" w:lineRule="auto"/>
              <w:rPr>
                <w:i/>
                <w:iCs/>
                <w:sz w:val="20"/>
                <w:szCs w:val="20"/>
              </w:rPr>
            </w:pPr>
            <w:r w:rsidRPr="00FF756A">
              <w:rPr>
                <w:i/>
                <w:iCs/>
                <w:sz w:val="20"/>
                <w:szCs w:val="20"/>
              </w:rPr>
              <w:t>Hartat bashkiake të nxehtësisë si bazë për vendimmarrjen e lidhur me dekarbonizimin e ngrohjes</w:t>
            </w:r>
          </w:p>
        </w:tc>
      </w:tr>
      <w:tr w:rsidR="00835192" w:rsidRPr="00FF756A" w14:paraId="6314E815" w14:textId="77777777" w:rsidTr="004A3257">
        <w:trPr>
          <w:trHeight w:val="20"/>
        </w:trPr>
        <w:tc>
          <w:tcPr>
            <w:tcW w:w="2200" w:type="dxa"/>
          </w:tcPr>
          <w:p w14:paraId="2720A3E3"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2" w:type="dxa"/>
            <w:gridSpan w:val="4"/>
          </w:tcPr>
          <w:p w14:paraId="2A3C1335" w14:textId="77777777" w:rsidR="00835192" w:rsidRPr="00FF756A" w:rsidRDefault="00835192" w:rsidP="00835192">
            <w:pPr>
              <w:spacing w:before="20" w:after="20" w:line="240" w:lineRule="auto"/>
              <w:rPr>
                <w:i/>
                <w:iCs/>
                <w:sz w:val="20"/>
                <w:szCs w:val="20"/>
              </w:rPr>
            </w:pPr>
            <w:r w:rsidRPr="00FF756A">
              <w:rPr>
                <w:i/>
                <w:iCs/>
                <w:sz w:val="20"/>
                <w:szCs w:val="20"/>
              </w:rPr>
              <w:t xml:space="preserve">Studim </w:t>
            </w:r>
          </w:p>
          <w:p w14:paraId="5DB9A6A1" w14:textId="77777777" w:rsidR="00835192" w:rsidRPr="00FF756A" w:rsidRDefault="00835192" w:rsidP="008639B2">
            <w:pPr>
              <w:numPr>
                <w:ilvl w:val="0"/>
                <w:numId w:val="161"/>
              </w:numPr>
              <w:spacing w:before="20" w:after="20" w:line="240" w:lineRule="auto"/>
              <w:contextualSpacing/>
              <w:rPr>
                <w:i/>
                <w:iCs/>
                <w:sz w:val="20"/>
                <w:szCs w:val="20"/>
              </w:rPr>
            </w:pPr>
            <w:r w:rsidRPr="00FF756A">
              <w:rPr>
                <w:i/>
                <w:iCs/>
                <w:sz w:val="20"/>
                <w:szCs w:val="20"/>
              </w:rPr>
              <w:t>Identifikimi i vendndodhjes së kërkesës dhe ofertës aktuale për energji në një hartë</w:t>
            </w:r>
          </w:p>
          <w:p w14:paraId="363A482E" w14:textId="77777777" w:rsidR="00835192" w:rsidRPr="00FF756A" w:rsidRDefault="00835192" w:rsidP="008639B2">
            <w:pPr>
              <w:numPr>
                <w:ilvl w:val="0"/>
                <w:numId w:val="161"/>
              </w:numPr>
              <w:spacing w:before="20" w:after="20" w:line="240" w:lineRule="auto"/>
              <w:contextualSpacing/>
              <w:rPr>
                <w:i/>
                <w:iCs/>
                <w:sz w:val="20"/>
                <w:szCs w:val="20"/>
              </w:rPr>
            </w:pPr>
            <w:r w:rsidRPr="00FF756A">
              <w:rPr>
                <w:i/>
                <w:iCs/>
                <w:sz w:val="20"/>
                <w:szCs w:val="20"/>
              </w:rPr>
              <w:t>Identifikimi i potencialit të energjisë së rinovueshme për të furnizuar me ngrohje një zonë të përzgjedhur;</w:t>
            </w:r>
          </w:p>
          <w:p w14:paraId="74EFD071" w14:textId="6BF1BB4B" w:rsidR="00835192" w:rsidRPr="00FF756A" w:rsidRDefault="00835192" w:rsidP="008639B2">
            <w:pPr>
              <w:numPr>
                <w:ilvl w:val="0"/>
                <w:numId w:val="161"/>
              </w:numPr>
              <w:spacing w:before="20" w:after="20" w:line="240" w:lineRule="auto"/>
              <w:contextualSpacing/>
              <w:rPr>
                <w:i/>
                <w:iCs/>
                <w:sz w:val="20"/>
                <w:szCs w:val="20"/>
              </w:rPr>
            </w:pPr>
            <w:r w:rsidRPr="00FF756A">
              <w:rPr>
                <w:i/>
                <w:iCs/>
                <w:sz w:val="20"/>
                <w:szCs w:val="20"/>
              </w:rPr>
              <w:t xml:space="preserve">Llogaritja </w:t>
            </w:r>
            <w:r w:rsidR="00B6782D" w:rsidRPr="00FF756A">
              <w:rPr>
                <w:i/>
                <w:iCs/>
                <w:sz w:val="20"/>
                <w:szCs w:val="20"/>
              </w:rPr>
              <w:t xml:space="preserve">e </w:t>
            </w:r>
            <w:r w:rsidRPr="00FF756A">
              <w:rPr>
                <w:i/>
                <w:iCs/>
                <w:sz w:val="20"/>
                <w:szCs w:val="20"/>
              </w:rPr>
              <w:t xml:space="preserve">potencialit për opsionet e ngrohjes qendrore efiçente brenda një zone të përzgjedhur; Vlerësimi dhe krahasimi i kostove të opsioneve të ngrohjes individuale kundrejt ngrohjes qendrore brenda një zone të përzgjedhur; </w:t>
            </w:r>
          </w:p>
          <w:p w14:paraId="2F1C870C" w14:textId="33AB166C" w:rsidR="00835192" w:rsidRPr="00FF756A" w:rsidRDefault="00835192" w:rsidP="008639B2">
            <w:pPr>
              <w:numPr>
                <w:ilvl w:val="0"/>
                <w:numId w:val="161"/>
              </w:numPr>
              <w:spacing w:before="20" w:after="20" w:line="240" w:lineRule="auto"/>
              <w:contextualSpacing/>
              <w:rPr>
                <w:i/>
                <w:iCs/>
                <w:sz w:val="20"/>
                <w:szCs w:val="20"/>
              </w:rPr>
            </w:pPr>
            <w:r w:rsidRPr="00FF756A">
              <w:rPr>
                <w:i/>
                <w:iCs/>
                <w:sz w:val="20"/>
                <w:szCs w:val="20"/>
              </w:rPr>
              <w:lastRenderedPageBreak/>
              <w:t xml:space="preserve">Vlerësimi i rezultateve dhe rekomandimeve në lidhje me kombinimin optimal të energjisë për furnizimin me ngrohje qendrore brenda një zone të përzgjedhur. Shembull: </w:t>
            </w:r>
            <w:hyperlink r:id="rId66" w:history="1">
              <w:r w:rsidRPr="00FF756A">
                <w:rPr>
                  <w:i/>
                  <w:iCs/>
                  <w:sz w:val="20"/>
                  <w:szCs w:val="20"/>
                </w:rPr>
                <w:t>https://www.hotmaps-project.eu/how-to-use/</w:t>
              </w:r>
            </w:hyperlink>
          </w:p>
          <w:p w14:paraId="7475A4E8" w14:textId="77777777" w:rsidR="00835192" w:rsidRPr="00FF756A" w:rsidRDefault="00835192" w:rsidP="00835192">
            <w:pPr>
              <w:spacing w:before="20" w:after="20" w:line="240" w:lineRule="auto"/>
              <w:rPr>
                <w:i/>
                <w:iCs/>
                <w:sz w:val="20"/>
                <w:szCs w:val="20"/>
              </w:rPr>
            </w:pPr>
            <w:r w:rsidRPr="00FF756A">
              <w:rPr>
                <w:i/>
                <w:iCs/>
                <w:sz w:val="20"/>
                <w:szCs w:val="20"/>
              </w:rPr>
              <w:t>Kuadri ligjor për zbatimin e hartave të nxehtësisë si pjesë e planifikimit hapësinor të energjisë</w:t>
            </w:r>
          </w:p>
        </w:tc>
        <w:tc>
          <w:tcPr>
            <w:tcW w:w="850" w:type="dxa"/>
          </w:tcPr>
          <w:p w14:paraId="60445868" w14:textId="77777777" w:rsidR="00835192" w:rsidRPr="00FF756A" w:rsidRDefault="00835192" w:rsidP="00835192">
            <w:pPr>
              <w:spacing w:before="20" w:after="20" w:line="240" w:lineRule="auto"/>
              <w:jc w:val="left"/>
              <w:rPr>
                <w:i/>
                <w:iCs/>
                <w:sz w:val="20"/>
                <w:szCs w:val="20"/>
              </w:rPr>
            </w:pPr>
            <w:r w:rsidRPr="00FF756A">
              <w:rPr>
                <w:i/>
                <w:iCs/>
                <w:sz w:val="20"/>
                <w:szCs w:val="20"/>
              </w:rPr>
              <w:lastRenderedPageBreak/>
              <w:t>brenda vitit 2026</w:t>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lastRenderedPageBreak/>
              <w:br/>
            </w:r>
          </w:p>
          <w:p w14:paraId="39007F00" w14:textId="77777777" w:rsidR="00835192" w:rsidRPr="00FF756A" w:rsidRDefault="00835192" w:rsidP="00835192">
            <w:pPr>
              <w:spacing w:before="20" w:after="20" w:line="240" w:lineRule="auto"/>
              <w:jc w:val="left"/>
              <w:rPr>
                <w:i/>
                <w:iCs/>
                <w:sz w:val="20"/>
                <w:szCs w:val="20"/>
              </w:rPr>
            </w:pPr>
            <w:r w:rsidRPr="00FF756A">
              <w:rPr>
                <w:i/>
                <w:iCs/>
                <w:sz w:val="20"/>
                <w:szCs w:val="20"/>
              </w:rPr>
              <w:br/>
              <w:t>brenda vitit 2028</w:t>
            </w:r>
          </w:p>
        </w:tc>
      </w:tr>
      <w:tr w:rsidR="00835192" w:rsidRPr="00FF756A" w14:paraId="12C05BA3" w14:textId="77777777" w:rsidTr="004A3257">
        <w:trPr>
          <w:trHeight w:val="20"/>
        </w:trPr>
        <w:tc>
          <w:tcPr>
            <w:tcW w:w="2200" w:type="dxa"/>
          </w:tcPr>
          <w:p w14:paraId="3418599A"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Buxheti (burimi i financimit)</w:t>
            </w:r>
          </w:p>
        </w:tc>
        <w:tc>
          <w:tcPr>
            <w:tcW w:w="6872" w:type="dxa"/>
            <w:gridSpan w:val="5"/>
          </w:tcPr>
          <w:p w14:paraId="253238F8" w14:textId="77777777" w:rsidR="00835192" w:rsidRPr="00FF756A" w:rsidRDefault="00835192" w:rsidP="00835192">
            <w:pPr>
              <w:spacing w:before="20" w:after="20" w:line="240" w:lineRule="auto"/>
              <w:rPr>
                <w:i/>
                <w:iCs/>
                <w:sz w:val="20"/>
                <w:szCs w:val="20"/>
              </w:rPr>
            </w:pPr>
            <w:r w:rsidRPr="00FF756A">
              <w:rPr>
                <w:i/>
                <w:iCs/>
                <w:sz w:val="20"/>
                <w:szCs w:val="20"/>
              </w:rPr>
              <w:t xml:space="preserve">Do të financohet nga një Program i Asistencës Teknike, p.sh. përmes BERZH (duke iu referuar fondit ReDEWeB), me një buxhet të parashikuar prej 0,5 milionë eurosh.  </w:t>
            </w:r>
          </w:p>
        </w:tc>
      </w:tr>
      <w:tr w:rsidR="00835192" w:rsidRPr="00FF756A" w14:paraId="7513F387" w14:textId="77777777" w:rsidTr="004A3257">
        <w:trPr>
          <w:trHeight w:val="20"/>
        </w:trPr>
        <w:tc>
          <w:tcPr>
            <w:tcW w:w="2200" w:type="dxa"/>
          </w:tcPr>
          <w:p w14:paraId="78883203"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1BF386F7"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2" w:type="dxa"/>
            <w:gridSpan w:val="5"/>
          </w:tcPr>
          <w:p w14:paraId="688D7E88" w14:textId="77777777" w:rsidR="00835192" w:rsidRPr="00FF756A" w:rsidRDefault="00835192" w:rsidP="00835192">
            <w:pPr>
              <w:spacing w:before="20" w:after="20" w:line="240" w:lineRule="auto"/>
              <w:rPr>
                <w:i/>
                <w:iCs/>
                <w:sz w:val="20"/>
                <w:szCs w:val="20"/>
              </w:rPr>
            </w:pPr>
            <w:r w:rsidRPr="00FF756A">
              <w:rPr>
                <w:i/>
                <w:iCs/>
                <w:sz w:val="20"/>
                <w:szCs w:val="20"/>
              </w:rPr>
              <w:t>Bashkitë; Ministria e Infrastrukturës dhe Energjisë</w:t>
            </w:r>
          </w:p>
          <w:p w14:paraId="173C0837" w14:textId="77777777" w:rsidR="00835192" w:rsidRPr="00FF756A" w:rsidRDefault="00835192" w:rsidP="00835192">
            <w:pPr>
              <w:spacing w:before="20" w:after="20" w:line="240" w:lineRule="auto"/>
              <w:rPr>
                <w:i/>
                <w:iCs/>
                <w:sz w:val="20"/>
                <w:szCs w:val="20"/>
              </w:rPr>
            </w:pPr>
          </w:p>
        </w:tc>
      </w:tr>
      <w:tr w:rsidR="00835192" w:rsidRPr="00FF756A" w14:paraId="72588268" w14:textId="77777777" w:rsidTr="004A3257">
        <w:trPr>
          <w:trHeight w:val="20"/>
        </w:trPr>
        <w:tc>
          <w:tcPr>
            <w:tcW w:w="2200" w:type="dxa"/>
          </w:tcPr>
          <w:p w14:paraId="1972822C"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2" w:type="dxa"/>
            <w:gridSpan w:val="5"/>
          </w:tcPr>
          <w:p w14:paraId="58F89CD6" w14:textId="77777777" w:rsidR="00835192" w:rsidRPr="00FF756A" w:rsidRDefault="00835192" w:rsidP="00835192">
            <w:pPr>
              <w:spacing w:before="20" w:after="20" w:line="240" w:lineRule="auto"/>
              <w:rPr>
                <w:i/>
                <w:iCs/>
                <w:sz w:val="20"/>
                <w:szCs w:val="20"/>
              </w:rPr>
            </w:pPr>
            <w:r w:rsidRPr="00FF756A">
              <w:rPr>
                <w:i/>
                <w:iCs/>
                <w:sz w:val="20"/>
                <w:szCs w:val="20"/>
              </w:rPr>
              <w:t xml:space="preserve">Marrëdhënia me PM-në e mëposhtme: </w:t>
            </w:r>
          </w:p>
          <w:p w14:paraId="54A5A930" w14:textId="4587EF8C" w:rsidR="00835192" w:rsidRPr="00FF756A" w:rsidRDefault="00835192" w:rsidP="00835192">
            <w:pPr>
              <w:spacing w:before="20" w:after="20" w:line="240" w:lineRule="auto"/>
              <w:rPr>
                <w:i/>
                <w:iCs/>
                <w:sz w:val="20"/>
                <w:szCs w:val="20"/>
                <w:highlight w:val="yellow"/>
              </w:rPr>
            </w:pPr>
            <w:r w:rsidRPr="00FF756A">
              <w:rPr>
                <w:i/>
                <w:iCs/>
                <w:sz w:val="20"/>
                <w:szCs w:val="20"/>
              </w:rPr>
              <w:t>R-E3 Planifikimi hapësinor</w:t>
            </w:r>
            <w:r w:rsidR="00FD1A69" w:rsidRPr="00FF756A">
              <w:rPr>
                <w:i/>
                <w:iCs/>
                <w:sz w:val="20"/>
                <w:szCs w:val="20"/>
              </w:rPr>
              <w:t xml:space="preserve"> </w:t>
            </w:r>
            <w:r w:rsidRPr="00FF756A">
              <w:rPr>
                <w:i/>
                <w:iCs/>
                <w:sz w:val="20"/>
                <w:szCs w:val="20"/>
              </w:rPr>
              <w:t>për rritjen e përqindjes së energjisë së rinovueshme dhe përmirësimin e efiçencës së energjisë</w:t>
            </w:r>
          </w:p>
        </w:tc>
      </w:tr>
    </w:tbl>
    <w:p w14:paraId="488FC62B" w14:textId="77777777" w:rsidR="00835192" w:rsidRPr="00FF756A" w:rsidRDefault="00835192" w:rsidP="00835192"/>
    <w:p w14:paraId="4EB23929" w14:textId="77777777" w:rsidR="00835192" w:rsidRPr="00FF756A" w:rsidRDefault="00835192" w:rsidP="004A3257">
      <w:pPr>
        <w:pStyle w:val="Heading4"/>
        <w:numPr>
          <w:ilvl w:val="0"/>
          <w:numId w:val="0"/>
        </w:numPr>
        <w:ind w:left="864" w:hanging="864"/>
        <w:rPr>
          <w:rFonts w:cs="Times New Roman"/>
        </w:rPr>
      </w:pPr>
      <w:bookmarkStart w:id="375" w:name="_Toc183639233"/>
      <w:r w:rsidRPr="00FF756A">
        <w:rPr>
          <w:rFonts w:cs="Times New Roman"/>
        </w:rPr>
        <w:t>Sektori i transportit</w:t>
      </w:r>
      <w:bookmarkEnd w:id="375"/>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7"/>
        <w:gridCol w:w="1277"/>
        <w:gridCol w:w="598"/>
        <w:gridCol w:w="427"/>
        <w:gridCol w:w="3713"/>
        <w:gridCol w:w="850"/>
      </w:tblGrid>
      <w:tr w:rsidR="00835192" w:rsidRPr="00FF756A" w14:paraId="7430548E" w14:textId="77777777" w:rsidTr="004A3257">
        <w:trPr>
          <w:trHeight w:val="20"/>
        </w:trPr>
        <w:tc>
          <w:tcPr>
            <w:tcW w:w="4505" w:type="dxa"/>
            <w:gridSpan w:val="4"/>
            <w:shd w:val="clear" w:color="auto" w:fill="D9E2F3" w:themeFill="accent1" w:themeFillTint="33"/>
          </w:tcPr>
          <w:p w14:paraId="2647B60F"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67" w:type="dxa"/>
            <w:gridSpan w:val="2"/>
            <w:shd w:val="clear" w:color="auto" w:fill="D9E2F3" w:themeFill="accent1" w:themeFillTint="33"/>
          </w:tcPr>
          <w:p w14:paraId="282020F6" w14:textId="77777777" w:rsidR="00835192" w:rsidRPr="00FF756A" w:rsidRDefault="00835192" w:rsidP="00835192">
            <w:pPr>
              <w:numPr>
                <w:ilvl w:val="0"/>
                <w:numId w:val="2"/>
              </w:numPr>
              <w:spacing w:before="20" w:after="20" w:line="240" w:lineRule="auto"/>
              <w:contextualSpacing/>
              <w:rPr>
                <w:i/>
                <w:iCs/>
                <w:sz w:val="20"/>
                <w:szCs w:val="20"/>
              </w:rPr>
            </w:pPr>
            <w:r w:rsidRPr="00FF756A">
              <w:rPr>
                <w:i/>
                <w:iCs/>
                <w:sz w:val="20"/>
                <w:szCs w:val="20"/>
              </w:rPr>
              <w:t>Dekarbonizimi</w:t>
            </w:r>
          </w:p>
          <w:p w14:paraId="739D4A17" w14:textId="0AFD9E30" w:rsidR="00835192" w:rsidRPr="00FF756A" w:rsidRDefault="00835192" w:rsidP="004A3257">
            <w:pPr>
              <w:spacing w:before="20" w:after="20" w:line="240" w:lineRule="auto"/>
              <w:contextualSpacing/>
              <w:rPr>
                <w:i/>
                <w:iCs/>
                <w:sz w:val="20"/>
                <w:szCs w:val="20"/>
              </w:rPr>
            </w:pPr>
            <w:r w:rsidRPr="00FF756A">
              <w:rPr>
                <w:i/>
                <w:iCs/>
                <w:sz w:val="20"/>
                <w:szCs w:val="20"/>
              </w:rPr>
              <w:t>Energjia e rinovueshme</w:t>
            </w:r>
          </w:p>
        </w:tc>
      </w:tr>
      <w:tr w:rsidR="00835192" w:rsidRPr="00FF756A" w14:paraId="3154E43B" w14:textId="77777777" w:rsidTr="004A3257">
        <w:trPr>
          <w:trHeight w:val="20"/>
        </w:trPr>
        <w:tc>
          <w:tcPr>
            <w:tcW w:w="4077" w:type="dxa"/>
            <w:gridSpan w:val="3"/>
            <w:shd w:val="clear" w:color="auto" w:fill="D9E2F3" w:themeFill="accent1" w:themeFillTint="33"/>
          </w:tcPr>
          <w:p w14:paraId="7D28C3B1"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95" w:type="dxa"/>
            <w:gridSpan w:val="3"/>
            <w:shd w:val="clear" w:color="auto" w:fill="D9E2F3" w:themeFill="accent1" w:themeFillTint="33"/>
          </w:tcPr>
          <w:p w14:paraId="1FE86419" w14:textId="77777777" w:rsidR="00835192" w:rsidRPr="00FF756A" w:rsidRDefault="00835192" w:rsidP="00835192">
            <w:pPr>
              <w:spacing w:before="20" w:after="20" w:line="240" w:lineRule="auto"/>
              <w:rPr>
                <w:i/>
                <w:iCs/>
                <w:sz w:val="20"/>
                <w:szCs w:val="20"/>
              </w:rPr>
            </w:pPr>
            <w:r w:rsidRPr="00FF756A">
              <w:rPr>
                <w:i/>
                <w:iCs/>
                <w:sz w:val="20"/>
                <w:szCs w:val="20"/>
              </w:rPr>
              <w:t>Transporti</w:t>
            </w:r>
          </w:p>
        </w:tc>
      </w:tr>
      <w:tr w:rsidR="00835192" w:rsidRPr="00FF756A" w14:paraId="0D0A4A6C" w14:textId="77777777" w:rsidTr="004A3257">
        <w:trPr>
          <w:trHeight w:val="20"/>
        </w:trPr>
        <w:tc>
          <w:tcPr>
            <w:tcW w:w="3478" w:type="dxa"/>
            <w:gridSpan w:val="2"/>
          </w:tcPr>
          <w:p w14:paraId="20C47A69"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2C98D2DB"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4" w:type="dxa"/>
            <w:gridSpan w:val="4"/>
          </w:tcPr>
          <w:p w14:paraId="7DDDE4AF" w14:textId="77777777" w:rsidR="00835192" w:rsidRPr="00FF756A" w:rsidRDefault="00835192" w:rsidP="00835192">
            <w:pPr>
              <w:spacing w:before="20" w:after="20" w:line="240" w:lineRule="auto"/>
              <w:rPr>
                <w:i/>
                <w:iCs/>
                <w:sz w:val="20"/>
                <w:szCs w:val="20"/>
              </w:rPr>
            </w:pPr>
            <w:r w:rsidRPr="00FF756A">
              <w:rPr>
                <w:i/>
                <w:iCs/>
                <w:sz w:val="20"/>
                <w:szCs w:val="20"/>
              </w:rPr>
              <w:t>WAM</w:t>
            </w:r>
          </w:p>
          <w:p w14:paraId="449B1891"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1A9E69D4" w14:textId="77777777" w:rsidTr="004A3257">
        <w:trPr>
          <w:trHeight w:val="20"/>
        </w:trPr>
        <w:tc>
          <w:tcPr>
            <w:tcW w:w="2199" w:type="dxa"/>
          </w:tcPr>
          <w:p w14:paraId="5ED5B93F"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48307F93"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3" w:type="dxa"/>
            <w:gridSpan w:val="5"/>
          </w:tcPr>
          <w:p w14:paraId="079B1481" w14:textId="77777777" w:rsidR="00835192" w:rsidRPr="00FF756A" w:rsidRDefault="00835192" w:rsidP="00835192">
            <w:pPr>
              <w:spacing w:before="20" w:after="20" w:line="240" w:lineRule="auto"/>
              <w:rPr>
                <w:i/>
                <w:iCs/>
                <w:sz w:val="20"/>
                <w:szCs w:val="20"/>
              </w:rPr>
            </w:pPr>
            <w:r w:rsidRPr="00FF756A">
              <w:rPr>
                <w:i/>
                <w:iCs/>
                <w:sz w:val="20"/>
                <w:szCs w:val="20"/>
              </w:rPr>
              <w:t>Elektrifikimi i sektorit të transportit</w:t>
            </w:r>
          </w:p>
          <w:p w14:paraId="636E5421" w14:textId="77777777" w:rsidR="00835192" w:rsidRPr="00FF756A" w:rsidRDefault="00835192" w:rsidP="00835192">
            <w:pPr>
              <w:spacing w:before="20" w:after="20" w:line="240" w:lineRule="auto"/>
              <w:rPr>
                <w:i/>
                <w:iCs/>
                <w:sz w:val="20"/>
                <w:szCs w:val="20"/>
              </w:rPr>
            </w:pPr>
            <w:r w:rsidRPr="00FF756A">
              <w:rPr>
                <w:i/>
                <w:iCs/>
                <w:sz w:val="20"/>
                <w:szCs w:val="20"/>
              </w:rPr>
              <w:t>(R-T1)</w:t>
            </w:r>
          </w:p>
        </w:tc>
      </w:tr>
      <w:tr w:rsidR="00835192" w:rsidRPr="00FF756A" w14:paraId="3DCF211A" w14:textId="77777777" w:rsidTr="004A3257">
        <w:trPr>
          <w:trHeight w:val="20"/>
        </w:trPr>
        <w:tc>
          <w:tcPr>
            <w:tcW w:w="2199" w:type="dxa"/>
          </w:tcPr>
          <w:p w14:paraId="4A4EBCD0"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3" w:type="dxa"/>
            <w:gridSpan w:val="5"/>
          </w:tcPr>
          <w:p w14:paraId="49AE4663" w14:textId="77777777" w:rsidR="00835192" w:rsidRPr="00FF756A" w:rsidRDefault="00835192" w:rsidP="00835192">
            <w:pPr>
              <w:spacing w:before="20" w:after="20" w:line="240" w:lineRule="auto"/>
              <w:rPr>
                <w:i/>
                <w:iCs/>
                <w:sz w:val="20"/>
                <w:szCs w:val="20"/>
              </w:rPr>
            </w:pPr>
            <w:r w:rsidRPr="00FF756A">
              <w:rPr>
                <w:i/>
                <w:iCs/>
                <w:sz w:val="20"/>
                <w:szCs w:val="20"/>
              </w:rPr>
              <w:t>2021-2030</w:t>
            </w:r>
          </w:p>
        </w:tc>
      </w:tr>
      <w:tr w:rsidR="00835192" w:rsidRPr="00FF756A" w14:paraId="2469898C" w14:textId="77777777" w:rsidTr="004A3257">
        <w:trPr>
          <w:trHeight w:val="20"/>
        </w:trPr>
        <w:tc>
          <w:tcPr>
            <w:tcW w:w="2199" w:type="dxa"/>
          </w:tcPr>
          <w:p w14:paraId="4E35B3D1"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3" w:type="dxa"/>
            <w:gridSpan w:val="5"/>
          </w:tcPr>
          <w:p w14:paraId="7D403CCD" w14:textId="77777777" w:rsidR="00835192" w:rsidRPr="00FF756A" w:rsidRDefault="00835192" w:rsidP="00835192">
            <w:pPr>
              <w:spacing w:before="20" w:after="20" w:line="240" w:lineRule="auto"/>
              <w:rPr>
                <w:i/>
                <w:iCs/>
                <w:sz w:val="20"/>
                <w:szCs w:val="20"/>
              </w:rPr>
            </w:pPr>
            <w:r w:rsidRPr="00FF756A">
              <w:rPr>
                <w:i/>
                <w:iCs/>
                <w:sz w:val="20"/>
                <w:szCs w:val="20"/>
              </w:rPr>
              <w:t>Ligji nr. 24/2023, datë 23.3.2023, “Për nxitjen e përdorimit të energjisë nga burimet e rinovueshme”</w:t>
            </w:r>
          </w:p>
        </w:tc>
      </w:tr>
      <w:tr w:rsidR="00835192" w:rsidRPr="00FF756A" w14:paraId="48DB584F" w14:textId="77777777" w:rsidTr="004A3257">
        <w:trPr>
          <w:trHeight w:val="20"/>
        </w:trPr>
        <w:tc>
          <w:tcPr>
            <w:tcW w:w="2199" w:type="dxa"/>
          </w:tcPr>
          <w:p w14:paraId="7FCE8A1C"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3" w:type="dxa"/>
            <w:gridSpan w:val="5"/>
          </w:tcPr>
          <w:p w14:paraId="3195549A" w14:textId="77777777" w:rsidR="00835192" w:rsidRPr="00FF756A" w:rsidRDefault="00835192" w:rsidP="00835192">
            <w:pPr>
              <w:spacing w:before="20" w:after="20" w:line="240" w:lineRule="auto"/>
              <w:rPr>
                <w:i/>
                <w:iCs/>
                <w:sz w:val="20"/>
                <w:szCs w:val="20"/>
              </w:rPr>
            </w:pPr>
            <w:r w:rsidRPr="00FF756A">
              <w:rPr>
                <w:i/>
                <w:iCs/>
                <w:sz w:val="20"/>
                <w:szCs w:val="20"/>
              </w:rPr>
              <w:t>Energjia e rinovueshme për sektorin e transportit (BRE-T) për vitin 2020 mbetet në diapazonin e 20,3 ktoe, nga 62 ktoe që ishte vlera e parashikuar.</w:t>
            </w:r>
          </w:p>
        </w:tc>
      </w:tr>
      <w:tr w:rsidR="00835192" w:rsidRPr="00FF756A" w14:paraId="06ABF797" w14:textId="77777777" w:rsidTr="004A3257">
        <w:trPr>
          <w:trHeight w:val="20"/>
        </w:trPr>
        <w:tc>
          <w:tcPr>
            <w:tcW w:w="2199" w:type="dxa"/>
          </w:tcPr>
          <w:p w14:paraId="21D7A9AA"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3" w:type="dxa"/>
            <w:gridSpan w:val="5"/>
          </w:tcPr>
          <w:p w14:paraId="6994A5DD" w14:textId="77777777" w:rsidR="00835192" w:rsidRPr="00FF756A" w:rsidRDefault="00835192" w:rsidP="00835192">
            <w:pPr>
              <w:spacing w:before="20" w:after="20" w:line="240" w:lineRule="auto"/>
              <w:rPr>
                <w:i/>
                <w:iCs/>
                <w:sz w:val="20"/>
                <w:szCs w:val="20"/>
              </w:rPr>
            </w:pPr>
            <w:r w:rsidRPr="00FF756A">
              <w:rPr>
                <w:i/>
                <w:iCs/>
                <w:sz w:val="20"/>
                <w:szCs w:val="20"/>
              </w:rPr>
              <w:t>Rritja e elektrifikimit në sektorin e transportit</w:t>
            </w:r>
          </w:p>
        </w:tc>
      </w:tr>
      <w:tr w:rsidR="00835192" w:rsidRPr="00FF756A" w14:paraId="6792405B" w14:textId="77777777" w:rsidTr="004A3257">
        <w:trPr>
          <w:trHeight w:val="20"/>
        </w:trPr>
        <w:tc>
          <w:tcPr>
            <w:tcW w:w="2199" w:type="dxa"/>
          </w:tcPr>
          <w:p w14:paraId="0E460957"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3" w:type="dxa"/>
            <w:gridSpan w:val="5"/>
          </w:tcPr>
          <w:p w14:paraId="2FE10BE6" w14:textId="77777777" w:rsidR="00835192" w:rsidRPr="00FF756A" w:rsidRDefault="00835192" w:rsidP="00835192">
            <w:pPr>
              <w:spacing w:before="20" w:after="20" w:line="240" w:lineRule="auto"/>
              <w:rPr>
                <w:i/>
                <w:iCs/>
                <w:sz w:val="20"/>
                <w:szCs w:val="20"/>
              </w:rPr>
            </w:pPr>
            <w:r w:rsidRPr="00FF756A">
              <w:rPr>
                <w:i/>
                <w:iCs/>
                <w:sz w:val="20"/>
                <w:szCs w:val="20"/>
              </w:rPr>
              <w:t>10% automjete elektrike (nga e gjithë flota), deri në vitin 2030</w:t>
            </w:r>
          </w:p>
        </w:tc>
      </w:tr>
      <w:tr w:rsidR="00835192" w:rsidRPr="00FF756A" w14:paraId="10CE24DE" w14:textId="77777777" w:rsidTr="004A3257">
        <w:trPr>
          <w:trHeight w:val="20"/>
        </w:trPr>
        <w:tc>
          <w:tcPr>
            <w:tcW w:w="2199" w:type="dxa"/>
          </w:tcPr>
          <w:p w14:paraId="70BBE009"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3" w:type="dxa"/>
            <w:gridSpan w:val="4"/>
          </w:tcPr>
          <w:p w14:paraId="728EB892" w14:textId="77777777" w:rsidR="00835192" w:rsidRPr="00FF756A" w:rsidRDefault="00835192" w:rsidP="00835192">
            <w:pPr>
              <w:spacing w:before="20" w:after="20" w:line="240" w:lineRule="auto"/>
              <w:rPr>
                <w:i/>
                <w:iCs/>
                <w:sz w:val="20"/>
                <w:szCs w:val="20"/>
              </w:rPr>
            </w:pPr>
            <w:r w:rsidRPr="00FF756A">
              <w:rPr>
                <w:i/>
                <w:iCs/>
                <w:sz w:val="20"/>
                <w:szCs w:val="20"/>
              </w:rPr>
              <w:t xml:space="preserve">Kuadri ligjor: </w:t>
            </w:r>
          </w:p>
          <w:p w14:paraId="684BAA4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Caktimi i detyrimeve ligjore ndaj operatorëve ekonomikë, duke përfshirë zbatimin e tyre, si përcaktimi i detyrimeve për parkimet publike ose garazhet publike për të qenë të pajisur me stacione për karikimin e automjeteve elektrike. </w:t>
            </w:r>
          </w:p>
          <w:p w14:paraId="39CF6B23" w14:textId="77777777" w:rsidR="00835192" w:rsidRPr="00FF756A" w:rsidRDefault="00835192" w:rsidP="00835192">
            <w:pPr>
              <w:spacing w:before="20" w:after="20" w:line="240" w:lineRule="auto"/>
              <w:rPr>
                <w:i/>
                <w:iCs/>
                <w:sz w:val="20"/>
                <w:szCs w:val="20"/>
              </w:rPr>
            </w:pPr>
            <w:r w:rsidRPr="00FF756A">
              <w:rPr>
                <w:i/>
                <w:iCs/>
                <w:sz w:val="20"/>
                <w:szCs w:val="20"/>
              </w:rPr>
              <w:t xml:space="preserve">Incentivat dhe mbështetja: </w:t>
            </w:r>
          </w:p>
          <w:p w14:paraId="654DEA4A"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Incentiva ose procedura të thjeshtuara për ndërtimin/licencimin e stacioneve të karikimit me energji elektrike për automjetet rrugore ose për ndërtimin/licencimin e stacioneve të rimbushjes me lëndë djegëse hidrogjen</w:t>
            </w:r>
          </w:p>
          <w:p w14:paraId="79220B2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Përjashtim i plotë nga TVSH-ja për automjetet e reja me motor elektrik me zero km, të paregjistruara më parë në ndonjë vend tjetër</w:t>
            </w:r>
          </w:p>
          <w:p w14:paraId="2A128AB8" w14:textId="77777777" w:rsidR="00835192" w:rsidRPr="00FF756A" w:rsidRDefault="00835192" w:rsidP="00835192">
            <w:pPr>
              <w:spacing w:before="20" w:after="20" w:line="240" w:lineRule="auto"/>
              <w:rPr>
                <w:i/>
                <w:iCs/>
                <w:sz w:val="20"/>
                <w:szCs w:val="20"/>
              </w:rPr>
            </w:pPr>
            <w:r w:rsidRPr="00FF756A">
              <w:rPr>
                <w:i/>
                <w:iCs/>
                <w:sz w:val="20"/>
                <w:szCs w:val="20"/>
              </w:rPr>
              <w:t>Rishikimi i politikave dhe, sipas mundësive, përshtatja e tyre rreth vitit 2025, bazuar në një vlerësim të politikave dhe rezultateve.</w:t>
            </w:r>
          </w:p>
        </w:tc>
        <w:tc>
          <w:tcPr>
            <w:tcW w:w="850" w:type="dxa"/>
          </w:tcPr>
          <w:p w14:paraId="24608D7C" w14:textId="77777777" w:rsidR="00835192" w:rsidRPr="00FF756A" w:rsidRDefault="00835192" w:rsidP="00835192">
            <w:pPr>
              <w:spacing w:before="20" w:after="20" w:line="240" w:lineRule="auto"/>
              <w:rPr>
                <w:i/>
                <w:iCs/>
                <w:sz w:val="20"/>
                <w:szCs w:val="20"/>
              </w:rPr>
            </w:pPr>
            <w:r w:rsidRPr="00FF756A">
              <w:rPr>
                <w:i/>
                <w:iCs/>
                <w:sz w:val="20"/>
                <w:szCs w:val="20"/>
              </w:rPr>
              <w:t>brenda vitit 2025</w:t>
            </w:r>
          </w:p>
          <w:p w14:paraId="2720A351" w14:textId="77777777" w:rsidR="00835192" w:rsidRPr="00FF756A" w:rsidRDefault="00835192" w:rsidP="00835192">
            <w:pPr>
              <w:spacing w:before="20" w:after="20" w:line="240" w:lineRule="auto"/>
              <w:rPr>
                <w:i/>
                <w:iCs/>
                <w:sz w:val="20"/>
                <w:szCs w:val="20"/>
              </w:rPr>
            </w:pPr>
            <w:r w:rsidRPr="00FF756A">
              <w:rPr>
                <w:i/>
                <w:iCs/>
                <w:sz w:val="20"/>
                <w:szCs w:val="20"/>
              </w:rPr>
              <w:br/>
            </w:r>
            <w:r w:rsidRPr="00FF756A">
              <w:rPr>
                <w:i/>
                <w:iCs/>
                <w:sz w:val="20"/>
                <w:szCs w:val="20"/>
              </w:rPr>
              <w:br/>
            </w:r>
          </w:p>
          <w:p w14:paraId="2A262907" w14:textId="77777777" w:rsidR="00835192" w:rsidRPr="00FF756A" w:rsidRDefault="00835192" w:rsidP="00835192">
            <w:pPr>
              <w:spacing w:before="20" w:after="20" w:line="240" w:lineRule="auto"/>
              <w:rPr>
                <w:i/>
                <w:iCs/>
                <w:sz w:val="20"/>
                <w:szCs w:val="20"/>
              </w:rPr>
            </w:pPr>
            <w:r w:rsidRPr="00FF756A">
              <w:rPr>
                <w:i/>
                <w:iCs/>
                <w:sz w:val="20"/>
                <w:szCs w:val="20"/>
              </w:rPr>
              <w:t>brenda vitit 2025</w:t>
            </w:r>
          </w:p>
          <w:p w14:paraId="1500B9C7" w14:textId="77777777" w:rsidR="00835192" w:rsidRPr="00FF756A" w:rsidRDefault="00835192" w:rsidP="00835192">
            <w:pPr>
              <w:spacing w:before="20" w:after="20" w:line="240" w:lineRule="auto"/>
              <w:rPr>
                <w:i/>
                <w:iCs/>
                <w:sz w:val="20"/>
                <w:szCs w:val="20"/>
              </w:rPr>
            </w:pPr>
          </w:p>
          <w:p w14:paraId="57E3BEAA" w14:textId="3EAA4020" w:rsidR="00835192" w:rsidRPr="00FF756A" w:rsidRDefault="00835192" w:rsidP="00835192">
            <w:pPr>
              <w:spacing w:before="20" w:after="20" w:line="240" w:lineRule="auto"/>
              <w:rPr>
                <w:i/>
                <w:iCs/>
                <w:sz w:val="20"/>
                <w:szCs w:val="20"/>
              </w:rPr>
            </w:pPr>
          </w:p>
          <w:p w14:paraId="57166283" w14:textId="77777777" w:rsidR="00835192" w:rsidRPr="00FF756A" w:rsidRDefault="00835192" w:rsidP="00835192">
            <w:pPr>
              <w:spacing w:before="20" w:after="20" w:line="240" w:lineRule="auto"/>
              <w:rPr>
                <w:i/>
                <w:iCs/>
                <w:sz w:val="20"/>
                <w:szCs w:val="20"/>
              </w:rPr>
            </w:pPr>
            <w:r w:rsidRPr="00FF756A">
              <w:rPr>
                <w:i/>
                <w:iCs/>
                <w:sz w:val="20"/>
                <w:szCs w:val="20"/>
              </w:rPr>
              <w:t>2025</w:t>
            </w:r>
          </w:p>
        </w:tc>
      </w:tr>
      <w:tr w:rsidR="00835192" w:rsidRPr="00FF756A" w14:paraId="4D605D84" w14:textId="77777777" w:rsidTr="004A3257">
        <w:trPr>
          <w:trHeight w:val="20"/>
        </w:trPr>
        <w:tc>
          <w:tcPr>
            <w:tcW w:w="2199" w:type="dxa"/>
          </w:tcPr>
          <w:p w14:paraId="4F6913FE"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3" w:type="dxa"/>
            <w:gridSpan w:val="5"/>
          </w:tcPr>
          <w:p w14:paraId="0D30CBB9" w14:textId="77777777" w:rsidR="00835192" w:rsidRPr="00FF756A" w:rsidRDefault="00835192" w:rsidP="00835192">
            <w:pPr>
              <w:spacing w:before="20" w:after="20" w:line="240" w:lineRule="auto"/>
              <w:rPr>
                <w:i/>
                <w:iCs/>
                <w:sz w:val="20"/>
                <w:szCs w:val="20"/>
              </w:rPr>
            </w:pPr>
            <w:r w:rsidRPr="00FF756A">
              <w:rPr>
                <w:i/>
                <w:iCs/>
                <w:sz w:val="20"/>
                <w:szCs w:val="20"/>
              </w:rPr>
              <w:t xml:space="preserve">Kostot e stafit për zbatimin, si për shembull për krijimin e një regjistri/harte të parkimeve publike/garazheve publike dhe kryerjen e inspektimeve të rastësishme. Kostot mund të mbulohen (pjesërisht) nga sanksionet për mospajtueshmërinë. </w:t>
            </w:r>
          </w:p>
          <w:p w14:paraId="24042085" w14:textId="77777777" w:rsidR="00835192" w:rsidRPr="00FF756A" w:rsidRDefault="00835192" w:rsidP="00835192">
            <w:pPr>
              <w:spacing w:before="20" w:after="20" w:line="240" w:lineRule="auto"/>
              <w:rPr>
                <w:i/>
                <w:iCs/>
                <w:sz w:val="20"/>
                <w:szCs w:val="20"/>
              </w:rPr>
            </w:pPr>
            <w:r w:rsidRPr="00FF756A">
              <w:rPr>
                <w:i/>
                <w:iCs/>
                <w:sz w:val="20"/>
                <w:szCs w:val="20"/>
              </w:rPr>
              <w:t xml:space="preserve">Kostot për studimin e vlerësimit të politikave dhe rezultateve vlerësohet në 15 000 euro. </w:t>
            </w:r>
          </w:p>
        </w:tc>
      </w:tr>
      <w:tr w:rsidR="00835192" w:rsidRPr="00FF756A" w14:paraId="1690A553" w14:textId="77777777" w:rsidTr="004A3257">
        <w:trPr>
          <w:trHeight w:val="20"/>
        </w:trPr>
        <w:tc>
          <w:tcPr>
            <w:tcW w:w="2199" w:type="dxa"/>
          </w:tcPr>
          <w:p w14:paraId="04F06A92"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16351FCF"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3" w:type="dxa"/>
            <w:gridSpan w:val="5"/>
          </w:tcPr>
          <w:p w14:paraId="0F120798" w14:textId="77777777" w:rsidR="00835192" w:rsidRPr="00FF756A" w:rsidRDefault="00835192" w:rsidP="00835192">
            <w:pPr>
              <w:spacing w:before="20" w:after="20" w:line="240" w:lineRule="auto"/>
              <w:rPr>
                <w:i/>
                <w:iCs/>
                <w:sz w:val="20"/>
                <w:szCs w:val="20"/>
              </w:rPr>
            </w:pPr>
            <w:r w:rsidRPr="00FF756A">
              <w:rPr>
                <w:i/>
                <w:iCs/>
                <w:sz w:val="20"/>
                <w:szCs w:val="20"/>
              </w:rPr>
              <w:t>Agjencia Kombëtare e Burimeve Natyrore; Ministria e Infrastrukturës dhe Energjisë</w:t>
            </w:r>
          </w:p>
          <w:p w14:paraId="41B9F8F5" w14:textId="77777777" w:rsidR="00835192" w:rsidRPr="00FF756A" w:rsidRDefault="00835192" w:rsidP="00835192">
            <w:pPr>
              <w:spacing w:before="20" w:after="20" w:line="240" w:lineRule="auto"/>
              <w:rPr>
                <w:i/>
                <w:iCs/>
                <w:sz w:val="20"/>
                <w:szCs w:val="20"/>
              </w:rPr>
            </w:pPr>
          </w:p>
        </w:tc>
      </w:tr>
      <w:tr w:rsidR="00835192" w:rsidRPr="00FF756A" w14:paraId="79EE8E49" w14:textId="77777777" w:rsidTr="004A3257">
        <w:trPr>
          <w:trHeight w:val="20"/>
        </w:trPr>
        <w:tc>
          <w:tcPr>
            <w:tcW w:w="2199" w:type="dxa"/>
          </w:tcPr>
          <w:p w14:paraId="46231E38"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Marrëdhënia me dimensionet e tjera (nëse ka)</w:t>
            </w:r>
          </w:p>
        </w:tc>
        <w:tc>
          <w:tcPr>
            <w:tcW w:w="6873" w:type="dxa"/>
            <w:gridSpan w:val="5"/>
          </w:tcPr>
          <w:p w14:paraId="4C4B259B" w14:textId="77777777" w:rsidR="00835192" w:rsidRPr="00FF756A" w:rsidRDefault="00835192" w:rsidP="00835192">
            <w:pPr>
              <w:spacing w:before="20" w:after="20" w:line="240" w:lineRule="auto"/>
              <w:rPr>
                <w:i/>
                <w:iCs/>
                <w:sz w:val="20"/>
                <w:szCs w:val="20"/>
              </w:rPr>
            </w:pPr>
            <w:r w:rsidRPr="00FF756A">
              <w:rPr>
                <w:i/>
                <w:iCs/>
                <w:sz w:val="20"/>
                <w:szCs w:val="20"/>
              </w:rPr>
              <w:t xml:space="preserve">Siguria energjetike </w:t>
            </w:r>
          </w:p>
        </w:tc>
      </w:tr>
    </w:tbl>
    <w:p w14:paraId="4FD584B3" w14:textId="77777777" w:rsidR="00835192" w:rsidRPr="00FF756A" w:rsidRDefault="00835192" w:rsidP="00835192"/>
    <w:tbl>
      <w:tblPr>
        <w:tblStyle w:val="TableGrid"/>
        <w:tblW w:w="0" w:type="auto"/>
        <w:tblBorders>
          <w:left w:val="none" w:sz="0" w:space="0" w:color="auto"/>
          <w:right w:val="none" w:sz="0" w:space="0" w:color="auto"/>
        </w:tblBorders>
        <w:tblLook w:val="04A0" w:firstRow="1" w:lastRow="0" w:firstColumn="1" w:lastColumn="0" w:noHBand="0" w:noVBand="1"/>
      </w:tblPr>
      <w:tblGrid>
        <w:gridCol w:w="2198"/>
        <w:gridCol w:w="1277"/>
        <w:gridCol w:w="598"/>
        <w:gridCol w:w="427"/>
        <w:gridCol w:w="3712"/>
        <w:gridCol w:w="850"/>
      </w:tblGrid>
      <w:tr w:rsidR="00835192" w:rsidRPr="00FF756A" w14:paraId="0F8503C6" w14:textId="77777777" w:rsidTr="004A3257">
        <w:trPr>
          <w:trHeight w:val="20"/>
        </w:trPr>
        <w:tc>
          <w:tcPr>
            <w:tcW w:w="4506" w:type="dxa"/>
            <w:gridSpan w:val="4"/>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D509C5F" w14:textId="77777777" w:rsidR="00835192" w:rsidRPr="00FF756A" w:rsidRDefault="00835192" w:rsidP="00835192">
            <w:pPr>
              <w:spacing w:before="20" w:after="20" w:line="240" w:lineRule="auto"/>
              <w:jc w:val="right"/>
              <w:rPr>
                <w:b/>
                <w:bCs/>
                <w:sz w:val="20"/>
                <w:szCs w:val="20"/>
              </w:rPr>
            </w:pPr>
            <w:r w:rsidRPr="00FF756A">
              <w:br w:type="page"/>
            </w:r>
            <w:r w:rsidRPr="00FF756A">
              <w:rPr>
                <w:b/>
                <w:bCs/>
                <w:sz w:val="20"/>
                <w:szCs w:val="20"/>
              </w:rPr>
              <w:t>Dimensioni i energjisë</w:t>
            </w:r>
          </w:p>
        </w:tc>
        <w:tc>
          <w:tcPr>
            <w:tcW w:w="4566"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88BBE15" w14:textId="77777777" w:rsidR="00835192" w:rsidRPr="00FF756A" w:rsidRDefault="00835192" w:rsidP="008639B2">
            <w:pPr>
              <w:numPr>
                <w:ilvl w:val="0"/>
                <w:numId w:val="96"/>
              </w:numPr>
              <w:spacing w:before="20" w:after="20" w:line="240" w:lineRule="auto"/>
              <w:contextualSpacing/>
              <w:rPr>
                <w:i/>
                <w:iCs/>
                <w:sz w:val="20"/>
                <w:szCs w:val="20"/>
              </w:rPr>
            </w:pPr>
            <w:r w:rsidRPr="00FF756A">
              <w:rPr>
                <w:i/>
                <w:iCs/>
                <w:sz w:val="20"/>
                <w:szCs w:val="20"/>
              </w:rPr>
              <w:t>Dekarbonizimi</w:t>
            </w:r>
          </w:p>
          <w:p w14:paraId="1407EFBE" w14:textId="246AD74E" w:rsidR="00835192" w:rsidRPr="00FF756A" w:rsidRDefault="00835192" w:rsidP="004A3257">
            <w:pPr>
              <w:spacing w:before="20" w:after="20" w:line="240" w:lineRule="auto"/>
              <w:contextualSpacing/>
              <w:rPr>
                <w:i/>
                <w:iCs/>
                <w:sz w:val="20"/>
                <w:szCs w:val="20"/>
              </w:rPr>
            </w:pPr>
            <w:r w:rsidRPr="00FF756A">
              <w:rPr>
                <w:i/>
                <w:iCs/>
                <w:sz w:val="20"/>
                <w:szCs w:val="20"/>
              </w:rPr>
              <w:t>Energjia e rinovueshme</w:t>
            </w:r>
          </w:p>
        </w:tc>
      </w:tr>
      <w:tr w:rsidR="00835192" w:rsidRPr="00FF756A" w14:paraId="5DE014CE" w14:textId="77777777" w:rsidTr="004A3257">
        <w:trPr>
          <w:trHeight w:val="20"/>
        </w:trPr>
        <w:tc>
          <w:tcPr>
            <w:tcW w:w="4078"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CEE7BCC"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94"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4103C24" w14:textId="77777777" w:rsidR="00835192" w:rsidRPr="00FF756A" w:rsidRDefault="00835192" w:rsidP="00835192">
            <w:pPr>
              <w:spacing w:before="20" w:after="20" w:line="240" w:lineRule="auto"/>
              <w:rPr>
                <w:i/>
                <w:iCs/>
                <w:sz w:val="20"/>
                <w:szCs w:val="20"/>
              </w:rPr>
            </w:pPr>
            <w:r w:rsidRPr="00FF756A">
              <w:rPr>
                <w:i/>
                <w:iCs/>
                <w:sz w:val="20"/>
                <w:szCs w:val="20"/>
              </w:rPr>
              <w:t>Transporti</w:t>
            </w:r>
          </w:p>
        </w:tc>
      </w:tr>
      <w:tr w:rsidR="00835192" w:rsidRPr="00FF756A" w14:paraId="27858E1B" w14:textId="77777777" w:rsidTr="004A3257">
        <w:trPr>
          <w:trHeight w:val="20"/>
        </w:trPr>
        <w:tc>
          <w:tcPr>
            <w:tcW w:w="3479" w:type="dxa"/>
            <w:gridSpan w:val="2"/>
            <w:tcBorders>
              <w:top w:val="single" w:sz="4" w:space="0" w:color="auto"/>
              <w:left w:val="single" w:sz="4" w:space="0" w:color="auto"/>
              <w:bottom w:val="single" w:sz="4" w:space="0" w:color="auto"/>
              <w:right w:val="single" w:sz="4" w:space="0" w:color="auto"/>
            </w:tcBorders>
          </w:tcPr>
          <w:p w14:paraId="788B19F8"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0B7037F5"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3" w:type="dxa"/>
            <w:gridSpan w:val="4"/>
            <w:tcBorders>
              <w:top w:val="single" w:sz="4" w:space="0" w:color="auto"/>
              <w:left w:val="single" w:sz="4" w:space="0" w:color="auto"/>
              <w:bottom w:val="single" w:sz="4" w:space="0" w:color="auto"/>
              <w:right w:val="single" w:sz="4" w:space="0" w:color="auto"/>
            </w:tcBorders>
          </w:tcPr>
          <w:p w14:paraId="6B1F6507" w14:textId="77777777" w:rsidR="00835192" w:rsidRPr="00FF756A" w:rsidRDefault="00835192" w:rsidP="00835192">
            <w:pPr>
              <w:spacing w:before="20" w:after="20" w:line="240" w:lineRule="auto"/>
              <w:rPr>
                <w:i/>
                <w:iCs/>
                <w:sz w:val="20"/>
                <w:szCs w:val="20"/>
              </w:rPr>
            </w:pPr>
            <w:r w:rsidRPr="00FF756A">
              <w:rPr>
                <w:i/>
                <w:iCs/>
                <w:sz w:val="20"/>
                <w:szCs w:val="20"/>
              </w:rPr>
              <w:t>WAM</w:t>
            </w:r>
          </w:p>
          <w:p w14:paraId="2E73B222" w14:textId="77777777" w:rsidR="00835192" w:rsidRPr="00FF756A" w:rsidRDefault="00835192" w:rsidP="00835192">
            <w:pPr>
              <w:spacing w:before="20" w:after="20" w:line="240" w:lineRule="auto"/>
              <w:rPr>
                <w:i/>
                <w:iCs/>
                <w:sz w:val="20"/>
                <w:szCs w:val="20"/>
              </w:rPr>
            </w:pPr>
            <w:r w:rsidRPr="00FF756A">
              <w:rPr>
                <w:i/>
                <w:iCs/>
                <w:sz w:val="20"/>
                <w:szCs w:val="20"/>
              </w:rPr>
              <w:t>Rregullator; Fiskal</w:t>
            </w:r>
          </w:p>
        </w:tc>
      </w:tr>
      <w:tr w:rsidR="00835192" w:rsidRPr="00FF756A" w14:paraId="01F667F6" w14:textId="77777777" w:rsidTr="004A3257">
        <w:trPr>
          <w:trHeight w:val="20"/>
        </w:trPr>
        <w:tc>
          <w:tcPr>
            <w:tcW w:w="2200" w:type="dxa"/>
            <w:tcBorders>
              <w:top w:val="single" w:sz="4" w:space="0" w:color="auto"/>
              <w:left w:val="single" w:sz="4" w:space="0" w:color="auto"/>
              <w:bottom w:val="single" w:sz="4" w:space="0" w:color="auto"/>
              <w:right w:val="single" w:sz="4" w:space="0" w:color="auto"/>
            </w:tcBorders>
          </w:tcPr>
          <w:p w14:paraId="49A96DC9"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03E598E8"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2" w:type="dxa"/>
            <w:gridSpan w:val="5"/>
            <w:tcBorders>
              <w:top w:val="single" w:sz="4" w:space="0" w:color="auto"/>
              <w:left w:val="single" w:sz="4" w:space="0" w:color="auto"/>
              <w:bottom w:val="single" w:sz="4" w:space="0" w:color="auto"/>
              <w:right w:val="single" w:sz="4" w:space="0" w:color="auto"/>
            </w:tcBorders>
          </w:tcPr>
          <w:p w14:paraId="1A27AA71" w14:textId="77777777" w:rsidR="00835192" w:rsidRPr="00FF756A" w:rsidRDefault="00835192" w:rsidP="00835192">
            <w:pPr>
              <w:spacing w:before="20" w:after="20" w:line="240" w:lineRule="auto"/>
              <w:rPr>
                <w:i/>
                <w:iCs/>
                <w:sz w:val="20"/>
                <w:szCs w:val="20"/>
              </w:rPr>
            </w:pPr>
            <w:r w:rsidRPr="00FF756A">
              <w:rPr>
                <w:i/>
                <w:iCs/>
                <w:sz w:val="20"/>
                <w:szCs w:val="20"/>
              </w:rPr>
              <w:t>Biokarburantet e qëndrueshme/të avancuara</w:t>
            </w:r>
          </w:p>
          <w:p w14:paraId="7EC26054" w14:textId="77777777" w:rsidR="00835192" w:rsidRPr="00FF756A" w:rsidRDefault="00835192" w:rsidP="00835192">
            <w:pPr>
              <w:spacing w:before="20" w:after="20" w:line="240" w:lineRule="auto"/>
              <w:rPr>
                <w:i/>
                <w:iCs/>
                <w:sz w:val="20"/>
                <w:szCs w:val="20"/>
              </w:rPr>
            </w:pPr>
            <w:r w:rsidRPr="00FF756A">
              <w:rPr>
                <w:i/>
                <w:iCs/>
                <w:sz w:val="20"/>
                <w:szCs w:val="20"/>
              </w:rPr>
              <w:t>(R-T2)</w:t>
            </w:r>
          </w:p>
        </w:tc>
      </w:tr>
      <w:tr w:rsidR="00835192" w:rsidRPr="00FF756A" w14:paraId="39388009" w14:textId="77777777" w:rsidTr="004A3257">
        <w:trPr>
          <w:trHeight w:val="20"/>
        </w:trPr>
        <w:tc>
          <w:tcPr>
            <w:tcW w:w="2200" w:type="dxa"/>
            <w:tcBorders>
              <w:top w:val="single" w:sz="4" w:space="0" w:color="auto"/>
              <w:left w:val="single" w:sz="4" w:space="0" w:color="auto"/>
              <w:bottom w:val="single" w:sz="4" w:space="0" w:color="auto"/>
              <w:right w:val="single" w:sz="4" w:space="0" w:color="auto"/>
            </w:tcBorders>
          </w:tcPr>
          <w:p w14:paraId="64FEFC24"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2" w:type="dxa"/>
            <w:gridSpan w:val="5"/>
            <w:tcBorders>
              <w:top w:val="single" w:sz="4" w:space="0" w:color="auto"/>
              <w:left w:val="single" w:sz="4" w:space="0" w:color="auto"/>
              <w:bottom w:val="single" w:sz="4" w:space="0" w:color="auto"/>
              <w:right w:val="single" w:sz="4" w:space="0" w:color="auto"/>
            </w:tcBorders>
          </w:tcPr>
          <w:p w14:paraId="251BDEA1" w14:textId="77777777" w:rsidR="00835192" w:rsidRPr="00FF756A" w:rsidRDefault="00835192" w:rsidP="00835192">
            <w:pPr>
              <w:spacing w:before="20" w:after="20" w:line="240" w:lineRule="auto"/>
              <w:rPr>
                <w:i/>
                <w:iCs/>
                <w:sz w:val="20"/>
                <w:szCs w:val="20"/>
              </w:rPr>
            </w:pPr>
            <w:r w:rsidRPr="00FF756A">
              <w:rPr>
                <w:i/>
                <w:iCs/>
                <w:sz w:val="20"/>
                <w:szCs w:val="20"/>
              </w:rPr>
              <w:t>2021-2030</w:t>
            </w:r>
          </w:p>
        </w:tc>
      </w:tr>
      <w:tr w:rsidR="00835192" w:rsidRPr="00FF756A" w14:paraId="394AF5D9" w14:textId="77777777" w:rsidTr="004A3257">
        <w:trPr>
          <w:trHeight w:val="20"/>
        </w:trPr>
        <w:tc>
          <w:tcPr>
            <w:tcW w:w="2200" w:type="dxa"/>
            <w:tcBorders>
              <w:top w:val="single" w:sz="4" w:space="0" w:color="auto"/>
              <w:left w:val="single" w:sz="4" w:space="0" w:color="auto"/>
              <w:bottom w:val="single" w:sz="4" w:space="0" w:color="auto"/>
              <w:right w:val="single" w:sz="4" w:space="0" w:color="auto"/>
            </w:tcBorders>
          </w:tcPr>
          <w:p w14:paraId="47949FED"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2" w:type="dxa"/>
            <w:gridSpan w:val="5"/>
            <w:tcBorders>
              <w:top w:val="single" w:sz="4" w:space="0" w:color="auto"/>
              <w:left w:val="single" w:sz="4" w:space="0" w:color="auto"/>
              <w:bottom w:val="single" w:sz="4" w:space="0" w:color="auto"/>
              <w:right w:val="single" w:sz="4" w:space="0" w:color="auto"/>
            </w:tcBorders>
          </w:tcPr>
          <w:p w14:paraId="2BC82BF4" w14:textId="77777777" w:rsidR="00835192" w:rsidRPr="00FF756A" w:rsidRDefault="00835192" w:rsidP="00835192">
            <w:pPr>
              <w:spacing w:before="20" w:after="20" w:line="240" w:lineRule="auto"/>
              <w:rPr>
                <w:i/>
                <w:iCs/>
                <w:sz w:val="20"/>
                <w:szCs w:val="20"/>
              </w:rPr>
            </w:pPr>
            <w:r w:rsidRPr="00FF756A">
              <w:rPr>
                <w:i/>
                <w:iCs/>
                <w:sz w:val="20"/>
                <w:szCs w:val="20"/>
              </w:rPr>
              <w:t>Projektligji “Për prodhimin, transportimin dhe tregtimin e biokarburanteve dhe të lëndëve të tjera djegëse, të rinovueshme, për transport”; Ligji nr. 24/2023, datë 23.03.2023, “Për nxitjen e përdorimit të energjisë nga burimet e rinovueshme”</w:t>
            </w:r>
          </w:p>
        </w:tc>
      </w:tr>
      <w:tr w:rsidR="00835192" w:rsidRPr="00FF756A" w14:paraId="48536DE1" w14:textId="77777777" w:rsidTr="004A3257">
        <w:trPr>
          <w:trHeight w:val="20"/>
        </w:trPr>
        <w:tc>
          <w:tcPr>
            <w:tcW w:w="2200" w:type="dxa"/>
            <w:tcBorders>
              <w:top w:val="single" w:sz="4" w:space="0" w:color="auto"/>
              <w:left w:val="single" w:sz="4" w:space="0" w:color="auto"/>
              <w:bottom w:val="single" w:sz="4" w:space="0" w:color="auto"/>
              <w:right w:val="single" w:sz="4" w:space="0" w:color="auto"/>
            </w:tcBorders>
          </w:tcPr>
          <w:p w14:paraId="0BC6673E"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2" w:type="dxa"/>
            <w:gridSpan w:val="5"/>
            <w:tcBorders>
              <w:top w:val="single" w:sz="4" w:space="0" w:color="auto"/>
              <w:left w:val="single" w:sz="4" w:space="0" w:color="auto"/>
              <w:bottom w:val="single" w:sz="4" w:space="0" w:color="auto"/>
              <w:right w:val="single" w:sz="4" w:space="0" w:color="auto"/>
            </w:tcBorders>
          </w:tcPr>
          <w:p w14:paraId="55736E18" w14:textId="77777777" w:rsidR="00835192" w:rsidRPr="00FF756A" w:rsidRDefault="00835192" w:rsidP="00835192">
            <w:pPr>
              <w:spacing w:before="20" w:after="20" w:line="240" w:lineRule="auto"/>
              <w:rPr>
                <w:i/>
                <w:iCs/>
                <w:sz w:val="20"/>
                <w:szCs w:val="20"/>
              </w:rPr>
            </w:pPr>
            <w:r w:rsidRPr="00FF756A">
              <w:rPr>
                <w:i/>
                <w:iCs/>
                <w:sz w:val="20"/>
                <w:szCs w:val="20"/>
              </w:rPr>
              <w:t xml:space="preserve">Masat e marra deri më tani janë: (i) Niveli zero i akcizës për biodizelin e pastër deri në vitin 2018; (ii) Përjashtim nga detyrimet doganore për makineritë dhe pajisjet që do të përdoren për ndërtimin e impianteve të prodhimit të biokarburanteve. Përjashtim nga detyrimet doganore dhe TVSH-ja për:  - pajisjet dhe makineritë që konvertojnë plehun në përmirësues organikë të tokës që mund të përdoren për kultivimin e bimëve për qëllime energjetike; pajisjet, materialet dhe makineritë bujqësore që do të përdoren nga fermerët vendas për kultivimin e bimëve për qëllime energjetike; pajisjet dhe makineritë teknologjike, kryesore dhe ndihmëse, të impianteve prodhuese të biokarburanteve dhe lëndëve të tjera djegëse të rinovueshme; (iii) Publikimi nga MIE, nëpërmjet tregtarëve të ligjshëm të automjeteve dhe Klubit të Automobilave në Republikën e Shqipërisë, i të dhënave mbi efikasitetin e motorëve ekzistues në përputhje me cilësinë e lëndës djegëse të përdorur; (iv) Mbikëqyrja e cilësisë së biokarburanteve nga Inspektorati Shtetëror Teknik dhe zyrat e vlerësimit të kritereve të qëndrueshmërisë; (v) Përjashtime nga taksat për përdorimin e biokarburanteve; (vi) Kritere për verifikimin e biokarburanteve; (vii) Detyrimi i mbajtësve të "licencës së prodhimit" për impiantet e prodhimit të biokarburanteve dhe lëndëve të tjera djegëse të rinovueshme për të raportuar kostot e prodhimit (ex-factory) të këtyre produkteve pranë Ministrisë së Infrastrukturës dhe Energjisë; (viii) Rimbursimi i akcizës për biokarburantet e përdorura në sektorin e transportit dhe të depozituara në territorin e Republikës së Shqipërisë për vlerën e detyrimit të akcizës të paguar deri në 5%. Rimbursimi për sasinë e biokarburanteve deri në vitin 2020; (ix) Llogaritja e normës së akcizës në bazë të njësisë së matjes dhe diferencimi i saj për disa nga produktet më të rëndësishme energjetike. </w:t>
            </w:r>
          </w:p>
        </w:tc>
      </w:tr>
      <w:tr w:rsidR="00835192" w:rsidRPr="00FF756A" w14:paraId="35853CCA" w14:textId="77777777" w:rsidTr="004A3257">
        <w:trPr>
          <w:trHeight w:val="20"/>
        </w:trPr>
        <w:tc>
          <w:tcPr>
            <w:tcW w:w="2200" w:type="dxa"/>
            <w:tcBorders>
              <w:top w:val="single" w:sz="4" w:space="0" w:color="auto"/>
              <w:left w:val="single" w:sz="4" w:space="0" w:color="auto"/>
              <w:bottom w:val="single" w:sz="4" w:space="0" w:color="auto"/>
              <w:right w:val="single" w:sz="4" w:space="0" w:color="auto"/>
            </w:tcBorders>
          </w:tcPr>
          <w:p w14:paraId="43AB1E70"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2" w:type="dxa"/>
            <w:gridSpan w:val="5"/>
            <w:tcBorders>
              <w:top w:val="single" w:sz="4" w:space="0" w:color="auto"/>
              <w:left w:val="single" w:sz="4" w:space="0" w:color="auto"/>
              <w:bottom w:val="single" w:sz="4" w:space="0" w:color="auto"/>
              <w:right w:val="single" w:sz="4" w:space="0" w:color="auto"/>
            </w:tcBorders>
          </w:tcPr>
          <w:p w14:paraId="16BB9664" w14:textId="77777777" w:rsidR="00835192" w:rsidRPr="00FF756A" w:rsidRDefault="00835192" w:rsidP="00835192">
            <w:pPr>
              <w:spacing w:before="20" w:after="20" w:line="240" w:lineRule="auto"/>
              <w:rPr>
                <w:i/>
                <w:iCs/>
                <w:sz w:val="20"/>
                <w:szCs w:val="20"/>
              </w:rPr>
            </w:pPr>
            <w:r w:rsidRPr="00FF756A">
              <w:rPr>
                <w:i/>
                <w:iCs/>
                <w:sz w:val="20"/>
                <w:szCs w:val="20"/>
              </w:rPr>
              <w:t>Qëllimi i politikës është nxitja e prodhimit dhe e përdorimit të biokarburanteve dhe lëndëve të tjera djegëse të rinovueshme që përmbushin kriteret e qëndrueshmërisë.</w:t>
            </w:r>
          </w:p>
        </w:tc>
      </w:tr>
      <w:tr w:rsidR="00835192" w:rsidRPr="00FF756A" w14:paraId="3732EA01" w14:textId="77777777" w:rsidTr="004A3257">
        <w:trPr>
          <w:trHeight w:val="20"/>
        </w:trPr>
        <w:tc>
          <w:tcPr>
            <w:tcW w:w="2200" w:type="dxa"/>
            <w:tcBorders>
              <w:top w:val="single" w:sz="4" w:space="0" w:color="auto"/>
              <w:left w:val="single" w:sz="4" w:space="0" w:color="auto"/>
              <w:bottom w:val="single" w:sz="4" w:space="0" w:color="auto"/>
              <w:right w:val="single" w:sz="4" w:space="0" w:color="auto"/>
            </w:tcBorders>
          </w:tcPr>
          <w:p w14:paraId="5379EFA4"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2" w:type="dxa"/>
            <w:gridSpan w:val="5"/>
            <w:tcBorders>
              <w:top w:val="single" w:sz="4" w:space="0" w:color="auto"/>
              <w:left w:val="single" w:sz="4" w:space="0" w:color="auto"/>
              <w:bottom w:val="single" w:sz="4" w:space="0" w:color="auto"/>
              <w:right w:val="single" w:sz="4" w:space="0" w:color="auto"/>
            </w:tcBorders>
          </w:tcPr>
          <w:p w14:paraId="07EB53C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Alternativat për prodhimin e lëndëve djegëse të rinovueshme përtej objektivit të vitit 2030 mund të ofrojnë mundësi për eksporte, p.sh. me anë të prodhimit dhe eksportimit të biokarburanteve me bazë vajrat e përdorura të gatimit dhe dhjamërat shtazore ose me anë të prodhimit të lëndëve djegëse të lëngshme nga energjia elektrike e rinovueshme </w:t>
            </w:r>
            <w:bookmarkStart w:id="376" w:name="_Hlk178179404"/>
            <w:r w:rsidRPr="00FF756A">
              <w:rPr>
                <w:i/>
                <w:iCs/>
                <w:sz w:val="20"/>
                <w:szCs w:val="20"/>
              </w:rPr>
              <w:t>(RFNBO</w:t>
            </w:r>
            <w:bookmarkEnd w:id="376"/>
            <w:r w:rsidRPr="00FF756A">
              <w:rPr>
                <w:i/>
                <w:iCs/>
                <w:sz w:val="20"/>
                <w:szCs w:val="20"/>
              </w:rPr>
              <w:t>).</w:t>
            </w:r>
          </w:p>
          <w:p w14:paraId="69F8B92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Biokarburantet, duke përfshirë ato me origjinë bujqësore, me origjinë nga mbetjet dhe ato të avancuara, parashikohet të japin kontributin më të madh drejt arritjes së objektivit.</w:t>
            </w:r>
          </w:p>
          <w:p w14:paraId="05E4D7A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Objektivi 10% për biokarburantet deri në vitin 2025</w:t>
            </w:r>
          </w:p>
        </w:tc>
      </w:tr>
      <w:tr w:rsidR="00835192" w:rsidRPr="00FF756A" w14:paraId="08C18972" w14:textId="77777777" w:rsidTr="004A3257">
        <w:trPr>
          <w:trHeight w:val="20"/>
        </w:trPr>
        <w:tc>
          <w:tcPr>
            <w:tcW w:w="2200" w:type="dxa"/>
            <w:tcBorders>
              <w:top w:val="single" w:sz="4" w:space="0" w:color="auto"/>
              <w:left w:val="single" w:sz="4" w:space="0" w:color="auto"/>
              <w:bottom w:val="single" w:sz="4" w:space="0" w:color="auto"/>
              <w:right w:val="single" w:sz="4" w:space="0" w:color="auto"/>
            </w:tcBorders>
          </w:tcPr>
          <w:p w14:paraId="37480041"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2" w:type="dxa"/>
            <w:gridSpan w:val="4"/>
            <w:tcBorders>
              <w:top w:val="single" w:sz="4" w:space="0" w:color="auto"/>
              <w:left w:val="single" w:sz="4" w:space="0" w:color="auto"/>
              <w:bottom w:val="single" w:sz="4" w:space="0" w:color="auto"/>
              <w:right w:val="single" w:sz="4" w:space="0" w:color="auto"/>
            </w:tcBorders>
          </w:tcPr>
          <w:p w14:paraId="603E99EC" w14:textId="77777777" w:rsidR="00835192" w:rsidRPr="00FF756A" w:rsidRDefault="00835192" w:rsidP="00835192">
            <w:pPr>
              <w:spacing w:before="20" w:after="20" w:line="240" w:lineRule="auto"/>
              <w:rPr>
                <w:i/>
                <w:iCs/>
                <w:sz w:val="20"/>
                <w:szCs w:val="20"/>
              </w:rPr>
            </w:pPr>
            <w:r w:rsidRPr="00FF756A">
              <w:rPr>
                <w:i/>
                <w:iCs/>
                <w:sz w:val="20"/>
                <w:szCs w:val="20"/>
              </w:rPr>
              <w:t xml:space="preserve"> Kuadër ligjor për organizimin e tregut të biokarburanteve dhe lëndëve të tjera djegëse të rinovueshme:</w:t>
            </w:r>
          </w:p>
          <w:p w14:paraId="5CA3EA8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Përcaktimi i sasisë minimale vjetore të biokarburanteve dhe lëndëve të tjera djegëse të rinovueshme për tregtim në sektorin e transportit </w:t>
            </w:r>
          </w:p>
          <w:p w14:paraId="1769C15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lastRenderedPageBreak/>
              <w:t>Penalitete për furnitorët e lëndëve djegëse që nuk përmbushin detyrimet e tyre</w:t>
            </w:r>
          </w:p>
          <w:p w14:paraId="4F2B278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Vendosja e gjobave për shitësit me pakicë të lëndëve djegëse, nëse nuk parashikohet që biokarburantet e lëndëve të tjera djegëse të rinovueshme, si dhe nafta ose hidrokarburet, të përzihen me bionaftë dhe bioetanol në masën 5%</w:t>
            </w:r>
          </w:p>
          <w:p w14:paraId="45996394"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Përcaktimi i kërkesave lidhur me verifikimin e kritereve të qëndrueshmërisë së biokarburanteve</w:t>
            </w:r>
          </w:p>
          <w:p w14:paraId="288DFB4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Detyrimi i përzierjes</w:t>
            </w:r>
          </w:p>
          <w:p w14:paraId="69EED7A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Caktimi i tarifave për certifikatat dhe lejet e nevojshme</w:t>
            </w:r>
          </w:p>
          <w:p w14:paraId="0AD4B06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Marrja e masave nga çdo shoqëri që zotëron një licencë për “Tregtimin me shumicë të naftës, gazit dhe nënprodukteve të tyre, përshirë ato bio, si dhe lëndëve djegëse, me kodin VIII.1.A” për tregtinë me shumicë, për të garantuar vendosjen në treg të sasisë minimale të biokarburanteve dhe lëndëve të tjera djegëse të rinovueshme. Këto sasi duhet të përmbushin kriteret e qëndrueshmërisë.</w:t>
            </w:r>
          </w:p>
          <w:p w14:paraId="1C7F83B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Kryerja e inspektimeve nga Inspektorati Shtetëror përgjegjës</w:t>
            </w:r>
          </w:p>
          <w:p w14:paraId="62EC8401" w14:textId="77777777" w:rsidR="00835192" w:rsidRPr="00FF756A" w:rsidRDefault="00835192" w:rsidP="00835192">
            <w:pPr>
              <w:spacing w:before="20" w:after="20" w:line="240" w:lineRule="auto"/>
              <w:rPr>
                <w:i/>
                <w:iCs/>
                <w:sz w:val="20"/>
                <w:szCs w:val="20"/>
              </w:rPr>
            </w:pPr>
            <w:r w:rsidRPr="00FF756A">
              <w:rPr>
                <w:i/>
                <w:iCs/>
                <w:sz w:val="20"/>
                <w:szCs w:val="20"/>
              </w:rPr>
              <w:t>Skema e nxitjes dhe mbështetjes:</w:t>
            </w:r>
          </w:p>
          <w:p w14:paraId="2690FE9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Promovimi i lëndëve të para për prodhimin e biokarburanteve, me anë të zbatimit të kritereve të qëndrueshmërisë</w:t>
            </w:r>
          </w:p>
          <w:p w14:paraId="2384CE9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Përcaktimi i masave mbështetëse në dispozicion të blerësve të automjeteve me lëndë djegëse alternative, si dhe i dispozitave në lidhje me përshtatshmërinë e automjeteve me llojet e ndryshme të lëndëve djegëse alternative</w:t>
            </w:r>
          </w:p>
        </w:tc>
        <w:tc>
          <w:tcPr>
            <w:tcW w:w="850" w:type="dxa"/>
            <w:tcBorders>
              <w:top w:val="single" w:sz="4" w:space="0" w:color="auto"/>
              <w:left w:val="single" w:sz="4" w:space="0" w:color="auto"/>
              <w:bottom w:val="single" w:sz="4" w:space="0" w:color="auto"/>
              <w:right w:val="single" w:sz="4" w:space="0" w:color="auto"/>
            </w:tcBorders>
          </w:tcPr>
          <w:p w14:paraId="38F62C81" w14:textId="77777777" w:rsidR="00835192" w:rsidRPr="00FF756A" w:rsidRDefault="00835192" w:rsidP="00835192">
            <w:pPr>
              <w:spacing w:before="20" w:after="20" w:line="240" w:lineRule="auto"/>
              <w:rPr>
                <w:i/>
                <w:iCs/>
                <w:sz w:val="20"/>
                <w:szCs w:val="20"/>
              </w:rPr>
            </w:pPr>
            <w:r w:rsidRPr="00FF756A">
              <w:rPr>
                <w:i/>
                <w:iCs/>
                <w:sz w:val="20"/>
                <w:szCs w:val="20"/>
              </w:rPr>
              <w:lastRenderedPageBreak/>
              <w:t>brenda vitit 2024</w:t>
            </w:r>
          </w:p>
          <w:p w14:paraId="57162CCD" w14:textId="77777777" w:rsidR="00835192" w:rsidRPr="00FF756A" w:rsidRDefault="00835192" w:rsidP="00835192">
            <w:pPr>
              <w:spacing w:before="20" w:after="20" w:line="240" w:lineRule="auto"/>
              <w:rPr>
                <w:i/>
                <w:iCs/>
                <w:sz w:val="20"/>
                <w:szCs w:val="20"/>
              </w:rPr>
            </w:pPr>
            <w:r w:rsidRPr="00FF756A">
              <w:rPr>
                <w:i/>
                <w:iCs/>
                <w:sz w:val="20"/>
                <w:szCs w:val="20"/>
              </w:rPr>
              <w:br/>
            </w:r>
            <w:r w:rsidRPr="00FF756A">
              <w:rPr>
                <w:i/>
                <w:iCs/>
                <w:sz w:val="20"/>
                <w:szCs w:val="20"/>
              </w:rPr>
              <w:br/>
            </w:r>
            <w:r w:rsidRPr="00FF756A">
              <w:rPr>
                <w:i/>
                <w:iCs/>
                <w:sz w:val="20"/>
                <w:szCs w:val="20"/>
              </w:rPr>
              <w:br/>
            </w:r>
            <w:r w:rsidRPr="00FF756A">
              <w:rPr>
                <w:i/>
                <w:iCs/>
                <w:sz w:val="20"/>
                <w:szCs w:val="20"/>
              </w:rPr>
              <w:lastRenderedPageBreak/>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t>brenda vitit 2024</w:t>
            </w:r>
          </w:p>
        </w:tc>
      </w:tr>
      <w:tr w:rsidR="00835192" w:rsidRPr="00FF756A" w14:paraId="69C4FF06" w14:textId="77777777" w:rsidTr="004A3257">
        <w:trPr>
          <w:trHeight w:val="20"/>
        </w:trPr>
        <w:tc>
          <w:tcPr>
            <w:tcW w:w="2200" w:type="dxa"/>
            <w:tcBorders>
              <w:top w:val="single" w:sz="4" w:space="0" w:color="auto"/>
              <w:left w:val="single" w:sz="4" w:space="0" w:color="auto"/>
              <w:bottom w:val="single" w:sz="4" w:space="0" w:color="auto"/>
              <w:right w:val="single" w:sz="4" w:space="0" w:color="auto"/>
            </w:tcBorders>
          </w:tcPr>
          <w:p w14:paraId="03C28D25"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Buxheti (burimi i financimit)</w:t>
            </w:r>
          </w:p>
        </w:tc>
        <w:tc>
          <w:tcPr>
            <w:tcW w:w="6872" w:type="dxa"/>
            <w:gridSpan w:val="5"/>
            <w:tcBorders>
              <w:top w:val="single" w:sz="4" w:space="0" w:color="auto"/>
              <w:left w:val="single" w:sz="4" w:space="0" w:color="auto"/>
              <w:bottom w:val="single" w:sz="4" w:space="0" w:color="auto"/>
              <w:right w:val="single" w:sz="4" w:space="0" w:color="auto"/>
            </w:tcBorders>
          </w:tcPr>
          <w:p w14:paraId="59AD76CB" w14:textId="77777777" w:rsidR="00835192" w:rsidRPr="00FF756A" w:rsidRDefault="00835192" w:rsidP="00835192">
            <w:pPr>
              <w:spacing w:before="20" w:after="20" w:line="240" w:lineRule="auto"/>
              <w:rPr>
                <w:i/>
                <w:iCs/>
                <w:sz w:val="20"/>
                <w:szCs w:val="20"/>
              </w:rPr>
            </w:pPr>
            <w:r w:rsidRPr="00FF756A">
              <w:rPr>
                <w:i/>
                <w:iCs/>
                <w:sz w:val="20"/>
                <w:szCs w:val="20"/>
              </w:rPr>
              <w:t xml:space="preserve">Buxheti i parashikuar është 124,000.00 euro në vit, në bazë të Planit Kombëtar të Veprimit për Burimet e Rinovueshme të Energjisë në Shqipëri, 2015-2020. </w:t>
            </w:r>
          </w:p>
          <w:p w14:paraId="6EB325FB" w14:textId="77777777" w:rsidR="00835192" w:rsidRPr="00FF756A" w:rsidRDefault="00835192" w:rsidP="00835192">
            <w:pPr>
              <w:spacing w:before="20" w:after="20" w:line="240" w:lineRule="auto"/>
              <w:rPr>
                <w:i/>
                <w:iCs/>
                <w:sz w:val="20"/>
                <w:szCs w:val="20"/>
              </w:rPr>
            </w:pPr>
            <w:r w:rsidRPr="00FF756A">
              <w:rPr>
                <w:i/>
                <w:iCs/>
                <w:sz w:val="20"/>
                <w:szCs w:val="20"/>
              </w:rPr>
              <w:t>Vlera monetare e kostove dhe përfitimeve të ndikimeve potenciale ishte e pamundur të përcaktohej për shkak të të dhënave dhe informacioneve të kufizuara.</w:t>
            </w:r>
          </w:p>
        </w:tc>
      </w:tr>
      <w:tr w:rsidR="00835192" w:rsidRPr="00FF756A" w14:paraId="7D031592" w14:textId="77777777" w:rsidTr="004A3257">
        <w:trPr>
          <w:trHeight w:val="20"/>
        </w:trPr>
        <w:tc>
          <w:tcPr>
            <w:tcW w:w="2200" w:type="dxa"/>
            <w:tcBorders>
              <w:top w:val="single" w:sz="4" w:space="0" w:color="auto"/>
              <w:left w:val="single" w:sz="4" w:space="0" w:color="auto"/>
              <w:bottom w:val="single" w:sz="4" w:space="0" w:color="auto"/>
              <w:right w:val="single" w:sz="4" w:space="0" w:color="auto"/>
            </w:tcBorders>
          </w:tcPr>
          <w:p w14:paraId="4578784C"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39ABE3C3"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2" w:type="dxa"/>
            <w:gridSpan w:val="5"/>
            <w:tcBorders>
              <w:top w:val="single" w:sz="4" w:space="0" w:color="auto"/>
              <w:left w:val="single" w:sz="4" w:space="0" w:color="auto"/>
              <w:bottom w:val="single" w:sz="4" w:space="0" w:color="auto"/>
              <w:right w:val="single" w:sz="4" w:space="0" w:color="auto"/>
            </w:tcBorders>
          </w:tcPr>
          <w:p w14:paraId="124D75C0" w14:textId="77777777" w:rsidR="00835192" w:rsidRPr="00FF756A" w:rsidRDefault="00835192" w:rsidP="00835192">
            <w:pPr>
              <w:spacing w:before="20" w:after="20" w:line="240" w:lineRule="auto"/>
              <w:rPr>
                <w:i/>
                <w:iCs/>
                <w:sz w:val="20"/>
                <w:szCs w:val="20"/>
              </w:rPr>
            </w:pPr>
            <w:r w:rsidRPr="00FF756A">
              <w:rPr>
                <w:i/>
                <w:iCs/>
                <w:sz w:val="20"/>
                <w:szCs w:val="20"/>
              </w:rPr>
              <w:t>Agjencia Kombëtare e Burimeve Natyrore; Ministria e Infrastrukturës dhe Energjisë; Ministria e Financave dhe Ekonomisë; Drejtoria e Përgjithshme e Tatimeve; Drejtoria e Përgjithshme e Doganave.</w:t>
            </w:r>
          </w:p>
          <w:p w14:paraId="40AB0C49" w14:textId="77777777" w:rsidR="00835192" w:rsidRPr="00FF756A" w:rsidRDefault="00835192" w:rsidP="00835192">
            <w:pPr>
              <w:spacing w:before="20" w:after="20" w:line="240" w:lineRule="auto"/>
              <w:rPr>
                <w:i/>
                <w:iCs/>
                <w:sz w:val="20"/>
                <w:szCs w:val="20"/>
              </w:rPr>
            </w:pPr>
            <w:r w:rsidRPr="00FF756A">
              <w:rPr>
                <w:i/>
                <w:iCs/>
                <w:sz w:val="20"/>
                <w:szCs w:val="20"/>
              </w:rPr>
              <w:t>(Inspektorati Shtetëror Teknik dhe Industrial; Ministria e Infrastrukturës dhe Energjisë)</w:t>
            </w:r>
          </w:p>
        </w:tc>
      </w:tr>
      <w:tr w:rsidR="00835192" w:rsidRPr="00FF756A" w14:paraId="48486DCB" w14:textId="77777777" w:rsidTr="004A3257">
        <w:trPr>
          <w:trHeight w:val="20"/>
        </w:trPr>
        <w:tc>
          <w:tcPr>
            <w:tcW w:w="2200" w:type="dxa"/>
            <w:tcBorders>
              <w:top w:val="single" w:sz="4" w:space="0" w:color="auto"/>
              <w:left w:val="single" w:sz="4" w:space="0" w:color="auto"/>
              <w:bottom w:val="single" w:sz="4" w:space="0" w:color="auto"/>
              <w:right w:val="single" w:sz="4" w:space="0" w:color="auto"/>
            </w:tcBorders>
          </w:tcPr>
          <w:p w14:paraId="7A5F860F"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2" w:type="dxa"/>
            <w:gridSpan w:val="5"/>
            <w:tcBorders>
              <w:top w:val="single" w:sz="4" w:space="0" w:color="auto"/>
              <w:left w:val="single" w:sz="4" w:space="0" w:color="auto"/>
              <w:bottom w:val="single" w:sz="4" w:space="0" w:color="auto"/>
              <w:right w:val="single" w:sz="4" w:space="0" w:color="auto"/>
            </w:tcBorders>
          </w:tcPr>
          <w:p w14:paraId="3DA6EFC0" w14:textId="77777777" w:rsidR="00835192" w:rsidRPr="00FF756A" w:rsidRDefault="00835192" w:rsidP="00835192">
            <w:pPr>
              <w:spacing w:before="20" w:after="20" w:line="240" w:lineRule="auto"/>
              <w:rPr>
                <w:i/>
                <w:iCs/>
                <w:sz w:val="20"/>
                <w:szCs w:val="20"/>
              </w:rPr>
            </w:pPr>
            <w:r w:rsidRPr="00FF756A">
              <w:rPr>
                <w:i/>
                <w:iCs/>
                <w:sz w:val="20"/>
                <w:szCs w:val="20"/>
              </w:rPr>
              <w:t>Siguria energjetike</w:t>
            </w:r>
          </w:p>
        </w:tc>
      </w:tr>
    </w:tbl>
    <w:p w14:paraId="1DA8E4CE" w14:textId="77777777" w:rsidR="00835192" w:rsidRPr="00FF756A" w:rsidRDefault="00835192" w:rsidP="00835192"/>
    <w:tbl>
      <w:tblPr>
        <w:tblStyle w:val="TableGrid"/>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4"/>
        <w:gridCol w:w="1275"/>
        <w:gridCol w:w="625"/>
        <w:gridCol w:w="400"/>
        <w:gridCol w:w="3695"/>
        <w:gridCol w:w="883"/>
      </w:tblGrid>
      <w:tr w:rsidR="00835192" w:rsidRPr="00FF756A" w14:paraId="1CA634CA" w14:textId="77777777" w:rsidTr="004A3257">
        <w:trPr>
          <w:trHeight w:val="20"/>
        </w:trPr>
        <w:tc>
          <w:tcPr>
            <w:tcW w:w="4513" w:type="dxa"/>
            <w:gridSpan w:val="4"/>
            <w:shd w:val="clear" w:color="auto" w:fill="D9E2F3" w:themeFill="accent1" w:themeFillTint="33"/>
          </w:tcPr>
          <w:p w14:paraId="735E876D"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59" w:type="dxa"/>
            <w:gridSpan w:val="2"/>
            <w:shd w:val="clear" w:color="auto" w:fill="D9E2F3" w:themeFill="accent1" w:themeFillTint="33"/>
          </w:tcPr>
          <w:p w14:paraId="0C7E6393" w14:textId="77777777" w:rsidR="00835192" w:rsidRPr="00FF756A" w:rsidRDefault="00835192" w:rsidP="008639B2">
            <w:pPr>
              <w:numPr>
                <w:ilvl w:val="0"/>
                <w:numId w:val="96"/>
              </w:numPr>
              <w:spacing w:before="20" w:after="20" w:line="240" w:lineRule="auto"/>
              <w:contextualSpacing/>
              <w:rPr>
                <w:i/>
                <w:iCs/>
                <w:sz w:val="20"/>
                <w:szCs w:val="20"/>
              </w:rPr>
            </w:pPr>
            <w:r w:rsidRPr="00FF756A">
              <w:rPr>
                <w:i/>
                <w:iCs/>
                <w:sz w:val="20"/>
                <w:szCs w:val="20"/>
              </w:rPr>
              <w:t>Dekarbonizimi</w:t>
            </w:r>
          </w:p>
          <w:p w14:paraId="67BEC55B" w14:textId="77777777" w:rsidR="00835192" w:rsidRPr="00FF756A" w:rsidRDefault="00835192" w:rsidP="00835192">
            <w:pPr>
              <w:spacing w:before="20" w:after="20" w:line="240" w:lineRule="auto"/>
              <w:ind w:left="720"/>
              <w:rPr>
                <w:i/>
                <w:iCs/>
                <w:sz w:val="20"/>
                <w:szCs w:val="20"/>
              </w:rPr>
            </w:pPr>
            <w:r w:rsidRPr="00FF756A">
              <w:rPr>
                <w:i/>
                <w:iCs/>
                <w:sz w:val="20"/>
                <w:szCs w:val="20"/>
              </w:rPr>
              <w:t>1.2</w:t>
            </w:r>
            <w:r w:rsidRPr="00FF756A">
              <w:rPr>
                <w:i/>
                <w:iCs/>
                <w:sz w:val="20"/>
                <w:szCs w:val="20"/>
              </w:rPr>
              <w:tab/>
              <w:t>Energjia e rinovueshme</w:t>
            </w:r>
          </w:p>
        </w:tc>
      </w:tr>
      <w:tr w:rsidR="00835192" w:rsidRPr="00FF756A" w14:paraId="0C8FCA55" w14:textId="77777777" w:rsidTr="004A3257">
        <w:trPr>
          <w:trHeight w:val="20"/>
        </w:trPr>
        <w:tc>
          <w:tcPr>
            <w:tcW w:w="4111" w:type="dxa"/>
            <w:gridSpan w:val="3"/>
            <w:shd w:val="clear" w:color="auto" w:fill="D9E2F3" w:themeFill="accent1" w:themeFillTint="33"/>
          </w:tcPr>
          <w:p w14:paraId="2F43DF1C"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61" w:type="dxa"/>
            <w:gridSpan w:val="3"/>
            <w:shd w:val="clear" w:color="auto" w:fill="D9E2F3" w:themeFill="accent1" w:themeFillTint="33"/>
          </w:tcPr>
          <w:p w14:paraId="59D2F1B6" w14:textId="77777777" w:rsidR="00835192" w:rsidRPr="00FF756A" w:rsidRDefault="00835192" w:rsidP="00835192">
            <w:pPr>
              <w:spacing w:before="20" w:after="20" w:line="240" w:lineRule="auto"/>
              <w:rPr>
                <w:i/>
                <w:iCs/>
                <w:sz w:val="20"/>
                <w:szCs w:val="20"/>
              </w:rPr>
            </w:pPr>
            <w:r w:rsidRPr="00FF756A">
              <w:rPr>
                <w:i/>
                <w:iCs/>
                <w:sz w:val="20"/>
                <w:szCs w:val="20"/>
              </w:rPr>
              <w:t>Transporti</w:t>
            </w:r>
          </w:p>
        </w:tc>
      </w:tr>
      <w:tr w:rsidR="00835192" w:rsidRPr="00FF756A" w14:paraId="24F4CB64" w14:textId="77777777" w:rsidTr="004A3257">
        <w:trPr>
          <w:trHeight w:val="20"/>
        </w:trPr>
        <w:tc>
          <w:tcPr>
            <w:tcW w:w="3482" w:type="dxa"/>
            <w:gridSpan w:val="2"/>
          </w:tcPr>
          <w:p w14:paraId="0351D1FC"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74F15F60"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0" w:type="dxa"/>
            <w:gridSpan w:val="4"/>
          </w:tcPr>
          <w:p w14:paraId="6AE4D3DF" w14:textId="77777777" w:rsidR="00835192" w:rsidRPr="00FF756A" w:rsidRDefault="00835192" w:rsidP="00835192">
            <w:pPr>
              <w:spacing w:before="20" w:after="20" w:line="240" w:lineRule="auto"/>
              <w:rPr>
                <w:i/>
                <w:iCs/>
                <w:sz w:val="20"/>
                <w:szCs w:val="20"/>
              </w:rPr>
            </w:pPr>
            <w:r w:rsidRPr="00FF756A">
              <w:rPr>
                <w:i/>
                <w:iCs/>
                <w:sz w:val="20"/>
                <w:szCs w:val="20"/>
              </w:rPr>
              <w:t>WAM</w:t>
            </w:r>
          </w:p>
          <w:p w14:paraId="67A0F571" w14:textId="77777777" w:rsidR="00835192" w:rsidRPr="00FF756A" w:rsidRDefault="00835192" w:rsidP="00835192">
            <w:pPr>
              <w:spacing w:before="20" w:after="20" w:line="240" w:lineRule="auto"/>
              <w:rPr>
                <w:i/>
                <w:iCs/>
                <w:sz w:val="20"/>
                <w:szCs w:val="20"/>
              </w:rPr>
            </w:pPr>
            <w:r w:rsidRPr="00FF756A">
              <w:rPr>
                <w:i/>
                <w:iCs/>
                <w:sz w:val="20"/>
                <w:szCs w:val="20"/>
              </w:rPr>
              <w:t xml:space="preserve">Financiar </w:t>
            </w:r>
          </w:p>
        </w:tc>
      </w:tr>
      <w:tr w:rsidR="00835192" w:rsidRPr="00FF756A" w14:paraId="1D338737" w14:textId="77777777" w:rsidTr="004A3257">
        <w:trPr>
          <w:trHeight w:val="20"/>
        </w:trPr>
        <w:tc>
          <w:tcPr>
            <w:tcW w:w="2200" w:type="dxa"/>
          </w:tcPr>
          <w:p w14:paraId="5E2B7EE9"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45B0AAB4"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2" w:type="dxa"/>
            <w:gridSpan w:val="5"/>
          </w:tcPr>
          <w:p w14:paraId="2591911C" w14:textId="77777777" w:rsidR="00835192" w:rsidRPr="00FF756A" w:rsidRDefault="00835192" w:rsidP="00835192">
            <w:pPr>
              <w:spacing w:before="0" w:after="0" w:line="240" w:lineRule="auto"/>
              <w:rPr>
                <w:i/>
                <w:iCs/>
                <w:sz w:val="20"/>
                <w:szCs w:val="20"/>
              </w:rPr>
            </w:pPr>
            <w:r w:rsidRPr="00FF756A">
              <w:rPr>
                <w:i/>
                <w:iCs/>
                <w:sz w:val="20"/>
                <w:szCs w:val="20"/>
              </w:rPr>
              <w:t xml:space="preserve">Instalimi i stacioneve të karikimit për automjetet elektrike dhe instalimi i paneleve fotovoltaike </w:t>
            </w:r>
          </w:p>
          <w:p w14:paraId="5C78B138" w14:textId="77777777" w:rsidR="00835192" w:rsidRPr="00FF756A" w:rsidRDefault="00835192" w:rsidP="00835192">
            <w:pPr>
              <w:spacing w:before="20" w:after="20" w:line="240" w:lineRule="auto"/>
              <w:rPr>
                <w:i/>
                <w:iCs/>
                <w:sz w:val="20"/>
                <w:szCs w:val="20"/>
              </w:rPr>
            </w:pPr>
            <w:r w:rsidRPr="00FF756A">
              <w:rPr>
                <w:i/>
                <w:iCs/>
                <w:sz w:val="20"/>
                <w:szCs w:val="20"/>
              </w:rPr>
              <w:t>(R-T3)</w:t>
            </w:r>
          </w:p>
        </w:tc>
      </w:tr>
      <w:tr w:rsidR="00835192" w:rsidRPr="00FF756A" w14:paraId="69DC10C5" w14:textId="77777777" w:rsidTr="004A3257">
        <w:trPr>
          <w:trHeight w:val="20"/>
        </w:trPr>
        <w:tc>
          <w:tcPr>
            <w:tcW w:w="2200" w:type="dxa"/>
          </w:tcPr>
          <w:p w14:paraId="5CD70299"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2" w:type="dxa"/>
            <w:gridSpan w:val="5"/>
          </w:tcPr>
          <w:p w14:paraId="3F8B9B92" w14:textId="77777777" w:rsidR="00835192" w:rsidRPr="00FF756A" w:rsidRDefault="00835192" w:rsidP="00835192">
            <w:pPr>
              <w:spacing w:before="20" w:after="20" w:line="240" w:lineRule="auto"/>
              <w:rPr>
                <w:i/>
                <w:iCs/>
                <w:sz w:val="20"/>
                <w:szCs w:val="20"/>
              </w:rPr>
            </w:pPr>
            <w:r w:rsidRPr="00FF756A">
              <w:rPr>
                <w:i/>
                <w:iCs/>
                <w:sz w:val="20"/>
                <w:szCs w:val="20"/>
              </w:rPr>
              <w:t>2024 – 2027</w:t>
            </w:r>
          </w:p>
        </w:tc>
      </w:tr>
      <w:tr w:rsidR="00835192" w:rsidRPr="00FF756A" w14:paraId="2F1107A7" w14:textId="77777777" w:rsidTr="004A3257">
        <w:trPr>
          <w:trHeight w:val="20"/>
        </w:trPr>
        <w:tc>
          <w:tcPr>
            <w:tcW w:w="2200" w:type="dxa"/>
          </w:tcPr>
          <w:p w14:paraId="3A7C4283"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2" w:type="dxa"/>
            <w:gridSpan w:val="5"/>
          </w:tcPr>
          <w:p w14:paraId="4C107979" w14:textId="77777777" w:rsidR="00835192" w:rsidRPr="00FF756A" w:rsidRDefault="00835192" w:rsidP="00835192">
            <w:pPr>
              <w:spacing w:before="20" w:after="20" w:line="240" w:lineRule="auto"/>
              <w:rPr>
                <w:i/>
                <w:iCs/>
                <w:sz w:val="20"/>
                <w:szCs w:val="20"/>
              </w:rPr>
            </w:pPr>
            <w:r w:rsidRPr="00FF756A">
              <w:rPr>
                <w:i/>
                <w:iCs/>
                <w:sz w:val="20"/>
                <w:szCs w:val="20"/>
              </w:rPr>
              <w:t>VKM nr. 633, datë 26.10.2018, “Për masat kundër ndotjes së ajrit nga shkarkimet e mjeteve motorike dhe reduktimin e shkarkimeve në ajër të ndotësve të gaztë dhe të lëndës së ngurtë pezull nga motorët me ndezje pozitive dhe ata me ndezje me kompresion që djegin gaz natyror apo të lëngshëm për përdorim në automjete”, e ndryshuar; Ligji nr. 9957, datë 28.7.2008, “Për taksat kombëtare”, i ndryshuar</w:t>
            </w:r>
          </w:p>
        </w:tc>
      </w:tr>
      <w:tr w:rsidR="00835192" w:rsidRPr="00FF756A" w14:paraId="73B0DD6D" w14:textId="77777777" w:rsidTr="004A3257">
        <w:trPr>
          <w:trHeight w:val="20"/>
        </w:trPr>
        <w:tc>
          <w:tcPr>
            <w:tcW w:w="2200" w:type="dxa"/>
          </w:tcPr>
          <w:p w14:paraId="3B5F4C56"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2" w:type="dxa"/>
            <w:gridSpan w:val="5"/>
          </w:tcPr>
          <w:p w14:paraId="520061B2" w14:textId="77777777" w:rsidR="00835192" w:rsidRPr="00FF756A" w:rsidRDefault="00835192" w:rsidP="00835192">
            <w:pPr>
              <w:spacing w:before="20" w:after="20" w:line="240" w:lineRule="auto"/>
              <w:rPr>
                <w:i/>
                <w:iCs/>
                <w:sz w:val="20"/>
                <w:szCs w:val="20"/>
              </w:rPr>
            </w:pPr>
            <w:r w:rsidRPr="00FF756A">
              <w:rPr>
                <w:i/>
                <w:iCs/>
                <w:sz w:val="20"/>
                <w:szCs w:val="20"/>
              </w:rPr>
              <w:t xml:space="preserve">Agjencia për Efiçencën e Energjisë ka kryer një studim për vlerësimin e stacioneve totale të EV-ve të nevojshme në fazën e parë të projektit që mbulon vitet 2023-2027. Agjencia për Efiçencën e Energjisë ka realizuar një projekt të quajtur “Hartimi i projektit të detajuar për instalimin e stacioneve të karikimit për makinat elektrike </w:t>
            </w:r>
            <w:r w:rsidRPr="00FF756A">
              <w:rPr>
                <w:i/>
                <w:iCs/>
                <w:sz w:val="20"/>
                <w:szCs w:val="20"/>
              </w:rPr>
              <w:lastRenderedPageBreak/>
              <w:t>në Republikën e Shqipërisë”. Përmes këtij projekti është përgatitur një hartë e detajuar e instalimit të karikuesve të EV-ve në Republikën e Shqipërisë, e cila është plotësuar me detaje teknike dhe vlerësime ekonomike.</w:t>
            </w:r>
          </w:p>
        </w:tc>
      </w:tr>
      <w:tr w:rsidR="00835192" w:rsidRPr="00FF756A" w14:paraId="4EFFA549" w14:textId="77777777" w:rsidTr="004A3257">
        <w:trPr>
          <w:trHeight w:val="20"/>
        </w:trPr>
        <w:tc>
          <w:tcPr>
            <w:tcW w:w="2200" w:type="dxa"/>
          </w:tcPr>
          <w:p w14:paraId="632B90C9"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Objektivi kryesor i PM</w:t>
            </w:r>
          </w:p>
        </w:tc>
        <w:tc>
          <w:tcPr>
            <w:tcW w:w="6872" w:type="dxa"/>
            <w:gridSpan w:val="5"/>
          </w:tcPr>
          <w:p w14:paraId="195E6855" w14:textId="77777777" w:rsidR="00835192" w:rsidRPr="00FF756A" w:rsidRDefault="00835192" w:rsidP="008639B2">
            <w:pPr>
              <w:numPr>
                <w:ilvl w:val="0"/>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i/>
                <w:iCs/>
                <w:sz w:val="20"/>
                <w:szCs w:val="20"/>
              </w:rPr>
            </w:pPr>
            <w:r w:rsidRPr="00FF756A">
              <w:rPr>
                <w:i/>
                <w:iCs/>
                <w:sz w:val="20"/>
                <w:szCs w:val="20"/>
              </w:rPr>
              <w:t xml:space="preserve">Rritja e efiçencës së energjisë; </w:t>
            </w:r>
          </w:p>
          <w:p w14:paraId="55D53B47" w14:textId="77777777" w:rsidR="00835192" w:rsidRPr="00FF756A" w:rsidRDefault="00835192" w:rsidP="008639B2">
            <w:pPr>
              <w:numPr>
                <w:ilvl w:val="0"/>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i/>
                <w:iCs/>
                <w:sz w:val="20"/>
                <w:szCs w:val="20"/>
              </w:rPr>
            </w:pPr>
            <w:r w:rsidRPr="00FF756A">
              <w:rPr>
                <w:i/>
                <w:iCs/>
                <w:sz w:val="20"/>
                <w:szCs w:val="20"/>
              </w:rPr>
              <w:t xml:space="preserve">Rritja e investimeve në infrastrukturën e transmetimit dhe shpërndarjes së energjisë; </w:t>
            </w:r>
          </w:p>
          <w:p w14:paraId="704FE7AF" w14:textId="77777777" w:rsidR="00835192" w:rsidRPr="00FF756A" w:rsidRDefault="00835192" w:rsidP="008639B2">
            <w:pPr>
              <w:numPr>
                <w:ilvl w:val="0"/>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i/>
                <w:iCs/>
                <w:sz w:val="20"/>
                <w:szCs w:val="20"/>
              </w:rPr>
            </w:pPr>
            <w:r w:rsidRPr="00FF756A">
              <w:rPr>
                <w:i/>
                <w:iCs/>
                <w:sz w:val="20"/>
                <w:szCs w:val="20"/>
              </w:rPr>
              <w:t>Rritja e vetëprodhimit të energjisë nga burimet e rinovueshme;</w:t>
            </w:r>
          </w:p>
          <w:p w14:paraId="44781D0F" w14:textId="77777777" w:rsidR="00835192" w:rsidRPr="00FF756A" w:rsidRDefault="00835192" w:rsidP="008639B2">
            <w:pPr>
              <w:numPr>
                <w:ilvl w:val="0"/>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i/>
                <w:iCs/>
                <w:sz w:val="20"/>
                <w:szCs w:val="20"/>
              </w:rPr>
            </w:pPr>
            <w:r w:rsidRPr="00FF756A">
              <w:rPr>
                <w:i/>
                <w:iCs/>
                <w:sz w:val="20"/>
                <w:szCs w:val="20"/>
              </w:rPr>
              <w:t xml:space="preserve">Rritja e flotës së makinave elektrike duke u ofruar atyre infrastrukturën e duhur. </w:t>
            </w:r>
          </w:p>
        </w:tc>
      </w:tr>
      <w:tr w:rsidR="00835192" w:rsidRPr="00FF756A" w14:paraId="60B539DF" w14:textId="77777777" w:rsidTr="004A3257">
        <w:trPr>
          <w:trHeight w:val="20"/>
        </w:trPr>
        <w:tc>
          <w:tcPr>
            <w:tcW w:w="2200" w:type="dxa"/>
          </w:tcPr>
          <w:p w14:paraId="4074BD62"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2" w:type="dxa"/>
            <w:gridSpan w:val="5"/>
          </w:tcPr>
          <w:p w14:paraId="5992269A"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Instalimi i stacioneve të karikimit për automjetet elektrike në pikat ekzistuese të aksesit përgjatë rrugëve kombëtare, pikave kufitare dhe zonave turistike. </w:t>
            </w:r>
          </w:p>
          <w:p w14:paraId="56DFBF2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Rritja e përqindjes së energjive të rinovueshme dhe reduktimi i konsumit të energjisë elektrike nga rrjeti elektrik.</w:t>
            </w:r>
          </w:p>
        </w:tc>
      </w:tr>
      <w:tr w:rsidR="00835192" w:rsidRPr="00FF756A" w14:paraId="4E5275E6" w14:textId="77777777" w:rsidTr="004A3257">
        <w:trPr>
          <w:trHeight w:val="20"/>
        </w:trPr>
        <w:tc>
          <w:tcPr>
            <w:tcW w:w="2200" w:type="dxa"/>
          </w:tcPr>
          <w:p w14:paraId="2379FFC6"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2" w:type="dxa"/>
            <w:gridSpan w:val="4"/>
          </w:tcPr>
          <w:p w14:paraId="1A5607A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Investime në infrastrukturë për stacionet e karikimit për të lehtësuar dhe stimuluar tregun e lëvizshmërisë me mjeteve elektrike. </w:t>
            </w:r>
          </w:p>
          <w:p w14:paraId="71705866"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Investime në sisteme fotovoltaike që rezultojnë në rritjen e përqindjes së energjive të rinovueshme dhe reduktimin e konsumit të energjisë elektrike nga rrjeti elektrik.</w:t>
            </w:r>
          </w:p>
        </w:tc>
        <w:tc>
          <w:tcPr>
            <w:tcW w:w="850" w:type="dxa"/>
          </w:tcPr>
          <w:p w14:paraId="7DFC2CE0" w14:textId="77777777" w:rsidR="00835192" w:rsidRPr="00FF756A" w:rsidRDefault="00835192" w:rsidP="00835192">
            <w:pPr>
              <w:spacing w:before="20" w:after="20" w:line="240" w:lineRule="auto"/>
              <w:rPr>
                <w:i/>
                <w:iCs/>
                <w:sz w:val="20"/>
                <w:szCs w:val="20"/>
              </w:rPr>
            </w:pPr>
            <w:r w:rsidRPr="00FF756A">
              <w:rPr>
                <w:i/>
                <w:iCs/>
                <w:sz w:val="20"/>
                <w:szCs w:val="20"/>
              </w:rPr>
              <w:t>Nga viti 2024 e në vazhdim</w:t>
            </w:r>
          </w:p>
        </w:tc>
      </w:tr>
      <w:tr w:rsidR="00835192" w:rsidRPr="00FF756A" w14:paraId="5975094E" w14:textId="77777777" w:rsidTr="004A3257">
        <w:trPr>
          <w:trHeight w:val="20"/>
        </w:trPr>
        <w:tc>
          <w:tcPr>
            <w:tcW w:w="2200" w:type="dxa"/>
          </w:tcPr>
          <w:p w14:paraId="4C81E161"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2" w:type="dxa"/>
            <w:gridSpan w:val="5"/>
          </w:tcPr>
          <w:p w14:paraId="2DB02480" w14:textId="75F864F8" w:rsidR="00835192" w:rsidRPr="00FF756A" w:rsidRDefault="00835192" w:rsidP="00835192">
            <w:pPr>
              <w:spacing w:before="20" w:after="20" w:line="240" w:lineRule="auto"/>
              <w:rPr>
                <w:i/>
                <w:iCs/>
                <w:sz w:val="20"/>
                <w:szCs w:val="20"/>
              </w:rPr>
            </w:pPr>
            <w:r w:rsidRPr="00FF756A">
              <w:rPr>
                <w:i/>
                <w:iCs/>
                <w:sz w:val="20"/>
                <w:szCs w:val="20"/>
              </w:rPr>
              <w:t xml:space="preserve">13,5 milionë euro (IPA III Window 3: Axhenda e gjelbër dhe </w:t>
            </w:r>
            <w:r w:rsidR="00A64E12" w:rsidRPr="00FF756A">
              <w:rPr>
                <w:i/>
                <w:iCs/>
                <w:sz w:val="20"/>
                <w:szCs w:val="20"/>
              </w:rPr>
              <w:t>konekti</w:t>
            </w:r>
            <w:r w:rsidR="00547D28" w:rsidRPr="00FF756A">
              <w:rPr>
                <w:i/>
                <w:iCs/>
                <w:sz w:val="20"/>
                <w:szCs w:val="20"/>
              </w:rPr>
              <w:t>viteti i</w:t>
            </w:r>
            <w:r w:rsidRPr="00FF756A">
              <w:rPr>
                <w:i/>
                <w:iCs/>
                <w:sz w:val="20"/>
                <w:szCs w:val="20"/>
              </w:rPr>
              <w:t xml:space="preserve"> qëndruesh</w:t>
            </w:r>
            <w:r w:rsidR="00547D28" w:rsidRPr="00FF756A">
              <w:rPr>
                <w:i/>
                <w:iCs/>
                <w:sz w:val="20"/>
                <w:szCs w:val="20"/>
              </w:rPr>
              <w:t>ë</w:t>
            </w:r>
            <w:r w:rsidRPr="00FF756A">
              <w:rPr>
                <w:i/>
                <w:iCs/>
                <w:sz w:val="20"/>
                <w:szCs w:val="20"/>
              </w:rPr>
              <w:t>m)</w:t>
            </w:r>
          </w:p>
        </w:tc>
      </w:tr>
      <w:tr w:rsidR="00835192" w:rsidRPr="00FF756A" w14:paraId="228BFD13" w14:textId="77777777" w:rsidTr="004A3257">
        <w:trPr>
          <w:trHeight w:val="20"/>
        </w:trPr>
        <w:tc>
          <w:tcPr>
            <w:tcW w:w="2200" w:type="dxa"/>
          </w:tcPr>
          <w:p w14:paraId="79F2E81F"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76BFF7F3"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2" w:type="dxa"/>
            <w:gridSpan w:val="5"/>
          </w:tcPr>
          <w:p w14:paraId="3D982DDF"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Ministria e Turizmit dhe Mjedisit, Drejtoria e Përgjithshme e Transportit, njësitë e qeverisjes vendore</w:t>
            </w:r>
          </w:p>
          <w:p w14:paraId="1224A2F3"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w:t>
            </w:r>
          </w:p>
        </w:tc>
      </w:tr>
      <w:tr w:rsidR="00835192" w:rsidRPr="00FF756A" w14:paraId="1D6F7CE9" w14:textId="77777777" w:rsidTr="004A3257">
        <w:trPr>
          <w:trHeight w:val="20"/>
        </w:trPr>
        <w:tc>
          <w:tcPr>
            <w:tcW w:w="2200" w:type="dxa"/>
          </w:tcPr>
          <w:p w14:paraId="6F788F9A"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2" w:type="dxa"/>
            <w:gridSpan w:val="5"/>
          </w:tcPr>
          <w:p w14:paraId="7F29EEA4" w14:textId="77777777" w:rsidR="00835192" w:rsidRPr="00FF756A" w:rsidRDefault="00835192" w:rsidP="00835192">
            <w:pPr>
              <w:spacing w:before="20" w:after="20" w:line="240" w:lineRule="auto"/>
              <w:rPr>
                <w:i/>
                <w:iCs/>
                <w:sz w:val="20"/>
                <w:szCs w:val="20"/>
              </w:rPr>
            </w:pPr>
            <w:r w:rsidRPr="00FF756A">
              <w:rPr>
                <w:i/>
                <w:iCs/>
                <w:sz w:val="20"/>
                <w:szCs w:val="20"/>
              </w:rPr>
              <w:t>Siguria energjetike</w:t>
            </w:r>
          </w:p>
          <w:p w14:paraId="06B518C5" w14:textId="77777777" w:rsidR="00835192" w:rsidRPr="00FF756A" w:rsidRDefault="00835192" w:rsidP="00835192">
            <w:pPr>
              <w:spacing w:before="20" w:after="20" w:line="240" w:lineRule="auto"/>
              <w:rPr>
                <w:i/>
                <w:iCs/>
                <w:sz w:val="20"/>
                <w:szCs w:val="20"/>
              </w:rPr>
            </w:pPr>
            <w:r w:rsidRPr="00FF756A">
              <w:rPr>
                <w:i/>
                <w:iCs/>
                <w:sz w:val="20"/>
                <w:szCs w:val="20"/>
              </w:rPr>
              <w:t>Marrëdhënia me PM-në e mëposhtme:</w:t>
            </w:r>
          </w:p>
          <w:p w14:paraId="6C83F589" w14:textId="77777777" w:rsidR="00835192" w:rsidRPr="00FF756A" w:rsidRDefault="00835192" w:rsidP="00835192">
            <w:pPr>
              <w:spacing w:before="20" w:after="20" w:line="240" w:lineRule="auto"/>
              <w:rPr>
                <w:i/>
                <w:iCs/>
                <w:sz w:val="20"/>
                <w:szCs w:val="20"/>
              </w:rPr>
            </w:pPr>
            <w:r w:rsidRPr="00FF756A">
              <w:rPr>
                <w:i/>
                <w:iCs/>
                <w:sz w:val="20"/>
                <w:szCs w:val="20"/>
              </w:rPr>
              <w:t xml:space="preserve">R-E7 Menaxhimi i krahut të kërkesës dhe sistemet e rezervave të energjisë elektrike për fleksibilitet të rrjetit elektrik </w:t>
            </w:r>
          </w:p>
        </w:tc>
      </w:tr>
    </w:tbl>
    <w:p w14:paraId="5917BF19" w14:textId="77777777" w:rsidR="00835192" w:rsidRPr="00FF756A" w:rsidRDefault="00835192" w:rsidP="00835192"/>
    <w:p w14:paraId="6726D399" w14:textId="77777777" w:rsidR="00835192" w:rsidRPr="00FF756A" w:rsidRDefault="00835192" w:rsidP="00D17BE5">
      <w:pPr>
        <w:pStyle w:val="Heading4"/>
        <w:numPr>
          <w:ilvl w:val="0"/>
          <w:numId w:val="0"/>
        </w:numPr>
        <w:ind w:left="864" w:hanging="864"/>
        <w:rPr>
          <w:rFonts w:cs="Times New Roman"/>
        </w:rPr>
      </w:pPr>
      <w:bookmarkStart w:id="377" w:name="_Toc183639234"/>
      <w:r w:rsidRPr="00FF756A">
        <w:rPr>
          <w:rFonts w:cs="Times New Roman"/>
        </w:rPr>
        <w:t>Sektori i industrisë</w:t>
      </w:r>
      <w:bookmarkEnd w:id="377"/>
    </w:p>
    <w:p w14:paraId="45033772" w14:textId="77777777" w:rsidR="00D17BE5" w:rsidRPr="00FF756A" w:rsidRDefault="00D17BE5" w:rsidP="004A3257"/>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5"/>
        <w:gridCol w:w="1273"/>
        <w:gridCol w:w="597"/>
        <w:gridCol w:w="426"/>
        <w:gridCol w:w="3688"/>
        <w:gridCol w:w="883"/>
      </w:tblGrid>
      <w:tr w:rsidR="00835192" w:rsidRPr="00FF756A" w14:paraId="517550B9" w14:textId="77777777" w:rsidTr="004A3257">
        <w:trPr>
          <w:trHeight w:val="20"/>
        </w:trPr>
        <w:tc>
          <w:tcPr>
            <w:tcW w:w="4516" w:type="dxa"/>
            <w:gridSpan w:val="4"/>
            <w:shd w:val="clear" w:color="auto" w:fill="DEEAF6" w:themeFill="accent5" w:themeFillTint="33"/>
          </w:tcPr>
          <w:p w14:paraId="57907F0E" w14:textId="77777777" w:rsidR="00835192" w:rsidRPr="00FF756A" w:rsidRDefault="00835192" w:rsidP="00835192">
            <w:pPr>
              <w:spacing w:before="20" w:after="20" w:line="240" w:lineRule="auto"/>
              <w:jc w:val="right"/>
              <w:rPr>
                <w:b/>
                <w:bCs/>
                <w:sz w:val="20"/>
                <w:szCs w:val="20"/>
              </w:rPr>
            </w:pPr>
            <w:bookmarkStart w:id="378" w:name="_Hlk162270795"/>
            <w:r w:rsidRPr="00FF756A">
              <w:rPr>
                <w:b/>
                <w:bCs/>
                <w:sz w:val="20"/>
                <w:szCs w:val="20"/>
              </w:rPr>
              <w:t>Dimensioni i energjisë</w:t>
            </w:r>
          </w:p>
        </w:tc>
        <w:tc>
          <w:tcPr>
            <w:tcW w:w="4556" w:type="dxa"/>
            <w:gridSpan w:val="2"/>
            <w:shd w:val="clear" w:color="auto" w:fill="DEEAF6" w:themeFill="accent5" w:themeFillTint="33"/>
          </w:tcPr>
          <w:p w14:paraId="5D671A32" w14:textId="77777777" w:rsidR="00835192" w:rsidRPr="00FF756A" w:rsidRDefault="00835192" w:rsidP="008639B2">
            <w:pPr>
              <w:numPr>
                <w:ilvl w:val="0"/>
                <w:numId w:val="106"/>
              </w:numPr>
              <w:spacing w:before="20" w:after="20" w:line="240" w:lineRule="auto"/>
              <w:contextualSpacing/>
              <w:rPr>
                <w:i/>
                <w:iCs/>
                <w:sz w:val="20"/>
                <w:szCs w:val="20"/>
              </w:rPr>
            </w:pPr>
            <w:r w:rsidRPr="00FF756A">
              <w:rPr>
                <w:i/>
                <w:iCs/>
                <w:sz w:val="20"/>
                <w:szCs w:val="20"/>
              </w:rPr>
              <w:t>Dekarbonizimi</w:t>
            </w:r>
          </w:p>
          <w:p w14:paraId="5764CF66" w14:textId="77777777" w:rsidR="00835192" w:rsidRPr="00FF756A" w:rsidRDefault="00835192" w:rsidP="004A3257">
            <w:pPr>
              <w:spacing w:before="20" w:after="20" w:line="240" w:lineRule="auto"/>
              <w:contextualSpacing/>
              <w:rPr>
                <w:i/>
                <w:iCs/>
                <w:sz w:val="20"/>
                <w:szCs w:val="20"/>
              </w:rPr>
            </w:pPr>
            <w:r w:rsidRPr="00FF756A">
              <w:rPr>
                <w:i/>
                <w:iCs/>
                <w:sz w:val="20"/>
                <w:szCs w:val="20"/>
              </w:rPr>
              <w:t>Energjia e rinovueshme</w:t>
            </w:r>
          </w:p>
        </w:tc>
      </w:tr>
      <w:tr w:rsidR="00835192" w:rsidRPr="00FF756A" w14:paraId="3CC03315" w14:textId="77777777" w:rsidTr="004A3257">
        <w:trPr>
          <w:trHeight w:val="20"/>
        </w:trPr>
        <w:tc>
          <w:tcPr>
            <w:tcW w:w="4087" w:type="dxa"/>
            <w:gridSpan w:val="3"/>
            <w:shd w:val="clear" w:color="auto" w:fill="DEEAF6" w:themeFill="accent5" w:themeFillTint="33"/>
          </w:tcPr>
          <w:p w14:paraId="1CA6ACCA"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85" w:type="dxa"/>
            <w:gridSpan w:val="3"/>
            <w:shd w:val="clear" w:color="auto" w:fill="DEEAF6" w:themeFill="accent5" w:themeFillTint="33"/>
          </w:tcPr>
          <w:p w14:paraId="413F8438" w14:textId="77777777" w:rsidR="00835192" w:rsidRPr="00FF756A" w:rsidRDefault="00835192" w:rsidP="00835192">
            <w:pPr>
              <w:spacing w:before="20" w:after="20" w:line="240" w:lineRule="auto"/>
              <w:rPr>
                <w:i/>
                <w:iCs/>
                <w:sz w:val="20"/>
                <w:szCs w:val="20"/>
              </w:rPr>
            </w:pPr>
            <w:r w:rsidRPr="00FF756A">
              <w:rPr>
                <w:i/>
                <w:iCs/>
                <w:sz w:val="20"/>
                <w:szCs w:val="20"/>
              </w:rPr>
              <w:t>Sektori i industrisë - NVM-të</w:t>
            </w:r>
          </w:p>
        </w:tc>
      </w:tr>
      <w:tr w:rsidR="00835192" w:rsidRPr="00FF756A" w14:paraId="2FE21165" w14:textId="77777777" w:rsidTr="004A3257">
        <w:trPr>
          <w:trHeight w:val="20"/>
        </w:trPr>
        <w:tc>
          <w:tcPr>
            <w:tcW w:w="3486" w:type="dxa"/>
            <w:gridSpan w:val="2"/>
          </w:tcPr>
          <w:p w14:paraId="34748532"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75269D76"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6" w:type="dxa"/>
            <w:gridSpan w:val="4"/>
          </w:tcPr>
          <w:p w14:paraId="6573B0F3" w14:textId="77777777" w:rsidR="00835192" w:rsidRPr="00FF756A" w:rsidRDefault="00835192" w:rsidP="00835192">
            <w:pPr>
              <w:spacing w:before="20" w:after="20" w:line="240" w:lineRule="auto"/>
              <w:rPr>
                <w:i/>
                <w:iCs/>
                <w:sz w:val="20"/>
                <w:szCs w:val="20"/>
              </w:rPr>
            </w:pPr>
            <w:r w:rsidRPr="00FF756A">
              <w:rPr>
                <w:i/>
                <w:iCs/>
                <w:sz w:val="20"/>
                <w:szCs w:val="20"/>
              </w:rPr>
              <w:t>WAM</w:t>
            </w:r>
          </w:p>
          <w:p w14:paraId="22584880" w14:textId="77777777" w:rsidR="00835192" w:rsidRPr="00FF756A" w:rsidRDefault="00835192" w:rsidP="00835192">
            <w:pPr>
              <w:spacing w:before="20" w:after="20" w:line="240" w:lineRule="auto"/>
              <w:rPr>
                <w:i/>
                <w:iCs/>
                <w:sz w:val="20"/>
                <w:szCs w:val="20"/>
              </w:rPr>
            </w:pPr>
            <w:r w:rsidRPr="00FF756A">
              <w:rPr>
                <w:i/>
                <w:iCs/>
                <w:sz w:val="20"/>
                <w:szCs w:val="20"/>
              </w:rPr>
              <w:t>Investues; Financiar; Informativ; Edukativ</w:t>
            </w:r>
          </w:p>
        </w:tc>
      </w:tr>
      <w:tr w:rsidR="00835192" w:rsidRPr="00FF756A" w14:paraId="726AA92F" w14:textId="77777777" w:rsidTr="004A3257">
        <w:trPr>
          <w:trHeight w:val="20"/>
        </w:trPr>
        <w:tc>
          <w:tcPr>
            <w:tcW w:w="2203" w:type="dxa"/>
          </w:tcPr>
          <w:p w14:paraId="0EC220B1"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486CE757"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9" w:type="dxa"/>
            <w:gridSpan w:val="5"/>
          </w:tcPr>
          <w:p w14:paraId="14F3C18F" w14:textId="2AC13BDA" w:rsidR="00835192" w:rsidRPr="00FF756A" w:rsidRDefault="00835192" w:rsidP="00835192">
            <w:pPr>
              <w:spacing w:before="20" w:after="20" w:line="240" w:lineRule="auto"/>
              <w:rPr>
                <w:i/>
                <w:iCs/>
                <w:sz w:val="20"/>
                <w:szCs w:val="20"/>
              </w:rPr>
            </w:pPr>
            <w:bookmarkStart w:id="379" w:name="_Hlk75449788"/>
            <w:r w:rsidRPr="00FF756A">
              <w:rPr>
                <w:i/>
                <w:iCs/>
                <w:sz w:val="20"/>
                <w:szCs w:val="20"/>
              </w:rPr>
              <w:t xml:space="preserve">Mbështetja e </w:t>
            </w:r>
            <w:r w:rsidR="00A1724C" w:rsidRPr="00FF756A">
              <w:rPr>
                <w:i/>
                <w:iCs/>
                <w:sz w:val="20"/>
                <w:szCs w:val="20"/>
              </w:rPr>
              <w:t xml:space="preserve">aplikimeve në shkallë të vogël </w:t>
            </w:r>
            <w:r w:rsidR="006B77A8" w:rsidRPr="00FF756A">
              <w:rPr>
                <w:i/>
                <w:iCs/>
                <w:sz w:val="20"/>
                <w:szCs w:val="20"/>
              </w:rPr>
              <w:t>për</w:t>
            </w:r>
            <w:r w:rsidR="00A1724C" w:rsidRPr="00FF756A">
              <w:rPr>
                <w:i/>
                <w:iCs/>
                <w:sz w:val="20"/>
                <w:szCs w:val="20"/>
              </w:rPr>
              <w:t xml:space="preserve"> </w:t>
            </w:r>
            <w:r w:rsidRPr="00FF756A">
              <w:rPr>
                <w:i/>
                <w:iCs/>
                <w:sz w:val="20"/>
                <w:szCs w:val="20"/>
              </w:rPr>
              <w:t>shfrytëzimi</w:t>
            </w:r>
            <w:r w:rsidR="006B77A8" w:rsidRPr="00FF756A">
              <w:rPr>
                <w:i/>
                <w:iCs/>
                <w:sz w:val="20"/>
                <w:szCs w:val="20"/>
              </w:rPr>
              <w:t>n e</w:t>
            </w:r>
            <w:r w:rsidRPr="00FF756A">
              <w:rPr>
                <w:i/>
                <w:iCs/>
                <w:sz w:val="20"/>
                <w:szCs w:val="20"/>
              </w:rPr>
              <w:t xml:space="preserve"> energjisë së rinovueshme në sektorin industrial joushqimor</w:t>
            </w:r>
          </w:p>
          <w:p w14:paraId="66555354" w14:textId="77777777" w:rsidR="00835192" w:rsidRPr="00FF756A" w:rsidRDefault="00835192" w:rsidP="00835192">
            <w:pPr>
              <w:spacing w:before="20" w:after="20" w:line="240" w:lineRule="auto"/>
              <w:rPr>
                <w:i/>
                <w:iCs/>
                <w:sz w:val="20"/>
                <w:szCs w:val="20"/>
              </w:rPr>
            </w:pPr>
            <w:r w:rsidRPr="00FF756A">
              <w:rPr>
                <w:i/>
                <w:iCs/>
                <w:sz w:val="20"/>
                <w:szCs w:val="20"/>
              </w:rPr>
              <w:t>(R-I1)</w:t>
            </w:r>
            <w:bookmarkEnd w:id="379"/>
          </w:p>
        </w:tc>
      </w:tr>
      <w:tr w:rsidR="00835192" w:rsidRPr="00FF756A" w14:paraId="6D74D8A2" w14:textId="77777777" w:rsidTr="004A3257">
        <w:trPr>
          <w:trHeight w:val="20"/>
        </w:trPr>
        <w:tc>
          <w:tcPr>
            <w:tcW w:w="2203" w:type="dxa"/>
          </w:tcPr>
          <w:p w14:paraId="00E970F4"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9" w:type="dxa"/>
            <w:gridSpan w:val="5"/>
          </w:tcPr>
          <w:p w14:paraId="169F044E" w14:textId="77777777" w:rsidR="00835192" w:rsidRPr="00FF756A" w:rsidRDefault="00835192" w:rsidP="00835192">
            <w:pPr>
              <w:spacing w:before="20" w:after="20" w:line="240" w:lineRule="auto"/>
              <w:rPr>
                <w:i/>
                <w:iCs/>
                <w:sz w:val="20"/>
                <w:szCs w:val="20"/>
              </w:rPr>
            </w:pPr>
            <w:r w:rsidRPr="00FF756A">
              <w:rPr>
                <w:i/>
                <w:iCs/>
                <w:sz w:val="20"/>
                <w:szCs w:val="20"/>
              </w:rPr>
              <w:t>2025 dhe në vazhdim</w:t>
            </w:r>
          </w:p>
        </w:tc>
      </w:tr>
      <w:tr w:rsidR="00835192" w:rsidRPr="00FF756A" w14:paraId="260432EB" w14:textId="77777777" w:rsidTr="004A3257">
        <w:trPr>
          <w:trHeight w:val="20"/>
        </w:trPr>
        <w:tc>
          <w:tcPr>
            <w:tcW w:w="2203" w:type="dxa"/>
          </w:tcPr>
          <w:p w14:paraId="36A7C250"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9" w:type="dxa"/>
            <w:gridSpan w:val="5"/>
          </w:tcPr>
          <w:p w14:paraId="5CD6583E" w14:textId="77777777" w:rsidR="00835192" w:rsidRPr="00FF756A" w:rsidRDefault="00835192" w:rsidP="00835192">
            <w:pPr>
              <w:spacing w:before="20" w:after="20" w:line="240" w:lineRule="auto"/>
              <w:rPr>
                <w:i/>
                <w:iCs/>
                <w:sz w:val="20"/>
                <w:szCs w:val="20"/>
              </w:rPr>
            </w:pPr>
            <w:r w:rsidRPr="00FF756A">
              <w:rPr>
                <w:i/>
                <w:iCs/>
                <w:sz w:val="20"/>
                <w:szCs w:val="20"/>
              </w:rPr>
              <w:t>Ligji nr. 124/2015, datë 12.11.2015, “Për efiçencën e energjisë”, i ndryshuar; VKM nr. 369, datë 36.4.2017, “Për miratimin e metodologjisë për përcaktimin e çmimit të blerjes së energjisë elektrike të prodhuar nga burimet e vogla të rinovueshme nga dielli dhe era”; Udhëzimi nr. 3 i ministrit të infrastrukturës dhe energjisë, datë 20.6.2019, “Për miratimin e procedurës së lehtësuar të autorizimit për lidhjen në sistemin e shpërndarjes të projekteve të vogla të rinovueshme për vetëprodhuesit e energjisë elektrike nga dielli”</w:t>
            </w:r>
          </w:p>
        </w:tc>
      </w:tr>
      <w:tr w:rsidR="00835192" w:rsidRPr="00FF756A" w14:paraId="0E561BB2" w14:textId="77777777" w:rsidTr="004A3257">
        <w:trPr>
          <w:trHeight w:val="20"/>
        </w:trPr>
        <w:tc>
          <w:tcPr>
            <w:tcW w:w="2203" w:type="dxa"/>
          </w:tcPr>
          <w:p w14:paraId="0A222689"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9" w:type="dxa"/>
            <w:gridSpan w:val="5"/>
          </w:tcPr>
          <w:p w14:paraId="5B2CFBF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Hartimi i akteve ligjore</w:t>
            </w:r>
          </w:p>
          <w:p w14:paraId="67CBBE72"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Ndërmarrja e disa nismave nga industritë lidhur me zhvillimin dhe zbatimin e aplikimeve të energjisë së rinovueshme në shkallë të vogël.</w:t>
            </w:r>
          </w:p>
        </w:tc>
      </w:tr>
      <w:tr w:rsidR="00835192" w:rsidRPr="00FF756A" w14:paraId="11F585E4" w14:textId="77777777" w:rsidTr="004A3257">
        <w:trPr>
          <w:trHeight w:val="20"/>
        </w:trPr>
        <w:tc>
          <w:tcPr>
            <w:tcW w:w="2203" w:type="dxa"/>
          </w:tcPr>
          <w:p w14:paraId="18712DF2"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9" w:type="dxa"/>
            <w:gridSpan w:val="5"/>
          </w:tcPr>
          <w:p w14:paraId="48FC4BD2" w14:textId="77777777" w:rsidR="00835192" w:rsidRPr="00FF756A" w:rsidRDefault="00835192" w:rsidP="00835192">
            <w:pPr>
              <w:spacing w:before="20" w:after="20" w:line="240" w:lineRule="auto"/>
              <w:rPr>
                <w:i/>
                <w:iCs/>
                <w:sz w:val="20"/>
                <w:szCs w:val="20"/>
              </w:rPr>
            </w:pPr>
            <w:r w:rsidRPr="00FF756A">
              <w:rPr>
                <w:i/>
                <w:iCs/>
                <w:sz w:val="20"/>
                <w:szCs w:val="20"/>
              </w:rPr>
              <w:t>Zhvillimi i konceptit të “industrisë së gjelbër”, duke promovuar dhe mbështetur shfrytëzimin e aplikimeve në shkallë të vogël të energjisë së rinovueshme në sektorin industrial joushqimor, si dhe zhvillimi i kapaciteteve teknike dhe aftësive të biznesit me qëllim inkurajimin e sipërmarrjes.</w:t>
            </w:r>
          </w:p>
        </w:tc>
      </w:tr>
      <w:tr w:rsidR="00835192" w:rsidRPr="00FF756A" w14:paraId="6DCA5896" w14:textId="77777777" w:rsidTr="004A3257">
        <w:trPr>
          <w:trHeight w:val="20"/>
        </w:trPr>
        <w:tc>
          <w:tcPr>
            <w:tcW w:w="2203" w:type="dxa"/>
          </w:tcPr>
          <w:p w14:paraId="131E4410"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Rezultatet për t'u arritur</w:t>
            </w:r>
          </w:p>
        </w:tc>
        <w:tc>
          <w:tcPr>
            <w:tcW w:w="6869" w:type="dxa"/>
            <w:gridSpan w:val="5"/>
          </w:tcPr>
          <w:p w14:paraId="0B25D130"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Përmirësimi i kapaciteteve të NVM-ve prodhuese vendase me qëllim përshpejtimin e shfrytëzimit të aplikimeve të energjisë së rinovueshme në shkallë të vogël</w:t>
            </w:r>
          </w:p>
          <w:p w14:paraId="44D6DAD4" w14:textId="79D8833E"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Kuadr</w:t>
            </w:r>
            <w:r w:rsidR="001303F6" w:rsidRPr="00FF756A">
              <w:rPr>
                <w:i/>
                <w:iCs/>
                <w:sz w:val="20"/>
                <w:szCs w:val="20"/>
              </w:rPr>
              <w:t>i</w:t>
            </w:r>
            <w:r w:rsidRPr="00FF756A">
              <w:rPr>
                <w:i/>
                <w:iCs/>
                <w:sz w:val="20"/>
                <w:szCs w:val="20"/>
              </w:rPr>
              <w:t xml:space="preserve"> politik dhe rregullatore që nxisin zhvillimin dhe zbatimin e aplikimeve të energjisë së rinovueshme në shkallë të vogël</w:t>
            </w:r>
          </w:p>
          <w:p w14:paraId="0195E04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Përmirësimi i mekanizmave financiare</w:t>
            </w:r>
          </w:p>
        </w:tc>
      </w:tr>
      <w:tr w:rsidR="00835192" w:rsidRPr="00FF756A" w14:paraId="710E96E7" w14:textId="77777777" w:rsidTr="004A3257">
        <w:trPr>
          <w:trHeight w:val="20"/>
        </w:trPr>
        <w:tc>
          <w:tcPr>
            <w:tcW w:w="2203" w:type="dxa"/>
          </w:tcPr>
          <w:p w14:paraId="06B56D4E"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9" w:type="dxa"/>
            <w:gridSpan w:val="4"/>
          </w:tcPr>
          <w:p w14:paraId="792EFD42" w14:textId="77777777" w:rsidR="00835192" w:rsidRPr="00FF756A" w:rsidRDefault="00835192" w:rsidP="00835192">
            <w:pPr>
              <w:spacing w:before="20" w:after="20" w:line="240" w:lineRule="auto"/>
              <w:rPr>
                <w:i/>
                <w:iCs/>
                <w:sz w:val="20"/>
                <w:szCs w:val="20"/>
              </w:rPr>
            </w:pPr>
            <w:r w:rsidRPr="00FF756A">
              <w:rPr>
                <w:i/>
                <w:iCs/>
                <w:sz w:val="20"/>
                <w:szCs w:val="20"/>
              </w:rPr>
              <w:t xml:space="preserve">Hartimi i politikave dhe rregulloreve për mbështetjen e teknologjive të përzgjedhura të energjisë së rinovueshme në shkallë të vogël, si p.sh. me anë të granteve </w:t>
            </w:r>
          </w:p>
          <w:p w14:paraId="1AB6C876" w14:textId="77777777" w:rsidR="00835192" w:rsidRPr="00FF756A" w:rsidRDefault="00835192" w:rsidP="00835192">
            <w:pPr>
              <w:spacing w:before="20" w:after="20" w:line="240" w:lineRule="auto"/>
              <w:rPr>
                <w:i/>
                <w:iCs/>
                <w:sz w:val="20"/>
                <w:szCs w:val="20"/>
              </w:rPr>
            </w:pPr>
            <w:r w:rsidRPr="00FF756A">
              <w:rPr>
                <w:i/>
                <w:iCs/>
                <w:sz w:val="20"/>
                <w:szCs w:val="20"/>
              </w:rPr>
              <w:t xml:space="preserve">Masa investimi </w:t>
            </w:r>
          </w:p>
          <w:p w14:paraId="7135178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NVM pilot për zbatimin e projekteve demonstruese në shkallë të vogël të energjisë së rinovueshme</w:t>
            </w:r>
          </w:p>
          <w:p w14:paraId="1CD48CE2"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Monitorimi dhe vlerësimi i projekteve</w:t>
            </w:r>
          </w:p>
          <w:p w14:paraId="212D70E0" w14:textId="77777777" w:rsidR="00835192" w:rsidRPr="00FF756A" w:rsidRDefault="00835192" w:rsidP="00835192">
            <w:pPr>
              <w:spacing w:before="20" w:after="20" w:line="240" w:lineRule="auto"/>
              <w:rPr>
                <w:i/>
                <w:iCs/>
                <w:sz w:val="20"/>
                <w:szCs w:val="20"/>
              </w:rPr>
            </w:pPr>
            <w:r w:rsidRPr="00FF756A">
              <w:rPr>
                <w:i/>
                <w:iCs/>
                <w:sz w:val="20"/>
                <w:szCs w:val="20"/>
              </w:rPr>
              <w:t>Edukimi dhe informimi:</w:t>
            </w:r>
          </w:p>
          <w:p w14:paraId="675012B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Trajnime për NVM-të për zgjerimin e kapacitetit të zinxhirit lokal të furnizimit dhe tregut të shërbimeve për demonstrimin e teknologjive të energjisë së rinovueshme (transferimi i teknologjisë, zhvilluesit e projekteve, instalimi, operimi dhe mirëmbajtja, ofruesit e shërbimeve etj.) </w:t>
            </w:r>
          </w:p>
          <w:p w14:paraId="05EC0D4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Zhvillimi i platformave të pjesëmarrjes për promovimin (ndërgjegjësimin), zhvillimin dhe zbatimin e aplikimeve të energjisë së rinovueshme në shkallë të vogël</w:t>
            </w:r>
          </w:p>
          <w:p w14:paraId="4BC5C86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Informimi i institucioneve financiare vendase lidhur me energjinë e rinovueshme</w:t>
            </w:r>
          </w:p>
        </w:tc>
        <w:tc>
          <w:tcPr>
            <w:tcW w:w="850" w:type="dxa"/>
          </w:tcPr>
          <w:p w14:paraId="7DA654C2"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2025</w:t>
            </w:r>
            <w:r w:rsidRPr="00FF756A">
              <w:rPr>
                <w:i/>
                <w:iCs/>
                <w:sz w:val="20"/>
                <w:szCs w:val="20"/>
              </w:rPr>
              <w:br/>
            </w:r>
            <w:r w:rsidRPr="00FF756A">
              <w:rPr>
                <w:i/>
                <w:iCs/>
                <w:sz w:val="20"/>
                <w:szCs w:val="20"/>
              </w:rPr>
              <w:br/>
              <w:t>nga viti 2025 e në vazhdim</w:t>
            </w:r>
            <w:r w:rsidRPr="00FF756A">
              <w:rPr>
                <w:i/>
                <w:iCs/>
                <w:sz w:val="20"/>
                <w:szCs w:val="20"/>
              </w:rPr>
              <w:br/>
            </w:r>
            <w:r w:rsidRPr="00FF756A">
              <w:rPr>
                <w:i/>
                <w:iCs/>
                <w:sz w:val="20"/>
                <w:szCs w:val="20"/>
              </w:rPr>
              <w:br/>
            </w:r>
            <w:r w:rsidRPr="00FF756A">
              <w:rPr>
                <w:i/>
                <w:iCs/>
                <w:sz w:val="20"/>
                <w:szCs w:val="20"/>
              </w:rPr>
              <w:br/>
            </w:r>
            <w:r w:rsidRPr="00FF756A">
              <w:rPr>
                <w:i/>
                <w:iCs/>
                <w:sz w:val="20"/>
                <w:szCs w:val="20"/>
              </w:rPr>
              <w:br/>
              <w:t>nga vitit 2025 e në vazhdim</w:t>
            </w:r>
          </w:p>
        </w:tc>
      </w:tr>
      <w:tr w:rsidR="00835192" w:rsidRPr="00FF756A" w14:paraId="310CC143" w14:textId="77777777" w:rsidTr="004A3257">
        <w:trPr>
          <w:trHeight w:val="20"/>
        </w:trPr>
        <w:tc>
          <w:tcPr>
            <w:tcW w:w="2203" w:type="dxa"/>
          </w:tcPr>
          <w:p w14:paraId="57C002A5"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9" w:type="dxa"/>
            <w:gridSpan w:val="5"/>
          </w:tcPr>
          <w:p w14:paraId="7C324EFA" w14:textId="77777777" w:rsidR="00835192" w:rsidRPr="00FF756A" w:rsidRDefault="00835192" w:rsidP="00835192">
            <w:pPr>
              <w:spacing w:before="20" w:after="20" w:line="240" w:lineRule="auto"/>
              <w:rPr>
                <w:i/>
                <w:iCs/>
                <w:sz w:val="20"/>
                <w:szCs w:val="20"/>
              </w:rPr>
            </w:pPr>
            <w:r w:rsidRPr="00FF756A">
              <w:rPr>
                <w:i/>
                <w:iCs/>
                <w:sz w:val="20"/>
                <w:szCs w:val="20"/>
              </w:rPr>
              <w:t xml:space="preserve">Buxheti indikativ: 2 milionë euro </w:t>
            </w:r>
          </w:p>
        </w:tc>
      </w:tr>
      <w:tr w:rsidR="00835192" w:rsidRPr="00FF756A" w14:paraId="3364D1FD" w14:textId="77777777" w:rsidTr="004A3257">
        <w:trPr>
          <w:trHeight w:val="20"/>
        </w:trPr>
        <w:tc>
          <w:tcPr>
            <w:tcW w:w="2203" w:type="dxa"/>
          </w:tcPr>
          <w:p w14:paraId="515EE54E"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408FC37E"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9" w:type="dxa"/>
            <w:gridSpan w:val="5"/>
          </w:tcPr>
          <w:p w14:paraId="664B90AA" w14:textId="77777777" w:rsidR="00835192" w:rsidRPr="00FF756A" w:rsidRDefault="00835192" w:rsidP="00835192">
            <w:pPr>
              <w:spacing w:before="20" w:after="20" w:line="240" w:lineRule="auto"/>
              <w:rPr>
                <w:i/>
                <w:iCs/>
                <w:sz w:val="20"/>
                <w:szCs w:val="20"/>
              </w:rPr>
            </w:pPr>
            <w:r w:rsidRPr="00FF756A">
              <w:rPr>
                <w:i/>
                <w:iCs/>
                <w:sz w:val="20"/>
                <w:szCs w:val="20"/>
              </w:rPr>
              <w:t>Operatorët e industrisë joushqimore; Agjencia për Efiçencën e Energjisë</w:t>
            </w:r>
          </w:p>
          <w:p w14:paraId="7BF9A611"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Agjencia për Efiçencën e Energjisë)</w:t>
            </w:r>
          </w:p>
        </w:tc>
      </w:tr>
      <w:tr w:rsidR="00835192" w:rsidRPr="00FF756A" w14:paraId="28979AAD" w14:textId="77777777" w:rsidTr="004A3257">
        <w:trPr>
          <w:trHeight w:val="20"/>
        </w:trPr>
        <w:tc>
          <w:tcPr>
            <w:tcW w:w="2203" w:type="dxa"/>
          </w:tcPr>
          <w:p w14:paraId="3DD89B78"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9" w:type="dxa"/>
            <w:gridSpan w:val="5"/>
          </w:tcPr>
          <w:p w14:paraId="39D12C27" w14:textId="77777777" w:rsidR="00835192" w:rsidRPr="00FF756A" w:rsidRDefault="00835192" w:rsidP="00835192">
            <w:pPr>
              <w:spacing w:before="20" w:after="20" w:line="240" w:lineRule="auto"/>
              <w:rPr>
                <w:i/>
                <w:iCs/>
                <w:sz w:val="20"/>
                <w:szCs w:val="20"/>
              </w:rPr>
            </w:pPr>
            <w:r w:rsidRPr="00FF756A">
              <w:rPr>
                <w:i/>
                <w:iCs/>
                <w:sz w:val="20"/>
                <w:szCs w:val="20"/>
              </w:rPr>
              <w:t xml:space="preserve">Dekarbonizimi; Efiçenca e energjisë; Kërkimi, inovacioni dhe konkurrenca </w:t>
            </w:r>
          </w:p>
        </w:tc>
      </w:tr>
    </w:tbl>
    <w:p w14:paraId="5B15B5C3" w14:textId="77777777" w:rsidR="00835192" w:rsidRPr="00FF756A" w:rsidRDefault="00835192" w:rsidP="00835192"/>
    <w:p w14:paraId="51D25D53"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4"/>
        <w:gridCol w:w="1272"/>
        <w:gridCol w:w="596"/>
        <w:gridCol w:w="426"/>
        <w:gridCol w:w="3691"/>
        <w:gridCol w:w="883"/>
      </w:tblGrid>
      <w:tr w:rsidR="00835192" w:rsidRPr="00FF756A" w14:paraId="30E06BD1" w14:textId="77777777" w:rsidTr="004A3257">
        <w:trPr>
          <w:trHeight w:val="20"/>
        </w:trPr>
        <w:tc>
          <w:tcPr>
            <w:tcW w:w="4516" w:type="dxa"/>
            <w:gridSpan w:val="4"/>
            <w:shd w:val="clear" w:color="auto" w:fill="DEEAF6" w:themeFill="accent5" w:themeFillTint="33"/>
          </w:tcPr>
          <w:p w14:paraId="0E531F48"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56" w:type="dxa"/>
            <w:gridSpan w:val="2"/>
            <w:shd w:val="clear" w:color="auto" w:fill="DEEAF6" w:themeFill="accent5" w:themeFillTint="33"/>
          </w:tcPr>
          <w:p w14:paraId="25E3D6BD" w14:textId="53848044" w:rsidR="00835192" w:rsidRPr="00FF756A" w:rsidRDefault="00835192" w:rsidP="004A3257">
            <w:pPr>
              <w:pStyle w:val="ListParagraph"/>
              <w:numPr>
                <w:ilvl w:val="0"/>
                <w:numId w:val="235"/>
              </w:numPr>
              <w:spacing w:before="20" w:after="20" w:line="240" w:lineRule="auto"/>
              <w:rPr>
                <w:i/>
                <w:iCs/>
                <w:sz w:val="20"/>
                <w:szCs w:val="20"/>
              </w:rPr>
            </w:pPr>
            <w:r w:rsidRPr="00FF756A">
              <w:rPr>
                <w:i/>
                <w:iCs/>
                <w:sz w:val="20"/>
                <w:szCs w:val="20"/>
              </w:rPr>
              <w:t>Dekarbonizimi</w:t>
            </w:r>
          </w:p>
          <w:p w14:paraId="30B1D260" w14:textId="2438141E" w:rsidR="00835192" w:rsidRPr="00FF756A" w:rsidRDefault="00835192" w:rsidP="004A3257">
            <w:pPr>
              <w:spacing w:before="20" w:after="20" w:line="240" w:lineRule="auto"/>
              <w:rPr>
                <w:i/>
                <w:iCs/>
                <w:sz w:val="20"/>
                <w:szCs w:val="20"/>
              </w:rPr>
            </w:pPr>
            <w:r w:rsidRPr="00FF756A">
              <w:rPr>
                <w:i/>
                <w:iCs/>
                <w:sz w:val="20"/>
                <w:szCs w:val="20"/>
              </w:rPr>
              <w:t>Energjia e rinovueshme</w:t>
            </w:r>
          </w:p>
        </w:tc>
      </w:tr>
      <w:tr w:rsidR="00835192" w:rsidRPr="00FF756A" w14:paraId="309F5C62" w14:textId="77777777" w:rsidTr="004A3257">
        <w:trPr>
          <w:trHeight w:val="20"/>
        </w:trPr>
        <w:tc>
          <w:tcPr>
            <w:tcW w:w="4087" w:type="dxa"/>
            <w:gridSpan w:val="3"/>
            <w:shd w:val="clear" w:color="auto" w:fill="DEEAF6" w:themeFill="accent5" w:themeFillTint="33"/>
          </w:tcPr>
          <w:p w14:paraId="2C94FA95"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85" w:type="dxa"/>
            <w:gridSpan w:val="3"/>
            <w:shd w:val="clear" w:color="auto" w:fill="DEEAF6" w:themeFill="accent5" w:themeFillTint="33"/>
          </w:tcPr>
          <w:p w14:paraId="6A5DEECF" w14:textId="77777777" w:rsidR="00835192" w:rsidRPr="00FF756A" w:rsidRDefault="00835192" w:rsidP="00835192">
            <w:pPr>
              <w:spacing w:before="20" w:after="20" w:line="240" w:lineRule="auto"/>
              <w:rPr>
                <w:i/>
                <w:iCs/>
                <w:sz w:val="20"/>
                <w:szCs w:val="20"/>
              </w:rPr>
            </w:pPr>
            <w:r w:rsidRPr="00FF756A">
              <w:rPr>
                <w:i/>
                <w:iCs/>
                <w:sz w:val="20"/>
                <w:szCs w:val="20"/>
              </w:rPr>
              <w:t>Sektori i industrisë - Uji</w:t>
            </w:r>
          </w:p>
        </w:tc>
      </w:tr>
      <w:tr w:rsidR="00835192" w:rsidRPr="00FF756A" w14:paraId="5F891C5A" w14:textId="77777777" w:rsidTr="004A3257">
        <w:trPr>
          <w:trHeight w:val="20"/>
        </w:trPr>
        <w:tc>
          <w:tcPr>
            <w:tcW w:w="3486" w:type="dxa"/>
            <w:gridSpan w:val="2"/>
          </w:tcPr>
          <w:p w14:paraId="6CA7E5A1"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00213D04"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6" w:type="dxa"/>
            <w:gridSpan w:val="4"/>
          </w:tcPr>
          <w:p w14:paraId="162E68BF" w14:textId="77777777" w:rsidR="00835192" w:rsidRPr="00FF756A" w:rsidRDefault="00835192" w:rsidP="00835192">
            <w:pPr>
              <w:spacing w:before="20" w:after="20" w:line="240" w:lineRule="auto"/>
              <w:rPr>
                <w:i/>
                <w:iCs/>
                <w:sz w:val="20"/>
                <w:szCs w:val="20"/>
              </w:rPr>
            </w:pPr>
            <w:r w:rsidRPr="00FF756A">
              <w:rPr>
                <w:i/>
                <w:iCs/>
                <w:sz w:val="20"/>
                <w:szCs w:val="20"/>
              </w:rPr>
              <w:t>WAM</w:t>
            </w:r>
          </w:p>
          <w:p w14:paraId="0D7513E6" w14:textId="77777777" w:rsidR="00835192" w:rsidRPr="00FF756A" w:rsidRDefault="00835192" w:rsidP="00835192">
            <w:pPr>
              <w:spacing w:before="20" w:after="20" w:line="240" w:lineRule="auto"/>
              <w:rPr>
                <w:i/>
                <w:iCs/>
                <w:sz w:val="20"/>
                <w:szCs w:val="20"/>
              </w:rPr>
            </w:pPr>
            <w:r w:rsidRPr="00FF756A">
              <w:rPr>
                <w:i/>
                <w:iCs/>
                <w:sz w:val="20"/>
                <w:szCs w:val="20"/>
              </w:rPr>
              <w:t>Investues, Financiar</w:t>
            </w:r>
          </w:p>
        </w:tc>
      </w:tr>
      <w:tr w:rsidR="00835192" w:rsidRPr="00FF756A" w14:paraId="17C91AD4" w14:textId="77777777" w:rsidTr="004A3257">
        <w:trPr>
          <w:trHeight w:val="20"/>
        </w:trPr>
        <w:tc>
          <w:tcPr>
            <w:tcW w:w="2203" w:type="dxa"/>
          </w:tcPr>
          <w:p w14:paraId="2A1184C4"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7D1F179C"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9" w:type="dxa"/>
            <w:gridSpan w:val="5"/>
          </w:tcPr>
          <w:p w14:paraId="2CD9B5A8" w14:textId="16688C07" w:rsidR="00835192" w:rsidRPr="00FF756A" w:rsidRDefault="00835192" w:rsidP="00835192">
            <w:pPr>
              <w:spacing w:before="20" w:after="20" w:line="240" w:lineRule="auto"/>
              <w:rPr>
                <w:i/>
                <w:iCs/>
                <w:sz w:val="20"/>
                <w:szCs w:val="20"/>
              </w:rPr>
            </w:pPr>
            <w:r w:rsidRPr="00FF756A">
              <w:rPr>
                <w:i/>
                <w:iCs/>
                <w:sz w:val="20"/>
                <w:szCs w:val="20"/>
              </w:rPr>
              <w:t>Vlerësimi i përdorimit të energjisë dhe mundësi</w:t>
            </w:r>
            <w:r w:rsidR="00B709ED" w:rsidRPr="00FF756A">
              <w:rPr>
                <w:i/>
                <w:iCs/>
                <w:sz w:val="20"/>
                <w:szCs w:val="20"/>
              </w:rPr>
              <w:t>t</w:t>
            </w:r>
            <w:r w:rsidRPr="00FF756A">
              <w:rPr>
                <w:i/>
                <w:iCs/>
                <w:sz w:val="20"/>
                <w:szCs w:val="20"/>
              </w:rPr>
              <w:t xml:space="preserve">e për zbatimin e burimeve të rinovueshme të energjisë në sektorin e ujit </w:t>
            </w:r>
          </w:p>
          <w:p w14:paraId="371ABCC8" w14:textId="77777777" w:rsidR="00835192" w:rsidRPr="00FF756A" w:rsidRDefault="00835192" w:rsidP="00835192">
            <w:pPr>
              <w:spacing w:before="20" w:after="20" w:line="240" w:lineRule="auto"/>
              <w:rPr>
                <w:i/>
                <w:iCs/>
                <w:sz w:val="20"/>
                <w:szCs w:val="20"/>
              </w:rPr>
            </w:pPr>
            <w:r w:rsidRPr="00FF756A">
              <w:rPr>
                <w:i/>
                <w:iCs/>
                <w:sz w:val="20"/>
                <w:szCs w:val="20"/>
              </w:rPr>
              <w:t>(R-W1)</w:t>
            </w:r>
          </w:p>
        </w:tc>
      </w:tr>
      <w:tr w:rsidR="00835192" w:rsidRPr="00FF756A" w14:paraId="61FFB225" w14:textId="77777777" w:rsidTr="004A3257">
        <w:trPr>
          <w:trHeight w:val="20"/>
        </w:trPr>
        <w:tc>
          <w:tcPr>
            <w:tcW w:w="2203" w:type="dxa"/>
          </w:tcPr>
          <w:p w14:paraId="1916E626"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9" w:type="dxa"/>
            <w:gridSpan w:val="5"/>
          </w:tcPr>
          <w:p w14:paraId="1E87FCF3" w14:textId="77777777" w:rsidR="00835192" w:rsidRPr="00FF756A" w:rsidRDefault="00835192" w:rsidP="00835192">
            <w:pPr>
              <w:spacing w:before="20" w:after="20" w:line="240" w:lineRule="auto"/>
              <w:rPr>
                <w:i/>
                <w:iCs/>
                <w:sz w:val="20"/>
                <w:szCs w:val="20"/>
              </w:rPr>
            </w:pPr>
            <w:r w:rsidRPr="00FF756A">
              <w:rPr>
                <w:i/>
                <w:iCs/>
                <w:sz w:val="20"/>
                <w:szCs w:val="20"/>
              </w:rPr>
              <w:t>2023-2027</w:t>
            </w:r>
          </w:p>
        </w:tc>
      </w:tr>
      <w:tr w:rsidR="00835192" w:rsidRPr="00FF756A" w14:paraId="64406B14" w14:textId="77777777" w:rsidTr="004A3257">
        <w:trPr>
          <w:trHeight w:val="20"/>
        </w:trPr>
        <w:tc>
          <w:tcPr>
            <w:tcW w:w="2203" w:type="dxa"/>
          </w:tcPr>
          <w:p w14:paraId="2962144D"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9" w:type="dxa"/>
            <w:gridSpan w:val="5"/>
          </w:tcPr>
          <w:p w14:paraId="32B1A62A" w14:textId="77777777" w:rsidR="00835192" w:rsidRPr="00FF756A" w:rsidRDefault="00835192" w:rsidP="00835192">
            <w:pPr>
              <w:spacing w:before="20" w:after="20" w:line="240" w:lineRule="auto"/>
              <w:rPr>
                <w:i/>
                <w:iCs/>
                <w:sz w:val="20"/>
                <w:szCs w:val="20"/>
              </w:rPr>
            </w:pPr>
            <w:r w:rsidRPr="00FF756A">
              <w:rPr>
                <w:i/>
                <w:iCs/>
                <w:sz w:val="20"/>
                <w:szCs w:val="20"/>
              </w:rPr>
              <w:t>Ligji nr. 124/2015, datë 12.11.2015, “Për efiçencën e energjisë”, i ndryshuar; VKM nr. 369, datë 36.4.2017, “Për miratimin e metodologjisë për përcaktimin e çmimit të blerjes së energjisë elektrike të prodhuar nga burimet e vogla të rinovueshme nga dielli dhe era”; Udhëzimi nr. 3 i ministrit të infrastrukturës dhe energjisë, datë 20.6.2019, “Për miratimin e procedurës së lehtësuar të autorizimit për lidhjen në sistemin e shpërndarjes të projekteve të vogla të rinovueshme për vetëprodhuesit e energjisë elektrike nga dielli”</w:t>
            </w:r>
          </w:p>
        </w:tc>
      </w:tr>
      <w:tr w:rsidR="00835192" w:rsidRPr="00FF756A" w14:paraId="4E107D64" w14:textId="77777777" w:rsidTr="004A3257">
        <w:trPr>
          <w:trHeight w:val="20"/>
        </w:trPr>
        <w:tc>
          <w:tcPr>
            <w:tcW w:w="2203" w:type="dxa"/>
          </w:tcPr>
          <w:p w14:paraId="1658C598"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9" w:type="dxa"/>
            <w:gridSpan w:val="5"/>
          </w:tcPr>
          <w:p w14:paraId="66A11E33" w14:textId="77777777" w:rsidR="00835192" w:rsidRPr="00FF756A" w:rsidRDefault="00835192" w:rsidP="00835192">
            <w:pPr>
              <w:suppressAutoHyphens/>
              <w:spacing w:line="240" w:lineRule="auto"/>
              <w:rPr>
                <w:i/>
                <w:iCs/>
                <w:sz w:val="20"/>
                <w:szCs w:val="20"/>
              </w:rPr>
            </w:pPr>
            <w:r w:rsidRPr="00FF756A">
              <w:rPr>
                <w:i/>
                <w:iCs/>
                <w:sz w:val="20"/>
                <w:szCs w:val="20"/>
              </w:rPr>
              <w:t xml:space="preserve">Janë zhvilluar aktivitete përgatitore. Për të siguruar një koordinim efektiv midis të gjithë aktorëve, janë zhvilluar/do të zhvillohen takime të veçanta me Bankën Botërore, </w:t>
            </w:r>
            <w:bookmarkStart w:id="380" w:name="_Hlk178178997"/>
            <w:r w:rsidRPr="00FF756A">
              <w:rPr>
                <w:i/>
                <w:iCs/>
                <w:sz w:val="20"/>
                <w:szCs w:val="20"/>
              </w:rPr>
              <w:t>AEE, AKUM, OSHEE/OSSH/USS dhe Projektin zviceran në zhvillim e sipër të Bashkive me Energji Inteligjente në Shqipëri (SEMP) .</w:t>
            </w:r>
            <w:bookmarkEnd w:id="380"/>
            <w:r w:rsidRPr="00FF756A">
              <w:rPr>
                <w:i/>
                <w:iCs/>
                <w:sz w:val="20"/>
                <w:szCs w:val="20"/>
              </w:rPr>
              <w:t xml:space="preserve"> Qëllimi i këtyre takimeve është diskutimi në mënyrë më të fokusuar dhe të detajuar i problematikave që lidhen me secilën fushë të mbështetjes.</w:t>
            </w:r>
          </w:p>
        </w:tc>
      </w:tr>
      <w:tr w:rsidR="00835192" w:rsidRPr="00FF756A" w14:paraId="24B10EB0" w14:textId="77777777" w:rsidTr="004A3257">
        <w:trPr>
          <w:trHeight w:val="20"/>
        </w:trPr>
        <w:tc>
          <w:tcPr>
            <w:tcW w:w="2203" w:type="dxa"/>
          </w:tcPr>
          <w:p w14:paraId="69A750A0"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Objektivi kryesor i PM</w:t>
            </w:r>
          </w:p>
        </w:tc>
        <w:tc>
          <w:tcPr>
            <w:tcW w:w="6869" w:type="dxa"/>
            <w:gridSpan w:val="5"/>
          </w:tcPr>
          <w:p w14:paraId="52CCE829" w14:textId="77777777" w:rsidR="00835192" w:rsidRPr="00FF756A" w:rsidRDefault="00835192" w:rsidP="008639B2">
            <w:pPr>
              <w:numPr>
                <w:ilvl w:val="0"/>
                <w:numId w:val="155"/>
              </w:numPr>
              <w:spacing w:before="20" w:after="20" w:line="240" w:lineRule="auto"/>
              <w:contextualSpacing/>
              <w:jc w:val="left"/>
              <w:rPr>
                <w:i/>
                <w:iCs/>
                <w:sz w:val="20"/>
                <w:szCs w:val="20"/>
              </w:rPr>
            </w:pPr>
            <w:r w:rsidRPr="00FF756A">
              <w:rPr>
                <w:i/>
                <w:iCs/>
                <w:sz w:val="20"/>
                <w:szCs w:val="20"/>
              </w:rPr>
              <w:t xml:space="preserve">Vlerësimi i përdorimit të energjisë dhe mundësive për zbatimin e burimeve të rinovueshme të energjisë në sektorin e ujit </w:t>
            </w:r>
          </w:p>
          <w:p w14:paraId="19F3452A" w14:textId="77777777" w:rsidR="00835192" w:rsidRPr="00FF756A" w:rsidRDefault="00835192" w:rsidP="008639B2">
            <w:pPr>
              <w:numPr>
                <w:ilvl w:val="0"/>
                <w:numId w:val="155"/>
              </w:numPr>
              <w:spacing w:before="20" w:after="20" w:line="240" w:lineRule="auto"/>
              <w:contextualSpacing/>
              <w:jc w:val="left"/>
              <w:rPr>
                <w:i/>
                <w:iCs/>
                <w:sz w:val="20"/>
                <w:szCs w:val="20"/>
              </w:rPr>
            </w:pPr>
            <w:r w:rsidRPr="00FF756A">
              <w:rPr>
                <w:i/>
                <w:iCs/>
                <w:sz w:val="20"/>
                <w:szCs w:val="20"/>
              </w:rPr>
              <w:t>Përmirësimi i efiçencës së energjisë dhe zbatimi i burimeve të rinovueshme të energjisë në sistemin e furnizimit me ujë dhe ujërave të përdorura</w:t>
            </w:r>
          </w:p>
        </w:tc>
      </w:tr>
      <w:tr w:rsidR="00835192" w:rsidRPr="00FF756A" w14:paraId="23E69C64" w14:textId="77777777" w:rsidTr="004A3257">
        <w:trPr>
          <w:trHeight w:val="20"/>
        </w:trPr>
        <w:tc>
          <w:tcPr>
            <w:tcW w:w="2203" w:type="dxa"/>
          </w:tcPr>
          <w:p w14:paraId="378D32C8"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9" w:type="dxa"/>
            <w:gridSpan w:val="5"/>
          </w:tcPr>
          <w:p w14:paraId="3EE1E904" w14:textId="77777777" w:rsidR="00835192" w:rsidRPr="00FF756A" w:rsidRDefault="00835192" w:rsidP="008639B2">
            <w:pPr>
              <w:numPr>
                <w:ilvl w:val="0"/>
                <w:numId w:val="157"/>
              </w:numPr>
              <w:spacing w:before="20" w:after="20" w:line="240" w:lineRule="auto"/>
              <w:contextualSpacing/>
              <w:jc w:val="left"/>
              <w:rPr>
                <w:i/>
                <w:iCs/>
                <w:sz w:val="20"/>
                <w:szCs w:val="20"/>
              </w:rPr>
            </w:pPr>
            <w:r w:rsidRPr="00FF756A">
              <w:rPr>
                <w:i/>
                <w:iCs/>
                <w:sz w:val="20"/>
                <w:szCs w:val="20"/>
              </w:rPr>
              <w:t xml:space="preserve">Identifikimi dhe shfrytëzimi i efiçencës së energjisë dhe potencialit të energjisë së rinovueshme për sektorin e furnizimit me ujë dhe kanalizimeve; </w:t>
            </w:r>
          </w:p>
          <w:p w14:paraId="7BB5076E" w14:textId="77777777" w:rsidR="00835192" w:rsidRPr="00FF756A" w:rsidRDefault="00835192" w:rsidP="008639B2">
            <w:pPr>
              <w:numPr>
                <w:ilvl w:val="1"/>
                <w:numId w:val="155"/>
              </w:numPr>
              <w:spacing w:before="20" w:after="20" w:line="240" w:lineRule="auto"/>
              <w:contextualSpacing/>
              <w:jc w:val="left"/>
              <w:rPr>
                <w:i/>
                <w:iCs/>
                <w:sz w:val="20"/>
                <w:szCs w:val="20"/>
              </w:rPr>
            </w:pPr>
            <w:r w:rsidRPr="00FF756A">
              <w:rPr>
                <w:i/>
                <w:iCs/>
                <w:sz w:val="20"/>
                <w:szCs w:val="20"/>
              </w:rPr>
              <w:t xml:space="preserve">Potenciali i sistemit të furnizimit me ujë dhe ujërave të përdorura për të funksionuar si vetë-konsumator i energjisë së rinovueshme; </w:t>
            </w:r>
          </w:p>
          <w:p w14:paraId="6AEB0404" w14:textId="77777777" w:rsidR="00835192" w:rsidRPr="00FF756A" w:rsidRDefault="00835192" w:rsidP="008639B2">
            <w:pPr>
              <w:numPr>
                <w:ilvl w:val="1"/>
                <w:numId w:val="155"/>
              </w:numPr>
              <w:spacing w:before="20" w:after="20" w:line="240" w:lineRule="auto"/>
              <w:contextualSpacing/>
              <w:jc w:val="left"/>
              <w:rPr>
                <w:i/>
                <w:iCs/>
                <w:sz w:val="20"/>
                <w:szCs w:val="20"/>
              </w:rPr>
            </w:pPr>
            <w:r w:rsidRPr="00FF756A">
              <w:rPr>
                <w:i/>
                <w:iCs/>
                <w:sz w:val="20"/>
                <w:szCs w:val="20"/>
              </w:rPr>
              <w:t xml:space="preserve">Më pak humbje uji në nivel konsumatori që rezulton në shifra më të ulëta të prodhimit për frymë; </w:t>
            </w:r>
          </w:p>
          <w:p w14:paraId="5505ED6F" w14:textId="77777777" w:rsidR="00835192" w:rsidRPr="00FF756A" w:rsidRDefault="00835192" w:rsidP="008639B2">
            <w:pPr>
              <w:numPr>
                <w:ilvl w:val="1"/>
                <w:numId w:val="155"/>
              </w:numPr>
              <w:spacing w:before="20" w:after="20" w:line="240" w:lineRule="auto"/>
              <w:contextualSpacing/>
              <w:jc w:val="left"/>
              <w:rPr>
                <w:i/>
                <w:iCs/>
                <w:sz w:val="20"/>
                <w:szCs w:val="20"/>
              </w:rPr>
            </w:pPr>
            <w:r w:rsidRPr="00FF756A">
              <w:rPr>
                <w:i/>
                <w:iCs/>
                <w:sz w:val="20"/>
                <w:szCs w:val="20"/>
              </w:rPr>
              <w:t xml:space="preserve">Rritja e kënaqësisë dhe gatishmërisë së konsumatorëve për të paguar për shërbimet e furnizimit me ujë/kanalizimeve që rezulton në një efikasitet më të lartë të mbledhjes dhe fluksit të parave;  </w:t>
            </w:r>
          </w:p>
          <w:p w14:paraId="5F72AF63" w14:textId="77777777" w:rsidR="00835192" w:rsidRPr="00FF756A" w:rsidRDefault="00835192" w:rsidP="008639B2">
            <w:pPr>
              <w:numPr>
                <w:ilvl w:val="1"/>
                <w:numId w:val="155"/>
              </w:numPr>
              <w:spacing w:before="20" w:after="20" w:line="240" w:lineRule="auto"/>
              <w:contextualSpacing/>
              <w:jc w:val="left"/>
              <w:rPr>
                <w:i/>
                <w:iCs/>
                <w:sz w:val="20"/>
                <w:szCs w:val="20"/>
              </w:rPr>
            </w:pPr>
            <w:r w:rsidRPr="00FF756A">
              <w:rPr>
                <w:i/>
                <w:iCs/>
                <w:sz w:val="20"/>
                <w:szCs w:val="20"/>
              </w:rPr>
              <w:t xml:space="preserve">Reduktimi i numrit të shpërthimeve/rrjedhjeve dhe humbjeve teknike përmes presioneve më të qëndrueshme të funksionimit dhe menaxhimit më të mirë të presionit; </w:t>
            </w:r>
          </w:p>
          <w:p w14:paraId="4DBF50AA" w14:textId="77777777" w:rsidR="00835192" w:rsidRPr="00FF756A" w:rsidRDefault="00835192" w:rsidP="008639B2">
            <w:pPr>
              <w:numPr>
                <w:ilvl w:val="0"/>
                <w:numId w:val="155"/>
              </w:numPr>
              <w:spacing w:before="20" w:after="20" w:line="240" w:lineRule="auto"/>
              <w:contextualSpacing/>
              <w:jc w:val="left"/>
              <w:rPr>
                <w:i/>
                <w:iCs/>
                <w:sz w:val="20"/>
                <w:szCs w:val="20"/>
              </w:rPr>
            </w:pPr>
            <w:r w:rsidRPr="00FF756A">
              <w:rPr>
                <w:i/>
                <w:iCs/>
                <w:sz w:val="20"/>
                <w:szCs w:val="20"/>
              </w:rPr>
              <w:t>Nxitja e formave të reja të bashkëpunimit midis shoqërive të shërbimeve energjetike, duke përfshirë bizneset e vendosura në rajone dhe vende të ndryshme.</w:t>
            </w:r>
          </w:p>
          <w:p w14:paraId="3F867295" w14:textId="77777777" w:rsidR="00835192" w:rsidRPr="00FF756A" w:rsidRDefault="00835192" w:rsidP="008639B2">
            <w:pPr>
              <w:numPr>
                <w:ilvl w:val="0"/>
                <w:numId w:val="155"/>
              </w:numPr>
              <w:spacing w:before="20" w:after="20" w:line="240" w:lineRule="auto"/>
              <w:contextualSpacing/>
              <w:jc w:val="left"/>
              <w:rPr>
                <w:i/>
                <w:iCs/>
                <w:sz w:val="20"/>
                <w:szCs w:val="20"/>
              </w:rPr>
            </w:pPr>
            <w:r w:rsidRPr="00FF756A">
              <w:rPr>
                <w:i/>
                <w:iCs/>
                <w:sz w:val="20"/>
                <w:szCs w:val="20"/>
              </w:rPr>
              <w:t xml:space="preserve">Dhënia e një shembulli duke treguar se aspektet e efiçencës së energjisë, energjisë së rinovueshme dhe mjedisore po merren parasysh  </w:t>
            </w:r>
          </w:p>
        </w:tc>
      </w:tr>
      <w:tr w:rsidR="00835192" w:rsidRPr="00FF756A" w14:paraId="63923114" w14:textId="77777777" w:rsidTr="004A3257">
        <w:trPr>
          <w:trHeight w:val="20"/>
        </w:trPr>
        <w:tc>
          <w:tcPr>
            <w:tcW w:w="2203" w:type="dxa"/>
          </w:tcPr>
          <w:p w14:paraId="610A6F22"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9" w:type="dxa"/>
            <w:gridSpan w:val="4"/>
          </w:tcPr>
          <w:p w14:paraId="68565E24" w14:textId="01331489" w:rsidR="00835192" w:rsidRPr="00FF756A" w:rsidRDefault="00835192" w:rsidP="008639B2">
            <w:pPr>
              <w:numPr>
                <w:ilvl w:val="0"/>
                <w:numId w:val="156"/>
              </w:numPr>
              <w:spacing w:before="0" w:after="0" w:line="240" w:lineRule="auto"/>
              <w:contextualSpacing/>
              <w:rPr>
                <w:i/>
                <w:iCs/>
                <w:sz w:val="20"/>
                <w:szCs w:val="20"/>
              </w:rPr>
            </w:pPr>
            <w:r w:rsidRPr="00FF756A">
              <w:rPr>
                <w:i/>
                <w:iCs/>
                <w:sz w:val="20"/>
                <w:szCs w:val="20"/>
              </w:rPr>
              <w:t xml:space="preserve">Vlerësimi i mundësive të burimeve të rinovueshme të energjisë për të prodhuar energji </w:t>
            </w:r>
            <w:r w:rsidR="009D4E35" w:rsidRPr="00FF756A">
              <w:rPr>
                <w:i/>
                <w:iCs/>
                <w:sz w:val="20"/>
                <w:szCs w:val="20"/>
              </w:rPr>
              <w:t xml:space="preserve">elektrike </w:t>
            </w:r>
            <w:r w:rsidRPr="00FF756A">
              <w:rPr>
                <w:i/>
                <w:iCs/>
                <w:sz w:val="20"/>
                <w:szCs w:val="20"/>
              </w:rPr>
              <w:t>dhe për t’u lidhur me rrjetin ekzistues, instalimi i sistemeve të pompimit me pompa dhe motorë efikasë dhe reduktimi i humbjeve të ujit (uji që ka “humbur” para se të arrijë konsumatorin) për të siguruar përdorim më të mirë të energjisë me një reduktim të konsiderueshëm të sasisë së ujit që duhet të pompohet.</w:t>
            </w:r>
          </w:p>
          <w:p w14:paraId="54666F68" w14:textId="77777777" w:rsidR="00835192" w:rsidRPr="00FF756A" w:rsidRDefault="00835192" w:rsidP="008639B2">
            <w:pPr>
              <w:numPr>
                <w:ilvl w:val="0"/>
                <w:numId w:val="156"/>
              </w:numPr>
              <w:spacing w:before="0" w:after="0" w:line="240" w:lineRule="auto"/>
              <w:contextualSpacing/>
              <w:rPr>
                <w:i/>
                <w:iCs/>
                <w:sz w:val="20"/>
                <w:szCs w:val="20"/>
              </w:rPr>
            </w:pPr>
            <w:r w:rsidRPr="00FF756A">
              <w:rPr>
                <w:i/>
                <w:iCs/>
                <w:sz w:val="20"/>
                <w:szCs w:val="20"/>
              </w:rPr>
              <w:t>Investime në burime të rinovueshme të energjisë dhe sisteme të pompimit me efiçencë energjie për pjesën më të madhe të impianteve/sistemeve të furnizimit me ujë, ku ndërhyrjet emergjente sigurojnë dhe rrisin orët e furnizimit, synojnë furnizimin 24 orë dhe reduktojnë konsumin e energjisë elektrike nga rrjeti elektrik.</w:t>
            </w:r>
          </w:p>
        </w:tc>
        <w:tc>
          <w:tcPr>
            <w:tcW w:w="850" w:type="dxa"/>
          </w:tcPr>
          <w:p w14:paraId="78CCCAEF"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2025</w:t>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t>2025 e në vazhdim</w:t>
            </w:r>
          </w:p>
        </w:tc>
      </w:tr>
      <w:tr w:rsidR="00835192" w:rsidRPr="00FF756A" w14:paraId="7B30F75A" w14:textId="77777777" w:rsidTr="004A3257">
        <w:trPr>
          <w:trHeight w:val="20"/>
        </w:trPr>
        <w:tc>
          <w:tcPr>
            <w:tcW w:w="2203" w:type="dxa"/>
          </w:tcPr>
          <w:p w14:paraId="7A71A8A6"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9" w:type="dxa"/>
            <w:gridSpan w:val="5"/>
          </w:tcPr>
          <w:p w14:paraId="755FE715" w14:textId="77777777" w:rsidR="00835192" w:rsidRPr="00FF756A" w:rsidRDefault="00835192" w:rsidP="00835192">
            <w:pPr>
              <w:pBdr>
                <w:top w:val="none" w:sz="0" w:space="0" w:color="auto"/>
                <w:left w:val="none" w:sz="0" w:space="0" w:color="auto"/>
                <w:bottom w:val="none" w:sz="0" w:space="0" w:color="auto"/>
                <w:right w:val="none" w:sz="0" w:space="0" w:color="auto"/>
                <w:between w:val="none" w:sz="0" w:space="0" w:color="auto"/>
              </w:pBdr>
              <w:spacing w:before="0" w:after="160" w:line="259" w:lineRule="auto"/>
              <w:rPr>
                <w:i/>
                <w:iCs/>
                <w:sz w:val="20"/>
                <w:szCs w:val="20"/>
              </w:rPr>
            </w:pPr>
            <w:r w:rsidRPr="00FF756A">
              <w:rPr>
                <w:i/>
                <w:iCs/>
                <w:sz w:val="20"/>
                <w:szCs w:val="20"/>
              </w:rPr>
              <w:t>Kostoja e përgjithshme 14,7 milionë euro, IPA III (2023 – 2027), Window 3: Axhenda e gjelbër dhe lidhshmëria e qëndrueshme</w:t>
            </w:r>
          </w:p>
        </w:tc>
      </w:tr>
      <w:tr w:rsidR="00835192" w:rsidRPr="00FF756A" w14:paraId="5A0741A7" w14:textId="77777777" w:rsidTr="004A3257">
        <w:trPr>
          <w:trHeight w:val="20"/>
        </w:trPr>
        <w:tc>
          <w:tcPr>
            <w:tcW w:w="2203" w:type="dxa"/>
          </w:tcPr>
          <w:p w14:paraId="208E3919"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0B31423C"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9" w:type="dxa"/>
            <w:gridSpan w:val="5"/>
          </w:tcPr>
          <w:p w14:paraId="7BC6BC94" w14:textId="77777777" w:rsidR="00835192" w:rsidRPr="00FF756A" w:rsidRDefault="00835192" w:rsidP="00835192">
            <w:pPr>
              <w:spacing w:before="20" w:after="20" w:line="240" w:lineRule="auto"/>
              <w:rPr>
                <w:i/>
                <w:iCs/>
                <w:sz w:val="20"/>
                <w:szCs w:val="20"/>
              </w:rPr>
            </w:pPr>
            <w:r w:rsidRPr="00FF756A">
              <w:rPr>
                <w:i/>
                <w:iCs/>
                <w:sz w:val="20"/>
                <w:szCs w:val="20"/>
              </w:rPr>
              <w:t>Operatorët e sistemeve të furnizimit me ujë dhe ujërave të përdorura; Agjencia për Efiçencën e Energjisë</w:t>
            </w:r>
          </w:p>
          <w:p w14:paraId="123D703B"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Agjencia për Efiçencën e Energjisë)</w:t>
            </w:r>
          </w:p>
        </w:tc>
      </w:tr>
      <w:tr w:rsidR="00835192" w:rsidRPr="00FF756A" w14:paraId="61369C66" w14:textId="77777777" w:rsidTr="004A3257">
        <w:trPr>
          <w:trHeight w:val="20"/>
        </w:trPr>
        <w:tc>
          <w:tcPr>
            <w:tcW w:w="2203" w:type="dxa"/>
          </w:tcPr>
          <w:p w14:paraId="636E82AD"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9" w:type="dxa"/>
            <w:gridSpan w:val="5"/>
          </w:tcPr>
          <w:p w14:paraId="21980CFA" w14:textId="77777777" w:rsidR="00835192" w:rsidRPr="00FF756A" w:rsidRDefault="00835192" w:rsidP="00835192">
            <w:pPr>
              <w:spacing w:before="20" w:after="20" w:line="240" w:lineRule="auto"/>
              <w:rPr>
                <w:i/>
                <w:iCs/>
                <w:sz w:val="20"/>
                <w:szCs w:val="20"/>
              </w:rPr>
            </w:pPr>
            <w:r w:rsidRPr="00FF756A">
              <w:rPr>
                <w:i/>
                <w:iCs/>
                <w:sz w:val="20"/>
                <w:szCs w:val="20"/>
              </w:rPr>
              <w:t>Efiçenca e energjisë</w:t>
            </w:r>
          </w:p>
        </w:tc>
      </w:tr>
      <w:bookmarkEnd w:id="378"/>
    </w:tbl>
    <w:p w14:paraId="071ADD22" w14:textId="77777777" w:rsidR="00835192" w:rsidRPr="00FF756A" w:rsidRDefault="00835192" w:rsidP="00835192">
      <w:pPr>
        <w:spacing w:after="0" w:line="240" w:lineRule="auto"/>
      </w:pPr>
    </w:p>
    <w:p w14:paraId="2CA2204B" w14:textId="48AC52B8" w:rsidR="00835192" w:rsidRPr="00FF756A" w:rsidRDefault="00835192" w:rsidP="004A3257">
      <w:pPr>
        <w:pStyle w:val="Heading2"/>
        <w:numPr>
          <w:ilvl w:val="1"/>
          <w:numId w:val="49"/>
        </w:numPr>
      </w:pPr>
      <w:bookmarkStart w:id="381" w:name="_Toc75616124"/>
      <w:bookmarkStart w:id="382" w:name="_Toc182897780"/>
      <w:bookmarkStart w:id="383" w:name="_Toc183639235"/>
      <w:r w:rsidRPr="00FF756A">
        <w:t>Dimensioni i efiçencës së energjisë</w:t>
      </w:r>
      <w:bookmarkEnd w:id="381"/>
      <w:bookmarkEnd w:id="382"/>
      <w:bookmarkEnd w:id="383"/>
    </w:p>
    <w:p w14:paraId="62BDA6E6" w14:textId="77777777" w:rsidR="00835192" w:rsidRPr="00FF756A" w:rsidRDefault="00835192" w:rsidP="00835192"/>
    <w:p w14:paraId="20B8B49A" w14:textId="5C4460E4" w:rsidR="00835192" w:rsidRPr="00FF756A" w:rsidRDefault="002819B3" w:rsidP="004A3257">
      <w:pPr>
        <w:pStyle w:val="Heading3"/>
      </w:pPr>
      <w:bookmarkStart w:id="384" w:name="_Toc75616125"/>
      <w:bookmarkStart w:id="385" w:name="_Toc182897781"/>
      <w:bookmarkStart w:id="386" w:name="_Toc183639236"/>
      <w:r w:rsidRPr="00FF756A">
        <w:t xml:space="preserve">3.2.1 </w:t>
      </w:r>
      <w:r w:rsidR="00835192" w:rsidRPr="00FF756A">
        <w:t>Kuadri ligjor gjithëpërfshirës</w:t>
      </w:r>
      <w:bookmarkEnd w:id="384"/>
      <w:bookmarkEnd w:id="385"/>
      <w:bookmarkEnd w:id="386"/>
      <w:r w:rsidR="00835192" w:rsidRPr="00FF756A">
        <w:t xml:space="preserve"> </w:t>
      </w:r>
    </w:p>
    <w:p w14:paraId="344B3897" w14:textId="77777777" w:rsidR="00E21B4E" w:rsidRPr="00FF756A" w:rsidRDefault="00E21B4E" w:rsidP="00835192"/>
    <w:p w14:paraId="68F532C3" w14:textId="1C521FCF" w:rsidR="00835192" w:rsidRPr="00FF756A" w:rsidRDefault="00835192" w:rsidP="00835192">
      <w:r w:rsidRPr="00FF756A">
        <w:t>Më poshtë renditen aktet ligjore</w:t>
      </w:r>
      <w:r w:rsidR="00753919" w:rsidRPr="00FF756A">
        <w:t xml:space="preserve"> </w:t>
      </w:r>
      <w:r w:rsidRPr="00FF756A">
        <w:t>kryesore (duke përfshirë strategjitë dhe planet) në lidhje me këtë dimension:</w:t>
      </w:r>
    </w:p>
    <w:p w14:paraId="4C903484" w14:textId="77777777" w:rsidR="00987807" w:rsidRPr="00987807" w:rsidRDefault="00987807" w:rsidP="00987807">
      <w:pPr>
        <w:numPr>
          <w:ilvl w:val="0"/>
          <w:numId w:val="121"/>
        </w:numPr>
        <w:contextualSpacing/>
        <w:rPr>
          <w:bCs/>
          <w:iCs/>
        </w:rPr>
      </w:pPr>
      <w:r w:rsidRPr="00987807">
        <w:rPr>
          <w:bCs/>
          <w:iCs/>
        </w:rPr>
        <w:t>Ligji nr. 155/2020, datë 17.12.2020, “Për ndryshimet klimatike”</w:t>
      </w:r>
    </w:p>
    <w:p w14:paraId="533B7AC7" w14:textId="77777777" w:rsidR="00987807" w:rsidRPr="00987807" w:rsidRDefault="00987807" w:rsidP="00987807">
      <w:pPr>
        <w:numPr>
          <w:ilvl w:val="0"/>
          <w:numId w:val="121"/>
        </w:numPr>
        <w:contextualSpacing/>
        <w:rPr>
          <w:bCs/>
          <w:iCs/>
        </w:rPr>
      </w:pPr>
      <w:r w:rsidRPr="00987807">
        <w:rPr>
          <w:bCs/>
          <w:iCs/>
        </w:rPr>
        <w:lastRenderedPageBreak/>
        <w:t>Ligji nr. 7/2017, datë 2.2.2017, “Për nxitjen e përdorimit të energjisë nga burimet e rinovueshme”</w:t>
      </w:r>
    </w:p>
    <w:p w14:paraId="2BE2016E" w14:textId="77777777" w:rsidR="00987807" w:rsidRPr="00987807" w:rsidRDefault="00987807" w:rsidP="00987807">
      <w:pPr>
        <w:numPr>
          <w:ilvl w:val="0"/>
          <w:numId w:val="121"/>
        </w:numPr>
        <w:contextualSpacing/>
        <w:rPr>
          <w:bCs/>
          <w:iCs/>
        </w:rPr>
      </w:pPr>
      <w:r w:rsidRPr="00987807">
        <w:rPr>
          <w:bCs/>
          <w:iCs/>
        </w:rPr>
        <w:t>Ligji nr. 116/2016, datë 10.11.2016, “Për performancën e energjisë së ndërtesave”</w:t>
      </w:r>
    </w:p>
    <w:p w14:paraId="185DAA56" w14:textId="77777777" w:rsidR="00987807" w:rsidRPr="00987807" w:rsidRDefault="00987807" w:rsidP="00987807">
      <w:pPr>
        <w:numPr>
          <w:ilvl w:val="0"/>
          <w:numId w:val="121"/>
        </w:numPr>
        <w:contextualSpacing/>
        <w:rPr>
          <w:bCs/>
          <w:iCs/>
        </w:rPr>
      </w:pPr>
      <w:r w:rsidRPr="00987807">
        <w:rPr>
          <w:bCs/>
          <w:iCs/>
        </w:rPr>
        <w:t>Ligji nr. 124/2015, datë 12.11.2015, “Për efiçencën e energjisë”</w:t>
      </w:r>
    </w:p>
    <w:p w14:paraId="5C5C62C2" w14:textId="77777777" w:rsidR="00987807" w:rsidRPr="00987807" w:rsidRDefault="00987807" w:rsidP="00987807">
      <w:pPr>
        <w:numPr>
          <w:ilvl w:val="0"/>
          <w:numId w:val="121"/>
        </w:numPr>
        <w:contextualSpacing/>
        <w:rPr>
          <w:bCs/>
          <w:iCs/>
        </w:rPr>
      </w:pPr>
      <w:r w:rsidRPr="00987807">
        <w:rPr>
          <w:bCs/>
          <w:iCs/>
        </w:rPr>
        <w:t>Ligji nr. 43/2015, datë 30.4.2015, “Për sektorin e energjisë elektrike”, i ndryshuar</w:t>
      </w:r>
    </w:p>
    <w:p w14:paraId="5F458B2F" w14:textId="77777777" w:rsidR="00987807" w:rsidRPr="00987807" w:rsidRDefault="00987807" w:rsidP="00987807">
      <w:pPr>
        <w:numPr>
          <w:ilvl w:val="0"/>
          <w:numId w:val="121"/>
        </w:numPr>
        <w:contextualSpacing/>
        <w:rPr>
          <w:bCs/>
          <w:iCs/>
        </w:rPr>
      </w:pPr>
      <w:r w:rsidRPr="00987807">
        <w:rPr>
          <w:bCs/>
          <w:iCs/>
        </w:rPr>
        <w:t xml:space="preserve">Ligji nr. 9463, datë 20.11.2006, “Për prokurimin publik”, i ndryshuar </w:t>
      </w:r>
    </w:p>
    <w:p w14:paraId="09F97AB2" w14:textId="77777777" w:rsidR="00987807" w:rsidRPr="00987807" w:rsidRDefault="00987807" w:rsidP="00987807">
      <w:pPr>
        <w:numPr>
          <w:ilvl w:val="0"/>
          <w:numId w:val="121"/>
        </w:numPr>
        <w:contextualSpacing/>
        <w:rPr>
          <w:bCs/>
          <w:iCs/>
        </w:rPr>
      </w:pPr>
      <w:r w:rsidRPr="00987807">
        <w:rPr>
          <w:bCs/>
          <w:iCs/>
        </w:rPr>
        <w:t>Ligjin nr. 28/2021 “Për disa ndryshime dhe shtesa në Ligjin nr. 124/2015 “Për efiçencën e energjisë</w:t>
      </w:r>
    </w:p>
    <w:p w14:paraId="42E4B25D" w14:textId="77777777" w:rsidR="00987807" w:rsidRPr="00987807" w:rsidRDefault="00987807" w:rsidP="00987807">
      <w:pPr>
        <w:numPr>
          <w:ilvl w:val="0"/>
          <w:numId w:val="121"/>
        </w:numPr>
        <w:contextualSpacing/>
        <w:rPr>
          <w:bCs/>
          <w:iCs/>
        </w:rPr>
      </w:pPr>
      <w:r w:rsidRPr="00987807">
        <w:rPr>
          <w:bCs/>
          <w:iCs/>
        </w:rPr>
        <w:t>Ligji nr. 90/2021 “Për ndarjen e shoqërisë “Hekurudha Shqiptare sh.a</w:t>
      </w:r>
    </w:p>
    <w:p w14:paraId="5A9B805C" w14:textId="77777777" w:rsidR="00987807" w:rsidRPr="00987807" w:rsidRDefault="00987807" w:rsidP="00987807">
      <w:pPr>
        <w:numPr>
          <w:ilvl w:val="0"/>
          <w:numId w:val="121"/>
        </w:numPr>
        <w:contextualSpacing/>
        <w:rPr>
          <w:bCs/>
          <w:iCs/>
        </w:rPr>
      </w:pPr>
      <w:r w:rsidRPr="00987807">
        <w:rPr>
          <w:bCs/>
          <w:iCs/>
        </w:rPr>
        <w:t>Ligji nr. 88/2021 “Për krijimin e Autoritetit të Sigurisë Hekurudhore</w:t>
      </w:r>
    </w:p>
    <w:p w14:paraId="1A983CD0" w14:textId="77777777" w:rsidR="00987807" w:rsidRPr="00987807" w:rsidRDefault="00987807" w:rsidP="00987807">
      <w:pPr>
        <w:numPr>
          <w:ilvl w:val="0"/>
          <w:numId w:val="121"/>
        </w:numPr>
        <w:contextualSpacing/>
        <w:rPr>
          <w:bCs/>
          <w:iCs/>
        </w:rPr>
      </w:pPr>
      <w:r w:rsidRPr="00987807">
        <w:rPr>
          <w:bCs/>
          <w:iCs/>
        </w:rPr>
        <w:t>Ligji nr. 89/2021 “Për krijimin e Autoritetit Rregullator Hekurudhor”;</w:t>
      </w:r>
    </w:p>
    <w:p w14:paraId="5D61C6E9" w14:textId="77777777" w:rsidR="00987807" w:rsidRPr="00987807" w:rsidRDefault="00987807" w:rsidP="00987807">
      <w:pPr>
        <w:numPr>
          <w:ilvl w:val="0"/>
          <w:numId w:val="121"/>
        </w:numPr>
        <w:contextualSpacing/>
        <w:rPr>
          <w:bCs/>
          <w:iCs/>
        </w:rPr>
      </w:pPr>
      <w:r w:rsidRPr="00987807">
        <w:rPr>
          <w:bCs/>
          <w:iCs/>
        </w:rPr>
        <w:t>VKM nr. 580, datë 28.8.2019, “Për miratimin e planit të konsoliduar kombëtar të veprimit për burimet e rinovueshme të energjisë, 2019-2020”</w:t>
      </w:r>
    </w:p>
    <w:p w14:paraId="0B18C033" w14:textId="77777777" w:rsidR="00987807" w:rsidRPr="00987807" w:rsidRDefault="00987807" w:rsidP="00987807">
      <w:pPr>
        <w:numPr>
          <w:ilvl w:val="0"/>
          <w:numId w:val="121"/>
        </w:numPr>
        <w:contextualSpacing/>
        <w:rPr>
          <w:bCs/>
          <w:iCs/>
        </w:rPr>
      </w:pPr>
      <w:r w:rsidRPr="00987807">
        <w:rPr>
          <w:bCs/>
          <w:iCs/>
        </w:rPr>
        <w:t>VKM nr. 466, datë 3.7.2019, “Për miratimin e dokumentit strategjik dhe planit kombëtar për zbutjen e gazeve me efekt serrë dhe për përshtatjen ndaj ndryshimeve klimatike”</w:t>
      </w:r>
    </w:p>
    <w:p w14:paraId="4F92190D" w14:textId="77777777" w:rsidR="00987807" w:rsidRPr="00987807" w:rsidRDefault="00987807" w:rsidP="00987807">
      <w:pPr>
        <w:numPr>
          <w:ilvl w:val="0"/>
          <w:numId w:val="121"/>
        </w:numPr>
        <w:contextualSpacing/>
        <w:rPr>
          <w:bCs/>
          <w:iCs/>
        </w:rPr>
      </w:pPr>
      <w:r w:rsidRPr="00987807">
        <w:rPr>
          <w:bCs/>
          <w:iCs/>
        </w:rPr>
        <w:t>VKM nr. 407, datë 19.6.2019, “Për miratimin e procedurës, të kategorive, kushteve, kërkesave të kualifikimit dhe të eksperiencës profesionale për personin, të cilit i lëshohet certifikata e audituesit energjetik”</w:t>
      </w:r>
    </w:p>
    <w:p w14:paraId="32D7EE3A" w14:textId="77777777" w:rsidR="00987807" w:rsidRPr="00987807" w:rsidRDefault="00987807" w:rsidP="00987807">
      <w:pPr>
        <w:numPr>
          <w:ilvl w:val="0"/>
          <w:numId w:val="121"/>
        </w:numPr>
        <w:contextualSpacing/>
        <w:rPr>
          <w:bCs/>
          <w:iCs/>
        </w:rPr>
      </w:pPr>
      <w:r w:rsidRPr="00987807">
        <w:rPr>
          <w:bCs/>
          <w:iCs/>
        </w:rPr>
        <w:t>VKM nr. 342, datë 22.5.2019, “Për miratimin e kategorive, të kushteve dhe kërkesave të kualifikimit për menaxherin e energjisë”</w:t>
      </w:r>
    </w:p>
    <w:p w14:paraId="20DAED21" w14:textId="77777777" w:rsidR="00987807" w:rsidRPr="00987807" w:rsidRDefault="00987807" w:rsidP="00987807">
      <w:pPr>
        <w:numPr>
          <w:ilvl w:val="0"/>
          <w:numId w:val="121"/>
        </w:numPr>
        <w:contextualSpacing/>
        <w:rPr>
          <w:bCs/>
          <w:iCs/>
        </w:rPr>
      </w:pPr>
      <w:r w:rsidRPr="00987807">
        <w:rPr>
          <w:bCs/>
          <w:iCs/>
        </w:rPr>
        <w:t>VKM nr. 480, datë 31.7.2018, “Për miratimin e strategjisë kombëtare të energjisë 2018-2030”</w:t>
      </w:r>
    </w:p>
    <w:p w14:paraId="09C7DE76" w14:textId="77777777" w:rsidR="00987807" w:rsidRPr="00987807" w:rsidRDefault="00987807" w:rsidP="00987807">
      <w:pPr>
        <w:numPr>
          <w:ilvl w:val="0"/>
          <w:numId w:val="121"/>
        </w:numPr>
        <w:contextualSpacing/>
        <w:rPr>
          <w:bCs/>
          <w:iCs/>
        </w:rPr>
      </w:pPr>
      <w:r w:rsidRPr="00987807">
        <w:rPr>
          <w:bCs/>
          <w:iCs/>
        </w:rPr>
        <w:t>VKM nr. 709, datë 1.12.2017, “Për miratimin e planit të dytë dhe të tretë kombëtar të veprimit për efiçencën e energjisë, 2017 – 2020”</w:t>
      </w:r>
    </w:p>
    <w:p w14:paraId="53AE15AE" w14:textId="77777777" w:rsidR="00987807" w:rsidRPr="00987807" w:rsidRDefault="00987807" w:rsidP="00987807">
      <w:pPr>
        <w:numPr>
          <w:ilvl w:val="0"/>
          <w:numId w:val="121"/>
        </w:numPr>
        <w:contextualSpacing/>
        <w:rPr>
          <w:bCs/>
          <w:iCs/>
        </w:rPr>
      </w:pPr>
      <w:r w:rsidRPr="00987807">
        <w:rPr>
          <w:bCs/>
          <w:iCs/>
        </w:rPr>
        <w:t>VKM nr. 369, datë 26.4.2017, “Për miratimin e metodologjisë për përcaktimin e çmimit të blerjes së energjisë elektrike të prodhuar nga burimet e vogla të rinovueshme nga dielli dhe era”</w:t>
      </w:r>
    </w:p>
    <w:p w14:paraId="5882929F" w14:textId="77777777" w:rsidR="00987807" w:rsidRPr="00987807" w:rsidRDefault="00987807" w:rsidP="00987807">
      <w:pPr>
        <w:numPr>
          <w:ilvl w:val="0"/>
          <w:numId w:val="121"/>
        </w:numPr>
        <w:contextualSpacing/>
        <w:rPr>
          <w:bCs/>
          <w:iCs/>
        </w:rPr>
      </w:pPr>
      <w:r w:rsidRPr="00987807">
        <w:rPr>
          <w:bCs/>
          <w:iCs/>
        </w:rPr>
        <w:t>VKM nr. 811, datë 16.11.2016, “Për miratimin e strategjisë sektoriale të transportit dhe planit të veprimit, 2016–2020” (SSTPV)</w:t>
      </w:r>
    </w:p>
    <w:p w14:paraId="243FB282" w14:textId="77777777" w:rsidR="00987807" w:rsidRPr="00987807" w:rsidRDefault="00987807" w:rsidP="00987807">
      <w:pPr>
        <w:numPr>
          <w:ilvl w:val="0"/>
          <w:numId w:val="121"/>
        </w:numPr>
        <w:contextualSpacing/>
        <w:rPr>
          <w:bCs/>
          <w:iCs/>
        </w:rPr>
      </w:pPr>
      <w:r w:rsidRPr="00987807">
        <w:rPr>
          <w:bCs/>
          <w:iCs/>
        </w:rPr>
        <w:t xml:space="preserve">VKM nr. 872, datë 29.12.2021, “Për miratimin e Planit Kombëtar për Energjinë dhe Klimën 2020 - 2030” </w:t>
      </w:r>
    </w:p>
    <w:p w14:paraId="3AAFE969" w14:textId="77777777" w:rsidR="00987807" w:rsidRPr="00987807" w:rsidRDefault="00987807" w:rsidP="00987807">
      <w:pPr>
        <w:numPr>
          <w:ilvl w:val="0"/>
          <w:numId w:val="121"/>
        </w:numPr>
        <w:contextualSpacing/>
        <w:rPr>
          <w:bCs/>
          <w:iCs/>
        </w:rPr>
      </w:pPr>
      <w:r w:rsidRPr="00987807">
        <w:rPr>
          <w:bCs/>
          <w:iCs/>
        </w:rPr>
        <w:t>VKM nr. 633, datë 26.10.2018, “Për masat kundër ndotjes së ajrit nga shkarkimet e mjeteve motorike dhe reduktimin e shkarkimeve në ajër të ndotësve të gaztë dhe të lëndës së ngurtë pezull nga motorët me ndezje pozitive dhe ata me ndezje me kompresion që djegin gaz natyror apo të lëngshëm për përdorim në automjete”</w:t>
      </w:r>
    </w:p>
    <w:p w14:paraId="099A463A" w14:textId="77777777" w:rsidR="00987807" w:rsidRPr="00987807" w:rsidRDefault="00987807" w:rsidP="00987807">
      <w:pPr>
        <w:numPr>
          <w:ilvl w:val="0"/>
          <w:numId w:val="121"/>
        </w:numPr>
        <w:contextualSpacing/>
        <w:rPr>
          <w:bCs/>
          <w:iCs/>
        </w:rPr>
      </w:pPr>
      <w:r w:rsidRPr="00987807">
        <w:rPr>
          <w:bCs/>
          <w:iCs/>
        </w:rPr>
        <w:t>VKM nr. 619, datë 7.9.2011, “Për miratimin e planit kombëtar të veprimit për efiçencën e energjisë, 2011 – 2018</w:t>
      </w:r>
    </w:p>
    <w:p w14:paraId="7E84D3D1" w14:textId="77777777" w:rsidR="00987807" w:rsidRPr="00987807" w:rsidRDefault="00987807" w:rsidP="00987807">
      <w:pPr>
        <w:numPr>
          <w:ilvl w:val="0"/>
          <w:numId w:val="121"/>
        </w:numPr>
        <w:contextualSpacing/>
        <w:rPr>
          <w:bCs/>
          <w:iCs/>
        </w:rPr>
      </w:pPr>
      <w:r w:rsidRPr="00987807">
        <w:rPr>
          <w:bCs/>
          <w:iCs/>
        </w:rPr>
        <w:t>VKM nr. 537, datë 8.7.2020, “Për miratimin e kërkesave minimale të performancës së energjisë së ndërtesave dhe të elementeve të ndërtesave”;</w:t>
      </w:r>
    </w:p>
    <w:p w14:paraId="48BEF455" w14:textId="77777777" w:rsidR="00987807" w:rsidRPr="00987807" w:rsidRDefault="00987807" w:rsidP="00987807">
      <w:pPr>
        <w:numPr>
          <w:ilvl w:val="0"/>
          <w:numId w:val="121"/>
        </w:numPr>
        <w:contextualSpacing/>
        <w:rPr>
          <w:bCs/>
          <w:iCs/>
        </w:rPr>
      </w:pPr>
      <w:r w:rsidRPr="00987807">
        <w:rPr>
          <w:bCs/>
          <w:iCs/>
        </w:rPr>
        <w:t>VKM nr. 934, datë 25.11.2020 “Për miratimin e kritereve dhe të procedurave për mënyrën e përzgjedhjes dhe sasinë e certifikatave që do të verifikohen, si dhe procesi i mbikëqyrjes së certifikatave të performancës së energjisë në ndërtesa</w:t>
      </w:r>
    </w:p>
    <w:p w14:paraId="60B04103" w14:textId="77777777" w:rsidR="00987807" w:rsidRPr="00987807" w:rsidRDefault="00987807" w:rsidP="00987807">
      <w:pPr>
        <w:numPr>
          <w:ilvl w:val="0"/>
          <w:numId w:val="121"/>
        </w:numPr>
        <w:contextualSpacing/>
        <w:rPr>
          <w:bCs/>
          <w:iCs/>
        </w:rPr>
      </w:pPr>
      <w:r w:rsidRPr="00987807">
        <w:rPr>
          <w:bCs/>
          <w:iCs/>
        </w:rPr>
        <w:t>VKM nr.958, datë 2.12.2020, “Për miratimin e procedurave e të kushteve të certifikimit të performancës së energjisë së ndërtesave dhe të modelit, përmbajtjes e kushteve të regjistrimit të “Certifikatës së performancës së energjisë së ndërtesave”</w:t>
      </w:r>
    </w:p>
    <w:p w14:paraId="64BAEBA6" w14:textId="77777777" w:rsidR="00987807" w:rsidRPr="00987807" w:rsidRDefault="00987807" w:rsidP="00987807">
      <w:pPr>
        <w:numPr>
          <w:ilvl w:val="0"/>
          <w:numId w:val="121"/>
        </w:numPr>
        <w:contextualSpacing/>
        <w:rPr>
          <w:bCs/>
          <w:iCs/>
        </w:rPr>
      </w:pPr>
      <w:r w:rsidRPr="00987807">
        <w:rPr>
          <w:bCs/>
          <w:iCs/>
        </w:rPr>
        <w:t>VKM nr.1049, datë 24.12.2020, “Për metodologjinë kombëtare të llogaritjes së performancës së energjisë në ndërtesa</w:t>
      </w:r>
    </w:p>
    <w:p w14:paraId="71EF3E28" w14:textId="77777777" w:rsidR="00987807" w:rsidRPr="00987807" w:rsidRDefault="00987807" w:rsidP="00987807">
      <w:pPr>
        <w:numPr>
          <w:ilvl w:val="0"/>
          <w:numId w:val="121"/>
        </w:numPr>
        <w:contextualSpacing/>
        <w:rPr>
          <w:bCs/>
          <w:iCs/>
        </w:rPr>
      </w:pPr>
      <w:r w:rsidRPr="00987807">
        <w:rPr>
          <w:bCs/>
          <w:iCs/>
        </w:rPr>
        <w:t>VKM nr.189, datë 5.4.2023 “Për miratimin e platformës së monitorimit dhe verifikimit”</w:t>
      </w:r>
    </w:p>
    <w:p w14:paraId="0230723B" w14:textId="77777777" w:rsidR="00987807" w:rsidRPr="00987807" w:rsidRDefault="00987807" w:rsidP="00987807">
      <w:pPr>
        <w:numPr>
          <w:ilvl w:val="0"/>
          <w:numId w:val="121"/>
        </w:numPr>
        <w:contextualSpacing/>
        <w:rPr>
          <w:bCs/>
          <w:iCs/>
        </w:rPr>
      </w:pPr>
      <w:r w:rsidRPr="00987807">
        <w:rPr>
          <w:bCs/>
          <w:iCs/>
        </w:rPr>
        <w:lastRenderedPageBreak/>
        <w:t>Udhëzimi nr. 3 i ministrit të infrastrukturës dhe energjisë, datë 20.6.2019, “Për miratimin e procedurës së lehtësuar të autorizimit për lidhjen në sistemin e shpërndarjes të projekteve të vogla të rinovueshme për vetëprodhuesit e energjisë elektrike nga dielli”</w:t>
      </w:r>
    </w:p>
    <w:p w14:paraId="179AF1EA" w14:textId="77777777" w:rsidR="00987807" w:rsidRPr="00987807" w:rsidRDefault="00987807" w:rsidP="00987807">
      <w:pPr>
        <w:numPr>
          <w:ilvl w:val="0"/>
          <w:numId w:val="121"/>
        </w:numPr>
        <w:contextualSpacing/>
        <w:rPr>
          <w:bCs/>
          <w:iCs/>
        </w:rPr>
      </w:pPr>
      <w:r w:rsidRPr="00987807">
        <w:rPr>
          <w:bCs/>
          <w:iCs/>
        </w:rPr>
        <w:t>Udhëzimi i Ministrit të Infrastrukturës dhe Energjisë nr.22, datë 27.10.2022, “Për përcaktimin e rregullave, procedurave dhe metodologjisë për klientët familjarë që përfitojnë nga masat e financimit për kursimin e energjisë nga panelet diellore”.</w:t>
      </w:r>
    </w:p>
    <w:p w14:paraId="2E3F657E" w14:textId="77777777" w:rsidR="00987807" w:rsidRPr="00987807" w:rsidRDefault="00987807" w:rsidP="00987807">
      <w:pPr>
        <w:numPr>
          <w:ilvl w:val="0"/>
          <w:numId w:val="121"/>
        </w:numPr>
        <w:contextualSpacing/>
        <w:rPr>
          <w:bCs/>
          <w:iCs/>
        </w:rPr>
      </w:pPr>
      <w:r w:rsidRPr="00987807">
        <w:rPr>
          <w:bCs/>
          <w:iCs/>
        </w:rPr>
        <w:t>Udhëzimit nr. 6527, datë 24.12.2004, “Mbi vlerat e lejueshme të elementeve ndotës të ajrit në mjedis nga shkarkimet e gazrave dhe zhurmave shkaktuar nga mjetet rrugore, dhe mënyrat e kontrollit të tyre”, i ndryshuar</w:t>
      </w:r>
    </w:p>
    <w:p w14:paraId="51256831" w14:textId="77777777" w:rsidR="00987807" w:rsidRPr="00987807" w:rsidRDefault="00987807" w:rsidP="00987807">
      <w:pPr>
        <w:numPr>
          <w:ilvl w:val="0"/>
          <w:numId w:val="121"/>
        </w:numPr>
        <w:contextualSpacing/>
        <w:rPr>
          <w:bCs/>
          <w:iCs/>
        </w:rPr>
      </w:pPr>
      <w:r w:rsidRPr="00987807">
        <w:rPr>
          <w:bCs/>
          <w:iCs/>
        </w:rPr>
        <w:t xml:space="preserve">Udhëzimi i Ministrit të Infrastrukturës dhe Energjisë nr. 23, datë 17.10.2022, “Për modelin e kontratës për kontraktimin e performancës së energjisë” </w:t>
      </w:r>
    </w:p>
    <w:p w14:paraId="231AFC57" w14:textId="77777777" w:rsidR="00987807" w:rsidRPr="00987807" w:rsidRDefault="00987807" w:rsidP="00987807">
      <w:pPr>
        <w:numPr>
          <w:ilvl w:val="0"/>
          <w:numId w:val="121"/>
        </w:numPr>
        <w:contextualSpacing/>
        <w:rPr>
          <w:bCs/>
          <w:iCs/>
        </w:rPr>
      </w:pPr>
      <w:r w:rsidRPr="00987807">
        <w:rPr>
          <w:bCs/>
          <w:iCs/>
        </w:rPr>
        <w:t>Urdhri i Ministrit të Infrastrukturës dhe Energjisë nr. 206, datë 25.10.2022, “Për miratimin e formatit të planeve vendore të veprimit për efiçencën e energjisë dhe raportit të progresit për zbatimin e planeve”</w:t>
      </w:r>
    </w:p>
    <w:p w14:paraId="5D4F5598" w14:textId="77777777" w:rsidR="00987807" w:rsidRPr="00987807" w:rsidRDefault="00987807" w:rsidP="00987807">
      <w:pPr>
        <w:numPr>
          <w:ilvl w:val="0"/>
          <w:numId w:val="121"/>
        </w:numPr>
        <w:contextualSpacing/>
        <w:rPr>
          <w:bCs/>
          <w:iCs/>
        </w:rPr>
      </w:pPr>
      <w:r w:rsidRPr="00987807">
        <w:rPr>
          <w:bCs/>
          <w:iCs/>
        </w:rPr>
        <w:t>Urdhri i Ministrit të Infrastrukturës dhe Energjisë nr. 203, datë 18.10.2022, “Për miratimin e formatit të planeve të veprimit të konsumatorëve të mëdhenj të energjisë dhe raportit vjetor të progresit”.</w:t>
      </w:r>
    </w:p>
    <w:p w14:paraId="479386B4" w14:textId="77777777" w:rsidR="00987807" w:rsidRPr="00987807" w:rsidRDefault="00987807" w:rsidP="00987807">
      <w:pPr>
        <w:numPr>
          <w:ilvl w:val="0"/>
          <w:numId w:val="121"/>
        </w:numPr>
        <w:contextualSpacing/>
        <w:rPr>
          <w:bCs/>
          <w:iCs/>
        </w:rPr>
      </w:pPr>
      <w:r w:rsidRPr="00987807">
        <w:rPr>
          <w:bCs/>
          <w:iCs/>
        </w:rPr>
        <w:t>Strategjia sektoriale e transportit dhe plani i veprimit 2016–2020 (raporti i monitorimit i vitit 2019)</w:t>
      </w:r>
    </w:p>
    <w:p w14:paraId="01A3831B" w14:textId="77777777" w:rsidR="00987807" w:rsidRPr="00987807" w:rsidRDefault="00987807" w:rsidP="00987807">
      <w:pPr>
        <w:numPr>
          <w:ilvl w:val="0"/>
          <w:numId w:val="121"/>
        </w:numPr>
        <w:contextualSpacing/>
        <w:rPr>
          <w:bCs/>
          <w:iCs/>
        </w:rPr>
      </w:pPr>
      <w:r w:rsidRPr="00987807">
        <w:rPr>
          <w:bCs/>
          <w:iCs/>
        </w:rPr>
        <w:t>Ligji “Për prodhimin, transportimin dhe tregtimin e biokarburanteve dhe të lëndëve të tjera djegëse, të rinovueshme, për transport” (versioni draft)</w:t>
      </w:r>
    </w:p>
    <w:p w14:paraId="78E962DE" w14:textId="77777777" w:rsidR="00987807" w:rsidRPr="00987807" w:rsidRDefault="00987807" w:rsidP="00987807">
      <w:pPr>
        <w:numPr>
          <w:ilvl w:val="0"/>
          <w:numId w:val="121"/>
        </w:numPr>
        <w:contextualSpacing/>
        <w:rPr>
          <w:bCs/>
          <w:iCs/>
        </w:rPr>
      </w:pPr>
      <w:r w:rsidRPr="00987807">
        <w:rPr>
          <w:bCs/>
          <w:iCs/>
        </w:rPr>
        <w:t>Përgatitja e projektligjit “Për etiketimin e produkteve me ndikim në energji</w:t>
      </w:r>
    </w:p>
    <w:p w14:paraId="3805D46C" w14:textId="77777777" w:rsidR="00987807" w:rsidRDefault="00987807" w:rsidP="00987807">
      <w:pPr>
        <w:numPr>
          <w:ilvl w:val="0"/>
          <w:numId w:val="121"/>
        </w:numPr>
        <w:contextualSpacing/>
        <w:rPr>
          <w:bCs/>
          <w:iCs/>
        </w:rPr>
      </w:pPr>
      <w:r w:rsidRPr="00987807">
        <w:rPr>
          <w:bCs/>
          <w:iCs/>
        </w:rPr>
        <w:t>Plani për Transportin e Qëndrueshëm (versioni draft)</w:t>
      </w:r>
    </w:p>
    <w:p w14:paraId="07C52D4A" w14:textId="77777777" w:rsidR="00987807" w:rsidRDefault="00987807" w:rsidP="00E64DDE">
      <w:pPr>
        <w:ind w:left="720"/>
        <w:contextualSpacing/>
        <w:rPr>
          <w:bCs/>
          <w:iCs/>
        </w:rPr>
      </w:pPr>
    </w:p>
    <w:p w14:paraId="01A28B02" w14:textId="77777777" w:rsidR="00835192" w:rsidRPr="00FF756A" w:rsidRDefault="00835192" w:rsidP="00835192">
      <w:r w:rsidRPr="00FF756A">
        <w:t>Në tabelat më poshtë jepen politikat dhe masat, të ndara sipas sektorëve përkatës.</w:t>
      </w:r>
    </w:p>
    <w:p w14:paraId="53BB8319" w14:textId="77777777" w:rsidR="00835192" w:rsidRPr="00FF756A" w:rsidRDefault="00835192" w:rsidP="00835192"/>
    <w:p w14:paraId="5BA138D6" w14:textId="77777777" w:rsidR="00835192" w:rsidRPr="00FF756A" w:rsidRDefault="00835192" w:rsidP="00835192"/>
    <w:p w14:paraId="530E5E7B" w14:textId="77777777" w:rsidR="00835192" w:rsidRPr="00FF756A" w:rsidRDefault="00835192" w:rsidP="00835192">
      <w:pPr>
        <w:spacing w:before="0" w:after="0" w:line="240" w:lineRule="auto"/>
        <w:jc w:val="left"/>
        <w:rPr>
          <w:rFonts w:eastAsia="Calibri Light"/>
          <w:color w:val="1F3763" w:themeColor="accent1" w:themeShade="7F"/>
          <w:sz w:val="24"/>
          <w:szCs w:val="24"/>
        </w:rPr>
      </w:pPr>
      <w:bookmarkStart w:id="387" w:name="_Toc75616126"/>
      <w:r w:rsidRPr="00FF756A">
        <w:br w:type="page"/>
      </w:r>
    </w:p>
    <w:p w14:paraId="694B6E5F" w14:textId="44B7A828" w:rsidR="00835192" w:rsidRPr="00FF756A" w:rsidRDefault="002819B3" w:rsidP="004A3257">
      <w:pPr>
        <w:pStyle w:val="Heading3"/>
      </w:pPr>
      <w:bookmarkStart w:id="388" w:name="_Toc182897782"/>
      <w:bookmarkStart w:id="389" w:name="_Toc183639237"/>
      <w:r w:rsidRPr="00FF756A">
        <w:lastRenderedPageBreak/>
        <w:t xml:space="preserve">3.2.2 </w:t>
      </w:r>
      <w:r w:rsidR="00835192" w:rsidRPr="00FF756A">
        <w:t>Skemat detyruese të efiçencës së energjisë dhe masat politike alternative</w:t>
      </w:r>
      <w:bookmarkEnd w:id="387"/>
      <w:bookmarkEnd w:id="388"/>
      <w:bookmarkEnd w:id="389"/>
    </w:p>
    <w:tbl>
      <w:tblPr>
        <w:tblStyle w:val="TableGrid"/>
        <w:tblW w:w="0" w:type="auto"/>
        <w:tblBorders>
          <w:left w:val="none" w:sz="0" w:space="0" w:color="auto"/>
          <w:right w:val="none" w:sz="0" w:space="0" w:color="auto"/>
        </w:tblBorders>
        <w:tblLook w:val="04A0" w:firstRow="1" w:lastRow="0" w:firstColumn="1" w:lastColumn="0" w:noHBand="0" w:noVBand="1"/>
      </w:tblPr>
      <w:tblGrid>
        <w:gridCol w:w="2200"/>
        <w:gridCol w:w="1285"/>
        <w:gridCol w:w="603"/>
        <w:gridCol w:w="431"/>
        <w:gridCol w:w="3693"/>
        <w:gridCol w:w="850"/>
      </w:tblGrid>
      <w:tr w:rsidR="00835192" w:rsidRPr="00FF756A" w14:paraId="2CD873D0" w14:textId="77777777" w:rsidTr="004A3257">
        <w:trPr>
          <w:trHeight w:val="20"/>
        </w:trPr>
        <w:tc>
          <w:tcPr>
            <w:tcW w:w="4524" w:type="dxa"/>
            <w:gridSpan w:val="4"/>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0DD61C9D"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8" w:type="dxa"/>
            <w:gridSpan w:val="2"/>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6A146E4D" w14:textId="77777777" w:rsidR="00835192" w:rsidRPr="00FF756A" w:rsidRDefault="00835192" w:rsidP="008639B2">
            <w:pPr>
              <w:numPr>
                <w:ilvl w:val="0"/>
                <w:numId w:val="99"/>
              </w:numPr>
              <w:spacing w:before="20" w:after="20" w:line="240" w:lineRule="auto"/>
              <w:contextualSpacing/>
              <w:rPr>
                <w:i/>
                <w:iCs/>
                <w:sz w:val="20"/>
                <w:szCs w:val="20"/>
              </w:rPr>
            </w:pPr>
            <w:r w:rsidRPr="00FF756A">
              <w:rPr>
                <w:i/>
                <w:iCs/>
                <w:sz w:val="20"/>
                <w:szCs w:val="20"/>
              </w:rPr>
              <w:t>Efiçenca e energjisë</w:t>
            </w:r>
          </w:p>
        </w:tc>
      </w:tr>
      <w:tr w:rsidR="00835192" w:rsidRPr="00FF756A" w14:paraId="7B723305" w14:textId="77777777" w:rsidTr="004A3257">
        <w:trPr>
          <w:trHeight w:val="20"/>
        </w:trPr>
        <w:tc>
          <w:tcPr>
            <w:tcW w:w="4092"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06DFC55D"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80"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51A3293F" w14:textId="77777777" w:rsidR="00835192" w:rsidRPr="00FF756A" w:rsidRDefault="00835192" w:rsidP="00835192">
            <w:pPr>
              <w:spacing w:before="20" w:after="20" w:line="240" w:lineRule="auto"/>
              <w:rPr>
                <w:i/>
                <w:iCs/>
                <w:sz w:val="20"/>
                <w:szCs w:val="20"/>
              </w:rPr>
            </w:pPr>
            <w:r w:rsidRPr="00FF756A">
              <w:rPr>
                <w:i/>
                <w:iCs/>
                <w:sz w:val="20"/>
                <w:szCs w:val="20"/>
              </w:rPr>
              <w:t>Skemat detyruese të efiçencës së energjisë dhe masat politike alternative</w:t>
            </w:r>
          </w:p>
        </w:tc>
      </w:tr>
      <w:tr w:rsidR="00835192" w:rsidRPr="00FF756A" w14:paraId="23B6DC7E" w14:textId="77777777" w:rsidTr="004A3257">
        <w:trPr>
          <w:trHeight w:val="20"/>
        </w:trPr>
        <w:tc>
          <w:tcPr>
            <w:tcW w:w="3488" w:type="dxa"/>
            <w:gridSpan w:val="2"/>
            <w:tcBorders>
              <w:top w:val="single" w:sz="4" w:space="0" w:color="auto"/>
              <w:left w:val="single" w:sz="4" w:space="0" w:color="auto"/>
              <w:bottom w:val="single" w:sz="4" w:space="0" w:color="auto"/>
              <w:right w:val="single" w:sz="4" w:space="0" w:color="auto"/>
            </w:tcBorders>
          </w:tcPr>
          <w:p w14:paraId="671C3E8D"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41988B41"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4" w:type="dxa"/>
            <w:gridSpan w:val="4"/>
            <w:tcBorders>
              <w:top w:val="single" w:sz="4" w:space="0" w:color="auto"/>
              <w:left w:val="single" w:sz="4" w:space="0" w:color="auto"/>
              <w:bottom w:val="single" w:sz="4" w:space="0" w:color="auto"/>
              <w:right w:val="single" w:sz="4" w:space="0" w:color="auto"/>
            </w:tcBorders>
          </w:tcPr>
          <w:p w14:paraId="142302E6" w14:textId="77777777" w:rsidR="00835192" w:rsidRPr="00FF756A" w:rsidRDefault="00835192" w:rsidP="00835192">
            <w:pPr>
              <w:spacing w:before="20" w:after="20" w:line="240" w:lineRule="auto"/>
              <w:rPr>
                <w:i/>
                <w:iCs/>
                <w:sz w:val="20"/>
                <w:szCs w:val="20"/>
              </w:rPr>
            </w:pPr>
            <w:r w:rsidRPr="00FF756A">
              <w:rPr>
                <w:i/>
                <w:iCs/>
                <w:sz w:val="20"/>
                <w:szCs w:val="20"/>
              </w:rPr>
              <w:t>WAM</w:t>
            </w:r>
          </w:p>
          <w:p w14:paraId="1E32F392"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1BC383FE" w14:textId="77777777" w:rsidTr="004A3257">
        <w:trPr>
          <w:trHeight w:val="20"/>
        </w:trPr>
        <w:tc>
          <w:tcPr>
            <w:tcW w:w="2201" w:type="dxa"/>
            <w:tcBorders>
              <w:top w:val="single" w:sz="4" w:space="0" w:color="auto"/>
              <w:left w:val="single" w:sz="4" w:space="0" w:color="auto"/>
              <w:bottom w:val="single" w:sz="4" w:space="0" w:color="auto"/>
              <w:right w:val="single" w:sz="4" w:space="0" w:color="auto"/>
            </w:tcBorders>
          </w:tcPr>
          <w:p w14:paraId="393586F2" w14:textId="77777777" w:rsidR="00835192" w:rsidRPr="00FF756A" w:rsidRDefault="00835192" w:rsidP="00835192">
            <w:pPr>
              <w:spacing w:before="20" w:after="20" w:line="240" w:lineRule="auto"/>
              <w:jc w:val="right"/>
              <w:rPr>
                <w:b/>
                <w:bCs/>
                <w:sz w:val="20"/>
                <w:szCs w:val="20"/>
              </w:rPr>
            </w:pPr>
            <w:bookmarkStart w:id="390" w:name="_Hlk178251319"/>
            <w:r w:rsidRPr="00FF756A">
              <w:rPr>
                <w:b/>
                <w:bCs/>
                <w:sz w:val="20"/>
                <w:szCs w:val="20"/>
              </w:rPr>
              <w:t>Titulli i PM</w:t>
            </w:r>
          </w:p>
          <w:p w14:paraId="5586BC18"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1" w:type="dxa"/>
            <w:gridSpan w:val="5"/>
            <w:tcBorders>
              <w:top w:val="single" w:sz="4" w:space="0" w:color="auto"/>
              <w:left w:val="single" w:sz="4" w:space="0" w:color="auto"/>
              <w:bottom w:val="single" w:sz="4" w:space="0" w:color="auto"/>
              <w:right w:val="single" w:sz="4" w:space="0" w:color="auto"/>
            </w:tcBorders>
          </w:tcPr>
          <w:p w14:paraId="2CEAB7D1" w14:textId="77777777" w:rsidR="00835192" w:rsidRPr="00FF756A" w:rsidRDefault="00835192" w:rsidP="00835192">
            <w:pPr>
              <w:spacing w:before="20" w:after="20" w:line="240" w:lineRule="auto"/>
              <w:rPr>
                <w:i/>
                <w:iCs/>
                <w:sz w:val="20"/>
                <w:szCs w:val="20"/>
              </w:rPr>
            </w:pPr>
            <w:r w:rsidRPr="00FF756A">
              <w:rPr>
                <w:i/>
                <w:iCs/>
                <w:sz w:val="20"/>
                <w:szCs w:val="20"/>
              </w:rPr>
              <w:t>Skema detyruese e efiçencës së energjisë dhe masat alternative për Shqipërinë</w:t>
            </w:r>
          </w:p>
          <w:p w14:paraId="439A9143" w14:textId="77777777" w:rsidR="00835192" w:rsidRPr="00FF756A" w:rsidRDefault="00835192" w:rsidP="00835192">
            <w:pPr>
              <w:spacing w:before="20" w:after="20" w:line="240" w:lineRule="auto"/>
              <w:rPr>
                <w:i/>
                <w:iCs/>
                <w:sz w:val="20"/>
                <w:szCs w:val="20"/>
              </w:rPr>
            </w:pPr>
            <w:r w:rsidRPr="00FF756A">
              <w:rPr>
                <w:i/>
                <w:iCs/>
                <w:sz w:val="20"/>
                <w:szCs w:val="20"/>
              </w:rPr>
              <w:t>(EE-O1)</w:t>
            </w:r>
          </w:p>
        </w:tc>
      </w:tr>
      <w:bookmarkEnd w:id="390"/>
      <w:tr w:rsidR="00835192" w:rsidRPr="00FF756A" w14:paraId="36DDDDD0" w14:textId="77777777" w:rsidTr="004A3257">
        <w:trPr>
          <w:trHeight w:val="20"/>
        </w:trPr>
        <w:tc>
          <w:tcPr>
            <w:tcW w:w="2201" w:type="dxa"/>
            <w:tcBorders>
              <w:top w:val="single" w:sz="4" w:space="0" w:color="auto"/>
              <w:left w:val="single" w:sz="4" w:space="0" w:color="auto"/>
              <w:bottom w:val="single" w:sz="4" w:space="0" w:color="auto"/>
              <w:right w:val="single" w:sz="4" w:space="0" w:color="auto"/>
            </w:tcBorders>
          </w:tcPr>
          <w:p w14:paraId="36AB7A25"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1" w:type="dxa"/>
            <w:gridSpan w:val="5"/>
            <w:tcBorders>
              <w:top w:val="single" w:sz="4" w:space="0" w:color="auto"/>
              <w:left w:val="single" w:sz="4" w:space="0" w:color="auto"/>
              <w:bottom w:val="single" w:sz="4" w:space="0" w:color="auto"/>
              <w:right w:val="single" w:sz="4" w:space="0" w:color="auto"/>
            </w:tcBorders>
          </w:tcPr>
          <w:p w14:paraId="6B79B33B" w14:textId="77777777" w:rsidR="00835192" w:rsidRPr="00FF756A" w:rsidRDefault="00835192" w:rsidP="00835192">
            <w:pPr>
              <w:spacing w:before="20" w:after="20" w:line="240" w:lineRule="auto"/>
              <w:rPr>
                <w:i/>
                <w:iCs/>
                <w:sz w:val="20"/>
                <w:szCs w:val="20"/>
              </w:rPr>
            </w:pPr>
            <w:r w:rsidRPr="00FF756A">
              <w:rPr>
                <w:i/>
                <w:iCs/>
                <w:sz w:val="20"/>
                <w:szCs w:val="20"/>
              </w:rPr>
              <w:t>2023-2030</w:t>
            </w:r>
          </w:p>
        </w:tc>
      </w:tr>
      <w:tr w:rsidR="00835192" w:rsidRPr="00FF756A" w14:paraId="3E837AB4" w14:textId="77777777" w:rsidTr="004A3257">
        <w:trPr>
          <w:trHeight w:val="20"/>
        </w:trPr>
        <w:tc>
          <w:tcPr>
            <w:tcW w:w="2201" w:type="dxa"/>
            <w:tcBorders>
              <w:top w:val="single" w:sz="4" w:space="0" w:color="auto"/>
              <w:left w:val="single" w:sz="4" w:space="0" w:color="auto"/>
              <w:bottom w:val="single" w:sz="4" w:space="0" w:color="auto"/>
              <w:right w:val="single" w:sz="4" w:space="0" w:color="auto"/>
            </w:tcBorders>
          </w:tcPr>
          <w:p w14:paraId="7893464E"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1" w:type="dxa"/>
            <w:gridSpan w:val="5"/>
            <w:tcBorders>
              <w:top w:val="single" w:sz="4" w:space="0" w:color="auto"/>
              <w:left w:val="single" w:sz="4" w:space="0" w:color="auto"/>
              <w:bottom w:val="single" w:sz="4" w:space="0" w:color="auto"/>
              <w:right w:val="single" w:sz="4" w:space="0" w:color="auto"/>
            </w:tcBorders>
          </w:tcPr>
          <w:p w14:paraId="44FD250F" w14:textId="77777777" w:rsidR="00835192" w:rsidRPr="00FF756A" w:rsidRDefault="00835192" w:rsidP="00835192">
            <w:pPr>
              <w:spacing w:before="20" w:after="20" w:line="240" w:lineRule="auto"/>
              <w:rPr>
                <w:i/>
                <w:iCs/>
                <w:sz w:val="20"/>
                <w:szCs w:val="20"/>
              </w:rPr>
            </w:pPr>
            <w:r w:rsidRPr="00FF756A">
              <w:rPr>
                <w:i/>
                <w:iCs/>
                <w:sz w:val="20"/>
                <w:szCs w:val="20"/>
              </w:rPr>
              <w:t>Ligji nr. 124/2015, datë 12.11.2015 "Për efiçencën e energjisë”, i ndryshuar me Ligjin nr. 28/2021 “Për disa ndryshime dhe shtesa në Ligjin nr. 124/2015 “Për efiçencën e energjisë”. Detyrimi sipas nenit 7 të Direktivës për EE-në të transpozuar në Ligjin nr. 124/2015, i ndryshuar</w:t>
            </w:r>
          </w:p>
        </w:tc>
      </w:tr>
      <w:tr w:rsidR="00835192" w:rsidRPr="00FF756A" w14:paraId="17C594DF" w14:textId="77777777" w:rsidTr="004A3257">
        <w:trPr>
          <w:trHeight w:val="20"/>
        </w:trPr>
        <w:tc>
          <w:tcPr>
            <w:tcW w:w="2201" w:type="dxa"/>
            <w:tcBorders>
              <w:top w:val="single" w:sz="4" w:space="0" w:color="auto"/>
              <w:left w:val="single" w:sz="4" w:space="0" w:color="auto"/>
              <w:bottom w:val="single" w:sz="4" w:space="0" w:color="auto"/>
              <w:right w:val="single" w:sz="4" w:space="0" w:color="auto"/>
            </w:tcBorders>
          </w:tcPr>
          <w:p w14:paraId="55072574"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1" w:type="dxa"/>
            <w:gridSpan w:val="5"/>
            <w:tcBorders>
              <w:top w:val="single" w:sz="4" w:space="0" w:color="auto"/>
              <w:left w:val="single" w:sz="4" w:space="0" w:color="auto"/>
              <w:bottom w:val="single" w:sz="4" w:space="0" w:color="auto"/>
              <w:right w:val="single" w:sz="4" w:space="0" w:color="auto"/>
            </w:tcBorders>
          </w:tcPr>
          <w:p w14:paraId="0E34B9B9" w14:textId="77777777" w:rsidR="00835192" w:rsidRPr="00FF756A" w:rsidRDefault="00835192" w:rsidP="00835192">
            <w:pPr>
              <w:spacing w:before="20" w:after="20" w:line="240" w:lineRule="auto"/>
              <w:rPr>
                <w:i/>
                <w:iCs/>
                <w:sz w:val="20"/>
                <w:szCs w:val="20"/>
              </w:rPr>
            </w:pPr>
            <w:r w:rsidRPr="00FF756A">
              <w:rPr>
                <w:i/>
                <w:iCs/>
                <w:sz w:val="20"/>
                <w:szCs w:val="20"/>
              </w:rPr>
              <w:t>Ligji nr. 28/2021 “Për disa ndryshime dhe shtesa në Ligjin nr. 124/2015 “Për efiçencën e energjisë” ka krijuar bazën për zbatimin e skemave detyruese dhe masave alternative për shpërndarësit, operatorët dhe/ose furnizuesit e tregut të energjisë të Republikës së Shqipërisë për arritjen e kursimeve në konsumin final të energjisë.</w:t>
            </w:r>
          </w:p>
        </w:tc>
      </w:tr>
      <w:tr w:rsidR="00835192" w:rsidRPr="00FF756A" w14:paraId="0512F010" w14:textId="77777777" w:rsidTr="004A3257">
        <w:trPr>
          <w:trHeight w:val="20"/>
        </w:trPr>
        <w:tc>
          <w:tcPr>
            <w:tcW w:w="2201" w:type="dxa"/>
            <w:tcBorders>
              <w:top w:val="single" w:sz="4" w:space="0" w:color="auto"/>
              <w:left w:val="single" w:sz="4" w:space="0" w:color="auto"/>
              <w:bottom w:val="single" w:sz="4" w:space="0" w:color="auto"/>
              <w:right w:val="single" w:sz="4" w:space="0" w:color="auto"/>
            </w:tcBorders>
          </w:tcPr>
          <w:p w14:paraId="11ECFE5D"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1" w:type="dxa"/>
            <w:gridSpan w:val="5"/>
            <w:tcBorders>
              <w:top w:val="single" w:sz="4" w:space="0" w:color="auto"/>
              <w:left w:val="single" w:sz="4" w:space="0" w:color="auto"/>
              <w:bottom w:val="single" w:sz="4" w:space="0" w:color="auto"/>
              <w:right w:val="single" w:sz="4" w:space="0" w:color="auto"/>
            </w:tcBorders>
          </w:tcPr>
          <w:p w14:paraId="4BE6F6F9" w14:textId="77777777" w:rsidR="00835192" w:rsidRPr="00FF756A" w:rsidRDefault="00835192" w:rsidP="008639B2">
            <w:pPr>
              <w:numPr>
                <w:ilvl w:val="0"/>
                <w:numId w:val="135"/>
              </w:numPr>
              <w:spacing w:before="20" w:after="20" w:line="240" w:lineRule="auto"/>
              <w:contextualSpacing/>
              <w:rPr>
                <w:i/>
                <w:iCs/>
                <w:sz w:val="20"/>
                <w:szCs w:val="20"/>
              </w:rPr>
            </w:pPr>
            <w:r w:rsidRPr="00FF756A">
              <w:rPr>
                <w:i/>
                <w:iCs/>
                <w:sz w:val="20"/>
                <w:szCs w:val="20"/>
              </w:rPr>
              <w:t xml:space="preserve">Përcaktimi i pikësynimeve për kursimet në konsumin final të energjisë (kjo vlen për të gjitha llojet e energjisë, duke përfshirë energjinë elektrike, gazin dhe lëndët djegëse të ngurta), të cilat operatorët e sistemit të shpërndarjes dhe/ose furnizuesit e tregjeve të energjisë janë të detyruar t’i zbatojnë.  </w:t>
            </w:r>
          </w:p>
          <w:p w14:paraId="769D8958" w14:textId="77777777" w:rsidR="00835192" w:rsidRPr="00FF756A" w:rsidRDefault="00835192" w:rsidP="008639B2">
            <w:pPr>
              <w:numPr>
                <w:ilvl w:val="0"/>
                <w:numId w:val="135"/>
              </w:numPr>
              <w:spacing w:before="20" w:after="20" w:line="240" w:lineRule="auto"/>
              <w:contextualSpacing/>
              <w:rPr>
                <w:i/>
                <w:iCs/>
                <w:sz w:val="20"/>
                <w:szCs w:val="20"/>
              </w:rPr>
            </w:pPr>
            <w:r w:rsidRPr="00FF756A">
              <w:rPr>
                <w:i/>
                <w:iCs/>
                <w:sz w:val="20"/>
                <w:szCs w:val="20"/>
              </w:rPr>
              <w:t>Sipas një përllogaritjeje të përafërt të bazuar në një pikë referencë, kursimet e pritshme në vitin 2030 do të jenë 37 ktoe.</w:t>
            </w:r>
          </w:p>
          <w:p w14:paraId="14AADB79" w14:textId="3EC5C9B9" w:rsidR="00835192" w:rsidRPr="00FF756A" w:rsidRDefault="00835192" w:rsidP="008639B2">
            <w:pPr>
              <w:numPr>
                <w:ilvl w:val="0"/>
                <w:numId w:val="135"/>
              </w:numPr>
              <w:spacing w:before="20" w:after="20" w:line="240" w:lineRule="auto"/>
              <w:contextualSpacing/>
              <w:rPr>
                <w:i/>
                <w:iCs/>
                <w:sz w:val="20"/>
                <w:szCs w:val="20"/>
              </w:rPr>
            </w:pPr>
            <w:r w:rsidRPr="00FF756A">
              <w:rPr>
                <w:i/>
                <w:iCs/>
                <w:sz w:val="20"/>
                <w:szCs w:val="20"/>
              </w:rPr>
              <w:t>Zbatimi i skemave të detyr</w:t>
            </w:r>
            <w:r w:rsidR="001933F2" w:rsidRPr="00FF756A">
              <w:rPr>
                <w:i/>
                <w:iCs/>
                <w:sz w:val="20"/>
                <w:szCs w:val="20"/>
              </w:rPr>
              <w:t xml:space="preserve">uese </w:t>
            </w:r>
            <w:r w:rsidRPr="00FF756A">
              <w:rPr>
                <w:i/>
                <w:iCs/>
                <w:sz w:val="20"/>
                <w:szCs w:val="20"/>
              </w:rPr>
              <w:t>do të kontribuojnë në arritjen e pikësynimeve:</w:t>
            </w:r>
          </w:p>
          <w:p w14:paraId="79B27703" w14:textId="77777777" w:rsidR="00835192" w:rsidRPr="00FF756A" w:rsidRDefault="00835192" w:rsidP="008639B2">
            <w:pPr>
              <w:numPr>
                <w:ilvl w:val="0"/>
                <w:numId w:val="136"/>
              </w:numPr>
              <w:spacing w:before="20" w:after="20" w:line="240" w:lineRule="auto"/>
              <w:ind w:left="1200"/>
              <w:contextualSpacing/>
              <w:rPr>
                <w:i/>
                <w:iCs/>
                <w:sz w:val="20"/>
                <w:szCs w:val="20"/>
              </w:rPr>
            </w:pPr>
            <w:r w:rsidRPr="00FF756A">
              <w:rPr>
                <w:i/>
                <w:iCs/>
                <w:sz w:val="20"/>
                <w:szCs w:val="20"/>
              </w:rPr>
              <w:t>rinovimi i 3% të stokut të ndërtesave të qeverisë qendrore, çdo vit.</w:t>
            </w:r>
          </w:p>
          <w:p w14:paraId="4E8CA7EC" w14:textId="77777777" w:rsidR="00835192" w:rsidRPr="00FF756A" w:rsidRDefault="00835192" w:rsidP="008639B2">
            <w:pPr>
              <w:numPr>
                <w:ilvl w:val="0"/>
                <w:numId w:val="136"/>
              </w:numPr>
              <w:spacing w:before="20" w:after="20" w:line="240" w:lineRule="auto"/>
              <w:ind w:left="1200"/>
              <w:contextualSpacing/>
              <w:rPr>
                <w:i/>
                <w:iCs/>
                <w:sz w:val="20"/>
                <w:szCs w:val="20"/>
              </w:rPr>
            </w:pPr>
            <w:r w:rsidRPr="00FF756A">
              <w:rPr>
                <w:i/>
                <w:iCs/>
                <w:sz w:val="20"/>
                <w:szCs w:val="20"/>
              </w:rPr>
              <w:t>rinovimi i 2% të stokut të ndërtesave publike, çdo vit.</w:t>
            </w:r>
          </w:p>
        </w:tc>
      </w:tr>
      <w:tr w:rsidR="00835192" w:rsidRPr="00FF756A" w14:paraId="67B8B48D" w14:textId="77777777" w:rsidTr="004A3257">
        <w:trPr>
          <w:trHeight w:val="20"/>
        </w:trPr>
        <w:tc>
          <w:tcPr>
            <w:tcW w:w="2201" w:type="dxa"/>
            <w:tcBorders>
              <w:top w:val="single" w:sz="4" w:space="0" w:color="auto"/>
              <w:left w:val="single" w:sz="4" w:space="0" w:color="auto"/>
              <w:bottom w:val="single" w:sz="4" w:space="0" w:color="auto"/>
              <w:right w:val="single" w:sz="4" w:space="0" w:color="auto"/>
            </w:tcBorders>
          </w:tcPr>
          <w:p w14:paraId="42905BCC"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1" w:type="dxa"/>
            <w:gridSpan w:val="5"/>
            <w:tcBorders>
              <w:top w:val="single" w:sz="4" w:space="0" w:color="auto"/>
              <w:left w:val="single" w:sz="4" w:space="0" w:color="auto"/>
              <w:bottom w:val="single" w:sz="4" w:space="0" w:color="auto"/>
              <w:right w:val="single" w:sz="4" w:space="0" w:color="auto"/>
            </w:tcBorders>
          </w:tcPr>
          <w:p w14:paraId="371E6D9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Përdorimi racional i burimeve energjetike në nivel kombëtar</w:t>
            </w:r>
          </w:p>
          <w:p w14:paraId="255FE4F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Arritja e objektivave të kursimeve kumulative të energjisë në totalin e kërkesës finale për energji, deri më 31 dhjetor 2030</w:t>
            </w:r>
          </w:p>
          <w:p w14:paraId="6ADFDC20" w14:textId="45533034"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Arritja e objektivit nga palët e përfshira në detyrim (OP), prej rreth 1,5% </w:t>
            </w:r>
            <w:r w:rsidR="00962CE1" w:rsidRPr="00FF756A">
              <w:rPr>
                <w:i/>
                <w:iCs/>
                <w:sz w:val="20"/>
                <w:szCs w:val="20"/>
              </w:rPr>
              <w:t xml:space="preserve">të </w:t>
            </w:r>
            <w:r w:rsidRPr="00FF756A">
              <w:rPr>
                <w:i/>
                <w:iCs/>
                <w:sz w:val="20"/>
                <w:szCs w:val="20"/>
              </w:rPr>
              <w:t>shitje</w:t>
            </w:r>
            <w:r w:rsidR="00495408" w:rsidRPr="00FF756A">
              <w:rPr>
                <w:i/>
                <w:iCs/>
                <w:sz w:val="20"/>
                <w:szCs w:val="20"/>
              </w:rPr>
              <w:t>ve</w:t>
            </w:r>
            <w:r w:rsidRPr="00FF756A">
              <w:rPr>
                <w:i/>
                <w:iCs/>
                <w:sz w:val="20"/>
                <w:szCs w:val="20"/>
              </w:rPr>
              <w:t xml:space="preserve"> vjetore të energjisë te konsumatorët fundorë nga të gjithë shpërndarësit e energjisë ose shoqëritë e shitjes me pakicë të energjisë, vlerë kjo e mesatarizuar përgjatë një periudhe trevjeçare; (EED, neni 7) </w:t>
            </w:r>
          </w:p>
          <w:p w14:paraId="290CB641" w14:textId="44D8A263"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Kompanitë që shesin sasi të mëdha energjie njihen si palë të detyruara dhe kanë objektiva në kuadër të skemës. Palët e detyruara ofrojnë mbështetje për t</w:t>
            </w:r>
            <w:r w:rsidR="00495408" w:rsidRPr="00FF756A">
              <w:rPr>
                <w:i/>
                <w:iCs/>
                <w:sz w:val="20"/>
                <w:szCs w:val="20"/>
              </w:rPr>
              <w:t>i</w:t>
            </w:r>
            <w:r w:rsidRPr="00FF756A">
              <w:rPr>
                <w:i/>
                <w:iCs/>
                <w:sz w:val="20"/>
                <w:szCs w:val="20"/>
              </w:rPr>
              <w:t xml:space="preserve"> bërë shtëpitë ose bizneset e tjera me efiçencë më të lartë energjie. Për çdo njësi energjie të kursyer përmes këtyre projekteve, ato fitojnë kredite energjetike. Mbështetja që ato ofrojnë mund të jetë teknike, financiare ose një kombinim i të dyjave. Kjo gjithashtu do të ndihmojë Shqipërinë të arrijë objektivat kombëtare të kursimit të energjisë.</w:t>
            </w:r>
          </w:p>
        </w:tc>
      </w:tr>
      <w:tr w:rsidR="00835192" w:rsidRPr="00FF756A" w14:paraId="6765EE92" w14:textId="77777777" w:rsidTr="004A3257">
        <w:trPr>
          <w:trHeight w:val="20"/>
        </w:trPr>
        <w:tc>
          <w:tcPr>
            <w:tcW w:w="2201" w:type="dxa"/>
            <w:tcBorders>
              <w:top w:val="single" w:sz="4" w:space="0" w:color="auto"/>
              <w:left w:val="single" w:sz="4" w:space="0" w:color="auto"/>
              <w:bottom w:val="single" w:sz="4" w:space="0" w:color="auto"/>
              <w:right w:val="single" w:sz="4" w:space="0" w:color="auto"/>
            </w:tcBorders>
          </w:tcPr>
          <w:p w14:paraId="33F3765E"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1" w:type="dxa"/>
            <w:gridSpan w:val="4"/>
            <w:tcBorders>
              <w:top w:val="single" w:sz="4" w:space="0" w:color="auto"/>
              <w:left w:val="single" w:sz="4" w:space="0" w:color="auto"/>
              <w:bottom w:val="single" w:sz="4" w:space="0" w:color="auto"/>
              <w:right w:val="single" w:sz="4" w:space="0" w:color="auto"/>
            </w:tcBorders>
          </w:tcPr>
          <w:p w14:paraId="1E10B244" w14:textId="77777777" w:rsidR="00835192" w:rsidRPr="00FF756A" w:rsidRDefault="00835192" w:rsidP="00835192">
            <w:pPr>
              <w:spacing w:before="20" w:after="20" w:line="240" w:lineRule="auto"/>
              <w:rPr>
                <w:i/>
                <w:iCs/>
                <w:sz w:val="20"/>
                <w:szCs w:val="20"/>
              </w:rPr>
            </w:pPr>
            <w:r w:rsidRPr="00FF756A">
              <w:rPr>
                <w:i/>
                <w:iCs/>
                <w:sz w:val="20"/>
                <w:szCs w:val="20"/>
              </w:rPr>
              <w:t>Punë përgatitore lidhur me kuadrin rregullator për krijimin e skemës detyruese:</w:t>
            </w:r>
          </w:p>
          <w:p w14:paraId="0193A470"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Krijimi i një skeme për periudhën 2023-2030, e cila përcakton palët e detyruara, objektivat dhe se si do të arrihen këto objektiva, duke përfshirë masat e miratuara për EE-në, të cilat duhet të zbatohen nga përdoruesit fundorë me mbështetjen e operatorëve të sistemit shpërndarës dhe/ose të furnizuesve të tregjeve të energjisë </w:t>
            </w:r>
          </w:p>
          <w:p w14:paraId="181805FA" w14:textId="77777777" w:rsidR="00835192" w:rsidRPr="00FF756A" w:rsidRDefault="00835192" w:rsidP="00835192">
            <w:pPr>
              <w:spacing w:before="20" w:after="20" w:line="240" w:lineRule="auto"/>
              <w:rPr>
                <w:i/>
                <w:iCs/>
                <w:sz w:val="20"/>
                <w:szCs w:val="20"/>
              </w:rPr>
            </w:pPr>
            <w:r w:rsidRPr="00FF756A">
              <w:rPr>
                <w:i/>
                <w:iCs/>
                <w:sz w:val="20"/>
                <w:szCs w:val="20"/>
              </w:rPr>
              <w:t xml:space="preserve">Kuadri ligjor: </w:t>
            </w:r>
          </w:p>
          <w:p w14:paraId="6CA9FE84"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Miratimi nga qeveria i një VKM-je për krijimin e një skeme detyruese të efiçencës së energjisë, e cila do të caktojë objektiva për kursimet në konsumin final të energjisë, të cilat operatorët e sistemit shpërndarës dhe/ose furnizuesit e tregjeve të energjisë janë të detyruar t’i zbatojnë</w:t>
            </w:r>
          </w:p>
        </w:tc>
        <w:tc>
          <w:tcPr>
            <w:tcW w:w="850" w:type="dxa"/>
            <w:tcBorders>
              <w:top w:val="single" w:sz="4" w:space="0" w:color="auto"/>
              <w:left w:val="single" w:sz="4" w:space="0" w:color="auto"/>
              <w:bottom w:val="single" w:sz="4" w:space="0" w:color="auto"/>
              <w:right w:val="single" w:sz="4" w:space="0" w:color="auto"/>
            </w:tcBorders>
          </w:tcPr>
          <w:p w14:paraId="50960A39"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2026</w:t>
            </w:r>
            <w:r w:rsidRPr="00FF756A">
              <w:rPr>
                <w:i/>
                <w:iCs/>
                <w:sz w:val="20"/>
                <w:szCs w:val="20"/>
              </w:rPr>
              <w:br/>
            </w:r>
          </w:p>
          <w:p w14:paraId="2712FD1B" w14:textId="77777777" w:rsidR="00835192" w:rsidRPr="00FF756A" w:rsidRDefault="00835192" w:rsidP="00835192">
            <w:pPr>
              <w:spacing w:before="20" w:after="20" w:line="240" w:lineRule="auto"/>
              <w:jc w:val="left"/>
              <w:rPr>
                <w:i/>
                <w:iCs/>
                <w:sz w:val="20"/>
                <w:szCs w:val="20"/>
              </w:rPr>
            </w:pPr>
            <w:r w:rsidRPr="00FF756A">
              <w:rPr>
                <w:i/>
                <w:iCs/>
                <w:sz w:val="20"/>
                <w:szCs w:val="20"/>
              </w:rPr>
              <w:br/>
            </w:r>
            <w:r w:rsidRPr="00FF756A">
              <w:rPr>
                <w:i/>
                <w:iCs/>
                <w:sz w:val="20"/>
                <w:szCs w:val="20"/>
              </w:rPr>
              <w:br/>
            </w:r>
            <w:r w:rsidRPr="00FF756A">
              <w:rPr>
                <w:i/>
                <w:iCs/>
                <w:sz w:val="20"/>
                <w:szCs w:val="20"/>
              </w:rPr>
              <w:br/>
            </w:r>
            <w:r w:rsidRPr="00FF756A">
              <w:rPr>
                <w:i/>
                <w:iCs/>
                <w:sz w:val="20"/>
                <w:szCs w:val="20"/>
              </w:rPr>
              <w:br/>
            </w:r>
          </w:p>
          <w:p w14:paraId="1E84CAD4"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2027</w:t>
            </w:r>
          </w:p>
        </w:tc>
      </w:tr>
      <w:tr w:rsidR="00835192" w:rsidRPr="00FF756A" w14:paraId="5F9AE667" w14:textId="77777777" w:rsidTr="004A3257">
        <w:trPr>
          <w:trHeight w:val="20"/>
        </w:trPr>
        <w:tc>
          <w:tcPr>
            <w:tcW w:w="2201" w:type="dxa"/>
            <w:tcBorders>
              <w:top w:val="single" w:sz="4" w:space="0" w:color="auto"/>
              <w:left w:val="single" w:sz="4" w:space="0" w:color="auto"/>
              <w:bottom w:val="single" w:sz="4" w:space="0" w:color="auto"/>
              <w:right w:val="single" w:sz="4" w:space="0" w:color="auto"/>
            </w:tcBorders>
          </w:tcPr>
          <w:p w14:paraId="4C7E42C9"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Buxheti (burimi i financimit)</w:t>
            </w:r>
          </w:p>
        </w:tc>
        <w:tc>
          <w:tcPr>
            <w:tcW w:w="6871" w:type="dxa"/>
            <w:gridSpan w:val="5"/>
            <w:tcBorders>
              <w:top w:val="single" w:sz="4" w:space="0" w:color="auto"/>
              <w:left w:val="single" w:sz="4" w:space="0" w:color="auto"/>
              <w:bottom w:val="single" w:sz="4" w:space="0" w:color="auto"/>
              <w:right w:val="single" w:sz="4" w:space="0" w:color="auto"/>
            </w:tcBorders>
          </w:tcPr>
          <w:p w14:paraId="22D4FA81" w14:textId="77777777" w:rsidR="00835192" w:rsidRPr="00FF756A" w:rsidRDefault="00835192" w:rsidP="00835192">
            <w:pPr>
              <w:spacing w:before="20" w:after="20" w:line="240" w:lineRule="auto"/>
              <w:rPr>
                <w:i/>
                <w:iCs/>
                <w:sz w:val="20"/>
                <w:szCs w:val="20"/>
              </w:rPr>
            </w:pPr>
            <w:r w:rsidRPr="00FF756A">
              <w:rPr>
                <w:i/>
                <w:iCs/>
                <w:sz w:val="20"/>
                <w:szCs w:val="20"/>
              </w:rPr>
              <w:t>Duke qenë se bëhet fjalë për një instrument rregullator, buxheti lidhet me mbështetjen e nevojshme teknike (në bazë të vlerësimit të parë, parashikohen 10-20 mijë euro).</w:t>
            </w:r>
          </w:p>
        </w:tc>
      </w:tr>
      <w:tr w:rsidR="00835192" w:rsidRPr="00FF756A" w14:paraId="1E820F7D" w14:textId="77777777" w:rsidTr="004A3257">
        <w:trPr>
          <w:trHeight w:val="20"/>
        </w:trPr>
        <w:tc>
          <w:tcPr>
            <w:tcW w:w="2201" w:type="dxa"/>
            <w:tcBorders>
              <w:top w:val="single" w:sz="4" w:space="0" w:color="auto"/>
              <w:left w:val="single" w:sz="4" w:space="0" w:color="auto"/>
              <w:bottom w:val="single" w:sz="4" w:space="0" w:color="auto"/>
              <w:right w:val="single" w:sz="4" w:space="0" w:color="auto"/>
            </w:tcBorders>
          </w:tcPr>
          <w:p w14:paraId="5485D874"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2DCDCE95"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1" w:type="dxa"/>
            <w:gridSpan w:val="5"/>
            <w:tcBorders>
              <w:top w:val="single" w:sz="4" w:space="0" w:color="auto"/>
              <w:left w:val="single" w:sz="4" w:space="0" w:color="auto"/>
              <w:bottom w:val="single" w:sz="4" w:space="0" w:color="auto"/>
              <w:right w:val="single" w:sz="4" w:space="0" w:color="auto"/>
            </w:tcBorders>
          </w:tcPr>
          <w:p w14:paraId="4B7AE7F2"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Agjencia për Efiçencën e Energjisë, Palët në Detyrim (OP), Konsumatorët</w:t>
            </w:r>
          </w:p>
          <w:p w14:paraId="45210322"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Agjencia për Efiçencën e Energjisë)</w:t>
            </w:r>
          </w:p>
        </w:tc>
      </w:tr>
      <w:tr w:rsidR="00835192" w:rsidRPr="00FF756A" w14:paraId="5D9A1191" w14:textId="77777777" w:rsidTr="004A3257">
        <w:trPr>
          <w:trHeight w:val="20"/>
        </w:trPr>
        <w:tc>
          <w:tcPr>
            <w:tcW w:w="2201" w:type="dxa"/>
            <w:tcBorders>
              <w:top w:val="single" w:sz="4" w:space="0" w:color="auto"/>
              <w:left w:val="single" w:sz="4" w:space="0" w:color="auto"/>
              <w:bottom w:val="single" w:sz="4" w:space="0" w:color="auto"/>
              <w:right w:val="single" w:sz="4" w:space="0" w:color="auto"/>
            </w:tcBorders>
          </w:tcPr>
          <w:p w14:paraId="7E98E39B"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1" w:type="dxa"/>
            <w:gridSpan w:val="5"/>
            <w:tcBorders>
              <w:top w:val="single" w:sz="4" w:space="0" w:color="auto"/>
              <w:left w:val="single" w:sz="4" w:space="0" w:color="auto"/>
              <w:bottom w:val="single" w:sz="4" w:space="0" w:color="auto"/>
              <w:right w:val="single" w:sz="4" w:space="0" w:color="auto"/>
            </w:tcBorders>
          </w:tcPr>
          <w:p w14:paraId="4A60B029" w14:textId="77777777" w:rsidR="00835192" w:rsidRPr="00FF756A" w:rsidRDefault="00835192" w:rsidP="00835192">
            <w:pPr>
              <w:rPr>
                <w:i/>
                <w:iCs/>
                <w:sz w:val="20"/>
                <w:szCs w:val="20"/>
              </w:rPr>
            </w:pPr>
            <w:r w:rsidRPr="00FF756A">
              <w:rPr>
                <w:i/>
                <w:iCs/>
                <w:sz w:val="20"/>
                <w:szCs w:val="20"/>
              </w:rPr>
              <w:t>Siguria energjetike; dekarbonizimi (sektori rezidencial dhe jorezidencial)</w:t>
            </w:r>
          </w:p>
          <w:p w14:paraId="7A5302A9" w14:textId="77777777" w:rsidR="00835192" w:rsidRPr="00FF756A" w:rsidRDefault="00835192" w:rsidP="00835192">
            <w:pPr>
              <w:spacing w:before="20" w:after="20" w:line="240" w:lineRule="auto"/>
              <w:rPr>
                <w:i/>
                <w:iCs/>
                <w:sz w:val="20"/>
                <w:szCs w:val="20"/>
              </w:rPr>
            </w:pPr>
          </w:p>
        </w:tc>
      </w:tr>
    </w:tbl>
    <w:p w14:paraId="7AA0D165" w14:textId="77777777" w:rsidR="00835192" w:rsidRPr="00FF756A" w:rsidRDefault="00835192" w:rsidP="00835192"/>
    <w:p w14:paraId="068E1B36" w14:textId="02A8C206" w:rsidR="00835192" w:rsidRPr="00FF756A" w:rsidRDefault="00567A94" w:rsidP="004A3257">
      <w:pPr>
        <w:pStyle w:val="Heading3"/>
      </w:pPr>
      <w:bookmarkStart w:id="391" w:name="_Toc75616127"/>
      <w:bookmarkStart w:id="392" w:name="_Toc182897783"/>
      <w:bookmarkStart w:id="393" w:name="_Toc183639238"/>
      <w:r w:rsidRPr="00FF756A">
        <w:t xml:space="preserve">3.2.3 </w:t>
      </w:r>
      <w:r w:rsidR="00835192" w:rsidRPr="00FF756A">
        <w:t>Strategjia afatgjatë e rinovimit dhe nxitja e rinovimit rrënjësor me kosto efektive</w:t>
      </w:r>
      <w:bookmarkEnd w:id="391"/>
      <w:bookmarkEnd w:id="392"/>
      <w:bookmarkEnd w:id="393"/>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7"/>
        <w:gridCol w:w="1280"/>
        <w:gridCol w:w="600"/>
        <w:gridCol w:w="429"/>
        <w:gridCol w:w="3706"/>
        <w:gridCol w:w="850"/>
      </w:tblGrid>
      <w:tr w:rsidR="00835192" w:rsidRPr="00FF756A" w14:paraId="17AD957A" w14:textId="77777777" w:rsidTr="004A3257">
        <w:trPr>
          <w:trHeight w:val="20"/>
        </w:trPr>
        <w:tc>
          <w:tcPr>
            <w:tcW w:w="4511" w:type="dxa"/>
            <w:gridSpan w:val="4"/>
            <w:shd w:val="clear" w:color="auto" w:fill="FFF2CC" w:themeFill="accent4" w:themeFillTint="33"/>
          </w:tcPr>
          <w:p w14:paraId="14B6A27D"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61" w:type="dxa"/>
            <w:gridSpan w:val="2"/>
            <w:shd w:val="clear" w:color="auto" w:fill="FFF2CC" w:themeFill="accent4" w:themeFillTint="33"/>
          </w:tcPr>
          <w:p w14:paraId="3D844DE8" w14:textId="77777777" w:rsidR="00835192" w:rsidRPr="00FF756A" w:rsidRDefault="00835192" w:rsidP="008639B2">
            <w:pPr>
              <w:numPr>
                <w:ilvl w:val="0"/>
                <w:numId w:val="172"/>
              </w:numPr>
              <w:spacing w:before="20" w:after="20" w:line="240" w:lineRule="auto"/>
              <w:contextualSpacing/>
              <w:rPr>
                <w:rFonts w:eastAsia="Times New Roman"/>
                <w:i/>
                <w:iCs/>
                <w:sz w:val="20"/>
                <w:szCs w:val="20"/>
              </w:rPr>
            </w:pPr>
            <w:r w:rsidRPr="00FF756A">
              <w:rPr>
                <w:i/>
                <w:iCs/>
                <w:sz w:val="20"/>
                <w:szCs w:val="20"/>
              </w:rPr>
              <w:t>Efiçenca e energjisë</w:t>
            </w:r>
          </w:p>
        </w:tc>
      </w:tr>
      <w:tr w:rsidR="00835192" w:rsidRPr="00FF756A" w14:paraId="249F82D2" w14:textId="77777777" w:rsidTr="004A3257">
        <w:trPr>
          <w:trHeight w:val="20"/>
        </w:trPr>
        <w:tc>
          <w:tcPr>
            <w:tcW w:w="4081" w:type="dxa"/>
            <w:gridSpan w:val="3"/>
            <w:shd w:val="clear" w:color="auto" w:fill="FFF2CC" w:themeFill="accent4" w:themeFillTint="33"/>
          </w:tcPr>
          <w:p w14:paraId="794C14C7"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91" w:type="dxa"/>
            <w:gridSpan w:val="3"/>
            <w:shd w:val="clear" w:color="auto" w:fill="FFF2CC" w:themeFill="accent4" w:themeFillTint="33"/>
          </w:tcPr>
          <w:p w14:paraId="76C5FD9E" w14:textId="77777777" w:rsidR="00835192" w:rsidRPr="00FF756A" w:rsidRDefault="00835192" w:rsidP="00835192">
            <w:pPr>
              <w:spacing w:before="20" w:after="20" w:line="240" w:lineRule="auto"/>
              <w:rPr>
                <w:i/>
                <w:iCs/>
                <w:sz w:val="20"/>
                <w:szCs w:val="20"/>
              </w:rPr>
            </w:pPr>
            <w:r w:rsidRPr="00FF756A">
              <w:rPr>
                <w:i/>
                <w:iCs/>
                <w:sz w:val="20"/>
                <w:szCs w:val="20"/>
              </w:rPr>
              <w:t>Sektori i ndërtesave</w:t>
            </w:r>
          </w:p>
        </w:tc>
      </w:tr>
      <w:tr w:rsidR="00835192" w:rsidRPr="00FF756A" w14:paraId="4B8B51A5" w14:textId="77777777" w:rsidTr="004A3257">
        <w:trPr>
          <w:trHeight w:val="20"/>
        </w:trPr>
        <w:tc>
          <w:tcPr>
            <w:tcW w:w="3480" w:type="dxa"/>
            <w:gridSpan w:val="2"/>
          </w:tcPr>
          <w:p w14:paraId="166A85D6"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0F9D2A87"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2" w:type="dxa"/>
            <w:gridSpan w:val="4"/>
          </w:tcPr>
          <w:p w14:paraId="1B7530F9" w14:textId="77777777" w:rsidR="00835192" w:rsidRPr="00FF756A" w:rsidRDefault="00835192" w:rsidP="00835192">
            <w:pPr>
              <w:spacing w:before="20" w:after="20" w:line="240" w:lineRule="auto"/>
              <w:rPr>
                <w:i/>
                <w:iCs/>
                <w:sz w:val="20"/>
                <w:szCs w:val="20"/>
              </w:rPr>
            </w:pPr>
            <w:r w:rsidRPr="00FF756A">
              <w:rPr>
                <w:i/>
                <w:iCs/>
                <w:sz w:val="20"/>
                <w:szCs w:val="20"/>
              </w:rPr>
              <w:t xml:space="preserve">WAM </w:t>
            </w:r>
          </w:p>
          <w:p w14:paraId="79E46F36" w14:textId="77777777" w:rsidR="00835192" w:rsidRPr="00FF756A" w:rsidRDefault="00835192" w:rsidP="00835192">
            <w:pPr>
              <w:spacing w:before="20" w:after="20" w:line="240" w:lineRule="auto"/>
              <w:rPr>
                <w:i/>
                <w:iCs/>
                <w:sz w:val="20"/>
                <w:szCs w:val="20"/>
              </w:rPr>
            </w:pPr>
            <w:r w:rsidRPr="00FF756A">
              <w:rPr>
                <w:i/>
                <w:iCs/>
                <w:sz w:val="20"/>
                <w:szCs w:val="20"/>
              </w:rPr>
              <w:t>Rregullator dhe teknik</w:t>
            </w:r>
          </w:p>
        </w:tc>
      </w:tr>
      <w:tr w:rsidR="00835192" w:rsidRPr="00FF756A" w14:paraId="1D05183A" w14:textId="77777777" w:rsidTr="004A3257">
        <w:trPr>
          <w:trHeight w:val="20"/>
        </w:trPr>
        <w:tc>
          <w:tcPr>
            <w:tcW w:w="2198" w:type="dxa"/>
          </w:tcPr>
          <w:p w14:paraId="3AC7F77D"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246E5A5E"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4" w:type="dxa"/>
            <w:gridSpan w:val="5"/>
          </w:tcPr>
          <w:p w14:paraId="388D8777" w14:textId="77777777" w:rsidR="00835192" w:rsidRPr="00FF756A" w:rsidRDefault="00835192" w:rsidP="00835192">
            <w:pPr>
              <w:spacing w:before="20" w:after="20" w:line="240" w:lineRule="auto"/>
              <w:rPr>
                <w:i/>
                <w:iCs/>
                <w:sz w:val="20"/>
                <w:szCs w:val="20"/>
              </w:rPr>
            </w:pPr>
            <w:bookmarkStart w:id="394" w:name="_Hlk178251386"/>
            <w:r w:rsidRPr="00FF756A">
              <w:rPr>
                <w:i/>
                <w:iCs/>
                <w:sz w:val="20"/>
                <w:szCs w:val="20"/>
              </w:rPr>
              <w:t>Inspektimi i sistemeve teknike në ndërtesa</w:t>
            </w:r>
          </w:p>
          <w:p w14:paraId="2892A65D" w14:textId="77777777" w:rsidR="00835192" w:rsidRPr="00FF756A" w:rsidRDefault="00835192" w:rsidP="00835192">
            <w:pPr>
              <w:spacing w:before="20" w:after="20" w:line="240" w:lineRule="auto"/>
              <w:rPr>
                <w:i/>
                <w:iCs/>
                <w:sz w:val="20"/>
                <w:szCs w:val="20"/>
              </w:rPr>
            </w:pPr>
            <w:r w:rsidRPr="00FF756A">
              <w:rPr>
                <w:i/>
                <w:iCs/>
                <w:sz w:val="20"/>
                <w:szCs w:val="20"/>
              </w:rPr>
              <w:t>(EE-I1)</w:t>
            </w:r>
            <w:bookmarkEnd w:id="394"/>
          </w:p>
        </w:tc>
      </w:tr>
      <w:tr w:rsidR="00835192" w:rsidRPr="00FF756A" w14:paraId="74FE3358" w14:textId="77777777" w:rsidTr="004A3257">
        <w:trPr>
          <w:trHeight w:val="20"/>
        </w:trPr>
        <w:tc>
          <w:tcPr>
            <w:tcW w:w="2198" w:type="dxa"/>
          </w:tcPr>
          <w:p w14:paraId="677F25C3"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4" w:type="dxa"/>
            <w:gridSpan w:val="5"/>
          </w:tcPr>
          <w:p w14:paraId="13D888A1" w14:textId="77777777" w:rsidR="00835192" w:rsidRPr="00FF756A" w:rsidRDefault="00835192" w:rsidP="00835192">
            <w:pPr>
              <w:spacing w:before="20" w:after="20" w:line="240" w:lineRule="auto"/>
              <w:rPr>
                <w:i/>
                <w:iCs/>
                <w:sz w:val="20"/>
                <w:szCs w:val="20"/>
              </w:rPr>
            </w:pPr>
            <w:r w:rsidRPr="00FF756A">
              <w:rPr>
                <w:i/>
                <w:iCs/>
                <w:sz w:val="20"/>
                <w:szCs w:val="20"/>
              </w:rPr>
              <w:t>2025 – në vazhdim</w:t>
            </w:r>
          </w:p>
        </w:tc>
      </w:tr>
      <w:tr w:rsidR="00835192" w:rsidRPr="00FF756A" w14:paraId="434D37FA" w14:textId="77777777" w:rsidTr="004A3257">
        <w:trPr>
          <w:trHeight w:val="20"/>
        </w:trPr>
        <w:tc>
          <w:tcPr>
            <w:tcW w:w="2198" w:type="dxa"/>
          </w:tcPr>
          <w:p w14:paraId="5704B346"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4" w:type="dxa"/>
            <w:gridSpan w:val="5"/>
          </w:tcPr>
          <w:p w14:paraId="6A5E6B74" w14:textId="1A559FEF" w:rsidR="00835192" w:rsidRPr="00FF756A" w:rsidRDefault="00835192" w:rsidP="00835192">
            <w:pPr>
              <w:spacing w:before="20" w:after="20" w:line="240" w:lineRule="auto"/>
              <w:rPr>
                <w:i/>
                <w:iCs/>
                <w:sz w:val="20"/>
                <w:szCs w:val="20"/>
              </w:rPr>
            </w:pPr>
            <w:r w:rsidRPr="00FF756A">
              <w:rPr>
                <w:i/>
                <w:iCs/>
                <w:sz w:val="20"/>
                <w:szCs w:val="20"/>
              </w:rPr>
              <w:t xml:space="preserve">Ligji </w:t>
            </w:r>
            <w:r w:rsidR="00553269" w:rsidRPr="00FF756A">
              <w:rPr>
                <w:bCs/>
                <w:iCs/>
                <w:sz w:val="20"/>
                <w:szCs w:val="20"/>
              </w:rPr>
              <w:t>nr. 116/2016</w:t>
            </w:r>
            <w:r w:rsidR="00553269" w:rsidRPr="00FF756A">
              <w:rPr>
                <w:i/>
                <w:iCs/>
                <w:sz w:val="20"/>
                <w:szCs w:val="20"/>
              </w:rPr>
              <w:t xml:space="preserve"> </w:t>
            </w:r>
            <w:r w:rsidRPr="00FF756A">
              <w:rPr>
                <w:i/>
                <w:iCs/>
                <w:sz w:val="20"/>
                <w:szCs w:val="20"/>
              </w:rPr>
              <w:t>“Për performancën e energjisë në ndërtesave”</w:t>
            </w:r>
          </w:p>
        </w:tc>
      </w:tr>
      <w:tr w:rsidR="00835192" w:rsidRPr="00FF756A" w14:paraId="610118F9" w14:textId="77777777" w:rsidTr="004A3257">
        <w:trPr>
          <w:trHeight w:val="20"/>
        </w:trPr>
        <w:tc>
          <w:tcPr>
            <w:tcW w:w="2198" w:type="dxa"/>
          </w:tcPr>
          <w:p w14:paraId="04694ECF"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4" w:type="dxa"/>
            <w:gridSpan w:val="5"/>
          </w:tcPr>
          <w:p w14:paraId="57011EA2" w14:textId="77777777" w:rsidR="00835192" w:rsidRPr="00FF756A" w:rsidRDefault="00835192" w:rsidP="00835192">
            <w:pPr>
              <w:spacing w:before="20" w:after="20" w:line="240" w:lineRule="auto"/>
              <w:rPr>
                <w:i/>
                <w:iCs/>
                <w:sz w:val="20"/>
                <w:szCs w:val="20"/>
              </w:rPr>
            </w:pPr>
            <w:r w:rsidRPr="00FF756A">
              <w:rPr>
                <w:i/>
                <w:iCs/>
                <w:sz w:val="20"/>
                <w:szCs w:val="20"/>
              </w:rPr>
              <w:t>Asnjë masë e marrë deri më tani, veprimtari e re</w:t>
            </w:r>
          </w:p>
        </w:tc>
      </w:tr>
      <w:tr w:rsidR="00835192" w:rsidRPr="00FF756A" w14:paraId="7D0C1688" w14:textId="77777777" w:rsidTr="004A3257">
        <w:trPr>
          <w:trHeight w:val="20"/>
        </w:trPr>
        <w:tc>
          <w:tcPr>
            <w:tcW w:w="2198" w:type="dxa"/>
          </w:tcPr>
          <w:p w14:paraId="0227E66C"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4" w:type="dxa"/>
            <w:gridSpan w:val="5"/>
          </w:tcPr>
          <w:p w14:paraId="4FBF682B" w14:textId="77777777" w:rsidR="00835192" w:rsidRPr="00FF756A" w:rsidRDefault="00835192" w:rsidP="00835192">
            <w:pPr>
              <w:spacing w:before="20" w:after="20" w:line="240" w:lineRule="auto"/>
              <w:rPr>
                <w:i/>
                <w:iCs/>
                <w:sz w:val="20"/>
                <w:szCs w:val="20"/>
              </w:rPr>
            </w:pPr>
            <w:r w:rsidRPr="00FF756A">
              <w:rPr>
                <w:i/>
                <w:iCs/>
                <w:sz w:val="20"/>
                <w:szCs w:val="20"/>
              </w:rPr>
              <w:t>Sigurimi i funksionimit të sistemeve teknike të ndërtimit me efiçencën më të lartë.</w:t>
            </w:r>
          </w:p>
        </w:tc>
      </w:tr>
      <w:tr w:rsidR="00835192" w:rsidRPr="00FF756A" w14:paraId="0E8F6166" w14:textId="77777777" w:rsidTr="004A3257">
        <w:trPr>
          <w:trHeight w:val="20"/>
        </w:trPr>
        <w:tc>
          <w:tcPr>
            <w:tcW w:w="2198" w:type="dxa"/>
          </w:tcPr>
          <w:p w14:paraId="53C9593D"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4" w:type="dxa"/>
            <w:gridSpan w:val="5"/>
          </w:tcPr>
          <w:p w14:paraId="6E71607C" w14:textId="77777777" w:rsidR="00835192" w:rsidRPr="00FF756A" w:rsidRDefault="00835192" w:rsidP="00835192">
            <w:pPr>
              <w:spacing w:before="20" w:after="20" w:line="240" w:lineRule="auto"/>
              <w:contextualSpacing/>
              <w:jc w:val="left"/>
              <w:rPr>
                <w:rFonts w:eastAsia="Times New Roman"/>
                <w:i/>
                <w:iCs/>
                <w:sz w:val="20"/>
                <w:szCs w:val="20"/>
              </w:rPr>
            </w:pPr>
            <w:r w:rsidRPr="00FF756A">
              <w:rPr>
                <w:i/>
                <w:iCs/>
                <w:sz w:val="20"/>
                <w:szCs w:val="20"/>
              </w:rPr>
              <w:t>Krijimi i një sistemi për inspektimin e sistemeve teknike në ndërtesa.</w:t>
            </w:r>
          </w:p>
        </w:tc>
      </w:tr>
      <w:tr w:rsidR="00835192" w:rsidRPr="00FF756A" w14:paraId="43BBB68A" w14:textId="77777777" w:rsidTr="004A3257">
        <w:trPr>
          <w:trHeight w:val="20"/>
        </w:trPr>
        <w:tc>
          <w:tcPr>
            <w:tcW w:w="2198" w:type="dxa"/>
          </w:tcPr>
          <w:p w14:paraId="2D982C58"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4" w:type="dxa"/>
            <w:gridSpan w:val="4"/>
          </w:tcPr>
          <w:p w14:paraId="41E9FED7" w14:textId="77777777" w:rsidR="00835192" w:rsidRPr="00FF756A" w:rsidRDefault="00835192" w:rsidP="004A3257">
            <w:pPr>
              <w:pStyle w:val="ListParagraph"/>
              <w:numPr>
                <w:ilvl w:val="0"/>
                <w:numId w:val="236"/>
              </w:numPr>
              <w:spacing w:before="20" w:after="20" w:line="240" w:lineRule="auto"/>
              <w:rPr>
                <w:rFonts w:eastAsia="Times New Roman"/>
                <w:i/>
                <w:iCs/>
                <w:sz w:val="20"/>
                <w:szCs w:val="20"/>
              </w:rPr>
            </w:pPr>
            <w:r w:rsidRPr="00FF756A">
              <w:rPr>
                <w:i/>
                <w:iCs/>
                <w:sz w:val="20"/>
                <w:szCs w:val="20"/>
              </w:rPr>
              <w:t>Ndryshimi i ligjit “Për performancën e energjisë në ndërtesa”</w:t>
            </w:r>
          </w:p>
          <w:p w14:paraId="48E253E6" w14:textId="77777777" w:rsidR="00835192" w:rsidRPr="00FF756A" w:rsidRDefault="00835192" w:rsidP="004A3257">
            <w:pPr>
              <w:pStyle w:val="ListParagraph"/>
              <w:numPr>
                <w:ilvl w:val="0"/>
                <w:numId w:val="236"/>
              </w:numPr>
              <w:spacing w:before="20" w:after="20" w:line="240" w:lineRule="auto"/>
              <w:rPr>
                <w:rFonts w:eastAsia="Times New Roman"/>
                <w:i/>
                <w:iCs/>
                <w:sz w:val="20"/>
                <w:szCs w:val="20"/>
              </w:rPr>
            </w:pPr>
            <w:r w:rsidRPr="00FF756A">
              <w:rPr>
                <w:i/>
                <w:iCs/>
                <w:sz w:val="20"/>
                <w:szCs w:val="20"/>
              </w:rPr>
              <w:t xml:space="preserve">Hartimi i udhëzimeve për inspektimin e </w:t>
            </w:r>
            <w:bookmarkStart w:id="395" w:name="_Hlk178251292"/>
            <w:r w:rsidRPr="00FF756A">
              <w:rPr>
                <w:i/>
                <w:iCs/>
                <w:sz w:val="20"/>
                <w:szCs w:val="20"/>
              </w:rPr>
              <w:t>sistemeve teknike në ndërtesa.</w:t>
            </w:r>
          </w:p>
          <w:bookmarkEnd w:id="395"/>
          <w:p w14:paraId="2DB97792" w14:textId="77777777" w:rsidR="00835192" w:rsidRPr="00FF756A" w:rsidRDefault="00835192" w:rsidP="004A3257">
            <w:pPr>
              <w:pStyle w:val="ListParagraph"/>
              <w:numPr>
                <w:ilvl w:val="0"/>
                <w:numId w:val="236"/>
              </w:numPr>
              <w:spacing w:before="20" w:after="20" w:line="240" w:lineRule="auto"/>
              <w:rPr>
                <w:rFonts w:eastAsia="Times New Roman"/>
                <w:i/>
                <w:iCs/>
                <w:sz w:val="20"/>
                <w:szCs w:val="20"/>
              </w:rPr>
            </w:pPr>
            <w:r w:rsidRPr="00FF756A">
              <w:rPr>
                <w:i/>
                <w:iCs/>
                <w:sz w:val="20"/>
                <w:szCs w:val="20"/>
              </w:rPr>
              <w:t>Hartimi dhe miratimi i formatit për raportin e inspektimit të sistemeve teknike në ndërtesa.</w:t>
            </w:r>
          </w:p>
          <w:p w14:paraId="3F2CEDC9" w14:textId="77777777" w:rsidR="00835192" w:rsidRPr="00FF756A" w:rsidRDefault="00835192" w:rsidP="004A3257">
            <w:pPr>
              <w:pStyle w:val="ListParagraph"/>
              <w:numPr>
                <w:ilvl w:val="0"/>
                <w:numId w:val="236"/>
              </w:numPr>
              <w:spacing w:before="20" w:after="20" w:line="240" w:lineRule="auto"/>
              <w:rPr>
                <w:rFonts w:eastAsia="Times New Roman"/>
                <w:i/>
                <w:iCs/>
                <w:sz w:val="20"/>
                <w:szCs w:val="20"/>
              </w:rPr>
            </w:pPr>
            <w:r w:rsidRPr="00FF756A">
              <w:rPr>
                <w:i/>
                <w:iCs/>
                <w:sz w:val="20"/>
                <w:szCs w:val="20"/>
              </w:rPr>
              <w:t>Trajnimi dhe certifikimi i ekspertit të pavarur për inspektimin e sistemeve teknike në ndërtesa.</w:t>
            </w:r>
          </w:p>
          <w:p w14:paraId="39AB1861" w14:textId="77777777" w:rsidR="00835192" w:rsidRPr="00FF756A" w:rsidRDefault="00835192" w:rsidP="004A3257">
            <w:pPr>
              <w:pStyle w:val="ListParagraph"/>
              <w:numPr>
                <w:ilvl w:val="0"/>
                <w:numId w:val="236"/>
              </w:numPr>
              <w:spacing w:before="20" w:after="20" w:line="240" w:lineRule="auto"/>
              <w:rPr>
                <w:rFonts w:eastAsia="Times New Roman"/>
                <w:i/>
                <w:iCs/>
                <w:sz w:val="20"/>
                <w:szCs w:val="20"/>
              </w:rPr>
            </w:pPr>
            <w:r w:rsidRPr="00FF756A">
              <w:rPr>
                <w:i/>
                <w:iCs/>
                <w:sz w:val="20"/>
                <w:szCs w:val="20"/>
              </w:rPr>
              <w:t>Përcaktimi i kuadrit për verifikimin, inspektimin dhe promovimin.</w:t>
            </w:r>
          </w:p>
          <w:p w14:paraId="73D30B57" w14:textId="77777777" w:rsidR="00835192" w:rsidRPr="00FF756A" w:rsidRDefault="00835192" w:rsidP="004A3257">
            <w:pPr>
              <w:pStyle w:val="ListParagraph"/>
              <w:numPr>
                <w:ilvl w:val="0"/>
                <w:numId w:val="236"/>
              </w:numPr>
              <w:spacing w:before="20" w:after="20" w:line="240" w:lineRule="auto"/>
              <w:rPr>
                <w:rFonts w:eastAsia="Times New Roman"/>
                <w:i/>
                <w:iCs/>
                <w:sz w:val="20"/>
                <w:szCs w:val="20"/>
              </w:rPr>
            </w:pPr>
            <w:r w:rsidRPr="00FF756A">
              <w:rPr>
                <w:i/>
                <w:iCs/>
                <w:sz w:val="20"/>
                <w:szCs w:val="20"/>
              </w:rPr>
              <w:t>Krijimi i një pike të vetme shërbimi për promovimin e efiçencës së energjisë në ndërtesa.</w:t>
            </w:r>
          </w:p>
        </w:tc>
        <w:tc>
          <w:tcPr>
            <w:tcW w:w="850" w:type="dxa"/>
          </w:tcPr>
          <w:p w14:paraId="0266FB1A" w14:textId="77777777" w:rsidR="00835192" w:rsidRPr="00FF756A" w:rsidRDefault="00835192" w:rsidP="00835192">
            <w:pPr>
              <w:spacing w:before="20" w:after="20" w:line="240" w:lineRule="auto"/>
              <w:contextualSpacing/>
              <w:rPr>
                <w:rFonts w:eastAsia="Times New Roman"/>
                <w:i/>
                <w:iCs/>
                <w:sz w:val="20"/>
                <w:szCs w:val="20"/>
              </w:rPr>
            </w:pPr>
            <w:r w:rsidRPr="00FF756A">
              <w:rPr>
                <w:i/>
                <w:iCs/>
                <w:sz w:val="20"/>
                <w:szCs w:val="20"/>
              </w:rPr>
              <w:t>brenda vitit 2027</w:t>
            </w:r>
          </w:p>
        </w:tc>
      </w:tr>
      <w:tr w:rsidR="00835192" w:rsidRPr="00FF756A" w14:paraId="3AD64C77" w14:textId="77777777" w:rsidTr="004A3257">
        <w:trPr>
          <w:trHeight w:val="20"/>
        </w:trPr>
        <w:tc>
          <w:tcPr>
            <w:tcW w:w="2198" w:type="dxa"/>
          </w:tcPr>
          <w:p w14:paraId="1356986A"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4" w:type="dxa"/>
            <w:gridSpan w:val="5"/>
          </w:tcPr>
          <w:p w14:paraId="7C21E189" w14:textId="77777777" w:rsidR="00835192" w:rsidRPr="00FF756A" w:rsidRDefault="00835192" w:rsidP="00835192">
            <w:pPr>
              <w:spacing w:before="20" w:after="20" w:line="240" w:lineRule="auto"/>
              <w:rPr>
                <w:i/>
                <w:iCs/>
                <w:sz w:val="20"/>
                <w:szCs w:val="20"/>
              </w:rPr>
            </w:pPr>
            <w:r w:rsidRPr="00FF756A">
              <w:rPr>
                <w:i/>
                <w:iCs/>
                <w:sz w:val="20"/>
                <w:szCs w:val="20"/>
              </w:rPr>
              <w:t xml:space="preserve">Do të përcaktohet në Planin Afatgjatë të Rinovimit të Ndërtesave. Kuadri për inspektimin e sistemeve teknike në ndërtesa duhet të planifikohet së bashku me Certifikatat e Performancës së Energjisë (CPE) dhe bazat e të dhënave të CPE. </w:t>
            </w:r>
          </w:p>
        </w:tc>
      </w:tr>
      <w:tr w:rsidR="00835192" w:rsidRPr="00FF756A" w14:paraId="1931A58A" w14:textId="77777777" w:rsidTr="004A3257">
        <w:trPr>
          <w:trHeight w:val="20"/>
        </w:trPr>
        <w:tc>
          <w:tcPr>
            <w:tcW w:w="2198" w:type="dxa"/>
          </w:tcPr>
          <w:p w14:paraId="4A404945"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1F47C651"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4" w:type="dxa"/>
            <w:gridSpan w:val="5"/>
          </w:tcPr>
          <w:p w14:paraId="1F8FDAA2" w14:textId="7742F1E5" w:rsidR="00835192" w:rsidRPr="00FF756A" w:rsidRDefault="00835192" w:rsidP="00835192">
            <w:pPr>
              <w:spacing w:before="20" w:after="20" w:line="240" w:lineRule="auto"/>
              <w:rPr>
                <w:i/>
                <w:iCs/>
                <w:sz w:val="20"/>
                <w:szCs w:val="20"/>
              </w:rPr>
            </w:pPr>
            <w:r w:rsidRPr="00FF756A">
              <w:rPr>
                <w:i/>
                <w:iCs/>
                <w:sz w:val="20"/>
                <w:szCs w:val="20"/>
              </w:rPr>
              <w:t>Bashkitë</w:t>
            </w:r>
            <w:r w:rsidR="006D214D" w:rsidRPr="00FF756A">
              <w:rPr>
                <w:i/>
                <w:iCs/>
                <w:sz w:val="20"/>
                <w:szCs w:val="20"/>
              </w:rPr>
              <w:t>,</w:t>
            </w:r>
            <w:r w:rsidRPr="00FF756A">
              <w:rPr>
                <w:i/>
                <w:iCs/>
                <w:sz w:val="20"/>
                <w:szCs w:val="20"/>
              </w:rPr>
              <w:t xml:space="preserve"> shoqatat rajonale, Ministria e Infrastrukturës dhe Energjisë </w:t>
            </w:r>
          </w:p>
          <w:p w14:paraId="6CC33E15"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w:t>
            </w:r>
          </w:p>
        </w:tc>
      </w:tr>
      <w:tr w:rsidR="00835192" w:rsidRPr="00FF756A" w14:paraId="61A9EFDF" w14:textId="77777777" w:rsidTr="004A3257">
        <w:trPr>
          <w:trHeight w:val="20"/>
        </w:trPr>
        <w:tc>
          <w:tcPr>
            <w:tcW w:w="2198" w:type="dxa"/>
          </w:tcPr>
          <w:p w14:paraId="20A866FE"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4" w:type="dxa"/>
            <w:gridSpan w:val="5"/>
          </w:tcPr>
          <w:p w14:paraId="7783D92A" w14:textId="77777777" w:rsidR="00835192" w:rsidRPr="00FF756A" w:rsidRDefault="00835192" w:rsidP="00835192">
            <w:pPr>
              <w:spacing w:before="20" w:after="20" w:line="240" w:lineRule="auto"/>
              <w:rPr>
                <w:i/>
                <w:iCs/>
                <w:sz w:val="20"/>
                <w:szCs w:val="20"/>
              </w:rPr>
            </w:pPr>
            <w:r w:rsidRPr="00FF756A">
              <w:rPr>
                <w:i/>
                <w:iCs/>
                <w:sz w:val="20"/>
                <w:szCs w:val="20"/>
              </w:rPr>
              <w:t xml:space="preserve">Marrëdhënia me PM-në e mëposhtme: </w:t>
            </w:r>
          </w:p>
          <w:p w14:paraId="182F179F" w14:textId="77777777" w:rsidR="00835192" w:rsidRPr="00FF756A" w:rsidRDefault="00835192" w:rsidP="00835192">
            <w:pPr>
              <w:spacing w:before="20" w:after="20" w:line="240" w:lineRule="auto"/>
              <w:rPr>
                <w:i/>
                <w:iCs/>
                <w:sz w:val="20"/>
                <w:szCs w:val="20"/>
              </w:rPr>
            </w:pPr>
            <w:r w:rsidRPr="00FF756A">
              <w:rPr>
                <w:i/>
                <w:iCs/>
                <w:sz w:val="20"/>
                <w:szCs w:val="20"/>
              </w:rPr>
              <w:t>EE-L2: Plani afatgjatë i rinovimit të ndërtesave (për ndërtesat publike dhe private) sipas riformulimit të EPBD-së në vitin 2024</w:t>
            </w:r>
          </w:p>
        </w:tc>
      </w:tr>
    </w:tbl>
    <w:p w14:paraId="4F64384B" w14:textId="77777777" w:rsidR="00835192" w:rsidRPr="00FF756A" w:rsidRDefault="00835192" w:rsidP="00835192"/>
    <w:p w14:paraId="52D07FDE" w14:textId="77777777" w:rsidR="00835192" w:rsidRPr="00FF756A" w:rsidRDefault="00835192" w:rsidP="00835192">
      <w:pPr>
        <w:spacing w:before="0" w:after="0" w:line="240" w:lineRule="auto"/>
        <w:jc w:val="left"/>
      </w:pPr>
      <w:r w:rsidRPr="00FF756A">
        <w:br w:type="page"/>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1"/>
        <w:gridCol w:w="1279"/>
        <w:gridCol w:w="600"/>
        <w:gridCol w:w="430"/>
        <w:gridCol w:w="3679"/>
        <w:gridCol w:w="883"/>
      </w:tblGrid>
      <w:tr w:rsidR="00835192" w:rsidRPr="00FF756A" w14:paraId="44F0C473" w14:textId="77777777" w:rsidTr="004A3257">
        <w:trPr>
          <w:trHeight w:val="20"/>
        </w:trPr>
        <w:tc>
          <w:tcPr>
            <w:tcW w:w="4523" w:type="dxa"/>
            <w:gridSpan w:val="4"/>
            <w:shd w:val="clear" w:color="auto" w:fill="FFF2CC" w:themeFill="accent4" w:themeFillTint="33"/>
          </w:tcPr>
          <w:p w14:paraId="23C653B2"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Dimensioni i energjisë</w:t>
            </w:r>
          </w:p>
        </w:tc>
        <w:tc>
          <w:tcPr>
            <w:tcW w:w="4549" w:type="dxa"/>
            <w:gridSpan w:val="2"/>
            <w:shd w:val="clear" w:color="auto" w:fill="FFF2CC" w:themeFill="accent4" w:themeFillTint="33"/>
          </w:tcPr>
          <w:p w14:paraId="0A85AAA9" w14:textId="77777777" w:rsidR="00835192" w:rsidRPr="00FF756A" w:rsidRDefault="00835192" w:rsidP="008639B2">
            <w:pPr>
              <w:numPr>
                <w:ilvl w:val="0"/>
                <w:numId w:val="98"/>
              </w:numPr>
              <w:spacing w:before="20" w:after="20" w:line="240" w:lineRule="auto"/>
              <w:contextualSpacing/>
              <w:rPr>
                <w:i/>
                <w:iCs/>
                <w:sz w:val="20"/>
                <w:szCs w:val="20"/>
              </w:rPr>
            </w:pPr>
            <w:r w:rsidRPr="00FF756A">
              <w:rPr>
                <w:i/>
                <w:iCs/>
                <w:sz w:val="20"/>
                <w:szCs w:val="20"/>
              </w:rPr>
              <w:t>Efiçenca e energjisë</w:t>
            </w:r>
          </w:p>
        </w:tc>
      </w:tr>
      <w:tr w:rsidR="00835192" w:rsidRPr="00FF756A" w14:paraId="0D05E3FF" w14:textId="77777777" w:rsidTr="004A3257">
        <w:trPr>
          <w:trHeight w:val="20"/>
        </w:trPr>
        <w:tc>
          <w:tcPr>
            <w:tcW w:w="4091" w:type="dxa"/>
            <w:gridSpan w:val="3"/>
            <w:shd w:val="clear" w:color="auto" w:fill="FFF2CC" w:themeFill="accent4" w:themeFillTint="33"/>
          </w:tcPr>
          <w:p w14:paraId="63AD4C50"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81" w:type="dxa"/>
            <w:gridSpan w:val="3"/>
            <w:shd w:val="clear" w:color="auto" w:fill="FFF2CC" w:themeFill="accent4" w:themeFillTint="33"/>
          </w:tcPr>
          <w:p w14:paraId="0A557F6B" w14:textId="77777777" w:rsidR="00835192" w:rsidRPr="00FF756A" w:rsidRDefault="00835192" w:rsidP="00835192">
            <w:pPr>
              <w:spacing w:before="20" w:after="20" w:line="240" w:lineRule="auto"/>
              <w:rPr>
                <w:i/>
                <w:iCs/>
                <w:sz w:val="20"/>
                <w:szCs w:val="20"/>
              </w:rPr>
            </w:pPr>
            <w:r w:rsidRPr="00FF756A">
              <w:rPr>
                <w:i/>
                <w:iCs/>
                <w:sz w:val="20"/>
                <w:szCs w:val="20"/>
              </w:rPr>
              <w:t>Efiçenca e energjisë së ndërtesave</w:t>
            </w:r>
          </w:p>
        </w:tc>
      </w:tr>
      <w:tr w:rsidR="00835192" w:rsidRPr="00FF756A" w14:paraId="2C190A57" w14:textId="77777777" w:rsidTr="004A3257">
        <w:trPr>
          <w:trHeight w:val="20"/>
        </w:trPr>
        <w:tc>
          <w:tcPr>
            <w:tcW w:w="3487" w:type="dxa"/>
            <w:gridSpan w:val="2"/>
          </w:tcPr>
          <w:p w14:paraId="360862FD"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7ACA43F8"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5" w:type="dxa"/>
            <w:gridSpan w:val="4"/>
          </w:tcPr>
          <w:p w14:paraId="3C9E8CE9" w14:textId="77777777" w:rsidR="00835192" w:rsidRPr="00FF756A" w:rsidRDefault="00835192" w:rsidP="00835192">
            <w:pPr>
              <w:spacing w:before="20" w:after="20" w:line="240" w:lineRule="auto"/>
              <w:rPr>
                <w:i/>
                <w:iCs/>
                <w:sz w:val="20"/>
                <w:szCs w:val="20"/>
              </w:rPr>
            </w:pPr>
            <w:r w:rsidRPr="00FF756A">
              <w:rPr>
                <w:i/>
                <w:iCs/>
                <w:sz w:val="20"/>
                <w:szCs w:val="20"/>
              </w:rPr>
              <w:t>WAM</w:t>
            </w:r>
          </w:p>
          <w:p w14:paraId="29909E63"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777E702D" w14:textId="77777777" w:rsidTr="004A3257">
        <w:trPr>
          <w:trHeight w:val="20"/>
        </w:trPr>
        <w:tc>
          <w:tcPr>
            <w:tcW w:w="2200" w:type="dxa"/>
          </w:tcPr>
          <w:p w14:paraId="57AE854B"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5D3C7858"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2" w:type="dxa"/>
            <w:gridSpan w:val="5"/>
          </w:tcPr>
          <w:p w14:paraId="73E1A999" w14:textId="77777777" w:rsidR="00835192" w:rsidRPr="00FF756A" w:rsidRDefault="00835192" w:rsidP="00835192">
            <w:pPr>
              <w:spacing w:before="20" w:after="20" w:line="240" w:lineRule="auto"/>
              <w:rPr>
                <w:i/>
                <w:iCs/>
                <w:sz w:val="20"/>
                <w:szCs w:val="20"/>
              </w:rPr>
            </w:pPr>
            <w:bookmarkStart w:id="396" w:name="_Hlk178254912"/>
            <w:r w:rsidRPr="00FF756A">
              <w:rPr>
                <w:i/>
                <w:iCs/>
                <w:sz w:val="20"/>
                <w:szCs w:val="20"/>
              </w:rPr>
              <w:t>Zbatimi i kërkesave minimale të performancës së energjisë në ndërtesa</w:t>
            </w:r>
          </w:p>
          <w:p w14:paraId="3334466C" w14:textId="77777777" w:rsidR="00835192" w:rsidRPr="00FF756A" w:rsidRDefault="00835192" w:rsidP="00835192">
            <w:pPr>
              <w:spacing w:before="20" w:after="20" w:line="240" w:lineRule="auto"/>
              <w:rPr>
                <w:i/>
                <w:iCs/>
                <w:sz w:val="20"/>
                <w:szCs w:val="20"/>
              </w:rPr>
            </w:pPr>
            <w:r w:rsidRPr="00FF756A">
              <w:rPr>
                <w:i/>
                <w:iCs/>
                <w:sz w:val="20"/>
                <w:szCs w:val="20"/>
              </w:rPr>
              <w:t>(EE-L1)</w:t>
            </w:r>
            <w:bookmarkEnd w:id="396"/>
          </w:p>
        </w:tc>
      </w:tr>
      <w:tr w:rsidR="00835192" w:rsidRPr="00FF756A" w14:paraId="51EE540F" w14:textId="77777777" w:rsidTr="004A3257">
        <w:trPr>
          <w:trHeight w:val="20"/>
        </w:trPr>
        <w:tc>
          <w:tcPr>
            <w:tcW w:w="2200" w:type="dxa"/>
          </w:tcPr>
          <w:p w14:paraId="48A27179"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2" w:type="dxa"/>
            <w:gridSpan w:val="5"/>
          </w:tcPr>
          <w:p w14:paraId="1AE80401" w14:textId="77777777" w:rsidR="00835192" w:rsidRPr="00FF756A" w:rsidRDefault="00835192" w:rsidP="00835192">
            <w:pPr>
              <w:spacing w:before="20" w:after="20" w:line="240" w:lineRule="auto"/>
              <w:rPr>
                <w:i/>
                <w:iCs/>
                <w:sz w:val="20"/>
                <w:szCs w:val="20"/>
              </w:rPr>
            </w:pPr>
            <w:r w:rsidRPr="00FF756A">
              <w:rPr>
                <w:i/>
                <w:iCs/>
                <w:sz w:val="20"/>
                <w:szCs w:val="20"/>
              </w:rPr>
              <w:t>2020 dhe në vazhdim</w:t>
            </w:r>
          </w:p>
        </w:tc>
      </w:tr>
      <w:tr w:rsidR="00835192" w:rsidRPr="00FF756A" w14:paraId="6A97B9A0" w14:textId="77777777" w:rsidTr="004A3257">
        <w:trPr>
          <w:trHeight w:val="20"/>
        </w:trPr>
        <w:tc>
          <w:tcPr>
            <w:tcW w:w="2200" w:type="dxa"/>
          </w:tcPr>
          <w:p w14:paraId="3F1B980B"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2" w:type="dxa"/>
            <w:gridSpan w:val="5"/>
          </w:tcPr>
          <w:p w14:paraId="20A4BA9C" w14:textId="77777777" w:rsidR="00835192" w:rsidRPr="00FF756A" w:rsidRDefault="00835192" w:rsidP="00835192">
            <w:pPr>
              <w:spacing w:before="20" w:after="20" w:line="240" w:lineRule="auto"/>
              <w:rPr>
                <w:i/>
                <w:iCs/>
                <w:sz w:val="20"/>
                <w:szCs w:val="20"/>
              </w:rPr>
            </w:pPr>
            <w:r w:rsidRPr="00FF756A">
              <w:rPr>
                <w:i/>
                <w:iCs/>
                <w:sz w:val="20"/>
                <w:szCs w:val="20"/>
              </w:rPr>
              <w:t>Ligji nr. 116/2016, datë 10.11.2016, “Për performancën e energjisë së ndërtesave”</w:t>
            </w:r>
          </w:p>
        </w:tc>
      </w:tr>
      <w:tr w:rsidR="00835192" w:rsidRPr="00FF756A" w14:paraId="667529FC" w14:textId="77777777" w:rsidTr="004A3257">
        <w:trPr>
          <w:trHeight w:val="20"/>
        </w:trPr>
        <w:tc>
          <w:tcPr>
            <w:tcW w:w="2200" w:type="dxa"/>
          </w:tcPr>
          <w:p w14:paraId="59B92FDA"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2" w:type="dxa"/>
            <w:gridSpan w:val="5"/>
          </w:tcPr>
          <w:p w14:paraId="306D9A49" w14:textId="77777777" w:rsidR="00835192" w:rsidRPr="00FF756A" w:rsidRDefault="00835192" w:rsidP="008639B2">
            <w:pPr>
              <w:numPr>
                <w:ilvl w:val="0"/>
                <w:numId w:val="131"/>
              </w:numPr>
              <w:spacing w:before="20" w:after="20" w:line="240" w:lineRule="auto"/>
              <w:contextualSpacing/>
              <w:rPr>
                <w:i/>
                <w:iCs/>
                <w:sz w:val="20"/>
                <w:szCs w:val="20"/>
              </w:rPr>
            </w:pPr>
            <w:r w:rsidRPr="00FF756A">
              <w:rPr>
                <w:i/>
                <w:iCs/>
                <w:sz w:val="20"/>
                <w:szCs w:val="20"/>
              </w:rPr>
              <w:t xml:space="preserve">Miratimi i legjislacionit përkatës për zbatimin e kërkesave minimale të performancës së energjisë në ndërtesa dhe lëshimin e </w:t>
            </w:r>
            <w:bookmarkStart w:id="397" w:name="_Hlk178252168"/>
            <w:r w:rsidRPr="00FF756A">
              <w:rPr>
                <w:i/>
                <w:iCs/>
                <w:sz w:val="20"/>
                <w:szCs w:val="20"/>
              </w:rPr>
              <w:t>certifikatës së performancës së energjisë (CPE)</w:t>
            </w:r>
          </w:p>
          <w:bookmarkEnd w:id="397"/>
          <w:p w14:paraId="77C49F0F" w14:textId="77777777" w:rsidR="00835192" w:rsidRPr="00FF756A" w:rsidRDefault="00835192" w:rsidP="008639B2">
            <w:pPr>
              <w:numPr>
                <w:ilvl w:val="1"/>
                <w:numId w:val="131"/>
              </w:numPr>
              <w:spacing w:before="20" w:after="20" w:line="240" w:lineRule="auto"/>
              <w:contextualSpacing/>
              <w:rPr>
                <w:i/>
                <w:iCs/>
                <w:sz w:val="20"/>
                <w:szCs w:val="20"/>
              </w:rPr>
            </w:pPr>
            <w:r w:rsidRPr="00FF756A">
              <w:rPr>
                <w:i/>
                <w:iCs/>
                <w:sz w:val="20"/>
                <w:szCs w:val="20"/>
              </w:rPr>
              <w:t>VKM nr. 537, datë 8.7.2020, “Për miratimin e kërkesave minimale të performancës së energjisë së ndërtesave dhe të elementeve të ndërtesave”;</w:t>
            </w:r>
          </w:p>
          <w:p w14:paraId="4D16F9A9" w14:textId="77777777" w:rsidR="00835192" w:rsidRPr="00FF756A" w:rsidRDefault="00835192" w:rsidP="008639B2">
            <w:pPr>
              <w:numPr>
                <w:ilvl w:val="1"/>
                <w:numId w:val="134"/>
              </w:numPr>
              <w:spacing w:before="20" w:after="20" w:line="240" w:lineRule="auto"/>
              <w:contextualSpacing/>
              <w:rPr>
                <w:i/>
                <w:iCs/>
                <w:sz w:val="20"/>
                <w:szCs w:val="20"/>
              </w:rPr>
            </w:pPr>
            <w:r w:rsidRPr="00FF756A">
              <w:rPr>
                <w:i/>
                <w:iCs/>
                <w:sz w:val="20"/>
                <w:szCs w:val="20"/>
              </w:rPr>
              <w:t>VKM nr.958, datë 2.12.2020, “Për miratimin e procedurave e të kushteve të certifikimit të performancës së energjisë së ndërtesave dhe të modelit, përmbajtjes e kushteve të regjistrimit të “Certifikatës së performancës së energjisë së ndërtesave”;</w:t>
            </w:r>
          </w:p>
          <w:p w14:paraId="0574A1F0" w14:textId="77777777" w:rsidR="00835192" w:rsidRPr="00FF756A" w:rsidRDefault="00835192" w:rsidP="008639B2">
            <w:pPr>
              <w:numPr>
                <w:ilvl w:val="0"/>
                <w:numId w:val="131"/>
              </w:numPr>
              <w:spacing w:before="20" w:after="20" w:line="240" w:lineRule="auto"/>
              <w:contextualSpacing/>
              <w:rPr>
                <w:i/>
                <w:iCs/>
                <w:sz w:val="20"/>
                <w:szCs w:val="20"/>
              </w:rPr>
            </w:pPr>
            <w:r w:rsidRPr="00FF756A">
              <w:rPr>
                <w:i/>
                <w:iCs/>
                <w:sz w:val="20"/>
                <w:szCs w:val="20"/>
              </w:rPr>
              <w:t>Krijimi i sistemit operacional për certifikimin e performancës së energjisë; Lëshimi i mbi 40 000 raporte auditi që nga krijimi i tij.</w:t>
            </w:r>
          </w:p>
        </w:tc>
      </w:tr>
      <w:tr w:rsidR="00835192" w:rsidRPr="00FF756A" w14:paraId="6CCF8834" w14:textId="77777777" w:rsidTr="004A3257">
        <w:trPr>
          <w:trHeight w:val="20"/>
        </w:trPr>
        <w:tc>
          <w:tcPr>
            <w:tcW w:w="2200" w:type="dxa"/>
          </w:tcPr>
          <w:p w14:paraId="37D8926C"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2" w:type="dxa"/>
            <w:gridSpan w:val="5"/>
          </w:tcPr>
          <w:p w14:paraId="0A7605F7" w14:textId="77777777" w:rsidR="00835192" w:rsidRPr="00FF756A" w:rsidRDefault="00835192" w:rsidP="00835192">
            <w:pPr>
              <w:spacing w:before="20" w:after="20" w:line="240" w:lineRule="auto"/>
              <w:rPr>
                <w:i/>
                <w:iCs/>
                <w:sz w:val="20"/>
                <w:szCs w:val="20"/>
              </w:rPr>
            </w:pPr>
            <w:r w:rsidRPr="00FF756A">
              <w:rPr>
                <w:i/>
                <w:iCs/>
                <w:sz w:val="20"/>
                <w:szCs w:val="20"/>
              </w:rPr>
              <w:t>Zbatimi i PM në fjalë përbën një nxitës tepër të rëndësishëm për arritjen e niveleve optimale (të realizueshme nga aspekti teknik, funksional dhe ekonomik) të konsumit të energjisë në ndërtesa dhe në njësitë e ndërtesave.</w:t>
            </w:r>
          </w:p>
        </w:tc>
      </w:tr>
      <w:tr w:rsidR="00835192" w:rsidRPr="00FF756A" w14:paraId="69C232CE" w14:textId="77777777" w:rsidTr="004A3257">
        <w:trPr>
          <w:trHeight w:val="20"/>
        </w:trPr>
        <w:tc>
          <w:tcPr>
            <w:tcW w:w="2200" w:type="dxa"/>
          </w:tcPr>
          <w:p w14:paraId="70A92AEC"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2" w:type="dxa"/>
            <w:gridSpan w:val="5"/>
          </w:tcPr>
          <w:p w14:paraId="24E09FA4" w14:textId="77777777" w:rsidR="00835192" w:rsidRPr="00FF756A" w:rsidRDefault="00835192" w:rsidP="00835192">
            <w:pPr>
              <w:spacing w:before="20" w:after="20" w:line="240" w:lineRule="auto"/>
              <w:rPr>
                <w:i/>
                <w:iCs/>
                <w:sz w:val="20"/>
                <w:szCs w:val="20"/>
              </w:rPr>
            </w:pPr>
            <w:r w:rsidRPr="00FF756A">
              <w:rPr>
                <w:i/>
                <w:iCs/>
                <w:sz w:val="20"/>
                <w:szCs w:val="20"/>
              </w:rPr>
              <w:t>Caktimi i kërkesave minimale të performancës së energjisë për:</w:t>
            </w:r>
          </w:p>
          <w:p w14:paraId="58590C73" w14:textId="5E46D9BF"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Vlerësimi i kursimeve të energjisë në ndërtesat rezidenciale dhe jorezidenciale të sapondërtuara, me anë të përdorimit të </w:t>
            </w:r>
            <w:r w:rsidR="00471BD6" w:rsidRPr="00FF756A">
              <w:rPr>
                <w:i/>
                <w:iCs/>
                <w:sz w:val="20"/>
                <w:szCs w:val="20"/>
              </w:rPr>
              <w:t xml:space="preserve">shtresës </w:t>
            </w:r>
            <w:r w:rsidRPr="00FF756A">
              <w:rPr>
                <w:i/>
                <w:iCs/>
                <w:sz w:val="20"/>
                <w:szCs w:val="20"/>
              </w:rPr>
              <w:t xml:space="preserve"> termik</w:t>
            </w:r>
            <w:r w:rsidR="00D66782" w:rsidRPr="00FF756A">
              <w:rPr>
                <w:i/>
                <w:iCs/>
                <w:sz w:val="20"/>
                <w:szCs w:val="20"/>
              </w:rPr>
              <w:t>e</w:t>
            </w:r>
          </w:p>
          <w:p w14:paraId="6B3F889E" w14:textId="5F1C6274"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Vlerësimi i kursimit të energjisë në ndërtesat (ekzistuese) rezidenciale dhe jorezidenciale të restauruara (të rikonstruktuara), me anë të përdorimit të </w:t>
            </w:r>
            <w:r w:rsidR="00D66782" w:rsidRPr="00FF756A">
              <w:rPr>
                <w:i/>
                <w:iCs/>
                <w:sz w:val="20"/>
                <w:szCs w:val="20"/>
              </w:rPr>
              <w:t xml:space="preserve">shtresës </w:t>
            </w:r>
            <w:r w:rsidRPr="00FF756A">
              <w:rPr>
                <w:i/>
                <w:iCs/>
                <w:sz w:val="20"/>
                <w:szCs w:val="20"/>
              </w:rPr>
              <w:t xml:space="preserve"> termik</w:t>
            </w:r>
            <w:r w:rsidR="00D66782" w:rsidRPr="00FF756A">
              <w:rPr>
                <w:i/>
                <w:iCs/>
                <w:sz w:val="20"/>
                <w:szCs w:val="20"/>
              </w:rPr>
              <w:t>e</w:t>
            </w:r>
            <w:r w:rsidRPr="00FF756A">
              <w:rPr>
                <w:i/>
                <w:iCs/>
                <w:sz w:val="20"/>
                <w:szCs w:val="20"/>
              </w:rPr>
              <w:t>, pa ndryshim të sistemit të ngrohjes</w:t>
            </w:r>
          </w:p>
          <w:p w14:paraId="7F69045D" w14:textId="5EF9F5D3"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Rikonstruksioni i përgjithshëm i </w:t>
            </w:r>
            <w:r w:rsidR="00D66782" w:rsidRPr="00FF756A">
              <w:rPr>
                <w:i/>
                <w:iCs/>
                <w:sz w:val="20"/>
                <w:szCs w:val="20"/>
              </w:rPr>
              <w:t>shtresës</w:t>
            </w:r>
            <w:r w:rsidRPr="00FF756A">
              <w:rPr>
                <w:i/>
                <w:iCs/>
                <w:sz w:val="20"/>
                <w:szCs w:val="20"/>
              </w:rPr>
              <w:t xml:space="preserve"> termik</w:t>
            </w:r>
            <w:r w:rsidR="00D66782" w:rsidRPr="00FF756A">
              <w:rPr>
                <w:i/>
                <w:iCs/>
                <w:sz w:val="20"/>
                <w:szCs w:val="20"/>
              </w:rPr>
              <w:t>e</w:t>
            </w:r>
            <w:r w:rsidRPr="00FF756A">
              <w:rPr>
                <w:i/>
                <w:iCs/>
                <w:sz w:val="20"/>
                <w:szCs w:val="20"/>
              </w:rPr>
              <w:t xml:space="preserve"> të ndërtesave ekzistuese rezidenciale dhe jorezidenciale dhe rikonstruksioni i sistemit të ngrohjes </w:t>
            </w:r>
          </w:p>
          <w:p w14:paraId="7AD9646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Përmirësimi i efiçencës termike përmes ndërhyrjeve specifike në elemente të veçanta të ndërtesës  </w:t>
            </w:r>
          </w:p>
          <w:p w14:paraId="00EEF1E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Lëshimi i certifikatës së performancës së energjisë</w:t>
            </w:r>
          </w:p>
        </w:tc>
      </w:tr>
      <w:tr w:rsidR="00835192" w:rsidRPr="00FF756A" w14:paraId="45ADAB15" w14:textId="77777777" w:rsidTr="004A3257">
        <w:trPr>
          <w:trHeight w:val="20"/>
        </w:trPr>
        <w:tc>
          <w:tcPr>
            <w:tcW w:w="2200" w:type="dxa"/>
          </w:tcPr>
          <w:p w14:paraId="5A240285"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2" w:type="dxa"/>
            <w:gridSpan w:val="4"/>
          </w:tcPr>
          <w:p w14:paraId="32818D0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Zbatimi i VKM nr.1049, datë 24.12.2020, “Për metodologjinë kombëtare të llogaritjes së performancës së energjisë në ndërtesa” me anë të softuerëve të miratuar.</w:t>
            </w:r>
          </w:p>
          <w:p w14:paraId="2F0BD774"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Zbatimi i VKM nr. 958, datë 02.12.2020, “Për miratimin e procedurave e të kushteve të certifikimit të performancës së energjisë së ndërtesave dhe të modelit, përmbajtjes e kushteve të regjistrimit të “certifikatës së performancës së energjisë së ndërtesave”:</w:t>
            </w:r>
          </w:p>
          <w:p w14:paraId="7455406C" w14:textId="77777777" w:rsidR="00835192" w:rsidRPr="00FF756A" w:rsidRDefault="00835192" w:rsidP="008639B2">
            <w:pPr>
              <w:numPr>
                <w:ilvl w:val="1"/>
                <w:numId w:val="71"/>
              </w:numPr>
              <w:spacing w:before="20" w:after="20" w:line="240" w:lineRule="auto"/>
              <w:ind w:left="1040" w:hanging="283"/>
              <w:contextualSpacing/>
              <w:rPr>
                <w:i/>
                <w:iCs/>
                <w:sz w:val="20"/>
                <w:szCs w:val="20"/>
              </w:rPr>
            </w:pPr>
            <w:r w:rsidRPr="00FF756A">
              <w:rPr>
                <w:i/>
                <w:iCs/>
                <w:sz w:val="20"/>
                <w:szCs w:val="20"/>
              </w:rPr>
              <w:t>Lëshimi i certifikatave të performancës së energjisë së ndërtesave (CPE) për: (i) të gjitha ndërtesat apo njësitë e ndërtesave që do të shiten ose do të lëshohen me qira; (ii) të gjitha ndërtesat që do të ndërtohen ose do t'i nënshtrohen një rinovimi të konsiderueshëm; (iii) të gjitha ndërtesat në përdorim nga një autoritet publik ose nga institucione që ofrojnë shërbime publike dhe që vizitohen shpesh nga publiku, me një sipërfaqe të shfrytëzueshme prej 250 m</w:t>
            </w:r>
            <w:r w:rsidRPr="00FF756A">
              <w:rPr>
                <w:i/>
                <w:iCs/>
                <w:sz w:val="20"/>
                <w:szCs w:val="20"/>
                <w:vertAlign w:val="superscript"/>
              </w:rPr>
              <w:t>2</w:t>
            </w:r>
            <w:r w:rsidRPr="00FF756A">
              <w:rPr>
                <w:i/>
                <w:iCs/>
                <w:sz w:val="20"/>
                <w:szCs w:val="20"/>
              </w:rPr>
              <w:t>; (iv) Kur një ndërtesë ose njësi ndërtese shitet apo lëshohet me qira përpara përfundimit të ndërtimit, pronari i saj duhet t’i pajisë këto ndërtesa apo njësi ndërtesash me certifikata të përkohshme të performancës së energjisë që gjatë fazës së projektimit.</w:t>
            </w:r>
          </w:p>
          <w:p w14:paraId="059573C9" w14:textId="77777777" w:rsidR="00835192" w:rsidRPr="00FF756A" w:rsidRDefault="00835192" w:rsidP="008639B2">
            <w:pPr>
              <w:numPr>
                <w:ilvl w:val="1"/>
                <w:numId w:val="71"/>
              </w:numPr>
              <w:spacing w:before="20" w:after="20" w:line="240" w:lineRule="auto"/>
              <w:ind w:left="1040" w:hanging="283"/>
              <w:contextualSpacing/>
              <w:rPr>
                <w:i/>
                <w:iCs/>
                <w:sz w:val="20"/>
                <w:szCs w:val="20"/>
              </w:rPr>
            </w:pPr>
            <w:r w:rsidRPr="00FF756A">
              <w:rPr>
                <w:i/>
                <w:iCs/>
                <w:sz w:val="20"/>
                <w:szCs w:val="20"/>
              </w:rPr>
              <w:lastRenderedPageBreak/>
              <w:t>Zbatimi i VKM nr. 934, datë 25.11.2020 “Për miratimin e kritereve dhe të procedurave për mënyrën e përzgjedhjes dhe sasinë e certifikatave që do të verifikohen, si dhe procesi i mbikëqyrjes së certifikatave të performancës së energjisë në ndërtesa” (sistemi i pavarur i kontrollit)</w:t>
            </w:r>
          </w:p>
          <w:p w14:paraId="5187A5EF" w14:textId="77777777" w:rsidR="00835192" w:rsidRPr="00FF756A" w:rsidRDefault="00835192" w:rsidP="008639B2">
            <w:pPr>
              <w:numPr>
                <w:ilvl w:val="1"/>
                <w:numId w:val="71"/>
              </w:numPr>
              <w:spacing w:before="20" w:after="20" w:line="240" w:lineRule="auto"/>
              <w:ind w:left="1040" w:hanging="283"/>
              <w:contextualSpacing/>
              <w:rPr>
                <w:i/>
                <w:iCs/>
                <w:sz w:val="20"/>
                <w:szCs w:val="20"/>
              </w:rPr>
            </w:pPr>
            <w:r w:rsidRPr="00FF756A">
              <w:rPr>
                <w:i/>
                <w:iCs/>
                <w:sz w:val="20"/>
                <w:szCs w:val="20"/>
              </w:rPr>
              <w:t>Zbatimi i VKM nr. 537, datë 08.07.2020, “Për miratimin e kërkesave minimale të performancës së energjisë së ndërtesave dhe të elementeve të ndërtesave”;</w:t>
            </w:r>
          </w:p>
          <w:p w14:paraId="5BF59957" w14:textId="77777777" w:rsidR="00835192" w:rsidRPr="00FF756A" w:rsidRDefault="00835192" w:rsidP="008639B2">
            <w:pPr>
              <w:numPr>
                <w:ilvl w:val="1"/>
                <w:numId w:val="71"/>
              </w:numPr>
              <w:spacing w:before="20" w:after="20" w:line="240" w:lineRule="auto"/>
              <w:ind w:left="1040" w:hanging="283"/>
              <w:contextualSpacing/>
              <w:rPr>
                <w:i/>
                <w:iCs/>
                <w:sz w:val="20"/>
                <w:szCs w:val="20"/>
              </w:rPr>
            </w:pPr>
            <w:r w:rsidRPr="00FF756A">
              <w:rPr>
                <w:i/>
                <w:iCs/>
                <w:sz w:val="20"/>
                <w:szCs w:val="20"/>
              </w:rPr>
              <w:t>Nga viti 2021 e në vazhdim, të gjitha ndërtesat e reja duhet të plotësojnë kriteret e ndërtesave me “pothuajse zero konsum energjie”.</w:t>
            </w:r>
          </w:p>
          <w:p w14:paraId="78087E70" w14:textId="77777777" w:rsidR="00835192" w:rsidRPr="00FF756A" w:rsidRDefault="00835192" w:rsidP="00835192">
            <w:pPr>
              <w:spacing w:before="20" w:after="20" w:line="240" w:lineRule="auto"/>
              <w:rPr>
                <w:i/>
                <w:iCs/>
                <w:sz w:val="20"/>
                <w:szCs w:val="20"/>
              </w:rPr>
            </w:pPr>
            <w:r w:rsidRPr="00FF756A">
              <w:rPr>
                <w:i/>
                <w:iCs/>
                <w:sz w:val="20"/>
                <w:szCs w:val="20"/>
              </w:rPr>
              <w:t xml:space="preserve">Krijimi i bazës së të dhënave të CPE: </w:t>
            </w:r>
          </w:p>
          <w:p w14:paraId="78E774B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Lidhja e softuerit të miratuar për llogaritjen e CPE nëpërmjet XML me bazën e të dhënave; ngarkimi automatik (gjatë ekzekutimit të një kontrolli të automatizuar të besueshmërisë) i të dhënave të llogaritjes së CPE në bazën e të dhënave të CPE; planifikimi për Ndërfaqet e Programimit të Aplikacioneve për lidhjen e softuerëve të tjerë si GIS, për shfrytëzimin sa më të mirë të të dhënave</w:t>
            </w:r>
          </w:p>
          <w:p w14:paraId="62765FC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Baza e të dhënave të CPE përdoret për të administruar dhe vlerësuar të dhënat e CPE në mënyrë efektive pa mbingarkuar administratën </w:t>
            </w:r>
          </w:p>
          <w:p w14:paraId="724575D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Baza e të dhënave të CPE përdoret për zbatimin praktik të Sistemit të Pavarur të Kontrollit (sipas nenit 18 të EPBD-së) </w:t>
            </w:r>
          </w:p>
          <w:p w14:paraId="6DC782F0"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Së bashku me të dhënat GIS dhe socio-ekonomike (p.sh. mbi të ardhurat, papunësinë), baza e të dhënave të CPE përdoret për planifikimin e masave të synuara (dhe të subvencionuara) të rinovimit në shkallë të gjerë </w:t>
            </w:r>
          </w:p>
          <w:p w14:paraId="19F72182" w14:textId="77777777" w:rsidR="00835192" w:rsidRPr="00FF756A" w:rsidRDefault="00835192" w:rsidP="00835192">
            <w:pPr>
              <w:spacing w:before="20" w:after="20" w:line="240" w:lineRule="auto"/>
              <w:rPr>
                <w:i/>
                <w:iCs/>
                <w:sz w:val="20"/>
                <w:szCs w:val="20"/>
              </w:rPr>
            </w:pPr>
            <w:r w:rsidRPr="00FF756A">
              <w:rPr>
                <w:i/>
                <w:iCs/>
                <w:sz w:val="20"/>
                <w:szCs w:val="20"/>
              </w:rPr>
              <w:t xml:space="preserve">Ngritja e kapaciteteve dhe trajnimi: </w:t>
            </w:r>
          </w:p>
          <w:p w14:paraId="38CD367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Ngritja e kapaciteteve për autoritetin kompetent dhe audituesit energjetikë lidhur me zbatimin e legjislacionit dhe përdorimin e softuerëve për lëshimin e CPE-së</w:t>
            </w:r>
          </w:p>
          <w:p w14:paraId="33B0577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Ofrimi i kurseve bazë të trajnimit për ndërtesat rezidenciale dhe jorezidenciale, duke përfshirë provimet </w:t>
            </w:r>
          </w:p>
          <w:p w14:paraId="0F175176"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Ofrimi i kurseve për rinovimin e ndërtesave rezidenciale dhe jorezidenciale, duke përfshirë provimet </w:t>
            </w:r>
          </w:p>
          <w:p w14:paraId="0C9CD35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Vlerësimi dhe përshtatja e kurseve të trajnimit: baza e të dhënave të CPE ndihmon në identifikimin e gabimeve të shpeshta të cilat trajtohen gjatë trajnimeve; ajo gjithashtu ndihmon në identifikimin e audituesve të energjisë me CPE të papërshtatshme dhe vendosjen e sanksioneve për të siguruar cilësinë e CPE </w:t>
            </w:r>
          </w:p>
        </w:tc>
        <w:tc>
          <w:tcPr>
            <w:tcW w:w="850" w:type="dxa"/>
          </w:tcPr>
          <w:p w14:paraId="77638DC9" w14:textId="77777777" w:rsidR="00835192" w:rsidRPr="00FF756A" w:rsidRDefault="00835192" w:rsidP="00835192">
            <w:pPr>
              <w:spacing w:before="20" w:after="20" w:line="240" w:lineRule="auto"/>
              <w:jc w:val="left"/>
              <w:rPr>
                <w:i/>
                <w:iCs/>
                <w:sz w:val="20"/>
                <w:szCs w:val="20"/>
              </w:rPr>
            </w:pPr>
            <w:r w:rsidRPr="00FF756A">
              <w:rPr>
                <w:i/>
                <w:iCs/>
                <w:sz w:val="20"/>
                <w:szCs w:val="20"/>
              </w:rPr>
              <w:lastRenderedPageBreak/>
              <w:t>Nga viti 2020 e në vazhdim</w:t>
            </w:r>
            <w:r w:rsidRPr="00FF756A">
              <w:rPr>
                <w:i/>
                <w:iCs/>
                <w:sz w:val="20"/>
                <w:szCs w:val="20"/>
              </w:rPr>
              <w:br/>
            </w:r>
            <w:r w:rsidRPr="00FF756A">
              <w:rPr>
                <w:i/>
                <w:iCs/>
                <w:sz w:val="20"/>
                <w:szCs w:val="20"/>
              </w:rPr>
              <w:br/>
            </w:r>
          </w:p>
          <w:p w14:paraId="41433D2C" w14:textId="77777777" w:rsidR="00835192" w:rsidRPr="00FF756A" w:rsidRDefault="00835192" w:rsidP="00835192">
            <w:pPr>
              <w:spacing w:before="20" w:after="20" w:line="240" w:lineRule="auto"/>
              <w:jc w:val="left"/>
              <w:rPr>
                <w:i/>
                <w:iCs/>
                <w:sz w:val="20"/>
                <w:szCs w:val="20"/>
              </w:rPr>
            </w:pPr>
            <w:r w:rsidRPr="00FF756A">
              <w:rPr>
                <w:i/>
                <w:iCs/>
                <w:sz w:val="20"/>
                <w:szCs w:val="20"/>
              </w:rPr>
              <w:t>Nga viti 2020 e në vazhdim</w:t>
            </w:r>
            <w:r w:rsidRPr="00FF756A">
              <w:rPr>
                <w:i/>
                <w:iCs/>
                <w:sz w:val="20"/>
                <w:szCs w:val="20"/>
              </w:rPr>
              <w:br/>
            </w:r>
            <w:r w:rsidRPr="00FF756A">
              <w:rPr>
                <w:i/>
                <w:iCs/>
                <w:sz w:val="20"/>
                <w:szCs w:val="20"/>
              </w:rPr>
              <w:br/>
            </w:r>
            <w:r w:rsidRPr="00FF756A">
              <w:rPr>
                <w:i/>
                <w:iCs/>
                <w:sz w:val="20"/>
                <w:szCs w:val="20"/>
              </w:rPr>
              <w:br/>
            </w:r>
          </w:p>
          <w:p w14:paraId="4B8EA337" w14:textId="77777777" w:rsidR="00835192" w:rsidRPr="00FF756A" w:rsidRDefault="00835192" w:rsidP="00835192">
            <w:pPr>
              <w:spacing w:before="20" w:after="20" w:line="240" w:lineRule="auto"/>
              <w:rPr>
                <w:i/>
                <w:iCs/>
                <w:sz w:val="20"/>
                <w:szCs w:val="20"/>
              </w:rPr>
            </w:pP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lastRenderedPageBreak/>
              <w:br/>
            </w:r>
          </w:p>
          <w:p w14:paraId="3A1853D7" w14:textId="77777777" w:rsidR="00835192" w:rsidRPr="00FF756A" w:rsidRDefault="00835192" w:rsidP="00835192">
            <w:pPr>
              <w:spacing w:before="20" w:after="20" w:line="240" w:lineRule="auto"/>
              <w:rPr>
                <w:i/>
                <w:iCs/>
                <w:sz w:val="20"/>
                <w:szCs w:val="20"/>
              </w:rPr>
            </w:pPr>
            <w:r w:rsidRPr="00FF756A">
              <w:rPr>
                <w:i/>
                <w:iCs/>
                <w:sz w:val="20"/>
                <w:szCs w:val="20"/>
              </w:rPr>
              <w:br/>
            </w:r>
            <w:r w:rsidRPr="00FF756A">
              <w:rPr>
                <w:i/>
                <w:iCs/>
                <w:sz w:val="20"/>
                <w:szCs w:val="20"/>
              </w:rPr>
              <w:br/>
            </w:r>
            <w:r w:rsidRPr="00FF756A">
              <w:rPr>
                <w:i/>
                <w:iCs/>
                <w:sz w:val="20"/>
                <w:szCs w:val="20"/>
              </w:rPr>
              <w:br/>
            </w:r>
            <w:r w:rsidRPr="00FF756A">
              <w:rPr>
                <w:i/>
                <w:iCs/>
                <w:sz w:val="20"/>
                <w:szCs w:val="20"/>
              </w:rPr>
              <w:br/>
            </w:r>
          </w:p>
          <w:p w14:paraId="5255374C" w14:textId="77777777" w:rsidR="00835192" w:rsidRPr="00FF756A" w:rsidRDefault="00835192" w:rsidP="00835192">
            <w:pPr>
              <w:spacing w:before="20" w:after="20" w:line="240" w:lineRule="auto"/>
              <w:rPr>
                <w:i/>
                <w:iCs/>
                <w:sz w:val="20"/>
                <w:szCs w:val="20"/>
              </w:rPr>
            </w:pPr>
            <w:r w:rsidRPr="00FF756A">
              <w:rPr>
                <w:i/>
                <w:iCs/>
                <w:sz w:val="20"/>
                <w:szCs w:val="20"/>
              </w:rPr>
              <w:br/>
            </w:r>
            <w:r w:rsidRPr="00FF756A">
              <w:rPr>
                <w:i/>
                <w:iCs/>
                <w:sz w:val="20"/>
                <w:szCs w:val="20"/>
              </w:rPr>
              <w:br/>
            </w:r>
            <w:r w:rsidRPr="00FF756A">
              <w:rPr>
                <w:i/>
                <w:iCs/>
                <w:sz w:val="20"/>
                <w:szCs w:val="20"/>
              </w:rPr>
              <w:br/>
            </w:r>
            <w:r w:rsidRPr="00FF756A">
              <w:rPr>
                <w:i/>
                <w:iCs/>
                <w:sz w:val="20"/>
                <w:szCs w:val="20"/>
              </w:rPr>
              <w:br/>
            </w:r>
          </w:p>
          <w:p w14:paraId="2A37306F" w14:textId="77777777" w:rsidR="00835192" w:rsidRPr="00FF756A" w:rsidRDefault="00835192" w:rsidP="00835192">
            <w:pPr>
              <w:spacing w:before="20" w:after="20" w:line="240" w:lineRule="auto"/>
              <w:rPr>
                <w:i/>
                <w:iCs/>
                <w:sz w:val="20"/>
                <w:szCs w:val="20"/>
              </w:rPr>
            </w:pPr>
            <w:r w:rsidRPr="00FF756A">
              <w:rPr>
                <w:i/>
                <w:iCs/>
                <w:sz w:val="20"/>
                <w:szCs w:val="20"/>
              </w:rPr>
              <w:t>Nga viti 2023 e në vazhdim</w:t>
            </w:r>
          </w:p>
          <w:p w14:paraId="2249D34A" w14:textId="77777777" w:rsidR="00835192" w:rsidRPr="00FF756A" w:rsidRDefault="00835192" w:rsidP="00835192">
            <w:pPr>
              <w:spacing w:before="20" w:after="20" w:line="240" w:lineRule="auto"/>
              <w:rPr>
                <w:i/>
                <w:iCs/>
                <w:sz w:val="20"/>
                <w:szCs w:val="20"/>
                <w:highlight w:val="yellow"/>
              </w:rPr>
            </w:pPr>
          </w:p>
          <w:p w14:paraId="053B83DF" w14:textId="77777777" w:rsidR="00835192" w:rsidRPr="00FF756A" w:rsidRDefault="00835192" w:rsidP="00835192">
            <w:pPr>
              <w:spacing w:before="20" w:after="20" w:line="240" w:lineRule="auto"/>
              <w:rPr>
                <w:i/>
                <w:iCs/>
                <w:sz w:val="20"/>
                <w:szCs w:val="20"/>
                <w:highlight w:val="yellow"/>
              </w:rPr>
            </w:pPr>
          </w:p>
          <w:p w14:paraId="573EA826" w14:textId="77777777" w:rsidR="00835192" w:rsidRPr="00FF756A" w:rsidRDefault="00835192" w:rsidP="00835192">
            <w:pPr>
              <w:spacing w:before="20" w:after="20" w:line="240" w:lineRule="auto"/>
              <w:rPr>
                <w:i/>
                <w:iCs/>
                <w:sz w:val="20"/>
                <w:szCs w:val="20"/>
                <w:highlight w:val="yellow"/>
              </w:rPr>
            </w:pPr>
          </w:p>
          <w:p w14:paraId="19C5A51B" w14:textId="77777777" w:rsidR="00835192" w:rsidRPr="00FF756A" w:rsidRDefault="00835192" w:rsidP="00835192">
            <w:pPr>
              <w:spacing w:before="20" w:after="20" w:line="240" w:lineRule="auto"/>
              <w:rPr>
                <w:i/>
                <w:iCs/>
                <w:sz w:val="20"/>
                <w:szCs w:val="20"/>
                <w:highlight w:val="yellow"/>
              </w:rPr>
            </w:pPr>
          </w:p>
          <w:p w14:paraId="4E5BB47B" w14:textId="77777777" w:rsidR="00835192" w:rsidRPr="00FF756A" w:rsidRDefault="00835192" w:rsidP="00835192">
            <w:pPr>
              <w:spacing w:before="20" w:after="20" w:line="240" w:lineRule="auto"/>
              <w:rPr>
                <w:i/>
                <w:iCs/>
                <w:sz w:val="20"/>
                <w:szCs w:val="20"/>
                <w:highlight w:val="yellow"/>
              </w:rPr>
            </w:pPr>
          </w:p>
          <w:p w14:paraId="2F27AAF3" w14:textId="77777777" w:rsidR="00835192" w:rsidRPr="00FF756A" w:rsidRDefault="00835192" w:rsidP="00835192">
            <w:pPr>
              <w:spacing w:before="20" w:after="20" w:line="240" w:lineRule="auto"/>
              <w:rPr>
                <w:i/>
                <w:iCs/>
                <w:sz w:val="20"/>
                <w:szCs w:val="20"/>
                <w:highlight w:val="yellow"/>
              </w:rPr>
            </w:pPr>
          </w:p>
          <w:p w14:paraId="1FD60512" w14:textId="77777777" w:rsidR="00835192" w:rsidRPr="00FF756A" w:rsidRDefault="00835192" w:rsidP="00835192">
            <w:pPr>
              <w:spacing w:before="20" w:after="20" w:line="240" w:lineRule="auto"/>
              <w:rPr>
                <w:i/>
                <w:iCs/>
                <w:sz w:val="20"/>
                <w:szCs w:val="20"/>
                <w:highlight w:val="yellow"/>
              </w:rPr>
            </w:pPr>
          </w:p>
          <w:p w14:paraId="708D4061" w14:textId="77777777" w:rsidR="00835192" w:rsidRPr="00FF756A" w:rsidRDefault="00835192" w:rsidP="00835192">
            <w:pPr>
              <w:spacing w:before="20" w:after="20" w:line="240" w:lineRule="auto"/>
              <w:rPr>
                <w:i/>
                <w:iCs/>
                <w:sz w:val="20"/>
                <w:szCs w:val="20"/>
                <w:highlight w:val="yellow"/>
              </w:rPr>
            </w:pPr>
          </w:p>
          <w:p w14:paraId="75EBB5F5" w14:textId="77777777" w:rsidR="00835192" w:rsidRPr="00FF756A" w:rsidRDefault="00835192" w:rsidP="00835192">
            <w:pPr>
              <w:spacing w:before="20" w:after="20" w:line="240" w:lineRule="auto"/>
              <w:rPr>
                <w:i/>
                <w:iCs/>
                <w:sz w:val="20"/>
                <w:szCs w:val="20"/>
                <w:highlight w:val="yellow"/>
              </w:rPr>
            </w:pPr>
          </w:p>
          <w:p w14:paraId="6EB0676B" w14:textId="77777777" w:rsidR="00835192" w:rsidRPr="00FF756A" w:rsidRDefault="00835192" w:rsidP="00835192">
            <w:pPr>
              <w:spacing w:before="20" w:after="20" w:line="240" w:lineRule="auto"/>
              <w:rPr>
                <w:i/>
                <w:iCs/>
                <w:sz w:val="20"/>
                <w:szCs w:val="20"/>
                <w:highlight w:val="yellow"/>
              </w:rPr>
            </w:pPr>
          </w:p>
          <w:p w14:paraId="007C77F9" w14:textId="77777777" w:rsidR="00835192" w:rsidRPr="00FF756A" w:rsidRDefault="00835192" w:rsidP="00835192">
            <w:pPr>
              <w:spacing w:before="20" w:after="20" w:line="240" w:lineRule="auto"/>
              <w:rPr>
                <w:i/>
                <w:iCs/>
                <w:sz w:val="20"/>
                <w:szCs w:val="20"/>
              </w:rPr>
            </w:pPr>
          </w:p>
          <w:p w14:paraId="421347ED" w14:textId="77777777" w:rsidR="00835192" w:rsidRPr="00FF756A" w:rsidRDefault="00835192" w:rsidP="00835192">
            <w:pPr>
              <w:spacing w:before="20" w:after="20" w:line="240" w:lineRule="auto"/>
              <w:rPr>
                <w:i/>
                <w:iCs/>
                <w:sz w:val="20"/>
                <w:szCs w:val="20"/>
              </w:rPr>
            </w:pPr>
            <w:r w:rsidRPr="00FF756A">
              <w:rPr>
                <w:i/>
                <w:iCs/>
                <w:sz w:val="20"/>
                <w:szCs w:val="20"/>
              </w:rPr>
              <w:t>Nga viti 2020 e në vazhdim</w:t>
            </w:r>
          </w:p>
          <w:p w14:paraId="78BB18FA" w14:textId="77777777" w:rsidR="00835192" w:rsidRPr="00FF756A" w:rsidRDefault="00835192" w:rsidP="00835192">
            <w:pPr>
              <w:spacing w:before="20" w:after="20" w:line="240" w:lineRule="auto"/>
              <w:rPr>
                <w:i/>
                <w:iCs/>
                <w:sz w:val="20"/>
                <w:szCs w:val="20"/>
                <w:highlight w:val="yellow"/>
              </w:rPr>
            </w:pPr>
          </w:p>
          <w:p w14:paraId="3CBA17DF" w14:textId="77777777" w:rsidR="00835192" w:rsidRPr="00FF756A" w:rsidRDefault="00835192" w:rsidP="00835192">
            <w:pPr>
              <w:spacing w:before="20" w:after="20" w:line="240" w:lineRule="auto"/>
              <w:rPr>
                <w:i/>
                <w:iCs/>
                <w:sz w:val="20"/>
                <w:szCs w:val="20"/>
                <w:highlight w:val="yellow"/>
              </w:rPr>
            </w:pPr>
          </w:p>
          <w:p w14:paraId="4A3292F6" w14:textId="77777777" w:rsidR="00835192" w:rsidRPr="00FF756A" w:rsidRDefault="00835192" w:rsidP="00835192">
            <w:pPr>
              <w:spacing w:before="20" w:after="20" w:line="240" w:lineRule="auto"/>
              <w:rPr>
                <w:i/>
                <w:iCs/>
                <w:sz w:val="20"/>
                <w:szCs w:val="20"/>
                <w:highlight w:val="yellow"/>
              </w:rPr>
            </w:pPr>
          </w:p>
          <w:p w14:paraId="113CD61D" w14:textId="77777777" w:rsidR="00835192" w:rsidRPr="00FF756A" w:rsidRDefault="00835192" w:rsidP="00835192">
            <w:pPr>
              <w:spacing w:before="20" w:after="20" w:line="240" w:lineRule="auto"/>
              <w:rPr>
                <w:i/>
                <w:iCs/>
                <w:sz w:val="20"/>
                <w:szCs w:val="20"/>
                <w:highlight w:val="yellow"/>
              </w:rPr>
            </w:pPr>
          </w:p>
          <w:p w14:paraId="65EEDBD8" w14:textId="77777777" w:rsidR="00835192" w:rsidRPr="00FF756A" w:rsidRDefault="00835192" w:rsidP="00835192">
            <w:pPr>
              <w:spacing w:before="20" w:after="20" w:line="240" w:lineRule="auto"/>
              <w:rPr>
                <w:i/>
                <w:iCs/>
                <w:sz w:val="20"/>
                <w:szCs w:val="20"/>
                <w:highlight w:val="yellow"/>
              </w:rPr>
            </w:pPr>
          </w:p>
          <w:p w14:paraId="1774C7FC" w14:textId="77777777" w:rsidR="00835192" w:rsidRPr="00FF756A" w:rsidRDefault="00835192" w:rsidP="00835192">
            <w:pPr>
              <w:spacing w:before="20" w:after="20" w:line="240" w:lineRule="auto"/>
              <w:rPr>
                <w:i/>
                <w:iCs/>
                <w:sz w:val="20"/>
                <w:szCs w:val="20"/>
                <w:highlight w:val="yellow"/>
              </w:rPr>
            </w:pPr>
          </w:p>
          <w:p w14:paraId="7628D234" w14:textId="77777777" w:rsidR="00835192" w:rsidRPr="00FF756A" w:rsidRDefault="00835192" w:rsidP="00835192">
            <w:pPr>
              <w:spacing w:before="20" w:after="20" w:line="240" w:lineRule="auto"/>
              <w:rPr>
                <w:i/>
                <w:iCs/>
                <w:sz w:val="20"/>
                <w:szCs w:val="20"/>
                <w:highlight w:val="yellow"/>
              </w:rPr>
            </w:pPr>
          </w:p>
          <w:p w14:paraId="171515EC" w14:textId="77777777" w:rsidR="00835192" w:rsidRPr="00FF756A" w:rsidRDefault="00835192" w:rsidP="00835192">
            <w:pPr>
              <w:spacing w:before="20" w:after="20" w:line="240" w:lineRule="auto"/>
              <w:rPr>
                <w:i/>
                <w:iCs/>
                <w:sz w:val="20"/>
                <w:szCs w:val="20"/>
                <w:highlight w:val="yellow"/>
              </w:rPr>
            </w:pPr>
          </w:p>
          <w:p w14:paraId="1EF6AA1F" w14:textId="77777777" w:rsidR="00835192" w:rsidRPr="00FF756A" w:rsidRDefault="00835192" w:rsidP="00835192">
            <w:pPr>
              <w:spacing w:before="20" w:after="20" w:line="240" w:lineRule="auto"/>
              <w:rPr>
                <w:i/>
                <w:iCs/>
                <w:sz w:val="20"/>
                <w:szCs w:val="20"/>
                <w:highlight w:val="yellow"/>
              </w:rPr>
            </w:pPr>
          </w:p>
          <w:p w14:paraId="77E92141" w14:textId="77777777" w:rsidR="00835192" w:rsidRPr="00FF756A" w:rsidRDefault="00835192" w:rsidP="00835192">
            <w:pPr>
              <w:spacing w:before="20" w:after="20" w:line="240" w:lineRule="auto"/>
              <w:rPr>
                <w:i/>
                <w:iCs/>
                <w:sz w:val="20"/>
                <w:szCs w:val="20"/>
                <w:highlight w:val="yellow"/>
              </w:rPr>
            </w:pPr>
          </w:p>
        </w:tc>
      </w:tr>
      <w:tr w:rsidR="00835192" w:rsidRPr="00FF756A" w14:paraId="222F59A9" w14:textId="77777777" w:rsidTr="004A3257">
        <w:trPr>
          <w:trHeight w:val="20"/>
        </w:trPr>
        <w:tc>
          <w:tcPr>
            <w:tcW w:w="2200" w:type="dxa"/>
          </w:tcPr>
          <w:p w14:paraId="328910D5"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Buxheti (burimi i financimit)</w:t>
            </w:r>
          </w:p>
        </w:tc>
        <w:tc>
          <w:tcPr>
            <w:tcW w:w="6872" w:type="dxa"/>
            <w:gridSpan w:val="5"/>
          </w:tcPr>
          <w:p w14:paraId="4F578ACD" w14:textId="77777777" w:rsidR="00835192" w:rsidRPr="00FF756A" w:rsidRDefault="00835192" w:rsidP="00835192">
            <w:pPr>
              <w:spacing w:before="20" w:after="20" w:line="240" w:lineRule="auto"/>
              <w:rPr>
                <w:i/>
                <w:iCs/>
                <w:sz w:val="20"/>
                <w:szCs w:val="20"/>
              </w:rPr>
            </w:pPr>
            <w:r w:rsidRPr="00FF756A">
              <w:rPr>
                <w:i/>
                <w:iCs/>
                <w:sz w:val="20"/>
                <w:szCs w:val="20"/>
              </w:rPr>
              <w:t>Buxheti shtetëror, sektori privat</w:t>
            </w:r>
          </w:p>
          <w:p w14:paraId="6C74C8FD" w14:textId="77777777" w:rsidR="00835192" w:rsidRPr="00FF756A" w:rsidRDefault="00835192" w:rsidP="00835192">
            <w:pPr>
              <w:spacing w:before="20" w:after="20" w:line="240" w:lineRule="auto"/>
              <w:rPr>
                <w:i/>
                <w:iCs/>
                <w:sz w:val="20"/>
                <w:szCs w:val="20"/>
              </w:rPr>
            </w:pPr>
            <w:r w:rsidRPr="00FF756A">
              <w:rPr>
                <w:i/>
                <w:iCs/>
                <w:sz w:val="20"/>
                <w:szCs w:val="20"/>
              </w:rPr>
              <w:t>Nuk disponohet një buxhet total i përllogaritur, por disa nga fondet e dedikuara janë: (i) Ndihma shtetërore për “bizneset e reja të gjelbra” në Tiranë, me një vlerë totale të fondit për dy vite prej rreth 0,3 milionë euro; dhe (ii) 6,5 milionë euro "për efiçencën e energjisë për qytetin studenti" nga banka KfW.</w:t>
            </w:r>
          </w:p>
          <w:p w14:paraId="574F8F0A" w14:textId="77777777" w:rsidR="00835192" w:rsidRPr="00FF756A" w:rsidRDefault="00835192" w:rsidP="00835192">
            <w:pPr>
              <w:spacing w:before="20" w:after="20" w:line="240" w:lineRule="auto"/>
              <w:rPr>
                <w:i/>
                <w:iCs/>
                <w:sz w:val="20"/>
                <w:szCs w:val="20"/>
              </w:rPr>
            </w:pPr>
            <w:r w:rsidRPr="00FF756A">
              <w:rPr>
                <w:i/>
                <w:iCs/>
                <w:sz w:val="20"/>
                <w:szCs w:val="20"/>
              </w:rPr>
              <w:t xml:space="preserve">Ngritja e një baze të dhënash të CPE që plotëson kërkesat e ndërveprueshmërisë vlerësohet në 0,2 milionë euro. Kostoja për funksionimin dhe mirëmbajtjen e bazës së të dhënave të CPE dhe mjeteve softuerike përkatëse, si dhe për ofrimin e trajnimeve, vlerësohet në 25 000 euro në vit. </w:t>
            </w:r>
          </w:p>
        </w:tc>
      </w:tr>
      <w:tr w:rsidR="00835192" w:rsidRPr="00FF756A" w14:paraId="38DA9CA2" w14:textId="77777777" w:rsidTr="004A3257">
        <w:trPr>
          <w:trHeight w:val="20"/>
        </w:trPr>
        <w:tc>
          <w:tcPr>
            <w:tcW w:w="2200" w:type="dxa"/>
          </w:tcPr>
          <w:p w14:paraId="0D8F78DF"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541CB9A2"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2" w:type="dxa"/>
            <w:gridSpan w:val="5"/>
          </w:tcPr>
          <w:p w14:paraId="6D0A65A6" w14:textId="77777777" w:rsidR="00835192" w:rsidRPr="00FF756A" w:rsidRDefault="00835192" w:rsidP="00835192">
            <w:pPr>
              <w:spacing w:before="20" w:after="20" w:line="240" w:lineRule="auto"/>
              <w:rPr>
                <w:i/>
                <w:iCs/>
                <w:sz w:val="20"/>
                <w:szCs w:val="20"/>
              </w:rPr>
            </w:pPr>
            <w:r w:rsidRPr="00FF756A">
              <w:rPr>
                <w:i/>
                <w:iCs/>
                <w:sz w:val="20"/>
                <w:szCs w:val="20"/>
              </w:rPr>
              <w:t>Agjencia për Efiçencën e Energjisë; Qeveria Vendore</w:t>
            </w:r>
          </w:p>
          <w:p w14:paraId="42EA7D6D" w14:textId="77777777" w:rsidR="00835192" w:rsidRPr="00FF756A" w:rsidRDefault="00835192" w:rsidP="00835192">
            <w:pPr>
              <w:spacing w:before="20" w:after="20" w:line="240" w:lineRule="auto"/>
              <w:rPr>
                <w:i/>
                <w:iCs/>
                <w:sz w:val="20"/>
                <w:szCs w:val="20"/>
              </w:rPr>
            </w:pPr>
          </w:p>
        </w:tc>
      </w:tr>
      <w:tr w:rsidR="00835192" w:rsidRPr="00FF756A" w14:paraId="6A2BF773" w14:textId="77777777" w:rsidTr="004A3257">
        <w:trPr>
          <w:trHeight w:val="20"/>
        </w:trPr>
        <w:tc>
          <w:tcPr>
            <w:tcW w:w="2200" w:type="dxa"/>
          </w:tcPr>
          <w:p w14:paraId="35B7CB1E"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2" w:type="dxa"/>
            <w:gridSpan w:val="5"/>
          </w:tcPr>
          <w:p w14:paraId="66F816B0" w14:textId="77777777" w:rsidR="00835192" w:rsidRPr="00FF756A" w:rsidRDefault="00835192" w:rsidP="00835192">
            <w:pPr>
              <w:spacing w:before="20" w:after="20" w:line="240" w:lineRule="auto"/>
              <w:rPr>
                <w:i/>
                <w:iCs/>
                <w:sz w:val="20"/>
                <w:szCs w:val="20"/>
              </w:rPr>
            </w:pPr>
            <w:r w:rsidRPr="00FF756A">
              <w:rPr>
                <w:i/>
                <w:iCs/>
                <w:sz w:val="20"/>
                <w:szCs w:val="20"/>
              </w:rPr>
              <w:t>Siguria energjetike; dekarbonizimi</w:t>
            </w:r>
          </w:p>
          <w:p w14:paraId="568B4124" w14:textId="77777777" w:rsidR="00835192" w:rsidRPr="00FF756A" w:rsidRDefault="00835192" w:rsidP="00835192">
            <w:pPr>
              <w:spacing w:before="20" w:after="20" w:line="240" w:lineRule="auto"/>
              <w:rPr>
                <w:i/>
                <w:iCs/>
                <w:sz w:val="20"/>
                <w:szCs w:val="20"/>
              </w:rPr>
            </w:pPr>
            <w:r w:rsidRPr="00FF756A">
              <w:rPr>
                <w:i/>
                <w:iCs/>
                <w:sz w:val="20"/>
                <w:szCs w:val="20"/>
              </w:rPr>
              <w:t>Marrëdhënia me PM-të e mëposhtme:</w:t>
            </w:r>
          </w:p>
          <w:p w14:paraId="374EEECD" w14:textId="77777777" w:rsidR="00835192" w:rsidRPr="00FF756A" w:rsidRDefault="00835192" w:rsidP="00835192">
            <w:pPr>
              <w:spacing w:before="20" w:after="20" w:line="240" w:lineRule="auto"/>
              <w:rPr>
                <w:i/>
                <w:iCs/>
                <w:sz w:val="20"/>
                <w:szCs w:val="20"/>
              </w:rPr>
            </w:pPr>
            <w:r w:rsidRPr="00FF756A">
              <w:rPr>
                <w:i/>
                <w:iCs/>
                <w:sz w:val="20"/>
                <w:szCs w:val="20"/>
              </w:rPr>
              <w:t>EE-L1 është baza për EE-L2, EE-L3, EE-L4, EE-L5, EE-L6</w:t>
            </w:r>
          </w:p>
        </w:tc>
      </w:tr>
    </w:tbl>
    <w:p w14:paraId="33C0F3D5"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1285"/>
        <w:gridCol w:w="603"/>
        <w:gridCol w:w="431"/>
        <w:gridCol w:w="3695"/>
        <w:gridCol w:w="850"/>
      </w:tblGrid>
      <w:tr w:rsidR="00835192" w:rsidRPr="00FF756A" w14:paraId="6441FDFC" w14:textId="77777777" w:rsidTr="004A3257">
        <w:trPr>
          <w:trHeight w:val="20"/>
        </w:trPr>
        <w:tc>
          <w:tcPr>
            <w:tcW w:w="4522" w:type="dxa"/>
            <w:gridSpan w:val="4"/>
            <w:shd w:val="clear" w:color="auto" w:fill="FFF2CC" w:themeFill="accent4" w:themeFillTint="33"/>
          </w:tcPr>
          <w:p w14:paraId="0C57124A"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Dimensioni i energjisë</w:t>
            </w:r>
          </w:p>
        </w:tc>
        <w:tc>
          <w:tcPr>
            <w:tcW w:w="4550" w:type="dxa"/>
            <w:gridSpan w:val="2"/>
            <w:shd w:val="clear" w:color="auto" w:fill="FFF2CC" w:themeFill="accent4" w:themeFillTint="33"/>
          </w:tcPr>
          <w:p w14:paraId="0365678B" w14:textId="77777777" w:rsidR="00835192" w:rsidRPr="00FF756A" w:rsidRDefault="00835192" w:rsidP="008639B2">
            <w:pPr>
              <w:numPr>
                <w:ilvl w:val="0"/>
                <w:numId w:val="138"/>
              </w:numPr>
              <w:spacing w:before="20" w:after="20" w:line="240" w:lineRule="auto"/>
              <w:contextualSpacing/>
              <w:rPr>
                <w:i/>
                <w:iCs/>
                <w:sz w:val="20"/>
                <w:szCs w:val="20"/>
              </w:rPr>
            </w:pPr>
            <w:r w:rsidRPr="00FF756A">
              <w:rPr>
                <w:i/>
                <w:iCs/>
                <w:sz w:val="20"/>
                <w:szCs w:val="20"/>
              </w:rPr>
              <w:t>Efiçenca e energjisë</w:t>
            </w:r>
          </w:p>
        </w:tc>
      </w:tr>
      <w:tr w:rsidR="00835192" w:rsidRPr="00FF756A" w14:paraId="25569046" w14:textId="77777777" w:rsidTr="004A3257">
        <w:trPr>
          <w:trHeight w:val="20"/>
        </w:trPr>
        <w:tc>
          <w:tcPr>
            <w:tcW w:w="4090" w:type="dxa"/>
            <w:gridSpan w:val="3"/>
            <w:shd w:val="clear" w:color="auto" w:fill="FFF2CC" w:themeFill="accent4" w:themeFillTint="33"/>
          </w:tcPr>
          <w:p w14:paraId="52B9991E"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82" w:type="dxa"/>
            <w:gridSpan w:val="3"/>
            <w:shd w:val="clear" w:color="auto" w:fill="FFF2CC" w:themeFill="accent4" w:themeFillTint="33"/>
          </w:tcPr>
          <w:p w14:paraId="3533F54E" w14:textId="77777777" w:rsidR="00835192" w:rsidRPr="00FF756A" w:rsidRDefault="00835192" w:rsidP="00835192">
            <w:pPr>
              <w:spacing w:before="20" w:after="20" w:line="240" w:lineRule="auto"/>
              <w:rPr>
                <w:i/>
                <w:iCs/>
                <w:sz w:val="20"/>
                <w:szCs w:val="20"/>
              </w:rPr>
            </w:pPr>
            <w:r w:rsidRPr="00FF756A">
              <w:rPr>
                <w:i/>
                <w:iCs/>
                <w:sz w:val="20"/>
                <w:szCs w:val="20"/>
              </w:rPr>
              <w:t>Efiçenca e energjisë së ndërtesave</w:t>
            </w:r>
          </w:p>
        </w:tc>
      </w:tr>
      <w:tr w:rsidR="00835192" w:rsidRPr="00FF756A" w14:paraId="3D6F9F4E" w14:textId="77777777" w:rsidTr="004A3257">
        <w:trPr>
          <w:trHeight w:val="20"/>
        </w:trPr>
        <w:tc>
          <w:tcPr>
            <w:tcW w:w="3486" w:type="dxa"/>
            <w:gridSpan w:val="2"/>
          </w:tcPr>
          <w:p w14:paraId="04E9863B"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0DCF2CC6"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6" w:type="dxa"/>
            <w:gridSpan w:val="4"/>
          </w:tcPr>
          <w:p w14:paraId="5FF56944" w14:textId="77777777" w:rsidR="00835192" w:rsidRPr="00FF756A" w:rsidRDefault="00835192" w:rsidP="00835192">
            <w:pPr>
              <w:spacing w:before="20" w:after="20" w:line="240" w:lineRule="auto"/>
              <w:rPr>
                <w:i/>
                <w:iCs/>
                <w:sz w:val="20"/>
                <w:szCs w:val="20"/>
              </w:rPr>
            </w:pPr>
            <w:r w:rsidRPr="00FF756A">
              <w:rPr>
                <w:i/>
                <w:iCs/>
                <w:sz w:val="20"/>
                <w:szCs w:val="20"/>
              </w:rPr>
              <w:t>WAM</w:t>
            </w:r>
          </w:p>
          <w:p w14:paraId="64D43E87" w14:textId="77777777" w:rsidR="00835192" w:rsidRPr="00FF756A" w:rsidRDefault="00835192" w:rsidP="00835192">
            <w:pPr>
              <w:spacing w:before="20" w:after="20" w:line="240" w:lineRule="auto"/>
              <w:rPr>
                <w:i/>
                <w:iCs/>
                <w:sz w:val="20"/>
                <w:szCs w:val="20"/>
              </w:rPr>
            </w:pPr>
            <w:r w:rsidRPr="00FF756A">
              <w:rPr>
                <w:i/>
                <w:sz w:val="20"/>
                <w:szCs w:val="20"/>
              </w:rPr>
              <w:t>Rregullator; Financiar; Informativ</w:t>
            </w:r>
          </w:p>
        </w:tc>
      </w:tr>
      <w:tr w:rsidR="00835192" w:rsidRPr="00FF756A" w14:paraId="0A99BBB7" w14:textId="77777777" w:rsidTr="004A3257">
        <w:trPr>
          <w:trHeight w:val="20"/>
        </w:trPr>
        <w:tc>
          <w:tcPr>
            <w:tcW w:w="2199" w:type="dxa"/>
          </w:tcPr>
          <w:p w14:paraId="7E3F3A24"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5AA669DE"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3" w:type="dxa"/>
            <w:gridSpan w:val="5"/>
          </w:tcPr>
          <w:p w14:paraId="3D384DFA" w14:textId="77777777" w:rsidR="00835192" w:rsidRPr="00FF756A" w:rsidRDefault="00835192" w:rsidP="00835192">
            <w:pPr>
              <w:spacing w:before="20" w:after="20" w:line="240" w:lineRule="auto"/>
              <w:rPr>
                <w:i/>
                <w:iCs/>
                <w:sz w:val="20"/>
                <w:szCs w:val="20"/>
              </w:rPr>
            </w:pPr>
            <w:r w:rsidRPr="00FF756A">
              <w:rPr>
                <w:i/>
                <w:iCs/>
                <w:sz w:val="20"/>
                <w:szCs w:val="20"/>
              </w:rPr>
              <w:t>Plani afatgjatë i rinovimit të ndërtesave (për ndërtesat publike dhe private) sipas riformulimit të EPBD-së në vitin 2024</w:t>
            </w:r>
          </w:p>
          <w:p w14:paraId="341451FA" w14:textId="77777777" w:rsidR="00835192" w:rsidRPr="00FF756A" w:rsidRDefault="00835192" w:rsidP="00835192">
            <w:pPr>
              <w:spacing w:before="20" w:after="20" w:line="240" w:lineRule="auto"/>
              <w:rPr>
                <w:i/>
                <w:iCs/>
                <w:sz w:val="20"/>
                <w:szCs w:val="20"/>
              </w:rPr>
            </w:pPr>
            <w:r w:rsidRPr="00FF756A">
              <w:rPr>
                <w:i/>
                <w:iCs/>
                <w:sz w:val="20"/>
                <w:szCs w:val="20"/>
              </w:rPr>
              <w:t>(EE-L2)</w:t>
            </w:r>
          </w:p>
        </w:tc>
      </w:tr>
      <w:tr w:rsidR="00835192" w:rsidRPr="00FF756A" w14:paraId="0FE4D2A2" w14:textId="77777777" w:rsidTr="004A3257">
        <w:trPr>
          <w:trHeight w:val="20"/>
        </w:trPr>
        <w:tc>
          <w:tcPr>
            <w:tcW w:w="2199" w:type="dxa"/>
          </w:tcPr>
          <w:p w14:paraId="46C3116E"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3" w:type="dxa"/>
            <w:gridSpan w:val="5"/>
          </w:tcPr>
          <w:p w14:paraId="44807A68" w14:textId="77777777" w:rsidR="00835192" w:rsidRPr="00FF756A" w:rsidRDefault="00835192" w:rsidP="00835192">
            <w:pPr>
              <w:spacing w:before="20" w:after="20" w:line="240" w:lineRule="auto"/>
              <w:rPr>
                <w:i/>
                <w:iCs/>
                <w:sz w:val="20"/>
                <w:szCs w:val="20"/>
              </w:rPr>
            </w:pPr>
            <w:r w:rsidRPr="00FF756A">
              <w:rPr>
                <w:i/>
                <w:iCs/>
                <w:sz w:val="20"/>
                <w:szCs w:val="20"/>
              </w:rPr>
              <w:t>2022 dhe në vazhdim</w:t>
            </w:r>
          </w:p>
        </w:tc>
      </w:tr>
      <w:tr w:rsidR="00835192" w:rsidRPr="00FF756A" w14:paraId="6FFC5344" w14:textId="77777777" w:rsidTr="004A3257">
        <w:trPr>
          <w:trHeight w:val="20"/>
        </w:trPr>
        <w:tc>
          <w:tcPr>
            <w:tcW w:w="2199" w:type="dxa"/>
          </w:tcPr>
          <w:p w14:paraId="58714513"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3" w:type="dxa"/>
            <w:gridSpan w:val="5"/>
          </w:tcPr>
          <w:p w14:paraId="0C73DAE6" w14:textId="77777777" w:rsidR="00835192" w:rsidRPr="00FF756A" w:rsidRDefault="00835192" w:rsidP="00835192">
            <w:pPr>
              <w:spacing w:before="20" w:after="20" w:line="240" w:lineRule="auto"/>
              <w:rPr>
                <w:i/>
                <w:iCs/>
                <w:sz w:val="20"/>
                <w:szCs w:val="20"/>
              </w:rPr>
            </w:pPr>
            <w:r w:rsidRPr="00FF756A">
              <w:rPr>
                <w:i/>
                <w:iCs/>
                <w:sz w:val="20"/>
                <w:szCs w:val="20"/>
              </w:rPr>
              <w:t>Ligji nr. 116/2016, datë 10.11.2016, “Për performancën e energjisë në ndërtesa”; Ligji nr. 124/2015, datë 12.11.2015, “Për efiçencën e energjisë”, i ndryshuar</w:t>
            </w:r>
          </w:p>
          <w:p w14:paraId="53A159BC" w14:textId="77777777" w:rsidR="00835192" w:rsidRPr="00FF756A" w:rsidRDefault="00835192" w:rsidP="00835192">
            <w:pPr>
              <w:spacing w:before="20" w:after="20" w:line="240" w:lineRule="auto"/>
              <w:rPr>
                <w:i/>
                <w:iCs/>
                <w:sz w:val="20"/>
                <w:szCs w:val="20"/>
              </w:rPr>
            </w:pPr>
            <w:r w:rsidRPr="00FF756A">
              <w:rPr>
                <w:i/>
                <w:iCs/>
                <w:sz w:val="20"/>
                <w:szCs w:val="20"/>
              </w:rPr>
              <w:t>Direktiva për Performancën e Energjisë së Ndërtesave (BE/2024/1275) (riformuluar)</w:t>
            </w:r>
          </w:p>
        </w:tc>
      </w:tr>
      <w:tr w:rsidR="00835192" w:rsidRPr="00FF756A" w14:paraId="6BF7D637" w14:textId="77777777" w:rsidTr="004A3257">
        <w:trPr>
          <w:trHeight w:val="20"/>
        </w:trPr>
        <w:tc>
          <w:tcPr>
            <w:tcW w:w="2199" w:type="dxa"/>
          </w:tcPr>
          <w:p w14:paraId="3E134CF7"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3" w:type="dxa"/>
            <w:gridSpan w:val="5"/>
          </w:tcPr>
          <w:p w14:paraId="057C83EA" w14:textId="77777777" w:rsidR="00835192" w:rsidRPr="00FF756A" w:rsidRDefault="00835192" w:rsidP="00835192">
            <w:pPr>
              <w:spacing w:before="20" w:after="20" w:line="240" w:lineRule="auto"/>
              <w:rPr>
                <w:i/>
                <w:iCs/>
                <w:sz w:val="20"/>
                <w:szCs w:val="20"/>
              </w:rPr>
            </w:pPr>
            <w:r w:rsidRPr="00FF756A">
              <w:rPr>
                <w:i/>
                <w:iCs/>
                <w:sz w:val="20"/>
                <w:szCs w:val="20"/>
              </w:rPr>
              <w:t>Ligji nr. 28/2021 “Për disa ndryshime dhe shtesa në Ligjin nr. 124/2015 “Për efiçencën e energjisë” ka përcaktuar objektivin për rinovimin e ndërtesave publike:</w:t>
            </w:r>
          </w:p>
          <w:p w14:paraId="14DD55D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Përcaktimi i objektivit për rinovimin e 3% të stokut të ndërtesave të qeverisë qendrore, çdo vit.</w:t>
            </w:r>
          </w:p>
          <w:p w14:paraId="0A33DF6C"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Përcaktimi i objektivit për rinovimin e 2% të ndërtesave të tjera publike, çdo vit.</w:t>
            </w:r>
          </w:p>
          <w:p w14:paraId="030EE770" w14:textId="77777777" w:rsidR="00835192" w:rsidRPr="00FF756A" w:rsidRDefault="00835192" w:rsidP="00835192">
            <w:pPr>
              <w:spacing w:before="20" w:after="20" w:line="240" w:lineRule="auto"/>
              <w:rPr>
                <w:i/>
                <w:iCs/>
                <w:sz w:val="20"/>
                <w:szCs w:val="20"/>
              </w:rPr>
            </w:pPr>
            <w:r w:rsidRPr="00FF756A">
              <w:rPr>
                <w:i/>
                <w:iCs/>
                <w:sz w:val="20"/>
                <w:szCs w:val="20"/>
              </w:rPr>
              <w:t>Janë përcaktuar kërkesat minimale të performancës së energjisë në ndërtesa (si në ato të reja ashtu dhe në ato ekzistuese), duke përfshirë nZEB.</w:t>
            </w:r>
          </w:p>
          <w:p w14:paraId="6DD165D0" w14:textId="77777777" w:rsidR="00835192" w:rsidRPr="00FF756A" w:rsidRDefault="00835192" w:rsidP="00835192">
            <w:pPr>
              <w:spacing w:before="20" w:after="20" w:line="240" w:lineRule="auto"/>
              <w:rPr>
                <w:i/>
                <w:iCs/>
                <w:sz w:val="20"/>
                <w:szCs w:val="20"/>
              </w:rPr>
            </w:pPr>
            <w:r w:rsidRPr="00FF756A">
              <w:rPr>
                <w:i/>
                <w:iCs/>
                <w:sz w:val="20"/>
                <w:szCs w:val="20"/>
              </w:rPr>
              <w:t>Është miratuar metodologjia e “kërkesave minimale për performancën e energjisë në ndërtesa dhe në elementet e ndërtesave”.</w:t>
            </w:r>
          </w:p>
          <w:p w14:paraId="153BCA43" w14:textId="77777777" w:rsidR="00835192" w:rsidRPr="00FF756A" w:rsidRDefault="00835192" w:rsidP="00835192">
            <w:pPr>
              <w:spacing w:before="20" w:after="20" w:line="240" w:lineRule="auto"/>
              <w:rPr>
                <w:i/>
                <w:iCs/>
                <w:sz w:val="20"/>
                <w:szCs w:val="20"/>
              </w:rPr>
            </w:pPr>
            <w:r w:rsidRPr="00FF756A">
              <w:rPr>
                <w:i/>
                <w:iCs/>
                <w:sz w:val="20"/>
                <w:szCs w:val="20"/>
              </w:rPr>
              <w:t>Janë përgatitur dhe miratuar softuerët përkatës për llogaritjen e performancës së energjisë në ndërtesa, nën pronësi të Agjencisë Kombëtare të Energjisë.</w:t>
            </w:r>
          </w:p>
          <w:p w14:paraId="31CB33E6" w14:textId="77777777" w:rsidR="00835192" w:rsidRPr="00FF756A" w:rsidRDefault="00835192" w:rsidP="00835192">
            <w:pPr>
              <w:spacing w:before="20" w:after="20" w:line="240" w:lineRule="auto"/>
              <w:rPr>
                <w:i/>
                <w:iCs/>
                <w:sz w:val="20"/>
                <w:szCs w:val="20"/>
              </w:rPr>
            </w:pPr>
            <w:r w:rsidRPr="00FF756A">
              <w:rPr>
                <w:i/>
                <w:iCs/>
                <w:sz w:val="20"/>
                <w:szCs w:val="20"/>
              </w:rPr>
              <w:t xml:space="preserve">Janë përcaktuar rregullat e ndërtimit lidhur me aspektin e energjisë. </w:t>
            </w:r>
          </w:p>
          <w:p w14:paraId="5B92C3F0" w14:textId="77777777" w:rsidR="00835192" w:rsidRPr="00FF756A" w:rsidRDefault="00835192" w:rsidP="00835192">
            <w:pPr>
              <w:spacing w:before="20" w:after="20" w:line="240" w:lineRule="auto"/>
              <w:rPr>
                <w:i/>
                <w:iCs/>
                <w:sz w:val="20"/>
                <w:szCs w:val="20"/>
              </w:rPr>
            </w:pPr>
            <w:r w:rsidRPr="00FF756A">
              <w:rPr>
                <w:i/>
                <w:iCs/>
                <w:sz w:val="20"/>
                <w:szCs w:val="20"/>
              </w:rPr>
              <w:t>Është vënë në dispozicion studimi SLED për tipologjinë e stokut të ndërtesave publike: konsumi i energjisë nga lëndët djegëse dhe shërbimet, llogaritja e shkarkimeve të CO</w:t>
            </w:r>
            <w:r w:rsidRPr="00FF756A">
              <w:rPr>
                <w:i/>
                <w:iCs/>
                <w:sz w:val="20"/>
                <w:szCs w:val="20"/>
                <w:vertAlign w:val="subscript"/>
              </w:rPr>
              <w:t>2</w:t>
            </w:r>
            <w:r w:rsidRPr="00FF756A">
              <w:rPr>
                <w:i/>
                <w:iCs/>
                <w:sz w:val="20"/>
                <w:szCs w:val="20"/>
              </w:rPr>
              <w:t>, prezantimi i masave për EE-në me synim reduktimin e konsumit të energjisë, analiza e kostove dhe përfitimeve të përmirësimit të efiçencës termike të ndërtesave publike në Shqipëri.</w:t>
            </w:r>
          </w:p>
          <w:p w14:paraId="2873AFAC" w14:textId="77777777" w:rsidR="00835192" w:rsidRPr="00FF756A" w:rsidRDefault="00835192" w:rsidP="00835192">
            <w:pPr>
              <w:spacing w:before="20" w:after="20" w:line="240" w:lineRule="auto"/>
              <w:rPr>
                <w:i/>
                <w:iCs/>
                <w:sz w:val="20"/>
                <w:szCs w:val="20"/>
              </w:rPr>
            </w:pPr>
            <w:r w:rsidRPr="00FF756A">
              <w:rPr>
                <w:i/>
                <w:iCs/>
                <w:sz w:val="20"/>
                <w:szCs w:val="20"/>
              </w:rPr>
              <w:t>Bashkia e Tiranës ka lançuar një program që u ofron pronarëve privatë financim 50% përmes granteve për përmirësimin e efiçencës së energjisë në ndërtesa (rikonstruktim)</w:t>
            </w:r>
          </w:p>
          <w:p w14:paraId="79271905" w14:textId="365878E5" w:rsidR="00835192" w:rsidRPr="00FF756A" w:rsidRDefault="00254DBF" w:rsidP="00835192">
            <w:pPr>
              <w:pBdr>
                <w:top w:val="none" w:sz="0" w:space="0" w:color="auto"/>
                <w:left w:val="none" w:sz="0" w:space="0" w:color="auto"/>
                <w:bottom w:val="none" w:sz="0" w:space="0" w:color="auto"/>
                <w:right w:val="none" w:sz="0" w:space="0" w:color="auto"/>
                <w:between w:val="none" w:sz="0" w:space="0" w:color="auto"/>
              </w:pBdr>
              <w:spacing w:before="0" w:after="0" w:line="240" w:lineRule="auto"/>
              <w:rPr>
                <w:i/>
                <w:iCs/>
                <w:sz w:val="20"/>
                <w:szCs w:val="20"/>
              </w:rPr>
            </w:pPr>
            <w:r w:rsidRPr="00FF756A">
              <w:rPr>
                <w:i/>
                <w:iCs/>
                <w:sz w:val="20"/>
                <w:szCs w:val="20"/>
              </w:rPr>
              <w:t>A</w:t>
            </w:r>
            <w:r w:rsidR="00835192" w:rsidRPr="00FF756A">
              <w:rPr>
                <w:i/>
                <w:iCs/>
                <w:sz w:val="20"/>
                <w:szCs w:val="20"/>
              </w:rPr>
              <w:t>EE po bashkëpunon me BERZH për programin REEP PLUS për përgatitjen e Strategjisë së Rinovimit të Ndërtesave. Drafti i parë u përgatit dhe u dorëzua në mars të vitit 2023.</w:t>
            </w:r>
          </w:p>
        </w:tc>
      </w:tr>
      <w:tr w:rsidR="00835192" w:rsidRPr="00FF756A" w14:paraId="7E04FC4B" w14:textId="77777777" w:rsidTr="004A3257">
        <w:trPr>
          <w:trHeight w:val="20"/>
        </w:trPr>
        <w:tc>
          <w:tcPr>
            <w:tcW w:w="2199" w:type="dxa"/>
          </w:tcPr>
          <w:p w14:paraId="1DE1F07F"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3" w:type="dxa"/>
            <w:gridSpan w:val="5"/>
          </w:tcPr>
          <w:p w14:paraId="7FD3FCFE" w14:textId="77777777" w:rsidR="00835192" w:rsidRPr="00FF756A" w:rsidRDefault="00835192" w:rsidP="00835192">
            <w:pPr>
              <w:spacing w:before="20" w:after="20" w:line="240" w:lineRule="auto"/>
              <w:rPr>
                <w:i/>
                <w:iCs/>
                <w:sz w:val="20"/>
                <w:szCs w:val="20"/>
              </w:rPr>
            </w:pPr>
            <w:r w:rsidRPr="00FF756A">
              <w:rPr>
                <w:i/>
                <w:iCs/>
                <w:sz w:val="20"/>
                <w:szCs w:val="20"/>
              </w:rPr>
              <w:t>Plani afatgjatë i rinovimit të ndërtesave do të jetë dokumenti kryesor politik për rinovimin e stokut të ndërtesave private dhe publike:</w:t>
            </w:r>
          </w:p>
          <w:p w14:paraId="029D99B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Të arrihet objektivi i përcaktuar për rinovimin e 3% të stokut të ndërtesave të qeverisë qendrore, çdo vit.</w:t>
            </w:r>
          </w:p>
          <w:p w14:paraId="731E6AE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Të arrihet objektivi i përcaktuar për rinovimin e 2% të stokut të ndërtesave publike, çdo vit.</w:t>
            </w:r>
          </w:p>
          <w:p w14:paraId="70F8EC7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Bashkia e Tiranës do të mbështesë masat e efiçencës së energjisë për ndërtesat rezidenciale në Tiranë me të paktën 1000 rikonstruktime deri në vitin 2035. Ky program do të shtrihet më tej dhe do të vijojë përtej vitit 2035. Në këtë program do të angazhohen edhe bashki të tjera. </w:t>
            </w:r>
          </w:p>
          <w:p w14:paraId="1893ED5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Të gjitha lejet e reja të ndërtimit të lëshuara, si për ndërtesat publike ashtu edhe për ato private, janë me efiçencë energjie.</w:t>
            </w:r>
          </w:p>
        </w:tc>
      </w:tr>
      <w:tr w:rsidR="00835192" w:rsidRPr="00FF756A" w14:paraId="1F20B6EA" w14:textId="77777777" w:rsidTr="004A3257">
        <w:trPr>
          <w:trHeight w:val="20"/>
        </w:trPr>
        <w:tc>
          <w:tcPr>
            <w:tcW w:w="2199" w:type="dxa"/>
          </w:tcPr>
          <w:p w14:paraId="204FB359"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3" w:type="dxa"/>
            <w:gridSpan w:val="5"/>
          </w:tcPr>
          <w:p w14:paraId="2CA0189A"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Përgatitja e planit afatgjatë të rinovimit të ndërtesave dhe masave për nxitjen e rinovimit rrënjësor me kosto efektive</w:t>
            </w:r>
          </w:p>
          <w:p w14:paraId="14DC996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Nëpërmjet zbatimit të planit afatgjatë të rinovimit të ndërtesave:</w:t>
            </w:r>
          </w:p>
          <w:p w14:paraId="6DF69707"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 xml:space="preserve">rinovimi i 3% të stokut të ndërtesave të qeverisë qendrore, çdo vit. </w:t>
            </w:r>
          </w:p>
          <w:p w14:paraId="280CDCBC"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rinovimi i 2% të stokut të ndërtesave të tjera publike, çdo vit.</w:t>
            </w:r>
          </w:p>
          <w:p w14:paraId="107CCF13"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 xml:space="preserve">Përafërsisht 60 000 kWh energji e kursyer në vit nga rikonstruktimi i ndërtesave publike dhe përafërsisht 1 milionë kWh energji e kursyer në ndërtesat rezidenciale në bashkinë e </w:t>
            </w:r>
            <w:r w:rsidRPr="00FF756A">
              <w:rPr>
                <w:i/>
                <w:iCs/>
                <w:sz w:val="20"/>
                <w:szCs w:val="20"/>
              </w:rPr>
              <w:lastRenderedPageBreak/>
              <w:t>Tiranës. Kursime shtesë të arritura nga angazhimi i bashkive të tjera në programin e rikonstruktimit për ndërtesat rezidenciale.</w:t>
            </w:r>
          </w:p>
        </w:tc>
      </w:tr>
      <w:tr w:rsidR="00835192" w:rsidRPr="00FF756A" w14:paraId="12736B7E" w14:textId="77777777" w:rsidTr="004A3257">
        <w:trPr>
          <w:trHeight w:val="20"/>
        </w:trPr>
        <w:tc>
          <w:tcPr>
            <w:tcW w:w="2199" w:type="dxa"/>
          </w:tcPr>
          <w:p w14:paraId="4515EC86"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Masat që duhet të zbatohen</w:t>
            </w:r>
          </w:p>
        </w:tc>
        <w:tc>
          <w:tcPr>
            <w:tcW w:w="6023" w:type="dxa"/>
            <w:gridSpan w:val="4"/>
          </w:tcPr>
          <w:p w14:paraId="751FAF63" w14:textId="77777777" w:rsidR="00835192" w:rsidRPr="00FF756A" w:rsidRDefault="00835192" w:rsidP="00835192">
            <w:pPr>
              <w:spacing w:before="20" w:after="20" w:line="240" w:lineRule="auto"/>
              <w:rPr>
                <w:i/>
                <w:iCs/>
                <w:sz w:val="20"/>
                <w:szCs w:val="20"/>
              </w:rPr>
            </w:pPr>
            <w:r w:rsidRPr="00FF756A">
              <w:rPr>
                <w:i/>
                <w:iCs/>
                <w:sz w:val="20"/>
                <w:szCs w:val="20"/>
              </w:rPr>
              <w:t xml:space="preserve">Zhvillimi i planit afatgjatë të rinovimit të ndërtesave: </w:t>
            </w:r>
          </w:p>
          <w:p w14:paraId="5B98599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Zhvillimi i një plani veprimi afatgjatë (sipas riformulimit të EPBD-së në vitin 2024) për mobilizimin e investimeve për rinovimin e stokut kombëtar të ndërtesave rezidenciale, publike dhe tregtare, si publike ashtu dhe private, i cili duhet të përfshijë: (i) një përmbledhje të stokut kombëtar të ndërtesave bazuar, sipas rastit, në kampionimin statistikor; (ii) identifikimin e qasjeve me kosto efektive ndaj rinovimeve, sipas llojit të ndërtesës dhe zonës klimatike; (iii) politikat dhe masat për nxitjen e rinovimeve me kosto efektive të ndërtesave; (iv) një perspektivë avangardë për të orientuar vendimet e investimit të individëve, industrisë së ndërtimit dhe institucioneve financiare; dhe (v) një vlerësim të bazuar në prova të kursimeve të parashikuara të energjisë dhe përfitimeve në shkallë më të gjerë. </w:t>
            </w:r>
          </w:p>
          <w:p w14:paraId="7EB18344" w14:textId="7B22A97A" w:rsidR="00835192" w:rsidRPr="00FF756A" w:rsidRDefault="00B10DD6" w:rsidP="00835192">
            <w:pPr>
              <w:spacing w:before="20" w:after="20" w:line="240" w:lineRule="auto"/>
              <w:rPr>
                <w:i/>
                <w:iCs/>
                <w:sz w:val="20"/>
                <w:szCs w:val="20"/>
              </w:rPr>
            </w:pPr>
            <w:r w:rsidRPr="00FF756A">
              <w:rPr>
                <w:i/>
                <w:iCs/>
                <w:sz w:val="20"/>
                <w:szCs w:val="20"/>
              </w:rPr>
              <w:t>Aktet nënligjore</w:t>
            </w:r>
            <w:r w:rsidR="00835192" w:rsidRPr="00FF756A">
              <w:rPr>
                <w:i/>
                <w:iCs/>
                <w:sz w:val="20"/>
                <w:szCs w:val="20"/>
              </w:rPr>
              <w:t xml:space="preserve"> për zbatimin e planit afatgjatë të rinovimit të ndërtesave që përcakton: </w:t>
            </w:r>
          </w:p>
          <w:p w14:paraId="7B05B53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një metodologji specifike që do të përdoret për caktimin e sipërfaqes së stokut dhe llogaritjen e normës përkatëse për ndërtesat publike dhe sipërfaqen totale të ndërtesave publike</w:t>
            </w:r>
          </w:p>
          <w:p w14:paraId="2507214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Llogaritja e kërkesës për energji për stokun kombëtar të ndërtesave bazuar në kërkesat minimale energjetike</w:t>
            </w:r>
          </w:p>
          <w:p w14:paraId="1D958B1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Përcaktimi i objektivave të detajuara për sektorin e ndërtesave sipas tipologjisë</w:t>
            </w:r>
          </w:p>
          <w:p w14:paraId="0D05144C"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Treguesit e matshëm të progresit dhe afatet</w:t>
            </w:r>
          </w:p>
          <w:p w14:paraId="16E86A86" w14:textId="77777777" w:rsidR="00835192" w:rsidRPr="00FF756A" w:rsidRDefault="00835192" w:rsidP="00835192">
            <w:pPr>
              <w:spacing w:before="20" w:after="20" w:line="240" w:lineRule="auto"/>
              <w:rPr>
                <w:i/>
                <w:iCs/>
                <w:sz w:val="20"/>
                <w:szCs w:val="20"/>
              </w:rPr>
            </w:pPr>
            <w:r w:rsidRPr="00FF756A">
              <w:rPr>
                <w:i/>
                <w:iCs/>
                <w:sz w:val="20"/>
                <w:szCs w:val="20"/>
              </w:rPr>
              <w:t xml:space="preserve">Mekanizmat e financimit: </w:t>
            </w:r>
          </w:p>
          <w:p w14:paraId="6D4B5205" w14:textId="77777777" w:rsidR="00835192" w:rsidRPr="00FF756A" w:rsidRDefault="00835192" w:rsidP="008639B2">
            <w:pPr>
              <w:numPr>
                <w:ilvl w:val="0"/>
                <w:numId w:val="71"/>
              </w:numPr>
              <w:spacing w:before="20" w:after="20" w:line="240" w:lineRule="auto"/>
              <w:contextualSpacing/>
            </w:pPr>
            <w:r w:rsidRPr="00FF756A">
              <w:rPr>
                <w:i/>
                <w:iCs/>
                <w:sz w:val="20"/>
                <w:szCs w:val="20"/>
              </w:rPr>
              <w:t>Përcaktimi dhe sigurimi i mekanizmave financiare për investimet në kuadër të EE-së për rinovimin e stokut të ndërtesave</w:t>
            </w:r>
          </w:p>
        </w:tc>
        <w:tc>
          <w:tcPr>
            <w:tcW w:w="850" w:type="dxa"/>
          </w:tcPr>
          <w:p w14:paraId="7D96849F" w14:textId="77777777" w:rsidR="00835192" w:rsidRPr="00FF756A" w:rsidRDefault="00835192" w:rsidP="00835192">
            <w:pPr>
              <w:spacing w:before="20" w:after="20" w:line="240" w:lineRule="auto"/>
              <w:rPr>
                <w:i/>
                <w:iCs/>
                <w:sz w:val="20"/>
                <w:szCs w:val="20"/>
              </w:rPr>
            </w:pPr>
            <w:r w:rsidRPr="00FF756A">
              <w:rPr>
                <w:i/>
                <w:iCs/>
                <w:sz w:val="20"/>
                <w:szCs w:val="20"/>
              </w:rPr>
              <w:t>brenda vitit 2024</w:t>
            </w:r>
          </w:p>
          <w:p w14:paraId="126ABCE1" w14:textId="77777777" w:rsidR="00835192" w:rsidRPr="00FF756A" w:rsidRDefault="00835192" w:rsidP="00835192">
            <w:pPr>
              <w:spacing w:before="20" w:after="20" w:line="240" w:lineRule="auto"/>
              <w:rPr>
                <w:i/>
                <w:iCs/>
                <w:sz w:val="20"/>
                <w:szCs w:val="20"/>
              </w:rPr>
            </w:pP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p>
          <w:p w14:paraId="23DCB39F" w14:textId="77777777" w:rsidR="00835192" w:rsidRPr="00FF756A" w:rsidRDefault="00835192" w:rsidP="00835192">
            <w:pPr>
              <w:spacing w:before="20" w:after="20" w:line="240" w:lineRule="auto"/>
              <w:rPr>
                <w:i/>
                <w:iCs/>
                <w:sz w:val="20"/>
                <w:szCs w:val="20"/>
              </w:rPr>
            </w:pPr>
            <w:r w:rsidRPr="00FF756A">
              <w:rPr>
                <w:i/>
                <w:iCs/>
                <w:sz w:val="20"/>
                <w:szCs w:val="20"/>
              </w:rPr>
              <w:t>brenda vitit 2026</w:t>
            </w:r>
          </w:p>
          <w:p w14:paraId="64E390DC" w14:textId="77777777" w:rsidR="00835192" w:rsidRPr="00FF756A" w:rsidRDefault="00835192" w:rsidP="00835192">
            <w:pPr>
              <w:spacing w:before="20" w:after="20" w:line="240" w:lineRule="auto"/>
              <w:rPr>
                <w:i/>
                <w:iCs/>
                <w:sz w:val="20"/>
                <w:szCs w:val="20"/>
              </w:rPr>
            </w:pPr>
            <w:r w:rsidRPr="00FF756A">
              <w:rPr>
                <w:i/>
                <w:iCs/>
                <w:sz w:val="20"/>
                <w:szCs w:val="20"/>
              </w:rPr>
              <w:br/>
            </w:r>
            <w:r w:rsidRPr="00FF756A">
              <w:rPr>
                <w:i/>
                <w:iCs/>
                <w:sz w:val="20"/>
                <w:szCs w:val="20"/>
              </w:rPr>
              <w:br/>
            </w:r>
            <w:r w:rsidRPr="00FF756A">
              <w:rPr>
                <w:i/>
                <w:iCs/>
                <w:sz w:val="20"/>
                <w:szCs w:val="20"/>
              </w:rPr>
              <w:br/>
            </w:r>
            <w:r w:rsidRPr="00FF756A">
              <w:rPr>
                <w:i/>
                <w:iCs/>
                <w:sz w:val="20"/>
                <w:szCs w:val="20"/>
              </w:rPr>
              <w:br/>
            </w:r>
          </w:p>
          <w:p w14:paraId="0939274F" w14:textId="77777777" w:rsidR="00835192" w:rsidRPr="00FF756A" w:rsidRDefault="00835192" w:rsidP="00835192">
            <w:pPr>
              <w:spacing w:before="20" w:after="20" w:line="240" w:lineRule="auto"/>
              <w:rPr>
                <w:i/>
                <w:iCs/>
                <w:sz w:val="20"/>
                <w:szCs w:val="20"/>
              </w:rPr>
            </w:pPr>
            <w:r w:rsidRPr="00FF756A">
              <w:rPr>
                <w:i/>
                <w:iCs/>
                <w:sz w:val="20"/>
                <w:szCs w:val="20"/>
              </w:rPr>
              <w:br/>
            </w:r>
          </w:p>
          <w:p w14:paraId="70A5BDF0" w14:textId="77777777" w:rsidR="00835192" w:rsidRPr="00FF756A" w:rsidRDefault="00835192" w:rsidP="00835192">
            <w:pPr>
              <w:spacing w:before="20" w:after="20" w:line="240" w:lineRule="auto"/>
              <w:rPr>
                <w:i/>
                <w:iCs/>
                <w:sz w:val="20"/>
                <w:szCs w:val="20"/>
              </w:rPr>
            </w:pPr>
            <w:r w:rsidRPr="00FF756A">
              <w:rPr>
                <w:i/>
                <w:iCs/>
                <w:sz w:val="20"/>
                <w:szCs w:val="20"/>
              </w:rPr>
              <w:t>brenda vitit 2026</w:t>
            </w:r>
          </w:p>
          <w:p w14:paraId="2174A1E4" w14:textId="77777777" w:rsidR="00835192" w:rsidRPr="00FF756A" w:rsidRDefault="00835192" w:rsidP="00835192">
            <w:pPr>
              <w:spacing w:before="20" w:after="20" w:line="240" w:lineRule="auto"/>
              <w:rPr>
                <w:i/>
                <w:iCs/>
                <w:sz w:val="20"/>
                <w:szCs w:val="20"/>
              </w:rPr>
            </w:pPr>
          </w:p>
        </w:tc>
      </w:tr>
      <w:tr w:rsidR="00835192" w:rsidRPr="00FF756A" w14:paraId="12B6D2F4" w14:textId="77777777" w:rsidTr="004A3257">
        <w:trPr>
          <w:trHeight w:val="20"/>
        </w:trPr>
        <w:tc>
          <w:tcPr>
            <w:tcW w:w="2199" w:type="dxa"/>
          </w:tcPr>
          <w:p w14:paraId="70EF7512"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3" w:type="dxa"/>
            <w:gridSpan w:val="5"/>
          </w:tcPr>
          <w:p w14:paraId="2D6B2B80" w14:textId="77777777" w:rsidR="00835192" w:rsidRPr="00FF756A" w:rsidRDefault="00835192" w:rsidP="00835192">
            <w:pPr>
              <w:spacing w:before="20" w:after="20" w:line="240" w:lineRule="auto"/>
              <w:rPr>
                <w:i/>
                <w:iCs/>
                <w:sz w:val="20"/>
                <w:szCs w:val="20"/>
              </w:rPr>
            </w:pPr>
            <w:r w:rsidRPr="00FF756A">
              <w:rPr>
                <w:i/>
                <w:iCs/>
                <w:sz w:val="20"/>
                <w:szCs w:val="20"/>
              </w:rPr>
              <w:t>Studimi për zhvillimin e planit afatgjatë të rinovimit të ndërtesave financohet nga BERZH (2024).</w:t>
            </w:r>
          </w:p>
          <w:p w14:paraId="0370A000" w14:textId="77777777" w:rsidR="00835192" w:rsidRPr="00FF756A" w:rsidRDefault="00835192" w:rsidP="00835192">
            <w:pPr>
              <w:spacing w:before="20" w:after="20" w:line="240" w:lineRule="auto"/>
              <w:rPr>
                <w:i/>
                <w:iCs/>
                <w:sz w:val="20"/>
                <w:szCs w:val="20"/>
              </w:rPr>
            </w:pPr>
            <w:r w:rsidRPr="00FF756A">
              <w:rPr>
                <w:i/>
                <w:iCs/>
                <w:sz w:val="20"/>
                <w:szCs w:val="20"/>
              </w:rPr>
              <w:t>1 milion euro për të mbështetur zbatimin e masave të mësipërme nga banka KfW, fondet e BE-së, fonde shtesë nga buxheti i shtetit dhe bashkisë, si dhe nga sektori privat.</w:t>
            </w:r>
          </w:p>
        </w:tc>
      </w:tr>
      <w:tr w:rsidR="00835192" w:rsidRPr="00FF756A" w14:paraId="300B809B" w14:textId="77777777" w:rsidTr="004A3257">
        <w:trPr>
          <w:trHeight w:val="20"/>
        </w:trPr>
        <w:tc>
          <w:tcPr>
            <w:tcW w:w="2199" w:type="dxa"/>
          </w:tcPr>
          <w:p w14:paraId="0AC7A1E7"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279AC46E"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3" w:type="dxa"/>
            <w:gridSpan w:val="5"/>
          </w:tcPr>
          <w:p w14:paraId="776E7B8F"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Agjencia për Efiçencën e Energjisë, Bashkitë</w:t>
            </w:r>
          </w:p>
          <w:p w14:paraId="648727B7" w14:textId="77777777" w:rsidR="00835192" w:rsidRPr="00FF756A" w:rsidRDefault="00835192" w:rsidP="00835192">
            <w:pPr>
              <w:spacing w:before="20" w:after="20" w:line="240" w:lineRule="auto"/>
              <w:rPr>
                <w:i/>
                <w:iCs/>
                <w:sz w:val="20"/>
                <w:szCs w:val="20"/>
              </w:rPr>
            </w:pPr>
            <w:r w:rsidRPr="00FF756A">
              <w:rPr>
                <w:i/>
                <w:iCs/>
                <w:sz w:val="20"/>
                <w:szCs w:val="20"/>
              </w:rPr>
              <w:t>(Agjencia për Efiçencën e Energjisë; Qeveria Vendore)</w:t>
            </w:r>
          </w:p>
        </w:tc>
      </w:tr>
      <w:tr w:rsidR="00835192" w:rsidRPr="00FF756A" w14:paraId="202A4AC7" w14:textId="77777777" w:rsidTr="004A3257">
        <w:trPr>
          <w:trHeight w:val="20"/>
        </w:trPr>
        <w:tc>
          <w:tcPr>
            <w:tcW w:w="2199" w:type="dxa"/>
          </w:tcPr>
          <w:p w14:paraId="44518E14"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3" w:type="dxa"/>
            <w:gridSpan w:val="5"/>
          </w:tcPr>
          <w:p w14:paraId="07C471F5" w14:textId="77777777" w:rsidR="00835192" w:rsidRPr="00FF756A" w:rsidRDefault="00835192" w:rsidP="00835192">
            <w:pPr>
              <w:spacing w:before="20" w:after="20" w:line="240" w:lineRule="auto"/>
              <w:rPr>
                <w:i/>
                <w:iCs/>
                <w:sz w:val="20"/>
                <w:szCs w:val="20"/>
              </w:rPr>
            </w:pPr>
            <w:r w:rsidRPr="00FF756A">
              <w:rPr>
                <w:i/>
                <w:iCs/>
                <w:sz w:val="20"/>
                <w:szCs w:val="20"/>
              </w:rPr>
              <w:t>Siguria energjetike; Dekarbonizimi; Kërkimi, inovacioni dhe konkurrenca</w:t>
            </w:r>
          </w:p>
          <w:p w14:paraId="16546B92" w14:textId="77777777" w:rsidR="00835192" w:rsidRPr="00FF756A" w:rsidRDefault="00835192" w:rsidP="00835192">
            <w:pPr>
              <w:spacing w:before="20" w:after="20" w:line="240" w:lineRule="auto"/>
              <w:rPr>
                <w:i/>
                <w:iCs/>
                <w:sz w:val="20"/>
                <w:szCs w:val="20"/>
              </w:rPr>
            </w:pPr>
            <w:r w:rsidRPr="00FF756A">
              <w:rPr>
                <w:i/>
                <w:iCs/>
                <w:sz w:val="20"/>
                <w:szCs w:val="20"/>
              </w:rPr>
              <w:t>Marrëdhënia me PM-të e mëposhtme:</w:t>
            </w:r>
          </w:p>
          <w:p w14:paraId="3FAF6FEB" w14:textId="77777777" w:rsidR="00835192" w:rsidRPr="00FF756A" w:rsidRDefault="00835192" w:rsidP="00835192">
            <w:pPr>
              <w:spacing w:before="20" w:after="20" w:line="240" w:lineRule="auto"/>
              <w:rPr>
                <w:i/>
                <w:iCs/>
                <w:sz w:val="20"/>
                <w:szCs w:val="20"/>
              </w:rPr>
            </w:pPr>
            <w:r w:rsidRPr="00FF756A">
              <w:rPr>
                <w:i/>
                <w:iCs/>
                <w:sz w:val="20"/>
                <w:szCs w:val="20"/>
              </w:rPr>
              <w:t>EE-L3: Standardet minimale të performancës së energjisë për ndërtesat jorezidenciale dhe trajektoret për rinovimin progresiv të stokut të ndërtesave rezidenciale</w:t>
            </w:r>
          </w:p>
          <w:p w14:paraId="486566D5" w14:textId="77777777" w:rsidR="00835192" w:rsidRPr="00FF756A" w:rsidRDefault="00835192" w:rsidP="00835192">
            <w:pPr>
              <w:spacing w:before="20" w:after="20" w:line="240" w:lineRule="auto"/>
              <w:rPr>
                <w:i/>
                <w:iCs/>
                <w:sz w:val="20"/>
                <w:szCs w:val="20"/>
              </w:rPr>
            </w:pPr>
            <w:r w:rsidRPr="00FF756A">
              <w:rPr>
                <w:i/>
                <w:iCs/>
                <w:sz w:val="20"/>
                <w:szCs w:val="20"/>
              </w:rPr>
              <w:t>EE-L4: Rikonstruktimi i ndërtesave ekzistuese të qeverisë qendrore (me përjashtim të ndërtesave të tjera publike në pronësi të bashkive, etj.)</w:t>
            </w:r>
          </w:p>
          <w:p w14:paraId="7526D8C2" w14:textId="77777777" w:rsidR="00835192" w:rsidRPr="00FF756A" w:rsidRDefault="00835192" w:rsidP="00835192">
            <w:pPr>
              <w:spacing w:before="20" w:after="20" w:line="240" w:lineRule="auto"/>
              <w:rPr>
                <w:i/>
                <w:iCs/>
                <w:sz w:val="20"/>
                <w:szCs w:val="20"/>
              </w:rPr>
            </w:pPr>
            <w:r w:rsidRPr="00FF756A">
              <w:rPr>
                <w:i/>
                <w:iCs/>
                <w:sz w:val="20"/>
                <w:szCs w:val="20"/>
              </w:rPr>
              <w:t>EE-L5: Rikonstruktimi i stokut të ndërtesave publike (të gjitha ndërtesat publike me përjashtim të atyre të qeverisë qendrore)</w:t>
            </w:r>
          </w:p>
          <w:p w14:paraId="6E569371" w14:textId="77777777" w:rsidR="00835192" w:rsidRPr="00FF756A" w:rsidRDefault="00835192" w:rsidP="00835192">
            <w:pPr>
              <w:spacing w:before="20" w:after="20" w:line="240" w:lineRule="auto"/>
              <w:rPr>
                <w:i/>
                <w:iCs/>
                <w:sz w:val="20"/>
                <w:szCs w:val="20"/>
              </w:rPr>
            </w:pPr>
            <w:r w:rsidRPr="00FF756A">
              <w:rPr>
                <w:i/>
                <w:iCs/>
                <w:sz w:val="20"/>
                <w:szCs w:val="20"/>
              </w:rPr>
              <w:t>EE-L6: Skemat e mbështetjes financiare për përmirësimin e efiçencës së energjisë në ndërtesa (sektori privat)</w:t>
            </w:r>
          </w:p>
          <w:p w14:paraId="0A6357C1" w14:textId="77777777" w:rsidR="00835192" w:rsidRPr="00FF756A" w:rsidRDefault="00835192" w:rsidP="00835192">
            <w:pPr>
              <w:spacing w:before="20" w:after="20" w:line="240" w:lineRule="auto"/>
              <w:rPr>
                <w:i/>
                <w:iCs/>
                <w:sz w:val="20"/>
                <w:szCs w:val="20"/>
              </w:rPr>
            </w:pPr>
            <w:r w:rsidRPr="00FF756A">
              <w:rPr>
                <w:i/>
                <w:iCs/>
                <w:sz w:val="20"/>
                <w:szCs w:val="20"/>
              </w:rPr>
              <w:t>EM-P1: Eliminimi i varfërisë energjetike</w:t>
            </w:r>
          </w:p>
        </w:tc>
      </w:tr>
    </w:tbl>
    <w:p w14:paraId="11836899"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7"/>
        <w:gridCol w:w="1280"/>
        <w:gridCol w:w="600"/>
        <w:gridCol w:w="429"/>
        <w:gridCol w:w="3706"/>
        <w:gridCol w:w="850"/>
      </w:tblGrid>
      <w:tr w:rsidR="00835192" w:rsidRPr="00FF756A" w14:paraId="3E769CAE" w14:textId="77777777" w:rsidTr="004A3257">
        <w:trPr>
          <w:trHeight w:val="20"/>
        </w:trPr>
        <w:tc>
          <w:tcPr>
            <w:tcW w:w="4511" w:type="dxa"/>
            <w:gridSpan w:val="4"/>
            <w:shd w:val="clear" w:color="auto" w:fill="FFF2CC" w:themeFill="accent4" w:themeFillTint="33"/>
          </w:tcPr>
          <w:p w14:paraId="795060D0"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61" w:type="dxa"/>
            <w:gridSpan w:val="2"/>
            <w:shd w:val="clear" w:color="auto" w:fill="FFF2CC" w:themeFill="accent4" w:themeFillTint="33"/>
          </w:tcPr>
          <w:p w14:paraId="1B9F0459" w14:textId="77777777" w:rsidR="00835192" w:rsidRPr="00FF756A" w:rsidRDefault="00835192" w:rsidP="008639B2">
            <w:pPr>
              <w:numPr>
                <w:ilvl w:val="0"/>
                <w:numId w:val="145"/>
              </w:numPr>
              <w:spacing w:before="20" w:after="20" w:line="240" w:lineRule="auto"/>
              <w:contextualSpacing/>
              <w:rPr>
                <w:rFonts w:eastAsia="Times New Roman"/>
                <w:i/>
                <w:iCs/>
                <w:sz w:val="20"/>
                <w:szCs w:val="20"/>
              </w:rPr>
            </w:pPr>
            <w:r w:rsidRPr="00FF756A">
              <w:rPr>
                <w:i/>
                <w:iCs/>
                <w:sz w:val="20"/>
                <w:szCs w:val="20"/>
              </w:rPr>
              <w:t>Efiçenca e energjisë</w:t>
            </w:r>
          </w:p>
        </w:tc>
      </w:tr>
      <w:tr w:rsidR="00835192" w:rsidRPr="00FF756A" w14:paraId="55357C2F" w14:textId="77777777" w:rsidTr="004A3257">
        <w:trPr>
          <w:trHeight w:val="20"/>
        </w:trPr>
        <w:tc>
          <w:tcPr>
            <w:tcW w:w="4081" w:type="dxa"/>
            <w:gridSpan w:val="3"/>
            <w:shd w:val="clear" w:color="auto" w:fill="FFF2CC" w:themeFill="accent4" w:themeFillTint="33"/>
          </w:tcPr>
          <w:p w14:paraId="67658A96"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91" w:type="dxa"/>
            <w:gridSpan w:val="3"/>
            <w:shd w:val="clear" w:color="auto" w:fill="FFF2CC" w:themeFill="accent4" w:themeFillTint="33"/>
          </w:tcPr>
          <w:p w14:paraId="3D82925B" w14:textId="77777777" w:rsidR="00835192" w:rsidRPr="00FF756A" w:rsidRDefault="00835192" w:rsidP="00835192">
            <w:pPr>
              <w:spacing w:before="20" w:after="20" w:line="240" w:lineRule="auto"/>
              <w:rPr>
                <w:i/>
                <w:iCs/>
                <w:sz w:val="20"/>
                <w:szCs w:val="20"/>
              </w:rPr>
            </w:pPr>
            <w:r w:rsidRPr="00FF756A">
              <w:rPr>
                <w:i/>
                <w:iCs/>
                <w:sz w:val="20"/>
                <w:szCs w:val="20"/>
              </w:rPr>
              <w:t>Sektori i ndërtesave</w:t>
            </w:r>
          </w:p>
        </w:tc>
      </w:tr>
      <w:tr w:rsidR="00835192" w:rsidRPr="00FF756A" w14:paraId="10BC343F" w14:textId="77777777" w:rsidTr="004A3257">
        <w:trPr>
          <w:trHeight w:val="20"/>
        </w:trPr>
        <w:tc>
          <w:tcPr>
            <w:tcW w:w="3480" w:type="dxa"/>
            <w:gridSpan w:val="2"/>
          </w:tcPr>
          <w:p w14:paraId="7FE9E9B7"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4BB81F18"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2" w:type="dxa"/>
            <w:gridSpan w:val="4"/>
          </w:tcPr>
          <w:p w14:paraId="718DC13E" w14:textId="77777777" w:rsidR="00835192" w:rsidRPr="00FF756A" w:rsidRDefault="00835192" w:rsidP="00835192">
            <w:pPr>
              <w:spacing w:before="20" w:after="20" w:line="240" w:lineRule="auto"/>
              <w:rPr>
                <w:i/>
                <w:iCs/>
                <w:sz w:val="20"/>
                <w:szCs w:val="20"/>
              </w:rPr>
            </w:pPr>
            <w:r w:rsidRPr="00FF756A">
              <w:rPr>
                <w:i/>
                <w:iCs/>
                <w:sz w:val="20"/>
                <w:szCs w:val="20"/>
              </w:rPr>
              <w:t xml:space="preserve">WAM </w:t>
            </w:r>
          </w:p>
          <w:p w14:paraId="663B6C72" w14:textId="77777777" w:rsidR="00835192" w:rsidRPr="00FF756A" w:rsidRDefault="00835192" w:rsidP="00835192">
            <w:pPr>
              <w:spacing w:before="20" w:after="20" w:line="240" w:lineRule="auto"/>
              <w:rPr>
                <w:i/>
                <w:iCs/>
                <w:sz w:val="20"/>
                <w:szCs w:val="20"/>
              </w:rPr>
            </w:pPr>
            <w:r w:rsidRPr="00FF756A">
              <w:rPr>
                <w:i/>
                <w:iCs/>
                <w:sz w:val="20"/>
                <w:szCs w:val="20"/>
              </w:rPr>
              <w:t>Rregullator dhe teknik</w:t>
            </w:r>
          </w:p>
        </w:tc>
      </w:tr>
      <w:tr w:rsidR="00835192" w:rsidRPr="00FF756A" w14:paraId="627118F4" w14:textId="77777777" w:rsidTr="004A3257">
        <w:trPr>
          <w:trHeight w:val="20"/>
        </w:trPr>
        <w:tc>
          <w:tcPr>
            <w:tcW w:w="2198" w:type="dxa"/>
          </w:tcPr>
          <w:p w14:paraId="1F2D1EC5"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Titulli i PM</w:t>
            </w:r>
          </w:p>
          <w:p w14:paraId="210222CA"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4" w:type="dxa"/>
            <w:gridSpan w:val="5"/>
          </w:tcPr>
          <w:p w14:paraId="69FD7433" w14:textId="77777777" w:rsidR="00835192" w:rsidRPr="00FF756A" w:rsidRDefault="00835192" w:rsidP="00835192">
            <w:pPr>
              <w:spacing w:before="20" w:after="20" w:line="240" w:lineRule="auto"/>
              <w:rPr>
                <w:i/>
                <w:iCs/>
                <w:sz w:val="20"/>
                <w:szCs w:val="20"/>
              </w:rPr>
            </w:pPr>
            <w:r w:rsidRPr="00FF756A">
              <w:rPr>
                <w:i/>
                <w:iCs/>
                <w:sz w:val="20"/>
                <w:szCs w:val="20"/>
              </w:rPr>
              <w:t xml:space="preserve">Standardet minimale të performancës së energjisë për ndërtesat jorezidenciale dhe trajektoret për rinovimin progresiv të stokut të ndërtesave rezidenciale </w:t>
            </w:r>
          </w:p>
          <w:p w14:paraId="3B5FBA0B" w14:textId="77777777" w:rsidR="00835192" w:rsidRPr="00FF756A" w:rsidRDefault="00835192" w:rsidP="00835192">
            <w:pPr>
              <w:spacing w:before="20" w:after="20" w:line="240" w:lineRule="auto"/>
              <w:rPr>
                <w:i/>
                <w:iCs/>
                <w:sz w:val="20"/>
                <w:szCs w:val="20"/>
              </w:rPr>
            </w:pPr>
            <w:r w:rsidRPr="00FF756A">
              <w:rPr>
                <w:i/>
                <w:iCs/>
                <w:sz w:val="20"/>
                <w:szCs w:val="20"/>
              </w:rPr>
              <w:t>(EE-L3)</w:t>
            </w:r>
          </w:p>
        </w:tc>
      </w:tr>
      <w:tr w:rsidR="00835192" w:rsidRPr="00FF756A" w14:paraId="0D05880C" w14:textId="77777777" w:rsidTr="004A3257">
        <w:trPr>
          <w:trHeight w:val="20"/>
        </w:trPr>
        <w:tc>
          <w:tcPr>
            <w:tcW w:w="2198" w:type="dxa"/>
          </w:tcPr>
          <w:p w14:paraId="27D72421"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4" w:type="dxa"/>
            <w:gridSpan w:val="5"/>
          </w:tcPr>
          <w:p w14:paraId="0391D784" w14:textId="77777777" w:rsidR="00835192" w:rsidRPr="00FF756A" w:rsidRDefault="00835192" w:rsidP="00835192">
            <w:pPr>
              <w:spacing w:before="20" w:after="20" w:line="240" w:lineRule="auto"/>
              <w:rPr>
                <w:i/>
                <w:iCs/>
                <w:sz w:val="20"/>
                <w:szCs w:val="20"/>
              </w:rPr>
            </w:pPr>
            <w:r w:rsidRPr="00FF756A">
              <w:rPr>
                <w:i/>
                <w:iCs/>
                <w:sz w:val="20"/>
                <w:szCs w:val="20"/>
              </w:rPr>
              <w:t>2025 – në vazhdim</w:t>
            </w:r>
          </w:p>
        </w:tc>
      </w:tr>
      <w:tr w:rsidR="00835192" w:rsidRPr="00FF756A" w14:paraId="5D88D9A7" w14:textId="77777777" w:rsidTr="004A3257">
        <w:trPr>
          <w:trHeight w:val="20"/>
        </w:trPr>
        <w:tc>
          <w:tcPr>
            <w:tcW w:w="2198" w:type="dxa"/>
          </w:tcPr>
          <w:p w14:paraId="2840E477"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4" w:type="dxa"/>
            <w:gridSpan w:val="5"/>
          </w:tcPr>
          <w:p w14:paraId="5C89743B" w14:textId="77777777" w:rsidR="00835192" w:rsidRPr="00FF756A" w:rsidRDefault="00835192" w:rsidP="00835192">
            <w:pPr>
              <w:spacing w:before="20" w:after="20" w:line="240" w:lineRule="auto"/>
              <w:rPr>
                <w:i/>
                <w:iCs/>
                <w:sz w:val="20"/>
                <w:szCs w:val="20"/>
              </w:rPr>
            </w:pPr>
            <w:r w:rsidRPr="00FF756A">
              <w:rPr>
                <w:i/>
                <w:iCs/>
                <w:sz w:val="20"/>
                <w:szCs w:val="20"/>
              </w:rPr>
              <w:t>Ligji “Për performancën e energjisë në ndërtesave”</w:t>
            </w:r>
          </w:p>
          <w:p w14:paraId="203CF4D2" w14:textId="77777777" w:rsidR="00835192" w:rsidRPr="00FF756A" w:rsidRDefault="00835192" w:rsidP="00835192">
            <w:pPr>
              <w:spacing w:before="20" w:after="20" w:line="240" w:lineRule="auto"/>
              <w:rPr>
                <w:i/>
                <w:iCs/>
                <w:sz w:val="20"/>
                <w:szCs w:val="20"/>
              </w:rPr>
            </w:pPr>
            <w:r w:rsidRPr="00FF756A">
              <w:rPr>
                <w:i/>
                <w:iCs/>
                <w:sz w:val="20"/>
                <w:szCs w:val="20"/>
              </w:rPr>
              <w:t>Direktiva për Performancën e Energjisë së Ndërtesave (BE/2024/1275) (riformuluar)</w:t>
            </w:r>
          </w:p>
        </w:tc>
      </w:tr>
      <w:tr w:rsidR="00835192" w:rsidRPr="00FF756A" w14:paraId="2E0FC532" w14:textId="77777777" w:rsidTr="004A3257">
        <w:trPr>
          <w:trHeight w:val="20"/>
        </w:trPr>
        <w:tc>
          <w:tcPr>
            <w:tcW w:w="2198" w:type="dxa"/>
          </w:tcPr>
          <w:p w14:paraId="6612D2CD"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4" w:type="dxa"/>
            <w:gridSpan w:val="5"/>
          </w:tcPr>
          <w:p w14:paraId="7B2DFB54" w14:textId="77777777" w:rsidR="00835192" w:rsidRPr="00FF756A" w:rsidRDefault="00835192" w:rsidP="00835192">
            <w:pPr>
              <w:spacing w:before="20" w:after="20" w:line="240" w:lineRule="auto"/>
              <w:rPr>
                <w:i/>
                <w:iCs/>
                <w:sz w:val="20"/>
                <w:szCs w:val="20"/>
              </w:rPr>
            </w:pPr>
            <w:r w:rsidRPr="00FF756A">
              <w:rPr>
                <w:i/>
                <w:iCs/>
                <w:sz w:val="20"/>
                <w:szCs w:val="20"/>
              </w:rPr>
              <w:t>Asnjë masë e marrë deri më tani, veprimtari e re</w:t>
            </w:r>
          </w:p>
        </w:tc>
      </w:tr>
      <w:tr w:rsidR="00835192" w:rsidRPr="00FF756A" w14:paraId="0E85A6C7" w14:textId="77777777" w:rsidTr="004A3257">
        <w:trPr>
          <w:trHeight w:val="20"/>
        </w:trPr>
        <w:tc>
          <w:tcPr>
            <w:tcW w:w="2198" w:type="dxa"/>
          </w:tcPr>
          <w:p w14:paraId="2E0CD66C"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4" w:type="dxa"/>
            <w:gridSpan w:val="5"/>
          </w:tcPr>
          <w:p w14:paraId="3D8ABD1C" w14:textId="77777777" w:rsidR="00835192" w:rsidRPr="00FF756A" w:rsidRDefault="00835192" w:rsidP="00835192">
            <w:pPr>
              <w:spacing w:before="20" w:after="20" w:line="240" w:lineRule="auto"/>
              <w:rPr>
                <w:i/>
                <w:iCs/>
                <w:sz w:val="20"/>
                <w:szCs w:val="20"/>
              </w:rPr>
            </w:pPr>
            <w:r w:rsidRPr="00FF756A">
              <w:rPr>
                <w:i/>
                <w:iCs/>
                <w:sz w:val="20"/>
                <w:szCs w:val="20"/>
              </w:rPr>
              <w:t>Sigurimi i përputhshmërisë së dekarbonizimit dhe reduktimit të përdorimit të energjisë së stokut kombëtar të ndërtesave me objektivin e neutralitetit klimatik brenda vitit 2050.</w:t>
            </w:r>
          </w:p>
        </w:tc>
      </w:tr>
      <w:tr w:rsidR="00835192" w:rsidRPr="00FF756A" w14:paraId="45D1730A" w14:textId="77777777" w:rsidTr="004A3257">
        <w:trPr>
          <w:trHeight w:val="20"/>
        </w:trPr>
        <w:tc>
          <w:tcPr>
            <w:tcW w:w="2198" w:type="dxa"/>
          </w:tcPr>
          <w:p w14:paraId="385BDE56"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4" w:type="dxa"/>
            <w:gridSpan w:val="5"/>
          </w:tcPr>
          <w:p w14:paraId="376D4C01" w14:textId="77777777" w:rsidR="00835192" w:rsidRPr="00FF756A" w:rsidRDefault="00835192" w:rsidP="00835192">
            <w:pPr>
              <w:spacing w:before="20" w:after="20" w:line="240" w:lineRule="auto"/>
              <w:contextualSpacing/>
              <w:jc w:val="left"/>
              <w:rPr>
                <w:rFonts w:eastAsia="Times New Roman"/>
                <w:i/>
                <w:iCs/>
                <w:sz w:val="20"/>
                <w:szCs w:val="20"/>
              </w:rPr>
            </w:pPr>
            <w:r w:rsidRPr="00FF756A">
              <w:rPr>
                <w:i/>
                <w:iCs/>
                <w:sz w:val="20"/>
                <w:szCs w:val="20"/>
              </w:rPr>
              <w:t>Hartimi i legjislacionit për standardet minimale të performancës së energjisë.</w:t>
            </w:r>
          </w:p>
          <w:p w14:paraId="77099621" w14:textId="77777777" w:rsidR="00835192" w:rsidRPr="00FF756A" w:rsidRDefault="00835192" w:rsidP="00835192">
            <w:pPr>
              <w:spacing w:before="20" w:after="20" w:line="240" w:lineRule="auto"/>
              <w:contextualSpacing/>
              <w:jc w:val="left"/>
              <w:rPr>
                <w:rFonts w:eastAsia="Times New Roman"/>
                <w:i/>
                <w:iCs/>
                <w:sz w:val="20"/>
                <w:szCs w:val="20"/>
              </w:rPr>
            </w:pPr>
            <w:r w:rsidRPr="00FF756A">
              <w:rPr>
                <w:i/>
                <w:iCs/>
                <w:sz w:val="20"/>
                <w:szCs w:val="20"/>
              </w:rPr>
              <w:t>Hartimi i planit për ndjekjen e trajektores për rinovimin e ndërtesave.</w:t>
            </w:r>
          </w:p>
        </w:tc>
      </w:tr>
      <w:tr w:rsidR="00835192" w:rsidRPr="00FF756A" w14:paraId="6B18AF20" w14:textId="77777777" w:rsidTr="004A3257">
        <w:trPr>
          <w:trHeight w:val="20"/>
        </w:trPr>
        <w:tc>
          <w:tcPr>
            <w:tcW w:w="2198" w:type="dxa"/>
          </w:tcPr>
          <w:p w14:paraId="0F3714A3"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4" w:type="dxa"/>
            <w:gridSpan w:val="4"/>
          </w:tcPr>
          <w:p w14:paraId="4F1F6810" w14:textId="77777777" w:rsidR="00835192" w:rsidRPr="00FF756A" w:rsidRDefault="00835192" w:rsidP="00835192">
            <w:pPr>
              <w:spacing w:before="20" w:after="20" w:line="240" w:lineRule="auto"/>
              <w:rPr>
                <w:rFonts w:eastAsia="Times New Roman"/>
                <w:i/>
                <w:iCs/>
                <w:sz w:val="20"/>
                <w:szCs w:val="20"/>
              </w:rPr>
            </w:pPr>
            <w:r w:rsidRPr="00FF756A">
              <w:rPr>
                <w:i/>
                <w:iCs/>
                <w:sz w:val="20"/>
                <w:szCs w:val="20"/>
              </w:rPr>
              <w:t xml:space="preserve">Kryerja e një studimi për të përcaktuar standardet minimale të performancës së energjisë për ndërtesat jorezidenciale dhe një trajektore për ndërtesat rezidenciale: </w:t>
            </w:r>
          </w:p>
          <w:p w14:paraId="02E80628" w14:textId="77777777" w:rsidR="00835192" w:rsidRPr="00FF756A" w:rsidRDefault="00835192" w:rsidP="00835192">
            <w:pPr>
              <w:spacing w:before="20" w:after="20" w:line="240" w:lineRule="auto"/>
              <w:rPr>
                <w:rFonts w:eastAsia="Times New Roman"/>
                <w:i/>
                <w:iCs/>
                <w:sz w:val="20"/>
                <w:szCs w:val="20"/>
              </w:rPr>
            </w:pPr>
            <w:r w:rsidRPr="00FF756A">
              <w:rPr>
                <w:i/>
                <w:iCs/>
                <w:sz w:val="20"/>
                <w:szCs w:val="20"/>
              </w:rPr>
              <w:t>Standardet minimale të performancës së energjisë duhet të sigurojnë, të paktën, që të gjitha ndërtesat jorezidenciale të jenë nën:</w:t>
            </w:r>
          </w:p>
          <w:p w14:paraId="1A40E5EE" w14:textId="77777777" w:rsidR="00835192" w:rsidRPr="00FF756A" w:rsidRDefault="00835192" w:rsidP="00835192">
            <w:pPr>
              <w:spacing w:before="20" w:after="20" w:line="240" w:lineRule="auto"/>
              <w:rPr>
                <w:rFonts w:eastAsia="Times New Roman"/>
                <w:i/>
                <w:iCs/>
                <w:sz w:val="20"/>
                <w:szCs w:val="20"/>
              </w:rPr>
            </w:pPr>
            <w:r w:rsidRPr="00FF756A">
              <w:rPr>
                <w:i/>
                <w:iCs/>
                <w:sz w:val="20"/>
                <w:szCs w:val="20"/>
              </w:rPr>
              <w:t>(a)</w:t>
            </w:r>
            <w:r w:rsidRPr="00FF756A">
              <w:rPr>
                <w:i/>
                <w:iCs/>
                <w:sz w:val="20"/>
                <w:szCs w:val="20"/>
              </w:rPr>
              <w:tab/>
              <w:t>pragun prej 16% nga viti 2030; dhe</w:t>
            </w:r>
          </w:p>
          <w:p w14:paraId="46C1942F" w14:textId="77777777" w:rsidR="00835192" w:rsidRPr="00FF756A" w:rsidRDefault="00835192" w:rsidP="00835192">
            <w:pPr>
              <w:spacing w:before="20" w:after="20" w:line="240" w:lineRule="auto"/>
              <w:rPr>
                <w:rFonts w:eastAsia="Times New Roman"/>
                <w:i/>
                <w:iCs/>
                <w:sz w:val="20"/>
                <w:szCs w:val="20"/>
              </w:rPr>
            </w:pPr>
            <w:r w:rsidRPr="00FF756A">
              <w:rPr>
                <w:i/>
                <w:iCs/>
                <w:sz w:val="20"/>
                <w:szCs w:val="20"/>
              </w:rPr>
              <w:t>(b)    pragun prej 26% nga viti 2033.</w:t>
            </w:r>
          </w:p>
          <w:p w14:paraId="0B5EACD0" w14:textId="77777777" w:rsidR="00835192" w:rsidRPr="00FF756A" w:rsidRDefault="00835192" w:rsidP="00835192">
            <w:pPr>
              <w:spacing w:before="20" w:after="20" w:line="240" w:lineRule="auto"/>
              <w:rPr>
                <w:rFonts w:eastAsia="Times New Roman"/>
                <w:i/>
                <w:iCs/>
                <w:sz w:val="20"/>
                <w:szCs w:val="20"/>
              </w:rPr>
            </w:pPr>
            <w:r w:rsidRPr="00FF756A">
              <w:rPr>
                <w:i/>
                <w:iCs/>
                <w:sz w:val="20"/>
                <w:szCs w:val="20"/>
              </w:rPr>
              <w:t>Trajektorja kombëtare për rinovimin progresiv të stokut të ndërtesave rezidenciale shprehet si një ulje në përdorimin mesatar të energjisë primare në kWh/(m2.v) të të gjithë stokut të ndërtesave rezidenciale gjatë periudhës 2020 - 2050 dhe identifikon numrin e ndërtesave rezidenciale dhe njësive të ndërtesave rezidenciale ose sipërfaqen e ndërtimit që duhet të rinovohet çdo vit, duke përfshirë numrin ose sipërfaqen e ndërtimit të 43% të ndërtesave rezidenciale dhe njësive të ndërtesave rezidenciale me performancën më të dobët.</w:t>
            </w:r>
          </w:p>
          <w:p w14:paraId="4A1863F4" w14:textId="77777777" w:rsidR="00835192" w:rsidRPr="00FF756A" w:rsidRDefault="00835192" w:rsidP="00835192">
            <w:pPr>
              <w:spacing w:before="20" w:after="20" w:line="240" w:lineRule="auto"/>
              <w:rPr>
                <w:rFonts w:eastAsia="Times New Roman"/>
                <w:i/>
                <w:iCs/>
                <w:sz w:val="20"/>
                <w:szCs w:val="20"/>
              </w:rPr>
            </w:pPr>
            <w:r w:rsidRPr="00FF756A">
              <w:rPr>
                <w:i/>
                <w:iCs/>
                <w:sz w:val="20"/>
                <w:szCs w:val="20"/>
              </w:rPr>
              <w:t>Do të sigurohet që përdorimi mesatar i energjisë primare në kWh/(m2.v) të të gjithë stokut të ndërtesave rezidenciale:</w:t>
            </w:r>
          </w:p>
          <w:p w14:paraId="24BF70EB" w14:textId="77777777" w:rsidR="00835192" w:rsidRPr="00FF756A" w:rsidRDefault="00835192" w:rsidP="00835192">
            <w:pPr>
              <w:spacing w:before="20" w:after="20" w:line="240" w:lineRule="auto"/>
              <w:rPr>
                <w:rFonts w:eastAsia="Times New Roman"/>
                <w:i/>
                <w:iCs/>
                <w:sz w:val="20"/>
                <w:szCs w:val="20"/>
              </w:rPr>
            </w:pPr>
            <w:r w:rsidRPr="00FF756A">
              <w:rPr>
                <w:i/>
                <w:iCs/>
                <w:sz w:val="20"/>
                <w:szCs w:val="20"/>
              </w:rPr>
              <w:t>(a)</w:t>
            </w:r>
            <w:r w:rsidRPr="00FF756A">
              <w:rPr>
                <w:i/>
                <w:iCs/>
                <w:sz w:val="20"/>
                <w:szCs w:val="20"/>
              </w:rPr>
              <w:tab/>
              <w:t>ulet me të paktën 16% krahasuar me vitin 2020 deri në vitin 2030;</w:t>
            </w:r>
          </w:p>
          <w:p w14:paraId="5F5BA2B6" w14:textId="77777777" w:rsidR="00835192" w:rsidRPr="00FF756A" w:rsidRDefault="00835192" w:rsidP="00835192">
            <w:pPr>
              <w:spacing w:before="20" w:after="20" w:line="240" w:lineRule="auto"/>
              <w:rPr>
                <w:rFonts w:eastAsia="Times New Roman"/>
                <w:i/>
                <w:iCs/>
                <w:sz w:val="20"/>
                <w:szCs w:val="20"/>
              </w:rPr>
            </w:pPr>
            <w:r w:rsidRPr="00FF756A">
              <w:rPr>
                <w:i/>
                <w:iCs/>
                <w:sz w:val="20"/>
                <w:szCs w:val="20"/>
              </w:rPr>
              <w:t>(b)</w:t>
            </w:r>
            <w:r w:rsidRPr="00FF756A">
              <w:rPr>
                <w:i/>
                <w:iCs/>
                <w:sz w:val="20"/>
                <w:szCs w:val="20"/>
              </w:rPr>
              <w:tab/>
              <w:t>ulet me të paktën 20-22 % krahasuar me vitin 2020 deri në vitin 2035;</w:t>
            </w:r>
          </w:p>
          <w:p w14:paraId="597E1AEC" w14:textId="77777777" w:rsidR="00835192" w:rsidRPr="00FF756A" w:rsidRDefault="00835192" w:rsidP="00835192">
            <w:pPr>
              <w:spacing w:before="20" w:after="20" w:line="240" w:lineRule="auto"/>
              <w:rPr>
                <w:rFonts w:eastAsia="Times New Roman"/>
                <w:i/>
                <w:iCs/>
                <w:sz w:val="20"/>
                <w:szCs w:val="20"/>
              </w:rPr>
            </w:pPr>
            <w:r w:rsidRPr="00FF756A">
              <w:rPr>
                <w:i/>
                <w:iCs/>
                <w:sz w:val="20"/>
                <w:szCs w:val="20"/>
              </w:rPr>
              <w:t>(c)</w:t>
            </w:r>
            <w:r w:rsidRPr="00FF756A">
              <w:rPr>
                <w:i/>
                <w:iCs/>
                <w:sz w:val="20"/>
                <w:szCs w:val="20"/>
              </w:rPr>
              <w:tab/>
              <w:t>deri në vitin 2040, dhe çdo 5 vjet më pas, është ekuivalent ose më i ulët se vlera e përcaktuar në nivel kombëtar që rrjedh nga një rënie progresive e përdorimit mesatar të energjisë primare nga viti 2030 në 2050, në përputhje me transformimin e stokut të ndërtesave rezidenciale në një stok ndërtesash me zero shkarkime.</w:t>
            </w:r>
          </w:p>
        </w:tc>
        <w:tc>
          <w:tcPr>
            <w:tcW w:w="850" w:type="dxa"/>
          </w:tcPr>
          <w:p w14:paraId="55DBC4C5" w14:textId="77777777" w:rsidR="00835192" w:rsidRPr="00FF756A" w:rsidRDefault="00835192" w:rsidP="00835192">
            <w:pPr>
              <w:spacing w:before="20" w:after="20" w:line="240" w:lineRule="auto"/>
              <w:contextualSpacing/>
              <w:rPr>
                <w:rFonts w:eastAsia="Times New Roman"/>
                <w:i/>
                <w:iCs/>
                <w:sz w:val="20"/>
                <w:szCs w:val="20"/>
              </w:rPr>
            </w:pPr>
            <w:r w:rsidRPr="00FF756A">
              <w:rPr>
                <w:i/>
                <w:iCs/>
                <w:sz w:val="20"/>
                <w:szCs w:val="20"/>
              </w:rPr>
              <w:t>brenda vitit 2026</w:t>
            </w:r>
          </w:p>
        </w:tc>
      </w:tr>
      <w:tr w:rsidR="00835192" w:rsidRPr="00FF756A" w14:paraId="43D547A8" w14:textId="77777777" w:rsidTr="004A3257">
        <w:trPr>
          <w:trHeight w:val="20"/>
        </w:trPr>
        <w:tc>
          <w:tcPr>
            <w:tcW w:w="2198" w:type="dxa"/>
          </w:tcPr>
          <w:p w14:paraId="2D035E9B"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4" w:type="dxa"/>
            <w:gridSpan w:val="5"/>
          </w:tcPr>
          <w:p w14:paraId="75511D13" w14:textId="77777777" w:rsidR="00835192" w:rsidRPr="00FF756A" w:rsidRDefault="00835192" w:rsidP="00835192">
            <w:pPr>
              <w:spacing w:before="20" w:after="20" w:line="240" w:lineRule="auto"/>
              <w:rPr>
                <w:i/>
                <w:iCs/>
                <w:sz w:val="20"/>
                <w:szCs w:val="20"/>
              </w:rPr>
            </w:pPr>
            <w:r w:rsidRPr="00FF756A">
              <w:rPr>
                <w:i/>
                <w:iCs/>
                <w:sz w:val="20"/>
                <w:szCs w:val="20"/>
              </w:rPr>
              <w:t>Shihni planin afatgjatë të rinovimit të ndërtesave (EE-L2)</w:t>
            </w:r>
          </w:p>
        </w:tc>
      </w:tr>
      <w:tr w:rsidR="00835192" w:rsidRPr="00FF756A" w14:paraId="1F8D08C4" w14:textId="77777777" w:rsidTr="004A3257">
        <w:trPr>
          <w:trHeight w:val="20"/>
        </w:trPr>
        <w:tc>
          <w:tcPr>
            <w:tcW w:w="2198" w:type="dxa"/>
          </w:tcPr>
          <w:p w14:paraId="682AC548"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4BDF3F69"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4" w:type="dxa"/>
            <w:gridSpan w:val="5"/>
          </w:tcPr>
          <w:p w14:paraId="4E907A55" w14:textId="77777777" w:rsidR="00835192" w:rsidRPr="00FF756A" w:rsidRDefault="00835192" w:rsidP="00835192">
            <w:pPr>
              <w:spacing w:before="20" w:after="20" w:line="240" w:lineRule="auto"/>
              <w:rPr>
                <w:i/>
                <w:iCs/>
                <w:sz w:val="20"/>
                <w:szCs w:val="20"/>
              </w:rPr>
            </w:pPr>
            <w:r w:rsidRPr="00FF756A">
              <w:rPr>
                <w:i/>
                <w:iCs/>
                <w:sz w:val="20"/>
                <w:szCs w:val="20"/>
              </w:rPr>
              <w:t xml:space="preserve">Bashkitë; shoqatat rajonale, Ministria e Infrastrukturës dhe Energjisë </w:t>
            </w:r>
          </w:p>
          <w:p w14:paraId="17B1EAE5"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w:t>
            </w:r>
          </w:p>
        </w:tc>
      </w:tr>
      <w:tr w:rsidR="00835192" w:rsidRPr="00FF756A" w14:paraId="0C9D2724" w14:textId="77777777" w:rsidTr="004A3257">
        <w:trPr>
          <w:trHeight w:val="20"/>
        </w:trPr>
        <w:tc>
          <w:tcPr>
            <w:tcW w:w="2198" w:type="dxa"/>
          </w:tcPr>
          <w:p w14:paraId="00961C2D"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4" w:type="dxa"/>
            <w:gridSpan w:val="5"/>
          </w:tcPr>
          <w:p w14:paraId="19C39D14" w14:textId="77777777" w:rsidR="00835192" w:rsidRPr="00FF756A" w:rsidRDefault="00835192" w:rsidP="00835192">
            <w:pPr>
              <w:spacing w:before="20" w:after="20" w:line="240" w:lineRule="auto"/>
              <w:rPr>
                <w:i/>
                <w:iCs/>
                <w:sz w:val="20"/>
                <w:szCs w:val="20"/>
              </w:rPr>
            </w:pPr>
            <w:r w:rsidRPr="00FF756A">
              <w:rPr>
                <w:i/>
                <w:iCs/>
                <w:sz w:val="20"/>
                <w:szCs w:val="20"/>
              </w:rPr>
              <w:t xml:space="preserve">Marrëdhënia me PM-të e mëposhtme: </w:t>
            </w:r>
          </w:p>
          <w:p w14:paraId="006DBA9F" w14:textId="77777777" w:rsidR="00835192" w:rsidRPr="00FF756A" w:rsidRDefault="00835192" w:rsidP="00835192">
            <w:pPr>
              <w:spacing w:before="20" w:after="20" w:line="240" w:lineRule="auto"/>
              <w:rPr>
                <w:i/>
                <w:iCs/>
                <w:sz w:val="20"/>
                <w:szCs w:val="20"/>
              </w:rPr>
            </w:pPr>
            <w:r w:rsidRPr="00FF756A">
              <w:rPr>
                <w:i/>
                <w:iCs/>
                <w:sz w:val="20"/>
                <w:szCs w:val="20"/>
              </w:rPr>
              <w:t>EE-L2: Plani afatgjatë i rinovimit të ndërtesave (për ndërtesat publike dhe private) sipas riformulimit të EPBD-së në vitin 2024</w:t>
            </w:r>
          </w:p>
        </w:tc>
      </w:tr>
    </w:tbl>
    <w:p w14:paraId="03F342D9"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1278"/>
        <w:gridCol w:w="599"/>
        <w:gridCol w:w="428"/>
        <w:gridCol w:w="3676"/>
        <w:gridCol w:w="883"/>
      </w:tblGrid>
      <w:tr w:rsidR="00835192" w:rsidRPr="00FF756A" w14:paraId="0CA201AB" w14:textId="77777777" w:rsidTr="004A3257">
        <w:trPr>
          <w:trHeight w:val="20"/>
        </w:trPr>
        <w:tc>
          <w:tcPr>
            <w:tcW w:w="4526" w:type="dxa"/>
            <w:gridSpan w:val="4"/>
            <w:shd w:val="clear" w:color="auto" w:fill="FFF2CC" w:themeFill="accent4" w:themeFillTint="33"/>
          </w:tcPr>
          <w:p w14:paraId="26582CFD"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6" w:type="dxa"/>
            <w:gridSpan w:val="2"/>
            <w:shd w:val="clear" w:color="auto" w:fill="FFF2CC" w:themeFill="accent4" w:themeFillTint="33"/>
          </w:tcPr>
          <w:p w14:paraId="1FC2BB8E" w14:textId="77777777" w:rsidR="00835192" w:rsidRPr="00FF756A" w:rsidRDefault="00835192" w:rsidP="008639B2">
            <w:pPr>
              <w:numPr>
                <w:ilvl w:val="0"/>
                <w:numId w:val="100"/>
              </w:numPr>
              <w:spacing w:before="20" w:after="20" w:line="240" w:lineRule="auto"/>
              <w:contextualSpacing/>
              <w:rPr>
                <w:i/>
                <w:iCs/>
                <w:sz w:val="20"/>
                <w:szCs w:val="20"/>
              </w:rPr>
            </w:pPr>
            <w:r w:rsidRPr="00FF756A">
              <w:rPr>
                <w:i/>
                <w:iCs/>
                <w:sz w:val="20"/>
                <w:szCs w:val="20"/>
              </w:rPr>
              <w:t>Efiçenca e energjisë</w:t>
            </w:r>
          </w:p>
        </w:tc>
      </w:tr>
      <w:tr w:rsidR="00835192" w:rsidRPr="00FF756A" w14:paraId="4E49FDC9" w14:textId="77777777" w:rsidTr="004A3257">
        <w:trPr>
          <w:trHeight w:val="20"/>
        </w:trPr>
        <w:tc>
          <w:tcPr>
            <w:tcW w:w="4095" w:type="dxa"/>
            <w:gridSpan w:val="3"/>
            <w:shd w:val="clear" w:color="auto" w:fill="FFF2CC" w:themeFill="accent4" w:themeFillTint="33"/>
          </w:tcPr>
          <w:p w14:paraId="3E26B0BF"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7" w:type="dxa"/>
            <w:gridSpan w:val="3"/>
            <w:shd w:val="clear" w:color="auto" w:fill="FFF2CC" w:themeFill="accent4" w:themeFillTint="33"/>
          </w:tcPr>
          <w:p w14:paraId="6D576EFE" w14:textId="77777777" w:rsidR="00835192" w:rsidRPr="00FF756A" w:rsidRDefault="00835192" w:rsidP="00835192">
            <w:pPr>
              <w:spacing w:before="20" w:after="20" w:line="240" w:lineRule="auto"/>
              <w:rPr>
                <w:i/>
                <w:iCs/>
                <w:sz w:val="20"/>
                <w:szCs w:val="20"/>
              </w:rPr>
            </w:pPr>
            <w:r w:rsidRPr="00FF756A">
              <w:rPr>
                <w:i/>
                <w:iCs/>
                <w:sz w:val="20"/>
                <w:szCs w:val="20"/>
              </w:rPr>
              <w:t>Sektori i ndërtesave</w:t>
            </w:r>
          </w:p>
        </w:tc>
      </w:tr>
      <w:tr w:rsidR="00835192" w:rsidRPr="00FF756A" w14:paraId="4DDC122C" w14:textId="77777777" w:rsidTr="004A3257">
        <w:trPr>
          <w:trHeight w:val="20"/>
        </w:trPr>
        <w:tc>
          <w:tcPr>
            <w:tcW w:w="3492" w:type="dxa"/>
            <w:gridSpan w:val="2"/>
          </w:tcPr>
          <w:p w14:paraId="0799D713"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33DC9938"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0" w:type="dxa"/>
            <w:gridSpan w:val="4"/>
          </w:tcPr>
          <w:p w14:paraId="30EEBE5B" w14:textId="77777777" w:rsidR="00835192" w:rsidRPr="00FF756A" w:rsidRDefault="00835192" w:rsidP="00835192">
            <w:pPr>
              <w:spacing w:before="20" w:after="20" w:line="240" w:lineRule="auto"/>
              <w:rPr>
                <w:i/>
                <w:iCs/>
                <w:sz w:val="20"/>
                <w:szCs w:val="20"/>
              </w:rPr>
            </w:pPr>
            <w:r w:rsidRPr="00FF756A">
              <w:rPr>
                <w:i/>
                <w:iCs/>
                <w:sz w:val="20"/>
                <w:szCs w:val="20"/>
              </w:rPr>
              <w:t>WAM</w:t>
            </w:r>
          </w:p>
          <w:p w14:paraId="520967B3" w14:textId="77777777" w:rsidR="00835192" w:rsidRPr="00FF756A" w:rsidRDefault="00835192" w:rsidP="00835192">
            <w:pPr>
              <w:spacing w:before="20" w:after="20" w:line="240" w:lineRule="auto"/>
              <w:rPr>
                <w:i/>
                <w:iCs/>
                <w:sz w:val="20"/>
                <w:szCs w:val="20"/>
              </w:rPr>
            </w:pPr>
            <w:r w:rsidRPr="00FF756A">
              <w:rPr>
                <w:i/>
                <w:iCs/>
                <w:sz w:val="20"/>
                <w:szCs w:val="20"/>
              </w:rPr>
              <w:t>Investues; Rregullator; Promocional</w:t>
            </w:r>
          </w:p>
        </w:tc>
      </w:tr>
      <w:tr w:rsidR="00835192" w:rsidRPr="00FF756A" w14:paraId="2C2D38A4" w14:textId="77777777" w:rsidTr="004A3257">
        <w:trPr>
          <w:trHeight w:val="20"/>
        </w:trPr>
        <w:tc>
          <w:tcPr>
            <w:tcW w:w="2205" w:type="dxa"/>
          </w:tcPr>
          <w:p w14:paraId="0EB1FB27"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5CFCC07D"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7" w:type="dxa"/>
            <w:gridSpan w:val="5"/>
          </w:tcPr>
          <w:p w14:paraId="67715386" w14:textId="77777777" w:rsidR="00835192" w:rsidRPr="00FF756A" w:rsidRDefault="00835192" w:rsidP="00835192">
            <w:pPr>
              <w:spacing w:before="20" w:after="20" w:line="240" w:lineRule="auto"/>
              <w:rPr>
                <w:i/>
                <w:iCs/>
                <w:sz w:val="20"/>
                <w:szCs w:val="20"/>
              </w:rPr>
            </w:pPr>
            <w:r w:rsidRPr="00FF756A">
              <w:rPr>
                <w:i/>
                <w:iCs/>
                <w:sz w:val="20"/>
                <w:szCs w:val="20"/>
              </w:rPr>
              <w:t>Rikonstruktimi i ndërtesave ekzistuese të qeverisë qendrore (me përjashtim të ndërtesave të tjera publike në pronësi të bashkive, etj.)</w:t>
            </w:r>
          </w:p>
          <w:p w14:paraId="019E2CE7" w14:textId="77777777" w:rsidR="00835192" w:rsidRPr="00FF756A" w:rsidRDefault="00835192" w:rsidP="00835192">
            <w:pPr>
              <w:spacing w:before="20" w:after="20" w:line="240" w:lineRule="auto"/>
              <w:rPr>
                <w:i/>
                <w:iCs/>
                <w:sz w:val="20"/>
                <w:szCs w:val="20"/>
              </w:rPr>
            </w:pPr>
            <w:r w:rsidRPr="00FF756A">
              <w:rPr>
                <w:i/>
                <w:iCs/>
                <w:sz w:val="20"/>
                <w:szCs w:val="20"/>
              </w:rPr>
              <w:t>(EE-L4)</w:t>
            </w:r>
          </w:p>
        </w:tc>
      </w:tr>
      <w:tr w:rsidR="00835192" w:rsidRPr="00FF756A" w14:paraId="0DEC1A85" w14:textId="77777777" w:rsidTr="004A3257">
        <w:trPr>
          <w:trHeight w:val="20"/>
        </w:trPr>
        <w:tc>
          <w:tcPr>
            <w:tcW w:w="2205" w:type="dxa"/>
          </w:tcPr>
          <w:p w14:paraId="5DE2B130" w14:textId="77777777" w:rsidR="00835192" w:rsidRPr="00FF756A" w:rsidRDefault="00835192" w:rsidP="00835192">
            <w:pPr>
              <w:spacing w:before="20" w:after="20" w:line="240" w:lineRule="auto"/>
              <w:jc w:val="right"/>
              <w:rPr>
                <w:sz w:val="20"/>
                <w:szCs w:val="20"/>
              </w:rPr>
            </w:pPr>
            <w:r w:rsidRPr="00FF756A">
              <w:rPr>
                <w:b/>
                <w:bCs/>
                <w:sz w:val="20"/>
                <w:szCs w:val="20"/>
              </w:rPr>
              <w:lastRenderedPageBreak/>
              <w:t>Afati kohor</w:t>
            </w:r>
          </w:p>
        </w:tc>
        <w:tc>
          <w:tcPr>
            <w:tcW w:w="6867" w:type="dxa"/>
            <w:gridSpan w:val="5"/>
          </w:tcPr>
          <w:p w14:paraId="5CB459F6" w14:textId="77777777" w:rsidR="00835192" w:rsidRPr="00FF756A" w:rsidRDefault="00835192" w:rsidP="00835192">
            <w:pPr>
              <w:spacing w:before="20" w:after="20" w:line="240" w:lineRule="auto"/>
              <w:rPr>
                <w:i/>
                <w:iCs/>
                <w:sz w:val="20"/>
                <w:szCs w:val="20"/>
              </w:rPr>
            </w:pPr>
            <w:r w:rsidRPr="00FF756A">
              <w:rPr>
                <w:i/>
                <w:iCs/>
                <w:sz w:val="20"/>
                <w:szCs w:val="20"/>
              </w:rPr>
              <w:t>2022 - 2030</w:t>
            </w:r>
          </w:p>
        </w:tc>
      </w:tr>
      <w:tr w:rsidR="00835192" w:rsidRPr="00FF756A" w14:paraId="02144886" w14:textId="77777777" w:rsidTr="004A3257">
        <w:trPr>
          <w:trHeight w:val="20"/>
        </w:trPr>
        <w:tc>
          <w:tcPr>
            <w:tcW w:w="2205" w:type="dxa"/>
          </w:tcPr>
          <w:p w14:paraId="35C2263A"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7" w:type="dxa"/>
            <w:gridSpan w:val="5"/>
          </w:tcPr>
          <w:p w14:paraId="7441449A" w14:textId="77777777" w:rsidR="00835192" w:rsidRPr="00FF756A" w:rsidRDefault="00835192" w:rsidP="00835192">
            <w:pPr>
              <w:spacing w:before="20" w:after="20" w:line="240" w:lineRule="auto"/>
              <w:rPr>
                <w:i/>
                <w:iCs/>
                <w:sz w:val="20"/>
                <w:szCs w:val="20"/>
              </w:rPr>
            </w:pPr>
            <w:r w:rsidRPr="00FF756A">
              <w:rPr>
                <w:i/>
                <w:iCs/>
                <w:sz w:val="20"/>
                <w:szCs w:val="20"/>
              </w:rPr>
              <w:t>Ligji nr. 116/2016, datë 10.11.2016, “Për performancën e energjisë në ndërtesa”; Ligji nr. 124/2015, datë 12.11.2015, “Për efiçencën e energjisë”, i ndryshuar</w:t>
            </w:r>
          </w:p>
          <w:p w14:paraId="7E3A3E8A" w14:textId="77777777" w:rsidR="00835192" w:rsidRPr="00FF756A" w:rsidRDefault="00835192" w:rsidP="00835192">
            <w:pPr>
              <w:spacing w:before="20" w:after="20" w:line="240" w:lineRule="auto"/>
              <w:rPr>
                <w:i/>
                <w:iCs/>
                <w:sz w:val="20"/>
                <w:szCs w:val="20"/>
              </w:rPr>
            </w:pPr>
            <w:r w:rsidRPr="00677F0A">
              <w:rPr>
                <w:i/>
                <w:iCs/>
                <w:sz w:val="20"/>
                <w:szCs w:val="20"/>
              </w:rPr>
              <w:t>Sipas studimit SLED, sipërfaqja e të gjitha ndërtesave publike është 6,6 milionë m</w:t>
            </w:r>
            <w:r w:rsidRPr="00677F0A">
              <w:rPr>
                <w:i/>
                <w:iCs/>
                <w:sz w:val="20"/>
                <w:szCs w:val="20"/>
                <w:vertAlign w:val="superscript"/>
              </w:rPr>
              <w:t>2</w:t>
            </w:r>
            <w:r w:rsidRPr="00677F0A">
              <w:rPr>
                <w:i/>
                <w:iCs/>
                <w:sz w:val="20"/>
                <w:szCs w:val="20"/>
              </w:rPr>
              <w:t>. 75% e kësaj sipërfaqeje është për ndërtesa arsimore; 13% për zyra; 11% për spitale. 57% e tyre ndodhen në zonën klimatike A; 26% në zonën klimatike B dhe 17% në zonën klimatike C.</w:t>
            </w:r>
          </w:p>
          <w:p w14:paraId="06F1B75E" w14:textId="0898A8CE" w:rsidR="00B726A4" w:rsidRPr="00FF756A" w:rsidRDefault="00B726A4" w:rsidP="004A1C07">
            <w:pPr>
              <w:spacing w:before="20" w:after="20" w:line="240" w:lineRule="auto"/>
              <w:rPr>
                <w:i/>
                <w:iCs/>
                <w:sz w:val="20"/>
                <w:szCs w:val="20"/>
              </w:rPr>
            </w:pPr>
          </w:p>
        </w:tc>
      </w:tr>
      <w:tr w:rsidR="00835192" w:rsidRPr="00FF756A" w14:paraId="5E6A774B" w14:textId="77777777" w:rsidTr="004A3257">
        <w:trPr>
          <w:trHeight w:val="20"/>
        </w:trPr>
        <w:tc>
          <w:tcPr>
            <w:tcW w:w="2205" w:type="dxa"/>
          </w:tcPr>
          <w:p w14:paraId="5F2EF912"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7" w:type="dxa"/>
            <w:gridSpan w:val="5"/>
          </w:tcPr>
          <w:p w14:paraId="281610D1" w14:textId="77777777" w:rsidR="00835192" w:rsidRPr="00FF756A" w:rsidRDefault="00835192" w:rsidP="00835192">
            <w:pPr>
              <w:spacing w:before="20" w:after="20" w:line="240" w:lineRule="auto"/>
              <w:rPr>
                <w:i/>
                <w:iCs/>
                <w:sz w:val="20"/>
                <w:szCs w:val="20"/>
              </w:rPr>
            </w:pPr>
            <w:r w:rsidRPr="00FF756A">
              <w:rPr>
                <w:sz w:val="20"/>
                <w:szCs w:val="20"/>
              </w:rPr>
              <w:t>Ligji nr.</w:t>
            </w:r>
            <w:r w:rsidRPr="00FF756A">
              <w:rPr>
                <w:b/>
                <w:bCs/>
                <w:sz w:val="20"/>
                <w:szCs w:val="20"/>
              </w:rPr>
              <w:t xml:space="preserve"> </w:t>
            </w:r>
            <w:r w:rsidRPr="00FF756A">
              <w:rPr>
                <w:bCs/>
                <w:i/>
                <w:sz w:val="20"/>
                <w:szCs w:val="20"/>
              </w:rPr>
              <w:t>28/2021 “Për disa ndryshime dhe shtesa në Ligjin nr. 124/2015 “Për efiçencën e energjisë”</w:t>
            </w:r>
            <w:r w:rsidRPr="00FF756A">
              <w:rPr>
                <w:i/>
                <w:iCs/>
                <w:sz w:val="20"/>
                <w:szCs w:val="20"/>
              </w:rPr>
              <w:t xml:space="preserve"> ka përcaktuar objektivin për rinovimin e ndërtesave publike: rinovimi i 3% të stokut të ndërtesave të qeverisë qendrore, çdo vit.</w:t>
            </w:r>
          </w:p>
          <w:p w14:paraId="718FF445" w14:textId="77777777" w:rsidR="00835192" w:rsidRPr="00FF756A" w:rsidRDefault="00835192" w:rsidP="00835192">
            <w:pPr>
              <w:spacing w:before="20" w:after="20" w:line="240" w:lineRule="auto"/>
              <w:rPr>
                <w:i/>
                <w:iCs/>
                <w:sz w:val="20"/>
                <w:szCs w:val="20"/>
              </w:rPr>
            </w:pPr>
            <w:r w:rsidRPr="00FF756A">
              <w:rPr>
                <w:i/>
                <w:iCs/>
                <w:sz w:val="20"/>
                <w:szCs w:val="20"/>
              </w:rPr>
              <w:t>Janë përcaktuar kërkesat minimale të performancës së energjisë në ndërtesa (si në ato të reja ashtu dhe në ato ekzistuese), duke përfshirë nZEB.</w:t>
            </w:r>
          </w:p>
          <w:p w14:paraId="3A9AECCF" w14:textId="77777777" w:rsidR="00835192" w:rsidRPr="00FF756A" w:rsidRDefault="00835192" w:rsidP="00835192">
            <w:pPr>
              <w:spacing w:before="20" w:after="20" w:line="240" w:lineRule="auto"/>
              <w:rPr>
                <w:i/>
                <w:iCs/>
                <w:sz w:val="20"/>
                <w:szCs w:val="20"/>
              </w:rPr>
            </w:pPr>
            <w:r w:rsidRPr="00FF756A">
              <w:rPr>
                <w:i/>
                <w:iCs/>
                <w:sz w:val="20"/>
                <w:szCs w:val="20"/>
              </w:rPr>
              <w:t>Është miratuar metodologjia e “kërkesave minimale për performancën e energjisë në ndërtesa dhe në elementet e ndërtesave”.</w:t>
            </w:r>
          </w:p>
          <w:p w14:paraId="647B90D9" w14:textId="77777777" w:rsidR="00835192" w:rsidRPr="00FF756A" w:rsidRDefault="00835192" w:rsidP="00835192">
            <w:pPr>
              <w:spacing w:before="20" w:after="20" w:line="240" w:lineRule="auto"/>
              <w:rPr>
                <w:i/>
                <w:iCs/>
                <w:sz w:val="20"/>
                <w:szCs w:val="20"/>
              </w:rPr>
            </w:pPr>
            <w:r w:rsidRPr="00FF756A">
              <w:rPr>
                <w:i/>
                <w:iCs/>
                <w:sz w:val="20"/>
                <w:szCs w:val="20"/>
              </w:rPr>
              <w:t>Janë miratuar softuerët përkatës për llogaritjen e performancës së energjisë në ndërtesa, nën pronësi të Agjencisë Kombëtare të Energjisë.</w:t>
            </w:r>
          </w:p>
          <w:p w14:paraId="7370B1E4" w14:textId="77777777" w:rsidR="00835192" w:rsidRPr="00FF756A" w:rsidRDefault="00835192" w:rsidP="00835192">
            <w:pPr>
              <w:spacing w:before="20" w:after="20" w:line="240" w:lineRule="auto"/>
              <w:rPr>
                <w:i/>
                <w:iCs/>
                <w:sz w:val="20"/>
                <w:szCs w:val="20"/>
              </w:rPr>
            </w:pPr>
            <w:r w:rsidRPr="00FF756A">
              <w:rPr>
                <w:i/>
                <w:iCs/>
                <w:sz w:val="20"/>
                <w:szCs w:val="20"/>
              </w:rPr>
              <w:t xml:space="preserve">Janë përcaktuar rregullat e ndërtimit lidhur me aspektin e energjisë. </w:t>
            </w:r>
          </w:p>
          <w:p w14:paraId="45656898" w14:textId="77777777" w:rsidR="00835192" w:rsidRPr="00FF756A" w:rsidRDefault="00835192" w:rsidP="00835192">
            <w:pPr>
              <w:spacing w:before="20" w:after="20" w:line="240" w:lineRule="auto"/>
              <w:rPr>
                <w:i/>
                <w:iCs/>
                <w:sz w:val="20"/>
                <w:szCs w:val="20"/>
              </w:rPr>
            </w:pPr>
            <w:r w:rsidRPr="00FF756A">
              <w:rPr>
                <w:i/>
                <w:iCs/>
                <w:sz w:val="20"/>
                <w:szCs w:val="20"/>
              </w:rPr>
              <w:t>Është vënë në dispozicion studimi SLED për tipologjinë e stokut të ndërtesave publike: konsumi i energjisë nga lëndët djegëse dhe shërbimet, llogaritja e shkarkimeve të CO</w:t>
            </w:r>
            <w:r w:rsidRPr="00FF756A">
              <w:rPr>
                <w:i/>
                <w:iCs/>
                <w:sz w:val="20"/>
                <w:szCs w:val="20"/>
                <w:vertAlign w:val="subscript"/>
              </w:rPr>
              <w:t>2</w:t>
            </w:r>
            <w:r w:rsidRPr="00FF756A">
              <w:rPr>
                <w:i/>
                <w:iCs/>
                <w:sz w:val="20"/>
                <w:szCs w:val="20"/>
              </w:rPr>
              <w:t>, prezantimi i masave për EE-në me synim reduktimin e konsumit të energjisë, analiza e kostove dhe përfitimeve të përmirësimit të efiçencës termike të ndërtesave publike në Shqipëri.</w:t>
            </w:r>
          </w:p>
        </w:tc>
      </w:tr>
      <w:tr w:rsidR="00835192" w:rsidRPr="00FF756A" w14:paraId="0E55876C" w14:textId="77777777" w:rsidTr="004A3257">
        <w:trPr>
          <w:trHeight w:val="20"/>
        </w:trPr>
        <w:tc>
          <w:tcPr>
            <w:tcW w:w="2205" w:type="dxa"/>
          </w:tcPr>
          <w:p w14:paraId="356F5D8D"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7" w:type="dxa"/>
            <w:gridSpan w:val="5"/>
          </w:tcPr>
          <w:p w14:paraId="0C64B3E1" w14:textId="77777777" w:rsidR="00835192" w:rsidRPr="00FF756A" w:rsidRDefault="00835192" w:rsidP="00835192">
            <w:pPr>
              <w:spacing w:before="20" w:after="20" w:line="240" w:lineRule="auto"/>
              <w:rPr>
                <w:i/>
                <w:iCs/>
                <w:sz w:val="20"/>
                <w:szCs w:val="20"/>
              </w:rPr>
            </w:pPr>
            <w:r w:rsidRPr="00FF756A">
              <w:rPr>
                <w:i/>
                <w:iCs/>
                <w:sz w:val="20"/>
                <w:szCs w:val="20"/>
              </w:rPr>
              <w:t>Të arrihet objektivi i përcaktuar për rinovimin e 3% të stokut të ndërtesave të qeverisë qendrore, çdo vit.</w:t>
            </w:r>
          </w:p>
        </w:tc>
      </w:tr>
      <w:tr w:rsidR="00835192" w:rsidRPr="00FF756A" w14:paraId="1338DB08" w14:textId="77777777" w:rsidTr="004A3257">
        <w:trPr>
          <w:trHeight w:val="20"/>
        </w:trPr>
        <w:tc>
          <w:tcPr>
            <w:tcW w:w="2205" w:type="dxa"/>
          </w:tcPr>
          <w:p w14:paraId="0238F50F"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7" w:type="dxa"/>
            <w:gridSpan w:val="5"/>
          </w:tcPr>
          <w:p w14:paraId="5E1DE41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Rinovimi i 3% të stokut të ndërtesave të qeverisë qendrore, çdo vit </w:t>
            </w:r>
          </w:p>
          <w:p w14:paraId="3BC5180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Dhënia e një shembulli të mirë nga ana e qeverisë për EE-në, i cili të mund të përdoret për të motivuar publikun e gjerë.</w:t>
            </w:r>
          </w:p>
        </w:tc>
      </w:tr>
      <w:tr w:rsidR="00835192" w:rsidRPr="00FF756A" w14:paraId="177BD45C" w14:textId="77777777" w:rsidTr="004A3257">
        <w:trPr>
          <w:trHeight w:val="20"/>
        </w:trPr>
        <w:tc>
          <w:tcPr>
            <w:tcW w:w="2205" w:type="dxa"/>
          </w:tcPr>
          <w:p w14:paraId="073784BF"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7" w:type="dxa"/>
            <w:gridSpan w:val="4"/>
          </w:tcPr>
          <w:p w14:paraId="77EC47C2" w14:textId="77777777" w:rsidR="00835192" w:rsidRPr="00FF756A" w:rsidRDefault="00835192" w:rsidP="00835192">
            <w:pPr>
              <w:spacing w:before="20" w:after="20" w:line="240" w:lineRule="auto"/>
              <w:rPr>
                <w:i/>
                <w:iCs/>
                <w:sz w:val="20"/>
                <w:szCs w:val="20"/>
              </w:rPr>
            </w:pPr>
            <w:r w:rsidRPr="00FF756A">
              <w:rPr>
                <w:i/>
                <w:iCs/>
                <w:sz w:val="20"/>
                <w:szCs w:val="20"/>
              </w:rPr>
              <w:t xml:space="preserve">Krijimi i një skeme të asistencës teknike për të mbështetur rikonstruktimin e ndërtesave të qeverisë qendrore: </w:t>
            </w:r>
          </w:p>
          <w:p w14:paraId="3E89DC6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Krijimi i një skeme financimi </w:t>
            </w:r>
          </w:p>
          <w:p w14:paraId="49D9503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Krijimi i një plani rinovimi: identifikimi i ndërtesave për rinovim; prioritizohen ato ndërtesa që kanë nevojë urgjente për riparim (2022)</w:t>
            </w:r>
          </w:p>
          <w:p w14:paraId="30E7C818" w14:textId="75498983"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Sipas planit të rinovimit, ndërtesat e identifikuara i nënshtrohen auditimeve energjetike të shkallës së investimeve dhe lëshohen </w:t>
            </w:r>
            <w:r w:rsidR="00456B46" w:rsidRPr="00FF756A">
              <w:rPr>
                <w:i/>
                <w:iCs/>
                <w:sz w:val="20"/>
                <w:szCs w:val="20"/>
              </w:rPr>
              <w:t>CPE</w:t>
            </w:r>
            <w:r w:rsidR="009D3979" w:rsidRPr="00FF756A">
              <w:rPr>
                <w:i/>
                <w:iCs/>
                <w:sz w:val="20"/>
                <w:szCs w:val="20"/>
              </w:rPr>
              <w:t xml:space="preserve"> -të </w:t>
            </w:r>
            <w:r w:rsidRPr="00FF756A">
              <w:rPr>
                <w:i/>
                <w:iCs/>
                <w:sz w:val="20"/>
                <w:szCs w:val="20"/>
              </w:rPr>
              <w:t>dhe ngarkohen në bazën e të dhënave të CPE</w:t>
            </w:r>
            <w:r w:rsidR="009D3979" w:rsidRPr="00FF756A">
              <w:rPr>
                <w:i/>
                <w:iCs/>
                <w:sz w:val="20"/>
                <w:szCs w:val="20"/>
              </w:rPr>
              <w:t>-ve.</w:t>
            </w:r>
          </w:p>
          <w:p w14:paraId="46F40055" w14:textId="77777777" w:rsidR="00835192" w:rsidRPr="00FF756A" w:rsidRDefault="00835192" w:rsidP="00835192">
            <w:pPr>
              <w:spacing w:before="20" w:after="20" w:line="240" w:lineRule="auto"/>
              <w:rPr>
                <w:i/>
                <w:iCs/>
                <w:sz w:val="20"/>
                <w:szCs w:val="20"/>
              </w:rPr>
            </w:pPr>
            <w:r w:rsidRPr="00FF756A">
              <w:rPr>
                <w:i/>
                <w:iCs/>
                <w:sz w:val="20"/>
                <w:szCs w:val="20"/>
              </w:rPr>
              <w:t xml:space="preserve">Zbatimi i punimeve të rinovimit: </w:t>
            </w:r>
          </w:p>
          <w:p w14:paraId="19BD9EE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Autorizimi dhe zbatimi i masave të rinovimit (nga viti 2023 </w:t>
            </w:r>
          </w:p>
          <w:p w14:paraId="1A85346C" w14:textId="77777777" w:rsidR="00835192" w:rsidRPr="00FF756A" w:rsidRDefault="00835192" w:rsidP="00835192">
            <w:pPr>
              <w:spacing w:before="20" w:after="20" w:line="240" w:lineRule="auto"/>
              <w:rPr>
                <w:i/>
                <w:iCs/>
                <w:sz w:val="20"/>
                <w:szCs w:val="20"/>
              </w:rPr>
            </w:pPr>
            <w:r w:rsidRPr="00FF756A">
              <w:rPr>
                <w:i/>
                <w:iCs/>
                <w:sz w:val="20"/>
                <w:szCs w:val="20"/>
              </w:rPr>
              <w:t>Promovimi:</w:t>
            </w:r>
          </w:p>
          <w:p w14:paraId="0338D16E" w14:textId="212D5590"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Paraqitja e shembujve të mirë në një hartë e cila gjenerohet nga baza e të dhënave të CPE</w:t>
            </w:r>
            <w:r w:rsidR="009D3979" w:rsidRPr="00FF756A">
              <w:rPr>
                <w:i/>
                <w:iCs/>
                <w:sz w:val="20"/>
                <w:szCs w:val="20"/>
              </w:rPr>
              <w:t>-ve.</w:t>
            </w:r>
          </w:p>
        </w:tc>
        <w:tc>
          <w:tcPr>
            <w:tcW w:w="850" w:type="dxa"/>
          </w:tcPr>
          <w:p w14:paraId="35C7134C" w14:textId="77777777" w:rsidR="00835192" w:rsidRPr="00FF756A" w:rsidRDefault="00835192" w:rsidP="00835192">
            <w:pPr>
              <w:spacing w:before="20" w:after="20" w:line="240" w:lineRule="auto"/>
              <w:rPr>
                <w:i/>
                <w:iCs/>
                <w:sz w:val="20"/>
                <w:szCs w:val="20"/>
              </w:rPr>
            </w:pPr>
            <w:r w:rsidRPr="00FF756A">
              <w:rPr>
                <w:i/>
                <w:iCs/>
                <w:sz w:val="20"/>
                <w:szCs w:val="20"/>
              </w:rPr>
              <w:t>Nga viti 2022 e në vazhdim</w:t>
            </w:r>
            <w:r w:rsidRPr="00FF756A">
              <w:rPr>
                <w:i/>
                <w:iCs/>
                <w:sz w:val="20"/>
                <w:szCs w:val="20"/>
              </w:rPr>
              <w:br/>
            </w:r>
            <w:r w:rsidRPr="00FF756A">
              <w:rPr>
                <w:i/>
                <w:iCs/>
                <w:sz w:val="20"/>
                <w:szCs w:val="20"/>
              </w:rPr>
              <w:br/>
            </w:r>
            <w:r w:rsidRPr="00FF756A">
              <w:rPr>
                <w:i/>
                <w:iCs/>
                <w:sz w:val="20"/>
                <w:szCs w:val="20"/>
              </w:rPr>
              <w:br/>
            </w:r>
          </w:p>
          <w:p w14:paraId="313C1624" w14:textId="77777777" w:rsidR="00835192" w:rsidRPr="00FF756A" w:rsidRDefault="00835192" w:rsidP="00835192">
            <w:pPr>
              <w:spacing w:before="20" w:after="20" w:line="240" w:lineRule="auto"/>
              <w:rPr>
                <w:i/>
                <w:iCs/>
                <w:sz w:val="20"/>
                <w:szCs w:val="20"/>
              </w:rPr>
            </w:pPr>
            <w:r w:rsidRPr="00FF756A">
              <w:rPr>
                <w:i/>
                <w:iCs/>
                <w:sz w:val="20"/>
                <w:szCs w:val="20"/>
              </w:rPr>
              <w:br/>
            </w:r>
          </w:p>
          <w:p w14:paraId="692A3127" w14:textId="77777777" w:rsidR="00835192" w:rsidRPr="00FF756A" w:rsidRDefault="00835192" w:rsidP="00835192">
            <w:pPr>
              <w:spacing w:before="20" w:after="20" w:line="240" w:lineRule="auto"/>
              <w:rPr>
                <w:i/>
                <w:iCs/>
                <w:sz w:val="20"/>
                <w:szCs w:val="20"/>
              </w:rPr>
            </w:pPr>
            <w:r w:rsidRPr="00FF756A">
              <w:rPr>
                <w:i/>
                <w:iCs/>
                <w:sz w:val="20"/>
                <w:szCs w:val="20"/>
              </w:rPr>
              <w:br/>
            </w:r>
          </w:p>
          <w:p w14:paraId="12AC895A" w14:textId="77777777" w:rsidR="00835192" w:rsidRPr="00FF756A" w:rsidRDefault="00835192" w:rsidP="00835192">
            <w:pPr>
              <w:spacing w:before="20" w:after="20" w:line="240" w:lineRule="auto"/>
              <w:rPr>
                <w:i/>
                <w:iCs/>
                <w:sz w:val="20"/>
                <w:szCs w:val="20"/>
              </w:rPr>
            </w:pPr>
            <w:r w:rsidRPr="00FF756A">
              <w:rPr>
                <w:i/>
                <w:iCs/>
                <w:sz w:val="20"/>
                <w:szCs w:val="20"/>
              </w:rPr>
              <w:t>Nga viti 2023 e në vazhdim</w:t>
            </w:r>
            <w:r w:rsidRPr="00FF756A">
              <w:rPr>
                <w:i/>
                <w:iCs/>
                <w:sz w:val="20"/>
                <w:szCs w:val="20"/>
              </w:rPr>
              <w:br/>
            </w:r>
          </w:p>
          <w:p w14:paraId="001DEF8E" w14:textId="77777777" w:rsidR="00835192" w:rsidRPr="00FF756A" w:rsidRDefault="00835192" w:rsidP="00835192">
            <w:pPr>
              <w:spacing w:before="20" w:after="20" w:line="240" w:lineRule="auto"/>
              <w:rPr>
                <w:i/>
                <w:iCs/>
                <w:sz w:val="20"/>
                <w:szCs w:val="20"/>
              </w:rPr>
            </w:pPr>
            <w:r w:rsidRPr="00FF756A">
              <w:rPr>
                <w:i/>
                <w:iCs/>
                <w:sz w:val="20"/>
                <w:szCs w:val="20"/>
              </w:rPr>
              <w:t>Nga viti 2024 e në vazhdim</w:t>
            </w:r>
          </w:p>
        </w:tc>
      </w:tr>
      <w:tr w:rsidR="00835192" w:rsidRPr="00FF756A" w14:paraId="503F739E" w14:textId="77777777" w:rsidTr="004A3257">
        <w:trPr>
          <w:trHeight w:val="20"/>
        </w:trPr>
        <w:tc>
          <w:tcPr>
            <w:tcW w:w="2205" w:type="dxa"/>
          </w:tcPr>
          <w:p w14:paraId="048E82A0"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7" w:type="dxa"/>
            <w:gridSpan w:val="5"/>
          </w:tcPr>
          <w:p w14:paraId="6A35F49E" w14:textId="77777777" w:rsidR="00835192" w:rsidRPr="00FF756A" w:rsidRDefault="00835192" w:rsidP="00835192">
            <w:pPr>
              <w:spacing w:before="20" w:after="20" w:line="240" w:lineRule="auto"/>
              <w:rPr>
                <w:i/>
                <w:iCs/>
                <w:sz w:val="20"/>
                <w:szCs w:val="20"/>
              </w:rPr>
            </w:pPr>
            <w:r w:rsidRPr="00FF756A">
              <w:rPr>
                <w:i/>
                <w:iCs/>
                <w:sz w:val="20"/>
                <w:szCs w:val="20"/>
              </w:rPr>
              <w:t>Kostot totale të investimit për rikonstruktimin e ndërtesave të qeverisjes qendrore për periudhën 2020- 2030 janë 500 milionë euro.</w:t>
            </w:r>
          </w:p>
          <w:p w14:paraId="32F64226" w14:textId="77777777" w:rsidR="00835192" w:rsidRPr="00FF756A" w:rsidRDefault="00835192" w:rsidP="00835192">
            <w:pPr>
              <w:spacing w:before="20" w:after="20" w:line="240" w:lineRule="auto"/>
              <w:rPr>
                <w:i/>
                <w:iCs/>
                <w:sz w:val="20"/>
                <w:szCs w:val="20"/>
              </w:rPr>
            </w:pPr>
            <w:r w:rsidRPr="00FF756A">
              <w:rPr>
                <w:i/>
                <w:iCs/>
                <w:sz w:val="20"/>
                <w:szCs w:val="20"/>
              </w:rPr>
              <w:t>Disa skema financiare për zbatim:</w:t>
            </w:r>
          </w:p>
          <w:p w14:paraId="2C547550" w14:textId="77777777" w:rsidR="00835192" w:rsidRPr="00FF756A" w:rsidRDefault="00835192" w:rsidP="00835192">
            <w:pPr>
              <w:numPr>
                <w:ilvl w:val="0"/>
                <w:numId w:val="29"/>
              </w:numPr>
              <w:spacing w:before="20" w:after="20" w:line="240" w:lineRule="auto"/>
              <w:contextualSpacing/>
              <w:rPr>
                <w:i/>
                <w:iCs/>
                <w:sz w:val="20"/>
                <w:szCs w:val="20"/>
              </w:rPr>
            </w:pPr>
            <w:r w:rsidRPr="00FF756A">
              <w:rPr>
                <w:i/>
                <w:iCs/>
                <w:sz w:val="20"/>
                <w:szCs w:val="20"/>
              </w:rPr>
              <w:t xml:space="preserve">Buxheti i shtetit </w:t>
            </w:r>
          </w:p>
          <w:p w14:paraId="3F2538CF" w14:textId="77777777" w:rsidR="00835192" w:rsidRPr="00FF756A" w:rsidRDefault="00835192" w:rsidP="00835192">
            <w:pPr>
              <w:numPr>
                <w:ilvl w:val="0"/>
                <w:numId w:val="29"/>
              </w:numPr>
              <w:spacing w:before="20" w:after="20" w:line="240" w:lineRule="auto"/>
              <w:contextualSpacing/>
              <w:rPr>
                <w:i/>
                <w:iCs/>
                <w:sz w:val="20"/>
                <w:szCs w:val="20"/>
              </w:rPr>
            </w:pPr>
            <w:r w:rsidRPr="00FF756A">
              <w:rPr>
                <w:i/>
                <w:iCs/>
                <w:sz w:val="20"/>
                <w:szCs w:val="20"/>
              </w:rPr>
              <w:t xml:space="preserve">Zbatimi i skemave detyruese të efiçencës së energjisë </w:t>
            </w:r>
          </w:p>
          <w:p w14:paraId="12012043" w14:textId="77777777" w:rsidR="00835192" w:rsidRPr="00FF756A" w:rsidRDefault="00835192" w:rsidP="00835192">
            <w:pPr>
              <w:spacing w:before="20" w:after="20" w:line="240" w:lineRule="auto"/>
              <w:rPr>
                <w:i/>
                <w:iCs/>
                <w:sz w:val="20"/>
                <w:szCs w:val="20"/>
              </w:rPr>
            </w:pPr>
            <w:r w:rsidRPr="00FF756A">
              <w:rPr>
                <w:i/>
                <w:iCs/>
                <w:sz w:val="20"/>
                <w:szCs w:val="20"/>
              </w:rPr>
              <w:t>Institucionet financuese/donatorët ndërkombëtarë</w:t>
            </w:r>
          </w:p>
        </w:tc>
      </w:tr>
      <w:tr w:rsidR="00835192" w:rsidRPr="00FF756A" w14:paraId="52375944" w14:textId="77777777" w:rsidTr="004A3257">
        <w:trPr>
          <w:trHeight w:val="20"/>
        </w:trPr>
        <w:tc>
          <w:tcPr>
            <w:tcW w:w="2205" w:type="dxa"/>
          </w:tcPr>
          <w:p w14:paraId="2D4366F7"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0DD1E128"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7" w:type="dxa"/>
            <w:gridSpan w:val="5"/>
          </w:tcPr>
          <w:p w14:paraId="47B783B0"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Agjencia për Efiçencën e Energjisë, Qeveria Qendrore</w:t>
            </w:r>
          </w:p>
          <w:p w14:paraId="6643CDB4" w14:textId="77777777" w:rsidR="00835192" w:rsidRPr="00FF756A" w:rsidRDefault="00835192" w:rsidP="00835192">
            <w:pPr>
              <w:spacing w:before="20" w:after="20" w:line="240" w:lineRule="auto"/>
              <w:rPr>
                <w:i/>
                <w:iCs/>
                <w:sz w:val="20"/>
                <w:szCs w:val="20"/>
              </w:rPr>
            </w:pPr>
            <w:r w:rsidRPr="00FF756A">
              <w:rPr>
                <w:i/>
                <w:iCs/>
                <w:sz w:val="20"/>
                <w:szCs w:val="20"/>
              </w:rPr>
              <w:t>(Agjencia për Efiçencën e Energjisë; Qeveria Qendrore)</w:t>
            </w:r>
          </w:p>
        </w:tc>
      </w:tr>
      <w:tr w:rsidR="00835192" w:rsidRPr="00FF756A" w14:paraId="1724556D" w14:textId="77777777" w:rsidTr="004A3257">
        <w:trPr>
          <w:trHeight w:val="20"/>
        </w:trPr>
        <w:tc>
          <w:tcPr>
            <w:tcW w:w="2205" w:type="dxa"/>
          </w:tcPr>
          <w:p w14:paraId="30686E9B"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Marrëdhënia me dimensionet e tjera (nëse ka)</w:t>
            </w:r>
          </w:p>
        </w:tc>
        <w:tc>
          <w:tcPr>
            <w:tcW w:w="6867" w:type="dxa"/>
            <w:gridSpan w:val="5"/>
          </w:tcPr>
          <w:p w14:paraId="3167EF2D" w14:textId="77777777" w:rsidR="00835192" w:rsidRPr="00FF756A" w:rsidRDefault="00835192" w:rsidP="00835192">
            <w:pPr>
              <w:spacing w:before="20" w:after="20" w:line="240" w:lineRule="auto"/>
              <w:rPr>
                <w:i/>
                <w:iCs/>
                <w:sz w:val="20"/>
                <w:szCs w:val="20"/>
              </w:rPr>
            </w:pPr>
            <w:r w:rsidRPr="00FF756A">
              <w:rPr>
                <w:i/>
                <w:iCs/>
                <w:sz w:val="20"/>
                <w:szCs w:val="20"/>
              </w:rPr>
              <w:t>Dekarbonizimi</w:t>
            </w:r>
          </w:p>
          <w:p w14:paraId="7B4F5408" w14:textId="77777777" w:rsidR="00835192" w:rsidRPr="00FF756A" w:rsidRDefault="00835192" w:rsidP="00835192">
            <w:pPr>
              <w:spacing w:before="20" w:after="20" w:line="240" w:lineRule="auto"/>
              <w:rPr>
                <w:i/>
                <w:iCs/>
                <w:sz w:val="20"/>
                <w:szCs w:val="20"/>
              </w:rPr>
            </w:pPr>
            <w:r w:rsidRPr="00FF756A">
              <w:rPr>
                <w:i/>
                <w:iCs/>
                <w:sz w:val="20"/>
                <w:szCs w:val="20"/>
              </w:rPr>
              <w:t>Marrëdhënia me PM-në e mëposhtme:</w:t>
            </w:r>
          </w:p>
          <w:p w14:paraId="2D57AA13" w14:textId="77777777" w:rsidR="00835192" w:rsidRPr="00FF756A" w:rsidRDefault="00835192" w:rsidP="00835192">
            <w:pPr>
              <w:spacing w:before="20" w:after="20" w:line="240" w:lineRule="auto"/>
              <w:rPr>
                <w:i/>
                <w:iCs/>
                <w:sz w:val="20"/>
                <w:szCs w:val="20"/>
              </w:rPr>
            </w:pPr>
            <w:r w:rsidRPr="00FF756A">
              <w:rPr>
                <w:i/>
                <w:iCs/>
                <w:sz w:val="20"/>
                <w:szCs w:val="20"/>
              </w:rPr>
              <w:t>EE-L2: Plani afatgjatë i rinovimit të ndërtesave (për ndërtesat publike dhe private) sipas riformulimit të EPBD-së në vitin 2024</w:t>
            </w:r>
          </w:p>
        </w:tc>
      </w:tr>
    </w:tbl>
    <w:p w14:paraId="67EDE4C0" w14:textId="77777777" w:rsidR="00835192" w:rsidRPr="00FF756A" w:rsidRDefault="00835192" w:rsidP="00835192"/>
    <w:tbl>
      <w:tblPr>
        <w:tblStyle w:val="TableGrid"/>
        <w:tblW w:w="0" w:type="auto"/>
        <w:tblBorders>
          <w:left w:val="none" w:sz="0" w:space="0" w:color="auto"/>
          <w:right w:val="none" w:sz="0" w:space="0" w:color="auto"/>
        </w:tblBorders>
        <w:tblLook w:val="04A0" w:firstRow="1" w:lastRow="0" w:firstColumn="1" w:lastColumn="0" w:noHBand="0" w:noVBand="1"/>
      </w:tblPr>
      <w:tblGrid>
        <w:gridCol w:w="2196"/>
        <w:gridCol w:w="1278"/>
        <w:gridCol w:w="600"/>
        <w:gridCol w:w="428"/>
        <w:gridCol w:w="3677"/>
        <w:gridCol w:w="883"/>
      </w:tblGrid>
      <w:tr w:rsidR="00835192" w:rsidRPr="00FF756A" w14:paraId="24306794" w14:textId="77777777" w:rsidTr="004A3257">
        <w:trPr>
          <w:trHeight w:val="20"/>
        </w:trPr>
        <w:tc>
          <w:tcPr>
            <w:tcW w:w="4525" w:type="dxa"/>
            <w:gridSpan w:val="4"/>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2C6D95C2"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7" w:type="dxa"/>
            <w:gridSpan w:val="2"/>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0316FE8F" w14:textId="77777777" w:rsidR="00835192" w:rsidRPr="00FF756A" w:rsidRDefault="00835192" w:rsidP="008639B2">
            <w:pPr>
              <w:numPr>
                <w:ilvl w:val="0"/>
                <w:numId w:val="124"/>
              </w:numPr>
              <w:spacing w:before="20" w:after="20" w:line="240" w:lineRule="auto"/>
              <w:contextualSpacing/>
              <w:rPr>
                <w:i/>
                <w:iCs/>
                <w:sz w:val="20"/>
                <w:szCs w:val="20"/>
              </w:rPr>
            </w:pPr>
            <w:r w:rsidRPr="00FF756A">
              <w:rPr>
                <w:i/>
                <w:iCs/>
                <w:sz w:val="20"/>
                <w:szCs w:val="20"/>
              </w:rPr>
              <w:t>Efiçenca e energjisë</w:t>
            </w:r>
          </w:p>
        </w:tc>
      </w:tr>
      <w:tr w:rsidR="00835192" w:rsidRPr="00FF756A" w14:paraId="40CE8195" w14:textId="77777777" w:rsidTr="004A3257">
        <w:trPr>
          <w:trHeight w:val="20"/>
        </w:trPr>
        <w:tc>
          <w:tcPr>
            <w:tcW w:w="4094"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70025203"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8"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2411253E" w14:textId="77777777" w:rsidR="00835192" w:rsidRPr="00FF756A" w:rsidRDefault="00835192" w:rsidP="00835192">
            <w:pPr>
              <w:spacing w:before="20" w:after="20" w:line="240" w:lineRule="auto"/>
              <w:rPr>
                <w:i/>
                <w:iCs/>
                <w:sz w:val="20"/>
                <w:szCs w:val="20"/>
              </w:rPr>
            </w:pPr>
            <w:r w:rsidRPr="00FF756A">
              <w:rPr>
                <w:i/>
                <w:iCs/>
                <w:sz w:val="20"/>
                <w:szCs w:val="20"/>
              </w:rPr>
              <w:t>Sektori i ndërtesave</w:t>
            </w:r>
          </w:p>
        </w:tc>
      </w:tr>
      <w:tr w:rsidR="00835192" w:rsidRPr="00FF756A" w14:paraId="0B0D88CE" w14:textId="77777777" w:rsidTr="004A3257">
        <w:trPr>
          <w:trHeight w:val="20"/>
        </w:trPr>
        <w:tc>
          <w:tcPr>
            <w:tcW w:w="3490" w:type="dxa"/>
            <w:gridSpan w:val="2"/>
            <w:tcBorders>
              <w:top w:val="single" w:sz="4" w:space="0" w:color="auto"/>
              <w:left w:val="single" w:sz="4" w:space="0" w:color="auto"/>
              <w:bottom w:val="single" w:sz="4" w:space="0" w:color="auto"/>
              <w:right w:val="single" w:sz="4" w:space="0" w:color="auto"/>
            </w:tcBorders>
          </w:tcPr>
          <w:p w14:paraId="4D4E0499"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451348C2"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2" w:type="dxa"/>
            <w:gridSpan w:val="4"/>
            <w:tcBorders>
              <w:top w:val="single" w:sz="4" w:space="0" w:color="auto"/>
              <w:left w:val="single" w:sz="4" w:space="0" w:color="auto"/>
              <w:bottom w:val="single" w:sz="4" w:space="0" w:color="auto"/>
              <w:right w:val="single" w:sz="4" w:space="0" w:color="auto"/>
            </w:tcBorders>
          </w:tcPr>
          <w:p w14:paraId="0FDB18E4" w14:textId="77777777" w:rsidR="00835192" w:rsidRPr="00FF756A" w:rsidRDefault="00835192" w:rsidP="00835192">
            <w:pPr>
              <w:spacing w:before="20" w:after="20" w:line="240" w:lineRule="auto"/>
              <w:rPr>
                <w:i/>
                <w:iCs/>
                <w:sz w:val="20"/>
                <w:szCs w:val="20"/>
              </w:rPr>
            </w:pPr>
            <w:r w:rsidRPr="00FF756A">
              <w:rPr>
                <w:i/>
                <w:iCs/>
                <w:sz w:val="20"/>
                <w:szCs w:val="20"/>
              </w:rPr>
              <w:t>WAM</w:t>
            </w:r>
          </w:p>
          <w:p w14:paraId="63569135" w14:textId="77777777" w:rsidR="00835192" w:rsidRPr="00FF756A" w:rsidRDefault="00835192" w:rsidP="00835192">
            <w:pPr>
              <w:spacing w:before="20" w:after="20" w:line="240" w:lineRule="auto"/>
              <w:rPr>
                <w:i/>
                <w:iCs/>
                <w:sz w:val="20"/>
                <w:szCs w:val="20"/>
              </w:rPr>
            </w:pPr>
            <w:r w:rsidRPr="00FF756A">
              <w:rPr>
                <w:i/>
                <w:iCs/>
                <w:sz w:val="20"/>
                <w:szCs w:val="20"/>
              </w:rPr>
              <w:t>Investues; Rregullator</w:t>
            </w:r>
          </w:p>
        </w:tc>
      </w:tr>
      <w:tr w:rsidR="00835192" w:rsidRPr="00FF756A" w14:paraId="466A0B5C"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2146058E"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164FCD57"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9" w:type="dxa"/>
            <w:gridSpan w:val="5"/>
            <w:tcBorders>
              <w:top w:val="single" w:sz="4" w:space="0" w:color="auto"/>
              <w:left w:val="single" w:sz="4" w:space="0" w:color="auto"/>
              <w:bottom w:val="single" w:sz="4" w:space="0" w:color="auto"/>
              <w:right w:val="single" w:sz="4" w:space="0" w:color="auto"/>
            </w:tcBorders>
          </w:tcPr>
          <w:p w14:paraId="0E85314A" w14:textId="77777777" w:rsidR="00835192" w:rsidRPr="00FF756A" w:rsidRDefault="00835192" w:rsidP="00835192">
            <w:pPr>
              <w:spacing w:before="20" w:after="20" w:line="240" w:lineRule="auto"/>
              <w:rPr>
                <w:i/>
                <w:iCs/>
                <w:sz w:val="20"/>
                <w:szCs w:val="20"/>
              </w:rPr>
            </w:pPr>
            <w:r w:rsidRPr="00FF756A">
              <w:rPr>
                <w:i/>
                <w:iCs/>
                <w:sz w:val="20"/>
                <w:szCs w:val="20"/>
              </w:rPr>
              <w:t>Rikonstruktimi i stokut të ndërtesave publike (të gjitha ndërtesat publike me përjashtim të atyre të qeverisë qendrore)</w:t>
            </w:r>
          </w:p>
          <w:p w14:paraId="26C09D94" w14:textId="77777777" w:rsidR="00835192" w:rsidRPr="00FF756A" w:rsidRDefault="00835192" w:rsidP="00835192">
            <w:pPr>
              <w:spacing w:before="20" w:after="20" w:line="240" w:lineRule="auto"/>
              <w:rPr>
                <w:i/>
                <w:iCs/>
                <w:sz w:val="20"/>
                <w:szCs w:val="20"/>
              </w:rPr>
            </w:pPr>
            <w:r w:rsidRPr="00FF756A">
              <w:rPr>
                <w:i/>
                <w:iCs/>
                <w:sz w:val="20"/>
                <w:szCs w:val="20"/>
              </w:rPr>
              <w:t>(EE-L5)</w:t>
            </w:r>
          </w:p>
        </w:tc>
      </w:tr>
      <w:tr w:rsidR="00835192" w:rsidRPr="00FF756A" w14:paraId="201BB883"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6D42A508"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9" w:type="dxa"/>
            <w:gridSpan w:val="5"/>
            <w:tcBorders>
              <w:top w:val="single" w:sz="4" w:space="0" w:color="auto"/>
              <w:left w:val="single" w:sz="4" w:space="0" w:color="auto"/>
              <w:bottom w:val="single" w:sz="4" w:space="0" w:color="auto"/>
              <w:right w:val="single" w:sz="4" w:space="0" w:color="auto"/>
            </w:tcBorders>
          </w:tcPr>
          <w:p w14:paraId="30C2113A" w14:textId="77777777" w:rsidR="00835192" w:rsidRPr="00FF756A" w:rsidRDefault="00835192" w:rsidP="00835192">
            <w:pPr>
              <w:spacing w:before="20" w:after="20" w:line="240" w:lineRule="auto"/>
              <w:rPr>
                <w:i/>
                <w:iCs/>
                <w:sz w:val="20"/>
                <w:szCs w:val="20"/>
              </w:rPr>
            </w:pPr>
            <w:r w:rsidRPr="00FF756A">
              <w:rPr>
                <w:i/>
                <w:iCs/>
                <w:sz w:val="20"/>
                <w:szCs w:val="20"/>
              </w:rPr>
              <w:t>2021 - 2030</w:t>
            </w:r>
          </w:p>
        </w:tc>
      </w:tr>
      <w:tr w:rsidR="00835192" w:rsidRPr="00FF756A" w14:paraId="7C9AEDDE"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62823648"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9" w:type="dxa"/>
            <w:gridSpan w:val="5"/>
            <w:tcBorders>
              <w:top w:val="single" w:sz="4" w:space="0" w:color="auto"/>
              <w:left w:val="single" w:sz="4" w:space="0" w:color="auto"/>
              <w:bottom w:val="single" w:sz="4" w:space="0" w:color="auto"/>
              <w:right w:val="single" w:sz="4" w:space="0" w:color="auto"/>
            </w:tcBorders>
          </w:tcPr>
          <w:p w14:paraId="386946F1" w14:textId="77777777" w:rsidR="00835192" w:rsidRPr="000B0195" w:rsidRDefault="00835192" w:rsidP="00835192">
            <w:pPr>
              <w:spacing w:before="20" w:after="20" w:line="240" w:lineRule="auto"/>
              <w:rPr>
                <w:i/>
                <w:iCs/>
                <w:sz w:val="20"/>
                <w:szCs w:val="20"/>
              </w:rPr>
            </w:pPr>
            <w:r w:rsidRPr="000B0195">
              <w:rPr>
                <w:i/>
                <w:iCs/>
                <w:sz w:val="20"/>
                <w:szCs w:val="20"/>
              </w:rPr>
              <w:t>Ligji nr. 116/2016, datë 10.11.2016, “Për performancën e energjisë në ndërtesa”; Ligji nr. 124/2015, datë 12.11.2015, “Për efiçencën e energjisë”, i ndryshuar</w:t>
            </w:r>
          </w:p>
          <w:p w14:paraId="39D35CC6" w14:textId="77777777" w:rsidR="00835192" w:rsidRPr="000B0195" w:rsidRDefault="00835192" w:rsidP="00835192">
            <w:pPr>
              <w:spacing w:before="20" w:after="20" w:line="240" w:lineRule="auto"/>
              <w:rPr>
                <w:i/>
                <w:iCs/>
                <w:sz w:val="20"/>
                <w:szCs w:val="20"/>
              </w:rPr>
            </w:pPr>
            <w:r w:rsidRPr="000B0195">
              <w:rPr>
                <w:i/>
                <w:iCs/>
                <w:sz w:val="20"/>
                <w:szCs w:val="20"/>
              </w:rPr>
              <w:t>Sipas studimit SLED, sipërfaqja e të gjitha ndërtesave publike është 6,6 milionë m</w:t>
            </w:r>
            <w:r w:rsidRPr="000B0195">
              <w:rPr>
                <w:i/>
                <w:iCs/>
                <w:sz w:val="20"/>
                <w:szCs w:val="20"/>
                <w:vertAlign w:val="superscript"/>
              </w:rPr>
              <w:t>2</w:t>
            </w:r>
            <w:r w:rsidRPr="000B0195">
              <w:rPr>
                <w:i/>
                <w:iCs/>
                <w:sz w:val="20"/>
                <w:szCs w:val="20"/>
              </w:rPr>
              <w:t>. 75% e kësaj sipërfaqeje është për ndërtesa arsimore; 13% për zyra; 11% për spitale. 57% e tyre ndodhen në zonën klimatike A; 26% në zonën klimatike B dhe 17% në zonën klimatike C.</w:t>
            </w:r>
          </w:p>
        </w:tc>
      </w:tr>
      <w:tr w:rsidR="00835192" w:rsidRPr="00FF756A" w14:paraId="7342DC23"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5EA46AF6"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9" w:type="dxa"/>
            <w:gridSpan w:val="5"/>
            <w:tcBorders>
              <w:top w:val="single" w:sz="4" w:space="0" w:color="auto"/>
              <w:left w:val="single" w:sz="4" w:space="0" w:color="auto"/>
              <w:bottom w:val="single" w:sz="4" w:space="0" w:color="auto"/>
              <w:right w:val="single" w:sz="4" w:space="0" w:color="auto"/>
            </w:tcBorders>
          </w:tcPr>
          <w:p w14:paraId="64A84F62" w14:textId="77777777" w:rsidR="00835192" w:rsidRPr="00FF756A" w:rsidRDefault="00835192" w:rsidP="00835192">
            <w:pPr>
              <w:spacing w:before="20" w:after="20" w:line="240" w:lineRule="auto"/>
              <w:rPr>
                <w:i/>
                <w:iCs/>
                <w:sz w:val="20"/>
                <w:szCs w:val="20"/>
              </w:rPr>
            </w:pPr>
            <w:r w:rsidRPr="00FF756A">
              <w:rPr>
                <w:sz w:val="20"/>
                <w:szCs w:val="20"/>
              </w:rPr>
              <w:t>Ligji nr.</w:t>
            </w:r>
            <w:r w:rsidRPr="00FF756A">
              <w:rPr>
                <w:b/>
                <w:bCs/>
                <w:sz w:val="20"/>
                <w:szCs w:val="20"/>
              </w:rPr>
              <w:t xml:space="preserve"> </w:t>
            </w:r>
            <w:r w:rsidRPr="00FF756A">
              <w:rPr>
                <w:bCs/>
                <w:i/>
                <w:sz w:val="20"/>
                <w:szCs w:val="20"/>
              </w:rPr>
              <w:t>28/2021 “Për disa ndryshime dhe shtesa në Ligjin nr. 124/2015 “Për efiçencën e energjisë”</w:t>
            </w:r>
            <w:r w:rsidRPr="00FF756A">
              <w:rPr>
                <w:i/>
                <w:iCs/>
                <w:sz w:val="20"/>
                <w:szCs w:val="20"/>
              </w:rPr>
              <w:t xml:space="preserve"> ka përcaktuar objektivin për rinovimin e ndërtesave publike: Rinovimi i 2% të stokut të ndërtesave publike, çdo vit.</w:t>
            </w:r>
          </w:p>
          <w:p w14:paraId="27FA51A6" w14:textId="77777777" w:rsidR="00835192" w:rsidRPr="00FF756A" w:rsidRDefault="00835192" w:rsidP="00835192">
            <w:pPr>
              <w:spacing w:before="20" w:after="20" w:line="240" w:lineRule="auto"/>
              <w:rPr>
                <w:i/>
                <w:iCs/>
                <w:sz w:val="20"/>
                <w:szCs w:val="20"/>
              </w:rPr>
            </w:pPr>
            <w:r w:rsidRPr="00FF756A">
              <w:rPr>
                <w:i/>
                <w:iCs/>
                <w:sz w:val="20"/>
                <w:szCs w:val="20"/>
              </w:rPr>
              <w:t>Janë përcaktuar kërkesat minimale të performancës së energjisë në ndërtesa (të reja dhe ekzistuese), duke përfshirë nZEB.</w:t>
            </w:r>
          </w:p>
          <w:p w14:paraId="491B0820" w14:textId="77777777" w:rsidR="00835192" w:rsidRPr="00FF756A" w:rsidRDefault="00835192" w:rsidP="00835192">
            <w:pPr>
              <w:spacing w:before="20" w:after="20" w:line="240" w:lineRule="auto"/>
              <w:rPr>
                <w:i/>
                <w:iCs/>
                <w:sz w:val="20"/>
                <w:szCs w:val="20"/>
              </w:rPr>
            </w:pPr>
            <w:r w:rsidRPr="00FF756A">
              <w:rPr>
                <w:i/>
                <w:iCs/>
                <w:sz w:val="20"/>
                <w:szCs w:val="20"/>
              </w:rPr>
              <w:t>Është miratuar metodologjia e “kërkesave minimale për performancën e energjisë në ndërtesa dhe në elementet e ndërtesave”.</w:t>
            </w:r>
          </w:p>
          <w:p w14:paraId="2D137DA8" w14:textId="77777777" w:rsidR="00835192" w:rsidRPr="00FF756A" w:rsidRDefault="00835192" w:rsidP="00835192">
            <w:pPr>
              <w:spacing w:before="20" w:after="20" w:line="240" w:lineRule="auto"/>
              <w:rPr>
                <w:i/>
                <w:iCs/>
                <w:sz w:val="20"/>
                <w:szCs w:val="20"/>
              </w:rPr>
            </w:pPr>
            <w:r w:rsidRPr="00FF756A">
              <w:rPr>
                <w:i/>
                <w:iCs/>
                <w:sz w:val="20"/>
                <w:szCs w:val="20"/>
              </w:rPr>
              <w:t>Janë miratuar softuerët përkatës për llogaritjen e performancës së energjisë në ndërtesa, nën pronësi të Agjencisë Kombëtare të Energjisë.</w:t>
            </w:r>
          </w:p>
          <w:p w14:paraId="5FC85B30" w14:textId="77777777" w:rsidR="00835192" w:rsidRPr="00FF756A" w:rsidRDefault="00835192" w:rsidP="00835192">
            <w:pPr>
              <w:spacing w:before="20" w:after="20" w:line="240" w:lineRule="auto"/>
              <w:rPr>
                <w:i/>
                <w:iCs/>
                <w:sz w:val="20"/>
                <w:szCs w:val="20"/>
              </w:rPr>
            </w:pPr>
            <w:r w:rsidRPr="00FF756A">
              <w:rPr>
                <w:i/>
                <w:iCs/>
                <w:sz w:val="20"/>
                <w:szCs w:val="20"/>
              </w:rPr>
              <w:t xml:space="preserve">Janë përcaktuar rregullat e ndërtimit lidhur me aspektin e energjisë. </w:t>
            </w:r>
          </w:p>
          <w:p w14:paraId="245F3361" w14:textId="77777777" w:rsidR="00835192" w:rsidRPr="00FF756A" w:rsidRDefault="00835192" w:rsidP="00835192">
            <w:pPr>
              <w:spacing w:before="20" w:after="20" w:line="240" w:lineRule="auto"/>
              <w:rPr>
                <w:i/>
                <w:iCs/>
                <w:sz w:val="20"/>
                <w:szCs w:val="20"/>
              </w:rPr>
            </w:pPr>
            <w:r w:rsidRPr="00FF756A">
              <w:rPr>
                <w:i/>
                <w:iCs/>
                <w:sz w:val="20"/>
                <w:szCs w:val="20"/>
              </w:rPr>
              <w:t>Është vënë në dispozicion studimi SLED për tipologjinë e stokut të ndërtesave publike: konsumi i energjisë nga lëndët djegëse dhe shërbimet, llogaritja e shkarkimeve të CO</w:t>
            </w:r>
            <w:r w:rsidRPr="00FF756A">
              <w:rPr>
                <w:i/>
                <w:iCs/>
                <w:sz w:val="20"/>
                <w:szCs w:val="20"/>
                <w:vertAlign w:val="subscript"/>
              </w:rPr>
              <w:t>2</w:t>
            </w:r>
            <w:r w:rsidRPr="00FF756A">
              <w:rPr>
                <w:i/>
                <w:iCs/>
                <w:sz w:val="20"/>
                <w:szCs w:val="20"/>
              </w:rPr>
              <w:t>, prezantimi i masave për EE-në me synim reduktimin e konsumit të energjisë, analiza e kostove dhe përfitimeve të përmirësimit të efiçencës termike të ndërtesave publike në Shqipëri.</w:t>
            </w:r>
          </w:p>
        </w:tc>
      </w:tr>
      <w:tr w:rsidR="00835192" w:rsidRPr="00FF756A" w14:paraId="56652846"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67042AFD"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9" w:type="dxa"/>
            <w:gridSpan w:val="5"/>
            <w:tcBorders>
              <w:top w:val="single" w:sz="4" w:space="0" w:color="auto"/>
              <w:left w:val="single" w:sz="4" w:space="0" w:color="auto"/>
              <w:bottom w:val="single" w:sz="4" w:space="0" w:color="auto"/>
              <w:right w:val="single" w:sz="4" w:space="0" w:color="auto"/>
            </w:tcBorders>
          </w:tcPr>
          <w:p w14:paraId="25F22AEA" w14:textId="77777777" w:rsidR="00835192" w:rsidRPr="00FF756A" w:rsidRDefault="00835192" w:rsidP="00835192">
            <w:pPr>
              <w:spacing w:before="20" w:after="20" w:line="240" w:lineRule="auto"/>
              <w:rPr>
                <w:i/>
                <w:iCs/>
                <w:sz w:val="20"/>
                <w:szCs w:val="20"/>
              </w:rPr>
            </w:pPr>
            <w:r w:rsidRPr="00FF756A">
              <w:rPr>
                <w:i/>
                <w:iCs/>
                <w:sz w:val="20"/>
                <w:szCs w:val="20"/>
              </w:rPr>
              <w:t>Të arrihet objektivi i përcaktuar për rinovimin e 2% të stokut të ndërtesave publike, çdo vit.</w:t>
            </w:r>
          </w:p>
        </w:tc>
      </w:tr>
      <w:tr w:rsidR="00835192" w:rsidRPr="00FF756A" w14:paraId="7D885CFA"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01C6FA66"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9" w:type="dxa"/>
            <w:gridSpan w:val="5"/>
            <w:tcBorders>
              <w:top w:val="single" w:sz="4" w:space="0" w:color="auto"/>
              <w:left w:val="single" w:sz="4" w:space="0" w:color="auto"/>
              <w:bottom w:val="single" w:sz="4" w:space="0" w:color="auto"/>
              <w:right w:val="single" w:sz="4" w:space="0" w:color="auto"/>
            </w:tcBorders>
          </w:tcPr>
          <w:p w14:paraId="4980BCEC"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Përmirësimi i efiçencës së energjisë së ndërtesave në Shqipëri </w:t>
            </w:r>
          </w:p>
          <w:p w14:paraId="6ADC877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Rinovimi i 2% të stokut të ndërtesave publike, çdo vit.</w:t>
            </w:r>
          </w:p>
          <w:p w14:paraId="2946005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Dhënia e një shembulli të mirë nga ana e qeverisë për EE-në, i cili të mund të përdoret për të motivuar publikun e gjerë.</w:t>
            </w:r>
          </w:p>
        </w:tc>
      </w:tr>
      <w:tr w:rsidR="00835192" w:rsidRPr="00FF756A" w14:paraId="5BA9B37A"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7363CC51"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9" w:type="dxa"/>
            <w:gridSpan w:val="4"/>
            <w:tcBorders>
              <w:top w:val="single" w:sz="4" w:space="0" w:color="auto"/>
              <w:left w:val="single" w:sz="4" w:space="0" w:color="auto"/>
              <w:bottom w:val="single" w:sz="4" w:space="0" w:color="auto"/>
              <w:right w:val="single" w:sz="4" w:space="0" w:color="auto"/>
            </w:tcBorders>
          </w:tcPr>
          <w:p w14:paraId="56A23609" w14:textId="77777777" w:rsidR="00835192" w:rsidRPr="00FF756A" w:rsidRDefault="00835192" w:rsidP="00835192">
            <w:pPr>
              <w:spacing w:before="20" w:after="20" w:line="240" w:lineRule="auto"/>
              <w:rPr>
                <w:i/>
                <w:iCs/>
                <w:sz w:val="20"/>
                <w:szCs w:val="20"/>
              </w:rPr>
            </w:pPr>
            <w:r w:rsidRPr="00FF756A">
              <w:rPr>
                <w:i/>
                <w:iCs/>
                <w:sz w:val="20"/>
                <w:szCs w:val="20"/>
              </w:rPr>
              <w:t xml:space="preserve">Krijimi i një skeme të asistencës teknike për të mbështetur rikonstruktimin e stokut të ndërtesave publike, përveç ndërtesave të qeverisë qendrore: </w:t>
            </w:r>
          </w:p>
          <w:p w14:paraId="27FFE5CA" w14:textId="77777777" w:rsidR="00835192" w:rsidRPr="00FF756A" w:rsidRDefault="00835192" w:rsidP="008639B2">
            <w:pPr>
              <w:numPr>
                <w:ilvl w:val="0"/>
                <w:numId w:val="150"/>
              </w:numPr>
              <w:spacing w:before="20" w:after="20" w:line="240" w:lineRule="auto"/>
              <w:contextualSpacing/>
              <w:rPr>
                <w:i/>
                <w:iCs/>
                <w:sz w:val="20"/>
                <w:szCs w:val="20"/>
              </w:rPr>
            </w:pPr>
            <w:r w:rsidRPr="00FF756A">
              <w:rPr>
                <w:i/>
                <w:iCs/>
                <w:sz w:val="20"/>
                <w:szCs w:val="20"/>
              </w:rPr>
              <w:t xml:space="preserve">Krijimi i një skeme financimi </w:t>
            </w:r>
          </w:p>
          <w:p w14:paraId="1F1F4D2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Krijimi i një plani rinovimi: identifikimi i ndërtesave për rinovim; prioritizohen ato ndërtesa që kanë nevojë urgjente për riparim </w:t>
            </w:r>
          </w:p>
          <w:p w14:paraId="0EDF91A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Sipas planit të rinovimit, ndërtesat e identifikuara i nënshtrohen auditimeve energjetike të shkallës së investimeve dhe CPE lëshohen dhe ngarkohen në bazën e të dhënave të CPE </w:t>
            </w:r>
          </w:p>
          <w:p w14:paraId="31E4A91D" w14:textId="77777777" w:rsidR="00835192" w:rsidRPr="00FF756A" w:rsidRDefault="00835192" w:rsidP="00835192">
            <w:pPr>
              <w:spacing w:before="20" w:after="20" w:line="240" w:lineRule="auto"/>
              <w:rPr>
                <w:i/>
                <w:iCs/>
                <w:sz w:val="20"/>
                <w:szCs w:val="20"/>
              </w:rPr>
            </w:pPr>
            <w:r w:rsidRPr="00FF756A">
              <w:rPr>
                <w:i/>
                <w:iCs/>
                <w:sz w:val="20"/>
                <w:szCs w:val="20"/>
              </w:rPr>
              <w:t xml:space="preserve">Zbatimi i punimeve të rinovimit: </w:t>
            </w:r>
          </w:p>
          <w:p w14:paraId="2C387C6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Autorizimi dhe zbatimi i masave të rinovimit (nga viti 2023 </w:t>
            </w:r>
          </w:p>
          <w:p w14:paraId="0E093E1C" w14:textId="77777777" w:rsidR="00835192" w:rsidRPr="00FF756A" w:rsidRDefault="00835192" w:rsidP="00835192">
            <w:pPr>
              <w:spacing w:before="20" w:after="20" w:line="240" w:lineRule="auto"/>
              <w:rPr>
                <w:i/>
                <w:iCs/>
                <w:sz w:val="20"/>
                <w:szCs w:val="20"/>
              </w:rPr>
            </w:pPr>
            <w:r w:rsidRPr="00FF756A">
              <w:rPr>
                <w:i/>
                <w:iCs/>
                <w:sz w:val="20"/>
                <w:szCs w:val="20"/>
              </w:rPr>
              <w:t>Promovimi:</w:t>
            </w:r>
          </w:p>
          <w:p w14:paraId="13A05E9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Paraqitja e shembujve të mirë në një hartë e cila gjenerohet nga baza e të dhënave të CPE </w:t>
            </w:r>
          </w:p>
        </w:tc>
        <w:tc>
          <w:tcPr>
            <w:tcW w:w="850" w:type="dxa"/>
            <w:tcBorders>
              <w:top w:val="single" w:sz="4" w:space="0" w:color="auto"/>
              <w:left w:val="single" w:sz="4" w:space="0" w:color="auto"/>
              <w:bottom w:val="single" w:sz="4" w:space="0" w:color="auto"/>
              <w:right w:val="single" w:sz="4" w:space="0" w:color="auto"/>
            </w:tcBorders>
          </w:tcPr>
          <w:p w14:paraId="0A5A677C" w14:textId="77777777" w:rsidR="00835192" w:rsidRPr="00FF756A" w:rsidRDefault="00835192" w:rsidP="00835192">
            <w:pPr>
              <w:spacing w:before="20" w:after="20" w:line="240" w:lineRule="auto"/>
              <w:jc w:val="left"/>
              <w:rPr>
                <w:i/>
                <w:iCs/>
                <w:sz w:val="20"/>
                <w:szCs w:val="20"/>
              </w:rPr>
            </w:pPr>
            <w:r w:rsidRPr="00FF756A">
              <w:rPr>
                <w:i/>
                <w:iCs/>
                <w:sz w:val="20"/>
                <w:szCs w:val="20"/>
              </w:rPr>
              <w:t>Nga viti 2022 e në vazhdim</w:t>
            </w:r>
            <w:r w:rsidRPr="00FF756A">
              <w:rPr>
                <w:i/>
                <w:iCs/>
                <w:sz w:val="20"/>
                <w:szCs w:val="20"/>
              </w:rPr>
              <w:br/>
            </w:r>
            <w:r w:rsidRPr="00FF756A">
              <w:rPr>
                <w:i/>
                <w:iCs/>
                <w:sz w:val="20"/>
                <w:szCs w:val="20"/>
              </w:rPr>
              <w:br/>
            </w:r>
            <w:r w:rsidRPr="00FF756A">
              <w:rPr>
                <w:i/>
                <w:iCs/>
                <w:sz w:val="20"/>
                <w:szCs w:val="20"/>
              </w:rPr>
              <w:br/>
            </w:r>
          </w:p>
          <w:p w14:paraId="4940A73C" w14:textId="77777777" w:rsidR="00835192" w:rsidRPr="00FF756A" w:rsidRDefault="00835192" w:rsidP="00835192">
            <w:pPr>
              <w:spacing w:before="20" w:after="20" w:line="240" w:lineRule="auto"/>
              <w:rPr>
                <w:i/>
                <w:iCs/>
                <w:sz w:val="20"/>
                <w:szCs w:val="20"/>
              </w:rPr>
            </w:pPr>
            <w:r w:rsidRPr="00FF756A">
              <w:rPr>
                <w:i/>
                <w:iCs/>
                <w:sz w:val="20"/>
                <w:szCs w:val="20"/>
              </w:rPr>
              <w:br/>
            </w:r>
          </w:p>
          <w:p w14:paraId="505C828F" w14:textId="77777777" w:rsidR="00835192" w:rsidRPr="00FF756A" w:rsidRDefault="00835192" w:rsidP="00835192">
            <w:pPr>
              <w:spacing w:before="20" w:after="20" w:line="240" w:lineRule="auto"/>
              <w:rPr>
                <w:i/>
                <w:iCs/>
                <w:sz w:val="20"/>
                <w:szCs w:val="20"/>
              </w:rPr>
            </w:pPr>
            <w:r w:rsidRPr="00FF756A">
              <w:rPr>
                <w:i/>
                <w:iCs/>
                <w:sz w:val="20"/>
                <w:szCs w:val="20"/>
              </w:rPr>
              <w:br/>
            </w:r>
          </w:p>
          <w:p w14:paraId="08099905" w14:textId="77777777" w:rsidR="00835192" w:rsidRPr="00FF756A" w:rsidRDefault="00835192" w:rsidP="00835192">
            <w:pPr>
              <w:spacing w:before="20" w:after="20" w:line="240" w:lineRule="auto"/>
              <w:rPr>
                <w:i/>
                <w:iCs/>
                <w:sz w:val="20"/>
                <w:szCs w:val="20"/>
              </w:rPr>
            </w:pPr>
          </w:p>
          <w:p w14:paraId="73400BF6" w14:textId="77777777" w:rsidR="00835192" w:rsidRPr="00FF756A" w:rsidRDefault="00835192" w:rsidP="00835192">
            <w:pPr>
              <w:spacing w:before="20" w:after="20" w:line="240" w:lineRule="auto"/>
              <w:jc w:val="left"/>
              <w:rPr>
                <w:i/>
                <w:iCs/>
                <w:sz w:val="20"/>
                <w:szCs w:val="20"/>
              </w:rPr>
            </w:pPr>
            <w:r w:rsidRPr="00FF756A">
              <w:rPr>
                <w:i/>
                <w:iCs/>
                <w:sz w:val="20"/>
                <w:szCs w:val="20"/>
              </w:rPr>
              <w:t xml:space="preserve">Nga viti 2023 e në </w:t>
            </w:r>
            <w:r w:rsidRPr="00FF756A">
              <w:rPr>
                <w:i/>
                <w:iCs/>
                <w:sz w:val="20"/>
                <w:szCs w:val="20"/>
              </w:rPr>
              <w:lastRenderedPageBreak/>
              <w:t>vazhdim</w:t>
            </w:r>
            <w:r w:rsidRPr="00FF756A">
              <w:rPr>
                <w:i/>
                <w:iCs/>
                <w:sz w:val="20"/>
                <w:szCs w:val="20"/>
              </w:rPr>
              <w:br/>
            </w:r>
          </w:p>
          <w:p w14:paraId="7B17D094" w14:textId="77777777" w:rsidR="00835192" w:rsidRPr="00FF756A" w:rsidRDefault="00835192" w:rsidP="00835192">
            <w:pPr>
              <w:spacing w:before="20" w:after="20" w:line="240" w:lineRule="auto"/>
              <w:rPr>
                <w:i/>
                <w:iCs/>
                <w:sz w:val="20"/>
                <w:szCs w:val="20"/>
              </w:rPr>
            </w:pPr>
            <w:r w:rsidRPr="00FF756A">
              <w:rPr>
                <w:i/>
                <w:iCs/>
                <w:sz w:val="20"/>
                <w:szCs w:val="20"/>
              </w:rPr>
              <w:t>Nga viti 2024 e në vazhdim</w:t>
            </w:r>
          </w:p>
        </w:tc>
      </w:tr>
      <w:tr w:rsidR="00835192" w:rsidRPr="00FF756A" w14:paraId="00B510CA"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185736F3"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Buxheti (burimi i financimit)</w:t>
            </w:r>
          </w:p>
        </w:tc>
        <w:tc>
          <w:tcPr>
            <w:tcW w:w="6869" w:type="dxa"/>
            <w:gridSpan w:val="5"/>
            <w:tcBorders>
              <w:top w:val="single" w:sz="4" w:space="0" w:color="auto"/>
              <w:left w:val="single" w:sz="4" w:space="0" w:color="auto"/>
              <w:bottom w:val="single" w:sz="4" w:space="0" w:color="auto"/>
              <w:right w:val="single" w:sz="4" w:space="0" w:color="auto"/>
            </w:tcBorders>
          </w:tcPr>
          <w:p w14:paraId="64E3C3C5" w14:textId="77777777" w:rsidR="00835192" w:rsidRPr="00FF756A" w:rsidRDefault="00835192" w:rsidP="00835192">
            <w:pPr>
              <w:spacing w:before="20" w:after="20" w:line="240" w:lineRule="auto"/>
              <w:rPr>
                <w:i/>
                <w:iCs/>
                <w:sz w:val="20"/>
                <w:szCs w:val="20"/>
              </w:rPr>
            </w:pPr>
            <w:r w:rsidRPr="00FF756A">
              <w:rPr>
                <w:i/>
                <w:iCs/>
                <w:sz w:val="20"/>
                <w:szCs w:val="20"/>
              </w:rPr>
              <w:t>Kostot totale të investimit për rikonstruktimin e ndërtesave publike për periudhën 2015- 2030 janë 1,8 miliardë euro.</w:t>
            </w:r>
          </w:p>
          <w:p w14:paraId="10DA3EF3" w14:textId="77777777" w:rsidR="00835192" w:rsidRPr="00FF756A" w:rsidRDefault="00835192" w:rsidP="00835192">
            <w:pPr>
              <w:spacing w:before="20" w:after="20" w:line="240" w:lineRule="auto"/>
              <w:rPr>
                <w:i/>
                <w:iCs/>
                <w:sz w:val="20"/>
                <w:szCs w:val="20"/>
              </w:rPr>
            </w:pPr>
            <w:r w:rsidRPr="00FF756A">
              <w:rPr>
                <w:i/>
                <w:iCs/>
                <w:sz w:val="20"/>
                <w:szCs w:val="20"/>
              </w:rPr>
              <w:t>Skema e financimit mund të mbështetet në elementet e mëposhtme:</w:t>
            </w:r>
          </w:p>
          <w:p w14:paraId="1FADB6B6" w14:textId="77777777" w:rsidR="00835192" w:rsidRPr="00FF756A" w:rsidRDefault="00835192" w:rsidP="00835192">
            <w:pPr>
              <w:numPr>
                <w:ilvl w:val="0"/>
                <w:numId w:val="30"/>
              </w:numPr>
              <w:spacing w:before="20" w:after="20" w:line="240" w:lineRule="auto"/>
              <w:contextualSpacing/>
              <w:rPr>
                <w:i/>
                <w:iCs/>
                <w:sz w:val="20"/>
                <w:szCs w:val="20"/>
              </w:rPr>
            </w:pPr>
            <w:r w:rsidRPr="00FF756A">
              <w:rPr>
                <w:i/>
                <w:iCs/>
                <w:sz w:val="20"/>
                <w:szCs w:val="20"/>
              </w:rPr>
              <w:t xml:space="preserve">Buxheti i shtetit: Çdo vit, shteti i alokon qeverisë vendore një buxhet të caktuar për përmbushjen e objektivave të saj. Krahas kësaj, duke mbledhur një lloj të ndryshëm taksash, qeveria vendore përcakton objektivat dhe qëllimet dhe e shpërndan/investon një pjesë të buxhetit të saj total për investime lidhur me efiçencën e energjisë në rinovimin e ndërtesave. </w:t>
            </w:r>
          </w:p>
          <w:p w14:paraId="66473410" w14:textId="77777777" w:rsidR="00835192" w:rsidRPr="00FF756A" w:rsidRDefault="00835192" w:rsidP="00835192">
            <w:pPr>
              <w:numPr>
                <w:ilvl w:val="0"/>
                <w:numId w:val="30"/>
              </w:numPr>
              <w:spacing w:before="20" w:after="20" w:line="240" w:lineRule="auto"/>
              <w:contextualSpacing/>
              <w:rPr>
                <w:i/>
                <w:iCs/>
                <w:sz w:val="20"/>
                <w:szCs w:val="20"/>
              </w:rPr>
            </w:pPr>
            <w:r w:rsidRPr="00FF756A">
              <w:rPr>
                <w:i/>
                <w:iCs/>
                <w:sz w:val="20"/>
                <w:szCs w:val="20"/>
              </w:rPr>
              <w:t xml:space="preserve">Kontributi i sektorit privat në atë publik </w:t>
            </w:r>
          </w:p>
          <w:p w14:paraId="54A542BF" w14:textId="77777777" w:rsidR="00835192" w:rsidRPr="00FF756A" w:rsidRDefault="00835192" w:rsidP="00835192">
            <w:pPr>
              <w:numPr>
                <w:ilvl w:val="0"/>
                <w:numId w:val="30"/>
              </w:numPr>
              <w:spacing w:before="20" w:after="20" w:line="240" w:lineRule="auto"/>
              <w:contextualSpacing/>
              <w:rPr>
                <w:i/>
                <w:iCs/>
                <w:sz w:val="20"/>
                <w:szCs w:val="20"/>
              </w:rPr>
            </w:pPr>
            <w:r w:rsidRPr="00FF756A">
              <w:rPr>
                <w:i/>
                <w:iCs/>
                <w:sz w:val="20"/>
                <w:szCs w:val="20"/>
              </w:rPr>
              <w:t>Zbatimi i skemave detyruese të efiçencës së energjisë</w:t>
            </w:r>
          </w:p>
          <w:p w14:paraId="62FE79AB" w14:textId="77777777" w:rsidR="00835192" w:rsidRPr="00FF756A" w:rsidRDefault="00835192" w:rsidP="00835192">
            <w:pPr>
              <w:numPr>
                <w:ilvl w:val="0"/>
                <w:numId w:val="30"/>
              </w:numPr>
              <w:spacing w:before="20" w:after="20" w:line="240" w:lineRule="auto"/>
              <w:contextualSpacing/>
              <w:rPr>
                <w:i/>
                <w:iCs/>
                <w:sz w:val="20"/>
                <w:szCs w:val="20"/>
              </w:rPr>
            </w:pPr>
            <w:r w:rsidRPr="00FF756A">
              <w:rPr>
                <w:i/>
                <w:iCs/>
                <w:sz w:val="20"/>
                <w:szCs w:val="20"/>
              </w:rPr>
              <w:t>Kombinimi i investimeve në EE dhe BRE për ndërtesat që përfitojnë nga fondet “e gjelbra” lidhur me reduktimin e konsumit të energjisë dhe GES-ve</w:t>
            </w:r>
          </w:p>
          <w:p w14:paraId="578E7E9E" w14:textId="77777777" w:rsidR="00835192" w:rsidRPr="00FF756A" w:rsidRDefault="00835192" w:rsidP="00835192">
            <w:pPr>
              <w:numPr>
                <w:ilvl w:val="0"/>
                <w:numId w:val="30"/>
              </w:numPr>
              <w:spacing w:before="20" w:after="20" w:line="240" w:lineRule="auto"/>
              <w:contextualSpacing/>
              <w:rPr>
                <w:i/>
                <w:iCs/>
                <w:sz w:val="20"/>
                <w:szCs w:val="20"/>
              </w:rPr>
            </w:pPr>
            <w:r w:rsidRPr="00FF756A">
              <w:rPr>
                <w:i/>
                <w:iCs/>
                <w:sz w:val="20"/>
                <w:szCs w:val="20"/>
              </w:rPr>
              <w:t>Linjat e kreditit dhe grantet për ndërtesat rezidenciale</w:t>
            </w:r>
          </w:p>
          <w:p w14:paraId="109C6A03" w14:textId="77777777" w:rsidR="00835192" w:rsidRPr="00FF756A" w:rsidRDefault="00835192" w:rsidP="00835192">
            <w:pPr>
              <w:numPr>
                <w:ilvl w:val="0"/>
                <w:numId w:val="30"/>
              </w:numPr>
              <w:spacing w:before="20" w:after="20" w:line="240" w:lineRule="auto"/>
              <w:contextualSpacing/>
              <w:rPr>
                <w:i/>
                <w:iCs/>
                <w:sz w:val="20"/>
                <w:szCs w:val="20"/>
              </w:rPr>
            </w:pPr>
            <w:r w:rsidRPr="00FF756A">
              <w:rPr>
                <w:i/>
                <w:iCs/>
                <w:sz w:val="20"/>
                <w:szCs w:val="20"/>
              </w:rPr>
              <w:t>Zbritjet fiskale/tatimore, reduktimi i TVSH-së; taksa e karbonit dhe krijimi i një fondi të dedikuar për financimin e investimeve në EE dhe promovimi i këtyre të fundit</w:t>
            </w:r>
          </w:p>
          <w:p w14:paraId="5B9BBD2B" w14:textId="77777777" w:rsidR="00835192" w:rsidRPr="00FF756A" w:rsidRDefault="00835192" w:rsidP="00835192">
            <w:pPr>
              <w:numPr>
                <w:ilvl w:val="0"/>
                <w:numId w:val="30"/>
              </w:numPr>
              <w:spacing w:before="20" w:after="20" w:line="240" w:lineRule="auto"/>
              <w:contextualSpacing/>
              <w:rPr>
                <w:i/>
                <w:iCs/>
                <w:sz w:val="20"/>
                <w:szCs w:val="20"/>
              </w:rPr>
            </w:pPr>
            <w:r w:rsidRPr="00FF756A">
              <w:rPr>
                <w:i/>
                <w:iCs/>
                <w:sz w:val="20"/>
                <w:szCs w:val="20"/>
              </w:rPr>
              <w:t>Institucionet financuese/donatorët ndërkombëtarë</w:t>
            </w:r>
          </w:p>
        </w:tc>
      </w:tr>
      <w:tr w:rsidR="00835192" w:rsidRPr="00FF756A" w14:paraId="55B11928"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3D51B3A8"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0265F633"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9" w:type="dxa"/>
            <w:gridSpan w:val="5"/>
            <w:tcBorders>
              <w:top w:val="single" w:sz="4" w:space="0" w:color="auto"/>
              <w:left w:val="single" w:sz="4" w:space="0" w:color="auto"/>
              <w:bottom w:val="single" w:sz="4" w:space="0" w:color="auto"/>
              <w:right w:val="single" w:sz="4" w:space="0" w:color="auto"/>
            </w:tcBorders>
          </w:tcPr>
          <w:p w14:paraId="1CA2AA04"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Agjencia për Efiçencën e Energjisë, Qeveria qendrore dhe ajo vendore</w:t>
            </w:r>
          </w:p>
          <w:p w14:paraId="27612ABB" w14:textId="77777777" w:rsidR="00835192" w:rsidRPr="00FF756A" w:rsidRDefault="00835192" w:rsidP="00835192">
            <w:pPr>
              <w:spacing w:before="20" w:after="20" w:line="240" w:lineRule="auto"/>
              <w:rPr>
                <w:i/>
                <w:iCs/>
                <w:sz w:val="20"/>
                <w:szCs w:val="20"/>
              </w:rPr>
            </w:pPr>
            <w:r w:rsidRPr="00FF756A">
              <w:rPr>
                <w:i/>
                <w:iCs/>
                <w:sz w:val="20"/>
                <w:szCs w:val="20"/>
              </w:rPr>
              <w:t>(Agjencia për Efiçencën e Energjisë; Qeveria qendrore dhe ajo vendore)</w:t>
            </w:r>
          </w:p>
        </w:tc>
      </w:tr>
      <w:tr w:rsidR="00835192" w:rsidRPr="00FF756A" w14:paraId="7BCC72F0" w14:textId="77777777" w:rsidTr="004A3257">
        <w:trPr>
          <w:trHeight w:val="20"/>
        </w:trPr>
        <w:tc>
          <w:tcPr>
            <w:tcW w:w="2203" w:type="dxa"/>
            <w:tcBorders>
              <w:top w:val="single" w:sz="4" w:space="0" w:color="auto"/>
              <w:left w:val="single" w:sz="4" w:space="0" w:color="auto"/>
              <w:bottom w:val="single" w:sz="4" w:space="0" w:color="auto"/>
              <w:right w:val="single" w:sz="4" w:space="0" w:color="auto"/>
            </w:tcBorders>
          </w:tcPr>
          <w:p w14:paraId="061EE97A"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9" w:type="dxa"/>
            <w:gridSpan w:val="5"/>
            <w:tcBorders>
              <w:top w:val="single" w:sz="4" w:space="0" w:color="auto"/>
              <w:left w:val="single" w:sz="4" w:space="0" w:color="auto"/>
              <w:bottom w:val="single" w:sz="4" w:space="0" w:color="auto"/>
              <w:right w:val="single" w:sz="4" w:space="0" w:color="auto"/>
            </w:tcBorders>
          </w:tcPr>
          <w:p w14:paraId="6AEFADE8" w14:textId="77777777" w:rsidR="00835192" w:rsidRPr="00FF756A" w:rsidRDefault="00835192" w:rsidP="00835192">
            <w:pPr>
              <w:spacing w:before="20" w:after="20" w:line="240" w:lineRule="auto"/>
              <w:rPr>
                <w:i/>
                <w:iCs/>
                <w:sz w:val="20"/>
                <w:szCs w:val="20"/>
              </w:rPr>
            </w:pPr>
            <w:r w:rsidRPr="00FF756A">
              <w:rPr>
                <w:i/>
                <w:iCs/>
                <w:sz w:val="20"/>
                <w:szCs w:val="20"/>
              </w:rPr>
              <w:t>Dekarbonizimi</w:t>
            </w:r>
          </w:p>
          <w:p w14:paraId="07EF8D27" w14:textId="77777777" w:rsidR="00835192" w:rsidRPr="00FF756A" w:rsidRDefault="00835192" w:rsidP="00835192">
            <w:pPr>
              <w:spacing w:before="20" w:after="20" w:line="240" w:lineRule="auto"/>
              <w:rPr>
                <w:i/>
                <w:iCs/>
                <w:sz w:val="20"/>
                <w:szCs w:val="20"/>
              </w:rPr>
            </w:pPr>
            <w:r w:rsidRPr="00FF756A">
              <w:rPr>
                <w:i/>
                <w:iCs/>
                <w:sz w:val="20"/>
                <w:szCs w:val="20"/>
              </w:rPr>
              <w:t>Marrëdhënia me PM-në e mëposhtme:</w:t>
            </w:r>
          </w:p>
          <w:p w14:paraId="0C06CBFD" w14:textId="77777777" w:rsidR="00835192" w:rsidRPr="00FF756A" w:rsidRDefault="00835192" w:rsidP="00835192">
            <w:pPr>
              <w:spacing w:before="20" w:after="20" w:line="240" w:lineRule="auto"/>
              <w:rPr>
                <w:i/>
                <w:iCs/>
                <w:sz w:val="20"/>
                <w:szCs w:val="20"/>
              </w:rPr>
            </w:pPr>
            <w:r w:rsidRPr="00FF756A">
              <w:rPr>
                <w:i/>
                <w:iCs/>
                <w:sz w:val="20"/>
                <w:szCs w:val="20"/>
              </w:rPr>
              <w:t>EE-L2: Plani afatgjatë i rinovimit të ndërtesave (për ndërtesat publike dhe private) sipas riformulimit të EPBD-së në vitin 2024</w:t>
            </w:r>
          </w:p>
        </w:tc>
      </w:tr>
    </w:tbl>
    <w:p w14:paraId="6D624CB5" w14:textId="77777777" w:rsidR="00835192" w:rsidRPr="00FF756A" w:rsidRDefault="00835192" w:rsidP="00835192">
      <w:bookmarkStart w:id="398" w:name="_Hlk162194428"/>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2"/>
        <w:gridCol w:w="1279"/>
        <w:gridCol w:w="600"/>
        <w:gridCol w:w="430"/>
        <w:gridCol w:w="3678"/>
        <w:gridCol w:w="883"/>
      </w:tblGrid>
      <w:tr w:rsidR="00835192" w:rsidRPr="00FF756A" w14:paraId="2A9E146D" w14:textId="77777777" w:rsidTr="004A3257">
        <w:trPr>
          <w:trHeight w:val="20"/>
        </w:trPr>
        <w:tc>
          <w:tcPr>
            <w:tcW w:w="4524" w:type="dxa"/>
            <w:gridSpan w:val="4"/>
            <w:shd w:val="clear" w:color="auto" w:fill="FFF2CC" w:themeFill="accent4" w:themeFillTint="33"/>
          </w:tcPr>
          <w:p w14:paraId="6F25AEC4"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8" w:type="dxa"/>
            <w:gridSpan w:val="2"/>
            <w:shd w:val="clear" w:color="auto" w:fill="FFF2CC" w:themeFill="accent4" w:themeFillTint="33"/>
          </w:tcPr>
          <w:p w14:paraId="13AE8E84" w14:textId="77777777" w:rsidR="00835192" w:rsidRPr="00FF756A" w:rsidRDefault="00835192" w:rsidP="008639B2">
            <w:pPr>
              <w:numPr>
                <w:ilvl w:val="0"/>
                <w:numId w:val="100"/>
              </w:numPr>
              <w:spacing w:before="20" w:after="20" w:line="240" w:lineRule="auto"/>
              <w:contextualSpacing/>
              <w:rPr>
                <w:i/>
                <w:iCs/>
                <w:sz w:val="20"/>
                <w:szCs w:val="20"/>
              </w:rPr>
            </w:pPr>
            <w:r w:rsidRPr="00FF756A">
              <w:rPr>
                <w:i/>
                <w:iCs/>
                <w:sz w:val="20"/>
                <w:szCs w:val="20"/>
              </w:rPr>
              <w:t>Efiçenca e energjisë</w:t>
            </w:r>
          </w:p>
        </w:tc>
      </w:tr>
      <w:tr w:rsidR="00835192" w:rsidRPr="00FF756A" w14:paraId="32780ADC" w14:textId="77777777" w:rsidTr="004A3257">
        <w:trPr>
          <w:trHeight w:val="20"/>
        </w:trPr>
        <w:tc>
          <w:tcPr>
            <w:tcW w:w="4092" w:type="dxa"/>
            <w:gridSpan w:val="3"/>
            <w:shd w:val="clear" w:color="auto" w:fill="FFF2CC" w:themeFill="accent4" w:themeFillTint="33"/>
          </w:tcPr>
          <w:p w14:paraId="0D827577"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80" w:type="dxa"/>
            <w:gridSpan w:val="3"/>
            <w:shd w:val="clear" w:color="auto" w:fill="FFF2CC" w:themeFill="accent4" w:themeFillTint="33"/>
          </w:tcPr>
          <w:p w14:paraId="60E0FDDE" w14:textId="77777777" w:rsidR="00835192" w:rsidRPr="00FF756A" w:rsidRDefault="00835192" w:rsidP="00835192">
            <w:pPr>
              <w:spacing w:before="20" w:after="20" w:line="240" w:lineRule="auto"/>
              <w:rPr>
                <w:i/>
                <w:iCs/>
                <w:sz w:val="20"/>
                <w:szCs w:val="20"/>
              </w:rPr>
            </w:pPr>
            <w:r w:rsidRPr="00FF756A">
              <w:rPr>
                <w:i/>
                <w:iCs/>
                <w:sz w:val="20"/>
                <w:szCs w:val="20"/>
              </w:rPr>
              <w:t xml:space="preserve"> Sektori i ndërtesave</w:t>
            </w:r>
          </w:p>
        </w:tc>
      </w:tr>
      <w:tr w:rsidR="00835192" w:rsidRPr="00FF756A" w14:paraId="49ED5263" w14:textId="77777777" w:rsidTr="004A3257">
        <w:trPr>
          <w:trHeight w:val="20"/>
        </w:trPr>
        <w:tc>
          <w:tcPr>
            <w:tcW w:w="3488" w:type="dxa"/>
            <w:gridSpan w:val="2"/>
          </w:tcPr>
          <w:p w14:paraId="42457243"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7D3D5418"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4" w:type="dxa"/>
            <w:gridSpan w:val="4"/>
          </w:tcPr>
          <w:p w14:paraId="34D0222B" w14:textId="77777777" w:rsidR="00835192" w:rsidRPr="00FF756A" w:rsidRDefault="00835192" w:rsidP="00835192">
            <w:pPr>
              <w:spacing w:before="20" w:after="20" w:line="240" w:lineRule="auto"/>
              <w:rPr>
                <w:i/>
                <w:iCs/>
                <w:sz w:val="20"/>
                <w:szCs w:val="20"/>
              </w:rPr>
            </w:pPr>
            <w:r w:rsidRPr="00FF756A">
              <w:rPr>
                <w:i/>
                <w:iCs/>
                <w:sz w:val="20"/>
                <w:szCs w:val="20"/>
              </w:rPr>
              <w:t>WAM</w:t>
            </w:r>
          </w:p>
          <w:p w14:paraId="2FBB926E" w14:textId="77777777" w:rsidR="00835192" w:rsidRPr="00FF756A" w:rsidRDefault="00835192" w:rsidP="00835192">
            <w:pPr>
              <w:spacing w:before="20" w:after="20" w:line="240" w:lineRule="auto"/>
              <w:rPr>
                <w:i/>
                <w:iCs/>
                <w:sz w:val="20"/>
                <w:szCs w:val="20"/>
              </w:rPr>
            </w:pPr>
            <w:r w:rsidRPr="00FF756A">
              <w:rPr>
                <w:i/>
                <w:iCs/>
                <w:sz w:val="20"/>
                <w:szCs w:val="20"/>
              </w:rPr>
              <w:t>Financiar; Fiskal</w:t>
            </w:r>
          </w:p>
        </w:tc>
      </w:tr>
      <w:tr w:rsidR="00835192" w:rsidRPr="00FF756A" w14:paraId="2B4D7514" w14:textId="77777777" w:rsidTr="004A3257">
        <w:trPr>
          <w:trHeight w:val="20"/>
        </w:trPr>
        <w:tc>
          <w:tcPr>
            <w:tcW w:w="2201" w:type="dxa"/>
          </w:tcPr>
          <w:p w14:paraId="307E844C"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00A61368"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1" w:type="dxa"/>
            <w:gridSpan w:val="5"/>
          </w:tcPr>
          <w:p w14:paraId="7E432E4E" w14:textId="77777777" w:rsidR="00835192" w:rsidRPr="00FF756A" w:rsidRDefault="00835192" w:rsidP="00835192">
            <w:pPr>
              <w:spacing w:before="20" w:after="20" w:line="240" w:lineRule="auto"/>
              <w:rPr>
                <w:i/>
                <w:iCs/>
                <w:sz w:val="20"/>
                <w:szCs w:val="20"/>
              </w:rPr>
            </w:pPr>
            <w:bookmarkStart w:id="399" w:name="_Hlk178257590"/>
            <w:r w:rsidRPr="00FF756A">
              <w:rPr>
                <w:i/>
                <w:iCs/>
                <w:sz w:val="20"/>
                <w:szCs w:val="20"/>
              </w:rPr>
              <w:t>Skemat e mbështetjes financiare për përmirësimin e efiçencës së energjisë në ndërtesa (sektori privat)</w:t>
            </w:r>
          </w:p>
          <w:p w14:paraId="72546902" w14:textId="77777777" w:rsidR="00835192" w:rsidRPr="00FF756A" w:rsidRDefault="00835192" w:rsidP="00835192">
            <w:pPr>
              <w:spacing w:before="20" w:after="20" w:line="240" w:lineRule="auto"/>
              <w:rPr>
                <w:i/>
                <w:iCs/>
                <w:sz w:val="20"/>
                <w:szCs w:val="20"/>
              </w:rPr>
            </w:pPr>
            <w:r w:rsidRPr="00FF756A">
              <w:rPr>
                <w:i/>
                <w:iCs/>
                <w:sz w:val="20"/>
                <w:szCs w:val="20"/>
              </w:rPr>
              <w:t>(EE-L6)</w:t>
            </w:r>
            <w:bookmarkEnd w:id="399"/>
          </w:p>
        </w:tc>
      </w:tr>
      <w:tr w:rsidR="00835192" w:rsidRPr="00FF756A" w14:paraId="37A7F7A8" w14:textId="77777777" w:rsidTr="004A3257">
        <w:trPr>
          <w:trHeight w:val="20"/>
        </w:trPr>
        <w:tc>
          <w:tcPr>
            <w:tcW w:w="2201" w:type="dxa"/>
          </w:tcPr>
          <w:p w14:paraId="559143C6"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1" w:type="dxa"/>
            <w:gridSpan w:val="5"/>
          </w:tcPr>
          <w:p w14:paraId="40E1F605" w14:textId="77777777" w:rsidR="00835192" w:rsidRPr="00FF756A" w:rsidRDefault="00835192" w:rsidP="00835192">
            <w:pPr>
              <w:spacing w:before="20" w:after="20" w:line="240" w:lineRule="auto"/>
              <w:rPr>
                <w:i/>
                <w:iCs/>
                <w:sz w:val="20"/>
                <w:szCs w:val="20"/>
              </w:rPr>
            </w:pPr>
            <w:r w:rsidRPr="00FF756A">
              <w:rPr>
                <w:i/>
                <w:iCs/>
                <w:sz w:val="20"/>
                <w:szCs w:val="20"/>
              </w:rPr>
              <w:t>2022 dhe në vazhdim</w:t>
            </w:r>
          </w:p>
        </w:tc>
      </w:tr>
      <w:tr w:rsidR="00835192" w:rsidRPr="00FF756A" w14:paraId="2E1A16DB" w14:textId="77777777" w:rsidTr="004A3257">
        <w:trPr>
          <w:trHeight w:val="20"/>
        </w:trPr>
        <w:tc>
          <w:tcPr>
            <w:tcW w:w="2201" w:type="dxa"/>
          </w:tcPr>
          <w:p w14:paraId="41D4B9B4"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1" w:type="dxa"/>
            <w:gridSpan w:val="5"/>
          </w:tcPr>
          <w:p w14:paraId="18E507C8" w14:textId="77777777" w:rsidR="00835192" w:rsidRPr="00FF756A" w:rsidRDefault="00835192" w:rsidP="00835192">
            <w:pPr>
              <w:spacing w:before="20" w:after="20" w:line="240" w:lineRule="auto"/>
              <w:rPr>
                <w:i/>
                <w:iCs/>
                <w:sz w:val="20"/>
                <w:szCs w:val="20"/>
              </w:rPr>
            </w:pPr>
            <w:r w:rsidRPr="00FF756A">
              <w:rPr>
                <w:i/>
                <w:iCs/>
                <w:sz w:val="20"/>
                <w:szCs w:val="20"/>
              </w:rPr>
              <w:t>Ligji nr. 116/2016, datë 10.11.2016, “Për performancën e energjisë në ndërtesa”; Ligji nr. 124/2015, datë 12.11.2015, “Për efiçencën e energjisë”, i ndryshuar</w:t>
            </w:r>
          </w:p>
          <w:p w14:paraId="256851E2" w14:textId="77777777" w:rsidR="00835192" w:rsidRPr="00FF756A" w:rsidRDefault="00835192" w:rsidP="00835192">
            <w:pPr>
              <w:spacing w:before="20" w:after="20" w:line="240" w:lineRule="auto"/>
              <w:rPr>
                <w:i/>
                <w:iCs/>
                <w:sz w:val="20"/>
                <w:szCs w:val="20"/>
              </w:rPr>
            </w:pPr>
            <w:r w:rsidRPr="00FF756A">
              <w:rPr>
                <w:i/>
                <w:iCs/>
                <w:sz w:val="20"/>
                <w:szCs w:val="20"/>
              </w:rPr>
              <w:t>Udhëzimi i Ministrit të Infrastrukturës dhe Energjisë nr.22, datë 27.10.2022, “Për përcaktimin e rregullave, procedurave dhe metodologjisë për klientët familjarë që përfitojnë nga masat e financimit për kursimin e energjisë nga panelet diellore”.</w:t>
            </w:r>
          </w:p>
        </w:tc>
      </w:tr>
      <w:tr w:rsidR="00835192" w:rsidRPr="00FF756A" w14:paraId="13BF0087" w14:textId="77777777" w:rsidTr="004A3257">
        <w:trPr>
          <w:trHeight w:val="20"/>
        </w:trPr>
        <w:tc>
          <w:tcPr>
            <w:tcW w:w="2201" w:type="dxa"/>
          </w:tcPr>
          <w:p w14:paraId="39EB9B89"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1" w:type="dxa"/>
            <w:gridSpan w:val="5"/>
          </w:tcPr>
          <w:p w14:paraId="1EBAB7A7" w14:textId="77777777" w:rsidR="00835192" w:rsidRPr="00FF756A" w:rsidRDefault="00835192" w:rsidP="008639B2">
            <w:pPr>
              <w:numPr>
                <w:ilvl w:val="0"/>
                <w:numId w:val="163"/>
              </w:numPr>
              <w:spacing w:before="20" w:after="20" w:line="240" w:lineRule="auto"/>
              <w:contextualSpacing/>
              <w:rPr>
                <w:i/>
                <w:iCs/>
                <w:sz w:val="20"/>
                <w:szCs w:val="20"/>
              </w:rPr>
            </w:pPr>
            <w:r w:rsidRPr="00FF756A">
              <w:rPr>
                <w:i/>
                <w:iCs/>
                <w:sz w:val="20"/>
                <w:szCs w:val="20"/>
              </w:rPr>
              <w:t xml:space="preserve">Ekzistenca e një kuadri ligjor (projektligji për ndryshimin e ligjit për EE-në) që u referohet ESCO-ve, i cili ka nisur të plotësohet me legjislacion dytësor. </w:t>
            </w:r>
          </w:p>
          <w:p w14:paraId="7C24562F" w14:textId="77777777" w:rsidR="00835192" w:rsidRPr="00FF756A" w:rsidRDefault="00835192" w:rsidP="008639B2">
            <w:pPr>
              <w:numPr>
                <w:ilvl w:val="0"/>
                <w:numId w:val="163"/>
              </w:numPr>
              <w:spacing w:before="20" w:after="20" w:line="240" w:lineRule="auto"/>
              <w:contextualSpacing/>
              <w:rPr>
                <w:i/>
                <w:iCs/>
                <w:sz w:val="20"/>
                <w:szCs w:val="20"/>
              </w:rPr>
            </w:pPr>
            <w:r w:rsidRPr="00FF756A">
              <w:rPr>
                <w:i/>
                <w:iCs/>
                <w:sz w:val="20"/>
                <w:szCs w:val="20"/>
              </w:rPr>
              <w:t>Përgatitja e një kontrate për performancën e energjisë në përputhje me objektivat.</w:t>
            </w:r>
          </w:p>
          <w:p w14:paraId="190B4515" w14:textId="77777777" w:rsidR="00835192" w:rsidRPr="00FF756A" w:rsidRDefault="00835192" w:rsidP="008639B2">
            <w:pPr>
              <w:numPr>
                <w:ilvl w:val="0"/>
                <w:numId w:val="163"/>
              </w:numPr>
              <w:spacing w:before="20" w:after="20" w:line="240" w:lineRule="auto"/>
              <w:contextualSpacing/>
              <w:rPr>
                <w:i/>
                <w:iCs/>
                <w:sz w:val="20"/>
                <w:szCs w:val="20"/>
              </w:rPr>
            </w:pPr>
            <w:r w:rsidRPr="00FF756A">
              <w:rPr>
                <w:i/>
                <w:iCs/>
                <w:sz w:val="20"/>
                <w:szCs w:val="20"/>
              </w:rPr>
              <w:t>Bashkia e Tiranës: Projektet e investimit në infrastrukturë dhe rehabilitim, në kuadër të mbështetjes nga donatorët/sektori privat, kanë konsistuar në ndërhyrjet e bëra për rikonstruktimin e shkollave.</w:t>
            </w:r>
          </w:p>
          <w:p w14:paraId="606601C8" w14:textId="77777777" w:rsidR="00835192" w:rsidRPr="00FF756A" w:rsidRDefault="00835192" w:rsidP="008639B2">
            <w:pPr>
              <w:numPr>
                <w:ilvl w:val="0"/>
                <w:numId w:val="163"/>
              </w:numPr>
              <w:spacing w:before="20" w:after="20" w:line="240" w:lineRule="auto"/>
              <w:contextualSpacing/>
              <w:rPr>
                <w:i/>
                <w:iCs/>
                <w:sz w:val="20"/>
                <w:szCs w:val="20"/>
              </w:rPr>
            </w:pPr>
            <w:r w:rsidRPr="00FF756A">
              <w:rPr>
                <w:i/>
                <w:iCs/>
                <w:sz w:val="20"/>
                <w:szCs w:val="20"/>
              </w:rPr>
              <w:t>Ndër masat e identifikuara në PVEQ (plani i veprimit i Bashkisë së Tiranës) ka qenë edhe objektivi i izolimit dhe pajisjes me dritare me efiçencë të lartë energjie për 100 ndërtesa publike, deri në vitin 2020.</w:t>
            </w:r>
          </w:p>
          <w:p w14:paraId="445F369D" w14:textId="77777777" w:rsidR="00835192" w:rsidRPr="00FF756A" w:rsidRDefault="00835192" w:rsidP="008639B2">
            <w:pPr>
              <w:numPr>
                <w:ilvl w:val="0"/>
                <w:numId w:val="163"/>
              </w:numPr>
              <w:pBdr>
                <w:top w:val="none" w:sz="0" w:space="0" w:color="auto"/>
                <w:left w:val="none" w:sz="0" w:space="0" w:color="auto"/>
                <w:bottom w:val="none" w:sz="0" w:space="0" w:color="auto"/>
                <w:right w:val="none" w:sz="0" w:space="0" w:color="auto"/>
                <w:between w:val="none" w:sz="0" w:space="0" w:color="auto"/>
              </w:pBdr>
              <w:spacing w:before="0" w:after="0" w:line="240" w:lineRule="auto"/>
              <w:contextualSpacing/>
              <w:rPr>
                <w:i/>
                <w:iCs/>
                <w:sz w:val="20"/>
                <w:szCs w:val="20"/>
              </w:rPr>
            </w:pPr>
            <w:r w:rsidRPr="00FF756A">
              <w:rPr>
                <w:i/>
                <w:iCs/>
                <w:sz w:val="20"/>
                <w:szCs w:val="20"/>
              </w:rPr>
              <w:lastRenderedPageBreak/>
              <w:t>Skema mbështetëse e bazuar në Udhëzimin e miratuar të Ministrit të Infrastrukturës dhe Energjisë nr. 22, datë 27.10.2022: 2000 konsumatorë familjarë kanë marrë subvencione nga qeveria për të mbuluar deri në 70% të kostos për instalimin e paneleve diellore që do të furnizojnë ndërtesat e tyre me ujë të ngrohtë sanitar.</w:t>
            </w:r>
          </w:p>
        </w:tc>
      </w:tr>
      <w:tr w:rsidR="00835192" w:rsidRPr="00FF756A" w14:paraId="4B361A70" w14:textId="77777777" w:rsidTr="004A3257">
        <w:trPr>
          <w:trHeight w:val="20"/>
        </w:trPr>
        <w:tc>
          <w:tcPr>
            <w:tcW w:w="2201" w:type="dxa"/>
          </w:tcPr>
          <w:p w14:paraId="2183E634"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Objektivi kryesor i PM</w:t>
            </w:r>
          </w:p>
        </w:tc>
        <w:tc>
          <w:tcPr>
            <w:tcW w:w="6871" w:type="dxa"/>
            <w:gridSpan w:val="5"/>
          </w:tcPr>
          <w:p w14:paraId="5C232458" w14:textId="77777777" w:rsidR="00835192" w:rsidRPr="00FF756A" w:rsidRDefault="00835192" w:rsidP="00835192">
            <w:pPr>
              <w:spacing w:before="20" w:after="20" w:line="240" w:lineRule="auto"/>
              <w:rPr>
                <w:i/>
                <w:iCs/>
                <w:sz w:val="20"/>
                <w:szCs w:val="20"/>
              </w:rPr>
            </w:pPr>
            <w:r w:rsidRPr="00FF756A">
              <w:rPr>
                <w:i/>
                <w:iCs/>
                <w:sz w:val="20"/>
                <w:szCs w:val="20"/>
              </w:rPr>
              <w:t>Kombinimi i financimeve, incentivave fiskale, ESCO-ve dhe skemave detyruese me një kuadër rregullator me qëllim mundësinë e ofrimit të alternativave për financimin e investimeve në kursimin e energjisë për stokun e ndërtesave.</w:t>
            </w:r>
          </w:p>
        </w:tc>
      </w:tr>
      <w:tr w:rsidR="00835192" w:rsidRPr="00FF756A" w14:paraId="46B86F85" w14:textId="77777777" w:rsidTr="004A3257">
        <w:trPr>
          <w:trHeight w:val="20"/>
        </w:trPr>
        <w:tc>
          <w:tcPr>
            <w:tcW w:w="2201" w:type="dxa"/>
          </w:tcPr>
          <w:p w14:paraId="75A105B0"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1" w:type="dxa"/>
            <w:gridSpan w:val="5"/>
          </w:tcPr>
          <w:p w14:paraId="3D642A52"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Krijimi i skemave të mbështetjes financiare për përmirësimin e efiçencës së energjisë së ndërtesave në Shqipëri</w:t>
            </w:r>
          </w:p>
        </w:tc>
      </w:tr>
      <w:tr w:rsidR="00835192" w:rsidRPr="00FF756A" w14:paraId="025F68CB" w14:textId="77777777" w:rsidTr="004A3257">
        <w:trPr>
          <w:trHeight w:val="20"/>
        </w:trPr>
        <w:tc>
          <w:tcPr>
            <w:tcW w:w="2201" w:type="dxa"/>
          </w:tcPr>
          <w:p w14:paraId="2C9B1217"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1" w:type="dxa"/>
            <w:gridSpan w:val="4"/>
          </w:tcPr>
          <w:p w14:paraId="5411CEDA" w14:textId="77777777" w:rsidR="00835192" w:rsidRPr="00FF756A" w:rsidRDefault="00835192" w:rsidP="00835192">
            <w:pPr>
              <w:spacing w:before="20" w:after="20" w:line="240" w:lineRule="auto"/>
              <w:rPr>
                <w:i/>
                <w:iCs/>
                <w:sz w:val="20"/>
                <w:szCs w:val="20"/>
              </w:rPr>
            </w:pPr>
            <w:r w:rsidRPr="00FF756A">
              <w:rPr>
                <w:i/>
                <w:iCs/>
                <w:sz w:val="20"/>
                <w:szCs w:val="20"/>
              </w:rPr>
              <w:t>Puna përgatitore për zhvillimin e mëtejshëm të skemave të mbështetjes financiare:</w:t>
            </w:r>
          </w:p>
          <w:p w14:paraId="4A395A82"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Hulumtim mbi kostot totale të investimit për rikonstruktimin e ndërtesave dhe aspekte të tjera, si disponueshmëria e audituesve të energjisë dhe nevojat për trajnim</w:t>
            </w:r>
          </w:p>
          <w:p w14:paraId="15521AD9" w14:textId="77777777" w:rsidR="00835192" w:rsidRPr="00FF756A" w:rsidRDefault="00835192" w:rsidP="00835192">
            <w:pPr>
              <w:spacing w:before="20" w:after="20" w:line="240" w:lineRule="auto"/>
              <w:rPr>
                <w:i/>
                <w:iCs/>
                <w:sz w:val="20"/>
                <w:szCs w:val="20"/>
              </w:rPr>
            </w:pPr>
            <w:r w:rsidRPr="00FF756A">
              <w:rPr>
                <w:i/>
                <w:iCs/>
                <w:sz w:val="20"/>
                <w:szCs w:val="20"/>
              </w:rPr>
              <w:t xml:space="preserve">Zbatimi i skemave të mbështetjes financiare: </w:t>
            </w:r>
          </w:p>
          <w:p w14:paraId="09DCC6B6" w14:textId="77777777" w:rsidR="00835192" w:rsidRPr="00FF756A" w:rsidRDefault="00835192" w:rsidP="00835192">
            <w:pPr>
              <w:spacing w:before="20" w:after="20" w:line="240" w:lineRule="auto"/>
              <w:rPr>
                <w:i/>
                <w:iCs/>
                <w:sz w:val="20"/>
                <w:szCs w:val="20"/>
              </w:rPr>
            </w:pPr>
            <w:r w:rsidRPr="00FF756A">
              <w:rPr>
                <w:i/>
                <w:iCs/>
                <w:sz w:val="20"/>
                <w:szCs w:val="20"/>
              </w:rPr>
              <w:t xml:space="preserve">Këshillim falas mbi energjinë nëpërmjet pikave të vetme të shërbimit/auditimeve energjetike për pronarët e ndërtesave private </w:t>
            </w:r>
          </w:p>
          <w:p w14:paraId="75BFD95B" w14:textId="77777777" w:rsidR="00835192" w:rsidRPr="00FF756A" w:rsidRDefault="00835192" w:rsidP="00835192">
            <w:pPr>
              <w:spacing w:before="20" w:after="20" w:line="240" w:lineRule="auto"/>
              <w:rPr>
                <w:i/>
                <w:iCs/>
                <w:sz w:val="20"/>
                <w:szCs w:val="20"/>
              </w:rPr>
            </w:pPr>
            <w:r w:rsidRPr="00FF756A">
              <w:rPr>
                <w:i/>
                <w:iCs/>
                <w:sz w:val="20"/>
                <w:szCs w:val="20"/>
              </w:rPr>
              <w:t xml:space="preserve">Mbështetje financiare për zbatimin e masave për kursimin e energjisë si: </w:t>
            </w:r>
          </w:p>
          <w:p w14:paraId="5C025C76" w14:textId="77777777" w:rsidR="00835192" w:rsidRPr="00FF756A" w:rsidRDefault="00835192" w:rsidP="008639B2">
            <w:pPr>
              <w:numPr>
                <w:ilvl w:val="0"/>
                <w:numId w:val="171"/>
              </w:numPr>
              <w:spacing w:before="20" w:after="20" w:line="240" w:lineRule="auto"/>
              <w:rPr>
                <w:i/>
                <w:iCs/>
                <w:sz w:val="20"/>
                <w:szCs w:val="20"/>
              </w:rPr>
            </w:pPr>
            <w:r w:rsidRPr="00FF756A">
              <w:rPr>
                <w:i/>
                <w:iCs/>
                <w:sz w:val="20"/>
                <w:szCs w:val="20"/>
              </w:rPr>
              <w:t xml:space="preserve">Buxheti i shtetit: Çdo vit, shteti i alokon qeverisë vendore një buxhet të caktuar për përmbushjen e objektivave të saj. Krahas kësaj, duke mbledhur një lloj të ndryshëm taksash, qeveria vendore përcakton objektivat dhe qëllimet dhe e shpërndan/investon një pjesë të buxhetit të saj total për investime lidhur me efiçencën e energjisë në rinovimin e ndërtesave. </w:t>
            </w:r>
          </w:p>
          <w:p w14:paraId="61A203FD" w14:textId="77777777" w:rsidR="00835192" w:rsidRPr="00FF756A" w:rsidRDefault="00835192" w:rsidP="008639B2">
            <w:pPr>
              <w:numPr>
                <w:ilvl w:val="0"/>
                <w:numId w:val="171"/>
              </w:numPr>
              <w:spacing w:before="20" w:after="20" w:line="240" w:lineRule="auto"/>
              <w:rPr>
                <w:i/>
                <w:iCs/>
                <w:sz w:val="20"/>
                <w:szCs w:val="20"/>
              </w:rPr>
            </w:pPr>
            <w:r w:rsidRPr="00FF756A">
              <w:rPr>
                <w:i/>
                <w:iCs/>
                <w:sz w:val="20"/>
                <w:szCs w:val="20"/>
              </w:rPr>
              <w:t xml:space="preserve">Kontributi i sektorit privat në atë publik </w:t>
            </w:r>
          </w:p>
          <w:p w14:paraId="1F7FFB0C" w14:textId="77777777" w:rsidR="00835192" w:rsidRPr="00FF756A" w:rsidRDefault="00835192" w:rsidP="008639B2">
            <w:pPr>
              <w:numPr>
                <w:ilvl w:val="0"/>
                <w:numId w:val="171"/>
              </w:numPr>
              <w:spacing w:before="20" w:after="20" w:line="240" w:lineRule="auto"/>
              <w:rPr>
                <w:i/>
                <w:iCs/>
                <w:sz w:val="20"/>
                <w:szCs w:val="20"/>
              </w:rPr>
            </w:pPr>
            <w:r w:rsidRPr="00FF756A">
              <w:rPr>
                <w:i/>
                <w:iCs/>
                <w:sz w:val="20"/>
                <w:szCs w:val="20"/>
              </w:rPr>
              <w:t>Zbatimi i skemave detyruese të efiçencës së energjisë</w:t>
            </w:r>
          </w:p>
          <w:p w14:paraId="0BCEB1B0" w14:textId="77777777" w:rsidR="00835192" w:rsidRPr="00FF756A" w:rsidRDefault="00835192" w:rsidP="008639B2">
            <w:pPr>
              <w:numPr>
                <w:ilvl w:val="0"/>
                <w:numId w:val="171"/>
              </w:numPr>
              <w:spacing w:before="20" w:after="20" w:line="240" w:lineRule="auto"/>
              <w:rPr>
                <w:i/>
                <w:iCs/>
                <w:sz w:val="20"/>
                <w:szCs w:val="20"/>
              </w:rPr>
            </w:pPr>
            <w:r w:rsidRPr="00FF756A">
              <w:rPr>
                <w:i/>
                <w:iCs/>
                <w:sz w:val="20"/>
                <w:szCs w:val="20"/>
              </w:rPr>
              <w:t xml:space="preserve">Investimet private nëpërmjet ESCO-ve  </w:t>
            </w:r>
          </w:p>
          <w:p w14:paraId="13835481" w14:textId="3AB532E9" w:rsidR="00835192" w:rsidRPr="00FF756A" w:rsidRDefault="00835192" w:rsidP="008639B2">
            <w:pPr>
              <w:numPr>
                <w:ilvl w:val="0"/>
                <w:numId w:val="171"/>
              </w:numPr>
              <w:spacing w:before="20" w:after="20" w:line="240" w:lineRule="auto"/>
              <w:rPr>
                <w:i/>
                <w:iCs/>
                <w:sz w:val="20"/>
                <w:szCs w:val="20"/>
              </w:rPr>
            </w:pPr>
            <w:r w:rsidRPr="00FF756A">
              <w:rPr>
                <w:i/>
                <w:iCs/>
                <w:sz w:val="20"/>
                <w:szCs w:val="20"/>
              </w:rPr>
              <w:t>Kombinimi i investimeve në EE dhe BRE</w:t>
            </w:r>
            <w:r w:rsidR="00850F43" w:rsidRPr="00FF756A">
              <w:rPr>
                <w:i/>
                <w:iCs/>
                <w:sz w:val="20"/>
                <w:szCs w:val="20"/>
              </w:rPr>
              <w:t xml:space="preserve">-ve </w:t>
            </w:r>
            <w:r w:rsidRPr="00FF756A">
              <w:rPr>
                <w:i/>
                <w:iCs/>
                <w:sz w:val="20"/>
                <w:szCs w:val="20"/>
              </w:rPr>
              <w:t xml:space="preserve"> për ndërtesat që përfitojnë nga fondet “e gjelbra” lidhur me reduktimin e konsumit të energjisë dhe GES-ve </w:t>
            </w:r>
          </w:p>
          <w:p w14:paraId="304D88BE" w14:textId="77777777" w:rsidR="00835192" w:rsidRPr="00FF756A" w:rsidRDefault="00835192" w:rsidP="008639B2">
            <w:pPr>
              <w:numPr>
                <w:ilvl w:val="0"/>
                <w:numId w:val="171"/>
              </w:numPr>
              <w:spacing w:before="20" w:after="20" w:line="240" w:lineRule="auto"/>
              <w:rPr>
                <w:i/>
                <w:iCs/>
                <w:sz w:val="20"/>
                <w:szCs w:val="20"/>
              </w:rPr>
            </w:pPr>
            <w:r w:rsidRPr="00FF756A">
              <w:rPr>
                <w:i/>
                <w:iCs/>
                <w:sz w:val="20"/>
                <w:szCs w:val="20"/>
              </w:rPr>
              <w:t>Programet e KfW-së dhe skemat e kredive të buta për financimin publik reduktojnë koston e huave të cilat jepen zakonisht nga bankat private.</w:t>
            </w:r>
          </w:p>
          <w:p w14:paraId="2983BD7D" w14:textId="77777777" w:rsidR="00835192" w:rsidRPr="00FF756A" w:rsidRDefault="00835192" w:rsidP="008639B2">
            <w:pPr>
              <w:numPr>
                <w:ilvl w:val="0"/>
                <w:numId w:val="171"/>
              </w:numPr>
              <w:spacing w:before="20" w:after="20" w:line="240" w:lineRule="auto"/>
              <w:rPr>
                <w:i/>
                <w:iCs/>
                <w:sz w:val="20"/>
                <w:szCs w:val="20"/>
              </w:rPr>
            </w:pPr>
            <w:r w:rsidRPr="00FF756A">
              <w:rPr>
                <w:i/>
                <w:iCs/>
                <w:sz w:val="20"/>
                <w:szCs w:val="20"/>
              </w:rPr>
              <w:t>Linjat e kreditit dhe grantet për ndërtesat rezidenciale</w:t>
            </w:r>
          </w:p>
          <w:p w14:paraId="3E091D6E" w14:textId="77777777" w:rsidR="00835192" w:rsidRPr="00FF756A" w:rsidRDefault="00835192" w:rsidP="008639B2">
            <w:pPr>
              <w:numPr>
                <w:ilvl w:val="0"/>
                <w:numId w:val="171"/>
              </w:numPr>
              <w:spacing w:before="20" w:after="20" w:line="240" w:lineRule="auto"/>
              <w:rPr>
                <w:i/>
                <w:iCs/>
                <w:sz w:val="20"/>
                <w:szCs w:val="20"/>
              </w:rPr>
            </w:pPr>
            <w:r w:rsidRPr="00FF756A">
              <w:rPr>
                <w:i/>
                <w:iCs/>
                <w:sz w:val="20"/>
                <w:szCs w:val="20"/>
              </w:rPr>
              <w:t xml:space="preserve">Zbritjet fiskale/tatimore, reduktimi i TVSH-së; taksa e karbonit dhe krijimi i një fondi të dedikuar për financimin e investimeve në EE dhe promovimi i këtyre të fundit </w:t>
            </w:r>
          </w:p>
          <w:p w14:paraId="7EBAE790" w14:textId="77777777" w:rsidR="00835192" w:rsidRPr="00FF756A" w:rsidRDefault="00835192" w:rsidP="00835192">
            <w:pPr>
              <w:spacing w:before="20" w:after="20" w:line="240" w:lineRule="auto"/>
              <w:ind w:left="720"/>
              <w:rPr>
                <w:i/>
                <w:iCs/>
                <w:sz w:val="20"/>
                <w:szCs w:val="20"/>
              </w:rPr>
            </w:pPr>
            <w:r w:rsidRPr="00FF756A">
              <w:rPr>
                <w:i/>
                <w:iCs/>
                <w:sz w:val="20"/>
                <w:szCs w:val="20"/>
              </w:rPr>
              <w:t>Institucionet financuese/donatorët ndërkombëtarë</w:t>
            </w:r>
          </w:p>
          <w:p w14:paraId="63528103" w14:textId="77777777" w:rsidR="00835192" w:rsidRPr="00FF756A" w:rsidRDefault="00835192" w:rsidP="00835192">
            <w:pPr>
              <w:spacing w:before="20" w:after="20" w:line="240" w:lineRule="auto"/>
              <w:rPr>
                <w:i/>
                <w:iCs/>
                <w:sz w:val="20"/>
                <w:szCs w:val="20"/>
              </w:rPr>
            </w:pPr>
            <w:r w:rsidRPr="00FF756A">
              <w:rPr>
                <w:i/>
                <w:iCs/>
                <w:sz w:val="20"/>
                <w:szCs w:val="20"/>
              </w:rPr>
              <w:t>Subvencionet publike - ato përbëjnë vetëm një pjesë të përgjigjes ndaj nevojave të zhvilluesve të projekteve, të cilat variojnë nga asistenca teknike e deri te strukturimi financiar i projektit.</w:t>
            </w:r>
          </w:p>
        </w:tc>
        <w:tc>
          <w:tcPr>
            <w:tcW w:w="850" w:type="dxa"/>
          </w:tcPr>
          <w:p w14:paraId="6F2C3A1C" w14:textId="77777777" w:rsidR="00835192" w:rsidRPr="00FF756A" w:rsidRDefault="00835192" w:rsidP="00835192">
            <w:pPr>
              <w:spacing w:before="20" w:after="20" w:line="240" w:lineRule="auto"/>
              <w:rPr>
                <w:i/>
                <w:iCs/>
                <w:sz w:val="20"/>
                <w:szCs w:val="20"/>
              </w:rPr>
            </w:pPr>
            <w:r w:rsidRPr="00FF756A">
              <w:rPr>
                <w:i/>
                <w:iCs/>
                <w:sz w:val="20"/>
                <w:szCs w:val="20"/>
              </w:rPr>
              <w:t>Nga viti 2022 e në vazhdim</w:t>
            </w:r>
          </w:p>
          <w:p w14:paraId="0EBE4534" w14:textId="77777777" w:rsidR="00835192" w:rsidRPr="00FF756A" w:rsidRDefault="00835192" w:rsidP="00835192">
            <w:pPr>
              <w:spacing w:before="20" w:after="20" w:line="240" w:lineRule="auto"/>
              <w:rPr>
                <w:i/>
                <w:iCs/>
                <w:sz w:val="20"/>
                <w:szCs w:val="20"/>
              </w:rPr>
            </w:pPr>
            <w:r w:rsidRPr="00FF756A">
              <w:rPr>
                <w:i/>
                <w:iCs/>
                <w:sz w:val="20"/>
                <w:szCs w:val="20"/>
              </w:rPr>
              <w:br/>
            </w:r>
          </w:p>
          <w:p w14:paraId="34718746" w14:textId="77777777" w:rsidR="00835192" w:rsidRPr="00FF756A" w:rsidRDefault="00835192" w:rsidP="00835192">
            <w:pPr>
              <w:spacing w:before="20" w:after="20" w:line="240" w:lineRule="auto"/>
              <w:rPr>
                <w:i/>
                <w:iCs/>
                <w:sz w:val="20"/>
                <w:szCs w:val="20"/>
              </w:rPr>
            </w:pPr>
            <w:r w:rsidRPr="00FF756A">
              <w:rPr>
                <w:i/>
                <w:iCs/>
                <w:sz w:val="20"/>
                <w:szCs w:val="20"/>
              </w:rPr>
              <w:t xml:space="preserve">Nga viti 2022 e në vazhdim </w:t>
            </w:r>
          </w:p>
        </w:tc>
      </w:tr>
      <w:tr w:rsidR="00835192" w:rsidRPr="00FF756A" w14:paraId="1FCC92A9" w14:textId="77777777" w:rsidTr="004A3257">
        <w:trPr>
          <w:trHeight w:val="20"/>
        </w:trPr>
        <w:tc>
          <w:tcPr>
            <w:tcW w:w="2201" w:type="dxa"/>
          </w:tcPr>
          <w:p w14:paraId="2143D77D"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r w:rsidRPr="00FF756A">
              <w:rPr>
                <w:sz w:val="24"/>
                <w:szCs w:val="24"/>
              </w:rPr>
              <w:t xml:space="preserve"> </w:t>
            </w:r>
          </w:p>
        </w:tc>
        <w:tc>
          <w:tcPr>
            <w:tcW w:w="6871" w:type="dxa"/>
            <w:gridSpan w:val="5"/>
          </w:tcPr>
          <w:p w14:paraId="42AEA28A" w14:textId="77777777" w:rsidR="00835192" w:rsidRPr="00FF756A" w:rsidRDefault="00835192" w:rsidP="008639B2">
            <w:pPr>
              <w:numPr>
                <w:ilvl w:val="0"/>
                <w:numId w:val="163"/>
              </w:numPr>
              <w:spacing w:before="20" w:after="20" w:line="240" w:lineRule="auto"/>
              <w:contextualSpacing/>
              <w:rPr>
                <w:i/>
                <w:iCs/>
                <w:sz w:val="20"/>
                <w:szCs w:val="20"/>
              </w:rPr>
            </w:pPr>
            <w:r w:rsidRPr="00FF756A">
              <w:rPr>
                <w:i/>
                <w:iCs/>
                <w:sz w:val="20"/>
                <w:szCs w:val="20"/>
              </w:rPr>
              <w:t>Kostot administrative (kostot për personelin nga buxheti i shtetit)</w:t>
            </w:r>
          </w:p>
          <w:p w14:paraId="409E6797" w14:textId="77777777" w:rsidR="00835192" w:rsidRPr="00FF756A" w:rsidRDefault="00835192" w:rsidP="008639B2">
            <w:pPr>
              <w:numPr>
                <w:ilvl w:val="0"/>
                <w:numId w:val="163"/>
              </w:numPr>
              <w:spacing w:before="20" w:after="20" w:line="240" w:lineRule="auto"/>
              <w:contextualSpacing/>
              <w:rPr>
                <w:i/>
                <w:iCs/>
                <w:sz w:val="20"/>
                <w:szCs w:val="20"/>
              </w:rPr>
            </w:pPr>
            <w:r w:rsidRPr="00FF756A">
              <w:rPr>
                <w:i/>
                <w:iCs/>
                <w:sz w:val="20"/>
                <w:szCs w:val="20"/>
              </w:rPr>
              <w:t>Buxheti për këshillimin falas mbi energjinë/auditimet energjetike do të financohet nga programet e asistencë teknike ose Skema Detyruese e Efiçencës së Energjisë (shuma e përllogaritur: 25 000 euro në vit).</w:t>
            </w:r>
          </w:p>
          <w:p w14:paraId="17F8F56F" w14:textId="77777777" w:rsidR="00835192" w:rsidRPr="00FF756A" w:rsidRDefault="00835192" w:rsidP="008639B2">
            <w:pPr>
              <w:numPr>
                <w:ilvl w:val="0"/>
                <w:numId w:val="163"/>
              </w:numPr>
              <w:spacing w:before="20" w:after="20" w:line="240" w:lineRule="auto"/>
              <w:contextualSpacing/>
              <w:rPr>
                <w:i/>
                <w:iCs/>
                <w:sz w:val="20"/>
                <w:szCs w:val="20"/>
              </w:rPr>
            </w:pPr>
            <w:r w:rsidRPr="00FF756A">
              <w:rPr>
                <w:i/>
                <w:iCs/>
                <w:sz w:val="20"/>
                <w:szCs w:val="20"/>
              </w:rPr>
              <w:t xml:space="preserve">Skema mbështetëse e bazuar në Udhëzimin e miratuar të Ministrit të Infrastrukturës dhe Energjisë nr. 22, datë 27.10.2022, “Për përcaktimin e rregullave, procedurave dhe metodologjisë për klientët familjarë që përfitojnë nga masat e financimit për kursimin e energjisë nga panelet diellore”. </w:t>
            </w:r>
          </w:p>
          <w:p w14:paraId="44EC542D" w14:textId="77777777" w:rsidR="00835192" w:rsidRPr="00FF756A" w:rsidRDefault="00835192" w:rsidP="008639B2">
            <w:pPr>
              <w:numPr>
                <w:ilvl w:val="0"/>
                <w:numId w:val="163"/>
              </w:numPr>
              <w:spacing w:before="20" w:after="20" w:line="240" w:lineRule="auto"/>
              <w:contextualSpacing/>
              <w:rPr>
                <w:i/>
                <w:iCs/>
                <w:sz w:val="20"/>
                <w:szCs w:val="20"/>
              </w:rPr>
            </w:pPr>
            <w:r w:rsidRPr="00FF756A">
              <w:rPr>
                <w:i/>
                <w:iCs/>
                <w:sz w:val="20"/>
                <w:szCs w:val="20"/>
              </w:rPr>
              <w:t xml:space="preserve">Investimet në efiçencën e energjisë po vijojnë përmes buxhetit të shtetit dhe projekteve të ndihmës financiare të huaj. Buxheti i shtetit ka rritur kontributin në këtë fushë për të financuar projektet e parashikuara deri në vitin 2025 dhe të menaxhuara nga ZEE. </w:t>
            </w:r>
          </w:p>
          <w:p w14:paraId="39662CAC" w14:textId="506BB8D6" w:rsidR="00835192" w:rsidRPr="00FF756A" w:rsidRDefault="00835192" w:rsidP="008639B2">
            <w:pPr>
              <w:numPr>
                <w:ilvl w:val="0"/>
                <w:numId w:val="163"/>
              </w:numPr>
              <w:spacing w:before="20" w:after="20" w:line="240" w:lineRule="auto"/>
              <w:contextualSpacing/>
              <w:rPr>
                <w:i/>
                <w:iCs/>
                <w:sz w:val="20"/>
                <w:szCs w:val="20"/>
              </w:rPr>
            </w:pPr>
            <w:r w:rsidRPr="00FF756A">
              <w:rPr>
                <w:i/>
                <w:iCs/>
                <w:sz w:val="20"/>
                <w:szCs w:val="20"/>
              </w:rPr>
              <w:t xml:space="preserve">Gjithashtu, bankat vendore vijojnë të ofrojnë linja krediti për masat e efiçencës së energjisë, kryesisht për përmirësimin e izolimit termik të </w:t>
            </w:r>
            <w:r w:rsidR="00624571" w:rsidRPr="00FF756A">
              <w:rPr>
                <w:i/>
                <w:iCs/>
                <w:sz w:val="20"/>
                <w:szCs w:val="20"/>
              </w:rPr>
              <w:t>shtresës</w:t>
            </w:r>
            <w:r w:rsidR="00412221" w:rsidRPr="00FF756A">
              <w:rPr>
                <w:i/>
                <w:iCs/>
                <w:sz w:val="20"/>
                <w:szCs w:val="20"/>
              </w:rPr>
              <w:t xml:space="preserve"> termike</w:t>
            </w:r>
            <w:r w:rsidRPr="00FF756A">
              <w:rPr>
                <w:i/>
                <w:iCs/>
                <w:sz w:val="20"/>
                <w:szCs w:val="20"/>
              </w:rPr>
              <w:t xml:space="preserve"> të ndërtesave për ndërtesat private me 50% të kostos të financuar nga Bashkia e Tiranës. Projekti “Izolimi </w:t>
            </w:r>
            <w:r w:rsidR="00F200D9" w:rsidRPr="00FF756A">
              <w:rPr>
                <w:i/>
                <w:iCs/>
                <w:sz w:val="20"/>
                <w:szCs w:val="20"/>
              </w:rPr>
              <w:t xml:space="preserve">me shtresë </w:t>
            </w:r>
            <w:r w:rsidRPr="00FF756A">
              <w:rPr>
                <w:i/>
                <w:iCs/>
                <w:sz w:val="20"/>
                <w:szCs w:val="20"/>
              </w:rPr>
              <w:t>termik</w:t>
            </w:r>
            <w:r w:rsidR="00F200D9" w:rsidRPr="00FF756A">
              <w:rPr>
                <w:i/>
                <w:iCs/>
                <w:sz w:val="20"/>
                <w:szCs w:val="20"/>
              </w:rPr>
              <w:t>e i</w:t>
            </w:r>
            <w:r w:rsidRPr="00FF756A">
              <w:rPr>
                <w:i/>
                <w:iCs/>
                <w:sz w:val="20"/>
                <w:szCs w:val="20"/>
              </w:rPr>
              <w:t xml:space="preserve"> ndërtesave” i financuar nga </w:t>
            </w:r>
            <w:r w:rsidRPr="00FF756A">
              <w:rPr>
                <w:i/>
                <w:iCs/>
                <w:sz w:val="20"/>
                <w:szCs w:val="20"/>
              </w:rPr>
              <w:lastRenderedPageBreak/>
              <w:t>Bashkia e Tiranës dhe pronarët e apartamenteve private (50%/50%) është në zbatim e sipër.</w:t>
            </w:r>
          </w:p>
        </w:tc>
      </w:tr>
      <w:tr w:rsidR="00835192" w:rsidRPr="00FF756A" w14:paraId="6877EAE9" w14:textId="77777777" w:rsidTr="004A3257">
        <w:trPr>
          <w:trHeight w:val="20"/>
        </w:trPr>
        <w:tc>
          <w:tcPr>
            <w:tcW w:w="2201" w:type="dxa"/>
          </w:tcPr>
          <w:p w14:paraId="06231E83"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Subjekti zbatues</w:t>
            </w:r>
          </w:p>
          <w:p w14:paraId="0C563526"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1" w:type="dxa"/>
            <w:gridSpan w:val="5"/>
          </w:tcPr>
          <w:p w14:paraId="6241B710" w14:textId="77777777" w:rsidR="00835192" w:rsidRPr="00FF756A" w:rsidRDefault="00835192" w:rsidP="00835192">
            <w:pPr>
              <w:spacing w:before="20" w:after="20" w:line="240" w:lineRule="auto"/>
              <w:rPr>
                <w:i/>
                <w:iCs/>
                <w:sz w:val="20"/>
                <w:szCs w:val="20"/>
              </w:rPr>
            </w:pPr>
            <w:r w:rsidRPr="00FF756A">
              <w:rPr>
                <w:i/>
                <w:iCs/>
                <w:sz w:val="20"/>
                <w:szCs w:val="20"/>
              </w:rPr>
              <w:t>Ministria e Financave dhe Ekonomisë, Ministria e Infrastrukturës dhe Energjisë, Agjencia për Efiçencën e Energjisë, bashkitë, operatorët e sektorit të ndërtesave.</w:t>
            </w:r>
          </w:p>
          <w:p w14:paraId="0E18CCDD" w14:textId="77777777" w:rsidR="00835192" w:rsidRPr="00FF756A" w:rsidRDefault="00835192" w:rsidP="00835192">
            <w:pPr>
              <w:spacing w:before="20" w:after="20" w:line="240" w:lineRule="auto"/>
              <w:rPr>
                <w:i/>
                <w:iCs/>
                <w:sz w:val="20"/>
                <w:szCs w:val="20"/>
              </w:rPr>
            </w:pPr>
            <w:r w:rsidRPr="00FF756A">
              <w:rPr>
                <w:i/>
                <w:iCs/>
                <w:sz w:val="20"/>
                <w:szCs w:val="20"/>
              </w:rPr>
              <w:t>(Agjencia për Efiçencën e Energjisë; Ministria e Infrastrukturës dhe Energjisë; Qeveria vendore)</w:t>
            </w:r>
          </w:p>
        </w:tc>
      </w:tr>
      <w:tr w:rsidR="00835192" w:rsidRPr="00FF756A" w14:paraId="75F22A6B" w14:textId="77777777" w:rsidTr="004A3257">
        <w:trPr>
          <w:trHeight w:val="20"/>
        </w:trPr>
        <w:tc>
          <w:tcPr>
            <w:tcW w:w="2201" w:type="dxa"/>
          </w:tcPr>
          <w:p w14:paraId="5B7BE86D"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1" w:type="dxa"/>
            <w:gridSpan w:val="5"/>
          </w:tcPr>
          <w:p w14:paraId="3B907A22" w14:textId="77777777" w:rsidR="00835192" w:rsidRPr="00FF756A" w:rsidRDefault="00835192" w:rsidP="00835192">
            <w:pPr>
              <w:spacing w:before="20" w:after="20" w:line="240" w:lineRule="auto"/>
              <w:rPr>
                <w:i/>
                <w:iCs/>
                <w:sz w:val="20"/>
                <w:szCs w:val="20"/>
              </w:rPr>
            </w:pPr>
            <w:r w:rsidRPr="00FF756A">
              <w:rPr>
                <w:i/>
                <w:iCs/>
                <w:sz w:val="20"/>
                <w:szCs w:val="20"/>
              </w:rPr>
              <w:t xml:space="preserve">Dekarbonizimi; Siguria e energjisë </w:t>
            </w:r>
          </w:p>
          <w:p w14:paraId="30AA50B4" w14:textId="77777777" w:rsidR="00835192" w:rsidRPr="00FF756A" w:rsidRDefault="00835192" w:rsidP="00835192">
            <w:pPr>
              <w:spacing w:before="20" w:after="20" w:line="240" w:lineRule="auto"/>
              <w:rPr>
                <w:i/>
                <w:iCs/>
                <w:sz w:val="20"/>
                <w:szCs w:val="20"/>
              </w:rPr>
            </w:pPr>
            <w:r w:rsidRPr="00FF756A">
              <w:rPr>
                <w:i/>
                <w:iCs/>
                <w:sz w:val="20"/>
                <w:szCs w:val="20"/>
              </w:rPr>
              <w:t>Marrëdhënia me PM-të e mëposhtme:</w:t>
            </w:r>
          </w:p>
          <w:p w14:paraId="10E6E7E1" w14:textId="77777777" w:rsidR="00835192" w:rsidRPr="00FF756A" w:rsidRDefault="00835192" w:rsidP="00835192">
            <w:pPr>
              <w:spacing w:before="20" w:after="20" w:line="240" w:lineRule="auto"/>
              <w:rPr>
                <w:i/>
                <w:iCs/>
                <w:sz w:val="20"/>
                <w:szCs w:val="20"/>
              </w:rPr>
            </w:pPr>
            <w:r w:rsidRPr="00FF756A">
              <w:rPr>
                <w:i/>
                <w:iCs/>
                <w:sz w:val="20"/>
                <w:szCs w:val="20"/>
              </w:rPr>
              <w:t>EE-L2: Plani afatgjatë i rinovimit të ndërtesave (për ndërtesat publike dhe private) sipas riformulimit të EPBD-së në vitin 2024</w:t>
            </w:r>
          </w:p>
          <w:p w14:paraId="055A5817" w14:textId="77777777" w:rsidR="00835192" w:rsidRPr="00FF756A" w:rsidRDefault="00835192" w:rsidP="00835192">
            <w:pPr>
              <w:spacing w:before="20" w:after="20" w:line="240" w:lineRule="auto"/>
              <w:rPr>
                <w:i/>
                <w:iCs/>
                <w:sz w:val="20"/>
                <w:szCs w:val="20"/>
              </w:rPr>
            </w:pPr>
            <w:r w:rsidRPr="00FF756A">
              <w:rPr>
                <w:i/>
                <w:iCs/>
                <w:sz w:val="20"/>
                <w:szCs w:val="20"/>
              </w:rPr>
              <w:t>EM-P1: Eliminimi i varfërisë energjetike</w:t>
            </w:r>
          </w:p>
        </w:tc>
      </w:tr>
    </w:tbl>
    <w:p w14:paraId="66523052" w14:textId="77777777" w:rsidR="00835192" w:rsidRPr="00FF756A" w:rsidRDefault="00835192" w:rsidP="00835192">
      <w:pPr>
        <w:spacing w:before="0" w:after="0" w:line="240" w:lineRule="auto"/>
        <w:jc w:val="left"/>
      </w:pP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4"/>
        <w:gridCol w:w="1278"/>
        <w:gridCol w:w="600"/>
        <w:gridCol w:w="429"/>
        <w:gridCol w:w="3678"/>
        <w:gridCol w:w="883"/>
      </w:tblGrid>
      <w:tr w:rsidR="00835192" w:rsidRPr="00FF756A" w14:paraId="28398684" w14:textId="77777777" w:rsidTr="004A3257">
        <w:trPr>
          <w:trHeight w:val="20"/>
        </w:trPr>
        <w:tc>
          <w:tcPr>
            <w:tcW w:w="4524" w:type="dxa"/>
            <w:gridSpan w:val="4"/>
            <w:shd w:val="clear" w:color="auto" w:fill="FFF2CC" w:themeFill="accent4" w:themeFillTint="33"/>
          </w:tcPr>
          <w:bookmarkEnd w:id="398"/>
          <w:p w14:paraId="7A14B7E4"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8" w:type="dxa"/>
            <w:gridSpan w:val="2"/>
            <w:shd w:val="clear" w:color="auto" w:fill="FFF2CC" w:themeFill="accent4" w:themeFillTint="33"/>
          </w:tcPr>
          <w:p w14:paraId="07DF9A92" w14:textId="77777777" w:rsidR="00835192" w:rsidRPr="00FF756A" w:rsidRDefault="00835192" w:rsidP="008639B2">
            <w:pPr>
              <w:numPr>
                <w:ilvl w:val="0"/>
                <w:numId w:val="100"/>
              </w:numPr>
              <w:spacing w:before="20" w:after="20" w:line="240" w:lineRule="auto"/>
              <w:contextualSpacing/>
              <w:rPr>
                <w:i/>
                <w:iCs/>
                <w:sz w:val="20"/>
                <w:szCs w:val="20"/>
              </w:rPr>
            </w:pPr>
            <w:r w:rsidRPr="00FF756A">
              <w:rPr>
                <w:i/>
                <w:iCs/>
                <w:sz w:val="20"/>
                <w:szCs w:val="20"/>
              </w:rPr>
              <w:t>Efiçenca e energjisë</w:t>
            </w:r>
          </w:p>
        </w:tc>
      </w:tr>
      <w:tr w:rsidR="00835192" w:rsidRPr="00FF756A" w14:paraId="1F2FFC2E" w14:textId="77777777" w:rsidTr="004A3257">
        <w:trPr>
          <w:trHeight w:val="20"/>
        </w:trPr>
        <w:tc>
          <w:tcPr>
            <w:tcW w:w="4092" w:type="dxa"/>
            <w:gridSpan w:val="3"/>
            <w:shd w:val="clear" w:color="auto" w:fill="FFF2CC" w:themeFill="accent4" w:themeFillTint="33"/>
          </w:tcPr>
          <w:p w14:paraId="41EA47A0"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80" w:type="dxa"/>
            <w:gridSpan w:val="3"/>
            <w:shd w:val="clear" w:color="auto" w:fill="FFF2CC" w:themeFill="accent4" w:themeFillTint="33"/>
          </w:tcPr>
          <w:p w14:paraId="53CA9E83" w14:textId="77777777" w:rsidR="00835192" w:rsidRPr="00FF756A" w:rsidRDefault="00835192" w:rsidP="00835192">
            <w:pPr>
              <w:spacing w:before="20" w:after="20" w:line="240" w:lineRule="auto"/>
              <w:rPr>
                <w:i/>
                <w:iCs/>
                <w:sz w:val="20"/>
                <w:szCs w:val="20"/>
              </w:rPr>
            </w:pPr>
            <w:r w:rsidRPr="00FF756A">
              <w:rPr>
                <w:i/>
                <w:iCs/>
                <w:sz w:val="20"/>
                <w:szCs w:val="20"/>
              </w:rPr>
              <w:t xml:space="preserve"> Sektori i ndërtesave</w:t>
            </w:r>
          </w:p>
        </w:tc>
      </w:tr>
      <w:tr w:rsidR="00835192" w:rsidRPr="00FF756A" w14:paraId="039BBD72" w14:textId="77777777" w:rsidTr="004A3257">
        <w:trPr>
          <w:trHeight w:val="20"/>
        </w:trPr>
        <w:tc>
          <w:tcPr>
            <w:tcW w:w="3488" w:type="dxa"/>
            <w:gridSpan w:val="2"/>
          </w:tcPr>
          <w:p w14:paraId="0EEA3C77"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4B1E6D35"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4" w:type="dxa"/>
            <w:gridSpan w:val="4"/>
          </w:tcPr>
          <w:p w14:paraId="69506B22" w14:textId="77777777" w:rsidR="00835192" w:rsidRPr="00FF756A" w:rsidRDefault="00835192" w:rsidP="00835192">
            <w:pPr>
              <w:spacing w:before="20" w:after="20" w:line="240" w:lineRule="auto"/>
              <w:rPr>
                <w:i/>
                <w:iCs/>
                <w:sz w:val="20"/>
                <w:szCs w:val="20"/>
              </w:rPr>
            </w:pPr>
            <w:r w:rsidRPr="00FF756A">
              <w:rPr>
                <w:i/>
                <w:iCs/>
                <w:sz w:val="20"/>
                <w:szCs w:val="20"/>
              </w:rPr>
              <w:t>WAM</w:t>
            </w:r>
          </w:p>
          <w:p w14:paraId="4D2AF23C" w14:textId="77777777" w:rsidR="00835192" w:rsidRPr="00FF756A" w:rsidRDefault="00835192" w:rsidP="00835192">
            <w:pPr>
              <w:spacing w:before="20" w:after="20" w:line="240" w:lineRule="auto"/>
              <w:rPr>
                <w:i/>
                <w:iCs/>
                <w:sz w:val="20"/>
                <w:szCs w:val="20"/>
              </w:rPr>
            </w:pPr>
            <w:r w:rsidRPr="00FF756A">
              <w:rPr>
                <w:i/>
                <w:iCs/>
                <w:sz w:val="20"/>
                <w:szCs w:val="20"/>
              </w:rPr>
              <w:t>Financiar</w:t>
            </w:r>
          </w:p>
        </w:tc>
      </w:tr>
      <w:tr w:rsidR="00835192" w:rsidRPr="00FF756A" w14:paraId="402D4A26" w14:textId="77777777" w:rsidTr="004A3257">
        <w:trPr>
          <w:trHeight w:val="20"/>
        </w:trPr>
        <w:tc>
          <w:tcPr>
            <w:tcW w:w="2201" w:type="dxa"/>
          </w:tcPr>
          <w:p w14:paraId="08BF6322"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314AC2FA"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1" w:type="dxa"/>
            <w:gridSpan w:val="5"/>
          </w:tcPr>
          <w:p w14:paraId="1C26D06E" w14:textId="77777777" w:rsidR="00835192" w:rsidRPr="00FF756A" w:rsidRDefault="00835192" w:rsidP="00835192">
            <w:pPr>
              <w:spacing w:before="20" w:after="20" w:line="240" w:lineRule="auto"/>
              <w:rPr>
                <w:i/>
                <w:iCs/>
                <w:sz w:val="20"/>
                <w:szCs w:val="20"/>
              </w:rPr>
            </w:pPr>
            <w:r w:rsidRPr="00FF756A">
              <w:rPr>
                <w:i/>
                <w:iCs/>
                <w:sz w:val="20"/>
                <w:szCs w:val="20"/>
              </w:rPr>
              <w:t>Auditimi i energjisë së ndërtesave publike dhe rikonstruktimi i stokut të ndërtesave publike</w:t>
            </w:r>
          </w:p>
          <w:p w14:paraId="1816DD1C" w14:textId="77777777" w:rsidR="00835192" w:rsidRPr="00FF756A" w:rsidRDefault="00835192" w:rsidP="00835192">
            <w:pPr>
              <w:spacing w:before="20" w:after="20" w:line="240" w:lineRule="auto"/>
              <w:rPr>
                <w:i/>
                <w:iCs/>
              </w:rPr>
            </w:pPr>
            <w:r w:rsidRPr="00FF756A">
              <w:rPr>
                <w:i/>
                <w:iCs/>
                <w:sz w:val="20"/>
                <w:szCs w:val="20"/>
              </w:rPr>
              <w:t>(EE-L7)</w:t>
            </w:r>
          </w:p>
        </w:tc>
      </w:tr>
      <w:tr w:rsidR="00835192" w:rsidRPr="00FF756A" w14:paraId="58B9CF42" w14:textId="77777777" w:rsidTr="004A3257">
        <w:trPr>
          <w:trHeight w:val="20"/>
        </w:trPr>
        <w:tc>
          <w:tcPr>
            <w:tcW w:w="2201" w:type="dxa"/>
          </w:tcPr>
          <w:p w14:paraId="24825884"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1" w:type="dxa"/>
            <w:gridSpan w:val="5"/>
          </w:tcPr>
          <w:p w14:paraId="378A8915" w14:textId="77777777" w:rsidR="00835192" w:rsidRPr="00FF756A" w:rsidRDefault="00835192" w:rsidP="00835192">
            <w:pPr>
              <w:spacing w:before="20" w:after="20" w:line="240" w:lineRule="auto"/>
              <w:rPr>
                <w:i/>
                <w:iCs/>
                <w:sz w:val="20"/>
                <w:szCs w:val="20"/>
              </w:rPr>
            </w:pPr>
            <w:r w:rsidRPr="00FF756A">
              <w:rPr>
                <w:i/>
                <w:iCs/>
                <w:sz w:val="20"/>
                <w:szCs w:val="20"/>
              </w:rPr>
              <w:t>2024 – 2027</w:t>
            </w:r>
          </w:p>
        </w:tc>
      </w:tr>
      <w:tr w:rsidR="00835192" w:rsidRPr="00FF756A" w14:paraId="1D20EF38" w14:textId="77777777" w:rsidTr="004A3257">
        <w:trPr>
          <w:trHeight w:val="20"/>
        </w:trPr>
        <w:tc>
          <w:tcPr>
            <w:tcW w:w="2201" w:type="dxa"/>
          </w:tcPr>
          <w:p w14:paraId="6B50EEA4"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1" w:type="dxa"/>
            <w:gridSpan w:val="5"/>
          </w:tcPr>
          <w:p w14:paraId="1ADFF75A" w14:textId="77777777" w:rsidR="00835192" w:rsidRPr="00FF756A" w:rsidRDefault="00835192" w:rsidP="00835192">
            <w:pPr>
              <w:spacing w:before="20" w:after="20" w:line="240" w:lineRule="auto"/>
              <w:rPr>
                <w:i/>
                <w:iCs/>
                <w:sz w:val="20"/>
                <w:szCs w:val="20"/>
              </w:rPr>
            </w:pPr>
            <w:r w:rsidRPr="00FF756A">
              <w:rPr>
                <w:i/>
                <w:iCs/>
                <w:sz w:val="20"/>
                <w:szCs w:val="20"/>
              </w:rPr>
              <w:t>Ligji nr. 116/2016, datë 10.11.2016, “Për performancën e energjisë në ndërtesa”; Ligji nr. 124/2015, datë 12.11.2015, “Për efiçencën e energjisë”, i ndryshuar</w:t>
            </w:r>
          </w:p>
        </w:tc>
      </w:tr>
      <w:tr w:rsidR="00835192" w:rsidRPr="00FF756A" w14:paraId="36E91E69" w14:textId="77777777" w:rsidTr="004A3257">
        <w:trPr>
          <w:trHeight w:val="20"/>
        </w:trPr>
        <w:tc>
          <w:tcPr>
            <w:tcW w:w="2201" w:type="dxa"/>
          </w:tcPr>
          <w:p w14:paraId="138601AD"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1" w:type="dxa"/>
            <w:gridSpan w:val="5"/>
          </w:tcPr>
          <w:p w14:paraId="16FB0485" w14:textId="77777777" w:rsidR="00835192" w:rsidRPr="00FF756A" w:rsidRDefault="00835192" w:rsidP="00835192">
            <w:pPr>
              <w:spacing w:before="20" w:after="20" w:line="240" w:lineRule="auto"/>
              <w:rPr>
                <w:i/>
                <w:iCs/>
                <w:sz w:val="20"/>
                <w:szCs w:val="20"/>
              </w:rPr>
            </w:pPr>
            <w:r w:rsidRPr="00FF756A">
              <w:rPr>
                <w:i/>
                <w:iCs/>
                <w:sz w:val="20"/>
                <w:szCs w:val="20"/>
              </w:rPr>
              <w:t>Projekti mbështet në gjetjet, vlerësimet, rekomandimet dhe planet e veprimit të përgatitura nga “Projekti i Bashkive me Energji Inteligjente në Shqipëri” (SEMP)” i financuar nga Ambasada e Zvicrës.</w:t>
            </w:r>
          </w:p>
        </w:tc>
      </w:tr>
      <w:tr w:rsidR="00835192" w:rsidRPr="00FF756A" w14:paraId="5D8485DC" w14:textId="77777777" w:rsidTr="004A3257">
        <w:trPr>
          <w:trHeight w:val="20"/>
        </w:trPr>
        <w:tc>
          <w:tcPr>
            <w:tcW w:w="2201" w:type="dxa"/>
          </w:tcPr>
          <w:p w14:paraId="28406F8C"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1" w:type="dxa"/>
            <w:gridSpan w:val="5"/>
          </w:tcPr>
          <w:p w14:paraId="4B0419B0" w14:textId="77777777" w:rsidR="00835192" w:rsidRPr="00FF756A" w:rsidRDefault="00835192" w:rsidP="008639B2">
            <w:pPr>
              <w:numPr>
                <w:ilvl w:val="0"/>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rFonts w:eastAsia="Times New Roman"/>
                <w:i/>
                <w:iCs/>
                <w:sz w:val="20"/>
                <w:szCs w:val="20"/>
              </w:rPr>
            </w:pPr>
            <w:r w:rsidRPr="00FF756A">
              <w:rPr>
                <w:i/>
                <w:iCs/>
                <w:sz w:val="20"/>
                <w:szCs w:val="20"/>
              </w:rPr>
              <w:t xml:space="preserve">Krijimi i inventarit të stokut të ndërtesave publike </w:t>
            </w:r>
          </w:p>
          <w:p w14:paraId="775A47E1" w14:textId="77777777" w:rsidR="00835192" w:rsidRPr="00FF756A" w:rsidRDefault="00835192" w:rsidP="008639B2">
            <w:pPr>
              <w:numPr>
                <w:ilvl w:val="0"/>
                <w:numId w:val="71"/>
              </w:numPr>
              <w:spacing w:before="20" w:after="20" w:line="240" w:lineRule="auto"/>
              <w:contextualSpacing/>
              <w:rPr>
                <w:rFonts w:eastAsia="Times New Roman"/>
                <w:i/>
                <w:iCs/>
                <w:sz w:val="20"/>
                <w:szCs w:val="20"/>
              </w:rPr>
            </w:pPr>
            <w:r w:rsidRPr="00FF756A">
              <w:rPr>
                <w:i/>
                <w:iCs/>
                <w:sz w:val="20"/>
                <w:szCs w:val="20"/>
              </w:rPr>
              <w:t>Prezantimi i përfitimeve të auditimit të energjisë dhe rikonstruktimit të stokut të ndërtesave publike</w:t>
            </w:r>
            <w:r w:rsidRPr="00FF756A">
              <w:rPr>
                <w:i/>
                <w:iCs/>
              </w:rPr>
              <w:t xml:space="preserve"> </w:t>
            </w:r>
          </w:p>
        </w:tc>
      </w:tr>
      <w:tr w:rsidR="00835192" w:rsidRPr="00FF756A" w14:paraId="5C526D9E" w14:textId="77777777" w:rsidTr="004A3257">
        <w:trPr>
          <w:trHeight w:val="20"/>
        </w:trPr>
        <w:tc>
          <w:tcPr>
            <w:tcW w:w="2201" w:type="dxa"/>
          </w:tcPr>
          <w:p w14:paraId="40104454"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1" w:type="dxa"/>
            <w:gridSpan w:val="5"/>
          </w:tcPr>
          <w:p w14:paraId="4B1A2A93" w14:textId="77777777" w:rsidR="00835192" w:rsidRPr="00FF756A" w:rsidRDefault="00835192" w:rsidP="008639B2">
            <w:pPr>
              <w:numPr>
                <w:ilvl w:val="0"/>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rFonts w:eastAsia="Times New Roman"/>
                <w:i/>
                <w:iCs/>
                <w:sz w:val="20"/>
                <w:szCs w:val="20"/>
              </w:rPr>
            </w:pPr>
            <w:r w:rsidRPr="00FF756A">
              <w:rPr>
                <w:i/>
                <w:iCs/>
                <w:sz w:val="20"/>
                <w:szCs w:val="20"/>
              </w:rPr>
              <w:t xml:space="preserve">Rritja e efiçencës së energjisë </w:t>
            </w:r>
          </w:p>
          <w:p w14:paraId="45E01DFF" w14:textId="77777777" w:rsidR="00835192" w:rsidRPr="00FF756A" w:rsidRDefault="00835192" w:rsidP="008639B2">
            <w:pPr>
              <w:numPr>
                <w:ilvl w:val="0"/>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rFonts w:eastAsia="Times New Roman"/>
                <w:i/>
                <w:iCs/>
                <w:sz w:val="20"/>
                <w:szCs w:val="20"/>
              </w:rPr>
            </w:pPr>
            <w:r w:rsidRPr="00FF756A">
              <w:rPr>
                <w:i/>
                <w:iCs/>
                <w:sz w:val="20"/>
                <w:szCs w:val="20"/>
              </w:rPr>
              <w:t>Rritja e komoditetit termik të brendshëm dhe cilësisë së ajrit të brendshëm; ajër i pastër dhe i shëndetshëm</w:t>
            </w:r>
          </w:p>
          <w:p w14:paraId="41EB9C40" w14:textId="77777777" w:rsidR="00835192" w:rsidRPr="00FF756A" w:rsidRDefault="00835192" w:rsidP="008639B2">
            <w:pPr>
              <w:numPr>
                <w:ilvl w:val="0"/>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i/>
                <w:iCs/>
              </w:rPr>
            </w:pPr>
            <w:r w:rsidRPr="00FF756A">
              <w:rPr>
                <w:i/>
                <w:iCs/>
                <w:sz w:val="20"/>
                <w:szCs w:val="20"/>
              </w:rPr>
              <w:t>Zbatimi i burimeve të rinovueshme të energjisë (rritja e vetëprodhimit të energjisë nga burimet e rinovueshme)</w:t>
            </w:r>
          </w:p>
          <w:p w14:paraId="06D60A36" w14:textId="77777777" w:rsidR="00835192" w:rsidRPr="00FF756A" w:rsidRDefault="00835192" w:rsidP="008639B2">
            <w:pPr>
              <w:numPr>
                <w:ilvl w:val="0"/>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rFonts w:eastAsia="Times New Roman"/>
                <w:i/>
                <w:iCs/>
                <w:sz w:val="20"/>
                <w:szCs w:val="20"/>
              </w:rPr>
            </w:pPr>
            <w:r w:rsidRPr="00FF756A">
              <w:rPr>
                <w:i/>
                <w:iCs/>
                <w:sz w:val="20"/>
                <w:szCs w:val="20"/>
              </w:rPr>
              <w:t>Rritja e ndërgjegjësimit duke promovuar rolin karakteristik të ndërtesave publike</w:t>
            </w:r>
          </w:p>
        </w:tc>
      </w:tr>
      <w:tr w:rsidR="00835192" w:rsidRPr="00FF756A" w14:paraId="75153AC2" w14:textId="77777777" w:rsidTr="004A3257">
        <w:trPr>
          <w:trHeight w:val="20"/>
        </w:trPr>
        <w:tc>
          <w:tcPr>
            <w:tcW w:w="2201" w:type="dxa"/>
          </w:tcPr>
          <w:p w14:paraId="6144227C"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1" w:type="dxa"/>
            <w:gridSpan w:val="4"/>
          </w:tcPr>
          <w:p w14:paraId="0DEBD1F5" w14:textId="77777777" w:rsidR="00835192" w:rsidRPr="00FF756A" w:rsidRDefault="00835192" w:rsidP="00835192">
            <w:pPr>
              <w:pBdr>
                <w:top w:val="none" w:sz="0" w:space="0" w:color="auto"/>
                <w:left w:val="none" w:sz="0" w:space="0" w:color="auto"/>
                <w:bottom w:val="none" w:sz="0" w:space="0" w:color="auto"/>
                <w:right w:val="none" w:sz="0" w:space="0" w:color="auto"/>
                <w:between w:val="none" w:sz="0" w:space="0" w:color="auto"/>
              </w:pBdr>
              <w:spacing w:before="20" w:after="20" w:line="240" w:lineRule="auto"/>
              <w:rPr>
                <w:i/>
                <w:iCs/>
                <w:sz w:val="20"/>
                <w:szCs w:val="20"/>
              </w:rPr>
            </w:pPr>
            <w:r w:rsidRPr="00FF756A">
              <w:rPr>
                <w:i/>
                <w:iCs/>
                <w:sz w:val="20"/>
                <w:szCs w:val="20"/>
              </w:rPr>
              <w:t xml:space="preserve">Inventari i ndërtesave publike: </w:t>
            </w:r>
          </w:p>
          <w:p w14:paraId="2AE24E7D" w14:textId="77777777" w:rsidR="00835192" w:rsidRPr="00FF756A" w:rsidRDefault="00835192" w:rsidP="008639B2">
            <w:pPr>
              <w:numPr>
                <w:ilvl w:val="0"/>
                <w:numId w:val="164"/>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i/>
                <w:iCs/>
                <w:sz w:val="20"/>
                <w:szCs w:val="20"/>
              </w:rPr>
            </w:pPr>
            <w:r w:rsidRPr="00FF756A">
              <w:rPr>
                <w:i/>
                <w:iCs/>
                <w:sz w:val="20"/>
                <w:szCs w:val="20"/>
              </w:rPr>
              <w:t>Krijimi i inventarit të stokut të ndërtesave publike dhe hedhja e të dhënave në një server të Agjencisë për Efiçencën e Energjisë, duke i emërtuar dhe kodifikuar ato në regjistrin elektronik kombëtar, i cili ka aftësinë për të integruar dhe për të lejuar të dhënat e tij të integrohen në serverët dhe bazat e të dhënave të Agjencisë Kombëtare të Shoqërisë së Informacionit;</w:t>
            </w:r>
          </w:p>
          <w:p w14:paraId="46E9EAE0" w14:textId="77777777" w:rsidR="00835192" w:rsidRPr="00FF756A" w:rsidRDefault="00835192" w:rsidP="008639B2">
            <w:pPr>
              <w:numPr>
                <w:ilvl w:val="0"/>
                <w:numId w:val="164"/>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i/>
                <w:iCs/>
                <w:sz w:val="20"/>
                <w:szCs w:val="20"/>
              </w:rPr>
            </w:pPr>
            <w:r w:rsidRPr="00FF756A">
              <w:rPr>
                <w:i/>
                <w:iCs/>
                <w:sz w:val="20"/>
                <w:szCs w:val="20"/>
              </w:rPr>
              <w:t>Auditimi i të gjithë stokut të ndërtesave për tri vite dhe regjistrimi i tij në server, shoqëruar me të dhëna lidhur me analizën e efikasitetit të kostos për rinovimin e tyre, sipas kërkesave të ligjit nr. 116/2016, datë 10.11.2016, “Për performancën e energjisë së ndërtesave”.</w:t>
            </w:r>
          </w:p>
          <w:p w14:paraId="16E46892" w14:textId="77777777" w:rsidR="00835192" w:rsidRPr="00FF756A" w:rsidRDefault="00835192" w:rsidP="00835192">
            <w:pPr>
              <w:pBdr>
                <w:top w:val="none" w:sz="0" w:space="0" w:color="auto"/>
                <w:left w:val="none" w:sz="0" w:space="0" w:color="auto"/>
                <w:bottom w:val="none" w:sz="0" w:space="0" w:color="auto"/>
                <w:right w:val="none" w:sz="0" w:space="0" w:color="auto"/>
                <w:between w:val="none" w:sz="0" w:space="0" w:color="auto"/>
              </w:pBdr>
              <w:spacing w:before="20" w:after="20" w:line="240" w:lineRule="auto"/>
              <w:rPr>
                <w:i/>
                <w:iCs/>
                <w:sz w:val="20"/>
                <w:szCs w:val="20"/>
              </w:rPr>
            </w:pPr>
            <w:r w:rsidRPr="00FF756A">
              <w:rPr>
                <w:i/>
                <w:iCs/>
                <w:sz w:val="20"/>
                <w:szCs w:val="20"/>
              </w:rPr>
              <w:t xml:space="preserve">Projekti pilot: </w:t>
            </w:r>
          </w:p>
          <w:p w14:paraId="538C70AB" w14:textId="77777777" w:rsidR="00835192" w:rsidRPr="00FF756A" w:rsidRDefault="00835192" w:rsidP="008639B2">
            <w:pPr>
              <w:numPr>
                <w:ilvl w:val="0"/>
                <w:numId w:val="164"/>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i/>
                <w:iCs/>
                <w:sz w:val="20"/>
                <w:szCs w:val="20"/>
              </w:rPr>
            </w:pPr>
            <w:r w:rsidRPr="00FF756A">
              <w:rPr>
                <w:i/>
                <w:iCs/>
                <w:sz w:val="20"/>
                <w:szCs w:val="20"/>
              </w:rPr>
              <w:t xml:space="preserve">Synon të kryejë auditime energjetike për 50 ndërtesa publike, në përputhje me rregulloret përkatëse shqiptare dhe të BE-së për të gjitha ndërtesat që nuk janë vlerësuar deri më tani; </w:t>
            </w:r>
          </w:p>
          <w:p w14:paraId="4DCB42D6" w14:textId="77777777" w:rsidR="00835192" w:rsidRPr="00FF756A" w:rsidRDefault="00835192" w:rsidP="008639B2">
            <w:pPr>
              <w:numPr>
                <w:ilvl w:val="0"/>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pPr>
            <w:r w:rsidRPr="00FF756A">
              <w:rPr>
                <w:i/>
                <w:iCs/>
                <w:sz w:val="20"/>
                <w:szCs w:val="20"/>
              </w:rPr>
              <w:t xml:space="preserve">Rehabilitimi me masat e efiçencës së energjisë të të paktën 15 ndërtesave publike dhe 2 ndërtesave me konsum energjie thuajse zero (nZEB); përmirësimet strukturore; masat e </w:t>
            </w:r>
            <w:r w:rsidRPr="00FF756A">
              <w:rPr>
                <w:i/>
                <w:iCs/>
                <w:sz w:val="20"/>
                <w:szCs w:val="20"/>
              </w:rPr>
              <w:lastRenderedPageBreak/>
              <w:t>efiçencës së energjisë dhe zbatimi i burimeve të rinovueshme të energjisë.</w:t>
            </w:r>
          </w:p>
        </w:tc>
        <w:tc>
          <w:tcPr>
            <w:tcW w:w="850" w:type="dxa"/>
          </w:tcPr>
          <w:p w14:paraId="09CFE91B" w14:textId="77777777" w:rsidR="00835192" w:rsidRPr="00FF756A" w:rsidRDefault="00835192" w:rsidP="00835192">
            <w:pPr>
              <w:spacing w:before="20" w:after="20" w:line="240" w:lineRule="auto"/>
              <w:rPr>
                <w:i/>
                <w:iCs/>
                <w:sz w:val="18"/>
                <w:szCs w:val="18"/>
              </w:rPr>
            </w:pPr>
            <w:r w:rsidRPr="00FF756A">
              <w:rPr>
                <w:i/>
                <w:iCs/>
                <w:sz w:val="20"/>
                <w:szCs w:val="20"/>
              </w:rPr>
              <w:lastRenderedPageBreak/>
              <w:t>Nga viti 2024 e në vazhdim</w:t>
            </w:r>
          </w:p>
          <w:p w14:paraId="082E70BA" w14:textId="77777777" w:rsidR="00835192" w:rsidRPr="00FF756A" w:rsidRDefault="00835192" w:rsidP="00835192">
            <w:pPr>
              <w:spacing w:before="20" w:after="20" w:line="240" w:lineRule="auto"/>
              <w:rPr>
                <w:i/>
                <w:iCs/>
                <w:sz w:val="18"/>
                <w:szCs w:val="18"/>
              </w:rPr>
            </w:pPr>
            <w:r w:rsidRPr="00FF756A">
              <w:rPr>
                <w:i/>
                <w:iCs/>
                <w:sz w:val="18"/>
                <w:szCs w:val="18"/>
              </w:rPr>
              <w:br/>
            </w:r>
          </w:p>
          <w:p w14:paraId="78A740B8" w14:textId="77777777" w:rsidR="00835192" w:rsidRPr="00FF756A" w:rsidRDefault="00835192" w:rsidP="00835192">
            <w:pPr>
              <w:spacing w:before="20" w:after="20" w:line="240" w:lineRule="auto"/>
              <w:rPr>
                <w:i/>
                <w:iCs/>
                <w:sz w:val="18"/>
                <w:szCs w:val="18"/>
              </w:rPr>
            </w:pPr>
          </w:p>
          <w:p w14:paraId="436AD90A" w14:textId="77777777" w:rsidR="00835192" w:rsidRPr="00FF756A" w:rsidRDefault="00835192" w:rsidP="00835192">
            <w:pPr>
              <w:spacing w:before="20" w:after="20" w:line="240" w:lineRule="auto"/>
              <w:rPr>
                <w:i/>
                <w:iCs/>
                <w:sz w:val="20"/>
                <w:szCs w:val="20"/>
              </w:rPr>
            </w:pPr>
            <w:r w:rsidRPr="00FF756A">
              <w:rPr>
                <w:i/>
                <w:iCs/>
                <w:sz w:val="18"/>
                <w:szCs w:val="18"/>
              </w:rPr>
              <w:br/>
            </w:r>
            <w:r w:rsidRPr="00FF756A">
              <w:rPr>
                <w:i/>
                <w:iCs/>
                <w:sz w:val="18"/>
                <w:szCs w:val="18"/>
              </w:rPr>
              <w:br/>
            </w:r>
            <w:r w:rsidRPr="00FF756A">
              <w:rPr>
                <w:i/>
                <w:iCs/>
                <w:sz w:val="18"/>
                <w:szCs w:val="18"/>
              </w:rPr>
              <w:br/>
            </w:r>
            <w:r w:rsidRPr="00FF756A">
              <w:rPr>
                <w:i/>
                <w:iCs/>
                <w:sz w:val="18"/>
                <w:szCs w:val="18"/>
              </w:rPr>
              <w:br/>
            </w:r>
            <w:r w:rsidRPr="00FF756A">
              <w:rPr>
                <w:i/>
                <w:iCs/>
                <w:sz w:val="18"/>
                <w:szCs w:val="18"/>
              </w:rPr>
              <w:br/>
            </w:r>
            <w:r w:rsidRPr="00FF756A">
              <w:rPr>
                <w:i/>
                <w:iCs/>
                <w:sz w:val="18"/>
                <w:szCs w:val="18"/>
              </w:rPr>
              <w:br/>
            </w:r>
            <w:r w:rsidRPr="00FF756A">
              <w:rPr>
                <w:i/>
                <w:iCs/>
                <w:sz w:val="20"/>
                <w:szCs w:val="18"/>
              </w:rPr>
              <w:t>Nga viti 2024 e në vazhdim</w:t>
            </w:r>
            <w:r w:rsidRPr="00FF756A">
              <w:rPr>
                <w:i/>
                <w:iCs/>
                <w:sz w:val="18"/>
                <w:szCs w:val="18"/>
              </w:rPr>
              <w:t xml:space="preserve"> </w:t>
            </w:r>
          </w:p>
        </w:tc>
      </w:tr>
      <w:tr w:rsidR="00835192" w:rsidRPr="00FF756A" w14:paraId="3B88BAC8" w14:textId="77777777" w:rsidTr="004A3257">
        <w:trPr>
          <w:trHeight w:val="20"/>
        </w:trPr>
        <w:tc>
          <w:tcPr>
            <w:tcW w:w="2201" w:type="dxa"/>
          </w:tcPr>
          <w:p w14:paraId="4A7C146B"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Buxheti (burimi i financimit)</w:t>
            </w:r>
          </w:p>
        </w:tc>
        <w:tc>
          <w:tcPr>
            <w:tcW w:w="6871" w:type="dxa"/>
            <w:gridSpan w:val="5"/>
          </w:tcPr>
          <w:p w14:paraId="15283519" w14:textId="77777777" w:rsidR="00835192" w:rsidRPr="00FF756A" w:rsidRDefault="00835192" w:rsidP="00835192">
            <w:pPr>
              <w:spacing w:before="0" w:after="0" w:line="240" w:lineRule="auto"/>
              <w:rPr>
                <w:i/>
                <w:iCs/>
                <w:sz w:val="20"/>
                <w:szCs w:val="20"/>
              </w:rPr>
            </w:pPr>
            <w:r w:rsidRPr="00FF756A">
              <w:rPr>
                <w:i/>
                <w:iCs/>
                <w:sz w:val="20"/>
                <w:szCs w:val="20"/>
              </w:rPr>
              <w:t>Inventari i ndërtesave publike: buxheti i shtetit</w:t>
            </w:r>
          </w:p>
          <w:p w14:paraId="4289CCF5" w14:textId="6B2D6839" w:rsidR="00835192" w:rsidRPr="00FF756A" w:rsidRDefault="00835192" w:rsidP="00835192">
            <w:pPr>
              <w:spacing w:before="0" w:after="0" w:line="240" w:lineRule="auto"/>
              <w:rPr>
                <w:b/>
                <w:bCs/>
                <w:sz w:val="20"/>
                <w:szCs w:val="20"/>
              </w:rPr>
            </w:pPr>
            <w:r w:rsidRPr="00FF756A">
              <w:rPr>
                <w:i/>
                <w:iCs/>
                <w:sz w:val="20"/>
                <w:szCs w:val="20"/>
              </w:rPr>
              <w:t>Projekti pilot; 20 milionë euro, IPA III (2023 – 2027), Window 3: A</w:t>
            </w:r>
            <w:r w:rsidR="00CC4540" w:rsidRPr="00FF756A">
              <w:rPr>
                <w:i/>
                <w:iCs/>
                <w:sz w:val="20"/>
                <w:szCs w:val="20"/>
              </w:rPr>
              <w:t>gj</w:t>
            </w:r>
            <w:r w:rsidRPr="00FF756A">
              <w:rPr>
                <w:i/>
                <w:iCs/>
                <w:sz w:val="20"/>
                <w:szCs w:val="20"/>
              </w:rPr>
              <w:t xml:space="preserve">enda e gjelbër dhe </w:t>
            </w:r>
            <w:r w:rsidR="00CC4540" w:rsidRPr="00FF756A">
              <w:rPr>
                <w:i/>
                <w:iCs/>
                <w:sz w:val="20"/>
                <w:szCs w:val="20"/>
              </w:rPr>
              <w:t xml:space="preserve">konektiviteti i </w:t>
            </w:r>
            <w:r w:rsidRPr="00FF756A">
              <w:rPr>
                <w:i/>
                <w:iCs/>
                <w:sz w:val="20"/>
                <w:szCs w:val="20"/>
              </w:rPr>
              <w:t>qëndrues</w:t>
            </w:r>
            <w:r w:rsidR="00E97F96" w:rsidRPr="00FF756A">
              <w:rPr>
                <w:i/>
                <w:iCs/>
                <w:sz w:val="20"/>
                <w:szCs w:val="20"/>
              </w:rPr>
              <w:t>hëm</w:t>
            </w:r>
          </w:p>
        </w:tc>
      </w:tr>
      <w:tr w:rsidR="00835192" w:rsidRPr="00FF756A" w14:paraId="46EF3592" w14:textId="77777777" w:rsidTr="004A3257">
        <w:trPr>
          <w:trHeight w:val="20"/>
        </w:trPr>
        <w:tc>
          <w:tcPr>
            <w:tcW w:w="2201" w:type="dxa"/>
          </w:tcPr>
          <w:p w14:paraId="07725417"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4810AA21"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1" w:type="dxa"/>
            <w:gridSpan w:val="5"/>
          </w:tcPr>
          <w:p w14:paraId="425BA189" w14:textId="77777777" w:rsidR="00835192" w:rsidRPr="00FF756A" w:rsidRDefault="00835192" w:rsidP="00835192">
            <w:pPr>
              <w:spacing w:before="20" w:after="20" w:line="240" w:lineRule="auto"/>
              <w:rPr>
                <w:i/>
                <w:iCs/>
                <w:sz w:val="20"/>
                <w:szCs w:val="20"/>
              </w:rPr>
            </w:pPr>
            <w:r w:rsidRPr="00FF756A">
              <w:rPr>
                <w:i/>
                <w:iCs/>
                <w:sz w:val="20"/>
                <w:szCs w:val="20"/>
              </w:rPr>
              <w:t>Ministria e Financave dhe Ekonomisë, Ministria e Infrastrukturës dhe Energjisë, Agjencia për Efiçencën e Energjisë, bashkitë, operatorët e sektorit të ndërtesave.</w:t>
            </w:r>
          </w:p>
          <w:p w14:paraId="5050CDAD" w14:textId="77777777" w:rsidR="00835192" w:rsidRPr="00FF756A" w:rsidRDefault="00835192" w:rsidP="00835192">
            <w:pPr>
              <w:spacing w:before="20" w:after="20" w:line="240" w:lineRule="auto"/>
              <w:rPr>
                <w:i/>
                <w:iCs/>
                <w:sz w:val="20"/>
                <w:szCs w:val="20"/>
              </w:rPr>
            </w:pPr>
            <w:r w:rsidRPr="00FF756A">
              <w:rPr>
                <w:i/>
                <w:iCs/>
                <w:sz w:val="20"/>
                <w:szCs w:val="20"/>
              </w:rPr>
              <w:t>(Agjencia për Efiçencën e Energjisë; Ministria e Infrastrukturës dhe Energjisë; Qeveria vendore)</w:t>
            </w:r>
          </w:p>
        </w:tc>
      </w:tr>
      <w:tr w:rsidR="00835192" w:rsidRPr="00FF756A" w14:paraId="59B45579" w14:textId="77777777" w:rsidTr="004A3257">
        <w:trPr>
          <w:trHeight w:val="20"/>
        </w:trPr>
        <w:tc>
          <w:tcPr>
            <w:tcW w:w="2201" w:type="dxa"/>
          </w:tcPr>
          <w:p w14:paraId="61E70611"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1" w:type="dxa"/>
            <w:gridSpan w:val="5"/>
          </w:tcPr>
          <w:p w14:paraId="76E0A6D2" w14:textId="77777777" w:rsidR="00835192" w:rsidRPr="00FF756A" w:rsidRDefault="00835192" w:rsidP="00835192">
            <w:pPr>
              <w:spacing w:before="20" w:after="20" w:line="240" w:lineRule="auto"/>
              <w:rPr>
                <w:i/>
                <w:iCs/>
                <w:sz w:val="20"/>
                <w:szCs w:val="20"/>
              </w:rPr>
            </w:pPr>
            <w:r w:rsidRPr="00FF756A">
              <w:rPr>
                <w:i/>
                <w:iCs/>
                <w:sz w:val="20"/>
                <w:szCs w:val="20"/>
              </w:rPr>
              <w:t xml:space="preserve">Dekarbonizimi; Siguria e energjisë </w:t>
            </w:r>
          </w:p>
          <w:p w14:paraId="236CAEAB" w14:textId="77777777" w:rsidR="00835192" w:rsidRPr="00FF756A" w:rsidRDefault="00835192" w:rsidP="00835192">
            <w:pPr>
              <w:spacing w:before="20" w:after="20" w:line="240" w:lineRule="auto"/>
              <w:rPr>
                <w:i/>
                <w:iCs/>
                <w:sz w:val="20"/>
                <w:szCs w:val="20"/>
              </w:rPr>
            </w:pPr>
            <w:r w:rsidRPr="00FF756A">
              <w:rPr>
                <w:i/>
                <w:iCs/>
                <w:sz w:val="20"/>
                <w:szCs w:val="20"/>
              </w:rPr>
              <w:t>Marrëdhënia me PM-të e mëposhtme:</w:t>
            </w:r>
          </w:p>
          <w:p w14:paraId="1B758AA6" w14:textId="77777777" w:rsidR="00835192" w:rsidRPr="00FF756A" w:rsidRDefault="00835192" w:rsidP="00835192">
            <w:pPr>
              <w:spacing w:before="20" w:after="20" w:line="240" w:lineRule="auto"/>
              <w:rPr>
                <w:i/>
                <w:iCs/>
                <w:sz w:val="20"/>
                <w:szCs w:val="20"/>
              </w:rPr>
            </w:pPr>
            <w:r w:rsidRPr="00FF756A">
              <w:rPr>
                <w:i/>
                <w:iCs/>
                <w:sz w:val="20"/>
                <w:szCs w:val="20"/>
              </w:rPr>
              <w:t>EE-L4: Rikonstruktimi i ndërtesave ekzistuese të qeverisë qendrore (me përjashtim të ndërtesave të tjera publike në pronësi të bashkive, etj.)</w:t>
            </w:r>
          </w:p>
          <w:p w14:paraId="0754C272" w14:textId="77777777" w:rsidR="00835192" w:rsidRPr="00FF756A" w:rsidRDefault="00835192" w:rsidP="00835192">
            <w:pPr>
              <w:spacing w:before="20" w:after="20" w:line="240" w:lineRule="auto"/>
              <w:rPr>
                <w:i/>
                <w:iCs/>
                <w:sz w:val="20"/>
                <w:szCs w:val="20"/>
              </w:rPr>
            </w:pPr>
            <w:r w:rsidRPr="00FF756A">
              <w:rPr>
                <w:i/>
                <w:iCs/>
                <w:sz w:val="20"/>
                <w:szCs w:val="20"/>
              </w:rPr>
              <w:t>EE-L5: Rikonstruktimi i stokut të ndërtesave publike (të gjitha ndërtesat publike me përjashtim të atyre të qeverisë qendrore)</w:t>
            </w:r>
          </w:p>
        </w:tc>
      </w:tr>
    </w:tbl>
    <w:p w14:paraId="763FD66D" w14:textId="77777777" w:rsidR="00835192" w:rsidRPr="00FF756A" w:rsidRDefault="00835192" w:rsidP="00835192">
      <w:pPr>
        <w:spacing w:after="0" w:line="300" w:lineRule="exact"/>
        <w:rPr>
          <w:rFonts w:eastAsia="Calibri"/>
          <w:sz w:val="24"/>
          <w:szCs w:val="24"/>
          <w:lang w:eastAsia="sq-AL"/>
        </w:rPr>
      </w:pPr>
    </w:p>
    <w:p w14:paraId="0A11FAC7" w14:textId="77777777" w:rsidR="00835192" w:rsidRPr="00FF756A" w:rsidRDefault="00835192" w:rsidP="00835192">
      <w:pPr>
        <w:spacing w:before="0" w:after="0" w:line="240" w:lineRule="auto"/>
        <w:jc w:val="left"/>
        <w:rPr>
          <w:rFonts w:eastAsia="Calibri"/>
          <w:sz w:val="24"/>
          <w:szCs w:val="24"/>
        </w:rPr>
      </w:pPr>
      <w:r w:rsidRPr="00FF756A">
        <w:br w:type="page"/>
      </w:r>
    </w:p>
    <w:p w14:paraId="6ECE5C69" w14:textId="77777777" w:rsidR="00835192" w:rsidRPr="00FF756A" w:rsidRDefault="00835192" w:rsidP="00835192">
      <w:pPr>
        <w:spacing w:after="0" w:line="300" w:lineRule="exact"/>
        <w:rPr>
          <w:rFonts w:eastAsia="Calibri"/>
          <w:sz w:val="24"/>
          <w:szCs w:val="24"/>
          <w:lang w:eastAsia="sq-AL"/>
        </w:rPr>
      </w:pP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0"/>
        <w:gridCol w:w="1285"/>
        <w:gridCol w:w="603"/>
        <w:gridCol w:w="431"/>
        <w:gridCol w:w="3693"/>
        <w:gridCol w:w="850"/>
      </w:tblGrid>
      <w:tr w:rsidR="00835192" w:rsidRPr="00FF756A" w14:paraId="14A14719" w14:textId="77777777" w:rsidTr="004A3257">
        <w:trPr>
          <w:trHeight w:val="20"/>
        </w:trPr>
        <w:tc>
          <w:tcPr>
            <w:tcW w:w="4524" w:type="dxa"/>
            <w:gridSpan w:val="4"/>
            <w:shd w:val="clear" w:color="auto" w:fill="FFF2CC" w:themeFill="accent4" w:themeFillTint="33"/>
          </w:tcPr>
          <w:p w14:paraId="7DBC2A37"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8" w:type="dxa"/>
            <w:gridSpan w:val="2"/>
            <w:shd w:val="clear" w:color="auto" w:fill="FFF2CC" w:themeFill="accent4" w:themeFillTint="33"/>
          </w:tcPr>
          <w:p w14:paraId="36AC8CC6" w14:textId="77777777" w:rsidR="00835192" w:rsidRPr="00FF756A" w:rsidRDefault="00835192" w:rsidP="008639B2">
            <w:pPr>
              <w:numPr>
                <w:ilvl w:val="0"/>
                <w:numId w:val="100"/>
              </w:numPr>
              <w:spacing w:before="20" w:after="20" w:line="240" w:lineRule="auto"/>
              <w:contextualSpacing/>
              <w:rPr>
                <w:i/>
                <w:iCs/>
                <w:sz w:val="20"/>
                <w:szCs w:val="20"/>
              </w:rPr>
            </w:pPr>
            <w:r w:rsidRPr="00FF756A">
              <w:rPr>
                <w:i/>
                <w:iCs/>
                <w:sz w:val="20"/>
                <w:szCs w:val="20"/>
              </w:rPr>
              <w:t>Efiçenca e energjisë</w:t>
            </w:r>
          </w:p>
        </w:tc>
      </w:tr>
      <w:tr w:rsidR="00835192" w:rsidRPr="00FF756A" w14:paraId="0CF58444" w14:textId="77777777" w:rsidTr="004A3257">
        <w:trPr>
          <w:trHeight w:val="20"/>
        </w:trPr>
        <w:tc>
          <w:tcPr>
            <w:tcW w:w="4092" w:type="dxa"/>
            <w:gridSpan w:val="3"/>
            <w:shd w:val="clear" w:color="auto" w:fill="FFF2CC" w:themeFill="accent4" w:themeFillTint="33"/>
          </w:tcPr>
          <w:p w14:paraId="0A314248"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80" w:type="dxa"/>
            <w:gridSpan w:val="3"/>
            <w:shd w:val="clear" w:color="auto" w:fill="FFF2CC" w:themeFill="accent4" w:themeFillTint="33"/>
          </w:tcPr>
          <w:p w14:paraId="1EC8807A" w14:textId="77777777" w:rsidR="00835192" w:rsidRPr="00FF756A" w:rsidRDefault="00835192" w:rsidP="00835192">
            <w:pPr>
              <w:spacing w:before="20" w:after="20" w:line="240" w:lineRule="auto"/>
              <w:rPr>
                <w:i/>
                <w:iCs/>
                <w:sz w:val="20"/>
                <w:szCs w:val="20"/>
              </w:rPr>
            </w:pPr>
            <w:r w:rsidRPr="00FF756A">
              <w:rPr>
                <w:i/>
                <w:iCs/>
                <w:sz w:val="20"/>
                <w:szCs w:val="20"/>
              </w:rPr>
              <w:t xml:space="preserve"> Sektori i ndërtesave</w:t>
            </w:r>
          </w:p>
        </w:tc>
      </w:tr>
      <w:tr w:rsidR="00835192" w:rsidRPr="00FF756A" w14:paraId="0954E94C" w14:textId="77777777" w:rsidTr="004A3257">
        <w:trPr>
          <w:trHeight w:val="20"/>
        </w:trPr>
        <w:tc>
          <w:tcPr>
            <w:tcW w:w="3488" w:type="dxa"/>
            <w:gridSpan w:val="2"/>
          </w:tcPr>
          <w:p w14:paraId="41DFE42B"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454119B1"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4" w:type="dxa"/>
            <w:gridSpan w:val="4"/>
          </w:tcPr>
          <w:p w14:paraId="6D836D7F" w14:textId="77777777" w:rsidR="00835192" w:rsidRPr="00FF756A" w:rsidRDefault="00835192" w:rsidP="00835192">
            <w:pPr>
              <w:spacing w:before="20" w:after="20" w:line="240" w:lineRule="auto"/>
              <w:rPr>
                <w:i/>
                <w:iCs/>
                <w:sz w:val="20"/>
                <w:szCs w:val="20"/>
              </w:rPr>
            </w:pPr>
            <w:r w:rsidRPr="00FF756A">
              <w:rPr>
                <w:i/>
                <w:iCs/>
                <w:sz w:val="20"/>
                <w:szCs w:val="20"/>
              </w:rPr>
              <w:t>WAM</w:t>
            </w:r>
          </w:p>
          <w:p w14:paraId="660C84F0" w14:textId="77777777" w:rsidR="00835192" w:rsidRPr="00FF756A" w:rsidRDefault="00835192" w:rsidP="00835192">
            <w:pPr>
              <w:spacing w:before="20" w:after="20" w:line="240" w:lineRule="auto"/>
              <w:rPr>
                <w:i/>
                <w:iCs/>
                <w:sz w:val="20"/>
                <w:szCs w:val="20"/>
              </w:rPr>
            </w:pPr>
            <w:r w:rsidRPr="00FF756A">
              <w:rPr>
                <w:i/>
                <w:iCs/>
                <w:sz w:val="20"/>
                <w:szCs w:val="20"/>
              </w:rPr>
              <w:t>Financiar</w:t>
            </w:r>
          </w:p>
        </w:tc>
      </w:tr>
      <w:tr w:rsidR="00835192" w:rsidRPr="00FF756A" w14:paraId="549FFF34" w14:textId="77777777" w:rsidTr="004A3257">
        <w:trPr>
          <w:trHeight w:val="20"/>
        </w:trPr>
        <w:tc>
          <w:tcPr>
            <w:tcW w:w="2201" w:type="dxa"/>
          </w:tcPr>
          <w:p w14:paraId="1986B0A0"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5F329D73"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1" w:type="dxa"/>
            <w:gridSpan w:val="5"/>
          </w:tcPr>
          <w:p w14:paraId="33CF2EE0" w14:textId="77777777" w:rsidR="00835192" w:rsidRPr="00FF756A" w:rsidRDefault="00835192" w:rsidP="00835192">
            <w:pPr>
              <w:spacing w:before="0" w:after="0" w:line="240" w:lineRule="auto"/>
              <w:rPr>
                <w:i/>
                <w:iCs/>
                <w:sz w:val="20"/>
                <w:szCs w:val="20"/>
              </w:rPr>
            </w:pPr>
            <w:r w:rsidRPr="00FF756A">
              <w:rPr>
                <w:i/>
                <w:iCs/>
                <w:sz w:val="20"/>
                <w:szCs w:val="20"/>
              </w:rPr>
              <w:t xml:space="preserve">Programi i rehabilitimit të efiçencës së energjisë në Qytetin Studenti I - Tiranë, Shqipëri - projekt pilot </w:t>
            </w:r>
          </w:p>
          <w:p w14:paraId="2E462902" w14:textId="77777777" w:rsidR="00835192" w:rsidRPr="00FF756A" w:rsidRDefault="00835192" w:rsidP="00835192">
            <w:pPr>
              <w:spacing w:before="0" w:after="0" w:line="240" w:lineRule="auto"/>
              <w:rPr>
                <w:i/>
                <w:iCs/>
                <w:sz w:val="20"/>
                <w:szCs w:val="20"/>
              </w:rPr>
            </w:pPr>
            <w:r w:rsidRPr="00FF756A">
              <w:rPr>
                <w:i/>
                <w:iCs/>
                <w:sz w:val="20"/>
                <w:szCs w:val="20"/>
              </w:rPr>
              <w:t>(EE-L8)</w:t>
            </w:r>
          </w:p>
        </w:tc>
      </w:tr>
      <w:tr w:rsidR="00835192" w:rsidRPr="00FF756A" w14:paraId="3AAA0BFA" w14:textId="77777777" w:rsidTr="004A3257">
        <w:trPr>
          <w:trHeight w:val="20"/>
        </w:trPr>
        <w:tc>
          <w:tcPr>
            <w:tcW w:w="2201" w:type="dxa"/>
          </w:tcPr>
          <w:p w14:paraId="190E40B0"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1" w:type="dxa"/>
            <w:gridSpan w:val="5"/>
          </w:tcPr>
          <w:p w14:paraId="52D46EC3" w14:textId="77777777" w:rsidR="00835192" w:rsidRPr="00FF756A" w:rsidRDefault="00835192" w:rsidP="00835192">
            <w:pPr>
              <w:spacing w:before="20" w:after="20" w:line="240" w:lineRule="auto"/>
              <w:rPr>
                <w:i/>
                <w:iCs/>
                <w:sz w:val="20"/>
                <w:szCs w:val="20"/>
              </w:rPr>
            </w:pPr>
            <w:r w:rsidRPr="00FF756A">
              <w:rPr>
                <w:i/>
                <w:iCs/>
                <w:sz w:val="20"/>
                <w:szCs w:val="20"/>
              </w:rPr>
              <w:t>2020 – 2026</w:t>
            </w:r>
          </w:p>
        </w:tc>
      </w:tr>
      <w:tr w:rsidR="00835192" w:rsidRPr="00FF756A" w14:paraId="32CF1FEC" w14:textId="77777777" w:rsidTr="004A3257">
        <w:trPr>
          <w:trHeight w:val="20"/>
        </w:trPr>
        <w:tc>
          <w:tcPr>
            <w:tcW w:w="2201" w:type="dxa"/>
          </w:tcPr>
          <w:p w14:paraId="289A4732"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1" w:type="dxa"/>
            <w:gridSpan w:val="5"/>
          </w:tcPr>
          <w:p w14:paraId="41AA06AE" w14:textId="77777777" w:rsidR="00835192" w:rsidRPr="00FF756A" w:rsidRDefault="00835192" w:rsidP="00835192">
            <w:pPr>
              <w:spacing w:before="20" w:after="20" w:line="240" w:lineRule="auto"/>
              <w:rPr>
                <w:i/>
                <w:iCs/>
                <w:sz w:val="20"/>
                <w:szCs w:val="20"/>
              </w:rPr>
            </w:pPr>
            <w:r w:rsidRPr="00FF756A">
              <w:rPr>
                <w:i/>
                <w:iCs/>
                <w:sz w:val="20"/>
                <w:szCs w:val="20"/>
              </w:rPr>
              <w:t>Ligji nr. 116/2016, datë 10.11.2016, “Për performancën e energjisë në ndërtesa”; Ligji nr. 124/2015, datë 12.11.2015, “Për efiçencën e energjisë”, i ndryshuar</w:t>
            </w:r>
          </w:p>
        </w:tc>
      </w:tr>
      <w:tr w:rsidR="00835192" w:rsidRPr="00FF756A" w14:paraId="5F724808" w14:textId="77777777" w:rsidTr="004A3257">
        <w:trPr>
          <w:trHeight w:val="20"/>
        </w:trPr>
        <w:tc>
          <w:tcPr>
            <w:tcW w:w="2201" w:type="dxa"/>
          </w:tcPr>
          <w:p w14:paraId="4F086AFD"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1" w:type="dxa"/>
            <w:gridSpan w:val="5"/>
          </w:tcPr>
          <w:p w14:paraId="10FD45FA" w14:textId="77777777" w:rsidR="00835192" w:rsidRPr="00FF756A" w:rsidRDefault="00835192" w:rsidP="00835192">
            <w:pPr>
              <w:spacing w:before="20" w:after="20" w:line="240" w:lineRule="auto"/>
              <w:rPr>
                <w:i/>
                <w:iCs/>
                <w:sz w:val="20"/>
                <w:szCs w:val="20"/>
              </w:rPr>
            </w:pPr>
            <w:r w:rsidRPr="00FF756A">
              <w:rPr>
                <w:i/>
                <w:iCs/>
                <w:sz w:val="20"/>
                <w:szCs w:val="20"/>
              </w:rPr>
              <w:t xml:space="preserve">Përgatitja e projektit </w:t>
            </w:r>
          </w:p>
        </w:tc>
      </w:tr>
      <w:tr w:rsidR="00835192" w:rsidRPr="00FF756A" w14:paraId="120D068F" w14:textId="77777777" w:rsidTr="004A3257">
        <w:trPr>
          <w:trHeight w:val="20"/>
        </w:trPr>
        <w:tc>
          <w:tcPr>
            <w:tcW w:w="2201" w:type="dxa"/>
          </w:tcPr>
          <w:p w14:paraId="3E424E4C"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1" w:type="dxa"/>
            <w:gridSpan w:val="5"/>
          </w:tcPr>
          <w:p w14:paraId="10C288F6" w14:textId="77777777" w:rsidR="00835192" w:rsidRPr="00FF756A" w:rsidRDefault="00835192" w:rsidP="008639B2">
            <w:pPr>
              <w:numPr>
                <w:ilvl w:val="0"/>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rFonts w:eastAsia="Times New Roman"/>
                <w:i/>
                <w:iCs/>
                <w:sz w:val="20"/>
                <w:szCs w:val="20"/>
              </w:rPr>
            </w:pPr>
            <w:r w:rsidRPr="00FF756A">
              <w:rPr>
                <w:i/>
                <w:iCs/>
                <w:sz w:val="20"/>
                <w:szCs w:val="20"/>
              </w:rPr>
              <w:t xml:space="preserve">Prezantimi i përfitimeve të rinovimit të ndërtesave: rinovimi i konvikteve të studentëve me qëllim kursimin e konsiderueshëm të energjisë dhe garantimin e kushteve të përshtatshme të jetesës dhe punës me kosto të arsyeshme. </w:t>
            </w:r>
          </w:p>
        </w:tc>
      </w:tr>
      <w:tr w:rsidR="00835192" w:rsidRPr="00FF756A" w14:paraId="5606C8DA" w14:textId="77777777" w:rsidTr="004A3257">
        <w:trPr>
          <w:trHeight w:val="20"/>
        </w:trPr>
        <w:tc>
          <w:tcPr>
            <w:tcW w:w="2201" w:type="dxa"/>
          </w:tcPr>
          <w:p w14:paraId="18C1507A"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1" w:type="dxa"/>
            <w:gridSpan w:val="5"/>
          </w:tcPr>
          <w:p w14:paraId="4B391875" w14:textId="77777777" w:rsidR="00835192" w:rsidRPr="00FF756A" w:rsidRDefault="00835192" w:rsidP="008639B2">
            <w:pPr>
              <w:numPr>
                <w:ilvl w:val="0"/>
                <w:numId w:val="71"/>
              </w:numPr>
              <w:spacing w:before="20" w:after="20" w:line="240" w:lineRule="auto"/>
              <w:contextualSpacing/>
              <w:rPr>
                <w:rFonts w:eastAsia="Times New Roman"/>
                <w:i/>
                <w:iCs/>
                <w:sz w:val="20"/>
                <w:szCs w:val="20"/>
              </w:rPr>
            </w:pPr>
            <w:r w:rsidRPr="00FF756A">
              <w:rPr>
                <w:i/>
                <w:iCs/>
                <w:sz w:val="20"/>
                <w:szCs w:val="20"/>
              </w:rPr>
              <w:t>Pritet që të kursehet të paktën 20% e energjisë në krahasim me konsumin aktual. Parashikohet reduktimi i CO</w:t>
            </w:r>
            <w:r w:rsidRPr="00FF756A">
              <w:rPr>
                <w:i/>
                <w:iCs/>
                <w:sz w:val="20"/>
                <w:szCs w:val="20"/>
                <w:vertAlign w:val="subscript"/>
              </w:rPr>
              <w:t>2</w:t>
            </w:r>
            <w:r w:rsidRPr="00FF756A">
              <w:rPr>
                <w:i/>
                <w:iCs/>
                <w:sz w:val="20"/>
                <w:szCs w:val="20"/>
              </w:rPr>
              <w:t xml:space="preserve"> me të njëjtën sasi.</w:t>
            </w:r>
          </w:p>
          <w:p w14:paraId="686C2CEC" w14:textId="77777777" w:rsidR="00835192" w:rsidRPr="00FF756A" w:rsidRDefault="00835192" w:rsidP="008639B2">
            <w:pPr>
              <w:numPr>
                <w:ilvl w:val="0"/>
                <w:numId w:val="71"/>
              </w:numPr>
              <w:spacing w:before="20" w:after="20" w:line="240" w:lineRule="auto"/>
              <w:contextualSpacing/>
              <w:rPr>
                <w:rFonts w:eastAsia="Times New Roman"/>
                <w:i/>
                <w:iCs/>
                <w:sz w:val="20"/>
                <w:szCs w:val="20"/>
              </w:rPr>
            </w:pPr>
            <w:r w:rsidRPr="00FF756A">
              <w:rPr>
                <w:i/>
                <w:iCs/>
                <w:sz w:val="20"/>
                <w:szCs w:val="20"/>
              </w:rPr>
              <w:t>Konviktet duhet të mbeten tërheqës dhe të përballueshëm, veçanërisht për studentët me kushte të vështira ekonomike. Për këtë arsye, është negociuar që të paktën 70% e studentëve të ardhshëm që do të akomodohen në konvikte duhet t’i përkasin kësaj kategorie.</w:t>
            </w:r>
          </w:p>
          <w:p w14:paraId="19045392" w14:textId="77777777" w:rsidR="00835192" w:rsidRPr="00FF756A" w:rsidRDefault="00835192" w:rsidP="008639B2">
            <w:pPr>
              <w:numPr>
                <w:ilvl w:val="0"/>
                <w:numId w:val="71"/>
              </w:numPr>
              <w:spacing w:before="20" w:after="20" w:line="240" w:lineRule="auto"/>
              <w:contextualSpacing/>
              <w:rPr>
                <w:rFonts w:eastAsia="Times New Roman"/>
                <w:i/>
                <w:iCs/>
                <w:sz w:val="20"/>
                <w:szCs w:val="20"/>
              </w:rPr>
            </w:pPr>
            <w:r w:rsidRPr="00FF756A">
              <w:rPr>
                <w:i/>
                <w:iCs/>
                <w:sz w:val="20"/>
                <w:szCs w:val="20"/>
              </w:rPr>
              <w:t>Si një objektiv i përgjithshëm i zhvillimit, do të krijohen mundësi punësimi për të zvogëluar tendencat e migracionit. Programi do të ofrojë trajnim dhe punësim të përkohshëm për të përforcuar njohuritë lokale, për të nisur projekte të ngjashme dhe për të krijuar punë të kualifikuar.</w:t>
            </w:r>
          </w:p>
        </w:tc>
      </w:tr>
      <w:tr w:rsidR="00835192" w:rsidRPr="00FF756A" w14:paraId="421F1A8F" w14:textId="77777777" w:rsidTr="004A3257">
        <w:trPr>
          <w:trHeight w:val="20"/>
        </w:trPr>
        <w:tc>
          <w:tcPr>
            <w:tcW w:w="2201" w:type="dxa"/>
          </w:tcPr>
          <w:p w14:paraId="5D54319A"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1" w:type="dxa"/>
            <w:gridSpan w:val="4"/>
          </w:tcPr>
          <w:p w14:paraId="01FFDC0E" w14:textId="77777777" w:rsidR="00835192" w:rsidRPr="00FF756A" w:rsidRDefault="00835192" w:rsidP="008639B2">
            <w:pPr>
              <w:numPr>
                <w:ilvl w:val="0"/>
                <w:numId w:val="71"/>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rFonts w:eastAsia="Times New Roman"/>
                <w:i/>
                <w:iCs/>
                <w:sz w:val="20"/>
                <w:szCs w:val="20"/>
              </w:rPr>
            </w:pPr>
            <w:r w:rsidRPr="00FF756A">
              <w:rPr>
                <w:i/>
                <w:iCs/>
                <w:sz w:val="20"/>
                <w:szCs w:val="20"/>
              </w:rPr>
              <w:t>Rinovimi i konvikteve të Qytetit Studenti I, rritja e integritetit strukturor, efiçencës së energjisë dhe komoditetit bazë.</w:t>
            </w:r>
          </w:p>
        </w:tc>
        <w:tc>
          <w:tcPr>
            <w:tcW w:w="850" w:type="dxa"/>
          </w:tcPr>
          <w:p w14:paraId="4FA9C945" w14:textId="77777777" w:rsidR="00835192" w:rsidRPr="00FF756A" w:rsidRDefault="00835192" w:rsidP="00835192">
            <w:pPr>
              <w:spacing w:before="20" w:after="20" w:line="240" w:lineRule="auto"/>
              <w:rPr>
                <w:i/>
                <w:iCs/>
                <w:sz w:val="18"/>
                <w:szCs w:val="18"/>
              </w:rPr>
            </w:pPr>
            <w:r w:rsidRPr="00FF756A">
              <w:rPr>
                <w:i/>
                <w:iCs/>
                <w:sz w:val="20"/>
                <w:szCs w:val="20"/>
              </w:rPr>
              <w:t>brenda vitit 2026</w:t>
            </w:r>
          </w:p>
          <w:p w14:paraId="3F9B4126" w14:textId="77777777" w:rsidR="00835192" w:rsidRPr="00FF756A" w:rsidRDefault="00835192" w:rsidP="00835192">
            <w:pPr>
              <w:spacing w:before="20" w:after="20" w:line="240" w:lineRule="auto"/>
              <w:rPr>
                <w:i/>
                <w:iCs/>
                <w:sz w:val="20"/>
                <w:szCs w:val="20"/>
              </w:rPr>
            </w:pPr>
            <w:r w:rsidRPr="00FF756A">
              <w:rPr>
                <w:i/>
                <w:iCs/>
                <w:sz w:val="20"/>
                <w:szCs w:val="20"/>
              </w:rPr>
              <w:t xml:space="preserve"> </w:t>
            </w:r>
          </w:p>
        </w:tc>
      </w:tr>
      <w:tr w:rsidR="00835192" w:rsidRPr="00FF756A" w14:paraId="487E08B4" w14:textId="77777777" w:rsidTr="004A3257">
        <w:trPr>
          <w:trHeight w:val="20"/>
        </w:trPr>
        <w:tc>
          <w:tcPr>
            <w:tcW w:w="2201" w:type="dxa"/>
          </w:tcPr>
          <w:p w14:paraId="3E4AABED"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1" w:type="dxa"/>
            <w:gridSpan w:val="5"/>
          </w:tcPr>
          <w:p w14:paraId="51B283FB" w14:textId="77777777" w:rsidR="00835192" w:rsidRPr="00FF756A" w:rsidRDefault="00835192" w:rsidP="00835192">
            <w:pPr>
              <w:spacing w:before="0" w:after="0" w:line="240" w:lineRule="auto"/>
              <w:rPr>
                <w:b/>
                <w:bCs/>
                <w:sz w:val="20"/>
                <w:szCs w:val="20"/>
              </w:rPr>
            </w:pPr>
            <w:r w:rsidRPr="00FF756A">
              <w:rPr>
                <w:i/>
                <w:iCs/>
                <w:sz w:val="20"/>
                <w:szCs w:val="20"/>
              </w:rPr>
              <w:t>Kostoja e përgjithshme vlerësohet në 42,480,015.67 euro. Nga të cilat 4,785,067.87 euro janë kontribut i BE-së, 7,080,002.61 euro bashkëfinancim kombëtar në formën e TVSH-së dhe 30,614,945.19 euro fonde nga donatorë të tjerë si KfW (donacion dhe kredi)</w:t>
            </w:r>
          </w:p>
        </w:tc>
      </w:tr>
      <w:tr w:rsidR="00835192" w:rsidRPr="00FF756A" w14:paraId="0612CA35" w14:textId="77777777" w:rsidTr="004A3257">
        <w:trPr>
          <w:trHeight w:val="20"/>
        </w:trPr>
        <w:tc>
          <w:tcPr>
            <w:tcW w:w="2201" w:type="dxa"/>
          </w:tcPr>
          <w:p w14:paraId="2620B709"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501A9F59"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1" w:type="dxa"/>
            <w:gridSpan w:val="5"/>
          </w:tcPr>
          <w:p w14:paraId="285FF353" w14:textId="77777777" w:rsidR="00835192" w:rsidRPr="00FF756A" w:rsidRDefault="00835192" w:rsidP="00835192">
            <w:pPr>
              <w:spacing w:before="20" w:after="20" w:line="240" w:lineRule="auto"/>
              <w:rPr>
                <w:i/>
                <w:iCs/>
                <w:sz w:val="20"/>
                <w:szCs w:val="20"/>
              </w:rPr>
            </w:pPr>
            <w:r w:rsidRPr="00FF756A">
              <w:rPr>
                <w:i/>
                <w:iCs/>
                <w:sz w:val="20"/>
                <w:szCs w:val="20"/>
              </w:rPr>
              <w:t>Projekti do të zbatohet nën koordinimin e KfW-së, Ministrisë së Infrastrukturës dhe Energjisë, Bashkisë së Tiranës dhe administratës SC 1.</w:t>
            </w:r>
          </w:p>
          <w:p w14:paraId="04067067"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w:t>
            </w:r>
          </w:p>
        </w:tc>
      </w:tr>
      <w:tr w:rsidR="00835192" w:rsidRPr="00FF756A" w14:paraId="56959ED7" w14:textId="77777777" w:rsidTr="004A3257">
        <w:trPr>
          <w:trHeight w:val="20"/>
        </w:trPr>
        <w:tc>
          <w:tcPr>
            <w:tcW w:w="2201" w:type="dxa"/>
          </w:tcPr>
          <w:p w14:paraId="19E3FBDE"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1" w:type="dxa"/>
            <w:gridSpan w:val="5"/>
          </w:tcPr>
          <w:p w14:paraId="5A42385B" w14:textId="77777777" w:rsidR="00835192" w:rsidRPr="00FF756A" w:rsidRDefault="00835192" w:rsidP="00835192">
            <w:pPr>
              <w:spacing w:before="20" w:after="20" w:line="240" w:lineRule="auto"/>
              <w:rPr>
                <w:i/>
                <w:iCs/>
                <w:sz w:val="20"/>
                <w:szCs w:val="20"/>
              </w:rPr>
            </w:pPr>
            <w:r w:rsidRPr="00FF756A">
              <w:rPr>
                <w:i/>
                <w:iCs/>
                <w:sz w:val="20"/>
                <w:szCs w:val="20"/>
              </w:rPr>
              <w:t xml:space="preserve">Dekarbonizimi; Siguria e energjisë </w:t>
            </w:r>
          </w:p>
          <w:p w14:paraId="3978EA8D" w14:textId="77777777" w:rsidR="00835192" w:rsidRPr="00FF756A" w:rsidRDefault="00835192" w:rsidP="00835192">
            <w:pPr>
              <w:spacing w:before="20" w:after="20" w:line="240" w:lineRule="auto"/>
              <w:rPr>
                <w:i/>
                <w:iCs/>
                <w:sz w:val="20"/>
                <w:szCs w:val="20"/>
              </w:rPr>
            </w:pPr>
            <w:r w:rsidRPr="00FF756A">
              <w:rPr>
                <w:i/>
                <w:iCs/>
                <w:sz w:val="20"/>
                <w:szCs w:val="20"/>
              </w:rPr>
              <w:t>EE-L2: Plani afatgjatë i rinovimit të ndërtesave (për ndërtesat publike dhe private) sipas riformulimit të EPBD-së në vitin 2024</w:t>
            </w:r>
          </w:p>
          <w:p w14:paraId="6ECB07D9" w14:textId="77777777" w:rsidR="00835192" w:rsidRPr="00FF756A" w:rsidRDefault="00835192" w:rsidP="00835192">
            <w:pPr>
              <w:spacing w:before="20" w:after="20" w:line="240" w:lineRule="auto"/>
              <w:rPr>
                <w:i/>
                <w:iCs/>
                <w:sz w:val="20"/>
                <w:szCs w:val="20"/>
              </w:rPr>
            </w:pPr>
            <w:r w:rsidRPr="00FF756A">
              <w:rPr>
                <w:i/>
                <w:iCs/>
                <w:sz w:val="20"/>
                <w:szCs w:val="20"/>
              </w:rPr>
              <w:t>EE-L4: Rikonstruktimi i ndërtesave ekzistuese të qeverisë qendrore (me përjashtim të ndërtesave të tjera publike në pronësi të bashkive, etj.)</w:t>
            </w:r>
          </w:p>
          <w:p w14:paraId="7DF90DDC" w14:textId="77777777" w:rsidR="00835192" w:rsidRPr="00FF756A" w:rsidRDefault="00835192" w:rsidP="00835192">
            <w:pPr>
              <w:spacing w:before="20" w:after="20" w:line="240" w:lineRule="auto"/>
              <w:rPr>
                <w:i/>
                <w:iCs/>
                <w:sz w:val="20"/>
                <w:szCs w:val="20"/>
              </w:rPr>
            </w:pPr>
            <w:r w:rsidRPr="00FF756A">
              <w:rPr>
                <w:i/>
                <w:iCs/>
                <w:sz w:val="20"/>
                <w:szCs w:val="20"/>
              </w:rPr>
              <w:t>EE-L5: Rikonstruktimi i stokut të ndërtesave publike (të gjitha ndërtesat publike me përjashtim të atyre të qeverisë qendrore)</w:t>
            </w:r>
          </w:p>
        </w:tc>
      </w:tr>
    </w:tbl>
    <w:p w14:paraId="44FB89ED" w14:textId="77777777" w:rsidR="00835192" w:rsidRPr="00FF756A" w:rsidRDefault="00835192" w:rsidP="00835192"/>
    <w:p w14:paraId="00E7318D" w14:textId="77777777" w:rsidR="00835192" w:rsidRPr="00FF756A" w:rsidRDefault="00835192" w:rsidP="00835192"/>
    <w:p w14:paraId="4064A9A4" w14:textId="77777777" w:rsidR="00835192" w:rsidRPr="00FF756A" w:rsidRDefault="00835192" w:rsidP="00835192">
      <w:pPr>
        <w:spacing w:before="0" w:after="0" w:line="240" w:lineRule="auto"/>
        <w:jc w:val="left"/>
      </w:pPr>
      <w:r w:rsidRPr="00FF756A">
        <w:br w:type="page"/>
      </w:r>
    </w:p>
    <w:p w14:paraId="70CCD3FD" w14:textId="77777777" w:rsidR="00835192" w:rsidRPr="00FF756A" w:rsidRDefault="00835192" w:rsidP="00835192"/>
    <w:p w14:paraId="7CED8D4A" w14:textId="0EA3230A" w:rsidR="00835192" w:rsidRPr="00FF756A" w:rsidRDefault="00126ADC" w:rsidP="004A3257">
      <w:pPr>
        <w:pStyle w:val="Heading3"/>
      </w:pPr>
      <w:bookmarkStart w:id="400" w:name="_Toc75616128"/>
      <w:bookmarkStart w:id="401" w:name="_Toc182897784"/>
      <w:bookmarkStart w:id="402" w:name="_Toc183639239"/>
      <w:r w:rsidRPr="00FF756A">
        <w:t xml:space="preserve">3.2.4 </w:t>
      </w:r>
      <w:r w:rsidR="00835192" w:rsidRPr="00FF756A">
        <w:t>Zbatimi i kontra</w:t>
      </w:r>
      <w:r w:rsidR="00813276" w:rsidRPr="00FF756A">
        <w:t xml:space="preserve">tave për </w:t>
      </w:r>
      <w:r w:rsidR="00835192" w:rsidRPr="00FF756A">
        <w:t>performancë</w:t>
      </w:r>
      <w:r w:rsidR="00813276" w:rsidRPr="00FF756A">
        <w:t>n</w:t>
      </w:r>
      <w:r w:rsidR="00835192" w:rsidRPr="00FF756A">
        <w:t xml:space="preserve"> energji</w:t>
      </w:r>
      <w:r w:rsidR="00813276" w:rsidRPr="00FF756A">
        <w:t>tike</w:t>
      </w:r>
      <w:r w:rsidR="00835192" w:rsidRPr="00FF756A">
        <w:t xml:space="preserve"> dhe modeleve të tjera të shërbimeve </w:t>
      </w:r>
      <w:r w:rsidR="0053249C" w:rsidRPr="00FF756A">
        <w:t>p</w:t>
      </w:r>
      <w:r w:rsidR="00835192" w:rsidRPr="00FF756A">
        <w:t>ë</w:t>
      </w:r>
      <w:r w:rsidR="0053249C" w:rsidRPr="00FF756A">
        <w:t>r</w:t>
      </w:r>
      <w:r w:rsidR="00835192" w:rsidRPr="00FF756A">
        <w:t xml:space="preserve"> EE-së</w:t>
      </w:r>
      <w:bookmarkEnd w:id="400"/>
      <w:bookmarkEnd w:id="401"/>
      <w:bookmarkEnd w:id="402"/>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2"/>
        <w:gridCol w:w="1285"/>
        <w:gridCol w:w="602"/>
        <w:gridCol w:w="430"/>
        <w:gridCol w:w="3693"/>
        <w:gridCol w:w="850"/>
      </w:tblGrid>
      <w:tr w:rsidR="00835192" w:rsidRPr="00FF756A" w14:paraId="2EE59EB3" w14:textId="77777777" w:rsidTr="004A3257">
        <w:trPr>
          <w:trHeight w:val="20"/>
        </w:trPr>
        <w:tc>
          <w:tcPr>
            <w:tcW w:w="4525" w:type="dxa"/>
            <w:gridSpan w:val="4"/>
            <w:shd w:val="clear" w:color="auto" w:fill="FFF2CC" w:themeFill="accent4" w:themeFillTint="33"/>
          </w:tcPr>
          <w:p w14:paraId="40523DCE"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7" w:type="dxa"/>
            <w:gridSpan w:val="2"/>
            <w:shd w:val="clear" w:color="auto" w:fill="FFF2CC" w:themeFill="accent4" w:themeFillTint="33"/>
          </w:tcPr>
          <w:p w14:paraId="2E19CD4C" w14:textId="77777777" w:rsidR="00835192" w:rsidRPr="00FF756A" w:rsidRDefault="00835192" w:rsidP="004A3257">
            <w:pPr>
              <w:numPr>
                <w:ilvl w:val="0"/>
                <w:numId w:val="49"/>
              </w:numPr>
              <w:spacing w:before="20" w:after="20" w:line="240" w:lineRule="auto"/>
              <w:contextualSpacing/>
              <w:rPr>
                <w:i/>
                <w:iCs/>
                <w:sz w:val="20"/>
                <w:szCs w:val="20"/>
              </w:rPr>
            </w:pPr>
            <w:r w:rsidRPr="00FF756A">
              <w:rPr>
                <w:i/>
                <w:iCs/>
                <w:sz w:val="20"/>
                <w:szCs w:val="20"/>
              </w:rPr>
              <w:t>Efiçenca e energjisë</w:t>
            </w:r>
          </w:p>
        </w:tc>
      </w:tr>
      <w:tr w:rsidR="00835192" w:rsidRPr="00FF756A" w14:paraId="667D5391" w14:textId="77777777" w:rsidTr="004A3257">
        <w:trPr>
          <w:trHeight w:val="20"/>
        </w:trPr>
        <w:tc>
          <w:tcPr>
            <w:tcW w:w="4094" w:type="dxa"/>
            <w:gridSpan w:val="3"/>
            <w:shd w:val="clear" w:color="auto" w:fill="FFF2CC" w:themeFill="accent4" w:themeFillTint="33"/>
          </w:tcPr>
          <w:p w14:paraId="3A05F472"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8" w:type="dxa"/>
            <w:gridSpan w:val="3"/>
            <w:shd w:val="clear" w:color="auto" w:fill="FFF2CC" w:themeFill="accent4" w:themeFillTint="33"/>
          </w:tcPr>
          <w:p w14:paraId="117F94D4" w14:textId="77777777" w:rsidR="00835192" w:rsidRPr="00FF756A" w:rsidRDefault="00835192" w:rsidP="00835192">
            <w:pPr>
              <w:spacing w:before="20" w:after="20" w:line="240" w:lineRule="auto"/>
              <w:rPr>
                <w:i/>
                <w:iCs/>
                <w:sz w:val="20"/>
                <w:szCs w:val="20"/>
              </w:rPr>
            </w:pPr>
            <w:r w:rsidRPr="00FF756A">
              <w:rPr>
                <w:i/>
                <w:iCs/>
                <w:sz w:val="20"/>
                <w:szCs w:val="20"/>
              </w:rPr>
              <w:t>Sektori i ndërtesave</w:t>
            </w:r>
          </w:p>
        </w:tc>
      </w:tr>
      <w:tr w:rsidR="00835192" w:rsidRPr="00FF756A" w14:paraId="5CAC66BA" w14:textId="77777777" w:rsidTr="004A3257">
        <w:trPr>
          <w:trHeight w:val="20"/>
        </w:trPr>
        <w:tc>
          <w:tcPr>
            <w:tcW w:w="3491" w:type="dxa"/>
            <w:gridSpan w:val="2"/>
          </w:tcPr>
          <w:p w14:paraId="70FBD79C"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088B7822"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1" w:type="dxa"/>
            <w:gridSpan w:val="4"/>
          </w:tcPr>
          <w:p w14:paraId="698C5896" w14:textId="77777777" w:rsidR="00835192" w:rsidRPr="00FF756A" w:rsidRDefault="00835192" w:rsidP="00835192">
            <w:pPr>
              <w:spacing w:before="20" w:after="20" w:line="240" w:lineRule="auto"/>
              <w:rPr>
                <w:i/>
                <w:iCs/>
                <w:sz w:val="20"/>
                <w:szCs w:val="20"/>
              </w:rPr>
            </w:pPr>
            <w:r w:rsidRPr="00FF756A">
              <w:rPr>
                <w:i/>
                <w:iCs/>
                <w:sz w:val="20"/>
                <w:szCs w:val="20"/>
              </w:rPr>
              <w:t>WAM</w:t>
            </w:r>
          </w:p>
          <w:p w14:paraId="482F6116" w14:textId="77777777" w:rsidR="00835192" w:rsidRPr="00FF756A" w:rsidRDefault="00835192" w:rsidP="00835192">
            <w:pPr>
              <w:spacing w:before="20" w:after="20" w:line="240" w:lineRule="auto"/>
              <w:rPr>
                <w:i/>
                <w:iCs/>
                <w:sz w:val="20"/>
                <w:szCs w:val="20"/>
              </w:rPr>
            </w:pPr>
            <w:r w:rsidRPr="00FF756A">
              <w:rPr>
                <w:i/>
                <w:iCs/>
                <w:sz w:val="20"/>
                <w:szCs w:val="20"/>
              </w:rPr>
              <w:t>Rregullator; Financiar</w:t>
            </w:r>
          </w:p>
        </w:tc>
      </w:tr>
      <w:tr w:rsidR="00835192" w:rsidRPr="00FF756A" w14:paraId="38137768" w14:textId="77777777" w:rsidTr="004A3257">
        <w:trPr>
          <w:trHeight w:val="20"/>
        </w:trPr>
        <w:tc>
          <w:tcPr>
            <w:tcW w:w="2204" w:type="dxa"/>
          </w:tcPr>
          <w:p w14:paraId="5CEDD053"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2A5DE96E"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8" w:type="dxa"/>
            <w:gridSpan w:val="5"/>
          </w:tcPr>
          <w:p w14:paraId="6FD0DC4D" w14:textId="77777777" w:rsidR="00835192" w:rsidRPr="00FF756A" w:rsidRDefault="00835192" w:rsidP="00835192">
            <w:pPr>
              <w:spacing w:before="20" w:after="20" w:line="240" w:lineRule="auto"/>
              <w:rPr>
                <w:i/>
                <w:iCs/>
                <w:sz w:val="20"/>
                <w:szCs w:val="20"/>
              </w:rPr>
            </w:pPr>
            <w:r w:rsidRPr="00FF756A">
              <w:rPr>
                <w:i/>
                <w:iCs/>
                <w:sz w:val="20"/>
                <w:szCs w:val="20"/>
              </w:rPr>
              <w:t>Zbatimi i modeleve të ESCO</w:t>
            </w:r>
          </w:p>
          <w:p w14:paraId="3AA070C8" w14:textId="77777777" w:rsidR="00835192" w:rsidRPr="00FF756A" w:rsidRDefault="00835192" w:rsidP="00835192">
            <w:pPr>
              <w:spacing w:before="20" w:after="20" w:line="240" w:lineRule="auto"/>
              <w:rPr>
                <w:i/>
                <w:iCs/>
                <w:sz w:val="20"/>
                <w:szCs w:val="20"/>
              </w:rPr>
            </w:pPr>
            <w:r w:rsidRPr="00FF756A">
              <w:rPr>
                <w:i/>
                <w:iCs/>
                <w:sz w:val="20"/>
                <w:szCs w:val="20"/>
              </w:rPr>
              <w:t>(EE-S1)</w:t>
            </w:r>
          </w:p>
        </w:tc>
      </w:tr>
      <w:tr w:rsidR="00835192" w:rsidRPr="00FF756A" w14:paraId="4710A212" w14:textId="77777777" w:rsidTr="004A3257">
        <w:trPr>
          <w:trHeight w:val="20"/>
        </w:trPr>
        <w:tc>
          <w:tcPr>
            <w:tcW w:w="2204" w:type="dxa"/>
          </w:tcPr>
          <w:p w14:paraId="5DD8A6F3"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8" w:type="dxa"/>
            <w:gridSpan w:val="5"/>
          </w:tcPr>
          <w:p w14:paraId="5B898DC5" w14:textId="77777777" w:rsidR="00835192" w:rsidRPr="00FF756A" w:rsidRDefault="00835192" w:rsidP="00835192">
            <w:pPr>
              <w:spacing w:before="20" w:after="20" w:line="240" w:lineRule="auto"/>
              <w:rPr>
                <w:i/>
                <w:iCs/>
                <w:sz w:val="20"/>
                <w:szCs w:val="20"/>
              </w:rPr>
            </w:pPr>
            <w:r w:rsidRPr="00FF756A">
              <w:rPr>
                <w:i/>
                <w:iCs/>
                <w:sz w:val="20"/>
                <w:szCs w:val="20"/>
              </w:rPr>
              <w:t>2022 dhe në vazhdim</w:t>
            </w:r>
          </w:p>
        </w:tc>
      </w:tr>
      <w:tr w:rsidR="00835192" w:rsidRPr="00FF756A" w14:paraId="57BDDFCA" w14:textId="77777777" w:rsidTr="004A3257">
        <w:trPr>
          <w:trHeight w:val="20"/>
        </w:trPr>
        <w:tc>
          <w:tcPr>
            <w:tcW w:w="2204" w:type="dxa"/>
          </w:tcPr>
          <w:p w14:paraId="64266EC5"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8" w:type="dxa"/>
            <w:gridSpan w:val="5"/>
          </w:tcPr>
          <w:p w14:paraId="31745A6D" w14:textId="77777777" w:rsidR="00835192" w:rsidRPr="00FF756A" w:rsidRDefault="00835192" w:rsidP="00835192">
            <w:pPr>
              <w:spacing w:before="20" w:after="20" w:line="240" w:lineRule="auto"/>
              <w:rPr>
                <w:i/>
                <w:iCs/>
                <w:sz w:val="20"/>
                <w:szCs w:val="20"/>
              </w:rPr>
            </w:pPr>
            <w:r w:rsidRPr="00FF756A">
              <w:rPr>
                <w:i/>
                <w:iCs/>
                <w:sz w:val="20"/>
                <w:szCs w:val="20"/>
              </w:rPr>
              <w:t>Ligji nr. 124/2015, datë 12.11.2015, “Për efiçencën e energjisë”, i ndryshuar</w:t>
            </w:r>
          </w:p>
        </w:tc>
      </w:tr>
      <w:tr w:rsidR="00835192" w:rsidRPr="00FF756A" w14:paraId="7B0A29BF" w14:textId="77777777" w:rsidTr="004A3257">
        <w:trPr>
          <w:trHeight w:val="20"/>
        </w:trPr>
        <w:tc>
          <w:tcPr>
            <w:tcW w:w="2204" w:type="dxa"/>
          </w:tcPr>
          <w:p w14:paraId="2A3F1A35"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8" w:type="dxa"/>
            <w:gridSpan w:val="5"/>
          </w:tcPr>
          <w:p w14:paraId="51DD2437" w14:textId="77777777" w:rsidR="00835192" w:rsidRPr="00FF756A" w:rsidRDefault="00835192" w:rsidP="008639B2">
            <w:pPr>
              <w:numPr>
                <w:ilvl w:val="0"/>
                <w:numId w:val="162"/>
              </w:numPr>
              <w:spacing w:before="20" w:after="20" w:line="240" w:lineRule="auto"/>
              <w:contextualSpacing/>
              <w:rPr>
                <w:i/>
                <w:iCs/>
                <w:sz w:val="20"/>
                <w:szCs w:val="20"/>
              </w:rPr>
            </w:pPr>
            <w:r w:rsidRPr="00FF756A">
              <w:rPr>
                <w:i/>
                <w:iCs/>
                <w:sz w:val="20"/>
                <w:szCs w:val="20"/>
              </w:rPr>
              <w:t>Janë krijuar ESCO, por jo posaçërisht të certifikuara për efiçencën e energjisë.</w:t>
            </w:r>
          </w:p>
          <w:p w14:paraId="2BC33E54" w14:textId="77777777" w:rsidR="00835192" w:rsidRPr="00FF756A" w:rsidRDefault="00835192" w:rsidP="008639B2">
            <w:pPr>
              <w:numPr>
                <w:ilvl w:val="0"/>
                <w:numId w:val="162"/>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i/>
                <w:iCs/>
                <w:sz w:val="20"/>
                <w:szCs w:val="20"/>
              </w:rPr>
            </w:pPr>
            <w:r w:rsidRPr="00FF756A">
              <w:rPr>
                <w:i/>
                <w:iCs/>
                <w:sz w:val="20"/>
                <w:szCs w:val="20"/>
              </w:rPr>
              <w:t>Neni 18 i Ligjit nr. 28/2021 “Për disa ndryshime dhe shtesa në Ligjin nr. 124/2015 “Për efiçencën e energjisë” ka hedhur bazat për ngritjen e ESCO-ve.</w:t>
            </w:r>
          </w:p>
          <w:p w14:paraId="7C3AE904" w14:textId="77777777" w:rsidR="00835192" w:rsidRPr="00FF756A" w:rsidRDefault="00835192" w:rsidP="008639B2">
            <w:pPr>
              <w:numPr>
                <w:ilvl w:val="0"/>
                <w:numId w:val="162"/>
              </w:numPr>
              <w:pBdr>
                <w:top w:val="none" w:sz="0" w:space="0" w:color="auto"/>
                <w:left w:val="none" w:sz="0" w:space="0" w:color="auto"/>
                <w:bottom w:val="none" w:sz="0" w:space="0" w:color="auto"/>
                <w:right w:val="none" w:sz="0" w:space="0" w:color="auto"/>
                <w:between w:val="none" w:sz="0" w:space="0" w:color="auto"/>
              </w:pBdr>
              <w:spacing w:before="20" w:after="20" w:line="240" w:lineRule="auto"/>
              <w:contextualSpacing/>
              <w:rPr>
                <w:i/>
                <w:iCs/>
                <w:sz w:val="20"/>
                <w:szCs w:val="20"/>
              </w:rPr>
            </w:pPr>
            <w:r w:rsidRPr="00FF756A">
              <w:rPr>
                <w:i/>
                <w:iCs/>
                <w:sz w:val="20"/>
                <w:szCs w:val="20"/>
              </w:rPr>
              <w:t>Udhëzimi i Ministrit të Infrastrukturës dhe Energjisë nr. 23, datë 17.10.2022, “Për modelin e kontratës për kontraktimin e performancës së energjisë”</w:t>
            </w:r>
          </w:p>
        </w:tc>
      </w:tr>
      <w:tr w:rsidR="00835192" w:rsidRPr="00FF756A" w14:paraId="2AA32C2F" w14:textId="77777777" w:rsidTr="004A3257">
        <w:trPr>
          <w:trHeight w:val="20"/>
        </w:trPr>
        <w:tc>
          <w:tcPr>
            <w:tcW w:w="2204" w:type="dxa"/>
          </w:tcPr>
          <w:p w14:paraId="4FF088C9"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8" w:type="dxa"/>
            <w:gridSpan w:val="5"/>
          </w:tcPr>
          <w:p w14:paraId="59BC5F5C" w14:textId="77777777" w:rsidR="00835192" w:rsidRPr="00FF756A" w:rsidRDefault="00835192" w:rsidP="00835192">
            <w:pPr>
              <w:spacing w:before="20" w:after="20" w:line="240" w:lineRule="auto"/>
              <w:rPr>
                <w:i/>
                <w:iCs/>
                <w:sz w:val="20"/>
                <w:szCs w:val="20"/>
              </w:rPr>
            </w:pPr>
            <w:r w:rsidRPr="00FF756A">
              <w:rPr>
                <w:i/>
                <w:iCs/>
                <w:sz w:val="20"/>
                <w:szCs w:val="20"/>
              </w:rPr>
              <w:t>Objektivi i kësaj PM është nxitja e investimeve në EE në sektorin publik dhe privat nëpërmjet mekanizmit ESCO. Me anë të një kontrate të performancës së energjisë, ESCO-të (Shoqëritë e Shërbimeve Energjetike) marrin përsipër një projekt për realizimin e përmirësimeve të efiçencës së energjisë në ambientet e klientit dhe përdor fluksin e të ardhurave nga shkurtimet e kostove për mbulimin e kostove të projektit. Për arsye ekonomike, duhet të bëhet i mundur kombinimi i masave për EE-në me ato për BRE-të.</w:t>
            </w:r>
          </w:p>
        </w:tc>
      </w:tr>
      <w:tr w:rsidR="00835192" w:rsidRPr="00FF756A" w14:paraId="530712ED" w14:textId="77777777" w:rsidTr="004A3257">
        <w:trPr>
          <w:trHeight w:val="20"/>
        </w:trPr>
        <w:tc>
          <w:tcPr>
            <w:tcW w:w="2204" w:type="dxa"/>
          </w:tcPr>
          <w:p w14:paraId="50E2BFCB"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8" w:type="dxa"/>
            <w:gridSpan w:val="5"/>
          </w:tcPr>
          <w:p w14:paraId="25E4BBD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Prezantimi dhe ngritja e ESCO-ve do të mundësojë shërbime cilësore lidhur me investimet në EE dhe mund të shërbejë gjithashtu për financim, duke marrë përsipër arritjen e objektivave të kursimit të energjisë dhe reduktimit të kostove të energjisë e të shkarkimeve</w:t>
            </w:r>
          </w:p>
        </w:tc>
      </w:tr>
      <w:tr w:rsidR="00835192" w:rsidRPr="00FF756A" w14:paraId="2F8FB39D" w14:textId="77777777" w:rsidTr="004A3257">
        <w:trPr>
          <w:trHeight w:val="20"/>
        </w:trPr>
        <w:tc>
          <w:tcPr>
            <w:tcW w:w="2204" w:type="dxa"/>
          </w:tcPr>
          <w:p w14:paraId="516DF68C"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8" w:type="dxa"/>
            <w:gridSpan w:val="4"/>
          </w:tcPr>
          <w:p w14:paraId="02983AA5" w14:textId="77777777" w:rsidR="00835192" w:rsidRPr="00FF756A" w:rsidRDefault="00835192" w:rsidP="00835192">
            <w:pPr>
              <w:spacing w:before="20" w:after="20" w:line="240" w:lineRule="auto"/>
              <w:rPr>
                <w:i/>
                <w:iCs/>
                <w:sz w:val="20"/>
                <w:szCs w:val="20"/>
              </w:rPr>
            </w:pPr>
            <w:r w:rsidRPr="00FF756A">
              <w:rPr>
                <w:i/>
                <w:iCs/>
                <w:sz w:val="20"/>
                <w:szCs w:val="20"/>
              </w:rPr>
              <w:t xml:space="preserve">Përgatitja e modelit të kontratës: </w:t>
            </w:r>
          </w:p>
          <w:p w14:paraId="250E80F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Përgatitja e kontratës tip në bazë të urdhrit të ministrit</w:t>
            </w:r>
          </w:p>
          <w:p w14:paraId="38775AD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Subjekti i kontratës është zbatimi i </w:t>
            </w:r>
            <w:bookmarkStart w:id="403" w:name="_Hlk75539355"/>
            <w:bookmarkStart w:id="404" w:name="_Hlk178262600"/>
            <w:r w:rsidRPr="00FF756A">
              <w:rPr>
                <w:i/>
                <w:iCs/>
                <w:sz w:val="20"/>
                <w:szCs w:val="20"/>
              </w:rPr>
              <w:t>masave për ruajtjen e energjisë (ECM</w:t>
            </w:r>
            <w:bookmarkEnd w:id="403"/>
            <w:r w:rsidRPr="00FF756A">
              <w:rPr>
                <w:i/>
                <w:iCs/>
                <w:sz w:val="20"/>
                <w:szCs w:val="20"/>
              </w:rPr>
              <w:t xml:space="preserve">) </w:t>
            </w:r>
            <w:bookmarkEnd w:id="404"/>
            <w:r w:rsidRPr="00FF756A">
              <w:rPr>
                <w:i/>
                <w:iCs/>
                <w:sz w:val="20"/>
                <w:szCs w:val="20"/>
              </w:rPr>
              <w:t>me qëllim përmirësimin e përdorimit efiçent të energjisë dhe, për rrjedhojë, reduktimin e shkarkimeve të CO</w:t>
            </w:r>
            <w:r w:rsidRPr="00FF756A">
              <w:rPr>
                <w:i/>
                <w:iCs/>
                <w:sz w:val="20"/>
                <w:szCs w:val="20"/>
                <w:vertAlign w:val="subscript"/>
              </w:rPr>
              <w:t xml:space="preserve">2 </w:t>
            </w:r>
            <w:r w:rsidRPr="00FF756A">
              <w:rPr>
                <w:i/>
                <w:iCs/>
                <w:sz w:val="20"/>
                <w:szCs w:val="20"/>
              </w:rPr>
              <w:t>dhe të kostove operacionale në objektin e kontraktuar.</w:t>
            </w:r>
          </w:p>
          <w:p w14:paraId="55E45D9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Kontraktori merr përsipër zbatimin e këtyre ECM-ve, nëpërmjet të cilave ai do të sigurojë shkurtimin e kostove operacionale në objektin e kontraktuar gjatë periudhës së garancisë, në përputhje me këtë kontratë (duke përfshirë shtojcat).</w:t>
            </w:r>
          </w:p>
          <w:p w14:paraId="34E75D3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Të gjitha ECM-të e zbatuara sipas kësaj kontrate duhet të jenë në përputhje me rregulloret e zbatueshme dhe standardet e kërkuara në Republikën e Shqipërisë. </w:t>
            </w:r>
          </w:p>
          <w:p w14:paraId="2AF1093D" w14:textId="77777777" w:rsidR="00835192" w:rsidRPr="00FF756A" w:rsidRDefault="00835192" w:rsidP="00835192">
            <w:pPr>
              <w:spacing w:before="20" w:after="20" w:line="240" w:lineRule="auto"/>
              <w:rPr>
                <w:i/>
                <w:iCs/>
                <w:sz w:val="20"/>
                <w:szCs w:val="20"/>
              </w:rPr>
            </w:pPr>
            <w:r w:rsidRPr="00FF756A">
              <w:rPr>
                <w:i/>
                <w:iCs/>
                <w:sz w:val="20"/>
                <w:szCs w:val="20"/>
              </w:rPr>
              <w:t xml:space="preserve">Masat mbështetëse: </w:t>
            </w:r>
          </w:p>
          <w:p w14:paraId="7BFC2A5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Agjencia përgjegjëse për efiçencën e energjisë (AEE) publikon në faqen e saj të internetit: (i) praktikat më të mira për kontraktimin e performancës së energjisë, udhëzimet, kontratat tip, duke përfshirë dispozitat që do të jenë pjesë e këtyre kontratave për të garantuar kursimin e energjisë dhe të drejtat e konsumatorëve fundorë; (ii) listën e ofruesve të kualifikuar/të regjistruar të shërbimeve energjetike; dhe (iii) informacionet mbi të gjitha instrumentet financiare, incentivat, grantet dhe huatë e mundshme për mbështetjen e projekteve në sektorin e shërbimeve të efiçencës së energjisë.</w:t>
            </w:r>
          </w:p>
        </w:tc>
        <w:tc>
          <w:tcPr>
            <w:tcW w:w="850" w:type="dxa"/>
          </w:tcPr>
          <w:p w14:paraId="13F17339" w14:textId="77777777" w:rsidR="00835192" w:rsidRPr="00FF756A" w:rsidRDefault="00835192" w:rsidP="00835192">
            <w:pPr>
              <w:spacing w:before="20" w:after="20" w:line="240" w:lineRule="auto"/>
              <w:rPr>
                <w:i/>
                <w:iCs/>
                <w:sz w:val="20"/>
                <w:szCs w:val="20"/>
              </w:rPr>
            </w:pPr>
            <w:r w:rsidRPr="00FF756A">
              <w:rPr>
                <w:i/>
                <w:iCs/>
                <w:sz w:val="20"/>
                <w:szCs w:val="20"/>
              </w:rPr>
              <w:t>brenda vitit 2025</w:t>
            </w:r>
          </w:p>
          <w:p w14:paraId="30DE11EC" w14:textId="77777777" w:rsidR="00835192" w:rsidRPr="00FF756A" w:rsidRDefault="00835192" w:rsidP="00835192">
            <w:pPr>
              <w:spacing w:before="20" w:after="20" w:line="240" w:lineRule="auto"/>
              <w:rPr>
                <w:i/>
                <w:iCs/>
                <w:sz w:val="20"/>
                <w:szCs w:val="20"/>
              </w:rPr>
            </w:pPr>
          </w:p>
          <w:p w14:paraId="526257C3" w14:textId="77777777" w:rsidR="00835192" w:rsidRPr="00FF756A" w:rsidRDefault="00835192" w:rsidP="00835192">
            <w:pPr>
              <w:spacing w:before="20" w:after="20" w:line="240" w:lineRule="auto"/>
              <w:rPr>
                <w:i/>
                <w:iCs/>
                <w:sz w:val="20"/>
                <w:szCs w:val="20"/>
              </w:rPr>
            </w:pPr>
            <w:r w:rsidRPr="00FF756A">
              <w:rPr>
                <w:i/>
                <w:iCs/>
                <w:sz w:val="20"/>
                <w:szCs w:val="20"/>
              </w:rPr>
              <w:br/>
            </w:r>
            <w:r w:rsidRPr="00FF756A">
              <w:rPr>
                <w:i/>
                <w:iCs/>
                <w:sz w:val="20"/>
                <w:szCs w:val="20"/>
              </w:rPr>
              <w:br/>
            </w:r>
            <w:r w:rsidRPr="00FF756A">
              <w:rPr>
                <w:i/>
                <w:iCs/>
                <w:sz w:val="20"/>
                <w:szCs w:val="20"/>
              </w:rPr>
              <w:br/>
            </w:r>
          </w:p>
          <w:p w14:paraId="21CDA331" w14:textId="77777777" w:rsidR="00835192" w:rsidRPr="00FF756A" w:rsidRDefault="00835192" w:rsidP="00835192">
            <w:pPr>
              <w:spacing w:before="20" w:after="20" w:line="240" w:lineRule="auto"/>
              <w:rPr>
                <w:i/>
                <w:iCs/>
                <w:sz w:val="20"/>
                <w:szCs w:val="20"/>
              </w:rPr>
            </w:pPr>
            <w:r w:rsidRPr="00FF756A">
              <w:rPr>
                <w:i/>
                <w:iCs/>
                <w:sz w:val="20"/>
                <w:szCs w:val="20"/>
              </w:rPr>
              <w:br/>
            </w:r>
            <w:r w:rsidRPr="00FF756A">
              <w:rPr>
                <w:i/>
                <w:iCs/>
                <w:sz w:val="20"/>
                <w:szCs w:val="20"/>
              </w:rPr>
              <w:br/>
            </w:r>
            <w:r w:rsidRPr="00FF756A">
              <w:rPr>
                <w:i/>
                <w:iCs/>
                <w:sz w:val="20"/>
                <w:szCs w:val="20"/>
              </w:rPr>
              <w:br/>
            </w:r>
          </w:p>
          <w:p w14:paraId="68FA4FFC" w14:textId="77777777" w:rsidR="00835192" w:rsidRPr="00FF756A" w:rsidRDefault="00835192" w:rsidP="00835192">
            <w:pPr>
              <w:spacing w:before="20" w:after="20" w:line="240" w:lineRule="auto"/>
              <w:rPr>
                <w:i/>
                <w:iCs/>
                <w:sz w:val="20"/>
                <w:szCs w:val="20"/>
              </w:rPr>
            </w:pPr>
            <w:r w:rsidRPr="00FF756A">
              <w:rPr>
                <w:i/>
                <w:iCs/>
                <w:sz w:val="20"/>
                <w:szCs w:val="20"/>
              </w:rPr>
              <w:br/>
            </w:r>
          </w:p>
          <w:p w14:paraId="65DB77CC" w14:textId="77777777" w:rsidR="00835192" w:rsidRPr="00FF756A" w:rsidRDefault="00835192" w:rsidP="00835192">
            <w:pPr>
              <w:spacing w:before="20" w:after="20" w:line="240" w:lineRule="auto"/>
              <w:rPr>
                <w:i/>
                <w:iCs/>
                <w:sz w:val="20"/>
                <w:szCs w:val="20"/>
              </w:rPr>
            </w:pPr>
            <w:r w:rsidRPr="00FF756A">
              <w:rPr>
                <w:i/>
                <w:iCs/>
                <w:sz w:val="20"/>
                <w:szCs w:val="20"/>
              </w:rPr>
              <w:t>brenda vitit 2025</w:t>
            </w:r>
          </w:p>
        </w:tc>
      </w:tr>
      <w:tr w:rsidR="00835192" w:rsidRPr="00FF756A" w14:paraId="40D58D72" w14:textId="77777777" w:rsidTr="004A3257">
        <w:trPr>
          <w:trHeight w:val="20"/>
        </w:trPr>
        <w:tc>
          <w:tcPr>
            <w:tcW w:w="2204" w:type="dxa"/>
          </w:tcPr>
          <w:p w14:paraId="36EA5418"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Buxheti (burimi i financimit)</w:t>
            </w:r>
          </w:p>
        </w:tc>
        <w:tc>
          <w:tcPr>
            <w:tcW w:w="6868" w:type="dxa"/>
            <w:gridSpan w:val="5"/>
          </w:tcPr>
          <w:p w14:paraId="56A8F030" w14:textId="77777777" w:rsidR="00835192" w:rsidRPr="00FF756A" w:rsidRDefault="00835192" w:rsidP="00835192">
            <w:pPr>
              <w:spacing w:before="20" w:after="20" w:line="240" w:lineRule="auto"/>
              <w:rPr>
                <w:i/>
                <w:iCs/>
                <w:sz w:val="20"/>
                <w:szCs w:val="20"/>
              </w:rPr>
            </w:pPr>
            <w:r w:rsidRPr="00FF756A">
              <w:rPr>
                <w:i/>
                <w:iCs/>
                <w:sz w:val="20"/>
                <w:szCs w:val="20"/>
              </w:rPr>
              <w:t>Për përgatitjen e kontratave tip dhe mbështetjen e AEE-së në fazën fillestare nevojitet asistencë teknike e vlerësuar në 20 000 euro.</w:t>
            </w:r>
          </w:p>
          <w:p w14:paraId="2A13489E" w14:textId="77777777" w:rsidR="00835192" w:rsidRPr="00FF756A" w:rsidRDefault="00835192" w:rsidP="00835192">
            <w:pPr>
              <w:spacing w:before="20" w:after="20" w:line="240" w:lineRule="auto"/>
              <w:rPr>
                <w:i/>
                <w:iCs/>
                <w:sz w:val="20"/>
                <w:szCs w:val="20"/>
              </w:rPr>
            </w:pPr>
            <w:r w:rsidRPr="00FF756A">
              <w:rPr>
                <w:i/>
                <w:iCs/>
                <w:sz w:val="20"/>
                <w:szCs w:val="20"/>
              </w:rPr>
              <w:t>Aktualisht nuk është llogaritur një buxhet, por në vazhdim AEE-ja do të kryejë një proces për monitorimin dhe verifikimin e kursimit të energjisë, kostove etj., çka në të ardhmen mund të sjellë nevojën për rritje të buxhetit për AEE-në si rezultat i intensifikimit të punës dhe detyrave të saj (do të nevojiten më shumë punonjës dhe më shumë mbështetje teknike dhe informatike).</w:t>
            </w:r>
          </w:p>
        </w:tc>
      </w:tr>
      <w:tr w:rsidR="00835192" w:rsidRPr="00FF756A" w14:paraId="5C2E1DAC" w14:textId="77777777" w:rsidTr="004A3257">
        <w:trPr>
          <w:trHeight w:val="20"/>
        </w:trPr>
        <w:tc>
          <w:tcPr>
            <w:tcW w:w="2204" w:type="dxa"/>
          </w:tcPr>
          <w:p w14:paraId="5BA02328"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2971A015"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8" w:type="dxa"/>
            <w:gridSpan w:val="5"/>
          </w:tcPr>
          <w:p w14:paraId="07170459"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ESCO-të, konsumatorët fundorë të energjisë</w:t>
            </w:r>
          </w:p>
          <w:p w14:paraId="190E7F16" w14:textId="77777777" w:rsidR="00835192" w:rsidRPr="00FF756A" w:rsidRDefault="00835192" w:rsidP="00835192">
            <w:pPr>
              <w:spacing w:before="20" w:after="20" w:line="240" w:lineRule="auto"/>
              <w:rPr>
                <w:i/>
                <w:iCs/>
                <w:sz w:val="20"/>
                <w:szCs w:val="20"/>
              </w:rPr>
            </w:pPr>
            <w:r w:rsidRPr="00FF756A">
              <w:rPr>
                <w:i/>
                <w:iCs/>
                <w:sz w:val="20"/>
                <w:szCs w:val="20"/>
              </w:rPr>
              <w:t>(Agjencia për Efiçencën e Energjisë)</w:t>
            </w:r>
          </w:p>
        </w:tc>
      </w:tr>
      <w:tr w:rsidR="00835192" w:rsidRPr="00FF756A" w14:paraId="63D59B0A" w14:textId="77777777" w:rsidTr="004A3257">
        <w:trPr>
          <w:trHeight w:val="20"/>
        </w:trPr>
        <w:tc>
          <w:tcPr>
            <w:tcW w:w="2204" w:type="dxa"/>
          </w:tcPr>
          <w:p w14:paraId="70352F8A"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8" w:type="dxa"/>
            <w:gridSpan w:val="5"/>
          </w:tcPr>
          <w:p w14:paraId="436DBC17" w14:textId="77777777" w:rsidR="00835192" w:rsidRPr="00FF756A" w:rsidRDefault="00835192" w:rsidP="00835192">
            <w:pPr>
              <w:spacing w:before="20" w:after="20" w:line="240" w:lineRule="auto"/>
              <w:rPr>
                <w:i/>
                <w:iCs/>
                <w:sz w:val="20"/>
                <w:szCs w:val="20"/>
              </w:rPr>
            </w:pPr>
            <w:r w:rsidRPr="00FF756A">
              <w:rPr>
                <w:i/>
                <w:iCs/>
                <w:sz w:val="20"/>
                <w:szCs w:val="20"/>
              </w:rPr>
              <w:t>Dekarbonizimi</w:t>
            </w:r>
          </w:p>
        </w:tc>
      </w:tr>
    </w:tbl>
    <w:p w14:paraId="14A9C2ED" w14:textId="77777777" w:rsidR="00835192" w:rsidRPr="00FF756A" w:rsidRDefault="00835192" w:rsidP="00835192"/>
    <w:p w14:paraId="4FA7ADFA" w14:textId="5D86BE14" w:rsidR="00835192" w:rsidRPr="00FF756A" w:rsidRDefault="007A6BAB" w:rsidP="004A3257">
      <w:pPr>
        <w:pStyle w:val="Heading3"/>
      </w:pPr>
      <w:bookmarkStart w:id="405" w:name="_Toc75616129"/>
      <w:bookmarkStart w:id="406" w:name="_Toc182897785"/>
      <w:bookmarkStart w:id="407" w:name="_Toc183639240"/>
      <w:r w:rsidRPr="00FF756A">
        <w:t xml:space="preserve">3.2.5 </w:t>
      </w:r>
      <w:r w:rsidR="00835192" w:rsidRPr="00FF756A">
        <w:t>Roli</w:t>
      </w:r>
      <w:r w:rsidR="00DA4AB9" w:rsidRPr="00FF756A">
        <w:t xml:space="preserve"> shembullor </w:t>
      </w:r>
      <w:r w:rsidR="00835192" w:rsidRPr="00FF756A">
        <w:t>i ndërtesave publike dhe prokurimi</w:t>
      </w:r>
      <w:r w:rsidR="00F63C94" w:rsidRPr="00FF756A">
        <w:t>t</w:t>
      </w:r>
      <w:r w:rsidR="00835192" w:rsidRPr="00FF756A">
        <w:t xml:space="preserve"> publik</w:t>
      </w:r>
      <w:r w:rsidR="002508B8" w:rsidRPr="00FF756A">
        <w:t xml:space="preserve"> </w:t>
      </w:r>
      <w:r w:rsidR="00F63C94" w:rsidRPr="00FF756A">
        <w:t xml:space="preserve">për </w:t>
      </w:r>
      <w:r w:rsidR="00835192" w:rsidRPr="00FF756A">
        <w:t>efiçencën e energjisë</w:t>
      </w:r>
      <w:bookmarkEnd w:id="405"/>
      <w:bookmarkEnd w:id="406"/>
      <w:bookmarkEnd w:id="407"/>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6"/>
        <w:gridCol w:w="1278"/>
        <w:gridCol w:w="600"/>
        <w:gridCol w:w="428"/>
        <w:gridCol w:w="3677"/>
        <w:gridCol w:w="883"/>
      </w:tblGrid>
      <w:tr w:rsidR="00835192" w:rsidRPr="00FF756A" w14:paraId="090881D1" w14:textId="77777777" w:rsidTr="004A3257">
        <w:trPr>
          <w:trHeight w:val="20"/>
        </w:trPr>
        <w:tc>
          <w:tcPr>
            <w:tcW w:w="4525" w:type="dxa"/>
            <w:gridSpan w:val="4"/>
            <w:shd w:val="clear" w:color="auto" w:fill="FFF2CC" w:themeFill="accent4" w:themeFillTint="33"/>
          </w:tcPr>
          <w:p w14:paraId="6ECA2C47"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7" w:type="dxa"/>
            <w:gridSpan w:val="2"/>
            <w:shd w:val="clear" w:color="auto" w:fill="FFF2CC" w:themeFill="accent4" w:themeFillTint="33"/>
          </w:tcPr>
          <w:p w14:paraId="5D11A58A" w14:textId="77777777" w:rsidR="00835192" w:rsidRPr="00FF756A" w:rsidRDefault="00835192" w:rsidP="008639B2">
            <w:pPr>
              <w:numPr>
                <w:ilvl w:val="0"/>
                <w:numId w:val="102"/>
              </w:numPr>
              <w:spacing w:before="20" w:after="20" w:line="240" w:lineRule="auto"/>
              <w:contextualSpacing/>
              <w:rPr>
                <w:i/>
                <w:iCs/>
                <w:sz w:val="20"/>
                <w:szCs w:val="20"/>
              </w:rPr>
            </w:pPr>
            <w:r w:rsidRPr="00FF756A">
              <w:rPr>
                <w:i/>
                <w:iCs/>
                <w:sz w:val="20"/>
                <w:szCs w:val="20"/>
              </w:rPr>
              <w:t>Efiçenca e energjisë</w:t>
            </w:r>
          </w:p>
        </w:tc>
      </w:tr>
      <w:tr w:rsidR="00835192" w:rsidRPr="00FF756A" w14:paraId="08421865" w14:textId="77777777" w:rsidTr="004A3257">
        <w:trPr>
          <w:trHeight w:val="20"/>
        </w:trPr>
        <w:tc>
          <w:tcPr>
            <w:tcW w:w="4094" w:type="dxa"/>
            <w:gridSpan w:val="3"/>
            <w:shd w:val="clear" w:color="auto" w:fill="FFF2CC" w:themeFill="accent4" w:themeFillTint="33"/>
          </w:tcPr>
          <w:p w14:paraId="2668EADF"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8" w:type="dxa"/>
            <w:gridSpan w:val="3"/>
            <w:shd w:val="clear" w:color="auto" w:fill="FFF2CC" w:themeFill="accent4" w:themeFillTint="33"/>
          </w:tcPr>
          <w:p w14:paraId="22072C7A" w14:textId="77777777" w:rsidR="00835192" w:rsidRPr="00FF756A" w:rsidRDefault="00835192" w:rsidP="00835192">
            <w:pPr>
              <w:spacing w:before="20" w:after="20" w:line="240" w:lineRule="auto"/>
              <w:rPr>
                <w:i/>
                <w:iCs/>
                <w:sz w:val="20"/>
                <w:szCs w:val="20"/>
              </w:rPr>
            </w:pPr>
            <w:r w:rsidRPr="00FF756A">
              <w:rPr>
                <w:i/>
                <w:iCs/>
                <w:sz w:val="20"/>
                <w:szCs w:val="20"/>
              </w:rPr>
              <w:t>Ndërtesat publike, duke përfshirë produktet dhe shërbimet</w:t>
            </w:r>
          </w:p>
        </w:tc>
      </w:tr>
      <w:tr w:rsidR="00835192" w:rsidRPr="00FF756A" w14:paraId="32D3DD51" w14:textId="77777777" w:rsidTr="004A3257">
        <w:trPr>
          <w:trHeight w:val="20"/>
        </w:trPr>
        <w:tc>
          <w:tcPr>
            <w:tcW w:w="3490" w:type="dxa"/>
            <w:gridSpan w:val="2"/>
          </w:tcPr>
          <w:p w14:paraId="6AAE8686"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446BA67C"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2" w:type="dxa"/>
            <w:gridSpan w:val="4"/>
          </w:tcPr>
          <w:p w14:paraId="70DEBAC9" w14:textId="77777777" w:rsidR="00835192" w:rsidRPr="00FF756A" w:rsidRDefault="00835192" w:rsidP="00835192">
            <w:pPr>
              <w:spacing w:before="20" w:after="20" w:line="240" w:lineRule="auto"/>
              <w:rPr>
                <w:i/>
                <w:iCs/>
                <w:sz w:val="20"/>
                <w:szCs w:val="20"/>
              </w:rPr>
            </w:pPr>
            <w:r w:rsidRPr="00FF756A">
              <w:rPr>
                <w:i/>
                <w:iCs/>
                <w:sz w:val="20"/>
                <w:szCs w:val="20"/>
              </w:rPr>
              <w:t>WAM</w:t>
            </w:r>
          </w:p>
          <w:p w14:paraId="2BB0A5C2"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001554FF" w14:textId="77777777" w:rsidTr="004A3257">
        <w:trPr>
          <w:trHeight w:val="20"/>
        </w:trPr>
        <w:tc>
          <w:tcPr>
            <w:tcW w:w="2203" w:type="dxa"/>
          </w:tcPr>
          <w:p w14:paraId="04DE3E1A"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5D011E78"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9" w:type="dxa"/>
            <w:gridSpan w:val="5"/>
          </w:tcPr>
          <w:p w14:paraId="0EFAD62F" w14:textId="77777777" w:rsidR="00835192" w:rsidRPr="00FF756A" w:rsidRDefault="00835192" w:rsidP="00835192">
            <w:pPr>
              <w:spacing w:before="20" w:after="20" w:line="240" w:lineRule="auto"/>
              <w:rPr>
                <w:i/>
                <w:iCs/>
                <w:sz w:val="20"/>
                <w:szCs w:val="20"/>
              </w:rPr>
            </w:pPr>
            <w:r w:rsidRPr="00FF756A">
              <w:rPr>
                <w:i/>
                <w:iCs/>
                <w:sz w:val="20"/>
                <w:szCs w:val="20"/>
              </w:rPr>
              <w:t>Masat për efiçencën e energjisë që lidhen me blerjen nga autoritetet publike</w:t>
            </w:r>
          </w:p>
          <w:p w14:paraId="47F794D4" w14:textId="77777777" w:rsidR="00835192" w:rsidRPr="00FF756A" w:rsidRDefault="00835192" w:rsidP="00835192">
            <w:pPr>
              <w:spacing w:before="20" w:after="20" w:line="240" w:lineRule="auto"/>
              <w:rPr>
                <w:i/>
                <w:iCs/>
                <w:sz w:val="20"/>
                <w:szCs w:val="20"/>
              </w:rPr>
            </w:pPr>
            <w:r w:rsidRPr="00FF756A">
              <w:rPr>
                <w:i/>
                <w:iCs/>
                <w:sz w:val="20"/>
                <w:szCs w:val="20"/>
              </w:rPr>
              <w:t>(EE-P1)</w:t>
            </w:r>
          </w:p>
        </w:tc>
      </w:tr>
      <w:tr w:rsidR="00835192" w:rsidRPr="00FF756A" w14:paraId="682E5A00" w14:textId="77777777" w:rsidTr="004A3257">
        <w:trPr>
          <w:trHeight w:val="20"/>
        </w:trPr>
        <w:tc>
          <w:tcPr>
            <w:tcW w:w="2203" w:type="dxa"/>
          </w:tcPr>
          <w:p w14:paraId="4D6A7528"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9" w:type="dxa"/>
            <w:gridSpan w:val="5"/>
          </w:tcPr>
          <w:p w14:paraId="081D540E" w14:textId="77777777" w:rsidR="00835192" w:rsidRPr="00FF756A" w:rsidRDefault="00835192" w:rsidP="00835192">
            <w:pPr>
              <w:spacing w:before="20" w:after="20" w:line="240" w:lineRule="auto"/>
              <w:rPr>
                <w:i/>
                <w:iCs/>
                <w:sz w:val="20"/>
                <w:szCs w:val="20"/>
              </w:rPr>
            </w:pPr>
            <w:r w:rsidRPr="00FF756A">
              <w:rPr>
                <w:i/>
                <w:iCs/>
                <w:sz w:val="20"/>
                <w:szCs w:val="20"/>
              </w:rPr>
              <w:t>Nga viti 2021 e në vazhdim</w:t>
            </w:r>
          </w:p>
        </w:tc>
      </w:tr>
      <w:tr w:rsidR="00835192" w:rsidRPr="00FF756A" w14:paraId="5444C7F6" w14:textId="77777777" w:rsidTr="004A3257">
        <w:trPr>
          <w:trHeight w:val="20"/>
        </w:trPr>
        <w:tc>
          <w:tcPr>
            <w:tcW w:w="2203" w:type="dxa"/>
          </w:tcPr>
          <w:p w14:paraId="553FA5B0"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9" w:type="dxa"/>
            <w:gridSpan w:val="5"/>
          </w:tcPr>
          <w:p w14:paraId="05C43C2A" w14:textId="77777777" w:rsidR="00835192" w:rsidRPr="00FF756A" w:rsidRDefault="00835192" w:rsidP="00835192">
            <w:pPr>
              <w:spacing w:before="20" w:after="20" w:line="240" w:lineRule="auto"/>
              <w:rPr>
                <w:i/>
                <w:iCs/>
                <w:sz w:val="20"/>
                <w:szCs w:val="20"/>
              </w:rPr>
            </w:pPr>
            <w:r w:rsidRPr="00FF756A">
              <w:rPr>
                <w:i/>
                <w:iCs/>
                <w:sz w:val="20"/>
                <w:szCs w:val="20"/>
              </w:rPr>
              <w:t>Ligji nr. 124/2015, datë 12.11.2015, “Për efiçencën e energjisë”, i ndryshuar; ligji nr. 9463, datë 20.11.2006, “Për prokurimin publik”, i ndryshuar</w:t>
            </w:r>
          </w:p>
        </w:tc>
      </w:tr>
      <w:tr w:rsidR="00835192" w:rsidRPr="00FF756A" w14:paraId="7A505587" w14:textId="77777777" w:rsidTr="004A3257">
        <w:trPr>
          <w:trHeight w:val="20"/>
        </w:trPr>
        <w:tc>
          <w:tcPr>
            <w:tcW w:w="2203" w:type="dxa"/>
          </w:tcPr>
          <w:p w14:paraId="6DB804C0"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9" w:type="dxa"/>
            <w:gridSpan w:val="5"/>
          </w:tcPr>
          <w:p w14:paraId="479B3887" w14:textId="1536EDDE" w:rsidR="00835192" w:rsidRPr="00FF756A" w:rsidRDefault="00835192" w:rsidP="00835192">
            <w:pPr>
              <w:spacing w:before="20" w:after="20" w:line="240" w:lineRule="auto"/>
              <w:rPr>
                <w:i/>
                <w:iCs/>
                <w:sz w:val="20"/>
                <w:szCs w:val="20"/>
              </w:rPr>
            </w:pPr>
            <w:r w:rsidRPr="00FF756A">
              <w:rPr>
                <w:i/>
                <w:iCs/>
                <w:sz w:val="20"/>
                <w:szCs w:val="20"/>
              </w:rPr>
              <w:t xml:space="preserve">Neni 9 i Ligjit nr. 28/2021 “Për disa ndryshime dhe shtesa në Ligjin nr. 124/2015 “Për efiçencën e energjisë” ka krijuar bazën për miratimin e </w:t>
            </w:r>
            <w:r w:rsidR="000D2FAD" w:rsidRPr="00FF756A">
              <w:rPr>
                <w:i/>
                <w:iCs/>
                <w:sz w:val="20"/>
                <w:szCs w:val="20"/>
              </w:rPr>
              <w:t>akteve nënligjore</w:t>
            </w:r>
            <w:r w:rsidRPr="00FF756A">
              <w:rPr>
                <w:i/>
                <w:iCs/>
                <w:sz w:val="20"/>
                <w:szCs w:val="20"/>
              </w:rPr>
              <w:t xml:space="preserve"> për prokurimin publik.</w:t>
            </w:r>
          </w:p>
          <w:p w14:paraId="28D479C5" w14:textId="77777777" w:rsidR="00835192" w:rsidRPr="00FF756A" w:rsidRDefault="00835192" w:rsidP="00835192">
            <w:pPr>
              <w:spacing w:before="20" w:after="20" w:line="240" w:lineRule="auto"/>
              <w:rPr>
                <w:i/>
                <w:iCs/>
                <w:sz w:val="20"/>
                <w:szCs w:val="20"/>
              </w:rPr>
            </w:pPr>
            <w:r w:rsidRPr="00FF756A">
              <w:rPr>
                <w:i/>
                <w:iCs/>
                <w:sz w:val="20"/>
                <w:szCs w:val="20"/>
              </w:rPr>
              <w:t>Projektvendimi i Këshillit të Ministrave “Për miratimin e rregullave dhe procedurave të prokurimit publik për blerjen e produkteve, objekteve dhe ndërtesave me performancë dhe efiçencë të lartë”: në proces miratimi pas konsultimit me Sekretariatin e Komunitetit të Energjisë dhe konfirmimit të tij.</w:t>
            </w:r>
          </w:p>
        </w:tc>
      </w:tr>
      <w:tr w:rsidR="00835192" w:rsidRPr="00FF756A" w14:paraId="1EE3B49F" w14:textId="77777777" w:rsidTr="004A3257">
        <w:trPr>
          <w:trHeight w:val="20"/>
        </w:trPr>
        <w:tc>
          <w:tcPr>
            <w:tcW w:w="2203" w:type="dxa"/>
          </w:tcPr>
          <w:p w14:paraId="76EE0983"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9" w:type="dxa"/>
            <w:gridSpan w:val="5"/>
          </w:tcPr>
          <w:p w14:paraId="24EFCEF8" w14:textId="77777777" w:rsidR="00835192" w:rsidRPr="00FF756A" w:rsidRDefault="00835192" w:rsidP="00835192">
            <w:pPr>
              <w:spacing w:before="20" w:after="20" w:line="240" w:lineRule="auto"/>
              <w:rPr>
                <w:i/>
                <w:iCs/>
                <w:sz w:val="20"/>
                <w:szCs w:val="20"/>
              </w:rPr>
            </w:pPr>
            <w:r w:rsidRPr="00FF756A">
              <w:rPr>
                <w:i/>
                <w:iCs/>
                <w:sz w:val="20"/>
                <w:szCs w:val="20"/>
              </w:rPr>
              <w:t>Objektivi i kësaj PM është që autoritetet publike t’i shpenzojnë fondet publike në një mënyrë më efikase, duke përfituar në këtë mënyrë rritjen e performancës energjetike të produkteve dhe shërbimeve, duke promovuar një konsum energjie efiçent, konkurrues dhe me nivele të ulëta karboni.</w:t>
            </w:r>
          </w:p>
        </w:tc>
      </w:tr>
      <w:tr w:rsidR="00835192" w:rsidRPr="00FF756A" w14:paraId="42DC13DC" w14:textId="77777777" w:rsidTr="004A3257">
        <w:trPr>
          <w:trHeight w:val="20"/>
        </w:trPr>
        <w:tc>
          <w:tcPr>
            <w:tcW w:w="2203" w:type="dxa"/>
          </w:tcPr>
          <w:p w14:paraId="2094F7E7"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9" w:type="dxa"/>
            <w:gridSpan w:val="5"/>
          </w:tcPr>
          <w:p w14:paraId="0DF71EF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Një VKM që do të përfshijë në rregullat e prokurimit publik dispozita që detyrojnë autoritetet kontraktore publike që t’u japin përparësi, gjatë prokurimit, produkteve dhe shërbimeve me efiçencë të lartë energjie.</w:t>
            </w:r>
          </w:p>
          <w:p w14:paraId="5C6C304A"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Katalogë, udhëzues ose faqe interneti për specifikimet teknike/standardet e EE për produktet e blera bashkërisht</w:t>
            </w:r>
          </w:p>
          <w:p w14:paraId="3D856E0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Trajnimi dhe udhëzimi i autoriteteve publike lidhur me prokurimin publik me në fokus EE-në</w:t>
            </w:r>
          </w:p>
        </w:tc>
      </w:tr>
      <w:tr w:rsidR="00835192" w:rsidRPr="00FF756A" w14:paraId="4620BB34" w14:textId="77777777" w:rsidTr="004A3257">
        <w:trPr>
          <w:trHeight w:val="20"/>
        </w:trPr>
        <w:tc>
          <w:tcPr>
            <w:tcW w:w="2203" w:type="dxa"/>
          </w:tcPr>
          <w:p w14:paraId="0FF2B3AB"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9" w:type="dxa"/>
            <w:gridSpan w:val="4"/>
          </w:tcPr>
          <w:p w14:paraId="6CE36B4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Miratimi i (projekt)ligjit të ndryshuar për efiçencën e energjisë dhe</w:t>
            </w:r>
          </w:p>
          <w:p w14:paraId="6B987469" w14:textId="77502700"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Përgatitja e </w:t>
            </w:r>
            <w:r w:rsidR="00113442" w:rsidRPr="00FF756A">
              <w:rPr>
                <w:i/>
                <w:iCs/>
                <w:sz w:val="20"/>
                <w:szCs w:val="20"/>
              </w:rPr>
              <w:t>akteve nënligjore</w:t>
            </w:r>
          </w:p>
          <w:p w14:paraId="52B6E1B2"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Zhvillimi i materialit informues </w:t>
            </w:r>
          </w:p>
          <w:p w14:paraId="4CFD45C0"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Organizimi i trajnimeve </w:t>
            </w:r>
          </w:p>
        </w:tc>
        <w:tc>
          <w:tcPr>
            <w:tcW w:w="850" w:type="dxa"/>
          </w:tcPr>
          <w:p w14:paraId="2B69B9A8" w14:textId="58F52488" w:rsidR="00835192" w:rsidRPr="00FF756A" w:rsidRDefault="00113442" w:rsidP="00835192">
            <w:pPr>
              <w:spacing w:before="20" w:after="20" w:line="240" w:lineRule="auto"/>
              <w:jc w:val="left"/>
              <w:rPr>
                <w:i/>
                <w:iCs/>
                <w:sz w:val="20"/>
                <w:szCs w:val="20"/>
              </w:rPr>
            </w:pPr>
            <w:r w:rsidRPr="00FF756A">
              <w:rPr>
                <w:i/>
                <w:iCs/>
                <w:sz w:val="20"/>
                <w:szCs w:val="20"/>
              </w:rPr>
              <w:t>B</w:t>
            </w:r>
            <w:r w:rsidR="00835192" w:rsidRPr="00FF756A">
              <w:rPr>
                <w:i/>
                <w:iCs/>
                <w:sz w:val="20"/>
                <w:szCs w:val="20"/>
              </w:rPr>
              <w:t>renda vitit 2025</w:t>
            </w:r>
          </w:p>
          <w:p w14:paraId="120432E2"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2026</w:t>
            </w:r>
            <w:r w:rsidRPr="00FF756A">
              <w:rPr>
                <w:i/>
                <w:iCs/>
                <w:sz w:val="20"/>
                <w:szCs w:val="20"/>
              </w:rPr>
              <w:br/>
              <w:t>nga viti 2026 e në vazhdim</w:t>
            </w:r>
            <w:r w:rsidRPr="00FF756A">
              <w:rPr>
                <w:i/>
                <w:iCs/>
                <w:sz w:val="20"/>
                <w:szCs w:val="20"/>
              </w:rPr>
              <w:br/>
              <w:t xml:space="preserve">nga viti 2026 e </w:t>
            </w:r>
            <w:r w:rsidRPr="00FF756A">
              <w:rPr>
                <w:i/>
                <w:iCs/>
                <w:sz w:val="20"/>
                <w:szCs w:val="20"/>
              </w:rPr>
              <w:lastRenderedPageBreak/>
              <w:t>në vazhdim</w:t>
            </w:r>
          </w:p>
        </w:tc>
      </w:tr>
      <w:tr w:rsidR="00835192" w:rsidRPr="00FF756A" w14:paraId="41DAF47A" w14:textId="77777777" w:rsidTr="004A3257">
        <w:trPr>
          <w:trHeight w:val="20"/>
        </w:trPr>
        <w:tc>
          <w:tcPr>
            <w:tcW w:w="2203" w:type="dxa"/>
          </w:tcPr>
          <w:p w14:paraId="70BA8F15"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Buxheti (burimi i financimit)</w:t>
            </w:r>
          </w:p>
        </w:tc>
        <w:tc>
          <w:tcPr>
            <w:tcW w:w="6869" w:type="dxa"/>
            <w:gridSpan w:val="5"/>
          </w:tcPr>
          <w:p w14:paraId="401006A0" w14:textId="77777777" w:rsidR="00835192" w:rsidRPr="00FF756A" w:rsidRDefault="00835192" w:rsidP="00835192">
            <w:pPr>
              <w:rPr>
                <w:i/>
                <w:iCs/>
                <w:sz w:val="20"/>
                <w:szCs w:val="20"/>
              </w:rPr>
            </w:pPr>
            <w:r w:rsidRPr="00FF756A">
              <w:rPr>
                <w:i/>
                <w:iCs/>
                <w:sz w:val="20"/>
                <w:szCs w:val="20"/>
              </w:rPr>
              <w:t>Katalogu, udhëzuesi ose faqja e internetit, si dhe trajnimi dhe udhëzimi i autoriteteve publike do të financohen nga një Program i Asistencës Teknike, me një buxhet të parashikuar prej 50 000 eurosh.</w:t>
            </w:r>
          </w:p>
        </w:tc>
      </w:tr>
      <w:tr w:rsidR="00835192" w:rsidRPr="00FF756A" w14:paraId="4F891F83" w14:textId="77777777" w:rsidTr="004A3257">
        <w:trPr>
          <w:trHeight w:val="20"/>
        </w:trPr>
        <w:tc>
          <w:tcPr>
            <w:tcW w:w="2203" w:type="dxa"/>
          </w:tcPr>
          <w:p w14:paraId="07E1C9AF"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7C02FE7C"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9" w:type="dxa"/>
            <w:gridSpan w:val="5"/>
          </w:tcPr>
          <w:p w14:paraId="19E9D8EE" w14:textId="77777777" w:rsidR="00835192" w:rsidRPr="00FF756A" w:rsidRDefault="00835192" w:rsidP="00835192">
            <w:pPr>
              <w:spacing w:before="20" w:after="20" w:line="240" w:lineRule="auto"/>
              <w:rPr>
                <w:i/>
                <w:iCs/>
                <w:sz w:val="20"/>
                <w:szCs w:val="20"/>
              </w:rPr>
            </w:pPr>
            <w:r w:rsidRPr="00FF756A">
              <w:rPr>
                <w:i/>
                <w:iCs/>
                <w:sz w:val="20"/>
                <w:szCs w:val="20"/>
              </w:rPr>
              <w:t>Ministritë përgjegjëse, Agjencia e Prokurimit Publik dhe institucionet përkatëse</w:t>
            </w:r>
          </w:p>
          <w:p w14:paraId="3B33DBEE" w14:textId="77777777" w:rsidR="00835192" w:rsidRPr="00FF756A" w:rsidRDefault="00835192" w:rsidP="00835192">
            <w:pPr>
              <w:spacing w:before="20" w:after="20" w:line="240" w:lineRule="auto"/>
              <w:rPr>
                <w:i/>
                <w:iCs/>
                <w:sz w:val="20"/>
                <w:szCs w:val="20"/>
              </w:rPr>
            </w:pPr>
            <w:r w:rsidRPr="00FF756A">
              <w:rPr>
                <w:i/>
                <w:iCs/>
                <w:sz w:val="20"/>
                <w:szCs w:val="20"/>
              </w:rPr>
              <w:t>(Agjencia për Efiçencën e Energjisë; Agjencia e Prokurimit Publik)</w:t>
            </w:r>
          </w:p>
        </w:tc>
      </w:tr>
      <w:tr w:rsidR="00835192" w:rsidRPr="00FF756A" w14:paraId="18FCD528" w14:textId="77777777" w:rsidTr="004A3257">
        <w:trPr>
          <w:trHeight w:val="20"/>
        </w:trPr>
        <w:tc>
          <w:tcPr>
            <w:tcW w:w="2203" w:type="dxa"/>
          </w:tcPr>
          <w:p w14:paraId="5A8ACD90"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9" w:type="dxa"/>
            <w:gridSpan w:val="5"/>
          </w:tcPr>
          <w:p w14:paraId="19FCF983" w14:textId="77777777" w:rsidR="00835192" w:rsidRPr="00FF756A" w:rsidRDefault="00835192" w:rsidP="00835192">
            <w:pPr>
              <w:spacing w:before="20" w:after="20" w:line="240" w:lineRule="auto"/>
              <w:rPr>
                <w:i/>
                <w:iCs/>
                <w:sz w:val="20"/>
                <w:szCs w:val="20"/>
              </w:rPr>
            </w:pPr>
            <w:r w:rsidRPr="00FF756A">
              <w:rPr>
                <w:i/>
                <w:iCs/>
                <w:sz w:val="20"/>
                <w:szCs w:val="20"/>
              </w:rPr>
              <w:t xml:space="preserve">Dekarbonizimi/Energjia e rinovueshme </w:t>
            </w:r>
          </w:p>
        </w:tc>
      </w:tr>
    </w:tbl>
    <w:p w14:paraId="368A2CB5"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3"/>
        <w:gridCol w:w="1285"/>
        <w:gridCol w:w="602"/>
        <w:gridCol w:w="430"/>
        <w:gridCol w:w="3692"/>
        <w:gridCol w:w="850"/>
      </w:tblGrid>
      <w:tr w:rsidR="00835192" w:rsidRPr="00FF756A" w14:paraId="739EA02F" w14:textId="77777777" w:rsidTr="004A3257">
        <w:trPr>
          <w:trHeight w:val="20"/>
        </w:trPr>
        <w:tc>
          <w:tcPr>
            <w:tcW w:w="4525" w:type="dxa"/>
            <w:gridSpan w:val="4"/>
            <w:shd w:val="clear" w:color="auto" w:fill="FFF2CC" w:themeFill="accent4" w:themeFillTint="33"/>
          </w:tcPr>
          <w:p w14:paraId="6DE1F90A"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7" w:type="dxa"/>
            <w:gridSpan w:val="2"/>
            <w:shd w:val="clear" w:color="auto" w:fill="FFF2CC" w:themeFill="accent4" w:themeFillTint="33"/>
          </w:tcPr>
          <w:p w14:paraId="111BD3F2" w14:textId="77777777" w:rsidR="00835192" w:rsidRPr="00FF756A" w:rsidRDefault="00835192" w:rsidP="008639B2">
            <w:pPr>
              <w:numPr>
                <w:ilvl w:val="0"/>
                <w:numId w:val="103"/>
              </w:numPr>
              <w:spacing w:before="20" w:after="20" w:line="240" w:lineRule="auto"/>
              <w:contextualSpacing/>
              <w:rPr>
                <w:i/>
                <w:iCs/>
                <w:sz w:val="20"/>
                <w:szCs w:val="20"/>
              </w:rPr>
            </w:pPr>
            <w:r w:rsidRPr="00FF756A">
              <w:rPr>
                <w:i/>
                <w:iCs/>
                <w:sz w:val="20"/>
                <w:szCs w:val="20"/>
              </w:rPr>
              <w:t>Efiçenca e energjisë</w:t>
            </w:r>
          </w:p>
        </w:tc>
      </w:tr>
      <w:tr w:rsidR="00835192" w:rsidRPr="00FF756A" w14:paraId="0F9DB82A" w14:textId="77777777" w:rsidTr="004A3257">
        <w:trPr>
          <w:trHeight w:val="20"/>
        </w:trPr>
        <w:tc>
          <w:tcPr>
            <w:tcW w:w="4094" w:type="dxa"/>
            <w:gridSpan w:val="3"/>
            <w:shd w:val="clear" w:color="auto" w:fill="FFF2CC" w:themeFill="accent4" w:themeFillTint="33"/>
          </w:tcPr>
          <w:p w14:paraId="277430E6" w14:textId="77777777" w:rsidR="00835192" w:rsidRPr="00FF756A" w:rsidRDefault="00835192" w:rsidP="00835192">
            <w:pPr>
              <w:spacing w:before="20" w:after="20" w:line="240" w:lineRule="auto"/>
              <w:jc w:val="right"/>
              <w:rPr>
                <w:b/>
                <w:bCs/>
                <w:color w:val="000000" w:themeColor="text1"/>
                <w:sz w:val="20"/>
                <w:szCs w:val="20"/>
              </w:rPr>
            </w:pPr>
            <w:r w:rsidRPr="00FF756A">
              <w:rPr>
                <w:b/>
                <w:bCs/>
                <w:color w:val="000000" w:themeColor="text1"/>
                <w:sz w:val="20"/>
                <w:szCs w:val="20"/>
              </w:rPr>
              <w:t>Sektori</w:t>
            </w:r>
          </w:p>
        </w:tc>
        <w:tc>
          <w:tcPr>
            <w:tcW w:w="4978" w:type="dxa"/>
            <w:gridSpan w:val="3"/>
            <w:shd w:val="clear" w:color="auto" w:fill="FFF2CC" w:themeFill="accent4" w:themeFillTint="33"/>
          </w:tcPr>
          <w:p w14:paraId="2F84AAEB" w14:textId="77777777" w:rsidR="00835192" w:rsidRPr="00FF756A" w:rsidRDefault="00835192" w:rsidP="00835192">
            <w:pPr>
              <w:spacing w:before="20" w:after="20" w:line="240" w:lineRule="auto"/>
              <w:rPr>
                <w:i/>
                <w:iCs/>
                <w:color w:val="000000" w:themeColor="text1"/>
                <w:sz w:val="20"/>
                <w:szCs w:val="20"/>
              </w:rPr>
            </w:pPr>
            <w:r w:rsidRPr="00FF756A">
              <w:rPr>
                <w:i/>
                <w:iCs/>
                <w:color w:val="000000" w:themeColor="text1"/>
                <w:sz w:val="20"/>
                <w:szCs w:val="20"/>
              </w:rPr>
              <w:t>Sektori i ndërtesave publike</w:t>
            </w:r>
          </w:p>
        </w:tc>
      </w:tr>
      <w:tr w:rsidR="00835192" w:rsidRPr="00FF756A" w14:paraId="6613CCC5" w14:textId="77777777" w:rsidTr="004A3257">
        <w:trPr>
          <w:trHeight w:val="20"/>
        </w:trPr>
        <w:tc>
          <w:tcPr>
            <w:tcW w:w="3491" w:type="dxa"/>
            <w:gridSpan w:val="2"/>
          </w:tcPr>
          <w:p w14:paraId="30AEDEFA"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3FACEDBE"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1" w:type="dxa"/>
            <w:gridSpan w:val="4"/>
          </w:tcPr>
          <w:p w14:paraId="68297274" w14:textId="77777777" w:rsidR="00835192" w:rsidRPr="00FF756A" w:rsidRDefault="00835192" w:rsidP="00835192">
            <w:pPr>
              <w:spacing w:before="20" w:after="20" w:line="240" w:lineRule="auto"/>
              <w:rPr>
                <w:i/>
                <w:iCs/>
                <w:sz w:val="20"/>
                <w:szCs w:val="20"/>
              </w:rPr>
            </w:pPr>
            <w:r w:rsidRPr="00FF756A">
              <w:rPr>
                <w:i/>
                <w:iCs/>
                <w:sz w:val="20"/>
                <w:szCs w:val="20"/>
              </w:rPr>
              <w:t>WEM</w:t>
            </w:r>
          </w:p>
          <w:p w14:paraId="1918C394" w14:textId="77777777" w:rsidR="00835192" w:rsidRPr="00FF756A" w:rsidRDefault="00835192" w:rsidP="00835192">
            <w:pPr>
              <w:spacing w:before="20" w:after="20" w:line="240" w:lineRule="auto"/>
              <w:rPr>
                <w:i/>
                <w:iCs/>
                <w:sz w:val="20"/>
                <w:szCs w:val="20"/>
              </w:rPr>
            </w:pPr>
            <w:r w:rsidRPr="00FF756A">
              <w:rPr>
                <w:i/>
                <w:iCs/>
                <w:sz w:val="20"/>
                <w:szCs w:val="20"/>
              </w:rPr>
              <w:t>Rregullator; Edukativ</w:t>
            </w:r>
          </w:p>
        </w:tc>
      </w:tr>
      <w:tr w:rsidR="00835192" w:rsidRPr="00FF756A" w14:paraId="4E82AAC4" w14:textId="77777777" w:rsidTr="004A3257">
        <w:trPr>
          <w:trHeight w:val="20"/>
        </w:trPr>
        <w:tc>
          <w:tcPr>
            <w:tcW w:w="2204" w:type="dxa"/>
          </w:tcPr>
          <w:p w14:paraId="20A390C3"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3DF55198"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8" w:type="dxa"/>
            <w:gridSpan w:val="5"/>
          </w:tcPr>
          <w:p w14:paraId="07481C5F" w14:textId="77777777" w:rsidR="00835192" w:rsidRPr="00FF756A" w:rsidRDefault="00835192" w:rsidP="00835192">
            <w:pPr>
              <w:spacing w:before="20" w:after="20" w:line="240" w:lineRule="auto"/>
              <w:rPr>
                <w:i/>
                <w:iCs/>
                <w:sz w:val="20"/>
                <w:szCs w:val="20"/>
              </w:rPr>
            </w:pPr>
            <w:r w:rsidRPr="00FF756A">
              <w:rPr>
                <w:i/>
                <w:iCs/>
                <w:sz w:val="20"/>
                <w:szCs w:val="20"/>
              </w:rPr>
              <w:t>Planet bashkiake të veprimit për efiçencën e energjisë, zbatimi dhe raportimi</w:t>
            </w:r>
          </w:p>
          <w:p w14:paraId="74752E6B" w14:textId="77777777" w:rsidR="00835192" w:rsidRPr="00FF756A" w:rsidRDefault="00835192" w:rsidP="00835192">
            <w:pPr>
              <w:spacing w:before="20" w:after="20" w:line="240" w:lineRule="auto"/>
              <w:rPr>
                <w:i/>
                <w:iCs/>
                <w:sz w:val="20"/>
                <w:szCs w:val="20"/>
              </w:rPr>
            </w:pPr>
            <w:r w:rsidRPr="00FF756A">
              <w:rPr>
                <w:i/>
                <w:iCs/>
                <w:sz w:val="20"/>
                <w:szCs w:val="20"/>
              </w:rPr>
              <w:t>(EE-P2)</w:t>
            </w:r>
          </w:p>
        </w:tc>
      </w:tr>
      <w:tr w:rsidR="00835192" w:rsidRPr="00FF756A" w14:paraId="66E1E805" w14:textId="77777777" w:rsidTr="004A3257">
        <w:trPr>
          <w:trHeight w:val="20"/>
        </w:trPr>
        <w:tc>
          <w:tcPr>
            <w:tcW w:w="2204" w:type="dxa"/>
          </w:tcPr>
          <w:p w14:paraId="05DE10A0"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8" w:type="dxa"/>
            <w:gridSpan w:val="5"/>
          </w:tcPr>
          <w:p w14:paraId="3330816C" w14:textId="77777777" w:rsidR="00835192" w:rsidRPr="00FF756A" w:rsidRDefault="00835192" w:rsidP="00835192">
            <w:pPr>
              <w:spacing w:before="20" w:after="20" w:line="240" w:lineRule="auto"/>
              <w:rPr>
                <w:i/>
                <w:iCs/>
                <w:sz w:val="20"/>
                <w:szCs w:val="20"/>
              </w:rPr>
            </w:pPr>
            <w:r w:rsidRPr="00FF756A">
              <w:rPr>
                <w:i/>
                <w:iCs/>
                <w:sz w:val="20"/>
                <w:szCs w:val="20"/>
              </w:rPr>
              <w:t>2022 dhe në vazhdim</w:t>
            </w:r>
          </w:p>
        </w:tc>
      </w:tr>
      <w:tr w:rsidR="00835192" w:rsidRPr="00FF756A" w14:paraId="0FC0B42A" w14:textId="77777777" w:rsidTr="004A3257">
        <w:trPr>
          <w:trHeight w:val="20"/>
        </w:trPr>
        <w:tc>
          <w:tcPr>
            <w:tcW w:w="2204" w:type="dxa"/>
          </w:tcPr>
          <w:p w14:paraId="038EF537"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8" w:type="dxa"/>
            <w:gridSpan w:val="5"/>
          </w:tcPr>
          <w:p w14:paraId="1E61F9F4" w14:textId="77777777" w:rsidR="00835192" w:rsidRPr="00FF756A" w:rsidRDefault="00835192" w:rsidP="00835192">
            <w:pPr>
              <w:spacing w:before="20" w:after="20" w:line="240" w:lineRule="auto"/>
              <w:rPr>
                <w:i/>
                <w:iCs/>
                <w:sz w:val="20"/>
                <w:szCs w:val="20"/>
              </w:rPr>
            </w:pPr>
            <w:r w:rsidRPr="00FF756A">
              <w:rPr>
                <w:i/>
                <w:iCs/>
                <w:sz w:val="20"/>
                <w:szCs w:val="20"/>
              </w:rPr>
              <w:t>Ligji nr. 124/2015, datë 12.11.2015, “Për efiçencën e energjisë”, i ndryshuar; VKM nr. 709, datë 1.12.2017, “Për miratimin e planit të dytë dhe të tretë kombëtar të veprimit për efiçencën e energjisë, 2017 – 2020”</w:t>
            </w:r>
          </w:p>
          <w:p w14:paraId="2FBEB73F" w14:textId="77777777" w:rsidR="00835192" w:rsidRPr="00FF756A" w:rsidRDefault="00835192" w:rsidP="00835192">
            <w:pPr>
              <w:spacing w:before="20" w:after="20" w:line="240" w:lineRule="auto"/>
              <w:rPr>
                <w:i/>
                <w:iCs/>
                <w:sz w:val="20"/>
                <w:szCs w:val="20"/>
              </w:rPr>
            </w:pPr>
            <w:r w:rsidRPr="00FF756A">
              <w:rPr>
                <w:i/>
                <w:iCs/>
                <w:sz w:val="20"/>
                <w:szCs w:val="20"/>
              </w:rPr>
              <w:t>Urdhri i Ministrit të Infrastrukturës dhe Energjisë nr. 206, datë 25.10.2022, “Për miratimin e formatit të planeve vendore të veprimit për efiçencën e energjisë dhe raportit të progresit për zbatimin e planeve”</w:t>
            </w:r>
          </w:p>
          <w:p w14:paraId="4288A8CE" w14:textId="77777777" w:rsidR="00835192" w:rsidRPr="00FF756A" w:rsidRDefault="00835192" w:rsidP="00835192">
            <w:pPr>
              <w:spacing w:before="20" w:after="20" w:line="240" w:lineRule="auto"/>
              <w:rPr>
                <w:i/>
                <w:iCs/>
                <w:sz w:val="20"/>
                <w:szCs w:val="20"/>
              </w:rPr>
            </w:pPr>
            <w:r w:rsidRPr="00FF756A">
              <w:rPr>
                <w:i/>
                <w:iCs/>
                <w:sz w:val="20"/>
                <w:szCs w:val="20"/>
              </w:rPr>
              <w:t>Vendimi i Këshillit të Ministrave nr. 189, datë 5.4.2023 “Për miratimin e platformës së monitorimit dhe verifikimit”</w:t>
            </w:r>
          </w:p>
        </w:tc>
      </w:tr>
      <w:tr w:rsidR="00835192" w:rsidRPr="00FF756A" w14:paraId="5B70780E" w14:textId="77777777" w:rsidTr="004A3257">
        <w:trPr>
          <w:trHeight w:val="20"/>
        </w:trPr>
        <w:tc>
          <w:tcPr>
            <w:tcW w:w="2204" w:type="dxa"/>
          </w:tcPr>
          <w:p w14:paraId="6ECC741D"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8" w:type="dxa"/>
            <w:gridSpan w:val="5"/>
          </w:tcPr>
          <w:p w14:paraId="348F79F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Projekti pilot: Projekti i Bashkive me Energji Inteligjente (SEMP) është një projekt në zhvillim e sipër, i financuar nga Ambasada Zvicerane. Objektivi i këtij projekti dypalësh është të mbështesë bashkitë e përzgjedhura shqiptare në menaxhimin e energjisë në mënyrë të qëndrueshme dhe në zbatimin e politikës kombëtare të energjisë në nivel vendor. Me këtë qëllim, ai do të pilotojë dhe institucionalizojë një sistem të menaxhimit të energjisë që bazohet në Çmimin Evropian për Energjinë (European Energy Award - EEA) dhe përfshin kërkesat e legjislacionit kombëtar për energjinë.</w:t>
            </w:r>
          </w:p>
          <w:p w14:paraId="7F46D54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Krijimi i kuadrit ligjor </w:t>
            </w:r>
          </w:p>
        </w:tc>
      </w:tr>
      <w:tr w:rsidR="00835192" w:rsidRPr="00FF756A" w14:paraId="1E4A12F6" w14:textId="77777777" w:rsidTr="004A3257">
        <w:trPr>
          <w:trHeight w:val="20"/>
        </w:trPr>
        <w:tc>
          <w:tcPr>
            <w:tcW w:w="2204" w:type="dxa"/>
          </w:tcPr>
          <w:p w14:paraId="04BA8FB9"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8" w:type="dxa"/>
            <w:gridSpan w:val="5"/>
          </w:tcPr>
          <w:p w14:paraId="04286F7F" w14:textId="77777777" w:rsidR="00835192" w:rsidRPr="00FF756A" w:rsidRDefault="00835192" w:rsidP="00835192">
            <w:pPr>
              <w:spacing w:before="20" w:after="20" w:line="240" w:lineRule="auto"/>
              <w:rPr>
                <w:i/>
                <w:iCs/>
                <w:sz w:val="20"/>
                <w:szCs w:val="20"/>
              </w:rPr>
            </w:pPr>
            <w:r w:rsidRPr="00FF756A">
              <w:rPr>
                <w:i/>
                <w:iCs/>
                <w:sz w:val="20"/>
                <w:szCs w:val="20"/>
              </w:rPr>
              <w:t>Përfshirja e bashkive me anë të përgatitjes së planeve të veta të veprimit lidhur me EE-në, si faktor nxitës, dhe duke monitoruar zbatimin e masave për reduktimin e konsumit të energjisë, reduktimin e shkarkimeve dhe rritjen e cilësisë së jetës.</w:t>
            </w:r>
          </w:p>
        </w:tc>
      </w:tr>
      <w:tr w:rsidR="00835192" w:rsidRPr="00FF756A" w14:paraId="13D97642" w14:textId="77777777" w:rsidTr="004A3257">
        <w:trPr>
          <w:trHeight w:val="20"/>
        </w:trPr>
        <w:tc>
          <w:tcPr>
            <w:tcW w:w="2204" w:type="dxa"/>
          </w:tcPr>
          <w:p w14:paraId="1AC62735"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8" w:type="dxa"/>
            <w:gridSpan w:val="5"/>
          </w:tcPr>
          <w:p w14:paraId="3EDAECC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Intensifikimi i ngritjes së kapaciteteve për punonjësit e bashkive në fushën e EE-së</w:t>
            </w:r>
          </w:p>
          <w:p w14:paraId="6FBB586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Një plan i detajuar mbi masat e EE-së për bashkitë, në përputhje me planin kombëtar të veprimit për EE-në në sektorë të ndryshëm</w:t>
            </w:r>
          </w:p>
          <w:p w14:paraId="013C334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Sigurimi i burimeve të financimit për investimet në EE</w:t>
            </w:r>
          </w:p>
          <w:p w14:paraId="7D87F0F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Monitorimi i zbatimit të masave për EE-në</w:t>
            </w:r>
          </w:p>
          <w:p w14:paraId="63356E6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Mbledhja e të dhënave mbi konsumin e energjisë dhe monitorimi i kursimeve të arritura.</w:t>
            </w:r>
          </w:p>
        </w:tc>
      </w:tr>
      <w:tr w:rsidR="00835192" w:rsidRPr="00FF756A" w14:paraId="680DBD36" w14:textId="77777777" w:rsidTr="004A3257">
        <w:trPr>
          <w:trHeight w:val="20"/>
        </w:trPr>
        <w:tc>
          <w:tcPr>
            <w:tcW w:w="2204" w:type="dxa"/>
          </w:tcPr>
          <w:p w14:paraId="189A79BA"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8" w:type="dxa"/>
            <w:gridSpan w:val="4"/>
          </w:tcPr>
          <w:p w14:paraId="793C8D70" w14:textId="77777777" w:rsidR="00835192" w:rsidRPr="00FF756A" w:rsidRDefault="00835192" w:rsidP="00835192">
            <w:pPr>
              <w:spacing w:before="20" w:after="20" w:line="240" w:lineRule="auto"/>
              <w:rPr>
                <w:i/>
                <w:iCs/>
                <w:sz w:val="20"/>
                <w:szCs w:val="20"/>
              </w:rPr>
            </w:pPr>
            <w:r w:rsidRPr="00FF756A">
              <w:rPr>
                <w:i/>
                <w:iCs/>
                <w:sz w:val="20"/>
                <w:szCs w:val="20"/>
              </w:rPr>
              <w:t>Krijimi i një platforme monitorimi dhe verifikimi</w:t>
            </w:r>
          </w:p>
          <w:p w14:paraId="230AFCB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Krijimi i kuadrit ligjor </w:t>
            </w:r>
          </w:p>
          <w:p w14:paraId="778E0292"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Krijimi i kuadrit operacional </w:t>
            </w:r>
          </w:p>
          <w:p w14:paraId="1E05922D" w14:textId="77777777" w:rsidR="00835192" w:rsidRPr="00FF756A" w:rsidRDefault="00835192" w:rsidP="00835192">
            <w:pPr>
              <w:spacing w:before="20" w:after="20" w:line="240" w:lineRule="auto"/>
              <w:rPr>
                <w:i/>
                <w:iCs/>
                <w:sz w:val="20"/>
                <w:szCs w:val="20"/>
              </w:rPr>
            </w:pPr>
            <w:r w:rsidRPr="00FF756A">
              <w:rPr>
                <w:i/>
                <w:iCs/>
                <w:sz w:val="20"/>
                <w:szCs w:val="20"/>
              </w:rPr>
              <w:t xml:space="preserve">Projekti i Bashkive me Energji Inteligjente (SEMP) </w:t>
            </w:r>
          </w:p>
          <w:p w14:paraId="56C59AF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Komponenti 1: Zbatimi i sistemeve të menaxhimit të energjisë në 4 bashki pilot: Berat, Korçë, Përmet dhe Shkodër, që rezulton në Plane Bashkiake të Energjisë dhe Klimës (PBEK);</w:t>
            </w:r>
          </w:p>
          <w:p w14:paraId="75D7E986"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lastRenderedPageBreak/>
              <w:t>Komponenti 2: Hartimi i kuadrit kombëtar të menaxhimit të energjisë;</w:t>
            </w:r>
          </w:p>
          <w:p w14:paraId="77269F0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Komponenti 3. Mbështetja për zgjerimin e kuadrit kombëtar të menaxhimit të energjisë;</w:t>
            </w:r>
          </w:p>
          <w:p w14:paraId="1FB0D326" w14:textId="77777777" w:rsidR="00835192" w:rsidRPr="00FF756A" w:rsidRDefault="00835192" w:rsidP="00835192">
            <w:pPr>
              <w:ind w:left="720"/>
              <w:contextualSpacing/>
              <w:rPr>
                <w:i/>
                <w:iCs/>
                <w:sz w:val="20"/>
                <w:szCs w:val="20"/>
              </w:rPr>
            </w:pPr>
            <w:r w:rsidRPr="00FF756A">
              <w:rPr>
                <w:i/>
                <w:iCs/>
                <w:sz w:val="20"/>
                <w:szCs w:val="20"/>
              </w:rPr>
              <w:t>Komponenti 4. Forcimi i kapaciteteve për hartimin dhe zbatimin e projektit përmes instalimeve me përfitime të konsiderueshme;</w:t>
            </w:r>
          </w:p>
          <w:p w14:paraId="5DA1246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Komponenti 5: Forcimi i institucioneve kryesore në nivel vendor dhe kombëtar në lidhje me menaxhimin e energjisë.</w:t>
            </w:r>
          </w:p>
          <w:p w14:paraId="09FE8E30" w14:textId="77777777" w:rsidR="00835192" w:rsidRPr="00FF756A" w:rsidRDefault="00835192" w:rsidP="00835192">
            <w:pPr>
              <w:spacing w:before="20" w:after="20" w:line="240" w:lineRule="auto"/>
              <w:rPr>
                <w:i/>
                <w:iCs/>
                <w:sz w:val="20"/>
                <w:szCs w:val="20"/>
              </w:rPr>
            </w:pPr>
            <w:r w:rsidRPr="00FF756A">
              <w:rPr>
                <w:i/>
                <w:iCs/>
                <w:sz w:val="20"/>
                <w:szCs w:val="20"/>
              </w:rPr>
              <w:t>Prezantimi në 4 bashki të tjera</w:t>
            </w:r>
          </w:p>
        </w:tc>
        <w:tc>
          <w:tcPr>
            <w:tcW w:w="850" w:type="dxa"/>
          </w:tcPr>
          <w:p w14:paraId="05A18A34" w14:textId="77777777" w:rsidR="00835192" w:rsidRPr="00FF756A" w:rsidRDefault="00835192" w:rsidP="00835192">
            <w:pPr>
              <w:spacing w:before="20" w:after="20" w:line="240" w:lineRule="auto"/>
              <w:jc w:val="left"/>
              <w:rPr>
                <w:i/>
                <w:iCs/>
                <w:sz w:val="20"/>
                <w:szCs w:val="20"/>
              </w:rPr>
            </w:pPr>
            <w:r w:rsidRPr="00FF756A">
              <w:rPr>
                <w:i/>
                <w:iCs/>
                <w:sz w:val="20"/>
                <w:szCs w:val="20"/>
              </w:rPr>
              <w:lastRenderedPageBreak/>
              <w:t>brenda vitit 2024</w:t>
            </w:r>
            <w:r w:rsidRPr="00FF756A">
              <w:rPr>
                <w:i/>
                <w:iCs/>
                <w:sz w:val="20"/>
                <w:szCs w:val="20"/>
              </w:rPr>
              <w:br/>
            </w:r>
            <w:r w:rsidRPr="00FF756A">
              <w:rPr>
                <w:i/>
                <w:iCs/>
                <w:sz w:val="20"/>
                <w:szCs w:val="20"/>
              </w:rPr>
              <w:br/>
            </w:r>
            <w:r w:rsidRPr="00FF756A">
              <w:rPr>
                <w:i/>
                <w:iCs/>
                <w:sz w:val="20"/>
                <w:szCs w:val="20"/>
              </w:rPr>
              <w:br/>
              <w:t>brenda vitit 2024</w:t>
            </w:r>
          </w:p>
          <w:p w14:paraId="213F9A4D" w14:textId="77777777" w:rsidR="00835192" w:rsidRPr="00FF756A" w:rsidRDefault="00835192" w:rsidP="00835192">
            <w:pPr>
              <w:spacing w:before="20" w:after="20" w:line="240" w:lineRule="auto"/>
              <w:jc w:val="left"/>
              <w:rPr>
                <w:i/>
                <w:iCs/>
                <w:sz w:val="20"/>
                <w:szCs w:val="20"/>
              </w:rPr>
            </w:pPr>
            <w:r w:rsidRPr="00FF756A">
              <w:rPr>
                <w:i/>
                <w:iCs/>
                <w:sz w:val="20"/>
                <w:szCs w:val="20"/>
              </w:rPr>
              <w:lastRenderedPageBreak/>
              <w:br/>
            </w:r>
          </w:p>
          <w:p w14:paraId="200F324C" w14:textId="77777777" w:rsidR="00835192" w:rsidRPr="00FF756A" w:rsidRDefault="00835192" w:rsidP="00835192">
            <w:pPr>
              <w:spacing w:before="20" w:after="20" w:line="240" w:lineRule="auto"/>
              <w:jc w:val="left"/>
              <w:rPr>
                <w:i/>
                <w:iCs/>
                <w:sz w:val="20"/>
                <w:szCs w:val="20"/>
              </w:rPr>
            </w:pPr>
          </w:p>
          <w:p w14:paraId="02095B8A" w14:textId="77777777" w:rsidR="00835192" w:rsidRPr="00FF756A" w:rsidRDefault="00835192" w:rsidP="00835192">
            <w:pPr>
              <w:spacing w:before="20" w:after="20" w:line="240" w:lineRule="auto"/>
              <w:jc w:val="left"/>
              <w:rPr>
                <w:i/>
                <w:iCs/>
                <w:sz w:val="20"/>
                <w:szCs w:val="20"/>
              </w:rPr>
            </w:pPr>
            <w:r w:rsidRPr="00FF756A">
              <w:rPr>
                <w:i/>
                <w:iCs/>
                <w:sz w:val="20"/>
                <w:szCs w:val="20"/>
              </w:rPr>
              <w:br/>
            </w:r>
          </w:p>
          <w:p w14:paraId="3C096D03" w14:textId="77777777" w:rsidR="00835192" w:rsidRPr="00FF756A" w:rsidRDefault="00835192" w:rsidP="00835192">
            <w:pPr>
              <w:spacing w:before="20" w:after="20" w:line="240" w:lineRule="auto"/>
              <w:jc w:val="left"/>
              <w:rPr>
                <w:i/>
                <w:iCs/>
                <w:sz w:val="20"/>
                <w:szCs w:val="20"/>
              </w:rPr>
            </w:pPr>
            <w:r w:rsidRPr="00FF756A">
              <w:rPr>
                <w:i/>
                <w:iCs/>
                <w:sz w:val="20"/>
                <w:szCs w:val="20"/>
              </w:rPr>
              <w:br/>
            </w:r>
            <w:r w:rsidRPr="00FF756A">
              <w:rPr>
                <w:i/>
                <w:iCs/>
                <w:sz w:val="20"/>
                <w:szCs w:val="20"/>
              </w:rPr>
              <w:br/>
            </w:r>
            <w:r w:rsidRPr="00FF756A">
              <w:rPr>
                <w:i/>
                <w:iCs/>
                <w:sz w:val="20"/>
                <w:szCs w:val="20"/>
              </w:rPr>
              <w:br/>
            </w:r>
          </w:p>
          <w:p w14:paraId="50A7E88E" w14:textId="77777777" w:rsidR="00835192" w:rsidRPr="00FF756A" w:rsidRDefault="00835192" w:rsidP="00835192">
            <w:pPr>
              <w:spacing w:before="20" w:after="20" w:line="240" w:lineRule="auto"/>
              <w:jc w:val="left"/>
              <w:rPr>
                <w:i/>
                <w:iCs/>
                <w:sz w:val="20"/>
                <w:szCs w:val="20"/>
              </w:rPr>
            </w:pPr>
          </w:p>
          <w:p w14:paraId="54915F9C"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2028</w:t>
            </w:r>
            <w:r w:rsidRPr="00FF756A">
              <w:rPr>
                <w:i/>
                <w:iCs/>
                <w:sz w:val="20"/>
                <w:szCs w:val="20"/>
              </w:rPr>
              <w:br/>
            </w:r>
          </w:p>
        </w:tc>
      </w:tr>
      <w:tr w:rsidR="00835192" w:rsidRPr="00FF756A" w14:paraId="27F7F98C" w14:textId="77777777" w:rsidTr="004A3257">
        <w:trPr>
          <w:trHeight w:val="20"/>
        </w:trPr>
        <w:tc>
          <w:tcPr>
            <w:tcW w:w="2204" w:type="dxa"/>
          </w:tcPr>
          <w:p w14:paraId="72209CC7"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Buxheti (burimi i financimit)</w:t>
            </w:r>
          </w:p>
        </w:tc>
        <w:tc>
          <w:tcPr>
            <w:tcW w:w="6868" w:type="dxa"/>
            <w:gridSpan w:val="5"/>
          </w:tcPr>
          <w:p w14:paraId="682B682A" w14:textId="77777777" w:rsidR="00835192" w:rsidRPr="00FF756A" w:rsidRDefault="00835192" w:rsidP="00835192">
            <w:pPr>
              <w:spacing w:before="20" w:after="20" w:line="240" w:lineRule="auto"/>
              <w:rPr>
                <w:i/>
                <w:iCs/>
                <w:sz w:val="20"/>
                <w:szCs w:val="20"/>
              </w:rPr>
            </w:pPr>
            <w:r w:rsidRPr="00FF756A">
              <w:rPr>
                <w:i/>
                <w:iCs/>
                <w:sz w:val="20"/>
                <w:szCs w:val="20"/>
              </w:rPr>
              <w:t>SECO:  5,300,000 CHF</w:t>
            </w:r>
          </w:p>
          <w:p w14:paraId="6448066C" w14:textId="77777777" w:rsidR="00835192" w:rsidRPr="00FF756A" w:rsidRDefault="00835192" w:rsidP="00835192">
            <w:pPr>
              <w:spacing w:before="20" w:after="20" w:line="240" w:lineRule="auto"/>
              <w:rPr>
                <w:i/>
                <w:iCs/>
                <w:sz w:val="20"/>
                <w:szCs w:val="20"/>
              </w:rPr>
            </w:pPr>
            <w:r w:rsidRPr="00FF756A">
              <w:rPr>
                <w:i/>
                <w:iCs/>
                <w:sz w:val="20"/>
                <w:szCs w:val="20"/>
              </w:rPr>
              <w:t>Bashkitë:  630,000 CHF</w:t>
            </w:r>
          </w:p>
          <w:p w14:paraId="3A2B3E0B" w14:textId="77777777" w:rsidR="00835192" w:rsidRPr="00FF756A" w:rsidRDefault="00835192" w:rsidP="00835192">
            <w:pPr>
              <w:spacing w:before="20" w:after="20" w:line="240" w:lineRule="auto"/>
              <w:rPr>
                <w:i/>
                <w:iCs/>
                <w:sz w:val="20"/>
                <w:szCs w:val="20"/>
              </w:rPr>
            </w:pPr>
            <w:r w:rsidRPr="00FF756A">
              <w:rPr>
                <w:i/>
                <w:iCs/>
                <w:sz w:val="20"/>
                <w:szCs w:val="20"/>
              </w:rPr>
              <w:t>(1 frang zvicerane është e barabartë me 1,03 euro, mars 2024)</w:t>
            </w:r>
          </w:p>
        </w:tc>
      </w:tr>
      <w:tr w:rsidR="00835192" w:rsidRPr="00FF756A" w14:paraId="5C7A115B" w14:textId="77777777" w:rsidTr="004A3257">
        <w:trPr>
          <w:trHeight w:val="20"/>
        </w:trPr>
        <w:tc>
          <w:tcPr>
            <w:tcW w:w="2204" w:type="dxa"/>
          </w:tcPr>
          <w:p w14:paraId="6F2D499F"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376E49D4"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8" w:type="dxa"/>
            <w:gridSpan w:val="5"/>
          </w:tcPr>
          <w:p w14:paraId="1D13279B"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bashkitë, ESCO-të, menaxherët e energjisë, konsumatorët fundorë</w:t>
            </w:r>
          </w:p>
          <w:p w14:paraId="02E313C5" w14:textId="77777777" w:rsidR="00835192" w:rsidRPr="00FF756A" w:rsidRDefault="00835192" w:rsidP="00835192">
            <w:pPr>
              <w:spacing w:before="20" w:after="20" w:line="240" w:lineRule="auto"/>
              <w:rPr>
                <w:i/>
                <w:iCs/>
                <w:sz w:val="20"/>
                <w:szCs w:val="20"/>
              </w:rPr>
            </w:pPr>
            <w:r w:rsidRPr="00FF756A">
              <w:rPr>
                <w:i/>
                <w:iCs/>
                <w:sz w:val="20"/>
                <w:szCs w:val="20"/>
              </w:rPr>
              <w:t>(Agjencia për Efiçencën e Energjisë)</w:t>
            </w:r>
          </w:p>
        </w:tc>
      </w:tr>
      <w:tr w:rsidR="00835192" w:rsidRPr="00FF756A" w14:paraId="77AE845E" w14:textId="77777777" w:rsidTr="004A3257">
        <w:trPr>
          <w:trHeight w:val="20"/>
        </w:trPr>
        <w:tc>
          <w:tcPr>
            <w:tcW w:w="2204" w:type="dxa"/>
          </w:tcPr>
          <w:p w14:paraId="51F8B104"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8" w:type="dxa"/>
            <w:gridSpan w:val="5"/>
          </w:tcPr>
          <w:p w14:paraId="4CABD8F1" w14:textId="77777777" w:rsidR="00835192" w:rsidRPr="00FF756A" w:rsidRDefault="00835192" w:rsidP="00835192">
            <w:pPr>
              <w:spacing w:before="20" w:after="20" w:line="240" w:lineRule="auto"/>
              <w:rPr>
                <w:i/>
                <w:iCs/>
                <w:sz w:val="20"/>
                <w:szCs w:val="20"/>
              </w:rPr>
            </w:pPr>
            <w:r w:rsidRPr="00FF756A">
              <w:rPr>
                <w:i/>
                <w:iCs/>
                <w:sz w:val="20"/>
                <w:szCs w:val="20"/>
              </w:rPr>
              <w:t>Dekarbonizimi</w:t>
            </w:r>
          </w:p>
        </w:tc>
      </w:tr>
    </w:tbl>
    <w:p w14:paraId="7D18FCC9"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8"/>
        <w:gridCol w:w="1274"/>
        <w:gridCol w:w="598"/>
        <w:gridCol w:w="428"/>
        <w:gridCol w:w="3691"/>
        <w:gridCol w:w="883"/>
      </w:tblGrid>
      <w:tr w:rsidR="00835192" w:rsidRPr="00FF756A" w14:paraId="1F89BE50" w14:textId="77777777" w:rsidTr="004A3257">
        <w:trPr>
          <w:trHeight w:val="20"/>
        </w:trPr>
        <w:tc>
          <w:tcPr>
            <w:tcW w:w="4511" w:type="dxa"/>
            <w:gridSpan w:val="4"/>
            <w:shd w:val="clear" w:color="auto" w:fill="FFF2CC" w:themeFill="accent4" w:themeFillTint="33"/>
          </w:tcPr>
          <w:p w14:paraId="42A6A7ED" w14:textId="77777777" w:rsidR="00835192" w:rsidRPr="00FF756A" w:rsidRDefault="00835192" w:rsidP="00835192">
            <w:pPr>
              <w:spacing w:before="20" w:after="20" w:line="240" w:lineRule="auto"/>
              <w:jc w:val="right"/>
              <w:rPr>
                <w:b/>
                <w:bCs/>
                <w:sz w:val="20"/>
                <w:szCs w:val="20"/>
              </w:rPr>
            </w:pPr>
            <w:r w:rsidRPr="00FF756A">
              <w:br w:type="page"/>
            </w:r>
            <w:r w:rsidRPr="00FF756A">
              <w:rPr>
                <w:b/>
                <w:bCs/>
                <w:sz w:val="20"/>
                <w:szCs w:val="20"/>
              </w:rPr>
              <w:t>Dimensioni i energjisë</w:t>
            </w:r>
          </w:p>
        </w:tc>
        <w:tc>
          <w:tcPr>
            <w:tcW w:w="4561" w:type="dxa"/>
            <w:gridSpan w:val="2"/>
            <w:shd w:val="clear" w:color="auto" w:fill="FFF2CC" w:themeFill="accent4" w:themeFillTint="33"/>
          </w:tcPr>
          <w:p w14:paraId="0E850126" w14:textId="77777777" w:rsidR="00835192" w:rsidRPr="00FF756A" w:rsidRDefault="00835192" w:rsidP="008639B2">
            <w:pPr>
              <w:numPr>
                <w:ilvl w:val="0"/>
                <w:numId w:val="145"/>
              </w:numPr>
              <w:spacing w:before="20" w:after="20" w:line="240" w:lineRule="auto"/>
              <w:contextualSpacing/>
              <w:rPr>
                <w:rFonts w:eastAsia="Times New Roman"/>
                <w:i/>
                <w:iCs/>
                <w:sz w:val="20"/>
                <w:szCs w:val="20"/>
              </w:rPr>
            </w:pPr>
            <w:r w:rsidRPr="00FF756A">
              <w:rPr>
                <w:i/>
                <w:iCs/>
                <w:sz w:val="20"/>
                <w:szCs w:val="20"/>
              </w:rPr>
              <w:t>Efiçenca e energjisë</w:t>
            </w:r>
          </w:p>
        </w:tc>
      </w:tr>
      <w:tr w:rsidR="00835192" w:rsidRPr="00FF756A" w14:paraId="6631AC43" w14:textId="77777777" w:rsidTr="004A3257">
        <w:trPr>
          <w:trHeight w:val="20"/>
        </w:trPr>
        <w:tc>
          <w:tcPr>
            <w:tcW w:w="4081" w:type="dxa"/>
            <w:gridSpan w:val="3"/>
            <w:shd w:val="clear" w:color="auto" w:fill="FFF2CC" w:themeFill="accent4" w:themeFillTint="33"/>
          </w:tcPr>
          <w:p w14:paraId="0256BCB0"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91" w:type="dxa"/>
            <w:gridSpan w:val="3"/>
            <w:shd w:val="clear" w:color="auto" w:fill="FFF2CC" w:themeFill="accent4" w:themeFillTint="33"/>
          </w:tcPr>
          <w:p w14:paraId="54915333" w14:textId="77777777" w:rsidR="00835192" w:rsidRPr="00FF756A" w:rsidRDefault="00835192" w:rsidP="00835192">
            <w:pPr>
              <w:spacing w:before="20" w:after="20" w:line="240" w:lineRule="auto"/>
              <w:rPr>
                <w:i/>
                <w:iCs/>
                <w:sz w:val="20"/>
                <w:szCs w:val="20"/>
              </w:rPr>
            </w:pPr>
            <w:r w:rsidRPr="00FF756A">
              <w:rPr>
                <w:i/>
                <w:iCs/>
                <w:sz w:val="20"/>
                <w:szCs w:val="20"/>
              </w:rPr>
              <w:t>Sektori i ndërtesave publike</w:t>
            </w:r>
          </w:p>
        </w:tc>
      </w:tr>
      <w:tr w:rsidR="00835192" w:rsidRPr="00FF756A" w14:paraId="2A4966B4" w14:textId="77777777" w:rsidTr="004A3257">
        <w:trPr>
          <w:trHeight w:val="20"/>
        </w:trPr>
        <w:tc>
          <w:tcPr>
            <w:tcW w:w="3480" w:type="dxa"/>
            <w:gridSpan w:val="2"/>
          </w:tcPr>
          <w:p w14:paraId="1AAA63EE"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15C84FEB"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2" w:type="dxa"/>
            <w:gridSpan w:val="4"/>
          </w:tcPr>
          <w:p w14:paraId="40AEB586" w14:textId="77777777" w:rsidR="00835192" w:rsidRPr="00FF756A" w:rsidRDefault="00835192" w:rsidP="00835192">
            <w:pPr>
              <w:spacing w:before="20" w:after="20" w:line="240" w:lineRule="auto"/>
              <w:rPr>
                <w:i/>
                <w:iCs/>
                <w:sz w:val="20"/>
                <w:szCs w:val="20"/>
              </w:rPr>
            </w:pPr>
            <w:r w:rsidRPr="00FF756A">
              <w:rPr>
                <w:i/>
                <w:iCs/>
                <w:sz w:val="20"/>
                <w:szCs w:val="20"/>
              </w:rPr>
              <w:t xml:space="preserve">WAM </w:t>
            </w:r>
          </w:p>
          <w:p w14:paraId="0976B6A4" w14:textId="77777777" w:rsidR="00835192" w:rsidRPr="00FF756A" w:rsidRDefault="00835192" w:rsidP="00835192">
            <w:pPr>
              <w:spacing w:before="20" w:after="20" w:line="240" w:lineRule="auto"/>
              <w:rPr>
                <w:i/>
                <w:iCs/>
                <w:sz w:val="20"/>
                <w:szCs w:val="20"/>
              </w:rPr>
            </w:pPr>
            <w:r w:rsidRPr="00FF756A">
              <w:rPr>
                <w:i/>
                <w:iCs/>
                <w:sz w:val="20"/>
                <w:szCs w:val="20"/>
              </w:rPr>
              <w:t xml:space="preserve">Rregullator dhe teknik </w:t>
            </w:r>
          </w:p>
        </w:tc>
      </w:tr>
      <w:tr w:rsidR="00835192" w:rsidRPr="00FF756A" w14:paraId="5FD28AE8" w14:textId="77777777" w:rsidTr="004A3257">
        <w:trPr>
          <w:trHeight w:val="20"/>
        </w:trPr>
        <w:tc>
          <w:tcPr>
            <w:tcW w:w="2198" w:type="dxa"/>
          </w:tcPr>
          <w:p w14:paraId="5CF5D8E9"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5E8F5476"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4" w:type="dxa"/>
            <w:gridSpan w:val="5"/>
          </w:tcPr>
          <w:p w14:paraId="3BA80956" w14:textId="77777777" w:rsidR="00835192" w:rsidRPr="00FF756A" w:rsidRDefault="00835192" w:rsidP="00835192">
            <w:pPr>
              <w:spacing w:before="20" w:after="20" w:line="240" w:lineRule="auto"/>
              <w:rPr>
                <w:i/>
                <w:iCs/>
                <w:sz w:val="20"/>
                <w:szCs w:val="20"/>
              </w:rPr>
            </w:pPr>
            <w:r w:rsidRPr="00FF756A">
              <w:rPr>
                <w:i/>
                <w:iCs/>
                <w:sz w:val="20"/>
                <w:szCs w:val="20"/>
              </w:rPr>
              <w:t xml:space="preserve">Përgatitja e planeve të integruara zhvillimore bashkiake/rajonale të cilat janë të lidhura me PKEK-në </w:t>
            </w:r>
          </w:p>
          <w:p w14:paraId="387AF33F" w14:textId="77777777" w:rsidR="00835192" w:rsidRPr="00FF756A" w:rsidRDefault="00835192" w:rsidP="00835192">
            <w:pPr>
              <w:spacing w:before="20" w:after="20" w:line="240" w:lineRule="auto"/>
              <w:rPr>
                <w:i/>
                <w:iCs/>
                <w:sz w:val="20"/>
                <w:szCs w:val="20"/>
              </w:rPr>
            </w:pPr>
            <w:r w:rsidRPr="00FF756A">
              <w:rPr>
                <w:i/>
                <w:iCs/>
                <w:sz w:val="20"/>
                <w:szCs w:val="20"/>
              </w:rPr>
              <w:t>(EE-P3)</w:t>
            </w:r>
          </w:p>
        </w:tc>
      </w:tr>
      <w:tr w:rsidR="00835192" w:rsidRPr="00FF756A" w14:paraId="5F50E1C8" w14:textId="77777777" w:rsidTr="004A3257">
        <w:trPr>
          <w:trHeight w:val="20"/>
        </w:trPr>
        <w:tc>
          <w:tcPr>
            <w:tcW w:w="2198" w:type="dxa"/>
          </w:tcPr>
          <w:p w14:paraId="2B27CA03"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4" w:type="dxa"/>
            <w:gridSpan w:val="5"/>
          </w:tcPr>
          <w:p w14:paraId="307DA5DD" w14:textId="77777777" w:rsidR="00835192" w:rsidRPr="00FF756A" w:rsidRDefault="00835192" w:rsidP="00835192">
            <w:pPr>
              <w:spacing w:before="20" w:after="20" w:line="240" w:lineRule="auto"/>
              <w:rPr>
                <w:i/>
                <w:iCs/>
                <w:sz w:val="20"/>
                <w:szCs w:val="20"/>
              </w:rPr>
            </w:pPr>
            <w:r w:rsidRPr="00FF756A">
              <w:rPr>
                <w:i/>
                <w:iCs/>
                <w:sz w:val="20"/>
                <w:szCs w:val="20"/>
              </w:rPr>
              <w:t>2023 – në vazhdim</w:t>
            </w:r>
          </w:p>
        </w:tc>
      </w:tr>
      <w:tr w:rsidR="00835192" w:rsidRPr="00FF756A" w14:paraId="4B0C155B" w14:textId="77777777" w:rsidTr="004A3257">
        <w:trPr>
          <w:trHeight w:val="20"/>
        </w:trPr>
        <w:tc>
          <w:tcPr>
            <w:tcW w:w="2198" w:type="dxa"/>
          </w:tcPr>
          <w:p w14:paraId="3CF28EF9"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4" w:type="dxa"/>
            <w:gridSpan w:val="5"/>
          </w:tcPr>
          <w:p w14:paraId="4063ADB7" w14:textId="77777777" w:rsidR="00835192" w:rsidRPr="00FF756A" w:rsidRDefault="00835192" w:rsidP="00835192">
            <w:pPr>
              <w:spacing w:before="20" w:after="20" w:line="240" w:lineRule="auto"/>
              <w:rPr>
                <w:i/>
                <w:iCs/>
                <w:sz w:val="20"/>
                <w:szCs w:val="20"/>
              </w:rPr>
            </w:pPr>
            <w:r w:rsidRPr="00FF756A">
              <w:rPr>
                <w:i/>
                <w:iCs/>
                <w:sz w:val="20"/>
                <w:szCs w:val="20"/>
              </w:rPr>
              <w:t>Legjislacioni për planifikimin hapësinor/planifikimin e përdorimit të tokës</w:t>
            </w:r>
          </w:p>
        </w:tc>
      </w:tr>
      <w:tr w:rsidR="00835192" w:rsidRPr="00FF756A" w14:paraId="37D23D3C" w14:textId="77777777" w:rsidTr="004A3257">
        <w:trPr>
          <w:trHeight w:val="20"/>
        </w:trPr>
        <w:tc>
          <w:tcPr>
            <w:tcW w:w="2198" w:type="dxa"/>
          </w:tcPr>
          <w:p w14:paraId="299C0FAA"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4" w:type="dxa"/>
            <w:gridSpan w:val="5"/>
          </w:tcPr>
          <w:p w14:paraId="6311AACC" w14:textId="77777777" w:rsidR="00835192" w:rsidRPr="00FF756A" w:rsidRDefault="00835192" w:rsidP="00835192">
            <w:pPr>
              <w:spacing w:before="20" w:after="20" w:line="240" w:lineRule="auto"/>
              <w:rPr>
                <w:i/>
                <w:iCs/>
                <w:sz w:val="20"/>
                <w:szCs w:val="20"/>
              </w:rPr>
            </w:pPr>
            <w:r w:rsidRPr="00FF756A">
              <w:rPr>
                <w:i/>
                <w:iCs/>
                <w:sz w:val="20"/>
                <w:szCs w:val="20"/>
              </w:rPr>
              <w:t>Asnjë masë e marrë deri më tani, veprimtari e re</w:t>
            </w:r>
          </w:p>
        </w:tc>
      </w:tr>
      <w:tr w:rsidR="00835192" w:rsidRPr="00FF756A" w14:paraId="0546E2B7" w14:textId="77777777" w:rsidTr="004A3257">
        <w:trPr>
          <w:trHeight w:val="20"/>
        </w:trPr>
        <w:tc>
          <w:tcPr>
            <w:tcW w:w="2198" w:type="dxa"/>
          </w:tcPr>
          <w:p w14:paraId="1783FA92"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4" w:type="dxa"/>
            <w:gridSpan w:val="5"/>
          </w:tcPr>
          <w:p w14:paraId="3D30695D" w14:textId="77777777" w:rsidR="00835192" w:rsidRPr="00FF756A" w:rsidRDefault="00835192" w:rsidP="00835192">
            <w:pPr>
              <w:spacing w:before="20" w:after="20" w:line="240" w:lineRule="auto"/>
              <w:rPr>
                <w:i/>
                <w:iCs/>
                <w:sz w:val="20"/>
                <w:szCs w:val="20"/>
              </w:rPr>
            </w:pPr>
            <w:r w:rsidRPr="00FF756A">
              <w:rPr>
                <w:i/>
                <w:iCs/>
                <w:sz w:val="20"/>
                <w:szCs w:val="20"/>
              </w:rPr>
              <w:t>Sigurimi i përafrimit të planifikimit të zhvillimit bashkiak/rajonal me objektivat e PKEK-së</w:t>
            </w:r>
          </w:p>
        </w:tc>
      </w:tr>
      <w:tr w:rsidR="00835192" w:rsidRPr="00FF756A" w14:paraId="7C77147B" w14:textId="77777777" w:rsidTr="004A3257">
        <w:trPr>
          <w:trHeight w:val="20"/>
        </w:trPr>
        <w:tc>
          <w:tcPr>
            <w:tcW w:w="2198" w:type="dxa"/>
          </w:tcPr>
          <w:p w14:paraId="0B74365D"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4" w:type="dxa"/>
            <w:gridSpan w:val="5"/>
          </w:tcPr>
          <w:p w14:paraId="045643E3" w14:textId="77777777" w:rsidR="00835192" w:rsidRPr="00FF756A" w:rsidRDefault="00835192" w:rsidP="00835192">
            <w:pPr>
              <w:spacing w:before="20" w:after="20" w:line="240" w:lineRule="auto"/>
              <w:contextualSpacing/>
              <w:jc w:val="left"/>
              <w:rPr>
                <w:rFonts w:eastAsia="Times New Roman"/>
                <w:i/>
                <w:iCs/>
                <w:sz w:val="20"/>
                <w:szCs w:val="20"/>
              </w:rPr>
            </w:pPr>
            <w:r w:rsidRPr="00FF756A">
              <w:rPr>
                <w:i/>
                <w:iCs/>
                <w:sz w:val="20"/>
                <w:szCs w:val="20"/>
              </w:rPr>
              <w:t>Zgjerimi/plotësimi i kuadrit ligjor ekzistues dhe procedurave të zbatimit për planifikimin e zhvillimit bashkiak/rajonal duke marrë në konsideratë aspektet e ndërlidhura të energjisë dhe klimës</w:t>
            </w:r>
          </w:p>
        </w:tc>
      </w:tr>
      <w:tr w:rsidR="00835192" w:rsidRPr="00FF756A" w14:paraId="589464E9" w14:textId="77777777" w:rsidTr="004A3257">
        <w:trPr>
          <w:trHeight w:val="20"/>
        </w:trPr>
        <w:tc>
          <w:tcPr>
            <w:tcW w:w="2198" w:type="dxa"/>
          </w:tcPr>
          <w:p w14:paraId="7F59BBA6"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4" w:type="dxa"/>
            <w:gridSpan w:val="4"/>
          </w:tcPr>
          <w:p w14:paraId="3080D102" w14:textId="77777777" w:rsidR="00835192" w:rsidRPr="00FF756A" w:rsidRDefault="00835192" w:rsidP="00835192">
            <w:pPr>
              <w:spacing w:before="20" w:after="20" w:line="240" w:lineRule="auto"/>
              <w:rPr>
                <w:i/>
                <w:iCs/>
                <w:sz w:val="20"/>
                <w:szCs w:val="20"/>
              </w:rPr>
            </w:pPr>
            <w:r w:rsidRPr="00FF756A">
              <w:rPr>
                <w:i/>
                <w:iCs/>
                <w:sz w:val="20"/>
                <w:szCs w:val="20"/>
                <w:u w:val="single"/>
              </w:rPr>
              <w:t>Rregullatore:</w:t>
            </w:r>
            <w:r w:rsidRPr="00FF756A">
              <w:rPr>
                <w:i/>
                <w:iCs/>
                <w:sz w:val="20"/>
                <w:szCs w:val="20"/>
              </w:rPr>
              <w:t xml:space="preserve"> Përshtatja e kushteve të kuadrit ligjor </w:t>
            </w:r>
          </w:p>
          <w:p w14:paraId="58DEFD63" w14:textId="77777777" w:rsidR="00835192" w:rsidRPr="00FF756A" w:rsidRDefault="00835192" w:rsidP="008639B2">
            <w:pPr>
              <w:numPr>
                <w:ilvl w:val="0"/>
                <w:numId w:val="151"/>
              </w:numPr>
              <w:spacing w:before="20" w:after="20" w:line="240" w:lineRule="auto"/>
              <w:contextualSpacing/>
              <w:rPr>
                <w:rFonts w:eastAsia="Times New Roman"/>
                <w:i/>
                <w:iCs/>
                <w:sz w:val="20"/>
                <w:szCs w:val="20"/>
              </w:rPr>
            </w:pPr>
            <w:r w:rsidRPr="00FF756A">
              <w:rPr>
                <w:i/>
                <w:iCs/>
                <w:sz w:val="20"/>
                <w:szCs w:val="20"/>
              </w:rPr>
              <w:t xml:space="preserve">Përgatitja/zhvillimi i planeve 10-vjeçare që mbulojnë të gjithë sektorët nga bashkitë në bashkëpunim me shoqatat vendore. Planet tregojnë se si bashkitë dëshirojnë të zhvillohen në të gjitha aspektet dhe specifikojnë masat e nevojshme. </w:t>
            </w:r>
          </w:p>
          <w:p w14:paraId="7DAB99A0" w14:textId="77777777" w:rsidR="00835192" w:rsidRPr="00FF756A" w:rsidRDefault="00835192" w:rsidP="008639B2">
            <w:pPr>
              <w:numPr>
                <w:ilvl w:val="0"/>
                <w:numId w:val="151"/>
              </w:numPr>
              <w:spacing w:before="20" w:after="20" w:line="240" w:lineRule="auto"/>
              <w:contextualSpacing/>
              <w:rPr>
                <w:rFonts w:eastAsia="Times New Roman"/>
                <w:i/>
                <w:iCs/>
                <w:sz w:val="20"/>
                <w:szCs w:val="20"/>
              </w:rPr>
            </w:pPr>
            <w:r w:rsidRPr="00FF756A">
              <w:rPr>
                <w:i/>
                <w:iCs/>
                <w:sz w:val="20"/>
                <w:szCs w:val="20"/>
              </w:rPr>
              <w:t>Specifikimi i treguesve nga bashkitë si pjesë e PKEK-së</w:t>
            </w:r>
          </w:p>
          <w:p w14:paraId="3B318716" w14:textId="77777777" w:rsidR="00835192" w:rsidRPr="00FF756A" w:rsidRDefault="00835192" w:rsidP="008639B2">
            <w:pPr>
              <w:numPr>
                <w:ilvl w:val="0"/>
                <w:numId w:val="151"/>
              </w:numPr>
              <w:spacing w:before="20" w:after="20" w:line="240" w:lineRule="auto"/>
              <w:contextualSpacing/>
              <w:rPr>
                <w:rFonts w:eastAsia="Times New Roman"/>
                <w:i/>
                <w:iCs/>
                <w:sz w:val="20"/>
                <w:szCs w:val="20"/>
              </w:rPr>
            </w:pPr>
            <w:r w:rsidRPr="00FF756A">
              <w:rPr>
                <w:i/>
                <w:iCs/>
                <w:sz w:val="20"/>
                <w:szCs w:val="20"/>
              </w:rPr>
              <w:t>Përcaktimi i aspekteve procedurale (si konsultimi publik dhe pikat nxitëse për rishikimin e planeve, sistemi elektronik për dokumentimin dhe raportimin etj.)</w:t>
            </w:r>
          </w:p>
          <w:p w14:paraId="7618297C" w14:textId="77777777" w:rsidR="00835192" w:rsidRPr="00FF756A" w:rsidRDefault="00835192" w:rsidP="00835192">
            <w:pPr>
              <w:spacing w:before="20" w:after="20" w:line="240" w:lineRule="auto"/>
              <w:rPr>
                <w:i/>
                <w:iCs/>
                <w:sz w:val="20"/>
                <w:szCs w:val="20"/>
              </w:rPr>
            </w:pPr>
            <w:r w:rsidRPr="00FF756A">
              <w:rPr>
                <w:i/>
                <w:iCs/>
                <w:sz w:val="20"/>
                <w:szCs w:val="20"/>
                <w:u w:val="single"/>
              </w:rPr>
              <w:t>Teknike:</w:t>
            </w:r>
            <w:r w:rsidRPr="00FF756A">
              <w:rPr>
                <w:i/>
                <w:iCs/>
                <w:sz w:val="20"/>
                <w:szCs w:val="20"/>
              </w:rPr>
              <w:t xml:space="preserve"> Zbatimi pilot </w:t>
            </w:r>
          </w:p>
          <w:p w14:paraId="17FC79BA" w14:textId="77777777" w:rsidR="00835192" w:rsidRPr="00FF756A" w:rsidRDefault="00835192" w:rsidP="008639B2">
            <w:pPr>
              <w:numPr>
                <w:ilvl w:val="0"/>
                <w:numId w:val="152"/>
              </w:numPr>
              <w:spacing w:before="20" w:after="20" w:line="240" w:lineRule="auto"/>
              <w:contextualSpacing/>
              <w:rPr>
                <w:rFonts w:eastAsia="Times New Roman"/>
                <w:i/>
                <w:iCs/>
                <w:sz w:val="20"/>
                <w:szCs w:val="20"/>
              </w:rPr>
            </w:pPr>
            <w:r w:rsidRPr="00FF756A">
              <w:rPr>
                <w:i/>
                <w:iCs/>
                <w:sz w:val="20"/>
                <w:szCs w:val="20"/>
              </w:rPr>
              <w:lastRenderedPageBreak/>
              <w:t xml:space="preserve">Rishikimi i planeve ekzistuese zhvillimore bashkiake ose rajonale, përgatitja e PKEK-ve vendore/rajonale, duke filluar me një projekt pilot për 3-4 bashki; </w:t>
            </w:r>
          </w:p>
          <w:p w14:paraId="4BD69BD4" w14:textId="77777777" w:rsidR="00835192" w:rsidRPr="00FF756A" w:rsidRDefault="00835192" w:rsidP="008639B2">
            <w:pPr>
              <w:numPr>
                <w:ilvl w:val="0"/>
                <w:numId w:val="152"/>
              </w:numPr>
              <w:spacing w:before="20" w:after="20" w:line="240" w:lineRule="auto"/>
              <w:contextualSpacing/>
              <w:rPr>
                <w:rFonts w:eastAsia="Times New Roman"/>
                <w:i/>
                <w:iCs/>
                <w:sz w:val="20"/>
                <w:szCs w:val="20"/>
              </w:rPr>
            </w:pPr>
            <w:r w:rsidRPr="00FF756A">
              <w:rPr>
                <w:i/>
                <w:iCs/>
                <w:sz w:val="20"/>
                <w:szCs w:val="20"/>
              </w:rPr>
              <w:t>Shtrirja e përgatitjeve të PKEK rajonal në të gjitha bashkitë</w:t>
            </w:r>
          </w:p>
          <w:p w14:paraId="0324E3E5" w14:textId="77777777" w:rsidR="00835192" w:rsidRPr="00FF756A" w:rsidRDefault="00835192" w:rsidP="008639B2">
            <w:pPr>
              <w:numPr>
                <w:ilvl w:val="0"/>
                <w:numId w:val="152"/>
              </w:numPr>
              <w:spacing w:before="20" w:after="20" w:line="240" w:lineRule="auto"/>
              <w:contextualSpacing/>
              <w:rPr>
                <w:rFonts w:eastAsia="Times New Roman"/>
                <w:i/>
                <w:iCs/>
                <w:sz w:val="20"/>
                <w:szCs w:val="20"/>
              </w:rPr>
            </w:pPr>
            <w:r w:rsidRPr="00FF756A">
              <w:rPr>
                <w:i/>
                <w:iCs/>
                <w:sz w:val="20"/>
                <w:szCs w:val="20"/>
              </w:rPr>
              <w:t>Ngritja e kapaciteteve për stafin e bashkisë nëpërmjet formimit të partneriteteve me ekspertë dhe shoqata vendore për zbatimin e PKEK-ve vendore.</w:t>
            </w:r>
          </w:p>
        </w:tc>
        <w:tc>
          <w:tcPr>
            <w:tcW w:w="850" w:type="dxa"/>
          </w:tcPr>
          <w:p w14:paraId="39476D6E" w14:textId="77777777" w:rsidR="00835192" w:rsidRPr="00FF756A" w:rsidRDefault="00835192" w:rsidP="00835192">
            <w:pPr>
              <w:spacing w:before="20" w:after="20" w:line="240" w:lineRule="auto"/>
              <w:contextualSpacing/>
              <w:rPr>
                <w:i/>
                <w:iCs/>
                <w:sz w:val="20"/>
                <w:szCs w:val="20"/>
              </w:rPr>
            </w:pPr>
            <w:r w:rsidRPr="00FF756A">
              <w:rPr>
                <w:i/>
                <w:iCs/>
                <w:sz w:val="20"/>
                <w:szCs w:val="20"/>
              </w:rPr>
              <w:lastRenderedPageBreak/>
              <w:t>Nga viti 2025 e në vazhdim</w:t>
            </w:r>
          </w:p>
          <w:p w14:paraId="043DF95F" w14:textId="77777777" w:rsidR="00835192" w:rsidRPr="00FF756A" w:rsidRDefault="00835192" w:rsidP="00835192">
            <w:pPr>
              <w:spacing w:before="20" w:after="20" w:line="240" w:lineRule="auto"/>
              <w:contextualSpacing/>
              <w:rPr>
                <w:rFonts w:eastAsia="Times New Roman"/>
                <w:i/>
                <w:iCs/>
                <w:sz w:val="20"/>
                <w:szCs w:val="20"/>
                <w:highlight w:val="yellow"/>
              </w:rPr>
            </w:pPr>
            <w:r w:rsidRPr="00FF756A">
              <w:rPr>
                <w:i/>
                <w:iCs/>
                <w:sz w:val="20"/>
                <w:szCs w:val="20"/>
                <w:highlight w:val="yellow"/>
              </w:rPr>
              <w:br/>
            </w:r>
            <w:r w:rsidRPr="00FF756A">
              <w:rPr>
                <w:i/>
                <w:iCs/>
                <w:sz w:val="20"/>
                <w:szCs w:val="20"/>
                <w:highlight w:val="yellow"/>
              </w:rPr>
              <w:br/>
            </w:r>
            <w:r w:rsidRPr="00FF756A">
              <w:rPr>
                <w:i/>
                <w:iCs/>
                <w:sz w:val="20"/>
                <w:szCs w:val="20"/>
                <w:highlight w:val="yellow"/>
              </w:rPr>
              <w:br/>
            </w:r>
            <w:r w:rsidRPr="00FF756A">
              <w:rPr>
                <w:i/>
                <w:iCs/>
                <w:sz w:val="20"/>
                <w:szCs w:val="20"/>
                <w:highlight w:val="yellow"/>
              </w:rPr>
              <w:br/>
            </w:r>
            <w:r w:rsidRPr="00FF756A">
              <w:rPr>
                <w:i/>
                <w:iCs/>
                <w:sz w:val="20"/>
                <w:szCs w:val="20"/>
                <w:highlight w:val="yellow"/>
              </w:rPr>
              <w:br/>
            </w:r>
            <w:r w:rsidRPr="00FF756A">
              <w:rPr>
                <w:i/>
                <w:iCs/>
                <w:sz w:val="20"/>
                <w:szCs w:val="20"/>
                <w:highlight w:val="yellow"/>
              </w:rPr>
              <w:br/>
            </w:r>
            <w:r w:rsidRPr="00FF756A">
              <w:rPr>
                <w:i/>
                <w:iCs/>
                <w:sz w:val="20"/>
                <w:szCs w:val="20"/>
                <w:highlight w:val="yellow"/>
              </w:rPr>
              <w:br/>
            </w:r>
            <w:r w:rsidRPr="00FF756A">
              <w:rPr>
                <w:i/>
                <w:iCs/>
                <w:sz w:val="20"/>
                <w:szCs w:val="20"/>
                <w:highlight w:val="yellow"/>
              </w:rPr>
              <w:br/>
            </w:r>
            <w:r w:rsidRPr="00FF756A">
              <w:rPr>
                <w:i/>
                <w:iCs/>
                <w:sz w:val="20"/>
                <w:szCs w:val="20"/>
                <w:highlight w:val="yellow"/>
              </w:rPr>
              <w:br/>
            </w:r>
            <w:r w:rsidRPr="00FF756A">
              <w:rPr>
                <w:i/>
                <w:iCs/>
                <w:sz w:val="20"/>
                <w:szCs w:val="20"/>
              </w:rPr>
              <w:lastRenderedPageBreak/>
              <w:t xml:space="preserve">Nga viti 2025 e në vazhdim </w:t>
            </w:r>
          </w:p>
        </w:tc>
      </w:tr>
      <w:tr w:rsidR="00835192" w:rsidRPr="00FF756A" w14:paraId="15338C57" w14:textId="77777777" w:rsidTr="004A3257">
        <w:trPr>
          <w:trHeight w:val="20"/>
        </w:trPr>
        <w:tc>
          <w:tcPr>
            <w:tcW w:w="2198" w:type="dxa"/>
          </w:tcPr>
          <w:p w14:paraId="4FF02FB6"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Buxheti (burimi i financimit)</w:t>
            </w:r>
          </w:p>
        </w:tc>
        <w:tc>
          <w:tcPr>
            <w:tcW w:w="6874" w:type="dxa"/>
            <w:gridSpan w:val="5"/>
          </w:tcPr>
          <w:p w14:paraId="4C6336A1" w14:textId="77777777" w:rsidR="00835192" w:rsidRPr="00FF756A" w:rsidRDefault="00835192" w:rsidP="00835192">
            <w:pPr>
              <w:spacing w:before="20" w:after="20" w:line="240" w:lineRule="auto"/>
              <w:rPr>
                <w:i/>
                <w:iCs/>
                <w:sz w:val="20"/>
                <w:szCs w:val="20"/>
              </w:rPr>
            </w:pPr>
            <w:r w:rsidRPr="00FF756A">
              <w:rPr>
                <w:i/>
                <w:iCs/>
                <w:sz w:val="20"/>
                <w:szCs w:val="20"/>
              </w:rPr>
              <w:t>Do të financohet nga një Program i Asistencës Teknike, me një buxhet të parashikuar prej 0,3 milionë eurosh</w:t>
            </w:r>
          </w:p>
        </w:tc>
      </w:tr>
      <w:tr w:rsidR="00835192" w:rsidRPr="00FF756A" w14:paraId="6D752393" w14:textId="77777777" w:rsidTr="004A3257">
        <w:trPr>
          <w:trHeight w:val="20"/>
        </w:trPr>
        <w:tc>
          <w:tcPr>
            <w:tcW w:w="2198" w:type="dxa"/>
          </w:tcPr>
          <w:p w14:paraId="759BB4E0"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7176FC51"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4" w:type="dxa"/>
            <w:gridSpan w:val="5"/>
          </w:tcPr>
          <w:p w14:paraId="7CBAB4DF" w14:textId="77777777" w:rsidR="00835192" w:rsidRPr="00FF756A" w:rsidRDefault="00835192" w:rsidP="00835192">
            <w:pPr>
              <w:spacing w:before="20" w:after="20" w:line="240" w:lineRule="auto"/>
              <w:rPr>
                <w:i/>
                <w:iCs/>
                <w:sz w:val="20"/>
                <w:szCs w:val="20"/>
              </w:rPr>
            </w:pPr>
            <w:r w:rsidRPr="00FF756A">
              <w:rPr>
                <w:i/>
                <w:iCs/>
                <w:sz w:val="20"/>
                <w:szCs w:val="20"/>
              </w:rPr>
              <w:t xml:space="preserve">Bashkitë; shoqatat rajonale, Ministria e Infrastrukturës dhe Energjisë </w:t>
            </w:r>
          </w:p>
          <w:p w14:paraId="21B9BC2F"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w:t>
            </w:r>
          </w:p>
        </w:tc>
      </w:tr>
      <w:tr w:rsidR="00835192" w:rsidRPr="00FF756A" w14:paraId="6127539A" w14:textId="77777777" w:rsidTr="004A3257">
        <w:trPr>
          <w:trHeight w:val="20"/>
        </w:trPr>
        <w:tc>
          <w:tcPr>
            <w:tcW w:w="2198" w:type="dxa"/>
          </w:tcPr>
          <w:p w14:paraId="41E2A9B3"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4" w:type="dxa"/>
            <w:gridSpan w:val="5"/>
          </w:tcPr>
          <w:p w14:paraId="2F951610" w14:textId="77777777" w:rsidR="00835192" w:rsidRPr="00FF756A" w:rsidRDefault="00835192" w:rsidP="00835192">
            <w:pPr>
              <w:spacing w:before="20" w:after="20" w:line="240" w:lineRule="auto"/>
              <w:rPr>
                <w:i/>
                <w:iCs/>
                <w:sz w:val="20"/>
                <w:szCs w:val="20"/>
              </w:rPr>
            </w:pPr>
            <w:r w:rsidRPr="00FF756A">
              <w:rPr>
                <w:i/>
                <w:iCs/>
                <w:sz w:val="20"/>
                <w:szCs w:val="20"/>
              </w:rPr>
              <w:t xml:space="preserve">Marrëdhënia me PM-të e mëposhtme: </w:t>
            </w:r>
          </w:p>
          <w:p w14:paraId="057C3C15" w14:textId="77777777" w:rsidR="00835192" w:rsidRPr="00FF756A" w:rsidRDefault="00835192" w:rsidP="00835192">
            <w:pPr>
              <w:spacing w:before="20" w:after="20" w:line="240" w:lineRule="auto"/>
              <w:rPr>
                <w:i/>
                <w:iCs/>
                <w:sz w:val="20"/>
                <w:szCs w:val="20"/>
              </w:rPr>
            </w:pPr>
            <w:r w:rsidRPr="00FF756A">
              <w:rPr>
                <w:i/>
                <w:iCs/>
                <w:sz w:val="20"/>
                <w:szCs w:val="20"/>
              </w:rPr>
              <w:t>EE-P2 Planet bashkiake të veprimit për efiçencën e energjisë, zbatimi dhe raportimi</w:t>
            </w:r>
          </w:p>
          <w:p w14:paraId="0A19A40F" w14:textId="77777777" w:rsidR="00835192" w:rsidRPr="00FF756A" w:rsidRDefault="00835192" w:rsidP="00835192">
            <w:pPr>
              <w:spacing w:before="20" w:after="20" w:line="240" w:lineRule="auto"/>
              <w:rPr>
                <w:i/>
                <w:iCs/>
                <w:sz w:val="20"/>
                <w:szCs w:val="20"/>
              </w:rPr>
            </w:pPr>
            <w:r w:rsidRPr="00FF756A">
              <w:rPr>
                <w:i/>
                <w:iCs/>
                <w:sz w:val="20"/>
                <w:szCs w:val="20"/>
              </w:rPr>
              <w:t>G-W1 Reduktimi i shkarkimeve nga mbetjet (planet bashkiake për menaxhimin e integruar të mbetjeve)</w:t>
            </w:r>
          </w:p>
          <w:p w14:paraId="14B7904B" w14:textId="77777777" w:rsidR="00835192" w:rsidRPr="00FF756A" w:rsidRDefault="00835192" w:rsidP="00835192">
            <w:pPr>
              <w:spacing w:before="20" w:after="20" w:line="240" w:lineRule="auto"/>
              <w:rPr>
                <w:i/>
                <w:iCs/>
                <w:sz w:val="20"/>
                <w:szCs w:val="20"/>
              </w:rPr>
            </w:pPr>
            <w:r w:rsidRPr="00FF756A">
              <w:rPr>
                <w:i/>
                <w:iCs/>
                <w:sz w:val="20"/>
                <w:szCs w:val="20"/>
              </w:rPr>
              <w:t>R-E3: Planifikimi hapësinor për energjinë për rritjen e përqindjes së energjisë së rinovueshme dhe përmirësimin e efiçencës së energjisë</w:t>
            </w:r>
          </w:p>
        </w:tc>
      </w:tr>
    </w:tbl>
    <w:p w14:paraId="3CBF2A4A" w14:textId="77777777" w:rsidR="00835192" w:rsidRPr="00FF756A" w:rsidRDefault="00835192" w:rsidP="00835192"/>
    <w:p w14:paraId="0CC62F94" w14:textId="0E601886" w:rsidR="00835192" w:rsidRPr="00FF756A" w:rsidRDefault="000B087E" w:rsidP="004A3257">
      <w:pPr>
        <w:pStyle w:val="Heading3"/>
      </w:pPr>
      <w:bookmarkStart w:id="408" w:name="_Toc75616130"/>
      <w:bookmarkStart w:id="409" w:name="_Toc182897786"/>
      <w:bookmarkStart w:id="410" w:name="_Toc183639241"/>
      <w:r w:rsidRPr="00FF756A">
        <w:t xml:space="preserve">3.2.6 </w:t>
      </w:r>
      <w:r w:rsidR="00835192" w:rsidRPr="00FF756A">
        <w:t>Promovimi i auditimeve të energjisë dhe sistemeve të menaxhimit të energjisë</w:t>
      </w:r>
      <w:bookmarkEnd w:id="408"/>
      <w:bookmarkEnd w:id="409"/>
      <w:bookmarkEnd w:id="410"/>
    </w:p>
    <w:p w14:paraId="647CE2EB" w14:textId="77777777" w:rsidR="000B087E" w:rsidRPr="00FF756A" w:rsidRDefault="000B087E" w:rsidP="00835192">
      <w:pPr>
        <w:spacing w:before="0" w:after="0" w:line="240" w:lineRule="auto"/>
        <w:jc w:val="left"/>
      </w:pP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1255"/>
        <w:gridCol w:w="589"/>
        <w:gridCol w:w="422"/>
        <w:gridCol w:w="3616"/>
        <w:gridCol w:w="1005"/>
      </w:tblGrid>
      <w:tr w:rsidR="00835192" w:rsidRPr="00FF756A" w14:paraId="5DA298B2" w14:textId="77777777" w:rsidTr="004A3257">
        <w:trPr>
          <w:trHeight w:val="20"/>
        </w:trPr>
        <w:tc>
          <w:tcPr>
            <w:tcW w:w="4526" w:type="dxa"/>
            <w:gridSpan w:val="4"/>
            <w:shd w:val="clear" w:color="auto" w:fill="FFF2CC" w:themeFill="accent4" w:themeFillTint="33"/>
          </w:tcPr>
          <w:p w14:paraId="2A1BFA50"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6" w:type="dxa"/>
            <w:gridSpan w:val="2"/>
            <w:shd w:val="clear" w:color="auto" w:fill="FFF2CC" w:themeFill="accent4" w:themeFillTint="33"/>
          </w:tcPr>
          <w:p w14:paraId="0E5E95B9" w14:textId="77777777" w:rsidR="00835192" w:rsidRPr="00FF756A" w:rsidRDefault="00835192" w:rsidP="008639B2">
            <w:pPr>
              <w:numPr>
                <w:ilvl w:val="0"/>
                <w:numId w:val="104"/>
              </w:numPr>
              <w:spacing w:before="20" w:after="20" w:line="240" w:lineRule="auto"/>
              <w:contextualSpacing/>
              <w:rPr>
                <w:i/>
                <w:iCs/>
                <w:sz w:val="20"/>
                <w:szCs w:val="20"/>
              </w:rPr>
            </w:pPr>
            <w:r w:rsidRPr="00FF756A">
              <w:rPr>
                <w:i/>
                <w:iCs/>
                <w:sz w:val="20"/>
                <w:szCs w:val="20"/>
              </w:rPr>
              <w:t>Efiçenca e energjisë</w:t>
            </w:r>
          </w:p>
        </w:tc>
      </w:tr>
      <w:tr w:rsidR="00835192" w:rsidRPr="00FF756A" w14:paraId="0919C5D4" w14:textId="77777777" w:rsidTr="004A3257">
        <w:trPr>
          <w:trHeight w:val="20"/>
        </w:trPr>
        <w:tc>
          <w:tcPr>
            <w:tcW w:w="4095" w:type="dxa"/>
            <w:gridSpan w:val="3"/>
            <w:shd w:val="clear" w:color="auto" w:fill="FFF2CC" w:themeFill="accent4" w:themeFillTint="33"/>
          </w:tcPr>
          <w:p w14:paraId="41C8D13C"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7" w:type="dxa"/>
            <w:gridSpan w:val="3"/>
            <w:shd w:val="clear" w:color="auto" w:fill="FFF2CC" w:themeFill="accent4" w:themeFillTint="33"/>
          </w:tcPr>
          <w:p w14:paraId="500FCC34" w14:textId="77777777" w:rsidR="00835192" w:rsidRPr="00FF756A" w:rsidRDefault="00835192" w:rsidP="00835192">
            <w:pPr>
              <w:spacing w:before="20" w:after="20" w:line="240" w:lineRule="auto"/>
              <w:rPr>
                <w:i/>
                <w:iCs/>
                <w:sz w:val="20"/>
                <w:szCs w:val="20"/>
              </w:rPr>
            </w:pPr>
            <w:r w:rsidRPr="00FF756A">
              <w:rPr>
                <w:i/>
                <w:iCs/>
                <w:sz w:val="20"/>
                <w:szCs w:val="20"/>
              </w:rPr>
              <w:t>Sektori i industrisë</w:t>
            </w:r>
          </w:p>
        </w:tc>
      </w:tr>
      <w:tr w:rsidR="00835192" w:rsidRPr="00FF756A" w14:paraId="69007BC3" w14:textId="77777777" w:rsidTr="004A3257">
        <w:trPr>
          <w:trHeight w:val="20"/>
        </w:trPr>
        <w:tc>
          <w:tcPr>
            <w:tcW w:w="3492" w:type="dxa"/>
            <w:gridSpan w:val="2"/>
          </w:tcPr>
          <w:p w14:paraId="3CC70ED0"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3B900F44"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0" w:type="dxa"/>
            <w:gridSpan w:val="4"/>
          </w:tcPr>
          <w:p w14:paraId="20A6650B" w14:textId="77777777" w:rsidR="00835192" w:rsidRPr="00FF756A" w:rsidRDefault="00835192" w:rsidP="00835192">
            <w:pPr>
              <w:spacing w:before="20" w:after="20" w:line="240" w:lineRule="auto"/>
              <w:rPr>
                <w:i/>
                <w:iCs/>
                <w:sz w:val="20"/>
                <w:szCs w:val="20"/>
              </w:rPr>
            </w:pPr>
            <w:r w:rsidRPr="00FF756A">
              <w:rPr>
                <w:i/>
                <w:iCs/>
                <w:sz w:val="20"/>
                <w:szCs w:val="20"/>
              </w:rPr>
              <w:t>WEM</w:t>
            </w:r>
          </w:p>
          <w:p w14:paraId="2A7F1976" w14:textId="77777777" w:rsidR="00835192" w:rsidRPr="00FF756A" w:rsidRDefault="00835192" w:rsidP="00835192">
            <w:pPr>
              <w:spacing w:before="20" w:after="20" w:line="240" w:lineRule="auto"/>
              <w:rPr>
                <w:i/>
                <w:iCs/>
                <w:sz w:val="20"/>
                <w:szCs w:val="20"/>
              </w:rPr>
            </w:pPr>
            <w:r w:rsidRPr="00FF756A">
              <w:rPr>
                <w:i/>
                <w:iCs/>
                <w:sz w:val="20"/>
                <w:szCs w:val="20"/>
              </w:rPr>
              <w:t>Rregullator; Organizativ</w:t>
            </w:r>
          </w:p>
        </w:tc>
      </w:tr>
      <w:tr w:rsidR="00835192" w:rsidRPr="00FF756A" w14:paraId="0FD07CF5" w14:textId="77777777" w:rsidTr="004A3257">
        <w:trPr>
          <w:trHeight w:val="20"/>
        </w:trPr>
        <w:tc>
          <w:tcPr>
            <w:tcW w:w="2205" w:type="dxa"/>
          </w:tcPr>
          <w:p w14:paraId="5298D502"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4C30A084"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7" w:type="dxa"/>
            <w:gridSpan w:val="5"/>
          </w:tcPr>
          <w:p w14:paraId="008ACC49" w14:textId="1EEB3B0B" w:rsidR="00835192" w:rsidRPr="00FF756A" w:rsidRDefault="00835192" w:rsidP="00835192">
            <w:pPr>
              <w:spacing w:before="20" w:after="20" w:line="240" w:lineRule="auto"/>
              <w:rPr>
                <w:i/>
                <w:iCs/>
                <w:sz w:val="20"/>
                <w:szCs w:val="20"/>
              </w:rPr>
            </w:pPr>
            <w:r w:rsidRPr="00FF756A">
              <w:rPr>
                <w:i/>
                <w:iCs/>
                <w:sz w:val="20"/>
                <w:szCs w:val="20"/>
              </w:rPr>
              <w:t xml:space="preserve">Auditimet e energjisë për konsumatorët e mëdhenj, me fokus </w:t>
            </w:r>
            <w:r w:rsidR="000B087E" w:rsidRPr="00FF756A">
              <w:rPr>
                <w:i/>
                <w:iCs/>
                <w:sz w:val="20"/>
                <w:szCs w:val="20"/>
              </w:rPr>
              <w:t>te</w:t>
            </w:r>
            <w:r w:rsidRPr="00FF756A">
              <w:rPr>
                <w:i/>
                <w:iCs/>
                <w:sz w:val="20"/>
                <w:szCs w:val="20"/>
              </w:rPr>
              <w:t xml:space="preserve"> aktivitetet industriale</w:t>
            </w:r>
          </w:p>
          <w:p w14:paraId="67CBC84F" w14:textId="77777777" w:rsidR="00835192" w:rsidRPr="00FF756A" w:rsidRDefault="00835192" w:rsidP="00835192">
            <w:pPr>
              <w:spacing w:before="20" w:after="20" w:line="240" w:lineRule="auto"/>
              <w:rPr>
                <w:i/>
                <w:iCs/>
                <w:sz w:val="20"/>
                <w:szCs w:val="20"/>
              </w:rPr>
            </w:pPr>
            <w:r w:rsidRPr="00FF756A">
              <w:rPr>
                <w:i/>
                <w:iCs/>
                <w:sz w:val="20"/>
                <w:szCs w:val="20"/>
              </w:rPr>
              <w:t>(EE-E1)</w:t>
            </w:r>
          </w:p>
        </w:tc>
      </w:tr>
      <w:tr w:rsidR="00835192" w:rsidRPr="00FF756A" w14:paraId="071E521D" w14:textId="77777777" w:rsidTr="004A3257">
        <w:trPr>
          <w:trHeight w:val="20"/>
        </w:trPr>
        <w:tc>
          <w:tcPr>
            <w:tcW w:w="2205" w:type="dxa"/>
          </w:tcPr>
          <w:p w14:paraId="4C56846A"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7" w:type="dxa"/>
            <w:gridSpan w:val="5"/>
          </w:tcPr>
          <w:p w14:paraId="2E22C64D" w14:textId="77777777" w:rsidR="00835192" w:rsidRPr="00FF756A" w:rsidRDefault="00835192" w:rsidP="00835192">
            <w:pPr>
              <w:spacing w:before="20" w:after="20" w:line="240" w:lineRule="auto"/>
              <w:rPr>
                <w:i/>
                <w:iCs/>
                <w:sz w:val="20"/>
                <w:szCs w:val="20"/>
              </w:rPr>
            </w:pPr>
            <w:r w:rsidRPr="00FF756A">
              <w:rPr>
                <w:i/>
                <w:iCs/>
                <w:sz w:val="20"/>
                <w:szCs w:val="20"/>
              </w:rPr>
              <w:t>Nga viti 2023 e në vazhdim</w:t>
            </w:r>
          </w:p>
        </w:tc>
      </w:tr>
      <w:tr w:rsidR="00835192" w:rsidRPr="00FF756A" w14:paraId="5F8326FC" w14:textId="77777777" w:rsidTr="004A3257">
        <w:trPr>
          <w:trHeight w:val="20"/>
        </w:trPr>
        <w:tc>
          <w:tcPr>
            <w:tcW w:w="2205" w:type="dxa"/>
          </w:tcPr>
          <w:p w14:paraId="3140E9B8"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7" w:type="dxa"/>
            <w:gridSpan w:val="5"/>
          </w:tcPr>
          <w:p w14:paraId="225300C0" w14:textId="77777777" w:rsidR="00835192" w:rsidRPr="00FF756A" w:rsidRDefault="00835192" w:rsidP="00835192">
            <w:pPr>
              <w:spacing w:before="20" w:after="20" w:line="240" w:lineRule="auto"/>
              <w:rPr>
                <w:i/>
                <w:iCs/>
                <w:sz w:val="20"/>
                <w:szCs w:val="20"/>
              </w:rPr>
            </w:pPr>
            <w:r w:rsidRPr="00FF756A">
              <w:rPr>
                <w:i/>
                <w:iCs/>
                <w:sz w:val="20"/>
                <w:szCs w:val="20"/>
              </w:rPr>
              <w:t>Ligji nr. 124/2015, datë 12.11.2015, “Për efiçencën e energjisë”, i ndryshuar; VKM nr. 407, datë 19.6.2019, “Për miratimin e procedurës, të kategorive, kushteve, kërkesave të kualifikimit dhe të eksperiencës profesionale për personin, të cilit i lëshohet certifikata e audituesit energjetik”</w:t>
            </w:r>
          </w:p>
          <w:p w14:paraId="65509579" w14:textId="77777777" w:rsidR="00835192" w:rsidRPr="00FF756A" w:rsidRDefault="00835192" w:rsidP="00835192">
            <w:pPr>
              <w:pBdr>
                <w:top w:val="none" w:sz="0" w:space="0" w:color="auto"/>
                <w:left w:val="none" w:sz="0" w:space="0" w:color="auto"/>
                <w:bottom w:val="none" w:sz="0" w:space="0" w:color="auto"/>
                <w:right w:val="none" w:sz="0" w:space="0" w:color="auto"/>
                <w:between w:val="none" w:sz="0" w:space="0" w:color="auto"/>
              </w:pBdr>
              <w:spacing w:before="0" w:after="0" w:line="240" w:lineRule="auto"/>
              <w:rPr>
                <w:i/>
                <w:iCs/>
                <w:sz w:val="20"/>
                <w:szCs w:val="20"/>
              </w:rPr>
            </w:pPr>
            <w:r w:rsidRPr="00FF756A">
              <w:rPr>
                <w:i/>
                <w:iCs/>
                <w:sz w:val="20"/>
                <w:szCs w:val="20"/>
              </w:rPr>
              <w:t>Urdhri i Ministrit të Infrastrukturës dhe Energjisë nr. 203, datë 18.10.2022, “Për miratimin e formatit të planeve të veprimit të konsumatorëve të mëdhenj të energjisë dhe raportit vjetor të progresit”</w:t>
            </w:r>
          </w:p>
        </w:tc>
      </w:tr>
      <w:tr w:rsidR="00835192" w:rsidRPr="00FF756A" w14:paraId="7FE74F6D" w14:textId="77777777" w:rsidTr="004A3257">
        <w:trPr>
          <w:trHeight w:val="20"/>
        </w:trPr>
        <w:tc>
          <w:tcPr>
            <w:tcW w:w="2205" w:type="dxa"/>
          </w:tcPr>
          <w:p w14:paraId="457B7E31"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7" w:type="dxa"/>
            <w:gridSpan w:val="5"/>
          </w:tcPr>
          <w:p w14:paraId="2DA5062D" w14:textId="77777777" w:rsidR="00835192" w:rsidRPr="00FF756A" w:rsidRDefault="00835192" w:rsidP="00835192">
            <w:pPr>
              <w:spacing w:before="20" w:after="20" w:line="240" w:lineRule="auto"/>
              <w:rPr>
                <w:i/>
                <w:iCs/>
                <w:sz w:val="20"/>
                <w:szCs w:val="20"/>
              </w:rPr>
            </w:pPr>
            <w:r w:rsidRPr="00FF756A">
              <w:rPr>
                <w:i/>
                <w:iCs/>
                <w:sz w:val="20"/>
                <w:szCs w:val="20"/>
              </w:rPr>
              <w:t>Kuadri ligjor: Të gjitha hapat e parashikuara për auditimet e energjisë të përshkruara në ligj dhe VKM.</w:t>
            </w:r>
          </w:p>
          <w:p w14:paraId="2EEAC72A" w14:textId="77777777" w:rsidR="00835192" w:rsidRPr="00FF756A" w:rsidRDefault="00835192" w:rsidP="00835192">
            <w:pPr>
              <w:spacing w:before="20" w:after="20" w:line="240" w:lineRule="auto"/>
              <w:rPr>
                <w:i/>
                <w:iCs/>
                <w:sz w:val="20"/>
                <w:szCs w:val="20"/>
              </w:rPr>
            </w:pPr>
            <w:r w:rsidRPr="00FF756A">
              <w:rPr>
                <w:i/>
                <w:iCs/>
                <w:sz w:val="20"/>
                <w:szCs w:val="20"/>
              </w:rPr>
              <w:t>Disa industri kanë nisur auditimet e energjisë në mënyrë vullnetare. Megjithatë, nuk është paraqitur ende asnjë raport.</w:t>
            </w:r>
          </w:p>
        </w:tc>
      </w:tr>
      <w:tr w:rsidR="00835192" w:rsidRPr="00FF756A" w14:paraId="249EE929" w14:textId="77777777" w:rsidTr="004A3257">
        <w:trPr>
          <w:trHeight w:val="20"/>
        </w:trPr>
        <w:tc>
          <w:tcPr>
            <w:tcW w:w="2205" w:type="dxa"/>
          </w:tcPr>
          <w:p w14:paraId="67DEF923"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7" w:type="dxa"/>
            <w:gridSpan w:val="5"/>
          </w:tcPr>
          <w:p w14:paraId="7008AD52" w14:textId="77777777" w:rsidR="00835192" w:rsidRPr="00FF756A" w:rsidRDefault="00835192" w:rsidP="00835192">
            <w:pPr>
              <w:spacing w:before="20" w:after="20" w:line="240" w:lineRule="auto"/>
              <w:rPr>
                <w:i/>
                <w:iCs/>
                <w:sz w:val="20"/>
                <w:szCs w:val="20"/>
              </w:rPr>
            </w:pPr>
            <w:r w:rsidRPr="00FF756A">
              <w:rPr>
                <w:i/>
                <w:iCs/>
                <w:sz w:val="20"/>
                <w:szCs w:val="20"/>
              </w:rPr>
              <w:t>Zbatimi i auditimeve të energjisë për operatorët industrialë, me qëllim vlerësimin e konsumit të energjisë, humbjeve dhe potencialit të EE-së, lëshimin e certifikatave të energjisë dhe detyrimin e industrive për të marrë masa për EE-në dhe për të përmbushur objektivat në lidhje me kursimin e energjisë.</w:t>
            </w:r>
          </w:p>
          <w:p w14:paraId="17EE1B6D" w14:textId="77777777" w:rsidR="00835192" w:rsidRPr="00FF756A" w:rsidRDefault="00835192" w:rsidP="00835192">
            <w:pPr>
              <w:spacing w:before="20" w:after="20" w:line="240" w:lineRule="auto"/>
              <w:rPr>
                <w:i/>
                <w:iCs/>
                <w:sz w:val="20"/>
                <w:szCs w:val="20"/>
              </w:rPr>
            </w:pPr>
            <w:r w:rsidRPr="00FF756A">
              <w:rPr>
                <w:i/>
                <w:iCs/>
                <w:sz w:val="20"/>
                <w:szCs w:val="20"/>
              </w:rPr>
              <w:t>Në përputhje me parimin “Auditimet e energjisë për konsumatorët e mëdhenj, me fokus në aktivitetet industriale” dhe parimin “Sistemet e menaxhimit të energjisë për NVM-të”: Nëpërmjet zbatimit të këtyre masave do të mund të garantohet arritja e kursimeve të energjisë në masën prej të paktën 4% të totalit të energjisë ekuivalente të konsumuar nga kjo kategori konsumatorësh.</w:t>
            </w:r>
          </w:p>
        </w:tc>
      </w:tr>
      <w:tr w:rsidR="00835192" w:rsidRPr="00FF756A" w14:paraId="5CE0FA80" w14:textId="77777777" w:rsidTr="004A3257">
        <w:trPr>
          <w:trHeight w:val="20"/>
        </w:trPr>
        <w:tc>
          <w:tcPr>
            <w:tcW w:w="2205" w:type="dxa"/>
          </w:tcPr>
          <w:p w14:paraId="7F638516"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7" w:type="dxa"/>
            <w:gridSpan w:val="5"/>
          </w:tcPr>
          <w:p w14:paraId="27F589D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Parashikimi me anë të akteve ligjore i detyrimit për kryerjen e auditimeve të energjisë në industri, me qëllim përdorimin më efiçent të energjisë.</w:t>
            </w:r>
          </w:p>
          <w:p w14:paraId="11B6BA4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Audituesit energjetikë do të angazhohen në aktivitete industriale që lidhen me 2 elemente kyçe: proceset e prodhimit dhe proceset mbështetëse (shërbimet energjetike), duke përcaktuar konsumin e energjisë, duke përgatitur raporte dhe duke bërë propozime për industrinë lidhur me masat që duhet të merren në të ardhmen për reduktimin e konsumit të energjisë. </w:t>
            </w:r>
          </w:p>
          <w:p w14:paraId="2A150B36"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lastRenderedPageBreak/>
              <w:t>Bizneset e industrisë janë të detyruara të përgatisin planet e tyre të veprimit lidhur me EE-në, me qëllim investimin në masat për EE-në (sipas nevojës) brenda 2 muajve pas auditimit të energjisë.</w:t>
            </w:r>
          </w:p>
          <w:p w14:paraId="045BF32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Brenda 2 viteve, bazuar në raportet e auditimit të energjisë, ato janë të detyruara të bëjnë investime për reduktimin e konsumit të energjisë dhe të raportojnë pranë AEE-së.</w:t>
            </w:r>
          </w:p>
          <w:p w14:paraId="568C0585" w14:textId="77777777" w:rsidR="00835192" w:rsidRPr="00FF756A" w:rsidRDefault="00835192" w:rsidP="008639B2">
            <w:pPr>
              <w:numPr>
                <w:ilvl w:val="0"/>
                <w:numId w:val="71"/>
              </w:numPr>
              <w:spacing w:before="20" w:after="20" w:line="240" w:lineRule="auto"/>
              <w:contextualSpacing/>
              <w:rPr>
                <w:rFonts w:eastAsia="Gotham-Book"/>
                <w:i/>
                <w:sz w:val="20"/>
                <w:szCs w:val="20"/>
              </w:rPr>
            </w:pPr>
            <w:r w:rsidRPr="00FF756A">
              <w:rPr>
                <w:i/>
                <w:iCs/>
                <w:sz w:val="20"/>
                <w:szCs w:val="20"/>
              </w:rPr>
              <w:t>Reduktimi i kostove të larta të shërbimeve energjetike dhe prodhimit të energjisë në rastet kur nuk janë konkurruese.</w:t>
            </w:r>
          </w:p>
          <w:p w14:paraId="54BC9DC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Përmirësimi i sistemit të menaxhimit të energjisë në sektorin e industrisë.</w:t>
            </w:r>
          </w:p>
          <w:p w14:paraId="62FE9D2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Me dorëzimin e raporteve të auditimit të energjisë, konsumatorët e mëdhenj duhet të ndërmarrin investime për të arritur objektivin e kursimit të energjisë në masën 4% të totalit të energjisë ekuivalente të konsumuar prej tyre.</w:t>
            </w:r>
          </w:p>
        </w:tc>
      </w:tr>
      <w:tr w:rsidR="00835192" w:rsidRPr="00FF756A" w14:paraId="669A4035" w14:textId="77777777" w:rsidTr="004A3257">
        <w:trPr>
          <w:trHeight w:val="20"/>
        </w:trPr>
        <w:tc>
          <w:tcPr>
            <w:tcW w:w="2205" w:type="dxa"/>
          </w:tcPr>
          <w:p w14:paraId="3DF6E5F4" w14:textId="77777777" w:rsidR="00835192" w:rsidRPr="00FF756A" w:rsidRDefault="00835192" w:rsidP="00835192">
            <w:pPr>
              <w:spacing w:before="20" w:after="20" w:line="240" w:lineRule="auto"/>
              <w:jc w:val="right"/>
              <w:rPr>
                <w:b/>
                <w:bCs/>
                <w:sz w:val="20"/>
                <w:szCs w:val="20"/>
              </w:rPr>
            </w:pPr>
            <w:r w:rsidRPr="00FF756A">
              <w:rPr>
                <w:b/>
                <w:bCs/>
                <w:sz w:val="20"/>
                <w:szCs w:val="20"/>
              </w:rPr>
              <w:lastRenderedPageBreak/>
              <w:t>Masat që duhet të zbatohen</w:t>
            </w:r>
          </w:p>
        </w:tc>
        <w:tc>
          <w:tcPr>
            <w:tcW w:w="6017" w:type="dxa"/>
            <w:gridSpan w:val="4"/>
          </w:tcPr>
          <w:p w14:paraId="43E0993B" w14:textId="77777777" w:rsidR="00835192" w:rsidRPr="00FF756A" w:rsidRDefault="00835192" w:rsidP="00835192">
            <w:pPr>
              <w:spacing w:before="20" w:after="20" w:line="240" w:lineRule="auto"/>
              <w:rPr>
                <w:i/>
                <w:iCs/>
                <w:sz w:val="20"/>
                <w:szCs w:val="20"/>
              </w:rPr>
            </w:pPr>
            <w:r w:rsidRPr="00FF756A">
              <w:rPr>
                <w:i/>
                <w:iCs/>
                <w:sz w:val="20"/>
                <w:szCs w:val="20"/>
              </w:rPr>
              <w:t xml:space="preserve">Kuadri organizativ:  </w:t>
            </w:r>
          </w:p>
          <w:p w14:paraId="1A63533D" w14:textId="77777777" w:rsidR="00835192" w:rsidRPr="00FF756A" w:rsidRDefault="00835192" w:rsidP="008639B2">
            <w:pPr>
              <w:numPr>
                <w:ilvl w:val="0"/>
                <w:numId w:val="153"/>
              </w:numPr>
              <w:spacing w:before="20" w:after="20" w:line="240" w:lineRule="auto"/>
              <w:contextualSpacing/>
              <w:rPr>
                <w:i/>
                <w:iCs/>
                <w:sz w:val="20"/>
                <w:szCs w:val="20"/>
              </w:rPr>
            </w:pPr>
            <w:r w:rsidRPr="00FF756A">
              <w:rPr>
                <w:i/>
                <w:iCs/>
                <w:sz w:val="20"/>
                <w:szCs w:val="20"/>
              </w:rPr>
              <w:t>Identifikimi i bizneseve të industrisë (konsumatorët e energjisë me një konsum vjetor energjie prej më shumë se 1 MWh do t’u nënshtrohen auditimit të</w:t>
            </w:r>
            <w:r w:rsidRPr="00FF756A">
              <w:t xml:space="preserve"> </w:t>
            </w:r>
            <w:r w:rsidRPr="00FF756A">
              <w:rPr>
                <w:i/>
                <w:iCs/>
                <w:sz w:val="20"/>
                <w:szCs w:val="20"/>
              </w:rPr>
              <w:t>energjisë)</w:t>
            </w:r>
          </w:p>
          <w:p w14:paraId="6F7D06BA" w14:textId="77777777" w:rsidR="00835192" w:rsidRPr="00FF756A" w:rsidRDefault="00835192" w:rsidP="008639B2">
            <w:pPr>
              <w:numPr>
                <w:ilvl w:val="0"/>
                <w:numId w:val="153"/>
              </w:numPr>
              <w:spacing w:before="20" w:after="20" w:line="240" w:lineRule="auto"/>
              <w:contextualSpacing/>
              <w:rPr>
                <w:i/>
                <w:iCs/>
                <w:sz w:val="20"/>
                <w:szCs w:val="20"/>
              </w:rPr>
            </w:pPr>
            <w:r w:rsidRPr="00FF756A">
              <w:rPr>
                <w:i/>
                <w:iCs/>
                <w:sz w:val="20"/>
                <w:szCs w:val="20"/>
              </w:rPr>
              <w:t xml:space="preserve">Krijimi i një baze të dhënash për to me anë të regjistrimit etj. </w:t>
            </w:r>
          </w:p>
          <w:p w14:paraId="2A77F6EC" w14:textId="77777777" w:rsidR="00835192" w:rsidRPr="00FF756A" w:rsidRDefault="00835192" w:rsidP="00835192">
            <w:pPr>
              <w:spacing w:before="20" w:after="20" w:line="240" w:lineRule="auto"/>
              <w:rPr>
                <w:i/>
                <w:iCs/>
                <w:sz w:val="20"/>
                <w:szCs w:val="20"/>
              </w:rPr>
            </w:pPr>
            <w:r w:rsidRPr="00FF756A">
              <w:rPr>
                <w:i/>
                <w:iCs/>
                <w:sz w:val="20"/>
                <w:szCs w:val="20"/>
              </w:rPr>
              <w:t>Bizneset e industrisë</w:t>
            </w:r>
          </w:p>
          <w:p w14:paraId="57487E32" w14:textId="77777777" w:rsidR="00835192" w:rsidRPr="00FF756A" w:rsidRDefault="00835192" w:rsidP="008639B2">
            <w:pPr>
              <w:numPr>
                <w:ilvl w:val="0"/>
                <w:numId w:val="154"/>
              </w:numPr>
              <w:spacing w:before="20" w:after="20" w:line="240" w:lineRule="auto"/>
              <w:contextualSpacing/>
              <w:rPr>
                <w:i/>
                <w:iCs/>
                <w:sz w:val="20"/>
                <w:szCs w:val="20"/>
              </w:rPr>
            </w:pPr>
            <w:r w:rsidRPr="00FF756A">
              <w:rPr>
                <w:i/>
                <w:iCs/>
                <w:sz w:val="20"/>
                <w:szCs w:val="20"/>
              </w:rPr>
              <w:t>Bazuar në raportet e auditimit, industritë përgatisin planet e tyre të veprimit lidhur me EE-në dhe zbatojnë masat për EE-në.</w:t>
            </w:r>
          </w:p>
        </w:tc>
        <w:tc>
          <w:tcPr>
            <w:tcW w:w="850" w:type="dxa"/>
          </w:tcPr>
          <w:p w14:paraId="131E226D" w14:textId="77777777" w:rsidR="00835192" w:rsidRPr="00FF756A" w:rsidRDefault="00835192" w:rsidP="00835192">
            <w:pPr>
              <w:spacing w:before="20" w:after="20" w:line="240" w:lineRule="auto"/>
              <w:jc w:val="left"/>
              <w:rPr>
                <w:i/>
                <w:iCs/>
                <w:sz w:val="20"/>
                <w:szCs w:val="20"/>
              </w:rPr>
            </w:pPr>
            <w:r w:rsidRPr="00FF756A">
              <w:rPr>
                <w:i/>
                <w:iCs/>
                <w:sz w:val="20"/>
                <w:szCs w:val="20"/>
              </w:rPr>
              <w:t xml:space="preserve">Kryer në baza vjetore nga Agjencia për Efiçencën e Energjisë </w:t>
            </w:r>
          </w:p>
          <w:p w14:paraId="061B7669" w14:textId="77777777" w:rsidR="00835192" w:rsidRPr="00FF756A" w:rsidRDefault="00835192" w:rsidP="00835192">
            <w:pPr>
              <w:spacing w:before="20" w:after="20" w:line="240" w:lineRule="auto"/>
              <w:rPr>
                <w:i/>
                <w:iCs/>
                <w:sz w:val="20"/>
                <w:szCs w:val="20"/>
              </w:rPr>
            </w:pPr>
          </w:p>
        </w:tc>
      </w:tr>
      <w:tr w:rsidR="00835192" w:rsidRPr="00FF756A" w14:paraId="0385E36A" w14:textId="77777777" w:rsidTr="004A3257">
        <w:trPr>
          <w:trHeight w:val="20"/>
        </w:trPr>
        <w:tc>
          <w:tcPr>
            <w:tcW w:w="2205" w:type="dxa"/>
          </w:tcPr>
          <w:p w14:paraId="469E1595"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7" w:type="dxa"/>
            <w:gridSpan w:val="5"/>
          </w:tcPr>
          <w:p w14:paraId="39AED749" w14:textId="77777777" w:rsidR="00835192" w:rsidRPr="00FF756A" w:rsidRDefault="00835192" w:rsidP="00835192">
            <w:pPr>
              <w:spacing w:before="20" w:after="20" w:line="240" w:lineRule="auto"/>
              <w:rPr>
                <w:i/>
                <w:iCs/>
                <w:sz w:val="20"/>
                <w:szCs w:val="20"/>
              </w:rPr>
            </w:pPr>
            <w:r w:rsidRPr="00FF756A">
              <w:rPr>
                <w:i/>
                <w:iCs/>
                <w:sz w:val="20"/>
                <w:szCs w:val="20"/>
              </w:rPr>
              <w:t>Kostot e auditimeve të energjisë pritet të vlerësohen në vazhdim.</w:t>
            </w:r>
          </w:p>
        </w:tc>
      </w:tr>
      <w:tr w:rsidR="00835192" w:rsidRPr="00FF756A" w14:paraId="5AE60F9C" w14:textId="77777777" w:rsidTr="004A3257">
        <w:trPr>
          <w:trHeight w:val="20"/>
        </w:trPr>
        <w:tc>
          <w:tcPr>
            <w:tcW w:w="2205" w:type="dxa"/>
          </w:tcPr>
          <w:p w14:paraId="42720F75"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2CC7CCF4"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7" w:type="dxa"/>
            <w:gridSpan w:val="5"/>
          </w:tcPr>
          <w:p w14:paraId="080E7121" w14:textId="77777777" w:rsidR="00835192" w:rsidRPr="00FF756A" w:rsidRDefault="00835192" w:rsidP="00835192">
            <w:pPr>
              <w:spacing w:before="20" w:after="20" w:line="240" w:lineRule="auto"/>
              <w:rPr>
                <w:i/>
                <w:iCs/>
                <w:sz w:val="20"/>
                <w:szCs w:val="20"/>
              </w:rPr>
            </w:pPr>
            <w:r w:rsidRPr="00FF756A">
              <w:rPr>
                <w:i/>
                <w:iCs/>
                <w:sz w:val="20"/>
                <w:szCs w:val="20"/>
              </w:rPr>
              <w:t>Konsumatorët e mëdhenj të sektorit të industrisë; Agjencia për Efiçencën e Energjisë</w:t>
            </w:r>
          </w:p>
          <w:p w14:paraId="2D16B337" w14:textId="77777777" w:rsidR="00835192" w:rsidRPr="00FF756A" w:rsidRDefault="00835192" w:rsidP="00835192">
            <w:pPr>
              <w:spacing w:before="20" w:after="20" w:line="240" w:lineRule="auto"/>
              <w:rPr>
                <w:i/>
                <w:iCs/>
                <w:sz w:val="20"/>
                <w:szCs w:val="20"/>
              </w:rPr>
            </w:pPr>
            <w:r w:rsidRPr="00FF756A">
              <w:rPr>
                <w:i/>
                <w:iCs/>
                <w:sz w:val="20"/>
                <w:szCs w:val="20"/>
              </w:rPr>
              <w:t>(Agjencia për Efiçencën e Energjisë)</w:t>
            </w:r>
          </w:p>
        </w:tc>
      </w:tr>
      <w:tr w:rsidR="00835192" w:rsidRPr="00FF756A" w14:paraId="06524C8B" w14:textId="77777777" w:rsidTr="004A3257">
        <w:trPr>
          <w:trHeight w:val="20"/>
        </w:trPr>
        <w:tc>
          <w:tcPr>
            <w:tcW w:w="2205" w:type="dxa"/>
          </w:tcPr>
          <w:p w14:paraId="46F1AA37"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7" w:type="dxa"/>
            <w:gridSpan w:val="5"/>
          </w:tcPr>
          <w:p w14:paraId="401BD1F4" w14:textId="77777777" w:rsidR="00835192" w:rsidRPr="00FF756A" w:rsidRDefault="00835192" w:rsidP="00835192">
            <w:pPr>
              <w:spacing w:before="20" w:after="20" w:line="240" w:lineRule="auto"/>
              <w:rPr>
                <w:i/>
                <w:iCs/>
                <w:sz w:val="20"/>
                <w:szCs w:val="20"/>
              </w:rPr>
            </w:pPr>
            <w:r w:rsidRPr="00FF756A">
              <w:rPr>
                <w:i/>
                <w:iCs/>
                <w:sz w:val="20"/>
                <w:szCs w:val="20"/>
              </w:rPr>
              <w:t xml:space="preserve">Dekarbonizimi/Energjia e rinovueshme; Kërkimi, inovacioni dhe konkurrenca </w:t>
            </w:r>
          </w:p>
        </w:tc>
      </w:tr>
    </w:tbl>
    <w:p w14:paraId="1E4F2E3D"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4"/>
        <w:gridCol w:w="1285"/>
        <w:gridCol w:w="602"/>
        <w:gridCol w:w="430"/>
        <w:gridCol w:w="3407"/>
        <w:gridCol w:w="1134"/>
      </w:tblGrid>
      <w:tr w:rsidR="00835192" w:rsidRPr="00FF756A" w14:paraId="57E5633E" w14:textId="77777777" w:rsidTr="004A3257">
        <w:trPr>
          <w:trHeight w:val="20"/>
        </w:trPr>
        <w:tc>
          <w:tcPr>
            <w:tcW w:w="4526" w:type="dxa"/>
            <w:gridSpan w:val="4"/>
            <w:shd w:val="clear" w:color="auto" w:fill="FFF2CC" w:themeFill="accent4" w:themeFillTint="33"/>
          </w:tcPr>
          <w:p w14:paraId="5EADA769"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6" w:type="dxa"/>
            <w:gridSpan w:val="2"/>
            <w:shd w:val="clear" w:color="auto" w:fill="FFF2CC" w:themeFill="accent4" w:themeFillTint="33"/>
          </w:tcPr>
          <w:p w14:paraId="46FC4B66" w14:textId="77777777" w:rsidR="00835192" w:rsidRPr="00FF756A" w:rsidRDefault="00835192" w:rsidP="008639B2">
            <w:pPr>
              <w:numPr>
                <w:ilvl w:val="0"/>
                <w:numId w:val="105"/>
              </w:numPr>
              <w:spacing w:before="20" w:after="20" w:line="240" w:lineRule="auto"/>
              <w:contextualSpacing/>
              <w:rPr>
                <w:i/>
                <w:iCs/>
                <w:sz w:val="20"/>
                <w:szCs w:val="20"/>
              </w:rPr>
            </w:pPr>
            <w:r w:rsidRPr="00FF756A">
              <w:rPr>
                <w:i/>
                <w:iCs/>
                <w:sz w:val="20"/>
                <w:szCs w:val="20"/>
              </w:rPr>
              <w:t>Efiçenca e energjisë</w:t>
            </w:r>
          </w:p>
        </w:tc>
      </w:tr>
      <w:tr w:rsidR="00835192" w:rsidRPr="00FF756A" w14:paraId="693FB0B8" w14:textId="77777777" w:rsidTr="004A3257">
        <w:trPr>
          <w:trHeight w:val="20"/>
        </w:trPr>
        <w:tc>
          <w:tcPr>
            <w:tcW w:w="4095" w:type="dxa"/>
            <w:gridSpan w:val="3"/>
            <w:shd w:val="clear" w:color="auto" w:fill="FFF2CC" w:themeFill="accent4" w:themeFillTint="33"/>
          </w:tcPr>
          <w:p w14:paraId="161D1D8A"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7" w:type="dxa"/>
            <w:gridSpan w:val="3"/>
            <w:shd w:val="clear" w:color="auto" w:fill="FFF2CC" w:themeFill="accent4" w:themeFillTint="33"/>
          </w:tcPr>
          <w:p w14:paraId="7602ECB4" w14:textId="77777777" w:rsidR="00835192" w:rsidRPr="00FF756A" w:rsidRDefault="00835192" w:rsidP="00835192">
            <w:pPr>
              <w:spacing w:before="20" w:after="20" w:line="240" w:lineRule="auto"/>
              <w:rPr>
                <w:i/>
                <w:iCs/>
                <w:sz w:val="20"/>
                <w:szCs w:val="20"/>
              </w:rPr>
            </w:pPr>
            <w:r w:rsidRPr="00FF756A">
              <w:rPr>
                <w:i/>
                <w:iCs/>
                <w:sz w:val="20"/>
                <w:szCs w:val="20"/>
              </w:rPr>
              <w:t>Sektori i industrisë - NVM-të</w:t>
            </w:r>
          </w:p>
        </w:tc>
      </w:tr>
      <w:tr w:rsidR="00835192" w:rsidRPr="00FF756A" w14:paraId="4750447D" w14:textId="77777777" w:rsidTr="004A3257">
        <w:trPr>
          <w:trHeight w:val="20"/>
        </w:trPr>
        <w:tc>
          <w:tcPr>
            <w:tcW w:w="3492" w:type="dxa"/>
            <w:gridSpan w:val="2"/>
          </w:tcPr>
          <w:p w14:paraId="4B6B8272"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76783610"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0" w:type="dxa"/>
            <w:gridSpan w:val="4"/>
          </w:tcPr>
          <w:p w14:paraId="7CBEFE2B" w14:textId="77777777" w:rsidR="00835192" w:rsidRPr="00FF756A" w:rsidRDefault="00835192" w:rsidP="00835192">
            <w:pPr>
              <w:spacing w:before="20" w:after="20" w:line="240" w:lineRule="auto"/>
              <w:rPr>
                <w:i/>
                <w:iCs/>
                <w:sz w:val="20"/>
                <w:szCs w:val="20"/>
              </w:rPr>
            </w:pPr>
            <w:r w:rsidRPr="00FF756A">
              <w:rPr>
                <w:i/>
                <w:iCs/>
                <w:sz w:val="20"/>
                <w:szCs w:val="20"/>
              </w:rPr>
              <w:t>WAM</w:t>
            </w:r>
          </w:p>
          <w:p w14:paraId="4629A94A" w14:textId="77777777" w:rsidR="00835192" w:rsidRPr="00FF756A" w:rsidRDefault="00835192" w:rsidP="00835192">
            <w:pPr>
              <w:spacing w:before="20" w:after="20" w:line="240" w:lineRule="auto"/>
              <w:rPr>
                <w:i/>
                <w:iCs/>
                <w:sz w:val="20"/>
                <w:szCs w:val="20"/>
              </w:rPr>
            </w:pPr>
            <w:r w:rsidRPr="00FF756A">
              <w:rPr>
                <w:i/>
                <w:iCs/>
                <w:sz w:val="20"/>
                <w:szCs w:val="20"/>
              </w:rPr>
              <w:t xml:space="preserve">Rregullator; Organizativ; Promocional </w:t>
            </w:r>
          </w:p>
        </w:tc>
      </w:tr>
      <w:tr w:rsidR="00835192" w:rsidRPr="00FF756A" w14:paraId="00D37AB0" w14:textId="77777777" w:rsidTr="004A3257">
        <w:trPr>
          <w:trHeight w:val="20"/>
        </w:trPr>
        <w:tc>
          <w:tcPr>
            <w:tcW w:w="2205" w:type="dxa"/>
          </w:tcPr>
          <w:p w14:paraId="6D60499F"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21F54D47"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7" w:type="dxa"/>
            <w:gridSpan w:val="5"/>
          </w:tcPr>
          <w:p w14:paraId="5AA261A7" w14:textId="77777777" w:rsidR="00835192" w:rsidRPr="00FF756A" w:rsidRDefault="00835192" w:rsidP="00835192">
            <w:pPr>
              <w:spacing w:before="20" w:after="20" w:line="240" w:lineRule="auto"/>
              <w:rPr>
                <w:i/>
                <w:iCs/>
                <w:sz w:val="20"/>
                <w:szCs w:val="20"/>
              </w:rPr>
            </w:pPr>
            <w:r w:rsidRPr="00FF756A">
              <w:rPr>
                <w:i/>
                <w:iCs/>
                <w:sz w:val="20"/>
                <w:szCs w:val="20"/>
              </w:rPr>
              <w:t>Sistemet e menaxhimit të energjisë për NVM-të</w:t>
            </w:r>
          </w:p>
          <w:p w14:paraId="22891ABD" w14:textId="77777777" w:rsidR="00835192" w:rsidRPr="00FF756A" w:rsidRDefault="00835192" w:rsidP="00835192">
            <w:pPr>
              <w:spacing w:before="20" w:after="20" w:line="240" w:lineRule="auto"/>
              <w:rPr>
                <w:i/>
                <w:iCs/>
                <w:sz w:val="20"/>
                <w:szCs w:val="20"/>
              </w:rPr>
            </w:pPr>
            <w:r w:rsidRPr="00FF756A">
              <w:rPr>
                <w:i/>
                <w:iCs/>
                <w:sz w:val="20"/>
                <w:szCs w:val="20"/>
              </w:rPr>
              <w:t>(EE-E2)</w:t>
            </w:r>
          </w:p>
        </w:tc>
      </w:tr>
      <w:tr w:rsidR="00835192" w:rsidRPr="00FF756A" w14:paraId="29259EA5" w14:textId="77777777" w:rsidTr="004A3257">
        <w:trPr>
          <w:trHeight w:val="20"/>
        </w:trPr>
        <w:tc>
          <w:tcPr>
            <w:tcW w:w="2205" w:type="dxa"/>
          </w:tcPr>
          <w:p w14:paraId="4C1663FD"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7" w:type="dxa"/>
            <w:gridSpan w:val="5"/>
          </w:tcPr>
          <w:p w14:paraId="1206C7A4" w14:textId="77777777" w:rsidR="00835192" w:rsidRPr="00FF756A" w:rsidRDefault="00835192" w:rsidP="00835192">
            <w:pPr>
              <w:spacing w:before="20" w:after="20" w:line="240" w:lineRule="auto"/>
              <w:rPr>
                <w:i/>
                <w:iCs/>
                <w:sz w:val="20"/>
                <w:szCs w:val="20"/>
              </w:rPr>
            </w:pPr>
            <w:r w:rsidRPr="00FF756A">
              <w:rPr>
                <w:i/>
                <w:iCs/>
                <w:sz w:val="20"/>
                <w:szCs w:val="20"/>
              </w:rPr>
              <w:t>Nga viti 2021 e në vazhdim</w:t>
            </w:r>
          </w:p>
        </w:tc>
      </w:tr>
      <w:tr w:rsidR="00835192" w:rsidRPr="00FF756A" w14:paraId="31A2A7F1" w14:textId="77777777" w:rsidTr="004A3257">
        <w:trPr>
          <w:trHeight w:val="20"/>
        </w:trPr>
        <w:tc>
          <w:tcPr>
            <w:tcW w:w="2205" w:type="dxa"/>
          </w:tcPr>
          <w:p w14:paraId="2343DF08"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7" w:type="dxa"/>
            <w:gridSpan w:val="5"/>
          </w:tcPr>
          <w:p w14:paraId="7DD00D7E" w14:textId="77777777" w:rsidR="00835192" w:rsidRPr="00FF756A" w:rsidRDefault="00835192" w:rsidP="00835192">
            <w:pPr>
              <w:spacing w:before="20" w:after="20" w:line="240" w:lineRule="auto"/>
              <w:rPr>
                <w:i/>
                <w:iCs/>
                <w:sz w:val="20"/>
                <w:szCs w:val="20"/>
              </w:rPr>
            </w:pPr>
            <w:r w:rsidRPr="00FF756A">
              <w:rPr>
                <w:i/>
                <w:iCs/>
                <w:sz w:val="20"/>
                <w:szCs w:val="20"/>
              </w:rPr>
              <w:t>Ligji nr. 124/2015, datë 12.11.2015, “Për efiçencën e energjisë”, i ndryshuar; VKM nr. 342, datë 22.05.2019, “Për miratimin e kategorive, të kushteve dhe kërkesave të kualifikimit për menaxherin e energjisë”</w:t>
            </w:r>
          </w:p>
        </w:tc>
      </w:tr>
      <w:tr w:rsidR="00835192" w:rsidRPr="00FF756A" w14:paraId="060DC591" w14:textId="77777777" w:rsidTr="004A3257">
        <w:trPr>
          <w:trHeight w:val="20"/>
        </w:trPr>
        <w:tc>
          <w:tcPr>
            <w:tcW w:w="2205" w:type="dxa"/>
          </w:tcPr>
          <w:p w14:paraId="4811841E"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7" w:type="dxa"/>
            <w:gridSpan w:val="5"/>
          </w:tcPr>
          <w:p w14:paraId="63065C3F" w14:textId="77777777" w:rsidR="00835192" w:rsidRPr="00FF756A" w:rsidRDefault="00835192" w:rsidP="00835192">
            <w:pPr>
              <w:spacing w:before="20" w:after="20" w:line="240" w:lineRule="auto"/>
              <w:rPr>
                <w:i/>
                <w:iCs/>
                <w:sz w:val="20"/>
                <w:szCs w:val="20"/>
              </w:rPr>
            </w:pPr>
            <w:r w:rsidRPr="00FF756A">
              <w:rPr>
                <w:i/>
                <w:iCs/>
                <w:sz w:val="20"/>
                <w:szCs w:val="20"/>
              </w:rPr>
              <w:t>Ka nisur procesi për certifikimin e audituesve energjetikë dhe menaxherëve të energjisë, si dhe procesi i auditimeve të energjisë për konsumatorët e mëdhenj, i shoqëruar nga takime të menaxherëve të energjisë.</w:t>
            </w:r>
          </w:p>
        </w:tc>
      </w:tr>
      <w:tr w:rsidR="00835192" w:rsidRPr="00FF756A" w14:paraId="5AB1E5C2" w14:textId="77777777" w:rsidTr="004A3257">
        <w:trPr>
          <w:trHeight w:val="20"/>
        </w:trPr>
        <w:tc>
          <w:tcPr>
            <w:tcW w:w="2205" w:type="dxa"/>
          </w:tcPr>
          <w:p w14:paraId="5960F5A2"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7" w:type="dxa"/>
            <w:gridSpan w:val="5"/>
          </w:tcPr>
          <w:p w14:paraId="77BC3D43" w14:textId="77777777" w:rsidR="00835192" w:rsidRPr="00FF756A" w:rsidRDefault="00835192" w:rsidP="00835192">
            <w:pPr>
              <w:spacing w:before="20" w:after="20" w:line="240" w:lineRule="auto"/>
              <w:rPr>
                <w:i/>
                <w:iCs/>
                <w:sz w:val="20"/>
                <w:szCs w:val="20"/>
              </w:rPr>
            </w:pPr>
            <w:r w:rsidRPr="00FF756A">
              <w:rPr>
                <w:i/>
                <w:iCs/>
                <w:sz w:val="20"/>
                <w:szCs w:val="20"/>
              </w:rPr>
              <w:t>Detyrimi i konsumatorëve të mëdhenj të energjisë, në përputhje me ligjin për EE-në, për caktimin e menaxherëve të energjisë, si dhe promovimi i standardit ISO 50001, do të rezultojnë në një përdorim racional të energjisë, duke shmangur kështu humbjet dhe duke rritur performancën e industrisë.</w:t>
            </w:r>
          </w:p>
          <w:p w14:paraId="0B872562" w14:textId="77777777" w:rsidR="00835192" w:rsidRPr="00FF756A" w:rsidRDefault="00835192" w:rsidP="00835192">
            <w:pPr>
              <w:spacing w:before="20" w:after="20" w:line="240" w:lineRule="auto"/>
              <w:rPr>
                <w:i/>
                <w:iCs/>
                <w:sz w:val="20"/>
                <w:szCs w:val="20"/>
              </w:rPr>
            </w:pPr>
            <w:r w:rsidRPr="00FF756A">
              <w:rPr>
                <w:i/>
                <w:iCs/>
                <w:sz w:val="20"/>
                <w:szCs w:val="20"/>
              </w:rPr>
              <w:t>Në përputhje me parimin “Auditimet e energjisë për konsumatorët e mëdhenj, me fokus në aktivitetet industriale” dhe parimin “Sistemet e menaxhimit të energjisë për NVM-të”: Nëpërmjet zbatimit të këtyre masave do të mund të garantohet arritja e kursimeve të energjisë në masën prej të paktën 4% të totalit të energjisë ekuivalente të konsumuar nga kjo kategori konsumatorësh.</w:t>
            </w:r>
          </w:p>
        </w:tc>
      </w:tr>
      <w:tr w:rsidR="00835192" w:rsidRPr="00FF756A" w14:paraId="220D0045" w14:textId="77777777" w:rsidTr="004A3257">
        <w:trPr>
          <w:trHeight w:val="20"/>
        </w:trPr>
        <w:tc>
          <w:tcPr>
            <w:tcW w:w="2205" w:type="dxa"/>
          </w:tcPr>
          <w:p w14:paraId="75C8366A"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7" w:type="dxa"/>
            <w:gridSpan w:val="5"/>
          </w:tcPr>
          <w:p w14:paraId="1CDC72C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Përmirësimi i mbështetjes politike, rregullatore dhe institucionale për miratimin e standardeve të sistemeve të menaxhimit të energjisë</w:t>
            </w:r>
          </w:p>
          <w:p w14:paraId="502BEFE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Rritja progresive e depërtimit të standardeve të sistemeve të menaxhimit të energjisë dhe efiçencës së energjisë në NVM-të industriale në Shqipëri</w:t>
            </w:r>
          </w:p>
          <w:p w14:paraId="409FE9F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Organizimi i trajnimeve për menaxhimin e energjisë</w:t>
            </w:r>
          </w:p>
          <w:p w14:paraId="51E0135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Zhvillimi i mekanizmave novatorë të financimit (duke përfshirë financimin e reduktimit të shkarkimeve të karbonit) për investime në teknologji industriale me efiçencë të lartë energjie dhe nivele të ulëta karboni</w:t>
            </w:r>
          </w:p>
          <w:p w14:paraId="1C5272D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Përmirësimi i zbatimit të Ligjit të rishikuar 124/2015 në lidhje me një pjesë të skemave të auditimit të energjisë</w:t>
            </w:r>
          </w:p>
        </w:tc>
      </w:tr>
      <w:tr w:rsidR="00835192" w:rsidRPr="00FF756A" w14:paraId="0E1F7A5E" w14:textId="77777777" w:rsidTr="004A3257">
        <w:trPr>
          <w:trHeight w:val="20"/>
        </w:trPr>
        <w:tc>
          <w:tcPr>
            <w:tcW w:w="2205" w:type="dxa"/>
          </w:tcPr>
          <w:p w14:paraId="67D02032"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5733" w:type="dxa"/>
            <w:gridSpan w:val="4"/>
          </w:tcPr>
          <w:p w14:paraId="367002CB" w14:textId="77777777" w:rsidR="00835192" w:rsidRPr="00FF756A" w:rsidRDefault="00835192" w:rsidP="00835192">
            <w:pPr>
              <w:spacing w:before="20" w:after="20" w:line="240" w:lineRule="auto"/>
              <w:rPr>
                <w:i/>
                <w:iCs/>
                <w:sz w:val="20"/>
                <w:szCs w:val="20"/>
              </w:rPr>
            </w:pPr>
            <w:r w:rsidRPr="00FF756A">
              <w:rPr>
                <w:i/>
                <w:iCs/>
                <w:sz w:val="20"/>
                <w:szCs w:val="20"/>
              </w:rPr>
              <w:t>Promovimi i ISO 50001 si një standard kombëtar vullnetar për Sistemin e Menaxhimit të Energjisë (EnMS)</w:t>
            </w:r>
          </w:p>
          <w:p w14:paraId="0227FD6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Manual pune për zbatimin e auditimit të energjisë</w:t>
            </w:r>
          </w:p>
          <w:p w14:paraId="533192EA"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Zbatimi pilot i EnMS-së nga NVM-të industriale pilot, në pajtueshmëri me standardin ISO 50001</w:t>
            </w:r>
          </w:p>
          <w:p w14:paraId="2FDDF8D2" w14:textId="77777777" w:rsidR="00835192" w:rsidRPr="00FF756A" w:rsidRDefault="00835192" w:rsidP="008639B2">
            <w:pPr>
              <w:numPr>
                <w:ilvl w:val="0"/>
                <w:numId w:val="71"/>
              </w:numPr>
              <w:spacing w:before="20" w:after="20" w:line="240" w:lineRule="auto"/>
              <w:contextualSpacing/>
            </w:pPr>
            <w:r w:rsidRPr="00FF756A">
              <w:rPr>
                <w:i/>
                <w:iCs/>
                <w:sz w:val="20"/>
                <w:szCs w:val="20"/>
              </w:rPr>
              <w:t xml:space="preserve">Promovimi i politikave të praktikave më të mira për </w:t>
            </w:r>
            <w:bookmarkStart w:id="411" w:name="_Hlk75541075"/>
            <w:r w:rsidRPr="00FF756A">
              <w:rPr>
                <w:i/>
                <w:iCs/>
                <w:sz w:val="20"/>
                <w:szCs w:val="20"/>
              </w:rPr>
              <w:t xml:space="preserve">Efiçencën e Energjisë në Industri (IEE) </w:t>
            </w:r>
            <w:bookmarkEnd w:id="411"/>
            <w:r w:rsidRPr="00FF756A">
              <w:rPr>
                <w:i/>
                <w:iCs/>
                <w:sz w:val="20"/>
                <w:szCs w:val="20"/>
              </w:rPr>
              <w:t>dhe promovimi i teknologjive novatore me efiçencë të lartë energjie specifike për sektorin</w:t>
            </w:r>
          </w:p>
          <w:p w14:paraId="719F6AA6"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Ofrimi i trajnimeve cilësore dhe shërbimeve eksperte të konsulencës nga institucionet kombëtare kompetente dhe sektori i shërbimeve të efiçencës së energjisë</w:t>
            </w:r>
          </w:p>
          <w:p w14:paraId="0BCB64C2" w14:textId="77777777" w:rsidR="00835192" w:rsidRPr="00FF756A" w:rsidRDefault="00835192" w:rsidP="00835192">
            <w:pPr>
              <w:spacing w:before="20" w:after="20" w:line="240" w:lineRule="auto"/>
              <w:rPr>
                <w:i/>
                <w:iCs/>
                <w:sz w:val="20"/>
                <w:szCs w:val="20"/>
              </w:rPr>
            </w:pPr>
            <w:r w:rsidRPr="00FF756A">
              <w:rPr>
                <w:i/>
                <w:iCs/>
                <w:sz w:val="20"/>
                <w:szCs w:val="20"/>
              </w:rPr>
              <w:t xml:space="preserve">Krijimi i një programi kombëtar për EEI-në me reduktim të kuantifikuar të shkarkimeve </w:t>
            </w:r>
          </w:p>
          <w:p w14:paraId="14E5231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Trajnimi i institucioneve financuese vendase lidhur me praktika të ndryshme të EEI-së dhe rritja e kapaciteteve të tyre për të vlerësuar propozimet për investime në EEI dhe për të përdorur përfitimet nga programet e kreditimit të institucioneve financuese ndërkombëtare.</w:t>
            </w:r>
          </w:p>
          <w:p w14:paraId="3580278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Hartimi i një mekanizmi novator financimi për EEI-në, duke marrë në konsideratë rolin e ESCO-ve</w:t>
            </w:r>
          </w:p>
        </w:tc>
        <w:tc>
          <w:tcPr>
            <w:tcW w:w="1134" w:type="dxa"/>
          </w:tcPr>
          <w:p w14:paraId="1079881E" w14:textId="77777777" w:rsidR="00835192" w:rsidRPr="00FF756A" w:rsidRDefault="00835192" w:rsidP="00835192">
            <w:pPr>
              <w:spacing w:before="20" w:after="20" w:line="240" w:lineRule="auto"/>
              <w:jc w:val="left"/>
              <w:rPr>
                <w:i/>
                <w:iCs/>
                <w:sz w:val="20"/>
                <w:szCs w:val="20"/>
              </w:rPr>
            </w:pPr>
            <w:r w:rsidRPr="00FF756A">
              <w:rPr>
                <w:i/>
                <w:iCs/>
                <w:sz w:val="20"/>
                <w:szCs w:val="20"/>
              </w:rPr>
              <w:t>Nga viti 2024 e në vazhdim</w:t>
            </w:r>
            <w:r w:rsidRPr="00FF756A">
              <w:rPr>
                <w:i/>
                <w:iCs/>
                <w:sz w:val="20"/>
                <w:szCs w:val="20"/>
              </w:rPr>
              <w:br/>
            </w:r>
          </w:p>
          <w:p w14:paraId="2167961B" w14:textId="77777777" w:rsidR="00835192" w:rsidRPr="00FF756A" w:rsidRDefault="00835192" w:rsidP="00835192">
            <w:pPr>
              <w:spacing w:before="20" w:after="20" w:line="240" w:lineRule="auto"/>
              <w:rPr>
                <w:i/>
                <w:iCs/>
                <w:sz w:val="20"/>
                <w:szCs w:val="20"/>
              </w:rPr>
            </w:pPr>
          </w:p>
          <w:p w14:paraId="1DF64DEC" w14:textId="77777777" w:rsidR="00835192" w:rsidRPr="00FF756A" w:rsidRDefault="00835192" w:rsidP="00835192">
            <w:pPr>
              <w:spacing w:before="20" w:after="20" w:line="240" w:lineRule="auto"/>
              <w:rPr>
                <w:i/>
                <w:iCs/>
                <w:sz w:val="20"/>
                <w:szCs w:val="20"/>
              </w:rPr>
            </w:pPr>
            <w:r w:rsidRPr="00FF756A">
              <w:rPr>
                <w:i/>
                <w:iCs/>
                <w:sz w:val="20"/>
                <w:szCs w:val="20"/>
              </w:rPr>
              <w:br/>
            </w:r>
          </w:p>
          <w:p w14:paraId="0D180E7C" w14:textId="77777777" w:rsidR="00835192" w:rsidRPr="00FF756A" w:rsidRDefault="00835192" w:rsidP="00835192">
            <w:pPr>
              <w:spacing w:before="20" w:after="20" w:line="240" w:lineRule="auto"/>
              <w:rPr>
                <w:i/>
                <w:iCs/>
                <w:sz w:val="20"/>
                <w:szCs w:val="20"/>
              </w:rPr>
            </w:pPr>
            <w:r w:rsidRPr="00FF756A">
              <w:rPr>
                <w:i/>
                <w:iCs/>
                <w:sz w:val="20"/>
                <w:szCs w:val="20"/>
              </w:rPr>
              <w:br/>
            </w:r>
            <w:r w:rsidRPr="00FF756A">
              <w:rPr>
                <w:i/>
                <w:iCs/>
                <w:sz w:val="20"/>
                <w:szCs w:val="20"/>
              </w:rPr>
              <w:br/>
            </w:r>
          </w:p>
          <w:p w14:paraId="6EF063EA" w14:textId="77777777" w:rsidR="00835192" w:rsidRPr="00FF756A" w:rsidRDefault="00835192" w:rsidP="00835192">
            <w:pPr>
              <w:spacing w:before="20" w:after="20" w:line="240" w:lineRule="auto"/>
              <w:rPr>
                <w:i/>
                <w:iCs/>
                <w:sz w:val="20"/>
                <w:szCs w:val="20"/>
              </w:rPr>
            </w:pPr>
            <w:r w:rsidRPr="00FF756A">
              <w:rPr>
                <w:i/>
                <w:iCs/>
                <w:sz w:val="20"/>
                <w:szCs w:val="20"/>
              </w:rPr>
              <w:br/>
            </w:r>
          </w:p>
          <w:p w14:paraId="1736030B" w14:textId="77777777" w:rsidR="00835192" w:rsidRPr="00FF756A" w:rsidRDefault="00835192" w:rsidP="00835192">
            <w:pPr>
              <w:spacing w:before="20" w:after="20" w:line="240" w:lineRule="auto"/>
              <w:rPr>
                <w:i/>
                <w:iCs/>
                <w:sz w:val="20"/>
                <w:szCs w:val="20"/>
              </w:rPr>
            </w:pPr>
            <w:r w:rsidRPr="00FF756A">
              <w:rPr>
                <w:i/>
                <w:iCs/>
                <w:sz w:val="20"/>
                <w:szCs w:val="20"/>
              </w:rPr>
              <w:t>Nga viti 2024 e në vazhdim</w:t>
            </w:r>
          </w:p>
        </w:tc>
      </w:tr>
      <w:tr w:rsidR="00835192" w:rsidRPr="00FF756A" w14:paraId="3FBD50BB" w14:textId="77777777" w:rsidTr="004A3257">
        <w:trPr>
          <w:trHeight w:val="20"/>
        </w:trPr>
        <w:tc>
          <w:tcPr>
            <w:tcW w:w="2205" w:type="dxa"/>
          </w:tcPr>
          <w:p w14:paraId="68A6128E"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7" w:type="dxa"/>
            <w:gridSpan w:val="5"/>
          </w:tcPr>
          <w:p w14:paraId="4622CA72" w14:textId="77777777" w:rsidR="00835192" w:rsidRPr="00FF756A" w:rsidRDefault="00835192" w:rsidP="00835192">
            <w:pPr>
              <w:spacing w:before="20" w:after="20" w:line="240" w:lineRule="auto"/>
              <w:rPr>
                <w:i/>
                <w:iCs/>
                <w:sz w:val="20"/>
                <w:szCs w:val="20"/>
              </w:rPr>
            </w:pPr>
            <w:r w:rsidRPr="00FF756A">
              <w:rPr>
                <w:i/>
                <w:iCs/>
                <w:sz w:val="20"/>
                <w:szCs w:val="20"/>
              </w:rPr>
              <w:t>Është përllogaritur një buxhet indikativ në vlerën 3 milionë euro (duke marrë në konsideratë mbështetjen shumëvjeçare).</w:t>
            </w:r>
          </w:p>
        </w:tc>
      </w:tr>
      <w:tr w:rsidR="00835192" w:rsidRPr="00FF756A" w14:paraId="27AE15D6" w14:textId="77777777" w:rsidTr="004A3257">
        <w:trPr>
          <w:trHeight w:val="20"/>
        </w:trPr>
        <w:tc>
          <w:tcPr>
            <w:tcW w:w="2205" w:type="dxa"/>
          </w:tcPr>
          <w:p w14:paraId="5CCEDD30"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070870AE"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7" w:type="dxa"/>
            <w:gridSpan w:val="5"/>
          </w:tcPr>
          <w:p w14:paraId="69D76873" w14:textId="77777777" w:rsidR="00835192" w:rsidRPr="00FF756A" w:rsidRDefault="00835192" w:rsidP="00835192">
            <w:pPr>
              <w:spacing w:before="20" w:after="20" w:line="240" w:lineRule="auto"/>
              <w:rPr>
                <w:i/>
                <w:iCs/>
                <w:sz w:val="20"/>
                <w:szCs w:val="20"/>
              </w:rPr>
            </w:pPr>
            <w:r w:rsidRPr="00FF756A">
              <w:rPr>
                <w:i/>
                <w:iCs/>
                <w:sz w:val="20"/>
                <w:szCs w:val="20"/>
              </w:rPr>
              <w:t>Konsumatorët e mëdhenj të sektorit të industrisë; Agjencia për Efiçencën e Energjisë</w:t>
            </w:r>
          </w:p>
          <w:p w14:paraId="07CEE82F" w14:textId="77777777" w:rsidR="00835192" w:rsidRPr="00FF756A" w:rsidRDefault="00835192" w:rsidP="00835192">
            <w:pPr>
              <w:spacing w:before="20" w:after="20" w:line="240" w:lineRule="auto"/>
              <w:rPr>
                <w:i/>
                <w:iCs/>
                <w:sz w:val="20"/>
                <w:szCs w:val="20"/>
              </w:rPr>
            </w:pPr>
            <w:r w:rsidRPr="00FF756A">
              <w:rPr>
                <w:i/>
                <w:iCs/>
                <w:sz w:val="20"/>
                <w:szCs w:val="20"/>
              </w:rPr>
              <w:t>(Agjencia për Efiçencën e Energjisë)</w:t>
            </w:r>
          </w:p>
        </w:tc>
      </w:tr>
      <w:tr w:rsidR="00835192" w:rsidRPr="00FF756A" w14:paraId="34B86DB8" w14:textId="77777777" w:rsidTr="004A3257">
        <w:trPr>
          <w:trHeight w:val="20"/>
        </w:trPr>
        <w:tc>
          <w:tcPr>
            <w:tcW w:w="2205" w:type="dxa"/>
          </w:tcPr>
          <w:p w14:paraId="5C888683"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7" w:type="dxa"/>
            <w:gridSpan w:val="5"/>
          </w:tcPr>
          <w:p w14:paraId="7C9D2C46" w14:textId="77777777" w:rsidR="00835192" w:rsidRPr="00FF756A" w:rsidRDefault="00835192" w:rsidP="00835192">
            <w:pPr>
              <w:spacing w:before="20" w:after="20" w:line="240" w:lineRule="auto"/>
              <w:rPr>
                <w:i/>
                <w:iCs/>
                <w:sz w:val="20"/>
                <w:szCs w:val="20"/>
              </w:rPr>
            </w:pPr>
            <w:r w:rsidRPr="00FF756A">
              <w:rPr>
                <w:i/>
                <w:iCs/>
                <w:sz w:val="20"/>
                <w:szCs w:val="20"/>
              </w:rPr>
              <w:t>Dekarbonizimi/Energjia e rinovueshme; Kërkimi, inovacioni dhe konkurrenca</w:t>
            </w:r>
          </w:p>
        </w:tc>
      </w:tr>
    </w:tbl>
    <w:p w14:paraId="22560217" w14:textId="77777777" w:rsidR="00835192" w:rsidRPr="00FF756A" w:rsidRDefault="00835192" w:rsidP="00835192"/>
    <w:p w14:paraId="589AE274" w14:textId="3A021785" w:rsidR="00835192" w:rsidRPr="00FF756A" w:rsidRDefault="00B00AD4" w:rsidP="004A3257">
      <w:pPr>
        <w:pStyle w:val="Heading3"/>
      </w:pPr>
      <w:bookmarkStart w:id="412" w:name="_Toc75616131"/>
      <w:bookmarkStart w:id="413" w:name="_Toc182897787"/>
      <w:bookmarkStart w:id="414" w:name="_Toc183639242"/>
      <w:r w:rsidRPr="00FF756A">
        <w:t xml:space="preserve">3.2.7 </w:t>
      </w:r>
      <w:r w:rsidR="00835192" w:rsidRPr="00FF756A">
        <w:t xml:space="preserve">Informacioni për konsumatorët dhe masat </w:t>
      </w:r>
      <w:r w:rsidR="00BE196A" w:rsidRPr="00FF756A">
        <w:t xml:space="preserve">për </w:t>
      </w:r>
      <w:r w:rsidR="00835192" w:rsidRPr="00FF756A">
        <w:t>trajnimin</w:t>
      </w:r>
      <w:bookmarkEnd w:id="412"/>
      <w:bookmarkEnd w:id="413"/>
      <w:bookmarkEnd w:id="414"/>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6"/>
        <w:gridCol w:w="1278"/>
        <w:gridCol w:w="599"/>
        <w:gridCol w:w="429"/>
        <w:gridCol w:w="3677"/>
        <w:gridCol w:w="883"/>
      </w:tblGrid>
      <w:tr w:rsidR="00835192" w:rsidRPr="00FF756A" w14:paraId="7C0FF9DB" w14:textId="77777777" w:rsidTr="004A3257">
        <w:trPr>
          <w:trHeight w:val="20"/>
        </w:trPr>
        <w:tc>
          <w:tcPr>
            <w:tcW w:w="4525" w:type="dxa"/>
            <w:gridSpan w:val="4"/>
            <w:shd w:val="clear" w:color="auto" w:fill="FFF2CC" w:themeFill="accent4" w:themeFillTint="33"/>
          </w:tcPr>
          <w:p w14:paraId="48EE5B86"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7" w:type="dxa"/>
            <w:gridSpan w:val="2"/>
            <w:shd w:val="clear" w:color="auto" w:fill="FFF2CC" w:themeFill="accent4" w:themeFillTint="33"/>
          </w:tcPr>
          <w:p w14:paraId="7B3A0648" w14:textId="77777777" w:rsidR="00835192" w:rsidRPr="00FF756A" w:rsidRDefault="00835192" w:rsidP="008639B2">
            <w:pPr>
              <w:numPr>
                <w:ilvl w:val="0"/>
                <w:numId w:val="107"/>
              </w:numPr>
              <w:spacing w:before="20" w:after="20" w:line="240" w:lineRule="auto"/>
              <w:contextualSpacing/>
              <w:rPr>
                <w:i/>
                <w:iCs/>
                <w:sz w:val="20"/>
                <w:szCs w:val="20"/>
              </w:rPr>
            </w:pPr>
            <w:r w:rsidRPr="00FF756A">
              <w:rPr>
                <w:i/>
                <w:iCs/>
                <w:sz w:val="20"/>
                <w:szCs w:val="20"/>
              </w:rPr>
              <w:t>Efiçenca e energjisë</w:t>
            </w:r>
          </w:p>
        </w:tc>
      </w:tr>
      <w:tr w:rsidR="00835192" w:rsidRPr="00FF756A" w14:paraId="70988336" w14:textId="77777777" w:rsidTr="004A3257">
        <w:trPr>
          <w:trHeight w:val="20"/>
        </w:trPr>
        <w:tc>
          <w:tcPr>
            <w:tcW w:w="4094" w:type="dxa"/>
            <w:gridSpan w:val="3"/>
            <w:shd w:val="clear" w:color="auto" w:fill="FFF2CC" w:themeFill="accent4" w:themeFillTint="33"/>
          </w:tcPr>
          <w:p w14:paraId="0BF13096"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8" w:type="dxa"/>
            <w:gridSpan w:val="3"/>
            <w:shd w:val="clear" w:color="auto" w:fill="FFF2CC" w:themeFill="accent4" w:themeFillTint="33"/>
          </w:tcPr>
          <w:p w14:paraId="3EE19EDE" w14:textId="77777777" w:rsidR="00835192" w:rsidRPr="00FF756A" w:rsidRDefault="00835192" w:rsidP="00835192">
            <w:pPr>
              <w:spacing w:before="20" w:after="20" w:line="240" w:lineRule="auto"/>
              <w:rPr>
                <w:i/>
                <w:iCs/>
                <w:sz w:val="20"/>
                <w:szCs w:val="20"/>
              </w:rPr>
            </w:pPr>
            <w:r w:rsidRPr="00FF756A">
              <w:rPr>
                <w:i/>
                <w:iCs/>
                <w:sz w:val="20"/>
                <w:szCs w:val="20"/>
              </w:rPr>
              <w:t>Sektori i industrisë (informacioni për konsumatorët dhe masat lidhur me trajnimin)</w:t>
            </w:r>
          </w:p>
        </w:tc>
      </w:tr>
      <w:tr w:rsidR="00835192" w:rsidRPr="00FF756A" w14:paraId="1A524786" w14:textId="77777777" w:rsidTr="004A3257">
        <w:trPr>
          <w:trHeight w:val="20"/>
        </w:trPr>
        <w:tc>
          <w:tcPr>
            <w:tcW w:w="3491" w:type="dxa"/>
            <w:gridSpan w:val="2"/>
          </w:tcPr>
          <w:p w14:paraId="25EEA348"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4EFAD3F4"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1" w:type="dxa"/>
            <w:gridSpan w:val="4"/>
          </w:tcPr>
          <w:p w14:paraId="07A20678" w14:textId="77777777" w:rsidR="00835192" w:rsidRPr="00FF756A" w:rsidRDefault="00835192" w:rsidP="00835192">
            <w:pPr>
              <w:spacing w:before="20" w:after="20" w:line="240" w:lineRule="auto"/>
              <w:rPr>
                <w:i/>
                <w:iCs/>
                <w:sz w:val="20"/>
                <w:szCs w:val="20"/>
              </w:rPr>
            </w:pPr>
            <w:r w:rsidRPr="00FF756A">
              <w:rPr>
                <w:i/>
                <w:iCs/>
                <w:sz w:val="20"/>
                <w:szCs w:val="20"/>
              </w:rPr>
              <w:t>WAM</w:t>
            </w:r>
          </w:p>
          <w:p w14:paraId="6DDEE05D" w14:textId="77777777" w:rsidR="00835192" w:rsidRPr="00FF756A" w:rsidRDefault="00835192" w:rsidP="00835192">
            <w:pPr>
              <w:spacing w:before="20" w:after="20" w:line="240" w:lineRule="auto"/>
              <w:rPr>
                <w:i/>
                <w:iCs/>
                <w:sz w:val="20"/>
                <w:szCs w:val="20"/>
              </w:rPr>
            </w:pPr>
            <w:r w:rsidRPr="00FF756A">
              <w:rPr>
                <w:i/>
                <w:iCs/>
                <w:sz w:val="20"/>
                <w:szCs w:val="20"/>
              </w:rPr>
              <w:t>Rregullator; Informues</w:t>
            </w:r>
          </w:p>
        </w:tc>
      </w:tr>
      <w:tr w:rsidR="00835192" w:rsidRPr="00FF756A" w14:paraId="6161F489" w14:textId="77777777" w:rsidTr="004A3257">
        <w:trPr>
          <w:trHeight w:val="20"/>
        </w:trPr>
        <w:tc>
          <w:tcPr>
            <w:tcW w:w="2204" w:type="dxa"/>
          </w:tcPr>
          <w:p w14:paraId="618E9D58"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3737259E"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8" w:type="dxa"/>
            <w:gridSpan w:val="5"/>
          </w:tcPr>
          <w:p w14:paraId="59AAE069" w14:textId="77777777" w:rsidR="00835192" w:rsidRPr="00FF756A" w:rsidRDefault="00835192" w:rsidP="00835192">
            <w:pPr>
              <w:spacing w:before="20" w:after="20" w:line="240" w:lineRule="auto"/>
              <w:rPr>
                <w:i/>
                <w:iCs/>
                <w:sz w:val="20"/>
                <w:szCs w:val="20"/>
              </w:rPr>
            </w:pPr>
            <w:r w:rsidRPr="00FF756A">
              <w:rPr>
                <w:i/>
                <w:iCs/>
                <w:sz w:val="20"/>
                <w:szCs w:val="20"/>
              </w:rPr>
              <w:t>Prezantimi i kërkesave të etiketimit të energjisë dhe të dizajnit ekologjik</w:t>
            </w:r>
          </w:p>
          <w:p w14:paraId="0B6FF6F6" w14:textId="77777777" w:rsidR="00835192" w:rsidRPr="00FF756A" w:rsidRDefault="00835192" w:rsidP="00835192">
            <w:pPr>
              <w:spacing w:before="20" w:after="20" w:line="240" w:lineRule="auto"/>
              <w:rPr>
                <w:i/>
                <w:iCs/>
                <w:sz w:val="20"/>
                <w:szCs w:val="20"/>
              </w:rPr>
            </w:pPr>
            <w:r w:rsidRPr="00FF756A">
              <w:rPr>
                <w:i/>
                <w:iCs/>
                <w:sz w:val="20"/>
                <w:szCs w:val="20"/>
              </w:rPr>
              <w:t>(EE-C1)</w:t>
            </w:r>
          </w:p>
        </w:tc>
      </w:tr>
      <w:tr w:rsidR="00835192" w:rsidRPr="00FF756A" w14:paraId="365F753B" w14:textId="77777777" w:rsidTr="004A3257">
        <w:trPr>
          <w:trHeight w:val="20"/>
        </w:trPr>
        <w:tc>
          <w:tcPr>
            <w:tcW w:w="2204" w:type="dxa"/>
          </w:tcPr>
          <w:p w14:paraId="05EF1C51"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8" w:type="dxa"/>
            <w:gridSpan w:val="5"/>
          </w:tcPr>
          <w:p w14:paraId="411DFC29" w14:textId="77777777" w:rsidR="00835192" w:rsidRPr="00FF756A" w:rsidRDefault="00835192" w:rsidP="00835192">
            <w:pPr>
              <w:spacing w:before="20" w:after="20" w:line="240" w:lineRule="auto"/>
              <w:rPr>
                <w:i/>
                <w:iCs/>
                <w:sz w:val="20"/>
                <w:szCs w:val="20"/>
              </w:rPr>
            </w:pPr>
            <w:r w:rsidRPr="00FF756A">
              <w:rPr>
                <w:i/>
                <w:iCs/>
                <w:sz w:val="20"/>
                <w:szCs w:val="20"/>
              </w:rPr>
              <w:t>2022 - 2030</w:t>
            </w:r>
          </w:p>
        </w:tc>
      </w:tr>
      <w:tr w:rsidR="00835192" w:rsidRPr="00FF756A" w14:paraId="00D3E715" w14:textId="77777777" w:rsidTr="004A3257">
        <w:trPr>
          <w:trHeight w:val="20"/>
        </w:trPr>
        <w:tc>
          <w:tcPr>
            <w:tcW w:w="2204" w:type="dxa"/>
          </w:tcPr>
          <w:p w14:paraId="07212517"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8" w:type="dxa"/>
            <w:gridSpan w:val="5"/>
          </w:tcPr>
          <w:p w14:paraId="1D988FDE" w14:textId="77777777" w:rsidR="00835192" w:rsidRPr="00FF756A" w:rsidRDefault="00835192" w:rsidP="00835192">
            <w:pPr>
              <w:spacing w:before="20" w:after="20" w:line="240" w:lineRule="auto"/>
              <w:rPr>
                <w:i/>
                <w:iCs/>
                <w:sz w:val="20"/>
                <w:szCs w:val="20"/>
              </w:rPr>
            </w:pPr>
            <w:r w:rsidRPr="00FF756A">
              <w:rPr>
                <w:i/>
                <w:iCs/>
                <w:sz w:val="20"/>
                <w:szCs w:val="20"/>
              </w:rPr>
              <w:t>VKM nr. 709, datë 1.12.2017, “Për miratimin e planit të dytë dhe të tretë kombëtar të veprimit për efiçencën e energjisë, 2017 – 2020”; VKM nr. 480, datë 31.7.2018, “Për miratimin e strategjisë kombëtare të energjisë, 2018-2030”</w:t>
            </w:r>
          </w:p>
        </w:tc>
      </w:tr>
      <w:tr w:rsidR="00835192" w:rsidRPr="00FF756A" w14:paraId="0348F3BE" w14:textId="77777777" w:rsidTr="004A3257">
        <w:trPr>
          <w:trHeight w:val="20"/>
        </w:trPr>
        <w:tc>
          <w:tcPr>
            <w:tcW w:w="2204" w:type="dxa"/>
          </w:tcPr>
          <w:p w14:paraId="5C54C347"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8" w:type="dxa"/>
            <w:gridSpan w:val="5"/>
          </w:tcPr>
          <w:p w14:paraId="3AD472E8" w14:textId="77777777" w:rsidR="00835192" w:rsidRPr="00FF756A" w:rsidRDefault="00835192" w:rsidP="00835192">
            <w:pPr>
              <w:spacing w:before="20" w:after="20" w:line="240" w:lineRule="auto"/>
              <w:rPr>
                <w:i/>
                <w:iCs/>
                <w:sz w:val="20"/>
                <w:szCs w:val="20"/>
              </w:rPr>
            </w:pPr>
            <w:r w:rsidRPr="00FF756A">
              <w:rPr>
                <w:i/>
                <w:iCs/>
                <w:sz w:val="20"/>
                <w:szCs w:val="20"/>
              </w:rPr>
              <w:t>Plani Kombëtar për Integrimin Evropian 2023-2025: Përgatitja e projektligjit “Për etiketimin e produkteve me ndikim në energji”. Projektligji është parashikuar të miratohet me qëllim transpozimin e Rregullores (BE) 2017/1369 të Parlamentit Evropian dhe të Këshillit, datë 4 korrik 2017, "Për krijimin e një kuadri për etiketimin e energjisë dhe shfuqizimin e Direktivës 2010/30/BE".</w:t>
            </w:r>
          </w:p>
        </w:tc>
      </w:tr>
      <w:tr w:rsidR="00835192" w:rsidRPr="00FF756A" w14:paraId="196A7C0F" w14:textId="77777777" w:rsidTr="004A3257">
        <w:trPr>
          <w:trHeight w:val="20"/>
        </w:trPr>
        <w:tc>
          <w:tcPr>
            <w:tcW w:w="2204" w:type="dxa"/>
          </w:tcPr>
          <w:p w14:paraId="20BB821D"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8" w:type="dxa"/>
            <w:gridSpan w:val="5"/>
          </w:tcPr>
          <w:p w14:paraId="547B4DF4" w14:textId="7D4D2AF2" w:rsidR="00835192" w:rsidRPr="00FF756A" w:rsidRDefault="00835192" w:rsidP="00835192">
            <w:pPr>
              <w:spacing w:before="20" w:after="20" w:line="240" w:lineRule="auto"/>
              <w:rPr>
                <w:i/>
                <w:iCs/>
                <w:sz w:val="20"/>
                <w:szCs w:val="20"/>
              </w:rPr>
            </w:pPr>
            <w:r w:rsidRPr="00FF756A">
              <w:rPr>
                <w:i/>
                <w:iCs/>
                <w:sz w:val="20"/>
                <w:szCs w:val="20"/>
              </w:rPr>
              <w:t xml:space="preserve">Zhvillimi dhe zbatimi i legjislacionit për etiketat e energjisë dhe/ose eko-dizajnit për produktet: Vendosja mbi produktet e fabrikuara </w:t>
            </w:r>
            <w:r w:rsidR="00E41632" w:rsidRPr="00FF756A">
              <w:rPr>
                <w:i/>
                <w:iCs/>
                <w:sz w:val="20"/>
                <w:szCs w:val="20"/>
              </w:rPr>
              <w:t>të</w:t>
            </w:r>
            <w:r w:rsidRPr="00FF756A">
              <w:rPr>
                <w:i/>
                <w:iCs/>
                <w:sz w:val="20"/>
                <w:szCs w:val="20"/>
              </w:rPr>
              <w:t xml:space="preserve"> etiketave informuese ku tregohet performanca energjetike, e cila u siguron konsumatorëve informacionin e nevojshëm për marrjen e vendimeve të informuara të blerjes në pikën e shitjes.</w:t>
            </w:r>
          </w:p>
        </w:tc>
      </w:tr>
      <w:tr w:rsidR="00835192" w:rsidRPr="00FF756A" w14:paraId="6129F425" w14:textId="77777777" w:rsidTr="004A3257">
        <w:trPr>
          <w:trHeight w:val="20"/>
        </w:trPr>
        <w:tc>
          <w:tcPr>
            <w:tcW w:w="2204" w:type="dxa"/>
          </w:tcPr>
          <w:p w14:paraId="25260CF0"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8" w:type="dxa"/>
            <w:gridSpan w:val="5"/>
          </w:tcPr>
          <w:p w14:paraId="3FCB2396"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Pritet që, deri në vitin 2030, përqindja e teknologjive me efiçencë të lartë energjetike të jetë 5% e rezervës së përgjithshme. </w:t>
            </w:r>
          </w:p>
          <w:p w14:paraId="6F210782"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Një kursim i parashikuar energjie në masën 3 ktoe deri në vitin 2030.</w:t>
            </w:r>
          </w:p>
        </w:tc>
      </w:tr>
      <w:tr w:rsidR="00835192" w:rsidRPr="00FF756A" w14:paraId="7052EB9E" w14:textId="77777777" w:rsidTr="004A3257">
        <w:trPr>
          <w:trHeight w:val="20"/>
        </w:trPr>
        <w:tc>
          <w:tcPr>
            <w:tcW w:w="2204" w:type="dxa"/>
          </w:tcPr>
          <w:p w14:paraId="21881B44"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8" w:type="dxa"/>
            <w:gridSpan w:val="4"/>
          </w:tcPr>
          <w:p w14:paraId="7D8AC1C9" w14:textId="77777777" w:rsidR="00835192" w:rsidRPr="00FF756A" w:rsidRDefault="00835192" w:rsidP="00835192">
            <w:pPr>
              <w:spacing w:before="20" w:after="20" w:line="240" w:lineRule="auto"/>
              <w:rPr>
                <w:i/>
                <w:iCs/>
                <w:sz w:val="20"/>
                <w:szCs w:val="20"/>
              </w:rPr>
            </w:pPr>
            <w:r w:rsidRPr="00FF756A">
              <w:rPr>
                <w:i/>
                <w:iCs/>
                <w:sz w:val="20"/>
                <w:szCs w:val="20"/>
              </w:rPr>
              <w:t>Transpozimi dhe miratimi i etiketave të energjisë dhe/ose eko-dizajnit për produktet</w:t>
            </w:r>
          </w:p>
          <w:p w14:paraId="4F39442A"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Përshtatja (dhe përditësimi) i legjislacionit mbi produktet individuale, për shembull për të siguruar pajtueshmërinë me legjislacionin evropian dhe ndryshimet e tij, për prezantimin e etiketave të energjisë për kategoritë e reja të produkteve ose për të pasqyruar zhvillimet e tregut; kontrolli i dokumentacionit teknik të produkteve të rregulluara</w:t>
            </w:r>
          </w:p>
          <w:p w14:paraId="62F8DABE" w14:textId="77777777" w:rsidR="00835192" w:rsidRPr="00FF756A" w:rsidRDefault="00835192" w:rsidP="00835192">
            <w:pPr>
              <w:spacing w:before="20" w:after="20" w:line="240" w:lineRule="auto"/>
              <w:rPr>
                <w:i/>
                <w:iCs/>
                <w:sz w:val="20"/>
                <w:szCs w:val="20"/>
              </w:rPr>
            </w:pPr>
            <w:r w:rsidRPr="00FF756A">
              <w:rPr>
                <w:i/>
                <w:iCs/>
                <w:sz w:val="20"/>
                <w:szCs w:val="20"/>
              </w:rPr>
              <w:t xml:space="preserve">Afati kohor për produktet: </w:t>
            </w:r>
          </w:p>
          <w:p w14:paraId="7FECA2E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Frigoriferët</w:t>
            </w:r>
          </w:p>
          <w:p w14:paraId="3432901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Ngrohësit e ujit </w:t>
            </w:r>
          </w:p>
          <w:p w14:paraId="12CEE5A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etj.</w:t>
            </w:r>
          </w:p>
          <w:p w14:paraId="264BFD19" w14:textId="77777777" w:rsidR="00835192" w:rsidRPr="00FF756A" w:rsidRDefault="00835192" w:rsidP="00835192">
            <w:pPr>
              <w:spacing w:before="20" w:after="20" w:line="240" w:lineRule="auto"/>
              <w:rPr>
                <w:i/>
                <w:iCs/>
                <w:sz w:val="20"/>
                <w:szCs w:val="20"/>
              </w:rPr>
            </w:pPr>
            <w:r w:rsidRPr="00FF756A">
              <w:rPr>
                <w:i/>
                <w:iCs/>
                <w:sz w:val="20"/>
                <w:szCs w:val="20"/>
              </w:rPr>
              <w:t xml:space="preserve">Mbikëqyrja e tregut: </w:t>
            </w:r>
          </w:p>
          <w:p w14:paraId="4C3976F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Testimi i produkteve për sa i përket pajtueshmërisë me rregulloret</w:t>
            </w:r>
          </w:p>
          <w:p w14:paraId="53965F4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Monitorimi i përdorimit të etiketave të energjisë nëpër pikat e shitjes</w:t>
            </w:r>
          </w:p>
          <w:p w14:paraId="4AD26722"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Rritja e kapaciteteve teknike të personelit të dedikuar për mbikëqyrjen e tregut lidhur me legjislacionin për etiketat e energjisë dhe eko-dizajnin</w:t>
            </w:r>
          </w:p>
          <w:p w14:paraId="04CB679C" w14:textId="77777777" w:rsidR="00835192" w:rsidRPr="00FF756A" w:rsidRDefault="00835192" w:rsidP="00835192">
            <w:pPr>
              <w:spacing w:before="20" w:after="20" w:line="240" w:lineRule="auto"/>
              <w:rPr>
                <w:i/>
                <w:iCs/>
                <w:sz w:val="20"/>
                <w:szCs w:val="20"/>
              </w:rPr>
            </w:pPr>
            <w:r w:rsidRPr="00FF756A">
              <w:rPr>
                <w:i/>
                <w:iCs/>
                <w:sz w:val="20"/>
                <w:szCs w:val="20"/>
              </w:rPr>
              <w:t xml:space="preserve">Promovimi dhe rritja e ndërgjegjësimit: </w:t>
            </w:r>
          </w:p>
          <w:p w14:paraId="0A528080"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Përgatitja e udhëzimeve lidhur me kërkesat për profesionistët ose e udhëzuesve për konsumatorët, mbështetja në përgatitjen e udhëzuesve dhe procedurave të brendshme</w:t>
            </w:r>
          </w:p>
          <w:p w14:paraId="1A18642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Rritja e ndërgjegjësimit të publikut nëpërmjet informimit lidhur me çështjet shqetësuese nga qeveria, bashkitë dhe shoqëria civile</w:t>
            </w:r>
          </w:p>
          <w:p w14:paraId="34C6E1B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Nxjerrja e njoftimeve në format të shtypur, video apo audio për fushatat e konsumatorëve, duke përfshirë monitorimin e aktiviteteve lidhur me faqet e internetit të fushatave dhe rrjetet sociale</w:t>
            </w:r>
          </w:p>
        </w:tc>
        <w:tc>
          <w:tcPr>
            <w:tcW w:w="850" w:type="dxa"/>
          </w:tcPr>
          <w:p w14:paraId="4CCF0AFE" w14:textId="77777777" w:rsidR="00835192" w:rsidRPr="00FF756A" w:rsidRDefault="00835192" w:rsidP="00835192">
            <w:pPr>
              <w:spacing w:before="20" w:after="20" w:line="240" w:lineRule="auto"/>
              <w:jc w:val="left"/>
              <w:rPr>
                <w:i/>
                <w:iCs/>
                <w:sz w:val="20"/>
                <w:szCs w:val="20"/>
              </w:rPr>
            </w:pPr>
            <w:r w:rsidRPr="00FF756A">
              <w:rPr>
                <w:i/>
                <w:iCs/>
                <w:sz w:val="20"/>
                <w:szCs w:val="20"/>
              </w:rPr>
              <w:t>Nga viti 2022 e në vazhdim</w:t>
            </w:r>
            <w:r w:rsidRPr="00FF756A">
              <w:rPr>
                <w:i/>
                <w:iCs/>
                <w:sz w:val="20"/>
                <w:szCs w:val="20"/>
              </w:rPr>
              <w:br/>
            </w:r>
          </w:p>
          <w:p w14:paraId="3DE58B5D" w14:textId="77777777" w:rsidR="00835192" w:rsidRPr="00FF756A" w:rsidRDefault="00835192" w:rsidP="00835192">
            <w:pPr>
              <w:spacing w:before="20" w:after="20" w:line="240" w:lineRule="auto"/>
              <w:rPr>
                <w:i/>
                <w:iCs/>
                <w:sz w:val="20"/>
                <w:szCs w:val="20"/>
              </w:rPr>
            </w:pPr>
            <w:r w:rsidRPr="00FF756A">
              <w:rPr>
                <w:i/>
                <w:iCs/>
                <w:sz w:val="20"/>
                <w:szCs w:val="20"/>
              </w:rPr>
              <w:br/>
            </w:r>
            <w:r w:rsidRPr="00FF756A">
              <w:rPr>
                <w:i/>
                <w:iCs/>
                <w:sz w:val="20"/>
                <w:szCs w:val="20"/>
              </w:rPr>
              <w:br/>
            </w:r>
            <w:r w:rsidRPr="00FF756A">
              <w:rPr>
                <w:i/>
                <w:iCs/>
                <w:sz w:val="20"/>
                <w:szCs w:val="20"/>
              </w:rPr>
              <w:br/>
            </w:r>
            <w:r w:rsidRPr="00FF756A">
              <w:rPr>
                <w:i/>
                <w:iCs/>
                <w:sz w:val="20"/>
                <w:szCs w:val="20"/>
              </w:rPr>
              <w:br/>
            </w:r>
          </w:p>
          <w:p w14:paraId="2A204780" w14:textId="77777777" w:rsidR="00835192" w:rsidRPr="00FF756A" w:rsidRDefault="00835192" w:rsidP="00835192">
            <w:pPr>
              <w:spacing w:before="20" w:after="20" w:line="240" w:lineRule="auto"/>
              <w:rPr>
                <w:i/>
                <w:iCs/>
                <w:sz w:val="20"/>
                <w:szCs w:val="20"/>
              </w:rPr>
            </w:pPr>
          </w:p>
          <w:p w14:paraId="3363D5BD" w14:textId="77777777" w:rsidR="00835192" w:rsidRPr="00FF756A" w:rsidRDefault="00835192" w:rsidP="00835192">
            <w:pPr>
              <w:spacing w:before="20" w:after="20" w:line="240" w:lineRule="auto"/>
              <w:rPr>
                <w:i/>
                <w:iCs/>
                <w:sz w:val="20"/>
                <w:szCs w:val="20"/>
              </w:rPr>
            </w:pPr>
            <w:r w:rsidRPr="00FF756A">
              <w:rPr>
                <w:i/>
                <w:iCs/>
                <w:sz w:val="20"/>
                <w:szCs w:val="20"/>
              </w:rPr>
              <w:t>2025</w:t>
            </w:r>
          </w:p>
          <w:p w14:paraId="180B7E24" w14:textId="77777777" w:rsidR="00835192" w:rsidRPr="00FF756A" w:rsidRDefault="00835192" w:rsidP="00835192">
            <w:pPr>
              <w:spacing w:before="20" w:after="20" w:line="240" w:lineRule="auto"/>
              <w:rPr>
                <w:i/>
                <w:iCs/>
                <w:sz w:val="20"/>
                <w:szCs w:val="20"/>
              </w:rPr>
            </w:pPr>
            <w:r w:rsidRPr="00FF756A">
              <w:rPr>
                <w:i/>
                <w:iCs/>
                <w:sz w:val="20"/>
                <w:szCs w:val="20"/>
              </w:rPr>
              <w:t>2025</w:t>
            </w:r>
          </w:p>
          <w:p w14:paraId="0BF2F3B0" w14:textId="77777777" w:rsidR="00835192" w:rsidRPr="00FF756A" w:rsidRDefault="00835192" w:rsidP="00835192">
            <w:pPr>
              <w:spacing w:before="20" w:after="20" w:line="240" w:lineRule="auto"/>
              <w:rPr>
                <w:i/>
                <w:iCs/>
                <w:sz w:val="20"/>
                <w:szCs w:val="20"/>
              </w:rPr>
            </w:pPr>
            <w:r w:rsidRPr="00FF756A">
              <w:rPr>
                <w:i/>
                <w:iCs/>
                <w:sz w:val="20"/>
                <w:szCs w:val="20"/>
              </w:rPr>
              <w:t>2025</w:t>
            </w:r>
          </w:p>
          <w:p w14:paraId="027B5ACB" w14:textId="77777777" w:rsidR="00835192" w:rsidRPr="00FF756A" w:rsidRDefault="00835192" w:rsidP="00835192">
            <w:pPr>
              <w:spacing w:before="20" w:after="20" w:line="240" w:lineRule="auto"/>
              <w:rPr>
                <w:i/>
                <w:iCs/>
                <w:sz w:val="20"/>
                <w:szCs w:val="20"/>
              </w:rPr>
            </w:pPr>
            <w:r w:rsidRPr="00FF756A">
              <w:rPr>
                <w:i/>
                <w:iCs/>
                <w:sz w:val="20"/>
                <w:szCs w:val="20"/>
              </w:rPr>
              <w:t>Nga viti 2022 e në vazhdim</w:t>
            </w:r>
          </w:p>
          <w:p w14:paraId="5156C588" w14:textId="77777777" w:rsidR="00835192" w:rsidRPr="00FF756A" w:rsidRDefault="00835192" w:rsidP="00835192">
            <w:pPr>
              <w:spacing w:before="20" w:after="20" w:line="240" w:lineRule="auto"/>
              <w:rPr>
                <w:i/>
                <w:iCs/>
                <w:sz w:val="20"/>
                <w:szCs w:val="20"/>
              </w:rPr>
            </w:pPr>
          </w:p>
          <w:p w14:paraId="08E4DD8F" w14:textId="77777777" w:rsidR="00835192" w:rsidRPr="00FF756A" w:rsidRDefault="00835192" w:rsidP="00835192">
            <w:pPr>
              <w:spacing w:before="20" w:after="20" w:line="240" w:lineRule="auto"/>
              <w:rPr>
                <w:i/>
                <w:iCs/>
                <w:sz w:val="20"/>
                <w:szCs w:val="20"/>
              </w:rPr>
            </w:pPr>
          </w:p>
          <w:p w14:paraId="4F1477B0" w14:textId="77777777" w:rsidR="00835192" w:rsidRPr="00FF756A" w:rsidRDefault="00835192" w:rsidP="00835192">
            <w:pPr>
              <w:spacing w:before="20" w:after="20" w:line="240" w:lineRule="auto"/>
              <w:rPr>
                <w:i/>
                <w:iCs/>
                <w:sz w:val="20"/>
                <w:szCs w:val="20"/>
              </w:rPr>
            </w:pPr>
            <w:r w:rsidRPr="00FF756A">
              <w:rPr>
                <w:i/>
                <w:iCs/>
                <w:sz w:val="20"/>
                <w:szCs w:val="20"/>
              </w:rPr>
              <w:br/>
            </w:r>
          </w:p>
          <w:p w14:paraId="5F407261" w14:textId="77777777" w:rsidR="00835192" w:rsidRPr="00FF756A" w:rsidRDefault="00835192" w:rsidP="00835192">
            <w:pPr>
              <w:spacing w:before="20" w:after="20" w:line="240" w:lineRule="auto"/>
              <w:rPr>
                <w:i/>
                <w:iCs/>
                <w:sz w:val="20"/>
                <w:szCs w:val="20"/>
              </w:rPr>
            </w:pPr>
            <w:r w:rsidRPr="00FF756A">
              <w:rPr>
                <w:i/>
                <w:iCs/>
                <w:sz w:val="20"/>
                <w:szCs w:val="20"/>
              </w:rPr>
              <w:t>Nga viti 2022 e në vazhdim</w:t>
            </w:r>
          </w:p>
          <w:p w14:paraId="4670CC1A" w14:textId="77777777" w:rsidR="00835192" w:rsidRPr="00FF756A" w:rsidRDefault="00835192" w:rsidP="00835192">
            <w:pPr>
              <w:spacing w:before="20" w:after="20" w:line="240" w:lineRule="auto"/>
              <w:rPr>
                <w:i/>
                <w:iCs/>
                <w:sz w:val="20"/>
                <w:szCs w:val="20"/>
              </w:rPr>
            </w:pPr>
          </w:p>
        </w:tc>
      </w:tr>
      <w:tr w:rsidR="00835192" w:rsidRPr="00FF756A" w14:paraId="3B43D83B" w14:textId="77777777" w:rsidTr="004A3257">
        <w:trPr>
          <w:trHeight w:val="20"/>
        </w:trPr>
        <w:tc>
          <w:tcPr>
            <w:tcW w:w="2204" w:type="dxa"/>
          </w:tcPr>
          <w:p w14:paraId="3825F500"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8" w:type="dxa"/>
            <w:gridSpan w:val="5"/>
          </w:tcPr>
          <w:p w14:paraId="2334CA5B" w14:textId="77777777" w:rsidR="00835192" w:rsidRPr="00FF756A" w:rsidRDefault="00835192" w:rsidP="00835192">
            <w:pPr>
              <w:spacing w:before="20" w:after="20" w:line="240" w:lineRule="auto"/>
              <w:rPr>
                <w:i/>
                <w:iCs/>
                <w:sz w:val="20"/>
                <w:szCs w:val="20"/>
              </w:rPr>
            </w:pPr>
            <w:r w:rsidRPr="00FF756A">
              <w:rPr>
                <w:i/>
                <w:iCs/>
                <w:sz w:val="20"/>
                <w:szCs w:val="20"/>
              </w:rPr>
              <w:t>70 milionë euro</w:t>
            </w:r>
          </w:p>
        </w:tc>
      </w:tr>
      <w:tr w:rsidR="00835192" w:rsidRPr="00FF756A" w14:paraId="4DABD522" w14:textId="77777777" w:rsidTr="004A3257">
        <w:trPr>
          <w:trHeight w:val="20"/>
        </w:trPr>
        <w:tc>
          <w:tcPr>
            <w:tcW w:w="2204" w:type="dxa"/>
          </w:tcPr>
          <w:p w14:paraId="34CB1ABD"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6ECD8D30"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8" w:type="dxa"/>
            <w:gridSpan w:val="5"/>
          </w:tcPr>
          <w:p w14:paraId="5EAE640B" w14:textId="77777777" w:rsidR="00835192" w:rsidRPr="00FF756A" w:rsidRDefault="00835192" w:rsidP="00835192">
            <w:pPr>
              <w:spacing w:before="20" w:after="20" w:line="240" w:lineRule="auto"/>
              <w:rPr>
                <w:i/>
                <w:iCs/>
                <w:sz w:val="20"/>
                <w:szCs w:val="20"/>
              </w:rPr>
            </w:pPr>
            <w:r w:rsidRPr="00FF756A">
              <w:rPr>
                <w:i/>
                <w:iCs/>
                <w:sz w:val="20"/>
                <w:szCs w:val="20"/>
              </w:rPr>
              <w:t>Ministritë përgjegjëse, prodhuesit, importuesit, furnitorët, shitësit lokalë me pakicë dhe tregtarët e produkteve</w:t>
            </w:r>
          </w:p>
          <w:p w14:paraId="6340F2B4" w14:textId="77777777" w:rsidR="00835192" w:rsidRPr="00FF756A" w:rsidRDefault="00835192" w:rsidP="00835192">
            <w:pPr>
              <w:spacing w:before="20" w:after="20" w:line="240" w:lineRule="auto"/>
              <w:rPr>
                <w:i/>
                <w:iCs/>
                <w:sz w:val="20"/>
                <w:szCs w:val="20"/>
              </w:rPr>
            </w:pPr>
            <w:r w:rsidRPr="00FF756A">
              <w:rPr>
                <w:i/>
                <w:iCs/>
                <w:sz w:val="20"/>
                <w:szCs w:val="20"/>
              </w:rPr>
              <w:t>(Struktura përgjegjëse për mbikëqyrjen e tregut - Inspektorati Shtetëror i Mbikëqyrjes së Tregut)</w:t>
            </w:r>
          </w:p>
        </w:tc>
      </w:tr>
      <w:tr w:rsidR="00835192" w:rsidRPr="00FF756A" w14:paraId="5E16F66F" w14:textId="77777777" w:rsidTr="004A3257">
        <w:trPr>
          <w:trHeight w:val="20"/>
        </w:trPr>
        <w:tc>
          <w:tcPr>
            <w:tcW w:w="2204" w:type="dxa"/>
          </w:tcPr>
          <w:p w14:paraId="541C48D9"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8" w:type="dxa"/>
            <w:gridSpan w:val="5"/>
          </w:tcPr>
          <w:p w14:paraId="5C23A251" w14:textId="77777777" w:rsidR="00835192" w:rsidRPr="00FF756A" w:rsidRDefault="00835192" w:rsidP="00835192">
            <w:pPr>
              <w:spacing w:before="20" w:after="20" w:line="240" w:lineRule="auto"/>
              <w:rPr>
                <w:i/>
                <w:iCs/>
                <w:sz w:val="20"/>
                <w:szCs w:val="20"/>
              </w:rPr>
            </w:pPr>
            <w:r w:rsidRPr="00FF756A">
              <w:rPr>
                <w:i/>
                <w:iCs/>
                <w:sz w:val="20"/>
                <w:szCs w:val="20"/>
              </w:rPr>
              <w:t xml:space="preserve">Kërkimi, inovacioni dhe konkurrenca </w:t>
            </w:r>
          </w:p>
        </w:tc>
      </w:tr>
    </w:tbl>
    <w:p w14:paraId="31F8E794" w14:textId="77777777" w:rsidR="00835192" w:rsidRPr="00FF756A" w:rsidRDefault="00835192" w:rsidP="00835192"/>
    <w:p w14:paraId="34D8D7C8" w14:textId="10AB9F1C" w:rsidR="00835192" w:rsidRPr="00FF756A" w:rsidRDefault="0002023E" w:rsidP="004A3257">
      <w:pPr>
        <w:pStyle w:val="Heading3"/>
      </w:pPr>
      <w:bookmarkStart w:id="415" w:name="_Toc75616132"/>
      <w:bookmarkStart w:id="416" w:name="_Toc182897788"/>
      <w:bookmarkStart w:id="417" w:name="_Toc183639243"/>
      <w:r w:rsidRPr="00FF756A">
        <w:t xml:space="preserve">3.2.8 </w:t>
      </w:r>
      <w:r w:rsidR="00835192" w:rsidRPr="00FF756A">
        <w:t>Efiçenca e energjisë në transport</w:t>
      </w:r>
      <w:bookmarkEnd w:id="415"/>
      <w:bookmarkEnd w:id="416"/>
      <w:bookmarkEnd w:id="417"/>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2"/>
        <w:gridCol w:w="1279"/>
        <w:gridCol w:w="600"/>
        <w:gridCol w:w="430"/>
        <w:gridCol w:w="3678"/>
        <w:gridCol w:w="883"/>
      </w:tblGrid>
      <w:tr w:rsidR="00835192" w:rsidRPr="00FF756A" w14:paraId="78FBE81C" w14:textId="77777777" w:rsidTr="004A3257">
        <w:trPr>
          <w:trHeight w:val="20"/>
        </w:trPr>
        <w:tc>
          <w:tcPr>
            <w:tcW w:w="4524" w:type="dxa"/>
            <w:gridSpan w:val="4"/>
            <w:shd w:val="clear" w:color="auto" w:fill="FFF2CC" w:themeFill="accent4" w:themeFillTint="33"/>
          </w:tcPr>
          <w:p w14:paraId="7DDAE447"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8" w:type="dxa"/>
            <w:gridSpan w:val="2"/>
            <w:shd w:val="clear" w:color="auto" w:fill="FFF2CC" w:themeFill="accent4" w:themeFillTint="33"/>
          </w:tcPr>
          <w:p w14:paraId="517462B7" w14:textId="77777777" w:rsidR="00835192" w:rsidRPr="00FF756A" w:rsidRDefault="00835192" w:rsidP="008639B2">
            <w:pPr>
              <w:numPr>
                <w:ilvl w:val="0"/>
                <w:numId w:val="108"/>
              </w:numPr>
              <w:spacing w:before="20" w:after="20" w:line="240" w:lineRule="auto"/>
              <w:contextualSpacing/>
              <w:rPr>
                <w:i/>
                <w:iCs/>
                <w:sz w:val="20"/>
                <w:szCs w:val="20"/>
              </w:rPr>
            </w:pPr>
            <w:r w:rsidRPr="00FF756A">
              <w:rPr>
                <w:i/>
                <w:iCs/>
                <w:sz w:val="20"/>
                <w:szCs w:val="20"/>
              </w:rPr>
              <w:t>Efiçenca e energjisë</w:t>
            </w:r>
          </w:p>
        </w:tc>
      </w:tr>
      <w:tr w:rsidR="00835192" w:rsidRPr="00FF756A" w14:paraId="0CF5021C" w14:textId="77777777" w:rsidTr="004A3257">
        <w:trPr>
          <w:trHeight w:val="20"/>
        </w:trPr>
        <w:tc>
          <w:tcPr>
            <w:tcW w:w="4092" w:type="dxa"/>
            <w:gridSpan w:val="3"/>
            <w:shd w:val="clear" w:color="auto" w:fill="FFF2CC" w:themeFill="accent4" w:themeFillTint="33"/>
          </w:tcPr>
          <w:p w14:paraId="73046E02"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80" w:type="dxa"/>
            <w:gridSpan w:val="3"/>
            <w:shd w:val="clear" w:color="auto" w:fill="FFF2CC" w:themeFill="accent4" w:themeFillTint="33"/>
          </w:tcPr>
          <w:p w14:paraId="0BFD3C0A" w14:textId="77777777" w:rsidR="00835192" w:rsidRPr="00FF756A" w:rsidRDefault="00835192" w:rsidP="00835192">
            <w:pPr>
              <w:spacing w:before="20" w:after="20" w:line="240" w:lineRule="auto"/>
              <w:rPr>
                <w:i/>
                <w:iCs/>
                <w:sz w:val="20"/>
                <w:szCs w:val="20"/>
              </w:rPr>
            </w:pPr>
            <w:r w:rsidRPr="00FF756A">
              <w:rPr>
                <w:i/>
                <w:iCs/>
                <w:sz w:val="20"/>
                <w:szCs w:val="20"/>
              </w:rPr>
              <w:t>Transporti</w:t>
            </w:r>
          </w:p>
        </w:tc>
      </w:tr>
      <w:tr w:rsidR="00835192" w:rsidRPr="00FF756A" w14:paraId="18872630" w14:textId="77777777" w:rsidTr="004A3257">
        <w:trPr>
          <w:trHeight w:val="20"/>
        </w:trPr>
        <w:tc>
          <w:tcPr>
            <w:tcW w:w="3488" w:type="dxa"/>
            <w:gridSpan w:val="2"/>
          </w:tcPr>
          <w:p w14:paraId="2E5EA1AC"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7F6D117B"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4" w:type="dxa"/>
            <w:gridSpan w:val="4"/>
          </w:tcPr>
          <w:p w14:paraId="16449F43" w14:textId="77777777" w:rsidR="00835192" w:rsidRPr="00FF756A" w:rsidRDefault="00835192" w:rsidP="00835192">
            <w:pPr>
              <w:spacing w:before="20" w:after="20" w:line="240" w:lineRule="auto"/>
              <w:rPr>
                <w:i/>
                <w:iCs/>
                <w:sz w:val="20"/>
                <w:szCs w:val="20"/>
              </w:rPr>
            </w:pPr>
            <w:r w:rsidRPr="00FF756A">
              <w:rPr>
                <w:i/>
                <w:iCs/>
                <w:sz w:val="20"/>
                <w:szCs w:val="20"/>
              </w:rPr>
              <w:t>WAM</w:t>
            </w:r>
          </w:p>
          <w:p w14:paraId="619E7F51" w14:textId="77777777" w:rsidR="00835192" w:rsidRPr="00FF756A" w:rsidRDefault="00835192" w:rsidP="00835192">
            <w:pPr>
              <w:spacing w:before="20" w:after="20" w:line="240" w:lineRule="auto"/>
              <w:rPr>
                <w:i/>
                <w:iCs/>
                <w:sz w:val="20"/>
                <w:szCs w:val="20"/>
              </w:rPr>
            </w:pPr>
            <w:r w:rsidRPr="00FF756A">
              <w:rPr>
                <w:i/>
                <w:iCs/>
                <w:sz w:val="20"/>
                <w:szCs w:val="20"/>
              </w:rPr>
              <w:t>Informativ; Edukativ</w:t>
            </w:r>
          </w:p>
        </w:tc>
      </w:tr>
      <w:tr w:rsidR="00835192" w:rsidRPr="00FF756A" w14:paraId="57ED6991" w14:textId="77777777" w:rsidTr="004A3257">
        <w:trPr>
          <w:trHeight w:val="20"/>
        </w:trPr>
        <w:tc>
          <w:tcPr>
            <w:tcW w:w="2201" w:type="dxa"/>
          </w:tcPr>
          <w:p w14:paraId="13D0B829"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4935C3A0"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1" w:type="dxa"/>
            <w:gridSpan w:val="5"/>
          </w:tcPr>
          <w:p w14:paraId="2E9EBCF3" w14:textId="77777777" w:rsidR="00835192" w:rsidRPr="00FF756A" w:rsidRDefault="00835192" w:rsidP="00835192">
            <w:pPr>
              <w:spacing w:before="20" w:after="20" w:line="240" w:lineRule="auto"/>
              <w:rPr>
                <w:i/>
                <w:iCs/>
                <w:sz w:val="20"/>
                <w:szCs w:val="20"/>
              </w:rPr>
            </w:pPr>
            <w:r w:rsidRPr="00FF756A">
              <w:rPr>
                <w:i/>
                <w:iCs/>
                <w:sz w:val="20"/>
                <w:szCs w:val="20"/>
              </w:rPr>
              <w:t>Etiketimi i energjisë për makinat e reja</w:t>
            </w:r>
          </w:p>
          <w:p w14:paraId="1AC3785E" w14:textId="77777777" w:rsidR="00835192" w:rsidRPr="00FF756A" w:rsidRDefault="00835192" w:rsidP="00835192">
            <w:pPr>
              <w:spacing w:before="20" w:after="20" w:line="240" w:lineRule="auto"/>
              <w:rPr>
                <w:i/>
                <w:iCs/>
                <w:sz w:val="20"/>
                <w:szCs w:val="20"/>
              </w:rPr>
            </w:pPr>
            <w:r w:rsidRPr="00FF756A">
              <w:rPr>
                <w:i/>
                <w:iCs/>
                <w:sz w:val="20"/>
                <w:szCs w:val="20"/>
              </w:rPr>
              <w:t>(EE-T1)</w:t>
            </w:r>
          </w:p>
        </w:tc>
      </w:tr>
      <w:tr w:rsidR="00835192" w:rsidRPr="00FF756A" w14:paraId="568E5938" w14:textId="77777777" w:rsidTr="004A3257">
        <w:trPr>
          <w:trHeight w:val="20"/>
        </w:trPr>
        <w:tc>
          <w:tcPr>
            <w:tcW w:w="2201" w:type="dxa"/>
          </w:tcPr>
          <w:p w14:paraId="49F7BB17"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1" w:type="dxa"/>
            <w:gridSpan w:val="5"/>
          </w:tcPr>
          <w:p w14:paraId="3FD12BE9" w14:textId="77777777" w:rsidR="00835192" w:rsidRPr="00FF756A" w:rsidRDefault="00835192" w:rsidP="00835192">
            <w:pPr>
              <w:spacing w:before="20" w:after="20" w:line="240" w:lineRule="auto"/>
              <w:rPr>
                <w:i/>
                <w:iCs/>
                <w:sz w:val="20"/>
                <w:szCs w:val="20"/>
              </w:rPr>
            </w:pPr>
            <w:r w:rsidRPr="00FF756A">
              <w:rPr>
                <w:i/>
                <w:iCs/>
                <w:sz w:val="20"/>
                <w:szCs w:val="20"/>
              </w:rPr>
              <w:t>2022 - vazhdim</w:t>
            </w:r>
          </w:p>
        </w:tc>
      </w:tr>
      <w:tr w:rsidR="00835192" w:rsidRPr="00FF756A" w14:paraId="500B213E" w14:textId="77777777" w:rsidTr="004A3257">
        <w:trPr>
          <w:trHeight w:val="20"/>
        </w:trPr>
        <w:tc>
          <w:tcPr>
            <w:tcW w:w="2201" w:type="dxa"/>
          </w:tcPr>
          <w:p w14:paraId="2E018F70"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1" w:type="dxa"/>
            <w:gridSpan w:val="5"/>
          </w:tcPr>
          <w:p w14:paraId="0CE88A37" w14:textId="77777777" w:rsidR="00835192" w:rsidRPr="00FF756A" w:rsidRDefault="00835192" w:rsidP="00835192">
            <w:pPr>
              <w:spacing w:before="20" w:after="20" w:line="240" w:lineRule="auto"/>
              <w:rPr>
                <w:i/>
                <w:iCs/>
                <w:sz w:val="20"/>
                <w:szCs w:val="20"/>
              </w:rPr>
            </w:pPr>
            <w:r w:rsidRPr="00FF756A">
              <w:rPr>
                <w:i/>
                <w:iCs/>
                <w:sz w:val="20"/>
                <w:szCs w:val="20"/>
              </w:rPr>
              <w:t>VKM nr. 480, datë 31.7.2018, “Për miratimin e strategjisë kombëtare të energjisë 2018-2030”; VKM nr. 619, datë 7.9.2011, “Për miratimin e planit kombëtar të veprimit për efiçencën e energjisë, 2011 – 2018” (Masa 4.4 – Masat për përmirësimin e efiçencës së energjisë në sektorin e transportit / Masat për automjetet për përdorim personal / Etiketa e energjisë për makinat e reja)</w:t>
            </w:r>
          </w:p>
        </w:tc>
      </w:tr>
      <w:tr w:rsidR="00835192" w:rsidRPr="00FF756A" w14:paraId="71E0AA31" w14:textId="77777777" w:rsidTr="004A3257">
        <w:trPr>
          <w:trHeight w:val="20"/>
        </w:trPr>
        <w:tc>
          <w:tcPr>
            <w:tcW w:w="2201" w:type="dxa"/>
          </w:tcPr>
          <w:p w14:paraId="56072961"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1" w:type="dxa"/>
            <w:gridSpan w:val="5"/>
          </w:tcPr>
          <w:p w14:paraId="6BCB509E" w14:textId="77777777" w:rsidR="00835192" w:rsidRPr="00FF756A" w:rsidRDefault="00835192" w:rsidP="00835192">
            <w:pPr>
              <w:spacing w:before="20" w:after="20" w:line="240" w:lineRule="auto"/>
              <w:rPr>
                <w:i/>
                <w:iCs/>
                <w:sz w:val="20"/>
                <w:szCs w:val="20"/>
              </w:rPr>
            </w:pPr>
            <w:r w:rsidRPr="00FF756A">
              <w:rPr>
                <w:i/>
                <w:iCs/>
                <w:sz w:val="20"/>
                <w:szCs w:val="20"/>
              </w:rPr>
              <w:t>Aktualisht ka dy praktika ekzistuese të ngjashme, por jo të lidhura drejtpërdrejt me qëllimin e kësaj direktive: (i) publikimi i një liste çmimesh për automjetet e reja të transportit të udhëtarëve sipas llojit të lëndës djegëse, efiçencës së lëndës djegëse, cilindratës dhe shkarkimeve të CO</w:t>
            </w:r>
            <w:r w:rsidRPr="00FF756A">
              <w:rPr>
                <w:i/>
                <w:iCs/>
                <w:sz w:val="20"/>
                <w:szCs w:val="20"/>
                <w:vertAlign w:val="subscript"/>
              </w:rPr>
              <w:t xml:space="preserve">2 </w:t>
            </w:r>
            <w:r w:rsidRPr="00FF756A">
              <w:rPr>
                <w:i/>
                <w:iCs/>
                <w:sz w:val="20"/>
                <w:szCs w:val="20"/>
              </w:rPr>
              <w:t>, për të ndihmuar në procedurat e zhdoganimit dhe në llogaritjen e detyrimeve financiare; dhe (ii) përfshirja e shkarkimeve të CO</w:t>
            </w:r>
            <w:r w:rsidRPr="00FF756A">
              <w:rPr>
                <w:i/>
                <w:iCs/>
                <w:sz w:val="20"/>
                <w:szCs w:val="20"/>
                <w:vertAlign w:val="subscript"/>
              </w:rPr>
              <w:t xml:space="preserve">2 </w:t>
            </w:r>
            <w:r w:rsidRPr="00FF756A">
              <w:rPr>
                <w:i/>
                <w:iCs/>
                <w:sz w:val="20"/>
                <w:szCs w:val="20"/>
              </w:rPr>
              <w:t xml:space="preserve"> në listën e kontrollit vjetor teknik të secilit prej automjeteve.</w:t>
            </w:r>
          </w:p>
        </w:tc>
      </w:tr>
      <w:tr w:rsidR="00835192" w:rsidRPr="00FF756A" w14:paraId="4B6CFAF6" w14:textId="77777777" w:rsidTr="004A3257">
        <w:trPr>
          <w:trHeight w:val="20"/>
        </w:trPr>
        <w:tc>
          <w:tcPr>
            <w:tcW w:w="2201" w:type="dxa"/>
          </w:tcPr>
          <w:p w14:paraId="52EE101D"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1" w:type="dxa"/>
            <w:gridSpan w:val="5"/>
          </w:tcPr>
          <w:p w14:paraId="11ECFB2F" w14:textId="77777777" w:rsidR="00835192" w:rsidRPr="00FF756A" w:rsidRDefault="00835192" w:rsidP="00835192">
            <w:pPr>
              <w:spacing w:before="20" w:after="20" w:line="240" w:lineRule="auto"/>
              <w:rPr>
                <w:i/>
                <w:iCs/>
                <w:sz w:val="20"/>
                <w:szCs w:val="20"/>
              </w:rPr>
            </w:pPr>
            <w:r w:rsidRPr="00FF756A">
              <w:rPr>
                <w:i/>
                <w:iCs/>
                <w:sz w:val="20"/>
                <w:szCs w:val="20"/>
              </w:rPr>
              <w:t>Ngritja e një kuadri rregullator që siguron informacione transparente në lidhje me efiçencën e lëndës djegëse dhe shkarkimet e CO</w:t>
            </w:r>
            <w:r w:rsidRPr="00FF756A">
              <w:rPr>
                <w:i/>
                <w:iCs/>
                <w:sz w:val="20"/>
                <w:szCs w:val="20"/>
                <w:vertAlign w:val="subscript"/>
              </w:rPr>
              <w:t>2</w:t>
            </w:r>
            <w:r w:rsidRPr="00FF756A">
              <w:rPr>
                <w:i/>
                <w:iCs/>
                <w:sz w:val="20"/>
                <w:szCs w:val="20"/>
              </w:rPr>
              <w:t xml:space="preserve"> të automjeteve të reja të transportit të udhëtarëve në shitje ose për qira.</w:t>
            </w:r>
          </w:p>
        </w:tc>
      </w:tr>
      <w:tr w:rsidR="00835192" w:rsidRPr="00FF756A" w14:paraId="1E771BA7" w14:textId="77777777" w:rsidTr="004A3257">
        <w:trPr>
          <w:trHeight w:val="20"/>
        </w:trPr>
        <w:tc>
          <w:tcPr>
            <w:tcW w:w="2201" w:type="dxa"/>
          </w:tcPr>
          <w:p w14:paraId="2EE494BF"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1" w:type="dxa"/>
            <w:gridSpan w:val="5"/>
          </w:tcPr>
          <w:p w14:paraId="122B340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Lejimi i konsumatorëve për të bërë zgjedhjet e tyre dhe për të ndikuar në reduktimin e konsumit të energjisë dhe të shkarkimeve.</w:t>
            </w:r>
          </w:p>
        </w:tc>
      </w:tr>
      <w:tr w:rsidR="00835192" w:rsidRPr="00FF756A" w14:paraId="05D903C7" w14:textId="77777777" w:rsidTr="004A3257">
        <w:trPr>
          <w:trHeight w:val="20"/>
        </w:trPr>
        <w:tc>
          <w:tcPr>
            <w:tcW w:w="2201" w:type="dxa"/>
          </w:tcPr>
          <w:p w14:paraId="5A6C90DC"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1" w:type="dxa"/>
            <w:gridSpan w:val="4"/>
          </w:tcPr>
          <w:p w14:paraId="11FE34CC"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Transpozimi dhe miratimi i Direktivës 1999/94/BE, Direktivës 2003/73/BE, Rekomandimit të Komisionit 2003/217/KE dhe Rekomandimit të Komisionit (BE) 2017/948.</w:t>
            </w:r>
          </w:p>
          <w:p w14:paraId="603C26A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Ofrimi i trajnimit për autoritetet kompetente dhe grupet e interesit mbi zbatimin e kërkesave të garantimit të disponueshmërisë së informacionit për konsumatorin lidhur me efiçencën e lëndës djegëse dhe shkarkimet e CO</w:t>
            </w:r>
            <w:r w:rsidRPr="00FF756A">
              <w:rPr>
                <w:i/>
                <w:iCs/>
                <w:sz w:val="20"/>
                <w:szCs w:val="20"/>
                <w:vertAlign w:val="subscript"/>
              </w:rPr>
              <w:t>2</w:t>
            </w:r>
          </w:p>
        </w:tc>
        <w:tc>
          <w:tcPr>
            <w:tcW w:w="850" w:type="dxa"/>
          </w:tcPr>
          <w:p w14:paraId="7EA41634"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2026</w:t>
            </w:r>
            <w:r w:rsidRPr="00FF756A">
              <w:rPr>
                <w:i/>
                <w:iCs/>
                <w:sz w:val="20"/>
                <w:szCs w:val="20"/>
              </w:rPr>
              <w:br/>
            </w:r>
            <w:r w:rsidRPr="00FF756A">
              <w:rPr>
                <w:i/>
                <w:iCs/>
                <w:sz w:val="20"/>
                <w:szCs w:val="20"/>
              </w:rPr>
              <w:br/>
            </w:r>
          </w:p>
          <w:p w14:paraId="77F4CFE9" w14:textId="77777777" w:rsidR="00835192" w:rsidRPr="00FF756A" w:rsidRDefault="00835192" w:rsidP="00835192">
            <w:pPr>
              <w:spacing w:before="20" w:after="20" w:line="240" w:lineRule="auto"/>
              <w:jc w:val="left"/>
              <w:rPr>
                <w:i/>
                <w:iCs/>
                <w:sz w:val="20"/>
                <w:szCs w:val="20"/>
              </w:rPr>
            </w:pPr>
            <w:r w:rsidRPr="00FF756A">
              <w:rPr>
                <w:i/>
                <w:iCs/>
                <w:sz w:val="20"/>
                <w:szCs w:val="20"/>
              </w:rPr>
              <w:t>Nga viti 2026 e në vazhdim</w:t>
            </w:r>
          </w:p>
        </w:tc>
      </w:tr>
      <w:tr w:rsidR="00835192" w:rsidRPr="00FF756A" w14:paraId="41E54764" w14:textId="77777777" w:rsidTr="004A3257">
        <w:trPr>
          <w:trHeight w:val="20"/>
        </w:trPr>
        <w:tc>
          <w:tcPr>
            <w:tcW w:w="2201" w:type="dxa"/>
          </w:tcPr>
          <w:p w14:paraId="71728C95"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1" w:type="dxa"/>
            <w:gridSpan w:val="5"/>
          </w:tcPr>
          <w:p w14:paraId="52881F2C" w14:textId="77777777" w:rsidR="00835192" w:rsidRPr="00FF756A" w:rsidRDefault="00835192" w:rsidP="00835192">
            <w:pPr>
              <w:spacing w:before="20" w:after="20" w:line="240" w:lineRule="auto"/>
              <w:rPr>
                <w:i/>
                <w:iCs/>
                <w:sz w:val="20"/>
                <w:szCs w:val="20"/>
              </w:rPr>
            </w:pPr>
            <w:r w:rsidRPr="00FF756A">
              <w:rPr>
                <w:i/>
                <w:iCs/>
                <w:sz w:val="20"/>
                <w:szCs w:val="20"/>
              </w:rPr>
              <w:t>2 milionë euro</w:t>
            </w:r>
          </w:p>
          <w:p w14:paraId="4B20BC51" w14:textId="77777777" w:rsidR="00835192" w:rsidRPr="00FF756A" w:rsidRDefault="00835192" w:rsidP="00835192">
            <w:pPr>
              <w:spacing w:before="20" w:after="20" w:line="240" w:lineRule="auto"/>
              <w:rPr>
                <w:i/>
                <w:iCs/>
                <w:sz w:val="20"/>
                <w:szCs w:val="20"/>
              </w:rPr>
            </w:pPr>
            <w:r w:rsidRPr="00FF756A">
              <w:rPr>
                <w:i/>
                <w:iCs/>
                <w:sz w:val="20"/>
                <w:szCs w:val="20"/>
              </w:rPr>
              <w:t>Ofrimi i asistencës teknike për transpozimin e direktivave dhe rekomandimeve të sipërpërmendura.</w:t>
            </w:r>
          </w:p>
        </w:tc>
      </w:tr>
      <w:tr w:rsidR="00835192" w:rsidRPr="00FF756A" w14:paraId="3EAA304C" w14:textId="77777777" w:rsidTr="004A3257">
        <w:trPr>
          <w:trHeight w:val="20"/>
        </w:trPr>
        <w:tc>
          <w:tcPr>
            <w:tcW w:w="2201" w:type="dxa"/>
          </w:tcPr>
          <w:p w14:paraId="13F0AA9C"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12CDF000"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1" w:type="dxa"/>
            <w:gridSpan w:val="5"/>
          </w:tcPr>
          <w:p w14:paraId="017CF4DD"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subjekte private (koncesionarë për shitjen e makinave të importuara)</w:t>
            </w:r>
          </w:p>
          <w:p w14:paraId="31CA72FD" w14:textId="77777777" w:rsidR="00835192" w:rsidRPr="00FF756A" w:rsidRDefault="00835192" w:rsidP="00835192">
            <w:pPr>
              <w:spacing w:before="20" w:after="20" w:line="240" w:lineRule="auto"/>
              <w:rPr>
                <w:i/>
                <w:iCs/>
                <w:sz w:val="20"/>
                <w:szCs w:val="20"/>
              </w:rPr>
            </w:pPr>
            <w:r w:rsidRPr="00FF756A">
              <w:rPr>
                <w:i/>
                <w:iCs/>
                <w:sz w:val="20"/>
                <w:szCs w:val="20"/>
              </w:rPr>
              <w:t>(Agjencia për Efiçencën e Energjisë)</w:t>
            </w:r>
          </w:p>
        </w:tc>
      </w:tr>
      <w:tr w:rsidR="00835192" w:rsidRPr="00FF756A" w14:paraId="47D7D587" w14:textId="77777777" w:rsidTr="004A3257">
        <w:trPr>
          <w:trHeight w:val="20"/>
        </w:trPr>
        <w:tc>
          <w:tcPr>
            <w:tcW w:w="2201" w:type="dxa"/>
          </w:tcPr>
          <w:p w14:paraId="220BB787"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1" w:type="dxa"/>
            <w:gridSpan w:val="5"/>
          </w:tcPr>
          <w:p w14:paraId="368C8505" w14:textId="77777777" w:rsidR="00835192" w:rsidRPr="00FF756A" w:rsidRDefault="00835192" w:rsidP="00835192">
            <w:pPr>
              <w:spacing w:before="20" w:after="20" w:line="240" w:lineRule="auto"/>
              <w:rPr>
                <w:i/>
                <w:iCs/>
                <w:sz w:val="20"/>
                <w:szCs w:val="20"/>
              </w:rPr>
            </w:pPr>
            <w:r w:rsidRPr="00FF756A">
              <w:rPr>
                <w:i/>
                <w:iCs/>
                <w:sz w:val="20"/>
                <w:szCs w:val="20"/>
              </w:rPr>
              <w:t xml:space="preserve">Dekarbonizimi; Kërkimi, inovacioni dhe konkurrenca </w:t>
            </w:r>
          </w:p>
        </w:tc>
      </w:tr>
    </w:tbl>
    <w:p w14:paraId="3E27652C"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4"/>
        <w:gridCol w:w="1285"/>
        <w:gridCol w:w="602"/>
        <w:gridCol w:w="430"/>
        <w:gridCol w:w="3549"/>
        <w:gridCol w:w="992"/>
      </w:tblGrid>
      <w:tr w:rsidR="00835192" w:rsidRPr="00FF756A" w14:paraId="42D73BCC" w14:textId="77777777" w:rsidTr="004A3257">
        <w:trPr>
          <w:trHeight w:val="20"/>
        </w:trPr>
        <w:tc>
          <w:tcPr>
            <w:tcW w:w="4526" w:type="dxa"/>
            <w:gridSpan w:val="4"/>
            <w:shd w:val="clear" w:color="auto" w:fill="FFF2CC" w:themeFill="accent4" w:themeFillTint="33"/>
          </w:tcPr>
          <w:p w14:paraId="08612D9E"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6" w:type="dxa"/>
            <w:gridSpan w:val="2"/>
            <w:shd w:val="clear" w:color="auto" w:fill="FFF2CC" w:themeFill="accent4" w:themeFillTint="33"/>
          </w:tcPr>
          <w:p w14:paraId="131FB7B4" w14:textId="77777777" w:rsidR="00835192" w:rsidRPr="00FF756A" w:rsidRDefault="00835192" w:rsidP="008639B2">
            <w:pPr>
              <w:numPr>
                <w:ilvl w:val="0"/>
                <w:numId w:val="109"/>
              </w:numPr>
              <w:spacing w:before="20" w:after="20" w:line="240" w:lineRule="auto"/>
              <w:contextualSpacing/>
              <w:rPr>
                <w:i/>
                <w:iCs/>
                <w:sz w:val="20"/>
                <w:szCs w:val="20"/>
              </w:rPr>
            </w:pPr>
            <w:r w:rsidRPr="00FF756A">
              <w:rPr>
                <w:i/>
                <w:iCs/>
                <w:sz w:val="20"/>
                <w:szCs w:val="20"/>
              </w:rPr>
              <w:t>Efiçenca e energjisë</w:t>
            </w:r>
          </w:p>
        </w:tc>
      </w:tr>
      <w:tr w:rsidR="00835192" w:rsidRPr="00FF756A" w14:paraId="6CCBC8DF" w14:textId="77777777" w:rsidTr="004A3257">
        <w:trPr>
          <w:trHeight w:val="20"/>
        </w:trPr>
        <w:tc>
          <w:tcPr>
            <w:tcW w:w="4095" w:type="dxa"/>
            <w:gridSpan w:val="3"/>
            <w:shd w:val="clear" w:color="auto" w:fill="FFF2CC" w:themeFill="accent4" w:themeFillTint="33"/>
          </w:tcPr>
          <w:p w14:paraId="561DDEEB"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7" w:type="dxa"/>
            <w:gridSpan w:val="3"/>
            <w:shd w:val="clear" w:color="auto" w:fill="FFF2CC" w:themeFill="accent4" w:themeFillTint="33"/>
          </w:tcPr>
          <w:p w14:paraId="52FDC718" w14:textId="77777777" w:rsidR="00835192" w:rsidRPr="00FF756A" w:rsidRDefault="00835192" w:rsidP="00835192">
            <w:pPr>
              <w:spacing w:before="20" w:after="20" w:line="240" w:lineRule="auto"/>
              <w:rPr>
                <w:i/>
                <w:iCs/>
                <w:sz w:val="20"/>
                <w:szCs w:val="20"/>
              </w:rPr>
            </w:pPr>
            <w:r w:rsidRPr="00FF756A">
              <w:rPr>
                <w:i/>
                <w:iCs/>
                <w:sz w:val="20"/>
                <w:szCs w:val="20"/>
              </w:rPr>
              <w:t>Transporti</w:t>
            </w:r>
          </w:p>
        </w:tc>
      </w:tr>
      <w:tr w:rsidR="00835192" w:rsidRPr="00FF756A" w14:paraId="12FF3D78" w14:textId="77777777" w:rsidTr="004A3257">
        <w:trPr>
          <w:trHeight w:val="20"/>
        </w:trPr>
        <w:tc>
          <w:tcPr>
            <w:tcW w:w="3492" w:type="dxa"/>
            <w:gridSpan w:val="2"/>
          </w:tcPr>
          <w:p w14:paraId="60E5F517"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70F86AB7"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0" w:type="dxa"/>
            <w:gridSpan w:val="4"/>
          </w:tcPr>
          <w:p w14:paraId="0522D5E3" w14:textId="77777777" w:rsidR="00835192" w:rsidRPr="00FF756A" w:rsidRDefault="00835192" w:rsidP="00835192">
            <w:pPr>
              <w:spacing w:before="20" w:after="20" w:line="240" w:lineRule="auto"/>
              <w:rPr>
                <w:i/>
                <w:iCs/>
                <w:sz w:val="20"/>
                <w:szCs w:val="20"/>
              </w:rPr>
            </w:pPr>
            <w:r w:rsidRPr="00FF756A">
              <w:rPr>
                <w:i/>
                <w:iCs/>
                <w:sz w:val="20"/>
                <w:szCs w:val="20"/>
              </w:rPr>
              <w:t>WAM</w:t>
            </w:r>
          </w:p>
          <w:p w14:paraId="24740C0E" w14:textId="77777777" w:rsidR="00835192" w:rsidRPr="00FF756A" w:rsidRDefault="00835192" w:rsidP="00835192">
            <w:pPr>
              <w:spacing w:before="20" w:after="20" w:line="240" w:lineRule="auto"/>
              <w:rPr>
                <w:i/>
                <w:iCs/>
                <w:sz w:val="20"/>
                <w:szCs w:val="20"/>
              </w:rPr>
            </w:pPr>
            <w:r w:rsidRPr="00FF756A">
              <w:rPr>
                <w:i/>
                <w:iCs/>
                <w:sz w:val="20"/>
                <w:szCs w:val="20"/>
              </w:rPr>
              <w:t xml:space="preserve">Rregullator; Financiar, Fiskal; </w:t>
            </w:r>
          </w:p>
        </w:tc>
      </w:tr>
      <w:tr w:rsidR="00835192" w:rsidRPr="00FF756A" w14:paraId="5EB12D36" w14:textId="77777777" w:rsidTr="004A3257">
        <w:trPr>
          <w:trHeight w:val="20"/>
        </w:trPr>
        <w:tc>
          <w:tcPr>
            <w:tcW w:w="2205" w:type="dxa"/>
          </w:tcPr>
          <w:p w14:paraId="64E5E9E7"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634B1D6E"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7" w:type="dxa"/>
            <w:gridSpan w:val="5"/>
          </w:tcPr>
          <w:p w14:paraId="53B4EEFC" w14:textId="77777777" w:rsidR="00835192" w:rsidRPr="00FF756A" w:rsidRDefault="00835192" w:rsidP="00835192">
            <w:pPr>
              <w:spacing w:before="20" w:after="20" w:line="240" w:lineRule="auto"/>
              <w:rPr>
                <w:i/>
                <w:iCs/>
                <w:sz w:val="20"/>
                <w:szCs w:val="20"/>
              </w:rPr>
            </w:pPr>
            <w:r w:rsidRPr="00FF756A">
              <w:rPr>
                <w:i/>
                <w:iCs/>
                <w:sz w:val="20"/>
                <w:szCs w:val="20"/>
              </w:rPr>
              <w:t>Rritja e përqindjes së automjeteve elektrike në flotën kombëtare të makinave</w:t>
            </w:r>
          </w:p>
          <w:p w14:paraId="5F411435" w14:textId="77777777" w:rsidR="00835192" w:rsidRPr="00FF756A" w:rsidRDefault="00835192" w:rsidP="00835192">
            <w:pPr>
              <w:spacing w:before="20" w:after="20" w:line="240" w:lineRule="auto"/>
              <w:rPr>
                <w:i/>
                <w:iCs/>
                <w:sz w:val="20"/>
                <w:szCs w:val="20"/>
              </w:rPr>
            </w:pPr>
            <w:r w:rsidRPr="00FF756A">
              <w:rPr>
                <w:i/>
                <w:iCs/>
                <w:sz w:val="20"/>
                <w:szCs w:val="20"/>
              </w:rPr>
              <w:t>(EE-T2)</w:t>
            </w:r>
          </w:p>
        </w:tc>
      </w:tr>
      <w:tr w:rsidR="00835192" w:rsidRPr="00FF756A" w14:paraId="420B3895" w14:textId="77777777" w:rsidTr="004A3257">
        <w:trPr>
          <w:trHeight w:val="20"/>
        </w:trPr>
        <w:tc>
          <w:tcPr>
            <w:tcW w:w="2205" w:type="dxa"/>
          </w:tcPr>
          <w:p w14:paraId="4E206967"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7" w:type="dxa"/>
            <w:gridSpan w:val="5"/>
          </w:tcPr>
          <w:p w14:paraId="4C7866C4" w14:textId="77777777" w:rsidR="00835192" w:rsidRPr="00FF756A" w:rsidRDefault="00835192" w:rsidP="00835192">
            <w:pPr>
              <w:spacing w:before="20" w:after="20" w:line="240" w:lineRule="auto"/>
              <w:rPr>
                <w:i/>
                <w:iCs/>
                <w:sz w:val="20"/>
                <w:szCs w:val="20"/>
              </w:rPr>
            </w:pPr>
            <w:r w:rsidRPr="00FF756A">
              <w:rPr>
                <w:i/>
                <w:iCs/>
                <w:sz w:val="20"/>
                <w:szCs w:val="20"/>
              </w:rPr>
              <w:t>2023 - 2030</w:t>
            </w:r>
          </w:p>
        </w:tc>
      </w:tr>
      <w:tr w:rsidR="00835192" w:rsidRPr="00FF756A" w14:paraId="056EBFAF" w14:textId="77777777" w:rsidTr="004A3257">
        <w:trPr>
          <w:trHeight w:val="20"/>
        </w:trPr>
        <w:tc>
          <w:tcPr>
            <w:tcW w:w="2205" w:type="dxa"/>
          </w:tcPr>
          <w:p w14:paraId="43867BA1"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7" w:type="dxa"/>
            <w:gridSpan w:val="5"/>
          </w:tcPr>
          <w:p w14:paraId="19419E9E" w14:textId="77777777" w:rsidR="00835192" w:rsidRPr="00FF756A" w:rsidRDefault="00835192" w:rsidP="00835192">
            <w:pPr>
              <w:spacing w:before="20" w:after="20" w:line="240" w:lineRule="auto"/>
              <w:rPr>
                <w:i/>
                <w:iCs/>
                <w:sz w:val="20"/>
                <w:szCs w:val="20"/>
              </w:rPr>
            </w:pPr>
            <w:r w:rsidRPr="00FF756A">
              <w:rPr>
                <w:i/>
                <w:iCs/>
                <w:sz w:val="20"/>
                <w:szCs w:val="20"/>
              </w:rPr>
              <w:t>Ligji nr. 155/2020, datë 17.12.2020, “Për ndryshimet klimatike”; VKM nr. 466, datë 3.7.2019, “Për miratimin e dokumentit strategjik dhe planit kombëtar për zbutjen e gazeve me efekt serrë dhe për përshtatjen ndaj ndryshimeve klimatike”;</w:t>
            </w:r>
            <w:r w:rsidRPr="00FF756A">
              <w:t xml:space="preserve"> </w:t>
            </w:r>
            <w:r w:rsidRPr="00FF756A">
              <w:rPr>
                <w:i/>
                <w:sz w:val="20"/>
                <w:szCs w:val="20"/>
              </w:rPr>
              <w:t>Strategjia Kombëtare e Transportit, NDC (2016-2030)</w:t>
            </w:r>
          </w:p>
        </w:tc>
      </w:tr>
      <w:tr w:rsidR="00835192" w:rsidRPr="00FF756A" w14:paraId="2AB80A83" w14:textId="77777777" w:rsidTr="004A3257">
        <w:trPr>
          <w:trHeight w:val="20"/>
        </w:trPr>
        <w:tc>
          <w:tcPr>
            <w:tcW w:w="2205" w:type="dxa"/>
          </w:tcPr>
          <w:p w14:paraId="04BC5D77"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7" w:type="dxa"/>
            <w:gridSpan w:val="5"/>
          </w:tcPr>
          <w:p w14:paraId="495A5D3F" w14:textId="77777777" w:rsidR="00835192" w:rsidRPr="00FF756A" w:rsidRDefault="00835192" w:rsidP="00835192">
            <w:pPr>
              <w:spacing w:before="20" w:after="20" w:line="240" w:lineRule="auto"/>
              <w:rPr>
                <w:i/>
                <w:iCs/>
                <w:sz w:val="20"/>
                <w:szCs w:val="20"/>
              </w:rPr>
            </w:pPr>
            <w:r w:rsidRPr="00FF756A">
              <w:rPr>
                <w:i/>
                <w:iCs/>
                <w:sz w:val="20"/>
                <w:szCs w:val="20"/>
              </w:rPr>
              <w:t>Ekzistenca e disa incentivave, në nivel kombëtar, për promovimin e automjeteve elektrike: (i) Asnjë “tarifë regjistrimi për herë të parë” për automjetet e reja; (ii) Asnjë taksë për automjetin për 5 vitet e para; (iii) Përjashtim nga TVSH-ja (20%) për automjetet elektrike; (iv) Përjashtim nga TVSH-ja vetëm për automjetet e reja me motor elektrik, me qëllim inkurajimin e individëve dhe bizneseve për të blerë automjete të tilla; dhe (v) Asnjë taksë rruge</w:t>
            </w:r>
          </w:p>
        </w:tc>
      </w:tr>
      <w:tr w:rsidR="00835192" w:rsidRPr="00FF756A" w14:paraId="5FD26571" w14:textId="77777777" w:rsidTr="004A3257">
        <w:trPr>
          <w:trHeight w:val="20"/>
        </w:trPr>
        <w:tc>
          <w:tcPr>
            <w:tcW w:w="2205" w:type="dxa"/>
          </w:tcPr>
          <w:p w14:paraId="71780826"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7" w:type="dxa"/>
            <w:gridSpan w:val="5"/>
          </w:tcPr>
          <w:p w14:paraId="24DD7B5D" w14:textId="77777777" w:rsidR="00835192" w:rsidRPr="00FF756A" w:rsidRDefault="00835192" w:rsidP="00835192">
            <w:pPr>
              <w:spacing w:before="20" w:after="20" w:line="240" w:lineRule="auto"/>
              <w:rPr>
                <w:i/>
                <w:iCs/>
                <w:sz w:val="20"/>
                <w:szCs w:val="20"/>
              </w:rPr>
            </w:pPr>
            <w:r w:rsidRPr="00FF756A">
              <w:rPr>
                <w:i/>
                <w:iCs/>
                <w:sz w:val="20"/>
                <w:szCs w:val="20"/>
              </w:rPr>
              <w:t xml:space="preserve">Krijimi i stacioneve të karikimit për makinat elektrike për të rritur qëndrueshmërinë e përgjithshme të Sistemit të Lëvizshmërisë Rrugore dhe Urbane dhe reduktimi i shkarkimeve të GES-ve që vijnë nga sektori i transportit përmes </w:t>
            </w:r>
            <w:r w:rsidRPr="00FF756A">
              <w:rPr>
                <w:bCs/>
                <w:i/>
                <w:sz w:val="20"/>
                <w:szCs w:val="20"/>
                <w:shd w:val="clear" w:color="auto" w:fill="FFFFFF"/>
              </w:rPr>
              <w:t>vënies në përdorim të infrastrukturës së karikimit</w:t>
            </w:r>
            <w:r w:rsidRPr="00FF756A">
              <w:rPr>
                <w:i/>
                <w:iCs/>
                <w:sz w:val="20"/>
                <w:szCs w:val="20"/>
              </w:rPr>
              <w:t>.</w:t>
            </w:r>
          </w:p>
        </w:tc>
      </w:tr>
      <w:tr w:rsidR="00835192" w:rsidRPr="00FF756A" w14:paraId="09C08638" w14:textId="77777777" w:rsidTr="004A3257">
        <w:trPr>
          <w:trHeight w:val="20"/>
        </w:trPr>
        <w:tc>
          <w:tcPr>
            <w:tcW w:w="2205" w:type="dxa"/>
          </w:tcPr>
          <w:p w14:paraId="258A84E8"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7" w:type="dxa"/>
            <w:gridSpan w:val="5"/>
          </w:tcPr>
          <w:p w14:paraId="4E197E7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Reduktimi i konsumit të energjisë fosile dhe garantimi i qëndrueshmërisë së transportit publik/privat, përmes zhvillimit të infrastrukturës që konsiston në stacione karikimi të automjeteve elektrike</w:t>
            </w:r>
          </w:p>
          <w:p w14:paraId="431662D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Ngritja e 200-300 stacioneve të karikimit për makinat elektrike në të gjithë Shqipërinë, deri në vitin 2025</w:t>
            </w:r>
          </w:p>
          <w:p w14:paraId="4CD9CADC"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Përmbushja e angazhimeve të Shqipërisë në kuadër të Direktivës për Lëvizshmërinë e Qëndrueshme</w:t>
            </w:r>
          </w:p>
          <w:p w14:paraId="5A483914"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Reduktimi i ndotjes së ajrit me anë të promovimit të makinave elektrike, sipas standardeve evropiane</w:t>
            </w:r>
          </w:p>
          <w:p w14:paraId="1FC2A85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 sa i përket ndikimit të pritshëm në transport të shkarkimeve të CO</w:t>
            </w:r>
            <w:r w:rsidRPr="00FF756A">
              <w:rPr>
                <w:i/>
                <w:iCs/>
                <w:sz w:val="20"/>
                <w:szCs w:val="20"/>
                <w:vertAlign w:val="subscript"/>
              </w:rPr>
              <w:t>2</w:t>
            </w:r>
            <w:r w:rsidRPr="00FF756A">
              <w:rPr>
                <w:i/>
                <w:iCs/>
                <w:sz w:val="20"/>
                <w:szCs w:val="20"/>
              </w:rPr>
              <w:t>, një reduktim i përgjithshëm me rreth 2,5-3% i shkarkimeve totale të CO</w:t>
            </w:r>
            <w:r w:rsidRPr="00FF756A">
              <w:rPr>
                <w:i/>
                <w:iCs/>
                <w:sz w:val="20"/>
                <w:szCs w:val="20"/>
                <w:vertAlign w:val="subscript"/>
              </w:rPr>
              <w:t>2</w:t>
            </w:r>
            <w:r w:rsidRPr="00FF756A">
              <w:rPr>
                <w:i/>
                <w:iCs/>
                <w:sz w:val="20"/>
                <w:szCs w:val="20"/>
              </w:rPr>
              <w:t xml:space="preserve"> deri në vitin 2025 (duke marrë parasysh reduktimin e synuar me 5% të konsumit total të energjisë dhe reduktimin e pritshëm me 50-60% të shkarkimeve të CO</w:t>
            </w:r>
            <w:r w:rsidRPr="00FF756A">
              <w:rPr>
                <w:i/>
                <w:iCs/>
                <w:sz w:val="20"/>
                <w:szCs w:val="20"/>
                <w:vertAlign w:val="subscript"/>
              </w:rPr>
              <w:t>2</w:t>
            </w:r>
            <w:r w:rsidRPr="00FF756A">
              <w:rPr>
                <w:i/>
                <w:iCs/>
                <w:sz w:val="20"/>
                <w:szCs w:val="20"/>
              </w:rPr>
              <w:t xml:space="preserve"> për çdo km të përshkuar nga automjeti, krahasuar me lëndët djegëse fosile) dhe me 5-6% në vitin 2030 (duke marrë parasysh reduktimin e synuar me 10% të konsumit total të energjisë), sipas propozimit të NDC-së.</w:t>
            </w:r>
          </w:p>
        </w:tc>
      </w:tr>
      <w:tr w:rsidR="00835192" w:rsidRPr="00FF756A" w14:paraId="7EAE95B4" w14:textId="77777777" w:rsidTr="004A3257">
        <w:trPr>
          <w:trHeight w:val="20"/>
        </w:trPr>
        <w:tc>
          <w:tcPr>
            <w:tcW w:w="2205" w:type="dxa"/>
          </w:tcPr>
          <w:p w14:paraId="39E9D4CE"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5875" w:type="dxa"/>
            <w:gridSpan w:val="4"/>
          </w:tcPr>
          <w:p w14:paraId="5A95C11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Zhvillimi i infrastrukturës së stacioneve të karikimit të makinave elektrike </w:t>
            </w:r>
          </w:p>
          <w:p w14:paraId="3E1DA2E4"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Pasurim i flotës së taksive me modele hibride apo elektrike</w:t>
            </w:r>
          </w:p>
        </w:tc>
        <w:tc>
          <w:tcPr>
            <w:tcW w:w="992" w:type="dxa"/>
          </w:tcPr>
          <w:p w14:paraId="11FED142" w14:textId="77777777" w:rsidR="00835192" w:rsidRPr="00FF756A" w:rsidRDefault="00835192" w:rsidP="00835192">
            <w:pPr>
              <w:spacing w:before="20" w:after="20" w:line="240" w:lineRule="auto"/>
              <w:rPr>
                <w:i/>
                <w:iCs/>
                <w:sz w:val="20"/>
                <w:szCs w:val="20"/>
              </w:rPr>
            </w:pPr>
            <w:r w:rsidRPr="00FF756A">
              <w:rPr>
                <w:i/>
                <w:iCs/>
                <w:sz w:val="20"/>
                <w:szCs w:val="20"/>
              </w:rPr>
              <w:t>brenda vitit 2025</w:t>
            </w:r>
          </w:p>
          <w:p w14:paraId="77AE8EF0" w14:textId="77777777" w:rsidR="00835192" w:rsidRPr="00FF756A" w:rsidRDefault="00835192" w:rsidP="00835192">
            <w:pPr>
              <w:spacing w:before="20" w:after="20" w:line="240" w:lineRule="auto"/>
              <w:rPr>
                <w:i/>
                <w:iCs/>
                <w:sz w:val="20"/>
                <w:szCs w:val="20"/>
              </w:rPr>
            </w:pPr>
            <w:r w:rsidRPr="00FF756A">
              <w:rPr>
                <w:i/>
                <w:iCs/>
                <w:sz w:val="20"/>
                <w:szCs w:val="20"/>
              </w:rPr>
              <w:t>brenda vitit 2025</w:t>
            </w:r>
          </w:p>
        </w:tc>
      </w:tr>
      <w:tr w:rsidR="00835192" w:rsidRPr="00FF756A" w14:paraId="5AD565BE" w14:textId="77777777" w:rsidTr="004A3257">
        <w:trPr>
          <w:trHeight w:val="20"/>
        </w:trPr>
        <w:tc>
          <w:tcPr>
            <w:tcW w:w="2205" w:type="dxa"/>
          </w:tcPr>
          <w:p w14:paraId="0AB218CC"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7" w:type="dxa"/>
            <w:gridSpan w:val="5"/>
          </w:tcPr>
          <w:p w14:paraId="6D6E0E11" w14:textId="77777777" w:rsidR="00835192" w:rsidRPr="00FF756A" w:rsidRDefault="00835192" w:rsidP="00835192">
            <w:pPr>
              <w:spacing w:before="20" w:after="20" w:line="240" w:lineRule="auto"/>
              <w:rPr>
                <w:i/>
                <w:iCs/>
                <w:sz w:val="20"/>
                <w:szCs w:val="20"/>
              </w:rPr>
            </w:pPr>
            <w:r w:rsidRPr="00FF756A">
              <w:rPr>
                <w:i/>
                <w:iCs/>
                <w:sz w:val="20"/>
                <w:szCs w:val="20"/>
              </w:rPr>
              <w:t xml:space="preserve">Rreth 5 milionë euro </w:t>
            </w:r>
            <w:bookmarkStart w:id="418" w:name="_Hlk75541588"/>
            <w:r w:rsidRPr="00FF756A">
              <w:rPr>
                <w:i/>
                <w:iCs/>
                <w:sz w:val="20"/>
                <w:szCs w:val="20"/>
              </w:rPr>
              <w:t xml:space="preserve">CAPEX (shpenzime kapitale) </w:t>
            </w:r>
            <w:bookmarkEnd w:id="418"/>
            <w:r w:rsidRPr="00FF756A">
              <w:rPr>
                <w:i/>
                <w:iCs/>
                <w:sz w:val="20"/>
                <w:szCs w:val="20"/>
              </w:rPr>
              <w:t xml:space="preserve">në infrastrukturën e stacioneve të karikimit; </w:t>
            </w:r>
          </w:p>
          <w:p w14:paraId="321E98B7" w14:textId="77777777" w:rsidR="00835192" w:rsidRPr="00FF756A" w:rsidRDefault="00835192" w:rsidP="00835192">
            <w:pPr>
              <w:spacing w:before="20" w:after="20" w:line="240" w:lineRule="auto"/>
              <w:rPr>
                <w:i/>
                <w:iCs/>
                <w:sz w:val="20"/>
                <w:szCs w:val="20"/>
              </w:rPr>
            </w:pPr>
            <w:r w:rsidRPr="00FF756A">
              <w:rPr>
                <w:i/>
                <w:iCs/>
                <w:sz w:val="20"/>
                <w:szCs w:val="20"/>
              </w:rPr>
              <w:t>Pasurim i flotës së taksive me modele hibride apo elektrike me një kosto kapitale prej 0,5 milionë euro</w:t>
            </w:r>
          </w:p>
        </w:tc>
      </w:tr>
      <w:tr w:rsidR="00835192" w:rsidRPr="00FF756A" w14:paraId="287C659C" w14:textId="77777777" w:rsidTr="004A3257">
        <w:trPr>
          <w:trHeight w:val="20"/>
        </w:trPr>
        <w:tc>
          <w:tcPr>
            <w:tcW w:w="2205" w:type="dxa"/>
          </w:tcPr>
          <w:p w14:paraId="47AD0BE1"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54AD991E"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7" w:type="dxa"/>
            <w:gridSpan w:val="5"/>
          </w:tcPr>
          <w:p w14:paraId="22D800B2"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Ministria e Financave dhe Ekonomisë, Bashkia e Tiranës, Agjencia për Efiçencën e Energjisë</w:t>
            </w:r>
          </w:p>
          <w:p w14:paraId="539F7C9D"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Ministria e Financave dhe Ekonomisë, Agjencia për Efiçencën e Energjisë)</w:t>
            </w:r>
          </w:p>
        </w:tc>
      </w:tr>
      <w:tr w:rsidR="00835192" w:rsidRPr="00FF756A" w14:paraId="525FF84E" w14:textId="77777777" w:rsidTr="004A3257">
        <w:trPr>
          <w:trHeight w:val="20"/>
        </w:trPr>
        <w:tc>
          <w:tcPr>
            <w:tcW w:w="2205" w:type="dxa"/>
          </w:tcPr>
          <w:p w14:paraId="4752CB97"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7" w:type="dxa"/>
            <w:gridSpan w:val="5"/>
          </w:tcPr>
          <w:p w14:paraId="4E59495B" w14:textId="77777777" w:rsidR="00835192" w:rsidRPr="00FF756A" w:rsidRDefault="00835192" w:rsidP="00835192">
            <w:pPr>
              <w:spacing w:before="20" w:after="20" w:line="240" w:lineRule="auto"/>
              <w:rPr>
                <w:i/>
                <w:iCs/>
                <w:sz w:val="20"/>
                <w:szCs w:val="20"/>
              </w:rPr>
            </w:pPr>
            <w:r w:rsidRPr="00FF756A">
              <w:rPr>
                <w:i/>
                <w:iCs/>
                <w:sz w:val="20"/>
                <w:szCs w:val="20"/>
              </w:rPr>
              <w:t>Dekarbonizimi/Energjia e rinovueshme</w:t>
            </w:r>
          </w:p>
        </w:tc>
      </w:tr>
    </w:tbl>
    <w:p w14:paraId="46C5B6C8" w14:textId="77777777" w:rsidR="00835192" w:rsidRPr="00FF756A" w:rsidRDefault="00835192" w:rsidP="00835192"/>
    <w:tbl>
      <w:tblPr>
        <w:tblStyle w:val="TableGrid"/>
        <w:tblW w:w="0" w:type="auto"/>
        <w:tblBorders>
          <w:left w:val="none" w:sz="0" w:space="0" w:color="auto"/>
          <w:right w:val="none" w:sz="0" w:space="0" w:color="auto"/>
        </w:tblBorders>
        <w:tblLook w:val="04A0" w:firstRow="1" w:lastRow="0" w:firstColumn="1" w:lastColumn="0" w:noHBand="0" w:noVBand="1"/>
      </w:tblPr>
      <w:tblGrid>
        <w:gridCol w:w="2070"/>
        <w:gridCol w:w="1280"/>
        <w:gridCol w:w="602"/>
        <w:gridCol w:w="433"/>
        <w:gridCol w:w="3685"/>
        <w:gridCol w:w="992"/>
      </w:tblGrid>
      <w:tr w:rsidR="00835192" w:rsidRPr="00FF756A" w14:paraId="70CDB63D" w14:textId="77777777" w:rsidTr="004A3257">
        <w:trPr>
          <w:trHeight w:val="20"/>
        </w:trPr>
        <w:tc>
          <w:tcPr>
            <w:tcW w:w="4390" w:type="dxa"/>
            <w:gridSpan w:val="4"/>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2A01E675"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682" w:type="dxa"/>
            <w:gridSpan w:val="2"/>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25F2DB24" w14:textId="77777777" w:rsidR="00835192" w:rsidRPr="00FF756A" w:rsidRDefault="00835192" w:rsidP="008639B2">
            <w:pPr>
              <w:numPr>
                <w:ilvl w:val="0"/>
                <w:numId w:val="110"/>
              </w:numPr>
              <w:spacing w:before="20" w:after="20" w:line="240" w:lineRule="auto"/>
              <w:contextualSpacing/>
              <w:rPr>
                <w:i/>
                <w:iCs/>
                <w:sz w:val="20"/>
                <w:szCs w:val="20"/>
              </w:rPr>
            </w:pPr>
            <w:r w:rsidRPr="00FF756A">
              <w:rPr>
                <w:i/>
                <w:iCs/>
                <w:sz w:val="20"/>
                <w:szCs w:val="20"/>
              </w:rPr>
              <w:t>Efiçenca e energjisë</w:t>
            </w:r>
          </w:p>
        </w:tc>
      </w:tr>
      <w:tr w:rsidR="00835192" w:rsidRPr="00FF756A" w14:paraId="7D9598DB" w14:textId="77777777" w:rsidTr="004A3257">
        <w:trPr>
          <w:trHeight w:val="20"/>
        </w:trPr>
        <w:tc>
          <w:tcPr>
            <w:tcW w:w="3957"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1ED52AEA"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5115"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72DC0415" w14:textId="77777777" w:rsidR="00835192" w:rsidRPr="00FF756A" w:rsidRDefault="00835192" w:rsidP="00835192">
            <w:pPr>
              <w:spacing w:before="20" w:after="20" w:line="240" w:lineRule="auto"/>
              <w:rPr>
                <w:i/>
                <w:iCs/>
                <w:sz w:val="20"/>
                <w:szCs w:val="20"/>
              </w:rPr>
            </w:pPr>
            <w:r w:rsidRPr="00FF756A">
              <w:rPr>
                <w:i/>
                <w:iCs/>
                <w:sz w:val="20"/>
                <w:szCs w:val="20"/>
              </w:rPr>
              <w:t>Transporti</w:t>
            </w:r>
          </w:p>
        </w:tc>
      </w:tr>
      <w:tr w:rsidR="00835192" w:rsidRPr="00FF756A" w14:paraId="733CCE3E" w14:textId="77777777" w:rsidTr="004A3257">
        <w:trPr>
          <w:trHeight w:val="20"/>
        </w:trPr>
        <w:tc>
          <w:tcPr>
            <w:tcW w:w="3354" w:type="dxa"/>
            <w:gridSpan w:val="2"/>
            <w:tcBorders>
              <w:top w:val="single" w:sz="4" w:space="0" w:color="auto"/>
              <w:left w:val="single" w:sz="4" w:space="0" w:color="auto"/>
              <w:bottom w:val="single" w:sz="4" w:space="0" w:color="auto"/>
              <w:right w:val="single" w:sz="4" w:space="0" w:color="auto"/>
            </w:tcBorders>
          </w:tcPr>
          <w:p w14:paraId="6F15F3E1"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3839F55A"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718" w:type="dxa"/>
            <w:gridSpan w:val="4"/>
            <w:tcBorders>
              <w:top w:val="single" w:sz="4" w:space="0" w:color="auto"/>
              <w:left w:val="single" w:sz="4" w:space="0" w:color="auto"/>
              <w:bottom w:val="single" w:sz="4" w:space="0" w:color="auto"/>
              <w:right w:val="single" w:sz="4" w:space="0" w:color="auto"/>
            </w:tcBorders>
          </w:tcPr>
          <w:p w14:paraId="228645DA" w14:textId="77777777" w:rsidR="00835192" w:rsidRPr="00FF756A" w:rsidRDefault="00835192" w:rsidP="00835192">
            <w:pPr>
              <w:spacing w:before="20" w:after="20" w:line="240" w:lineRule="auto"/>
              <w:rPr>
                <w:i/>
                <w:iCs/>
                <w:sz w:val="20"/>
                <w:szCs w:val="20"/>
              </w:rPr>
            </w:pPr>
            <w:r w:rsidRPr="00FF756A">
              <w:rPr>
                <w:i/>
                <w:iCs/>
                <w:sz w:val="20"/>
                <w:szCs w:val="20"/>
              </w:rPr>
              <w:t>WEM</w:t>
            </w:r>
          </w:p>
          <w:p w14:paraId="143292F7" w14:textId="77777777" w:rsidR="00835192" w:rsidRPr="00FF756A" w:rsidRDefault="00835192" w:rsidP="00835192">
            <w:pPr>
              <w:spacing w:before="20" w:after="20" w:line="240" w:lineRule="auto"/>
              <w:rPr>
                <w:i/>
                <w:iCs/>
                <w:sz w:val="20"/>
                <w:szCs w:val="20"/>
              </w:rPr>
            </w:pPr>
            <w:r w:rsidRPr="00FF756A">
              <w:rPr>
                <w:i/>
                <w:iCs/>
                <w:sz w:val="20"/>
                <w:szCs w:val="20"/>
              </w:rPr>
              <w:t>Rregullator; Financiar; Fiskal</w:t>
            </w:r>
          </w:p>
        </w:tc>
      </w:tr>
      <w:tr w:rsidR="00835192" w:rsidRPr="00FF756A" w14:paraId="154BA2AF" w14:textId="77777777" w:rsidTr="004A3257">
        <w:trPr>
          <w:trHeight w:val="20"/>
        </w:trPr>
        <w:tc>
          <w:tcPr>
            <w:tcW w:w="2072" w:type="dxa"/>
            <w:tcBorders>
              <w:top w:val="single" w:sz="4" w:space="0" w:color="auto"/>
              <w:left w:val="single" w:sz="4" w:space="0" w:color="auto"/>
              <w:bottom w:val="single" w:sz="4" w:space="0" w:color="auto"/>
              <w:right w:val="single" w:sz="4" w:space="0" w:color="auto"/>
            </w:tcBorders>
          </w:tcPr>
          <w:p w14:paraId="7EC1096B"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4E935976"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7000" w:type="dxa"/>
            <w:gridSpan w:val="5"/>
            <w:tcBorders>
              <w:top w:val="single" w:sz="4" w:space="0" w:color="auto"/>
              <w:left w:val="single" w:sz="4" w:space="0" w:color="auto"/>
              <w:bottom w:val="single" w:sz="4" w:space="0" w:color="auto"/>
              <w:right w:val="single" w:sz="4" w:space="0" w:color="auto"/>
            </w:tcBorders>
          </w:tcPr>
          <w:p w14:paraId="05DBECFF" w14:textId="77777777" w:rsidR="00835192" w:rsidRPr="00FF756A" w:rsidRDefault="00835192" w:rsidP="00835192">
            <w:pPr>
              <w:spacing w:before="20" w:after="20" w:line="240" w:lineRule="auto"/>
              <w:rPr>
                <w:i/>
                <w:iCs/>
                <w:sz w:val="20"/>
                <w:szCs w:val="20"/>
              </w:rPr>
            </w:pPr>
            <w:r w:rsidRPr="00FF756A">
              <w:rPr>
                <w:i/>
                <w:iCs/>
                <w:sz w:val="20"/>
                <w:szCs w:val="20"/>
              </w:rPr>
              <w:t>Mekanizmat mbështetës për EE-në dhe automjetet me lëndë djegëse të pastra</w:t>
            </w:r>
          </w:p>
          <w:p w14:paraId="611FA00B" w14:textId="77777777" w:rsidR="00835192" w:rsidRPr="00FF756A" w:rsidRDefault="00835192" w:rsidP="00835192">
            <w:pPr>
              <w:spacing w:before="20" w:after="20" w:line="240" w:lineRule="auto"/>
              <w:rPr>
                <w:i/>
                <w:iCs/>
                <w:sz w:val="20"/>
                <w:szCs w:val="20"/>
              </w:rPr>
            </w:pPr>
            <w:r w:rsidRPr="00FF756A">
              <w:rPr>
                <w:i/>
                <w:iCs/>
                <w:sz w:val="20"/>
                <w:szCs w:val="20"/>
              </w:rPr>
              <w:t>(EE-T3)</w:t>
            </w:r>
          </w:p>
        </w:tc>
      </w:tr>
      <w:tr w:rsidR="00835192" w:rsidRPr="00FF756A" w14:paraId="183C727D" w14:textId="77777777" w:rsidTr="004A3257">
        <w:trPr>
          <w:trHeight w:val="20"/>
        </w:trPr>
        <w:tc>
          <w:tcPr>
            <w:tcW w:w="2072" w:type="dxa"/>
            <w:tcBorders>
              <w:top w:val="single" w:sz="4" w:space="0" w:color="auto"/>
              <w:left w:val="single" w:sz="4" w:space="0" w:color="auto"/>
              <w:bottom w:val="single" w:sz="4" w:space="0" w:color="auto"/>
              <w:right w:val="single" w:sz="4" w:space="0" w:color="auto"/>
            </w:tcBorders>
          </w:tcPr>
          <w:p w14:paraId="11ACE181"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7000" w:type="dxa"/>
            <w:gridSpan w:val="5"/>
            <w:tcBorders>
              <w:top w:val="single" w:sz="4" w:space="0" w:color="auto"/>
              <w:left w:val="single" w:sz="4" w:space="0" w:color="auto"/>
              <w:bottom w:val="single" w:sz="4" w:space="0" w:color="auto"/>
              <w:right w:val="single" w:sz="4" w:space="0" w:color="auto"/>
            </w:tcBorders>
          </w:tcPr>
          <w:p w14:paraId="3053C1BE" w14:textId="77777777" w:rsidR="00835192" w:rsidRPr="00FF756A" w:rsidRDefault="00835192" w:rsidP="00835192">
            <w:pPr>
              <w:spacing w:before="20" w:after="20" w:line="240" w:lineRule="auto"/>
              <w:rPr>
                <w:i/>
                <w:iCs/>
                <w:sz w:val="20"/>
                <w:szCs w:val="20"/>
              </w:rPr>
            </w:pPr>
            <w:r w:rsidRPr="00FF756A">
              <w:rPr>
                <w:i/>
                <w:iCs/>
                <w:sz w:val="20"/>
                <w:szCs w:val="20"/>
              </w:rPr>
              <w:t>2023 – në vazhdim</w:t>
            </w:r>
          </w:p>
        </w:tc>
      </w:tr>
      <w:tr w:rsidR="00835192" w:rsidRPr="00FF756A" w14:paraId="09560A04" w14:textId="77777777" w:rsidTr="004A3257">
        <w:trPr>
          <w:trHeight w:val="20"/>
        </w:trPr>
        <w:tc>
          <w:tcPr>
            <w:tcW w:w="2072" w:type="dxa"/>
            <w:tcBorders>
              <w:top w:val="single" w:sz="4" w:space="0" w:color="auto"/>
              <w:left w:val="single" w:sz="4" w:space="0" w:color="auto"/>
              <w:bottom w:val="single" w:sz="4" w:space="0" w:color="auto"/>
              <w:right w:val="single" w:sz="4" w:space="0" w:color="auto"/>
            </w:tcBorders>
          </w:tcPr>
          <w:p w14:paraId="6200DE6E"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7000" w:type="dxa"/>
            <w:gridSpan w:val="5"/>
            <w:tcBorders>
              <w:top w:val="single" w:sz="4" w:space="0" w:color="auto"/>
              <w:left w:val="single" w:sz="4" w:space="0" w:color="auto"/>
              <w:bottom w:val="single" w:sz="4" w:space="0" w:color="auto"/>
              <w:right w:val="single" w:sz="4" w:space="0" w:color="auto"/>
            </w:tcBorders>
          </w:tcPr>
          <w:p w14:paraId="56620491" w14:textId="77777777" w:rsidR="00835192" w:rsidRPr="00FF756A" w:rsidRDefault="00835192" w:rsidP="00835192">
            <w:pPr>
              <w:spacing w:before="20" w:after="20" w:line="240" w:lineRule="auto"/>
              <w:rPr>
                <w:i/>
                <w:iCs/>
                <w:sz w:val="20"/>
                <w:szCs w:val="20"/>
              </w:rPr>
            </w:pPr>
            <w:r w:rsidRPr="00FF756A">
              <w:rPr>
                <w:i/>
                <w:iCs/>
                <w:sz w:val="20"/>
                <w:szCs w:val="20"/>
              </w:rPr>
              <w:t>VKM nr. 480, datë 31.7.2018, “Për miratimin e strategjisë kombëtare të energjisë 2018-2030”, VKM nr. 580, datë 28.8.2019, “Për miratimin e planit të konsoliduar kombëtar të veprimit për burimet e rinovueshme të energjisë, 2019-2020”</w:t>
            </w:r>
          </w:p>
        </w:tc>
      </w:tr>
      <w:tr w:rsidR="00835192" w:rsidRPr="00FF756A" w14:paraId="4406D6B6" w14:textId="77777777" w:rsidTr="004A3257">
        <w:trPr>
          <w:trHeight w:val="20"/>
        </w:trPr>
        <w:tc>
          <w:tcPr>
            <w:tcW w:w="2072" w:type="dxa"/>
            <w:tcBorders>
              <w:top w:val="single" w:sz="4" w:space="0" w:color="auto"/>
              <w:left w:val="single" w:sz="4" w:space="0" w:color="auto"/>
              <w:bottom w:val="single" w:sz="4" w:space="0" w:color="auto"/>
              <w:right w:val="single" w:sz="4" w:space="0" w:color="auto"/>
            </w:tcBorders>
          </w:tcPr>
          <w:p w14:paraId="44CAFF0A"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7000" w:type="dxa"/>
            <w:gridSpan w:val="5"/>
            <w:tcBorders>
              <w:top w:val="single" w:sz="4" w:space="0" w:color="auto"/>
              <w:left w:val="single" w:sz="4" w:space="0" w:color="auto"/>
              <w:bottom w:val="single" w:sz="4" w:space="0" w:color="auto"/>
              <w:right w:val="single" w:sz="4" w:space="0" w:color="auto"/>
            </w:tcBorders>
          </w:tcPr>
          <w:p w14:paraId="3AA6F654" w14:textId="333FC718" w:rsidR="00835192" w:rsidRPr="00FF756A" w:rsidRDefault="00835192" w:rsidP="00835192">
            <w:pPr>
              <w:spacing w:before="20" w:after="20" w:line="240" w:lineRule="auto"/>
              <w:rPr>
                <w:i/>
                <w:iCs/>
                <w:sz w:val="20"/>
                <w:szCs w:val="20"/>
              </w:rPr>
            </w:pPr>
            <w:r w:rsidRPr="00FF756A">
              <w:rPr>
                <w:i/>
                <w:iCs/>
                <w:sz w:val="20"/>
                <w:szCs w:val="20"/>
              </w:rPr>
              <w:t>Zbatimi i Udhëzimit nr. 6527, datë 24.12.2004, “Mbi vlerat e lejueshme të elementeve ndotës të ajrit në mjedis nga shkarkimet e gazrave dhe zhurmave shkaktuar nga</w:t>
            </w:r>
            <w:r w:rsidRPr="00FF756A">
              <w:rPr>
                <w:i/>
                <w:iCs/>
                <w:sz w:val="20"/>
                <w:szCs w:val="20"/>
              </w:rPr>
              <w:br/>
              <w:t>mjetet rrugore, dhe mënyrat e kontrollit të tyre”, i ndryshuar Caktimi i taksës së karbonit në masën 1,5 lekë për litër për benzinën, 3 lekë për litër për naftën (Ligji nr. 9975, datë 28.7.2008, “Për taksat kombëtare” (i ndryshuar)).</w:t>
            </w:r>
          </w:p>
          <w:p w14:paraId="3244CA3C" w14:textId="77777777" w:rsidR="00835192" w:rsidRPr="00FF756A" w:rsidRDefault="00835192" w:rsidP="00835192">
            <w:pPr>
              <w:spacing w:before="20" w:after="20" w:line="240" w:lineRule="auto"/>
              <w:rPr>
                <w:i/>
                <w:iCs/>
                <w:sz w:val="20"/>
                <w:szCs w:val="20"/>
              </w:rPr>
            </w:pPr>
            <w:r w:rsidRPr="00FF756A">
              <w:rPr>
                <w:i/>
                <w:iCs/>
                <w:sz w:val="20"/>
                <w:szCs w:val="20"/>
              </w:rPr>
              <w:t>VKM nr. 633, datë 26.10.2018, “Për masat kundër ndotjes së ajrit nga shkarkimet e mjeteve motorike dhe reduktimin e shkarkimeve në ajër të ndotësve të gaztë dhe të lëndës së ngurtë pezull nga motorët me ndezje pozitive dhe ata me ndezje me kompresion që djegin gaz natyror apo të lëngshëm për përdorim në automjete” (parashikohet që automjetet e reja të përmbushin të paktën standardin EURO 5 për motorin dhe automjet e përdorura të përmbushin të paktën standardin EURO 4 për motorin dhe të jenë prodhuar jo më shumë se 10 vite përpara datës së regjistrimit fillestar në Shqipëri)</w:t>
            </w:r>
          </w:p>
          <w:p w14:paraId="140F31D9" w14:textId="77777777" w:rsidR="00835192" w:rsidRPr="00FF756A" w:rsidRDefault="00835192" w:rsidP="00835192">
            <w:pPr>
              <w:spacing w:before="20" w:after="20" w:line="240" w:lineRule="auto"/>
              <w:rPr>
                <w:i/>
                <w:iCs/>
                <w:sz w:val="20"/>
                <w:szCs w:val="20"/>
              </w:rPr>
            </w:pPr>
            <w:r w:rsidRPr="00FF756A">
              <w:rPr>
                <w:i/>
                <w:iCs/>
                <w:sz w:val="20"/>
                <w:szCs w:val="20"/>
              </w:rPr>
              <w:t>Tarifa doganore prej 0% për automjetet e importuara. Megjithatë, pronarët e automjeteve të importuara janë të detyruar të paguajnë TVSH në masën 20%, ndërsa furnizimi i automjeteve të reja me motor elektrik e me zero km, të paregjistruara më parë në ndonjë vend tjetër, përjashtohet tërësisht nga TVSH-ja.</w:t>
            </w:r>
          </w:p>
          <w:p w14:paraId="25F80157" w14:textId="77777777" w:rsidR="00835192" w:rsidRPr="00FF756A" w:rsidRDefault="00835192" w:rsidP="00835192">
            <w:pPr>
              <w:spacing w:before="20" w:after="20" w:line="240" w:lineRule="auto"/>
              <w:rPr>
                <w:i/>
                <w:iCs/>
                <w:sz w:val="20"/>
                <w:szCs w:val="20"/>
              </w:rPr>
            </w:pPr>
            <w:r w:rsidRPr="00FF756A">
              <w:rPr>
                <w:i/>
                <w:iCs/>
                <w:sz w:val="20"/>
                <w:szCs w:val="20"/>
              </w:rPr>
              <w:t xml:space="preserve">Rimbursimi nga autoriteti doganor i akcizës për biokarburantet e përdorura në transport, deri në masën 5%. </w:t>
            </w:r>
          </w:p>
          <w:p w14:paraId="3658203A" w14:textId="77777777" w:rsidR="00835192" w:rsidRPr="00FF756A" w:rsidRDefault="00835192" w:rsidP="00835192">
            <w:pPr>
              <w:spacing w:before="20" w:after="20" w:line="240" w:lineRule="auto"/>
              <w:rPr>
                <w:i/>
                <w:iCs/>
                <w:sz w:val="20"/>
                <w:szCs w:val="20"/>
              </w:rPr>
            </w:pPr>
            <w:r w:rsidRPr="00FF756A">
              <w:rPr>
                <w:i/>
                <w:iCs/>
                <w:sz w:val="20"/>
                <w:szCs w:val="20"/>
              </w:rPr>
              <w:t>Transporti hekurudhor: Disa projekte në zhvillim e sipër të cilat parashikojnë rehabilitimin, duke përfshirë elektrifikimin dhe lidhjen me vendet fqinje.</w:t>
            </w:r>
          </w:p>
          <w:p w14:paraId="6DD91EB2" w14:textId="77777777" w:rsidR="00835192" w:rsidRPr="00FF756A" w:rsidRDefault="00835192" w:rsidP="00835192">
            <w:pPr>
              <w:spacing w:before="20" w:after="20" w:line="240" w:lineRule="auto"/>
              <w:rPr>
                <w:i/>
                <w:iCs/>
                <w:sz w:val="20"/>
                <w:szCs w:val="20"/>
              </w:rPr>
            </w:pPr>
            <w:r w:rsidRPr="00FF756A">
              <w:rPr>
                <w:i/>
                <w:iCs/>
                <w:sz w:val="20"/>
                <w:szCs w:val="20"/>
              </w:rPr>
              <w:t xml:space="preserve">Prezantimi i automjeteve EV dhe stacioneve të tyre të karikimit në tregun e Tiranës. </w:t>
            </w:r>
          </w:p>
          <w:p w14:paraId="3D7B7366" w14:textId="77777777" w:rsidR="00835192" w:rsidRPr="00FF756A" w:rsidRDefault="00835192" w:rsidP="00835192">
            <w:pPr>
              <w:spacing w:before="20" w:after="20" w:line="240" w:lineRule="auto"/>
              <w:rPr>
                <w:i/>
                <w:iCs/>
                <w:sz w:val="20"/>
                <w:szCs w:val="20"/>
              </w:rPr>
            </w:pPr>
            <w:r w:rsidRPr="00FF756A">
              <w:rPr>
                <w:i/>
                <w:iCs/>
                <w:sz w:val="20"/>
                <w:szCs w:val="20"/>
              </w:rPr>
              <w:t xml:space="preserve">Prezantimi i autobusëve elektrikë me nivele të ulëta shkarkimesh në Tiranë. </w:t>
            </w:r>
          </w:p>
        </w:tc>
      </w:tr>
      <w:tr w:rsidR="00835192" w:rsidRPr="00FF756A" w14:paraId="4879812A" w14:textId="77777777" w:rsidTr="004A3257">
        <w:trPr>
          <w:trHeight w:val="20"/>
        </w:trPr>
        <w:tc>
          <w:tcPr>
            <w:tcW w:w="2072" w:type="dxa"/>
            <w:tcBorders>
              <w:top w:val="single" w:sz="4" w:space="0" w:color="auto"/>
              <w:left w:val="single" w:sz="4" w:space="0" w:color="auto"/>
              <w:bottom w:val="single" w:sz="4" w:space="0" w:color="auto"/>
              <w:right w:val="single" w:sz="4" w:space="0" w:color="auto"/>
            </w:tcBorders>
          </w:tcPr>
          <w:p w14:paraId="5567E8F8"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7000" w:type="dxa"/>
            <w:gridSpan w:val="5"/>
            <w:tcBorders>
              <w:top w:val="single" w:sz="4" w:space="0" w:color="auto"/>
              <w:left w:val="single" w:sz="4" w:space="0" w:color="auto"/>
              <w:bottom w:val="single" w:sz="4" w:space="0" w:color="auto"/>
              <w:right w:val="single" w:sz="4" w:space="0" w:color="auto"/>
            </w:tcBorders>
          </w:tcPr>
          <w:p w14:paraId="0E615EAB" w14:textId="77777777" w:rsidR="00835192" w:rsidRPr="00FF756A" w:rsidRDefault="00835192" w:rsidP="00835192">
            <w:pPr>
              <w:spacing w:before="20" w:after="20" w:line="240" w:lineRule="auto"/>
              <w:rPr>
                <w:i/>
                <w:iCs/>
                <w:sz w:val="20"/>
                <w:szCs w:val="20"/>
              </w:rPr>
            </w:pPr>
            <w:r w:rsidRPr="00FF756A">
              <w:rPr>
                <w:i/>
                <w:iCs/>
                <w:sz w:val="20"/>
                <w:szCs w:val="20"/>
              </w:rPr>
              <w:t>Promovimi dhe mbështetja e përdorimit të lëndëve djegëse alternative/të pastra dhe automjeteve me efiçencë energjie si mënyra për gjenerimin e ndikimeve më të konsiderueshme, me anë të reduktimit të konsumit të energjisë dhe, kryesisht, me anë të reduktimit të shkarkimeve të GES-ve përmes skemave mbështetëse të automjeteve efiçente dhe atyre ekologjike.</w:t>
            </w:r>
          </w:p>
        </w:tc>
      </w:tr>
      <w:tr w:rsidR="00835192" w:rsidRPr="00FF756A" w14:paraId="3B49AEE1" w14:textId="77777777" w:rsidTr="004A3257">
        <w:trPr>
          <w:trHeight w:val="20"/>
        </w:trPr>
        <w:tc>
          <w:tcPr>
            <w:tcW w:w="2072" w:type="dxa"/>
            <w:tcBorders>
              <w:top w:val="single" w:sz="4" w:space="0" w:color="auto"/>
              <w:left w:val="single" w:sz="4" w:space="0" w:color="auto"/>
              <w:bottom w:val="single" w:sz="4" w:space="0" w:color="auto"/>
              <w:right w:val="single" w:sz="4" w:space="0" w:color="auto"/>
            </w:tcBorders>
          </w:tcPr>
          <w:p w14:paraId="785D0730"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7000" w:type="dxa"/>
            <w:gridSpan w:val="5"/>
            <w:tcBorders>
              <w:top w:val="single" w:sz="4" w:space="0" w:color="auto"/>
              <w:left w:val="single" w:sz="4" w:space="0" w:color="auto"/>
              <w:bottom w:val="single" w:sz="4" w:space="0" w:color="auto"/>
              <w:right w:val="single" w:sz="4" w:space="0" w:color="auto"/>
            </w:tcBorders>
          </w:tcPr>
          <w:p w14:paraId="23E9C1F6" w14:textId="77777777" w:rsidR="00835192" w:rsidRPr="00FF756A" w:rsidRDefault="00835192" w:rsidP="008639B2">
            <w:pPr>
              <w:numPr>
                <w:ilvl w:val="0"/>
                <w:numId w:val="71"/>
              </w:numPr>
              <w:spacing w:before="20" w:after="20" w:line="240" w:lineRule="auto"/>
              <w:ind w:left="332" w:hanging="284"/>
              <w:contextualSpacing/>
              <w:rPr>
                <w:i/>
                <w:iCs/>
                <w:sz w:val="20"/>
                <w:szCs w:val="20"/>
              </w:rPr>
            </w:pPr>
            <w:r w:rsidRPr="00FF756A">
              <w:rPr>
                <w:i/>
                <w:iCs/>
                <w:sz w:val="20"/>
                <w:szCs w:val="20"/>
              </w:rPr>
              <w:t>Përqindja e planifikuar e burimeve të rinovueshme të energjisë në transport është 10% në vitin 2020 dhe çdo vit në vazhdim, deri në vitin 2030.</w:t>
            </w:r>
          </w:p>
          <w:p w14:paraId="59C2C837" w14:textId="30C5BE02" w:rsidR="00835192" w:rsidRPr="00FF756A" w:rsidRDefault="00835192" w:rsidP="008639B2">
            <w:pPr>
              <w:numPr>
                <w:ilvl w:val="0"/>
                <w:numId w:val="71"/>
              </w:numPr>
              <w:spacing w:before="20" w:after="20" w:line="240" w:lineRule="auto"/>
              <w:ind w:left="332" w:hanging="284"/>
              <w:contextualSpacing/>
              <w:rPr>
                <w:i/>
                <w:iCs/>
                <w:sz w:val="20"/>
                <w:szCs w:val="20"/>
              </w:rPr>
            </w:pPr>
            <w:r w:rsidRPr="00FF756A">
              <w:rPr>
                <w:i/>
                <w:iCs/>
                <w:sz w:val="20"/>
                <w:szCs w:val="20"/>
              </w:rPr>
              <w:t>Arritja deri në vitin 2030 e objektivit për burimet e rinovueshme në transport</w:t>
            </w:r>
          </w:p>
          <w:p w14:paraId="041BDD23" w14:textId="77777777" w:rsidR="00835192" w:rsidRPr="00FF756A" w:rsidRDefault="00835192" w:rsidP="008639B2">
            <w:pPr>
              <w:numPr>
                <w:ilvl w:val="0"/>
                <w:numId w:val="71"/>
              </w:numPr>
              <w:spacing w:before="20" w:after="20" w:line="240" w:lineRule="auto"/>
              <w:ind w:left="332" w:hanging="284"/>
              <w:contextualSpacing/>
              <w:rPr>
                <w:i/>
                <w:iCs/>
                <w:sz w:val="20"/>
                <w:szCs w:val="20"/>
              </w:rPr>
            </w:pPr>
            <w:r w:rsidRPr="00FF756A">
              <w:rPr>
                <w:i/>
                <w:iCs/>
                <w:sz w:val="20"/>
                <w:szCs w:val="20"/>
              </w:rPr>
              <w:t>Asnjë “tarifë regjistrimi fillestar” për automjetet e reja</w:t>
            </w:r>
          </w:p>
          <w:p w14:paraId="3BFF31FA" w14:textId="77777777" w:rsidR="00835192" w:rsidRPr="00FF756A" w:rsidRDefault="00835192" w:rsidP="008639B2">
            <w:pPr>
              <w:numPr>
                <w:ilvl w:val="0"/>
                <w:numId w:val="71"/>
              </w:numPr>
              <w:spacing w:before="20" w:after="20" w:line="240" w:lineRule="auto"/>
              <w:ind w:left="332" w:hanging="284"/>
              <w:contextualSpacing/>
              <w:rPr>
                <w:i/>
                <w:iCs/>
                <w:sz w:val="20"/>
                <w:szCs w:val="20"/>
              </w:rPr>
            </w:pPr>
            <w:r w:rsidRPr="00FF756A">
              <w:rPr>
                <w:i/>
                <w:iCs/>
                <w:sz w:val="20"/>
                <w:szCs w:val="20"/>
              </w:rPr>
              <w:t>Asnjë taksë automjeti për 5 vitet e para</w:t>
            </w:r>
          </w:p>
          <w:p w14:paraId="482D0861" w14:textId="77777777" w:rsidR="00835192" w:rsidRPr="00FF756A" w:rsidRDefault="00835192" w:rsidP="008639B2">
            <w:pPr>
              <w:numPr>
                <w:ilvl w:val="0"/>
                <w:numId w:val="71"/>
              </w:numPr>
              <w:spacing w:before="20" w:after="20" w:line="240" w:lineRule="auto"/>
              <w:ind w:left="332" w:hanging="284"/>
              <w:contextualSpacing/>
              <w:rPr>
                <w:i/>
                <w:iCs/>
                <w:sz w:val="20"/>
                <w:szCs w:val="20"/>
              </w:rPr>
            </w:pPr>
            <w:r w:rsidRPr="00FF756A">
              <w:rPr>
                <w:i/>
                <w:iCs/>
                <w:sz w:val="20"/>
                <w:szCs w:val="20"/>
              </w:rPr>
              <w:t>Përjashtimi nga TVSH (20%) për automjetet elektrike</w:t>
            </w:r>
          </w:p>
          <w:p w14:paraId="02A752CD" w14:textId="77777777" w:rsidR="00835192" w:rsidRPr="00FF756A" w:rsidRDefault="00835192" w:rsidP="008639B2">
            <w:pPr>
              <w:numPr>
                <w:ilvl w:val="0"/>
                <w:numId w:val="71"/>
              </w:numPr>
              <w:spacing w:before="20" w:after="20" w:line="240" w:lineRule="auto"/>
              <w:ind w:left="332" w:hanging="284"/>
              <w:contextualSpacing/>
              <w:rPr>
                <w:i/>
                <w:iCs/>
                <w:sz w:val="20"/>
                <w:szCs w:val="20"/>
              </w:rPr>
            </w:pPr>
            <w:r w:rsidRPr="00FF756A">
              <w:rPr>
                <w:i/>
                <w:iCs/>
                <w:sz w:val="20"/>
                <w:szCs w:val="20"/>
              </w:rPr>
              <w:t>Përjashtimi nga TVSH vetëm për automjetet e reja me motor elektrik, me qëllim inkurajimin e individëve dhe bizneseve për të blerë automjete të tilla</w:t>
            </w:r>
          </w:p>
          <w:p w14:paraId="6820229D" w14:textId="77777777" w:rsidR="00835192" w:rsidRPr="00FF756A" w:rsidRDefault="00835192" w:rsidP="008639B2">
            <w:pPr>
              <w:numPr>
                <w:ilvl w:val="0"/>
                <w:numId w:val="71"/>
              </w:numPr>
              <w:spacing w:before="20" w:after="20" w:line="240" w:lineRule="auto"/>
              <w:ind w:left="332" w:hanging="284"/>
              <w:contextualSpacing/>
              <w:rPr>
                <w:i/>
                <w:iCs/>
                <w:sz w:val="20"/>
                <w:szCs w:val="20"/>
              </w:rPr>
            </w:pPr>
            <w:r w:rsidRPr="00FF756A">
              <w:rPr>
                <w:i/>
                <w:iCs/>
                <w:sz w:val="20"/>
                <w:szCs w:val="20"/>
              </w:rPr>
              <w:t>Asnjë taksë rrugore</w:t>
            </w:r>
          </w:p>
          <w:p w14:paraId="33DCDE52" w14:textId="77777777" w:rsidR="00835192" w:rsidRPr="00FF756A" w:rsidRDefault="00835192" w:rsidP="008639B2">
            <w:pPr>
              <w:numPr>
                <w:ilvl w:val="0"/>
                <w:numId w:val="71"/>
              </w:numPr>
              <w:spacing w:before="20" w:after="20" w:line="240" w:lineRule="auto"/>
              <w:ind w:left="332" w:hanging="284"/>
              <w:contextualSpacing/>
              <w:rPr>
                <w:i/>
                <w:iCs/>
                <w:sz w:val="20"/>
                <w:szCs w:val="20"/>
              </w:rPr>
            </w:pPr>
            <w:r w:rsidRPr="00FF756A">
              <w:rPr>
                <w:i/>
                <w:iCs/>
                <w:sz w:val="20"/>
                <w:szCs w:val="20"/>
              </w:rPr>
              <w:t>Zëvendësimi i autobusëve me autobusë me nivele të ulëta shkarkimi (Bashkia e Tiranës)</w:t>
            </w:r>
          </w:p>
        </w:tc>
      </w:tr>
      <w:tr w:rsidR="00835192" w:rsidRPr="00FF756A" w14:paraId="09AD272E" w14:textId="77777777" w:rsidTr="004A3257">
        <w:trPr>
          <w:trHeight w:val="20"/>
        </w:trPr>
        <w:tc>
          <w:tcPr>
            <w:tcW w:w="2072" w:type="dxa"/>
            <w:tcBorders>
              <w:top w:val="single" w:sz="4" w:space="0" w:color="auto"/>
              <w:left w:val="single" w:sz="4" w:space="0" w:color="auto"/>
              <w:bottom w:val="single" w:sz="4" w:space="0" w:color="auto"/>
              <w:right w:val="single" w:sz="4" w:space="0" w:color="auto"/>
            </w:tcBorders>
          </w:tcPr>
          <w:p w14:paraId="14C6C555"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08" w:type="dxa"/>
            <w:gridSpan w:val="4"/>
            <w:tcBorders>
              <w:top w:val="single" w:sz="4" w:space="0" w:color="auto"/>
              <w:left w:val="single" w:sz="4" w:space="0" w:color="auto"/>
              <w:bottom w:val="single" w:sz="4" w:space="0" w:color="auto"/>
              <w:right w:val="single" w:sz="4" w:space="0" w:color="auto"/>
            </w:tcBorders>
          </w:tcPr>
          <w:p w14:paraId="288D0E52"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Kuadri ligjor për caktimin e qëllimeve, objektivave, detyrimeve, afateve, grupeve të interesit etj.</w:t>
            </w:r>
          </w:p>
          <w:p w14:paraId="466B1B5B"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Caktimi në bazë të kuadrit ligjor i objektivave të BRE-së për biokarburantet dhe hidrogjenin që do të përdoren në sektorin e transportit, si dhe përfshirja e dispozitës për elektricitetin që përdoret posaçërisht në transport.</w:t>
            </w:r>
          </w:p>
          <w:p w14:paraId="16055B69"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Caktimi në bazë të kuadrit ligjor i detyrimit të prodhuesve/importuesve/shitësve me pakicë në lidhje me sasinë dhe cilësinë (certifikimin) e BRE-ve specifike për tregun e transportit, si dhe i detyrimit të importuesve/shitësve me pakicë dhe përdoruesve të automjeteve në lidhje me efiçencën e energjisë.</w:t>
            </w:r>
          </w:p>
          <w:p w14:paraId="66908D74"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 xml:space="preserve">Përditësimi i planit të veprimit në lidhje me EE-në në sektorin e transportit, i cili përcakton objektivat, duke përfshirë mënyrat e zhvillimit të tregut të EE-së dhe automjeteve me lëndë djegëse të pastra. </w:t>
            </w:r>
          </w:p>
          <w:p w14:paraId="528F91D4"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 xml:space="preserve">Adresimi i prokurimit ekologjik për sektorin publik, në favor të shtimit të flotës së automjeteve me lëndë djegëse të pastra, krahas kritereve të efiçencës së energjisë (përcaktuar nga ligji i ndryshuar për EE-në), me synim rritjen e numrit të automjeteve ekologjike në raport me ato që përdorin lëndë djegëse konvencionale. </w:t>
            </w:r>
          </w:p>
          <w:p w14:paraId="68DA4110"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Ndihmat/incentivat financiare për prodhuesit e automjeteve, shitësit me pakicë dhe konsumatorët</w:t>
            </w:r>
          </w:p>
          <w:p w14:paraId="17FEF4DB"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 xml:space="preserve">Grantet dhe kreditë e buta për blerjen e automjeteve ekologjike </w:t>
            </w:r>
          </w:p>
          <w:p w14:paraId="2B043A92"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Zbritje tregtare (rabate)/subvencionime të çmimit të blerjes së automjeteve: përfitim financiar që merret me blerjen e një automjeti të kualifikueshëm</w:t>
            </w:r>
          </w:p>
          <w:p w14:paraId="5C47B1AD"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Sistemi i tarifimit dhe zbritjeve tregtare (feebate): një masë financiare sipas së cilës automjetet e kualifikueshme janë objekt i zbritjes tregtare mbi çmimin e blerjes, ndërsa lloje të tjera automjetesh me nivele të larta të shkarkimit të CO</w:t>
            </w:r>
            <w:r w:rsidRPr="00FF756A">
              <w:rPr>
                <w:i/>
                <w:iCs/>
                <w:sz w:val="20"/>
                <w:szCs w:val="20"/>
                <w:vertAlign w:val="subscript"/>
              </w:rPr>
              <w:t>2</w:t>
            </w:r>
            <w:r w:rsidRPr="00FF756A">
              <w:rPr>
                <w:i/>
                <w:iCs/>
                <w:sz w:val="20"/>
                <w:szCs w:val="20"/>
              </w:rPr>
              <w:t xml:space="preserve"> janë objekt i tarifimeve ose mbitarifimeve </w:t>
            </w:r>
          </w:p>
          <w:p w14:paraId="4578345B"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 xml:space="preserve">Skema e incentivave për zëvendësimin e automjeteve: një masë e cila nxit zëvendësimin e automjeteve të vjetra me modele më të reja, më efiçente dhe me nivele më të ulëta ndotjeje </w:t>
            </w:r>
          </w:p>
          <w:p w14:paraId="2F7D6039"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Tarifat, penalitetet ose ndalimet për automjetet me nivelet më të larta të ndotjes</w:t>
            </w:r>
          </w:p>
          <w:p w14:paraId="77E14A63"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Reduktimi i taksave vjetore për automjetet ose përjashtimi nga to (për disa vite)</w:t>
            </w:r>
          </w:p>
          <w:p w14:paraId="18EFB672"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Reduktimi i taksave të lëndës djegëse të motorëve ose përjashtimi nga to</w:t>
            </w:r>
          </w:p>
          <w:p w14:paraId="3F36FE45"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 xml:space="preserve">Reduktimi i taksave të rrugës </w:t>
            </w:r>
          </w:p>
          <w:p w14:paraId="3BC56227"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Reduktimi ose heqja e tarifës së parkimit</w:t>
            </w:r>
          </w:p>
          <w:p w14:paraId="1E5337C7"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Përjashtime tatimore dhe zbritje për automjetet e importit, taksën e blerjes ose të regjistrimit</w:t>
            </w:r>
          </w:p>
          <w:p w14:paraId="798F9D50"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Një incentivë e planifikuar që varion nga 5% deri në 10% të kostos së blerjes për makinat e reja elektrike; mirëmbajtje dhe shërbime ndihmëse pa pagesë për pronarët e makinave elektrike; ofrim i incentivave dhe zbritjeve edhe për pronarët e makinave hibride.</w:t>
            </w:r>
          </w:p>
          <w:p w14:paraId="159305F8"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Parkim pa pagesë në të gjitha hapësirat e parkimit publik.</w:t>
            </w:r>
          </w:p>
          <w:p w14:paraId="4458B0F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Masat teknike</w:t>
            </w:r>
          </w:p>
          <w:p w14:paraId="1989E493"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Pasurim i flotës së taksive me modele hibride apo elektrike</w:t>
            </w:r>
          </w:p>
          <w:p w14:paraId="5A12A402" w14:textId="77777777" w:rsidR="00835192" w:rsidRPr="00FF756A" w:rsidRDefault="00835192" w:rsidP="00835192">
            <w:pPr>
              <w:spacing w:before="20" w:after="20" w:line="240" w:lineRule="auto"/>
              <w:rPr>
                <w:i/>
                <w:iCs/>
                <w:sz w:val="20"/>
                <w:szCs w:val="20"/>
              </w:rPr>
            </w:pPr>
          </w:p>
        </w:tc>
        <w:tc>
          <w:tcPr>
            <w:tcW w:w="992" w:type="dxa"/>
            <w:tcBorders>
              <w:top w:val="single" w:sz="4" w:space="0" w:color="auto"/>
              <w:left w:val="single" w:sz="4" w:space="0" w:color="auto"/>
              <w:bottom w:val="single" w:sz="4" w:space="0" w:color="auto"/>
              <w:right w:val="single" w:sz="4" w:space="0" w:color="auto"/>
            </w:tcBorders>
          </w:tcPr>
          <w:p w14:paraId="182ABAF1"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2027</w:t>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p>
          <w:p w14:paraId="3A527DB4" w14:textId="77777777" w:rsidR="00835192" w:rsidRPr="00FF756A" w:rsidRDefault="00835192" w:rsidP="00835192">
            <w:pPr>
              <w:spacing w:before="20" w:after="20" w:line="240" w:lineRule="auto"/>
              <w:jc w:val="left"/>
              <w:rPr>
                <w:i/>
                <w:iCs/>
                <w:sz w:val="20"/>
                <w:szCs w:val="20"/>
              </w:rPr>
            </w:pPr>
            <w:r w:rsidRPr="00FF756A">
              <w:rPr>
                <w:i/>
                <w:iCs/>
                <w:sz w:val="20"/>
                <w:szCs w:val="20"/>
              </w:rPr>
              <w:t>nga viti 2027 e në vazhdim</w:t>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t xml:space="preserve">nga viti 2022 e në vazhdim </w:t>
            </w:r>
            <w:r w:rsidRPr="00FF756A">
              <w:rPr>
                <w:i/>
                <w:iCs/>
                <w:sz w:val="20"/>
                <w:szCs w:val="20"/>
              </w:rPr>
              <w:br/>
            </w:r>
          </w:p>
        </w:tc>
      </w:tr>
      <w:tr w:rsidR="00835192" w:rsidRPr="00FF756A" w14:paraId="277A77C7" w14:textId="77777777" w:rsidTr="004A3257">
        <w:trPr>
          <w:trHeight w:val="20"/>
        </w:trPr>
        <w:tc>
          <w:tcPr>
            <w:tcW w:w="2072" w:type="dxa"/>
            <w:tcBorders>
              <w:top w:val="single" w:sz="4" w:space="0" w:color="auto"/>
              <w:left w:val="single" w:sz="4" w:space="0" w:color="auto"/>
              <w:bottom w:val="single" w:sz="4" w:space="0" w:color="auto"/>
              <w:right w:val="single" w:sz="4" w:space="0" w:color="auto"/>
            </w:tcBorders>
          </w:tcPr>
          <w:p w14:paraId="52C4B972"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7000" w:type="dxa"/>
            <w:gridSpan w:val="5"/>
            <w:tcBorders>
              <w:top w:val="single" w:sz="4" w:space="0" w:color="auto"/>
              <w:left w:val="single" w:sz="4" w:space="0" w:color="auto"/>
              <w:bottom w:val="single" w:sz="4" w:space="0" w:color="auto"/>
              <w:right w:val="single" w:sz="4" w:space="0" w:color="auto"/>
            </w:tcBorders>
          </w:tcPr>
          <w:p w14:paraId="600B2AEC" w14:textId="77777777" w:rsidR="00835192" w:rsidRPr="00FF756A" w:rsidRDefault="00835192" w:rsidP="00835192">
            <w:pPr>
              <w:spacing w:before="20" w:after="20" w:line="240" w:lineRule="auto"/>
              <w:rPr>
                <w:i/>
                <w:iCs/>
                <w:sz w:val="20"/>
                <w:szCs w:val="20"/>
              </w:rPr>
            </w:pPr>
            <w:r w:rsidRPr="00FF756A">
              <w:rPr>
                <w:i/>
                <w:iCs/>
                <w:sz w:val="20"/>
                <w:szCs w:val="20"/>
              </w:rPr>
              <w:t>Për të arritur objektivin prej 15,5% për EE-në deri në vitin 2030 (460 ktoe në krahasim me skenarin BaU-Figura 4, SKE), është parashikuar një investim prej rreth 228 milionë euro.</w:t>
            </w:r>
          </w:p>
        </w:tc>
      </w:tr>
      <w:tr w:rsidR="00835192" w:rsidRPr="00FF756A" w14:paraId="065A3058" w14:textId="77777777" w:rsidTr="004A3257">
        <w:trPr>
          <w:trHeight w:val="20"/>
        </w:trPr>
        <w:tc>
          <w:tcPr>
            <w:tcW w:w="2072" w:type="dxa"/>
            <w:tcBorders>
              <w:top w:val="single" w:sz="4" w:space="0" w:color="auto"/>
              <w:left w:val="single" w:sz="4" w:space="0" w:color="auto"/>
              <w:bottom w:val="single" w:sz="4" w:space="0" w:color="auto"/>
              <w:right w:val="single" w:sz="4" w:space="0" w:color="auto"/>
            </w:tcBorders>
          </w:tcPr>
          <w:p w14:paraId="2051D12E"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7DD29AEA"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7000" w:type="dxa"/>
            <w:gridSpan w:val="5"/>
            <w:tcBorders>
              <w:top w:val="single" w:sz="4" w:space="0" w:color="auto"/>
              <w:left w:val="single" w:sz="4" w:space="0" w:color="auto"/>
              <w:bottom w:val="single" w:sz="4" w:space="0" w:color="auto"/>
              <w:right w:val="single" w:sz="4" w:space="0" w:color="auto"/>
            </w:tcBorders>
          </w:tcPr>
          <w:p w14:paraId="138DEE9C"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Ministria e Financave dhe Ekonomisë, Bashkitë; Agjencia për Efiçencën e Energjisë; Drejtoria e Përgjithshme e Doganave; Sektori privat</w:t>
            </w:r>
          </w:p>
          <w:p w14:paraId="470783DB"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Ministria e Financave dhe Ekonomisë, Agjencia për Efiçencën e Energjisë; Agjencia Kombëtare e Burimeve Natyrore)</w:t>
            </w:r>
          </w:p>
        </w:tc>
      </w:tr>
      <w:tr w:rsidR="00835192" w:rsidRPr="00FF756A" w14:paraId="610AB6B9" w14:textId="77777777" w:rsidTr="004A3257">
        <w:trPr>
          <w:trHeight w:val="20"/>
        </w:trPr>
        <w:tc>
          <w:tcPr>
            <w:tcW w:w="2072" w:type="dxa"/>
            <w:tcBorders>
              <w:top w:val="single" w:sz="4" w:space="0" w:color="auto"/>
              <w:left w:val="single" w:sz="4" w:space="0" w:color="auto"/>
              <w:bottom w:val="single" w:sz="4" w:space="0" w:color="auto"/>
              <w:right w:val="single" w:sz="4" w:space="0" w:color="auto"/>
            </w:tcBorders>
          </w:tcPr>
          <w:p w14:paraId="4CFD53E5"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7000" w:type="dxa"/>
            <w:gridSpan w:val="5"/>
            <w:tcBorders>
              <w:top w:val="single" w:sz="4" w:space="0" w:color="auto"/>
              <w:left w:val="single" w:sz="4" w:space="0" w:color="auto"/>
              <w:bottom w:val="single" w:sz="4" w:space="0" w:color="auto"/>
              <w:right w:val="single" w:sz="4" w:space="0" w:color="auto"/>
            </w:tcBorders>
          </w:tcPr>
          <w:p w14:paraId="2D884D50" w14:textId="77777777" w:rsidR="00835192" w:rsidRPr="00FF756A" w:rsidRDefault="00835192" w:rsidP="00835192">
            <w:pPr>
              <w:spacing w:before="20" w:after="20" w:line="240" w:lineRule="auto"/>
              <w:rPr>
                <w:i/>
                <w:iCs/>
                <w:sz w:val="20"/>
                <w:szCs w:val="20"/>
              </w:rPr>
            </w:pPr>
            <w:r w:rsidRPr="00FF756A">
              <w:rPr>
                <w:i/>
                <w:iCs/>
                <w:sz w:val="20"/>
                <w:szCs w:val="20"/>
              </w:rPr>
              <w:t>Dekarbonizimi/Energjia e rinovueshme</w:t>
            </w:r>
          </w:p>
        </w:tc>
      </w:tr>
    </w:tbl>
    <w:p w14:paraId="7310CE0A"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3"/>
        <w:gridCol w:w="1285"/>
        <w:gridCol w:w="602"/>
        <w:gridCol w:w="430"/>
        <w:gridCol w:w="3550"/>
        <w:gridCol w:w="992"/>
      </w:tblGrid>
      <w:tr w:rsidR="00835192" w:rsidRPr="00FF756A" w14:paraId="19162F2E" w14:textId="77777777" w:rsidTr="004A3257">
        <w:trPr>
          <w:trHeight w:val="20"/>
        </w:trPr>
        <w:tc>
          <w:tcPr>
            <w:tcW w:w="4525" w:type="dxa"/>
            <w:gridSpan w:val="4"/>
            <w:shd w:val="clear" w:color="auto" w:fill="FFF2CC" w:themeFill="accent4" w:themeFillTint="33"/>
          </w:tcPr>
          <w:p w14:paraId="66BD58FB"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7" w:type="dxa"/>
            <w:gridSpan w:val="2"/>
            <w:shd w:val="clear" w:color="auto" w:fill="FFF2CC" w:themeFill="accent4" w:themeFillTint="33"/>
          </w:tcPr>
          <w:p w14:paraId="090B7F10" w14:textId="77777777" w:rsidR="00835192" w:rsidRPr="00FF756A" w:rsidRDefault="00835192" w:rsidP="008639B2">
            <w:pPr>
              <w:numPr>
                <w:ilvl w:val="0"/>
                <w:numId w:val="111"/>
              </w:numPr>
              <w:spacing w:before="20" w:after="20" w:line="240" w:lineRule="auto"/>
              <w:contextualSpacing/>
              <w:rPr>
                <w:i/>
                <w:iCs/>
                <w:sz w:val="20"/>
                <w:szCs w:val="20"/>
              </w:rPr>
            </w:pPr>
            <w:r w:rsidRPr="00FF756A">
              <w:rPr>
                <w:i/>
                <w:iCs/>
                <w:sz w:val="20"/>
                <w:szCs w:val="20"/>
              </w:rPr>
              <w:t>Efiçenca e energjisë</w:t>
            </w:r>
          </w:p>
        </w:tc>
      </w:tr>
      <w:tr w:rsidR="00835192" w:rsidRPr="00FF756A" w14:paraId="1A896591" w14:textId="77777777" w:rsidTr="004A3257">
        <w:trPr>
          <w:trHeight w:val="20"/>
        </w:trPr>
        <w:tc>
          <w:tcPr>
            <w:tcW w:w="4094" w:type="dxa"/>
            <w:gridSpan w:val="3"/>
            <w:shd w:val="clear" w:color="auto" w:fill="FFF2CC" w:themeFill="accent4" w:themeFillTint="33"/>
          </w:tcPr>
          <w:p w14:paraId="031CAB31"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8" w:type="dxa"/>
            <w:gridSpan w:val="3"/>
            <w:shd w:val="clear" w:color="auto" w:fill="FFF2CC" w:themeFill="accent4" w:themeFillTint="33"/>
          </w:tcPr>
          <w:p w14:paraId="7DE0221B" w14:textId="77777777" w:rsidR="00835192" w:rsidRPr="00FF756A" w:rsidRDefault="00835192" w:rsidP="00835192">
            <w:pPr>
              <w:spacing w:before="20" w:after="20" w:line="240" w:lineRule="auto"/>
              <w:rPr>
                <w:i/>
                <w:iCs/>
                <w:sz w:val="20"/>
                <w:szCs w:val="20"/>
              </w:rPr>
            </w:pPr>
            <w:r w:rsidRPr="00FF756A">
              <w:rPr>
                <w:i/>
                <w:iCs/>
                <w:sz w:val="20"/>
                <w:szCs w:val="20"/>
              </w:rPr>
              <w:t>Transporti</w:t>
            </w:r>
          </w:p>
        </w:tc>
      </w:tr>
      <w:tr w:rsidR="00835192" w:rsidRPr="00FF756A" w14:paraId="2F004EA0" w14:textId="77777777" w:rsidTr="004A3257">
        <w:trPr>
          <w:trHeight w:val="20"/>
        </w:trPr>
        <w:tc>
          <w:tcPr>
            <w:tcW w:w="3491" w:type="dxa"/>
            <w:gridSpan w:val="2"/>
          </w:tcPr>
          <w:p w14:paraId="240A2A8B"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350ED92F"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1" w:type="dxa"/>
            <w:gridSpan w:val="4"/>
          </w:tcPr>
          <w:p w14:paraId="15AEACE1" w14:textId="77777777" w:rsidR="00835192" w:rsidRPr="00FF756A" w:rsidRDefault="00835192" w:rsidP="00835192">
            <w:pPr>
              <w:spacing w:before="20" w:after="20" w:line="240" w:lineRule="auto"/>
              <w:rPr>
                <w:i/>
                <w:iCs/>
                <w:sz w:val="20"/>
                <w:szCs w:val="20"/>
              </w:rPr>
            </w:pPr>
            <w:r w:rsidRPr="00FF756A">
              <w:rPr>
                <w:i/>
                <w:iCs/>
                <w:sz w:val="20"/>
                <w:szCs w:val="20"/>
              </w:rPr>
              <w:t>WEM</w:t>
            </w:r>
          </w:p>
          <w:p w14:paraId="692AEE2E"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76FD1AFA" w14:textId="77777777" w:rsidTr="004A3257">
        <w:trPr>
          <w:trHeight w:val="20"/>
        </w:trPr>
        <w:tc>
          <w:tcPr>
            <w:tcW w:w="2204" w:type="dxa"/>
          </w:tcPr>
          <w:p w14:paraId="39D529E4"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41B4DA88"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8" w:type="dxa"/>
            <w:gridSpan w:val="5"/>
          </w:tcPr>
          <w:p w14:paraId="523070EA" w14:textId="77777777" w:rsidR="00835192" w:rsidRPr="00FF756A" w:rsidRDefault="00835192" w:rsidP="00835192">
            <w:pPr>
              <w:spacing w:before="20" w:after="20" w:line="240" w:lineRule="auto"/>
              <w:rPr>
                <w:i/>
                <w:iCs/>
                <w:sz w:val="20"/>
                <w:szCs w:val="20"/>
              </w:rPr>
            </w:pPr>
            <w:r w:rsidRPr="00FF756A">
              <w:rPr>
                <w:i/>
                <w:iCs/>
                <w:sz w:val="20"/>
                <w:szCs w:val="20"/>
              </w:rPr>
              <w:t>Rritja e përqindjes së transportit publik për udhëtarët dhe mallrat (në rrugë tokësore, ujore dhe hekurudhore)</w:t>
            </w:r>
          </w:p>
          <w:p w14:paraId="2768B539" w14:textId="77777777" w:rsidR="00835192" w:rsidRPr="00FF756A" w:rsidRDefault="00835192" w:rsidP="00835192">
            <w:pPr>
              <w:spacing w:before="20" w:after="20" w:line="240" w:lineRule="auto"/>
              <w:rPr>
                <w:i/>
                <w:iCs/>
                <w:sz w:val="20"/>
                <w:szCs w:val="20"/>
              </w:rPr>
            </w:pPr>
            <w:r w:rsidRPr="00FF756A">
              <w:rPr>
                <w:i/>
                <w:iCs/>
                <w:sz w:val="20"/>
                <w:szCs w:val="20"/>
              </w:rPr>
              <w:t>(EE-T4)</w:t>
            </w:r>
          </w:p>
        </w:tc>
      </w:tr>
      <w:tr w:rsidR="00835192" w:rsidRPr="00FF756A" w14:paraId="1FD30A9E" w14:textId="77777777" w:rsidTr="004A3257">
        <w:trPr>
          <w:trHeight w:val="20"/>
        </w:trPr>
        <w:tc>
          <w:tcPr>
            <w:tcW w:w="2204" w:type="dxa"/>
          </w:tcPr>
          <w:p w14:paraId="6700EFC4"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8" w:type="dxa"/>
            <w:gridSpan w:val="5"/>
          </w:tcPr>
          <w:p w14:paraId="29FB114A" w14:textId="77777777" w:rsidR="00835192" w:rsidRPr="00FF756A" w:rsidRDefault="00835192" w:rsidP="00835192">
            <w:pPr>
              <w:spacing w:before="20" w:after="20" w:line="240" w:lineRule="auto"/>
              <w:rPr>
                <w:i/>
                <w:iCs/>
                <w:sz w:val="20"/>
                <w:szCs w:val="20"/>
              </w:rPr>
            </w:pPr>
            <w:r w:rsidRPr="00FF756A">
              <w:rPr>
                <w:i/>
                <w:iCs/>
                <w:sz w:val="20"/>
                <w:szCs w:val="20"/>
              </w:rPr>
              <w:t>2021 – në vazhdim</w:t>
            </w:r>
          </w:p>
        </w:tc>
      </w:tr>
      <w:tr w:rsidR="00835192" w:rsidRPr="00FF756A" w14:paraId="46FC74A8" w14:textId="77777777" w:rsidTr="004A3257">
        <w:trPr>
          <w:trHeight w:val="20"/>
        </w:trPr>
        <w:tc>
          <w:tcPr>
            <w:tcW w:w="2204" w:type="dxa"/>
          </w:tcPr>
          <w:p w14:paraId="7E4B14DA"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8" w:type="dxa"/>
            <w:gridSpan w:val="5"/>
          </w:tcPr>
          <w:p w14:paraId="216BFE03" w14:textId="77777777" w:rsidR="00835192" w:rsidRPr="00FF756A" w:rsidRDefault="00835192" w:rsidP="00835192">
            <w:pPr>
              <w:spacing w:before="20" w:after="20" w:line="240" w:lineRule="auto"/>
              <w:rPr>
                <w:i/>
                <w:iCs/>
                <w:sz w:val="20"/>
                <w:szCs w:val="20"/>
              </w:rPr>
            </w:pPr>
            <w:r w:rsidRPr="00FF756A">
              <w:rPr>
                <w:i/>
                <w:iCs/>
                <w:sz w:val="20"/>
                <w:szCs w:val="20"/>
              </w:rPr>
              <w:t>VKM nr. 811, datë 16.11.2016, “Për miratimin e Strategjisë Sektoriale të Transportit dhe Planit të Veprimit, 2016-2020”; Strategjia sektoriale e transportit dhe plani i veprimit, 2016–2020 (raporti i monitorimit i vitit 2019)</w:t>
            </w:r>
          </w:p>
        </w:tc>
      </w:tr>
      <w:tr w:rsidR="00835192" w:rsidRPr="00FF756A" w14:paraId="3BFB01F9" w14:textId="77777777" w:rsidTr="004A3257">
        <w:trPr>
          <w:trHeight w:val="20"/>
        </w:trPr>
        <w:tc>
          <w:tcPr>
            <w:tcW w:w="2204" w:type="dxa"/>
          </w:tcPr>
          <w:p w14:paraId="5E143A61"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8" w:type="dxa"/>
            <w:gridSpan w:val="5"/>
          </w:tcPr>
          <w:p w14:paraId="491083EA" w14:textId="77777777" w:rsidR="00835192" w:rsidRPr="00FF756A" w:rsidRDefault="00835192" w:rsidP="00835192">
            <w:pPr>
              <w:spacing w:before="20" w:after="20" w:line="240" w:lineRule="auto"/>
              <w:rPr>
                <w:i/>
                <w:iCs/>
                <w:sz w:val="20"/>
                <w:szCs w:val="20"/>
              </w:rPr>
            </w:pPr>
            <w:r w:rsidRPr="00FF756A">
              <w:rPr>
                <w:i/>
                <w:iCs/>
                <w:sz w:val="20"/>
                <w:szCs w:val="20"/>
              </w:rPr>
              <w:t>Rishikimi i strukturës aktuale të tarifave në TP (biletat/llojet e kartave dhe çmimet) në terma afatshkurtër.</w:t>
            </w:r>
          </w:p>
          <w:p w14:paraId="19A17855" w14:textId="5F082BF3" w:rsidR="00835192" w:rsidRPr="00FF756A" w:rsidRDefault="00835192" w:rsidP="00835192">
            <w:pPr>
              <w:spacing w:before="20" w:after="20" w:line="240" w:lineRule="auto"/>
              <w:rPr>
                <w:i/>
                <w:iCs/>
                <w:sz w:val="20"/>
                <w:szCs w:val="20"/>
              </w:rPr>
            </w:pPr>
            <w:r w:rsidRPr="00FF756A">
              <w:rPr>
                <w:i/>
                <w:iCs/>
                <w:sz w:val="20"/>
                <w:szCs w:val="20"/>
              </w:rPr>
              <w:t>Përfundimi i segmentit rrugor Tiranë-Elbasan</w:t>
            </w:r>
            <w:r w:rsidR="00A206D7" w:rsidRPr="00FF756A">
              <w:rPr>
                <w:i/>
                <w:iCs/>
                <w:sz w:val="20"/>
                <w:szCs w:val="20"/>
              </w:rPr>
              <w:t xml:space="preserve"> në qershor 2019,</w:t>
            </w:r>
            <w:r w:rsidRPr="00FF756A">
              <w:rPr>
                <w:i/>
                <w:iCs/>
                <w:sz w:val="20"/>
                <w:szCs w:val="20"/>
              </w:rPr>
              <w:t xml:space="preserve"> </w:t>
            </w:r>
            <w:r w:rsidR="00044AB3" w:rsidRPr="00FF756A">
              <w:rPr>
                <w:i/>
                <w:iCs/>
                <w:sz w:val="20"/>
                <w:szCs w:val="20"/>
              </w:rPr>
              <w:t>i</w:t>
            </w:r>
            <w:r w:rsidRPr="00FF756A">
              <w:rPr>
                <w:i/>
                <w:iCs/>
                <w:sz w:val="20"/>
                <w:szCs w:val="20"/>
              </w:rPr>
              <w:t xml:space="preserve"> planifikuar në strategji</w:t>
            </w:r>
          </w:p>
          <w:p w14:paraId="629223ED" w14:textId="07AD76C3" w:rsidR="00835192" w:rsidRPr="00FF756A" w:rsidRDefault="00835192" w:rsidP="00835192">
            <w:pPr>
              <w:spacing w:before="20" w:after="20" w:line="240" w:lineRule="auto"/>
              <w:rPr>
                <w:i/>
                <w:iCs/>
                <w:sz w:val="20"/>
                <w:szCs w:val="20"/>
              </w:rPr>
            </w:pPr>
            <w:r w:rsidRPr="00FF756A">
              <w:rPr>
                <w:i/>
                <w:iCs/>
                <w:sz w:val="20"/>
                <w:szCs w:val="20"/>
              </w:rPr>
              <w:t>Përfundimi i ndërtimit të bajpasit të Fierit</w:t>
            </w:r>
            <w:r w:rsidR="00A206D7" w:rsidRPr="00FF756A">
              <w:rPr>
                <w:i/>
                <w:iCs/>
                <w:sz w:val="20"/>
                <w:szCs w:val="20"/>
              </w:rPr>
              <w:t xml:space="preserve"> në qershor 2020</w:t>
            </w:r>
          </w:p>
          <w:p w14:paraId="1B792D24" w14:textId="77777777" w:rsidR="00835192" w:rsidRPr="00FF756A" w:rsidRDefault="00835192" w:rsidP="00835192">
            <w:pPr>
              <w:spacing w:before="20" w:after="20" w:line="240" w:lineRule="auto"/>
              <w:rPr>
                <w:i/>
                <w:iCs/>
                <w:sz w:val="20"/>
                <w:szCs w:val="20"/>
              </w:rPr>
            </w:pPr>
            <w:r w:rsidRPr="00FF756A">
              <w:rPr>
                <w:i/>
                <w:iCs/>
                <w:sz w:val="20"/>
                <w:szCs w:val="20"/>
              </w:rPr>
              <w:t>Nisja e përgatitjes dhe zbatimit të projektit të Qendrës së Menaxhimit të Trafikut për rrjetin kryesor rrugor në Shqipëri, në bashkëpunim me Bankën Botërore.</w:t>
            </w:r>
          </w:p>
          <w:p w14:paraId="12C58317" w14:textId="77777777" w:rsidR="00835192" w:rsidRPr="00FF756A" w:rsidRDefault="00835192" w:rsidP="00835192">
            <w:pPr>
              <w:spacing w:before="20" w:after="20" w:line="240" w:lineRule="auto"/>
              <w:rPr>
                <w:i/>
                <w:iCs/>
                <w:sz w:val="20"/>
                <w:szCs w:val="20"/>
              </w:rPr>
            </w:pPr>
            <w:r w:rsidRPr="00FF756A">
              <w:rPr>
                <w:i/>
                <w:iCs/>
                <w:sz w:val="20"/>
                <w:szCs w:val="20"/>
              </w:rPr>
              <w:t>Përfundimi i terminalit të ri të autobusëve.</w:t>
            </w:r>
          </w:p>
          <w:p w14:paraId="3E42C7FF" w14:textId="77777777" w:rsidR="00835192" w:rsidRPr="00FF756A" w:rsidRDefault="00835192" w:rsidP="00835192">
            <w:pPr>
              <w:spacing w:before="20" w:after="20" w:line="240" w:lineRule="auto"/>
              <w:rPr>
                <w:i/>
                <w:iCs/>
                <w:sz w:val="20"/>
                <w:szCs w:val="20"/>
              </w:rPr>
            </w:pPr>
            <w:r w:rsidRPr="00FF756A">
              <w:rPr>
                <w:i/>
                <w:iCs/>
                <w:sz w:val="20"/>
                <w:szCs w:val="20"/>
              </w:rPr>
              <w:t>Identifikimi i projekteve të zhvillimit për hekurudhat dhe përfshirja e tyre në Paketën e Projekteve Prioritare te Sektorit (PPPS) për sektorin e transportit.</w:t>
            </w:r>
          </w:p>
          <w:p w14:paraId="22FF55C9" w14:textId="77777777" w:rsidR="00835192" w:rsidRPr="00FF756A" w:rsidRDefault="00835192" w:rsidP="00835192">
            <w:pPr>
              <w:spacing w:before="20" w:after="20" w:line="240" w:lineRule="auto"/>
              <w:rPr>
                <w:i/>
                <w:iCs/>
                <w:sz w:val="20"/>
                <w:szCs w:val="20"/>
              </w:rPr>
            </w:pPr>
            <w:r w:rsidRPr="00FF756A">
              <w:rPr>
                <w:i/>
                <w:iCs/>
                <w:sz w:val="20"/>
                <w:szCs w:val="20"/>
              </w:rPr>
              <w:t>Përpjekjet e vazhdueshme për ngritjen dhe vënien në përdorim të Sistemit të Monitorimit dhe Informacionit për Trafikun e Mjeteve të Lundrimit në Shqipëri.</w:t>
            </w:r>
          </w:p>
          <w:p w14:paraId="388AB2D2" w14:textId="77777777" w:rsidR="00835192" w:rsidRPr="00FF756A" w:rsidRDefault="00835192" w:rsidP="00835192">
            <w:pPr>
              <w:spacing w:before="20" w:after="20" w:line="240" w:lineRule="auto"/>
              <w:rPr>
                <w:i/>
                <w:iCs/>
                <w:sz w:val="20"/>
                <w:szCs w:val="20"/>
              </w:rPr>
            </w:pPr>
            <w:r w:rsidRPr="00FF756A">
              <w:rPr>
                <w:i/>
                <w:iCs/>
                <w:sz w:val="20"/>
                <w:szCs w:val="20"/>
              </w:rPr>
              <w:t>Zhvillimi i një plani veprimi të kuantifikuar dhe të integruar strategjiko-operacional për zgjerimin dhe modernizimin e porteve.</w:t>
            </w:r>
          </w:p>
        </w:tc>
      </w:tr>
      <w:tr w:rsidR="00835192" w:rsidRPr="00FF756A" w14:paraId="7381600F" w14:textId="77777777" w:rsidTr="004A3257">
        <w:trPr>
          <w:trHeight w:val="20"/>
        </w:trPr>
        <w:tc>
          <w:tcPr>
            <w:tcW w:w="2204" w:type="dxa"/>
          </w:tcPr>
          <w:p w14:paraId="27878593"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8" w:type="dxa"/>
            <w:gridSpan w:val="5"/>
          </w:tcPr>
          <w:p w14:paraId="151C2342" w14:textId="77777777" w:rsidR="00835192" w:rsidRPr="00FF756A" w:rsidRDefault="00835192" w:rsidP="00835192">
            <w:pPr>
              <w:spacing w:before="20" w:after="20" w:line="240" w:lineRule="auto"/>
              <w:rPr>
                <w:i/>
                <w:iCs/>
                <w:sz w:val="20"/>
                <w:szCs w:val="20"/>
              </w:rPr>
            </w:pPr>
            <w:r w:rsidRPr="00FF756A">
              <w:rPr>
                <w:i/>
                <w:iCs/>
                <w:sz w:val="20"/>
                <w:szCs w:val="20"/>
              </w:rPr>
              <w:t>Mbështetja, në sajë të kuadrit rregullator dhe mekanizmave teknike e financiare, e intensifikimit të transportit publik si rezultat i problematikave mjedisore dhe ekonomike.</w:t>
            </w:r>
          </w:p>
        </w:tc>
      </w:tr>
      <w:tr w:rsidR="00835192" w:rsidRPr="00FF756A" w14:paraId="573EC506" w14:textId="77777777" w:rsidTr="004A3257">
        <w:trPr>
          <w:trHeight w:val="20"/>
        </w:trPr>
        <w:tc>
          <w:tcPr>
            <w:tcW w:w="2204" w:type="dxa"/>
          </w:tcPr>
          <w:p w14:paraId="454F0B6C"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8" w:type="dxa"/>
            <w:gridSpan w:val="5"/>
          </w:tcPr>
          <w:p w14:paraId="0475FE56"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Shtimi i numrit të autobusëve, shpeshtësisë, cilësisë dhe aksesit të rrugëve, korsive të dedikuara, sistemeve inteligjente të transportit, infrastrukturës hekurudhore, kryqëzimeve të transitit, rritja e faktorit të ngarkesës, çmime konkurruese në raport me transportin privat, përmirësimi i koordinimit ndërmjet mënyrave të transportit - autobusë, trena, anije.</w:t>
            </w:r>
          </w:p>
          <w:p w14:paraId="3DAAE36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Intensifikimi i kalimit drejt transportit publik dhe atij aktiv: Arritja e një raporti 70% për transportin publik dhe atë aktiv në Bashkinë e Tiranës.</w:t>
            </w:r>
          </w:p>
          <w:p w14:paraId="5FE2250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Reformimi i sistemit hekurudhor duke krijuar një treg të hapur për investitorët publikë dhe privatë, për sa i përket rregullimit të tregut, menaxhimit të infrastrukturës ose shfrytëzimit të hekurudhave.</w:t>
            </w:r>
          </w:p>
          <w:p w14:paraId="01B2819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Modernizimi i infrastrukturës portuale përmes investimeve.</w:t>
            </w:r>
          </w:p>
          <w:p w14:paraId="38232D3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Fuqizimi i Administratës Detare në përputhje me standardet e BE-së.</w:t>
            </w:r>
          </w:p>
          <w:p w14:paraId="388B68C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Rritja e specializimit të funksioneve portuale me qëllim përforcimin e veçorisë së tyre intermodale, veçanërisht për lidhjen port-hekurudhë.</w:t>
            </w:r>
          </w:p>
        </w:tc>
      </w:tr>
      <w:tr w:rsidR="00835192" w:rsidRPr="00FF756A" w14:paraId="447E963E" w14:textId="77777777" w:rsidTr="004A3257">
        <w:trPr>
          <w:trHeight w:val="20"/>
        </w:trPr>
        <w:tc>
          <w:tcPr>
            <w:tcW w:w="2204" w:type="dxa"/>
          </w:tcPr>
          <w:p w14:paraId="1E195C43"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5876" w:type="dxa"/>
            <w:gridSpan w:val="4"/>
          </w:tcPr>
          <w:p w14:paraId="4DF52B17" w14:textId="24B1CB3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Përmirësimi i infrastrukturës së transportit publik në mbarë qytetin, me anë të përmirësimit të rrjetit lokal të transportit publik, </w:t>
            </w:r>
            <w:r w:rsidR="00894B9C" w:rsidRPr="00FF756A">
              <w:rPr>
                <w:i/>
                <w:iCs/>
                <w:sz w:val="20"/>
                <w:szCs w:val="20"/>
              </w:rPr>
              <w:t>përmes</w:t>
            </w:r>
            <w:r w:rsidRPr="00FF756A">
              <w:rPr>
                <w:i/>
                <w:iCs/>
                <w:sz w:val="20"/>
                <w:szCs w:val="20"/>
              </w:rPr>
              <w:t xml:space="preserve"> korsive të dedikuara të autobusëve etj.</w:t>
            </w:r>
          </w:p>
          <w:p w14:paraId="5182E666" w14:textId="1A862A29"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Rikonstruk</w:t>
            </w:r>
            <w:r w:rsidR="00894B9C" w:rsidRPr="00FF756A">
              <w:rPr>
                <w:i/>
                <w:iCs/>
                <w:sz w:val="20"/>
                <w:szCs w:val="20"/>
              </w:rPr>
              <w:t>sioni</w:t>
            </w:r>
            <w:r w:rsidRPr="00FF756A">
              <w:rPr>
                <w:i/>
                <w:iCs/>
                <w:sz w:val="20"/>
                <w:szCs w:val="20"/>
              </w:rPr>
              <w:t xml:space="preserve"> i rrugëve që ka nisur tashmë në shkallë të gjerë dhe ka filluar të përmirësojë imazhin e transportit publik nëpërmjet rritjes së numrit dhe shpeshtësisë së autobusëve elektrikë që janë pjesë e rrjetit.</w:t>
            </w:r>
          </w:p>
          <w:p w14:paraId="25CDB71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Ndërtimi i Terminalit Publik të Transportit në Tiranë dhe i sistemit të autobusëve të transportit të shpejtë (BRT) Tiranë-Rinas</w:t>
            </w:r>
          </w:p>
          <w:p w14:paraId="5FF6A82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Unaza e Tiranës (2016 – 2018) (përfundimi i anës jugperëndimore - i vonuar)</w:t>
            </w:r>
          </w:p>
          <w:p w14:paraId="149CD69A"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Përmirësimi i transportit publik (flotë e re (elektrike dhe me etiketim)) dhe ndërtimi i 10 km korsi të dedikuara për biçikletat)</w:t>
            </w:r>
          </w:p>
          <w:p w14:paraId="5FE198E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Finalizimi i hekurudhës elektrike Durrës -Tiranë- Rinas</w:t>
            </w:r>
          </w:p>
        </w:tc>
        <w:tc>
          <w:tcPr>
            <w:tcW w:w="992" w:type="dxa"/>
          </w:tcPr>
          <w:p w14:paraId="6CB3B047" w14:textId="77777777" w:rsidR="00835192" w:rsidRPr="00FF756A" w:rsidRDefault="00835192" w:rsidP="00835192">
            <w:pPr>
              <w:spacing w:before="20" w:after="20" w:line="240" w:lineRule="auto"/>
              <w:rPr>
                <w:i/>
                <w:iCs/>
                <w:sz w:val="20"/>
                <w:szCs w:val="20"/>
              </w:rPr>
            </w:pPr>
            <w:r w:rsidRPr="00FF756A">
              <w:rPr>
                <w:i/>
                <w:iCs/>
                <w:sz w:val="20"/>
                <w:szCs w:val="20"/>
              </w:rPr>
              <w:t>brenda vitit 2030</w:t>
            </w:r>
          </w:p>
        </w:tc>
      </w:tr>
      <w:tr w:rsidR="00835192" w:rsidRPr="00FF756A" w14:paraId="2ABC4828" w14:textId="77777777" w:rsidTr="004A3257">
        <w:trPr>
          <w:trHeight w:val="20"/>
        </w:trPr>
        <w:tc>
          <w:tcPr>
            <w:tcW w:w="2204" w:type="dxa"/>
          </w:tcPr>
          <w:p w14:paraId="4756AB81"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8" w:type="dxa"/>
            <w:gridSpan w:val="5"/>
          </w:tcPr>
          <w:p w14:paraId="62FE4BAD" w14:textId="77777777" w:rsidR="00835192" w:rsidRPr="00FF756A" w:rsidRDefault="00835192" w:rsidP="00835192">
            <w:pPr>
              <w:spacing w:before="20" w:after="20" w:line="240" w:lineRule="auto"/>
              <w:rPr>
                <w:i/>
                <w:iCs/>
                <w:sz w:val="20"/>
                <w:szCs w:val="20"/>
              </w:rPr>
            </w:pPr>
            <w:r w:rsidRPr="00FF756A">
              <w:rPr>
                <w:i/>
                <w:iCs/>
                <w:sz w:val="20"/>
                <w:szCs w:val="20"/>
              </w:rPr>
              <w:t>Durrës -Tiranë- Rinas 129 milionë euro</w:t>
            </w:r>
          </w:p>
          <w:p w14:paraId="50AA278E" w14:textId="77777777" w:rsidR="00835192" w:rsidRPr="00FF756A" w:rsidRDefault="00835192" w:rsidP="00835192">
            <w:pPr>
              <w:spacing w:before="20" w:after="20" w:line="240" w:lineRule="auto"/>
              <w:rPr>
                <w:i/>
                <w:iCs/>
                <w:sz w:val="20"/>
                <w:szCs w:val="20"/>
              </w:rPr>
            </w:pPr>
            <w:r w:rsidRPr="00FF756A">
              <w:rPr>
                <w:i/>
                <w:iCs/>
                <w:sz w:val="20"/>
                <w:szCs w:val="20"/>
              </w:rPr>
              <w:t>Nuk ka një vlerë të vetme, pasi ekzistojnë disa projekte që lidhen me ndërhyrje të ndryshme për sistemin e transportit</w:t>
            </w:r>
          </w:p>
        </w:tc>
      </w:tr>
      <w:tr w:rsidR="00835192" w:rsidRPr="00FF756A" w14:paraId="361FE7C0" w14:textId="77777777" w:rsidTr="004A3257">
        <w:trPr>
          <w:trHeight w:val="20"/>
        </w:trPr>
        <w:tc>
          <w:tcPr>
            <w:tcW w:w="2204" w:type="dxa"/>
          </w:tcPr>
          <w:p w14:paraId="1428EAA5"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00BE73B1"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8" w:type="dxa"/>
            <w:gridSpan w:val="5"/>
          </w:tcPr>
          <w:p w14:paraId="2569062C" w14:textId="77777777" w:rsidR="00835192" w:rsidRPr="00FF756A" w:rsidRDefault="00835192" w:rsidP="00835192">
            <w:pPr>
              <w:spacing w:before="20" w:after="20" w:line="240" w:lineRule="auto"/>
              <w:rPr>
                <w:i/>
                <w:iCs/>
                <w:sz w:val="20"/>
                <w:szCs w:val="20"/>
              </w:rPr>
            </w:pPr>
            <w:r w:rsidRPr="00FF756A">
              <w:rPr>
                <w:i/>
                <w:iCs/>
                <w:sz w:val="20"/>
                <w:szCs w:val="20"/>
              </w:rPr>
              <w:t>MIE, MFE, bashkitë; Agjencia për Efiçencën e Energjisë; Autoriteti Rrugor Shqiptar, Drejtoria e Përgjithshme e Shërbimeve të Transportit Rrugor, Drejtoria e Përgjithshme Detare, Autoriteti Portual Durrës.</w:t>
            </w:r>
          </w:p>
          <w:p w14:paraId="491E9AA7"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Ministria e Financave dhe Ekonomisë, Agjencia për Efiçencën e Energjisë; donatorët)</w:t>
            </w:r>
          </w:p>
        </w:tc>
      </w:tr>
      <w:tr w:rsidR="00835192" w:rsidRPr="00FF756A" w14:paraId="788DEE91" w14:textId="77777777" w:rsidTr="004A3257">
        <w:trPr>
          <w:trHeight w:val="20"/>
        </w:trPr>
        <w:tc>
          <w:tcPr>
            <w:tcW w:w="2204" w:type="dxa"/>
          </w:tcPr>
          <w:p w14:paraId="010A8247"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8" w:type="dxa"/>
            <w:gridSpan w:val="5"/>
          </w:tcPr>
          <w:p w14:paraId="0B3482E3" w14:textId="77777777" w:rsidR="00835192" w:rsidRPr="00FF756A" w:rsidRDefault="00835192" w:rsidP="00835192">
            <w:pPr>
              <w:spacing w:before="20" w:after="20" w:line="240" w:lineRule="auto"/>
              <w:rPr>
                <w:i/>
                <w:iCs/>
                <w:sz w:val="20"/>
                <w:szCs w:val="20"/>
              </w:rPr>
            </w:pPr>
            <w:r w:rsidRPr="00FF756A">
              <w:rPr>
                <w:i/>
                <w:iCs/>
                <w:sz w:val="20"/>
                <w:szCs w:val="20"/>
              </w:rPr>
              <w:t>Dekarbonizimi/Energjia e rinovueshme</w:t>
            </w:r>
          </w:p>
        </w:tc>
      </w:tr>
    </w:tbl>
    <w:p w14:paraId="78062D8A" w14:textId="77777777" w:rsidR="00835192" w:rsidRPr="00FF756A" w:rsidRDefault="00835192" w:rsidP="00835192"/>
    <w:tbl>
      <w:tblPr>
        <w:tblStyle w:val="TableGrid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1285"/>
        <w:gridCol w:w="603"/>
        <w:gridCol w:w="432"/>
        <w:gridCol w:w="3552"/>
        <w:gridCol w:w="992"/>
      </w:tblGrid>
      <w:tr w:rsidR="00835192" w:rsidRPr="00FF756A" w14:paraId="4BF02FAA" w14:textId="77777777" w:rsidTr="004A3257">
        <w:trPr>
          <w:trHeight w:val="20"/>
        </w:trPr>
        <w:tc>
          <w:tcPr>
            <w:tcW w:w="4523" w:type="dxa"/>
            <w:gridSpan w:val="4"/>
            <w:shd w:val="clear" w:color="auto" w:fill="FFF2CC" w:themeFill="accent4" w:themeFillTint="33"/>
          </w:tcPr>
          <w:p w14:paraId="200E0F48"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9" w:type="dxa"/>
            <w:gridSpan w:val="2"/>
            <w:shd w:val="clear" w:color="auto" w:fill="FFF2CC" w:themeFill="accent4" w:themeFillTint="33"/>
          </w:tcPr>
          <w:p w14:paraId="566CF248" w14:textId="77777777" w:rsidR="00835192" w:rsidRPr="00FF756A" w:rsidRDefault="00835192" w:rsidP="008639B2">
            <w:pPr>
              <w:numPr>
                <w:ilvl w:val="0"/>
                <w:numId w:val="76"/>
              </w:numPr>
              <w:spacing w:before="20" w:after="20" w:line="240" w:lineRule="auto"/>
              <w:contextualSpacing/>
              <w:jc w:val="left"/>
              <w:rPr>
                <w:i/>
                <w:iCs/>
                <w:sz w:val="20"/>
                <w:szCs w:val="20"/>
              </w:rPr>
            </w:pPr>
            <w:r w:rsidRPr="00FF756A">
              <w:rPr>
                <w:i/>
                <w:iCs/>
                <w:sz w:val="20"/>
                <w:szCs w:val="20"/>
              </w:rPr>
              <w:t>Efiçenca e energjisë</w:t>
            </w:r>
          </w:p>
          <w:p w14:paraId="2C9785AE" w14:textId="77777777" w:rsidR="00835192" w:rsidRPr="00FF756A" w:rsidRDefault="00835192" w:rsidP="00835192">
            <w:pPr>
              <w:spacing w:before="20" w:after="20" w:line="240" w:lineRule="auto"/>
              <w:ind w:left="1080"/>
              <w:contextualSpacing/>
              <w:rPr>
                <w:i/>
                <w:iCs/>
                <w:sz w:val="20"/>
                <w:szCs w:val="20"/>
              </w:rPr>
            </w:pPr>
            <w:r w:rsidRPr="00FF756A">
              <w:rPr>
                <w:i/>
                <w:iCs/>
                <w:sz w:val="20"/>
                <w:szCs w:val="20"/>
              </w:rPr>
              <w:tab/>
            </w:r>
          </w:p>
        </w:tc>
      </w:tr>
      <w:tr w:rsidR="00835192" w:rsidRPr="00FF756A" w14:paraId="49D372EC" w14:textId="77777777" w:rsidTr="004A3257">
        <w:trPr>
          <w:trHeight w:val="20"/>
        </w:trPr>
        <w:tc>
          <w:tcPr>
            <w:tcW w:w="4091" w:type="dxa"/>
            <w:gridSpan w:val="3"/>
            <w:shd w:val="clear" w:color="auto" w:fill="FFF2CC" w:themeFill="accent4" w:themeFillTint="33"/>
          </w:tcPr>
          <w:p w14:paraId="58616339"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81" w:type="dxa"/>
            <w:gridSpan w:val="3"/>
            <w:shd w:val="clear" w:color="auto" w:fill="FFF2CC" w:themeFill="accent4" w:themeFillTint="33"/>
          </w:tcPr>
          <w:p w14:paraId="2B287313" w14:textId="77777777" w:rsidR="00835192" w:rsidRPr="00FF756A" w:rsidRDefault="00835192" w:rsidP="00835192">
            <w:pPr>
              <w:spacing w:before="20" w:after="20" w:line="240" w:lineRule="auto"/>
              <w:jc w:val="left"/>
              <w:rPr>
                <w:i/>
                <w:iCs/>
                <w:sz w:val="20"/>
                <w:szCs w:val="20"/>
              </w:rPr>
            </w:pPr>
            <w:r w:rsidRPr="00FF756A">
              <w:rPr>
                <w:i/>
                <w:iCs/>
                <w:sz w:val="20"/>
                <w:szCs w:val="20"/>
              </w:rPr>
              <w:t>Transporti</w:t>
            </w:r>
          </w:p>
        </w:tc>
      </w:tr>
      <w:tr w:rsidR="00835192" w:rsidRPr="00FF756A" w14:paraId="4455696B" w14:textId="77777777" w:rsidTr="004A3257">
        <w:trPr>
          <w:trHeight w:val="20"/>
        </w:trPr>
        <w:tc>
          <w:tcPr>
            <w:tcW w:w="3487" w:type="dxa"/>
            <w:gridSpan w:val="2"/>
          </w:tcPr>
          <w:p w14:paraId="4FECAB77"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457AC501"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5" w:type="dxa"/>
            <w:gridSpan w:val="4"/>
          </w:tcPr>
          <w:p w14:paraId="11E489DD" w14:textId="77777777" w:rsidR="00835192" w:rsidRPr="00FF756A" w:rsidRDefault="00835192" w:rsidP="00835192">
            <w:pPr>
              <w:spacing w:before="20" w:after="20" w:line="240" w:lineRule="auto"/>
              <w:jc w:val="left"/>
              <w:rPr>
                <w:i/>
                <w:iCs/>
                <w:sz w:val="20"/>
                <w:szCs w:val="20"/>
              </w:rPr>
            </w:pPr>
            <w:r w:rsidRPr="00FF756A">
              <w:rPr>
                <w:i/>
                <w:iCs/>
                <w:sz w:val="20"/>
                <w:szCs w:val="20"/>
              </w:rPr>
              <w:t>WEM dhe WAM</w:t>
            </w:r>
          </w:p>
          <w:p w14:paraId="0789963D" w14:textId="77777777" w:rsidR="00835192" w:rsidRPr="00FF756A" w:rsidRDefault="00835192" w:rsidP="00835192">
            <w:pPr>
              <w:spacing w:before="20" w:after="20" w:line="240" w:lineRule="auto"/>
              <w:jc w:val="left"/>
              <w:rPr>
                <w:i/>
                <w:iCs/>
                <w:sz w:val="20"/>
                <w:szCs w:val="20"/>
              </w:rPr>
            </w:pPr>
            <w:r w:rsidRPr="00FF756A">
              <w:rPr>
                <w:i/>
                <w:iCs/>
                <w:sz w:val="20"/>
                <w:szCs w:val="20"/>
              </w:rPr>
              <w:t>Rregullator; Fiskal</w:t>
            </w:r>
          </w:p>
        </w:tc>
      </w:tr>
      <w:tr w:rsidR="00835192" w:rsidRPr="00FF756A" w14:paraId="0D4E3E5F" w14:textId="77777777" w:rsidTr="004A3257">
        <w:trPr>
          <w:trHeight w:val="20"/>
        </w:trPr>
        <w:tc>
          <w:tcPr>
            <w:tcW w:w="2200" w:type="dxa"/>
          </w:tcPr>
          <w:p w14:paraId="1BB9FDBF"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494853FD"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2" w:type="dxa"/>
            <w:gridSpan w:val="5"/>
          </w:tcPr>
          <w:p w14:paraId="76CAF550" w14:textId="77777777" w:rsidR="00835192" w:rsidRPr="00FF756A" w:rsidRDefault="00835192" w:rsidP="00835192">
            <w:pPr>
              <w:spacing w:before="20" w:after="20" w:line="240" w:lineRule="auto"/>
              <w:jc w:val="left"/>
              <w:rPr>
                <w:i/>
                <w:iCs/>
                <w:sz w:val="20"/>
                <w:szCs w:val="20"/>
              </w:rPr>
            </w:pPr>
            <w:r w:rsidRPr="00FF756A">
              <w:rPr>
                <w:i/>
                <w:iCs/>
                <w:sz w:val="20"/>
                <w:szCs w:val="20"/>
              </w:rPr>
              <w:t>Përmirësimi i rrjetit të transportit hekurudhor, që lidh Shqipërinë me rrjetin ndërkombëtar të transportit hekurudhor</w:t>
            </w:r>
          </w:p>
          <w:p w14:paraId="7CD4DDCF" w14:textId="175C03E0" w:rsidR="00835192" w:rsidRPr="00FF756A" w:rsidRDefault="00835192" w:rsidP="00835192">
            <w:pPr>
              <w:spacing w:before="20" w:after="20" w:line="240" w:lineRule="auto"/>
              <w:jc w:val="left"/>
              <w:rPr>
                <w:i/>
                <w:iCs/>
                <w:sz w:val="20"/>
                <w:szCs w:val="20"/>
              </w:rPr>
            </w:pPr>
            <w:r w:rsidRPr="00FF756A">
              <w:rPr>
                <w:i/>
                <w:iCs/>
                <w:sz w:val="20"/>
                <w:szCs w:val="20"/>
              </w:rPr>
              <w:t>(EE-T5)</w:t>
            </w:r>
          </w:p>
        </w:tc>
      </w:tr>
      <w:tr w:rsidR="00835192" w:rsidRPr="00FF756A" w14:paraId="65559A1C" w14:textId="77777777" w:rsidTr="004A3257">
        <w:trPr>
          <w:trHeight w:val="20"/>
        </w:trPr>
        <w:tc>
          <w:tcPr>
            <w:tcW w:w="2200" w:type="dxa"/>
          </w:tcPr>
          <w:p w14:paraId="0DBB72D8"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2" w:type="dxa"/>
            <w:gridSpan w:val="5"/>
          </w:tcPr>
          <w:p w14:paraId="6B318203" w14:textId="77777777" w:rsidR="00835192" w:rsidRPr="00FF756A" w:rsidRDefault="00835192" w:rsidP="00835192">
            <w:pPr>
              <w:spacing w:before="20" w:after="20" w:line="240" w:lineRule="auto"/>
              <w:jc w:val="left"/>
              <w:rPr>
                <w:i/>
                <w:iCs/>
                <w:sz w:val="20"/>
                <w:szCs w:val="20"/>
              </w:rPr>
            </w:pPr>
            <w:r w:rsidRPr="00FF756A">
              <w:rPr>
                <w:i/>
                <w:iCs/>
                <w:sz w:val="20"/>
                <w:szCs w:val="20"/>
              </w:rPr>
              <w:t>2020 – në vazhdim</w:t>
            </w:r>
          </w:p>
        </w:tc>
      </w:tr>
      <w:tr w:rsidR="00835192" w:rsidRPr="00FF756A" w14:paraId="3B036C0C" w14:textId="77777777" w:rsidTr="004A3257">
        <w:trPr>
          <w:trHeight w:val="20"/>
        </w:trPr>
        <w:tc>
          <w:tcPr>
            <w:tcW w:w="2200" w:type="dxa"/>
          </w:tcPr>
          <w:p w14:paraId="2006091A"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2" w:type="dxa"/>
            <w:gridSpan w:val="5"/>
          </w:tcPr>
          <w:p w14:paraId="2297F7A0" w14:textId="77777777" w:rsidR="00835192" w:rsidRPr="00FF756A" w:rsidRDefault="00835192" w:rsidP="00835192">
            <w:pPr>
              <w:spacing w:before="20" w:after="20" w:line="240" w:lineRule="auto"/>
              <w:jc w:val="left"/>
              <w:rPr>
                <w:i/>
                <w:iCs/>
                <w:sz w:val="20"/>
                <w:szCs w:val="20"/>
              </w:rPr>
            </w:pPr>
            <w:r w:rsidRPr="00FF756A">
              <w:rPr>
                <w:i/>
                <w:iCs/>
                <w:sz w:val="20"/>
                <w:szCs w:val="20"/>
              </w:rPr>
              <w:t xml:space="preserve">Rishikimi i dytë i Planit Kombëtar Shqiptar të Transportit (PKT3), miratuar me Urdhër të Ministrit nr. 40, datë 21.01.2020; Ligji nr. 90/2021 “Për ndarjen e shoqërisë “Hekurudha Shqiptare sh.a.”; Ligji nr. 88/2021 “Për krijimin e Autoritetit të Sigurisë Hekurudhore; Ligji nr. 89/2021 “Për krijimin e Autoritetit Rregullator Hekurudhor”; </w:t>
            </w:r>
          </w:p>
        </w:tc>
      </w:tr>
      <w:tr w:rsidR="00835192" w:rsidRPr="00FF756A" w14:paraId="2E595D66" w14:textId="77777777" w:rsidTr="004A3257">
        <w:trPr>
          <w:trHeight w:val="20"/>
        </w:trPr>
        <w:tc>
          <w:tcPr>
            <w:tcW w:w="2200" w:type="dxa"/>
          </w:tcPr>
          <w:p w14:paraId="0D54E7AC"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2" w:type="dxa"/>
            <w:gridSpan w:val="5"/>
          </w:tcPr>
          <w:p w14:paraId="0D4866C3" w14:textId="77777777" w:rsidR="00835192" w:rsidRPr="00FF756A" w:rsidRDefault="00835192" w:rsidP="008639B2">
            <w:pPr>
              <w:numPr>
                <w:ilvl w:val="0"/>
                <w:numId w:val="77"/>
              </w:numPr>
              <w:spacing w:before="20" w:after="20" w:line="240" w:lineRule="auto"/>
              <w:ind w:left="541"/>
              <w:contextualSpacing/>
              <w:jc w:val="left"/>
              <w:rPr>
                <w:i/>
                <w:iCs/>
                <w:sz w:val="20"/>
                <w:szCs w:val="20"/>
              </w:rPr>
            </w:pPr>
            <w:r w:rsidRPr="00FF756A">
              <w:rPr>
                <w:i/>
                <w:iCs/>
                <w:sz w:val="20"/>
                <w:szCs w:val="20"/>
              </w:rPr>
              <w:t>Reformimi i sistemit hekurudhor në Shqipëri dhe i shoqërisë “Hekurudha Shqiptare” - në vazhdim</w:t>
            </w:r>
          </w:p>
          <w:p w14:paraId="2D9AFFF0" w14:textId="77777777" w:rsidR="00835192" w:rsidRPr="00FF756A" w:rsidRDefault="00835192" w:rsidP="008639B2">
            <w:pPr>
              <w:numPr>
                <w:ilvl w:val="0"/>
                <w:numId w:val="77"/>
              </w:numPr>
              <w:spacing w:before="20" w:after="20" w:line="240" w:lineRule="auto"/>
              <w:ind w:left="541"/>
              <w:contextualSpacing/>
              <w:jc w:val="left"/>
              <w:rPr>
                <w:i/>
                <w:iCs/>
                <w:sz w:val="20"/>
                <w:szCs w:val="20"/>
              </w:rPr>
            </w:pPr>
            <w:r w:rsidRPr="00FF756A">
              <w:rPr>
                <w:i/>
                <w:iCs/>
                <w:sz w:val="20"/>
                <w:szCs w:val="20"/>
              </w:rPr>
              <w:t>Studimi i fizibilitetit për ndërtimin e hekurudhës Tiranë - Durrës dhe lidhja me aeroportin ndërkombëtar “Nënë Tereza”;</w:t>
            </w:r>
          </w:p>
        </w:tc>
      </w:tr>
      <w:tr w:rsidR="00835192" w:rsidRPr="00FF756A" w14:paraId="32505A81" w14:textId="77777777" w:rsidTr="004A3257">
        <w:trPr>
          <w:trHeight w:val="20"/>
        </w:trPr>
        <w:tc>
          <w:tcPr>
            <w:tcW w:w="2200" w:type="dxa"/>
          </w:tcPr>
          <w:p w14:paraId="3560E946"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2" w:type="dxa"/>
            <w:gridSpan w:val="5"/>
          </w:tcPr>
          <w:p w14:paraId="61E1E663" w14:textId="77777777" w:rsidR="00835192" w:rsidRPr="00FF756A" w:rsidRDefault="00835192" w:rsidP="00835192">
            <w:pPr>
              <w:spacing w:before="20" w:after="20" w:line="240" w:lineRule="auto"/>
              <w:jc w:val="left"/>
              <w:rPr>
                <w:i/>
                <w:iCs/>
                <w:sz w:val="20"/>
                <w:szCs w:val="20"/>
              </w:rPr>
            </w:pPr>
            <w:r w:rsidRPr="00FF756A">
              <w:rPr>
                <w:i/>
                <w:iCs/>
                <w:sz w:val="20"/>
                <w:szCs w:val="20"/>
              </w:rPr>
              <w:t>Objektivat kryesore janë: (i) rehabilitimi dhe përmirësimi i infrastrukturës hekurudhore dhe terminaleve të udhëtarëve; (ii) lidhja e sistemit hekurudhor shqiptar me rrjetin hekurudhor rajonal dhe të BE-së; (iii) reduktimi i shkarkimeve të CO</w:t>
            </w:r>
            <w:r w:rsidRPr="00FF756A">
              <w:rPr>
                <w:i/>
                <w:iCs/>
                <w:sz w:val="20"/>
                <w:szCs w:val="20"/>
                <w:vertAlign w:val="subscript"/>
              </w:rPr>
              <w:t>2</w:t>
            </w:r>
            <w:r w:rsidRPr="00FF756A">
              <w:rPr>
                <w:i/>
                <w:iCs/>
                <w:sz w:val="20"/>
                <w:szCs w:val="20"/>
              </w:rPr>
              <w:t xml:space="preserve"> të shkaktuara nga rrjeti ekzistues hekurudhor; (iv) zbatimi i legjislacionit për ndarjen e operacioneve të trenave nga menaxhimi i infrastrukturës.</w:t>
            </w:r>
          </w:p>
        </w:tc>
      </w:tr>
      <w:tr w:rsidR="00835192" w:rsidRPr="00FF756A" w14:paraId="0AC699B2" w14:textId="77777777" w:rsidTr="004A3257">
        <w:trPr>
          <w:trHeight w:val="20"/>
        </w:trPr>
        <w:tc>
          <w:tcPr>
            <w:tcW w:w="2200" w:type="dxa"/>
          </w:tcPr>
          <w:p w14:paraId="4FACC7FA"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2" w:type="dxa"/>
            <w:gridSpan w:val="5"/>
          </w:tcPr>
          <w:p w14:paraId="328095BE" w14:textId="77777777" w:rsidR="00835192" w:rsidRPr="00FF756A" w:rsidRDefault="00835192" w:rsidP="008639B2">
            <w:pPr>
              <w:numPr>
                <w:ilvl w:val="0"/>
                <w:numId w:val="71"/>
              </w:numPr>
              <w:spacing w:before="20" w:after="20" w:line="240" w:lineRule="auto"/>
              <w:ind w:left="541"/>
              <w:contextualSpacing/>
              <w:jc w:val="left"/>
              <w:rPr>
                <w:i/>
                <w:iCs/>
                <w:sz w:val="20"/>
                <w:szCs w:val="20"/>
              </w:rPr>
            </w:pPr>
            <w:r w:rsidRPr="00FF756A">
              <w:rPr>
                <w:i/>
                <w:iCs/>
                <w:sz w:val="20"/>
                <w:szCs w:val="20"/>
              </w:rPr>
              <w:t>Rritja e efektivitetit ekonomiko-financiar të shoqërisë “Hekurudha Shqiptare”;</w:t>
            </w:r>
          </w:p>
          <w:p w14:paraId="09FD5E49" w14:textId="77777777" w:rsidR="00835192" w:rsidRPr="00FF756A" w:rsidRDefault="00835192" w:rsidP="008639B2">
            <w:pPr>
              <w:numPr>
                <w:ilvl w:val="0"/>
                <w:numId w:val="71"/>
              </w:numPr>
              <w:spacing w:before="20" w:after="20" w:line="240" w:lineRule="auto"/>
              <w:ind w:left="541"/>
              <w:contextualSpacing/>
              <w:jc w:val="left"/>
              <w:rPr>
                <w:i/>
                <w:iCs/>
                <w:sz w:val="20"/>
                <w:szCs w:val="20"/>
              </w:rPr>
            </w:pPr>
            <w:r w:rsidRPr="00FF756A">
              <w:rPr>
                <w:i/>
                <w:iCs/>
                <w:sz w:val="20"/>
                <w:szCs w:val="20"/>
              </w:rPr>
              <w:t>Përdorimi optimal dhe efektiv i kapacitetit të infrastrukturës hekurudhore të disponueshme;</w:t>
            </w:r>
          </w:p>
          <w:p w14:paraId="5816DC34" w14:textId="77777777" w:rsidR="00835192" w:rsidRPr="00FF756A" w:rsidRDefault="00835192" w:rsidP="008639B2">
            <w:pPr>
              <w:numPr>
                <w:ilvl w:val="0"/>
                <w:numId w:val="71"/>
              </w:numPr>
              <w:spacing w:before="20" w:after="20" w:line="240" w:lineRule="auto"/>
              <w:ind w:left="541"/>
              <w:contextualSpacing/>
              <w:jc w:val="left"/>
              <w:rPr>
                <w:i/>
                <w:iCs/>
                <w:sz w:val="20"/>
                <w:szCs w:val="20"/>
              </w:rPr>
            </w:pPr>
            <w:r w:rsidRPr="00FF756A">
              <w:rPr>
                <w:i/>
                <w:iCs/>
                <w:sz w:val="20"/>
                <w:szCs w:val="20"/>
              </w:rPr>
              <w:t xml:space="preserve">Heqja e barrierave administrative dhe aksesi jodiskriminues në infrastrukturën hekurudhore; </w:t>
            </w:r>
          </w:p>
          <w:p w14:paraId="000A8DE3" w14:textId="77777777" w:rsidR="00835192" w:rsidRPr="00FF756A" w:rsidRDefault="00835192" w:rsidP="008639B2">
            <w:pPr>
              <w:numPr>
                <w:ilvl w:val="0"/>
                <w:numId w:val="71"/>
              </w:numPr>
              <w:spacing w:before="20" w:after="20" w:line="240" w:lineRule="auto"/>
              <w:ind w:left="541"/>
              <w:contextualSpacing/>
              <w:jc w:val="left"/>
              <w:rPr>
                <w:i/>
                <w:iCs/>
                <w:sz w:val="20"/>
                <w:szCs w:val="20"/>
              </w:rPr>
            </w:pPr>
            <w:r w:rsidRPr="00FF756A">
              <w:rPr>
                <w:i/>
                <w:iCs/>
                <w:sz w:val="20"/>
                <w:szCs w:val="20"/>
              </w:rPr>
              <w:t>Reduktimi i konsumit të lëndës djegëse për automjetet duke kaluar në modalitete transporti rrugor më efikase nga pikëpamja e trafikut;</w:t>
            </w:r>
          </w:p>
          <w:p w14:paraId="2FF1EC85" w14:textId="77777777" w:rsidR="00835192" w:rsidRPr="00FF756A" w:rsidRDefault="00835192" w:rsidP="008639B2">
            <w:pPr>
              <w:numPr>
                <w:ilvl w:val="0"/>
                <w:numId w:val="71"/>
              </w:numPr>
              <w:spacing w:before="20" w:after="20" w:line="240" w:lineRule="auto"/>
              <w:ind w:left="541"/>
              <w:contextualSpacing/>
              <w:jc w:val="left"/>
              <w:rPr>
                <w:i/>
                <w:iCs/>
                <w:sz w:val="20"/>
                <w:szCs w:val="20"/>
              </w:rPr>
            </w:pPr>
            <w:r w:rsidRPr="00FF756A">
              <w:rPr>
                <w:i/>
                <w:iCs/>
                <w:sz w:val="20"/>
                <w:szCs w:val="20"/>
              </w:rPr>
              <w:t>Rritja e besueshmërisë dhe e përdorimit të modalitetit të transportit hekurudhor;</w:t>
            </w:r>
          </w:p>
          <w:p w14:paraId="6F0B86DA" w14:textId="77777777" w:rsidR="00835192" w:rsidRPr="00FF756A" w:rsidRDefault="00835192" w:rsidP="008639B2">
            <w:pPr>
              <w:numPr>
                <w:ilvl w:val="0"/>
                <w:numId w:val="71"/>
              </w:numPr>
              <w:spacing w:before="20" w:after="20" w:line="240" w:lineRule="auto"/>
              <w:ind w:left="541"/>
              <w:contextualSpacing/>
              <w:jc w:val="left"/>
              <w:rPr>
                <w:i/>
                <w:iCs/>
                <w:sz w:val="20"/>
                <w:szCs w:val="20"/>
              </w:rPr>
            </w:pPr>
            <w:r w:rsidRPr="00FF756A">
              <w:rPr>
                <w:i/>
                <w:iCs/>
                <w:sz w:val="20"/>
                <w:szCs w:val="20"/>
              </w:rPr>
              <w:t xml:space="preserve">Rritja e shpejtësisë së udhëtimit nga 40 km në orë në 100 km në orë; </w:t>
            </w:r>
          </w:p>
          <w:p w14:paraId="28414D30" w14:textId="77777777" w:rsidR="00835192" w:rsidRPr="00FF756A" w:rsidRDefault="00835192" w:rsidP="008639B2">
            <w:pPr>
              <w:numPr>
                <w:ilvl w:val="0"/>
                <w:numId w:val="71"/>
              </w:numPr>
              <w:spacing w:before="20" w:after="20" w:line="240" w:lineRule="auto"/>
              <w:ind w:left="541"/>
              <w:contextualSpacing/>
              <w:jc w:val="left"/>
              <w:rPr>
                <w:i/>
                <w:iCs/>
                <w:sz w:val="20"/>
                <w:szCs w:val="20"/>
              </w:rPr>
            </w:pPr>
            <w:r w:rsidRPr="00FF756A">
              <w:rPr>
                <w:i/>
                <w:iCs/>
                <w:sz w:val="20"/>
                <w:szCs w:val="20"/>
              </w:rPr>
              <w:t xml:space="preserve">Rritja e transportit hekurudhor të pasagjerëve deri në 1,4 milionë në vit në segmentin Tiranë - Durrës ku është përqendruar pjesa më e madhe e aktivitetit ekonomik; rritja e transportit të mallrave; </w:t>
            </w:r>
          </w:p>
          <w:p w14:paraId="6C3AE4CE" w14:textId="77777777" w:rsidR="00835192" w:rsidRPr="00FF756A" w:rsidRDefault="00835192" w:rsidP="008639B2">
            <w:pPr>
              <w:numPr>
                <w:ilvl w:val="0"/>
                <w:numId w:val="71"/>
              </w:numPr>
              <w:spacing w:before="20" w:after="20" w:line="240" w:lineRule="auto"/>
              <w:ind w:left="541"/>
              <w:contextualSpacing/>
              <w:jc w:val="left"/>
              <w:rPr>
                <w:i/>
                <w:iCs/>
                <w:sz w:val="20"/>
                <w:szCs w:val="20"/>
              </w:rPr>
            </w:pPr>
            <w:r w:rsidRPr="00FF756A">
              <w:rPr>
                <w:i/>
                <w:iCs/>
                <w:sz w:val="20"/>
                <w:szCs w:val="20"/>
              </w:rPr>
              <w:t>Rritja e transportit hekurudhor ndërkufitar të mallrave;</w:t>
            </w:r>
          </w:p>
          <w:p w14:paraId="2A689FC9" w14:textId="77777777" w:rsidR="00835192" w:rsidRPr="00FF756A" w:rsidRDefault="00835192" w:rsidP="008639B2">
            <w:pPr>
              <w:numPr>
                <w:ilvl w:val="0"/>
                <w:numId w:val="71"/>
              </w:numPr>
              <w:spacing w:before="20" w:after="20" w:line="240" w:lineRule="auto"/>
              <w:ind w:left="541"/>
              <w:contextualSpacing/>
              <w:jc w:val="left"/>
              <w:rPr>
                <w:i/>
                <w:iCs/>
                <w:sz w:val="20"/>
                <w:szCs w:val="20"/>
              </w:rPr>
            </w:pPr>
            <w:r w:rsidRPr="00FF756A">
              <w:rPr>
                <w:i/>
                <w:iCs/>
                <w:sz w:val="20"/>
                <w:szCs w:val="20"/>
              </w:rPr>
              <w:t>Rritja e sigurisë dhe cilësisë së shërbimit në linjat e transportit hekurudhor;</w:t>
            </w:r>
          </w:p>
        </w:tc>
      </w:tr>
      <w:tr w:rsidR="00835192" w:rsidRPr="00FF756A" w14:paraId="2F1E6D17" w14:textId="77777777" w:rsidTr="004A3257">
        <w:trPr>
          <w:trHeight w:val="20"/>
        </w:trPr>
        <w:tc>
          <w:tcPr>
            <w:tcW w:w="2200" w:type="dxa"/>
          </w:tcPr>
          <w:p w14:paraId="0002F392"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5880" w:type="dxa"/>
            <w:gridSpan w:val="4"/>
          </w:tcPr>
          <w:p w14:paraId="0C46DA78" w14:textId="77777777" w:rsidR="00835192" w:rsidRPr="00FF756A" w:rsidRDefault="00835192" w:rsidP="00835192">
            <w:pPr>
              <w:spacing w:before="20" w:after="20" w:line="240" w:lineRule="auto"/>
              <w:contextualSpacing/>
              <w:jc w:val="left"/>
              <w:rPr>
                <w:rFonts w:eastAsia="Times New Roman"/>
                <w:i/>
                <w:sz w:val="20"/>
                <w:szCs w:val="20"/>
              </w:rPr>
            </w:pPr>
            <w:r w:rsidRPr="00FF756A">
              <w:rPr>
                <w:i/>
                <w:sz w:val="20"/>
                <w:szCs w:val="20"/>
              </w:rPr>
              <w:t>Hartimi dhe miratimi i strategjisë së re kombëtare të transportit dhe i planit të saj të veprimit 2021 - 2026</w:t>
            </w:r>
          </w:p>
          <w:p w14:paraId="1537EA71" w14:textId="77777777" w:rsidR="00835192" w:rsidRPr="00FF756A" w:rsidRDefault="00835192" w:rsidP="00835192">
            <w:pPr>
              <w:spacing w:before="20" w:after="20" w:line="240" w:lineRule="auto"/>
              <w:contextualSpacing/>
              <w:jc w:val="left"/>
              <w:rPr>
                <w:rFonts w:eastAsia="Times New Roman"/>
                <w:i/>
                <w:sz w:val="20"/>
                <w:szCs w:val="20"/>
              </w:rPr>
            </w:pPr>
            <w:r w:rsidRPr="00FF756A">
              <w:rPr>
                <w:i/>
                <w:sz w:val="20"/>
                <w:szCs w:val="20"/>
              </w:rPr>
              <w:t>Shtrirja e rrjetit të përgjithshëm Transevropian të Transportit (TEN-T)</w:t>
            </w:r>
          </w:p>
          <w:p w14:paraId="1D299EE2" w14:textId="77777777" w:rsidR="00835192" w:rsidRPr="00FF756A" w:rsidRDefault="00835192" w:rsidP="004A3257">
            <w:pPr>
              <w:numPr>
                <w:ilvl w:val="0"/>
                <w:numId w:val="137"/>
              </w:num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240" w:lineRule="auto"/>
              <w:contextualSpacing/>
              <w:jc w:val="left"/>
              <w:rPr>
                <w:rFonts w:eastAsia="Times New Roman"/>
                <w:i/>
                <w:iCs/>
                <w:sz w:val="20"/>
                <w:szCs w:val="20"/>
              </w:rPr>
            </w:pPr>
            <w:r w:rsidRPr="00FF756A">
              <w:rPr>
                <w:i/>
                <w:iCs/>
                <w:sz w:val="20"/>
                <w:szCs w:val="20"/>
              </w:rPr>
              <w:t>Ndërtimi i linjës së re Pogradec - Korçë - kufiri me Greqinë (hekurudhë CBC), me kosto të vlerësuar 151,3 milionë euro dhe afat përfundimtar vitin 2029; studimi i fizibilitetit nga WBIF; studimi i para-fizibilitetit i kryer (IPA, Programi i Bashkëpunimit Ndërkufitar Greqi - Shqipëri). Fizibiliteti dhe projekti i detajuar do të sigurohen në programin CBC 2021 - 2027</w:t>
            </w:r>
          </w:p>
          <w:p w14:paraId="60C0F674" w14:textId="77777777" w:rsidR="00835192" w:rsidRPr="00FF756A" w:rsidRDefault="00835192" w:rsidP="004A3257">
            <w:pPr>
              <w:numPr>
                <w:ilvl w:val="0"/>
                <w:numId w:val="137"/>
              </w:numPr>
              <w:shd w:val="clear" w:color="auto" w:fill="FFFFFF" w:themeFill="background1"/>
              <w:spacing w:before="20" w:after="20" w:line="240" w:lineRule="auto"/>
              <w:contextualSpacing/>
              <w:jc w:val="left"/>
              <w:rPr>
                <w:rFonts w:eastAsia="Times New Roman"/>
                <w:i/>
                <w:iCs/>
                <w:sz w:val="20"/>
                <w:szCs w:val="20"/>
              </w:rPr>
            </w:pPr>
            <w:r w:rsidRPr="00FF756A">
              <w:rPr>
                <w:i/>
                <w:iCs/>
                <w:sz w:val="20"/>
                <w:szCs w:val="20"/>
              </w:rPr>
              <w:t xml:space="preserve">Rehabilitimi i linjës Durrës-Pogradec-Lin dhe ndërtimi i linjës së re deri në kufirin e Maqedonisë së Veriut (Korridori VIII) (151 km ekzistuese Durrës-Elbasan-Pogradec dhe 2,8 km për Lin - kufiri me Maqedoninë e Veriut), me kosto të vlerësuar 206,7 milionë euro.  </w:t>
            </w:r>
          </w:p>
          <w:p w14:paraId="65BB9C60" w14:textId="77777777" w:rsidR="00835192" w:rsidRPr="00FF756A" w:rsidRDefault="00835192" w:rsidP="008639B2">
            <w:pPr>
              <w:numPr>
                <w:ilvl w:val="0"/>
                <w:numId w:val="137"/>
              </w:numPr>
              <w:spacing w:before="20" w:after="20" w:line="240" w:lineRule="auto"/>
              <w:contextualSpacing/>
              <w:jc w:val="left"/>
              <w:rPr>
                <w:rFonts w:eastAsia="Times New Roman"/>
                <w:i/>
                <w:iCs/>
                <w:sz w:val="20"/>
                <w:szCs w:val="20"/>
              </w:rPr>
            </w:pPr>
            <w:r w:rsidRPr="00FF756A">
              <w:rPr>
                <w:i/>
                <w:iCs/>
                <w:sz w:val="20"/>
                <w:szCs w:val="20"/>
              </w:rPr>
              <w:t>Segmenti Rrogozhinë - Pogradec, projekti i detajuar i mbështetur nga asistenca teknike e BEI. Projekti si pjesë e rrjetit TEN-T lidh 2 vende të BE-së (Italinë dhe Bullgarinë) me transport intermodal detar dhe hekurudhor dhe rrit ndërlidhjen hekurudhore të Shqipërisë dhe Maqedonisë së Veriut në rajonin e Ballkanit Perëndimor dhe ndërlidhjen detare/hekurudhore me Turqinë.  Ai rrit ndërlidhjen hekurudhore me Serbinë, Kosovën dhe Greqinë</w:t>
            </w:r>
          </w:p>
          <w:p w14:paraId="696AFFB7" w14:textId="77777777" w:rsidR="00835192" w:rsidRPr="00FF756A" w:rsidRDefault="00835192" w:rsidP="004A3257">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240" w:lineRule="auto"/>
              <w:contextualSpacing/>
              <w:jc w:val="left"/>
              <w:rPr>
                <w:rFonts w:eastAsia="Times New Roman"/>
                <w:i/>
                <w:iCs/>
                <w:sz w:val="20"/>
                <w:szCs w:val="20"/>
              </w:rPr>
            </w:pPr>
            <w:r w:rsidRPr="00FF756A">
              <w:rPr>
                <w:i/>
                <w:iCs/>
                <w:sz w:val="20"/>
                <w:szCs w:val="20"/>
              </w:rPr>
              <w:t>Shtrirja e rrjetit bazë Transevropian të Transportit (TEN-T)</w:t>
            </w:r>
          </w:p>
          <w:p w14:paraId="48E0FE73" w14:textId="77777777" w:rsidR="00835192" w:rsidRPr="00FF756A" w:rsidRDefault="00835192" w:rsidP="004A3257">
            <w:pPr>
              <w:numPr>
                <w:ilvl w:val="0"/>
                <w:numId w:val="137"/>
              </w:num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240" w:lineRule="auto"/>
              <w:contextualSpacing/>
              <w:jc w:val="left"/>
              <w:rPr>
                <w:rFonts w:eastAsia="Times New Roman"/>
                <w:i/>
                <w:iCs/>
                <w:sz w:val="20"/>
                <w:szCs w:val="20"/>
              </w:rPr>
            </w:pPr>
            <w:r w:rsidRPr="00FF756A">
              <w:rPr>
                <w:i/>
                <w:iCs/>
                <w:sz w:val="20"/>
                <w:szCs w:val="20"/>
              </w:rPr>
              <w:t xml:space="preserve">Rehabilitimi i linjës Durrës-Terminali i Transportit Publik të Tiranës (34,1 km) dhe ndërtimi i degës së re Tiranë-Rinas me gjatësi 5 km, duke përfshirë sistemet e sinjalizimit/telekomunikacionit dhe stacionin e ri të trenit (Korridori VIII), me kosto të vlerësuar 90,45 milionë euro dhe afat përfundimtar vitin 2025;  </w:t>
            </w:r>
          </w:p>
          <w:p w14:paraId="7A8E5BFD" w14:textId="77777777" w:rsidR="00835192" w:rsidRPr="00FF756A" w:rsidRDefault="00835192" w:rsidP="004A3257">
            <w:pPr>
              <w:numPr>
                <w:ilvl w:val="0"/>
                <w:numId w:val="137"/>
              </w:num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240" w:lineRule="auto"/>
              <w:contextualSpacing/>
              <w:jc w:val="left"/>
              <w:rPr>
                <w:rFonts w:eastAsia="Times New Roman"/>
                <w:i/>
                <w:iCs/>
                <w:sz w:val="20"/>
                <w:szCs w:val="20"/>
              </w:rPr>
            </w:pPr>
            <w:r w:rsidRPr="00FF756A">
              <w:rPr>
                <w:i/>
                <w:iCs/>
                <w:sz w:val="20"/>
                <w:szCs w:val="20"/>
              </w:rPr>
              <w:t xml:space="preserve">Zëvendësimi dhe modernizimi i automjeteve hekurudhore me një teknologji më të avancuar dhe ekologjike; </w:t>
            </w:r>
          </w:p>
          <w:p w14:paraId="426BED6D" w14:textId="77777777" w:rsidR="00835192" w:rsidRPr="00FF756A" w:rsidRDefault="00835192" w:rsidP="004A3257">
            <w:pPr>
              <w:numPr>
                <w:ilvl w:val="0"/>
                <w:numId w:val="137"/>
              </w:num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240" w:lineRule="auto"/>
              <w:contextualSpacing/>
              <w:jc w:val="left"/>
              <w:rPr>
                <w:rFonts w:eastAsia="Times New Roman"/>
                <w:i/>
                <w:iCs/>
                <w:sz w:val="20"/>
                <w:szCs w:val="20"/>
              </w:rPr>
            </w:pPr>
            <w:r w:rsidRPr="00FF756A">
              <w:rPr>
                <w:i/>
                <w:iCs/>
                <w:sz w:val="20"/>
                <w:szCs w:val="20"/>
              </w:rPr>
              <w:t>Rehabilitimi i linjës Durrës - Vorë - Shkodër - Hani Hotit, kufiri me Malin e Zi (140 km), (Korridori Hekurudhor i Mesdheut R2 RRUGA 2), me kosto të vlerësuar 267 milionë euro dhe afat përfundimtar vitin 2027;</w:t>
            </w:r>
          </w:p>
          <w:p w14:paraId="41803375" w14:textId="77777777" w:rsidR="00835192" w:rsidRPr="00FF756A" w:rsidRDefault="00835192" w:rsidP="00835192">
            <w:pPr>
              <w:spacing w:before="20" w:after="20" w:line="240" w:lineRule="auto"/>
              <w:contextualSpacing/>
              <w:jc w:val="left"/>
              <w:rPr>
                <w:rFonts w:eastAsia="Times New Roman"/>
                <w:i/>
                <w:iCs/>
                <w:sz w:val="20"/>
                <w:szCs w:val="20"/>
              </w:rPr>
            </w:pPr>
            <w:r w:rsidRPr="00FF756A">
              <w:rPr>
                <w:i/>
                <w:iCs/>
                <w:sz w:val="20"/>
                <w:szCs w:val="20"/>
              </w:rPr>
              <w:t>Elektrifikimi i linjës Tiranë - Durrës dhe lidhja me aeroportin “Nënë Tereza”, me kosto të vlerësuar 100 milionë euro dhe afat përfundimtar pas vitit 2030.</w:t>
            </w:r>
          </w:p>
        </w:tc>
        <w:tc>
          <w:tcPr>
            <w:tcW w:w="992" w:type="dxa"/>
          </w:tcPr>
          <w:p w14:paraId="6E42E691" w14:textId="77777777" w:rsidR="00835192" w:rsidRPr="00FF756A" w:rsidRDefault="00835192" w:rsidP="0083519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240" w:lineRule="auto"/>
              <w:contextualSpacing/>
              <w:jc w:val="left"/>
              <w:rPr>
                <w:i/>
                <w:iCs/>
                <w:sz w:val="20"/>
                <w:szCs w:val="20"/>
              </w:rPr>
            </w:pPr>
            <w:r w:rsidRPr="00FF756A">
              <w:rPr>
                <w:i/>
                <w:iCs/>
                <w:sz w:val="20"/>
                <w:szCs w:val="20"/>
              </w:rPr>
              <w:t>brenda vitit 2021</w:t>
            </w:r>
            <w:r w:rsidRPr="00FF756A">
              <w:rPr>
                <w:i/>
                <w:iCs/>
                <w:sz w:val="20"/>
                <w:szCs w:val="20"/>
              </w:rPr>
              <w:br/>
            </w:r>
          </w:p>
          <w:p w14:paraId="17944B6E" w14:textId="77777777" w:rsidR="00835192" w:rsidRPr="00FF756A" w:rsidRDefault="00835192" w:rsidP="0083519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240" w:lineRule="auto"/>
              <w:contextualSpacing/>
              <w:jc w:val="left"/>
              <w:rPr>
                <w:i/>
                <w:iCs/>
                <w:sz w:val="20"/>
                <w:szCs w:val="20"/>
              </w:rPr>
            </w:pPr>
            <w:r w:rsidRPr="00FF756A">
              <w:rPr>
                <w:i/>
                <w:iCs/>
                <w:sz w:val="20"/>
                <w:szCs w:val="20"/>
              </w:rPr>
              <w:t>brenda vitit 2029</w:t>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t>brenda vitit 2025</w:t>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r>
            <w:r w:rsidRPr="00FF756A">
              <w:rPr>
                <w:i/>
                <w:iCs/>
                <w:sz w:val="20"/>
                <w:szCs w:val="20"/>
              </w:rPr>
              <w:br/>
              <w:t>brenda vitit 2027</w:t>
            </w:r>
            <w:r w:rsidRPr="00FF756A">
              <w:rPr>
                <w:i/>
                <w:iCs/>
                <w:sz w:val="20"/>
                <w:szCs w:val="20"/>
              </w:rPr>
              <w:br/>
            </w:r>
            <w:r w:rsidRPr="00FF756A">
              <w:rPr>
                <w:i/>
                <w:iCs/>
                <w:sz w:val="20"/>
                <w:szCs w:val="20"/>
              </w:rPr>
              <w:br/>
            </w:r>
            <w:r w:rsidRPr="00FF756A">
              <w:rPr>
                <w:i/>
                <w:iCs/>
                <w:sz w:val="20"/>
                <w:szCs w:val="20"/>
              </w:rPr>
              <w:br/>
              <w:t>2030 e në vazhdim</w:t>
            </w:r>
          </w:p>
        </w:tc>
      </w:tr>
      <w:tr w:rsidR="00835192" w:rsidRPr="00FF756A" w14:paraId="12FF4024" w14:textId="77777777" w:rsidTr="004A3257">
        <w:trPr>
          <w:trHeight w:val="20"/>
        </w:trPr>
        <w:tc>
          <w:tcPr>
            <w:tcW w:w="2200" w:type="dxa"/>
          </w:tcPr>
          <w:p w14:paraId="3D4BD2B0"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2" w:type="dxa"/>
            <w:gridSpan w:val="5"/>
          </w:tcPr>
          <w:p w14:paraId="20DE80C8" w14:textId="77777777" w:rsidR="00835192" w:rsidRPr="00FF756A" w:rsidRDefault="00835192" w:rsidP="00835192">
            <w:pPr>
              <w:spacing w:before="20" w:after="20" w:line="240" w:lineRule="auto"/>
              <w:jc w:val="left"/>
              <w:rPr>
                <w:i/>
                <w:iCs/>
                <w:sz w:val="20"/>
                <w:szCs w:val="20"/>
              </w:rPr>
            </w:pPr>
            <w:r w:rsidRPr="00FF756A">
              <w:rPr>
                <w:i/>
                <w:iCs/>
                <w:sz w:val="20"/>
                <w:szCs w:val="20"/>
              </w:rPr>
              <w:t xml:space="preserve">Buxheti i parashikuar për shtrirjen e rrjeteve të përgjithshme dhe bazë transevropiane të transportit (TEN-T) do të financohet nga institucionet financiare ndërkombëtare dhe instrumentet financiare, si dhe nga buxheti i shtetit; për koston e përllogaritur shihni seksionin e mësipërm. </w:t>
            </w:r>
          </w:p>
        </w:tc>
      </w:tr>
      <w:tr w:rsidR="00835192" w:rsidRPr="00FF756A" w14:paraId="7C69A3F9" w14:textId="77777777" w:rsidTr="004A3257">
        <w:trPr>
          <w:trHeight w:val="20"/>
        </w:trPr>
        <w:tc>
          <w:tcPr>
            <w:tcW w:w="2200" w:type="dxa"/>
          </w:tcPr>
          <w:p w14:paraId="654C637E"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3E91BE60"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2" w:type="dxa"/>
            <w:gridSpan w:val="5"/>
          </w:tcPr>
          <w:p w14:paraId="78414E66" w14:textId="77777777" w:rsidR="00835192" w:rsidRPr="00FF756A" w:rsidRDefault="00835192" w:rsidP="00835192">
            <w:pPr>
              <w:spacing w:before="20" w:after="20" w:line="240" w:lineRule="auto"/>
              <w:jc w:val="left"/>
              <w:rPr>
                <w:i/>
                <w:iCs/>
                <w:sz w:val="20"/>
                <w:szCs w:val="20"/>
              </w:rPr>
            </w:pPr>
            <w:r w:rsidRPr="00FF756A">
              <w:rPr>
                <w:i/>
                <w:iCs/>
                <w:sz w:val="20"/>
                <w:szCs w:val="20"/>
              </w:rPr>
              <w:t>Ministria e Infrastrukturës dhe Energjisë</w:t>
            </w:r>
          </w:p>
        </w:tc>
      </w:tr>
      <w:tr w:rsidR="00835192" w:rsidRPr="00FF756A" w14:paraId="0159CC00" w14:textId="77777777" w:rsidTr="004A3257">
        <w:trPr>
          <w:trHeight w:val="20"/>
        </w:trPr>
        <w:tc>
          <w:tcPr>
            <w:tcW w:w="2200" w:type="dxa"/>
          </w:tcPr>
          <w:p w14:paraId="7BC490A6"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2" w:type="dxa"/>
            <w:gridSpan w:val="5"/>
          </w:tcPr>
          <w:p w14:paraId="3EEE209F" w14:textId="77777777" w:rsidR="00835192" w:rsidRPr="00FF756A" w:rsidRDefault="00835192" w:rsidP="00835192">
            <w:pPr>
              <w:spacing w:before="20" w:after="20" w:line="240" w:lineRule="auto"/>
              <w:jc w:val="left"/>
              <w:rPr>
                <w:i/>
                <w:iCs/>
                <w:sz w:val="20"/>
                <w:szCs w:val="20"/>
              </w:rPr>
            </w:pPr>
            <w:r w:rsidRPr="00FF756A">
              <w:rPr>
                <w:i/>
                <w:iCs/>
                <w:sz w:val="20"/>
                <w:szCs w:val="20"/>
              </w:rPr>
              <w:t>Efiçenca e energjisë; dekarbonizimi</w:t>
            </w:r>
          </w:p>
          <w:p w14:paraId="50665864" w14:textId="77777777" w:rsidR="00835192" w:rsidRPr="00FF756A" w:rsidRDefault="00835192" w:rsidP="00835192">
            <w:pPr>
              <w:spacing w:before="20" w:after="20" w:line="240" w:lineRule="auto"/>
              <w:jc w:val="left"/>
              <w:rPr>
                <w:i/>
                <w:iCs/>
                <w:sz w:val="20"/>
                <w:szCs w:val="20"/>
              </w:rPr>
            </w:pPr>
          </w:p>
        </w:tc>
      </w:tr>
    </w:tbl>
    <w:p w14:paraId="6CF3BD0A" w14:textId="77777777" w:rsidR="00835192" w:rsidRPr="00FF756A" w:rsidRDefault="00835192" w:rsidP="00835192"/>
    <w:p w14:paraId="2A49A6E8" w14:textId="77777777" w:rsidR="004E377F" w:rsidRPr="00FF756A" w:rsidRDefault="004E377F" w:rsidP="00835192"/>
    <w:p w14:paraId="17CBD01A" w14:textId="77777777" w:rsidR="00835192" w:rsidRPr="00FF756A" w:rsidRDefault="00835192" w:rsidP="00835192">
      <w:pPr>
        <w:spacing w:after="0" w:line="240" w:lineRule="auto"/>
      </w:pPr>
    </w:p>
    <w:p w14:paraId="00FB3331" w14:textId="6D33F0DB" w:rsidR="00835192" w:rsidRPr="00FF756A" w:rsidRDefault="001F0EDA" w:rsidP="004A3257">
      <w:pPr>
        <w:pStyle w:val="Heading2"/>
      </w:pPr>
      <w:bookmarkStart w:id="419" w:name="_Toc75616133"/>
      <w:bookmarkStart w:id="420" w:name="_Toc182897789"/>
      <w:bookmarkStart w:id="421" w:name="_Toc183639244"/>
      <w:r w:rsidRPr="00FF756A">
        <w:t xml:space="preserve">3.3 </w:t>
      </w:r>
      <w:r w:rsidR="00835192" w:rsidRPr="00FF756A">
        <w:t>Siguria energjetike</w:t>
      </w:r>
      <w:bookmarkEnd w:id="419"/>
      <w:bookmarkEnd w:id="420"/>
      <w:bookmarkEnd w:id="421"/>
    </w:p>
    <w:p w14:paraId="3FE785B0" w14:textId="77777777" w:rsidR="00835192" w:rsidRPr="00FF756A" w:rsidRDefault="00835192" w:rsidP="00835192"/>
    <w:p w14:paraId="30009532" w14:textId="5A89FE0B" w:rsidR="00835192" w:rsidRPr="00FF756A" w:rsidRDefault="00E26629" w:rsidP="004A3257">
      <w:pPr>
        <w:pStyle w:val="Heading3"/>
      </w:pPr>
      <w:bookmarkStart w:id="422" w:name="_Toc75616134"/>
      <w:bookmarkStart w:id="423" w:name="_Toc182897790"/>
      <w:bookmarkStart w:id="424" w:name="_Toc183639245"/>
      <w:r w:rsidRPr="00FF756A">
        <w:t xml:space="preserve">3.3.1 </w:t>
      </w:r>
      <w:r w:rsidR="00835192" w:rsidRPr="00FF756A">
        <w:t>Kuadri ligjor gjithëpërfshirës</w:t>
      </w:r>
      <w:bookmarkEnd w:id="422"/>
      <w:bookmarkEnd w:id="423"/>
      <w:bookmarkEnd w:id="424"/>
    </w:p>
    <w:p w14:paraId="21685F74" w14:textId="77777777" w:rsidR="00835192" w:rsidRPr="00FF756A" w:rsidRDefault="00835192" w:rsidP="00835192">
      <w:r w:rsidRPr="00FF756A">
        <w:t>Më poshtë renditen aktet ligjore kryesore (duke përfshirë strategjitë dhe planet) në lidhje me këtë dimension:</w:t>
      </w:r>
    </w:p>
    <w:p w14:paraId="3C22B923" w14:textId="77777777" w:rsidR="00835192" w:rsidRPr="00FF756A" w:rsidRDefault="00835192" w:rsidP="008639B2">
      <w:pPr>
        <w:numPr>
          <w:ilvl w:val="0"/>
          <w:numId w:val="122"/>
        </w:numPr>
        <w:contextualSpacing/>
        <w:rPr>
          <w:bCs/>
          <w:iCs/>
        </w:rPr>
      </w:pPr>
      <w:r w:rsidRPr="00FF756A">
        <w:rPr>
          <w:bCs/>
          <w:iCs/>
        </w:rPr>
        <w:t>Ligji nr. 102/2015, datë 23.9.2015, “Për sektorin e gazit natyror”, i ndryshuar</w:t>
      </w:r>
    </w:p>
    <w:p w14:paraId="1B253EF2" w14:textId="77777777" w:rsidR="00835192" w:rsidRPr="00FF756A" w:rsidRDefault="00835192" w:rsidP="008639B2">
      <w:pPr>
        <w:numPr>
          <w:ilvl w:val="0"/>
          <w:numId w:val="122"/>
        </w:numPr>
        <w:contextualSpacing/>
        <w:rPr>
          <w:bCs/>
          <w:iCs/>
        </w:rPr>
      </w:pPr>
      <w:r w:rsidRPr="00FF756A">
        <w:rPr>
          <w:bCs/>
          <w:iCs/>
        </w:rPr>
        <w:t>Ligji nr. 43/2015, datë 30.4.2015, “Për sektorin e energjisë elektrike”, i ndryshuar</w:t>
      </w:r>
    </w:p>
    <w:p w14:paraId="7EEC8B79" w14:textId="77777777" w:rsidR="00835192" w:rsidRPr="00FF756A" w:rsidRDefault="00835192" w:rsidP="008639B2">
      <w:pPr>
        <w:numPr>
          <w:ilvl w:val="0"/>
          <w:numId w:val="122"/>
        </w:numPr>
        <w:contextualSpacing/>
        <w:rPr>
          <w:bCs/>
          <w:iCs/>
        </w:rPr>
      </w:pPr>
      <w:r w:rsidRPr="00FF756A">
        <w:rPr>
          <w:bCs/>
          <w:iCs/>
        </w:rPr>
        <w:t>Ligji nr. 7746, datë 28.7.1993, “Për hidrokarburet”, i ndryshuar</w:t>
      </w:r>
    </w:p>
    <w:p w14:paraId="217824C2" w14:textId="77777777" w:rsidR="004D4EC9" w:rsidRPr="00FF756A" w:rsidRDefault="004D4EC9" w:rsidP="004D4EC9">
      <w:pPr>
        <w:numPr>
          <w:ilvl w:val="0"/>
          <w:numId w:val="122"/>
        </w:numPr>
        <w:contextualSpacing/>
        <w:rPr>
          <w:bCs/>
          <w:iCs/>
        </w:rPr>
      </w:pPr>
      <w:r w:rsidRPr="00FF756A">
        <w:rPr>
          <w:iCs/>
        </w:rPr>
        <w:t>Ligji nr. 38/2021 “Për hidrocentralin e Skavicës</w:t>
      </w:r>
    </w:p>
    <w:p w14:paraId="04B379D2" w14:textId="77777777" w:rsidR="00606CF1" w:rsidRPr="00FF756A" w:rsidRDefault="00606CF1" w:rsidP="00606CF1">
      <w:pPr>
        <w:numPr>
          <w:ilvl w:val="0"/>
          <w:numId w:val="122"/>
        </w:numPr>
        <w:contextualSpacing/>
        <w:rPr>
          <w:bCs/>
          <w:iCs/>
        </w:rPr>
      </w:pPr>
      <w:r w:rsidRPr="00FF756A">
        <w:rPr>
          <w:bCs/>
          <w:iCs/>
        </w:rPr>
        <w:t>Ligji nr. 8450, datë 24.2.1999, “Për përpunimin, transportimin dhe tregtimin e naftës, të gazit dhe nënprodukteve të tyre”, i ndryshuar</w:t>
      </w:r>
    </w:p>
    <w:p w14:paraId="74551932" w14:textId="77777777" w:rsidR="00606CF1" w:rsidRPr="00FF756A" w:rsidRDefault="00606CF1" w:rsidP="00606CF1">
      <w:pPr>
        <w:numPr>
          <w:ilvl w:val="0"/>
          <w:numId w:val="122"/>
        </w:numPr>
        <w:contextualSpacing/>
        <w:rPr>
          <w:bCs/>
          <w:iCs/>
        </w:rPr>
      </w:pPr>
      <w:r w:rsidRPr="00FF756A">
        <w:rPr>
          <w:bCs/>
          <w:iCs/>
        </w:rPr>
        <w:t>VKM nr. 480, datë 31.7.2018, “Për miratimin e strategjisë kombëtare të energjisë 2018-2030”</w:t>
      </w:r>
    </w:p>
    <w:p w14:paraId="7FB47DEF" w14:textId="77777777" w:rsidR="00606CF1" w:rsidRPr="00FF756A" w:rsidRDefault="00606CF1" w:rsidP="00606CF1">
      <w:pPr>
        <w:numPr>
          <w:ilvl w:val="0"/>
          <w:numId w:val="122"/>
        </w:numPr>
        <w:contextualSpacing/>
        <w:rPr>
          <w:bCs/>
          <w:iCs/>
        </w:rPr>
      </w:pPr>
      <w:r w:rsidRPr="00FF756A">
        <w:rPr>
          <w:bCs/>
          <w:iCs/>
        </w:rPr>
        <w:t>VKM nr. 87, datë 14.2.2018, “Për miratimin e planit të zhvillimit të sektorit të gazit natyror në Shqipëri dhe identifikimin e projekteve prioritare”</w:t>
      </w:r>
    </w:p>
    <w:p w14:paraId="4A5033E2" w14:textId="77777777" w:rsidR="00606CF1" w:rsidRPr="00FF756A" w:rsidRDefault="00606CF1" w:rsidP="00606CF1">
      <w:pPr>
        <w:numPr>
          <w:ilvl w:val="0"/>
          <w:numId w:val="122"/>
        </w:numPr>
        <w:contextualSpacing/>
        <w:rPr>
          <w:bCs/>
          <w:iCs/>
        </w:rPr>
      </w:pPr>
      <w:r w:rsidRPr="00FF756A">
        <w:rPr>
          <w:bCs/>
          <w:iCs/>
        </w:rPr>
        <w:t>VKM nr. 417, datë 10.5.2017, “Për miratimin e planit të emergjencës për gazin natyror, në përputhje me standardet minimale të sigurisë së furnizimit, si dhe rregullat për të garantuar furnizim të sigurt dhe të efektshëm me gaz natyror”</w:t>
      </w:r>
    </w:p>
    <w:p w14:paraId="01E33AE6" w14:textId="77777777" w:rsidR="00606CF1" w:rsidRPr="00FF756A" w:rsidRDefault="00606CF1" w:rsidP="00606CF1">
      <w:pPr>
        <w:numPr>
          <w:ilvl w:val="0"/>
          <w:numId w:val="122"/>
        </w:numPr>
        <w:contextualSpacing/>
        <w:rPr>
          <w:bCs/>
          <w:iCs/>
        </w:rPr>
      </w:pPr>
      <w:r w:rsidRPr="00FF756A">
        <w:rPr>
          <w:bCs/>
          <w:iCs/>
        </w:rPr>
        <w:t>VKM nr. 485, datë 30.07.2021, “Për miratimin e kontratës së fazës së parë “Kontratë për shërbime teknike – projekti hidroenergjetik i Skavicës”</w:t>
      </w:r>
    </w:p>
    <w:p w14:paraId="05573C36" w14:textId="77777777" w:rsidR="00606CF1" w:rsidRPr="00FF756A" w:rsidRDefault="00606CF1" w:rsidP="00606CF1">
      <w:pPr>
        <w:numPr>
          <w:ilvl w:val="0"/>
          <w:numId w:val="122"/>
        </w:numPr>
        <w:contextualSpacing/>
        <w:rPr>
          <w:bCs/>
          <w:iCs/>
        </w:rPr>
      </w:pPr>
      <w:r w:rsidRPr="00FF756A">
        <w:rPr>
          <w:bCs/>
          <w:iCs/>
        </w:rPr>
        <w:t>VKM nr. 822 “Për ndërtimin e kapaciteteve të reja prodhuese që nuk janë objekt koncesioni</w:t>
      </w:r>
    </w:p>
    <w:p w14:paraId="7EAD8F00" w14:textId="77777777" w:rsidR="00606CF1" w:rsidRPr="00FF756A" w:rsidRDefault="00606CF1" w:rsidP="00606CF1">
      <w:pPr>
        <w:numPr>
          <w:ilvl w:val="0"/>
          <w:numId w:val="122"/>
        </w:numPr>
        <w:contextualSpacing/>
        <w:rPr>
          <w:bCs/>
          <w:iCs/>
        </w:rPr>
      </w:pPr>
      <w:r w:rsidRPr="00FF756A">
        <w:rPr>
          <w:bCs/>
          <w:iCs/>
        </w:rPr>
        <w:t>VKM nr. 685, datë 14.11.2018 “Për miratimin e praktikave për promovimin e investimeve të përbashkëta, rajonale, në infrastrukturën e sektorit të energjisë</w:t>
      </w:r>
    </w:p>
    <w:p w14:paraId="6353EA59" w14:textId="77777777" w:rsidR="00606CF1" w:rsidRPr="00FF756A" w:rsidRDefault="00606CF1" w:rsidP="00606CF1">
      <w:pPr>
        <w:numPr>
          <w:ilvl w:val="0"/>
          <w:numId w:val="122"/>
        </w:numPr>
        <w:contextualSpacing/>
        <w:rPr>
          <w:bCs/>
          <w:iCs/>
        </w:rPr>
      </w:pPr>
      <w:r w:rsidRPr="00FF756A">
        <w:rPr>
          <w:bCs/>
          <w:iCs/>
        </w:rPr>
        <w:t>Ligji “Për krijimin, mbajtjen dhe menaxhimin e rezervave minimale të sigurisë të naftës bruto dhe nënprodukteve të saj”. (versioni draft)</w:t>
      </w:r>
    </w:p>
    <w:p w14:paraId="7E383BEF" w14:textId="77777777" w:rsidR="004D4EC9" w:rsidRPr="00FF756A" w:rsidRDefault="004D4EC9" w:rsidP="004A3257">
      <w:pPr>
        <w:ind w:left="720"/>
        <w:contextualSpacing/>
        <w:rPr>
          <w:bCs/>
          <w:iCs/>
        </w:rPr>
      </w:pPr>
    </w:p>
    <w:p w14:paraId="5A0B3D66" w14:textId="77777777" w:rsidR="00835192" w:rsidRPr="00FF756A" w:rsidRDefault="00835192" w:rsidP="00835192">
      <w:r w:rsidRPr="00FF756A">
        <w:t>Në tabelat më poshtë jepen politikat dhe masat, të ndara sipas sektorëve përkatës.</w:t>
      </w:r>
    </w:p>
    <w:p w14:paraId="7C3F52C9" w14:textId="77777777" w:rsidR="00835192" w:rsidRPr="00FF756A" w:rsidRDefault="00835192" w:rsidP="00835192"/>
    <w:p w14:paraId="2457D5F8" w14:textId="3E46CD74" w:rsidR="00835192" w:rsidRPr="00FF756A" w:rsidRDefault="00E26629" w:rsidP="004A3257">
      <w:pPr>
        <w:pStyle w:val="Heading3"/>
      </w:pPr>
      <w:bookmarkStart w:id="425" w:name="_Toc75616135"/>
      <w:bookmarkStart w:id="426" w:name="_Toc182897791"/>
      <w:bookmarkStart w:id="427" w:name="_Toc183639246"/>
      <w:r w:rsidRPr="00FF756A">
        <w:t xml:space="preserve">3.3.2 </w:t>
      </w:r>
      <w:r w:rsidR="00835192" w:rsidRPr="00FF756A">
        <w:t>Sektori i energjisë</w:t>
      </w:r>
      <w:bookmarkEnd w:id="425"/>
      <w:bookmarkEnd w:id="426"/>
      <w:bookmarkEnd w:id="427"/>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2"/>
        <w:gridCol w:w="1286"/>
        <w:gridCol w:w="603"/>
        <w:gridCol w:w="431"/>
        <w:gridCol w:w="3690"/>
        <w:gridCol w:w="850"/>
      </w:tblGrid>
      <w:tr w:rsidR="00835192" w:rsidRPr="00FF756A" w14:paraId="2D04A163" w14:textId="77777777" w:rsidTr="004A3257">
        <w:trPr>
          <w:trHeight w:val="20"/>
        </w:trPr>
        <w:tc>
          <w:tcPr>
            <w:tcW w:w="4528" w:type="dxa"/>
            <w:gridSpan w:val="4"/>
            <w:shd w:val="clear" w:color="auto" w:fill="2E74B5" w:themeFill="accent5" w:themeFillShade="BF"/>
          </w:tcPr>
          <w:p w14:paraId="58B842C4"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4" w:type="dxa"/>
            <w:gridSpan w:val="2"/>
            <w:shd w:val="clear" w:color="auto" w:fill="2E74B5" w:themeFill="accent5" w:themeFillShade="BF"/>
          </w:tcPr>
          <w:p w14:paraId="2FE63178" w14:textId="77777777" w:rsidR="00835192" w:rsidRPr="00FF756A" w:rsidRDefault="00835192" w:rsidP="008639B2">
            <w:pPr>
              <w:numPr>
                <w:ilvl w:val="0"/>
                <w:numId w:val="111"/>
              </w:numPr>
              <w:spacing w:before="20" w:after="20" w:line="240" w:lineRule="auto"/>
              <w:contextualSpacing/>
              <w:rPr>
                <w:i/>
                <w:iCs/>
                <w:sz w:val="20"/>
                <w:szCs w:val="20"/>
              </w:rPr>
            </w:pPr>
            <w:r w:rsidRPr="00FF756A">
              <w:rPr>
                <w:i/>
                <w:iCs/>
                <w:sz w:val="20"/>
                <w:szCs w:val="20"/>
              </w:rPr>
              <w:t>Siguria energjetike</w:t>
            </w:r>
          </w:p>
        </w:tc>
      </w:tr>
      <w:tr w:rsidR="00835192" w:rsidRPr="00FF756A" w14:paraId="3D7BBCEE" w14:textId="77777777" w:rsidTr="004A3257">
        <w:trPr>
          <w:trHeight w:val="20"/>
        </w:trPr>
        <w:tc>
          <w:tcPr>
            <w:tcW w:w="4096" w:type="dxa"/>
            <w:gridSpan w:val="3"/>
            <w:shd w:val="clear" w:color="auto" w:fill="2E74B5" w:themeFill="accent5" w:themeFillShade="BF"/>
          </w:tcPr>
          <w:p w14:paraId="25B00FCF"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6" w:type="dxa"/>
            <w:gridSpan w:val="3"/>
            <w:shd w:val="clear" w:color="auto" w:fill="2E74B5" w:themeFill="accent5" w:themeFillShade="BF"/>
          </w:tcPr>
          <w:p w14:paraId="6E5B3E8E" w14:textId="77C89FD6" w:rsidR="00835192" w:rsidRPr="00FF756A" w:rsidRDefault="00860A21" w:rsidP="00835192">
            <w:pPr>
              <w:spacing w:before="20" w:after="20" w:line="240" w:lineRule="auto"/>
              <w:rPr>
                <w:i/>
                <w:iCs/>
                <w:sz w:val="20"/>
                <w:szCs w:val="20"/>
              </w:rPr>
            </w:pPr>
            <w:r w:rsidRPr="00FF756A">
              <w:rPr>
                <w:i/>
                <w:iCs/>
                <w:sz w:val="20"/>
                <w:szCs w:val="20"/>
              </w:rPr>
              <w:t>Energjia</w:t>
            </w:r>
          </w:p>
        </w:tc>
      </w:tr>
      <w:tr w:rsidR="00835192" w:rsidRPr="00FF756A" w14:paraId="48C6B1CD" w14:textId="77777777" w:rsidTr="004A3257">
        <w:trPr>
          <w:trHeight w:val="20"/>
        </w:trPr>
        <w:tc>
          <w:tcPr>
            <w:tcW w:w="3492" w:type="dxa"/>
            <w:gridSpan w:val="2"/>
          </w:tcPr>
          <w:p w14:paraId="4F0BCD4D"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12CFF0D2"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0" w:type="dxa"/>
            <w:gridSpan w:val="4"/>
          </w:tcPr>
          <w:p w14:paraId="4E5666B4" w14:textId="77777777" w:rsidR="00835192" w:rsidRPr="00FF756A" w:rsidRDefault="00835192" w:rsidP="00835192">
            <w:pPr>
              <w:spacing w:before="20" w:after="20" w:line="240" w:lineRule="auto"/>
              <w:rPr>
                <w:i/>
                <w:iCs/>
                <w:sz w:val="20"/>
                <w:szCs w:val="20"/>
              </w:rPr>
            </w:pPr>
            <w:r w:rsidRPr="00FF756A">
              <w:rPr>
                <w:i/>
                <w:iCs/>
                <w:sz w:val="20"/>
                <w:szCs w:val="20"/>
              </w:rPr>
              <w:t>WEM</w:t>
            </w:r>
          </w:p>
          <w:p w14:paraId="63AEECFE" w14:textId="77777777" w:rsidR="00835192" w:rsidRPr="00FF756A" w:rsidRDefault="00835192" w:rsidP="00835192">
            <w:pPr>
              <w:spacing w:before="20" w:after="20" w:line="240" w:lineRule="auto"/>
              <w:rPr>
                <w:i/>
                <w:iCs/>
                <w:sz w:val="20"/>
                <w:szCs w:val="20"/>
              </w:rPr>
            </w:pPr>
            <w:r w:rsidRPr="00FF756A">
              <w:rPr>
                <w:i/>
                <w:iCs/>
                <w:sz w:val="20"/>
                <w:szCs w:val="20"/>
              </w:rPr>
              <w:t>Rregullator; Financiar; Teknik</w:t>
            </w:r>
          </w:p>
        </w:tc>
      </w:tr>
      <w:tr w:rsidR="00835192" w:rsidRPr="00FF756A" w14:paraId="0247CF43" w14:textId="77777777" w:rsidTr="004A3257">
        <w:trPr>
          <w:trHeight w:val="20"/>
        </w:trPr>
        <w:tc>
          <w:tcPr>
            <w:tcW w:w="2204" w:type="dxa"/>
          </w:tcPr>
          <w:p w14:paraId="099FE409"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55FBE996"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8" w:type="dxa"/>
            <w:gridSpan w:val="5"/>
          </w:tcPr>
          <w:p w14:paraId="3C3D01CC" w14:textId="77777777" w:rsidR="00835192" w:rsidRPr="00FF756A" w:rsidRDefault="00835192" w:rsidP="00835192">
            <w:pPr>
              <w:spacing w:before="20" w:after="20" w:line="240" w:lineRule="auto"/>
              <w:rPr>
                <w:i/>
                <w:iCs/>
                <w:sz w:val="20"/>
                <w:szCs w:val="20"/>
              </w:rPr>
            </w:pPr>
            <w:r w:rsidRPr="00FF756A">
              <w:rPr>
                <w:i/>
                <w:iCs/>
                <w:sz w:val="20"/>
                <w:szCs w:val="20"/>
              </w:rPr>
              <w:t>Furnizimi me gaz për termocentralin e Vlorës</w:t>
            </w:r>
          </w:p>
          <w:p w14:paraId="0B7AD4F1" w14:textId="77777777" w:rsidR="00835192" w:rsidRPr="00FF756A" w:rsidRDefault="00835192" w:rsidP="00835192">
            <w:pPr>
              <w:spacing w:before="20" w:after="20" w:line="240" w:lineRule="auto"/>
              <w:rPr>
                <w:i/>
                <w:iCs/>
                <w:sz w:val="20"/>
                <w:szCs w:val="20"/>
              </w:rPr>
            </w:pPr>
            <w:bookmarkStart w:id="428" w:name="_Hlk178337427"/>
            <w:r w:rsidRPr="00FF756A">
              <w:rPr>
                <w:i/>
                <w:iCs/>
                <w:sz w:val="20"/>
                <w:szCs w:val="20"/>
              </w:rPr>
              <w:t>(ES-P1)</w:t>
            </w:r>
            <w:bookmarkEnd w:id="428"/>
          </w:p>
        </w:tc>
      </w:tr>
      <w:tr w:rsidR="00835192" w:rsidRPr="00FF756A" w14:paraId="6AD2D420" w14:textId="77777777" w:rsidTr="004A3257">
        <w:trPr>
          <w:trHeight w:val="20"/>
        </w:trPr>
        <w:tc>
          <w:tcPr>
            <w:tcW w:w="2204" w:type="dxa"/>
          </w:tcPr>
          <w:p w14:paraId="17E6E92D"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8" w:type="dxa"/>
            <w:gridSpan w:val="5"/>
          </w:tcPr>
          <w:p w14:paraId="108C20CB" w14:textId="77777777" w:rsidR="00835192" w:rsidRPr="00FF756A" w:rsidRDefault="00835192" w:rsidP="00835192">
            <w:pPr>
              <w:spacing w:before="20" w:after="20" w:line="240" w:lineRule="auto"/>
              <w:rPr>
                <w:i/>
                <w:iCs/>
                <w:sz w:val="20"/>
                <w:szCs w:val="20"/>
              </w:rPr>
            </w:pPr>
            <w:r w:rsidRPr="00FF756A">
              <w:rPr>
                <w:i/>
                <w:iCs/>
                <w:sz w:val="20"/>
                <w:szCs w:val="20"/>
              </w:rPr>
              <w:t>2021 – në vazhdim</w:t>
            </w:r>
          </w:p>
        </w:tc>
      </w:tr>
      <w:tr w:rsidR="00835192" w:rsidRPr="00FF756A" w14:paraId="71D8C827" w14:textId="77777777" w:rsidTr="004A3257">
        <w:trPr>
          <w:trHeight w:val="20"/>
        </w:trPr>
        <w:tc>
          <w:tcPr>
            <w:tcW w:w="2204" w:type="dxa"/>
          </w:tcPr>
          <w:p w14:paraId="3520BB4C"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8" w:type="dxa"/>
            <w:gridSpan w:val="5"/>
          </w:tcPr>
          <w:p w14:paraId="43BE2D33" w14:textId="77777777" w:rsidR="00835192" w:rsidRPr="00FF756A" w:rsidRDefault="00835192" w:rsidP="00835192">
            <w:pPr>
              <w:spacing w:before="20" w:after="20" w:line="240" w:lineRule="auto"/>
              <w:rPr>
                <w:i/>
                <w:iCs/>
                <w:sz w:val="20"/>
                <w:szCs w:val="20"/>
              </w:rPr>
            </w:pPr>
            <w:r w:rsidRPr="00FF756A">
              <w:rPr>
                <w:i/>
                <w:iCs/>
                <w:sz w:val="20"/>
                <w:szCs w:val="20"/>
              </w:rPr>
              <w:t>VKM nr. 480, datë 31.7.2018, “Për miratimin e strategjisë kombëtare të energjisë 2018-2030”; VKM nr. 87, datë 14.2.2018, “Për miratimin e planit të zhvillimit të sektorit të gazit natyror në Shqipëri dhe identifikimin e projekteve prioritare”</w:t>
            </w:r>
          </w:p>
        </w:tc>
      </w:tr>
      <w:tr w:rsidR="00835192" w:rsidRPr="00FF756A" w14:paraId="44A42725" w14:textId="77777777" w:rsidTr="004A3257">
        <w:trPr>
          <w:trHeight w:val="20"/>
        </w:trPr>
        <w:tc>
          <w:tcPr>
            <w:tcW w:w="2204" w:type="dxa"/>
          </w:tcPr>
          <w:p w14:paraId="24837D13"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8" w:type="dxa"/>
            <w:gridSpan w:val="5"/>
          </w:tcPr>
          <w:p w14:paraId="636213F2" w14:textId="77777777" w:rsidR="00835192" w:rsidRPr="00FF756A" w:rsidRDefault="00835192" w:rsidP="00835192">
            <w:pPr>
              <w:spacing w:before="20" w:after="20" w:line="240" w:lineRule="auto"/>
              <w:rPr>
                <w:i/>
                <w:iCs/>
                <w:sz w:val="20"/>
                <w:szCs w:val="20"/>
              </w:rPr>
            </w:pPr>
            <w:r w:rsidRPr="00FF756A">
              <w:rPr>
                <w:i/>
                <w:iCs/>
                <w:sz w:val="20"/>
                <w:szCs w:val="20"/>
              </w:rPr>
              <w:t>Përgatitja dhe miratimi i procesit.</w:t>
            </w:r>
          </w:p>
        </w:tc>
      </w:tr>
      <w:tr w:rsidR="00835192" w:rsidRPr="00FF756A" w14:paraId="31FEE871" w14:textId="77777777" w:rsidTr="004A3257">
        <w:trPr>
          <w:trHeight w:val="20"/>
        </w:trPr>
        <w:tc>
          <w:tcPr>
            <w:tcW w:w="2204" w:type="dxa"/>
          </w:tcPr>
          <w:p w14:paraId="687E966C"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8" w:type="dxa"/>
            <w:gridSpan w:val="5"/>
          </w:tcPr>
          <w:p w14:paraId="5B5DA139" w14:textId="77777777" w:rsidR="00835192" w:rsidRPr="00FF756A" w:rsidRDefault="00835192" w:rsidP="00835192">
            <w:pPr>
              <w:spacing w:before="20" w:after="20" w:line="240" w:lineRule="auto"/>
              <w:rPr>
                <w:i/>
                <w:iCs/>
                <w:sz w:val="20"/>
                <w:szCs w:val="20"/>
              </w:rPr>
            </w:pPr>
            <w:r w:rsidRPr="00FF756A">
              <w:rPr>
                <w:i/>
                <w:iCs/>
                <w:sz w:val="20"/>
                <w:szCs w:val="20"/>
              </w:rPr>
              <w:t>Rinisja e operimit të TEC-it të Vlorës me furnizimin e gazit natyror përmes Gazsjellësit Trans-Adriatik (TAP) dhe degës së tij në Vlorë.</w:t>
            </w:r>
          </w:p>
        </w:tc>
      </w:tr>
      <w:tr w:rsidR="00835192" w:rsidRPr="00FF756A" w14:paraId="77772BF0" w14:textId="77777777" w:rsidTr="004A3257">
        <w:trPr>
          <w:trHeight w:val="20"/>
        </w:trPr>
        <w:tc>
          <w:tcPr>
            <w:tcW w:w="2204" w:type="dxa"/>
          </w:tcPr>
          <w:p w14:paraId="1B27FDA3"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8" w:type="dxa"/>
            <w:gridSpan w:val="5"/>
          </w:tcPr>
          <w:p w14:paraId="683A0DBC"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Reduktimi i importit të energjisë elektrike</w:t>
            </w:r>
          </w:p>
          <w:p w14:paraId="162DD5F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Mbulimi i 20% të deficitit të energjisë elektrike nga TEC-i i Vlorës</w:t>
            </w:r>
          </w:p>
        </w:tc>
      </w:tr>
      <w:tr w:rsidR="00835192" w:rsidRPr="00FF756A" w14:paraId="5D17B22D" w14:textId="77777777" w:rsidTr="004A3257">
        <w:trPr>
          <w:trHeight w:val="20"/>
        </w:trPr>
        <w:tc>
          <w:tcPr>
            <w:tcW w:w="2204" w:type="dxa"/>
          </w:tcPr>
          <w:p w14:paraId="31DD9F02"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8" w:type="dxa"/>
            <w:gridSpan w:val="4"/>
          </w:tcPr>
          <w:p w14:paraId="1E29DD4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 Prokurimi publik për vënien në punë të TEC-it të Vlorës.</w:t>
            </w:r>
          </w:p>
          <w:p w14:paraId="471AC68F" w14:textId="77777777" w:rsidR="00835192" w:rsidRPr="00FF756A" w:rsidRDefault="00835192" w:rsidP="00835192">
            <w:pPr>
              <w:spacing w:before="20" w:after="20" w:line="240" w:lineRule="auto"/>
              <w:rPr>
                <w:i/>
                <w:iCs/>
                <w:sz w:val="20"/>
                <w:szCs w:val="20"/>
              </w:rPr>
            </w:pPr>
            <w:r w:rsidRPr="00FF756A">
              <w:rPr>
                <w:i/>
                <w:iCs/>
                <w:sz w:val="20"/>
                <w:szCs w:val="20"/>
              </w:rPr>
              <w:t>TEC-i i Vlorës pritet të vihet në punë në vitin 2026.</w:t>
            </w:r>
          </w:p>
        </w:tc>
        <w:tc>
          <w:tcPr>
            <w:tcW w:w="850" w:type="dxa"/>
          </w:tcPr>
          <w:p w14:paraId="694026A7"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2025</w:t>
            </w:r>
          </w:p>
        </w:tc>
      </w:tr>
      <w:tr w:rsidR="00835192" w:rsidRPr="00FF756A" w14:paraId="36BA8E3A" w14:textId="77777777" w:rsidTr="004A3257">
        <w:trPr>
          <w:trHeight w:val="20"/>
        </w:trPr>
        <w:tc>
          <w:tcPr>
            <w:tcW w:w="2204" w:type="dxa"/>
          </w:tcPr>
          <w:p w14:paraId="711B5C8F"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8" w:type="dxa"/>
            <w:gridSpan w:val="5"/>
          </w:tcPr>
          <w:p w14:paraId="41BACF96" w14:textId="77777777" w:rsidR="00835192" w:rsidRPr="00FF756A" w:rsidRDefault="00835192" w:rsidP="00835192">
            <w:pPr>
              <w:spacing w:before="20" w:after="20" w:line="240" w:lineRule="auto"/>
              <w:rPr>
                <w:i/>
                <w:iCs/>
                <w:sz w:val="20"/>
                <w:szCs w:val="20"/>
              </w:rPr>
            </w:pPr>
            <w:r w:rsidRPr="00FF756A">
              <w:rPr>
                <w:i/>
                <w:iCs/>
                <w:sz w:val="20"/>
                <w:szCs w:val="20"/>
              </w:rPr>
              <w:t>Rreth 58 milionë euro do të financohen me fondet e KESH sh.a.</w:t>
            </w:r>
          </w:p>
        </w:tc>
      </w:tr>
      <w:tr w:rsidR="00835192" w:rsidRPr="00FF756A" w14:paraId="18F3B617" w14:textId="77777777" w:rsidTr="004A3257">
        <w:trPr>
          <w:trHeight w:val="20"/>
        </w:trPr>
        <w:tc>
          <w:tcPr>
            <w:tcW w:w="2204" w:type="dxa"/>
          </w:tcPr>
          <w:p w14:paraId="2DEF0DA7"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46EB9D8E"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8" w:type="dxa"/>
            <w:gridSpan w:val="5"/>
          </w:tcPr>
          <w:p w14:paraId="58081AEA"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Enti Rregullator i Energjisë, Korporata Elektroenergjetike Shqiptare (KESH)</w:t>
            </w:r>
          </w:p>
          <w:p w14:paraId="49FD640A"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w:t>
            </w:r>
          </w:p>
        </w:tc>
      </w:tr>
      <w:tr w:rsidR="00835192" w:rsidRPr="00FF756A" w14:paraId="54792E48" w14:textId="77777777" w:rsidTr="004A3257">
        <w:trPr>
          <w:trHeight w:val="20"/>
        </w:trPr>
        <w:tc>
          <w:tcPr>
            <w:tcW w:w="2204" w:type="dxa"/>
          </w:tcPr>
          <w:p w14:paraId="589D5DC1"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8" w:type="dxa"/>
            <w:gridSpan w:val="5"/>
          </w:tcPr>
          <w:p w14:paraId="2822A74E" w14:textId="77777777" w:rsidR="00835192" w:rsidRPr="00FF756A" w:rsidRDefault="00835192" w:rsidP="00835192">
            <w:pPr>
              <w:spacing w:before="20" w:after="20" w:line="240" w:lineRule="auto"/>
              <w:rPr>
                <w:i/>
                <w:iCs/>
                <w:sz w:val="20"/>
                <w:szCs w:val="20"/>
              </w:rPr>
            </w:pPr>
            <w:r w:rsidRPr="00FF756A">
              <w:rPr>
                <w:i/>
                <w:iCs/>
                <w:sz w:val="20"/>
                <w:szCs w:val="20"/>
              </w:rPr>
              <w:t>Dekarbonizimi</w:t>
            </w:r>
          </w:p>
        </w:tc>
      </w:tr>
    </w:tbl>
    <w:p w14:paraId="47F15CEB" w14:textId="77777777" w:rsidR="00835192" w:rsidRPr="00FF756A" w:rsidRDefault="00835192" w:rsidP="00835192"/>
    <w:tbl>
      <w:tblPr>
        <w:tblStyle w:val="TableGrid"/>
        <w:tblW w:w="9072" w:type="dxa"/>
        <w:tblBorders>
          <w:left w:val="none" w:sz="0" w:space="0" w:color="auto"/>
          <w:right w:val="none" w:sz="0" w:space="0" w:color="auto"/>
        </w:tblBorders>
        <w:tblLayout w:type="fixed"/>
        <w:tblLook w:val="04A0" w:firstRow="1" w:lastRow="0" w:firstColumn="1" w:lastColumn="0" w:noHBand="0" w:noVBand="1"/>
      </w:tblPr>
      <w:tblGrid>
        <w:gridCol w:w="1973"/>
        <w:gridCol w:w="1086"/>
        <w:gridCol w:w="518"/>
        <w:gridCol w:w="373"/>
        <w:gridCol w:w="4259"/>
        <w:gridCol w:w="850"/>
        <w:gridCol w:w="13"/>
      </w:tblGrid>
      <w:tr w:rsidR="00835192" w:rsidRPr="00FF756A" w14:paraId="6E006D7C" w14:textId="77777777" w:rsidTr="004A3257">
        <w:trPr>
          <w:trHeight w:val="20"/>
        </w:trPr>
        <w:tc>
          <w:tcPr>
            <w:tcW w:w="3950" w:type="dxa"/>
            <w:gridSpan w:val="4"/>
            <w:tcBorders>
              <w:top w:val="single" w:sz="4" w:space="0" w:color="auto"/>
              <w:left w:val="single" w:sz="4" w:space="0" w:color="auto"/>
              <w:bottom w:val="single" w:sz="4" w:space="0" w:color="auto"/>
              <w:right w:val="single" w:sz="4" w:space="0" w:color="auto"/>
            </w:tcBorders>
            <w:shd w:val="clear" w:color="auto" w:fill="2E74B5" w:themeFill="accent5" w:themeFillShade="BF"/>
          </w:tcPr>
          <w:p w14:paraId="11867845" w14:textId="77777777" w:rsidR="00835192" w:rsidRPr="00FF756A" w:rsidRDefault="00835192" w:rsidP="00835192">
            <w:pPr>
              <w:spacing w:before="20" w:after="20" w:line="240" w:lineRule="auto"/>
              <w:jc w:val="right"/>
              <w:rPr>
                <w:b/>
                <w:bCs/>
                <w:sz w:val="20"/>
                <w:szCs w:val="20"/>
              </w:rPr>
            </w:pPr>
            <w:r w:rsidRPr="00FF756A">
              <w:br w:type="page"/>
            </w:r>
            <w:r w:rsidRPr="00FF756A">
              <w:rPr>
                <w:b/>
                <w:bCs/>
                <w:sz w:val="20"/>
                <w:szCs w:val="20"/>
              </w:rPr>
              <w:t>Dimensioni i energjisë</w:t>
            </w:r>
          </w:p>
        </w:tc>
        <w:tc>
          <w:tcPr>
            <w:tcW w:w="5122" w:type="dxa"/>
            <w:gridSpan w:val="3"/>
            <w:tcBorders>
              <w:left w:val="single" w:sz="4" w:space="0" w:color="auto"/>
              <w:bottom w:val="single" w:sz="4" w:space="0" w:color="auto"/>
            </w:tcBorders>
            <w:shd w:val="clear" w:color="auto" w:fill="2E74B5" w:themeFill="accent5" w:themeFillShade="BF"/>
          </w:tcPr>
          <w:p w14:paraId="6EC09AD2" w14:textId="77777777" w:rsidR="00835192" w:rsidRPr="00FF756A" w:rsidRDefault="00835192" w:rsidP="008639B2">
            <w:pPr>
              <w:numPr>
                <w:ilvl w:val="0"/>
                <w:numId w:val="112"/>
              </w:numPr>
              <w:spacing w:before="20" w:after="20" w:line="240" w:lineRule="auto"/>
              <w:contextualSpacing/>
              <w:rPr>
                <w:i/>
                <w:iCs/>
                <w:sz w:val="20"/>
                <w:szCs w:val="20"/>
              </w:rPr>
            </w:pPr>
            <w:r w:rsidRPr="00FF756A">
              <w:rPr>
                <w:i/>
                <w:iCs/>
                <w:sz w:val="20"/>
                <w:szCs w:val="20"/>
              </w:rPr>
              <w:t>Siguria energjetike</w:t>
            </w:r>
          </w:p>
        </w:tc>
      </w:tr>
      <w:tr w:rsidR="00835192" w:rsidRPr="00FF756A" w14:paraId="6F7191EE" w14:textId="77777777" w:rsidTr="004A3257">
        <w:trPr>
          <w:trHeight w:val="20"/>
        </w:trPr>
        <w:tc>
          <w:tcPr>
            <w:tcW w:w="3577" w:type="dxa"/>
            <w:gridSpan w:val="3"/>
            <w:tcBorders>
              <w:top w:val="single" w:sz="4" w:space="0" w:color="auto"/>
              <w:left w:val="single" w:sz="4" w:space="0" w:color="auto"/>
              <w:bottom w:val="single" w:sz="4" w:space="0" w:color="auto"/>
              <w:right w:val="single" w:sz="4" w:space="0" w:color="auto"/>
            </w:tcBorders>
            <w:shd w:val="clear" w:color="auto" w:fill="2E74B5" w:themeFill="accent5" w:themeFillShade="BF"/>
          </w:tcPr>
          <w:p w14:paraId="21753059"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5495" w:type="dxa"/>
            <w:gridSpan w:val="4"/>
            <w:tcBorders>
              <w:top w:val="single" w:sz="4" w:space="0" w:color="auto"/>
              <w:left w:val="single" w:sz="4" w:space="0" w:color="auto"/>
              <w:bottom w:val="single" w:sz="4" w:space="0" w:color="auto"/>
              <w:right w:val="single" w:sz="4" w:space="0" w:color="auto"/>
            </w:tcBorders>
            <w:shd w:val="clear" w:color="auto" w:fill="2E74B5" w:themeFill="accent5" w:themeFillShade="BF"/>
          </w:tcPr>
          <w:p w14:paraId="27CC9B61" w14:textId="66A8BC84" w:rsidR="00835192" w:rsidRPr="00FF756A" w:rsidRDefault="00860A21" w:rsidP="00835192">
            <w:pPr>
              <w:spacing w:before="20" w:after="20" w:line="240" w:lineRule="auto"/>
              <w:rPr>
                <w:i/>
                <w:iCs/>
                <w:sz w:val="20"/>
                <w:szCs w:val="20"/>
              </w:rPr>
            </w:pPr>
            <w:r w:rsidRPr="00FF756A">
              <w:rPr>
                <w:i/>
                <w:iCs/>
                <w:sz w:val="20"/>
                <w:szCs w:val="20"/>
              </w:rPr>
              <w:t>Energjia</w:t>
            </w:r>
          </w:p>
        </w:tc>
      </w:tr>
      <w:tr w:rsidR="00835192" w:rsidRPr="00FF756A" w14:paraId="44311CC0" w14:textId="77777777" w:rsidTr="004A3257">
        <w:trPr>
          <w:trHeight w:val="20"/>
        </w:trPr>
        <w:tc>
          <w:tcPr>
            <w:tcW w:w="3059" w:type="dxa"/>
            <w:gridSpan w:val="2"/>
            <w:tcBorders>
              <w:top w:val="single" w:sz="4" w:space="0" w:color="auto"/>
              <w:left w:val="single" w:sz="4" w:space="0" w:color="auto"/>
              <w:bottom w:val="single" w:sz="4" w:space="0" w:color="auto"/>
              <w:right w:val="single" w:sz="4" w:space="0" w:color="auto"/>
            </w:tcBorders>
          </w:tcPr>
          <w:p w14:paraId="72F8526A"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3B7EAF8F"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6013" w:type="dxa"/>
            <w:gridSpan w:val="5"/>
            <w:tcBorders>
              <w:top w:val="single" w:sz="4" w:space="0" w:color="auto"/>
              <w:left w:val="single" w:sz="4" w:space="0" w:color="auto"/>
              <w:bottom w:val="single" w:sz="4" w:space="0" w:color="auto"/>
              <w:right w:val="single" w:sz="4" w:space="0" w:color="auto"/>
            </w:tcBorders>
          </w:tcPr>
          <w:p w14:paraId="0621CEF4" w14:textId="77777777" w:rsidR="00835192" w:rsidRPr="00FF756A" w:rsidRDefault="00835192" w:rsidP="00835192">
            <w:pPr>
              <w:spacing w:before="20" w:after="20" w:line="240" w:lineRule="auto"/>
              <w:rPr>
                <w:i/>
                <w:iCs/>
                <w:sz w:val="20"/>
                <w:szCs w:val="20"/>
              </w:rPr>
            </w:pPr>
            <w:r w:rsidRPr="00FF756A">
              <w:rPr>
                <w:i/>
                <w:iCs/>
                <w:sz w:val="20"/>
                <w:szCs w:val="20"/>
              </w:rPr>
              <w:t>WEM dhe WAM (shihni seksionin e rezultateve)</w:t>
            </w:r>
          </w:p>
          <w:p w14:paraId="5A0D1D7D"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388EBC20" w14:textId="77777777" w:rsidTr="004A3257">
        <w:trPr>
          <w:trHeight w:val="20"/>
        </w:trPr>
        <w:tc>
          <w:tcPr>
            <w:tcW w:w="1973" w:type="dxa"/>
            <w:tcBorders>
              <w:top w:val="single" w:sz="4" w:space="0" w:color="auto"/>
              <w:left w:val="single" w:sz="4" w:space="0" w:color="auto"/>
              <w:bottom w:val="single" w:sz="4" w:space="0" w:color="auto"/>
              <w:right w:val="single" w:sz="4" w:space="0" w:color="auto"/>
            </w:tcBorders>
          </w:tcPr>
          <w:p w14:paraId="2B28D183"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57FA474F"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7099" w:type="dxa"/>
            <w:gridSpan w:val="6"/>
            <w:tcBorders>
              <w:top w:val="single" w:sz="4" w:space="0" w:color="auto"/>
              <w:left w:val="single" w:sz="4" w:space="0" w:color="auto"/>
              <w:bottom w:val="single" w:sz="4" w:space="0" w:color="auto"/>
              <w:right w:val="single" w:sz="4" w:space="0" w:color="auto"/>
            </w:tcBorders>
          </w:tcPr>
          <w:p w14:paraId="378E8ECC" w14:textId="77777777" w:rsidR="00835192" w:rsidRPr="00FF756A" w:rsidRDefault="00835192" w:rsidP="00835192">
            <w:pPr>
              <w:spacing w:before="20" w:after="20" w:line="240" w:lineRule="auto"/>
              <w:rPr>
                <w:i/>
                <w:iCs/>
                <w:sz w:val="20"/>
                <w:szCs w:val="20"/>
              </w:rPr>
            </w:pPr>
            <w:r w:rsidRPr="00FF756A">
              <w:rPr>
                <w:i/>
                <w:iCs/>
                <w:sz w:val="20"/>
                <w:szCs w:val="20"/>
              </w:rPr>
              <w:t xml:space="preserve">Ndërtimi i centraleve të reja shtetërore - Skavica, Vau i Dejës, Belsh </w:t>
            </w:r>
          </w:p>
          <w:p w14:paraId="7308ED91" w14:textId="77777777" w:rsidR="00835192" w:rsidRPr="00FF756A" w:rsidRDefault="00835192" w:rsidP="00835192">
            <w:pPr>
              <w:spacing w:before="20" w:after="20" w:line="240" w:lineRule="auto"/>
              <w:rPr>
                <w:i/>
                <w:iCs/>
                <w:sz w:val="20"/>
                <w:szCs w:val="20"/>
              </w:rPr>
            </w:pPr>
            <w:bookmarkStart w:id="429" w:name="_Hlk178337399"/>
            <w:r w:rsidRPr="00FF756A">
              <w:rPr>
                <w:i/>
                <w:iCs/>
                <w:sz w:val="20"/>
                <w:szCs w:val="20"/>
              </w:rPr>
              <w:t>(ES-P2)</w:t>
            </w:r>
            <w:bookmarkEnd w:id="429"/>
          </w:p>
        </w:tc>
      </w:tr>
      <w:tr w:rsidR="00835192" w:rsidRPr="00FF756A" w14:paraId="7BFFAA7F" w14:textId="77777777" w:rsidTr="004A3257">
        <w:trPr>
          <w:trHeight w:val="20"/>
        </w:trPr>
        <w:tc>
          <w:tcPr>
            <w:tcW w:w="1973" w:type="dxa"/>
            <w:tcBorders>
              <w:top w:val="single" w:sz="4" w:space="0" w:color="auto"/>
              <w:left w:val="single" w:sz="4" w:space="0" w:color="auto"/>
              <w:bottom w:val="single" w:sz="4" w:space="0" w:color="auto"/>
              <w:right w:val="single" w:sz="4" w:space="0" w:color="auto"/>
            </w:tcBorders>
          </w:tcPr>
          <w:p w14:paraId="56D3F98E"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7099" w:type="dxa"/>
            <w:gridSpan w:val="6"/>
            <w:tcBorders>
              <w:top w:val="single" w:sz="4" w:space="0" w:color="auto"/>
              <w:left w:val="single" w:sz="4" w:space="0" w:color="auto"/>
              <w:bottom w:val="single" w:sz="4" w:space="0" w:color="auto"/>
              <w:right w:val="single" w:sz="4" w:space="0" w:color="auto"/>
            </w:tcBorders>
          </w:tcPr>
          <w:p w14:paraId="1D19A5F0" w14:textId="77777777" w:rsidR="00835192" w:rsidRPr="00FF756A" w:rsidRDefault="00835192" w:rsidP="00835192">
            <w:pPr>
              <w:spacing w:before="20" w:after="20" w:line="240" w:lineRule="auto"/>
              <w:rPr>
                <w:i/>
                <w:iCs/>
                <w:sz w:val="20"/>
                <w:szCs w:val="20"/>
              </w:rPr>
            </w:pPr>
            <w:r w:rsidRPr="00FF756A">
              <w:rPr>
                <w:i/>
                <w:iCs/>
                <w:sz w:val="20"/>
                <w:szCs w:val="20"/>
              </w:rPr>
              <w:t>2021 – në vazhdim</w:t>
            </w:r>
          </w:p>
        </w:tc>
      </w:tr>
      <w:tr w:rsidR="00835192" w:rsidRPr="00FF756A" w14:paraId="7FA1FA6D" w14:textId="77777777" w:rsidTr="004A3257">
        <w:trPr>
          <w:trHeight w:val="20"/>
        </w:trPr>
        <w:tc>
          <w:tcPr>
            <w:tcW w:w="1973" w:type="dxa"/>
            <w:tcBorders>
              <w:top w:val="single" w:sz="4" w:space="0" w:color="auto"/>
              <w:left w:val="single" w:sz="4" w:space="0" w:color="auto"/>
              <w:bottom w:val="single" w:sz="4" w:space="0" w:color="auto"/>
              <w:right w:val="single" w:sz="4" w:space="0" w:color="auto"/>
            </w:tcBorders>
          </w:tcPr>
          <w:p w14:paraId="1A3CC0D3"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7099" w:type="dxa"/>
            <w:gridSpan w:val="6"/>
            <w:tcBorders>
              <w:top w:val="single" w:sz="4" w:space="0" w:color="auto"/>
              <w:left w:val="single" w:sz="4" w:space="0" w:color="auto"/>
              <w:bottom w:val="single" w:sz="4" w:space="0" w:color="auto"/>
              <w:right w:val="single" w:sz="4" w:space="0" w:color="auto"/>
            </w:tcBorders>
          </w:tcPr>
          <w:p w14:paraId="27BE2DB4" w14:textId="77777777" w:rsidR="00835192" w:rsidRPr="00FF756A" w:rsidRDefault="00835192" w:rsidP="00835192">
            <w:pPr>
              <w:spacing w:before="20" w:after="20" w:line="240" w:lineRule="auto"/>
              <w:rPr>
                <w:i/>
                <w:iCs/>
                <w:sz w:val="20"/>
                <w:szCs w:val="20"/>
              </w:rPr>
            </w:pPr>
            <w:r w:rsidRPr="00FF756A">
              <w:rPr>
                <w:i/>
                <w:iCs/>
                <w:sz w:val="20"/>
                <w:szCs w:val="20"/>
              </w:rPr>
              <w:t xml:space="preserve">VKM nr. 480, datë 31.7.2018, “Për miratimin e strategjisë kombëtare të energjisë 2018-2030”; </w:t>
            </w:r>
          </w:p>
          <w:p w14:paraId="45EC1E11" w14:textId="77777777" w:rsidR="00835192" w:rsidRPr="00FF756A" w:rsidRDefault="00835192" w:rsidP="00835192">
            <w:pPr>
              <w:spacing w:before="20" w:after="20" w:line="240" w:lineRule="auto"/>
              <w:rPr>
                <w:i/>
                <w:iCs/>
                <w:sz w:val="20"/>
                <w:szCs w:val="20"/>
              </w:rPr>
            </w:pPr>
            <w:r w:rsidRPr="00FF756A">
              <w:rPr>
                <w:i/>
                <w:iCs/>
                <w:sz w:val="20"/>
                <w:szCs w:val="20"/>
              </w:rPr>
              <w:t>Ligji nr. 38/2021 “Për hidrocentralin e Skavicës”;</w:t>
            </w:r>
          </w:p>
          <w:p w14:paraId="0E4A5D8D" w14:textId="77777777" w:rsidR="00835192" w:rsidRPr="00FF756A" w:rsidRDefault="00835192" w:rsidP="00835192">
            <w:pPr>
              <w:spacing w:before="20" w:after="20" w:line="240" w:lineRule="auto"/>
              <w:rPr>
                <w:i/>
                <w:iCs/>
                <w:sz w:val="20"/>
                <w:szCs w:val="20"/>
              </w:rPr>
            </w:pPr>
            <w:r w:rsidRPr="00FF756A">
              <w:rPr>
                <w:i/>
                <w:iCs/>
                <w:sz w:val="20"/>
                <w:szCs w:val="20"/>
              </w:rPr>
              <w:t>VKM nr. 485, datë 30.07.2021, “Për miratimin e kontratës së fazës së parë “Kontratë për shërbime teknike – projekti hidroenergjetik i Skavicës”</w:t>
            </w:r>
          </w:p>
          <w:p w14:paraId="55F3A8DD" w14:textId="77777777" w:rsidR="00835192" w:rsidRPr="00FF756A" w:rsidRDefault="00835192" w:rsidP="00835192">
            <w:pPr>
              <w:spacing w:before="20" w:after="20" w:line="240" w:lineRule="auto"/>
              <w:rPr>
                <w:i/>
                <w:iCs/>
                <w:sz w:val="20"/>
                <w:szCs w:val="20"/>
              </w:rPr>
            </w:pPr>
            <w:r w:rsidRPr="00FF756A">
              <w:rPr>
                <w:i/>
                <w:iCs/>
                <w:sz w:val="20"/>
                <w:szCs w:val="20"/>
              </w:rPr>
              <w:t>VKM nr. 822 “Për ndërtimin e kapaciteteve të reja prodhuese që nuk janë objekt koncesioni”.</w:t>
            </w:r>
          </w:p>
        </w:tc>
      </w:tr>
      <w:tr w:rsidR="00835192" w:rsidRPr="00FF756A" w14:paraId="08BD203A" w14:textId="77777777" w:rsidTr="004A3257">
        <w:trPr>
          <w:trHeight w:val="20"/>
        </w:trPr>
        <w:tc>
          <w:tcPr>
            <w:tcW w:w="1973" w:type="dxa"/>
            <w:tcBorders>
              <w:top w:val="single" w:sz="4" w:space="0" w:color="auto"/>
              <w:left w:val="single" w:sz="4" w:space="0" w:color="auto"/>
              <w:bottom w:val="single" w:sz="4" w:space="0" w:color="auto"/>
              <w:right w:val="single" w:sz="4" w:space="0" w:color="auto"/>
            </w:tcBorders>
          </w:tcPr>
          <w:p w14:paraId="04112721"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7099" w:type="dxa"/>
            <w:gridSpan w:val="6"/>
            <w:tcBorders>
              <w:top w:val="single" w:sz="4" w:space="0" w:color="auto"/>
              <w:left w:val="single" w:sz="4" w:space="0" w:color="auto"/>
              <w:bottom w:val="single" w:sz="4" w:space="0" w:color="auto"/>
              <w:right w:val="single" w:sz="4" w:space="0" w:color="auto"/>
            </w:tcBorders>
          </w:tcPr>
          <w:p w14:paraId="7A702C8F" w14:textId="6508046E" w:rsidR="00835192" w:rsidRPr="00FF756A" w:rsidRDefault="00835192" w:rsidP="004A3257">
            <w:pPr>
              <w:numPr>
                <w:ilvl w:val="0"/>
                <w:numId w:val="71"/>
              </w:numPr>
              <w:spacing w:before="20" w:after="20" w:line="240" w:lineRule="auto"/>
              <w:contextualSpacing/>
              <w:rPr>
                <w:i/>
                <w:iCs/>
                <w:sz w:val="20"/>
                <w:szCs w:val="20"/>
              </w:rPr>
            </w:pPr>
            <w:r w:rsidRPr="00FF756A">
              <w:rPr>
                <w:i/>
                <w:iCs/>
                <w:sz w:val="20"/>
                <w:szCs w:val="20"/>
              </w:rPr>
              <w:t>Kapaciteti total i instaluar i prodhimit të energjisë elektrike në vendin tonë deri më 31 dhjetor 2023 është rreth 2,675 MW. Ky kapacitet ka pasur një rritje në vitin 2023 me rreth 26</w:t>
            </w:r>
            <w:r w:rsidR="00F600BE" w:rsidRPr="00FF756A">
              <w:rPr>
                <w:i/>
                <w:iCs/>
                <w:sz w:val="20"/>
                <w:szCs w:val="20"/>
              </w:rPr>
              <w:t xml:space="preserve"> </w:t>
            </w:r>
            <w:r w:rsidRPr="00FF756A">
              <w:rPr>
                <w:i/>
                <w:iCs/>
                <w:sz w:val="20"/>
                <w:szCs w:val="20"/>
              </w:rPr>
              <w:t>MW.</w:t>
            </w:r>
          </w:p>
          <w:p w14:paraId="3C6A562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Kapaciteti total i prodhimit të energjisë elektrike nga shoqëria publike KESH sh.a. është 1453 MW dhe zë rreth 54,2% të kapacitetit total të instaluar në vendin tonë.</w:t>
            </w:r>
          </w:p>
          <w:p w14:paraId="48693FB0" w14:textId="395A81CE" w:rsidR="00835192" w:rsidRPr="00FF756A" w:rsidRDefault="00835192" w:rsidP="004A3257">
            <w:pPr>
              <w:numPr>
                <w:ilvl w:val="0"/>
                <w:numId w:val="71"/>
              </w:numPr>
              <w:spacing w:before="20" w:after="20" w:line="240" w:lineRule="auto"/>
              <w:contextualSpacing/>
              <w:rPr>
                <w:i/>
                <w:iCs/>
                <w:sz w:val="20"/>
                <w:szCs w:val="20"/>
              </w:rPr>
            </w:pPr>
            <w:r w:rsidRPr="00FF756A">
              <w:rPr>
                <w:i/>
                <w:iCs/>
                <w:sz w:val="20"/>
                <w:szCs w:val="20"/>
              </w:rPr>
              <w:t>Kapaciteti total i instaluar i prodhuesve të tjerë të energjisë elektrike është 1222 MW dhe vlerësohet në 45,8% të kapacitetit total të instaluar në vendin tonë.</w:t>
            </w:r>
          </w:p>
        </w:tc>
      </w:tr>
      <w:tr w:rsidR="00835192" w:rsidRPr="00FF756A" w14:paraId="6415ACD0" w14:textId="77777777" w:rsidTr="004A3257">
        <w:trPr>
          <w:trHeight w:val="20"/>
        </w:trPr>
        <w:tc>
          <w:tcPr>
            <w:tcW w:w="1973" w:type="dxa"/>
            <w:tcBorders>
              <w:top w:val="single" w:sz="4" w:space="0" w:color="auto"/>
              <w:left w:val="single" w:sz="4" w:space="0" w:color="auto"/>
              <w:bottom w:val="single" w:sz="4" w:space="0" w:color="auto"/>
              <w:right w:val="single" w:sz="4" w:space="0" w:color="auto"/>
            </w:tcBorders>
          </w:tcPr>
          <w:p w14:paraId="5A8A0A04"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7099" w:type="dxa"/>
            <w:gridSpan w:val="6"/>
            <w:tcBorders>
              <w:top w:val="single" w:sz="4" w:space="0" w:color="auto"/>
              <w:left w:val="single" w:sz="4" w:space="0" w:color="auto"/>
              <w:bottom w:val="single" w:sz="4" w:space="0" w:color="auto"/>
              <w:right w:val="single" w:sz="4" w:space="0" w:color="auto"/>
            </w:tcBorders>
          </w:tcPr>
          <w:p w14:paraId="7CAF1716" w14:textId="77777777" w:rsidR="00835192" w:rsidRPr="00FF756A" w:rsidRDefault="00835192" w:rsidP="00835192">
            <w:pPr>
              <w:spacing w:before="20" w:after="20" w:line="240" w:lineRule="auto"/>
              <w:rPr>
                <w:i/>
                <w:iCs/>
                <w:sz w:val="20"/>
                <w:szCs w:val="20"/>
              </w:rPr>
            </w:pPr>
            <w:r w:rsidRPr="00FF756A">
              <w:rPr>
                <w:i/>
                <w:iCs/>
                <w:sz w:val="20"/>
                <w:szCs w:val="20"/>
              </w:rPr>
              <w:t>Marrja e të gjitha masave për zbatimin e projektit të hidrocentralit të Skavicës, impiantit fotovoltaik lundrues të Vaut të Dejës, impiantit fotovoltaik të Belshit me kapacitet 50 MW.</w:t>
            </w:r>
          </w:p>
        </w:tc>
      </w:tr>
      <w:tr w:rsidR="00835192" w:rsidRPr="00FF756A" w14:paraId="2F56E291" w14:textId="77777777" w:rsidTr="004A3257">
        <w:trPr>
          <w:trHeight w:val="20"/>
        </w:trPr>
        <w:tc>
          <w:tcPr>
            <w:tcW w:w="1973" w:type="dxa"/>
            <w:tcBorders>
              <w:top w:val="single" w:sz="4" w:space="0" w:color="auto"/>
              <w:left w:val="single" w:sz="4" w:space="0" w:color="auto"/>
              <w:bottom w:val="single" w:sz="4" w:space="0" w:color="auto"/>
              <w:right w:val="single" w:sz="4" w:space="0" w:color="auto"/>
            </w:tcBorders>
          </w:tcPr>
          <w:p w14:paraId="2E93914A"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7099" w:type="dxa"/>
            <w:gridSpan w:val="6"/>
            <w:tcBorders>
              <w:top w:val="single" w:sz="4" w:space="0" w:color="auto"/>
              <w:left w:val="single" w:sz="4" w:space="0" w:color="auto"/>
              <w:bottom w:val="single" w:sz="4" w:space="0" w:color="auto"/>
              <w:right w:val="single" w:sz="4" w:space="0" w:color="auto"/>
            </w:tcBorders>
          </w:tcPr>
          <w:p w14:paraId="6E3982AC" w14:textId="77777777" w:rsidR="00835192" w:rsidRPr="00FF756A" w:rsidRDefault="00835192" w:rsidP="00835192">
            <w:pPr>
              <w:spacing w:before="20" w:after="20" w:line="240" w:lineRule="auto"/>
              <w:rPr>
                <w:i/>
                <w:iCs/>
                <w:sz w:val="20"/>
                <w:szCs w:val="20"/>
              </w:rPr>
            </w:pPr>
            <w:r w:rsidRPr="00FF756A">
              <w:rPr>
                <w:i/>
                <w:iCs/>
                <w:sz w:val="20"/>
                <w:szCs w:val="20"/>
              </w:rPr>
              <w:t>Rritja e pavarësisë energjetike, rritja e kapacitetit të prodhimit të impianteve të tjera të kaskadës, reduktimi me 50% i importeve vjetore të energjisë elektrike</w:t>
            </w:r>
          </w:p>
        </w:tc>
      </w:tr>
      <w:tr w:rsidR="00835192" w:rsidRPr="00FF756A" w14:paraId="0981FA0F" w14:textId="77777777" w:rsidTr="004A3257">
        <w:trPr>
          <w:gridAfter w:val="1"/>
          <w:wAfter w:w="13" w:type="dxa"/>
          <w:trHeight w:val="20"/>
        </w:trPr>
        <w:tc>
          <w:tcPr>
            <w:tcW w:w="1973" w:type="dxa"/>
            <w:tcBorders>
              <w:top w:val="single" w:sz="4" w:space="0" w:color="auto"/>
              <w:left w:val="single" w:sz="4" w:space="0" w:color="auto"/>
              <w:bottom w:val="single" w:sz="4" w:space="0" w:color="auto"/>
              <w:right w:val="single" w:sz="4" w:space="0" w:color="auto"/>
            </w:tcBorders>
          </w:tcPr>
          <w:p w14:paraId="333EA5AD"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236" w:type="dxa"/>
            <w:gridSpan w:val="4"/>
            <w:tcBorders>
              <w:top w:val="single" w:sz="4" w:space="0" w:color="auto"/>
              <w:left w:val="single" w:sz="4" w:space="0" w:color="auto"/>
              <w:bottom w:val="single" w:sz="4" w:space="0" w:color="auto"/>
              <w:right w:val="single" w:sz="4" w:space="0" w:color="auto"/>
            </w:tcBorders>
          </w:tcPr>
          <w:p w14:paraId="05669EE4" w14:textId="77777777" w:rsidR="00835192" w:rsidRPr="00FF756A" w:rsidRDefault="00835192" w:rsidP="00835192">
            <w:pPr>
              <w:spacing w:before="20" w:after="20" w:line="240" w:lineRule="auto"/>
              <w:rPr>
                <w:i/>
                <w:iCs/>
                <w:sz w:val="20"/>
                <w:szCs w:val="20"/>
              </w:rPr>
            </w:pPr>
            <w:r w:rsidRPr="00FF756A">
              <w:rPr>
                <w:i/>
                <w:iCs/>
                <w:sz w:val="20"/>
                <w:szCs w:val="20"/>
              </w:rPr>
              <w:t xml:space="preserve">Për WEM: </w:t>
            </w:r>
          </w:p>
          <w:p w14:paraId="4CEA376A" w14:textId="77777777" w:rsidR="00835192" w:rsidRPr="00FF756A" w:rsidRDefault="00835192" w:rsidP="008639B2">
            <w:pPr>
              <w:numPr>
                <w:ilvl w:val="0"/>
                <w:numId w:val="130"/>
              </w:numPr>
              <w:spacing w:before="20" w:after="20" w:line="240" w:lineRule="auto"/>
              <w:contextualSpacing/>
              <w:rPr>
                <w:i/>
                <w:iCs/>
                <w:sz w:val="20"/>
                <w:szCs w:val="20"/>
              </w:rPr>
            </w:pPr>
            <w:r w:rsidRPr="00FF756A">
              <w:rPr>
                <w:i/>
                <w:iCs/>
                <w:sz w:val="20"/>
                <w:szCs w:val="20"/>
              </w:rPr>
              <w:t xml:space="preserve">impianti fotovoltaik lundrues i Vaut të Dejës (12,9 MW në vitin 2022) </w:t>
            </w:r>
          </w:p>
          <w:p w14:paraId="505CCC40" w14:textId="77777777" w:rsidR="00835192" w:rsidRPr="00FF756A" w:rsidRDefault="00835192" w:rsidP="00835192">
            <w:pPr>
              <w:spacing w:before="20" w:after="20" w:line="240" w:lineRule="auto"/>
              <w:rPr>
                <w:i/>
                <w:iCs/>
                <w:sz w:val="20"/>
                <w:szCs w:val="20"/>
              </w:rPr>
            </w:pPr>
            <w:r w:rsidRPr="00FF756A">
              <w:rPr>
                <w:i/>
                <w:iCs/>
                <w:sz w:val="20"/>
                <w:szCs w:val="20"/>
              </w:rPr>
              <w:t xml:space="preserve">Për WAM: </w:t>
            </w:r>
          </w:p>
          <w:p w14:paraId="13149EED" w14:textId="77777777" w:rsidR="00835192" w:rsidRPr="00FF756A" w:rsidRDefault="00835192" w:rsidP="008639B2">
            <w:pPr>
              <w:numPr>
                <w:ilvl w:val="0"/>
                <w:numId w:val="130"/>
              </w:numPr>
              <w:spacing w:before="20" w:after="20" w:line="240" w:lineRule="auto"/>
              <w:ind w:left="714" w:hanging="357"/>
              <w:contextualSpacing/>
              <w:rPr>
                <w:i/>
                <w:iCs/>
                <w:sz w:val="20"/>
                <w:szCs w:val="20"/>
              </w:rPr>
            </w:pPr>
            <w:bookmarkStart w:id="430" w:name="_Hlk178337358"/>
            <w:r w:rsidRPr="00FF756A">
              <w:rPr>
                <w:i/>
                <w:iCs/>
                <w:sz w:val="20"/>
                <w:szCs w:val="20"/>
              </w:rPr>
              <w:t>Miratimi i fazës së dytë të hidrocentralit të Skavicës</w:t>
            </w:r>
          </w:p>
          <w:p w14:paraId="19219E40" w14:textId="77777777" w:rsidR="00835192" w:rsidRPr="00FF756A" w:rsidRDefault="00835192" w:rsidP="00835192">
            <w:pPr>
              <w:spacing w:before="20" w:after="20" w:line="240" w:lineRule="auto"/>
              <w:ind w:left="714"/>
              <w:contextualSpacing/>
              <w:rPr>
                <w:i/>
                <w:iCs/>
                <w:sz w:val="20"/>
                <w:szCs w:val="20"/>
              </w:rPr>
            </w:pPr>
            <w:r w:rsidRPr="00FF756A">
              <w:rPr>
                <w:i/>
                <w:iCs/>
                <w:sz w:val="20"/>
                <w:szCs w:val="20"/>
              </w:rPr>
              <w:t>(pritet të vihet në punë në vitin 2028)</w:t>
            </w:r>
          </w:p>
          <w:p w14:paraId="39C0C0E9" w14:textId="77777777" w:rsidR="00835192" w:rsidRPr="00FF756A" w:rsidRDefault="00835192" w:rsidP="008639B2">
            <w:pPr>
              <w:numPr>
                <w:ilvl w:val="0"/>
                <w:numId w:val="130"/>
              </w:numPr>
              <w:spacing w:before="20" w:after="20" w:line="240" w:lineRule="auto"/>
              <w:contextualSpacing/>
              <w:rPr>
                <w:i/>
                <w:iCs/>
                <w:sz w:val="20"/>
                <w:szCs w:val="20"/>
              </w:rPr>
            </w:pPr>
            <w:r w:rsidRPr="00FF756A">
              <w:rPr>
                <w:i/>
                <w:iCs/>
                <w:sz w:val="20"/>
                <w:szCs w:val="20"/>
              </w:rPr>
              <w:t xml:space="preserve">Impianti fotovoltaik diellor i Belshit me fuqi 50 MW </w:t>
            </w:r>
            <w:bookmarkEnd w:id="430"/>
            <w:r w:rsidRPr="00FF756A">
              <w:rPr>
                <w:i/>
                <w:iCs/>
                <w:sz w:val="20"/>
                <w:szCs w:val="20"/>
              </w:rPr>
              <w:t>dhe infrastruktura elektrike përkatëse, duke përfshirë linjën ajrore të transmetimit 5 km 110 kV (“Projekti”) për ta lidhur me nënstacionin ekzistues në Kajan.</w:t>
            </w:r>
          </w:p>
          <w:p w14:paraId="32B5854F" w14:textId="77777777" w:rsidR="00835192" w:rsidRPr="00FF756A" w:rsidRDefault="00835192" w:rsidP="00835192">
            <w:pPr>
              <w:spacing w:before="20" w:after="20" w:line="240" w:lineRule="auto"/>
              <w:ind w:left="720"/>
              <w:contextualSpacing/>
              <w:rPr>
                <w:i/>
                <w:iCs/>
                <w:sz w:val="20"/>
                <w:szCs w:val="20"/>
              </w:rPr>
            </w:pPr>
            <w:r w:rsidRPr="00FF756A">
              <w:rPr>
                <w:i/>
                <w:iCs/>
                <w:sz w:val="20"/>
                <w:szCs w:val="20"/>
              </w:rPr>
              <w:t>(pritet të vihet në punë në vitin 2026)</w:t>
            </w:r>
          </w:p>
        </w:tc>
        <w:tc>
          <w:tcPr>
            <w:tcW w:w="850" w:type="dxa"/>
            <w:tcBorders>
              <w:top w:val="single" w:sz="4" w:space="0" w:color="auto"/>
              <w:left w:val="single" w:sz="4" w:space="0" w:color="auto"/>
              <w:bottom w:val="single" w:sz="4" w:space="0" w:color="auto"/>
              <w:right w:val="single" w:sz="4" w:space="0" w:color="auto"/>
            </w:tcBorders>
          </w:tcPr>
          <w:p w14:paraId="78C7F94B" w14:textId="77777777" w:rsidR="00835192" w:rsidRPr="00FF756A" w:rsidRDefault="00835192" w:rsidP="00835192">
            <w:pPr>
              <w:spacing w:before="20" w:after="20" w:line="240" w:lineRule="auto"/>
              <w:rPr>
                <w:i/>
                <w:iCs/>
                <w:sz w:val="20"/>
                <w:szCs w:val="20"/>
              </w:rPr>
            </w:pPr>
            <w:r w:rsidRPr="00FF756A">
              <w:rPr>
                <w:i/>
                <w:iCs/>
                <w:sz w:val="20"/>
                <w:szCs w:val="20"/>
              </w:rPr>
              <w:br/>
              <w:t>2022</w:t>
            </w:r>
          </w:p>
          <w:p w14:paraId="2AB3AB08" w14:textId="77777777" w:rsidR="00835192" w:rsidRPr="00FF756A" w:rsidRDefault="00835192" w:rsidP="00835192">
            <w:pPr>
              <w:spacing w:before="20" w:after="20" w:line="240" w:lineRule="auto"/>
              <w:rPr>
                <w:i/>
                <w:iCs/>
                <w:sz w:val="20"/>
                <w:szCs w:val="20"/>
              </w:rPr>
            </w:pPr>
          </w:p>
          <w:p w14:paraId="49B52441" w14:textId="77777777" w:rsidR="00835192" w:rsidRPr="00FF756A" w:rsidRDefault="00835192" w:rsidP="00835192">
            <w:pPr>
              <w:spacing w:before="20" w:after="20" w:line="240" w:lineRule="auto"/>
              <w:jc w:val="left"/>
              <w:rPr>
                <w:i/>
                <w:iCs/>
                <w:sz w:val="20"/>
                <w:szCs w:val="20"/>
                <w:highlight w:val="green"/>
              </w:rPr>
            </w:pPr>
            <w:r w:rsidRPr="00FF756A">
              <w:rPr>
                <w:i/>
                <w:iCs/>
                <w:sz w:val="20"/>
                <w:szCs w:val="20"/>
              </w:rPr>
              <w:t>brenda vitit 2025</w:t>
            </w:r>
            <w:r w:rsidRPr="00FF756A">
              <w:rPr>
                <w:i/>
                <w:iCs/>
                <w:sz w:val="20"/>
                <w:szCs w:val="20"/>
                <w:highlight w:val="green"/>
              </w:rPr>
              <w:br/>
            </w:r>
          </w:p>
          <w:p w14:paraId="453C9CFE" w14:textId="77777777" w:rsidR="00835192" w:rsidRPr="00FF756A" w:rsidRDefault="00835192" w:rsidP="00835192">
            <w:pPr>
              <w:spacing w:before="20" w:after="20" w:line="240" w:lineRule="auto"/>
              <w:rPr>
                <w:i/>
                <w:iCs/>
                <w:sz w:val="20"/>
                <w:szCs w:val="20"/>
              </w:rPr>
            </w:pPr>
            <w:r w:rsidRPr="00FF756A">
              <w:rPr>
                <w:i/>
                <w:iCs/>
                <w:sz w:val="20"/>
                <w:szCs w:val="20"/>
              </w:rPr>
              <w:t>brenda vitit 2026</w:t>
            </w:r>
          </w:p>
          <w:p w14:paraId="415F8BC6" w14:textId="77777777" w:rsidR="00835192" w:rsidRPr="00FF756A" w:rsidRDefault="00835192" w:rsidP="00835192">
            <w:pPr>
              <w:spacing w:before="20" w:after="20" w:line="240" w:lineRule="auto"/>
            </w:pPr>
          </w:p>
        </w:tc>
      </w:tr>
      <w:tr w:rsidR="00835192" w:rsidRPr="00FF756A" w14:paraId="72AD28C3" w14:textId="77777777" w:rsidTr="004A3257">
        <w:trPr>
          <w:trHeight w:val="20"/>
        </w:trPr>
        <w:tc>
          <w:tcPr>
            <w:tcW w:w="1973" w:type="dxa"/>
            <w:tcBorders>
              <w:top w:val="single" w:sz="4" w:space="0" w:color="auto"/>
              <w:left w:val="single" w:sz="4" w:space="0" w:color="auto"/>
              <w:bottom w:val="single" w:sz="4" w:space="0" w:color="auto"/>
              <w:right w:val="single" w:sz="4" w:space="0" w:color="auto"/>
            </w:tcBorders>
          </w:tcPr>
          <w:p w14:paraId="5A62BDBB"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7099" w:type="dxa"/>
            <w:gridSpan w:val="6"/>
            <w:tcBorders>
              <w:top w:val="single" w:sz="4" w:space="0" w:color="auto"/>
              <w:left w:val="single" w:sz="4" w:space="0" w:color="auto"/>
              <w:bottom w:val="single" w:sz="4" w:space="0" w:color="auto"/>
              <w:right w:val="single" w:sz="4" w:space="0" w:color="auto"/>
            </w:tcBorders>
          </w:tcPr>
          <w:p w14:paraId="32FA0E3A" w14:textId="77777777" w:rsidR="004F3C5A" w:rsidRPr="00FF756A" w:rsidRDefault="00835192" w:rsidP="00835192">
            <w:pPr>
              <w:spacing w:before="20" w:after="20" w:line="240" w:lineRule="auto"/>
              <w:rPr>
                <w:i/>
                <w:iCs/>
                <w:sz w:val="20"/>
                <w:szCs w:val="20"/>
              </w:rPr>
            </w:pPr>
            <w:bookmarkStart w:id="431" w:name="_Hlk100407914"/>
            <w:r w:rsidRPr="00FF756A">
              <w:rPr>
                <w:i/>
                <w:iCs/>
                <w:sz w:val="20"/>
                <w:szCs w:val="20"/>
              </w:rPr>
              <w:t>Hidrocentrali i Skavicës (308 - 510 milionë euro),</w:t>
            </w:r>
          </w:p>
          <w:p w14:paraId="19159630" w14:textId="60328C4F" w:rsidR="00835192" w:rsidRPr="00FF756A" w:rsidRDefault="004F3C5A" w:rsidP="00835192">
            <w:pPr>
              <w:spacing w:before="20" w:after="20" w:line="240" w:lineRule="auto"/>
              <w:rPr>
                <w:i/>
                <w:iCs/>
                <w:sz w:val="20"/>
                <w:szCs w:val="20"/>
              </w:rPr>
            </w:pPr>
            <w:r w:rsidRPr="00FF756A">
              <w:rPr>
                <w:i/>
                <w:iCs/>
                <w:sz w:val="20"/>
                <w:szCs w:val="20"/>
              </w:rPr>
              <w:t>I</w:t>
            </w:r>
            <w:r w:rsidR="00835192" w:rsidRPr="00FF756A">
              <w:rPr>
                <w:i/>
                <w:iCs/>
                <w:sz w:val="20"/>
                <w:szCs w:val="20"/>
              </w:rPr>
              <w:t>impianti fotovoltaik lundrues i Vaut të Dejës 13,9 milionë euro (12,9 MW)</w:t>
            </w:r>
            <w:bookmarkEnd w:id="431"/>
          </w:p>
          <w:p w14:paraId="6C2F6E73" w14:textId="77777777" w:rsidR="00835192" w:rsidRPr="00FF756A" w:rsidRDefault="00835192" w:rsidP="00835192">
            <w:pPr>
              <w:spacing w:before="20" w:after="20" w:line="240" w:lineRule="auto"/>
              <w:rPr>
                <w:i/>
                <w:iCs/>
                <w:sz w:val="20"/>
                <w:szCs w:val="20"/>
              </w:rPr>
            </w:pPr>
            <w:r w:rsidRPr="00FF756A">
              <w:rPr>
                <w:i/>
                <w:iCs/>
                <w:sz w:val="20"/>
                <w:szCs w:val="20"/>
              </w:rPr>
              <w:t>Impianti fotovoltaik i Belshit me kapacitet 50 MW - i papërcaktuar</w:t>
            </w:r>
          </w:p>
        </w:tc>
      </w:tr>
      <w:tr w:rsidR="00835192" w:rsidRPr="00FF756A" w14:paraId="72B7E910" w14:textId="77777777" w:rsidTr="004A3257">
        <w:trPr>
          <w:trHeight w:val="20"/>
        </w:trPr>
        <w:tc>
          <w:tcPr>
            <w:tcW w:w="1973" w:type="dxa"/>
            <w:tcBorders>
              <w:top w:val="single" w:sz="4" w:space="0" w:color="auto"/>
              <w:left w:val="single" w:sz="4" w:space="0" w:color="auto"/>
              <w:bottom w:val="single" w:sz="4" w:space="0" w:color="auto"/>
              <w:right w:val="single" w:sz="4" w:space="0" w:color="auto"/>
            </w:tcBorders>
          </w:tcPr>
          <w:p w14:paraId="7801ABC2"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73273978"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7099" w:type="dxa"/>
            <w:gridSpan w:val="6"/>
            <w:tcBorders>
              <w:top w:val="single" w:sz="4" w:space="0" w:color="auto"/>
              <w:left w:val="single" w:sz="4" w:space="0" w:color="auto"/>
              <w:bottom w:val="single" w:sz="4" w:space="0" w:color="auto"/>
              <w:right w:val="single" w:sz="4" w:space="0" w:color="auto"/>
            </w:tcBorders>
          </w:tcPr>
          <w:p w14:paraId="42D4A482" w14:textId="77777777" w:rsidR="00835192" w:rsidRPr="00FF756A" w:rsidRDefault="00835192" w:rsidP="00835192">
            <w:pPr>
              <w:spacing w:before="20" w:after="20" w:line="240" w:lineRule="auto"/>
              <w:rPr>
                <w:i/>
                <w:iCs/>
                <w:sz w:val="20"/>
                <w:szCs w:val="20"/>
              </w:rPr>
            </w:pPr>
            <w:r w:rsidRPr="00FF756A">
              <w:rPr>
                <w:i/>
                <w:iCs/>
                <w:sz w:val="20"/>
                <w:szCs w:val="20"/>
              </w:rPr>
              <w:t>KESH sh.a. Këshilli i Ministrave; Ministria e Infrastrukturës dhe Energjisë</w:t>
            </w:r>
          </w:p>
        </w:tc>
      </w:tr>
      <w:tr w:rsidR="00835192" w:rsidRPr="00FF756A" w14:paraId="26E2D0AD" w14:textId="77777777" w:rsidTr="004A3257">
        <w:trPr>
          <w:trHeight w:val="20"/>
        </w:trPr>
        <w:tc>
          <w:tcPr>
            <w:tcW w:w="1973" w:type="dxa"/>
            <w:tcBorders>
              <w:top w:val="single" w:sz="4" w:space="0" w:color="auto"/>
              <w:left w:val="single" w:sz="4" w:space="0" w:color="auto"/>
              <w:bottom w:val="single" w:sz="4" w:space="0" w:color="auto"/>
              <w:right w:val="single" w:sz="4" w:space="0" w:color="auto"/>
            </w:tcBorders>
          </w:tcPr>
          <w:p w14:paraId="147502DA"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7099" w:type="dxa"/>
            <w:gridSpan w:val="6"/>
            <w:tcBorders>
              <w:top w:val="single" w:sz="4" w:space="0" w:color="auto"/>
              <w:left w:val="single" w:sz="4" w:space="0" w:color="auto"/>
              <w:bottom w:val="single" w:sz="4" w:space="0" w:color="auto"/>
              <w:right w:val="single" w:sz="4" w:space="0" w:color="auto"/>
            </w:tcBorders>
          </w:tcPr>
          <w:p w14:paraId="67FB185F" w14:textId="77777777" w:rsidR="00835192" w:rsidRPr="00FF756A" w:rsidRDefault="00835192" w:rsidP="00835192">
            <w:pPr>
              <w:spacing w:before="20" w:after="20" w:line="240" w:lineRule="auto"/>
              <w:rPr>
                <w:i/>
                <w:iCs/>
                <w:sz w:val="20"/>
                <w:szCs w:val="20"/>
              </w:rPr>
            </w:pPr>
            <w:r w:rsidRPr="00FF756A">
              <w:rPr>
                <w:i/>
                <w:iCs/>
                <w:sz w:val="20"/>
                <w:szCs w:val="20"/>
              </w:rPr>
              <w:t>Dekarbonizimi/Energjia e rinovueshme</w:t>
            </w:r>
          </w:p>
        </w:tc>
      </w:tr>
    </w:tbl>
    <w:p w14:paraId="666C405B" w14:textId="77777777" w:rsidR="00835192" w:rsidRPr="00FF756A" w:rsidRDefault="00835192" w:rsidP="00835192">
      <w:pPr>
        <w:spacing w:before="0" w:after="0" w:line="240" w:lineRule="auto"/>
        <w:jc w:val="left"/>
      </w:pPr>
      <w:bookmarkStart w:id="432" w:name="_Toc75616136"/>
      <w:bookmarkStart w:id="433" w:name="_Toc182897792"/>
    </w:p>
    <w:p w14:paraId="61EDD626" w14:textId="0A7DE34C" w:rsidR="00835192" w:rsidRPr="00FF756A" w:rsidRDefault="00C90456" w:rsidP="004A3257">
      <w:pPr>
        <w:pStyle w:val="Heading3"/>
      </w:pPr>
      <w:bookmarkStart w:id="434" w:name="_Toc183639247"/>
      <w:r w:rsidRPr="00FF756A">
        <w:t xml:space="preserve">3.3.3 </w:t>
      </w:r>
      <w:r w:rsidR="00835192" w:rsidRPr="00FF756A">
        <w:t>Sektori i naftës dhe gazit</w:t>
      </w:r>
      <w:bookmarkEnd w:id="432"/>
      <w:bookmarkEnd w:id="433"/>
      <w:bookmarkEnd w:id="434"/>
    </w:p>
    <w:p w14:paraId="2D4B3714" w14:textId="77777777" w:rsidR="00C90456" w:rsidRPr="00FF756A" w:rsidRDefault="00C90456" w:rsidP="00835192">
      <w:pPr>
        <w:spacing w:before="0" w:after="0" w:line="240" w:lineRule="auto"/>
        <w:jc w:val="left"/>
      </w:pP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9"/>
        <w:gridCol w:w="1283"/>
        <w:gridCol w:w="604"/>
        <w:gridCol w:w="435"/>
        <w:gridCol w:w="3771"/>
        <w:gridCol w:w="850"/>
      </w:tblGrid>
      <w:tr w:rsidR="00835192" w:rsidRPr="00FF756A" w14:paraId="4C6D3093" w14:textId="77777777" w:rsidTr="004A3257">
        <w:trPr>
          <w:trHeight w:val="20"/>
        </w:trPr>
        <w:tc>
          <w:tcPr>
            <w:tcW w:w="4447" w:type="dxa"/>
            <w:gridSpan w:val="4"/>
            <w:shd w:val="clear" w:color="auto" w:fill="2E74B5" w:themeFill="accent5" w:themeFillShade="BF"/>
          </w:tcPr>
          <w:p w14:paraId="7C3D49A4"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625" w:type="dxa"/>
            <w:gridSpan w:val="2"/>
            <w:shd w:val="clear" w:color="auto" w:fill="2E74B5" w:themeFill="accent5" w:themeFillShade="BF"/>
          </w:tcPr>
          <w:p w14:paraId="563F109D" w14:textId="77777777" w:rsidR="00835192" w:rsidRPr="00FF756A" w:rsidRDefault="00835192" w:rsidP="008639B2">
            <w:pPr>
              <w:numPr>
                <w:ilvl w:val="0"/>
                <w:numId w:val="113"/>
              </w:numPr>
              <w:spacing w:before="20" w:after="20" w:line="240" w:lineRule="auto"/>
              <w:contextualSpacing/>
              <w:rPr>
                <w:i/>
                <w:iCs/>
                <w:sz w:val="20"/>
                <w:szCs w:val="20"/>
              </w:rPr>
            </w:pPr>
            <w:r w:rsidRPr="00FF756A">
              <w:rPr>
                <w:i/>
                <w:iCs/>
                <w:sz w:val="20"/>
                <w:szCs w:val="20"/>
              </w:rPr>
              <w:t>Siguria energjetike</w:t>
            </w:r>
          </w:p>
        </w:tc>
      </w:tr>
      <w:tr w:rsidR="00835192" w:rsidRPr="00FF756A" w14:paraId="5DECEF2A" w14:textId="77777777" w:rsidTr="004A3257">
        <w:trPr>
          <w:trHeight w:val="20"/>
        </w:trPr>
        <w:tc>
          <w:tcPr>
            <w:tcW w:w="4012" w:type="dxa"/>
            <w:gridSpan w:val="3"/>
            <w:shd w:val="clear" w:color="auto" w:fill="2E74B5" w:themeFill="accent5" w:themeFillShade="BF"/>
          </w:tcPr>
          <w:p w14:paraId="13ED5391"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5060" w:type="dxa"/>
            <w:gridSpan w:val="3"/>
            <w:shd w:val="clear" w:color="auto" w:fill="2E74B5" w:themeFill="accent5" w:themeFillShade="BF"/>
          </w:tcPr>
          <w:p w14:paraId="12ABA530" w14:textId="77777777" w:rsidR="00835192" w:rsidRPr="00FF756A" w:rsidRDefault="00835192" w:rsidP="00835192">
            <w:pPr>
              <w:spacing w:before="20" w:after="20" w:line="240" w:lineRule="auto"/>
              <w:rPr>
                <w:i/>
                <w:iCs/>
                <w:sz w:val="20"/>
                <w:szCs w:val="20"/>
              </w:rPr>
            </w:pPr>
            <w:r w:rsidRPr="00FF756A">
              <w:rPr>
                <w:i/>
                <w:iCs/>
                <w:sz w:val="20"/>
                <w:szCs w:val="20"/>
              </w:rPr>
              <w:t>Sektori i naftës dhe gazit</w:t>
            </w:r>
          </w:p>
        </w:tc>
      </w:tr>
      <w:tr w:rsidR="00835192" w:rsidRPr="00FF756A" w14:paraId="5C5FEA1B" w14:textId="77777777" w:rsidTr="004A3257">
        <w:trPr>
          <w:trHeight w:val="20"/>
        </w:trPr>
        <w:tc>
          <w:tcPr>
            <w:tcW w:w="3407" w:type="dxa"/>
            <w:gridSpan w:val="2"/>
          </w:tcPr>
          <w:p w14:paraId="659FF818"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44FDA8C1"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665" w:type="dxa"/>
            <w:gridSpan w:val="4"/>
          </w:tcPr>
          <w:p w14:paraId="523FCD80" w14:textId="77777777" w:rsidR="00835192" w:rsidRPr="00FF756A" w:rsidRDefault="00835192" w:rsidP="00835192">
            <w:pPr>
              <w:spacing w:before="20" w:after="20" w:line="240" w:lineRule="auto"/>
              <w:rPr>
                <w:i/>
                <w:iCs/>
                <w:sz w:val="20"/>
                <w:szCs w:val="20"/>
              </w:rPr>
            </w:pPr>
            <w:r w:rsidRPr="00FF756A">
              <w:rPr>
                <w:i/>
                <w:iCs/>
                <w:sz w:val="20"/>
                <w:szCs w:val="20"/>
              </w:rPr>
              <w:t>WAM</w:t>
            </w:r>
          </w:p>
          <w:p w14:paraId="74BB9C16"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1BFD2841" w14:textId="77777777" w:rsidTr="004A3257">
        <w:trPr>
          <w:trHeight w:val="20"/>
        </w:trPr>
        <w:tc>
          <w:tcPr>
            <w:tcW w:w="2122" w:type="dxa"/>
          </w:tcPr>
          <w:p w14:paraId="66A50039"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6306728E"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950" w:type="dxa"/>
            <w:gridSpan w:val="5"/>
          </w:tcPr>
          <w:p w14:paraId="0965A85A" w14:textId="77777777" w:rsidR="00835192" w:rsidRPr="00FF756A" w:rsidRDefault="00835192" w:rsidP="00835192">
            <w:pPr>
              <w:spacing w:before="20" w:after="20" w:line="240" w:lineRule="auto"/>
              <w:rPr>
                <w:i/>
                <w:iCs/>
                <w:sz w:val="20"/>
                <w:szCs w:val="20"/>
              </w:rPr>
            </w:pPr>
            <w:r w:rsidRPr="00FF756A">
              <w:rPr>
                <w:i/>
                <w:iCs/>
                <w:sz w:val="20"/>
                <w:szCs w:val="20"/>
              </w:rPr>
              <w:t>Kuadri ligjor plotësisht funksional për një furnizim të besueshëm e të sigurt me gaz për konsumatorët</w:t>
            </w:r>
          </w:p>
          <w:p w14:paraId="1BF8345A" w14:textId="77777777" w:rsidR="00835192" w:rsidRPr="00FF756A" w:rsidRDefault="00835192" w:rsidP="00835192">
            <w:pPr>
              <w:spacing w:before="20" w:after="20" w:line="240" w:lineRule="auto"/>
              <w:rPr>
                <w:i/>
                <w:iCs/>
                <w:sz w:val="20"/>
                <w:szCs w:val="20"/>
              </w:rPr>
            </w:pPr>
            <w:r w:rsidRPr="00FF756A">
              <w:rPr>
                <w:i/>
                <w:iCs/>
                <w:sz w:val="20"/>
                <w:szCs w:val="20"/>
              </w:rPr>
              <w:t>(ES-O1)</w:t>
            </w:r>
          </w:p>
        </w:tc>
      </w:tr>
      <w:tr w:rsidR="00835192" w:rsidRPr="00FF756A" w14:paraId="3E08F6CD" w14:textId="77777777" w:rsidTr="004A3257">
        <w:trPr>
          <w:trHeight w:val="20"/>
        </w:trPr>
        <w:tc>
          <w:tcPr>
            <w:tcW w:w="2122" w:type="dxa"/>
          </w:tcPr>
          <w:p w14:paraId="59FE0AFF"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950" w:type="dxa"/>
            <w:gridSpan w:val="5"/>
          </w:tcPr>
          <w:p w14:paraId="01F8BA1F" w14:textId="77777777" w:rsidR="00835192" w:rsidRPr="00FF756A" w:rsidRDefault="00835192" w:rsidP="00835192">
            <w:pPr>
              <w:spacing w:before="20" w:after="20" w:line="240" w:lineRule="auto"/>
              <w:rPr>
                <w:i/>
                <w:iCs/>
                <w:sz w:val="20"/>
                <w:szCs w:val="20"/>
              </w:rPr>
            </w:pPr>
            <w:r w:rsidRPr="00FF756A">
              <w:rPr>
                <w:i/>
                <w:iCs/>
                <w:sz w:val="20"/>
                <w:szCs w:val="20"/>
              </w:rPr>
              <w:t>2018 - 2040</w:t>
            </w:r>
          </w:p>
        </w:tc>
      </w:tr>
      <w:tr w:rsidR="00835192" w:rsidRPr="00FF756A" w14:paraId="6FF5624E" w14:textId="77777777" w:rsidTr="004A3257">
        <w:trPr>
          <w:trHeight w:val="20"/>
        </w:trPr>
        <w:tc>
          <w:tcPr>
            <w:tcW w:w="2122" w:type="dxa"/>
          </w:tcPr>
          <w:p w14:paraId="78F0F182"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950" w:type="dxa"/>
            <w:gridSpan w:val="5"/>
          </w:tcPr>
          <w:p w14:paraId="4E6E13AB" w14:textId="77777777" w:rsidR="00835192" w:rsidRPr="00FF756A" w:rsidRDefault="00835192" w:rsidP="00835192">
            <w:pPr>
              <w:spacing w:before="20" w:after="20" w:line="240" w:lineRule="auto"/>
              <w:rPr>
                <w:i/>
                <w:iCs/>
                <w:sz w:val="20"/>
                <w:szCs w:val="20"/>
              </w:rPr>
            </w:pPr>
            <w:r w:rsidRPr="00FF756A">
              <w:rPr>
                <w:i/>
                <w:iCs/>
                <w:sz w:val="20"/>
                <w:szCs w:val="20"/>
              </w:rPr>
              <w:t>Ligji nr. 102/2015, datë 23.9.2015, “Për sektorin e gazit natyror”, i ndryshuar; VKM nr. 480, datë 31.7.2018, “Për miratimin e strategjisë kombëtare të energjisë, 2018-2030”; VKM nr. 87, datë 14.2.2018, “Për miratimin e planit të zhvillimit të sektorit të gazit natyror në Shqipëri dhe identifikimin e projekteve prioritare”</w:t>
            </w:r>
          </w:p>
        </w:tc>
      </w:tr>
      <w:tr w:rsidR="00835192" w:rsidRPr="00FF756A" w14:paraId="2B201510" w14:textId="77777777" w:rsidTr="004A3257">
        <w:trPr>
          <w:trHeight w:val="20"/>
        </w:trPr>
        <w:tc>
          <w:tcPr>
            <w:tcW w:w="2122" w:type="dxa"/>
          </w:tcPr>
          <w:p w14:paraId="33C94CB6"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950" w:type="dxa"/>
            <w:gridSpan w:val="5"/>
          </w:tcPr>
          <w:p w14:paraId="4C90BE0E" w14:textId="77777777" w:rsidR="00835192" w:rsidRPr="00FF756A" w:rsidRDefault="00835192" w:rsidP="00835192">
            <w:pPr>
              <w:spacing w:before="20" w:after="20" w:line="240" w:lineRule="auto"/>
              <w:rPr>
                <w:i/>
                <w:iCs/>
                <w:sz w:val="20"/>
                <w:szCs w:val="20"/>
              </w:rPr>
            </w:pPr>
            <w:r w:rsidRPr="00FF756A">
              <w:rPr>
                <w:i/>
                <w:iCs/>
                <w:sz w:val="20"/>
                <w:szCs w:val="20"/>
              </w:rPr>
              <w:t>Deri më tani, zhvillimi i kuadrit rregullator në Shqipëri është shumë më i avancuar se sa zhvillimi i infrastrukturës. Megjithatë, ka një grup aktesh nënligjore me natyrë juridike, teknike dhe rregullatore të cilat nuk janë miratuar ende.</w:t>
            </w:r>
          </w:p>
          <w:p w14:paraId="67D7F40D" w14:textId="4930528F" w:rsidR="00835192" w:rsidRPr="00FF756A" w:rsidRDefault="00835192" w:rsidP="00835192">
            <w:pPr>
              <w:spacing w:before="20" w:after="20" w:line="240" w:lineRule="auto"/>
              <w:rPr>
                <w:i/>
                <w:iCs/>
                <w:sz w:val="20"/>
                <w:szCs w:val="20"/>
              </w:rPr>
            </w:pPr>
            <w:r w:rsidRPr="00FF756A">
              <w:rPr>
                <w:i/>
                <w:iCs/>
                <w:sz w:val="20"/>
                <w:szCs w:val="20"/>
              </w:rPr>
              <w:t xml:space="preserve">Ndarja dhe certifikimi i dy operatorëve të sistemit të transmetimit. </w:t>
            </w:r>
            <w:r w:rsidR="00616F05" w:rsidRPr="00FF756A">
              <w:rPr>
                <w:i/>
                <w:iCs/>
                <w:sz w:val="20"/>
                <w:szCs w:val="20"/>
                <w:highlight w:val="yellow"/>
              </w:rPr>
              <w:t>Fillimi nga puna i</w:t>
            </w:r>
            <w:bookmarkStart w:id="435" w:name="_Hlk75606523"/>
            <w:r w:rsidR="00616F05" w:rsidRPr="00FF756A">
              <w:rPr>
                <w:i/>
                <w:iCs/>
                <w:sz w:val="20"/>
                <w:szCs w:val="20"/>
                <w:highlight w:val="yellow"/>
              </w:rPr>
              <w:t xml:space="preserve"> </w:t>
            </w:r>
            <w:r w:rsidRPr="00FF756A">
              <w:rPr>
                <w:i/>
                <w:iCs/>
                <w:sz w:val="20"/>
                <w:szCs w:val="20"/>
                <w:highlight w:val="yellow"/>
              </w:rPr>
              <w:t>Gazsjellësit Trans-Adriatik (TAP).</w:t>
            </w:r>
            <w:r w:rsidRPr="00FF756A">
              <w:rPr>
                <w:i/>
                <w:iCs/>
                <w:sz w:val="20"/>
                <w:szCs w:val="20"/>
              </w:rPr>
              <w:t xml:space="preserve"> </w:t>
            </w:r>
          </w:p>
          <w:bookmarkEnd w:id="435"/>
          <w:p w14:paraId="62BA962D" w14:textId="5DDC0F3D" w:rsidR="00835192" w:rsidRPr="00FF756A" w:rsidRDefault="00835192" w:rsidP="00835192">
            <w:pPr>
              <w:spacing w:before="20" w:after="20" w:line="240" w:lineRule="auto"/>
              <w:rPr>
                <w:i/>
                <w:iCs/>
                <w:sz w:val="20"/>
                <w:szCs w:val="20"/>
              </w:rPr>
            </w:pPr>
            <w:r w:rsidRPr="00FF756A">
              <w:rPr>
                <w:i/>
                <w:iCs/>
                <w:sz w:val="20"/>
                <w:szCs w:val="20"/>
              </w:rPr>
              <w:t>Miratimi nga Albgaz dhe TAP i kodeve të rrjetit, të cilat janë miratuar nga ERE. Transpozimi nga ERE i kodeve të rrjetit të gazit në Shqipëri. Rregullimi i aksesit të palëve të treta në sistemin e transmetimit me anë të tarifave të miratuara në pajtueshmëri me një metodologji hyrjeje/daljeje. Kualifik</w:t>
            </w:r>
            <w:r w:rsidR="00004DF5" w:rsidRPr="00FF756A">
              <w:rPr>
                <w:i/>
                <w:iCs/>
                <w:sz w:val="20"/>
                <w:szCs w:val="20"/>
              </w:rPr>
              <w:t>im</w:t>
            </w:r>
            <w:r w:rsidRPr="00FF756A">
              <w:rPr>
                <w:i/>
                <w:iCs/>
                <w:sz w:val="20"/>
                <w:szCs w:val="20"/>
              </w:rPr>
              <w:t xml:space="preserve"> për të gjithë konsumatorët. Hartimi i legjislacionit për furnizimin dhe mbrojtjen e konsumatorit. Miratimi i rregullave për situatat e emergjencës në lidhje me gazin.</w:t>
            </w:r>
          </w:p>
        </w:tc>
      </w:tr>
      <w:tr w:rsidR="00835192" w:rsidRPr="00FF756A" w14:paraId="173A7780" w14:textId="77777777" w:rsidTr="004A3257">
        <w:trPr>
          <w:trHeight w:val="20"/>
        </w:trPr>
        <w:tc>
          <w:tcPr>
            <w:tcW w:w="2122" w:type="dxa"/>
          </w:tcPr>
          <w:p w14:paraId="08D4E30E"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950" w:type="dxa"/>
            <w:gridSpan w:val="5"/>
          </w:tcPr>
          <w:p w14:paraId="6A173433" w14:textId="77777777" w:rsidR="00835192" w:rsidRPr="00FF756A" w:rsidRDefault="00835192" w:rsidP="00835192">
            <w:pPr>
              <w:spacing w:before="20" w:after="20" w:line="240" w:lineRule="auto"/>
              <w:rPr>
                <w:i/>
                <w:iCs/>
                <w:sz w:val="20"/>
                <w:szCs w:val="20"/>
              </w:rPr>
            </w:pPr>
            <w:r w:rsidRPr="00FF756A">
              <w:rPr>
                <w:i/>
                <w:iCs/>
                <w:sz w:val="20"/>
                <w:szCs w:val="20"/>
              </w:rPr>
              <w:t>Furnizimi i sigurt dhe i qëndrueshëm i konsumatorëve me gaz natyror përmes krijimit të një tregu konkurrues dhe të integruar me tregjet rajonale dhe evropiane, dhe ofrimi i një shërbimi cilësor, me kosto të arsyeshme, në përputhje me kërkesat për mbrojtjen e mjedisit.</w:t>
            </w:r>
          </w:p>
        </w:tc>
      </w:tr>
      <w:tr w:rsidR="00835192" w:rsidRPr="00FF756A" w14:paraId="2C7FAD80" w14:textId="77777777" w:rsidTr="004A3257">
        <w:trPr>
          <w:trHeight w:val="20"/>
        </w:trPr>
        <w:tc>
          <w:tcPr>
            <w:tcW w:w="2122" w:type="dxa"/>
          </w:tcPr>
          <w:p w14:paraId="39071D5A"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950" w:type="dxa"/>
            <w:gridSpan w:val="5"/>
          </w:tcPr>
          <w:p w14:paraId="60FDD3D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Miratimi i një grupi aktesh nënligjore për zbatimin e kërkesave ligjore dhe teknike të ligjit, me qëllim ngritjen e një kuadri ligjor funksional për furnizimin e sigurt të gazit dhe krijimin e një tregu shumice për gazin natyror</w:t>
            </w:r>
          </w:p>
          <w:p w14:paraId="04B4F09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Identifikimi dhe paraqitja e akteve nënligjore.</w:t>
            </w:r>
          </w:p>
        </w:tc>
      </w:tr>
      <w:tr w:rsidR="00835192" w:rsidRPr="00FF756A" w14:paraId="73E1BCE7" w14:textId="77777777" w:rsidTr="004A3257">
        <w:trPr>
          <w:trHeight w:val="20"/>
        </w:trPr>
        <w:tc>
          <w:tcPr>
            <w:tcW w:w="2122" w:type="dxa"/>
          </w:tcPr>
          <w:p w14:paraId="392FC1A5"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100" w:type="dxa"/>
            <w:gridSpan w:val="4"/>
          </w:tcPr>
          <w:p w14:paraId="7824AEF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Rishikimi i Master Planit të Gazit </w:t>
            </w:r>
            <w:hyperlink r:id="rId67" w:history="1">
              <w:r w:rsidRPr="00FF756A">
                <w:rPr>
                  <w:i/>
                  <w:iCs/>
                  <w:color w:val="0000FF"/>
                  <w:sz w:val="20"/>
                  <w:szCs w:val="20"/>
                  <w:u w:val="single"/>
                </w:rPr>
                <w:t>https://www.infrastruktura.gov.al/wp-content/uploads/2017/12/WB11-ALB-ENE-01_final_GMP_2016_11_24.pdf</w:t>
              </w:r>
            </w:hyperlink>
          </w:p>
          <w:p w14:paraId="3259BD6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Miratimi i kuadrit ligjor, normave rregullatore dhe kodeve teknike, të transmetimit e të shpërndarjes.</w:t>
            </w:r>
          </w:p>
        </w:tc>
        <w:tc>
          <w:tcPr>
            <w:tcW w:w="850" w:type="dxa"/>
          </w:tcPr>
          <w:p w14:paraId="37C514AE"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2026</w:t>
            </w:r>
            <w:r w:rsidRPr="00FF756A">
              <w:rPr>
                <w:i/>
                <w:iCs/>
                <w:sz w:val="20"/>
                <w:szCs w:val="20"/>
              </w:rPr>
              <w:br/>
            </w:r>
            <w:r w:rsidRPr="00FF756A">
              <w:rPr>
                <w:i/>
                <w:iCs/>
                <w:sz w:val="20"/>
                <w:szCs w:val="20"/>
              </w:rPr>
              <w:br/>
            </w:r>
          </w:p>
          <w:p w14:paraId="1EB72A62"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2028</w:t>
            </w:r>
          </w:p>
        </w:tc>
      </w:tr>
      <w:tr w:rsidR="00835192" w:rsidRPr="00FF756A" w14:paraId="7AD4B578" w14:textId="77777777" w:rsidTr="004A3257">
        <w:trPr>
          <w:trHeight w:val="20"/>
        </w:trPr>
        <w:tc>
          <w:tcPr>
            <w:tcW w:w="2122" w:type="dxa"/>
          </w:tcPr>
          <w:p w14:paraId="3618D8D0"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950" w:type="dxa"/>
            <w:gridSpan w:val="5"/>
          </w:tcPr>
          <w:p w14:paraId="724276CE" w14:textId="77777777" w:rsidR="00835192" w:rsidRPr="00FF756A" w:rsidRDefault="00835192" w:rsidP="00835192">
            <w:pPr>
              <w:spacing w:before="20" w:after="20" w:line="240" w:lineRule="auto"/>
              <w:rPr>
                <w:i/>
                <w:iCs/>
                <w:sz w:val="20"/>
                <w:szCs w:val="20"/>
              </w:rPr>
            </w:pPr>
            <w:r w:rsidRPr="00FF756A">
              <w:rPr>
                <w:i/>
                <w:iCs/>
                <w:sz w:val="20"/>
                <w:szCs w:val="20"/>
              </w:rPr>
              <w:t>Rishikimi i Master Planit të Gazit: asistenca teknike për të përditësuar studimin do të financohet nga Instrumenti i Investimeve për Ballkanin Perëndimor; kostoja e përllogaritur është 1 milionë euro. Master plani aktual parashikon tre faza zhvillimi: afatshkurtër, afatmesme dhe afatgjatë.</w:t>
            </w:r>
            <w:r w:rsidRPr="00FF756A">
              <w:rPr>
                <w:i/>
                <w:iCs/>
                <w:color w:val="FF0000"/>
                <w:szCs w:val="20"/>
              </w:rPr>
              <w:t xml:space="preserve"> </w:t>
            </w:r>
            <w:r w:rsidRPr="00FF756A">
              <w:rPr>
                <w:i/>
                <w:iCs/>
                <w:sz w:val="20"/>
                <w:szCs w:val="20"/>
              </w:rPr>
              <w:t xml:space="preserve">Nuk është parashikuar asnjë buxhet specifik për zbatimin e këtyre masave, përveç projekteve specifike të listuara në PM ES-O2 Zhvillimi dhe zbatimi i projektit të shpërndarjes dhe transmetimit të brendshëm të identifikuar në master planin e gazit </w:t>
            </w:r>
          </w:p>
        </w:tc>
      </w:tr>
      <w:tr w:rsidR="00835192" w:rsidRPr="00FF756A" w14:paraId="5623E8A7" w14:textId="77777777" w:rsidTr="004A3257">
        <w:trPr>
          <w:trHeight w:val="20"/>
        </w:trPr>
        <w:tc>
          <w:tcPr>
            <w:tcW w:w="2122" w:type="dxa"/>
          </w:tcPr>
          <w:p w14:paraId="4D42A784"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11215496"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950" w:type="dxa"/>
            <w:gridSpan w:val="5"/>
          </w:tcPr>
          <w:p w14:paraId="46B6CBF8"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ALBGAZ</w:t>
            </w:r>
          </w:p>
          <w:p w14:paraId="6DBBBBE3" w14:textId="77777777" w:rsidR="00835192" w:rsidRPr="00FF756A" w:rsidRDefault="00835192" w:rsidP="00835192">
            <w:pPr>
              <w:spacing w:before="20" w:after="20" w:line="240" w:lineRule="auto"/>
              <w:rPr>
                <w:i/>
                <w:iCs/>
                <w:sz w:val="20"/>
                <w:szCs w:val="20"/>
              </w:rPr>
            </w:pPr>
          </w:p>
        </w:tc>
      </w:tr>
      <w:tr w:rsidR="00835192" w:rsidRPr="00FF756A" w14:paraId="7A17B310" w14:textId="77777777" w:rsidTr="004A3257">
        <w:trPr>
          <w:trHeight w:val="20"/>
        </w:trPr>
        <w:tc>
          <w:tcPr>
            <w:tcW w:w="2122" w:type="dxa"/>
          </w:tcPr>
          <w:p w14:paraId="3AA12BCE"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950" w:type="dxa"/>
            <w:gridSpan w:val="5"/>
          </w:tcPr>
          <w:p w14:paraId="541A4F35" w14:textId="77777777" w:rsidR="00835192" w:rsidRPr="00FF756A" w:rsidRDefault="00835192" w:rsidP="00835192">
            <w:pPr>
              <w:spacing w:before="20" w:after="20" w:line="240" w:lineRule="auto"/>
              <w:rPr>
                <w:i/>
                <w:iCs/>
                <w:sz w:val="20"/>
                <w:szCs w:val="20"/>
              </w:rPr>
            </w:pPr>
            <w:r w:rsidRPr="00FF756A">
              <w:rPr>
                <w:i/>
                <w:iCs/>
                <w:sz w:val="20"/>
                <w:szCs w:val="20"/>
              </w:rPr>
              <w:t>Tregu i brendshëm i energjisë elektrike</w:t>
            </w:r>
          </w:p>
          <w:p w14:paraId="105D8823" w14:textId="77777777" w:rsidR="00835192" w:rsidRPr="00FF756A" w:rsidRDefault="00835192" w:rsidP="00835192">
            <w:pPr>
              <w:spacing w:before="20" w:after="20" w:line="240" w:lineRule="auto"/>
              <w:rPr>
                <w:i/>
                <w:iCs/>
                <w:sz w:val="20"/>
                <w:szCs w:val="20"/>
              </w:rPr>
            </w:pPr>
            <w:r w:rsidRPr="00FF756A">
              <w:rPr>
                <w:i/>
                <w:iCs/>
                <w:sz w:val="20"/>
                <w:szCs w:val="20"/>
              </w:rPr>
              <w:t>Marrëdhënia me PM-në e mëposhtme:</w:t>
            </w:r>
          </w:p>
          <w:p w14:paraId="6F3C5F0F" w14:textId="77777777" w:rsidR="00835192" w:rsidRPr="00FF756A" w:rsidRDefault="00835192" w:rsidP="00835192">
            <w:pPr>
              <w:spacing w:before="20" w:after="20" w:line="240" w:lineRule="auto"/>
              <w:rPr>
                <w:i/>
                <w:iCs/>
                <w:sz w:val="20"/>
                <w:szCs w:val="20"/>
              </w:rPr>
            </w:pPr>
            <w:r w:rsidRPr="00FF756A">
              <w:rPr>
                <w:i/>
                <w:iCs/>
                <w:sz w:val="20"/>
                <w:szCs w:val="20"/>
              </w:rPr>
              <w:t>ES-O2 Zhvillimi dhe zbatimi i projektit të shpërndarjes dhe transmetimit të brendshëm të identifikuar në master planin e gazit</w:t>
            </w:r>
          </w:p>
        </w:tc>
      </w:tr>
    </w:tbl>
    <w:p w14:paraId="7A3D6D50" w14:textId="77777777" w:rsidR="00835192" w:rsidRPr="00FF756A" w:rsidRDefault="00835192" w:rsidP="00835192">
      <w:pPr>
        <w:spacing w:before="0" w:after="0" w:line="240" w:lineRule="auto"/>
        <w:jc w:val="left"/>
      </w:pP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6"/>
        <w:gridCol w:w="1279"/>
        <w:gridCol w:w="600"/>
        <w:gridCol w:w="429"/>
        <w:gridCol w:w="3675"/>
        <w:gridCol w:w="883"/>
      </w:tblGrid>
      <w:tr w:rsidR="00835192" w:rsidRPr="00FF756A" w14:paraId="3C520740" w14:textId="77777777" w:rsidTr="004A3257">
        <w:trPr>
          <w:trHeight w:val="20"/>
        </w:trPr>
        <w:tc>
          <w:tcPr>
            <w:tcW w:w="4527" w:type="dxa"/>
            <w:gridSpan w:val="4"/>
            <w:shd w:val="clear" w:color="auto" w:fill="2E74B5" w:themeFill="accent5" w:themeFillShade="BF"/>
          </w:tcPr>
          <w:p w14:paraId="219783AF"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5" w:type="dxa"/>
            <w:gridSpan w:val="2"/>
            <w:shd w:val="clear" w:color="auto" w:fill="2E74B5" w:themeFill="accent5" w:themeFillShade="BF"/>
          </w:tcPr>
          <w:p w14:paraId="4CA3A086" w14:textId="77777777" w:rsidR="00835192" w:rsidRPr="00FF756A" w:rsidRDefault="00835192" w:rsidP="008639B2">
            <w:pPr>
              <w:numPr>
                <w:ilvl w:val="0"/>
                <w:numId w:val="114"/>
              </w:numPr>
              <w:spacing w:before="20" w:after="20" w:line="240" w:lineRule="auto"/>
              <w:contextualSpacing/>
              <w:rPr>
                <w:i/>
                <w:iCs/>
                <w:sz w:val="20"/>
                <w:szCs w:val="20"/>
              </w:rPr>
            </w:pPr>
            <w:r w:rsidRPr="00FF756A">
              <w:rPr>
                <w:i/>
                <w:iCs/>
                <w:sz w:val="20"/>
                <w:szCs w:val="20"/>
              </w:rPr>
              <w:t>Siguria energjetike</w:t>
            </w:r>
          </w:p>
        </w:tc>
      </w:tr>
      <w:tr w:rsidR="00835192" w:rsidRPr="00FF756A" w14:paraId="12D40888" w14:textId="77777777" w:rsidTr="004A3257">
        <w:trPr>
          <w:trHeight w:val="20"/>
        </w:trPr>
        <w:tc>
          <w:tcPr>
            <w:tcW w:w="4095" w:type="dxa"/>
            <w:gridSpan w:val="3"/>
            <w:shd w:val="clear" w:color="auto" w:fill="2E74B5" w:themeFill="accent5" w:themeFillShade="BF"/>
          </w:tcPr>
          <w:p w14:paraId="31ED0289"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7" w:type="dxa"/>
            <w:gridSpan w:val="3"/>
            <w:shd w:val="clear" w:color="auto" w:fill="2E74B5" w:themeFill="accent5" w:themeFillShade="BF"/>
          </w:tcPr>
          <w:p w14:paraId="6C8704E7" w14:textId="77777777" w:rsidR="00835192" w:rsidRPr="00FF756A" w:rsidRDefault="00835192" w:rsidP="00835192">
            <w:pPr>
              <w:spacing w:before="20" w:after="20" w:line="240" w:lineRule="auto"/>
              <w:rPr>
                <w:i/>
                <w:iCs/>
                <w:sz w:val="20"/>
                <w:szCs w:val="20"/>
              </w:rPr>
            </w:pPr>
            <w:r w:rsidRPr="00FF756A">
              <w:rPr>
                <w:i/>
                <w:iCs/>
                <w:sz w:val="20"/>
                <w:szCs w:val="20"/>
              </w:rPr>
              <w:t>Sektori i naftës dhe gazit</w:t>
            </w:r>
          </w:p>
        </w:tc>
      </w:tr>
      <w:tr w:rsidR="00835192" w:rsidRPr="00FF756A" w14:paraId="691DB6D4" w14:textId="77777777" w:rsidTr="004A3257">
        <w:trPr>
          <w:trHeight w:val="20"/>
        </w:trPr>
        <w:tc>
          <w:tcPr>
            <w:tcW w:w="3491" w:type="dxa"/>
            <w:gridSpan w:val="2"/>
          </w:tcPr>
          <w:p w14:paraId="6B58118F"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2CA69815"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1" w:type="dxa"/>
            <w:gridSpan w:val="4"/>
          </w:tcPr>
          <w:p w14:paraId="0E251E4C" w14:textId="77777777" w:rsidR="00835192" w:rsidRPr="00FF756A" w:rsidRDefault="00835192" w:rsidP="00835192">
            <w:pPr>
              <w:spacing w:before="20" w:after="20" w:line="240" w:lineRule="auto"/>
              <w:rPr>
                <w:i/>
                <w:iCs/>
                <w:sz w:val="20"/>
                <w:szCs w:val="20"/>
              </w:rPr>
            </w:pPr>
            <w:r w:rsidRPr="00FF756A">
              <w:rPr>
                <w:i/>
                <w:iCs/>
                <w:sz w:val="20"/>
                <w:szCs w:val="20"/>
              </w:rPr>
              <w:t>WAM</w:t>
            </w:r>
          </w:p>
          <w:p w14:paraId="4107F3B8" w14:textId="77777777" w:rsidR="00835192" w:rsidRPr="00FF756A" w:rsidRDefault="00835192" w:rsidP="00835192">
            <w:pPr>
              <w:spacing w:before="20" w:after="20" w:line="240" w:lineRule="auto"/>
              <w:rPr>
                <w:i/>
                <w:iCs/>
                <w:sz w:val="20"/>
                <w:szCs w:val="20"/>
              </w:rPr>
            </w:pPr>
            <w:r w:rsidRPr="00FF756A">
              <w:rPr>
                <w:i/>
                <w:iCs/>
                <w:sz w:val="20"/>
                <w:szCs w:val="20"/>
              </w:rPr>
              <w:t>Rregullator; Financiar</w:t>
            </w:r>
          </w:p>
        </w:tc>
      </w:tr>
      <w:tr w:rsidR="00835192" w:rsidRPr="00FF756A" w14:paraId="6E88CC29" w14:textId="77777777" w:rsidTr="004A3257">
        <w:trPr>
          <w:trHeight w:val="20"/>
        </w:trPr>
        <w:tc>
          <w:tcPr>
            <w:tcW w:w="2203" w:type="dxa"/>
          </w:tcPr>
          <w:p w14:paraId="33FBCCD1"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5DED33AF"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9" w:type="dxa"/>
            <w:gridSpan w:val="5"/>
          </w:tcPr>
          <w:p w14:paraId="6FE49E88" w14:textId="77777777" w:rsidR="00835192" w:rsidRPr="00FF756A" w:rsidRDefault="00835192" w:rsidP="00835192">
            <w:pPr>
              <w:spacing w:before="20" w:after="20" w:line="240" w:lineRule="auto"/>
              <w:rPr>
                <w:i/>
                <w:iCs/>
                <w:sz w:val="20"/>
                <w:szCs w:val="20"/>
              </w:rPr>
            </w:pPr>
            <w:r w:rsidRPr="00FF756A">
              <w:rPr>
                <w:i/>
                <w:iCs/>
                <w:sz w:val="20"/>
                <w:szCs w:val="20"/>
              </w:rPr>
              <w:t>Zhvillimi dhe zbatimi i projektit të shpërndarjes dhe transmetimit të brendshëm të identifikuar në master planin e gazit</w:t>
            </w:r>
          </w:p>
          <w:p w14:paraId="30A2BF11" w14:textId="77777777" w:rsidR="00835192" w:rsidRPr="00FF756A" w:rsidRDefault="00835192" w:rsidP="00835192">
            <w:pPr>
              <w:spacing w:before="20" w:after="20" w:line="240" w:lineRule="auto"/>
              <w:rPr>
                <w:i/>
                <w:iCs/>
                <w:sz w:val="20"/>
                <w:szCs w:val="20"/>
              </w:rPr>
            </w:pPr>
            <w:r w:rsidRPr="00FF756A">
              <w:rPr>
                <w:i/>
                <w:iCs/>
                <w:sz w:val="20"/>
                <w:szCs w:val="20"/>
              </w:rPr>
              <w:t>(ES-O2)</w:t>
            </w:r>
          </w:p>
        </w:tc>
      </w:tr>
      <w:tr w:rsidR="00835192" w:rsidRPr="00FF756A" w14:paraId="44B57132" w14:textId="77777777" w:rsidTr="004A3257">
        <w:trPr>
          <w:trHeight w:val="20"/>
        </w:trPr>
        <w:tc>
          <w:tcPr>
            <w:tcW w:w="2203" w:type="dxa"/>
          </w:tcPr>
          <w:p w14:paraId="110D2AB2"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9" w:type="dxa"/>
            <w:gridSpan w:val="5"/>
          </w:tcPr>
          <w:p w14:paraId="412BB46C" w14:textId="77777777" w:rsidR="00835192" w:rsidRPr="00FF756A" w:rsidRDefault="00835192" w:rsidP="00835192">
            <w:pPr>
              <w:spacing w:before="20" w:after="20" w:line="240" w:lineRule="auto"/>
              <w:rPr>
                <w:i/>
                <w:iCs/>
                <w:sz w:val="20"/>
                <w:szCs w:val="20"/>
              </w:rPr>
            </w:pPr>
            <w:r w:rsidRPr="00FF756A">
              <w:rPr>
                <w:i/>
                <w:iCs/>
                <w:sz w:val="20"/>
                <w:szCs w:val="20"/>
              </w:rPr>
              <w:t>2018 - vazhdim</w:t>
            </w:r>
          </w:p>
        </w:tc>
      </w:tr>
      <w:tr w:rsidR="00835192" w:rsidRPr="00FF756A" w14:paraId="6AFD701F" w14:textId="77777777" w:rsidTr="004A3257">
        <w:trPr>
          <w:trHeight w:val="20"/>
        </w:trPr>
        <w:tc>
          <w:tcPr>
            <w:tcW w:w="2203" w:type="dxa"/>
          </w:tcPr>
          <w:p w14:paraId="7FC45C75"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9" w:type="dxa"/>
            <w:gridSpan w:val="5"/>
          </w:tcPr>
          <w:p w14:paraId="2B1BF7C8" w14:textId="77777777" w:rsidR="00835192" w:rsidRPr="00FF756A" w:rsidRDefault="00835192" w:rsidP="00835192">
            <w:pPr>
              <w:spacing w:before="20" w:after="20" w:line="240" w:lineRule="auto"/>
              <w:rPr>
                <w:i/>
                <w:iCs/>
                <w:sz w:val="20"/>
                <w:szCs w:val="20"/>
              </w:rPr>
            </w:pPr>
            <w:r w:rsidRPr="00FF756A">
              <w:rPr>
                <w:i/>
                <w:iCs/>
                <w:sz w:val="20"/>
                <w:szCs w:val="20"/>
              </w:rPr>
              <w:t>Ligji nr. 102/2015, datë 23.9.2015, “Për sektorin e gazit natyror”, i ndryshuar; VKM nr. 87, datë 14.2.2018, “Për miratimin e planit të zhvillimit të sektorit të gazit natyror në Shqipëri dhe identifikimin e projekteve prioritare”</w:t>
            </w:r>
          </w:p>
        </w:tc>
      </w:tr>
      <w:tr w:rsidR="00835192" w:rsidRPr="00FF756A" w14:paraId="335564A9" w14:textId="77777777" w:rsidTr="004A3257">
        <w:trPr>
          <w:trHeight w:val="20"/>
        </w:trPr>
        <w:tc>
          <w:tcPr>
            <w:tcW w:w="2203" w:type="dxa"/>
          </w:tcPr>
          <w:p w14:paraId="17C34582"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9" w:type="dxa"/>
            <w:gridSpan w:val="5"/>
          </w:tcPr>
          <w:p w14:paraId="394E4399" w14:textId="77777777" w:rsidR="00835192" w:rsidRPr="00FF756A" w:rsidRDefault="00835192" w:rsidP="00835192">
            <w:pPr>
              <w:spacing w:before="20" w:after="20" w:line="240" w:lineRule="auto"/>
              <w:rPr>
                <w:i/>
                <w:iCs/>
                <w:sz w:val="20"/>
                <w:szCs w:val="20"/>
              </w:rPr>
            </w:pPr>
            <w:r w:rsidRPr="00FF756A">
              <w:rPr>
                <w:i/>
                <w:iCs/>
                <w:sz w:val="20"/>
                <w:szCs w:val="20"/>
              </w:rPr>
              <w:t>Komiteti Drejtues i WBIF, në mbledhjen e tij më 6 dhjetor 2018, miratoi një grant prej 1,1 milionë eurosh për përgatitjen e “Tubacioni i gazit Fier – Vlorë: Dizajni i hollësishëm dhe dokumentet e tenderit” Konsulenti Hill International - projekti i Konsorciumit IPF 7 paraqiti për komente në janar 2020 dokumentin “Metodologjia për tubacionin e gazit Fier - Vlorë: Dizajni i hollësishëm dhe dokumentet e tenderit”</w:t>
            </w:r>
          </w:p>
          <w:p w14:paraId="0A842757" w14:textId="77777777" w:rsidR="00835192" w:rsidRPr="00FF756A" w:rsidRDefault="00835192" w:rsidP="00835192">
            <w:pPr>
              <w:spacing w:before="20" w:after="20" w:line="240" w:lineRule="auto"/>
              <w:rPr>
                <w:i/>
                <w:iCs/>
                <w:sz w:val="20"/>
                <w:szCs w:val="20"/>
              </w:rPr>
            </w:pPr>
            <w:r w:rsidRPr="00FF756A">
              <w:rPr>
                <w:i/>
                <w:iCs/>
                <w:sz w:val="20"/>
                <w:szCs w:val="20"/>
              </w:rPr>
              <w:t>“Studimi i Para-fizibilitetit për gazsjellësin Shqipëri-Kosovë” (projekti ALKOGAP), i zbatuar nga IPF4 TA, i financuar nga WBIF me një grant prej 0,3 milionë eurosh. Studimi i Para-fizibilitetit përfundoi në fund të vitit 2018, në kuadër të WB15-REG-ENE-01.</w:t>
            </w:r>
          </w:p>
          <w:p w14:paraId="0AE5F785" w14:textId="77777777" w:rsidR="00835192" w:rsidRPr="00FF756A" w:rsidRDefault="00835192" w:rsidP="00835192">
            <w:pPr>
              <w:spacing w:before="20" w:after="20" w:line="240" w:lineRule="auto"/>
              <w:rPr>
                <w:i/>
                <w:iCs/>
                <w:sz w:val="20"/>
                <w:szCs w:val="20"/>
              </w:rPr>
            </w:pPr>
            <w:r w:rsidRPr="00FF756A">
              <w:rPr>
                <w:i/>
                <w:iCs/>
                <w:sz w:val="20"/>
                <w:szCs w:val="20"/>
              </w:rPr>
              <w:t>Projekti paraprak për gazsjellësin Adriatiko-Jonian (pjesa që përshkon Shqipërinë dhe Malin e Zi) - WBIF ka dhënë një grant prej 2,5 milionë eurosh.</w:t>
            </w:r>
          </w:p>
        </w:tc>
      </w:tr>
      <w:tr w:rsidR="00835192" w:rsidRPr="00FF756A" w14:paraId="2038D2EB" w14:textId="77777777" w:rsidTr="004A3257">
        <w:trPr>
          <w:trHeight w:val="20"/>
        </w:trPr>
        <w:tc>
          <w:tcPr>
            <w:tcW w:w="2203" w:type="dxa"/>
          </w:tcPr>
          <w:p w14:paraId="6E037BD6"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9" w:type="dxa"/>
            <w:gridSpan w:val="5"/>
          </w:tcPr>
          <w:p w14:paraId="16B2B5C8" w14:textId="77777777" w:rsidR="00835192" w:rsidRPr="00FF756A" w:rsidRDefault="00835192" w:rsidP="00835192">
            <w:pPr>
              <w:spacing w:before="20" w:after="20" w:line="240" w:lineRule="auto"/>
              <w:rPr>
                <w:i/>
                <w:iCs/>
                <w:sz w:val="20"/>
                <w:szCs w:val="20"/>
              </w:rPr>
            </w:pPr>
            <w:r w:rsidRPr="00FF756A">
              <w:rPr>
                <w:i/>
                <w:iCs/>
                <w:sz w:val="20"/>
                <w:szCs w:val="20"/>
              </w:rPr>
              <w:t>Një sistem i ri dhe funksional për transmetimin dhe shpërndarjen e gazit në Shqipëri.</w:t>
            </w:r>
          </w:p>
          <w:p w14:paraId="60F48901" w14:textId="77777777" w:rsidR="00835192" w:rsidRPr="00FF756A" w:rsidRDefault="00835192" w:rsidP="00835192">
            <w:pPr>
              <w:spacing w:before="20" w:after="20" w:line="240" w:lineRule="auto"/>
              <w:rPr>
                <w:i/>
                <w:iCs/>
                <w:sz w:val="20"/>
                <w:szCs w:val="20"/>
              </w:rPr>
            </w:pPr>
            <w:r w:rsidRPr="00FF756A">
              <w:rPr>
                <w:i/>
                <w:iCs/>
                <w:sz w:val="20"/>
                <w:szCs w:val="20"/>
              </w:rPr>
              <w:t>Furnizimi i TEC-it të Vlorës me gaz.</w:t>
            </w:r>
          </w:p>
        </w:tc>
      </w:tr>
      <w:tr w:rsidR="00835192" w:rsidRPr="00FF756A" w14:paraId="612E8A06" w14:textId="77777777" w:rsidTr="004A3257">
        <w:trPr>
          <w:trHeight w:val="20"/>
        </w:trPr>
        <w:tc>
          <w:tcPr>
            <w:tcW w:w="2203" w:type="dxa"/>
          </w:tcPr>
          <w:p w14:paraId="3F0035E5"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9" w:type="dxa"/>
            <w:gridSpan w:val="5"/>
          </w:tcPr>
          <w:p w14:paraId="062078B2"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Penetrimi i gazit natyror (ktoe) në raport me furnizimin nga totali i burimeve primare të energjisë: 0,37% në 2020, 5,1% në 2025 dhe 8,5% në 2030, në përputhje me Strategjinë Kombëtare për Energjinë.</w:t>
            </w:r>
          </w:p>
          <w:p w14:paraId="26C30AB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Në vitin 2040, konsumi potencial i gazit natyror për prodhimin e energjisë elektrike mund të arrijë rreth 770 milionë m³, ndërsa konsumi i parashikuar në rafineritë e vendit mund të jetë rreth 89,2 milionë m³. </w:t>
            </w:r>
          </w:p>
          <w:p w14:paraId="237F2EA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Nga 376 njësi administrative vendore janë zgjedhur 85 prej tyre që kanë potencial të mjaftueshëm për zhvillimin e rrjetit të shpërndarjes të gazit.</w:t>
            </w:r>
          </w:p>
        </w:tc>
      </w:tr>
      <w:tr w:rsidR="00835192" w:rsidRPr="00FF756A" w14:paraId="0A89D0EE" w14:textId="77777777" w:rsidTr="004A3257">
        <w:trPr>
          <w:trHeight w:val="20"/>
        </w:trPr>
        <w:tc>
          <w:tcPr>
            <w:tcW w:w="2203" w:type="dxa"/>
          </w:tcPr>
          <w:p w14:paraId="5171E697"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9" w:type="dxa"/>
            <w:gridSpan w:val="4"/>
          </w:tcPr>
          <w:p w14:paraId="19A8039A"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Zbatimi i degës TAP CP1 - Fier - Vlorë. Linja e transmetimit është rreth 40 km, do të kushtojë rreth 15 milionë euro dhe është parashikuar të ndërtohet brenda 3 vjetësh. Rrjeti i shpërndarjes në qytetin e Vlorës është rreth 230 km dhe do të kushtojë rreth 32 milionë euro. Studimi i plotë i fizibilitetit përmes ndihmës së ofruar nga SECO. (prioritet afatmesëm)</w:t>
            </w:r>
          </w:p>
          <w:p w14:paraId="5D9EEF2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Zbatimi i degës TAP CP1-Fier-Ballsh, e cila mbyll furnizimin me gaz të trekëndëshit industrial Fier-Vlorë-Ballsh. Linja e transmetimit është rreth 39 km e gjatë, do të kushtojë rreth 11 milionë euro dhe është parashikuar të ndërtohet brenda 3 vjetësh. Rrjeti i shpërndarjes në zonat urbane të kësaj dege vlerësohet në 69 milionë euro (prioritet afatmesëm).</w:t>
            </w:r>
          </w:p>
          <w:p w14:paraId="3548AA11" w14:textId="77777777" w:rsidR="00835192" w:rsidRPr="00FF756A" w:rsidRDefault="00835192" w:rsidP="008639B2">
            <w:pPr>
              <w:numPr>
                <w:ilvl w:val="0"/>
                <w:numId w:val="71"/>
              </w:numPr>
              <w:spacing w:before="20" w:after="20" w:line="240" w:lineRule="auto"/>
              <w:contextualSpacing/>
            </w:pPr>
            <w:r w:rsidRPr="00FF756A">
              <w:rPr>
                <w:i/>
                <w:iCs/>
                <w:sz w:val="20"/>
                <w:szCs w:val="20"/>
              </w:rPr>
              <w:t>Zbatim i degës për Tiranë - Durrës.  Kostoja e këtij rrjeti transmetimi është rreth 11 milion euro, për një gjatësi prej rreth 35 km.</w:t>
            </w:r>
          </w:p>
        </w:tc>
        <w:tc>
          <w:tcPr>
            <w:tcW w:w="850" w:type="dxa"/>
          </w:tcPr>
          <w:p w14:paraId="3FB1294A" w14:textId="77777777" w:rsidR="00835192" w:rsidRPr="00FF756A" w:rsidRDefault="00835192" w:rsidP="00835192">
            <w:pPr>
              <w:spacing w:before="20" w:after="20" w:line="240" w:lineRule="auto"/>
              <w:rPr>
                <w:i/>
                <w:iCs/>
                <w:sz w:val="20"/>
                <w:szCs w:val="20"/>
              </w:rPr>
            </w:pPr>
            <w:r w:rsidRPr="00FF756A">
              <w:rPr>
                <w:i/>
                <w:iCs/>
                <w:sz w:val="20"/>
                <w:szCs w:val="20"/>
              </w:rPr>
              <w:t>Nga viti 2026 e në vazhdim</w:t>
            </w:r>
          </w:p>
        </w:tc>
      </w:tr>
      <w:tr w:rsidR="00835192" w:rsidRPr="00FF756A" w14:paraId="3A3DE33D" w14:textId="77777777" w:rsidTr="004A3257">
        <w:trPr>
          <w:trHeight w:val="20"/>
        </w:trPr>
        <w:tc>
          <w:tcPr>
            <w:tcW w:w="2203" w:type="dxa"/>
          </w:tcPr>
          <w:p w14:paraId="6420F427"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9" w:type="dxa"/>
            <w:gridSpan w:val="5"/>
          </w:tcPr>
          <w:p w14:paraId="5F437720" w14:textId="77777777" w:rsidR="00835192" w:rsidRPr="00FF756A" w:rsidRDefault="00835192" w:rsidP="00835192">
            <w:pPr>
              <w:spacing w:before="20" w:after="20" w:line="240" w:lineRule="auto"/>
              <w:rPr>
                <w:i/>
                <w:iCs/>
                <w:sz w:val="20"/>
                <w:szCs w:val="20"/>
              </w:rPr>
            </w:pPr>
            <w:r w:rsidRPr="00FF756A">
              <w:rPr>
                <w:i/>
                <w:iCs/>
                <w:sz w:val="20"/>
                <w:szCs w:val="20"/>
              </w:rPr>
              <w:t xml:space="preserve">Shihni më sipër për koston e përllogaritur; burimet e financimit dhe modalitetet do të përcaktohen në vazhdim. </w:t>
            </w:r>
          </w:p>
        </w:tc>
      </w:tr>
      <w:tr w:rsidR="00835192" w:rsidRPr="00FF756A" w14:paraId="54B5865D" w14:textId="77777777" w:rsidTr="004A3257">
        <w:trPr>
          <w:trHeight w:val="20"/>
        </w:trPr>
        <w:tc>
          <w:tcPr>
            <w:tcW w:w="2203" w:type="dxa"/>
          </w:tcPr>
          <w:p w14:paraId="7343621D"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7B17F342"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9" w:type="dxa"/>
            <w:gridSpan w:val="5"/>
          </w:tcPr>
          <w:p w14:paraId="60DC2D93"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ALBGAZ</w:t>
            </w:r>
          </w:p>
          <w:p w14:paraId="79CD5151"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ALBGAZ; Enti Rregullator i Energjisë)</w:t>
            </w:r>
          </w:p>
        </w:tc>
      </w:tr>
      <w:tr w:rsidR="00835192" w:rsidRPr="00FF756A" w14:paraId="301FBEC0" w14:textId="77777777" w:rsidTr="004A3257">
        <w:trPr>
          <w:trHeight w:val="20"/>
        </w:trPr>
        <w:tc>
          <w:tcPr>
            <w:tcW w:w="2203" w:type="dxa"/>
          </w:tcPr>
          <w:p w14:paraId="52F07407"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9" w:type="dxa"/>
            <w:gridSpan w:val="5"/>
          </w:tcPr>
          <w:p w14:paraId="6DA00D01" w14:textId="77777777" w:rsidR="00835192" w:rsidRPr="00FF756A" w:rsidRDefault="00835192" w:rsidP="00835192">
            <w:pPr>
              <w:spacing w:before="20" w:after="20" w:line="240" w:lineRule="auto"/>
              <w:rPr>
                <w:i/>
                <w:iCs/>
                <w:sz w:val="20"/>
                <w:szCs w:val="20"/>
              </w:rPr>
            </w:pPr>
            <w:r w:rsidRPr="00FF756A">
              <w:rPr>
                <w:i/>
                <w:iCs/>
                <w:sz w:val="20"/>
                <w:szCs w:val="20"/>
              </w:rPr>
              <w:t>Tregu i brendshëm i energjisë elektrike</w:t>
            </w:r>
          </w:p>
        </w:tc>
      </w:tr>
    </w:tbl>
    <w:p w14:paraId="4CE58811"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1"/>
        <w:gridCol w:w="1287"/>
        <w:gridCol w:w="603"/>
        <w:gridCol w:w="431"/>
        <w:gridCol w:w="3690"/>
        <w:gridCol w:w="850"/>
      </w:tblGrid>
      <w:tr w:rsidR="00835192" w:rsidRPr="00FF756A" w14:paraId="3C08FFA9" w14:textId="77777777" w:rsidTr="004A3257">
        <w:trPr>
          <w:trHeight w:val="20"/>
        </w:trPr>
        <w:tc>
          <w:tcPr>
            <w:tcW w:w="4528" w:type="dxa"/>
            <w:gridSpan w:val="4"/>
            <w:shd w:val="clear" w:color="auto" w:fill="2E74B5" w:themeFill="accent5" w:themeFillShade="BF"/>
          </w:tcPr>
          <w:p w14:paraId="1CA1D67C" w14:textId="77777777" w:rsidR="00835192" w:rsidRPr="00FF756A" w:rsidRDefault="00835192" w:rsidP="00835192">
            <w:pPr>
              <w:spacing w:before="20" w:after="20" w:line="240" w:lineRule="auto"/>
              <w:jc w:val="right"/>
              <w:rPr>
                <w:b/>
                <w:bCs/>
                <w:sz w:val="20"/>
                <w:szCs w:val="20"/>
              </w:rPr>
            </w:pPr>
            <w:r w:rsidRPr="00FF756A">
              <w:br w:type="page"/>
            </w:r>
            <w:r w:rsidRPr="00FF756A">
              <w:rPr>
                <w:b/>
                <w:bCs/>
                <w:sz w:val="20"/>
                <w:szCs w:val="20"/>
              </w:rPr>
              <w:t>Dimensioni i energjisë</w:t>
            </w:r>
          </w:p>
        </w:tc>
        <w:tc>
          <w:tcPr>
            <w:tcW w:w="4544" w:type="dxa"/>
            <w:gridSpan w:val="2"/>
            <w:shd w:val="clear" w:color="auto" w:fill="2E74B5" w:themeFill="accent5" w:themeFillShade="BF"/>
          </w:tcPr>
          <w:p w14:paraId="07AE1284" w14:textId="77777777" w:rsidR="00835192" w:rsidRPr="00FF756A" w:rsidRDefault="00835192" w:rsidP="008639B2">
            <w:pPr>
              <w:numPr>
                <w:ilvl w:val="0"/>
                <w:numId w:val="115"/>
              </w:numPr>
              <w:spacing w:before="20" w:after="20" w:line="240" w:lineRule="auto"/>
              <w:contextualSpacing/>
              <w:rPr>
                <w:i/>
                <w:iCs/>
                <w:sz w:val="20"/>
                <w:szCs w:val="20"/>
              </w:rPr>
            </w:pPr>
            <w:r w:rsidRPr="00FF756A">
              <w:rPr>
                <w:i/>
                <w:iCs/>
                <w:sz w:val="20"/>
                <w:szCs w:val="20"/>
              </w:rPr>
              <w:t>Siguria energjetike</w:t>
            </w:r>
          </w:p>
        </w:tc>
      </w:tr>
      <w:tr w:rsidR="00835192" w:rsidRPr="00FF756A" w14:paraId="324E2723" w14:textId="77777777" w:rsidTr="004A3257">
        <w:trPr>
          <w:trHeight w:val="20"/>
        </w:trPr>
        <w:tc>
          <w:tcPr>
            <w:tcW w:w="4096" w:type="dxa"/>
            <w:gridSpan w:val="3"/>
            <w:shd w:val="clear" w:color="auto" w:fill="2E74B5" w:themeFill="accent5" w:themeFillShade="BF"/>
          </w:tcPr>
          <w:p w14:paraId="4044C897"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6" w:type="dxa"/>
            <w:gridSpan w:val="3"/>
            <w:shd w:val="clear" w:color="auto" w:fill="2E74B5" w:themeFill="accent5" w:themeFillShade="BF"/>
          </w:tcPr>
          <w:p w14:paraId="29D02CA9" w14:textId="77777777" w:rsidR="00835192" w:rsidRPr="00FF756A" w:rsidRDefault="00835192" w:rsidP="00835192">
            <w:pPr>
              <w:spacing w:before="20" w:after="20" w:line="240" w:lineRule="auto"/>
              <w:rPr>
                <w:i/>
                <w:iCs/>
                <w:sz w:val="20"/>
                <w:szCs w:val="20"/>
              </w:rPr>
            </w:pPr>
            <w:r w:rsidRPr="00FF756A">
              <w:rPr>
                <w:i/>
                <w:iCs/>
                <w:sz w:val="20"/>
                <w:szCs w:val="20"/>
              </w:rPr>
              <w:t>Sektori i naftës dhe gazit</w:t>
            </w:r>
          </w:p>
        </w:tc>
      </w:tr>
      <w:tr w:rsidR="00835192" w:rsidRPr="00FF756A" w14:paraId="1BDF4A10" w14:textId="77777777" w:rsidTr="004A3257">
        <w:trPr>
          <w:trHeight w:val="20"/>
        </w:trPr>
        <w:tc>
          <w:tcPr>
            <w:tcW w:w="3492" w:type="dxa"/>
            <w:gridSpan w:val="2"/>
          </w:tcPr>
          <w:p w14:paraId="7B403816"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69B4A40B"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0" w:type="dxa"/>
            <w:gridSpan w:val="4"/>
          </w:tcPr>
          <w:p w14:paraId="5206242B" w14:textId="77777777" w:rsidR="00835192" w:rsidRPr="00FF756A" w:rsidRDefault="00835192" w:rsidP="00835192">
            <w:pPr>
              <w:spacing w:before="20" w:after="20" w:line="240" w:lineRule="auto"/>
              <w:rPr>
                <w:i/>
                <w:iCs/>
                <w:sz w:val="20"/>
                <w:szCs w:val="20"/>
              </w:rPr>
            </w:pPr>
            <w:r w:rsidRPr="00FF756A">
              <w:rPr>
                <w:i/>
                <w:iCs/>
                <w:sz w:val="20"/>
                <w:szCs w:val="20"/>
              </w:rPr>
              <w:t>WEM</w:t>
            </w:r>
          </w:p>
          <w:p w14:paraId="50A66E38"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10E81933" w14:textId="77777777" w:rsidTr="004A3257">
        <w:trPr>
          <w:trHeight w:val="20"/>
        </w:trPr>
        <w:tc>
          <w:tcPr>
            <w:tcW w:w="2203" w:type="dxa"/>
          </w:tcPr>
          <w:p w14:paraId="60291AFB"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23FD00DA"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9" w:type="dxa"/>
            <w:gridSpan w:val="5"/>
          </w:tcPr>
          <w:p w14:paraId="3C1673BA" w14:textId="77777777" w:rsidR="00835192" w:rsidRPr="00FF756A" w:rsidRDefault="00835192" w:rsidP="00835192">
            <w:pPr>
              <w:spacing w:before="20" w:after="20" w:line="240" w:lineRule="auto"/>
              <w:rPr>
                <w:i/>
                <w:iCs/>
                <w:sz w:val="20"/>
                <w:szCs w:val="20"/>
              </w:rPr>
            </w:pPr>
            <w:r w:rsidRPr="00FF756A">
              <w:rPr>
                <w:i/>
                <w:iCs/>
                <w:sz w:val="20"/>
                <w:szCs w:val="20"/>
              </w:rPr>
              <w:t>Lidhja e Shqipërisë me rrjetin ndërkombëtar të gazit</w:t>
            </w:r>
          </w:p>
          <w:p w14:paraId="446279D1" w14:textId="77777777" w:rsidR="00835192" w:rsidRPr="00FF756A" w:rsidRDefault="00835192" w:rsidP="00835192">
            <w:pPr>
              <w:spacing w:before="20" w:after="20" w:line="240" w:lineRule="auto"/>
              <w:rPr>
                <w:i/>
                <w:iCs/>
                <w:sz w:val="20"/>
                <w:szCs w:val="20"/>
              </w:rPr>
            </w:pPr>
            <w:r w:rsidRPr="00FF756A">
              <w:rPr>
                <w:i/>
                <w:iCs/>
                <w:sz w:val="20"/>
                <w:szCs w:val="20"/>
              </w:rPr>
              <w:t>(ES-O3)</w:t>
            </w:r>
          </w:p>
        </w:tc>
      </w:tr>
      <w:tr w:rsidR="00835192" w:rsidRPr="00FF756A" w14:paraId="68BF5AF2" w14:textId="77777777" w:rsidTr="004A3257">
        <w:trPr>
          <w:trHeight w:val="20"/>
        </w:trPr>
        <w:tc>
          <w:tcPr>
            <w:tcW w:w="2203" w:type="dxa"/>
          </w:tcPr>
          <w:p w14:paraId="331B7DF0"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9" w:type="dxa"/>
            <w:gridSpan w:val="5"/>
          </w:tcPr>
          <w:p w14:paraId="40BB33CF" w14:textId="77777777" w:rsidR="00835192" w:rsidRPr="00FF756A" w:rsidRDefault="00835192" w:rsidP="00835192">
            <w:pPr>
              <w:spacing w:before="20" w:after="20" w:line="240" w:lineRule="auto"/>
              <w:rPr>
                <w:i/>
                <w:iCs/>
                <w:sz w:val="20"/>
                <w:szCs w:val="20"/>
              </w:rPr>
            </w:pPr>
            <w:r w:rsidRPr="00FF756A">
              <w:rPr>
                <w:i/>
                <w:iCs/>
                <w:sz w:val="20"/>
                <w:szCs w:val="20"/>
              </w:rPr>
              <w:t>2018 - vazhdim</w:t>
            </w:r>
          </w:p>
        </w:tc>
      </w:tr>
      <w:tr w:rsidR="00835192" w:rsidRPr="00FF756A" w14:paraId="13C1ABCA" w14:textId="77777777" w:rsidTr="004A3257">
        <w:trPr>
          <w:trHeight w:val="20"/>
        </w:trPr>
        <w:tc>
          <w:tcPr>
            <w:tcW w:w="2203" w:type="dxa"/>
          </w:tcPr>
          <w:p w14:paraId="1010F273"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9" w:type="dxa"/>
            <w:gridSpan w:val="5"/>
          </w:tcPr>
          <w:p w14:paraId="7531D4E8" w14:textId="77777777" w:rsidR="00835192" w:rsidRPr="00FF756A" w:rsidRDefault="00835192" w:rsidP="00835192">
            <w:pPr>
              <w:spacing w:before="20" w:after="20" w:line="240" w:lineRule="auto"/>
              <w:rPr>
                <w:i/>
                <w:iCs/>
                <w:sz w:val="20"/>
                <w:szCs w:val="20"/>
              </w:rPr>
            </w:pPr>
            <w:r w:rsidRPr="00FF756A">
              <w:rPr>
                <w:i/>
                <w:iCs/>
                <w:sz w:val="20"/>
                <w:szCs w:val="20"/>
              </w:rPr>
              <w:t>VKM nr. 480, datë 31.7.2018, “Për miratimin e strategjisë kombëtare të energjisë 2018-2030”; VKM nr. 87, datë 14.2.2018, “Për miratimin e planit të zhvillimit të sektorit të gazit natyror në Shqipëri dhe identifikimin e projekteve prioritare”.</w:t>
            </w:r>
          </w:p>
        </w:tc>
      </w:tr>
      <w:tr w:rsidR="00835192" w:rsidRPr="00FF756A" w14:paraId="1BAA320D" w14:textId="77777777" w:rsidTr="004A3257">
        <w:trPr>
          <w:trHeight w:val="20"/>
        </w:trPr>
        <w:tc>
          <w:tcPr>
            <w:tcW w:w="2203" w:type="dxa"/>
          </w:tcPr>
          <w:p w14:paraId="07E82041"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9" w:type="dxa"/>
            <w:gridSpan w:val="5"/>
          </w:tcPr>
          <w:p w14:paraId="6F2A161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Miratimi i kuadrit të nevojshëm ligjor. Shqipëria ka nisur hartimin e akteve nënligjore për gazin natyror që pas miratimit të ligjit “Për gazin” në vitin 2015. Deri më tani, zhvillimi i kuadrit rregullator në Shqipëri është shumë më i avancuar se sa zhvillimi i infrastrukturës.</w:t>
            </w:r>
          </w:p>
          <w:p w14:paraId="3C9F085D"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Kodi i rrjetit i Albgaz për sistemin e ardhshëm të transmetimit dhe miratimi i kodit të rrjetit TAP, ky i fundit në përputhje me vendimin e përjashtimit nga ERE dhe autoritetet kombëtare italiane dhe greke. </w:t>
            </w:r>
          </w:p>
          <w:p w14:paraId="3C10A9A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Transpozimi i kodeve të rrjetit të gazit në Shqipëri nga autoriteti rregullator ERE.</w:t>
            </w:r>
          </w:p>
          <w:p w14:paraId="664A668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Miratimi i Planit të Zhvillimit të Sektorit të Gazit</w:t>
            </w:r>
          </w:p>
          <w:p w14:paraId="4F4B4B1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Identifikimi dhe miratimi i projekteve prioritare</w:t>
            </w:r>
          </w:p>
          <w:p w14:paraId="168C7E3C" w14:textId="77777777" w:rsidR="00835192" w:rsidRPr="00FF756A" w:rsidRDefault="00835192" w:rsidP="008639B2">
            <w:pPr>
              <w:numPr>
                <w:ilvl w:val="0"/>
                <w:numId w:val="71"/>
              </w:numPr>
              <w:spacing w:before="20" w:after="20" w:line="240" w:lineRule="auto"/>
              <w:contextualSpacing/>
              <w:rPr>
                <w:i/>
                <w:iCs/>
                <w:sz w:val="20"/>
                <w:szCs w:val="20"/>
              </w:rPr>
            </w:pPr>
            <w:bookmarkStart w:id="436" w:name="_Hlk75601439"/>
            <w:r w:rsidRPr="00FF756A">
              <w:rPr>
                <w:i/>
                <w:iCs/>
                <w:sz w:val="20"/>
                <w:szCs w:val="20"/>
              </w:rPr>
              <w:t>Projekti paraprak për Gazsjellësin Adriatiko-Jonian (pjesa që përshkon Shqipërinë dhe Malin e Zi) – WBIF</w:t>
            </w:r>
          </w:p>
          <w:bookmarkEnd w:id="436"/>
          <w:p w14:paraId="26D38536"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Studimi i Para-fizibilitetit për projektin e Gazsjellësit Shqipëri-Kosovë (ALKOGAP)</w:t>
            </w:r>
          </w:p>
        </w:tc>
      </w:tr>
      <w:tr w:rsidR="00835192" w:rsidRPr="00FF756A" w14:paraId="549253A1" w14:textId="77777777" w:rsidTr="004A3257">
        <w:trPr>
          <w:trHeight w:val="20"/>
        </w:trPr>
        <w:tc>
          <w:tcPr>
            <w:tcW w:w="2203" w:type="dxa"/>
          </w:tcPr>
          <w:p w14:paraId="6B4ED07F"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9" w:type="dxa"/>
            <w:gridSpan w:val="5"/>
          </w:tcPr>
          <w:p w14:paraId="49A185AE" w14:textId="77777777" w:rsidR="00835192" w:rsidRPr="00FF756A" w:rsidRDefault="00835192" w:rsidP="00835192">
            <w:pPr>
              <w:spacing w:before="20" w:after="20" w:line="240" w:lineRule="auto"/>
              <w:rPr>
                <w:i/>
                <w:iCs/>
                <w:sz w:val="20"/>
                <w:szCs w:val="20"/>
              </w:rPr>
            </w:pPr>
            <w:r w:rsidRPr="00FF756A">
              <w:rPr>
                <w:i/>
                <w:iCs/>
                <w:sz w:val="20"/>
                <w:szCs w:val="20"/>
              </w:rPr>
              <w:t>Lidhja e Shqipërisë me rrjetin ndërkombëtar të gazit sipas opsionit më të mirë (Korridori Jugor i Gazit dhe Unaza e Gazit e Komunitetit të Energjisë, TAP, IAP, Gazsjellësi Shqipëri-Kosovë ”(projekti ALKOGAP)).</w:t>
            </w:r>
          </w:p>
        </w:tc>
      </w:tr>
      <w:tr w:rsidR="00835192" w:rsidRPr="00FF756A" w14:paraId="3413D440" w14:textId="77777777" w:rsidTr="004A3257">
        <w:trPr>
          <w:trHeight w:val="20"/>
        </w:trPr>
        <w:tc>
          <w:tcPr>
            <w:tcW w:w="2203" w:type="dxa"/>
          </w:tcPr>
          <w:p w14:paraId="0C9F2527"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9" w:type="dxa"/>
            <w:gridSpan w:val="5"/>
          </w:tcPr>
          <w:p w14:paraId="5060FE97" w14:textId="77777777" w:rsidR="00835192" w:rsidRPr="00FF756A" w:rsidRDefault="00835192" w:rsidP="00835192">
            <w:pPr>
              <w:spacing w:before="20" w:after="20" w:line="240" w:lineRule="auto"/>
              <w:rPr>
                <w:i/>
                <w:iCs/>
                <w:sz w:val="20"/>
                <w:szCs w:val="20"/>
              </w:rPr>
            </w:pPr>
            <w:r w:rsidRPr="00FF756A">
              <w:rPr>
                <w:i/>
                <w:iCs/>
                <w:sz w:val="20"/>
                <w:szCs w:val="20"/>
              </w:rPr>
              <w:t>Lidhja e Shqipërisë me rrjetin ndërkombëtar të gazit sipas opsionit më të mirë për zhvillimin e tregut rajonal të gazit dhe rritjen e sigurisë së furnizimit me gaz.</w:t>
            </w:r>
          </w:p>
        </w:tc>
      </w:tr>
      <w:tr w:rsidR="00835192" w:rsidRPr="00FF756A" w14:paraId="33D26C64" w14:textId="77777777" w:rsidTr="004A3257">
        <w:trPr>
          <w:trHeight w:val="20"/>
        </w:trPr>
        <w:tc>
          <w:tcPr>
            <w:tcW w:w="2203" w:type="dxa"/>
          </w:tcPr>
          <w:p w14:paraId="77C27C94"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9" w:type="dxa"/>
            <w:gridSpan w:val="4"/>
          </w:tcPr>
          <w:p w14:paraId="7B32381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Miratimi i kuadrit ligjor, normave rregullatore dhe kodeve teknike e të transmetimit</w:t>
            </w:r>
          </w:p>
          <w:p w14:paraId="509ED426"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Marrëveshjet rajonale dhe ndërkombëtare </w:t>
            </w:r>
          </w:p>
          <w:p w14:paraId="783D9124"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Financimi dhe zbatimi i projekteve prioritare të miratuara</w:t>
            </w:r>
          </w:p>
        </w:tc>
        <w:tc>
          <w:tcPr>
            <w:tcW w:w="850" w:type="dxa"/>
          </w:tcPr>
          <w:p w14:paraId="6CF5FC06" w14:textId="77777777" w:rsidR="00835192" w:rsidRPr="00FF756A" w:rsidRDefault="00835192" w:rsidP="00835192">
            <w:pPr>
              <w:spacing w:before="20" w:after="20" w:line="240" w:lineRule="auto"/>
              <w:rPr>
                <w:i/>
                <w:iCs/>
                <w:sz w:val="20"/>
                <w:szCs w:val="20"/>
              </w:rPr>
            </w:pPr>
            <w:r w:rsidRPr="00FF756A">
              <w:rPr>
                <w:i/>
                <w:iCs/>
                <w:sz w:val="20"/>
                <w:szCs w:val="20"/>
              </w:rPr>
              <w:t>brenda vitit 2035</w:t>
            </w:r>
          </w:p>
        </w:tc>
      </w:tr>
      <w:tr w:rsidR="00835192" w:rsidRPr="00FF756A" w14:paraId="39722164" w14:textId="77777777" w:rsidTr="004A3257">
        <w:trPr>
          <w:trHeight w:val="20"/>
        </w:trPr>
        <w:tc>
          <w:tcPr>
            <w:tcW w:w="2203" w:type="dxa"/>
          </w:tcPr>
          <w:p w14:paraId="2A94F5B2"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9" w:type="dxa"/>
            <w:gridSpan w:val="5"/>
          </w:tcPr>
          <w:p w14:paraId="2FA27E70" w14:textId="77777777" w:rsidR="00835192" w:rsidRPr="00FF756A" w:rsidRDefault="00835192" w:rsidP="00835192">
            <w:pPr>
              <w:spacing w:before="20" w:after="20" w:line="240" w:lineRule="auto"/>
              <w:rPr>
                <w:i/>
                <w:iCs/>
                <w:sz w:val="20"/>
                <w:szCs w:val="20"/>
              </w:rPr>
            </w:pPr>
            <w:r w:rsidRPr="00FF756A">
              <w:rPr>
                <w:i/>
                <w:iCs/>
                <w:sz w:val="20"/>
                <w:szCs w:val="20"/>
              </w:rPr>
              <w:t>“Studimi i Para-Fizibilitetit për Gazsjellësin Shqipëri-Kosovë” (projekti ALKOGAP), i zbatuar nga IPF4 TA, financuar nga WBIF me një grant prej 0,3 milionë eurosh (finalizuar në fund të vitit 2018): Rreth 150 milionë euro për Gazsjellësin Shqipëri-Kosovë (projekti ALKOGAP, seksioni i Shqipërisë).</w:t>
            </w:r>
          </w:p>
          <w:p w14:paraId="07D96130" w14:textId="77777777" w:rsidR="00835192" w:rsidRPr="00FF756A" w:rsidRDefault="00835192" w:rsidP="00835192">
            <w:pPr>
              <w:spacing w:before="20" w:after="20" w:line="240" w:lineRule="auto"/>
              <w:rPr>
                <w:i/>
                <w:iCs/>
                <w:sz w:val="20"/>
                <w:szCs w:val="20"/>
              </w:rPr>
            </w:pPr>
            <w:r w:rsidRPr="00FF756A">
              <w:rPr>
                <w:i/>
                <w:iCs/>
                <w:sz w:val="20"/>
                <w:szCs w:val="20"/>
              </w:rPr>
              <w:t>67 milionë euro për 168 km janë për Gazsjellësin Adriatiko-Jonian (IAP).</w:t>
            </w:r>
          </w:p>
        </w:tc>
      </w:tr>
      <w:tr w:rsidR="00835192" w:rsidRPr="00FF756A" w14:paraId="592D5E4B" w14:textId="77777777" w:rsidTr="004A3257">
        <w:trPr>
          <w:trHeight w:val="20"/>
        </w:trPr>
        <w:tc>
          <w:tcPr>
            <w:tcW w:w="2203" w:type="dxa"/>
          </w:tcPr>
          <w:p w14:paraId="6A77C095"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0F240A5E"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9" w:type="dxa"/>
            <w:gridSpan w:val="5"/>
          </w:tcPr>
          <w:p w14:paraId="74AE83C0"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ALBGAZ</w:t>
            </w:r>
          </w:p>
          <w:p w14:paraId="66014127"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ALBGAZ; Enti Rregullator i Energjisë)</w:t>
            </w:r>
          </w:p>
        </w:tc>
      </w:tr>
      <w:tr w:rsidR="00835192" w:rsidRPr="00FF756A" w14:paraId="513F4001" w14:textId="77777777" w:rsidTr="004A3257">
        <w:trPr>
          <w:trHeight w:val="20"/>
        </w:trPr>
        <w:tc>
          <w:tcPr>
            <w:tcW w:w="2203" w:type="dxa"/>
          </w:tcPr>
          <w:p w14:paraId="3C873704"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9" w:type="dxa"/>
            <w:gridSpan w:val="5"/>
          </w:tcPr>
          <w:p w14:paraId="2A567124" w14:textId="77777777" w:rsidR="00835192" w:rsidRPr="00FF756A" w:rsidRDefault="00835192" w:rsidP="00835192">
            <w:pPr>
              <w:spacing w:before="20" w:after="20" w:line="240" w:lineRule="auto"/>
              <w:rPr>
                <w:i/>
                <w:iCs/>
                <w:sz w:val="20"/>
                <w:szCs w:val="20"/>
              </w:rPr>
            </w:pPr>
            <w:r w:rsidRPr="00FF756A">
              <w:rPr>
                <w:i/>
                <w:iCs/>
                <w:sz w:val="20"/>
                <w:szCs w:val="20"/>
              </w:rPr>
              <w:t xml:space="preserve">Tregu i brendshëm i energjisë elektrike </w:t>
            </w:r>
          </w:p>
        </w:tc>
      </w:tr>
    </w:tbl>
    <w:p w14:paraId="02873C9C" w14:textId="77777777" w:rsidR="00835192" w:rsidRPr="00FF756A" w:rsidRDefault="00835192" w:rsidP="00835192"/>
    <w:p w14:paraId="192CE2C6" w14:textId="77777777" w:rsidR="00835192" w:rsidRPr="00FF756A" w:rsidRDefault="00835192" w:rsidP="00835192">
      <w:pPr>
        <w:spacing w:before="0" w:after="0" w:line="240" w:lineRule="auto"/>
        <w:jc w:val="left"/>
      </w:pPr>
      <w:r w:rsidRPr="00FF756A">
        <w:br w:type="page"/>
      </w:r>
    </w:p>
    <w:p w14:paraId="6A047EF3"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2"/>
        <w:gridCol w:w="1286"/>
        <w:gridCol w:w="603"/>
        <w:gridCol w:w="431"/>
        <w:gridCol w:w="3690"/>
        <w:gridCol w:w="850"/>
      </w:tblGrid>
      <w:tr w:rsidR="00835192" w:rsidRPr="00FF756A" w14:paraId="0A550613" w14:textId="77777777" w:rsidTr="004A3257">
        <w:trPr>
          <w:trHeight w:val="20"/>
        </w:trPr>
        <w:tc>
          <w:tcPr>
            <w:tcW w:w="4528" w:type="dxa"/>
            <w:gridSpan w:val="4"/>
            <w:shd w:val="clear" w:color="auto" w:fill="2E74B5" w:themeFill="accent5" w:themeFillShade="BF"/>
          </w:tcPr>
          <w:p w14:paraId="498729E3"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4" w:type="dxa"/>
            <w:gridSpan w:val="2"/>
            <w:shd w:val="clear" w:color="auto" w:fill="2E74B5" w:themeFill="accent5" w:themeFillShade="BF"/>
          </w:tcPr>
          <w:p w14:paraId="615EBBBC" w14:textId="77777777" w:rsidR="00835192" w:rsidRPr="00FF756A" w:rsidRDefault="00835192" w:rsidP="008639B2">
            <w:pPr>
              <w:numPr>
                <w:ilvl w:val="0"/>
                <w:numId w:val="116"/>
              </w:numPr>
              <w:spacing w:before="20" w:after="20" w:line="240" w:lineRule="auto"/>
              <w:contextualSpacing/>
              <w:rPr>
                <w:i/>
                <w:iCs/>
                <w:sz w:val="20"/>
                <w:szCs w:val="20"/>
              </w:rPr>
            </w:pPr>
            <w:r w:rsidRPr="00FF756A">
              <w:rPr>
                <w:i/>
                <w:iCs/>
                <w:sz w:val="20"/>
                <w:szCs w:val="20"/>
              </w:rPr>
              <w:t>Siguria energjetike</w:t>
            </w:r>
          </w:p>
        </w:tc>
      </w:tr>
      <w:tr w:rsidR="00835192" w:rsidRPr="00FF756A" w14:paraId="02912B30" w14:textId="77777777" w:rsidTr="004A3257">
        <w:trPr>
          <w:trHeight w:val="20"/>
        </w:trPr>
        <w:tc>
          <w:tcPr>
            <w:tcW w:w="4096" w:type="dxa"/>
            <w:gridSpan w:val="3"/>
            <w:shd w:val="clear" w:color="auto" w:fill="2E74B5" w:themeFill="accent5" w:themeFillShade="BF"/>
          </w:tcPr>
          <w:p w14:paraId="7AD6B428"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6" w:type="dxa"/>
            <w:gridSpan w:val="3"/>
            <w:shd w:val="clear" w:color="auto" w:fill="2E74B5" w:themeFill="accent5" w:themeFillShade="BF"/>
          </w:tcPr>
          <w:p w14:paraId="19CA57A6" w14:textId="77777777" w:rsidR="00835192" w:rsidRPr="00FF756A" w:rsidRDefault="00835192" w:rsidP="00835192">
            <w:pPr>
              <w:spacing w:before="20" w:after="20" w:line="240" w:lineRule="auto"/>
              <w:rPr>
                <w:i/>
                <w:iCs/>
                <w:sz w:val="20"/>
                <w:szCs w:val="20"/>
              </w:rPr>
            </w:pPr>
            <w:r w:rsidRPr="00FF756A">
              <w:rPr>
                <w:i/>
                <w:iCs/>
                <w:sz w:val="20"/>
                <w:szCs w:val="20"/>
              </w:rPr>
              <w:t>Sektori i naftës dhe gazit</w:t>
            </w:r>
          </w:p>
        </w:tc>
      </w:tr>
      <w:tr w:rsidR="00835192" w:rsidRPr="00FF756A" w14:paraId="1B539516" w14:textId="77777777" w:rsidTr="004A3257">
        <w:trPr>
          <w:trHeight w:val="20"/>
        </w:trPr>
        <w:tc>
          <w:tcPr>
            <w:tcW w:w="3492" w:type="dxa"/>
            <w:gridSpan w:val="2"/>
          </w:tcPr>
          <w:p w14:paraId="1632868A"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2B601528"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0" w:type="dxa"/>
            <w:gridSpan w:val="4"/>
          </w:tcPr>
          <w:p w14:paraId="201872C7" w14:textId="77777777" w:rsidR="00835192" w:rsidRPr="00FF756A" w:rsidRDefault="00835192" w:rsidP="00835192">
            <w:pPr>
              <w:spacing w:before="20" w:after="20" w:line="240" w:lineRule="auto"/>
              <w:rPr>
                <w:i/>
                <w:iCs/>
                <w:sz w:val="20"/>
                <w:szCs w:val="20"/>
              </w:rPr>
            </w:pPr>
            <w:r w:rsidRPr="00FF756A">
              <w:rPr>
                <w:i/>
                <w:iCs/>
                <w:sz w:val="20"/>
                <w:szCs w:val="20"/>
              </w:rPr>
              <w:t>WEM</w:t>
            </w:r>
          </w:p>
          <w:p w14:paraId="64F80E90" w14:textId="77777777" w:rsidR="00835192" w:rsidRPr="00FF756A" w:rsidRDefault="00835192" w:rsidP="00835192">
            <w:pPr>
              <w:spacing w:before="20" w:after="20" w:line="240" w:lineRule="auto"/>
              <w:rPr>
                <w:i/>
                <w:iCs/>
                <w:sz w:val="20"/>
                <w:szCs w:val="20"/>
              </w:rPr>
            </w:pPr>
            <w:r w:rsidRPr="00FF756A">
              <w:rPr>
                <w:i/>
                <w:iCs/>
                <w:sz w:val="20"/>
                <w:szCs w:val="20"/>
              </w:rPr>
              <w:t>Rregullator; Financiar</w:t>
            </w:r>
          </w:p>
        </w:tc>
      </w:tr>
      <w:tr w:rsidR="00835192" w:rsidRPr="00FF756A" w14:paraId="10C96BDC" w14:textId="77777777" w:rsidTr="004A3257">
        <w:trPr>
          <w:trHeight w:val="20"/>
        </w:trPr>
        <w:tc>
          <w:tcPr>
            <w:tcW w:w="2204" w:type="dxa"/>
          </w:tcPr>
          <w:p w14:paraId="708B409C"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293A95C9"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8" w:type="dxa"/>
            <w:gridSpan w:val="5"/>
          </w:tcPr>
          <w:p w14:paraId="47911643" w14:textId="77777777" w:rsidR="00835192" w:rsidRPr="00FF756A" w:rsidRDefault="00835192" w:rsidP="00835192">
            <w:pPr>
              <w:spacing w:before="20" w:after="20" w:line="240" w:lineRule="auto"/>
              <w:rPr>
                <w:i/>
                <w:iCs/>
                <w:sz w:val="20"/>
                <w:szCs w:val="20"/>
              </w:rPr>
            </w:pPr>
            <w:r w:rsidRPr="00FF756A">
              <w:rPr>
                <w:i/>
                <w:iCs/>
                <w:sz w:val="20"/>
                <w:szCs w:val="20"/>
              </w:rPr>
              <w:t>Kërkimi, prodhimi dhe përpunimi i hidrokarbureve</w:t>
            </w:r>
          </w:p>
          <w:p w14:paraId="240FE4CE" w14:textId="77777777" w:rsidR="00835192" w:rsidRPr="00FF756A" w:rsidRDefault="00835192" w:rsidP="00835192">
            <w:pPr>
              <w:spacing w:before="20" w:after="20" w:line="240" w:lineRule="auto"/>
              <w:rPr>
                <w:i/>
                <w:iCs/>
                <w:sz w:val="20"/>
                <w:szCs w:val="20"/>
              </w:rPr>
            </w:pPr>
            <w:r w:rsidRPr="00FF756A">
              <w:rPr>
                <w:i/>
                <w:iCs/>
                <w:sz w:val="20"/>
                <w:szCs w:val="20"/>
              </w:rPr>
              <w:t>(ES-O4)</w:t>
            </w:r>
          </w:p>
        </w:tc>
      </w:tr>
      <w:tr w:rsidR="00835192" w:rsidRPr="00FF756A" w14:paraId="0A09EA2C" w14:textId="77777777" w:rsidTr="004A3257">
        <w:trPr>
          <w:trHeight w:val="20"/>
        </w:trPr>
        <w:tc>
          <w:tcPr>
            <w:tcW w:w="2204" w:type="dxa"/>
          </w:tcPr>
          <w:p w14:paraId="1A3B932B"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8" w:type="dxa"/>
            <w:gridSpan w:val="5"/>
          </w:tcPr>
          <w:p w14:paraId="7A898D98" w14:textId="77777777" w:rsidR="00835192" w:rsidRPr="00FF756A" w:rsidRDefault="00835192" w:rsidP="00835192">
            <w:pPr>
              <w:spacing w:before="20" w:after="20" w:line="240" w:lineRule="auto"/>
              <w:rPr>
                <w:i/>
                <w:iCs/>
                <w:sz w:val="20"/>
                <w:szCs w:val="20"/>
              </w:rPr>
            </w:pPr>
            <w:r w:rsidRPr="00FF756A">
              <w:rPr>
                <w:i/>
                <w:iCs/>
                <w:sz w:val="20"/>
                <w:szCs w:val="20"/>
              </w:rPr>
              <w:t>2018 - në vazhdim</w:t>
            </w:r>
          </w:p>
        </w:tc>
      </w:tr>
      <w:tr w:rsidR="00835192" w:rsidRPr="00FF756A" w14:paraId="4ABB6545" w14:textId="77777777" w:rsidTr="004A3257">
        <w:trPr>
          <w:trHeight w:val="20"/>
        </w:trPr>
        <w:tc>
          <w:tcPr>
            <w:tcW w:w="2204" w:type="dxa"/>
          </w:tcPr>
          <w:p w14:paraId="39694777"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8" w:type="dxa"/>
            <w:gridSpan w:val="5"/>
          </w:tcPr>
          <w:p w14:paraId="16E783E3" w14:textId="77777777" w:rsidR="00835192" w:rsidRPr="00FF756A" w:rsidRDefault="00835192" w:rsidP="00835192">
            <w:pPr>
              <w:spacing w:before="20" w:after="20" w:line="240" w:lineRule="auto"/>
              <w:rPr>
                <w:i/>
                <w:iCs/>
                <w:sz w:val="20"/>
                <w:szCs w:val="20"/>
              </w:rPr>
            </w:pPr>
            <w:r w:rsidRPr="00FF756A">
              <w:rPr>
                <w:i/>
                <w:iCs/>
                <w:sz w:val="20"/>
                <w:szCs w:val="20"/>
              </w:rPr>
              <w:t>Ligji nr. 7746, datë 28.7.1993, “Për hidrokarburet”, i ndryshuar dhe ligji nr. 8450, datë 24.2.1999, “Për përpunimin, transportimin dhe tregtimin e naftës, të gazit dhe nënprodukteve të tyre”, i ndryshuar</w:t>
            </w:r>
          </w:p>
        </w:tc>
      </w:tr>
      <w:tr w:rsidR="00835192" w:rsidRPr="00FF756A" w14:paraId="54FA6ABB" w14:textId="77777777" w:rsidTr="004A3257">
        <w:trPr>
          <w:trHeight w:val="20"/>
        </w:trPr>
        <w:tc>
          <w:tcPr>
            <w:tcW w:w="2204" w:type="dxa"/>
          </w:tcPr>
          <w:p w14:paraId="1228DEB0"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8" w:type="dxa"/>
            <w:gridSpan w:val="5"/>
          </w:tcPr>
          <w:p w14:paraId="44F3B884" w14:textId="77777777" w:rsidR="00835192" w:rsidRPr="00FF756A" w:rsidRDefault="00835192" w:rsidP="00835192">
            <w:pPr>
              <w:spacing w:before="20" w:after="20" w:line="240" w:lineRule="auto"/>
              <w:rPr>
                <w:i/>
                <w:iCs/>
                <w:sz w:val="20"/>
                <w:szCs w:val="20"/>
              </w:rPr>
            </w:pPr>
            <w:r w:rsidRPr="00FF756A">
              <w:rPr>
                <w:i/>
                <w:iCs/>
                <w:sz w:val="20"/>
                <w:szCs w:val="20"/>
              </w:rPr>
              <w:t>Rishikimi i kuadrit ligjor që rregullon aktivitetin e kërkimit, prodhimit dhe përpunimit dhe transportit të substancave hidrokarbure</w:t>
            </w:r>
          </w:p>
        </w:tc>
      </w:tr>
      <w:tr w:rsidR="00835192" w:rsidRPr="00FF756A" w14:paraId="7D9E3BCE" w14:textId="77777777" w:rsidTr="004A3257">
        <w:trPr>
          <w:trHeight w:val="20"/>
        </w:trPr>
        <w:tc>
          <w:tcPr>
            <w:tcW w:w="2204" w:type="dxa"/>
          </w:tcPr>
          <w:p w14:paraId="25DD6C6A"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8" w:type="dxa"/>
            <w:gridSpan w:val="5"/>
          </w:tcPr>
          <w:p w14:paraId="3A94E83D" w14:textId="77777777" w:rsidR="00835192" w:rsidRPr="00FF756A" w:rsidRDefault="00835192" w:rsidP="00835192">
            <w:pPr>
              <w:spacing w:before="20" w:after="20" w:line="240" w:lineRule="auto"/>
              <w:rPr>
                <w:i/>
                <w:iCs/>
                <w:sz w:val="20"/>
                <w:szCs w:val="20"/>
              </w:rPr>
            </w:pPr>
            <w:r w:rsidRPr="00FF756A">
              <w:rPr>
                <w:i/>
                <w:iCs/>
                <w:sz w:val="20"/>
                <w:szCs w:val="20"/>
              </w:rPr>
              <w:t>Rehabilitimi i kërkimit dhe rafinerive</w:t>
            </w:r>
            <w:r w:rsidRPr="00FF756A">
              <w:rPr>
                <w:i/>
                <w:iCs/>
                <w:szCs w:val="20"/>
              </w:rPr>
              <w:t xml:space="preserve"> </w:t>
            </w:r>
            <w:r w:rsidRPr="00FF756A">
              <w:rPr>
                <w:i/>
                <w:iCs/>
                <w:sz w:val="20"/>
                <w:szCs w:val="20"/>
              </w:rPr>
              <w:t>sipas normave dhe standardeve evropiane, duke përfshirë miratimin e normave mjedisore për produktet dhe teknologjitë e tyre, në kapacitetet ekzistuese.</w:t>
            </w:r>
          </w:p>
        </w:tc>
      </w:tr>
      <w:tr w:rsidR="00835192" w:rsidRPr="00FF756A" w14:paraId="73CFDE71" w14:textId="77777777" w:rsidTr="004A3257">
        <w:trPr>
          <w:trHeight w:val="20"/>
        </w:trPr>
        <w:tc>
          <w:tcPr>
            <w:tcW w:w="2204" w:type="dxa"/>
          </w:tcPr>
          <w:p w14:paraId="3A695143"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8" w:type="dxa"/>
            <w:gridSpan w:val="5"/>
          </w:tcPr>
          <w:p w14:paraId="755F41E4"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Ngritja dhe parashikimi me ligj i një sistemi për kontrollin e cilësisë së lëndës djegëse. </w:t>
            </w:r>
          </w:p>
          <w:p w14:paraId="626FBDC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Garantimi i monitorimit të cilësisë së lëndës djegëse nëpërmjet programeve vjetore të monitorimit.</w:t>
            </w:r>
          </w:p>
        </w:tc>
      </w:tr>
      <w:tr w:rsidR="00835192" w:rsidRPr="00FF756A" w14:paraId="20BC21D4" w14:textId="77777777" w:rsidTr="004A3257">
        <w:trPr>
          <w:trHeight w:val="20"/>
        </w:trPr>
        <w:tc>
          <w:tcPr>
            <w:tcW w:w="2204" w:type="dxa"/>
          </w:tcPr>
          <w:p w14:paraId="089597E1"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8" w:type="dxa"/>
            <w:gridSpan w:val="4"/>
          </w:tcPr>
          <w:p w14:paraId="6DF04BE8"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Miratimi i kuadrit ligjor, normave rregullatore dhe kodeve teknike</w:t>
            </w:r>
          </w:p>
          <w:p w14:paraId="369CF3D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Kryerja e studimeve për rehabilitimin dhe modernizimin e kërkimit dhe rafinerive </w:t>
            </w:r>
          </w:p>
        </w:tc>
        <w:tc>
          <w:tcPr>
            <w:tcW w:w="850" w:type="dxa"/>
          </w:tcPr>
          <w:p w14:paraId="3E42B8E6" w14:textId="77777777" w:rsidR="00835192" w:rsidRPr="00FF756A" w:rsidRDefault="00835192" w:rsidP="00835192">
            <w:pPr>
              <w:spacing w:before="20" w:after="20" w:line="240" w:lineRule="auto"/>
              <w:rPr>
                <w:i/>
                <w:iCs/>
                <w:sz w:val="20"/>
                <w:szCs w:val="20"/>
              </w:rPr>
            </w:pPr>
            <w:r w:rsidRPr="00FF756A">
              <w:rPr>
                <w:i/>
                <w:iCs/>
                <w:sz w:val="20"/>
                <w:szCs w:val="20"/>
              </w:rPr>
              <w:t>brenda vitit 2026</w:t>
            </w:r>
          </w:p>
        </w:tc>
      </w:tr>
      <w:tr w:rsidR="00835192" w:rsidRPr="00FF756A" w14:paraId="07544E19" w14:textId="77777777" w:rsidTr="004A3257">
        <w:trPr>
          <w:trHeight w:val="20"/>
        </w:trPr>
        <w:tc>
          <w:tcPr>
            <w:tcW w:w="2204" w:type="dxa"/>
          </w:tcPr>
          <w:p w14:paraId="6C6A866C"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8" w:type="dxa"/>
            <w:gridSpan w:val="5"/>
          </w:tcPr>
          <w:p w14:paraId="4DB3D738" w14:textId="77777777" w:rsidR="00835192" w:rsidRPr="00FF756A" w:rsidRDefault="00835192" w:rsidP="00835192">
            <w:pPr>
              <w:spacing w:before="20" w:after="20" w:line="240" w:lineRule="auto"/>
              <w:rPr>
                <w:i/>
                <w:iCs/>
                <w:sz w:val="20"/>
                <w:szCs w:val="20"/>
              </w:rPr>
            </w:pPr>
            <w:r w:rsidRPr="00FF756A">
              <w:rPr>
                <w:i/>
                <w:iCs/>
                <w:sz w:val="20"/>
                <w:szCs w:val="20"/>
              </w:rPr>
              <w:t>Buxheti nuk është vlerësuar pasi kostot e investimit varen drejtpërdrejt nga situata reale e instalimeve, pajisjeve dhe nivelit të ndotjes së mjedisit; ato do të përcaktohen nga studimi i financuar nga një Program i Asistencës Teknike, i vlerësuar në 0,5 milionë euro.</w:t>
            </w:r>
          </w:p>
        </w:tc>
      </w:tr>
      <w:tr w:rsidR="00835192" w:rsidRPr="00FF756A" w14:paraId="49C45B5D" w14:textId="77777777" w:rsidTr="004A3257">
        <w:trPr>
          <w:trHeight w:val="20"/>
        </w:trPr>
        <w:tc>
          <w:tcPr>
            <w:tcW w:w="2204" w:type="dxa"/>
          </w:tcPr>
          <w:p w14:paraId="4844C4E3"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11420DF6"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8" w:type="dxa"/>
            <w:gridSpan w:val="5"/>
          </w:tcPr>
          <w:p w14:paraId="2E1E5383"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ALBPETROL</w:t>
            </w:r>
          </w:p>
          <w:p w14:paraId="5C768475"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ALBPETROL; Enti Rregullator i Energjisë)</w:t>
            </w:r>
          </w:p>
        </w:tc>
      </w:tr>
      <w:tr w:rsidR="00835192" w:rsidRPr="00FF756A" w14:paraId="51F8A8E7" w14:textId="77777777" w:rsidTr="004A3257">
        <w:trPr>
          <w:trHeight w:val="20"/>
        </w:trPr>
        <w:tc>
          <w:tcPr>
            <w:tcW w:w="2204" w:type="dxa"/>
          </w:tcPr>
          <w:p w14:paraId="0CF1D6FB"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8" w:type="dxa"/>
            <w:gridSpan w:val="5"/>
          </w:tcPr>
          <w:p w14:paraId="34D106A5" w14:textId="77777777" w:rsidR="00835192" w:rsidRPr="00FF756A" w:rsidRDefault="00835192" w:rsidP="00835192">
            <w:pPr>
              <w:spacing w:before="20" w:after="20" w:line="240" w:lineRule="auto"/>
              <w:rPr>
                <w:i/>
                <w:iCs/>
                <w:sz w:val="20"/>
                <w:szCs w:val="20"/>
              </w:rPr>
            </w:pPr>
            <w:r w:rsidRPr="00FF756A">
              <w:rPr>
                <w:i/>
                <w:iCs/>
                <w:sz w:val="20"/>
                <w:szCs w:val="20"/>
              </w:rPr>
              <w:t xml:space="preserve">Dekarbonizimi </w:t>
            </w:r>
          </w:p>
        </w:tc>
      </w:tr>
    </w:tbl>
    <w:p w14:paraId="4B749244"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1"/>
        <w:gridCol w:w="1286"/>
        <w:gridCol w:w="603"/>
        <w:gridCol w:w="431"/>
        <w:gridCol w:w="3691"/>
        <w:gridCol w:w="850"/>
      </w:tblGrid>
      <w:tr w:rsidR="00835192" w:rsidRPr="00FF756A" w14:paraId="66CAAC78" w14:textId="77777777" w:rsidTr="004A3257">
        <w:trPr>
          <w:trHeight w:val="20"/>
        </w:trPr>
        <w:tc>
          <w:tcPr>
            <w:tcW w:w="4527" w:type="dxa"/>
            <w:gridSpan w:val="4"/>
            <w:shd w:val="clear" w:color="auto" w:fill="2E74B5" w:themeFill="accent5" w:themeFillShade="BF"/>
          </w:tcPr>
          <w:p w14:paraId="521C0734"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5" w:type="dxa"/>
            <w:gridSpan w:val="2"/>
            <w:shd w:val="clear" w:color="auto" w:fill="2E74B5" w:themeFill="accent5" w:themeFillShade="BF"/>
          </w:tcPr>
          <w:p w14:paraId="184D4131" w14:textId="77777777" w:rsidR="00835192" w:rsidRPr="00FF756A" w:rsidRDefault="00835192" w:rsidP="008639B2">
            <w:pPr>
              <w:numPr>
                <w:ilvl w:val="0"/>
                <w:numId w:val="139"/>
              </w:numPr>
              <w:spacing w:before="20" w:after="20" w:line="240" w:lineRule="auto"/>
              <w:contextualSpacing/>
              <w:rPr>
                <w:i/>
                <w:iCs/>
                <w:sz w:val="20"/>
                <w:szCs w:val="20"/>
              </w:rPr>
            </w:pPr>
            <w:r w:rsidRPr="00FF756A">
              <w:rPr>
                <w:i/>
                <w:iCs/>
                <w:sz w:val="20"/>
                <w:szCs w:val="20"/>
              </w:rPr>
              <w:t>Siguria energjetike</w:t>
            </w:r>
          </w:p>
        </w:tc>
      </w:tr>
      <w:tr w:rsidR="00835192" w:rsidRPr="00FF756A" w14:paraId="6AD08857" w14:textId="77777777" w:rsidTr="004A3257">
        <w:trPr>
          <w:trHeight w:val="20"/>
        </w:trPr>
        <w:tc>
          <w:tcPr>
            <w:tcW w:w="4095" w:type="dxa"/>
            <w:gridSpan w:val="3"/>
            <w:shd w:val="clear" w:color="auto" w:fill="2E74B5" w:themeFill="accent5" w:themeFillShade="BF"/>
          </w:tcPr>
          <w:p w14:paraId="0847763A"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7" w:type="dxa"/>
            <w:gridSpan w:val="3"/>
            <w:shd w:val="clear" w:color="auto" w:fill="2E74B5" w:themeFill="accent5" w:themeFillShade="BF"/>
          </w:tcPr>
          <w:p w14:paraId="388F417F" w14:textId="77777777" w:rsidR="00835192" w:rsidRPr="00FF756A" w:rsidRDefault="00835192" w:rsidP="00835192">
            <w:pPr>
              <w:spacing w:before="20" w:after="20" w:line="240" w:lineRule="auto"/>
              <w:rPr>
                <w:i/>
                <w:iCs/>
                <w:sz w:val="20"/>
                <w:szCs w:val="20"/>
              </w:rPr>
            </w:pPr>
            <w:r w:rsidRPr="00FF756A">
              <w:rPr>
                <w:i/>
                <w:iCs/>
                <w:sz w:val="20"/>
                <w:szCs w:val="20"/>
              </w:rPr>
              <w:t>Sektori i naftës dhe gazit</w:t>
            </w:r>
          </w:p>
        </w:tc>
      </w:tr>
      <w:tr w:rsidR="00835192" w:rsidRPr="00FF756A" w14:paraId="02C815F6" w14:textId="77777777" w:rsidTr="004A3257">
        <w:trPr>
          <w:trHeight w:val="20"/>
        </w:trPr>
        <w:tc>
          <w:tcPr>
            <w:tcW w:w="3491" w:type="dxa"/>
            <w:gridSpan w:val="2"/>
          </w:tcPr>
          <w:p w14:paraId="5D0B5E53"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182E8593"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1" w:type="dxa"/>
            <w:gridSpan w:val="4"/>
          </w:tcPr>
          <w:p w14:paraId="4BC70FB3" w14:textId="77777777" w:rsidR="00835192" w:rsidRPr="00FF756A" w:rsidRDefault="00835192" w:rsidP="00835192">
            <w:pPr>
              <w:spacing w:before="20" w:after="20" w:line="240" w:lineRule="auto"/>
              <w:rPr>
                <w:i/>
                <w:iCs/>
                <w:sz w:val="20"/>
                <w:szCs w:val="20"/>
              </w:rPr>
            </w:pPr>
            <w:r w:rsidRPr="00FF756A">
              <w:rPr>
                <w:i/>
                <w:iCs/>
                <w:sz w:val="20"/>
                <w:szCs w:val="20"/>
              </w:rPr>
              <w:t>WEM</w:t>
            </w:r>
          </w:p>
          <w:p w14:paraId="2EB221D1" w14:textId="77777777" w:rsidR="00835192" w:rsidRPr="00FF756A" w:rsidRDefault="00835192" w:rsidP="00835192">
            <w:pPr>
              <w:spacing w:before="20" w:after="20" w:line="240" w:lineRule="auto"/>
              <w:rPr>
                <w:i/>
                <w:iCs/>
                <w:sz w:val="20"/>
                <w:szCs w:val="20"/>
              </w:rPr>
            </w:pPr>
            <w:r w:rsidRPr="00FF756A">
              <w:rPr>
                <w:i/>
                <w:iCs/>
                <w:sz w:val="20"/>
                <w:szCs w:val="20"/>
              </w:rPr>
              <w:t>Rregullator; Financiar</w:t>
            </w:r>
          </w:p>
        </w:tc>
      </w:tr>
      <w:tr w:rsidR="00835192" w:rsidRPr="00FF756A" w14:paraId="29FF0560" w14:textId="77777777" w:rsidTr="004A3257">
        <w:trPr>
          <w:trHeight w:val="20"/>
        </w:trPr>
        <w:tc>
          <w:tcPr>
            <w:tcW w:w="2203" w:type="dxa"/>
          </w:tcPr>
          <w:p w14:paraId="50FF3956"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6A477035"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9" w:type="dxa"/>
            <w:gridSpan w:val="5"/>
          </w:tcPr>
          <w:p w14:paraId="51A89B89" w14:textId="77777777" w:rsidR="00835192" w:rsidRPr="00FF756A" w:rsidRDefault="00835192" w:rsidP="00835192">
            <w:pPr>
              <w:spacing w:before="20" w:after="20" w:line="240" w:lineRule="auto"/>
              <w:rPr>
                <w:i/>
                <w:iCs/>
                <w:sz w:val="20"/>
                <w:szCs w:val="20"/>
              </w:rPr>
            </w:pPr>
            <w:r w:rsidRPr="00FF756A">
              <w:rPr>
                <w:i/>
                <w:iCs/>
                <w:sz w:val="20"/>
                <w:szCs w:val="20"/>
              </w:rPr>
              <w:t>Plani i emergjencës për gazin natyror</w:t>
            </w:r>
          </w:p>
          <w:p w14:paraId="4C63C164" w14:textId="77777777" w:rsidR="00835192" w:rsidRPr="00FF756A" w:rsidRDefault="00835192" w:rsidP="00835192">
            <w:pPr>
              <w:spacing w:before="20" w:after="20" w:line="240" w:lineRule="auto"/>
              <w:rPr>
                <w:i/>
                <w:iCs/>
                <w:sz w:val="20"/>
                <w:szCs w:val="20"/>
              </w:rPr>
            </w:pPr>
            <w:r w:rsidRPr="00FF756A">
              <w:rPr>
                <w:i/>
                <w:iCs/>
                <w:sz w:val="20"/>
                <w:szCs w:val="20"/>
              </w:rPr>
              <w:t>(ES-O5)</w:t>
            </w:r>
          </w:p>
        </w:tc>
      </w:tr>
      <w:tr w:rsidR="00835192" w:rsidRPr="00FF756A" w14:paraId="6802B4B6" w14:textId="77777777" w:rsidTr="004A3257">
        <w:trPr>
          <w:trHeight w:val="20"/>
        </w:trPr>
        <w:tc>
          <w:tcPr>
            <w:tcW w:w="2203" w:type="dxa"/>
          </w:tcPr>
          <w:p w14:paraId="377E0ADE"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9" w:type="dxa"/>
            <w:gridSpan w:val="5"/>
          </w:tcPr>
          <w:p w14:paraId="7973BC10" w14:textId="77777777" w:rsidR="00835192" w:rsidRPr="00FF756A" w:rsidRDefault="00835192" w:rsidP="00835192">
            <w:pPr>
              <w:spacing w:before="20" w:after="20" w:line="240" w:lineRule="auto"/>
              <w:rPr>
                <w:i/>
                <w:iCs/>
                <w:sz w:val="20"/>
                <w:szCs w:val="20"/>
              </w:rPr>
            </w:pPr>
            <w:r w:rsidRPr="00FF756A">
              <w:rPr>
                <w:i/>
                <w:iCs/>
                <w:sz w:val="20"/>
                <w:szCs w:val="20"/>
              </w:rPr>
              <w:t>2017 - vazhdim</w:t>
            </w:r>
          </w:p>
        </w:tc>
      </w:tr>
      <w:tr w:rsidR="00835192" w:rsidRPr="00FF756A" w14:paraId="479B86DE" w14:textId="77777777" w:rsidTr="004A3257">
        <w:trPr>
          <w:trHeight w:val="20"/>
        </w:trPr>
        <w:tc>
          <w:tcPr>
            <w:tcW w:w="2203" w:type="dxa"/>
          </w:tcPr>
          <w:p w14:paraId="4ADB908B"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9" w:type="dxa"/>
            <w:gridSpan w:val="5"/>
          </w:tcPr>
          <w:p w14:paraId="644509F2" w14:textId="77777777" w:rsidR="00835192" w:rsidRPr="00FF756A" w:rsidRDefault="00835192" w:rsidP="00835192">
            <w:pPr>
              <w:spacing w:before="20" w:after="20" w:line="240" w:lineRule="auto"/>
              <w:rPr>
                <w:i/>
                <w:iCs/>
                <w:sz w:val="20"/>
                <w:szCs w:val="20"/>
              </w:rPr>
            </w:pPr>
            <w:r w:rsidRPr="00FF756A">
              <w:rPr>
                <w:i/>
                <w:iCs/>
                <w:sz w:val="20"/>
                <w:szCs w:val="20"/>
              </w:rPr>
              <w:t>Ligji nr. 102/2015, datë 23.9.2015, “Për sektorin e gazit natyror”, i ndryshuar; VKM nr. 417, datë 10.5.2017, “Për miratimin e planit të emergjencës për gazin natyror, në përputhje me standardet minimale të sigurisë së furnizimit, si dhe rregullat për të garantuar furnizim të sigurt dhe të efektshëm me gaz natyror”</w:t>
            </w:r>
          </w:p>
        </w:tc>
      </w:tr>
      <w:tr w:rsidR="00835192" w:rsidRPr="00FF756A" w14:paraId="226193F6" w14:textId="77777777" w:rsidTr="004A3257">
        <w:trPr>
          <w:trHeight w:val="20"/>
        </w:trPr>
        <w:tc>
          <w:tcPr>
            <w:tcW w:w="2203" w:type="dxa"/>
          </w:tcPr>
          <w:p w14:paraId="3491D973"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9" w:type="dxa"/>
            <w:gridSpan w:val="5"/>
          </w:tcPr>
          <w:p w14:paraId="5A4FF2B5" w14:textId="77777777" w:rsidR="00835192" w:rsidRPr="00FF756A" w:rsidRDefault="00835192" w:rsidP="00835192">
            <w:pPr>
              <w:spacing w:before="20" w:after="20" w:line="240" w:lineRule="auto"/>
              <w:rPr>
                <w:i/>
                <w:iCs/>
                <w:sz w:val="20"/>
                <w:szCs w:val="20"/>
              </w:rPr>
            </w:pPr>
            <w:r w:rsidRPr="00FF756A">
              <w:rPr>
                <w:i/>
                <w:iCs/>
                <w:sz w:val="20"/>
                <w:szCs w:val="20"/>
              </w:rPr>
              <w:t>Ndarja dhe certifikimi i Albgaz në bazë të modelit të pronësisë.</w:t>
            </w:r>
          </w:p>
          <w:p w14:paraId="481EF31A" w14:textId="77777777" w:rsidR="00835192" w:rsidRPr="00FF756A" w:rsidRDefault="00835192" w:rsidP="00835192">
            <w:pPr>
              <w:spacing w:before="20" w:after="20" w:line="240" w:lineRule="auto"/>
              <w:rPr>
                <w:i/>
                <w:iCs/>
                <w:sz w:val="20"/>
                <w:szCs w:val="20"/>
              </w:rPr>
            </w:pPr>
            <w:r w:rsidRPr="00FF756A">
              <w:rPr>
                <w:i/>
                <w:iCs/>
                <w:sz w:val="20"/>
                <w:szCs w:val="20"/>
              </w:rPr>
              <w:t xml:space="preserve">Kodi i rrjetit i Albgaz për sistemin e tij të ardhshëm të transmetimit dhe miratimi i kodit të rrjetit të TAP, ky i fundit në përputhje me vendimin e përjashtimit nga ERE dhe autoritetet kombëtare italiane dhe greke. </w:t>
            </w:r>
          </w:p>
          <w:p w14:paraId="6661151E" w14:textId="77777777" w:rsidR="00835192" w:rsidRPr="00FF756A" w:rsidRDefault="00835192" w:rsidP="00835192">
            <w:pPr>
              <w:spacing w:before="20" w:after="20" w:line="240" w:lineRule="auto"/>
              <w:rPr>
                <w:i/>
                <w:iCs/>
                <w:sz w:val="20"/>
                <w:szCs w:val="20"/>
              </w:rPr>
            </w:pPr>
            <w:r w:rsidRPr="00FF756A">
              <w:rPr>
                <w:i/>
                <w:iCs/>
                <w:sz w:val="20"/>
                <w:szCs w:val="20"/>
              </w:rPr>
              <w:t>Transpozimi i kodeve të rrjetit të gazit në Shqipëri nga autoriteti rregullator ERE.</w:t>
            </w:r>
          </w:p>
          <w:p w14:paraId="35741696" w14:textId="5E418873" w:rsidR="00835192" w:rsidRPr="00FF756A" w:rsidRDefault="00835192" w:rsidP="00835192">
            <w:pPr>
              <w:spacing w:before="20" w:after="20" w:line="240" w:lineRule="auto"/>
              <w:rPr>
                <w:i/>
                <w:iCs/>
                <w:sz w:val="20"/>
                <w:szCs w:val="20"/>
              </w:rPr>
            </w:pPr>
            <w:r w:rsidRPr="00FF756A">
              <w:rPr>
                <w:i/>
                <w:iCs/>
                <w:sz w:val="20"/>
                <w:szCs w:val="20"/>
              </w:rPr>
              <w:t xml:space="preserve">Shqipëria ka dy terminale </w:t>
            </w:r>
            <w:r w:rsidR="001555D2" w:rsidRPr="00FF756A">
              <w:rPr>
                <w:i/>
                <w:iCs/>
                <w:sz w:val="20"/>
                <w:szCs w:val="20"/>
              </w:rPr>
              <w:t>portuale</w:t>
            </w:r>
            <w:r w:rsidRPr="00FF756A">
              <w:rPr>
                <w:i/>
                <w:iCs/>
                <w:sz w:val="20"/>
                <w:szCs w:val="20"/>
              </w:rPr>
              <w:t xml:space="preserve"> të naftës dhe të gazit: Porto Romano në Durrës dhe Petrolifera në Vlorë.</w:t>
            </w:r>
          </w:p>
          <w:p w14:paraId="4193478B" w14:textId="77777777" w:rsidR="00835192" w:rsidRPr="00FF756A" w:rsidRDefault="00835192" w:rsidP="00835192">
            <w:pPr>
              <w:spacing w:before="20" w:after="20" w:line="240" w:lineRule="auto"/>
              <w:rPr>
                <w:i/>
                <w:iCs/>
                <w:sz w:val="20"/>
                <w:szCs w:val="20"/>
              </w:rPr>
            </w:pPr>
            <w:r w:rsidRPr="00FF756A">
              <w:rPr>
                <w:i/>
                <w:iCs/>
                <w:sz w:val="20"/>
                <w:szCs w:val="20"/>
              </w:rPr>
              <w:t>Projekti “Depozita nëntokësore e gazit në Dumre (UGS Dumrea)” mundëson uljen e kostos së përgjithshme të furnizimit me gaz për konsumatorët fundorë përmes ofrimit të shërbimeve shtesë për tregjet e gazit si fleksibiliteti i ofertës dhe kërkesës dhe krijimi i mundësive të lidhura me tregtimin. Depozitimi i gazit gjithashtu mund të rrisë sigurinë e furnizimit.</w:t>
            </w:r>
          </w:p>
          <w:p w14:paraId="4A2C6B2C" w14:textId="77777777" w:rsidR="00835192" w:rsidRPr="00FF756A" w:rsidRDefault="00835192" w:rsidP="00835192">
            <w:pPr>
              <w:spacing w:before="20" w:after="20" w:line="240" w:lineRule="auto"/>
              <w:rPr>
                <w:i/>
                <w:iCs/>
                <w:sz w:val="20"/>
                <w:szCs w:val="20"/>
              </w:rPr>
            </w:pPr>
            <w:r w:rsidRPr="00FF756A">
              <w:rPr>
                <w:i/>
                <w:iCs/>
                <w:sz w:val="20"/>
                <w:szCs w:val="20"/>
              </w:rPr>
              <w:t xml:space="preserve">Futja e GNL-së në çdo formë në zonën e Vlorës dhe ndërtimi i gazsjellësit Fier - Vlorë do të shërbejë për zhvillimin e sektorit të gazit në Shqipëri. Kjo do të rrisë fizibilitetin e sistemit të transmetimit dhe shpërndarjes së gazit duke përdorur lidhjen dydrejtimëshe të pikës së daljes së TAP. </w:t>
            </w:r>
          </w:p>
          <w:p w14:paraId="2518625C" w14:textId="77777777" w:rsidR="00835192" w:rsidRPr="00FF756A" w:rsidRDefault="00835192" w:rsidP="00835192">
            <w:pPr>
              <w:spacing w:before="20" w:after="20" w:line="240" w:lineRule="auto"/>
              <w:rPr>
                <w:i/>
                <w:iCs/>
                <w:sz w:val="20"/>
                <w:szCs w:val="20"/>
              </w:rPr>
            </w:pPr>
            <w:r w:rsidRPr="00FF756A">
              <w:rPr>
                <w:i/>
                <w:iCs/>
                <w:sz w:val="20"/>
                <w:szCs w:val="20"/>
              </w:rPr>
              <w:t>Për gazifikimin e Shqipërisë u nënshkrua Memorandumi i Mirëkuptimit për bashkëpunim midis Ministrisë së Infrastrukturës dhe Energjisë dhe shoqërive amerikane Exxon Mobil dhe Excelerate Energy më 12.03.2021. Ky Memorandum Mirëkuptimi lidhet me vlerësimin e kuadrit rregullator teknik dhe tregtar për futjen e gazit natyror të lëngshëm (GNL) në Shqipëri. Ai përfshin zinxhirin e plotë të përdorimit të GNL në Shqipëri.</w:t>
            </w:r>
          </w:p>
          <w:p w14:paraId="33822210" w14:textId="77777777" w:rsidR="00835192" w:rsidRPr="00FF756A" w:rsidRDefault="00835192" w:rsidP="00835192">
            <w:pPr>
              <w:spacing w:before="20" w:after="20" w:line="240" w:lineRule="auto"/>
              <w:rPr>
                <w:i/>
                <w:iCs/>
                <w:sz w:val="20"/>
                <w:szCs w:val="20"/>
              </w:rPr>
            </w:pPr>
            <w:r w:rsidRPr="00FF756A">
              <w:rPr>
                <w:i/>
                <w:iCs/>
                <w:sz w:val="20"/>
                <w:szCs w:val="20"/>
              </w:rPr>
              <w:t>Shoqëria shqiptare e gazit, Albgaz, shoqëria amerikane Excelerate Energy L.P. (Excelerate) dhe shoqëria italiane Snam S.p.A (Snam) nënshkruan në Tiranë Memorandumin e Mirëkuptimit për mundësitë e bashkëpunimit për ndërtimin e një gazsjellësi nga Terminali i Vlorës në infrastrukturat e tjera të mundshme të gazit natyror në Shqipëri.</w:t>
            </w:r>
          </w:p>
        </w:tc>
      </w:tr>
      <w:tr w:rsidR="00835192" w:rsidRPr="00FF756A" w14:paraId="401CE474" w14:textId="77777777" w:rsidTr="004A3257">
        <w:trPr>
          <w:trHeight w:val="20"/>
        </w:trPr>
        <w:tc>
          <w:tcPr>
            <w:tcW w:w="2203" w:type="dxa"/>
          </w:tcPr>
          <w:p w14:paraId="1475F72C"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9" w:type="dxa"/>
            <w:gridSpan w:val="5"/>
          </w:tcPr>
          <w:p w14:paraId="0C980C4F" w14:textId="77777777" w:rsidR="00835192" w:rsidRPr="00FF756A" w:rsidRDefault="00835192" w:rsidP="00835192">
            <w:pPr>
              <w:spacing w:before="20" w:after="20" w:line="240" w:lineRule="auto"/>
              <w:rPr>
                <w:i/>
                <w:iCs/>
                <w:sz w:val="20"/>
                <w:szCs w:val="20"/>
              </w:rPr>
            </w:pPr>
            <w:r w:rsidRPr="00FF756A">
              <w:rPr>
                <w:i/>
                <w:iCs/>
                <w:sz w:val="20"/>
                <w:szCs w:val="20"/>
              </w:rPr>
              <w:t>Përcaktimi i standardeve në lidhje me kërkesat minimale të përshtatshme për sigurinë e furnizimit me gaz natyror në Republikën e Shqipërisë, i kritereve të detyrueshme për garantimin e furnizimit të sigurt dhe efiçent me gaz natyror, si dhe i detyrave dhe përgjegjësive të institucioneve për menaxhimin e situatave të emergjencës në furnizimin e konsumatorëve me gaz.</w:t>
            </w:r>
          </w:p>
        </w:tc>
      </w:tr>
      <w:tr w:rsidR="00835192" w:rsidRPr="00FF756A" w14:paraId="76D511B6" w14:textId="77777777" w:rsidTr="004A3257">
        <w:trPr>
          <w:trHeight w:val="20"/>
        </w:trPr>
        <w:tc>
          <w:tcPr>
            <w:tcW w:w="2203" w:type="dxa"/>
          </w:tcPr>
          <w:p w14:paraId="2F7500FF"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9" w:type="dxa"/>
            <w:gridSpan w:val="5"/>
          </w:tcPr>
          <w:p w14:paraId="36B3FBB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Përcaktimi i standardeve lidhur me kërkesat minimale për sigurinë e furnizimit.</w:t>
            </w:r>
          </w:p>
          <w:p w14:paraId="31CCADD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Instrumente dhe masa që garantojnë sigurimin në një masë të përshtatshme dhe të përcaktuar qartë të furnizimit me gaz për klientët e mbrojtur, duke përmbushur standardet e sigurisë së furnizimit;</w:t>
            </w:r>
          </w:p>
          <w:p w14:paraId="1434FAF4"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Instrumente dhe masa për parashikimin dhe vlerësimin e rreziqeve të mundshme, që caktojnë qartë veprimet për parandalimin e këtyre rreziqeve dhe lehtësimin e dëmeve të mundshme të lidhura me to;</w:t>
            </w:r>
          </w:p>
          <w:p w14:paraId="4F8C15D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Një program për zvogëlimin ose ndërprerjen e furnizimit me gaz natyror për kategori të veçanta klientësh në rast të një situate krize në sektorin e gazit natyror;</w:t>
            </w:r>
          </w:p>
          <w:p w14:paraId="4C2DCF16"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Përcaktimi i rolit dhe përgjegjësive të sipërmarrësve të gazit dhe konsumatorëve jofamiljarë, duke marrë në konsideratë masat e ndryshme të ndikimit në rast të një situate krize në sektorin e gazit natyror;</w:t>
            </w:r>
          </w:p>
          <w:p w14:paraId="146E68D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Kritere në lidhje me impiantet e depozitimit, me qëllim përmbushjen e standardeve të sigurisë së furnizimit, si dhe kontribute të mundshme për impiantet e depozitimit të vendosura ose në Republikën e Shqipërisë ose në një palë tjetër kontraktuese në Komunitetin e Energjisë, apo vend anëtar të Bashkimit Evropian;</w:t>
            </w:r>
          </w:p>
          <w:p w14:paraId="6AB9D95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Masa dhe veprime të tjera me rëndësi, që do të ndërmerren për eliminimin apo lehtësimin e ndikimit nga një ndërprerje e furnizimit me gaz natyror, duke marrë në konsideratë nivele të ndryshme të krizës.</w:t>
            </w:r>
          </w:p>
        </w:tc>
      </w:tr>
      <w:tr w:rsidR="00835192" w:rsidRPr="00FF756A" w14:paraId="7A5B21DA" w14:textId="77777777" w:rsidTr="004A3257">
        <w:trPr>
          <w:trHeight w:val="20"/>
        </w:trPr>
        <w:tc>
          <w:tcPr>
            <w:tcW w:w="2203" w:type="dxa"/>
          </w:tcPr>
          <w:p w14:paraId="67156B26"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9" w:type="dxa"/>
            <w:gridSpan w:val="4"/>
          </w:tcPr>
          <w:p w14:paraId="3BBC90B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Miratimi i kuadrit ligjor, normave rregullatore dhe kodeve teknike</w:t>
            </w:r>
          </w:p>
          <w:p w14:paraId="4C084BEA" w14:textId="131C9632"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Ndërlidhja </w:t>
            </w:r>
            <w:r w:rsidR="00522A8B" w:rsidRPr="00FF756A">
              <w:rPr>
                <w:i/>
                <w:iCs/>
                <w:sz w:val="20"/>
                <w:szCs w:val="20"/>
              </w:rPr>
              <w:t>me</w:t>
            </w:r>
            <w:r w:rsidRPr="00FF756A">
              <w:rPr>
                <w:i/>
                <w:iCs/>
                <w:sz w:val="20"/>
                <w:szCs w:val="20"/>
              </w:rPr>
              <w:t xml:space="preserve"> gazsjellësit rajonalë dhe ndërkombëtarë</w:t>
            </w:r>
          </w:p>
          <w:p w14:paraId="755539E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Financimi i projekteve për depozitimin e gazit</w:t>
            </w:r>
          </w:p>
        </w:tc>
        <w:tc>
          <w:tcPr>
            <w:tcW w:w="850" w:type="dxa"/>
          </w:tcPr>
          <w:p w14:paraId="619A5FD4"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2035</w:t>
            </w:r>
          </w:p>
        </w:tc>
      </w:tr>
      <w:tr w:rsidR="00835192" w:rsidRPr="00FF756A" w14:paraId="17EEBC9F" w14:textId="77777777" w:rsidTr="004A3257">
        <w:trPr>
          <w:trHeight w:val="20"/>
        </w:trPr>
        <w:tc>
          <w:tcPr>
            <w:tcW w:w="2203" w:type="dxa"/>
          </w:tcPr>
          <w:p w14:paraId="152EA03C"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9" w:type="dxa"/>
            <w:gridSpan w:val="5"/>
          </w:tcPr>
          <w:p w14:paraId="38C5D0F9" w14:textId="77777777" w:rsidR="00835192" w:rsidRPr="00FF756A" w:rsidRDefault="00835192" w:rsidP="00835192">
            <w:pPr>
              <w:spacing w:before="20" w:after="20" w:line="240" w:lineRule="auto"/>
              <w:rPr>
                <w:i/>
                <w:iCs/>
                <w:sz w:val="20"/>
                <w:szCs w:val="20"/>
              </w:rPr>
            </w:pPr>
            <w:r w:rsidRPr="00FF756A">
              <w:rPr>
                <w:i/>
                <w:iCs/>
                <w:sz w:val="20"/>
                <w:szCs w:val="20"/>
              </w:rPr>
              <w:t>Nuk është bërë asnjë vlerësim i buxhetit</w:t>
            </w:r>
          </w:p>
        </w:tc>
      </w:tr>
      <w:tr w:rsidR="00835192" w:rsidRPr="00FF756A" w14:paraId="06385778" w14:textId="77777777" w:rsidTr="004A3257">
        <w:trPr>
          <w:trHeight w:val="20"/>
        </w:trPr>
        <w:tc>
          <w:tcPr>
            <w:tcW w:w="2203" w:type="dxa"/>
          </w:tcPr>
          <w:p w14:paraId="3CC6E346"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3509C128"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9" w:type="dxa"/>
            <w:gridSpan w:val="5"/>
          </w:tcPr>
          <w:p w14:paraId="5243F55F"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ALBGAZ, Enti Rregullator i Energjisë</w:t>
            </w:r>
          </w:p>
          <w:p w14:paraId="14290F30"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Enti Rregullator i Energjisë)</w:t>
            </w:r>
          </w:p>
        </w:tc>
      </w:tr>
      <w:tr w:rsidR="00835192" w:rsidRPr="00FF756A" w14:paraId="5409E1F4" w14:textId="77777777" w:rsidTr="004A3257">
        <w:trPr>
          <w:trHeight w:val="20"/>
        </w:trPr>
        <w:tc>
          <w:tcPr>
            <w:tcW w:w="2203" w:type="dxa"/>
          </w:tcPr>
          <w:p w14:paraId="3A803E75"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9" w:type="dxa"/>
            <w:gridSpan w:val="5"/>
          </w:tcPr>
          <w:p w14:paraId="64E8DA41" w14:textId="77777777" w:rsidR="00835192" w:rsidRPr="00FF756A" w:rsidRDefault="00835192" w:rsidP="00835192">
            <w:pPr>
              <w:spacing w:before="20" w:after="20" w:line="240" w:lineRule="auto"/>
              <w:rPr>
                <w:i/>
                <w:iCs/>
                <w:sz w:val="20"/>
                <w:szCs w:val="20"/>
              </w:rPr>
            </w:pPr>
            <w:r w:rsidRPr="00FF756A">
              <w:rPr>
                <w:i/>
                <w:iCs/>
                <w:sz w:val="20"/>
                <w:szCs w:val="20"/>
              </w:rPr>
              <w:t>Tregu i brendshëm i energjisë elektrike</w:t>
            </w:r>
          </w:p>
        </w:tc>
      </w:tr>
    </w:tbl>
    <w:p w14:paraId="1A2E2E87" w14:textId="77777777" w:rsidR="00835192" w:rsidRPr="00FF756A" w:rsidRDefault="00835192" w:rsidP="00835192"/>
    <w:p w14:paraId="78BB9F32" w14:textId="77777777" w:rsidR="00835192" w:rsidRPr="00FF756A" w:rsidRDefault="00835192" w:rsidP="00835192">
      <w:pPr>
        <w:spacing w:before="0" w:after="0" w:line="240" w:lineRule="auto"/>
        <w:jc w:val="left"/>
      </w:pPr>
      <w:r w:rsidRPr="00FF756A">
        <w:br w:type="page"/>
      </w:r>
    </w:p>
    <w:p w14:paraId="50D73D2B"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6"/>
        <w:gridCol w:w="1286"/>
        <w:gridCol w:w="603"/>
        <w:gridCol w:w="430"/>
        <w:gridCol w:w="3687"/>
        <w:gridCol w:w="850"/>
      </w:tblGrid>
      <w:tr w:rsidR="00835192" w:rsidRPr="00FF756A" w14:paraId="1381D120" w14:textId="77777777" w:rsidTr="004A3257">
        <w:trPr>
          <w:trHeight w:val="20"/>
        </w:trPr>
        <w:tc>
          <w:tcPr>
            <w:tcW w:w="4530" w:type="dxa"/>
            <w:gridSpan w:val="4"/>
            <w:shd w:val="clear" w:color="auto" w:fill="2E74B5" w:themeFill="accent5" w:themeFillShade="BF"/>
          </w:tcPr>
          <w:p w14:paraId="6C528C23"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2" w:type="dxa"/>
            <w:gridSpan w:val="2"/>
            <w:shd w:val="clear" w:color="auto" w:fill="2E74B5" w:themeFill="accent5" w:themeFillShade="BF"/>
          </w:tcPr>
          <w:p w14:paraId="35D6FBAC" w14:textId="77777777" w:rsidR="00835192" w:rsidRPr="00FF756A" w:rsidRDefault="00835192" w:rsidP="008639B2">
            <w:pPr>
              <w:numPr>
                <w:ilvl w:val="0"/>
                <w:numId w:val="117"/>
              </w:numPr>
              <w:spacing w:before="20" w:after="20" w:line="240" w:lineRule="auto"/>
              <w:contextualSpacing/>
              <w:rPr>
                <w:i/>
                <w:iCs/>
                <w:sz w:val="20"/>
                <w:szCs w:val="20"/>
              </w:rPr>
            </w:pPr>
            <w:r w:rsidRPr="00FF756A">
              <w:rPr>
                <w:i/>
                <w:iCs/>
                <w:sz w:val="20"/>
                <w:szCs w:val="20"/>
              </w:rPr>
              <w:t>Siguria energjetike</w:t>
            </w:r>
          </w:p>
        </w:tc>
      </w:tr>
      <w:tr w:rsidR="00835192" w:rsidRPr="00FF756A" w14:paraId="363FA52A" w14:textId="77777777" w:rsidTr="004A3257">
        <w:trPr>
          <w:trHeight w:val="20"/>
        </w:trPr>
        <w:tc>
          <w:tcPr>
            <w:tcW w:w="4099" w:type="dxa"/>
            <w:gridSpan w:val="3"/>
            <w:shd w:val="clear" w:color="auto" w:fill="2E74B5" w:themeFill="accent5" w:themeFillShade="BF"/>
          </w:tcPr>
          <w:p w14:paraId="764071B8"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3" w:type="dxa"/>
            <w:gridSpan w:val="3"/>
            <w:shd w:val="clear" w:color="auto" w:fill="2E74B5" w:themeFill="accent5" w:themeFillShade="BF"/>
          </w:tcPr>
          <w:p w14:paraId="2157896B" w14:textId="77777777" w:rsidR="00835192" w:rsidRPr="00FF756A" w:rsidRDefault="00835192" w:rsidP="00835192">
            <w:pPr>
              <w:spacing w:before="20" w:after="20" w:line="240" w:lineRule="auto"/>
              <w:rPr>
                <w:i/>
                <w:iCs/>
                <w:sz w:val="20"/>
                <w:szCs w:val="20"/>
              </w:rPr>
            </w:pPr>
            <w:r w:rsidRPr="00FF756A">
              <w:rPr>
                <w:i/>
                <w:iCs/>
                <w:sz w:val="20"/>
                <w:szCs w:val="20"/>
              </w:rPr>
              <w:t>Sektori i naftës dhe gazit</w:t>
            </w:r>
          </w:p>
        </w:tc>
      </w:tr>
      <w:tr w:rsidR="00835192" w:rsidRPr="00FF756A" w14:paraId="6B98BD7E" w14:textId="77777777" w:rsidTr="004A3257">
        <w:trPr>
          <w:trHeight w:val="20"/>
        </w:trPr>
        <w:tc>
          <w:tcPr>
            <w:tcW w:w="3495" w:type="dxa"/>
            <w:gridSpan w:val="2"/>
          </w:tcPr>
          <w:p w14:paraId="42B00730"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7610887D"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77" w:type="dxa"/>
            <w:gridSpan w:val="4"/>
          </w:tcPr>
          <w:p w14:paraId="73510B42" w14:textId="77777777" w:rsidR="00835192" w:rsidRPr="00FF756A" w:rsidRDefault="00835192" w:rsidP="00835192">
            <w:pPr>
              <w:spacing w:before="20" w:after="20" w:line="240" w:lineRule="auto"/>
              <w:rPr>
                <w:i/>
                <w:iCs/>
                <w:sz w:val="20"/>
                <w:szCs w:val="20"/>
              </w:rPr>
            </w:pPr>
            <w:r w:rsidRPr="00FF756A">
              <w:rPr>
                <w:i/>
                <w:iCs/>
                <w:sz w:val="20"/>
                <w:szCs w:val="20"/>
              </w:rPr>
              <w:t>WEM</w:t>
            </w:r>
          </w:p>
          <w:p w14:paraId="0729D9E4" w14:textId="77777777" w:rsidR="00835192" w:rsidRPr="00FF756A" w:rsidRDefault="00835192" w:rsidP="00835192">
            <w:pPr>
              <w:spacing w:before="20" w:after="20" w:line="240" w:lineRule="auto"/>
              <w:rPr>
                <w:i/>
                <w:iCs/>
                <w:sz w:val="20"/>
                <w:szCs w:val="20"/>
              </w:rPr>
            </w:pPr>
            <w:r w:rsidRPr="00FF756A">
              <w:rPr>
                <w:i/>
                <w:iCs/>
                <w:sz w:val="20"/>
                <w:szCs w:val="20"/>
              </w:rPr>
              <w:t>Rregullator; Financiar</w:t>
            </w:r>
          </w:p>
        </w:tc>
      </w:tr>
      <w:tr w:rsidR="00835192" w:rsidRPr="00FF756A" w14:paraId="475D27B7" w14:textId="77777777" w:rsidTr="004A3257">
        <w:trPr>
          <w:trHeight w:val="20"/>
        </w:trPr>
        <w:tc>
          <w:tcPr>
            <w:tcW w:w="2207" w:type="dxa"/>
          </w:tcPr>
          <w:p w14:paraId="5DAA776B"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6FB42C65"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5" w:type="dxa"/>
            <w:gridSpan w:val="5"/>
          </w:tcPr>
          <w:p w14:paraId="6E180770" w14:textId="77777777" w:rsidR="00835192" w:rsidRPr="00FF756A" w:rsidRDefault="00835192" w:rsidP="00835192">
            <w:pPr>
              <w:spacing w:before="20" w:after="20" w:line="240" w:lineRule="auto"/>
              <w:rPr>
                <w:i/>
                <w:iCs/>
                <w:sz w:val="20"/>
                <w:szCs w:val="20"/>
              </w:rPr>
            </w:pPr>
            <w:r w:rsidRPr="00FF756A">
              <w:rPr>
                <w:i/>
                <w:iCs/>
                <w:sz w:val="20"/>
                <w:szCs w:val="20"/>
              </w:rPr>
              <w:t>Miratimi i ligjit “Për krijimin, mbajtjen dhe menaxhimin e rezervave minimale të sigurisë të naftës bruto dhe nënprodukteve të saj”</w:t>
            </w:r>
          </w:p>
          <w:p w14:paraId="2AE2517E" w14:textId="77777777" w:rsidR="00835192" w:rsidRPr="00FF756A" w:rsidRDefault="00835192" w:rsidP="00835192">
            <w:pPr>
              <w:spacing w:before="20" w:after="20" w:line="240" w:lineRule="auto"/>
              <w:rPr>
                <w:i/>
                <w:iCs/>
                <w:sz w:val="20"/>
                <w:szCs w:val="20"/>
              </w:rPr>
            </w:pPr>
            <w:r w:rsidRPr="00FF756A">
              <w:rPr>
                <w:i/>
                <w:iCs/>
                <w:sz w:val="20"/>
                <w:szCs w:val="20"/>
              </w:rPr>
              <w:t>(ES-O6)</w:t>
            </w:r>
          </w:p>
        </w:tc>
      </w:tr>
      <w:tr w:rsidR="00835192" w:rsidRPr="00FF756A" w14:paraId="308CEC3C" w14:textId="77777777" w:rsidTr="004A3257">
        <w:trPr>
          <w:trHeight w:val="20"/>
        </w:trPr>
        <w:tc>
          <w:tcPr>
            <w:tcW w:w="2207" w:type="dxa"/>
          </w:tcPr>
          <w:p w14:paraId="5BC96242"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5" w:type="dxa"/>
            <w:gridSpan w:val="5"/>
          </w:tcPr>
          <w:p w14:paraId="57CB6274" w14:textId="77777777" w:rsidR="00835192" w:rsidRPr="00FF756A" w:rsidRDefault="00835192" w:rsidP="00835192">
            <w:pPr>
              <w:spacing w:before="20" w:after="20" w:line="240" w:lineRule="auto"/>
              <w:rPr>
                <w:i/>
                <w:iCs/>
                <w:sz w:val="20"/>
                <w:szCs w:val="20"/>
              </w:rPr>
            </w:pPr>
            <w:r w:rsidRPr="00FF756A">
              <w:rPr>
                <w:i/>
                <w:iCs/>
                <w:sz w:val="20"/>
                <w:szCs w:val="20"/>
              </w:rPr>
              <w:t>2010 - vazhdim</w:t>
            </w:r>
          </w:p>
        </w:tc>
      </w:tr>
      <w:tr w:rsidR="00835192" w:rsidRPr="00FF756A" w14:paraId="45838DB9" w14:textId="77777777" w:rsidTr="004A3257">
        <w:trPr>
          <w:trHeight w:val="20"/>
        </w:trPr>
        <w:tc>
          <w:tcPr>
            <w:tcW w:w="2207" w:type="dxa"/>
          </w:tcPr>
          <w:p w14:paraId="294F8973"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5" w:type="dxa"/>
            <w:gridSpan w:val="5"/>
          </w:tcPr>
          <w:p w14:paraId="6B58B779" w14:textId="77777777" w:rsidR="00835192" w:rsidRPr="00FF756A" w:rsidRDefault="00835192" w:rsidP="00835192">
            <w:pPr>
              <w:spacing w:before="20" w:after="20" w:line="240" w:lineRule="auto"/>
              <w:rPr>
                <w:i/>
                <w:iCs/>
                <w:sz w:val="20"/>
                <w:szCs w:val="20"/>
              </w:rPr>
            </w:pPr>
            <w:r w:rsidRPr="00FF756A">
              <w:rPr>
                <w:i/>
                <w:iCs/>
                <w:sz w:val="20"/>
                <w:szCs w:val="20"/>
              </w:rPr>
              <w:t>Projektligji i ri “Për krijimin, mbajtjen dhe menaxhimin e rezervave minimale të sigurisë të naftës bruto dhe nënprodukteve të saj”, i cili transpozon Direktivën e Këshillit 2009/119 në legjislacionin shqiptar</w:t>
            </w:r>
          </w:p>
        </w:tc>
      </w:tr>
      <w:tr w:rsidR="00835192" w:rsidRPr="00FF756A" w14:paraId="40303586" w14:textId="77777777" w:rsidTr="004A3257">
        <w:trPr>
          <w:trHeight w:val="20"/>
        </w:trPr>
        <w:tc>
          <w:tcPr>
            <w:tcW w:w="2207" w:type="dxa"/>
          </w:tcPr>
          <w:p w14:paraId="62E0DA48"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5" w:type="dxa"/>
            <w:gridSpan w:val="5"/>
          </w:tcPr>
          <w:p w14:paraId="6722E175" w14:textId="77777777" w:rsidR="00835192" w:rsidRPr="00FF756A" w:rsidRDefault="00835192" w:rsidP="00835192">
            <w:pPr>
              <w:spacing w:before="20" w:after="20" w:line="240" w:lineRule="auto"/>
              <w:rPr>
                <w:i/>
                <w:iCs/>
                <w:sz w:val="20"/>
                <w:szCs w:val="20"/>
              </w:rPr>
            </w:pPr>
            <w:r w:rsidRPr="00FF756A">
              <w:rPr>
                <w:i/>
                <w:iCs/>
                <w:sz w:val="20"/>
                <w:szCs w:val="20"/>
              </w:rPr>
              <w:t>Përfaqësuesit e ministrive janë në diskutime lidhur me draftin final të ligjit “Për krijimin, mbajtjen dhe menaxhimin e rezervave minimale të sigurisë të naftës bruto dhe nënprodukteve të saj”, i cili do t’i paraqitet Këshillit të Ministrave për miratim.</w:t>
            </w:r>
          </w:p>
        </w:tc>
      </w:tr>
      <w:tr w:rsidR="00835192" w:rsidRPr="00FF756A" w14:paraId="755F5456" w14:textId="77777777" w:rsidTr="004A3257">
        <w:trPr>
          <w:trHeight w:val="20"/>
        </w:trPr>
        <w:tc>
          <w:tcPr>
            <w:tcW w:w="2207" w:type="dxa"/>
          </w:tcPr>
          <w:p w14:paraId="14821E5D"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5" w:type="dxa"/>
            <w:gridSpan w:val="5"/>
          </w:tcPr>
          <w:p w14:paraId="5ED3909A" w14:textId="77777777" w:rsidR="00835192" w:rsidRPr="00FF756A" w:rsidRDefault="00835192" w:rsidP="00835192">
            <w:pPr>
              <w:spacing w:before="20" w:after="20" w:line="240" w:lineRule="auto"/>
              <w:rPr>
                <w:i/>
                <w:iCs/>
                <w:sz w:val="20"/>
                <w:szCs w:val="20"/>
              </w:rPr>
            </w:pPr>
            <w:r w:rsidRPr="00FF756A">
              <w:rPr>
                <w:i/>
                <w:iCs/>
                <w:sz w:val="20"/>
                <w:szCs w:val="20"/>
              </w:rPr>
              <w:t>Përfaqësuesit e ministrive janë në diskutime lidhur me draftin final të ligjit “Për krijimin, mbajtjen dhe menaxhimin e rezervave minimale të sigurisë të naftës bruto dhe nënprodukteve të saj”, i cili do t’i paraqitet Këshillit të Ministrave për miratim pas shqyrtimit të modelit që do të përdoret për mirëmbajtjen dhe menaxhimin e rezervave të sigurisë, në përputhje me takimet konsultative që po zhvillohen në Sekretariatin e Komunitetit të Energjisë në Vjenë.</w:t>
            </w:r>
          </w:p>
        </w:tc>
      </w:tr>
      <w:tr w:rsidR="00835192" w:rsidRPr="00FF756A" w14:paraId="23147EDF" w14:textId="77777777" w:rsidTr="004A3257">
        <w:trPr>
          <w:trHeight w:val="20"/>
        </w:trPr>
        <w:tc>
          <w:tcPr>
            <w:tcW w:w="2207" w:type="dxa"/>
          </w:tcPr>
          <w:p w14:paraId="653352C3"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5" w:type="dxa"/>
            <w:gridSpan w:val="5"/>
          </w:tcPr>
          <w:p w14:paraId="7CFAF5DA"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Ligji i ri “Për krijimin, mbajtjen dhe menaxhimin e rezervave minimale të sigurisë të naftës bruto dhe nënprodukteve të saj”, i cili transpozon Direktivën e Këshillit 2009/119 në legjislacionin shqiptar.</w:t>
            </w:r>
          </w:p>
          <w:p w14:paraId="42B6A56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Përafrimi i Direktivës së Këshillit 2009/119/KE, datë 14 shtator 2009, duke u imponuar shteteve anëtare detyrimin e ruajtjes së rezervave minimale të produkteve të naftës bruto dhe/ose nënprodukteve të saj.</w:t>
            </w:r>
          </w:p>
          <w:p w14:paraId="73F542E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Ngritja e një organi për ruajtjen e rezervave, përgatitja e planeve për vënien në dispozicion të rezervave në rast emergjence, përcaktimi i kapacitetit të ruajtjes dhe blerja e rezervave me miratimin e ligjit dhe në bazë të dispozitave të tij.</w:t>
            </w:r>
          </w:p>
        </w:tc>
      </w:tr>
      <w:tr w:rsidR="00835192" w:rsidRPr="00FF756A" w14:paraId="5596160F" w14:textId="77777777" w:rsidTr="004A3257">
        <w:trPr>
          <w:trHeight w:val="20"/>
        </w:trPr>
        <w:tc>
          <w:tcPr>
            <w:tcW w:w="2207" w:type="dxa"/>
          </w:tcPr>
          <w:p w14:paraId="6453FAAA"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5" w:type="dxa"/>
            <w:gridSpan w:val="4"/>
          </w:tcPr>
          <w:p w14:paraId="04C43ACE" w14:textId="77777777" w:rsidR="00835192" w:rsidRPr="00FF756A" w:rsidRDefault="00835192" w:rsidP="00835192">
            <w:pPr>
              <w:spacing w:before="20" w:after="20" w:line="240" w:lineRule="auto"/>
              <w:rPr>
                <w:i/>
                <w:iCs/>
                <w:sz w:val="20"/>
                <w:szCs w:val="20"/>
              </w:rPr>
            </w:pPr>
            <w:r w:rsidRPr="00FF756A">
              <w:rPr>
                <w:i/>
                <w:iCs/>
                <w:sz w:val="20"/>
                <w:szCs w:val="20"/>
              </w:rPr>
              <w:t>Miratimi i ligjit të ri nga qeveria dhe parlamenti shqiptar.</w:t>
            </w:r>
          </w:p>
        </w:tc>
        <w:tc>
          <w:tcPr>
            <w:tcW w:w="850" w:type="dxa"/>
          </w:tcPr>
          <w:p w14:paraId="7710ABA7" w14:textId="4ABABDA7" w:rsidR="00835192" w:rsidRPr="00FF756A" w:rsidRDefault="00AD309C" w:rsidP="00835192">
            <w:pPr>
              <w:spacing w:before="20" w:after="20" w:line="240" w:lineRule="auto"/>
              <w:jc w:val="left"/>
              <w:rPr>
                <w:i/>
                <w:iCs/>
                <w:sz w:val="20"/>
                <w:szCs w:val="20"/>
              </w:rPr>
            </w:pPr>
            <w:r w:rsidRPr="00FF756A">
              <w:rPr>
                <w:i/>
                <w:iCs/>
                <w:sz w:val="20"/>
                <w:szCs w:val="20"/>
              </w:rPr>
              <w:t>B</w:t>
            </w:r>
            <w:r w:rsidR="00835192" w:rsidRPr="00FF756A">
              <w:rPr>
                <w:i/>
                <w:iCs/>
                <w:sz w:val="20"/>
                <w:szCs w:val="20"/>
              </w:rPr>
              <w:t>renda vitit 2025</w:t>
            </w:r>
          </w:p>
        </w:tc>
      </w:tr>
      <w:tr w:rsidR="00835192" w:rsidRPr="00FF756A" w14:paraId="42991652" w14:textId="77777777" w:rsidTr="004A3257">
        <w:trPr>
          <w:trHeight w:val="20"/>
        </w:trPr>
        <w:tc>
          <w:tcPr>
            <w:tcW w:w="2207" w:type="dxa"/>
          </w:tcPr>
          <w:p w14:paraId="79D928F8"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5" w:type="dxa"/>
            <w:gridSpan w:val="5"/>
          </w:tcPr>
          <w:p w14:paraId="1B05A509" w14:textId="77777777" w:rsidR="00835192" w:rsidRPr="00FF756A" w:rsidRDefault="00835192" w:rsidP="00835192">
            <w:pPr>
              <w:spacing w:before="20" w:after="20" w:line="240" w:lineRule="auto"/>
              <w:rPr>
                <w:i/>
                <w:iCs/>
                <w:sz w:val="20"/>
                <w:szCs w:val="20"/>
              </w:rPr>
            </w:pPr>
            <w:bookmarkStart w:id="437" w:name="_Hlk100407991"/>
            <w:r w:rsidRPr="00FF756A">
              <w:rPr>
                <w:i/>
                <w:iCs/>
                <w:sz w:val="20"/>
                <w:szCs w:val="20"/>
              </w:rPr>
              <w:t>Nuk është parashikuar asnjë buxhet specifik për këtë masë</w:t>
            </w:r>
            <w:bookmarkEnd w:id="437"/>
          </w:p>
        </w:tc>
      </w:tr>
      <w:tr w:rsidR="00835192" w:rsidRPr="00FF756A" w14:paraId="192EDC38" w14:textId="77777777" w:rsidTr="004A3257">
        <w:trPr>
          <w:trHeight w:val="20"/>
        </w:trPr>
        <w:tc>
          <w:tcPr>
            <w:tcW w:w="2207" w:type="dxa"/>
          </w:tcPr>
          <w:p w14:paraId="05FA2FA5"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6A0276F9"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5" w:type="dxa"/>
            <w:gridSpan w:val="5"/>
          </w:tcPr>
          <w:p w14:paraId="7B9B2AD6"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w:t>
            </w:r>
          </w:p>
          <w:p w14:paraId="0AC741AA"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Inspektorati Shtetëror Teknik dhe Industrial)</w:t>
            </w:r>
          </w:p>
        </w:tc>
      </w:tr>
      <w:tr w:rsidR="00835192" w:rsidRPr="00FF756A" w14:paraId="79153F6F" w14:textId="77777777" w:rsidTr="004A3257">
        <w:trPr>
          <w:trHeight w:val="20"/>
        </w:trPr>
        <w:tc>
          <w:tcPr>
            <w:tcW w:w="2207" w:type="dxa"/>
          </w:tcPr>
          <w:p w14:paraId="35C3126E"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5" w:type="dxa"/>
            <w:gridSpan w:val="5"/>
          </w:tcPr>
          <w:p w14:paraId="17A6E7BF" w14:textId="77777777" w:rsidR="00835192" w:rsidRPr="00FF756A" w:rsidRDefault="00835192" w:rsidP="00835192">
            <w:pPr>
              <w:spacing w:before="20" w:after="20" w:line="240" w:lineRule="auto"/>
              <w:rPr>
                <w:i/>
                <w:iCs/>
                <w:sz w:val="20"/>
                <w:szCs w:val="20"/>
              </w:rPr>
            </w:pPr>
            <w:r w:rsidRPr="00FF756A">
              <w:rPr>
                <w:i/>
                <w:iCs/>
                <w:sz w:val="20"/>
                <w:szCs w:val="20"/>
              </w:rPr>
              <w:t xml:space="preserve">Tregu i brendshëm i energjisë elektrike </w:t>
            </w:r>
          </w:p>
        </w:tc>
      </w:tr>
    </w:tbl>
    <w:p w14:paraId="3F2F763E" w14:textId="77777777" w:rsidR="00835192" w:rsidRPr="00FF756A" w:rsidRDefault="00835192" w:rsidP="00835192">
      <w:pPr>
        <w:spacing w:before="0" w:after="0" w:line="240" w:lineRule="auto"/>
        <w:jc w:val="left"/>
      </w:pPr>
    </w:p>
    <w:p w14:paraId="1AD7F82D" w14:textId="77777777" w:rsidR="00835192" w:rsidRPr="00FF756A" w:rsidRDefault="00835192" w:rsidP="00835192">
      <w:pPr>
        <w:spacing w:before="0" w:after="0" w:line="240" w:lineRule="auto"/>
        <w:jc w:val="left"/>
      </w:pPr>
      <w:r w:rsidRPr="00FF756A">
        <w:br w:type="page"/>
      </w:r>
    </w:p>
    <w:p w14:paraId="6A588D0B" w14:textId="77777777" w:rsidR="00835192" w:rsidRPr="00FF756A" w:rsidRDefault="00835192" w:rsidP="00835192">
      <w:pPr>
        <w:spacing w:before="0" w:after="0" w:line="240" w:lineRule="auto"/>
        <w:jc w:val="left"/>
      </w:pPr>
    </w:p>
    <w:p w14:paraId="6227CFC3" w14:textId="07B022A3" w:rsidR="00835192" w:rsidRPr="00FF756A" w:rsidRDefault="00AD309C" w:rsidP="004A3257">
      <w:pPr>
        <w:pStyle w:val="Heading3"/>
      </w:pPr>
      <w:bookmarkStart w:id="438" w:name="_Toc75616137"/>
      <w:bookmarkStart w:id="439" w:name="_Toc182897793"/>
      <w:bookmarkStart w:id="440" w:name="_Toc183639248"/>
      <w:r w:rsidRPr="00FF756A">
        <w:t xml:space="preserve">3.3.4 </w:t>
      </w:r>
      <w:r w:rsidR="00835192" w:rsidRPr="00FF756A">
        <w:t>Bashkëpunimi rajonal</w:t>
      </w:r>
      <w:bookmarkEnd w:id="438"/>
      <w:bookmarkEnd w:id="439"/>
      <w:bookmarkEnd w:id="440"/>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1"/>
        <w:gridCol w:w="1287"/>
        <w:gridCol w:w="603"/>
        <w:gridCol w:w="431"/>
        <w:gridCol w:w="3690"/>
        <w:gridCol w:w="850"/>
      </w:tblGrid>
      <w:tr w:rsidR="00835192" w:rsidRPr="00FF756A" w14:paraId="1AF4E5D4" w14:textId="77777777" w:rsidTr="004A3257">
        <w:trPr>
          <w:trHeight w:val="20"/>
        </w:trPr>
        <w:tc>
          <w:tcPr>
            <w:tcW w:w="4528" w:type="dxa"/>
            <w:gridSpan w:val="4"/>
            <w:shd w:val="clear" w:color="auto" w:fill="2E74B5" w:themeFill="accent5" w:themeFillShade="BF"/>
          </w:tcPr>
          <w:p w14:paraId="2C5A53D8"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4" w:type="dxa"/>
            <w:gridSpan w:val="2"/>
            <w:shd w:val="clear" w:color="auto" w:fill="2E74B5" w:themeFill="accent5" w:themeFillShade="BF"/>
          </w:tcPr>
          <w:p w14:paraId="204F3D71" w14:textId="77777777" w:rsidR="00835192" w:rsidRPr="00FF756A" w:rsidRDefault="00835192" w:rsidP="008639B2">
            <w:pPr>
              <w:numPr>
                <w:ilvl w:val="0"/>
                <w:numId w:val="118"/>
              </w:numPr>
              <w:spacing w:before="20" w:after="20" w:line="240" w:lineRule="auto"/>
              <w:contextualSpacing/>
              <w:rPr>
                <w:i/>
                <w:iCs/>
                <w:sz w:val="20"/>
                <w:szCs w:val="20"/>
              </w:rPr>
            </w:pPr>
            <w:r w:rsidRPr="00FF756A">
              <w:rPr>
                <w:i/>
                <w:iCs/>
                <w:sz w:val="20"/>
                <w:szCs w:val="20"/>
              </w:rPr>
              <w:t>Siguria energjetike</w:t>
            </w:r>
          </w:p>
        </w:tc>
      </w:tr>
      <w:tr w:rsidR="00835192" w:rsidRPr="00FF756A" w14:paraId="35DDA469" w14:textId="77777777" w:rsidTr="004A3257">
        <w:trPr>
          <w:trHeight w:val="20"/>
        </w:trPr>
        <w:tc>
          <w:tcPr>
            <w:tcW w:w="4096" w:type="dxa"/>
            <w:gridSpan w:val="3"/>
            <w:shd w:val="clear" w:color="auto" w:fill="2E74B5" w:themeFill="accent5" w:themeFillShade="BF"/>
          </w:tcPr>
          <w:p w14:paraId="4021BE52"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6" w:type="dxa"/>
            <w:gridSpan w:val="3"/>
            <w:shd w:val="clear" w:color="auto" w:fill="2E74B5" w:themeFill="accent5" w:themeFillShade="BF"/>
          </w:tcPr>
          <w:p w14:paraId="698F347E" w14:textId="77777777" w:rsidR="00835192" w:rsidRPr="00FF756A" w:rsidRDefault="00835192" w:rsidP="00835192">
            <w:pPr>
              <w:spacing w:before="20" w:after="20" w:line="240" w:lineRule="auto"/>
              <w:rPr>
                <w:i/>
                <w:iCs/>
                <w:sz w:val="20"/>
                <w:szCs w:val="20"/>
              </w:rPr>
            </w:pPr>
            <w:r w:rsidRPr="00FF756A">
              <w:rPr>
                <w:i/>
                <w:iCs/>
                <w:sz w:val="20"/>
                <w:szCs w:val="20"/>
              </w:rPr>
              <w:t>Bashkëpunimi rajonal</w:t>
            </w:r>
          </w:p>
        </w:tc>
      </w:tr>
      <w:tr w:rsidR="00835192" w:rsidRPr="00FF756A" w14:paraId="7006BF5D" w14:textId="77777777" w:rsidTr="004A3257">
        <w:trPr>
          <w:trHeight w:val="20"/>
        </w:trPr>
        <w:tc>
          <w:tcPr>
            <w:tcW w:w="3492" w:type="dxa"/>
            <w:gridSpan w:val="2"/>
          </w:tcPr>
          <w:p w14:paraId="12F9136F"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786B4125"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0" w:type="dxa"/>
            <w:gridSpan w:val="4"/>
          </w:tcPr>
          <w:p w14:paraId="45AF0EA5" w14:textId="77777777" w:rsidR="00835192" w:rsidRPr="00FF756A" w:rsidRDefault="00835192" w:rsidP="00835192">
            <w:pPr>
              <w:spacing w:before="20" w:after="20" w:line="240" w:lineRule="auto"/>
              <w:rPr>
                <w:i/>
                <w:iCs/>
                <w:sz w:val="20"/>
                <w:szCs w:val="20"/>
              </w:rPr>
            </w:pPr>
            <w:r w:rsidRPr="00FF756A">
              <w:rPr>
                <w:i/>
                <w:iCs/>
                <w:sz w:val="20"/>
                <w:szCs w:val="20"/>
              </w:rPr>
              <w:t>WEM</w:t>
            </w:r>
          </w:p>
          <w:p w14:paraId="67D1A07D" w14:textId="77777777" w:rsidR="00835192" w:rsidRPr="00FF756A" w:rsidRDefault="00835192" w:rsidP="00835192">
            <w:pPr>
              <w:spacing w:before="20" w:after="20" w:line="240" w:lineRule="auto"/>
              <w:rPr>
                <w:i/>
                <w:iCs/>
                <w:sz w:val="20"/>
                <w:szCs w:val="20"/>
              </w:rPr>
            </w:pPr>
            <w:r w:rsidRPr="00FF756A">
              <w:rPr>
                <w:i/>
                <w:iCs/>
                <w:sz w:val="20"/>
                <w:szCs w:val="20"/>
              </w:rPr>
              <w:t>Rregullator; Financiar</w:t>
            </w:r>
          </w:p>
        </w:tc>
      </w:tr>
      <w:tr w:rsidR="00835192" w:rsidRPr="00FF756A" w14:paraId="236659D4" w14:textId="77777777" w:rsidTr="004A3257">
        <w:trPr>
          <w:trHeight w:val="20"/>
        </w:trPr>
        <w:tc>
          <w:tcPr>
            <w:tcW w:w="2203" w:type="dxa"/>
          </w:tcPr>
          <w:p w14:paraId="4DE83876"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60CAF370"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9" w:type="dxa"/>
            <w:gridSpan w:val="5"/>
          </w:tcPr>
          <w:p w14:paraId="64E9F118" w14:textId="3E9B425C" w:rsidR="00835192" w:rsidRPr="00FF756A" w:rsidRDefault="00835192" w:rsidP="00835192">
            <w:pPr>
              <w:spacing w:before="20" w:after="20" w:line="240" w:lineRule="auto"/>
              <w:rPr>
                <w:i/>
                <w:iCs/>
                <w:sz w:val="20"/>
                <w:szCs w:val="20"/>
              </w:rPr>
            </w:pPr>
            <w:r w:rsidRPr="00FF756A">
              <w:rPr>
                <w:i/>
                <w:iCs/>
                <w:sz w:val="20"/>
                <w:szCs w:val="20"/>
              </w:rPr>
              <w:t xml:space="preserve">Gazsjellësi Adriatiko-Jonian dhe </w:t>
            </w:r>
            <w:r w:rsidR="003B7602" w:rsidRPr="00FF756A">
              <w:rPr>
                <w:i/>
                <w:iCs/>
                <w:sz w:val="20"/>
                <w:szCs w:val="20"/>
              </w:rPr>
              <w:t>G</w:t>
            </w:r>
            <w:r w:rsidRPr="00FF756A">
              <w:rPr>
                <w:i/>
                <w:iCs/>
                <w:sz w:val="20"/>
                <w:szCs w:val="20"/>
              </w:rPr>
              <w:t>azsjellësi Shqipëri-Kosovë</w:t>
            </w:r>
          </w:p>
          <w:p w14:paraId="7DD304A6" w14:textId="77777777" w:rsidR="00835192" w:rsidRPr="00FF756A" w:rsidRDefault="00835192" w:rsidP="00835192">
            <w:pPr>
              <w:spacing w:before="20" w:after="20" w:line="240" w:lineRule="auto"/>
              <w:rPr>
                <w:i/>
                <w:iCs/>
                <w:sz w:val="20"/>
                <w:szCs w:val="20"/>
              </w:rPr>
            </w:pPr>
            <w:r w:rsidRPr="00FF756A">
              <w:rPr>
                <w:i/>
                <w:iCs/>
                <w:sz w:val="20"/>
                <w:szCs w:val="20"/>
              </w:rPr>
              <w:t>(ES-R1)</w:t>
            </w:r>
          </w:p>
        </w:tc>
      </w:tr>
      <w:tr w:rsidR="00835192" w:rsidRPr="00FF756A" w14:paraId="7F0F8450" w14:textId="77777777" w:rsidTr="004A3257">
        <w:trPr>
          <w:trHeight w:val="20"/>
        </w:trPr>
        <w:tc>
          <w:tcPr>
            <w:tcW w:w="2203" w:type="dxa"/>
          </w:tcPr>
          <w:p w14:paraId="2890E7DE"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9" w:type="dxa"/>
            <w:gridSpan w:val="5"/>
          </w:tcPr>
          <w:p w14:paraId="5A1BFEEC" w14:textId="77777777" w:rsidR="00835192" w:rsidRPr="00FF756A" w:rsidRDefault="00835192" w:rsidP="00835192">
            <w:pPr>
              <w:spacing w:before="20" w:after="20" w:line="240" w:lineRule="auto"/>
              <w:rPr>
                <w:i/>
                <w:iCs/>
                <w:sz w:val="20"/>
                <w:szCs w:val="20"/>
              </w:rPr>
            </w:pPr>
            <w:r w:rsidRPr="00FF756A">
              <w:rPr>
                <w:i/>
                <w:iCs/>
                <w:sz w:val="20"/>
                <w:szCs w:val="20"/>
              </w:rPr>
              <w:t>2018 - vazhdim</w:t>
            </w:r>
          </w:p>
        </w:tc>
      </w:tr>
      <w:tr w:rsidR="00835192" w:rsidRPr="00FF756A" w14:paraId="2FEBAFEC" w14:textId="77777777" w:rsidTr="004A3257">
        <w:trPr>
          <w:trHeight w:val="20"/>
        </w:trPr>
        <w:tc>
          <w:tcPr>
            <w:tcW w:w="2203" w:type="dxa"/>
          </w:tcPr>
          <w:p w14:paraId="1153F670"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9" w:type="dxa"/>
            <w:gridSpan w:val="5"/>
          </w:tcPr>
          <w:p w14:paraId="5D21E673" w14:textId="77777777" w:rsidR="00835192" w:rsidRPr="00FF756A" w:rsidRDefault="00835192" w:rsidP="00835192">
            <w:pPr>
              <w:spacing w:before="20" w:after="20" w:line="240" w:lineRule="auto"/>
              <w:rPr>
                <w:i/>
                <w:iCs/>
                <w:sz w:val="20"/>
                <w:szCs w:val="20"/>
              </w:rPr>
            </w:pPr>
            <w:r w:rsidRPr="00FF756A">
              <w:rPr>
                <w:i/>
                <w:iCs/>
                <w:sz w:val="20"/>
                <w:szCs w:val="20"/>
              </w:rPr>
              <w:t>VKM nr. 480, datë 31.7.2018, “Për miratimin e strategjisë kombëtare të energjisë 2018-2030”; VKM nr. 87, datë 14.2.2018, “Për miratimin e planit të zhvillimit të sektorit të gazit natyror në Shqipëri dhe identifikimin e projekteve prioritare”.</w:t>
            </w:r>
          </w:p>
          <w:p w14:paraId="7892B9B8" w14:textId="77777777" w:rsidR="00835192" w:rsidRPr="00FF756A" w:rsidRDefault="00835192" w:rsidP="00835192">
            <w:pPr>
              <w:spacing w:before="20" w:after="20" w:line="240" w:lineRule="auto"/>
              <w:rPr>
                <w:i/>
                <w:iCs/>
                <w:sz w:val="20"/>
                <w:szCs w:val="20"/>
              </w:rPr>
            </w:pPr>
            <w:r w:rsidRPr="00FF756A">
              <w:rPr>
                <w:i/>
                <w:iCs/>
                <w:sz w:val="20"/>
                <w:szCs w:val="20"/>
              </w:rPr>
              <w:t>VKM nr. 685, datë 14.11.2018 “Për miratimin e praktikave për promovimin e investimeve të përbashkëta, rajonale, në infrastrukturën e sektorit të energjisë”.</w:t>
            </w:r>
          </w:p>
        </w:tc>
      </w:tr>
      <w:tr w:rsidR="00835192" w:rsidRPr="00FF756A" w14:paraId="16C6BFE3" w14:textId="77777777" w:rsidTr="004A3257">
        <w:trPr>
          <w:trHeight w:val="20"/>
        </w:trPr>
        <w:tc>
          <w:tcPr>
            <w:tcW w:w="2203" w:type="dxa"/>
          </w:tcPr>
          <w:p w14:paraId="7FC8AFBF"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9" w:type="dxa"/>
            <w:gridSpan w:val="5"/>
          </w:tcPr>
          <w:p w14:paraId="510B295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Miratimi i kuadrit të nevojshëm ligjor. Shqipëria ka nisur hartimin e akteve nënligjore për gazin natyror që pas miratimit të ligjit “Për gazin” në vitin 2015. Deri më tani, zhvillimi i kuadrit rregullator në Shqipëri është shumë më i avancuar se sa zhvillimi i infrastrukturës.</w:t>
            </w:r>
          </w:p>
          <w:p w14:paraId="343F0C6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Kodi i rrjetit i Albgaz për sistemin e ardhshëm të transmetimit dhe miratimi i kodit të rrjetit TAP, ky i fundit në përputhje me vendimin e përjashtimit nga ERE dhe autoritetet kombëtare italiane dhe greke. Transpozimi i kodeve të rrjetit të gazit në Shqipëri nga autoriteti rregullator ERE.</w:t>
            </w:r>
          </w:p>
          <w:p w14:paraId="71CCDFE1"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Miratimi i Planit të Zhvillimit të Sektorit të Gazit</w:t>
            </w:r>
          </w:p>
          <w:p w14:paraId="5BB5A79C"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Identifikimi dhe miratimi i projekteve prioritare</w:t>
            </w:r>
          </w:p>
          <w:p w14:paraId="62EBE2A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Projekti paraprak për Gazsjellësin Adriatiko-Jonian (pjesa që përshkon Shqipërinë dhe Malin e Zi) – WBIF</w:t>
            </w:r>
          </w:p>
          <w:p w14:paraId="0E63692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Studimi i Para-fizibilitetit për projektin e Gazsjellësit Shqipëri-Kosovë (ALKOGAP)</w:t>
            </w:r>
          </w:p>
        </w:tc>
      </w:tr>
      <w:tr w:rsidR="00835192" w:rsidRPr="00FF756A" w14:paraId="3127B4D7" w14:textId="77777777" w:rsidTr="004A3257">
        <w:trPr>
          <w:trHeight w:val="20"/>
        </w:trPr>
        <w:tc>
          <w:tcPr>
            <w:tcW w:w="2203" w:type="dxa"/>
          </w:tcPr>
          <w:p w14:paraId="61BC2774"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9" w:type="dxa"/>
            <w:gridSpan w:val="5"/>
          </w:tcPr>
          <w:p w14:paraId="0A426BA1" w14:textId="77777777" w:rsidR="00835192" w:rsidRPr="00FF756A" w:rsidRDefault="00835192" w:rsidP="00835192">
            <w:pPr>
              <w:spacing w:before="20" w:after="20" w:line="240" w:lineRule="auto"/>
              <w:rPr>
                <w:i/>
                <w:iCs/>
                <w:sz w:val="20"/>
                <w:szCs w:val="20"/>
              </w:rPr>
            </w:pPr>
            <w:r w:rsidRPr="00FF756A">
              <w:rPr>
                <w:i/>
                <w:iCs/>
                <w:sz w:val="20"/>
                <w:szCs w:val="20"/>
              </w:rPr>
              <w:t>Kontributi në sigurinë energjetike rajonale duke lidhur tubacionet e reja të transmetimit në Shqipëri me rrjetin rajonal të gazit, sipas opsionit më të mirë të IAP dhe Gazsjellësit Shqipëri-Kosovë (projekti ALKOGAP).</w:t>
            </w:r>
          </w:p>
        </w:tc>
      </w:tr>
      <w:tr w:rsidR="00835192" w:rsidRPr="00FF756A" w14:paraId="73689055" w14:textId="77777777" w:rsidTr="004A3257">
        <w:trPr>
          <w:trHeight w:val="20"/>
        </w:trPr>
        <w:tc>
          <w:tcPr>
            <w:tcW w:w="2203" w:type="dxa"/>
          </w:tcPr>
          <w:p w14:paraId="5B515C2B"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9" w:type="dxa"/>
            <w:gridSpan w:val="5"/>
          </w:tcPr>
          <w:p w14:paraId="5B49C313" w14:textId="654D9565"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Përgatitja e kuadrit të nevojshëm ligjor për një treg të hapur e të liberalizuar, si dhe kodeve teknike dhe normave rregullatore </w:t>
            </w:r>
          </w:p>
          <w:p w14:paraId="37CD877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Përfundimi i Gazsjellësit Adriatiko-Jonian (pjesa e Shqipërisë) </w:t>
            </w:r>
          </w:p>
          <w:p w14:paraId="62D3D39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Përfundimi i Gazsjellësit Shqipëri-Kosovë (projekti ALKOGAP)</w:t>
            </w:r>
          </w:p>
        </w:tc>
      </w:tr>
      <w:tr w:rsidR="00835192" w:rsidRPr="00FF756A" w14:paraId="0BAB41F0" w14:textId="77777777" w:rsidTr="004A3257">
        <w:trPr>
          <w:trHeight w:val="20"/>
        </w:trPr>
        <w:tc>
          <w:tcPr>
            <w:tcW w:w="2203" w:type="dxa"/>
          </w:tcPr>
          <w:p w14:paraId="0D75F63B"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9" w:type="dxa"/>
            <w:gridSpan w:val="4"/>
          </w:tcPr>
          <w:p w14:paraId="0173F7E6"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Miratimi i kuadrit ligjor, normave rregullatore dhe kodeve teknike e të transmetimit</w:t>
            </w:r>
          </w:p>
          <w:p w14:paraId="58F9EA7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Marrëveshjet rajonale dhe ndërkombëtare</w:t>
            </w:r>
          </w:p>
          <w:p w14:paraId="06A42AF4"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Financimi dhe zbatimi i projekteve prioritare të miratuara</w:t>
            </w:r>
          </w:p>
        </w:tc>
        <w:tc>
          <w:tcPr>
            <w:tcW w:w="850" w:type="dxa"/>
          </w:tcPr>
          <w:p w14:paraId="6310842B" w14:textId="77777777" w:rsidR="00835192" w:rsidRPr="00FF756A" w:rsidRDefault="00835192" w:rsidP="00835192">
            <w:pPr>
              <w:spacing w:before="20" w:after="20" w:line="240" w:lineRule="auto"/>
              <w:rPr>
                <w:i/>
                <w:iCs/>
                <w:sz w:val="20"/>
                <w:szCs w:val="20"/>
              </w:rPr>
            </w:pPr>
            <w:r w:rsidRPr="00FF756A">
              <w:rPr>
                <w:i/>
                <w:iCs/>
                <w:sz w:val="20"/>
                <w:szCs w:val="20"/>
              </w:rPr>
              <w:t>brenda vitit 2035</w:t>
            </w:r>
          </w:p>
        </w:tc>
      </w:tr>
      <w:tr w:rsidR="00835192" w:rsidRPr="00FF756A" w14:paraId="22275B36" w14:textId="77777777" w:rsidTr="004A3257">
        <w:trPr>
          <w:trHeight w:val="20"/>
        </w:trPr>
        <w:tc>
          <w:tcPr>
            <w:tcW w:w="2203" w:type="dxa"/>
          </w:tcPr>
          <w:p w14:paraId="440D3F45"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9" w:type="dxa"/>
            <w:gridSpan w:val="5"/>
          </w:tcPr>
          <w:p w14:paraId="4B4124EA" w14:textId="77777777" w:rsidR="00835192" w:rsidRPr="00FF756A" w:rsidRDefault="00835192" w:rsidP="00835192">
            <w:pPr>
              <w:spacing w:before="20" w:after="20" w:line="240" w:lineRule="auto"/>
              <w:rPr>
                <w:i/>
                <w:iCs/>
                <w:sz w:val="20"/>
                <w:szCs w:val="20"/>
              </w:rPr>
            </w:pPr>
            <w:r w:rsidRPr="00FF756A">
              <w:rPr>
                <w:i/>
                <w:iCs/>
                <w:sz w:val="20"/>
                <w:szCs w:val="20"/>
              </w:rPr>
              <w:t>67 milionë euro për 168 km janë për Gazsjellësin Adriatiko-Jonian</w:t>
            </w:r>
          </w:p>
          <w:p w14:paraId="1D31FF99" w14:textId="77777777" w:rsidR="00835192" w:rsidRPr="00FF756A" w:rsidRDefault="00835192" w:rsidP="00835192">
            <w:pPr>
              <w:spacing w:before="20" w:after="20" w:line="240" w:lineRule="auto"/>
              <w:rPr>
                <w:i/>
                <w:iCs/>
                <w:sz w:val="20"/>
                <w:szCs w:val="20"/>
              </w:rPr>
            </w:pPr>
            <w:bookmarkStart w:id="441" w:name="_Hlk100408026"/>
            <w:r w:rsidRPr="00FF756A">
              <w:rPr>
                <w:i/>
                <w:iCs/>
                <w:sz w:val="20"/>
                <w:szCs w:val="20"/>
              </w:rPr>
              <w:t>Rreth 180 milionë euro për Gazsjellësin Shqipëri-Kosovë (projekti ALKOGAP, seksioni i Shqipërisë)</w:t>
            </w:r>
            <w:bookmarkEnd w:id="441"/>
          </w:p>
        </w:tc>
      </w:tr>
      <w:tr w:rsidR="00835192" w:rsidRPr="00FF756A" w14:paraId="4651BCFB" w14:textId="77777777" w:rsidTr="004A3257">
        <w:trPr>
          <w:trHeight w:val="20"/>
        </w:trPr>
        <w:tc>
          <w:tcPr>
            <w:tcW w:w="2203" w:type="dxa"/>
          </w:tcPr>
          <w:p w14:paraId="5AE2FD28"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5116DFDE"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9" w:type="dxa"/>
            <w:gridSpan w:val="5"/>
          </w:tcPr>
          <w:p w14:paraId="7597168C"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w:t>
            </w:r>
          </w:p>
          <w:p w14:paraId="4048DCF7" w14:textId="77777777" w:rsidR="00835192" w:rsidRPr="00FF756A" w:rsidRDefault="00835192" w:rsidP="00835192">
            <w:pPr>
              <w:spacing w:before="20" w:after="20" w:line="240" w:lineRule="auto"/>
              <w:rPr>
                <w:i/>
                <w:iCs/>
                <w:sz w:val="20"/>
                <w:szCs w:val="20"/>
              </w:rPr>
            </w:pPr>
          </w:p>
        </w:tc>
      </w:tr>
      <w:tr w:rsidR="00835192" w:rsidRPr="00FF756A" w14:paraId="173AE0F7" w14:textId="77777777" w:rsidTr="004A3257">
        <w:trPr>
          <w:trHeight w:val="20"/>
        </w:trPr>
        <w:tc>
          <w:tcPr>
            <w:tcW w:w="2203" w:type="dxa"/>
          </w:tcPr>
          <w:p w14:paraId="48CBCD70"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9" w:type="dxa"/>
            <w:gridSpan w:val="5"/>
          </w:tcPr>
          <w:p w14:paraId="4D951CE0" w14:textId="77777777" w:rsidR="00835192" w:rsidRPr="00FF756A" w:rsidRDefault="00835192" w:rsidP="00835192">
            <w:pPr>
              <w:spacing w:before="20" w:after="20" w:line="240" w:lineRule="auto"/>
              <w:rPr>
                <w:i/>
                <w:iCs/>
                <w:sz w:val="20"/>
                <w:szCs w:val="20"/>
              </w:rPr>
            </w:pPr>
            <w:r w:rsidRPr="00FF756A">
              <w:rPr>
                <w:i/>
                <w:iCs/>
                <w:sz w:val="20"/>
                <w:szCs w:val="20"/>
              </w:rPr>
              <w:t>Tregu i brendshëm i energjisë elektrike, dekarbonizimi</w:t>
            </w:r>
          </w:p>
          <w:p w14:paraId="6C819962" w14:textId="77777777" w:rsidR="00835192" w:rsidRPr="00FF756A" w:rsidRDefault="00835192" w:rsidP="00835192">
            <w:pPr>
              <w:spacing w:before="20" w:after="20" w:line="240" w:lineRule="auto"/>
              <w:rPr>
                <w:i/>
                <w:iCs/>
                <w:sz w:val="20"/>
                <w:szCs w:val="20"/>
              </w:rPr>
            </w:pPr>
            <w:r w:rsidRPr="00FF756A">
              <w:rPr>
                <w:i/>
                <w:iCs/>
                <w:sz w:val="20"/>
                <w:szCs w:val="20"/>
              </w:rPr>
              <w:t xml:space="preserve">Marrëdhënia me PM-në e mëposhtme: </w:t>
            </w:r>
          </w:p>
          <w:p w14:paraId="42E646E7" w14:textId="77777777" w:rsidR="00835192" w:rsidRPr="00FF756A" w:rsidRDefault="00835192" w:rsidP="00835192">
            <w:pPr>
              <w:spacing w:before="20" w:after="20" w:line="240" w:lineRule="auto"/>
              <w:rPr>
                <w:i/>
                <w:iCs/>
                <w:sz w:val="20"/>
                <w:szCs w:val="20"/>
              </w:rPr>
            </w:pPr>
            <w:r w:rsidRPr="00FF756A">
              <w:rPr>
                <w:i/>
                <w:iCs/>
                <w:sz w:val="20"/>
                <w:szCs w:val="20"/>
              </w:rPr>
              <w:t>ES-O3 Lidhja e Shqipërisë me rrjetin ndërkombëtar të gazit</w:t>
            </w:r>
          </w:p>
        </w:tc>
      </w:tr>
    </w:tbl>
    <w:p w14:paraId="48D51D6D" w14:textId="77777777" w:rsidR="00835192" w:rsidRPr="00FF756A" w:rsidRDefault="00835192" w:rsidP="00835192"/>
    <w:p w14:paraId="32D6B331" w14:textId="77777777" w:rsidR="00835192" w:rsidRPr="00FF756A" w:rsidRDefault="00835192" w:rsidP="00835192"/>
    <w:p w14:paraId="71A53B69" w14:textId="780D8D02" w:rsidR="00835192" w:rsidRPr="00FF756A" w:rsidRDefault="00835192" w:rsidP="004A3257">
      <w:pPr>
        <w:pStyle w:val="Heading2"/>
        <w:numPr>
          <w:ilvl w:val="1"/>
          <w:numId w:val="241"/>
        </w:numPr>
      </w:pPr>
      <w:r w:rsidRPr="00FF756A">
        <w:br w:type="page"/>
      </w:r>
      <w:bookmarkStart w:id="442" w:name="_Toc75616138"/>
      <w:bookmarkStart w:id="443" w:name="_Toc182897794"/>
      <w:bookmarkStart w:id="444" w:name="_Toc183639249"/>
      <w:r w:rsidRPr="00FF756A">
        <w:t>Tregu i brendshëm i energjisë elektrike</w:t>
      </w:r>
      <w:bookmarkEnd w:id="442"/>
      <w:bookmarkEnd w:id="443"/>
      <w:bookmarkEnd w:id="444"/>
    </w:p>
    <w:p w14:paraId="6AE51876" w14:textId="77777777" w:rsidR="00835192" w:rsidRPr="00FF756A" w:rsidRDefault="00835192" w:rsidP="00835192"/>
    <w:p w14:paraId="71E867AB" w14:textId="22AA3B53" w:rsidR="00835192" w:rsidRPr="00FF756A" w:rsidRDefault="004F61D5" w:rsidP="004A3257">
      <w:pPr>
        <w:pStyle w:val="Heading3"/>
      </w:pPr>
      <w:bookmarkStart w:id="445" w:name="_Toc75616139"/>
      <w:bookmarkStart w:id="446" w:name="_Toc182897795"/>
      <w:bookmarkStart w:id="447" w:name="_Toc183639250"/>
      <w:r w:rsidRPr="00FF756A">
        <w:t>3</w:t>
      </w:r>
      <w:r w:rsidR="0055792F" w:rsidRPr="00FF756A">
        <w:t xml:space="preserve">.4.1 </w:t>
      </w:r>
      <w:r w:rsidR="00835192" w:rsidRPr="00FF756A">
        <w:t>Kuadri ligjor gjithëpërfshirës</w:t>
      </w:r>
      <w:bookmarkEnd w:id="445"/>
      <w:bookmarkEnd w:id="446"/>
      <w:bookmarkEnd w:id="447"/>
    </w:p>
    <w:p w14:paraId="5FB5ADEB" w14:textId="77777777" w:rsidR="00C4165E" w:rsidRPr="00FF756A" w:rsidRDefault="00C4165E" w:rsidP="00835192"/>
    <w:p w14:paraId="7BDDEE3F" w14:textId="463AFAD6" w:rsidR="00835192" w:rsidRPr="00FF756A" w:rsidRDefault="00835192" w:rsidP="00835192">
      <w:r w:rsidRPr="00FF756A">
        <w:t>Më poshtë renditen aktet ligjore kryesore (duke përfshirë strategjitë dhe planet) në lidhje me këtë dimension:</w:t>
      </w:r>
    </w:p>
    <w:p w14:paraId="0A62AC53" w14:textId="32F4D1D0" w:rsidR="00164788" w:rsidRPr="00FF756A" w:rsidRDefault="00164788" w:rsidP="004A3257">
      <w:pPr>
        <w:pStyle w:val="ListParagraph"/>
        <w:rPr>
          <w:color w:val="000000" w:themeColor="text1"/>
        </w:rPr>
      </w:pPr>
      <w:r w:rsidRPr="00FF756A">
        <w:rPr>
          <w:color w:val="000000" w:themeColor="text1"/>
        </w:rPr>
        <w:t>Ligji nr. 43/2015, datë 30.04.2015, “Për sektorin e energjisë elektrike” (i ndryshuar);</w:t>
      </w:r>
    </w:p>
    <w:p w14:paraId="0679B55C" w14:textId="66D81FDF" w:rsidR="00164788" w:rsidRPr="00FF756A" w:rsidRDefault="00164788" w:rsidP="004A3257">
      <w:pPr>
        <w:pStyle w:val="ListParagraph"/>
        <w:numPr>
          <w:ilvl w:val="0"/>
          <w:numId w:val="239"/>
        </w:numPr>
        <w:spacing w:before="0" w:after="0"/>
        <w:jc w:val="left"/>
        <w:rPr>
          <w:color w:val="000000" w:themeColor="text1"/>
        </w:rPr>
      </w:pPr>
      <w:r w:rsidRPr="00FF756A">
        <w:rPr>
          <w:color w:val="000000" w:themeColor="text1"/>
        </w:rPr>
        <w:t>Ligji nr. 24/2023 “Për nxitjen e përdorimit të energjisë nga burimet e rinovueshme”;</w:t>
      </w:r>
    </w:p>
    <w:p w14:paraId="062F4FA9" w14:textId="3AE0B95B" w:rsidR="00164788" w:rsidRPr="00FF756A" w:rsidRDefault="00164788" w:rsidP="004A3257">
      <w:pPr>
        <w:pStyle w:val="ListParagraph"/>
        <w:numPr>
          <w:ilvl w:val="0"/>
          <w:numId w:val="239"/>
        </w:numPr>
        <w:spacing w:before="0" w:after="0"/>
        <w:jc w:val="left"/>
        <w:rPr>
          <w:color w:val="000000" w:themeColor="text1"/>
        </w:rPr>
      </w:pPr>
      <w:r w:rsidRPr="00FF756A">
        <w:rPr>
          <w:color w:val="000000" w:themeColor="text1"/>
        </w:rPr>
        <w:t>Ligji Nr. 116/2016, datë 10.11.2016, “Për performancën e energjisë së ndërtesave”;</w:t>
      </w:r>
    </w:p>
    <w:p w14:paraId="600FB393" w14:textId="4C802AE8" w:rsidR="00164788" w:rsidRPr="00FF756A" w:rsidRDefault="00164788" w:rsidP="004A3257">
      <w:pPr>
        <w:pStyle w:val="ListParagraph"/>
        <w:numPr>
          <w:ilvl w:val="0"/>
          <w:numId w:val="239"/>
        </w:numPr>
        <w:spacing w:before="0" w:after="0"/>
        <w:jc w:val="left"/>
        <w:rPr>
          <w:color w:val="000000" w:themeColor="text1"/>
        </w:rPr>
      </w:pPr>
      <w:r w:rsidRPr="00FF756A">
        <w:rPr>
          <w:color w:val="000000" w:themeColor="text1"/>
        </w:rPr>
        <w:t>VKM nr. 480, datë 31.7.2018, “Për miratimin e Strategjisë Kombëtare të Energjisë 2018-2030”;</w:t>
      </w:r>
    </w:p>
    <w:p w14:paraId="5568FC8C" w14:textId="0DF63EA3" w:rsidR="00164788" w:rsidRPr="00FF756A" w:rsidRDefault="00164788" w:rsidP="004A3257">
      <w:pPr>
        <w:pStyle w:val="ListParagraph"/>
        <w:numPr>
          <w:ilvl w:val="0"/>
          <w:numId w:val="239"/>
        </w:numPr>
        <w:spacing w:before="0" w:after="0"/>
        <w:jc w:val="left"/>
        <w:rPr>
          <w:color w:val="000000" w:themeColor="text1"/>
        </w:rPr>
      </w:pPr>
      <w:r w:rsidRPr="00FF756A">
        <w:rPr>
          <w:color w:val="000000" w:themeColor="text1"/>
        </w:rPr>
        <w:t>VKM nr. 519, datë 31.7.2016, “Për miratimin e modelit të tregut të energjisë elektrike” (i ndryshuar);</w:t>
      </w:r>
    </w:p>
    <w:p w14:paraId="37AD6126" w14:textId="27BD1C6D" w:rsidR="00164788" w:rsidRPr="00FF756A" w:rsidRDefault="00164788" w:rsidP="004A3257">
      <w:pPr>
        <w:pStyle w:val="ListParagraph"/>
        <w:numPr>
          <w:ilvl w:val="0"/>
          <w:numId w:val="239"/>
        </w:numPr>
        <w:spacing w:before="0" w:after="0"/>
        <w:jc w:val="left"/>
        <w:rPr>
          <w:color w:val="000000" w:themeColor="text1"/>
        </w:rPr>
      </w:pPr>
      <w:r w:rsidRPr="00FF756A">
        <w:rPr>
          <w:color w:val="000000" w:themeColor="text1"/>
        </w:rPr>
        <w:t>VKM nr. 449, datë 15.06.2016, “Për miratimin e kushteve dhe të procedurave për përcaktimin e furnizuesit të mundësisë së fundit të energjisë elektrike”;</w:t>
      </w:r>
    </w:p>
    <w:p w14:paraId="1174C3ED" w14:textId="0F15AF5F" w:rsidR="00164788" w:rsidRPr="00FF756A" w:rsidRDefault="00164788" w:rsidP="004A3257">
      <w:pPr>
        <w:pStyle w:val="ListParagraph"/>
        <w:numPr>
          <w:ilvl w:val="0"/>
          <w:numId w:val="239"/>
        </w:numPr>
        <w:spacing w:before="0" w:after="0"/>
        <w:jc w:val="left"/>
        <w:rPr>
          <w:color w:val="000000" w:themeColor="text1"/>
        </w:rPr>
      </w:pPr>
      <w:r w:rsidRPr="00FF756A">
        <w:rPr>
          <w:color w:val="000000" w:themeColor="text1"/>
        </w:rPr>
        <w:t>VKM nr. 456, datë 29.06.2022, “Për miratimin e kushteve për vendosjen e detyrimit të shërbimit publik, që do të zbatohen ndaj të licencuarve në sektorin e energjisë elektrike, të cilët ushtrojnë aktivitetin e prodhimit, transmetimit, shpërndarjes dhe furnizimit me energji elektrike” ;</w:t>
      </w:r>
    </w:p>
    <w:p w14:paraId="478D1BC3" w14:textId="04994F7C" w:rsidR="00164788" w:rsidRPr="00FF756A" w:rsidRDefault="00164788" w:rsidP="004A3257">
      <w:pPr>
        <w:pStyle w:val="ListParagraph"/>
        <w:numPr>
          <w:ilvl w:val="0"/>
          <w:numId w:val="239"/>
        </w:numPr>
        <w:spacing w:before="0" w:after="0"/>
        <w:jc w:val="left"/>
        <w:rPr>
          <w:color w:val="000000" w:themeColor="text1"/>
        </w:rPr>
      </w:pPr>
      <w:r w:rsidRPr="00FF756A">
        <w:rPr>
          <w:color w:val="000000" w:themeColor="text1"/>
        </w:rPr>
        <w:t>VKM nr.16, datë 11.01.2017 “Për miratimin e kushteve dhe të procedurave për ndërtimin e interkonektorëve të rinj;</w:t>
      </w:r>
    </w:p>
    <w:p w14:paraId="0B6ED851" w14:textId="4A76228A" w:rsidR="00164788" w:rsidRPr="00FF756A" w:rsidRDefault="00164788" w:rsidP="004A3257">
      <w:pPr>
        <w:pStyle w:val="ListParagraph"/>
        <w:numPr>
          <w:ilvl w:val="0"/>
          <w:numId w:val="239"/>
        </w:numPr>
        <w:spacing w:before="0" w:after="0"/>
        <w:jc w:val="left"/>
        <w:rPr>
          <w:color w:val="000000" w:themeColor="text1"/>
        </w:rPr>
      </w:pPr>
      <w:r w:rsidRPr="00FF756A">
        <w:rPr>
          <w:color w:val="000000" w:themeColor="text1"/>
        </w:rPr>
        <w:t>VKM Nr. 718, datë 12.10.2016 “Për miratimin e rregullave dhe procedurave të ndërtimit të kapaciteteve të reja prodhuese të energjisë elektrike”;VKM Nr. 742, datë 12.12.2018 “Për miratimin e planit strategjik për reformimin e sektorit të energjisë në Shqipëri;</w:t>
      </w:r>
    </w:p>
    <w:p w14:paraId="366D520D" w14:textId="37C272D3" w:rsidR="00164788" w:rsidRPr="00FF756A" w:rsidRDefault="00164788" w:rsidP="004A3257">
      <w:pPr>
        <w:pStyle w:val="ListParagraph"/>
        <w:numPr>
          <w:ilvl w:val="0"/>
          <w:numId w:val="239"/>
        </w:numPr>
        <w:spacing w:before="0" w:after="0"/>
        <w:jc w:val="left"/>
        <w:rPr>
          <w:color w:val="000000" w:themeColor="text1"/>
        </w:rPr>
      </w:pPr>
      <w:r w:rsidRPr="00FF756A">
        <w:rPr>
          <w:color w:val="000000" w:themeColor="text1"/>
        </w:rPr>
        <w:t>VKM nr. 198, datë 3.03.2021, “Për përcaktimin e operatorit që kryen funksionet e operatorit të energjisë së rinovueshme”;</w:t>
      </w:r>
    </w:p>
    <w:p w14:paraId="1AF18029" w14:textId="047D99EE" w:rsidR="00164788" w:rsidRPr="00FF756A" w:rsidRDefault="00164788" w:rsidP="004A3257">
      <w:pPr>
        <w:pStyle w:val="ListParagraph"/>
        <w:numPr>
          <w:ilvl w:val="0"/>
          <w:numId w:val="239"/>
        </w:numPr>
        <w:spacing w:before="0" w:after="0"/>
        <w:jc w:val="left"/>
        <w:rPr>
          <w:color w:val="000000" w:themeColor="text1"/>
        </w:rPr>
      </w:pPr>
      <w:r w:rsidRPr="00FF756A">
        <w:rPr>
          <w:color w:val="000000" w:themeColor="text1"/>
        </w:rPr>
        <w:t>Urdhri i Ministrit të Infrastrukturës dhe Energjisë nr. 28, datë 18.01.2021, “Për miratimin e udhërrëfyesit për hapjen e tregut dhe de-rregullimin e çmimit të energjisë elektrike” (i ndryshuar);</w:t>
      </w:r>
    </w:p>
    <w:p w14:paraId="3DCE6AA7" w14:textId="1918FA7C" w:rsidR="00164788" w:rsidRPr="00FF756A" w:rsidRDefault="00164788" w:rsidP="004A3257">
      <w:pPr>
        <w:pStyle w:val="ListParagraph"/>
        <w:numPr>
          <w:ilvl w:val="0"/>
          <w:numId w:val="239"/>
        </w:numPr>
        <w:spacing w:before="0" w:after="0"/>
        <w:jc w:val="left"/>
        <w:rPr>
          <w:color w:val="000000" w:themeColor="text1"/>
        </w:rPr>
      </w:pPr>
      <w:r w:rsidRPr="00FF756A">
        <w:rPr>
          <w:color w:val="000000" w:themeColor="text1"/>
        </w:rPr>
        <w:t>Urdhri i Ministrisë së Infrastrukturës dhe Energjisë Nr. 27, datë 18.01.2021, “Për miratimin e strategjisë së transformimit të mbështetjes feed-in-tariff në kontratë për diferencë;</w:t>
      </w:r>
    </w:p>
    <w:p w14:paraId="5138338C" w14:textId="77777777" w:rsidR="00164788" w:rsidRPr="00FF756A" w:rsidRDefault="00164788" w:rsidP="000A290D">
      <w:pPr>
        <w:pStyle w:val="ListParagraph"/>
        <w:numPr>
          <w:ilvl w:val="0"/>
          <w:numId w:val="239"/>
        </w:numPr>
        <w:spacing w:before="0" w:after="0"/>
        <w:jc w:val="left"/>
        <w:rPr>
          <w:color w:val="000000" w:themeColor="text1"/>
        </w:rPr>
      </w:pPr>
      <w:r w:rsidRPr="00FF756A">
        <w:rPr>
          <w:color w:val="000000" w:themeColor="text1"/>
        </w:rPr>
        <w:t>Vendimi i Bordit të ERE-s nr.347, datë 27.12.2022, “Për miratimin e rregullave të tregut të energjisë elektrike”;</w:t>
      </w:r>
    </w:p>
    <w:p w14:paraId="2F489EEF" w14:textId="28AAE49B" w:rsidR="00164788" w:rsidRPr="00FF756A" w:rsidRDefault="00164788" w:rsidP="004A3257">
      <w:pPr>
        <w:pStyle w:val="ListParagraph"/>
        <w:numPr>
          <w:ilvl w:val="0"/>
          <w:numId w:val="239"/>
        </w:numPr>
        <w:spacing w:before="0" w:after="0"/>
        <w:jc w:val="left"/>
        <w:rPr>
          <w:color w:val="000000" w:themeColor="text1"/>
        </w:rPr>
      </w:pPr>
      <w:r w:rsidRPr="00FF756A">
        <w:rPr>
          <w:color w:val="000000" w:themeColor="text1"/>
        </w:rPr>
        <w:t xml:space="preserve">Vendimi i Bordit të ERE-s nr. 106, datë 02.07.2020, “Për miratimin e rregullave të tregut shqiptar të balancimit të energjisë elektrike” (i ndryshuar) </w:t>
      </w:r>
      <w:r w:rsidR="000A290D" w:rsidRPr="00FF756A">
        <w:rPr>
          <w:color w:val="000000" w:themeColor="text1"/>
        </w:rPr>
        <w:t>;</w:t>
      </w:r>
    </w:p>
    <w:p w14:paraId="1005F34B" w14:textId="51450A2E" w:rsidR="00164788" w:rsidRPr="00FF756A" w:rsidRDefault="00164788" w:rsidP="004A3257">
      <w:pPr>
        <w:pStyle w:val="ListParagraph"/>
        <w:numPr>
          <w:ilvl w:val="0"/>
          <w:numId w:val="239"/>
        </w:numPr>
        <w:spacing w:before="0" w:after="0"/>
        <w:jc w:val="left"/>
        <w:rPr>
          <w:color w:val="000000" w:themeColor="text1"/>
        </w:rPr>
      </w:pPr>
      <w:r w:rsidRPr="00FF756A">
        <w:rPr>
          <w:color w:val="000000" w:themeColor="text1"/>
        </w:rPr>
        <w:t>Vendimi i Bordit të ERE-s nr. 126, datë 17.05.2021, “Për miratimin e rregullores për integritetin dhe transparencën e tregut me shumicë të energjisë”</w:t>
      </w:r>
      <w:r w:rsidR="000A290D" w:rsidRPr="00FF756A">
        <w:rPr>
          <w:color w:val="000000" w:themeColor="text1"/>
        </w:rPr>
        <w:t>;</w:t>
      </w:r>
    </w:p>
    <w:p w14:paraId="4F534E20" w14:textId="57FF48FB" w:rsidR="00164788" w:rsidRPr="00FF756A" w:rsidRDefault="00164788" w:rsidP="004A3257">
      <w:pPr>
        <w:pStyle w:val="ListParagraph"/>
        <w:numPr>
          <w:ilvl w:val="0"/>
          <w:numId w:val="239"/>
        </w:numPr>
        <w:spacing w:before="0" w:after="0"/>
        <w:jc w:val="left"/>
        <w:rPr>
          <w:color w:val="000000" w:themeColor="text1"/>
        </w:rPr>
      </w:pPr>
      <w:r w:rsidRPr="00FF756A">
        <w:rPr>
          <w:color w:val="000000" w:themeColor="text1"/>
        </w:rPr>
        <w:t>Vendimi i Bordit të ERE-s nr. 40, datë 06.03.2020, “Për miratimin e rregullores për kërkesat dhe procedurat për përcaktimin e operatorit të emëruar të tregut të energjisë elektrike (NEMO) si dhe rolet e përgjegjësitë e NEMO dhe operatorit të sistemit të transmetimit të energjisë në tregun e bashkuar”</w:t>
      </w:r>
      <w:r w:rsidR="000A290D" w:rsidRPr="00FF756A">
        <w:rPr>
          <w:color w:val="000000" w:themeColor="text1"/>
        </w:rPr>
        <w:t>;</w:t>
      </w:r>
    </w:p>
    <w:p w14:paraId="19596F4E" w14:textId="1D5E8D28" w:rsidR="000A290D" w:rsidRPr="00FF756A" w:rsidRDefault="00164788" w:rsidP="000A290D">
      <w:pPr>
        <w:pStyle w:val="ListParagraph"/>
        <w:numPr>
          <w:ilvl w:val="0"/>
          <w:numId w:val="239"/>
        </w:numPr>
        <w:spacing w:before="0" w:after="0"/>
        <w:jc w:val="left"/>
        <w:rPr>
          <w:color w:val="000000" w:themeColor="text1"/>
        </w:rPr>
      </w:pPr>
      <w:r w:rsidRPr="00FF756A">
        <w:rPr>
          <w:color w:val="000000" w:themeColor="text1"/>
        </w:rPr>
        <w:t>Vendimi i Bordit të ERE-s nr. 118, datë 27.07.2017, “Për miratimin e rregullave për publikimin e të dhënave bazë të tregut të energjisë elektrike”</w:t>
      </w:r>
      <w:r w:rsidR="000A290D" w:rsidRPr="00FF756A">
        <w:rPr>
          <w:color w:val="000000" w:themeColor="text1"/>
        </w:rPr>
        <w:t>;</w:t>
      </w:r>
    </w:p>
    <w:p w14:paraId="0BEBE439" w14:textId="5D6CF346" w:rsidR="000A290D" w:rsidRPr="00FF756A" w:rsidRDefault="00164788" w:rsidP="000A290D">
      <w:pPr>
        <w:pStyle w:val="ListParagraph"/>
        <w:numPr>
          <w:ilvl w:val="0"/>
          <w:numId w:val="239"/>
        </w:numPr>
        <w:spacing w:before="0" w:after="0"/>
        <w:jc w:val="left"/>
        <w:rPr>
          <w:color w:val="000000" w:themeColor="text1"/>
        </w:rPr>
      </w:pPr>
      <w:r w:rsidRPr="00FF756A">
        <w:rPr>
          <w:color w:val="000000" w:themeColor="text1"/>
        </w:rPr>
        <w:t>Vendimi i Bordit të ERE-s nr. 154, datë 11.12.2015, “Për miratimin e rregullave për certifikimin e operatorit të sistemit të transmetimit të energjisë elektrike”</w:t>
      </w:r>
      <w:r w:rsidR="000A290D" w:rsidRPr="00FF756A">
        <w:rPr>
          <w:color w:val="000000" w:themeColor="text1"/>
        </w:rPr>
        <w:t>;</w:t>
      </w:r>
    </w:p>
    <w:p w14:paraId="0899FA36" w14:textId="40C9DED0" w:rsidR="000A290D" w:rsidRPr="00FF756A" w:rsidRDefault="00164788" w:rsidP="000A290D">
      <w:pPr>
        <w:pStyle w:val="ListParagraph"/>
        <w:numPr>
          <w:ilvl w:val="0"/>
          <w:numId w:val="239"/>
        </w:numPr>
        <w:spacing w:before="0" w:after="0"/>
        <w:jc w:val="left"/>
        <w:rPr>
          <w:color w:val="000000" w:themeColor="text1"/>
        </w:rPr>
      </w:pPr>
      <w:r w:rsidRPr="00FF756A">
        <w:rPr>
          <w:color w:val="000000" w:themeColor="text1"/>
        </w:rPr>
        <w:t>Vendimi i Bordit të ERE-s nr. 113, datë 08.07.2016, “Për miratimin e rregullores për ndryshimin e furnizuesit të energjisë elektrike” (i ndryshuar)</w:t>
      </w:r>
      <w:r w:rsidR="000A290D" w:rsidRPr="00FF756A">
        <w:rPr>
          <w:color w:val="000000" w:themeColor="text1"/>
        </w:rPr>
        <w:t>;</w:t>
      </w:r>
    </w:p>
    <w:p w14:paraId="356338BB" w14:textId="5248955E" w:rsidR="000A290D" w:rsidRPr="00FF756A" w:rsidRDefault="00164788" w:rsidP="000A290D">
      <w:pPr>
        <w:pStyle w:val="ListParagraph"/>
        <w:numPr>
          <w:ilvl w:val="0"/>
          <w:numId w:val="239"/>
        </w:numPr>
        <w:spacing w:before="0" w:after="0"/>
        <w:jc w:val="left"/>
        <w:rPr>
          <w:color w:val="000000" w:themeColor="text1"/>
        </w:rPr>
      </w:pPr>
      <w:r w:rsidRPr="00FF756A">
        <w:rPr>
          <w:color w:val="000000" w:themeColor="text1"/>
        </w:rPr>
        <w:t>Vendimi i Bordit të ERE-s nr. 112, datë 09.07.2020, “Për miratimin e rregullores për profilet e standardizuara të ngarkesës për kategori të caktuara klientësh, në rast se të dhënat e matjeve, të nevojshme përllogaritjen e disbalancave, nuk janë të disponueshme”</w:t>
      </w:r>
      <w:r w:rsidR="000A290D" w:rsidRPr="00FF756A">
        <w:rPr>
          <w:color w:val="000000" w:themeColor="text1"/>
        </w:rPr>
        <w:t>;</w:t>
      </w:r>
    </w:p>
    <w:p w14:paraId="17A94602" w14:textId="5080308C" w:rsidR="000A290D" w:rsidRPr="00FF756A" w:rsidRDefault="00164788" w:rsidP="000A290D">
      <w:pPr>
        <w:pStyle w:val="ListParagraph"/>
        <w:numPr>
          <w:ilvl w:val="0"/>
          <w:numId w:val="239"/>
        </w:numPr>
        <w:spacing w:before="0" w:after="0"/>
        <w:jc w:val="left"/>
        <w:rPr>
          <w:color w:val="000000" w:themeColor="text1"/>
        </w:rPr>
      </w:pPr>
      <w:r w:rsidRPr="00FF756A">
        <w:rPr>
          <w:color w:val="000000" w:themeColor="text1"/>
        </w:rPr>
        <w:t>Vendimi i Bordit të ERE-s nr. 63, datë 11.04.2022, “Për miratimin e kodit të transmetimit”</w:t>
      </w:r>
      <w:r w:rsidR="000A290D" w:rsidRPr="00FF756A">
        <w:rPr>
          <w:color w:val="000000" w:themeColor="text1"/>
        </w:rPr>
        <w:t>;</w:t>
      </w:r>
    </w:p>
    <w:p w14:paraId="24DF4C30" w14:textId="50D23E18" w:rsidR="000A290D" w:rsidRPr="00FF756A" w:rsidRDefault="00164788" w:rsidP="000A290D">
      <w:pPr>
        <w:pStyle w:val="ListParagraph"/>
        <w:numPr>
          <w:ilvl w:val="0"/>
          <w:numId w:val="239"/>
        </w:numPr>
        <w:spacing w:before="0" w:after="0"/>
        <w:jc w:val="left"/>
        <w:rPr>
          <w:color w:val="000000" w:themeColor="text1"/>
        </w:rPr>
      </w:pPr>
      <w:r w:rsidRPr="00FF756A">
        <w:rPr>
          <w:color w:val="000000" w:themeColor="text1"/>
        </w:rPr>
        <w:t>Vendimi i Bordit të ERE-s nr. 100, datë 26.08.2008, “Për miratimin e kodit të shpërndarjes” (i ndryshuar)</w:t>
      </w:r>
      <w:r w:rsidR="000A290D" w:rsidRPr="00FF756A">
        <w:rPr>
          <w:color w:val="000000" w:themeColor="text1"/>
        </w:rPr>
        <w:t>;</w:t>
      </w:r>
    </w:p>
    <w:p w14:paraId="32C4CE97" w14:textId="118AB2AC" w:rsidR="00164788" w:rsidRPr="00FF756A" w:rsidRDefault="00164788" w:rsidP="004A3257">
      <w:pPr>
        <w:pStyle w:val="ListParagraph"/>
        <w:numPr>
          <w:ilvl w:val="0"/>
          <w:numId w:val="239"/>
        </w:numPr>
        <w:spacing w:before="0" w:after="0"/>
        <w:jc w:val="left"/>
        <w:rPr>
          <w:color w:val="000000" w:themeColor="text1"/>
        </w:rPr>
      </w:pPr>
      <w:r w:rsidRPr="00FF756A">
        <w:rPr>
          <w:color w:val="000000" w:themeColor="text1"/>
        </w:rPr>
        <w:t>Vendimi i Bordit të ERE-s nr. 101, datë 26.08.2008, “Për miratimin e kodit të matjes”</w:t>
      </w:r>
      <w:r w:rsidR="000A290D" w:rsidRPr="00FF756A">
        <w:rPr>
          <w:color w:val="000000" w:themeColor="text1"/>
        </w:rPr>
        <w:t>;</w:t>
      </w:r>
    </w:p>
    <w:p w14:paraId="36FF7533" w14:textId="5AF67B62" w:rsidR="000A290D" w:rsidRPr="00FF756A" w:rsidRDefault="00164788" w:rsidP="000A290D">
      <w:pPr>
        <w:pStyle w:val="ListParagraph"/>
        <w:numPr>
          <w:ilvl w:val="0"/>
          <w:numId w:val="239"/>
        </w:numPr>
        <w:spacing w:before="0" w:after="0"/>
        <w:jc w:val="left"/>
        <w:rPr>
          <w:color w:val="000000" w:themeColor="text1"/>
        </w:rPr>
      </w:pPr>
      <w:r w:rsidRPr="00FF756A">
        <w:rPr>
          <w:color w:val="000000" w:themeColor="text1"/>
        </w:rPr>
        <w:t>Vendimi i Bordit të ERE-s nr. 127, datë 04.06.2018, “Mbi miratimin e kodit të rrjetit mbi kërkesat për lidhjen me rrjetin e sistemeve me tension të lartë me rrymë të vazhduar dhe parqet me module të energjisë të lidhur me rrymë të vazhduar”</w:t>
      </w:r>
      <w:r w:rsidR="000A290D" w:rsidRPr="00FF756A">
        <w:rPr>
          <w:color w:val="000000" w:themeColor="text1"/>
        </w:rPr>
        <w:t>;</w:t>
      </w:r>
    </w:p>
    <w:p w14:paraId="5C138EF1" w14:textId="77777777" w:rsidR="000A290D" w:rsidRPr="00FF756A" w:rsidRDefault="00164788" w:rsidP="000A290D">
      <w:pPr>
        <w:pStyle w:val="ListParagraph"/>
        <w:numPr>
          <w:ilvl w:val="0"/>
          <w:numId w:val="239"/>
        </w:numPr>
        <w:spacing w:before="0" w:after="0"/>
        <w:jc w:val="left"/>
        <w:rPr>
          <w:color w:val="000000" w:themeColor="text1"/>
        </w:rPr>
      </w:pPr>
      <w:r w:rsidRPr="00FF756A">
        <w:rPr>
          <w:color w:val="000000" w:themeColor="text1"/>
        </w:rPr>
        <w:t>Vendimi i Bordit të ERE-s nr. 128, datë 04.06.2018, “Mbi miratimin e kodit të rrjetit mbi ngarkesën”</w:t>
      </w:r>
    </w:p>
    <w:p w14:paraId="3B76FAD0" w14:textId="4C04F38F" w:rsidR="000A290D" w:rsidRPr="00FF756A" w:rsidRDefault="00164788" w:rsidP="000A290D">
      <w:pPr>
        <w:pStyle w:val="ListParagraph"/>
        <w:numPr>
          <w:ilvl w:val="0"/>
          <w:numId w:val="239"/>
        </w:numPr>
        <w:spacing w:before="0" w:after="0"/>
        <w:jc w:val="left"/>
        <w:rPr>
          <w:color w:val="000000" w:themeColor="text1"/>
        </w:rPr>
      </w:pPr>
      <w:r w:rsidRPr="00FF756A">
        <w:rPr>
          <w:color w:val="000000" w:themeColor="text1"/>
        </w:rPr>
        <w:t>Vendimi i Bordit të ERE-s nr. 129, datë 04.06.2018, “Mbi miratimin e kodit të rrjetit mbi kërkesat për lidhjen me rrjetin e gjeneruesve</w:t>
      </w:r>
      <w:r w:rsidR="000A290D" w:rsidRPr="00FF756A">
        <w:rPr>
          <w:color w:val="000000" w:themeColor="text1"/>
        </w:rPr>
        <w:t>;</w:t>
      </w:r>
    </w:p>
    <w:p w14:paraId="6FECBA78" w14:textId="46D4F90E" w:rsidR="000A290D" w:rsidRPr="00FF756A" w:rsidRDefault="00164788" w:rsidP="000A290D">
      <w:pPr>
        <w:pStyle w:val="ListParagraph"/>
        <w:numPr>
          <w:ilvl w:val="0"/>
          <w:numId w:val="239"/>
        </w:numPr>
        <w:spacing w:before="0" w:after="0"/>
        <w:jc w:val="left"/>
        <w:rPr>
          <w:color w:val="000000" w:themeColor="text1"/>
        </w:rPr>
      </w:pPr>
      <w:r w:rsidRPr="00FF756A">
        <w:rPr>
          <w:color w:val="000000" w:themeColor="text1"/>
        </w:rPr>
        <w:t>Vendimi i ERE nr. 135, datë 6.9.2017 “Rregullore për procedurat e paraqitjes dhe miratimit të planeve të zhvillimit (OSSH, OST)”</w:t>
      </w:r>
      <w:r w:rsidR="000A290D" w:rsidRPr="00FF756A">
        <w:rPr>
          <w:color w:val="000000" w:themeColor="text1"/>
        </w:rPr>
        <w:t>;</w:t>
      </w:r>
    </w:p>
    <w:p w14:paraId="32751915" w14:textId="0D0F21AC" w:rsidR="000A290D" w:rsidRPr="00FF756A" w:rsidRDefault="00164788" w:rsidP="000A290D">
      <w:pPr>
        <w:pStyle w:val="ListParagraph"/>
        <w:numPr>
          <w:ilvl w:val="0"/>
          <w:numId w:val="239"/>
        </w:numPr>
        <w:spacing w:before="0" w:after="0"/>
        <w:jc w:val="left"/>
        <w:rPr>
          <w:color w:val="000000" w:themeColor="text1"/>
        </w:rPr>
      </w:pPr>
      <w:r w:rsidRPr="00FF756A">
        <w:rPr>
          <w:color w:val="000000" w:themeColor="text1"/>
        </w:rPr>
        <w:t>Vendimi i ERE Nr. 186, datë 10.11.2017 “Për kodin e rrjetit të transmetimit</w:t>
      </w:r>
      <w:r w:rsidR="000A290D" w:rsidRPr="00FF756A">
        <w:rPr>
          <w:color w:val="000000" w:themeColor="text1"/>
        </w:rPr>
        <w:t>;</w:t>
      </w:r>
    </w:p>
    <w:p w14:paraId="4AE9AA78" w14:textId="7F8A90F3" w:rsidR="00164788" w:rsidRPr="00FF756A" w:rsidRDefault="00164788" w:rsidP="004A3257">
      <w:pPr>
        <w:pStyle w:val="ListParagraph"/>
        <w:numPr>
          <w:ilvl w:val="0"/>
          <w:numId w:val="239"/>
        </w:numPr>
        <w:spacing w:before="0" w:after="0"/>
        <w:jc w:val="left"/>
        <w:rPr>
          <w:color w:val="000000" w:themeColor="text1"/>
        </w:rPr>
      </w:pPr>
      <w:r w:rsidRPr="00FF756A">
        <w:rPr>
          <w:color w:val="000000" w:themeColor="text1"/>
        </w:rPr>
        <w:t>Vendimi i ERE Nr. 180, datë 8.11.2017 “Për miratimin e metodologjisë së llogaritjes së tarifës”</w:t>
      </w:r>
      <w:r w:rsidR="000A290D" w:rsidRPr="00FF756A">
        <w:rPr>
          <w:color w:val="000000" w:themeColor="text1"/>
        </w:rPr>
        <w:t>.</w:t>
      </w:r>
    </w:p>
    <w:p w14:paraId="396E2A6A" w14:textId="77777777" w:rsidR="00835192" w:rsidRPr="00FF756A" w:rsidRDefault="00835192" w:rsidP="00835192">
      <w:pPr>
        <w:spacing w:before="0" w:after="0"/>
        <w:rPr>
          <w:color w:val="000000" w:themeColor="text1"/>
        </w:rPr>
      </w:pPr>
    </w:p>
    <w:p w14:paraId="525DFA00" w14:textId="77777777" w:rsidR="00835192" w:rsidRPr="00FF756A" w:rsidRDefault="00835192" w:rsidP="00835192">
      <w:r w:rsidRPr="00FF756A">
        <w:t>Në tabelat më poshtë jepen politikat dhe masat, të ndara sipas sektorëve përkatës.</w:t>
      </w:r>
    </w:p>
    <w:p w14:paraId="7A4CB580" w14:textId="77777777" w:rsidR="00835192" w:rsidRPr="00FF756A" w:rsidRDefault="00835192" w:rsidP="00835192"/>
    <w:p w14:paraId="6BDBF818" w14:textId="2CDE8096" w:rsidR="00835192" w:rsidRPr="00FF756A" w:rsidRDefault="004C3BE2" w:rsidP="004F61D5">
      <w:pPr>
        <w:pStyle w:val="Heading3"/>
      </w:pPr>
      <w:bookmarkStart w:id="448" w:name="_Toc75616140"/>
      <w:bookmarkStart w:id="449" w:name="_Toc182897796"/>
      <w:bookmarkStart w:id="450" w:name="_Toc183639251"/>
      <w:r w:rsidRPr="00FF756A">
        <w:t xml:space="preserve">3.4.2 </w:t>
      </w:r>
      <w:r w:rsidR="00835192" w:rsidRPr="00FF756A">
        <w:t>Infrastruktura e energjisë elektrike</w:t>
      </w:r>
      <w:bookmarkEnd w:id="448"/>
      <w:bookmarkEnd w:id="449"/>
      <w:bookmarkEnd w:id="450"/>
    </w:p>
    <w:p w14:paraId="092FFEA0" w14:textId="77777777" w:rsidR="004F61D5" w:rsidRPr="00FF756A" w:rsidRDefault="004F61D5" w:rsidP="004A3257"/>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5"/>
        <w:gridCol w:w="1280"/>
        <w:gridCol w:w="601"/>
        <w:gridCol w:w="429"/>
        <w:gridCol w:w="3674"/>
        <w:gridCol w:w="883"/>
      </w:tblGrid>
      <w:tr w:rsidR="00835192" w:rsidRPr="00FF756A" w14:paraId="25C5EAAA" w14:textId="77777777" w:rsidTr="004A3257">
        <w:trPr>
          <w:trHeight w:val="20"/>
        </w:trPr>
        <w:tc>
          <w:tcPr>
            <w:tcW w:w="4528" w:type="dxa"/>
            <w:gridSpan w:val="4"/>
            <w:shd w:val="clear" w:color="auto" w:fill="AEAAAA" w:themeFill="background2" w:themeFillShade="BF"/>
          </w:tcPr>
          <w:p w14:paraId="70C98FA6"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4" w:type="dxa"/>
            <w:gridSpan w:val="2"/>
            <w:shd w:val="clear" w:color="auto" w:fill="AEAAAA" w:themeFill="background2" w:themeFillShade="BF"/>
          </w:tcPr>
          <w:p w14:paraId="7F98D8E6" w14:textId="77777777" w:rsidR="00835192" w:rsidRPr="00FF756A" w:rsidRDefault="00835192" w:rsidP="008639B2">
            <w:pPr>
              <w:numPr>
                <w:ilvl w:val="0"/>
                <w:numId w:val="118"/>
              </w:numPr>
              <w:spacing w:before="20" w:after="20" w:line="240" w:lineRule="auto"/>
              <w:contextualSpacing/>
              <w:rPr>
                <w:i/>
                <w:iCs/>
                <w:sz w:val="20"/>
                <w:szCs w:val="20"/>
              </w:rPr>
            </w:pPr>
            <w:r w:rsidRPr="00FF756A">
              <w:rPr>
                <w:i/>
                <w:iCs/>
                <w:sz w:val="20"/>
                <w:szCs w:val="20"/>
              </w:rPr>
              <w:t>Tregu i energjisë</w:t>
            </w:r>
          </w:p>
        </w:tc>
      </w:tr>
      <w:tr w:rsidR="00835192" w:rsidRPr="00FF756A" w14:paraId="7941967D" w14:textId="77777777" w:rsidTr="004A3257">
        <w:trPr>
          <w:trHeight w:val="20"/>
        </w:trPr>
        <w:tc>
          <w:tcPr>
            <w:tcW w:w="4096" w:type="dxa"/>
            <w:gridSpan w:val="3"/>
            <w:shd w:val="clear" w:color="auto" w:fill="AEAAAA" w:themeFill="background2" w:themeFillShade="BF"/>
          </w:tcPr>
          <w:p w14:paraId="34C84005"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6" w:type="dxa"/>
            <w:gridSpan w:val="3"/>
            <w:shd w:val="clear" w:color="auto" w:fill="AEAAAA" w:themeFill="background2" w:themeFillShade="BF"/>
          </w:tcPr>
          <w:p w14:paraId="014CC581" w14:textId="77777777" w:rsidR="00835192" w:rsidRPr="00FF756A" w:rsidRDefault="00835192" w:rsidP="00835192">
            <w:pPr>
              <w:spacing w:before="20" w:after="20" w:line="240" w:lineRule="auto"/>
              <w:rPr>
                <w:i/>
                <w:iCs/>
                <w:sz w:val="20"/>
                <w:szCs w:val="20"/>
              </w:rPr>
            </w:pPr>
            <w:r w:rsidRPr="00FF756A">
              <w:rPr>
                <w:i/>
                <w:iCs/>
                <w:sz w:val="20"/>
                <w:szCs w:val="20"/>
              </w:rPr>
              <w:t>Infrastruktura e energjisë elektrike</w:t>
            </w:r>
          </w:p>
        </w:tc>
      </w:tr>
      <w:tr w:rsidR="00835192" w:rsidRPr="00FF756A" w14:paraId="588F1F67" w14:textId="77777777" w:rsidTr="004A3257">
        <w:trPr>
          <w:trHeight w:val="20"/>
        </w:trPr>
        <w:tc>
          <w:tcPr>
            <w:tcW w:w="3491" w:type="dxa"/>
            <w:gridSpan w:val="2"/>
          </w:tcPr>
          <w:p w14:paraId="64373531"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350080E1"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81" w:type="dxa"/>
            <w:gridSpan w:val="4"/>
          </w:tcPr>
          <w:p w14:paraId="6F5CF6AD" w14:textId="77777777" w:rsidR="00835192" w:rsidRPr="00FF756A" w:rsidRDefault="00835192" w:rsidP="00835192">
            <w:pPr>
              <w:spacing w:before="20" w:after="20" w:line="240" w:lineRule="auto"/>
              <w:rPr>
                <w:i/>
                <w:iCs/>
                <w:sz w:val="20"/>
                <w:szCs w:val="20"/>
              </w:rPr>
            </w:pPr>
            <w:r w:rsidRPr="00FF756A">
              <w:rPr>
                <w:i/>
                <w:iCs/>
                <w:sz w:val="20"/>
                <w:szCs w:val="20"/>
              </w:rPr>
              <w:t>WEM</w:t>
            </w:r>
          </w:p>
          <w:p w14:paraId="5C703ADD" w14:textId="77777777" w:rsidR="00835192" w:rsidRPr="00FF756A" w:rsidRDefault="00835192" w:rsidP="00835192">
            <w:pPr>
              <w:spacing w:before="20" w:after="20" w:line="240" w:lineRule="auto"/>
              <w:rPr>
                <w:i/>
                <w:iCs/>
                <w:sz w:val="20"/>
                <w:szCs w:val="20"/>
              </w:rPr>
            </w:pPr>
            <w:r w:rsidRPr="00FF756A">
              <w:rPr>
                <w:i/>
                <w:iCs/>
                <w:sz w:val="20"/>
                <w:szCs w:val="20"/>
              </w:rPr>
              <w:t>Rregullator; Financiar</w:t>
            </w:r>
          </w:p>
        </w:tc>
      </w:tr>
      <w:tr w:rsidR="00835192" w:rsidRPr="00FF756A" w14:paraId="386A0E0F" w14:textId="77777777" w:rsidTr="004A3257">
        <w:trPr>
          <w:trHeight w:val="20"/>
        </w:trPr>
        <w:tc>
          <w:tcPr>
            <w:tcW w:w="2202" w:type="dxa"/>
          </w:tcPr>
          <w:p w14:paraId="05B49A92"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7C9A98F2"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0" w:type="dxa"/>
            <w:gridSpan w:val="5"/>
          </w:tcPr>
          <w:p w14:paraId="51EA67CF" w14:textId="1870FB44" w:rsidR="00835192" w:rsidRPr="00FF756A" w:rsidRDefault="00835192" w:rsidP="00835192">
            <w:pPr>
              <w:spacing w:before="20" w:after="20" w:line="240" w:lineRule="auto"/>
              <w:rPr>
                <w:i/>
                <w:iCs/>
                <w:sz w:val="20"/>
                <w:szCs w:val="20"/>
              </w:rPr>
            </w:pPr>
            <w:r w:rsidRPr="00FF756A">
              <w:rPr>
                <w:i/>
                <w:iCs/>
                <w:sz w:val="20"/>
                <w:szCs w:val="20"/>
              </w:rPr>
              <w:t xml:space="preserve">Ndërlidhësit </w:t>
            </w:r>
            <w:r w:rsidR="00BB23DC" w:rsidRPr="00FF756A">
              <w:rPr>
                <w:i/>
                <w:iCs/>
                <w:sz w:val="20"/>
                <w:szCs w:val="20"/>
              </w:rPr>
              <w:t xml:space="preserve">e energjisë </w:t>
            </w:r>
            <w:r w:rsidRPr="00FF756A">
              <w:rPr>
                <w:i/>
                <w:iCs/>
                <w:sz w:val="20"/>
                <w:szCs w:val="20"/>
              </w:rPr>
              <w:t>elektrikë</w:t>
            </w:r>
          </w:p>
          <w:p w14:paraId="289D5F9F" w14:textId="77777777" w:rsidR="00835192" w:rsidRPr="00FF756A" w:rsidRDefault="00835192" w:rsidP="00835192">
            <w:pPr>
              <w:spacing w:before="20" w:after="20" w:line="240" w:lineRule="auto"/>
              <w:rPr>
                <w:i/>
                <w:iCs/>
                <w:sz w:val="20"/>
                <w:szCs w:val="20"/>
              </w:rPr>
            </w:pPr>
            <w:r w:rsidRPr="00FF756A">
              <w:rPr>
                <w:i/>
                <w:iCs/>
                <w:sz w:val="20"/>
                <w:szCs w:val="20"/>
              </w:rPr>
              <w:t>(EM-I1)</w:t>
            </w:r>
          </w:p>
        </w:tc>
      </w:tr>
      <w:tr w:rsidR="00835192" w:rsidRPr="00FF756A" w14:paraId="3CBA1122" w14:textId="77777777" w:rsidTr="004A3257">
        <w:trPr>
          <w:trHeight w:val="20"/>
        </w:trPr>
        <w:tc>
          <w:tcPr>
            <w:tcW w:w="2202" w:type="dxa"/>
          </w:tcPr>
          <w:p w14:paraId="57AA313C"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0" w:type="dxa"/>
            <w:gridSpan w:val="5"/>
          </w:tcPr>
          <w:p w14:paraId="372FB831" w14:textId="77777777" w:rsidR="00835192" w:rsidRPr="00FF756A" w:rsidRDefault="00835192" w:rsidP="00835192">
            <w:pPr>
              <w:spacing w:before="20" w:after="20" w:line="240" w:lineRule="auto"/>
              <w:rPr>
                <w:i/>
                <w:iCs/>
                <w:sz w:val="20"/>
                <w:szCs w:val="20"/>
              </w:rPr>
            </w:pPr>
            <w:r w:rsidRPr="00FF756A">
              <w:rPr>
                <w:i/>
                <w:iCs/>
                <w:sz w:val="20"/>
                <w:szCs w:val="20"/>
              </w:rPr>
              <w:t>2017 - vazhdim</w:t>
            </w:r>
          </w:p>
        </w:tc>
      </w:tr>
      <w:tr w:rsidR="00835192" w:rsidRPr="00FF756A" w14:paraId="082248B6" w14:textId="77777777" w:rsidTr="004A3257">
        <w:trPr>
          <w:trHeight w:val="20"/>
        </w:trPr>
        <w:tc>
          <w:tcPr>
            <w:tcW w:w="2202" w:type="dxa"/>
          </w:tcPr>
          <w:p w14:paraId="49301D51"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0" w:type="dxa"/>
            <w:gridSpan w:val="5"/>
          </w:tcPr>
          <w:p w14:paraId="55E18FB4" w14:textId="77777777" w:rsidR="00835192" w:rsidRPr="00FF756A" w:rsidRDefault="00835192" w:rsidP="00835192">
            <w:pPr>
              <w:spacing w:before="20" w:after="20" w:line="240" w:lineRule="auto"/>
              <w:rPr>
                <w:i/>
                <w:iCs/>
                <w:sz w:val="20"/>
                <w:szCs w:val="20"/>
              </w:rPr>
            </w:pPr>
            <w:r w:rsidRPr="00FF756A">
              <w:rPr>
                <w:i/>
                <w:iCs/>
                <w:sz w:val="20"/>
                <w:szCs w:val="20"/>
              </w:rPr>
              <w:t>Ligji nr. 43/2015, datë 30.04.2015, “Për sektorin e energjisë elektrike” (i ndryshuar)</w:t>
            </w:r>
          </w:p>
          <w:p w14:paraId="4952E014" w14:textId="77777777" w:rsidR="00835192" w:rsidRPr="00FF756A" w:rsidRDefault="00835192" w:rsidP="00835192">
            <w:pPr>
              <w:spacing w:before="20" w:after="20" w:line="240" w:lineRule="auto"/>
              <w:rPr>
                <w:i/>
                <w:iCs/>
                <w:sz w:val="20"/>
                <w:szCs w:val="20"/>
              </w:rPr>
            </w:pPr>
            <w:r w:rsidRPr="00FF756A">
              <w:rPr>
                <w:i/>
                <w:iCs/>
                <w:sz w:val="20"/>
                <w:szCs w:val="20"/>
              </w:rPr>
              <w:t>VKM nr.16, datë 11.01.2017 “Për miratimin e kushteve dhe të procedurave për ndërtimin e interkonektorëve të rinj”</w:t>
            </w:r>
          </w:p>
          <w:p w14:paraId="0B6B4A7E" w14:textId="77777777" w:rsidR="00835192" w:rsidRPr="00FF756A" w:rsidRDefault="00835192" w:rsidP="00835192">
            <w:pPr>
              <w:spacing w:before="20" w:after="20" w:line="240" w:lineRule="auto"/>
              <w:rPr>
                <w:i/>
                <w:iCs/>
                <w:sz w:val="20"/>
                <w:szCs w:val="20"/>
              </w:rPr>
            </w:pPr>
            <w:r w:rsidRPr="00FF756A">
              <w:rPr>
                <w:i/>
                <w:iCs/>
                <w:sz w:val="20"/>
                <w:szCs w:val="20"/>
              </w:rPr>
              <w:t>Vendimi i ERE nr. 135, datë 6.9.2017 “Rregullore për procedurat e paraqitjes dhe miratimit të planeve të zhvillimit (OSSH, OST)”</w:t>
            </w:r>
          </w:p>
          <w:p w14:paraId="2E15747A" w14:textId="77777777" w:rsidR="00835192" w:rsidRPr="00FF756A" w:rsidRDefault="00835192" w:rsidP="00835192">
            <w:pPr>
              <w:spacing w:before="20" w:after="20" w:line="240" w:lineRule="auto"/>
              <w:rPr>
                <w:i/>
                <w:iCs/>
                <w:sz w:val="20"/>
                <w:szCs w:val="20"/>
              </w:rPr>
            </w:pPr>
            <w:r w:rsidRPr="00FF756A">
              <w:rPr>
                <w:i/>
                <w:iCs/>
                <w:sz w:val="20"/>
                <w:szCs w:val="20"/>
              </w:rPr>
              <w:t>Plani 10-vjeçar i investimeve, masterplani i OST-së</w:t>
            </w:r>
          </w:p>
        </w:tc>
      </w:tr>
      <w:tr w:rsidR="00835192" w:rsidRPr="00FF756A" w14:paraId="7596494B" w14:textId="77777777" w:rsidTr="004A3257">
        <w:trPr>
          <w:trHeight w:val="20"/>
        </w:trPr>
        <w:tc>
          <w:tcPr>
            <w:tcW w:w="2202" w:type="dxa"/>
          </w:tcPr>
          <w:p w14:paraId="264C202C"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0" w:type="dxa"/>
            <w:gridSpan w:val="5"/>
          </w:tcPr>
          <w:p w14:paraId="517AF859" w14:textId="77777777" w:rsidR="00835192" w:rsidRPr="00FF756A" w:rsidRDefault="00835192" w:rsidP="00835192">
            <w:pPr>
              <w:spacing w:before="20" w:after="20" w:line="240" w:lineRule="auto"/>
              <w:rPr>
                <w:i/>
                <w:iCs/>
                <w:sz w:val="20"/>
                <w:szCs w:val="20"/>
              </w:rPr>
            </w:pPr>
            <w:r w:rsidRPr="00FF756A">
              <w:rPr>
                <w:i/>
                <w:iCs/>
                <w:sz w:val="20"/>
                <w:szCs w:val="20"/>
              </w:rPr>
              <w:t>VKM Nr.16, datë 11.01.2017 është pjesë e grupit të PM-eve që lidhen me zhvillimin e tregut të energjisë: (i) VKM Nr. 718, datë 12.10.2016 “Për miratimin e rregullave dhe procedurave të ndërtimit të kapaciteteve të reja prodhuese të energjisë elektrike”; (ii) Vendimi i ERE Nr. 186, datë 10.11.2017 “Për kodin e rrjetit të transmetimit”; (iii) Vendimi i ERE Nr. 180, datë 8.11.2017 “Për miratimin e metodologjisë së llogaritjes së tarifës”; (iv) Vendimi i ERE “Rregulloja për certifikimin e operatorit të sistemit të transmetimit të energjisë elektrike”’; dhe (v) Vendimi i ERE Nr. 135, datë 6.09.2017, “Rregullore për procedurat e paraqitjes dhe miratimit të planeve të zhvillimit (OSSH, OST)”</w:t>
            </w:r>
          </w:p>
        </w:tc>
      </w:tr>
      <w:tr w:rsidR="00835192" w:rsidRPr="00FF756A" w14:paraId="2441F70C" w14:textId="77777777" w:rsidTr="004A3257">
        <w:trPr>
          <w:trHeight w:val="20"/>
        </w:trPr>
        <w:tc>
          <w:tcPr>
            <w:tcW w:w="2202" w:type="dxa"/>
          </w:tcPr>
          <w:p w14:paraId="2186AFB8"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0" w:type="dxa"/>
            <w:gridSpan w:val="5"/>
          </w:tcPr>
          <w:p w14:paraId="470FE7DB" w14:textId="22154EF6" w:rsidR="00835192" w:rsidRPr="00FF756A" w:rsidRDefault="00835192" w:rsidP="00835192">
            <w:pPr>
              <w:spacing w:before="20" w:after="20" w:line="240" w:lineRule="auto"/>
              <w:rPr>
                <w:i/>
                <w:iCs/>
                <w:sz w:val="20"/>
                <w:szCs w:val="20"/>
              </w:rPr>
            </w:pPr>
            <w:r w:rsidRPr="00FF756A">
              <w:rPr>
                <w:i/>
                <w:iCs/>
                <w:sz w:val="20"/>
                <w:szCs w:val="20"/>
              </w:rPr>
              <w:t>Rritja e kapacitetit të interkoneksionit dhe transmetimit të Rrjetit Shqiptar të Transmetimit në përputhje me masterplanin,10-vjeçar të investimeve të OST-së.</w:t>
            </w:r>
          </w:p>
          <w:p w14:paraId="483E975F" w14:textId="77777777" w:rsidR="00835192" w:rsidRPr="00FF756A" w:rsidRDefault="00835192" w:rsidP="00835192">
            <w:pPr>
              <w:spacing w:before="20" w:after="20" w:line="240" w:lineRule="auto"/>
              <w:rPr>
                <w:i/>
                <w:iCs/>
                <w:sz w:val="20"/>
                <w:szCs w:val="20"/>
              </w:rPr>
            </w:pPr>
            <w:r w:rsidRPr="00FF756A">
              <w:rPr>
                <w:i/>
                <w:iCs/>
                <w:sz w:val="20"/>
                <w:szCs w:val="20"/>
              </w:rPr>
              <w:t>Përcaktimi i kërkesave dhe procedurave të nevojshme për marrjen e lejes për ndërtimin e linjave të interkoneksionit nën tension të lartë (110 kV e lart) nga Operatori Shqiptar i Sistemit të Transmetimit ose investitorët privatë.</w:t>
            </w:r>
          </w:p>
        </w:tc>
      </w:tr>
      <w:tr w:rsidR="00835192" w:rsidRPr="00FF756A" w14:paraId="7047C5C6" w14:textId="77777777" w:rsidTr="004A3257">
        <w:trPr>
          <w:trHeight w:val="20"/>
        </w:trPr>
        <w:tc>
          <w:tcPr>
            <w:tcW w:w="2202" w:type="dxa"/>
          </w:tcPr>
          <w:p w14:paraId="11AF518B"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0" w:type="dxa"/>
            <w:gridSpan w:val="5"/>
          </w:tcPr>
          <w:p w14:paraId="0DD7EE3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Zhvillimi i rrjetit për të përballuar rritjen e kërkesës për kapacitetin e transmetimit</w:t>
            </w:r>
          </w:p>
          <w:p w14:paraId="2FDB11C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Mbështetja e transaksioneve tregtare brenda vendit dhe në rajon, në mënyrë që rrjeti i transmetimit të mos paraqesë pengesa ndaj konkurrencës</w:t>
            </w:r>
          </w:p>
          <w:p w14:paraId="02457F3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Përfundimi brenda afatit i planeve të investimeve të OST-së, veçanërisht atyre për investime kapitale</w:t>
            </w:r>
          </w:p>
          <w:p w14:paraId="3F2E5A3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Përshpejtimi i integrimit të BRE-ve të larmishme në sistemin e energjisë dhe rritja e disponueshmërisë për të balancuar prodhimin e tyre</w:t>
            </w:r>
          </w:p>
        </w:tc>
      </w:tr>
      <w:tr w:rsidR="00835192" w:rsidRPr="00FF756A" w14:paraId="58E0EC6F" w14:textId="77777777" w:rsidTr="004A3257">
        <w:trPr>
          <w:trHeight w:val="20"/>
        </w:trPr>
        <w:tc>
          <w:tcPr>
            <w:tcW w:w="2202" w:type="dxa"/>
          </w:tcPr>
          <w:p w14:paraId="0C7B2CF3"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0" w:type="dxa"/>
            <w:gridSpan w:val="4"/>
          </w:tcPr>
          <w:p w14:paraId="6C782F08" w14:textId="77777777" w:rsidR="00835192" w:rsidRPr="00FF756A" w:rsidRDefault="00835192" w:rsidP="00835192">
            <w:pPr>
              <w:spacing w:before="20" w:after="20" w:line="240" w:lineRule="auto"/>
              <w:rPr>
                <w:i/>
                <w:iCs/>
                <w:sz w:val="20"/>
                <w:szCs w:val="20"/>
              </w:rPr>
            </w:pPr>
            <w:r w:rsidRPr="00FF756A">
              <w:rPr>
                <w:i/>
                <w:iCs/>
                <w:sz w:val="20"/>
                <w:szCs w:val="20"/>
              </w:rPr>
              <w:t>Miratimi i kuadrit ligjor, normave rregullatore dhe kodeve teknike dhe të efiçencës së energjisë</w:t>
            </w:r>
          </w:p>
          <w:p w14:paraId="59B12E0E" w14:textId="77777777" w:rsidR="00835192" w:rsidRPr="00FF756A" w:rsidRDefault="00835192" w:rsidP="00835192">
            <w:pPr>
              <w:spacing w:before="20" w:after="20" w:line="240" w:lineRule="auto"/>
              <w:rPr>
                <w:i/>
                <w:iCs/>
                <w:sz w:val="20"/>
                <w:szCs w:val="20"/>
              </w:rPr>
            </w:pPr>
            <w:r w:rsidRPr="00FF756A">
              <w:rPr>
                <w:i/>
                <w:iCs/>
                <w:sz w:val="20"/>
                <w:szCs w:val="20"/>
              </w:rPr>
              <w:t>Miratimi i planit 10-vjeçar të investimeve dhe i masterplanit të OST-së.</w:t>
            </w:r>
          </w:p>
          <w:p w14:paraId="7D40BB81" w14:textId="77777777" w:rsidR="00835192" w:rsidRPr="00FF756A" w:rsidRDefault="00835192" w:rsidP="00835192">
            <w:pPr>
              <w:spacing w:before="20" w:after="20" w:line="240" w:lineRule="auto"/>
              <w:rPr>
                <w:i/>
                <w:iCs/>
                <w:sz w:val="20"/>
                <w:szCs w:val="20"/>
              </w:rPr>
            </w:pPr>
            <w:r w:rsidRPr="00FF756A">
              <w:rPr>
                <w:i/>
                <w:iCs/>
                <w:sz w:val="20"/>
                <w:szCs w:val="20"/>
              </w:rPr>
              <w:t>Zbatimi i linjës së interkoneksionit 400 kV Elbasan (Shqipëri) - Manastir (Republika e Maqedonisë së Veriut).</w:t>
            </w:r>
          </w:p>
          <w:p w14:paraId="37663DB3" w14:textId="77777777" w:rsidR="00835192" w:rsidRPr="00FF756A" w:rsidRDefault="00835192" w:rsidP="00835192">
            <w:pPr>
              <w:spacing w:before="20" w:after="20" w:line="240" w:lineRule="auto"/>
              <w:rPr>
                <w:i/>
                <w:iCs/>
                <w:sz w:val="20"/>
                <w:szCs w:val="20"/>
              </w:rPr>
            </w:pPr>
            <w:r w:rsidRPr="00FF756A">
              <w:rPr>
                <w:i/>
                <w:iCs/>
                <w:sz w:val="20"/>
                <w:szCs w:val="20"/>
              </w:rPr>
              <w:t>Zbatimi i linjës së interkoneksionit 400 kV Shqipëri (Fier) - Greqi (Arachtos)</w:t>
            </w:r>
          </w:p>
          <w:p w14:paraId="6859BCFD" w14:textId="77777777" w:rsidR="00835192" w:rsidRPr="00FF756A" w:rsidRDefault="00835192" w:rsidP="00835192">
            <w:pPr>
              <w:spacing w:before="20" w:after="20" w:line="240" w:lineRule="auto"/>
              <w:rPr>
                <w:i/>
                <w:iCs/>
                <w:sz w:val="20"/>
                <w:szCs w:val="20"/>
              </w:rPr>
            </w:pPr>
            <w:r w:rsidRPr="00FF756A">
              <w:rPr>
                <w:i/>
                <w:iCs/>
                <w:sz w:val="20"/>
                <w:szCs w:val="20"/>
              </w:rPr>
              <w:t>Rikonfigurimi i rrjetit 400 kV dhe i interkoneksionit të ri 400 kV Shqipëri-Kosovë</w:t>
            </w:r>
          </w:p>
          <w:p w14:paraId="55B42241" w14:textId="77777777" w:rsidR="00835192" w:rsidRPr="00FF756A" w:rsidRDefault="00835192" w:rsidP="00835192">
            <w:pPr>
              <w:spacing w:before="20" w:after="20" w:line="240" w:lineRule="auto"/>
              <w:rPr>
                <w:i/>
                <w:iCs/>
                <w:sz w:val="20"/>
                <w:szCs w:val="20"/>
              </w:rPr>
            </w:pPr>
            <w:r w:rsidRPr="00FF756A">
              <w:rPr>
                <w:i/>
                <w:iCs/>
                <w:sz w:val="20"/>
                <w:szCs w:val="20"/>
              </w:rPr>
              <w:t>Mbyllja e unazës së brendshme shqiptare 400 kV</w:t>
            </w:r>
          </w:p>
          <w:p w14:paraId="7A930A7A" w14:textId="77777777" w:rsidR="00835192" w:rsidRPr="00FF756A" w:rsidRDefault="00835192" w:rsidP="00835192">
            <w:pPr>
              <w:spacing w:before="20" w:after="20" w:line="240" w:lineRule="auto"/>
              <w:rPr>
                <w:i/>
                <w:iCs/>
                <w:sz w:val="20"/>
                <w:szCs w:val="20"/>
              </w:rPr>
            </w:pPr>
            <w:r w:rsidRPr="00FF756A">
              <w:rPr>
                <w:i/>
                <w:iCs/>
                <w:sz w:val="20"/>
                <w:szCs w:val="20"/>
              </w:rPr>
              <w:t>Zbatimi i investimit në Rrjetin e Transmetimit.</w:t>
            </w:r>
          </w:p>
        </w:tc>
        <w:tc>
          <w:tcPr>
            <w:tcW w:w="850" w:type="dxa"/>
          </w:tcPr>
          <w:p w14:paraId="7605D59D" w14:textId="77777777" w:rsidR="00835192" w:rsidRPr="00FF756A" w:rsidRDefault="00835192" w:rsidP="00835192">
            <w:pPr>
              <w:spacing w:before="20" w:after="20" w:line="240" w:lineRule="auto"/>
              <w:jc w:val="left"/>
              <w:rPr>
                <w:i/>
                <w:iCs/>
                <w:sz w:val="20"/>
                <w:szCs w:val="20"/>
              </w:rPr>
            </w:pPr>
            <w:r w:rsidRPr="00FF756A">
              <w:rPr>
                <w:i/>
                <w:iCs/>
                <w:sz w:val="20"/>
                <w:szCs w:val="20"/>
              </w:rPr>
              <w:t xml:space="preserve">Nga viti 2017 e në vazhdim </w:t>
            </w:r>
          </w:p>
        </w:tc>
      </w:tr>
      <w:tr w:rsidR="00835192" w:rsidRPr="00FF756A" w14:paraId="3540620A" w14:textId="77777777" w:rsidTr="004A3257">
        <w:trPr>
          <w:trHeight w:val="20"/>
        </w:trPr>
        <w:tc>
          <w:tcPr>
            <w:tcW w:w="2202" w:type="dxa"/>
          </w:tcPr>
          <w:p w14:paraId="47DB36AA"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0" w:type="dxa"/>
            <w:gridSpan w:val="5"/>
          </w:tcPr>
          <w:p w14:paraId="3FCCF784" w14:textId="77777777" w:rsidR="00835192" w:rsidRPr="00FF756A" w:rsidRDefault="00835192" w:rsidP="00835192">
            <w:pPr>
              <w:spacing w:before="20" w:after="20" w:line="240" w:lineRule="auto"/>
              <w:rPr>
                <w:i/>
                <w:iCs/>
                <w:sz w:val="20"/>
                <w:szCs w:val="20"/>
              </w:rPr>
            </w:pPr>
            <w:r w:rsidRPr="00FF756A">
              <w:rPr>
                <w:i/>
                <w:iCs/>
                <w:sz w:val="20"/>
                <w:szCs w:val="20"/>
              </w:rPr>
              <w:t>Nuk dihet</w:t>
            </w:r>
          </w:p>
        </w:tc>
      </w:tr>
      <w:tr w:rsidR="00835192" w:rsidRPr="00FF756A" w14:paraId="5610B840" w14:textId="77777777" w:rsidTr="004A3257">
        <w:trPr>
          <w:trHeight w:val="20"/>
        </w:trPr>
        <w:tc>
          <w:tcPr>
            <w:tcW w:w="2202" w:type="dxa"/>
          </w:tcPr>
          <w:p w14:paraId="01FDE05F"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03953B9C"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0" w:type="dxa"/>
            <w:gridSpan w:val="5"/>
          </w:tcPr>
          <w:p w14:paraId="0F1C91C4" w14:textId="77777777" w:rsidR="00835192" w:rsidRPr="00FF756A" w:rsidRDefault="00835192" w:rsidP="00835192">
            <w:pPr>
              <w:spacing w:before="20" w:after="20" w:line="240" w:lineRule="auto"/>
              <w:rPr>
                <w:i/>
                <w:iCs/>
                <w:sz w:val="20"/>
                <w:szCs w:val="20"/>
              </w:rPr>
            </w:pPr>
            <w:r w:rsidRPr="00FF756A">
              <w:rPr>
                <w:i/>
                <w:iCs/>
                <w:sz w:val="20"/>
                <w:szCs w:val="20"/>
              </w:rPr>
              <w:t>Operatori i Sistemit të Transmetimit; ERE; Ministria e Infrastrukturës dhe Energjisë</w:t>
            </w:r>
          </w:p>
        </w:tc>
      </w:tr>
      <w:tr w:rsidR="00835192" w:rsidRPr="00FF756A" w14:paraId="3585B934" w14:textId="77777777" w:rsidTr="004A3257">
        <w:trPr>
          <w:trHeight w:val="20"/>
        </w:trPr>
        <w:tc>
          <w:tcPr>
            <w:tcW w:w="2202" w:type="dxa"/>
          </w:tcPr>
          <w:p w14:paraId="5A7958B6"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0" w:type="dxa"/>
            <w:gridSpan w:val="5"/>
          </w:tcPr>
          <w:p w14:paraId="7C4D1E06" w14:textId="77777777" w:rsidR="00835192" w:rsidRPr="00FF756A" w:rsidRDefault="00835192" w:rsidP="00835192">
            <w:pPr>
              <w:tabs>
                <w:tab w:val="left" w:pos="1995"/>
              </w:tabs>
              <w:spacing w:before="20" w:after="20" w:line="240" w:lineRule="auto"/>
              <w:rPr>
                <w:i/>
                <w:iCs/>
                <w:sz w:val="20"/>
                <w:szCs w:val="20"/>
              </w:rPr>
            </w:pPr>
            <w:r w:rsidRPr="00FF756A">
              <w:rPr>
                <w:i/>
                <w:iCs/>
                <w:sz w:val="20"/>
                <w:szCs w:val="20"/>
              </w:rPr>
              <w:t xml:space="preserve">Siguria e energjisë; dekarbonizimi </w:t>
            </w:r>
          </w:p>
        </w:tc>
      </w:tr>
    </w:tbl>
    <w:p w14:paraId="661EBE74"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3"/>
        <w:gridCol w:w="1287"/>
        <w:gridCol w:w="603"/>
        <w:gridCol w:w="431"/>
        <w:gridCol w:w="3688"/>
        <w:gridCol w:w="850"/>
      </w:tblGrid>
      <w:tr w:rsidR="00835192" w:rsidRPr="00FF756A" w14:paraId="77808A71" w14:textId="77777777" w:rsidTr="004A3257">
        <w:trPr>
          <w:trHeight w:val="20"/>
        </w:trPr>
        <w:tc>
          <w:tcPr>
            <w:tcW w:w="4529" w:type="dxa"/>
            <w:gridSpan w:val="4"/>
            <w:shd w:val="clear" w:color="auto" w:fill="AEAAAA" w:themeFill="background2" w:themeFillShade="BF"/>
          </w:tcPr>
          <w:p w14:paraId="447D5BAE"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3" w:type="dxa"/>
            <w:gridSpan w:val="2"/>
            <w:shd w:val="clear" w:color="auto" w:fill="AEAAAA" w:themeFill="background2" w:themeFillShade="BF"/>
          </w:tcPr>
          <w:p w14:paraId="1832FF80" w14:textId="77777777" w:rsidR="00835192" w:rsidRPr="00FF756A" w:rsidRDefault="00835192" w:rsidP="008639B2">
            <w:pPr>
              <w:numPr>
                <w:ilvl w:val="0"/>
                <w:numId w:val="119"/>
              </w:numPr>
              <w:spacing w:before="20" w:after="20" w:line="240" w:lineRule="auto"/>
              <w:contextualSpacing/>
              <w:rPr>
                <w:i/>
                <w:iCs/>
                <w:sz w:val="20"/>
                <w:szCs w:val="20"/>
              </w:rPr>
            </w:pPr>
            <w:r w:rsidRPr="00FF756A">
              <w:rPr>
                <w:i/>
                <w:iCs/>
                <w:sz w:val="20"/>
                <w:szCs w:val="20"/>
              </w:rPr>
              <w:t>Tregu i energjisë</w:t>
            </w:r>
          </w:p>
        </w:tc>
      </w:tr>
      <w:tr w:rsidR="00835192" w:rsidRPr="00FF756A" w14:paraId="5666E328" w14:textId="77777777" w:rsidTr="004A3257">
        <w:trPr>
          <w:trHeight w:val="20"/>
        </w:trPr>
        <w:tc>
          <w:tcPr>
            <w:tcW w:w="4097" w:type="dxa"/>
            <w:gridSpan w:val="3"/>
            <w:shd w:val="clear" w:color="auto" w:fill="AEAAAA" w:themeFill="background2" w:themeFillShade="BF"/>
          </w:tcPr>
          <w:p w14:paraId="194C130E"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5" w:type="dxa"/>
            <w:gridSpan w:val="3"/>
            <w:shd w:val="clear" w:color="auto" w:fill="AEAAAA" w:themeFill="background2" w:themeFillShade="BF"/>
          </w:tcPr>
          <w:p w14:paraId="1683B942" w14:textId="77777777" w:rsidR="00835192" w:rsidRPr="00FF756A" w:rsidRDefault="00835192" w:rsidP="00835192">
            <w:pPr>
              <w:spacing w:before="20" w:after="20" w:line="240" w:lineRule="auto"/>
              <w:rPr>
                <w:i/>
                <w:iCs/>
                <w:sz w:val="20"/>
                <w:szCs w:val="20"/>
              </w:rPr>
            </w:pPr>
            <w:r w:rsidRPr="00FF756A">
              <w:rPr>
                <w:i/>
                <w:iCs/>
                <w:sz w:val="20"/>
                <w:szCs w:val="20"/>
              </w:rPr>
              <w:t>Infrastruktura e energjisë elektrike</w:t>
            </w:r>
          </w:p>
        </w:tc>
      </w:tr>
      <w:tr w:rsidR="00835192" w:rsidRPr="00FF756A" w14:paraId="748D9D0B" w14:textId="77777777" w:rsidTr="004A3257">
        <w:trPr>
          <w:trHeight w:val="20"/>
        </w:trPr>
        <w:tc>
          <w:tcPr>
            <w:tcW w:w="3493" w:type="dxa"/>
            <w:gridSpan w:val="2"/>
          </w:tcPr>
          <w:p w14:paraId="442548A0"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65600CD2"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79" w:type="dxa"/>
            <w:gridSpan w:val="4"/>
          </w:tcPr>
          <w:p w14:paraId="30D8C74E" w14:textId="77777777" w:rsidR="00835192" w:rsidRPr="00FF756A" w:rsidRDefault="00835192" w:rsidP="00835192">
            <w:pPr>
              <w:spacing w:before="20" w:after="20" w:line="240" w:lineRule="auto"/>
              <w:rPr>
                <w:i/>
                <w:iCs/>
                <w:sz w:val="20"/>
                <w:szCs w:val="20"/>
              </w:rPr>
            </w:pPr>
            <w:r w:rsidRPr="00FF756A">
              <w:rPr>
                <w:i/>
                <w:iCs/>
                <w:sz w:val="20"/>
                <w:szCs w:val="20"/>
              </w:rPr>
              <w:t>WEM</w:t>
            </w:r>
          </w:p>
          <w:p w14:paraId="0762CE36"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05CC0552" w14:textId="77777777" w:rsidTr="004A3257">
        <w:trPr>
          <w:trHeight w:val="20"/>
        </w:trPr>
        <w:tc>
          <w:tcPr>
            <w:tcW w:w="2204" w:type="dxa"/>
          </w:tcPr>
          <w:p w14:paraId="77CEAE5F"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4F046A9F"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8" w:type="dxa"/>
            <w:gridSpan w:val="5"/>
          </w:tcPr>
          <w:p w14:paraId="777B3631" w14:textId="77777777" w:rsidR="00835192" w:rsidRPr="00FF756A" w:rsidRDefault="00835192" w:rsidP="00835192">
            <w:pPr>
              <w:spacing w:before="20" w:after="20" w:line="240" w:lineRule="auto"/>
              <w:rPr>
                <w:i/>
                <w:iCs/>
                <w:sz w:val="20"/>
                <w:szCs w:val="20"/>
              </w:rPr>
            </w:pPr>
            <w:r w:rsidRPr="00FF756A">
              <w:rPr>
                <w:i/>
                <w:iCs/>
                <w:sz w:val="20"/>
                <w:szCs w:val="20"/>
              </w:rPr>
              <w:t>Reforma e sektorit të energjisë elektrike</w:t>
            </w:r>
          </w:p>
          <w:p w14:paraId="4CDAED3C" w14:textId="77777777" w:rsidR="00835192" w:rsidRPr="00FF756A" w:rsidRDefault="00835192" w:rsidP="00835192">
            <w:pPr>
              <w:spacing w:before="20" w:after="20" w:line="240" w:lineRule="auto"/>
              <w:rPr>
                <w:i/>
                <w:iCs/>
                <w:sz w:val="20"/>
                <w:szCs w:val="20"/>
              </w:rPr>
            </w:pPr>
            <w:r w:rsidRPr="00FF756A">
              <w:rPr>
                <w:i/>
                <w:iCs/>
                <w:sz w:val="20"/>
                <w:szCs w:val="20"/>
              </w:rPr>
              <w:t>(EM-I2)</w:t>
            </w:r>
          </w:p>
        </w:tc>
      </w:tr>
      <w:tr w:rsidR="00835192" w:rsidRPr="00FF756A" w14:paraId="4FC7BED2" w14:textId="77777777" w:rsidTr="004A3257">
        <w:trPr>
          <w:trHeight w:val="20"/>
        </w:trPr>
        <w:tc>
          <w:tcPr>
            <w:tcW w:w="2204" w:type="dxa"/>
          </w:tcPr>
          <w:p w14:paraId="7EF4CB30"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8" w:type="dxa"/>
            <w:gridSpan w:val="5"/>
          </w:tcPr>
          <w:p w14:paraId="1023FDAE" w14:textId="77777777" w:rsidR="00835192" w:rsidRPr="00FF756A" w:rsidRDefault="00835192" w:rsidP="00835192">
            <w:pPr>
              <w:spacing w:before="20" w:after="20" w:line="240" w:lineRule="auto"/>
              <w:rPr>
                <w:i/>
                <w:iCs/>
                <w:sz w:val="20"/>
                <w:szCs w:val="20"/>
              </w:rPr>
            </w:pPr>
            <w:r w:rsidRPr="00FF756A">
              <w:rPr>
                <w:i/>
                <w:iCs/>
                <w:sz w:val="20"/>
                <w:szCs w:val="20"/>
              </w:rPr>
              <w:t>2018 - vazhdim</w:t>
            </w:r>
          </w:p>
        </w:tc>
      </w:tr>
      <w:tr w:rsidR="00835192" w:rsidRPr="00FF756A" w14:paraId="189F3437" w14:textId="77777777" w:rsidTr="004A3257">
        <w:trPr>
          <w:trHeight w:val="20"/>
        </w:trPr>
        <w:tc>
          <w:tcPr>
            <w:tcW w:w="2204" w:type="dxa"/>
          </w:tcPr>
          <w:p w14:paraId="3CF06A7C"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8" w:type="dxa"/>
            <w:gridSpan w:val="5"/>
          </w:tcPr>
          <w:p w14:paraId="6E31FBF9" w14:textId="77777777" w:rsidR="00835192" w:rsidRPr="00FF756A" w:rsidRDefault="00835192" w:rsidP="00835192">
            <w:pPr>
              <w:spacing w:before="20" w:after="20" w:line="240" w:lineRule="auto"/>
              <w:rPr>
                <w:i/>
                <w:iCs/>
                <w:sz w:val="20"/>
                <w:szCs w:val="20"/>
              </w:rPr>
            </w:pPr>
            <w:r w:rsidRPr="00FF756A">
              <w:rPr>
                <w:i/>
                <w:iCs/>
                <w:sz w:val="20"/>
                <w:szCs w:val="20"/>
              </w:rPr>
              <w:t xml:space="preserve">Ligji nr. 43/2015, datë 30.4.2015, “Për sektorin e energjisë elektrike”, i ndryshuar </w:t>
            </w:r>
          </w:p>
          <w:p w14:paraId="0E9C7300" w14:textId="77777777" w:rsidR="00835192" w:rsidRPr="00FF756A" w:rsidRDefault="00835192" w:rsidP="00835192">
            <w:pPr>
              <w:spacing w:before="20" w:after="20" w:line="240" w:lineRule="auto"/>
              <w:rPr>
                <w:i/>
                <w:iCs/>
                <w:sz w:val="20"/>
                <w:szCs w:val="20"/>
              </w:rPr>
            </w:pPr>
            <w:r w:rsidRPr="00FF756A">
              <w:rPr>
                <w:i/>
                <w:iCs/>
                <w:sz w:val="20"/>
                <w:szCs w:val="20"/>
              </w:rPr>
              <w:t xml:space="preserve">Ligji nr. 24/2023 “Për nxitjen e përdorimit të energjisë nga burimet e rinovueshme” </w:t>
            </w:r>
          </w:p>
          <w:p w14:paraId="22F47E13" w14:textId="77777777" w:rsidR="00835192" w:rsidRPr="00FF756A" w:rsidRDefault="00835192" w:rsidP="00835192">
            <w:pPr>
              <w:spacing w:before="20" w:after="20" w:line="240" w:lineRule="auto"/>
              <w:rPr>
                <w:i/>
                <w:iCs/>
                <w:sz w:val="20"/>
                <w:szCs w:val="20"/>
              </w:rPr>
            </w:pPr>
            <w:r w:rsidRPr="00FF756A">
              <w:rPr>
                <w:i/>
                <w:iCs/>
                <w:sz w:val="20"/>
                <w:szCs w:val="20"/>
              </w:rPr>
              <w:t>VKM nr. 480, datë 31.7.2018, “Për miratimin e Strategjisë Kombëtare të Energjisë 2018-2030”</w:t>
            </w:r>
          </w:p>
          <w:p w14:paraId="189565CA" w14:textId="77777777" w:rsidR="00835192" w:rsidRPr="00FF756A" w:rsidRDefault="00835192" w:rsidP="00835192">
            <w:pPr>
              <w:spacing w:before="20" w:after="20" w:line="240" w:lineRule="auto"/>
              <w:rPr>
                <w:i/>
                <w:iCs/>
                <w:sz w:val="20"/>
                <w:szCs w:val="20"/>
              </w:rPr>
            </w:pPr>
            <w:r w:rsidRPr="00FF756A">
              <w:rPr>
                <w:i/>
                <w:iCs/>
                <w:sz w:val="20"/>
                <w:szCs w:val="20"/>
              </w:rPr>
              <w:t>VKM nr. 519, datë 31.7.2016, “Për miratimin e modelit të tregut të energjisë elektrike” (i ndryshuar)</w:t>
            </w:r>
          </w:p>
          <w:p w14:paraId="366EA36A" w14:textId="77777777" w:rsidR="00835192" w:rsidRPr="00FF756A" w:rsidRDefault="00835192" w:rsidP="00835192">
            <w:pPr>
              <w:spacing w:before="20" w:after="20" w:line="240" w:lineRule="auto"/>
              <w:rPr>
                <w:i/>
                <w:iCs/>
                <w:sz w:val="20"/>
                <w:szCs w:val="20"/>
              </w:rPr>
            </w:pPr>
            <w:r w:rsidRPr="00FF756A">
              <w:rPr>
                <w:i/>
                <w:iCs/>
                <w:sz w:val="20"/>
                <w:szCs w:val="20"/>
              </w:rPr>
              <w:t>VKM nr. 449, datë 15.06.2016, “Për miratimin e kushteve dhe të procedurave për përcaktimin e furnizuesit të mundësisë së fundit të energjisë elektrike”</w:t>
            </w:r>
          </w:p>
          <w:p w14:paraId="4D7FF9B7" w14:textId="77777777" w:rsidR="00835192" w:rsidRPr="00FF756A" w:rsidRDefault="00835192" w:rsidP="00835192">
            <w:pPr>
              <w:spacing w:before="20" w:after="20" w:line="240" w:lineRule="auto"/>
              <w:rPr>
                <w:i/>
                <w:iCs/>
                <w:sz w:val="20"/>
                <w:szCs w:val="20"/>
              </w:rPr>
            </w:pPr>
            <w:r w:rsidRPr="00FF756A">
              <w:rPr>
                <w:i/>
                <w:iCs/>
                <w:sz w:val="20"/>
                <w:szCs w:val="20"/>
              </w:rPr>
              <w:t>VKM nr. 456, datë 29.06.2022, “Për miratimin e kushteve për vendosjen e detyrimit të shërbimit publik, që do të zbatohen ndaj të licencuarve në sektorin e energjisë elektrike, të cilët ushtrojnë aktivitetin e prodhimit, transmetimit, shpërndarjes dhe furnizimit me energji elektrike”</w:t>
            </w:r>
          </w:p>
          <w:p w14:paraId="419BC403" w14:textId="77777777" w:rsidR="00835192" w:rsidRPr="00FF756A" w:rsidRDefault="00835192" w:rsidP="00835192">
            <w:pPr>
              <w:spacing w:before="20" w:after="20" w:line="240" w:lineRule="auto"/>
              <w:rPr>
                <w:i/>
                <w:iCs/>
                <w:sz w:val="20"/>
                <w:szCs w:val="20"/>
              </w:rPr>
            </w:pPr>
            <w:r w:rsidRPr="00FF756A">
              <w:rPr>
                <w:i/>
                <w:iCs/>
                <w:sz w:val="20"/>
                <w:szCs w:val="20"/>
              </w:rPr>
              <w:t>Vendimi i Bordit të ERE-s nr.347, datë 27.12.2022, “Për miratimin e rregullave të tregut të energjisë elektrike”</w:t>
            </w:r>
          </w:p>
          <w:p w14:paraId="0FBB7B76" w14:textId="77777777" w:rsidR="00835192" w:rsidRPr="00FF756A" w:rsidRDefault="00835192" w:rsidP="00835192">
            <w:pPr>
              <w:spacing w:before="20" w:after="20" w:line="240" w:lineRule="auto"/>
              <w:rPr>
                <w:i/>
                <w:iCs/>
                <w:sz w:val="20"/>
                <w:szCs w:val="20"/>
              </w:rPr>
            </w:pPr>
            <w:r w:rsidRPr="00FF756A">
              <w:rPr>
                <w:i/>
                <w:iCs/>
                <w:sz w:val="20"/>
                <w:szCs w:val="20"/>
              </w:rPr>
              <w:t xml:space="preserve">Vendimi i Bordit të ERE-s nr. 106, datë 02.07.2020, “Për miratimin e rregullave të tregut shqiptar të balancimit të energjisë elektrike” (i ndryshuar) </w:t>
            </w:r>
          </w:p>
          <w:p w14:paraId="267C2593" w14:textId="77777777" w:rsidR="00835192" w:rsidRPr="00FF756A" w:rsidRDefault="00835192" w:rsidP="00835192">
            <w:pPr>
              <w:spacing w:before="20" w:after="20" w:line="240" w:lineRule="auto"/>
              <w:rPr>
                <w:i/>
                <w:iCs/>
                <w:sz w:val="20"/>
                <w:szCs w:val="20"/>
              </w:rPr>
            </w:pPr>
            <w:r w:rsidRPr="00FF756A">
              <w:rPr>
                <w:i/>
                <w:iCs/>
                <w:sz w:val="20"/>
                <w:szCs w:val="20"/>
              </w:rPr>
              <w:t>Vendimi i Bordit të ERE-s nr. 126, datë 17.05.2021, “Për miratimin e rregullores për integritetin dhe transparencën e tregut me shumicë të energjisë”</w:t>
            </w:r>
          </w:p>
          <w:p w14:paraId="03BA4BBA" w14:textId="77777777" w:rsidR="00835192" w:rsidRPr="00FF756A" w:rsidRDefault="00835192" w:rsidP="00835192">
            <w:pPr>
              <w:spacing w:before="20" w:after="20" w:line="240" w:lineRule="auto"/>
              <w:rPr>
                <w:i/>
                <w:iCs/>
                <w:sz w:val="20"/>
                <w:szCs w:val="20"/>
              </w:rPr>
            </w:pPr>
            <w:r w:rsidRPr="00FF756A">
              <w:rPr>
                <w:i/>
                <w:iCs/>
                <w:sz w:val="20"/>
                <w:szCs w:val="20"/>
              </w:rPr>
              <w:t>Vendimi i Bordit të ERE-s nr. 40, datë 06.03.2020, “Për miratimin e rregullores për kërkesat dhe procedurat për përcaktimin e operatorit të emëruar të tregut të energjisë elektrike (NEMO) si dhe rolet e përgjegjësitë e NEMO dhe operatorit të sistemit të transmetimit të energjisë në tregun e bashkuar”</w:t>
            </w:r>
          </w:p>
          <w:p w14:paraId="1CF7D173" w14:textId="77777777" w:rsidR="00835192" w:rsidRPr="00FF756A" w:rsidRDefault="00835192" w:rsidP="00835192">
            <w:pPr>
              <w:spacing w:before="20" w:after="20" w:line="240" w:lineRule="auto"/>
              <w:rPr>
                <w:i/>
                <w:iCs/>
                <w:sz w:val="20"/>
                <w:szCs w:val="20"/>
              </w:rPr>
            </w:pPr>
            <w:r w:rsidRPr="00FF756A">
              <w:rPr>
                <w:i/>
                <w:iCs/>
                <w:sz w:val="20"/>
                <w:szCs w:val="20"/>
              </w:rPr>
              <w:t>Vendimi i Bordit të ERE-s nr. 118, datë 27.07.2017, “Për miratimin e rregullave për publikimin e të dhënave bazë të tregut të energjisë elektrike”</w:t>
            </w:r>
          </w:p>
          <w:p w14:paraId="6A2AE910" w14:textId="77777777" w:rsidR="00835192" w:rsidRPr="00FF756A" w:rsidRDefault="00835192" w:rsidP="00835192">
            <w:pPr>
              <w:spacing w:before="20" w:after="20" w:line="240" w:lineRule="auto"/>
              <w:rPr>
                <w:i/>
                <w:iCs/>
                <w:sz w:val="20"/>
                <w:szCs w:val="20"/>
              </w:rPr>
            </w:pPr>
            <w:r w:rsidRPr="00FF756A">
              <w:rPr>
                <w:i/>
                <w:iCs/>
                <w:sz w:val="20"/>
                <w:szCs w:val="20"/>
              </w:rPr>
              <w:t>Vendimi i Bordit të ERE-s nr. 154, datë 11.12.2015, “Për miratimin e rregullave për certifikimin e operatorit të sistemit të transmetimit të energjisë elektrike”</w:t>
            </w:r>
          </w:p>
          <w:p w14:paraId="0B3C052D" w14:textId="77777777" w:rsidR="00835192" w:rsidRPr="00FF756A" w:rsidRDefault="00835192" w:rsidP="00835192">
            <w:pPr>
              <w:spacing w:before="20" w:after="20" w:line="240" w:lineRule="auto"/>
              <w:rPr>
                <w:i/>
                <w:iCs/>
                <w:sz w:val="20"/>
                <w:szCs w:val="20"/>
              </w:rPr>
            </w:pPr>
            <w:r w:rsidRPr="00FF756A">
              <w:rPr>
                <w:i/>
                <w:iCs/>
                <w:sz w:val="20"/>
                <w:szCs w:val="20"/>
              </w:rPr>
              <w:t>Vendimi i Bordit të ERE-s nr. 113, datë 08.07.2016, “Për miratimin e rregullores për ndryshimin e furnizuesit të energjisë elektrike” (i ndryshuar)</w:t>
            </w:r>
          </w:p>
        </w:tc>
      </w:tr>
      <w:tr w:rsidR="00835192" w:rsidRPr="00FF756A" w14:paraId="480050C7" w14:textId="77777777" w:rsidTr="004A3257">
        <w:trPr>
          <w:trHeight w:val="20"/>
        </w:trPr>
        <w:tc>
          <w:tcPr>
            <w:tcW w:w="2204" w:type="dxa"/>
          </w:tcPr>
          <w:p w14:paraId="2EA2E38B"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8" w:type="dxa"/>
            <w:gridSpan w:val="5"/>
          </w:tcPr>
          <w:p w14:paraId="3A0022DD" w14:textId="77777777" w:rsidR="00835192" w:rsidRPr="00FF756A" w:rsidRDefault="00835192" w:rsidP="00835192">
            <w:pPr>
              <w:spacing w:before="20" w:after="20" w:line="240" w:lineRule="auto"/>
              <w:rPr>
                <w:i/>
                <w:iCs/>
                <w:sz w:val="20"/>
                <w:szCs w:val="20"/>
              </w:rPr>
            </w:pPr>
            <w:r w:rsidRPr="00FF756A">
              <w:rPr>
                <w:i/>
                <w:iCs/>
                <w:sz w:val="20"/>
                <w:szCs w:val="20"/>
              </w:rPr>
              <w:t>Shqipëria ka transpozuar plotësisht rregullat e tregut të energjisë elektrike që rezultojnë nga paketa e tretë e energjisë së BE-së dhe ka bërë një progres të mirë në zbatimin e tyre praktik përmes zhvillimeve legjislative, reformave sektoriale dhe hapjes graduale të tregut të energjisë elektrike.</w:t>
            </w:r>
          </w:p>
          <w:p w14:paraId="32464A2F" w14:textId="77777777" w:rsidR="00835192" w:rsidRPr="00FF756A" w:rsidRDefault="00835192" w:rsidP="00835192">
            <w:pPr>
              <w:spacing w:before="20" w:after="20" w:line="240" w:lineRule="auto"/>
              <w:rPr>
                <w:i/>
                <w:iCs/>
                <w:sz w:val="20"/>
                <w:szCs w:val="20"/>
              </w:rPr>
            </w:pPr>
            <w:r w:rsidRPr="00FF756A">
              <w:rPr>
                <w:i/>
                <w:iCs/>
                <w:sz w:val="20"/>
                <w:szCs w:val="20"/>
              </w:rPr>
              <w:t>Operatorët e sistemit të transmetimit dhe shpërndarjes janë plotësisht të ndarë dhe veprojnë në mënyrë të pavarur nga interesat e tregut në prodhimin dhe/ose furnizimin me energji elektrike.</w:t>
            </w:r>
          </w:p>
          <w:p w14:paraId="4D98B501" w14:textId="77777777" w:rsidR="00835192" w:rsidRPr="00FF756A" w:rsidRDefault="00835192" w:rsidP="00835192">
            <w:pPr>
              <w:spacing w:before="20" w:after="20" w:line="240" w:lineRule="auto"/>
              <w:rPr>
                <w:i/>
                <w:iCs/>
                <w:sz w:val="20"/>
                <w:szCs w:val="20"/>
              </w:rPr>
            </w:pPr>
            <w:r w:rsidRPr="00FF756A">
              <w:rPr>
                <w:i/>
                <w:iCs/>
                <w:sz w:val="20"/>
                <w:szCs w:val="20"/>
              </w:rPr>
              <w:t>Tregu konkurrues i balancimit dhe shërbimeve ndihmëse është funksional, sipas organizimit nga operatori i sistemit të transmetimit OST sh.a në përputhje me rregullat e tregut të miratuara nga ERE. Zgjerim i shkallës së tregtimit të energjisë elektrike të bazuar në treg pritet të rrisë likuiditetin e saj deri më tani të kufizuar.</w:t>
            </w:r>
          </w:p>
          <w:p w14:paraId="7664CF96" w14:textId="77777777" w:rsidR="00835192" w:rsidRPr="00FF756A" w:rsidRDefault="00835192" w:rsidP="00835192">
            <w:pPr>
              <w:spacing w:before="20" w:after="20" w:line="240" w:lineRule="auto"/>
              <w:rPr>
                <w:i/>
                <w:iCs/>
                <w:sz w:val="20"/>
                <w:szCs w:val="20"/>
              </w:rPr>
            </w:pPr>
            <w:r w:rsidRPr="00FF756A">
              <w:rPr>
                <w:i/>
                <w:iCs/>
                <w:sz w:val="20"/>
                <w:szCs w:val="20"/>
              </w:rPr>
              <w:t xml:space="preserve">Të gjithë konsumatorët e energjisë elektrike në Shqipëri kanë të drejtë të zgjedhin dhe të ndërrojnë furnizuesin e tyre. </w:t>
            </w:r>
          </w:p>
          <w:p w14:paraId="147CA0BC" w14:textId="77777777" w:rsidR="00835192" w:rsidRPr="00FF756A" w:rsidRDefault="00835192" w:rsidP="00835192">
            <w:pPr>
              <w:spacing w:before="20" w:after="20" w:line="240" w:lineRule="auto"/>
              <w:rPr>
                <w:i/>
                <w:iCs/>
                <w:sz w:val="20"/>
                <w:szCs w:val="20"/>
              </w:rPr>
            </w:pPr>
            <w:r w:rsidRPr="00FF756A">
              <w:rPr>
                <w:i/>
                <w:iCs/>
                <w:sz w:val="20"/>
                <w:szCs w:val="20"/>
              </w:rPr>
              <w:t>Bursa e energjisë elektrike, ALPEX, është krijuar nga operatorët e sistemit të transmetimit të Shqipërisë OST dhe Kosovës KOSTT për operimin e Tregjeve të Ditës në Avancë dhe Brenda së Njëjtës Ditë për Shqipërinë dhe Kosovën. Tregu i ditës në avancë u prezantua në 12 prill 2023.</w:t>
            </w:r>
            <w:r w:rsidRPr="00FF756A">
              <w:rPr>
                <w:color w:val="00B050"/>
                <w:sz w:val="24"/>
                <w:szCs w:val="24"/>
              </w:rPr>
              <w:t xml:space="preserve"> </w:t>
            </w:r>
            <w:r w:rsidRPr="00FF756A">
              <w:rPr>
                <w:i/>
                <w:iCs/>
                <w:sz w:val="20"/>
                <w:szCs w:val="20"/>
              </w:rPr>
              <w:t>Më 1 shkurt 2024, Bursa Shqiptare e Energjisë Elektrike (ALPEX) organizoi ankandin e saj të parë të ditës në avancë për furnizimin e energjisë elektrike në Kosovë. Është krijuar tregu konkurrues i balancimit dhe shërbimeve ndihmëse, por ende operon me likuiditet të kufizuar.</w:t>
            </w:r>
          </w:p>
          <w:p w14:paraId="0C2F0DDD" w14:textId="77777777" w:rsidR="00835192" w:rsidRPr="00FF756A" w:rsidRDefault="00835192" w:rsidP="00835192">
            <w:pPr>
              <w:spacing w:before="20" w:after="20" w:line="240" w:lineRule="auto"/>
              <w:rPr>
                <w:i/>
                <w:iCs/>
                <w:sz w:val="20"/>
                <w:szCs w:val="20"/>
              </w:rPr>
            </w:pPr>
            <w:r w:rsidRPr="00FF756A">
              <w:rPr>
                <w:i/>
                <w:iCs/>
                <w:sz w:val="20"/>
                <w:szCs w:val="20"/>
              </w:rPr>
              <w:t>Me miratimin e ligjit nr. 24/2023, datë 14.04.2023, “Për nxitjen e përdorimit të energjisë nga burimet e rinovueshme”, mbështetja për prodhimin e energjisë elektrike të rinovueshme tashmë sigurohet vetëm përmes një procesi konkurrues në formën e kontratave për mbështetje në përputhje me dispozitat e këtij ligji.</w:t>
            </w:r>
          </w:p>
          <w:p w14:paraId="0433884B" w14:textId="77777777" w:rsidR="00835192" w:rsidRPr="00FF756A" w:rsidRDefault="00835192" w:rsidP="00835192">
            <w:pPr>
              <w:spacing w:before="20" w:after="20" w:line="240" w:lineRule="auto"/>
              <w:rPr>
                <w:i/>
                <w:iCs/>
                <w:sz w:val="20"/>
                <w:szCs w:val="20"/>
              </w:rPr>
            </w:pPr>
            <w:r w:rsidRPr="00FF756A">
              <w:rPr>
                <w:i/>
                <w:iCs/>
                <w:sz w:val="20"/>
                <w:szCs w:val="20"/>
              </w:rPr>
              <w:t>Shqipëria po punon për transpozimin dhe zbatimin e modelit të ri të tregut të energjisë elektrike të përgatitur në kuadër të paketës së energjisë së pastër të BE-së dhe kodeve të rrjetit, ku dokumenti kryesor është rishikimi i ligjit 43/2015 “Për sektorin e energjisë elektrike”</w:t>
            </w:r>
          </w:p>
        </w:tc>
      </w:tr>
      <w:tr w:rsidR="00835192" w:rsidRPr="00FF756A" w14:paraId="1955FF9F" w14:textId="77777777" w:rsidTr="004A3257">
        <w:trPr>
          <w:trHeight w:val="20"/>
        </w:trPr>
        <w:tc>
          <w:tcPr>
            <w:tcW w:w="2204" w:type="dxa"/>
          </w:tcPr>
          <w:p w14:paraId="4F27D096"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8" w:type="dxa"/>
            <w:gridSpan w:val="5"/>
          </w:tcPr>
          <w:p w14:paraId="4579F2B8" w14:textId="77777777" w:rsidR="00835192" w:rsidRPr="00FF756A" w:rsidRDefault="00835192" w:rsidP="00835192">
            <w:pPr>
              <w:spacing w:before="20" w:after="20" w:line="240" w:lineRule="auto"/>
              <w:rPr>
                <w:i/>
                <w:iCs/>
                <w:sz w:val="20"/>
                <w:szCs w:val="20"/>
              </w:rPr>
            </w:pPr>
            <w:r w:rsidRPr="00FF756A">
              <w:rPr>
                <w:i/>
                <w:iCs/>
                <w:sz w:val="20"/>
                <w:szCs w:val="20"/>
              </w:rPr>
              <w:t>Harmonizimi me paketën e integrimit të energjisë elektrike për të mundësuar ndërlidhjen e tregut të energjisë elektrike të BE-së dhe Shqipërisë, krijimi i tregut të energjisë elektrike brenda së njëjtës ditë, operacionalizimi i paketës në përputhje me planin e integrimit të operatorit të tregut të bashkuar.</w:t>
            </w:r>
            <w:r w:rsidRPr="00FF756A">
              <w:t xml:space="preserve"> </w:t>
            </w:r>
            <w:r w:rsidRPr="00FF756A">
              <w:rPr>
                <w:i/>
                <w:iCs/>
                <w:sz w:val="20"/>
                <w:szCs w:val="20"/>
              </w:rPr>
              <w:t>Përafrimi i</w:t>
            </w:r>
            <w:r w:rsidRPr="00FF756A">
              <w:t xml:space="preserve"> </w:t>
            </w:r>
            <w:r w:rsidRPr="00FF756A">
              <w:rPr>
                <w:i/>
                <w:iCs/>
                <w:sz w:val="20"/>
                <w:szCs w:val="20"/>
              </w:rPr>
              <w:t>Direktivës së Parlamentit Evropian dhe Këshillit (BE) 2019/944, datë 5 qershor 2019, “Për rregullat e përbashkëta për tregun e brendshëm të energjisë elektrike dhe ndryshimin e Direktivës 2012/27/BE” dhe i Rregullores së Parlamentit Evropian dhe Këshillit (BE) 2019/943, datë 5 qershor 2019, “Për tregun e brendshëm të energjisë elektrike”</w:t>
            </w:r>
          </w:p>
          <w:p w14:paraId="726149B8" w14:textId="77777777" w:rsidR="00835192" w:rsidRPr="00FF756A" w:rsidRDefault="00835192" w:rsidP="00835192">
            <w:pPr>
              <w:spacing w:before="20" w:after="20" w:line="240" w:lineRule="auto"/>
              <w:rPr>
                <w:i/>
                <w:iCs/>
                <w:sz w:val="20"/>
                <w:szCs w:val="20"/>
              </w:rPr>
            </w:pPr>
            <w:r w:rsidRPr="00FF756A">
              <w:rPr>
                <w:i/>
                <w:iCs/>
                <w:sz w:val="20"/>
                <w:szCs w:val="20"/>
              </w:rPr>
              <w:t>Objektivi i kësaj PM është që të krijojë një treg të energjisë elektrike të organizuar sipas modelit të BE-së dhe që udhëhiqet nga parimet e transparencës, mosdiskriminimit dhe qëndrueshmërisë në planin afatgjatë, që bazohet gjithashtu në lirinë e vendosjes së çmimeve konkurruese.</w:t>
            </w:r>
          </w:p>
        </w:tc>
      </w:tr>
      <w:tr w:rsidR="00835192" w:rsidRPr="00FF756A" w14:paraId="2D44D268" w14:textId="77777777" w:rsidTr="004A3257">
        <w:trPr>
          <w:trHeight w:val="20"/>
        </w:trPr>
        <w:tc>
          <w:tcPr>
            <w:tcW w:w="2204" w:type="dxa"/>
          </w:tcPr>
          <w:p w14:paraId="133C4045"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8" w:type="dxa"/>
            <w:gridSpan w:val="5"/>
          </w:tcPr>
          <w:p w14:paraId="097A51D0"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Miratimi i ndryshimeve ligjore për t’u harmonizuar me paketën e integrimit të energjisë elektrike në përputhje me kërkesat e Komunitetit të Energjisë dhe fillimi i zbatimit.</w:t>
            </w:r>
          </w:p>
          <w:p w14:paraId="34A15BA0"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Vijimësia e zbatimit të paketës së integrimit të energjisë elektrike duke bërë funksional tregun e energjisë elektrike brenda së njëjtës ditë, në përputhje me kërkesat e Komunitetit të Energjisë. Vijimësia e zbatimit të paketës së integrimit të energjisë elektrike nga Operatori i Sistemit të Transmetimit (OST) dhe Operatori i Emëruar i Tregut të Energjisë Elektrike (NEMO) duke ndërmarrë masat e nevojshme kombëtare për t’iu bashkuar tregut të bashkuar të ditës në avancë me BE-në në përputhje me kërkesat e Komunitetit të Energjisë (dhjetor 2025).</w:t>
            </w:r>
          </w:p>
        </w:tc>
      </w:tr>
      <w:tr w:rsidR="00835192" w:rsidRPr="00FF756A" w14:paraId="16690ECE" w14:textId="77777777" w:rsidTr="004A3257">
        <w:trPr>
          <w:trHeight w:val="20"/>
        </w:trPr>
        <w:tc>
          <w:tcPr>
            <w:tcW w:w="2204" w:type="dxa"/>
          </w:tcPr>
          <w:p w14:paraId="4448ABFC"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8" w:type="dxa"/>
            <w:gridSpan w:val="4"/>
          </w:tcPr>
          <w:p w14:paraId="32FAB1F9" w14:textId="77777777" w:rsidR="00835192" w:rsidRPr="00FF756A" w:rsidRDefault="00835192" w:rsidP="00835192">
            <w:pPr>
              <w:spacing w:before="20" w:after="20" w:line="240" w:lineRule="auto"/>
              <w:rPr>
                <w:i/>
                <w:iCs/>
                <w:sz w:val="20"/>
                <w:szCs w:val="20"/>
              </w:rPr>
            </w:pPr>
            <w:r w:rsidRPr="00FF756A">
              <w:rPr>
                <w:i/>
                <w:iCs/>
                <w:sz w:val="20"/>
                <w:szCs w:val="20"/>
              </w:rPr>
              <w:t xml:space="preserve">Përmes asistencës teknike nga burime të ndryshme, do të miratohen ndryshime ligjore dhe rregullatore, si dhe do të zbatohen për të zbatuar reformën dhe për të arritur rezultatet </w:t>
            </w:r>
          </w:p>
        </w:tc>
        <w:tc>
          <w:tcPr>
            <w:tcW w:w="850" w:type="dxa"/>
          </w:tcPr>
          <w:p w14:paraId="568A659D" w14:textId="77777777" w:rsidR="00835192" w:rsidRPr="00FF756A" w:rsidRDefault="00835192" w:rsidP="00835192">
            <w:pPr>
              <w:spacing w:before="20" w:after="20" w:line="240" w:lineRule="auto"/>
              <w:rPr>
                <w:i/>
                <w:iCs/>
                <w:sz w:val="20"/>
                <w:szCs w:val="20"/>
              </w:rPr>
            </w:pPr>
            <w:r w:rsidRPr="00FF756A">
              <w:rPr>
                <w:i/>
                <w:iCs/>
                <w:sz w:val="20"/>
                <w:szCs w:val="20"/>
              </w:rPr>
              <w:t>brenda vitit 2025</w:t>
            </w:r>
          </w:p>
        </w:tc>
      </w:tr>
      <w:tr w:rsidR="00835192" w:rsidRPr="00FF756A" w14:paraId="1098BCAA" w14:textId="77777777" w:rsidTr="004A3257">
        <w:trPr>
          <w:trHeight w:val="20"/>
        </w:trPr>
        <w:tc>
          <w:tcPr>
            <w:tcW w:w="2204" w:type="dxa"/>
          </w:tcPr>
          <w:p w14:paraId="5769B559"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8" w:type="dxa"/>
            <w:gridSpan w:val="5"/>
          </w:tcPr>
          <w:p w14:paraId="0D5F003C" w14:textId="3E2D2F0E" w:rsidR="00835192" w:rsidRPr="00FF756A" w:rsidRDefault="00835192" w:rsidP="00835192">
            <w:pPr>
              <w:spacing w:before="20" w:after="20" w:line="240" w:lineRule="auto"/>
              <w:rPr>
                <w:i/>
                <w:iCs/>
                <w:sz w:val="20"/>
                <w:szCs w:val="20"/>
              </w:rPr>
            </w:pPr>
            <w:r w:rsidRPr="00FF756A">
              <w:rPr>
                <w:i/>
                <w:iCs/>
                <w:sz w:val="20"/>
                <w:szCs w:val="20"/>
              </w:rPr>
              <w:t>Informacioni i mëposhtëm mund të përdoret për orientim: Projekti i asistencës teknike i realizuar për të mbështetur autoritetet shqiptare në zhvillimin e një kuadri rregullator modern në sektorin e energjisë, me një fokus të veçantë te energjia elektrike; data e fillimit: 15/10/2020; kohëzgjatja: 24 muaj; buxheti: 1 milionë euro (</w:t>
            </w:r>
            <w:hyperlink r:id="rId68" w:history="1">
              <w:r w:rsidR="0062535D" w:rsidRPr="00FF756A">
                <w:rPr>
                  <w:rStyle w:val="Hyperlink"/>
                  <w:i/>
                  <w:iCs/>
                  <w:sz w:val="20"/>
                  <w:szCs w:val="20"/>
                </w:rPr>
                <w:t>https://expertisefrance.fr/en/fiche-projet?id=869338</w:t>
              </w:r>
            </w:hyperlink>
            <w:r w:rsidRPr="00FF756A">
              <w:rPr>
                <w:i/>
                <w:iCs/>
                <w:sz w:val="20"/>
                <w:szCs w:val="20"/>
              </w:rPr>
              <w:t>)</w:t>
            </w:r>
            <w:r w:rsidR="0062535D" w:rsidRPr="00FF756A">
              <w:rPr>
                <w:i/>
                <w:iCs/>
                <w:sz w:val="20"/>
                <w:szCs w:val="20"/>
              </w:rPr>
              <w:t xml:space="preserve"> </w:t>
            </w:r>
          </w:p>
        </w:tc>
      </w:tr>
      <w:tr w:rsidR="00835192" w:rsidRPr="00FF756A" w14:paraId="1D333497" w14:textId="77777777" w:rsidTr="004A3257">
        <w:trPr>
          <w:trHeight w:val="20"/>
        </w:trPr>
        <w:tc>
          <w:tcPr>
            <w:tcW w:w="2204" w:type="dxa"/>
          </w:tcPr>
          <w:p w14:paraId="4E8A8872"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33A14A37"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8" w:type="dxa"/>
            <w:gridSpan w:val="5"/>
          </w:tcPr>
          <w:p w14:paraId="4DA900CA"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e Shqipërisë, OST, ERE, OSHEE, KESH</w:t>
            </w:r>
          </w:p>
          <w:p w14:paraId="679012EE" w14:textId="77777777" w:rsidR="00835192" w:rsidRPr="00FF756A" w:rsidRDefault="00835192" w:rsidP="00835192">
            <w:pPr>
              <w:spacing w:before="20" w:after="20" w:line="240" w:lineRule="auto"/>
              <w:rPr>
                <w:i/>
                <w:iCs/>
                <w:sz w:val="20"/>
                <w:szCs w:val="20"/>
              </w:rPr>
            </w:pPr>
            <w:r w:rsidRPr="00FF756A">
              <w:rPr>
                <w:i/>
                <w:iCs/>
                <w:sz w:val="20"/>
                <w:szCs w:val="20"/>
              </w:rPr>
              <w:t xml:space="preserve">BERZH, </w:t>
            </w:r>
            <w:bookmarkStart w:id="451" w:name="_Hlk75611579"/>
            <w:r w:rsidRPr="00FF756A">
              <w:rPr>
                <w:i/>
                <w:iCs/>
                <w:sz w:val="20"/>
                <w:szCs w:val="20"/>
              </w:rPr>
              <w:t xml:space="preserve">KfW dhe AFD </w:t>
            </w:r>
            <w:bookmarkEnd w:id="451"/>
            <w:r w:rsidRPr="00FF756A">
              <w:rPr>
                <w:i/>
                <w:iCs/>
                <w:sz w:val="20"/>
                <w:szCs w:val="20"/>
              </w:rPr>
              <w:t>(për asistencë teknike)</w:t>
            </w:r>
          </w:p>
        </w:tc>
      </w:tr>
      <w:tr w:rsidR="00835192" w:rsidRPr="00FF756A" w14:paraId="2D964B7C" w14:textId="77777777" w:rsidTr="004A3257">
        <w:trPr>
          <w:trHeight w:val="20"/>
        </w:trPr>
        <w:tc>
          <w:tcPr>
            <w:tcW w:w="2204" w:type="dxa"/>
          </w:tcPr>
          <w:p w14:paraId="50754F8F"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8" w:type="dxa"/>
            <w:gridSpan w:val="5"/>
          </w:tcPr>
          <w:p w14:paraId="3F79FE76" w14:textId="77777777" w:rsidR="00835192" w:rsidRPr="00FF756A" w:rsidRDefault="00835192" w:rsidP="00835192">
            <w:pPr>
              <w:spacing w:before="20" w:after="20" w:line="240" w:lineRule="auto"/>
              <w:rPr>
                <w:i/>
                <w:iCs/>
                <w:sz w:val="20"/>
                <w:szCs w:val="20"/>
              </w:rPr>
            </w:pPr>
            <w:r w:rsidRPr="00FF756A">
              <w:rPr>
                <w:i/>
                <w:iCs/>
                <w:sz w:val="20"/>
                <w:szCs w:val="20"/>
              </w:rPr>
              <w:t>Dekarbonizimi/Energjia e rinovueshme; Siguria e energjisë</w:t>
            </w:r>
          </w:p>
          <w:p w14:paraId="4623C2B8" w14:textId="77777777" w:rsidR="00835192" w:rsidRPr="00FF756A" w:rsidRDefault="00835192" w:rsidP="00835192">
            <w:pPr>
              <w:spacing w:before="20" w:after="20" w:line="240" w:lineRule="auto"/>
              <w:rPr>
                <w:i/>
                <w:iCs/>
                <w:sz w:val="20"/>
                <w:szCs w:val="20"/>
              </w:rPr>
            </w:pPr>
            <w:r w:rsidRPr="00FF756A">
              <w:rPr>
                <w:i/>
                <w:iCs/>
                <w:sz w:val="20"/>
                <w:szCs w:val="20"/>
              </w:rPr>
              <w:t xml:space="preserve">Marrëdhënia me PM-në e mëposhtme: </w:t>
            </w:r>
          </w:p>
          <w:p w14:paraId="64F1DC1E" w14:textId="77777777" w:rsidR="00835192" w:rsidRPr="00FF756A" w:rsidRDefault="00835192" w:rsidP="00835192">
            <w:pPr>
              <w:spacing w:before="20" w:after="20" w:line="240" w:lineRule="auto"/>
              <w:rPr>
                <w:i/>
                <w:iCs/>
                <w:sz w:val="20"/>
                <w:szCs w:val="20"/>
              </w:rPr>
            </w:pPr>
            <w:r w:rsidRPr="00FF756A">
              <w:rPr>
                <w:i/>
                <w:iCs/>
                <w:sz w:val="20"/>
                <w:szCs w:val="20"/>
              </w:rPr>
              <w:t>EM-I3 Caktimi i një operatori BRE dhe transformimi i tarifave “feed-in”</w:t>
            </w:r>
          </w:p>
        </w:tc>
      </w:tr>
    </w:tbl>
    <w:p w14:paraId="79DA8CB1"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5"/>
        <w:gridCol w:w="1281"/>
        <w:gridCol w:w="600"/>
        <w:gridCol w:w="430"/>
        <w:gridCol w:w="3673"/>
        <w:gridCol w:w="883"/>
      </w:tblGrid>
      <w:tr w:rsidR="00835192" w:rsidRPr="00FF756A" w14:paraId="50590F14" w14:textId="77777777" w:rsidTr="004A3257">
        <w:trPr>
          <w:trHeight w:val="20"/>
        </w:trPr>
        <w:tc>
          <w:tcPr>
            <w:tcW w:w="4529" w:type="dxa"/>
            <w:gridSpan w:val="4"/>
            <w:shd w:val="clear" w:color="auto" w:fill="AEAAAA" w:themeFill="background2" w:themeFillShade="BF"/>
          </w:tcPr>
          <w:p w14:paraId="5054486D"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3" w:type="dxa"/>
            <w:gridSpan w:val="2"/>
            <w:shd w:val="clear" w:color="auto" w:fill="AEAAAA" w:themeFill="background2" w:themeFillShade="BF"/>
          </w:tcPr>
          <w:p w14:paraId="4C6B6D9D" w14:textId="77777777" w:rsidR="00835192" w:rsidRPr="00FF756A" w:rsidRDefault="00835192" w:rsidP="008639B2">
            <w:pPr>
              <w:numPr>
                <w:ilvl w:val="0"/>
                <w:numId w:val="120"/>
              </w:numPr>
              <w:spacing w:before="20" w:after="20" w:line="240" w:lineRule="auto"/>
              <w:contextualSpacing/>
              <w:rPr>
                <w:i/>
                <w:iCs/>
                <w:sz w:val="20"/>
                <w:szCs w:val="20"/>
              </w:rPr>
            </w:pPr>
            <w:r w:rsidRPr="00FF756A">
              <w:rPr>
                <w:i/>
                <w:iCs/>
                <w:sz w:val="20"/>
                <w:szCs w:val="20"/>
              </w:rPr>
              <w:t>Tregu i energjisë</w:t>
            </w:r>
          </w:p>
        </w:tc>
      </w:tr>
      <w:tr w:rsidR="00835192" w:rsidRPr="00FF756A" w14:paraId="041DC65D" w14:textId="77777777" w:rsidTr="004A3257">
        <w:trPr>
          <w:trHeight w:val="20"/>
        </w:trPr>
        <w:tc>
          <w:tcPr>
            <w:tcW w:w="4097" w:type="dxa"/>
            <w:gridSpan w:val="3"/>
            <w:shd w:val="clear" w:color="auto" w:fill="AEAAAA" w:themeFill="background2" w:themeFillShade="BF"/>
          </w:tcPr>
          <w:p w14:paraId="03A45374"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5" w:type="dxa"/>
            <w:gridSpan w:val="3"/>
            <w:shd w:val="clear" w:color="auto" w:fill="AEAAAA" w:themeFill="background2" w:themeFillShade="BF"/>
          </w:tcPr>
          <w:p w14:paraId="52222CCE" w14:textId="77777777" w:rsidR="00835192" w:rsidRPr="00FF756A" w:rsidRDefault="00835192" w:rsidP="00835192">
            <w:pPr>
              <w:spacing w:before="20" w:after="20" w:line="240" w:lineRule="auto"/>
              <w:rPr>
                <w:i/>
                <w:iCs/>
                <w:sz w:val="20"/>
                <w:szCs w:val="20"/>
              </w:rPr>
            </w:pPr>
            <w:r w:rsidRPr="00FF756A">
              <w:rPr>
                <w:i/>
                <w:iCs/>
                <w:sz w:val="20"/>
                <w:szCs w:val="20"/>
              </w:rPr>
              <w:t>Infrastruktura e energjisë elektrike</w:t>
            </w:r>
          </w:p>
        </w:tc>
      </w:tr>
      <w:tr w:rsidR="00835192" w:rsidRPr="00FF756A" w14:paraId="7666F315" w14:textId="77777777" w:rsidTr="004A3257">
        <w:trPr>
          <w:trHeight w:val="20"/>
        </w:trPr>
        <w:tc>
          <w:tcPr>
            <w:tcW w:w="3493" w:type="dxa"/>
            <w:gridSpan w:val="2"/>
          </w:tcPr>
          <w:p w14:paraId="054F8401"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5687BFE7"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79" w:type="dxa"/>
            <w:gridSpan w:val="4"/>
          </w:tcPr>
          <w:p w14:paraId="30D9DAD5" w14:textId="77777777" w:rsidR="00835192" w:rsidRPr="00FF756A" w:rsidRDefault="00835192" w:rsidP="00835192">
            <w:pPr>
              <w:spacing w:before="20" w:after="20" w:line="240" w:lineRule="auto"/>
              <w:rPr>
                <w:i/>
                <w:iCs/>
                <w:sz w:val="20"/>
                <w:szCs w:val="20"/>
              </w:rPr>
            </w:pPr>
            <w:r w:rsidRPr="00FF756A">
              <w:rPr>
                <w:i/>
                <w:iCs/>
                <w:sz w:val="20"/>
                <w:szCs w:val="20"/>
              </w:rPr>
              <w:t>WAM</w:t>
            </w:r>
          </w:p>
          <w:p w14:paraId="30ACF605"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57ACFA72" w14:textId="77777777" w:rsidTr="004A3257">
        <w:trPr>
          <w:trHeight w:val="20"/>
        </w:trPr>
        <w:tc>
          <w:tcPr>
            <w:tcW w:w="2204" w:type="dxa"/>
          </w:tcPr>
          <w:p w14:paraId="66886197"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1914CC87"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8" w:type="dxa"/>
            <w:gridSpan w:val="5"/>
          </w:tcPr>
          <w:p w14:paraId="4DF71562" w14:textId="2682EC17" w:rsidR="00835192" w:rsidRPr="00FF756A" w:rsidRDefault="003655B5" w:rsidP="00835192">
            <w:pPr>
              <w:spacing w:before="20" w:after="20" w:line="240" w:lineRule="auto"/>
              <w:rPr>
                <w:i/>
                <w:iCs/>
                <w:sz w:val="20"/>
                <w:szCs w:val="20"/>
              </w:rPr>
            </w:pPr>
            <w:r w:rsidRPr="00FF756A">
              <w:rPr>
                <w:i/>
                <w:iCs/>
                <w:sz w:val="20"/>
                <w:szCs w:val="20"/>
              </w:rPr>
              <w:t>Krijimi</w:t>
            </w:r>
            <w:r w:rsidR="00835192" w:rsidRPr="00FF756A">
              <w:rPr>
                <w:i/>
                <w:iCs/>
                <w:sz w:val="20"/>
                <w:szCs w:val="20"/>
              </w:rPr>
              <w:t xml:space="preserve"> i një operatori BRE dhe transformimi i tarifave “feed-in”</w:t>
            </w:r>
          </w:p>
          <w:p w14:paraId="1AFC2F3D" w14:textId="77777777" w:rsidR="00835192" w:rsidRPr="00FF756A" w:rsidRDefault="00835192" w:rsidP="00835192">
            <w:pPr>
              <w:spacing w:before="20" w:after="20" w:line="240" w:lineRule="auto"/>
              <w:rPr>
                <w:i/>
                <w:iCs/>
                <w:sz w:val="20"/>
                <w:szCs w:val="20"/>
              </w:rPr>
            </w:pPr>
            <w:r w:rsidRPr="00FF756A">
              <w:rPr>
                <w:i/>
                <w:iCs/>
                <w:sz w:val="20"/>
                <w:szCs w:val="20"/>
              </w:rPr>
              <w:t>(EM-I3)</w:t>
            </w:r>
          </w:p>
        </w:tc>
      </w:tr>
      <w:tr w:rsidR="00835192" w:rsidRPr="00FF756A" w14:paraId="641C4391" w14:textId="77777777" w:rsidTr="004A3257">
        <w:trPr>
          <w:trHeight w:val="20"/>
        </w:trPr>
        <w:tc>
          <w:tcPr>
            <w:tcW w:w="2204" w:type="dxa"/>
          </w:tcPr>
          <w:p w14:paraId="2210C59A"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8" w:type="dxa"/>
            <w:gridSpan w:val="5"/>
          </w:tcPr>
          <w:p w14:paraId="787964C8" w14:textId="77777777" w:rsidR="00835192" w:rsidRPr="00FF756A" w:rsidRDefault="00835192" w:rsidP="00835192">
            <w:pPr>
              <w:spacing w:before="20" w:after="20" w:line="240" w:lineRule="auto"/>
              <w:rPr>
                <w:i/>
                <w:iCs/>
                <w:sz w:val="20"/>
                <w:szCs w:val="20"/>
              </w:rPr>
            </w:pPr>
            <w:r w:rsidRPr="00FF756A">
              <w:rPr>
                <w:i/>
                <w:iCs/>
                <w:sz w:val="20"/>
                <w:szCs w:val="20"/>
              </w:rPr>
              <w:t>2021 - vazhdim</w:t>
            </w:r>
          </w:p>
        </w:tc>
      </w:tr>
      <w:tr w:rsidR="00835192" w:rsidRPr="00FF756A" w14:paraId="656A2CA5" w14:textId="77777777" w:rsidTr="004A3257">
        <w:trPr>
          <w:trHeight w:val="20"/>
        </w:trPr>
        <w:tc>
          <w:tcPr>
            <w:tcW w:w="2204" w:type="dxa"/>
          </w:tcPr>
          <w:p w14:paraId="2B58F5B5"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8" w:type="dxa"/>
            <w:gridSpan w:val="5"/>
          </w:tcPr>
          <w:p w14:paraId="0ED6E70A" w14:textId="77777777" w:rsidR="00835192" w:rsidRPr="00FF756A" w:rsidRDefault="00835192" w:rsidP="00835192">
            <w:pPr>
              <w:spacing w:before="20" w:after="20" w:line="240" w:lineRule="auto"/>
              <w:rPr>
                <w:i/>
                <w:iCs/>
                <w:sz w:val="20"/>
                <w:szCs w:val="20"/>
              </w:rPr>
            </w:pPr>
            <w:r w:rsidRPr="00FF756A">
              <w:rPr>
                <w:i/>
                <w:iCs/>
                <w:sz w:val="20"/>
                <w:szCs w:val="20"/>
              </w:rPr>
              <w:t>Ligji Nr. 43/2015, datë 30.4.2015 “Për sektorin e energjisë elektrike”, i ndryshuar; Ligji Nr. 24/2023, “Për nxitjen e përdorimit të energjisë nga burimet e rinovueshme”; VKM Nr. 742, datë 12.12.2018 “Për miratimin e planit strategjik për reformimin e sektorit të energjisë në Shqipëri”; Urdhri i Ministrisë së Infrastrukturës dhe Energjisë Nr. 27, datë 18.01.2021, “Për miratimin e strategjisë së transformimit të mbështetjes feed-in-tariff në kontratë për diferencë”</w:t>
            </w:r>
          </w:p>
        </w:tc>
      </w:tr>
      <w:tr w:rsidR="00835192" w:rsidRPr="00FF756A" w14:paraId="05EC56F3" w14:textId="77777777" w:rsidTr="004A3257">
        <w:trPr>
          <w:trHeight w:val="20"/>
        </w:trPr>
        <w:tc>
          <w:tcPr>
            <w:tcW w:w="2204" w:type="dxa"/>
          </w:tcPr>
          <w:p w14:paraId="353F90C1"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8" w:type="dxa"/>
            <w:gridSpan w:val="5"/>
          </w:tcPr>
          <w:p w14:paraId="62A11BA5" w14:textId="77777777" w:rsidR="00835192" w:rsidRPr="00FF756A" w:rsidRDefault="00835192" w:rsidP="008639B2">
            <w:pPr>
              <w:numPr>
                <w:ilvl w:val="0"/>
                <w:numId w:val="132"/>
              </w:numPr>
              <w:spacing w:before="20" w:after="20" w:line="240" w:lineRule="auto"/>
              <w:contextualSpacing/>
              <w:rPr>
                <w:i/>
                <w:iCs/>
                <w:sz w:val="20"/>
                <w:szCs w:val="20"/>
              </w:rPr>
            </w:pPr>
            <w:r w:rsidRPr="00FF756A">
              <w:rPr>
                <w:i/>
                <w:iCs/>
                <w:sz w:val="20"/>
                <w:szCs w:val="20"/>
              </w:rPr>
              <w:t>Miratimi i Urdhrit të Ministrisë së Infrastrukturës dhe Energjisë, Nr 27, datë 18.01.2021 “Për miratimin e strategjisë së transformimit të mbështetjes feed-in-tariff në kontratë për diferencë”</w:t>
            </w:r>
          </w:p>
          <w:p w14:paraId="59AE797C" w14:textId="77777777" w:rsidR="00835192" w:rsidRPr="00FF756A" w:rsidRDefault="00835192" w:rsidP="008639B2">
            <w:pPr>
              <w:numPr>
                <w:ilvl w:val="0"/>
                <w:numId w:val="132"/>
              </w:numPr>
              <w:spacing w:before="20" w:after="20" w:line="240" w:lineRule="auto"/>
              <w:contextualSpacing/>
              <w:rPr>
                <w:i/>
                <w:iCs/>
                <w:sz w:val="20"/>
                <w:szCs w:val="20"/>
              </w:rPr>
            </w:pPr>
            <w:r w:rsidRPr="00FF756A">
              <w:rPr>
                <w:i/>
                <w:iCs/>
                <w:sz w:val="20"/>
                <w:szCs w:val="20"/>
              </w:rPr>
              <w:t xml:space="preserve">Miratimi i Vendimit të Këshillit të Ministrave nr. 198, datë 3.03.2021, “Për përcaktimin e operatorit që kryen funksionet e operatorit të energjisë së rinovueshme” Sipas këtij vendimi, </w:t>
            </w:r>
            <w:bookmarkStart w:id="452" w:name="_Hlk178499337"/>
            <w:r w:rsidRPr="00FF756A">
              <w:rPr>
                <w:i/>
                <w:iCs/>
                <w:sz w:val="20"/>
                <w:szCs w:val="20"/>
              </w:rPr>
              <w:t xml:space="preserve">Operatori i Energjisë së Rinovueshme (OER) do të </w:t>
            </w:r>
            <w:bookmarkEnd w:id="452"/>
            <w:r w:rsidRPr="00FF756A">
              <w:rPr>
                <w:i/>
                <w:iCs/>
                <w:sz w:val="20"/>
                <w:szCs w:val="20"/>
              </w:rPr>
              <w:t>veprojë si një organ tjetër në Kontratën për Diferencë (KpD) për të gjithë prodhuesit me përparësi të energjisë elektrike nga burime të rinovueshme dhe për të gjithë prodhuesit që përfitojnë nga tarifa “feed-in” (FIT)”.</w:t>
            </w:r>
          </w:p>
          <w:p w14:paraId="15775D25" w14:textId="77777777" w:rsidR="00835192" w:rsidRPr="00FF756A" w:rsidRDefault="00835192" w:rsidP="008639B2">
            <w:pPr>
              <w:numPr>
                <w:ilvl w:val="0"/>
                <w:numId w:val="132"/>
              </w:numPr>
              <w:spacing w:before="20" w:after="20" w:line="240" w:lineRule="auto"/>
              <w:contextualSpacing/>
              <w:rPr>
                <w:i/>
                <w:iCs/>
                <w:sz w:val="20"/>
                <w:szCs w:val="20"/>
              </w:rPr>
            </w:pPr>
            <w:r w:rsidRPr="00FF756A">
              <w:rPr>
                <w:i/>
                <w:iCs/>
                <w:sz w:val="20"/>
                <w:szCs w:val="20"/>
              </w:rPr>
              <w:t>Krijimi i ALPEX</w:t>
            </w:r>
          </w:p>
          <w:p w14:paraId="1F3D18C7" w14:textId="055DF172" w:rsidR="00835192" w:rsidRPr="00FF756A" w:rsidRDefault="00835192" w:rsidP="008639B2">
            <w:pPr>
              <w:numPr>
                <w:ilvl w:val="0"/>
                <w:numId w:val="132"/>
              </w:numPr>
              <w:spacing w:before="20" w:after="20" w:line="240" w:lineRule="auto"/>
              <w:contextualSpacing/>
              <w:rPr>
                <w:i/>
                <w:iCs/>
                <w:sz w:val="20"/>
                <w:szCs w:val="20"/>
              </w:rPr>
            </w:pPr>
            <w:r w:rsidRPr="00FF756A">
              <w:rPr>
                <w:i/>
                <w:iCs/>
                <w:sz w:val="20"/>
                <w:szCs w:val="20"/>
              </w:rPr>
              <w:t xml:space="preserve">Projekti i asistencës teknike i realizuar për të mbështetur autoritetet shqiptare në zhvillimin e një kuadri rregullator modern në sektorin e energjisë, me një fokus të veçantë te energjia elektrike; data e fillimit: 15/10/2020; kohëzgjatja: 24 muaj; buxheti: 1 milionë euro:   </w:t>
            </w:r>
            <w:hyperlink r:id="rId69" w:history="1">
              <w:r w:rsidR="00D607C1" w:rsidRPr="00FF756A">
                <w:rPr>
                  <w:rStyle w:val="Hyperlink"/>
                  <w:i/>
                  <w:iCs/>
                  <w:sz w:val="20"/>
                  <w:szCs w:val="20"/>
                </w:rPr>
                <w:t>https://expertisefrance.fr/en/fiche-projet?id=869338</w:t>
              </w:r>
            </w:hyperlink>
            <w:r w:rsidR="00D607C1" w:rsidRPr="00FF756A">
              <w:rPr>
                <w:i/>
                <w:iCs/>
                <w:sz w:val="20"/>
                <w:szCs w:val="20"/>
              </w:rPr>
              <w:t xml:space="preserve"> </w:t>
            </w:r>
          </w:p>
        </w:tc>
      </w:tr>
      <w:tr w:rsidR="00835192" w:rsidRPr="00FF756A" w14:paraId="5D8BA105" w14:textId="77777777" w:rsidTr="004A3257">
        <w:trPr>
          <w:trHeight w:val="20"/>
        </w:trPr>
        <w:tc>
          <w:tcPr>
            <w:tcW w:w="2204" w:type="dxa"/>
          </w:tcPr>
          <w:p w14:paraId="56D054C9"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8" w:type="dxa"/>
            <w:gridSpan w:val="5"/>
          </w:tcPr>
          <w:p w14:paraId="115178D1" w14:textId="77777777" w:rsidR="00835192" w:rsidRPr="00FF756A" w:rsidRDefault="00835192" w:rsidP="008639B2">
            <w:pPr>
              <w:numPr>
                <w:ilvl w:val="0"/>
                <w:numId w:val="133"/>
              </w:numPr>
              <w:spacing w:before="20" w:after="20" w:line="240" w:lineRule="auto"/>
              <w:contextualSpacing/>
              <w:rPr>
                <w:i/>
                <w:iCs/>
                <w:sz w:val="20"/>
                <w:szCs w:val="20"/>
              </w:rPr>
            </w:pPr>
            <w:r w:rsidRPr="00FF756A">
              <w:rPr>
                <w:i/>
                <w:iCs/>
                <w:sz w:val="20"/>
                <w:szCs w:val="20"/>
              </w:rPr>
              <w:t>Krijimi i një skeme mbështetjeje më transparente për prodhuesit e BRE-ve</w:t>
            </w:r>
          </w:p>
          <w:p w14:paraId="7D949C93" w14:textId="77777777" w:rsidR="00835192" w:rsidRPr="00FF756A" w:rsidRDefault="00835192" w:rsidP="008639B2">
            <w:pPr>
              <w:numPr>
                <w:ilvl w:val="0"/>
                <w:numId w:val="133"/>
              </w:numPr>
              <w:spacing w:before="20" w:after="20" w:line="240" w:lineRule="auto"/>
              <w:contextualSpacing/>
              <w:rPr>
                <w:i/>
                <w:iCs/>
                <w:sz w:val="20"/>
                <w:szCs w:val="20"/>
              </w:rPr>
            </w:pPr>
            <w:r w:rsidRPr="00FF756A">
              <w:rPr>
                <w:i/>
                <w:iCs/>
                <w:sz w:val="20"/>
                <w:szCs w:val="20"/>
              </w:rPr>
              <w:t>Rritja e likuiditetit të ALPEX</w:t>
            </w:r>
          </w:p>
          <w:p w14:paraId="4947AB83" w14:textId="77777777" w:rsidR="00835192" w:rsidRPr="00FF756A" w:rsidRDefault="00835192" w:rsidP="008639B2">
            <w:pPr>
              <w:numPr>
                <w:ilvl w:val="0"/>
                <w:numId w:val="133"/>
              </w:numPr>
              <w:spacing w:before="20" w:after="20" w:line="240" w:lineRule="auto"/>
              <w:contextualSpacing/>
              <w:rPr>
                <w:i/>
                <w:iCs/>
                <w:sz w:val="20"/>
                <w:szCs w:val="20"/>
              </w:rPr>
            </w:pPr>
            <w:r w:rsidRPr="00FF756A">
              <w:rPr>
                <w:i/>
                <w:iCs/>
                <w:sz w:val="20"/>
                <w:szCs w:val="20"/>
              </w:rPr>
              <w:t>Reduktimi i ndikimit të skemës FiT te blerësi real i energjisë elektrike (OSHEE, FTL)</w:t>
            </w:r>
          </w:p>
        </w:tc>
      </w:tr>
      <w:tr w:rsidR="00835192" w:rsidRPr="00FF756A" w14:paraId="6E368A94" w14:textId="77777777" w:rsidTr="004A3257">
        <w:trPr>
          <w:trHeight w:val="20"/>
        </w:trPr>
        <w:tc>
          <w:tcPr>
            <w:tcW w:w="2204" w:type="dxa"/>
          </w:tcPr>
          <w:p w14:paraId="50AD3440"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8" w:type="dxa"/>
            <w:gridSpan w:val="5"/>
          </w:tcPr>
          <w:p w14:paraId="1FBA699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Krijimi i OER, struktura, punësimi i stafit, ngritja e kapaciteteve teknike </w:t>
            </w:r>
          </w:p>
          <w:p w14:paraId="4D72C19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Zbatimi i strategjisë së kalimit nga FiT në CfD </w:t>
            </w:r>
          </w:p>
          <w:p w14:paraId="4679ACF9"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Përllogaritja e detyrimit të BRE-ve për 3 vitet e para të funksionimit të OER</w:t>
            </w:r>
          </w:p>
          <w:p w14:paraId="44EDB49B"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Miratimi i modelit të operimit, strategjisë tregtare për OER </w:t>
            </w:r>
          </w:p>
        </w:tc>
      </w:tr>
      <w:tr w:rsidR="00835192" w:rsidRPr="00FF756A" w14:paraId="0B72A4A6" w14:textId="77777777" w:rsidTr="004A3257">
        <w:trPr>
          <w:trHeight w:val="20"/>
        </w:trPr>
        <w:tc>
          <w:tcPr>
            <w:tcW w:w="2204" w:type="dxa"/>
          </w:tcPr>
          <w:p w14:paraId="3D6F3BAA"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8" w:type="dxa"/>
            <w:gridSpan w:val="4"/>
          </w:tcPr>
          <w:p w14:paraId="6F50B1CF" w14:textId="77777777" w:rsidR="00835192" w:rsidRPr="00FF756A" w:rsidRDefault="00835192" w:rsidP="00835192">
            <w:pPr>
              <w:spacing w:before="20" w:after="20" w:line="240" w:lineRule="auto"/>
              <w:rPr>
                <w:i/>
                <w:iCs/>
                <w:sz w:val="20"/>
                <w:szCs w:val="20"/>
              </w:rPr>
            </w:pPr>
            <w:r w:rsidRPr="00FF756A">
              <w:rPr>
                <w:i/>
                <w:iCs/>
                <w:sz w:val="20"/>
                <w:szCs w:val="20"/>
              </w:rPr>
              <w:t>Përmes asistencës teknike nga burime të ndryshme, do të miratohen ndryshime ligjore dhe rregullatore, si dhe do të zbatohen për të zbatuar reformën dhe për të arritur rezultatet</w:t>
            </w:r>
          </w:p>
        </w:tc>
        <w:tc>
          <w:tcPr>
            <w:tcW w:w="850" w:type="dxa"/>
          </w:tcPr>
          <w:p w14:paraId="05C2563A" w14:textId="77777777" w:rsidR="00835192" w:rsidRPr="00FF756A" w:rsidRDefault="00835192" w:rsidP="00835192">
            <w:pPr>
              <w:spacing w:before="20" w:after="20" w:line="240" w:lineRule="auto"/>
              <w:jc w:val="left"/>
              <w:rPr>
                <w:i/>
                <w:iCs/>
                <w:sz w:val="20"/>
                <w:szCs w:val="20"/>
              </w:rPr>
            </w:pPr>
            <w:r w:rsidRPr="00FF756A">
              <w:rPr>
                <w:i/>
                <w:iCs/>
                <w:sz w:val="20"/>
                <w:szCs w:val="20"/>
              </w:rPr>
              <w:t>Nga viti 2021 e në vazhdim</w:t>
            </w:r>
          </w:p>
        </w:tc>
      </w:tr>
      <w:tr w:rsidR="00835192" w:rsidRPr="00FF756A" w14:paraId="04248E04" w14:textId="77777777" w:rsidTr="004A3257">
        <w:trPr>
          <w:trHeight w:val="20"/>
        </w:trPr>
        <w:tc>
          <w:tcPr>
            <w:tcW w:w="2204" w:type="dxa"/>
          </w:tcPr>
          <w:p w14:paraId="482322E9"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8" w:type="dxa"/>
            <w:gridSpan w:val="5"/>
          </w:tcPr>
          <w:p w14:paraId="06FF1DBD" w14:textId="77777777" w:rsidR="00835192" w:rsidRPr="00FF756A" w:rsidRDefault="00835192" w:rsidP="00835192">
            <w:pPr>
              <w:spacing w:before="20" w:after="20" w:line="240" w:lineRule="auto"/>
              <w:rPr>
                <w:i/>
                <w:iCs/>
                <w:sz w:val="20"/>
                <w:szCs w:val="20"/>
              </w:rPr>
            </w:pPr>
            <w:r w:rsidRPr="00FF756A">
              <w:rPr>
                <w:i/>
                <w:iCs/>
                <w:sz w:val="20"/>
                <w:szCs w:val="20"/>
              </w:rPr>
              <w:t xml:space="preserve">Hua e bazuar në politika për të mbështetur reformën e sektorit të energjisë elektrike në Shqipëri; data e fillimit: 12/11/2021, buxheti: 51,4 milionë euro, kohëzgjatja 12 vjet: https://www.afd.fr/en/carte-des-projets/policy-based-loan-support-reform-electricity-sector-albania </w:t>
            </w:r>
          </w:p>
        </w:tc>
      </w:tr>
      <w:tr w:rsidR="00835192" w:rsidRPr="00FF756A" w14:paraId="1237A0BD" w14:textId="77777777" w:rsidTr="004A3257">
        <w:trPr>
          <w:trHeight w:val="20"/>
        </w:trPr>
        <w:tc>
          <w:tcPr>
            <w:tcW w:w="2204" w:type="dxa"/>
          </w:tcPr>
          <w:p w14:paraId="0968E555"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183291FF"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8" w:type="dxa"/>
            <w:gridSpan w:val="5"/>
          </w:tcPr>
          <w:p w14:paraId="6717AC3D"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KfW dhe AFD (për asistencë teknike)</w:t>
            </w:r>
          </w:p>
        </w:tc>
      </w:tr>
      <w:tr w:rsidR="00835192" w:rsidRPr="00FF756A" w14:paraId="7761D96A" w14:textId="77777777" w:rsidTr="004A3257">
        <w:trPr>
          <w:trHeight w:val="20"/>
        </w:trPr>
        <w:tc>
          <w:tcPr>
            <w:tcW w:w="2204" w:type="dxa"/>
          </w:tcPr>
          <w:p w14:paraId="7B1E40CF"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8" w:type="dxa"/>
            <w:gridSpan w:val="5"/>
          </w:tcPr>
          <w:p w14:paraId="52A93059" w14:textId="77777777" w:rsidR="00835192" w:rsidRPr="00FF756A" w:rsidRDefault="00835192" w:rsidP="00835192">
            <w:pPr>
              <w:spacing w:before="20" w:after="20" w:line="240" w:lineRule="auto"/>
              <w:rPr>
                <w:i/>
                <w:iCs/>
                <w:sz w:val="20"/>
                <w:szCs w:val="20"/>
              </w:rPr>
            </w:pPr>
            <w:r w:rsidRPr="00FF756A">
              <w:rPr>
                <w:i/>
                <w:iCs/>
                <w:sz w:val="20"/>
                <w:szCs w:val="20"/>
              </w:rPr>
              <w:t>Dekarbonizimi/Energjia e rinovueshme</w:t>
            </w:r>
          </w:p>
          <w:p w14:paraId="3FB09695" w14:textId="77777777" w:rsidR="00835192" w:rsidRPr="00FF756A" w:rsidRDefault="00835192" w:rsidP="00835192">
            <w:pPr>
              <w:spacing w:before="20" w:after="20" w:line="240" w:lineRule="auto"/>
              <w:rPr>
                <w:i/>
                <w:iCs/>
                <w:sz w:val="20"/>
                <w:szCs w:val="20"/>
              </w:rPr>
            </w:pPr>
            <w:r w:rsidRPr="00FF756A">
              <w:rPr>
                <w:i/>
                <w:iCs/>
                <w:sz w:val="20"/>
                <w:szCs w:val="20"/>
              </w:rPr>
              <w:t xml:space="preserve">Marrëdhënia me PM-në e mëposhtme: </w:t>
            </w:r>
          </w:p>
          <w:p w14:paraId="748D9A35" w14:textId="77777777" w:rsidR="00835192" w:rsidRPr="00FF756A" w:rsidRDefault="00835192" w:rsidP="00835192">
            <w:pPr>
              <w:spacing w:before="20" w:after="20" w:line="240" w:lineRule="auto"/>
              <w:rPr>
                <w:i/>
                <w:iCs/>
                <w:sz w:val="20"/>
                <w:szCs w:val="20"/>
              </w:rPr>
            </w:pPr>
            <w:r w:rsidRPr="00FF756A">
              <w:rPr>
                <w:i/>
                <w:iCs/>
                <w:sz w:val="20"/>
                <w:szCs w:val="20"/>
              </w:rPr>
              <w:t>EM-I2 Reforma e sektorit të energjisë elektrike</w:t>
            </w:r>
          </w:p>
        </w:tc>
      </w:tr>
    </w:tbl>
    <w:p w14:paraId="4E90638D" w14:textId="77777777" w:rsidR="00835192" w:rsidRPr="00FF756A" w:rsidRDefault="00835192" w:rsidP="004A3257">
      <w:pPr>
        <w:spacing w:before="0" w:after="0" w:line="240" w:lineRule="auto"/>
        <w:jc w:val="left"/>
      </w:pPr>
    </w:p>
    <w:p w14:paraId="1447F2BD" w14:textId="000C4CD7" w:rsidR="00835192" w:rsidRPr="00FF756A" w:rsidRDefault="00D26C31" w:rsidP="004F61D5">
      <w:pPr>
        <w:pStyle w:val="Heading3"/>
      </w:pPr>
      <w:bookmarkStart w:id="453" w:name="_Toc75616141"/>
      <w:bookmarkStart w:id="454" w:name="_Toc182897797"/>
      <w:bookmarkStart w:id="455" w:name="_Toc183639252"/>
      <w:r w:rsidRPr="00FF756A">
        <w:t xml:space="preserve">3.4.3 </w:t>
      </w:r>
      <w:r w:rsidR="00835192" w:rsidRPr="00FF756A">
        <w:t>Varfëria energjetike</w:t>
      </w:r>
      <w:bookmarkEnd w:id="453"/>
      <w:bookmarkEnd w:id="454"/>
      <w:bookmarkEnd w:id="455"/>
    </w:p>
    <w:p w14:paraId="4C4AABC3" w14:textId="77777777" w:rsidR="004F61D5" w:rsidRPr="00FF756A" w:rsidRDefault="004F61D5" w:rsidP="004A3257"/>
    <w:tbl>
      <w:tblPr>
        <w:tblStyle w:val="TableGrid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3"/>
        <w:gridCol w:w="1287"/>
        <w:gridCol w:w="603"/>
        <w:gridCol w:w="431"/>
        <w:gridCol w:w="3688"/>
        <w:gridCol w:w="850"/>
      </w:tblGrid>
      <w:tr w:rsidR="00835192" w:rsidRPr="00FF756A" w14:paraId="519047BD" w14:textId="77777777" w:rsidTr="004A3257">
        <w:trPr>
          <w:trHeight w:val="20"/>
        </w:trPr>
        <w:tc>
          <w:tcPr>
            <w:tcW w:w="4529" w:type="dxa"/>
            <w:gridSpan w:val="4"/>
            <w:shd w:val="clear" w:color="auto" w:fill="AEAAAA" w:themeFill="background2" w:themeFillShade="BF"/>
          </w:tcPr>
          <w:p w14:paraId="27380052"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43" w:type="dxa"/>
            <w:gridSpan w:val="2"/>
            <w:shd w:val="clear" w:color="auto" w:fill="AEAAAA" w:themeFill="background2" w:themeFillShade="BF"/>
          </w:tcPr>
          <w:p w14:paraId="2A712474" w14:textId="77777777" w:rsidR="00835192" w:rsidRPr="00FF756A" w:rsidRDefault="00835192" w:rsidP="008639B2">
            <w:pPr>
              <w:numPr>
                <w:ilvl w:val="0"/>
                <w:numId w:val="140"/>
              </w:numPr>
              <w:spacing w:before="20" w:after="20" w:line="240" w:lineRule="auto"/>
              <w:contextualSpacing/>
              <w:rPr>
                <w:i/>
                <w:iCs/>
                <w:sz w:val="20"/>
                <w:szCs w:val="20"/>
              </w:rPr>
            </w:pPr>
            <w:r w:rsidRPr="00FF756A">
              <w:rPr>
                <w:i/>
                <w:iCs/>
                <w:sz w:val="20"/>
                <w:szCs w:val="20"/>
              </w:rPr>
              <w:t>Tregu i energjisë</w:t>
            </w:r>
          </w:p>
        </w:tc>
      </w:tr>
      <w:tr w:rsidR="00835192" w:rsidRPr="00FF756A" w14:paraId="71916D32" w14:textId="77777777" w:rsidTr="004A3257">
        <w:trPr>
          <w:trHeight w:val="20"/>
        </w:trPr>
        <w:tc>
          <w:tcPr>
            <w:tcW w:w="4097" w:type="dxa"/>
            <w:gridSpan w:val="3"/>
            <w:shd w:val="clear" w:color="auto" w:fill="AEAAAA" w:themeFill="background2" w:themeFillShade="BF"/>
          </w:tcPr>
          <w:p w14:paraId="271CF015"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75" w:type="dxa"/>
            <w:gridSpan w:val="3"/>
            <w:shd w:val="clear" w:color="auto" w:fill="AEAAAA" w:themeFill="background2" w:themeFillShade="BF"/>
          </w:tcPr>
          <w:p w14:paraId="1C3327FA" w14:textId="77777777" w:rsidR="00835192" w:rsidRPr="00FF756A" w:rsidRDefault="00835192" w:rsidP="00835192">
            <w:pPr>
              <w:spacing w:before="20" w:after="20" w:line="240" w:lineRule="auto"/>
              <w:rPr>
                <w:i/>
                <w:iCs/>
                <w:sz w:val="20"/>
                <w:szCs w:val="20"/>
              </w:rPr>
            </w:pPr>
            <w:r w:rsidRPr="00FF756A">
              <w:rPr>
                <w:i/>
                <w:iCs/>
                <w:sz w:val="20"/>
                <w:szCs w:val="20"/>
              </w:rPr>
              <w:t>Infrastruktura e energjisë elektrike</w:t>
            </w:r>
          </w:p>
        </w:tc>
      </w:tr>
      <w:tr w:rsidR="00835192" w:rsidRPr="00FF756A" w14:paraId="2A33D59D" w14:textId="77777777" w:rsidTr="004A3257">
        <w:trPr>
          <w:trHeight w:val="20"/>
        </w:trPr>
        <w:tc>
          <w:tcPr>
            <w:tcW w:w="3493" w:type="dxa"/>
            <w:gridSpan w:val="2"/>
          </w:tcPr>
          <w:p w14:paraId="73170D06"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565B94BE"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79" w:type="dxa"/>
            <w:gridSpan w:val="4"/>
          </w:tcPr>
          <w:p w14:paraId="126616B7" w14:textId="77777777" w:rsidR="00835192" w:rsidRPr="00FF756A" w:rsidRDefault="00835192" w:rsidP="00835192">
            <w:pPr>
              <w:spacing w:before="20" w:after="20" w:line="240" w:lineRule="auto"/>
              <w:rPr>
                <w:i/>
                <w:iCs/>
                <w:sz w:val="20"/>
                <w:szCs w:val="20"/>
              </w:rPr>
            </w:pPr>
            <w:r w:rsidRPr="00FF756A">
              <w:rPr>
                <w:i/>
                <w:iCs/>
                <w:sz w:val="20"/>
                <w:szCs w:val="20"/>
              </w:rPr>
              <w:t>WAM</w:t>
            </w:r>
          </w:p>
          <w:p w14:paraId="71822E37" w14:textId="77777777" w:rsidR="00835192" w:rsidRPr="00FF756A" w:rsidRDefault="00835192" w:rsidP="00835192">
            <w:pPr>
              <w:spacing w:before="20" w:after="20" w:line="240" w:lineRule="auto"/>
              <w:rPr>
                <w:i/>
                <w:iCs/>
                <w:sz w:val="20"/>
                <w:szCs w:val="20"/>
              </w:rPr>
            </w:pPr>
            <w:r w:rsidRPr="00FF756A">
              <w:rPr>
                <w:i/>
                <w:iCs/>
                <w:sz w:val="20"/>
                <w:szCs w:val="20"/>
              </w:rPr>
              <w:t>Rregullator</w:t>
            </w:r>
          </w:p>
        </w:tc>
      </w:tr>
      <w:tr w:rsidR="00835192" w:rsidRPr="00FF756A" w14:paraId="215FBE0F" w14:textId="77777777" w:rsidTr="004A3257">
        <w:trPr>
          <w:trHeight w:val="20"/>
        </w:trPr>
        <w:tc>
          <w:tcPr>
            <w:tcW w:w="2204" w:type="dxa"/>
          </w:tcPr>
          <w:p w14:paraId="2196B597"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2DC11542"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8" w:type="dxa"/>
            <w:gridSpan w:val="5"/>
          </w:tcPr>
          <w:p w14:paraId="63594FAE" w14:textId="77777777" w:rsidR="00835192" w:rsidRPr="00FF756A" w:rsidRDefault="00835192" w:rsidP="00835192">
            <w:pPr>
              <w:spacing w:before="20" w:after="20" w:line="240" w:lineRule="auto"/>
              <w:rPr>
                <w:i/>
                <w:iCs/>
                <w:sz w:val="20"/>
                <w:szCs w:val="20"/>
              </w:rPr>
            </w:pPr>
            <w:r w:rsidRPr="00FF756A">
              <w:rPr>
                <w:i/>
                <w:iCs/>
                <w:sz w:val="20"/>
                <w:szCs w:val="20"/>
              </w:rPr>
              <w:t>Eliminimi i varfërisë energjetike</w:t>
            </w:r>
          </w:p>
          <w:p w14:paraId="7452A3B8" w14:textId="77777777" w:rsidR="00835192" w:rsidRPr="00FF756A" w:rsidRDefault="00835192" w:rsidP="00835192">
            <w:pPr>
              <w:spacing w:before="20" w:after="20" w:line="240" w:lineRule="auto"/>
              <w:rPr>
                <w:i/>
                <w:iCs/>
                <w:sz w:val="20"/>
                <w:szCs w:val="20"/>
              </w:rPr>
            </w:pPr>
            <w:r w:rsidRPr="00FF756A">
              <w:rPr>
                <w:i/>
                <w:iCs/>
                <w:sz w:val="20"/>
                <w:szCs w:val="20"/>
              </w:rPr>
              <w:t>(EM-P1)</w:t>
            </w:r>
          </w:p>
        </w:tc>
      </w:tr>
      <w:tr w:rsidR="00835192" w:rsidRPr="00FF756A" w14:paraId="495DD76F" w14:textId="77777777" w:rsidTr="004A3257">
        <w:trPr>
          <w:trHeight w:val="20"/>
        </w:trPr>
        <w:tc>
          <w:tcPr>
            <w:tcW w:w="2204" w:type="dxa"/>
          </w:tcPr>
          <w:p w14:paraId="710B14CC"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68" w:type="dxa"/>
            <w:gridSpan w:val="5"/>
          </w:tcPr>
          <w:p w14:paraId="5129BDA9" w14:textId="77777777" w:rsidR="00835192" w:rsidRPr="00FF756A" w:rsidRDefault="00835192" w:rsidP="00835192">
            <w:pPr>
              <w:spacing w:before="20" w:after="20" w:line="240" w:lineRule="auto"/>
              <w:rPr>
                <w:i/>
                <w:iCs/>
                <w:sz w:val="20"/>
                <w:szCs w:val="20"/>
              </w:rPr>
            </w:pPr>
            <w:r w:rsidRPr="00FF756A">
              <w:rPr>
                <w:i/>
                <w:iCs/>
                <w:sz w:val="20"/>
                <w:szCs w:val="20"/>
              </w:rPr>
              <w:t>2021 - 2035</w:t>
            </w:r>
          </w:p>
        </w:tc>
      </w:tr>
      <w:tr w:rsidR="00835192" w:rsidRPr="00FF756A" w14:paraId="2C9A4E05" w14:textId="77777777" w:rsidTr="004A3257">
        <w:trPr>
          <w:trHeight w:val="20"/>
        </w:trPr>
        <w:tc>
          <w:tcPr>
            <w:tcW w:w="2204" w:type="dxa"/>
          </w:tcPr>
          <w:p w14:paraId="301E8B67"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68" w:type="dxa"/>
            <w:gridSpan w:val="5"/>
          </w:tcPr>
          <w:p w14:paraId="1ED6AC3C" w14:textId="77777777" w:rsidR="00835192" w:rsidRPr="00FF756A" w:rsidRDefault="00835192" w:rsidP="00835192">
            <w:pPr>
              <w:spacing w:before="20" w:after="20" w:line="240" w:lineRule="auto"/>
              <w:rPr>
                <w:i/>
                <w:iCs/>
                <w:sz w:val="20"/>
                <w:szCs w:val="20"/>
              </w:rPr>
            </w:pPr>
            <w:r w:rsidRPr="00FF756A">
              <w:rPr>
                <w:i/>
                <w:iCs/>
                <w:sz w:val="20"/>
                <w:szCs w:val="20"/>
              </w:rPr>
              <w:t>Ligji Nr. 43/2015, datë 30.4.2015, “Për sektorin e energjisë elektrike”, i ndryshuar; Ligji Nr. 116/2016, datë 10.11.2016, “Për performancën e energjisë së ndërtesave”</w:t>
            </w:r>
          </w:p>
        </w:tc>
      </w:tr>
      <w:tr w:rsidR="00835192" w:rsidRPr="00FF756A" w14:paraId="037B7CEE" w14:textId="77777777" w:rsidTr="004A3257">
        <w:trPr>
          <w:trHeight w:val="20"/>
        </w:trPr>
        <w:tc>
          <w:tcPr>
            <w:tcW w:w="2204" w:type="dxa"/>
          </w:tcPr>
          <w:p w14:paraId="36AFCF96"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68" w:type="dxa"/>
            <w:gridSpan w:val="5"/>
          </w:tcPr>
          <w:p w14:paraId="7A93A2F7" w14:textId="4EF34536" w:rsidR="00003E9E" w:rsidRPr="00FF756A" w:rsidRDefault="00003E9E" w:rsidP="008639B2">
            <w:pPr>
              <w:numPr>
                <w:ilvl w:val="0"/>
                <w:numId w:val="132"/>
              </w:numPr>
              <w:spacing w:before="20" w:after="20" w:line="240" w:lineRule="auto"/>
              <w:contextualSpacing/>
              <w:rPr>
                <w:i/>
                <w:iCs/>
                <w:sz w:val="20"/>
                <w:szCs w:val="20"/>
              </w:rPr>
            </w:pPr>
            <w:r w:rsidRPr="00FF756A">
              <w:rPr>
                <w:i/>
                <w:iCs/>
                <w:sz w:val="20"/>
                <w:szCs w:val="20"/>
              </w:rPr>
              <w:t>Që nga viti 2006, është zbatuar një skemë kompensimi për konsumatorët në nevojë të energjisë elektrike. Kjo skemë u ofron përfitime financiare prej 640 lekësh (5,2 euro) në muaj për ata që plotësojnë kushtin e konsumit mujor deri në 200 kWh. Ky mekanizëm mbetet ende në fuqi.</w:t>
            </w:r>
          </w:p>
          <w:p w14:paraId="6285B693" w14:textId="0286706C" w:rsidR="00835192" w:rsidRPr="00FF756A" w:rsidRDefault="00835192" w:rsidP="008639B2">
            <w:pPr>
              <w:numPr>
                <w:ilvl w:val="0"/>
                <w:numId w:val="132"/>
              </w:numPr>
              <w:spacing w:before="20" w:after="20" w:line="240" w:lineRule="auto"/>
              <w:contextualSpacing/>
              <w:rPr>
                <w:i/>
                <w:iCs/>
                <w:sz w:val="20"/>
                <w:szCs w:val="20"/>
              </w:rPr>
            </w:pPr>
            <w:r w:rsidRPr="00FF756A">
              <w:rPr>
                <w:i/>
                <w:iCs/>
                <w:sz w:val="20"/>
                <w:szCs w:val="20"/>
              </w:rPr>
              <w:t xml:space="preserve">Për të mbrojtur familjet përkohësisht të cenueshme të cilat konsumojnë deri në 300 kWh në muaj, në vitin 2015, qeveria miratoi një përfitim shtesë të subvencionuar në para prej 648 lekësh (5,23 euro) në muaj. </w:t>
            </w:r>
          </w:p>
          <w:p w14:paraId="3EBA1319" w14:textId="77777777" w:rsidR="00835192" w:rsidRPr="00FF756A" w:rsidRDefault="00835192" w:rsidP="008639B2">
            <w:pPr>
              <w:numPr>
                <w:ilvl w:val="0"/>
                <w:numId w:val="132"/>
              </w:numPr>
              <w:spacing w:before="20" w:after="20" w:line="240" w:lineRule="auto"/>
              <w:contextualSpacing/>
              <w:rPr>
                <w:i/>
                <w:iCs/>
                <w:sz w:val="20"/>
                <w:szCs w:val="20"/>
              </w:rPr>
            </w:pPr>
            <w:r w:rsidRPr="00FF756A">
              <w:rPr>
                <w:i/>
                <w:iCs/>
                <w:sz w:val="20"/>
                <w:szCs w:val="20"/>
              </w:rPr>
              <w:t xml:space="preserve">Vendimi i ERE nr. 246, datë 11.12.2018, “Për miratimin e rregullores mbi kushtet specifike për ndërprerjen e furnizimit me energji elektrike të klientëve në nevojë”. Bazuar në këtë rregullore, Operatori i Sistemit të Shpërndarjes dhe Ofruesi i Shërbimit Universal krijojnë dhe mbajnë një regjistër me të dhënat e klientëve në nevojë.  </w:t>
            </w:r>
          </w:p>
        </w:tc>
      </w:tr>
      <w:tr w:rsidR="00835192" w:rsidRPr="00FF756A" w14:paraId="5F1E9319" w14:textId="77777777" w:rsidTr="004A3257">
        <w:trPr>
          <w:trHeight w:val="20"/>
        </w:trPr>
        <w:tc>
          <w:tcPr>
            <w:tcW w:w="2204" w:type="dxa"/>
          </w:tcPr>
          <w:p w14:paraId="33745795"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68" w:type="dxa"/>
            <w:gridSpan w:val="5"/>
          </w:tcPr>
          <w:p w14:paraId="1150AD8C" w14:textId="77777777" w:rsidR="00835192" w:rsidRPr="00FF756A" w:rsidRDefault="00835192" w:rsidP="00835192">
            <w:pPr>
              <w:spacing w:before="20" w:after="20" w:line="240" w:lineRule="auto"/>
              <w:rPr>
                <w:i/>
                <w:iCs/>
                <w:sz w:val="20"/>
                <w:szCs w:val="20"/>
              </w:rPr>
            </w:pPr>
            <w:r w:rsidRPr="00FF756A">
              <w:rPr>
                <w:i/>
                <w:iCs/>
                <w:sz w:val="20"/>
                <w:szCs w:val="20"/>
              </w:rPr>
              <w:t>Objektivi është përshtatja e përcaktimit të varfërisë energjetike sipas gjetjeve të studimit të EnCS-së të publikuar në dhjetor të vitit 2021, krijimi i një sistemi kombëtar për monitorimin sistematik të saj dhe zbatimi i masave për eliminimin e varfërisë energjetike brenda vitit 2035.</w:t>
            </w:r>
          </w:p>
        </w:tc>
      </w:tr>
      <w:tr w:rsidR="00835192" w:rsidRPr="00FF756A" w14:paraId="2530401E" w14:textId="77777777" w:rsidTr="004A3257">
        <w:trPr>
          <w:trHeight w:val="20"/>
        </w:trPr>
        <w:tc>
          <w:tcPr>
            <w:tcW w:w="2204" w:type="dxa"/>
          </w:tcPr>
          <w:p w14:paraId="32FE0B9C"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68" w:type="dxa"/>
            <w:gridSpan w:val="5"/>
          </w:tcPr>
          <w:p w14:paraId="57103E3B" w14:textId="77777777" w:rsidR="00835192" w:rsidRPr="00FF756A" w:rsidRDefault="00835192" w:rsidP="00835192">
            <w:pPr>
              <w:spacing w:before="20" w:after="20" w:line="240" w:lineRule="auto"/>
              <w:contextualSpacing/>
              <w:rPr>
                <w:i/>
                <w:iCs/>
                <w:sz w:val="20"/>
                <w:szCs w:val="20"/>
              </w:rPr>
            </w:pPr>
            <w:r w:rsidRPr="00FF756A">
              <w:rPr>
                <w:i/>
                <w:iCs/>
                <w:sz w:val="20"/>
                <w:szCs w:val="20"/>
              </w:rPr>
              <w:t>Zhvillimi i një metodologjie për të përcaktuar grupet e varfra të energjisë, krijimi i mjeteve të monitorimit, si dhe zbatimi i masave të efiçencës së energjisë që synojnë familjet e cenueshme të energjisë duke miratuar planin e veprimit për adresimin e varfërisë energjetike brenda vitit 2026</w:t>
            </w:r>
          </w:p>
        </w:tc>
      </w:tr>
      <w:tr w:rsidR="00835192" w:rsidRPr="00FF756A" w14:paraId="77F4EE16" w14:textId="77777777" w:rsidTr="004A3257">
        <w:trPr>
          <w:trHeight w:val="20"/>
        </w:trPr>
        <w:tc>
          <w:tcPr>
            <w:tcW w:w="2204" w:type="dxa"/>
          </w:tcPr>
          <w:p w14:paraId="47187AD7"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18" w:type="dxa"/>
            <w:gridSpan w:val="4"/>
          </w:tcPr>
          <w:p w14:paraId="112D6FF0" w14:textId="77777777" w:rsidR="00835192" w:rsidRPr="00FF756A" w:rsidRDefault="00835192" w:rsidP="00835192">
            <w:pPr>
              <w:spacing w:before="20" w:after="20" w:line="240" w:lineRule="auto"/>
              <w:rPr>
                <w:sz w:val="20"/>
              </w:rPr>
            </w:pPr>
            <w:r w:rsidRPr="00FF756A">
              <w:rPr>
                <w:i/>
                <w:iCs/>
                <w:sz w:val="20"/>
                <w:szCs w:val="20"/>
              </w:rPr>
              <w:t xml:space="preserve">Masat afatshkurtra: </w:t>
            </w:r>
          </w:p>
          <w:p w14:paraId="172BF7E6"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 xml:space="preserve">Përditësimi i kuadrit ligjor për skemën e kompensimit në bazë të kërkesave të ligjit nr. 43/2015 “Për sektorin e energjisë elektrike”, i ndryshuar, për klientët në nevojë. </w:t>
            </w:r>
          </w:p>
          <w:p w14:paraId="0CD1DE64"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 xml:space="preserve">Përshtatja e përcaktimit të varfërisë energjetike sipas rezultateve të studimit të EnCS-së të publikuar në dhjetor të vitit 2021 dhe përcaktimi i treguesve të matshëm që mundësojnë ndjekjen e progresit. </w:t>
            </w:r>
          </w:p>
          <w:p w14:paraId="6A4D5FC4" w14:textId="77777777" w:rsidR="00835192" w:rsidRPr="00FF756A" w:rsidRDefault="00835192" w:rsidP="00835192">
            <w:pPr>
              <w:spacing w:before="20" w:after="20" w:line="240" w:lineRule="auto"/>
              <w:contextualSpacing/>
              <w:rPr>
                <w:i/>
                <w:iCs/>
                <w:sz w:val="20"/>
                <w:szCs w:val="20"/>
              </w:rPr>
            </w:pPr>
            <w:r w:rsidRPr="00FF756A">
              <w:rPr>
                <w:i/>
                <w:iCs/>
                <w:sz w:val="20"/>
                <w:szCs w:val="20"/>
              </w:rPr>
              <w:t xml:space="preserve">Masat afatmesme: </w:t>
            </w:r>
          </w:p>
          <w:p w14:paraId="355FE04F"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Zhvillimi i një metodologjie për të përcaktuar grupet e varfra të energjisë, krijimi i mjeteve të monitorimit, si dhe zbatimi i masave të efiçencës së energjisë që synojnë familjet e cenueshme të energjisë duke miratuar planin e veprimit për adresimin e varfërisë energjetike</w:t>
            </w:r>
          </w:p>
          <w:p w14:paraId="3A2D0513"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Zhvillimi i një plani veprimi në bazë të përvojës së vendeve të BE-së për reduktimin e varfërisë energjetike, i cili përfshin objektiva vjetore dhe masa të tilla si: grante për rinovimin e ndërtesave me performancën më të dobët energjetike, grante për shkëmbimin e frigoriferëve të vjetër etj.</w:t>
            </w:r>
          </w:p>
          <w:p w14:paraId="6C288397"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Krijimi i një sistemi kombëtar për planifikimin, monitorimin dhe zbatimin sistematik të masave për eliminimin e varfërisë energjetike.</w:t>
            </w:r>
          </w:p>
        </w:tc>
        <w:tc>
          <w:tcPr>
            <w:tcW w:w="850" w:type="dxa"/>
          </w:tcPr>
          <w:p w14:paraId="694D21F4" w14:textId="77777777" w:rsidR="00835192" w:rsidRPr="00FF756A" w:rsidRDefault="00835192" w:rsidP="00835192">
            <w:pPr>
              <w:spacing w:before="20" w:after="20" w:line="240" w:lineRule="auto"/>
              <w:contextualSpacing/>
              <w:jc w:val="left"/>
              <w:rPr>
                <w:i/>
                <w:iCs/>
                <w:sz w:val="20"/>
                <w:szCs w:val="20"/>
              </w:rPr>
            </w:pPr>
            <w:r w:rsidRPr="00FF756A">
              <w:rPr>
                <w:i/>
                <w:iCs/>
                <w:sz w:val="20"/>
                <w:szCs w:val="20"/>
              </w:rPr>
              <w:t>brenda vitit 2026</w:t>
            </w:r>
          </w:p>
          <w:p w14:paraId="4F1C6F46" w14:textId="77777777" w:rsidR="00835192" w:rsidRPr="00FF756A" w:rsidRDefault="00835192" w:rsidP="00835192">
            <w:pPr>
              <w:spacing w:before="20" w:after="20" w:line="240" w:lineRule="auto"/>
              <w:contextualSpacing/>
              <w:jc w:val="left"/>
              <w:rPr>
                <w:i/>
                <w:iCs/>
                <w:sz w:val="20"/>
                <w:szCs w:val="20"/>
              </w:rPr>
            </w:pPr>
            <w:r w:rsidRPr="00FF756A">
              <w:rPr>
                <w:i/>
                <w:iCs/>
                <w:sz w:val="20"/>
                <w:szCs w:val="20"/>
              </w:rPr>
              <w:br/>
            </w:r>
            <w:r w:rsidRPr="00FF756A">
              <w:rPr>
                <w:i/>
                <w:iCs/>
                <w:sz w:val="20"/>
                <w:szCs w:val="20"/>
              </w:rPr>
              <w:br/>
            </w:r>
          </w:p>
          <w:p w14:paraId="10E59DE9" w14:textId="77777777" w:rsidR="00835192" w:rsidRPr="00FF756A" w:rsidRDefault="00835192" w:rsidP="00835192">
            <w:pPr>
              <w:spacing w:before="20" w:after="20" w:line="240" w:lineRule="auto"/>
              <w:contextualSpacing/>
              <w:jc w:val="left"/>
              <w:rPr>
                <w:i/>
                <w:iCs/>
                <w:sz w:val="20"/>
                <w:szCs w:val="20"/>
              </w:rPr>
            </w:pPr>
            <w:r w:rsidRPr="00FF756A">
              <w:rPr>
                <w:i/>
                <w:iCs/>
                <w:sz w:val="20"/>
                <w:szCs w:val="20"/>
              </w:rPr>
              <w:br/>
            </w:r>
            <w:r w:rsidRPr="00FF756A">
              <w:rPr>
                <w:i/>
                <w:iCs/>
                <w:sz w:val="20"/>
                <w:szCs w:val="20"/>
              </w:rPr>
              <w:br/>
            </w:r>
          </w:p>
          <w:p w14:paraId="53E7A013" w14:textId="77777777" w:rsidR="00835192" w:rsidRPr="00FF756A" w:rsidRDefault="00835192" w:rsidP="00835192">
            <w:pPr>
              <w:spacing w:before="20" w:after="20" w:line="240" w:lineRule="auto"/>
              <w:contextualSpacing/>
              <w:jc w:val="left"/>
              <w:rPr>
                <w:i/>
                <w:iCs/>
                <w:sz w:val="20"/>
                <w:szCs w:val="20"/>
              </w:rPr>
            </w:pPr>
            <w:r w:rsidRPr="00FF756A">
              <w:rPr>
                <w:i/>
                <w:iCs/>
                <w:sz w:val="20"/>
                <w:szCs w:val="20"/>
              </w:rPr>
              <w:t xml:space="preserve">brenda vitit 2028 </w:t>
            </w:r>
          </w:p>
        </w:tc>
      </w:tr>
      <w:tr w:rsidR="00835192" w:rsidRPr="00FF756A" w14:paraId="41050331" w14:textId="77777777" w:rsidTr="004A3257">
        <w:trPr>
          <w:trHeight w:val="20"/>
        </w:trPr>
        <w:tc>
          <w:tcPr>
            <w:tcW w:w="2204" w:type="dxa"/>
          </w:tcPr>
          <w:p w14:paraId="0A5EC57F"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68" w:type="dxa"/>
            <w:gridSpan w:val="5"/>
          </w:tcPr>
          <w:p w14:paraId="70CB4438" w14:textId="77777777" w:rsidR="00835192" w:rsidRPr="00FF756A" w:rsidRDefault="00835192" w:rsidP="00835192">
            <w:pPr>
              <w:spacing w:before="20" w:after="20" w:line="240" w:lineRule="auto"/>
              <w:rPr>
                <w:i/>
                <w:iCs/>
                <w:sz w:val="20"/>
                <w:szCs w:val="20"/>
              </w:rPr>
            </w:pPr>
            <w:r w:rsidRPr="00FF756A">
              <w:rPr>
                <w:i/>
                <w:iCs/>
                <w:sz w:val="20"/>
                <w:szCs w:val="20"/>
              </w:rPr>
              <w:t xml:space="preserve">Totali i përfitimit në para për masat e zbatuara (skema e kompensimit dhe përfitimi i subvencionuar në para) është 1,288 lekë (10,4 euro) në muaj. Kjo masë ka ofruar mbështetje për 213 000 familje me një kosto nga buxheti i shtetit prej 1,76 miliardë lekë (14,22 milionë euro) në vit duke filluar nga periudha 2019/2020. Shifrat shërbejnë si orientim për nevojat vjetore të buxhetit. </w:t>
            </w:r>
          </w:p>
        </w:tc>
      </w:tr>
      <w:tr w:rsidR="00835192" w:rsidRPr="00FF756A" w14:paraId="583B64AB" w14:textId="77777777" w:rsidTr="004A3257">
        <w:trPr>
          <w:trHeight w:val="20"/>
        </w:trPr>
        <w:tc>
          <w:tcPr>
            <w:tcW w:w="2204" w:type="dxa"/>
          </w:tcPr>
          <w:p w14:paraId="78584989"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6E0A0BB2"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68" w:type="dxa"/>
            <w:gridSpan w:val="5"/>
          </w:tcPr>
          <w:p w14:paraId="126FA07B"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 Ministria e Shëndetësisë dhe Mbrojtjes Sociale, Ministria e Financave, njësitë e qeverisjes vendore</w:t>
            </w:r>
          </w:p>
          <w:p w14:paraId="5F6C490D" w14:textId="77777777" w:rsidR="00835192" w:rsidRPr="00FF756A" w:rsidRDefault="00835192" w:rsidP="00835192">
            <w:pPr>
              <w:spacing w:before="20" w:after="20" w:line="240" w:lineRule="auto"/>
              <w:rPr>
                <w:i/>
                <w:iCs/>
                <w:sz w:val="20"/>
                <w:szCs w:val="20"/>
              </w:rPr>
            </w:pPr>
            <w:r w:rsidRPr="00FF756A">
              <w:rPr>
                <w:i/>
                <w:iCs/>
                <w:sz w:val="20"/>
                <w:szCs w:val="20"/>
              </w:rPr>
              <w:t>(Ministria e Infrastrukturës dhe Energjisë)</w:t>
            </w:r>
          </w:p>
        </w:tc>
      </w:tr>
      <w:tr w:rsidR="00835192" w:rsidRPr="00FF756A" w14:paraId="39E8DC76" w14:textId="77777777" w:rsidTr="004A3257">
        <w:trPr>
          <w:trHeight w:val="20"/>
        </w:trPr>
        <w:tc>
          <w:tcPr>
            <w:tcW w:w="2204" w:type="dxa"/>
          </w:tcPr>
          <w:p w14:paraId="7991D201"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68" w:type="dxa"/>
            <w:gridSpan w:val="5"/>
          </w:tcPr>
          <w:p w14:paraId="6A32610E" w14:textId="77777777" w:rsidR="00835192" w:rsidRPr="00FF756A" w:rsidRDefault="00835192" w:rsidP="00835192">
            <w:pPr>
              <w:spacing w:before="20" w:after="20" w:line="240" w:lineRule="auto"/>
              <w:rPr>
                <w:i/>
                <w:iCs/>
                <w:sz w:val="20"/>
                <w:szCs w:val="20"/>
              </w:rPr>
            </w:pPr>
            <w:r w:rsidRPr="00FF756A">
              <w:rPr>
                <w:i/>
                <w:iCs/>
                <w:sz w:val="20"/>
                <w:szCs w:val="20"/>
              </w:rPr>
              <w:t xml:space="preserve">Dekarbonizimi/Energjia e rinovueshme; Efiçenca e energjisë; Kërkimi, inovacioni dhe konkurrenca </w:t>
            </w:r>
          </w:p>
          <w:p w14:paraId="29C2371F" w14:textId="77777777" w:rsidR="00835192" w:rsidRPr="00FF756A" w:rsidRDefault="00835192" w:rsidP="00835192">
            <w:pPr>
              <w:spacing w:before="20" w:after="20" w:line="240" w:lineRule="auto"/>
              <w:rPr>
                <w:i/>
                <w:iCs/>
                <w:sz w:val="20"/>
                <w:szCs w:val="20"/>
              </w:rPr>
            </w:pPr>
            <w:r w:rsidRPr="00FF756A">
              <w:rPr>
                <w:i/>
                <w:iCs/>
                <w:sz w:val="20"/>
                <w:szCs w:val="20"/>
              </w:rPr>
              <w:t>EE-L6 Skemat e mbështetjes financiare për përmirësimin e efiçencës së energjisë në ndërtesa (sektori privat)</w:t>
            </w:r>
          </w:p>
          <w:p w14:paraId="1AC95C5B" w14:textId="77777777" w:rsidR="00835192" w:rsidRPr="00FF756A" w:rsidRDefault="00835192" w:rsidP="00835192">
            <w:pPr>
              <w:spacing w:before="20" w:after="20" w:line="240" w:lineRule="auto"/>
              <w:rPr>
                <w:i/>
                <w:iCs/>
                <w:sz w:val="20"/>
                <w:szCs w:val="20"/>
              </w:rPr>
            </w:pPr>
            <w:r w:rsidRPr="00FF756A">
              <w:rPr>
                <w:i/>
                <w:iCs/>
                <w:sz w:val="20"/>
                <w:szCs w:val="20"/>
              </w:rPr>
              <w:t>EE-L2: Plani afatgjatë i rinovimit të ndërtesave (për ndërtesat publike dhe private) sipas riformulimit të EPBD-së në vitin 2024</w:t>
            </w:r>
          </w:p>
        </w:tc>
      </w:tr>
    </w:tbl>
    <w:p w14:paraId="355E66B2" w14:textId="77777777" w:rsidR="00835192" w:rsidRPr="00FF756A" w:rsidRDefault="00835192" w:rsidP="00835192">
      <w:bookmarkStart w:id="456" w:name="_Toc75616142"/>
    </w:p>
    <w:p w14:paraId="01968D9D" w14:textId="0EEB4385" w:rsidR="00835192" w:rsidRPr="00FF756A" w:rsidRDefault="00835192" w:rsidP="004A3257">
      <w:pPr>
        <w:pStyle w:val="Heading2"/>
        <w:numPr>
          <w:ilvl w:val="1"/>
          <w:numId w:val="241"/>
        </w:numPr>
      </w:pPr>
      <w:bookmarkStart w:id="457" w:name="_Toc182897798"/>
      <w:bookmarkStart w:id="458" w:name="_Toc183639253"/>
      <w:r w:rsidRPr="00FF756A">
        <w:t>Kërkimi, inovacioni dhe konkurrenca</w:t>
      </w:r>
      <w:bookmarkEnd w:id="456"/>
      <w:bookmarkEnd w:id="457"/>
      <w:bookmarkEnd w:id="458"/>
    </w:p>
    <w:p w14:paraId="26B1F44E" w14:textId="77777777" w:rsidR="002544FE" w:rsidRPr="00FF756A" w:rsidRDefault="002544FE" w:rsidP="002544FE">
      <w:pPr>
        <w:pStyle w:val="Heading3"/>
      </w:pPr>
      <w:bookmarkStart w:id="459" w:name="_Toc75616143"/>
      <w:bookmarkStart w:id="460" w:name="_Toc182897799"/>
    </w:p>
    <w:p w14:paraId="70A35537" w14:textId="22014B49" w:rsidR="00835192" w:rsidRPr="00FF756A" w:rsidRDefault="0025362A" w:rsidP="004A3257">
      <w:pPr>
        <w:pStyle w:val="Heading3"/>
      </w:pPr>
      <w:bookmarkStart w:id="461" w:name="_Toc183639254"/>
      <w:r w:rsidRPr="00FF756A">
        <w:t xml:space="preserve">3.5.1 </w:t>
      </w:r>
      <w:r w:rsidR="00835192" w:rsidRPr="00FF756A">
        <w:t>Kuadri ligjor gjithëpërfshirës</w:t>
      </w:r>
      <w:bookmarkEnd w:id="459"/>
      <w:bookmarkEnd w:id="460"/>
      <w:bookmarkEnd w:id="461"/>
    </w:p>
    <w:p w14:paraId="450922F7" w14:textId="77777777" w:rsidR="00835192" w:rsidRPr="00FF756A" w:rsidRDefault="00835192" w:rsidP="00835192">
      <w:r w:rsidRPr="00FF756A">
        <w:t>Më poshtë renditen aktet ligjore kryesore (duke përfshirë strategjitë dhe planet) në lidhje me këtë dimension:</w:t>
      </w:r>
    </w:p>
    <w:p w14:paraId="0A8F4942" w14:textId="68563526" w:rsidR="00835192" w:rsidRPr="00FF756A" w:rsidRDefault="00835192" w:rsidP="008639B2">
      <w:pPr>
        <w:numPr>
          <w:ilvl w:val="0"/>
          <w:numId w:val="123"/>
        </w:numPr>
        <w:contextualSpacing/>
        <w:rPr>
          <w:bCs/>
          <w:iCs/>
        </w:rPr>
      </w:pPr>
      <w:r w:rsidRPr="00FF756A">
        <w:rPr>
          <w:bCs/>
          <w:iCs/>
        </w:rPr>
        <w:t>Ligji Nr. 80/2015, datë 22.7.2015 “Për arsimin e lartë dhe kërkimin shkencor në institucionet e arsimit të lartë në Republikën e Shqipërisë”</w:t>
      </w:r>
      <w:r w:rsidR="006C24ED" w:rsidRPr="00FF756A">
        <w:rPr>
          <w:bCs/>
          <w:iCs/>
        </w:rPr>
        <w:t>;</w:t>
      </w:r>
    </w:p>
    <w:p w14:paraId="35FA0F31" w14:textId="15DE5991" w:rsidR="00835192" w:rsidRPr="00FF756A" w:rsidRDefault="00835192" w:rsidP="008639B2">
      <w:pPr>
        <w:numPr>
          <w:ilvl w:val="0"/>
          <w:numId w:val="123"/>
        </w:numPr>
        <w:contextualSpacing/>
        <w:rPr>
          <w:bCs/>
          <w:iCs/>
        </w:rPr>
      </w:pPr>
      <w:r w:rsidRPr="00FF756A">
        <w:rPr>
          <w:bCs/>
          <w:iCs/>
        </w:rPr>
        <w:t>VKM Nr. 710, datë 1.12.2017, “Për miratimin e strategjisë kombëtare për shkencën, teknologjinë dhe inovacionin (SKSHTI) për periudhën 2017-2022”</w:t>
      </w:r>
      <w:r w:rsidR="006C24ED" w:rsidRPr="00FF756A">
        <w:rPr>
          <w:bCs/>
          <w:iCs/>
        </w:rPr>
        <w:t>;</w:t>
      </w:r>
    </w:p>
    <w:p w14:paraId="552596B4" w14:textId="3068B891" w:rsidR="00835192" w:rsidRPr="00FF756A" w:rsidRDefault="00835192" w:rsidP="008639B2">
      <w:pPr>
        <w:numPr>
          <w:ilvl w:val="0"/>
          <w:numId w:val="123"/>
        </w:numPr>
        <w:contextualSpacing/>
        <w:rPr>
          <w:bCs/>
          <w:iCs/>
        </w:rPr>
      </w:pPr>
      <w:r w:rsidRPr="00FF756A">
        <w:rPr>
          <w:bCs/>
          <w:iCs/>
        </w:rPr>
        <w:t>VKM Nr. 607, datë 31.08.2016 “Për krijimin, përbërjen, organizimin dhe funksionimin e agjencisë kombëtare të kërkimit shkencor dhe inovacionit” (AKKSHI)</w:t>
      </w:r>
      <w:r w:rsidR="006C24ED" w:rsidRPr="00FF756A">
        <w:rPr>
          <w:bCs/>
          <w:iCs/>
        </w:rPr>
        <w:t>;</w:t>
      </w:r>
    </w:p>
    <w:p w14:paraId="06D85A4D" w14:textId="68B3E2CE" w:rsidR="006C24ED" w:rsidRPr="00FF756A" w:rsidRDefault="006C24ED" w:rsidP="006C24ED">
      <w:pPr>
        <w:numPr>
          <w:ilvl w:val="0"/>
          <w:numId w:val="123"/>
        </w:numPr>
        <w:contextualSpacing/>
        <w:rPr>
          <w:bCs/>
          <w:iCs/>
        </w:rPr>
      </w:pPr>
      <w:r w:rsidRPr="00FF756A">
        <w:rPr>
          <w:bCs/>
          <w:iCs/>
        </w:rPr>
        <w:t>VKM nr. 620, datë 1.11.2023, “Për krijimin, organizimin dhe funksionimin e agjencisë së inovacionit dhe ekselencës”, i ndryshuar;</w:t>
      </w:r>
    </w:p>
    <w:p w14:paraId="0C41C5AC" w14:textId="350CF704" w:rsidR="006C24ED" w:rsidRPr="00FF756A" w:rsidRDefault="006C24ED" w:rsidP="006C24ED">
      <w:pPr>
        <w:numPr>
          <w:ilvl w:val="0"/>
          <w:numId w:val="123"/>
        </w:numPr>
        <w:contextualSpacing/>
        <w:rPr>
          <w:bCs/>
          <w:iCs/>
        </w:rPr>
      </w:pPr>
      <w:r w:rsidRPr="00FF756A">
        <w:rPr>
          <w:bCs/>
          <w:iCs/>
        </w:rPr>
        <w:t>VKM nr. 30, datë 17.01.2024, “Për miratimin e fushës së përgjegjësisë shtetërore të ministrisë së ekonomisë, kulturës dhe inovacionit”.</w:t>
      </w:r>
    </w:p>
    <w:p w14:paraId="1E13514F" w14:textId="77777777" w:rsidR="00835192" w:rsidRPr="00FF756A" w:rsidRDefault="00835192" w:rsidP="00835192"/>
    <w:p w14:paraId="6622F5F9" w14:textId="77777777" w:rsidR="00835192" w:rsidRPr="00FF756A" w:rsidRDefault="00835192" w:rsidP="00835192">
      <w:r w:rsidRPr="00FF756A">
        <w:t>Në tabelat më poshtë jepen politikat dhe masat, të ndara sipas sektorëve përkatës.</w:t>
      </w:r>
    </w:p>
    <w:p w14:paraId="66434D16" w14:textId="77777777" w:rsidR="00835192" w:rsidRPr="00FF756A" w:rsidRDefault="00835192" w:rsidP="00835192"/>
    <w:p w14:paraId="3EF139F5" w14:textId="536FCD31" w:rsidR="00835192" w:rsidRPr="00FF756A" w:rsidRDefault="003B0D82" w:rsidP="004A3257">
      <w:pPr>
        <w:pStyle w:val="Heading3"/>
      </w:pPr>
      <w:bookmarkStart w:id="462" w:name="_Toc182897800"/>
      <w:bookmarkStart w:id="463" w:name="_Toc183639255"/>
      <w:r w:rsidRPr="00FF756A">
        <w:t xml:space="preserve">3.5.2 </w:t>
      </w:r>
      <w:r w:rsidR="00835192" w:rsidRPr="00FF756A">
        <w:t>Kërkimi</w:t>
      </w:r>
      <w:bookmarkEnd w:id="462"/>
      <w:bookmarkEnd w:id="463"/>
      <w:r w:rsidR="00835192" w:rsidRPr="00FF756A">
        <w:t xml:space="preserve"> </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1275"/>
        <w:gridCol w:w="597"/>
        <w:gridCol w:w="426"/>
        <w:gridCol w:w="3716"/>
        <w:gridCol w:w="850"/>
      </w:tblGrid>
      <w:tr w:rsidR="00835192" w:rsidRPr="00FF756A" w14:paraId="0071A72A" w14:textId="77777777" w:rsidTr="004A3257">
        <w:trPr>
          <w:trHeight w:val="20"/>
        </w:trPr>
        <w:tc>
          <w:tcPr>
            <w:tcW w:w="4501" w:type="dxa"/>
            <w:gridSpan w:val="4"/>
            <w:shd w:val="clear" w:color="auto" w:fill="C45911" w:themeFill="accent2" w:themeFillShade="BF"/>
          </w:tcPr>
          <w:p w14:paraId="4749343C" w14:textId="77777777" w:rsidR="00835192" w:rsidRPr="00FF756A" w:rsidRDefault="00835192" w:rsidP="00835192">
            <w:pPr>
              <w:spacing w:before="20" w:after="20" w:line="240" w:lineRule="auto"/>
              <w:jc w:val="right"/>
              <w:rPr>
                <w:b/>
                <w:bCs/>
                <w:sz w:val="20"/>
                <w:szCs w:val="20"/>
              </w:rPr>
            </w:pPr>
            <w:r w:rsidRPr="00FF756A">
              <w:rPr>
                <w:b/>
                <w:bCs/>
                <w:sz w:val="20"/>
                <w:szCs w:val="20"/>
              </w:rPr>
              <w:t>Dimensioni i energjisë</w:t>
            </w:r>
          </w:p>
        </w:tc>
        <w:tc>
          <w:tcPr>
            <w:tcW w:w="4571" w:type="dxa"/>
            <w:gridSpan w:val="2"/>
            <w:shd w:val="clear" w:color="auto" w:fill="C45911" w:themeFill="accent2" w:themeFillShade="BF"/>
          </w:tcPr>
          <w:p w14:paraId="5E65BF88" w14:textId="77777777" w:rsidR="00835192" w:rsidRPr="00FF756A" w:rsidRDefault="00835192" w:rsidP="00835192">
            <w:pPr>
              <w:spacing w:before="20" w:after="20" w:line="240" w:lineRule="auto"/>
              <w:rPr>
                <w:i/>
                <w:iCs/>
                <w:sz w:val="20"/>
                <w:szCs w:val="20"/>
              </w:rPr>
            </w:pPr>
            <w:r w:rsidRPr="00FF756A">
              <w:rPr>
                <w:i/>
                <w:iCs/>
                <w:sz w:val="20"/>
                <w:szCs w:val="20"/>
              </w:rPr>
              <w:t>5. Kërkimi, inovacioni dhe konkurrenca</w:t>
            </w:r>
          </w:p>
        </w:tc>
      </w:tr>
      <w:tr w:rsidR="00835192" w:rsidRPr="00FF756A" w14:paraId="066CDE77" w14:textId="77777777" w:rsidTr="004A3257">
        <w:trPr>
          <w:trHeight w:val="20"/>
        </w:trPr>
        <w:tc>
          <w:tcPr>
            <w:tcW w:w="4074" w:type="dxa"/>
            <w:gridSpan w:val="3"/>
            <w:shd w:val="clear" w:color="auto" w:fill="C45911" w:themeFill="accent2" w:themeFillShade="BF"/>
          </w:tcPr>
          <w:p w14:paraId="2326B92C" w14:textId="77777777" w:rsidR="00835192" w:rsidRPr="00FF756A" w:rsidRDefault="00835192" w:rsidP="00835192">
            <w:pPr>
              <w:spacing w:before="20" w:after="20" w:line="240" w:lineRule="auto"/>
              <w:jc w:val="right"/>
              <w:rPr>
                <w:b/>
                <w:bCs/>
                <w:sz w:val="20"/>
                <w:szCs w:val="20"/>
              </w:rPr>
            </w:pPr>
            <w:r w:rsidRPr="00FF756A">
              <w:rPr>
                <w:b/>
                <w:bCs/>
                <w:sz w:val="20"/>
                <w:szCs w:val="20"/>
              </w:rPr>
              <w:t>Sektori</w:t>
            </w:r>
          </w:p>
        </w:tc>
        <w:tc>
          <w:tcPr>
            <w:tcW w:w="4998" w:type="dxa"/>
            <w:gridSpan w:val="3"/>
            <w:shd w:val="clear" w:color="auto" w:fill="C45911" w:themeFill="accent2" w:themeFillShade="BF"/>
          </w:tcPr>
          <w:p w14:paraId="1F9A8855" w14:textId="77777777" w:rsidR="00835192" w:rsidRPr="00FF756A" w:rsidRDefault="00835192" w:rsidP="00835192">
            <w:pPr>
              <w:spacing w:before="20" w:after="20" w:line="240" w:lineRule="auto"/>
              <w:rPr>
                <w:i/>
                <w:iCs/>
                <w:sz w:val="20"/>
                <w:szCs w:val="20"/>
              </w:rPr>
            </w:pPr>
          </w:p>
        </w:tc>
      </w:tr>
      <w:tr w:rsidR="00835192" w:rsidRPr="00FF756A" w14:paraId="746B6229" w14:textId="77777777" w:rsidTr="004A3257">
        <w:trPr>
          <w:trHeight w:val="20"/>
        </w:trPr>
        <w:tc>
          <w:tcPr>
            <w:tcW w:w="3476" w:type="dxa"/>
            <w:gridSpan w:val="2"/>
          </w:tcPr>
          <w:p w14:paraId="199F3231" w14:textId="77777777" w:rsidR="00835192" w:rsidRPr="00FF756A" w:rsidRDefault="00835192" w:rsidP="00835192">
            <w:pPr>
              <w:spacing w:before="20" w:after="20" w:line="240" w:lineRule="auto"/>
              <w:jc w:val="right"/>
              <w:rPr>
                <w:b/>
                <w:bCs/>
                <w:sz w:val="20"/>
                <w:szCs w:val="20"/>
              </w:rPr>
            </w:pPr>
            <w:r w:rsidRPr="00FF756A">
              <w:rPr>
                <w:b/>
                <w:bCs/>
                <w:sz w:val="20"/>
                <w:szCs w:val="20"/>
              </w:rPr>
              <w:t>Skenari i modelimit i marrë në konsideratë</w:t>
            </w:r>
          </w:p>
          <w:p w14:paraId="0B55516A" w14:textId="77777777" w:rsidR="00835192" w:rsidRPr="00FF756A" w:rsidRDefault="00835192" w:rsidP="00835192">
            <w:pPr>
              <w:spacing w:before="20" w:after="20" w:line="240" w:lineRule="auto"/>
              <w:jc w:val="right"/>
              <w:rPr>
                <w:b/>
                <w:bCs/>
                <w:sz w:val="20"/>
                <w:szCs w:val="20"/>
              </w:rPr>
            </w:pPr>
            <w:r w:rsidRPr="00FF756A">
              <w:rPr>
                <w:b/>
                <w:bCs/>
                <w:sz w:val="20"/>
                <w:szCs w:val="20"/>
              </w:rPr>
              <w:t>Lloj i instrumentit</w:t>
            </w:r>
          </w:p>
        </w:tc>
        <w:tc>
          <w:tcPr>
            <w:tcW w:w="5596" w:type="dxa"/>
            <w:gridSpan w:val="4"/>
          </w:tcPr>
          <w:p w14:paraId="632115E7" w14:textId="77777777" w:rsidR="00835192" w:rsidRPr="00FF756A" w:rsidRDefault="00835192" w:rsidP="00835192">
            <w:pPr>
              <w:spacing w:before="20" w:after="20" w:line="240" w:lineRule="auto"/>
              <w:rPr>
                <w:i/>
                <w:iCs/>
                <w:sz w:val="20"/>
                <w:szCs w:val="20"/>
              </w:rPr>
            </w:pPr>
            <w:r w:rsidRPr="00FF756A">
              <w:rPr>
                <w:i/>
                <w:iCs/>
                <w:sz w:val="20"/>
                <w:szCs w:val="20"/>
              </w:rPr>
              <w:t>WEM</w:t>
            </w:r>
          </w:p>
          <w:p w14:paraId="07521E91" w14:textId="77777777" w:rsidR="00835192" w:rsidRPr="00FF756A" w:rsidRDefault="00835192" w:rsidP="00835192">
            <w:pPr>
              <w:spacing w:before="20" w:after="20" w:line="240" w:lineRule="auto"/>
              <w:rPr>
                <w:i/>
                <w:iCs/>
                <w:sz w:val="20"/>
                <w:szCs w:val="20"/>
              </w:rPr>
            </w:pPr>
            <w:r w:rsidRPr="00FF756A">
              <w:rPr>
                <w:i/>
                <w:iCs/>
                <w:sz w:val="20"/>
                <w:szCs w:val="20"/>
              </w:rPr>
              <w:t>Rregullator; Informativ; Edukativ; Financiar</w:t>
            </w:r>
          </w:p>
        </w:tc>
      </w:tr>
      <w:tr w:rsidR="00835192" w:rsidRPr="00FF756A" w14:paraId="7606B0D0" w14:textId="77777777" w:rsidTr="004A3257">
        <w:trPr>
          <w:trHeight w:val="20"/>
        </w:trPr>
        <w:tc>
          <w:tcPr>
            <w:tcW w:w="2199" w:type="dxa"/>
          </w:tcPr>
          <w:p w14:paraId="56A1B5A8"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14C2C420"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73" w:type="dxa"/>
            <w:gridSpan w:val="5"/>
          </w:tcPr>
          <w:p w14:paraId="0EEACE27" w14:textId="77777777" w:rsidR="00835192" w:rsidRPr="00FF756A" w:rsidRDefault="00835192" w:rsidP="00835192">
            <w:pPr>
              <w:spacing w:before="20" w:after="20" w:line="240" w:lineRule="auto"/>
              <w:rPr>
                <w:i/>
                <w:iCs/>
                <w:sz w:val="20"/>
                <w:szCs w:val="20"/>
              </w:rPr>
            </w:pPr>
            <w:r w:rsidRPr="00FF756A">
              <w:rPr>
                <w:i/>
                <w:iCs/>
                <w:sz w:val="20"/>
                <w:szCs w:val="20"/>
              </w:rPr>
              <w:t>Përmirësimi i bashkëpunimit në nivel rajonal dhe ndërkombëtar për kërkimin shkencor në lidhje me sektorin e energjisë</w:t>
            </w:r>
          </w:p>
          <w:p w14:paraId="60F36F6E" w14:textId="77777777" w:rsidR="00835192" w:rsidRPr="00FF756A" w:rsidRDefault="00835192" w:rsidP="00835192">
            <w:pPr>
              <w:spacing w:before="20" w:after="20" w:line="240" w:lineRule="auto"/>
              <w:rPr>
                <w:i/>
                <w:iCs/>
                <w:sz w:val="20"/>
                <w:szCs w:val="20"/>
              </w:rPr>
            </w:pPr>
            <w:r w:rsidRPr="00FF756A">
              <w:rPr>
                <w:i/>
                <w:iCs/>
                <w:sz w:val="20"/>
                <w:szCs w:val="20"/>
              </w:rPr>
              <w:t xml:space="preserve">(RIC-E1) </w:t>
            </w:r>
          </w:p>
        </w:tc>
      </w:tr>
      <w:tr w:rsidR="00835192" w:rsidRPr="00FF756A" w14:paraId="760E153E" w14:textId="77777777" w:rsidTr="004A3257">
        <w:trPr>
          <w:trHeight w:val="20"/>
        </w:trPr>
        <w:tc>
          <w:tcPr>
            <w:tcW w:w="2199" w:type="dxa"/>
          </w:tcPr>
          <w:p w14:paraId="79BA244E" w14:textId="77777777" w:rsidR="00835192" w:rsidRPr="00FF756A" w:rsidRDefault="00835192" w:rsidP="00835192">
            <w:pPr>
              <w:spacing w:before="20" w:after="20" w:line="240" w:lineRule="auto"/>
              <w:jc w:val="right"/>
              <w:rPr>
                <w:sz w:val="20"/>
                <w:szCs w:val="20"/>
              </w:rPr>
            </w:pPr>
            <w:r w:rsidRPr="00FF756A">
              <w:rPr>
                <w:b/>
                <w:bCs/>
                <w:sz w:val="20"/>
                <w:szCs w:val="20"/>
              </w:rPr>
              <w:t>Afati kohor</w:t>
            </w:r>
          </w:p>
        </w:tc>
        <w:tc>
          <w:tcPr>
            <w:tcW w:w="6873" w:type="dxa"/>
            <w:gridSpan w:val="5"/>
          </w:tcPr>
          <w:p w14:paraId="750FB134" w14:textId="77777777" w:rsidR="00835192" w:rsidRPr="00FF756A" w:rsidRDefault="00835192" w:rsidP="00835192">
            <w:pPr>
              <w:spacing w:before="20" w:after="20" w:line="240" w:lineRule="auto"/>
              <w:rPr>
                <w:i/>
                <w:iCs/>
                <w:sz w:val="20"/>
                <w:szCs w:val="20"/>
              </w:rPr>
            </w:pPr>
            <w:r w:rsidRPr="00FF756A">
              <w:rPr>
                <w:i/>
                <w:iCs/>
                <w:sz w:val="20"/>
                <w:szCs w:val="20"/>
              </w:rPr>
              <w:t>2018 - vazhdim</w:t>
            </w:r>
          </w:p>
        </w:tc>
      </w:tr>
      <w:tr w:rsidR="00835192" w:rsidRPr="00FF756A" w14:paraId="723A645D" w14:textId="77777777" w:rsidTr="004A3257">
        <w:trPr>
          <w:trHeight w:val="20"/>
        </w:trPr>
        <w:tc>
          <w:tcPr>
            <w:tcW w:w="2199" w:type="dxa"/>
          </w:tcPr>
          <w:p w14:paraId="1551E762" w14:textId="77777777" w:rsidR="00835192" w:rsidRPr="00FF756A" w:rsidRDefault="00835192" w:rsidP="00835192">
            <w:pPr>
              <w:spacing w:before="20" w:after="20" w:line="240" w:lineRule="auto"/>
              <w:jc w:val="right"/>
              <w:rPr>
                <w:b/>
                <w:bCs/>
                <w:sz w:val="20"/>
                <w:szCs w:val="20"/>
              </w:rPr>
            </w:pPr>
            <w:r w:rsidRPr="00FF756A">
              <w:rPr>
                <w:b/>
                <w:bCs/>
                <w:sz w:val="20"/>
                <w:szCs w:val="20"/>
              </w:rPr>
              <w:t>Baza ligjore dhe dokumentet e planifikimit</w:t>
            </w:r>
          </w:p>
        </w:tc>
        <w:tc>
          <w:tcPr>
            <w:tcW w:w="6873" w:type="dxa"/>
            <w:gridSpan w:val="5"/>
          </w:tcPr>
          <w:p w14:paraId="022657D2" w14:textId="77777777" w:rsidR="00835192" w:rsidRPr="00FF756A" w:rsidRDefault="00835192" w:rsidP="00835192">
            <w:pPr>
              <w:spacing w:before="20" w:after="20" w:line="240" w:lineRule="auto"/>
              <w:rPr>
                <w:i/>
                <w:iCs/>
                <w:sz w:val="20"/>
                <w:szCs w:val="20"/>
              </w:rPr>
            </w:pPr>
            <w:r w:rsidRPr="00FF756A">
              <w:rPr>
                <w:i/>
                <w:iCs/>
                <w:sz w:val="20"/>
                <w:szCs w:val="20"/>
              </w:rPr>
              <w:t>VKM Nr. 710, datë 1.12.2017, “Për miratimin e strategjisë kombëtare për shkencën, teknologjinë dhe inovacionin (SKSHTI) për periudhën 2017-2022”; Ligji Nr. 80/2015, datë 22.7.2015 “Për arsimin e lartë dhe kërkimin shkencor në institucionet e arsimit të lartë në Republikën e Shqipërisë”</w:t>
            </w:r>
          </w:p>
          <w:p w14:paraId="1403D621" w14:textId="77777777" w:rsidR="00835192" w:rsidRPr="00FF756A" w:rsidRDefault="00835192" w:rsidP="00835192">
            <w:pPr>
              <w:spacing w:before="20" w:after="20" w:line="240" w:lineRule="auto"/>
              <w:rPr>
                <w:i/>
                <w:iCs/>
                <w:sz w:val="20"/>
                <w:szCs w:val="20"/>
              </w:rPr>
            </w:pPr>
            <w:r w:rsidRPr="00FF756A">
              <w:rPr>
                <w:i/>
                <w:iCs/>
                <w:sz w:val="20"/>
                <w:szCs w:val="20"/>
              </w:rPr>
              <w:t>Strategjia e re Kombëtare për shkencën, teknologjinë dhe inovacionin 2023-2030 është miratuar nga qeveria në vitin 2023.</w:t>
            </w:r>
          </w:p>
        </w:tc>
      </w:tr>
      <w:tr w:rsidR="00835192" w:rsidRPr="00FF756A" w14:paraId="2422C3AA" w14:textId="77777777" w:rsidTr="004A3257">
        <w:trPr>
          <w:trHeight w:val="20"/>
        </w:trPr>
        <w:tc>
          <w:tcPr>
            <w:tcW w:w="2199" w:type="dxa"/>
          </w:tcPr>
          <w:p w14:paraId="4529335A" w14:textId="77777777" w:rsidR="00835192" w:rsidRPr="00FF756A" w:rsidRDefault="00835192" w:rsidP="00835192">
            <w:pPr>
              <w:spacing w:before="20" w:after="20" w:line="240" w:lineRule="auto"/>
              <w:jc w:val="right"/>
              <w:rPr>
                <w:b/>
                <w:bCs/>
                <w:sz w:val="20"/>
                <w:szCs w:val="20"/>
              </w:rPr>
            </w:pPr>
            <w:r w:rsidRPr="00FF756A">
              <w:rPr>
                <w:b/>
                <w:bCs/>
                <w:sz w:val="20"/>
                <w:szCs w:val="20"/>
              </w:rPr>
              <w:t>Masat e marra deri më tani</w:t>
            </w:r>
          </w:p>
        </w:tc>
        <w:tc>
          <w:tcPr>
            <w:tcW w:w="6873" w:type="dxa"/>
            <w:gridSpan w:val="5"/>
          </w:tcPr>
          <w:p w14:paraId="58A3EF5E" w14:textId="162F6DF3" w:rsidR="00835192" w:rsidRPr="00FF756A" w:rsidRDefault="00835192" w:rsidP="00835192">
            <w:pPr>
              <w:spacing w:before="20" w:after="20" w:line="240" w:lineRule="auto"/>
              <w:rPr>
                <w:i/>
                <w:iCs/>
                <w:sz w:val="20"/>
                <w:szCs w:val="20"/>
              </w:rPr>
            </w:pPr>
            <w:r w:rsidRPr="00FF756A">
              <w:rPr>
                <w:i/>
                <w:iCs/>
                <w:sz w:val="20"/>
                <w:szCs w:val="20"/>
              </w:rPr>
              <w:t>Raport mbi vlerësimin e ndikimit të SKSHTI 2017-2022; shihni gjithashtu vlerësimin e ERA-s</w:t>
            </w:r>
            <w:r w:rsidRPr="00FF756A">
              <w:rPr>
                <w:i/>
                <w:iCs/>
                <w:sz w:val="20"/>
                <w:szCs w:val="20"/>
              </w:rPr>
              <w:br/>
            </w:r>
            <w:hyperlink r:id="rId70" w:history="1">
              <w:r w:rsidR="00FB6DE2" w:rsidRPr="00FF756A">
                <w:rPr>
                  <w:rStyle w:val="Hyperlink"/>
                  <w:i/>
                  <w:iCs/>
                  <w:sz w:val="20"/>
                  <w:szCs w:val="20"/>
                </w:rPr>
                <w:t>https://www.westernbalkans-infohub.eu/wp-content/uploads/2024/05/ERA-Country-Report-2023-Albania_FINAL.pdf</w:t>
              </w:r>
            </w:hyperlink>
            <w:r w:rsidR="00FB6DE2" w:rsidRPr="00FF756A">
              <w:rPr>
                <w:i/>
                <w:iCs/>
                <w:sz w:val="20"/>
                <w:szCs w:val="20"/>
              </w:rPr>
              <w:t xml:space="preserve"> </w:t>
            </w:r>
          </w:p>
        </w:tc>
      </w:tr>
      <w:tr w:rsidR="00835192" w:rsidRPr="00FF756A" w14:paraId="2ED1646B" w14:textId="77777777" w:rsidTr="004A3257">
        <w:trPr>
          <w:trHeight w:val="20"/>
        </w:trPr>
        <w:tc>
          <w:tcPr>
            <w:tcW w:w="2199" w:type="dxa"/>
          </w:tcPr>
          <w:p w14:paraId="64B9146B" w14:textId="77777777" w:rsidR="00835192" w:rsidRPr="00FF756A" w:rsidRDefault="00835192" w:rsidP="00835192">
            <w:pPr>
              <w:spacing w:before="20" w:after="20" w:line="240" w:lineRule="auto"/>
              <w:jc w:val="right"/>
              <w:rPr>
                <w:b/>
                <w:bCs/>
                <w:sz w:val="20"/>
                <w:szCs w:val="20"/>
              </w:rPr>
            </w:pPr>
            <w:r w:rsidRPr="00FF756A">
              <w:rPr>
                <w:b/>
                <w:bCs/>
                <w:sz w:val="20"/>
                <w:szCs w:val="20"/>
              </w:rPr>
              <w:t>Objektivi kryesor i PM</w:t>
            </w:r>
          </w:p>
        </w:tc>
        <w:tc>
          <w:tcPr>
            <w:tcW w:w="6873" w:type="dxa"/>
            <w:gridSpan w:val="5"/>
          </w:tcPr>
          <w:p w14:paraId="2B512789" w14:textId="77777777" w:rsidR="00835192" w:rsidRPr="00FF756A" w:rsidRDefault="00835192" w:rsidP="008639B2">
            <w:pPr>
              <w:numPr>
                <w:ilvl w:val="0"/>
                <w:numId w:val="173"/>
              </w:numPr>
              <w:spacing w:before="20" w:after="20" w:line="240" w:lineRule="auto"/>
              <w:jc w:val="left"/>
              <w:rPr>
                <w:i/>
                <w:iCs/>
                <w:sz w:val="20"/>
                <w:szCs w:val="20"/>
              </w:rPr>
            </w:pPr>
            <w:r w:rsidRPr="00FF756A">
              <w:rPr>
                <w:i/>
                <w:iCs/>
                <w:sz w:val="20"/>
                <w:szCs w:val="20"/>
              </w:rPr>
              <w:t>Përmirësimi i bashkëpunimit në nivel rajonal, evropian dhe botëror në sektorin e energjisë.</w:t>
            </w:r>
          </w:p>
          <w:p w14:paraId="6366845D" w14:textId="77777777" w:rsidR="00835192" w:rsidRPr="00FF756A" w:rsidRDefault="00835192" w:rsidP="008639B2">
            <w:pPr>
              <w:numPr>
                <w:ilvl w:val="0"/>
                <w:numId w:val="173"/>
              </w:numPr>
              <w:spacing w:before="20" w:after="20" w:line="240" w:lineRule="auto"/>
              <w:jc w:val="left"/>
              <w:rPr>
                <w:i/>
                <w:iCs/>
                <w:sz w:val="20"/>
                <w:szCs w:val="20"/>
              </w:rPr>
            </w:pPr>
            <w:r w:rsidRPr="00FF756A">
              <w:rPr>
                <w:i/>
                <w:iCs/>
                <w:sz w:val="20"/>
                <w:szCs w:val="20"/>
              </w:rPr>
              <w:t>Pjesëmarrja në planin SET</w:t>
            </w:r>
          </w:p>
          <w:p w14:paraId="6EF0DC91" w14:textId="77777777" w:rsidR="00835192" w:rsidRPr="00FF756A" w:rsidRDefault="00835192" w:rsidP="008639B2">
            <w:pPr>
              <w:numPr>
                <w:ilvl w:val="0"/>
                <w:numId w:val="173"/>
              </w:numPr>
              <w:spacing w:before="20" w:after="20" w:line="240" w:lineRule="auto"/>
              <w:jc w:val="left"/>
              <w:rPr>
                <w:i/>
                <w:iCs/>
                <w:sz w:val="20"/>
                <w:szCs w:val="20"/>
              </w:rPr>
            </w:pPr>
            <w:r w:rsidRPr="00FF756A">
              <w:rPr>
                <w:i/>
                <w:iCs/>
                <w:sz w:val="20"/>
                <w:szCs w:val="20"/>
              </w:rPr>
              <w:t>Përfshirja e të gjitha subjekteve qeveritare (ministritë dhe autoritetet e tjera) aktive në politikat industriale në Shqipëri në veprimet që lidhen me kërkimin dhe inovacionin dhe planin SET.</w:t>
            </w:r>
          </w:p>
          <w:p w14:paraId="294A9F63" w14:textId="77777777" w:rsidR="00835192" w:rsidRPr="00FF756A" w:rsidRDefault="00835192" w:rsidP="00835192">
            <w:pPr>
              <w:spacing w:before="20" w:after="20" w:line="240" w:lineRule="auto"/>
              <w:rPr>
                <w:i/>
                <w:iCs/>
                <w:sz w:val="20"/>
                <w:szCs w:val="20"/>
              </w:rPr>
            </w:pPr>
            <w:r w:rsidRPr="00FF756A">
              <w:rPr>
                <w:i/>
                <w:iCs/>
                <w:sz w:val="20"/>
                <w:szCs w:val="20"/>
              </w:rPr>
              <w:t>Ndër të tjera, pjesëmarrja e studiuesve dhe novatorëve shqiptarë në planin SET do të rrisë shanset e tyre në programet evropiane për organizatat kërkimore dhe NVM-të: Platformat evropiane për teknologjinë dhe novacionin (ETIPs) përbëjnë komunitetin e “industrisë/inovacionit” të planit SET, ndërsa Aleanca Evropiane për Kërkimet në Sektorin Energjetik (EERA) përbën komunitetin “kërkimor”</w:t>
            </w:r>
          </w:p>
        </w:tc>
      </w:tr>
      <w:tr w:rsidR="00835192" w:rsidRPr="00FF756A" w14:paraId="6CCA7911" w14:textId="77777777" w:rsidTr="004A3257">
        <w:trPr>
          <w:trHeight w:val="20"/>
        </w:trPr>
        <w:tc>
          <w:tcPr>
            <w:tcW w:w="2199" w:type="dxa"/>
          </w:tcPr>
          <w:p w14:paraId="32063357" w14:textId="77777777" w:rsidR="00835192" w:rsidRPr="00FF756A" w:rsidRDefault="00835192" w:rsidP="00835192">
            <w:pPr>
              <w:spacing w:before="20" w:after="20" w:line="240" w:lineRule="auto"/>
              <w:jc w:val="right"/>
              <w:rPr>
                <w:b/>
                <w:bCs/>
                <w:sz w:val="20"/>
                <w:szCs w:val="20"/>
              </w:rPr>
            </w:pPr>
            <w:r w:rsidRPr="00FF756A">
              <w:rPr>
                <w:b/>
                <w:bCs/>
                <w:sz w:val="20"/>
                <w:szCs w:val="20"/>
              </w:rPr>
              <w:t>Rezultatet për t'u arritur</w:t>
            </w:r>
          </w:p>
        </w:tc>
        <w:tc>
          <w:tcPr>
            <w:tcW w:w="6873" w:type="dxa"/>
            <w:gridSpan w:val="5"/>
          </w:tcPr>
          <w:p w14:paraId="32EC5B9C"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 xml:space="preserve">Rritja e numrit të marrëveshjeve dypalëshe dhe shumëpalëshe të bashkëpunimit në fushën e kërkimit shkencor (p.sh. me pjesëmarrjen e EERA dhe ETIP) </w:t>
            </w:r>
          </w:p>
          <w:p w14:paraId="308342B2"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 xml:space="preserve">Rritje me 20% (krahasuar me vitin 2018) e financimit për projektet rajonale dhe ndërkombëtare të bashkëpunimit </w:t>
            </w:r>
          </w:p>
          <w:p w14:paraId="36A26408"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Krijimi i një Komiteti Koordinimi për programet Horizon Europe, Erasmus plus, EISMEA</w:t>
            </w:r>
          </w:p>
          <w:p w14:paraId="0EE457AF"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Rritje me 20% në projektet fituese të këtyre iniciativave deri në vitin 2027</w:t>
            </w:r>
          </w:p>
          <w:p w14:paraId="690480B4"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Zbatimi i aktiviteteve në lidhje me Shkencën e Hapur: publikim i të gjitha projekteve kërkimore kombëtare të financuara nga fondet publike (akses i lirë në rezultatet e projekteve)</w:t>
            </w:r>
          </w:p>
        </w:tc>
      </w:tr>
      <w:tr w:rsidR="00835192" w:rsidRPr="00FF756A" w14:paraId="4DA80193" w14:textId="77777777" w:rsidTr="004A3257">
        <w:trPr>
          <w:trHeight w:val="20"/>
        </w:trPr>
        <w:tc>
          <w:tcPr>
            <w:tcW w:w="2199" w:type="dxa"/>
          </w:tcPr>
          <w:p w14:paraId="2E936ECC" w14:textId="77777777" w:rsidR="00835192" w:rsidRPr="00FF756A" w:rsidRDefault="00835192" w:rsidP="00835192">
            <w:pPr>
              <w:spacing w:before="20" w:after="20" w:line="240" w:lineRule="auto"/>
              <w:jc w:val="right"/>
              <w:rPr>
                <w:b/>
                <w:bCs/>
                <w:sz w:val="20"/>
                <w:szCs w:val="20"/>
              </w:rPr>
            </w:pPr>
            <w:r w:rsidRPr="00FF756A">
              <w:rPr>
                <w:b/>
                <w:bCs/>
                <w:sz w:val="20"/>
                <w:szCs w:val="20"/>
              </w:rPr>
              <w:t>Masat që duhet të zbatohen</w:t>
            </w:r>
          </w:p>
        </w:tc>
        <w:tc>
          <w:tcPr>
            <w:tcW w:w="6023" w:type="dxa"/>
            <w:gridSpan w:val="4"/>
          </w:tcPr>
          <w:p w14:paraId="690E580E" w14:textId="77777777" w:rsidR="00835192" w:rsidRPr="00FF756A" w:rsidRDefault="00835192" w:rsidP="00835192">
            <w:pPr>
              <w:spacing w:before="20" w:after="20" w:line="240" w:lineRule="auto"/>
              <w:rPr>
                <w:i/>
                <w:iCs/>
                <w:sz w:val="20"/>
                <w:szCs w:val="20"/>
              </w:rPr>
            </w:pPr>
            <w:r w:rsidRPr="00FF756A">
              <w:rPr>
                <w:i/>
                <w:iCs/>
                <w:sz w:val="20"/>
                <w:szCs w:val="20"/>
              </w:rPr>
              <w:t>Mbështetje financiare për iniciativat:</w:t>
            </w:r>
          </w:p>
          <w:p w14:paraId="66550A05"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Grante për aktorët e kërkimit dhe inovacionit për të marrë pjesë në forume të tilla si EERA dhe ETIP</w:t>
            </w:r>
          </w:p>
          <w:p w14:paraId="676E4219"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 xml:space="preserve">Grante për aktorët e kërkimit dhe inovacionit për përgatitjen e projekteve / paraqitjen e propozimeve </w:t>
            </w:r>
          </w:p>
          <w:p w14:paraId="0BEAA296"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 xml:space="preserve">Financimi i mjedisit mundësues (baza e të dhënave, takimet, trajnimet etj.) </w:t>
            </w:r>
          </w:p>
          <w:p w14:paraId="436BFE61"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Përmirësimi i kuadrit legjislativ për sa i përket klimës së biznesit</w:t>
            </w:r>
          </w:p>
          <w:p w14:paraId="210A9752"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Lehtësimi i krijimit të një shoqërie të re (start-up) nga një ndërmarrje kërkimore universitare</w:t>
            </w:r>
          </w:p>
          <w:p w14:paraId="2E5BF497"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Nxitja e kërkimit shkencor dhe inovacionit në nivel kombëtar dhe rajonal</w:t>
            </w:r>
          </w:p>
          <w:p w14:paraId="18C3097E"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Publikimi i mundësive, shembujve të mirë dhe historive të suksesit në mediat sociale, si dhe në portalet dhe faqet përkatëse të internetit</w:t>
            </w:r>
          </w:p>
        </w:tc>
        <w:tc>
          <w:tcPr>
            <w:tcW w:w="850" w:type="dxa"/>
          </w:tcPr>
          <w:p w14:paraId="0D4FE8F0" w14:textId="77777777" w:rsidR="00835192" w:rsidRPr="00FF756A" w:rsidRDefault="00835192" w:rsidP="00835192">
            <w:pPr>
              <w:spacing w:before="20" w:after="20" w:line="240" w:lineRule="auto"/>
              <w:rPr>
                <w:i/>
                <w:iCs/>
                <w:sz w:val="20"/>
                <w:szCs w:val="20"/>
              </w:rPr>
            </w:pPr>
            <w:r w:rsidRPr="00FF756A">
              <w:rPr>
                <w:i/>
                <w:iCs/>
                <w:sz w:val="20"/>
                <w:szCs w:val="20"/>
              </w:rPr>
              <w:t xml:space="preserve">Vjetore </w:t>
            </w:r>
          </w:p>
        </w:tc>
      </w:tr>
      <w:tr w:rsidR="00835192" w:rsidRPr="00FF756A" w14:paraId="1A7A2146" w14:textId="77777777" w:rsidTr="004A3257">
        <w:trPr>
          <w:trHeight w:val="20"/>
        </w:trPr>
        <w:tc>
          <w:tcPr>
            <w:tcW w:w="2199" w:type="dxa"/>
          </w:tcPr>
          <w:p w14:paraId="41513BB2" w14:textId="77777777" w:rsidR="00835192" w:rsidRPr="00FF756A" w:rsidRDefault="00835192" w:rsidP="00835192">
            <w:pPr>
              <w:spacing w:before="20" w:after="20" w:line="240" w:lineRule="auto"/>
              <w:jc w:val="right"/>
              <w:rPr>
                <w:b/>
                <w:bCs/>
                <w:sz w:val="20"/>
                <w:szCs w:val="20"/>
              </w:rPr>
            </w:pPr>
            <w:r w:rsidRPr="00FF756A">
              <w:rPr>
                <w:b/>
                <w:bCs/>
                <w:sz w:val="20"/>
                <w:szCs w:val="20"/>
              </w:rPr>
              <w:t>Buxheti (burimi i financimit)</w:t>
            </w:r>
          </w:p>
        </w:tc>
        <w:tc>
          <w:tcPr>
            <w:tcW w:w="6873" w:type="dxa"/>
            <w:gridSpan w:val="5"/>
          </w:tcPr>
          <w:p w14:paraId="646BE697" w14:textId="77777777" w:rsidR="00835192" w:rsidRPr="00FF756A" w:rsidRDefault="00835192" w:rsidP="00835192">
            <w:pPr>
              <w:spacing w:before="20" w:after="20" w:line="240" w:lineRule="auto"/>
              <w:rPr>
                <w:i/>
                <w:iCs/>
                <w:sz w:val="20"/>
                <w:szCs w:val="20"/>
              </w:rPr>
            </w:pPr>
            <w:r w:rsidRPr="00FF756A">
              <w:rPr>
                <w:i/>
                <w:iCs/>
                <w:sz w:val="20"/>
                <w:szCs w:val="20"/>
              </w:rPr>
              <w:t>Buxheti i parashikuar është rreth 8,24 milionë euro</w:t>
            </w:r>
          </w:p>
        </w:tc>
      </w:tr>
      <w:tr w:rsidR="00835192" w:rsidRPr="00FF756A" w14:paraId="74C8F70C" w14:textId="77777777" w:rsidTr="004A3257">
        <w:trPr>
          <w:trHeight w:val="20"/>
        </w:trPr>
        <w:tc>
          <w:tcPr>
            <w:tcW w:w="2199" w:type="dxa"/>
          </w:tcPr>
          <w:p w14:paraId="5A5B3BEA" w14:textId="77777777" w:rsidR="00835192" w:rsidRPr="00FF756A" w:rsidRDefault="00835192" w:rsidP="00835192">
            <w:pPr>
              <w:spacing w:before="20" w:after="20" w:line="240" w:lineRule="auto"/>
              <w:jc w:val="right"/>
              <w:rPr>
                <w:b/>
                <w:bCs/>
                <w:sz w:val="20"/>
                <w:szCs w:val="20"/>
              </w:rPr>
            </w:pPr>
            <w:r w:rsidRPr="00FF756A">
              <w:rPr>
                <w:b/>
                <w:bCs/>
                <w:sz w:val="20"/>
                <w:szCs w:val="20"/>
              </w:rPr>
              <w:t>Subjekti zbatues</w:t>
            </w:r>
          </w:p>
          <w:p w14:paraId="791676C4" w14:textId="77777777" w:rsidR="00835192" w:rsidRPr="00FF756A" w:rsidRDefault="00835192" w:rsidP="00835192">
            <w:pPr>
              <w:spacing w:before="20" w:after="20" w:line="240" w:lineRule="auto"/>
              <w:jc w:val="right"/>
              <w:rPr>
                <w:sz w:val="20"/>
                <w:szCs w:val="20"/>
              </w:rPr>
            </w:pPr>
            <w:r w:rsidRPr="00FF756A">
              <w:rPr>
                <w:b/>
                <w:bCs/>
                <w:sz w:val="20"/>
                <w:szCs w:val="20"/>
              </w:rPr>
              <w:t>(Subjekti monitorues)</w:t>
            </w:r>
          </w:p>
        </w:tc>
        <w:tc>
          <w:tcPr>
            <w:tcW w:w="6873" w:type="dxa"/>
            <w:gridSpan w:val="5"/>
          </w:tcPr>
          <w:p w14:paraId="6DD73995" w14:textId="77777777" w:rsidR="00835192" w:rsidRPr="00FF756A" w:rsidRDefault="00835192" w:rsidP="00835192">
            <w:pPr>
              <w:spacing w:before="20" w:after="20" w:line="240" w:lineRule="auto"/>
              <w:rPr>
                <w:i/>
                <w:iCs/>
                <w:sz w:val="20"/>
                <w:szCs w:val="20"/>
              </w:rPr>
            </w:pPr>
            <w:r w:rsidRPr="00FF756A">
              <w:rPr>
                <w:i/>
                <w:iCs/>
                <w:sz w:val="20"/>
                <w:szCs w:val="20"/>
              </w:rPr>
              <w:t>Ministria e Arsimit, Sportit dhe Rinisë, Agjencia Kombëtare e Kërkimit Shkencor dhe Inovacionit</w:t>
            </w:r>
          </w:p>
        </w:tc>
      </w:tr>
      <w:tr w:rsidR="00835192" w:rsidRPr="00FF756A" w14:paraId="489B944D" w14:textId="77777777" w:rsidTr="004A3257">
        <w:trPr>
          <w:trHeight w:val="20"/>
        </w:trPr>
        <w:tc>
          <w:tcPr>
            <w:tcW w:w="2199" w:type="dxa"/>
          </w:tcPr>
          <w:p w14:paraId="5CBA732E" w14:textId="77777777" w:rsidR="00835192" w:rsidRPr="00FF756A" w:rsidRDefault="00835192" w:rsidP="00835192">
            <w:pPr>
              <w:spacing w:before="20" w:after="20" w:line="240" w:lineRule="auto"/>
              <w:jc w:val="right"/>
              <w:rPr>
                <w:b/>
                <w:bCs/>
                <w:sz w:val="20"/>
                <w:szCs w:val="20"/>
              </w:rPr>
            </w:pPr>
            <w:r w:rsidRPr="00FF756A">
              <w:rPr>
                <w:b/>
                <w:bCs/>
                <w:sz w:val="20"/>
                <w:szCs w:val="20"/>
              </w:rPr>
              <w:t>Marrëdhënia me dimensionet e tjera (nëse ka)</w:t>
            </w:r>
          </w:p>
        </w:tc>
        <w:tc>
          <w:tcPr>
            <w:tcW w:w="6873" w:type="dxa"/>
            <w:gridSpan w:val="5"/>
          </w:tcPr>
          <w:p w14:paraId="77E1943C" w14:textId="77777777" w:rsidR="00835192" w:rsidRPr="00FF756A" w:rsidRDefault="00835192" w:rsidP="00835192">
            <w:pPr>
              <w:spacing w:before="20" w:after="20" w:line="240" w:lineRule="auto"/>
              <w:rPr>
                <w:i/>
                <w:iCs/>
                <w:sz w:val="20"/>
                <w:szCs w:val="20"/>
              </w:rPr>
            </w:pPr>
            <w:r w:rsidRPr="00FF756A">
              <w:rPr>
                <w:i/>
                <w:iCs/>
                <w:sz w:val="20"/>
                <w:szCs w:val="20"/>
              </w:rPr>
              <w:t xml:space="preserve">Dekarbonizimi, Efiçenca e energjisë </w:t>
            </w:r>
          </w:p>
          <w:p w14:paraId="2400AA8C" w14:textId="77777777" w:rsidR="00835192" w:rsidRPr="00FF756A" w:rsidRDefault="00835192" w:rsidP="00835192">
            <w:pPr>
              <w:spacing w:before="20" w:after="20" w:line="240" w:lineRule="auto"/>
              <w:rPr>
                <w:i/>
                <w:iCs/>
                <w:sz w:val="20"/>
                <w:szCs w:val="20"/>
              </w:rPr>
            </w:pPr>
            <w:r w:rsidRPr="00FF756A">
              <w:rPr>
                <w:i/>
                <w:iCs/>
                <w:sz w:val="20"/>
                <w:szCs w:val="20"/>
              </w:rPr>
              <w:t xml:space="preserve">Buxheti i planifikuar i shtohet buxhetit të RIC-E2.  </w:t>
            </w:r>
          </w:p>
        </w:tc>
      </w:tr>
    </w:tbl>
    <w:p w14:paraId="139526D7" w14:textId="77777777" w:rsidR="00835192" w:rsidRPr="00FF756A" w:rsidRDefault="00835192" w:rsidP="00835192"/>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1265"/>
        <w:gridCol w:w="594"/>
        <w:gridCol w:w="426"/>
        <w:gridCol w:w="3797"/>
        <w:gridCol w:w="805"/>
      </w:tblGrid>
      <w:tr w:rsidR="00835192" w:rsidRPr="00FF756A" w14:paraId="24C17007" w14:textId="77777777" w:rsidTr="004A3257">
        <w:trPr>
          <w:trHeight w:val="20"/>
        </w:trPr>
        <w:tc>
          <w:tcPr>
            <w:tcW w:w="4510" w:type="dxa"/>
            <w:gridSpan w:val="4"/>
            <w:shd w:val="clear" w:color="auto" w:fill="C45911" w:themeFill="accent2" w:themeFillShade="BF"/>
          </w:tcPr>
          <w:p w14:paraId="5BFFC9EA" w14:textId="77777777" w:rsidR="00835192" w:rsidRPr="00FF756A" w:rsidRDefault="00835192" w:rsidP="00835192">
            <w:pPr>
              <w:spacing w:before="20" w:after="20"/>
              <w:jc w:val="right"/>
              <w:rPr>
                <w:b/>
                <w:bCs/>
                <w:sz w:val="20"/>
                <w:szCs w:val="20"/>
              </w:rPr>
            </w:pPr>
            <w:r w:rsidRPr="00FF756A">
              <w:rPr>
                <w:b/>
                <w:bCs/>
                <w:sz w:val="20"/>
                <w:szCs w:val="20"/>
              </w:rPr>
              <w:t>Dimensioni i energjisë</w:t>
            </w:r>
          </w:p>
        </w:tc>
        <w:tc>
          <w:tcPr>
            <w:tcW w:w="4562" w:type="dxa"/>
            <w:gridSpan w:val="2"/>
            <w:shd w:val="clear" w:color="auto" w:fill="C45911" w:themeFill="accent2" w:themeFillShade="BF"/>
          </w:tcPr>
          <w:p w14:paraId="7EF1FE9B" w14:textId="77777777" w:rsidR="00835192" w:rsidRPr="00FF756A" w:rsidRDefault="00835192" w:rsidP="00835192">
            <w:pPr>
              <w:spacing w:before="20" w:after="20"/>
              <w:rPr>
                <w:i/>
                <w:iCs/>
                <w:sz w:val="20"/>
                <w:szCs w:val="20"/>
              </w:rPr>
            </w:pPr>
            <w:r w:rsidRPr="00FF756A">
              <w:rPr>
                <w:i/>
                <w:iCs/>
                <w:sz w:val="20"/>
                <w:szCs w:val="20"/>
              </w:rPr>
              <w:t>5. Kërkimi, inovacioni dhe konkurrenca</w:t>
            </w:r>
          </w:p>
        </w:tc>
      </w:tr>
      <w:tr w:rsidR="00835192" w:rsidRPr="00FF756A" w14:paraId="63059370" w14:textId="77777777" w:rsidTr="004A3257">
        <w:trPr>
          <w:trHeight w:val="20"/>
        </w:trPr>
        <w:tc>
          <w:tcPr>
            <w:tcW w:w="4080" w:type="dxa"/>
            <w:gridSpan w:val="3"/>
            <w:shd w:val="clear" w:color="auto" w:fill="C45911" w:themeFill="accent2" w:themeFillShade="BF"/>
          </w:tcPr>
          <w:p w14:paraId="2BF38FCA" w14:textId="77777777" w:rsidR="00835192" w:rsidRPr="00FF756A" w:rsidRDefault="00835192" w:rsidP="00835192">
            <w:pPr>
              <w:spacing w:before="20" w:after="20"/>
              <w:jc w:val="right"/>
              <w:rPr>
                <w:b/>
                <w:bCs/>
                <w:sz w:val="20"/>
                <w:szCs w:val="20"/>
              </w:rPr>
            </w:pPr>
            <w:r w:rsidRPr="00FF756A">
              <w:rPr>
                <w:b/>
                <w:bCs/>
                <w:sz w:val="20"/>
                <w:szCs w:val="20"/>
              </w:rPr>
              <w:t>Sektori</w:t>
            </w:r>
          </w:p>
        </w:tc>
        <w:tc>
          <w:tcPr>
            <w:tcW w:w="4992" w:type="dxa"/>
            <w:gridSpan w:val="3"/>
            <w:shd w:val="clear" w:color="auto" w:fill="C45911" w:themeFill="accent2" w:themeFillShade="BF"/>
          </w:tcPr>
          <w:p w14:paraId="39E00AA8" w14:textId="77777777" w:rsidR="00835192" w:rsidRPr="00FF756A" w:rsidRDefault="00835192" w:rsidP="00835192">
            <w:pPr>
              <w:spacing w:before="20" w:after="20"/>
              <w:rPr>
                <w:i/>
                <w:iCs/>
                <w:sz w:val="20"/>
                <w:szCs w:val="20"/>
              </w:rPr>
            </w:pPr>
          </w:p>
        </w:tc>
      </w:tr>
      <w:tr w:rsidR="00835192" w:rsidRPr="00FF756A" w14:paraId="35F05036" w14:textId="77777777" w:rsidTr="004A3257">
        <w:trPr>
          <w:trHeight w:val="20"/>
        </w:trPr>
        <w:tc>
          <w:tcPr>
            <w:tcW w:w="3479" w:type="dxa"/>
            <w:gridSpan w:val="2"/>
          </w:tcPr>
          <w:p w14:paraId="67F629AB" w14:textId="77777777" w:rsidR="00835192" w:rsidRPr="00FF756A" w:rsidRDefault="00835192" w:rsidP="00835192">
            <w:pPr>
              <w:spacing w:before="20" w:after="20"/>
              <w:jc w:val="right"/>
              <w:rPr>
                <w:b/>
                <w:bCs/>
                <w:sz w:val="20"/>
                <w:szCs w:val="20"/>
              </w:rPr>
            </w:pPr>
            <w:r w:rsidRPr="00FF756A">
              <w:rPr>
                <w:b/>
                <w:bCs/>
                <w:sz w:val="20"/>
                <w:szCs w:val="20"/>
              </w:rPr>
              <w:t>Skenari i modelimit i marrë në konsideratë</w:t>
            </w:r>
          </w:p>
          <w:p w14:paraId="69A97A3B" w14:textId="77777777" w:rsidR="00835192" w:rsidRPr="00FF756A" w:rsidRDefault="00835192" w:rsidP="00835192">
            <w:pPr>
              <w:spacing w:before="20" w:after="20"/>
              <w:jc w:val="right"/>
              <w:rPr>
                <w:b/>
                <w:bCs/>
                <w:sz w:val="20"/>
                <w:szCs w:val="20"/>
              </w:rPr>
            </w:pPr>
            <w:r w:rsidRPr="00FF756A">
              <w:rPr>
                <w:b/>
                <w:bCs/>
                <w:sz w:val="20"/>
                <w:szCs w:val="20"/>
              </w:rPr>
              <w:t>Lloj i instrumentit</w:t>
            </w:r>
          </w:p>
        </w:tc>
        <w:tc>
          <w:tcPr>
            <w:tcW w:w="5593" w:type="dxa"/>
            <w:gridSpan w:val="4"/>
          </w:tcPr>
          <w:p w14:paraId="25C325F7" w14:textId="77777777" w:rsidR="00835192" w:rsidRPr="00FF756A" w:rsidRDefault="00835192" w:rsidP="00835192">
            <w:pPr>
              <w:spacing w:before="20" w:after="20"/>
              <w:rPr>
                <w:i/>
                <w:iCs/>
                <w:sz w:val="20"/>
                <w:szCs w:val="20"/>
              </w:rPr>
            </w:pPr>
            <w:r w:rsidRPr="00FF756A">
              <w:rPr>
                <w:i/>
                <w:iCs/>
                <w:sz w:val="20"/>
                <w:szCs w:val="20"/>
              </w:rPr>
              <w:t>WEM</w:t>
            </w:r>
          </w:p>
          <w:p w14:paraId="4A944A39" w14:textId="77777777" w:rsidR="00835192" w:rsidRPr="00FF756A" w:rsidRDefault="00835192" w:rsidP="00835192">
            <w:pPr>
              <w:spacing w:before="20" w:after="20"/>
              <w:rPr>
                <w:i/>
                <w:iCs/>
                <w:sz w:val="20"/>
                <w:szCs w:val="20"/>
              </w:rPr>
            </w:pPr>
            <w:r w:rsidRPr="00FF756A">
              <w:rPr>
                <w:i/>
                <w:iCs/>
                <w:sz w:val="20"/>
                <w:szCs w:val="20"/>
              </w:rPr>
              <w:t>Financiar</w:t>
            </w:r>
          </w:p>
        </w:tc>
      </w:tr>
      <w:tr w:rsidR="00835192" w:rsidRPr="00FF756A" w14:paraId="3B4BCB8C" w14:textId="77777777" w:rsidTr="004A3257">
        <w:trPr>
          <w:trHeight w:val="20"/>
        </w:trPr>
        <w:tc>
          <w:tcPr>
            <w:tcW w:w="2197" w:type="dxa"/>
          </w:tcPr>
          <w:p w14:paraId="5F4209D9" w14:textId="77777777" w:rsidR="00835192" w:rsidRPr="00FF756A" w:rsidRDefault="00835192" w:rsidP="00835192">
            <w:pPr>
              <w:spacing w:before="20" w:after="20"/>
              <w:jc w:val="right"/>
              <w:rPr>
                <w:b/>
                <w:bCs/>
                <w:sz w:val="20"/>
                <w:szCs w:val="20"/>
              </w:rPr>
            </w:pPr>
            <w:r w:rsidRPr="00FF756A">
              <w:rPr>
                <w:b/>
                <w:bCs/>
                <w:sz w:val="20"/>
                <w:szCs w:val="20"/>
              </w:rPr>
              <w:t>Titulli i PM</w:t>
            </w:r>
          </w:p>
          <w:p w14:paraId="0380A8B2" w14:textId="77777777" w:rsidR="00835192" w:rsidRPr="00FF756A" w:rsidRDefault="00835192" w:rsidP="00835192">
            <w:pPr>
              <w:spacing w:before="20" w:after="20"/>
              <w:jc w:val="right"/>
              <w:rPr>
                <w:b/>
                <w:bCs/>
                <w:sz w:val="20"/>
                <w:szCs w:val="20"/>
              </w:rPr>
            </w:pPr>
            <w:r w:rsidRPr="00FF756A">
              <w:rPr>
                <w:b/>
                <w:bCs/>
                <w:sz w:val="20"/>
                <w:szCs w:val="20"/>
              </w:rPr>
              <w:t>(kodi)</w:t>
            </w:r>
          </w:p>
        </w:tc>
        <w:tc>
          <w:tcPr>
            <w:tcW w:w="6875" w:type="dxa"/>
            <w:gridSpan w:val="5"/>
          </w:tcPr>
          <w:p w14:paraId="79D4667D" w14:textId="77777777" w:rsidR="00835192" w:rsidRPr="00FF756A" w:rsidRDefault="00835192" w:rsidP="00835192">
            <w:pPr>
              <w:spacing w:before="20" w:after="20" w:line="240" w:lineRule="auto"/>
              <w:rPr>
                <w:i/>
                <w:iCs/>
                <w:sz w:val="20"/>
                <w:szCs w:val="20"/>
              </w:rPr>
            </w:pPr>
            <w:r w:rsidRPr="00FF756A">
              <w:rPr>
                <w:i/>
                <w:iCs/>
                <w:sz w:val="20"/>
                <w:szCs w:val="20"/>
              </w:rPr>
              <w:t>Programi Kombëtar i Kërkimit dhe Zhvillimit</w:t>
            </w:r>
          </w:p>
          <w:p w14:paraId="646CC198" w14:textId="77777777" w:rsidR="00835192" w:rsidRPr="00FF756A" w:rsidRDefault="00835192" w:rsidP="00835192">
            <w:pPr>
              <w:spacing w:before="20" w:after="20" w:line="240" w:lineRule="auto"/>
              <w:rPr>
                <w:i/>
                <w:iCs/>
                <w:sz w:val="20"/>
                <w:szCs w:val="20"/>
              </w:rPr>
            </w:pPr>
            <w:r w:rsidRPr="00FF756A">
              <w:rPr>
                <w:i/>
                <w:iCs/>
                <w:sz w:val="20"/>
                <w:szCs w:val="20"/>
              </w:rPr>
              <w:t>(RIC-E2)</w:t>
            </w:r>
          </w:p>
        </w:tc>
      </w:tr>
      <w:tr w:rsidR="00835192" w:rsidRPr="00FF756A" w14:paraId="57290E64" w14:textId="77777777" w:rsidTr="004A3257">
        <w:trPr>
          <w:trHeight w:val="20"/>
        </w:trPr>
        <w:tc>
          <w:tcPr>
            <w:tcW w:w="2197" w:type="dxa"/>
          </w:tcPr>
          <w:p w14:paraId="65CC7FD7" w14:textId="77777777" w:rsidR="00835192" w:rsidRPr="00FF756A" w:rsidRDefault="00835192" w:rsidP="00835192">
            <w:pPr>
              <w:spacing w:before="20" w:after="20"/>
              <w:jc w:val="right"/>
              <w:rPr>
                <w:sz w:val="20"/>
                <w:szCs w:val="20"/>
              </w:rPr>
            </w:pPr>
            <w:r w:rsidRPr="00FF756A">
              <w:rPr>
                <w:b/>
                <w:bCs/>
                <w:sz w:val="20"/>
                <w:szCs w:val="20"/>
              </w:rPr>
              <w:t>Afati kohor</w:t>
            </w:r>
          </w:p>
        </w:tc>
        <w:tc>
          <w:tcPr>
            <w:tcW w:w="6875" w:type="dxa"/>
            <w:gridSpan w:val="5"/>
          </w:tcPr>
          <w:p w14:paraId="71514DF8" w14:textId="77777777" w:rsidR="00835192" w:rsidRPr="00FF756A" w:rsidRDefault="00835192" w:rsidP="00835192">
            <w:pPr>
              <w:spacing w:before="20" w:after="20" w:line="240" w:lineRule="auto"/>
              <w:rPr>
                <w:i/>
                <w:iCs/>
                <w:sz w:val="20"/>
                <w:szCs w:val="20"/>
              </w:rPr>
            </w:pPr>
            <w:r w:rsidRPr="00FF756A">
              <w:rPr>
                <w:i/>
                <w:iCs/>
                <w:sz w:val="20"/>
                <w:szCs w:val="20"/>
              </w:rPr>
              <w:t>2017 e në vazhdim</w:t>
            </w:r>
          </w:p>
        </w:tc>
      </w:tr>
      <w:tr w:rsidR="00835192" w:rsidRPr="00FF756A" w14:paraId="3D06E383" w14:textId="77777777" w:rsidTr="004A3257">
        <w:trPr>
          <w:trHeight w:val="20"/>
        </w:trPr>
        <w:tc>
          <w:tcPr>
            <w:tcW w:w="2197" w:type="dxa"/>
          </w:tcPr>
          <w:p w14:paraId="5D19F05D" w14:textId="77777777" w:rsidR="00835192" w:rsidRPr="00FF756A" w:rsidRDefault="00835192" w:rsidP="00835192">
            <w:pPr>
              <w:spacing w:before="20" w:after="20"/>
              <w:jc w:val="right"/>
              <w:rPr>
                <w:b/>
                <w:bCs/>
                <w:sz w:val="20"/>
                <w:szCs w:val="20"/>
              </w:rPr>
            </w:pPr>
            <w:r w:rsidRPr="00FF756A">
              <w:rPr>
                <w:b/>
                <w:bCs/>
                <w:sz w:val="20"/>
                <w:szCs w:val="20"/>
              </w:rPr>
              <w:t>Baza ligjore dhe dokumentet e planifikimit</w:t>
            </w:r>
          </w:p>
        </w:tc>
        <w:tc>
          <w:tcPr>
            <w:tcW w:w="6875" w:type="dxa"/>
            <w:gridSpan w:val="5"/>
          </w:tcPr>
          <w:p w14:paraId="4726F80D" w14:textId="77777777" w:rsidR="00835192" w:rsidRPr="00FF756A" w:rsidRDefault="00835192" w:rsidP="00835192">
            <w:pPr>
              <w:spacing w:before="20" w:after="20" w:line="240" w:lineRule="auto"/>
              <w:rPr>
                <w:i/>
                <w:iCs/>
                <w:sz w:val="20"/>
                <w:szCs w:val="20"/>
              </w:rPr>
            </w:pPr>
            <w:r w:rsidRPr="00FF756A">
              <w:rPr>
                <w:i/>
                <w:iCs/>
                <w:sz w:val="20"/>
                <w:szCs w:val="20"/>
              </w:rPr>
              <w:t>VKM Nr. 607, datë 31.08.2016 “Për krijimin, përbërjen, organizimin dhe funksionimin e agjencisë kombëtare të kërkimit shkencor dhe inovacionit” (AKKSHI)</w:t>
            </w:r>
          </w:p>
        </w:tc>
      </w:tr>
      <w:tr w:rsidR="00835192" w:rsidRPr="00FF756A" w14:paraId="5E63CF93" w14:textId="77777777" w:rsidTr="004A3257">
        <w:trPr>
          <w:trHeight w:val="20"/>
        </w:trPr>
        <w:tc>
          <w:tcPr>
            <w:tcW w:w="2197" w:type="dxa"/>
          </w:tcPr>
          <w:p w14:paraId="4C52FBCB" w14:textId="77777777" w:rsidR="00835192" w:rsidRPr="00FF756A" w:rsidRDefault="00835192" w:rsidP="00835192">
            <w:pPr>
              <w:spacing w:before="20" w:after="20"/>
              <w:jc w:val="right"/>
              <w:rPr>
                <w:b/>
                <w:bCs/>
                <w:sz w:val="20"/>
                <w:szCs w:val="20"/>
              </w:rPr>
            </w:pPr>
            <w:r w:rsidRPr="00FF756A">
              <w:rPr>
                <w:b/>
                <w:bCs/>
                <w:sz w:val="20"/>
                <w:szCs w:val="20"/>
              </w:rPr>
              <w:t>Masat e marra deri më tani</w:t>
            </w:r>
          </w:p>
        </w:tc>
        <w:tc>
          <w:tcPr>
            <w:tcW w:w="6875" w:type="dxa"/>
            <w:gridSpan w:val="5"/>
          </w:tcPr>
          <w:p w14:paraId="26928778" w14:textId="77777777" w:rsidR="00835192" w:rsidRPr="00FF756A" w:rsidRDefault="00835192" w:rsidP="00835192">
            <w:pPr>
              <w:spacing w:before="20" w:after="20" w:line="240" w:lineRule="auto"/>
              <w:rPr>
                <w:i/>
                <w:iCs/>
                <w:sz w:val="20"/>
                <w:szCs w:val="20"/>
              </w:rPr>
            </w:pPr>
            <w:r w:rsidRPr="00FF756A">
              <w:rPr>
                <w:i/>
                <w:iCs/>
                <w:sz w:val="20"/>
                <w:szCs w:val="20"/>
              </w:rPr>
              <w:t>Në krahasim me vitin 2018, buxheti vjetor për 2020 është rritur me 60%.</w:t>
            </w:r>
          </w:p>
        </w:tc>
      </w:tr>
      <w:tr w:rsidR="00835192" w:rsidRPr="00FF756A" w14:paraId="392DE84C" w14:textId="77777777" w:rsidTr="004A3257">
        <w:trPr>
          <w:trHeight w:val="20"/>
        </w:trPr>
        <w:tc>
          <w:tcPr>
            <w:tcW w:w="2197" w:type="dxa"/>
          </w:tcPr>
          <w:p w14:paraId="361F1118" w14:textId="77777777" w:rsidR="00835192" w:rsidRPr="00FF756A" w:rsidRDefault="00835192" w:rsidP="00835192">
            <w:pPr>
              <w:spacing w:before="20" w:after="20"/>
              <w:jc w:val="right"/>
              <w:rPr>
                <w:b/>
                <w:bCs/>
                <w:sz w:val="20"/>
                <w:szCs w:val="20"/>
              </w:rPr>
            </w:pPr>
            <w:r w:rsidRPr="00FF756A">
              <w:rPr>
                <w:b/>
                <w:bCs/>
                <w:sz w:val="20"/>
                <w:szCs w:val="20"/>
              </w:rPr>
              <w:t>Objektivi kryesor i PM</w:t>
            </w:r>
          </w:p>
        </w:tc>
        <w:tc>
          <w:tcPr>
            <w:tcW w:w="6875" w:type="dxa"/>
            <w:gridSpan w:val="5"/>
          </w:tcPr>
          <w:p w14:paraId="60DFA5A0" w14:textId="77777777" w:rsidR="00835192" w:rsidRPr="00FF756A" w:rsidRDefault="00835192" w:rsidP="00835192">
            <w:pPr>
              <w:spacing w:before="20" w:after="20" w:line="240" w:lineRule="auto"/>
              <w:rPr>
                <w:i/>
                <w:iCs/>
                <w:sz w:val="20"/>
                <w:szCs w:val="20"/>
              </w:rPr>
            </w:pPr>
            <w:r w:rsidRPr="00FF756A">
              <w:rPr>
                <w:i/>
                <w:iCs/>
                <w:sz w:val="20"/>
                <w:szCs w:val="20"/>
              </w:rPr>
              <w:t xml:space="preserve">Rritja e përvitshme e shpenzimeve publike për kërkim shkencor që i jepen Institucioneve të Arsimit të Lartë </w:t>
            </w:r>
          </w:p>
          <w:p w14:paraId="7EE1D824" w14:textId="350B8660" w:rsidR="00835192" w:rsidRPr="00FF756A" w:rsidRDefault="00835192" w:rsidP="00835192">
            <w:pPr>
              <w:spacing w:before="20" w:after="20" w:line="240" w:lineRule="auto"/>
              <w:rPr>
                <w:i/>
                <w:iCs/>
                <w:sz w:val="20"/>
                <w:szCs w:val="20"/>
              </w:rPr>
            </w:pPr>
            <w:r w:rsidRPr="00FF756A">
              <w:rPr>
                <w:i/>
                <w:iCs/>
                <w:sz w:val="20"/>
                <w:szCs w:val="20"/>
              </w:rPr>
              <w:t>Kjo PM trajton (1) mungesat në buxhet, personel dhe kushte pune</w:t>
            </w:r>
            <w:r w:rsidR="00C82B2F" w:rsidRPr="00FF756A">
              <w:rPr>
                <w:i/>
                <w:iCs/>
                <w:sz w:val="20"/>
                <w:szCs w:val="20"/>
              </w:rPr>
              <w:t>,</w:t>
            </w:r>
            <w:r w:rsidRPr="00FF756A">
              <w:rPr>
                <w:i/>
                <w:iCs/>
                <w:sz w:val="20"/>
                <w:szCs w:val="20"/>
              </w:rPr>
              <w:t xml:space="preserve"> (2) nevojën për fuqizimin e veprimeve të kërkimit dhe inovacionit në 6 fushat me përparësi, duke përfshirë bujqësinë, mjedisin, ujin dhe energjinë dhe teknologjinë e informacionit.</w:t>
            </w:r>
          </w:p>
        </w:tc>
      </w:tr>
      <w:tr w:rsidR="00835192" w:rsidRPr="00FF756A" w14:paraId="4CA9AF98" w14:textId="77777777" w:rsidTr="004A3257">
        <w:trPr>
          <w:trHeight w:val="20"/>
        </w:trPr>
        <w:tc>
          <w:tcPr>
            <w:tcW w:w="2197" w:type="dxa"/>
          </w:tcPr>
          <w:p w14:paraId="313571F8" w14:textId="77777777" w:rsidR="00835192" w:rsidRPr="00FF756A" w:rsidRDefault="00835192" w:rsidP="00835192">
            <w:pPr>
              <w:spacing w:before="20" w:after="20"/>
              <w:jc w:val="right"/>
              <w:rPr>
                <w:b/>
                <w:bCs/>
                <w:sz w:val="20"/>
                <w:szCs w:val="20"/>
              </w:rPr>
            </w:pPr>
            <w:r w:rsidRPr="00FF756A">
              <w:rPr>
                <w:b/>
                <w:bCs/>
                <w:sz w:val="20"/>
                <w:szCs w:val="20"/>
              </w:rPr>
              <w:t>Rezultatet për t'u arritur</w:t>
            </w:r>
          </w:p>
        </w:tc>
        <w:tc>
          <w:tcPr>
            <w:tcW w:w="6875" w:type="dxa"/>
            <w:gridSpan w:val="5"/>
          </w:tcPr>
          <w:p w14:paraId="6A620012" w14:textId="77777777" w:rsidR="00835192" w:rsidRPr="00FF756A" w:rsidRDefault="00835192" w:rsidP="004A3257">
            <w:pPr>
              <w:spacing w:before="20" w:after="20" w:line="240" w:lineRule="auto"/>
              <w:contextualSpacing/>
              <w:rPr>
                <w:i/>
                <w:iCs/>
                <w:sz w:val="20"/>
                <w:szCs w:val="20"/>
              </w:rPr>
            </w:pPr>
            <w:r w:rsidRPr="00FF756A">
              <w:rPr>
                <w:i/>
                <w:iCs/>
                <w:sz w:val="20"/>
                <w:szCs w:val="20"/>
              </w:rPr>
              <w:t>Objektivi final është që shpenzimet për kërkim shkencor dhe inovacion të arrijnë 2% të PBB-së deri në vitin 2022 e në vijim.</w:t>
            </w:r>
          </w:p>
        </w:tc>
      </w:tr>
      <w:tr w:rsidR="00835192" w:rsidRPr="00FF756A" w14:paraId="7A64CA68" w14:textId="77777777" w:rsidTr="004A3257">
        <w:trPr>
          <w:trHeight w:val="20"/>
        </w:trPr>
        <w:tc>
          <w:tcPr>
            <w:tcW w:w="2197" w:type="dxa"/>
          </w:tcPr>
          <w:p w14:paraId="24C23A21" w14:textId="77777777" w:rsidR="00835192" w:rsidRPr="00FF756A" w:rsidRDefault="00835192" w:rsidP="00835192">
            <w:pPr>
              <w:spacing w:before="20" w:after="20"/>
              <w:jc w:val="right"/>
              <w:rPr>
                <w:b/>
                <w:bCs/>
                <w:sz w:val="20"/>
                <w:szCs w:val="20"/>
              </w:rPr>
            </w:pPr>
            <w:r w:rsidRPr="00FF756A">
              <w:rPr>
                <w:b/>
                <w:bCs/>
                <w:sz w:val="20"/>
                <w:szCs w:val="20"/>
              </w:rPr>
              <w:t>Masat që duhet të zbatohen</w:t>
            </w:r>
          </w:p>
        </w:tc>
        <w:tc>
          <w:tcPr>
            <w:tcW w:w="6167" w:type="dxa"/>
            <w:gridSpan w:val="4"/>
          </w:tcPr>
          <w:p w14:paraId="4A3CCAA5"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Mbështetje financiare për nismat e dedikuara të kërkimit dhe inovacionit në lidhje me energjinë dhe klimën:</w:t>
            </w:r>
          </w:p>
          <w:p w14:paraId="193700CC"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Kërkim i aplikuar (TRL 6-7)</w:t>
            </w:r>
          </w:p>
          <w:p w14:paraId="6E265851"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Projekte demonstruese (TRL 8-9)</w:t>
            </w:r>
          </w:p>
          <w:p w14:paraId="5016FCD5"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 xml:space="preserve">Aktivitetet e hedhjes në treg </w:t>
            </w:r>
          </w:p>
          <w:p w14:paraId="1CEE5651" w14:textId="77777777" w:rsidR="00835192" w:rsidRPr="00FF756A" w:rsidRDefault="00835192" w:rsidP="008639B2">
            <w:pPr>
              <w:numPr>
                <w:ilvl w:val="1"/>
                <w:numId w:val="71"/>
              </w:numPr>
              <w:spacing w:before="20" w:after="20" w:line="240" w:lineRule="auto"/>
              <w:contextualSpacing/>
              <w:rPr>
                <w:i/>
                <w:iCs/>
                <w:sz w:val="20"/>
                <w:szCs w:val="20"/>
              </w:rPr>
            </w:pPr>
            <w:r w:rsidRPr="00FF756A">
              <w:rPr>
                <w:i/>
                <w:iCs/>
                <w:sz w:val="20"/>
                <w:szCs w:val="20"/>
              </w:rPr>
              <w:t>Fushatat për rritjen e ndërgjegjësimit “Biznes-Biznes” dhe “Biznes-Klient”</w:t>
            </w:r>
          </w:p>
        </w:tc>
        <w:tc>
          <w:tcPr>
            <w:tcW w:w="708" w:type="dxa"/>
          </w:tcPr>
          <w:p w14:paraId="7E721A38" w14:textId="77777777" w:rsidR="00835192" w:rsidRPr="00FF756A" w:rsidRDefault="00835192" w:rsidP="00835192">
            <w:pPr>
              <w:spacing w:before="20" w:after="20" w:line="240" w:lineRule="auto"/>
              <w:jc w:val="left"/>
              <w:rPr>
                <w:i/>
                <w:iCs/>
                <w:sz w:val="20"/>
                <w:szCs w:val="20"/>
              </w:rPr>
            </w:pPr>
            <w:r w:rsidRPr="00FF756A">
              <w:rPr>
                <w:i/>
                <w:iCs/>
                <w:sz w:val="20"/>
                <w:szCs w:val="20"/>
              </w:rPr>
              <w:t xml:space="preserve">Vjetore </w:t>
            </w:r>
          </w:p>
        </w:tc>
      </w:tr>
      <w:tr w:rsidR="00835192" w:rsidRPr="00FF756A" w14:paraId="3F255540" w14:textId="77777777" w:rsidTr="004A3257">
        <w:trPr>
          <w:trHeight w:val="20"/>
        </w:trPr>
        <w:tc>
          <w:tcPr>
            <w:tcW w:w="2197" w:type="dxa"/>
          </w:tcPr>
          <w:p w14:paraId="07B5DF90" w14:textId="77777777" w:rsidR="00835192" w:rsidRPr="00FF756A" w:rsidRDefault="00835192" w:rsidP="00835192">
            <w:pPr>
              <w:spacing w:before="20" w:after="20"/>
              <w:jc w:val="right"/>
              <w:rPr>
                <w:b/>
                <w:bCs/>
                <w:sz w:val="20"/>
                <w:szCs w:val="20"/>
              </w:rPr>
            </w:pPr>
            <w:r w:rsidRPr="00FF756A">
              <w:rPr>
                <w:b/>
                <w:bCs/>
                <w:sz w:val="20"/>
                <w:szCs w:val="20"/>
              </w:rPr>
              <w:t>Buxheti (burimi i financimit)</w:t>
            </w:r>
          </w:p>
        </w:tc>
        <w:tc>
          <w:tcPr>
            <w:tcW w:w="6875" w:type="dxa"/>
            <w:gridSpan w:val="5"/>
          </w:tcPr>
          <w:p w14:paraId="674E3A74" w14:textId="77777777" w:rsidR="00835192" w:rsidRPr="00FF756A" w:rsidRDefault="00835192" w:rsidP="00835192">
            <w:pPr>
              <w:spacing w:before="20" w:after="20" w:line="240" w:lineRule="auto"/>
              <w:rPr>
                <w:i/>
                <w:iCs/>
                <w:sz w:val="20"/>
                <w:szCs w:val="20"/>
              </w:rPr>
            </w:pPr>
            <w:r w:rsidRPr="00FF756A">
              <w:rPr>
                <w:i/>
                <w:iCs/>
                <w:sz w:val="20"/>
                <w:szCs w:val="20"/>
              </w:rPr>
              <w:t xml:space="preserve">Buxheti vjetor duhet të jetë 2% e PBB-së. </w:t>
            </w:r>
          </w:p>
        </w:tc>
      </w:tr>
      <w:tr w:rsidR="00835192" w:rsidRPr="00FF756A" w14:paraId="6282D44D" w14:textId="77777777" w:rsidTr="004A3257">
        <w:trPr>
          <w:trHeight w:val="20"/>
        </w:trPr>
        <w:tc>
          <w:tcPr>
            <w:tcW w:w="2197" w:type="dxa"/>
          </w:tcPr>
          <w:p w14:paraId="16443B50" w14:textId="77777777" w:rsidR="00835192" w:rsidRPr="00FF756A" w:rsidRDefault="00835192" w:rsidP="00835192">
            <w:pPr>
              <w:spacing w:before="20" w:after="20"/>
              <w:jc w:val="right"/>
              <w:rPr>
                <w:b/>
                <w:bCs/>
                <w:sz w:val="20"/>
                <w:szCs w:val="20"/>
              </w:rPr>
            </w:pPr>
            <w:r w:rsidRPr="00FF756A">
              <w:rPr>
                <w:b/>
                <w:bCs/>
                <w:sz w:val="20"/>
                <w:szCs w:val="20"/>
              </w:rPr>
              <w:t>Subjekti zbatues</w:t>
            </w:r>
          </w:p>
          <w:p w14:paraId="52A43557" w14:textId="77777777" w:rsidR="00835192" w:rsidRPr="00FF756A" w:rsidRDefault="00835192" w:rsidP="00835192">
            <w:pPr>
              <w:spacing w:before="20" w:after="20"/>
              <w:jc w:val="right"/>
              <w:rPr>
                <w:sz w:val="20"/>
                <w:szCs w:val="20"/>
              </w:rPr>
            </w:pPr>
            <w:r w:rsidRPr="00FF756A">
              <w:rPr>
                <w:b/>
                <w:bCs/>
                <w:sz w:val="20"/>
                <w:szCs w:val="20"/>
              </w:rPr>
              <w:t>(Subjekti monitorues)</w:t>
            </w:r>
          </w:p>
        </w:tc>
        <w:tc>
          <w:tcPr>
            <w:tcW w:w="6875" w:type="dxa"/>
            <w:gridSpan w:val="5"/>
          </w:tcPr>
          <w:p w14:paraId="009F3D2D" w14:textId="77777777" w:rsidR="00835192" w:rsidRPr="00FF756A" w:rsidRDefault="00835192" w:rsidP="00835192">
            <w:pPr>
              <w:spacing w:before="20" w:after="20" w:line="240" w:lineRule="auto"/>
              <w:rPr>
                <w:i/>
                <w:iCs/>
                <w:sz w:val="20"/>
                <w:szCs w:val="20"/>
              </w:rPr>
            </w:pPr>
            <w:r w:rsidRPr="00FF756A">
              <w:rPr>
                <w:i/>
                <w:iCs/>
                <w:sz w:val="20"/>
                <w:szCs w:val="20"/>
              </w:rPr>
              <w:t>Agjencia Kombëtare e Kërkimit Shkencor dhe Inovacionit; universitetet;</w:t>
            </w:r>
          </w:p>
          <w:p w14:paraId="77FA9068" w14:textId="77777777" w:rsidR="00835192" w:rsidRPr="00FF756A" w:rsidRDefault="00835192" w:rsidP="00835192">
            <w:pPr>
              <w:spacing w:before="20" w:after="20" w:line="240" w:lineRule="auto"/>
              <w:rPr>
                <w:i/>
                <w:iCs/>
                <w:sz w:val="20"/>
                <w:szCs w:val="20"/>
              </w:rPr>
            </w:pPr>
            <w:r w:rsidRPr="00FF756A">
              <w:rPr>
                <w:i/>
                <w:iCs/>
                <w:sz w:val="20"/>
                <w:szCs w:val="20"/>
              </w:rPr>
              <w:t>Ministria e Financave, Ministria e Arsimit, Sportit dhe Rinisë</w:t>
            </w:r>
          </w:p>
        </w:tc>
      </w:tr>
      <w:tr w:rsidR="00835192" w:rsidRPr="00FF756A" w14:paraId="1F64C6B9" w14:textId="77777777" w:rsidTr="004A3257">
        <w:trPr>
          <w:trHeight w:val="20"/>
        </w:trPr>
        <w:tc>
          <w:tcPr>
            <w:tcW w:w="2197" w:type="dxa"/>
          </w:tcPr>
          <w:p w14:paraId="5017705A" w14:textId="77777777" w:rsidR="00835192" w:rsidRPr="00FF756A" w:rsidRDefault="00835192" w:rsidP="00835192">
            <w:pPr>
              <w:spacing w:before="20" w:after="20"/>
              <w:jc w:val="right"/>
              <w:rPr>
                <w:b/>
                <w:bCs/>
                <w:sz w:val="20"/>
                <w:szCs w:val="20"/>
              </w:rPr>
            </w:pPr>
            <w:r w:rsidRPr="00FF756A">
              <w:rPr>
                <w:b/>
                <w:bCs/>
                <w:sz w:val="20"/>
                <w:szCs w:val="20"/>
              </w:rPr>
              <w:t>Marrëdhënia me dimensionet e tjera (nëse ka)</w:t>
            </w:r>
          </w:p>
        </w:tc>
        <w:tc>
          <w:tcPr>
            <w:tcW w:w="6875" w:type="dxa"/>
            <w:gridSpan w:val="5"/>
          </w:tcPr>
          <w:p w14:paraId="2E3E197E" w14:textId="77777777" w:rsidR="00835192" w:rsidRPr="00FF756A" w:rsidRDefault="00835192" w:rsidP="00835192">
            <w:pPr>
              <w:spacing w:before="20" w:after="20" w:line="240" w:lineRule="auto"/>
              <w:rPr>
                <w:i/>
                <w:iCs/>
                <w:sz w:val="20"/>
                <w:szCs w:val="20"/>
              </w:rPr>
            </w:pPr>
            <w:r w:rsidRPr="00FF756A">
              <w:rPr>
                <w:i/>
                <w:iCs/>
                <w:sz w:val="20"/>
                <w:szCs w:val="20"/>
              </w:rPr>
              <w:t>Dekarbonizimi, Efiçenca e energjisë</w:t>
            </w:r>
          </w:p>
        </w:tc>
      </w:tr>
    </w:tbl>
    <w:p w14:paraId="782879C6" w14:textId="77777777" w:rsidR="00835192" w:rsidRPr="00FF756A" w:rsidRDefault="00835192" w:rsidP="00835192"/>
    <w:p w14:paraId="43D4A793" w14:textId="1BB234F2" w:rsidR="00835192" w:rsidRPr="00FF756A" w:rsidRDefault="00D125FE" w:rsidP="004A3257">
      <w:pPr>
        <w:pStyle w:val="Heading3"/>
      </w:pPr>
      <w:bookmarkStart w:id="464" w:name="_Toc100575604"/>
      <w:bookmarkStart w:id="465" w:name="_Toc182897801"/>
      <w:bookmarkStart w:id="466" w:name="_Toc183639256"/>
      <w:r w:rsidRPr="00FF756A">
        <w:t xml:space="preserve">3.5.3 </w:t>
      </w:r>
      <w:r w:rsidR="00835192" w:rsidRPr="00FF756A">
        <w:t>Inovacioni dhe konkurrenca</w:t>
      </w:r>
      <w:bookmarkEnd w:id="464"/>
      <w:bookmarkEnd w:id="465"/>
      <w:bookmarkEnd w:id="466"/>
      <w:r w:rsidR="00835192" w:rsidRPr="00FF756A">
        <w:t xml:space="preserve"> </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4"/>
        <w:gridCol w:w="1281"/>
        <w:gridCol w:w="601"/>
        <w:gridCol w:w="430"/>
        <w:gridCol w:w="3564"/>
        <w:gridCol w:w="992"/>
      </w:tblGrid>
      <w:tr w:rsidR="00835192" w:rsidRPr="00FF756A" w14:paraId="38264C98" w14:textId="77777777" w:rsidTr="004A3257">
        <w:trPr>
          <w:trHeight w:val="20"/>
        </w:trPr>
        <w:tc>
          <w:tcPr>
            <w:tcW w:w="4511" w:type="dxa"/>
            <w:gridSpan w:val="4"/>
            <w:shd w:val="clear" w:color="auto" w:fill="C45911" w:themeFill="accent2" w:themeFillShade="BF"/>
          </w:tcPr>
          <w:p w14:paraId="502D9BFA" w14:textId="77777777" w:rsidR="00835192" w:rsidRPr="00FF756A" w:rsidRDefault="00835192" w:rsidP="00835192">
            <w:pPr>
              <w:spacing w:before="20" w:after="20"/>
              <w:jc w:val="right"/>
              <w:rPr>
                <w:b/>
                <w:bCs/>
                <w:sz w:val="20"/>
                <w:szCs w:val="20"/>
              </w:rPr>
            </w:pPr>
            <w:r w:rsidRPr="00FF756A">
              <w:rPr>
                <w:b/>
                <w:bCs/>
                <w:sz w:val="20"/>
                <w:szCs w:val="20"/>
              </w:rPr>
              <w:t>Dimensioni i energjisë</w:t>
            </w:r>
          </w:p>
        </w:tc>
        <w:tc>
          <w:tcPr>
            <w:tcW w:w="4561" w:type="dxa"/>
            <w:gridSpan w:val="2"/>
            <w:shd w:val="clear" w:color="auto" w:fill="C45911" w:themeFill="accent2" w:themeFillShade="BF"/>
          </w:tcPr>
          <w:p w14:paraId="00C59D0B" w14:textId="77777777" w:rsidR="00835192" w:rsidRPr="00FF756A" w:rsidRDefault="00835192" w:rsidP="00835192">
            <w:pPr>
              <w:spacing w:before="20" w:after="20"/>
              <w:rPr>
                <w:i/>
                <w:iCs/>
                <w:sz w:val="20"/>
                <w:szCs w:val="20"/>
              </w:rPr>
            </w:pPr>
            <w:r w:rsidRPr="00FF756A">
              <w:rPr>
                <w:i/>
                <w:iCs/>
                <w:sz w:val="20"/>
                <w:szCs w:val="20"/>
              </w:rPr>
              <w:t>5. Kërkimi, inovacioni dhe konkurrenca</w:t>
            </w:r>
          </w:p>
        </w:tc>
      </w:tr>
      <w:tr w:rsidR="00835192" w:rsidRPr="00FF756A" w14:paraId="004300F9" w14:textId="77777777" w:rsidTr="004A3257">
        <w:trPr>
          <w:trHeight w:val="20"/>
        </w:trPr>
        <w:tc>
          <w:tcPr>
            <w:tcW w:w="4081" w:type="dxa"/>
            <w:gridSpan w:val="3"/>
            <w:shd w:val="clear" w:color="auto" w:fill="C45911" w:themeFill="accent2" w:themeFillShade="BF"/>
          </w:tcPr>
          <w:p w14:paraId="30553365" w14:textId="77777777" w:rsidR="00835192" w:rsidRPr="00FF756A" w:rsidRDefault="00835192" w:rsidP="00835192">
            <w:pPr>
              <w:spacing w:before="20" w:after="20"/>
              <w:jc w:val="right"/>
              <w:rPr>
                <w:b/>
                <w:bCs/>
                <w:sz w:val="20"/>
                <w:szCs w:val="20"/>
              </w:rPr>
            </w:pPr>
            <w:r w:rsidRPr="00FF756A">
              <w:rPr>
                <w:b/>
                <w:bCs/>
                <w:sz w:val="20"/>
                <w:szCs w:val="20"/>
              </w:rPr>
              <w:t>Sektori</w:t>
            </w:r>
          </w:p>
        </w:tc>
        <w:tc>
          <w:tcPr>
            <w:tcW w:w="4991" w:type="dxa"/>
            <w:gridSpan w:val="3"/>
            <w:shd w:val="clear" w:color="auto" w:fill="C45911" w:themeFill="accent2" w:themeFillShade="BF"/>
          </w:tcPr>
          <w:p w14:paraId="4FA17644" w14:textId="77777777" w:rsidR="00835192" w:rsidRPr="00FF756A" w:rsidRDefault="00835192" w:rsidP="00835192">
            <w:pPr>
              <w:spacing w:before="20" w:after="20"/>
              <w:rPr>
                <w:i/>
                <w:iCs/>
                <w:sz w:val="20"/>
                <w:szCs w:val="20"/>
              </w:rPr>
            </w:pPr>
          </w:p>
        </w:tc>
      </w:tr>
      <w:tr w:rsidR="00835192" w:rsidRPr="00FF756A" w14:paraId="7E95F044" w14:textId="77777777" w:rsidTr="004A3257">
        <w:trPr>
          <w:trHeight w:val="20"/>
        </w:trPr>
        <w:tc>
          <w:tcPr>
            <w:tcW w:w="3480" w:type="dxa"/>
            <w:gridSpan w:val="2"/>
          </w:tcPr>
          <w:p w14:paraId="25890402" w14:textId="77777777" w:rsidR="00835192" w:rsidRPr="00FF756A" w:rsidRDefault="00835192" w:rsidP="00835192">
            <w:pPr>
              <w:spacing w:before="20" w:after="20"/>
              <w:jc w:val="right"/>
              <w:rPr>
                <w:b/>
                <w:bCs/>
                <w:sz w:val="20"/>
                <w:szCs w:val="20"/>
              </w:rPr>
            </w:pPr>
            <w:r w:rsidRPr="00FF756A">
              <w:rPr>
                <w:b/>
                <w:bCs/>
                <w:sz w:val="20"/>
                <w:szCs w:val="20"/>
              </w:rPr>
              <w:t>Skenari i modelimit i marrë në konsideratë</w:t>
            </w:r>
          </w:p>
          <w:p w14:paraId="146B995F" w14:textId="77777777" w:rsidR="00835192" w:rsidRPr="00FF756A" w:rsidRDefault="00835192" w:rsidP="00835192">
            <w:pPr>
              <w:spacing w:before="20" w:after="20"/>
              <w:jc w:val="right"/>
              <w:rPr>
                <w:b/>
                <w:bCs/>
                <w:sz w:val="20"/>
                <w:szCs w:val="20"/>
              </w:rPr>
            </w:pPr>
            <w:r w:rsidRPr="00FF756A">
              <w:rPr>
                <w:b/>
                <w:bCs/>
                <w:sz w:val="20"/>
                <w:szCs w:val="20"/>
              </w:rPr>
              <w:t>Lloj i instrumentit</w:t>
            </w:r>
          </w:p>
        </w:tc>
        <w:tc>
          <w:tcPr>
            <w:tcW w:w="5592" w:type="dxa"/>
            <w:gridSpan w:val="4"/>
          </w:tcPr>
          <w:p w14:paraId="7EE78ECD" w14:textId="77777777" w:rsidR="00835192" w:rsidRPr="00FF756A" w:rsidRDefault="00835192" w:rsidP="00835192">
            <w:pPr>
              <w:spacing w:before="20" w:after="20"/>
              <w:rPr>
                <w:i/>
                <w:iCs/>
                <w:sz w:val="20"/>
                <w:szCs w:val="20"/>
              </w:rPr>
            </w:pPr>
            <w:r w:rsidRPr="00FF756A">
              <w:rPr>
                <w:i/>
                <w:iCs/>
                <w:sz w:val="20"/>
                <w:szCs w:val="20"/>
              </w:rPr>
              <w:t>WAM</w:t>
            </w:r>
          </w:p>
          <w:p w14:paraId="145E3EA5" w14:textId="77777777" w:rsidR="00835192" w:rsidRPr="00FF756A" w:rsidRDefault="00835192" w:rsidP="00835192">
            <w:pPr>
              <w:spacing w:before="20" w:after="20"/>
              <w:rPr>
                <w:i/>
                <w:iCs/>
                <w:sz w:val="20"/>
                <w:szCs w:val="20"/>
              </w:rPr>
            </w:pPr>
            <w:r w:rsidRPr="00FF756A">
              <w:rPr>
                <w:i/>
                <w:iCs/>
                <w:sz w:val="20"/>
                <w:szCs w:val="20"/>
              </w:rPr>
              <w:t>Rregullator</w:t>
            </w:r>
          </w:p>
        </w:tc>
      </w:tr>
      <w:tr w:rsidR="00835192" w:rsidRPr="00FF756A" w14:paraId="69E3E8FE" w14:textId="77777777" w:rsidTr="004A3257">
        <w:trPr>
          <w:trHeight w:val="20"/>
        </w:trPr>
        <w:tc>
          <w:tcPr>
            <w:tcW w:w="2198" w:type="dxa"/>
          </w:tcPr>
          <w:p w14:paraId="592F66F9" w14:textId="77777777" w:rsidR="00835192" w:rsidRPr="00FF756A" w:rsidRDefault="00835192" w:rsidP="00835192">
            <w:pPr>
              <w:spacing w:before="20" w:after="20"/>
              <w:jc w:val="right"/>
              <w:rPr>
                <w:b/>
                <w:bCs/>
                <w:sz w:val="20"/>
                <w:szCs w:val="20"/>
              </w:rPr>
            </w:pPr>
            <w:r w:rsidRPr="00FF756A">
              <w:rPr>
                <w:b/>
                <w:bCs/>
                <w:sz w:val="20"/>
                <w:szCs w:val="20"/>
              </w:rPr>
              <w:t>Titulli i PM</w:t>
            </w:r>
          </w:p>
          <w:p w14:paraId="0A8E4B7B" w14:textId="77777777" w:rsidR="00835192" w:rsidRPr="00FF756A" w:rsidRDefault="00835192" w:rsidP="00835192">
            <w:pPr>
              <w:spacing w:before="20" w:after="20"/>
              <w:jc w:val="right"/>
              <w:rPr>
                <w:b/>
                <w:bCs/>
                <w:sz w:val="20"/>
                <w:szCs w:val="20"/>
              </w:rPr>
            </w:pPr>
            <w:r w:rsidRPr="00FF756A">
              <w:rPr>
                <w:b/>
                <w:bCs/>
                <w:sz w:val="20"/>
                <w:szCs w:val="20"/>
              </w:rPr>
              <w:t>(kodi)</w:t>
            </w:r>
          </w:p>
        </w:tc>
        <w:tc>
          <w:tcPr>
            <w:tcW w:w="6874" w:type="dxa"/>
            <w:gridSpan w:val="5"/>
          </w:tcPr>
          <w:p w14:paraId="0FF26C2D" w14:textId="77777777" w:rsidR="00835192" w:rsidRPr="00FF756A" w:rsidRDefault="00835192" w:rsidP="00835192">
            <w:pPr>
              <w:spacing w:before="20" w:after="20" w:line="240" w:lineRule="auto"/>
              <w:rPr>
                <w:i/>
                <w:iCs/>
                <w:sz w:val="20"/>
                <w:szCs w:val="20"/>
              </w:rPr>
            </w:pPr>
            <w:r w:rsidRPr="00FF756A">
              <w:rPr>
                <w:i/>
                <w:iCs/>
                <w:sz w:val="20"/>
                <w:szCs w:val="20"/>
              </w:rPr>
              <w:t>Strategjia e zhvillimit të biznesit dhe investimeve (BIDS)</w:t>
            </w:r>
          </w:p>
          <w:p w14:paraId="622CC08E" w14:textId="77777777" w:rsidR="00835192" w:rsidRPr="00FF756A" w:rsidRDefault="00835192" w:rsidP="00835192">
            <w:pPr>
              <w:spacing w:before="20" w:after="20" w:line="240" w:lineRule="auto"/>
              <w:rPr>
                <w:i/>
                <w:iCs/>
                <w:sz w:val="20"/>
                <w:szCs w:val="20"/>
              </w:rPr>
            </w:pPr>
            <w:r w:rsidRPr="00FF756A">
              <w:rPr>
                <w:i/>
                <w:iCs/>
                <w:sz w:val="20"/>
                <w:szCs w:val="20"/>
              </w:rPr>
              <w:t>(RIC-E3)</w:t>
            </w:r>
          </w:p>
        </w:tc>
      </w:tr>
      <w:tr w:rsidR="00835192" w:rsidRPr="00FF756A" w14:paraId="25B06F36" w14:textId="77777777" w:rsidTr="004A3257">
        <w:trPr>
          <w:trHeight w:val="20"/>
        </w:trPr>
        <w:tc>
          <w:tcPr>
            <w:tcW w:w="2198" w:type="dxa"/>
          </w:tcPr>
          <w:p w14:paraId="676E3735" w14:textId="77777777" w:rsidR="00835192" w:rsidRPr="00FF756A" w:rsidRDefault="00835192" w:rsidP="00835192">
            <w:pPr>
              <w:spacing w:before="20" w:after="20"/>
              <w:jc w:val="right"/>
              <w:rPr>
                <w:sz w:val="20"/>
                <w:szCs w:val="20"/>
              </w:rPr>
            </w:pPr>
            <w:r w:rsidRPr="00FF756A">
              <w:rPr>
                <w:b/>
                <w:bCs/>
                <w:sz w:val="20"/>
                <w:szCs w:val="20"/>
              </w:rPr>
              <w:t>Afati kohor</w:t>
            </w:r>
          </w:p>
        </w:tc>
        <w:tc>
          <w:tcPr>
            <w:tcW w:w="6874" w:type="dxa"/>
            <w:gridSpan w:val="5"/>
          </w:tcPr>
          <w:p w14:paraId="0A48CB6B" w14:textId="77777777" w:rsidR="00835192" w:rsidRPr="00FF756A" w:rsidRDefault="00835192" w:rsidP="00835192">
            <w:pPr>
              <w:spacing w:before="20" w:after="20" w:line="240" w:lineRule="auto"/>
              <w:rPr>
                <w:i/>
                <w:iCs/>
                <w:sz w:val="20"/>
                <w:szCs w:val="20"/>
              </w:rPr>
            </w:pPr>
            <w:r w:rsidRPr="00FF756A">
              <w:rPr>
                <w:i/>
                <w:iCs/>
                <w:sz w:val="20"/>
                <w:szCs w:val="20"/>
              </w:rPr>
              <w:t>2021 - 2027</w:t>
            </w:r>
          </w:p>
        </w:tc>
      </w:tr>
      <w:tr w:rsidR="00835192" w:rsidRPr="00FF756A" w14:paraId="24E46774" w14:textId="77777777" w:rsidTr="004A3257">
        <w:trPr>
          <w:trHeight w:val="20"/>
        </w:trPr>
        <w:tc>
          <w:tcPr>
            <w:tcW w:w="2198" w:type="dxa"/>
          </w:tcPr>
          <w:p w14:paraId="7CA72BF4" w14:textId="77777777" w:rsidR="00835192" w:rsidRPr="00FF756A" w:rsidRDefault="00835192" w:rsidP="00835192">
            <w:pPr>
              <w:spacing w:before="20" w:after="20"/>
              <w:jc w:val="right"/>
              <w:rPr>
                <w:b/>
                <w:bCs/>
                <w:sz w:val="20"/>
                <w:szCs w:val="20"/>
              </w:rPr>
            </w:pPr>
            <w:r w:rsidRPr="00FF756A">
              <w:rPr>
                <w:b/>
                <w:bCs/>
                <w:sz w:val="20"/>
                <w:szCs w:val="20"/>
              </w:rPr>
              <w:t>Baza ligjore dhe dokumentet e planifikimit</w:t>
            </w:r>
          </w:p>
        </w:tc>
        <w:tc>
          <w:tcPr>
            <w:tcW w:w="6874" w:type="dxa"/>
            <w:gridSpan w:val="5"/>
          </w:tcPr>
          <w:p w14:paraId="344E1877" w14:textId="77777777" w:rsidR="00835192" w:rsidRPr="00FF756A" w:rsidRDefault="00835192" w:rsidP="00835192">
            <w:pPr>
              <w:spacing w:before="20" w:after="20" w:line="240" w:lineRule="auto"/>
              <w:rPr>
                <w:i/>
                <w:iCs/>
                <w:sz w:val="20"/>
                <w:szCs w:val="20"/>
              </w:rPr>
            </w:pPr>
            <w:r w:rsidRPr="00FF756A">
              <w:rPr>
                <w:i/>
                <w:iCs/>
                <w:sz w:val="20"/>
                <w:szCs w:val="20"/>
              </w:rPr>
              <w:t>Strategjia Kombëtare për Zhvillim dhe Integrim, Shtylla 2: Zhvillimi ekonomik përmes rritjes së konkurrencës dhe inovacionit.</w:t>
            </w:r>
          </w:p>
          <w:p w14:paraId="330D6B91" w14:textId="77777777" w:rsidR="00835192" w:rsidRPr="00FF756A" w:rsidRDefault="00835192" w:rsidP="00835192">
            <w:pPr>
              <w:spacing w:before="20" w:after="20" w:line="240" w:lineRule="auto"/>
              <w:rPr>
                <w:i/>
                <w:iCs/>
                <w:sz w:val="20"/>
                <w:szCs w:val="20"/>
              </w:rPr>
            </w:pPr>
            <w:r w:rsidRPr="00FF756A">
              <w:rPr>
                <w:i/>
                <w:iCs/>
                <w:sz w:val="20"/>
                <w:szCs w:val="20"/>
              </w:rPr>
              <w:t xml:space="preserve">Në proces të hartimit të modeleve sipas </w:t>
            </w:r>
            <w:bookmarkStart w:id="467" w:name="_Hlk178525265"/>
            <w:r w:rsidRPr="00FF756A">
              <w:rPr>
                <w:i/>
                <w:iCs/>
                <w:sz w:val="20"/>
                <w:szCs w:val="20"/>
              </w:rPr>
              <w:t>formateve IPSIS.</w:t>
            </w:r>
            <w:bookmarkEnd w:id="467"/>
          </w:p>
        </w:tc>
      </w:tr>
      <w:tr w:rsidR="00835192" w:rsidRPr="00FF756A" w14:paraId="5BB02C88" w14:textId="77777777" w:rsidTr="004A3257">
        <w:trPr>
          <w:trHeight w:val="20"/>
        </w:trPr>
        <w:tc>
          <w:tcPr>
            <w:tcW w:w="2198" w:type="dxa"/>
          </w:tcPr>
          <w:p w14:paraId="69619572" w14:textId="77777777" w:rsidR="00835192" w:rsidRPr="00FF756A" w:rsidRDefault="00835192" w:rsidP="00835192">
            <w:pPr>
              <w:spacing w:before="20" w:after="20"/>
              <w:jc w:val="right"/>
              <w:rPr>
                <w:b/>
                <w:bCs/>
                <w:sz w:val="20"/>
                <w:szCs w:val="20"/>
              </w:rPr>
            </w:pPr>
            <w:r w:rsidRPr="00FF756A">
              <w:rPr>
                <w:b/>
                <w:bCs/>
                <w:sz w:val="20"/>
                <w:szCs w:val="20"/>
              </w:rPr>
              <w:t>Masat e marra deri më tani</w:t>
            </w:r>
          </w:p>
        </w:tc>
        <w:tc>
          <w:tcPr>
            <w:tcW w:w="6874" w:type="dxa"/>
            <w:gridSpan w:val="5"/>
          </w:tcPr>
          <w:p w14:paraId="3E641233" w14:textId="77777777" w:rsidR="00EE589C" w:rsidRPr="00FF756A" w:rsidRDefault="00835192" w:rsidP="00835192">
            <w:pPr>
              <w:spacing w:before="20" w:after="20" w:line="240" w:lineRule="auto"/>
              <w:rPr>
                <w:i/>
                <w:iCs/>
                <w:sz w:val="20"/>
                <w:szCs w:val="20"/>
              </w:rPr>
            </w:pPr>
            <w:r w:rsidRPr="00FF756A">
              <w:rPr>
                <w:i/>
                <w:iCs/>
                <w:sz w:val="20"/>
                <w:szCs w:val="20"/>
              </w:rPr>
              <w:t>Ministria e Financës dhe Ekonomisë hartoi Strategjinë e re të Zhvillimit të Biznesit dhe Investimeve (BIDS) dhe Planin e Veprimit 2021 –2027, me mbështetjen e GIZ dhe e prezantoi atë në vitin 2021</w:t>
            </w:r>
            <w:r w:rsidRPr="00FF756A">
              <w:rPr>
                <w:i/>
                <w:iCs/>
                <w:sz w:val="20"/>
                <w:szCs w:val="20"/>
              </w:rPr>
              <w:br/>
              <w:t>(</w:t>
            </w:r>
            <w:hyperlink r:id="rId71" w:history="1">
              <w:r w:rsidR="00D125FE" w:rsidRPr="00FF756A">
                <w:rPr>
                  <w:rStyle w:val="Hyperlink"/>
                  <w:i/>
                  <w:iCs/>
                  <w:sz w:val="20"/>
                  <w:szCs w:val="20"/>
                </w:rPr>
                <w:t>https://www.investment.com.al/wp-content/uploads/2021/07/EN_Draft-BIDS-Presentation.pdf</w:t>
              </w:r>
            </w:hyperlink>
            <w:r w:rsidRPr="00FF756A">
              <w:rPr>
                <w:i/>
                <w:iCs/>
                <w:sz w:val="20"/>
                <w:szCs w:val="20"/>
              </w:rPr>
              <w:t>)</w:t>
            </w:r>
            <w:r w:rsidR="00D125FE" w:rsidRPr="00FF756A">
              <w:rPr>
                <w:i/>
                <w:iCs/>
                <w:sz w:val="20"/>
                <w:szCs w:val="20"/>
              </w:rPr>
              <w:t xml:space="preserve"> </w:t>
            </w:r>
          </w:p>
          <w:p w14:paraId="5FAF1B1E" w14:textId="36119F2F" w:rsidR="00835192" w:rsidRPr="00FF756A" w:rsidRDefault="00EE589C" w:rsidP="00835192">
            <w:pPr>
              <w:spacing w:before="20" w:after="20" w:line="240" w:lineRule="auto"/>
            </w:pPr>
            <w:r w:rsidRPr="00FF756A">
              <w:rPr>
                <w:i/>
                <w:iCs/>
                <w:sz w:val="20"/>
                <w:szCs w:val="20"/>
              </w:rPr>
              <w:t>Dokumenti</w:t>
            </w:r>
            <w:r w:rsidR="00835192" w:rsidRPr="00FF756A">
              <w:rPr>
                <w:i/>
                <w:iCs/>
                <w:sz w:val="20"/>
                <w:szCs w:val="20"/>
              </w:rPr>
              <w:t xml:space="preserve"> u miratua zyrtarisht më 30.07.2021. Ajo parashikon raporte periodike 6-mujore dhe 1-vjeçare nga Ministria e Financave si dhe një vlerësim të ndërmjetëm në vitin e katërt (</w:t>
            </w:r>
            <w:hyperlink r:id="rId72" w:history="1">
              <w:r w:rsidRPr="00FF756A">
                <w:rPr>
                  <w:rStyle w:val="Hyperlink"/>
                  <w:i/>
                  <w:iCs/>
                  <w:sz w:val="20"/>
                  <w:szCs w:val="20"/>
                </w:rPr>
                <w:t>https://www.clustercollaboration.eu/sites/default/files/2023-04/ECCPfactsheet_Albania_2022.pdf</w:t>
              </w:r>
            </w:hyperlink>
            <w:r w:rsidR="00835192" w:rsidRPr="00FF756A">
              <w:rPr>
                <w:i/>
                <w:iCs/>
                <w:sz w:val="20"/>
                <w:szCs w:val="20"/>
              </w:rPr>
              <w:t>)</w:t>
            </w:r>
            <w:r w:rsidRPr="00FF756A">
              <w:rPr>
                <w:i/>
                <w:iCs/>
                <w:sz w:val="20"/>
                <w:szCs w:val="20"/>
              </w:rPr>
              <w:t xml:space="preserve"> </w:t>
            </w:r>
          </w:p>
        </w:tc>
      </w:tr>
      <w:tr w:rsidR="00835192" w:rsidRPr="00FF756A" w14:paraId="0449AD5A" w14:textId="77777777" w:rsidTr="004A3257">
        <w:trPr>
          <w:trHeight w:val="20"/>
        </w:trPr>
        <w:tc>
          <w:tcPr>
            <w:tcW w:w="2198" w:type="dxa"/>
          </w:tcPr>
          <w:p w14:paraId="10A9470F" w14:textId="77777777" w:rsidR="00835192" w:rsidRPr="00FF756A" w:rsidRDefault="00835192" w:rsidP="00835192">
            <w:pPr>
              <w:spacing w:before="20" w:after="20"/>
              <w:jc w:val="right"/>
              <w:rPr>
                <w:b/>
                <w:bCs/>
                <w:sz w:val="20"/>
                <w:szCs w:val="20"/>
              </w:rPr>
            </w:pPr>
            <w:r w:rsidRPr="00FF756A">
              <w:rPr>
                <w:b/>
                <w:bCs/>
                <w:sz w:val="20"/>
                <w:szCs w:val="20"/>
              </w:rPr>
              <w:t>Objektivi kryesor i PM</w:t>
            </w:r>
          </w:p>
        </w:tc>
        <w:tc>
          <w:tcPr>
            <w:tcW w:w="6874" w:type="dxa"/>
            <w:gridSpan w:val="5"/>
          </w:tcPr>
          <w:p w14:paraId="4917C245" w14:textId="77777777" w:rsidR="00835192" w:rsidRPr="00FF756A" w:rsidRDefault="00835192" w:rsidP="00835192">
            <w:pPr>
              <w:spacing w:before="20" w:after="20" w:line="240" w:lineRule="auto"/>
              <w:rPr>
                <w:i/>
                <w:iCs/>
                <w:sz w:val="20"/>
                <w:szCs w:val="20"/>
              </w:rPr>
            </w:pPr>
            <w:r w:rsidRPr="00FF756A">
              <w:rPr>
                <w:i/>
                <w:iCs/>
                <w:sz w:val="20"/>
                <w:szCs w:val="20"/>
              </w:rPr>
              <w:t>Një ekonomi shqiptare më konkurruese, e orientuar drejt inovacionit dhe e bazuar në njohuri, që krijon vende të reja pune të cilat shfrytëzojnë potencialet e tranzicionit dixhital dhe transformimin e zinxhirëve ndërkombëtarë të vlerës, duke e vënë theksin te zhvillimi i qëndrueshëm dhe integrimi rajonal dhe evropian.</w:t>
            </w:r>
          </w:p>
          <w:p w14:paraId="2F84B745" w14:textId="7CAE4B59" w:rsidR="00835192" w:rsidRPr="00FF756A" w:rsidRDefault="00835192" w:rsidP="00835192">
            <w:pPr>
              <w:spacing w:before="20" w:after="20" w:line="240" w:lineRule="auto"/>
              <w:rPr>
                <w:i/>
                <w:iCs/>
                <w:sz w:val="20"/>
                <w:szCs w:val="20"/>
              </w:rPr>
            </w:pPr>
            <w:r w:rsidRPr="00FF756A">
              <w:rPr>
                <w:i/>
                <w:iCs/>
                <w:sz w:val="20"/>
                <w:szCs w:val="20"/>
              </w:rPr>
              <w:t xml:space="preserve">BIDS trajton pesë sfida kryesore: a) kuadri institucional për politikat e NVM-ve është i paplotë; b) aksesi i NVM-ve në financim është i kufizuar; c) ka një mospërputhje të aftësive në tregun e punës dhe nivele të ulëta të krijimit të vendeve të punës; d) aktivitetet e eksportit nga NVM-të shqiptare janë të kufizuara dhe e) aktivitetet në fushën e inovacionit dhe shpenzimet për kërkimin dhe zhvillimin janë të kufizuara. BIDS supozohet: </w:t>
            </w:r>
          </w:p>
          <w:p w14:paraId="1177A29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të përvijojë trajektoren e transformimit strukturor dhe zhvillimit ekonomik të dëshiruar;</w:t>
            </w:r>
          </w:p>
          <w:p w14:paraId="35A644F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të harmonizohet me strategjitë dhe programet përkatëse të zhvillimit në nivel kombëtar dhe ndërkombëtar;</w:t>
            </w:r>
          </w:p>
          <w:p w14:paraId="46B18396"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të përbëjë një hallkë qendrore që do të shfrytëzojë potencialin në pikat e ndërveprimit brenda kuadrit strategjik;</w:t>
            </w:r>
          </w:p>
          <w:p w14:paraId="2311FDFE" w14:textId="77777777" w:rsidR="00835192" w:rsidRPr="00FF756A" w:rsidRDefault="00835192" w:rsidP="008639B2">
            <w:pPr>
              <w:numPr>
                <w:ilvl w:val="0"/>
                <w:numId w:val="71"/>
              </w:numPr>
              <w:spacing w:before="20" w:after="20" w:line="240" w:lineRule="auto"/>
              <w:contextualSpacing/>
              <w:rPr>
                <w:i/>
                <w:iCs/>
                <w:sz w:val="20"/>
                <w:szCs w:val="20"/>
              </w:rPr>
            </w:pPr>
            <w:r w:rsidRPr="00FF756A">
              <w:rPr>
                <w:i/>
                <w:iCs/>
                <w:sz w:val="20"/>
                <w:szCs w:val="20"/>
              </w:rPr>
              <w:t>të japë udhëzime për strategji të ardhshme rajonale/sektoriale që prezantojnë si fillim masa prioritare ekzemplare me ndikim të konsiderueshëm, të cilat mund të përshkallëzohen më tej me anë të masave shtesë.</w:t>
            </w:r>
          </w:p>
        </w:tc>
      </w:tr>
      <w:tr w:rsidR="00835192" w:rsidRPr="00FF756A" w14:paraId="72025266" w14:textId="77777777" w:rsidTr="004A3257">
        <w:trPr>
          <w:trHeight w:val="20"/>
        </w:trPr>
        <w:tc>
          <w:tcPr>
            <w:tcW w:w="2198" w:type="dxa"/>
          </w:tcPr>
          <w:p w14:paraId="198C1264" w14:textId="77777777" w:rsidR="00835192" w:rsidRPr="00FF756A" w:rsidRDefault="00835192" w:rsidP="00835192">
            <w:pPr>
              <w:spacing w:before="20" w:after="20"/>
              <w:jc w:val="right"/>
              <w:rPr>
                <w:b/>
                <w:bCs/>
                <w:sz w:val="20"/>
                <w:szCs w:val="20"/>
              </w:rPr>
            </w:pPr>
            <w:r w:rsidRPr="00FF756A">
              <w:rPr>
                <w:b/>
                <w:bCs/>
                <w:sz w:val="20"/>
                <w:szCs w:val="20"/>
              </w:rPr>
              <w:t>Rezultatet për t'u arritur</w:t>
            </w:r>
          </w:p>
        </w:tc>
        <w:tc>
          <w:tcPr>
            <w:tcW w:w="6874" w:type="dxa"/>
            <w:gridSpan w:val="5"/>
          </w:tcPr>
          <w:p w14:paraId="2DAA3EC0"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Programe specifike trajnimi të disponueshme deri në vitin 2026</w:t>
            </w:r>
          </w:p>
          <w:p w14:paraId="77361CF8"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Një pikë e vetme plotësisht funksionale për NVM-të deri në vitin 2026</w:t>
            </w:r>
          </w:p>
        </w:tc>
      </w:tr>
      <w:tr w:rsidR="00835192" w:rsidRPr="00FF756A" w14:paraId="0B381E5B" w14:textId="77777777" w:rsidTr="004A3257">
        <w:trPr>
          <w:trHeight w:val="20"/>
        </w:trPr>
        <w:tc>
          <w:tcPr>
            <w:tcW w:w="2198" w:type="dxa"/>
          </w:tcPr>
          <w:p w14:paraId="5E1FFA14" w14:textId="77777777" w:rsidR="00835192" w:rsidRPr="00FF756A" w:rsidRDefault="00835192" w:rsidP="00835192">
            <w:pPr>
              <w:spacing w:before="20" w:after="20"/>
              <w:jc w:val="right"/>
              <w:rPr>
                <w:b/>
                <w:bCs/>
                <w:sz w:val="20"/>
                <w:szCs w:val="20"/>
              </w:rPr>
            </w:pPr>
            <w:r w:rsidRPr="00FF756A">
              <w:rPr>
                <w:b/>
                <w:bCs/>
                <w:sz w:val="20"/>
                <w:szCs w:val="20"/>
              </w:rPr>
              <w:t>Masat që duhet të zbatohen</w:t>
            </w:r>
          </w:p>
        </w:tc>
        <w:tc>
          <w:tcPr>
            <w:tcW w:w="5882" w:type="dxa"/>
            <w:gridSpan w:val="4"/>
          </w:tcPr>
          <w:p w14:paraId="0BC9C82E"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Finalizimi i kuadrit institucional për politikat e NVM-ve</w:t>
            </w:r>
          </w:p>
          <w:p w14:paraId="57114A4D"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Përmirësimi i aksesit në fonde për NVM-të</w:t>
            </w:r>
          </w:p>
          <w:p w14:paraId="4D5C51A6" w14:textId="77777777" w:rsidR="00835192" w:rsidRPr="00FF756A" w:rsidRDefault="00835192" w:rsidP="008639B2">
            <w:pPr>
              <w:numPr>
                <w:ilvl w:val="1"/>
                <w:numId w:val="71"/>
              </w:numPr>
              <w:spacing w:before="20" w:after="20" w:line="240" w:lineRule="auto"/>
              <w:rPr>
                <w:i/>
                <w:iCs/>
                <w:sz w:val="20"/>
                <w:szCs w:val="20"/>
              </w:rPr>
            </w:pPr>
            <w:r w:rsidRPr="00FF756A">
              <w:rPr>
                <w:i/>
                <w:iCs/>
                <w:sz w:val="20"/>
                <w:szCs w:val="20"/>
              </w:rPr>
              <w:t>Një pikë e vetme shërbimi për NVM-të</w:t>
            </w:r>
          </w:p>
          <w:p w14:paraId="69B539CC"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Përshtatja e aftësive në tregun e punës dhe adresimi i niveleve të ulëta të krijimit të vendeve të punës</w:t>
            </w:r>
          </w:p>
          <w:p w14:paraId="687747E9" w14:textId="77777777" w:rsidR="00835192" w:rsidRPr="00FF756A" w:rsidRDefault="00835192" w:rsidP="008639B2">
            <w:pPr>
              <w:numPr>
                <w:ilvl w:val="1"/>
                <w:numId w:val="71"/>
              </w:numPr>
              <w:spacing w:before="20" w:after="20" w:line="240" w:lineRule="auto"/>
              <w:rPr>
                <w:i/>
                <w:iCs/>
                <w:sz w:val="20"/>
                <w:szCs w:val="20"/>
              </w:rPr>
            </w:pPr>
            <w:r w:rsidRPr="00FF756A">
              <w:rPr>
                <w:i/>
                <w:iCs/>
                <w:sz w:val="20"/>
                <w:szCs w:val="20"/>
              </w:rPr>
              <w:t>Vlerësimi i nevojave për të identifikuar fushat kyçe të ndërhyrjes, si p.sh. rinovimi i ndërtesave</w:t>
            </w:r>
          </w:p>
          <w:p w14:paraId="430E98B3" w14:textId="77777777" w:rsidR="00835192" w:rsidRPr="00FF756A" w:rsidRDefault="00835192" w:rsidP="008639B2">
            <w:pPr>
              <w:numPr>
                <w:ilvl w:val="1"/>
                <w:numId w:val="71"/>
              </w:numPr>
              <w:spacing w:before="20" w:after="20" w:line="240" w:lineRule="auto"/>
              <w:rPr>
                <w:i/>
                <w:iCs/>
                <w:sz w:val="20"/>
                <w:szCs w:val="20"/>
              </w:rPr>
            </w:pPr>
            <w:r w:rsidRPr="00FF756A">
              <w:rPr>
                <w:i/>
                <w:iCs/>
                <w:sz w:val="20"/>
                <w:szCs w:val="20"/>
              </w:rPr>
              <w:t>Përgatitja e kurrikulës për të gjitha nivelet arsimore, duke përfshirë fuqinë punëtore të kualifikuar dhe të pakualifikuar</w:t>
            </w:r>
          </w:p>
          <w:p w14:paraId="2204E9D0" w14:textId="77777777" w:rsidR="00835192" w:rsidRPr="00FF756A" w:rsidRDefault="00835192" w:rsidP="008639B2">
            <w:pPr>
              <w:numPr>
                <w:ilvl w:val="1"/>
                <w:numId w:val="71"/>
              </w:numPr>
              <w:spacing w:before="20" w:after="20" w:line="240" w:lineRule="auto"/>
              <w:rPr>
                <w:i/>
                <w:iCs/>
                <w:sz w:val="20"/>
                <w:szCs w:val="20"/>
              </w:rPr>
            </w:pPr>
            <w:r w:rsidRPr="00FF756A">
              <w:rPr>
                <w:i/>
                <w:iCs/>
                <w:sz w:val="20"/>
                <w:szCs w:val="20"/>
              </w:rPr>
              <w:t xml:space="preserve">Krijimi institucional i programeve të trajnimit, duke përfshirë infrastrukturën trajnuese të nevojshme  </w:t>
            </w:r>
          </w:p>
        </w:tc>
        <w:tc>
          <w:tcPr>
            <w:tcW w:w="992" w:type="dxa"/>
          </w:tcPr>
          <w:p w14:paraId="318AA1C9" w14:textId="77777777" w:rsidR="00835192" w:rsidRPr="00FF756A" w:rsidRDefault="00835192" w:rsidP="00835192">
            <w:pPr>
              <w:spacing w:before="20" w:after="20" w:line="240" w:lineRule="auto"/>
              <w:rPr>
                <w:i/>
                <w:iCs/>
                <w:sz w:val="20"/>
                <w:szCs w:val="20"/>
              </w:rPr>
            </w:pPr>
            <w:r w:rsidRPr="00FF756A">
              <w:rPr>
                <w:i/>
                <w:iCs/>
                <w:sz w:val="20"/>
                <w:szCs w:val="20"/>
              </w:rPr>
              <w:t>brenda vitit 2026</w:t>
            </w:r>
          </w:p>
          <w:p w14:paraId="0005E1E5" w14:textId="77777777" w:rsidR="007B3BFA" w:rsidRPr="00FF756A" w:rsidRDefault="007B3BFA" w:rsidP="00835192">
            <w:pPr>
              <w:spacing w:before="20" w:after="20" w:line="240" w:lineRule="auto"/>
              <w:rPr>
                <w:i/>
                <w:iCs/>
                <w:sz w:val="20"/>
                <w:szCs w:val="20"/>
              </w:rPr>
            </w:pPr>
          </w:p>
          <w:p w14:paraId="2E6D71F7" w14:textId="227866A1" w:rsidR="00835192" w:rsidRPr="00FF756A" w:rsidRDefault="00835192" w:rsidP="00835192">
            <w:pPr>
              <w:spacing w:before="20" w:after="20" w:line="240" w:lineRule="auto"/>
              <w:rPr>
                <w:i/>
                <w:iCs/>
                <w:sz w:val="20"/>
                <w:szCs w:val="20"/>
              </w:rPr>
            </w:pPr>
            <w:r w:rsidRPr="00FF756A">
              <w:rPr>
                <w:i/>
                <w:iCs/>
                <w:sz w:val="20"/>
                <w:szCs w:val="20"/>
              </w:rPr>
              <w:t>brenda vitit 2026</w:t>
            </w:r>
          </w:p>
          <w:p w14:paraId="37B9D152" w14:textId="77777777" w:rsidR="00835192" w:rsidRPr="00FF756A" w:rsidRDefault="00835192" w:rsidP="00835192">
            <w:pPr>
              <w:spacing w:before="20" w:after="20" w:line="240" w:lineRule="auto"/>
              <w:rPr>
                <w:i/>
                <w:iCs/>
                <w:sz w:val="20"/>
                <w:szCs w:val="20"/>
              </w:rPr>
            </w:pPr>
          </w:p>
          <w:p w14:paraId="6EA0004B" w14:textId="77777777" w:rsidR="00835192" w:rsidRPr="00FF756A" w:rsidRDefault="00835192" w:rsidP="00835192">
            <w:pPr>
              <w:spacing w:before="20" w:after="20" w:line="240" w:lineRule="auto"/>
              <w:rPr>
                <w:i/>
                <w:iCs/>
                <w:sz w:val="20"/>
                <w:szCs w:val="20"/>
              </w:rPr>
            </w:pPr>
            <w:r w:rsidRPr="00FF756A">
              <w:rPr>
                <w:i/>
                <w:iCs/>
                <w:sz w:val="20"/>
                <w:szCs w:val="20"/>
              </w:rPr>
              <w:t>brenda vitit 2026</w:t>
            </w:r>
          </w:p>
        </w:tc>
      </w:tr>
      <w:tr w:rsidR="00835192" w:rsidRPr="00FF756A" w14:paraId="2F5B42B4" w14:textId="77777777" w:rsidTr="004A3257">
        <w:trPr>
          <w:trHeight w:val="20"/>
        </w:trPr>
        <w:tc>
          <w:tcPr>
            <w:tcW w:w="2198" w:type="dxa"/>
          </w:tcPr>
          <w:p w14:paraId="02F14C20" w14:textId="77777777" w:rsidR="00835192" w:rsidRPr="00FF756A" w:rsidRDefault="00835192" w:rsidP="00835192">
            <w:pPr>
              <w:spacing w:before="20" w:after="20"/>
              <w:jc w:val="right"/>
              <w:rPr>
                <w:b/>
                <w:bCs/>
                <w:sz w:val="20"/>
                <w:szCs w:val="20"/>
              </w:rPr>
            </w:pPr>
            <w:r w:rsidRPr="00FF756A">
              <w:rPr>
                <w:b/>
                <w:bCs/>
                <w:sz w:val="20"/>
                <w:szCs w:val="20"/>
              </w:rPr>
              <w:t>Buxheti (burimi i financimit)</w:t>
            </w:r>
          </w:p>
        </w:tc>
        <w:tc>
          <w:tcPr>
            <w:tcW w:w="6874" w:type="dxa"/>
            <w:gridSpan w:val="5"/>
          </w:tcPr>
          <w:p w14:paraId="7E020A8A" w14:textId="77777777" w:rsidR="00835192" w:rsidRPr="00FF756A" w:rsidRDefault="00835192" w:rsidP="00835192">
            <w:pPr>
              <w:spacing w:before="20" w:after="20" w:line="240" w:lineRule="auto"/>
              <w:rPr>
                <w:i/>
                <w:iCs/>
                <w:sz w:val="20"/>
                <w:szCs w:val="20"/>
              </w:rPr>
            </w:pPr>
            <w:r w:rsidRPr="00FF756A">
              <w:rPr>
                <w:i/>
                <w:iCs/>
                <w:sz w:val="20"/>
                <w:szCs w:val="20"/>
              </w:rPr>
              <w:t>Përgjegjësitë, afatet kohore, nevojat dhe burimet e financimit përshkruhen në dokumentin e BIDS 2021-2027. (https://www.investment.com.al/wp-content/uploads/2021/07/EN_Draft-BIDS-Presentation.pdf)</w:t>
            </w:r>
          </w:p>
        </w:tc>
      </w:tr>
      <w:tr w:rsidR="00835192" w:rsidRPr="00FF756A" w14:paraId="0B1E9001" w14:textId="77777777" w:rsidTr="004A3257">
        <w:trPr>
          <w:trHeight w:val="20"/>
        </w:trPr>
        <w:tc>
          <w:tcPr>
            <w:tcW w:w="2198" w:type="dxa"/>
          </w:tcPr>
          <w:p w14:paraId="5B1AB374" w14:textId="77777777" w:rsidR="00835192" w:rsidRPr="00FF756A" w:rsidRDefault="00835192" w:rsidP="00835192">
            <w:pPr>
              <w:spacing w:before="20" w:after="20"/>
              <w:jc w:val="right"/>
              <w:rPr>
                <w:b/>
                <w:bCs/>
                <w:sz w:val="20"/>
                <w:szCs w:val="20"/>
              </w:rPr>
            </w:pPr>
            <w:r w:rsidRPr="00FF756A">
              <w:rPr>
                <w:b/>
                <w:bCs/>
                <w:sz w:val="20"/>
                <w:szCs w:val="20"/>
              </w:rPr>
              <w:t>Subjekti zbatues</w:t>
            </w:r>
          </w:p>
          <w:p w14:paraId="2A634E98" w14:textId="77777777" w:rsidR="00835192" w:rsidRPr="00FF756A" w:rsidRDefault="00835192" w:rsidP="00835192">
            <w:pPr>
              <w:spacing w:before="20" w:after="20"/>
              <w:jc w:val="right"/>
              <w:rPr>
                <w:sz w:val="20"/>
                <w:szCs w:val="20"/>
              </w:rPr>
            </w:pPr>
            <w:r w:rsidRPr="00FF756A">
              <w:rPr>
                <w:b/>
                <w:bCs/>
                <w:sz w:val="20"/>
                <w:szCs w:val="20"/>
              </w:rPr>
              <w:t>(Subjekti monitorues)</w:t>
            </w:r>
          </w:p>
        </w:tc>
        <w:tc>
          <w:tcPr>
            <w:tcW w:w="6874" w:type="dxa"/>
            <w:gridSpan w:val="5"/>
          </w:tcPr>
          <w:p w14:paraId="3ECAF4CF" w14:textId="77777777" w:rsidR="00835192" w:rsidRPr="00FF756A" w:rsidRDefault="00835192" w:rsidP="00835192">
            <w:pPr>
              <w:spacing w:before="20" w:after="20" w:line="240" w:lineRule="auto"/>
              <w:rPr>
                <w:i/>
                <w:iCs/>
                <w:sz w:val="20"/>
                <w:szCs w:val="20"/>
              </w:rPr>
            </w:pPr>
            <w:r w:rsidRPr="00FF756A">
              <w:rPr>
                <w:i/>
                <w:iCs/>
                <w:sz w:val="20"/>
                <w:szCs w:val="20"/>
              </w:rPr>
              <w:t>Ministria e Financave; Agjencia Shqiptare e Zhvillimit të Investimeve</w:t>
            </w:r>
          </w:p>
        </w:tc>
      </w:tr>
      <w:tr w:rsidR="00835192" w:rsidRPr="00FF756A" w14:paraId="18BDD414" w14:textId="77777777" w:rsidTr="004A3257">
        <w:trPr>
          <w:trHeight w:val="20"/>
        </w:trPr>
        <w:tc>
          <w:tcPr>
            <w:tcW w:w="2198" w:type="dxa"/>
          </w:tcPr>
          <w:p w14:paraId="2E8731EF" w14:textId="77777777" w:rsidR="00835192" w:rsidRPr="00FF756A" w:rsidRDefault="00835192" w:rsidP="00835192">
            <w:pPr>
              <w:spacing w:before="20" w:after="20"/>
              <w:jc w:val="right"/>
              <w:rPr>
                <w:b/>
                <w:bCs/>
                <w:sz w:val="20"/>
                <w:szCs w:val="20"/>
              </w:rPr>
            </w:pPr>
            <w:r w:rsidRPr="00FF756A">
              <w:rPr>
                <w:b/>
                <w:bCs/>
                <w:sz w:val="20"/>
                <w:szCs w:val="20"/>
              </w:rPr>
              <w:t>Marrëdhënia me dimensionet e tjera (nëse ka)</w:t>
            </w:r>
          </w:p>
        </w:tc>
        <w:tc>
          <w:tcPr>
            <w:tcW w:w="6874" w:type="dxa"/>
            <w:gridSpan w:val="5"/>
          </w:tcPr>
          <w:p w14:paraId="139360D0" w14:textId="77777777" w:rsidR="00835192" w:rsidRPr="00FF756A" w:rsidRDefault="00835192" w:rsidP="00835192">
            <w:pPr>
              <w:spacing w:before="20" w:after="20" w:line="240" w:lineRule="auto"/>
              <w:rPr>
                <w:i/>
                <w:iCs/>
                <w:sz w:val="20"/>
                <w:szCs w:val="20"/>
              </w:rPr>
            </w:pPr>
            <w:r w:rsidRPr="00FF756A">
              <w:rPr>
                <w:i/>
                <w:iCs/>
                <w:sz w:val="20"/>
                <w:szCs w:val="20"/>
              </w:rPr>
              <w:t>Dekarbonizimi, Efiçenca e energjisë</w:t>
            </w:r>
          </w:p>
          <w:p w14:paraId="17F5CDE0" w14:textId="77777777" w:rsidR="00835192" w:rsidRPr="00FF756A" w:rsidRDefault="00835192" w:rsidP="00835192">
            <w:pPr>
              <w:spacing w:before="20" w:after="20" w:line="240" w:lineRule="auto"/>
              <w:rPr>
                <w:i/>
                <w:iCs/>
                <w:sz w:val="20"/>
                <w:szCs w:val="20"/>
              </w:rPr>
            </w:pPr>
            <w:r w:rsidRPr="00FF756A">
              <w:rPr>
                <w:i/>
                <w:iCs/>
                <w:sz w:val="20"/>
                <w:szCs w:val="20"/>
              </w:rPr>
              <w:t>Marrëdhënia me PM-të e mëposhtme:</w:t>
            </w:r>
          </w:p>
          <w:p w14:paraId="4BE7DAB3" w14:textId="77777777" w:rsidR="00835192" w:rsidRPr="00FF756A" w:rsidRDefault="00835192" w:rsidP="00835192">
            <w:pPr>
              <w:spacing w:before="20" w:after="20" w:line="240" w:lineRule="auto"/>
              <w:rPr>
                <w:i/>
                <w:iCs/>
                <w:sz w:val="20"/>
                <w:szCs w:val="20"/>
              </w:rPr>
            </w:pPr>
            <w:r w:rsidRPr="00FF756A">
              <w:rPr>
                <w:i/>
                <w:iCs/>
                <w:sz w:val="20"/>
                <w:szCs w:val="20"/>
              </w:rPr>
              <w:t>Përmirësimi i aktiviteteve të inovacionit dhe shpenzimet për kërkimin dhe zhvillimin trajtohen nga RIC-E1 dhe RIC-E2.</w:t>
            </w:r>
          </w:p>
        </w:tc>
      </w:tr>
    </w:tbl>
    <w:p w14:paraId="457DCEF1" w14:textId="77777777" w:rsidR="00835192" w:rsidRPr="00FF756A" w:rsidRDefault="00835192" w:rsidP="00835192">
      <w:pPr>
        <w:spacing w:after="0" w:line="240" w:lineRule="auto"/>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2195"/>
        <w:gridCol w:w="1281"/>
        <w:gridCol w:w="601"/>
        <w:gridCol w:w="430"/>
        <w:gridCol w:w="3710"/>
        <w:gridCol w:w="850"/>
      </w:tblGrid>
      <w:tr w:rsidR="00835192" w:rsidRPr="00FF756A" w14:paraId="18496ECF" w14:textId="77777777" w:rsidTr="004A3257">
        <w:trPr>
          <w:trHeight w:val="20"/>
        </w:trPr>
        <w:tc>
          <w:tcPr>
            <w:tcW w:w="4509" w:type="dxa"/>
            <w:gridSpan w:val="4"/>
            <w:tcBorders>
              <w:top w:val="single" w:sz="4" w:space="0" w:color="auto"/>
              <w:left w:val="single" w:sz="4" w:space="0" w:color="auto"/>
              <w:bottom w:val="single" w:sz="4" w:space="0" w:color="auto"/>
              <w:right w:val="single" w:sz="4" w:space="0" w:color="auto"/>
            </w:tcBorders>
            <w:shd w:val="clear" w:color="auto" w:fill="C45911" w:themeFill="accent2" w:themeFillShade="BF"/>
          </w:tcPr>
          <w:p w14:paraId="0678DEED" w14:textId="77777777" w:rsidR="00835192" w:rsidRPr="00FF756A" w:rsidRDefault="00835192" w:rsidP="00835192">
            <w:pPr>
              <w:spacing w:before="20" w:after="20"/>
              <w:jc w:val="right"/>
              <w:rPr>
                <w:b/>
                <w:bCs/>
                <w:sz w:val="20"/>
                <w:szCs w:val="20"/>
              </w:rPr>
            </w:pPr>
            <w:r w:rsidRPr="00FF756A">
              <w:rPr>
                <w:b/>
                <w:bCs/>
                <w:sz w:val="20"/>
                <w:szCs w:val="20"/>
              </w:rPr>
              <w:t>Dimensioni i energjisë</w:t>
            </w:r>
          </w:p>
        </w:tc>
        <w:tc>
          <w:tcPr>
            <w:tcW w:w="4563" w:type="dxa"/>
            <w:gridSpan w:val="2"/>
            <w:tcBorders>
              <w:left w:val="single" w:sz="4" w:space="0" w:color="auto"/>
              <w:bottom w:val="single" w:sz="4" w:space="0" w:color="auto"/>
            </w:tcBorders>
            <w:shd w:val="clear" w:color="auto" w:fill="C45911" w:themeFill="accent2" w:themeFillShade="BF"/>
          </w:tcPr>
          <w:p w14:paraId="660CE8BC" w14:textId="77777777" w:rsidR="00835192" w:rsidRPr="00FF756A" w:rsidRDefault="00835192" w:rsidP="00835192">
            <w:pPr>
              <w:spacing w:before="20" w:after="20"/>
              <w:rPr>
                <w:i/>
                <w:iCs/>
                <w:sz w:val="20"/>
                <w:szCs w:val="20"/>
              </w:rPr>
            </w:pPr>
            <w:r w:rsidRPr="00FF756A">
              <w:rPr>
                <w:i/>
                <w:iCs/>
                <w:sz w:val="20"/>
                <w:szCs w:val="20"/>
              </w:rPr>
              <w:t>5. Kërkimi, inovacioni dhe konkurrenca</w:t>
            </w:r>
          </w:p>
        </w:tc>
      </w:tr>
      <w:tr w:rsidR="00835192" w:rsidRPr="00FF756A" w14:paraId="3D78B2B1" w14:textId="77777777" w:rsidTr="004A3257">
        <w:trPr>
          <w:trHeight w:val="20"/>
        </w:trPr>
        <w:tc>
          <w:tcPr>
            <w:tcW w:w="4079" w:type="dxa"/>
            <w:gridSpan w:val="3"/>
            <w:tcBorders>
              <w:top w:val="single" w:sz="4" w:space="0" w:color="auto"/>
              <w:left w:val="single" w:sz="4" w:space="0" w:color="auto"/>
              <w:bottom w:val="single" w:sz="4" w:space="0" w:color="auto"/>
              <w:right w:val="single" w:sz="4" w:space="0" w:color="auto"/>
            </w:tcBorders>
            <w:shd w:val="clear" w:color="auto" w:fill="C45911" w:themeFill="accent2" w:themeFillShade="BF"/>
          </w:tcPr>
          <w:p w14:paraId="542CAE00" w14:textId="77777777" w:rsidR="00835192" w:rsidRPr="00FF756A" w:rsidRDefault="00835192" w:rsidP="00835192">
            <w:pPr>
              <w:spacing w:before="20" w:after="20"/>
              <w:jc w:val="right"/>
              <w:rPr>
                <w:b/>
                <w:bCs/>
                <w:sz w:val="20"/>
                <w:szCs w:val="20"/>
              </w:rPr>
            </w:pPr>
            <w:r w:rsidRPr="00FF756A">
              <w:rPr>
                <w:b/>
                <w:bCs/>
                <w:sz w:val="20"/>
                <w:szCs w:val="20"/>
              </w:rPr>
              <w:t>Sektori</w:t>
            </w:r>
          </w:p>
        </w:tc>
        <w:tc>
          <w:tcPr>
            <w:tcW w:w="4993" w:type="dxa"/>
            <w:gridSpan w:val="3"/>
            <w:tcBorders>
              <w:top w:val="single" w:sz="4" w:space="0" w:color="auto"/>
              <w:left w:val="single" w:sz="4" w:space="0" w:color="auto"/>
              <w:bottom w:val="single" w:sz="4" w:space="0" w:color="auto"/>
              <w:right w:val="single" w:sz="4" w:space="0" w:color="auto"/>
            </w:tcBorders>
            <w:shd w:val="clear" w:color="auto" w:fill="C45911" w:themeFill="accent2" w:themeFillShade="BF"/>
          </w:tcPr>
          <w:p w14:paraId="511C15AF" w14:textId="77777777" w:rsidR="00835192" w:rsidRPr="00FF756A" w:rsidRDefault="00835192" w:rsidP="00835192">
            <w:pPr>
              <w:spacing w:before="20" w:after="20"/>
              <w:rPr>
                <w:i/>
                <w:iCs/>
                <w:sz w:val="20"/>
                <w:szCs w:val="20"/>
              </w:rPr>
            </w:pPr>
          </w:p>
        </w:tc>
      </w:tr>
      <w:tr w:rsidR="00835192" w:rsidRPr="00FF756A" w14:paraId="7377B028" w14:textId="77777777" w:rsidTr="004A3257">
        <w:trPr>
          <w:trHeight w:val="20"/>
        </w:trPr>
        <w:tc>
          <w:tcPr>
            <w:tcW w:w="3478" w:type="dxa"/>
            <w:gridSpan w:val="2"/>
            <w:tcBorders>
              <w:top w:val="single" w:sz="4" w:space="0" w:color="auto"/>
              <w:left w:val="single" w:sz="4" w:space="0" w:color="auto"/>
              <w:bottom w:val="single" w:sz="4" w:space="0" w:color="auto"/>
              <w:right w:val="single" w:sz="4" w:space="0" w:color="auto"/>
            </w:tcBorders>
          </w:tcPr>
          <w:p w14:paraId="5A6BFB27" w14:textId="77777777" w:rsidR="00835192" w:rsidRPr="00FF756A" w:rsidRDefault="00835192" w:rsidP="00835192">
            <w:pPr>
              <w:spacing w:before="20" w:after="20"/>
              <w:jc w:val="right"/>
              <w:rPr>
                <w:b/>
                <w:bCs/>
                <w:sz w:val="20"/>
                <w:szCs w:val="20"/>
              </w:rPr>
            </w:pPr>
            <w:r w:rsidRPr="00FF756A">
              <w:rPr>
                <w:b/>
                <w:bCs/>
                <w:sz w:val="20"/>
                <w:szCs w:val="20"/>
              </w:rPr>
              <w:t>Skenari i modelimit i marrë në konsideratë</w:t>
            </w:r>
          </w:p>
          <w:p w14:paraId="7B8EF29D" w14:textId="77777777" w:rsidR="00835192" w:rsidRPr="00FF756A" w:rsidRDefault="00835192" w:rsidP="00835192">
            <w:pPr>
              <w:spacing w:before="20" w:after="20"/>
              <w:jc w:val="right"/>
              <w:rPr>
                <w:b/>
                <w:bCs/>
                <w:sz w:val="20"/>
                <w:szCs w:val="20"/>
              </w:rPr>
            </w:pPr>
            <w:r w:rsidRPr="00FF756A">
              <w:rPr>
                <w:b/>
                <w:bCs/>
                <w:sz w:val="20"/>
                <w:szCs w:val="20"/>
              </w:rPr>
              <w:t>Lloj i instrumentit</w:t>
            </w:r>
          </w:p>
        </w:tc>
        <w:tc>
          <w:tcPr>
            <w:tcW w:w="5594" w:type="dxa"/>
            <w:gridSpan w:val="4"/>
            <w:tcBorders>
              <w:top w:val="single" w:sz="4" w:space="0" w:color="auto"/>
              <w:left w:val="single" w:sz="4" w:space="0" w:color="auto"/>
              <w:bottom w:val="single" w:sz="4" w:space="0" w:color="auto"/>
              <w:right w:val="single" w:sz="4" w:space="0" w:color="auto"/>
            </w:tcBorders>
          </w:tcPr>
          <w:p w14:paraId="35FE5D02" w14:textId="77777777" w:rsidR="00835192" w:rsidRPr="00FF756A" w:rsidRDefault="00835192" w:rsidP="00835192">
            <w:pPr>
              <w:spacing w:before="20" w:after="20"/>
              <w:rPr>
                <w:i/>
                <w:iCs/>
                <w:sz w:val="20"/>
                <w:szCs w:val="20"/>
              </w:rPr>
            </w:pPr>
            <w:r w:rsidRPr="00FF756A">
              <w:rPr>
                <w:i/>
                <w:iCs/>
                <w:sz w:val="20"/>
                <w:szCs w:val="20"/>
              </w:rPr>
              <w:t>WAM</w:t>
            </w:r>
          </w:p>
          <w:p w14:paraId="7A42E5D2" w14:textId="77777777" w:rsidR="00835192" w:rsidRPr="00FF756A" w:rsidRDefault="00835192" w:rsidP="00835192">
            <w:pPr>
              <w:spacing w:before="20" w:after="20"/>
              <w:rPr>
                <w:i/>
                <w:iCs/>
                <w:sz w:val="20"/>
                <w:szCs w:val="20"/>
              </w:rPr>
            </w:pPr>
            <w:r w:rsidRPr="00FF756A">
              <w:rPr>
                <w:i/>
                <w:iCs/>
                <w:sz w:val="20"/>
                <w:szCs w:val="20"/>
              </w:rPr>
              <w:t xml:space="preserve">Financiar  </w:t>
            </w:r>
          </w:p>
        </w:tc>
      </w:tr>
      <w:tr w:rsidR="00835192" w:rsidRPr="00FF756A" w14:paraId="0419F988" w14:textId="77777777" w:rsidTr="004A3257">
        <w:trPr>
          <w:trHeight w:val="20"/>
        </w:trPr>
        <w:tc>
          <w:tcPr>
            <w:tcW w:w="2196" w:type="dxa"/>
            <w:tcBorders>
              <w:top w:val="single" w:sz="4" w:space="0" w:color="auto"/>
              <w:left w:val="single" w:sz="4" w:space="0" w:color="auto"/>
              <w:bottom w:val="single" w:sz="4" w:space="0" w:color="auto"/>
              <w:right w:val="single" w:sz="4" w:space="0" w:color="auto"/>
            </w:tcBorders>
          </w:tcPr>
          <w:p w14:paraId="51ADECEF" w14:textId="77777777" w:rsidR="00835192" w:rsidRPr="00FF756A" w:rsidRDefault="00835192" w:rsidP="00835192">
            <w:pPr>
              <w:spacing w:before="20" w:after="20"/>
              <w:jc w:val="right"/>
              <w:rPr>
                <w:b/>
                <w:bCs/>
                <w:sz w:val="20"/>
                <w:szCs w:val="20"/>
              </w:rPr>
            </w:pPr>
            <w:r w:rsidRPr="00FF756A">
              <w:rPr>
                <w:b/>
                <w:bCs/>
                <w:sz w:val="20"/>
                <w:szCs w:val="20"/>
              </w:rPr>
              <w:t>Titulli i PM</w:t>
            </w:r>
          </w:p>
          <w:p w14:paraId="18677726" w14:textId="77777777" w:rsidR="00835192" w:rsidRPr="00FF756A" w:rsidRDefault="00835192" w:rsidP="00835192">
            <w:pPr>
              <w:spacing w:before="20" w:after="20"/>
              <w:jc w:val="right"/>
              <w:rPr>
                <w:b/>
                <w:bCs/>
                <w:sz w:val="20"/>
                <w:szCs w:val="20"/>
              </w:rPr>
            </w:pPr>
            <w:r w:rsidRPr="00FF756A">
              <w:rPr>
                <w:b/>
                <w:bCs/>
                <w:sz w:val="20"/>
                <w:szCs w:val="20"/>
              </w:rPr>
              <w:t>(kodi)</w:t>
            </w:r>
          </w:p>
        </w:tc>
        <w:tc>
          <w:tcPr>
            <w:tcW w:w="6876" w:type="dxa"/>
            <w:gridSpan w:val="5"/>
            <w:tcBorders>
              <w:top w:val="single" w:sz="4" w:space="0" w:color="auto"/>
              <w:left w:val="single" w:sz="4" w:space="0" w:color="auto"/>
              <w:bottom w:val="single" w:sz="4" w:space="0" w:color="auto"/>
              <w:right w:val="single" w:sz="4" w:space="0" w:color="auto"/>
            </w:tcBorders>
          </w:tcPr>
          <w:p w14:paraId="5452BCFA" w14:textId="77777777" w:rsidR="00835192" w:rsidRPr="00FF756A" w:rsidRDefault="00835192" w:rsidP="00835192">
            <w:pPr>
              <w:spacing w:before="20" w:after="20" w:line="240" w:lineRule="auto"/>
              <w:rPr>
                <w:i/>
                <w:iCs/>
                <w:sz w:val="20"/>
                <w:szCs w:val="20"/>
              </w:rPr>
            </w:pPr>
            <w:r w:rsidRPr="00FF756A">
              <w:rPr>
                <w:i/>
                <w:iCs/>
                <w:sz w:val="20"/>
                <w:szCs w:val="20"/>
              </w:rPr>
              <w:t xml:space="preserve">Demonstrimi i inovacionit dhe konkurrencës </w:t>
            </w:r>
          </w:p>
          <w:p w14:paraId="0528AA4D" w14:textId="77777777" w:rsidR="00835192" w:rsidRPr="00FF756A" w:rsidRDefault="00835192" w:rsidP="00835192">
            <w:pPr>
              <w:spacing w:before="20" w:after="20" w:line="240" w:lineRule="auto"/>
              <w:rPr>
                <w:i/>
                <w:iCs/>
                <w:sz w:val="20"/>
                <w:szCs w:val="20"/>
              </w:rPr>
            </w:pPr>
            <w:r w:rsidRPr="00FF756A">
              <w:rPr>
                <w:i/>
                <w:iCs/>
                <w:sz w:val="20"/>
                <w:szCs w:val="20"/>
              </w:rPr>
              <w:t>(RIC-E4)</w:t>
            </w:r>
          </w:p>
        </w:tc>
      </w:tr>
      <w:tr w:rsidR="00835192" w:rsidRPr="00FF756A" w14:paraId="257D50FB" w14:textId="77777777" w:rsidTr="004A3257">
        <w:trPr>
          <w:trHeight w:val="20"/>
        </w:trPr>
        <w:tc>
          <w:tcPr>
            <w:tcW w:w="2196" w:type="dxa"/>
            <w:tcBorders>
              <w:top w:val="single" w:sz="4" w:space="0" w:color="auto"/>
              <w:left w:val="single" w:sz="4" w:space="0" w:color="auto"/>
              <w:bottom w:val="single" w:sz="4" w:space="0" w:color="auto"/>
              <w:right w:val="single" w:sz="4" w:space="0" w:color="auto"/>
            </w:tcBorders>
          </w:tcPr>
          <w:p w14:paraId="73869AAA" w14:textId="77777777" w:rsidR="00835192" w:rsidRPr="00FF756A" w:rsidRDefault="00835192" w:rsidP="00835192">
            <w:pPr>
              <w:spacing w:before="20" w:after="20"/>
              <w:jc w:val="right"/>
              <w:rPr>
                <w:sz w:val="20"/>
                <w:szCs w:val="20"/>
              </w:rPr>
            </w:pPr>
            <w:r w:rsidRPr="00FF756A">
              <w:rPr>
                <w:b/>
                <w:bCs/>
                <w:sz w:val="20"/>
                <w:szCs w:val="20"/>
              </w:rPr>
              <w:t>Afati kohor</w:t>
            </w:r>
          </w:p>
        </w:tc>
        <w:tc>
          <w:tcPr>
            <w:tcW w:w="6876" w:type="dxa"/>
            <w:gridSpan w:val="5"/>
            <w:tcBorders>
              <w:top w:val="single" w:sz="4" w:space="0" w:color="auto"/>
              <w:left w:val="single" w:sz="4" w:space="0" w:color="auto"/>
              <w:bottom w:val="single" w:sz="4" w:space="0" w:color="auto"/>
              <w:right w:val="single" w:sz="4" w:space="0" w:color="auto"/>
            </w:tcBorders>
          </w:tcPr>
          <w:p w14:paraId="0DE857CF" w14:textId="77777777" w:rsidR="00835192" w:rsidRPr="00FF756A" w:rsidRDefault="00835192" w:rsidP="00835192">
            <w:pPr>
              <w:spacing w:before="20" w:after="20" w:line="240" w:lineRule="auto"/>
              <w:rPr>
                <w:i/>
                <w:iCs/>
                <w:sz w:val="20"/>
                <w:szCs w:val="20"/>
              </w:rPr>
            </w:pPr>
            <w:r w:rsidRPr="00FF756A">
              <w:rPr>
                <w:i/>
                <w:iCs/>
                <w:sz w:val="20"/>
                <w:szCs w:val="20"/>
              </w:rPr>
              <w:t>2021-2030</w:t>
            </w:r>
          </w:p>
        </w:tc>
      </w:tr>
      <w:tr w:rsidR="00835192" w:rsidRPr="00FF756A" w14:paraId="17DABEAF" w14:textId="77777777" w:rsidTr="004A3257">
        <w:trPr>
          <w:trHeight w:val="20"/>
        </w:trPr>
        <w:tc>
          <w:tcPr>
            <w:tcW w:w="2196" w:type="dxa"/>
            <w:tcBorders>
              <w:top w:val="single" w:sz="4" w:space="0" w:color="auto"/>
              <w:left w:val="single" w:sz="4" w:space="0" w:color="auto"/>
              <w:bottom w:val="single" w:sz="4" w:space="0" w:color="auto"/>
              <w:right w:val="single" w:sz="4" w:space="0" w:color="auto"/>
            </w:tcBorders>
          </w:tcPr>
          <w:p w14:paraId="53986A2D" w14:textId="77777777" w:rsidR="00835192" w:rsidRPr="00FF756A" w:rsidRDefault="00835192" w:rsidP="00835192">
            <w:pPr>
              <w:spacing w:before="20" w:after="20"/>
              <w:jc w:val="right"/>
              <w:rPr>
                <w:b/>
                <w:bCs/>
                <w:sz w:val="20"/>
                <w:szCs w:val="20"/>
              </w:rPr>
            </w:pPr>
            <w:r w:rsidRPr="00FF756A">
              <w:rPr>
                <w:b/>
                <w:bCs/>
                <w:sz w:val="20"/>
                <w:szCs w:val="20"/>
              </w:rPr>
              <w:t>Baza ligjore dhe dokumentet e planifikimit</w:t>
            </w:r>
          </w:p>
        </w:tc>
        <w:tc>
          <w:tcPr>
            <w:tcW w:w="6876" w:type="dxa"/>
            <w:gridSpan w:val="5"/>
            <w:tcBorders>
              <w:top w:val="single" w:sz="4" w:space="0" w:color="auto"/>
              <w:left w:val="single" w:sz="4" w:space="0" w:color="auto"/>
              <w:bottom w:val="single" w:sz="4" w:space="0" w:color="auto"/>
              <w:right w:val="single" w:sz="4" w:space="0" w:color="auto"/>
            </w:tcBorders>
          </w:tcPr>
          <w:p w14:paraId="192E14A5" w14:textId="77777777" w:rsidR="00835192" w:rsidRPr="00FF756A" w:rsidRDefault="00835192" w:rsidP="00835192">
            <w:pPr>
              <w:spacing w:before="20" w:after="20" w:line="240" w:lineRule="auto"/>
              <w:rPr>
                <w:i/>
                <w:iCs/>
                <w:sz w:val="20"/>
                <w:szCs w:val="20"/>
              </w:rPr>
            </w:pPr>
            <w:r w:rsidRPr="00FF756A">
              <w:rPr>
                <w:i/>
                <w:iCs/>
                <w:sz w:val="20"/>
                <w:szCs w:val="20"/>
              </w:rPr>
              <w:t>Strategjia e Specializimit Inteligjent në Shqipëri (koncept politik për vendosjen e prioriteteve, sipas së cilës një rajon mund të përfitojë nga specializimi në një fushë të caktuar të shkencës dhe teknologjisë)</w:t>
            </w:r>
          </w:p>
        </w:tc>
      </w:tr>
      <w:tr w:rsidR="00835192" w:rsidRPr="00FF756A" w14:paraId="2F02BE95" w14:textId="77777777" w:rsidTr="004A3257">
        <w:trPr>
          <w:trHeight w:val="20"/>
        </w:trPr>
        <w:tc>
          <w:tcPr>
            <w:tcW w:w="2196" w:type="dxa"/>
            <w:tcBorders>
              <w:top w:val="single" w:sz="4" w:space="0" w:color="auto"/>
              <w:left w:val="single" w:sz="4" w:space="0" w:color="auto"/>
              <w:bottom w:val="single" w:sz="4" w:space="0" w:color="auto"/>
              <w:right w:val="single" w:sz="4" w:space="0" w:color="auto"/>
            </w:tcBorders>
          </w:tcPr>
          <w:p w14:paraId="3DD1F0A7" w14:textId="77777777" w:rsidR="00835192" w:rsidRPr="00FF756A" w:rsidRDefault="00835192" w:rsidP="00835192">
            <w:pPr>
              <w:spacing w:before="20" w:after="20"/>
              <w:jc w:val="right"/>
              <w:rPr>
                <w:b/>
                <w:bCs/>
                <w:sz w:val="20"/>
                <w:szCs w:val="20"/>
              </w:rPr>
            </w:pPr>
            <w:r w:rsidRPr="00FF756A">
              <w:rPr>
                <w:b/>
                <w:bCs/>
                <w:sz w:val="20"/>
                <w:szCs w:val="20"/>
              </w:rPr>
              <w:t>Masat e marra deri më tani</w:t>
            </w:r>
          </w:p>
        </w:tc>
        <w:tc>
          <w:tcPr>
            <w:tcW w:w="6876" w:type="dxa"/>
            <w:gridSpan w:val="5"/>
            <w:tcBorders>
              <w:top w:val="single" w:sz="4" w:space="0" w:color="auto"/>
              <w:left w:val="single" w:sz="4" w:space="0" w:color="auto"/>
              <w:bottom w:val="single" w:sz="4" w:space="0" w:color="auto"/>
              <w:right w:val="single" w:sz="4" w:space="0" w:color="auto"/>
            </w:tcBorders>
          </w:tcPr>
          <w:p w14:paraId="3A0A0F89" w14:textId="77777777" w:rsidR="00835192" w:rsidRPr="00FF756A" w:rsidRDefault="00835192" w:rsidP="00835192">
            <w:pPr>
              <w:spacing w:before="20" w:after="20" w:line="240" w:lineRule="auto"/>
              <w:rPr>
                <w:i/>
                <w:iCs/>
                <w:sz w:val="20"/>
                <w:szCs w:val="20"/>
              </w:rPr>
            </w:pPr>
            <w:r w:rsidRPr="00FF756A">
              <w:rPr>
                <w:i/>
                <w:iCs/>
                <w:sz w:val="20"/>
                <w:szCs w:val="20"/>
              </w:rPr>
              <w:t xml:space="preserve">Inicimi i Strategjisë së Specializimit Inteligjent, me mbështetjen e institutit Fraunhofer ISI. Identifikimi i fushave me përparësi për Shqipërinë që janë me rëndësi për PKEK-në: Uji dhe energjia, bujqësia, ushqimi dhe bioteknologjia, biodiversiteti dhe mjedisi, teknologjia e informacionit dhe komunikimit (TIK). </w:t>
            </w:r>
          </w:p>
        </w:tc>
      </w:tr>
      <w:tr w:rsidR="00835192" w:rsidRPr="00FF756A" w14:paraId="09F74F93" w14:textId="77777777" w:rsidTr="004A3257">
        <w:trPr>
          <w:trHeight w:val="20"/>
        </w:trPr>
        <w:tc>
          <w:tcPr>
            <w:tcW w:w="2196" w:type="dxa"/>
            <w:tcBorders>
              <w:top w:val="single" w:sz="4" w:space="0" w:color="auto"/>
              <w:left w:val="single" w:sz="4" w:space="0" w:color="auto"/>
              <w:bottom w:val="single" w:sz="4" w:space="0" w:color="auto"/>
              <w:right w:val="single" w:sz="4" w:space="0" w:color="auto"/>
            </w:tcBorders>
          </w:tcPr>
          <w:p w14:paraId="17561C5E" w14:textId="77777777" w:rsidR="00835192" w:rsidRPr="00FF756A" w:rsidRDefault="00835192" w:rsidP="00835192">
            <w:pPr>
              <w:spacing w:before="20" w:after="20"/>
              <w:jc w:val="right"/>
              <w:rPr>
                <w:b/>
                <w:bCs/>
                <w:sz w:val="20"/>
                <w:szCs w:val="20"/>
              </w:rPr>
            </w:pPr>
            <w:r w:rsidRPr="00FF756A">
              <w:rPr>
                <w:b/>
                <w:bCs/>
                <w:sz w:val="20"/>
                <w:szCs w:val="20"/>
              </w:rPr>
              <w:t>Objektivi kryesor i PM</w:t>
            </w:r>
          </w:p>
        </w:tc>
        <w:tc>
          <w:tcPr>
            <w:tcW w:w="6876" w:type="dxa"/>
            <w:gridSpan w:val="5"/>
            <w:tcBorders>
              <w:top w:val="single" w:sz="4" w:space="0" w:color="auto"/>
              <w:left w:val="single" w:sz="4" w:space="0" w:color="auto"/>
              <w:bottom w:val="single" w:sz="4" w:space="0" w:color="auto"/>
              <w:right w:val="single" w:sz="4" w:space="0" w:color="auto"/>
            </w:tcBorders>
          </w:tcPr>
          <w:p w14:paraId="5D8B0B80" w14:textId="77777777" w:rsidR="00835192" w:rsidRPr="00FF756A" w:rsidRDefault="00835192" w:rsidP="00835192">
            <w:pPr>
              <w:spacing w:before="20" w:after="20" w:line="240" w:lineRule="auto"/>
              <w:rPr>
                <w:i/>
                <w:iCs/>
                <w:sz w:val="20"/>
                <w:szCs w:val="20"/>
              </w:rPr>
            </w:pPr>
            <w:r w:rsidRPr="00FF756A">
              <w:rPr>
                <w:i/>
                <w:iCs/>
                <w:sz w:val="20"/>
                <w:szCs w:val="20"/>
              </w:rPr>
              <w:t xml:space="preserve">Objektivi i përgjithshëm: Arritja e zhvillimit dhe punësimit, duke u mundësuar qarqeve të Shqipërisë që të identifikojnë dhe zhvillojnë avantazhet e tyre konkurruese specifike në fushën e Ujit dhe Energjisë, ushqimit dhe bioteknologjisë, biodiversitetit dhe mjedisit, TIK-ut. </w:t>
            </w:r>
          </w:p>
          <w:p w14:paraId="3A452709" w14:textId="77777777" w:rsidR="00835192" w:rsidRPr="00FF756A" w:rsidRDefault="00835192" w:rsidP="00835192">
            <w:pPr>
              <w:spacing w:before="20" w:after="20" w:line="240" w:lineRule="auto"/>
              <w:rPr>
                <w:i/>
                <w:iCs/>
                <w:sz w:val="20"/>
                <w:szCs w:val="20"/>
              </w:rPr>
            </w:pPr>
            <w:r w:rsidRPr="00FF756A">
              <w:rPr>
                <w:i/>
                <w:iCs/>
                <w:sz w:val="20"/>
                <w:szCs w:val="20"/>
              </w:rPr>
              <w:t>Objektivi specifik: Demonstrimi i mënyrës sesi autoritetet vendore, universitetet, bizneset dhe shoqëria civile e një qarku të caktuar punojnë bashkërisht për të zhvilluar avantazhin e tyre konkurrues specifik në një fushë me përparësi, si dhe përfitimet që sjell kjo gjë.</w:t>
            </w:r>
          </w:p>
        </w:tc>
      </w:tr>
      <w:tr w:rsidR="00835192" w:rsidRPr="00FF756A" w14:paraId="3351A632" w14:textId="77777777" w:rsidTr="004A3257">
        <w:trPr>
          <w:trHeight w:val="20"/>
        </w:trPr>
        <w:tc>
          <w:tcPr>
            <w:tcW w:w="2196" w:type="dxa"/>
            <w:tcBorders>
              <w:top w:val="single" w:sz="4" w:space="0" w:color="auto"/>
              <w:left w:val="single" w:sz="4" w:space="0" w:color="auto"/>
              <w:bottom w:val="single" w:sz="4" w:space="0" w:color="auto"/>
              <w:right w:val="single" w:sz="4" w:space="0" w:color="auto"/>
            </w:tcBorders>
          </w:tcPr>
          <w:p w14:paraId="6FB482EE" w14:textId="77777777" w:rsidR="00835192" w:rsidRPr="00FF756A" w:rsidRDefault="00835192" w:rsidP="00835192">
            <w:pPr>
              <w:spacing w:before="20" w:after="20"/>
              <w:jc w:val="right"/>
              <w:rPr>
                <w:b/>
                <w:bCs/>
                <w:sz w:val="20"/>
                <w:szCs w:val="20"/>
              </w:rPr>
            </w:pPr>
            <w:r w:rsidRPr="00FF756A">
              <w:rPr>
                <w:b/>
                <w:bCs/>
                <w:sz w:val="20"/>
                <w:szCs w:val="20"/>
              </w:rPr>
              <w:t>Rezultatet për t'u arritur</w:t>
            </w:r>
          </w:p>
          <w:p w14:paraId="7B0FDE11" w14:textId="77777777" w:rsidR="00835192" w:rsidRPr="00FF756A" w:rsidRDefault="00835192" w:rsidP="00835192">
            <w:pPr>
              <w:spacing w:before="20" w:after="20"/>
              <w:jc w:val="right"/>
              <w:rPr>
                <w:b/>
                <w:bCs/>
                <w:sz w:val="20"/>
                <w:szCs w:val="20"/>
              </w:rPr>
            </w:pPr>
          </w:p>
        </w:tc>
        <w:tc>
          <w:tcPr>
            <w:tcW w:w="6876" w:type="dxa"/>
            <w:gridSpan w:val="5"/>
            <w:tcBorders>
              <w:top w:val="single" w:sz="4" w:space="0" w:color="auto"/>
              <w:left w:val="single" w:sz="4" w:space="0" w:color="auto"/>
              <w:bottom w:val="single" w:sz="4" w:space="0" w:color="auto"/>
              <w:right w:val="single" w:sz="4" w:space="0" w:color="auto"/>
            </w:tcBorders>
          </w:tcPr>
          <w:p w14:paraId="2AC72AE3" w14:textId="77777777" w:rsidR="00835192" w:rsidRPr="00FF756A" w:rsidRDefault="00835192" w:rsidP="004A3257">
            <w:pPr>
              <w:spacing w:before="20" w:after="20" w:line="240" w:lineRule="auto"/>
              <w:rPr>
                <w:i/>
                <w:iCs/>
                <w:sz w:val="20"/>
                <w:szCs w:val="20"/>
              </w:rPr>
            </w:pPr>
            <w:r w:rsidRPr="00FF756A">
              <w:rPr>
                <w:i/>
                <w:iCs/>
                <w:sz w:val="20"/>
                <w:szCs w:val="20"/>
              </w:rPr>
              <w:t>Sipas një qasjeje nga poshtë-lart, autoritetet vendore, universitetet, bizneset dhe shoqëria civile punojnë së bashku për të zbatuar strategji afatgjata të zhvillimit.</w:t>
            </w:r>
          </w:p>
          <w:p w14:paraId="35C511EB" w14:textId="77777777" w:rsidR="00835192" w:rsidRPr="00FF756A" w:rsidRDefault="00835192" w:rsidP="008639B2">
            <w:pPr>
              <w:numPr>
                <w:ilvl w:val="1"/>
                <w:numId w:val="71"/>
              </w:numPr>
              <w:spacing w:before="20" w:after="20" w:line="240" w:lineRule="auto"/>
              <w:rPr>
                <w:i/>
                <w:iCs/>
                <w:sz w:val="20"/>
                <w:szCs w:val="20"/>
              </w:rPr>
            </w:pPr>
            <w:r w:rsidRPr="00FF756A">
              <w:rPr>
                <w:i/>
                <w:iCs/>
                <w:sz w:val="20"/>
                <w:szCs w:val="20"/>
              </w:rPr>
              <w:t>Vlerësimi i nevojave: Identifikimi i qarkut dhe fusha kryesore e ndërhyrjes</w:t>
            </w:r>
          </w:p>
          <w:p w14:paraId="644D3AD6" w14:textId="77777777" w:rsidR="00835192" w:rsidRPr="00FF756A" w:rsidRDefault="00835192" w:rsidP="008639B2">
            <w:pPr>
              <w:numPr>
                <w:ilvl w:val="1"/>
                <w:numId w:val="71"/>
              </w:numPr>
              <w:spacing w:before="20" w:after="20" w:line="240" w:lineRule="auto"/>
              <w:rPr>
                <w:i/>
                <w:iCs/>
                <w:sz w:val="20"/>
                <w:szCs w:val="20"/>
              </w:rPr>
            </w:pPr>
            <w:r w:rsidRPr="00FF756A">
              <w:rPr>
                <w:i/>
                <w:iCs/>
                <w:sz w:val="20"/>
                <w:szCs w:val="20"/>
              </w:rPr>
              <w:t xml:space="preserve">Studimi i fizibilitetit: ToR, Prokurimi, Zbatimi </w:t>
            </w:r>
          </w:p>
          <w:p w14:paraId="01D7151D" w14:textId="77777777" w:rsidR="00835192" w:rsidRPr="00FF756A" w:rsidRDefault="00835192" w:rsidP="008639B2">
            <w:pPr>
              <w:numPr>
                <w:ilvl w:val="1"/>
                <w:numId w:val="71"/>
              </w:numPr>
              <w:spacing w:before="20" w:after="20" w:line="240" w:lineRule="auto"/>
              <w:rPr>
                <w:i/>
                <w:iCs/>
                <w:sz w:val="20"/>
                <w:szCs w:val="20"/>
              </w:rPr>
            </w:pPr>
            <w:r w:rsidRPr="00FF756A">
              <w:rPr>
                <w:i/>
                <w:iCs/>
                <w:sz w:val="20"/>
                <w:szCs w:val="20"/>
              </w:rPr>
              <w:t>Zbatimi i projektit demonstrues</w:t>
            </w:r>
          </w:p>
        </w:tc>
      </w:tr>
      <w:tr w:rsidR="00835192" w:rsidRPr="00FF756A" w14:paraId="047055C5" w14:textId="77777777" w:rsidTr="004A3257">
        <w:trPr>
          <w:trHeight w:val="20"/>
        </w:trPr>
        <w:tc>
          <w:tcPr>
            <w:tcW w:w="2196" w:type="dxa"/>
            <w:tcBorders>
              <w:top w:val="single" w:sz="4" w:space="0" w:color="auto"/>
              <w:left w:val="single" w:sz="4" w:space="0" w:color="auto"/>
              <w:bottom w:val="single" w:sz="4" w:space="0" w:color="auto"/>
              <w:right w:val="single" w:sz="4" w:space="0" w:color="auto"/>
            </w:tcBorders>
          </w:tcPr>
          <w:p w14:paraId="5E618988" w14:textId="77777777" w:rsidR="00835192" w:rsidRPr="00FF756A" w:rsidRDefault="00835192" w:rsidP="00835192">
            <w:pPr>
              <w:spacing w:before="20" w:after="20"/>
              <w:jc w:val="right"/>
              <w:rPr>
                <w:b/>
                <w:bCs/>
                <w:sz w:val="20"/>
                <w:szCs w:val="20"/>
              </w:rPr>
            </w:pPr>
            <w:r w:rsidRPr="00FF756A">
              <w:rPr>
                <w:b/>
                <w:bCs/>
                <w:sz w:val="20"/>
                <w:szCs w:val="20"/>
              </w:rPr>
              <w:t>Masat që duhet të zbatohen</w:t>
            </w:r>
          </w:p>
        </w:tc>
        <w:tc>
          <w:tcPr>
            <w:tcW w:w="6026" w:type="dxa"/>
            <w:gridSpan w:val="4"/>
            <w:tcBorders>
              <w:top w:val="single" w:sz="4" w:space="0" w:color="auto"/>
              <w:left w:val="single" w:sz="4" w:space="0" w:color="auto"/>
              <w:bottom w:val="single" w:sz="4" w:space="0" w:color="auto"/>
              <w:right w:val="single" w:sz="4" w:space="0" w:color="auto"/>
            </w:tcBorders>
          </w:tcPr>
          <w:p w14:paraId="5EE60E2E"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 xml:space="preserve">Studim fizibiliteti për projektin demonstrues, i disponueshëm </w:t>
            </w:r>
          </w:p>
          <w:p w14:paraId="3ABAEA81"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 xml:space="preserve">Projekt demonstrues që përfshin ngritjen e infrastrukturës për inovacion dhe trajnim në qarqe (seminare të përbashkëta, laboratorë testimi, hapësira kreative, etj.) </w:t>
            </w:r>
          </w:p>
        </w:tc>
        <w:tc>
          <w:tcPr>
            <w:tcW w:w="850" w:type="dxa"/>
            <w:tcBorders>
              <w:top w:val="single" w:sz="4" w:space="0" w:color="auto"/>
              <w:left w:val="single" w:sz="4" w:space="0" w:color="auto"/>
              <w:bottom w:val="single" w:sz="4" w:space="0" w:color="auto"/>
              <w:right w:val="single" w:sz="4" w:space="0" w:color="auto"/>
            </w:tcBorders>
          </w:tcPr>
          <w:p w14:paraId="2FC33101" w14:textId="77777777" w:rsidR="00835192" w:rsidRPr="00FF756A" w:rsidRDefault="00835192" w:rsidP="00835192">
            <w:pPr>
              <w:spacing w:before="20" w:after="20" w:line="240" w:lineRule="auto"/>
              <w:rPr>
                <w:i/>
                <w:iCs/>
                <w:sz w:val="20"/>
                <w:szCs w:val="20"/>
              </w:rPr>
            </w:pPr>
            <w:r w:rsidRPr="00FF756A">
              <w:rPr>
                <w:i/>
                <w:iCs/>
                <w:sz w:val="20"/>
                <w:szCs w:val="20"/>
              </w:rPr>
              <w:t xml:space="preserve">brenda vitit 2026 </w:t>
            </w:r>
          </w:p>
          <w:p w14:paraId="6E3BBA8B" w14:textId="77777777" w:rsidR="00835192" w:rsidRPr="00FF756A" w:rsidRDefault="00835192" w:rsidP="00835192">
            <w:pPr>
              <w:spacing w:before="20" w:after="20" w:line="240" w:lineRule="auto"/>
              <w:rPr>
                <w:i/>
                <w:iCs/>
                <w:sz w:val="20"/>
                <w:szCs w:val="20"/>
              </w:rPr>
            </w:pPr>
            <w:r w:rsidRPr="00FF756A">
              <w:rPr>
                <w:i/>
                <w:iCs/>
                <w:sz w:val="20"/>
                <w:szCs w:val="20"/>
              </w:rPr>
              <w:t>brenda vitit 2030</w:t>
            </w:r>
          </w:p>
        </w:tc>
      </w:tr>
      <w:tr w:rsidR="00835192" w:rsidRPr="00FF756A" w14:paraId="1A985AA6" w14:textId="77777777" w:rsidTr="004A3257">
        <w:trPr>
          <w:trHeight w:val="20"/>
        </w:trPr>
        <w:tc>
          <w:tcPr>
            <w:tcW w:w="2196" w:type="dxa"/>
            <w:tcBorders>
              <w:top w:val="single" w:sz="4" w:space="0" w:color="auto"/>
              <w:left w:val="single" w:sz="4" w:space="0" w:color="auto"/>
              <w:bottom w:val="single" w:sz="4" w:space="0" w:color="auto"/>
              <w:right w:val="single" w:sz="4" w:space="0" w:color="auto"/>
            </w:tcBorders>
          </w:tcPr>
          <w:p w14:paraId="64971000" w14:textId="77777777" w:rsidR="00835192" w:rsidRPr="00FF756A" w:rsidRDefault="00835192" w:rsidP="00835192">
            <w:pPr>
              <w:spacing w:before="20" w:after="20"/>
              <w:jc w:val="right"/>
              <w:rPr>
                <w:b/>
                <w:bCs/>
                <w:sz w:val="20"/>
                <w:szCs w:val="20"/>
              </w:rPr>
            </w:pPr>
            <w:r w:rsidRPr="00FF756A">
              <w:rPr>
                <w:b/>
                <w:bCs/>
                <w:sz w:val="20"/>
                <w:szCs w:val="20"/>
              </w:rPr>
              <w:t>Buxheti (burimi i financimit)</w:t>
            </w:r>
          </w:p>
        </w:tc>
        <w:tc>
          <w:tcPr>
            <w:tcW w:w="6876" w:type="dxa"/>
            <w:gridSpan w:val="5"/>
            <w:tcBorders>
              <w:top w:val="single" w:sz="4" w:space="0" w:color="auto"/>
              <w:left w:val="single" w:sz="4" w:space="0" w:color="auto"/>
              <w:bottom w:val="single" w:sz="4" w:space="0" w:color="auto"/>
              <w:right w:val="single" w:sz="4" w:space="0" w:color="auto"/>
            </w:tcBorders>
          </w:tcPr>
          <w:p w14:paraId="124DBB00" w14:textId="77777777" w:rsidR="00835192" w:rsidRPr="00FF756A" w:rsidRDefault="00835192" w:rsidP="00835192">
            <w:pPr>
              <w:spacing w:before="20" w:after="20" w:line="240" w:lineRule="auto"/>
              <w:rPr>
                <w:i/>
                <w:iCs/>
                <w:sz w:val="20"/>
                <w:szCs w:val="20"/>
              </w:rPr>
            </w:pPr>
            <w:r w:rsidRPr="00FF756A">
              <w:rPr>
                <w:i/>
                <w:iCs/>
                <w:sz w:val="20"/>
                <w:szCs w:val="20"/>
              </w:rPr>
              <w:t>Studimi i fizibilitetit: kostoja e përllogaritur 150 000 euro; sugjerim për projekt të financuar nga donatorë.</w:t>
            </w:r>
          </w:p>
          <w:p w14:paraId="4B0BB129" w14:textId="77777777" w:rsidR="00835192" w:rsidRPr="00FF756A" w:rsidRDefault="00835192" w:rsidP="00835192">
            <w:pPr>
              <w:spacing w:before="20" w:after="20" w:line="240" w:lineRule="auto"/>
              <w:rPr>
                <w:i/>
                <w:iCs/>
                <w:sz w:val="20"/>
                <w:szCs w:val="20"/>
              </w:rPr>
            </w:pPr>
            <w:r w:rsidRPr="00FF756A">
              <w:rPr>
                <w:i/>
                <w:iCs/>
                <w:sz w:val="20"/>
                <w:szCs w:val="20"/>
              </w:rPr>
              <w:t xml:space="preserve">Kostoja dhe financimi i projektit demonstrues do të përcaktohet nga studimi i fizibilitetit. </w:t>
            </w:r>
          </w:p>
        </w:tc>
      </w:tr>
      <w:tr w:rsidR="00835192" w:rsidRPr="00FF756A" w14:paraId="5F291726" w14:textId="77777777" w:rsidTr="004A3257">
        <w:trPr>
          <w:trHeight w:val="2345"/>
        </w:trPr>
        <w:tc>
          <w:tcPr>
            <w:tcW w:w="2196" w:type="dxa"/>
            <w:tcBorders>
              <w:top w:val="single" w:sz="4" w:space="0" w:color="auto"/>
              <w:left w:val="single" w:sz="4" w:space="0" w:color="auto"/>
              <w:bottom w:val="single" w:sz="4" w:space="0" w:color="auto"/>
              <w:right w:val="single" w:sz="4" w:space="0" w:color="auto"/>
            </w:tcBorders>
          </w:tcPr>
          <w:p w14:paraId="61DA433B" w14:textId="77777777" w:rsidR="00835192" w:rsidRPr="00FF756A" w:rsidRDefault="00835192" w:rsidP="00835192">
            <w:pPr>
              <w:spacing w:before="20" w:after="20"/>
              <w:jc w:val="right"/>
              <w:rPr>
                <w:b/>
                <w:bCs/>
                <w:sz w:val="20"/>
                <w:szCs w:val="20"/>
              </w:rPr>
            </w:pPr>
            <w:r w:rsidRPr="00FF756A">
              <w:rPr>
                <w:b/>
                <w:bCs/>
                <w:sz w:val="20"/>
                <w:szCs w:val="20"/>
              </w:rPr>
              <w:t>Subjekti zbatues</w:t>
            </w:r>
          </w:p>
          <w:p w14:paraId="0D521FBB" w14:textId="77777777" w:rsidR="00835192" w:rsidRPr="00FF756A" w:rsidRDefault="00835192" w:rsidP="00835192">
            <w:pPr>
              <w:spacing w:before="20" w:after="20"/>
              <w:jc w:val="right"/>
              <w:rPr>
                <w:sz w:val="20"/>
                <w:szCs w:val="20"/>
              </w:rPr>
            </w:pPr>
            <w:r w:rsidRPr="00FF756A">
              <w:rPr>
                <w:b/>
                <w:bCs/>
                <w:sz w:val="20"/>
                <w:szCs w:val="20"/>
              </w:rPr>
              <w:t>(Subjekti monitorues)</w:t>
            </w:r>
          </w:p>
        </w:tc>
        <w:tc>
          <w:tcPr>
            <w:tcW w:w="6876" w:type="dxa"/>
            <w:gridSpan w:val="5"/>
            <w:tcBorders>
              <w:top w:val="single" w:sz="4" w:space="0" w:color="auto"/>
              <w:left w:val="single" w:sz="4" w:space="0" w:color="auto"/>
              <w:bottom w:val="single" w:sz="4" w:space="0" w:color="auto"/>
              <w:right w:val="single" w:sz="4" w:space="0" w:color="auto"/>
            </w:tcBorders>
          </w:tcPr>
          <w:p w14:paraId="2297EEA0" w14:textId="77777777" w:rsidR="00835192" w:rsidRPr="00FF756A" w:rsidRDefault="00835192" w:rsidP="004A3257">
            <w:pPr>
              <w:spacing w:before="0" w:after="0" w:line="240" w:lineRule="auto"/>
              <w:rPr>
                <w:rFonts w:eastAsia="Calibri Light"/>
                <w:b/>
                <w:bCs/>
                <w:sz w:val="20"/>
                <w:szCs w:val="20"/>
              </w:rPr>
            </w:pPr>
            <w:r w:rsidRPr="00FF756A">
              <w:rPr>
                <w:i/>
                <w:iCs/>
                <w:sz w:val="20"/>
                <w:szCs w:val="20"/>
              </w:rPr>
              <w:t>Ministria e Arsimit, Sportit dhe Rinisë, Ministria për Mbrojtjen e Sipërmarrjes, Ministria e Financave dhe Ekonomisë, Komuniteti i Biznesit</w:t>
            </w:r>
          </w:p>
          <w:p w14:paraId="5AFCD386" w14:textId="2B1B36D9" w:rsidR="00835192" w:rsidRPr="00FF756A" w:rsidRDefault="00835192" w:rsidP="004A3257">
            <w:pPr>
              <w:spacing w:before="0" w:after="0" w:line="240" w:lineRule="auto"/>
              <w:rPr>
                <w:i/>
                <w:iCs/>
                <w:sz w:val="20"/>
                <w:szCs w:val="20"/>
              </w:rPr>
            </w:pPr>
            <w:r w:rsidRPr="00FF756A">
              <w:rPr>
                <w:i/>
                <w:iCs/>
                <w:sz w:val="20"/>
                <w:szCs w:val="20"/>
              </w:rPr>
              <w:t>(Ministria e Arsimit, Sportit dhe Rinisë, Agjencia Kombëtare e Kërkimit Shkencor dhe Inovacionit)</w:t>
            </w:r>
          </w:p>
          <w:p w14:paraId="3A668405" w14:textId="1463490B" w:rsidR="008D719F" w:rsidRPr="00FF756A" w:rsidRDefault="00835192" w:rsidP="004A3257">
            <w:pPr>
              <w:pBdr>
                <w:bottom w:val="none" w:sz="4" w:space="31" w:color="000000"/>
              </w:pBdr>
              <w:spacing w:before="0" w:after="0" w:line="240" w:lineRule="auto"/>
              <w:rPr>
                <w:rFonts w:eastAsia="Calibri Light"/>
                <w:b/>
                <w:bCs/>
                <w:sz w:val="20"/>
                <w:szCs w:val="20"/>
              </w:rPr>
            </w:pPr>
            <w:r w:rsidRPr="00FF756A">
              <w:rPr>
                <w:sz w:val="20"/>
                <w:szCs w:val="20"/>
              </w:rPr>
              <w:t>MARS, Ministria për Mbrojtjen e Sipërmarrjes, Ministria e Financave dhe Ekonomisë, Komuniteti i Biznesit</w:t>
            </w:r>
          </w:p>
          <w:p w14:paraId="145B2F3C" w14:textId="25D4C41D" w:rsidR="008D719F" w:rsidRPr="00FF756A" w:rsidRDefault="00835192" w:rsidP="004A3257">
            <w:pPr>
              <w:pBdr>
                <w:bottom w:val="none" w:sz="4" w:space="31" w:color="000000"/>
              </w:pBdr>
              <w:spacing w:before="0" w:after="0" w:line="240" w:lineRule="auto"/>
              <w:rPr>
                <w:rFonts w:eastAsia="Calibri Light"/>
                <w:b/>
                <w:bCs/>
                <w:sz w:val="20"/>
                <w:szCs w:val="20"/>
              </w:rPr>
            </w:pPr>
            <w:r w:rsidRPr="00FF756A">
              <w:rPr>
                <w:sz w:val="20"/>
                <w:szCs w:val="20"/>
              </w:rPr>
              <w:t>MARS, Ministria për Mbrojtjen e Sipërmarrjes, Ministria e Financave dhe Ekonomisë, Komuniteti i Biznesit</w:t>
            </w:r>
          </w:p>
          <w:p w14:paraId="120183C7" w14:textId="6F1C7C7E" w:rsidR="00835192" w:rsidRPr="00FF756A" w:rsidRDefault="00835192" w:rsidP="004A3257">
            <w:pPr>
              <w:pBdr>
                <w:bottom w:val="none" w:sz="4" w:space="31" w:color="000000"/>
              </w:pBdr>
              <w:spacing w:before="0" w:after="0" w:line="240" w:lineRule="auto"/>
              <w:rPr>
                <w:i/>
                <w:iCs/>
                <w:sz w:val="20"/>
                <w:szCs w:val="20"/>
              </w:rPr>
            </w:pPr>
            <w:r w:rsidRPr="00FF756A">
              <w:rPr>
                <w:sz w:val="20"/>
                <w:szCs w:val="20"/>
              </w:rPr>
              <w:t>MARS, Ministria për Mbrojtjen e Sipërmarrjes, Ministria e Financave dhe Ekonomisë, Komuniteti i Biznesi</w:t>
            </w:r>
          </w:p>
        </w:tc>
      </w:tr>
      <w:tr w:rsidR="00835192" w:rsidRPr="00FF756A" w14:paraId="3D7B9BE6" w14:textId="77777777" w:rsidTr="004A3257">
        <w:trPr>
          <w:trHeight w:val="20"/>
        </w:trPr>
        <w:tc>
          <w:tcPr>
            <w:tcW w:w="2196" w:type="dxa"/>
            <w:tcBorders>
              <w:top w:val="single" w:sz="4" w:space="0" w:color="auto"/>
              <w:left w:val="single" w:sz="4" w:space="0" w:color="auto"/>
              <w:bottom w:val="single" w:sz="4" w:space="0" w:color="auto"/>
              <w:right w:val="single" w:sz="4" w:space="0" w:color="auto"/>
            </w:tcBorders>
          </w:tcPr>
          <w:p w14:paraId="4669ECF0" w14:textId="77777777" w:rsidR="00835192" w:rsidRPr="00FF756A" w:rsidRDefault="00835192" w:rsidP="00835192">
            <w:pPr>
              <w:spacing w:before="20" w:after="20"/>
              <w:jc w:val="right"/>
              <w:rPr>
                <w:b/>
                <w:bCs/>
                <w:sz w:val="20"/>
                <w:szCs w:val="20"/>
              </w:rPr>
            </w:pPr>
            <w:r w:rsidRPr="00FF756A">
              <w:rPr>
                <w:b/>
                <w:bCs/>
                <w:sz w:val="20"/>
                <w:szCs w:val="20"/>
              </w:rPr>
              <w:t>Marrëdhënia me dimensionet e tjera (nëse ka)</w:t>
            </w:r>
          </w:p>
        </w:tc>
        <w:tc>
          <w:tcPr>
            <w:tcW w:w="6876" w:type="dxa"/>
            <w:gridSpan w:val="5"/>
            <w:tcBorders>
              <w:top w:val="single" w:sz="4" w:space="0" w:color="auto"/>
              <w:left w:val="single" w:sz="4" w:space="0" w:color="auto"/>
              <w:bottom w:val="single" w:sz="4" w:space="0" w:color="auto"/>
              <w:right w:val="single" w:sz="4" w:space="0" w:color="auto"/>
            </w:tcBorders>
          </w:tcPr>
          <w:p w14:paraId="68B38EBF" w14:textId="77777777" w:rsidR="00835192" w:rsidRPr="00FF756A" w:rsidRDefault="00835192" w:rsidP="00835192">
            <w:pPr>
              <w:spacing w:before="20" w:after="20" w:line="240" w:lineRule="auto"/>
              <w:rPr>
                <w:i/>
                <w:iCs/>
                <w:sz w:val="20"/>
                <w:szCs w:val="20"/>
              </w:rPr>
            </w:pPr>
            <w:r w:rsidRPr="00FF756A">
              <w:rPr>
                <w:i/>
                <w:iCs/>
                <w:sz w:val="20"/>
                <w:szCs w:val="20"/>
              </w:rPr>
              <w:t>Dekarbonizimi, Efiçenca e energjisë</w:t>
            </w:r>
          </w:p>
          <w:p w14:paraId="4B78343D" w14:textId="77777777" w:rsidR="00835192" w:rsidRPr="00FF756A" w:rsidRDefault="00835192" w:rsidP="00835192">
            <w:pPr>
              <w:spacing w:before="20" w:after="20" w:line="240" w:lineRule="auto"/>
              <w:rPr>
                <w:i/>
                <w:iCs/>
                <w:sz w:val="20"/>
                <w:szCs w:val="20"/>
              </w:rPr>
            </w:pPr>
            <w:r w:rsidRPr="00FF756A">
              <w:rPr>
                <w:i/>
                <w:iCs/>
                <w:sz w:val="20"/>
                <w:szCs w:val="20"/>
              </w:rPr>
              <w:t xml:space="preserve">Marrëdhënia me PM-të e mëposhtme: </w:t>
            </w:r>
          </w:p>
          <w:p w14:paraId="5D78F5DB" w14:textId="77777777" w:rsidR="00835192" w:rsidRPr="00FF756A" w:rsidRDefault="00835192" w:rsidP="00835192">
            <w:pPr>
              <w:spacing w:before="20" w:after="20" w:line="240" w:lineRule="auto"/>
              <w:rPr>
                <w:i/>
                <w:iCs/>
                <w:sz w:val="20"/>
                <w:szCs w:val="20"/>
              </w:rPr>
            </w:pPr>
            <w:r w:rsidRPr="00FF756A">
              <w:rPr>
                <w:i/>
                <w:iCs/>
                <w:sz w:val="20"/>
                <w:szCs w:val="20"/>
              </w:rPr>
              <w:t xml:space="preserve">RIC-E1 dhe RIC-E2 trajtojnë rezultate të targetuara, ndërsa RIC-E4 fokusohet te bashkëpunimi midis aktorëve të zinxhirit të vlerës dhe te mjedisi mundësues.  </w:t>
            </w:r>
          </w:p>
          <w:p w14:paraId="047CA968" w14:textId="77777777" w:rsidR="00835192" w:rsidRPr="00FF756A" w:rsidRDefault="00835192" w:rsidP="00835192">
            <w:pPr>
              <w:spacing w:before="20" w:after="20" w:line="240" w:lineRule="auto"/>
              <w:rPr>
                <w:i/>
                <w:iCs/>
                <w:sz w:val="20"/>
                <w:szCs w:val="20"/>
              </w:rPr>
            </w:pPr>
            <w:r w:rsidRPr="00FF756A">
              <w:rPr>
                <w:i/>
                <w:iCs/>
                <w:sz w:val="20"/>
                <w:szCs w:val="20"/>
              </w:rPr>
              <w:t xml:space="preserve">RIC-E3 trajton aspektet rregullatore në lidhje me kuadrin institucional, aksesin në fonde dhe aftësitë. </w:t>
            </w:r>
          </w:p>
        </w:tc>
      </w:tr>
    </w:tbl>
    <w:p w14:paraId="4A18AB55" w14:textId="77777777" w:rsidR="00835192" w:rsidRPr="00FF756A" w:rsidRDefault="00835192" w:rsidP="00835192"/>
    <w:p w14:paraId="2F71C17C" w14:textId="77777777" w:rsidR="00835192" w:rsidRPr="00FF756A" w:rsidRDefault="00835192" w:rsidP="00835192">
      <w:pPr>
        <w:spacing w:before="0" w:after="0" w:line="240" w:lineRule="auto"/>
        <w:jc w:val="left"/>
      </w:pPr>
      <w:r w:rsidRPr="00FF756A">
        <w:br w:type="page"/>
      </w:r>
    </w:p>
    <w:p w14:paraId="3A187136" w14:textId="77777777" w:rsidR="00835192" w:rsidRPr="00FF756A" w:rsidRDefault="00835192" w:rsidP="00835192">
      <w:pPr>
        <w:spacing w:after="0" w:line="240" w:lineRule="auto"/>
      </w:pP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4"/>
        <w:gridCol w:w="1280"/>
        <w:gridCol w:w="600"/>
        <w:gridCol w:w="430"/>
        <w:gridCol w:w="3708"/>
        <w:gridCol w:w="850"/>
      </w:tblGrid>
      <w:tr w:rsidR="00835192" w:rsidRPr="00FF756A" w14:paraId="7FEAC6D8" w14:textId="77777777" w:rsidTr="004A3257">
        <w:trPr>
          <w:trHeight w:val="20"/>
        </w:trPr>
        <w:tc>
          <w:tcPr>
            <w:tcW w:w="4509" w:type="dxa"/>
            <w:gridSpan w:val="4"/>
            <w:shd w:val="clear" w:color="auto" w:fill="C45911" w:themeFill="accent2" w:themeFillShade="BF"/>
          </w:tcPr>
          <w:p w14:paraId="56BC032D" w14:textId="77777777" w:rsidR="00835192" w:rsidRPr="00FF756A" w:rsidRDefault="00835192" w:rsidP="00835192">
            <w:pPr>
              <w:spacing w:before="20" w:after="20"/>
              <w:jc w:val="right"/>
              <w:rPr>
                <w:b/>
                <w:bCs/>
                <w:sz w:val="20"/>
                <w:szCs w:val="20"/>
              </w:rPr>
            </w:pPr>
            <w:r w:rsidRPr="00FF756A">
              <w:rPr>
                <w:b/>
                <w:bCs/>
                <w:sz w:val="20"/>
                <w:szCs w:val="20"/>
              </w:rPr>
              <w:t>Dimensioni i energjisë</w:t>
            </w:r>
          </w:p>
        </w:tc>
        <w:tc>
          <w:tcPr>
            <w:tcW w:w="4563" w:type="dxa"/>
            <w:gridSpan w:val="2"/>
            <w:shd w:val="clear" w:color="auto" w:fill="C45911" w:themeFill="accent2" w:themeFillShade="BF"/>
          </w:tcPr>
          <w:p w14:paraId="05D2B808" w14:textId="77777777" w:rsidR="00835192" w:rsidRPr="00FF756A" w:rsidRDefault="00835192" w:rsidP="00835192">
            <w:pPr>
              <w:spacing w:before="20" w:after="20"/>
              <w:rPr>
                <w:i/>
                <w:iCs/>
                <w:sz w:val="20"/>
                <w:szCs w:val="20"/>
              </w:rPr>
            </w:pPr>
            <w:r w:rsidRPr="00FF756A">
              <w:rPr>
                <w:i/>
                <w:iCs/>
                <w:sz w:val="20"/>
                <w:szCs w:val="20"/>
              </w:rPr>
              <w:t>5. Kërkimi, inovacioni dhe konkurrenca</w:t>
            </w:r>
          </w:p>
        </w:tc>
      </w:tr>
      <w:tr w:rsidR="00835192" w:rsidRPr="00FF756A" w14:paraId="31F7CA60" w14:textId="77777777" w:rsidTr="004A3257">
        <w:trPr>
          <w:trHeight w:val="20"/>
        </w:trPr>
        <w:tc>
          <w:tcPr>
            <w:tcW w:w="4079" w:type="dxa"/>
            <w:gridSpan w:val="3"/>
            <w:shd w:val="clear" w:color="auto" w:fill="C45911" w:themeFill="accent2" w:themeFillShade="BF"/>
          </w:tcPr>
          <w:p w14:paraId="6CDB58A8" w14:textId="77777777" w:rsidR="00835192" w:rsidRPr="00FF756A" w:rsidRDefault="00835192" w:rsidP="00835192">
            <w:pPr>
              <w:spacing w:before="20" w:after="20"/>
              <w:jc w:val="right"/>
              <w:rPr>
                <w:b/>
                <w:bCs/>
                <w:sz w:val="20"/>
                <w:szCs w:val="20"/>
              </w:rPr>
            </w:pPr>
            <w:r w:rsidRPr="00FF756A">
              <w:rPr>
                <w:b/>
                <w:bCs/>
                <w:sz w:val="20"/>
                <w:szCs w:val="20"/>
              </w:rPr>
              <w:t>Sektori</w:t>
            </w:r>
          </w:p>
        </w:tc>
        <w:tc>
          <w:tcPr>
            <w:tcW w:w="4993" w:type="dxa"/>
            <w:gridSpan w:val="3"/>
            <w:shd w:val="clear" w:color="auto" w:fill="C45911" w:themeFill="accent2" w:themeFillShade="BF"/>
          </w:tcPr>
          <w:p w14:paraId="35E51F8A" w14:textId="77777777" w:rsidR="00835192" w:rsidRPr="00FF756A" w:rsidRDefault="00835192" w:rsidP="00835192">
            <w:pPr>
              <w:spacing w:before="20" w:after="20"/>
              <w:rPr>
                <w:i/>
                <w:iCs/>
                <w:sz w:val="20"/>
                <w:szCs w:val="20"/>
              </w:rPr>
            </w:pPr>
          </w:p>
        </w:tc>
      </w:tr>
      <w:tr w:rsidR="00835192" w:rsidRPr="00FF756A" w14:paraId="03DDA247" w14:textId="77777777" w:rsidTr="004A3257">
        <w:trPr>
          <w:trHeight w:val="20"/>
        </w:trPr>
        <w:tc>
          <w:tcPr>
            <w:tcW w:w="3478" w:type="dxa"/>
            <w:gridSpan w:val="2"/>
          </w:tcPr>
          <w:p w14:paraId="0A1B852B" w14:textId="77777777" w:rsidR="00835192" w:rsidRPr="00FF756A" w:rsidRDefault="00835192" w:rsidP="00835192">
            <w:pPr>
              <w:spacing w:before="20" w:after="20"/>
              <w:jc w:val="right"/>
              <w:rPr>
                <w:b/>
                <w:bCs/>
                <w:sz w:val="20"/>
                <w:szCs w:val="20"/>
              </w:rPr>
            </w:pPr>
            <w:r w:rsidRPr="00FF756A">
              <w:rPr>
                <w:b/>
                <w:bCs/>
                <w:sz w:val="20"/>
                <w:szCs w:val="20"/>
              </w:rPr>
              <w:t>Skenari i modelimit i marrë në konsideratë</w:t>
            </w:r>
          </w:p>
          <w:p w14:paraId="5CD07040" w14:textId="77777777" w:rsidR="00835192" w:rsidRPr="00FF756A" w:rsidRDefault="00835192" w:rsidP="00835192">
            <w:pPr>
              <w:spacing w:before="20" w:after="20"/>
              <w:jc w:val="right"/>
              <w:rPr>
                <w:b/>
                <w:bCs/>
                <w:sz w:val="20"/>
                <w:szCs w:val="20"/>
              </w:rPr>
            </w:pPr>
            <w:r w:rsidRPr="00FF756A">
              <w:rPr>
                <w:b/>
                <w:bCs/>
                <w:sz w:val="20"/>
                <w:szCs w:val="20"/>
              </w:rPr>
              <w:t>Lloj i instrumentit</w:t>
            </w:r>
          </w:p>
        </w:tc>
        <w:tc>
          <w:tcPr>
            <w:tcW w:w="5594" w:type="dxa"/>
            <w:gridSpan w:val="4"/>
          </w:tcPr>
          <w:p w14:paraId="436F38D7" w14:textId="77777777" w:rsidR="00835192" w:rsidRPr="00FF756A" w:rsidRDefault="00835192" w:rsidP="00835192">
            <w:pPr>
              <w:spacing w:before="20" w:after="20"/>
              <w:rPr>
                <w:i/>
                <w:iCs/>
                <w:sz w:val="20"/>
                <w:szCs w:val="20"/>
              </w:rPr>
            </w:pPr>
            <w:r w:rsidRPr="00FF756A">
              <w:rPr>
                <w:i/>
                <w:iCs/>
                <w:sz w:val="20"/>
                <w:szCs w:val="20"/>
              </w:rPr>
              <w:t>WAM</w:t>
            </w:r>
          </w:p>
          <w:p w14:paraId="1CE47809" w14:textId="77777777" w:rsidR="00835192" w:rsidRPr="00FF756A" w:rsidRDefault="00835192" w:rsidP="00835192">
            <w:pPr>
              <w:spacing w:before="20" w:after="20"/>
              <w:rPr>
                <w:i/>
                <w:iCs/>
                <w:sz w:val="20"/>
                <w:szCs w:val="20"/>
              </w:rPr>
            </w:pPr>
            <w:r w:rsidRPr="00FF756A">
              <w:rPr>
                <w:i/>
                <w:iCs/>
                <w:sz w:val="20"/>
                <w:szCs w:val="20"/>
              </w:rPr>
              <w:t xml:space="preserve">Fiskal  </w:t>
            </w:r>
          </w:p>
        </w:tc>
      </w:tr>
      <w:tr w:rsidR="00835192" w:rsidRPr="00FF756A" w14:paraId="5A2FFDC9" w14:textId="77777777" w:rsidTr="004A3257">
        <w:trPr>
          <w:trHeight w:val="20"/>
        </w:trPr>
        <w:tc>
          <w:tcPr>
            <w:tcW w:w="2196" w:type="dxa"/>
          </w:tcPr>
          <w:p w14:paraId="68A72953" w14:textId="77777777" w:rsidR="00835192" w:rsidRPr="00FF756A" w:rsidRDefault="00835192" w:rsidP="00835192">
            <w:pPr>
              <w:spacing w:before="20" w:after="20"/>
              <w:jc w:val="right"/>
              <w:rPr>
                <w:b/>
                <w:bCs/>
                <w:sz w:val="20"/>
                <w:szCs w:val="20"/>
              </w:rPr>
            </w:pPr>
            <w:r w:rsidRPr="00FF756A">
              <w:rPr>
                <w:b/>
                <w:bCs/>
                <w:sz w:val="20"/>
                <w:szCs w:val="20"/>
              </w:rPr>
              <w:t>Titulli i PM</w:t>
            </w:r>
          </w:p>
          <w:p w14:paraId="6FE94372" w14:textId="77777777" w:rsidR="00835192" w:rsidRPr="00FF756A" w:rsidRDefault="00835192" w:rsidP="00835192">
            <w:pPr>
              <w:spacing w:before="20" w:after="20"/>
              <w:jc w:val="right"/>
              <w:rPr>
                <w:b/>
                <w:bCs/>
                <w:sz w:val="20"/>
                <w:szCs w:val="20"/>
              </w:rPr>
            </w:pPr>
            <w:r w:rsidRPr="00FF756A">
              <w:rPr>
                <w:b/>
                <w:bCs/>
                <w:sz w:val="20"/>
                <w:szCs w:val="20"/>
              </w:rPr>
              <w:t>(kodi)</w:t>
            </w:r>
          </w:p>
        </w:tc>
        <w:tc>
          <w:tcPr>
            <w:tcW w:w="6876" w:type="dxa"/>
            <w:gridSpan w:val="5"/>
          </w:tcPr>
          <w:p w14:paraId="62CD54A3" w14:textId="77777777" w:rsidR="00835192" w:rsidRPr="00FF756A" w:rsidRDefault="00835192" w:rsidP="00835192">
            <w:pPr>
              <w:spacing w:before="20" w:after="20" w:line="240" w:lineRule="auto"/>
              <w:rPr>
                <w:i/>
                <w:iCs/>
                <w:sz w:val="20"/>
                <w:szCs w:val="20"/>
              </w:rPr>
            </w:pPr>
            <w:r w:rsidRPr="00FF756A">
              <w:rPr>
                <w:i/>
                <w:iCs/>
                <w:sz w:val="20"/>
                <w:szCs w:val="20"/>
              </w:rPr>
              <w:t>Mbështetja e NVM-ve novatore me anë të lehtësirave tatimore</w:t>
            </w:r>
          </w:p>
          <w:p w14:paraId="7A34E487" w14:textId="77777777" w:rsidR="00835192" w:rsidRPr="00FF756A" w:rsidRDefault="00835192" w:rsidP="00835192">
            <w:pPr>
              <w:spacing w:before="20" w:after="20" w:line="240" w:lineRule="auto"/>
              <w:rPr>
                <w:i/>
                <w:iCs/>
                <w:sz w:val="20"/>
                <w:szCs w:val="20"/>
              </w:rPr>
            </w:pPr>
            <w:r w:rsidRPr="00FF756A">
              <w:rPr>
                <w:i/>
                <w:iCs/>
                <w:sz w:val="20"/>
                <w:szCs w:val="20"/>
              </w:rPr>
              <w:t>(RIC-E5)</w:t>
            </w:r>
          </w:p>
        </w:tc>
      </w:tr>
      <w:tr w:rsidR="00835192" w:rsidRPr="00FF756A" w14:paraId="060B9485" w14:textId="77777777" w:rsidTr="004A3257">
        <w:trPr>
          <w:trHeight w:val="20"/>
        </w:trPr>
        <w:tc>
          <w:tcPr>
            <w:tcW w:w="2196" w:type="dxa"/>
          </w:tcPr>
          <w:p w14:paraId="7E27F3D6" w14:textId="77777777" w:rsidR="00835192" w:rsidRPr="00FF756A" w:rsidRDefault="00835192" w:rsidP="00835192">
            <w:pPr>
              <w:spacing w:before="20" w:after="20"/>
              <w:jc w:val="right"/>
              <w:rPr>
                <w:sz w:val="20"/>
                <w:szCs w:val="20"/>
              </w:rPr>
            </w:pPr>
            <w:r w:rsidRPr="00FF756A">
              <w:rPr>
                <w:b/>
                <w:bCs/>
                <w:sz w:val="20"/>
                <w:szCs w:val="20"/>
              </w:rPr>
              <w:t>Afati kohor</w:t>
            </w:r>
          </w:p>
        </w:tc>
        <w:tc>
          <w:tcPr>
            <w:tcW w:w="6876" w:type="dxa"/>
            <w:gridSpan w:val="5"/>
          </w:tcPr>
          <w:p w14:paraId="5DC2678E" w14:textId="77777777" w:rsidR="00835192" w:rsidRPr="00FF756A" w:rsidRDefault="00835192" w:rsidP="00835192">
            <w:pPr>
              <w:spacing w:before="20" w:after="20" w:line="240" w:lineRule="auto"/>
              <w:rPr>
                <w:i/>
                <w:iCs/>
                <w:sz w:val="20"/>
                <w:szCs w:val="20"/>
              </w:rPr>
            </w:pPr>
            <w:r w:rsidRPr="00FF756A">
              <w:rPr>
                <w:i/>
                <w:iCs/>
                <w:sz w:val="20"/>
                <w:szCs w:val="20"/>
              </w:rPr>
              <w:t>2025 e në vazhdim</w:t>
            </w:r>
          </w:p>
        </w:tc>
      </w:tr>
      <w:tr w:rsidR="00835192" w:rsidRPr="00FF756A" w14:paraId="3824F7A1" w14:textId="77777777" w:rsidTr="004A3257">
        <w:trPr>
          <w:trHeight w:val="20"/>
        </w:trPr>
        <w:tc>
          <w:tcPr>
            <w:tcW w:w="2196" w:type="dxa"/>
          </w:tcPr>
          <w:p w14:paraId="054D754E" w14:textId="77777777" w:rsidR="00835192" w:rsidRPr="00FF756A" w:rsidRDefault="00835192" w:rsidP="00835192">
            <w:pPr>
              <w:spacing w:before="20" w:after="20"/>
              <w:jc w:val="right"/>
              <w:rPr>
                <w:b/>
                <w:bCs/>
                <w:sz w:val="20"/>
                <w:szCs w:val="20"/>
              </w:rPr>
            </w:pPr>
            <w:r w:rsidRPr="00FF756A">
              <w:rPr>
                <w:b/>
                <w:bCs/>
                <w:sz w:val="20"/>
                <w:szCs w:val="20"/>
              </w:rPr>
              <w:t>Baza ligjore dhe dokumentet e planifikimit</w:t>
            </w:r>
          </w:p>
        </w:tc>
        <w:tc>
          <w:tcPr>
            <w:tcW w:w="6876" w:type="dxa"/>
            <w:gridSpan w:val="5"/>
          </w:tcPr>
          <w:p w14:paraId="0799F3A7" w14:textId="77777777" w:rsidR="00835192" w:rsidRPr="00FF756A" w:rsidRDefault="00835192" w:rsidP="00835192">
            <w:pPr>
              <w:spacing w:before="20" w:after="20" w:line="240" w:lineRule="auto"/>
              <w:rPr>
                <w:i/>
                <w:iCs/>
                <w:sz w:val="20"/>
                <w:szCs w:val="20"/>
              </w:rPr>
            </w:pPr>
            <w:r w:rsidRPr="00FF756A">
              <w:rPr>
                <w:i/>
                <w:iCs/>
                <w:sz w:val="20"/>
                <w:szCs w:val="20"/>
              </w:rPr>
              <w:t xml:space="preserve">Do të përcaktohet në vazhdim </w:t>
            </w:r>
          </w:p>
        </w:tc>
      </w:tr>
      <w:tr w:rsidR="00835192" w:rsidRPr="00FF756A" w14:paraId="626E5FB8" w14:textId="77777777" w:rsidTr="004A3257">
        <w:trPr>
          <w:trHeight w:val="20"/>
        </w:trPr>
        <w:tc>
          <w:tcPr>
            <w:tcW w:w="2196" w:type="dxa"/>
          </w:tcPr>
          <w:p w14:paraId="7D3CAA89" w14:textId="77777777" w:rsidR="00835192" w:rsidRPr="00FF756A" w:rsidRDefault="00835192" w:rsidP="00835192">
            <w:pPr>
              <w:spacing w:before="20" w:after="20"/>
              <w:jc w:val="right"/>
              <w:rPr>
                <w:b/>
                <w:bCs/>
                <w:sz w:val="20"/>
                <w:szCs w:val="20"/>
              </w:rPr>
            </w:pPr>
            <w:r w:rsidRPr="00FF756A">
              <w:rPr>
                <w:b/>
                <w:bCs/>
                <w:sz w:val="20"/>
                <w:szCs w:val="20"/>
              </w:rPr>
              <w:t>Masat e marra deri më tani</w:t>
            </w:r>
          </w:p>
        </w:tc>
        <w:tc>
          <w:tcPr>
            <w:tcW w:w="6876" w:type="dxa"/>
            <w:gridSpan w:val="5"/>
          </w:tcPr>
          <w:p w14:paraId="1B673BD0" w14:textId="77777777" w:rsidR="00835192" w:rsidRPr="00FF756A" w:rsidRDefault="00835192" w:rsidP="00835192">
            <w:pPr>
              <w:spacing w:before="20" w:after="20"/>
              <w:rPr>
                <w:i/>
                <w:iCs/>
                <w:sz w:val="20"/>
                <w:szCs w:val="20"/>
              </w:rPr>
            </w:pPr>
            <w:r w:rsidRPr="00FF756A">
              <w:rPr>
                <w:i/>
                <w:iCs/>
                <w:sz w:val="20"/>
                <w:szCs w:val="20"/>
              </w:rPr>
              <w:t xml:space="preserve">Asnjë masë e marrë deri më tani </w:t>
            </w:r>
          </w:p>
        </w:tc>
      </w:tr>
      <w:tr w:rsidR="00835192" w:rsidRPr="00FF756A" w14:paraId="43E481A6" w14:textId="77777777" w:rsidTr="004A3257">
        <w:trPr>
          <w:trHeight w:val="20"/>
        </w:trPr>
        <w:tc>
          <w:tcPr>
            <w:tcW w:w="2196" w:type="dxa"/>
          </w:tcPr>
          <w:p w14:paraId="3F5B08C9" w14:textId="77777777" w:rsidR="00835192" w:rsidRPr="00FF756A" w:rsidRDefault="00835192" w:rsidP="00835192">
            <w:pPr>
              <w:spacing w:before="20" w:after="20"/>
              <w:jc w:val="right"/>
              <w:rPr>
                <w:b/>
                <w:bCs/>
                <w:sz w:val="20"/>
                <w:szCs w:val="20"/>
              </w:rPr>
            </w:pPr>
            <w:r w:rsidRPr="00FF756A">
              <w:rPr>
                <w:b/>
                <w:bCs/>
                <w:sz w:val="20"/>
                <w:szCs w:val="20"/>
              </w:rPr>
              <w:t>Objektivi kryesor i PM</w:t>
            </w:r>
          </w:p>
        </w:tc>
        <w:tc>
          <w:tcPr>
            <w:tcW w:w="6876" w:type="dxa"/>
            <w:gridSpan w:val="5"/>
          </w:tcPr>
          <w:p w14:paraId="226CD2ED" w14:textId="77777777" w:rsidR="00835192" w:rsidRPr="00FF756A" w:rsidRDefault="00835192" w:rsidP="00835192">
            <w:pPr>
              <w:spacing w:before="20" w:after="20" w:line="240" w:lineRule="auto"/>
              <w:rPr>
                <w:i/>
                <w:iCs/>
                <w:sz w:val="20"/>
                <w:szCs w:val="20"/>
              </w:rPr>
            </w:pPr>
            <w:r w:rsidRPr="00FF756A">
              <w:rPr>
                <w:i/>
                <w:iCs/>
                <w:sz w:val="20"/>
                <w:szCs w:val="20"/>
              </w:rPr>
              <w:t>Mbështetja e krijimit të NVM-ve novatore të cilat përdorin rezultatet kërkimore që kontribuojnë në zgjidhjen e sfidave në fushat tematike të Unionit të Energjisë</w:t>
            </w:r>
          </w:p>
        </w:tc>
      </w:tr>
      <w:tr w:rsidR="00835192" w:rsidRPr="00FF756A" w14:paraId="66DEDFC1" w14:textId="77777777" w:rsidTr="004A3257">
        <w:trPr>
          <w:trHeight w:val="20"/>
        </w:trPr>
        <w:tc>
          <w:tcPr>
            <w:tcW w:w="2196" w:type="dxa"/>
          </w:tcPr>
          <w:p w14:paraId="304E95F2" w14:textId="77777777" w:rsidR="00835192" w:rsidRPr="00FF756A" w:rsidRDefault="00835192" w:rsidP="00835192">
            <w:pPr>
              <w:spacing w:before="20" w:after="20"/>
              <w:jc w:val="right"/>
              <w:rPr>
                <w:b/>
                <w:bCs/>
                <w:sz w:val="20"/>
                <w:szCs w:val="20"/>
              </w:rPr>
            </w:pPr>
            <w:r w:rsidRPr="00FF756A">
              <w:rPr>
                <w:b/>
                <w:bCs/>
                <w:sz w:val="20"/>
                <w:szCs w:val="20"/>
              </w:rPr>
              <w:t>Rezultatet për t'u arritur</w:t>
            </w:r>
          </w:p>
          <w:p w14:paraId="51DB3A2F" w14:textId="77777777" w:rsidR="00835192" w:rsidRPr="00FF756A" w:rsidRDefault="00835192" w:rsidP="00835192">
            <w:pPr>
              <w:spacing w:before="20" w:after="20"/>
              <w:jc w:val="right"/>
              <w:rPr>
                <w:b/>
                <w:bCs/>
                <w:sz w:val="20"/>
                <w:szCs w:val="20"/>
              </w:rPr>
            </w:pPr>
          </w:p>
        </w:tc>
        <w:tc>
          <w:tcPr>
            <w:tcW w:w="6876" w:type="dxa"/>
            <w:gridSpan w:val="5"/>
          </w:tcPr>
          <w:p w14:paraId="6253EBAC" w14:textId="77777777" w:rsidR="00835192" w:rsidRPr="00FF756A" w:rsidRDefault="00835192" w:rsidP="008639B2">
            <w:pPr>
              <w:numPr>
                <w:ilvl w:val="0"/>
                <w:numId w:val="176"/>
              </w:numPr>
              <w:spacing w:before="20" w:after="20" w:line="240" w:lineRule="auto"/>
              <w:rPr>
                <w:i/>
                <w:iCs/>
                <w:sz w:val="20"/>
                <w:szCs w:val="20"/>
              </w:rPr>
            </w:pPr>
            <w:r w:rsidRPr="00FF756A">
              <w:rPr>
                <w:i/>
                <w:iCs/>
                <w:sz w:val="20"/>
                <w:szCs w:val="20"/>
              </w:rPr>
              <w:t>Rritja e numrit të NVM-ve novatore që punojnë në fushat tematike të Unionit të Energjisë</w:t>
            </w:r>
          </w:p>
          <w:p w14:paraId="48851414" w14:textId="77777777" w:rsidR="00835192" w:rsidRPr="00FF756A" w:rsidRDefault="00835192" w:rsidP="008639B2">
            <w:pPr>
              <w:numPr>
                <w:ilvl w:val="0"/>
                <w:numId w:val="176"/>
              </w:numPr>
              <w:spacing w:before="20" w:after="20" w:line="240" w:lineRule="auto"/>
              <w:rPr>
                <w:i/>
                <w:iCs/>
                <w:sz w:val="20"/>
                <w:szCs w:val="20"/>
              </w:rPr>
            </w:pPr>
            <w:r w:rsidRPr="00FF756A">
              <w:rPr>
                <w:i/>
                <w:iCs/>
                <w:sz w:val="20"/>
                <w:szCs w:val="20"/>
              </w:rPr>
              <w:t>Zgjidhje për sfidat e lidhura me teknologjinë dhe nevojën për të gjetur zgjidhje të reja në sektorë të tjerë si p.sh. në energjinë elektrike</w:t>
            </w:r>
          </w:p>
          <w:p w14:paraId="34602100" w14:textId="77777777" w:rsidR="00835192" w:rsidRPr="00FF756A" w:rsidRDefault="00835192" w:rsidP="008639B2">
            <w:pPr>
              <w:numPr>
                <w:ilvl w:val="0"/>
                <w:numId w:val="176"/>
              </w:numPr>
              <w:spacing w:before="20" w:after="20" w:line="240" w:lineRule="auto"/>
              <w:rPr>
                <w:i/>
                <w:iCs/>
                <w:sz w:val="20"/>
                <w:szCs w:val="20"/>
              </w:rPr>
            </w:pPr>
            <w:r w:rsidRPr="00FF756A">
              <w:rPr>
                <w:i/>
                <w:iCs/>
                <w:sz w:val="20"/>
                <w:szCs w:val="20"/>
              </w:rPr>
              <w:t>Rritja e numrit të patentave</w:t>
            </w:r>
          </w:p>
        </w:tc>
      </w:tr>
      <w:tr w:rsidR="00835192" w:rsidRPr="00FF756A" w14:paraId="6E7D059F" w14:textId="77777777" w:rsidTr="004A3257">
        <w:trPr>
          <w:trHeight w:val="20"/>
        </w:trPr>
        <w:tc>
          <w:tcPr>
            <w:tcW w:w="2196" w:type="dxa"/>
          </w:tcPr>
          <w:p w14:paraId="0F3AD864" w14:textId="77777777" w:rsidR="00835192" w:rsidRPr="00FF756A" w:rsidRDefault="00835192" w:rsidP="00835192">
            <w:pPr>
              <w:spacing w:before="20" w:after="20"/>
              <w:jc w:val="right"/>
              <w:rPr>
                <w:b/>
                <w:bCs/>
                <w:sz w:val="20"/>
                <w:szCs w:val="20"/>
              </w:rPr>
            </w:pPr>
            <w:r w:rsidRPr="00FF756A">
              <w:rPr>
                <w:b/>
                <w:bCs/>
                <w:sz w:val="20"/>
                <w:szCs w:val="20"/>
              </w:rPr>
              <w:t>Masat që duhet të zbatohen</w:t>
            </w:r>
          </w:p>
        </w:tc>
        <w:tc>
          <w:tcPr>
            <w:tcW w:w="6026" w:type="dxa"/>
            <w:gridSpan w:val="4"/>
          </w:tcPr>
          <w:p w14:paraId="5F8C2FAB"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 xml:space="preserve">Krijimi i bazës ligjore, duke përfshirë përcaktimin e kritereve në lidhje me kualifikueshmërinë e kompanive </w:t>
            </w:r>
          </w:p>
          <w:p w14:paraId="200DADEE" w14:textId="77777777" w:rsidR="00835192" w:rsidRPr="00FF756A" w:rsidRDefault="00835192" w:rsidP="008639B2">
            <w:pPr>
              <w:numPr>
                <w:ilvl w:val="0"/>
                <w:numId w:val="71"/>
              </w:numPr>
              <w:spacing w:before="20" w:after="20" w:line="240" w:lineRule="auto"/>
              <w:rPr>
                <w:i/>
                <w:iCs/>
                <w:sz w:val="20"/>
                <w:szCs w:val="20"/>
              </w:rPr>
            </w:pPr>
            <w:r w:rsidRPr="00FF756A">
              <w:rPr>
                <w:i/>
                <w:iCs/>
                <w:sz w:val="20"/>
                <w:szCs w:val="20"/>
              </w:rPr>
              <w:t xml:space="preserve">Zbatimi i procesit në praktikë, duke përfshirë një skemë monitorimi </w:t>
            </w:r>
          </w:p>
        </w:tc>
        <w:tc>
          <w:tcPr>
            <w:tcW w:w="850" w:type="dxa"/>
          </w:tcPr>
          <w:p w14:paraId="47D65223"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2026</w:t>
            </w:r>
            <w:r w:rsidRPr="00FF756A">
              <w:rPr>
                <w:i/>
                <w:iCs/>
                <w:sz w:val="20"/>
                <w:szCs w:val="20"/>
              </w:rPr>
              <w:br/>
              <w:t xml:space="preserve"> </w:t>
            </w:r>
          </w:p>
          <w:p w14:paraId="0419D7EB" w14:textId="77777777" w:rsidR="00835192" w:rsidRPr="00FF756A" w:rsidRDefault="00835192" w:rsidP="00835192">
            <w:pPr>
              <w:spacing w:before="20" w:after="20" w:line="240" w:lineRule="auto"/>
              <w:rPr>
                <w:i/>
                <w:iCs/>
                <w:sz w:val="20"/>
                <w:szCs w:val="20"/>
              </w:rPr>
            </w:pPr>
            <w:r w:rsidRPr="00FF756A">
              <w:rPr>
                <w:i/>
                <w:iCs/>
                <w:sz w:val="20"/>
                <w:szCs w:val="20"/>
              </w:rPr>
              <w:t>brenda vitit 2027</w:t>
            </w:r>
          </w:p>
        </w:tc>
      </w:tr>
      <w:tr w:rsidR="00835192" w:rsidRPr="00FF756A" w14:paraId="1F28D01A" w14:textId="77777777" w:rsidTr="004A3257">
        <w:trPr>
          <w:trHeight w:val="20"/>
        </w:trPr>
        <w:tc>
          <w:tcPr>
            <w:tcW w:w="2196" w:type="dxa"/>
          </w:tcPr>
          <w:p w14:paraId="4D4D87E4" w14:textId="77777777" w:rsidR="00835192" w:rsidRPr="00FF756A" w:rsidRDefault="00835192" w:rsidP="00835192">
            <w:pPr>
              <w:spacing w:before="20" w:after="20"/>
              <w:jc w:val="right"/>
              <w:rPr>
                <w:b/>
                <w:bCs/>
                <w:sz w:val="20"/>
                <w:szCs w:val="20"/>
              </w:rPr>
            </w:pPr>
            <w:r w:rsidRPr="00FF756A">
              <w:rPr>
                <w:b/>
                <w:bCs/>
                <w:sz w:val="20"/>
                <w:szCs w:val="20"/>
              </w:rPr>
              <w:t>Buxheti (burimi i financimit)</w:t>
            </w:r>
          </w:p>
        </w:tc>
        <w:tc>
          <w:tcPr>
            <w:tcW w:w="6876" w:type="dxa"/>
            <w:gridSpan w:val="5"/>
          </w:tcPr>
          <w:p w14:paraId="32631BA8" w14:textId="77777777" w:rsidR="00835192" w:rsidRPr="00FF756A" w:rsidRDefault="00835192" w:rsidP="00835192">
            <w:pPr>
              <w:spacing w:before="20" w:after="20"/>
              <w:rPr>
                <w:i/>
                <w:iCs/>
                <w:sz w:val="20"/>
                <w:szCs w:val="20"/>
              </w:rPr>
            </w:pPr>
            <w:r w:rsidRPr="00FF756A">
              <w:rPr>
                <w:i/>
                <w:iCs/>
                <w:sz w:val="20"/>
                <w:szCs w:val="20"/>
              </w:rPr>
              <w:t xml:space="preserve">Lehtësira tatimore për investimet e lidhura me inovacionin të vlerësuara në 0,5 milionë euro në vit. </w:t>
            </w:r>
          </w:p>
        </w:tc>
      </w:tr>
      <w:tr w:rsidR="00835192" w:rsidRPr="00FF756A" w14:paraId="1512869F" w14:textId="77777777" w:rsidTr="004A3257">
        <w:trPr>
          <w:trHeight w:val="1103"/>
        </w:trPr>
        <w:tc>
          <w:tcPr>
            <w:tcW w:w="2196" w:type="dxa"/>
          </w:tcPr>
          <w:p w14:paraId="7BC447A3" w14:textId="77777777" w:rsidR="00835192" w:rsidRPr="00FF756A" w:rsidRDefault="00835192" w:rsidP="00835192">
            <w:pPr>
              <w:spacing w:before="20" w:after="20"/>
              <w:jc w:val="right"/>
              <w:rPr>
                <w:b/>
                <w:bCs/>
                <w:sz w:val="20"/>
                <w:szCs w:val="20"/>
              </w:rPr>
            </w:pPr>
            <w:r w:rsidRPr="00FF756A">
              <w:rPr>
                <w:b/>
                <w:bCs/>
                <w:sz w:val="20"/>
                <w:szCs w:val="20"/>
              </w:rPr>
              <w:t>Subjekti zbatues</w:t>
            </w:r>
          </w:p>
          <w:p w14:paraId="33FD4262" w14:textId="77777777" w:rsidR="00835192" w:rsidRPr="00FF756A" w:rsidRDefault="00835192" w:rsidP="00835192">
            <w:pPr>
              <w:spacing w:before="20" w:after="20"/>
              <w:jc w:val="right"/>
              <w:rPr>
                <w:sz w:val="20"/>
                <w:szCs w:val="20"/>
              </w:rPr>
            </w:pPr>
            <w:r w:rsidRPr="00FF756A">
              <w:rPr>
                <w:b/>
                <w:bCs/>
                <w:sz w:val="20"/>
                <w:szCs w:val="20"/>
              </w:rPr>
              <w:t>(Subjekti monitorues)</w:t>
            </w:r>
          </w:p>
        </w:tc>
        <w:tc>
          <w:tcPr>
            <w:tcW w:w="6876" w:type="dxa"/>
            <w:gridSpan w:val="5"/>
          </w:tcPr>
          <w:p w14:paraId="6052AD91" w14:textId="3A1E2A44" w:rsidR="00904A6F" w:rsidRPr="00FF756A" w:rsidRDefault="00835192" w:rsidP="004A3257">
            <w:pPr>
              <w:pBdr>
                <w:bottom w:val="none" w:sz="4" w:space="31" w:color="000000"/>
              </w:pBdr>
              <w:spacing w:before="0" w:after="0" w:line="240" w:lineRule="auto"/>
              <w:rPr>
                <w:i/>
                <w:iCs/>
                <w:sz w:val="20"/>
                <w:szCs w:val="20"/>
              </w:rPr>
            </w:pPr>
            <w:r w:rsidRPr="00FF756A">
              <w:rPr>
                <w:i/>
                <w:iCs/>
                <w:sz w:val="20"/>
                <w:szCs w:val="20"/>
              </w:rPr>
              <w:t>Ministria e Arsimit, Sportit dhe Rinisë, Ministria e Sipërmarrjes dhe Klimës së Biznesit, Ministria e Financave, Komuniteti i Biznesit</w:t>
            </w:r>
          </w:p>
          <w:p w14:paraId="30324F22" w14:textId="19037B9E" w:rsidR="00835192" w:rsidRPr="00FF756A" w:rsidRDefault="00835192" w:rsidP="004A3257">
            <w:pPr>
              <w:pBdr>
                <w:bottom w:val="none" w:sz="4" w:space="31" w:color="000000"/>
              </w:pBdr>
              <w:spacing w:before="0" w:after="0" w:line="240" w:lineRule="auto"/>
              <w:rPr>
                <w:i/>
                <w:iCs/>
                <w:sz w:val="20"/>
                <w:szCs w:val="20"/>
              </w:rPr>
            </w:pPr>
            <w:r w:rsidRPr="00FF756A">
              <w:rPr>
                <w:sz w:val="20"/>
                <w:szCs w:val="20"/>
              </w:rPr>
              <w:t>MARS, Ministria për Mbrojtjen e Sipërmarrjes, Ministria e Financave dhe Ekonomisë, Komuniteti i Biznesit</w:t>
            </w:r>
          </w:p>
        </w:tc>
      </w:tr>
      <w:tr w:rsidR="00835192" w:rsidRPr="00FF756A" w14:paraId="54B0CE73" w14:textId="77777777" w:rsidTr="004A3257">
        <w:trPr>
          <w:trHeight w:val="20"/>
        </w:trPr>
        <w:tc>
          <w:tcPr>
            <w:tcW w:w="2196" w:type="dxa"/>
          </w:tcPr>
          <w:p w14:paraId="02C34F3E" w14:textId="77777777" w:rsidR="00835192" w:rsidRPr="00FF756A" w:rsidRDefault="00835192" w:rsidP="00835192">
            <w:pPr>
              <w:spacing w:before="20" w:after="20"/>
              <w:jc w:val="right"/>
              <w:rPr>
                <w:b/>
                <w:bCs/>
                <w:sz w:val="20"/>
                <w:szCs w:val="20"/>
              </w:rPr>
            </w:pPr>
            <w:r w:rsidRPr="00FF756A">
              <w:rPr>
                <w:b/>
                <w:bCs/>
                <w:sz w:val="20"/>
                <w:szCs w:val="20"/>
              </w:rPr>
              <w:t>Marrëdhënia me dimensionet e tjera (nëse ka)</w:t>
            </w:r>
          </w:p>
        </w:tc>
        <w:tc>
          <w:tcPr>
            <w:tcW w:w="6876" w:type="dxa"/>
            <w:gridSpan w:val="5"/>
          </w:tcPr>
          <w:p w14:paraId="19C3A9F5" w14:textId="77777777" w:rsidR="00835192" w:rsidRPr="00FF756A" w:rsidRDefault="00835192" w:rsidP="00835192">
            <w:pPr>
              <w:spacing w:before="20" w:after="20" w:line="240" w:lineRule="auto"/>
              <w:rPr>
                <w:i/>
                <w:iCs/>
                <w:sz w:val="20"/>
                <w:szCs w:val="20"/>
              </w:rPr>
            </w:pPr>
            <w:r w:rsidRPr="00FF756A">
              <w:rPr>
                <w:i/>
                <w:iCs/>
                <w:sz w:val="20"/>
                <w:szCs w:val="20"/>
              </w:rPr>
              <w:t>Dekarbonizimi, Efiçenca e energjisë</w:t>
            </w:r>
          </w:p>
          <w:p w14:paraId="025BEAD6" w14:textId="77777777" w:rsidR="00835192" w:rsidRPr="00FF756A" w:rsidRDefault="00835192" w:rsidP="00835192">
            <w:pPr>
              <w:spacing w:before="20" w:after="20" w:line="240" w:lineRule="auto"/>
              <w:rPr>
                <w:i/>
                <w:iCs/>
                <w:sz w:val="20"/>
                <w:szCs w:val="20"/>
              </w:rPr>
            </w:pPr>
            <w:r w:rsidRPr="00FF756A">
              <w:rPr>
                <w:i/>
                <w:iCs/>
                <w:sz w:val="20"/>
                <w:szCs w:val="20"/>
              </w:rPr>
              <w:t xml:space="preserve">Marrëdhënia me PM-të e mëposhtme: </w:t>
            </w:r>
          </w:p>
          <w:p w14:paraId="1B4CBB28" w14:textId="77777777" w:rsidR="00835192" w:rsidRPr="00FF756A" w:rsidRDefault="00835192" w:rsidP="00835192">
            <w:pPr>
              <w:spacing w:before="20" w:after="20" w:line="240" w:lineRule="auto"/>
              <w:rPr>
                <w:i/>
                <w:iCs/>
                <w:sz w:val="20"/>
                <w:szCs w:val="20"/>
              </w:rPr>
            </w:pPr>
            <w:r w:rsidRPr="00FF756A">
              <w:rPr>
                <w:i/>
                <w:iCs/>
                <w:sz w:val="20"/>
                <w:szCs w:val="20"/>
              </w:rPr>
              <w:t xml:space="preserve">RIC-E1 dhe RIC-E2 trajtojnë rezultate të targetuara, ndërsa RIC-E4 fokusohet te bashkëpunimi midis aktorëve të zinxhirit të vlerës dhe te mjedisi mundësues.  </w:t>
            </w:r>
          </w:p>
          <w:p w14:paraId="69B4B5D6" w14:textId="77777777" w:rsidR="00835192" w:rsidRPr="00FF756A" w:rsidRDefault="00835192" w:rsidP="00835192">
            <w:pPr>
              <w:spacing w:before="20" w:after="20" w:line="240" w:lineRule="auto"/>
              <w:rPr>
                <w:i/>
                <w:iCs/>
                <w:sz w:val="20"/>
                <w:szCs w:val="20"/>
              </w:rPr>
            </w:pPr>
            <w:r w:rsidRPr="00FF756A">
              <w:rPr>
                <w:i/>
                <w:iCs/>
                <w:sz w:val="20"/>
                <w:szCs w:val="20"/>
              </w:rPr>
              <w:t>RIC-E3 trajton aspektet rregullatore në lidhje me kuadrin institucional, aksesin në fonde dhe aftësitë. RIC-E5 është një masë fiskale e synuar për NVM-të novatore të cilat përdorin rezultatet kërkimore që kontribuojnë në zgjidhjen e sfidave, veçanërisht në dimensionet e dekarbonizimit dhe efiçencës së energjisë.</w:t>
            </w:r>
          </w:p>
        </w:tc>
      </w:tr>
    </w:tbl>
    <w:p w14:paraId="1DECE759" w14:textId="77777777" w:rsidR="00835192" w:rsidRPr="00FF756A" w:rsidRDefault="00835192" w:rsidP="00835192"/>
    <w:p w14:paraId="24740572" w14:textId="77777777" w:rsidR="00835192" w:rsidRPr="00FF756A" w:rsidRDefault="00835192" w:rsidP="00835192">
      <w:r w:rsidRPr="00FF756A">
        <w:br w:type="page"/>
      </w:r>
    </w:p>
    <w:p w14:paraId="12019E2A" w14:textId="77777777" w:rsidR="00835192" w:rsidRPr="00FF756A" w:rsidRDefault="00835192" w:rsidP="00835192">
      <w:pPr>
        <w:spacing w:after="0" w:line="240" w:lineRule="auto"/>
      </w:pP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3"/>
        <w:gridCol w:w="1281"/>
        <w:gridCol w:w="600"/>
        <w:gridCol w:w="430"/>
        <w:gridCol w:w="3708"/>
        <w:gridCol w:w="850"/>
      </w:tblGrid>
      <w:tr w:rsidR="00835192" w:rsidRPr="00FF756A" w14:paraId="3359389D" w14:textId="77777777" w:rsidTr="004A3257">
        <w:trPr>
          <w:trHeight w:val="20"/>
        </w:trPr>
        <w:tc>
          <w:tcPr>
            <w:tcW w:w="4504" w:type="dxa"/>
            <w:gridSpan w:val="4"/>
            <w:shd w:val="clear" w:color="auto" w:fill="C45911" w:themeFill="accent2" w:themeFillShade="BF"/>
          </w:tcPr>
          <w:p w14:paraId="631D6A20" w14:textId="77777777" w:rsidR="00835192" w:rsidRPr="00FF756A" w:rsidRDefault="00835192" w:rsidP="00835192">
            <w:pPr>
              <w:spacing w:before="20" w:after="20"/>
              <w:jc w:val="right"/>
              <w:rPr>
                <w:b/>
                <w:bCs/>
                <w:sz w:val="20"/>
                <w:szCs w:val="20"/>
              </w:rPr>
            </w:pPr>
            <w:r w:rsidRPr="00FF756A">
              <w:rPr>
                <w:b/>
                <w:bCs/>
                <w:sz w:val="20"/>
                <w:szCs w:val="20"/>
              </w:rPr>
              <w:t>Dimensioni i energjisë</w:t>
            </w:r>
          </w:p>
        </w:tc>
        <w:tc>
          <w:tcPr>
            <w:tcW w:w="4558" w:type="dxa"/>
            <w:gridSpan w:val="2"/>
            <w:shd w:val="clear" w:color="auto" w:fill="C45911" w:themeFill="accent2" w:themeFillShade="BF"/>
          </w:tcPr>
          <w:p w14:paraId="7A7D48A7" w14:textId="77777777" w:rsidR="00835192" w:rsidRPr="00FF756A" w:rsidRDefault="00835192" w:rsidP="00835192">
            <w:pPr>
              <w:spacing w:before="20" w:after="20"/>
              <w:rPr>
                <w:i/>
                <w:iCs/>
                <w:sz w:val="20"/>
                <w:szCs w:val="20"/>
              </w:rPr>
            </w:pPr>
            <w:r w:rsidRPr="00FF756A">
              <w:rPr>
                <w:i/>
                <w:iCs/>
                <w:sz w:val="20"/>
                <w:szCs w:val="20"/>
              </w:rPr>
              <w:t>5. Kërkimi, inovacioni dhe konkurrenca</w:t>
            </w:r>
          </w:p>
        </w:tc>
      </w:tr>
      <w:tr w:rsidR="00835192" w:rsidRPr="00FF756A" w14:paraId="345D8235" w14:textId="77777777" w:rsidTr="004A3257">
        <w:trPr>
          <w:trHeight w:val="20"/>
        </w:trPr>
        <w:tc>
          <w:tcPr>
            <w:tcW w:w="4074" w:type="dxa"/>
            <w:gridSpan w:val="3"/>
            <w:shd w:val="clear" w:color="auto" w:fill="C45911" w:themeFill="accent2" w:themeFillShade="BF"/>
          </w:tcPr>
          <w:p w14:paraId="00DDA1F3" w14:textId="77777777" w:rsidR="00835192" w:rsidRPr="00FF756A" w:rsidRDefault="00835192" w:rsidP="00835192">
            <w:pPr>
              <w:spacing w:before="20" w:after="20"/>
              <w:jc w:val="right"/>
              <w:rPr>
                <w:b/>
                <w:bCs/>
                <w:sz w:val="20"/>
                <w:szCs w:val="20"/>
              </w:rPr>
            </w:pPr>
            <w:r w:rsidRPr="00FF756A">
              <w:rPr>
                <w:b/>
                <w:bCs/>
                <w:sz w:val="20"/>
                <w:szCs w:val="20"/>
              </w:rPr>
              <w:t>Sektori</w:t>
            </w:r>
          </w:p>
        </w:tc>
        <w:tc>
          <w:tcPr>
            <w:tcW w:w="4988" w:type="dxa"/>
            <w:gridSpan w:val="3"/>
            <w:shd w:val="clear" w:color="auto" w:fill="C45911" w:themeFill="accent2" w:themeFillShade="BF"/>
          </w:tcPr>
          <w:p w14:paraId="519AA29F" w14:textId="77777777" w:rsidR="00835192" w:rsidRPr="00FF756A" w:rsidRDefault="00835192" w:rsidP="00835192">
            <w:pPr>
              <w:spacing w:before="20" w:after="20"/>
              <w:rPr>
                <w:i/>
                <w:iCs/>
                <w:sz w:val="20"/>
                <w:szCs w:val="20"/>
              </w:rPr>
            </w:pPr>
          </w:p>
        </w:tc>
      </w:tr>
      <w:tr w:rsidR="00835192" w:rsidRPr="00FF756A" w14:paraId="6903F510" w14:textId="77777777" w:rsidTr="004A3257">
        <w:trPr>
          <w:trHeight w:val="20"/>
        </w:trPr>
        <w:tc>
          <w:tcPr>
            <w:tcW w:w="3474" w:type="dxa"/>
            <w:gridSpan w:val="2"/>
          </w:tcPr>
          <w:p w14:paraId="02590566" w14:textId="77777777" w:rsidR="00835192" w:rsidRPr="00FF756A" w:rsidRDefault="00835192" w:rsidP="00835192">
            <w:pPr>
              <w:spacing w:before="20" w:after="20"/>
              <w:jc w:val="right"/>
              <w:rPr>
                <w:b/>
                <w:bCs/>
                <w:sz w:val="20"/>
                <w:szCs w:val="20"/>
              </w:rPr>
            </w:pPr>
            <w:r w:rsidRPr="00FF756A">
              <w:rPr>
                <w:b/>
                <w:bCs/>
                <w:sz w:val="20"/>
                <w:szCs w:val="20"/>
              </w:rPr>
              <w:t>Skenari i modelimit i marrë në konsideratë</w:t>
            </w:r>
          </w:p>
          <w:p w14:paraId="2C30BAE0" w14:textId="77777777" w:rsidR="00835192" w:rsidRPr="00FF756A" w:rsidRDefault="00835192" w:rsidP="00835192">
            <w:pPr>
              <w:spacing w:before="20" w:after="20"/>
              <w:jc w:val="right"/>
              <w:rPr>
                <w:b/>
                <w:bCs/>
                <w:sz w:val="20"/>
                <w:szCs w:val="20"/>
              </w:rPr>
            </w:pPr>
            <w:r w:rsidRPr="00FF756A">
              <w:rPr>
                <w:b/>
                <w:bCs/>
                <w:sz w:val="20"/>
                <w:szCs w:val="20"/>
              </w:rPr>
              <w:t>Lloj i instrumentit</w:t>
            </w:r>
          </w:p>
        </w:tc>
        <w:tc>
          <w:tcPr>
            <w:tcW w:w="5588" w:type="dxa"/>
            <w:gridSpan w:val="4"/>
          </w:tcPr>
          <w:p w14:paraId="647DEC48" w14:textId="77777777" w:rsidR="00835192" w:rsidRPr="00FF756A" w:rsidRDefault="00835192" w:rsidP="00835192">
            <w:pPr>
              <w:spacing w:before="20" w:after="20"/>
              <w:rPr>
                <w:i/>
                <w:iCs/>
                <w:sz w:val="20"/>
                <w:szCs w:val="20"/>
              </w:rPr>
            </w:pPr>
            <w:r w:rsidRPr="00FF756A">
              <w:rPr>
                <w:i/>
                <w:iCs/>
                <w:sz w:val="20"/>
                <w:szCs w:val="20"/>
              </w:rPr>
              <w:t>WAM</w:t>
            </w:r>
          </w:p>
          <w:p w14:paraId="4DDE6CE2" w14:textId="77777777" w:rsidR="00835192" w:rsidRPr="00FF756A" w:rsidRDefault="00835192" w:rsidP="00835192">
            <w:pPr>
              <w:spacing w:before="20" w:after="20"/>
              <w:rPr>
                <w:i/>
                <w:iCs/>
                <w:sz w:val="20"/>
                <w:szCs w:val="20"/>
              </w:rPr>
            </w:pPr>
            <w:r w:rsidRPr="00FF756A">
              <w:rPr>
                <w:i/>
                <w:iCs/>
                <w:sz w:val="20"/>
                <w:szCs w:val="20"/>
              </w:rPr>
              <w:t xml:space="preserve">Financiar  </w:t>
            </w:r>
          </w:p>
        </w:tc>
      </w:tr>
      <w:tr w:rsidR="00835192" w:rsidRPr="00FF756A" w14:paraId="39F5B2B7" w14:textId="77777777" w:rsidTr="004A3257">
        <w:trPr>
          <w:trHeight w:val="20"/>
        </w:trPr>
        <w:tc>
          <w:tcPr>
            <w:tcW w:w="2193" w:type="dxa"/>
          </w:tcPr>
          <w:p w14:paraId="57DD5448" w14:textId="77777777" w:rsidR="00835192" w:rsidRPr="00FF756A" w:rsidRDefault="00835192" w:rsidP="00835192">
            <w:pPr>
              <w:spacing w:before="20" w:after="20" w:line="240" w:lineRule="auto"/>
              <w:jc w:val="right"/>
              <w:rPr>
                <w:b/>
                <w:bCs/>
                <w:sz w:val="20"/>
                <w:szCs w:val="20"/>
              </w:rPr>
            </w:pPr>
            <w:r w:rsidRPr="00FF756A">
              <w:rPr>
                <w:b/>
                <w:bCs/>
                <w:sz w:val="20"/>
                <w:szCs w:val="20"/>
              </w:rPr>
              <w:t>Titulli i PM</w:t>
            </w:r>
          </w:p>
          <w:p w14:paraId="60F73674" w14:textId="77777777" w:rsidR="00835192" w:rsidRPr="00FF756A" w:rsidRDefault="00835192" w:rsidP="00835192">
            <w:pPr>
              <w:spacing w:before="20" w:after="20" w:line="240" w:lineRule="auto"/>
              <w:jc w:val="right"/>
              <w:rPr>
                <w:b/>
                <w:bCs/>
                <w:sz w:val="20"/>
                <w:szCs w:val="20"/>
              </w:rPr>
            </w:pPr>
            <w:r w:rsidRPr="00FF756A">
              <w:rPr>
                <w:b/>
                <w:bCs/>
                <w:sz w:val="20"/>
                <w:szCs w:val="20"/>
              </w:rPr>
              <w:t>(kodi)</w:t>
            </w:r>
          </w:p>
        </w:tc>
        <w:tc>
          <w:tcPr>
            <w:tcW w:w="6869" w:type="dxa"/>
            <w:gridSpan w:val="5"/>
          </w:tcPr>
          <w:p w14:paraId="06F0FA5A" w14:textId="77777777" w:rsidR="00835192" w:rsidRPr="00FF756A" w:rsidRDefault="00835192" w:rsidP="00835192">
            <w:pPr>
              <w:spacing w:before="20" w:after="20" w:line="240" w:lineRule="auto"/>
              <w:rPr>
                <w:i/>
                <w:iCs/>
                <w:sz w:val="20"/>
                <w:szCs w:val="20"/>
              </w:rPr>
            </w:pPr>
            <w:r w:rsidRPr="00FF756A">
              <w:rPr>
                <w:i/>
                <w:iCs/>
                <w:sz w:val="20"/>
                <w:szCs w:val="20"/>
              </w:rPr>
              <w:t xml:space="preserve">Formimi i grupeve për të mbështetur inovacionin dhe konkurrencën </w:t>
            </w:r>
          </w:p>
          <w:p w14:paraId="65C10BFC" w14:textId="77777777" w:rsidR="00835192" w:rsidRPr="00FF756A" w:rsidRDefault="00835192" w:rsidP="00835192">
            <w:pPr>
              <w:spacing w:before="20" w:after="20" w:line="240" w:lineRule="auto"/>
              <w:rPr>
                <w:i/>
                <w:iCs/>
                <w:sz w:val="20"/>
                <w:szCs w:val="20"/>
              </w:rPr>
            </w:pPr>
            <w:r w:rsidRPr="00FF756A">
              <w:rPr>
                <w:i/>
                <w:iCs/>
                <w:sz w:val="20"/>
                <w:szCs w:val="20"/>
              </w:rPr>
              <w:t>(RIC-E6)</w:t>
            </w:r>
          </w:p>
        </w:tc>
      </w:tr>
      <w:tr w:rsidR="00835192" w:rsidRPr="00FF756A" w14:paraId="3A94FDF5" w14:textId="77777777" w:rsidTr="004A3257">
        <w:trPr>
          <w:trHeight w:val="20"/>
        </w:trPr>
        <w:tc>
          <w:tcPr>
            <w:tcW w:w="2193" w:type="dxa"/>
          </w:tcPr>
          <w:p w14:paraId="21D5ED1A" w14:textId="77777777" w:rsidR="00835192" w:rsidRPr="00FF756A" w:rsidRDefault="00835192" w:rsidP="00835192">
            <w:pPr>
              <w:spacing w:before="20" w:after="20"/>
              <w:jc w:val="right"/>
              <w:rPr>
                <w:sz w:val="20"/>
                <w:szCs w:val="20"/>
              </w:rPr>
            </w:pPr>
            <w:r w:rsidRPr="00FF756A">
              <w:rPr>
                <w:b/>
                <w:bCs/>
                <w:sz w:val="20"/>
                <w:szCs w:val="20"/>
              </w:rPr>
              <w:t>Afati kohor</w:t>
            </w:r>
          </w:p>
        </w:tc>
        <w:tc>
          <w:tcPr>
            <w:tcW w:w="6869" w:type="dxa"/>
            <w:gridSpan w:val="5"/>
          </w:tcPr>
          <w:p w14:paraId="26F5B106" w14:textId="77777777" w:rsidR="00835192" w:rsidRPr="00FF756A" w:rsidRDefault="00835192" w:rsidP="00835192">
            <w:pPr>
              <w:spacing w:before="20" w:after="20"/>
              <w:rPr>
                <w:i/>
                <w:iCs/>
                <w:sz w:val="20"/>
                <w:szCs w:val="20"/>
              </w:rPr>
            </w:pPr>
            <w:r w:rsidRPr="00FF756A">
              <w:rPr>
                <w:i/>
                <w:iCs/>
                <w:sz w:val="20"/>
                <w:szCs w:val="20"/>
              </w:rPr>
              <w:t>2025 - vazhdim</w:t>
            </w:r>
          </w:p>
        </w:tc>
      </w:tr>
      <w:tr w:rsidR="00835192" w:rsidRPr="00FF756A" w14:paraId="4D766BF1" w14:textId="77777777" w:rsidTr="004A3257">
        <w:trPr>
          <w:trHeight w:val="20"/>
        </w:trPr>
        <w:tc>
          <w:tcPr>
            <w:tcW w:w="2193" w:type="dxa"/>
          </w:tcPr>
          <w:p w14:paraId="00DF847D" w14:textId="77777777" w:rsidR="00835192" w:rsidRPr="00FF756A" w:rsidRDefault="00835192" w:rsidP="00835192">
            <w:pPr>
              <w:spacing w:before="20" w:after="20"/>
              <w:jc w:val="right"/>
              <w:rPr>
                <w:b/>
                <w:bCs/>
                <w:sz w:val="20"/>
                <w:szCs w:val="20"/>
              </w:rPr>
            </w:pPr>
            <w:r w:rsidRPr="00FF756A">
              <w:rPr>
                <w:b/>
                <w:bCs/>
                <w:sz w:val="20"/>
                <w:szCs w:val="20"/>
              </w:rPr>
              <w:t>Baza ligjore dhe dokumentet e planifikimit</w:t>
            </w:r>
          </w:p>
        </w:tc>
        <w:tc>
          <w:tcPr>
            <w:tcW w:w="6869" w:type="dxa"/>
            <w:gridSpan w:val="5"/>
          </w:tcPr>
          <w:p w14:paraId="19EA52C7" w14:textId="77777777" w:rsidR="00835192" w:rsidRPr="00FF756A" w:rsidRDefault="00835192" w:rsidP="00835192">
            <w:pPr>
              <w:spacing w:before="20" w:after="20"/>
              <w:rPr>
                <w:i/>
                <w:iCs/>
                <w:sz w:val="20"/>
                <w:szCs w:val="20"/>
              </w:rPr>
            </w:pPr>
            <w:r w:rsidRPr="00FF756A">
              <w:rPr>
                <w:i/>
                <w:iCs/>
                <w:sz w:val="20"/>
                <w:szCs w:val="20"/>
              </w:rPr>
              <w:t xml:space="preserve">Do të përcaktohet në vazhdim </w:t>
            </w:r>
          </w:p>
        </w:tc>
      </w:tr>
      <w:tr w:rsidR="00835192" w:rsidRPr="00FF756A" w14:paraId="3A7A8CF8" w14:textId="77777777" w:rsidTr="004A3257">
        <w:trPr>
          <w:trHeight w:val="20"/>
        </w:trPr>
        <w:tc>
          <w:tcPr>
            <w:tcW w:w="2193" w:type="dxa"/>
          </w:tcPr>
          <w:p w14:paraId="5317E51D" w14:textId="77777777" w:rsidR="00835192" w:rsidRPr="00FF756A" w:rsidRDefault="00835192" w:rsidP="00835192">
            <w:pPr>
              <w:spacing w:before="20" w:after="20"/>
              <w:jc w:val="right"/>
              <w:rPr>
                <w:b/>
                <w:bCs/>
                <w:sz w:val="20"/>
                <w:szCs w:val="20"/>
              </w:rPr>
            </w:pPr>
            <w:r w:rsidRPr="00FF756A">
              <w:rPr>
                <w:b/>
                <w:bCs/>
                <w:sz w:val="20"/>
                <w:szCs w:val="20"/>
              </w:rPr>
              <w:t>Masat e marra deri më tani</w:t>
            </w:r>
          </w:p>
        </w:tc>
        <w:tc>
          <w:tcPr>
            <w:tcW w:w="6869" w:type="dxa"/>
            <w:gridSpan w:val="5"/>
          </w:tcPr>
          <w:p w14:paraId="56BD628D" w14:textId="77777777" w:rsidR="00835192" w:rsidRPr="00FF756A" w:rsidRDefault="00835192" w:rsidP="00835192">
            <w:pPr>
              <w:spacing w:before="20" w:after="20" w:line="240" w:lineRule="auto"/>
              <w:rPr>
                <w:i/>
                <w:iCs/>
                <w:sz w:val="20"/>
                <w:szCs w:val="20"/>
              </w:rPr>
            </w:pPr>
            <w:r w:rsidRPr="00FF756A">
              <w:rPr>
                <w:i/>
                <w:iCs/>
                <w:sz w:val="20"/>
                <w:szCs w:val="20"/>
              </w:rPr>
              <w:t xml:space="preserve">Inicimi i Strategjisë së Specializimit Inteligjent, me mbështetjen e institutit Fraunhofer ISI. Identifikimi i fushave me përparësi për Shqipërinë që janë me rëndësi për PKEK-në: Uji dhe energjia, bujqësia, ushqimi dhe bioteknologjia, biodiversiteti dhe mjedisi, teknologjia e informacionit dhe komunikimit (TIK). </w:t>
            </w:r>
          </w:p>
        </w:tc>
      </w:tr>
      <w:tr w:rsidR="00835192" w:rsidRPr="00FF756A" w14:paraId="3F7A65FF" w14:textId="77777777" w:rsidTr="004A3257">
        <w:trPr>
          <w:trHeight w:val="20"/>
        </w:trPr>
        <w:tc>
          <w:tcPr>
            <w:tcW w:w="2193" w:type="dxa"/>
          </w:tcPr>
          <w:p w14:paraId="0A7EE675" w14:textId="77777777" w:rsidR="00835192" w:rsidRPr="00FF756A" w:rsidRDefault="00835192" w:rsidP="00835192">
            <w:pPr>
              <w:spacing w:before="20" w:after="20"/>
              <w:jc w:val="right"/>
              <w:rPr>
                <w:b/>
                <w:bCs/>
                <w:sz w:val="20"/>
                <w:szCs w:val="20"/>
              </w:rPr>
            </w:pPr>
            <w:r w:rsidRPr="00FF756A">
              <w:rPr>
                <w:b/>
                <w:bCs/>
                <w:sz w:val="20"/>
                <w:szCs w:val="20"/>
              </w:rPr>
              <w:t>Objektivi kryesor i PM</w:t>
            </w:r>
          </w:p>
        </w:tc>
        <w:tc>
          <w:tcPr>
            <w:tcW w:w="6869" w:type="dxa"/>
            <w:gridSpan w:val="5"/>
          </w:tcPr>
          <w:p w14:paraId="415BBA3F" w14:textId="77777777" w:rsidR="00835192" w:rsidRPr="00FF756A" w:rsidRDefault="00835192" w:rsidP="008639B2">
            <w:pPr>
              <w:numPr>
                <w:ilvl w:val="0"/>
                <w:numId w:val="174"/>
              </w:numPr>
              <w:spacing w:before="20" w:after="20" w:line="240" w:lineRule="auto"/>
              <w:ind w:left="714" w:hanging="357"/>
              <w:contextualSpacing/>
              <w:jc w:val="left"/>
              <w:rPr>
                <w:i/>
                <w:iCs/>
                <w:sz w:val="20"/>
                <w:szCs w:val="20"/>
              </w:rPr>
            </w:pPr>
            <w:r w:rsidRPr="00FF756A">
              <w:rPr>
                <w:i/>
                <w:iCs/>
                <w:sz w:val="20"/>
                <w:szCs w:val="20"/>
              </w:rPr>
              <w:t xml:space="preserve">Përcaktimi i një procesi për identifikimin e nevojës për një grup të caktuar tematik </w:t>
            </w:r>
          </w:p>
          <w:p w14:paraId="7704CF03" w14:textId="77777777" w:rsidR="00835192" w:rsidRPr="00FF756A" w:rsidRDefault="00835192" w:rsidP="004A3257">
            <w:pPr>
              <w:numPr>
                <w:ilvl w:val="0"/>
                <w:numId w:val="174"/>
              </w:numPr>
              <w:spacing w:before="20" w:after="20" w:line="240" w:lineRule="auto"/>
              <w:ind w:left="714" w:hanging="357"/>
              <w:contextualSpacing/>
              <w:rPr>
                <w:i/>
                <w:iCs/>
                <w:sz w:val="20"/>
                <w:szCs w:val="20"/>
              </w:rPr>
            </w:pPr>
            <w:r w:rsidRPr="00FF756A">
              <w:rPr>
                <w:i/>
                <w:iCs/>
                <w:sz w:val="20"/>
                <w:szCs w:val="20"/>
              </w:rPr>
              <w:t xml:space="preserve">Në bazë të vlerësimit të nevojave, formimi i grupeve tematike të organizatave kërkimore dhe kompanive inovative në fushat tematike të Unionit të Energjisë, për të nxitur transferimin e njohurive duke lidhur aktorët në zinxhirin e vlerave (Shembull austriak: </w:t>
            </w:r>
            <w:hyperlink r:id="rId73" w:history="1">
              <w:r w:rsidRPr="00FF756A">
                <w:rPr>
                  <w:i/>
                  <w:iCs/>
                  <w:color w:val="0000FF"/>
                  <w:sz w:val="20"/>
                  <w:szCs w:val="20"/>
                  <w:u w:val="single"/>
                </w:rPr>
                <w:t>https://www.ecoplus.at/interested-in/clusters-technopols/clusters-platforms-in-lower-austria/green-building-cluster-of-lower-austria/</w:t>
              </w:r>
            </w:hyperlink>
            <w:r w:rsidRPr="00FF756A">
              <w:rPr>
                <w:i/>
                <w:iCs/>
                <w:sz w:val="20"/>
                <w:szCs w:val="20"/>
              </w:rPr>
              <w:t>)</w:t>
            </w:r>
          </w:p>
          <w:p w14:paraId="0E8694EA" w14:textId="77777777" w:rsidR="00835192" w:rsidRPr="00FF756A" w:rsidRDefault="00835192" w:rsidP="004A3257">
            <w:pPr>
              <w:numPr>
                <w:ilvl w:val="0"/>
                <w:numId w:val="174"/>
              </w:numPr>
              <w:spacing w:before="20" w:after="20" w:line="240" w:lineRule="auto"/>
              <w:ind w:left="714" w:hanging="357"/>
              <w:contextualSpacing/>
              <w:rPr>
                <w:i/>
                <w:iCs/>
                <w:sz w:val="20"/>
                <w:szCs w:val="20"/>
              </w:rPr>
            </w:pPr>
            <w:r w:rsidRPr="00FF756A">
              <w:rPr>
                <w:i/>
                <w:iCs/>
                <w:sz w:val="20"/>
                <w:szCs w:val="20"/>
              </w:rPr>
              <w:t>Formimi i këtyre grupeve për një periudhë të caktuar kohore (p.sh. 5 vjet), bazuar në një program pune, si dhe pajisja e tyre me një menaxher grupi</w:t>
            </w:r>
          </w:p>
          <w:p w14:paraId="5C0B7AFF" w14:textId="35AA2049" w:rsidR="00835192" w:rsidRPr="00FF756A" w:rsidRDefault="005008FF" w:rsidP="004A3257">
            <w:pPr>
              <w:numPr>
                <w:ilvl w:val="0"/>
                <w:numId w:val="174"/>
              </w:numPr>
              <w:spacing w:before="20" w:after="20" w:line="240" w:lineRule="auto"/>
              <w:ind w:left="714" w:hanging="357"/>
              <w:contextualSpacing/>
              <w:rPr>
                <w:i/>
                <w:iCs/>
                <w:sz w:val="20"/>
                <w:szCs w:val="20"/>
              </w:rPr>
            </w:pPr>
            <w:r w:rsidRPr="00FF756A">
              <w:rPr>
                <w:i/>
                <w:iCs/>
                <w:sz w:val="20"/>
                <w:szCs w:val="20"/>
              </w:rPr>
              <w:t xml:space="preserve">Qëllimi është të vlerësohet rezultati, në mënyrë që mësimet dhe përfundimet e nxjerra të përdoren si bazë për hartimin e klasterëve të rinj që do të krijohen. </w:t>
            </w:r>
          </w:p>
        </w:tc>
      </w:tr>
      <w:tr w:rsidR="00835192" w:rsidRPr="00FF756A" w14:paraId="48FB0D6B" w14:textId="77777777" w:rsidTr="004A3257">
        <w:trPr>
          <w:trHeight w:val="20"/>
        </w:trPr>
        <w:tc>
          <w:tcPr>
            <w:tcW w:w="2193" w:type="dxa"/>
          </w:tcPr>
          <w:p w14:paraId="55A7CDEA" w14:textId="77777777" w:rsidR="00835192" w:rsidRPr="00FF756A" w:rsidRDefault="00835192" w:rsidP="00835192">
            <w:pPr>
              <w:spacing w:before="20" w:after="20"/>
              <w:jc w:val="right"/>
              <w:rPr>
                <w:b/>
                <w:bCs/>
                <w:sz w:val="20"/>
                <w:szCs w:val="20"/>
              </w:rPr>
            </w:pPr>
            <w:r w:rsidRPr="00FF756A">
              <w:rPr>
                <w:b/>
                <w:bCs/>
                <w:sz w:val="20"/>
                <w:szCs w:val="20"/>
              </w:rPr>
              <w:t>Rezultatet për t'u arritur</w:t>
            </w:r>
          </w:p>
          <w:p w14:paraId="21936187" w14:textId="77777777" w:rsidR="00835192" w:rsidRPr="00FF756A" w:rsidRDefault="00835192" w:rsidP="00835192">
            <w:pPr>
              <w:spacing w:before="20" w:after="20"/>
              <w:jc w:val="right"/>
              <w:rPr>
                <w:b/>
                <w:bCs/>
                <w:sz w:val="20"/>
                <w:szCs w:val="20"/>
              </w:rPr>
            </w:pPr>
          </w:p>
        </w:tc>
        <w:tc>
          <w:tcPr>
            <w:tcW w:w="6869" w:type="dxa"/>
            <w:gridSpan w:val="5"/>
          </w:tcPr>
          <w:p w14:paraId="2E113184" w14:textId="77777777" w:rsidR="00835192" w:rsidRPr="00FF756A" w:rsidRDefault="00835192" w:rsidP="008639B2">
            <w:pPr>
              <w:numPr>
                <w:ilvl w:val="0"/>
                <w:numId w:val="175"/>
              </w:numPr>
              <w:spacing w:before="20" w:after="20" w:line="240" w:lineRule="auto"/>
              <w:ind w:left="714" w:hanging="357"/>
              <w:contextualSpacing/>
              <w:rPr>
                <w:i/>
                <w:iCs/>
                <w:sz w:val="20"/>
                <w:szCs w:val="20"/>
              </w:rPr>
            </w:pPr>
            <w:r w:rsidRPr="00FF756A">
              <w:rPr>
                <w:i/>
                <w:iCs/>
                <w:sz w:val="20"/>
                <w:szCs w:val="20"/>
              </w:rPr>
              <w:t xml:space="preserve">Rritja e numrit të grupeve </w:t>
            </w:r>
          </w:p>
          <w:p w14:paraId="64A554A4" w14:textId="5AA559B9" w:rsidR="00835192" w:rsidRPr="00FF756A" w:rsidRDefault="00835192" w:rsidP="008639B2">
            <w:pPr>
              <w:numPr>
                <w:ilvl w:val="0"/>
                <w:numId w:val="175"/>
              </w:numPr>
              <w:spacing w:before="20" w:after="20" w:line="240" w:lineRule="auto"/>
              <w:ind w:left="714" w:hanging="357"/>
              <w:contextualSpacing/>
              <w:rPr>
                <w:i/>
                <w:iCs/>
                <w:sz w:val="20"/>
                <w:szCs w:val="20"/>
              </w:rPr>
            </w:pPr>
            <w:r w:rsidRPr="00FF756A">
              <w:rPr>
                <w:i/>
                <w:iCs/>
                <w:sz w:val="20"/>
                <w:szCs w:val="20"/>
              </w:rPr>
              <w:t>Zgjidhje për sfidat e lidhura me teknologjinë dhe nevoj</w:t>
            </w:r>
            <w:r w:rsidR="001D6324" w:rsidRPr="00FF756A">
              <w:rPr>
                <w:i/>
                <w:iCs/>
                <w:sz w:val="20"/>
                <w:szCs w:val="20"/>
              </w:rPr>
              <w:t>a</w:t>
            </w:r>
            <w:r w:rsidRPr="00FF756A">
              <w:rPr>
                <w:i/>
                <w:iCs/>
                <w:sz w:val="20"/>
                <w:szCs w:val="20"/>
              </w:rPr>
              <w:t xml:space="preserve"> për të gjetur zgjidhje të reja në sektorë të tjerë si p.sh. në energjinë elektrike </w:t>
            </w:r>
          </w:p>
          <w:p w14:paraId="35AD008E" w14:textId="77777777" w:rsidR="00835192" w:rsidRPr="00FF756A" w:rsidRDefault="00835192" w:rsidP="008639B2">
            <w:pPr>
              <w:numPr>
                <w:ilvl w:val="0"/>
                <w:numId w:val="175"/>
              </w:numPr>
              <w:spacing w:before="20" w:after="20" w:line="240" w:lineRule="auto"/>
              <w:ind w:left="714" w:hanging="357"/>
              <w:contextualSpacing/>
              <w:rPr>
                <w:i/>
                <w:iCs/>
                <w:sz w:val="20"/>
                <w:szCs w:val="20"/>
              </w:rPr>
            </w:pPr>
            <w:r w:rsidRPr="00FF756A">
              <w:rPr>
                <w:i/>
                <w:iCs/>
                <w:sz w:val="20"/>
                <w:szCs w:val="20"/>
              </w:rPr>
              <w:t>Rritja e numrit të patentave</w:t>
            </w:r>
          </w:p>
        </w:tc>
      </w:tr>
      <w:tr w:rsidR="00835192" w:rsidRPr="00FF756A" w14:paraId="327E72BA" w14:textId="77777777" w:rsidTr="004A3257">
        <w:trPr>
          <w:trHeight w:val="20"/>
        </w:trPr>
        <w:tc>
          <w:tcPr>
            <w:tcW w:w="2193" w:type="dxa"/>
          </w:tcPr>
          <w:p w14:paraId="623EA6CC" w14:textId="77777777" w:rsidR="00835192" w:rsidRPr="00FF756A" w:rsidRDefault="00835192" w:rsidP="00835192">
            <w:pPr>
              <w:spacing w:before="20" w:after="20"/>
              <w:jc w:val="right"/>
              <w:rPr>
                <w:b/>
                <w:bCs/>
                <w:sz w:val="20"/>
                <w:szCs w:val="20"/>
              </w:rPr>
            </w:pPr>
            <w:r w:rsidRPr="00FF756A">
              <w:rPr>
                <w:b/>
                <w:bCs/>
                <w:sz w:val="20"/>
                <w:szCs w:val="20"/>
              </w:rPr>
              <w:t>Masat që duhet të zbatohen</w:t>
            </w:r>
          </w:p>
        </w:tc>
        <w:tc>
          <w:tcPr>
            <w:tcW w:w="6019" w:type="dxa"/>
            <w:gridSpan w:val="4"/>
          </w:tcPr>
          <w:p w14:paraId="1891D3A7" w14:textId="146FF9CF" w:rsidR="00835192" w:rsidRPr="00FF756A" w:rsidRDefault="00835192" w:rsidP="008639B2">
            <w:pPr>
              <w:numPr>
                <w:ilvl w:val="0"/>
                <w:numId w:val="71"/>
              </w:numPr>
              <w:spacing w:before="20" w:after="20" w:line="240" w:lineRule="auto"/>
              <w:ind w:left="714" w:hanging="357"/>
              <w:rPr>
                <w:i/>
                <w:iCs/>
                <w:sz w:val="20"/>
                <w:szCs w:val="20"/>
              </w:rPr>
            </w:pPr>
            <w:r w:rsidRPr="00FF756A">
              <w:rPr>
                <w:i/>
                <w:iCs/>
                <w:sz w:val="20"/>
                <w:szCs w:val="20"/>
              </w:rPr>
              <w:t>Krijimi i bazës ligjore, duke përfshirë përcaktimin e proceseve, pozicioneve</w:t>
            </w:r>
            <w:r w:rsidR="001D6324" w:rsidRPr="00FF756A">
              <w:rPr>
                <w:i/>
                <w:iCs/>
                <w:sz w:val="20"/>
                <w:szCs w:val="20"/>
              </w:rPr>
              <w:t xml:space="preserve">, </w:t>
            </w:r>
            <w:r w:rsidRPr="00FF756A">
              <w:rPr>
                <w:i/>
                <w:iCs/>
                <w:sz w:val="20"/>
                <w:szCs w:val="20"/>
              </w:rPr>
              <w:t xml:space="preserve">roleve, si dhe financimin </w:t>
            </w:r>
          </w:p>
          <w:p w14:paraId="2D716498" w14:textId="77777777" w:rsidR="00835192" w:rsidRPr="00FF756A" w:rsidRDefault="00835192" w:rsidP="008639B2">
            <w:pPr>
              <w:numPr>
                <w:ilvl w:val="0"/>
                <w:numId w:val="71"/>
              </w:numPr>
              <w:spacing w:before="20" w:after="20" w:line="240" w:lineRule="auto"/>
              <w:ind w:left="714" w:hanging="357"/>
              <w:rPr>
                <w:i/>
                <w:iCs/>
                <w:sz w:val="20"/>
                <w:szCs w:val="20"/>
              </w:rPr>
            </w:pPr>
            <w:r w:rsidRPr="00FF756A">
              <w:rPr>
                <w:i/>
                <w:iCs/>
                <w:sz w:val="20"/>
                <w:szCs w:val="20"/>
              </w:rPr>
              <w:t xml:space="preserve">Zbatimi i procesit në praktikë, duke përfshirë një skemë monitorimi </w:t>
            </w:r>
          </w:p>
        </w:tc>
        <w:tc>
          <w:tcPr>
            <w:tcW w:w="850" w:type="dxa"/>
          </w:tcPr>
          <w:p w14:paraId="722CD429" w14:textId="77777777" w:rsidR="00835192" w:rsidRPr="00FF756A" w:rsidRDefault="00835192" w:rsidP="00835192">
            <w:pPr>
              <w:spacing w:before="20" w:after="20" w:line="240" w:lineRule="auto"/>
              <w:jc w:val="left"/>
              <w:rPr>
                <w:i/>
                <w:iCs/>
                <w:sz w:val="20"/>
                <w:szCs w:val="20"/>
              </w:rPr>
            </w:pPr>
            <w:r w:rsidRPr="00FF756A">
              <w:rPr>
                <w:i/>
                <w:iCs/>
                <w:sz w:val="20"/>
                <w:szCs w:val="20"/>
              </w:rPr>
              <w:t>brenda vitit 2026</w:t>
            </w:r>
            <w:r w:rsidRPr="00FF756A">
              <w:rPr>
                <w:i/>
                <w:iCs/>
                <w:sz w:val="20"/>
                <w:szCs w:val="20"/>
              </w:rPr>
              <w:br/>
            </w:r>
          </w:p>
          <w:p w14:paraId="3CD42AE5" w14:textId="77777777" w:rsidR="00835192" w:rsidRPr="00FF756A" w:rsidRDefault="00835192" w:rsidP="00835192">
            <w:pPr>
              <w:spacing w:before="20" w:after="20" w:line="240" w:lineRule="auto"/>
              <w:rPr>
                <w:i/>
                <w:iCs/>
                <w:sz w:val="20"/>
                <w:szCs w:val="20"/>
              </w:rPr>
            </w:pPr>
            <w:r w:rsidRPr="00FF756A">
              <w:rPr>
                <w:i/>
                <w:iCs/>
                <w:sz w:val="20"/>
                <w:szCs w:val="20"/>
              </w:rPr>
              <w:t>brenda vitit 2027</w:t>
            </w:r>
          </w:p>
        </w:tc>
      </w:tr>
      <w:tr w:rsidR="00835192" w:rsidRPr="00FF756A" w14:paraId="50136C2A" w14:textId="77777777" w:rsidTr="004A3257">
        <w:trPr>
          <w:trHeight w:val="20"/>
        </w:trPr>
        <w:tc>
          <w:tcPr>
            <w:tcW w:w="2193" w:type="dxa"/>
          </w:tcPr>
          <w:p w14:paraId="380413C0" w14:textId="77777777" w:rsidR="00835192" w:rsidRPr="00FF756A" w:rsidRDefault="00835192" w:rsidP="00835192">
            <w:pPr>
              <w:spacing w:before="20" w:after="20"/>
              <w:jc w:val="right"/>
              <w:rPr>
                <w:b/>
                <w:bCs/>
                <w:sz w:val="20"/>
                <w:szCs w:val="20"/>
              </w:rPr>
            </w:pPr>
            <w:r w:rsidRPr="00FF756A">
              <w:rPr>
                <w:b/>
                <w:bCs/>
                <w:sz w:val="20"/>
                <w:szCs w:val="20"/>
              </w:rPr>
              <w:t>Buxheti (burimi i financimit)</w:t>
            </w:r>
          </w:p>
        </w:tc>
        <w:tc>
          <w:tcPr>
            <w:tcW w:w="6869" w:type="dxa"/>
            <w:gridSpan w:val="5"/>
          </w:tcPr>
          <w:p w14:paraId="0F767FD9" w14:textId="77777777" w:rsidR="00835192" w:rsidRPr="00FF756A" w:rsidRDefault="00835192" w:rsidP="00835192">
            <w:pPr>
              <w:spacing w:before="20" w:after="20"/>
              <w:rPr>
                <w:i/>
                <w:iCs/>
                <w:sz w:val="20"/>
                <w:szCs w:val="20"/>
              </w:rPr>
            </w:pPr>
            <w:r w:rsidRPr="00FF756A">
              <w:rPr>
                <w:i/>
                <w:iCs/>
                <w:sz w:val="20"/>
                <w:szCs w:val="20"/>
              </w:rPr>
              <w:t>Zhvillimi i kapaciteteve do të financohet nga një Program i Asistencës Teknike, me një buxhet të parashikuar prej 0,2 milionë eurosh.</w:t>
            </w:r>
          </w:p>
        </w:tc>
      </w:tr>
      <w:tr w:rsidR="00835192" w:rsidRPr="00FF756A" w14:paraId="2BFB07BC" w14:textId="77777777" w:rsidTr="004A3257">
        <w:trPr>
          <w:trHeight w:val="20"/>
        </w:trPr>
        <w:tc>
          <w:tcPr>
            <w:tcW w:w="2193" w:type="dxa"/>
          </w:tcPr>
          <w:p w14:paraId="14297A47" w14:textId="77777777" w:rsidR="00835192" w:rsidRPr="00FF756A" w:rsidRDefault="00835192" w:rsidP="00835192">
            <w:pPr>
              <w:spacing w:before="20" w:after="20"/>
              <w:jc w:val="right"/>
              <w:rPr>
                <w:b/>
                <w:bCs/>
                <w:sz w:val="20"/>
                <w:szCs w:val="20"/>
              </w:rPr>
            </w:pPr>
            <w:r w:rsidRPr="00FF756A">
              <w:rPr>
                <w:b/>
                <w:bCs/>
                <w:sz w:val="20"/>
                <w:szCs w:val="20"/>
              </w:rPr>
              <w:t>Subjekti zbatues</w:t>
            </w:r>
          </w:p>
          <w:p w14:paraId="1644A24E" w14:textId="77777777" w:rsidR="00835192" w:rsidRPr="00FF756A" w:rsidRDefault="00835192" w:rsidP="00835192">
            <w:pPr>
              <w:spacing w:before="20" w:after="20"/>
              <w:jc w:val="right"/>
              <w:rPr>
                <w:sz w:val="20"/>
                <w:szCs w:val="20"/>
              </w:rPr>
            </w:pPr>
            <w:r w:rsidRPr="00FF756A">
              <w:rPr>
                <w:b/>
                <w:bCs/>
                <w:sz w:val="20"/>
                <w:szCs w:val="20"/>
              </w:rPr>
              <w:t>(Subjekti monitorues)</w:t>
            </w:r>
          </w:p>
        </w:tc>
        <w:tc>
          <w:tcPr>
            <w:tcW w:w="6869" w:type="dxa"/>
            <w:gridSpan w:val="5"/>
          </w:tcPr>
          <w:p w14:paraId="169BED39" w14:textId="093063E5" w:rsidR="00835192" w:rsidRPr="00FF756A" w:rsidRDefault="00835192" w:rsidP="004A3257">
            <w:pPr>
              <w:pBdr>
                <w:bottom w:val="none" w:sz="4" w:space="31" w:color="000000"/>
              </w:pBdr>
              <w:spacing w:before="20" w:after="20" w:line="240" w:lineRule="auto"/>
              <w:rPr>
                <w:i/>
                <w:iCs/>
                <w:sz w:val="20"/>
                <w:szCs w:val="20"/>
              </w:rPr>
            </w:pPr>
            <w:r w:rsidRPr="00FF756A">
              <w:rPr>
                <w:i/>
                <w:iCs/>
                <w:sz w:val="20"/>
                <w:szCs w:val="20"/>
              </w:rPr>
              <w:t>Ministria e Arsimit, Sportit dhe Rinisë, Ministria e Sipërmarrjes dhe Klimës së Biznesit, Komuniteti i Biznesit</w:t>
            </w:r>
          </w:p>
          <w:p w14:paraId="492F05B7" w14:textId="1602BFEB" w:rsidR="00835192" w:rsidRPr="00FF756A" w:rsidRDefault="00835192" w:rsidP="004A3257">
            <w:pPr>
              <w:pBdr>
                <w:bottom w:val="none" w:sz="4" w:space="31" w:color="000000"/>
              </w:pBdr>
              <w:spacing w:before="20" w:after="20" w:line="240" w:lineRule="auto"/>
              <w:rPr>
                <w:i/>
                <w:iCs/>
                <w:sz w:val="20"/>
                <w:szCs w:val="20"/>
              </w:rPr>
            </w:pPr>
            <w:r w:rsidRPr="00FF756A">
              <w:rPr>
                <w:sz w:val="20"/>
                <w:szCs w:val="20"/>
              </w:rPr>
              <w:t>MARS, Ministria për Mbrojtjen e Sipërmarrjes, Ministria e Financave dhe Ekonomisë, Komuniteti i Biznesit</w:t>
            </w:r>
          </w:p>
        </w:tc>
      </w:tr>
      <w:tr w:rsidR="00835192" w:rsidRPr="00FF756A" w14:paraId="6F08CF46" w14:textId="77777777" w:rsidTr="004A3257">
        <w:trPr>
          <w:trHeight w:val="20"/>
        </w:trPr>
        <w:tc>
          <w:tcPr>
            <w:tcW w:w="2193" w:type="dxa"/>
          </w:tcPr>
          <w:p w14:paraId="5864915C" w14:textId="77777777" w:rsidR="00835192" w:rsidRPr="00FF756A" w:rsidRDefault="00835192" w:rsidP="00835192">
            <w:pPr>
              <w:spacing w:before="20" w:after="20"/>
              <w:jc w:val="right"/>
              <w:rPr>
                <w:b/>
                <w:bCs/>
                <w:sz w:val="20"/>
                <w:szCs w:val="20"/>
              </w:rPr>
            </w:pPr>
            <w:r w:rsidRPr="00FF756A">
              <w:rPr>
                <w:b/>
                <w:bCs/>
                <w:sz w:val="20"/>
                <w:szCs w:val="20"/>
              </w:rPr>
              <w:t>Marrëdhënia me dimensionet e tjera (nëse ka)</w:t>
            </w:r>
          </w:p>
        </w:tc>
        <w:tc>
          <w:tcPr>
            <w:tcW w:w="6869" w:type="dxa"/>
            <w:gridSpan w:val="5"/>
          </w:tcPr>
          <w:p w14:paraId="25295D00" w14:textId="77777777" w:rsidR="00835192" w:rsidRPr="00FF756A" w:rsidRDefault="00835192" w:rsidP="00835192">
            <w:pPr>
              <w:spacing w:before="20" w:after="20" w:line="240" w:lineRule="auto"/>
              <w:rPr>
                <w:i/>
                <w:iCs/>
                <w:sz w:val="20"/>
                <w:szCs w:val="20"/>
              </w:rPr>
            </w:pPr>
            <w:r w:rsidRPr="00FF756A">
              <w:rPr>
                <w:i/>
                <w:iCs/>
                <w:sz w:val="20"/>
                <w:szCs w:val="20"/>
              </w:rPr>
              <w:t>Dekarbonizimi, Efiçenca e energjisë</w:t>
            </w:r>
          </w:p>
          <w:p w14:paraId="3EE19607" w14:textId="77777777" w:rsidR="00835192" w:rsidRPr="00FF756A" w:rsidRDefault="00835192" w:rsidP="00835192">
            <w:pPr>
              <w:spacing w:before="20" w:after="20" w:line="240" w:lineRule="auto"/>
              <w:rPr>
                <w:i/>
                <w:iCs/>
                <w:sz w:val="20"/>
                <w:szCs w:val="20"/>
              </w:rPr>
            </w:pPr>
            <w:r w:rsidRPr="00FF756A">
              <w:rPr>
                <w:i/>
                <w:iCs/>
                <w:sz w:val="20"/>
                <w:szCs w:val="20"/>
              </w:rPr>
              <w:t xml:space="preserve">Marrëdhënia me PM-të e mëposhtme: </w:t>
            </w:r>
          </w:p>
          <w:p w14:paraId="6F4559E4" w14:textId="0289515F" w:rsidR="00835192" w:rsidRPr="00FF756A" w:rsidRDefault="00835192" w:rsidP="00835192">
            <w:pPr>
              <w:spacing w:before="20" w:after="20" w:line="240" w:lineRule="auto"/>
              <w:rPr>
                <w:i/>
                <w:iCs/>
                <w:sz w:val="20"/>
                <w:szCs w:val="20"/>
              </w:rPr>
            </w:pPr>
            <w:r w:rsidRPr="00FF756A">
              <w:rPr>
                <w:i/>
                <w:iCs/>
                <w:sz w:val="20"/>
                <w:szCs w:val="20"/>
              </w:rPr>
              <w:t xml:space="preserve">RIC-E1 dhe RIC-E2 </w:t>
            </w:r>
            <w:r w:rsidR="00F12279" w:rsidRPr="00FF756A">
              <w:rPr>
                <w:i/>
                <w:iCs/>
                <w:sz w:val="20"/>
                <w:szCs w:val="20"/>
              </w:rPr>
              <w:t xml:space="preserve">trajtojnë kërkimin e synuar si të tillë, </w:t>
            </w:r>
            <w:r w:rsidRPr="00FF756A">
              <w:rPr>
                <w:i/>
                <w:iCs/>
                <w:sz w:val="20"/>
                <w:szCs w:val="20"/>
              </w:rPr>
              <w:t xml:space="preserve">ndërsa RIC-E4 fokusohet te bashkëpunimi midis aktorëve të zinxhirit të vlerës dhe te mjedisi mundësues.  </w:t>
            </w:r>
          </w:p>
          <w:p w14:paraId="52966761" w14:textId="77777777" w:rsidR="00835192" w:rsidRPr="00FF756A" w:rsidRDefault="00835192" w:rsidP="00835192">
            <w:pPr>
              <w:spacing w:before="20" w:after="20" w:line="240" w:lineRule="auto"/>
              <w:rPr>
                <w:i/>
                <w:iCs/>
                <w:sz w:val="20"/>
                <w:szCs w:val="20"/>
              </w:rPr>
            </w:pPr>
            <w:r w:rsidRPr="00FF756A">
              <w:rPr>
                <w:i/>
                <w:iCs/>
                <w:sz w:val="20"/>
                <w:szCs w:val="20"/>
              </w:rPr>
              <w:t xml:space="preserve">RIC-E6 trajton një aspekt specifik, konkretisht formimin e grupeve </w:t>
            </w:r>
          </w:p>
        </w:tc>
      </w:tr>
    </w:tbl>
    <w:p w14:paraId="5B979BBC" w14:textId="77777777" w:rsidR="00835192" w:rsidRPr="00FF756A" w:rsidRDefault="00835192" w:rsidP="00835192">
      <w:pPr>
        <w:spacing w:after="160" w:line="278"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3"/>
        <w:gridCol w:w="1281"/>
        <w:gridCol w:w="600"/>
        <w:gridCol w:w="430"/>
        <w:gridCol w:w="3708"/>
        <w:gridCol w:w="850"/>
      </w:tblGrid>
      <w:tr w:rsidR="001D6324" w:rsidRPr="00FF756A" w14:paraId="7C8EDFE1" w14:textId="77777777" w:rsidTr="004A3257">
        <w:trPr>
          <w:trHeight w:val="20"/>
        </w:trPr>
        <w:tc>
          <w:tcPr>
            <w:tcW w:w="4508" w:type="dxa"/>
            <w:gridSpan w:val="4"/>
            <w:shd w:val="clear" w:color="auto" w:fill="BF4E14"/>
            <w:hideMark/>
          </w:tcPr>
          <w:p w14:paraId="2DE748E5" w14:textId="77777777" w:rsidR="001D6324" w:rsidRPr="00FF756A" w:rsidRDefault="001D6324" w:rsidP="00B353F3">
            <w:pPr>
              <w:spacing w:before="20" w:after="20" w:line="240" w:lineRule="auto"/>
              <w:jc w:val="left"/>
              <w:rPr>
                <w:sz w:val="20"/>
                <w:szCs w:val="20"/>
              </w:rPr>
            </w:pPr>
            <w:r w:rsidRPr="00FF756A">
              <w:rPr>
                <w:b/>
                <w:bCs/>
                <w:sz w:val="20"/>
                <w:szCs w:val="20"/>
              </w:rPr>
              <w:t>Dimensioni i energjisë</w:t>
            </w:r>
          </w:p>
        </w:tc>
        <w:tc>
          <w:tcPr>
            <w:tcW w:w="4562" w:type="dxa"/>
            <w:gridSpan w:val="2"/>
            <w:shd w:val="clear" w:color="auto" w:fill="BF4E14"/>
            <w:hideMark/>
          </w:tcPr>
          <w:p w14:paraId="1CE44745" w14:textId="77777777" w:rsidR="001D6324" w:rsidRPr="00FF756A" w:rsidRDefault="001D6324" w:rsidP="00B353F3">
            <w:pPr>
              <w:spacing w:before="20" w:after="20" w:line="240" w:lineRule="auto"/>
              <w:jc w:val="left"/>
              <w:rPr>
                <w:sz w:val="20"/>
                <w:szCs w:val="20"/>
              </w:rPr>
            </w:pPr>
            <w:r w:rsidRPr="00FF756A">
              <w:rPr>
                <w:i/>
                <w:iCs/>
                <w:sz w:val="20"/>
                <w:szCs w:val="20"/>
              </w:rPr>
              <w:t>5. Kërkimi, inovacioni dhe konkurrenca</w:t>
            </w:r>
          </w:p>
        </w:tc>
      </w:tr>
      <w:tr w:rsidR="001D6324" w:rsidRPr="00FF756A" w14:paraId="28803B4C" w14:textId="77777777" w:rsidTr="004A3257">
        <w:trPr>
          <w:trHeight w:val="20"/>
        </w:trPr>
        <w:tc>
          <w:tcPr>
            <w:tcW w:w="4078" w:type="dxa"/>
            <w:gridSpan w:val="3"/>
            <w:shd w:val="clear" w:color="auto" w:fill="BF4E14"/>
            <w:hideMark/>
          </w:tcPr>
          <w:p w14:paraId="102FB553" w14:textId="77777777" w:rsidR="001D6324" w:rsidRPr="00FF756A" w:rsidRDefault="001D6324" w:rsidP="00B353F3">
            <w:pPr>
              <w:spacing w:before="20" w:after="20" w:line="240" w:lineRule="auto"/>
              <w:jc w:val="left"/>
              <w:rPr>
                <w:sz w:val="20"/>
                <w:szCs w:val="20"/>
              </w:rPr>
            </w:pPr>
            <w:r w:rsidRPr="00FF756A">
              <w:rPr>
                <w:b/>
                <w:bCs/>
                <w:sz w:val="20"/>
                <w:szCs w:val="20"/>
              </w:rPr>
              <w:t>Sektori</w:t>
            </w:r>
          </w:p>
        </w:tc>
        <w:tc>
          <w:tcPr>
            <w:tcW w:w="4992" w:type="dxa"/>
            <w:gridSpan w:val="3"/>
            <w:shd w:val="clear" w:color="auto" w:fill="BF4E14"/>
            <w:hideMark/>
          </w:tcPr>
          <w:p w14:paraId="114BEAED" w14:textId="77777777" w:rsidR="001D6324" w:rsidRPr="00FF756A" w:rsidRDefault="001D6324" w:rsidP="00B353F3">
            <w:pPr>
              <w:spacing w:before="20" w:after="20" w:line="240" w:lineRule="auto"/>
              <w:rPr>
                <w:sz w:val="20"/>
                <w:szCs w:val="20"/>
              </w:rPr>
            </w:pPr>
            <w:r w:rsidRPr="00FF756A">
              <w:rPr>
                <w:i/>
                <w:iCs/>
                <w:sz w:val="20"/>
                <w:szCs w:val="20"/>
              </w:rPr>
              <w:t> </w:t>
            </w:r>
          </w:p>
        </w:tc>
      </w:tr>
      <w:tr w:rsidR="001D6324" w:rsidRPr="00FF756A" w14:paraId="7C733917" w14:textId="77777777" w:rsidTr="004A3257">
        <w:trPr>
          <w:trHeight w:val="20"/>
        </w:trPr>
        <w:tc>
          <w:tcPr>
            <w:tcW w:w="3477" w:type="dxa"/>
            <w:gridSpan w:val="2"/>
            <w:hideMark/>
          </w:tcPr>
          <w:p w14:paraId="5A6FAB19" w14:textId="77777777" w:rsidR="001D6324" w:rsidRPr="00FF756A" w:rsidRDefault="001D6324" w:rsidP="00B353F3">
            <w:pPr>
              <w:spacing w:before="20" w:after="20" w:line="240" w:lineRule="auto"/>
              <w:jc w:val="left"/>
              <w:rPr>
                <w:sz w:val="20"/>
                <w:szCs w:val="20"/>
              </w:rPr>
            </w:pPr>
            <w:r w:rsidRPr="00FF756A">
              <w:rPr>
                <w:b/>
                <w:bCs/>
                <w:sz w:val="20"/>
                <w:szCs w:val="20"/>
              </w:rPr>
              <w:t>Skenari i modelimit i marrë në konsideratë</w:t>
            </w:r>
          </w:p>
          <w:p w14:paraId="0903CBC8" w14:textId="77777777" w:rsidR="001D6324" w:rsidRPr="00FF756A" w:rsidRDefault="001D6324" w:rsidP="00B353F3">
            <w:pPr>
              <w:spacing w:before="20" w:after="20" w:line="240" w:lineRule="auto"/>
              <w:jc w:val="left"/>
              <w:rPr>
                <w:sz w:val="20"/>
                <w:szCs w:val="20"/>
              </w:rPr>
            </w:pPr>
            <w:r w:rsidRPr="00FF756A">
              <w:rPr>
                <w:b/>
                <w:bCs/>
                <w:sz w:val="20"/>
                <w:szCs w:val="20"/>
              </w:rPr>
              <w:t>Lloj i instrumentit</w:t>
            </w:r>
          </w:p>
        </w:tc>
        <w:tc>
          <w:tcPr>
            <w:tcW w:w="5593" w:type="dxa"/>
            <w:gridSpan w:val="4"/>
            <w:hideMark/>
          </w:tcPr>
          <w:p w14:paraId="71AD6822" w14:textId="77777777" w:rsidR="001D6324" w:rsidRPr="00FF756A" w:rsidRDefault="001D6324" w:rsidP="00B353F3">
            <w:pPr>
              <w:spacing w:before="20" w:after="20" w:line="240" w:lineRule="auto"/>
              <w:rPr>
                <w:sz w:val="20"/>
                <w:szCs w:val="20"/>
              </w:rPr>
            </w:pPr>
            <w:r w:rsidRPr="00FF756A">
              <w:rPr>
                <w:i/>
                <w:iCs/>
                <w:sz w:val="20"/>
                <w:szCs w:val="20"/>
              </w:rPr>
              <w:t>WAM</w:t>
            </w:r>
          </w:p>
          <w:p w14:paraId="2480CE33" w14:textId="77777777" w:rsidR="001D6324" w:rsidRPr="00FF756A" w:rsidRDefault="001D6324" w:rsidP="00B353F3">
            <w:pPr>
              <w:spacing w:before="20" w:after="20" w:line="240" w:lineRule="auto"/>
              <w:rPr>
                <w:sz w:val="20"/>
                <w:szCs w:val="20"/>
              </w:rPr>
            </w:pPr>
            <w:r w:rsidRPr="00FF756A">
              <w:rPr>
                <w:i/>
                <w:iCs/>
                <w:sz w:val="20"/>
                <w:szCs w:val="20"/>
              </w:rPr>
              <w:t>Financiar </w:t>
            </w:r>
          </w:p>
        </w:tc>
      </w:tr>
      <w:tr w:rsidR="001D6324" w:rsidRPr="00FF756A" w14:paraId="7F720060" w14:textId="77777777" w:rsidTr="004A3257">
        <w:trPr>
          <w:trHeight w:val="20"/>
        </w:trPr>
        <w:tc>
          <w:tcPr>
            <w:tcW w:w="2195" w:type="dxa"/>
            <w:hideMark/>
          </w:tcPr>
          <w:p w14:paraId="6B621AE5" w14:textId="77777777" w:rsidR="001D6324" w:rsidRPr="00FF756A" w:rsidRDefault="001D6324" w:rsidP="00B353F3">
            <w:pPr>
              <w:spacing w:before="20" w:after="20" w:line="240" w:lineRule="auto"/>
              <w:jc w:val="left"/>
              <w:rPr>
                <w:sz w:val="20"/>
                <w:szCs w:val="20"/>
              </w:rPr>
            </w:pPr>
            <w:r w:rsidRPr="00FF756A">
              <w:rPr>
                <w:b/>
                <w:bCs/>
                <w:sz w:val="20"/>
                <w:szCs w:val="20"/>
              </w:rPr>
              <w:t>Titulli i PM</w:t>
            </w:r>
          </w:p>
          <w:p w14:paraId="2DAEA0A1" w14:textId="77777777" w:rsidR="001D6324" w:rsidRPr="00FF756A" w:rsidRDefault="001D6324" w:rsidP="00B353F3">
            <w:pPr>
              <w:spacing w:before="20" w:after="20" w:line="240" w:lineRule="auto"/>
              <w:jc w:val="left"/>
              <w:rPr>
                <w:sz w:val="20"/>
                <w:szCs w:val="20"/>
              </w:rPr>
            </w:pPr>
            <w:r w:rsidRPr="00FF756A">
              <w:rPr>
                <w:b/>
                <w:bCs/>
                <w:sz w:val="20"/>
                <w:szCs w:val="20"/>
              </w:rPr>
              <w:t>(kodi)</w:t>
            </w:r>
          </w:p>
        </w:tc>
        <w:tc>
          <w:tcPr>
            <w:tcW w:w="6875" w:type="dxa"/>
            <w:gridSpan w:val="5"/>
            <w:hideMark/>
          </w:tcPr>
          <w:p w14:paraId="1F550773" w14:textId="77777777" w:rsidR="001D6324" w:rsidRPr="00FF756A" w:rsidRDefault="001D6324" w:rsidP="00B353F3">
            <w:pPr>
              <w:spacing w:before="20" w:after="20" w:line="240" w:lineRule="auto"/>
              <w:rPr>
                <w:sz w:val="20"/>
                <w:szCs w:val="20"/>
              </w:rPr>
            </w:pPr>
            <w:r w:rsidRPr="00FF756A">
              <w:rPr>
                <w:i/>
                <w:iCs/>
                <w:sz w:val="20"/>
                <w:szCs w:val="20"/>
              </w:rPr>
              <w:t>Inovacioni dhe ekselenca në administratën publike</w:t>
            </w:r>
          </w:p>
          <w:p w14:paraId="1C0B7AC8" w14:textId="77777777" w:rsidR="001D6324" w:rsidRPr="00FF756A" w:rsidRDefault="001D6324" w:rsidP="00B353F3">
            <w:pPr>
              <w:spacing w:before="20" w:after="20" w:line="240" w:lineRule="auto"/>
              <w:rPr>
                <w:sz w:val="20"/>
                <w:szCs w:val="20"/>
              </w:rPr>
            </w:pPr>
            <w:r w:rsidRPr="00FF756A">
              <w:rPr>
                <w:i/>
                <w:iCs/>
                <w:sz w:val="20"/>
                <w:szCs w:val="20"/>
              </w:rPr>
              <w:t>(RIC-E7)</w:t>
            </w:r>
          </w:p>
        </w:tc>
      </w:tr>
      <w:tr w:rsidR="001D6324" w:rsidRPr="00FF756A" w14:paraId="52E92859" w14:textId="77777777" w:rsidTr="004A3257">
        <w:trPr>
          <w:trHeight w:val="20"/>
        </w:trPr>
        <w:tc>
          <w:tcPr>
            <w:tcW w:w="2195" w:type="dxa"/>
            <w:hideMark/>
          </w:tcPr>
          <w:p w14:paraId="53856C25" w14:textId="77777777" w:rsidR="001D6324" w:rsidRPr="00FF756A" w:rsidRDefault="001D6324" w:rsidP="00B353F3">
            <w:pPr>
              <w:spacing w:before="20" w:after="20" w:line="240" w:lineRule="auto"/>
              <w:jc w:val="left"/>
              <w:rPr>
                <w:sz w:val="20"/>
                <w:szCs w:val="20"/>
              </w:rPr>
            </w:pPr>
            <w:r w:rsidRPr="00FF756A">
              <w:rPr>
                <w:b/>
                <w:bCs/>
                <w:sz w:val="20"/>
                <w:szCs w:val="20"/>
              </w:rPr>
              <w:t>Afati kohor</w:t>
            </w:r>
          </w:p>
        </w:tc>
        <w:tc>
          <w:tcPr>
            <w:tcW w:w="6875" w:type="dxa"/>
            <w:gridSpan w:val="5"/>
            <w:hideMark/>
          </w:tcPr>
          <w:p w14:paraId="4092984A" w14:textId="77777777" w:rsidR="001D6324" w:rsidRPr="00FF756A" w:rsidRDefault="001D6324" w:rsidP="00B353F3">
            <w:pPr>
              <w:spacing w:before="20" w:after="20" w:line="240" w:lineRule="auto"/>
              <w:rPr>
                <w:sz w:val="20"/>
                <w:szCs w:val="20"/>
              </w:rPr>
            </w:pPr>
            <w:r w:rsidRPr="00FF756A">
              <w:rPr>
                <w:i/>
                <w:iCs/>
                <w:sz w:val="20"/>
                <w:szCs w:val="20"/>
              </w:rPr>
              <w:t>2025 - vazhdim</w:t>
            </w:r>
          </w:p>
        </w:tc>
      </w:tr>
      <w:tr w:rsidR="001D6324" w:rsidRPr="00FF756A" w14:paraId="4A8CC7E3" w14:textId="77777777" w:rsidTr="004A3257">
        <w:trPr>
          <w:trHeight w:val="20"/>
        </w:trPr>
        <w:tc>
          <w:tcPr>
            <w:tcW w:w="2195" w:type="dxa"/>
            <w:hideMark/>
          </w:tcPr>
          <w:p w14:paraId="55BDB386" w14:textId="77777777" w:rsidR="001D6324" w:rsidRPr="00FF756A" w:rsidRDefault="001D6324" w:rsidP="00B353F3">
            <w:pPr>
              <w:spacing w:before="20" w:after="20" w:line="240" w:lineRule="auto"/>
              <w:jc w:val="left"/>
              <w:rPr>
                <w:sz w:val="20"/>
                <w:szCs w:val="20"/>
              </w:rPr>
            </w:pPr>
            <w:r w:rsidRPr="00FF756A">
              <w:rPr>
                <w:b/>
                <w:bCs/>
                <w:sz w:val="20"/>
                <w:szCs w:val="20"/>
              </w:rPr>
              <w:t>Baza ligjore dhe dokumentet e planifikimit</w:t>
            </w:r>
          </w:p>
        </w:tc>
        <w:tc>
          <w:tcPr>
            <w:tcW w:w="6875" w:type="dxa"/>
            <w:gridSpan w:val="5"/>
            <w:hideMark/>
          </w:tcPr>
          <w:p w14:paraId="699D09AC" w14:textId="77777777" w:rsidR="001D6324" w:rsidRPr="00FF756A" w:rsidRDefault="001D6324" w:rsidP="00B353F3">
            <w:pPr>
              <w:spacing w:before="20" w:after="20" w:line="240" w:lineRule="auto"/>
              <w:rPr>
                <w:sz w:val="20"/>
                <w:szCs w:val="20"/>
              </w:rPr>
            </w:pPr>
            <w:r w:rsidRPr="00FF756A">
              <w:rPr>
                <w:i/>
                <w:iCs/>
                <w:sz w:val="20"/>
                <w:szCs w:val="20"/>
              </w:rPr>
              <w:t>VKM nr. 620, datë 1.11.2023, “Për krijimin, organizimin dhe funksionimin e agjencisë së inovacionit dhe ekselencës”, i ndryshuar</w:t>
            </w:r>
          </w:p>
          <w:p w14:paraId="4888FE33" w14:textId="77777777" w:rsidR="001D6324" w:rsidRPr="00FF756A" w:rsidRDefault="001D6324" w:rsidP="00B353F3">
            <w:pPr>
              <w:spacing w:before="20" w:after="20" w:line="240" w:lineRule="auto"/>
              <w:rPr>
                <w:sz w:val="20"/>
                <w:szCs w:val="20"/>
              </w:rPr>
            </w:pPr>
            <w:r w:rsidRPr="00FF756A">
              <w:rPr>
                <w:i/>
                <w:iCs/>
                <w:sz w:val="20"/>
                <w:szCs w:val="20"/>
              </w:rPr>
              <w:t>VKM nr. 30, datë 17.01.2024, “Për miratimin e fushës së përgjegjësisë shtetërore të ministrisë së ekonomisë, kulturës dhe inovacionit”.</w:t>
            </w:r>
          </w:p>
        </w:tc>
      </w:tr>
      <w:tr w:rsidR="001D6324" w:rsidRPr="00FF756A" w14:paraId="20D33AF8" w14:textId="77777777" w:rsidTr="004A3257">
        <w:trPr>
          <w:trHeight w:val="20"/>
        </w:trPr>
        <w:tc>
          <w:tcPr>
            <w:tcW w:w="2195" w:type="dxa"/>
            <w:hideMark/>
          </w:tcPr>
          <w:p w14:paraId="15DD35BF" w14:textId="77777777" w:rsidR="001D6324" w:rsidRPr="00FF756A" w:rsidRDefault="001D6324" w:rsidP="00B353F3">
            <w:pPr>
              <w:spacing w:before="20" w:after="20" w:line="240" w:lineRule="auto"/>
              <w:jc w:val="left"/>
              <w:rPr>
                <w:sz w:val="20"/>
                <w:szCs w:val="20"/>
              </w:rPr>
            </w:pPr>
            <w:r w:rsidRPr="00FF756A">
              <w:rPr>
                <w:b/>
                <w:bCs/>
                <w:sz w:val="20"/>
                <w:szCs w:val="20"/>
              </w:rPr>
              <w:t>Masat e marra deri më tani</w:t>
            </w:r>
          </w:p>
        </w:tc>
        <w:tc>
          <w:tcPr>
            <w:tcW w:w="6875" w:type="dxa"/>
            <w:gridSpan w:val="5"/>
            <w:hideMark/>
          </w:tcPr>
          <w:p w14:paraId="6263918A" w14:textId="77777777" w:rsidR="001D6324" w:rsidRPr="00FF756A" w:rsidRDefault="001D6324" w:rsidP="00B353F3">
            <w:pPr>
              <w:spacing w:before="20" w:after="20" w:line="240" w:lineRule="auto"/>
              <w:rPr>
                <w:sz w:val="20"/>
                <w:szCs w:val="20"/>
              </w:rPr>
            </w:pPr>
            <w:r w:rsidRPr="00FF756A">
              <w:rPr>
                <w:i/>
                <w:iCs/>
                <w:sz w:val="20"/>
                <w:szCs w:val="20"/>
              </w:rPr>
              <w:t>Agjencia përgjegjëse për inovacionin dhe ekselencën është krijuar dhe aktualisht po rekruton staf të specializuar për të përmbushur përgjegjësitë që i janë caktuar me VKM. Në ministrinë përgjegjëse për inovacionin është krijuar një departament për inovacionin.</w:t>
            </w:r>
          </w:p>
        </w:tc>
      </w:tr>
      <w:tr w:rsidR="001D6324" w:rsidRPr="00FF756A" w14:paraId="58C3DCAF" w14:textId="77777777" w:rsidTr="004A3257">
        <w:trPr>
          <w:trHeight w:val="20"/>
        </w:trPr>
        <w:tc>
          <w:tcPr>
            <w:tcW w:w="2195" w:type="dxa"/>
            <w:hideMark/>
          </w:tcPr>
          <w:p w14:paraId="6289FBC8" w14:textId="77777777" w:rsidR="001D6324" w:rsidRPr="00FF756A" w:rsidRDefault="001D6324" w:rsidP="00B353F3">
            <w:pPr>
              <w:spacing w:before="20" w:after="20" w:line="240" w:lineRule="auto"/>
              <w:jc w:val="left"/>
              <w:rPr>
                <w:sz w:val="20"/>
                <w:szCs w:val="20"/>
              </w:rPr>
            </w:pPr>
            <w:r w:rsidRPr="00FF756A">
              <w:rPr>
                <w:b/>
                <w:bCs/>
                <w:sz w:val="20"/>
                <w:szCs w:val="20"/>
              </w:rPr>
              <w:t>Objektivi kryesor i PM</w:t>
            </w:r>
          </w:p>
        </w:tc>
        <w:tc>
          <w:tcPr>
            <w:tcW w:w="6875" w:type="dxa"/>
            <w:gridSpan w:val="5"/>
            <w:hideMark/>
          </w:tcPr>
          <w:p w14:paraId="628D10A1" w14:textId="77777777" w:rsidR="001D6324" w:rsidRPr="00FF756A" w:rsidRDefault="001D6324" w:rsidP="004A3257">
            <w:pPr>
              <w:numPr>
                <w:ilvl w:val="0"/>
                <w:numId w:val="177"/>
              </w:numPr>
              <w:pBdr>
                <w:top w:val="none" w:sz="0" w:space="0" w:color="auto"/>
                <w:left w:val="none" w:sz="0" w:space="0" w:color="auto"/>
                <w:bottom w:val="none" w:sz="0" w:space="0" w:color="auto"/>
                <w:right w:val="none" w:sz="0" w:space="0" w:color="auto"/>
                <w:between w:val="none" w:sz="0" w:space="0" w:color="auto"/>
              </w:pBdr>
              <w:spacing w:before="20" w:after="20" w:line="240" w:lineRule="auto"/>
              <w:rPr>
                <w:sz w:val="20"/>
                <w:szCs w:val="20"/>
              </w:rPr>
            </w:pPr>
            <w:r w:rsidRPr="00FF756A">
              <w:rPr>
                <w:i/>
                <w:iCs/>
                <w:sz w:val="20"/>
                <w:szCs w:val="20"/>
              </w:rPr>
              <w:t>Nxitja e një fryme inovacioni dhe ekselence në institucionet e qeverisjes qendrore duke krijuar një mjedis të favorshëm për zbatimin e politikave, ngritjen e kapaciteteve dhe krijimin e strukturave që mbështesin inovacionin dhe përmirësimin e vazhdueshëm.</w:t>
            </w:r>
          </w:p>
        </w:tc>
      </w:tr>
      <w:tr w:rsidR="001D6324" w:rsidRPr="00FF756A" w14:paraId="4A6E90B2" w14:textId="77777777" w:rsidTr="004A3257">
        <w:trPr>
          <w:trHeight w:val="20"/>
        </w:trPr>
        <w:tc>
          <w:tcPr>
            <w:tcW w:w="2195" w:type="dxa"/>
            <w:hideMark/>
          </w:tcPr>
          <w:p w14:paraId="6CF60A80" w14:textId="77777777" w:rsidR="001D6324" w:rsidRPr="00FF756A" w:rsidRDefault="001D6324" w:rsidP="00B353F3">
            <w:pPr>
              <w:spacing w:before="20" w:after="20" w:line="240" w:lineRule="auto"/>
              <w:jc w:val="left"/>
              <w:rPr>
                <w:sz w:val="20"/>
                <w:szCs w:val="20"/>
              </w:rPr>
            </w:pPr>
            <w:r w:rsidRPr="00FF756A">
              <w:rPr>
                <w:b/>
                <w:bCs/>
                <w:sz w:val="20"/>
                <w:szCs w:val="20"/>
              </w:rPr>
              <w:t>Rezultatet për t'u arritur</w:t>
            </w:r>
          </w:p>
          <w:p w14:paraId="35FDC40A" w14:textId="77777777" w:rsidR="001D6324" w:rsidRPr="00FF756A" w:rsidRDefault="001D6324" w:rsidP="00B353F3">
            <w:pPr>
              <w:spacing w:before="20" w:after="20" w:line="240" w:lineRule="auto"/>
              <w:jc w:val="left"/>
              <w:rPr>
                <w:sz w:val="20"/>
                <w:szCs w:val="20"/>
              </w:rPr>
            </w:pPr>
            <w:r w:rsidRPr="00FF756A">
              <w:rPr>
                <w:b/>
                <w:bCs/>
                <w:sz w:val="20"/>
                <w:szCs w:val="20"/>
              </w:rPr>
              <w:t> </w:t>
            </w:r>
          </w:p>
        </w:tc>
        <w:tc>
          <w:tcPr>
            <w:tcW w:w="6875" w:type="dxa"/>
            <w:gridSpan w:val="5"/>
            <w:hideMark/>
          </w:tcPr>
          <w:p w14:paraId="63569111" w14:textId="77777777" w:rsidR="001D6324" w:rsidRPr="00FF756A" w:rsidRDefault="001D6324" w:rsidP="00B353F3">
            <w:pPr>
              <w:numPr>
                <w:ilvl w:val="0"/>
                <w:numId w:val="178"/>
              </w:numPr>
              <w:pBdr>
                <w:top w:val="none" w:sz="0" w:space="0" w:color="auto"/>
                <w:left w:val="none" w:sz="0" w:space="0" w:color="auto"/>
                <w:bottom w:val="none" w:sz="0" w:space="0" w:color="auto"/>
                <w:right w:val="none" w:sz="0" w:space="0" w:color="auto"/>
                <w:between w:val="none" w:sz="0" w:space="0" w:color="auto"/>
              </w:pBdr>
              <w:spacing w:before="20" w:after="20" w:line="240" w:lineRule="auto"/>
              <w:jc w:val="left"/>
              <w:rPr>
                <w:sz w:val="20"/>
                <w:szCs w:val="20"/>
              </w:rPr>
            </w:pPr>
            <w:r w:rsidRPr="00FF756A">
              <w:rPr>
                <w:i/>
                <w:iCs/>
                <w:sz w:val="20"/>
                <w:szCs w:val="20"/>
              </w:rPr>
              <w:t>Zhvillimi i planit të veprimit për zbatimin e politikave në fushën e inovacionit dhe ekselencës.</w:t>
            </w:r>
          </w:p>
          <w:p w14:paraId="0B08266D" w14:textId="77777777" w:rsidR="001D6324" w:rsidRPr="00FF756A" w:rsidRDefault="001D6324" w:rsidP="00B353F3">
            <w:pPr>
              <w:numPr>
                <w:ilvl w:val="0"/>
                <w:numId w:val="178"/>
              </w:numPr>
              <w:pBdr>
                <w:top w:val="none" w:sz="0" w:space="0" w:color="auto"/>
                <w:left w:val="none" w:sz="0" w:space="0" w:color="auto"/>
                <w:bottom w:val="none" w:sz="0" w:space="0" w:color="auto"/>
                <w:right w:val="none" w:sz="0" w:space="0" w:color="auto"/>
                <w:between w:val="none" w:sz="0" w:space="0" w:color="auto"/>
              </w:pBdr>
              <w:spacing w:before="20" w:after="20" w:line="240" w:lineRule="auto"/>
              <w:jc w:val="left"/>
              <w:rPr>
                <w:sz w:val="20"/>
                <w:szCs w:val="20"/>
              </w:rPr>
            </w:pPr>
            <w:r w:rsidRPr="00FF756A">
              <w:rPr>
                <w:i/>
                <w:iCs/>
                <w:sz w:val="20"/>
                <w:szCs w:val="20"/>
              </w:rPr>
              <w:t>Përfshirja e ekspertëve të inovacionit në hartimin e dokumenteve strategjike, planeve të veprimit dhe politikave në të gjitha institucionet e qeverisjes qendrore.</w:t>
            </w:r>
          </w:p>
          <w:p w14:paraId="52B6D0A1" w14:textId="77777777" w:rsidR="001D6324" w:rsidRPr="00FF756A" w:rsidRDefault="001D6324" w:rsidP="00B353F3">
            <w:pPr>
              <w:numPr>
                <w:ilvl w:val="0"/>
                <w:numId w:val="178"/>
              </w:numPr>
              <w:pBdr>
                <w:top w:val="none" w:sz="0" w:space="0" w:color="auto"/>
                <w:left w:val="none" w:sz="0" w:space="0" w:color="auto"/>
                <w:bottom w:val="none" w:sz="0" w:space="0" w:color="auto"/>
                <w:right w:val="none" w:sz="0" w:space="0" w:color="auto"/>
                <w:between w:val="none" w:sz="0" w:space="0" w:color="auto"/>
              </w:pBdr>
              <w:spacing w:before="20" w:after="20" w:line="240" w:lineRule="auto"/>
              <w:jc w:val="left"/>
              <w:rPr>
                <w:sz w:val="20"/>
                <w:szCs w:val="20"/>
              </w:rPr>
            </w:pPr>
            <w:r w:rsidRPr="00FF756A">
              <w:rPr>
                <w:i/>
                <w:iCs/>
                <w:sz w:val="20"/>
                <w:szCs w:val="20"/>
              </w:rPr>
              <w:t>Ngritja e qendrave të inovacionit në institucionet e qeverisjes qendrore.</w:t>
            </w:r>
          </w:p>
        </w:tc>
      </w:tr>
      <w:tr w:rsidR="001D6324" w:rsidRPr="00FF756A" w14:paraId="717ABAB3" w14:textId="77777777" w:rsidTr="004A3257">
        <w:trPr>
          <w:trHeight w:val="20"/>
        </w:trPr>
        <w:tc>
          <w:tcPr>
            <w:tcW w:w="2195" w:type="dxa"/>
            <w:hideMark/>
          </w:tcPr>
          <w:p w14:paraId="0EB1DF33" w14:textId="77777777" w:rsidR="001D6324" w:rsidRPr="00FF756A" w:rsidRDefault="001D6324" w:rsidP="00B353F3">
            <w:pPr>
              <w:spacing w:before="20" w:after="20" w:line="240" w:lineRule="auto"/>
              <w:jc w:val="left"/>
              <w:rPr>
                <w:sz w:val="20"/>
                <w:szCs w:val="20"/>
              </w:rPr>
            </w:pPr>
            <w:r w:rsidRPr="00FF756A">
              <w:rPr>
                <w:b/>
                <w:bCs/>
                <w:sz w:val="20"/>
                <w:szCs w:val="20"/>
              </w:rPr>
              <w:t>Masat që duhet të zbatohen</w:t>
            </w:r>
          </w:p>
        </w:tc>
        <w:tc>
          <w:tcPr>
            <w:tcW w:w="6025" w:type="dxa"/>
            <w:gridSpan w:val="4"/>
            <w:hideMark/>
          </w:tcPr>
          <w:p w14:paraId="58CC5588" w14:textId="77777777" w:rsidR="001D6324" w:rsidRPr="00FF756A" w:rsidRDefault="001D6324" w:rsidP="00B353F3">
            <w:pPr>
              <w:numPr>
                <w:ilvl w:val="0"/>
                <w:numId w:val="179"/>
              </w:numPr>
              <w:pBdr>
                <w:top w:val="none" w:sz="0" w:space="0" w:color="auto"/>
                <w:left w:val="none" w:sz="0" w:space="0" w:color="auto"/>
                <w:bottom w:val="none" w:sz="0" w:space="0" w:color="auto"/>
                <w:right w:val="none" w:sz="0" w:space="0" w:color="auto"/>
                <w:between w:val="none" w:sz="0" w:space="0" w:color="auto"/>
              </w:pBdr>
              <w:spacing w:before="20" w:after="20" w:line="240" w:lineRule="auto"/>
              <w:jc w:val="left"/>
              <w:rPr>
                <w:sz w:val="20"/>
                <w:szCs w:val="20"/>
              </w:rPr>
            </w:pPr>
            <w:r w:rsidRPr="00FF756A">
              <w:rPr>
                <w:i/>
                <w:iCs/>
                <w:sz w:val="20"/>
                <w:szCs w:val="20"/>
              </w:rPr>
              <w:t>Kryerja e një analize të hendeqeve ligjore për të identifikuar barrierat dhe sfidat që pengojnë avancimin e inovacionit dhe ekselencës</w:t>
            </w:r>
          </w:p>
          <w:p w14:paraId="31FA307A" w14:textId="77777777" w:rsidR="001D6324" w:rsidRPr="00FF756A" w:rsidRDefault="001D6324" w:rsidP="00B353F3">
            <w:pPr>
              <w:numPr>
                <w:ilvl w:val="0"/>
                <w:numId w:val="179"/>
              </w:numPr>
              <w:pBdr>
                <w:top w:val="none" w:sz="0" w:space="0" w:color="auto"/>
                <w:left w:val="none" w:sz="0" w:space="0" w:color="auto"/>
                <w:bottom w:val="none" w:sz="0" w:space="0" w:color="auto"/>
                <w:right w:val="none" w:sz="0" w:space="0" w:color="auto"/>
                <w:between w:val="none" w:sz="0" w:space="0" w:color="auto"/>
              </w:pBdr>
              <w:spacing w:before="20" w:after="20" w:line="240" w:lineRule="auto"/>
              <w:jc w:val="left"/>
              <w:rPr>
                <w:sz w:val="20"/>
                <w:szCs w:val="20"/>
              </w:rPr>
            </w:pPr>
            <w:r w:rsidRPr="00FF756A">
              <w:rPr>
                <w:i/>
                <w:iCs/>
                <w:sz w:val="20"/>
                <w:szCs w:val="20"/>
              </w:rPr>
              <w:t>Ngritja e kapaciteteve të punonjësve të rinj të agjencisë së inovacionit dhe ekselencës</w:t>
            </w:r>
          </w:p>
          <w:p w14:paraId="66228BA3" w14:textId="77777777" w:rsidR="001D6324" w:rsidRPr="00FF756A" w:rsidRDefault="001D6324" w:rsidP="00B353F3">
            <w:pPr>
              <w:numPr>
                <w:ilvl w:val="0"/>
                <w:numId w:val="179"/>
              </w:numPr>
              <w:pBdr>
                <w:top w:val="none" w:sz="0" w:space="0" w:color="auto"/>
                <w:left w:val="none" w:sz="0" w:space="0" w:color="auto"/>
                <w:bottom w:val="none" w:sz="0" w:space="0" w:color="auto"/>
                <w:right w:val="none" w:sz="0" w:space="0" w:color="auto"/>
                <w:between w:val="none" w:sz="0" w:space="0" w:color="auto"/>
              </w:pBdr>
              <w:spacing w:before="20" w:after="20" w:line="240" w:lineRule="auto"/>
              <w:jc w:val="left"/>
              <w:rPr>
                <w:sz w:val="20"/>
                <w:szCs w:val="20"/>
              </w:rPr>
            </w:pPr>
            <w:r w:rsidRPr="00FF756A">
              <w:rPr>
                <w:i/>
                <w:iCs/>
                <w:sz w:val="20"/>
                <w:szCs w:val="20"/>
              </w:rPr>
              <w:t>Hartimi i planit të veprimit për zbatimin e politikave në fushën e inovacionit dhe ekselencës.</w:t>
            </w:r>
          </w:p>
          <w:p w14:paraId="5653EBD1" w14:textId="77777777" w:rsidR="001D6324" w:rsidRPr="00FF756A" w:rsidRDefault="001D6324" w:rsidP="00B353F3">
            <w:pPr>
              <w:numPr>
                <w:ilvl w:val="0"/>
                <w:numId w:val="179"/>
              </w:numPr>
              <w:pBdr>
                <w:top w:val="none" w:sz="0" w:space="0" w:color="auto"/>
                <w:left w:val="none" w:sz="0" w:space="0" w:color="auto"/>
                <w:bottom w:val="none" w:sz="0" w:space="0" w:color="auto"/>
                <w:right w:val="none" w:sz="0" w:space="0" w:color="auto"/>
                <w:between w:val="none" w:sz="0" w:space="0" w:color="auto"/>
              </w:pBdr>
              <w:spacing w:before="20" w:after="20" w:line="240" w:lineRule="auto"/>
              <w:jc w:val="left"/>
              <w:rPr>
                <w:sz w:val="20"/>
                <w:szCs w:val="20"/>
              </w:rPr>
            </w:pPr>
            <w:r w:rsidRPr="00FF756A">
              <w:rPr>
                <w:i/>
                <w:iCs/>
                <w:sz w:val="20"/>
                <w:szCs w:val="20"/>
              </w:rPr>
              <w:t>Udhërrëfyes për ngritjen e qendrave të inovacionit</w:t>
            </w:r>
          </w:p>
          <w:p w14:paraId="6C8A9793" w14:textId="77777777" w:rsidR="001D6324" w:rsidRPr="00FF756A" w:rsidRDefault="001D6324" w:rsidP="00B353F3">
            <w:pPr>
              <w:numPr>
                <w:ilvl w:val="0"/>
                <w:numId w:val="179"/>
              </w:numPr>
              <w:pBdr>
                <w:top w:val="none" w:sz="0" w:space="0" w:color="auto"/>
                <w:left w:val="none" w:sz="0" w:space="0" w:color="auto"/>
                <w:bottom w:val="none" w:sz="0" w:space="0" w:color="auto"/>
                <w:right w:val="none" w:sz="0" w:space="0" w:color="auto"/>
                <w:between w:val="none" w:sz="0" w:space="0" w:color="auto"/>
              </w:pBdr>
              <w:spacing w:before="20" w:after="20" w:line="240" w:lineRule="auto"/>
              <w:jc w:val="left"/>
              <w:rPr>
                <w:sz w:val="20"/>
                <w:szCs w:val="20"/>
              </w:rPr>
            </w:pPr>
            <w:r w:rsidRPr="00FF756A">
              <w:rPr>
                <w:i/>
                <w:iCs/>
                <w:sz w:val="20"/>
                <w:szCs w:val="20"/>
              </w:rPr>
              <w:t>Krijimi i një plani pune për detyrat e përditshme të agjencisë së krijuar rishtazi, duke nënvizuar etapat për 5 vitet e ardhshme</w:t>
            </w:r>
          </w:p>
          <w:p w14:paraId="1BE5DCC3" w14:textId="77777777" w:rsidR="001D6324" w:rsidRPr="00FF756A" w:rsidRDefault="001D6324" w:rsidP="00B353F3">
            <w:pPr>
              <w:numPr>
                <w:ilvl w:val="0"/>
                <w:numId w:val="179"/>
              </w:numPr>
              <w:pBdr>
                <w:top w:val="none" w:sz="0" w:space="0" w:color="auto"/>
                <w:left w:val="none" w:sz="0" w:space="0" w:color="auto"/>
                <w:bottom w:val="none" w:sz="0" w:space="0" w:color="auto"/>
                <w:right w:val="none" w:sz="0" w:space="0" w:color="auto"/>
                <w:between w:val="none" w:sz="0" w:space="0" w:color="auto"/>
              </w:pBdr>
              <w:spacing w:before="20" w:after="20" w:line="240" w:lineRule="auto"/>
              <w:jc w:val="left"/>
              <w:rPr>
                <w:sz w:val="20"/>
                <w:szCs w:val="20"/>
              </w:rPr>
            </w:pPr>
            <w:r w:rsidRPr="00FF756A">
              <w:rPr>
                <w:i/>
                <w:iCs/>
                <w:sz w:val="20"/>
                <w:szCs w:val="20"/>
              </w:rPr>
              <w:t>Zbatimi i procesit dhe planit të veprimit.</w:t>
            </w:r>
          </w:p>
        </w:tc>
        <w:tc>
          <w:tcPr>
            <w:tcW w:w="850" w:type="dxa"/>
            <w:hideMark/>
          </w:tcPr>
          <w:p w14:paraId="5C52F024" w14:textId="77777777" w:rsidR="001D6324" w:rsidRPr="00FF756A" w:rsidRDefault="001D6324" w:rsidP="00B353F3">
            <w:pPr>
              <w:spacing w:before="20" w:after="20" w:line="240" w:lineRule="auto"/>
              <w:jc w:val="left"/>
              <w:rPr>
                <w:sz w:val="20"/>
                <w:szCs w:val="20"/>
              </w:rPr>
            </w:pPr>
            <w:r w:rsidRPr="00FF756A">
              <w:rPr>
                <w:i/>
                <w:iCs/>
                <w:sz w:val="20"/>
                <w:szCs w:val="20"/>
              </w:rPr>
              <w:t>brenda vitit 2026</w:t>
            </w:r>
            <w:r w:rsidRPr="00FF756A">
              <w:rPr>
                <w:i/>
                <w:iCs/>
                <w:sz w:val="20"/>
                <w:szCs w:val="20"/>
              </w:rPr>
              <w:br/>
              <w:t> </w:t>
            </w:r>
          </w:p>
          <w:p w14:paraId="74D383F8" w14:textId="77777777" w:rsidR="001D6324" w:rsidRPr="00FF756A" w:rsidRDefault="001D6324" w:rsidP="00B353F3">
            <w:pPr>
              <w:spacing w:before="20" w:after="20" w:line="240" w:lineRule="auto"/>
              <w:rPr>
                <w:sz w:val="20"/>
                <w:szCs w:val="20"/>
              </w:rPr>
            </w:pPr>
            <w:r w:rsidRPr="00FF756A">
              <w:rPr>
                <w:i/>
                <w:iCs/>
                <w:sz w:val="20"/>
                <w:szCs w:val="20"/>
              </w:rPr>
              <w:t>brenda vitit 2027</w:t>
            </w:r>
          </w:p>
        </w:tc>
      </w:tr>
      <w:tr w:rsidR="001D6324" w:rsidRPr="00FF756A" w14:paraId="22481A01" w14:textId="77777777" w:rsidTr="004A3257">
        <w:trPr>
          <w:trHeight w:val="20"/>
        </w:trPr>
        <w:tc>
          <w:tcPr>
            <w:tcW w:w="2195" w:type="dxa"/>
            <w:hideMark/>
          </w:tcPr>
          <w:p w14:paraId="0C595DBE" w14:textId="77777777" w:rsidR="001D6324" w:rsidRPr="00FF756A" w:rsidRDefault="001D6324" w:rsidP="00B353F3">
            <w:pPr>
              <w:spacing w:before="20" w:after="20" w:line="240" w:lineRule="auto"/>
              <w:jc w:val="left"/>
              <w:rPr>
                <w:sz w:val="20"/>
                <w:szCs w:val="20"/>
              </w:rPr>
            </w:pPr>
            <w:r w:rsidRPr="00FF756A">
              <w:rPr>
                <w:b/>
                <w:bCs/>
                <w:sz w:val="20"/>
                <w:szCs w:val="20"/>
              </w:rPr>
              <w:t>Buxheti (burimi i financimit)</w:t>
            </w:r>
          </w:p>
        </w:tc>
        <w:tc>
          <w:tcPr>
            <w:tcW w:w="6875" w:type="dxa"/>
            <w:gridSpan w:val="5"/>
            <w:hideMark/>
          </w:tcPr>
          <w:p w14:paraId="5B6DE71D" w14:textId="77777777" w:rsidR="001D6324" w:rsidRPr="00FF756A" w:rsidRDefault="001D6324" w:rsidP="00B353F3">
            <w:pPr>
              <w:spacing w:before="20" w:after="20" w:line="240" w:lineRule="auto"/>
              <w:rPr>
                <w:sz w:val="20"/>
                <w:szCs w:val="20"/>
              </w:rPr>
            </w:pPr>
            <w:r w:rsidRPr="00FF756A">
              <w:rPr>
                <w:i/>
                <w:iCs/>
                <w:sz w:val="20"/>
                <w:szCs w:val="20"/>
              </w:rPr>
              <w:t>Zhvillimi i kapaciteteve do të financohet nga një Program i Asistencës Teknike, me një buxhet të parashikuar prej 0,3 milionë eurosh.</w:t>
            </w:r>
          </w:p>
        </w:tc>
      </w:tr>
      <w:tr w:rsidR="001D6324" w:rsidRPr="00FF756A" w14:paraId="52C00E78" w14:textId="77777777" w:rsidTr="004A3257">
        <w:trPr>
          <w:trHeight w:val="20"/>
        </w:trPr>
        <w:tc>
          <w:tcPr>
            <w:tcW w:w="2195" w:type="dxa"/>
            <w:hideMark/>
          </w:tcPr>
          <w:p w14:paraId="431A635E" w14:textId="77777777" w:rsidR="001D6324" w:rsidRPr="00FF756A" w:rsidRDefault="001D6324" w:rsidP="00B353F3">
            <w:pPr>
              <w:spacing w:before="20" w:after="20" w:line="240" w:lineRule="auto"/>
              <w:jc w:val="left"/>
              <w:rPr>
                <w:sz w:val="20"/>
                <w:szCs w:val="20"/>
              </w:rPr>
            </w:pPr>
            <w:r w:rsidRPr="00FF756A">
              <w:rPr>
                <w:b/>
                <w:bCs/>
                <w:sz w:val="20"/>
                <w:szCs w:val="20"/>
              </w:rPr>
              <w:t>Subjekti zbatues</w:t>
            </w:r>
          </w:p>
          <w:p w14:paraId="6662E02B" w14:textId="77777777" w:rsidR="001D6324" w:rsidRPr="00FF756A" w:rsidRDefault="001D6324" w:rsidP="00B353F3">
            <w:pPr>
              <w:spacing w:before="20" w:after="20" w:line="240" w:lineRule="auto"/>
              <w:jc w:val="left"/>
              <w:rPr>
                <w:sz w:val="20"/>
                <w:szCs w:val="20"/>
              </w:rPr>
            </w:pPr>
            <w:r w:rsidRPr="00FF756A">
              <w:rPr>
                <w:b/>
                <w:bCs/>
                <w:sz w:val="20"/>
                <w:szCs w:val="20"/>
              </w:rPr>
              <w:t>(Subjekti monitorues)</w:t>
            </w:r>
          </w:p>
        </w:tc>
        <w:tc>
          <w:tcPr>
            <w:tcW w:w="6875" w:type="dxa"/>
            <w:gridSpan w:val="5"/>
            <w:hideMark/>
          </w:tcPr>
          <w:p w14:paraId="7A3EB559" w14:textId="77777777" w:rsidR="001D6324" w:rsidRPr="00FF756A" w:rsidRDefault="001D6324" w:rsidP="00B353F3">
            <w:pPr>
              <w:spacing w:before="20" w:after="20" w:line="240" w:lineRule="auto"/>
              <w:rPr>
                <w:sz w:val="20"/>
                <w:szCs w:val="20"/>
              </w:rPr>
            </w:pPr>
            <w:r w:rsidRPr="00FF756A">
              <w:rPr>
                <w:i/>
                <w:iCs/>
                <w:sz w:val="20"/>
                <w:szCs w:val="20"/>
              </w:rPr>
              <w:t>Ministria e Ekonomisë, Kulturës dhe Inovacionit, Agjencia e Inovacionit dhe Ekselencës</w:t>
            </w:r>
          </w:p>
        </w:tc>
      </w:tr>
      <w:tr w:rsidR="001D6324" w:rsidRPr="00FF756A" w14:paraId="25B6A486" w14:textId="77777777" w:rsidTr="004A3257">
        <w:trPr>
          <w:trHeight w:val="20"/>
        </w:trPr>
        <w:tc>
          <w:tcPr>
            <w:tcW w:w="2195" w:type="dxa"/>
            <w:hideMark/>
          </w:tcPr>
          <w:p w14:paraId="2CF7E43E" w14:textId="77777777" w:rsidR="001D6324" w:rsidRPr="00FF756A" w:rsidRDefault="001D6324" w:rsidP="00B353F3">
            <w:pPr>
              <w:spacing w:before="20" w:after="20" w:line="240" w:lineRule="auto"/>
              <w:jc w:val="left"/>
              <w:rPr>
                <w:sz w:val="20"/>
                <w:szCs w:val="20"/>
              </w:rPr>
            </w:pPr>
            <w:r w:rsidRPr="00FF756A">
              <w:rPr>
                <w:b/>
                <w:bCs/>
                <w:sz w:val="20"/>
                <w:szCs w:val="20"/>
              </w:rPr>
              <w:t>Marrëdhënia me dimensionet e tjera (nëse ka)</w:t>
            </w:r>
          </w:p>
        </w:tc>
        <w:tc>
          <w:tcPr>
            <w:tcW w:w="6875" w:type="dxa"/>
            <w:gridSpan w:val="5"/>
            <w:hideMark/>
          </w:tcPr>
          <w:p w14:paraId="3CFBDF69" w14:textId="77777777" w:rsidR="001D6324" w:rsidRPr="00FF756A" w:rsidRDefault="001D6324" w:rsidP="00B353F3">
            <w:pPr>
              <w:spacing w:before="20" w:after="20" w:line="240" w:lineRule="auto"/>
              <w:rPr>
                <w:sz w:val="20"/>
                <w:szCs w:val="20"/>
              </w:rPr>
            </w:pPr>
            <w:r w:rsidRPr="00FF756A">
              <w:rPr>
                <w:i/>
                <w:iCs/>
                <w:sz w:val="20"/>
                <w:szCs w:val="20"/>
              </w:rPr>
              <w:t> </w:t>
            </w:r>
          </w:p>
        </w:tc>
      </w:tr>
    </w:tbl>
    <w:p w14:paraId="31DA817D" w14:textId="77777777" w:rsidR="001D6324" w:rsidRPr="00FF756A" w:rsidRDefault="001D6324" w:rsidP="00835192">
      <w:pPr>
        <w:spacing w:after="160" w:line="278" w:lineRule="auto"/>
      </w:pPr>
    </w:p>
    <w:p w14:paraId="623E5C68" w14:textId="77777777" w:rsidR="00835192" w:rsidRPr="00FF756A" w:rsidRDefault="00835192" w:rsidP="00835192"/>
    <w:p w14:paraId="0D6BDBD9" w14:textId="77777777" w:rsidR="00835192" w:rsidRPr="00FF756A" w:rsidRDefault="00835192" w:rsidP="00835192"/>
    <w:p w14:paraId="7DDDD40B" w14:textId="77777777" w:rsidR="00835192" w:rsidRPr="00FF756A" w:rsidRDefault="00835192" w:rsidP="00835192"/>
    <w:p w14:paraId="027CC6B1" w14:textId="77777777" w:rsidR="00835192" w:rsidRPr="00FF756A" w:rsidRDefault="00835192" w:rsidP="00835192">
      <w:pPr>
        <w:spacing w:before="0" w:after="0"/>
        <w:contextualSpacing/>
        <w:rPr>
          <w:rFonts w:eastAsia="Times New Roman"/>
          <w:bCs/>
          <w:lang w:eastAsia="sq-AL"/>
        </w:rPr>
      </w:pPr>
    </w:p>
    <w:p w14:paraId="4252AF1D" w14:textId="77777777" w:rsidR="000055CB" w:rsidRPr="00FF756A" w:rsidRDefault="000055CB" w:rsidP="00C60633"/>
    <w:p w14:paraId="08857841" w14:textId="77777777" w:rsidR="006939FE" w:rsidRPr="00FF756A" w:rsidRDefault="006939FE" w:rsidP="006939FE"/>
    <w:p w14:paraId="6333A6D3" w14:textId="77777777" w:rsidR="00B86FB3" w:rsidRPr="00FF756A" w:rsidRDefault="00B86FB3" w:rsidP="00B86FB3">
      <w:pPr>
        <w:spacing w:before="300"/>
        <w:contextualSpacing/>
        <w:rPr>
          <w:sz w:val="48"/>
          <w:szCs w:val="48"/>
        </w:rPr>
      </w:pPr>
    </w:p>
    <w:p w14:paraId="4F93CD02" w14:textId="77777777" w:rsidR="00B86FB3" w:rsidRPr="00FF756A" w:rsidRDefault="00B86FB3" w:rsidP="00B86FB3">
      <w:pPr>
        <w:spacing w:before="300"/>
        <w:contextualSpacing/>
        <w:rPr>
          <w:sz w:val="48"/>
          <w:szCs w:val="48"/>
        </w:rPr>
      </w:pPr>
      <w:r w:rsidRPr="00FF756A">
        <w:rPr>
          <w:sz w:val="48"/>
          <w:szCs w:val="48"/>
        </w:rPr>
        <w:t>SEKSIONI B: BAZA ANALITIKE</w:t>
      </w:r>
    </w:p>
    <w:p w14:paraId="742CB631" w14:textId="77777777" w:rsidR="00B86FB3" w:rsidRPr="00FF756A" w:rsidRDefault="00B86FB3" w:rsidP="00B86FB3"/>
    <w:p w14:paraId="7256684A" w14:textId="35F93914" w:rsidR="00B86FB3" w:rsidRPr="00FF756A" w:rsidRDefault="00B86FB3" w:rsidP="004A3257">
      <w:pPr>
        <w:pStyle w:val="Heading1"/>
        <w:numPr>
          <w:ilvl w:val="0"/>
          <w:numId w:val="117"/>
        </w:numPr>
      </w:pPr>
      <w:bookmarkStart w:id="468" w:name="_Toc71832845"/>
      <w:bookmarkStart w:id="469" w:name="_Toc72331012"/>
      <w:bookmarkStart w:id="470" w:name="_Toc75616144"/>
      <w:bookmarkStart w:id="471" w:name="_Toc100575605"/>
      <w:bookmarkStart w:id="472" w:name="_Toc182898968"/>
      <w:bookmarkStart w:id="473" w:name="_Toc183639257"/>
      <w:r w:rsidRPr="00FF756A">
        <w:t>SITUATA AKTUALE DHE PROJEKSIONET BAZUAR NË</w:t>
      </w:r>
      <w:r w:rsidR="00074587" w:rsidRPr="00FF756A">
        <w:t xml:space="preserve"> </w:t>
      </w:r>
      <w:r w:rsidRPr="00FF756A">
        <w:t>POLITIKAT DHE MASAT EKZISTUESE</w:t>
      </w:r>
      <w:bookmarkEnd w:id="468"/>
      <w:bookmarkEnd w:id="469"/>
      <w:bookmarkEnd w:id="470"/>
      <w:bookmarkEnd w:id="471"/>
      <w:bookmarkEnd w:id="472"/>
      <w:bookmarkEnd w:id="473"/>
    </w:p>
    <w:p w14:paraId="77EBCDB3" w14:textId="77777777" w:rsidR="00B86FB3" w:rsidRPr="00FF756A" w:rsidRDefault="00B86FB3" w:rsidP="00B86FB3"/>
    <w:p w14:paraId="2C3F3EBE" w14:textId="33291DF5" w:rsidR="00B86FB3" w:rsidRPr="00FF756A" w:rsidRDefault="00074587" w:rsidP="004A3257">
      <w:pPr>
        <w:pStyle w:val="ListParagraph"/>
        <w:keepNext/>
        <w:keepLines/>
        <w:numPr>
          <w:ilvl w:val="1"/>
          <w:numId w:val="49"/>
        </w:numPr>
        <w:spacing w:before="40" w:after="0"/>
        <w:outlineLvl w:val="1"/>
        <w:rPr>
          <w:rFonts w:eastAsiaTheme="minorEastAsia"/>
          <w:color w:val="365F91"/>
          <w:sz w:val="26"/>
          <w:szCs w:val="26"/>
          <w:lang w:eastAsia="de-DE"/>
        </w:rPr>
      </w:pPr>
      <w:bookmarkStart w:id="474" w:name="_Toc75616145"/>
      <w:bookmarkStart w:id="475" w:name="_Toc100575606"/>
      <w:bookmarkStart w:id="476" w:name="_Toc182898969"/>
      <w:r w:rsidRPr="00FF756A">
        <w:rPr>
          <w:rFonts w:eastAsiaTheme="minorEastAsia"/>
          <w:color w:val="365F91"/>
          <w:sz w:val="26"/>
          <w:szCs w:val="26"/>
          <w:lang w:eastAsia="de-DE"/>
        </w:rPr>
        <w:t xml:space="preserve"> </w:t>
      </w:r>
      <w:bookmarkStart w:id="477" w:name="_Toc183639258"/>
      <w:r w:rsidR="00B86FB3" w:rsidRPr="00FF756A">
        <w:rPr>
          <w:rFonts w:eastAsiaTheme="minorEastAsia"/>
          <w:color w:val="365F91"/>
          <w:sz w:val="26"/>
          <w:szCs w:val="26"/>
          <w:lang w:eastAsia="de-DE"/>
        </w:rPr>
        <w:t xml:space="preserve">Ndryshimet e projektuara të faktorëve kryesorë ekzogjenë që ndikojnë në sistemin e energjisë dhe në luhatjet </w:t>
      </w:r>
      <w:r w:rsidR="000841D9" w:rsidRPr="00FF756A">
        <w:rPr>
          <w:rFonts w:eastAsiaTheme="minorEastAsia"/>
          <w:color w:val="365F91"/>
          <w:sz w:val="26"/>
          <w:szCs w:val="26"/>
          <w:lang w:eastAsia="de-DE"/>
        </w:rPr>
        <w:t>e shkarkimeve të</w:t>
      </w:r>
      <w:r w:rsidR="00B86FB3" w:rsidRPr="00FF756A">
        <w:rPr>
          <w:rFonts w:eastAsiaTheme="minorEastAsia"/>
          <w:color w:val="365F91"/>
          <w:sz w:val="26"/>
          <w:szCs w:val="26"/>
          <w:lang w:eastAsia="de-DE"/>
        </w:rPr>
        <w:t xml:space="preserve"> GES-ve</w:t>
      </w:r>
      <w:bookmarkEnd w:id="474"/>
      <w:bookmarkEnd w:id="475"/>
      <w:bookmarkEnd w:id="476"/>
      <w:bookmarkEnd w:id="477"/>
    </w:p>
    <w:p w14:paraId="1156DC76" w14:textId="005D27BF" w:rsidR="00B86FB3" w:rsidRPr="00FF756A" w:rsidRDefault="00B86FB3" w:rsidP="00B86FB3">
      <w:r w:rsidRPr="00FF756A">
        <w:t>Ky k</w:t>
      </w:r>
      <w:r w:rsidR="000841D9" w:rsidRPr="00FF756A">
        <w:t>apitull</w:t>
      </w:r>
      <w:r w:rsidRPr="00FF756A">
        <w:t xml:space="preserve"> prezanton një projeksion të </w:t>
      </w:r>
      <w:r w:rsidR="00631030" w:rsidRPr="00FF756A">
        <w:t xml:space="preserve">zhvillimi </w:t>
      </w:r>
      <w:r w:rsidRPr="00FF756A">
        <w:t>të sistemit të energjisë në Shqipëri bazuar në politikat dhe masat ekzistuese, i cili njihet gjithashtu si skenari “Me masa ekzistuese” (WEM).</w:t>
      </w:r>
    </w:p>
    <w:p w14:paraId="137E6FB7" w14:textId="77777777" w:rsidR="002544FE" w:rsidRPr="00FF756A" w:rsidRDefault="002544FE" w:rsidP="00B86FB3"/>
    <w:p w14:paraId="4C5461C0" w14:textId="5F5E27BF" w:rsidR="00B86FB3" w:rsidRPr="00FF756A" w:rsidRDefault="00B86FB3" w:rsidP="004A3257">
      <w:pPr>
        <w:pStyle w:val="ListParagraph"/>
        <w:keepNext/>
        <w:keepLines/>
        <w:numPr>
          <w:ilvl w:val="2"/>
          <w:numId w:val="246"/>
        </w:numPr>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rFonts w:eastAsia="Calibri Light"/>
          <w:i/>
          <w:iCs/>
          <w:color w:val="2F5496" w:themeColor="accent1" w:themeShade="BF"/>
        </w:rPr>
      </w:pPr>
      <w:bookmarkStart w:id="478" w:name="_Toc183639259"/>
      <w:r w:rsidRPr="00FF756A">
        <w:rPr>
          <w:rFonts w:eastAsia="Calibri Light"/>
          <w:i/>
          <w:iCs/>
          <w:color w:val="2F5496" w:themeColor="accent1" w:themeShade="BF"/>
        </w:rPr>
        <w:t>Parashikimet në nivel makroekonomik (PBB-ja dhe rritja e popullsisë)</w:t>
      </w:r>
      <w:bookmarkEnd w:id="478"/>
    </w:p>
    <w:p w14:paraId="5C36D625" w14:textId="2D7E3B01" w:rsidR="00B86FB3" w:rsidRPr="00FF756A" w:rsidRDefault="00B86FB3" w:rsidP="00B86FB3">
      <w:r w:rsidRPr="00FF756A">
        <w:t>Nxitësit makroekonomikë që qëndrojnë në themel të kësaj analize bazohen në parashikimet më të përditësuara në dispozicion. P</w:t>
      </w:r>
      <w:r w:rsidR="00F9720E" w:rsidRPr="00FF756A">
        <w:t xml:space="preserve">rojeksioni </w:t>
      </w:r>
      <w:r w:rsidRPr="00FF756A">
        <w:t xml:space="preserve">i PBB-së bazohet në përllogaritjet e Fondit Monetar Ndërkombëtar </w:t>
      </w:r>
      <w:sdt>
        <w:sdtPr>
          <w:alias w:val="Për të modifikuar, shihni citavi.com/edit"/>
          <w:tag w:val="CitaviPlaceholder#eb797420-2e04-4169-aa25-ce96683de8b8"/>
          <w:id w:val="-2133931023"/>
          <w:placeholder>
            <w:docPart w:val="49286EA836994DEE9583A9A6AD9429D5"/>
          </w:placeholder>
        </w:sdtPr>
        <w:sdtEndPr/>
        <w:sdtContent>
          <w:r w:rsidRPr="00FF756A">
            <w:fldChar w:fldCharType="begin"/>
          </w:r>
          <w:r w:rsidRPr="00FF756A">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}</w:instrText>
          </w:r>
          <w:r w:rsidRPr="00FF756A">
            <w:fldChar w:fldCharType="separate"/>
          </w:r>
          <w:r w:rsidRPr="00FF756A">
            <w:t>(IMF 2021)</w:t>
          </w:r>
          <w:r w:rsidRPr="00FF756A">
            <w:fldChar w:fldCharType="end"/>
          </w:r>
        </w:sdtContent>
      </w:sdt>
      <w:r w:rsidRPr="00FF756A">
        <w:t xml:space="preserve">. Kjo përfshin ndikimet që pandemia COVID-19 ka pasur në zhvillimin ekonomik që prej vitit 2020, me një rënie të PBB-së prej 3,3%. Faza e rikuperimit nis në vitin 2021 me një rritje të PBB-së me 4,85%, e cila vijon më pas me një rritje vjetore konstante deri në vitin 2050. </w:t>
      </w:r>
      <w:r w:rsidRPr="00FF756A">
        <w:fldChar w:fldCharType="begin"/>
      </w:r>
      <w:r w:rsidRPr="00FF756A">
        <w:instrText xml:space="preserve"> REF _Ref71457519 \h  \* MERGEFORMAT </w:instrText>
      </w:r>
      <w:r w:rsidRPr="00FF756A">
        <w:fldChar w:fldCharType="separate"/>
      </w:r>
      <w:r w:rsidRPr="00FF756A">
        <w:t>Figura 1</w:t>
      </w:r>
      <w:r w:rsidRPr="00FF756A">
        <w:fldChar w:fldCharType="end"/>
      </w:r>
      <w:r w:rsidR="00415D2B" w:rsidRPr="00FF756A">
        <w:t>9</w:t>
      </w:r>
      <w:r w:rsidRPr="00FF756A">
        <w:t xml:space="preserve"> tregon zhvillimin real të PBB-së (vlera monetare në vitin 2015).</w:t>
      </w:r>
    </w:p>
    <w:p w14:paraId="3EC229A6" w14:textId="3BD6AC72" w:rsidR="00B86FB3" w:rsidRPr="00FF756A" w:rsidRDefault="00B86FB3" w:rsidP="00B86FB3">
      <w:r w:rsidRPr="00FF756A">
        <w:t xml:space="preserve">Rritja e popullsisë është në përputhje me të dhënat zyrtare të Institutit Shqiptar të Statistikave, INSTAT, bazuar në skenarin e mesëm </w:t>
      </w:r>
      <w:sdt>
        <w:sdtPr>
          <w:alias w:val="Për të modifikuar, shihni citavi.com/edit"/>
          <w:tag w:val="CitaviPlaceholder#0ca9f419-e9ef-4e16-a67d-996f01cf92c4"/>
          <w:id w:val="1336340357"/>
          <w:placeholder>
            <w:docPart w:val="49286EA836994DEE9583A9A6AD9429D5"/>
          </w:placeholder>
        </w:sdtPr>
        <w:sdtEndPr/>
        <w:sdtContent>
          <w:r w:rsidRPr="00FF756A">
            <w:fldChar w:fldCharType="begin"/>
          </w:r>
          <w:r w:rsidRPr="00FF756A">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}</w:instrText>
          </w:r>
          <w:r w:rsidRPr="00FF756A">
            <w:fldChar w:fldCharType="separate"/>
          </w:r>
          <w:r w:rsidRPr="00FF756A">
            <w:t>(INSTAT 2021)</w:t>
          </w:r>
          <w:r w:rsidRPr="00FF756A">
            <w:fldChar w:fldCharType="end"/>
          </w:r>
        </w:sdtContent>
      </w:sdt>
      <w:r w:rsidRPr="00FF756A">
        <w:t xml:space="preserve">. Popullsia do të pësojë një tkurrje të lehtë nga </w:t>
      </w:r>
      <w:r w:rsidRPr="00FF756A">
        <w:rPr>
          <w:highlight w:val="yellow"/>
        </w:rPr>
        <w:t>2,87 milionë në vitin 2018 në 2,76 milionë në vitin 2030 dhe në 2,35 milionë në vitin 2050</w:t>
      </w:r>
      <w:r w:rsidRPr="00FF756A">
        <w:t xml:space="preserve">. </w:t>
      </w:r>
      <w:r w:rsidRPr="00FF756A">
        <w:fldChar w:fldCharType="begin"/>
      </w:r>
      <w:r w:rsidRPr="00FF756A">
        <w:instrText xml:space="preserve"> REF _Ref71457534 \h  \* MERGEFORMAT </w:instrText>
      </w:r>
      <w:r w:rsidRPr="00FF756A">
        <w:fldChar w:fldCharType="separate"/>
      </w:r>
      <w:r w:rsidRPr="00FF756A">
        <w:t>Figura 2</w:t>
      </w:r>
      <w:r w:rsidRPr="00FF756A">
        <w:fldChar w:fldCharType="end"/>
      </w:r>
      <w:r w:rsidR="005229BE" w:rsidRPr="00FF756A">
        <w:t>0</w:t>
      </w:r>
      <w:r w:rsidRPr="00FF756A">
        <w:t xml:space="preserve"> tregon zhvillimin e popullsisë.</w:t>
      </w:r>
    </w:p>
    <w:p w14:paraId="0D0174E1" w14:textId="77777777" w:rsidR="00074587" w:rsidRPr="00FF756A" w:rsidRDefault="00B86FB3" w:rsidP="00074587">
      <w:pPr>
        <w:keepNext/>
      </w:pPr>
      <w:r w:rsidRPr="00FF756A">
        <w:rPr>
          <w:noProof/>
          <w:lang w:val="en-US"/>
        </w:rPr>
        <w:drawing>
          <wp:inline distT="0" distB="0" distL="0" distR="0" wp14:anchorId="18172C1F" wp14:editId="550F7659">
            <wp:extent cx="5760720" cy="3416300"/>
            <wp:effectExtent l="0" t="0" r="0" b="0"/>
            <wp:docPr id="424364447" name="Picture 37" descr="A graph with blue and orang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364447" name="Picture 37" descr="A graph with blue and orange lines&#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0720" cy="3416300"/>
                    </a:xfrm>
                    <a:prstGeom prst="rect">
                      <a:avLst/>
                    </a:prstGeom>
                  </pic:spPr>
                </pic:pic>
              </a:graphicData>
            </a:graphic>
          </wp:inline>
        </w:drawing>
      </w:r>
    </w:p>
    <w:p w14:paraId="39C4A7D6" w14:textId="604CD1E3" w:rsidR="00B86FB3" w:rsidRPr="00FF756A" w:rsidRDefault="00074587" w:rsidP="00074587">
      <w:pPr>
        <w:pStyle w:val="Caption"/>
        <w:rPr>
          <w:rFonts w:ascii="Times New Roman" w:hAnsi="Times New Roman"/>
        </w:rPr>
      </w:pPr>
      <w:bookmarkStart w:id="479" w:name="_Toc183016549"/>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19</w:t>
      </w:r>
      <w:r w:rsidR="008E7DE9" w:rsidRPr="00FF756A">
        <w:rPr>
          <w:rFonts w:ascii="Times New Roman" w:hAnsi="Times New Roman"/>
          <w:noProof/>
        </w:rPr>
        <w:fldChar w:fldCharType="end"/>
      </w:r>
      <w:r w:rsidRPr="00FF756A">
        <w:rPr>
          <w:rFonts w:ascii="Times New Roman" w:hAnsi="Times New Roman"/>
        </w:rPr>
        <w:t>: Zhvillimi real i PBB-së për vitet 2012 - 2050</w:t>
      </w:r>
      <w:bookmarkEnd w:id="479"/>
    </w:p>
    <w:p w14:paraId="4836CD3E" w14:textId="77777777" w:rsidR="00B86FB3" w:rsidRPr="00FF756A" w:rsidRDefault="00B86FB3" w:rsidP="00B86FB3"/>
    <w:p w14:paraId="028EC9B4" w14:textId="77777777" w:rsidR="00074587" w:rsidRPr="00FF756A" w:rsidRDefault="00B86FB3" w:rsidP="00074587">
      <w:pPr>
        <w:keepNext/>
      </w:pPr>
      <w:r w:rsidRPr="00FF756A">
        <w:rPr>
          <w:noProof/>
          <w:lang w:val="en-US"/>
        </w:rPr>
        <w:drawing>
          <wp:inline distT="0" distB="0" distL="0" distR="0" wp14:anchorId="5E223D99" wp14:editId="4D3C27F2">
            <wp:extent cx="5773420" cy="3432175"/>
            <wp:effectExtent l="0" t="0" r="0" b="0"/>
            <wp:docPr id="238387567"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387567" name="Picture 1" descr="A graph with numbers and lines&#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73420" cy="3432175"/>
                    </a:xfrm>
                    <a:prstGeom prst="rect">
                      <a:avLst/>
                    </a:prstGeom>
                    <a:noFill/>
                  </pic:spPr>
                </pic:pic>
              </a:graphicData>
            </a:graphic>
          </wp:inline>
        </w:drawing>
      </w:r>
    </w:p>
    <w:p w14:paraId="796C96D7" w14:textId="020A92E9" w:rsidR="00B86FB3" w:rsidRPr="00FF756A" w:rsidRDefault="00074587" w:rsidP="00074587">
      <w:pPr>
        <w:pStyle w:val="Caption"/>
        <w:rPr>
          <w:rFonts w:ascii="Times New Roman" w:hAnsi="Times New Roman"/>
        </w:rPr>
      </w:pPr>
      <w:bookmarkStart w:id="480" w:name="_Toc183016550"/>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20</w:t>
      </w:r>
      <w:r w:rsidR="008E7DE9" w:rsidRPr="00FF756A">
        <w:rPr>
          <w:rFonts w:ascii="Times New Roman" w:hAnsi="Times New Roman"/>
          <w:noProof/>
        </w:rPr>
        <w:fldChar w:fldCharType="end"/>
      </w:r>
      <w:r w:rsidRPr="00FF756A">
        <w:rPr>
          <w:rFonts w:ascii="Times New Roman" w:hAnsi="Times New Roman"/>
        </w:rPr>
        <w:t>: Rritja e popullsisë për vitet 2012-2050</w:t>
      </w:r>
      <w:bookmarkEnd w:id="480"/>
    </w:p>
    <w:p w14:paraId="1BBEC77C" w14:textId="77777777" w:rsidR="00B86FB3" w:rsidRPr="00FF756A" w:rsidRDefault="00B86FB3" w:rsidP="00B86FB3">
      <w:pPr>
        <w:spacing w:after="100"/>
        <w:ind w:left="440"/>
      </w:pPr>
    </w:p>
    <w:p w14:paraId="00F794A7" w14:textId="197ADDC2" w:rsidR="00B86FB3" w:rsidRPr="00FF756A" w:rsidRDefault="00B86FB3" w:rsidP="004A3257">
      <w:pPr>
        <w:pStyle w:val="ListParagraph"/>
        <w:keepNext/>
        <w:keepLines/>
        <w:numPr>
          <w:ilvl w:val="2"/>
          <w:numId w:val="246"/>
        </w:numPr>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rFonts w:eastAsia="Calibri Light"/>
          <w:i/>
          <w:iCs/>
          <w:color w:val="2F5496" w:themeColor="accent1" w:themeShade="BF"/>
        </w:rPr>
      </w:pPr>
      <w:bookmarkStart w:id="481" w:name="_Ref71821653"/>
      <w:bookmarkStart w:id="482" w:name="_Toc183639260"/>
      <w:r w:rsidRPr="00FF756A">
        <w:rPr>
          <w:rFonts w:eastAsia="Calibri Light"/>
          <w:i/>
          <w:iCs/>
          <w:color w:val="2F5496" w:themeColor="accent1" w:themeShade="BF"/>
        </w:rPr>
        <w:t>Ndryshimet sektoriale që parashikohet të kenë ndikim te sistemi i energjisë dhe emetimet e GES-ve</w:t>
      </w:r>
      <w:bookmarkEnd w:id="481"/>
      <w:bookmarkEnd w:id="482"/>
    </w:p>
    <w:p w14:paraId="61AC0E3F" w14:textId="0F8B891F" w:rsidR="005324B7" w:rsidRPr="00FF756A" w:rsidRDefault="00B86FB3" w:rsidP="004A3257">
      <w:r w:rsidRPr="00FF756A">
        <w:t xml:space="preserve">Krahas PBB-së dhe popullsisë, shpërndarja e vlerës së shtuar mes sektorëve me kërkesë për energji luan gjithashtu një rol të rëndësishëm në konsumin e energjisë. </w:t>
      </w:r>
      <w:r w:rsidR="000E721A" w:rsidRPr="00FF756A">
        <w:t>21</w:t>
      </w:r>
      <w:r w:rsidRPr="00FF756A">
        <w:t xml:space="preserve"> tregon kontributin përkatës të sektorit industrial, bujqësor dhe atij të shërbimeve duke përdorur të dhëna historike. </w:t>
      </w:r>
      <w:r w:rsidR="005324B7" w:rsidRPr="00FF756A">
        <w:t>Kontributet e secilit sektor në vlerën e shtuar pritet të ruajnë tendencat aktuale. Rritja e vazhdueshme e sektorit të shërbimeve parashikohet të rrisë më tej peshën e tij relative në krijimin e vlerës së shtuar.</w:t>
      </w:r>
    </w:p>
    <w:p w14:paraId="46101438" w14:textId="77777777" w:rsidR="00074587" w:rsidRPr="00FF756A" w:rsidRDefault="00B86FB3" w:rsidP="004A3257">
      <w:r w:rsidRPr="00FF756A">
        <w:rPr>
          <w:noProof/>
          <w:lang w:val="en-US"/>
        </w:rPr>
        <w:drawing>
          <wp:inline distT="0" distB="0" distL="0" distR="0" wp14:anchorId="79FB8C1E" wp14:editId="4BBACAA4">
            <wp:extent cx="5605145" cy="3243521"/>
            <wp:effectExtent l="0" t="0" r="0" b="0"/>
            <wp:docPr id="51" name="Picture 51" descr="A graph of a graph showing the value added of sh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graph of a graph showing the value added of shares&#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18011" cy="3250966"/>
                    </a:xfrm>
                    <a:prstGeom prst="rect">
                      <a:avLst/>
                    </a:prstGeom>
                    <a:noFill/>
                  </pic:spPr>
                </pic:pic>
              </a:graphicData>
            </a:graphic>
          </wp:inline>
        </w:drawing>
      </w:r>
    </w:p>
    <w:p w14:paraId="053B8373" w14:textId="547DA113" w:rsidR="00B86FB3" w:rsidRPr="00FF756A" w:rsidRDefault="00074587" w:rsidP="00074587">
      <w:pPr>
        <w:pStyle w:val="Caption"/>
        <w:jc w:val="left"/>
        <w:rPr>
          <w:rFonts w:ascii="Times New Roman" w:hAnsi="Times New Roman"/>
        </w:rPr>
      </w:pPr>
      <w:bookmarkStart w:id="483" w:name="_Toc183016551"/>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21</w:t>
      </w:r>
      <w:r w:rsidR="008E7DE9" w:rsidRPr="00FF756A">
        <w:rPr>
          <w:rFonts w:ascii="Times New Roman" w:hAnsi="Times New Roman"/>
          <w:noProof/>
        </w:rPr>
        <w:fldChar w:fldCharType="end"/>
      </w:r>
      <w:r w:rsidRPr="00FF756A">
        <w:rPr>
          <w:rFonts w:ascii="Times New Roman" w:hAnsi="Times New Roman"/>
        </w:rPr>
        <w:t>: Kontributi në vlerën e shtuar i sektorëve me kërkesë për energji, i analizuar shprehimisht në modelin nga 1995 deri në 2018</w:t>
      </w:r>
      <w:bookmarkEnd w:id="483"/>
    </w:p>
    <w:p w14:paraId="2FB483C8" w14:textId="77777777" w:rsidR="00B86FB3" w:rsidRPr="00FF756A" w:rsidRDefault="00B86FB3" w:rsidP="00B86FB3">
      <w:r w:rsidRPr="00FF756A">
        <w:t>Krahas ndikimeve në nivel makroekonomik, janë edhe një sërë ndryshimesh strukturore që ndikojnë në konsumin e energjisë në nivel sektorial. Efektet më të rëndësishme paraqiten në vijim, të renditura sipas sektorit.</w:t>
      </w:r>
    </w:p>
    <w:p w14:paraId="4F828000" w14:textId="77777777" w:rsidR="00E8338F" w:rsidRPr="00FF756A" w:rsidRDefault="00E8338F" w:rsidP="00B86FB3"/>
    <w:p w14:paraId="3B3059D6" w14:textId="77777777" w:rsidR="00B86FB3" w:rsidRPr="00FF756A" w:rsidRDefault="00B86FB3" w:rsidP="004A3257">
      <w:pPr>
        <w:pStyle w:val="Heading4"/>
        <w:numPr>
          <w:ilvl w:val="0"/>
          <w:numId w:val="0"/>
        </w:numPr>
        <w:ind w:left="864" w:hanging="864"/>
        <w:rPr>
          <w:rFonts w:cs="Times New Roman"/>
        </w:rPr>
      </w:pPr>
      <w:bookmarkStart w:id="484" w:name="_Toc183639261"/>
      <w:r w:rsidRPr="00FF756A">
        <w:rPr>
          <w:rFonts w:cs="Times New Roman"/>
        </w:rPr>
        <w:t>Sektori i banesave</w:t>
      </w:r>
      <w:bookmarkEnd w:id="484"/>
    </w:p>
    <w:p w14:paraId="48F339D6" w14:textId="57BA04E9" w:rsidR="00B86FB3" w:rsidRPr="00FF756A" w:rsidRDefault="00B86FB3" w:rsidP="00B86FB3">
      <w:r w:rsidRPr="00FF756A">
        <w:t>Madhësia e familjes pritet të zvogëlohet, nga mesatarisht 3,9 persona për familje në vitin 2012, në 3,1 persona për familje në vitin 2030, për të vijuar më pas me 2,9 persona për familje në vitin 2040 dhe 2,6 persona për familje në vitin 2050</w:t>
      </w:r>
      <w:sdt>
        <w:sdtPr>
          <w:alias w:val="Për të modifikuar, shihni citavi.com/edit"/>
          <w:tag w:val="CitaviPlaceholder#81768ad3-b2aa-4a72-8240-e79f745d6572"/>
          <w:id w:val="-882626088"/>
          <w:placeholder>
            <w:docPart w:val="A7FAF209AB1A47AEBE720282F95BC029"/>
          </w:placeholder>
        </w:sdtPr>
        <w:sdtEndPr/>
        <w:sdtContent>
          <w:r w:rsidRPr="00FF756A">
            <w:fldChar w:fldCharType="begin"/>
          </w:r>
          <w:r w:rsidRPr="00FF756A">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}</w:instrText>
          </w:r>
          <w:r w:rsidRPr="00FF756A">
            <w:fldChar w:fldCharType="end"/>
          </w:r>
        </w:sdtContent>
      </w:sdt>
      <w:r w:rsidRPr="00FF756A">
        <w:t xml:space="preserve">. </w:t>
      </w:r>
      <w:r w:rsidR="00DF65C0" w:rsidRPr="00FF756A">
        <w:t>22</w:t>
      </w:r>
      <w:r w:rsidRPr="00FF756A">
        <w:t xml:space="preserve"> tregon zhvillimin e kategorive të vjetërsisë së banesave, duke filluar nga Censi i vitit 2023 dhe duke e shtrirë projeksionin deri në vitin 2050. Shkalla e rikonstruktimit është e lartë, duke rezultuar në një përqindje të sipërfaqeve të ndërtuara ose të rinovuara pas vitit 2015 të barabartë me 26% të sipërfaqes totale të ndërtimit deri në vitin 2050. </w:t>
      </w:r>
      <w:r w:rsidR="001422F4" w:rsidRPr="00FF756A">
        <w:t xml:space="preserve">Shkatërrimi </w:t>
      </w:r>
      <w:r w:rsidRPr="00FF756A">
        <w:t>më i theksuar vihet re në godinat e ndërtuara midis viteve 1961 dhe 1990.</w:t>
      </w:r>
    </w:p>
    <w:p w14:paraId="7D2F8655" w14:textId="77777777" w:rsidR="00074587" w:rsidRPr="00FF756A" w:rsidRDefault="00B86FB3" w:rsidP="00074587">
      <w:pPr>
        <w:keepNext/>
      </w:pPr>
      <w:r w:rsidRPr="00FF756A">
        <w:rPr>
          <w:noProof/>
          <w:lang w:val="en-US"/>
        </w:rPr>
        <w:drawing>
          <wp:inline distT="0" distB="0" distL="0" distR="0" wp14:anchorId="7A36E55C" wp14:editId="6DE473CE">
            <wp:extent cx="5760720" cy="3019425"/>
            <wp:effectExtent l="0" t="0" r="0" b="9525"/>
            <wp:docPr id="1758784534" name="Picture 39" descr="A graph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784534" name="Picture 39" descr="A graph of a diagram&#10;&#10;Description automatically generated with medium confidenc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60720" cy="3019425"/>
                    </a:xfrm>
                    <a:prstGeom prst="rect">
                      <a:avLst/>
                    </a:prstGeom>
                  </pic:spPr>
                </pic:pic>
              </a:graphicData>
            </a:graphic>
          </wp:inline>
        </w:drawing>
      </w:r>
    </w:p>
    <w:p w14:paraId="35FEB171" w14:textId="08E01A54" w:rsidR="00B86FB3" w:rsidRPr="00FF756A" w:rsidRDefault="00074587" w:rsidP="00074587">
      <w:pPr>
        <w:pStyle w:val="Caption"/>
        <w:rPr>
          <w:rFonts w:ascii="Times New Roman" w:hAnsi="Times New Roman"/>
        </w:rPr>
      </w:pPr>
      <w:bookmarkStart w:id="485" w:name="_Toc183016552"/>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22</w:t>
      </w:r>
      <w:r w:rsidR="008E7DE9" w:rsidRPr="00FF756A">
        <w:rPr>
          <w:rFonts w:ascii="Times New Roman" w:hAnsi="Times New Roman"/>
          <w:noProof/>
        </w:rPr>
        <w:fldChar w:fldCharType="end"/>
      </w:r>
      <w:r w:rsidRPr="00FF756A">
        <w:rPr>
          <w:rFonts w:ascii="Times New Roman" w:hAnsi="Times New Roman"/>
        </w:rPr>
        <w:t>:Zhvillimi i sipërfaqes së ndërtimit sipas vitit të ndërtimit. Burimi: Prezantim i Censit 2023</w:t>
      </w:r>
      <w:bookmarkEnd w:id="485"/>
    </w:p>
    <w:p w14:paraId="5B5CB443" w14:textId="77777777" w:rsidR="00B86FB3" w:rsidRPr="00FF756A" w:rsidRDefault="00B86FB3" w:rsidP="00B86FB3"/>
    <w:p w14:paraId="0E7C4423" w14:textId="45F9BA1C" w:rsidR="00B86FB3" w:rsidRPr="00FF756A" w:rsidRDefault="00B86FB3" w:rsidP="00B86FB3">
      <w:r w:rsidRPr="00FF756A">
        <w:t xml:space="preserve">Ajo çfarë bie në sy është edhe ndryshimi në shpërndarjen e sipërfaqes së ndërtimit në varësi të llojeve të ndryshme të ndërtesave.  </w:t>
      </w:r>
      <w:r w:rsidR="004A4FE6" w:rsidRPr="00FF756A">
        <w:t>26</w:t>
      </w:r>
      <w:r w:rsidRPr="00FF756A">
        <w:t xml:space="preserve"> përcakton kategoritë e banesave të përdorura në analizë.</w:t>
      </w:r>
    </w:p>
    <w:p w14:paraId="504EA55E" w14:textId="77777777" w:rsidR="00B86FB3" w:rsidRPr="00FF756A" w:rsidRDefault="00B86FB3" w:rsidP="00B86FB3">
      <w:pPr>
        <w:spacing w:before="0" w:after="0" w:line="240" w:lineRule="auto"/>
        <w:jc w:val="left"/>
      </w:pPr>
    </w:p>
    <w:tbl>
      <w:tblPr>
        <w:tblStyle w:val="GridTable5DarkAccent10"/>
        <w:tblW w:w="0" w:type="auto"/>
        <w:tblLook w:val="04A0" w:firstRow="1" w:lastRow="0" w:firstColumn="1" w:lastColumn="0" w:noHBand="0" w:noVBand="1"/>
      </w:tblPr>
      <w:tblGrid>
        <w:gridCol w:w="2835"/>
        <w:gridCol w:w="4111"/>
      </w:tblGrid>
      <w:tr w:rsidR="00B86FB3" w:rsidRPr="00FF756A" w14:paraId="7BA85079" w14:textId="77777777" w:rsidTr="006A32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742AD8E4" w14:textId="77777777" w:rsidR="00B86FB3" w:rsidRPr="00FF756A" w:rsidRDefault="00B86FB3" w:rsidP="00B86FB3">
            <w:pPr>
              <w:rPr>
                <w:rFonts w:cs="Times New Roman"/>
              </w:rPr>
            </w:pPr>
            <w:r w:rsidRPr="00FF756A">
              <w:rPr>
                <w:rFonts w:cs="Times New Roman"/>
              </w:rPr>
              <w:t>Lloji i ndërtesës</w:t>
            </w:r>
          </w:p>
        </w:tc>
        <w:tc>
          <w:tcPr>
            <w:tcW w:w="4111" w:type="dxa"/>
          </w:tcPr>
          <w:p w14:paraId="2ACFA98D"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rPr>
            </w:pPr>
            <w:r w:rsidRPr="00FF756A">
              <w:rPr>
                <w:rFonts w:cs="Times New Roman"/>
              </w:rPr>
              <w:t>Numri i banesave për ndërtesë</w:t>
            </w:r>
          </w:p>
        </w:tc>
      </w:tr>
      <w:tr w:rsidR="00B86FB3" w:rsidRPr="00FF756A" w14:paraId="0AB8317C"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03243263" w14:textId="77777777" w:rsidR="00B86FB3" w:rsidRPr="00FF756A" w:rsidRDefault="00B86FB3" w:rsidP="00B86FB3">
            <w:pPr>
              <w:rPr>
                <w:rFonts w:cs="Times New Roman"/>
              </w:rPr>
            </w:pPr>
            <w:r w:rsidRPr="00FF756A">
              <w:rPr>
                <w:rFonts w:cs="Times New Roman"/>
              </w:rPr>
              <w:t>Shtëpi të veçuara</w:t>
            </w:r>
          </w:p>
        </w:tc>
        <w:tc>
          <w:tcPr>
            <w:tcW w:w="4111" w:type="dxa"/>
          </w:tcPr>
          <w:p w14:paraId="1EADC05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1</w:t>
            </w:r>
          </w:p>
        </w:tc>
      </w:tr>
      <w:tr w:rsidR="00B86FB3" w:rsidRPr="00FF756A" w14:paraId="0077F4DB" w14:textId="77777777" w:rsidTr="006A3266">
        <w:tc>
          <w:tcPr>
            <w:cnfStyle w:val="001000000000" w:firstRow="0" w:lastRow="0" w:firstColumn="1" w:lastColumn="0" w:oddVBand="0" w:evenVBand="0" w:oddHBand="0" w:evenHBand="0" w:firstRowFirstColumn="0" w:firstRowLastColumn="0" w:lastRowFirstColumn="0" w:lastRowLastColumn="0"/>
            <w:tcW w:w="2835" w:type="dxa"/>
          </w:tcPr>
          <w:p w14:paraId="574F19CB" w14:textId="77777777" w:rsidR="00B86FB3" w:rsidRPr="00FF756A" w:rsidRDefault="00B86FB3" w:rsidP="00B86FB3">
            <w:pPr>
              <w:rPr>
                <w:rFonts w:cs="Times New Roman"/>
              </w:rPr>
            </w:pPr>
            <w:r w:rsidRPr="00FF756A">
              <w:rPr>
                <w:rFonts w:cs="Times New Roman"/>
              </w:rPr>
              <w:t>Shtëpi gjysmë të veçuara</w:t>
            </w:r>
          </w:p>
        </w:tc>
        <w:tc>
          <w:tcPr>
            <w:tcW w:w="4111" w:type="dxa"/>
          </w:tcPr>
          <w:p w14:paraId="109D5FF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2</w:t>
            </w:r>
          </w:p>
        </w:tc>
      </w:tr>
      <w:tr w:rsidR="00B86FB3" w:rsidRPr="00FF756A" w14:paraId="0B3A3B3B"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14F932C7" w14:textId="77777777" w:rsidR="00B86FB3" w:rsidRPr="00FF756A" w:rsidRDefault="00B86FB3" w:rsidP="00B86FB3">
            <w:pPr>
              <w:rPr>
                <w:rFonts w:cs="Times New Roman"/>
              </w:rPr>
            </w:pPr>
            <w:r w:rsidRPr="00FF756A">
              <w:rPr>
                <w:rFonts w:cs="Times New Roman"/>
              </w:rPr>
              <w:t>Shtëpi në varg</w:t>
            </w:r>
          </w:p>
        </w:tc>
        <w:tc>
          <w:tcPr>
            <w:tcW w:w="4111" w:type="dxa"/>
          </w:tcPr>
          <w:p w14:paraId="371DBF2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3</w:t>
            </w:r>
          </w:p>
        </w:tc>
      </w:tr>
      <w:tr w:rsidR="00B86FB3" w:rsidRPr="00FF756A" w14:paraId="249AD43F" w14:textId="77777777" w:rsidTr="006A3266">
        <w:tc>
          <w:tcPr>
            <w:cnfStyle w:val="001000000000" w:firstRow="0" w:lastRow="0" w:firstColumn="1" w:lastColumn="0" w:oddVBand="0" w:evenVBand="0" w:oddHBand="0" w:evenHBand="0" w:firstRowFirstColumn="0" w:firstRowLastColumn="0" w:lastRowFirstColumn="0" w:lastRowLastColumn="0"/>
            <w:tcW w:w="2835" w:type="dxa"/>
          </w:tcPr>
          <w:p w14:paraId="53FF0752" w14:textId="77777777" w:rsidR="00B86FB3" w:rsidRPr="00FF756A" w:rsidRDefault="00B86FB3" w:rsidP="00B86FB3">
            <w:pPr>
              <w:rPr>
                <w:rFonts w:cs="Times New Roman"/>
              </w:rPr>
            </w:pPr>
            <w:r w:rsidRPr="00FF756A">
              <w:rPr>
                <w:rFonts w:cs="Times New Roman"/>
              </w:rPr>
              <w:t>Blloqe apartamentesh</w:t>
            </w:r>
          </w:p>
        </w:tc>
        <w:tc>
          <w:tcPr>
            <w:tcW w:w="4111" w:type="dxa"/>
          </w:tcPr>
          <w:p w14:paraId="79C8BA2A" w14:textId="77777777" w:rsidR="00B86FB3" w:rsidRPr="00FF756A" w:rsidRDefault="00B86FB3" w:rsidP="00074587">
            <w:pPr>
              <w:keepNext/>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&gt;4</w:t>
            </w:r>
          </w:p>
        </w:tc>
      </w:tr>
    </w:tbl>
    <w:p w14:paraId="7621ABF8" w14:textId="03EB9E1B" w:rsidR="00B86FB3" w:rsidRPr="00FF756A" w:rsidRDefault="00074587" w:rsidP="00074587">
      <w:pPr>
        <w:pStyle w:val="Caption"/>
        <w:rPr>
          <w:rFonts w:ascii="Times New Roman" w:hAnsi="Times New Roman"/>
        </w:rPr>
      </w:pPr>
      <w:bookmarkStart w:id="486" w:name="_Toc183016490"/>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9D1AA8" w:rsidRPr="00FF756A">
        <w:rPr>
          <w:rFonts w:ascii="Times New Roman" w:hAnsi="Times New Roman"/>
          <w:noProof/>
        </w:rPr>
        <w:t>26</w:t>
      </w:r>
      <w:r w:rsidR="008E7DE9" w:rsidRPr="00FF756A">
        <w:rPr>
          <w:rFonts w:ascii="Times New Roman" w:hAnsi="Times New Roman"/>
          <w:noProof/>
        </w:rPr>
        <w:fldChar w:fldCharType="end"/>
      </w:r>
      <w:r w:rsidRPr="00FF756A">
        <w:rPr>
          <w:rFonts w:ascii="Times New Roman" w:hAnsi="Times New Roman"/>
        </w:rPr>
        <w:t>: Përkufizimi i llojeve të ndërtesave</w:t>
      </w:r>
      <w:bookmarkEnd w:id="486"/>
    </w:p>
    <w:p w14:paraId="08DD8CF0" w14:textId="77777777" w:rsidR="00DA2636" w:rsidRPr="00FF756A" w:rsidRDefault="00DA2636" w:rsidP="00B86FB3"/>
    <w:p w14:paraId="04CF35F8" w14:textId="7D60E27B" w:rsidR="00B86FB3" w:rsidRPr="00FF756A" w:rsidRDefault="00B86FB3" w:rsidP="00B86FB3">
      <w:r w:rsidRPr="00FF756A">
        <w:t xml:space="preserve">Përqindja e sipërfaqes së ndërtimit në shtëpitë e veçuara ka pësuar rënie nga 51% në vitin 2023, në 46,0% në vitin 2050, ndërkohë që rënie është konstatuar dhe në shtëpitë gjysmë të veçuara dhe shtëpitë në varg, përkatësisht nga 9% në 7% dhe nga 5% në 4%. Rritja më e madhe shihet në blloqet e apartamenteve, me një rritje nga 35% në vitin 2023 në 43% në vitin 2050. </w:t>
      </w:r>
    </w:p>
    <w:p w14:paraId="1C561BBA" w14:textId="0AB12A31" w:rsidR="00B86FB3" w:rsidRPr="00FF756A" w:rsidRDefault="00B86FB3" w:rsidP="00B86FB3">
      <w:r w:rsidRPr="00FF756A">
        <w:t xml:space="preserve">Ndikimi i ndryshimit në përbërjen e banesave ul intensitetin e energjisë për shkak të konsumit të ulët të energjisë për sipërfaqe ndërtimi në blloqet e apartamenteve krahasuar me llojet më të vogla të ndërtesave. </w:t>
      </w:r>
      <w:r w:rsidR="00F6448E" w:rsidRPr="00FF756A">
        <w:t>Figura 23</w:t>
      </w:r>
      <w:r w:rsidRPr="00FF756A">
        <w:t xml:space="preserve"> tregon zhvillimin e sipërfaqes së ndërtimit sipas llojit të ndërtesës. Për më tepër, ndërtesat më të reja dhe më të mëdha kanë prirjen të përdorin një përqindje më të ulët të lëndës drusore si lëndë djegëse për ngrohjen e hapësirave dhe të ujit, duke i hapur shteg ngrohjes elektrike dhe gjithnjë e më shumë edhe pompave të nxehtësisë. Megjithatë, në varësi të llojit të ndërtesës, pritet një efekt "bumerang" me rritjen e përdorimit të ngrohjes së hapësirave për shkak të përmirësimit të performancës së energjisë. Po kështu, përhapja e pajisjeve për ftohjen e hapësirave në banesa pritet të rritet ndjeshëm nga 45% në vitin 2012 në Zonat klimatike A dhe B, në 71% në Zonën A dhe 74% në Zonën B, në vitin 2040. Në Zonën C, përhapja e tyre pritet të rritet nga 15% në vitin 2012 në 37% në vitin 2040. Kjo çon në rritjen e konsumit të energjisë për ftohjen e hapësirave, që nuk kompensohet nga përmirësimi i performancës energjetike. Shkalla e rikonstruktimit të banesave ka rrjedhimisht kontributin më të madh në </w:t>
      </w:r>
      <w:r w:rsidR="006C5E8B" w:rsidRPr="00FF756A">
        <w:t>uljen</w:t>
      </w:r>
      <w:r w:rsidRPr="00FF756A">
        <w:t xml:space="preserve"> e intensitetit të energjisë dhe një ndryshim në përzierjen e burimeve në sektorin e banesave. Përdorimi i lëndës drusore si lëndë djegëse për ngrohjen e hapësirave reduktohet nga 33,2% në vitin 2012 në 26,7% në vitin 2040, nëse nuk miratohen politika dhe masa. Brenda të njëjtës periudhe, përdorimi i energjisë elektrike rritet nga 41,4% në 45,5%. Pjesa e mbetur mbulohet nga GLN-ja.</w:t>
      </w:r>
    </w:p>
    <w:p w14:paraId="2E725DA0" w14:textId="77777777" w:rsidR="00B86FB3" w:rsidRPr="00FF756A" w:rsidRDefault="00B86FB3" w:rsidP="00B86FB3">
      <w:r w:rsidRPr="00FF756A">
        <w:t xml:space="preserve">Intensiteti energjetik për ngrohjen dhe ftohjen e hapësirave përcaktohet </w:t>
      </w:r>
      <w:bookmarkStart w:id="487" w:name="_Hlk75712896"/>
      <w:r w:rsidRPr="00FF756A">
        <w:t>nga gradë-ditët e ngrohjes (HDD) dhe gradë-ditët e ftohjes (CDD)</w:t>
      </w:r>
      <w:bookmarkEnd w:id="487"/>
      <w:r w:rsidRPr="00FF756A">
        <w:t>. Vlerat merren për tri zona klimatike. Zona A është rajoni bregdetar me klimën më të butë, ku përfshihet edhe kryeqyteti i Tiranës, Zona B është pjesa qendrore, e cila ka klimë të mesme, ndërsa Zona C është pjesa malore e vendit, me klimën më të ftohtë.</w:t>
      </w:r>
    </w:p>
    <w:p w14:paraId="747E9FA9" w14:textId="77777777" w:rsidR="00B86FB3" w:rsidRPr="00FF756A" w:rsidRDefault="00B86FB3" w:rsidP="00B86FB3"/>
    <w:tbl>
      <w:tblPr>
        <w:tblStyle w:val="GridTable5DarkAccent10"/>
        <w:tblW w:w="0" w:type="auto"/>
        <w:tblLook w:val="04A0" w:firstRow="1" w:lastRow="0" w:firstColumn="1" w:lastColumn="0" w:noHBand="0" w:noVBand="1"/>
      </w:tblPr>
      <w:tblGrid>
        <w:gridCol w:w="2281"/>
        <w:gridCol w:w="2261"/>
        <w:gridCol w:w="2258"/>
        <w:gridCol w:w="2262"/>
      </w:tblGrid>
      <w:tr w:rsidR="00B86FB3" w:rsidRPr="00FF756A" w14:paraId="4DB4B2C9" w14:textId="77777777" w:rsidTr="006A32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8BFFCBF" w14:textId="77777777" w:rsidR="00B86FB3" w:rsidRPr="00FF756A" w:rsidRDefault="00B86FB3" w:rsidP="00B86FB3">
            <w:pPr>
              <w:rPr>
                <w:rFonts w:cs="Times New Roman"/>
              </w:rPr>
            </w:pPr>
            <w:r w:rsidRPr="00FF756A">
              <w:rPr>
                <w:rFonts w:cs="Times New Roman"/>
              </w:rPr>
              <w:t>Gradë-ditët</w:t>
            </w:r>
          </w:p>
        </w:tc>
        <w:tc>
          <w:tcPr>
            <w:tcW w:w="2405" w:type="dxa"/>
          </w:tcPr>
          <w:p w14:paraId="38500A06"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rPr>
            </w:pPr>
            <w:r w:rsidRPr="00FF756A">
              <w:rPr>
                <w:rFonts w:cs="Times New Roman"/>
              </w:rPr>
              <w:t>Zona A</w:t>
            </w:r>
          </w:p>
        </w:tc>
        <w:tc>
          <w:tcPr>
            <w:tcW w:w="2406" w:type="dxa"/>
          </w:tcPr>
          <w:p w14:paraId="719D4B76"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rPr>
            </w:pPr>
            <w:r w:rsidRPr="00FF756A">
              <w:rPr>
                <w:rFonts w:cs="Times New Roman"/>
              </w:rPr>
              <w:t>Zona B</w:t>
            </w:r>
          </w:p>
        </w:tc>
        <w:tc>
          <w:tcPr>
            <w:tcW w:w="2406" w:type="dxa"/>
          </w:tcPr>
          <w:p w14:paraId="3A64F26A"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rPr>
            </w:pPr>
            <w:r w:rsidRPr="00FF756A">
              <w:rPr>
                <w:rFonts w:cs="Times New Roman"/>
              </w:rPr>
              <w:t>Zona C</w:t>
            </w:r>
          </w:p>
        </w:tc>
      </w:tr>
      <w:tr w:rsidR="00B86FB3" w:rsidRPr="00FF756A" w14:paraId="1390B3DF"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83BA08A" w14:textId="77777777" w:rsidR="00B86FB3" w:rsidRPr="00FF756A" w:rsidRDefault="00B86FB3" w:rsidP="00B86FB3">
            <w:pPr>
              <w:rPr>
                <w:rFonts w:cs="Times New Roman"/>
              </w:rPr>
            </w:pPr>
            <w:r w:rsidRPr="00FF756A">
              <w:rPr>
                <w:rFonts w:cs="Times New Roman"/>
              </w:rPr>
              <w:t>HDD (17,5°C)</w:t>
            </w:r>
          </w:p>
        </w:tc>
        <w:tc>
          <w:tcPr>
            <w:tcW w:w="2405" w:type="dxa"/>
          </w:tcPr>
          <w:p w14:paraId="128A879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&lt;1300</w:t>
            </w:r>
          </w:p>
        </w:tc>
        <w:tc>
          <w:tcPr>
            <w:tcW w:w="2406" w:type="dxa"/>
          </w:tcPr>
          <w:p w14:paraId="678104F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1300-2010</w:t>
            </w:r>
          </w:p>
        </w:tc>
        <w:tc>
          <w:tcPr>
            <w:tcW w:w="2406" w:type="dxa"/>
          </w:tcPr>
          <w:p w14:paraId="5BA9939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&gt;2300</w:t>
            </w:r>
          </w:p>
        </w:tc>
      </w:tr>
      <w:tr w:rsidR="00B86FB3" w:rsidRPr="00FF756A" w14:paraId="04C5B75D" w14:textId="77777777" w:rsidTr="006A3266">
        <w:tc>
          <w:tcPr>
            <w:cnfStyle w:val="001000000000" w:firstRow="0" w:lastRow="0" w:firstColumn="1" w:lastColumn="0" w:oddVBand="0" w:evenVBand="0" w:oddHBand="0" w:evenHBand="0" w:firstRowFirstColumn="0" w:firstRowLastColumn="0" w:lastRowFirstColumn="0" w:lastRowLastColumn="0"/>
            <w:tcW w:w="2405" w:type="dxa"/>
          </w:tcPr>
          <w:p w14:paraId="31513094" w14:textId="77777777" w:rsidR="00B86FB3" w:rsidRPr="00FF756A" w:rsidRDefault="00B86FB3" w:rsidP="00B86FB3">
            <w:pPr>
              <w:rPr>
                <w:rFonts w:cs="Times New Roman"/>
              </w:rPr>
            </w:pPr>
            <w:r w:rsidRPr="00FF756A">
              <w:rPr>
                <w:rFonts w:cs="Times New Roman"/>
              </w:rPr>
              <w:t>CDD (18,5°C)</w:t>
            </w:r>
          </w:p>
        </w:tc>
        <w:tc>
          <w:tcPr>
            <w:tcW w:w="2405" w:type="dxa"/>
          </w:tcPr>
          <w:p w14:paraId="12C16AF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870</w:t>
            </w:r>
          </w:p>
        </w:tc>
        <w:tc>
          <w:tcPr>
            <w:tcW w:w="2406" w:type="dxa"/>
          </w:tcPr>
          <w:p w14:paraId="21307CD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760</w:t>
            </w:r>
          </w:p>
        </w:tc>
        <w:tc>
          <w:tcPr>
            <w:tcW w:w="2406" w:type="dxa"/>
          </w:tcPr>
          <w:p w14:paraId="5C31FD0D" w14:textId="77777777" w:rsidR="00B86FB3" w:rsidRPr="00FF756A" w:rsidRDefault="00B86FB3" w:rsidP="00074587">
            <w:pPr>
              <w:keepNext/>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350</w:t>
            </w:r>
          </w:p>
        </w:tc>
      </w:tr>
    </w:tbl>
    <w:p w14:paraId="301823E2" w14:textId="7E385E15" w:rsidR="00B86FB3" w:rsidRPr="00FF756A" w:rsidRDefault="00074587" w:rsidP="00074587">
      <w:pPr>
        <w:pStyle w:val="Caption"/>
        <w:rPr>
          <w:rFonts w:ascii="Times New Roman" w:hAnsi="Times New Roman"/>
        </w:rPr>
      </w:pPr>
      <w:bookmarkStart w:id="488" w:name="_Toc183016491"/>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27</w:t>
      </w:r>
      <w:r w:rsidR="008E7DE9" w:rsidRPr="00FF756A">
        <w:rPr>
          <w:rFonts w:ascii="Times New Roman" w:hAnsi="Times New Roman"/>
          <w:noProof/>
        </w:rPr>
        <w:fldChar w:fldCharType="end"/>
      </w:r>
      <w:r w:rsidRPr="00FF756A">
        <w:rPr>
          <w:rFonts w:ascii="Times New Roman" w:hAnsi="Times New Roman"/>
        </w:rPr>
        <w:t>: Gradë-ditët e ngrohjes dhe të ftohjes (temperatura bazë e HDD: 17,5°C, temperatura bazë e CDD 18,5°C)</w:t>
      </w:r>
      <w:bookmarkEnd w:id="488"/>
    </w:p>
    <w:p w14:paraId="29255850" w14:textId="77777777" w:rsidR="00B86FB3" w:rsidRPr="00FF756A" w:rsidRDefault="00B86FB3" w:rsidP="00B86FB3"/>
    <w:p w14:paraId="3CDAC1F8" w14:textId="77777777" w:rsidR="00074587" w:rsidRPr="00FF756A" w:rsidRDefault="00B86FB3" w:rsidP="00074587">
      <w:pPr>
        <w:keepNext/>
      </w:pPr>
      <w:r w:rsidRPr="00FF756A">
        <w:rPr>
          <w:noProof/>
          <w:lang w:val="en-US"/>
        </w:rPr>
        <w:drawing>
          <wp:inline distT="0" distB="0" distL="0" distR="0" wp14:anchorId="42935875" wp14:editId="703BA835">
            <wp:extent cx="5773420" cy="3249295"/>
            <wp:effectExtent l="0" t="0" r="0" b="8255"/>
            <wp:docPr id="86022540" name="Picture 2" descr="A graph of different types of hou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2540" name="Picture 2" descr="A graph of different types of houses&#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73420" cy="3249295"/>
                    </a:xfrm>
                    <a:prstGeom prst="rect">
                      <a:avLst/>
                    </a:prstGeom>
                    <a:noFill/>
                  </pic:spPr>
                </pic:pic>
              </a:graphicData>
            </a:graphic>
          </wp:inline>
        </w:drawing>
      </w:r>
    </w:p>
    <w:p w14:paraId="18B9CC48" w14:textId="1019FEBB" w:rsidR="00B86FB3" w:rsidRPr="00FF756A" w:rsidRDefault="00074587" w:rsidP="00074587">
      <w:pPr>
        <w:pStyle w:val="Caption"/>
        <w:rPr>
          <w:rFonts w:ascii="Times New Roman" w:hAnsi="Times New Roman"/>
        </w:rPr>
      </w:pPr>
      <w:bookmarkStart w:id="489" w:name="_Toc183016553"/>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23</w:t>
      </w:r>
      <w:r w:rsidR="008E7DE9" w:rsidRPr="00FF756A">
        <w:rPr>
          <w:rFonts w:ascii="Times New Roman" w:hAnsi="Times New Roman"/>
          <w:noProof/>
        </w:rPr>
        <w:fldChar w:fldCharType="end"/>
      </w:r>
      <w:r w:rsidRPr="00FF756A">
        <w:rPr>
          <w:rFonts w:ascii="Times New Roman" w:hAnsi="Times New Roman"/>
        </w:rPr>
        <w:t>: Përqindja e llojeve të ndërtesave sipas sipërfaqes së ndërtimit. Burimi: Prezantim i SLED 2015</w:t>
      </w:r>
      <w:bookmarkEnd w:id="489"/>
    </w:p>
    <w:p w14:paraId="3B311113" w14:textId="77777777" w:rsidR="00B86FB3" w:rsidRPr="00FF756A" w:rsidRDefault="00B86FB3" w:rsidP="004A3257">
      <w:pPr>
        <w:pStyle w:val="Heading4"/>
        <w:numPr>
          <w:ilvl w:val="0"/>
          <w:numId w:val="0"/>
        </w:numPr>
        <w:ind w:left="864" w:hanging="864"/>
        <w:rPr>
          <w:rFonts w:cs="Times New Roman"/>
        </w:rPr>
      </w:pPr>
      <w:bookmarkStart w:id="490" w:name="_Toc183639262"/>
      <w:r w:rsidRPr="00FF756A">
        <w:rPr>
          <w:rFonts w:cs="Times New Roman"/>
        </w:rPr>
        <w:t>Sektori i shërbimeve</w:t>
      </w:r>
      <w:bookmarkEnd w:id="490"/>
    </w:p>
    <w:p w14:paraId="3709246F" w14:textId="77777777" w:rsidR="00133099" w:rsidRDefault="00133099" w:rsidP="00B86FB3"/>
    <w:p w14:paraId="6468C703" w14:textId="1DE360E6" w:rsidR="00B86FB3" w:rsidRPr="00FF756A" w:rsidRDefault="00B86FB3" w:rsidP="00B86FB3">
      <w:r w:rsidRPr="00FF756A">
        <w:t xml:space="preserve">Në sektorin e shërbimeve, nxitësi më i rëndësishëm është performanca e fortë në rritje e vlerës së shtuar, siç tregohet në zhvillimin sektorial të ekonomisë në </w:t>
      </w:r>
      <w:r w:rsidRPr="00FF756A">
        <w:fldChar w:fldCharType="begin"/>
      </w:r>
      <w:r w:rsidRPr="00FF756A">
        <w:instrText xml:space="preserve"> REF _Ref71469460 \h  \* MERGEFORMAT </w:instrText>
      </w:r>
      <w:r w:rsidRPr="00FF756A">
        <w:fldChar w:fldCharType="separate"/>
      </w:r>
      <w:r w:rsidRPr="00FF756A">
        <w:t>Figura 3</w:t>
      </w:r>
      <w:r w:rsidRPr="00FF756A">
        <w:fldChar w:fldCharType="end"/>
      </w:r>
      <w:r w:rsidRPr="00FF756A">
        <w:t xml:space="preserve">. Në vitin 2040, sektori do të arrijë një vlerë të shtuar 2,2 herë më të lartë se vlera bazë e vitit 2012 (në normën konstante të këmbimit të euros). Performanca më e fortë në rritje vjen nga kategoria “shërbime të tjera”, me një rritje 4-fish midis viteve 2012 dhe 2040. </w:t>
      </w:r>
    </w:p>
    <w:p w14:paraId="4D5DBD2C" w14:textId="77777777" w:rsidR="00074587" w:rsidRPr="00FF756A" w:rsidRDefault="00B86FB3" w:rsidP="00074587">
      <w:pPr>
        <w:keepNext/>
      </w:pPr>
      <w:r w:rsidRPr="00FF756A">
        <w:rPr>
          <w:noProof/>
          <w:lang w:val="en-US"/>
        </w:rPr>
        <w:drawing>
          <wp:inline distT="0" distB="0" distL="0" distR="0" wp14:anchorId="2F7CBAF1" wp14:editId="3BB0FB8E">
            <wp:extent cx="5760720" cy="2658745"/>
            <wp:effectExtent l="0" t="0" r="0" b="8255"/>
            <wp:docPr id="505778076" name="Picture 40" descr="A graph showing the value added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778076" name="Picture 40" descr="A graph showing the value added of a company&#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60720" cy="2658745"/>
                    </a:xfrm>
                    <a:prstGeom prst="rect">
                      <a:avLst/>
                    </a:prstGeom>
                  </pic:spPr>
                </pic:pic>
              </a:graphicData>
            </a:graphic>
          </wp:inline>
        </w:drawing>
      </w:r>
    </w:p>
    <w:p w14:paraId="22A7B860" w14:textId="1C5D2D43" w:rsidR="00B86FB3" w:rsidRPr="00FF756A" w:rsidRDefault="00074587" w:rsidP="00074587">
      <w:pPr>
        <w:pStyle w:val="Caption"/>
        <w:rPr>
          <w:rFonts w:ascii="Times New Roman" w:hAnsi="Times New Roman"/>
        </w:rPr>
      </w:pPr>
      <w:bookmarkStart w:id="491" w:name="_Toc183016554"/>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24</w:t>
      </w:r>
      <w:r w:rsidR="008E7DE9" w:rsidRPr="00FF756A">
        <w:rPr>
          <w:rFonts w:ascii="Times New Roman" w:hAnsi="Times New Roman"/>
          <w:noProof/>
        </w:rPr>
        <w:fldChar w:fldCharType="end"/>
      </w:r>
      <w:r w:rsidRPr="00FF756A">
        <w:rPr>
          <w:rFonts w:ascii="Times New Roman" w:hAnsi="Times New Roman"/>
        </w:rPr>
        <w:t>: Vlera e shtuar e nënsektorëve në sektorin e Shërbimeve, në raport me vitin 2012</w:t>
      </w:r>
      <w:bookmarkEnd w:id="491"/>
    </w:p>
    <w:p w14:paraId="4C40A766" w14:textId="77777777" w:rsidR="00B86FB3" w:rsidRPr="00FF756A" w:rsidRDefault="00B86FB3" w:rsidP="00B86FB3"/>
    <w:p w14:paraId="389856FD" w14:textId="77777777" w:rsidR="00E8338F" w:rsidRPr="00FF756A" w:rsidRDefault="00E8338F" w:rsidP="00E8338F">
      <w:pPr>
        <w:pStyle w:val="Heading4"/>
        <w:numPr>
          <w:ilvl w:val="0"/>
          <w:numId w:val="0"/>
        </w:numPr>
        <w:ind w:left="864" w:hanging="864"/>
        <w:rPr>
          <w:rFonts w:cs="Times New Roman"/>
        </w:rPr>
      </w:pPr>
    </w:p>
    <w:p w14:paraId="6762CB0B" w14:textId="2518844D" w:rsidR="00B86FB3" w:rsidRPr="00FF756A" w:rsidRDefault="00B86FB3" w:rsidP="004A3257">
      <w:pPr>
        <w:pStyle w:val="Heading4"/>
        <w:numPr>
          <w:ilvl w:val="0"/>
          <w:numId w:val="0"/>
        </w:numPr>
        <w:ind w:left="864" w:hanging="864"/>
        <w:rPr>
          <w:rFonts w:cs="Times New Roman"/>
        </w:rPr>
      </w:pPr>
      <w:bookmarkStart w:id="492" w:name="_Toc183639263"/>
      <w:r w:rsidRPr="00FF756A">
        <w:rPr>
          <w:rFonts w:cs="Times New Roman"/>
        </w:rPr>
        <w:t>Industria</w:t>
      </w:r>
      <w:bookmarkEnd w:id="492"/>
    </w:p>
    <w:p w14:paraId="541460C7" w14:textId="77777777" w:rsidR="00B86FB3" w:rsidRPr="00FF756A" w:rsidRDefault="00B86FB3" w:rsidP="00B86FB3">
      <w:r w:rsidRPr="00FF756A">
        <w:t>Në sektorin e industrisë, kërkesa për energji përcaktohet nga vëllimet e prodhimit, të cilat parashikohet të rriten së bashku me PBB-në. Ndarja e vlerës së shtuar midis nënsektorëve parashikohet të mbetet konstante. Sektori më i rëndësishëm për sa i përket kërkesës për energji është ai minerar, ku mbizotëron prodhimi i çimentos. Ai karakterizohet gjithashtu nga prodhimi i hekur-kromit, si dhe nga një prodhim i kufizuar i aluminit dhe plumbit të ricikluar. Përpunimi i ushqimeve, pijeve dhe duhanit luan një rol mjaft të vogël në konsumin e energjisë. Kërkesa për energji rritet në të gjithë sektorët ku vëllimet e prodhimit rriten paralelisht me rritjen e parashikuar të PBB-së. Kjo kompensohet pjesërisht nga një rritje e efiçencës me 0,1% në vit.</w:t>
      </w:r>
    </w:p>
    <w:p w14:paraId="1E785DDB" w14:textId="77777777" w:rsidR="00E8338F" w:rsidRPr="00FF756A" w:rsidRDefault="00E8338F" w:rsidP="00B86FB3"/>
    <w:p w14:paraId="2CD18ED5" w14:textId="77777777" w:rsidR="00B86FB3" w:rsidRPr="00FF756A" w:rsidRDefault="00B86FB3" w:rsidP="004A3257">
      <w:pPr>
        <w:pStyle w:val="Heading4"/>
        <w:numPr>
          <w:ilvl w:val="0"/>
          <w:numId w:val="0"/>
        </w:numPr>
        <w:ind w:left="864" w:hanging="864"/>
        <w:rPr>
          <w:rFonts w:cs="Times New Roman"/>
        </w:rPr>
      </w:pPr>
      <w:bookmarkStart w:id="493" w:name="_Toc183639264"/>
      <w:r w:rsidRPr="00FF756A">
        <w:rPr>
          <w:rFonts w:cs="Times New Roman"/>
        </w:rPr>
        <w:t>Transporti</w:t>
      </w:r>
      <w:bookmarkEnd w:id="493"/>
    </w:p>
    <w:p w14:paraId="7E61415D" w14:textId="62B1D2A4" w:rsidR="00B86FB3" w:rsidRPr="00FF756A" w:rsidRDefault="00B86FB3" w:rsidP="00B86FB3">
      <w:r w:rsidRPr="00FF756A">
        <w:t>Nxitësi kryesor i sektorit të transportit është kërkesa për lëvizshmëri, ku është vënë re një rritje e vazhdueshme e kërkesës vjetore për person/km, siç tregohet në</w:t>
      </w:r>
      <w:r w:rsidR="006C6850" w:rsidRPr="00FF756A">
        <w:t xml:space="preserve"> Figurën</w:t>
      </w:r>
      <w:r w:rsidR="00391D3D" w:rsidRPr="00FF756A">
        <w:t xml:space="preserve"> </w:t>
      </w:r>
      <w:r w:rsidR="006C6850" w:rsidRPr="00FF756A">
        <w:t>2</w:t>
      </w:r>
      <w:r w:rsidR="00391D3D" w:rsidRPr="00FF756A">
        <w:t>5</w:t>
      </w:r>
      <w:r w:rsidRPr="00FF756A">
        <w:t xml:space="preserve">. Kjo ndryshore ka pësuar rritje të fortë në të shkuarën dhe parashikohet të vijojë rritjen me ritme të paprecedente. Transporti i mallrave parashikohet që të rritet paralelisht me PBB-në. </w:t>
      </w:r>
    </w:p>
    <w:p w14:paraId="741591A1" w14:textId="7960377B" w:rsidR="00B86FB3" w:rsidRPr="00FF756A" w:rsidRDefault="00B86FB3" w:rsidP="00B86FB3">
      <w:r w:rsidRPr="00FF756A">
        <w:t xml:space="preserve">Krahas kërkesës totale për transport, raporti midis modaliteteve të transportit është një faktor i rëndësishëm për t'u marrë në konsideratë. </w:t>
      </w:r>
      <w:r w:rsidR="006C6850" w:rsidRPr="00FF756A">
        <w:t xml:space="preserve">Figura 26 </w:t>
      </w:r>
      <w:r w:rsidRPr="00FF756A">
        <w:t xml:space="preserve">paraqet përqindjet përkatëse të mënyrave të transportit të udhëtarëve. Transporti me makinë zë përqindjen më të madhe e transportit të udhëtarëve, ndërsa transporti me motoçikletë dhe mjete lundruese zë një përqindje të vogël. Transporti i përbashkët dhe publik luan një rol të rëndësishëm. Transporti hekurudhor është i papërfillshëm, prandaj transporti me autobus është mënyra e vetme e transportit rrugor të përbashkët. Ai ka pësuar rënie nga 15,4% në vitin 2015 në më pak se 11% në vitin 2018. Kjo përqindje parashikohet të rritet sërish në 12% deri në vitin 2030 dhe të mbetet e konstante gjatë periudhës në vijim. Kjo shënon gjithsesi një rritje të transportit total me autobus edhe pas vitit 2030, për shkak të rritjes së përgjithshme të veprimtarisë së transportit. Një faktor tjetër i rëndësishëm që ndikon në kërkesën për energji në transportin e udhëtarëve është ngarkesa e mjeteve, por kjo nuk parashikohet të ndryshojë me masat ekzistuese. Transporti i mallrave kryhet kryesisht me kamionë, ndërsa një përqindje e vogël kryhet me mjete hekurudhore dhe lundruese. Transporti i mallrave pritet që të rritet paralelisht me PBB-në. Raportet midis këtyre modaliteteve nuk do të pësojnë ndryshime deri në vitin 2040. </w:t>
      </w:r>
    </w:p>
    <w:p w14:paraId="5DFE0008" w14:textId="77777777" w:rsidR="00074587" w:rsidRPr="00FF756A" w:rsidRDefault="00B86FB3" w:rsidP="00074587">
      <w:pPr>
        <w:keepNext/>
      </w:pPr>
      <w:r w:rsidRPr="00FF756A">
        <w:rPr>
          <w:noProof/>
          <w:lang w:val="en-US"/>
        </w:rPr>
        <w:drawing>
          <wp:inline distT="0" distB="0" distL="0" distR="0" wp14:anchorId="61C4960C" wp14:editId="4681E82D">
            <wp:extent cx="5760720" cy="3454400"/>
            <wp:effectExtent l="0" t="0" r="0" b="0"/>
            <wp:docPr id="1523113663" name="Picture 5" descr="A line graph with numbers and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13663" name="Picture 5" descr="A line graph with numbers and a line&#10;&#10;Description automatically generated with medium confidenc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60720" cy="3454400"/>
                    </a:xfrm>
                    <a:prstGeom prst="rect">
                      <a:avLst/>
                    </a:prstGeom>
                  </pic:spPr>
                </pic:pic>
              </a:graphicData>
            </a:graphic>
          </wp:inline>
        </w:drawing>
      </w:r>
    </w:p>
    <w:p w14:paraId="7A80CFA3" w14:textId="2768EF32" w:rsidR="00B86FB3" w:rsidRPr="00FF756A" w:rsidRDefault="00074587" w:rsidP="00074587">
      <w:pPr>
        <w:pStyle w:val="Caption"/>
        <w:rPr>
          <w:rFonts w:ascii="Times New Roman" w:hAnsi="Times New Roman"/>
        </w:rPr>
      </w:pPr>
      <w:bookmarkStart w:id="494" w:name="_Toc183016555"/>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391D3D" w:rsidRPr="00FF756A">
        <w:rPr>
          <w:rFonts w:ascii="Times New Roman" w:hAnsi="Times New Roman"/>
          <w:noProof/>
        </w:rPr>
        <w:t>25</w:t>
      </w:r>
      <w:r w:rsidR="008E7DE9" w:rsidRPr="00FF756A">
        <w:rPr>
          <w:rFonts w:ascii="Times New Roman" w:hAnsi="Times New Roman"/>
          <w:noProof/>
        </w:rPr>
        <w:fldChar w:fldCharType="end"/>
      </w:r>
      <w:r w:rsidRPr="00FF756A">
        <w:rPr>
          <w:rFonts w:ascii="Times New Roman" w:hAnsi="Times New Roman"/>
        </w:rPr>
        <w:t>: Kërkesa vjetore për transportin e udhëtarëve në Shqipëri, dhënia e vlerave historike dhe rritja e mëtejshme</w:t>
      </w:r>
      <w:bookmarkEnd w:id="494"/>
    </w:p>
    <w:p w14:paraId="3C0A5AF3" w14:textId="77777777" w:rsidR="00B86FB3" w:rsidRPr="00FF756A" w:rsidRDefault="00B86FB3" w:rsidP="00B86FB3"/>
    <w:p w14:paraId="6EF4BC07" w14:textId="77777777" w:rsidR="00074587" w:rsidRPr="00FF756A" w:rsidRDefault="00B86FB3" w:rsidP="00074587">
      <w:pPr>
        <w:keepNext/>
        <w:jc w:val="center"/>
      </w:pPr>
      <w:r w:rsidRPr="00FF756A">
        <w:rPr>
          <w:noProof/>
          <w:lang w:val="en-US"/>
        </w:rPr>
        <w:drawing>
          <wp:inline distT="0" distB="0" distL="0" distR="0" wp14:anchorId="6CB5239A" wp14:editId="0FAF4BA2">
            <wp:extent cx="5361761" cy="3375000"/>
            <wp:effectExtent l="0" t="0" r="0" b="0"/>
            <wp:docPr id="1851644791" name="Picture 2" descr="A graph of a number of ye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644791" name="Picture 2" descr="A graph of a number of years&#10;&#10;Description automatically generated with medium confidenc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361761" cy="3375000"/>
                    </a:xfrm>
                    <a:prstGeom prst="rect">
                      <a:avLst/>
                    </a:prstGeom>
                  </pic:spPr>
                </pic:pic>
              </a:graphicData>
            </a:graphic>
          </wp:inline>
        </w:drawing>
      </w:r>
    </w:p>
    <w:p w14:paraId="744FF716" w14:textId="46CAB1B2" w:rsidR="00B86FB3" w:rsidRPr="00FF756A" w:rsidRDefault="00074587" w:rsidP="00074587">
      <w:pPr>
        <w:pStyle w:val="Caption"/>
        <w:jc w:val="center"/>
        <w:rPr>
          <w:rFonts w:ascii="Times New Roman" w:hAnsi="Times New Roman"/>
        </w:rPr>
      </w:pPr>
      <w:bookmarkStart w:id="495" w:name="_Toc183016556"/>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26</w:t>
      </w:r>
      <w:r w:rsidR="008E7DE9" w:rsidRPr="00FF756A">
        <w:rPr>
          <w:rFonts w:ascii="Times New Roman" w:hAnsi="Times New Roman"/>
          <w:noProof/>
        </w:rPr>
        <w:fldChar w:fldCharType="end"/>
      </w:r>
      <w:r w:rsidRPr="00FF756A">
        <w:rPr>
          <w:rFonts w:ascii="Times New Roman" w:hAnsi="Times New Roman"/>
        </w:rPr>
        <w:t>: Përqindjet e modaliteteve të transportit të udhëtarëve në Shqipëri, të parashikuara me masat ekzistuese deri në vitin 2050</w:t>
      </w:r>
      <w:bookmarkEnd w:id="495"/>
    </w:p>
    <w:p w14:paraId="01465116" w14:textId="77777777" w:rsidR="00B86FB3" w:rsidRPr="00FF756A" w:rsidRDefault="00B86FB3" w:rsidP="00B86FB3">
      <w:pPr>
        <w:rPr>
          <w:lang w:eastAsia="ja-JP"/>
        </w:rPr>
      </w:pPr>
    </w:p>
    <w:p w14:paraId="01A16CB2" w14:textId="64FDA92D" w:rsidR="00B86FB3" w:rsidRPr="00FF756A" w:rsidRDefault="00B86FB3" w:rsidP="00B86FB3">
      <w:r w:rsidRPr="00FF756A">
        <w:t xml:space="preserve">Kërkesa për energji në sektorin e transportit përcaktohet gjithashtu nga teknologjia e përdorur dhe lëndët djegëse përkatëse. Siç është përmendur më lart, transporti i udhëtarëve dhe në veçanti transporti me makinë është nxitësi kryesor i kërkesës për energji. </w:t>
      </w:r>
      <w:r w:rsidR="00D0643B" w:rsidRPr="00FF756A">
        <w:t xml:space="preserve">Figura 27 </w:t>
      </w:r>
      <w:r w:rsidRPr="00FF756A">
        <w:t xml:space="preserve">tregon se si teknologjitë e reja janë parashikuar të hyjnë në stokun e automjeteve për transportin e udhëtarëve në Shqipëri. Një rritje e konsiderueshme e automjeteve elektrike është projektuar të nisë dhe të vijojë deri në vitin 2050. Teksa tregu i automjeteve dominohet nga makinat e përdorura dhe jetëgjatësia mesatare e makinave është rreth 14 vite, futja e teknologjive të reja, si makinat elektrike, do të jetë e kufizuar deri në vitin 2050. </w:t>
      </w:r>
    </w:p>
    <w:p w14:paraId="227D304B" w14:textId="77777777" w:rsidR="00074587" w:rsidRPr="00FF756A" w:rsidRDefault="00B86FB3" w:rsidP="00074587">
      <w:pPr>
        <w:keepNext/>
      </w:pPr>
      <w:r w:rsidRPr="00FF756A">
        <w:rPr>
          <w:noProof/>
          <w:lang w:val="en-US"/>
        </w:rPr>
        <w:drawing>
          <wp:inline distT="0" distB="0" distL="0" distR="0" wp14:anchorId="0163C2F1" wp14:editId="52F53F8C">
            <wp:extent cx="5760720" cy="3454400"/>
            <wp:effectExtent l="0" t="0" r="0" b="0"/>
            <wp:docPr id="988599090" name="Picture 16"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599090" name="Picture 16" descr="A graph of different colored lines&#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60720" cy="3454400"/>
                    </a:xfrm>
                    <a:prstGeom prst="rect">
                      <a:avLst/>
                    </a:prstGeom>
                  </pic:spPr>
                </pic:pic>
              </a:graphicData>
            </a:graphic>
          </wp:inline>
        </w:drawing>
      </w:r>
    </w:p>
    <w:p w14:paraId="28D3A8E1" w14:textId="3F269F6D" w:rsidR="00B86FB3" w:rsidRPr="00FF756A" w:rsidRDefault="00074587" w:rsidP="00074587">
      <w:pPr>
        <w:pStyle w:val="Caption"/>
        <w:rPr>
          <w:rFonts w:ascii="Times New Roman" w:hAnsi="Times New Roman"/>
        </w:rPr>
      </w:pPr>
      <w:bookmarkStart w:id="496" w:name="_Toc183016557"/>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27</w:t>
      </w:r>
      <w:r w:rsidR="008E7DE9" w:rsidRPr="00FF756A">
        <w:rPr>
          <w:rFonts w:ascii="Times New Roman" w:hAnsi="Times New Roman"/>
          <w:noProof/>
        </w:rPr>
        <w:fldChar w:fldCharType="end"/>
      </w:r>
      <w:r w:rsidRPr="00FF756A">
        <w:rPr>
          <w:rFonts w:ascii="Times New Roman" w:hAnsi="Times New Roman"/>
        </w:rPr>
        <w:t>: Përqindjet e teknologjive në transportin e udhëtarëve me makinë, sipas statistikave historike të automjeteve për vitet 2016-2023 dhe sipas parashikimit që merr në konsideratë masat ekzistuese deri në vitin 2050</w:t>
      </w:r>
      <w:bookmarkEnd w:id="496"/>
    </w:p>
    <w:p w14:paraId="0D982FB3" w14:textId="77777777" w:rsidR="00B86FB3" w:rsidRPr="00FF756A" w:rsidRDefault="00B86FB3" w:rsidP="00B86FB3">
      <w:pPr>
        <w:keepNext/>
      </w:pPr>
    </w:p>
    <w:tbl>
      <w:tblPr>
        <w:tblStyle w:val="GridTable5DarkAccent10"/>
        <w:tblW w:w="5000" w:type="pct"/>
        <w:tblLook w:val="04A0" w:firstRow="1" w:lastRow="0" w:firstColumn="1" w:lastColumn="0" w:noHBand="0" w:noVBand="1"/>
      </w:tblPr>
      <w:tblGrid>
        <w:gridCol w:w="2433"/>
        <w:gridCol w:w="662"/>
        <w:gridCol w:w="663"/>
        <w:gridCol w:w="663"/>
        <w:gridCol w:w="663"/>
        <w:gridCol w:w="663"/>
        <w:gridCol w:w="663"/>
        <w:gridCol w:w="663"/>
        <w:gridCol w:w="663"/>
        <w:gridCol w:w="663"/>
        <w:gridCol w:w="663"/>
      </w:tblGrid>
      <w:tr w:rsidR="00B86FB3" w:rsidRPr="00FF756A" w14:paraId="228E9893" w14:textId="77777777" w:rsidTr="006A3266">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089" w:type="pct"/>
            <w:noWrap/>
            <w:hideMark/>
          </w:tcPr>
          <w:p w14:paraId="226AB0A8" w14:textId="77777777" w:rsidR="00B86FB3" w:rsidRPr="00FF756A" w:rsidRDefault="00B86FB3" w:rsidP="00B86FB3">
            <w:pPr>
              <w:rPr>
                <w:rFonts w:eastAsia="Times New Roman" w:cs="Times New Roman"/>
                <w:sz w:val="20"/>
                <w:szCs w:val="20"/>
              </w:rPr>
            </w:pPr>
          </w:p>
        </w:tc>
        <w:tc>
          <w:tcPr>
            <w:tcW w:w="391" w:type="pct"/>
            <w:noWrap/>
            <w:hideMark/>
          </w:tcPr>
          <w:p w14:paraId="7207F392"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FF756A">
              <w:rPr>
                <w:rFonts w:cs="Times New Roman"/>
                <w:sz w:val="20"/>
                <w:szCs w:val="20"/>
              </w:rPr>
              <w:t>2020</w:t>
            </w:r>
          </w:p>
        </w:tc>
        <w:tc>
          <w:tcPr>
            <w:tcW w:w="391" w:type="pct"/>
            <w:noWrap/>
            <w:hideMark/>
          </w:tcPr>
          <w:p w14:paraId="36182060"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FF756A">
              <w:rPr>
                <w:rFonts w:cs="Times New Roman"/>
                <w:sz w:val="20"/>
                <w:szCs w:val="20"/>
              </w:rPr>
              <w:t>2021</w:t>
            </w:r>
          </w:p>
        </w:tc>
        <w:tc>
          <w:tcPr>
            <w:tcW w:w="391" w:type="pct"/>
            <w:noWrap/>
            <w:hideMark/>
          </w:tcPr>
          <w:p w14:paraId="569ED1EC"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FF756A">
              <w:rPr>
                <w:rFonts w:cs="Times New Roman"/>
                <w:sz w:val="20"/>
                <w:szCs w:val="20"/>
              </w:rPr>
              <w:t>2022</w:t>
            </w:r>
          </w:p>
        </w:tc>
        <w:tc>
          <w:tcPr>
            <w:tcW w:w="391" w:type="pct"/>
            <w:noWrap/>
            <w:hideMark/>
          </w:tcPr>
          <w:p w14:paraId="25E83CC7"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FF756A">
              <w:rPr>
                <w:rFonts w:cs="Times New Roman"/>
                <w:sz w:val="20"/>
                <w:szCs w:val="20"/>
              </w:rPr>
              <w:t>2023</w:t>
            </w:r>
          </w:p>
        </w:tc>
        <w:tc>
          <w:tcPr>
            <w:tcW w:w="391" w:type="pct"/>
            <w:noWrap/>
            <w:hideMark/>
          </w:tcPr>
          <w:p w14:paraId="5970634D"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FF756A">
              <w:rPr>
                <w:rFonts w:cs="Times New Roman"/>
                <w:sz w:val="20"/>
                <w:szCs w:val="20"/>
              </w:rPr>
              <w:t>2025</w:t>
            </w:r>
          </w:p>
        </w:tc>
        <w:tc>
          <w:tcPr>
            <w:tcW w:w="391" w:type="pct"/>
            <w:noWrap/>
            <w:hideMark/>
          </w:tcPr>
          <w:p w14:paraId="479E65FA"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FF756A">
              <w:rPr>
                <w:rFonts w:cs="Times New Roman"/>
                <w:sz w:val="20"/>
                <w:szCs w:val="20"/>
              </w:rPr>
              <w:t>2030</w:t>
            </w:r>
          </w:p>
        </w:tc>
        <w:tc>
          <w:tcPr>
            <w:tcW w:w="391" w:type="pct"/>
            <w:noWrap/>
            <w:hideMark/>
          </w:tcPr>
          <w:p w14:paraId="22BAFBF8"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FF756A">
              <w:rPr>
                <w:rFonts w:cs="Times New Roman"/>
                <w:sz w:val="20"/>
                <w:szCs w:val="20"/>
              </w:rPr>
              <w:t>2035</w:t>
            </w:r>
          </w:p>
        </w:tc>
        <w:tc>
          <w:tcPr>
            <w:tcW w:w="391" w:type="pct"/>
            <w:noWrap/>
            <w:hideMark/>
          </w:tcPr>
          <w:p w14:paraId="7A610BE4"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FF756A">
              <w:rPr>
                <w:rFonts w:cs="Times New Roman"/>
                <w:sz w:val="20"/>
                <w:szCs w:val="20"/>
              </w:rPr>
              <w:t>2040</w:t>
            </w:r>
          </w:p>
        </w:tc>
        <w:tc>
          <w:tcPr>
            <w:tcW w:w="391" w:type="pct"/>
          </w:tcPr>
          <w:p w14:paraId="78122FDF"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FF756A">
              <w:rPr>
                <w:rFonts w:cs="Times New Roman"/>
                <w:sz w:val="20"/>
                <w:szCs w:val="20"/>
              </w:rPr>
              <w:t>2045</w:t>
            </w:r>
          </w:p>
        </w:tc>
        <w:tc>
          <w:tcPr>
            <w:tcW w:w="391" w:type="pct"/>
          </w:tcPr>
          <w:p w14:paraId="6CC37C90"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FF756A">
              <w:rPr>
                <w:rFonts w:cs="Times New Roman"/>
                <w:sz w:val="20"/>
                <w:szCs w:val="20"/>
              </w:rPr>
              <w:t>2050</w:t>
            </w:r>
          </w:p>
        </w:tc>
      </w:tr>
      <w:tr w:rsidR="00B86FB3" w:rsidRPr="00FF756A" w14:paraId="5FDB6C43"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tcPr>
          <w:p w14:paraId="53800768" w14:textId="77777777" w:rsidR="00B86FB3" w:rsidRPr="00FF756A" w:rsidRDefault="00B86FB3" w:rsidP="00B86FB3">
            <w:pPr>
              <w:rPr>
                <w:rFonts w:eastAsia="Times New Roman" w:cs="Times New Roman"/>
                <w:sz w:val="20"/>
                <w:szCs w:val="20"/>
              </w:rPr>
            </w:pPr>
            <w:r w:rsidRPr="00FF756A">
              <w:rPr>
                <w:rFonts w:cs="Times New Roman"/>
                <w:sz w:val="20"/>
                <w:szCs w:val="20"/>
              </w:rPr>
              <w:t>Motoçikletat</w:t>
            </w:r>
          </w:p>
        </w:tc>
        <w:tc>
          <w:tcPr>
            <w:tcW w:w="391" w:type="pct"/>
            <w:shd w:val="clear" w:color="auto" w:fill="4472C4" w:themeFill="accent1"/>
            <w:noWrap/>
          </w:tcPr>
          <w:p w14:paraId="71A90FF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c>
          <w:tcPr>
            <w:tcW w:w="391" w:type="pct"/>
            <w:shd w:val="clear" w:color="auto" w:fill="4472C4" w:themeFill="accent1"/>
            <w:noWrap/>
          </w:tcPr>
          <w:p w14:paraId="7DD6B29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c>
          <w:tcPr>
            <w:tcW w:w="391" w:type="pct"/>
            <w:shd w:val="clear" w:color="auto" w:fill="4472C4" w:themeFill="accent1"/>
            <w:noWrap/>
          </w:tcPr>
          <w:p w14:paraId="308D99A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c>
          <w:tcPr>
            <w:tcW w:w="391" w:type="pct"/>
            <w:shd w:val="clear" w:color="auto" w:fill="4472C4" w:themeFill="accent1"/>
            <w:noWrap/>
          </w:tcPr>
          <w:p w14:paraId="434B827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c>
          <w:tcPr>
            <w:tcW w:w="391" w:type="pct"/>
            <w:shd w:val="clear" w:color="auto" w:fill="4472C4" w:themeFill="accent1"/>
            <w:noWrap/>
          </w:tcPr>
          <w:p w14:paraId="42D7F16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c>
          <w:tcPr>
            <w:tcW w:w="391" w:type="pct"/>
            <w:shd w:val="clear" w:color="auto" w:fill="4472C4" w:themeFill="accent1"/>
            <w:noWrap/>
          </w:tcPr>
          <w:p w14:paraId="7155F4A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c>
          <w:tcPr>
            <w:tcW w:w="391" w:type="pct"/>
            <w:shd w:val="clear" w:color="auto" w:fill="4472C4" w:themeFill="accent1"/>
            <w:noWrap/>
          </w:tcPr>
          <w:p w14:paraId="0996C55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c>
          <w:tcPr>
            <w:tcW w:w="391" w:type="pct"/>
            <w:shd w:val="clear" w:color="auto" w:fill="4472C4" w:themeFill="accent1"/>
            <w:noWrap/>
          </w:tcPr>
          <w:p w14:paraId="781E6AC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c>
          <w:tcPr>
            <w:tcW w:w="391" w:type="pct"/>
            <w:shd w:val="clear" w:color="auto" w:fill="4472C4" w:themeFill="accent1"/>
          </w:tcPr>
          <w:p w14:paraId="41F461D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c>
          <w:tcPr>
            <w:tcW w:w="391" w:type="pct"/>
            <w:shd w:val="clear" w:color="auto" w:fill="4472C4" w:themeFill="accent1"/>
          </w:tcPr>
          <w:p w14:paraId="575B2D0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r>
      <w:tr w:rsidR="00B86FB3" w:rsidRPr="00FF756A" w14:paraId="3A0671D1"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7FD536CE" w14:textId="77777777" w:rsidR="00B86FB3" w:rsidRPr="00FF756A" w:rsidRDefault="00B86FB3" w:rsidP="00B86FB3">
            <w:pPr>
              <w:rPr>
                <w:rFonts w:eastAsia="Times New Roman" w:cs="Times New Roman"/>
                <w:b w:val="0"/>
                <w:sz w:val="20"/>
                <w:szCs w:val="20"/>
              </w:rPr>
            </w:pPr>
            <w:r w:rsidRPr="00FF756A">
              <w:rPr>
                <w:rFonts w:cs="Times New Roman"/>
                <w:sz w:val="20"/>
                <w:szCs w:val="20"/>
              </w:rPr>
              <w:t>Me benzinë</w:t>
            </w:r>
          </w:p>
        </w:tc>
        <w:tc>
          <w:tcPr>
            <w:tcW w:w="391" w:type="pct"/>
            <w:noWrap/>
            <w:vAlign w:val="center"/>
            <w:hideMark/>
          </w:tcPr>
          <w:p w14:paraId="31A46F5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16,0%</w:t>
            </w:r>
          </w:p>
        </w:tc>
        <w:tc>
          <w:tcPr>
            <w:tcW w:w="391" w:type="pct"/>
            <w:noWrap/>
            <w:vAlign w:val="center"/>
            <w:hideMark/>
          </w:tcPr>
          <w:p w14:paraId="0C4FB1F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15,9%</w:t>
            </w:r>
          </w:p>
        </w:tc>
        <w:tc>
          <w:tcPr>
            <w:tcW w:w="391" w:type="pct"/>
            <w:noWrap/>
            <w:vAlign w:val="center"/>
            <w:hideMark/>
          </w:tcPr>
          <w:p w14:paraId="686B69B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15,9%</w:t>
            </w:r>
          </w:p>
        </w:tc>
        <w:tc>
          <w:tcPr>
            <w:tcW w:w="391" w:type="pct"/>
            <w:noWrap/>
            <w:vAlign w:val="center"/>
            <w:hideMark/>
          </w:tcPr>
          <w:p w14:paraId="7BC427B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15,8%</w:t>
            </w:r>
          </w:p>
        </w:tc>
        <w:tc>
          <w:tcPr>
            <w:tcW w:w="391" w:type="pct"/>
            <w:noWrap/>
            <w:vAlign w:val="center"/>
            <w:hideMark/>
          </w:tcPr>
          <w:p w14:paraId="2F33755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15,6%</w:t>
            </w:r>
          </w:p>
        </w:tc>
        <w:tc>
          <w:tcPr>
            <w:tcW w:w="391" w:type="pct"/>
            <w:noWrap/>
            <w:vAlign w:val="center"/>
            <w:hideMark/>
          </w:tcPr>
          <w:p w14:paraId="64293B6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15,1%</w:t>
            </w:r>
          </w:p>
        </w:tc>
        <w:tc>
          <w:tcPr>
            <w:tcW w:w="391" w:type="pct"/>
            <w:noWrap/>
            <w:vAlign w:val="center"/>
            <w:hideMark/>
          </w:tcPr>
          <w:p w14:paraId="1CD801F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14,2%</w:t>
            </w:r>
          </w:p>
        </w:tc>
        <w:tc>
          <w:tcPr>
            <w:tcW w:w="391" w:type="pct"/>
            <w:noWrap/>
            <w:vAlign w:val="center"/>
            <w:hideMark/>
          </w:tcPr>
          <w:p w14:paraId="25CFE84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13,2%</w:t>
            </w:r>
          </w:p>
        </w:tc>
        <w:tc>
          <w:tcPr>
            <w:tcW w:w="391" w:type="pct"/>
            <w:vAlign w:val="center"/>
          </w:tcPr>
          <w:p w14:paraId="340F92B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12,2%</w:t>
            </w:r>
          </w:p>
        </w:tc>
        <w:tc>
          <w:tcPr>
            <w:tcW w:w="391" w:type="pct"/>
            <w:vAlign w:val="center"/>
          </w:tcPr>
          <w:p w14:paraId="547C278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11,2%</w:t>
            </w:r>
          </w:p>
        </w:tc>
      </w:tr>
      <w:tr w:rsidR="00B86FB3" w:rsidRPr="00FF756A" w14:paraId="40557876"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244922BD" w14:textId="77777777" w:rsidR="00B86FB3" w:rsidRPr="00FF756A" w:rsidRDefault="00B86FB3" w:rsidP="00B86FB3">
            <w:pPr>
              <w:rPr>
                <w:rFonts w:eastAsia="Times New Roman" w:cs="Times New Roman"/>
                <w:b w:val="0"/>
                <w:sz w:val="20"/>
                <w:szCs w:val="20"/>
              </w:rPr>
            </w:pPr>
            <w:r w:rsidRPr="00FF756A">
              <w:rPr>
                <w:rFonts w:cs="Times New Roman"/>
                <w:sz w:val="20"/>
                <w:szCs w:val="20"/>
              </w:rPr>
              <w:t>Me benzinë; elektrike</w:t>
            </w:r>
          </w:p>
        </w:tc>
        <w:tc>
          <w:tcPr>
            <w:tcW w:w="391" w:type="pct"/>
            <w:noWrap/>
            <w:vAlign w:val="center"/>
            <w:hideMark/>
          </w:tcPr>
          <w:p w14:paraId="24C66EE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6B9936E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6FDC5BD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73BB2C6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noWrap/>
            <w:vAlign w:val="center"/>
            <w:hideMark/>
          </w:tcPr>
          <w:p w14:paraId="6EA25BC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0,5%</w:t>
            </w:r>
          </w:p>
        </w:tc>
        <w:tc>
          <w:tcPr>
            <w:tcW w:w="391" w:type="pct"/>
            <w:noWrap/>
            <w:vAlign w:val="center"/>
            <w:hideMark/>
          </w:tcPr>
          <w:p w14:paraId="65A7D9B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1,4%</w:t>
            </w:r>
          </w:p>
        </w:tc>
        <w:tc>
          <w:tcPr>
            <w:tcW w:w="391" w:type="pct"/>
            <w:noWrap/>
            <w:vAlign w:val="center"/>
            <w:hideMark/>
          </w:tcPr>
          <w:p w14:paraId="7357A45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2,3%</w:t>
            </w:r>
          </w:p>
        </w:tc>
        <w:tc>
          <w:tcPr>
            <w:tcW w:w="391" w:type="pct"/>
            <w:noWrap/>
            <w:vAlign w:val="center"/>
            <w:hideMark/>
          </w:tcPr>
          <w:p w14:paraId="044837D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3,2%</w:t>
            </w:r>
          </w:p>
        </w:tc>
        <w:tc>
          <w:tcPr>
            <w:tcW w:w="391" w:type="pct"/>
            <w:vAlign w:val="center"/>
          </w:tcPr>
          <w:p w14:paraId="6192B00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4,1%</w:t>
            </w:r>
          </w:p>
        </w:tc>
        <w:tc>
          <w:tcPr>
            <w:tcW w:w="391" w:type="pct"/>
            <w:vAlign w:val="center"/>
          </w:tcPr>
          <w:p w14:paraId="537811F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5,0%</w:t>
            </w:r>
          </w:p>
        </w:tc>
      </w:tr>
      <w:tr w:rsidR="00B86FB3" w:rsidRPr="00FF756A" w14:paraId="5366C683"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29FB10E6" w14:textId="77777777" w:rsidR="00B86FB3" w:rsidRPr="00FF756A" w:rsidRDefault="00B86FB3" w:rsidP="00B86FB3">
            <w:pPr>
              <w:rPr>
                <w:rFonts w:eastAsia="Times New Roman" w:cs="Times New Roman"/>
                <w:b w:val="0"/>
                <w:sz w:val="20"/>
                <w:szCs w:val="20"/>
              </w:rPr>
            </w:pPr>
            <w:r w:rsidRPr="00FF756A">
              <w:rPr>
                <w:rFonts w:cs="Times New Roman"/>
                <w:sz w:val="20"/>
                <w:szCs w:val="20"/>
              </w:rPr>
              <w:t>Me benzinë; me gaz</w:t>
            </w:r>
          </w:p>
        </w:tc>
        <w:tc>
          <w:tcPr>
            <w:tcW w:w="391" w:type="pct"/>
            <w:noWrap/>
            <w:vAlign w:val="center"/>
            <w:hideMark/>
          </w:tcPr>
          <w:p w14:paraId="1FC40CB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3F28950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12EB2C5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6311529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2A9B035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17DAE95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4436307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6DEEA6E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vAlign w:val="center"/>
          </w:tcPr>
          <w:p w14:paraId="77863CB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vAlign w:val="center"/>
          </w:tcPr>
          <w:p w14:paraId="73D527D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r>
      <w:tr w:rsidR="00B86FB3" w:rsidRPr="00FF756A" w14:paraId="556617EF"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28DA7438" w14:textId="77777777" w:rsidR="00B86FB3" w:rsidRPr="00FF756A" w:rsidRDefault="00B86FB3" w:rsidP="00B86FB3">
            <w:pPr>
              <w:rPr>
                <w:rFonts w:eastAsia="Times New Roman" w:cs="Times New Roman"/>
                <w:b w:val="0"/>
                <w:sz w:val="20"/>
                <w:szCs w:val="20"/>
              </w:rPr>
            </w:pPr>
            <w:r w:rsidRPr="00FF756A">
              <w:rPr>
                <w:rFonts w:cs="Times New Roman"/>
                <w:sz w:val="20"/>
                <w:szCs w:val="20"/>
              </w:rPr>
              <w:t>Me benzinë; me gaz; elektrike</w:t>
            </w:r>
          </w:p>
        </w:tc>
        <w:tc>
          <w:tcPr>
            <w:tcW w:w="391" w:type="pct"/>
            <w:noWrap/>
            <w:vAlign w:val="center"/>
            <w:hideMark/>
          </w:tcPr>
          <w:p w14:paraId="5FA9600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7FD51A7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2D6657F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4A48C8A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6545FA5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48A2CA3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28350A5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15DB257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vAlign w:val="center"/>
          </w:tcPr>
          <w:p w14:paraId="133A23D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vAlign w:val="center"/>
          </w:tcPr>
          <w:p w14:paraId="387E03D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r>
      <w:tr w:rsidR="00B86FB3" w:rsidRPr="00FF756A" w14:paraId="4CC3B065"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48B11AF1" w14:textId="77777777" w:rsidR="00B86FB3" w:rsidRPr="00FF756A" w:rsidRDefault="00B86FB3" w:rsidP="00B86FB3">
            <w:pPr>
              <w:rPr>
                <w:rFonts w:eastAsia="Times New Roman" w:cs="Times New Roman"/>
                <w:b w:val="0"/>
                <w:sz w:val="20"/>
                <w:szCs w:val="20"/>
              </w:rPr>
            </w:pPr>
            <w:r w:rsidRPr="00FF756A">
              <w:rPr>
                <w:rFonts w:cs="Times New Roman"/>
                <w:sz w:val="20"/>
                <w:szCs w:val="20"/>
              </w:rPr>
              <w:t>Elektrike</w:t>
            </w:r>
          </w:p>
        </w:tc>
        <w:tc>
          <w:tcPr>
            <w:tcW w:w="391" w:type="pct"/>
            <w:noWrap/>
            <w:vAlign w:val="center"/>
            <w:hideMark/>
          </w:tcPr>
          <w:p w14:paraId="4D6377B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noWrap/>
            <w:vAlign w:val="center"/>
            <w:hideMark/>
          </w:tcPr>
          <w:p w14:paraId="7BF3FA4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0,4%</w:t>
            </w:r>
          </w:p>
        </w:tc>
        <w:tc>
          <w:tcPr>
            <w:tcW w:w="391" w:type="pct"/>
            <w:noWrap/>
            <w:vAlign w:val="center"/>
            <w:hideMark/>
          </w:tcPr>
          <w:p w14:paraId="59D6218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0,4%</w:t>
            </w:r>
          </w:p>
        </w:tc>
        <w:tc>
          <w:tcPr>
            <w:tcW w:w="391" w:type="pct"/>
            <w:noWrap/>
            <w:vAlign w:val="center"/>
            <w:hideMark/>
          </w:tcPr>
          <w:p w14:paraId="06D0414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0,4%</w:t>
            </w:r>
          </w:p>
        </w:tc>
        <w:tc>
          <w:tcPr>
            <w:tcW w:w="391" w:type="pct"/>
            <w:noWrap/>
            <w:vAlign w:val="center"/>
            <w:hideMark/>
          </w:tcPr>
          <w:p w14:paraId="7E6544D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0,5%</w:t>
            </w:r>
          </w:p>
        </w:tc>
        <w:tc>
          <w:tcPr>
            <w:tcW w:w="391" w:type="pct"/>
            <w:noWrap/>
            <w:vAlign w:val="center"/>
            <w:hideMark/>
          </w:tcPr>
          <w:p w14:paraId="0E0DE1B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1,0%</w:t>
            </w:r>
          </w:p>
        </w:tc>
        <w:tc>
          <w:tcPr>
            <w:tcW w:w="391" w:type="pct"/>
            <w:noWrap/>
            <w:vAlign w:val="center"/>
            <w:hideMark/>
          </w:tcPr>
          <w:p w14:paraId="4598F09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4,5%</w:t>
            </w:r>
          </w:p>
        </w:tc>
        <w:tc>
          <w:tcPr>
            <w:tcW w:w="391" w:type="pct"/>
            <w:noWrap/>
            <w:vAlign w:val="center"/>
            <w:hideMark/>
          </w:tcPr>
          <w:p w14:paraId="175292C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8,0%</w:t>
            </w:r>
          </w:p>
        </w:tc>
        <w:tc>
          <w:tcPr>
            <w:tcW w:w="391" w:type="pct"/>
            <w:vAlign w:val="center"/>
          </w:tcPr>
          <w:p w14:paraId="55D6499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11,5%</w:t>
            </w:r>
          </w:p>
        </w:tc>
        <w:tc>
          <w:tcPr>
            <w:tcW w:w="391" w:type="pct"/>
            <w:vAlign w:val="center"/>
          </w:tcPr>
          <w:p w14:paraId="18D2098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15,0%</w:t>
            </w:r>
          </w:p>
        </w:tc>
      </w:tr>
      <w:tr w:rsidR="00B86FB3" w:rsidRPr="00FF756A" w14:paraId="10D9C0FA"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0A52E950" w14:textId="77777777" w:rsidR="00B86FB3" w:rsidRPr="00FF756A" w:rsidRDefault="00B86FB3" w:rsidP="00B86FB3">
            <w:pPr>
              <w:rPr>
                <w:rFonts w:eastAsia="Times New Roman" w:cs="Times New Roman"/>
                <w:b w:val="0"/>
                <w:sz w:val="20"/>
                <w:szCs w:val="20"/>
              </w:rPr>
            </w:pPr>
            <w:r w:rsidRPr="00FF756A">
              <w:rPr>
                <w:rFonts w:cs="Times New Roman"/>
                <w:sz w:val="20"/>
                <w:szCs w:val="20"/>
              </w:rPr>
              <w:t>Me gaz</w:t>
            </w:r>
          </w:p>
        </w:tc>
        <w:tc>
          <w:tcPr>
            <w:tcW w:w="391" w:type="pct"/>
            <w:noWrap/>
            <w:vAlign w:val="center"/>
            <w:hideMark/>
          </w:tcPr>
          <w:p w14:paraId="29CD54A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4534E25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18DCA18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632DF4D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noWrap/>
            <w:vAlign w:val="center"/>
            <w:hideMark/>
          </w:tcPr>
          <w:p w14:paraId="751791E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0,5%</w:t>
            </w:r>
          </w:p>
        </w:tc>
        <w:tc>
          <w:tcPr>
            <w:tcW w:w="391" w:type="pct"/>
            <w:noWrap/>
            <w:vAlign w:val="center"/>
            <w:hideMark/>
          </w:tcPr>
          <w:p w14:paraId="24465AE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1,4%</w:t>
            </w:r>
          </w:p>
        </w:tc>
        <w:tc>
          <w:tcPr>
            <w:tcW w:w="391" w:type="pct"/>
            <w:noWrap/>
            <w:vAlign w:val="center"/>
            <w:hideMark/>
          </w:tcPr>
          <w:p w14:paraId="3A19810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2,3%</w:t>
            </w:r>
          </w:p>
        </w:tc>
        <w:tc>
          <w:tcPr>
            <w:tcW w:w="391" w:type="pct"/>
            <w:noWrap/>
            <w:vAlign w:val="center"/>
            <w:hideMark/>
          </w:tcPr>
          <w:p w14:paraId="7F776C6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3,2%</w:t>
            </w:r>
          </w:p>
        </w:tc>
        <w:tc>
          <w:tcPr>
            <w:tcW w:w="391" w:type="pct"/>
            <w:vAlign w:val="center"/>
          </w:tcPr>
          <w:p w14:paraId="23860E6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4,1%</w:t>
            </w:r>
          </w:p>
        </w:tc>
        <w:tc>
          <w:tcPr>
            <w:tcW w:w="391" w:type="pct"/>
            <w:vAlign w:val="center"/>
          </w:tcPr>
          <w:p w14:paraId="68E413D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5,0%</w:t>
            </w:r>
          </w:p>
        </w:tc>
      </w:tr>
      <w:tr w:rsidR="00B86FB3" w:rsidRPr="00FF756A" w14:paraId="651E7603"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0CCCEE32" w14:textId="77777777" w:rsidR="00B86FB3" w:rsidRPr="00FF756A" w:rsidRDefault="00B86FB3" w:rsidP="00B86FB3">
            <w:pPr>
              <w:rPr>
                <w:rFonts w:eastAsia="Times New Roman" w:cs="Times New Roman"/>
                <w:b w:val="0"/>
                <w:sz w:val="20"/>
                <w:szCs w:val="20"/>
              </w:rPr>
            </w:pPr>
            <w:r w:rsidRPr="00FF756A">
              <w:rPr>
                <w:rFonts w:cs="Times New Roman"/>
                <w:sz w:val="20"/>
                <w:szCs w:val="20"/>
              </w:rPr>
              <w:t>Me naftë dizel; me gaz</w:t>
            </w:r>
          </w:p>
        </w:tc>
        <w:tc>
          <w:tcPr>
            <w:tcW w:w="391" w:type="pct"/>
            <w:noWrap/>
            <w:vAlign w:val="center"/>
            <w:hideMark/>
          </w:tcPr>
          <w:p w14:paraId="2CDAB08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5CB420D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055D79A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6E0FE9E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738E447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33E6B1D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3441B97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58749F5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vAlign w:val="center"/>
          </w:tcPr>
          <w:p w14:paraId="0D126EC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vAlign w:val="center"/>
          </w:tcPr>
          <w:p w14:paraId="17319B4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r>
      <w:tr w:rsidR="00B86FB3" w:rsidRPr="00FF756A" w14:paraId="0562B49F"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5CA24A06" w14:textId="77777777" w:rsidR="00B86FB3" w:rsidRPr="00FF756A" w:rsidRDefault="00B86FB3" w:rsidP="00B86FB3">
            <w:pPr>
              <w:rPr>
                <w:rFonts w:eastAsia="Times New Roman" w:cs="Times New Roman"/>
                <w:b w:val="0"/>
                <w:sz w:val="20"/>
                <w:szCs w:val="20"/>
              </w:rPr>
            </w:pPr>
            <w:r w:rsidRPr="00FF756A">
              <w:rPr>
                <w:rFonts w:cs="Times New Roman"/>
                <w:sz w:val="20"/>
                <w:szCs w:val="20"/>
              </w:rPr>
              <w:t>Me hidrogjen</w:t>
            </w:r>
          </w:p>
        </w:tc>
        <w:tc>
          <w:tcPr>
            <w:tcW w:w="391" w:type="pct"/>
            <w:noWrap/>
            <w:vAlign w:val="center"/>
            <w:hideMark/>
          </w:tcPr>
          <w:p w14:paraId="58FEA87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3C91A05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39C2066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637C3F2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308EF18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76D4199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41E6780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41971A4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vAlign w:val="center"/>
          </w:tcPr>
          <w:p w14:paraId="5CD7F40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vAlign w:val="center"/>
          </w:tcPr>
          <w:p w14:paraId="63BA83E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r>
      <w:tr w:rsidR="00B86FB3" w:rsidRPr="00FF756A" w14:paraId="37670296"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36B7F5BA" w14:textId="77777777" w:rsidR="00B86FB3" w:rsidRPr="00FF756A" w:rsidRDefault="00B86FB3" w:rsidP="00B86FB3">
            <w:pPr>
              <w:rPr>
                <w:rFonts w:eastAsia="Times New Roman" w:cs="Times New Roman"/>
                <w:b w:val="0"/>
                <w:sz w:val="20"/>
                <w:szCs w:val="20"/>
              </w:rPr>
            </w:pPr>
            <w:r w:rsidRPr="00FF756A">
              <w:rPr>
                <w:rFonts w:cs="Times New Roman"/>
                <w:sz w:val="20"/>
                <w:szCs w:val="20"/>
              </w:rPr>
              <w:t>Me naftë dizel</w:t>
            </w:r>
          </w:p>
        </w:tc>
        <w:tc>
          <w:tcPr>
            <w:tcW w:w="391" w:type="pct"/>
            <w:noWrap/>
            <w:vAlign w:val="center"/>
            <w:hideMark/>
          </w:tcPr>
          <w:p w14:paraId="4A5AC2B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83,8%</w:t>
            </w:r>
          </w:p>
        </w:tc>
        <w:tc>
          <w:tcPr>
            <w:tcW w:w="391" w:type="pct"/>
            <w:noWrap/>
            <w:vAlign w:val="center"/>
            <w:hideMark/>
          </w:tcPr>
          <w:p w14:paraId="16ED317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83,7%</w:t>
            </w:r>
          </w:p>
        </w:tc>
        <w:tc>
          <w:tcPr>
            <w:tcW w:w="391" w:type="pct"/>
            <w:noWrap/>
            <w:vAlign w:val="center"/>
            <w:hideMark/>
          </w:tcPr>
          <w:p w14:paraId="248F582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83,6%</w:t>
            </w:r>
          </w:p>
        </w:tc>
        <w:tc>
          <w:tcPr>
            <w:tcW w:w="391" w:type="pct"/>
            <w:noWrap/>
            <w:vAlign w:val="center"/>
            <w:hideMark/>
          </w:tcPr>
          <w:p w14:paraId="2A36AE2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83,2%</w:t>
            </w:r>
          </w:p>
        </w:tc>
        <w:tc>
          <w:tcPr>
            <w:tcW w:w="391" w:type="pct"/>
            <w:noWrap/>
            <w:vAlign w:val="center"/>
            <w:hideMark/>
          </w:tcPr>
          <w:p w14:paraId="0EC41F6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82,2%</w:t>
            </w:r>
          </w:p>
        </w:tc>
        <w:tc>
          <w:tcPr>
            <w:tcW w:w="391" w:type="pct"/>
            <w:noWrap/>
            <w:vAlign w:val="center"/>
            <w:hideMark/>
          </w:tcPr>
          <w:p w14:paraId="14F4A6D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79,6%</w:t>
            </w:r>
          </w:p>
        </w:tc>
        <w:tc>
          <w:tcPr>
            <w:tcW w:w="391" w:type="pct"/>
            <w:noWrap/>
            <w:vAlign w:val="center"/>
            <w:hideMark/>
          </w:tcPr>
          <w:p w14:paraId="08B0DDA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74,4%</w:t>
            </w:r>
          </w:p>
        </w:tc>
        <w:tc>
          <w:tcPr>
            <w:tcW w:w="391" w:type="pct"/>
            <w:noWrap/>
            <w:vAlign w:val="center"/>
            <w:hideMark/>
          </w:tcPr>
          <w:p w14:paraId="0433D97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69,2%</w:t>
            </w:r>
          </w:p>
        </w:tc>
        <w:tc>
          <w:tcPr>
            <w:tcW w:w="391" w:type="pct"/>
            <w:vAlign w:val="center"/>
          </w:tcPr>
          <w:p w14:paraId="542B3C0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64,0%</w:t>
            </w:r>
          </w:p>
        </w:tc>
        <w:tc>
          <w:tcPr>
            <w:tcW w:w="391" w:type="pct"/>
            <w:vAlign w:val="center"/>
          </w:tcPr>
          <w:p w14:paraId="19AA5AB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58,8%</w:t>
            </w:r>
          </w:p>
        </w:tc>
      </w:tr>
      <w:tr w:rsidR="00B86FB3" w:rsidRPr="00FF756A" w14:paraId="53A25EB4"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05DB01BF" w14:textId="77777777" w:rsidR="00B86FB3" w:rsidRPr="00FF756A" w:rsidRDefault="00B86FB3" w:rsidP="00B86FB3">
            <w:pPr>
              <w:rPr>
                <w:rFonts w:eastAsia="Times New Roman" w:cs="Times New Roman"/>
                <w:b w:val="0"/>
                <w:sz w:val="20"/>
                <w:szCs w:val="20"/>
              </w:rPr>
            </w:pPr>
            <w:r w:rsidRPr="00FF756A">
              <w:rPr>
                <w:rFonts w:cs="Times New Roman"/>
                <w:sz w:val="20"/>
                <w:szCs w:val="20"/>
              </w:rPr>
              <w:t>Me naftë dizel; elektrike</w:t>
            </w:r>
          </w:p>
        </w:tc>
        <w:tc>
          <w:tcPr>
            <w:tcW w:w="391" w:type="pct"/>
            <w:noWrap/>
            <w:vAlign w:val="center"/>
            <w:hideMark/>
          </w:tcPr>
          <w:p w14:paraId="3DDEBA4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249D10F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38A1493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1E81DF1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noWrap/>
            <w:vAlign w:val="center"/>
            <w:hideMark/>
          </w:tcPr>
          <w:p w14:paraId="7758BD6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0,5%</w:t>
            </w:r>
          </w:p>
        </w:tc>
        <w:tc>
          <w:tcPr>
            <w:tcW w:w="391" w:type="pct"/>
            <w:noWrap/>
            <w:vAlign w:val="center"/>
            <w:hideMark/>
          </w:tcPr>
          <w:p w14:paraId="2267649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1,4%</w:t>
            </w:r>
          </w:p>
        </w:tc>
        <w:tc>
          <w:tcPr>
            <w:tcW w:w="391" w:type="pct"/>
            <w:noWrap/>
            <w:vAlign w:val="center"/>
            <w:hideMark/>
          </w:tcPr>
          <w:p w14:paraId="738B1A5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2,3%</w:t>
            </w:r>
          </w:p>
        </w:tc>
        <w:tc>
          <w:tcPr>
            <w:tcW w:w="391" w:type="pct"/>
            <w:noWrap/>
            <w:vAlign w:val="center"/>
            <w:hideMark/>
          </w:tcPr>
          <w:p w14:paraId="3A7F91B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3,2%</w:t>
            </w:r>
          </w:p>
        </w:tc>
        <w:tc>
          <w:tcPr>
            <w:tcW w:w="391" w:type="pct"/>
            <w:vAlign w:val="center"/>
          </w:tcPr>
          <w:p w14:paraId="4B06063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4,1%</w:t>
            </w:r>
          </w:p>
        </w:tc>
        <w:tc>
          <w:tcPr>
            <w:tcW w:w="391" w:type="pct"/>
            <w:vAlign w:val="center"/>
          </w:tcPr>
          <w:p w14:paraId="4128C1D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5,0%</w:t>
            </w:r>
          </w:p>
        </w:tc>
      </w:tr>
      <w:tr w:rsidR="00B86FB3" w:rsidRPr="00FF756A" w14:paraId="0EA9F3A2"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11"/>
            <w:noWrap/>
            <w:vAlign w:val="center"/>
            <w:hideMark/>
          </w:tcPr>
          <w:p w14:paraId="1717FF4D" w14:textId="77777777" w:rsidR="00B86FB3" w:rsidRPr="00FF756A" w:rsidRDefault="00B86FB3" w:rsidP="00B86FB3">
            <w:pPr>
              <w:jc w:val="center"/>
              <w:rPr>
                <w:rFonts w:eastAsia="Times New Roman" w:cs="Times New Roman"/>
                <w:bCs w:val="0"/>
                <w:color w:val="FFFF00"/>
                <w:sz w:val="20"/>
                <w:szCs w:val="20"/>
              </w:rPr>
            </w:pPr>
            <w:r w:rsidRPr="00FF756A">
              <w:rPr>
                <w:rFonts w:cs="Times New Roman"/>
                <w:sz w:val="20"/>
                <w:szCs w:val="20"/>
              </w:rPr>
              <w:t>Makinat</w:t>
            </w:r>
          </w:p>
        </w:tc>
      </w:tr>
      <w:tr w:rsidR="00B86FB3" w:rsidRPr="00FF756A" w14:paraId="7F2EB220"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28F44C58" w14:textId="77777777" w:rsidR="00B86FB3" w:rsidRPr="00FF756A" w:rsidRDefault="00B86FB3" w:rsidP="00B86FB3">
            <w:pPr>
              <w:rPr>
                <w:rFonts w:eastAsia="Times New Roman" w:cs="Times New Roman"/>
                <w:b w:val="0"/>
                <w:sz w:val="20"/>
                <w:szCs w:val="20"/>
              </w:rPr>
            </w:pPr>
            <w:r w:rsidRPr="00FF756A">
              <w:rPr>
                <w:rFonts w:cs="Times New Roman"/>
                <w:sz w:val="20"/>
                <w:szCs w:val="20"/>
              </w:rPr>
              <w:t>Me benzinë</w:t>
            </w:r>
          </w:p>
        </w:tc>
        <w:tc>
          <w:tcPr>
            <w:tcW w:w="391" w:type="pct"/>
            <w:noWrap/>
            <w:hideMark/>
          </w:tcPr>
          <w:p w14:paraId="3F21922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14,7%</w:t>
            </w:r>
          </w:p>
        </w:tc>
        <w:tc>
          <w:tcPr>
            <w:tcW w:w="391" w:type="pct"/>
            <w:noWrap/>
            <w:hideMark/>
          </w:tcPr>
          <w:p w14:paraId="05F1A9C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14,5%</w:t>
            </w:r>
          </w:p>
        </w:tc>
        <w:tc>
          <w:tcPr>
            <w:tcW w:w="391" w:type="pct"/>
            <w:noWrap/>
            <w:hideMark/>
          </w:tcPr>
          <w:p w14:paraId="230A300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14,5%</w:t>
            </w:r>
          </w:p>
        </w:tc>
        <w:tc>
          <w:tcPr>
            <w:tcW w:w="391" w:type="pct"/>
            <w:noWrap/>
            <w:hideMark/>
          </w:tcPr>
          <w:p w14:paraId="58E21B8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14,0%</w:t>
            </w:r>
          </w:p>
        </w:tc>
        <w:tc>
          <w:tcPr>
            <w:tcW w:w="391" w:type="pct"/>
            <w:noWrap/>
            <w:hideMark/>
          </w:tcPr>
          <w:p w14:paraId="75468B0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13,8%</w:t>
            </w:r>
          </w:p>
        </w:tc>
        <w:tc>
          <w:tcPr>
            <w:tcW w:w="391" w:type="pct"/>
            <w:noWrap/>
            <w:hideMark/>
          </w:tcPr>
          <w:p w14:paraId="2E50002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13,3%</w:t>
            </w:r>
          </w:p>
        </w:tc>
        <w:tc>
          <w:tcPr>
            <w:tcW w:w="391" w:type="pct"/>
            <w:noWrap/>
            <w:hideMark/>
          </w:tcPr>
          <w:p w14:paraId="4E22C0F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12,6%</w:t>
            </w:r>
          </w:p>
        </w:tc>
        <w:tc>
          <w:tcPr>
            <w:tcW w:w="391" w:type="pct"/>
            <w:noWrap/>
            <w:hideMark/>
          </w:tcPr>
          <w:p w14:paraId="2652AE8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11,9%</w:t>
            </w:r>
          </w:p>
        </w:tc>
        <w:tc>
          <w:tcPr>
            <w:tcW w:w="391" w:type="pct"/>
          </w:tcPr>
          <w:p w14:paraId="4CFE849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11,2%</w:t>
            </w:r>
          </w:p>
        </w:tc>
        <w:tc>
          <w:tcPr>
            <w:tcW w:w="391" w:type="pct"/>
          </w:tcPr>
          <w:p w14:paraId="5B30EE3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10,5%</w:t>
            </w:r>
          </w:p>
        </w:tc>
      </w:tr>
      <w:tr w:rsidR="00B86FB3" w:rsidRPr="00FF756A" w14:paraId="01A1B839"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3D747E25" w14:textId="77777777" w:rsidR="00B86FB3" w:rsidRPr="00FF756A" w:rsidRDefault="00B86FB3" w:rsidP="00B86FB3">
            <w:pPr>
              <w:rPr>
                <w:rFonts w:eastAsia="Times New Roman" w:cs="Times New Roman"/>
                <w:b w:val="0"/>
                <w:sz w:val="20"/>
                <w:szCs w:val="20"/>
              </w:rPr>
            </w:pPr>
            <w:r w:rsidRPr="00FF756A">
              <w:rPr>
                <w:rFonts w:cs="Times New Roman"/>
                <w:sz w:val="20"/>
                <w:szCs w:val="20"/>
              </w:rPr>
              <w:t>Me benzinë; elektrike</w:t>
            </w:r>
          </w:p>
        </w:tc>
        <w:tc>
          <w:tcPr>
            <w:tcW w:w="391" w:type="pct"/>
            <w:noWrap/>
            <w:vAlign w:val="center"/>
            <w:hideMark/>
          </w:tcPr>
          <w:p w14:paraId="3918297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391" w:type="pct"/>
            <w:noWrap/>
            <w:vAlign w:val="center"/>
            <w:hideMark/>
          </w:tcPr>
          <w:p w14:paraId="6EFC3DE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noWrap/>
            <w:vAlign w:val="center"/>
            <w:hideMark/>
          </w:tcPr>
          <w:p w14:paraId="5DE0C30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noWrap/>
            <w:vAlign w:val="center"/>
            <w:hideMark/>
          </w:tcPr>
          <w:p w14:paraId="12A6CF3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0,7%</w:t>
            </w:r>
          </w:p>
        </w:tc>
        <w:tc>
          <w:tcPr>
            <w:tcW w:w="391" w:type="pct"/>
            <w:noWrap/>
            <w:vAlign w:val="center"/>
            <w:hideMark/>
          </w:tcPr>
          <w:p w14:paraId="24684B7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1,9%</w:t>
            </w:r>
          </w:p>
        </w:tc>
        <w:tc>
          <w:tcPr>
            <w:tcW w:w="391" w:type="pct"/>
            <w:noWrap/>
            <w:vAlign w:val="center"/>
            <w:hideMark/>
          </w:tcPr>
          <w:p w14:paraId="50250AC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5,0%</w:t>
            </w:r>
          </w:p>
        </w:tc>
        <w:tc>
          <w:tcPr>
            <w:tcW w:w="391" w:type="pct"/>
            <w:noWrap/>
            <w:vAlign w:val="center"/>
            <w:hideMark/>
          </w:tcPr>
          <w:p w14:paraId="381C0EC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6,3%</w:t>
            </w:r>
          </w:p>
        </w:tc>
        <w:tc>
          <w:tcPr>
            <w:tcW w:w="391" w:type="pct"/>
            <w:noWrap/>
            <w:vAlign w:val="center"/>
            <w:hideMark/>
          </w:tcPr>
          <w:p w14:paraId="276F938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7,5%</w:t>
            </w:r>
          </w:p>
        </w:tc>
        <w:tc>
          <w:tcPr>
            <w:tcW w:w="391" w:type="pct"/>
            <w:vAlign w:val="center"/>
          </w:tcPr>
          <w:p w14:paraId="7E7B747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8,8%</w:t>
            </w:r>
          </w:p>
        </w:tc>
        <w:tc>
          <w:tcPr>
            <w:tcW w:w="391" w:type="pct"/>
            <w:vAlign w:val="center"/>
          </w:tcPr>
          <w:p w14:paraId="612FCB9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10,0%</w:t>
            </w:r>
          </w:p>
        </w:tc>
      </w:tr>
      <w:tr w:rsidR="00B86FB3" w:rsidRPr="00FF756A" w14:paraId="74F44B81"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342512D0" w14:textId="77777777" w:rsidR="00B86FB3" w:rsidRPr="00FF756A" w:rsidRDefault="00B86FB3" w:rsidP="00B86FB3">
            <w:pPr>
              <w:rPr>
                <w:rFonts w:eastAsia="Times New Roman" w:cs="Times New Roman"/>
                <w:b w:val="0"/>
                <w:sz w:val="20"/>
                <w:szCs w:val="20"/>
              </w:rPr>
            </w:pPr>
            <w:r w:rsidRPr="00FF756A">
              <w:rPr>
                <w:rFonts w:cs="Times New Roman"/>
                <w:sz w:val="20"/>
                <w:szCs w:val="20"/>
              </w:rPr>
              <w:t>Me benzinë; me gaz</w:t>
            </w:r>
          </w:p>
        </w:tc>
        <w:tc>
          <w:tcPr>
            <w:tcW w:w="391" w:type="pct"/>
            <w:noWrap/>
            <w:vAlign w:val="center"/>
            <w:hideMark/>
          </w:tcPr>
          <w:p w14:paraId="0D4F809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7,9%</w:t>
            </w:r>
          </w:p>
        </w:tc>
        <w:tc>
          <w:tcPr>
            <w:tcW w:w="391" w:type="pct"/>
            <w:noWrap/>
            <w:vAlign w:val="center"/>
            <w:hideMark/>
          </w:tcPr>
          <w:p w14:paraId="3E04193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8,7%</w:t>
            </w:r>
          </w:p>
        </w:tc>
        <w:tc>
          <w:tcPr>
            <w:tcW w:w="391" w:type="pct"/>
            <w:noWrap/>
            <w:vAlign w:val="center"/>
            <w:hideMark/>
          </w:tcPr>
          <w:p w14:paraId="3E47858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9,0%</w:t>
            </w:r>
          </w:p>
        </w:tc>
        <w:tc>
          <w:tcPr>
            <w:tcW w:w="391" w:type="pct"/>
            <w:noWrap/>
            <w:vAlign w:val="center"/>
            <w:hideMark/>
          </w:tcPr>
          <w:p w14:paraId="58DAF6B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8,7%</w:t>
            </w:r>
          </w:p>
        </w:tc>
        <w:tc>
          <w:tcPr>
            <w:tcW w:w="391" w:type="pct"/>
            <w:noWrap/>
            <w:vAlign w:val="center"/>
            <w:hideMark/>
          </w:tcPr>
          <w:p w14:paraId="6337C6C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8,0%</w:t>
            </w:r>
          </w:p>
        </w:tc>
        <w:tc>
          <w:tcPr>
            <w:tcW w:w="391" w:type="pct"/>
            <w:noWrap/>
            <w:vAlign w:val="center"/>
            <w:hideMark/>
          </w:tcPr>
          <w:p w14:paraId="6DD1F3F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6,4%</w:t>
            </w:r>
          </w:p>
        </w:tc>
        <w:tc>
          <w:tcPr>
            <w:tcW w:w="391" w:type="pct"/>
            <w:noWrap/>
            <w:vAlign w:val="center"/>
            <w:hideMark/>
          </w:tcPr>
          <w:p w14:paraId="2A8960F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4,8%</w:t>
            </w:r>
          </w:p>
        </w:tc>
        <w:tc>
          <w:tcPr>
            <w:tcW w:w="391" w:type="pct"/>
            <w:noWrap/>
            <w:vAlign w:val="center"/>
            <w:hideMark/>
          </w:tcPr>
          <w:p w14:paraId="73599E8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3,2%</w:t>
            </w:r>
          </w:p>
        </w:tc>
        <w:tc>
          <w:tcPr>
            <w:tcW w:w="391" w:type="pct"/>
            <w:vAlign w:val="center"/>
          </w:tcPr>
          <w:p w14:paraId="5024514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1,6%</w:t>
            </w:r>
          </w:p>
        </w:tc>
        <w:tc>
          <w:tcPr>
            <w:tcW w:w="391" w:type="pct"/>
            <w:vAlign w:val="center"/>
          </w:tcPr>
          <w:p w14:paraId="1C4DEFC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r>
      <w:tr w:rsidR="00B86FB3" w:rsidRPr="00FF756A" w14:paraId="15346CEA"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5B018621" w14:textId="77777777" w:rsidR="00B86FB3" w:rsidRPr="00FF756A" w:rsidRDefault="00B86FB3" w:rsidP="00B86FB3">
            <w:pPr>
              <w:rPr>
                <w:rFonts w:eastAsia="Times New Roman" w:cs="Times New Roman"/>
                <w:b w:val="0"/>
                <w:sz w:val="20"/>
                <w:szCs w:val="20"/>
              </w:rPr>
            </w:pPr>
            <w:r w:rsidRPr="00FF756A">
              <w:rPr>
                <w:rFonts w:cs="Times New Roman"/>
                <w:sz w:val="20"/>
                <w:szCs w:val="20"/>
              </w:rPr>
              <w:t>Me benzinë; me gaz; elektrike</w:t>
            </w:r>
          </w:p>
        </w:tc>
        <w:tc>
          <w:tcPr>
            <w:tcW w:w="391" w:type="pct"/>
            <w:noWrap/>
            <w:vAlign w:val="center"/>
            <w:hideMark/>
          </w:tcPr>
          <w:p w14:paraId="648379F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22EB4B6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37B98C1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6440DD2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0,5%</w:t>
            </w:r>
          </w:p>
        </w:tc>
        <w:tc>
          <w:tcPr>
            <w:tcW w:w="391" w:type="pct"/>
            <w:noWrap/>
            <w:vAlign w:val="center"/>
            <w:hideMark/>
          </w:tcPr>
          <w:p w14:paraId="2770BF8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0,5%</w:t>
            </w:r>
          </w:p>
        </w:tc>
        <w:tc>
          <w:tcPr>
            <w:tcW w:w="391" w:type="pct"/>
            <w:noWrap/>
            <w:vAlign w:val="center"/>
            <w:hideMark/>
          </w:tcPr>
          <w:p w14:paraId="2B6FF41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0,4%</w:t>
            </w:r>
          </w:p>
        </w:tc>
        <w:tc>
          <w:tcPr>
            <w:tcW w:w="391" w:type="pct"/>
            <w:noWrap/>
            <w:vAlign w:val="center"/>
            <w:hideMark/>
          </w:tcPr>
          <w:p w14:paraId="00F3AE4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0,3%</w:t>
            </w:r>
          </w:p>
        </w:tc>
        <w:tc>
          <w:tcPr>
            <w:tcW w:w="391" w:type="pct"/>
            <w:noWrap/>
            <w:vAlign w:val="center"/>
            <w:hideMark/>
          </w:tcPr>
          <w:p w14:paraId="1F70F1A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vAlign w:val="center"/>
          </w:tcPr>
          <w:p w14:paraId="4AF30E5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391" w:type="pct"/>
            <w:vAlign w:val="center"/>
          </w:tcPr>
          <w:p w14:paraId="697A55A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r>
      <w:tr w:rsidR="00B86FB3" w:rsidRPr="00FF756A" w14:paraId="1464B51C"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17431BE9" w14:textId="77777777" w:rsidR="00B86FB3" w:rsidRPr="00FF756A" w:rsidRDefault="00B86FB3" w:rsidP="00B86FB3">
            <w:pPr>
              <w:rPr>
                <w:rFonts w:eastAsia="Times New Roman" w:cs="Times New Roman"/>
                <w:b w:val="0"/>
                <w:sz w:val="20"/>
                <w:szCs w:val="20"/>
              </w:rPr>
            </w:pPr>
            <w:r w:rsidRPr="00FF756A">
              <w:rPr>
                <w:rFonts w:cs="Times New Roman"/>
                <w:sz w:val="20"/>
                <w:szCs w:val="20"/>
              </w:rPr>
              <w:t>Elektrike</w:t>
            </w:r>
          </w:p>
        </w:tc>
        <w:tc>
          <w:tcPr>
            <w:tcW w:w="391" w:type="pct"/>
            <w:noWrap/>
            <w:vAlign w:val="center"/>
            <w:hideMark/>
          </w:tcPr>
          <w:p w14:paraId="0492776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391" w:type="pct"/>
            <w:noWrap/>
            <w:vAlign w:val="center"/>
            <w:hideMark/>
          </w:tcPr>
          <w:p w14:paraId="01FADE3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391" w:type="pct"/>
            <w:noWrap/>
            <w:vAlign w:val="center"/>
            <w:hideMark/>
          </w:tcPr>
          <w:p w14:paraId="102BC83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noWrap/>
            <w:vAlign w:val="center"/>
            <w:hideMark/>
          </w:tcPr>
          <w:p w14:paraId="7AAD80F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0,3%</w:t>
            </w:r>
          </w:p>
        </w:tc>
        <w:tc>
          <w:tcPr>
            <w:tcW w:w="391" w:type="pct"/>
            <w:noWrap/>
            <w:vAlign w:val="center"/>
            <w:hideMark/>
          </w:tcPr>
          <w:p w14:paraId="6D3A368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0,5%</w:t>
            </w:r>
          </w:p>
        </w:tc>
        <w:tc>
          <w:tcPr>
            <w:tcW w:w="391" w:type="pct"/>
            <w:noWrap/>
            <w:vAlign w:val="center"/>
            <w:hideMark/>
          </w:tcPr>
          <w:p w14:paraId="6D4C054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1,0%</w:t>
            </w:r>
          </w:p>
        </w:tc>
        <w:tc>
          <w:tcPr>
            <w:tcW w:w="391" w:type="pct"/>
            <w:noWrap/>
            <w:vAlign w:val="center"/>
            <w:hideMark/>
          </w:tcPr>
          <w:p w14:paraId="187291D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4,5%</w:t>
            </w:r>
          </w:p>
        </w:tc>
        <w:tc>
          <w:tcPr>
            <w:tcW w:w="391" w:type="pct"/>
            <w:noWrap/>
            <w:vAlign w:val="center"/>
            <w:hideMark/>
          </w:tcPr>
          <w:p w14:paraId="7E50B47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8,0%</w:t>
            </w:r>
          </w:p>
        </w:tc>
        <w:tc>
          <w:tcPr>
            <w:tcW w:w="391" w:type="pct"/>
            <w:vAlign w:val="center"/>
          </w:tcPr>
          <w:p w14:paraId="7929677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11,5%</w:t>
            </w:r>
          </w:p>
        </w:tc>
        <w:tc>
          <w:tcPr>
            <w:tcW w:w="391" w:type="pct"/>
            <w:vAlign w:val="center"/>
          </w:tcPr>
          <w:p w14:paraId="44733FD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15,0%</w:t>
            </w:r>
          </w:p>
        </w:tc>
      </w:tr>
      <w:tr w:rsidR="00B86FB3" w:rsidRPr="00FF756A" w14:paraId="46DE2B94"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7684A7C5" w14:textId="77777777" w:rsidR="00B86FB3" w:rsidRPr="00FF756A" w:rsidRDefault="00B86FB3" w:rsidP="00B86FB3">
            <w:pPr>
              <w:rPr>
                <w:rFonts w:eastAsia="Times New Roman" w:cs="Times New Roman"/>
                <w:b w:val="0"/>
                <w:sz w:val="20"/>
                <w:szCs w:val="20"/>
              </w:rPr>
            </w:pPr>
            <w:r w:rsidRPr="00FF756A">
              <w:rPr>
                <w:rFonts w:cs="Times New Roman"/>
                <w:sz w:val="20"/>
                <w:szCs w:val="20"/>
              </w:rPr>
              <w:t>Me gaz</w:t>
            </w:r>
          </w:p>
        </w:tc>
        <w:tc>
          <w:tcPr>
            <w:tcW w:w="391" w:type="pct"/>
            <w:noWrap/>
            <w:vAlign w:val="center"/>
            <w:hideMark/>
          </w:tcPr>
          <w:p w14:paraId="5A251E0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5CFE27A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391" w:type="pct"/>
            <w:noWrap/>
            <w:vAlign w:val="center"/>
            <w:hideMark/>
          </w:tcPr>
          <w:p w14:paraId="1D43BFC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391" w:type="pct"/>
            <w:noWrap/>
            <w:vAlign w:val="center"/>
            <w:hideMark/>
          </w:tcPr>
          <w:p w14:paraId="4B202EA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391" w:type="pct"/>
            <w:noWrap/>
            <w:vAlign w:val="center"/>
            <w:hideMark/>
          </w:tcPr>
          <w:p w14:paraId="2CAA607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391" w:type="pct"/>
            <w:noWrap/>
            <w:vAlign w:val="center"/>
            <w:hideMark/>
          </w:tcPr>
          <w:p w14:paraId="1F44482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391" w:type="pct"/>
            <w:noWrap/>
            <w:vAlign w:val="center"/>
            <w:hideMark/>
          </w:tcPr>
          <w:p w14:paraId="199077C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391" w:type="pct"/>
            <w:noWrap/>
            <w:vAlign w:val="center"/>
            <w:hideMark/>
          </w:tcPr>
          <w:p w14:paraId="564FD9F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391" w:type="pct"/>
            <w:vAlign w:val="center"/>
          </w:tcPr>
          <w:p w14:paraId="5068EBC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391" w:type="pct"/>
            <w:vAlign w:val="center"/>
          </w:tcPr>
          <w:p w14:paraId="642A53C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r>
      <w:tr w:rsidR="00B86FB3" w:rsidRPr="00FF756A" w14:paraId="508BD961"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543A9E83" w14:textId="77777777" w:rsidR="00B86FB3" w:rsidRPr="00FF756A" w:rsidRDefault="00B86FB3" w:rsidP="00B86FB3">
            <w:pPr>
              <w:rPr>
                <w:rFonts w:eastAsia="Times New Roman" w:cs="Times New Roman"/>
                <w:b w:val="0"/>
                <w:sz w:val="20"/>
                <w:szCs w:val="20"/>
              </w:rPr>
            </w:pPr>
            <w:r w:rsidRPr="00FF756A">
              <w:rPr>
                <w:rFonts w:cs="Times New Roman"/>
                <w:sz w:val="20"/>
                <w:szCs w:val="20"/>
              </w:rPr>
              <w:t>Me naftë dizel; me gaz</w:t>
            </w:r>
          </w:p>
        </w:tc>
        <w:tc>
          <w:tcPr>
            <w:tcW w:w="391" w:type="pct"/>
            <w:noWrap/>
            <w:vAlign w:val="center"/>
            <w:hideMark/>
          </w:tcPr>
          <w:p w14:paraId="67DFE7F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13D21F6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7F0ABEB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5A43D46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0,5%</w:t>
            </w:r>
          </w:p>
        </w:tc>
        <w:tc>
          <w:tcPr>
            <w:tcW w:w="391" w:type="pct"/>
            <w:noWrap/>
            <w:vAlign w:val="center"/>
            <w:hideMark/>
          </w:tcPr>
          <w:p w14:paraId="7737CCA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0,5%</w:t>
            </w:r>
          </w:p>
        </w:tc>
        <w:tc>
          <w:tcPr>
            <w:tcW w:w="391" w:type="pct"/>
            <w:noWrap/>
            <w:vAlign w:val="center"/>
            <w:hideMark/>
          </w:tcPr>
          <w:p w14:paraId="32B40C9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0,4%</w:t>
            </w:r>
          </w:p>
        </w:tc>
        <w:tc>
          <w:tcPr>
            <w:tcW w:w="391" w:type="pct"/>
            <w:noWrap/>
            <w:vAlign w:val="center"/>
            <w:hideMark/>
          </w:tcPr>
          <w:p w14:paraId="4053237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0,3%</w:t>
            </w:r>
          </w:p>
        </w:tc>
        <w:tc>
          <w:tcPr>
            <w:tcW w:w="391" w:type="pct"/>
            <w:noWrap/>
            <w:vAlign w:val="center"/>
            <w:hideMark/>
          </w:tcPr>
          <w:p w14:paraId="508471A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vAlign w:val="center"/>
          </w:tcPr>
          <w:p w14:paraId="040A1E2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391" w:type="pct"/>
            <w:vAlign w:val="center"/>
          </w:tcPr>
          <w:p w14:paraId="1334181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r>
      <w:tr w:rsidR="00B86FB3" w:rsidRPr="00FF756A" w14:paraId="585776F0"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201F4797" w14:textId="77777777" w:rsidR="00B86FB3" w:rsidRPr="00FF756A" w:rsidRDefault="00B86FB3" w:rsidP="00B86FB3">
            <w:pPr>
              <w:rPr>
                <w:rFonts w:eastAsia="Times New Roman" w:cs="Times New Roman"/>
                <w:b w:val="0"/>
                <w:sz w:val="20"/>
                <w:szCs w:val="20"/>
              </w:rPr>
            </w:pPr>
            <w:r w:rsidRPr="00FF756A">
              <w:rPr>
                <w:rFonts w:cs="Times New Roman"/>
                <w:sz w:val="20"/>
                <w:szCs w:val="20"/>
              </w:rPr>
              <w:t>Me hidrogjen</w:t>
            </w:r>
          </w:p>
        </w:tc>
        <w:tc>
          <w:tcPr>
            <w:tcW w:w="391" w:type="pct"/>
            <w:noWrap/>
            <w:vAlign w:val="center"/>
            <w:hideMark/>
          </w:tcPr>
          <w:p w14:paraId="6B0A2E2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0099F7F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2DC9CDF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31EF486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43B9B4A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46545E5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2DB3444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5150605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vAlign w:val="center"/>
          </w:tcPr>
          <w:p w14:paraId="138CDB0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vAlign w:val="center"/>
          </w:tcPr>
          <w:p w14:paraId="1DBC355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r>
      <w:tr w:rsidR="00B86FB3" w:rsidRPr="00FF756A" w14:paraId="4ADDFE00"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2E7ACCB3" w14:textId="77777777" w:rsidR="00B86FB3" w:rsidRPr="00FF756A" w:rsidRDefault="00B86FB3" w:rsidP="00B86FB3">
            <w:pPr>
              <w:rPr>
                <w:rFonts w:eastAsia="Times New Roman" w:cs="Times New Roman"/>
                <w:b w:val="0"/>
                <w:sz w:val="20"/>
                <w:szCs w:val="20"/>
              </w:rPr>
            </w:pPr>
            <w:r w:rsidRPr="00FF756A">
              <w:rPr>
                <w:rFonts w:cs="Times New Roman"/>
                <w:sz w:val="20"/>
                <w:szCs w:val="20"/>
              </w:rPr>
              <w:t>Me naftë dizel</w:t>
            </w:r>
          </w:p>
        </w:tc>
        <w:tc>
          <w:tcPr>
            <w:tcW w:w="391" w:type="pct"/>
            <w:noWrap/>
            <w:vAlign w:val="center"/>
            <w:hideMark/>
          </w:tcPr>
          <w:p w14:paraId="380BBE0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77,2%</w:t>
            </w:r>
          </w:p>
        </w:tc>
        <w:tc>
          <w:tcPr>
            <w:tcW w:w="391" w:type="pct"/>
            <w:noWrap/>
            <w:vAlign w:val="center"/>
            <w:hideMark/>
          </w:tcPr>
          <w:p w14:paraId="3584F11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76,4%</w:t>
            </w:r>
          </w:p>
        </w:tc>
        <w:tc>
          <w:tcPr>
            <w:tcW w:w="391" w:type="pct"/>
            <w:noWrap/>
            <w:vAlign w:val="center"/>
            <w:hideMark/>
          </w:tcPr>
          <w:p w14:paraId="48212F0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76,0%</w:t>
            </w:r>
          </w:p>
        </w:tc>
        <w:tc>
          <w:tcPr>
            <w:tcW w:w="391" w:type="pct"/>
            <w:noWrap/>
            <w:vAlign w:val="center"/>
            <w:hideMark/>
          </w:tcPr>
          <w:p w14:paraId="3C162A8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74,9%</w:t>
            </w:r>
          </w:p>
        </w:tc>
        <w:tc>
          <w:tcPr>
            <w:tcW w:w="391" w:type="pct"/>
            <w:noWrap/>
            <w:vAlign w:val="center"/>
            <w:hideMark/>
          </w:tcPr>
          <w:p w14:paraId="396AA17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74,0%</w:t>
            </w:r>
          </w:p>
        </w:tc>
        <w:tc>
          <w:tcPr>
            <w:tcW w:w="391" w:type="pct"/>
            <w:noWrap/>
            <w:vAlign w:val="center"/>
            <w:hideMark/>
          </w:tcPr>
          <w:p w14:paraId="4AC00D1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71,9%</w:t>
            </w:r>
          </w:p>
        </w:tc>
        <w:tc>
          <w:tcPr>
            <w:tcW w:w="391" w:type="pct"/>
            <w:noWrap/>
            <w:vAlign w:val="center"/>
            <w:hideMark/>
          </w:tcPr>
          <w:p w14:paraId="44C32F8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68,8%</w:t>
            </w:r>
          </w:p>
        </w:tc>
        <w:tc>
          <w:tcPr>
            <w:tcW w:w="391" w:type="pct"/>
            <w:noWrap/>
            <w:vAlign w:val="center"/>
            <w:hideMark/>
          </w:tcPr>
          <w:p w14:paraId="0F0337C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65,6%</w:t>
            </w:r>
          </w:p>
        </w:tc>
        <w:tc>
          <w:tcPr>
            <w:tcW w:w="391" w:type="pct"/>
            <w:vAlign w:val="center"/>
          </w:tcPr>
          <w:p w14:paraId="097F3F5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62,5%</w:t>
            </w:r>
          </w:p>
        </w:tc>
        <w:tc>
          <w:tcPr>
            <w:tcW w:w="391" w:type="pct"/>
            <w:vAlign w:val="center"/>
          </w:tcPr>
          <w:p w14:paraId="71AE682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59,4%</w:t>
            </w:r>
          </w:p>
        </w:tc>
      </w:tr>
      <w:tr w:rsidR="00B86FB3" w:rsidRPr="00FF756A" w14:paraId="70116C28"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4166266F" w14:textId="77777777" w:rsidR="00B86FB3" w:rsidRPr="00FF756A" w:rsidRDefault="00B86FB3" w:rsidP="00B86FB3">
            <w:pPr>
              <w:rPr>
                <w:rFonts w:eastAsia="Times New Roman" w:cs="Times New Roman"/>
                <w:b w:val="0"/>
                <w:sz w:val="20"/>
                <w:szCs w:val="20"/>
              </w:rPr>
            </w:pPr>
            <w:r w:rsidRPr="00FF756A">
              <w:rPr>
                <w:rFonts w:cs="Times New Roman"/>
                <w:sz w:val="20"/>
                <w:szCs w:val="20"/>
              </w:rPr>
              <w:t>Me naftë dizel; elektrike</w:t>
            </w:r>
          </w:p>
        </w:tc>
        <w:tc>
          <w:tcPr>
            <w:tcW w:w="391" w:type="pct"/>
            <w:noWrap/>
            <w:vAlign w:val="center"/>
            <w:hideMark/>
          </w:tcPr>
          <w:p w14:paraId="06DD416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7122AE0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5A7C64A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391" w:type="pct"/>
            <w:noWrap/>
            <w:vAlign w:val="center"/>
            <w:hideMark/>
          </w:tcPr>
          <w:p w14:paraId="712DD6B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noWrap/>
            <w:vAlign w:val="center"/>
            <w:hideMark/>
          </w:tcPr>
          <w:p w14:paraId="069252D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0,6%</w:t>
            </w:r>
          </w:p>
        </w:tc>
        <w:tc>
          <w:tcPr>
            <w:tcW w:w="391" w:type="pct"/>
            <w:noWrap/>
            <w:vAlign w:val="center"/>
            <w:hideMark/>
          </w:tcPr>
          <w:p w14:paraId="367FE1F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1,5%</w:t>
            </w:r>
          </w:p>
        </w:tc>
        <w:tc>
          <w:tcPr>
            <w:tcW w:w="391" w:type="pct"/>
            <w:noWrap/>
            <w:vAlign w:val="center"/>
            <w:hideMark/>
          </w:tcPr>
          <w:p w14:paraId="630D540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2,4%</w:t>
            </w:r>
          </w:p>
        </w:tc>
        <w:tc>
          <w:tcPr>
            <w:tcW w:w="391" w:type="pct"/>
            <w:noWrap/>
            <w:vAlign w:val="center"/>
            <w:hideMark/>
          </w:tcPr>
          <w:p w14:paraId="115D04A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3,2%</w:t>
            </w:r>
          </w:p>
        </w:tc>
        <w:tc>
          <w:tcPr>
            <w:tcW w:w="391" w:type="pct"/>
            <w:vAlign w:val="center"/>
          </w:tcPr>
          <w:p w14:paraId="388772E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4,1%</w:t>
            </w:r>
          </w:p>
        </w:tc>
        <w:tc>
          <w:tcPr>
            <w:tcW w:w="391" w:type="pct"/>
            <w:vAlign w:val="center"/>
          </w:tcPr>
          <w:p w14:paraId="3F4FB64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5,0%</w:t>
            </w:r>
          </w:p>
        </w:tc>
      </w:tr>
      <w:tr w:rsidR="00B86FB3" w:rsidRPr="00FF756A" w14:paraId="2D1C7EDC"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11"/>
            <w:noWrap/>
            <w:hideMark/>
          </w:tcPr>
          <w:p w14:paraId="676F1F9C" w14:textId="77777777" w:rsidR="00B86FB3" w:rsidRPr="00FF756A" w:rsidRDefault="00B86FB3" w:rsidP="00B86FB3">
            <w:pPr>
              <w:rPr>
                <w:rFonts w:eastAsia="Times New Roman" w:cs="Times New Roman"/>
                <w:bCs w:val="0"/>
                <w:color w:val="FFFF00"/>
                <w:sz w:val="20"/>
                <w:szCs w:val="20"/>
              </w:rPr>
            </w:pPr>
            <w:r w:rsidRPr="00FF756A">
              <w:rPr>
                <w:rFonts w:cs="Times New Roman"/>
                <w:sz w:val="20"/>
                <w:szCs w:val="20"/>
              </w:rPr>
              <w:t>Autobusët</w:t>
            </w:r>
          </w:p>
        </w:tc>
      </w:tr>
      <w:tr w:rsidR="00B86FB3" w:rsidRPr="00FF756A" w14:paraId="41D03079"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393B99EF" w14:textId="77777777" w:rsidR="00B86FB3" w:rsidRPr="00FF756A" w:rsidRDefault="00B86FB3" w:rsidP="00B86FB3">
            <w:pPr>
              <w:rPr>
                <w:rFonts w:eastAsia="Times New Roman" w:cs="Times New Roman"/>
                <w:b w:val="0"/>
                <w:sz w:val="20"/>
                <w:szCs w:val="20"/>
              </w:rPr>
            </w:pPr>
            <w:r w:rsidRPr="00FF756A">
              <w:rPr>
                <w:rFonts w:cs="Times New Roman"/>
                <w:sz w:val="20"/>
                <w:szCs w:val="20"/>
              </w:rPr>
              <w:t>Me benzinë</w:t>
            </w:r>
          </w:p>
        </w:tc>
        <w:tc>
          <w:tcPr>
            <w:tcW w:w="391" w:type="pct"/>
            <w:noWrap/>
            <w:vAlign w:val="center"/>
            <w:hideMark/>
          </w:tcPr>
          <w:p w14:paraId="3E8D41C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16,0%</w:t>
            </w:r>
          </w:p>
        </w:tc>
        <w:tc>
          <w:tcPr>
            <w:tcW w:w="391" w:type="pct"/>
            <w:noWrap/>
            <w:vAlign w:val="center"/>
            <w:hideMark/>
          </w:tcPr>
          <w:p w14:paraId="4C20AAC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15,9%</w:t>
            </w:r>
          </w:p>
        </w:tc>
        <w:tc>
          <w:tcPr>
            <w:tcW w:w="391" w:type="pct"/>
            <w:noWrap/>
            <w:vAlign w:val="center"/>
            <w:hideMark/>
          </w:tcPr>
          <w:p w14:paraId="1C45A04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15,9%</w:t>
            </w:r>
          </w:p>
        </w:tc>
        <w:tc>
          <w:tcPr>
            <w:tcW w:w="391" w:type="pct"/>
            <w:noWrap/>
            <w:vAlign w:val="center"/>
            <w:hideMark/>
          </w:tcPr>
          <w:p w14:paraId="36230F9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15,7%</w:t>
            </w:r>
          </w:p>
        </w:tc>
        <w:tc>
          <w:tcPr>
            <w:tcW w:w="391" w:type="pct"/>
            <w:noWrap/>
            <w:vAlign w:val="center"/>
            <w:hideMark/>
          </w:tcPr>
          <w:p w14:paraId="7A1A3CD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15,4%</w:t>
            </w:r>
          </w:p>
        </w:tc>
        <w:tc>
          <w:tcPr>
            <w:tcW w:w="391" w:type="pct"/>
            <w:noWrap/>
            <w:vAlign w:val="center"/>
            <w:hideMark/>
          </w:tcPr>
          <w:p w14:paraId="5B9C0EC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14,6%</w:t>
            </w:r>
          </w:p>
        </w:tc>
        <w:tc>
          <w:tcPr>
            <w:tcW w:w="391" w:type="pct"/>
            <w:noWrap/>
            <w:vAlign w:val="center"/>
            <w:hideMark/>
          </w:tcPr>
          <w:p w14:paraId="0CEF645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11,3%</w:t>
            </w:r>
          </w:p>
        </w:tc>
        <w:tc>
          <w:tcPr>
            <w:tcW w:w="391" w:type="pct"/>
            <w:noWrap/>
            <w:vAlign w:val="center"/>
            <w:hideMark/>
          </w:tcPr>
          <w:p w14:paraId="56E885F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8,0%</w:t>
            </w:r>
          </w:p>
        </w:tc>
        <w:tc>
          <w:tcPr>
            <w:tcW w:w="391" w:type="pct"/>
            <w:vAlign w:val="center"/>
          </w:tcPr>
          <w:p w14:paraId="3167347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4,7%</w:t>
            </w:r>
          </w:p>
        </w:tc>
        <w:tc>
          <w:tcPr>
            <w:tcW w:w="391" w:type="pct"/>
            <w:vAlign w:val="center"/>
          </w:tcPr>
          <w:p w14:paraId="5F54586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1,4%</w:t>
            </w:r>
          </w:p>
        </w:tc>
      </w:tr>
      <w:tr w:rsidR="00B86FB3" w:rsidRPr="00FF756A" w14:paraId="03D21162"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6AE06F9D" w14:textId="77777777" w:rsidR="00B86FB3" w:rsidRPr="00FF756A" w:rsidRDefault="00B86FB3" w:rsidP="00B86FB3">
            <w:pPr>
              <w:rPr>
                <w:rFonts w:eastAsia="Times New Roman" w:cs="Times New Roman"/>
                <w:b w:val="0"/>
                <w:sz w:val="20"/>
                <w:szCs w:val="20"/>
              </w:rPr>
            </w:pPr>
            <w:r w:rsidRPr="00FF756A">
              <w:rPr>
                <w:rFonts w:cs="Times New Roman"/>
                <w:sz w:val="20"/>
                <w:szCs w:val="20"/>
              </w:rPr>
              <w:t>Me benzinë; elektrikë</w:t>
            </w:r>
          </w:p>
        </w:tc>
        <w:tc>
          <w:tcPr>
            <w:tcW w:w="391" w:type="pct"/>
            <w:noWrap/>
            <w:vAlign w:val="center"/>
            <w:hideMark/>
          </w:tcPr>
          <w:p w14:paraId="3F26DC3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50D9E48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522190C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6CBCB5F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0,6%</w:t>
            </w:r>
          </w:p>
        </w:tc>
        <w:tc>
          <w:tcPr>
            <w:tcW w:w="391" w:type="pct"/>
            <w:noWrap/>
            <w:vAlign w:val="center"/>
            <w:hideMark/>
          </w:tcPr>
          <w:p w14:paraId="1E9D354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1,9%</w:t>
            </w:r>
          </w:p>
        </w:tc>
        <w:tc>
          <w:tcPr>
            <w:tcW w:w="391" w:type="pct"/>
            <w:noWrap/>
            <w:vAlign w:val="center"/>
            <w:hideMark/>
          </w:tcPr>
          <w:p w14:paraId="10126E9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5,0%</w:t>
            </w:r>
          </w:p>
        </w:tc>
        <w:tc>
          <w:tcPr>
            <w:tcW w:w="391" w:type="pct"/>
            <w:noWrap/>
            <w:vAlign w:val="center"/>
            <w:hideMark/>
          </w:tcPr>
          <w:p w14:paraId="2E286ED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11,3%</w:t>
            </w:r>
          </w:p>
        </w:tc>
        <w:tc>
          <w:tcPr>
            <w:tcW w:w="391" w:type="pct"/>
            <w:noWrap/>
            <w:vAlign w:val="center"/>
            <w:hideMark/>
          </w:tcPr>
          <w:p w14:paraId="60320B5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17,5%</w:t>
            </w:r>
          </w:p>
        </w:tc>
        <w:tc>
          <w:tcPr>
            <w:tcW w:w="391" w:type="pct"/>
            <w:vAlign w:val="center"/>
          </w:tcPr>
          <w:p w14:paraId="7AEA20D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23,8%</w:t>
            </w:r>
          </w:p>
        </w:tc>
        <w:tc>
          <w:tcPr>
            <w:tcW w:w="391" w:type="pct"/>
            <w:vAlign w:val="center"/>
          </w:tcPr>
          <w:p w14:paraId="02FB755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30,0%</w:t>
            </w:r>
          </w:p>
        </w:tc>
      </w:tr>
      <w:tr w:rsidR="00B86FB3" w:rsidRPr="00FF756A" w14:paraId="490633E2"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2CF1909B" w14:textId="77777777" w:rsidR="00B86FB3" w:rsidRPr="00FF756A" w:rsidRDefault="00B86FB3" w:rsidP="00B86FB3">
            <w:pPr>
              <w:rPr>
                <w:rFonts w:eastAsia="Times New Roman" w:cs="Times New Roman"/>
                <w:b w:val="0"/>
                <w:sz w:val="20"/>
                <w:szCs w:val="20"/>
              </w:rPr>
            </w:pPr>
            <w:r w:rsidRPr="00FF756A">
              <w:rPr>
                <w:rFonts w:cs="Times New Roman"/>
                <w:sz w:val="20"/>
                <w:szCs w:val="20"/>
              </w:rPr>
              <w:t>Me benzinë; me gaz</w:t>
            </w:r>
          </w:p>
        </w:tc>
        <w:tc>
          <w:tcPr>
            <w:tcW w:w="391" w:type="pct"/>
            <w:noWrap/>
            <w:vAlign w:val="center"/>
            <w:hideMark/>
          </w:tcPr>
          <w:p w14:paraId="4A45570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391" w:type="pct"/>
            <w:noWrap/>
            <w:vAlign w:val="center"/>
            <w:hideMark/>
          </w:tcPr>
          <w:p w14:paraId="6128722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noWrap/>
            <w:vAlign w:val="center"/>
            <w:hideMark/>
          </w:tcPr>
          <w:p w14:paraId="67AF688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noWrap/>
            <w:vAlign w:val="center"/>
            <w:hideMark/>
          </w:tcPr>
          <w:p w14:paraId="4F4AE02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noWrap/>
            <w:vAlign w:val="center"/>
            <w:hideMark/>
          </w:tcPr>
          <w:p w14:paraId="06855C4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noWrap/>
            <w:vAlign w:val="center"/>
            <w:hideMark/>
          </w:tcPr>
          <w:p w14:paraId="4533020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noWrap/>
            <w:vAlign w:val="center"/>
            <w:hideMark/>
          </w:tcPr>
          <w:p w14:paraId="50E1199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noWrap/>
            <w:vAlign w:val="center"/>
            <w:hideMark/>
          </w:tcPr>
          <w:p w14:paraId="669F69E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vAlign w:val="center"/>
          </w:tcPr>
          <w:p w14:paraId="0CAFB28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vAlign w:val="center"/>
          </w:tcPr>
          <w:p w14:paraId="4B6050B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r>
      <w:tr w:rsidR="00B86FB3" w:rsidRPr="00FF756A" w14:paraId="6A7A68EF"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0E013B0C" w14:textId="77777777" w:rsidR="00B86FB3" w:rsidRPr="00FF756A" w:rsidRDefault="00B86FB3" w:rsidP="00B86FB3">
            <w:pPr>
              <w:rPr>
                <w:rFonts w:eastAsia="Times New Roman" w:cs="Times New Roman"/>
                <w:b w:val="0"/>
                <w:sz w:val="20"/>
                <w:szCs w:val="20"/>
              </w:rPr>
            </w:pPr>
            <w:r w:rsidRPr="00FF756A">
              <w:rPr>
                <w:rFonts w:cs="Times New Roman"/>
                <w:sz w:val="20"/>
                <w:szCs w:val="20"/>
              </w:rPr>
              <w:t>Me benzinë; me gaz; elektrikë</w:t>
            </w:r>
          </w:p>
        </w:tc>
        <w:tc>
          <w:tcPr>
            <w:tcW w:w="391" w:type="pct"/>
            <w:noWrap/>
            <w:vAlign w:val="center"/>
            <w:hideMark/>
          </w:tcPr>
          <w:p w14:paraId="6042FBF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04C862C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168273C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259FE94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02C49EF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4C13F5C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34C7962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67D91B8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vAlign w:val="center"/>
          </w:tcPr>
          <w:p w14:paraId="0F0117E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vAlign w:val="center"/>
          </w:tcPr>
          <w:p w14:paraId="37FFC6C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r>
      <w:tr w:rsidR="00B86FB3" w:rsidRPr="00FF756A" w14:paraId="31906E45"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75187715" w14:textId="77777777" w:rsidR="00B86FB3" w:rsidRPr="00FF756A" w:rsidRDefault="00B86FB3" w:rsidP="00B86FB3">
            <w:pPr>
              <w:rPr>
                <w:rFonts w:eastAsia="Times New Roman" w:cs="Times New Roman"/>
                <w:b w:val="0"/>
                <w:sz w:val="20"/>
                <w:szCs w:val="20"/>
              </w:rPr>
            </w:pPr>
            <w:r w:rsidRPr="00FF756A">
              <w:rPr>
                <w:rFonts w:cs="Times New Roman"/>
                <w:sz w:val="20"/>
                <w:szCs w:val="20"/>
              </w:rPr>
              <w:t>Elektrikë</w:t>
            </w:r>
          </w:p>
        </w:tc>
        <w:tc>
          <w:tcPr>
            <w:tcW w:w="391" w:type="pct"/>
            <w:noWrap/>
            <w:vAlign w:val="center"/>
            <w:hideMark/>
          </w:tcPr>
          <w:p w14:paraId="469D4DC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1BBE7DF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75F3A4C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1F045E2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noWrap/>
            <w:vAlign w:val="center"/>
            <w:hideMark/>
          </w:tcPr>
          <w:p w14:paraId="059CB02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0,5%</w:t>
            </w:r>
          </w:p>
        </w:tc>
        <w:tc>
          <w:tcPr>
            <w:tcW w:w="391" w:type="pct"/>
            <w:noWrap/>
            <w:vAlign w:val="center"/>
            <w:hideMark/>
          </w:tcPr>
          <w:p w14:paraId="671E5B3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1,4%</w:t>
            </w:r>
          </w:p>
        </w:tc>
        <w:tc>
          <w:tcPr>
            <w:tcW w:w="391" w:type="pct"/>
            <w:noWrap/>
            <w:vAlign w:val="center"/>
            <w:hideMark/>
          </w:tcPr>
          <w:p w14:paraId="129D929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11,1%</w:t>
            </w:r>
          </w:p>
        </w:tc>
        <w:tc>
          <w:tcPr>
            <w:tcW w:w="391" w:type="pct"/>
            <w:noWrap/>
            <w:vAlign w:val="center"/>
            <w:hideMark/>
          </w:tcPr>
          <w:p w14:paraId="420E57C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20,7%</w:t>
            </w:r>
          </w:p>
        </w:tc>
        <w:tc>
          <w:tcPr>
            <w:tcW w:w="391" w:type="pct"/>
            <w:vAlign w:val="center"/>
          </w:tcPr>
          <w:p w14:paraId="3B49E60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30,4%</w:t>
            </w:r>
          </w:p>
        </w:tc>
        <w:tc>
          <w:tcPr>
            <w:tcW w:w="391" w:type="pct"/>
            <w:vAlign w:val="center"/>
          </w:tcPr>
          <w:p w14:paraId="1D0A5CA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40,0%</w:t>
            </w:r>
          </w:p>
        </w:tc>
      </w:tr>
      <w:tr w:rsidR="00B86FB3" w:rsidRPr="00FF756A" w14:paraId="7D9F6FC7"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0CE3287B" w14:textId="77777777" w:rsidR="00B86FB3" w:rsidRPr="00FF756A" w:rsidRDefault="00B86FB3" w:rsidP="00B86FB3">
            <w:pPr>
              <w:rPr>
                <w:rFonts w:eastAsia="Times New Roman" w:cs="Times New Roman"/>
                <w:b w:val="0"/>
                <w:sz w:val="20"/>
                <w:szCs w:val="20"/>
              </w:rPr>
            </w:pPr>
            <w:r w:rsidRPr="00FF756A">
              <w:rPr>
                <w:rFonts w:cs="Times New Roman"/>
                <w:sz w:val="20"/>
                <w:szCs w:val="20"/>
              </w:rPr>
              <w:t>Me gaz</w:t>
            </w:r>
          </w:p>
        </w:tc>
        <w:tc>
          <w:tcPr>
            <w:tcW w:w="391" w:type="pct"/>
            <w:noWrap/>
            <w:vAlign w:val="center"/>
            <w:hideMark/>
          </w:tcPr>
          <w:p w14:paraId="0194C13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391" w:type="pct"/>
            <w:noWrap/>
            <w:vAlign w:val="center"/>
            <w:hideMark/>
          </w:tcPr>
          <w:p w14:paraId="42C610B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391" w:type="pct"/>
            <w:noWrap/>
            <w:vAlign w:val="center"/>
            <w:hideMark/>
          </w:tcPr>
          <w:p w14:paraId="437CD26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391" w:type="pct"/>
            <w:noWrap/>
            <w:vAlign w:val="center"/>
            <w:hideMark/>
          </w:tcPr>
          <w:p w14:paraId="26A0205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noWrap/>
            <w:vAlign w:val="center"/>
            <w:hideMark/>
          </w:tcPr>
          <w:p w14:paraId="6804A30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391" w:type="pct"/>
            <w:noWrap/>
            <w:vAlign w:val="center"/>
            <w:hideMark/>
          </w:tcPr>
          <w:p w14:paraId="14EF616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0,4%</w:t>
            </w:r>
          </w:p>
        </w:tc>
        <w:tc>
          <w:tcPr>
            <w:tcW w:w="391" w:type="pct"/>
            <w:noWrap/>
            <w:vAlign w:val="center"/>
            <w:hideMark/>
          </w:tcPr>
          <w:p w14:paraId="3E7914D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0,5%</w:t>
            </w:r>
          </w:p>
        </w:tc>
        <w:tc>
          <w:tcPr>
            <w:tcW w:w="391" w:type="pct"/>
            <w:noWrap/>
            <w:vAlign w:val="center"/>
            <w:hideMark/>
          </w:tcPr>
          <w:p w14:paraId="46218D8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0,7%</w:t>
            </w:r>
          </w:p>
        </w:tc>
        <w:tc>
          <w:tcPr>
            <w:tcW w:w="391" w:type="pct"/>
            <w:vAlign w:val="center"/>
          </w:tcPr>
          <w:p w14:paraId="103FD6A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0,8%</w:t>
            </w:r>
          </w:p>
        </w:tc>
        <w:tc>
          <w:tcPr>
            <w:tcW w:w="391" w:type="pct"/>
            <w:vAlign w:val="center"/>
          </w:tcPr>
          <w:p w14:paraId="7C199CC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1,0%</w:t>
            </w:r>
          </w:p>
        </w:tc>
      </w:tr>
      <w:tr w:rsidR="00B86FB3" w:rsidRPr="00FF756A" w14:paraId="2A5A32AD"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68901336" w14:textId="77777777" w:rsidR="00B86FB3" w:rsidRPr="00FF756A" w:rsidRDefault="00B86FB3" w:rsidP="00B86FB3">
            <w:pPr>
              <w:rPr>
                <w:rFonts w:eastAsia="Times New Roman" w:cs="Times New Roman"/>
                <w:b w:val="0"/>
                <w:sz w:val="20"/>
                <w:szCs w:val="20"/>
              </w:rPr>
            </w:pPr>
            <w:r w:rsidRPr="00FF756A">
              <w:rPr>
                <w:rFonts w:cs="Times New Roman"/>
                <w:sz w:val="20"/>
                <w:szCs w:val="20"/>
              </w:rPr>
              <w:t>Me naftë dizel; me gaz</w:t>
            </w:r>
          </w:p>
        </w:tc>
        <w:tc>
          <w:tcPr>
            <w:tcW w:w="391" w:type="pct"/>
            <w:noWrap/>
            <w:vAlign w:val="center"/>
            <w:hideMark/>
          </w:tcPr>
          <w:p w14:paraId="7A3DEA7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3457B32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238027A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067DCE4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235FD58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2E909F4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7D3B0F7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5DCDAD5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vAlign w:val="center"/>
          </w:tcPr>
          <w:p w14:paraId="36808DF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vAlign w:val="center"/>
          </w:tcPr>
          <w:p w14:paraId="7CD2497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r>
      <w:tr w:rsidR="00B86FB3" w:rsidRPr="00FF756A" w14:paraId="49F8CF6C"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6156F0D6" w14:textId="77777777" w:rsidR="00B86FB3" w:rsidRPr="00FF756A" w:rsidRDefault="00B86FB3" w:rsidP="00B86FB3">
            <w:pPr>
              <w:rPr>
                <w:rFonts w:eastAsia="Times New Roman" w:cs="Times New Roman"/>
                <w:b w:val="0"/>
                <w:sz w:val="20"/>
                <w:szCs w:val="20"/>
              </w:rPr>
            </w:pPr>
            <w:r w:rsidRPr="00FF756A">
              <w:rPr>
                <w:rFonts w:cs="Times New Roman"/>
                <w:sz w:val="20"/>
                <w:szCs w:val="20"/>
              </w:rPr>
              <w:t>Me hidrogjen</w:t>
            </w:r>
          </w:p>
        </w:tc>
        <w:tc>
          <w:tcPr>
            <w:tcW w:w="391" w:type="pct"/>
            <w:noWrap/>
            <w:vAlign w:val="center"/>
            <w:hideMark/>
          </w:tcPr>
          <w:p w14:paraId="5F62215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52A64AD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50920F7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0E674D2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2C068DC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127909B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487795B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3,8%</w:t>
            </w:r>
          </w:p>
        </w:tc>
        <w:tc>
          <w:tcPr>
            <w:tcW w:w="391" w:type="pct"/>
            <w:noWrap/>
            <w:vAlign w:val="center"/>
            <w:hideMark/>
          </w:tcPr>
          <w:p w14:paraId="2EB66EB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7,5%</w:t>
            </w:r>
          </w:p>
        </w:tc>
        <w:tc>
          <w:tcPr>
            <w:tcW w:w="391" w:type="pct"/>
            <w:vAlign w:val="center"/>
          </w:tcPr>
          <w:p w14:paraId="27C1F39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11,3%</w:t>
            </w:r>
          </w:p>
        </w:tc>
        <w:tc>
          <w:tcPr>
            <w:tcW w:w="391" w:type="pct"/>
            <w:vAlign w:val="center"/>
          </w:tcPr>
          <w:p w14:paraId="56A9C50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15,0%</w:t>
            </w:r>
          </w:p>
        </w:tc>
      </w:tr>
      <w:tr w:rsidR="00B86FB3" w:rsidRPr="00FF756A" w14:paraId="3A6111CB"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693A4450" w14:textId="77777777" w:rsidR="00B86FB3" w:rsidRPr="00FF756A" w:rsidRDefault="00B86FB3" w:rsidP="00B86FB3">
            <w:pPr>
              <w:rPr>
                <w:rFonts w:eastAsia="Times New Roman" w:cs="Times New Roman"/>
                <w:b w:val="0"/>
                <w:sz w:val="20"/>
                <w:szCs w:val="20"/>
              </w:rPr>
            </w:pPr>
            <w:r w:rsidRPr="00FF756A">
              <w:rPr>
                <w:rFonts w:cs="Times New Roman"/>
                <w:sz w:val="20"/>
                <w:szCs w:val="20"/>
              </w:rPr>
              <w:t>Me naftë dizel</w:t>
            </w:r>
          </w:p>
        </w:tc>
        <w:tc>
          <w:tcPr>
            <w:tcW w:w="391" w:type="pct"/>
            <w:noWrap/>
            <w:vAlign w:val="center"/>
            <w:hideMark/>
          </w:tcPr>
          <w:p w14:paraId="7B5BA85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83,8%</w:t>
            </w:r>
          </w:p>
        </w:tc>
        <w:tc>
          <w:tcPr>
            <w:tcW w:w="391" w:type="pct"/>
            <w:noWrap/>
            <w:vAlign w:val="center"/>
            <w:hideMark/>
          </w:tcPr>
          <w:p w14:paraId="06563EC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83,5%</w:t>
            </w:r>
          </w:p>
        </w:tc>
        <w:tc>
          <w:tcPr>
            <w:tcW w:w="391" w:type="pct"/>
            <w:noWrap/>
            <w:vAlign w:val="center"/>
            <w:hideMark/>
          </w:tcPr>
          <w:p w14:paraId="35B2B65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83,4%</w:t>
            </w:r>
          </w:p>
        </w:tc>
        <w:tc>
          <w:tcPr>
            <w:tcW w:w="391" w:type="pct"/>
            <w:noWrap/>
            <w:vAlign w:val="center"/>
            <w:hideMark/>
          </w:tcPr>
          <w:p w14:paraId="240A69A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82,6%</w:t>
            </w:r>
          </w:p>
        </w:tc>
        <w:tc>
          <w:tcPr>
            <w:tcW w:w="391" w:type="pct"/>
            <w:noWrap/>
            <w:vAlign w:val="center"/>
            <w:hideMark/>
          </w:tcPr>
          <w:p w14:paraId="3E84B03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80,9%</w:t>
            </w:r>
          </w:p>
        </w:tc>
        <w:tc>
          <w:tcPr>
            <w:tcW w:w="391" w:type="pct"/>
            <w:noWrap/>
            <w:vAlign w:val="center"/>
            <w:hideMark/>
          </w:tcPr>
          <w:p w14:paraId="0368374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76,7%</w:t>
            </w:r>
          </w:p>
        </w:tc>
        <w:tc>
          <w:tcPr>
            <w:tcW w:w="391" w:type="pct"/>
            <w:noWrap/>
            <w:vAlign w:val="center"/>
            <w:hideMark/>
          </w:tcPr>
          <w:p w14:paraId="501E1CE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59,4%</w:t>
            </w:r>
          </w:p>
        </w:tc>
        <w:tc>
          <w:tcPr>
            <w:tcW w:w="391" w:type="pct"/>
            <w:noWrap/>
            <w:vAlign w:val="center"/>
            <w:hideMark/>
          </w:tcPr>
          <w:p w14:paraId="2E46950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42,1%</w:t>
            </w:r>
          </w:p>
        </w:tc>
        <w:tc>
          <w:tcPr>
            <w:tcW w:w="391" w:type="pct"/>
            <w:vAlign w:val="center"/>
          </w:tcPr>
          <w:p w14:paraId="64D08E6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24,7%</w:t>
            </w:r>
          </w:p>
        </w:tc>
        <w:tc>
          <w:tcPr>
            <w:tcW w:w="391" w:type="pct"/>
            <w:vAlign w:val="center"/>
          </w:tcPr>
          <w:p w14:paraId="2FF3E33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7,4%</w:t>
            </w:r>
          </w:p>
        </w:tc>
      </w:tr>
      <w:tr w:rsidR="00B86FB3" w:rsidRPr="00FF756A" w14:paraId="1A3388DD"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38F47DE6" w14:textId="77777777" w:rsidR="00B86FB3" w:rsidRPr="00FF756A" w:rsidRDefault="00B86FB3" w:rsidP="00B86FB3">
            <w:pPr>
              <w:rPr>
                <w:rFonts w:eastAsia="Times New Roman" w:cs="Times New Roman"/>
                <w:b w:val="0"/>
                <w:sz w:val="20"/>
                <w:szCs w:val="20"/>
              </w:rPr>
            </w:pPr>
            <w:r w:rsidRPr="00FF756A">
              <w:rPr>
                <w:rFonts w:cs="Times New Roman"/>
                <w:sz w:val="20"/>
                <w:szCs w:val="20"/>
              </w:rPr>
              <w:t>Me naftë dizel; elektrikë</w:t>
            </w:r>
          </w:p>
        </w:tc>
        <w:tc>
          <w:tcPr>
            <w:tcW w:w="391" w:type="pct"/>
            <w:noWrap/>
            <w:vAlign w:val="center"/>
            <w:hideMark/>
          </w:tcPr>
          <w:p w14:paraId="168EC2A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391" w:type="pct"/>
            <w:noWrap/>
            <w:vAlign w:val="center"/>
            <w:hideMark/>
          </w:tcPr>
          <w:p w14:paraId="7DCDB82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0,3%</w:t>
            </w:r>
          </w:p>
        </w:tc>
        <w:tc>
          <w:tcPr>
            <w:tcW w:w="391" w:type="pct"/>
            <w:noWrap/>
            <w:vAlign w:val="center"/>
            <w:hideMark/>
          </w:tcPr>
          <w:p w14:paraId="581DF72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0,4%</w:t>
            </w:r>
          </w:p>
        </w:tc>
        <w:tc>
          <w:tcPr>
            <w:tcW w:w="391" w:type="pct"/>
            <w:noWrap/>
            <w:vAlign w:val="center"/>
            <w:hideMark/>
          </w:tcPr>
          <w:p w14:paraId="109F3DF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0,5%</w:t>
            </w:r>
          </w:p>
        </w:tc>
        <w:tc>
          <w:tcPr>
            <w:tcW w:w="391" w:type="pct"/>
            <w:noWrap/>
            <w:vAlign w:val="center"/>
            <w:hideMark/>
          </w:tcPr>
          <w:p w14:paraId="4818889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0,9%</w:t>
            </w:r>
          </w:p>
        </w:tc>
        <w:tc>
          <w:tcPr>
            <w:tcW w:w="391" w:type="pct"/>
            <w:noWrap/>
            <w:vAlign w:val="center"/>
            <w:hideMark/>
          </w:tcPr>
          <w:p w14:paraId="703DDA1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1,7%</w:t>
            </w:r>
          </w:p>
        </w:tc>
        <w:tc>
          <w:tcPr>
            <w:tcW w:w="391" w:type="pct"/>
            <w:noWrap/>
            <w:vAlign w:val="center"/>
            <w:hideMark/>
          </w:tcPr>
          <w:p w14:paraId="0FE52D4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2,5%</w:t>
            </w:r>
          </w:p>
        </w:tc>
        <w:tc>
          <w:tcPr>
            <w:tcW w:w="391" w:type="pct"/>
            <w:noWrap/>
            <w:vAlign w:val="center"/>
            <w:hideMark/>
          </w:tcPr>
          <w:p w14:paraId="6607C79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3,3%</w:t>
            </w:r>
          </w:p>
        </w:tc>
        <w:tc>
          <w:tcPr>
            <w:tcW w:w="391" w:type="pct"/>
            <w:vAlign w:val="center"/>
          </w:tcPr>
          <w:p w14:paraId="5381369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4,2%</w:t>
            </w:r>
          </w:p>
        </w:tc>
        <w:tc>
          <w:tcPr>
            <w:tcW w:w="391" w:type="pct"/>
            <w:vAlign w:val="center"/>
          </w:tcPr>
          <w:p w14:paraId="1F18EC7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5,0%</w:t>
            </w:r>
          </w:p>
        </w:tc>
      </w:tr>
      <w:tr w:rsidR="00B86FB3" w:rsidRPr="00FF756A" w14:paraId="60142418"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11"/>
            <w:noWrap/>
            <w:hideMark/>
          </w:tcPr>
          <w:p w14:paraId="461649A5" w14:textId="77777777" w:rsidR="00B86FB3" w:rsidRPr="00FF756A" w:rsidRDefault="00B86FB3" w:rsidP="00B86FB3">
            <w:pPr>
              <w:rPr>
                <w:rFonts w:eastAsia="Times New Roman" w:cs="Times New Roman"/>
                <w:bCs w:val="0"/>
                <w:color w:val="FFFF00"/>
                <w:sz w:val="20"/>
                <w:szCs w:val="20"/>
              </w:rPr>
            </w:pPr>
            <w:r w:rsidRPr="00FF756A">
              <w:rPr>
                <w:rFonts w:cs="Times New Roman"/>
                <w:sz w:val="20"/>
                <w:szCs w:val="20"/>
              </w:rPr>
              <w:t>Kamionët</w:t>
            </w:r>
          </w:p>
        </w:tc>
      </w:tr>
      <w:tr w:rsidR="00B86FB3" w:rsidRPr="00FF756A" w14:paraId="128163EC"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7FB98ECC" w14:textId="77777777" w:rsidR="00B86FB3" w:rsidRPr="00FF756A" w:rsidRDefault="00B86FB3" w:rsidP="00B86FB3">
            <w:pPr>
              <w:rPr>
                <w:rFonts w:eastAsia="Times New Roman" w:cs="Times New Roman"/>
                <w:b w:val="0"/>
                <w:sz w:val="20"/>
                <w:szCs w:val="20"/>
              </w:rPr>
            </w:pPr>
            <w:r w:rsidRPr="00FF756A">
              <w:rPr>
                <w:rFonts w:cs="Times New Roman"/>
                <w:sz w:val="20"/>
                <w:szCs w:val="20"/>
              </w:rPr>
              <w:t>Me benzinë</w:t>
            </w:r>
          </w:p>
        </w:tc>
        <w:tc>
          <w:tcPr>
            <w:tcW w:w="391" w:type="pct"/>
            <w:noWrap/>
            <w:vAlign w:val="center"/>
            <w:hideMark/>
          </w:tcPr>
          <w:p w14:paraId="0CA81F6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15,8%</w:t>
            </w:r>
          </w:p>
        </w:tc>
        <w:tc>
          <w:tcPr>
            <w:tcW w:w="391" w:type="pct"/>
            <w:noWrap/>
            <w:vAlign w:val="center"/>
            <w:hideMark/>
          </w:tcPr>
          <w:p w14:paraId="28C9462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15,7%</w:t>
            </w:r>
          </w:p>
        </w:tc>
        <w:tc>
          <w:tcPr>
            <w:tcW w:w="391" w:type="pct"/>
            <w:noWrap/>
            <w:vAlign w:val="center"/>
            <w:hideMark/>
          </w:tcPr>
          <w:p w14:paraId="4C940AB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15,7%</w:t>
            </w:r>
          </w:p>
        </w:tc>
        <w:tc>
          <w:tcPr>
            <w:tcW w:w="391" w:type="pct"/>
            <w:noWrap/>
            <w:vAlign w:val="center"/>
            <w:hideMark/>
          </w:tcPr>
          <w:p w14:paraId="666B3D0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15,4%</w:t>
            </w:r>
          </w:p>
        </w:tc>
        <w:tc>
          <w:tcPr>
            <w:tcW w:w="391" w:type="pct"/>
            <w:noWrap/>
            <w:vAlign w:val="center"/>
            <w:hideMark/>
          </w:tcPr>
          <w:p w14:paraId="3B114B1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15,0%</w:t>
            </w:r>
          </w:p>
        </w:tc>
        <w:tc>
          <w:tcPr>
            <w:tcW w:w="391" w:type="pct"/>
            <w:noWrap/>
            <w:vAlign w:val="center"/>
            <w:hideMark/>
          </w:tcPr>
          <w:p w14:paraId="217AED3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14,0%</w:t>
            </w:r>
          </w:p>
        </w:tc>
        <w:tc>
          <w:tcPr>
            <w:tcW w:w="391" w:type="pct"/>
            <w:noWrap/>
            <w:vAlign w:val="center"/>
            <w:hideMark/>
          </w:tcPr>
          <w:p w14:paraId="03EAA5A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12,6%</w:t>
            </w:r>
          </w:p>
        </w:tc>
        <w:tc>
          <w:tcPr>
            <w:tcW w:w="391" w:type="pct"/>
            <w:noWrap/>
            <w:vAlign w:val="center"/>
            <w:hideMark/>
          </w:tcPr>
          <w:p w14:paraId="5BE2CA1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11,1%</w:t>
            </w:r>
          </w:p>
        </w:tc>
        <w:tc>
          <w:tcPr>
            <w:tcW w:w="391" w:type="pct"/>
            <w:vAlign w:val="center"/>
          </w:tcPr>
          <w:p w14:paraId="2670CCCC" w14:textId="77777777" w:rsidR="00B86FB3" w:rsidRPr="00FF756A" w:rsidRDefault="00B86FB3" w:rsidP="00B86FB3">
            <w:pPr>
              <w:tabs>
                <w:tab w:val="left" w:pos="320"/>
              </w:tabs>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9,7%</w:t>
            </w:r>
          </w:p>
        </w:tc>
        <w:tc>
          <w:tcPr>
            <w:tcW w:w="391" w:type="pct"/>
            <w:vAlign w:val="center"/>
          </w:tcPr>
          <w:p w14:paraId="506D772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8,3%</w:t>
            </w:r>
          </w:p>
        </w:tc>
      </w:tr>
      <w:tr w:rsidR="00B86FB3" w:rsidRPr="00FF756A" w14:paraId="7954526B"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08E30A29" w14:textId="77777777" w:rsidR="00B86FB3" w:rsidRPr="00FF756A" w:rsidRDefault="00B86FB3" w:rsidP="00B86FB3">
            <w:pPr>
              <w:rPr>
                <w:rFonts w:eastAsia="Times New Roman" w:cs="Times New Roman"/>
                <w:b w:val="0"/>
                <w:sz w:val="20"/>
                <w:szCs w:val="20"/>
              </w:rPr>
            </w:pPr>
            <w:r w:rsidRPr="00FF756A">
              <w:rPr>
                <w:rFonts w:cs="Times New Roman"/>
                <w:sz w:val="20"/>
                <w:szCs w:val="20"/>
              </w:rPr>
              <w:t>Me benzinë; elektrikë</w:t>
            </w:r>
          </w:p>
        </w:tc>
        <w:tc>
          <w:tcPr>
            <w:tcW w:w="391" w:type="pct"/>
            <w:noWrap/>
            <w:vAlign w:val="center"/>
            <w:hideMark/>
          </w:tcPr>
          <w:p w14:paraId="09098DE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4E969E6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0348B9E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18119C6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0,5%</w:t>
            </w:r>
          </w:p>
        </w:tc>
        <w:tc>
          <w:tcPr>
            <w:tcW w:w="391" w:type="pct"/>
            <w:noWrap/>
            <w:vAlign w:val="center"/>
            <w:hideMark/>
          </w:tcPr>
          <w:p w14:paraId="76A9029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1,5%</w:t>
            </w:r>
          </w:p>
        </w:tc>
        <w:tc>
          <w:tcPr>
            <w:tcW w:w="391" w:type="pct"/>
            <w:noWrap/>
            <w:vAlign w:val="center"/>
            <w:hideMark/>
          </w:tcPr>
          <w:p w14:paraId="4CD4508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4,0%</w:t>
            </w:r>
          </w:p>
        </w:tc>
        <w:tc>
          <w:tcPr>
            <w:tcW w:w="391" w:type="pct"/>
            <w:noWrap/>
            <w:vAlign w:val="center"/>
            <w:hideMark/>
          </w:tcPr>
          <w:p w14:paraId="08228C4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5,5%</w:t>
            </w:r>
          </w:p>
        </w:tc>
        <w:tc>
          <w:tcPr>
            <w:tcW w:w="391" w:type="pct"/>
            <w:noWrap/>
            <w:vAlign w:val="center"/>
            <w:hideMark/>
          </w:tcPr>
          <w:p w14:paraId="306C914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7,0%</w:t>
            </w:r>
          </w:p>
        </w:tc>
        <w:tc>
          <w:tcPr>
            <w:tcW w:w="391" w:type="pct"/>
            <w:vAlign w:val="center"/>
          </w:tcPr>
          <w:p w14:paraId="500F2D6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8,5%</w:t>
            </w:r>
          </w:p>
        </w:tc>
        <w:tc>
          <w:tcPr>
            <w:tcW w:w="391" w:type="pct"/>
            <w:vAlign w:val="center"/>
          </w:tcPr>
          <w:p w14:paraId="714EDBD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10,0%</w:t>
            </w:r>
          </w:p>
        </w:tc>
      </w:tr>
      <w:tr w:rsidR="00B86FB3" w:rsidRPr="00FF756A" w14:paraId="38DAC5D7"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32EABD32" w14:textId="77777777" w:rsidR="00B86FB3" w:rsidRPr="00FF756A" w:rsidRDefault="00B86FB3" w:rsidP="00B86FB3">
            <w:pPr>
              <w:rPr>
                <w:rFonts w:eastAsia="Times New Roman" w:cs="Times New Roman"/>
                <w:b w:val="0"/>
                <w:sz w:val="20"/>
                <w:szCs w:val="20"/>
              </w:rPr>
            </w:pPr>
            <w:r w:rsidRPr="00FF756A">
              <w:rPr>
                <w:rFonts w:cs="Times New Roman"/>
                <w:sz w:val="20"/>
                <w:szCs w:val="20"/>
              </w:rPr>
              <w:t>Me benzinë; me gaz</w:t>
            </w:r>
          </w:p>
        </w:tc>
        <w:tc>
          <w:tcPr>
            <w:tcW w:w="391" w:type="pct"/>
            <w:noWrap/>
            <w:vAlign w:val="center"/>
            <w:hideMark/>
          </w:tcPr>
          <w:p w14:paraId="7268F76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1,5%</w:t>
            </w:r>
          </w:p>
        </w:tc>
        <w:tc>
          <w:tcPr>
            <w:tcW w:w="391" w:type="pct"/>
            <w:noWrap/>
            <w:vAlign w:val="center"/>
            <w:hideMark/>
          </w:tcPr>
          <w:p w14:paraId="3FE8659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1,6%</w:t>
            </w:r>
          </w:p>
        </w:tc>
        <w:tc>
          <w:tcPr>
            <w:tcW w:w="391" w:type="pct"/>
            <w:noWrap/>
            <w:vAlign w:val="center"/>
            <w:hideMark/>
          </w:tcPr>
          <w:p w14:paraId="518E21C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1,7%</w:t>
            </w:r>
          </w:p>
        </w:tc>
        <w:tc>
          <w:tcPr>
            <w:tcW w:w="391" w:type="pct"/>
            <w:noWrap/>
            <w:vAlign w:val="center"/>
            <w:hideMark/>
          </w:tcPr>
          <w:p w14:paraId="54B3AE6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1,7%</w:t>
            </w:r>
          </w:p>
        </w:tc>
        <w:tc>
          <w:tcPr>
            <w:tcW w:w="391" w:type="pct"/>
            <w:noWrap/>
            <w:vAlign w:val="center"/>
            <w:hideMark/>
          </w:tcPr>
          <w:p w14:paraId="0C36AC1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1,8%</w:t>
            </w:r>
          </w:p>
        </w:tc>
        <w:tc>
          <w:tcPr>
            <w:tcW w:w="391" w:type="pct"/>
            <w:noWrap/>
            <w:vAlign w:val="center"/>
            <w:hideMark/>
          </w:tcPr>
          <w:p w14:paraId="2873CB5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2,1%</w:t>
            </w:r>
          </w:p>
        </w:tc>
        <w:tc>
          <w:tcPr>
            <w:tcW w:w="391" w:type="pct"/>
            <w:noWrap/>
            <w:vAlign w:val="center"/>
            <w:hideMark/>
          </w:tcPr>
          <w:p w14:paraId="7D4B8C4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2,3%</w:t>
            </w:r>
          </w:p>
        </w:tc>
        <w:tc>
          <w:tcPr>
            <w:tcW w:w="391" w:type="pct"/>
            <w:noWrap/>
            <w:vAlign w:val="center"/>
            <w:hideMark/>
          </w:tcPr>
          <w:p w14:paraId="5652A12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2,5%</w:t>
            </w:r>
          </w:p>
        </w:tc>
        <w:tc>
          <w:tcPr>
            <w:tcW w:w="391" w:type="pct"/>
            <w:vAlign w:val="center"/>
          </w:tcPr>
          <w:p w14:paraId="3AFCD86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2,8%</w:t>
            </w:r>
          </w:p>
        </w:tc>
        <w:tc>
          <w:tcPr>
            <w:tcW w:w="391" w:type="pct"/>
            <w:vAlign w:val="center"/>
          </w:tcPr>
          <w:p w14:paraId="110646E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3,0%</w:t>
            </w:r>
          </w:p>
        </w:tc>
      </w:tr>
      <w:tr w:rsidR="00B86FB3" w:rsidRPr="00FF756A" w14:paraId="6E83E41E"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3BE48C3E" w14:textId="77777777" w:rsidR="00B86FB3" w:rsidRPr="00FF756A" w:rsidRDefault="00B86FB3" w:rsidP="00B86FB3">
            <w:pPr>
              <w:rPr>
                <w:rFonts w:eastAsia="Times New Roman" w:cs="Times New Roman"/>
                <w:b w:val="0"/>
                <w:sz w:val="20"/>
                <w:szCs w:val="20"/>
              </w:rPr>
            </w:pPr>
            <w:r w:rsidRPr="00FF756A">
              <w:rPr>
                <w:rFonts w:cs="Times New Roman"/>
                <w:sz w:val="20"/>
                <w:szCs w:val="20"/>
              </w:rPr>
              <w:t>Me benzinë; me gaz; elektrikë</w:t>
            </w:r>
          </w:p>
        </w:tc>
        <w:tc>
          <w:tcPr>
            <w:tcW w:w="391" w:type="pct"/>
            <w:noWrap/>
            <w:vAlign w:val="center"/>
            <w:hideMark/>
          </w:tcPr>
          <w:p w14:paraId="49E4F6C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6FDBD20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5F148CE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326DCB8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3926364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09FC8CF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38B8DDC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2720494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vAlign w:val="center"/>
          </w:tcPr>
          <w:p w14:paraId="1CA6D3B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vAlign w:val="center"/>
          </w:tcPr>
          <w:p w14:paraId="47143D6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r>
      <w:tr w:rsidR="00B86FB3" w:rsidRPr="00FF756A" w14:paraId="27DC79D3"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54D334FB" w14:textId="77777777" w:rsidR="00B86FB3" w:rsidRPr="00FF756A" w:rsidRDefault="00B86FB3" w:rsidP="00B86FB3">
            <w:pPr>
              <w:rPr>
                <w:rFonts w:eastAsia="Times New Roman" w:cs="Times New Roman"/>
                <w:b w:val="0"/>
                <w:sz w:val="20"/>
                <w:szCs w:val="20"/>
              </w:rPr>
            </w:pPr>
            <w:r w:rsidRPr="00FF756A">
              <w:rPr>
                <w:rFonts w:cs="Times New Roman"/>
                <w:sz w:val="20"/>
                <w:szCs w:val="20"/>
              </w:rPr>
              <w:t>Elektrikë</w:t>
            </w:r>
          </w:p>
        </w:tc>
        <w:tc>
          <w:tcPr>
            <w:tcW w:w="391" w:type="pct"/>
            <w:noWrap/>
            <w:vAlign w:val="center"/>
            <w:hideMark/>
          </w:tcPr>
          <w:p w14:paraId="45A4522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4BF1961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0,1%</w:t>
            </w:r>
          </w:p>
        </w:tc>
        <w:tc>
          <w:tcPr>
            <w:tcW w:w="391" w:type="pct"/>
            <w:noWrap/>
            <w:vAlign w:val="center"/>
            <w:hideMark/>
          </w:tcPr>
          <w:p w14:paraId="0E18A37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0,1%</w:t>
            </w:r>
          </w:p>
        </w:tc>
        <w:tc>
          <w:tcPr>
            <w:tcW w:w="391" w:type="pct"/>
            <w:noWrap/>
            <w:vAlign w:val="center"/>
            <w:hideMark/>
          </w:tcPr>
          <w:p w14:paraId="6244BAC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0,4%</w:t>
            </w:r>
          </w:p>
        </w:tc>
        <w:tc>
          <w:tcPr>
            <w:tcW w:w="391" w:type="pct"/>
            <w:noWrap/>
            <w:vAlign w:val="center"/>
            <w:hideMark/>
          </w:tcPr>
          <w:p w14:paraId="01BEC30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1,2%</w:t>
            </w:r>
          </w:p>
        </w:tc>
        <w:tc>
          <w:tcPr>
            <w:tcW w:w="391" w:type="pct"/>
            <w:noWrap/>
            <w:vAlign w:val="center"/>
            <w:hideMark/>
          </w:tcPr>
          <w:p w14:paraId="0E4DCA9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2,9%</w:t>
            </w:r>
          </w:p>
        </w:tc>
        <w:tc>
          <w:tcPr>
            <w:tcW w:w="391" w:type="pct"/>
            <w:noWrap/>
            <w:vAlign w:val="center"/>
            <w:hideMark/>
          </w:tcPr>
          <w:p w14:paraId="5962399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4,7%</w:t>
            </w:r>
          </w:p>
        </w:tc>
        <w:tc>
          <w:tcPr>
            <w:tcW w:w="391" w:type="pct"/>
            <w:noWrap/>
            <w:vAlign w:val="center"/>
            <w:hideMark/>
          </w:tcPr>
          <w:p w14:paraId="2848E0F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6,5%</w:t>
            </w:r>
          </w:p>
        </w:tc>
        <w:tc>
          <w:tcPr>
            <w:tcW w:w="391" w:type="pct"/>
            <w:vAlign w:val="center"/>
          </w:tcPr>
          <w:p w14:paraId="0EEB9F5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8,2%</w:t>
            </w:r>
          </w:p>
        </w:tc>
        <w:tc>
          <w:tcPr>
            <w:tcW w:w="391" w:type="pct"/>
            <w:vAlign w:val="center"/>
          </w:tcPr>
          <w:p w14:paraId="004D12F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10,0%</w:t>
            </w:r>
          </w:p>
        </w:tc>
      </w:tr>
      <w:tr w:rsidR="00B86FB3" w:rsidRPr="00FF756A" w14:paraId="7155C8CE"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503A5810" w14:textId="77777777" w:rsidR="00B86FB3" w:rsidRPr="00FF756A" w:rsidRDefault="00B86FB3" w:rsidP="00B86FB3">
            <w:pPr>
              <w:rPr>
                <w:rFonts w:eastAsia="Times New Roman" w:cs="Times New Roman"/>
                <w:b w:val="0"/>
                <w:sz w:val="20"/>
                <w:szCs w:val="20"/>
              </w:rPr>
            </w:pPr>
            <w:r w:rsidRPr="00FF756A">
              <w:rPr>
                <w:rFonts w:cs="Times New Roman"/>
                <w:sz w:val="20"/>
                <w:szCs w:val="20"/>
              </w:rPr>
              <w:t>Me gaz</w:t>
            </w:r>
          </w:p>
        </w:tc>
        <w:tc>
          <w:tcPr>
            <w:tcW w:w="391" w:type="pct"/>
            <w:noWrap/>
            <w:vAlign w:val="center"/>
            <w:hideMark/>
          </w:tcPr>
          <w:p w14:paraId="69513FD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6D0A253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3943A01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7260F01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0,2%</w:t>
            </w:r>
          </w:p>
        </w:tc>
        <w:tc>
          <w:tcPr>
            <w:tcW w:w="391" w:type="pct"/>
            <w:noWrap/>
            <w:vAlign w:val="center"/>
            <w:hideMark/>
          </w:tcPr>
          <w:p w14:paraId="0BE8620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0,5%</w:t>
            </w:r>
          </w:p>
        </w:tc>
        <w:tc>
          <w:tcPr>
            <w:tcW w:w="391" w:type="pct"/>
            <w:noWrap/>
            <w:vAlign w:val="center"/>
            <w:hideMark/>
          </w:tcPr>
          <w:p w14:paraId="6D046F5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1,4%</w:t>
            </w:r>
          </w:p>
        </w:tc>
        <w:tc>
          <w:tcPr>
            <w:tcW w:w="391" w:type="pct"/>
            <w:noWrap/>
            <w:vAlign w:val="center"/>
            <w:hideMark/>
          </w:tcPr>
          <w:p w14:paraId="5E30588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2,3%</w:t>
            </w:r>
          </w:p>
        </w:tc>
        <w:tc>
          <w:tcPr>
            <w:tcW w:w="391" w:type="pct"/>
            <w:noWrap/>
            <w:vAlign w:val="center"/>
            <w:hideMark/>
          </w:tcPr>
          <w:p w14:paraId="7FC16A6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3,2%</w:t>
            </w:r>
          </w:p>
        </w:tc>
        <w:tc>
          <w:tcPr>
            <w:tcW w:w="391" w:type="pct"/>
            <w:vAlign w:val="center"/>
          </w:tcPr>
          <w:p w14:paraId="3A1B6A6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4,1%</w:t>
            </w:r>
          </w:p>
        </w:tc>
        <w:tc>
          <w:tcPr>
            <w:tcW w:w="391" w:type="pct"/>
            <w:vAlign w:val="center"/>
          </w:tcPr>
          <w:p w14:paraId="48CCBC0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5,0%</w:t>
            </w:r>
          </w:p>
        </w:tc>
      </w:tr>
      <w:tr w:rsidR="00B86FB3" w:rsidRPr="00FF756A" w14:paraId="534583B6"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0305817F" w14:textId="77777777" w:rsidR="00B86FB3" w:rsidRPr="00FF756A" w:rsidRDefault="00B86FB3" w:rsidP="00B86FB3">
            <w:pPr>
              <w:rPr>
                <w:rFonts w:eastAsia="Times New Roman" w:cs="Times New Roman"/>
                <w:b w:val="0"/>
                <w:sz w:val="20"/>
                <w:szCs w:val="20"/>
              </w:rPr>
            </w:pPr>
            <w:r w:rsidRPr="00FF756A">
              <w:rPr>
                <w:rFonts w:cs="Times New Roman"/>
                <w:sz w:val="20"/>
                <w:szCs w:val="20"/>
              </w:rPr>
              <w:t>Me naftë dizel; me gaz</w:t>
            </w:r>
          </w:p>
        </w:tc>
        <w:tc>
          <w:tcPr>
            <w:tcW w:w="391" w:type="pct"/>
            <w:noWrap/>
            <w:vAlign w:val="center"/>
            <w:hideMark/>
          </w:tcPr>
          <w:p w14:paraId="0545A5F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5BFC39B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763E00A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43ACBF0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5529ECE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44712C1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44B5123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7189D4F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vAlign w:val="center"/>
          </w:tcPr>
          <w:p w14:paraId="4FBB54D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vAlign w:val="center"/>
          </w:tcPr>
          <w:p w14:paraId="60B322A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r>
      <w:tr w:rsidR="00B86FB3" w:rsidRPr="00FF756A" w14:paraId="4E5ECC5F"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2CDAC08C" w14:textId="77777777" w:rsidR="00B86FB3" w:rsidRPr="00FF756A" w:rsidRDefault="00B86FB3" w:rsidP="00B86FB3">
            <w:pPr>
              <w:rPr>
                <w:rFonts w:eastAsia="Times New Roman" w:cs="Times New Roman"/>
                <w:b w:val="0"/>
                <w:sz w:val="20"/>
                <w:szCs w:val="20"/>
              </w:rPr>
            </w:pPr>
            <w:r w:rsidRPr="00FF756A">
              <w:rPr>
                <w:rFonts w:cs="Times New Roman"/>
                <w:sz w:val="20"/>
                <w:szCs w:val="20"/>
              </w:rPr>
              <w:t>Me hidrogjen</w:t>
            </w:r>
          </w:p>
        </w:tc>
        <w:tc>
          <w:tcPr>
            <w:tcW w:w="391" w:type="pct"/>
            <w:noWrap/>
            <w:vAlign w:val="center"/>
            <w:hideMark/>
          </w:tcPr>
          <w:p w14:paraId="5F19961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73A1063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0379505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600BEEF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44DAB5D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157F09F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0,1%</w:t>
            </w:r>
          </w:p>
        </w:tc>
        <w:tc>
          <w:tcPr>
            <w:tcW w:w="391" w:type="pct"/>
            <w:noWrap/>
            <w:vAlign w:val="center"/>
            <w:hideMark/>
          </w:tcPr>
          <w:p w14:paraId="45AD40A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3,8%</w:t>
            </w:r>
          </w:p>
        </w:tc>
        <w:tc>
          <w:tcPr>
            <w:tcW w:w="391" w:type="pct"/>
            <w:noWrap/>
            <w:vAlign w:val="center"/>
            <w:hideMark/>
          </w:tcPr>
          <w:p w14:paraId="229672A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7,6%</w:t>
            </w:r>
          </w:p>
        </w:tc>
        <w:tc>
          <w:tcPr>
            <w:tcW w:w="391" w:type="pct"/>
            <w:vAlign w:val="center"/>
          </w:tcPr>
          <w:p w14:paraId="00B85F2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11,3%</w:t>
            </w:r>
          </w:p>
        </w:tc>
        <w:tc>
          <w:tcPr>
            <w:tcW w:w="391" w:type="pct"/>
            <w:vAlign w:val="center"/>
          </w:tcPr>
          <w:p w14:paraId="3C27651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15,0%</w:t>
            </w:r>
          </w:p>
        </w:tc>
      </w:tr>
      <w:tr w:rsidR="00B86FB3" w:rsidRPr="00FF756A" w14:paraId="29FAD1B6"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25D33EB7" w14:textId="77777777" w:rsidR="00B86FB3" w:rsidRPr="00FF756A" w:rsidRDefault="00B86FB3" w:rsidP="00B86FB3">
            <w:pPr>
              <w:rPr>
                <w:rFonts w:eastAsia="Times New Roman" w:cs="Times New Roman"/>
                <w:b w:val="0"/>
                <w:sz w:val="20"/>
                <w:szCs w:val="20"/>
              </w:rPr>
            </w:pPr>
            <w:r w:rsidRPr="00FF756A">
              <w:rPr>
                <w:rFonts w:cs="Times New Roman"/>
                <w:sz w:val="20"/>
                <w:szCs w:val="20"/>
              </w:rPr>
              <w:t>Me naftë dizel</w:t>
            </w:r>
          </w:p>
        </w:tc>
        <w:tc>
          <w:tcPr>
            <w:tcW w:w="391" w:type="pct"/>
            <w:noWrap/>
            <w:vAlign w:val="center"/>
            <w:hideMark/>
          </w:tcPr>
          <w:p w14:paraId="3419C30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82,7%</w:t>
            </w:r>
          </w:p>
        </w:tc>
        <w:tc>
          <w:tcPr>
            <w:tcW w:w="391" w:type="pct"/>
            <w:noWrap/>
            <w:vAlign w:val="center"/>
            <w:hideMark/>
          </w:tcPr>
          <w:p w14:paraId="5B5BC77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82,6%</w:t>
            </w:r>
          </w:p>
        </w:tc>
        <w:tc>
          <w:tcPr>
            <w:tcW w:w="391" w:type="pct"/>
            <w:noWrap/>
            <w:vAlign w:val="center"/>
            <w:hideMark/>
          </w:tcPr>
          <w:p w14:paraId="6B0138D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82,5%</w:t>
            </w:r>
          </w:p>
        </w:tc>
        <w:tc>
          <w:tcPr>
            <w:tcW w:w="391" w:type="pct"/>
            <w:noWrap/>
            <w:vAlign w:val="center"/>
            <w:hideMark/>
          </w:tcPr>
          <w:p w14:paraId="28ED700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81,5%</w:t>
            </w:r>
          </w:p>
        </w:tc>
        <w:tc>
          <w:tcPr>
            <w:tcW w:w="391" w:type="pct"/>
            <w:noWrap/>
            <w:vAlign w:val="center"/>
            <w:hideMark/>
          </w:tcPr>
          <w:p w14:paraId="37F0C9E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79,4%</w:t>
            </w:r>
          </w:p>
        </w:tc>
        <w:tc>
          <w:tcPr>
            <w:tcW w:w="391" w:type="pct"/>
            <w:noWrap/>
            <w:vAlign w:val="center"/>
            <w:hideMark/>
          </w:tcPr>
          <w:p w14:paraId="2B7DEC8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74,0%</w:t>
            </w:r>
          </w:p>
        </w:tc>
        <w:tc>
          <w:tcPr>
            <w:tcW w:w="391" w:type="pct"/>
            <w:noWrap/>
            <w:vAlign w:val="center"/>
            <w:hideMark/>
          </w:tcPr>
          <w:p w14:paraId="18E7891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66,4%</w:t>
            </w:r>
          </w:p>
        </w:tc>
        <w:tc>
          <w:tcPr>
            <w:tcW w:w="391" w:type="pct"/>
            <w:noWrap/>
            <w:vAlign w:val="center"/>
            <w:hideMark/>
          </w:tcPr>
          <w:p w14:paraId="05837BA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58,8%</w:t>
            </w:r>
          </w:p>
        </w:tc>
        <w:tc>
          <w:tcPr>
            <w:tcW w:w="391" w:type="pct"/>
            <w:vAlign w:val="center"/>
          </w:tcPr>
          <w:p w14:paraId="202C251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51,3%</w:t>
            </w:r>
          </w:p>
        </w:tc>
        <w:tc>
          <w:tcPr>
            <w:tcW w:w="391" w:type="pct"/>
            <w:vAlign w:val="center"/>
          </w:tcPr>
          <w:p w14:paraId="5896BDC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43,7%</w:t>
            </w:r>
          </w:p>
        </w:tc>
      </w:tr>
      <w:tr w:rsidR="00B86FB3" w:rsidRPr="00FF756A" w14:paraId="27A2C761"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089" w:type="pct"/>
            <w:noWrap/>
            <w:hideMark/>
          </w:tcPr>
          <w:p w14:paraId="164BEDDD" w14:textId="77777777" w:rsidR="00B86FB3" w:rsidRPr="00FF756A" w:rsidRDefault="00B86FB3" w:rsidP="00B86FB3">
            <w:pPr>
              <w:rPr>
                <w:rFonts w:eastAsia="Times New Roman" w:cs="Times New Roman"/>
                <w:b w:val="0"/>
                <w:sz w:val="20"/>
                <w:szCs w:val="20"/>
              </w:rPr>
            </w:pPr>
            <w:r w:rsidRPr="00FF756A">
              <w:rPr>
                <w:rFonts w:cs="Times New Roman"/>
                <w:sz w:val="20"/>
                <w:szCs w:val="20"/>
              </w:rPr>
              <w:t>Me naftë dizel; elektrikë</w:t>
            </w:r>
          </w:p>
        </w:tc>
        <w:tc>
          <w:tcPr>
            <w:tcW w:w="391" w:type="pct"/>
            <w:noWrap/>
            <w:vAlign w:val="center"/>
            <w:hideMark/>
          </w:tcPr>
          <w:p w14:paraId="79F0FA5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2CC0F19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0101E06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391" w:type="pct"/>
            <w:noWrap/>
            <w:vAlign w:val="center"/>
            <w:hideMark/>
          </w:tcPr>
          <w:p w14:paraId="400A135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0,2%</w:t>
            </w:r>
          </w:p>
        </w:tc>
        <w:tc>
          <w:tcPr>
            <w:tcW w:w="391" w:type="pct"/>
            <w:noWrap/>
            <w:vAlign w:val="center"/>
            <w:hideMark/>
          </w:tcPr>
          <w:p w14:paraId="5D943D6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0,5%</w:t>
            </w:r>
          </w:p>
        </w:tc>
        <w:tc>
          <w:tcPr>
            <w:tcW w:w="391" w:type="pct"/>
            <w:noWrap/>
            <w:vAlign w:val="center"/>
            <w:hideMark/>
          </w:tcPr>
          <w:p w14:paraId="1B0587F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1,4%</w:t>
            </w:r>
          </w:p>
        </w:tc>
        <w:tc>
          <w:tcPr>
            <w:tcW w:w="391" w:type="pct"/>
            <w:noWrap/>
            <w:vAlign w:val="center"/>
            <w:hideMark/>
          </w:tcPr>
          <w:p w14:paraId="3E3D005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2,3%</w:t>
            </w:r>
          </w:p>
        </w:tc>
        <w:tc>
          <w:tcPr>
            <w:tcW w:w="391" w:type="pct"/>
            <w:noWrap/>
            <w:vAlign w:val="center"/>
            <w:hideMark/>
          </w:tcPr>
          <w:p w14:paraId="4543EB7E" w14:textId="77777777" w:rsidR="00B86FB3" w:rsidRPr="00FF756A" w:rsidRDefault="00B86FB3" w:rsidP="00B86FB3">
            <w:pPr>
              <w:keepNext/>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3,2%</w:t>
            </w:r>
          </w:p>
        </w:tc>
        <w:tc>
          <w:tcPr>
            <w:tcW w:w="391" w:type="pct"/>
            <w:vAlign w:val="center"/>
          </w:tcPr>
          <w:p w14:paraId="59AE1657" w14:textId="77777777" w:rsidR="00B86FB3" w:rsidRPr="00FF756A" w:rsidRDefault="00B86FB3" w:rsidP="00B86FB3">
            <w:pPr>
              <w:keepNext/>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4,1%</w:t>
            </w:r>
          </w:p>
        </w:tc>
        <w:tc>
          <w:tcPr>
            <w:tcW w:w="391" w:type="pct"/>
            <w:vAlign w:val="center"/>
          </w:tcPr>
          <w:p w14:paraId="069BF215" w14:textId="77777777" w:rsidR="00B86FB3" w:rsidRPr="00FF756A" w:rsidRDefault="00B86FB3" w:rsidP="00074587">
            <w:pPr>
              <w:keepNext/>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5,0%</w:t>
            </w:r>
          </w:p>
        </w:tc>
      </w:tr>
    </w:tbl>
    <w:p w14:paraId="59C4731E" w14:textId="46AC2203" w:rsidR="00074587" w:rsidRPr="00FF756A" w:rsidRDefault="00074587">
      <w:pPr>
        <w:pStyle w:val="Caption"/>
        <w:rPr>
          <w:rFonts w:ascii="Times New Roman" w:hAnsi="Times New Roman"/>
        </w:rPr>
      </w:pPr>
      <w:bookmarkStart w:id="497" w:name="_Toc183016492"/>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127B7" w:rsidRPr="00FF756A">
        <w:rPr>
          <w:rFonts w:ascii="Times New Roman" w:hAnsi="Times New Roman"/>
          <w:noProof/>
        </w:rPr>
        <w:t>28</w:t>
      </w:r>
      <w:r w:rsidR="008E7DE9" w:rsidRPr="00FF756A">
        <w:rPr>
          <w:rFonts w:ascii="Times New Roman" w:hAnsi="Times New Roman"/>
          <w:noProof/>
        </w:rPr>
        <w:fldChar w:fldCharType="end"/>
      </w:r>
      <w:r w:rsidRPr="00FF756A">
        <w:rPr>
          <w:rFonts w:ascii="Times New Roman" w:hAnsi="Times New Roman"/>
        </w:rPr>
        <w:t>: Përqindjet e llojit të teknologjive në transportin e udhëtarëve, sipas statistikave historike të automjeteve për vitet 2020-2023 dhe sipas parashikimit që merr në konsideratë masat ekzistuese deri në vitin 2050</w:t>
      </w:r>
      <w:bookmarkEnd w:id="497"/>
    </w:p>
    <w:p w14:paraId="109FEE9A" w14:textId="77777777" w:rsidR="00EF29CC" w:rsidRPr="00FF756A" w:rsidRDefault="00EF29CC" w:rsidP="00EF29CC">
      <w:pPr>
        <w:pStyle w:val="Heading4"/>
        <w:numPr>
          <w:ilvl w:val="0"/>
          <w:numId w:val="0"/>
        </w:numPr>
        <w:ind w:left="864" w:hanging="864"/>
        <w:rPr>
          <w:rFonts w:cs="Times New Roman"/>
        </w:rPr>
      </w:pPr>
    </w:p>
    <w:p w14:paraId="447D3FD7" w14:textId="0F357396" w:rsidR="00B86FB3" w:rsidRPr="00FF756A" w:rsidRDefault="00B86FB3" w:rsidP="004A3257">
      <w:pPr>
        <w:pStyle w:val="Heading4"/>
        <w:numPr>
          <w:ilvl w:val="0"/>
          <w:numId w:val="0"/>
        </w:numPr>
        <w:ind w:left="864" w:hanging="864"/>
        <w:rPr>
          <w:rFonts w:cs="Times New Roman"/>
        </w:rPr>
      </w:pPr>
      <w:bookmarkStart w:id="498" w:name="_Toc183639265"/>
      <w:r w:rsidRPr="00FF756A">
        <w:rPr>
          <w:rFonts w:cs="Times New Roman"/>
        </w:rPr>
        <w:t>Sektorët e tjerë me kërkesë për energji</w:t>
      </w:r>
      <w:bookmarkEnd w:id="498"/>
    </w:p>
    <w:p w14:paraId="1406FEB0" w14:textId="6641636E" w:rsidR="00B86FB3" w:rsidRPr="00FF756A" w:rsidRDefault="00B86FB3" w:rsidP="004A3257">
      <w:pPr>
        <w:spacing w:line="240" w:lineRule="auto"/>
      </w:pPr>
      <w:r w:rsidRPr="00FF756A">
        <w:t xml:space="preserve">Sipas bilancit të energjisë </w:t>
      </w:r>
      <w:r w:rsidR="0012533E" w:rsidRPr="00FF756A">
        <w:t>s</w:t>
      </w:r>
      <w:r w:rsidRPr="00FF756A">
        <w:t>ë Shqipërisë dallohen edhe sektorë të tjerë me kërkesë për energji, konkretisht sektori i bujqësisë dhe ai i peshkimit. Kërkesa për energji në sektorin bujqësor nxitet nga vëllimi i prodhimit, i cili ka pësuar rritje gjatë viteve të shkuara dhe vazhdon të rritet ende (rritje me 39% në vitin 2030 dhe 83% në vitin 2040, krahasuar me vitin 2018). Prodhimi i produkteve të peshkimit nxitet nga rritja e PBB-së (rritje me 40% në vitin 2030 dhe 95% në vitin 2040, krahasuar me vitin 2018). Efiçenca parashikohet të rritet me 0,1% në vit për peshkimin dhe bujqësinë.</w:t>
      </w:r>
    </w:p>
    <w:p w14:paraId="6B6568C5" w14:textId="77777777" w:rsidR="00B86FB3" w:rsidRPr="00FF756A" w:rsidRDefault="00B86FB3" w:rsidP="004A3257">
      <w:pPr>
        <w:spacing w:line="240" w:lineRule="auto"/>
      </w:pPr>
      <w:r w:rsidRPr="00FF756A">
        <w:t>Shfrytëzimi joenergjetik i vektorëve të energjisë lidhet me prodhimin në sektorin kimik (i cili rritet paralelisht me PBB-në dhe është përgjegjës për më pak se 1% të kërkesës së sektorëve joenergjetikë) dhe me kërkesën totale për transport.</w:t>
      </w:r>
    </w:p>
    <w:p w14:paraId="205CFA22" w14:textId="77777777" w:rsidR="00EF29CC" w:rsidRPr="00FF756A" w:rsidRDefault="00EF29CC" w:rsidP="00EF29CC">
      <w:pPr>
        <w:pStyle w:val="Heading4"/>
        <w:numPr>
          <w:ilvl w:val="0"/>
          <w:numId w:val="0"/>
        </w:numPr>
        <w:ind w:left="864" w:hanging="864"/>
        <w:rPr>
          <w:rFonts w:cs="Times New Roman"/>
        </w:rPr>
      </w:pPr>
    </w:p>
    <w:p w14:paraId="2C714EAB" w14:textId="06EBD527" w:rsidR="00B86FB3" w:rsidRPr="00FF756A" w:rsidRDefault="00B86FB3" w:rsidP="004A3257">
      <w:pPr>
        <w:pStyle w:val="Heading4"/>
        <w:numPr>
          <w:ilvl w:val="0"/>
          <w:numId w:val="0"/>
        </w:numPr>
        <w:ind w:left="864" w:hanging="864"/>
        <w:rPr>
          <w:rFonts w:cs="Times New Roman"/>
        </w:rPr>
      </w:pPr>
      <w:bookmarkStart w:id="499" w:name="_Toc183639266"/>
      <w:r w:rsidRPr="00FF756A">
        <w:rPr>
          <w:rFonts w:cs="Times New Roman"/>
        </w:rPr>
        <w:t>Transformimi i energjisë</w:t>
      </w:r>
      <w:bookmarkEnd w:id="499"/>
    </w:p>
    <w:p w14:paraId="6B7FE41B" w14:textId="0DC503E1" w:rsidR="00B86FB3" w:rsidRPr="00FF756A" w:rsidRDefault="00B86FB3" w:rsidP="004A3257">
      <w:pPr>
        <w:spacing w:line="240" w:lineRule="auto"/>
      </w:pPr>
      <w:r w:rsidRPr="00FF756A">
        <w:t>Sektori i transformimit të energjisë përfshin nxjerrjen e naftës, rafinimin, prodhimin e energjisë elektrike, transmetimin dhe shpërndarjen.</w:t>
      </w:r>
      <w:r w:rsidR="00EF29CC" w:rsidRPr="00FF756A">
        <w:t xml:space="preserve"> </w:t>
      </w:r>
      <w:r w:rsidRPr="00FF756A">
        <w:t>Shqipëria kishte 220 milionë fuçi rezerva të vërtetuara nafte në vitin 2018. Nafta nxirret në një vendndodhje kryesore dhe rafinohet nga tre rafineri (në Fier me kapacitet rafinimi prej 500 kt, në Elbasan me kapacitet rafinimi 250 kt dhe në Lushnje me kapacitet rafinimi 250 kt). Për shkak të kapacitetit të kufizuar të rafinimit, një pjesë e mirë e naftës bruto eksportohet dhe produktet e naftës importohen.</w:t>
      </w:r>
    </w:p>
    <w:p w14:paraId="245ED4C6" w14:textId="77777777" w:rsidR="00B86FB3" w:rsidRPr="00FF756A" w:rsidRDefault="00B86FB3" w:rsidP="004A3257">
      <w:pPr>
        <w:spacing w:line="240" w:lineRule="auto"/>
      </w:pPr>
      <w:r w:rsidRPr="00FF756A">
        <w:t>Energjia elektrike e prodhuar bazohet pothuajse ekskluzivisht në energjinë nga burimet hidrike, pra është e rinovueshme. Aspektet e sigurisë energjetike luajnë një rol gjithnjë e më të madh me ndryshimin e kushteve klimatike dhe me pakësimin e reshjeve. Aktualisht, vitet me klimë të thatë dhe prodhim të ulët hidroenergjetik nuk mund të kompensohen nga teknologji të tjera prodhimi. Zgjidhjet e mundshme janë rritja e interkoneksioneve të rrjetit energjetik me vendet fqinje, shoqëruar me zgjerimin e burimeve të tjera të rinovueshme të tilla si energjia diellore ose eolike, të cilat pësojnë ndryshime në kohë që dallojnë nga ato të energjisë hidrike. Energjia diellore fotovoltaike pëson rritje në prodhimin e energjisë me masa ekzistuese. Për më tepër, janë bërë parashikime që termocentrali i Vlorës të furnizohet me gaz natyror. Gazsjellësi Trans-Adriatik (TAP) nisi punën në fund të vitit 2020, duke sjellë gaz nga Azerbajxhani. Centralet me gaz ofrojnë fleksibilitet në prodhimin e energjisë, por rrisin shkarkimet e GES-ve nga sektori i prodhimit të energjisë elektrike. Varësia nga gazi i importuar jo domosdoshmërish e përmirëson situatën e sigurisë energjetike.</w:t>
      </w:r>
    </w:p>
    <w:p w14:paraId="6515783C" w14:textId="77777777" w:rsidR="00B86FB3" w:rsidRPr="00FF756A" w:rsidRDefault="00B86FB3" w:rsidP="00EF29CC">
      <w:pPr>
        <w:spacing w:line="240" w:lineRule="auto"/>
      </w:pPr>
      <w:r w:rsidRPr="00FF756A">
        <w:t xml:space="preserve">Së fundi, teksa rrjeti i transmetimit është mjaft solid dhe nuk ka humbje shumë të mëdha, rrjeti i shpërndarjes ka humbje të konsiderueshme prej pothuajse 20%. Parashikohet që këto humbje të reduktohen përmes masave ekzistuese në vitet e ardhshme. </w:t>
      </w:r>
    </w:p>
    <w:p w14:paraId="334BEB0F" w14:textId="77777777" w:rsidR="009115E3" w:rsidRPr="00FF756A" w:rsidRDefault="009115E3" w:rsidP="004A3257">
      <w:pPr>
        <w:spacing w:line="240" w:lineRule="auto"/>
      </w:pPr>
    </w:p>
    <w:p w14:paraId="03B27A81" w14:textId="77777777" w:rsidR="00B86FB3" w:rsidRPr="00FF756A" w:rsidRDefault="00B86FB3" w:rsidP="004A3257">
      <w:pPr>
        <w:pStyle w:val="Heading4"/>
        <w:numPr>
          <w:ilvl w:val="0"/>
          <w:numId w:val="0"/>
        </w:numPr>
        <w:ind w:left="864" w:hanging="864"/>
        <w:rPr>
          <w:rFonts w:cs="Times New Roman"/>
        </w:rPr>
      </w:pPr>
      <w:bookmarkStart w:id="500" w:name="_Toc183639267"/>
      <w:r w:rsidRPr="00FF756A">
        <w:rPr>
          <w:rFonts w:cs="Times New Roman"/>
        </w:rPr>
        <w:t>Proceset industriale dhe përdorimi i produkteve</w:t>
      </w:r>
      <w:bookmarkEnd w:id="500"/>
    </w:p>
    <w:p w14:paraId="71125F22" w14:textId="77777777" w:rsidR="00B86FB3" w:rsidRPr="00FF756A" w:rsidRDefault="00B86FB3" w:rsidP="009115E3">
      <w:pPr>
        <w:spacing w:line="240" w:lineRule="auto"/>
      </w:pPr>
      <w:r w:rsidRPr="00FF756A">
        <w:t xml:space="preserve">Përqindja më e madhe e shkarkimeve të PIPP-ve (10,9% e shkarkimeve totale në vitin 2018 për sa i përket CO2eq) buron nga prodhimi i çimentos (85,6% e shkarkimeve të PIPP-ve), dhe këto shkarkime do të vazhdojnë të rriten paralelisht me prodhimin e çimentos. Kjo rritje është projektuar që të vazhdojë deri në arritjen e kapacitetit të plotë të prodhimit të fabrikave të çimentos. Prodhimi i hekur-kromit (që rritet me PBB-në) rezulton po ashtu në një përqindje të vogël shkarkimesh (4,7% e shkarkimeve të PIPP-ve), ashtu si dhe prodhimi i çelikut (1,8%) dhe i gëlqeres (1,1%). </w:t>
      </w:r>
      <w:bookmarkStart w:id="501" w:name="_Hlk75713367"/>
      <w:r w:rsidRPr="00FF756A">
        <w:t xml:space="preserve">Tendencat e shkarkimeve të agjentëve ftohës që përdoren në vend të substancave ozonholluese parashikohet të vazhdojnë rritjen deri në vitin 2024 me tendenca historike (me HFC 134a </w:t>
      </w:r>
      <w:bookmarkEnd w:id="501"/>
      <w:r w:rsidRPr="00FF756A">
        <w:t xml:space="preserve">që arrin 60 tonë në vit dhe HFC 227ea që arrin 15 tonë në vit, si substancat dominuese deri më tani). Pas vitit 2024, shkarkimet e këtyre substancave nuk pësojnë rritje të mëtejshme, në përputhje me amendamentin e Kigalit të protokollit të Montrealit. </w:t>
      </w:r>
    </w:p>
    <w:p w14:paraId="01F4C34F" w14:textId="77777777" w:rsidR="009115E3" w:rsidRPr="00FF756A" w:rsidRDefault="009115E3" w:rsidP="004A3257">
      <w:pPr>
        <w:spacing w:line="240" w:lineRule="auto"/>
      </w:pPr>
    </w:p>
    <w:p w14:paraId="68D88500" w14:textId="77777777" w:rsidR="00B86FB3" w:rsidRPr="00FF756A" w:rsidRDefault="00B86FB3" w:rsidP="004A3257">
      <w:pPr>
        <w:pStyle w:val="Heading4"/>
        <w:numPr>
          <w:ilvl w:val="0"/>
          <w:numId w:val="0"/>
        </w:numPr>
        <w:ind w:left="864" w:hanging="864"/>
        <w:rPr>
          <w:rFonts w:cs="Times New Roman"/>
        </w:rPr>
      </w:pPr>
      <w:bookmarkStart w:id="502" w:name="_Toc183639268"/>
      <w:r w:rsidRPr="00FF756A">
        <w:rPr>
          <w:rFonts w:cs="Times New Roman"/>
        </w:rPr>
        <w:t>Bujqësia</w:t>
      </w:r>
      <w:bookmarkEnd w:id="502"/>
    </w:p>
    <w:p w14:paraId="55732F55" w14:textId="77777777" w:rsidR="00B86FB3" w:rsidRPr="00FF756A" w:rsidRDefault="00B86FB3" w:rsidP="004A3257">
      <w:pPr>
        <w:spacing w:line="240" w:lineRule="auto"/>
      </w:pPr>
      <w:r w:rsidRPr="00FF756A">
        <w:t xml:space="preserve">Tendencat e shkarkimeve joenergjetike në sektorin bujqësor (28,4% e shkarkimeve totale) diktohen nga popullatat e gjësë së gjallë dhe nga praktikat bujqësore. Popullata e të gjitha llojeve të gjësë së gjallë ka mbetur relativisht konstante gjatë viteve të shkuara, me përjashtim të shpendëve dhe derrave, ku është vënë re një rritje e numrit të tyre. Praktikat e menaxhimit të plehut nuk parashikohet të ndryshojnë. </w:t>
      </w:r>
    </w:p>
    <w:p w14:paraId="2D61C792" w14:textId="77777777" w:rsidR="00074587" w:rsidRPr="00FF756A" w:rsidRDefault="00B86FB3" w:rsidP="00074587">
      <w:pPr>
        <w:keepNext/>
      </w:pPr>
      <w:r w:rsidRPr="00FF756A">
        <w:rPr>
          <w:noProof/>
          <w:lang w:val="en-US"/>
        </w:rPr>
        <w:drawing>
          <wp:inline distT="0" distB="0" distL="0" distR="0" wp14:anchorId="36182052" wp14:editId="2593B275">
            <wp:extent cx="5760720" cy="3456305"/>
            <wp:effectExtent l="0" t="0" r="0" b="0"/>
            <wp:docPr id="1345757084" name="Picture 2" descr="A graph of activity lev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757084" name="Picture 2" descr="A graph of activity level&#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3EEBC405" w14:textId="64740F37" w:rsidR="00B86FB3" w:rsidRPr="00FF756A" w:rsidRDefault="00074587" w:rsidP="00074587">
      <w:pPr>
        <w:pStyle w:val="Caption"/>
        <w:jc w:val="center"/>
        <w:rPr>
          <w:rFonts w:ascii="Times New Roman" w:hAnsi="Times New Roman"/>
        </w:rPr>
      </w:pPr>
      <w:bookmarkStart w:id="503" w:name="_Toc183016558"/>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28</w:t>
      </w:r>
      <w:r w:rsidR="008E7DE9" w:rsidRPr="00FF756A">
        <w:rPr>
          <w:rFonts w:ascii="Times New Roman" w:hAnsi="Times New Roman"/>
          <w:noProof/>
        </w:rPr>
        <w:fldChar w:fldCharType="end"/>
      </w:r>
      <w:r w:rsidRPr="00FF756A">
        <w:rPr>
          <w:rFonts w:ascii="Times New Roman" w:hAnsi="Times New Roman"/>
        </w:rPr>
        <w:t>: Krerët e gjësë së gjallë në vite, deri në vitin 2050</w:t>
      </w:r>
      <w:bookmarkEnd w:id="503"/>
    </w:p>
    <w:p w14:paraId="23FCD5F8" w14:textId="77777777" w:rsidR="00B86FB3" w:rsidRPr="00FF756A" w:rsidRDefault="00B86FB3" w:rsidP="00B86FB3"/>
    <w:p w14:paraId="35A9435E" w14:textId="77777777" w:rsidR="00B86FB3" w:rsidRPr="00FF756A" w:rsidRDefault="00B86FB3" w:rsidP="00B86FB3">
      <w:r w:rsidRPr="00FF756A">
        <w:t>Krahas gjësë së gjallë, shkarkimet nga bujqësia vijnë edhe nga praktikat e menaxhimit të fushave. Përqindja e fermave organike parashikohet të rritet në 10% në vitin 2030, krahasuar me 1% në vitin 2018, por nuk parashikohet rritje e mëtejshme pas vitit 2030. Praktika e djegies së mbetjeve parashikohet të ndalojë brenda vitit 2025. Aplikimi i uresë do të përgjysmohet deri në vitin 2030, pa pësuar reduktim të mëtejshëm më pas.</w:t>
      </w:r>
    </w:p>
    <w:p w14:paraId="732E48F5" w14:textId="77777777" w:rsidR="004762DF" w:rsidRPr="00FF756A" w:rsidRDefault="004762DF" w:rsidP="004762DF">
      <w:pPr>
        <w:pStyle w:val="Heading4"/>
        <w:numPr>
          <w:ilvl w:val="0"/>
          <w:numId w:val="0"/>
        </w:numPr>
        <w:ind w:left="864" w:hanging="864"/>
        <w:rPr>
          <w:rFonts w:cs="Times New Roman"/>
        </w:rPr>
      </w:pPr>
    </w:p>
    <w:p w14:paraId="398A306F" w14:textId="10F71D5E" w:rsidR="00B86FB3" w:rsidRPr="00FF756A" w:rsidRDefault="00B86FB3" w:rsidP="004A3257">
      <w:pPr>
        <w:pStyle w:val="Heading4"/>
        <w:numPr>
          <w:ilvl w:val="0"/>
          <w:numId w:val="0"/>
        </w:numPr>
        <w:ind w:left="864" w:hanging="864"/>
        <w:rPr>
          <w:rFonts w:cs="Times New Roman"/>
        </w:rPr>
      </w:pPr>
      <w:bookmarkStart w:id="504" w:name="_Toc183639269"/>
      <w:r w:rsidRPr="00FF756A">
        <w:rPr>
          <w:rFonts w:cs="Times New Roman"/>
        </w:rPr>
        <w:t>LULUCF</w:t>
      </w:r>
      <w:bookmarkEnd w:id="504"/>
    </w:p>
    <w:p w14:paraId="0570F083" w14:textId="77777777" w:rsidR="00B86FB3" w:rsidRPr="00FF756A" w:rsidRDefault="00B86FB3" w:rsidP="00B86FB3">
      <w:r w:rsidRPr="00FF756A">
        <w:t xml:space="preserve">Aktualisht, sektori i LULUCF është një burim shkarkimesh (12,1% e shkarkimeve totale), pasi kapaciteti natyror i përthithjes së karbonit nuk mund të kompensojë shkarkimet që burojnë nga menaxhimi i pyjeve. Kjo nuk parashikohet që të ndryshojë me masat ekzistuese. Zjarret në pyje janë një tjetër burim shkarkimesh, të cilat mund të shndërrohen në një faktor mbizotërues në bilancin e përgjithshëm të GES-ve. Përmirësimi i menaxhimit të pyjeve mund të ndihmojë edhe në reduktimin e ndikimit dhe të përhapjes së zjarreve në pyjeve, ndonëse parashikohet ende një rritje në sipërfaqen mesatare </w:t>
      </w:r>
      <w:bookmarkStart w:id="505" w:name="_Hlk75713432"/>
      <w:r w:rsidRPr="00FF756A">
        <w:t>të zjarreve (4,8kha</w:t>
      </w:r>
      <w:bookmarkEnd w:id="505"/>
      <w:r w:rsidRPr="00FF756A">
        <w:t xml:space="preserve">) (rritje me 50% deri në vitin 2050), pa marrë në konsideratë skenarët e zjarreve të mëdha. </w:t>
      </w:r>
    </w:p>
    <w:p w14:paraId="144BE475" w14:textId="77777777" w:rsidR="004762DF" w:rsidRPr="00FF756A" w:rsidRDefault="004762DF" w:rsidP="004762DF">
      <w:pPr>
        <w:pStyle w:val="Heading4"/>
        <w:numPr>
          <w:ilvl w:val="0"/>
          <w:numId w:val="0"/>
        </w:numPr>
        <w:ind w:left="864" w:hanging="864"/>
        <w:rPr>
          <w:rFonts w:cs="Times New Roman"/>
        </w:rPr>
      </w:pPr>
    </w:p>
    <w:p w14:paraId="58C7916D" w14:textId="631AC030" w:rsidR="00B86FB3" w:rsidRPr="00FF756A" w:rsidRDefault="00B86FB3" w:rsidP="004A3257">
      <w:pPr>
        <w:pStyle w:val="Heading4"/>
        <w:numPr>
          <w:ilvl w:val="0"/>
          <w:numId w:val="0"/>
        </w:numPr>
        <w:ind w:left="864" w:hanging="864"/>
        <w:rPr>
          <w:rFonts w:cs="Times New Roman"/>
        </w:rPr>
      </w:pPr>
      <w:bookmarkStart w:id="506" w:name="_Toc183639270"/>
      <w:r w:rsidRPr="00FF756A">
        <w:rPr>
          <w:rFonts w:cs="Times New Roman"/>
        </w:rPr>
        <w:t>Mbetjet</w:t>
      </w:r>
      <w:bookmarkEnd w:id="506"/>
    </w:p>
    <w:p w14:paraId="7B22F981" w14:textId="77777777" w:rsidR="00B86FB3" w:rsidRPr="00FF756A" w:rsidRDefault="00B86FB3" w:rsidP="00B86FB3">
      <w:r w:rsidRPr="00FF756A">
        <w:t xml:space="preserve">Parashikohet një rritje e vazhdueshme e shkarkimeve nga sektori i mbetjeve (10,8% e shkarkimeve totale, duke llogaritur mbetjet e ngurta dhe trajtimin e ujërave të ndotura). </w:t>
      </w:r>
    </w:p>
    <w:p w14:paraId="07CAD42F" w14:textId="26CD8CCF" w:rsidR="00B86FB3" w:rsidRPr="00FF756A" w:rsidRDefault="00B86FB3" w:rsidP="00B86FB3">
      <w:r w:rsidRPr="00FF756A">
        <w:t xml:space="preserve">Shkarkimet nga menaxhimi i mbetjeve të ngurta nxiten nga gjenerimi i përgjithshëm i mbetjeve për frymë, të cilat parashikohet të rriten me një normë rritjeje vjetore prej 1,5%, nga 584 kg/frymë në vitin 2018 deri në përafërsisht 700 kg/frymë në vitin 2030 dhe 811 kg/frymë në vitin 2040. Më pas, menaxhimi i mbetjeve përcakton sasinë e shkarkimeve të </w:t>
      </w:r>
      <w:r w:rsidR="001D68C1" w:rsidRPr="00FF756A">
        <w:t xml:space="preserve">prodhuara. </w:t>
      </w:r>
      <w:r w:rsidRPr="00FF756A">
        <w:t xml:space="preserve">Aktualisht, asgjësimi i mbetjeve të ngurta mbetet gjerësisht i parregulluar dhe kryhet në vend-depozitime të hapura dhe të pamenaxhuara. Përmes politikave të përcaktuara, të miratuara ndërkohë nga Strategjia e Menaxhimit të Integruar të Mbetjeve, kjo praktikë pezullohet deri në vitin 2030. Menaxhimi i plotë i asgjësimit të mbetjeve të ngurta do të arrihet brenda vitit 2030. Krahas kësaj, sasia e mbetjeve që grumbullohet në vend-depozitime do të reduktohet në 45% në vitin 2030 dhe në 24% në vitin 2035 (nga 81% që ishte në vitin 2018), me një rritje të përqindjes së riciklimit (nga 14% në vitin 2018 në 38% në vitin 2030 dhe 46% në vitin 2035) dhe me një rritje të shkallës së djegies në impiantet e incinerimit të mbetjeve me rikuperim energjie (2,2% në vitin 2018, 4,4% në vitin 2025, 17% në vitin 2030 dhe 30% në vitin 2035). Aktualisht ekziston një shkallë e vogël incinerimesh të pakontrolluara (1,8% në vitin 2018); praktika parashikohet të reduktohet në vitet e ardhshme dhe të ndërpritet përfundimisht në vitin 2035. </w:t>
      </w:r>
    </w:p>
    <w:p w14:paraId="0B3ACE8B" w14:textId="77777777" w:rsidR="00B86FB3" w:rsidRPr="00FF756A" w:rsidRDefault="00B86FB3" w:rsidP="00B86FB3">
      <w:r w:rsidRPr="00FF756A">
        <w:t>Aktualisht, në Shqipëri ujërat e përdorura mbeten kryesisht të patrajtuara, por një grup politikash ekzistuese që janë marrë në konsideratë edhe gjatë modelimit, ka si synim të realizojë lidhjen me impiantet e trajtimit të ujërave të përdorura në shkallën 39% deri në vitin 2027. Modeli parashikon lidhje të plotë në vitin 2050.</w:t>
      </w:r>
    </w:p>
    <w:p w14:paraId="675BBC80" w14:textId="77777777" w:rsidR="004762DF" w:rsidRPr="00FF756A" w:rsidRDefault="004762DF" w:rsidP="00B86FB3"/>
    <w:p w14:paraId="6A125833" w14:textId="77777777" w:rsidR="00B86FB3" w:rsidRPr="00FF756A" w:rsidRDefault="00B86FB3" w:rsidP="004A3257">
      <w:pPr>
        <w:pStyle w:val="Heading4"/>
        <w:numPr>
          <w:ilvl w:val="0"/>
          <w:numId w:val="0"/>
        </w:numPr>
        <w:ind w:left="864" w:hanging="864"/>
        <w:rPr>
          <w:rFonts w:cs="Times New Roman"/>
        </w:rPr>
      </w:pPr>
      <w:bookmarkStart w:id="507" w:name="_Toc183639271"/>
      <w:r w:rsidRPr="00FF756A">
        <w:rPr>
          <w:rFonts w:cs="Times New Roman"/>
        </w:rPr>
        <w:t>Politikat e pasqyruara në model</w:t>
      </w:r>
      <w:bookmarkEnd w:id="507"/>
      <w:r w:rsidRPr="00FF756A">
        <w:rPr>
          <w:rFonts w:cs="Times New Roman"/>
        </w:rPr>
        <w:t xml:space="preserve"> </w:t>
      </w:r>
    </w:p>
    <w:p w14:paraId="5CCE9516" w14:textId="77777777" w:rsidR="00B86FB3" w:rsidRPr="00FF756A" w:rsidRDefault="00B86FB3" w:rsidP="00B86FB3">
      <w:r w:rsidRPr="00FF756A">
        <w:t xml:space="preserve">Tabela e mëposhtme jep një përmbledhje të këtyre politikave, të renditura si politika me rëndësi për skenarin WEM. Kjo tabelë tregon se si politikat janë pasqyruar në modelin që qëndron në themel të këtij dokumenti. Efektet kryesore janë përshkruar në paragrafët e mësipërm. </w:t>
      </w:r>
    </w:p>
    <w:p w14:paraId="7C3A50CB" w14:textId="77777777" w:rsidR="00B86FB3" w:rsidRPr="00FF756A" w:rsidRDefault="00B86FB3" w:rsidP="00B86FB3"/>
    <w:tbl>
      <w:tblPr>
        <w:tblStyle w:val="GridTable5DarkAccent10"/>
        <w:tblW w:w="0" w:type="auto"/>
        <w:tblLook w:val="04A0" w:firstRow="1" w:lastRow="0" w:firstColumn="1" w:lastColumn="0" w:noHBand="0" w:noVBand="1"/>
      </w:tblPr>
      <w:tblGrid>
        <w:gridCol w:w="1413"/>
        <w:gridCol w:w="3118"/>
        <w:gridCol w:w="4531"/>
      </w:tblGrid>
      <w:tr w:rsidR="00B86FB3" w:rsidRPr="00FF756A" w14:paraId="1B5E2390" w14:textId="77777777" w:rsidTr="006A326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3" w:type="dxa"/>
          </w:tcPr>
          <w:p w14:paraId="643A79D9"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Shkurtimi</w:t>
            </w:r>
          </w:p>
        </w:tc>
        <w:tc>
          <w:tcPr>
            <w:tcW w:w="3118" w:type="dxa"/>
          </w:tcPr>
          <w:p w14:paraId="32616EA5" w14:textId="77777777" w:rsidR="00B86FB3" w:rsidRPr="00FF756A" w:rsidRDefault="00B86FB3" w:rsidP="00B86FB3">
            <w:pPr>
              <w:spacing w:after="113" w:line="240" w:lineRule="auto"/>
              <w:jc w:val="left"/>
              <w:cnfStyle w:val="100000000000" w:firstRow="1"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Emri</w:t>
            </w:r>
          </w:p>
        </w:tc>
        <w:tc>
          <w:tcPr>
            <w:tcW w:w="4531" w:type="dxa"/>
          </w:tcPr>
          <w:p w14:paraId="5EDE9099" w14:textId="77777777" w:rsidR="00B86FB3" w:rsidRPr="00FF756A" w:rsidRDefault="00B86FB3" w:rsidP="00B86FB3">
            <w:pPr>
              <w:spacing w:after="113" w:line="240" w:lineRule="auto"/>
              <w:jc w:val="left"/>
              <w:cnfStyle w:val="100000000000" w:firstRow="1"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Efekti mbi ndryshoren</w:t>
            </w:r>
          </w:p>
        </w:tc>
      </w:tr>
      <w:tr w:rsidR="00B86FB3" w:rsidRPr="00FF756A" w14:paraId="48DA2BA6"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58706F6"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EE-E1</w:t>
            </w:r>
          </w:p>
        </w:tc>
        <w:tc>
          <w:tcPr>
            <w:tcW w:w="3118" w:type="dxa"/>
          </w:tcPr>
          <w:p w14:paraId="2822AEF6"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sz w:val="20"/>
                <w:szCs w:val="20"/>
              </w:rPr>
              <w:t>Auditimet e energjisë për konsumatorët e mëdhenj, me fokus në aktivitetet industriale</w:t>
            </w:r>
          </w:p>
        </w:tc>
        <w:tc>
          <w:tcPr>
            <w:tcW w:w="4531" w:type="dxa"/>
          </w:tcPr>
          <w:p w14:paraId="559ED18F"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Rritje e EE-së në sektorin e industrisë me 0,2% në vitin 2023 deri në 0,4% në vitin 2025</w:t>
            </w:r>
          </w:p>
        </w:tc>
      </w:tr>
      <w:tr w:rsidR="00B86FB3" w:rsidRPr="00FF756A" w14:paraId="2B52EA77" w14:textId="77777777" w:rsidTr="006A3266">
        <w:tc>
          <w:tcPr>
            <w:cnfStyle w:val="001000000000" w:firstRow="0" w:lastRow="0" w:firstColumn="1" w:lastColumn="0" w:oddVBand="0" w:evenVBand="0" w:oddHBand="0" w:evenHBand="0" w:firstRowFirstColumn="0" w:firstRowLastColumn="0" w:lastRowFirstColumn="0" w:lastRowLastColumn="0"/>
            <w:tcW w:w="1413" w:type="dxa"/>
          </w:tcPr>
          <w:p w14:paraId="74C94AD4"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EE-P2</w:t>
            </w:r>
          </w:p>
        </w:tc>
        <w:tc>
          <w:tcPr>
            <w:tcW w:w="3118" w:type="dxa"/>
          </w:tcPr>
          <w:p w14:paraId="6948AAD0"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sz w:val="20"/>
                <w:szCs w:val="20"/>
              </w:rPr>
              <w:t>Planet bashkiake të veprimit për efiçencën e energjisë, zbatimi dhe raportimi</w:t>
            </w:r>
          </w:p>
        </w:tc>
        <w:tc>
          <w:tcPr>
            <w:tcW w:w="4531" w:type="dxa"/>
          </w:tcPr>
          <w:p w14:paraId="23CDDAE3"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Nuk janë përfaqësuar shprehimisht në model (pjesë e masave të paraqitura në model për përmirësimin e EE-së në sektorin publik)</w:t>
            </w:r>
          </w:p>
        </w:tc>
      </w:tr>
      <w:tr w:rsidR="00B86FB3" w:rsidRPr="00FF756A" w14:paraId="0A855977"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6F9B352"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EE-T4</w:t>
            </w:r>
          </w:p>
        </w:tc>
        <w:tc>
          <w:tcPr>
            <w:tcW w:w="3118" w:type="dxa"/>
          </w:tcPr>
          <w:p w14:paraId="54610D55"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color w:val="000000"/>
                <w:sz w:val="20"/>
                <w:szCs w:val="20"/>
              </w:rPr>
            </w:pPr>
            <w:r w:rsidRPr="00FF756A">
              <w:rPr>
                <w:rFonts w:eastAsiaTheme="minorHAnsi" w:cs="Times New Roman"/>
                <w:color w:val="000000"/>
                <w:sz w:val="20"/>
                <w:szCs w:val="20"/>
              </w:rPr>
              <w:t>Rritja e përqindjes së transportit publik për udhëtarët dhe mallrat (në rrugë tokësore, ujore dhe hekurudhore)</w:t>
            </w:r>
          </w:p>
        </w:tc>
        <w:tc>
          <w:tcPr>
            <w:tcW w:w="4531" w:type="dxa"/>
          </w:tcPr>
          <w:p w14:paraId="2A4946BA" w14:textId="77777777" w:rsidR="00B86FB3" w:rsidRPr="00FF756A" w:rsidRDefault="00B86FB3" w:rsidP="004A3257">
            <w:pPr>
              <w:spacing w:after="113" w:line="240" w:lineRule="auto"/>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sz w:val="20"/>
                <w:szCs w:val="20"/>
              </w:rPr>
              <w:t>Përqindja e transportit me autobus për person/km rritet (nga pothuajse 10% në vitin 2018) me 25% në vitin 2030, duke filluar nga viti 2019 (përkon me 12,5% të përqindjes totale, që është vlera e vitit</w:t>
            </w:r>
            <w:r w:rsidRPr="00FF756A">
              <w:rPr>
                <w:rFonts w:eastAsiaTheme="minorHAnsi" w:cs="Times New Roman"/>
                <w:sz w:val="20"/>
                <w:szCs w:val="20"/>
              </w:rPr>
              <w:t xml:space="preserve"> 2012). </w:t>
            </w:r>
          </w:p>
          <w:p w14:paraId="582B2709" w14:textId="77777777" w:rsidR="00B86FB3" w:rsidRPr="00FF756A" w:rsidRDefault="00B86FB3" w:rsidP="004A3257">
            <w:pPr>
              <w:spacing w:after="113" w:line="240" w:lineRule="auto"/>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Përqindja e transportit hekurudhor të udhëtarëve rritet pas vitit 2024, duke shkuar në 2% në vitin 2030. Ai vazhdon të funksionojë kryesisht me naftë.</w:t>
            </w:r>
          </w:p>
        </w:tc>
      </w:tr>
      <w:tr w:rsidR="00B86FB3" w:rsidRPr="00FF756A" w14:paraId="369F3EAE" w14:textId="77777777" w:rsidTr="006A3266">
        <w:tc>
          <w:tcPr>
            <w:cnfStyle w:val="001000000000" w:firstRow="0" w:lastRow="0" w:firstColumn="1" w:lastColumn="0" w:oddVBand="0" w:evenVBand="0" w:oddHBand="0" w:evenHBand="0" w:firstRowFirstColumn="0" w:firstRowLastColumn="0" w:lastRowFirstColumn="0" w:lastRowLastColumn="0"/>
            <w:tcW w:w="1413" w:type="dxa"/>
          </w:tcPr>
          <w:p w14:paraId="38C5F1DD"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EM-I1</w:t>
            </w:r>
          </w:p>
        </w:tc>
        <w:tc>
          <w:tcPr>
            <w:tcW w:w="3118" w:type="dxa"/>
          </w:tcPr>
          <w:p w14:paraId="1CDC77A4"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themeColor="text1"/>
                <w:sz w:val="20"/>
                <w:szCs w:val="20"/>
              </w:rPr>
              <w:t>Ndërlidhësit elektrikë</w:t>
            </w:r>
          </w:p>
        </w:tc>
        <w:tc>
          <w:tcPr>
            <w:tcW w:w="4531" w:type="dxa"/>
          </w:tcPr>
          <w:p w14:paraId="50E68593"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Nuk janë modeluar shprehimisht</w:t>
            </w:r>
          </w:p>
        </w:tc>
      </w:tr>
      <w:tr w:rsidR="00B86FB3" w:rsidRPr="00FF756A" w14:paraId="488EECB8"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63470BB"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EM-I2</w:t>
            </w:r>
          </w:p>
        </w:tc>
        <w:tc>
          <w:tcPr>
            <w:tcW w:w="3118" w:type="dxa"/>
          </w:tcPr>
          <w:p w14:paraId="74D56F67"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color w:val="000000"/>
                <w:sz w:val="20"/>
                <w:szCs w:val="20"/>
              </w:rPr>
            </w:pPr>
            <w:r w:rsidRPr="00FF756A">
              <w:rPr>
                <w:rFonts w:eastAsiaTheme="minorHAnsi" w:cs="Times New Roman"/>
                <w:sz w:val="20"/>
                <w:szCs w:val="20"/>
              </w:rPr>
              <w:t>Reforma ne sektorin e energjisë elektrike</w:t>
            </w:r>
          </w:p>
        </w:tc>
        <w:tc>
          <w:tcPr>
            <w:tcW w:w="4531" w:type="dxa"/>
          </w:tcPr>
          <w:p w14:paraId="3B1FA879"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color w:val="000000"/>
                <w:sz w:val="20"/>
                <w:szCs w:val="20"/>
              </w:rPr>
            </w:pPr>
            <w:r w:rsidRPr="00FF756A">
              <w:rPr>
                <w:rFonts w:eastAsiaTheme="minorHAnsi" w:cs="Times New Roman"/>
                <w:sz w:val="20"/>
                <w:szCs w:val="20"/>
              </w:rPr>
              <w:t>Nuk janë modeluar shprehimisht</w:t>
            </w:r>
          </w:p>
        </w:tc>
      </w:tr>
      <w:tr w:rsidR="00B86FB3" w:rsidRPr="00FF756A" w14:paraId="6D9A5E97" w14:textId="77777777" w:rsidTr="006A3266">
        <w:tc>
          <w:tcPr>
            <w:cnfStyle w:val="001000000000" w:firstRow="0" w:lastRow="0" w:firstColumn="1" w:lastColumn="0" w:oddVBand="0" w:evenVBand="0" w:oddHBand="0" w:evenHBand="0" w:firstRowFirstColumn="0" w:firstRowLastColumn="0" w:lastRowFirstColumn="0" w:lastRowLastColumn="0"/>
            <w:tcW w:w="1413" w:type="dxa"/>
          </w:tcPr>
          <w:p w14:paraId="2E1C229D"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ES-O3</w:t>
            </w:r>
          </w:p>
        </w:tc>
        <w:tc>
          <w:tcPr>
            <w:tcW w:w="3118" w:type="dxa"/>
          </w:tcPr>
          <w:p w14:paraId="0868BDBA"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sz w:val="20"/>
                <w:szCs w:val="20"/>
              </w:rPr>
              <w:t>Lidhja e Shqipërisë me rrjetin ndërkombëtar të gazit</w:t>
            </w:r>
          </w:p>
        </w:tc>
        <w:tc>
          <w:tcPr>
            <w:tcW w:w="4531" w:type="dxa"/>
          </w:tcPr>
          <w:p w14:paraId="35433022"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Nuk janë modeluar shprehimisht</w:t>
            </w:r>
          </w:p>
        </w:tc>
      </w:tr>
      <w:tr w:rsidR="00B86FB3" w:rsidRPr="00FF756A" w14:paraId="4DE4A1C5"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62BC9AE"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ES-O4</w:t>
            </w:r>
          </w:p>
        </w:tc>
        <w:tc>
          <w:tcPr>
            <w:tcW w:w="3118" w:type="dxa"/>
          </w:tcPr>
          <w:p w14:paraId="68E4F7BE"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sz w:val="20"/>
                <w:szCs w:val="20"/>
              </w:rPr>
              <w:t>Kërkimi, prodhimi dhe përpunimi i hidrokarbureve</w:t>
            </w:r>
          </w:p>
        </w:tc>
        <w:tc>
          <w:tcPr>
            <w:tcW w:w="4531" w:type="dxa"/>
          </w:tcPr>
          <w:p w14:paraId="33012491"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Reduktimi i NOx, SO</w:t>
            </w:r>
            <w:r w:rsidRPr="00FF756A">
              <w:rPr>
                <w:rFonts w:eastAsiaTheme="minorHAnsi" w:cs="Times New Roman"/>
                <w:sz w:val="20"/>
                <w:szCs w:val="20"/>
                <w:vertAlign w:val="subscript"/>
              </w:rPr>
              <w:t>2</w:t>
            </w:r>
            <w:r w:rsidRPr="00FF756A">
              <w:rPr>
                <w:rFonts w:eastAsiaTheme="minorHAnsi" w:cs="Times New Roman"/>
                <w:sz w:val="20"/>
                <w:szCs w:val="20"/>
              </w:rPr>
              <w:t xml:space="preserve"> dhe shkarkimeve të pluhurave në nivelet e direktivës së BE-së për shkarkimet industriale duke filluar nga viti 2025</w:t>
            </w:r>
          </w:p>
        </w:tc>
      </w:tr>
      <w:tr w:rsidR="00B86FB3" w:rsidRPr="00FF756A" w14:paraId="15C34742" w14:textId="77777777" w:rsidTr="006A3266">
        <w:tc>
          <w:tcPr>
            <w:cnfStyle w:val="001000000000" w:firstRow="0" w:lastRow="0" w:firstColumn="1" w:lastColumn="0" w:oddVBand="0" w:evenVBand="0" w:oddHBand="0" w:evenHBand="0" w:firstRowFirstColumn="0" w:firstRowLastColumn="0" w:lastRowFirstColumn="0" w:lastRowLastColumn="0"/>
            <w:tcW w:w="1413" w:type="dxa"/>
          </w:tcPr>
          <w:p w14:paraId="571EED43"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ES-O5</w:t>
            </w:r>
          </w:p>
        </w:tc>
        <w:tc>
          <w:tcPr>
            <w:tcW w:w="3118" w:type="dxa"/>
          </w:tcPr>
          <w:p w14:paraId="5881165B"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sz w:val="20"/>
                <w:szCs w:val="20"/>
              </w:rPr>
              <w:t>Plani i emergjencës për gazin natyror</w:t>
            </w:r>
          </w:p>
        </w:tc>
        <w:tc>
          <w:tcPr>
            <w:tcW w:w="4531" w:type="dxa"/>
          </w:tcPr>
          <w:p w14:paraId="6B4373ED"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Nuk janë modeluar shprehimisht</w:t>
            </w:r>
          </w:p>
        </w:tc>
      </w:tr>
      <w:tr w:rsidR="00B86FB3" w:rsidRPr="00FF756A" w14:paraId="5D8FA5D6"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F9161B3"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ES-O6</w:t>
            </w:r>
          </w:p>
        </w:tc>
        <w:tc>
          <w:tcPr>
            <w:tcW w:w="3118" w:type="dxa"/>
          </w:tcPr>
          <w:p w14:paraId="075E0F1C"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sz w:val="20"/>
                <w:szCs w:val="20"/>
              </w:rPr>
              <w:t>Miratimi i ligjit “Për krijimin, mbajtjen dhe menaxhimin e rezervave minimale të sigurisë të naftës bruto dhe nënprodukteve të saj”</w:t>
            </w:r>
          </w:p>
        </w:tc>
        <w:tc>
          <w:tcPr>
            <w:tcW w:w="4531" w:type="dxa"/>
          </w:tcPr>
          <w:p w14:paraId="3E765B0C"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Nuk janë modeluar shprehimisht</w:t>
            </w:r>
          </w:p>
        </w:tc>
      </w:tr>
      <w:tr w:rsidR="00B86FB3" w:rsidRPr="00FF756A" w14:paraId="0DA24BB2" w14:textId="77777777" w:rsidTr="006A3266">
        <w:trPr>
          <w:trHeight w:val="57"/>
        </w:trPr>
        <w:tc>
          <w:tcPr>
            <w:cnfStyle w:val="001000000000" w:firstRow="0" w:lastRow="0" w:firstColumn="1" w:lastColumn="0" w:oddVBand="0" w:evenVBand="0" w:oddHBand="0" w:evenHBand="0" w:firstRowFirstColumn="0" w:firstRowLastColumn="0" w:lastRowFirstColumn="0" w:lastRowLastColumn="0"/>
            <w:tcW w:w="1413" w:type="dxa"/>
          </w:tcPr>
          <w:p w14:paraId="6AD9F1B5"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ES-P1</w:t>
            </w:r>
          </w:p>
        </w:tc>
        <w:tc>
          <w:tcPr>
            <w:tcW w:w="3118" w:type="dxa"/>
          </w:tcPr>
          <w:p w14:paraId="461AAD55"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sz w:val="20"/>
                <w:szCs w:val="20"/>
              </w:rPr>
              <w:t>Furnizimi me gaz për termocentralin e Vlorës</w:t>
            </w:r>
          </w:p>
        </w:tc>
        <w:tc>
          <w:tcPr>
            <w:tcW w:w="4531" w:type="dxa"/>
          </w:tcPr>
          <w:p w14:paraId="08786408"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Gazi i nevojshëm do të vihet në dispozicion përmes zgjerimit të rrjetit.</w:t>
            </w:r>
          </w:p>
        </w:tc>
      </w:tr>
      <w:tr w:rsidR="00B86FB3" w:rsidRPr="00FF756A" w14:paraId="2FA5BCF2"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63E9567"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ES-R1</w:t>
            </w:r>
          </w:p>
        </w:tc>
        <w:tc>
          <w:tcPr>
            <w:tcW w:w="3118" w:type="dxa"/>
          </w:tcPr>
          <w:p w14:paraId="49F64A90"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sz w:val="20"/>
                <w:szCs w:val="20"/>
              </w:rPr>
              <w:t>Gazsjellësi Adriatiko-Jonian dhe gazsjellësi Shqipëri-Kosovë</w:t>
            </w:r>
          </w:p>
        </w:tc>
        <w:tc>
          <w:tcPr>
            <w:tcW w:w="4531" w:type="dxa"/>
          </w:tcPr>
          <w:p w14:paraId="08974E5B"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Nuk janë modeluar shprehimisht</w:t>
            </w:r>
          </w:p>
        </w:tc>
      </w:tr>
      <w:tr w:rsidR="00B86FB3" w:rsidRPr="00FF756A" w14:paraId="091D9374" w14:textId="77777777" w:rsidTr="006A3266">
        <w:tc>
          <w:tcPr>
            <w:cnfStyle w:val="001000000000" w:firstRow="0" w:lastRow="0" w:firstColumn="1" w:lastColumn="0" w:oddVBand="0" w:evenVBand="0" w:oddHBand="0" w:evenHBand="0" w:firstRowFirstColumn="0" w:firstRowLastColumn="0" w:lastRowFirstColumn="0" w:lastRowLastColumn="0"/>
            <w:tcW w:w="1413" w:type="dxa"/>
          </w:tcPr>
          <w:p w14:paraId="044E591F"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G-A1</w:t>
            </w:r>
          </w:p>
        </w:tc>
        <w:tc>
          <w:tcPr>
            <w:tcW w:w="3118" w:type="dxa"/>
          </w:tcPr>
          <w:p w14:paraId="4CBDBF7F"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themeColor="text1"/>
                <w:sz w:val="20"/>
                <w:szCs w:val="20"/>
              </w:rPr>
              <w:t>Promovimi i bujqësisë organike</w:t>
            </w:r>
          </w:p>
        </w:tc>
        <w:tc>
          <w:tcPr>
            <w:tcW w:w="4531" w:type="dxa"/>
          </w:tcPr>
          <w:p w14:paraId="26683EAF" w14:textId="369FB3D9" w:rsidR="00B86FB3" w:rsidRPr="00FF756A" w:rsidRDefault="00B86FB3" w:rsidP="004A3257">
            <w:pPr>
              <w:spacing w:after="113" w:line="240" w:lineRule="auto"/>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Shtimi i fermave organike, çka ndikon në shkarkimet e N</w:t>
            </w:r>
            <w:r w:rsidR="007849F0" w:rsidRPr="00FF756A">
              <w:rPr>
                <w:rFonts w:eastAsiaTheme="minorHAnsi" w:cs="Times New Roman"/>
                <w:sz w:val="20"/>
                <w:szCs w:val="20"/>
              </w:rPr>
              <w:t>2</w:t>
            </w:r>
            <w:r w:rsidRPr="00FF756A">
              <w:rPr>
                <w:rFonts w:eastAsiaTheme="minorHAnsi" w:cs="Times New Roman"/>
                <w:sz w:val="20"/>
                <w:szCs w:val="20"/>
              </w:rPr>
              <w:t xml:space="preserve">O nga tokat e trajtuara. Shtimi i fermave organike nga 1% në vitin 2012 në 4% në vitin 2020; tendenca vazhdon për sa kohë zbatohet PM-ja deri në vitin 2030, duke arritur 8%. </w:t>
            </w:r>
          </w:p>
          <w:p w14:paraId="0839875C" w14:textId="77777777" w:rsidR="00B86FB3" w:rsidRPr="00FF756A" w:rsidRDefault="00B86FB3" w:rsidP="004A3257">
            <w:pPr>
              <w:spacing w:after="113" w:line="240" w:lineRule="auto"/>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Aplikimi i uresë reduktohet me 50% midis viteve 2019 dhe 2030.</w:t>
            </w:r>
          </w:p>
          <w:p w14:paraId="220A8859" w14:textId="77777777" w:rsidR="00B86FB3" w:rsidRPr="00FF756A" w:rsidRDefault="00B86FB3" w:rsidP="004A3257">
            <w:pPr>
              <w:spacing w:after="113" w:line="240" w:lineRule="auto"/>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 xml:space="preserve">Shkarkimet specifike të fushave jo-organike reduktohen me 10% midis 2019 dhe 2030, për të reflektuar një nivel më të mirë plehërimi. </w:t>
            </w:r>
          </w:p>
        </w:tc>
      </w:tr>
      <w:tr w:rsidR="00B86FB3" w:rsidRPr="00FF756A" w14:paraId="13A23E60"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EAE89CE"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G-A2</w:t>
            </w:r>
          </w:p>
        </w:tc>
        <w:tc>
          <w:tcPr>
            <w:tcW w:w="3118" w:type="dxa"/>
          </w:tcPr>
          <w:p w14:paraId="18E97450"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sz w:val="20"/>
                <w:szCs w:val="20"/>
              </w:rPr>
              <w:t>Përmirësimi i monitorimit bujqësor në Shqipëri</w:t>
            </w:r>
          </w:p>
        </w:tc>
        <w:tc>
          <w:tcPr>
            <w:tcW w:w="4531" w:type="dxa"/>
          </w:tcPr>
          <w:p w14:paraId="4F1FD7AF"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Nuk janë modeluar shprehimisht</w:t>
            </w:r>
          </w:p>
        </w:tc>
      </w:tr>
      <w:tr w:rsidR="00B86FB3" w:rsidRPr="00FF756A" w14:paraId="5E7C0AE8" w14:textId="77777777" w:rsidTr="006A3266">
        <w:tc>
          <w:tcPr>
            <w:cnfStyle w:val="001000000000" w:firstRow="0" w:lastRow="0" w:firstColumn="1" w:lastColumn="0" w:oddVBand="0" w:evenVBand="0" w:oddHBand="0" w:evenHBand="0" w:firstRowFirstColumn="0" w:firstRowLastColumn="0" w:lastRowFirstColumn="0" w:lastRowLastColumn="0"/>
            <w:tcW w:w="1413" w:type="dxa"/>
          </w:tcPr>
          <w:p w14:paraId="523FAEA2" w14:textId="77777777" w:rsidR="00B86FB3" w:rsidRPr="00FF756A" w:rsidRDefault="00B86FB3" w:rsidP="00B86FB3">
            <w:pPr>
              <w:spacing w:after="113" w:line="240" w:lineRule="auto"/>
              <w:jc w:val="left"/>
              <w:rPr>
                <w:rFonts w:eastAsiaTheme="minorHAnsi" w:cs="Times New Roman"/>
                <w:color w:val="FF0000"/>
                <w:sz w:val="20"/>
                <w:szCs w:val="20"/>
              </w:rPr>
            </w:pPr>
            <w:r w:rsidRPr="00FF756A">
              <w:rPr>
                <w:rFonts w:eastAsiaTheme="minorHAnsi" w:cs="Times New Roman"/>
                <w:sz w:val="20"/>
                <w:szCs w:val="20"/>
              </w:rPr>
              <w:t>G-A3</w:t>
            </w:r>
          </w:p>
        </w:tc>
        <w:tc>
          <w:tcPr>
            <w:tcW w:w="3118" w:type="dxa"/>
          </w:tcPr>
          <w:p w14:paraId="701B5ACF"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sz w:val="20"/>
                <w:szCs w:val="20"/>
              </w:rPr>
              <w:t>Rregullimi i praktikave të djegies në bujqësi</w:t>
            </w:r>
          </w:p>
        </w:tc>
        <w:tc>
          <w:tcPr>
            <w:tcW w:w="4531" w:type="dxa"/>
          </w:tcPr>
          <w:p w14:paraId="6477AEDC"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Sipërfaqja e djegies së tokave bujqësore do të reduktohet në 0 në vitin 2025, duke nisur që nga viti 2022.</w:t>
            </w:r>
          </w:p>
        </w:tc>
      </w:tr>
      <w:tr w:rsidR="00B86FB3" w:rsidRPr="00FF756A" w14:paraId="1633529B"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7BB5014" w14:textId="77777777" w:rsidR="00B86FB3" w:rsidRPr="00FF756A" w:rsidRDefault="00B86FB3" w:rsidP="00B86FB3">
            <w:pPr>
              <w:spacing w:after="113" w:line="240" w:lineRule="auto"/>
              <w:jc w:val="left"/>
              <w:rPr>
                <w:rFonts w:eastAsiaTheme="minorHAnsi" w:cs="Times New Roman"/>
                <w:color w:val="FF0000"/>
                <w:sz w:val="20"/>
                <w:szCs w:val="20"/>
                <w:highlight w:val="yellow"/>
              </w:rPr>
            </w:pPr>
            <w:r w:rsidRPr="00FF756A">
              <w:rPr>
                <w:rFonts w:eastAsiaTheme="minorHAnsi" w:cs="Times New Roman"/>
                <w:sz w:val="20"/>
                <w:szCs w:val="20"/>
              </w:rPr>
              <w:t>G-B1</w:t>
            </w:r>
          </w:p>
        </w:tc>
        <w:tc>
          <w:tcPr>
            <w:tcW w:w="3118" w:type="dxa"/>
          </w:tcPr>
          <w:p w14:paraId="47FBFB63"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sz w:val="20"/>
                <w:szCs w:val="20"/>
              </w:rPr>
              <w:t>Politikat për nxitjen e përdorimit të BRE-ve në sektorin e ngrohjes dhe ftohjes</w:t>
            </w:r>
          </w:p>
        </w:tc>
        <w:tc>
          <w:tcPr>
            <w:tcW w:w="4531" w:type="dxa"/>
          </w:tcPr>
          <w:p w14:paraId="28E7E2ED"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Përqindja e energjisë termike diellore për ngrohjen e ujit do të rritet me 12 pikë përqindjeje deri në vitin 2030 dhe me 20 pikë përqindjeje deri në vitin 2050.</w:t>
            </w:r>
          </w:p>
          <w:p w14:paraId="62F96F65"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Pompat e nxehtësisë do të zëvendësojnë 50% të ngrohjes elektrike të hapësirave deri në vitin 2050, duke ulur intensitetin energjetik të ngrohjes së hapësirave.</w:t>
            </w:r>
          </w:p>
        </w:tc>
      </w:tr>
      <w:tr w:rsidR="00B86FB3" w:rsidRPr="00FF756A" w14:paraId="69FA72DB" w14:textId="77777777" w:rsidTr="006A3266">
        <w:tc>
          <w:tcPr>
            <w:cnfStyle w:val="001000000000" w:firstRow="0" w:lastRow="0" w:firstColumn="1" w:lastColumn="0" w:oddVBand="0" w:evenVBand="0" w:oddHBand="0" w:evenHBand="0" w:firstRowFirstColumn="0" w:firstRowLastColumn="0" w:lastRowFirstColumn="0" w:lastRowLastColumn="0"/>
            <w:tcW w:w="1413" w:type="dxa"/>
          </w:tcPr>
          <w:p w14:paraId="49F4C0C7" w14:textId="77777777" w:rsidR="00B86FB3" w:rsidRPr="00FF756A" w:rsidRDefault="00B86FB3" w:rsidP="00B86FB3">
            <w:pPr>
              <w:spacing w:after="113" w:line="240" w:lineRule="auto"/>
              <w:jc w:val="left"/>
              <w:rPr>
                <w:rFonts w:eastAsiaTheme="minorHAnsi" w:cs="Times New Roman"/>
                <w:color w:val="FF0000"/>
                <w:sz w:val="20"/>
                <w:szCs w:val="20"/>
                <w:highlight w:val="yellow"/>
              </w:rPr>
            </w:pPr>
            <w:r w:rsidRPr="00FF756A">
              <w:rPr>
                <w:rFonts w:eastAsiaTheme="minorHAnsi" w:cs="Times New Roman"/>
                <w:sz w:val="20"/>
                <w:szCs w:val="20"/>
              </w:rPr>
              <w:t>G-I2</w:t>
            </w:r>
          </w:p>
        </w:tc>
        <w:tc>
          <w:tcPr>
            <w:tcW w:w="3118" w:type="dxa"/>
          </w:tcPr>
          <w:p w14:paraId="4D945C2C"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sz w:val="20"/>
                <w:szCs w:val="20"/>
              </w:rPr>
              <w:t>Ngritja e një mekanizmi për zbatimin e MMR-së</w:t>
            </w:r>
          </w:p>
        </w:tc>
        <w:tc>
          <w:tcPr>
            <w:tcW w:w="4531" w:type="dxa"/>
          </w:tcPr>
          <w:p w14:paraId="4FA0E192"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Nuk janë modeluar shprehimisht.</w:t>
            </w:r>
          </w:p>
        </w:tc>
      </w:tr>
      <w:tr w:rsidR="00B86FB3" w:rsidRPr="00FF756A" w14:paraId="349356BE"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8152D13" w14:textId="77777777" w:rsidR="00B86FB3" w:rsidRPr="00FF756A" w:rsidRDefault="00B86FB3" w:rsidP="00B86FB3">
            <w:pPr>
              <w:spacing w:after="113" w:line="240" w:lineRule="auto"/>
              <w:jc w:val="left"/>
              <w:rPr>
                <w:rFonts w:eastAsiaTheme="minorHAnsi" w:cs="Times New Roman"/>
                <w:color w:val="FF0000"/>
                <w:sz w:val="20"/>
                <w:szCs w:val="20"/>
                <w:highlight w:val="yellow"/>
              </w:rPr>
            </w:pPr>
            <w:r w:rsidRPr="00FF756A">
              <w:rPr>
                <w:rFonts w:eastAsiaTheme="minorHAnsi" w:cs="Times New Roman"/>
                <w:sz w:val="20"/>
                <w:szCs w:val="20"/>
              </w:rPr>
              <w:t>G-I4</w:t>
            </w:r>
          </w:p>
        </w:tc>
        <w:tc>
          <w:tcPr>
            <w:tcW w:w="3118" w:type="dxa"/>
          </w:tcPr>
          <w:p w14:paraId="6F6F12DB"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sz w:val="20"/>
                <w:szCs w:val="20"/>
              </w:rPr>
              <w:t>Reduktimi i shkarkimeve të gazeve të fluorinuara (Gazet-F)</w:t>
            </w:r>
          </w:p>
        </w:tc>
        <w:tc>
          <w:tcPr>
            <w:tcW w:w="4531" w:type="dxa"/>
          </w:tcPr>
          <w:p w14:paraId="13335D6A"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Reduktim me 10% në vitin 2030 dhe me 80% brenda vitit 2045</w:t>
            </w:r>
          </w:p>
        </w:tc>
      </w:tr>
      <w:tr w:rsidR="00B86FB3" w:rsidRPr="00FF756A" w14:paraId="7C3FB3D7" w14:textId="77777777" w:rsidTr="006A3266">
        <w:tc>
          <w:tcPr>
            <w:cnfStyle w:val="001000000000" w:firstRow="0" w:lastRow="0" w:firstColumn="1" w:lastColumn="0" w:oddVBand="0" w:evenVBand="0" w:oddHBand="0" w:evenHBand="0" w:firstRowFirstColumn="0" w:firstRowLastColumn="0" w:lastRowFirstColumn="0" w:lastRowLastColumn="0"/>
            <w:tcW w:w="1413" w:type="dxa"/>
          </w:tcPr>
          <w:p w14:paraId="13738973"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G-T3</w:t>
            </w:r>
          </w:p>
        </w:tc>
        <w:tc>
          <w:tcPr>
            <w:tcW w:w="3118" w:type="dxa"/>
          </w:tcPr>
          <w:p w14:paraId="526CACC2"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sz w:val="20"/>
                <w:szCs w:val="20"/>
              </w:rPr>
              <w:t>Tarifat e makinave bazuar në efiçencë dhe incentivat për rinovimin e flotës</w:t>
            </w:r>
          </w:p>
        </w:tc>
        <w:tc>
          <w:tcPr>
            <w:tcW w:w="4531" w:type="dxa"/>
          </w:tcPr>
          <w:p w14:paraId="2E2C8038"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Nuk është zbatuar shprehimisht. Në skenarin WEM autonom vërehet një rritje e konsiderueshme e automjeteve hibride.</w:t>
            </w:r>
          </w:p>
        </w:tc>
      </w:tr>
      <w:tr w:rsidR="00B86FB3" w:rsidRPr="00FF756A" w14:paraId="688F6325"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2E33498"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G-W1</w:t>
            </w:r>
          </w:p>
        </w:tc>
        <w:tc>
          <w:tcPr>
            <w:tcW w:w="3118" w:type="dxa"/>
          </w:tcPr>
          <w:p w14:paraId="51657DDD"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color w:val="000000"/>
                <w:sz w:val="20"/>
                <w:szCs w:val="20"/>
              </w:rPr>
            </w:pPr>
            <w:r w:rsidRPr="00FF756A">
              <w:rPr>
                <w:rFonts w:eastAsiaTheme="minorHAnsi" w:cs="Times New Roman"/>
                <w:color w:val="000000"/>
                <w:sz w:val="20"/>
                <w:szCs w:val="20"/>
              </w:rPr>
              <w:t>Reduktimi i shkarkimeve nga mbetjet</w:t>
            </w:r>
          </w:p>
        </w:tc>
        <w:tc>
          <w:tcPr>
            <w:tcW w:w="4531" w:type="dxa"/>
          </w:tcPr>
          <w:p w14:paraId="3D9A6E89"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Rritja e përqindjes së riciklimit në 40% në vitin 2035 (14,6% në vitin 2018), duke reduktuar sasinë totale që grumbullohet në vend-depozitime, pa ndryshim në përbërje. Mbyllja e të gjitha vend-depozitimeve të pamenaxhuara dhe të pakategorizuara deri në vitin 2035 (rënie lineare), duke i zëvendësuar me vend-depozitime të menaxhuara. Rikuperimi i metanit fillon të zbatohet në vitin 2025, duke rikuperuar 10% të shkarkimeve të CH4 (1,34 milionë tonë CH4) nga vend-depozitimet në vitin 2030</w:t>
            </w:r>
          </w:p>
        </w:tc>
      </w:tr>
      <w:tr w:rsidR="00B86FB3" w:rsidRPr="00FF756A" w14:paraId="07DC27E3" w14:textId="77777777" w:rsidTr="006A3266">
        <w:tc>
          <w:tcPr>
            <w:cnfStyle w:val="001000000000" w:firstRow="0" w:lastRow="0" w:firstColumn="1" w:lastColumn="0" w:oddVBand="0" w:evenVBand="0" w:oddHBand="0" w:evenHBand="0" w:firstRowFirstColumn="0" w:firstRowLastColumn="0" w:lastRowFirstColumn="0" w:lastRowLastColumn="0"/>
            <w:tcW w:w="1413" w:type="dxa"/>
          </w:tcPr>
          <w:p w14:paraId="5FDB796D"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G-W2</w:t>
            </w:r>
          </w:p>
        </w:tc>
        <w:tc>
          <w:tcPr>
            <w:tcW w:w="3118" w:type="dxa"/>
          </w:tcPr>
          <w:p w14:paraId="01CE3586"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color w:val="000000"/>
                <w:sz w:val="20"/>
                <w:szCs w:val="20"/>
              </w:rPr>
            </w:pPr>
            <w:r w:rsidRPr="00FF756A">
              <w:rPr>
                <w:rFonts w:eastAsiaTheme="minorHAnsi" w:cs="Times New Roman"/>
                <w:color w:val="000000"/>
                <w:sz w:val="20"/>
                <w:szCs w:val="20"/>
              </w:rPr>
              <w:t>Përdorimi i impianteve të incinerimit të mbetjeve për procesin e menaxhimit të integruar të mbetjeve në Shqipëri</w:t>
            </w:r>
          </w:p>
        </w:tc>
        <w:tc>
          <w:tcPr>
            <w:tcW w:w="4531" w:type="dxa"/>
          </w:tcPr>
          <w:p w14:paraId="5EE810DF"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highlight w:val="yellow"/>
              </w:rPr>
            </w:pPr>
            <w:r w:rsidRPr="00FF756A">
              <w:rPr>
                <w:rFonts w:eastAsiaTheme="minorHAnsi" w:cs="Times New Roman"/>
                <w:sz w:val="20"/>
                <w:szCs w:val="20"/>
              </w:rPr>
              <w:t>Përqindja e mbetjeve që shkon për incinerim dyfishohet deri në vitin 2025 nga 2,2% që është aktualisht. Shkalla e incinerimit shkon në 30% në vitin 2035, çka përkon me 55% të totalit që grumbullohet në vend-depozitime dhe për incinerim.</w:t>
            </w:r>
          </w:p>
        </w:tc>
      </w:tr>
      <w:tr w:rsidR="00B86FB3" w:rsidRPr="00FF756A" w14:paraId="13C49437"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3F2F706"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G-W3</w:t>
            </w:r>
          </w:p>
        </w:tc>
        <w:tc>
          <w:tcPr>
            <w:tcW w:w="3118" w:type="dxa"/>
          </w:tcPr>
          <w:p w14:paraId="3AFB6690"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sz w:val="20"/>
                <w:szCs w:val="20"/>
              </w:rPr>
              <w:t>Shtimi i impianteve të trajtimit të ujërave të përdorura dhe mbulimit të tyre përkatës</w:t>
            </w:r>
          </w:p>
        </w:tc>
        <w:tc>
          <w:tcPr>
            <w:tcW w:w="4531" w:type="dxa"/>
          </w:tcPr>
          <w:p w14:paraId="599A83CB"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 xml:space="preserve">Objektivi për mbulimin me trajtim të ujërave të ndotura nga ITUP është si më poshtë: </w:t>
            </w:r>
          </w:p>
          <w:p w14:paraId="17BEE8A7"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ab/>
              <w:t xml:space="preserve">Viti </w:t>
            </w:r>
            <w:r w:rsidRPr="00FF756A">
              <w:rPr>
                <w:rFonts w:eastAsiaTheme="minorHAnsi" w:cs="Times New Roman"/>
                <w:sz w:val="20"/>
                <w:szCs w:val="20"/>
              </w:rPr>
              <w:tab/>
            </w:r>
            <w:r w:rsidRPr="00FF756A">
              <w:rPr>
                <w:rFonts w:eastAsiaTheme="minorHAnsi" w:cs="Times New Roman"/>
                <w:sz w:val="20"/>
                <w:szCs w:val="20"/>
              </w:rPr>
              <w:tab/>
              <w:t>Përqindja</w:t>
            </w:r>
          </w:p>
          <w:p w14:paraId="11F00358"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ab/>
              <w:t>2021</w:t>
            </w:r>
            <w:r w:rsidRPr="00FF756A">
              <w:rPr>
                <w:rFonts w:eastAsiaTheme="minorHAnsi" w:cs="Times New Roman"/>
                <w:sz w:val="20"/>
                <w:szCs w:val="20"/>
              </w:rPr>
              <w:tab/>
            </w:r>
            <w:r w:rsidRPr="00FF756A">
              <w:rPr>
                <w:rFonts w:eastAsiaTheme="minorHAnsi" w:cs="Times New Roman"/>
                <w:sz w:val="20"/>
                <w:szCs w:val="20"/>
              </w:rPr>
              <w:tab/>
              <w:t>14</w:t>
            </w:r>
          </w:p>
          <w:p w14:paraId="3FBD150B"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ab/>
              <w:t>2022</w:t>
            </w:r>
            <w:r w:rsidRPr="00FF756A">
              <w:rPr>
                <w:rFonts w:eastAsiaTheme="minorHAnsi" w:cs="Times New Roman"/>
                <w:sz w:val="20"/>
                <w:szCs w:val="20"/>
              </w:rPr>
              <w:tab/>
            </w:r>
            <w:r w:rsidRPr="00FF756A">
              <w:rPr>
                <w:rFonts w:eastAsiaTheme="minorHAnsi" w:cs="Times New Roman"/>
                <w:sz w:val="20"/>
                <w:szCs w:val="20"/>
              </w:rPr>
              <w:tab/>
              <w:t>17</w:t>
            </w:r>
          </w:p>
          <w:p w14:paraId="53DD2B2D"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ab/>
              <w:t>2023</w:t>
            </w:r>
            <w:r w:rsidRPr="00FF756A">
              <w:rPr>
                <w:rFonts w:eastAsiaTheme="minorHAnsi" w:cs="Times New Roman"/>
                <w:sz w:val="20"/>
                <w:szCs w:val="20"/>
              </w:rPr>
              <w:tab/>
            </w:r>
            <w:r w:rsidRPr="00FF756A">
              <w:rPr>
                <w:rFonts w:eastAsiaTheme="minorHAnsi" w:cs="Times New Roman"/>
                <w:sz w:val="20"/>
                <w:szCs w:val="20"/>
              </w:rPr>
              <w:tab/>
              <w:t>20</w:t>
            </w:r>
          </w:p>
          <w:p w14:paraId="66CE3191"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ab/>
              <w:t>2024</w:t>
            </w:r>
            <w:r w:rsidRPr="00FF756A">
              <w:rPr>
                <w:rFonts w:eastAsiaTheme="minorHAnsi" w:cs="Times New Roman"/>
                <w:sz w:val="20"/>
                <w:szCs w:val="20"/>
              </w:rPr>
              <w:tab/>
            </w:r>
            <w:r w:rsidRPr="00FF756A">
              <w:rPr>
                <w:rFonts w:eastAsiaTheme="minorHAnsi" w:cs="Times New Roman"/>
                <w:sz w:val="20"/>
                <w:szCs w:val="20"/>
              </w:rPr>
              <w:tab/>
              <w:t>24</w:t>
            </w:r>
          </w:p>
          <w:p w14:paraId="0F5067D0"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ab/>
              <w:t>2025</w:t>
            </w:r>
            <w:r w:rsidRPr="00FF756A">
              <w:rPr>
                <w:rFonts w:eastAsiaTheme="minorHAnsi" w:cs="Times New Roman"/>
                <w:sz w:val="20"/>
                <w:szCs w:val="20"/>
              </w:rPr>
              <w:tab/>
            </w:r>
            <w:r w:rsidRPr="00FF756A">
              <w:rPr>
                <w:rFonts w:eastAsiaTheme="minorHAnsi" w:cs="Times New Roman"/>
                <w:sz w:val="20"/>
                <w:szCs w:val="20"/>
              </w:rPr>
              <w:tab/>
              <w:t>28</w:t>
            </w:r>
          </w:p>
          <w:p w14:paraId="1AAB4BC4"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ab/>
              <w:t>2026</w:t>
            </w:r>
            <w:r w:rsidRPr="00FF756A">
              <w:rPr>
                <w:rFonts w:eastAsiaTheme="minorHAnsi" w:cs="Times New Roman"/>
                <w:sz w:val="20"/>
                <w:szCs w:val="20"/>
              </w:rPr>
              <w:tab/>
            </w:r>
            <w:r w:rsidRPr="00FF756A">
              <w:rPr>
                <w:rFonts w:eastAsiaTheme="minorHAnsi" w:cs="Times New Roman"/>
                <w:sz w:val="20"/>
                <w:szCs w:val="20"/>
              </w:rPr>
              <w:tab/>
              <w:t>32</w:t>
            </w:r>
          </w:p>
          <w:p w14:paraId="38865055"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ab/>
              <w:t>2027</w:t>
            </w:r>
            <w:r w:rsidRPr="00FF756A">
              <w:rPr>
                <w:rFonts w:eastAsiaTheme="minorHAnsi" w:cs="Times New Roman"/>
                <w:sz w:val="20"/>
                <w:szCs w:val="20"/>
              </w:rPr>
              <w:tab/>
            </w:r>
            <w:r w:rsidRPr="00FF756A">
              <w:rPr>
                <w:rFonts w:eastAsiaTheme="minorHAnsi" w:cs="Times New Roman"/>
                <w:sz w:val="20"/>
                <w:szCs w:val="20"/>
              </w:rPr>
              <w:tab/>
              <w:t>39</w:t>
            </w:r>
          </w:p>
        </w:tc>
      </w:tr>
      <w:tr w:rsidR="00B86FB3" w:rsidRPr="00FF756A" w14:paraId="70CA6683" w14:textId="77777777" w:rsidTr="006A3266">
        <w:tc>
          <w:tcPr>
            <w:cnfStyle w:val="001000000000" w:firstRow="0" w:lastRow="0" w:firstColumn="1" w:lastColumn="0" w:oddVBand="0" w:evenVBand="0" w:oddHBand="0" w:evenHBand="0" w:firstRowFirstColumn="0" w:firstRowLastColumn="0" w:lastRowFirstColumn="0" w:lastRowLastColumn="0"/>
            <w:tcW w:w="1413" w:type="dxa"/>
          </w:tcPr>
          <w:p w14:paraId="7776B275"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G-W4</w:t>
            </w:r>
          </w:p>
        </w:tc>
        <w:tc>
          <w:tcPr>
            <w:tcW w:w="3118" w:type="dxa"/>
          </w:tcPr>
          <w:p w14:paraId="1FA9205A"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color w:val="000000"/>
                <w:sz w:val="20"/>
                <w:szCs w:val="20"/>
              </w:rPr>
            </w:pPr>
            <w:r w:rsidRPr="00FF756A">
              <w:rPr>
                <w:rFonts w:eastAsiaTheme="minorHAnsi" w:cs="Times New Roman"/>
                <w:color w:val="000000"/>
                <w:sz w:val="20"/>
                <w:szCs w:val="20"/>
              </w:rPr>
              <w:t>Ngritja e kapaciteteve dhe zhvillimi organizativ për bashkitë lidhur me trajtimin e mbetjeve dhe ujërave të përdorura</w:t>
            </w:r>
          </w:p>
        </w:tc>
        <w:tc>
          <w:tcPr>
            <w:tcW w:w="4531" w:type="dxa"/>
          </w:tcPr>
          <w:p w14:paraId="364ADB43"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Nuk janë modeluar shprehimisht. Duke supozuar se gazi i nevojshëm do të vihet në dispozicion përmes zgjerimit të interkoneksioneve.</w:t>
            </w:r>
          </w:p>
        </w:tc>
      </w:tr>
      <w:tr w:rsidR="00B86FB3" w:rsidRPr="00FF756A" w14:paraId="04CC15C9"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FCBB33E"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R-E1</w:t>
            </w:r>
          </w:p>
        </w:tc>
        <w:tc>
          <w:tcPr>
            <w:tcW w:w="3118" w:type="dxa"/>
          </w:tcPr>
          <w:p w14:paraId="64A80A8B"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color w:val="000000"/>
                <w:sz w:val="20"/>
                <w:szCs w:val="20"/>
              </w:rPr>
            </w:pPr>
            <w:r w:rsidRPr="00FF756A">
              <w:rPr>
                <w:rFonts w:eastAsiaTheme="minorHAnsi" w:cs="Times New Roman"/>
                <w:color w:val="000000"/>
                <w:sz w:val="20"/>
                <w:szCs w:val="20"/>
              </w:rPr>
              <w:t>Mekanizmi i tarifës “feed-in” për kapacitetet e vogla të rinovueshme</w:t>
            </w:r>
          </w:p>
        </w:tc>
        <w:tc>
          <w:tcPr>
            <w:tcW w:w="4531" w:type="dxa"/>
          </w:tcPr>
          <w:p w14:paraId="1DA9591B" w14:textId="27C34CB9"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 xml:space="preserve">Shtimi i hidrocentraleve me kapacitet 40 MW (në lumenj të rrjedhshëm) duke filluar nga viti 2021 dhe çdo vit më pas, derisa të arrihet një kapacitet prej 320 MW në vitin 2028. Shtimi i energjisë </w:t>
            </w:r>
            <w:r w:rsidR="009C63A2" w:rsidRPr="00FF756A">
              <w:rPr>
                <w:rFonts w:eastAsiaTheme="minorHAnsi" w:cs="Times New Roman"/>
                <w:sz w:val="20"/>
                <w:szCs w:val="20"/>
              </w:rPr>
              <w:t>fotovoltaike</w:t>
            </w:r>
            <w:r w:rsidRPr="00FF756A">
              <w:rPr>
                <w:rFonts w:eastAsiaTheme="minorHAnsi" w:cs="Times New Roman"/>
                <w:sz w:val="20"/>
                <w:szCs w:val="20"/>
              </w:rPr>
              <w:t xml:space="preserve"> me 100 MW deri në 2030. Për teknologjitë e tjera nuk parashikohet ndonjë rritje e ndjeshme.</w:t>
            </w:r>
          </w:p>
        </w:tc>
      </w:tr>
      <w:tr w:rsidR="00B86FB3" w:rsidRPr="00FF756A" w14:paraId="314B10AD" w14:textId="77777777" w:rsidTr="006A3266">
        <w:tc>
          <w:tcPr>
            <w:cnfStyle w:val="001000000000" w:firstRow="0" w:lastRow="0" w:firstColumn="1" w:lastColumn="0" w:oddVBand="0" w:evenVBand="0" w:oddHBand="0" w:evenHBand="0" w:firstRowFirstColumn="0" w:firstRowLastColumn="0" w:lastRowFirstColumn="0" w:lastRowLastColumn="0"/>
            <w:tcW w:w="1413" w:type="dxa"/>
          </w:tcPr>
          <w:p w14:paraId="246C839B"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R-E2</w:t>
            </w:r>
          </w:p>
        </w:tc>
        <w:tc>
          <w:tcPr>
            <w:tcW w:w="3118" w:type="dxa"/>
          </w:tcPr>
          <w:p w14:paraId="7201A500"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themeColor="text1"/>
                <w:sz w:val="20"/>
                <w:szCs w:val="20"/>
              </w:rPr>
              <w:t>Ankandet për kapacitetet e reja të energjisë së rinovueshme (eolike dhe diellore) dhe magazinimin; Miratimi i planit 3-vjeçar të ankandit</w:t>
            </w:r>
          </w:p>
        </w:tc>
        <w:tc>
          <w:tcPr>
            <w:tcW w:w="4531" w:type="dxa"/>
          </w:tcPr>
          <w:p w14:paraId="4423ED15"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Parku fotovoltaik Spitallë (100 MW duke nisur nga viti 2025); Parku fotovoltaik Karavasta (140 MW, në funksion); Parku eolik Lezhë: I lidhur në vitin 2024 me kapacitet 150 MW dhe shtim i kapacitet eolik me 220 MW brenda vitit 2030.</w:t>
            </w:r>
          </w:p>
        </w:tc>
      </w:tr>
      <w:tr w:rsidR="00B86FB3" w:rsidRPr="00FF756A" w14:paraId="6F24124A"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7CB92B8"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R-E4</w:t>
            </w:r>
          </w:p>
        </w:tc>
        <w:tc>
          <w:tcPr>
            <w:tcW w:w="3118" w:type="dxa"/>
          </w:tcPr>
          <w:p w14:paraId="47C85677"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sz w:val="20"/>
                <w:szCs w:val="20"/>
              </w:rPr>
              <w:t>Mekanizmi i matjes së energjisë neto për instalimet deri në 500 kW</w:t>
            </w:r>
          </w:p>
        </w:tc>
        <w:tc>
          <w:tcPr>
            <w:tcW w:w="4531" w:type="dxa"/>
          </w:tcPr>
          <w:p w14:paraId="6BA9E0DB"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Rritja e kapacitetit të rinovueshëm, kryesisht atij të energjisë fotovoltaike, nuk paraqitet veçmas për këtë masë, por kapaciteti total supozohet të pasqyrohet në R-E1.</w:t>
            </w:r>
          </w:p>
        </w:tc>
      </w:tr>
      <w:tr w:rsidR="00B86FB3" w:rsidRPr="00FF756A" w14:paraId="6077C703" w14:textId="77777777" w:rsidTr="006A3266">
        <w:tc>
          <w:tcPr>
            <w:cnfStyle w:val="001000000000" w:firstRow="0" w:lastRow="0" w:firstColumn="1" w:lastColumn="0" w:oddVBand="0" w:evenVBand="0" w:oddHBand="0" w:evenHBand="0" w:firstRowFirstColumn="0" w:firstRowLastColumn="0" w:lastRowFirstColumn="0" w:lastRowLastColumn="0"/>
            <w:tcW w:w="1413" w:type="dxa"/>
          </w:tcPr>
          <w:p w14:paraId="55DE8DE7"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R-E5</w:t>
            </w:r>
          </w:p>
        </w:tc>
        <w:tc>
          <w:tcPr>
            <w:tcW w:w="3118" w:type="dxa"/>
          </w:tcPr>
          <w:p w14:paraId="55F6BBD8"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color w:val="000000"/>
                <w:sz w:val="20"/>
                <w:szCs w:val="20"/>
              </w:rPr>
              <w:t>Rrjet elektrik i fuqishëm për të përballuar rritjen e kapacitetit të energjisë së rinovueshme, investime në kapacitetin e energjisë së rinovueshme në tregun e lirë</w:t>
            </w:r>
          </w:p>
        </w:tc>
        <w:tc>
          <w:tcPr>
            <w:tcW w:w="4531" w:type="dxa"/>
          </w:tcPr>
          <w:p w14:paraId="75914101"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Reduktimi gradual i humbjeve në shpërndarje nga 23,7% në vitin 2014 në 12% në vitin 2030.</w:t>
            </w:r>
          </w:p>
        </w:tc>
      </w:tr>
      <w:tr w:rsidR="00B86FB3" w:rsidRPr="00FF756A" w14:paraId="189D5242"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E1A9D79"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R-E6</w:t>
            </w:r>
          </w:p>
        </w:tc>
        <w:tc>
          <w:tcPr>
            <w:tcW w:w="3118" w:type="dxa"/>
          </w:tcPr>
          <w:p w14:paraId="0E180D91"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color w:val="000000"/>
                <w:sz w:val="20"/>
                <w:szCs w:val="20"/>
              </w:rPr>
            </w:pPr>
            <w:r w:rsidRPr="00FF756A">
              <w:rPr>
                <w:rFonts w:eastAsiaTheme="minorHAnsi" w:cs="Times New Roman"/>
                <w:color w:val="000000"/>
                <w:sz w:val="20"/>
                <w:szCs w:val="20"/>
              </w:rPr>
              <w:t>Lehtësimi i lidhjes rregullatore dhe fizike me rrjetin elektrik</w:t>
            </w:r>
          </w:p>
        </w:tc>
        <w:tc>
          <w:tcPr>
            <w:tcW w:w="4531" w:type="dxa"/>
          </w:tcPr>
          <w:p w14:paraId="4BCD28A6"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Nuk janë modeluar shprehimisht.</w:t>
            </w:r>
          </w:p>
        </w:tc>
      </w:tr>
      <w:tr w:rsidR="00B86FB3" w:rsidRPr="00FF756A" w14:paraId="5E891250" w14:textId="77777777" w:rsidTr="006A3266">
        <w:tc>
          <w:tcPr>
            <w:cnfStyle w:val="001000000000" w:firstRow="0" w:lastRow="0" w:firstColumn="1" w:lastColumn="0" w:oddVBand="0" w:evenVBand="0" w:oddHBand="0" w:evenHBand="0" w:firstRowFirstColumn="0" w:firstRowLastColumn="0" w:lastRowFirstColumn="0" w:lastRowLastColumn="0"/>
            <w:tcW w:w="1413" w:type="dxa"/>
          </w:tcPr>
          <w:p w14:paraId="66695B4E"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R-E8</w:t>
            </w:r>
          </w:p>
        </w:tc>
        <w:tc>
          <w:tcPr>
            <w:tcW w:w="3118" w:type="dxa"/>
          </w:tcPr>
          <w:p w14:paraId="72E0BB6A"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color w:val="000000"/>
                <w:sz w:val="20"/>
                <w:szCs w:val="20"/>
              </w:rPr>
            </w:pPr>
            <w:r w:rsidRPr="00FF756A">
              <w:rPr>
                <w:rFonts w:eastAsiaTheme="minorHAnsi" w:cs="Times New Roman"/>
                <w:color w:val="000000"/>
                <w:sz w:val="20"/>
                <w:szCs w:val="20"/>
              </w:rPr>
              <w:t>Strategjia e matjes dhe dixhitalizimi i sektorit të energjisë</w:t>
            </w:r>
          </w:p>
        </w:tc>
        <w:tc>
          <w:tcPr>
            <w:tcW w:w="4531" w:type="dxa"/>
          </w:tcPr>
          <w:p w14:paraId="3282C9EB"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Nuk janë modeluar shprehimisht.</w:t>
            </w:r>
          </w:p>
        </w:tc>
      </w:tr>
      <w:tr w:rsidR="00B86FB3" w:rsidRPr="00FF756A" w14:paraId="0F436B99"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B906E03"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RIC-E1</w:t>
            </w:r>
          </w:p>
        </w:tc>
        <w:tc>
          <w:tcPr>
            <w:tcW w:w="3118" w:type="dxa"/>
          </w:tcPr>
          <w:p w14:paraId="7ED958F4" w14:textId="77777777" w:rsidR="00B86FB3" w:rsidRPr="00FF756A" w:rsidRDefault="00B86FB3" w:rsidP="00B86FB3">
            <w:pPr>
              <w:spacing w:after="113" w:line="240" w:lineRule="auto"/>
              <w:jc w:val="center"/>
              <w:cnfStyle w:val="000000100000" w:firstRow="0" w:lastRow="0" w:firstColumn="0" w:lastColumn="0" w:oddVBand="0" w:evenVBand="0" w:oddHBand="1" w:evenHBand="0" w:firstRowFirstColumn="0" w:firstRowLastColumn="0" w:lastRowFirstColumn="0" w:lastRowLastColumn="0"/>
              <w:rPr>
                <w:rFonts w:eastAsiaTheme="minorHAnsi" w:cs="Times New Roman"/>
                <w:color w:val="000000"/>
                <w:sz w:val="20"/>
                <w:szCs w:val="20"/>
              </w:rPr>
            </w:pPr>
            <w:r w:rsidRPr="00FF756A">
              <w:rPr>
                <w:rFonts w:eastAsiaTheme="minorHAnsi" w:cs="Times New Roman"/>
                <w:color w:val="000000"/>
                <w:sz w:val="20"/>
                <w:szCs w:val="20"/>
              </w:rPr>
              <w:t>Përmirësimi i bashkëpunimit në nivel rajonal dhe ndërkombëtar për kërkimin shkencor në lidhje me sektorin e energjisë</w:t>
            </w:r>
          </w:p>
        </w:tc>
        <w:tc>
          <w:tcPr>
            <w:tcW w:w="4531" w:type="dxa"/>
          </w:tcPr>
          <w:p w14:paraId="7336901C" w14:textId="77777777" w:rsidR="00B86FB3" w:rsidRPr="00FF756A" w:rsidRDefault="00B86FB3" w:rsidP="00B86FB3">
            <w:pPr>
              <w:spacing w:after="113" w:line="240" w:lineRule="auto"/>
              <w:jc w:val="left"/>
              <w:cnfStyle w:val="000000100000" w:firstRow="0" w:lastRow="0" w:firstColumn="0" w:lastColumn="0" w:oddVBand="0" w:evenVBand="0" w:oddHBand="1"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Nuk janë modeluar shprehimisht.</w:t>
            </w:r>
          </w:p>
        </w:tc>
      </w:tr>
      <w:tr w:rsidR="00B86FB3" w:rsidRPr="00FF756A" w14:paraId="6032EF19" w14:textId="77777777" w:rsidTr="006A3266">
        <w:tc>
          <w:tcPr>
            <w:cnfStyle w:val="001000000000" w:firstRow="0" w:lastRow="0" w:firstColumn="1" w:lastColumn="0" w:oddVBand="0" w:evenVBand="0" w:oddHBand="0" w:evenHBand="0" w:firstRowFirstColumn="0" w:firstRowLastColumn="0" w:lastRowFirstColumn="0" w:lastRowLastColumn="0"/>
            <w:tcW w:w="1413" w:type="dxa"/>
          </w:tcPr>
          <w:p w14:paraId="288395F0" w14:textId="77777777" w:rsidR="00B86FB3" w:rsidRPr="00FF756A" w:rsidRDefault="00B86FB3" w:rsidP="00B86FB3">
            <w:pPr>
              <w:spacing w:after="113" w:line="240" w:lineRule="auto"/>
              <w:jc w:val="left"/>
              <w:rPr>
                <w:rFonts w:eastAsiaTheme="minorHAnsi" w:cs="Times New Roman"/>
                <w:sz w:val="20"/>
                <w:szCs w:val="20"/>
              </w:rPr>
            </w:pPr>
            <w:r w:rsidRPr="00FF756A">
              <w:rPr>
                <w:rFonts w:eastAsiaTheme="minorHAnsi" w:cs="Times New Roman"/>
                <w:sz w:val="20"/>
                <w:szCs w:val="20"/>
              </w:rPr>
              <w:t>RIC-E2</w:t>
            </w:r>
          </w:p>
        </w:tc>
        <w:tc>
          <w:tcPr>
            <w:tcW w:w="3118" w:type="dxa"/>
          </w:tcPr>
          <w:p w14:paraId="5B1BEB5B" w14:textId="77777777" w:rsidR="00B86FB3" w:rsidRPr="00FF756A" w:rsidRDefault="00B86FB3" w:rsidP="00B86FB3">
            <w:pPr>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color w:val="000000"/>
                <w:sz w:val="20"/>
                <w:szCs w:val="20"/>
              </w:rPr>
            </w:pPr>
            <w:r w:rsidRPr="00FF756A">
              <w:rPr>
                <w:rFonts w:eastAsiaTheme="minorHAnsi" w:cs="Times New Roman"/>
                <w:color w:val="000000"/>
                <w:sz w:val="20"/>
                <w:szCs w:val="20"/>
              </w:rPr>
              <w:t>Programi Kombëtar i Kërkimit dhe Zhvillimit</w:t>
            </w:r>
          </w:p>
        </w:tc>
        <w:tc>
          <w:tcPr>
            <w:tcW w:w="4531" w:type="dxa"/>
          </w:tcPr>
          <w:p w14:paraId="5920F3B9" w14:textId="77777777" w:rsidR="00B86FB3" w:rsidRPr="00FF756A" w:rsidRDefault="00B86FB3" w:rsidP="00074587">
            <w:pPr>
              <w:keepNext/>
              <w:spacing w:after="113" w:line="240" w:lineRule="auto"/>
              <w:jc w:val="left"/>
              <w:cnfStyle w:val="000000000000" w:firstRow="0" w:lastRow="0" w:firstColumn="0" w:lastColumn="0" w:oddVBand="0" w:evenVBand="0" w:oddHBand="0" w:evenHBand="0" w:firstRowFirstColumn="0" w:firstRowLastColumn="0" w:lastRowFirstColumn="0" w:lastRowLastColumn="0"/>
              <w:rPr>
                <w:rFonts w:eastAsiaTheme="minorHAnsi" w:cs="Times New Roman"/>
                <w:sz w:val="20"/>
                <w:szCs w:val="20"/>
              </w:rPr>
            </w:pPr>
            <w:r w:rsidRPr="00FF756A">
              <w:rPr>
                <w:rFonts w:eastAsiaTheme="minorHAnsi" w:cs="Times New Roman"/>
                <w:sz w:val="20"/>
                <w:szCs w:val="20"/>
              </w:rPr>
              <w:t>Nuk janë modeluar shprehimisht.</w:t>
            </w:r>
          </w:p>
        </w:tc>
      </w:tr>
    </w:tbl>
    <w:p w14:paraId="5EFAD792" w14:textId="76F97BA6" w:rsidR="00B86FB3" w:rsidRPr="00FF756A" w:rsidRDefault="00074587" w:rsidP="00074587">
      <w:pPr>
        <w:pStyle w:val="Caption"/>
        <w:rPr>
          <w:rFonts w:ascii="Times New Roman" w:hAnsi="Times New Roman"/>
        </w:rPr>
      </w:pPr>
      <w:bookmarkStart w:id="508" w:name="_Toc183016493"/>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29</w:t>
      </w:r>
      <w:r w:rsidR="008E7DE9" w:rsidRPr="00FF756A">
        <w:rPr>
          <w:rFonts w:ascii="Times New Roman" w:hAnsi="Times New Roman"/>
          <w:noProof/>
        </w:rPr>
        <w:fldChar w:fldCharType="end"/>
      </w:r>
      <w:r w:rsidRPr="00FF756A">
        <w:rPr>
          <w:rFonts w:ascii="Times New Roman" w:hAnsi="Times New Roman"/>
        </w:rPr>
        <w:t>: Zbatimi në modelim i politikave dhe masave të renditura në kreun 3, që janë me rëndësi për skenarin me masat ekzistuese</w:t>
      </w:r>
      <w:bookmarkEnd w:id="508"/>
    </w:p>
    <w:p w14:paraId="4FDA3FC5" w14:textId="77777777" w:rsidR="00AB1A66" w:rsidRPr="00FF756A" w:rsidRDefault="00AB1A66" w:rsidP="004A3257">
      <w:pPr>
        <w:keepNext/>
        <w:keepLines/>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rFonts w:eastAsia="Calibri Light"/>
          <w:i/>
          <w:iCs/>
          <w:color w:val="2F5496" w:themeColor="accent1" w:themeShade="BF"/>
        </w:rPr>
      </w:pPr>
      <w:bookmarkStart w:id="509" w:name="_Hlk100324109"/>
    </w:p>
    <w:p w14:paraId="582CE6D0" w14:textId="18E1C29C" w:rsidR="00B86FB3" w:rsidRPr="00FF756A" w:rsidRDefault="00AB1A66" w:rsidP="004A3257">
      <w:pPr>
        <w:keepNext/>
        <w:keepLines/>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rFonts w:eastAsia="Calibri Light"/>
          <w:i/>
          <w:iCs/>
          <w:color w:val="2F5496" w:themeColor="accent1" w:themeShade="BF"/>
        </w:rPr>
      </w:pPr>
      <w:bookmarkStart w:id="510" w:name="_Toc183639272"/>
      <w:r w:rsidRPr="00FF756A">
        <w:rPr>
          <w:rFonts w:eastAsia="Calibri Light"/>
          <w:i/>
          <w:iCs/>
          <w:color w:val="2F5496" w:themeColor="accent1" w:themeShade="BF"/>
        </w:rPr>
        <w:t xml:space="preserve">4.1.3 </w:t>
      </w:r>
      <w:r w:rsidR="00B86FB3" w:rsidRPr="00FF756A">
        <w:rPr>
          <w:rFonts w:eastAsia="Calibri Light"/>
          <w:i/>
          <w:iCs/>
          <w:color w:val="2F5496" w:themeColor="accent1" w:themeShade="BF"/>
        </w:rPr>
        <w:t xml:space="preserve">Tendencat globale të energjisë, çmimet e lëndëve </w:t>
      </w:r>
      <w:r w:rsidR="00487C6D" w:rsidRPr="00FF756A">
        <w:rPr>
          <w:rFonts w:eastAsia="Calibri Light"/>
          <w:i/>
          <w:iCs/>
          <w:color w:val="2F5496" w:themeColor="accent1" w:themeShade="BF"/>
        </w:rPr>
        <w:t xml:space="preserve">me karbon </w:t>
      </w:r>
      <w:r w:rsidR="00B86FB3" w:rsidRPr="00FF756A">
        <w:rPr>
          <w:rFonts w:eastAsia="Calibri Light"/>
          <w:i/>
          <w:iCs/>
          <w:color w:val="2F5496" w:themeColor="accent1" w:themeShade="BF"/>
        </w:rPr>
        <w:t xml:space="preserve">në nivel ndërkombëtar, çmimi i karbonit në </w:t>
      </w:r>
      <w:r w:rsidR="00550CEE" w:rsidRPr="00FF756A">
        <w:rPr>
          <w:rFonts w:eastAsia="Calibri Light"/>
          <w:i/>
          <w:iCs/>
          <w:color w:val="2F5496" w:themeColor="accent1" w:themeShade="BF"/>
        </w:rPr>
        <w:t>S</w:t>
      </w:r>
      <w:r w:rsidR="00B86FB3" w:rsidRPr="00FF756A">
        <w:rPr>
          <w:rFonts w:eastAsia="Calibri Light"/>
          <w:i/>
          <w:iCs/>
          <w:color w:val="2F5496" w:themeColor="accent1" w:themeShade="BF"/>
        </w:rPr>
        <w:t xml:space="preserve">TE </w:t>
      </w:r>
      <w:r w:rsidR="00550CEE" w:rsidRPr="00FF756A">
        <w:rPr>
          <w:rFonts w:eastAsia="Calibri Light"/>
          <w:i/>
          <w:iCs/>
          <w:color w:val="2F5496" w:themeColor="accent1" w:themeShade="BF"/>
        </w:rPr>
        <w:t>të</w:t>
      </w:r>
      <w:r w:rsidR="00B86FB3" w:rsidRPr="00FF756A">
        <w:rPr>
          <w:rFonts w:eastAsia="Calibri Light"/>
          <w:i/>
          <w:iCs/>
          <w:color w:val="2F5496" w:themeColor="accent1" w:themeShade="BF"/>
        </w:rPr>
        <w:t xml:space="preserve"> BE-së</w:t>
      </w:r>
      <w:bookmarkEnd w:id="510"/>
    </w:p>
    <w:bookmarkEnd w:id="509"/>
    <w:p w14:paraId="2D74A513" w14:textId="77777777" w:rsidR="00487C6D" w:rsidRPr="00FF756A" w:rsidRDefault="00487C6D" w:rsidP="00B86FB3"/>
    <w:p w14:paraId="4D9F8D2F" w14:textId="6ADA615A" w:rsidR="00B86FB3" w:rsidRPr="00FF756A" w:rsidRDefault="00487C6D" w:rsidP="004A3257">
      <w:pPr>
        <w:spacing w:before="0" w:after="0" w:line="240" w:lineRule="auto"/>
      </w:pPr>
      <w:r w:rsidRPr="00FF756A">
        <w:t xml:space="preserve">Figura 29 </w:t>
      </w:r>
      <w:r w:rsidR="00B86FB3" w:rsidRPr="00FF756A">
        <w:t xml:space="preserve">paraqet tendencat historike dhe të projektuara të çmimit ndërkombëtar të naftës (bruto).   </w:t>
      </w:r>
    </w:p>
    <w:p w14:paraId="7CF812D2" w14:textId="77777777" w:rsidR="00B86FB3" w:rsidRPr="00FF756A" w:rsidRDefault="00B86FB3" w:rsidP="004A3257">
      <w:pPr>
        <w:spacing w:before="0" w:after="0" w:line="240" w:lineRule="auto"/>
      </w:pPr>
      <w:r w:rsidRPr="00FF756A">
        <w:t xml:space="preserve">Çmimet e karbonit sipas ETS-së së BE-së nuk merren në konsideratë në skenarin WEM deri në vitin 2040. Vendosja e çmimit të karbonit konsiderohet pjesë e një politike shtesë, efekti i së cikës përshkruhet në kreun 5. Në BE po zhvillohet një mekanizëm për rregullimin e karbonit në kufi, por kjo gjë nuk është përfshirë në model si faktor që ndikon në zhvillim. </w:t>
      </w:r>
    </w:p>
    <w:p w14:paraId="53F6FED2" w14:textId="77777777" w:rsidR="00B86FB3" w:rsidRPr="00FF756A" w:rsidRDefault="00B86FB3" w:rsidP="004A3257">
      <w:pPr>
        <w:spacing w:before="0" w:after="0" w:line="240" w:lineRule="auto"/>
      </w:pPr>
      <w:r w:rsidRPr="00FF756A">
        <w:t xml:space="preserve">Së fundi, progresioni i ndryshimeve klimatike rezulton në ndryshime për sa i përket disponueshmërisë së energjisë së rinovueshme. Teksa Shqipëria prodhon pothuajse 100% të energjisë së saj elektrike nga burime hidroelektrike, ndryshimet përkatëse në ciklin e ujit kanë një ndikim thelbësor. Sipas një studimi të Bankës Botërore </w:t>
      </w:r>
      <w:sdt>
        <w:sdtPr>
          <w:alias w:val="Për të modifikuar, shihni citavi.com/edit"/>
          <w:tag w:val="CitaviPlaceholder#7d43c786-b6c6-4288-b00f-b678d204bc67"/>
          <w:id w:val="-365452094"/>
          <w:placeholder>
            <w:docPart w:val="A7FAF209AB1A47AEBE720282F95BC029"/>
          </w:placeholder>
        </w:sdtPr>
        <w:sdtEndPr/>
        <w:sdtContent>
          <w:r w:rsidRPr="00FF756A">
            <w:fldChar w:fldCharType="begin"/>
          </w:r>
          <w:r w:rsidRPr="00FF756A">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}</w:instrText>
          </w:r>
          <w:r w:rsidRPr="00FF756A">
            <w:fldChar w:fldCharType="separate"/>
          </w:r>
          <w:r w:rsidRPr="00FF756A">
            <w:t>(World Bank ESMAP 2009)</w:t>
          </w:r>
          <w:r w:rsidRPr="00FF756A">
            <w:fldChar w:fldCharType="end"/>
          </w:r>
        </w:sdtContent>
      </w:sdt>
      <w:r w:rsidRPr="00FF756A">
        <w:t xml:space="preserve">, prodhimi nga rezervuarët e impianteve hidroelektrike pritet të rritet me 15% deri në vitin 2050. Pritet që prodhimi i impianteve hidroelektrike në lumenj të rrjedhshëm të pësojë një rënie prej 20%. Prodhimi i impianteve fotovoltaike pritet të rritet me 5% deri në vitin 2050. Për të studiuar ndikimin e viteve me disponueshmëri të ulët të burimeve hidrike, ushtrimi i modelimit që qëndron në bazë të këtij dokumenti konsideron çdo një në pesë vite si vit me disponueshmëri të reduktuar të burimeve hidrike (duke filluar nga viti 2022). Gjatë këtyre viteve, disponueshmëria e hidrocentraleve konsiderohet të jetë vetëm 60% në raport me vitet e tjera. Efektet e këtij ushtrimi janë të dukshme në disa nga figurat e paraqitura në krerët e mëposhtëm. </w:t>
      </w:r>
    </w:p>
    <w:p w14:paraId="1BFE7669" w14:textId="77777777" w:rsidR="00074587" w:rsidRPr="00FF756A" w:rsidRDefault="00B86FB3" w:rsidP="00074587">
      <w:pPr>
        <w:keepNext/>
      </w:pPr>
      <w:r w:rsidRPr="00FF756A">
        <w:rPr>
          <w:noProof/>
          <w:lang w:val="en-US"/>
        </w:rPr>
        <w:drawing>
          <wp:inline distT="0" distB="0" distL="0" distR="0" wp14:anchorId="564651F4" wp14:editId="2E31E8C1">
            <wp:extent cx="5760720" cy="3456305"/>
            <wp:effectExtent l="0" t="0" r="0" b="0"/>
            <wp:docPr id="631727279" name="Picture 2"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727279" name="Picture 2" descr="A graph with a line&#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459A93EF" w14:textId="7431D144" w:rsidR="00B86FB3" w:rsidRPr="00FF756A" w:rsidRDefault="00074587" w:rsidP="00074587">
      <w:pPr>
        <w:pStyle w:val="Caption"/>
        <w:rPr>
          <w:rFonts w:ascii="Times New Roman" w:hAnsi="Times New Roman"/>
        </w:rPr>
      </w:pPr>
      <w:bookmarkStart w:id="511" w:name="_Toc183016559"/>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29</w:t>
      </w:r>
      <w:r w:rsidR="008E7DE9" w:rsidRPr="00FF756A">
        <w:rPr>
          <w:rFonts w:ascii="Times New Roman" w:hAnsi="Times New Roman"/>
          <w:noProof/>
        </w:rPr>
        <w:fldChar w:fldCharType="end"/>
      </w:r>
      <w:r w:rsidRPr="00FF756A">
        <w:rPr>
          <w:rFonts w:ascii="Times New Roman" w:hAnsi="Times New Roman"/>
        </w:rPr>
        <w:t xml:space="preserve">: </w:t>
      </w:r>
      <w:r w:rsidRPr="00FF756A">
        <w:rPr>
          <w:rFonts w:ascii="Times New Roman" w:hAnsi="Times New Roman"/>
          <w:noProof/>
        </w:rPr>
        <w:t xml:space="preserve"> Çmimi i naftës (dollarë/fuçi). Të dhënat historike për çmimin e naftës bruto Brent, Burimi: Enerdata; Mesatarja botërore e të dhënave të parashikuara. Burimi: World Bank 2021</w:t>
      </w:r>
      <w:bookmarkEnd w:id="511"/>
    </w:p>
    <w:p w14:paraId="24BE31E9" w14:textId="77777777" w:rsidR="00B86FB3" w:rsidRPr="00FF756A" w:rsidRDefault="00B86FB3" w:rsidP="00B86FB3"/>
    <w:p w14:paraId="2F8D70E4" w14:textId="2990342F" w:rsidR="00B86FB3" w:rsidRPr="00FF756A" w:rsidRDefault="00B86FB3" w:rsidP="004A3257">
      <w:pPr>
        <w:pStyle w:val="ListParagraph"/>
        <w:keepNext/>
        <w:keepLines/>
        <w:numPr>
          <w:ilvl w:val="2"/>
          <w:numId w:val="247"/>
        </w:numPr>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rFonts w:eastAsia="Calibri Light"/>
          <w:i/>
          <w:iCs/>
          <w:color w:val="2F5496" w:themeColor="accent1" w:themeShade="BF"/>
        </w:rPr>
      </w:pPr>
      <w:bookmarkStart w:id="512" w:name="_Toc183639273"/>
      <w:r w:rsidRPr="00FF756A">
        <w:rPr>
          <w:rFonts w:eastAsia="Calibri Light"/>
          <w:i/>
          <w:iCs/>
          <w:color w:val="2F5496" w:themeColor="accent1" w:themeShade="BF"/>
        </w:rPr>
        <w:t>Zhvillimi i kostove teknologjike</w:t>
      </w:r>
      <w:bookmarkEnd w:id="512"/>
    </w:p>
    <w:p w14:paraId="6030ABF9" w14:textId="77777777" w:rsidR="00B86FB3" w:rsidRPr="00FF756A" w:rsidRDefault="00B86FB3" w:rsidP="00B86FB3">
      <w:r w:rsidRPr="00FF756A">
        <w:t xml:space="preserve">Në prodhimin e energjisë elektrike, teknologjitë më të rëndësishme të përdorura janë hidrocentralet me rezervuar, pasuar nga hidrocentralet në lumenj të rrjedhshëm dhe më pas nga energjia fotovoltaike, e cila po pëson rritje të vazhdueshme. Termocentrali i Vlorës u përfundua në vitin 2011, por nuk është vënë asnjëherë në punë. Impianti, i cili funksiononte fillimisht me naftë, është planifikuar të rijetësohet duke përdorur gaz natyror falë përfundimit të Gazsjellësit Trans-Adriatik (TAP) për gazin natyror. </w:t>
      </w:r>
    </w:p>
    <w:p w14:paraId="464264CB" w14:textId="57832410" w:rsidR="00B86FB3" w:rsidRPr="00FF756A" w:rsidRDefault="00B86FB3" w:rsidP="00B86FB3">
      <w:r w:rsidRPr="00FF756A">
        <w:t xml:space="preserve">Supozimet rreth kostos së prodhimit të energjisë elektrike janë dhënë në </w:t>
      </w:r>
      <w:r w:rsidRPr="00FF756A">
        <w:fldChar w:fldCharType="begin"/>
      </w:r>
      <w:r w:rsidRPr="00FF756A">
        <w:instrText xml:space="preserve"> REF _Ref71837460 \h  \* MERGEFORMAT </w:instrText>
      </w:r>
      <w:r w:rsidRPr="00FF756A">
        <w:fldChar w:fldCharType="separate"/>
      </w:r>
      <w:r w:rsidRPr="00FF756A">
        <w:t>Tabela</w:t>
      </w:r>
      <w:r w:rsidR="00393DA1" w:rsidRPr="00FF756A">
        <w:t xml:space="preserve"> 30</w:t>
      </w:r>
      <w:r w:rsidRPr="00FF756A">
        <w:fldChar w:fldCharType="end"/>
      </w:r>
      <w:r w:rsidRPr="00FF756A">
        <w:t xml:space="preserve">. Për të përftuar kostot totale të energjisë elektrike, duhet të shtojmë edhe kostot kapitale të investimeve (prodhimi, transmetimi, shpërndarja). Ndonëse teknologjitë konvencionale të prodhimit të energjisë nuk pritet të pësojnë ulje të kostove të investimeve, impiantet eolike dhe diellore do të vijojnë të jenë objekt i një rënieje të ndjeshme në kostot e investimeve. </w:t>
      </w:r>
    </w:p>
    <w:p w14:paraId="7C21AAD1" w14:textId="77777777" w:rsidR="00B86FB3" w:rsidRPr="00FF756A" w:rsidRDefault="00B86FB3" w:rsidP="00B86FB3"/>
    <w:tbl>
      <w:tblPr>
        <w:tblStyle w:val="GridTable5DarkAccent10"/>
        <w:tblW w:w="0" w:type="auto"/>
        <w:tblLook w:val="04A0" w:firstRow="1" w:lastRow="0" w:firstColumn="1" w:lastColumn="0" w:noHBand="0" w:noVBand="1"/>
      </w:tblPr>
      <w:tblGrid>
        <w:gridCol w:w="5949"/>
        <w:gridCol w:w="1417"/>
        <w:gridCol w:w="1696"/>
      </w:tblGrid>
      <w:tr w:rsidR="00B86FB3" w:rsidRPr="00FF756A" w14:paraId="7ECF8B06" w14:textId="77777777" w:rsidTr="006A32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Pr>
          <w:p w14:paraId="32A3036C" w14:textId="77777777" w:rsidR="00B86FB3" w:rsidRPr="00FF756A" w:rsidRDefault="00B86FB3" w:rsidP="00B86FB3">
            <w:pPr>
              <w:rPr>
                <w:rFonts w:cs="Times New Roman"/>
              </w:rPr>
            </w:pPr>
            <w:r w:rsidRPr="00FF756A">
              <w:rPr>
                <w:rFonts w:cs="Times New Roman"/>
              </w:rPr>
              <w:t>Teknologjia e prodhimit të energjisë elektrike</w:t>
            </w:r>
          </w:p>
        </w:tc>
        <w:tc>
          <w:tcPr>
            <w:tcW w:w="1417" w:type="dxa"/>
          </w:tcPr>
          <w:p w14:paraId="32C70480" w14:textId="77777777" w:rsidR="00B86FB3" w:rsidRPr="00FF756A" w:rsidRDefault="00B86FB3" w:rsidP="00B86FB3">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FF756A">
              <w:rPr>
                <w:rFonts w:cs="Times New Roman"/>
              </w:rPr>
              <w:t>2019</w:t>
            </w:r>
          </w:p>
        </w:tc>
        <w:tc>
          <w:tcPr>
            <w:tcW w:w="1696" w:type="dxa"/>
          </w:tcPr>
          <w:p w14:paraId="18047A2B" w14:textId="77777777" w:rsidR="00B86FB3" w:rsidRPr="00FF756A" w:rsidRDefault="00B86FB3" w:rsidP="00B86FB3">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FF756A">
              <w:rPr>
                <w:rFonts w:cs="Times New Roman"/>
              </w:rPr>
              <w:t>2040</w:t>
            </w:r>
          </w:p>
        </w:tc>
      </w:tr>
      <w:tr w:rsidR="00B86FB3" w:rsidRPr="00FF756A" w14:paraId="4B624135"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Pr>
          <w:p w14:paraId="7B15695A" w14:textId="77777777" w:rsidR="00B86FB3" w:rsidRPr="00FF756A" w:rsidRDefault="00B86FB3" w:rsidP="00B86FB3">
            <w:pPr>
              <w:rPr>
                <w:rFonts w:cs="Times New Roman"/>
                <w:b w:val="0"/>
                <w:bCs w:val="0"/>
              </w:rPr>
            </w:pPr>
            <w:r w:rsidRPr="00FF756A">
              <w:rPr>
                <w:rFonts w:cs="Times New Roman"/>
              </w:rPr>
              <w:t>Kostoja fikse e operimit dhe mirëmbajtjes për impiantet hidroelektrike (dollarë/MW</w:t>
            </w:r>
            <w:r w:rsidRPr="00FF756A">
              <w:rPr>
                <w:rFonts w:cs="Times New Roman"/>
                <w:vertAlign w:val="subscript"/>
              </w:rPr>
              <w:t>el</w:t>
            </w:r>
            <w:r w:rsidRPr="00FF756A">
              <w:rPr>
                <w:rFonts w:cs="Times New Roman"/>
              </w:rPr>
              <w:t xml:space="preserve"> në vit)</w:t>
            </w:r>
          </w:p>
        </w:tc>
        <w:tc>
          <w:tcPr>
            <w:tcW w:w="1417" w:type="dxa"/>
          </w:tcPr>
          <w:p w14:paraId="7F778B6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60 000</w:t>
            </w:r>
          </w:p>
        </w:tc>
        <w:tc>
          <w:tcPr>
            <w:tcW w:w="1696" w:type="dxa"/>
          </w:tcPr>
          <w:p w14:paraId="282C6D1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60 000</w:t>
            </w:r>
          </w:p>
        </w:tc>
      </w:tr>
      <w:tr w:rsidR="00B86FB3" w:rsidRPr="00FF756A" w14:paraId="4940A3A5" w14:textId="77777777" w:rsidTr="006A3266">
        <w:tc>
          <w:tcPr>
            <w:cnfStyle w:val="001000000000" w:firstRow="0" w:lastRow="0" w:firstColumn="1" w:lastColumn="0" w:oddVBand="0" w:evenVBand="0" w:oddHBand="0" w:evenHBand="0" w:firstRowFirstColumn="0" w:firstRowLastColumn="0" w:lastRowFirstColumn="0" w:lastRowLastColumn="0"/>
            <w:tcW w:w="5949" w:type="dxa"/>
          </w:tcPr>
          <w:p w14:paraId="136C6207" w14:textId="77777777" w:rsidR="00B86FB3" w:rsidRPr="00FF756A" w:rsidRDefault="00B86FB3" w:rsidP="00B86FB3">
            <w:pPr>
              <w:rPr>
                <w:rFonts w:cs="Times New Roman"/>
                <w:b w:val="0"/>
                <w:bCs w:val="0"/>
              </w:rPr>
            </w:pPr>
            <w:r w:rsidRPr="00FF756A">
              <w:rPr>
                <w:rFonts w:cs="Times New Roman"/>
              </w:rPr>
              <w:t>Kostoja e ndryshueshme e operimit dhe mirëmbajtjes për impiantet fotovoltaike (dollarë/MWh</w:t>
            </w:r>
            <w:r w:rsidRPr="00FF756A">
              <w:rPr>
                <w:rFonts w:cs="Times New Roman"/>
                <w:vertAlign w:val="subscript"/>
              </w:rPr>
              <w:t>el</w:t>
            </w:r>
            <w:r w:rsidRPr="00FF756A">
              <w:rPr>
                <w:rFonts w:cs="Times New Roman"/>
              </w:rPr>
              <w:t xml:space="preserve"> prodhim)</w:t>
            </w:r>
          </w:p>
        </w:tc>
        <w:tc>
          <w:tcPr>
            <w:tcW w:w="1417" w:type="dxa"/>
          </w:tcPr>
          <w:p w14:paraId="3FF95CD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10</w:t>
            </w:r>
          </w:p>
        </w:tc>
        <w:tc>
          <w:tcPr>
            <w:tcW w:w="1696" w:type="dxa"/>
          </w:tcPr>
          <w:p w14:paraId="5C6C7E9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10</w:t>
            </w:r>
          </w:p>
        </w:tc>
      </w:tr>
      <w:tr w:rsidR="00B86FB3" w:rsidRPr="00FF756A" w14:paraId="09FE689B"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Pr>
          <w:p w14:paraId="4FD2CD67" w14:textId="77777777" w:rsidR="00B86FB3" w:rsidRPr="00FF756A" w:rsidRDefault="00B86FB3" w:rsidP="00B86FB3">
            <w:pPr>
              <w:rPr>
                <w:rFonts w:cs="Times New Roman"/>
                <w:b w:val="0"/>
                <w:bCs w:val="0"/>
              </w:rPr>
            </w:pPr>
            <w:r w:rsidRPr="00FF756A">
              <w:rPr>
                <w:rFonts w:cs="Times New Roman"/>
              </w:rPr>
              <w:t>Kostoja e ndryshueshme e operimit dhe mirëmbajtjes së impianteve eolike në tokë (dollarë/MWh</w:t>
            </w:r>
            <w:r w:rsidRPr="00FF756A">
              <w:rPr>
                <w:rFonts w:cs="Times New Roman"/>
                <w:vertAlign w:val="subscript"/>
              </w:rPr>
              <w:t>el</w:t>
            </w:r>
            <w:r w:rsidRPr="00FF756A">
              <w:rPr>
                <w:rFonts w:cs="Times New Roman"/>
              </w:rPr>
              <w:t xml:space="preserve"> prodhim)</w:t>
            </w:r>
          </w:p>
        </w:tc>
        <w:tc>
          <w:tcPr>
            <w:tcW w:w="1417" w:type="dxa"/>
          </w:tcPr>
          <w:p w14:paraId="651EC7C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15</w:t>
            </w:r>
          </w:p>
        </w:tc>
        <w:tc>
          <w:tcPr>
            <w:tcW w:w="1696" w:type="dxa"/>
          </w:tcPr>
          <w:p w14:paraId="68E3E61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15</w:t>
            </w:r>
          </w:p>
        </w:tc>
      </w:tr>
      <w:tr w:rsidR="00B86FB3" w:rsidRPr="00FF756A" w14:paraId="21F60BFE" w14:textId="77777777" w:rsidTr="006A3266">
        <w:tc>
          <w:tcPr>
            <w:cnfStyle w:val="001000000000" w:firstRow="0" w:lastRow="0" w:firstColumn="1" w:lastColumn="0" w:oddVBand="0" w:evenVBand="0" w:oddHBand="0" w:evenHBand="0" w:firstRowFirstColumn="0" w:firstRowLastColumn="0" w:lastRowFirstColumn="0" w:lastRowLastColumn="0"/>
            <w:tcW w:w="5949" w:type="dxa"/>
          </w:tcPr>
          <w:p w14:paraId="7FFFC5E4" w14:textId="77777777" w:rsidR="00B86FB3" w:rsidRPr="00FF756A" w:rsidRDefault="00B86FB3" w:rsidP="00B86FB3">
            <w:pPr>
              <w:rPr>
                <w:rFonts w:cs="Times New Roman"/>
                <w:b w:val="0"/>
                <w:bCs w:val="0"/>
              </w:rPr>
            </w:pPr>
            <w:r w:rsidRPr="00FF756A">
              <w:rPr>
                <w:rFonts w:cs="Times New Roman"/>
              </w:rPr>
              <w:t>Kostoja e ndryshueshme e operimit dhe mirëmbajtjes së termocentraleve me naftë (dollarë/MWh</w:t>
            </w:r>
            <w:r w:rsidRPr="00FF756A">
              <w:rPr>
                <w:rFonts w:cs="Times New Roman"/>
                <w:vertAlign w:val="subscript"/>
              </w:rPr>
              <w:t>el</w:t>
            </w:r>
            <w:r w:rsidRPr="00FF756A">
              <w:rPr>
                <w:rFonts w:cs="Times New Roman"/>
              </w:rPr>
              <w:t xml:space="preserve"> prodhim)*</w:t>
            </w:r>
          </w:p>
        </w:tc>
        <w:tc>
          <w:tcPr>
            <w:tcW w:w="1417" w:type="dxa"/>
          </w:tcPr>
          <w:p w14:paraId="1257B5E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89</w:t>
            </w:r>
          </w:p>
        </w:tc>
        <w:tc>
          <w:tcPr>
            <w:tcW w:w="1696" w:type="dxa"/>
          </w:tcPr>
          <w:p w14:paraId="49E99B4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113</w:t>
            </w:r>
          </w:p>
        </w:tc>
      </w:tr>
      <w:tr w:rsidR="00B86FB3" w:rsidRPr="00FF756A" w14:paraId="2B195B03"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Pr>
          <w:p w14:paraId="7736E104" w14:textId="77777777" w:rsidR="00B86FB3" w:rsidRPr="00FF756A" w:rsidRDefault="00B86FB3" w:rsidP="00B86FB3">
            <w:pPr>
              <w:rPr>
                <w:rFonts w:cs="Times New Roman"/>
                <w:b w:val="0"/>
                <w:bCs w:val="0"/>
              </w:rPr>
            </w:pPr>
            <w:r w:rsidRPr="00FF756A">
              <w:rPr>
                <w:rFonts w:cs="Times New Roman"/>
              </w:rPr>
              <w:t>Kostoja e ndryshueshme e operimit dhe mirëmbajtjes së termocentraleve me gaz natyror (dollarë/MWh</w:t>
            </w:r>
            <w:r w:rsidRPr="00FF756A">
              <w:rPr>
                <w:rFonts w:cs="Times New Roman"/>
                <w:vertAlign w:val="subscript"/>
              </w:rPr>
              <w:t>el</w:t>
            </w:r>
            <w:r w:rsidRPr="00FF756A">
              <w:rPr>
                <w:rFonts w:cs="Times New Roman"/>
              </w:rPr>
              <w:t xml:space="preserve"> prodhim)*</w:t>
            </w:r>
          </w:p>
        </w:tc>
        <w:tc>
          <w:tcPr>
            <w:tcW w:w="1417" w:type="dxa"/>
          </w:tcPr>
          <w:p w14:paraId="0F635D2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60</w:t>
            </w:r>
          </w:p>
        </w:tc>
        <w:tc>
          <w:tcPr>
            <w:tcW w:w="1696" w:type="dxa"/>
          </w:tcPr>
          <w:p w14:paraId="71FA5199" w14:textId="77777777" w:rsidR="00B86FB3" w:rsidRPr="00FF756A" w:rsidRDefault="00B86FB3" w:rsidP="00074587">
            <w:pPr>
              <w:keepNext/>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85</w:t>
            </w:r>
          </w:p>
        </w:tc>
      </w:tr>
    </w:tbl>
    <w:p w14:paraId="5893371A" w14:textId="2F8C2B08" w:rsidR="00B86FB3" w:rsidRPr="00FF756A" w:rsidRDefault="00074587" w:rsidP="00074587">
      <w:pPr>
        <w:pStyle w:val="Caption"/>
        <w:rPr>
          <w:rFonts w:ascii="Times New Roman" w:hAnsi="Times New Roman"/>
        </w:rPr>
      </w:pPr>
      <w:bookmarkStart w:id="513" w:name="_Toc183016494"/>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30</w:t>
      </w:r>
      <w:r w:rsidR="008E7DE9" w:rsidRPr="00FF756A">
        <w:rPr>
          <w:rFonts w:ascii="Times New Roman" w:hAnsi="Times New Roman"/>
          <w:noProof/>
        </w:rPr>
        <w:fldChar w:fldCharType="end"/>
      </w:r>
      <w:r w:rsidRPr="00FF756A">
        <w:rPr>
          <w:rFonts w:ascii="Times New Roman" w:hAnsi="Times New Roman"/>
        </w:rPr>
        <w:t>: Kostot e prodhimit të energjisë elektrike sipas teknologjisë. Burimi: IEA Global Energy Outlook 2020, Analiza e kostove për energjinë hidrike nga agjencia IRENA. Kini parasysh se TEC-i merr për bazë një efiçencë të procesit prej 48,06%</w:t>
      </w:r>
      <w:bookmarkEnd w:id="513"/>
    </w:p>
    <w:p w14:paraId="741913A2" w14:textId="77777777" w:rsidR="004A3DCE" w:rsidRPr="00FF756A" w:rsidRDefault="004A3DCE" w:rsidP="004A3257"/>
    <w:p w14:paraId="22B5CDEB" w14:textId="08BA85B7" w:rsidR="00B86FB3" w:rsidRPr="00FF756A" w:rsidRDefault="00B86FB3" w:rsidP="004A3257">
      <w:pPr>
        <w:pStyle w:val="ListParagraph"/>
        <w:keepNext/>
        <w:keepLines/>
        <w:numPr>
          <w:ilvl w:val="1"/>
          <w:numId w:val="247"/>
        </w:numPr>
        <w:spacing w:before="40" w:after="0"/>
        <w:outlineLvl w:val="1"/>
        <w:rPr>
          <w:rFonts w:eastAsiaTheme="minorEastAsia"/>
          <w:color w:val="365F91"/>
          <w:sz w:val="26"/>
          <w:szCs w:val="26"/>
          <w:lang w:eastAsia="de-DE"/>
        </w:rPr>
      </w:pPr>
      <w:bookmarkStart w:id="514" w:name="_Toc100575607"/>
      <w:bookmarkStart w:id="515" w:name="_Toc182898970"/>
      <w:bookmarkStart w:id="516" w:name="_Toc183639274"/>
      <w:r w:rsidRPr="00FF756A">
        <w:rPr>
          <w:rFonts w:eastAsiaTheme="minorEastAsia"/>
          <w:color w:val="365F91"/>
          <w:sz w:val="26"/>
          <w:szCs w:val="26"/>
          <w:lang w:eastAsia="de-DE"/>
        </w:rPr>
        <w:t>Dimensioni i dekarbonizimit</w:t>
      </w:r>
      <w:bookmarkEnd w:id="514"/>
      <w:bookmarkEnd w:id="515"/>
      <w:bookmarkEnd w:id="516"/>
    </w:p>
    <w:p w14:paraId="33A9724F" w14:textId="77777777" w:rsidR="00B86FB3" w:rsidRPr="00FF756A" w:rsidRDefault="00B86FB3" w:rsidP="00B86FB3"/>
    <w:p w14:paraId="0693148C" w14:textId="14E116BC" w:rsidR="00B86FB3" w:rsidRPr="00FF756A" w:rsidRDefault="00A9432C" w:rsidP="00B86FB3">
      <w:pPr>
        <w:keepNext/>
        <w:keepLines/>
        <w:numPr>
          <w:ilvl w:val="2"/>
          <w:numId w:val="0"/>
        </w:numPr>
        <w:pBdr>
          <w:top w:val="none" w:sz="0" w:space="0" w:color="auto"/>
          <w:left w:val="none" w:sz="0" w:space="0" w:color="auto"/>
          <w:bottom w:val="none" w:sz="0" w:space="0" w:color="auto"/>
          <w:right w:val="none" w:sz="0" w:space="0" w:color="auto"/>
          <w:between w:val="none" w:sz="0" w:space="0" w:color="auto"/>
        </w:pBdr>
        <w:spacing w:before="40" w:after="120" w:line="240" w:lineRule="auto"/>
        <w:ind w:left="720" w:hanging="720"/>
        <w:outlineLvl w:val="2"/>
        <w:rPr>
          <w:rFonts w:eastAsia="Calibri Light"/>
          <w:color w:val="1F3763" w:themeColor="accent1" w:themeShade="7F"/>
          <w:sz w:val="24"/>
          <w:szCs w:val="24"/>
        </w:rPr>
      </w:pPr>
      <w:bookmarkStart w:id="517" w:name="_Toc71832848"/>
      <w:bookmarkStart w:id="518" w:name="_Toc72331015"/>
      <w:bookmarkStart w:id="519" w:name="_Toc75616147"/>
      <w:bookmarkStart w:id="520" w:name="_Toc100575608"/>
      <w:bookmarkStart w:id="521" w:name="_Toc182898971"/>
      <w:bookmarkStart w:id="522" w:name="_Toc183639275"/>
      <w:r w:rsidRPr="00FF756A">
        <w:rPr>
          <w:rFonts w:eastAsia="Calibri Light"/>
          <w:color w:val="1F3763" w:themeColor="accent1" w:themeShade="7F"/>
          <w:sz w:val="24"/>
          <w:szCs w:val="24"/>
        </w:rPr>
        <w:t xml:space="preserve">4.2.1 </w:t>
      </w:r>
      <w:r w:rsidR="00B86FB3" w:rsidRPr="00FF756A">
        <w:rPr>
          <w:rFonts w:eastAsia="Calibri Light"/>
          <w:color w:val="1F3763" w:themeColor="accent1" w:themeShade="7F"/>
          <w:sz w:val="24"/>
          <w:szCs w:val="24"/>
        </w:rPr>
        <w:t>Emetimet dhe largimet e GES-ve</w:t>
      </w:r>
      <w:bookmarkEnd w:id="517"/>
      <w:bookmarkEnd w:id="518"/>
      <w:bookmarkEnd w:id="519"/>
      <w:bookmarkEnd w:id="520"/>
      <w:bookmarkEnd w:id="521"/>
      <w:bookmarkEnd w:id="522"/>
    </w:p>
    <w:p w14:paraId="5387FC26" w14:textId="77777777" w:rsidR="00B86FB3" w:rsidRPr="00FF756A" w:rsidRDefault="00B86FB3" w:rsidP="00B86FB3"/>
    <w:p w14:paraId="22E12DF9" w14:textId="77777777" w:rsidR="00B86FB3" w:rsidRPr="00FF756A" w:rsidRDefault="00B86FB3" w:rsidP="004A3257">
      <w:pPr>
        <w:pStyle w:val="Heading4"/>
        <w:numPr>
          <w:ilvl w:val="0"/>
          <w:numId w:val="0"/>
        </w:numPr>
        <w:rPr>
          <w:rFonts w:cs="Times New Roman"/>
        </w:rPr>
      </w:pPr>
      <w:bookmarkStart w:id="523" w:name="_Toc183639276"/>
      <w:r w:rsidRPr="00FF756A">
        <w:rPr>
          <w:rFonts w:cs="Times New Roman"/>
        </w:rPr>
        <w:t>Tendencat në shkarkimet dhe eliminimin aktual të GES-ve sipas ETS-së së BE-së, përpjekjet e përbashkëta dhe sektorët LULUCF, si dhe sektorët e ndryshëm të energjisë</w:t>
      </w:r>
      <w:bookmarkEnd w:id="523"/>
    </w:p>
    <w:p w14:paraId="33AD8013" w14:textId="77777777" w:rsidR="00B86FB3" w:rsidRPr="00FF756A" w:rsidRDefault="00B86FB3" w:rsidP="00B86FB3">
      <w:r w:rsidRPr="00FF756A">
        <w:t xml:space="preserve">Tendencat afatgjata lidhur me shkarkimet e GES-ve nuk mund të vlerësohen me lehtësi për Shqipërinë, për shkak të statistikave të kufizuara në dispozicion, veçanërisht në sektorët joenergjetikë. Disa burime të dhënash, të cilat bien pjesërisht ndesh me njëra-tjetrën, janë vlerësuar dhe hartuar sipas njohurive më të mira, duke u bazuar kryesisht në </w:t>
      </w:r>
      <w:sdt>
        <w:sdtPr>
          <w:alias w:val="Për të modifikuar, shihni citavi.com/edit"/>
          <w:tag w:val="CitaviPlaceholder#b80b8066-187d-4039-8cac-168cd9b3eab6"/>
          <w:id w:val="1560056568"/>
          <w:placeholder>
            <w:docPart w:val="B465850AA3B44BEE8DC8E6B89408B765"/>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}</w:instrText>
          </w:r>
          <w:r w:rsidRPr="00FF756A">
            <w:fldChar w:fldCharType="separate"/>
          </w:r>
          <w:r w:rsidRPr="00FF756A">
            <w:t>INSTAT</w:t>
          </w:r>
          <w:r w:rsidRPr="00FF756A">
            <w:fldChar w:fldCharType="end"/>
          </w:r>
        </w:sdtContent>
      </w:sdt>
      <w:r w:rsidRPr="00FF756A">
        <w:t xml:space="preserve"> </w:t>
      </w:r>
      <w:sdt>
        <w:sdtPr>
          <w:alias w:val="Për të modifikuar, shihni citavi.com/edit"/>
          <w:tag w:val="CitaviPlaceholder#4d108961-c9c8-407e-adba-41bf193cbc57"/>
          <w:id w:val="1067928649"/>
          <w:placeholder>
            <w:docPart w:val="B465850AA3B44BEE8DC8E6B89408B765"/>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}</w:instrText>
          </w:r>
          <w:r w:rsidRPr="00FF756A">
            <w:fldChar w:fldCharType="separate"/>
          </w:r>
          <w:r w:rsidRPr="00FF756A">
            <w:t>(2021)</w:t>
          </w:r>
          <w:r w:rsidRPr="00FF756A">
            <w:fldChar w:fldCharType="end"/>
          </w:r>
        </w:sdtContent>
      </w:sdt>
      <w:r w:rsidRPr="00FF756A">
        <w:t xml:space="preserve"> dhe në të dhënat e siguruara nga ekspertët vendas, konkretisht përmes Raportit Përditësues Dyvjeçar </w:t>
      </w:r>
      <w:sdt>
        <w:sdtPr>
          <w:alias w:val="Për të modifikuar, shihni citavi.com/edit"/>
          <w:tag w:val="CitaviPlaceholder#91a954bb-f894-4a8e-8242-951511b20133"/>
          <w:id w:val="-183445781"/>
          <w:placeholder>
            <w:docPart w:val="FF433B800BC94E6EB9A8EE7A1AB0A5BD"/>
          </w:placeholder>
        </w:sdtPr>
        <w:sdtEndPr/>
        <w:sdtContent>
          <w:r w:rsidRPr="00FF756A">
            <w:fldChar w:fldCharType="begin"/>
          </w:r>
          <w:r w:rsidRPr="00FF756A">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}</w:instrText>
          </w:r>
          <w:r w:rsidRPr="00FF756A">
            <w:fldChar w:fldCharType="separate"/>
          </w:r>
          <w:r w:rsidRPr="00FF756A">
            <w:t>(Ministria e Turizmit dhe Mjedisit 2021)</w:t>
          </w:r>
          <w:r w:rsidRPr="00FF756A">
            <w:fldChar w:fldCharType="end"/>
          </w:r>
        </w:sdtContent>
      </w:sdt>
      <w:r w:rsidRPr="00FF756A">
        <w:t xml:space="preserve">. Dokumentacioni i detajuar i modelit mund të vihet në dispozicion. Bilanci i energjisë sipas nënsektorëve ka qenë i disponueshëm vetëm duke filluar nga viti 2016. </w:t>
      </w:r>
    </w:p>
    <w:p w14:paraId="221731D8" w14:textId="2E14254E" w:rsidR="00B86FB3" w:rsidRPr="00FF756A" w:rsidRDefault="00B86FB3" w:rsidP="00B86FB3">
      <w:r w:rsidRPr="00FF756A">
        <w:t>Për këtë arsye, tendencat historike paraqiten këtu duke filluar nga vit</w:t>
      </w:r>
      <w:r w:rsidR="00773988" w:rsidRPr="00FF756A">
        <w:t>i</w:t>
      </w:r>
      <w:r w:rsidRPr="00FF756A">
        <w:t xml:space="preserve"> 2016. Tendencat aktuale jepen deri në vitin 2022, duke e përfshirë edhe atë vit. Modelimi që qëndron në bazë të këtij dokumenti e nis parashikimin nga viti 2023. Për të përmbledhur më mirë zhvillimet historike dhe parashikimet e ardhshme bazuar në masat ekzistuese, figurat dhe tabelat paraqiten këtu vetëm një herë, në seksionin e mëposhtëm. </w:t>
      </w:r>
    </w:p>
    <w:p w14:paraId="6EDFF63F" w14:textId="77777777" w:rsidR="00B86FB3" w:rsidRPr="00FF756A" w:rsidRDefault="00B86FB3" w:rsidP="00B86FB3"/>
    <w:p w14:paraId="20F6B35E" w14:textId="77777777" w:rsidR="00B86FB3" w:rsidRPr="00FF756A" w:rsidRDefault="00B86FB3" w:rsidP="004A3257">
      <w:pPr>
        <w:keepNext/>
        <w:keepLines/>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rFonts w:eastAsia="Calibri Light"/>
          <w:i/>
          <w:iCs/>
          <w:color w:val="2F5496" w:themeColor="accent1" w:themeShade="BF"/>
        </w:rPr>
      </w:pPr>
      <w:bookmarkStart w:id="524" w:name="_Toc183639277"/>
      <w:r w:rsidRPr="00FF756A">
        <w:rPr>
          <w:rFonts w:eastAsia="Calibri Light"/>
          <w:i/>
          <w:iCs/>
          <w:color w:val="2F5496" w:themeColor="accent1" w:themeShade="BF"/>
        </w:rPr>
        <w:t>Parashikimet e zhvillimeve sektoriale me politikat dhe masat ekzistuese në nivel kombëtar dhe BE-je, të paktën deri në vitin 2040 (duke përfshirë edhe ato për vitin 2030)</w:t>
      </w:r>
      <w:bookmarkEnd w:id="524"/>
    </w:p>
    <w:p w14:paraId="334BE6F4" w14:textId="666E8EC3" w:rsidR="00B86FB3" w:rsidRPr="00FF756A" w:rsidRDefault="00B86FB3" w:rsidP="00B86FB3">
      <w:r w:rsidRPr="00FF756A">
        <w:t xml:space="preserve">Duke marrë në konsideratë masat e klasifikuara si WEM në kreun 3, dhe të përmbledhura në </w:t>
      </w:r>
      <w:r w:rsidRPr="00FF756A">
        <w:fldChar w:fldCharType="begin"/>
      </w:r>
      <w:r w:rsidRPr="00FF756A">
        <w:instrText xml:space="preserve"> REF _Ref75377339 \h </w:instrText>
      </w:r>
      <w:r w:rsidR="00FF756A" w:rsidRPr="00FF756A">
        <w:instrText xml:space="preserve"> \* MERGEFORMAT </w:instrText>
      </w:r>
      <w:r w:rsidRPr="00FF756A">
        <w:fldChar w:fldCharType="separate"/>
      </w:r>
      <w:r w:rsidRPr="00FF756A">
        <w:t xml:space="preserve">Tabela </w:t>
      </w:r>
      <w:r w:rsidRPr="00FF756A">
        <w:fldChar w:fldCharType="end"/>
      </w:r>
      <w:r w:rsidR="00656744" w:rsidRPr="00FF756A">
        <w:t>29</w:t>
      </w:r>
      <w:r w:rsidRPr="00FF756A">
        <w:t xml:space="preserve">, imazhet dhe tabelat e mëposhtme paraqesin shkarkimet e GES-ve për sektorë të ndryshëm. Sipas rastit, shkarkimet ndahen në nënsektorë, duke shfaqur një nivel në rritje të detajimit sektorial. </w:t>
      </w:r>
    </w:p>
    <w:p w14:paraId="01E7F543" w14:textId="3EAA49E2" w:rsidR="00B86FB3" w:rsidRPr="00FF756A" w:rsidRDefault="00B86FB3" w:rsidP="00B86FB3">
      <w:r w:rsidRPr="00FF756A">
        <w:t xml:space="preserve">Për të qenë sa më të qartë, këto figura tregojnë vlerat për tendencat historike nga viti 2016 deri në vitin 2022, të pasuara nga parashikimet deri në vitin 2050. </w:t>
      </w:r>
      <w:r w:rsidRPr="00FF756A">
        <w:fldChar w:fldCharType="begin"/>
      </w:r>
      <w:r w:rsidRPr="00FF756A">
        <w:instrText xml:space="preserve"> REF _Ref71802728 \h  \* MERGEFORMAT </w:instrText>
      </w:r>
      <w:r w:rsidRPr="00FF756A">
        <w:fldChar w:fldCharType="separate"/>
      </w:r>
      <w:r w:rsidRPr="00FF756A">
        <w:t xml:space="preserve">Tabela </w:t>
      </w:r>
      <w:r w:rsidR="00B7319D" w:rsidRPr="00FF756A">
        <w:t>31</w:t>
      </w:r>
      <w:r w:rsidRPr="00FF756A">
        <w:fldChar w:fldCharType="end"/>
      </w:r>
      <w:r w:rsidRPr="00FF756A">
        <w:t xml:space="preserve"> rendit vlerat historike të paraqitura në figura, si dhe parashikimet për vitet 2020, 2025, 2030, 2040 dhe 2050. </w:t>
      </w:r>
    </w:p>
    <w:p w14:paraId="3AB8BDEB" w14:textId="77777777" w:rsidR="00B86FB3" w:rsidRPr="00FF756A" w:rsidRDefault="00B86FB3" w:rsidP="00B86FB3"/>
    <w:p w14:paraId="5C5AAB27" w14:textId="4CFCFA72" w:rsidR="00B86FB3" w:rsidRPr="00FF756A" w:rsidRDefault="00B86FB3" w:rsidP="00B86FB3">
      <w:r w:rsidRPr="00FF756A">
        <w:t>Tendenca e përgjithshme e shkarkimeve është në rritje (</w:t>
      </w:r>
      <w:r w:rsidRPr="00FF756A">
        <w:fldChar w:fldCharType="begin"/>
      </w:r>
      <w:r w:rsidRPr="00FF756A">
        <w:instrText xml:space="preserve"> REF _Ref75377798 \h  \* MERGEFORMAT </w:instrText>
      </w:r>
      <w:r w:rsidRPr="00FF756A">
        <w:fldChar w:fldCharType="separate"/>
      </w:r>
      <w:r w:rsidRPr="00FF756A">
        <w:t xml:space="preserve">Figura </w:t>
      </w:r>
      <w:r w:rsidR="00B7319D" w:rsidRPr="00FF756A">
        <w:t>30</w:t>
      </w:r>
      <w:r w:rsidRPr="00FF756A">
        <w:fldChar w:fldCharType="end"/>
      </w:r>
      <w:r w:rsidRPr="00FF756A">
        <w:t xml:space="preserve">), me shkarkime të kufizuara nga sektori i transformimit të energjisë. Në vitet me klimë të thatë (një në pesë vite pas vitit 2022), shkarkimet rriten me rritjen e përdorimit të termocentralit. </w:t>
      </w:r>
      <w:r w:rsidRPr="00FF756A">
        <w:fldChar w:fldCharType="begin"/>
      </w:r>
      <w:r w:rsidRPr="00FF756A">
        <w:instrText xml:space="preserve"> REF _Ref75377929 \h  \* MERGEFORMAT </w:instrText>
      </w:r>
      <w:r w:rsidRPr="00FF756A">
        <w:fldChar w:fldCharType="separate"/>
      </w:r>
      <w:r w:rsidRPr="00FF756A">
        <w:t>Figura 3</w:t>
      </w:r>
      <w:r w:rsidRPr="00FF756A">
        <w:fldChar w:fldCharType="end"/>
      </w:r>
      <w:r w:rsidR="00B7319D" w:rsidRPr="00FF756A">
        <w:t>1</w:t>
      </w:r>
      <w:r w:rsidRPr="00FF756A">
        <w:t xml:space="preserve"> tregon shkarkimet e drejtpërdrejta nga sektorët me kërkesë për energji. Përqindja më e lartë e shkarkimeve vjen nga sektori i transportit, pasuar nga industria. Kini parasysh se këto shkarkime industriale janë vetëm shkarkimet në lidhje me energjinë. </w:t>
      </w:r>
    </w:p>
    <w:p w14:paraId="1D64CC4A" w14:textId="77777777" w:rsidR="00B86FB3" w:rsidRPr="00FF756A" w:rsidRDefault="00B86FB3" w:rsidP="00B86FB3">
      <w:pPr>
        <w:keepNext/>
      </w:pPr>
    </w:p>
    <w:p w14:paraId="22D150DF" w14:textId="77777777" w:rsidR="003F200D" w:rsidRPr="00FF756A" w:rsidRDefault="00B86FB3" w:rsidP="003F200D">
      <w:pPr>
        <w:keepNext/>
        <w:spacing w:line="240" w:lineRule="auto"/>
      </w:pPr>
      <w:r w:rsidRPr="00FF756A">
        <w:rPr>
          <w:rFonts w:eastAsia="Times New Roman"/>
          <w:b/>
          <w:bCs/>
          <w:noProof/>
          <w:color w:val="4F81BD"/>
          <w:sz w:val="18"/>
          <w:szCs w:val="18"/>
          <w:lang w:val="en-US"/>
        </w:rPr>
        <w:drawing>
          <wp:inline distT="0" distB="0" distL="0" distR="0" wp14:anchorId="698087F4" wp14:editId="47669C2B">
            <wp:extent cx="5760720" cy="3454400"/>
            <wp:effectExtent l="0" t="0" r="0" b="0"/>
            <wp:docPr id="772269349" name="Picture 15" descr="A graph of a number of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60720" cy="3454400"/>
                    </a:xfrm>
                    <a:prstGeom prst="rect">
                      <a:avLst/>
                    </a:prstGeom>
                  </pic:spPr>
                </pic:pic>
              </a:graphicData>
            </a:graphic>
          </wp:inline>
        </w:drawing>
      </w:r>
    </w:p>
    <w:p w14:paraId="3EFDF38C" w14:textId="014A9F57" w:rsidR="00B86FB3" w:rsidRPr="00FF756A" w:rsidRDefault="003F200D" w:rsidP="003F200D">
      <w:pPr>
        <w:pStyle w:val="Caption"/>
        <w:rPr>
          <w:rFonts w:ascii="Times New Roman" w:hAnsi="Times New Roman"/>
        </w:rPr>
      </w:pPr>
      <w:bookmarkStart w:id="525" w:name="_Toc183016560"/>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30</w:t>
      </w:r>
      <w:r w:rsidR="008E7DE9" w:rsidRPr="00FF756A">
        <w:rPr>
          <w:rFonts w:ascii="Times New Roman" w:hAnsi="Times New Roman"/>
          <w:noProof/>
        </w:rPr>
        <w:fldChar w:fldCharType="end"/>
      </w:r>
      <w:r w:rsidRPr="00FF756A">
        <w:rPr>
          <w:rFonts w:ascii="Times New Roman" w:hAnsi="Times New Roman"/>
        </w:rPr>
        <w:t>: Shkarkimet e GES-ve (CO2eq) për ekonominë në tërësi për periudhën 2016-2023 dhe projeksionet për vitet 2024 deri në 2050</w:t>
      </w:r>
      <w:bookmarkEnd w:id="525"/>
    </w:p>
    <w:p w14:paraId="2F751255" w14:textId="77777777" w:rsidR="00B86FB3" w:rsidRPr="00FF756A" w:rsidRDefault="00B86FB3" w:rsidP="00B86FB3"/>
    <w:p w14:paraId="57522666" w14:textId="77777777" w:rsidR="003F200D" w:rsidRPr="00FF756A" w:rsidRDefault="00B86FB3" w:rsidP="003F200D">
      <w:pPr>
        <w:keepNext/>
      </w:pPr>
      <w:r w:rsidRPr="00FF756A">
        <w:rPr>
          <w:noProof/>
          <w:lang w:val="en-US"/>
        </w:rPr>
        <w:drawing>
          <wp:inline distT="0" distB="0" distL="0" distR="0" wp14:anchorId="496B876B" wp14:editId="4BBAFB12">
            <wp:extent cx="5760720" cy="3456305"/>
            <wp:effectExtent l="0" t="0" r="0" b="0"/>
            <wp:docPr id="868728735" name="Picture 3"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728735" name="Picture 3" descr="A graph of different colored bars&#10;&#10;Description automatically generated with medium confidenc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394D23DE" w14:textId="608D32DA" w:rsidR="00B86FB3" w:rsidRPr="00FF756A" w:rsidRDefault="003F200D" w:rsidP="003F200D">
      <w:pPr>
        <w:pStyle w:val="Caption"/>
        <w:rPr>
          <w:rFonts w:ascii="Times New Roman" w:hAnsi="Times New Roman"/>
        </w:rPr>
      </w:pPr>
      <w:bookmarkStart w:id="526" w:name="_Toc183016561"/>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31</w:t>
      </w:r>
      <w:r w:rsidR="008E7DE9" w:rsidRPr="00FF756A">
        <w:rPr>
          <w:rFonts w:ascii="Times New Roman" w:hAnsi="Times New Roman"/>
          <w:noProof/>
        </w:rPr>
        <w:fldChar w:fldCharType="end"/>
      </w:r>
      <w:r w:rsidRPr="00FF756A">
        <w:rPr>
          <w:rFonts w:ascii="Times New Roman" w:hAnsi="Times New Roman"/>
        </w:rPr>
        <w:t>: Shkarkimet e drejtpërdrejta të GES-ve (CO2eq) për sektorët me kërkesë për energji për periudhën 2016-2023 dhe sipas parashikimit për vitet 2024-2050</w:t>
      </w:r>
      <w:bookmarkEnd w:id="526"/>
    </w:p>
    <w:p w14:paraId="5D6074C0" w14:textId="77777777" w:rsidR="00B86FB3" w:rsidRPr="00FF756A" w:rsidRDefault="00B86FB3" w:rsidP="00B86FB3"/>
    <w:p w14:paraId="586BC7B5" w14:textId="6D7D445A" w:rsidR="00B86FB3" w:rsidRPr="00FF756A" w:rsidRDefault="00B86FB3" w:rsidP="00B86FB3">
      <w:r w:rsidRPr="00FF756A">
        <w:t>Figurat e mëposhtme (</w:t>
      </w:r>
      <w:r w:rsidR="0067667D" w:rsidRPr="00FF756A">
        <w:t xml:space="preserve">Figura 32 -36) </w:t>
      </w:r>
      <w:r w:rsidRPr="00FF756A">
        <w:t xml:space="preserve">tregojnë shkarkimet nga nënsektorë të ndryshëm. Në sektorin e banesave, ndryshimi i strukturës së strehimit dhe ndryshimi i teknologjisë për ngrohjen dhe ujin e ngrohtë rezulton në një reduktim modest të shkarkimeve. Në sektorin e shërbimeve, totali i shkarkimeve rritet ndjeshëm, si pasojë e rritjes së veprimtarisë ekonomike në këtë sektor. Teksa kërkesa për energji në industri (e nxitur nga rritja e prodhimit) pëson rritje së bashku me PBB-në, niveli i shkarkimeve rritet ndjeshëm, ku sektori minerar, kryesisht prodhimi i çimentos, mbetet deri më tani burimi më madhor i shkarkimeve. Është e rëndësishme të theksohet se, në këtë nënsektor, dekarbonizimi është mjaft i vështirë dhe elektrifikimi është i rrallë, ndryshe nga sektorë të tjerë si p.sh. prodhimi i aliazheve të hekurit, i cili kryhet në furrnalta me hark elektrik pa shkarkime lokale të lidhura me energjinë. Shkarkimet nga sektori i transportit vijojnë të rriten, ndërkohë që elektrifikimi i transportit rrugor nuk arrin të kompensojë rritjen e kërkesës për lëvizshmëri. </w:t>
      </w:r>
    </w:p>
    <w:p w14:paraId="56BD7ABB" w14:textId="77777777" w:rsidR="003F200D" w:rsidRPr="00FF756A" w:rsidRDefault="00B86FB3" w:rsidP="003F200D">
      <w:pPr>
        <w:keepNext/>
      </w:pPr>
      <w:r w:rsidRPr="00FF756A">
        <w:rPr>
          <w:noProof/>
          <w:lang w:val="en-US"/>
        </w:rPr>
        <w:drawing>
          <wp:inline distT="0" distB="0" distL="0" distR="0" wp14:anchorId="7E8110D7" wp14:editId="387012B9">
            <wp:extent cx="5760720" cy="3456305"/>
            <wp:effectExtent l="0" t="0" r="0" b="0"/>
            <wp:docPr id="1434641917" name="Picture 4" descr="A graph of a number of different colored bars with Grand Sierra Resort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641917" name="Picture 4" descr="A graph of a number of different colored bars with Grand Sierra Resort in the background&#10;&#10;Description automatically generated with medium confidenc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39D9626A" w14:textId="41D38CC0" w:rsidR="00B86FB3" w:rsidRPr="00FF756A" w:rsidRDefault="003F200D" w:rsidP="003F200D">
      <w:pPr>
        <w:pStyle w:val="Caption"/>
        <w:rPr>
          <w:rFonts w:ascii="Times New Roman" w:hAnsi="Times New Roman"/>
        </w:rPr>
      </w:pPr>
      <w:bookmarkStart w:id="527" w:name="_Toc183016562"/>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32</w:t>
      </w:r>
      <w:r w:rsidR="008E7DE9" w:rsidRPr="00FF756A">
        <w:rPr>
          <w:rFonts w:ascii="Times New Roman" w:hAnsi="Times New Roman"/>
          <w:noProof/>
        </w:rPr>
        <w:fldChar w:fldCharType="end"/>
      </w:r>
      <w:r w:rsidRPr="00FF756A">
        <w:rPr>
          <w:rFonts w:ascii="Times New Roman" w:hAnsi="Times New Roman"/>
        </w:rPr>
        <w:t>: Shkarkimet e drejtpërdrejta të GES-ve (CO2eq) për sektorin e banesave për periudhën 2016-2023 dhe sipas parashikimit për vitet 2024-2050</w:t>
      </w:r>
      <w:bookmarkEnd w:id="527"/>
    </w:p>
    <w:p w14:paraId="3FF040B4" w14:textId="77777777" w:rsidR="00B86FB3" w:rsidRPr="00FF756A" w:rsidRDefault="00B86FB3" w:rsidP="00B86FB3"/>
    <w:p w14:paraId="49B730A3" w14:textId="77777777" w:rsidR="003F200D" w:rsidRPr="00FF756A" w:rsidRDefault="00B86FB3" w:rsidP="003F200D">
      <w:pPr>
        <w:keepNext/>
      </w:pPr>
      <w:r w:rsidRPr="00FF756A">
        <w:rPr>
          <w:noProof/>
          <w:lang w:val="en-US"/>
        </w:rPr>
        <w:drawing>
          <wp:inline distT="0" distB="0" distL="0" distR="0" wp14:anchorId="3E8B1E8C" wp14:editId="7A1FA471">
            <wp:extent cx="5760720" cy="3456305"/>
            <wp:effectExtent l="0" t="0" r="0" b="0"/>
            <wp:docPr id="1957894987" name="Picture 5" descr="A graph of a number of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894987" name="Picture 5" descr="A graph of a number of bars&#10;&#10;Description automatically generated with medium confidenc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7EEF0344" w14:textId="64998EFC" w:rsidR="00B86FB3" w:rsidRPr="00FF756A" w:rsidRDefault="003F200D" w:rsidP="003F200D">
      <w:pPr>
        <w:pStyle w:val="Caption"/>
        <w:rPr>
          <w:rFonts w:ascii="Times New Roman" w:hAnsi="Times New Roman"/>
        </w:rPr>
      </w:pPr>
      <w:bookmarkStart w:id="528" w:name="_Toc183016563"/>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33</w:t>
      </w:r>
      <w:r w:rsidR="008E7DE9" w:rsidRPr="00FF756A">
        <w:rPr>
          <w:rFonts w:ascii="Times New Roman" w:hAnsi="Times New Roman"/>
          <w:noProof/>
        </w:rPr>
        <w:fldChar w:fldCharType="end"/>
      </w:r>
      <w:r w:rsidRPr="00FF756A">
        <w:rPr>
          <w:rFonts w:ascii="Times New Roman" w:hAnsi="Times New Roman"/>
        </w:rPr>
        <w:t>: Shkarkimet e drejtpërdrejta të GES-ve (CO2eq) për sektorin e shërbimeve për periudhën 2016-2023 dhe sipas parashikimit për vitet 2024-2050</w:t>
      </w:r>
      <w:bookmarkEnd w:id="528"/>
    </w:p>
    <w:p w14:paraId="402C1A90" w14:textId="77777777" w:rsidR="00B86FB3" w:rsidRPr="00FF756A" w:rsidRDefault="00B86FB3" w:rsidP="00B86FB3"/>
    <w:p w14:paraId="1797F2D6" w14:textId="77777777" w:rsidR="003F200D" w:rsidRPr="00FF756A" w:rsidRDefault="00B86FB3" w:rsidP="003F200D">
      <w:pPr>
        <w:keepNext/>
      </w:pPr>
      <w:r w:rsidRPr="00FF756A">
        <w:rPr>
          <w:noProof/>
          <w:lang w:val="en-US"/>
        </w:rPr>
        <w:drawing>
          <wp:inline distT="0" distB="0" distL="0" distR="0" wp14:anchorId="2AF47D1C" wp14:editId="007070F8">
            <wp:extent cx="5760720" cy="3456305"/>
            <wp:effectExtent l="0" t="0" r="0" b="0"/>
            <wp:docPr id="228061515" name="Picture 6" descr="A graph of a number of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61515" name="Picture 6" descr="A graph of a number of bars&#10;&#10;Description automatically generated with medium confidenc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3B4BB510" w14:textId="0DD344B9" w:rsidR="003F200D" w:rsidRPr="00FF756A" w:rsidRDefault="003F200D" w:rsidP="003F200D">
      <w:pPr>
        <w:pStyle w:val="Caption"/>
        <w:rPr>
          <w:rFonts w:ascii="Times New Roman" w:hAnsi="Times New Roman"/>
        </w:rPr>
      </w:pPr>
      <w:bookmarkStart w:id="529" w:name="_Toc183016564"/>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34</w:t>
      </w:r>
      <w:r w:rsidR="008E7DE9" w:rsidRPr="00FF756A">
        <w:rPr>
          <w:rFonts w:ascii="Times New Roman" w:hAnsi="Times New Roman"/>
          <w:noProof/>
        </w:rPr>
        <w:fldChar w:fldCharType="end"/>
      </w:r>
      <w:r w:rsidRPr="00FF756A">
        <w:rPr>
          <w:rFonts w:ascii="Times New Roman" w:hAnsi="Times New Roman"/>
        </w:rPr>
        <w:t>: Shkarkimet e drejtpërdrejta të GES-ve (CO2eq) për industrinë (me kërkesë për energji) për vitet 2016-2023 dhe sipas parashikimit për vitet 2024-2050</w:t>
      </w:r>
      <w:bookmarkEnd w:id="529"/>
    </w:p>
    <w:p w14:paraId="7703D86E" w14:textId="46932FA7" w:rsidR="00B86FB3" w:rsidRPr="00FF756A" w:rsidRDefault="00B86FB3" w:rsidP="00B86FB3">
      <w:pPr>
        <w:rPr>
          <w:noProof/>
        </w:rPr>
      </w:pPr>
      <w:r w:rsidRPr="00FF756A">
        <w:t xml:space="preserve"> </w:t>
      </w:r>
      <w:bookmarkStart w:id="530" w:name="_Toc76466887"/>
    </w:p>
    <w:bookmarkEnd w:id="530"/>
    <w:p w14:paraId="5E733299" w14:textId="77777777" w:rsidR="003F200D" w:rsidRPr="00FF756A" w:rsidRDefault="00B86FB3" w:rsidP="003F200D">
      <w:pPr>
        <w:keepNext/>
      </w:pPr>
      <w:r w:rsidRPr="00FF756A">
        <w:rPr>
          <w:noProof/>
          <w:lang w:val="en-US"/>
        </w:rPr>
        <w:drawing>
          <wp:inline distT="0" distB="0" distL="0" distR="0" wp14:anchorId="74AA8CBE" wp14:editId="5F3EBBE7">
            <wp:extent cx="5760720" cy="3456305"/>
            <wp:effectExtent l="0" t="0" r="0" b="0"/>
            <wp:docPr id="785883833" name="Picture 7"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883833" name="Picture 7" descr="A graph of a number of people&#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4620BBD5" w14:textId="010CCEA7" w:rsidR="00B86FB3" w:rsidRPr="00FF756A" w:rsidRDefault="003F200D" w:rsidP="003F200D">
      <w:pPr>
        <w:pStyle w:val="Caption"/>
        <w:rPr>
          <w:rFonts w:ascii="Times New Roman" w:hAnsi="Times New Roman"/>
        </w:rPr>
      </w:pPr>
      <w:bookmarkStart w:id="531" w:name="_Toc183016565"/>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35</w:t>
      </w:r>
      <w:r w:rsidR="008E7DE9" w:rsidRPr="00FF756A">
        <w:rPr>
          <w:rFonts w:ascii="Times New Roman" w:hAnsi="Times New Roman"/>
          <w:noProof/>
        </w:rPr>
        <w:fldChar w:fldCharType="end"/>
      </w:r>
      <w:r w:rsidRPr="00FF756A">
        <w:rPr>
          <w:rFonts w:ascii="Times New Roman" w:hAnsi="Times New Roman"/>
        </w:rPr>
        <w:t>: Shkarkimet e drejtpërdrejta të GES-ve (CO2eq) për sektorin e transportit për vitet 2016-2023 dhe sipas parashikimit për vitet 2024-2050</w:t>
      </w:r>
      <w:bookmarkEnd w:id="531"/>
    </w:p>
    <w:p w14:paraId="5D9DC26C" w14:textId="77777777" w:rsidR="00B86FB3" w:rsidRPr="00FF756A" w:rsidRDefault="00B86FB3" w:rsidP="00B86FB3"/>
    <w:p w14:paraId="08388207" w14:textId="77777777" w:rsidR="00B86FB3" w:rsidRPr="00FF756A" w:rsidRDefault="00B86FB3" w:rsidP="00B86FB3">
      <w:r w:rsidRPr="00FF756A">
        <w:t xml:space="preserve">Shkarkimet nga sektori i transformimit të energjisë përcaktohen pjesërisht nga prodhimi i energjisë elektrike në termocentralin e Vlorës (TEC), i cili do të rivihet në punë duke përdorur gaz natyror. Sidoqoftë, me hidrocentralet ekzistuese dhe planet përkatëse, përdorimi i këtij centrali është i kufizuar fillimisht në vitet me klimë të thatë me disponueshmëri të ulët të burimeve ujore. Kërkesa për energji elektrike do të rritet në nivele të tilla që kërkojnë vënien në punë të centralit për çdo vit vetëm pas vitit 2032. Krahas gjenerimit të energjisë, shkarkimet nga sektori i transformimit të energjisë përcaktohen nga aktiviteti i nxjerrjes dhe rafinimit të naftës, i cili mbetet konstant në skenarin WEM. </w:t>
      </w:r>
    </w:p>
    <w:p w14:paraId="152A62EA" w14:textId="77777777" w:rsidR="003F200D" w:rsidRPr="00FF756A" w:rsidRDefault="00B86FB3" w:rsidP="003F200D">
      <w:pPr>
        <w:keepNext/>
      </w:pPr>
      <w:r w:rsidRPr="00FF756A">
        <w:rPr>
          <w:noProof/>
          <w:lang w:val="en-US"/>
        </w:rPr>
        <w:drawing>
          <wp:inline distT="0" distB="0" distL="0" distR="0" wp14:anchorId="1729FD53" wp14:editId="40E8292D">
            <wp:extent cx="5760720" cy="3456305"/>
            <wp:effectExtent l="0" t="0" r="0" b="0"/>
            <wp:docPr id="1292016766" name="Picture 8" descr="A graph of a number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016766" name="Picture 8" descr="A graph of a number of different colored bars&#10;&#10;Description automatically generated with medium confidenc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7AE10362" w14:textId="5B9A29DD" w:rsidR="00B86FB3" w:rsidRPr="00FF756A" w:rsidRDefault="003F200D" w:rsidP="003F200D">
      <w:pPr>
        <w:pStyle w:val="Caption"/>
        <w:rPr>
          <w:rFonts w:ascii="Times New Roman" w:hAnsi="Times New Roman"/>
        </w:rPr>
      </w:pPr>
      <w:bookmarkStart w:id="532" w:name="_Toc183016566"/>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36</w:t>
      </w:r>
      <w:r w:rsidR="008E7DE9" w:rsidRPr="00FF756A">
        <w:rPr>
          <w:rFonts w:ascii="Times New Roman" w:hAnsi="Times New Roman"/>
          <w:noProof/>
        </w:rPr>
        <w:fldChar w:fldCharType="end"/>
      </w:r>
      <w:r w:rsidRPr="00FF756A">
        <w:rPr>
          <w:rFonts w:ascii="Times New Roman" w:hAnsi="Times New Roman"/>
        </w:rPr>
        <w:t>: Shkarkimet e drejtpërdrejta të GES-ve (CO2eq) për sektorin e transformimit të energjisë për vitet 2016-2023 dhe sipas parashikimit për vitet 2024-2050</w:t>
      </w:r>
      <w:bookmarkEnd w:id="532"/>
    </w:p>
    <w:p w14:paraId="37C127E9" w14:textId="77777777" w:rsidR="00126EB6" w:rsidRPr="00FF756A" w:rsidRDefault="00126EB6" w:rsidP="00B86FB3"/>
    <w:p w14:paraId="642B4035" w14:textId="15393435" w:rsidR="00B86FB3" w:rsidRPr="00FF756A" w:rsidRDefault="00126EB6" w:rsidP="00B86FB3">
      <w:r w:rsidRPr="00FF756A">
        <w:t>Figura 37</w:t>
      </w:r>
      <w:r w:rsidR="00B86FB3" w:rsidRPr="00FF756A">
        <w:t xml:space="preserve"> në vijim paraqet shkarkimet nga sektorët joenergjetikë. Teksa shkarkimet nga bujqësia mbeten konstante, sektori LULUCF mbetet burim shkarkimesh. Shkarkimet nga sektori i mbetjeve reduktohen pas vitit 2025, ndërsa shkarkimet nga PIPP vazhdojnë të rriten edhe pas vitit 2030. Këta sektorë trajtohen më me hollësi në paragrafët në vijim. </w:t>
      </w:r>
    </w:p>
    <w:p w14:paraId="6FA62CFE" w14:textId="77777777" w:rsidR="003F200D" w:rsidRPr="00FF756A" w:rsidRDefault="00B86FB3" w:rsidP="003F200D">
      <w:pPr>
        <w:keepNext/>
      </w:pPr>
      <w:r w:rsidRPr="00FF756A">
        <w:rPr>
          <w:noProof/>
          <w:lang w:val="en-US"/>
        </w:rPr>
        <w:drawing>
          <wp:inline distT="0" distB="0" distL="0" distR="0" wp14:anchorId="25807CE4" wp14:editId="4D43ECA0">
            <wp:extent cx="5760720" cy="3456305"/>
            <wp:effectExtent l="0" t="0" r="0" b="0"/>
            <wp:docPr id="1724377763" name="Picture 9" descr="A graph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377763" name="Picture 9" descr="A graph of different colored lines&#10;&#10;Description automatically generated with medium confidenc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6A4B0EE9" w14:textId="0EC67A98" w:rsidR="00B86FB3" w:rsidRPr="00FF756A" w:rsidRDefault="003F200D" w:rsidP="003F200D">
      <w:pPr>
        <w:pStyle w:val="Caption"/>
        <w:rPr>
          <w:rFonts w:ascii="Times New Roman" w:hAnsi="Times New Roman"/>
        </w:rPr>
      </w:pPr>
      <w:bookmarkStart w:id="533" w:name="_Toc183016567"/>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37</w:t>
      </w:r>
      <w:r w:rsidR="008E7DE9" w:rsidRPr="00FF756A">
        <w:rPr>
          <w:rFonts w:ascii="Times New Roman" w:hAnsi="Times New Roman"/>
          <w:noProof/>
        </w:rPr>
        <w:fldChar w:fldCharType="end"/>
      </w:r>
      <w:r w:rsidRPr="00FF756A">
        <w:rPr>
          <w:rFonts w:ascii="Times New Roman" w:hAnsi="Times New Roman"/>
        </w:rPr>
        <w:t>: Shkarkimet e GES-ve nga sektorë joenergjetikë (CO2eq) për periudhën 2016-2023 dhe sipas parashikimit për periudhën 2024-2050</w:t>
      </w:r>
      <w:bookmarkEnd w:id="533"/>
    </w:p>
    <w:p w14:paraId="68E01324" w14:textId="32C33C02" w:rsidR="00B86FB3" w:rsidRPr="00FF756A" w:rsidRDefault="00B86FB3" w:rsidP="00B86FB3">
      <w:r w:rsidRPr="00FF756A">
        <w:t xml:space="preserve">Nga </w:t>
      </w:r>
      <w:r w:rsidRPr="00FF756A">
        <w:fldChar w:fldCharType="begin"/>
      </w:r>
      <w:r w:rsidRPr="00FF756A">
        <w:instrText xml:space="preserve"> REF _Ref75378920 \h  \* MERGEFORMAT </w:instrText>
      </w:r>
      <w:r w:rsidRPr="00FF756A">
        <w:fldChar w:fldCharType="separate"/>
      </w:r>
      <w:r w:rsidR="00126EB6" w:rsidRPr="00FF756A">
        <w:t>Figura 38</w:t>
      </w:r>
      <w:r w:rsidRPr="00FF756A">
        <w:fldChar w:fldCharType="end"/>
      </w:r>
      <w:r w:rsidRPr="00FF756A">
        <w:t>, duket qartë që prodhimi i çimentos është kontribuuesi kryesor në shkarkimet nga PIPP, ashtu si shkarkimet e lidhura me energjinë. Ndonëse sektorët e tjerë industrialë luajnë një rol të vogël, është e nevojshme të rregullohen shkarkimet e agjentëve ftohës të përdorur në vend të substancave ozonholluese, që janë burimi i dytë më i madh i shkarkimeve në sektorin e PIPP-ve. Pjesa më e madhe e shkarkimeve nga bujqësia (</w:t>
      </w:r>
      <w:r w:rsidRPr="00FF756A">
        <w:fldChar w:fldCharType="begin"/>
      </w:r>
      <w:r w:rsidRPr="00FF756A">
        <w:instrText xml:space="preserve"> REF _Ref75379141 \h  \* MERGEFORMAT </w:instrText>
      </w:r>
      <w:r w:rsidRPr="00FF756A">
        <w:fldChar w:fldCharType="separate"/>
      </w:r>
      <w:r w:rsidRPr="00FF756A">
        <w:t xml:space="preserve">Figura </w:t>
      </w:r>
      <w:r w:rsidRPr="00FF756A">
        <w:fldChar w:fldCharType="end"/>
      </w:r>
      <w:r w:rsidR="00126EB6" w:rsidRPr="00FF756A">
        <w:t>39</w:t>
      </w:r>
      <w:r w:rsidRPr="00FF756A">
        <w:t>) vjen nga fermentimi enterik, i cili nuk parashikohet të pësojë ndryshim duke qenë se numri i krerëve të gjësë së gjallë do të mbetet pothuajse konstant. Një reduktim i vogël në këtë sektor arrihet me anë të reduktimit të aplikimit të uresë. Shkarkimet e LULUCF (</w:t>
      </w:r>
      <w:r w:rsidRPr="00FF756A">
        <w:fldChar w:fldCharType="begin"/>
      </w:r>
      <w:r w:rsidRPr="00FF756A">
        <w:instrText xml:space="preserve"> REF _Ref75379345 \h  \* MERGEFORMAT </w:instrText>
      </w:r>
      <w:r w:rsidRPr="00FF756A">
        <w:fldChar w:fldCharType="separate"/>
      </w:r>
      <w:r w:rsidRPr="00FF756A">
        <w:t xml:space="preserve">Figura </w:t>
      </w:r>
      <w:r w:rsidR="00126EB6" w:rsidRPr="00FF756A">
        <w:t>40</w:t>
      </w:r>
      <w:r w:rsidRPr="00FF756A">
        <w:fldChar w:fldCharType="end"/>
      </w:r>
      <w:r w:rsidRPr="00FF756A">
        <w:t>) parashikohen të mbeten në vlera pozitive neto. Kapaciteti natyror i pyjeve për përthithjen e karbonit nuk mund të kompensojë shkarkimet e shkaktuara nga menaxhimi i pyjeve. Skenarët e zjarreve të mëdha në pyje nuk janë marrë parasysh në model, por sipërfaqja mesatare e prekur nga zjarret në pyje parashikohet të rritet. Shkarkimet e sektorit të mbetjeve (</w:t>
      </w:r>
      <w:r w:rsidR="00CF58C6" w:rsidRPr="00FF756A">
        <w:fldChar w:fldCharType="begin"/>
      </w:r>
      <w:r w:rsidR="00CF58C6" w:rsidRPr="00FF756A">
        <w:instrText xml:space="preserve"> REF _Ref75379665 \h  \* MERGEFORMAT </w:instrText>
      </w:r>
      <w:r w:rsidR="00CF58C6" w:rsidRPr="00FF756A">
        <w:fldChar w:fldCharType="separate"/>
      </w:r>
      <w:r w:rsidR="00CF58C6" w:rsidRPr="00FF756A">
        <w:t>Figura 41</w:t>
      </w:r>
      <w:r w:rsidR="00CF58C6" w:rsidRPr="00FF756A">
        <w:fldChar w:fldCharType="end"/>
      </w:r>
      <w:r w:rsidRPr="00FF756A">
        <w:t xml:space="preserve">) pësojnë rënie për shkak të një ndryshimi në praktikat e menaxhimit të asgjësimit të mbetjeve të ngurta, ndryshimit të përqindjeve të riciklimit dhe menaxhimit të vend-asgjësimit të mbetjeve. Megjithatë, kjo nuk çon në eliminim të plotë të shkarkimeve, pasi ka ende shkarkime nga vend-asgjësimet ekzistuese të mbetjeve. Reduktimet e shkarkimeve arrihen edhe me anë të ndryshimit të praktikave të menaxhimit të ujërave të përdorura, duke devijuar ndjeshëm nga shkarkimet e drejtpërdrejta në lumenj te shkarkimet në vende të mirë-menaxhuara pa shkarkime metani. </w:t>
      </w:r>
    </w:p>
    <w:p w14:paraId="5F35F0AD" w14:textId="77777777" w:rsidR="003F200D" w:rsidRPr="00FF756A" w:rsidRDefault="00B86FB3" w:rsidP="003F200D">
      <w:pPr>
        <w:keepNext/>
      </w:pPr>
      <w:r w:rsidRPr="00FF756A">
        <w:rPr>
          <w:noProof/>
          <w:lang w:val="en-US"/>
        </w:rPr>
        <w:drawing>
          <wp:inline distT="0" distB="0" distL="0" distR="0" wp14:anchorId="41D9A000" wp14:editId="04BB6902">
            <wp:extent cx="5760720" cy="3456305"/>
            <wp:effectExtent l="0" t="0" r="0" b="0"/>
            <wp:docPr id="327225898" name="Picture 10"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225898" name="Picture 10" descr="A graph of a graph&#10;&#10;Description automatically generated with medium confidenc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774B2D68" w14:textId="140A48E7" w:rsidR="00B86FB3" w:rsidRPr="00FF756A" w:rsidRDefault="003F200D" w:rsidP="003F200D">
      <w:pPr>
        <w:pStyle w:val="Caption"/>
        <w:rPr>
          <w:rFonts w:ascii="Times New Roman" w:hAnsi="Times New Roman"/>
        </w:rPr>
      </w:pPr>
      <w:bookmarkStart w:id="534" w:name="_Toc183016568"/>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38</w:t>
      </w:r>
      <w:r w:rsidR="008E7DE9" w:rsidRPr="00FF756A">
        <w:rPr>
          <w:rFonts w:ascii="Times New Roman" w:hAnsi="Times New Roman"/>
          <w:noProof/>
        </w:rPr>
        <w:fldChar w:fldCharType="end"/>
      </w:r>
      <w:r w:rsidRPr="00FF756A">
        <w:rPr>
          <w:rFonts w:ascii="Times New Roman" w:hAnsi="Times New Roman"/>
        </w:rPr>
        <w:t>: Figura 20: Shkarkimet e GES-ve (CO2eq) nga proceset industriale dhe përdorimi i produkteve për periudhën 2016-2023 dhe sipas parashikimit për vitet 2024-2050</w:t>
      </w:r>
      <w:bookmarkEnd w:id="534"/>
    </w:p>
    <w:p w14:paraId="6FAA2E99" w14:textId="77777777" w:rsidR="00B86FB3" w:rsidRPr="00FF756A" w:rsidRDefault="00B86FB3" w:rsidP="00B86FB3"/>
    <w:p w14:paraId="5281B42B" w14:textId="77777777" w:rsidR="003F200D" w:rsidRPr="00FF756A" w:rsidRDefault="00B86FB3" w:rsidP="003F200D">
      <w:pPr>
        <w:keepNext/>
      </w:pPr>
      <w:r w:rsidRPr="00FF756A">
        <w:rPr>
          <w:noProof/>
          <w:lang w:val="en-US"/>
        </w:rPr>
        <w:drawing>
          <wp:inline distT="0" distB="0" distL="0" distR="0" wp14:anchorId="1415756A" wp14:editId="16460ED2">
            <wp:extent cx="5760720" cy="3456305"/>
            <wp:effectExtent l="0" t="0" r="0" b="0"/>
            <wp:docPr id="1290392767" name="Picture 11" descr="A graph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392767" name="Picture 11" descr="A graph of different colors&#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6ECAA535" w14:textId="3D6C0AC2" w:rsidR="00B86FB3" w:rsidRPr="00FF756A" w:rsidRDefault="003F200D" w:rsidP="003F200D">
      <w:pPr>
        <w:pStyle w:val="Caption"/>
        <w:rPr>
          <w:rFonts w:ascii="Times New Roman" w:hAnsi="Times New Roman"/>
        </w:rPr>
      </w:pPr>
      <w:bookmarkStart w:id="535" w:name="_Toc183016569"/>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39</w:t>
      </w:r>
      <w:r w:rsidR="008E7DE9" w:rsidRPr="00FF756A">
        <w:rPr>
          <w:rFonts w:ascii="Times New Roman" w:hAnsi="Times New Roman"/>
          <w:noProof/>
        </w:rPr>
        <w:fldChar w:fldCharType="end"/>
      </w:r>
      <w:r w:rsidRPr="00FF756A">
        <w:rPr>
          <w:rFonts w:ascii="Times New Roman" w:hAnsi="Times New Roman"/>
        </w:rPr>
        <w:t>: Shkarkimet e GES-ve të sektorëve joenergjetikë (CO2eq) nga veprimtaritë bujqësore për periudhën 2016-2023 dhe sipas parashikimit për periudhën 2024-2050</w:t>
      </w:r>
      <w:bookmarkEnd w:id="535"/>
    </w:p>
    <w:p w14:paraId="3D11266E" w14:textId="77777777" w:rsidR="00B86FB3" w:rsidRPr="00FF756A" w:rsidRDefault="00B86FB3" w:rsidP="00B86FB3"/>
    <w:p w14:paraId="0169220F" w14:textId="77777777" w:rsidR="003F200D" w:rsidRPr="00FF756A" w:rsidRDefault="00B86FB3" w:rsidP="003F200D">
      <w:pPr>
        <w:keepNext/>
      </w:pPr>
      <w:r w:rsidRPr="00FF756A">
        <w:rPr>
          <w:noProof/>
          <w:lang w:val="en-US"/>
        </w:rPr>
        <w:drawing>
          <wp:inline distT="0" distB="0" distL="0" distR="0" wp14:anchorId="18B34151" wp14:editId="2FDD8EA7">
            <wp:extent cx="5760720" cy="3456305"/>
            <wp:effectExtent l="0" t="0" r="0" b="0"/>
            <wp:docPr id="1168396320" name="Picture 12" descr="A graph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396320" name="Picture 12" descr="A graph of a number of objects&#10;&#10;Description automatically generated with medium confiden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55FC1E1B" w14:textId="3F79860F" w:rsidR="00B86FB3" w:rsidRPr="00FF756A" w:rsidRDefault="003F200D" w:rsidP="003F200D">
      <w:pPr>
        <w:pStyle w:val="Caption"/>
        <w:rPr>
          <w:rFonts w:ascii="Times New Roman" w:hAnsi="Times New Roman"/>
        </w:rPr>
      </w:pPr>
      <w:bookmarkStart w:id="536" w:name="_Toc183016570"/>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40</w:t>
      </w:r>
      <w:r w:rsidR="008E7DE9" w:rsidRPr="00FF756A">
        <w:rPr>
          <w:rFonts w:ascii="Times New Roman" w:hAnsi="Times New Roman"/>
          <w:noProof/>
        </w:rPr>
        <w:fldChar w:fldCharType="end"/>
      </w:r>
      <w:r w:rsidRPr="00FF756A">
        <w:rPr>
          <w:rFonts w:ascii="Times New Roman" w:hAnsi="Times New Roman"/>
        </w:rPr>
        <w:t>: Shkarkimet e GES-ve (CO2eq) të sektorëve joenergjetikë nga përdorimi i tokës, ndryshimi i përdorimi të tokës dhe pyjet (LULUCF) për periudhën 2016-2023 dhe sipas parashikimit për vitet 2024-2050</w:t>
      </w:r>
      <w:bookmarkEnd w:id="536"/>
    </w:p>
    <w:p w14:paraId="79469223" w14:textId="77777777" w:rsidR="00B86FB3" w:rsidRPr="00FF756A" w:rsidRDefault="00B86FB3" w:rsidP="00B86FB3"/>
    <w:p w14:paraId="54664A2B" w14:textId="77777777" w:rsidR="003F200D" w:rsidRPr="00FF756A" w:rsidRDefault="00B86FB3" w:rsidP="003F200D">
      <w:pPr>
        <w:keepNext/>
      </w:pPr>
      <w:r w:rsidRPr="00FF756A">
        <w:rPr>
          <w:noProof/>
          <w:lang w:val="en-US"/>
        </w:rPr>
        <w:drawing>
          <wp:inline distT="0" distB="0" distL="0" distR="0" wp14:anchorId="61B6686B" wp14:editId="2DD0C337">
            <wp:extent cx="5760720" cy="3456305"/>
            <wp:effectExtent l="0" t="0" r="0" b="0"/>
            <wp:docPr id="582973622" name="Picture 13" descr="A graph of a number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973622" name="Picture 13" descr="A graph of a number of different colored lines&#10;&#10;Description automatically generated with medium confidenc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23614732" w14:textId="708428B5" w:rsidR="00B86FB3" w:rsidRPr="00FF756A" w:rsidRDefault="003F200D" w:rsidP="003F200D">
      <w:pPr>
        <w:pStyle w:val="Caption"/>
        <w:rPr>
          <w:rFonts w:ascii="Times New Roman" w:hAnsi="Times New Roman"/>
        </w:rPr>
      </w:pPr>
      <w:bookmarkStart w:id="537" w:name="_Toc183016571"/>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41</w:t>
      </w:r>
      <w:r w:rsidR="008E7DE9" w:rsidRPr="00FF756A">
        <w:rPr>
          <w:rFonts w:ascii="Times New Roman" w:hAnsi="Times New Roman"/>
          <w:noProof/>
        </w:rPr>
        <w:fldChar w:fldCharType="end"/>
      </w:r>
      <w:r w:rsidRPr="00FF756A">
        <w:rPr>
          <w:rFonts w:ascii="Times New Roman" w:hAnsi="Times New Roman"/>
        </w:rPr>
        <w:t>: Shkarkimet e GES-ve (CO2eq) të sektorëve joenergjetikë nga sektori i mbetjeve për periudhën kohore 2016-2023 dhe sipas parashikimit për vitet 2024-2050</w:t>
      </w:r>
      <w:bookmarkEnd w:id="537"/>
    </w:p>
    <w:p w14:paraId="060DC8E7" w14:textId="77777777" w:rsidR="00B86FB3" w:rsidRPr="00FF756A" w:rsidRDefault="00B86FB3" w:rsidP="00B86FB3"/>
    <w:p w14:paraId="59E10B86" w14:textId="77777777" w:rsidR="00B86FB3" w:rsidRPr="00FF756A" w:rsidRDefault="00B86FB3" w:rsidP="00B86FB3">
      <w:r w:rsidRPr="00FF756A">
        <w:t xml:space="preserve">Tabela e mëposhtme paraqet shkarkimet e sektorëve, nënsektorëve dhe degëve të ndryshme të sistemit energjetik të Shqipërisë, sipas parashikimit me masat ekzistuese, shprehur në </w:t>
      </w:r>
      <w:bookmarkStart w:id="538" w:name="_Hlk75714311"/>
      <w:r w:rsidRPr="00FF756A">
        <w:t>kt CO2eq (potenciali i ngrohjes globale të shkaktuar për 100 vite).</w:t>
      </w:r>
    </w:p>
    <w:bookmarkEnd w:id="538"/>
    <w:p w14:paraId="29840A11" w14:textId="77777777" w:rsidR="00B86FB3" w:rsidRPr="00FF756A" w:rsidRDefault="00B86FB3" w:rsidP="00B86FB3"/>
    <w:tbl>
      <w:tblPr>
        <w:tblStyle w:val="GridTable5DarkAccent10"/>
        <w:tblW w:w="5000" w:type="pct"/>
        <w:tblLook w:val="04A0" w:firstRow="1" w:lastRow="0" w:firstColumn="1" w:lastColumn="0" w:noHBand="0" w:noVBand="1"/>
      </w:tblPr>
      <w:tblGrid>
        <w:gridCol w:w="3382"/>
        <w:gridCol w:w="710"/>
        <w:gridCol w:w="710"/>
        <w:gridCol w:w="710"/>
        <w:gridCol w:w="710"/>
        <w:gridCol w:w="710"/>
        <w:gridCol w:w="710"/>
        <w:gridCol w:w="710"/>
        <w:gridCol w:w="710"/>
      </w:tblGrid>
      <w:tr w:rsidR="00B86FB3" w:rsidRPr="00FF756A" w14:paraId="7DDED69D" w14:textId="77777777" w:rsidTr="006A3266">
        <w:trPr>
          <w:cnfStyle w:val="100000000000" w:firstRow="1" w:lastRow="0" w:firstColumn="0" w:lastColumn="0" w:oddVBand="0" w:evenVBand="0" w:oddHBand="0" w:evenHBand="0" w:firstRowFirstColumn="0" w:firstRowLastColumn="0" w:lastRowFirstColumn="0" w:lastRowLastColumn="0"/>
          <w:trHeight w:val="299"/>
          <w:tblHeader/>
        </w:trPr>
        <w:tc>
          <w:tcPr>
            <w:cnfStyle w:val="001000000000" w:firstRow="0" w:lastRow="0" w:firstColumn="1" w:lastColumn="0" w:oddVBand="0" w:evenVBand="0" w:oddHBand="0" w:evenHBand="0" w:firstRowFirstColumn="0" w:firstRowLastColumn="0" w:lastRowFirstColumn="0" w:lastRowLastColumn="0"/>
            <w:tcW w:w="1175" w:type="pct"/>
            <w:noWrap/>
            <w:hideMark/>
          </w:tcPr>
          <w:p w14:paraId="498307B7"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Dega [kt CO</w:t>
            </w:r>
            <w:r w:rsidRPr="00FF756A">
              <w:rPr>
                <w:rFonts w:cs="Times New Roman"/>
                <w:color w:val="FFFFFF"/>
                <w:sz w:val="16"/>
                <w:szCs w:val="16"/>
                <w:vertAlign w:val="subscript"/>
              </w:rPr>
              <w:t>2</w:t>
            </w:r>
            <w:r w:rsidRPr="00FF756A">
              <w:rPr>
                <w:rFonts w:cs="Times New Roman"/>
                <w:color w:val="FFFFFF"/>
                <w:sz w:val="16"/>
                <w:szCs w:val="16"/>
              </w:rPr>
              <w:t>eq]</w:t>
            </w:r>
          </w:p>
        </w:tc>
        <w:tc>
          <w:tcPr>
            <w:tcW w:w="482" w:type="pct"/>
            <w:noWrap/>
            <w:hideMark/>
          </w:tcPr>
          <w:p w14:paraId="42CBD3A4"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6"/>
                <w:szCs w:val="16"/>
              </w:rPr>
            </w:pPr>
            <w:r w:rsidRPr="00FF756A">
              <w:rPr>
                <w:rFonts w:cs="Times New Roman"/>
                <w:color w:val="FFFFFF"/>
                <w:sz w:val="16"/>
                <w:szCs w:val="16"/>
              </w:rPr>
              <w:t>2020</w:t>
            </w:r>
          </w:p>
        </w:tc>
        <w:tc>
          <w:tcPr>
            <w:tcW w:w="482" w:type="pct"/>
            <w:noWrap/>
            <w:hideMark/>
          </w:tcPr>
          <w:p w14:paraId="20832474"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6"/>
                <w:szCs w:val="16"/>
              </w:rPr>
            </w:pPr>
            <w:r w:rsidRPr="00FF756A">
              <w:rPr>
                <w:rFonts w:cs="Times New Roman"/>
                <w:color w:val="FFFFFF"/>
                <w:sz w:val="16"/>
                <w:szCs w:val="16"/>
              </w:rPr>
              <w:t>2021</w:t>
            </w:r>
          </w:p>
        </w:tc>
        <w:tc>
          <w:tcPr>
            <w:tcW w:w="482" w:type="pct"/>
            <w:noWrap/>
            <w:hideMark/>
          </w:tcPr>
          <w:p w14:paraId="621A42DE"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6"/>
                <w:szCs w:val="16"/>
              </w:rPr>
            </w:pPr>
            <w:r w:rsidRPr="00FF756A">
              <w:rPr>
                <w:rFonts w:cs="Times New Roman"/>
                <w:color w:val="FFFFFF"/>
                <w:sz w:val="16"/>
                <w:szCs w:val="16"/>
              </w:rPr>
              <w:t>2022</w:t>
            </w:r>
          </w:p>
        </w:tc>
        <w:tc>
          <w:tcPr>
            <w:tcW w:w="482" w:type="pct"/>
            <w:noWrap/>
            <w:hideMark/>
          </w:tcPr>
          <w:p w14:paraId="2484187D"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6"/>
                <w:szCs w:val="16"/>
              </w:rPr>
            </w:pPr>
            <w:r w:rsidRPr="00FF756A">
              <w:rPr>
                <w:rFonts w:cs="Times New Roman"/>
                <w:color w:val="FFFFFF"/>
                <w:sz w:val="16"/>
                <w:szCs w:val="16"/>
              </w:rPr>
              <w:t>2023</w:t>
            </w:r>
          </w:p>
        </w:tc>
        <w:tc>
          <w:tcPr>
            <w:tcW w:w="482" w:type="pct"/>
            <w:noWrap/>
            <w:hideMark/>
          </w:tcPr>
          <w:p w14:paraId="7AAC4514"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6"/>
                <w:szCs w:val="16"/>
              </w:rPr>
            </w:pPr>
            <w:r w:rsidRPr="00FF756A">
              <w:rPr>
                <w:rFonts w:cs="Times New Roman"/>
                <w:color w:val="FFFFFF"/>
                <w:sz w:val="16"/>
                <w:szCs w:val="16"/>
              </w:rPr>
              <w:t>2025</w:t>
            </w:r>
          </w:p>
        </w:tc>
        <w:tc>
          <w:tcPr>
            <w:tcW w:w="482" w:type="pct"/>
            <w:noWrap/>
            <w:hideMark/>
          </w:tcPr>
          <w:p w14:paraId="3DE31005"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6"/>
                <w:szCs w:val="16"/>
              </w:rPr>
            </w:pPr>
            <w:r w:rsidRPr="00FF756A">
              <w:rPr>
                <w:rFonts w:cs="Times New Roman"/>
                <w:color w:val="FFFFFF"/>
                <w:sz w:val="16"/>
                <w:szCs w:val="16"/>
              </w:rPr>
              <w:t>2030</w:t>
            </w:r>
          </w:p>
        </w:tc>
        <w:tc>
          <w:tcPr>
            <w:tcW w:w="482" w:type="pct"/>
            <w:noWrap/>
            <w:hideMark/>
          </w:tcPr>
          <w:p w14:paraId="4AEA5E1E"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6"/>
                <w:szCs w:val="16"/>
              </w:rPr>
            </w:pPr>
            <w:r w:rsidRPr="00FF756A">
              <w:rPr>
                <w:rFonts w:cs="Times New Roman"/>
                <w:color w:val="FFFFFF"/>
                <w:sz w:val="16"/>
                <w:szCs w:val="16"/>
              </w:rPr>
              <w:t>2040</w:t>
            </w:r>
          </w:p>
        </w:tc>
        <w:tc>
          <w:tcPr>
            <w:tcW w:w="449" w:type="pct"/>
          </w:tcPr>
          <w:p w14:paraId="1C29779F"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6"/>
                <w:szCs w:val="16"/>
              </w:rPr>
            </w:pPr>
            <w:r w:rsidRPr="00FF756A">
              <w:rPr>
                <w:rFonts w:cs="Times New Roman"/>
                <w:color w:val="FFFFFF"/>
                <w:sz w:val="16"/>
                <w:szCs w:val="16"/>
              </w:rPr>
              <w:t>2050</w:t>
            </w:r>
          </w:p>
        </w:tc>
      </w:tr>
      <w:tr w:rsidR="00B86FB3" w:rsidRPr="00FF756A" w14:paraId="392D8A53"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68DC4CA7"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Kërkesa</w:t>
            </w:r>
          </w:p>
        </w:tc>
        <w:tc>
          <w:tcPr>
            <w:tcW w:w="482" w:type="pct"/>
            <w:noWrap/>
            <w:vAlign w:val="center"/>
            <w:hideMark/>
          </w:tcPr>
          <w:p w14:paraId="66759A2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3 751.7</w:t>
            </w:r>
          </w:p>
        </w:tc>
        <w:tc>
          <w:tcPr>
            <w:tcW w:w="482" w:type="pct"/>
            <w:noWrap/>
            <w:vAlign w:val="center"/>
            <w:hideMark/>
          </w:tcPr>
          <w:p w14:paraId="48A8A5A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4 165,1</w:t>
            </w:r>
          </w:p>
        </w:tc>
        <w:tc>
          <w:tcPr>
            <w:tcW w:w="482" w:type="pct"/>
            <w:noWrap/>
            <w:vAlign w:val="center"/>
            <w:hideMark/>
          </w:tcPr>
          <w:p w14:paraId="08E915A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4 220,2</w:t>
            </w:r>
          </w:p>
        </w:tc>
        <w:tc>
          <w:tcPr>
            <w:tcW w:w="482" w:type="pct"/>
            <w:noWrap/>
            <w:vAlign w:val="center"/>
            <w:hideMark/>
          </w:tcPr>
          <w:p w14:paraId="70F04A6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4 235,6</w:t>
            </w:r>
          </w:p>
        </w:tc>
        <w:tc>
          <w:tcPr>
            <w:tcW w:w="482" w:type="pct"/>
            <w:noWrap/>
            <w:vAlign w:val="center"/>
            <w:hideMark/>
          </w:tcPr>
          <w:p w14:paraId="4D6468F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4 404,4</w:t>
            </w:r>
          </w:p>
        </w:tc>
        <w:tc>
          <w:tcPr>
            <w:tcW w:w="482" w:type="pct"/>
            <w:noWrap/>
            <w:vAlign w:val="center"/>
            <w:hideMark/>
          </w:tcPr>
          <w:p w14:paraId="201B306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4 860,2</w:t>
            </w:r>
          </w:p>
        </w:tc>
        <w:tc>
          <w:tcPr>
            <w:tcW w:w="482" w:type="pct"/>
            <w:noWrap/>
            <w:vAlign w:val="center"/>
            <w:hideMark/>
          </w:tcPr>
          <w:p w14:paraId="4E1BEDF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5 911,8</w:t>
            </w:r>
          </w:p>
        </w:tc>
        <w:tc>
          <w:tcPr>
            <w:tcW w:w="449" w:type="pct"/>
            <w:vAlign w:val="center"/>
          </w:tcPr>
          <w:p w14:paraId="2085698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7 284,6</w:t>
            </w:r>
          </w:p>
        </w:tc>
      </w:tr>
      <w:tr w:rsidR="00B86FB3" w:rsidRPr="00FF756A" w14:paraId="45103AE7"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232073C9"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Transformimi</w:t>
            </w:r>
          </w:p>
        </w:tc>
        <w:tc>
          <w:tcPr>
            <w:tcW w:w="482" w:type="pct"/>
            <w:noWrap/>
            <w:vAlign w:val="center"/>
            <w:hideMark/>
          </w:tcPr>
          <w:p w14:paraId="2F06B37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151,4</w:t>
            </w:r>
          </w:p>
        </w:tc>
        <w:tc>
          <w:tcPr>
            <w:tcW w:w="482" w:type="pct"/>
            <w:noWrap/>
            <w:vAlign w:val="center"/>
            <w:hideMark/>
          </w:tcPr>
          <w:p w14:paraId="2F20E1E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145,1</w:t>
            </w:r>
          </w:p>
        </w:tc>
        <w:tc>
          <w:tcPr>
            <w:tcW w:w="482" w:type="pct"/>
            <w:noWrap/>
            <w:vAlign w:val="center"/>
            <w:hideMark/>
          </w:tcPr>
          <w:p w14:paraId="1B885CA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157,2</w:t>
            </w:r>
          </w:p>
        </w:tc>
        <w:tc>
          <w:tcPr>
            <w:tcW w:w="482" w:type="pct"/>
            <w:noWrap/>
            <w:vAlign w:val="center"/>
            <w:hideMark/>
          </w:tcPr>
          <w:p w14:paraId="5957297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159,0</w:t>
            </w:r>
          </w:p>
        </w:tc>
        <w:tc>
          <w:tcPr>
            <w:tcW w:w="482" w:type="pct"/>
            <w:noWrap/>
            <w:vAlign w:val="center"/>
            <w:hideMark/>
          </w:tcPr>
          <w:p w14:paraId="7FDDA56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159,0</w:t>
            </w:r>
          </w:p>
        </w:tc>
        <w:tc>
          <w:tcPr>
            <w:tcW w:w="482" w:type="pct"/>
            <w:noWrap/>
            <w:vAlign w:val="center"/>
            <w:hideMark/>
          </w:tcPr>
          <w:p w14:paraId="7520041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167,1</w:t>
            </w:r>
          </w:p>
        </w:tc>
        <w:tc>
          <w:tcPr>
            <w:tcW w:w="482" w:type="pct"/>
            <w:noWrap/>
            <w:vAlign w:val="center"/>
            <w:hideMark/>
          </w:tcPr>
          <w:p w14:paraId="684AAB5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361,7</w:t>
            </w:r>
          </w:p>
        </w:tc>
        <w:tc>
          <w:tcPr>
            <w:tcW w:w="449" w:type="pct"/>
            <w:vAlign w:val="center"/>
          </w:tcPr>
          <w:p w14:paraId="139B3A1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484,1</w:t>
            </w:r>
          </w:p>
        </w:tc>
      </w:tr>
      <w:tr w:rsidR="00B86FB3" w:rsidRPr="00FF756A" w14:paraId="25DE8C78"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1AB092C0"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Sektorët joenergjetikë</w:t>
            </w:r>
          </w:p>
        </w:tc>
        <w:tc>
          <w:tcPr>
            <w:tcW w:w="482" w:type="pct"/>
            <w:noWrap/>
            <w:vAlign w:val="center"/>
            <w:hideMark/>
          </w:tcPr>
          <w:p w14:paraId="02FA99A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6 658,6</w:t>
            </w:r>
          </w:p>
        </w:tc>
        <w:tc>
          <w:tcPr>
            <w:tcW w:w="482" w:type="pct"/>
            <w:noWrap/>
            <w:vAlign w:val="center"/>
            <w:hideMark/>
          </w:tcPr>
          <w:p w14:paraId="62E4931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6 645,3</w:t>
            </w:r>
          </w:p>
        </w:tc>
        <w:tc>
          <w:tcPr>
            <w:tcW w:w="482" w:type="pct"/>
            <w:noWrap/>
            <w:vAlign w:val="center"/>
            <w:hideMark/>
          </w:tcPr>
          <w:p w14:paraId="75EB14B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6 633,3</w:t>
            </w:r>
          </w:p>
        </w:tc>
        <w:tc>
          <w:tcPr>
            <w:tcW w:w="482" w:type="pct"/>
            <w:noWrap/>
            <w:vAlign w:val="center"/>
            <w:hideMark/>
          </w:tcPr>
          <w:p w14:paraId="5686DF5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6 691,0</w:t>
            </w:r>
          </w:p>
        </w:tc>
        <w:tc>
          <w:tcPr>
            <w:tcW w:w="482" w:type="pct"/>
            <w:noWrap/>
            <w:vAlign w:val="center"/>
            <w:hideMark/>
          </w:tcPr>
          <w:p w14:paraId="0F33CAD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6 725,9</w:t>
            </w:r>
          </w:p>
        </w:tc>
        <w:tc>
          <w:tcPr>
            <w:tcW w:w="482" w:type="pct"/>
            <w:noWrap/>
            <w:vAlign w:val="center"/>
            <w:hideMark/>
          </w:tcPr>
          <w:p w14:paraId="50F8EAE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6 692,5</w:t>
            </w:r>
          </w:p>
        </w:tc>
        <w:tc>
          <w:tcPr>
            <w:tcW w:w="482" w:type="pct"/>
            <w:noWrap/>
            <w:vAlign w:val="center"/>
            <w:hideMark/>
          </w:tcPr>
          <w:p w14:paraId="7858691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6 817,6</w:t>
            </w:r>
          </w:p>
        </w:tc>
        <w:tc>
          <w:tcPr>
            <w:tcW w:w="449" w:type="pct"/>
            <w:vAlign w:val="center"/>
          </w:tcPr>
          <w:p w14:paraId="72C5B5D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7 145,5</w:t>
            </w:r>
          </w:p>
        </w:tc>
      </w:tr>
      <w:tr w:rsidR="00B86FB3" w:rsidRPr="00FF756A" w14:paraId="59EB18CA"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shd w:val="clear" w:color="auto" w:fill="2F5496" w:themeFill="accent1" w:themeFillShade="BF"/>
            <w:noWrap/>
            <w:hideMark/>
          </w:tcPr>
          <w:p w14:paraId="65BF9F73"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Totali</w:t>
            </w:r>
          </w:p>
        </w:tc>
        <w:tc>
          <w:tcPr>
            <w:tcW w:w="482" w:type="pct"/>
            <w:shd w:val="clear" w:color="auto" w:fill="2F5496" w:themeFill="accent1" w:themeFillShade="BF"/>
            <w:noWrap/>
            <w:vAlign w:val="center"/>
            <w:hideMark/>
          </w:tcPr>
          <w:p w14:paraId="0354E00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FFFFFF" w:themeColor="background1"/>
                <w:sz w:val="16"/>
                <w:szCs w:val="18"/>
              </w:rPr>
            </w:pPr>
            <w:r w:rsidRPr="00FF756A">
              <w:rPr>
                <w:rFonts w:cs="Times New Roman"/>
                <w:color w:val="FFFFFF" w:themeColor="background1"/>
                <w:sz w:val="16"/>
                <w:szCs w:val="18"/>
              </w:rPr>
              <w:t>10 561,8</w:t>
            </w:r>
          </w:p>
        </w:tc>
        <w:tc>
          <w:tcPr>
            <w:tcW w:w="482" w:type="pct"/>
            <w:shd w:val="clear" w:color="auto" w:fill="2F5496" w:themeFill="accent1" w:themeFillShade="BF"/>
            <w:noWrap/>
            <w:vAlign w:val="center"/>
            <w:hideMark/>
          </w:tcPr>
          <w:p w14:paraId="6A238A4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FFFFFF" w:themeColor="background1"/>
                <w:sz w:val="16"/>
                <w:szCs w:val="18"/>
              </w:rPr>
            </w:pPr>
            <w:r w:rsidRPr="00FF756A">
              <w:rPr>
                <w:rFonts w:cs="Times New Roman"/>
                <w:color w:val="FFFFFF" w:themeColor="background1"/>
                <w:sz w:val="16"/>
                <w:szCs w:val="18"/>
              </w:rPr>
              <w:t>10 955,6</w:t>
            </w:r>
          </w:p>
        </w:tc>
        <w:tc>
          <w:tcPr>
            <w:tcW w:w="482" w:type="pct"/>
            <w:shd w:val="clear" w:color="auto" w:fill="2F5496" w:themeFill="accent1" w:themeFillShade="BF"/>
            <w:noWrap/>
            <w:vAlign w:val="center"/>
            <w:hideMark/>
          </w:tcPr>
          <w:p w14:paraId="707C3A1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FFFFFF" w:themeColor="background1"/>
                <w:sz w:val="16"/>
                <w:szCs w:val="18"/>
              </w:rPr>
            </w:pPr>
            <w:r w:rsidRPr="00FF756A">
              <w:rPr>
                <w:rFonts w:cs="Times New Roman"/>
                <w:color w:val="FFFFFF" w:themeColor="background1"/>
                <w:sz w:val="16"/>
                <w:szCs w:val="18"/>
              </w:rPr>
              <w:t>11 010,7</w:t>
            </w:r>
          </w:p>
        </w:tc>
        <w:tc>
          <w:tcPr>
            <w:tcW w:w="482" w:type="pct"/>
            <w:shd w:val="clear" w:color="auto" w:fill="2F5496" w:themeFill="accent1" w:themeFillShade="BF"/>
            <w:noWrap/>
            <w:vAlign w:val="center"/>
            <w:hideMark/>
          </w:tcPr>
          <w:p w14:paraId="68CE01C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FFFFFF" w:themeColor="background1"/>
                <w:sz w:val="16"/>
                <w:szCs w:val="18"/>
              </w:rPr>
            </w:pPr>
            <w:r w:rsidRPr="00FF756A">
              <w:rPr>
                <w:rFonts w:cs="Times New Roman"/>
                <w:color w:val="FFFFFF" w:themeColor="background1"/>
                <w:sz w:val="16"/>
                <w:szCs w:val="18"/>
              </w:rPr>
              <w:t>11 085,6</w:t>
            </w:r>
          </w:p>
        </w:tc>
        <w:tc>
          <w:tcPr>
            <w:tcW w:w="482" w:type="pct"/>
            <w:shd w:val="clear" w:color="auto" w:fill="2F5496" w:themeFill="accent1" w:themeFillShade="BF"/>
            <w:noWrap/>
            <w:vAlign w:val="center"/>
            <w:hideMark/>
          </w:tcPr>
          <w:p w14:paraId="42267BA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FFFFFF" w:themeColor="background1"/>
                <w:sz w:val="16"/>
                <w:szCs w:val="18"/>
              </w:rPr>
            </w:pPr>
            <w:r w:rsidRPr="00FF756A">
              <w:rPr>
                <w:rFonts w:cs="Times New Roman"/>
                <w:color w:val="FFFFFF" w:themeColor="background1"/>
                <w:sz w:val="16"/>
                <w:szCs w:val="18"/>
              </w:rPr>
              <w:t>11 289,2</w:t>
            </w:r>
          </w:p>
        </w:tc>
        <w:tc>
          <w:tcPr>
            <w:tcW w:w="482" w:type="pct"/>
            <w:shd w:val="clear" w:color="auto" w:fill="2F5496" w:themeFill="accent1" w:themeFillShade="BF"/>
            <w:noWrap/>
            <w:vAlign w:val="center"/>
            <w:hideMark/>
          </w:tcPr>
          <w:p w14:paraId="5963233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FFFFFF" w:themeColor="background1"/>
                <w:sz w:val="16"/>
                <w:szCs w:val="18"/>
              </w:rPr>
            </w:pPr>
            <w:r w:rsidRPr="00FF756A">
              <w:rPr>
                <w:rFonts w:cs="Times New Roman"/>
                <w:color w:val="FFFFFF" w:themeColor="background1"/>
                <w:sz w:val="16"/>
                <w:szCs w:val="18"/>
              </w:rPr>
              <w:t>11 719,8</w:t>
            </w:r>
          </w:p>
        </w:tc>
        <w:tc>
          <w:tcPr>
            <w:tcW w:w="482" w:type="pct"/>
            <w:shd w:val="clear" w:color="auto" w:fill="2F5496" w:themeFill="accent1" w:themeFillShade="BF"/>
            <w:noWrap/>
            <w:vAlign w:val="center"/>
            <w:hideMark/>
          </w:tcPr>
          <w:p w14:paraId="4B49E0F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FFFFFF" w:themeColor="background1"/>
                <w:sz w:val="16"/>
                <w:szCs w:val="18"/>
              </w:rPr>
            </w:pPr>
            <w:r w:rsidRPr="00FF756A">
              <w:rPr>
                <w:rFonts w:cs="Times New Roman"/>
                <w:color w:val="FFFFFF" w:themeColor="background1"/>
                <w:sz w:val="16"/>
                <w:szCs w:val="18"/>
              </w:rPr>
              <w:t>13 091,1</w:t>
            </w:r>
          </w:p>
        </w:tc>
        <w:tc>
          <w:tcPr>
            <w:tcW w:w="449" w:type="pct"/>
            <w:shd w:val="clear" w:color="auto" w:fill="2F5496" w:themeFill="accent1" w:themeFillShade="BF"/>
            <w:vAlign w:val="center"/>
          </w:tcPr>
          <w:p w14:paraId="6C497A7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FFFFFF" w:themeColor="background1"/>
                <w:sz w:val="16"/>
                <w:szCs w:val="18"/>
              </w:rPr>
            </w:pPr>
            <w:r w:rsidRPr="00FF756A">
              <w:rPr>
                <w:rFonts w:cs="Times New Roman"/>
                <w:color w:val="FFFFFF" w:themeColor="background1"/>
                <w:sz w:val="16"/>
                <w:szCs w:val="18"/>
              </w:rPr>
              <w:t>14 914,1</w:t>
            </w:r>
          </w:p>
        </w:tc>
      </w:tr>
      <w:tr w:rsidR="00B86FB3" w:rsidRPr="00FF756A" w14:paraId="314A8ED0"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2B22F233"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 xml:space="preserve">Kërkesa </w:t>
            </w:r>
          </w:p>
        </w:tc>
        <w:tc>
          <w:tcPr>
            <w:tcW w:w="482" w:type="pct"/>
            <w:shd w:val="clear" w:color="auto" w:fill="4472C4" w:themeFill="accent1"/>
            <w:noWrap/>
            <w:hideMark/>
          </w:tcPr>
          <w:p w14:paraId="76B248D2"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sz w:val="16"/>
                <w:szCs w:val="16"/>
              </w:rPr>
            </w:pPr>
            <w:r w:rsidRPr="00FF756A">
              <w:rPr>
                <w:rFonts w:cs="Times New Roman"/>
                <w:color w:val="FFFFFF"/>
                <w:sz w:val="16"/>
                <w:szCs w:val="16"/>
              </w:rPr>
              <w:t> </w:t>
            </w:r>
          </w:p>
        </w:tc>
        <w:tc>
          <w:tcPr>
            <w:tcW w:w="482" w:type="pct"/>
            <w:shd w:val="clear" w:color="auto" w:fill="4472C4" w:themeFill="accent1"/>
            <w:noWrap/>
            <w:hideMark/>
          </w:tcPr>
          <w:p w14:paraId="30A08645"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sz w:val="16"/>
                <w:szCs w:val="16"/>
              </w:rPr>
            </w:pPr>
            <w:r w:rsidRPr="00FF756A">
              <w:rPr>
                <w:rFonts w:cs="Times New Roman"/>
                <w:color w:val="FFFFFF"/>
                <w:sz w:val="16"/>
                <w:szCs w:val="16"/>
              </w:rPr>
              <w:t> </w:t>
            </w:r>
          </w:p>
        </w:tc>
        <w:tc>
          <w:tcPr>
            <w:tcW w:w="482" w:type="pct"/>
            <w:shd w:val="clear" w:color="auto" w:fill="4472C4" w:themeFill="accent1"/>
            <w:noWrap/>
            <w:hideMark/>
          </w:tcPr>
          <w:p w14:paraId="194BC0C9"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sz w:val="16"/>
                <w:szCs w:val="16"/>
              </w:rPr>
            </w:pPr>
            <w:r w:rsidRPr="00FF756A">
              <w:rPr>
                <w:rFonts w:cs="Times New Roman"/>
                <w:color w:val="FFFFFF"/>
                <w:sz w:val="16"/>
                <w:szCs w:val="16"/>
              </w:rPr>
              <w:t> </w:t>
            </w:r>
          </w:p>
        </w:tc>
        <w:tc>
          <w:tcPr>
            <w:tcW w:w="482" w:type="pct"/>
            <w:shd w:val="clear" w:color="auto" w:fill="4472C4" w:themeFill="accent1"/>
            <w:noWrap/>
            <w:hideMark/>
          </w:tcPr>
          <w:p w14:paraId="0A2FAFF2"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sz w:val="16"/>
                <w:szCs w:val="16"/>
              </w:rPr>
            </w:pPr>
            <w:r w:rsidRPr="00FF756A">
              <w:rPr>
                <w:rFonts w:cs="Times New Roman"/>
                <w:color w:val="FFFFFF"/>
                <w:sz w:val="16"/>
                <w:szCs w:val="16"/>
              </w:rPr>
              <w:t> </w:t>
            </w:r>
          </w:p>
        </w:tc>
        <w:tc>
          <w:tcPr>
            <w:tcW w:w="482" w:type="pct"/>
            <w:shd w:val="clear" w:color="auto" w:fill="4472C4" w:themeFill="accent1"/>
            <w:noWrap/>
            <w:hideMark/>
          </w:tcPr>
          <w:p w14:paraId="627D90FB"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sz w:val="16"/>
                <w:szCs w:val="16"/>
              </w:rPr>
            </w:pPr>
            <w:r w:rsidRPr="00FF756A">
              <w:rPr>
                <w:rFonts w:cs="Times New Roman"/>
                <w:color w:val="FFFFFF"/>
                <w:sz w:val="16"/>
                <w:szCs w:val="16"/>
              </w:rPr>
              <w:t> </w:t>
            </w:r>
          </w:p>
        </w:tc>
        <w:tc>
          <w:tcPr>
            <w:tcW w:w="482" w:type="pct"/>
            <w:shd w:val="clear" w:color="auto" w:fill="4472C4" w:themeFill="accent1"/>
            <w:noWrap/>
            <w:hideMark/>
          </w:tcPr>
          <w:p w14:paraId="062FE4A0"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sz w:val="16"/>
                <w:szCs w:val="16"/>
              </w:rPr>
            </w:pPr>
            <w:r w:rsidRPr="00FF756A">
              <w:rPr>
                <w:rFonts w:cs="Times New Roman"/>
                <w:color w:val="FFFFFF"/>
                <w:sz w:val="16"/>
                <w:szCs w:val="16"/>
              </w:rPr>
              <w:t> </w:t>
            </w:r>
          </w:p>
        </w:tc>
        <w:tc>
          <w:tcPr>
            <w:tcW w:w="482" w:type="pct"/>
            <w:shd w:val="clear" w:color="auto" w:fill="4472C4" w:themeFill="accent1"/>
            <w:noWrap/>
            <w:hideMark/>
          </w:tcPr>
          <w:p w14:paraId="76626FC4"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sz w:val="16"/>
                <w:szCs w:val="16"/>
              </w:rPr>
            </w:pPr>
            <w:r w:rsidRPr="00FF756A">
              <w:rPr>
                <w:rFonts w:cs="Times New Roman"/>
                <w:color w:val="FFFFFF"/>
                <w:sz w:val="16"/>
                <w:szCs w:val="16"/>
              </w:rPr>
              <w:t> </w:t>
            </w:r>
          </w:p>
        </w:tc>
        <w:tc>
          <w:tcPr>
            <w:tcW w:w="449" w:type="pct"/>
            <w:shd w:val="clear" w:color="auto" w:fill="4472C4" w:themeFill="accent1"/>
          </w:tcPr>
          <w:p w14:paraId="3966A166"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sz w:val="16"/>
                <w:szCs w:val="16"/>
              </w:rPr>
            </w:pPr>
          </w:p>
        </w:tc>
      </w:tr>
      <w:tr w:rsidR="00B86FB3" w:rsidRPr="00FF756A" w14:paraId="2341F95D"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1455835A"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Sektori i banesave</w:t>
            </w:r>
          </w:p>
        </w:tc>
        <w:tc>
          <w:tcPr>
            <w:tcW w:w="482" w:type="pct"/>
            <w:noWrap/>
            <w:vAlign w:val="center"/>
            <w:hideMark/>
          </w:tcPr>
          <w:p w14:paraId="2F9CD99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359,9</w:t>
            </w:r>
          </w:p>
        </w:tc>
        <w:tc>
          <w:tcPr>
            <w:tcW w:w="482" w:type="pct"/>
            <w:noWrap/>
            <w:vAlign w:val="center"/>
            <w:hideMark/>
          </w:tcPr>
          <w:p w14:paraId="2F54D4D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363,5</w:t>
            </w:r>
          </w:p>
        </w:tc>
        <w:tc>
          <w:tcPr>
            <w:tcW w:w="482" w:type="pct"/>
            <w:noWrap/>
            <w:vAlign w:val="center"/>
            <w:hideMark/>
          </w:tcPr>
          <w:p w14:paraId="64762B8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353,5</w:t>
            </w:r>
          </w:p>
        </w:tc>
        <w:tc>
          <w:tcPr>
            <w:tcW w:w="482" w:type="pct"/>
            <w:noWrap/>
            <w:vAlign w:val="center"/>
            <w:hideMark/>
          </w:tcPr>
          <w:p w14:paraId="2470915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345,7</w:t>
            </w:r>
          </w:p>
        </w:tc>
        <w:tc>
          <w:tcPr>
            <w:tcW w:w="482" w:type="pct"/>
            <w:noWrap/>
            <w:vAlign w:val="center"/>
            <w:hideMark/>
          </w:tcPr>
          <w:p w14:paraId="0D84926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334,9</w:t>
            </w:r>
          </w:p>
        </w:tc>
        <w:tc>
          <w:tcPr>
            <w:tcW w:w="482" w:type="pct"/>
            <w:noWrap/>
            <w:vAlign w:val="center"/>
            <w:hideMark/>
          </w:tcPr>
          <w:p w14:paraId="31F0F3B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310,2</w:t>
            </w:r>
          </w:p>
        </w:tc>
        <w:tc>
          <w:tcPr>
            <w:tcW w:w="482" w:type="pct"/>
            <w:noWrap/>
            <w:vAlign w:val="center"/>
            <w:hideMark/>
          </w:tcPr>
          <w:p w14:paraId="03C2E18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292,1</w:t>
            </w:r>
          </w:p>
        </w:tc>
        <w:tc>
          <w:tcPr>
            <w:tcW w:w="449" w:type="pct"/>
            <w:vAlign w:val="center"/>
          </w:tcPr>
          <w:p w14:paraId="6653431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328,6</w:t>
            </w:r>
          </w:p>
        </w:tc>
      </w:tr>
      <w:tr w:rsidR="00B86FB3" w:rsidRPr="00FF756A" w14:paraId="137E3235"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3508321D"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Shërbimet</w:t>
            </w:r>
          </w:p>
        </w:tc>
        <w:tc>
          <w:tcPr>
            <w:tcW w:w="482" w:type="pct"/>
            <w:noWrap/>
            <w:vAlign w:val="center"/>
            <w:hideMark/>
          </w:tcPr>
          <w:p w14:paraId="1677476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193,3</w:t>
            </w:r>
          </w:p>
        </w:tc>
        <w:tc>
          <w:tcPr>
            <w:tcW w:w="482" w:type="pct"/>
            <w:noWrap/>
            <w:vAlign w:val="center"/>
            <w:hideMark/>
          </w:tcPr>
          <w:p w14:paraId="78FAC4C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213,9</w:t>
            </w:r>
          </w:p>
        </w:tc>
        <w:tc>
          <w:tcPr>
            <w:tcW w:w="482" w:type="pct"/>
            <w:noWrap/>
            <w:vAlign w:val="center"/>
            <w:hideMark/>
          </w:tcPr>
          <w:p w14:paraId="475B22D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213,9</w:t>
            </w:r>
          </w:p>
        </w:tc>
        <w:tc>
          <w:tcPr>
            <w:tcW w:w="482" w:type="pct"/>
            <w:noWrap/>
            <w:vAlign w:val="center"/>
            <w:hideMark/>
          </w:tcPr>
          <w:p w14:paraId="0E5550C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220,6</w:t>
            </w:r>
          </w:p>
        </w:tc>
        <w:tc>
          <w:tcPr>
            <w:tcW w:w="482" w:type="pct"/>
            <w:noWrap/>
            <w:vAlign w:val="center"/>
            <w:hideMark/>
          </w:tcPr>
          <w:p w14:paraId="7A08A99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237,9</w:t>
            </w:r>
          </w:p>
        </w:tc>
        <w:tc>
          <w:tcPr>
            <w:tcW w:w="482" w:type="pct"/>
            <w:noWrap/>
            <w:vAlign w:val="center"/>
            <w:hideMark/>
          </w:tcPr>
          <w:p w14:paraId="396035F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281,9</w:t>
            </w:r>
          </w:p>
        </w:tc>
        <w:tc>
          <w:tcPr>
            <w:tcW w:w="482" w:type="pct"/>
            <w:noWrap/>
            <w:vAlign w:val="center"/>
            <w:hideMark/>
          </w:tcPr>
          <w:p w14:paraId="3B0332A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368,7</w:t>
            </w:r>
          </w:p>
        </w:tc>
        <w:tc>
          <w:tcPr>
            <w:tcW w:w="449" w:type="pct"/>
            <w:vAlign w:val="center"/>
          </w:tcPr>
          <w:p w14:paraId="04BAF60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447,9</w:t>
            </w:r>
          </w:p>
        </w:tc>
      </w:tr>
      <w:tr w:rsidR="00B86FB3" w:rsidRPr="00FF756A" w14:paraId="4FC2767D"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6B58DACA"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Industria</w:t>
            </w:r>
          </w:p>
        </w:tc>
        <w:tc>
          <w:tcPr>
            <w:tcW w:w="482" w:type="pct"/>
            <w:noWrap/>
            <w:vAlign w:val="center"/>
            <w:hideMark/>
          </w:tcPr>
          <w:p w14:paraId="4ACE78C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923,3</w:t>
            </w:r>
          </w:p>
        </w:tc>
        <w:tc>
          <w:tcPr>
            <w:tcW w:w="482" w:type="pct"/>
            <w:noWrap/>
            <w:vAlign w:val="center"/>
            <w:hideMark/>
          </w:tcPr>
          <w:p w14:paraId="6DFC852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1 186,1</w:t>
            </w:r>
          </w:p>
        </w:tc>
        <w:tc>
          <w:tcPr>
            <w:tcW w:w="482" w:type="pct"/>
            <w:noWrap/>
            <w:vAlign w:val="center"/>
            <w:hideMark/>
          </w:tcPr>
          <w:p w14:paraId="0B8DADC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1 169,8</w:t>
            </w:r>
          </w:p>
        </w:tc>
        <w:tc>
          <w:tcPr>
            <w:tcW w:w="482" w:type="pct"/>
            <w:noWrap/>
            <w:vAlign w:val="center"/>
            <w:hideMark/>
          </w:tcPr>
          <w:p w14:paraId="55502ED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1 197,4</w:t>
            </w:r>
          </w:p>
        </w:tc>
        <w:tc>
          <w:tcPr>
            <w:tcW w:w="482" w:type="pct"/>
            <w:noWrap/>
            <w:vAlign w:val="center"/>
            <w:hideMark/>
          </w:tcPr>
          <w:p w14:paraId="0020D00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1 255,1</w:t>
            </w:r>
          </w:p>
        </w:tc>
        <w:tc>
          <w:tcPr>
            <w:tcW w:w="482" w:type="pct"/>
            <w:noWrap/>
            <w:vAlign w:val="center"/>
            <w:hideMark/>
          </w:tcPr>
          <w:p w14:paraId="05D8AC8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1 415,0</w:t>
            </w:r>
          </w:p>
        </w:tc>
        <w:tc>
          <w:tcPr>
            <w:tcW w:w="482" w:type="pct"/>
            <w:noWrap/>
            <w:vAlign w:val="center"/>
            <w:hideMark/>
          </w:tcPr>
          <w:p w14:paraId="645F7BA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1 779,7</w:t>
            </w:r>
          </w:p>
        </w:tc>
        <w:tc>
          <w:tcPr>
            <w:tcW w:w="449" w:type="pct"/>
            <w:vAlign w:val="center"/>
          </w:tcPr>
          <w:p w14:paraId="3E1892B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2 253,0</w:t>
            </w:r>
          </w:p>
        </w:tc>
      </w:tr>
      <w:tr w:rsidR="00B86FB3" w:rsidRPr="00FF756A" w14:paraId="5961C91E"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72486FBA"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Transporti</w:t>
            </w:r>
          </w:p>
        </w:tc>
        <w:tc>
          <w:tcPr>
            <w:tcW w:w="482" w:type="pct"/>
            <w:noWrap/>
            <w:vAlign w:val="center"/>
            <w:hideMark/>
          </w:tcPr>
          <w:p w14:paraId="5FF3160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1 979,4</w:t>
            </w:r>
          </w:p>
        </w:tc>
        <w:tc>
          <w:tcPr>
            <w:tcW w:w="482" w:type="pct"/>
            <w:noWrap/>
            <w:vAlign w:val="center"/>
            <w:hideMark/>
          </w:tcPr>
          <w:p w14:paraId="0B9FD95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2 099,3</w:t>
            </w:r>
          </w:p>
        </w:tc>
        <w:tc>
          <w:tcPr>
            <w:tcW w:w="482" w:type="pct"/>
            <w:noWrap/>
            <w:vAlign w:val="center"/>
            <w:hideMark/>
          </w:tcPr>
          <w:p w14:paraId="0E61A23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2 180,7</w:t>
            </w:r>
          </w:p>
        </w:tc>
        <w:tc>
          <w:tcPr>
            <w:tcW w:w="482" w:type="pct"/>
            <w:noWrap/>
            <w:vAlign w:val="center"/>
            <w:hideMark/>
          </w:tcPr>
          <w:p w14:paraId="5298057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2 159,3</w:t>
            </w:r>
          </w:p>
        </w:tc>
        <w:tc>
          <w:tcPr>
            <w:tcW w:w="482" w:type="pct"/>
            <w:noWrap/>
            <w:vAlign w:val="center"/>
            <w:hideMark/>
          </w:tcPr>
          <w:p w14:paraId="2D17AED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2 242,4</w:t>
            </w:r>
          </w:p>
        </w:tc>
        <w:tc>
          <w:tcPr>
            <w:tcW w:w="482" w:type="pct"/>
            <w:noWrap/>
            <w:vAlign w:val="center"/>
            <w:hideMark/>
          </w:tcPr>
          <w:p w14:paraId="009BD99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2 457,4</w:t>
            </w:r>
          </w:p>
        </w:tc>
        <w:tc>
          <w:tcPr>
            <w:tcW w:w="482" w:type="pct"/>
            <w:noWrap/>
            <w:vAlign w:val="center"/>
            <w:hideMark/>
          </w:tcPr>
          <w:p w14:paraId="75F7E52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2 911,5</w:t>
            </w:r>
          </w:p>
        </w:tc>
        <w:tc>
          <w:tcPr>
            <w:tcW w:w="449" w:type="pct"/>
            <w:vAlign w:val="center"/>
          </w:tcPr>
          <w:p w14:paraId="421FCF5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3 453,4</w:t>
            </w:r>
          </w:p>
        </w:tc>
      </w:tr>
      <w:tr w:rsidR="00B86FB3" w:rsidRPr="00FF756A" w14:paraId="5D70A159"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176D6A8E"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Bujqësia Pylltaria</w:t>
            </w:r>
          </w:p>
        </w:tc>
        <w:tc>
          <w:tcPr>
            <w:tcW w:w="482" w:type="pct"/>
            <w:noWrap/>
            <w:vAlign w:val="center"/>
            <w:hideMark/>
          </w:tcPr>
          <w:p w14:paraId="5B9D773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173,6</w:t>
            </w:r>
          </w:p>
        </w:tc>
        <w:tc>
          <w:tcPr>
            <w:tcW w:w="482" w:type="pct"/>
            <w:noWrap/>
            <w:vAlign w:val="center"/>
            <w:hideMark/>
          </w:tcPr>
          <w:p w14:paraId="42F36A9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181,9</w:t>
            </w:r>
          </w:p>
        </w:tc>
        <w:tc>
          <w:tcPr>
            <w:tcW w:w="482" w:type="pct"/>
            <w:noWrap/>
            <w:vAlign w:val="center"/>
            <w:hideMark/>
          </w:tcPr>
          <w:p w14:paraId="0F4C4AF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181,9</w:t>
            </w:r>
          </w:p>
        </w:tc>
        <w:tc>
          <w:tcPr>
            <w:tcW w:w="482" w:type="pct"/>
            <w:noWrap/>
            <w:vAlign w:val="center"/>
            <w:hideMark/>
          </w:tcPr>
          <w:p w14:paraId="7CE4BD1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186,4</w:t>
            </w:r>
          </w:p>
        </w:tc>
        <w:tc>
          <w:tcPr>
            <w:tcW w:w="482" w:type="pct"/>
            <w:noWrap/>
            <w:vAlign w:val="center"/>
            <w:hideMark/>
          </w:tcPr>
          <w:p w14:paraId="6E3739F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195,7</w:t>
            </w:r>
          </w:p>
        </w:tc>
        <w:tc>
          <w:tcPr>
            <w:tcW w:w="482" w:type="pct"/>
            <w:noWrap/>
            <w:vAlign w:val="center"/>
            <w:hideMark/>
          </w:tcPr>
          <w:p w14:paraId="57B81A3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221,1</w:t>
            </w:r>
          </w:p>
        </w:tc>
        <w:tc>
          <w:tcPr>
            <w:tcW w:w="482" w:type="pct"/>
            <w:noWrap/>
            <w:vAlign w:val="center"/>
            <w:hideMark/>
          </w:tcPr>
          <w:p w14:paraId="4CD192B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282,4</w:t>
            </w:r>
          </w:p>
        </w:tc>
        <w:tc>
          <w:tcPr>
            <w:tcW w:w="449" w:type="pct"/>
            <w:vAlign w:val="center"/>
          </w:tcPr>
          <w:p w14:paraId="1EF5F97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360,6</w:t>
            </w:r>
          </w:p>
        </w:tc>
      </w:tr>
      <w:tr w:rsidR="00B86FB3" w:rsidRPr="00FF756A" w14:paraId="71EC7E7C"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44EABFFA"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Peshkimi</w:t>
            </w:r>
          </w:p>
        </w:tc>
        <w:tc>
          <w:tcPr>
            <w:tcW w:w="482" w:type="pct"/>
            <w:noWrap/>
            <w:vAlign w:val="center"/>
            <w:hideMark/>
          </w:tcPr>
          <w:p w14:paraId="7CD3C23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122,3</w:t>
            </w:r>
          </w:p>
        </w:tc>
        <w:tc>
          <w:tcPr>
            <w:tcW w:w="482" w:type="pct"/>
            <w:noWrap/>
            <w:vAlign w:val="center"/>
            <w:hideMark/>
          </w:tcPr>
          <w:p w14:paraId="62CDD2F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120,4</w:t>
            </w:r>
          </w:p>
        </w:tc>
        <w:tc>
          <w:tcPr>
            <w:tcW w:w="482" w:type="pct"/>
            <w:noWrap/>
            <w:vAlign w:val="center"/>
            <w:hideMark/>
          </w:tcPr>
          <w:p w14:paraId="0D23A05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120,4</w:t>
            </w:r>
          </w:p>
        </w:tc>
        <w:tc>
          <w:tcPr>
            <w:tcW w:w="482" w:type="pct"/>
            <w:noWrap/>
            <w:vAlign w:val="center"/>
            <w:hideMark/>
          </w:tcPr>
          <w:p w14:paraId="2ACB8D3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126,2</w:t>
            </w:r>
          </w:p>
        </w:tc>
        <w:tc>
          <w:tcPr>
            <w:tcW w:w="482" w:type="pct"/>
            <w:noWrap/>
            <w:vAlign w:val="center"/>
            <w:hideMark/>
          </w:tcPr>
          <w:p w14:paraId="5DF6304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138,4</w:t>
            </w:r>
          </w:p>
        </w:tc>
        <w:tc>
          <w:tcPr>
            <w:tcW w:w="482" w:type="pct"/>
            <w:noWrap/>
            <w:vAlign w:val="center"/>
            <w:hideMark/>
          </w:tcPr>
          <w:p w14:paraId="48A6185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174,5</w:t>
            </w:r>
          </w:p>
        </w:tc>
        <w:tc>
          <w:tcPr>
            <w:tcW w:w="482" w:type="pct"/>
            <w:noWrap/>
            <w:vAlign w:val="center"/>
            <w:hideMark/>
          </w:tcPr>
          <w:p w14:paraId="26FF81B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277,4</w:t>
            </w:r>
          </w:p>
        </w:tc>
        <w:tc>
          <w:tcPr>
            <w:tcW w:w="449" w:type="pct"/>
            <w:vAlign w:val="center"/>
          </w:tcPr>
          <w:p w14:paraId="33201C5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441,1</w:t>
            </w:r>
          </w:p>
        </w:tc>
      </w:tr>
      <w:tr w:rsidR="00B86FB3" w:rsidRPr="00FF756A" w14:paraId="1E9CEDA1"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18BD5A6D" w14:textId="77777777" w:rsidR="00B86FB3" w:rsidRPr="00FF756A" w:rsidRDefault="00B86FB3" w:rsidP="00B86FB3">
            <w:pPr>
              <w:rPr>
                <w:rFonts w:eastAsia="Times New Roman" w:cs="Times New Roman"/>
                <w:sz w:val="16"/>
                <w:szCs w:val="16"/>
              </w:rPr>
            </w:pPr>
            <w:r w:rsidRPr="00FF756A">
              <w:rPr>
                <w:rFonts w:cs="Times New Roman"/>
                <w:sz w:val="16"/>
                <w:szCs w:val="16"/>
              </w:rPr>
              <w:t>Totali</w:t>
            </w:r>
          </w:p>
        </w:tc>
        <w:tc>
          <w:tcPr>
            <w:tcW w:w="482" w:type="pct"/>
            <w:shd w:val="clear" w:color="auto" w:fill="4472C4" w:themeFill="accent1"/>
            <w:noWrap/>
            <w:vAlign w:val="center"/>
            <w:hideMark/>
          </w:tcPr>
          <w:p w14:paraId="3342D95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FFFFFF" w:themeColor="background1"/>
                <w:sz w:val="16"/>
                <w:szCs w:val="18"/>
              </w:rPr>
            </w:pPr>
            <w:r w:rsidRPr="00FF756A">
              <w:rPr>
                <w:rFonts w:cs="Times New Roman"/>
                <w:color w:val="FFFFFF" w:themeColor="background1"/>
                <w:sz w:val="16"/>
                <w:szCs w:val="18"/>
              </w:rPr>
              <w:t>3 751.7</w:t>
            </w:r>
          </w:p>
        </w:tc>
        <w:tc>
          <w:tcPr>
            <w:tcW w:w="482" w:type="pct"/>
            <w:shd w:val="clear" w:color="auto" w:fill="4472C4" w:themeFill="accent1"/>
            <w:noWrap/>
            <w:vAlign w:val="center"/>
            <w:hideMark/>
          </w:tcPr>
          <w:p w14:paraId="2698E55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FFFFFF" w:themeColor="background1"/>
                <w:sz w:val="16"/>
                <w:szCs w:val="18"/>
              </w:rPr>
            </w:pPr>
            <w:r w:rsidRPr="00FF756A">
              <w:rPr>
                <w:rFonts w:cs="Times New Roman"/>
                <w:color w:val="FFFFFF" w:themeColor="background1"/>
                <w:sz w:val="16"/>
                <w:szCs w:val="18"/>
              </w:rPr>
              <w:t>4 165,1</w:t>
            </w:r>
          </w:p>
        </w:tc>
        <w:tc>
          <w:tcPr>
            <w:tcW w:w="482" w:type="pct"/>
            <w:shd w:val="clear" w:color="auto" w:fill="4472C4" w:themeFill="accent1"/>
            <w:noWrap/>
            <w:vAlign w:val="center"/>
            <w:hideMark/>
          </w:tcPr>
          <w:p w14:paraId="52A2919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FFFFFF" w:themeColor="background1"/>
                <w:sz w:val="16"/>
                <w:szCs w:val="18"/>
              </w:rPr>
            </w:pPr>
            <w:r w:rsidRPr="00FF756A">
              <w:rPr>
                <w:rFonts w:cs="Times New Roman"/>
                <w:color w:val="FFFFFF" w:themeColor="background1"/>
                <w:sz w:val="16"/>
                <w:szCs w:val="18"/>
              </w:rPr>
              <w:t>4 220,2</w:t>
            </w:r>
          </w:p>
        </w:tc>
        <w:tc>
          <w:tcPr>
            <w:tcW w:w="482" w:type="pct"/>
            <w:shd w:val="clear" w:color="auto" w:fill="4472C4" w:themeFill="accent1"/>
            <w:noWrap/>
            <w:vAlign w:val="center"/>
            <w:hideMark/>
          </w:tcPr>
          <w:p w14:paraId="41B94CE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FFFFFF" w:themeColor="background1"/>
                <w:sz w:val="16"/>
                <w:szCs w:val="18"/>
              </w:rPr>
            </w:pPr>
            <w:r w:rsidRPr="00FF756A">
              <w:rPr>
                <w:rFonts w:cs="Times New Roman"/>
                <w:color w:val="FFFFFF" w:themeColor="background1"/>
                <w:sz w:val="16"/>
                <w:szCs w:val="18"/>
              </w:rPr>
              <w:t>4 235,6</w:t>
            </w:r>
          </w:p>
        </w:tc>
        <w:tc>
          <w:tcPr>
            <w:tcW w:w="482" w:type="pct"/>
            <w:shd w:val="clear" w:color="auto" w:fill="4472C4" w:themeFill="accent1"/>
            <w:noWrap/>
            <w:vAlign w:val="center"/>
            <w:hideMark/>
          </w:tcPr>
          <w:p w14:paraId="7CC78F4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FFFFFF" w:themeColor="background1"/>
                <w:sz w:val="16"/>
                <w:szCs w:val="18"/>
              </w:rPr>
            </w:pPr>
            <w:r w:rsidRPr="00FF756A">
              <w:rPr>
                <w:rFonts w:cs="Times New Roman"/>
                <w:color w:val="FFFFFF" w:themeColor="background1"/>
                <w:sz w:val="16"/>
                <w:szCs w:val="18"/>
              </w:rPr>
              <w:t>4 404,4</w:t>
            </w:r>
          </w:p>
        </w:tc>
        <w:tc>
          <w:tcPr>
            <w:tcW w:w="482" w:type="pct"/>
            <w:shd w:val="clear" w:color="auto" w:fill="4472C4" w:themeFill="accent1"/>
            <w:noWrap/>
            <w:vAlign w:val="center"/>
            <w:hideMark/>
          </w:tcPr>
          <w:p w14:paraId="0ED0AFC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FFFFFF" w:themeColor="background1"/>
                <w:sz w:val="16"/>
                <w:szCs w:val="18"/>
              </w:rPr>
            </w:pPr>
            <w:r w:rsidRPr="00FF756A">
              <w:rPr>
                <w:rFonts w:cs="Times New Roman"/>
                <w:color w:val="FFFFFF" w:themeColor="background1"/>
                <w:sz w:val="16"/>
                <w:szCs w:val="18"/>
              </w:rPr>
              <w:t>4 860,2</w:t>
            </w:r>
          </w:p>
        </w:tc>
        <w:tc>
          <w:tcPr>
            <w:tcW w:w="482" w:type="pct"/>
            <w:shd w:val="clear" w:color="auto" w:fill="4472C4" w:themeFill="accent1"/>
            <w:noWrap/>
            <w:vAlign w:val="center"/>
            <w:hideMark/>
          </w:tcPr>
          <w:p w14:paraId="76F4FBA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FFFFFF" w:themeColor="background1"/>
                <w:sz w:val="16"/>
                <w:szCs w:val="18"/>
              </w:rPr>
            </w:pPr>
            <w:r w:rsidRPr="00FF756A">
              <w:rPr>
                <w:rFonts w:cs="Times New Roman"/>
                <w:color w:val="FFFFFF" w:themeColor="background1"/>
                <w:sz w:val="16"/>
                <w:szCs w:val="18"/>
              </w:rPr>
              <w:t>5 911,8</w:t>
            </w:r>
          </w:p>
        </w:tc>
        <w:tc>
          <w:tcPr>
            <w:tcW w:w="449" w:type="pct"/>
            <w:shd w:val="clear" w:color="auto" w:fill="4472C4" w:themeFill="accent1"/>
            <w:vAlign w:val="center"/>
          </w:tcPr>
          <w:p w14:paraId="2F6707A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FFFFFF" w:themeColor="background1"/>
                <w:sz w:val="16"/>
                <w:szCs w:val="18"/>
              </w:rPr>
            </w:pPr>
            <w:r w:rsidRPr="00FF756A">
              <w:rPr>
                <w:rFonts w:cs="Times New Roman"/>
                <w:color w:val="FFFFFF" w:themeColor="background1"/>
                <w:sz w:val="16"/>
                <w:szCs w:val="18"/>
              </w:rPr>
              <w:t>7 284,6</w:t>
            </w:r>
          </w:p>
        </w:tc>
      </w:tr>
      <w:tr w:rsidR="00B86FB3" w:rsidRPr="00FF756A" w14:paraId="22DEF1BF"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0555052B"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Kërkesa - Sektori i banesave</w:t>
            </w:r>
          </w:p>
        </w:tc>
        <w:tc>
          <w:tcPr>
            <w:tcW w:w="482" w:type="pct"/>
            <w:shd w:val="clear" w:color="auto" w:fill="4472C4" w:themeFill="accent1"/>
            <w:noWrap/>
            <w:hideMark/>
          </w:tcPr>
          <w:p w14:paraId="29B407A2"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7A95907D"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56D505EB"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4550E19C"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4AEC0453"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5B6EB825"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419B5508"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49" w:type="pct"/>
            <w:shd w:val="clear" w:color="auto" w:fill="4472C4" w:themeFill="accent1"/>
          </w:tcPr>
          <w:p w14:paraId="7F19FBD4"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p>
        </w:tc>
      </w:tr>
      <w:tr w:rsidR="00B86FB3" w:rsidRPr="00FF756A" w14:paraId="7D862771"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5DECFE6F"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Ngrohja e hapësirave</w:t>
            </w:r>
          </w:p>
        </w:tc>
        <w:tc>
          <w:tcPr>
            <w:tcW w:w="482" w:type="pct"/>
            <w:noWrap/>
            <w:vAlign w:val="center"/>
            <w:hideMark/>
          </w:tcPr>
          <w:p w14:paraId="67E9BE3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324,6</w:t>
            </w:r>
          </w:p>
        </w:tc>
        <w:tc>
          <w:tcPr>
            <w:tcW w:w="482" w:type="pct"/>
            <w:noWrap/>
            <w:vAlign w:val="center"/>
            <w:hideMark/>
          </w:tcPr>
          <w:p w14:paraId="0D323DC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328,4</w:t>
            </w:r>
          </w:p>
        </w:tc>
        <w:tc>
          <w:tcPr>
            <w:tcW w:w="482" w:type="pct"/>
            <w:noWrap/>
            <w:vAlign w:val="center"/>
            <w:hideMark/>
          </w:tcPr>
          <w:p w14:paraId="5B7915A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319,1</w:t>
            </w:r>
          </w:p>
        </w:tc>
        <w:tc>
          <w:tcPr>
            <w:tcW w:w="482" w:type="pct"/>
            <w:noWrap/>
            <w:vAlign w:val="center"/>
            <w:hideMark/>
          </w:tcPr>
          <w:p w14:paraId="4F403BA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310,2</w:t>
            </w:r>
          </w:p>
        </w:tc>
        <w:tc>
          <w:tcPr>
            <w:tcW w:w="482" w:type="pct"/>
            <w:noWrap/>
            <w:vAlign w:val="center"/>
            <w:hideMark/>
          </w:tcPr>
          <w:p w14:paraId="6E3E226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299,2</w:t>
            </w:r>
          </w:p>
        </w:tc>
        <w:tc>
          <w:tcPr>
            <w:tcW w:w="482" w:type="pct"/>
            <w:noWrap/>
            <w:vAlign w:val="center"/>
            <w:hideMark/>
          </w:tcPr>
          <w:p w14:paraId="60BBB3D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276,4</w:t>
            </w:r>
          </w:p>
        </w:tc>
        <w:tc>
          <w:tcPr>
            <w:tcW w:w="482" w:type="pct"/>
            <w:noWrap/>
            <w:vAlign w:val="center"/>
            <w:hideMark/>
          </w:tcPr>
          <w:p w14:paraId="1BEF563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254,9</w:t>
            </w:r>
          </w:p>
        </w:tc>
        <w:tc>
          <w:tcPr>
            <w:tcW w:w="449" w:type="pct"/>
            <w:vAlign w:val="center"/>
          </w:tcPr>
          <w:p w14:paraId="47CC23C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287,5</w:t>
            </w:r>
          </w:p>
        </w:tc>
      </w:tr>
      <w:tr w:rsidR="00B86FB3" w:rsidRPr="00FF756A" w14:paraId="01DEF179"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1EA40E31"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Pajisjet elektro-shtëpiake</w:t>
            </w:r>
          </w:p>
        </w:tc>
        <w:tc>
          <w:tcPr>
            <w:tcW w:w="482" w:type="pct"/>
            <w:noWrap/>
            <w:vAlign w:val="center"/>
            <w:hideMark/>
          </w:tcPr>
          <w:p w14:paraId="16C1364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34,2</w:t>
            </w:r>
          </w:p>
        </w:tc>
        <w:tc>
          <w:tcPr>
            <w:tcW w:w="482" w:type="pct"/>
            <w:noWrap/>
            <w:vAlign w:val="center"/>
            <w:hideMark/>
          </w:tcPr>
          <w:p w14:paraId="0D4B4E4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34,2</w:t>
            </w:r>
          </w:p>
        </w:tc>
        <w:tc>
          <w:tcPr>
            <w:tcW w:w="482" w:type="pct"/>
            <w:noWrap/>
            <w:vAlign w:val="center"/>
            <w:hideMark/>
          </w:tcPr>
          <w:p w14:paraId="1D05EA0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33,6</w:t>
            </w:r>
          </w:p>
        </w:tc>
        <w:tc>
          <w:tcPr>
            <w:tcW w:w="482" w:type="pct"/>
            <w:noWrap/>
            <w:vAlign w:val="center"/>
            <w:hideMark/>
          </w:tcPr>
          <w:p w14:paraId="06EF12C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34,8</w:t>
            </w:r>
          </w:p>
        </w:tc>
        <w:tc>
          <w:tcPr>
            <w:tcW w:w="482" w:type="pct"/>
            <w:noWrap/>
            <w:vAlign w:val="center"/>
            <w:hideMark/>
          </w:tcPr>
          <w:p w14:paraId="1CAF99F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35,1</w:t>
            </w:r>
          </w:p>
        </w:tc>
        <w:tc>
          <w:tcPr>
            <w:tcW w:w="482" w:type="pct"/>
            <w:noWrap/>
            <w:vAlign w:val="center"/>
            <w:hideMark/>
          </w:tcPr>
          <w:p w14:paraId="17B3158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33,3</w:t>
            </w:r>
          </w:p>
        </w:tc>
        <w:tc>
          <w:tcPr>
            <w:tcW w:w="482" w:type="pct"/>
            <w:noWrap/>
            <w:vAlign w:val="center"/>
            <w:hideMark/>
          </w:tcPr>
          <w:p w14:paraId="4C4E236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36,8</w:t>
            </w:r>
          </w:p>
        </w:tc>
        <w:tc>
          <w:tcPr>
            <w:tcW w:w="449" w:type="pct"/>
            <w:vAlign w:val="center"/>
          </w:tcPr>
          <w:p w14:paraId="6CB1F3B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40,7</w:t>
            </w:r>
          </w:p>
        </w:tc>
      </w:tr>
      <w:tr w:rsidR="00B86FB3" w:rsidRPr="00FF756A" w14:paraId="384AC35C"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60E26188"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Ftohja e hapësirave</w:t>
            </w:r>
          </w:p>
        </w:tc>
        <w:tc>
          <w:tcPr>
            <w:tcW w:w="482" w:type="pct"/>
            <w:noWrap/>
            <w:vAlign w:val="center"/>
            <w:hideMark/>
          </w:tcPr>
          <w:p w14:paraId="67C48F8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color w:val="000000"/>
                <w:sz w:val="16"/>
                <w:szCs w:val="16"/>
              </w:rPr>
              <w:t>0,0</w:t>
            </w:r>
          </w:p>
        </w:tc>
        <w:tc>
          <w:tcPr>
            <w:tcW w:w="482" w:type="pct"/>
            <w:noWrap/>
            <w:vAlign w:val="center"/>
            <w:hideMark/>
          </w:tcPr>
          <w:p w14:paraId="7AC3E95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color w:val="000000"/>
                <w:sz w:val="16"/>
                <w:szCs w:val="16"/>
              </w:rPr>
              <w:t>0,0</w:t>
            </w:r>
          </w:p>
        </w:tc>
        <w:tc>
          <w:tcPr>
            <w:tcW w:w="482" w:type="pct"/>
            <w:noWrap/>
            <w:vAlign w:val="center"/>
            <w:hideMark/>
          </w:tcPr>
          <w:p w14:paraId="48DB95A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color w:val="000000"/>
                <w:sz w:val="16"/>
                <w:szCs w:val="16"/>
              </w:rPr>
              <w:t>0,0</w:t>
            </w:r>
          </w:p>
        </w:tc>
        <w:tc>
          <w:tcPr>
            <w:tcW w:w="482" w:type="pct"/>
            <w:noWrap/>
            <w:vAlign w:val="center"/>
            <w:hideMark/>
          </w:tcPr>
          <w:p w14:paraId="2B08386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color w:val="000000"/>
                <w:sz w:val="16"/>
                <w:szCs w:val="16"/>
              </w:rPr>
              <w:t>0,0</w:t>
            </w:r>
          </w:p>
        </w:tc>
        <w:tc>
          <w:tcPr>
            <w:tcW w:w="482" w:type="pct"/>
            <w:noWrap/>
            <w:vAlign w:val="center"/>
            <w:hideMark/>
          </w:tcPr>
          <w:p w14:paraId="7568850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color w:val="000000"/>
                <w:sz w:val="16"/>
                <w:szCs w:val="16"/>
              </w:rPr>
              <w:t>0,0</w:t>
            </w:r>
          </w:p>
        </w:tc>
        <w:tc>
          <w:tcPr>
            <w:tcW w:w="482" w:type="pct"/>
            <w:noWrap/>
            <w:vAlign w:val="center"/>
            <w:hideMark/>
          </w:tcPr>
          <w:p w14:paraId="45C3836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color w:val="000000"/>
                <w:sz w:val="16"/>
                <w:szCs w:val="16"/>
              </w:rPr>
              <w:t>0,0</w:t>
            </w:r>
          </w:p>
        </w:tc>
        <w:tc>
          <w:tcPr>
            <w:tcW w:w="482" w:type="pct"/>
            <w:noWrap/>
            <w:vAlign w:val="center"/>
            <w:hideMark/>
          </w:tcPr>
          <w:p w14:paraId="7894F2F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color w:val="000000"/>
                <w:sz w:val="16"/>
                <w:szCs w:val="16"/>
              </w:rPr>
              <w:t>0,0</w:t>
            </w:r>
          </w:p>
        </w:tc>
        <w:tc>
          <w:tcPr>
            <w:tcW w:w="449" w:type="pct"/>
            <w:vAlign w:val="center"/>
          </w:tcPr>
          <w:p w14:paraId="053AB55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color w:val="000000"/>
                <w:sz w:val="16"/>
                <w:szCs w:val="16"/>
              </w:rPr>
              <w:t>0,0</w:t>
            </w:r>
          </w:p>
        </w:tc>
      </w:tr>
      <w:tr w:rsidR="00B86FB3" w:rsidRPr="00FF756A" w14:paraId="63EC6503"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27357F95"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Ngrohja e ujit</w:t>
            </w:r>
          </w:p>
        </w:tc>
        <w:tc>
          <w:tcPr>
            <w:tcW w:w="482" w:type="pct"/>
            <w:noWrap/>
            <w:vAlign w:val="center"/>
            <w:hideMark/>
          </w:tcPr>
          <w:p w14:paraId="4A6C44D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1,0</w:t>
            </w:r>
          </w:p>
        </w:tc>
        <w:tc>
          <w:tcPr>
            <w:tcW w:w="482" w:type="pct"/>
            <w:noWrap/>
            <w:vAlign w:val="center"/>
            <w:hideMark/>
          </w:tcPr>
          <w:p w14:paraId="369960B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0,9</w:t>
            </w:r>
          </w:p>
        </w:tc>
        <w:tc>
          <w:tcPr>
            <w:tcW w:w="482" w:type="pct"/>
            <w:noWrap/>
            <w:vAlign w:val="center"/>
            <w:hideMark/>
          </w:tcPr>
          <w:p w14:paraId="3520354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0,8</w:t>
            </w:r>
          </w:p>
        </w:tc>
        <w:tc>
          <w:tcPr>
            <w:tcW w:w="482" w:type="pct"/>
            <w:noWrap/>
            <w:vAlign w:val="center"/>
            <w:hideMark/>
          </w:tcPr>
          <w:p w14:paraId="2FA9CF9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0,7</w:t>
            </w:r>
          </w:p>
        </w:tc>
        <w:tc>
          <w:tcPr>
            <w:tcW w:w="482" w:type="pct"/>
            <w:noWrap/>
            <w:vAlign w:val="center"/>
            <w:hideMark/>
          </w:tcPr>
          <w:p w14:paraId="208DE76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0,6</w:t>
            </w:r>
          </w:p>
        </w:tc>
        <w:tc>
          <w:tcPr>
            <w:tcW w:w="482" w:type="pct"/>
            <w:noWrap/>
            <w:vAlign w:val="center"/>
            <w:hideMark/>
          </w:tcPr>
          <w:p w14:paraId="7EF2B3C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0,5</w:t>
            </w:r>
          </w:p>
        </w:tc>
        <w:tc>
          <w:tcPr>
            <w:tcW w:w="482" w:type="pct"/>
            <w:noWrap/>
            <w:vAlign w:val="center"/>
            <w:hideMark/>
          </w:tcPr>
          <w:p w14:paraId="3FE6D77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0,4</w:t>
            </w:r>
          </w:p>
        </w:tc>
        <w:tc>
          <w:tcPr>
            <w:tcW w:w="449" w:type="pct"/>
            <w:vAlign w:val="center"/>
          </w:tcPr>
          <w:p w14:paraId="15E3EC4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0,4</w:t>
            </w:r>
          </w:p>
        </w:tc>
      </w:tr>
      <w:tr w:rsidR="00B86FB3" w:rsidRPr="00FF756A" w14:paraId="4931BA14"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7EEC22A4" w14:textId="77777777" w:rsidR="00B86FB3" w:rsidRPr="00FF756A" w:rsidRDefault="00B86FB3" w:rsidP="00B86FB3">
            <w:pPr>
              <w:rPr>
                <w:rFonts w:eastAsia="Times New Roman" w:cs="Times New Roman"/>
                <w:sz w:val="16"/>
                <w:szCs w:val="16"/>
              </w:rPr>
            </w:pPr>
            <w:r w:rsidRPr="00FF756A">
              <w:rPr>
                <w:rFonts w:cs="Times New Roman"/>
                <w:sz w:val="16"/>
                <w:szCs w:val="16"/>
              </w:rPr>
              <w:t>Totali</w:t>
            </w:r>
          </w:p>
        </w:tc>
        <w:tc>
          <w:tcPr>
            <w:tcW w:w="482" w:type="pct"/>
            <w:shd w:val="clear" w:color="auto" w:fill="4472C4" w:themeFill="accent1"/>
            <w:noWrap/>
            <w:vAlign w:val="center"/>
            <w:hideMark/>
          </w:tcPr>
          <w:p w14:paraId="43F9E5C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FFFFFF" w:themeColor="background1"/>
                <w:sz w:val="16"/>
                <w:szCs w:val="16"/>
              </w:rPr>
            </w:pPr>
            <w:r w:rsidRPr="00FF756A">
              <w:rPr>
                <w:rFonts w:cs="Times New Roman"/>
                <w:color w:val="FFFFFF" w:themeColor="background1"/>
                <w:sz w:val="16"/>
                <w:szCs w:val="16"/>
              </w:rPr>
              <w:t>359,9</w:t>
            </w:r>
          </w:p>
        </w:tc>
        <w:tc>
          <w:tcPr>
            <w:tcW w:w="482" w:type="pct"/>
            <w:shd w:val="clear" w:color="auto" w:fill="4472C4" w:themeFill="accent1"/>
            <w:noWrap/>
            <w:vAlign w:val="center"/>
            <w:hideMark/>
          </w:tcPr>
          <w:p w14:paraId="64F0512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FFFFFF" w:themeColor="background1"/>
                <w:sz w:val="16"/>
                <w:szCs w:val="16"/>
              </w:rPr>
            </w:pPr>
            <w:r w:rsidRPr="00FF756A">
              <w:rPr>
                <w:rFonts w:cs="Times New Roman"/>
                <w:color w:val="FFFFFF" w:themeColor="background1"/>
                <w:sz w:val="16"/>
                <w:szCs w:val="16"/>
              </w:rPr>
              <w:t>363,5</w:t>
            </w:r>
          </w:p>
        </w:tc>
        <w:tc>
          <w:tcPr>
            <w:tcW w:w="482" w:type="pct"/>
            <w:shd w:val="clear" w:color="auto" w:fill="4472C4" w:themeFill="accent1"/>
            <w:noWrap/>
            <w:vAlign w:val="center"/>
            <w:hideMark/>
          </w:tcPr>
          <w:p w14:paraId="7266A49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FFFFFF" w:themeColor="background1"/>
                <w:sz w:val="16"/>
                <w:szCs w:val="16"/>
              </w:rPr>
            </w:pPr>
            <w:r w:rsidRPr="00FF756A">
              <w:rPr>
                <w:rFonts w:cs="Times New Roman"/>
                <w:color w:val="FFFFFF" w:themeColor="background1"/>
                <w:sz w:val="16"/>
                <w:szCs w:val="16"/>
              </w:rPr>
              <w:t>353,5</w:t>
            </w:r>
          </w:p>
        </w:tc>
        <w:tc>
          <w:tcPr>
            <w:tcW w:w="482" w:type="pct"/>
            <w:shd w:val="clear" w:color="auto" w:fill="4472C4" w:themeFill="accent1"/>
            <w:noWrap/>
            <w:vAlign w:val="center"/>
            <w:hideMark/>
          </w:tcPr>
          <w:p w14:paraId="66C59AC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FFFFFF" w:themeColor="background1"/>
                <w:sz w:val="16"/>
                <w:szCs w:val="16"/>
              </w:rPr>
            </w:pPr>
            <w:r w:rsidRPr="00FF756A">
              <w:rPr>
                <w:rFonts w:cs="Times New Roman"/>
                <w:color w:val="FFFFFF" w:themeColor="background1"/>
                <w:sz w:val="16"/>
                <w:szCs w:val="16"/>
              </w:rPr>
              <w:t>345,7</w:t>
            </w:r>
          </w:p>
        </w:tc>
        <w:tc>
          <w:tcPr>
            <w:tcW w:w="482" w:type="pct"/>
            <w:shd w:val="clear" w:color="auto" w:fill="4472C4" w:themeFill="accent1"/>
            <w:noWrap/>
            <w:vAlign w:val="center"/>
            <w:hideMark/>
          </w:tcPr>
          <w:p w14:paraId="45D0E29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FFFFFF" w:themeColor="background1"/>
                <w:sz w:val="16"/>
                <w:szCs w:val="16"/>
              </w:rPr>
            </w:pPr>
            <w:r w:rsidRPr="00FF756A">
              <w:rPr>
                <w:rFonts w:cs="Times New Roman"/>
                <w:color w:val="FFFFFF" w:themeColor="background1"/>
                <w:sz w:val="16"/>
                <w:szCs w:val="16"/>
              </w:rPr>
              <w:t>334,9</w:t>
            </w:r>
          </w:p>
        </w:tc>
        <w:tc>
          <w:tcPr>
            <w:tcW w:w="482" w:type="pct"/>
            <w:shd w:val="clear" w:color="auto" w:fill="4472C4" w:themeFill="accent1"/>
            <w:noWrap/>
            <w:vAlign w:val="center"/>
            <w:hideMark/>
          </w:tcPr>
          <w:p w14:paraId="7990E00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FFFFFF" w:themeColor="background1"/>
                <w:sz w:val="16"/>
                <w:szCs w:val="16"/>
              </w:rPr>
            </w:pPr>
            <w:r w:rsidRPr="00FF756A">
              <w:rPr>
                <w:rFonts w:cs="Times New Roman"/>
                <w:color w:val="FFFFFF" w:themeColor="background1"/>
                <w:sz w:val="16"/>
                <w:szCs w:val="16"/>
              </w:rPr>
              <w:t>310,2</w:t>
            </w:r>
          </w:p>
        </w:tc>
        <w:tc>
          <w:tcPr>
            <w:tcW w:w="482" w:type="pct"/>
            <w:shd w:val="clear" w:color="auto" w:fill="4472C4" w:themeFill="accent1"/>
            <w:noWrap/>
            <w:vAlign w:val="center"/>
            <w:hideMark/>
          </w:tcPr>
          <w:p w14:paraId="45EFDA2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FFFFFF" w:themeColor="background1"/>
                <w:sz w:val="16"/>
                <w:szCs w:val="16"/>
              </w:rPr>
            </w:pPr>
            <w:r w:rsidRPr="00FF756A">
              <w:rPr>
                <w:rFonts w:cs="Times New Roman"/>
                <w:color w:val="FFFFFF" w:themeColor="background1"/>
                <w:sz w:val="16"/>
                <w:szCs w:val="16"/>
              </w:rPr>
              <w:t>292,1</w:t>
            </w:r>
          </w:p>
        </w:tc>
        <w:tc>
          <w:tcPr>
            <w:tcW w:w="449" w:type="pct"/>
            <w:shd w:val="clear" w:color="auto" w:fill="4472C4" w:themeFill="accent1"/>
            <w:vAlign w:val="center"/>
          </w:tcPr>
          <w:p w14:paraId="1D90705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FFFFFF" w:themeColor="background1"/>
                <w:sz w:val="16"/>
                <w:szCs w:val="16"/>
              </w:rPr>
            </w:pPr>
            <w:r w:rsidRPr="00FF756A">
              <w:rPr>
                <w:rFonts w:cs="Times New Roman"/>
                <w:color w:val="FFFFFF" w:themeColor="background1"/>
                <w:sz w:val="16"/>
                <w:szCs w:val="16"/>
              </w:rPr>
              <w:t>328,6</w:t>
            </w:r>
          </w:p>
        </w:tc>
      </w:tr>
      <w:tr w:rsidR="00B86FB3" w:rsidRPr="00FF756A" w14:paraId="5506BBA6"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13BC6543"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Kërkesa - Shërbimet</w:t>
            </w:r>
          </w:p>
        </w:tc>
        <w:tc>
          <w:tcPr>
            <w:tcW w:w="482" w:type="pct"/>
            <w:shd w:val="clear" w:color="auto" w:fill="4472C4" w:themeFill="accent1"/>
            <w:noWrap/>
            <w:hideMark/>
          </w:tcPr>
          <w:p w14:paraId="3D858691"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4688509A"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7688FB4F"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001DFDF7"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19A48E60"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58F6C1B5"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0D7213E1"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49" w:type="pct"/>
            <w:shd w:val="clear" w:color="auto" w:fill="4472C4" w:themeFill="accent1"/>
          </w:tcPr>
          <w:p w14:paraId="6C716398"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p>
        </w:tc>
      </w:tr>
      <w:tr w:rsidR="00B86FB3" w:rsidRPr="00FF756A" w14:paraId="2153D639"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7E59ABD6"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Tregtia</w:t>
            </w:r>
          </w:p>
        </w:tc>
        <w:tc>
          <w:tcPr>
            <w:tcW w:w="482" w:type="pct"/>
            <w:noWrap/>
            <w:vAlign w:val="center"/>
            <w:hideMark/>
          </w:tcPr>
          <w:p w14:paraId="51223D7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29,5</w:t>
            </w:r>
          </w:p>
        </w:tc>
        <w:tc>
          <w:tcPr>
            <w:tcW w:w="482" w:type="pct"/>
            <w:noWrap/>
            <w:vAlign w:val="center"/>
            <w:hideMark/>
          </w:tcPr>
          <w:p w14:paraId="299C902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31,5</w:t>
            </w:r>
          </w:p>
        </w:tc>
        <w:tc>
          <w:tcPr>
            <w:tcW w:w="482" w:type="pct"/>
            <w:noWrap/>
            <w:vAlign w:val="center"/>
            <w:hideMark/>
          </w:tcPr>
          <w:p w14:paraId="7652785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31,5</w:t>
            </w:r>
          </w:p>
        </w:tc>
        <w:tc>
          <w:tcPr>
            <w:tcW w:w="482" w:type="pct"/>
            <w:noWrap/>
            <w:vAlign w:val="center"/>
            <w:hideMark/>
          </w:tcPr>
          <w:p w14:paraId="54E065F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33,7</w:t>
            </w:r>
          </w:p>
        </w:tc>
        <w:tc>
          <w:tcPr>
            <w:tcW w:w="482" w:type="pct"/>
            <w:noWrap/>
            <w:vAlign w:val="center"/>
            <w:hideMark/>
          </w:tcPr>
          <w:p w14:paraId="3FB4C15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37,4</w:t>
            </w:r>
          </w:p>
        </w:tc>
        <w:tc>
          <w:tcPr>
            <w:tcW w:w="482" w:type="pct"/>
            <w:noWrap/>
            <w:vAlign w:val="center"/>
            <w:hideMark/>
          </w:tcPr>
          <w:p w14:paraId="146B310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45,6</w:t>
            </w:r>
          </w:p>
        </w:tc>
        <w:tc>
          <w:tcPr>
            <w:tcW w:w="482" w:type="pct"/>
            <w:noWrap/>
            <w:vAlign w:val="center"/>
            <w:hideMark/>
          </w:tcPr>
          <w:p w14:paraId="6F44B96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55,3</w:t>
            </w:r>
          </w:p>
        </w:tc>
        <w:tc>
          <w:tcPr>
            <w:tcW w:w="449" w:type="pct"/>
            <w:vAlign w:val="center"/>
          </w:tcPr>
          <w:p w14:paraId="3A887DE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56,9</w:t>
            </w:r>
          </w:p>
        </w:tc>
      </w:tr>
      <w:tr w:rsidR="00B86FB3" w:rsidRPr="00FF756A" w14:paraId="7940A086"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284E1C7B"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Akomodimi dhe ushqimi</w:t>
            </w:r>
          </w:p>
        </w:tc>
        <w:tc>
          <w:tcPr>
            <w:tcW w:w="482" w:type="pct"/>
            <w:noWrap/>
            <w:vAlign w:val="center"/>
            <w:hideMark/>
          </w:tcPr>
          <w:p w14:paraId="57A7510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11,1</w:t>
            </w:r>
          </w:p>
        </w:tc>
        <w:tc>
          <w:tcPr>
            <w:tcW w:w="482" w:type="pct"/>
            <w:noWrap/>
            <w:vAlign w:val="center"/>
            <w:hideMark/>
          </w:tcPr>
          <w:p w14:paraId="48DB87A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11,9</w:t>
            </w:r>
          </w:p>
        </w:tc>
        <w:tc>
          <w:tcPr>
            <w:tcW w:w="482" w:type="pct"/>
            <w:noWrap/>
            <w:vAlign w:val="center"/>
            <w:hideMark/>
          </w:tcPr>
          <w:p w14:paraId="28EFE7E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11,9</w:t>
            </w:r>
          </w:p>
        </w:tc>
        <w:tc>
          <w:tcPr>
            <w:tcW w:w="482" w:type="pct"/>
            <w:noWrap/>
            <w:vAlign w:val="center"/>
            <w:hideMark/>
          </w:tcPr>
          <w:p w14:paraId="16A0B21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12,9</w:t>
            </w:r>
          </w:p>
        </w:tc>
        <w:tc>
          <w:tcPr>
            <w:tcW w:w="482" w:type="pct"/>
            <w:noWrap/>
            <w:vAlign w:val="center"/>
            <w:hideMark/>
          </w:tcPr>
          <w:p w14:paraId="2DDD953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14,8</w:t>
            </w:r>
          </w:p>
        </w:tc>
        <w:tc>
          <w:tcPr>
            <w:tcW w:w="482" w:type="pct"/>
            <w:noWrap/>
            <w:vAlign w:val="center"/>
            <w:hideMark/>
          </w:tcPr>
          <w:p w14:paraId="28B15B6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20,0</w:t>
            </w:r>
          </w:p>
        </w:tc>
        <w:tc>
          <w:tcPr>
            <w:tcW w:w="482" w:type="pct"/>
            <w:noWrap/>
            <w:vAlign w:val="center"/>
            <w:hideMark/>
          </w:tcPr>
          <w:p w14:paraId="370C801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27,8</w:t>
            </w:r>
          </w:p>
        </w:tc>
        <w:tc>
          <w:tcPr>
            <w:tcW w:w="449" w:type="pct"/>
            <w:vAlign w:val="center"/>
          </w:tcPr>
          <w:p w14:paraId="759BE8D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29,9</w:t>
            </w:r>
          </w:p>
        </w:tc>
      </w:tr>
      <w:tr w:rsidR="00B86FB3" w:rsidRPr="00FF756A" w14:paraId="0E431B4E"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3F5B30D6"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Administrata publike</w:t>
            </w:r>
          </w:p>
        </w:tc>
        <w:tc>
          <w:tcPr>
            <w:tcW w:w="482" w:type="pct"/>
            <w:noWrap/>
            <w:vAlign w:val="center"/>
            <w:hideMark/>
          </w:tcPr>
          <w:p w14:paraId="286D5AD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15,1</w:t>
            </w:r>
          </w:p>
        </w:tc>
        <w:tc>
          <w:tcPr>
            <w:tcW w:w="482" w:type="pct"/>
            <w:noWrap/>
            <w:vAlign w:val="center"/>
            <w:hideMark/>
          </w:tcPr>
          <w:p w14:paraId="0642761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16,2</w:t>
            </w:r>
          </w:p>
        </w:tc>
        <w:tc>
          <w:tcPr>
            <w:tcW w:w="482" w:type="pct"/>
            <w:noWrap/>
            <w:vAlign w:val="center"/>
            <w:hideMark/>
          </w:tcPr>
          <w:p w14:paraId="3EB952F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16,2</w:t>
            </w:r>
          </w:p>
        </w:tc>
        <w:tc>
          <w:tcPr>
            <w:tcW w:w="482" w:type="pct"/>
            <w:noWrap/>
            <w:vAlign w:val="center"/>
            <w:hideMark/>
          </w:tcPr>
          <w:p w14:paraId="66B04B7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15,6</w:t>
            </w:r>
          </w:p>
        </w:tc>
        <w:tc>
          <w:tcPr>
            <w:tcW w:w="482" w:type="pct"/>
            <w:noWrap/>
            <w:vAlign w:val="center"/>
            <w:hideMark/>
          </w:tcPr>
          <w:p w14:paraId="144C9CA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15,7</w:t>
            </w:r>
          </w:p>
        </w:tc>
        <w:tc>
          <w:tcPr>
            <w:tcW w:w="482" w:type="pct"/>
            <w:noWrap/>
            <w:vAlign w:val="center"/>
            <w:hideMark/>
          </w:tcPr>
          <w:p w14:paraId="5A228CE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15,4</w:t>
            </w:r>
          </w:p>
        </w:tc>
        <w:tc>
          <w:tcPr>
            <w:tcW w:w="482" w:type="pct"/>
            <w:noWrap/>
            <w:vAlign w:val="center"/>
            <w:hideMark/>
          </w:tcPr>
          <w:p w14:paraId="7A83884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13,9</w:t>
            </w:r>
          </w:p>
        </w:tc>
        <w:tc>
          <w:tcPr>
            <w:tcW w:w="449" w:type="pct"/>
            <w:vAlign w:val="center"/>
          </w:tcPr>
          <w:p w14:paraId="230EEA6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11,5</w:t>
            </w:r>
          </w:p>
        </w:tc>
      </w:tr>
      <w:tr w:rsidR="00B86FB3" w:rsidRPr="00FF756A" w14:paraId="00BFF9B8"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3F7B476B"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Arsimi</w:t>
            </w:r>
          </w:p>
        </w:tc>
        <w:tc>
          <w:tcPr>
            <w:tcW w:w="482" w:type="pct"/>
            <w:noWrap/>
            <w:vAlign w:val="center"/>
            <w:hideMark/>
          </w:tcPr>
          <w:p w14:paraId="776FA3A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22,6</w:t>
            </w:r>
          </w:p>
        </w:tc>
        <w:tc>
          <w:tcPr>
            <w:tcW w:w="482" w:type="pct"/>
            <w:noWrap/>
            <w:vAlign w:val="center"/>
            <w:hideMark/>
          </w:tcPr>
          <w:p w14:paraId="10E6C21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20,8</w:t>
            </w:r>
          </w:p>
        </w:tc>
        <w:tc>
          <w:tcPr>
            <w:tcW w:w="482" w:type="pct"/>
            <w:noWrap/>
            <w:vAlign w:val="center"/>
            <w:hideMark/>
          </w:tcPr>
          <w:p w14:paraId="7FB1E16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20,8</w:t>
            </w:r>
          </w:p>
        </w:tc>
        <w:tc>
          <w:tcPr>
            <w:tcW w:w="482" w:type="pct"/>
            <w:noWrap/>
            <w:vAlign w:val="center"/>
            <w:hideMark/>
          </w:tcPr>
          <w:p w14:paraId="6621D4F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20,1</w:t>
            </w:r>
          </w:p>
        </w:tc>
        <w:tc>
          <w:tcPr>
            <w:tcW w:w="482" w:type="pct"/>
            <w:noWrap/>
            <w:vAlign w:val="center"/>
            <w:hideMark/>
          </w:tcPr>
          <w:p w14:paraId="3AF49EF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20,2</w:t>
            </w:r>
          </w:p>
        </w:tc>
        <w:tc>
          <w:tcPr>
            <w:tcW w:w="482" w:type="pct"/>
            <w:noWrap/>
            <w:vAlign w:val="center"/>
            <w:hideMark/>
          </w:tcPr>
          <w:p w14:paraId="558428C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19,9</w:t>
            </w:r>
          </w:p>
        </w:tc>
        <w:tc>
          <w:tcPr>
            <w:tcW w:w="482" w:type="pct"/>
            <w:noWrap/>
            <w:vAlign w:val="center"/>
            <w:hideMark/>
          </w:tcPr>
          <w:p w14:paraId="4A1D1E1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18,0</w:t>
            </w:r>
          </w:p>
        </w:tc>
        <w:tc>
          <w:tcPr>
            <w:tcW w:w="449" w:type="pct"/>
            <w:vAlign w:val="center"/>
          </w:tcPr>
          <w:p w14:paraId="5A18B40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14,8</w:t>
            </w:r>
          </w:p>
        </w:tc>
      </w:tr>
      <w:tr w:rsidR="00B86FB3" w:rsidRPr="00FF756A" w14:paraId="2B3C9602"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5FDBB4A6"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Shëndetësia</w:t>
            </w:r>
          </w:p>
        </w:tc>
        <w:tc>
          <w:tcPr>
            <w:tcW w:w="482" w:type="pct"/>
            <w:noWrap/>
            <w:vAlign w:val="center"/>
            <w:hideMark/>
          </w:tcPr>
          <w:p w14:paraId="0AAE35F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19,8</w:t>
            </w:r>
          </w:p>
        </w:tc>
        <w:tc>
          <w:tcPr>
            <w:tcW w:w="482" w:type="pct"/>
            <w:noWrap/>
            <w:vAlign w:val="center"/>
            <w:hideMark/>
          </w:tcPr>
          <w:p w14:paraId="5859657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20,9</w:t>
            </w:r>
          </w:p>
        </w:tc>
        <w:tc>
          <w:tcPr>
            <w:tcW w:w="482" w:type="pct"/>
            <w:noWrap/>
            <w:vAlign w:val="center"/>
            <w:hideMark/>
          </w:tcPr>
          <w:p w14:paraId="7895DE5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20,9</w:t>
            </w:r>
          </w:p>
        </w:tc>
        <w:tc>
          <w:tcPr>
            <w:tcW w:w="482" w:type="pct"/>
            <w:noWrap/>
            <w:vAlign w:val="center"/>
            <w:hideMark/>
          </w:tcPr>
          <w:p w14:paraId="2880A41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20,2</w:t>
            </w:r>
          </w:p>
        </w:tc>
        <w:tc>
          <w:tcPr>
            <w:tcW w:w="482" w:type="pct"/>
            <w:noWrap/>
            <w:vAlign w:val="center"/>
            <w:hideMark/>
          </w:tcPr>
          <w:p w14:paraId="6A23445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20,2</w:t>
            </w:r>
          </w:p>
        </w:tc>
        <w:tc>
          <w:tcPr>
            <w:tcW w:w="482" w:type="pct"/>
            <w:noWrap/>
            <w:vAlign w:val="center"/>
            <w:hideMark/>
          </w:tcPr>
          <w:p w14:paraId="6601BCD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19,9</w:t>
            </w:r>
          </w:p>
        </w:tc>
        <w:tc>
          <w:tcPr>
            <w:tcW w:w="482" w:type="pct"/>
            <w:noWrap/>
            <w:vAlign w:val="center"/>
            <w:hideMark/>
          </w:tcPr>
          <w:p w14:paraId="6BB6218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18,0</w:t>
            </w:r>
          </w:p>
        </w:tc>
        <w:tc>
          <w:tcPr>
            <w:tcW w:w="449" w:type="pct"/>
            <w:vAlign w:val="center"/>
          </w:tcPr>
          <w:p w14:paraId="453206D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14,8</w:t>
            </w:r>
          </w:p>
        </w:tc>
      </w:tr>
      <w:tr w:rsidR="00B86FB3" w:rsidRPr="00FF756A" w14:paraId="6078D819"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4E539DE5"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Shërbime të tjera</w:t>
            </w:r>
          </w:p>
        </w:tc>
        <w:tc>
          <w:tcPr>
            <w:tcW w:w="482" w:type="pct"/>
            <w:noWrap/>
            <w:vAlign w:val="center"/>
            <w:hideMark/>
          </w:tcPr>
          <w:p w14:paraId="78DD4BD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95,1</w:t>
            </w:r>
          </w:p>
        </w:tc>
        <w:tc>
          <w:tcPr>
            <w:tcW w:w="482" w:type="pct"/>
            <w:noWrap/>
            <w:vAlign w:val="center"/>
            <w:hideMark/>
          </w:tcPr>
          <w:p w14:paraId="5CB3FF7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112,6</w:t>
            </w:r>
          </w:p>
        </w:tc>
        <w:tc>
          <w:tcPr>
            <w:tcW w:w="482" w:type="pct"/>
            <w:noWrap/>
            <w:vAlign w:val="center"/>
            <w:hideMark/>
          </w:tcPr>
          <w:p w14:paraId="005BD86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112,6</w:t>
            </w:r>
          </w:p>
        </w:tc>
        <w:tc>
          <w:tcPr>
            <w:tcW w:w="482" w:type="pct"/>
            <w:noWrap/>
            <w:vAlign w:val="center"/>
            <w:hideMark/>
          </w:tcPr>
          <w:p w14:paraId="5E89203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118,1</w:t>
            </w:r>
          </w:p>
        </w:tc>
        <w:tc>
          <w:tcPr>
            <w:tcW w:w="482" w:type="pct"/>
            <w:noWrap/>
            <w:vAlign w:val="center"/>
            <w:hideMark/>
          </w:tcPr>
          <w:p w14:paraId="4DA6889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129,5</w:t>
            </w:r>
          </w:p>
        </w:tc>
        <w:tc>
          <w:tcPr>
            <w:tcW w:w="482" w:type="pct"/>
            <w:noWrap/>
            <w:vAlign w:val="center"/>
            <w:hideMark/>
          </w:tcPr>
          <w:p w14:paraId="08D22B0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161,1</w:t>
            </w:r>
          </w:p>
        </w:tc>
        <w:tc>
          <w:tcPr>
            <w:tcW w:w="482" w:type="pct"/>
            <w:noWrap/>
            <w:vAlign w:val="center"/>
            <w:hideMark/>
          </w:tcPr>
          <w:p w14:paraId="01CA355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235,7</w:t>
            </w:r>
          </w:p>
        </w:tc>
        <w:tc>
          <w:tcPr>
            <w:tcW w:w="449" w:type="pct"/>
            <w:vAlign w:val="center"/>
          </w:tcPr>
          <w:p w14:paraId="456C229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320,0</w:t>
            </w:r>
          </w:p>
        </w:tc>
      </w:tr>
      <w:tr w:rsidR="00B86FB3" w:rsidRPr="00FF756A" w14:paraId="5BF2FF76"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1707199E" w14:textId="77777777" w:rsidR="00B86FB3" w:rsidRPr="00FF756A" w:rsidRDefault="00B86FB3" w:rsidP="00B86FB3">
            <w:pPr>
              <w:rPr>
                <w:rFonts w:eastAsia="Times New Roman" w:cs="Times New Roman"/>
                <w:sz w:val="16"/>
                <w:szCs w:val="16"/>
              </w:rPr>
            </w:pPr>
            <w:r w:rsidRPr="00FF756A">
              <w:rPr>
                <w:rFonts w:cs="Times New Roman"/>
                <w:sz w:val="16"/>
                <w:szCs w:val="16"/>
              </w:rPr>
              <w:t>Totali</w:t>
            </w:r>
          </w:p>
        </w:tc>
        <w:tc>
          <w:tcPr>
            <w:tcW w:w="482" w:type="pct"/>
            <w:shd w:val="clear" w:color="auto" w:fill="4472C4" w:themeFill="accent1"/>
            <w:noWrap/>
            <w:vAlign w:val="center"/>
            <w:hideMark/>
          </w:tcPr>
          <w:p w14:paraId="066E706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193,3</w:t>
            </w:r>
          </w:p>
        </w:tc>
        <w:tc>
          <w:tcPr>
            <w:tcW w:w="482" w:type="pct"/>
            <w:shd w:val="clear" w:color="auto" w:fill="4472C4" w:themeFill="accent1"/>
            <w:noWrap/>
            <w:vAlign w:val="center"/>
            <w:hideMark/>
          </w:tcPr>
          <w:p w14:paraId="55DB0D7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213,9</w:t>
            </w:r>
          </w:p>
        </w:tc>
        <w:tc>
          <w:tcPr>
            <w:tcW w:w="482" w:type="pct"/>
            <w:shd w:val="clear" w:color="auto" w:fill="4472C4" w:themeFill="accent1"/>
            <w:noWrap/>
            <w:vAlign w:val="center"/>
            <w:hideMark/>
          </w:tcPr>
          <w:p w14:paraId="4FA147B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213,9</w:t>
            </w:r>
          </w:p>
        </w:tc>
        <w:tc>
          <w:tcPr>
            <w:tcW w:w="482" w:type="pct"/>
            <w:shd w:val="clear" w:color="auto" w:fill="4472C4" w:themeFill="accent1"/>
            <w:noWrap/>
            <w:vAlign w:val="center"/>
            <w:hideMark/>
          </w:tcPr>
          <w:p w14:paraId="7949AA2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220,6</w:t>
            </w:r>
          </w:p>
        </w:tc>
        <w:tc>
          <w:tcPr>
            <w:tcW w:w="482" w:type="pct"/>
            <w:shd w:val="clear" w:color="auto" w:fill="4472C4" w:themeFill="accent1"/>
            <w:noWrap/>
            <w:vAlign w:val="center"/>
            <w:hideMark/>
          </w:tcPr>
          <w:p w14:paraId="1A1240A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237,9</w:t>
            </w:r>
          </w:p>
        </w:tc>
        <w:tc>
          <w:tcPr>
            <w:tcW w:w="482" w:type="pct"/>
            <w:shd w:val="clear" w:color="auto" w:fill="4472C4" w:themeFill="accent1"/>
            <w:noWrap/>
            <w:vAlign w:val="center"/>
            <w:hideMark/>
          </w:tcPr>
          <w:p w14:paraId="4946815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281,9</w:t>
            </w:r>
          </w:p>
        </w:tc>
        <w:tc>
          <w:tcPr>
            <w:tcW w:w="482" w:type="pct"/>
            <w:shd w:val="clear" w:color="auto" w:fill="4472C4" w:themeFill="accent1"/>
            <w:noWrap/>
            <w:vAlign w:val="center"/>
            <w:hideMark/>
          </w:tcPr>
          <w:p w14:paraId="30DD7F9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368,7</w:t>
            </w:r>
          </w:p>
        </w:tc>
        <w:tc>
          <w:tcPr>
            <w:tcW w:w="449" w:type="pct"/>
            <w:shd w:val="clear" w:color="auto" w:fill="4472C4" w:themeFill="accent1"/>
            <w:vAlign w:val="center"/>
          </w:tcPr>
          <w:p w14:paraId="3C747D2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447,9</w:t>
            </w:r>
          </w:p>
        </w:tc>
      </w:tr>
      <w:tr w:rsidR="00B86FB3" w:rsidRPr="00FF756A" w14:paraId="42F0B888"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143F4316"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Kërkesa - Industria</w:t>
            </w:r>
          </w:p>
        </w:tc>
        <w:tc>
          <w:tcPr>
            <w:tcW w:w="482" w:type="pct"/>
            <w:shd w:val="clear" w:color="auto" w:fill="4472C4" w:themeFill="accent1"/>
            <w:noWrap/>
            <w:hideMark/>
          </w:tcPr>
          <w:p w14:paraId="59FD6813"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698E8CDF"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1CBF3D67"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6FA34B97"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6697E261"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6BD48D42"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543C1E01"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49" w:type="pct"/>
            <w:shd w:val="clear" w:color="auto" w:fill="4472C4" w:themeFill="accent1"/>
          </w:tcPr>
          <w:p w14:paraId="2157DE1D"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p>
        </w:tc>
      </w:tr>
      <w:tr w:rsidR="00B86FB3" w:rsidRPr="00FF756A" w14:paraId="71F176F5"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27E40383"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Hekuri dhe çeliku</w:t>
            </w:r>
          </w:p>
        </w:tc>
        <w:tc>
          <w:tcPr>
            <w:tcW w:w="482" w:type="pct"/>
            <w:noWrap/>
            <w:vAlign w:val="center"/>
            <w:hideMark/>
          </w:tcPr>
          <w:p w14:paraId="716784B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9,5</w:t>
            </w:r>
          </w:p>
        </w:tc>
        <w:tc>
          <w:tcPr>
            <w:tcW w:w="482" w:type="pct"/>
            <w:noWrap/>
            <w:vAlign w:val="center"/>
            <w:hideMark/>
          </w:tcPr>
          <w:p w14:paraId="2B5B4F4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6,6</w:t>
            </w:r>
          </w:p>
        </w:tc>
        <w:tc>
          <w:tcPr>
            <w:tcW w:w="482" w:type="pct"/>
            <w:noWrap/>
            <w:vAlign w:val="center"/>
            <w:hideMark/>
          </w:tcPr>
          <w:p w14:paraId="68FE095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6,6</w:t>
            </w:r>
          </w:p>
        </w:tc>
        <w:tc>
          <w:tcPr>
            <w:tcW w:w="482" w:type="pct"/>
            <w:noWrap/>
            <w:vAlign w:val="center"/>
            <w:hideMark/>
          </w:tcPr>
          <w:p w14:paraId="74B8928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6,9</w:t>
            </w:r>
          </w:p>
        </w:tc>
        <w:tc>
          <w:tcPr>
            <w:tcW w:w="482" w:type="pct"/>
            <w:noWrap/>
            <w:vAlign w:val="center"/>
            <w:hideMark/>
          </w:tcPr>
          <w:p w14:paraId="67D991D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7,6</w:t>
            </w:r>
          </w:p>
        </w:tc>
        <w:tc>
          <w:tcPr>
            <w:tcW w:w="482" w:type="pct"/>
            <w:noWrap/>
            <w:vAlign w:val="center"/>
            <w:hideMark/>
          </w:tcPr>
          <w:p w14:paraId="20BDC93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9,6</w:t>
            </w:r>
          </w:p>
        </w:tc>
        <w:tc>
          <w:tcPr>
            <w:tcW w:w="482" w:type="pct"/>
            <w:noWrap/>
            <w:vAlign w:val="center"/>
            <w:hideMark/>
          </w:tcPr>
          <w:p w14:paraId="2BDE0FF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15,3</w:t>
            </w:r>
          </w:p>
        </w:tc>
        <w:tc>
          <w:tcPr>
            <w:tcW w:w="449" w:type="pct"/>
            <w:vAlign w:val="center"/>
          </w:tcPr>
          <w:p w14:paraId="0117324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24,3</w:t>
            </w:r>
          </w:p>
        </w:tc>
      </w:tr>
      <w:tr w:rsidR="00B86FB3" w:rsidRPr="00FF756A" w14:paraId="1A4B3FD9"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576D7DAE" w14:textId="0254367B"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Metalet jo</w:t>
            </w:r>
            <w:r w:rsidR="00701E6D" w:rsidRPr="00FF756A">
              <w:rPr>
                <w:rFonts w:cs="Times New Roman"/>
                <w:color w:val="FFFFFF"/>
                <w:sz w:val="16"/>
                <w:szCs w:val="16"/>
              </w:rPr>
              <w:t>hekur</w:t>
            </w:r>
          </w:p>
        </w:tc>
        <w:tc>
          <w:tcPr>
            <w:tcW w:w="482" w:type="pct"/>
            <w:noWrap/>
            <w:vAlign w:val="center"/>
            <w:hideMark/>
          </w:tcPr>
          <w:p w14:paraId="1E7B582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7CF17EC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0,9</w:t>
            </w:r>
          </w:p>
        </w:tc>
        <w:tc>
          <w:tcPr>
            <w:tcW w:w="482" w:type="pct"/>
            <w:noWrap/>
            <w:vAlign w:val="center"/>
            <w:hideMark/>
          </w:tcPr>
          <w:p w14:paraId="57994B0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0,9</w:t>
            </w:r>
          </w:p>
        </w:tc>
        <w:tc>
          <w:tcPr>
            <w:tcW w:w="482" w:type="pct"/>
            <w:noWrap/>
            <w:vAlign w:val="center"/>
            <w:hideMark/>
          </w:tcPr>
          <w:p w14:paraId="2EDFD79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1,0</w:t>
            </w:r>
          </w:p>
        </w:tc>
        <w:tc>
          <w:tcPr>
            <w:tcW w:w="482" w:type="pct"/>
            <w:noWrap/>
            <w:vAlign w:val="center"/>
            <w:hideMark/>
          </w:tcPr>
          <w:p w14:paraId="5C5F388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1,1</w:t>
            </w:r>
          </w:p>
        </w:tc>
        <w:tc>
          <w:tcPr>
            <w:tcW w:w="482" w:type="pct"/>
            <w:noWrap/>
            <w:vAlign w:val="center"/>
            <w:hideMark/>
          </w:tcPr>
          <w:p w14:paraId="4C07E64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1,3</w:t>
            </w:r>
          </w:p>
        </w:tc>
        <w:tc>
          <w:tcPr>
            <w:tcW w:w="482" w:type="pct"/>
            <w:noWrap/>
            <w:vAlign w:val="center"/>
            <w:hideMark/>
          </w:tcPr>
          <w:p w14:paraId="661B540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2,1</w:t>
            </w:r>
          </w:p>
        </w:tc>
        <w:tc>
          <w:tcPr>
            <w:tcW w:w="449" w:type="pct"/>
            <w:vAlign w:val="center"/>
          </w:tcPr>
          <w:p w14:paraId="417400B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3,4</w:t>
            </w:r>
          </w:p>
        </w:tc>
      </w:tr>
      <w:tr w:rsidR="00B86FB3" w:rsidRPr="00FF756A" w14:paraId="03BD0BF6"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53DD2E7D"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Sektori kimik</w:t>
            </w:r>
          </w:p>
        </w:tc>
        <w:tc>
          <w:tcPr>
            <w:tcW w:w="482" w:type="pct"/>
            <w:noWrap/>
            <w:vAlign w:val="center"/>
            <w:hideMark/>
          </w:tcPr>
          <w:p w14:paraId="674D564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22,2</w:t>
            </w:r>
          </w:p>
        </w:tc>
        <w:tc>
          <w:tcPr>
            <w:tcW w:w="482" w:type="pct"/>
            <w:noWrap/>
            <w:vAlign w:val="center"/>
            <w:hideMark/>
          </w:tcPr>
          <w:p w14:paraId="1CF334E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37,6</w:t>
            </w:r>
          </w:p>
        </w:tc>
        <w:tc>
          <w:tcPr>
            <w:tcW w:w="482" w:type="pct"/>
            <w:noWrap/>
            <w:vAlign w:val="center"/>
            <w:hideMark/>
          </w:tcPr>
          <w:p w14:paraId="3941B00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37,6</w:t>
            </w:r>
          </w:p>
        </w:tc>
        <w:tc>
          <w:tcPr>
            <w:tcW w:w="482" w:type="pct"/>
            <w:noWrap/>
            <w:vAlign w:val="center"/>
            <w:hideMark/>
          </w:tcPr>
          <w:p w14:paraId="280BC1A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39,4</w:t>
            </w:r>
          </w:p>
        </w:tc>
        <w:tc>
          <w:tcPr>
            <w:tcW w:w="482" w:type="pct"/>
            <w:noWrap/>
            <w:vAlign w:val="center"/>
            <w:hideMark/>
          </w:tcPr>
          <w:p w14:paraId="6611293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43,2</w:t>
            </w:r>
          </w:p>
        </w:tc>
        <w:tc>
          <w:tcPr>
            <w:tcW w:w="482" w:type="pct"/>
            <w:noWrap/>
            <w:vAlign w:val="center"/>
            <w:hideMark/>
          </w:tcPr>
          <w:p w14:paraId="3B660A8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54,5</w:t>
            </w:r>
          </w:p>
        </w:tc>
        <w:tc>
          <w:tcPr>
            <w:tcW w:w="482" w:type="pct"/>
            <w:noWrap/>
            <w:vAlign w:val="center"/>
            <w:hideMark/>
          </w:tcPr>
          <w:p w14:paraId="54ADB83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86,6</w:t>
            </w:r>
          </w:p>
        </w:tc>
        <w:tc>
          <w:tcPr>
            <w:tcW w:w="449" w:type="pct"/>
            <w:vAlign w:val="center"/>
          </w:tcPr>
          <w:p w14:paraId="2780655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137,7</w:t>
            </w:r>
          </w:p>
        </w:tc>
      </w:tr>
      <w:tr w:rsidR="00B86FB3" w:rsidRPr="00FF756A" w14:paraId="554C7634"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06807CD1"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Sektori minerar</w:t>
            </w:r>
          </w:p>
        </w:tc>
        <w:tc>
          <w:tcPr>
            <w:tcW w:w="482" w:type="pct"/>
            <w:noWrap/>
            <w:vAlign w:val="center"/>
            <w:hideMark/>
          </w:tcPr>
          <w:p w14:paraId="0A4103F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728,8</w:t>
            </w:r>
          </w:p>
        </w:tc>
        <w:tc>
          <w:tcPr>
            <w:tcW w:w="482" w:type="pct"/>
            <w:noWrap/>
            <w:vAlign w:val="center"/>
            <w:hideMark/>
          </w:tcPr>
          <w:p w14:paraId="7B42E53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974,7</w:t>
            </w:r>
          </w:p>
        </w:tc>
        <w:tc>
          <w:tcPr>
            <w:tcW w:w="482" w:type="pct"/>
            <w:noWrap/>
            <w:vAlign w:val="center"/>
            <w:hideMark/>
          </w:tcPr>
          <w:p w14:paraId="5061375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958,3</w:t>
            </w:r>
          </w:p>
        </w:tc>
        <w:tc>
          <w:tcPr>
            <w:tcW w:w="482" w:type="pct"/>
            <w:noWrap/>
            <w:vAlign w:val="center"/>
            <w:hideMark/>
          </w:tcPr>
          <w:p w14:paraId="3C93F67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975,9</w:t>
            </w:r>
          </w:p>
        </w:tc>
        <w:tc>
          <w:tcPr>
            <w:tcW w:w="482" w:type="pct"/>
            <w:noWrap/>
            <w:vAlign w:val="center"/>
            <w:hideMark/>
          </w:tcPr>
          <w:p w14:paraId="13631D7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1 012,1</w:t>
            </w:r>
          </w:p>
        </w:tc>
        <w:tc>
          <w:tcPr>
            <w:tcW w:w="482" w:type="pct"/>
            <w:noWrap/>
            <w:vAlign w:val="center"/>
            <w:hideMark/>
          </w:tcPr>
          <w:p w14:paraId="5C6EC0E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1 108,6</w:t>
            </w:r>
          </w:p>
        </w:tc>
        <w:tc>
          <w:tcPr>
            <w:tcW w:w="482" w:type="pct"/>
            <w:noWrap/>
            <w:vAlign w:val="center"/>
            <w:hideMark/>
          </w:tcPr>
          <w:p w14:paraId="1FEAB01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1 292,6</w:t>
            </w:r>
          </w:p>
        </w:tc>
        <w:tc>
          <w:tcPr>
            <w:tcW w:w="449" w:type="pct"/>
            <w:vAlign w:val="center"/>
          </w:tcPr>
          <w:p w14:paraId="0971295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1 478,6</w:t>
            </w:r>
          </w:p>
        </w:tc>
      </w:tr>
      <w:tr w:rsidR="00B86FB3" w:rsidRPr="00FF756A" w14:paraId="35407028"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715F832D"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Ushqimet, pijet, duhani</w:t>
            </w:r>
          </w:p>
        </w:tc>
        <w:tc>
          <w:tcPr>
            <w:tcW w:w="482" w:type="pct"/>
            <w:noWrap/>
            <w:vAlign w:val="center"/>
            <w:hideMark/>
          </w:tcPr>
          <w:p w14:paraId="783850D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68,8</w:t>
            </w:r>
          </w:p>
        </w:tc>
        <w:tc>
          <w:tcPr>
            <w:tcW w:w="482" w:type="pct"/>
            <w:noWrap/>
            <w:vAlign w:val="center"/>
            <w:hideMark/>
          </w:tcPr>
          <w:p w14:paraId="2381BC0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75,0</w:t>
            </w:r>
          </w:p>
        </w:tc>
        <w:tc>
          <w:tcPr>
            <w:tcW w:w="482" w:type="pct"/>
            <w:noWrap/>
            <w:vAlign w:val="center"/>
            <w:hideMark/>
          </w:tcPr>
          <w:p w14:paraId="4317C28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75,0</w:t>
            </w:r>
          </w:p>
        </w:tc>
        <w:tc>
          <w:tcPr>
            <w:tcW w:w="482" w:type="pct"/>
            <w:noWrap/>
            <w:vAlign w:val="center"/>
            <w:hideMark/>
          </w:tcPr>
          <w:p w14:paraId="018F327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78,5</w:t>
            </w:r>
          </w:p>
        </w:tc>
        <w:tc>
          <w:tcPr>
            <w:tcW w:w="482" w:type="pct"/>
            <w:noWrap/>
            <w:vAlign w:val="center"/>
            <w:hideMark/>
          </w:tcPr>
          <w:p w14:paraId="6D8F4B7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86,1</w:t>
            </w:r>
          </w:p>
        </w:tc>
        <w:tc>
          <w:tcPr>
            <w:tcW w:w="482" w:type="pct"/>
            <w:noWrap/>
            <w:vAlign w:val="center"/>
            <w:hideMark/>
          </w:tcPr>
          <w:p w14:paraId="2D4E8DA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108,6</w:t>
            </w:r>
          </w:p>
        </w:tc>
        <w:tc>
          <w:tcPr>
            <w:tcW w:w="482" w:type="pct"/>
            <w:noWrap/>
            <w:vAlign w:val="center"/>
            <w:hideMark/>
          </w:tcPr>
          <w:p w14:paraId="399C8C3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172,7</w:t>
            </w:r>
          </w:p>
        </w:tc>
        <w:tc>
          <w:tcPr>
            <w:tcW w:w="449" w:type="pct"/>
            <w:vAlign w:val="center"/>
          </w:tcPr>
          <w:p w14:paraId="45BB15C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274,5</w:t>
            </w:r>
          </w:p>
        </w:tc>
      </w:tr>
      <w:tr w:rsidR="00B86FB3" w:rsidRPr="00FF756A" w14:paraId="230B97A3"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041B6CBA"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Sektori i tekstilit, lëkurës dhe konfeksionit</w:t>
            </w:r>
          </w:p>
        </w:tc>
        <w:tc>
          <w:tcPr>
            <w:tcW w:w="482" w:type="pct"/>
            <w:noWrap/>
            <w:vAlign w:val="center"/>
            <w:hideMark/>
          </w:tcPr>
          <w:p w14:paraId="2B26C5E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6,6</w:t>
            </w:r>
          </w:p>
        </w:tc>
        <w:tc>
          <w:tcPr>
            <w:tcW w:w="482" w:type="pct"/>
            <w:noWrap/>
            <w:vAlign w:val="center"/>
            <w:hideMark/>
          </w:tcPr>
          <w:p w14:paraId="098320D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9,1</w:t>
            </w:r>
          </w:p>
        </w:tc>
        <w:tc>
          <w:tcPr>
            <w:tcW w:w="482" w:type="pct"/>
            <w:noWrap/>
            <w:vAlign w:val="center"/>
            <w:hideMark/>
          </w:tcPr>
          <w:p w14:paraId="068E82A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9,1</w:t>
            </w:r>
          </w:p>
        </w:tc>
        <w:tc>
          <w:tcPr>
            <w:tcW w:w="482" w:type="pct"/>
            <w:noWrap/>
            <w:vAlign w:val="center"/>
            <w:hideMark/>
          </w:tcPr>
          <w:p w14:paraId="24366E1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9,6</w:t>
            </w:r>
          </w:p>
        </w:tc>
        <w:tc>
          <w:tcPr>
            <w:tcW w:w="482" w:type="pct"/>
            <w:noWrap/>
            <w:vAlign w:val="center"/>
            <w:hideMark/>
          </w:tcPr>
          <w:p w14:paraId="572A887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10,5</w:t>
            </w:r>
          </w:p>
        </w:tc>
        <w:tc>
          <w:tcPr>
            <w:tcW w:w="482" w:type="pct"/>
            <w:noWrap/>
            <w:vAlign w:val="center"/>
            <w:hideMark/>
          </w:tcPr>
          <w:p w14:paraId="15C2908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13,3</w:t>
            </w:r>
          </w:p>
        </w:tc>
        <w:tc>
          <w:tcPr>
            <w:tcW w:w="482" w:type="pct"/>
            <w:noWrap/>
            <w:vAlign w:val="center"/>
            <w:hideMark/>
          </w:tcPr>
          <w:p w14:paraId="642F6D9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21,1</w:t>
            </w:r>
          </w:p>
        </w:tc>
        <w:tc>
          <w:tcPr>
            <w:tcW w:w="449" w:type="pct"/>
            <w:vAlign w:val="center"/>
          </w:tcPr>
          <w:p w14:paraId="0A8B74C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33,5</w:t>
            </w:r>
          </w:p>
        </w:tc>
      </w:tr>
      <w:tr w:rsidR="00B86FB3" w:rsidRPr="00FF756A" w14:paraId="5FFFC826"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0EC51B8A"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Shtypshkrimi</w:t>
            </w:r>
          </w:p>
        </w:tc>
        <w:tc>
          <w:tcPr>
            <w:tcW w:w="482" w:type="pct"/>
            <w:noWrap/>
            <w:vAlign w:val="center"/>
            <w:hideMark/>
          </w:tcPr>
          <w:p w14:paraId="3ABE300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4,3</w:t>
            </w:r>
          </w:p>
        </w:tc>
        <w:tc>
          <w:tcPr>
            <w:tcW w:w="482" w:type="pct"/>
            <w:noWrap/>
            <w:vAlign w:val="center"/>
            <w:hideMark/>
          </w:tcPr>
          <w:p w14:paraId="2D44A36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8,5</w:t>
            </w:r>
          </w:p>
        </w:tc>
        <w:tc>
          <w:tcPr>
            <w:tcW w:w="482" w:type="pct"/>
            <w:noWrap/>
            <w:vAlign w:val="center"/>
            <w:hideMark/>
          </w:tcPr>
          <w:p w14:paraId="3D3C943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8,5</w:t>
            </w:r>
          </w:p>
        </w:tc>
        <w:tc>
          <w:tcPr>
            <w:tcW w:w="482" w:type="pct"/>
            <w:noWrap/>
            <w:vAlign w:val="center"/>
            <w:hideMark/>
          </w:tcPr>
          <w:p w14:paraId="580F8D0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8,9</w:t>
            </w:r>
          </w:p>
        </w:tc>
        <w:tc>
          <w:tcPr>
            <w:tcW w:w="482" w:type="pct"/>
            <w:noWrap/>
            <w:vAlign w:val="center"/>
            <w:hideMark/>
          </w:tcPr>
          <w:p w14:paraId="67A2071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9,7</w:t>
            </w:r>
          </w:p>
        </w:tc>
        <w:tc>
          <w:tcPr>
            <w:tcW w:w="482" w:type="pct"/>
            <w:noWrap/>
            <w:vAlign w:val="center"/>
            <w:hideMark/>
          </w:tcPr>
          <w:p w14:paraId="4DF76E2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12,3</w:t>
            </w:r>
          </w:p>
        </w:tc>
        <w:tc>
          <w:tcPr>
            <w:tcW w:w="482" w:type="pct"/>
            <w:noWrap/>
            <w:vAlign w:val="center"/>
            <w:hideMark/>
          </w:tcPr>
          <w:p w14:paraId="284A863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19,5</w:t>
            </w:r>
          </w:p>
        </w:tc>
        <w:tc>
          <w:tcPr>
            <w:tcW w:w="449" w:type="pct"/>
            <w:vAlign w:val="center"/>
          </w:tcPr>
          <w:p w14:paraId="4E0CE6D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31,0</w:t>
            </w:r>
          </w:p>
        </w:tc>
      </w:tr>
      <w:tr w:rsidR="00B86FB3" w:rsidRPr="00FF756A" w14:paraId="13CDF668"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72AE4D0B"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Inxhinieria Metale të tjera</w:t>
            </w:r>
          </w:p>
        </w:tc>
        <w:tc>
          <w:tcPr>
            <w:tcW w:w="482" w:type="pct"/>
            <w:noWrap/>
            <w:vAlign w:val="center"/>
            <w:hideMark/>
          </w:tcPr>
          <w:p w14:paraId="23CE86C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6,7</w:t>
            </w:r>
          </w:p>
        </w:tc>
        <w:tc>
          <w:tcPr>
            <w:tcW w:w="482" w:type="pct"/>
            <w:noWrap/>
            <w:vAlign w:val="center"/>
            <w:hideMark/>
          </w:tcPr>
          <w:p w14:paraId="4515236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7,1</w:t>
            </w:r>
          </w:p>
        </w:tc>
        <w:tc>
          <w:tcPr>
            <w:tcW w:w="482" w:type="pct"/>
            <w:noWrap/>
            <w:vAlign w:val="center"/>
            <w:hideMark/>
          </w:tcPr>
          <w:p w14:paraId="56FD3A6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7,1</w:t>
            </w:r>
          </w:p>
        </w:tc>
        <w:tc>
          <w:tcPr>
            <w:tcW w:w="482" w:type="pct"/>
            <w:noWrap/>
            <w:vAlign w:val="center"/>
            <w:hideMark/>
          </w:tcPr>
          <w:p w14:paraId="4BB7776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7,5</w:t>
            </w:r>
          </w:p>
        </w:tc>
        <w:tc>
          <w:tcPr>
            <w:tcW w:w="482" w:type="pct"/>
            <w:noWrap/>
            <w:vAlign w:val="center"/>
            <w:hideMark/>
          </w:tcPr>
          <w:p w14:paraId="586BDA3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8,2</w:t>
            </w:r>
          </w:p>
        </w:tc>
        <w:tc>
          <w:tcPr>
            <w:tcW w:w="482" w:type="pct"/>
            <w:noWrap/>
            <w:vAlign w:val="center"/>
            <w:hideMark/>
          </w:tcPr>
          <w:p w14:paraId="3CA06F1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10,3</w:t>
            </w:r>
          </w:p>
        </w:tc>
        <w:tc>
          <w:tcPr>
            <w:tcW w:w="482" w:type="pct"/>
            <w:noWrap/>
            <w:vAlign w:val="center"/>
            <w:hideMark/>
          </w:tcPr>
          <w:p w14:paraId="71D294C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16,4</w:t>
            </w:r>
          </w:p>
        </w:tc>
        <w:tc>
          <w:tcPr>
            <w:tcW w:w="449" w:type="pct"/>
            <w:vAlign w:val="center"/>
          </w:tcPr>
          <w:p w14:paraId="36A284D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26,1</w:t>
            </w:r>
          </w:p>
        </w:tc>
      </w:tr>
      <w:tr w:rsidR="00B86FB3" w:rsidRPr="00FF756A" w14:paraId="15FD89D5"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5F72BB43"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Tjetër</w:t>
            </w:r>
          </w:p>
        </w:tc>
        <w:tc>
          <w:tcPr>
            <w:tcW w:w="482" w:type="pct"/>
            <w:noWrap/>
            <w:vAlign w:val="center"/>
            <w:hideMark/>
          </w:tcPr>
          <w:p w14:paraId="4F86DE1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76,4</w:t>
            </w:r>
          </w:p>
        </w:tc>
        <w:tc>
          <w:tcPr>
            <w:tcW w:w="482" w:type="pct"/>
            <w:noWrap/>
            <w:vAlign w:val="center"/>
            <w:hideMark/>
          </w:tcPr>
          <w:p w14:paraId="04040A8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66,6</w:t>
            </w:r>
          </w:p>
        </w:tc>
        <w:tc>
          <w:tcPr>
            <w:tcW w:w="482" w:type="pct"/>
            <w:noWrap/>
            <w:vAlign w:val="center"/>
            <w:hideMark/>
          </w:tcPr>
          <w:p w14:paraId="2A13B60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66,6</w:t>
            </w:r>
          </w:p>
        </w:tc>
        <w:tc>
          <w:tcPr>
            <w:tcW w:w="482" w:type="pct"/>
            <w:noWrap/>
            <w:vAlign w:val="center"/>
            <w:hideMark/>
          </w:tcPr>
          <w:p w14:paraId="513B091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69,8</w:t>
            </w:r>
          </w:p>
        </w:tc>
        <w:tc>
          <w:tcPr>
            <w:tcW w:w="482" w:type="pct"/>
            <w:noWrap/>
            <w:vAlign w:val="center"/>
            <w:hideMark/>
          </w:tcPr>
          <w:p w14:paraId="60D90D2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76,6</w:t>
            </w:r>
          </w:p>
        </w:tc>
        <w:tc>
          <w:tcPr>
            <w:tcW w:w="482" w:type="pct"/>
            <w:noWrap/>
            <w:vAlign w:val="center"/>
            <w:hideMark/>
          </w:tcPr>
          <w:p w14:paraId="01D966E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96,6</w:t>
            </w:r>
          </w:p>
        </w:tc>
        <w:tc>
          <w:tcPr>
            <w:tcW w:w="482" w:type="pct"/>
            <w:noWrap/>
            <w:vAlign w:val="center"/>
            <w:hideMark/>
          </w:tcPr>
          <w:p w14:paraId="0C4E9E4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153,5</w:t>
            </w:r>
          </w:p>
        </w:tc>
        <w:tc>
          <w:tcPr>
            <w:tcW w:w="449" w:type="pct"/>
            <w:vAlign w:val="center"/>
          </w:tcPr>
          <w:p w14:paraId="3F1B50F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244,0</w:t>
            </w:r>
          </w:p>
        </w:tc>
      </w:tr>
      <w:tr w:rsidR="00B86FB3" w:rsidRPr="00FF756A" w14:paraId="04AAB6BF"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3A9D7BD5"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Totali</w:t>
            </w:r>
          </w:p>
        </w:tc>
        <w:tc>
          <w:tcPr>
            <w:tcW w:w="482" w:type="pct"/>
            <w:shd w:val="clear" w:color="auto" w:fill="4472C4" w:themeFill="accent1"/>
            <w:noWrap/>
            <w:vAlign w:val="center"/>
            <w:hideMark/>
          </w:tcPr>
          <w:p w14:paraId="46A470D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923,3</w:t>
            </w:r>
          </w:p>
        </w:tc>
        <w:tc>
          <w:tcPr>
            <w:tcW w:w="482" w:type="pct"/>
            <w:shd w:val="clear" w:color="auto" w:fill="4472C4" w:themeFill="accent1"/>
            <w:noWrap/>
            <w:vAlign w:val="center"/>
            <w:hideMark/>
          </w:tcPr>
          <w:p w14:paraId="2D89FFD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1 186,1</w:t>
            </w:r>
          </w:p>
        </w:tc>
        <w:tc>
          <w:tcPr>
            <w:tcW w:w="482" w:type="pct"/>
            <w:shd w:val="clear" w:color="auto" w:fill="4472C4" w:themeFill="accent1"/>
            <w:noWrap/>
            <w:vAlign w:val="center"/>
            <w:hideMark/>
          </w:tcPr>
          <w:p w14:paraId="222887C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1 169,8</w:t>
            </w:r>
          </w:p>
        </w:tc>
        <w:tc>
          <w:tcPr>
            <w:tcW w:w="482" w:type="pct"/>
            <w:shd w:val="clear" w:color="auto" w:fill="4472C4" w:themeFill="accent1"/>
            <w:noWrap/>
            <w:vAlign w:val="center"/>
            <w:hideMark/>
          </w:tcPr>
          <w:p w14:paraId="07ED279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1 197,4</w:t>
            </w:r>
          </w:p>
        </w:tc>
        <w:tc>
          <w:tcPr>
            <w:tcW w:w="482" w:type="pct"/>
            <w:shd w:val="clear" w:color="auto" w:fill="4472C4" w:themeFill="accent1"/>
            <w:noWrap/>
            <w:vAlign w:val="center"/>
            <w:hideMark/>
          </w:tcPr>
          <w:p w14:paraId="3013DCD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1 255,1</w:t>
            </w:r>
          </w:p>
        </w:tc>
        <w:tc>
          <w:tcPr>
            <w:tcW w:w="482" w:type="pct"/>
            <w:shd w:val="clear" w:color="auto" w:fill="4472C4" w:themeFill="accent1"/>
            <w:noWrap/>
            <w:vAlign w:val="center"/>
            <w:hideMark/>
          </w:tcPr>
          <w:p w14:paraId="050AEA1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1 415,0</w:t>
            </w:r>
          </w:p>
        </w:tc>
        <w:tc>
          <w:tcPr>
            <w:tcW w:w="482" w:type="pct"/>
            <w:shd w:val="clear" w:color="auto" w:fill="4472C4" w:themeFill="accent1"/>
            <w:noWrap/>
            <w:vAlign w:val="center"/>
            <w:hideMark/>
          </w:tcPr>
          <w:p w14:paraId="0EC21AC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1 779,7</w:t>
            </w:r>
          </w:p>
        </w:tc>
        <w:tc>
          <w:tcPr>
            <w:tcW w:w="449" w:type="pct"/>
            <w:shd w:val="clear" w:color="auto" w:fill="4472C4" w:themeFill="accent1"/>
            <w:vAlign w:val="center"/>
          </w:tcPr>
          <w:p w14:paraId="4789987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2 253,0</w:t>
            </w:r>
          </w:p>
        </w:tc>
      </w:tr>
      <w:tr w:rsidR="00B86FB3" w:rsidRPr="00FF756A" w14:paraId="5D2F6C12"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243162A1"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Kërkesa - Transporti</w:t>
            </w:r>
          </w:p>
        </w:tc>
        <w:tc>
          <w:tcPr>
            <w:tcW w:w="482" w:type="pct"/>
            <w:shd w:val="clear" w:color="auto" w:fill="4472C4" w:themeFill="accent1"/>
            <w:noWrap/>
            <w:hideMark/>
          </w:tcPr>
          <w:p w14:paraId="15A17888"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6E99BC2A"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1AD49165"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67DA862A"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4559D51F"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2251D444"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3848EB8D"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49" w:type="pct"/>
            <w:shd w:val="clear" w:color="auto" w:fill="4472C4" w:themeFill="accent1"/>
          </w:tcPr>
          <w:p w14:paraId="60815890"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p>
        </w:tc>
      </w:tr>
      <w:tr w:rsidR="00B86FB3" w:rsidRPr="00FF756A" w14:paraId="6F04453E"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7F51CD9F"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Pasagjerë</w:t>
            </w:r>
          </w:p>
        </w:tc>
        <w:tc>
          <w:tcPr>
            <w:tcW w:w="482" w:type="pct"/>
            <w:noWrap/>
            <w:vAlign w:val="center"/>
            <w:hideMark/>
          </w:tcPr>
          <w:p w14:paraId="004A39D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1 468,8</w:t>
            </w:r>
          </w:p>
        </w:tc>
        <w:tc>
          <w:tcPr>
            <w:tcW w:w="482" w:type="pct"/>
            <w:noWrap/>
            <w:vAlign w:val="center"/>
            <w:hideMark/>
          </w:tcPr>
          <w:p w14:paraId="3A9A726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1 555,7</w:t>
            </w:r>
          </w:p>
        </w:tc>
        <w:tc>
          <w:tcPr>
            <w:tcW w:w="482" w:type="pct"/>
            <w:noWrap/>
            <w:vAlign w:val="center"/>
            <w:hideMark/>
          </w:tcPr>
          <w:p w14:paraId="5222DBB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1 637,4</w:t>
            </w:r>
          </w:p>
        </w:tc>
        <w:tc>
          <w:tcPr>
            <w:tcW w:w="482" w:type="pct"/>
            <w:noWrap/>
            <w:vAlign w:val="center"/>
            <w:hideMark/>
          </w:tcPr>
          <w:p w14:paraId="1E52DF1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1 593,7</w:t>
            </w:r>
          </w:p>
        </w:tc>
        <w:tc>
          <w:tcPr>
            <w:tcW w:w="482" w:type="pct"/>
            <w:noWrap/>
            <w:vAlign w:val="center"/>
            <w:hideMark/>
          </w:tcPr>
          <w:p w14:paraId="6C45E56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1 629,5</w:t>
            </w:r>
          </w:p>
        </w:tc>
        <w:tc>
          <w:tcPr>
            <w:tcW w:w="482" w:type="pct"/>
            <w:noWrap/>
            <w:vAlign w:val="center"/>
            <w:hideMark/>
          </w:tcPr>
          <w:p w14:paraId="507F5F8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1 710,1</w:t>
            </w:r>
          </w:p>
        </w:tc>
        <w:tc>
          <w:tcPr>
            <w:tcW w:w="482" w:type="pct"/>
            <w:noWrap/>
            <w:vAlign w:val="center"/>
            <w:hideMark/>
          </w:tcPr>
          <w:p w14:paraId="4180FBF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1 875,6</w:t>
            </w:r>
          </w:p>
        </w:tc>
        <w:tc>
          <w:tcPr>
            <w:tcW w:w="449" w:type="pct"/>
            <w:vAlign w:val="center"/>
          </w:tcPr>
          <w:p w14:paraId="0C4FDDF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2 053,6</w:t>
            </w:r>
          </w:p>
        </w:tc>
      </w:tr>
      <w:tr w:rsidR="00B86FB3" w:rsidRPr="00FF756A" w14:paraId="612FBFFF"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11E151EA"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Transporti i mallrave</w:t>
            </w:r>
          </w:p>
        </w:tc>
        <w:tc>
          <w:tcPr>
            <w:tcW w:w="482" w:type="pct"/>
            <w:noWrap/>
            <w:vAlign w:val="center"/>
            <w:hideMark/>
          </w:tcPr>
          <w:p w14:paraId="0C10313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510,6</w:t>
            </w:r>
          </w:p>
        </w:tc>
        <w:tc>
          <w:tcPr>
            <w:tcW w:w="482" w:type="pct"/>
            <w:noWrap/>
            <w:vAlign w:val="center"/>
            <w:hideMark/>
          </w:tcPr>
          <w:p w14:paraId="643BB43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543,6</w:t>
            </w:r>
          </w:p>
        </w:tc>
        <w:tc>
          <w:tcPr>
            <w:tcW w:w="482" w:type="pct"/>
            <w:noWrap/>
            <w:vAlign w:val="center"/>
            <w:hideMark/>
          </w:tcPr>
          <w:p w14:paraId="617E4BA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543,3</w:t>
            </w:r>
          </w:p>
        </w:tc>
        <w:tc>
          <w:tcPr>
            <w:tcW w:w="482" w:type="pct"/>
            <w:noWrap/>
            <w:vAlign w:val="center"/>
            <w:hideMark/>
          </w:tcPr>
          <w:p w14:paraId="4529D23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565,6</w:t>
            </w:r>
          </w:p>
        </w:tc>
        <w:tc>
          <w:tcPr>
            <w:tcW w:w="482" w:type="pct"/>
            <w:noWrap/>
            <w:vAlign w:val="center"/>
            <w:hideMark/>
          </w:tcPr>
          <w:p w14:paraId="70723B7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612,8</w:t>
            </w:r>
          </w:p>
        </w:tc>
        <w:tc>
          <w:tcPr>
            <w:tcW w:w="482" w:type="pct"/>
            <w:noWrap/>
            <w:vAlign w:val="center"/>
            <w:hideMark/>
          </w:tcPr>
          <w:p w14:paraId="695FC92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747,3</w:t>
            </w:r>
          </w:p>
        </w:tc>
        <w:tc>
          <w:tcPr>
            <w:tcW w:w="482" w:type="pct"/>
            <w:noWrap/>
            <w:vAlign w:val="center"/>
            <w:hideMark/>
          </w:tcPr>
          <w:p w14:paraId="1AB59CE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1 035,9</w:t>
            </w:r>
          </w:p>
        </w:tc>
        <w:tc>
          <w:tcPr>
            <w:tcW w:w="449" w:type="pct"/>
            <w:vAlign w:val="center"/>
          </w:tcPr>
          <w:p w14:paraId="44508CA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rPr>
            </w:pPr>
            <w:r w:rsidRPr="00FF756A">
              <w:rPr>
                <w:rFonts w:cs="Times New Roman"/>
                <w:sz w:val="16"/>
                <w:szCs w:val="18"/>
              </w:rPr>
              <w:t>1 399,9</w:t>
            </w:r>
          </w:p>
        </w:tc>
      </w:tr>
      <w:tr w:rsidR="00B86FB3" w:rsidRPr="00FF756A" w14:paraId="18DE0063"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7FE58CB9"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Totali</w:t>
            </w:r>
          </w:p>
        </w:tc>
        <w:tc>
          <w:tcPr>
            <w:tcW w:w="482" w:type="pct"/>
            <w:shd w:val="clear" w:color="auto" w:fill="4472C4" w:themeFill="accent1"/>
            <w:noWrap/>
            <w:vAlign w:val="center"/>
            <w:hideMark/>
          </w:tcPr>
          <w:p w14:paraId="2454956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8"/>
              </w:rPr>
            </w:pPr>
            <w:r w:rsidRPr="00FF756A">
              <w:rPr>
                <w:rFonts w:cs="Times New Roman"/>
                <w:color w:val="FFFFFF" w:themeColor="background1"/>
                <w:sz w:val="16"/>
                <w:szCs w:val="18"/>
              </w:rPr>
              <w:t>1 979,4</w:t>
            </w:r>
          </w:p>
        </w:tc>
        <w:tc>
          <w:tcPr>
            <w:tcW w:w="482" w:type="pct"/>
            <w:shd w:val="clear" w:color="auto" w:fill="4472C4" w:themeFill="accent1"/>
            <w:noWrap/>
            <w:vAlign w:val="center"/>
            <w:hideMark/>
          </w:tcPr>
          <w:p w14:paraId="5BF4AEE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8"/>
              </w:rPr>
            </w:pPr>
            <w:r w:rsidRPr="00FF756A">
              <w:rPr>
                <w:rFonts w:cs="Times New Roman"/>
                <w:color w:val="FFFFFF" w:themeColor="background1"/>
                <w:sz w:val="16"/>
                <w:szCs w:val="18"/>
              </w:rPr>
              <w:t>2 099,3</w:t>
            </w:r>
          </w:p>
        </w:tc>
        <w:tc>
          <w:tcPr>
            <w:tcW w:w="482" w:type="pct"/>
            <w:shd w:val="clear" w:color="auto" w:fill="4472C4" w:themeFill="accent1"/>
            <w:noWrap/>
            <w:vAlign w:val="center"/>
            <w:hideMark/>
          </w:tcPr>
          <w:p w14:paraId="54E6412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8"/>
              </w:rPr>
            </w:pPr>
            <w:r w:rsidRPr="00FF756A">
              <w:rPr>
                <w:rFonts w:cs="Times New Roman"/>
                <w:color w:val="FFFFFF" w:themeColor="background1"/>
                <w:sz w:val="16"/>
                <w:szCs w:val="18"/>
              </w:rPr>
              <w:t>2 180,7</w:t>
            </w:r>
          </w:p>
        </w:tc>
        <w:tc>
          <w:tcPr>
            <w:tcW w:w="482" w:type="pct"/>
            <w:shd w:val="clear" w:color="auto" w:fill="4472C4" w:themeFill="accent1"/>
            <w:noWrap/>
            <w:vAlign w:val="center"/>
            <w:hideMark/>
          </w:tcPr>
          <w:p w14:paraId="205F988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8"/>
              </w:rPr>
            </w:pPr>
            <w:r w:rsidRPr="00FF756A">
              <w:rPr>
                <w:rFonts w:cs="Times New Roman"/>
                <w:color w:val="FFFFFF" w:themeColor="background1"/>
                <w:sz w:val="16"/>
                <w:szCs w:val="18"/>
              </w:rPr>
              <w:t>2 159,3</w:t>
            </w:r>
          </w:p>
        </w:tc>
        <w:tc>
          <w:tcPr>
            <w:tcW w:w="482" w:type="pct"/>
            <w:shd w:val="clear" w:color="auto" w:fill="4472C4" w:themeFill="accent1"/>
            <w:noWrap/>
            <w:vAlign w:val="center"/>
            <w:hideMark/>
          </w:tcPr>
          <w:p w14:paraId="0E6BD8A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8"/>
              </w:rPr>
            </w:pPr>
            <w:r w:rsidRPr="00FF756A">
              <w:rPr>
                <w:rFonts w:cs="Times New Roman"/>
                <w:color w:val="FFFFFF" w:themeColor="background1"/>
                <w:sz w:val="16"/>
                <w:szCs w:val="18"/>
              </w:rPr>
              <w:t>2 242,4</w:t>
            </w:r>
          </w:p>
        </w:tc>
        <w:tc>
          <w:tcPr>
            <w:tcW w:w="482" w:type="pct"/>
            <w:shd w:val="clear" w:color="auto" w:fill="4472C4" w:themeFill="accent1"/>
            <w:noWrap/>
            <w:vAlign w:val="center"/>
            <w:hideMark/>
          </w:tcPr>
          <w:p w14:paraId="5A623A9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8"/>
              </w:rPr>
            </w:pPr>
            <w:r w:rsidRPr="00FF756A">
              <w:rPr>
                <w:rFonts w:cs="Times New Roman"/>
                <w:color w:val="FFFFFF" w:themeColor="background1"/>
                <w:sz w:val="16"/>
                <w:szCs w:val="18"/>
              </w:rPr>
              <w:t>2 457,4</w:t>
            </w:r>
          </w:p>
        </w:tc>
        <w:tc>
          <w:tcPr>
            <w:tcW w:w="482" w:type="pct"/>
            <w:shd w:val="clear" w:color="auto" w:fill="4472C4" w:themeFill="accent1"/>
            <w:noWrap/>
            <w:vAlign w:val="center"/>
            <w:hideMark/>
          </w:tcPr>
          <w:p w14:paraId="056E326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8"/>
              </w:rPr>
            </w:pPr>
            <w:r w:rsidRPr="00FF756A">
              <w:rPr>
                <w:rFonts w:cs="Times New Roman"/>
                <w:color w:val="FFFFFF" w:themeColor="background1"/>
                <w:sz w:val="16"/>
                <w:szCs w:val="18"/>
              </w:rPr>
              <w:t>2 911,5</w:t>
            </w:r>
          </w:p>
        </w:tc>
        <w:tc>
          <w:tcPr>
            <w:tcW w:w="449" w:type="pct"/>
            <w:shd w:val="clear" w:color="auto" w:fill="4472C4" w:themeFill="accent1"/>
            <w:vAlign w:val="center"/>
          </w:tcPr>
          <w:p w14:paraId="6F90962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8"/>
              </w:rPr>
            </w:pPr>
            <w:r w:rsidRPr="00FF756A">
              <w:rPr>
                <w:rFonts w:cs="Times New Roman"/>
                <w:color w:val="FFFFFF" w:themeColor="background1"/>
                <w:sz w:val="16"/>
                <w:szCs w:val="18"/>
              </w:rPr>
              <w:t>3 453,4</w:t>
            </w:r>
          </w:p>
        </w:tc>
      </w:tr>
      <w:tr w:rsidR="00B86FB3" w:rsidRPr="00FF756A" w14:paraId="4A4CD818"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17C186BF"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Transformimi</w:t>
            </w:r>
          </w:p>
        </w:tc>
        <w:tc>
          <w:tcPr>
            <w:tcW w:w="482" w:type="pct"/>
            <w:shd w:val="clear" w:color="auto" w:fill="4472C4" w:themeFill="accent1"/>
            <w:noWrap/>
            <w:hideMark/>
          </w:tcPr>
          <w:p w14:paraId="765B0A60"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1DA9FF89"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1DBCEB96"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73A69189"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582A2FE0"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657B8EFF"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5029B8AF"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49" w:type="pct"/>
            <w:shd w:val="clear" w:color="auto" w:fill="4472C4" w:themeFill="accent1"/>
          </w:tcPr>
          <w:p w14:paraId="6B9EE890"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p>
        </w:tc>
      </w:tr>
      <w:tr w:rsidR="00B86FB3" w:rsidRPr="00FF756A" w14:paraId="5D4CE8C0"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010AED42"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Prodhimi i energjisë elektrike</w:t>
            </w:r>
          </w:p>
        </w:tc>
        <w:tc>
          <w:tcPr>
            <w:tcW w:w="482" w:type="pct"/>
            <w:noWrap/>
            <w:hideMark/>
          </w:tcPr>
          <w:p w14:paraId="1B3CBCF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   </w:t>
            </w:r>
          </w:p>
        </w:tc>
        <w:tc>
          <w:tcPr>
            <w:tcW w:w="482" w:type="pct"/>
            <w:noWrap/>
            <w:hideMark/>
          </w:tcPr>
          <w:p w14:paraId="042A2E3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   </w:t>
            </w:r>
          </w:p>
        </w:tc>
        <w:tc>
          <w:tcPr>
            <w:tcW w:w="482" w:type="pct"/>
            <w:noWrap/>
            <w:hideMark/>
          </w:tcPr>
          <w:p w14:paraId="613BDB3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   </w:t>
            </w:r>
          </w:p>
        </w:tc>
        <w:tc>
          <w:tcPr>
            <w:tcW w:w="482" w:type="pct"/>
            <w:noWrap/>
            <w:hideMark/>
          </w:tcPr>
          <w:p w14:paraId="5054DBE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   </w:t>
            </w:r>
          </w:p>
        </w:tc>
        <w:tc>
          <w:tcPr>
            <w:tcW w:w="482" w:type="pct"/>
            <w:noWrap/>
            <w:hideMark/>
          </w:tcPr>
          <w:p w14:paraId="6284064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   </w:t>
            </w:r>
          </w:p>
        </w:tc>
        <w:tc>
          <w:tcPr>
            <w:tcW w:w="482" w:type="pct"/>
            <w:noWrap/>
            <w:hideMark/>
          </w:tcPr>
          <w:p w14:paraId="7DF1ACD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8,2 </w:t>
            </w:r>
          </w:p>
        </w:tc>
        <w:tc>
          <w:tcPr>
            <w:tcW w:w="482" w:type="pct"/>
            <w:noWrap/>
            <w:hideMark/>
          </w:tcPr>
          <w:p w14:paraId="3B80357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202,8 </w:t>
            </w:r>
          </w:p>
        </w:tc>
        <w:tc>
          <w:tcPr>
            <w:tcW w:w="449" w:type="pct"/>
          </w:tcPr>
          <w:p w14:paraId="408F877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325,1 </w:t>
            </w:r>
          </w:p>
        </w:tc>
      </w:tr>
      <w:tr w:rsidR="00B86FB3" w:rsidRPr="00FF756A" w14:paraId="34604D0C"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6A89E5A3"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Rafinimi i naftës</w:t>
            </w:r>
          </w:p>
        </w:tc>
        <w:tc>
          <w:tcPr>
            <w:tcW w:w="482" w:type="pct"/>
            <w:noWrap/>
            <w:hideMark/>
          </w:tcPr>
          <w:p w14:paraId="473BA0E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47,4 </w:t>
            </w:r>
          </w:p>
        </w:tc>
        <w:tc>
          <w:tcPr>
            <w:tcW w:w="482" w:type="pct"/>
            <w:noWrap/>
            <w:hideMark/>
          </w:tcPr>
          <w:p w14:paraId="55981C4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47,4 </w:t>
            </w:r>
          </w:p>
        </w:tc>
        <w:tc>
          <w:tcPr>
            <w:tcW w:w="482" w:type="pct"/>
            <w:noWrap/>
            <w:hideMark/>
          </w:tcPr>
          <w:p w14:paraId="4781944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47,4 </w:t>
            </w:r>
          </w:p>
        </w:tc>
        <w:tc>
          <w:tcPr>
            <w:tcW w:w="482" w:type="pct"/>
            <w:noWrap/>
            <w:hideMark/>
          </w:tcPr>
          <w:p w14:paraId="5122426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49,1 </w:t>
            </w:r>
          </w:p>
        </w:tc>
        <w:tc>
          <w:tcPr>
            <w:tcW w:w="482" w:type="pct"/>
            <w:noWrap/>
            <w:hideMark/>
          </w:tcPr>
          <w:p w14:paraId="2A59743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49,1 </w:t>
            </w:r>
          </w:p>
        </w:tc>
        <w:tc>
          <w:tcPr>
            <w:tcW w:w="482" w:type="pct"/>
            <w:noWrap/>
            <w:hideMark/>
          </w:tcPr>
          <w:p w14:paraId="44CCD1F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49,1 </w:t>
            </w:r>
          </w:p>
        </w:tc>
        <w:tc>
          <w:tcPr>
            <w:tcW w:w="482" w:type="pct"/>
            <w:noWrap/>
            <w:hideMark/>
          </w:tcPr>
          <w:p w14:paraId="00A035C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49,1 </w:t>
            </w:r>
          </w:p>
        </w:tc>
        <w:tc>
          <w:tcPr>
            <w:tcW w:w="449" w:type="pct"/>
          </w:tcPr>
          <w:p w14:paraId="1D3C7BA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49,1 </w:t>
            </w:r>
          </w:p>
        </w:tc>
      </w:tr>
      <w:tr w:rsidR="00B86FB3" w:rsidRPr="00FF756A" w14:paraId="76901A38"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6D789E1C"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Nxjerrja e naftës</w:t>
            </w:r>
          </w:p>
        </w:tc>
        <w:tc>
          <w:tcPr>
            <w:tcW w:w="482" w:type="pct"/>
            <w:noWrap/>
            <w:hideMark/>
          </w:tcPr>
          <w:p w14:paraId="47568B1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104,1 </w:t>
            </w:r>
          </w:p>
        </w:tc>
        <w:tc>
          <w:tcPr>
            <w:tcW w:w="482" w:type="pct"/>
            <w:noWrap/>
            <w:hideMark/>
          </w:tcPr>
          <w:p w14:paraId="5E22338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97,8 </w:t>
            </w:r>
          </w:p>
        </w:tc>
        <w:tc>
          <w:tcPr>
            <w:tcW w:w="482" w:type="pct"/>
            <w:noWrap/>
            <w:hideMark/>
          </w:tcPr>
          <w:p w14:paraId="6120149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109,9 </w:t>
            </w:r>
          </w:p>
        </w:tc>
        <w:tc>
          <w:tcPr>
            <w:tcW w:w="482" w:type="pct"/>
            <w:noWrap/>
            <w:hideMark/>
          </w:tcPr>
          <w:p w14:paraId="26C2CE6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109,9 </w:t>
            </w:r>
          </w:p>
        </w:tc>
        <w:tc>
          <w:tcPr>
            <w:tcW w:w="482" w:type="pct"/>
            <w:noWrap/>
            <w:hideMark/>
          </w:tcPr>
          <w:p w14:paraId="1A76292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109,9 </w:t>
            </w:r>
          </w:p>
        </w:tc>
        <w:tc>
          <w:tcPr>
            <w:tcW w:w="482" w:type="pct"/>
            <w:noWrap/>
            <w:hideMark/>
          </w:tcPr>
          <w:p w14:paraId="42168DA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109,9 </w:t>
            </w:r>
          </w:p>
        </w:tc>
        <w:tc>
          <w:tcPr>
            <w:tcW w:w="482" w:type="pct"/>
            <w:noWrap/>
            <w:hideMark/>
          </w:tcPr>
          <w:p w14:paraId="7645CFA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109,9 </w:t>
            </w:r>
          </w:p>
        </w:tc>
        <w:tc>
          <w:tcPr>
            <w:tcW w:w="449" w:type="pct"/>
          </w:tcPr>
          <w:p w14:paraId="6F3C478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109,9 </w:t>
            </w:r>
          </w:p>
        </w:tc>
      </w:tr>
      <w:tr w:rsidR="00B86FB3" w:rsidRPr="00FF756A" w14:paraId="551DD757"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114AC803"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Totali</w:t>
            </w:r>
          </w:p>
        </w:tc>
        <w:tc>
          <w:tcPr>
            <w:tcW w:w="482" w:type="pct"/>
            <w:shd w:val="clear" w:color="auto" w:fill="4472C4" w:themeFill="accent1"/>
            <w:noWrap/>
            <w:hideMark/>
          </w:tcPr>
          <w:p w14:paraId="7CE7E3B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151,4 </w:t>
            </w:r>
          </w:p>
        </w:tc>
        <w:tc>
          <w:tcPr>
            <w:tcW w:w="482" w:type="pct"/>
            <w:shd w:val="clear" w:color="auto" w:fill="4472C4" w:themeFill="accent1"/>
            <w:noWrap/>
            <w:hideMark/>
          </w:tcPr>
          <w:p w14:paraId="6716FDE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145,1 </w:t>
            </w:r>
          </w:p>
        </w:tc>
        <w:tc>
          <w:tcPr>
            <w:tcW w:w="482" w:type="pct"/>
            <w:shd w:val="clear" w:color="auto" w:fill="4472C4" w:themeFill="accent1"/>
            <w:noWrap/>
            <w:hideMark/>
          </w:tcPr>
          <w:p w14:paraId="78166EE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157,2 </w:t>
            </w:r>
          </w:p>
        </w:tc>
        <w:tc>
          <w:tcPr>
            <w:tcW w:w="482" w:type="pct"/>
            <w:shd w:val="clear" w:color="auto" w:fill="4472C4" w:themeFill="accent1"/>
            <w:noWrap/>
            <w:hideMark/>
          </w:tcPr>
          <w:p w14:paraId="0FA8E59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159,0 </w:t>
            </w:r>
          </w:p>
        </w:tc>
        <w:tc>
          <w:tcPr>
            <w:tcW w:w="482" w:type="pct"/>
            <w:shd w:val="clear" w:color="auto" w:fill="4472C4" w:themeFill="accent1"/>
            <w:noWrap/>
            <w:hideMark/>
          </w:tcPr>
          <w:p w14:paraId="5D7D884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159,0 </w:t>
            </w:r>
          </w:p>
        </w:tc>
        <w:tc>
          <w:tcPr>
            <w:tcW w:w="482" w:type="pct"/>
            <w:shd w:val="clear" w:color="auto" w:fill="4472C4" w:themeFill="accent1"/>
            <w:noWrap/>
            <w:hideMark/>
          </w:tcPr>
          <w:p w14:paraId="33E2209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167,1 </w:t>
            </w:r>
          </w:p>
        </w:tc>
        <w:tc>
          <w:tcPr>
            <w:tcW w:w="482" w:type="pct"/>
            <w:shd w:val="clear" w:color="auto" w:fill="4472C4" w:themeFill="accent1"/>
            <w:noWrap/>
            <w:hideMark/>
          </w:tcPr>
          <w:p w14:paraId="050983B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361,7 </w:t>
            </w:r>
          </w:p>
        </w:tc>
        <w:tc>
          <w:tcPr>
            <w:tcW w:w="449" w:type="pct"/>
            <w:shd w:val="clear" w:color="auto" w:fill="4472C4" w:themeFill="accent1"/>
          </w:tcPr>
          <w:p w14:paraId="590FFB0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484,1 </w:t>
            </w:r>
          </w:p>
        </w:tc>
      </w:tr>
      <w:tr w:rsidR="00B86FB3" w:rsidRPr="00FF756A" w14:paraId="1C0A8247"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74DB0D5A"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Sektorët joenergjetikë</w:t>
            </w:r>
          </w:p>
        </w:tc>
        <w:tc>
          <w:tcPr>
            <w:tcW w:w="482" w:type="pct"/>
            <w:shd w:val="clear" w:color="auto" w:fill="4472C4" w:themeFill="accent1"/>
            <w:noWrap/>
            <w:hideMark/>
          </w:tcPr>
          <w:p w14:paraId="129C335A"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0D6ACEB4"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55887C0C"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700BBC16"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0D3B8F22"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40EEB7A2"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2107A91B"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49" w:type="pct"/>
            <w:shd w:val="clear" w:color="auto" w:fill="4472C4" w:themeFill="accent1"/>
          </w:tcPr>
          <w:p w14:paraId="3DEF2FD3"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p>
        </w:tc>
      </w:tr>
      <w:tr w:rsidR="00B86FB3" w:rsidRPr="00FF756A" w14:paraId="6E8357C3"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5A34A25A"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PIPP</w:t>
            </w:r>
          </w:p>
        </w:tc>
        <w:tc>
          <w:tcPr>
            <w:tcW w:w="482" w:type="pct"/>
            <w:noWrap/>
            <w:vAlign w:val="center"/>
            <w:hideMark/>
          </w:tcPr>
          <w:p w14:paraId="3045384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1 583,9</w:t>
            </w:r>
          </w:p>
        </w:tc>
        <w:tc>
          <w:tcPr>
            <w:tcW w:w="482" w:type="pct"/>
            <w:noWrap/>
            <w:vAlign w:val="center"/>
            <w:hideMark/>
          </w:tcPr>
          <w:p w14:paraId="6A8BDC1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1 592,1</w:t>
            </w:r>
          </w:p>
        </w:tc>
        <w:tc>
          <w:tcPr>
            <w:tcW w:w="482" w:type="pct"/>
            <w:noWrap/>
            <w:vAlign w:val="center"/>
            <w:hideMark/>
          </w:tcPr>
          <w:p w14:paraId="1288682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1 600,2</w:t>
            </w:r>
          </w:p>
        </w:tc>
        <w:tc>
          <w:tcPr>
            <w:tcW w:w="482" w:type="pct"/>
            <w:noWrap/>
            <w:vAlign w:val="center"/>
            <w:hideMark/>
          </w:tcPr>
          <w:p w14:paraId="16117B2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1 642,2</w:t>
            </w:r>
          </w:p>
        </w:tc>
        <w:tc>
          <w:tcPr>
            <w:tcW w:w="482" w:type="pct"/>
            <w:noWrap/>
            <w:vAlign w:val="center"/>
            <w:hideMark/>
          </w:tcPr>
          <w:p w14:paraId="37AEB48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1 720,3</w:t>
            </w:r>
          </w:p>
        </w:tc>
        <w:tc>
          <w:tcPr>
            <w:tcW w:w="482" w:type="pct"/>
            <w:noWrap/>
            <w:vAlign w:val="center"/>
            <w:hideMark/>
          </w:tcPr>
          <w:p w14:paraId="44516B3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1 910,3</w:t>
            </w:r>
          </w:p>
        </w:tc>
        <w:tc>
          <w:tcPr>
            <w:tcW w:w="482" w:type="pct"/>
            <w:noWrap/>
            <w:vAlign w:val="center"/>
            <w:hideMark/>
          </w:tcPr>
          <w:p w14:paraId="028A658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2 320,1</w:t>
            </w:r>
          </w:p>
        </w:tc>
        <w:tc>
          <w:tcPr>
            <w:tcW w:w="449" w:type="pct"/>
            <w:vAlign w:val="center"/>
          </w:tcPr>
          <w:p w14:paraId="126602B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2 806,3</w:t>
            </w:r>
          </w:p>
        </w:tc>
      </w:tr>
      <w:tr w:rsidR="00B86FB3" w:rsidRPr="00FF756A" w14:paraId="0C053697"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3FCABB8A"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Bujqësia</w:t>
            </w:r>
          </w:p>
        </w:tc>
        <w:tc>
          <w:tcPr>
            <w:tcW w:w="482" w:type="pct"/>
            <w:noWrap/>
            <w:vAlign w:val="center"/>
            <w:hideMark/>
          </w:tcPr>
          <w:p w14:paraId="5F8985F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2 376,6</w:t>
            </w:r>
          </w:p>
        </w:tc>
        <w:tc>
          <w:tcPr>
            <w:tcW w:w="482" w:type="pct"/>
            <w:noWrap/>
            <w:vAlign w:val="center"/>
            <w:hideMark/>
          </w:tcPr>
          <w:p w14:paraId="39E4E64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2 376,6</w:t>
            </w:r>
          </w:p>
        </w:tc>
        <w:tc>
          <w:tcPr>
            <w:tcW w:w="482" w:type="pct"/>
            <w:noWrap/>
            <w:vAlign w:val="center"/>
            <w:hideMark/>
          </w:tcPr>
          <w:p w14:paraId="1D62858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2 376,6</w:t>
            </w:r>
          </w:p>
        </w:tc>
        <w:tc>
          <w:tcPr>
            <w:tcW w:w="482" w:type="pct"/>
            <w:noWrap/>
            <w:vAlign w:val="center"/>
            <w:hideMark/>
          </w:tcPr>
          <w:p w14:paraId="67A8BF0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2 340,8</w:t>
            </w:r>
          </w:p>
        </w:tc>
        <w:tc>
          <w:tcPr>
            <w:tcW w:w="482" w:type="pct"/>
            <w:noWrap/>
            <w:vAlign w:val="center"/>
            <w:hideMark/>
          </w:tcPr>
          <w:p w14:paraId="4FB4E0C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2 325,0</w:t>
            </w:r>
          </w:p>
        </w:tc>
        <w:tc>
          <w:tcPr>
            <w:tcW w:w="482" w:type="pct"/>
            <w:noWrap/>
            <w:vAlign w:val="center"/>
            <w:hideMark/>
          </w:tcPr>
          <w:p w14:paraId="69203AC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2 286,4</w:t>
            </w:r>
          </w:p>
        </w:tc>
        <w:tc>
          <w:tcPr>
            <w:tcW w:w="482" w:type="pct"/>
            <w:noWrap/>
            <w:vAlign w:val="center"/>
            <w:hideMark/>
          </w:tcPr>
          <w:p w14:paraId="147D157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2 255,8</w:t>
            </w:r>
          </w:p>
        </w:tc>
        <w:tc>
          <w:tcPr>
            <w:tcW w:w="449" w:type="pct"/>
            <w:vAlign w:val="center"/>
          </w:tcPr>
          <w:p w14:paraId="1DACDF7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2 225,9</w:t>
            </w:r>
          </w:p>
        </w:tc>
      </w:tr>
      <w:tr w:rsidR="00B86FB3" w:rsidRPr="00FF756A" w14:paraId="71237018"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3F0C0357"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LULUCF</w:t>
            </w:r>
          </w:p>
        </w:tc>
        <w:tc>
          <w:tcPr>
            <w:tcW w:w="482" w:type="pct"/>
            <w:noWrap/>
            <w:vAlign w:val="center"/>
            <w:hideMark/>
          </w:tcPr>
          <w:p w14:paraId="4AE8FB3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1 361,2</w:t>
            </w:r>
          </w:p>
        </w:tc>
        <w:tc>
          <w:tcPr>
            <w:tcW w:w="482" w:type="pct"/>
            <w:noWrap/>
            <w:vAlign w:val="center"/>
            <w:hideMark/>
          </w:tcPr>
          <w:p w14:paraId="66F977C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1 361,2</w:t>
            </w:r>
          </w:p>
        </w:tc>
        <w:tc>
          <w:tcPr>
            <w:tcW w:w="482" w:type="pct"/>
            <w:noWrap/>
            <w:vAlign w:val="center"/>
            <w:hideMark/>
          </w:tcPr>
          <w:p w14:paraId="0B757D4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1 361,2</w:t>
            </w:r>
          </w:p>
        </w:tc>
        <w:tc>
          <w:tcPr>
            <w:tcW w:w="482" w:type="pct"/>
            <w:noWrap/>
            <w:vAlign w:val="center"/>
            <w:hideMark/>
          </w:tcPr>
          <w:p w14:paraId="355451D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1 438,1</w:t>
            </w:r>
          </w:p>
        </w:tc>
        <w:tc>
          <w:tcPr>
            <w:tcW w:w="482" w:type="pct"/>
            <w:noWrap/>
            <w:vAlign w:val="center"/>
            <w:hideMark/>
          </w:tcPr>
          <w:p w14:paraId="7ED50D7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1 443,8</w:t>
            </w:r>
          </w:p>
        </w:tc>
        <w:tc>
          <w:tcPr>
            <w:tcW w:w="482" w:type="pct"/>
            <w:noWrap/>
            <w:vAlign w:val="center"/>
            <w:hideMark/>
          </w:tcPr>
          <w:p w14:paraId="4E72259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1 457,9</w:t>
            </w:r>
          </w:p>
        </w:tc>
        <w:tc>
          <w:tcPr>
            <w:tcW w:w="482" w:type="pct"/>
            <w:noWrap/>
            <w:vAlign w:val="center"/>
            <w:hideMark/>
          </w:tcPr>
          <w:p w14:paraId="0C199EE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1 486,3</w:t>
            </w:r>
          </w:p>
        </w:tc>
        <w:tc>
          <w:tcPr>
            <w:tcW w:w="449" w:type="pct"/>
            <w:vAlign w:val="center"/>
          </w:tcPr>
          <w:p w14:paraId="4DF2A7F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1 515,0</w:t>
            </w:r>
          </w:p>
        </w:tc>
      </w:tr>
      <w:tr w:rsidR="00B86FB3" w:rsidRPr="00FF756A" w14:paraId="7D4E6C83"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77904B17"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Mbetjet</w:t>
            </w:r>
          </w:p>
        </w:tc>
        <w:tc>
          <w:tcPr>
            <w:tcW w:w="482" w:type="pct"/>
            <w:noWrap/>
            <w:vAlign w:val="center"/>
            <w:hideMark/>
          </w:tcPr>
          <w:p w14:paraId="759DB3A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1 336,9</w:t>
            </w:r>
          </w:p>
        </w:tc>
        <w:tc>
          <w:tcPr>
            <w:tcW w:w="482" w:type="pct"/>
            <w:noWrap/>
            <w:vAlign w:val="center"/>
            <w:hideMark/>
          </w:tcPr>
          <w:p w14:paraId="3E02091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1 315,4</w:t>
            </w:r>
          </w:p>
        </w:tc>
        <w:tc>
          <w:tcPr>
            <w:tcW w:w="482" w:type="pct"/>
            <w:noWrap/>
            <w:vAlign w:val="center"/>
            <w:hideMark/>
          </w:tcPr>
          <w:p w14:paraId="6F22FE0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1 295,2</w:t>
            </w:r>
          </w:p>
        </w:tc>
        <w:tc>
          <w:tcPr>
            <w:tcW w:w="482" w:type="pct"/>
            <w:noWrap/>
            <w:vAlign w:val="center"/>
            <w:hideMark/>
          </w:tcPr>
          <w:p w14:paraId="2C787AD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1 269,9</w:t>
            </w:r>
          </w:p>
        </w:tc>
        <w:tc>
          <w:tcPr>
            <w:tcW w:w="482" w:type="pct"/>
            <w:noWrap/>
            <w:vAlign w:val="center"/>
            <w:hideMark/>
          </w:tcPr>
          <w:p w14:paraId="250D160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1 236,9</w:t>
            </w:r>
          </w:p>
        </w:tc>
        <w:tc>
          <w:tcPr>
            <w:tcW w:w="482" w:type="pct"/>
            <w:noWrap/>
            <w:vAlign w:val="center"/>
            <w:hideMark/>
          </w:tcPr>
          <w:p w14:paraId="0212931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1 037,8</w:t>
            </w:r>
          </w:p>
        </w:tc>
        <w:tc>
          <w:tcPr>
            <w:tcW w:w="482" w:type="pct"/>
            <w:noWrap/>
            <w:vAlign w:val="center"/>
            <w:hideMark/>
          </w:tcPr>
          <w:p w14:paraId="1DA1819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755,3</w:t>
            </w:r>
          </w:p>
        </w:tc>
        <w:tc>
          <w:tcPr>
            <w:tcW w:w="449" w:type="pct"/>
            <w:vAlign w:val="center"/>
          </w:tcPr>
          <w:p w14:paraId="57F56C7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598,2</w:t>
            </w:r>
          </w:p>
        </w:tc>
      </w:tr>
      <w:tr w:rsidR="00B86FB3" w:rsidRPr="00FF756A" w14:paraId="7C3BD808"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44A5DDA4"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Totali</w:t>
            </w:r>
          </w:p>
        </w:tc>
        <w:tc>
          <w:tcPr>
            <w:tcW w:w="482" w:type="pct"/>
            <w:shd w:val="clear" w:color="auto" w:fill="4472C4" w:themeFill="accent1"/>
            <w:noWrap/>
            <w:vAlign w:val="center"/>
            <w:hideMark/>
          </w:tcPr>
          <w:p w14:paraId="2A34C6C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6 658,6</w:t>
            </w:r>
          </w:p>
        </w:tc>
        <w:tc>
          <w:tcPr>
            <w:tcW w:w="482" w:type="pct"/>
            <w:shd w:val="clear" w:color="auto" w:fill="4472C4" w:themeFill="accent1"/>
            <w:noWrap/>
            <w:vAlign w:val="center"/>
            <w:hideMark/>
          </w:tcPr>
          <w:p w14:paraId="45B99C5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6 645,3</w:t>
            </w:r>
          </w:p>
        </w:tc>
        <w:tc>
          <w:tcPr>
            <w:tcW w:w="482" w:type="pct"/>
            <w:shd w:val="clear" w:color="auto" w:fill="4472C4" w:themeFill="accent1"/>
            <w:noWrap/>
            <w:vAlign w:val="center"/>
            <w:hideMark/>
          </w:tcPr>
          <w:p w14:paraId="7CAFF20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6 633,3</w:t>
            </w:r>
          </w:p>
        </w:tc>
        <w:tc>
          <w:tcPr>
            <w:tcW w:w="482" w:type="pct"/>
            <w:shd w:val="clear" w:color="auto" w:fill="4472C4" w:themeFill="accent1"/>
            <w:noWrap/>
            <w:vAlign w:val="center"/>
            <w:hideMark/>
          </w:tcPr>
          <w:p w14:paraId="04E5AFE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6 691,0</w:t>
            </w:r>
          </w:p>
        </w:tc>
        <w:tc>
          <w:tcPr>
            <w:tcW w:w="482" w:type="pct"/>
            <w:shd w:val="clear" w:color="auto" w:fill="4472C4" w:themeFill="accent1"/>
            <w:noWrap/>
            <w:vAlign w:val="center"/>
            <w:hideMark/>
          </w:tcPr>
          <w:p w14:paraId="7A99AFA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6 725,9</w:t>
            </w:r>
          </w:p>
        </w:tc>
        <w:tc>
          <w:tcPr>
            <w:tcW w:w="482" w:type="pct"/>
            <w:shd w:val="clear" w:color="auto" w:fill="4472C4" w:themeFill="accent1"/>
            <w:noWrap/>
            <w:vAlign w:val="center"/>
            <w:hideMark/>
          </w:tcPr>
          <w:p w14:paraId="74F4236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6 692,5</w:t>
            </w:r>
          </w:p>
        </w:tc>
        <w:tc>
          <w:tcPr>
            <w:tcW w:w="482" w:type="pct"/>
            <w:shd w:val="clear" w:color="auto" w:fill="4472C4" w:themeFill="accent1"/>
            <w:noWrap/>
            <w:vAlign w:val="center"/>
            <w:hideMark/>
          </w:tcPr>
          <w:p w14:paraId="54FF3E4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6 817,6</w:t>
            </w:r>
          </w:p>
        </w:tc>
        <w:tc>
          <w:tcPr>
            <w:tcW w:w="449" w:type="pct"/>
            <w:shd w:val="clear" w:color="auto" w:fill="4472C4" w:themeFill="accent1"/>
            <w:vAlign w:val="center"/>
          </w:tcPr>
          <w:p w14:paraId="5F05CAA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7 145,5</w:t>
            </w:r>
          </w:p>
        </w:tc>
      </w:tr>
      <w:tr w:rsidR="00B86FB3" w:rsidRPr="00FF756A" w14:paraId="3F02B38A"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1EDB9EAC"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Sektorët joenergjetikë - PIPP</w:t>
            </w:r>
          </w:p>
        </w:tc>
        <w:tc>
          <w:tcPr>
            <w:tcW w:w="482" w:type="pct"/>
            <w:shd w:val="clear" w:color="auto" w:fill="4472C4" w:themeFill="accent1"/>
            <w:noWrap/>
            <w:vAlign w:val="center"/>
            <w:hideMark/>
          </w:tcPr>
          <w:p w14:paraId="6A62F86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p>
        </w:tc>
        <w:tc>
          <w:tcPr>
            <w:tcW w:w="482" w:type="pct"/>
            <w:shd w:val="clear" w:color="auto" w:fill="4472C4" w:themeFill="accent1"/>
            <w:noWrap/>
            <w:vAlign w:val="center"/>
            <w:hideMark/>
          </w:tcPr>
          <w:p w14:paraId="71DFC7E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p>
        </w:tc>
        <w:tc>
          <w:tcPr>
            <w:tcW w:w="482" w:type="pct"/>
            <w:shd w:val="clear" w:color="auto" w:fill="4472C4" w:themeFill="accent1"/>
            <w:noWrap/>
            <w:vAlign w:val="center"/>
            <w:hideMark/>
          </w:tcPr>
          <w:p w14:paraId="3103DB6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p>
        </w:tc>
        <w:tc>
          <w:tcPr>
            <w:tcW w:w="482" w:type="pct"/>
            <w:shd w:val="clear" w:color="auto" w:fill="4472C4" w:themeFill="accent1"/>
            <w:noWrap/>
            <w:vAlign w:val="center"/>
            <w:hideMark/>
          </w:tcPr>
          <w:p w14:paraId="7C03ED9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p>
        </w:tc>
        <w:tc>
          <w:tcPr>
            <w:tcW w:w="482" w:type="pct"/>
            <w:shd w:val="clear" w:color="auto" w:fill="4472C4" w:themeFill="accent1"/>
            <w:noWrap/>
            <w:vAlign w:val="center"/>
            <w:hideMark/>
          </w:tcPr>
          <w:p w14:paraId="3DBE42B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p>
        </w:tc>
        <w:tc>
          <w:tcPr>
            <w:tcW w:w="482" w:type="pct"/>
            <w:shd w:val="clear" w:color="auto" w:fill="4472C4" w:themeFill="accent1"/>
            <w:noWrap/>
            <w:vAlign w:val="center"/>
            <w:hideMark/>
          </w:tcPr>
          <w:p w14:paraId="4711914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p>
        </w:tc>
        <w:tc>
          <w:tcPr>
            <w:tcW w:w="482" w:type="pct"/>
            <w:shd w:val="clear" w:color="auto" w:fill="4472C4" w:themeFill="accent1"/>
            <w:noWrap/>
            <w:vAlign w:val="center"/>
            <w:hideMark/>
          </w:tcPr>
          <w:p w14:paraId="07FF899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p>
        </w:tc>
        <w:tc>
          <w:tcPr>
            <w:tcW w:w="449" w:type="pct"/>
            <w:shd w:val="clear" w:color="auto" w:fill="4472C4" w:themeFill="accent1"/>
            <w:vAlign w:val="center"/>
          </w:tcPr>
          <w:p w14:paraId="714D56A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p>
        </w:tc>
      </w:tr>
      <w:tr w:rsidR="00B86FB3" w:rsidRPr="00FF756A" w14:paraId="6EEB4B8D"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65AE91AB"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CO</w:t>
            </w:r>
            <w:r w:rsidRPr="00FF756A">
              <w:rPr>
                <w:rFonts w:cs="Times New Roman"/>
                <w:color w:val="FFFFFF"/>
                <w:sz w:val="16"/>
                <w:szCs w:val="16"/>
                <w:vertAlign w:val="subscript"/>
              </w:rPr>
              <w:t>2</w:t>
            </w:r>
            <w:r w:rsidRPr="00FF756A">
              <w:rPr>
                <w:rFonts w:cs="Times New Roman"/>
                <w:color w:val="FFFFFF"/>
                <w:sz w:val="16"/>
                <w:szCs w:val="16"/>
              </w:rPr>
              <w:t xml:space="preserve"> nga industria e çimentos</w:t>
            </w:r>
          </w:p>
        </w:tc>
        <w:tc>
          <w:tcPr>
            <w:tcW w:w="482" w:type="pct"/>
            <w:noWrap/>
            <w:vAlign w:val="center"/>
            <w:hideMark/>
          </w:tcPr>
          <w:p w14:paraId="7517337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1 390,9</w:t>
            </w:r>
          </w:p>
        </w:tc>
        <w:tc>
          <w:tcPr>
            <w:tcW w:w="482" w:type="pct"/>
            <w:noWrap/>
            <w:vAlign w:val="center"/>
            <w:hideMark/>
          </w:tcPr>
          <w:p w14:paraId="161E877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1 390,9</w:t>
            </w:r>
          </w:p>
        </w:tc>
        <w:tc>
          <w:tcPr>
            <w:tcW w:w="482" w:type="pct"/>
            <w:noWrap/>
            <w:vAlign w:val="center"/>
            <w:hideMark/>
          </w:tcPr>
          <w:p w14:paraId="2C3ED5D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1 390,9</w:t>
            </w:r>
          </w:p>
        </w:tc>
        <w:tc>
          <w:tcPr>
            <w:tcW w:w="482" w:type="pct"/>
            <w:noWrap/>
            <w:vAlign w:val="center"/>
            <w:hideMark/>
          </w:tcPr>
          <w:p w14:paraId="019E602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1 420,1</w:t>
            </w:r>
          </w:p>
        </w:tc>
        <w:tc>
          <w:tcPr>
            <w:tcW w:w="482" w:type="pct"/>
            <w:noWrap/>
            <w:vAlign w:val="center"/>
            <w:hideMark/>
          </w:tcPr>
          <w:p w14:paraId="33DB000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1 480,4</w:t>
            </w:r>
          </w:p>
        </w:tc>
        <w:tc>
          <w:tcPr>
            <w:tcW w:w="482" w:type="pct"/>
            <w:noWrap/>
            <w:vAlign w:val="center"/>
            <w:hideMark/>
          </w:tcPr>
          <w:p w14:paraId="739DA45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1 641,4</w:t>
            </w:r>
          </w:p>
        </w:tc>
        <w:tc>
          <w:tcPr>
            <w:tcW w:w="482" w:type="pct"/>
            <w:noWrap/>
            <w:vAlign w:val="center"/>
            <w:hideMark/>
          </w:tcPr>
          <w:p w14:paraId="01B5F2F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1 968,2</w:t>
            </w:r>
          </w:p>
        </w:tc>
        <w:tc>
          <w:tcPr>
            <w:tcW w:w="449" w:type="pct"/>
            <w:vAlign w:val="center"/>
          </w:tcPr>
          <w:p w14:paraId="3C3596E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2 321,1</w:t>
            </w:r>
          </w:p>
        </w:tc>
      </w:tr>
      <w:tr w:rsidR="00B86FB3" w:rsidRPr="00FF756A" w14:paraId="017256FD"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53BE4813"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CO</w:t>
            </w:r>
            <w:r w:rsidRPr="00FF756A">
              <w:rPr>
                <w:rFonts w:cs="Times New Roman"/>
                <w:color w:val="FFFFFF"/>
                <w:sz w:val="16"/>
                <w:szCs w:val="16"/>
                <w:vertAlign w:val="subscript"/>
              </w:rPr>
              <w:t>2</w:t>
            </w:r>
            <w:r w:rsidRPr="00FF756A">
              <w:rPr>
                <w:rFonts w:cs="Times New Roman"/>
                <w:color w:val="FFFFFF"/>
                <w:sz w:val="16"/>
                <w:szCs w:val="16"/>
              </w:rPr>
              <w:t xml:space="preserve"> nga industria e gëlqeres</w:t>
            </w:r>
          </w:p>
        </w:tc>
        <w:tc>
          <w:tcPr>
            <w:tcW w:w="482" w:type="pct"/>
            <w:noWrap/>
            <w:vAlign w:val="center"/>
            <w:hideMark/>
          </w:tcPr>
          <w:p w14:paraId="45DFD17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13,8</w:t>
            </w:r>
          </w:p>
        </w:tc>
        <w:tc>
          <w:tcPr>
            <w:tcW w:w="482" w:type="pct"/>
            <w:noWrap/>
            <w:vAlign w:val="center"/>
            <w:hideMark/>
          </w:tcPr>
          <w:p w14:paraId="36730CB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13,8</w:t>
            </w:r>
          </w:p>
        </w:tc>
        <w:tc>
          <w:tcPr>
            <w:tcW w:w="482" w:type="pct"/>
            <w:noWrap/>
            <w:vAlign w:val="center"/>
            <w:hideMark/>
          </w:tcPr>
          <w:p w14:paraId="76BC479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13,8</w:t>
            </w:r>
          </w:p>
        </w:tc>
        <w:tc>
          <w:tcPr>
            <w:tcW w:w="482" w:type="pct"/>
            <w:noWrap/>
            <w:vAlign w:val="center"/>
            <w:hideMark/>
          </w:tcPr>
          <w:p w14:paraId="3014182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14,4</w:t>
            </w:r>
          </w:p>
        </w:tc>
        <w:tc>
          <w:tcPr>
            <w:tcW w:w="482" w:type="pct"/>
            <w:noWrap/>
            <w:vAlign w:val="center"/>
            <w:hideMark/>
          </w:tcPr>
          <w:p w14:paraId="0DF0041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15,9</w:t>
            </w:r>
          </w:p>
        </w:tc>
        <w:tc>
          <w:tcPr>
            <w:tcW w:w="482" w:type="pct"/>
            <w:noWrap/>
            <w:vAlign w:val="center"/>
            <w:hideMark/>
          </w:tcPr>
          <w:p w14:paraId="4BD8968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20,1</w:t>
            </w:r>
          </w:p>
        </w:tc>
        <w:tc>
          <w:tcPr>
            <w:tcW w:w="482" w:type="pct"/>
            <w:noWrap/>
            <w:vAlign w:val="center"/>
            <w:hideMark/>
          </w:tcPr>
          <w:p w14:paraId="4F12B1A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32,3</w:t>
            </w:r>
          </w:p>
        </w:tc>
        <w:tc>
          <w:tcPr>
            <w:tcW w:w="449" w:type="pct"/>
            <w:vAlign w:val="center"/>
          </w:tcPr>
          <w:p w14:paraId="1B35FE8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51,9</w:t>
            </w:r>
          </w:p>
        </w:tc>
      </w:tr>
      <w:tr w:rsidR="00B86FB3" w:rsidRPr="00FF756A" w14:paraId="198DAA34"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1A7FE880"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CO</w:t>
            </w:r>
            <w:r w:rsidRPr="00FF756A">
              <w:rPr>
                <w:rFonts w:cs="Times New Roman"/>
                <w:color w:val="FFFFFF"/>
                <w:sz w:val="16"/>
                <w:szCs w:val="16"/>
                <w:vertAlign w:val="subscript"/>
              </w:rPr>
              <w:t>2</w:t>
            </w:r>
            <w:r w:rsidRPr="00FF756A">
              <w:rPr>
                <w:rFonts w:cs="Times New Roman"/>
                <w:color w:val="FFFFFF"/>
                <w:sz w:val="16"/>
                <w:szCs w:val="16"/>
              </w:rPr>
              <w:t xml:space="preserve"> nga industria e qelqit</w:t>
            </w:r>
          </w:p>
        </w:tc>
        <w:tc>
          <w:tcPr>
            <w:tcW w:w="482" w:type="pct"/>
            <w:noWrap/>
            <w:vAlign w:val="center"/>
            <w:hideMark/>
          </w:tcPr>
          <w:p w14:paraId="3807400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092F52F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778EEC2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4105876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0C27628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5DFC1AD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2B9F0B6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49" w:type="pct"/>
            <w:vAlign w:val="center"/>
          </w:tcPr>
          <w:p w14:paraId="0F85C2C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r>
      <w:tr w:rsidR="00B86FB3" w:rsidRPr="00FF756A" w14:paraId="38B691B4"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6AC74DED"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CO</w:t>
            </w:r>
            <w:r w:rsidRPr="00FF756A">
              <w:rPr>
                <w:rFonts w:cs="Times New Roman"/>
                <w:color w:val="FFFFFF"/>
                <w:sz w:val="16"/>
                <w:szCs w:val="16"/>
                <w:vertAlign w:val="subscript"/>
              </w:rPr>
              <w:t>2</w:t>
            </w:r>
            <w:r w:rsidRPr="00FF756A">
              <w:rPr>
                <w:rFonts w:cs="Times New Roman"/>
                <w:color w:val="FFFFFF"/>
                <w:sz w:val="16"/>
                <w:szCs w:val="16"/>
              </w:rPr>
              <w:t xml:space="preserve"> nga karbonatet e tjera</w:t>
            </w:r>
          </w:p>
        </w:tc>
        <w:tc>
          <w:tcPr>
            <w:tcW w:w="482" w:type="pct"/>
            <w:noWrap/>
            <w:vAlign w:val="center"/>
            <w:hideMark/>
          </w:tcPr>
          <w:p w14:paraId="7B05706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1AB65AF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60CC821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20A73CF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4ADB9C3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6603B4F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3741D47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49" w:type="pct"/>
            <w:vAlign w:val="center"/>
          </w:tcPr>
          <w:p w14:paraId="73810C0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r>
      <w:tr w:rsidR="00B86FB3" w:rsidRPr="00FF756A" w14:paraId="2DB308D7"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4F006C4C"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CO</w:t>
            </w:r>
            <w:r w:rsidRPr="00FF756A">
              <w:rPr>
                <w:rFonts w:cs="Times New Roman"/>
                <w:color w:val="FFFFFF"/>
                <w:sz w:val="16"/>
                <w:szCs w:val="16"/>
                <w:vertAlign w:val="subscript"/>
              </w:rPr>
              <w:t>2</w:t>
            </w:r>
            <w:r w:rsidRPr="00FF756A">
              <w:rPr>
                <w:rFonts w:cs="Times New Roman"/>
                <w:color w:val="FFFFFF"/>
                <w:sz w:val="16"/>
                <w:szCs w:val="16"/>
              </w:rPr>
              <w:t xml:space="preserve"> nga industria e prodhimit të çelikut dhe hekurit</w:t>
            </w:r>
          </w:p>
        </w:tc>
        <w:tc>
          <w:tcPr>
            <w:tcW w:w="482" w:type="pct"/>
            <w:noWrap/>
            <w:vAlign w:val="center"/>
            <w:hideMark/>
          </w:tcPr>
          <w:p w14:paraId="5E478B8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22,1</w:t>
            </w:r>
          </w:p>
        </w:tc>
        <w:tc>
          <w:tcPr>
            <w:tcW w:w="482" w:type="pct"/>
            <w:noWrap/>
            <w:vAlign w:val="center"/>
            <w:hideMark/>
          </w:tcPr>
          <w:p w14:paraId="79BFC34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22,1</w:t>
            </w:r>
          </w:p>
        </w:tc>
        <w:tc>
          <w:tcPr>
            <w:tcW w:w="482" w:type="pct"/>
            <w:noWrap/>
            <w:vAlign w:val="center"/>
            <w:hideMark/>
          </w:tcPr>
          <w:p w14:paraId="4CB37ED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22,1</w:t>
            </w:r>
          </w:p>
        </w:tc>
        <w:tc>
          <w:tcPr>
            <w:tcW w:w="482" w:type="pct"/>
            <w:noWrap/>
            <w:vAlign w:val="center"/>
            <w:hideMark/>
          </w:tcPr>
          <w:p w14:paraId="1D14F3D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23,2</w:t>
            </w:r>
          </w:p>
        </w:tc>
        <w:tc>
          <w:tcPr>
            <w:tcW w:w="482" w:type="pct"/>
            <w:noWrap/>
            <w:vAlign w:val="center"/>
            <w:hideMark/>
          </w:tcPr>
          <w:p w14:paraId="47DC3A4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25,5</w:t>
            </w:r>
          </w:p>
        </w:tc>
        <w:tc>
          <w:tcPr>
            <w:tcW w:w="482" w:type="pct"/>
            <w:noWrap/>
            <w:vAlign w:val="center"/>
            <w:hideMark/>
          </w:tcPr>
          <w:p w14:paraId="66B3A8B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32,3</w:t>
            </w:r>
          </w:p>
        </w:tc>
        <w:tc>
          <w:tcPr>
            <w:tcW w:w="482" w:type="pct"/>
            <w:noWrap/>
            <w:vAlign w:val="center"/>
            <w:hideMark/>
          </w:tcPr>
          <w:p w14:paraId="155BDA1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51,9</w:t>
            </w:r>
          </w:p>
        </w:tc>
        <w:tc>
          <w:tcPr>
            <w:tcW w:w="449" w:type="pct"/>
            <w:vAlign w:val="center"/>
          </w:tcPr>
          <w:p w14:paraId="7FCB1A0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83,4</w:t>
            </w:r>
          </w:p>
        </w:tc>
      </w:tr>
      <w:tr w:rsidR="00B86FB3" w:rsidRPr="00FF756A" w14:paraId="51F1F385"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4866E8DC"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CO</w:t>
            </w:r>
            <w:r w:rsidRPr="00FF756A">
              <w:rPr>
                <w:rFonts w:cs="Times New Roman"/>
                <w:color w:val="FFFFFF"/>
                <w:sz w:val="16"/>
                <w:szCs w:val="16"/>
                <w:vertAlign w:val="subscript"/>
              </w:rPr>
              <w:t>2</w:t>
            </w:r>
            <w:r w:rsidRPr="00FF756A">
              <w:rPr>
                <w:rFonts w:cs="Times New Roman"/>
                <w:color w:val="FFFFFF"/>
                <w:sz w:val="16"/>
                <w:szCs w:val="16"/>
              </w:rPr>
              <w:t xml:space="preserve"> nga aliazhet e hekurit</w:t>
            </w:r>
          </w:p>
        </w:tc>
        <w:tc>
          <w:tcPr>
            <w:tcW w:w="482" w:type="pct"/>
            <w:noWrap/>
            <w:vAlign w:val="center"/>
            <w:hideMark/>
          </w:tcPr>
          <w:p w14:paraId="2F00281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57,9</w:t>
            </w:r>
          </w:p>
        </w:tc>
        <w:tc>
          <w:tcPr>
            <w:tcW w:w="482" w:type="pct"/>
            <w:noWrap/>
            <w:vAlign w:val="center"/>
            <w:hideMark/>
          </w:tcPr>
          <w:p w14:paraId="340E26D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57,9</w:t>
            </w:r>
          </w:p>
        </w:tc>
        <w:tc>
          <w:tcPr>
            <w:tcW w:w="482" w:type="pct"/>
            <w:noWrap/>
            <w:vAlign w:val="center"/>
            <w:hideMark/>
          </w:tcPr>
          <w:p w14:paraId="1DF3BF1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57,9</w:t>
            </w:r>
          </w:p>
        </w:tc>
        <w:tc>
          <w:tcPr>
            <w:tcW w:w="482" w:type="pct"/>
            <w:noWrap/>
            <w:vAlign w:val="center"/>
            <w:hideMark/>
          </w:tcPr>
          <w:p w14:paraId="2AF6EB2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60,7</w:t>
            </w:r>
          </w:p>
        </w:tc>
        <w:tc>
          <w:tcPr>
            <w:tcW w:w="482" w:type="pct"/>
            <w:noWrap/>
            <w:vAlign w:val="center"/>
            <w:hideMark/>
          </w:tcPr>
          <w:p w14:paraId="5DA77B6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66,8</w:t>
            </w:r>
          </w:p>
        </w:tc>
        <w:tc>
          <w:tcPr>
            <w:tcW w:w="482" w:type="pct"/>
            <w:noWrap/>
            <w:vAlign w:val="center"/>
            <w:hideMark/>
          </w:tcPr>
          <w:p w14:paraId="7D34EDA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84,6</w:t>
            </w:r>
          </w:p>
        </w:tc>
        <w:tc>
          <w:tcPr>
            <w:tcW w:w="482" w:type="pct"/>
            <w:noWrap/>
            <w:vAlign w:val="center"/>
            <w:hideMark/>
          </w:tcPr>
          <w:p w14:paraId="728E59C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135,8</w:t>
            </w:r>
          </w:p>
        </w:tc>
        <w:tc>
          <w:tcPr>
            <w:tcW w:w="449" w:type="pct"/>
            <w:vAlign w:val="center"/>
          </w:tcPr>
          <w:p w14:paraId="5A177BB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218,1</w:t>
            </w:r>
          </w:p>
        </w:tc>
      </w:tr>
      <w:tr w:rsidR="00B86FB3" w:rsidRPr="00FF756A" w14:paraId="3EA04731"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4A181F90"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HFC134a</w:t>
            </w:r>
          </w:p>
        </w:tc>
        <w:tc>
          <w:tcPr>
            <w:tcW w:w="482" w:type="pct"/>
            <w:noWrap/>
            <w:vAlign w:val="center"/>
            <w:hideMark/>
          </w:tcPr>
          <w:p w14:paraId="1A7FC6E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59,2</w:t>
            </w:r>
          </w:p>
        </w:tc>
        <w:tc>
          <w:tcPr>
            <w:tcW w:w="482" w:type="pct"/>
            <w:noWrap/>
            <w:vAlign w:val="center"/>
            <w:hideMark/>
          </w:tcPr>
          <w:p w14:paraId="32FD915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63,9</w:t>
            </w:r>
          </w:p>
        </w:tc>
        <w:tc>
          <w:tcPr>
            <w:tcW w:w="482" w:type="pct"/>
            <w:noWrap/>
            <w:vAlign w:val="center"/>
            <w:hideMark/>
          </w:tcPr>
          <w:p w14:paraId="44BD63C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68,6</w:t>
            </w:r>
          </w:p>
        </w:tc>
        <w:tc>
          <w:tcPr>
            <w:tcW w:w="482" w:type="pct"/>
            <w:noWrap/>
            <w:vAlign w:val="center"/>
            <w:hideMark/>
          </w:tcPr>
          <w:p w14:paraId="30AA042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73,3</w:t>
            </w:r>
          </w:p>
        </w:tc>
        <w:tc>
          <w:tcPr>
            <w:tcW w:w="482" w:type="pct"/>
            <w:noWrap/>
            <w:vAlign w:val="center"/>
            <w:hideMark/>
          </w:tcPr>
          <w:p w14:paraId="056E998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78,0</w:t>
            </w:r>
          </w:p>
        </w:tc>
        <w:tc>
          <w:tcPr>
            <w:tcW w:w="482" w:type="pct"/>
            <w:noWrap/>
            <w:vAlign w:val="center"/>
            <w:hideMark/>
          </w:tcPr>
          <w:p w14:paraId="7F0564F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78,0</w:t>
            </w:r>
          </w:p>
        </w:tc>
        <w:tc>
          <w:tcPr>
            <w:tcW w:w="482" w:type="pct"/>
            <w:noWrap/>
            <w:vAlign w:val="center"/>
            <w:hideMark/>
          </w:tcPr>
          <w:p w14:paraId="0CFFB1D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78,0</w:t>
            </w:r>
          </w:p>
        </w:tc>
        <w:tc>
          <w:tcPr>
            <w:tcW w:w="449" w:type="pct"/>
            <w:vAlign w:val="center"/>
          </w:tcPr>
          <w:p w14:paraId="4856A26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78,0</w:t>
            </w:r>
          </w:p>
        </w:tc>
      </w:tr>
      <w:tr w:rsidR="00B86FB3" w:rsidRPr="00FF756A" w14:paraId="5D5F0406"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25D8087B"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HFC227ea</w:t>
            </w:r>
          </w:p>
        </w:tc>
        <w:tc>
          <w:tcPr>
            <w:tcW w:w="482" w:type="pct"/>
            <w:noWrap/>
            <w:vAlign w:val="center"/>
            <w:hideMark/>
          </w:tcPr>
          <w:p w14:paraId="6BCA1CD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39,8</w:t>
            </w:r>
          </w:p>
        </w:tc>
        <w:tc>
          <w:tcPr>
            <w:tcW w:w="482" w:type="pct"/>
            <w:noWrap/>
            <w:vAlign w:val="center"/>
            <w:hideMark/>
          </w:tcPr>
          <w:p w14:paraId="43C0585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43,3</w:t>
            </w:r>
          </w:p>
        </w:tc>
        <w:tc>
          <w:tcPr>
            <w:tcW w:w="482" w:type="pct"/>
            <w:noWrap/>
            <w:vAlign w:val="center"/>
            <w:hideMark/>
          </w:tcPr>
          <w:p w14:paraId="450ACAE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46,7</w:t>
            </w:r>
          </w:p>
        </w:tc>
        <w:tc>
          <w:tcPr>
            <w:tcW w:w="482" w:type="pct"/>
            <w:noWrap/>
            <w:vAlign w:val="center"/>
            <w:hideMark/>
          </w:tcPr>
          <w:p w14:paraId="4A1758C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50,2</w:t>
            </w:r>
          </w:p>
        </w:tc>
        <w:tc>
          <w:tcPr>
            <w:tcW w:w="482" w:type="pct"/>
            <w:noWrap/>
            <w:vAlign w:val="center"/>
            <w:hideMark/>
          </w:tcPr>
          <w:p w14:paraId="7CB4FDF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53,6</w:t>
            </w:r>
          </w:p>
        </w:tc>
        <w:tc>
          <w:tcPr>
            <w:tcW w:w="482" w:type="pct"/>
            <w:noWrap/>
            <w:vAlign w:val="center"/>
            <w:hideMark/>
          </w:tcPr>
          <w:p w14:paraId="467EDCD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53,6</w:t>
            </w:r>
          </w:p>
        </w:tc>
        <w:tc>
          <w:tcPr>
            <w:tcW w:w="482" w:type="pct"/>
            <w:noWrap/>
            <w:vAlign w:val="center"/>
            <w:hideMark/>
          </w:tcPr>
          <w:p w14:paraId="0BEC141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53,6</w:t>
            </w:r>
          </w:p>
        </w:tc>
        <w:tc>
          <w:tcPr>
            <w:tcW w:w="449" w:type="pct"/>
            <w:vAlign w:val="center"/>
          </w:tcPr>
          <w:p w14:paraId="7ACB1E8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53,6</w:t>
            </w:r>
          </w:p>
        </w:tc>
      </w:tr>
      <w:tr w:rsidR="00B86FB3" w:rsidRPr="00FF756A" w14:paraId="25A1FF1E"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212A3213"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R404a CO</w:t>
            </w:r>
            <w:r w:rsidRPr="00FF756A">
              <w:rPr>
                <w:rFonts w:cs="Times New Roman"/>
                <w:color w:val="FFFFFF"/>
                <w:sz w:val="16"/>
                <w:szCs w:val="16"/>
                <w:vertAlign w:val="subscript"/>
              </w:rPr>
              <w:t>2</w:t>
            </w:r>
            <w:r w:rsidRPr="00FF756A">
              <w:rPr>
                <w:rFonts w:cs="Times New Roman"/>
                <w:color w:val="FFFFFF"/>
                <w:sz w:val="16"/>
                <w:szCs w:val="16"/>
              </w:rPr>
              <w:t>eq</w:t>
            </w:r>
          </w:p>
        </w:tc>
        <w:tc>
          <w:tcPr>
            <w:tcW w:w="482" w:type="pct"/>
            <w:noWrap/>
            <w:vAlign w:val="center"/>
            <w:hideMark/>
          </w:tcPr>
          <w:p w14:paraId="6ACFB8D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0,1</w:t>
            </w:r>
          </w:p>
        </w:tc>
        <w:tc>
          <w:tcPr>
            <w:tcW w:w="482" w:type="pct"/>
            <w:noWrap/>
            <w:vAlign w:val="center"/>
            <w:hideMark/>
          </w:tcPr>
          <w:p w14:paraId="3DF354A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0,1</w:t>
            </w:r>
          </w:p>
        </w:tc>
        <w:tc>
          <w:tcPr>
            <w:tcW w:w="482" w:type="pct"/>
            <w:noWrap/>
            <w:vAlign w:val="center"/>
            <w:hideMark/>
          </w:tcPr>
          <w:p w14:paraId="3B03028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0,1</w:t>
            </w:r>
          </w:p>
        </w:tc>
        <w:tc>
          <w:tcPr>
            <w:tcW w:w="482" w:type="pct"/>
            <w:noWrap/>
            <w:vAlign w:val="center"/>
            <w:hideMark/>
          </w:tcPr>
          <w:p w14:paraId="7D83CA0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0,1</w:t>
            </w:r>
          </w:p>
        </w:tc>
        <w:tc>
          <w:tcPr>
            <w:tcW w:w="482" w:type="pct"/>
            <w:noWrap/>
            <w:vAlign w:val="center"/>
            <w:hideMark/>
          </w:tcPr>
          <w:p w14:paraId="43EB67F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0,1</w:t>
            </w:r>
          </w:p>
        </w:tc>
        <w:tc>
          <w:tcPr>
            <w:tcW w:w="482" w:type="pct"/>
            <w:noWrap/>
            <w:vAlign w:val="center"/>
            <w:hideMark/>
          </w:tcPr>
          <w:p w14:paraId="38FFF8F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0,1</w:t>
            </w:r>
          </w:p>
        </w:tc>
        <w:tc>
          <w:tcPr>
            <w:tcW w:w="482" w:type="pct"/>
            <w:noWrap/>
            <w:vAlign w:val="center"/>
            <w:hideMark/>
          </w:tcPr>
          <w:p w14:paraId="4F00240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0,1</w:t>
            </w:r>
          </w:p>
        </w:tc>
        <w:tc>
          <w:tcPr>
            <w:tcW w:w="449" w:type="pct"/>
            <w:vAlign w:val="center"/>
          </w:tcPr>
          <w:p w14:paraId="5374099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0,1</w:t>
            </w:r>
          </w:p>
        </w:tc>
      </w:tr>
      <w:tr w:rsidR="00B86FB3" w:rsidRPr="00FF756A" w14:paraId="3859F9BB"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52C4DA05"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R407a CO</w:t>
            </w:r>
            <w:r w:rsidRPr="00FF756A">
              <w:rPr>
                <w:rFonts w:cs="Times New Roman"/>
                <w:color w:val="FFFFFF"/>
                <w:sz w:val="16"/>
                <w:szCs w:val="16"/>
                <w:vertAlign w:val="subscript"/>
              </w:rPr>
              <w:t>2</w:t>
            </w:r>
            <w:r w:rsidRPr="00FF756A">
              <w:rPr>
                <w:rFonts w:cs="Times New Roman"/>
                <w:color w:val="FFFFFF"/>
                <w:sz w:val="16"/>
                <w:szCs w:val="16"/>
              </w:rPr>
              <w:t>eq</w:t>
            </w:r>
          </w:p>
        </w:tc>
        <w:tc>
          <w:tcPr>
            <w:tcW w:w="482" w:type="pct"/>
            <w:noWrap/>
            <w:vAlign w:val="center"/>
            <w:hideMark/>
          </w:tcPr>
          <w:p w14:paraId="64ECCD8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6B959A7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6553D30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5BD44B1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7A51F2D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34DD3BF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2652CFF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49" w:type="pct"/>
            <w:vAlign w:val="center"/>
          </w:tcPr>
          <w:p w14:paraId="52022BD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r>
      <w:tr w:rsidR="00B86FB3" w:rsidRPr="00FF756A" w14:paraId="3155E31B"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6ECE4E1A"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R410a CO</w:t>
            </w:r>
            <w:r w:rsidRPr="00FF756A">
              <w:rPr>
                <w:rFonts w:cs="Times New Roman"/>
                <w:color w:val="FFFFFF"/>
                <w:sz w:val="16"/>
                <w:szCs w:val="16"/>
                <w:vertAlign w:val="subscript"/>
              </w:rPr>
              <w:t>2</w:t>
            </w:r>
            <w:r w:rsidRPr="00FF756A">
              <w:rPr>
                <w:rFonts w:cs="Times New Roman"/>
                <w:color w:val="FFFFFF"/>
                <w:sz w:val="16"/>
                <w:szCs w:val="16"/>
              </w:rPr>
              <w:t>eq</w:t>
            </w:r>
          </w:p>
        </w:tc>
        <w:tc>
          <w:tcPr>
            <w:tcW w:w="482" w:type="pct"/>
            <w:noWrap/>
            <w:vAlign w:val="center"/>
            <w:hideMark/>
          </w:tcPr>
          <w:p w14:paraId="7B972D1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71AA7A2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341C915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4701985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0,1</w:t>
            </w:r>
          </w:p>
        </w:tc>
        <w:tc>
          <w:tcPr>
            <w:tcW w:w="482" w:type="pct"/>
            <w:noWrap/>
            <w:vAlign w:val="center"/>
            <w:hideMark/>
          </w:tcPr>
          <w:p w14:paraId="233E2F9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0,1</w:t>
            </w:r>
          </w:p>
        </w:tc>
        <w:tc>
          <w:tcPr>
            <w:tcW w:w="482" w:type="pct"/>
            <w:noWrap/>
            <w:vAlign w:val="center"/>
            <w:hideMark/>
          </w:tcPr>
          <w:p w14:paraId="23B4F34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0,1</w:t>
            </w:r>
          </w:p>
        </w:tc>
        <w:tc>
          <w:tcPr>
            <w:tcW w:w="482" w:type="pct"/>
            <w:noWrap/>
            <w:vAlign w:val="center"/>
            <w:hideMark/>
          </w:tcPr>
          <w:p w14:paraId="6FE687F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0,1</w:t>
            </w:r>
          </w:p>
        </w:tc>
        <w:tc>
          <w:tcPr>
            <w:tcW w:w="449" w:type="pct"/>
            <w:vAlign w:val="center"/>
          </w:tcPr>
          <w:p w14:paraId="79FB1B5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0,1</w:t>
            </w:r>
          </w:p>
        </w:tc>
      </w:tr>
      <w:tr w:rsidR="00B86FB3" w:rsidRPr="00FF756A" w14:paraId="15BD6BB8"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46F64352"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R507a CO</w:t>
            </w:r>
            <w:r w:rsidRPr="00FF756A">
              <w:rPr>
                <w:rFonts w:cs="Times New Roman"/>
                <w:color w:val="FFFFFF"/>
                <w:sz w:val="16"/>
                <w:szCs w:val="16"/>
                <w:vertAlign w:val="subscript"/>
              </w:rPr>
              <w:t>2</w:t>
            </w:r>
            <w:r w:rsidRPr="00FF756A">
              <w:rPr>
                <w:rFonts w:cs="Times New Roman"/>
                <w:color w:val="FFFFFF"/>
                <w:sz w:val="16"/>
                <w:szCs w:val="16"/>
              </w:rPr>
              <w:t>eq</w:t>
            </w:r>
          </w:p>
        </w:tc>
        <w:tc>
          <w:tcPr>
            <w:tcW w:w="482" w:type="pct"/>
            <w:noWrap/>
            <w:vAlign w:val="center"/>
            <w:hideMark/>
          </w:tcPr>
          <w:p w14:paraId="708189B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348C0A2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7B6ED66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6623415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718FB65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3153503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64385C5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49" w:type="pct"/>
            <w:vAlign w:val="center"/>
          </w:tcPr>
          <w:p w14:paraId="613A543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r>
      <w:tr w:rsidR="00B86FB3" w:rsidRPr="00FF756A" w14:paraId="72CB07AD"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1EDA2BFE"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Totali</w:t>
            </w:r>
          </w:p>
        </w:tc>
        <w:tc>
          <w:tcPr>
            <w:tcW w:w="482" w:type="pct"/>
            <w:shd w:val="clear" w:color="auto" w:fill="4472C4" w:themeFill="accent1"/>
            <w:noWrap/>
            <w:vAlign w:val="center"/>
            <w:hideMark/>
          </w:tcPr>
          <w:p w14:paraId="32D660F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1 583,9</w:t>
            </w:r>
          </w:p>
        </w:tc>
        <w:tc>
          <w:tcPr>
            <w:tcW w:w="482" w:type="pct"/>
            <w:shd w:val="clear" w:color="auto" w:fill="4472C4" w:themeFill="accent1"/>
            <w:noWrap/>
            <w:vAlign w:val="center"/>
            <w:hideMark/>
          </w:tcPr>
          <w:p w14:paraId="6552348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1 592,1</w:t>
            </w:r>
          </w:p>
        </w:tc>
        <w:tc>
          <w:tcPr>
            <w:tcW w:w="482" w:type="pct"/>
            <w:shd w:val="clear" w:color="auto" w:fill="4472C4" w:themeFill="accent1"/>
            <w:noWrap/>
            <w:vAlign w:val="center"/>
            <w:hideMark/>
          </w:tcPr>
          <w:p w14:paraId="1DB5E84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1 600,2</w:t>
            </w:r>
          </w:p>
        </w:tc>
        <w:tc>
          <w:tcPr>
            <w:tcW w:w="482" w:type="pct"/>
            <w:shd w:val="clear" w:color="auto" w:fill="4472C4" w:themeFill="accent1"/>
            <w:noWrap/>
            <w:vAlign w:val="center"/>
            <w:hideMark/>
          </w:tcPr>
          <w:p w14:paraId="669BA47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1 642,2</w:t>
            </w:r>
          </w:p>
        </w:tc>
        <w:tc>
          <w:tcPr>
            <w:tcW w:w="482" w:type="pct"/>
            <w:shd w:val="clear" w:color="auto" w:fill="4472C4" w:themeFill="accent1"/>
            <w:noWrap/>
            <w:vAlign w:val="center"/>
            <w:hideMark/>
          </w:tcPr>
          <w:p w14:paraId="7C01FC9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1 720,3</w:t>
            </w:r>
          </w:p>
        </w:tc>
        <w:tc>
          <w:tcPr>
            <w:tcW w:w="482" w:type="pct"/>
            <w:shd w:val="clear" w:color="auto" w:fill="4472C4" w:themeFill="accent1"/>
            <w:noWrap/>
            <w:vAlign w:val="center"/>
            <w:hideMark/>
          </w:tcPr>
          <w:p w14:paraId="73441AF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1 910,3</w:t>
            </w:r>
          </w:p>
        </w:tc>
        <w:tc>
          <w:tcPr>
            <w:tcW w:w="482" w:type="pct"/>
            <w:shd w:val="clear" w:color="auto" w:fill="4472C4" w:themeFill="accent1"/>
            <w:noWrap/>
            <w:vAlign w:val="center"/>
            <w:hideMark/>
          </w:tcPr>
          <w:p w14:paraId="16CCA97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2 320,1</w:t>
            </w:r>
          </w:p>
        </w:tc>
        <w:tc>
          <w:tcPr>
            <w:tcW w:w="449" w:type="pct"/>
            <w:shd w:val="clear" w:color="auto" w:fill="4472C4" w:themeFill="accent1"/>
            <w:vAlign w:val="center"/>
          </w:tcPr>
          <w:p w14:paraId="448D10D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2 806,3</w:t>
            </w:r>
          </w:p>
        </w:tc>
      </w:tr>
      <w:tr w:rsidR="00B86FB3" w:rsidRPr="00FF756A" w14:paraId="0DDDB34D"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71F26B4F"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Sektorët joenergjetikë - Bujqësia</w:t>
            </w:r>
          </w:p>
        </w:tc>
        <w:tc>
          <w:tcPr>
            <w:tcW w:w="482" w:type="pct"/>
            <w:shd w:val="clear" w:color="auto" w:fill="4472C4" w:themeFill="accent1"/>
            <w:noWrap/>
            <w:hideMark/>
          </w:tcPr>
          <w:p w14:paraId="7C0BB274"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67C9F69D"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4A06C338"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007C218D"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351FC869"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1F5821BD"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13131A7B"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49" w:type="pct"/>
            <w:shd w:val="clear" w:color="auto" w:fill="4472C4" w:themeFill="accent1"/>
          </w:tcPr>
          <w:p w14:paraId="5EEB8F1A"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p>
        </w:tc>
      </w:tr>
      <w:tr w:rsidR="00B86FB3" w:rsidRPr="00FF756A" w14:paraId="6A47CD99"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0D343A7D"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CH</w:t>
            </w:r>
            <w:r w:rsidRPr="00FF756A">
              <w:rPr>
                <w:rFonts w:cs="Times New Roman"/>
                <w:color w:val="FFFFFF"/>
                <w:sz w:val="16"/>
                <w:szCs w:val="16"/>
                <w:vertAlign w:val="subscript"/>
              </w:rPr>
              <w:t>4</w:t>
            </w:r>
            <w:r w:rsidRPr="00FF756A">
              <w:rPr>
                <w:rFonts w:cs="Times New Roman"/>
                <w:color w:val="FFFFFF"/>
                <w:sz w:val="16"/>
                <w:szCs w:val="16"/>
              </w:rPr>
              <w:t xml:space="preserve"> nga fermentimi enterik</w:t>
            </w:r>
          </w:p>
        </w:tc>
        <w:tc>
          <w:tcPr>
            <w:tcW w:w="482" w:type="pct"/>
            <w:noWrap/>
            <w:vAlign w:val="center"/>
            <w:hideMark/>
          </w:tcPr>
          <w:p w14:paraId="27B472A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1 697,5</w:t>
            </w:r>
          </w:p>
        </w:tc>
        <w:tc>
          <w:tcPr>
            <w:tcW w:w="482" w:type="pct"/>
            <w:noWrap/>
            <w:vAlign w:val="center"/>
            <w:hideMark/>
          </w:tcPr>
          <w:p w14:paraId="509F2EB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1 697,5</w:t>
            </w:r>
          </w:p>
        </w:tc>
        <w:tc>
          <w:tcPr>
            <w:tcW w:w="482" w:type="pct"/>
            <w:noWrap/>
            <w:vAlign w:val="center"/>
            <w:hideMark/>
          </w:tcPr>
          <w:p w14:paraId="05CFBEE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1 697,5</w:t>
            </w:r>
          </w:p>
        </w:tc>
        <w:tc>
          <w:tcPr>
            <w:tcW w:w="482" w:type="pct"/>
            <w:noWrap/>
            <w:vAlign w:val="center"/>
            <w:hideMark/>
          </w:tcPr>
          <w:p w14:paraId="0DDA918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1 697,6</w:t>
            </w:r>
          </w:p>
        </w:tc>
        <w:tc>
          <w:tcPr>
            <w:tcW w:w="482" w:type="pct"/>
            <w:noWrap/>
            <w:vAlign w:val="center"/>
            <w:hideMark/>
          </w:tcPr>
          <w:p w14:paraId="150D04E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1 697,8</w:t>
            </w:r>
          </w:p>
        </w:tc>
        <w:tc>
          <w:tcPr>
            <w:tcW w:w="482" w:type="pct"/>
            <w:noWrap/>
            <w:vAlign w:val="center"/>
            <w:hideMark/>
          </w:tcPr>
          <w:p w14:paraId="2F8252E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1 698,2</w:t>
            </w:r>
          </w:p>
        </w:tc>
        <w:tc>
          <w:tcPr>
            <w:tcW w:w="482" w:type="pct"/>
            <w:noWrap/>
            <w:vAlign w:val="center"/>
            <w:hideMark/>
          </w:tcPr>
          <w:p w14:paraId="35B4711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1 699,0</w:t>
            </w:r>
          </w:p>
        </w:tc>
        <w:tc>
          <w:tcPr>
            <w:tcW w:w="449" w:type="pct"/>
            <w:vAlign w:val="center"/>
          </w:tcPr>
          <w:p w14:paraId="666275A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1 700,0</w:t>
            </w:r>
          </w:p>
        </w:tc>
      </w:tr>
      <w:tr w:rsidR="00B86FB3" w:rsidRPr="00FF756A" w14:paraId="7E879FF0"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5FA74930"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CH</w:t>
            </w:r>
            <w:r w:rsidRPr="00FF756A">
              <w:rPr>
                <w:rFonts w:cs="Times New Roman"/>
                <w:color w:val="FFFFFF"/>
                <w:sz w:val="16"/>
                <w:szCs w:val="16"/>
                <w:vertAlign w:val="subscript"/>
              </w:rPr>
              <w:t>4</w:t>
            </w:r>
            <w:r w:rsidRPr="00FF756A">
              <w:rPr>
                <w:rFonts w:cs="Times New Roman"/>
                <w:color w:val="FFFFFF"/>
                <w:sz w:val="16"/>
                <w:szCs w:val="16"/>
              </w:rPr>
              <w:t xml:space="preserve"> nga menaxhimi i plehut</w:t>
            </w:r>
          </w:p>
        </w:tc>
        <w:tc>
          <w:tcPr>
            <w:tcW w:w="482" w:type="pct"/>
            <w:noWrap/>
            <w:vAlign w:val="center"/>
            <w:hideMark/>
          </w:tcPr>
          <w:p w14:paraId="2FAF91C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283,8</w:t>
            </w:r>
          </w:p>
        </w:tc>
        <w:tc>
          <w:tcPr>
            <w:tcW w:w="482" w:type="pct"/>
            <w:noWrap/>
            <w:vAlign w:val="center"/>
            <w:hideMark/>
          </w:tcPr>
          <w:p w14:paraId="7D7842E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283,8</w:t>
            </w:r>
          </w:p>
        </w:tc>
        <w:tc>
          <w:tcPr>
            <w:tcW w:w="482" w:type="pct"/>
            <w:noWrap/>
            <w:vAlign w:val="center"/>
            <w:hideMark/>
          </w:tcPr>
          <w:p w14:paraId="09AA857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283,8</w:t>
            </w:r>
          </w:p>
        </w:tc>
        <w:tc>
          <w:tcPr>
            <w:tcW w:w="482" w:type="pct"/>
            <w:noWrap/>
            <w:vAlign w:val="center"/>
            <w:hideMark/>
          </w:tcPr>
          <w:p w14:paraId="6DCDC91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284,0</w:t>
            </w:r>
          </w:p>
        </w:tc>
        <w:tc>
          <w:tcPr>
            <w:tcW w:w="482" w:type="pct"/>
            <w:noWrap/>
            <w:vAlign w:val="center"/>
            <w:hideMark/>
          </w:tcPr>
          <w:p w14:paraId="0AA95CE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284,7</w:t>
            </w:r>
          </w:p>
        </w:tc>
        <w:tc>
          <w:tcPr>
            <w:tcW w:w="482" w:type="pct"/>
            <w:noWrap/>
            <w:vAlign w:val="center"/>
            <w:hideMark/>
          </w:tcPr>
          <w:p w14:paraId="1E5E4EC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286,6</w:t>
            </w:r>
          </w:p>
        </w:tc>
        <w:tc>
          <w:tcPr>
            <w:tcW w:w="482" w:type="pct"/>
            <w:noWrap/>
            <w:vAlign w:val="center"/>
            <w:hideMark/>
          </w:tcPr>
          <w:p w14:paraId="2300227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290,7</w:t>
            </w:r>
          </w:p>
        </w:tc>
        <w:tc>
          <w:tcPr>
            <w:tcW w:w="449" w:type="pct"/>
            <w:vAlign w:val="center"/>
          </w:tcPr>
          <w:p w14:paraId="5737460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295,3</w:t>
            </w:r>
          </w:p>
        </w:tc>
      </w:tr>
      <w:tr w:rsidR="00B86FB3" w:rsidRPr="00FF756A" w14:paraId="1AEF4F02"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340FA902"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N</w:t>
            </w:r>
            <w:r w:rsidRPr="00FF756A">
              <w:rPr>
                <w:rFonts w:cs="Times New Roman"/>
                <w:color w:val="FFFFFF"/>
                <w:sz w:val="16"/>
                <w:szCs w:val="16"/>
                <w:vertAlign w:val="subscript"/>
              </w:rPr>
              <w:t>2</w:t>
            </w:r>
            <w:r w:rsidRPr="00FF756A">
              <w:rPr>
                <w:rFonts w:cs="Times New Roman"/>
                <w:color w:val="FFFFFF"/>
                <w:sz w:val="16"/>
                <w:szCs w:val="16"/>
              </w:rPr>
              <w:t>O nga menaxhimi i plehut</w:t>
            </w:r>
          </w:p>
        </w:tc>
        <w:tc>
          <w:tcPr>
            <w:tcW w:w="482" w:type="pct"/>
            <w:noWrap/>
            <w:vAlign w:val="center"/>
            <w:hideMark/>
          </w:tcPr>
          <w:p w14:paraId="57D37E1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94,8</w:t>
            </w:r>
          </w:p>
        </w:tc>
        <w:tc>
          <w:tcPr>
            <w:tcW w:w="482" w:type="pct"/>
            <w:noWrap/>
            <w:vAlign w:val="center"/>
            <w:hideMark/>
          </w:tcPr>
          <w:p w14:paraId="6798A2A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94,8</w:t>
            </w:r>
          </w:p>
        </w:tc>
        <w:tc>
          <w:tcPr>
            <w:tcW w:w="482" w:type="pct"/>
            <w:noWrap/>
            <w:vAlign w:val="center"/>
            <w:hideMark/>
          </w:tcPr>
          <w:p w14:paraId="65A3BA6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94,8</w:t>
            </w:r>
          </w:p>
        </w:tc>
        <w:tc>
          <w:tcPr>
            <w:tcW w:w="482" w:type="pct"/>
            <w:noWrap/>
            <w:vAlign w:val="center"/>
            <w:hideMark/>
          </w:tcPr>
          <w:p w14:paraId="5532D8E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94,8</w:t>
            </w:r>
          </w:p>
        </w:tc>
        <w:tc>
          <w:tcPr>
            <w:tcW w:w="482" w:type="pct"/>
            <w:noWrap/>
            <w:vAlign w:val="center"/>
            <w:hideMark/>
          </w:tcPr>
          <w:p w14:paraId="1AB928A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95,0</w:t>
            </w:r>
          </w:p>
        </w:tc>
        <w:tc>
          <w:tcPr>
            <w:tcW w:w="482" w:type="pct"/>
            <w:noWrap/>
            <w:vAlign w:val="center"/>
            <w:hideMark/>
          </w:tcPr>
          <w:p w14:paraId="4C599B1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95,4</w:t>
            </w:r>
          </w:p>
        </w:tc>
        <w:tc>
          <w:tcPr>
            <w:tcW w:w="482" w:type="pct"/>
            <w:noWrap/>
            <w:vAlign w:val="center"/>
            <w:hideMark/>
          </w:tcPr>
          <w:p w14:paraId="249F5D9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96,4</w:t>
            </w:r>
          </w:p>
        </w:tc>
        <w:tc>
          <w:tcPr>
            <w:tcW w:w="449" w:type="pct"/>
            <w:vAlign w:val="center"/>
          </w:tcPr>
          <w:p w14:paraId="10D6C92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97,4</w:t>
            </w:r>
          </w:p>
        </w:tc>
      </w:tr>
      <w:tr w:rsidR="00B86FB3" w:rsidRPr="00FF756A" w14:paraId="0075AC23"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69B6CCE7"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N</w:t>
            </w:r>
            <w:r w:rsidRPr="00FF756A">
              <w:rPr>
                <w:rFonts w:cs="Times New Roman"/>
                <w:color w:val="FFFFFF"/>
                <w:sz w:val="16"/>
                <w:szCs w:val="16"/>
                <w:vertAlign w:val="subscript"/>
              </w:rPr>
              <w:t>2</w:t>
            </w:r>
            <w:r w:rsidRPr="00FF756A">
              <w:rPr>
                <w:rFonts w:cs="Times New Roman"/>
                <w:color w:val="FFFFFF"/>
                <w:sz w:val="16"/>
                <w:szCs w:val="16"/>
              </w:rPr>
              <w:t>O nga menaxhimi i tokave</w:t>
            </w:r>
          </w:p>
        </w:tc>
        <w:tc>
          <w:tcPr>
            <w:tcW w:w="482" w:type="pct"/>
            <w:noWrap/>
            <w:vAlign w:val="center"/>
            <w:hideMark/>
          </w:tcPr>
          <w:p w14:paraId="24DF973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155,8</w:t>
            </w:r>
          </w:p>
        </w:tc>
        <w:tc>
          <w:tcPr>
            <w:tcW w:w="482" w:type="pct"/>
            <w:noWrap/>
            <w:vAlign w:val="center"/>
            <w:hideMark/>
          </w:tcPr>
          <w:p w14:paraId="30B8853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155,8</w:t>
            </w:r>
          </w:p>
        </w:tc>
        <w:tc>
          <w:tcPr>
            <w:tcW w:w="482" w:type="pct"/>
            <w:noWrap/>
            <w:vAlign w:val="center"/>
            <w:hideMark/>
          </w:tcPr>
          <w:p w14:paraId="31DAD12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155,8</w:t>
            </w:r>
          </w:p>
        </w:tc>
        <w:tc>
          <w:tcPr>
            <w:tcW w:w="482" w:type="pct"/>
            <w:noWrap/>
            <w:vAlign w:val="center"/>
            <w:hideMark/>
          </w:tcPr>
          <w:p w14:paraId="329717B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146,4</w:t>
            </w:r>
          </w:p>
        </w:tc>
        <w:tc>
          <w:tcPr>
            <w:tcW w:w="482" w:type="pct"/>
            <w:noWrap/>
            <w:vAlign w:val="center"/>
            <w:hideMark/>
          </w:tcPr>
          <w:p w14:paraId="6975B10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142,9</w:t>
            </w:r>
          </w:p>
        </w:tc>
        <w:tc>
          <w:tcPr>
            <w:tcW w:w="482" w:type="pct"/>
            <w:noWrap/>
            <w:vAlign w:val="center"/>
            <w:hideMark/>
          </w:tcPr>
          <w:p w14:paraId="63163D4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134,3</w:t>
            </w:r>
          </w:p>
        </w:tc>
        <w:tc>
          <w:tcPr>
            <w:tcW w:w="482" w:type="pct"/>
            <w:noWrap/>
            <w:vAlign w:val="center"/>
            <w:hideMark/>
          </w:tcPr>
          <w:p w14:paraId="673A9D4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119,4</w:t>
            </w:r>
          </w:p>
        </w:tc>
        <w:tc>
          <w:tcPr>
            <w:tcW w:w="449" w:type="pct"/>
            <w:vAlign w:val="center"/>
          </w:tcPr>
          <w:p w14:paraId="4EB13CC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104,5</w:t>
            </w:r>
          </w:p>
        </w:tc>
      </w:tr>
      <w:tr w:rsidR="00B86FB3" w:rsidRPr="00FF756A" w14:paraId="4C5BB6CB"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3D596846"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CO</w:t>
            </w:r>
            <w:r w:rsidRPr="00FF756A">
              <w:rPr>
                <w:rFonts w:cs="Times New Roman"/>
                <w:color w:val="FFFFFF"/>
                <w:sz w:val="16"/>
                <w:szCs w:val="16"/>
                <w:vertAlign w:val="subscript"/>
              </w:rPr>
              <w:t>2</w:t>
            </w:r>
            <w:r w:rsidRPr="00FF756A">
              <w:rPr>
                <w:rFonts w:cs="Times New Roman"/>
                <w:color w:val="FFFFFF"/>
                <w:sz w:val="16"/>
                <w:szCs w:val="16"/>
              </w:rPr>
              <w:t xml:space="preserve"> nga gëlqerimi</w:t>
            </w:r>
          </w:p>
        </w:tc>
        <w:tc>
          <w:tcPr>
            <w:tcW w:w="482" w:type="pct"/>
            <w:noWrap/>
            <w:vAlign w:val="center"/>
            <w:hideMark/>
          </w:tcPr>
          <w:p w14:paraId="2A0209B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2B3A9C7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0290B6C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04BFCED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4D6E3DC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19451D4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0B81127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49" w:type="pct"/>
            <w:vAlign w:val="center"/>
          </w:tcPr>
          <w:p w14:paraId="71AE721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r>
      <w:tr w:rsidR="00B86FB3" w:rsidRPr="00FF756A" w14:paraId="1B7869B8"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75806CE0"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CO</w:t>
            </w:r>
            <w:r w:rsidRPr="00FF756A">
              <w:rPr>
                <w:rFonts w:cs="Times New Roman"/>
                <w:color w:val="FFFFFF"/>
                <w:sz w:val="16"/>
                <w:szCs w:val="16"/>
                <w:vertAlign w:val="subscript"/>
              </w:rPr>
              <w:t>2</w:t>
            </w:r>
            <w:r w:rsidRPr="00FF756A">
              <w:rPr>
                <w:rFonts w:cs="Times New Roman"/>
                <w:color w:val="FFFFFF"/>
                <w:sz w:val="16"/>
                <w:szCs w:val="16"/>
              </w:rPr>
              <w:t xml:space="preserve"> nga aplikimi i uresë</w:t>
            </w:r>
          </w:p>
        </w:tc>
        <w:tc>
          <w:tcPr>
            <w:tcW w:w="482" w:type="pct"/>
            <w:noWrap/>
            <w:vAlign w:val="center"/>
            <w:hideMark/>
          </w:tcPr>
          <w:p w14:paraId="5ADDB32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143,8</w:t>
            </w:r>
          </w:p>
        </w:tc>
        <w:tc>
          <w:tcPr>
            <w:tcW w:w="482" w:type="pct"/>
            <w:noWrap/>
            <w:vAlign w:val="center"/>
            <w:hideMark/>
          </w:tcPr>
          <w:p w14:paraId="062DC63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143,8</w:t>
            </w:r>
          </w:p>
        </w:tc>
        <w:tc>
          <w:tcPr>
            <w:tcW w:w="482" w:type="pct"/>
            <w:noWrap/>
            <w:vAlign w:val="center"/>
            <w:hideMark/>
          </w:tcPr>
          <w:p w14:paraId="251AF66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143,8</w:t>
            </w:r>
          </w:p>
        </w:tc>
        <w:tc>
          <w:tcPr>
            <w:tcW w:w="482" w:type="pct"/>
            <w:noWrap/>
            <w:vAlign w:val="center"/>
            <w:hideMark/>
          </w:tcPr>
          <w:p w14:paraId="166C1BB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117,7</w:t>
            </w:r>
          </w:p>
        </w:tc>
        <w:tc>
          <w:tcPr>
            <w:tcW w:w="482" w:type="pct"/>
            <w:noWrap/>
            <w:vAlign w:val="center"/>
            <w:hideMark/>
          </w:tcPr>
          <w:p w14:paraId="4C6F57A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104,6</w:t>
            </w:r>
          </w:p>
        </w:tc>
        <w:tc>
          <w:tcPr>
            <w:tcW w:w="482" w:type="pct"/>
            <w:noWrap/>
            <w:vAlign w:val="center"/>
            <w:hideMark/>
          </w:tcPr>
          <w:p w14:paraId="668363C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71,9</w:t>
            </w:r>
          </w:p>
        </w:tc>
        <w:tc>
          <w:tcPr>
            <w:tcW w:w="482" w:type="pct"/>
            <w:noWrap/>
            <w:vAlign w:val="center"/>
            <w:hideMark/>
          </w:tcPr>
          <w:p w14:paraId="5997EAF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50,3</w:t>
            </w:r>
          </w:p>
        </w:tc>
        <w:tc>
          <w:tcPr>
            <w:tcW w:w="449" w:type="pct"/>
            <w:vAlign w:val="center"/>
          </w:tcPr>
          <w:p w14:paraId="341EC50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28,8</w:t>
            </w:r>
          </w:p>
        </w:tc>
      </w:tr>
      <w:tr w:rsidR="00B86FB3" w:rsidRPr="00FF756A" w14:paraId="593654C6"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757C6DB7"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CH</w:t>
            </w:r>
            <w:r w:rsidRPr="00FF756A">
              <w:rPr>
                <w:rFonts w:cs="Times New Roman"/>
                <w:color w:val="FFFFFF"/>
                <w:sz w:val="16"/>
                <w:szCs w:val="16"/>
                <w:vertAlign w:val="subscript"/>
              </w:rPr>
              <w:t>4</w:t>
            </w:r>
            <w:r w:rsidRPr="00FF756A">
              <w:rPr>
                <w:rFonts w:cs="Times New Roman"/>
                <w:color w:val="FFFFFF"/>
                <w:sz w:val="16"/>
                <w:szCs w:val="16"/>
              </w:rPr>
              <w:t xml:space="preserve"> nga djegia e fushave</w:t>
            </w:r>
          </w:p>
        </w:tc>
        <w:tc>
          <w:tcPr>
            <w:tcW w:w="482" w:type="pct"/>
            <w:noWrap/>
            <w:vAlign w:val="center"/>
            <w:hideMark/>
          </w:tcPr>
          <w:p w14:paraId="4189F65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0,7</w:t>
            </w:r>
          </w:p>
        </w:tc>
        <w:tc>
          <w:tcPr>
            <w:tcW w:w="482" w:type="pct"/>
            <w:noWrap/>
            <w:vAlign w:val="center"/>
            <w:hideMark/>
          </w:tcPr>
          <w:p w14:paraId="64BB96E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0,7</w:t>
            </w:r>
          </w:p>
        </w:tc>
        <w:tc>
          <w:tcPr>
            <w:tcW w:w="482" w:type="pct"/>
            <w:noWrap/>
            <w:vAlign w:val="center"/>
            <w:hideMark/>
          </w:tcPr>
          <w:p w14:paraId="0B992A6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0,7</w:t>
            </w:r>
          </w:p>
        </w:tc>
        <w:tc>
          <w:tcPr>
            <w:tcW w:w="482" w:type="pct"/>
            <w:noWrap/>
            <w:vAlign w:val="center"/>
            <w:hideMark/>
          </w:tcPr>
          <w:p w14:paraId="0DFDAA3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0,3</w:t>
            </w:r>
          </w:p>
        </w:tc>
        <w:tc>
          <w:tcPr>
            <w:tcW w:w="482" w:type="pct"/>
            <w:noWrap/>
            <w:vAlign w:val="center"/>
            <w:hideMark/>
          </w:tcPr>
          <w:p w14:paraId="5778855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459FD6E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20056C7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49" w:type="pct"/>
            <w:vAlign w:val="center"/>
          </w:tcPr>
          <w:p w14:paraId="0B1FACD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r>
      <w:tr w:rsidR="00B86FB3" w:rsidRPr="00FF756A" w14:paraId="1AAC5B4D"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145F1144"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N</w:t>
            </w:r>
            <w:r w:rsidRPr="00FF756A">
              <w:rPr>
                <w:rFonts w:cs="Times New Roman"/>
                <w:color w:val="FFFFFF"/>
                <w:sz w:val="16"/>
                <w:szCs w:val="16"/>
                <w:vertAlign w:val="subscript"/>
              </w:rPr>
              <w:t>2</w:t>
            </w:r>
            <w:r w:rsidRPr="00FF756A">
              <w:rPr>
                <w:rFonts w:cs="Times New Roman"/>
                <w:color w:val="FFFFFF"/>
                <w:sz w:val="16"/>
                <w:szCs w:val="16"/>
              </w:rPr>
              <w:t>O nga djegia e fushave</w:t>
            </w:r>
          </w:p>
        </w:tc>
        <w:tc>
          <w:tcPr>
            <w:tcW w:w="482" w:type="pct"/>
            <w:noWrap/>
            <w:vAlign w:val="center"/>
            <w:hideMark/>
          </w:tcPr>
          <w:p w14:paraId="1E260F4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0,2</w:t>
            </w:r>
          </w:p>
        </w:tc>
        <w:tc>
          <w:tcPr>
            <w:tcW w:w="482" w:type="pct"/>
            <w:noWrap/>
            <w:vAlign w:val="center"/>
            <w:hideMark/>
          </w:tcPr>
          <w:p w14:paraId="3526069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0,2</w:t>
            </w:r>
          </w:p>
        </w:tc>
        <w:tc>
          <w:tcPr>
            <w:tcW w:w="482" w:type="pct"/>
            <w:noWrap/>
            <w:vAlign w:val="center"/>
            <w:hideMark/>
          </w:tcPr>
          <w:p w14:paraId="0ED8A8B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0,2</w:t>
            </w:r>
          </w:p>
        </w:tc>
        <w:tc>
          <w:tcPr>
            <w:tcW w:w="482" w:type="pct"/>
            <w:noWrap/>
            <w:vAlign w:val="center"/>
            <w:hideMark/>
          </w:tcPr>
          <w:p w14:paraId="28CDAC6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0,1</w:t>
            </w:r>
          </w:p>
        </w:tc>
        <w:tc>
          <w:tcPr>
            <w:tcW w:w="482" w:type="pct"/>
            <w:noWrap/>
            <w:vAlign w:val="center"/>
            <w:hideMark/>
          </w:tcPr>
          <w:p w14:paraId="755CCF0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047F1BE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82" w:type="pct"/>
            <w:noWrap/>
            <w:vAlign w:val="center"/>
            <w:hideMark/>
          </w:tcPr>
          <w:p w14:paraId="1B5F51F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49" w:type="pct"/>
            <w:vAlign w:val="center"/>
          </w:tcPr>
          <w:p w14:paraId="32D7C4F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r>
      <w:tr w:rsidR="00B86FB3" w:rsidRPr="00FF756A" w14:paraId="1BF233C4"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61376074"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Totali</w:t>
            </w:r>
          </w:p>
        </w:tc>
        <w:tc>
          <w:tcPr>
            <w:tcW w:w="482" w:type="pct"/>
            <w:shd w:val="clear" w:color="auto" w:fill="4472C4" w:themeFill="accent1"/>
            <w:noWrap/>
            <w:vAlign w:val="center"/>
            <w:hideMark/>
          </w:tcPr>
          <w:p w14:paraId="247C26E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2 376,6</w:t>
            </w:r>
          </w:p>
        </w:tc>
        <w:tc>
          <w:tcPr>
            <w:tcW w:w="482" w:type="pct"/>
            <w:shd w:val="clear" w:color="auto" w:fill="4472C4" w:themeFill="accent1"/>
            <w:noWrap/>
            <w:vAlign w:val="center"/>
            <w:hideMark/>
          </w:tcPr>
          <w:p w14:paraId="49EDEAF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2 376,6</w:t>
            </w:r>
          </w:p>
        </w:tc>
        <w:tc>
          <w:tcPr>
            <w:tcW w:w="482" w:type="pct"/>
            <w:shd w:val="clear" w:color="auto" w:fill="4472C4" w:themeFill="accent1"/>
            <w:noWrap/>
            <w:vAlign w:val="center"/>
            <w:hideMark/>
          </w:tcPr>
          <w:p w14:paraId="475C37F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2 376,6</w:t>
            </w:r>
          </w:p>
        </w:tc>
        <w:tc>
          <w:tcPr>
            <w:tcW w:w="482" w:type="pct"/>
            <w:shd w:val="clear" w:color="auto" w:fill="4472C4" w:themeFill="accent1"/>
            <w:noWrap/>
            <w:vAlign w:val="center"/>
            <w:hideMark/>
          </w:tcPr>
          <w:p w14:paraId="37DC9D1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2 340,8</w:t>
            </w:r>
          </w:p>
        </w:tc>
        <w:tc>
          <w:tcPr>
            <w:tcW w:w="482" w:type="pct"/>
            <w:shd w:val="clear" w:color="auto" w:fill="4472C4" w:themeFill="accent1"/>
            <w:noWrap/>
            <w:vAlign w:val="center"/>
            <w:hideMark/>
          </w:tcPr>
          <w:p w14:paraId="2583F77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2 325,0</w:t>
            </w:r>
          </w:p>
        </w:tc>
        <w:tc>
          <w:tcPr>
            <w:tcW w:w="482" w:type="pct"/>
            <w:shd w:val="clear" w:color="auto" w:fill="4472C4" w:themeFill="accent1"/>
            <w:noWrap/>
            <w:vAlign w:val="center"/>
            <w:hideMark/>
          </w:tcPr>
          <w:p w14:paraId="52BA58B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2 286,4</w:t>
            </w:r>
          </w:p>
        </w:tc>
        <w:tc>
          <w:tcPr>
            <w:tcW w:w="482" w:type="pct"/>
            <w:shd w:val="clear" w:color="auto" w:fill="4472C4" w:themeFill="accent1"/>
            <w:noWrap/>
            <w:vAlign w:val="center"/>
            <w:hideMark/>
          </w:tcPr>
          <w:p w14:paraId="51EA4A4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2 255,8</w:t>
            </w:r>
          </w:p>
        </w:tc>
        <w:tc>
          <w:tcPr>
            <w:tcW w:w="449" w:type="pct"/>
            <w:shd w:val="clear" w:color="auto" w:fill="4472C4" w:themeFill="accent1"/>
            <w:vAlign w:val="center"/>
          </w:tcPr>
          <w:p w14:paraId="24318CC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2 225,9</w:t>
            </w:r>
          </w:p>
        </w:tc>
      </w:tr>
      <w:tr w:rsidR="00B86FB3" w:rsidRPr="00FF756A" w14:paraId="40ABE9DE"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35B8A3A5"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Sektorët joenergjetikë - LULUCF</w:t>
            </w:r>
          </w:p>
        </w:tc>
        <w:tc>
          <w:tcPr>
            <w:tcW w:w="482" w:type="pct"/>
            <w:shd w:val="clear" w:color="auto" w:fill="4472C4" w:themeFill="accent1"/>
            <w:noWrap/>
            <w:hideMark/>
          </w:tcPr>
          <w:p w14:paraId="076AC8B0"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16"/>
                <w:szCs w:val="16"/>
              </w:rPr>
            </w:pPr>
            <w:r w:rsidRPr="00FF756A">
              <w:rPr>
                <w:rFonts w:cs="Times New Roman"/>
                <w:b/>
                <w:bCs/>
                <w:color w:val="FFFFFF" w:themeColor="background1"/>
                <w:sz w:val="16"/>
                <w:szCs w:val="16"/>
              </w:rPr>
              <w:t> </w:t>
            </w:r>
          </w:p>
        </w:tc>
        <w:tc>
          <w:tcPr>
            <w:tcW w:w="482" w:type="pct"/>
            <w:shd w:val="clear" w:color="auto" w:fill="4472C4" w:themeFill="accent1"/>
            <w:noWrap/>
            <w:hideMark/>
          </w:tcPr>
          <w:p w14:paraId="26A1AFF3"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16"/>
                <w:szCs w:val="16"/>
              </w:rPr>
            </w:pPr>
            <w:r w:rsidRPr="00FF756A">
              <w:rPr>
                <w:rFonts w:cs="Times New Roman"/>
                <w:b/>
                <w:bCs/>
                <w:color w:val="FFFFFF" w:themeColor="background1"/>
                <w:sz w:val="16"/>
                <w:szCs w:val="16"/>
              </w:rPr>
              <w:t> </w:t>
            </w:r>
          </w:p>
        </w:tc>
        <w:tc>
          <w:tcPr>
            <w:tcW w:w="482" w:type="pct"/>
            <w:shd w:val="clear" w:color="auto" w:fill="4472C4" w:themeFill="accent1"/>
            <w:noWrap/>
            <w:hideMark/>
          </w:tcPr>
          <w:p w14:paraId="23E7D6F8"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16"/>
                <w:szCs w:val="16"/>
              </w:rPr>
            </w:pPr>
            <w:r w:rsidRPr="00FF756A">
              <w:rPr>
                <w:rFonts w:cs="Times New Roman"/>
                <w:b/>
                <w:bCs/>
                <w:color w:val="FFFFFF" w:themeColor="background1"/>
                <w:sz w:val="16"/>
                <w:szCs w:val="16"/>
              </w:rPr>
              <w:t> </w:t>
            </w:r>
          </w:p>
        </w:tc>
        <w:tc>
          <w:tcPr>
            <w:tcW w:w="482" w:type="pct"/>
            <w:shd w:val="clear" w:color="auto" w:fill="4472C4" w:themeFill="accent1"/>
            <w:noWrap/>
            <w:hideMark/>
          </w:tcPr>
          <w:p w14:paraId="102EABD5"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16"/>
                <w:szCs w:val="16"/>
              </w:rPr>
            </w:pPr>
            <w:r w:rsidRPr="00FF756A">
              <w:rPr>
                <w:rFonts w:cs="Times New Roman"/>
                <w:b/>
                <w:bCs/>
                <w:color w:val="FFFFFF" w:themeColor="background1"/>
                <w:sz w:val="16"/>
                <w:szCs w:val="16"/>
              </w:rPr>
              <w:t> </w:t>
            </w:r>
          </w:p>
        </w:tc>
        <w:tc>
          <w:tcPr>
            <w:tcW w:w="482" w:type="pct"/>
            <w:shd w:val="clear" w:color="auto" w:fill="4472C4" w:themeFill="accent1"/>
            <w:noWrap/>
            <w:hideMark/>
          </w:tcPr>
          <w:p w14:paraId="6982C5A5"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16"/>
                <w:szCs w:val="16"/>
              </w:rPr>
            </w:pPr>
            <w:r w:rsidRPr="00FF756A">
              <w:rPr>
                <w:rFonts w:cs="Times New Roman"/>
                <w:b/>
                <w:bCs/>
                <w:color w:val="FFFFFF" w:themeColor="background1"/>
                <w:sz w:val="16"/>
                <w:szCs w:val="16"/>
              </w:rPr>
              <w:t> </w:t>
            </w:r>
          </w:p>
        </w:tc>
        <w:tc>
          <w:tcPr>
            <w:tcW w:w="482" w:type="pct"/>
            <w:shd w:val="clear" w:color="auto" w:fill="4472C4" w:themeFill="accent1"/>
            <w:noWrap/>
            <w:hideMark/>
          </w:tcPr>
          <w:p w14:paraId="58E53EC8"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16"/>
                <w:szCs w:val="16"/>
              </w:rPr>
            </w:pPr>
            <w:r w:rsidRPr="00FF756A">
              <w:rPr>
                <w:rFonts w:cs="Times New Roman"/>
                <w:b/>
                <w:bCs/>
                <w:color w:val="FFFFFF" w:themeColor="background1"/>
                <w:sz w:val="16"/>
                <w:szCs w:val="16"/>
              </w:rPr>
              <w:t> </w:t>
            </w:r>
          </w:p>
        </w:tc>
        <w:tc>
          <w:tcPr>
            <w:tcW w:w="482" w:type="pct"/>
            <w:shd w:val="clear" w:color="auto" w:fill="4472C4" w:themeFill="accent1"/>
            <w:noWrap/>
            <w:hideMark/>
          </w:tcPr>
          <w:p w14:paraId="6DA65173"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16"/>
                <w:szCs w:val="16"/>
              </w:rPr>
            </w:pPr>
            <w:r w:rsidRPr="00FF756A">
              <w:rPr>
                <w:rFonts w:cs="Times New Roman"/>
                <w:b/>
                <w:bCs/>
                <w:color w:val="FFFFFF" w:themeColor="background1"/>
                <w:sz w:val="16"/>
                <w:szCs w:val="16"/>
              </w:rPr>
              <w:t> </w:t>
            </w:r>
          </w:p>
        </w:tc>
        <w:tc>
          <w:tcPr>
            <w:tcW w:w="449" w:type="pct"/>
            <w:shd w:val="clear" w:color="auto" w:fill="4472C4" w:themeFill="accent1"/>
          </w:tcPr>
          <w:p w14:paraId="208F9DF8"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16"/>
                <w:szCs w:val="16"/>
              </w:rPr>
            </w:pPr>
          </w:p>
        </w:tc>
      </w:tr>
      <w:tr w:rsidR="00B86FB3" w:rsidRPr="00FF756A" w14:paraId="1084BEFE"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1E37BB06"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CO</w:t>
            </w:r>
            <w:r w:rsidRPr="00FF756A">
              <w:rPr>
                <w:rFonts w:cs="Times New Roman"/>
                <w:color w:val="FFFFFF"/>
                <w:sz w:val="16"/>
                <w:szCs w:val="16"/>
                <w:vertAlign w:val="subscript"/>
              </w:rPr>
              <w:t xml:space="preserve">2 </w:t>
            </w:r>
            <w:r w:rsidRPr="00FF756A">
              <w:rPr>
                <w:rFonts w:cs="Times New Roman"/>
                <w:color w:val="FFFFFF"/>
                <w:sz w:val="16"/>
                <w:szCs w:val="16"/>
              </w:rPr>
              <w:t>nga mbledhja e materialeve drusore në pyje</w:t>
            </w:r>
          </w:p>
        </w:tc>
        <w:tc>
          <w:tcPr>
            <w:tcW w:w="482" w:type="pct"/>
            <w:noWrap/>
            <w:vAlign w:val="center"/>
            <w:hideMark/>
          </w:tcPr>
          <w:p w14:paraId="5B0E92B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591E955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05554E2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34A3220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715E334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45E2DE0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2B6B755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49" w:type="pct"/>
            <w:vAlign w:val="center"/>
          </w:tcPr>
          <w:p w14:paraId="5481BEE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r>
      <w:tr w:rsidR="00B86FB3" w:rsidRPr="00FF756A" w14:paraId="5647D3C5"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4F9FD669"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CO</w:t>
            </w:r>
            <w:r w:rsidRPr="00FF756A">
              <w:rPr>
                <w:rFonts w:cs="Times New Roman"/>
                <w:color w:val="FFFFFF"/>
                <w:sz w:val="16"/>
                <w:szCs w:val="16"/>
                <w:vertAlign w:val="subscript"/>
              </w:rPr>
              <w:t xml:space="preserve">2 </w:t>
            </w:r>
            <w:r w:rsidRPr="00FF756A">
              <w:rPr>
                <w:rFonts w:cs="Times New Roman"/>
                <w:color w:val="FFFFFF"/>
                <w:sz w:val="16"/>
                <w:szCs w:val="16"/>
              </w:rPr>
              <w:t>nga shkarkimet e pyjeve</w:t>
            </w:r>
          </w:p>
        </w:tc>
        <w:tc>
          <w:tcPr>
            <w:tcW w:w="482" w:type="pct"/>
            <w:noWrap/>
            <w:vAlign w:val="center"/>
            <w:hideMark/>
          </w:tcPr>
          <w:p w14:paraId="41F1669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3 344,6</w:t>
            </w:r>
          </w:p>
        </w:tc>
        <w:tc>
          <w:tcPr>
            <w:tcW w:w="482" w:type="pct"/>
            <w:noWrap/>
            <w:vAlign w:val="center"/>
            <w:hideMark/>
          </w:tcPr>
          <w:p w14:paraId="64F89C2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3 344,6</w:t>
            </w:r>
          </w:p>
        </w:tc>
        <w:tc>
          <w:tcPr>
            <w:tcW w:w="482" w:type="pct"/>
            <w:noWrap/>
            <w:vAlign w:val="center"/>
            <w:hideMark/>
          </w:tcPr>
          <w:p w14:paraId="308B1E9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3 344,6</w:t>
            </w:r>
          </w:p>
        </w:tc>
        <w:tc>
          <w:tcPr>
            <w:tcW w:w="482" w:type="pct"/>
            <w:noWrap/>
            <w:vAlign w:val="center"/>
            <w:hideMark/>
          </w:tcPr>
          <w:p w14:paraId="642271C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3 344,6</w:t>
            </w:r>
          </w:p>
        </w:tc>
        <w:tc>
          <w:tcPr>
            <w:tcW w:w="482" w:type="pct"/>
            <w:noWrap/>
            <w:vAlign w:val="center"/>
            <w:hideMark/>
          </w:tcPr>
          <w:p w14:paraId="1874E6F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3 344,6</w:t>
            </w:r>
          </w:p>
        </w:tc>
        <w:tc>
          <w:tcPr>
            <w:tcW w:w="482" w:type="pct"/>
            <w:noWrap/>
            <w:vAlign w:val="center"/>
            <w:hideMark/>
          </w:tcPr>
          <w:p w14:paraId="57CC961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3 344,6</w:t>
            </w:r>
          </w:p>
        </w:tc>
        <w:tc>
          <w:tcPr>
            <w:tcW w:w="482" w:type="pct"/>
            <w:noWrap/>
            <w:vAlign w:val="center"/>
            <w:hideMark/>
          </w:tcPr>
          <w:p w14:paraId="5EA7222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3 344,6</w:t>
            </w:r>
          </w:p>
        </w:tc>
        <w:tc>
          <w:tcPr>
            <w:tcW w:w="449" w:type="pct"/>
            <w:vAlign w:val="center"/>
          </w:tcPr>
          <w:p w14:paraId="4CD65A0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3 344,6</w:t>
            </w:r>
          </w:p>
        </w:tc>
      </w:tr>
      <w:tr w:rsidR="00B86FB3" w:rsidRPr="00FF756A" w14:paraId="663AD11E"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1C940CA1"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CO</w:t>
            </w:r>
            <w:r w:rsidRPr="00FF756A">
              <w:rPr>
                <w:rFonts w:cs="Times New Roman"/>
                <w:color w:val="FFFFFF"/>
                <w:sz w:val="16"/>
                <w:szCs w:val="16"/>
                <w:vertAlign w:val="subscript"/>
              </w:rPr>
              <w:t xml:space="preserve">2 </w:t>
            </w:r>
            <w:r w:rsidRPr="00FF756A">
              <w:rPr>
                <w:rFonts w:cs="Times New Roman"/>
                <w:color w:val="FFFFFF"/>
                <w:sz w:val="16"/>
                <w:szCs w:val="16"/>
              </w:rPr>
              <w:t>nga shpyllëzimi</w:t>
            </w:r>
          </w:p>
        </w:tc>
        <w:tc>
          <w:tcPr>
            <w:tcW w:w="482" w:type="pct"/>
            <w:noWrap/>
            <w:vAlign w:val="center"/>
            <w:hideMark/>
          </w:tcPr>
          <w:p w14:paraId="76B52AB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-2 161,6</w:t>
            </w:r>
          </w:p>
        </w:tc>
        <w:tc>
          <w:tcPr>
            <w:tcW w:w="482" w:type="pct"/>
            <w:noWrap/>
            <w:vAlign w:val="center"/>
            <w:hideMark/>
          </w:tcPr>
          <w:p w14:paraId="1F34B17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-2 161,6</w:t>
            </w:r>
          </w:p>
        </w:tc>
        <w:tc>
          <w:tcPr>
            <w:tcW w:w="482" w:type="pct"/>
            <w:noWrap/>
            <w:vAlign w:val="center"/>
            <w:hideMark/>
          </w:tcPr>
          <w:p w14:paraId="43889C7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-2 161,6</w:t>
            </w:r>
          </w:p>
        </w:tc>
        <w:tc>
          <w:tcPr>
            <w:tcW w:w="482" w:type="pct"/>
            <w:noWrap/>
            <w:vAlign w:val="center"/>
            <w:hideMark/>
          </w:tcPr>
          <w:p w14:paraId="6AE7353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-2 161,6</w:t>
            </w:r>
          </w:p>
        </w:tc>
        <w:tc>
          <w:tcPr>
            <w:tcW w:w="482" w:type="pct"/>
            <w:noWrap/>
            <w:vAlign w:val="center"/>
            <w:hideMark/>
          </w:tcPr>
          <w:p w14:paraId="42F1F48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-2 161,6</w:t>
            </w:r>
          </w:p>
        </w:tc>
        <w:tc>
          <w:tcPr>
            <w:tcW w:w="482" w:type="pct"/>
            <w:noWrap/>
            <w:vAlign w:val="center"/>
            <w:hideMark/>
          </w:tcPr>
          <w:p w14:paraId="573E754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-2 161,6</w:t>
            </w:r>
          </w:p>
        </w:tc>
        <w:tc>
          <w:tcPr>
            <w:tcW w:w="482" w:type="pct"/>
            <w:noWrap/>
            <w:vAlign w:val="center"/>
            <w:hideMark/>
          </w:tcPr>
          <w:p w14:paraId="1226BC6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-2 161,6</w:t>
            </w:r>
          </w:p>
        </w:tc>
        <w:tc>
          <w:tcPr>
            <w:tcW w:w="449" w:type="pct"/>
            <w:vAlign w:val="center"/>
          </w:tcPr>
          <w:p w14:paraId="731776F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-2 161,6</w:t>
            </w:r>
          </w:p>
        </w:tc>
      </w:tr>
      <w:tr w:rsidR="00B86FB3" w:rsidRPr="00FF756A" w14:paraId="0D800485"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79755685"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CO</w:t>
            </w:r>
            <w:r w:rsidRPr="00FF756A">
              <w:rPr>
                <w:rFonts w:cs="Times New Roman"/>
                <w:color w:val="FFFFFF"/>
                <w:sz w:val="16"/>
                <w:szCs w:val="16"/>
                <w:vertAlign w:val="subscript"/>
              </w:rPr>
              <w:t xml:space="preserve">2 </w:t>
            </w:r>
            <w:r w:rsidRPr="00FF756A">
              <w:rPr>
                <w:rFonts w:cs="Times New Roman"/>
                <w:color w:val="FFFFFF"/>
                <w:sz w:val="16"/>
                <w:szCs w:val="16"/>
              </w:rPr>
              <w:t>nga zjarret në pyje</w:t>
            </w:r>
          </w:p>
        </w:tc>
        <w:tc>
          <w:tcPr>
            <w:tcW w:w="482" w:type="pct"/>
            <w:noWrap/>
            <w:vAlign w:val="center"/>
            <w:hideMark/>
          </w:tcPr>
          <w:p w14:paraId="2585185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84,7</w:t>
            </w:r>
          </w:p>
        </w:tc>
        <w:tc>
          <w:tcPr>
            <w:tcW w:w="482" w:type="pct"/>
            <w:noWrap/>
            <w:vAlign w:val="center"/>
            <w:hideMark/>
          </w:tcPr>
          <w:p w14:paraId="7E047EE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84,7</w:t>
            </w:r>
          </w:p>
        </w:tc>
        <w:tc>
          <w:tcPr>
            <w:tcW w:w="482" w:type="pct"/>
            <w:noWrap/>
            <w:vAlign w:val="center"/>
            <w:hideMark/>
          </w:tcPr>
          <w:p w14:paraId="0D862D7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84,7</w:t>
            </w:r>
          </w:p>
        </w:tc>
        <w:tc>
          <w:tcPr>
            <w:tcW w:w="482" w:type="pct"/>
            <w:noWrap/>
            <w:vAlign w:val="center"/>
            <w:hideMark/>
          </w:tcPr>
          <w:p w14:paraId="6F8A8F9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161,2</w:t>
            </w:r>
          </w:p>
        </w:tc>
        <w:tc>
          <w:tcPr>
            <w:tcW w:w="482" w:type="pct"/>
            <w:noWrap/>
            <w:vAlign w:val="center"/>
            <w:hideMark/>
          </w:tcPr>
          <w:p w14:paraId="31B33C2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165,8</w:t>
            </w:r>
          </w:p>
        </w:tc>
        <w:tc>
          <w:tcPr>
            <w:tcW w:w="482" w:type="pct"/>
            <w:noWrap/>
            <w:vAlign w:val="center"/>
            <w:hideMark/>
          </w:tcPr>
          <w:p w14:paraId="44180CF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177,5</w:t>
            </w:r>
          </w:p>
        </w:tc>
        <w:tc>
          <w:tcPr>
            <w:tcW w:w="482" w:type="pct"/>
            <w:noWrap/>
            <w:vAlign w:val="center"/>
            <w:hideMark/>
          </w:tcPr>
          <w:p w14:paraId="69B66DA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200,9</w:t>
            </w:r>
          </w:p>
        </w:tc>
        <w:tc>
          <w:tcPr>
            <w:tcW w:w="449" w:type="pct"/>
            <w:vAlign w:val="center"/>
          </w:tcPr>
          <w:p w14:paraId="16992DD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224,2</w:t>
            </w:r>
          </w:p>
        </w:tc>
      </w:tr>
      <w:tr w:rsidR="00B86FB3" w:rsidRPr="00FF756A" w14:paraId="1D7994CE"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033A2861"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CH</w:t>
            </w:r>
            <w:r w:rsidRPr="00FF756A">
              <w:rPr>
                <w:rFonts w:cs="Times New Roman"/>
                <w:color w:val="FFFFFF"/>
                <w:sz w:val="16"/>
                <w:szCs w:val="16"/>
                <w:vertAlign w:val="subscript"/>
              </w:rPr>
              <w:t>4</w:t>
            </w:r>
            <w:r w:rsidRPr="00FF756A">
              <w:rPr>
                <w:rFonts w:cs="Times New Roman"/>
                <w:color w:val="FFFFFF"/>
                <w:sz w:val="16"/>
                <w:szCs w:val="16"/>
              </w:rPr>
              <w:t xml:space="preserve"> nga zjarret në pyje</w:t>
            </w:r>
          </w:p>
        </w:tc>
        <w:tc>
          <w:tcPr>
            <w:tcW w:w="482" w:type="pct"/>
            <w:noWrap/>
            <w:vAlign w:val="center"/>
            <w:hideMark/>
          </w:tcPr>
          <w:p w14:paraId="692BBE5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4E321D2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739509D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37A7E23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3E9F035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754F2D5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798C3B0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49" w:type="pct"/>
            <w:vAlign w:val="center"/>
          </w:tcPr>
          <w:p w14:paraId="13C23BB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r>
      <w:tr w:rsidR="00B86FB3" w:rsidRPr="00FF756A" w14:paraId="4C4E9ACE"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5C4E5496"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N</w:t>
            </w:r>
            <w:r w:rsidRPr="00FF756A">
              <w:rPr>
                <w:rFonts w:cs="Times New Roman"/>
                <w:color w:val="FFFFFF"/>
                <w:sz w:val="16"/>
                <w:szCs w:val="16"/>
                <w:vertAlign w:val="subscript"/>
              </w:rPr>
              <w:t>2</w:t>
            </w:r>
            <w:r w:rsidRPr="00FF756A">
              <w:rPr>
                <w:rFonts w:cs="Times New Roman"/>
                <w:color w:val="FFFFFF"/>
                <w:sz w:val="16"/>
                <w:szCs w:val="16"/>
              </w:rPr>
              <w:t>O nga zjarret në pyje</w:t>
            </w:r>
          </w:p>
        </w:tc>
        <w:tc>
          <w:tcPr>
            <w:tcW w:w="482" w:type="pct"/>
            <w:noWrap/>
            <w:vAlign w:val="center"/>
            <w:hideMark/>
          </w:tcPr>
          <w:p w14:paraId="440FEFB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326BDE3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6F38367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5A8F9C8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52749A3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5E4D328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529768B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49" w:type="pct"/>
            <w:vAlign w:val="center"/>
          </w:tcPr>
          <w:p w14:paraId="1599E76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r>
      <w:tr w:rsidR="00B86FB3" w:rsidRPr="00FF756A" w14:paraId="3D320041"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7E95A281"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CO</w:t>
            </w:r>
            <w:r w:rsidRPr="00FF756A">
              <w:rPr>
                <w:rFonts w:cs="Times New Roman"/>
                <w:color w:val="FFFFFF"/>
                <w:sz w:val="16"/>
                <w:szCs w:val="16"/>
                <w:vertAlign w:val="subscript"/>
              </w:rPr>
              <w:t>2</w:t>
            </w:r>
            <w:r w:rsidRPr="00FF756A">
              <w:rPr>
                <w:rFonts w:cs="Times New Roman"/>
                <w:color w:val="FFFFFF"/>
                <w:sz w:val="16"/>
                <w:szCs w:val="16"/>
              </w:rPr>
              <w:t xml:space="preserve"> nga tokat bujqësore</w:t>
            </w:r>
          </w:p>
        </w:tc>
        <w:tc>
          <w:tcPr>
            <w:tcW w:w="482" w:type="pct"/>
            <w:noWrap/>
            <w:vAlign w:val="center"/>
            <w:hideMark/>
          </w:tcPr>
          <w:p w14:paraId="4D882E9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7C7131B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1D8C72C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301AF79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1599D69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49C949A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4A1C32E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49" w:type="pct"/>
            <w:vAlign w:val="center"/>
          </w:tcPr>
          <w:p w14:paraId="36D8FB6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r>
      <w:tr w:rsidR="00B86FB3" w:rsidRPr="00FF756A" w14:paraId="6D50650E"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424082EC"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CO</w:t>
            </w:r>
            <w:r w:rsidRPr="00FF756A">
              <w:rPr>
                <w:rFonts w:cs="Times New Roman"/>
                <w:color w:val="FFFFFF"/>
                <w:sz w:val="16"/>
                <w:szCs w:val="16"/>
                <w:vertAlign w:val="subscript"/>
              </w:rPr>
              <w:t>2</w:t>
            </w:r>
            <w:r w:rsidRPr="00FF756A">
              <w:rPr>
                <w:rFonts w:cs="Times New Roman"/>
                <w:color w:val="FFFFFF"/>
                <w:sz w:val="16"/>
                <w:szCs w:val="16"/>
              </w:rPr>
              <w:t xml:space="preserve"> nga kullotat</w:t>
            </w:r>
          </w:p>
        </w:tc>
        <w:tc>
          <w:tcPr>
            <w:tcW w:w="482" w:type="pct"/>
            <w:noWrap/>
            <w:vAlign w:val="center"/>
            <w:hideMark/>
          </w:tcPr>
          <w:p w14:paraId="3FEB724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468AC4E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54B0F94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24591D4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09C5BF0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023E684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2F3250F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49" w:type="pct"/>
            <w:vAlign w:val="center"/>
          </w:tcPr>
          <w:p w14:paraId="3859EFC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r>
      <w:tr w:rsidR="00B86FB3" w:rsidRPr="00FF756A" w14:paraId="4C71833D"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4041BA07"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CO</w:t>
            </w:r>
            <w:r w:rsidRPr="00FF756A">
              <w:rPr>
                <w:rFonts w:cs="Times New Roman"/>
                <w:color w:val="FFFFFF"/>
                <w:sz w:val="16"/>
                <w:szCs w:val="16"/>
                <w:vertAlign w:val="subscript"/>
              </w:rPr>
              <w:t>2</w:t>
            </w:r>
            <w:r w:rsidRPr="00FF756A">
              <w:rPr>
                <w:rFonts w:cs="Times New Roman"/>
                <w:color w:val="FFFFFF"/>
                <w:sz w:val="16"/>
                <w:szCs w:val="16"/>
              </w:rPr>
              <w:t xml:space="preserve"> nga ligatinat</w:t>
            </w:r>
          </w:p>
        </w:tc>
        <w:tc>
          <w:tcPr>
            <w:tcW w:w="482" w:type="pct"/>
            <w:noWrap/>
            <w:vAlign w:val="center"/>
            <w:hideMark/>
          </w:tcPr>
          <w:p w14:paraId="348A86C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4161007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415AD6D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54F04C7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21B18B8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33438DC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41A2877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49" w:type="pct"/>
            <w:vAlign w:val="center"/>
          </w:tcPr>
          <w:p w14:paraId="1333FCA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r>
      <w:tr w:rsidR="00B86FB3" w:rsidRPr="00FF756A" w14:paraId="4170442B" w14:textId="77777777" w:rsidTr="006A3266">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1175" w:type="pct"/>
            <w:noWrap/>
            <w:hideMark/>
          </w:tcPr>
          <w:p w14:paraId="39C4A7CF"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CO</w:t>
            </w:r>
            <w:r w:rsidRPr="00FF756A">
              <w:rPr>
                <w:rFonts w:cs="Times New Roman"/>
                <w:color w:val="FFFFFF"/>
                <w:sz w:val="16"/>
                <w:szCs w:val="16"/>
                <w:vertAlign w:val="subscript"/>
              </w:rPr>
              <w:t>2</w:t>
            </w:r>
            <w:r w:rsidRPr="00FF756A">
              <w:rPr>
                <w:rFonts w:cs="Times New Roman"/>
                <w:color w:val="FFFFFF"/>
                <w:sz w:val="16"/>
                <w:szCs w:val="16"/>
              </w:rPr>
              <w:t xml:space="preserve"> nga vendet e banuara</w:t>
            </w:r>
          </w:p>
        </w:tc>
        <w:tc>
          <w:tcPr>
            <w:tcW w:w="482" w:type="pct"/>
            <w:noWrap/>
            <w:vAlign w:val="center"/>
            <w:hideMark/>
          </w:tcPr>
          <w:p w14:paraId="4866723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93,5</w:t>
            </w:r>
          </w:p>
        </w:tc>
        <w:tc>
          <w:tcPr>
            <w:tcW w:w="482" w:type="pct"/>
            <w:noWrap/>
            <w:vAlign w:val="center"/>
            <w:hideMark/>
          </w:tcPr>
          <w:p w14:paraId="1D385C6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93,5</w:t>
            </w:r>
          </w:p>
        </w:tc>
        <w:tc>
          <w:tcPr>
            <w:tcW w:w="482" w:type="pct"/>
            <w:noWrap/>
            <w:vAlign w:val="center"/>
            <w:hideMark/>
          </w:tcPr>
          <w:p w14:paraId="163EC77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93,5</w:t>
            </w:r>
          </w:p>
        </w:tc>
        <w:tc>
          <w:tcPr>
            <w:tcW w:w="482" w:type="pct"/>
            <w:noWrap/>
            <w:vAlign w:val="center"/>
            <w:hideMark/>
          </w:tcPr>
          <w:p w14:paraId="01781D5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94,0</w:t>
            </w:r>
          </w:p>
        </w:tc>
        <w:tc>
          <w:tcPr>
            <w:tcW w:w="482" w:type="pct"/>
            <w:noWrap/>
            <w:vAlign w:val="center"/>
            <w:hideMark/>
          </w:tcPr>
          <w:p w14:paraId="78097F8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94,9</w:t>
            </w:r>
          </w:p>
        </w:tc>
        <w:tc>
          <w:tcPr>
            <w:tcW w:w="482" w:type="pct"/>
            <w:noWrap/>
            <w:vAlign w:val="center"/>
            <w:hideMark/>
          </w:tcPr>
          <w:p w14:paraId="1F6DFC0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97,4</w:t>
            </w:r>
          </w:p>
        </w:tc>
        <w:tc>
          <w:tcPr>
            <w:tcW w:w="482" w:type="pct"/>
            <w:noWrap/>
            <w:vAlign w:val="center"/>
            <w:hideMark/>
          </w:tcPr>
          <w:p w14:paraId="5969FDA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102,5</w:t>
            </w:r>
          </w:p>
        </w:tc>
        <w:tc>
          <w:tcPr>
            <w:tcW w:w="449" w:type="pct"/>
            <w:vAlign w:val="center"/>
          </w:tcPr>
          <w:p w14:paraId="523474C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107,8</w:t>
            </w:r>
          </w:p>
        </w:tc>
      </w:tr>
      <w:tr w:rsidR="00B86FB3" w:rsidRPr="00FF756A" w14:paraId="20FB7776"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0AF3EB9C"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CO</w:t>
            </w:r>
            <w:r w:rsidRPr="00FF756A">
              <w:rPr>
                <w:rFonts w:cs="Times New Roman"/>
                <w:color w:val="FFFFFF"/>
                <w:sz w:val="16"/>
                <w:szCs w:val="16"/>
                <w:vertAlign w:val="subscript"/>
              </w:rPr>
              <w:t>2</w:t>
            </w:r>
            <w:r w:rsidRPr="00FF756A">
              <w:rPr>
                <w:rFonts w:cs="Times New Roman"/>
                <w:color w:val="FFFFFF"/>
                <w:sz w:val="16"/>
                <w:szCs w:val="16"/>
              </w:rPr>
              <w:t xml:space="preserve"> nga toka të tjera</w:t>
            </w:r>
          </w:p>
        </w:tc>
        <w:tc>
          <w:tcPr>
            <w:tcW w:w="482" w:type="pct"/>
            <w:noWrap/>
            <w:vAlign w:val="center"/>
            <w:hideMark/>
          </w:tcPr>
          <w:p w14:paraId="4AA265C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5328A17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58C8632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1A91674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5732DB0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5509F1D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798F8B7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49" w:type="pct"/>
            <w:vAlign w:val="center"/>
          </w:tcPr>
          <w:p w14:paraId="12E61D3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r>
      <w:tr w:rsidR="00B86FB3" w:rsidRPr="00FF756A" w14:paraId="5177AB94"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6A22B159"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Totali</w:t>
            </w:r>
          </w:p>
        </w:tc>
        <w:tc>
          <w:tcPr>
            <w:tcW w:w="482" w:type="pct"/>
            <w:shd w:val="clear" w:color="auto" w:fill="4472C4" w:themeFill="accent1"/>
            <w:noWrap/>
            <w:vAlign w:val="center"/>
            <w:hideMark/>
          </w:tcPr>
          <w:p w14:paraId="4FFA881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1 361,2</w:t>
            </w:r>
          </w:p>
        </w:tc>
        <w:tc>
          <w:tcPr>
            <w:tcW w:w="482" w:type="pct"/>
            <w:shd w:val="clear" w:color="auto" w:fill="4472C4" w:themeFill="accent1"/>
            <w:noWrap/>
            <w:vAlign w:val="center"/>
            <w:hideMark/>
          </w:tcPr>
          <w:p w14:paraId="59447FC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1 361,2</w:t>
            </w:r>
          </w:p>
        </w:tc>
        <w:tc>
          <w:tcPr>
            <w:tcW w:w="482" w:type="pct"/>
            <w:shd w:val="clear" w:color="auto" w:fill="4472C4" w:themeFill="accent1"/>
            <w:noWrap/>
            <w:vAlign w:val="center"/>
            <w:hideMark/>
          </w:tcPr>
          <w:p w14:paraId="33E6B47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1 361,2</w:t>
            </w:r>
          </w:p>
        </w:tc>
        <w:tc>
          <w:tcPr>
            <w:tcW w:w="482" w:type="pct"/>
            <w:shd w:val="clear" w:color="auto" w:fill="4472C4" w:themeFill="accent1"/>
            <w:noWrap/>
            <w:vAlign w:val="center"/>
            <w:hideMark/>
          </w:tcPr>
          <w:p w14:paraId="34A5CB1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1 438,1</w:t>
            </w:r>
          </w:p>
        </w:tc>
        <w:tc>
          <w:tcPr>
            <w:tcW w:w="482" w:type="pct"/>
            <w:shd w:val="clear" w:color="auto" w:fill="4472C4" w:themeFill="accent1"/>
            <w:noWrap/>
            <w:vAlign w:val="center"/>
            <w:hideMark/>
          </w:tcPr>
          <w:p w14:paraId="576C077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1 443,8</w:t>
            </w:r>
          </w:p>
        </w:tc>
        <w:tc>
          <w:tcPr>
            <w:tcW w:w="482" w:type="pct"/>
            <w:shd w:val="clear" w:color="auto" w:fill="4472C4" w:themeFill="accent1"/>
            <w:noWrap/>
            <w:vAlign w:val="center"/>
            <w:hideMark/>
          </w:tcPr>
          <w:p w14:paraId="66684F1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1 457,9</w:t>
            </w:r>
          </w:p>
        </w:tc>
        <w:tc>
          <w:tcPr>
            <w:tcW w:w="482" w:type="pct"/>
            <w:shd w:val="clear" w:color="auto" w:fill="4472C4" w:themeFill="accent1"/>
            <w:noWrap/>
            <w:vAlign w:val="center"/>
            <w:hideMark/>
          </w:tcPr>
          <w:p w14:paraId="4AAE981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1 486,3</w:t>
            </w:r>
          </w:p>
        </w:tc>
        <w:tc>
          <w:tcPr>
            <w:tcW w:w="449" w:type="pct"/>
            <w:shd w:val="clear" w:color="auto" w:fill="4472C4" w:themeFill="accent1"/>
            <w:vAlign w:val="center"/>
          </w:tcPr>
          <w:p w14:paraId="270DA4C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1 515,0</w:t>
            </w:r>
          </w:p>
        </w:tc>
      </w:tr>
      <w:tr w:rsidR="00B86FB3" w:rsidRPr="00FF756A" w14:paraId="3B4D1E96"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76FE3091"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Sektorët joenergjetikë - Mbetjet</w:t>
            </w:r>
          </w:p>
        </w:tc>
        <w:tc>
          <w:tcPr>
            <w:tcW w:w="482" w:type="pct"/>
            <w:shd w:val="clear" w:color="auto" w:fill="4472C4" w:themeFill="accent1"/>
            <w:noWrap/>
            <w:hideMark/>
          </w:tcPr>
          <w:p w14:paraId="109A28C9"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051B4F1C"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03B69F78"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hideMark/>
          </w:tcPr>
          <w:p w14:paraId="10107E36"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c>
          <w:tcPr>
            <w:tcW w:w="482" w:type="pct"/>
            <w:shd w:val="clear" w:color="auto" w:fill="4472C4" w:themeFill="accent1"/>
            <w:noWrap/>
          </w:tcPr>
          <w:p w14:paraId="63C69942"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p>
        </w:tc>
        <w:tc>
          <w:tcPr>
            <w:tcW w:w="482" w:type="pct"/>
            <w:shd w:val="clear" w:color="auto" w:fill="4472C4" w:themeFill="accent1"/>
            <w:noWrap/>
          </w:tcPr>
          <w:p w14:paraId="54F2694B"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p>
        </w:tc>
        <w:tc>
          <w:tcPr>
            <w:tcW w:w="482" w:type="pct"/>
            <w:shd w:val="clear" w:color="auto" w:fill="4472C4" w:themeFill="accent1"/>
            <w:noWrap/>
          </w:tcPr>
          <w:p w14:paraId="72BE46CC"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p>
        </w:tc>
        <w:tc>
          <w:tcPr>
            <w:tcW w:w="449" w:type="pct"/>
            <w:shd w:val="clear" w:color="auto" w:fill="4472C4" w:themeFill="accent1"/>
          </w:tcPr>
          <w:p w14:paraId="08AEF72D"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w:t>
            </w:r>
          </w:p>
        </w:tc>
      </w:tr>
      <w:tr w:rsidR="00B86FB3" w:rsidRPr="00FF756A" w14:paraId="4B02E736"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189B44E6"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CH</w:t>
            </w:r>
            <w:r w:rsidRPr="00FF756A">
              <w:rPr>
                <w:rFonts w:cs="Times New Roman"/>
                <w:color w:val="FFFFFF"/>
                <w:sz w:val="16"/>
                <w:szCs w:val="16"/>
                <w:vertAlign w:val="subscript"/>
              </w:rPr>
              <w:t>4</w:t>
            </w:r>
            <w:r w:rsidRPr="00FF756A">
              <w:rPr>
                <w:rFonts w:cs="Times New Roman"/>
                <w:color w:val="FFFFFF"/>
                <w:sz w:val="16"/>
                <w:szCs w:val="16"/>
              </w:rPr>
              <w:t xml:space="preserve"> nga mbetjet e ngurta</w:t>
            </w:r>
          </w:p>
        </w:tc>
        <w:tc>
          <w:tcPr>
            <w:tcW w:w="482" w:type="pct"/>
            <w:noWrap/>
            <w:vAlign w:val="center"/>
            <w:hideMark/>
          </w:tcPr>
          <w:p w14:paraId="17AEEE5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1 166,8</w:t>
            </w:r>
          </w:p>
        </w:tc>
        <w:tc>
          <w:tcPr>
            <w:tcW w:w="482" w:type="pct"/>
            <w:noWrap/>
            <w:vAlign w:val="center"/>
            <w:hideMark/>
          </w:tcPr>
          <w:p w14:paraId="2CF96D3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1 151,2</w:t>
            </w:r>
          </w:p>
        </w:tc>
        <w:tc>
          <w:tcPr>
            <w:tcW w:w="482" w:type="pct"/>
            <w:noWrap/>
            <w:vAlign w:val="center"/>
            <w:hideMark/>
          </w:tcPr>
          <w:p w14:paraId="77DEF3D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1 136,9</w:t>
            </w:r>
          </w:p>
        </w:tc>
        <w:tc>
          <w:tcPr>
            <w:tcW w:w="482" w:type="pct"/>
            <w:noWrap/>
            <w:vAlign w:val="center"/>
            <w:hideMark/>
          </w:tcPr>
          <w:p w14:paraId="3F3DC01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1 123,9</w:t>
            </w:r>
          </w:p>
        </w:tc>
        <w:tc>
          <w:tcPr>
            <w:tcW w:w="482" w:type="pct"/>
            <w:noWrap/>
            <w:vAlign w:val="center"/>
            <w:hideMark/>
          </w:tcPr>
          <w:p w14:paraId="3F003B8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1 097,4</w:t>
            </w:r>
          </w:p>
        </w:tc>
        <w:tc>
          <w:tcPr>
            <w:tcW w:w="482" w:type="pct"/>
            <w:noWrap/>
            <w:vAlign w:val="center"/>
            <w:hideMark/>
          </w:tcPr>
          <w:p w14:paraId="06F7A05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925,3</w:t>
            </w:r>
          </w:p>
        </w:tc>
        <w:tc>
          <w:tcPr>
            <w:tcW w:w="482" w:type="pct"/>
            <w:noWrap/>
            <w:vAlign w:val="center"/>
            <w:hideMark/>
          </w:tcPr>
          <w:p w14:paraId="64CE6F8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676,6</w:t>
            </w:r>
          </w:p>
        </w:tc>
        <w:tc>
          <w:tcPr>
            <w:tcW w:w="449" w:type="pct"/>
            <w:vAlign w:val="center"/>
          </w:tcPr>
          <w:p w14:paraId="5E99BD6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550,6</w:t>
            </w:r>
          </w:p>
        </w:tc>
      </w:tr>
      <w:tr w:rsidR="00B86FB3" w:rsidRPr="00FF756A" w14:paraId="268E0BF7"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496CEC91"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CH</w:t>
            </w:r>
            <w:r w:rsidRPr="00FF756A">
              <w:rPr>
                <w:rFonts w:cs="Times New Roman"/>
                <w:color w:val="FFFFFF"/>
                <w:sz w:val="16"/>
                <w:szCs w:val="16"/>
                <w:vertAlign w:val="subscript"/>
              </w:rPr>
              <w:t>4</w:t>
            </w:r>
            <w:r w:rsidRPr="00FF756A">
              <w:rPr>
                <w:rFonts w:cs="Times New Roman"/>
                <w:color w:val="FFFFFF"/>
                <w:sz w:val="16"/>
                <w:szCs w:val="16"/>
              </w:rPr>
              <w:t xml:space="preserve"> nga ujërat e përdorura</w:t>
            </w:r>
          </w:p>
        </w:tc>
        <w:tc>
          <w:tcPr>
            <w:tcW w:w="482" w:type="pct"/>
            <w:noWrap/>
            <w:vAlign w:val="center"/>
            <w:hideMark/>
          </w:tcPr>
          <w:p w14:paraId="72BC4A5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107,5</w:t>
            </w:r>
          </w:p>
        </w:tc>
        <w:tc>
          <w:tcPr>
            <w:tcW w:w="482" w:type="pct"/>
            <w:noWrap/>
            <w:vAlign w:val="center"/>
            <w:hideMark/>
          </w:tcPr>
          <w:p w14:paraId="3C7DF43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103,8</w:t>
            </w:r>
          </w:p>
        </w:tc>
        <w:tc>
          <w:tcPr>
            <w:tcW w:w="482" w:type="pct"/>
            <w:noWrap/>
            <w:vAlign w:val="center"/>
            <w:hideMark/>
          </w:tcPr>
          <w:p w14:paraId="470F4D7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100,1</w:t>
            </w:r>
          </w:p>
        </w:tc>
        <w:tc>
          <w:tcPr>
            <w:tcW w:w="482" w:type="pct"/>
            <w:noWrap/>
            <w:vAlign w:val="center"/>
            <w:hideMark/>
          </w:tcPr>
          <w:p w14:paraId="311C3D8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90,0</w:t>
            </w:r>
          </w:p>
        </w:tc>
        <w:tc>
          <w:tcPr>
            <w:tcW w:w="482" w:type="pct"/>
            <w:noWrap/>
            <w:vAlign w:val="center"/>
            <w:hideMark/>
          </w:tcPr>
          <w:p w14:paraId="23722A3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83,8</w:t>
            </w:r>
          </w:p>
        </w:tc>
        <w:tc>
          <w:tcPr>
            <w:tcW w:w="482" w:type="pct"/>
            <w:noWrap/>
            <w:vAlign w:val="center"/>
            <w:hideMark/>
          </w:tcPr>
          <w:p w14:paraId="6DCA00E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58,0</w:t>
            </w:r>
          </w:p>
        </w:tc>
        <w:tc>
          <w:tcPr>
            <w:tcW w:w="482" w:type="pct"/>
            <w:noWrap/>
            <w:vAlign w:val="center"/>
            <w:hideMark/>
          </w:tcPr>
          <w:p w14:paraId="7990987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27,3</w:t>
            </w:r>
          </w:p>
        </w:tc>
        <w:tc>
          <w:tcPr>
            <w:tcW w:w="449" w:type="pct"/>
            <w:vAlign w:val="center"/>
          </w:tcPr>
          <w:p w14:paraId="3B36209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r>
      <w:tr w:rsidR="00B86FB3" w:rsidRPr="00FF756A" w14:paraId="4665BB9F"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326DCFE8"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N</w:t>
            </w:r>
            <w:r w:rsidRPr="00FF756A">
              <w:rPr>
                <w:rFonts w:cs="Times New Roman"/>
                <w:color w:val="FFFFFF"/>
                <w:sz w:val="16"/>
                <w:szCs w:val="16"/>
                <w:vertAlign w:val="subscript"/>
              </w:rPr>
              <w:t>2</w:t>
            </w:r>
            <w:r w:rsidRPr="00FF756A">
              <w:rPr>
                <w:rFonts w:cs="Times New Roman"/>
                <w:color w:val="FFFFFF"/>
                <w:sz w:val="16"/>
                <w:szCs w:val="16"/>
              </w:rPr>
              <w:t>O nga ujërat e përdorura</w:t>
            </w:r>
          </w:p>
        </w:tc>
        <w:tc>
          <w:tcPr>
            <w:tcW w:w="482" w:type="pct"/>
            <w:noWrap/>
            <w:vAlign w:val="center"/>
            <w:hideMark/>
          </w:tcPr>
          <w:p w14:paraId="39CDD49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62,5</w:t>
            </w:r>
          </w:p>
        </w:tc>
        <w:tc>
          <w:tcPr>
            <w:tcW w:w="482" w:type="pct"/>
            <w:noWrap/>
            <w:vAlign w:val="center"/>
            <w:hideMark/>
          </w:tcPr>
          <w:p w14:paraId="28609DF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60,3</w:t>
            </w:r>
          </w:p>
        </w:tc>
        <w:tc>
          <w:tcPr>
            <w:tcW w:w="482" w:type="pct"/>
            <w:noWrap/>
            <w:vAlign w:val="center"/>
            <w:hideMark/>
          </w:tcPr>
          <w:p w14:paraId="1D99A83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58,2</w:t>
            </w:r>
          </w:p>
        </w:tc>
        <w:tc>
          <w:tcPr>
            <w:tcW w:w="482" w:type="pct"/>
            <w:noWrap/>
            <w:vAlign w:val="center"/>
            <w:hideMark/>
          </w:tcPr>
          <w:p w14:paraId="2AD5F28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56,0</w:t>
            </w:r>
          </w:p>
        </w:tc>
        <w:tc>
          <w:tcPr>
            <w:tcW w:w="482" w:type="pct"/>
            <w:noWrap/>
            <w:vAlign w:val="center"/>
            <w:hideMark/>
          </w:tcPr>
          <w:p w14:paraId="6CC634F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55,6</w:t>
            </w:r>
          </w:p>
        </w:tc>
        <w:tc>
          <w:tcPr>
            <w:tcW w:w="482" w:type="pct"/>
            <w:noWrap/>
            <w:vAlign w:val="center"/>
            <w:hideMark/>
          </w:tcPr>
          <w:p w14:paraId="0AEB586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54,5</w:t>
            </w:r>
          </w:p>
        </w:tc>
        <w:tc>
          <w:tcPr>
            <w:tcW w:w="482" w:type="pct"/>
            <w:noWrap/>
            <w:vAlign w:val="center"/>
            <w:hideMark/>
          </w:tcPr>
          <w:p w14:paraId="01AB2B6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51,4</w:t>
            </w:r>
          </w:p>
        </w:tc>
        <w:tc>
          <w:tcPr>
            <w:tcW w:w="449" w:type="pct"/>
            <w:vAlign w:val="center"/>
          </w:tcPr>
          <w:p w14:paraId="1EABF86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47,6</w:t>
            </w:r>
          </w:p>
        </w:tc>
      </w:tr>
      <w:tr w:rsidR="00B86FB3" w:rsidRPr="00FF756A" w14:paraId="11355845"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47DBADAF"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CH</w:t>
            </w:r>
            <w:r w:rsidRPr="00FF756A">
              <w:rPr>
                <w:rFonts w:cs="Times New Roman"/>
                <w:color w:val="FFFFFF"/>
                <w:sz w:val="16"/>
                <w:szCs w:val="16"/>
                <w:vertAlign w:val="subscript"/>
              </w:rPr>
              <w:t>4</w:t>
            </w:r>
            <w:r w:rsidRPr="00FF756A">
              <w:rPr>
                <w:rFonts w:cs="Times New Roman"/>
                <w:color w:val="FFFFFF"/>
                <w:sz w:val="16"/>
                <w:szCs w:val="16"/>
              </w:rPr>
              <w:t xml:space="preserve"> nga djegia</w:t>
            </w:r>
          </w:p>
        </w:tc>
        <w:tc>
          <w:tcPr>
            <w:tcW w:w="482" w:type="pct"/>
            <w:noWrap/>
            <w:vAlign w:val="center"/>
            <w:hideMark/>
          </w:tcPr>
          <w:p w14:paraId="51A2F42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737C82D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0AB508D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5E20EE8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306C9E3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51FF968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553D8E8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49" w:type="pct"/>
            <w:vAlign w:val="center"/>
          </w:tcPr>
          <w:p w14:paraId="3590DB2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r>
      <w:tr w:rsidR="00B86FB3" w:rsidRPr="00FF756A" w14:paraId="350AB6AB" w14:textId="77777777" w:rsidTr="006A326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4687F967"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N</w:t>
            </w:r>
            <w:r w:rsidRPr="00FF756A">
              <w:rPr>
                <w:rFonts w:cs="Times New Roman"/>
                <w:color w:val="FFFFFF"/>
                <w:sz w:val="16"/>
                <w:szCs w:val="16"/>
                <w:vertAlign w:val="subscript"/>
              </w:rPr>
              <w:t>2</w:t>
            </w:r>
            <w:r w:rsidRPr="00FF756A">
              <w:rPr>
                <w:rFonts w:cs="Times New Roman"/>
                <w:color w:val="FFFFFF"/>
                <w:sz w:val="16"/>
                <w:szCs w:val="16"/>
              </w:rPr>
              <w:t>O nga djegia</w:t>
            </w:r>
          </w:p>
        </w:tc>
        <w:tc>
          <w:tcPr>
            <w:tcW w:w="482" w:type="pct"/>
            <w:noWrap/>
            <w:vAlign w:val="center"/>
            <w:hideMark/>
          </w:tcPr>
          <w:p w14:paraId="6977AFF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2FA5B45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0304A79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649DAC2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0FE2811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7F7FBBF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0,0</w:t>
            </w:r>
          </w:p>
        </w:tc>
        <w:tc>
          <w:tcPr>
            <w:tcW w:w="482" w:type="pct"/>
            <w:noWrap/>
            <w:vAlign w:val="center"/>
            <w:hideMark/>
          </w:tcPr>
          <w:p w14:paraId="625B577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c>
          <w:tcPr>
            <w:tcW w:w="449" w:type="pct"/>
            <w:vAlign w:val="center"/>
          </w:tcPr>
          <w:p w14:paraId="65381F0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w:t>
            </w:r>
          </w:p>
        </w:tc>
      </w:tr>
      <w:tr w:rsidR="00B86FB3" w:rsidRPr="00FF756A" w14:paraId="6AFFC15D" w14:textId="77777777" w:rsidTr="006A3266">
        <w:trPr>
          <w:trHeight w:val="299"/>
        </w:trPr>
        <w:tc>
          <w:tcPr>
            <w:cnfStyle w:val="001000000000" w:firstRow="0" w:lastRow="0" w:firstColumn="1" w:lastColumn="0" w:oddVBand="0" w:evenVBand="0" w:oddHBand="0" w:evenHBand="0" w:firstRowFirstColumn="0" w:firstRowLastColumn="0" w:lastRowFirstColumn="0" w:lastRowLastColumn="0"/>
            <w:tcW w:w="1175" w:type="pct"/>
            <w:noWrap/>
            <w:hideMark/>
          </w:tcPr>
          <w:p w14:paraId="770E8C45"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Totali</w:t>
            </w:r>
          </w:p>
        </w:tc>
        <w:tc>
          <w:tcPr>
            <w:tcW w:w="482" w:type="pct"/>
            <w:shd w:val="clear" w:color="auto" w:fill="4472C4" w:themeFill="accent1"/>
            <w:noWrap/>
            <w:vAlign w:val="center"/>
            <w:hideMark/>
          </w:tcPr>
          <w:p w14:paraId="04281E3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1 336,9</w:t>
            </w:r>
          </w:p>
        </w:tc>
        <w:tc>
          <w:tcPr>
            <w:tcW w:w="482" w:type="pct"/>
            <w:shd w:val="clear" w:color="auto" w:fill="4472C4" w:themeFill="accent1"/>
            <w:noWrap/>
            <w:vAlign w:val="center"/>
            <w:hideMark/>
          </w:tcPr>
          <w:p w14:paraId="121BF43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1 315,4</w:t>
            </w:r>
          </w:p>
        </w:tc>
        <w:tc>
          <w:tcPr>
            <w:tcW w:w="482" w:type="pct"/>
            <w:shd w:val="clear" w:color="auto" w:fill="4472C4" w:themeFill="accent1"/>
            <w:noWrap/>
            <w:vAlign w:val="center"/>
            <w:hideMark/>
          </w:tcPr>
          <w:p w14:paraId="5575438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1 295,2</w:t>
            </w:r>
          </w:p>
        </w:tc>
        <w:tc>
          <w:tcPr>
            <w:tcW w:w="482" w:type="pct"/>
            <w:shd w:val="clear" w:color="auto" w:fill="4472C4" w:themeFill="accent1"/>
            <w:noWrap/>
            <w:vAlign w:val="center"/>
            <w:hideMark/>
          </w:tcPr>
          <w:p w14:paraId="0EABEEC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1 269,9</w:t>
            </w:r>
          </w:p>
        </w:tc>
        <w:tc>
          <w:tcPr>
            <w:tcW w:w="482" w:type="pct"/>
            <w:shd w:val="clear" w:color="auto" w:fill="4472C4" w:themeFill="accent1"/>
            <w:noWrap/>
            <w:vAlign w:val="center"/>
            <w:hideMark/>
          </w:tcPr>
          <w:p w14:paraId="74F326B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1 236,9</w:t>
            </w:r>
          </w:p>
        </w:tc>
        <w:tc>
          <w:tcPr>
            <w:tcW w:w="482" w:type="pct"/>
            <w:shd w:val="clear" w:color="auto" w:fill="4472C4" w:themeFill="accent1"/>
            <w:noWrap/>
            <w:vAlign w:val="center"/>
            <w:hideMark/>
          </w:tcPr>
          <w:p w14:paraId="2F2255E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1 037,8</w:t>
            </w:r>
          </w:p>
        </w:tc>
        <w:tc>
          <w:tcPr>
            <w:tcW w:w="482" w:type="pct"/>
            <w:shd w:val="clear" w:color="auto" w:fill="4472C4" w:themeFill="accent1"/>
            <w:noWrap/>
            <w:vAlign w:val="center"/>
            <w:hideMark/>
          </w:tcPr>
          <w:p w14:paraId="5346B47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755,3</w:t>
            </w:r>
          </w:p>
        </w:tc>
        <w:tc>
          <w:tcPr>
            <w:tcW w:w="449" w:type="pct"/>
            <w:shd w:val="clear" w:color="auto" w:fill="4472C4" w:themeFill="accent1"/>
            <w:vAlign w:val="center"/>
          </w:tcPr>
          <w:p w14:paraId="5A863DDA" w14:textId="77777777" w:rsidR="00B86FB3" w:rsidRPr="00FF756A" w:rsidRDefault="00B86FB3" w:rsidP="003F200D">
            <w:pPr>
              <w:keepNext/>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598,2</w:t>
            </w:r>
          </w:p>
        </w:tc>
      </w:tr>
    </w:tbl>
    <w:p w14:paraId="44BE8EBB" w14:textId="6014E438" w:rsidR="00B86FB3" w:rsidRPr="00FF756A" w:rsidRDefault="003F200D" w:rsidP="003F200D">
      <w:pPr>
        <w:pStyle w:val="Caption"/>
        <w:rPr>
          <w:rFonts w:ascii="Times New Roman" w:hAnsi="Times New Roman"/>
        </w:rPr>
      </w:pPr>
      <w:bookmarkStart w:id="539" w:name="_Toc183016495"/>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1C2044" w:rsidRPr="00FF756A">
        <w:rPr>
          <w:rFonts w:ascii="Times New Roman" w:hAnsi="Times New Roman"/>
          <w:noProof/>
        </w:rPr>
        <w:t>31</w:t>
      </w:r>
      <w:r w:rsidR="008E7DE9" w:rsidRPr="00FF756A">
        <w:rPr>
          <w:rFonts w:ascii="Times New Roman" w:hAnsi="Times New Roman"/>
          <w:noProof/>
        </w:rPr>
        <w:fldChar w:fldCharType="end"/>
      </w:r>
      <w:r w:rsidRPr="00FF756A">
        <w:rPr>
          <w:rFonts w:ascii="Times New Roman" w:hAnsi="Times New Roman"/>
        </w:rPr>
        <w:t>: Shkarkimet e GES-ve (kt CO2eq) për degë të ndryshme të ekonomisë për periudhën (2020-2023) dhe sipas parashikimit me masat ekzistuese deri në vitin 2050.</w:t>
      </w:r>
      <w:bookmarkEnd w:id="539"/>
    </w:p>
    <w:p w14:paraId="491661FC" w14:textId="77777777" w:rsidR="001C2044" w:rsidRPr="00FF756A" w:rsidRDefault="001C2044" w:rsidP="00B86FB3"/>
    <w:p w14:paraId="5D767E2A" w14:textId="4F74A623" w:rsidR="00B86FB3" w:rsidRPr="00FF756A" w:rsidRDefault="00B86FB3" w:rsidP="00B86FB3">
      <w:r w:rsidRPr="00FF756A">
        <w:t>Disa nga shkarkimet lëshojnë gaze të ndryshme nga CO</w:t>
      </w:r>
      <w:r w:rsidRPr="00FF756A">
        <w:rPr>
          <w:vertAlign w:val="subscript"/>
        </w:rPr>
        <w:t>2</w:t>
      </w:r>
      <w:r w:rsidRPr="00FF756A">
        <w:t>. Siç tregohet më lart, vlerat e tyre shprehen në ekuivalentë CO</w:t>
      </w:r>
      <w:r w:rsidRPr="00FF756A">
        <w:rPr>
          <w:vertAlign w:val="subscript"/>
        </w:rPr>
        <w:t>2</w:t>
      </w:r>
      <w:r w:rsidRPr="00FF756A">
        <w:t xml:space="preserve"> të potencialit të ngrohjes globale të shkaktuar prej tyre për 100 vite. Me qëllim që të jetë sa më e plotë, tabela e mëposhtme paraqet koeficientin e përdorur për të përllogaritur këtë vlerë nga shkarkimet fizike të gazeve përkatëse. Vini re se disa nga hidrofluorokarburet raportohen dhe parashikohen drejtpërdrejt në terma të CO</w:t>
      </w:r>
      <w:r w:rsidRPr="00FF756A">
        <w:rPr>
          <w:vertAlign w:val="subscript"/>
        </w:rPr>
        <w:t>2</w:t>
      </w:r>
      <w:r w:rsidRPr="00FF756A">
        <w:t xml:space="preserve">eq. </w:t>
      </w:r>
    </w:p>
    <w:p w14:paraId="25D2F01E" w14:textId="77777777" w:rsidR="00B86FB3" w:rsidRPr="00FF756A" w:rsidRDefault="00B86FB3" w:rsidP="00B86FB3"/>
    <w:tbl>
      <w:tblPr>
        <w:tblStyle w:val="GridTable5DarkAccent10"/>
        <w:tblW w:w="5000" w:type="pct"/>
        <w:tblLook w:val="04A0" w:firstRow="1" w:lastRow="0" w:firstColumn="1" w:lastColumn="0" w:noHBand="0" w:noVBand="1"/>
      </w:tblPr>
      <w:tblGrid>
        <w:gridCol w:w="2714"/>
        <w:gridCol w:w="1127"/>
        <w:gridCol w:w="5221"/>
      </w:tblGrid>
      <w:tr w:rsidR="00B86FB3" w:rsidRPr="00FF756A" w14:paraId="61D5AAD5" w14:textId="77777777" w:rsidTr="006A3266">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593" w:type="pct"/>
            <w:noWrap/>
            <w:hideMark/>
          </w:tcPr>
          <w:p w14:paraId="28528717" w14:textId="77777777" w:rsidR="00B86FB3" w:rsidRPr="00FF756A" w:rsidRDefault="00B86FB3" w:rsidP="00B86FB3">
            <w:pPr>
              <w:rPr>
                <w:rFonts w:eastAsia="Times New Roman" w:cs="Times New Roman"/>
                <w:sz w:val="18"/>
              </w:rPr>
            </w:pPr>
            <w:r w:rsidRPr="00FF756A">
              <w:rPr>
                <w:rFonts w:cs="Times New Roman"/>
                <w:sz w:val="18"/>
              </w:rPr>
              <w:t>Efekti</w:t>
            </w:r>
          </w:p>
        </w:tc>
        <w:tc>
          <w:tcPr>
            <w:tcW w:w="877" w:type="pct"/>
            <w:noWrap/>
            <w:hideMark/>
          </w:tcPr>
          <w:p w14:paraId="01154F2E"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eastAsia="Times New Roman" w:cs="Times New Roman"/>
                <w:sz w:val="18"/>
              </w:rPr>
            </w:pPr>
            <w:r w:rsidRPr="00FF756A">
              <w:rPr>
                <w:rFonts w:cs="Times New Roman"/>
                <w:sz w:val="18"/>
              </w:rPr>
              <w:t>Shkurtimi</w:t>
            </w:r>
          </w:p>
        </w:tc>
        <w:tc>
          <w:tcPr>
            <w:tcW w:w="1530" w:type="pct"/>
            <w:noWrap/>
            <w:hideMark/>
          </w:tcPr>
          <w:p w14:paraId="298B58AD"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eastAsia="Times New Roman" w:cs="Times New Roman"/>
                <w:sz w:val="18"/>
              </w:rPr>
            </w:pPr>
            <w:r w:rsidRPr="00FF756A">
              <w:rPr>
                <w:rFonts w:cs="Times New Roman"/>
                <w:sz w:val="18"/>
              </w:rPr>
              <w:t>Potenciali i ngrohjes globale të shkaktuar për 100 vite (tCO2eq/t)</w:t>
            </w:r>
          </w:p>
        </w:tc>
      </w:tr>
      <w:tr w:rsidR="00B86FB3" w:rsidRPr="00FF756A" w14:paraId="427427AC"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593" w:type="pct"/>
            <w:noWrap/>
            <w:hideMark/>
          </w:tcPr>
          <w:p w14:paraId="5D078561" w14:textId="77777777" w:rsidR="00B86FB3" w:rsidRPr="00FF756A" w:rsidRDefault="00B86FB3" w:rsidP="00B86FB3">
            <w:pPr>
              <w:rPr>
                <w:rFonts w:eastAsia="Times New Roman" w:cs="Times New Roman"/>
                <w:sz w:val="18"/>
              </w:rPr>
            </w:pPr>
            <w:r w:rsidRPr="00FF756A">
              <w:rPr>
                <w:rFonts w:cs="Times New Roman"/>
                <w:sz w:val="18"/>
              </w:rPr>
              <w:t>Dyoksidi i karbonit</w:t>
            </w:r>
          </w:p>
        </w:tc>
        <w:tc>
          <w:tcPr>
            <w:tcW w:w="877" w:type="pct"/>
            <w:noWrap/>
            <w:hideMark/>
          </w:tcPr>
          <w:p w14:paraId="0494D43A"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rPr>
            </w:pPr>
            <w:r w:rsidRPr="00FF756A">
              <w:rPr>
                <w:rFonts w:cs="Times New Roman"/>
                <w:color w:val="000000"/>
                <w:sz w:val="18"/>
              </w:rPr>
              <w:t>CO</w:t>
            </w:r>
            <w:r w:rsidRPr="00FF756A">
              <w:rPr>
                <w:rFonts w:cs="Times New Roman"/>
                <w:color w:val="000000"/>
                <w:sz w:val="18"/>
                <w:vertAlign w:val="subscript"/>
              </w:rPr>
              <w:t>2</w:t>
            </w:r>
          </w:p>
        </w:tc>
        <w:tc>
          <w:tcPr>
            <w:tcW w:w="1530" w:type="pct"/>
            <w:noWrap/>
            <w:hideMark/>
          </w:tcPr>
          <w:p w14:paraId="5C9E5D7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rPr>
            </w:pPr>
            <w:r w:rsidRPr="00FF756A">
              <w:rPr>
                <w:rFonts w:cs="Times New Roman"/>
                <w:color w:val="000000"/>
                <w:sz w:val="18"/>
              </w:rPr>
              <w:t>1</w:t>
            </w:r>
          </w:p>
        </w:tc>
      </w:tr>
      <w:tr w:rsidR="00B86FB3" w:rsidRPr="00FF756A" w14:paraId="30D2E076"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2593" w:type="pct"/>
            <w:noWrap/>
            <w:hideMark/>
          </w:tcPr>
          <w:p w14:paraId="7D22C6F9" w14:textId="77777777" w:rsidR="00B86FB3" w:rsidRPr="00FF756A" w:rsidRDefault="00B86FB3" w:rsidP="00B86FB3">
            <w:pPr>
              <w:rPr>
                <w:rFonts w:eastAsia="Times New Roman" w:cs="Times New Roman"/>
                <w:sz w:val="18"/>
              </w:rPr>
            </w:pPr>
            <w:r w:rsidRPr="00FF756A">
              <w:rPr>
                <w:rFonts w:cs="Times New Roman"/>
                <w:sz w:val="18"/>
              </w:rPr>
              <w:t>Metan</w:t>
            </w:r>
          </w:p>
        </w:tc>
        <w:tc>
          <w:tcPr>
            <w:tcW w:w="877" w:type="pct"/>
            <w:noWrap/>
            <w:hideMark/>
          </w:tcPr>
          <w:p w14:paraId="3A384853"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rPr>
            </w:pPr>
            <w:r w:rsidRPr="00FF756A">
              <w:rPr>
                <w:rFonts w:cs="Times New Roman"/>
                <w:color w:val="000000"/>
                <w:sz w:val="18"/>
              </w:rPr>
              <w:t>CH</w:t>
            </w:r>
            <w:r w:rsidRPr="00FF756A">
              <w:rPr>
                <w:rFonts w:cs="Times New Roman"/>
                <w:color w:val="000000"/>
                <w:sz w:val="18"/>
                <w:vertAlign w:val="subscript"/>
              </w:rPr>
              <w:t>4</w:t>
            </w:r>
          </w:p>
        </w:tc>
        <w:tc>
          <w:tcPr>
            <w:tcW w:w="1530" w:type="pct"/>
            <w:noWrap/>
            <w:hideMark/>
          </w:tcPr>
          <w:p w14:paraId="1C3B7A6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rPr>
            </w:pPr>
            <w:r w:rsidRPr="00FF756A">
              <w:rPr>
                <w:rFonts w:cs="Times New Roman"/>
                <w:color w:val="000000"/>
                <w:sz w:val="18"/>
              </w:rPr>
              <w:t>30</w:t>
            </w:r>
          </w:p>
        </w:tc>
      </w:tr>
      <w:tr w:rsidR="00B86FB3" w:rsidRPr="00FF756A" w14:paraId="4D7C4AAD"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593" w:type="pct"/>
            <w:noWrap/>
            <w:hideMark/>
          </w:tcPr>
          <w:p w14:paraId="24F9E70F" w14:textId="77777777" w:rsidR="00B86FB3" w:rsidRPr="00FF756A" w:rsidRDefault="00B86FB3" w:rsidP="00B86FB3">
            <w:pPr>
              <w:rPr>
                <w:rFonts w:eastAsia="Times New Roman" w:cs="Times New Roman"/>
                <w:sz w:val="18"/>
              </w:rPr>
            </w:pPr>
            <w:r w:rsidRPr="00FF756A">
              <w:rPr>
                <w:rFonts w:cs="Times New Roman"/>
                <w:sz w:val="18"/>
              </w:rPr>
              <w:t>Oksidi i azotit</w:t>
            </w:r>
          </w:p>
        </w:tc>
        <w:tc>
          <w:tcPr>
            <w:tcW w:w="877" w:type="pct"/>
            <w:noWrap/>
            <w:hideMark/>
          </w:tcPr>
          <w:p w14:paraId="2221FC46"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rPr>
            </w:pPr>
            <w:r w:rsidRPr="00FF756A">
              <w:rPr>
                <w:rFonts w:cs="Times New Roman"/>
                <w:color w:val="000000"/>
                <w:sz w:val="18"/>
              </w:rPr>
              <w:t>N</w:t>
            </w:r>
            <w:r w:rsidRPr="00FF756A">
              <w:rPr>
                <w:rFonts w:cs="Times New Roman"/>
                <w:color w:val="000000"/>
                <w:sz w:val="18"/>
                <w:vertAlign w:val="subscript"/>
              </w:rPr>
              <w:t>2</w:t>
            </w:r>
            <w:r w:rsidRPr="00FF756A">
              <w:rPr>
                <w:rFonts w:cs="Times New Roman"/>
                <w:color w:val="000000"/>
                <w:sz w:val="18"/>
              </w:rPr>
              <w:t>O</w:t>
            </w:r>
          </w:p>
        </w:tc>
        <w:tc>
          <w:tcPr>
            <w:tcW w:w="1530" w:type="pct"/>
            <w:noWrap/>
            <w:hideMark/>
          </w:tcPr>
          <w:p w14:paraId="0CD7CA6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rPr>
            </w:pPr>
            <w:r w:rsidRPr="00FF756A">
              <w:rPr>
                <w:rFonts w:cs="Times New Roman"/>
                <w:color w:val="000000"/>
                <w:sz w:val="18"/>
              </w:rPr>
              <w:t>265</w:t>
            </w:r>
          </w:p>
        </w:tc>
      </w:tr>
      <w:tr w:rsidR="00B86FB3" w:rsidRPr="00FF756A" w14:paraId="656742F1"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2593" w:type="pct"/>
            <w:noWrap/>
            <w:hideMark/>
          </w:tcPr>
          <w:p w14:paraId="34499B5A" w14:textId="77777777" w:rsidR="00B86FB3" w:rsidRPr="00FF756A" w:rsidRDefault="00B86FB3" w:rsidP="00B86FB3">
            <w:pPr>
              <w:rPr>
                <w:rFonts w:eastAsia="Times New Roman" w:cs="Times New Roman"/>
                <w:sz w:val="18"/>
              </w:rPr>
            </w:pPr>
            <w:r w:rsidRPr="00FF756A">
              <w:rPr>
                <w:rFonts w:cs="Times New Roman"/>
                <w:sz w:val="18"/>
              </w:rPr>
              <w:t>HFC-134a</w:t>
            </w:r>
          </w:p>
        </w:tc>
        <w:tc>
          <w:tcPr>
            <w:tcW w:w="877" w:type="pct"/>
            <w:noWrap/>
            <w:hideMark/>
          </w:tcPr>
          <w:p w14:paraId="06D990A2"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rPr>
            </w:pPr>
            <w:r w:rsidRPr="00FF756A">
              <w:rPr>
                <w:rFonts w:cs="Times New Roman"/>
                <w:color w:val="000000"/>
                <w:sz w:val="18"/>
              </w:rPr>
              <w:t>CH</w:t>
            </w:r>
            <w:r w:rsidRPr="00FF756A">
              <w:rPr>
                <w:rFonts w:cs="Times New Roman"/>
                <w:color w:val="000000"/>
                <w:sz w:val="18"/>
                <w:vertAlign w:val="subscript"/>
              </w:rPr>
              <w:t>2</w:t>
            </w:r>
            <w:r w:rsidRPr="00FF756A">
              <w:rPr>
                <w:rFonts w:cs="Times New Roman"/>
                <w:color w:val="000000"/>
                <w:sz w:val="18"/>
              </w:rPr>
              <w:t>FCF</w:t>
            </w:r>
            <w:r w:rsidRPr="00FF756A">
              <w:rPr>
                <w:rFonts w:cs="Times New Roman"/>
                <w:color w:val="000000"/>
                <w:sz w:val="18"/>
                <w:vertAlign w:val="subscript"/>
              </w:rPr>
              <w:t>3</w:t>
            </w:r>
          </w:p>
        </w:tc>
        <w:tc>
          <w:tcPr>
            <w:tcW w:w="1530" w:type="pct"/>
            <w:noWrap/>
            <w:hideMark/>
          </w:tcPr>
          <w:p w14:paraId="638E4E8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rPr>
            </w:pPr>
            <w:r w:rsidRPr="00FF756A">
              <w:rPr>
                <w:rFonts w:cs="Times New Roman"/>
                <w:color w:val="000000"/>
                <w:sz w:val="18"/>
              </w:rPr>
              <w:t>1300</w:t>
            </w:r>
          </w:p>
        </w:tc>
      </w:tr>
      <w:tr w:rsidR="00B86FB3" w:rsidRPr="00FF756A" w14:paraId="36231788"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593" w:type="pct"/>
            <w:noWrap/>
            <w:hideMark/>
          </w:tcPr>
          <w:p w14:paraId="458016B4" w14:textId="77777777" w:rsidR="00B86FB3" w:rsidRPr="00FF756A" w:rsidRDefault="00B86FB3" w:rsidP="00B86FB3">
            <w:pPr>
              <w:rPr>
                <w:rFonts w:eastAsia="Times New Roman" w:cs="Times New Roman"/>
                <w:sz w:val="18"/>
              </w:rPr>
            </w:pPr>
            <w:r w:rsidRPr="00FF756A">
              <w:rPr>
                <w:rFonts w:cs="Times New Roman"/>
                <w:sz w:val="18"/>
              </w:rPr>
              <w:t>HFC-227ea</w:t>
            </w:r>
          </w:p>
        </w:tc>
        <w:tc>
          <w:tcPr>
            <w:tcW w:w="877" w:type="pct"/>
            <w:noWrap/>
            <w:hideMark/>
          </w:tcPr>
          <w:p w14:paraId="5DF3DA98"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rPr>
            </w:pPr>
            <w:r w:rsidRPr="00FF756A">
              <w:rPr>
                <w:rFonts w:cs="Times New Roman"/>
                <w:color w:val="000000"/>
                <w:sz w:val="18"/>
              </w:rPr>
              <w:t>CF</w:t>
            </w:r>
            <w:r w:rsidRPr="00FF756A">
              <w:rPr>
                <w:rFonts w:cs="Times New Roman"/>
                <w:color w:val="000000"/>
                <w:sz w:val="18"/>
                <w:vertAlign w:val="subscript"/>
              </w:rPr>
              <w:t>3</w:t>
            </w:r>
            <w:r w:rsidRPr="00FF756A">
              <w:rPr>
                <w:rFonts w:cs="Times New Roman"/>
                <w:color w:val="000000"/>
                <w:sz w:val="18"/>
              </w:rPr>
              <w:t>CHFCF</w:t>
            </w:r>
            <w:r w:rsidRPr="00FF756A">
              <w:rPr>
                <w:rFonts w:cs="Times New Roman"/>
                <w:color w:val="000000"/>
                <w:sz w:val="18"/>
                <w:vertAlign w:val="subscript"/>
              </w:rPr>
              <w:t>3</w:t>
            </w:r>
          </w:p>
        </w:tc>
        <w:tc>
          <w:tcPr>
            <w:tcW w:w="1530" w:type="pct"/>
            <w:noWrap/>
            <w:hideMark/>
          </w:tcPr>
          <w:p w14:paraId="6F15E5F0" w14:textId="77777777" w:rsidR="00B86FB3" w:rsidRPr="00FF756A" w:rsidRDefault="00B86FB3" w:rsidP="003F200D">
            <w:pPr>
              <w:keepNext/>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rPr>
            </w:pPr>
            <w:r w:rsidRPr="00FF756A">
              <w:rPr>
                <w:rFonts w:cs="Times New Roman"/>
                <w:color w:val="000000"/>
                <w:sz w:val="18"/>
              </w:rPr>
              <w:t>3350</w:t>
            </w:r>
          </w:p>
        </w:tc>
      </w:tr>
    </w:tbl>
    <w:p w14:paraId="76FFC5BB" w14:textId="6C81B1FD" w:rsidR="00B86FB3" w:rsidRPr="00FF756A" w:rsidRDefault="003F200D" w:rsidP="003F200D">
      <w:pPr>
        <w:pStyle w:val="Caption"/>
        <w:rPr>
          <w:rFonts w:ascii="Times New Roman" w:hAnsi="Times New Roman"/>
        </w:rPr>
      </w:pPr>
      <w:bookmarkStart w:id="540" w:name="_Toc183016496"/>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32</w:t>
      </w:r>
      <w:r w:rsidR="008E7DE9" w:rsidRPr="00FF756A">
        <w:rPr>
          <w:rFonts w:ascii="Times New Roman" w:hAnsi="Times New Roman"/>
          <w:noProof/>
        </w:rPr>
        <w:fldChar w:fldCharType="end"/>
      </w:r>
      <w:r w:rsidRPr="00FF756A">
        <w:rPr>
          <w:rFonts w:ascii="Times New Roman" w:hAnsi="Times New Roman"/>
        </w:rPr>
        <w:t>: Potenciali i ngrohjes globale të shkaktuar për 100 vite nga gazet e marra në konsideratë në analizë.</w:t>
      </w:r>
      <w:bookmarkEnd w:id="540"/>
    </w:p>
    <w:p w14:paraId="1FCBB311" w14:textId="77777777" w:rsidR="004D5047" w:rsidRPr="00FF756A" w:rsidRDefault="004D5047" w:rsidP="00B86FB3">
      <w:pPr>
        <w:keepNext/>
        <w:keepLines/>
        <w:numPr>
          <w:ilvl w:val="2"/>
          <w:numId w:val="0"/>
        </w:numPr>
        <w:pBdr>
          <w:top w:val="none" w:sz="0" w:space="0" w:color="auto"/>
          <w:left w:val="none" w:sz="0" w:space="0" w:color="auto"/>
          <w:bottom w:val="none" w:sz="0" w:space="0" w:color="auto"/>
          <w:right w:val="none" w:sz="0" w:space="0" w:color="auto"/>
          <w:between w:val="none" w:sz="0" w:space="0" w:color="auto"/>
        </w:pBdr>
        <w:spacing w:before="40" w:after="120" w:line="240" w:lineRule="auto"/>
        <w:ind w:left="720" w:hanging="720"/>
        <w:outlineLvl w:val="2"/>
        <w:rPr>
          <w:rFonts w:eastAsia="Calibri Light"/>
          <w:color w:val="1F3763" w:themeColor="accent1" w:themeShade="7F"/>
          <w:sz w:val="24"/>
          <w:szCs w:val="24"/>
        </w:rPr>
      </w:pPr>
      <w:bookmarkStart w:id="541" w:name="_Toc71832849"/>
      <w:bookmarkStart w:id="542" w:name="_Toc72331016"/>
      <w:bookmarkStart w:id="543" w:name="_Toc75616148"/>
      <w:bookmarkStart w:id="544" w:name="_Toc100575609"/>
      <w:bookmarkStart w:id="545" w:name="_Toc182898972"/>
    </w:p>
    <w:p w14:paraId="4D517BDD" w14:textId="6957B5DC" w:rsidR="00B86FB3" w:rsidRPr="00FF756A" w:rsidRDefault="004D5047" w:rsidP="004A3257">
      <w:pPr>
        <w:pStyle w:val="Heading3"/>
      </w:pPr>
      <w:bookmarkStart w:id="546" w:name="_Toc183639278"/>
      <w:r w:rsidRPr="00FF756A">
        <w:t xml:space="preserve">4.2.2 </w:t>
      </w:r>
      <w:r w:rsidR="00B86FB3" w:rsidRPr="00FF756A">
        <w:t>Energjia e rinovueshme</w:t>
      </w:r>
      <w:bookmarkEnd w:id="541"/>
      <w:bookmarkEnd w:id="542"/>
      <w:bookmarkEnd w:id="543"/>
      <w:bookmarkEnd w:id="544"/>
      <w:bookmarkEnd w:id="545"/>
      <w:bookmarkEnd w:id="546"/>
    </w:p>
    <w:p w14:paraId="4A099A89" w14:textId="77777777" w:rsidR="00B86FB3" w:rsidRPr="00FF756A" w:rsidRDefault="00B86FB3" w:rsidP="00B86FB3"/>
    <w:p w14:paraId="6D7A5E05" w14:textId="77777777" w:rsidR="00B86FB3" w:rsidRPr="00FF756A" w:rsidRDefault="00B86FB3" w:rsidP="004A3257">
      <w:pPr>
        <w:pStyle w:val="Heading4"/>
        <w:numPr>
          <w:ilvl w:val="0"/>
          <w:numId w:val="0"/>
        </w:numPr>
        <w:rPr>
          <w:rFonts w:cs="Times New Roman"/>
        </w:rPr>
      </w:pPr>
      <w:bookmarkStart w:id="547" w:name="_Toc183639279"/>
      <w:r w:rsidRPr="00FF756A">
        <w:rPr>
          <w:rFonts w:cs="Times New Roman"/>
        </w:rPr>
        <w:t>Përqindja aktuale e energjisë së rinovueshme në konsumin final bruto të energjisë dhe në sektorë të ndryshëm (ngrohja dhe ftohja, energjia elektrike dhe transporti), si dhe sipas teknologjisë në secilin nga këta sektorë</w:t>
      </w:r>
      <w:bookmarkEnd w:id="547"/>
      <w:r w:rsidRPr="00FF756A">
        <w:rPr>
          <w:rFonts w:cs="Times New Roman"/>
        </w:rPr>
        <w:t xml:space="preserve"> </w:t>
      </w:r>
    </w:p>
    <w:p w14:paraId="193F3EF8" w14:textId="77777777" w:rsidR="002C6ADB" w:rsidRPr="00FF756A" w:rsidRDefault="002C6ADB" w:rsidP="00B86FB3"/>
    <w:p w14:paraId="6839DD3C" w14:textId="44D3D754" w:rsidR="00B86FB3" w:rsidRPr="00FF756A" w:rsidRDefault="00B86FB3" w:rsidP="00B86FB3">
      <w:r w:rsidRPr="00FF756A">
        <w:t xml:space="preserve">Vlerat aktuale në energjinë e rinovueshme trajtohen në krahasim me parashikimet me masat ekzistuese në seksionin e ardhshëm. </w:t>
      </w:r>
    </w:p>
    <w:p w14:paraId="0EE929B5" w14:textId="77777777" w:rsidR="00B86FB3" w:rsidRPr="00FF756A" w:rsidRDefault="00B86FB3" w:rsidP="004A3257">
      <w:pPr>
        <w:pStyle w:val="Heading4"/>
        <w:numPr>
          <w:ilvl w:val="0"/>
          <w:numId w:val="0"/>
        </w:numPr>
        <w:rPr>
          <w:rFonts w:cs="Times New Roman"/>
        </w:rPr>
      </w:pPr>
      <w:bookmarkStart w:id="548" w:name="_Toc183639280"/>
      <w:r w:rsidRPr="00FF756A">
        <w:rPr>
          <w:rFonts w:cs="Times New Roman"/>
        </w:rPr>
        <w:t>Projeksionet treguese për zhvillim bazuar në politikat ekzistuese, për vitin 2030 (me synim për vitin 2040)</w:t>
      </w:r>
      <w:bookmarkEnd w:id="548"/>
    </w:p>
    <w:p w14:paraId="21F1AF3E" w14:textId="182A7EB6" w:rsidR="00B86FB3" w:rsidRPr="00FF756A" w:rsidRDefault="00B86FB3" w:rsidP="00B86FB3">
      <w:r w:rsidRPr="00FF756A">
        <w:t xml:space="preserve">Objektivat aktuale për energjinë e rinovueshme përcaktohen në raport me </w:t>
      </w:r>
      <w:bookmarkStart w:id="549" w:name="_Hlk75714375"/>
      <w:r w:rsidRPr="00FF756A">
        <w:t>totalin e furnizimit me energji primare (TFEP</w:t>
      </w:r>
      <w:bookmarkEnd w:id="549"/>
      <w:r w:rsidRPr="00FF756A">
        <w:t xml:space="preserve">). Për referencë, tabela e mëposhtme jep përqindjen aktuale të energjisë së rinovueshme në TFEP dhe parashikimin deri në vitin 2050, duke marrë në konsideratë masat ekzistuese. </w:t>
      </w:r>
      <w:r w:rsidRPr="00FF756A">
        <w:fldChar w:fldCharType="begin"/>
      </w:r>
      <w:r w:rsidRPr="00FF756A">
        <w:instrText xml:space="preserve"> REF _Ref71822803 \h  \* MERGEFORMAT </w:instrText>
      </w:r>
      <w:r w:rsidRPr="00FF756A">
        <w:fldChar w:fldCharType="separate"/>
      </w:r>
      <w:r w:rsidRPr="00FF756A">
        <w:t>Figura 4</w:t>
      </w:r>
      <w:r w:rsidRPr="00FF756A">
        <w:fldChar w:fldCharType="end"/>
      </w:r>
      <w:r w:rsidR="00180823" w:rsidRPr="00FF756A">
        <w:t>2</w:t>
      </w:r>
      <w:r w:rsidRPr="00FF756A">
        <w:t xml:space="preserve"> dhe </w:t>
      </w:r>
      <w:r w:rsidR="00180823" w:rsidRPr="00FF756A">
        <w:t>Tabela 33</w:t>
      </w:r>
      <w:r w:rsidRPr="00FF756A">
        <w:t xml:space="preserve"> paraqesin vlerat absolute të burimeve të energjisë së rinovueshme në furnizimin neto me energji primare, ndërsa </w:t>
      </w:r>
      <w:r w:rsidR="00022FAF" w:rsidRPr="00FF756A">
        <w:t>Tabela 34</w:t>
      </w:r>
      <w:r w:rsidRPr="00FF756A">
        <w:t xml:space="preserve"> tregon përqindjet e vektorëve përkatës të energjisë së rinovueshme në TFEP. Më shumë detaje për TFEP, veçanërisht mbi përzierjen e burimeve me lëndët djegëse fosile, jepen në seksionin 4.3. </w:t>
      </w:r>
    </w:p>
    <w:p w14:paraId="4FDC90A0" w14:textId="77777777" w:rsidR="00B86FB3" w:rsidRPr="00FF756A" w:rsidRDefault="00B86FB3" w:rsidP="00B86FB3"/>
    <w:p w14:paraId="5BA51F51" w14:textId="77777777" w:rsidR="00B86FB3" w:rsidRPr="00FF756A" w:rsidRDefault="00B86FB3" w:rsidP="00B86FB3">
      <w:pPr>
        <w:keepNext/>
        <w:jc w:val="center"/>
      </w:pPr>
    </w:p>
    <w:p w14:paraId="26BE5FE9" w14:textId="77777777" w:rsidR="003F200D" w:rsidRPr="00FF756A" w:rsidRDefault="00B86FB3" w:rsidP="003F200D">
      <w:pPr>
        <w:keepNext/>
        <w:jc w:val="center"/>
      </w:pPr>
      <w:r w:rsidRPr="00FF756A">
        <w:rPr>
          <w:noProof/>
          <w:lang w:val="en-US"/>
        </w:rPr>
        <w:drawing>
          <wp:inline distT="0" distB="0" distL="0" distR="0" wp14:anchorId="3CDDCF80" wp14:editId="24B82E45">
            <wp:extent cx="5760720" cy="2981960"/>
            <wp:effectExtent l="0" t="0" r="0" b="8890"/>
            <wp:docPr id="430858062" name="Picture 3" descr="A graph with a line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58062" name="Picture 3" descr="A graph with a line and a line&#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60720" cy="2981960"/>
                    </a:xfrm>
                    <a:prstGeom prst="rect">
                      <a:avLst/>
                    </a:prstGeom>
                  </pic:spPr>
                </pic:pic>
              </a:graphicData>
            </a:graphic>
          </wp:inline>
        </w:drawing>
      </w:r>
    </w:p>
    <w:p w14:paraId="68AF546B" w14:textId="50DDBB49" w:rsidR="00B86FB3" w:rsidRPr="00FF756A" w:rsidRDefault="003F200D" w:rsidP="003F200D">
      <w:pPr>
        <w:pStyle w:val="Caption"/>
        <w:jc w:val="center"/>
        <w:rPr>
          <w:rFonts w:ascii="Times New Roman" w:hAnsi="Times New Roman"/>
        </w:rPr>
      </w:pPr>
      <w:bookmarkStart w:id="550" w:name="_Toc183016572"/>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42</w:t>
      </w:r>
      <w:r w:rsidR="008E7DE9" w:rsidRPr="00FF756A">
        <w:rPr>
          <w:rFonts w:ascii="Times New Roman" w:hAnsi="Times New Roman"/>
          <w:noProof/>
        </w:rPr>
        <w:fldChar w:fldCharType="end"/>
      </w:r>
      <w:r w:rsidRPr="00FF756A">
        <w:rPr>
          <w:rFonts w:ascii="Times New Roman" w:hAnsi="Times New Roman"/>
        </w:rPr>
        <w:t>: Burimet e rinovueshme të furnizimit me energji primare dhe totali i konsumit neto për periudhën kohore (2016-2023) dhe sipas parashikimit me masat ekzistuese deri në vitin 2050</w:t>
      </w:r>
      <w:bookmarkEnd w:id="550"/>
    </w:p>
    <w:p w14:paraId="10997ADB" w14:textId="77777777" w:rsidR="00B86FB3" w:rsidRPr="00FF756A" w:rsidRDefault="00B86FB3" w:rsidP="00B86FB3"/>
    <w:tbl>
      <w:tblPr>
        <w:tblStyle w:val="GridTable5DarkAccent10"/>
        <w:tblW w:w="5006" w:type="pct"/>
        <w:tblLook w:val="04A0" w:firstRow="1" w:lastRow="0" w:firstColumn="1" w:lastColumn="0" w:noHBand="0" w:noVBand="1"/>
      </w:tblPr>
      <w:tblGrid>
        <w:gridCol w:w="1709"/>
        <w:gridCol w:w="924"/>
        <w:gridCol w:w="924"/>
        <w:gridCol w:w="924"/>
        <w:gridCol w:w="924"/>
        <w:gridCol w:w="924"/>
        <w:gridCol w:w="924"/>
        <w:gridCol w:w="924"/>
        <w:gridCol w:w="896"/>
      </w:tblGrid>
      <w:tr w:rsidR="00B86FB3" w:rsidRPr="00FF756A" w14:paraId="5F8B3E07" w14:textId="77777777" w:rsidTr="006A3266">
        <w:trPr>
          <w:cnfStyle w:val="100000000000" w:firstRow="1" w:lastRow="0" w:firstColumn="0" w:lastColumn="0" w:oddVBand="0" w:evenVBand="0" w:oddHBand="0"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942" w:type="pct"/>
          </w:tcPr>
          <w:p w14:paraId="6B0AE378" w14:textId="77777777" w:rsidR="00B86FB3" w:rsidRPr="00FF756A" w:rsidRDefault="00B86FB3" w:rsidP="00B86FB3">
            <w:pPr>
              <w:rPr>
                <w:rFonts w:cs="Times New Roman"/>
                <w:bCs w:val="0"/>
                <w:sz w:val="20"/>
              </w:rPr>
            </w:pPr>
          </w:p>
        </w:tc>
        <w:tc>
          <w:tcPr>
            <w:tcW w:w="509" w:type="pct"/>
          </w:tcPr>
          <w:p w14:paraId="1BC5707A"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2020</w:t>
            </w:r>
          </w:p>
        </w:tc>
        <w:tc>
          <w:tcPr>
            <w:tcW w:w="509" w:type="pct"/>
          </w:tcPr>
          <w:p w14:paraId="0078B1CB"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2021</w:t>
            </w:r>
          </w:p>
        </w:tc>
        <w:tc>
          <w:tcPr>
            <w:tcW w:w="509" w:type="pct"/>
          </w:tcPr>
          <w:p w14:paraId="31497870"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2022</w:t>
            </w:r>
          </w:p>
        </w:tc>
        <w:tc>
          <w:tcPr>
            <w:tcW w:w="509" w:type="pct"/>
          </w:tcPr>
          <w:p w14:paraId="6A9E234C"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2023</w:t>
            </w:r>
          </w:p>
        </w:tc>
        <w:tc>
          <w:tcPr>
            <w:tcW w:w="509" w:type="pct"/>
          </w:tcPr>
          <w:p w14:paraId="4FBD124F"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2025</w:t>
            </w:r>
          </w:p>
        </w:tc>
        <w:tc>
          <w:tcPr>
            <w:tcW w:w="509" w:type="pct"/>
          </w:tcPr>
          <w:p w14:paraId="23742DE1"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2030</w:t>
            </w:r>
          </w:p>
        </w:tc>
        <w:tc>
          <w:tcPr>
            <w:tcW w:w="509" w:type="pct"/>
          </w:tcPr>
          <w:p w14:paraId="3B10C7A9"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2040</w:t>
            </w:r>
          </w:p>
        </w:tc>
        <w:tc>
          <w:tcPr>
            <w:tcW w:w="494" w:type="pct"/>
          </w:tcPr>
          <w:p w14:paraId="0DC87DB5"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sz w:val="20"/>
              </w:rPr>
            </w:pPr>
            <w:r w:rsidRPr="00FF756A">
              <w:rPr>
                <w:rFonts w:cs="Times New Roman"/>
                <w:sz w:val="20"/>
              </w:rPr>
              <w:t>2050</w:t>
            </w:r>
          </w:p>
        </w:tc>
      </w:tr>
      <w:tr w:rsidR="00B86FB3" w:rsidRPr="00FF756A" w14:paraId="0200B043" w14:textId="77777777" w:rsidTr="006A3266">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942" w:type="pct"/>
            <w:vAlign w:val="bottom"/>
          </w:tcPr>
          <w:p w14:paraId="7BD77200" w14:textId="77777777" w:rsidR="00B86FB3" w:rsidRPr="00FF756A" w:rsidRDefault="00B86FB3" w:rsidP="00B86FB3">
            <w:pPr>
              <w:rPr>
                <w:rFonts w:cs="Times New Roman"/>
                <w:b w:val="0"/>
                <w:sz w:val="20"/>
              </w:rPr>
            </w:pPr>
            <w:r w:rsidRPr="00FF756A">
              <w:rPr>
                <w:rFonts w:cs="Times New Roman"/>
                <w:sz w:val="20"/>
              </w:rPr>
              <w:t>Lënda drusore</w:t>
            </w:r>
          </w:p>
        </w:tc>
        <w:tc>
          <w:tcPr>
            <w:tcW w:w="509" w:type="pct"/>
          </w:tcPr>
          <w:p w14:paraId="133D539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149,5 </w:t>
            </w:r>
          </w:p>
        </w:tc>
        <w:tc>
          <w:tcPr>
            <w:tcW w:w="509" w:type="pct"/>
          </w:tcPr>
          <w:p w14:paraId="32BC05B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146,3 </w:t>
            </w:r>
          </w:p>
        </w:tc>
        <w:tc>
          <w:tcPr>
            <w:tcW w:w="509" w:type="pct"/>
          </w:tcPr>
          <w:p w14:paraId="7233489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143,2 </w:t>
            </w:r>
          </w:p>
        </w:tc>
        <w:tc>
          <w:tcPr>
            <w:tcW w:w="509" w:type="pct"/>
          </w:tcPr>
          <w:p w14:paraId="3474BB4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142,1 </w:t>
            </w:r>
          </w:p>
        </w:tc>
        <w:tc>
          <w:tcPr>
            <w:tcW w:w="509" w:type="pct"/>
          </w:tcPr>
          <w:p w14:paraId="7D412DF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142,5 </w:t>
            </w:r>
          </w:p>
        </w:tc>
        <w:tc>
          <w:tcPr>
            <w:tcW w:w="509" w:type="pct"/>
          </w:tcPr>
          <w:p w14:paraId="488E40A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145,0 </w:t>
            </w:r>
          </w:p>
        </w:tc>
        <w:tc>
          <w:tcPr>
            <w:tcW w:w="509" w:type="pct"/>
          </w:tcPr>
          <w:p w14:paraId="1452A5A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153,0 </w:t>
            </w:r>
          </w:p>
        </w:tc>
        <w:tc>
          <w:tcPr>
            <w:tcW w:w="494" w:type="pct"/>
          </w:tcPr>
          <w:p w14:paraId="41A8C0F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 xml:space="preserve"> 179,7 </w:t>
            </w:r>
          </w:p>
        </w:tc>
      </w:tr>
      <w:tr w:rsidR="00B86FB3" w:rsidRPr="00FF756A" w14:paraId="1ED979A1" w14:textId="77777777" w:rsidTr="006A3266">
        <w:trPr>
          <w:trHeight w:val="376"/>
        </w:trPr>
        <w:tc>
          <w:tcPr>
            <w:cnfStyle w:val="001000000000" w:firstRow="0" w:lastRow="0" w:firstColumn="1" w:lastColumn="0" w:oddVBand="0" w:evenVBand="0" w:oddHBand="0" w:evenHBand="0" w:firstRowFirstColumn="0" w:firstRowLastColumn="0" w:lastRowFirstColumn="0" w:lastRowLastColumn="0"/>
            <w:tcW w:w="942" w:type="pct"/>
            <w:vAlign w:val="bottom"/>
          </w:tcPr>
          <w:p w14:paraId="6F76A19A" w14:textId="77777777" w:rsidR="00B86FB3" w:rsidRPr="00FF756A" w:rsidRDefault="00B86FB3" w:rsidP="00B86FB3">
            <w:pPr>
              <w:rPr>
                <w:rFonts w:cs="Times New Roman"/>
                <w:b w:val="0"/>
                <w:sz w:val="20"/>
              </w:rPr>
            </w:pPr>
            <w:r w:rsidRPr="00FF756A">
              <w:rPr>
                <w:rFonts w:cs="Times New Roman"/>
                <w:sz w:val="20"/>
              </w:rPr>
              <w:t>Energjia eolike</w:t>
            </w:r>
          </w:p>
        </w:tc>
        <w:tc>
          <w:tcPr>
            <w:tcW w:w="509" w:type="pct"/>
          </w:tcPr>
          <w:p w14:paraId="352271A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   </w:t>
            </w:r>
          </w:p>
        </w:tc>
        <w:tc>
          <w:tcPr>
            <w:tcW w:w="509" w:type="pct"/>
          </w:tcPr>
          <w:p w14:paraId="056FFDC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   </w:t>
            </w:r>
          </w:p>
        </w:tc>
        <w:tc>
          <w:tcPr>
            <w:tcW w:w="509" w:type="pct"/>
          </w:tcPr>
          <w:p w14:paraId="34684FE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   </w:t>
            </w:r>
          </w:p>
        </w:tc>
        <w:tc>
          <w:tcPr>
            <w:tcW w:w="509" w:type="pct"/>
          </w:tcPr>
          <w:p w14:paraId="20CF289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   </w:t>
            </w:r>
          </w:p>
        </w:tc>
        <w:tc>
          <w:tcPr>
            <w:tcW w:w="509" w:type="pct"/>
          </w:tcPr>
          <w:p w14:paraId="4655EFF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   </w:t>
            </w:r>
          </w:p>
        </w:tc>
        <w:tc>
          <w:tcPr>
            <w:tcW w:w="509" w:type="pct"/>
          </w:tcPr>
          <w:p w14:paraId="69E4BEC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41,4 </w:t>
            </w:r>
          </w:p>
        </w:tc>
        <w:tc>
          <w:tcPr>
            <w:tcW w:w="509" w:type="pct"/>
          </w:tcPr>
          <w:p w14:paraId="0777105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41,4 </w:t>
            </w:r>
          </w:p>
        </w:tc>
        <w:tc>
          <w:tcPr>
            <w:tcW w:w="494" w:type="pct"/>
          </w:tcPr>
          <w:p w14:paraId="7DBB8B3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 xml:space="preserve"> 41,4 </w:t>
            </w:r>
          </w:p>
        </w:tc>
      </w:tr>
      <w:tr w:rsidR="00B86FB3" w:rsidRPr="00FF756A" w14:paraId="0469ADBE" w14:textId="77777777" w:rsidTr="006A3266">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942" w:type="pct"/>
            <w:vAlign w:val="bottom"/>
          </w:tcPr>
          <w:p w14:paraId="181BE0A5" w14:textId="77777777" w:rsidR="00B86FB3" w:rsidRPr="00FF756A" w:rsidRDefault="00B86FB3" w:rsidP="00B86FB3">
            <w:pPr>
              <w:rPr>
                <w:rFonts w:cs="Times New Roman"/>
                <w:b w:val="0"/>
                <w:sz w:val="20"/>
              </w:rPr>
            </w:pPr>
            <w:r w:rsidRPr="00FF756A">
              <w:rPr>
                <w:rFonts w:cs="Times New Roman"/>
                <w:sz w:val="20"/>
              </w:rPr>
              <w:t>Energjia diellore</w:t>
            </w:r>
          </w:p>
        </w:tc>
        <w:tc>
          <w:tcPr>
            <w:tcW w:w="509" w:type="pct"/>
          </w:tcPr>
          <w:p w14:paraId="0085D48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15,8 </w:t>
            </w:r>
          </w:p>
        </w:tc>
        <w:tc>
          <w:tcPr>
            <w:tcW w:w="509" w:type="pct"/>
          </w:tcPr>
          <w:p w14:paraId="2937674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16,7 </w:t>
            </w:r>
          </w:p>
        </w:tc>
        <w:tc>
          <w:tcPr>
            <w:tcW w:w="509" w:type="pct"/>
          </w:tcPr>
          <w:p w14:paraId="4D81208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16,5 </w:t>
            </w:r>
          </w:p>
        </w:tc>
        <w:tc>
          <w:tcPr>
            <w:tcW w:w="509" w:type="pct"/>
          </w:tcPr>
          <w:p w14:paraId="6DC8A57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37,7 </w:t>
            </w:r>
          </w:p>
        </w:tc>
        <w:tc>
          <w:tcPr>
            <w:tcW w:w="509" w:type="pct"/>
          </w:tcPr>
          <w:p w14:paraId="4580384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55,3 </w:t>
            </w:r>
          </w:p>
        </w:tc>
        <w:tc>
          <w:tcPr>
            <w:tcW w:w="509" w:type="pct"/>
          </w:tcPr>
          <w:p w14:paraId="62FC777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61,5 </w:t>
            </w:r>
          </w:p>
        </w:tc>
        <w:tc>
          <w:tcPr>
            <w:tcW w:w="509" w:type="pct"/>
          </w:tcPr>
          <w:p w14:paraId="0A80622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72,3 </w:t>
            </w:r>
          </w:p>
        </w:tc>
        <w:tc>
          <w:tcPr>
            <w:tcW w:w="494" w:type="pct"/>
          </w:tcPr>
          <w:p w14:paraId="7A4356E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 xml:space="preserve"> 92,1 </w:t>
            </w:r>
          </w:p>
        </w:tc>
      </w:tr>
      <w:tr w:rsidR="00B86FB3" w:rsidRPr="00FF756A" w14:paraId="3A3FC9C0" w14:textId="77777777" w:rsidTr="006A3266">
        <w:trPr>
          <w:trHeight w:val="376"/>
        </w:trPr>
        <w:tc>
          <w:tcPr>
            <w:cnfStyle w:val="001000000000" w:firstRow="0" w:lastRow="0" w:firstColumn="1" w:lastColumn="0" w:oddVBand="0" w:evenVBand="0" w:oddHBand="0" w:evenHBand="0" w:firstRowFirstColumn="0" w:firstRowLastColumn="0" w:lastRowFirstColumn="0" w:lastRowLastColumn="0"/>
            <w:tcW w:w="942" w:type="pct"/>
            <w:vAlign w:val="bottom"/>
          </w:tcPr>
          <w:p w14:paraId="653B12FC" w14:textId="77777777" w:rsidR="00B86FB3" w:rsidRPr="00FF756A" w:rsidRDefault="00B86FB3" w:rsidP="00B86FB3">
            <w:pPr>
              <w:rPr>
                <w:rFonts w:cs="Times New Roman"/>
                <w:b w:val="0"/>
                <w:sz w:val="20"/>
              </w:rPr>
            </w:pPr>
            <w:r w:rsidRPr="00FF756A">
              <w:rPr>
                <w:rFonts w:cs="Times New Roman"/>
                <w:sz w:val="20"/>
              </w:rPr>
              <w:t>Energjia hidrike</w:t>
            </w:r>
          </w:p>
        </w:tc>
        <w:tc>
          <w:tcPr>
            <w:tcW w:w="509" w:type="pct"/>
          </w:tcPr>
          <w:p w14:paraId="265439E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454,7 </w:t>
            </w:r>
          </w:p>
        </w:tc>
        <w:tc>
          <w:tcPr>
            <w:tcW w:w="509" w:type="pct"/>
          </w:tcPr>
          <w:p w14:paraId="083DD2B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454,7 </w:t>
            </w:r>
          </w:p>
        </w:tc>
        <w:tc>
          <w:tcPr>
            <w:tcW w:w="509" w:type="pct"/>
          </w:tcPr>
          <w:p w14:paraId="46C8BB9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454,7 </w:t>
            </w:r>
          </w:p>
        </w:tc>
        <w:tc>
          <w:tcPr>
            <w:tcW w:w="509" w:type="pct"/>
          </w:tcPr>
          <w:p w14:paraId="1DD1BA9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648,9 </w:t>
            </w:r>
          </w:p>
        </w:tc>
        <w:tc>
          <w:tcPr>
            <w:tcW w:w="509" w:type="pct"/>
          </w:tcPr>
          <w:p w14:paraId="11F117A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649,6 </w:t>
            </w:r>
          </w:p>
        </w:tc>
        <w:tc>
          <w:tcPr>
            <w:tcW w:w="509" w:type="pct"/>
          </w:tcPr>
          <w:p w14:paraId="6925AD8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647,1 </w:t>
            </w:r>
          </w:p>
        </w:tc>
        <w:tc>
          <w:tcPr>
            <w:tcW w:w="509" w:type="pct"/>
          </w:tcPr>
          <w:p w14:paraId="657FB71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758,5 </w:t>
            </w:r>
          </w:p>
        </w:tc>
        <w:tc>
          <w:tcPr>
            <w:tcW w:w="494" w:type="pct"/>
          </w:tcPr>
          <w:p w14:paraId="6F9ECD8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 xml:space="preserve"> 757,9 </w:t>
            </w:r>
          </w:p>
        </w:tc>
      </w:tr>
      <w:tr w:rsidR="00B86FB3" w:rsidRPr="00FF756A" w14:paraId="592DFB53" w14:textId="77777777" w:rsidTr="006A3266">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942" w:type="pct"/>
            <w:vAlign w:val="bottom"/>
          </w:tcPr>
          <w:p w14:paraId="3C2BA198" w14:textId="77777777" w:rsidR="00B86FB3" w:rsidRPr="00FF756A" w:rsidRDefault="00B86FB3" w:rsidP="00B86FB3">
            <w:pPr>
              <w:rPr>
                <w:rFonts w:cs="Times New Roman"/>
                <w:b w:val="0"/>
                <w:sz w:val="20"/>
              </w:rPr>
            </w:pPr>
            <w:r w:rsidRPr="00FF756A">
              <w:rPr>
                <w:rFonts w:cs="Times New Roman"/>
                <w:sz w:val="20"/>
              </w:rPr>
              <w:t>Hidrogjeni</w:t>
            </w:r>
          </w:p>
        </w:tc>
        <w:tc>
          <w:tcPr>
            <w:tcW w:w="509" w:type="pct"/>
          </w:tcPr>
          <w:p w14:paraId="70E30BB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   </w:t>
            </w:r>
          </w:p>
        </w:tc>
        <w:tc>
          <w:tcPr>
            <w:tcW w:w="509" w:type="pct"/>
          </w:tcPr>
          <w:p w14:paraId="5144B6C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   </w:t>
            </w:r>
          </w:p>
        </w:tc>
        <w:tc>
          <w:tcPr>
            <w:tcW w:w="509" w:type="pct"/>
          </w:tcPr>
          <w:p w14:paraId="5425E28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   </w:t>
            </w:r>
          </w:p>
        </w:tc>
        <w:tc>
          <w:tcPr>
            <w:tcW w:w="509" w:type="pct"/>
          </w:tcPr>
          <w:p w14:paraId="4C6FA81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   </w:t>
            </w:r>
          </w:p>
        </w:tc>
        <w:tc>
          <w:tcPr>
            <w:tcW w:w="509" w:type="pct"/>
          </w:tcPr>
          <w:p w14:paraId="72902E6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   </w:t>
            </w:r>
          </w:p>
        </w:tc>
        <w:tc>
          <w:tcPr>
            <w:tcW w:w="509" w:type="pct"/>
          </w:tcPr>
          <w:p w14:paraId="2052150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0,1 </w:t>
            </w:r>
          </w:p>
        </w:tc>
        <w:tc>
          <w:tcPr>
            <w:tcW w:w="509" w:type="pct"/>
          </w:tcPr>
          <w:p w14:paraId="07FD196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15,3 </w:t>
            </w:r>
          </w:p>
        </w:tc>
        <w:tc>
          <w:tcPr>
            <w:tcW w:w="494" w:type="pct"/>
          </w:tcPr>
          <w:p w14:paraId="13C3CA2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 xml:space="preserve"> 47,7 </w:t>
            </w:r>
          </w:p>
        </w:tc>
      </w:tr>
      <w:tr w:rsidR="00B86FB3" w:rsidRPr="00FF756A" w14:paraId="48ED7D1C" w14:textId="77777777" w:rsidTr="006A3266">
        <w:trPr>
          <w:trHeight w:val="376"/>
        </w:trPr>
        <w:tc>
          <w:tcPr>
            <w:cnfStyle w:val="001000000000" w:firstRow="0" w:lastRow="0" w:firstColumn="1" w:lastColumn="0" w:oddVBand="0" w:evenVBand="0" w:oddHBand="0" w:evenHBand="0" w:firstRowFirstColumn="0" w:firstRowLastColumn="0" w:lastRowFirstColumn="0" w:lastRowLastColumn="0"/>
            <w:tcW w:w="942" w:type="pct"/>
            <w:vAlign w:val="bottom"/>
          </w:tcPr>
          <w:p w14:paraId="540F86DA" w14:textId="77777777" w:rsidR="00B86FB3" w:rsidRPr="00FF756A" w:rsidRDefault="00B86FB3" w:rsidP="00B86FB3">
            <w:pPr>
              <w:rPr>
                <w:rFonts w:cs="Times New Roman"/>
                <w:b w:val="0"/>
                <w:sz w:val="20"/>
              </w:rPr>
            </w:pPr>
            <w:r w:rsidRPr="00FF756A">
              <w:rPr>
                <w:rFonts w:cs="Times New Roman"/>
                <w:sz w:val="20"/>
              </w:rPr>
              <w:t>Mbetjet e ngurta urbane</w:t>
            </w:r>
          </w:p>
        </w:tc>
        <w:tc>
          <w:tcPr>
            <w:tcW w:w="509" w:type="pct"/>
          </w:tcPr>
          <w:p w14:paraId="72B5420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   </w:t>
            </w:r>
          </w:p>
        </w:tc>
        <w:tc>
          <w:tcPr>
            <w:tcW w:w="509" w:type="pct"/>
          </w:tcPr>
          <w:p w14:paraId="2EB2981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   </w:t>
            </w:r>
          </w:p>
        </w:tc>
        <w:tc>
          <w:tcPr>
            <w:tcW w:w="509" w:type="pct"/>
          </w:tcPr>
          <w:p w14:paraId="1480FE3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   </w:t>
            </w:r>
          </w:p>
        </w:tc>
        <w:tc>
          <w:tcPr>
            <w:tcW w:w="509" w:type="pct"/>
          </w:tcPr>
          <w:p w14:paraId="33A5AB1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1,3 </w:t>
            </w:r>
          </w:p>
        </w:tc>
        <w:tc>
          <w:tcPr>
            <w:tcW w:w="509" w:type="pct"/>
          </w:tcPr>
          <w:p w14:paraId="75A0AD9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0,9 </w:t>
            </w:r>
          </w:p>
        </w:tc>
        <w:tc>
          <w:tcPr>
            <w:tcW w:w="509" w:type="pct"/>
          </w:tcPr>
          <w:p w14:paraId="3031B60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0,1 </w:t>
            </w:r>
          </w:p>
        </w:tc>
        <w:tc>
          <w:tcPr>
            <w:tcW w:w="509" w:type="pct"/>
          </w:tcPr>
          <w:p w14:paraId="7E2121C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 xml:space="preserve"> 2,2 </w:t>
            </w:r>
          </w:p>
        </w:tc>
        <w:tc>
          <w:tcPr>
            <w:tcW w:w="494" w:type="pct"/>
          </w:tcPr>
          <w:p w14:paraId="5818C29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 xml:space="preserve"> 3,6 </w:t>
            </w:r>
          </w:p>
        </w:tc>
      </w:tr>
      <w:tr w:rsidR="00B86FB3" w:rsidRPr="00FF756A" w14:paraId="4912B80B" w14:textId="77777777" w:rsidTr="006A3266">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942" w:type="pct"/>
            <w:vAlign w:val="bottom"/>
          </w:tcPr>
          <w:p w14:paraId="59E570BD" w14:textId="77777777" w:rsidR="00B86FB3" w:rsidRPr="00FF756A" w:rsidRDefault="00B86FB3" w:rsidP="00B86FB3">
            <w:pPr>
              <w:rPr>
                <w:rFonts w:cs="Times New Roman"/>
                <w:sz w:val="20"/>
              </w:rPr>
            </w:pPr>
            <w:r w:rsidRPr="00FF756A">
              <w:rPr>
                <w:rFonts w:cs="Times New Roman"/>
                <w:sz w:val="20"/>
              </w:rPr>
              <w:t>Biomasa</w:t>
            </w:r>
          </w:p>
        </w:tc>
        <w:tc>
          <w:tcPr>
            <w:tcW w:w="509" w:type="pct"/>
            <w:vAlign w:val="bottom"/>
          </w:tcPr>
          <w:p w14:paraId="5222ED2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FF756A">
              <w:rPr>
                <w:rFonts w:cs="Times New Roman"/>
                <w:color w:val="000000"/>
                <w:sz w:val="20"/>
                <w:szCs w:val="20"/>
              </w:rPr>
              <w:t xml:space="preserve">0,0 </w:t>
            </w:r>
          </w:p>
        </w:tc>
        <w:tc>
          <w:tcPr>
            <w:tcW w:w="509" w:type="pct"/>
            <w:vAlign w:val="bottom"/>
          </w:tcPr>
          <w:p w14:paraId="20F00F7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FF756A">
              <w:rPr>
                <w:rFonts w:cs="Times New Roman"/>
                <w:color w:val="000000"/>
                <w:sz w:val="20"/>
                <w:szCs w:val="20"/>
              </w:rPr>
              <w:t xml:space="preserve">0,0 </w:t>
            </w:r>
          </w:p>
        </w:tc>
        <w:tc>
          <w:tcPr>
            <w:tcW w:w="509" w:type="pct"/>
            <w:vAlign w:val="bottom"/>
          </w:tcPr>
          <w:p w14:paraId="348E011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FF756A">
              <w:rPr>
                <w:rFonts w:cs="Times New Roman"/>
                <w:color w:val="000000"/>
                <w:sz w:val="20"/>
                <w:szCs w:val="20"/>
              </w:rPr>
              <w:t xml:space="preserve">0,0 </w:t>
            </w:r>
          </w:p>
        </w:tc>
        <w:tc>
          <w:tcPr>
            <w:tcW w:w="509" w:type="pct"/>
            <w:vAlign w:val="bottom"/>
          </w:tcPr>
          <w:p w14:paraId="46CD171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FF756A">
              <w:rPr>
                <w:rFonts w:cs="Times New Roman"/>
                <w:color w:val="000000"/>
                <w:sz w:val="20"/>
                <w:szCs w:val="20"/>
              </w:rPr>
              <w:t xml:space="preserve">0,0 </w:t>
            </w:r>
          </w:p>
        </w:tc>
        <w:tc>
          <w:tcPr>
            <w:tcW w:w="509" w:type="pct"/>
            <w:vAlign w:val="bottom"/>
          </w:tcPr>
          <w:p w14:paraId="44FC971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FF756A">
              <w:rPr>
                <w:rFonts w:cs="Times New Roman"/>
                <w:color w:val="000000"/>
                <w:sz w:val="20"/>
                <w:szCs w:val="20"/>
              </w:rPr>
              <w:t xml:space="preserve">0,0 </w:t>
            </w:r>
          </w:p>
        </w:tc>
        <w:tc>
          <w:tcPr>
            <w:tcW w:w="509" w:type="pct"/>
            <w:vAlign w:val="bottom"/>
          </w:tcPr>
          <w:p w14:paraId="293E1CB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FF756A">
              <w:rPr>
                <w:rFonts w:cs="Times New Roman"/>
                <w:color w:val="000000"/>
                <w:sz w:val="20"/>
                <w:szCs w:val="20"/>
              </w:rPr>
              <w:t xml:space="preserve">0,0 </w:t>
            </w:r>
          </w:p>
        </w:tc>
        <w:tc>
          <w:tcPr>
            <w:tcW w:w="509" w:type="pct"/>
            <w:vAlign w:val="bottom"/>
          </w:tcPr>
          <w:p w14:paraId="4EE1330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FF756A">
              <w:rPr>
                <w:rFonts w:cs="Times New Roman"/>
                <w:color w:val="000000"/>
                <w:sz w:val="20"/>
                <w:szCs w:val="20"/>
              </w:rPr>
              <w:t xml:space="preserve">0,0 </w:t>
            </w:r>
          </w:p>
        </w:tc>
        <w:tc>
          <w:tcPr>
            <w:tcW w:w="494" w:type="pct"/>
            <w:vAlign w:val="bottom"/>
          </w:tcPr>
          <w:p w14:paraId="306FB8D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FF756A">
              <w:rPr>
                <w:rFonts w:cs="Times New Roman"/>
                <w:color w:val="000000"/>
                <w:sz w:val="20"/>
                <w:szCs w:val="20"/>
              </w:rPr>
              <w:t xml:space="preserve">0,0 </w:t>
            </w:r>
          </w:p>
        </w:tc>
      </w:tr>
      <w:tr w:rsidR="00B86FB3" w:rsidRPr="00FF756A" w14:paraId="7EA013EC" w14:textId="77777777" w:rsidTr="006A3266">
        <w:trPr>
          <w:trHeight w:val="376"/>
        </w:trPr>
        <w:tc>
          <w:tcPr>
            <w:cnfStyle w:val="001000000000" w:firstRow="0" w:lastRow="0" w:firstColumn="1" w:lastColumn="0" w:oddVBand="0" w:evenVBand="0" w:oddHBand="0" w:evenHBand="0" w:firstRowFirstColumn="0" w:firstRowLastColumn="0" w:lastRowFirstColumn="0" w:lastRowLastColumn="0"/>
            <w:tcW w:w="942" w:type="pct"/>
            <w:vAlign w:val="bottom"/>
          </w:tcPr>
          <w:p w14:paraId="6E2B50B7" w14:textId="77777777" w:rsidR="00B86FB3" w:rsidRPr="00FF756A" w:rsidRDefault="00B86FB3" w:rsidP="00B86FB3">
            <w:pPr>
              <w:rPr>
                <w:rFonts w:cs="Times New Roman"/>
                <w:sz w:val="20"/>
              </w:rPr>
            </w:pPr>
            <w:r w:rsidRPr="00FF756A">
              <w:rPr>
                <w:rFonts w:cs="Times New Roman"/>
                <w:sz w:val="20"/>
              </w:rPr>
              <w:t>Biodizeli</w:t>
            </w:r>
          </w:p>
        </w:tc>
        <w:tc>
          <w:tcPr>
            <w:tcW w:w="509" w:type="pct"/>
            <w:vAlign w:val="bottom"/>
          </w:tcPr>
          <w:p w14:paraId="0EC46AB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FF756A">
              <w:rPr>
                <w:rFonts w:cs="Times New Roman"/>
                <w:color w:val="000000"/>
                <w:sz w:val="20"/>
                <w:szCs w:val="20"/>
              </w:rPr>
              <w:t xml:space="preserve">0,0 </w:t>
            </w:r>
          </w:p>
        </w:tc>
        <w:tc>
          <w:tcPr>
            <w:tcW w:w="509" w:type="pct"/>
            <w:vAlign w:val="bottom"/>
          </w:tcPr>
          <w:p w14:paraId="203E365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FF756A">
              <w:rPr>
                <w:rFonts w:cs="Times New Roman"/>
                <w:color w:val="000000"/>
                <w:sz w:val="20"/>
                <w:szCs w:val="20"/>
              </w:rPr>
              <w:t xml:space="preserve">0,0 </w:t>
            </w:r>
          </w:p>
        </w:tc>
        <w:tc>
          <w:tcPr>
            <w:tcW w:w="509" w:type="pct"/>
            <w:vAlign w:val="bottom"/>
          </w:tcPr>
          <w:p w14:paraId="0DB83F6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FF756A">
              <w:rPr>
                <w:rFonts w:cs="Times New Roman"/>
                <w:color w:val="000000"/>
                <w:sz w:val="20"/>
                <w:szCs w:val="20"/>
              </w:rPr>
              <w:t xml:space="preserve">0,0 </w:t>
            </w:r>
          </w:p>
        </w:tc>
        <w:tc>
          <w:tcPr>
            <w:tcW w:w="509" w:type="pct"/>
            <w:vAlign w:val="bottom"/>
          </w:tcPr>
          <w:p w14:paraId="70649C3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FF756A">
              <w:rPr>
                <w:rFonts w:cs="Times New Roman"/>
                <w:color w:val="000000"/>
                <w:sz w:val="20"/>
                <w:szCs w:val="20"/>
              </w:rPr>
              <w:t xml:space="preserve">0,0 </w:t>
            </w:r>
          </w:p>
        </w:tc>
        <w:tc>
          <w:tcPr>
            <w:tcW w:w="509" w:type="pct"/>
            <w:vAlign w:val="bottom"/>
          </w:tcPr>
          <w:p w14:paraId="5ECAEA3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FF756A">
              <w:rPr>
                <w:rFonts w:cs="Times New Roman"/>
                <w:color w:val="000000"/>
                <w:sz w:val="20"/>
                <w:szCs w:val="20"/>
              </w:rPr>
              <w:t xml:space="preserve">0,0 </w:t>
            </w:r>
          </w:p>
        </w:tc>
        <w:tc>
          <w:tcPr>
            <w:tcW w:w="509" w:type="pct"/>
            <w:vAlign w:val="bottom"/>
          </w:tcPr>
          <w:p w14:paraId="298804D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FF756A">
              <w:rPr>
                <w:rFonts w:cs="Times New Roman"/>
                <w:color w:val="000000"/>
                <w:sz w:val="20"/>
                <w:szCs w:val="20"/>
              </w:rPr>
              <w:t xml:space="preserve">0,0 </w:t>
            </w:r>
          </w:p>
        </w:tc>
        <w:tc>
          <w:tcPr>
            <w:tcW w:w="509" w:type="pct"/>
            <w:vAlign w:val="bottom"/>
          </w:tcPr>
          <w:p w14:paraId="622E832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FF756A">
              <w:rPr>
                <w:rFonts w:cs="Times New Roman"/>
                <w:color w:val="000000"/>
                <w:sz w:val="20"/>
                <w:szCs w:val="20"/>
              </w:rPr>
              <w:t xml:space="preserve">0,0 </w:t>
            </w:r>
          </w:p>
        </w:tc>
        <w:tc>
          <w:tcPr>
            <w:tcW w:w="494" w:type="pct"/>
            <w:vAlign w:val="bottom"/>
          </w:tcPr>
          <w:p w14:paraId="2D6B0B5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FF756A">
              <w:rPr>
                <w:rFonts w:cs="Times New Roman"/>
                <w:color w:val="000000"/>
                <w:sz w:val="20"/>
                <w:szCs w:val="20"/>
              </w:rPr>
              <w:t xml:space="preserve">0,0 </w:t>
            </w:r>
          </w:p>
        </w:tc>
      </w:tr>
      <w:tr w:rsidR="00B86FB3" w:rsidRPr="00FF756A" w14:paraId="321D88A6" w14:textId="77777777" w:rsidTr="006A3266">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942" w:type="pct"/>
            <w:vAlign w:val="bottom"/>
          </w:tcPr>
          <w:p w14:paraId="5E2951D3" w14:textId="77777777" w:rsidR="00B86FB3" w:rsidRPr="00FF756A" w:rsidRDefault="00B86FB3" w:rsidP="00B86FB3">
            <w:pPr>
              <w:rPr>
                <w:rFonts w:cs="Times New Roman"/>
                <w:sz w:val="20"/>
              </w:rPr>
            </w:pPr>
            <w:r w:rsidRPr="00FF756A">
              <w:rPr>
                <w:rFonts w:cs="Times New Roman"/>
                <w:sz w:val="20"/>
              </w:rPr>
              <w:t>Totali</w:t>
            </w:r>
          </w:p>
        </w:tc>
        <w:tc>
          <w:tcPr>
            <w:tcW w:w="509" w:type="pct"/>
          </w:tcPr>
          <w:p w14:paraId="7234E6B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b/>
                <w:bCs/>
                <w:color w:val="000000"/>
                <w:sz w:val="20"/>
                <w:szCs w:val="22"/>
              </w:rPr>
            </w:pPr>
            <w:r w:rsidRPr="00FF756A">
              <w:rPr>
                <w:rFonts w:cs="Times New Roman"/>
                <w:sz w:val="20"/>
                <w:szCs w:val="22"/>
              </w:rPr>
              <w:t xml:space="preserve"> 620,0 </w:t>
            </w:r>
          </w:p>
        </w:tc>
        <w:tc>
          <w:tcPr>
            <w:tcW w:w="509" w:type="pct"/>
          </w:tcPr>
          <w:p w14:paraId="7282E26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b/>
                <w:bCs/>
                <w:color w:val="000000"/>
                <w:sz w:val="20"/>
                <w:szCs w:val="22"/>
              </w:rPr>
            </w:pPr>
            <w:r w:rsidRPr="00FF756A">
              <w:rPr>
                <w:rFonts w:cs="Times New Roman"/>
                <w:sz w:val="20"/>
                <w:szCs w:val="22"/>
              </w:rPr>
              <w:t xml:space="preserve"> 617,6 </w:t>
            </w:r>
          </w:p>
        </w:tc>
        <w:tc>
          <w:tcPr>
            <w:tcW w:w="509" w:type="pct"/>
          </w:tcPr>
          <w:p w14:paraId="2233613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b/>
                <w:bCs/>
                <w:color w:val="000000"/>
                <w:sz w:val="20"/>
                <w:szCs w:val="22"/>
              </w:rPr>
            </w:pPr>
            <w:r w:rsidRPr="00FF756A">
              <w:rPr>
                <w:rFonts w:cs="Times New Roman"/>
                <w:sz w:val="20"/>
                <w:szCs w:val="22"/>
              </w:rPr>
              <w:t xml:space="preserve"> 614,3 </w:t>
            </w:r>
          </w:p>
        </w:tc>
        <w:tc>
          <w:tcPr>
            <w:tcW w:w="509" w:type="pct"/>
          </w:tcPr>
          <w:p w14:paraId="2824EA2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b/>
                <w:bCs/>
                <w:color w:val="000000"/>
                <w:sz w:val="20"/>
                <w:szCs w:val="22"/>
              </w:rPr>
            </w:pPr>
            <w:r w:rsidRPr="00FF756A">
              <w:rPr>
                <w:rFonts w:cs="Times New Roman"/>
                <w:sz w:val="20"/>
                <w:szCs w:val="22"/>
              </w:rPr>
              <w:t xml:space="preserve"> 830,0 </w:t>
            </w:r>
          </w:p>
        </w:tc>
        <w:tc>
          <w:tcPr>
            <w:tcW w:w="509" w:type="pct"/>
          </w:tcPr>
          <w:p w14:paraId="2B36861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b/>
                <w:bCs/>
                <w:color w:val="000000"/>
                <w:sz w:val="20"/>
                <w:szCs w:val="22"/>
              </w:rPr>
            </w:pPr>
            <w:r w:rsidRPr="00FF756A">
              <w:rPr>
                <w:rFonts w:cs="Times New Roman"/>
                <w:sz w:val="20"/>
                <w:szCs w:val="22"/>
              </w:rPr>
              <w:t xml:space="preserve"> 848,3 </w:t>
            </w:r>
          </w:p>
        </w:tc>
        <w:tc>
          <w:tcPr>
            <w:tcW w:w="509" w:type="pct"/>
          </w:tcPr>
          <w:p w14:paraId="65C42B7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b/>
                <w:bCs/>
                <w:color w:val="000000"/>
                <w:sz w:val="20"/>
                <w:szCs w:val="22"/>
              </w:rPr>
            </w:pPr>
            <w:r w:rsidRPr="00FF756A">
              <w:rPr>
                <w:rFonts w:cs="Times New Roman"/>
                <w:sz w:val="20"/>
                <w:szCs w:val="22"/>
              </w:rPr>
              <w:t xml:space="preserve"> 895,1 </w:t>
            </w:r>
          </w:p>
        </w:tc>
        <w:tc>
          <w:tcPr>
            <w:tcW w:w="509" w:type="pct"/>
          </w:tcPr>
          <w:p w14:paraId="31C3D2F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b/>
                <w:bCs/>
                <w:color w:val="000000"/>
                <w:sz w:val="20"/>
                <w:szCs w:val="22"/>
              </w:rPr>
            </w:pPr>
            <w:r w:rsidRPr="00FF756A">
              <w:rPr>
                <w:rFonts w:cs="Times New Roman"/>
                <w:sz w:val="20"/>
                <w:szCs w:val="22"/>
              </w:rPr>
              <w:t xml:space="preserve"> 1 042,8 </w:t>
            </w:r>
          </w:p>
        </w:tc>
        <w:tc>
          <w:tcPr>
            <w:tcW w:w="494" w:type="pct"/>
          </w:tcPr>
          <w:p w14:paraId="40810EB2" w14:textId="77777777" w:rsidR="00B86FB3" w:rsidRPr="00FF756A" w:rsidRDefault="00B86FB3" w:rsidP="003F200D">
            <w:pPr>
              <w:keepNext/>
              <w:jc w:val="right"/>
              <w:cnfStyle w:val="000000100000" w:firstRow="0" w:lastRow="0" w:firstColumn="0" w:lastColumn="0" w:oddVBand="0" w:evenVBand="0" w:oddHBand="1" w:evenHBand="0" w:firstRowFirstColumn="0" w:firstRowLastColumn="0" w:lastRowFirstColumn="0" w:lastRowLastColumn="0"/>
              <w:rPr>
                <w:rFonts w:cs="Times New Roman"/>
                <w:b/>
                <w:bCs/>
                <w:color w:val="000000"/>
                <w:sz w:val="20"/>
                <w:szCs w:val="22"/>
              </w:rPr>
            </w:pPr>
            <w:r w:rsidRPr="00FF756A">
              <w:rPr>
                <w:rFonts w:cs="Times New Roman"/>
                <w:sz w:val="20"/>
                <w:szCs w:val="22"/>
              </w:rPr>
              <w:t xml:space="preserve"> 1 122,3 </w:t>
            </w:r>
          </w:p>
        </w:tc>
      </w:tr>
    </w:tbl>
    <w:p w14:paraId="2DFB0E22" w14:textId="696DEF50" w:rsidR="00B86FB3" w:rsidRPr="00FF756A" w:rsidRDefault="003F200D" w:rsidP="003F200D">
      <w:pPr>
        <w:pStyle w:val="Caption"/>
        <w:rPr>
          <w:rFonts w:ascii="Times New Roman" w:hAnsi="Times New Roman"/>
        </w:rPr>
      </w:pPr>
      <w:bookmarkStart w:id="551" w:name="_Toc183016497"/>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33</w:t>
      </w:r>
      <w:r w:rsidR="008E7DE9" w:rsidRPr="00FF756A">
        <w:rPr>
          <w:rFonts w:ascii="Times New Roman" w:hAnsi="Times New Roman"/>
          <w:noProof/>
        </w:rPr>
        <w:fldChar w:fldCharType="end"/>
      </w:r>
      <w:r w:rsidRPr="00FF756A">
        <w:rPr>
          <w:rFonts w:ascii="Times New Roman" w:hAnsi="Times New Roman"/>
        </w:rPr>
        <w:t>: Vlerat absolute për disa lëndë djegëse në TFEP, të shprehura në ktoe, në veçanti ato të marra në konsideratë për përqindjen e burimeve të rinovueshme në TFEP</w:t>
      </w:r>
      <w:bookmarkEnd w:id="551"/>
    </w:p>
    <w:p w14:paraId="3C1A8186" w14:textId="77777777" w:rsidR="003F200D" w:rsidRPr="00FF756A" w:rsidRDefault="003F200D" w:rsidP="003F200D">
      <w:pPr>
        <w:rPr>
          <w:lang w:eastAsia="ja-JP"/>
        </w:rPr>
      </w:pPr>
    </w:p>
    <w:tbl>
      <w:tblPr>
        <w:tblStyle w:val="GridTable5DarkAccent10"/>
        <w:tblW w:w="5000" w:type="pct"/>
        <w:tblLook w:val="04E0" w:firstRow="1" w:lastRow="1" w:firstColumn="1" w:lastColumn="0" w:noHBand="0" w:noVBand="1"/>
      </w:tblPr>
      <w:tblGrid>
        <w:gridCol w:w="2364"/>
        <w:gridCol w:w="838"/>
        <w:gridCol w:w="839"/>
        <w:gridCol w:w="839"/>
        <w:gridCol w:w="837"/>
        <w:gridCol w:w="837"/>
        <w:gridCol w:w="837"/>
        <w:gridCol w:w="837"/>
        <w:gridCol w:w="834"/>
      </w:tblGrid>
      <w:tr w:rsidR="00B86FB3" w:rsidRPr="00FF756A" w14:paraId="4282B10C" w14:textId="77777777" w:rsidTr="006A326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4" w:type="pct"/>
            <w:noWrap/>
            <w:hideMark/>
          </w:tcPr>
          <w:p w14:paraId="135A0C64" w14:textId="77777777" w:rsidR="00B86FB3" w:rsidRPr="00FF756A" w:rsidRDefault="00B86FB3" w:rsidP="00B86FB3">
            <w:pPr>
              <w:rPr>
                <w:rFonts w:eastAsia="Times New Roman" w:cs="Times New Roman"/>
                <w:b w:val="0"/>
                <w:sz w:val="20"/>
              </w:rPr>
            </w:pPr>
            <w:r w:rsidRPr="00FF756A">
              <w:rPr>
                <w:rFonts w:cs="Times New Roman"/>
                <w:sz w:val="20"/>
              </w:rPr>
              <w:t>Dega</w:t>
            </w:r>
          </w:p>
        </w:tc>
        <w:tc>
          <w:tcPr>
            <w:tcW w:w="462" w:type="pct"/>
            <w:noWrap/>
            <w:hideMark/>
          </w:tcPr>
          <w:p w14:paraId="009A0A3C"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rPr>
            </w:pPr>
            <w:r w:rsidRPr="00FF756A">
              <w:rPr>
                <w:rFonts w:cs="Times New Roman"/>
                <w:sz w:val="20"/>
              </w:rPr>
              <w:t>2020</w:t>
            </w:r>
          </w:p>
        </w:tc>
        <w:tc>
          <w:tcPr>
            <w:tcW w:w="463" w:type="pct"/>
            <w:noWrap/>
            <w:hideMark/>
          </w:tcPr>
          <w:p w14:paraId="3087523A"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rPr>
            </w:pPr>
            <w:r w:rsidRPr="00FF756A">
              <w:rPr>
                <w:rFonts w:cs="Times New Roman"/>
                <w:sz w:val="20"/>
              </w:rPr>
              <w:t>2021</w:t>
            </w:r>
          </w:p>
        </w:tc>
        <w:tc>
          <w:tcPr>
            <w:tcW w:w="463" w:type="pct"/>
            <w:noWrap/>
            <w:hideMark/>
          </w:tcPr>
          <w:p w14:paraId="526A37EA"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rPr>
            </w:pPr>
            <w:r w:rsidRPr="00FF756A">
              <w:rPr>
                <w:rFonts w:cs="Times New Roman"/>
                <w:sz w:val="20"/>
              </w:rPr>
              <w:t>2022</w:t>
            </w:r>
          </w:p>
        </w:tc>
        <w:tc>
          <w:tcPr>
            <w:tcW w:w="462" w:type="pct"/>
            <w:noWrap/>
            <w:hideMark/>
          </w:tcPr>
          <w:p w14:paraId="4FEFDDDE"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rPr>
            </w:pPr>
            <w:r w:rsidRPr="00FF756A">
              <w:rPr>
                <w:rFonts w:cs="Times New Roman"/>
                <w:sz w:val="20"/>
              </w:rPr>
              <w:t>2023</w:t>
            </w:r>
          </w:p>
        </w:tc>
        <w:tc>
          <w:tcPr>
            <w:tcW w:w="462" w:type="pct"/>
            <w:noWrap/>
            <w:hideMark/>
          </w:tcPr>
          <w:p w14:paraId="401F6551"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rPr>
            </w:pPr>
            <w:r w:rsidRPr="00FF756A">
              <w:rPr>
                <w:rFonts w:cs="Times New Roman"/>
                <w:sz w:val="20"/>
              </w:rPr>
              <w:t>2025</w:t>
            </w:r>
          </w:p>
        </w:tc>
        <w:tc>
          <w:tcPr>
            <w:tcW w:w="462" w:type="pct"/>
            <w:noWrap/>
            <w:hideMark/>
          </w:tcPr>
          <w:p w14:paraId="0F7E9BD6"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rPr>
            </w:pPr>
            <w:r w:rsidRPr="00FF756A">
              <w:rPr>
                <w:rFonts w:cs="Times New Roman"/>
                <w:sz w:val="20"/>
              </w:rPr>
              <w:t>2030</w:t>
            </w:r>
          </w:p>
        </w:tc>
        <w:tc>
          <w:tcPr>
            <w:tcW w:w="462" w:type="pct"/>
            <w:noWrap/>
            <w:hideMark/>
          </w:tcPr>
          <w:p w14:paraId="072D1831"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rPr>
            </w:pPr>
            <w:r w:rsidRPr="00FF756A">
              <w:rPr>
                <w:rFonts w:cs="Times New Roman"/>
                <w:sz w:val="20"/>
              </w:rPr>
              <w:t>2040</w:t>
            </w:r>
          </w:p>
        </w:tc>
        <w:tc>
          <w:tcPr>
            <w:tcW w:w="460" w:type="pct"/>
          </w:tcPr>
          <w:p w14:paraId="6805D329" w14:textId="77777777" w:rsidR="00B86FB3" w:rsidRPr="00FF756A" w:rsidRDefault="00B86FB3" w:rsidP="00B86FB3">
            <w:pPr>
              <w:tabs>
                <w:tab w:val="left" w:pos="570"/>
              </w:tabs>
              <w:cnfStyle w:val="100000000000" w:firstRow="1" w:lastRow="0" w:firstColumn="0" w:lastColumn="0" w:oddVBand="0" w:evenVBand="0" w:oddHBand="0" w:evenHBand="0" w:firstRowFirstColumn="0" w:firstRowLastColumn="0" w:lastRowFirstColumn="0" w:lastRowLastColumn="0"/>
              <w:rPr>
                <w:rFonts w:eastAsia="Times New Roman" w:cs="Times New Roman"/>
                <w:sz w:val="20"/>
              </w:rPr>
            </w:pPr>
            <w:r w:rsidRPr="00FF756A">
              <w:rPr>
                <w:rFonts w:cs="Times New Roman"/>
                <w:sz w:val="20"/>
              </w:rPr>
              <w:t xml:space="preserve">  2050</w:t>
            </w:r>
          </w:p>
        </w:tc>
      </w:tr>
      <w:tr w:rsidR="00B86FB3" w:rsidRPr="00FF756A" w14:paraId="127438E0" w14:textId="77777777" w:rsidTr="006A32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4" w:type="pct"/>
            <w:noWrap/>
            <w:vAlign w:val="bottom"/>
          </w:tcPr>
          <w:p w14:paraId="2ACEFB71" w14:textId="77777777" w:rsidR="00B86FB3" w:rsidRPr="00FF756A" w:rsidRDefault="00B86FB3" w:rsidP="00B86FB3">
            <w:pPr>
              <w:rPr>
                <w:rFonts w:eastAsia="Times New Roman" w:cs="Times New Roman"/>
                <w:b w:val="0"/>
                <w:sz w:val="20"/>
              </w:rPr>
            </w:pPr>
            <w:r w:rsidRPr="00FF756A">
              <w:rPr>
                <w:rFonts w:cs="Times New Roman"/>
                <w:sz w:val="20"/>
              </w:rPr>
              <w:t>Lënda drusore</w:t>
            </w:r>
          </w:p>
        </w:tc>
        <w:tc>
          <w:tcPr>
            <w:tcW w:w="462" w:type="pct"/>
            <w:noWrap/>
          </w:tcPr>
          <w:p w14:paraId="6190EEF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7,1%</w:t>
            </w:r>
          </w:p>
        </w:tc>
        <w:tc>
          <w:tcPr>
            <w:tcW w:w="463" w:type="pct"/>
            <w:noWrap/>
          </w:tcPr>
          <w:p w14:paraId="102CA6E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6,5%</w:t>
            </w:r>
          </w:p>
        </w:tc>
        <w:tc>
          <w:tcPr>
            <w:tcW w:w="463" w:type="pct"/>
            <w:noWrap/>
          </w:tcPr>
          <w:p w14:paraId="1C0B49E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6,3%</w:t>
            </w:r>
          </w:p>
        </w:tc>
        <w:tc>
          <w:tcPr>
            <w:tcW w:w="462" w:type="pct"/>
            <w:noWrap/>
          </w:tcPr>
          <w:p w14:paraId="781EEAE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6,2%</w:t>
            </w:r>
          </w:p>
        </w:tc>
        <w:tc>
          <w:tcPr>
            <w:tcW w:w="462" w:type="pct"/>
            <w:noWrap/>
          </w:tcPr>
          <w:p w14:paraId="55274EE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6,0%</w:t>
            </w:r>
          </w:p>
        </w:tc>
        <w:tc>
          <w:tcPr>
            <w:tcW w:w="462" w:type="pct"/>
            <w:noWrap/>
          </w:tcPr>
          <w:p w14:paraId="600BC93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5,6%</w:t>
            </w:r>
          </w:p>
        </w:tc>
        <w:tc>
          <w:tcPr>
            <w:tcW w:w="462" w:type="pct"/>
            <w:noWrap/>
          </w:tcPr>
          <w:p w14:paraId="3F332B2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4,7%</w:t>
            </w:r>
          </w:p>
        </w:tc>
        <w:tc>
          <w:tcPr>
            <w:tcW w:w="460" w:type="pct"/>
          </w:tcPr>
          <w:p w14:paraId="290A7D4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4,3%</w:t>
            </w:r>
          </w:p>
        </w:tc>
      </w:tr>
      <w:tr w:rsidR="00B86FB3" w:rsidRPr="00FF756A" w14:paraId="04A32433" w14:textId="77777777" w:rsidTr="006A3266">
        <w:trPr>
          <w:trHeight w:val="300"/>
        </w:trPr>
        <w:tc>
          <w:tcPr>
            <w:cnfStyle w:val="001000000000" w:firstRow="0" w:lastRow="0" w:firstColumn="1" w:lastColumn="0" w:oddVBand="0" w:evenVBand="0" w:oddHBand="0" w:evenHBand="0" w:firstRowFirstColumn="0" w:firstRowLastColumn="0" w:lastRowFirstColumn="0" w:lastRowLastColumn="0"/>
            <w:tcW w:w="1304" w:type="pct"/>
            <w:noWrap/>
            <w:vAlign w:val="bottom"/>
          </w:tcPr>
          <w:p w14:paraId="0FB6B26F" w14:textId="77777777" w:rsidR="00B86FB3" w:rsidRPr="00FF756A" w:rsidRDefault="00B86FB3" w:rsidP="00B86FB3">
            <w:pPr>
              <w:rPr>
                <w:rFonts w:eastAsia="Times New Roman" w:cs="Times New Roman"/>
                <w:b w:val="0"/>
                <w:sz w:val="20"/>
              </w:rPr>
            </w:pPr>
            <w:r w:rsidRPr="00FF756A">
              <w:rPr>
                <w:rFonts w:cs="Times New Roman"/>
                <w:sz w:val="20"/>
              </w:rPr>
              <w:t>Energjia eolike</w:t>
            </w:r>
          </w:p>
        </w:tc>
        <w:tc>
          <w:tcPr>
            <w:tcW w:w="462" w:type="pct"/>
            <w:noWrap/>
          </w:tcPr>
          <w:p w14:paraId="6EE8039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0,0%</w:t>
            </w:r>
          </w:p>
        </w:tc>
        <w:tc>
          <w:tcPr>
            <w:tcW w:w="463" w:type="pct"/>
            <w:noWrap/>
          </w:tcPr>
          <w:p w14:paraId="55DFC68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0,0%</w:t>
            </w:r>
          </w:p>
        </w:tc>
        <w:tc>
          <w:tcPr>
            <w:tcW w:w="463" w:type="pct"/>
            <w:noWrap/>
          </w:tcPr>
          <w:p w14:paraId="04D0D65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0,0%</w:t>
            </w:r>
          </w:p>
        </w:tc>
        <w:tc>
          <w:tcPr>
            <w:tcW w:w="462" w:type="pct"/>
            <w:noWrap/>
          </w:tcPr>
          <w:p w14:paraId="5ABB3CD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0,0%</w:t>
            </w:r>
          </w:p>
        </w:tc>
        <w:tc>
          <w:tcPr>
            <w:tcW w:w="462" w:type="pct"/>
            <w:noWrap/>
          </w:tcPr>
          <w:p w14:paraId="5C18F1C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0,0%</w:t>
            </w:r>
          </w:p>
        </w:tc>
        <w:tc>
          <w:tcPr>
            <w:tcW w:w="462" w:type="pct"/>
            <w:noWrap/>
          </w:tcPr>
          <w:p w14:paraId="43FFF63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1,6%</w:t>
            </w:r>
          </w:p>
        </w:tc>
        <w:tc>
          <w:tcPr>
            <w:tcW w:w="462" w:type="pct"/>
            <w:noWrap/>
          </w:tcPr>
          <w:p w14:paraId="4D95B28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1,3%</w:t>
            </w:r>
          </w:p>
        </w:tc>
        <w:tc>
          <w:tcPr>
            <w:tcW w:w="460" w:type="pct"/>
          </w:tcPr>
          <w:p w14:paraId="02EE223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1,0%</w:t>
            </w:r>
          </w:p>
        </w:tc>
      </w:tr>
      <w:tr w:rsidR="00B86FB3" w:rsidRPr="00FF756A" w14:paraId="753C1C40" w14:textId="77777777" w:rsidTr="006A32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4" w:type="pct"/>
            <w:noWrap/>
            <w:vAlign w:val="bottom"/>
          </w:tcPr>
          <w:p w14:paraId="01B05CF3" w14:textId="77777777" w:rsidR="00B86FB3" w:rsidRPr="00FF756A" w:rsidRDefault="00B86FB3" w:rsidP="00B86FB3">
            <w:pPr>
              <w:rPr>
                <w:rFonts w:eastAsia="Times New Roman" w:cs="Times New Roman"/>
                <w:b w:val="0"/>
                <w:sz w:val="20"/>
              </w:rPr>
            </w:pPr>
            <w:r w:rsidRPr="00FF756A">
              <w:rPr>
                <w:rFonts w:cs="Times New Roman"/>
                <w:sz w:val="20"/>
              </w:rPr>
              <w:t>Energjia diellore</w:t>
            </w:r>
          </w:p>
        </w:tc>
        <w:tc>
          <w:tcPr>
            <w:tcW w:w="462" w:type="pct"/>
            <w:noWrap/>
          </w:tcPr>
          <w:p w14:paraId="65EA850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0,7%</w:t>
            </w:r>
          </w:p>
        </w:tc>
        <w:tc>
          <w:tcPr>
            <w:tcW w:w="463" w:type="pct"/>
            <w:noWrap/>
          </w:tcPr>
          <w:p w14:paraId="70FE0EF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0,7%</w:t>
            </w:r>
          </w:p>
        </w:tc>
        <w:tc>
          <w:tcPr>
            <w:tcW w:w="463" w:type="pct"/>
            <w:noWrap/>
          </w:tcPr>
          <w:p w14:paraId="5D906D1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0,7%</w:t>
            </w:r>
          </w:p>
        </w:tc>
        <w:tc>
          <w:tcPr>
            <w:tcW w:w="462" w:type="pct"/>
            <w:noWrap/>
          </w:tcPr>
          <w:p w14:paraId="08B541D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1,6%</w:t>
            </w:r>
          </w:p>
        </w:tc>
        <w:tc>
          <w:tcPr>
            <w:tcW w:w="462" w:type="pct"/>
            <w:noWrap/>
          </w:tcPr>
          <w:p w14:paraId="2CAC1AC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2,3%</w:t>
            </w:r>
          </w:p>
        </w:tc>
        <w:tc>
          <w:tcPr>
            <w:tcW w:w="462" w:type="pct"/>
            <w:noWrap/>
          </w:tcPr>
          <w:p w14:paraId="618BB17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2,4%</w:t>
            </w:r>
          </w:p>
        </w:tc>
        <w:tc>
          <w:tcPr>
            <w:tcW w:w="462" w:type="pct"/>
            <w:noWrap/>
          </w:tcPr>
          <w:p w14:paraId="4724CB8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2,2%</w:t>
            </w:r>
          </w:p>
        </w:tc>
        <w:tc>
          <w:tcPr>
            <w:tcW w:w="460" w:type="pct"/>
          </w:tcPr>
          <w:p w14:paraId="69A18A1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2,2%</w:t>
            </w:r>
          </w:p>
        </w:tc>
      </w:tr>
      <w:tr w:rsidR="00B86FB3" w:rsidRPr="00FF756A" w14:paraId="569A8269" w14:textId="77777777" w:rsidTr="006A3266">
        <w:trPr>
          <w:trHeight w:val="300"/>
        </w:trPr>
        <w:tc>
          <w:tcPr>
            <w:cnfStyle w:val="001000000000" w:firstRow="0" w:lastRow="0" w:firstColumn="1" w:lastColumn="0" w:oddVBand="0" w:evenVBand="0" w:oddHBand="0" w:evenHBand="0" w:firstRowFirstColumn="0" w:firstRowLastColumn="0" w:lastRowFirstColumn="0" w:lastRowLastColumn="0"/>
            <w:tcW w:w="1304" w:type="pct"/>
            <w:noWrap/>
            <w:vAlign w:val="bottom"/>
          </w:tcPr>
          <w:p w14:paraId="1E14B96A" w14:textId="77777777" w:rsidR="00B86FB3" w:rsidRPr="00FF756A" w:rsidRDefault="00B86FB3" w:rsidP="00B86FB3">
            <w:pPr>
              <w:rPr>
                <w:rFonts w:cs="Times New Roman"/>
                <w:b w:val="0"/>
                <w:bCs w:val="0"/>
                <w:sz w:val="20"/>
              </w:rPr>
            </w:pPr>
            <w:r w:rsidRPr="00FF756A">
              <w:rPr>
                <w:rFonts w:cs="Times New Roman"/>
                <w:sz w:val="20"/>
              </w:rPr>
              <w:t>Energjia hidrike</w:t>
            </w:r>
          </w:p>
        </w:tc>
        <w:tc>
          <w:tcPr>
            <w:tcW w:w="462" w:type="pct"/>
            <w:noWrap/>
          </w:tcPr>
          <w:p w14:paraId="1C19DC3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21,4%</w:t>
            </w:r>
          </w:p>
        </w:tc>
        <w:tc>
          <w:tcPr>
            <w:tcW w:w="463" w:type="pct"/>
            <w:noWrap/>
          </w:tcPr>
          <w:p w14:paraId="2722197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20,2%</w:t>
            </w:r>
          </w:p>
        </w:tc>
        <w:tc>
          <w:tcPr>
            <w:tcW w:w="463" w:type="pct"/>
            <w:noWrap/>
          </w:tcPr>
          <w:p w14:paraId="62381B9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20,1%</w:t>
            </w:r>
          </w:p>
        </w:tc>
        <w:tc>
          <w:tcPr>
            <w:tcW w:w="462" w:type="pct"/>
            <w:noWrap/>
          </w:tcPr>
          <w:p w14:paraId="1D87212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28,2%</w:t>
            </w:r>
          </w:p>
        </w:tc>
        <w:tc>
          <w:tcPr>
            <w:tcW w:w="462" w:type="pct"/>
            <w:noWrap/>
          </w:tcPr>
          <w:p w14:paraId="640FE94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27,4%</w:t>
            </w:r>
          </w:p>
        </w:tc>
        <w:tc>
          <w:tcPr>
            <w:tcW w:w="462" w:type="pct"/>
            <w:noWrap/>
          </w:tcPr>
          <w:p w14:paraId="51760CC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25,2%</w:t>
            </w:r>
          </w:p>
        </w:tc>
        <w:tc>
          <w:tcPr>
            <w:tcW w:w="462" w:type="pct"/>
            <w:noWrap/>
          </w:tcPr>
          <w:p w14:paraId="38D53E6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23,5%</w:t>
            </w:r>
          </w:p>
        </w:tc>
        <w:tc>
          <w:tcPr>
            <w:tcW w:w="460" w:type="pct"/>
          </w:tcPr>
          <w:p w14:paraId="67C6F46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18,1%</w:t>
            </w:r>
          </w:p>
        </w:tc>
      </w:tr>
      <w:tr w:rsidR="00B86FB3" w:rsidRPr="00FF756A" w14:paraId="31F54DC8" w14:textId="77777777" w:rsidTr="006A32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4" w:type="pct"/>
            <w:noWrap/>
            <w:vAlign w:val="bottom"/>
          </w:tcPr>
          <w:p w14:paraId="0089C712" w14:textId="77777777" w:rsidR="00B86FB3" w:rsidRPr="00FF756A" w:rsidRDefault="00B86FB3" w:rsidP="00B86FB3">
            <w:pPr>
              <w:rPr>
                <w:rFonts w:cs="Times New Roman"/>
                <w:b w:val="0"/>
                <w:bCs w:val="0"/>
                <w:sz w:val="20"/>
              </w:rPr>
            </w:pPr>
            <w:r w:rsidRPr="00FF756A">
              <w:rPr>
                <w:rFonts w:cs="Times New Roman"/>
                <w:sz w:val="20"/>
              </w:rPr>
              <w:t>Hidrogjeni</w:t>
            </w:r>
          </w:p>
        </w:tc>
        <w:tc>
          <w:tcPr>
            <w:tcW w:w="462" w:type="pct"/>
            <w:noWrap/>
          </w:tcPr>
          <w:p w14:paraId="40A6B79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0,0%</w:t>
            </w:r>
          </w:p>
        </w:tc>
        <w:tc>
          <w:tcPr>
            <w:tcW w:w="463" w:type="pct"/>
            <w:noWrap/>
          </w:tcPr>
          <w:p w14:paraId="56DEACB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0,0%</w:t>
            </w:r>
          </w:p>
        </w:tc>
        <w:tc>
          <w:tcPr>
            <w:tcW w:w="463" w:type="pct"/>
            <w:noWrap/>
          </w:tcPr>
          <w:p w14:paraId="3795EED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0,0%</w:t>
            </w:r>
          </w:p>
        </w:tc>
        <w:tc>
          <w:tcPr>
            <w:tcW w:w="462" w:type="pct"/>
            <w:noWrap/>
          </w:tcPr>
          <w:p w14:paraId="0DF92EB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0,0%</w:t>
            </w:r>
          </w:p>
        </w:tc>
        <w:tc>
          <w:tcPr>
            <w:tcW w:w="462" w:type="pct"/>
            <w:noWrap/>
          </w:tcPr>
          <w:p w14:paraId="2B82C0B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0,0%</w:t>
            </w:r>
          </w:p>
        </w:tc>
        <w:tc>
          <w:tcPr>
            <w:tcW w:w="462" w:type="pct"/>
            <w:noWrap/>
          </w:tcPr>
          <w:p w14:paraId="5227B47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0,0%</w:t>
            </w:r>
          </w:p>
        </w:tc>
        <w:tc>
          <w:tcPr>
            <w:tcW w:w="462" w:type="pct"/>
            <w:noWrap/>
          </w:tcPr>
          <w:p w14:paraId="584456A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0,5%</w:t>
            </w:r>
          </w:p>
        </w:tc>
        <w:tc>
          <w:tcPr>
            <w:tcW w:w="460" w:type="pct"/>
          </w:tcPr>
          <w:p w14:paraId="50BE5CA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1,1%</w:t>
            </w:r>
          </w:p>
        </w:tc>
      </w:tr>
      <w:tr w:rsidR="00B86FB3" w:rsidRPr="00FF756A" w14:paraId="2777FB43" w14:textId="77777777" w:rsidTr="006A3266">
        <w:trPr>
          <w:trHeight w:val="300"/>
        </w:trPr>
        <w:tc>
          <w:tcPr>
            <w:cnfStyle w:val="001000000000" w:firstRow="0" w:lastRow="0" w:firstColumn="1" w:lastColumn="0" w:oddVBand="0" w:evenVBand="0" w:oddHBand="0" w:evenHBand="0" w:firstRowFirstColumn="0" w:firstRowLastColumn="0" w:lastRowFirstColumn="0" w:lastRowLastColumn="0"/>
            <w:tcW w:w="1304" w:type="pct"/>
            <w:noWrap/>
            <w:vAlign w:val="bottom"/>
          </w:tcPr>
          <w:p w14:paraId="2AB5C6B4" w14:textId="77777777" w:rsidR="00B86FB3" w:rsidRPr="00FF756A" w:rsidRDefault="00B86FB3" w:rsidP="00B86FB3">
            <w:pPr>
              <w:rPr>
                <w:rFonts w:cs="Times New Roman"/>
                <w:b w:val="0"/>
                <w:bCs w:val="0"/>
                <w:sz w:val="20"/>
              </w:rPr>
            </w:pPr>
            <w:r w:rsidRPr="00FF756A">
              <w:rPr>
                <w:rFonts w:cs="Times New Roman"/>
                <w:sz w:val="20"/>
              </w:rPr>
              <w:t>Mbetjet e ngurta urbane</w:t>
            </w:r>
          </w:p>
        </w:tc>
        <w:tc>
          <w:tcPr>
            <w:tcW w:w="462" w:type="pct"/>
            <w:noWrap/>
          </w:tcPr>
          <w:p w14:paraId="1A94A11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0,0%</w:t>
            </w:r>
          </w:p>
        </w:tc>
        <w:tc>
          <w:tcPr>
            <w:tcW w:w="463" w:type="pct"/>
            <w:noWrap/>
          </w:tcPr>
          <w:p w14:paraId="52F49D9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0,0%</w:t>
            </w:r>
          </w:p>
        </w:tc>
        <w:tc>
          <w:tcPr>
            <w:tcW w:w="463" w:type="pct"/>
            <w:noWrap/>
          </w:tcPr>
          <w:p w14:paraId="0D4E601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0,0%</w:t>
            </w:r>
          </w:p>
        </w:tc>
        <w:tc>
          <w:tcPr>
            <w:tcW w:w="462" w:type="pct"/>
            <w:noWrap/>
          </w:tcPr>
          <w:p w14:paraId="12C9B2C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0,1%</w:t>
            </w:r>
          </w:p>
        </w:tc>
        <w:tc>
          <w:tcPr>
            <w:tcW w:w="462" w:type="pct"/>
            <w:noWrap/>
          </w:tcPr>
          <w:p w14:paraId="5EDBE39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0,0%</w:t>
            </w:r>
          </w:p>
        </w:tc>
        <w:tc>
          <w:tcPr>
            <w:tcW w:w="462" w:type="pct"/>
            <w:noWrap/>
          </w:tcPr>
          <w:p w14:paraId="34B60DC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0,0%</w:t>
            </w:r>
          </w:p>
        </w:tc>
        <w:tc>
          <w:tcPr>
            <w:tcW w:w="462" w:type="pct"/>
            <w:noWrap/>
          </w:tcPr>
          <w:p w14:paraId="473AD4B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0,1%</w:t>
            </w:r>
          </w:p>
        </w:tc>
        <w:tc>
          <w:tcPr>
            <w:tcW w:w="460" w:type="pct"/>
          </w:tcPr>
          <w:p w14:paraId="3700743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0,1%</w:t>
            </w:r>
          </w:p>
        </w:tc>
      </w:tr>
      <w:tr w:rsidR="00B86FB3" w:rsidRPr="00FF756A" w14:paraId="1A7C7CAA" w14:textId="77777777" w:rsidTr="006A32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4" w:type="pct"/>
            <w:noWrap/>
            <w:vAlign w:val="bottom"/>
          </w:tcPr>
          <w:p w14:paraId="40EF0E89" w14:textId="77777777" w:rsidR="00B86FB3" w:rsidRPr="00FF756A" w:rsidRDefault="00B86FB3" w:rsidP="00B86FB3">
            <w:pPr>
              <w:rPr>
                <w:rFonts w:eastAsia="Times New Roman" w:cs="Times New Roman"/>
                <w:b w:val="0"/>
                <w:sz w:val="20"/>
              </w:rPr>
            </w:pPr>
            <w:r w:rsidRPr="00FF756A">
              <w:rPr>
                <w:rFonts w:cs="Times New Roman"/>
                <w:sz w:val="20"/>
              </w:rPr>
              <w:t>Biomasa</w:t>
            </w:r>
          </w:p>
        </w:tc>
        <w:tc>
          <w:tcPr>
            <w:tcW w:w="462" w:type="pct"/>
            <w:noWrap/>
            <w:vAlign w:val="bottom"/>
          </w:tcPr>
          <w:p w14:paraId="2E0D656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color w:val="000000"/>
                <w:sz w:val="20"/>
                <w:szCs w:val="22"/>
              </w:rPr>
              <w:t>0,0%</w:t>
            </w:r>
          </w:p>
        </w:tc>
        <w:tc>
          <w:tcPr>
            <w:tcW w:w="463" w:type="pct"/>
            <w:noWrap/>
            <w:vAlign w:val="bottom"/>
          </w:tcPr>
          <w:p w14:paraId="52F7ECC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color w:val="000000"/>
                <w:sz w:val="20"/>
                <w:szCs w:val="22"/>
              </w:rPr>
              <w:t>0,0%</w:t>
            </w:r>
          </w:p>
        </w:tc>
        <w:tc>
          <w:tcPr>
            <w:tcW w:w="463" w:type="pct"/>
            <w:noWrap/>
            <w:vAlign w:val="bottom"/>
          </w:tcPr>
          <w:p w14:paraId="0C431EE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color w:val="000000"/>
                <w:sz w:val="20"/>
                <w:szCs w:val="22"/>
              </w:rPr>
              <w:t>0,0%</w:t>
            </w:r>
          </w:p>
        </w:tc>
        <w:tc>
          <w:tcPr>
            <w:tcW w:w="462" w:type="pct"/>
            <w:noWrap/>
            <w:vAlign w:val="bottom"/>
          </w:tcPr>
          <w:p w14:paraId="0606506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color w:val="000000"/>
                <w:sz w:val="20"/>
                <w:szCs w:val="22"/>
              </w:rPr>
              <w:t>0,0%</w:t>
            </w:r>
          </w:p>
        </w:tc>
        <w:tc>
          <w:tcPr>
            <w:tcW w:w="462" w:type="pct"/>
            <w:noWrap/>
            <w:vAlign w:val="bottom"/>
          </w:tcPr>
          <w:p w14:paraId="3B464A6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color w:val="000000"/>
                <w:sz w:val="20"/>
                <w:szCs w:val="22"/>
              </w:rPr>
              <w:t>0,0%</w:t>
            </w:r>
          </w:p>
        </w:tc>
        <w:tc>
          <w:tcPr>
            <w:tcW w:w="462" w:type="pct"/>
            <w:noWrap/>
            <w:vAlign w:val="bottom"/>
          </w:tcPr>
          <w:p w14:paraId="12A0BE2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color w:val="000000"/>
                <w:sz w:val="20"/>
                <w:szCs w:val="22"/>
              </w:rPr>
              <w:t>0,0%</w:t>
            </w:r>
          </w:p>
        </w:tc>
        <w:tc>
          <w:tcPr>
            <w:tcW w:w="462" w:type="pct"/>
            <w:noWrap/>
            <w:vAlign w:val="bottom"/>
          </w:tcPr>
          <w:p w14:paraId="3BAC10F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color w:val="000000"/>
                <w:sz w:val="20"/>
                <w:szCs w:val="22"/>
              </w:rPr>
              <w:t>0,0%</w:t>
            </w:r>
          </w:p>
        </w:tc>
        <w:tc>
          <w:tcPr>
            <w:tcW w:w="460" w:type="pct"/>
          </w:tcPr>
          <w:p w14:paraId="5312FCE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color w:val="000000"/>
                <w:sz w:val="20"/>
                <w:szCs w:val="22"/>
              </w:rPr>
              <w:t>0,0%</w:t>
            </w:r>
          </w:p>
        </w:tc>
      </w:tr>
      <w:tr w:rsidR="00B86FB3" w:rsidRPr="00FF756A" w14:paraId="37071D56" w14:textId="77777777" w:rsidTr="006A3266">
        <w:trPr>
          <w:trHeight w:val="300"/>
        </w:trPr>
        <w:tc>
          <w:tcPr>
            <w:cnfStyle w:val="001000000000" w:firstRow="0" w:lastRow="0" w:firstColumn="1" w:lastColumn="0" w:oddVBand="0" w:evenVBand="0" w:oddHBand="0" w:evenHBand="0" w:firstRowFirstColumn="0" w:firstRowLastColumn="0" w:lastRowFirstColumn="0" w:lastRowLastColumn="0"/>
            <w:tcW w:w="1304" w:type="pct"/>
            <w:noWrap/>
            <w:vAlign w:val="bottom"/>
          </w:tcPr>
          <w:p w14:paraId="34C74453" w14:textId="77777777" w:rsidR="00B86FB3" w:rsidRPr="00FF756A" w:rsidRDefault="00B86FB3" w:rsidP="00B86FB3">
            <w:pPr>
              <w:rPr>
                <w:rFonts w:eastAsia="Times New Roman" w:cs="Times New Roman"/>
                <w:b w:val="0"/>
                <w:sz w:val="20"/>
              </w:rPr>
            </w:pPr>
            <w:r w:rsidRPr="00FF756A">
              <w:rPr>
                <w:rFonts w:cs="Times New Roman"/>
                <w:sz w:val="20"/>
              </w:rPr>
              <w:t>Biodizeli</w:t>
            </w:r>
          </w:p>
        </w:tc>
        <w:tc>
          <w:tcPr>
            <w:tcW w:w="462" w:type="pct"/>
            <w:noWrap/>
            <w:vAlign w:val="bottom"/>
          </w:tcPr>
          <w:p w14:paraId="5B94F15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color w:val="000000"/>
                <w:sz w:val="20"/>
                <w:szCs w:val="22"/>
              </w:rPr>
              <w:t>0,0%</w:t>
            </w:r>
          </w:p>
        </w:tc>
        <w:tc>
          <w:tcPr>
            <w:tcW w:w="463" w:type="pct"/>
            <w:noWrap/>
            <w:vAlign w:val="bottom"/>
          </w:tcPr>
          <w:p w14:paraId="7BFB00C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color w:val="000000"/>
                <w:sz w:val="20"/>
                <w:szCs w:val="22"/>
              </w:rPr>
              <w:t>0,0%</w:t>
            </w:r>
          </w:p>
        </w:tc>
        <w:tc>
          <w:tcPr>
            <w:tcW w:w="463" w:type="pct"/>
            <w:noWrap/>
            <w:vAlign w:val="bottom"/>
          </w:tcPr>
          <w:p w14:paraId="675A97C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color w:val="000000"/>
                <w:sz w:val="20"/>
                <w:szCs w:val="22"/>
              </w:rPr>
              <w:t>0,0%</w:t>
            </w:r>
          </w:p>
        </w:tc>
        <w:tc>
          <w:tcPr>
            <w:tcW w:w="462" w:type="pct"/>
            <w:noWrap/>
            <w:vAlign w:val="bottom"/>
          </w:tcPr>
          <w:p w14:paraId="197DAF4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color w:val="000000"/>
                <w:sz w:val="20"/>
                <w:szCs w:val="22"/>
              </w:rPr>
              <w:t>0,0%</w:t>
            </w:r>
          </w:p>
        </w:tc>
        <w:tc>
          <w:tcPr>
            <w:tcW w:w="462" w:type="pct"/>
            <w:noWrap/>
            <w:vAlign w:val="bottom"/>
          </w:tcPr>
          <w:p w14:paraId="05BAAFB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color w:val="000000"/>
                <w:sz w:val="20"/>
                <w:szCs w:val="22"/>
              </w:rPr>
              <w:t>0,0%</w:t>
            </w:r>
          </w:p>
        </w:tc>
        <w:tc>
          <w:tcPr>
            <w:tcW w:w="462" w:type="pct"/>
            <w:noWrap/>
            <w:vAlign w:val="bottom"/>
          </w:tcPr>
          <w:p w14:paraId="65F375F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color w:val="000000"/>
                <w:sz w:val="20"/>
                <w:szCs w:val="22"/>
              </w:rPr>
              <w:t>0,0%</w:t>
            </w:r>
          </w:p>
        </w:tc>
        <w:tc>
          <w:tcPr>
            <w:tcW w:w="462" w:type="pct"/>
            <w:noWrap/>
            <w:vAlign w:val="bottom"/>
          </w:tcPr>
          <w:p w14:paraId="48015BF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color w:val="000000"/>
                <w:sz w:val="20"/>
                <w:szCs w:val="22"/>
              </w:rPr>
              <w:t>0,0%</w:t>
            </w:r>
          </w:p>
        </w:tc>
        <w:tc>
          <w:tcPr>
            <w:tcW w:w="460" w:type="pct"/>
          </w:tcPr>
          <w:p w14:paraId="77313D3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color w:val="000000"/>
                <w:sz w:val="20"/>
                <w:szCs w:val="22"/>
              </w:rPr>
              <w:t>0,0%</w:t>
            </w:r>
          </w:p>
        </w:tc>
      </w:tr>
      <w:tr w:rsidR="00B86FB3" w:rsidRPr="00FF756A" w14:paraId="6E0FE05D" w14:textId="77777777" w:rsidTr="006A326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4" w:type="pct"/>
            <w:noWrap/>
            <w:vAlign w:val="bottom"/>
            <w:hideMark/>
          </w:tcPr>
          <w:p w14:paraId="26FD2D82" w14:textId="77777777" w:rsidR="00B86FB3" w:rsidRPr="00FF756A" w:rsidRDefault="00B86FB3" w:rsidP="00B86FB3">
            <w:pPr>
              <w:rPr>
                <w:rFonts w:eastAsia="Times New Roman" w:cs="Times New Roman"/>
                <w:b w:val="0"/>
                <w:sz w:val="20"/>
              </w:rPr>
            </w:pPr>
            <w:r w:rsidRPr="00FF756A">
              <w:rPr>
                <w:rFonts w:cs="Times New Roman"/>
                <w:sz w:val="20"/>
              </w:rPr>
              <w:t>Totali</w:t>
            </w:r>
          </w:p>
        </w:tc>
        <w:tc>
          <w:tcPr>
            <w:tcW w:w="462" w:type="pct"/>
            <w:noWrap/>
            <w:hideMark/>
          </w:tcPr>
          <w:p w14:paraId="59C78FB8" w14:textId="77777777" w:rsidR="00B86FB3" w:rsidRPr="00FF756A" w:rsidRDefault="00B86FB3" w:rsidP="00B86FB3">
            <w:pPr>
              <w:jc w:val="right"/>
              <w:cnfStyle w:val="010000000000" w:firstRow="0" w:lastRow="1" w:firstColumn="0" w:lastColumn="0" w:oddVBand="0" w:evenVBand="0" w:oddHBand="0" w:evenHBand="0" w:firstRowFirstColumn="0" w:firstRowLastColumn="0" w:lastRowFirstColumn="0" w:lastRowLastColumn="0"/>
              <w:rPr>
                <w:rFonts w:cs="Times New Roman"/>
                <w:b w:val="0"/>
                <w:bCs w:val="0"/>
                <w:sz w:val="20"/>
                <w:szCs w:val="22"/>
              </w:rPr>
            </w:pPr>
            <w:r w:rsidRPr="00FF756A">
              <w:rPr>
                <w:rFonts w:cs="Times New Roman"/>
                <w:sz w:val="20"/>
                <w:szCs w:val="22"/>
              </w:rPr>
              <w:t>29,2%</w:t>
            </w:r>
          </w:p>
        </w:tc>
        <w:tc>
          <w:tcPr>
            <w:tcW w:w="463" w:type="pct"/>
            <w:noWrap/>
            <w:hideMark/>
          </w:tcPr>
          <w:p w14:paraId="57E16839" w14:textId="77777777" w:rsidR="00B86FB3" w:rsidRPr="00FF756A" w:rsidRDefault="00B86FB3" w:rsidP="00B86FB3">
            <w:pPr>
              <w:jc w:val="right"/>
              <w:cnfStyle w:val="010000000000" w:firstRow="0" w:lastRow="1" w:firstColumn="0" w:lastColumn="0" w:oddVBand="0" w:evenVBand="0" w:oddHBand="0" w:evenHBand="0" w:firstRowFirstColumn="0" w:firstRowLastColumn="0" w:lastRowFirstColumn="0" w:lastRowLastColumn="0"/>
              <w:rPr>
                <w:rFonts w:cs="Times New Roman"/>
                <w:b w:val="0"/>
                <w:bCs w:val="0"/>
                <w:sz w:val="20"/>
                <w:szCs w:val="22"/>
              </w:rPr>
            </w:pPr>
            <w:r w:rsidRPr="00FF756A">
              <w:rPr>
                <w:rFonts w:cs="Times New Roman"/>
                <w:sz w:val="20"/>
                <w:szCs w:val="22"/>
              </w:rPr>
              <w:t>27,4%</w:t>
            </w:r>
          </w:p>
        </w:tc>
        <w:tc>
          <w:tcPr>
            <w:tcW w:w="463" w:type="pct"/>
            <w:noWrap/>
            <w:hideMark/>
          </w:tcPr>
          <w:p w14:paraId="7D683F80" w14:textId="77777777" w:rsidR="00B86FB3" w:rsidRPr="00FF756A" w:rsidRDefault="00B86FB3" w:rsidP="00B86FB3">
            <w:pPr>
              <w:jc w:val="right"/>
              <w:cnfStyle w:val="010000000000" w:firstRow="0" w:lastRow="1" w:firstColumn="0" w:lastColumn="0" w:oddVBand="0" w:evenVBand="0" w:oddHBand="0" w:evenHBand="0" w:firstRowFirstColumn="0" w:firstRowLastColumn="0" w:lastRowFirstColumn="0" w:lastRowLastColumn="0"/>
              <w:rPr>
                <w:rFonts w:cs="Times New Roman"/>
                <w:b w:val="0"/>
                <w:bCs w:val="0"/>
                <w:sz w:val="20"/>
                <w:szCs w:val="22"/>
              </w:rPr>
            </w:pPr>
            <w:r w:rsidRPr="00FF756A">
              <w:rPr>
                <w:rFonts w:cs="Times New Roman"/>
                <w:sz w:val="20"/>
                <w:szCs w:val="22"/>
              </w:rPr>
              <w:t>27,1%</w:t>
            </w:r>
          </w:p>
        </w:tc>
        <w:tc>
          <w:tcPr>
            <w:tcW w:w="462" w:type="pct"/>
            <w:noWrap/>
            <w:hideMark/>
          </w:tcPr>
          <w:p w14:paraId="235907D0" w14:textId="77777777" w:rsidR="00B86FB3" w:rsidRPr="00FF756A" w:rsidRDefault="00B86FB3" w:rsidP="00B86FB3">
            <w:pPr>
              <w:jc w:val="right"/>
              <w:cnfStyle w:val="010000000000" w:firstRow="0" w:lastRow="1" w:firstColumn="0" w:lastColumn="0" w:oddVBand="0" w:evenVBand="0" w:oddHBand="0" w:evenHBand="0" w:firstRowFirstColumn="0" w:firstRowLastColumn="0" w:lastRowFirstColumn="0" w:lastRowLastColumn="0"/>
              <w:rPr>
                <w:rFonts w:cs="Times New Roman"/>
                <w:b w:val="0"/>
                <w:bCs w:val="0"/>
                <w:sz w:val="20"/>
                <w:szCs w:val="22"/>
              </w:rPr>
            </w:pPr>
            <w:r w:rsidRPr="00FF756A">
              <w:rPr>
                <w:rFonts w:cs="Times New Roman"/>
                <w:sz w:val="20"/>
                <w:szCs w:val="22"/>
              </w:rPr>
              <w:t>36,0%</w:t>
            </w:r>
          </w:p>
        </w:tc>
        <w:tc>
          <w:tcPr>
            <w:tcW w:w="462" w:type="pct"/>
            <w:noWrap/>
            <w:hideMark/>
          </w:tcPr>
          <w:p w14:paraId="298D8936" w14:textId="77777777" w:rsidR="00B86FB3" w:rsidRPr="00FF756A" w:rsidRDefault="00B86FB3" w:rsidP="00B86FB3">
            <w:pPr>
              <w:jc w:val="right"/>
              <w:cnfStyle w:val="010000000000" w:firstRow="0" w:lastRow="1" w:firstColumn="0" w:lastColumn="0" w:oddVBand="0" w:evenVBand="0" w:oddHBand="0" w:evenHBand="0" w:firstRowFirstColumn="0" w:firstRowLastColumn="0" w:lastRowFirstColumn="0" w:lastRowLastColumn="0"/>
              <w:rPr>
                <w:rFonts w:cs="Times New Roman"/>
                <w:b w:val="0"/>
                <w:bCs w:val="0"/>
                <w:sz w:val="20"/>
                <w:szCs w:val="22"/>
              </w:rPr>
            </w:pPr>
            <w:r w:rsidRPr="00FF756A">
              <w:rPr>
                <w:rFonts w:cs="Times New Roman"/>
                <w:sz w:val="20"/>
                <w:szCs w:val="22"/>
              </w:rPr>
              <w:t>35,7%</w:t>
            </w:r>
          </w:p>
        </w:tc>
        <w:tc>
          <w:tcPr>
            <w:tcW w:w="462" w:type="pct"/>
            <w:noWrap/>
            <w:hideMark/>
          </w:tcPr>
          <w:p w14:paraId="35D59D82" w14:textId="77777777" w:rsidR="00B86FB3" w:rsidRPr="00FF756A" w:rsidRDefault="00B86FB3" w:rsidP="00B86FB3">
            <w:pPr>
              <w:jc w:val="right"/>
              <w:cnfStyle w:val="010000000000" w:firstRow="0" w:lastRow="1" w:firstColumn="0" w:lastColumn="0" w:oddVBand="0" w:evenVBand="0" w:oddHBand="0" w:evenHBand="0" w:firstRowFirstColumn="0" w:firstRowLastColumn="0" w:lastRowFirstColumn="0" w:lastRowLastColumn="0"/>
              <w:rPr>
                <w:rFonts w:cs="Times New Roman"/>
                <w:b w:val="0"/>
                <w:bCs w:val="0"/>
                <w:sz w:val="20"/>
                <w:szCs w:val="22"/>
              </w:rPr>
            </w:pPr>
            <w:r w:rsidRPr="00FF756A">
              <w:rPr>
                <w:rFonts w:cs="Times New Roman"/>
                <w:sz w:val="20"/>
                <w:szCs w:val="22"/>
              </w:rPr>
              <w:t>34,8%</w:t>
            </w:r>
          </w:p>
        </w:tc>
        <w:tc>
          <w:tcPr>
            <w:tcW w:w="462" w:type="pct"/>
            <w:noWrap/>
            <w:hideMark/>
          </w:tcPr>
          <w:p w14:paraId="5F08433D" w14:textId="77777777" w:rsidR="00B86FB3" w:rsidRPr="00FF756A" w:rsidRDefault="00B86FB3" w:rsidP="00B86FB3">
            <w:pPr>
              <w:keepNext/>
              <w:jc w:val="right"/>
              <w:cnfStyle w:val="010000000000" w:firstRow="0" w:lastRow="1" w:firstColumn="0" w:lastColumn="0" w:oddVBand="0" w:evenVBand="0" w:oddHBand="0" w:evenHBand="0" w:firstRowFirstColumn="0" w:firstRowLastColumn="0" w:lastRowFirstColumn="0" w:lastRowLastColumn="0"/>
              <w:rPr>
                <w:rFonts w:cs="Times New Roman"/>
                <w:b w:val="0"/>
                <w:bCs w:val="0"/>
                <w:sz w:val="20"/>
                <w:szCs w:val="22"/>
              </w:rPr>
            </w:pPr>
            <w:r w:rsidRPr="00FF756A">
              <w:rPr>
                <w:rFonts w:cs="Times New Roman"/>
                <w:sz w:val="20"/>
                <w:szCs w:val="22"/>
              </w:rPr>
              <w:t>32,3%</w:t>
            </w:r>
          </w:p>
        </w:tc>
        <w:tc>
          <w:tcPr>
            <w:tcW w:w="460" w:type="pct"/>
          </w:tcPr>
          <w:p w14:paraId="5B087225" w14:textId="77777777" w:rsidR="00B86FB3" w:rsidRPr="00FF756A" w:rsidRDefault="00B86FB3" w:rsidP="003F200D">
            <w:pPr>
              <w:keepNext/>
              <w:jc w:val="right"/>
              <w:cnfStyle w:val="010000000000" w:firstRow="0" w:lastRow="1" w:firstColumn="0" w:lastColumn="0" w:oddVBand="0" w:evenVBand="0" w:oddHBand="0" w:evenHBand="0" w:firstRowFirstColumn="0" w:firstRowLastColumn="0" w:lastRowFirstColumn="0" w:lastRowLastColumn="0"/>
              <w:rPr>
                <w:rFonts w:cs="Times New Roman"/>
                <w:b w:val="0"/>
                <w:bCs w:val="0"/>
                <w:sz w:val="20"/>
                <w:szCs w:val="22"/>
              </w:rPr>
            </w:pPr>
            <w:r w:rsidRPr="00FF756A">
              <w:rPr>
                <w:rFonts w:cs="Times New Roman"/>
                <w:sz w:val="20"/>
                <w:szCs w:val="22"/>
              </w:rPr>
              <w:t>26,8%</w:t>
            </w:r>
          </w:p>
        </w:tc>
      </w:tr>
    </w:tbl>
    <w:p w14:paraId="31B4C3A1" w14:textId="4B1731C7" w:rsidR="00B86FB3" w:rsidRPr="00FF756A" w:rsidRDefault="003F200D" w:rsidP="003F200D">
      <w:pPr>
        <w:pStyle w:val="Caption"/>
        <w:rPr>
          <w:rFonts w:ascii="Times New Roman" w:hAnsi="Times New Roman"/>
        </w:rPr>
      </w:pPr>
      <w:bookmarkStart w:id="552" w:name="_Toc183016498"/>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34</w:t>
      </w:r>
      <w:r w:rsidR="008E7DE9" w:rsidRPr="00FF756A">
        <w:rPr>
          <w:rFonts w:ascii="Times New Roman" w:hAnsi="Times New Roman"/>
          <w:noProof/>
        </w:rPr>
        <w:fldChar w:fldCharType="end"/>
      </w:r>
      <w:r w:rsidRPr="00FF756A">
        <w:rPr>
          <w:rFonts w:ascii="Times New Roman" w:hAnsi="Times New Roman"/>
        </w:rPr>
        <w:t>: Përqindjet në TFEP për lëndët djegëse të marra në konsideratë në përqindjen e burimeve të rinovueshme në TFEP.</w:t>
      </w:r>
      <w:bookmarkEnd w:id="552"/>
    </w:p>
    <w:p w14:paraId="4ADCDBDC" w14:textId="77777777" w:rsidR="00C121D8" w:rsidRPr="00FF756A" w:rsidRDefault="00C121D8" w:rsidP="00B86FB3"/>
    <w:p w14:paraId="7EC1B60D" w14:textId="1D010300" w:rsidR="00B86FB3" w:rsidRPr="00FF756A" w:rsidRDefault="00B86FB3" w:rsidP="00B86FB3">
      <w:r w:rsidRPr="00FF756A">
        <w:t xml:space="preserve">Përqindjet e burimeve të rinovueshme në konsumin final të energjisë përcaktohen sipas Direktivës 2009/28/KE (RED; </w:t>
      </w:r>
      <w:sdt>
        <w:sdtPr>
          <w:alias w:val="Për të modifikuar, shihni citavi.com/edit"/>
          <w:tag w:val="CitaviPlaceholder#18aa57fc-6f1e-4e7b-98aa-c2add22917e3"/>
          <w:id w:val="4098542"/>
          <w:placeholder>
            <w:docPart w:val="4BC1473305F64FD78CB70DEB332CF329"/>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}</w:instrText>
          </w:r>
          <w:r w:rsidRPr="00FF756A">
            <w:fldChar w:fldCharType="separate"/>
          </w:r>
          <w:r w:rsidRPr="00FF756A">
            <w:t>EU</w:t>
          </w:r>
          <w:r w:rsidRPr="00FF756A">
            <w:fldChar w:fldCharType="end"/>
          </w:r>
        </w:sdtContent>
      </w:sdt>
      <w:r w:rsidRPr="00FF756A">
        <w:t xml:space="preserve"> </w:t>
      </w:r>
      <w:sdt>
        <w:sdtPr>
          <w:alias w:val="Për të modifikuar, shihni citavi.com/edit"/>
          <w:tag w:val="CitaviPlaceholder#c490fb29-fa49-4a93-a4f7-bf81913b37cb"/>
          <w:id w:val="780771568"/>
          <w:placeholder>
            <w:docPart w:val="4BC1473305F64FD78CB70DEB332CF329"/>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}</w:instrText>
          </w:r>
          <w:r w:rsidRPr="00FF756A">
            <w:fldChar w:fldCharType="separate"/>
          </w:r>
          <w:r w:rsidRPr="00FF756A">
            <w:t>(2009)</w:t>
          </w:r>
          <w:r w:rsidRPr="00FF756A">
            <w:fldChar w:fldCharType="end"/>
          </w:r>
        </w:sdtContent>
      </w:sdt>
      <w:r w:rsidRPr="00FF756A">
        <w:t xml:space="preserve">; shihni gjithashtu </w:t>
      </w:r>
      <w:sdt>
        <w:sdtPr>
          <w:alias w:val="Për të modifikuar, shihni citavi.com/edit"/>
          <w:tag w:val="CitaviPlaceholder#58cf72a3-1563-408b-b884-2f7124f90317"/>
          <w:id w:val="363873675"/>
          <w:placeholder>
            <w:docPart w:val="4BC1473305F64FD78CB70DEB332CF329"/>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}</w:instrText>
          </w:r>
          <w:r w:rsidRPr="00FF756A">
            <w:fldChar w:fldCharType="separate"/>
          </w:r>
          <w:r w:rsidRPr="00FF756A">
            <w:t>European Commission</w:t>
          </w:r>
          <w:r w:rsidRPr="00FF756A">
            <w:fldChar w:fldCharType="end"/>
          </w:r>
        </w:sdtContent>
      </w:sdt>
      <w:r w:rsidRPr="00FF756A">
        <w:t xml:space="preserve"> </w:t>
      </w:r>
      <w:sdt>
        <w:sdtPr>
          <w:alias w:val="Për të modifikuar, shihni citavi.com/edit"/>
          <w:tag w:val="CitaviPlaceholder#b9121f32-1337-449e-9640-f088f2f0024c"/>
          <w:id w:val="1675147751"/>
          <w:placeholder>
            <w:docPart w:val="4BC1473305F64FD78CB70DEB332CF329"/>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}</w:instrText>
          </w:r>
          <w:r w:rsidRPr="00FF756A">
            <w:fldChar w:fldCharType="separate"/>
          </w:r>
          <w:r w:rsidRPr="00FF756A">
            <w:t>(2018)</w:t>
          </w:r>
          <w:r w:rsidRPr="00FF756A">
            <w:fldChar w:fldCharType="end"/>
          </w:r>
        </w:sdtContent>
      </w:sdt>
      <w:r w:rsidRPr="00FF756A">
        <w:t xml:space="preserve">). Figurat e mëposhtme paraqesin të dhëna historike mbi përqindjen e BRE-ve për vitet 2016-2021 dhe parashikimet me masat ekzistuese. Përqindja e BRE-ve në sektorin e transportit (BRE-T) përfshin edhe shumëzuesit për përdorimin e energjisë elektrike në transportin rrugor dhe hekurudhor, gjë që shpjegon rritjen e ndjeshme (energjia elektrike përdoret për të plotësuar afro 10% të kërkesës finale për energji në sektorin e transportit në vitin 2040). Nuk merren parasysh biokarburantet e avancuara (me shumëzues më të mëdhenj). Përqindja e energjisë së rinovueshme për ngrohjen dhe ftohjen (BRE-N&amp;F) bie paralelisht me rënien e përqindjes së lëndës drusore si lëndë djegëse për ngrohje. Përqindja e energjisë elektrike të rinovueshme (BRE-E) përcaktohet gjerësisht nga prodhimi hidroenergjetik, me një rritje të parashikuar të energjisë diellore fotovoltaike. Figurat e mëposhtme japin detaje teknologjike për secilin tregues të BRE. </w:t>
      </w:r>
    </w:p>
    <w:p w14:paraId="0083AA49" w14:textId="77777777" w:rsidR="003F200D" w:rsidRPr="00FF756A" w:rsidRDefault="00B86FB3" w:rsidP="003F200D">
      <w:pPr>
        <w:keepNext/>
        <w:jc w:val="center"/>
      </w:pPr>
      <w:r w:rsidRPr="00FF756A">
        <w:rPr>
          <w:noProof/>
          <w:lang w:val="en-US"/>
        </w:rPr>
        <w:drawing>
          <wp:inline distT="0" distB="0" distL="0" distR="0" wp14:anchorId="331B3376" wp14:editId="359200F2">
            <wp:extent cx="5760720" cy="3456305"/>
            <wp:effectExtent l="0" t="0" r="0" b="0"/>
            <wp:docPr id="396116101" name="Picture 4"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16101" name="Picture 4" descr="A graph of different colored lines&#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68720443" w14:textId="7A061FA6" w:rsidR="00B86FB3" w:rsidRPr="00FF756A" w:rsidRDefault="003F200D" w:rsidP="003F200D">
      <w:pPr>
        <w:pStyle w:val="Caption"/>
        <w:jc w:val="center"/>
        <w:rPr>
          <w:rFonts w:ascii="Times New Roman" w:hAnsi="Times New Roman"/>
        </w:rPr>
      </w:pPr>
      <w:bookmarkStart w:id="553" w:name="_Toc183016573"/>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43</w:t>
      </w:r>
      <w:r w:rsidR="008E7DE9" w:rsidRPr="00FF756A">
        <w:rPr>
          <w:rFonts w:ascii="Times New Roman" w:hAnsi="Times New Roman"/>
          <w:noProof/>
        </w:rPr>
        <w:fldChar w:fldCharType="end"/>
      </w:r>
      <w:r w:rsidRPr="00FF756A">
        <w:rPr>
          <w:rFonts w:ascii="Times New Roman" w:hAnsi="Times New Roman"/>
        </w:rPr>
        <w:t>: Përqindjet e BRE-ve në kërkesën finale për energji, të përllogaritura sipas RED (Direktiva 2009/28/KE) për periudhën kohore 2016-2022 dhe parashikimet deri në vitin 2050 me masat ekzistuese</w:t>
      </w:r>
      <w:bookmarkEnd w:id="553"/>
    </w:p>
    <w:p w14:paraId="033FA82E" w14:textId="77777777" w:rsidR="00B86FB3" w:rsidRPr="00FF756A" w:rsidRDefault="00B86FB3" w:rsidP="00B86FB3">
      <w:pPr>
        <w:rPr>
          <w:lang w:eastAsia="ja-JP"/>
        </w:rPr>
      </w:pPr>
    </w:p>
    <w:tbl>
      <w:tblPr>
        <w:tblStyle w:val="GridTable5DarkAccent10"/>
        <w:tblW w:w="9849" w:type="dxa"/>
        <w:tblLook w:val="04A0" w:firstRow="1" w:lastRow="0" w:firstColumn="1" w:lastColumn="0" w:noHBand="0" w:noVBand="1"/>
      </w:tblPr>
      <w:tblGrid>
        <w:gridCol w:w="988"/>
        <w:gridCol w:w="1029"/>
        <w:gridCol w:w="1112"/>
        <w:gridCol w:w="1112"/>
        <w:gridCol w:w="1128"/>
        <w:gridCol w:w="1128"/>
        <w:gridCol w:w="1128"/>
        <w:gridCol w:w="1112"/>
        <w:gridCol w:w="1112"/>
      </w:tblGrid>
      <w:tr w:rsidR="00B86FB3" w:rsidRPr="00FF756A" w14:paraId="285D5393" w14:textId="77777777" w:rsidTr="006A3266">
        <w:trPr>
          <w:cnfStyle w:val="100000000000" w:firstRow="1" w:lastRow="0" w:firstColumn="0" w:lastColumn="0" w:oddVBand="0" w:evenVBand="0" w:oddHBand="0"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988" w:type="dxa"/>
            <w:noWrap/>
            <w:hideMark/>
          </w:tcPr>
          <w:p w14:paraId="3C2399E5" w14:textId="77777777" w:rsidR="00B86FB3" w:rsidRPr="00FF756A" w:rsidRDefault="00B86FB3" w:rsidP="00B86FB3">
            <w:pPr>
              <w:rPr>
                <w:rFonts w:eastAsia="Times New Roman" w:cs="Times New Roman"/>
                <w:color w:val="FFFFFF"/>
                <w:sz w:val="18"/>
              </w:rPr>
            </w:pPr>
            <w:r w:rsidRPr="00FF756A">
              <w:rPr>
                <w:rFonts w:cs="Times New Roman"/>
                <w:color w:val="FFFFFF"/>
                <w:sz w:val="18"/>
              </w:rPr>
              <w:t>[%]</w:t>
            </w:r>
          </w:p>
        </w:tc>
        <w:tc>
          <w:tcPr>
            <w:tcW w:w="1029" w:type="dxa"/>
            <w:noWrap/>
            <w:hideMark/>
          </w:tcPr>
          <w:p w14:paraId="3CD3ADFA"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18"/>
              </w:rPr>
            </w:pPr>
            <w:r w:rsidRPr="00FF756A">
              <w:rPr>
                <w:rFonts w:cs="Times New Roman"/>
                <w:color w:val="FFFFFF"/>
                <w:sz w:val="18"/>
              </w:rPr>
              <w:t>2020</w:t>
            </w:r>
          </w:p>
        </w:tc>
        <w:tc>
          <w:tcPr>
            <w:tcW w:w="1112" w:type="dxa"/>
            <w:noWrap/>
            <w:hideMark/>
          </w:tcPr>
          <w:p w14:paraId="1FC61AC0"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18"/>
              </w:rPr>
            </w:pPr>
            <w:r w:rsidRPr="00FF756A">
              <w:rPr>
                <w:rFonts w:cs="Times New Roman"/>
                <w:color w:val="FFFFFF"/>
                <w:sz w:val="18"/>
              </w:rPr>
              <w:t>2021</w:t>
            </w:r>
          </w:p>
        </w:tc>
        <w:tc>
          <w:tcPr>
            <w:tcW w:w="1112" w:type="dxa"/>
            <w:noWrap/>
            <w:hideMark/>
          </w:tcPr>
          <w:p w14:paraId="0DFD03CE"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18"/>
              </w:rPr>
            </w:pPr>
            <w:r w:rsidRPr="00FF756A">
              <w:rPr>
                <w:rFonts w:cs="Times New Roman"/>
                <w:color w:val="FFFFFF"/>
                <w:sz w:val="18"/>
              </w:rPr>
              <w:t>2022</w:t>
            </w:r>
          </w:p>
        </w:tc>
        <w:tc>
          <w:tcPr>
            <w:tcW w:w="1128" w:type="dxa"/>
            <w:noWrap/>
            <w:hideMark/>
          </w:tcPr>
          <w:p w14:paraId="3E87B753"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18"/>
              </w:rPr>
            </w:pPr>
            <w:r w:rsidRPr="00FF756A">
              <w:rPr>
                <w:rFonts w:cs="Times New Roman"/>
                <w:color w:val="FFFFFF"/>
                <w:sz w:val="18"/>
              </w:rPr>
              <w:t>2023</w:t>
            </w:r>
          </w:p>
        </w:tc>
        <w:tc>
          <w:tcPr>
            <w:tcW w:w="1128" w:type="dxa"/>
            <w:noWrap/>
            <w:hideMark/>
          </w:tcPr>
          <w:p w14:paraId="7790BB8C"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18"/>
              </w:rPr>
            </w:pPr>
            <w:r w:rsidRPr="00FF756A">
              <w:rPr>
                <w:rFonts w:cs="Times New Roman"/>
                <w:color w:val="FFFFFF"/>
                <w:sz w:val="18"/>
              </w:rPr>
              <w:t>2025</w:t>
            </w:r>
          </w:p>
        </w:tc>
        <w:tc>
          <w:tcPr>
            <w:tcW w:w="1128" w:type="dxa"/>
            <w:noWrap/>
            <w:hideMark/>
          </w:tcPr>
          <w:p w14:paraId="0677E63F"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18"/>
              </w:rPr>
            </w:pPr>
            <w:r w:rsidRPr="00FF756A">
              <w:rPr>
                <w:rFonts w:cs="Times New Roman"/>
                <w:color w:val="FFFFFF"/>
                <w:sz w:val="18"/>
              </w:rPr>
              <w:t>2030</w:t>
            </w:r>
          </w:p>
        </w:tc>
        <w:tc>
          <w:tcPr>
            <w:tcW w:w="1112" w:type="dxa"/>
            <w:noWrap/>
            <w:hideMark/>
          </w:tcPr>
          <w:p w14:paraId="40C8A015"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18"/>
              </w:rPr>
            </w:pPr>
            <w:r w:rsidRPr="00FF756A">
              <w:rPr>
                <w:rFonts w:cs="Times New Roman"/>
                <w:color w:val="FFFFFF"/>
                <w:sz w:val="18"/>
              </w:rPr>
              <w:t>2040</w:t>
            </w:r>
          </w:p>
        </w:tc>
        <w:tc>
          <w:tcPr>
            <w:tcW w:w="1112" w:type="dxa"/>
          </w:tcPr>
          <w:p w14:paraId="6BB20B03"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18"/>
              </w:rPr>
            </w:pPr>
            <w:r w:rsidRPr="00FF756A">
              <w:rPr>
                <w:rFonts w:cs="Times New Roman"/>
                <w:color w:val="FFFFFF"/>
                <w:sz w:val="18"/>
              </w:rPr>
              <w:t>2050</w:t>
            </w:r>
          </w:p>
        </w:tc>
      </w:tr>
      <w:tr w:rsidR="00B86FB3" w:rsidRPr="00FF756A" w14:paraId="0468225F" w14:textId="77777777" w:rsidTr="006A3266">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988" w:type="dxa"/>
            <w:noWrap/>
            <w:hideMark/>
          </w:tcPr>
          <w:p w14:paraId="1F5BEE05" w14:textId="77777777" w:rsidR="00B86FB3" w:rsidRPr="00FF756A" w:rsidRDefault="00B86FB3" w:rsidP="00B86FB3">
            <w:pPr>
              <w:rPr>
                <w:rFonts w:eastAsia="Times New Roman" w:cs="Times New Roman"/>
                <w:color w:val="FFFFFF"/>
                <w:sz w:val="18"/>
              </w:rPr>
            </w:pPr>
            <w:r w:rsidRPr="00FF756A">
              <w:rPr>
                <w:rFonts w:cs="Times New Roman"/>
                <w:color w:val="FFFFFF"/>
                <w:sz w:val="18"/>
              </w:rPr>
              <w:t>BRE-E</w:t>
            </w:r>
          </w:p>
        </w:tc>
        <w:tc>
          <w:tcPr>
            <w:tcW w:w="1029" w:type="dxa"/>
            <w:noWrap/>
            <w:hideMark/>
          </w:tcPr>
          <w:p w14:paraId="24C6F17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20"/>
              </w:rPr>
            </w:pPr>
            <w:r w:rsidRPr="00FF756A">
              <w:rPr>
                <w:rFonts w:cs="Times New Roman"/>
                <w:sz w:val="18"/>
                <w:szCs w:val="20"/>
              </w:rPr>
              <w:t xml:space="preserve"> 103,5 </w:t>
            </w:r>
          </w:p>
        </w:tc>
        <w:tc>
          <w:tcPr>
            <w:tcW w:w="1112" w:type="dxa"/>
            <w:noWrap/>
            <w:hideMark/>
          </w:tcPr>
          <w:p w14:paraId="7F2A05D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20"/>
              </w:rPr>
            </w:pPr>
            <w:r w:rsidRPr="00FF756A">
              <w:rPr>
                <w:rFonts w:cs="Times New Roman"/>
                <w:sz w:val="18"/>
                <w:szCs w:val="20"/>
              </w:rPr>
              <w:t xml:space="preserve"> 96,3 </w:t>
            </w:r>
          </w:p>
        </w:tc>
        <w:tc>
          <w:tcPr>
            <w:tcW w:w="1112" w:type="dxa"/>
            <w:noWrap/>
            <w:hideMark/>
          </w:tcPr>
          <w:p w14:paraId="0A2E2DD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20"/>
              </w:rPr>
            </w:pPr>
            <w:r w:rsidRPr="00FF756A">
              <w:rPr>
                <w:rFonts w:cs="Times New Roman"/>
                <w:sz w:val="18"/>
                <w:szCs w:val="20"/>
              </w:rPr>
              <w:t xml:space="preserve"> 97,9 </w:t>
            </w:r>
          </w:p>
        </w:tc>
        <w:tc>
          <w:tcPr>
            <w:tcW w:w="1128" w:type="dxa"/>
            <w:noWrap/>
            <w:hideMark/>
          </w:tcPr>
          <w:p w14:paraId="28A1885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20"/>
              </w:rPr>
            </w:pPr>
            <w:r w:rsidRPr="00FF756A">
              <w:rPr>
                <w:rFonts w:cs="Times New Roman"/>
                <w:sz w:val="18"/>
                <w:szCs w:val="20"/>
              </w:rPr>
              <w:t xml:space="preserve"> 105,0 </w:t>
            </w:r>
          </w:p>
        </w:tc>
        <w:tc>
          <w:tcPr>
            <w:tcW w:w="1128" w:type="dxa"/>
            <w:noWrap/>
            <w:hideMark/>
          </w:tcPr>
          <w:p w14:paraId="57F764E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20"/>
              </w:rPr>
            </w:pPr>
            <w:r w:rsidRPr="00FF756A">
              <w:rPr>
                <w:rFonts w:cs="Times New Roman"/>
                <w:sz w:val="18"/>
                <w:szCs w:val="20"/>
              </w:rPr>
              <w:t xml:space="preserve"> 100,9 </w:t>
            </w:r>
          </w:p>
        </w:tc>
        <w:tc>
          <w:tcPr>
            <w:tcW w:w="1128" w:type="dxa"/>
            <w:noWrap/>
            <w:hideMark/>
          </w:tcPr>
          <w:p w14:paraId="48E6540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20"/>
              </w:rPr>
            </w:pPr>
            <w:r w:rsidRPr="00FF756A">
              <w:rPr>
                <w:rFonts w:cs="Times New Roman"/>
                <w:sz w:val="18"/>
                <w:szCs w:val="20"/>
              </w:rPr>
              <w:t xml:space="preserve"> 98,3 </w:t>
            </w:r>
          </w:p>
        </w:tc>
        <w:tc>
          <w:tcPr>
            <w:tcW w:w="1112" w:type="dxa"/>
            <w:noWrap/>
            <w:hideMark/>
          </w:tcPr>
          <w:p w14:paraId="473231D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20"/>
              </w:rPr>
            </w:pPr>
            <w:r w:rsidRPr="00FF756A">
              <w:rPr>
                <w:rFonts w:cs="Times New Roman"/>
                <w:sz w:val="18"/>
                <w:szCs w:val="20"/>
              </w:rPr>
              <w:t xml:space="preserve"> 76,1 </w:t>
            </w:r>
          </w:p>
        </w:tc>
        <w:tc>
          <w:tcPr>
            <w:tcW w:w="1112" w:type="dxa"/>
          </w:tcPr>
          <w:p w14:paraId="6BADC4E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20"/>
              </w:rPr>
            </w:pPr>
            <w:r w:rsidRPr="00FF756A">
              <w:rPr>
                <w:rFonts w:cs="Times New Roman"/>
                <w:sz w:val="18"/>
                <w:szCs w:val="20"/>
              </w:rPr>
              <w:t xml:space="preserve"> 58,0 </w:t>
            </w:r>
          </w:p>
        </w:tc>
      </w:tr>
      <w:tr w:rsidR="00B86FB3" w:rsidRPr="00FF756A" w14:paraId="713DB472" w14:textId="77777777" w:rsidTr="006A3266">
        <w:trPr>
          <w:trHeight w:val="334"/>
        </w:trPr>
        <w:tc>
          <w:tcPr>
            <w:cnfStyle w:val="001000000000" w:firstRow="0" w:lastRow="0" w:firstColumn="1" w:lastColumn="0" w:oddVBand="0" w:evenVBand="0" w:oddHBand="0" w:evenHBand="0" w:firstRowFirstColumn="0" w:firstRowLastColumn="0" w:lastRowFirstColumn="0" w:lastRowLastColumn="0"/>
            <w:tcW w:w="988" w:type="dxa"/>
            <w:noWrap/>
            <w:hideMark/>
          </w:tcPr>
          <w:p w14:paraId="29FB5694" w14:textId="77777777" w:rsidR="00B86FB3" w:rsidRPr="00FF756A" w:rsidRDefault="00B86FB3" w:rsidP="00B86FB3">
            <w:pPr>
              <w:rPr>
                <w:rFonts w:eastAsia="Times New Roman" w:cs="Times New Roman"/>
                <w:color w:val="FFFFFF"/>
                <w:sz w:val="18"/>
              </w:rPr>
            </w:pPr>
            <w:r w:rsidRPr="00FF756A">
              <w:rPr>
                <w:rFonts w:cs="Times New Roman"/>
                <w:color w:val="FFFFFF"/>
                <w:sz w:val="18"/>
              </w:rPr>
              <w:t>BRE-T</w:t>
            </w:r>
          </w:p>
        </w:tc>
        <w:tc>
          <w:tcPr>
            <w:tcW w:w="1029" w:type="dxa"/>
            <w:noWrap/>
            <w:hideMark/>
          </w:tcPr>
          <w:p w14:paraId="2A352AD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20"/>
              </w:rPr>
            </w:pPr>
            <w:r w:rsidRPr="00FF756A">
              <w:rPr>
                <w:rFonts w:cs="Times New Roman"/>
                <w:sz w:val="18"/>
                <w:szCs w:val="20"/>
              </w:rPr>
              <w:t xml:space="preserve"> 0,3 </w:t>
            </w:r>
          </w:p>
        </w:tc>
        <w:tc>
          <w:tcPr>
            <w:tcW w:w="1112" w:type="dxa"/>
            <w:noWrap/>
            <w:hideMark/>
          </w:tcPr>
          <w:p w14:paraId="54B9EB2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20"/>
              </w:rPr>
            </w:pPr>
            <w:r w:rsidRPr="00FF756A">
              <w:rPr>
                <w:rFonts w:cs="Times New Roman"/>
                <w:sz w:val="18"/>
                <w:szCs w:val="20"/>
              </w:rPr>
              <w:t xml:space="preserve"> 0,5 </w:t>
            </w:r>
          </w:p>
        </w:tc>
        <w:tc>
          <w:tcPr>
            <w:tcW w:w="1112" w:type="dxa"/>
            <w:noWrap/>
            <w:hideMark/>
          </w:tcPr>
          <w:p w14:paraId="7B7EF79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20"/>
              </w:rPr>
            </w:pPr>
            <w:r w:rsidRPr="00FF756A">
              <w:rPr>
                <w:rFonts w:cs="Times New Roman"/>
                <w:sz w:val="18"/>
                <w:szCs w:val="20"/>
              </w:rPr>
              <w:t xml:space="preserve"> 0,8 </w:t>
            </w:r>
          </w:p>
        </w:tc>
        <w:tc>
          <w:tcPr>
            <w:tcW w:w="1128" w:type="dxa"/>
            <w:noWrap/>
            <w:hideMark/>
          </w:tcPr>
          <w:p w14:paraId="50EDD73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20"/>
              </w:rPr>
            </w:pPr>
            <w:r w:rsidRPr="00FF756A">
              <w:rPr>
                <w:rFonts w:cs="Times New Roman"/>
                <w:sz w:val="18"/>
                <w:szCs w:val="20"/>
              </w:rPr>
              <w:t xml:space="preserve"> 3,1 </w:t>
            </w:r>
          </w:p>
        </w:tc>
        <w:tc>
          <w:tcPr>
            <w:tcW w:w="1128" w:type="dxa"/>
            <w:noWrap/>
            <w:hideMark/>
          </w:tcPr>
          <w:p w14:paraId="4F67289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20"/>
              </w:rPr>
            </w:pPr>
            <w:r w:rsidRPr="00FF756A">
              <w:rPr>
                <w:rFonts w:cs="Times New Roman"/>
                <w:sz w:val="18"/>
                <w:szCs w:val="20"/>
              </w:rPr>
              <w:t xml:space="preserve"> 7,4 </w:t>
            </w:r>
          </w:p>
        </w:tc>
        <w:tc>
          <w:tcPr>
            <w:tcW w:w="1128" w:type="dxa"/>
            <w:noWrap/>
            <w:hideMark/>
          </w:tcPr>
          <w:p w14:paraId="438CCBC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20"/>
              </w:rPr>
            </w:pPr>
            <w:r w:rsidRPr="00FF756A">
              <w:rPr>
                <w:rFonts w:cs="Times New Roman"/>
                <w:sz w:val="18"/>
                <w:szCs w:val="20"/>
              </w:rPr>
              <w:t xml:space="preserve"> 17,8 </w:t>
            </w:r>
          </w:p>
        </w:tc>
        <w:tc>
          <w:tcPr>
            <w:tcW w:w="1112" w:type="dxa"/>
            <w:noWrap/>
            <w:hideMark/>
          </w:tcPr>
          <w:p w14:paraId="0B72372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20"/>
              </w:rPr>
            </w:pPr>
            <w:r w:rsidRPr="00FF756A">
              <w:rPr>
                <w:rFonts w:cs="Times New Roman"/>
                <w:sz w:val="18"/>
                <w:szCs w:val="20"/>
              </w:rPr>
              <w:t xml:space="preserve"> 34,6 </w:t>
            </w:r>
          </w:p>
        </w:tc>
        <w:tc>
          <w:tcPr>
            <w:tcW w:w="1112" w:type="dxa"/>
          </w:tcPr>
          <w:p w14:paraId="37B9E2C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20"/>
              </w:rPr>
            </w:pPr>
            <w:r w:rsidRPr="00FF756A">
              <w:rPr>
                <w:rFonts w:cs="Times New Roman"/>
                <w:sz w:val="18"/>
                <w:szCs w:val="20"/>
              </w:rPr>
              <w:t xml:space="preserve"> 44,8 </w:t>
            </w:r>
          </w:p>
        </w:tc>
      </w:tr>
      <w:tr w:rsidR="00B86FB3" w:rsidRPr="00FF756A" w14:paraId="719F92ED" w14:textId="77777777" w:rsidTr="006A3266">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988" w:type="dxa"/>
            <w:noWrap/>
            <w:hideMark/>
          </w:tcPr>
          <w:p w14:paraId="6740768B" w14:textId="77777777" w:rsidR="00B86FB3" w:rsidRPr="00FF756A" w:rsidRDefault="00B86FB3" w:rsidP="00B86FB3">
            <w:pPr>
              <w:rPr>
                <w:rFonts w:eastAsia="Times New Roman" w:cs="Times New Roman"/>
                <w:color w:val="FFFFFF"/>
                <w:sz w:val="18"/>
              </w:rPr>
            </w:pPr>
            <w:r w:rsidRPr="00FF756A">
              <w:rPr>
                <w:rFonts w:cs="Times New Roman"/>
                <w:color w:val="FFFFFF"/>
                <w:sz w:val="18"/>
              </w:rPr>
              <w:t>BRE-N &amp; F</w:t>
            </w:r>
          </w:p>
        </w:tc>
        <w:tc>
          <w:tcPr>
            <w:tcW w:w="1029" w:type="dxa"/>
            <w:noWrap/>
            <w:vAlign w:val="bottom"/>
            <w:hideMark/>
          </w:tcPr>
          <w:p w14:paraId="2F10998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20"/>
              </w:rPr>
            </w:pPr>
            <w:r w:rsidRPr="00FF756A">
              <w:rPr>
                <w:rFonts w:cs="Times New Roman"/>
                <w:color w:val="000000"/>
                <w:sz w:val="18"/>
                <w:szCs w:val="20"/>
              </w:rPr>
              <w:t xml:space="preserve">         22,0 </w:t>
            </w:r>
          </w:p>
        </w:tc>
        <w:tc>
          <w:tcPr>
            <w:tcW w:w="1112" w:type="dxa"/>
            <w:noWrap/>
            <w:vAlign w:val="bottom"/>
            <w:hideMark/>
          </w:tcPr>
          <w:p w14:paraId="2ADE7A2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20"/>
              </w:rPr>
            </w:pPr>
            <w:r w:rsidRPr="00FF756A">
              <w:rPr>
                <w:rFonts w:cs="Times New Roman"/>
                <w:color w:val="000000"/>
                <w:sz w:val="18"/>
                <w:szCs w:val="20"/>
              </w:rPr>
              <w:t xml:space="preserve">         19,8 </w:t>
            </w:r>
          </w:p>
        </w:tc>
        <w:tc>
          <w:tcPr>
            <w:tcW w:w="1112" w:type="dxa"/>
            <w:noWrap/>
            <w:vAlign w:val="bottom"/>
            <w:hideMark/>
          </w:tcPr>
          <w:p w14:paraId="3401072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20"/>
              </w:rPr>
            </w:pPr>
            <w:r w:rsidRPr="00FF756A">
              <w:rPr>
                <w:rFonts w:cs="Times New Roman"/>
                <w:color w:val="000000"/>
                <w:sz w:val="18"/>
                <w:szCs w:val="20"/>
              </w:rPr>
              <w:t xml:space="preserve">         19,7 </w:t>
            </w:r>
          </w:p>
        </w:tc>
        <w:tc>
          <w:tcPr>
            <w:tcW w:w="1128" w:type="dxa"/>
            <w:noWrap/>
            <w:vAlign w:val="bottom"/>
            <w:hideMark/>
          </w:tcPr>
          <w:p w14:paraId="267C4CF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20"/>
              </w:rPr>
            </w:pPr>
            <w:r w:rsidRPr="00FF756A">
              <w:rPr>
                <w:rFonts w:cs="Times New Roman"/>
                <w:color w:val="000000"/>
                <w:sz w:val="18"/>
                <w:szCs w:val="20"/>
              </w:rPr>
              <w:t xml:space="preserve">         19,4 </w:t>
            </w:r>
          </w:p>
        </w:tc>
        <w:tc>
          <w:tcPr>
            <w:tcW w:w="1128" w:type="dxa"/>
            <w:noWrap/>
            <w:vAlign w:val="bottom"/>
            <w:hideMark/>
          </w:tcPr>
          <w:p w14:paraId="09A18BD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20"/>
              </w:rPr>
            </w:pPr>
            <w:r w:rsidRPr="00FF756A">
              <w:rPr>
                <w:rFonts w:cs="Times New Roman"/>
                <w:color w:val="000000"/>
                <w:sz w:val="18"/>
                <w:szCs w:val="20"/>
              </w:rPr>
              <w:t xml:space="preserve">         19,0 </w:t>
            </w:r>
          </w:p>
        </w:tc>
        <w:tc>
          <w:tcPr>
            <w:tcW w:w="1128" w:type="dxa"/>
            <w:noWrap/>
            <w:vAlign w:val="bottom"/>
            <w:hideMark/>
          </w:tcPr>
          <w:p w14:paraId="157F082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20"/>
              </w:rPr>
            </w:pPr>
            <w:r w:rsidRPr="00FF756A">
              <w:rPr>
                <w:rFonts w:cs="Times New Roman"/>
                <w:color w:val="000000"/>
                <w:sz w:val="18"/>
                <w:szCs w:val="20"/>
              </w:rPr>
              <w:t xml:space="preserve">         18,1 </w:t>
            </w:r>
          </w:p>
        </w:tc>
        <w:tc>
          <w:tcPr>
            <w:tcW w:w="1112" w:type="dxa"/>
            <w:noWrap/>
            <w:vAlign w:val="bottom"/>
            <w:hideMark/>
          </w:tcPr>
          <w:p w14:paraId="4568B7D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20"/>
              </w:rPr>
            </w:pPr>
            <w:r w:rsidRPr="00FF756A">
              <w:rPr>
                <w:rFonts w:cs="Times New Roman"/>
                <w:color w:val="000000"/>
                <w:sz w:val="18"/>
                <w:szCs w:val="20"/>
              </w:rPr>
              <w:t xml:space="preserve">         16,2 </w:t>
            </w:r>
          </w:p>
        </w:tc>
        <w:tc>
          <w:tcPr>
            <w:tcW w:w="1112" w:type="dxa"/>
            <w:vAlign w:val="bottom"/>
          </w:tcPr>
          <w:p w14:paraId="5D611CE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20"/>
              </w:rPr>
            </w:pPr>
            <w:r w:rsidRPr="00FF756A">
              <w:rPr>
                <w:rFonts w:cs="Times New Roman"/>
                <w:color w:val="000000"/>
                <w:sz w:val="18"/>
                <w:szCs w:val="20"/>
              </w:rPr>
              <w:t xml:space="preserve">         15,7 </w:t>
            </w:r>
          </w:p>
        </w:tc>
      </w:tr>
      <w:tr w:rsidR="00B86FB3" w:rsidRPr="00FF756A" w14:paraId="6E4D329B" w14:textId="77777777" w:rsidTr="006A3266">
        <w:trPr>
          <w:trHeight w:val="334"/>
        </w:trPr>
        <w:tc>
          <w:tcPr>
            <w:cnfStyle w:val="001000000000" w:firstRow="0" w:lastRow="0" w:firstColumn="1" w:lastColumn="0" w:oddVBand="0" w:evenVBand="0" w:oddHBand="0" w:evenHBand="0" w:firstRowFirstColumn="0" w:firstRowLastColumn="0" w:lastRowFirstColumn="0" w:lastRowLastColumn="0"/>
            <w:tcW w:w="988" w:type="dxa"/>
            <w:noWrap/>
            <w:hideMark/>
          </w:tcPr>
          <w:p w14:paraId="11D47E58" w14:textId="77777777" w:rsidR="00B86FB3" w:rsidRPr="00FF756A" w:rsidRDefault="00B86FB3" w:rsidP="00B86FB3">
            <w:pPr>
              <w:rPr>
                <w:rFonts w:eastAsia="Times New Roman" w:cs="Times New Roman"/>
                <w:color w:val="FFFFFF"/>
                <w:sz w:val="18"/>
              </w:rPr>
            </w:pPr>
            <w:r w:rsidRPr="00FF756A">
              <w:rPr>
                <w:rFonts w:cs="Times New Roman"/>
                <w:color w:val="FFFFFF"/>
                <w:sz w:val="18"/>
              </w:rPr>
              <w:t>BRE</w:t>
            </w:r>
          </w:p>
        </w:tc>
        <w:tc>
          <w:tcPr>
            <w:tcW w:w="1029" w:type="dxa"/>
            <w:noWrap/>
            <w:vAlign w:val="bottom"/>
            <w:hideMark/>
          </w:tcPr>
          <w:p w14:paraId="1FFFAD5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20"/>
              </w:rPr>
            </w:pPr>
            <w:r w:rsidRPr="00FF756A">
              <w:rPr>
                <w:rFonts w:cs="Times New Roman"/>
                <w:color w:val="000000"/>
                <w:sz w:val="18"/>
                <w:szCs w:val="20"/>
              </w:rPr>
              <w:t xml:space="preserve">         44,1 </w:t>
            </w:r>
          </w:p>
        </w:tc>
        <w:tc>
          <w:tcPr>
            <w:tcW w:w="1112" w:type="dxa"/>
            <w:noWrap/>
            <w:vAlign w:val="bottom"/>
            <w:hideMark/>
          </w:tcPr>
          <w:p w14:paraId="2EA9C55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20"/>
              </w:rPr>
            </w:pPr>
            <w:r w:rsidRPr="00FF756A">
              <w:rPr>
                <w:rFonts w:cs="Times New Roman"/>
                <w:color w:val="000000"/>
                <w:sz w:val="18"/>
                <w:szCs w:val="20"/>
              </w:rPr>
              <w:t xml:space="preserve">         39,9 </w:t>
            </w:r>
          </w:p>
        </w:tc>
        <w:tc>
          <w:tcPr>
            <w:tcW w:w="1112" w:type="dxa"/>
            <w:noWrap/>
            <w:vAlign w:val="bottom"/>
            <w:hideMark/>
          </w:tcPr>
          <w:p w14:paraId="420543B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20"/>
              </w:rPr>
            </w:pPr>
            <w:r w:rsidRPr="00FF756A">
              <w:rPr>
                <w:rFonts w:cs="Times New Roman"/>
                <w:color w:val="000000"/>
                <w:sz w:val="18"/>
                <w:szCs w:val="20"/>
              </w:rPr>
              <w:t xml:space="preserve">         39,6 </w:t>
            </w:r>
          </w:p>
        </w:tc>
        <w:tc>
          <w:tcPr>
            <w:tcW w:w="1128" w:type="dxa"/>
            <w:noWrap/>
            <w:vAlign w:val="bottom"/>
            <w:hideMark/>
          </w:tcPr>
          <w:p w14:paraId="5F02E55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20"/>
              </w:rPr>
            </w:pPr>
            <w:r w:rsidRPr="00FF756A">
              <w:rPr>
                <w:rFonts w:cs="Times New Roman"/>
                <w:color w:val="000000"/>
                <w:sz w:val="18"/>
                <w:szCs w:val="20"/>
              </w:rPr>
              <w:t xml:space="preserve">         41,9 </w:t>
            </w:r>
          </w:p>
        </w:tc>
        <w:tc>
          <w:tcPr>
            <w:tcW w:w="1128" w:type="dxa"/>
            <w:noWrap/>
            <w:vAlign w:val="bottom"/>
            <w:hideMark/>
          </w:tcPr>
          <w:p w14:paraId="0D2641F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20"/>
              </w:rPr>
            </w:pPr>
            <w:r w:rsidRPr="00FF756A">
              <w:rPr>
                <w:rFonts w:cs="Times New Roman"/>
                <w:color w:val="000000"/>
                <w:sz w:val="18"/>
                <w:szCs w:val="20"/>
              </w:rPr>
              <w:t xml:space="preserve">         39,7 </w:t>
            </w:r>
          </w:p>
        </w:tc>
        <w:tc>
          <w:tcPr>
            <w:tcW w:w="1128" w:type="dxa"/>
            <w:noWrap/>
            <w:vAlign w:val="bottom"/>
            <w:hideMark/>
          </w:tcPr>
          <w:p w14:paraId="0FBD22A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20"/>
              </w:rPr>
            </w:pPr>
            <w:r w:rsidRPr="00FF756A">
              <w:rPr>
                <w:rFonts w:cs="Times New Roman"/>
                <w:color w:val="000000"/>
                <w:sz w:val="18"/>
                <w:szCs w:val="20"/>
              </w:rPr>
              <w:t xml:space="preserve">         37,1 </w:t>
            </w:r>
          </w:p>
        </w:tc>
        <w:tc>
          <w:tcPr>
            <w:tcW w:w="1112" w:type="dxa"/>
            <w:noWrap/>
            <w:vAlign w:val="bottom"/>
            <w:hideMark/>
          </w:tcPr>
          <w:p w14:paraId="65E83C6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20"/>
              </w:rPr>
            </w:pPr>
            <w:r w:rsidRPr="00FF756A">
              <w:rPr>
                <w:rFonts w:cs="Times New Roman"/>
                <w:color w:val="000000"/>
                <w:sz w:val="18"/>
                <w:szCs w:val="20"/>
              </w:rPr>
              <w:t xml:space="preserve">         31,5 </w:t>
            </w:r>
          </w:p>
        </w:tc>
        <w:tc>
          <w:tcPr>
            <w:tcW w:w="1112" w:type="dxa"/>
            <w:vAlign w:val="bottom"/>
          </w:tcPr>
          <w:p w14:paraId="196261C3" w14:textId="77777777" w:rsidR="00B86FB3" w:rsidRPr="00FF756A" w:rsidRDefault="00B86FB3" w:rsidP="003F200D">
            <w:pPr>
              <w:keepNext/>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20"/>
              </w:rPr>
            </w:pPr>
            <w:r w:rsidRPr="00FF756A">
              <w:rPr>
                <w:rFonts w:cs="Times New Roman"/>
                <w:color w:val="000000"/>
                <w:sz w:val="18"/>
                <w:szCs w:val="20"/>
              </w:rPr>
              <w:t xml:space="preserve">         27,6 </w:t>
            </w:r>
          </w:p>
        </w:tc>
      </w:tr>
    </w:tbl>
    <w:p w14:paraId="3A751510" w14:textId="5592185D" w:rsidR="00B86FB3" w:rsidRPr="00FF756A" w:rsidRDefault="003F200D" w:rsidP="003F200D">
      <w:pPr>
        <w:pStyle w:val="Caption"/>
        <w:rPr>
          <w:rFonts w:ascii="Times New Roman" w:hAnsi="Times New Roman"/>
        </w:rPr>
      </w:pPr>
      <w:bookmarkStart w:id="554" w:name="_Toc183016499"/>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35</w:t>
      </w:r>
      <w:r w:rsidR="008E7DE9" w:rsidRPr="00FF756A">
        <w:rPr>
          <w:rFonts w:ascii="Times New Roman" w:hAnsi="Times New Roman"/>
          <w:noProof/>
        </w:rPr>
        <w:fldChar w:fldCharType="end"/>
      </w:r>
      <w:r w:rsidRPr="00FF756A">
        <w:rPr>
          <w:rFonts w:ascii="Times New Roman" w:hAnsi="Times New Roman"/>
        </w:rPr>
        <w:t>: Përqindjet e BRE-ve në kërkesën finale për energji, të përllogaritura sipas RED (Direktiva 2009/28/KE) për periudhën kohore 2016-2022 dhe parashikimet deri në vitin 2050 me masat ekzistuese</w:t>
      </w:r>
      <w:bookmarkEnd w:id="554"/>
    </w:p>
    <w:p w14:paraId="12D4D9CD" w14:textId="77777777" w:rsidR="003F200D" w:rsidRPr="00FF756A" w:rsidRDefault="00B86FB3" w:rsidP="003F200D">
      <w:pPr>
        <w:keepNext/>
        <w:jc w:val="center"/>
      </w:pPr>
      <w:r w:rsidRPr="00FF756A">
        <w:rPr>
          <w:noProof/>
          <w:lang w:val="en-US"/>
        </w:rPr>
        <w:drawing>
          <wp:inline distT="0" distB="0" distL="0" distR="0" wp14:anchorId="3D3B1DE7" wp14:editId="1FF70687">
            <wp:extent cx="5760720" cy="3456305"/>
            <wp:effectExtent l="0" t="0" r="0" b="0"/>
            <wp:docPr id="1409494137" name="Picture 5"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494137" name="Picture 5" descr="A graph of a number of people&#10;&#10;Description automatically generated with medium confidenc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38B5EB11" w14:textId="1ADECCD0" w:rsidR="00B86FB3" w:rsidRPr="00FF756A" w:rsidRDefault="003F200D" w:rsidP="003F200D">
      <w:pPr>
        <w:pStyle w:val="Caption"/>
        <w:jc w:val="center"/>
        <w:rPr>
          <w:rFonts w:ascii="Times New Roman" w:hAnsi="Times New Roman"/>
        </w:rPr>
      </w:pPr>
      <w:bookmarkStart w:id="555" w:name="_Toc183016574"/>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44</w:t>
      </w:r>
      <w:r w:rsidR="008E7DE9" w:rsidRPr="00FF756A">
        <w:rPr>
          <w:rFonts w:ascii="Times New Roman" w:hAnsi="Times New Roman"/>
          <w:noProof/>
        </w:rPr>
        <w:fldChar w:fldCharType="end"/>
      </w:r>
      <w:r w:rsidRPr="00FF756A">
        <w:rPr>
          <w:rFonts w:ascii="Times New Roman" w:hAnsi="Times New Roman"/>
        </w:rPr>
        <w:t>: Përqindja e BRE-E (përqindja e burimeve të rinovueshme në prodhimin e energjisë elektrike) të përllogaritura sipas RED (Direktiva 2009/28/KE) për periudhën kohore 2016-2022 dhe parashikimet deri në vitin 2050 me masat ekzistuese</w:t>
      </w:r>
      <w:bookmarkEnd w:id="555"/>
    </w:p>
    <w:p w14:paraId="6351B9CC" w14:textId="77777777" w:rsidR="00B86FB3" w:rsidRPr="00FF756A" w:rsidRDefault="00B86FB3" w:rsidP="00B86FB3"/>
    <w:tbl>
      <w:tblPr>
        <w:tblStyle w:val="GridTable5DarkAccent10"/>
        <w:tblW w:w="9582" w:type="dxa"/>
        <w:tblLayout w:type="fixed"/>
        <w:tblLook w:val="04A0" w:firstRow="1" w:lastRow="0" w:firstColumn="1" w:lastColumn="0" w:noHBand="0" w:noVBand="1"/>
      </w:tblPr>
      <w:tblGrid>
        <w:gridCol w:w="1413"/>
        <w:gridCol w:w="992"/>
        <w:gridCol w:w="787"/>
        <w:gridCol w:w="1065"/>
        <w:gridCol w:w="1065"/>
        <w:gridCol w:w="1065"/>
        <w:gridCol w:w="1065"/>
        <w:gridCol w:w="1065"/>
        <w:gridCol w:w="1065"/>
      </w:tblGrid>
      <w:tr w:rsidR="00B86FB3" w:rsidRPr="00FF756A" w14:paraId="08DE310D" w14:textId="77777777" w:rsidTr="006A3266">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413" w:type="dxa"/>
            <w:noWrap/>
            <w:hideMark/>
          </w:tcPr>
          <w:p w14:paraId="5151A30C" w14:textId="77777777" w:rsidR="00B86FB3" w:rsidRPr="00FF756A" w:rsidRDefault="00B86FB3" w:rsidP="00B86FB3">
            <w:pPr>
              <w:rPr>
                <w:rFonts w:eastAsia="Times New Roman" w:cs="Times New Roman"/>
                <w:color w:val="FFFFFF"/>
                <w:sz w:val="20"/>
              </w:rPr>
            </w:pPr>
            <w:r w:rsidRPr="00FF756A">
              <w:rPr>
                <w:rFonts w:cs="Times New Roman"/>
                <w:color w:val="FFFFFF"/>
                <w:sz w:val="20"/>
              </w:rPr>
              <w:t>[%]</w:t>
            </w:r>
          </w:p>
        </w:tc>
        <w:tc>
          <w:tcPr>
            <w:tcW w:w="992" w:type="dxa"/>
            <w:noWrap/>
            <w:hideMark/>
          </w:tcPr>
          <w:p w14:paraId="43E8D854"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20"/>
              </w:rPr>
            </w:pPr>
            <w:r w:rsidRPr="00FF756A">
              <w:rPr>
                <w:rFonts w:cs="Times New Roman"/>
                <w:color w:val="FFFFFF"/>
                <w:sz w:val="20"/>
              </w:rPr>
              <w:t>2020</w:t>
            </w:r>
          </w:p>
        </w:tc>
        <w:tc>
          <w:tcPr>
            <w:tcW w:w="787" w:type="dxa"/>
            <w:noWrap/>
            <w:hideMark/>
          </w:tcPr>
          <w:p w14:paraId="56BFE79B"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20"/>
              </w:rPr>
            </w:pPr>
            <w:r w:rsidRPr="00FF756A">
              <w:rPr>
                <w:rFonts w:cs="Times New Roman"/>
                <w:color w:val="FFFFFF"/>
                <w:sz w:val="20"/>
              </w:rPr>
              <w:t>2021</w:t>
            </w:r>
          </w:p>
        </w:tc>
        <w:tc>
          <w:tcPr>
            <w:tcW w:w="1065" w:type="dxa"/>
            <w:noWrap/>
            <w:hideMark/>
          </w:tcPr>
          <w:p w14:paraId="1B24FE07"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20"/>
              </w:rPr>
            </w:pPr>
            <w:r w:rsidRPr="00FF756A">
              <w:rPr>
                <w:rFonts w:cs="Times New Roman"/>
                <w:color w:val="FFFFFF"/>
                <w:sz w:val="20"/>
              </w:rPr>
              <w:t>2022</w:t>
            </w:r>
          </w:p>
        </w:tc>
        <w:tc>
          <w:tcPr>
            <w:tcW w:w="1065" w:type="dxa"/>
            <w:noWrap/>
            <w:hideMark/>
          </w:tcPr>
          <w:p w14:paraId="7532086A"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20"/>
              </w:rPr>
            </w:pPr>
            <w:r w:rsidRPr="00FF756A">
              <w:rPr>
                <w:rFonts w:cs="Times New Roman"/>
                <w:color w:val="FFFFFF"/>
                <w:sz w:val="20"/>
              </w:rPr>
              <w:t>2023</w:t>
            </w:r>
          </w:p>
        </w:tc>
        <w:tc>
          <w:tcPr>
            <w:tcW w:w="1065" w:type="dxa"/>
            <w:noWrap/>
            <w:hideMark/>
          </w:tcPr>
          <w:p w14:paraId="1B79BB5A"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20"/>
              </w:rPr>
            </w:pPr>
            <w:r w:rsidRPr="00FF756A">
              <w:rPr>
                <w:rFonts w:cs="Times New Roman"/>
                <w:color w:val="FFFFFF"/>
                <w:sz w:val="20"/>
              </w:rPr>
              <w:t>2025</w:t>
            </w:r>
          </w:p>
        </w:tc>
        <w:tc>
          <w:tcPr>
            <w:tcW w:w="1065" w:type="dxa"/>
            <w:noWrap/>
            <w:hideMark/>
          </w:tcPr>
          <w:p w14:paraId="28153474"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20"/>
              </w:rPr>
            </w:pPr>
            <w:r w:rsidRPr="00FF756A">
              <w:rPr>
                <w:rFonts w:cs="Times New Roman"/>
                <w:color w:val="FFFFFF"/>
                <w:sz w:val="20"/>
              </w:rPr>
              <w:t>2030</w:t>
            </w:r>
          </w:p>
        </w:tc>
        <w:tc>
          <w:tcPr>
            <w:tcW w:w="1065" w:type="dxa"/>
            <w:noWrap/>
            <w:hideMark/>
          </w:tcPr>
          <w:p w14:paraId="508A07ED"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20"/>
              </w:rPr>
            </w:pPr>
            <w:r w:rsidRPr="00FF756A">
              <w:rPr>
                <w:rFonts w:cs="Times New Roman"/>
                <w:color w:val="FFFFFF"/>
                <w:sz w:val="20"/>
              </w:rPr>
              <w:t>2040</w:t>
            </w:r>
          </w:p>
        </w:tc>
        <w:tc>
          <w:tcPr>
            <w:tcW w:w="1065" w:type="dxa"/>
          </w:tcPr>
          <w:p w14:paraId="5A5EFB5E"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20"/>
              </w:rPr>
            </w:pPr>
            <w:r w:rsidRPr="00FF756A">
              <w:rPr>
                <w:rFonts w:cs="Times New Roman"/>
                <w:color w:val="FFFFFF"/>
                <w:sz w:val="20"/>
              </w:rPr>
              <w:t>2050</w:t>
            </w:r>
          </w:p>
        </w:tc>
      </w:tr>
      <w:tr w:rsidR="00B86FB3" w:rsidRPr="00FF756A" w14:paraId="7FB6F215" w14:textId="77777777" w:rsidTr="006A3266">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413" w:type="dxa"/>
            <w:noWrap/>
            <w:hideMark/>
          </w:tcPr>
          <w:p w14:paraId="4F0C626A" w14:textId="77777777" w:rsidR="00B86FB3" w:rsidRPr="00FF756A" w:rsidRDefault="00B86FB3" w:rsidP="00B86FB3">
            <w:pPr>
              <w:rPr>
                <w:rFonts w:eastAsia="Times New Roman" w:cs="Times New Roman"/>
                <w:color w:val="FFFFFF"/>
                <w:sz w:val="20"/>
              </w:rPr>
            </w:pPr>
            <w:r w:rsidRPr="00FF756A">
              <w:rPr>
                <w:rFonts w:cs="Times New Roman"/>
                <w:color w:val="FFFFFF"/>
                <w:sz w:val="20"/>
              </w:rPr>
              <w:t>Energjia hidrike</w:t>
            </w:r>
          </w:p>
        </w:tc>
        <w:tc>
          <w:tcPr>
            <w:tcW w:w="992" w:type="dxa"/>
            <w:noWrap/>
            <w:hideMark/>
          </w:tcPr>
          <w:p w14:paraId="29285A2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103,1 </w:t>
            </w:r>
          </w:p>
        </w:tc>
        <w:tc>
          <w:tcPr>
            <w:tcW w:w="787" w:type="dxa"/>
            <w:noWrap/>
            <w:hideMark/>
          </w:tcPr>
          <w:p w14:paraId="0C17FF6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95,9 </w:t>
            </w:r>
          </w:p>
        </w:tc>
        <w:tc>
          <w:tcPr>
            <w:tcW w:w="1065" w:type="dxa"/>
            <w:noWrap/>
            <w:hideMark/>
          </w:tcPr>
          <w:p w14:paraId="0FAE262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97,5 </w:t>
            </w:r>
          </w:p>
        </w:tc>
        <w:tc>
          <w:tcPr>
            <w:tcW w:w="1065" w:type="dxa"/>
            <w:noWrap/>
            <w:hideMark/>
          </w:tcPr>
          <w:p w14:paraId="26FB6DA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101,7 </w:t>
            </w:r>
          </w:p>
        </w:tc>
        <w:tc>
          <w:tcPr>
            <w:tcW w:w="1065" w:type="dxa"/>
            <w:noWrap/>
            <w:hideMark/>
          </w:tcPr>
          <w:p w14:paraId="16AB842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95,4 </w:t>
            </w:r>
          </w:p>
        </w:tc>
        <w:tc>
          <w:tcPr>
            <w:tcW w:w="1065" w:type="dxa"/>
            <w:noWrap/>
            <w:hideMark/>
          </w:tcPr>
          <w:p w14:paraId="4CFA95A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87,5 </w:t>
            </w:r>
          </w:p>
        </w:tc>
        <w:tc>
          <w:tcPr>
            <w:tcW w:w="1065" w:type="dxa"/>
            <w:noWrap/>
            <w:hideMark/>
          </w:tcPr>
          <w:p w14:paraId="444B0ED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67,8 </w:t>
            </w:r>
          </w:p>
        </w:tc>
        <w:tc>
          <w:tcPr>
            <w:tcW w:w="1065" w:type="dxa"/>
          </w:tcPr>
          <w:p w14:paraId="0E842CC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52,0 </w:t>
            </w:r>
          </w:p>
        </w:tc>
      </w:tr>
      <w:tr w:rsidR="00B86FB3" w:rsidRPr="00FF756A" w14:paraId="4611D88C" w14:textId="77777777" w:rsidTr="006A3266">
        <w:trPr>
          <w:trHeight w:val="278"/>
        </w:trPr>
        <w:tc>
          <w:tcPr>
            <w:cnfStyle w:val="001000000000" w:firstRow="0" w:lastRow="0" w:firstColumn="1" w:lastColumn="0" w:oddVBand="0" w:evenVBand="0" w:oddHBand="0" w:evenHBand="0" w:firstRowFirstColumn="0" w:firstRowLastColumn="0" w:lastRowFirstColumn="0" w:lastRowLastColumn="0"/>
            <w:tcW w:w="1413" w:type="dxa"/>
            <w:noWrap/>
            <w:hideMark/>
          </w:tcPr>
          <w:p w14:paraId="28721261" w14:textId="77777777" w:rsidR="00B86FB3" w:rsidRPr="00FF756A" w:rsidRDefault="00B86FB3" w:rsidP="00B86FB3">
            <w:pPr>
              <w:rPr>
                <w:rFonts w:eastAsia="Times New Roman" w:cs="Times New Roman"/>
                <w:color w:val="FFFFFF"/>
                <w:sz w:val="20"/>
              </w:rPr>
            </w:pPr>
            <w:r w:rsidRPr="00FF756A">
              <w:rPr>
                <w:rFonts w:cs="Times New Roman"/>
                <w:color w:val="FFFFFF"/>
                <w:sz w:val="20"/>
              </w:rPr>
              <w:t>Energjia eolike</w:t>
            </w:r>
          </w:p>
        </w:tc>
        <w:tc>
          <w:tcPr>
            <w:tcW w:w="992" w:type="dxa"/>
            <w:noWrap/>
            <w:hideMark/>
          </w:tcPr>
          <w:p w14:paraId="3B37EBB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c>
          <w:tcPr>
            <w:tcW w:w="787" w:type="dxa"/>
            <w:noWrap/>
            <w:hideMark/>
          </w:tcPr>
          <w:p w14:paraId="6B5B2C4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c>
          <w:tcPr>
            <w:tcW w:w="1065" w:type="dxa"/>
            <w:noWrap/>
            <w:hideMark/>
          </w:tcPr>
          <w:p w14:paraId="23BE038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c>
          <w:tcPr>
            <w:tcW w:w="1065" w:type="dxa"/>
            <w:noWrap/>
            <w:hideMark/>
          </w:tcPr>
          <w:p w14:paraId="4B9AD96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c>
          <w:tcPr>
            <w:tcW w:w="1065" w:type="dxa"/>
            <w:noWrap/>
            <w:hideMark/>
          </w:tcPr>
          <w:p w14:paraId="0E93A34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c>
          <w:tcPr>
            <w:tcW w:w="1065" w:type="dxa"/>
            <w:noWrap/>
            <w:hideMark/>
          </w:tcPr>
          <w:p w14:paraId="50EAD61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5,5 </w:t>
            </w:r>
          </w:p>
        </w:tc>
        <w:tc>
          <w:tcPr>
            <w:tcW w:w="1065" w:type="dxa"/>
            <w:noWrap/>
            <w:hideMark/>
          </w:tcPr>
          <w:p w14:paraId="5C243C9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4,3 </w:t>
            </w:r>
          </w:p>
        </w:tc>
        <w:tc>
          <w:tcPr>
            <w:tcW w:w="1065" w:type="dxa"/>
          </w:tcPr>
          <w:p w14:paraId="75367AC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3,1 </w:t>
            </w:r>
          </w:p>
        </w:tc>
      </w:tr>
      <w:tr w:rsidR="00B86FB3" w:rsidRPr="00FF756A" w14:paraId="00B24C88" w14:textId="77777777" w:rsidTr="006A3266">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413" w:type="dxa"/>
            <w:noWrap/>
            <w:hideMark/>
          </w:tcPr>
          <w:p w14:paraId="35AD5730" w14:textId="77777777" w:rsidR="00B86FB3" w:rsidRPr="00FF756A" w:rsidRDefault="00B86FB3" w:rsidP="00B86FB3">
            <w:pPr>
              <w:rPr>
                <w:rFonts w:eastAsia="Times New Roman" w:cs="Times New Roman"/>
                <w:color w:val="FFFFFF"/>
                <w:sz w:val="20"/>
              </w:rPr>
            </w:pPr>
            <w:r w:rsidRPr="00FF756A">
              <w:rPr>
                <w:rFonts w:cs="Times New Roman"/>
                <w:color w:val="FFFFFF"/>
                <w:sz w:val="20"/>
              </w:rPr>
              <w:t>Energjia diellore</w:t>
            </w:r>
          </w:p>
        </w:tc>
        <w:tc>
          <w:tcPr>
            <w:tcW w:w="992" w:type="dxa"/>
            <w:noWrap/>
            <w:hideMark/>
          </w:tcPr>
          <w:p w14:paraId="55F6AE9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0,3</w:t>
            </w:r>
          </w:p>
        </w:tc>
        <w:tc>
          <w:tcPr>
            <w:tcW w:w="787" w:type="dxa"/>
            <w:noWrap/>
            <w:hideMark/>
          </w:tcPr>
          <w:p w14:paraId="7394D51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0,3</w:t>
            </w:r>
          </w:p>
        </w:tc>
        <w:tc>
          <w:tcPr>
            <w:tcW w:w="1065" w:type="dxa"/>
            <w:noWrap/>
            <w:hideMark/>
          </w:tcPr>
          <w:p w14:paraId="2FC06F7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0,3</w:t>
            </w:r>
          </w:p>
        </w:tc>
        <w:tc>
          <w:tcPr>
            <w:tcW w:w="1065" w:type="dxa"/>
            <w:noWrap/>
            <w:hideMark/>
          </w:tcPr>
          <w:p w14:paraId="0481B97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3,3</w:t>
            </w:r>
          </w:p>
        </w:tc>
        <w:tc>
          <w:tcPr>
            <w:tcW w:w="1065" w:type="dxa"/>
            <w:noWrap/>
            <w:hideMark/>
          </w:tcPr>
          <w:p w14:paraId="7FB6019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5,5 </w:t>
            </w:r>
          </w:p>
        </w:tc>
        <w:tc>
          <w:tcPr>
            <w:tcW w:w="1065" w:type="dxa"/>
            <w:noWrap/>
            <w:hideMark/>
          </w:tcPr>
          <w:p w14:paraId="04690B5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5,3 </w:t>
            </w:r>
          </w:p>
        </w:tc>
        <w:tc>
          <w:tcPr>
            <w:tcW w:w="1065" w:type="dxa"/>
            <w:noWrap/>
            <w:hideMark/>
          </w:tcPr>
          <w:p w14:paraId="4CE5466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4,0 </w:t>
            </w:r>
          </w:p>
        </w:tc>
        <w:tc>
          <w:tcPr>
            <w:tcW w:w="1065" w:type="dxa"/>
          </w:tcPr>
          <w:p w14:paraId="12CA949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2,9 </w:t>
            </w:r>
          </w:p>
        </w:tc>
      </w:tr>
      <w:tr w:rsidR="00B86FB3" w:rsidRPr="00FF756A" w14:paraId="2AF9CB7B" w14:textId="77777777" w:rsidTr="006A3266">
        <w:trPr>
          <w:trHeight w:val="278"/>
        </w:trPr>
        <w:tc>
          <w:tcPr>
            <w:cnfStyle w:val="001000000000" w:firstRow="0" w:lastRow="0" w:firstColumn="1" w:lastColumn="0" w:oddVBand="0" w:evenVBand="0" w:oddHBand="0" w:evenHBand="0" w:firstRowFirstColumn="0" w:firstRowLastColumn="0" w:lastRowFirstColumn="0" w:lastRowLastColumn="0"/>
            <w:tcW w:w="1413" w:type="dxa"/>
            <w:noWrap/>
            <w:hideMark/>
          </w:tcPr>
          <w:p w14:paraId="532EA651" w14:textId="77777777" w:rsidR="00B86FB3" w:rsidRPr="00FF756A" w:rsidRDefault="00B86FB3" w:rsidP="00B86FB3">
            <w:pPr>
              <w:rPr>
                <w:rFonts w:eastAsia="Times New Roman" w:cs="Times New Roman"/>
                <w:color w:val="FFFFFF"/>
                <w:sz w:val="20"/>
              </w:rPr>
            </w:pPr>
            <w:r w:rsidRPr="00FF756A">
              <w:rPr>
                <w:rFonts w:cs="Times New Roman"/>
                <w:color w:val="FFFFFF"/>
                <w:sz w:val="20"/>
              </w:rPr>
              <w:t>Biokarburantet e ngurta</w:t>
            </w:r>
          </w:p>
        </w:tc>
        <w:tc>
          <w:tcPr>
            <w:tcW w:w="992" w:type="dxa"/>
            <w:noWrap/>
            <w:hideMark/>
          </w:tcPr>
          <w:p w14:paraId="3FAF520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c>
          <w:tcPr>
            <w:tcW w:w="787" w:type="dxa"/>
            <w:noWrap/>
            <w:hideMark/>
          </w:tcPr>
          <w:p w14:paraId="43EA013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c>
          <w:tcPr>
            <w:tcW w:w="1065" w:type="dxa"/>
            <w:noWrap/>
            <w:hideMark/>
          </w:tcPr>
          <w:p w14:paraId="033CDFA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c>
          <w:tcPr>
            <w:tcW w:w="1065" w:type="dxa"/>
            <w:noWrap/>
            <w:hideMark/>
          </w:tcPr>
          <w:p w14:paraId="515C4F7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c>
          <w:tcPr>
            <w:tcW w:w="1065" w:type="dxa"/>
            <w:noWrap/>
            <w:hideMark/>
          </w:tcPr>
          <w:p w14:paraId="5D60C37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c>
          <w:tcPr>
            <w:tcW w:w="1065" w:type="dxa"/>
            <w:noWrap/>
            <w:hideMark/>
          </w:tcPr>
          <w:p w14:paraId="6436E6F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c>
          <w:tcPr>
            <w:tcW w:w="1065" w:type="dxa"/>
            <w:noWrap/>
            <w:hideMark/>
          </w:tcPr>
          <w:p w14:paraId="2948A4C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c>
          <w:tcPr>
            <w:tcW w:w="1065" w:type="dxa"/>
          </w:tcPr>
          <w:p w14:paraId="62E5F52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r>
      <w:tr w:rsidR="00B86FB3" w:rsidRPr="00FF756A" w14:paraId="02C947AF" w14:textId="77777777" w:rsidTr="006A3266">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413" w:type="dxa"/>
            <w:noWrap/>
            <w:hideMark/>
          </w:tcPr>
          <w:p w14:paraId="4BFFF504" w14:textId="77777777" w:rsidR="00B86FB3" w:rsidRPr="00FF756A" w:rsidRDefault="00B86FB3" w:rsidP="00B86FB3">
            <w:pPr>
              <w:jc w:val="left"/>
              <w:rPr>
                <w:rFonts w:eastAsia="Times New Roman" w:cs="Times New Roman"/>
                <w:color w:val="FFFFFF"/>
                <w:sz w:val="20"/>
              </w:rPr>
            </w:pPr>
            <w:r w:rsidRPr="00FF756A">
              <w:rPr>
                <w:rFonts w:cs="Times New Roman"/>
                <w:color w:val="FFFFFF"/>
                <w:sz w:val="20"/>
              </w:rPr>
              <w:t>Të gjitha burimet e tjera të rinovueshme</w:t>
            </w:r>
          </w:p>
        </w:tc>
        <w:tc>
          <w:tcPr>
            <w:tcW w:w="992" w:type="dxa"/>
            <w:noWrap/>
            <w:hideMark/>
          </w:tcPr>
          <w:p w14:paraId="3567714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c>
          <w:tcPr>
            <w:tcW w:w="787" w:type="dxa"/>
            <w:noWrap/>
            <w:hideMark/>
          </w:tcPr>
          <w:p w14:paraId="5C72381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c>
          <w:tcPr>
            <w:tcW w:w="1065" w:type="dxa"/>
            <w:noWrap/>
            <w:hideMark/>
          </w:tcPr>
          <w:p w14:paraId="24DEAF2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c>
          <w:tcPr>
            <w:tcW w:w="1065" w:type="dxa"/>
            <w:noWrap/>
            <w:hideMark/>
          </w:tcPr>
          <w:p w14:paraId="0DF190F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c>
          <w:tcPr>
            <w:tcW w:w="1065" w:type="dxa"/>
            <w:noWrap/>
            <w:hideMark/>
          </w:tcPr>
          <w:p w14:paraId="0752C62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c>
          <w:tcPr>
            <w:tcW w:w="1065" w:type="dxa"/>
            <w:noWrap/>
            <w:hideMark/>
          </w:tcPr>
          <w:p w14:paraId="0D893E2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c>
          <w:tcPr>
            <w:tcW w:w="1065" w:type="dxa"/>
            <w:noWrap/>
            <w:hideMark/>
          </w:tcPr>
          <w:p w14:paraId="65234D6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c>
          <w:tcPr>
            <w:tcW w:w="1065" w:type="dxa"/>
          </w:tcPr>
          <w:p w14:paraId="165CD7A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0,0</w:t>
            </w:r>
          </w:p>
        </w:tc>
      </w:tr>
      <w:tr w:rsidR="00B86FB3" w:rsidRPr="00FF756A" w14:paraId="74142B00" w14:textId="77777777" w:rsidTr="006A3266">
        <w:trPr>
          <w:trHeight w:val="278"/>
        </w:trPr>
        <w:tc>
          <w:tcPr>
            <w:cnfStyle w:val="001000000000" w:firstRow="0" w:lastRow="0" w:firstColumn="1" w:lastColumn="0" w:oddVBand="0" w:evenVBand="0" w:oddHBand="0" w:evenHBand="0" w:firstRowFirstColumn="0" w:firstRowLastColumn="0" w:lastRowFirstColumn="0" w:lastRowLastColumn="0"/>
            <w:tcW w:w="1413" w:type="dxa"/>
            <w:noWrap/>
            <w:hideMark/>
          </w:tcPr>
          <w:p w14:paraId="7ECFB247" w14:textId="77777777" w:rsidR="00B86FB3" w:rsidRPr="00FF756A" w:rsidRDefault="00B86FB3" w:rsidP="00B86FB3">
            <w:pPr>
              <w:rPr>
                <w:rFonts w:eastAsia="Times New Roman" w:cs="Times New Roman"/>
                <w:color w:val="FFFFFF"/>
                <w:sz w:val="20"/>
              </w:rPr>
            </w:pPr>
            <w:r w:rsidRPr="00FF756A">
              <w:rPr>
                <w:rFonts w:cs="Times New Roman"/>
                <w:color w:val="FFFFFF"/>
                <w:sz w:val="20"/>
              </w:rPr>
              <w:t>BRE-E totale</w:t>
            </w:r>
          </w:p>
        </w:tc>
        <w:tc>
          <w:tcPr>
            <w:tcW w:w="992" w:type="dxa"/>
            <w:noWrap/>
            <w:hideMark/>
          </w:tcPr>
          <w:p w14:paraId="00F7465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103,5 </w:t>
            </w:r>
          </w:p>
        </w:tc>
        <w:tc>
          <w:tcPr>
            <w:tcW w:w="787" w:type="dxa"/>
            <w:noWrap/>
            <w:hideMark/>
          </w:tcPr>
          <w:p w14:paraId="2952E58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96,3 </w:t>
            </w:r>
          </w:p>
        </w:tc>
        <w:tc>
          <w:tcPr>
            <w:tcW w:w="1065" w:type="dxa"/>
            <w:noWrap/>
            <w:hideMark/>
          </w:tcPr>
          <w:p w14:paraId="6C3B548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97,9 </w:t>
            </w:r>
          </w:p>
        </w:tc>
        <w:tc>
          <w:tcPr>
            <w:tcW w:w="1065" w:type="dxa"/>
            <w:noWrap/>
            <w:hideMark/>
          </w:tcPr>
          <w:p w14:paraId="3B270CD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105,0 </w:t>
            </w:r>
          </w:p>
        </w:tc>
        <w:tc>
          <w:tcPr>
            <w:tcW w:w="1065" w:type="dxa"/>
            <w:noWrap/>
            <w:hideMark/>
          </w:tcPr>
          <w:p w14:paraId="64242FC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100,9 </w:t>
            </w:r>
          </w:p>
        </w:tc>
        <w:tc>
          <w:tcPr>
            <w:tcW w:w="1065" w:type="dxa"/>
            <w:noWrap/>
            <w:hideMark/>
          </w:tcPr>
          <w:p w14:paraId="5B48D9E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98,3 </w:t>
            </w:r>
          </w:p>
        </w:tc>
        <w:tc>
          <w:tcPr>
            <w:tcW w:w="1065" w:type="dxa"/>
            <w:noWrap/>
            <w:hideMark/>
          </w:tcPr>
          <w:p w14:paraId="14DD38A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76,1 </w:t>
            </w:r>
          </w:p>
        </w:tc>
        <w:tc>
          <w:tcPr>
            <w:tcW w:w="1065" w:type="dxa"/>
          </w:tcPr>
          <w:p w14:paraId="05D26909" w14:textId="77777777" w:rsidR="00B86FB3" w:rsidRPr="00FF756A" w:rsidRDefault="00B86FB3" w:rsidP="003F200D">
            <w:pPr>
              <w:keepNext/>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58,0 </w:t>
            </w:r>
          </w:p>
        </w:tc>
      </w:tr>
    </w:tbl>
    <w:p w14:paraId="762964AD" w14:textId="58C32F77" w:rsidR="00B86FB3" w:rsidRPr="00FF756A" w:rsidRDefault="003F200D" w:rsidP="003F200D">
      <w:pPr>
        <w:pStyle w:val="Caption"/>
        <w:rPr>
          <w:rFonts w:ascii="Times New Roman" w:hAnsi="Times New Roman"/>
        </w:rPr>
      </w:pPr>
      <w:bookmarkStart w:id="556" w:name="_Toc183016500"/>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36</w:t>
      </w:r>
      <w:r w:rsidR="008E7DE9" w:rsidRPr="00FF756A">
        <w:rPr>
          <w:rFonts w:ascii="Times New Roman" w:hAnsi="Times New Roman"/>
          <w:noProof/>
        </w:rPr>
        <w:fldChar w:fldCharType="end"/>
      </w:r>
      <w:r w:rsidRPr="00FF756A">
        <w:rPr>
          <w:rFonts w:ascii="Times New Roman" w:hAnsi="Times New Roman"/>
        </w:rPr>
        <w:t>: Përqindja e BRE-E (përqindja e burimeve të rinovueshme në prodhimin e energjisë elektrike) të përllogaritura sipas RED (Direktiva 2009/28/KE) për periudhën kohore 2016-2023 dhe parashikimet deri në vitin 2050 me masat ekzistuese</w:t>
      </w:r>
      <w:bookmarkEnd w:id="556"/>
    </w:p>
    <w:p w14:paraId="2F371037" w14:textId="77777777" w:rsidR="00912120" w:rsidRPr="00FF756A" w:rsidRDefault="00912120" w:rsidP="00B86FB3"/>
    <w:p w14:paraId="2D083A15" w14:textId="6F948173" w:rsidR="00B86FB3" w:rsidRPr="00FF756A" w:rsidRDefault="00B86FB3" w:rsidP="004A3257">
      <w:pPr>
        <w:spacing w:line="240" w:lineRule="auto"/>
      </w:pPr>
      <w:r w:rsidRPr="00FF756A">
        <w:t>Figura e mëposhtme paraqet lëndët djegëse që përdoren aktualisht në sektorin e transportit, si dhe parashikimet deri në vitin 2050. Nuk janë marrë në konsideratë përqindjet e biodizelit, të cilat nuk parashikohet të kenë ndikim në skenarin me masat ekzistuese. Energjia elektrike përdoret për të përmbushur një pjesë të kufizuar të kërkesës për energji në sektorin e transportit. Ajo është kryesisht me origjinë nga burimet e rinovueshme.</w:t>
      </w:r>
    </w:p>
    <w:p w14:paraId="0B97C81F" w14:textId="77777777" w:rsidR="003F200D" w:rsidRPr="00FF756A" w:rsidRDefault="00B86FB3" w:rsidP="003F200D">
      <w:pPr>
        <w:keepNext/>
      </w:pPr>
      <w:r w:rsidRPr="00FF756A">
        <w:rPr>
          <w:noProof/>
          <w:lang w:val="en-US"/>
        </w:rPr>
        <w:drawing>
          <wp:inline distT="0" distB="0" distL="0" distR="0" wp14:anchorId="62C23A30" wp14:editId="503F38C6">
            <wp:extent cx="5760720" cy="3456305"/>
            <wp:effectExtent l="0" t="0" r="0" b="0"/>
            <wp:docPr id="2105088191" name="Picture 6"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088191" name="Picture 6" descr="A graph of different colored line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2FA90D93" w14:textId="5229193A" w:rsidR="00B86FB3" w:rsidRPr="00FF756A" w:rsidRDefault="003F200D" w:rsidP="003F200D">
      <w:pPr>
        <w:pStyle w:val="Caption"/>
        <w:rPr>
          <w:rFonts w:ascii="Times New Roman" w:hAnsi="Times New Roman"/>
        </w:rPr>
      </w:pPr>
      <w:bookmarkStart w:id="557" w:name="_Toc183016575"/>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45</w:t>
      </w:r>
      <w:r w:rsidR="008E7DE9" w:rsidRPr="00FF756A">
        <w:rPr>
          <w:rFonts w:ascii="Times New Roman" w:hAnsi="Times New Roman"/>
          <w:noProof/>
        </w:rPr>
        <w:fldChar w:fldCharType="end"/>
      </w:r>
      <w:r w:rsidRPr="00FF756A">
        <w:rPr>
          <w:rFonts w:ascii="Times New Roman" w:hAnsi="Times New Roman"/>
        </w:rPr>
        <w:t xml:space="preserve">: Burimet e energjisë në sektorin e transportit, për të shoqëruar dhe shpjeguar përqindjen e BRE-T, të paraqitur në Figura </w:t>
      </w:r>
      <w:r w:rsidR="00567545" w:rsidRPr="00FF756A">
        <w:rPr>
          <w:rFonts w:ascii="Times New Roman" w:hAnsi="Times New Roman"/>
        </w:rPr>
        <w:t>43</w:t>
      </w:r>
      <w:bookmarkEnd w:id="557"/>
    </w:p>
    <w:p w14:paraId="0DB359C8" w14:textId="77777777" w:rsidR="00B86FB3" w:rsidRPr="00FF756A" w:rsidRDefault="00B86FB3" w:rsidP="00B86FB3"/>
    <w:tbl>
      <w:tblPr>
        <w:tblStyle w:val="GridTable5DarkAccent10"/>
        <w:tblW w:w="9099" w:type="dxa"/>
        <w:tblLook w:val="04A0" w:firstRow="1" w:lastRow="0" w:firstColumn="1" w:lastColumn="0" w:noHBand="0" w:noVBand="1"/>
      </w:tblPr>
      <w:tblGrid>
        <w:gridCol w:w="2104"/>
        <w:gridCol w:w="860"/>
        <w:gridCol w:w="860"/>
        <w:gridCol w:w="859"/>
        <w:gridCol w:w="859"/>
        <w:gridCol w:w="859"/>
        <w:gridCol w:w="859"/>
        <w:gridCol w:w="859"/>
        <w:gridCol w:w="980"/>
      </w:tblGrid>
      <w:tr w:rsidR="00B86FB3" w:rsidRPr="00FF756A" w14:paraId="23718C65" w14:textId="77777777" w:rsidTr="006A3266">
        <w:trPr>
          <w:cnfStyle w:val="100000000000" w:firstRow="1" w:lastRow="0" w:firstColumn="0" w:lastColumn="0" w:oddVBand="0" w:evenVBand="0" w:oddHBand="0"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0" w:type="auto"/>
            <w:noWrap/>
            <w:hideMark/>
          </w:tcPr>
          <w:p w14:paraId="34880867" w14:textId="77777777" w:rsidR="00B86FB3" w:rsidRPr="00FF756A" w:rsidRDefault="00B86FB3" w:rsidP="00B86FB3">
            <w:pPr>
              <w:rPr>
                <w:rFonts w:cs="Times New Roman"/>
                <w:bCs w:val="0"/>
              </w:rPr>
            </w:pPr>
            <w:r w:rsidRPr="00FF756A">
              <w:rPr>
                <w:rFonts w:cs="Times New Roman"/>
              </w:rPr>
              <w:t>Burimi</w:t>
            </w:r>
          </w:p>
        </w:tc>
        <w:tc>
          <w:tcPr>
            <w:tcW w:w="0" w:type="auto"/>
            <w:noWrap/>
            <w:hideMark/>
          </w:tcPr>
          <w:p w14:paraId="61B71A7A"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cs="Times New Roman"/>
                <w:bCs w:val="0"/>
              </w:rPr>
            </w:pPr>
            <w:r w:rsidRPr="00FF756A">
              <w:rPr>
                <w:rFonts w:cs="Times New Roman"/>
              </w:rPr>
              <w:t>2020</w:t>
            </w:r>
          </w:p>
        </w:tc>
        <w:tc>
          <w:tcPr>
            <w:tcW w:w="0" w:type="auto"/>
            <w:noWrap/>
            <w:hideMark/>
          </w:tcPr>
          <w:p w14:paraId="487FA9F7"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cs="Times New Roman"/>
                <w:bCs w:val="0"/>
              </w:rPr>
            </w:pPr>
            <w:r w:rsidRPr="00FF756A">
              <w:rPr>
                <w:rFonts w:cs="Times New Roman"/>
              </w:rPr>
              <w:t>2021</w:t>
            </w:r>
          </w:p>
        </w:tc>
        <w:tc>
          <w:tcPr>
            <w:tcW w:w="0" w:type="auto"/>
            <w:noWrap/>
            <w:hideMark/>
          </w:tcPr>
          <w:p w14:paraId="64A834EE"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cs="Times New Roman"/>
                <w:bCs w:val="0"/>
              </w:rPr>
            </w:pPr>
            <w:r w:rsidRPr="00FF756A">
              <w:rPr>
                <w:rFonts w:cs="Times New Roman"/>
              </w:rPr>
              <w:t>2022</w:t>
            </w:r>
          </w:p>
        </w:tc>
        <w:tc>
          <w:tcPr>
            <w:tcW w:w="0" w:type="auto"/>
            <w:noWrap/>
            <w:hideMark/>
          </w:tcPr>
          <w:p w14:paraId="24038440"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cs="Times New Roman"/>
                <w:bCs w:val="0"/>
              </w:rPr>
            </w:pPr>
            <w:r w:rsidRPr="00FF756A">
              <w:rPr>
                <w:rFonts w:cs="Times New Roman"/>
              </w:rPr>
              <w:t>2023</w:t>
            </w:r>
          </w:p>
        </w:tc>
        <w:tc>
          <w:tcPr>
            <w:tcW w:w="0" w:type="auto"/>
            <w:noWrap/>
            <w:hideMark/>
          </w:tcPr>
          <w:p w14:paraId="35F55368"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cs="Times New Roman"/>
                <w:bCs w:val="0"/>
              </w:rPr>
            </w:pPr>
            <w:r w:rsidRPr="00FF756A">
              <w:rPr>
                <w:rFonts w:cs="Times New Roman"/>
              </w:rPr>
              <w:t>2025</w:t>
            </w:r>
          </w:p>
        </w:tc>
        <w:tc>
          <w:tcPr>
            <w:tcW w:w="0" w:type="auto"/>
            <w:noWrap/>
            <w:hideMark/>
          </w:tcPr>
          <w:p w14:paraId="1F8D938D"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cs="Times New Roman"/>
                <w:bCs w:val="0"/>
              </w:rPr>
            </w:pPr>
            <w:r w:rsidRPr="00FF756A">
              <w:rPr>
                <w:rFonts w:cs="Times New Roman"/>
              </w:rPr>
              <w:t>2030</w:t>
            </w:r>
          </w:p>
        </w:tc>
        <w:tc>
          <w:tcPr>
            <w:tcW w:w="0" w:type="auto"/>
            <w:noWrap/>
            <w:hideMark/>
          </w:tcPr>
          <w:p w14:paraId="156248BD"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cs="Times New Roman"/>
                <w:bCs w:val="0"/>
              </w:rPr>
            </w:pPr>
            <w:r w:rsidRPr="00FF756A">
              <w:rPr>
                <w:rFonts w:cs="Times New Roman"/>
              </w:rPr>
              <w:t>2040</w:t>
            </w:r>
          </w:p>
        </w:tc>
        <w:tc>
          <w:tcPr>
            <w:tcW w:w="980" w:type="dxa"/>
          </w:tcPr>
          <w:p w14:paraId="768D3D32"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cs="Times New Roman"/>
              </w:rPr>
            </w:pPr>
            <w:r w:rsidRPr="00FF756A">
              <w:rPr>
                <w:rFonts w:cs="Times New Roman"/>
              </w:rPr>
              <w:t>2050</w:t>
            </w:r>
          </w:p>
        </w:tc>
      </w:tr>
      <w:tr w:rsidR="00B86FB3" w:rsidRPr="00FF756A" w14:paraId="64342CCD" w14:textId="77777777" w:rsidTr="006A3266">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0" w:type="auto"/>
            <w:noWrap/>
            <w:hideMark/>
          </w:tcPr>
          <w:p w14:paraId="5623C174" w14:textId="77777777" w:rsidR="00B86FB3" w:rsidRPr="00FF756A" w:rsidRDefault="00B86FB3" w:rsidP="00B86FB3">
            <w:pPr>
              <w:rPr>
                <w:rFonts w:cs="Times New Roman"/>
                <w:b w:val="0"/>
              </w:rPr>
            </w:pPr>
            <w:r w:rsidRPr="00FF756A">
              <w:rPr>
                <w:rFonts w:cs="Times New Roman"/>
              </w:rPr>
              <w:t>Energjia elektrike</w:t>
            </w:r>
          </w:p>
        </w:tc>
        <w:tc>
          <w:tcPr>
            <w:tcW w:w="0" w:type="auto"/>
            <w:noWrap/>
            <w:hideMark/>
          </w:tcPr>
          <w:p w14:paraId="34C152E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0,1%</w:t>
            </w:r>
          </w:p>
        </w:tc>
        <w:tc>
          <w:tcPr>
            <w:tcW w:w="0" w:type="auto"/>
            <w:noWrap/>
            <w:hideMark/>
          </w:tcPr>
          <w:p w14:paraId="7796915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0,1%</w:t>
            </w:r>
          </w:p>
        </w:tc>
        <w:tc>
          <w:tcPr>
            <w:tcW w:w="0" w:type="auto"/>
            <w:noWrap/>
            <w:hideMark/>
          </w:tcPr>
          <w:p w14:paraId="665237C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0,2%</w:t>
            </w:r>
          </w:p>
        </w:tc>
        <w:tc>
          <w:tcPr>
            <w:tcW w:w="0" w:type="auto"/>
            <w:noWrap/>
            <w:hideMark/>
          </w:tcPr>
          <w:p w14:paraId="7B33B01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0,7%</w:t>
            </w:r>
          </w:p>
        </w:tc>
        <w:tc>
          <w:tcPr>
            <w:tcW w:w="0" w:type="auto"/>
            <w:noWrap/>
            <w:hideMark/>
          </w:tcPr>
          <w:p w14:paraId="08F6CBB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1,5%</w:t>
            </w:r>
          </w:p>
        </w:tc>
        <w:tc>
          <w:tcPr>
            <w:tcW w:w="0" w:type="auto"/>
            <w:noWrap/>
            <w:hideMark/>
          </w:tcPr>
          <w:p w14:paraId="7EF27E1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3,6%</w:t>
            </w:r>
          </w:p>
        </w:tc>
        <w:tc>
          <w:tcPr>
            <w:tcW w:w="0" w:type="auto"/>
            <w:noWrap/>
            <w:hideMark/>
          </w:tcPr>
          <w:p w14:paraId="37DC9BF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8,3%</w:t>
            </w:r>
          </w:p>
        </w:tc>
        <w:tc>
          <w:tcPr>
            <w:tcW w:w="980" w:type="dxa"/>
          </w:tcPr>
          <w:p w14:paraId="25590C2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rPr>
            </w:pPr>
            <w:r w:rsidRPr="00FF756A">
              <w:rPr>
                <w:rFonts w:cs="Times New Roman"/>
              </w:rPr>
              <w:t>13,4%</w:t>
            </w:r>
          </w:p>
        </w:tc>
      </w:tr>
      <w:tr w:rsidR="00B86FB3" w:rsidRPr="00FF756A" w14:paraId="16422406" w14:textId="77777777" w:rsidTr="006A3266">
        <w:trPr>
          <w:trHeight w:val="401"/>
        </w:trPr>
        <w:tc>
          <w:tcPr>
            <w:cnfStyle w:val="001000000000" w:firstRow="0" w:lastRow="0" w:firstColumn="1" w:lastColumn="0" w:oddVBand="0" w:evenVBand="0" w:oddHBand="0" w:evenHBand="0" w:firstRowFirstColumn="0" w:firstRowLastColumn="0" w:lastRowFirstColumn="0" w:lastRowLastColumn="0"/>
            <w:tcW w:w="0" w:type="auto"/>
            <w:noWrap/>
            <w:hideMark/>
          </w:tcPr>
          <w:p w14:paraId="40A79F3F" w14:textId="77777777" w:rsidR="00B86FB3" w:rsidRPr="00FF756A" w:rsidRDefault="00B86FB3" w:rsidP="00B86FB3">
            <w:pPr>
              <w:rPr>
                <w:rFonts w:cs="Times New Roman"/>
                <w:b w:val="0"/>
              </w:rPr>
            </w:pPr>
            <w:r w:rsidRPr="00FF756A">
              <w:rPr>
                <w:rFonts w:cs="Times New Roman"/>
              </w:rPr>
              <w:t>Me benzinë</w:t>
            </w:r>
          </w:p>
        </w:tc>
        <w:tc>
          <w:tcPr>
            <w:tcW w:w="0" w:type="auto"/>
            <w:noWrap/>
            <w:hideMark/>
          </w:tcPr>
          <w:p w14:paraId="7995078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16,8%</w:t>
            </w:r>
          </w:p>
        </w:tc>
        <w:tc>
          <w:tcPr>
            <w:tcW w:w="0" w:type="auto"/>
            <w:noWrap/>
            <w:hideMark/>
          </w:tcPr>
          <w:p w14:paraId="654DD4F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17,1%</w:t>
            </w:r>
          </w:p>
        </w:tc>
        <w:tc>
          <w:tcPr>
            <w:tcW w:w="0" w:type="auto"/>
            <w:noWrap/>
            <w:hideMark/>
          </w:tcPr>
          <w:p w14:paraId="75F0510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17,2%</w:t>
            </w:r>
          </w:p>
        </w:tc>
        <w:tc>
          <w:tcPr>
            <w:tcW w:w="0" w:type="auto"/>
            <w:noWrap/>
            <w:hideMark/>
          </w:tcPr>
          <w:p w14:paraId="1F62AF4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17,1%</w:t>
            </w:r>
          </w:p>
        </w:tc>
        <w:tc>
          <w:tcPr>
            <w:tcW w:w="0" w:type="auto"/>
            <w:noWrap/>
            <w:hideMark/>
          </w:tcPr>
          <w:p w14:paraId="27EAEFF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17,1%</w:t>
            </w:r>
          </w:p>
        </w:tc>
        <w:tc>
          <w:tcPr>
            <w:tcW w:w="0" w:type="auto"/>
            <w:noWrap/>
            <w:hideMark/>
          </w:tcPr>
          <w:p w14:paraId="7B04A0E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17,0%</w:t>
            </w:r>
          </w:p>
        </w:tc>
        <w:tc>
          <w:tcPr>
            <w:tcW w:w="0" w:type="auto"/>
            <w:noWrap/>
            <w:hideMark/>
          </w:tcPr>
          <w:p w14:paraId="7B9DDDB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16,1%</w:t>
            </w:r>
          </w:p>
        </w:tc>
        <w:tc>
          <w:tcPr>
            <w:tcW w:w="980" w:type="dxa"/>
          </w:tcPr>
          <w:p w14:paraId="7250866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rPr>
            </w:pPr>
            <w:r w:rsidRPr="00FF756A">
              <w:rPr>
                <w:rFonts w:cs="Times New Roman"/>
              </w:rPr>
              <w:t>15,3%</w:t>
            </w:r>
          </w:p>
        </w:tc>
      </w:tr>
      <w:tr w:rsidR="00B86FB3" w:rsidRPr="00FF756A" w14:paraId="0A082D75" w14:textId="77777777" w:rsidTr="006A3266">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0" w:type="auto"/>
            <w:noWrap/>
            <w:hideMark/>
          </w:tcPr>
          <w:p w14:paraId="026CA99D" w14:textId="77777777" w:rsidR="00B86FB3" w:rsidRPr="00FF756A" w:rsidRDefault="00B86FB3" w:rsidP="00B86FB3">
            <w:pPr>
              <w:rPr>
                <w:rFonts w:cs="Times New Roman"/>
                <w:b w:val="0"/>
              </w:rPr>
            </w:pPr>
            <w:r w:rsidRPr="00FF756A">
              <w:rPr>
                <w:rFonts w:cs="Times New Roman"/>
              </w:rPr>
              <w:t>Me naftë dizel</w:t>
            </w:r>
          </w:p>
        </w:tc>
        <w:tc>
          <w:tcPr>
            <w:tcW w:w="0" w:type="auto"/>
            <w:noWrap/>
            <w:hideMark/>
          </w:tcPr>
          <w:p w14:paraId="1DB39EB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80,2%</w:t>
            </w:r>
          </w:p>
        </w:tc>
        <w:tc>
          <w:tcPr>
            <w:tcW w:w="0" w:type="auto"/>
            <w:noWrap/>
            <w:hideMark/>
          </w:tcPr>
          <w:p w14:paraId="0EDB97B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79,6%</w:t>
            </w:r>
          </w:p>
        </w:tc>
        <w:tc>
          <w:tcPr>
            <w:tcW w:w="0" w:type="auto"/>
            <w:noWrap/>
            <w:hideMark/>
          </w:tcPr>
          <w:p w14:paraId="19570BF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79,2%</w:t>
            </w:r>
          </w:p>
        </w:tc>
        <w:tc>
          <w:tcPr>
            <w:tcW w:w="0" w:type="auto"/>
            <w:noWrap/>
            <w:hideMark/>
          </w:tcPr>
          <w:p w14:paraId="3B71B73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78,7%</w:t>
            </w:r>
          </w:p>
        </w:tc>
        <w:tc>
          <w:tcPr>
            <w:tcW w:w="0" w:type="auto"/>
            <w:noWrap/>
            <w:hideMark/>
          </w:tcPr>
          <w:p w14:paraId="148EF90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78,1%</w:t>
            </w:r>
          </w:p>
        </w:tc>
        <w:tc>
          <w:tcPr>
            <w:tcW w:w="0" w:type="auto"/>
            <w:noWrap/>
            <w:hideMark/>
          </w:tcPr>
          <w:p w14:paraId="4BF4238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76,5%</w:t>
            </w:r>
          </w:p>
        </w:tc>
        <w:tc>
          <w:tcPr>
            <w:tcW w:w="0" w:type="auto"/>
            <w:noWrap/>
            <w:hideMark/>
          </w:tcPr>
          <w:p w14:paraId="7005109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71,6%</w:t>
            </w:r>
          </w:p>
        </w:tc>
        <w:tc>
          <w:tcPr>
            <w:tcW w:w="980" w:type="dxa"/>
          </w:tcPr>
          <w:p w14:paraId="0D5B7E4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rPr>
            </w:pPr>
            <w:r w:rsidRPr="00FF756A">
              <w:rPr>
                <w:rFonts w:cs="Times New Roman"/>
              </w:rPr>
              <w:t>65,1%</w:t>
            </w:r>
          </w:p>
        </w:tc>
      </w:tr>
      <w:tr w:rsidR="00B86FB3" w:rsidRPr="00FF756A" w14:paraId="3B2F518B" w14:textId="77777777" w:rsidTr="006A3266">
        <w:trPr>
          <w:trHeight w:val="401"/>
        </w:trPr>
        <w:tc>
          <w:tcPr>
            <w:cnfStyle w:val="001000000000" w:firstRow="0" w:lastRow="0" w:firstColumn="1" w:lastColumn="0" w:oddVBand="0" w:evenVBand="0" w:oddHBand="0" w:evenHBand="0" w:firstRowFirstColumn="0" w:firstRowLastColumn="0" w:lastRowFirstColumn="0" w:lastRowLastColumn="0"/>
            <w:tcW w:w="0" w:type="auto"/>
            <w:noWrap/>
            <w:hideMark/>
          </w:tcPr>
          <w:p w14:paraId="76C495CD" w14:textId="77777777" w:rsidR="00B86FB3" w:rsidRPr="00FF756A" w:rsidRDefault="00B86FB3" w:rsidP="00B86FB3">
            <w:pPr>
              <w:rPr>
                <w:rFonts w:cs="Times New Roman"/>
                <w:b w:val="0"/>
              </w:rPr>
            </w:pPr>
            <w:r w:rsidRPr="00FF756A">
              <w:rPr>
                <w:rFonts w:cs="Times New Roman"/>
              </w:rPr>
              <w:t>GLN</w:t>
            </w:r>
          </w:p>
        </w:tc>
        <w:tc>
          <w:tcPr>
            <w:tcW w:w="0" w:type="auto"/>
            <w:noWrap/>
            <w:hideMark/>
          </w:tcPr>
          <w:p w14:paraId="6EB3D16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2,9%</w:t>
            </w:r>
          </w:p>
        </w:tc>
        <w:tc>
          <w:tcPr>
            <w:tcW w:w="0" w:type="auto"/>
            <w:noWrap/>
            <w:hideMark/>
          </w:tcPr>
          <w:p w14:paraId="037661D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3,2%</w:t>
            </w:r>
          </w:p>
        </w:tc>
        <w:tc>
          <w:tcPr>
            <w:tcW w:w="0" w:type="auto"/>
            <w:noWrap/>
            <w:hideMark/>
          </w:tcPr>
          <w:p w14:paraId="6F938EA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3,4%</w:t>
            </w:r>
          </w:p>
        </w:tc>
        <w:tc>
          <w:tcPr>
            <w:tcW w:w="0" w:type="auto"/>
            <w:noWrap/>
            <w:hideMark/>
          </w:tcPr>
          <w:p w14:paraId="0AD5777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3,6%</w:t>
            </w:r>
          </w:p>
        </w:tc>
        <w:tc>
          <w:tcPr>
            <w:tcW w:w="0" w:type="auto"/>
            <w:noWrap/>
            <w:hideMark/>
          </w:tcPr>
          <w:p w14:paraId="3A53CF7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3,4%</w:t>
            </w:r>
          </w:p>
        </w:tc>
        <w:tc>
          <w:tcPr>
            <w:tcW w:w="0" w:type="auto"/>
            <w:noWrap/>
            <w:hideMark/>
          </w:tcPr>
          <w:p w14:paraId="3C49EE0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2,9%</w:t>
            </w:r>
          </w:p>
        </w:tc>
        <w:tc>
          <w:tcPr>
            <w:tcW w:w="0" w:type="auto"/>
            <w:noWrap/>
            <w:hideMark/>
          </w:tcPr>
          <w:p w14:paraId="7B3D636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2,6%</w:t>
            </w:r>
          </w:p>
        </w:tc>
        <w:tc>
          <w:tcPr>
            <w:tcW w:w="980" w:type="dxa"/>
          </w:tcPr>
          <w:p w14:paraId="7D1C211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rPr>
            </w:pPr>
            <w:r w:rsidRPr="00FF756A">
              <w:rPr>
                <w:rFonts w:cs="Times New Roman"/>
              </w:rPr>
              <w:t>2,7%</w:t>
            </w:r>
          </w:p>
        </w:tc>
      </w:tr>
      <w:tr w:rsidR="00B86FB3" w:rsidRPr="00FF756A" w14:paraId="138E9A62" w14:textId="77777777" w:rsidTr="006A3266">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0" w:type="auto"/>
            <w:noWrap/>
            <w:hideMark/>
          </w:tcPr>
          <w:p w14:paraId="21580CA7" w14:textId="77777777" w:rsidR="00B86FB3" w:rsidRPr="00FF756A" w:rsidRDefault="00B86FB3" w:rsidP="00B86FB3">
            <w:pPr>
              <w:rPr>
                <w:rFonts w:cs="Times New Roman"/>
                <w:b w:val="0"/>
              </w:rPr>
            </w:pPr>
            <w:r w:rsidRPr="00FF756A">
              <w:rPr>
                <w:rFonts w:cs="Times New Roman"/>
              </w:rPr>
              <w:t>Hidrogjeni</w:t>
            </w:r>
          </w:p>
        </w:tc>
        <w:tc>
          <w:tcPr>
            <w:tcW w:w="0" w:type="auto"/>
            <w:noWrap/>
            <w:hideMark/>
          </w:tcPr>
          <w:p w14:paraId="49EA1D4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0,0%</w:t>
            </w:r>
          </w:p>
        </w:tc>
        <w:tc>
          <w:tcPr>
            <w:tcW w:w="0" w:type="auto"/>
            <w:noWrap/>
            <w:hideMark/>
          </w:tcPr>
          <w:p w14:paraId="35716ED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0,0%</w:t>
            </w:r>
          </w:p>
        </w:tc>
        <w:tc>
          <w:tcPr>
            <w:tcW w:w="0" w:type="auto"/>
            <w:noWrap/>
            <w:hideMark/>
          </w:tcPr>
          <w:p w14:paraId="5BB58C8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0,0%</w:t>
            </w:r>
          </w:p>
        </w:tc>
        <w:tc>
          <w:tcPr>
            <w:tcW w:w="0" w:type="auto"/>
            <w:noWrap/>
            <w:hideMark/>
          </w:tcPr>
          <w:p w14:paraId="5EDD559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0,0%</w:t>
            </w:r>
          </w:p>
        </w:tc>
        <w:tc>
          <w:tcPr>
            <w:tcW w:w="0" w:type="auto"/>
            <w:noWrap/>
            <w:hideMark/>
          </w:tcPr>
          <w:p w14:paraId="6C2931F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0,0%</w:t>
            </w:r>
          </w:p>
        </w:tc>
        <w:tc>
          <w:tcPr>
            <w:tcW w:w="0" w:type="auto"/>
            <w:noWrap/>
            <w:hideMark/>
          </w:tcPr>
          <w:p w14:paraId="036E756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0,0%</w:t>
            </w:r>
          </w:p>
        </w:tc>
        <w:tc>
          <w:tcPr>
            <w:tcW w:w="0" w:type="auto"/>
            <w:noWrap/>
            <w:hideMark/>
          </w:tcPr>
          <w:p w14:paraId="3F99909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1,4%</w:t>
            </w:r>
          </w:p>
        </w:tc>
        <w:tc>
          <w:tcPr>
            <w:tcW w:w="980" w:type="dxa"/>
          </w:tcPr>
          <w:p w14:paraId="014D750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rPr>
            </w:pPr>
            <w:r w:rsidRPr="00FF756A">
              <w:rPr>
                <w:rFonts w:cs="Times New Roman"/>
              </w:rPr>
              <w:t>3,5%</w:t>
            </w:r>
          </w:p>
        </w:tc>
      </w:tr>
      <w:tr w:rsidR="00B86FB3" w:rsidRPr="00FF756A" w14:paraId="7E3B17A7" w14:textId="77777777" w:rsidTr="006A3266">
        <w:trPr>
          <w:trHeight w:val="401"/>
        </w:trPr>
        <w:tc>
          <w:tcPr>
            <w:cnfStyle w:val="001000000000" w:firstRow="0" w:lastRow="0" w:firstColumn="1" w:lastColumn="0" w:oddVBand="0" w:evenVBand="0" w:oddHBand="0" w:evenHBand="0" w:firstRowFirstColumn="0" w:firstRowLastColumn="0" w:lastRowFirstColumn="0" w:lastRowLastColumn="0"/>
            <w:tcW w:w="0" w:type="auto"/>
            <w:noWrap/>
            <w:hideMark/>
          </w:tcPr>
          <w:p w14:paraId="60C54E1C" w14:textId="77777777" w:rsidR="00B86FB3" w:rsidRPr="00FF756A" w:rsidRDefault="00B86FB3" w:rsidP="00B86FB3">
            <w:pPr>
              <w:rPr>
                <w:rFonts w:cs="Times New Roman"/>
                <w:b w:val="0"/>
              </w:rPr>
            </w:pPr>
            <w:r w:rsidRPr="00FF756A">
              <w:rPr>
                <w:rFonts w:cs="Times New Roman"/>
              </w:rPr>
              <w:t>Biodizeli</w:t>
            </w:r>
          </w:p>
        </w:tc>
        <w:tc>
          <w:tcPr>
            <w:tcW w:w="0" w:type="auto"/>
            <w:noWrap/>
            <w:vAlign w:val="bottom"/>
            <w:hideMark/>
          </w:tcPr>
          <w:p w14:paraId="0C52697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rPr>
              <w:t>0,0%</w:t>
            </w:r>
          </w:p>
        </w:tc>
        <w:tc>
          <w:tcPr>
            <w:tcW w:w="0" w:type="auto"/>
            <w:noWrap/>
            <w:vAlign w:val="bottom"/>
            <w:hideMark/>
          </w:tcPr>
          <w:p w14:paraId="50A4E1E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rPr>
              <w:t>0,0%</w:t>
            </w:r>
          </w:p>
        </w:tc>
        <w:tc>
          <w:tcPr>
            <w:tcW w:w="0" w:type="auto"/>
            <w:noWrap/>
            <w:vAlign w:val="bottom"/>
            <w:hideMark/>
          </w:tcPr>
          <w:p w14:paraId="607C504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rPr>
              <w:t>0,0%</w:t>
            </w:r>
          </w:p>
        </w:tc>
        <w:tc>
          <w:tcPr>
            <w:tcW w:w="0" w:type="auto"/>
            <w:noWrap/>
            <w:vAlign w:val="bottom"/>
            <w:hideMark/>
          </w:tcPr>
          <w:p w14:paraId="1C20DEC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rPr>
              <w:t>0,0%</w:t>
            </w:r>
          </w:p>
        </w:tc>
        <w:tc>
          <w:tcPr>
            <w:tcW w:w="0" w:type="auto"/>
            <w:noWrap/>
            <w:vAlign w:val="bottom"/>
            <w:hideMark/>
          </w:tcPr>
          <w:p w14:paraId="340F657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rPr>
              <w:t>0,0%</w:t>
            </w:r>
          </w:p>
        </w:tc>
        <w:tc>
          <w:tcPr>
            <w:tcW w:w="0" w:type="auto"/>
            <w:noWrap/>
            <w:vAlign w:val="bottom"/>
            <w:hideMark/>
          </w:tcPr>
          <w:p w14:paraId="4DB452A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rPr>
              <w:t>0,0%</w:t>
            </w:r>
          </w:p>
        </w:tc>
        <w:tc>
          <w:tcPr>
            <w:tcW w:w="0" w:type="auto"/>
            <w:noWrap/>
            <w:vAlign w:val="bottom"/>
            <w:hideMark/>
          </w:tcPr>
          <w:p w14:paraId="19D3DB5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rPr>
              <w:t>0,0%</w:t>
            </w:r>
          </w:p>
        </w:tc>
        <w:tc>
          <w:tcPr>
            <w:tcW w:w="980" w:type="dxa"/>
          </w:tcPr>
          <w:p w14:paraId="6F933A93" w14:textId="77777777" w:rsidR="00B86FB3" w:rsidRPr="00FF756A" w:rsidRDefault="00B86FB3" w:rsidP="003F200D">
            <w:pPr>
              <w:keepNext/>
              <w:jc w:val="right"/>
              <w:cnfStyle w:val="000000000000" w:firstRow="0" w:lastRow="0" w:firstColumn="0" w:lastColumn="0" w:oddVBand="0" w:evenVBand="0" w:oddHBand="0" w:evenHBand="0" w:firstRowFirstColumn="0" w:firstRowLastColumn="0" w:lastRowFirstColumn="0" w:lastRowLastColumn="0"/>
              <w:rPr>
                <w:rFonts w:cs="Times New Roman"/>
                <w:color w:val="000000"/>
              </w:rPr>
            </w:pPr>
            <w:r w:rsidRPr="00FF756A">
              <w:rPr>
                <w:rFonts w:cs="Times New Roman"/>
                <w:color w:val="000000"/>
              </w:rPr>
              <w:t>0,0%</w:t>
            </w:r>
          </w:p>
        </w:tc>
      </w:tr>
    </w:tbl>
    <w:p w14:paraId="02A4355E" w14:textId="0F7F505A" w:rsidR="00B86FB3" w:rsidRPr="00FF756A" w:rsidRDefault="003F200D" w:rsidP="003F200D">
      <w:pPr>
        <w:pStyle w:val="Caption"/>
        <w:rPr>
          <w:rFonts w:ascii="Times New Roman" w:hAnsi="Times New Roman"/>
        </w:rPr>
      </w:pPr>
      <w:bookmarkStart w:id="558" w:name="_Toc183016501"/>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37</w:t>
      </w:r>
      <w:r w:rsidR="008E7DE9" w:rsidRPr="00FF756A">
        <w:rPr>
          <w:rFonts w:ascii="Times New Roman" w:hAnsi="Times New Roman"/>
          <w:noProof/>
        </w:rPr>
        <w:fldChar w:fldCharType="end"/>
      </w:r>
      <w:r w:rsidRPr="00FF756A">
        <w:rPr>
          <w:rFonts w:ascii="Times New Roman" w:hAnsi="Times New Roman"/>
        </w:rPr>
        <w:t>:  Përqindjet e burimeve të energjisë në sektorin e transportit për periudhën kohore 2020-2023 dhe sipas parashikimeve deri në vitin 2050 me masat ekzistuese</w:t>
      </w:r>
      <w:bookmarkEnd w:id="558"/>
    </w:p>
    <w:p w14:paraId="7BA7CB2A" w14:textId="77777777" w:rsidR="00567545" w:rsidRPr="00FF756A" w:rsidRDefault="00567545" w:rsidP="00B86FB3"/>
    <w:p w14:paraId="709FF81D" w14:textId="2C455A59" w:rsidR="00B86FB3" w:rsidRPr="00FF756A" w:rsidRDefault="00B86FB3" w:rsidP="004A3257">
      <w:pPr>
        <w:spacing w:line="240" w:lineRule="auto"/>
      </w:pPr>
      <w:r w:rsidRPr="00FF756A">
        <w:t xml:space="preserve">Përqindja e BRE-N &amp; F kombinon të gjitha energjitë e rinovueshme të ndryshme nga energjia elektrike, nxehtësia dhe biolikuidet në sektorë të ndryshëm nga transporti. Ajo përfshin sektorin e banesave, shërbimeve, industrisë, bujqësisë dhe peshkimit, dhe burime të tilla si burimet e energjisë eolike dhe diellore, lënda drusore, burimet hidrike dhe biomasa. Nga këto, vetëm burimet e energjisë diellore dhe lënda drusore luajnë rol thelbësor, pasi të dyja përdoren për ngrohjen e ambienteve dhe të ujit, si dhe për disa procese industriale. Sektori i bujqësisë dhe peshkimit nuk përdor energji të rinovueshme (me përjashtim të energjisë elektrike, e cila nuk merret në konsideratë këtu). Tabela e mëposhtme tregon përqindjen e energjisë nga lënda drusore dhe burimet diellore në raport me totalin e konsumit final të energjisë në secilin prej tre sektorëve të mbetur. </w:t>
      </w:r>
    </w:p>
    <w:p w14:paraId="43FE6DBE" w14:textId="77777777" w:rsidR="00B86FB3" w:rsidRPr="00FF756A" w:rsidRDefault="00B86FB3" w:rsidP="004A3257">
      <w:pPr>
        <w:spacing w:line="240" w:lineRule="auto"/>
      </w:pPr>
      <w:r w:rsidRPr="00FF756A">
        <w:t xml:space="preserve">Vlen të theksohet se përqindja e BRE-N &amp; F tregon përqindjen e energjisë së rinovueshme në raport me kërkesën finale për energji të ndryshme nga energjia elektrike, çka shpjegon përqindjen më të lartë të BRE-N &amp; F krahasuar me vlerat e paraqitura në tabelën e mëposhtme. </w:t>
      </w:r>
    </w:p>
    <w:p w14:paraId="12C4F083" w14:textId="77777777" w:rsidR="00B86FB3" w:rsidRPr="00FF756A" w:rsidRDefault="00B86FB3" w:rsidP="00B86FB3"/>
    <w:p w14:paraId="284B86F1" w14:textId="77777777" w:rsidR="00B86FB3" w:rsidRPr="00FF756A" w:rsidRDefault="00B86FB3" w:rsidP="00B86FB3"/>
    <w:tbl>
      <w:tblPr>
        <w:tblStyle w:val="GridTable5DarkAccent10"/>
        <w:tblW w:w="8840" w:type="dxa"/>
        <w:tblLook w:val="04A0" w:firstRow="1" w:lastRow="0" w:firstColumn="1" w:lastColumn="0" w:noHBand="0" w:noVBand="1"/>
      </w:tblPr>
      <w:tblGrid>
        <w:gridCol w:w="961"/>
        <w:gridCol w:w="936"/>
        <w:gridCol w:w="936"/>
        <w:gridCol w:w="936"/>
        <w:gridCol w:w="936"/>
        <w:gridCol w:w="936"/>
        <w:gridCol w:w="936"/>
        <w:gridCol w:w="936"/>
        <w:gridCol w:w="1327"/>
      </w:tblGrid>
      <w:tr w:rsidR="00B86FB3" w:rsidRPr="00FF756A" w14:paraId="36F3929F" w14:textId="77777777" w:rsidTr="006A3266">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55" w:type="dxa"/>
            <w:noWrap/>
            <w:hideMark/>
          </w:tcPr>
          <w:p w14:paraId="74848B9D" w14:textId="77777777" w:rsidR="00B86FB3" w:rsidRPr="00FF756A" w:rsidRDefault="00B86FB3" w:rsidP="00B86FB3">
            <w:pPr>
              <w:rPr>
                <w:rFonts w:cs="Times New Roman"/>
                <w:bCs w:val="0"/>
                <w:sz w:val="20"/>
              </w:rPr>
            </w:pPr>
            <w:r w:rsidRPr="00FF756A">
              <w:rPr>
                <w:rFonts w:cs="Times New Roman"/>
                <w:sz w:val="20"/>
              </w:rPr>
              <w:t>Burimi</w:t>
            </w:r>
          </w:p>
        </w:tc>
        <w:tc>
          <w:tcPr>
            <w:tcW w:w="936" w:type="dxa"/>
            <w:noWrap/>
            <w:hideMark/>
          </w:tcPr>
          <w:p w14:paraId="1BECEB7E"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2020</w:t>
            </w:r>
          </w:p>
        </w:tc>
        <w:tc>
          <w:tcPr>
            <w:tcW w:w="936" w:type="dxa"/>
            <w:noWrap/>
            <w:hideMark/>
          </w:tcPr>
          <w:p w14:paraId="6B12F226"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2021</w:t>
            </w:r>
          </w:p>
        </w:tc>
        <w:tc>
          <w:tcPr>
            <w:tcW w:w="936" w:type="dxa"/>
            <w:noWrap/>
            <w:hideMark/>
          </w:tcPr>
          <w:p w14:paraId="50E0908B"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2022</w:t>
            </w:r>
          </w:p>
        </w:tc>
        <w:tc>
          <w:tcPr>
            <w:tcW w:w="936" w:type="dxa"/>
            <w:noWrap/>
            <w:hideMark/>
          </w:tcPr>
          <w:p w14:paraId="5215FE56"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2023</w:t>
            </w:r>
          </w:p>
        </w:tc>
        <w:tc>
          <w:tcPr>
            <w:tcW w:w="936" w:type="dxa"/>
            <w:noWrap/>
            <w:hideMark/>
          </w:tcPr>
          <w:p w14:paraId="30CAFAEA"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2025</w:t>
            </w:r>
          </w:p>
        </w:tc>
        <w:tc>
          <w:tcPr>
            <w:tcW w:w="936" w:type="dxa"/>
            <w:noWrap/>
            <w:hideMark/>
          </w:tcPr>
          <w:p w14:paraId="7608BC65"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2030</w:t>
            </w:r>
          </w:p>
        </w:tc>
        <w:tc>
          <w:tcPr>
            <w:tcW w:w="936" w:type="dxa"/>
            <w:noWrap/>
            <w:hideMark/>
          </w:tcPr>
          <w:p w14:paraId="48306348"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2040</w:t>
            </w:r>
          </w:p>
        </w:tc>
        <w:tc>
          <w:tcPr>
            <w:tcW w:w="1333" w:type="dxa"/>
          </w:tcPr>
          <w:p w14:paraId="035D8CEA"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sz w:val="20"/>
              </w:rPr>
            </w:pPr>
            <w:r w:rsidRPr="00FF756A">
              <w:rPr>
                <w:rFonts w:cs="Times New Roman"/>
                <w:sz w:val="20"/>
              </w:rPr>
              <w:t>2050</w:t>
            </w:r>
          </w:p>
        </w:tc>
      </w:tr>
      <w:tr w:rsidR="00B86FB3" w:rsidRPr="00FF756A" w14:paraId="503A9476"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840" w:type="dxa"/>
            <w:gridSpan w:val="9"/>
            <w:noWrap/>
            <w:hideMark/>
          </w:tcPr>
          <w:p w14:paraId="394CBEA5" w14:textId="77777777" w:rsidR="00B86FB3" w:rsidRPr="00FF756A" w:rsidRDefault="00B86FB3" w:rsidP="00B86FB3">
            <w:pPr>
              <w:rPr>
                <w:rFonts w:cs="Times New Roman"/>
                <w:bCs w:val="0"/>
                <w:sz w:val="20"/>
              </w:rPr>
            </w:pPr>
            <w:r w:rsidRPr="00FF756A">
              <w:rPr>
                <w:rFonts w:cs="Times New Roman"/>
                <w:sz w:val="20"/>
              </w:rPr>
              <w:t>Sektori i banesave</w:t>
            </w:r>
          </w:p>
        </w:tc>
      </w:tr>
      <w:tr w:rsidR="00B86FB3" w:rsidRPr="00FF756A" w14:paraId="6246E047"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955" w:type="dxa"/>
            <w:noWrap/>
            <w:hideMark/>
          </w:tcPr>
          <w:p w14:paraId="725E4882" w14:textId="77777777" w:rsidR="00B86FB3" w:rsidRPr="00FF756A" w:rsidRDefault="00B86FB3" w:rsidP="00B86FB3">
            <w:pPr>
              <w:rPr>
                <w:rFonts w:cs="Times New Roman"/>
                <w:b w:val="0"/>
                <w:sz w:val="20"/>
              </w:rPr>
            </w:pPr>
            <w:r w:rsidRPr="00FF756A">
              <w:rPr>
                <w:rFonts w:cs="Times New Roman"/>
                <w:sz w:val="20"/>
              </w:rPr>
              <w:t>Lënda drusore</w:t>
            </w:r>
          </w:p>
        </w:tc>
        <w:tc>
          <w:tcPr>
            <w:tcW w:w="936" w:type="dxa"/>
            <w:noWrap/>
          </w:tcPr>
          <w:p w14:paraId="261094A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22,4%</w:t>
            </w:r>
          </w:p>
        </w:tc>
        <w:tc>
          <w:tcPr>
            <w:tcW w:w="936" w:type="dxa"/>
            <w:noWrap/>
          </w:tcPr>
          <w:p w14:paraId="65243E4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21,4%</w:t>
            </w:r>
          </w:p>
        </w:tc>
        <w:tc>
          <w:tcPr>
            <w:tcW w:w="936" w:type="dxa"/>
            <w:noWrap/>
          </w:tcPr>
          <w:p w14:paraId="3A75578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21,3%</w:t>
            </w:r>
          </w:p>
        </w:tc>
        <w:tc>
          <w:tcPr>
            <w:tcW w:w="936" w:type="dxa"/>
            <w:noWrap/>
          </w:tcPr>
          <w:p w14:paraId="42AB789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21,2%</w:t>
            </w:r>
          </w:p>
        </w:tc>
        <w:tc>
          <w:tcPr>
            <w:tcW w:w="936" w:type="dxa"/>
            <w:noWrap/>
          </w:tcPr>
          <w:p w14:paraId="473DE23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21,0%</w:t>
            </w:r>
          </w:p>
        </w:tc>
        <w:tc>
          <w:tcPr>
            <w:tcW w:w="936" w:type="dxa"/>
            <w:noWrap/>
          </w:tcPr>
          <w:p w14:paraId="2C1C3C0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20,8%</w:t>
            </w:r>
          </w:p>
        </w:tc>
        <w:tc>
          <w:tcPr>
            <w:tcW w:w="936" w:type="dxa"/>
            <w:noWrap/>
          </w:tcPr>
          <w:p w14:paraId="5237055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19,0%</w:t>
            </w:r>
          </w:p>
        </w:tc>
        <w:tc>
          <w:tcPr>
            <w:tcW w:w="1333" w:type="dxa"/>
          </w:tcPr>
          <w:p w14:paraId="23D5F5E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FF756A">
              <w:rPr>
                <w:rFonts w:cs="Times New Roman"/>
                <w:sz w:val="20"/>
                <w:szCs w:val="20"/>
              </w:rPr>
              <w:t>16,9%</w:t>
            </w:r>
          </w:p>
        </w:tc>
      </w:tr>
      <w:tr w:rsidR="00B86FB3" w:rsidRPr="00FF756A" w14:paraId="1F63D5F7"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55" w:type="dxa"/>
            <w:noWrap/>
            <w:hideMark/>
          </w:tcPr>
          <w:p w14:paraId="5416E353" w14:textId="77777777" w:rsidR="00B86FB3" w:rsidRPr="00FF756A" w:rsidRDefault="00B86FB3" w:rsidP="00B86FB3">
            <w:pPr>
              <w:rPr>
                <w:rFonts w:cs="Times New Roman"/>
                <w:b w:val="0"/>
                <w:sz w:val="20"/>
              </w:rPr>
            </w:pPr>
            <w:r w:rsidRPr="00FF756A">
              <w:rPr>
                <w:rFonts w:cs="Times New Roman"/>
                <w:sz w:val="20"/>
              </w:rPr>
              <w:t>Energjia diellore</w:t>
            </w:r>
          </w:p>
        </w:tc>
        <w:tc>
          <w:tcPr>
            <w:tcW w:w="936" w:type="dxa"/>
            <w:noWrap/>
          </w:tcPr>
          <w:p w14:paraId="0D1BD7B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1,5%</w:t>
            </w:r>
          </w:p>
        </w:tc>
        <w:tc>
          <w:tcPr>
            <w:tcW w:w="936" w:type="dxa"/>
            <w:noWrap/>
          </w:tcPr>
          <w:p w14:paraId="002E9AC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1,6%</w:t>
            </w:r>
          </w:p>
        </w:tc>
        <w:tc>
          <w:tcPr>
            <w:tcW w:w="936" w:type="dxa"/>
            <w:noWrap/>
          </w:tcPr>
          <w:p w14:paraId="16F3EF2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1,6%</w:t>
            </w:r>
          </w:p>
        </w:tc>
        <w:tc>
          <w:tcPr>
            <w:tcW w:w="936" w:type="dxa"/>
            <w:noWrap/>
          </w:tcPr>
          <w:p w14:paraId="272B5E0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1,7%</w:t>
            </w:r>
          </w:p>
        </w:tc>
        <w:tc>
          <w:tcPr>
            <w:tcW w:w="936" w:type="dxa"/>
            <w:noWrap/>
          </w:tcPr>
          <w:p w14:paraId="45C2073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2,1%</w:t>
            </w:r>
          </w:p>
        </w:tc>
        <w:tc>
          <w:tcPr>
            <w:tcW w:w="936" w:type="dxa"/>
            <w:noWrap/>
          </w:tcPr>
          <w:p w14:paraId="3F9C880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3,1%</w:t>
            </w:r>
          </w:p>
        </w:tc>
        <w:tc>
          <w:tcPr>
            <w:tcW w:w="936" w:type="dxa"/>
            <w:noWrap/>
          </w:tcPr>
          <w:p w14:paraId="731B385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4,5%</w:t>
            </w:r>
          </w:p>
        </w:tc>
        <w:tc>
          <w:tcPr>
            <w:tcW w:w="1333" w:type="dxa"/>
          </w:tcPr>
          <w:p w14:paraId="764DBD4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FF756A">
              <w:rPr>
                <w:rFonts w:cs="Times New Roman"/>
                <w:sz w:val="20"/>
                <w:szCs w:val="20"/>
              </w:rPr>
              <w:t>6,5%</w:t>
            </w:r>
          </w:p>
        </w:tc>
      </w:tr>
      <w:tr w:rsidR="00B86FB3" w:rsidRPr="00FF756A" w14:paraId="26B44418"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8840" w:type="dxa"/>
            <w:gridSpan w:val="9"/>
            <w:noWrap/>
            <w:hideMark/>
          </w:tcPr>
          <w:p w14:paraId="541437FA" w14:textId="77777777" w:rsidR="00B86FB3" w:rsidRPr="00FF756A" w:rsidRDefault="00B86FB3" w:rsidP="00B86FB3">
            <w:pPr>
              <w:rPr>
                <w:rFonts w:cs="Times New Roman"/>
                <w:bCs w:val="0"/>
                <w:sz w:val="20"/>
                <w:szCs w:val="20"/>
              </w:rPr>
            </w:pPr>
            <w:r w:rsidRPr="00FF756A">
              <w:rPr>
                <w:rFonts w:cs="Times New Roman"/>
                <w:sz w:val="20"/>
                <w:szCs w:val="20"/>
              </w:rPr>
              <w:t>Shërbimet</w:t>
            </w:r>
          </w:p>
        </w:tc>
      </w:tr>
      <w:tr w:rsidR="00B86FB3" w:rsidRPr="00FF756A" w14:paraId="354A2659"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55" w:type="dxa"/>
            <w:noWrap/>
            <w:hideMark/>
          </w:tcPr>
          <w:p w14:paraId="6CA51120" w14:textId="77777777" w:rsidR="00B86FB3" w:rsidRPr="00FF756A" w:rsidRDefault="00B86FB3" w:rsidP="00B86FB3">
            <w:pPr>
              <w:rPr>
                <w:rFonts w:cs="Times New Roman"/>
                <w:b w:val="0"/>
                <w:sz w:val="20"/>
              </w:rPr>
            </w:pPr>
            <w:r w:rsidRPr="00FF756A">
              <w:rPr>
                <w:rFonts w:cs="Times New Roman"/>
                <w:sz w:val="20"/>
              </w:rPr>
              <w:t>Lënda drusore</w:t>
            </w:r>
          </w:p>
        </w:tc>
        <w:tc>
          <w:tcPr>
            <w:tcW w:w="936" w:type="dxa"/>
            <w:noWrap/>
            <w:vAlign w:val="bottom"/>
          </w:tcPr>
          <w:p w14:paraId="138EF29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color w:val="000000"/>
                <w:sz w:val="20"/>
                <w:szCs w:val="20"/>
              </w:rPr>
              <w:t>6,1%</w:t>
            </w:r>
          </w:p>
        </w:tc>
        <w:tc>
          <w:tcPr>
            <w:tcW w:w="936" w:type="dxa"/>
            <w:noWrap/>
            <w:vAlign w:val="bottom"/>
          </w:tcPr>
          <w:p w14:paraId="6DFE196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color w:val="000000"/>
                <w:sz w:val="20"/>
                <w:szCs w:val="20"/>
              </w:rPr>
              <w:t>6,1%</w:t>
            </w:r>
          </w:p>
        </w:tc>
        <w:tc>
          <w:tcPr>
            <w:tcW w:w="936" w:type="dxa"/>
            <w:noWrap/>
            <w:vAlign w:val="bottom"/>
          </w:tcPr>
          <w:p w14:paraId="48221A6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color w:val="000000"/>
                <w:sz w:val="20"/>
                <w:szCs w:val="20"/>
              </w:rPr>
              <w:t>6,1%</w:t>
            </w:r>
          </w:p>
        </w:tc>
        <w:tc>
          <w:tcPr>
            <w:tcW w:w="936" w:type="dxa"/>
            <w:noWrap/>
            <w:vAlign w:val="bottom"/>
          </w:tcPr>
          <w:p w14:paraId="5F5BB70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color w:val="000000"/>
                <w:sz w:val="20"/>
                <w:szCs w:val="20"/>
              </w:rPr>
              <w:t>6,1%</w:t>
            </w:r>
          </w:p>
        </w:tc>
        <w:tc>
          <w:tcPr>
            <w:tcW w:w="936" w:type="dxa"/>
            <w:noWrap/>
            <w:vAlign w:val="bottom"/>
          </w:tcPr>
          <w:p w14:paraId="5C8AABE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color w:val="000000"/>
                <w:sz w:val="20"/>
                <w:szCs w:val="20"/>
              </w:rPr>
              <w:t>6,1%</w:t>
            </w:r>
          </w:p>
        </w:tc>
        <w:tc>
          <w:tcPr>
            <w:tcW w:w="936" w:type="dxa"/>
            <w:noWrap/>
            <w:vAlign w:val="bottom"/>
          </w:tcPr>
          <w:p w14:paraId="4EF123D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color w:val="000000"/>
                <w:sz w:val="20"/>
                <w:szCs w:val="20"/>
              </w:rPr>
              <w:t>6,1%</w:t>
            </w:r>
          </w:p>
        </w:tc>
        <w:tc>
          <w:tcPr>
            <w:tcW w:w="936" w:type="dxa"/>
            <w:noWrap/>
            <w:vAlign w:val="bottom"/>
          </w:tcPr>
          <w:p w14:paraId="13F7E88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color w:val="000000"/>
                <w:sz w:val="20"/>
                <w:szCs w:val="20"/>
              </w:rPr>
              <w:t>6,1%</w:t>
            </w:r>
          </w:p>
        </w:tc>
        <w:tc>
          <w:tcPr>
            <w:tcW w:w="1333" w:type="dxa"/>
            <w:vAlign w:val="bottom"/>
          </w:tcPr>
          <w:p w14:paraId="28A0A0E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FF756A">
              <w:rPr>
                <w:rFonts w:cs="Times New Roman"/>
                <w:color w:val="000000"/>
                <w:sz w:val="20"/>
                <w:szCs w:val="20"/>
              </w:rPr>
              <w:t>6,1%</w:t>
            </w:r>
          </w:p>
        </w:tc>
      </w:tr>
      <w:tr w:rsidR="00B86FB3" w:rsidRPr="00FF756A" w14:paraId="42C25218"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955" w:type="dxa"/>
            <w:noWrap/>
            <w:hideMark/>
          </w:tcPr>
          <w:p w14:paraId="78ADE90A" w14:textId="77777777" w:rsidR="00B86FB3" w:rsidRPr="00FF756A" w:rsidRDefault="00B86FB3" w:rsidP="00B86FB3">
            <w:pPr>
              <w:rPr>
                <w:rFonts w:cs="Times New Roman"/>
                <w:b w:val="0"/>
                <w:sz w:val="20"/>
              </w:rPr>
            </w:pPr>
            <w:r w:rsidRPr="00FF756A">
              <w:rPr>
                <w:rFonts w:cs="Times New Roman"/>
                <w:sz w:val="20"/>
              </w:rPr>
              <w:t>Energjia diellore</w:t>
            </w:r>
          </w:p>
        </w:tc>
        <w:tc>
          <w:tcPr>
            <w:tcW w:w="936" w:type="dxa"/>
            <w:noWrap/>
            <w:vAlign w:val="bottom"/>
          </w:tcPr>
          <w:p w14:paraId="42D2142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color w:val="000000"/>
                <w:sz w:val="20"/>
                <w:szCs w:val="20"/>
              </w:rPr>
              <w:t>2,3%</w:t>
            </w:r>
          </w:p>
        </w:tc>
        <w:tc>
          <w:tcPr>
            <w:tcW w:w="936" w:type="dxa"/>
            <w:noWrap/>
            <w:vAlign w:val="bottom"/>
          </w:tcPr>
          <w:p w14:paraId="105AF44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color w:val="000000"/>
                <w:sz w:val="20"/>
                <w:szCs w:val="20"/>
              </w:rPr>
              <w:t>2,3%</w:t>
            </w:r>
          </w:p>
        </w:tc>
        <w:tc>
          <w:tcPr>
            <w:tcW w:w="936" w:type="dxa"/>
            <w:noWrap/>
            <w:vAlign w:val="bottom"/>
          </w:tcPr>
          <w:p w14:paraId="0C59394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color w:val="000000"/>
                <w:sz w:val="20"/>
                <w:szCs w:val="20"/>
              </w:rPr>
              <w:t>2,3%</w:t>
            </w:r>
          </w:p>
        </w:tc>
        <w:tc>
          <w:tcPr>
            <w:tcW w:w="936" w:type="dxa"/>
            <w:noWrap/>
            <w:vAlign w:val="bottom"/>
          </w:tcPr>
          <w:p w14:paraId="55F7469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color w:val="000000"/>
                <w:sz w:val="20"/>
                <w:szCs w:val="20"/>
              </w:rPr>
              <w:t>2,3%</w:t>
            </w:r>
          </w:p>
        </w:tc>
        <w:tc>
          <w:tcPr>
            <w:tcW w:w="936" w:type="dxa"/>
            <w:noWrap/>
            <w:vAlign w:val="bottom"/>
          </w:tcPr>
          <w:p w14:paraId="0A5AE02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color w:val="000000"/>
                <w:sz w:val="20"/>
                <w:szCs w:val="20"/>
              </w:rPr>
              <w:t>2,3%</w:t>
            </w:r>
          </w:p>
        </w:tc>
        <w:tc>
          <w:tcPr>
            <w:tcW w:w="936" w:type="dxa"/>
            <w:noWrap/>
            <w:vAlign w:val="bottom"/>
          </w:tcPr>
          <w:p w14:paraId="5B54EEF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color w:val="000000"/>
                <w:sz w:val="20"/>
                <w:szCs w:val="20"/>
              </w:rPr>
              <w:t>2,3%</w:t>
            </w:r>
          </w:p>
        </w:tc>
        <w:tc>
          <w:tcPr>
            <w:tcW w:w="936" w:type="dxa"/>
            <w:noWrap/>
            <w:vAlign w:val="bottom"/>
          </w:tcPr>
          <w:p w14:paraId="64611EB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color w:val="000000"/>
                <w:sz w:val="20"/>
                <w:szCs w:val="20"/>
              </w:rPr>
              <w:t>2,3%</w:t>
            </w:r>
          </w:p>
        </w:tc>
        <w:tc>
          <w:tcPr>
            <w:tcW w:w="1333" w:type="dxa"/>
            <w:vAlign w:val="bottom"/>
          </w:tcPr>
          <w:p w14:paraId="7CE39B1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FF756A">
              <w:rPr>
                <w:rFonts w:cs="Times New Roman"/>
                <w:color w:val="000000"/>
                <w:sz w:val="20"/>
                <w:szCs w:val="20"/>
              </w:rPr>
              <w:t>2,3%</w:t>
            </w:r>
          </w:p>
        </w:tc>
      </w:tr>
      <w:tr w:rsidR="00B86FB3" w:rsidRPr="00FF756A" w14:paraId="7121003D"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840" w:type="dxa"/>
            <w:gridSpan w:val="9"/>
            <w:noWrap/>
          </w:tcPr>
          <w:p w14:paraId="33D44327" w14:textId="77777777" w:rsidR="00B86FB3" w:rsidRPr="00FF756A" w:rsidRDefault="00B86FB3" w:rsidP="00B86FB3">
            <w:pPr>
              <w:rPr>
                <w:rFonts w:cs="Times New Roman"/>
                <w:bCs w:val="0"/>
                <w:sz w:val="20"/>
                <w:szCs w:val="20"/>
              </w:rPr>
            </w:pPr>
            <w:r w:rsidRPr="00FF756A">
              <w:rPr>
                <w:rFonts w:cs="Times New Roman"/>
                <w:sz w:val="20"/>
                <w:szCs w:val="20"/>
              </w:rPr>
              <w:t>Industria</w:t>
            </w:r>
          </w:p>
        </w:tc>
      </w:tr>
      <w:tr w:rsidR="00B86FB3" w:rsidRPr="00FF756A" w14:paraId="2113C97A"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955" w:type="dxa"/>
            <w:noWrap/>
          </w:tcPr>
          <w:p w14:paraId="1A131288" w14:textId="77777777" w:rsidR="00B86FB3" w:rsidRPr="00FF756A" w:rsidRDefault="00B86FB3" w:rsidP="00B86FB3">
            <w:pPr>
              <w:rPr>
                <w:rFonts w:cs="Times New Roman"/>
                <w:b w:val="0"/>
                <w:sz w:val="20"/>
              </w:rPr>
            </w:pPr>
            <w:r w:rsidRPr="00FF756A">
              <w:rPr>
                <w:rFonts w:cs="Times New Roman"/>
                <w:sz w:val="20"/>
              </w:rPr>
              <w:t>Lënda drusore</w:t>
            </w:r>
          </w:p>
        </w:tc>
        <w:tc>
          <w:tcPr>
            <w:tcW w:w="936" w:type="dxa"/>
            <w:noWrap/>
          </w:tcPr>
          <w:p w14:paraId="68BAB44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2,1%</w:t>
            </w:r>
          </w:p>
        </w:tc>
        <w:tc>
          <w:tcPr>
            <w:tcW w:w="936" w:type="dxa"/>
            <w:noWrap/>
          </w:tcPr>
          <w:p w14:paraId="5DA430C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1,7%</w:t>
            </w:r>
          </w:p>
        </w:tc>
        <w:tc>
          <w:tcPr>
            <w:tcW w:w="936" w:type="dxa"/>
            <w:noWrap/>
          </w:tcPr>
          <w:p w14:paraId="7EF0730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1,7%</w:t>
            </w:r>
          </w:p>
        </w:tc>
        <w:tc>
          <w:tcPr>
            <w:tcW w:w="936" w:type="dxa"/>
            <w:noWrap/>
          </w:tcPr>
          <w:p w14:paraId="697A800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1,8%</w:t>
            </w:r>
          </w:p>
        </w:tc>
        <w:tc>
          <w:tcPr>
            <w:tcW w:w="936" w:type="dxa"/>
            <w:noWrap/>
          </w:tcPr>
          <w:p w14:paraId="1B8D8EE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1,8%</w:t>
            </w:r>
          </w:p>
        </w:tc>
        <w:tc>
          <w:tcPr>
            <w:tcW w:w="936" w:type="dxa"/>
            <w:noWrap/>
          </w:tcPr>
          <w:p w14:paraId="20AF833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2,0%</w:t>
            </w:r>
          </w:p>
        </w:tc>
        <w:tc>
          <w:tcPr>
            <w:tcW w:w="936" w:type="dxa"/>
            <w:noWrap/>
          </w:tcPr>
          <w:p w14:paraId="0849AC4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2,3%</w:t>
            </w:r>
          </w:p>
        </w:tc>
        <w:tc>
          <w:tcPr>
            <w:tcW w:w="1333" w:type="dxa"/>
          </w:tcPr>
          <w:p w14:paraId="0D62C45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FF756A">
              <w:rPr>
                <w:rFonts w:cs="Times New Roman"/>
                <w:sz w:val="20"/>
                <w:szCs w:val="20"/>
              </w:rPr>
              <w:t>2,7%</w:t>
            </w:r>
          </w:p>
        </w:tc>
      </w:tr>
      <w:tr w:rsidR="00B86FB3" w:rsidRPr="00FF756A" w14:paraId="4AFB3530"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55" w:type="dxa"/>
            <w:noWrap/>
          </w:tcPr>
          <w:p w14:paraId="0F250ED0" w14:textId="77777777" w:rsidR="00B86FB3" w:rsidRPr="00FF756A" w:rsidRDefault="00B86FB3" w:rsidP="00B86FB3">
            <w:pPr>
              <w:rPr>
                <w:rFonts w:cs="Times New Roman"/>
                <w:b w:val="0"/>
                <w:sz w:val="20"/>
              </w:rPr>
            </w:pPr>
            <w:r w:rsidRPr="00FF756A">
              <w:rPr>
                <w:rFonts w:cs="Times New Roman"/>
                <w:sz w:val="20"/>
              </w:rPr>
              <w:t>Energjia diellore</w:t>
            </w:r>
          </w:p>
        </w:tc>
        <w:tc>
          <w:tcPr>
            <w:tcW w:w="936" w:type="dxa"/>
            <w:noWrap/>
          </w:tcPr>
          <w:p w14:paraId="1BB5EB9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0,3%</w:t>
            </w:r>
          </w:p>
        </w:tc>
        <w:tc>
          <w:tcPr>
            <w:tcW w:w="936" w:type="dxa"/>
            <w:noWrap/>
          </w:tcPr>
          <w:p w14:paraId="2D1C229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0,3%</w:t>
            </w:r>
          </w:p>
        </w:tc>
        <w:tc>
          <w:tcPr>
            <w:tcW w:w="936" w:type="dxa"/>
            <w:noWrap/>
          </w:tcPr>
          <w:p w14:paraId="2B68358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0,3%</w:t>
            </w:r>
          </w:p>
        </w:tc>
        <w:tc>
          <w:tcPr>
            <w:tcW w:w="936" w:type="dxa"/>
            <w:noWrap/>
          </w:tcPr>
          <w:p w14:paraId="57D95B3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0,3%</w:t>
            </w:r>
          </w:p>
        </w:tc>
        <w:tc>
          <w:tcPr>
            <w:tcW w:w="936" w:type="dxa"/>
            <w:noWrap/>
          </w:tcPr>
          <w:p w14:paraId="488E615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0,3%</w:t>
            </w:r>
          </w:p>
        </w:tc>
        <w:tc>
          <w:tcPr>
            <w:tcW w:w="936" w:type="dxa"/>
            <w:noWrap/>
          </w:tcPr>
          <w:p w14:paraId="193A390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0,3%</w:t>
            </w:r>
          </w:p>
        </w:tc>
        <w:tc>
          <w:tcPr>
            <w:tcW w:w="936" w:type="dxa"/>
            <w:noWrap/>
          </w:tcPr>
          <w:p w14:paraId="69AB82C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0,3%</w:t>
            </w:r>
          </w:p>
        </w:tc>
        <w:tc>
          <w:tcPr>
            <w:tcW w:w="1333" w:type="dxa"/>
          </w:tcPr>
          <w:p w14:paraId="73C440E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FF756A">
              <w:rPr>
                <w:rFonts w:cs="Times New Roman"/>
                <w:sz w:val="20"/>
                <w:szCs w:val="20"/>
              </w:rPr>
              <w:t>0,4%</w:t>
            </w:r>
          </w:p>
        </w:tc>
      </w:tr>
      <w:tr w:rsidR="00B86FB3" w:rsidRPr="00FF756A" w14:paraId="4A8A5B09"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8840" w:type="dxa"/>
            <w:gridSpan w:val="9"/>
            <w:noWrap/>
            <w:hideMark/>
          </w:tcPr>
          <w:p w14:paraId="223446BC" w14:textId="77777777" w:rsidR="00B86FB3" w:rsidRPr="00FF756A" w:rsidRDefault="00B86FB3" w:rsidP="00B86FB3">
            <w:pPr>
              <w:keepNext/>
              <w:rPr>
                <w:rFonts w:cs="Times New Roman"/>
                <w:bCs w:val="0"/>
                <w:sz w:val="20"/>
                <w:szCs w:val="20"/>
              </w:rPr>
            </w:pPr>
            <w:r w:rsidRPr="00FF756A">
              <w:rPr>
                <w:rFonts w:cs="Times New Roman"/>
                <w:sz w:val="20"/>
                <w:szCs w:val="20"/>
              </w:rPr>
              <w:t>Totali</w:t>
            </w:r>
          </w:p>
        </w:tc>
      </w:tr>
      <w:tr w:rsidR="00B86FB3" w:rsidRPr="00FF756A" w14:paraId="7F616496"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55" w:type="dxa"/>
            <w:noWrap/>
          </w:tcPr>
          <w:p w14:paraId="38D33FB6" w14:textId="77777777" w:rsidR="00B86FB3" w:rsidRPr="00FF756A" w:rsidRDefault="00B86FB3" w:rsidP="00B86FB3">
            <w:pPr>
              <w:rPr>
                <w:rFonts w:cs="Times New Roman"/>
                <w:b w:val="0"/>
                <w:sz w:val="20"/>
              </w:rPr>
            </w:pPr>
            <w:r w:rsidRPr="00FF756A">
              <w:rPr>
                <w:rFonts w:cs="Times New Roman"/>
                <w:sz w:val="20"/>
              </w:rPr>
              <w:t>Lënda drusore</w:t>
            </w:r>
          </w:p>
        </w:tc>
        <w:tc>
          <w:tcPr>
            <w:tcW w:w="936" w:type="dxa"/>
            <w:noWrap/>
          </w:tcPr>
          <w:p w14:paraId="1B4001F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7,8%</w:t>
            </w:r>
          </w:p>
        </w:tc>
        <w:tc>
          <w:tcPr>
            <w:tcW w:w="936" w:type="dxa"/>
            <w:noWrap/>
          </w:tcPr>
          <w:p w14:paraId="0198E45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7,1%</w:t>
            </w:r>
          </w:p>
        </w:tc>
        <w:tc>
          <w:tcPr>
            <w:tcW w:w="936" w:type="dxa"/>
            <w:noWrap/>
          </w:tcPr>
          <w:p w14:paraId="617D5FA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6,9%</w:t>
            </w:r>
          </w:p>
        </w:tc>
        <w:tc>
          <w:tcPr>
            <w:tcW w:w="936" w:type="dxa"/>
            <w:noWrap/>
          </w:tcPr>
          <w:p w14:paraId="21CB9FC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6,8%</w:t>
            </w:r>
          </w:p>
        </w:tc>
        <w:tc>
          <w:tcPr>
            <w:tcW w:w="936" w:type="dxa"/>
            <w:noWrap/>
          </w:tcPr>
          <w:p w14:paraId="1BBC676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6,6%</w:t>
            </w:r>
          </w:p>
        </w:tc>
        <w:tc>
          <w:tcPr>
            <w:tcW w:w="936" w:type="dxa"/>
            <w:noWrap/>
          </w:tcPr>
          <w:p w14:paraId="25D7044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6,1%</w:t>
            </w:r>
          </w:p>
        </w:tc>
        <w:tc>
          <w:tcPr>
            <w:tcW w:w="936" w:type="dxa"/>
            <w:noWrap/>
          </w:tcPr>
          <w:p w14:paraId="44CAE96F" w14:textId="77777777" w:rsidR="00B86FB3" w:rsidRPr="00FF756A" w:rsidRDefault="00B86FB3" w:rsidP="00B86FB3">
            <w:pPr>
              <w:keepNext/>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5,1%</w:t>
            </w:r>
          </w:p>
        </w:tc>
        <w:tc>
          <w:tcPr>
            <w:tcW w:w="1333" w:type="dxa"/>
          </w:tcPr>
          <w:p w14:paraId="376A2D87" w14:textId="77777777" w:rsidR="00B86FB3" w:rsidRPr="00FF756A" w:rsidRDefault="00B86FB3" w:rsidP="00B86FB3">
            <w:pPr>
              <w:keepNext/>
              <w:jc w:val="right"/>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FF756A">
              <w:rPr>
                <w:rFonts w:cs="Times New Roman"/>
                <w:sz w:val="20"/>
                <w:szCs w:val="20"/>
              </w:rPr>
              <w:t>4,7%</w:t>
            </w:r>
          </w:p>
        </w:tc>
      </w:tr>
      <w:tr w:rsidR="00B86FB3" w:rsidRPr="00FF756A" w14:paraId="0D1248D3"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955" w:type="dxa"/>
            <w:noWrap/>
          </w:tcPr>
          <w:p w14:paraId="565CD8CF" w14:textId="77777777" w:rsidR="00B86FB3" w:rsidRPr="00FF756A" w:rsidRDefault="00B86FB3" w:rsidP="00B86FB3">
            <w:pPr>
              <w:rPr>
                <w:rFonts w:cs="Times New Roman"/>
                <w:b w:val="0"/>
                <w:sz w:val="20"/>
              </w:rPr>
            </w:pPr>
            <w:r w:rsidRPr="00FF756A">
              <w:rPr>
                <w:rFonts w:cs="Times New Roman"/>
                <w:sz w:val="20"/>
              </w:rPr>
              <w:t>Energjia diellore</w:t>
            </w:r>
          </w:p>
        </w:tc>
        <w:tc>
          <w:tcPr>
            <w:tcW w:w="936" w:type="dxa"/>
            <w:noWrap/>
          </w:tcPr>
          <w:p w14:paraId="42F6630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0,7%</w:t>
            </w:r>
          </w:p>
        </w:tc>
        <w:tc>
          <w:tcPr>
            <w:tcW w:w="936" w:type="dxa"/>
            <w:noWrap/>
          </w:tcPr>
          <w:p w14:paraId="0141D79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0,7%</w:t>
            </w:r>
          </w:p>
        </w:tc>
        <w:tc>
          <w:tcPr>
            <w:tcW w:w="936" w:type="dxa"/>
            <w:noWrap/>
          </w:tcPr>
          <w:p w14:paraId="55F9743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0,7%</w:t>
            </w:r>
          </w:p>
        </w:tc>
        <w:tc>
          <w:tcPr>
            <w:tcW w:w="936" w:type="dxa"/>
            <w:noWrap/>
          </w:tcPr>
          <w:p w14:paraId="5DECDF3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0,7%</w:t>
            </w:r>
          </w:p>
        </w:tc>
        <w:tc>
          <w:tcPr>
            <w:tcW w:w="936" w:type="dxa"/>
            <w:noWrap/>
          </w:tcPr>
          <w:p w14:paraId="633D0A5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0,8%</w:t>
            </w:r>
          </w:p>
        </w:tc>
        <w:tc>
          <w:tcPr>
            <w:tcW w:w="936" w:type="dxa"/>
            <w:noWrap/>
          </w:tcPr>
          <w:p w14:paraId="37C37E8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1,0%</w:t>
            </w:r>
          </w:p>
        </w:tc>
        <w:tc>
          <w:tcPr>
            <w:tcW w:w="936" w:type="dxa"/>
            <w:noWrap/>
          </w:tcPr>
          <w:p w14:paraId="61D90A34" w14:textId="77777777" w:rsidR="00B86FB3" w:rsidRPr="00FF756A" w:rsidRDefault="00B86FB3" w:rsidP="00B86FB3">
            <w:pPr>
              <w:keepNext/>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1,1%</w:t>
            </w:r>
          </w:p>
        </w:tc>
        <w:tc>
          <w:tcPr>
            <w:tcW w:w="1333" w:type="dxa"/>
          </w:tcPr>
          <w:p w14:paraId="5E6969F2" w14:textId="77777777" w:rsidR="00B86FB3" w:rsidRPr="00FF756A" w:rsidRDefault="00B86FB3" w:rsidP="003F200D">
            <w:pPr>
              <w:keepNext/>
              <w:jc w:val="right"/>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FF756A">
              <w:rPr>
                <w:rFonts w:cs="Times New Roman"/>
                <w:sz w:val="20"/>
                <w:szCs w:val="20"/>
              </w:rPr>
              <w:t>1,4%</w:t>
            </w:r>
          </w:p>
        </w:tc>
      </w:tr>
    </w:tbl>
    <w:p w14:paraId="0BB9F48E" w14:textId="418630BD" w:rsidR="00B86FB3" w:rsidRPr="00FF756A" w:rsidRDefault="003F200D" w:rsidP="003F200D">
      <w:pPr>
        <w:pStyle w:val="Caption"/>
        <w:rPr>
          <w:rFonts w:ascii="Times New Roman" w:hAnsi="Times New Roman"/>
        </w:rPr>
      </w:pPr>
      <w:bookmarkStart w:id="559" w:name="_Toc183016502"/>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38</w:t>
      </w:r>
      <w:r w:rsidR="008E7DE9" w:rsidRPr="00FF756A">
        <w:rPr>
          <w:rFonts w:ascii="Times New Roman" w:hAnsi="Times New Roman"/>
          <w:noProof/>
        </w:rPr>
        <w:fldChar w:fldCharType="end"/>
      </w:r>
      <w:r w:rsidRPr="00FF756A">
        <w:rPr>
          <w:rFonts w:ascii="Times New Roman" w:hAnsi="Times New Roman"/>
        </w:rPr>
        <w:t>: Përqindja e energjisë nga lënda drusore dhe burimet diellore në kërkesën finale për energji të sektorëve që shfrytëzojnë këto burime. Vini re se përqindjet këtu nuk janë të njëjta me përqindjen e BRE-N &amp; F, pasi kjo e fundit nuk është në raport me ener</w:t>
      </w:r>
      <w:bookmarkEnd w:id="559"/>
    </w:p>
    <w:p w14:paraId="4DCFF521" w14:textId="77777777" w:rsidR="007D178B" w:rsidRPr="00FF756A" w:rsidRDefault="007D178B" w:rsidP="00B86FB3"/>
    <w:p w14:paraId="77E7B1CA" w14:textId="2BB6A59A" w:rsidR="00B86FB3" w:rsidRPr="00FF756A" w:rsidRDefault="00B86FB3" w:rsidP="00B86FB3">
      <w:r w:rsidRPr="00FF756A">
        <w:fldChar w:fldCharType="begin"/>
      </w:r>
      <w:r w:rsidRPr="00FF756A">
        <w:instrText xml:space="preserve"> REF _Ref71821423 \h  \* MERGEFORMAT </w:instrText>
      </w:r>
      <w:r w:rsidRPr="00FF756A">
        <w:fldChar w:fldCharType="separate"/>
      </w:r>
      <w:r w:rsidRPr="00FF756A">
        <w:t xml:space="preserve">Figura </w:t>
      </w:r>
      <w:r w:rsidR="00EB243B" w:rsidRPr="00FF756A">
        <w:t>46</w:t>
      </w:r>
      <w:r w:rsidRPr="00FF756A">
        <w:fldChar w:fldCharType="end"/>
      </w:r>
      <w:r w:rsidRPr="00FF756A">
        <w:t xml:space="preserve"> paraqet kërkesën finale për energji për ngrohjen e hapësirave në sektorin e banesave, si sektori me kërkesën më të lartë për energji të rinovueshme të ndryshme nga energjia elektrike. Kërkesa finale për energji reduktohet gradualisht me zbatimin e një skeme të konsoliduar rinovimi, që shpjegohet në seksionin 4.1.ii. Rinovimi dhe rikonstruktimi rezultojnë në reduktim të intensitetit final të energjisë për ngrohje. Krahas kësaj, supozohet që pompat e nxehtësisë do të zëvendësojnë përdorimin e energjisë elektrike për ngrohje nëse kryhet rinovimi rrënjësor, i cili nënkupton p.sh. zëvendësimin e dritareve në përputhje me </w:t>
      </w:r>
      <w:sdt>
        <w:sdtPr>
          <w:alias w:val="Për të modifikuar, shihni citavi.com/edit"/>
          <w:tag w:val="CitaviPlaceholder#bb361abf-7fc3-4e9f-81ea-4f9b89b4ab70"/>
          <w:id w:val="-719364293"/>
          <w:placeholder>
            <w:docPart w:val="4BC1473305F64FD78CB70DEB332CF329"/>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}</w:instrText>
          </w:r>
          <w:r w:rsidRPr="00FF756A">
            <w:fldChar w:fldCharType="separate"/>
          </w:r>
          <w:r w:rsidRPr="00FF756A">
            <w:t>SLED</w:t>
          </w:r>
          <w:r w:rsidRPr="00FF756A">
            <w:fldChar w:fldCharType="end"/>
          </w:r>
        </w:sdtContent>
      </w:sdt>
      <w:r w:rsidRPr="00FF756A">
        <w:t xml:space="preserve"> </w:t>
      </w:r>
      <w:sdt>
        <w:sdtPr>
          <w:alias w:val="Për të modifikuar, shihni citavi.com/edit"/>
          <w:tag w:val="CitaviPlaceholder#3416097d-dc81-44b4-9418-58baf3e4741e"/>
          <w:id w:val="799190251"/>
          <w:placeholder>
            <w:docPart w:val="4BC1473305F64FD78CB70DEB332CF329"/>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}</w:instrText>
          </w:r>
          <w:r w:rsidRPr="00FF756A">
            <w:fldChar w:fldCharType="separate"/>
          </w:r>
          <w:r w:rsidRPr="00FF756A">
            <w:t>(2015)</w:t>
          </w:r>
          <w:r w:rsidRPr="00FF756A">
            <w:fldChar w:fldCharType="end"/>
          </w:r>
        </w:sdtContent>
      </w:sdt>
      <w:r w:rsidRPr="00FF756A">
        <w:t>. Në parashikim nuk pasqyrohet shprehimisht energjia që gjendet në nxehtësinë e ambientit, por vetëm energjia elektrike e përdorur për të vënë në punë pompën e nxehtësisë. Kjo përcakton intensitetin final të energjisë për ngrohjen e hapësirave, i cili rrjedhimisht pëson reduktim. Konsumi i energjisë elektrike rritet si pasojë e tendencës në rritje të përdorimit të pajisjeve, çka lidhet me rritjen e PBB-së për frymë dhe elektrifikimin e ngrohjes së hapësirave.</w:t>
      </w:r>
    </w:p>
    <w:p w14:paraId="30BD8A3F" w14:textId="77777777" w:rsidR="003F200D" w:rsidRPr="00FF756A" w:rsidRDefault="00B86FB3" w:rsidP="003F200D">
      <w:pPr>
        <w:keepNext/>
      </w:pPr>
      <w:r w:rsidRPr="00FF756A">
        <w:rPr>
          <w:noProof/>
          <w:lang w:val="en-US"/>
        </w:rPr>
        <w:drawing>
          <wp:inline distT="0" distB="0" distL="0" distR="0" wp14:anchorId="2471EF01" wp14:editId="41EAC27E">
            <wp:extent cx="5760720" cy="3456305"/>
            <wp:effectExtent l="0" t="0" r="0" b="0"/>
            <wp:docPr id="778443549" name="Picture 7"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43549" name="Picture 7" descr="A graph of different colored bars&#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0E9C9A28" w14:textId="7AA98D84" w:rsidR="00B86FB3" w:rsidRPr="00FF756A" w:rsidRDefault="003F200D" w:rsidP="003F200D">
      <w:pPr>
        <w:pStyle w:val="Caption"/>
        <w:rPr>
          <w:rFonts w:ascii="Times New Roman" w:hAnsi="Times New Roman"/>
        </w:rPr>
      </w:pPr>
      <w:bookmarkStart w:id="560" w:name="_Toc183016576"/>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46</w:t>
      </w:r>
      <w:r w:rsidR="008E7DE9" w:rsidRPr="00FF756A">
        <w:rPr>
          <w:rFonts w:ascii="Times New Roman" w:hAnsi="Times New Roman"/>
          <w:noProof/>
        </w:rPr>
        <w:fldChar w:fldCharType="end"/>
      </w:r>
      <w:r w:rsidRPr="00FF756A">
        <w:rPr>
          <w:rFonts w:ascii="Times New Roman" w:hAnsi="Times New Roman"/>
        </w:rPr>
        <w:t>: Energjia finale dhe lëndët djegëse të përdorura në sektorin e banesave për ngrohjen e hapësirave në të gjitha kategoritë e ndërtesave dhe zonave gjeografike për periudhën kohore 2022-2024 dhe sipas parashikimit deri në vitin 2050 me masat ekzistuese.</w:t>
      </w:r>
      <w:bookmarkEnd w:id="560"/>
    </w:p>
    <w:p w14:paraId="34AE299B" w14:textId="77777777" w:rsidR="00B86FB3" w:rsidRPr="00FF756A" w:rsidRDefault="00B86FB3" w:rsidP="00B86FB3"/>
    <w:p w14:paraId="187EED03" w14:textId="77777777" w:rsidR="00B86FB3" w:rsidRPr="00FF756A" w:rsidRDefault="00B86FB3" w:rsidP="004A3257">
      <w:pPr>
        <w:keepNext/>
        <w:keepLines/>
        <w:numPr>
          <w:ilvl w:val="1"/>
          <w:numId w:val="247"/>
        </w:numPr>
        <w:spacing w:before="40" w:after="0"/>
        <w:outlineLvl w:val="1"/>
        <w:rPr>
          <w:rFonts w:eastAsiaTheme="minorEastAsia"/>
          <w:color w:val="365F91"/>
          <w:sz w:val="26"/>
          <w:szCs w:val="26"/>
          <w:lang w:eastAsia="de-DE"/>
        </w:rPr>
      </w:pPr>
      <w:bookmarkStart w:id="561" w:name="_Toc71832850"/>
      <w:bookmarkStart w:id="562" w:name="_Toc72331017"/>
      <w:bookmarkStart w:id="563" w:name="_Toc75616149"/>
      <w:bookmarkStart w:id="564" w:name="_Toc100575610"/>
      <w:bookmarkStart w:id="565" w:name="_Toc182898973"/>
      <w:bookmarkStart w:id="566" w:name="_Toc183639281"/>
      <w:r w:rsidRPr="00FF756A">
        <w:rPr>
          <w:rFonts w:eastAsiaTheme="minorEastAsia"/>
          <w:color w:val="365F91"/>
          <w:sz w:val="26"/>
          <w:szCs w:val="26"/>
          <w:lang w:eastAsia="de-DE"/>
        </w:rPr>
        <w:t>Dimensioni i efiçencës së energjisë</w:t>
      </w:r>
      <w:bookmarkEnd w:id="561"/>
      <w:bookmarkEnd w:id="562"/>
      <w:bookmarkEnd w:id="563"/>
      <w:bookmarkEnd w:id="564"/>
      <w:bookmarkEnd w:id="565"/>
      <w:bookmarkEnd w:id="566"/>
    </w:p>
    <w:p w14:paraId="58574D6D" w14:textId="77777777" w:rsidR="00B86FB3" w:rsidRPr="00FF756A" w:rsidRDefault="00B86FB3" w:rsidP="00B86FB3"/>
    <w:p w14:paraId="2842376D" w14:textId="77777777" w:rsidR="00B86FB3" w:rsidRPr="00FF756A" w:rsidRDefault="00B86FB3" w:rsidP="004A3257">
      <w:pPr>
        <w:keepNext/>
        <w:keepLines/>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rFonts w:eastAsia="Calibri Light"/>
          <w:i/>
          <w:iCs/>
          <w:color w:val="2F5496" w:themeColor="accent1" w:themeShade="BF"/>
        </w:rPr>
      </w:pPr>
      <w:bookmarkStart w:id="567" w:name="_Toc183639282"/>
      <w:r w:rsidRPr="00FF756A">
        <w:rPr>
          <w:rFonts w:eastAsia="Calibri Light"/>
          <w:i/>
          <w:iCs/>
          <w:color w:val="2F5496" w:themeColor="accent1" w:themeShade="BF"/>
        </w:rPr>
        <w:t>Konsumi aktual primar dhe final i energjisë në ekonomi dhe sipas sektorëve (duke përfshirë sektorin e industrisë, të banesave, të shërbimeve dhe të transportit)</w:t>
      </w:r>
      <w:bookmarkEnd w:id="567"/>
    </w:p>
    <w:p w14:paraId="0F55087F" w14:textId="77777777" w:rsidR="00B86FB3" w:rsidRPr="00FF756A" w:rsidRDefault="00B86FB3" w:rsidP="00B86FB3">
      <w:r w:rsidRPr="00FF756A">
        <w:t xml:space="preserve">Konsumi final i energjisë në Shqipëri (2021) është 2012 ktoe, ndërsa konsumi primar i energjisë është 2297 ktoe. Diferenca përcaktohet nga humbjet në transmetim dhe nga rafinimi i naftës bruto në produkte të rafinuara. Aktualisht, një pjesë e madhe e naftës bruto eksportohet dhe nuk përpunohet në rafineritë vendase. Siç u përmend më lart, bilanci energjetik i detajuar i kërkesës industriale në nivel nënsektorial disponohet vetëm për periudhën duke filluar nga viti 2016. Vlerat historike për vitet 2016-2021 paraqiten më poshtë në kombinim me parashikimet që marrin në konsideratë politikat dhe masat ekzistuese. </w:t>
      </w:r>
    </w:p>
    <w:p w14:paraId="4C33B6F2" w14:textId="77777777" w:rsidR="00B86FB3" w:rsidRPr="00FF756A" w:rsidRDefault="00B86FB3" w:rsidP="00B86FB3"/>
    <w:p w14:paraId="76FE2E57" w14:textId="77777777" w:rsidR="00B86FB3" w:rsidRPr="00FF756A" w:rsidRDefault="00B86FB3" w:rsidP="004A3257">
      <w:pPr>
        <w:keepNext/>
        <w:keepLines/>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rFonts w:eastAsia="Calibri Light"/>
          <w:i/>
          <w:iCs/>
          <w:color w:val="2F5496" w:themeColor="accent1" w:themeShade="BF"/>
        </w:rPr>
      </w:pPr>
      <w:bookmarkStart w:id="568" w:name="_Toc183639283"/>
      <w:r w:rsidRPr="00FF756A">
        <w:rPr>
          <w:rFonts w:eastAsia="Calibri Light"/>
          <w:i/>
          <w:iCs/>
          <w:color w:val="2F5496" w:themeColor="accent1" w:themeShade="BF"/>
        </w:rPr>
        <w:t>Potenciali aktual për aplikimin e bashkëprodhimit me efiçencë të lartë, si dhe të ngrohjes dhe ftohjes qendrore efiçente</w:t>
      </w:r>
      <w:bookmarkEnd w:id="568"/>
    </w:p>
    <w:p w14:paraId="1044A3F0" w14:textId="77777777" w:rsidR="00B86FB3" w:rsidRPr="00FF756A" w:rsidRDefault="00B86FB3" w:rsidP="00B86FB3">
      <w:r w:rsidRPr="00FF756A">
        <w:t xml:space="preserve">Aktualisht, furnizimi me energji elektrike i Shqipërisë bazohet ekskluzivisht në energjinë hidrike, ndërkohë që, sipas skenarit me masat ekzistuese, është parashikuar përdorimi i instalimeve të kufizuara të impianteve diellore fotovoltaike dhe eolike brenda vitit 2050. Aktualisht nuk operohet asnjë central që punon me lëndë djegëse fosile dhe nuk ka prodhim të energjisë nga biomasa. Për rrjedhojë, bashkëgjenerimi i nxehtësisë dhe energjisë elektrike nuk përbën një opsion të mundshëm. Momentalisht nuk ka dhe nuk planifikohet të ketë rrjete të ngrohjes qendrore. Mundësia e ngritjes së këtyre rrjeteve do të merrej në konsideratë në zona urbane më të mëdha. Industria që siguron burimet për ngrohjen qendrore (prodhimi i çimentos, hekurit, çelikut dhe aliazheve të hekurit) është e kufizuar. Megjithatë, ekziston një potencial i përgjithshëm për përdorimin e ngrohjes qendrore në të ardhmen, duke qenë se përdorimi i lëndës drusore si lëndë djegëse për ngrohjen është i lartë në ndërtesat e vjetra, të cilat po i nënshtrohen një skeme të konsoliduar rinovimi. Aktualisht nuk ka ndonjë plan apo parashikim për realizimin e projekteve në këtë drejtim. </w:t>
      </w:r>
    </w:p>
    <w:p w14:paraId="3451EA0E" w14:textId="77777777" w:rsidR="00B86FB3" w:rsidRPr="00FF756A" w:rsidRDefault="00B86FB3" w:rsidP="00B86FB3"/>
    <w:p w14:paraId="458CF9F2" w14:textId="77777777" w:rsidR="00B86FB3" w:rsidRPr="00FF756A" w:rsidRDefault="00B86FB3" w:rsidP="004A3257">
      <w:pPr>
        <w:keepNext/>
        <w:keepLines/>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rFonts w:eastAsia="Calibri Light"/>
          <w:i/>
          <w:iCs/>
          <w:color w:val="2F5496" w:themeColor="accent1" w:themeShade="BF"/>
        </w:rPr>
      </w:pPr>
      <w:bookmarkStart w:id="569" w:name="_Toc183639284"/>
      <w:r w:rsidRPr="00FF756A">
        <w:rPr>
          <w:rFonts w:eastAsia="Calibri Light"/>
          <w:i/>
          <w:iCs/>
          <w:color w:val="2F5496" w:themeColor="accent1" w:themeShade="BF"/>
        </w:rPr>
        <w:t>Parashikimet që marrin në konsideratë politikat, masat dhe programet ekzistuese të efiçencës së energjisë, të përshkruara në pikën 1.2. (ii) për konsumin primar dhe final të energjisë për secilin sektor, të paktën deri në vitin 2040 (duke përfshirë edhe vitin 2030)</w:t>
      </w:r>
      <w:bookmarkEnd w:id="569"/>
    </w:p>
    <w:p w14:paraId="4C5D911B" w14:textId="41285D2D" w:rsidR="00B86FB3" w:rsidRPr="00FF756A" w:rsidRDefault="00B86FB3" w:rsidP="00B86FB3">
      <w:r w:rsidRPr="00FF756A">
        <w:t>Furnizimi neto me energji primare në Shqipëri në vitin 2021 ishte 2297</w:t>
      </w:r>
      <w:r w:rsidRPr="00FF756A">
        <w:rPr>
          <w:sz w:val="18"/>
          <w:szCs w:val="18"/>
        </w:rPr>
        <w:t xml:space="preserve"> </w:t>
      </w:r>
      <w:r w:rsidRPr="00FF756A">
        <w:t xml:space="preserve">ktoe dhe parashikohet të rritet në 2570 ktoe brenda vitit 2030 dhe në 4183 ktoe brenda vitit 2050. </w:t>
      </w:r>
      <w:r w:rsidRPr="00FF756A">
        <w:fldChar w:fldCharType="begin"/>
      </w:r>
      <w:r w:rsidRPr="00FF756A">
        <w:instrText xml:space="preserve"> REF _Ref71838421 \h  \* MERGEFORMAT </w:instrText>
      </w:r>
      <w:r w:rsidRPr="00FF756A">
        <w:fldChar w:fldCharType="separate"/>
      </w:r>
      <w:r w:rsidRPr="00FF756A">
        <w:t xml:space="preserve">Figura </w:t>
      </w:r>
      <w:r w:rsidR="00E4567C" w:rsidRPr="00FF756A">
        <w:t>47</w:t>
      </w:r>
      <w:r w:rsidRPr="00FF756A">
        <w:fldChar w:fldCharType="end"/>
      </w:r>
      <w:r w:rsidRPr="00FF756A">
        <w:t xml:space="preserve"> paraqet furnizimin me energji primare për Shqipërinë, sipas parashikimit me masat ekzistuese deri në vitin 2050. Imazhi paraqet vlerat neto të secilës kategori të lëndëve djegëse. Duke qenë se këto vlera janë për energjinë primare, energjia elektrike paraqitet vetëm kur ajo nuk prodhohet në vend nga burime të energjisë primare (kryesisht ato hidrike), por kur importohet (kryesisht në vitet kur disponueshmëria e burimeve hidrike reduktohet qëllimisht për të studiuar ndikimin në sistemin e energjisë). Kërkesa totale për energji primare rritet, e nxitur kryesisht nga kërkesa për lëndë djegëse për transport. Kërkesa në rritje për energji elektrike plotësohet nga furnizimi në rritje me energji hidrike, kapacitetet e reja të energjisë së rinovueshme dhe centralet me gaz.  </w:t>
      </w:r>
      <w:r w:rsidRPr="00FF756A">
        <w:fldChar w:fldCharType="begin"/>
      </w:r>
      <w:r w:rsidRPr="00FF756A">
        <w:instrText xml:space="preserve"> REF _Ref75383006 \h  \* MERGEFORMAT </w:instrText>
      </w:r>
      <w:r w:rsidRPr="00FF756A">
        <w:fldChar w:fldCharType="separate"/>
      </w:r>
      <w:r w:rsidRPr="00FF756A">
        <w:t xml:space="preserve">Tabela </w:t>
      </w:r>
      <w:r w:rsidR="00E4567C" w:rsidRPr="00FF756A">
        <w:t>39</w:t>
      </w:r>
      <w:r w:rsidRPr="00FF756A">
        <w:fldChar w:fldCharType="end"/>
      </w:r>
      <w:r w:rsidRPr="00FF756A">
        <w:t xml:space="preserve"> paraqet vlerat për çdo lëndë djegëse të marrë në konsideratë. Duhet theksuar se vlerat negative i atribuohen eksportimit të lëndës djegëse përkatëse. </w:t>
      </w:r>
    </w:p>
    <w:p w14:paraId="3C948AA1" w14:textId="77777777" w:rsidR="00B86FB3" w:rsidRPr="00FF756A" w:rsidRDefault="00B86FB3" w:rsidP="00B86FB3">
      <w:pPr>
        <w:keepNext/>
      </w:pPr>
    </w:p>
    <w:p w14:paraId="273BD8AA" w14:textId="77777777" w:rsidR="003F200D" w:rsidRPr="00FF756A" w:rsidRDefault="00B86FB3" w:rsidP="003F200D">
      <w:pPr>
        <w:keepNext/>
      </w:pPr>
      <w:r w:rsidRPr="00FF756A">
        <w:rPr>
          <w:noProof/>
          <w:lang w:val="en-US"/>
        </w:rPr>
        <w:drawing>
          <wp:inline distT="0" distB="0" distL="0" distR="0" wp14:anchorId="66344066" wp14:editId="69ED15B4">
            <wp:extent cx="5760720" cy="3456305"/>
            <wp:effectExtent l="0" t="0" r="0" b="0"/>
            <wp:docPr id="407019072" name="Picture 8" descr="A graph of a number of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19072" name="Picture 8" descr="A graph of a number of colored bars&#10;&#10;Description automatically generated with medium confidenc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299729D1" w14:textId="5D2564D2" w:rsidR="00B86FB3" w:rsidRPr="00FF756A" w:rsidRDefault="003F200D" w:rsidP="003F200D">
      <w:pPr>
        <w:pStyle w:val="Caption"/>
        <w:rPr>
          <w:rFonts w:ascii="Times New Roman" w:hAnsi="Times New Roman"/>
        </w:rPr>
      </w:pPr>
      <w:bookmarkStart w:id="570" w:name="_Toc183016577"/>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47</w:t>
      </w:r>
      <w:r w:rsidR="008E7DE9" w:rsidRPr="00FF756A">
        <w:rPr>
          <w:rFonts w:ascii="Times New Roman" w:hAnsi="Times New Roman"/>
          <w:noProof/>
        </w:rPr>
        <w:fldChar w:fldCharType="end"/>
      </w:r>
      <w:r w:rsidRPr="00FF756A">
        <w:rPr>
          <w:rFonts w:ascii="Times New Roman" w:hAnsi="Times New Roman"/>
        </w:rPr>
        <w:t>: Furnizimi me energji primare për periudhën kohore 2016-2023 dhe sipas parashikimit deri në vitin 2050 me masat ekzistuese Vlerat negative tregojnë eksportet.</w:t>
      </w:r>
      <w:bookmarkEnd w:id="570"/>
    </w:p>
    <w:p w14:paraId="5D924325" w14:textId="77777777" w:rsidR="00B86FB3" w:rsidRPr="00FF756A" w:rsidRDefault="00B86FB3" w:rsidP="00B86FB3"/>
    <w:tbl>
      <w:tblPr>
        <w:tblStyle w:val="GridTable5DarkAccent10"/>
        <w:tblW w:w="4998" w:type="pct"/>
        <w:tblLook w:val="04A0" w:firstRow="1" w:lastRow="0" w:firstColumn="1" w:lastColumn="0" w:noHBand="0" w:noVBand="1"/>
      </w:tblPr>
      <w:tblGrid>
        <w:gridCol w:w="2771"/>
        <w:gridCol w:w="795"/>
        <w:gridCol w:w="786"/>
        <w:gridCol w:w="786"/>
        <w:gridCol w:w="787"/>
        <w:gridCol w:w="787"/>
        <w:gridCol w:w="787"/>
        <w:gridCol w:w="785"/>
        <w:gridCol w:w="774"/>
      </w:tblGrid>
      <w:tr w:rsidR="00B86FB3" w:rsidRPr="00FF756A" w14:paraId="4BF81E9A" w14:textId="77777777" w:rsidTr="006A3266">
        <w:trPr>
          <w:cnfStyle w:val="100000000000" w:firstRow="1" w:lastRow="0" w:firstColumn="0" w:lastColumn="0" w:oddVBand="0" w:evenVBand="0" w:oddHBand="0" w:evenHBand="0" w:firstRowFirstColumn="0" w:firstRowLastColumn="0" w:lastRowFirstColumn="0" w:lastRowLastColumn="0"/>
          <w:trHeight w:val="282"/>
          <w:tblHeader/>
        </w:trPr>
        <w:tc>
          <w:tcPr>
            <w:cnfStyle w:val="001000000000" w:firstRow="0" w:lastRow="0" w:firstColumn="1" w:lastColumn="0" w:oddVBand="0" w:evenVBand="0" w:oddHBand="0" w:evenHBand="0" w:firstRowFirstColumn="0" w:firstRowLastColumn="0" w:lastRowFirstColumn="0" w:lastRowLastColumn="0"/>
            <w:tcW w:w="1131" w:type="pct"/>
            <w:noWrap/>
            <w:hideMark/>
          </w:tcPr>
          <w:p w14:paraId="4F26CDBD" w14:textId="77777777" w:rsidR="00B86FB3" w:rsidRPr="00FF756A" w:rsidRDefault="00B86FB3" w:rsidP="00B86FB3">
            <w:pPr>
              <w:rPr>
                <w:rFonts w:eastAsia="Times New Roman" w:cs="Times New Roman"/>
                <w:b w:val="0"/>
                <w:bCs w:val="0"/>
                <w:color w:val="FFFFFF"/>
                <w:sz w:val="18"/>
                <w:szCs w:val="18"/>
              </w:rPr>
            </w:pPr>
            <w:r w:rsidRPr="00FF756A">
              <w:rPr>
                <w:rFonts w:cs="Times New Roman"/>
                <w:color w:val="FFFFFF"/>
                <w:sz w:val="18"/>
                <w:szCs w:val="18"/>
              </w:rPr>
              <w:t>Burimi [ktoe]</w:t>
            </w:r>
          </w:p>
        </w:tc>
        <w:tc>
          <w:tcPr>
            <w:tcW w:w="489" w:type="pct"/>
            <w:noWrap/>
            <w:hideMark/>
          </w:tcPr>
          <w:p w14:paraId="1EAFA9B3"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8"/>
                <w:szCs w:val="18"/>
              </w:rPr>
            </w:pPr>
            <w:r w:rsidRPr="00FF756A">
              <w:rPr>
                <w:rFonts w:cs="Times New Roman"/>
                <w:color w:val="FFFFFF"/>
                <w:sz w:val="18"/>
                <w:szCs w:val="18"/>
              </w:rPr>
              <w:t>2020</w:t>
            </w:r>
          </w:p>
        </w:tc>
        <w:tc>
          <w:tcPr>
            <w:tcW w:w="484" w:type="pct"/>
            <w:noWrap/>
            <w:hideMark/>
          </w:tcPr>
          <w:p w14:paraId="540DE9EE"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8"/>
                <w:szCs w:val="18"/>
              </w:rPr>
            </w:pPr>
            <w:r w:rsidRPr="00FF756A">
              <w:rPr>
                <w:rFonts w:cs="Times New Roman"/>
                <w:color w:val="FFFFFF"/>
                <w:sz w:val="18"/>
                <w:szCs w:val="18"/>
              </w:rPr>
              <w:t>2021</w:t>
            </w:r>
          </w:p>
        </w:tc>
        <w:tc>
          <w:tcPr>
            <w:tcW w:w="484" w:type="pct"/>
            <w:noWrap/>
            <w:hideMark/>
          </w:tcPr>
          <w:p w14:paraId="34D42841"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8"/>
                <w:szCs w:val="18"/>
              </w:rPr>
            </w:pPr>
            <w:r w:rsidRPr="00FF756A">
              <w:rPr>
                <w:rFonts w:cs="Times New Roman"/>
                <w:color w:val="FFFFFF"/>
                <w:sz w:val="18"/>
                <w:szCs w:val="18"/>
              </w:rPr>
              <w:t>2022</w:t>
            </w:r>
          </w:p>
        </w:tc>
        <w:tc>
          <w:tcPr>
            <w:tcW w:w="484" w:type="pct"/>
            <w:noWrap/>
            <w:hideMark/>
          </w:tcPr>
          <w:p w14:paraId="4A190274"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8"/>
                <w:szCs w:val="18"/>
              </w:rPr>
            </w:pPr>
            <w:r w:rsidRPr="00FF756A">
              <w:rPr>
                <w:rFonts w:cs="Times New Roman"/>
                <w:color w:val="FFFFFF"/>
                <w:sz w:val="18"/>
                <w:szCs w:val="18"/>
              </w:rPr>
              <w:t>2023</w:t>
            </w:r>
          </w:p>
        </w:tc>
        <w:tc>
          <w:tcPr>
            <w:tcW w:w="484" w:type="pct"/>
            <w:noWrap/>
            <w:hideMark/>
          </w:tcPr>
          <w:p w14:paraId="3C8008DD"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8"/>
                <w:szCs w:val="18"/>
              </w:rPr>
            </w:pPr>
            <w:r w:rsidRPr="00FF756A">
              <w:rPr>
                <w:rFonts w:cs="Times New Roman"/>
                <w:color w:val="FFFFFF"/>
                <w:sz w:val="18"/>
                <w:szCs w:val="18"/>
              </w:rPr>
              <w:t>2025</w:t>
            </w:r>
          </w:p>
        </w:tc>
        <w:tc>
          <w:tcPr>
            <w:tcW w:w="484" w:type="pct"/>
            <w:noWrap/>
            <w:hideMark/>
          </w:tcPr>
          <w:p w14:paraId="16E0CF45"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8"/>
                <w:szCs w:val="18"/>
              </w:rPr>
            </w:pPr>
            <w:r w:rsidRPr="00FF756A">
              <w:rPr>
                <w:rFonts w:cs="Times New Roman"/>
                <w:color w:val="FFFFFF"/>
                <w:sz w:val="18"/>
                <w:szCs w:val="18"/>
              </w:rPr>
              <w:t>2030</w:t>
            </w:r>
          </w:p>
        </w:tc>
        <w:tc>
          <w:tcPr>
            <w:tcW w:w="483" w:type="pct"/>
            <w:noWrap/>
            <w:hideMark/>
          </w:tcPr>
          <w:p w14:paraId="497C3A65"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8"/>
                <w:szCs w:val="18"/>
              </w:rPr>
            </w:pPr>
            <w:r w:rsidRPr="00FF756A">
              <w:rPr>
                <w:rFonts w:cs="Times New Roman"/>
                <w:color w:val="FFFFFF"/>
                <w:sz w:val="18"/>
                <w:szCs w:val="18"/>
              </w:rPr>
              <w:t>2040</w:t>
            </w:r>
          </w:p>
        </w:tc>
        <w:tc>
          <w:tcPr>
            <w:tcW w:w="477" w:type="pct"/>
          </w:tcPr>
          <w:p w14:paraId="3DD9149A"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8"/>
                <w:szCs w:val="18"/>
              </w:rPr>
            </w:pPr>
            <w:r w:rsidRPr="00FF756A">
              <w:rPr>
                <w:rFonts w:cs="Times New Roman"/>
                <w:color w:val="FFFFFF"/>
                <w:sz w:val="18"/>
                <w:szCs w:val="18"/>
              </w:rPr>
              <w:t>2050</w:t>
            </w:r>
          </w:p>
        </w:tc>
      </w:tr>
      <w:tr w:rsidR="00B86FB3" w:rsidRPr="00FF756A" w14:paraId="2AFCCFE9" w14:textId="77777777" w:rsidTr="006A326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08BADECD"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Energjia elektrike</w:t>
            </w:r>
          </w:p>
        </w:tc>
        <w:tc>
          <w:tcPr>
            <w:tcW w:w="489" w:type="pct"/>
            <w:noWrap/>
            <w:hideMark/>
          </w:tcPr>
          <w:p w14:paraId="040224A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201,2 </w:t>
            </w:r>
          </w:p>
        </w:tc>
        <w:tc>
          <w:tcPr>
            <w:tcW w:w="484" w:type="pct"/>
            <w:noWrap/>
            <w:hideMark/>
          </w:tcPr>
          <w:p w14:paraId="6146089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225,3 </w:t>
            </w:r>
          </w:p>
        </w:tc>
        <w:tc>
          <w:tcPr>
            <w:tcW w:w="484" w:type="pct"/>
            <w:noWrap/>
            <w:hideMark/>
          </w:tcPr>
          <w:p w14:paraId="56C5745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215,7 </w:t>
            </w:r>
          </w:p>
        </w:tc>
        <w:tc>
          <w:tcPr>
            <w:tcW w:w="484" w:type="pct"/>
            <w:noWrap/>
            <w:hideMark/>
          </w:tcPr>
          <w:p w14:paraId="700CC00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5,4 </w:t>
            </w:r>
          </w:p>
        </w:tc>
        <w:tc>
          <w:tcPr>
            <w:tcW w:w="484" w:type="pct"/>
            <w:noWrap/>
            <w:hideMark/>
          </w:tcPr>
          <w:p w14:paraId="34300D5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2,6 </w:t>
            </w:r>
          </w:p>
        </w:tc>
        <w:tc>
          <w:tcPr>
            <w:tcW w:w="484" w:type="pct"/>
            <w:noWrap/>
            <w:hideMark/>
          </w:tcPr>
          <w:p w14:paraId="327C5DA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   </w:t>
            </w:r>
          </w:p>
        </w:tc>
        <w:tc>
          <w:tcPr>
            <w:tcW w:w="483" w:type="pct"/>
            <w:noWrap/>
            <w:hideMark/>
          </w:tcPr>
          <w:p w14:paraId="6821BF7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83,3 </w:t>
            </w:r>
          </w:p>
        </w:tc>
        <w:tc>
          <w:tcPr>
            <w:tcW w:w="477" w:type="pct"/>
          </w:tcPr>
          <w:p w14:paraId="71BAEC0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445,0 </w:t>
            </w:r>
          </w:p>
        </w:tc>
      </w:tr>
      <w:tr w:rsidR="00B86FB3" w:rsidRPr="00FF756A" w14:paraId="4B904B9F" w14:textId="77777777" w:rsidTr="006A3266">
        <w:trPr>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3FC0E6B3"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Gazi natyror</w:t>
            </w:r>
          </w:p>
        </w:tc>
        <w:tc>
          <w:tcPr>
            <w:tcW w:w="489" w:type="pct"/>
            <w:noWrap/>
            <w:hideMark/>
          </w:tcPr>
          <w:p w14:paraId="665F3EB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44,7 </w:t>
            </w:r>
          </w:p>
        </w:tc>
        <w:tc>
          <w:tcPr>
            <w:tcW w:w="484" w:type="pct"/>
            <w:noWrap/>
            <w:hideMark/>
          </w:tcPr>
          <w:p w14:paraId="6EF4C1B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44,0 </w:t>
            </w:r>
          </w:p>
        </w:tc>
        <w:tc>
          <w:tcPr>
            <w:tcW w:w="484" w:type="pct"/>
            <w:noWrap/>
            <w:hideMark/>
          </w:tcPr>
          <w:p w14:paraId="3EB8C39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44,0 </w:t>
            </w:r>
          </w:p>
        </w:tc>
        <w:tc>
          <w:tcPr>
            <w:tcW w:w="484" w:type="pct"/>
            <w:noWrap/>
            <w:hideMark/>
          </w:tcPr>
          <w:p w14:paraId="5134CC4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43,9 </w:t>
            </w:r>
          </w:p>
        </w:tc>
        <w:tc>
          <w:tcPr>
            <w:tcW w:w="484" w:type="pct"/>
            <w:noWrap/>
            <w:hideMark/>
          </w:tcPr>
          <w:p w14:paraId="718D97C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46,2 </w:t>
            </w:r>
          </w:p>
        </w:tc>
        <w:tc>
          <w:tcPr>
            <w:tcW w:w="484" w:type="pct"/>
            <w:noWrap/>
            <w:hideMark/>
          </w:tcPr>
          <w:p w14:paraId="6003D0C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55,6 </w:t>
            </w:r>
          </w:p>
        </w:tc>
        <w:tc>
          <w:tcPr>
            <w:tcW w:w="483" w:type="pct"/>
            <w:noWrap/>
            <w:hideMark/>
          </w:tcPr>
          <w:p w14:paraId="0D6C6FE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155,1 </w:t>
            </w:r>
          </w:p>
        </w:tc>
        <w:tc>
          <w:tcPr>
            <w:tcW w:w="477" w:type="pct"/>
          </w:tcPr>
          <w:p w14:paraId="140CD69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229,0 </w:t>
            </w:r>
          </w:p>
        </w:tc>
      </w:tr>
      <w:tr w:rsidR="00B86FB3" w:rsidRPr="00FF756A" w14:paraId="6EC4F6B4" w14:textId="77777777" w:rsidTr="006A326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79B1EF85"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Me benzinë</w:t>
            </w:r>
          </w:p>
        </w:tc>
        <w:tc>
          <w:tcPr>
            <w:tcW w:w="489" w:type="pct"/>
            <w:noWrap/>
            <w:hideMark/>
          </w:tcPr>
          <w:p w14:paraId="3A3EBC9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111,8 </w:t>
            </w:r>
          </w:p>
        </w:tc>
        <w:tc>
          <w:tcPr>
            <w:tcW w:w="484" w:type="pct"/>
            <w:noWrap/>
            <w:hideMark/>
          </w:tcPr>
          <w:p w14:paraId="13D5259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127,6 </w:t>
            </w:r>
          </w:p>
        </w:tc>
        <w:tc>
          <w:tcPr>
            <w:tcW w:w="484" w:type="pct"/>
            <w:noWrap/>
            <w:hideMark/>
          </w:tcPr>
          <w:p w14:paraId="7310426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133,4 </w:t>
            </w:r>
          </w:p>
        </w:tc>
        <w:tc>
          <w:tcPr>
            <w:tcW w:w="484" w:type="pct"/>
            <w:noWrap/>
            <w:hideMark/>
          </w:tcPr>
          <w:p w14:paraId="51CFA7B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132,0 </w:t>
            </w:r>
          </w:p>
        </w:tc>
        <w:tc>
          <w:tcPr>
            <w:tcW w:w="484" w:type="pct"/>
            <w:noWrap/>
            <w:hideMark/>
          </w:tcPr>
          <w:p w14:paraId="2661993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138,8 </w:t>
            </w:r>
          </w:p>
        </w:tc>
        <w:tc>
          <w:tcPr>
            <w:tcW w:w="484" w:type="pct"/>
            <w:noWrap/>
            <w:hideMark/>
          </w:tcPr>
          <w:p w14:paraId="093F408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156,4 </w:t>
            </w:r>
          </w:p>
        </w:tc>
        <w:tc>
          <w:tcPr>
            <w:tcW w:w="483" w:type="pct"/>
            <w:noWrap/>
            <w:hideMark/>
          </w:tcPr>
          <w:p w14:paraId="5A9C20D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192,4 </w:t>
            </w:r>
          </w:p>
        </w:tc>
        <w:tc>
          <w:tcPr>
            <w:tcW w:w="477" w:type="pct"/>
          </w:tcPr>
          <w:p w14:paraId="32A493C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242,5 </w:t>
            </w:r>
          </w:p>
        </w:tc>
      </w:tr>
      <w:tr w:rsidR="00B86FB3" w:rsidRPr="00FF756A" w14:paraId="57232428" w14:textId="77777777" w:rsidTr="006A3266">
        <w:trPr>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15393BF3"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Vajguri për avionë</w:t>
            </w:r>
          </w:p>
        </w:tc>
        <w:tc>
          <w:tcPr>
            <w:tcW w:w="489" w:type="pct"/>
            <w:noWrap/>
            <w:hideMark/>
          </w:tcPr>
          <w:p w14:paraId="4FBD83C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p>
        </w:tc>
        <w:tc>
          <w:tcPr>
            <w:tcW w:w="484" w:type="pct"/>
            <w:noWrap/>
            <w:hideMark/>
          </w:tcPr>
          <w:p w14:paraId="3474A94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p>
        </w:tc>
        <w:tc>
          <w:tcPr>
            <w:tcW w:w="484" w:type="pct"/>
            <w:noWrap/>
            <w:hideMark/>
          </w:tcPr>
          <w:p w14:paraId="7A8FEA8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p>
        </w:tc>
        <w:tc>
          <w:tcPr>
            <w:tcW w:w="484" w:type="pct"/>
            <w:noWrap/>
            <w:hideMark/>
          </w:tcPr>
          <w:p w14:paraId="7E252B0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p>
        </w:tc>
        <w:tc>
          <w:tcPr>
            <w:tcW w:w="484" w:type="pct"/>
            <w:noWrap/>
            <w:hideMark/>
          </w:tcPr>
          <w:p w14:paraId="72F0EAF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p>
        </w:tc>
        <w:tc>
          <w:tcPr>
            <w:tcW w:w="484" w:type="pct"/>
            <w:noWrap/>
            <w:hideMark/>
          </w:tcPr>
          <w:p w14:paraId="1F73A2F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p>
        </w:tc>
        <w:tc>
          <w:tcPr>
            <w:tcW w:w="483" w:type="pct"/>
            <w:noWrap/>
            <w:hideMark/>
          </w:tcPr>
          <w:p w14:paraId="3240648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p>
        </w:tc>
        <w:tc>
          <w:tcPr>
            <w:tcW w:w="477" w:type="pct"/>
          </w:tcPr>
          <w:p w14:paraId="6B5C833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p>
        </w:tc>
      </w:tr>
      <w:tr w:rsidR="00B86FB3" w:rsidRPr="00FF756A" w14:paraId="5B895937" w14:textId="77777777" w:rsidTr="006A326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7A2EF582"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Vajguri</w:t>
            </w:r>
          </w:p>
        </w:tc>
        <w:tc>
          <w:tcPr>
            <w:tcW w:w="489" w:type="pct"/>
            <w:noWrap/>
            <w:hideMark/>
          </w:tcPr>
          <w:p w14:paraId="768D7A6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2C9DBD2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3A6D4A4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0DC7042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26F6D96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6700309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3" w:type="pct"/>
            <w:noWrap/>
            <w:hideMark/>
          </w:tcPr>
          <w:p w14:paraId="0D54223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77" w:type="pct"/>
          </w:tcPr>
          <w:p w14:paraId="6FB05A6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r>
      <w:tr w:rsidR="00B86FB3" w:rsidRPr="00FF756A" w14:paraId="74E988D3" w14:textId="77777777" w:rsidTr="006A3266">
        <w:trPr>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3F30828D"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Me naftë dizel</w:t>
            </w:r>
          </w:p>
        </w:tc>
        <w:tc>
          <w:tcPr>
            <w:tcW w:w="489" w:type="pct"/>
            <w:noWrap/>
            <w:hideMark/>
          </w:tcPr>
          <w:p w14:paraId="430D207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561,6 </w:t>
            </w:r>
          </w:p>
        </w:tc>
        <w:tc>
          <w:tcPr>
            <w:tcW w:w="484" w:type="pct"/>
            <w:noWrap/>
            <w:hideMark/>
          </w:tcPr>
          <w:p w14:paraId="69A2FC0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599,6 </w:t>
            </w:r>
          </w:p>
        </w:tc>
        <w:tc>
          <w:tcPr>
            <w:tcW w:w="484" w:type="pct"/>
            <w:noWrap/>
            <w:hideMark/>
          </w:tcPr>
          <w:p w14:paraId="2CAC468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619,0 </w:t>
            </w:r>
          </w:p>
        </w:tc>
        <w:tc>
          <w:tcPr>
            <w:tcW w:w="484" w:type="pct"/>
            <w:noWrap/>
            <w:hideMark/>
          </w:tcPr>
          <w:p w14:paraId="68199D2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465,6 </w:t>
            </w:r>
          </w:p>
        </w:tc>
        <w:tc>
          <w:tcPr>
            <w:tcW w:w="484" w:type="pct"/>
            <w:noWrap/>
            <w:hideMark/>
          </w:tcPr>
          <w:p w14:paraId="39AEB64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497,6 </w:t>
            </w:r>
          </w:p>
        </w:tc>
        <w:tc>
          <w:tcPr>
            <w:tcW w:w="484" w:type="pct"/>
            <w:noWrap/>
            <w:hideMark/>
          </w:tcPr>
          <w:p w14:paraId="7E93F58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583,3 </w:t>
            </w:r>
          </w:p>
        </w:tc>
        <w:tc>
          <w:tcPr>
            <w:tcW w:w="483" w:type="pct"/>
            <w:noWrap/>
            <w:hideMark/>
          </w:tcPr>
          <w:p w14:paraId="0D3FCC5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781,0 </w:t>
            </w:r>
          </w:p>
        </w:tc>
        <w:tc>
          <w:tcPr>
            <w:tcW w:w="477" w:type="pct"/>
          </w:tcPr>
          <w:p w14:paraId="638EB60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1 031,4 </w:t>
            </w:r>
          </w:p>
        </w:tc>
      </w:tr>
      <w:tr w:rsidR="00B86FB3" w:rsidRPr="00FF756A" w14:paraId="34E0FFE8" w14:textId="77777777" w:rsidTr="006A326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3E32EA88"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Mbetjet e lëndës djegëse të lëngët</w:t>
            </w:r>
          </w:p>
        </w:tc>
        <w:tc>
          <w:tcPr>
            <w:tcW w:w="489" w:type="pct"/>
            <w:noWrap/>
            <w:hideMark/>
          </w:tcPr>
          <w:p w14:paraId="425C423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6864230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64A0731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7A6D533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4F1E2E7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53EA2C3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3" w:type="pct"/>
            <w:noWrap/>
            <w:hideMark/>
          </w:tcPr>
          <w:p w14:paraId="59AF9D7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77" w:type="pct"/>
          </w:tcPr>
          <w:p w14:paraId="4138A36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r>
      <w:tr w:rsidR="00B86FB3" w:rsidRPr="00FF756A" w14:paraId="1B8DB88B" w14:textId="77777777" w:rsidTr="006A3266">
        <w:trPr>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36C6332F"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GLN</w:t>
            </w:r>
          </w:p>
        </w:tc>
        <w:tc>
          <w:tcPr>
            <w:tcW w:w="489" w:type="pct"/>
            <w:noWrap/>
            <w:hideMark/>
          </w:tcPr>
          <w:p w14:paraId="6CA66BF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178,8 </w:t>
            </w:r>
          </w:p>
        </w:tc>
        <w:tc>
          <w:tcPr>
            <w:tcW w:w="484" w:type="pct"/>
            <w:noWrap/>
            <w:hideMark/>
          </w:tcPr>
          <w:p w14:paraId="4789A18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191,6 </w:t>
            </w:r>
          </w:p>
        </w:tc>
        <w:tc>
          <w:tcPr>
            <w:tcW w:w="484" w:type="pct"/>
            <w:noWrap/>
            <w:hideMark/>
          </w:tcPr>
          <w:p w14:paraId="0607739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190,7 </w:t>
            </w:r>
          </w:p>
        </w:tc>
        <w:tc>
          <w:tcPr>
            <w:tcW w:w="484" w:type="pct"/>
            <w:noWrap/>
            <w:hideMark/>
          </w:tcPr>
          <w:p w14:paraId="66E9573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191,9 </w:t>
            </w:r>
          </w:p>
        </w:tc>
        <w:tc>
          <w:tcPr>
            <w:tcW w:w="484" w:type="pct"/>
            <w:noWrap/>
            <w:hideMark/>
          </w:tcPr>
          <w:p w14:paraId="20C4D00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193,9 </w:t>
            </w:r>
          </w:p>
        </w:tc>
        <w:tc>
          <w:tcPr>
            <w:tcW w:w="484" w:type="pct"/>
            <w:noWrap/>
            <w:hideMark/>
          </w:tcPr>
          <w:p w14:paraId="396C47B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200,4 </w:t>
            </w:r>
          </w:p>
        </w:tc>
        <w:tc>
          <w:tcPr>
            <w:tcW w:w="483" w:type="pct"/>
            <w:noWrap/>
            <w:hideMark/>
          </w:tcPr>
          <w:p w14:paraId="0A0949A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230,3 </w:t>
            </w:r>
          </w:p>
        </w:tc>
        <w:tc>
          <w:tcPr>
            <w:tcW w:w="477" w:type="pct"/>
          </w:tcPr>
          <w:p w14:paraId="215A2D6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285,9 </w:t>
            </w:r>
          </w:p>
        </w:tc>
      </w:tr>
      <w:tr w:rsidR="00B86FB3" w:rsidRPr="00FF756A" w14:paraId="28A8614E" w14:textId="77777777" w:rsidTr="006A326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26ED6F56"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Nafta</w:t>
            </w:r>
          </w:p>
        </w:tc>
        <w:tc>
          <w:tcPr>
            <w:tcW w:w="489" w:type="pct"/>
            <w:noWrap/>
            <w:hideMark/>
          </w:tcPr>
          <w:p w14:paraId="7DD4EA9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-55,6 </w:t>
            </w:r>
          </w:p>
        </w:tc>
        <w:tc>
          <w:tcPr>
            <w:tcW w:w="484" w:type="pct"/>
            <w:noWrap/>
            <w:hideMark/>
          </w:tcPr>
          <w:p w14:paraId="6C3987F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-54,9 </w:t>
            </w:r>
          </w:p>
        </w:tc>
        <w:tc>
          <w:tcPr>
            <w:tcW w:w="484" w:type="pct"/>
            <w:noWrap/>
            <w:hideMark/>
          </w:tcPr>
          <w:p w14:paraId="7621DD2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-54,9 </w:t>
            </w:r>
          </w:p>
        </w:tc>
        <w:tc>
          <w:tcPr>
            <w:tcW w:w="484" w:type="pct"/>
            <w:noWrap/>
            <w:hideMark/>
          </w:tcPr>
          <w:p w14:paraId="0C2F0E7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-153,5 </w:t>
            </w:r>
          </w:p>
        </w:tc>
        <w:tc>
          <w:tcPr>
            <w:tcW w:w="484" w:type="pct"/>
            <w:noWrap/>
            <w:hideMark/>
          </w:tcPr>
          <w:p w14:paraId="0449F21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-152,9 </w:t>
            </w:r>
          </w:p>
        </w:tc>
        <w:tc>
          <w:tcPr>
            <w:tcW w:w="484" w:type="pct"/>
            <w:noWrap/>
            <w:hideMark/>
          </w:tcPr>
          <w:p w14:paraId="23D8816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-151,4 </w:t>
            </w:r>
          </w:p>
        </w:tc>
        <w:tc>
          <w:tcPr>
            <w:tcW w:w="483" w:type="pct"/>
            <w:noWrap/>
            <w:hideMark/>
          </w:tcPr>
          <w:p w14:paraId="43E8C5E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-148,6 </w:t>
            </w:r>
          </w:p>
        </w:tc>
        <w:tc>
          <w:tcPr>
            <w:tcW w:w="477" w:type="pct"/>
          </w:tcPr>
          <w:p w14:paraId="53FCE9F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-146,0 </w:t>
            </w:r>
          </w:p>
        </w:tc>
      </w:tr>
      <w:tr w:rsidR="00B86FB3" w:rsidRPr="00FF756A" w14:paraId="4D685957" w14:textId="77777777" w:rsidTr="006A3266">
        <w:trPr>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5EA9A621"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Nafta bruto</w:t>
            </w:r>
          </w:p>
        </w:tc>
        <w:tc>
          <w:tcPr>
            <w:tcW w:w="489" w:type="pct"/>
            <w:noWrap/>
            <w:hideMark/>
          </w:tcPr>
          <w:p w14:paraId="2D57340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362,8 </w:t>
            </w:r>
          </w:p>
        </w:tc>
        <w:tc>
          <w:tcPr>
            <w:tcW w:w="484" w:type="pct"/>
            <w:noWrap/>
            <w:hideMark/>
          </w:tcPr>
          <w:p w14:paraId="0574BE6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359,5 </w:t>
            </w:r>
          </w:p>
        </w:tc>
        <w:tc>
          <w:tcPr>
            <w:tcW w:w="484" w:type="pct"/>
            <w:noWrap/>
            <w:hideMark/>
          </w:tcPr>
          <w:p w14:paraId="6ABA1E0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365,8 </w:t>
            </w:r>
          </w:p>
        </w:tc>
        <w:tc>
          <w:tcPr>
            <w:tcW w:w="484" w:type="pct"/>
            <w:noWrap/>
            <w:hideMark/>
          </w:tcPr>
          <w:p w14:paraId="012003B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857,2 </w:t>
            </w:r>
          </w:p>
        </w:tc>
        <w:tc>
          <w:tcPr>
            <w:tcW w:w="484" w:type="pct"/>
            <w:noWrap/>
            <w:hideMark/>
          </w:tcPr>
          <w:p w14:paraId="443B23E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857,2 </w:t>
            </w:r>
          </w:p>
        </w:tc>
        <w:tc>
          <w:tcPr>
            <w:tcW w:w="484" w:type="pct"/>
            <w:noWrap/>
            <w:hideMark/>
          </w:tcPr>
          <w:p w14:paraId="2BDE078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857,2 </w:t>
            </w:r>
          </w:p>
        </w:tc>
        <w:tc>
          <w:tcPr>
            <w:tcW w:w="483" w:type="pct"/>
            <w:noWrap/>
            <w:hideMark/>
          </w:tcPr>
          <w:p w14:paraId="7FD38F7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857,2 </w:t>
            </w:r>
          </w:p>
        </w:tc>
        <w:tc>
          <w:tcPr>
            <w:tcW w:w="477" w:type="pct"/>
          </w:tcPr>
          <w:p w14:paraId="7233EF1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857,2 </w:t>
            </w:r>
          </w:p>
        </w:tc>
      </w:tr>
      <w:tr w:rsidR="00B86FB3" w:rsidRPr="00FF756A" w14:paraId="50B95AD9" w14:textId="77777777" w:rsidTr="006A326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37382E8E"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Linjiti</w:t>
            </w:r>
          </w:p>
        </w:tc>
        <w:tc>
          <w:tcPr>
            <w:tcW w:w="489" w:type="pct"/>
            <w:noWrap/>
            <w:hideMark/>
          </w:tcPr>
          <w:p w14:paraId="015ED02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2D646ED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00FC0B1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6041409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4256AB0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11ECA0B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3" w:type="pct"/>
            <w:noWrap/>
            <w:hideMark/>
          </w:tcPr>
          <w:p w14:paraId="3DDE262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77" w:type="pct"/>
          </w:tcPr>
          <w:p w14:paraId="0E6B982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r>
      <w:tr w:rsidR="00B86FB3" w:rsidRPr="00FF756A" w14:paraId="44F233A5" w14:textId="77777777" w:rsidTr="006A3266">
        <w:trPr>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71DF1DA2"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Lënda drusore</w:t>
            </w:r>
          </w:p>
        </w:tc>
        <w:tc>
          <w:tcPr>
            <w:tcW w:w="489" w:type="pct"/>
            <w:noWrap/>
            <w:hideMark/>
          </w:tcPr>
          <w:p w14:paraId="1780B1C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149,5 </w:t>
            </w:r>
          </w:p>
        </w:tc>
        <w:tc>
          <w:tcPr>
            <w:tcW w:w="484" w:type="pct"/>
            <w:noWrap/>
            <w:hideMark/>
          </w:tcPr>
          <w:p w14:paraId="3F312F1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146,3 </w:t>
            </w:r>
          </w:p>
        </w:tc>
        <w:tc>
          <w:tcPr>
            <w:tcW w:w="484" w:type="pct"/>
            <w:noWrap/>
            <w:hideMark/>
          </w:tcPr>
          <w:p w14:paraId="5CE801E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143,2 </w:t>
            </w:r>
          </w:p>
        </w:tc>
        <w:tc>
          <w:tcPr>
            <w:tcW w:w="484" w:type="pct"/>
            <w:noWrap/>
            <w:hideMark/>
          </w:tcPr>
          <w:p w14:paraId="4B9E13D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142,1 </w:t>
            </w:r>
          </w:p>
        </w:tc>
        <w:tc>
          <w:tcPr>
            <w:tcW w:w="484" w:type="pct"/>
            <w:noWrap/>
            <w:hideMark/>
          </w:tcPr>
          <w:p w14:paraId="0A6C3B4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142,5 </w:t>
            </w:r>
          </w:p>
        </w:tc>
        <w:tc>
          <w:tcPr>
            <w:tcW w:w="484" w:type="pct"/>
            <w:noWrap/>
            <w:hideMark/>
          </w:tcPr>
          <w:p w14:paraId="752A1B2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145,0 </w:t>
            </w:r>
          </w:p>
        </w:tc>
        <w:tc>
          <w:tcPr>
            <w:tcW w:w="483" w:type="pct"/>
            <w:noWrap/>
            <w:hideMark/>
          </w:tcPr>
          <w:p w14:paraId="6B5FBE1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153,0 </w:t>
            </w:r>
          </w:p>
        </w:tc>
        <w:tc>
          <w:tcPr>
            <w:tcW w:w="477" w:type="pct"/>
          </w:tcPr>
          <w:p w14:paraId="530D6BE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179,7 </w:t>
            </w:r>
          </w:p>
        </w:tc>
      </w:tr>
      <w:tr w:rsidR="00B86FB3" w:rsidRPr="00FF756A" w14:paraId="5576FC83" w14:textId="77777777" w:rsidTr="006A326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1AB424E6"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Qymyri</w:t>
            </w:r>
          </w:p>
        </w:tc>
        <w:tc>
          <w:tcPr>
            <w:tcW w:w="489" w:type="pct"/>
            <w:noWrap/>
            <w:hideMark/>
          </w:tcPr>
          <w:p w14:paraId="0BF84AD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4F5D132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40B44CE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5FF636C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03A0E88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4F057AA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3" w:type="pct"/>
            <w:noWrap/>
            <w:hideMark/>
          </w:tcPr>
          <w:p w14:paraId="203E486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77" w:type="pct"/>
          </w:tcPr>
          <w:p w14:paraId="106D8AE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r>
      <w:tr w:rsidR="00B86FB3" w:rsidRPr="00FF756A" w14:paraId="122E0269" w14:textId="77777777" w:rsidTr="006A3266">
        <w:trPr>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50C20EB2"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Energjia eolike</w:t>
            </w:r>
          </w:p>
        </w:tc>
        <w:tc>
          <w:tcPr>
            <w:tcW w:w="489" w:type="pct"/>
            <w:noWrap/>
            <w:hideMark/>
          </w:tcPr>
          <w:p w14:paraId="3FBAAC1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   </w:t>
            </w:r>
          </w:p>
        </w:tc>
        <w:tc>
          <w:tcPr>
            <w:tcW w:w="484" w:type="pct"/>
            <w:noWrap/>
            <w:hideMark/>
          </w:tcPr>
          <w:p w14:paraId="7768B7A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   </w:t>
            </w:r>
          </w:p>
        </w:tc>
        <w:tc>
          <w:tcPr>
            <w:tcW w:w="484" w:type="pct"/>
            <w:noWrap/>
            <w:hideMark/>
          </w:tcPr>
          <w:p w14:paraId="0759B46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   </w:t>
            </w:r>
          </w:p>
        </w:tc>
        <w:tc>
          <w:tcPr>
            <w:tcW w:w="484" w:type="pct"/>
            <w:noWrap/>
            <w:hideMark/>
          </w:tcPr>
          <w:p w14:paraId="176B3C5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   </w:t>
            </w:r>
          </w:p>
        </w:tc>
        <w:tc>
          <w:tcPr>
            <w:tcW w:w="484" w:type="pct"/>
            <w:noWrap/>
            <w:hideMark/>
          </w:tcPr>
          <w:p w14:paraId="07F7D7A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   </w:t>
            </w:r>
          </w:p>
        </w:tc>
        <w:tc>
          <w:tcPr>
            <w:tcW w:w="484" w:type="pct"/>
            <w:noWrap/>
            <w:hideMark/>
          </w:tcPr>
          <w:p w14:paraId="4A185AD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41,4 </w:t>
            </w:r>
          </w:p>
        </w:tc>
        <w:tc>
          <w:tcPr>
            <w:tcW w:w="483" w:type="pct"/>
            <w:noWrap/>
            <w:hideMark/>
          </w:tcPr>
          <w:p w14:paraId="2362912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41,4 </w:t>
            </w:r>
          </w:p>
        </w:tc>
        <w:tc>
          <w:tcPr>
            <w:tcW w:w="477" w:type="pct"/>
          </w:tcPr>
          <w:p w14:paraId="17682A5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41,4 </w:t>
            </w:r>
          </w:p>
        </w:tc>
      </w:tr>
      <w:tr w:rsidR="00B86FB3" w:rsidRPr="00FF756A" w14:paraId="72FACBCE" w14:textId="77777777" w:rsidTr="006A326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0A1F3AB5"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Energjia diellore</w:t>
            </w:r>
          </w:p>
        </w:tc>
        <w:tc>
          <w:tcPr>
            <w:tcW w:w="489" w:type="pct"/>
            <w:noWrap/>
            <w:hideMark/>
          </w:tcPr>
          <w:p w14:paraId="6B1BECF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15,8 </w:t>
            </w:r>
          </w:p>
        </w:tc>
        <w:tc>
          <w:tcPr>
            <w:tcW w:w="484" w:type="pct"/>
            <w:noWrap/>
            <w:hideMark/>
          </w:tcPr>
          <w:p w14:paraId="295DECC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16,7 </w:t>
            </w:r>
          </w:p>
        </w:tc>
        <w:tc>
          <w:tcPr>
            <w:tcW w:w="484" w:type="pct"/>
            <w:noWrap/>
            <w:hideMark/>
          </w:tcPr>
          <w:p w14:paraId="1351B20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16,5 </w:t>
            </w:r>
          </w:p>
        </w:tc>
        <w:tc>
          <w:tcPr>
            <w:tcW w:w="484" w:type="pct"/>
            <w:noWrap/>
            <w:hideMark/>
          </w:tcPr>
          <w:p w14:paraId="4026F28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37,7 </w:t>
            </w:r>
          </w:p>
        </w:tc>
        <w:tc>
          <w:tcPr>
            <w:tcW w:w="484" w:type="pct"/>
            <w:noWrap/>
            <w:hideMark/>
          </w:tcPr>
          <w:p w14:paraId="313241C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55,3 </w:t>
            </w:r>
          </w:p>
        </w:tc>
        <w:tc>
          <w:tcPr>
            <w:tcW w:w="484" w:type="pct"/>
            <w:noWrap/>
            <w:hideMark/>
          </w:tcPr>
          <w:p w14:paraId="7011BC3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61,5 </w:t>
            </w:r>
          </w:p>
        </w:tc>
        <w:tc>
          <w:tcPr>
            <w:tcW w:w="483" w:type="pct"/>
            <w:noWrap/>
            <w:hideMark/>
          </w:tcPr>
          <w:p w14:paraId="736D824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72,3 </w:t>
            </w:r>
          </w:p>
        </w:tc>
        <w:tc>
          <w:tcPr>
            <w:tcW w:w="477" w:type="pct"/>
          </w:tcPr>
          <w:p w14:paraId="4B2C064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92,1 </w:t>
            </w:r>
          </w:p>
        </w:tc>
      </w:tr>
      <w:tr w:rsidR="00B86FB3" w:rsidRPr="00FF756A" w14:paraId="2690A3E8" w14:textId="77777777" w:rsidTr="006A3266">
        <w:trPr>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1A698624"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Energjia hidrike</w:t>
            </w:r>
          </w:p>
        </w:tc>
        <w:tc>
          <w:tcPr>
            <w:tcW w:w="489" w:type="pct"/>
            <w:noWrap/>
            <w:hideMark/>
          </w:tcPr>
          <w:p w14:paraId="5D4BC08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454,7 </w:t>
            </w:r>
          </w:p>
        </w:tc>
        <w:tc>
          <w:tcPr>
            <w:tcW w:w="484" w:type="pct"/>
            <w:noWrap/>
            <w:hideMark/>
          </w:tcPr>
          <w:p w14:paraId="3E27119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454,7 </w:t>
            </w:r>
          </w:p>
        </w:tc>
        <w:tc>
          <w:tcPr>
            <w:tcW w:w="484" w:type="pct"/>
            <w:noWrap/>
            <w:hideMark/>
          </w:tcPr>
          <w:p w14:paraId="7BDB311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454,7 </w:t>
            </w:r>
          </w:p>
        </w:tc>
        <w:tc>
          <w:tcPr>
            <w:tcW w:w="484" w:type="pct"/>
            <w:noWrap/>
            <w:hideMark/>
          </w:tcPr>
          <w:p w14:paraId="22F7FC2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648,9 </w:t>
            </w:r>
          </w:p>
        </w:tc>
        <w:tc>
          <w:tcPr>
            <w:tcW w:w="484" w:type="pct"/>
            <w:noWrap/>
            <w:hideMark/>
          </w:tcPr>
          <w:p w14:paraId="1E913D1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649,6 </w:t>
            </w:r>
          </w:p>
        </w:tc>
        <w:tc>
          <w:tcPr>
            <w:tcW w:w="484" w:type="pct"/>
            <w:noWrap/>
            <w:hideMark/>
          </w:tcPr>
          <w:p w14:paraId="44E225F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647,1 </w:t>
            </w:r>
          </w:p>
        </w:tc>
        <w:tc>
          <w:tcPr>
            <w:tcW w:w="483" w:type="pct"/>
            <w:noWrap/>
            <w:hideMark/>
          </w:tcPr>
          <w:p w14:paraId="32D6BFC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758,5 </w:t>
            </w:r>
          </w:p>
        </w:tc>
        <w:tc>
          <w:tcPr>
            <w:tcW w:w="477" w:type="pct"/>
          </w:tcPr>
          <w:p w14:paraId="73873F3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757,9 </w:t>
            </w:r>
          </w:p>
        </w:tc>
      </w:tr>
      <w:tr w:rsidR="00B86FB3" w:rsidRPr="00FF756A" w14:paraId="48566836" w14:textId="77777777" w:rsidTr="006A326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15ECB20F"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Nxehtësia</w:t>
            </w:r>
          </w:p>
        </w:tc>
        <w:tc>
          <w:tcPr>
            <w:tcW w:w="489" w:type="pct"/>
            <w:noWrap/>
            <w:hideMark/>
          </w:tcPr>
          <w:p w14:paraId="3477947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6A87306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5F57FE4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4DC40D5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753FB67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2848BFF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3" w:type="pct"/>
            <w:noWrap/>
            <w:hideMark/>
          </w:tcPr>
          <w:p w14:paraId="09FA1A0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77" w:type="pct"/>
          </w:tcPr>
          <w:p w14:paraId="5AC4BB6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r>
      <w:tr w:rsidR="00B86FB3" w:rsidRPr="00FF756A" w14:paraId="74F587D6" w14:textId="77777777" w:rsidTr="006A3266">
        <w:trPr>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35E8BAE1"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Hidrogjeni</w:t>
            </w:r>
          </w:p>
        </w:tc>
        <w:tc>
          <w:tcPr>
            <w:tcW w:w="489" w:type="pct"/>
            <w:noWrap/>
            <w:hideMark/>
          </w:tcPr>
          <w:p w14:paraId="3C562CB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   </w:t>
            </w:r>
          </w:p>
        </w:tc>
        <w:tc>
          <w:tcPr>
            <w:tcW w:w="484" w:type="pct"/>
            <w:noWrap/>
            <w:hideMark/>
          </w:tcPr>
          <w:p w14:paraId="50FE66A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   </w:t>
            </w:r>
          </w:p>
        </w:tc>
        <w:tc>
          <w:tcPr>
            <w:tcW w:w="484" w:type="pct"/>
            <w:noWrap/>
            <w:hideMark/>
          </w:tcPr>
          <w:p w14:paraId="4AB536B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   </w:t>
            </w:r>
          </w:p>
        </w:tc>
        <w:tc>
          <w:tcPr>
            <w:tcW w:w="484" w:type="pct"/>
            <w:noWrap/>
            <w:hideMark/>
          </w:tcPr>
          <w:p w14:paraId="2501C63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   </w:t>
            </w:r>
          </w:p>
        </w:tc>
        <w:tc>
          <w:tcPr>
            <w:tcW w:w="484" w:type="pct"/>
            <w:noWrap/>
            <w:hideMark/>
          </w:tcPr>
          <w:p w14:paraId="501E898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   </w:t>
            </w:r>
          </w:p>
        </w:tc>
        <w:tc>
          <w:tcPr>
            <w:tcW w:w="484" w:type="pct"/>
            <w:noWrap/>
            <w:hideMark/>
          </w:tcPr>
          <w:p w14:paraId="3E8F779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0,1 </w:t>
            </w:r>
          </w:p>
        </w:tc>
        <w:tc>
          <w:tcPr>
            <w:tcW w:w="483" w:type="pct"/>
            <w:noWrap/>
            <w:hideMark/>
          </w:tcPr>
          <w:p w14:paraId="20EC548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15,3 </w:t>
            </w:r>
          </w:p>
        </w:tc>
        <w:tc>
          <w:tcPr>
            <w:tcW w:w="477" w:type="pct"/>
          </w:tcPr>
          <w:p w14:paraId="25742D2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47,7 </w:t>
            </w:r>
          </w:p>
        </w:tc>
      </w:tr>
      <w:tr w:rsidR="00B86FB3" w:rsidRPr="00FF756A" w14:paraId="781A7132" w14:textId="77777777" w:rsidTr="006A326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0A6905F2"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Mbetjet e ngurta urbane</w:t>
            </w:r>
          </w:p>
        </w:tc>
        <w:tc>
          <w:tcPr>
            <w:tcW w:w="489" w:type="pct"/>
            <w:noWrap/>
            <w:hideMark/>
          </w:tcPr>
          <w:p w14:paraId="7A15C94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   </w:t>
            </w:r>
          </w:p>
        </w:tc>
        <w:tc>
          <w:tcPr>
            <w:tcW w:w="484" w:type="pct"/>
            <w:noWrap/>
            <w:hideMark/>
          </w:tcPr>
          <w:p w14:paraId="30D7F47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   </w:t>
            </w:r>
          </w:p>
        </w:tc>
        <w:tc>
          <w:tcPr>
            <w:tcW w:w="484" w:type="pct"/>
            <w:noWrap/>
            <w:hideMark/>
          </w:tcPr>
          <w:p w14:paraId="67C9AE3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   </w:t>
            </w:r>
          </w:p>
        </w:tc>
        <w:tc>
          <w:tcPr>
            <w:tcW w:w="484" w:type="pct"/>
            <w:noWrap/>
            <w:hideMark/>
          </w:tcPr>
          <w:p w14:paraId="3F2DC7B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1,3 </w:t>
            </w:r>
          </w:p>
        </w:tc>
        <w:tc>
          <w:tcPr>
            <w:tcW w:w="484" w:type="pct"/>
            <w:noWrap/>
            <w:hideMark/>
          </w:tcPr>
          <w:p w14:paraId="5A54108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0,9 </w:t>
            </w:r>
          </w:p>
        </w:tc>
        <w:tc>
          <w:tcPr>
            <w:tcW w:w="484" w:type="pct"/>
            <w:noWrap/>
            <w:hideMark/>
          </w:tcPr>
          <w:p w14:paraId="660BACD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0,1 </w:t>
            </w:r>
          </w:p>
        </w:tc>
        <w:tc>
          <w:tcPr>
            <w:tcW w:w="483" w:type="pct"/>
            <w:noWrap/>
            <w:hideMark/>
          </w:tcPr>
          <w:p w14:paraId="68F38A9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2,2 </w:t>
            </w:r>
          </w:p>
        </w:tc>
        <w:tc>
          <w:tcPr>
            <w:tcW w:w="477" w:type="pct"/>
          </w:tcPr>
          <w:p w14:paraId="62191A7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3,6 </w:t>
            </w:r>
          </w:p>
        </w:tc>
      </w:tr>
      <w:tr w:rsidR="00B86FB3" w:rsidRPr="00FF756A" w14:paraId="67CFA2C5" w14:textId="77777777" w:rsidTr="006A3266">
        <w:trPr>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29757D0F"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Ligroina</w:t>
            </w:r>
          </w:p>
        </w:tc>
        <w:tc>
          <w:tcPr>
            <w:tcW w:w="489" w:type="pct"/>
            <w:noWrap/>
            <w:hideMark/>
          </w:tcPr>
          <w:p w14:paraId="1B4B5F8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-24,2 </w:t>
            </w:r>
          </w:p>
        </w:tc>
        <w:tc>
          <w:tcPr>
            <w:tcW w:w="484" w:type="pct"/>
            <w:noWrap/>
            <w:hideMark/>
          </w:tcPr>
          <w:p w14:paraId="359C5E9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-24,2 </w:t>
            </w:r>
          </w:p>
        </w:tc>
        <w:tc>
          <w:tcPr>
            <w:tcW w:w="484" w:type="pct"/>
            <w:noWrap/>
            <w:hideMark/>
          </w:tcPr>
          <w:p w14:paraId="4AE48DB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-24,2 </w:t>
            </w:r>
          </w:p>
        </w:tc>
        <w:tc>
          <w:tcPr>
            <w:tcW w:w="484" w:type="pct"/>
            <w:noWrap/>
            <w:hideMark/>
          </w:tcPr>
          <w:p w14:paraId="3D1D38F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-62,6 </w:t>
            </w:r>
          </w:p>
        </w:tc>
        <w:tc>
          <w:tcPr>
            <w:tcW w:w="484" w:type="pct"/>
            <w:noWrap/>
            <w:hideMark/>
          </w:tcPr>
          <w:p w14:paraId="251F17E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-62,6 </w:t>
            </w:r>
          </w:p>
        </w:tc>
        <w:tc>
          <w:tcPr>
            <w:tcW w:w="484" w:type="pct"/>
            <w:noWrap/>
            <w:hideMark/>
          </w:tcPr>
          <w:p w14:paraId="34E4A6E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-62,6 </w:t>
            </w:r>
          </w:p>
        </w:tc>
        <w:tc>
          <w:tcPr>
            <w:tcW w:w="483" w:type="pct"/>
            <w:noWrap/>
            <w:hideMark/>
          </w:tcPr>
          <w:p w14:paraId="42E499C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-62,6 </w:t>
            </w:r>
          </w:p>
        </w:tc>
        <w:tc>
          <w:tcPr>
            <w:tcW w:w="477" w:type="pct"/>
          </w:tcPr>
          <w:p w14:paraId="56ED472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-62,6 </w:t>
            </w:r>
          </w:p>
        </w:tc>
      </w:tr>
      <w:tr w:rsidR="00B86FB3" w:rsidRPr="00FF756A" w14:paraId="38B091B3" w14:textId="77777777" w:rsidTr="006A326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23A44638"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Bitumi</w:t>
            </w:r>
          </w:p>
        </w:tc>
        <w:tc>
          <w:tcPr>
            <w:tcW w:w="489" w:type="pct"/>
            <w:noWrap/>
            <w:hideMark/>
          </w:tcPr>
          <w:p w14:paraId="7026A65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-46,3 </w:t>
            </w:r>
          </w:p>
        </w:tc>
        <w:tc>
          <w:tcPr>
            <w:tcW w:w="484" w:type="pct"/>
            <w:noWrap/>
            <w:hideMark/>
          </w:tcPr>
          <w:p w14:paraId="15C822D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-46,3 </w:t>
            </w:r>
          </w:p>
        </w:tc>
        <w:tc>
          <w:tcPr>
            <w:tcW w:w="484" w:type="pct"/>
            <w:noWrap/>
            <w:hideMark/>
          </w:tcPr>
          <w:p w14:paraId="39ED2D4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-46,3 </w:t>
            </w:r>
          </w:p>
        </w:tc>
        <w:tc>
          <w:tcPr>
            <w:tcW w:w="484" w:type="pct"/>
            <w:noWrap/>
            <w:hideMark/>
          </w:tcPr>
          <w:p w14:paraId="5AEFE0B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-120,0 </w:t>
            </w:r>
          </w:p>
        </w:tc>
        <w:tc>
          <w:tcPr>
            <w:tcW w:w="484" w:type="pct"/>
            <w:noWrap/>
            <w:hideMark/>
          </w:tcPr>
          <w:p w14:paraId="3F8C2B4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-120,0 </w:t>
            </w:r>
          </w:p>
        </w:tc>
        <w:tc>
          <w:tcPr>
            <w:tcW w:w="484" w:type="pct"/>
            <w:noWrap/>
            <w:hideMark/>
          </w:tcPr>
          <w:p w14:paraId="7F657DC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-120,0 </w:t>
            </w:r>
          </w:p>
        </w:tc>
        <w:tc>
          <w:tcPr>
            <w:tcW w:w="483" w:type="pct"/>
            <w:noWrap/>
            <w:hideMark/>
          </w:tcPr>
          <w:p w14:paraId="73987CC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-120,0 </w:t>
            </w:r>
          </w:p>
        </w:tc>
        <w:tc>
          <w:tcPr>
            <w:tcW w:w="477" w:type="pct"/>
          </w:tcPr>
          <w:p w14:paraId="3BF81E5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-120,0 </w:t>
            </w:r>
          </w:p>
        </w:tc>
      </w:tr>
      <w:tr w:rsidR="00B86FB3" w:rsidRPr="00FF756A" w14:paraId="18D27407" w14:textId="77777777" w:rsidTr="006A3266">
        <w:trPr>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68D24C4D"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Koksi i naftës</w:t>
            </w:r>
          </w:p>
        </w:tc>
        <w:tc>
          <w:tcPr>
            <w:tcW w:w="489" w:type="pct"/>
            <w:noWrap/>
            <w:hideMark/>
          </w:tcPr>
          <w:p w14:paraId="66C622B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-2,7 </w:t>
            </w:r>
          </w:p>
        </w:tc>
        <w:tc>
          <w:tcPr>
            <w:tcW w:w="484" w:type="pct"/>
            <w:noWrap/>
            <w:hideMark/>
          </w:tcPr>
          <w:p w14:paraId="5A2F23F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-29,4 </w:t>
            </w:r>
          </w:p>
        </w:tc>
        <w:tc>
          <w:tcPr>
            <w:tcW w:w="484" w:type="pct"/>
            <w:noWrap/>
            <w:hideMark/>
          </w:tcPr>
          <w:p w14:paraId="5D83B83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-29,4 </w:t>
            </w:r>
          </w:p>
        </w:tc>
        <w:tc>
          <w:tcPr>
            <w:tcW w:w="484" w:type="pct"/>
            <w:noWrap/>
            <w:hideMark/>
          </w:tcPr>
          <w:p w14:paraId="213FB92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-129,8 </w:t>
            </w:r>
          </w:p>
        </w:tc>
        <w:tc>
          <w:tcPr>
            <w:tcW w:w="484" w:type="pct"/>
            <w:noWrap/>
            <w:hideMark/>
          </w:tcPr>
          <w:p w14:paraId="24AEE17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-128,4 </w:t>
            </w:r>
          </w:p>
        </w:tc>
        <w:tc>
          <w:tcPr>
            <w:tcW w:w="484" w:type="pct"/>
            <w:noWrap/>
            <w:hideMark/>
          </w:tcPr>
          <w:p w14:paraId="640C52F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-124,5 </w:t>
            </w:r>
          </w:p>
        </w:tc>
        <w:tc>
          <w:tcPr>
            <w:tcW w:w="483" w:type="pct"/>
            <w:noWrap/>
            <w:hideMark/>
          </w:tcPr>
          <w:p w14:paraId="47D7CB8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-116,6 </w:t>
            </w:r>
          </w:p>
        </w:tc>
        <w:tc>
          <w:tcPr>
            <w:tcW w:w="477" w:type="pct"/>
          </w:tcPr>
          <w:p w14:paraId="3CA81FA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-107,4 </w:t>
            </w:r>
          </w:p>
        </w:tc>
      </w:tr>
      <w:tr w:rsidR="00B86FB3" w:rsidRPr="00FF756A" w14:paraId="21C73FAF" w14:textId="77777777" w:rsidTr="006A326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5CB9F2C7"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Lubrifikantët</w:t>
            </w:r>
          </w:p>
        </w:tc>
        <w:tc>
          <w:tcPr>
            <w:tcW w:w="489" w:type="pct"/>
            <w:noWrap/>
            <w:hideMark/>
          </w:tcPr>
          <w:p w14:paraId="64A3AC0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15,3 </w:t>
            </w:r>
          </w:p>
        </w:tc>
        <w:tc>
          <w:tcPr>
            <w:tcW w:w="484" w:type="pct"/>
            <w:noWrap/>
            <w:hideMark/>
          </w:tcPr>
          <w:p w14:paraId="760AC24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10,4 </w:t>
            </w:r>
          </w:p>
        </w:tc>
        <w:tc>
          <w:tcPr>
            <w:tcW w:w="484" w:type="pct"/>
            <w:noWrap/>
            <w:hideMark/>
          </w:tcPr>
          <w:p w14:paraId="15CB4FA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10,4 </w:t>
            </w:r>
          </w:p>
        </w:tc>
        <w:tc>
          <w:tcPr>
            <w:tcW w:w="484" w:type="pct"/>
            <w:noWrap/>
            <w:hideMark/>
          </w:tcPr>
          <w:p w14:paraId="33BB358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10,9 </w:t>
            </w:r>
          </w:p>
        </w:tc>
        <w:tc>
          <w:tcPr>
            <w:tcW w:w="484" w:type="pct"/>
            <w:noWrap/>
            <w:hideMark/>
          </w:tcPr>
          <w:p w14:paraId="3002161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12,0 </w:t>
            </w:r>
          </w:p>
        </w:tc>
        <w:tc>
          <w:tcPr>
            <w:tcW w:w="484" w:type="pct"/>
            <w:noWrap/>
            <w:hideMark/>
          </w:tcPr>
          <w:p w14:paraId="5B15A50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15,1 </w:t>
            </w:r>
          </w:p>
        </w:tc>
        <w:tc>
          <w:tcPr>
            <w:tcW w:w="483" w:type="pct"/>
            <w:noWrap/>
            <w:hideMark/>
          </w:tcPr>
          <w:p w14:paraId="6869CED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24,0 </w:t>
            </w:r>
          </w:p>
        </w:tc>
        <w:tc>
          <w:tcPr>
            <w:tcW w:w="477" w:type="pct"/>
          </w:tcPr>
          <w:p w14:paraId="3E32111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38,2 </w:t>
            </w:r>
          </w:p>
        </w:tc>
      </w:tr>
      <w:tr w:rsidR="00B86FB3" w:rsidRPr="00FF756A" w14:paraId="0838D18A" w14:textId="77777777" w:rsidTr="006A3266">
        <w:trPr>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73E2CE40"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Qymyr i paspecifikuar</w:t>
            </w:r>
          </w:p>
        </w:tc>
        <w:tc>
          <w:tcPr>
            <w:tcW w:w="489" w:type="pct"/>
            <w:noWrap/>
            <w:hideMark/>
          </w:tcPr>
          <w:p w14:paraId="5F0F577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152,5 </w:t>
            </w:r>
          </w:p>
        </w:tc>
        <w:tc>
          <w:tcPr>
            <w:tcW w:w="484" w:type="pct"/>
            <w:noWrap/>
            <w:hideMark/>
          </w:tcPr>
          <w:p w14:paraId="6A9C92D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231,8 </w:t>
            </w:r>
          </w:p>
        </w:tc>
        <w:tc>
          <w:tcPr>
            <w:tcW w:w="484" w:type="pct"/>
            <w:noWrap/>
            <w:hideMark/>
          </w:tcPr>
          <w:p w14:paraId="13BAAEB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227,7 </w:t>
            </w:r>
          </w:p>
        </w:tc>
        <w:tc>
          <w:tcPr>
            <w:tcW w:w="484" w:type="pct"/>
            <w:noWrap/>
            <w:hideMark/>
          </w:tcPr>
          <w:p w14:paraId="7BCE073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232,1 </w:t>
            </w:r>
          </w:p>
        </w:tc>
        <w:tc>
          <w:tcPr>
            <w:tcW w:w="484" w:type="pct"/>
            <w:noWrap/>
            <w:hideMark/>
          </w:tcPr>
          <w:p w14:paraId="29F877B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241,3 </w:t>
            </w:r>
          </w:p>
        </w:tc>
        <w:tc>
          <w:tcPr>
            <w:tcW w:w="484" w:type="pct"/>
            <w:noWrap/>
            <w:hideMark/>
          </w:tcPr>
          <w:p w14:paraId="3C14948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266,0 </w:t>
            </w:r>
          </w:p>
        </w:tc>
        <w:tc>
          <w:tcPr>
            <w:tcW w:w="483" w:type="pct"/>
            <w:noWrap/>
            <w:hideMark/>
          </w:tcPr>
          <w:p w14:paraId="7C93912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315,0 </w:t>
            </w:r>
          </w:p>
        </w:tc>
        <w:tc>
          <w:tcPr>
            <w:tcW w:w="477" w:type="pct"/>
          </w:tcPr>
          <w:p w14:paraId="443389C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367,8 </w:t>
            </w:r>
          </w:p>
        </w:tc>
      </w:tr>
      <w:tr w:rsidR="00B86FB3" w:rsidRPr="00FF756A" w14:paraId="70183C7B" w14:textId="77777777" w:rsidTr="006A326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06CB4A7E"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Biomasa</w:t>
            </w:r>
          </w:p>
        </w:tc>
        <w:tc>
          <w:tcPr>
            <w:tcW w:w="489" w:type="pct"/>
            <w:noWrap/>
            <w:hideMark/>
          </w:tcPr>
          <w:p w14:paraId="3FF56F7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45C1B15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32BE697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4DE1FAC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715DEB9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noWrap/>
            <w:hideMark/>
          </w:tcPr>
          <w:p w14:paraId="3B232CF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3" w:type="pct"/>
            <w:noWrap/>
            <w:hideMark/>
          </w:tcPr>
          <w:p w14:paraId="4F819D9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77" w:type="pct"/>
          </w:tcPr>
          <w:p w14:paraId="3A87356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r>
      <w:tr w:rsidR="00B86FB3" w:rsidRPr="00FF756A" w14:paraId="2E46B838" w14:textId="77777777" w:rsidTr="006A3266">
        <w:trPr>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6CD51DE3"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Biodizeli</w:t>
            </w:r>
          </w:p>
        </w:tc>
        <w:tc>
          <w:tcPr>
            <w:tcW w:w="489" w:type="pct"/>
            <w:noWrap/>
            <w:hideMark/>
          </w:tcPr>
          <w:p w14:paraId="46E87A3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p>
        </w:tc>
        <w:tc>
          <w:tcPr>
            <w:tcW w:w="484" w:type="pct"/>
            <w:noWrap/>
            <w:hideMark/>
          </w:tcPr>
          <w:p w14:paraId="5FA44C7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p>
        </w:tc>
        <w:tc>
          <w:tcPr>
            <w:tcW w:w="484" w:type="pct"/>
            <w:noWrap/>
            <w:hideMark/>
          </w:tcPr>
          <w:p w14:paraId="3D175B6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p>
        </w:tc>
        <w:tc>
          <w:tcPr>
            <w:tcW w:w="484" w:type="pct"/>
            <w:noWrap/>
            <w:hideMark/>
          </w:tcPr>
          <w:p w14:paraId="441B8D1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p>
        </w:tc>
        <w:tc>
          <w:tcPr>
            <w:tcW w:w="484" w:type="pct"/>
            <w:noWrap/>
            <w:hideMark/>
          </w:tcPr>
          <w:p w14:paraId="7001589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p>
        </w:tc>
        <w:tc>
          <w:tcPr>
            <w:tcW w:w="484" w:type="pct"/>
            <w:noWrap/>
            <w:hideMark/>
          </w:tcPr>
          <w:p w14:paraId="7EAF940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p>
        </w:tc>
        <w:tc>
          <w:tcPr>
            <w:tcW w:w="483" w:type="pct"/>
            <w:noWrap/>
            <w:hideMark/>
          </w:tcPr>
          <w:p w14:paraId="30CDE8C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p>
        </w:tc>
        <w:tc>
          <w:tcPr>
            <w:tcW w:w="477" w:type="pct"/>
          </w:tcPr>
          <w:p w14:paraId="6667918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p>
        </w:tc>
      </w:tr>
      <w:tr w:rsidR="00B86FB3" w:rsidRPr="00FF756A" w14:paraId="5B48E6A1" w14:textId="77777777" w:rsidTr="006A326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131" w:type="pct"/>
            <w:noWrap/>
            <w:hideMark/>
          </w:tcPr>
          <w:p w14:paraId="6A15FD74" w14:textId="77777777" w:rsidR="00B86FB3" w:rsidRPr="00FF756A" w:rsidRDefault="00B86FB3" w:rsidP="00B86FB3">
            <w:pPr>
              <w:rPr>
                <w:rFonts w:eastAsia="Times New Roman" w:cs="Times New Roman"/>
                <w:b w:val="0"/>
                <w:bCs w:val="0"/>
                <w:color w:val="FFFFFF"/>
                <w:sz w:val="18"/>
                <w:szCs w:val="18"/>
              </w:rPr>
            </w:pPr>
            <w:r w:rsidRPr="00FF756A">
              <w:rPr>
                <w:rFonts w:cs="Times New Roman"/>
                <w:color w:val="FFFFFF"/>
                <w:sz w:val="18"/>
                <w:szCs w:val="18"/>
              </w:rPr>
              <w:t>Totali</w:t>
            </w:r>
          </w:p>
        </w:tc>
        <w:tc>
          <w:tcPr>
            <w:tcW w:w="489" w:type="pct"/>
            <w:shd w:val="clear" w:color="auto" w:fill="4472C4" w:themeFill="accent1"/>
            <w:noWrap/>
            <w:hideMark/>
          </w:tcPr>
          <w:p w14:paraId="68A9456C"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xml:space="preserve"> 2 119,9 </w:t>
            </w:r>
          </w:p>
        </w:tc>
        <w:tc>
          <w:tcPr>
            <w:tcW w:w="484" w:type="pct"/>
            <w:shd w:val="clear" w:color="auto" w:fill="4472C4" w:themeFill="accent1"/>
            <w:noWrap/>
            <w:hideMark/>
          </w:tcPr>
          <w:p w14:paraId="40D92ADC"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xml:space="preserve"> 2 252,6 </w:t>
            </w:r>
          </w:p>
        </w:tc>
        <w:tc>
          <w:tcPr>
            <w:tcW w:w="484" w:type="pct"/>
            <w:shd w:val="clear" w:color="auto" w:fill="4472C4" w:themeFill="accent1"/>
            <w:noWrap/>
            <w:hideMark/>
          </w:tcPr>
          <w:p w14:paraId="664DFF9A"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xml:space="preserve"> 2 266,2 </w:t>
            </w:r>
          </w:p>
        </w:tc>
        <w:tc>
          <w:tcPr>
            <w:tcW w:w="484" w:type="pct"/>
            <w:shd w:val="clear" w:color="auto" w:fill="4472C4" w:themeFill="accent1"/>
            <w:noWrap/>
            <w:hideMark/>
          </w:tcPr>
          <w:p w14:paraId="5953B44D"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xml:space="preserve"> 2 303,1 </w:t>
            </w:r>
          </w:p>
        </w:tc>
        <w:tc>
          <w:tcPr>
            <w:tcW w:w="484" w:type="pct"/>
            <w:shd w:val="clear" w:color="auto" w:fill="4472C4" w:themeFill="accent1"/>
            <w:noWrap/>
            <w:hideMark/>
          </w:tcPr>
          <w:p w14:paraId="7B38C363"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xml:space="preserve"> 2 374,0 </w:t>
            </w:r>
          </w:p>
        </w:tc>
        <w:tc>
          <w:tcPr>
            <w:tcW w:w="484" w:type="pct"/>
            <w:shd w:val="clear" w:color="auto" w:fill="4472C4" w:themeFill="accent1"/>
            <w:noWrap/>
            <w:hideMark/>
          </w:tcPr>
          <w:p w14:paraId="4BACAFDD"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xml:space="preserve"> 2 570,5 </w:t>
            </w:r>
          </w:p>
        </w:tc>
        <w:tc>
          <w:tcPr>
            <w:tcW w:w="483" w:type="pct"/>
            <w:shd w:val="clear" w:color="auto" w:fill="4472C4" w:themeFill="accent1"/>
            <w:noWrap/>
            <w:hideMark/>
          </w:tcPr>
          <w:p w14:paraId="3AE397B6"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xml:space="preserve"> 3 233,3 </w:t>
            </w:r>
          </w:p>
        </w:tc>
        <w:tc>
          <w:tcPr>
            <w:tcW w:w="477" w:type="pct"/>
            <w:shd w:val="clear" w:color="auto" w:fill="4472C4" w:themeFill="accent1"/>
          </w:tcPr>
          <w:p w14:paraId="48400692" w14:textId="77777777" w:rsidR="00B86FB3" w:rsidRPr="00FF756A" w:rsidRDefault="00B86FB3" w:rsidP="003F200D">
            <w:pPr>
              <w:keepNex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sz w:val="16"/>
                <w:szCs w:val="16"/>
              </w:rPr>
            </w:pPr>
            <w:r w:rsidRPr="00FF756A">
              <w:rPr>
                <w:rFonts w:cs="Times New Roman"/>
                <w:b/>
                <w:bCs/>
                <w:color w:val="FFFFFF"/>
                <w:sz w:val="16"/>
                <w:szCs w:val="16"/>
              </w:rPr>
              <w:t xml:space="preserve"> 4 183,3 </w:t>
            </w:r>
          </w:p>
        </w:tc>
      </w:tr>
    </w:tbl>
    <w:p w14:paraId="0EA019D1" w14:textId="16A49154" w:rsidR="00B86FB3" w:rsidRPr="00FF756A" w:rsidRDefault="003F200D" w:rsidP="003F200D">
      <w:pPr>
        <w:pStyle w:val="Caption"/>
        <w:rPr>
          <w:rFonts w:ascii="Times New Roman" w:hAnsi="Times New Roman"/>
        </w:rPr>
      </w:pPr>
      <w:bookmarkStart w:id="571" w:name="_Toc183016503"/>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39</w:t>
      </w:r>
      <w:r w:rsidR="008E7DE9" w:rsidRPr="00FF756A">
        <w:rPr>
          <w:rFonts w:ascii="Times New Roman" w:hAnsi="Times New Roman"/>
          <w:noProof/>
        </w:rPr>
        <w:fldChar w:fldCharType="end"/>
      </w:r>
      <w:r w:rsidRPr="00FF756A">
        <w:rPr>
          <w:rFonts w:ascii="Times New Roman" w:hAnsi="Times New Roman"/>
        </w:rPr>
        <w:t>: Furnizimi me energji primare (në ktoe) për periudhën kohore 2020-2023 dhe sipas parashikimit deri në vitin 2050 me masat ekzistuese. Vlerat negative tregojnë eksportet.</w:t>
      </w:r>
      <w:bookmarkEnd w:id="571"/>
    </w:p>
    <w:p w14:paraId="6F33FE37" w14:textId="77777777" w:rsidR="009D60A4" w:rsidRPr="00FF756A" w:rsidRDefault="009D60A4" w:rsidP="00B86FB3"/>
    <w:p w14:paraId="2F0B29EA" w14:textId="4446996D" w:rsidR="00B86FB3" w:rsidRPr="00FF756A" w:rsidRDefault="00B86FB3" w:rsidP="00B86FB3">
      <w:r w:rsidRPr="00FF756A">
        <w:t xml:space="preserve">Konsumi final i energjisë ishte 2012 ktoe në vitin 2021 dhe parashikohet të rritet në 2383,0 ktoe brenda vitit 2030 dhe në 3855,4 ktoe brenda vitit 2050. Konsumi final i energjisë përdoret sinonimisht me kërkesën finale për energji, dhe në vijim do të identifikohet me shkurtimin KFE. </w:t>
      </w:r>
      <w:r w:rsidR="00951388" w:rsidRPr="00FF756A">
        <w:t xml:space="preserve">Tabela 40 </w:t>
      </w:r>
      <w:r w:rsidRPr="00FF756A">
        <w:t xml:space="preserve">paraqet totalin e kërkesës finale për energji. Jepet gjithashtu raporti i KFE-së kundrejt TFEP-së; vërehet një rritje e lehtë për shkak të veprimtarisë së shtuar të rafinimit nga 90,4% në 92,7% në vitin 2030, për shkak të një ndryshimi në veprimtarinë e rafinimit dhe pakësimit të humbjeve në transmetim. </w:t>
      </w:r>
    </w:p>
    <w:p w14:paraId="5A53B851" w14:textId="77777777" w:rsidR="00B86FB3" w:rsidRPr="00FF756A" w:rsidRDefault="00B86FB3" w:rsidP="00B86FB3"/>
    <w:tbl>
      <w:tblPr>
        <w:tblStyle w:val="GridTable5DarkAccent10"/>
        <w:tblW w:w="9622" w:type="dxa"/>
        <w:tblLook w:val="04A0" w:firstRow="1" w:lastRow="0" w:firstColumn="1" w:lastColumn="0" w:noHBand="0" w:noVBand="1"/>
      </w:tblPr>
      <w:tblGrid>
        <w:gridCol w:w="1007"/>
        <w:gridCol w:w="1091"/>
        <w:gridCol w:w="1091"/>
        <w:gridCol w:w="1091"/>
        <w:gridCol w:w="1091"/>
        <w:gridCol w:w="1091"/>
        <w:gridCol w:w="1091"/>
        <w:gridCol w:w="1091"/>
        <w:gridCol w:w="978"/>
      </w:tblGrid>
      <w:tr w:rsidR="00B86FB3" w:rsidRPr="00FF756A" w14:paraId="6A2B59E9" w14:textId="77777777" w:rsidTr="006A3266">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07" w:type="dxa"/>
          </w:tcPr>
          <w:p w14:paraId="58D2F21C" w14:textId="77777777" w:rsidR="00B86FB3" w:rsidRPr="00FF756A" w:rsidRDefault="00B86FB3" w:rsidP="00B86FB3">
            <w:pPr>
              <w:jc w:val="right"/>
              <w:rPr>
                <w:rFonts w:eastAsia="Times New Roman" w:cs="Times New Roman"/>
                <w:bCs w:val="0"/>
                <w:color w:val="000000"/>
                <w:sz w:val="18"/>
                <w:szCs w:val="18"/>
              </w:rPr>
            </w:pPr>
          </w:p>
        </w:tc>
        <w:tc>
          <w:tcPr>
            <w:tcW w:w="1091" w:type="dxa"/>
            <w:noWrap/>
          </w:tcPr>
          <w:p w14:paraId="2F9F1196"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18"/>
                <w:szCs w:val="18"/>
              </w:rPr>
            </w:pPr>
            <w:r w:rsidRPr="00FF756A">
              <w:rPr>
                <w:rFonts w:cs="Times New Roman"/>
                <w:sz w:val="18"/>
                <w:szCs w:val="18"/>
              </w:rPr>
              <w:t>2020</w:t>
            </w:r>
          </w:p>
        </w:tc>
        <w:tc>
          <w:tcPr>
            <w:tcW w:w="1091" w:type="dxa"/>
            <w:noWrap/>
          </w:tcPr>
          <w:p w14:paraId="0472732C"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18"/>
                <w:szCs w:val="18"/>
              </w:rPr>
            </w:pPr>
            <w:r w:rsidRPr="00FF756A">
              <w:rPr>
                <w:rFonts w:cs="Times New Roman"/>
                <w:sz w:val="18"/>
                <w:szCs w:val="18"/>
              </w:rPr>
              <w:t>2021</w:t>
            </w:r>
          </w:p>
        </w:tc>
        <w:tc>
          <w:tcPr>
            <w:tcW w:w="1091" w:type="dxa"/>
            <w:noWrap/>
          </w:tcPr>
          <w:p w14:paraId="35B923FF"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18"/>
                <w:szCs w:val="18"/>
              </w:rPr>
            </w:pPr>
            <w:r w:rsidRPr="00FF756A">
              <w:rPr>
                <w:rFonts w:cs="Times New Roman"/>
                <w:sz w:val="18"/>
                <w:szCs w:val="18"/>
              </w:rPr>
              <w:t>2022</w:t>
            </w:r>
          </w:p>
        </w:tc>
        <w:tc>
          <w:tcPr>
            <w:tcW w:w="1091" w:type="dxa"/>
            <w:noWrap/>
          </w:tcPr>
          <w:p w14:paraId="1AA6AC48"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18"/>
                <w:szCs w:val="18"/>
              </w:rPr>
            </w:pPr>
            <w:r w:rsidRPr="00FF756A">
              <w:rPr>
                <w:rFonts w:cs="Times New Roman"/>
                <w:sz w:val="18"/>
                <w:szCs w:val="18"/>
              </w:rPr>
              <w:t>2023</w:t>
            </w:r>
          </w:p>
        </w:tc>
        <w:tc>
          <w:tcPr>
            <w:tcW w:w="1091" w:type="dxa"/>
            <w:noWrap/>
          </w:tcPr>
          <w:p w14:paraId="072BF3F1"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18"/>
                <w:szCs w:val="18"/>
              </w:rPr>
            </w:pPr>
            <w:r w:rsidRPr="00FF756A">
              <w:rPr>
                <w:rFonts w:cs="Times New Roman"/>
                <w:sz w:val="18"/>
                <w:szCs w:val="18"/>
              </w:rPr>
              <w:t>2025</w:t>
            </w:r>
          </w:p>
        </w:tc>
        <w:tc>
          <w:tcPr>
            <w:tcW w:w="1091" w:type="dxa"/>
            <w:noWrap/>
          </w:tcPr>
          <w:p w14:paraId="3C3A175A"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18"/>
                <w:szCs w:val="18"/>
              </w:rPr>
            </w:pPr>
            <w:r w:rsidRPr="00FF756A">
              <w:rPr>
                <w:rFonts w:cs="Times New Roman"/>
                <w:sz w:val="18"/>
                <w:szCs w:val="18"/>
              </w:rPr>
              <w:t>2030</w:t>
            </w:r>
          </w:p>
        </w:tc>
        <w:tc>
          <w:tcPr>
            <w:tcW w:w="1091" w:type="dxa"/>
            <w:noWrap/>
          </w:tcPr>
          <w:p w14:paraId="1B9EB762"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 w:val="18"/>
                <w:szCs w:val="18"/>
              </w:rPr>
            </w:pPr>
            <w:r w:rsidRPr="00FF756A">
              <w:rPr>
                <w:rFonts w:cs="Times New Roman"/>
                <w:sz w:val="18"/>
                <w:szCs w:val="18"/>
              </w:rPr>
              <w:t>2040</w:t>
            </w:r>
          </w:p>
        </w:tc>
        <w:tc>
          <w:tcPr>
            <w:tcW w:w="978" w:type="dxa"/>
          </w:tcPr>
          <w:p w14:paraId="32EDDC5B"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FF756A">
              <w:rPr>
                <w:rFonts w:cs="Times New Roman"/>
                <w:sz w:val="18"/>
                <w:szCs w:val="18"/>
              </w:rPr>
              <w:t>2050</w:t>
            </w:r>
          </w:p>
        </w:tc>
      </w:tr>
      <w:tr w:rsidR="00B86FB3" w:rsidRPr="00FF756A" w14:paraId="6622C6BD"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07" w:type="dxa"/>
          </w:tcPr>
          <w:p w14:paraId="1C252B18" w14:textId="77777777" w:rsidR="00B86FB3" w:rsidRPr="00FF756A" w:rsidRDefault="00B86FB3" w:rsidP="00B86FB3">
            <w:pPr>
              <w:jc w:val="right"/>
              <w:rPr>
                <w:rFonts w:eastAsia="Times New Roman" w:cs="Times New Roman"/>
                <w:b w:val="0"/>
                <w:sz w:val="18"/>
                <w:szCs w:val="18"/>
              </w:rPr>
            </w:pPr>
            <w:r w:rsidRPr="00FF756A">
              <w:rPr>
                <w:rFonts w:cs="Times New Roman"/>
                <w:sz w:val="18"/>
                <w:szCs w:val="18"/>
              </w:rPr>
              <w:t>Kërkesa finale për energji [ktoe]</w:t>
            </w:r>
          </w:p>
        </w:tc>
        <w:tc>
          <w:tcPr>
            <w:tcW w:w="1091" w:type="dxa"/>
            <w:noWrap/>
          </w:tcPr>
          <w:p w14:paraId="58F2FD5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2"/>
              </w:rPr>
            </w:pPr>
            <w:r w:rsidRPr="00FF756A">
              <w:rPr>
                <w:rFonts w:cs="Times New Roman"/>
                <w:sz w:val="20"/>
                <w:szCs w:val="22"/>
              </w:rPr>
              <w:t xml:space="preserve"> 1 916,1 </w:t>
            </w:r>
          </w:p>
        </w:tc>
        <w:tc>
          <w:tcPr>
            <w:tcW w:w="1091" w:type="dxa"/>
            <w:noWrap/>
          </w:tcPr>
          <w:p w14:paraId="7CED4F8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2"/>
              </w:rPr>
            </w:pPr>
            <w:r w:rsidRPr="00FF756A">
              <w:rPr>
                <w:rFonts w:cs="Times New Roman"/>
                <w:sz w:val="20"/>
                <w:szCs w:val="22"/>
              </w:rPr>
              <w:t xml:space="preserve"> 2 050,7 </w:t>
            </w:r>
          </w:p>
        </w:tc>
        <w:tc>
          <w:tcPr>
            <w:tcW w:w="1091" w:type="dxa"/>
            <w:noWrap/>
          </w:tcPr>
          <w:p w14:paraId="37113AA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2"/>
              </w:rPr>
            </w:pPr>
            <w:r w:rsidRPr="00FF756A">
              <w:rPr>
                <w:rFonts w:cs="Times New Roman"/>
                <w:sz w:val="20"/>
                <w:szCs w:val="22"/>
              </w:rPr>
              <w:t xml:space="preserve"> 2 062,0 </w:t>
            </w:r>
          </w:p>
        </w:tc>
        <w:tc>
          <w:tcPr>
            <w:tcW w:w="1091" w:type="dxa"/>
            <w:noWrap/>
          </w:tcPr>
          <w:p w14:paraId="2B04B4B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2"/>
              </w:rPr>
            </w:pPr>
            <w:r w:rsidRPr="00FF756A">
              <w:rPr>
                <w:rFonts w:cs="Times New Roman"/>
                <w:sz w:val="20"/>
                <w:szCs w:val="22"/>
              </w:rPr>
              <w:t xml:space="preserve"> 2 074,8 </w:t>
            </w:r>
          </w:p>
        </w:tc>
        <w:tc>
          <w:tcPr>
            <w:tcW w:w="1091" w:type="dxa"/>
            <w:noWrap/>
          </w:tcPr>
          <w:p w14:paraId="6E95E7A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2"/>
              </w:rPr>
            </w:pPr>
            <w:r w:rsidRPr="00FF756A">
              <w:rPr>
                <w:rFonts w:cs="Times New Roman"/>
                <w:sz w:val="20"/>
                <w:szCs w:val="22"/>
              </w:rPr>
              <w:t xml:space="preserve"> 2 157,4 </w:t>
            </w:r>
          </w:p>
        </w:tc>
        <w:tc>
          <w:tcPr>
            <w:tcW w:w="1091" w:type="dxa"/>
            <w:noWrap/>
          </w:tcPr>
          <w:p w14:paraId="07E6138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2"/>
              </w:rPr>
            </w:pPr>
            <w:r w:rsidRPr="00FF756A">
              <w:rPr>
                <w:rFonts w:cs="Times New Roman"/>
                <w:sz w:val="20"/>
                <w:szCs w:val="22"/>
              </w:rPr>
              <w:t xml:space="preserve"> 2 383,0 </w:t>
            </w:r>
          </w:p>
        </w:tc>
        <w:tc>
          <w:tcPr>
            <w:tcW w:w="1091" w:type="dxa"/>
            <w:noWrap/>
          </w:tcPr>
          <w:p w14:paraId="208895C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2"/>
              </w:rPr>
            </w:pPr>
            <w:r w:rsidRPr="00FF756A">
              <w:rPr>
                <w:rFonts w:cs="Times New Roman"/>
                <w:sz w:val="20"/>
                <w:szCs w:val="22"/>
              </w:rPr>
              <w:t xml:space="preserve"> 2 975,7 </w:t>
            </w:r>
          </w:p>
        </w:tc>
        <w:tc>
          <w:tcPr>
            <w:tcW w:w="978" w:type="dxa"/>
          </w:tcPr>
          <w:p w14:paraId="32E7152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 xml:space="preserve"> 3 855,4 </w:t>
            </w:r>
          </w:p>
        </w:tc>
      </w:tr>
      <w:tr w:rsidR="00B86FB3" w:rsidRPr="00FF756A" w14:paraId="58A06129"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007" w:type="dxa"/>
          </w:tcPr>
          <w:p w14:paraId="5F2F377F" w14:textId="77777777" w:rsidR="00B86FB3" w:rsidRPr="00FF756A" w:rsidRDefault="00B86FB3" w:rsidP="00B86FB3">
            <w:pPr>
              <w:jc w:val="right"/>
              <w:rPr>
                <w:rFonts w:eastAsia="Times New Roman" w:cs="Times New Roman"/>
                <w:b w:val="0"/>
                <w:sz w:val="18"/>
                <w:szCs w:val="18"/>
              </w:rPr>
            </w:pPr>
            <w:r w:rsidRPr="00FF756A">
              <w:rPr>
                <w:rFonts w:cs="Times New Roman"/>
                <w:sz w:val="18"/>
                <w:szCs w:val="18"/>
              </w:rPr>
              <w:t>KFE në raport me TFEP</w:t>
            </w:r>
          </w:p>
        </w:tc>
        <w:tc>
          <w:tcPr>
            <w:tcW w:w="1091" w:type="dxa"/>
            <w:noWrap/>
            <w:hideMark/>
          </w:tcPr>
          <w:p w14:paraId="3170E02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2"/>
              </w:rPr>
            </w:pPr>
            <w:r w:rsidRPr="00FF756A">
              <w:rPr>
                <w:rFonts w:cs="Times New Roman"/>
                <w:sz w:val="20"/>
                <w:szCs w:val="22"/>
              </w:rPr>
              <w:t>90,4%</w:t>
            </w:r>
          </w:p>
        </w:tc>
        <w:tc>
          <w:tcPr>
            <w:tcW w:w="1091" w:type="dxa"/>
            <w:noWrap/>
            <w:hideMark/>
          </w:tcPr>
          <w:p w14:paraId="5252EF0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2"/>
              </w:rPr>
            </w:pPr>
            <w:r w:rsidRPr="00FF756A">
              <w:rPr>
                <w:rFonts w:cs="Times New Roman"/>
                <w:sz w:val="20"/>
                <w:szCs w:val="22"/>
              </w:rPr>
              <w:t>91,0%</w:t>
            </w:r>
          </w:p>
        </w:tc>
        <w:tc>
          <w:tcPr>
            <w:tcW w:w="1091" w:type="dxa"/>
            <w:noWrap/>
            <w:hideMark/>
          </w:tcPr>
          <w:p w14:paraId="52A9FE9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2"/>
              </w:rPr>
            </w:pPr>
            <w:r w:rsidRPr="00FF756A">
              <w:rPr>
                <w:rFonts w:cs="Times New Roman"/>
                <w:sz w:val="20"/>
                <w:szCs w:val="22"/>
              </w:rPr>
              <w:t>91,0%</w:t>
            </w:r>
          </w:p>
        </w:tc>
        <w:tc>
          <w:tcPr>
            <w:tcW w:w="1091" w:type="dxa"/>
            <w:noWrap/>
            <w:hideMark/>
          </w:tcPr>
          <w:p w14:paraId="5E9804F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2"/>
              </w:rPr>
            </w:pPr>
            <w:r w:rsidRPr="00FF756A">
              <w:rPr>
                <w:rFonts w:cs="Times New Roman"/>
                <w:sz w:val="20"/>
                <w:szCs w:val="22"/>
              </w:rPr>
              <w:t>90,1%</w:t>
            </w:r>
          </w:p>
        </w:tc>
        <w:tc>
          <w:tcPr>
            <w:tcW w:w="1091" w:type="dxa"/>
            <w:noWrap/>
            <w:hideMark/>
          </w:tcPr>
          <w:p w14:paraId="0904A24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2"/>
              </w:rPr>
            </w:pPr>
            <w:r w:rsidRPr="00FF756A">
              <w:rPr>
                <w:rFonts w:cs="Times New Roman"/>
                <w:sz w:val="20"/>
                <w:szCs w:val="22"/>
              </w:rPr>
              <w:t>90,9%</w:t>
            </w:r>
          </w:p>
        </w:tc>
        <w:tc>
          <w:tcPr>
            <w:tcW w:w="1091" w:type="dxa"/>
            <w:noWrap/>
            <w:hideMark/>
          </w:tcPr>
          <w:p w14:paraId="11D31A8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2"/>
              </w:rPr>
            </w:pPr>
            <w:r w:rsidRPr="00FF756A">
              <w:rPr>
                <w:rFonts w:cs="Times New Roman"/>
                <w:sz w:val="20"/>
                <w:szCs w:val="22"/>
              </w:rPr>
              <w:t>92,7%</w:t>
            </w:r>
          </w:p>
        </w:tc>
        <w:tc>
          <w:tcPr>
            <w:tcW w:w="1091" w:type="dxa"/>
            <w:noWrap/>
            <w:hideMark/>
          </w:tcPr>
          <w:p w14:paraId="6AAD4325" w14:textId="77777777" w:rsidR="00B86FB3" w:rsidRPr="00FF756A" w:rsidRDefault="00B86FB3" w:rsidP="00B86FB3">
            <w:pPr>
              <w:keepNext/>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2"/>
              </w:rPr>
            </w:pPr>
            <w:r w:rsidRPr="00FF756A">
              <w:rPr>
                <w:rFonts w:cs="Times New Roman"/>
                <w:sz w:val="20"/>
                <w:szCs w:val="22"/>
              </w:rPr>
              <w:t>92,0%</w:t>
            </w:r>
          </w:p>
        </w:tc>
        <w:tc>
          <w:tcPr>
            <w:tcW w:w="978" w:type="dxa"/>
          </w:tcPr>
          <w:p w14:paraId="13F5D2B0" w14:textId="77777777" w:rsidR="00B86FB3" w:rsidRPr="00FF756A" w:rsidRDefault="00B86FB3" w:rsidP="003F200D">
            <w:pPr>
              <w:keepNext/>
              <w:jc w:val="right"/>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92,2%</w:t>
            </w:r>
          </w:p>
        </w:tc>
      </w:tr>
    </w:tbl>
    <w:p w14:paraId="1E8BD5A3" w14:textId="0DCB6171" w:rsidR="00B86FB3" w:rsidRPr="00FF756A" w:rsidRDefault="003F200D" w:rsidP="003F200D">
      <w:pPr>
        <w:pStyle w:val="Caption"/>
        <w:rPr>
          <w:rFonts w:ascii="Times New Roman" w:hAnsi="Times New Roman"/>
        </w:rPr>
      </w:pPr>
      <w:bookmarkStart w:id="572" w:name="_Toc183016504"/>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40</w:t>
      </w:r>
      <w:r w:rsidR="008E7DE9" w:rsidRPr="00FF756A">
        <w:rPr>
          <w:rFonts w:ascii="Times New Roman" w:hAnsi="Times New Roman"/>
          <w:noProof/>
        </w:rPr>
        <w:fldChar w:fldCharType="end"/>
      </w:r>
      <w:r w:rsidRPr="00FF756A">
        <w:rPr>
          <w:rFonts w:ascii="Times New Roman" w:hAnsi="Times New Roman"/>
        </w:rPr>
        <w:t>: Kërkesa finale për energji për periudhën kohore 2020-2023 dhe sipas parashikimeve deri në vitin 2030 dhe për vitet 2040 dhe 2050, me masat ekzistuese</w:t>
      </w:r>
      <w:bookmarkEnd w:id="572"/>
    </w:p>
    <w:p w14:paraId="4E022480" w14:textId="77777777" w:rsidR="00951388" w:rsidRPr="00FF756A" w:rsidRDefault="00951388" w:rsidP="00B86FB3"/>
    <w:p w14:paraId="758F88CE" w14:textId="4A328DB9" w:rsidR="00B86FB3" w:rsidRPr="00FF756A" w:rsidRDefault="00B86FB3" w:rsidP="00B86FB3">
      <w:r w:rsidRPr="00FF756A">
        <w:fldChar w:fldCharType="begin"/>
      </w:r>
      <w:r w:rsidRPr="00FF756A">
        <w:instrText xml:space="preserve"> REF _Ref71826906 \h  \* MERGEFORMAT </w:instrText>
      </w:r>
      <w:r w:rsidRPr="00FF756A">
        <w:fldChar w:fldCharType="separate"/>
      </w:r>
      <w:r w:rsidRPr="00FF756A">
        <w:t xml:space="preserve">Figura </w:t>
      </w:r>
      <w:r w:rsidRPr="00FF756A">
        <w:fldChar w:fldCharType="end"/>
      </w:r>
      <w:r w:rsidR="00951388" w:rsidRPr="00FF756A">
        <w:t>48</w:t>
      </w:r>
      <w:r w:rsidRPr="00FF756A">
        <w:t xml:space="preserve"> dhe </w:t>
      </w:r>
      <w:r w:rsidR="00951388" w:rsidRPr="00FF756A">
        <w:t xml:space="preserve">Tabela 41 </w:t>
      </w:r>
      <w:r w:rsidRPr="00FF756A">
        <w:t xml:space="preserve">paraqesin përqindjet e sektorëve të ndryshëm në kërkesën finale për energji. Përqindja e konsumit të energjisë në sektorin e banesave reduktohet. </w:t>
      </w:r>
    </w:p>
    <w:p w14:paraId="2A788AE8" w14:textId="77777777" w:rsidR="003F200D" w:rsidRPr="00FF756A" w:rsidRDefault="00B86FB3" w:rsidP="003F200D">
      <w:pPr>
        <w:keepNext/>
      </w:pPr>
      <w:r w:rsidRPr="00FF756A">
        <w:rPr>
          <w:noProof/>
          <w:lang w:val="en-US"/>
        </w:rPr>
        <w:drawing>
          <wp:inline distT="0" distB="0" distL="0" distR="0" wp14:anchorId="39261E66" wp14:editId="02F5337A">
            <wp:extent cx="5760720" cy="3456305"/>
            <wp:effectExtent l="0" t="0" r="0" b="0"/>
            <wp:docPr id="687403518" name="Picture 2" descr="A graph of energy effici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03518" name="Picture 2" descr="A graph of energy efficiency&#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1E8048B0" w14:textId="52CD5A06" w:rsidR="00B86FB3" w:rsidRPr="00FF756A" w:rsidRDefault="003F200D" w:rsidP="003F200D">
      <w:pPr>
        <w:pStyle w:val="Caption"/>
        <w:rPr>
          <w:rFonts w:ascii="Times New Roman" w:hAnsi="Times New Roman"/>
        </w:rPr>
      </w:pPr>
      <w:bookmarkStart w:id="573" w:name="_Toc183016578"/>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48</w:t>
      </w:r>
      <w:r w:rsidR="008E7DE9" w:rsidRPr="00FF756A">
        <w:rPr>
          <w:rFonts w:ascii="Times New Roman" w:hAnsi="Times New Roman"/>
          <w:noProof/>
        </w:rPr>
        <w:fldChar w:fldCharType="end"/>
      </w:r>
      <w:r w:rsidRPr="00FF756A">
        <w:rPr>
          <w:rFonts w:ascii="Times New Roman" w:hAnsi="Times New Roman"/>
        </w:rPr>
        <w:t>: Përqindjet e kërkesës finale për energji në sektorët me kërkesë energjie për periudhën kohore 2016-2023 dhe sipas parashikimit deri në vitin 2050 me masat ekzistuese.</w:t>
      </w:r>
      <w:bookmarkEnd w:id="573"/>
    </w:p>
    <w:p w14:paraId="2984AF31" w14:textId="77777777" w:rsidR="00B86FB3" w:rsidRPr="00FF756A" w:rsidRDefault="00B86FB3" w:rsidP="00B86FB3"/>
    <w:tbl>
      <w:tblPr>
        <w:tblStyle w:val="GridTable5DarkAccent10"/>
        <w:tblW w:w="5000" w:type="pct"/>
        <w:jc w:val="right"/>
        <w:tblLook w:val="04A0" w:firstRow="1" w:lastRow="0" w:firstColumn="1" w:lastColumn="0" w:noHBand="0" w:noVBand="1"/>
      </w:tblPr>
      <w:tblGrid>
        <w:gridCol w:w="2110"/>
        <w:gridCol w:w="869"/>
        <w:gridCol w:w="869"/>
        <w:gridCol w:w="869"/>
        <w:gridCol w:w="869"/>
        <w:gridCol w:w="869"/>
        <w:gridCol w:w="869"/>
        <w:gridCol w:w="869"/>
        <w:gridCol w:w="869"/>
      </w:tblGrid>
      <w:tr w:rsidR="00B86FB3" w:rsidRPr="00FF756A" w14:paraId="2BCB3970" w14:textId="77777777" w:rsidTr="006A3266">
        <w:trPr>
          <w:cnfStyle w:val="100000000000" w:firstRow="1" w:lastRow="0" w:firstColumn="0" w:lastColumn="0" w:oddVBand="0" w:evenVBand="0" w:oddHBand="0" w:evenHBand="0" w:firstRowFirstColumn="0" w:firstRowLastColumn="0" w:lastRowFirstColumn="0" w:lastRowLastColumn="0"/>
          <w:trHeight w:val="290"/>
          <w:jc w:val="right"/>
        </w:trPr>
        <w:tc>
          <w:tcPr>
            <w:cnfStyle w:val="001000000000" w:firstRow="0" w:lastRow="0" w:firstColumn="1" w:lastColumn="0" w:oddVBand="0" w:evenVBand="0" w:oddHBand="0" w:evenHBand="0" w:firstRowFirstColumn="0" w:firstRowLastColumn="0" w:lastRowFirstColumn="0" w:lastRowLastColumn="0"/>
            <w:tcW w:w="815" w:type="pct"/>
            <w:noWrap/>
            <w:hideMark/>
          </w:tcPr>
          <w:p w14:paraId="6241BD25" w14:textId="77777777" w:rsidR="00B86FB3" w:rsidRPr="00FF756A" w:rsidRDefault="00B86FB3" w:rsidP="00B86FB3">
            <w:pPr>
              <w:rPr>
                <w:rFonts w:cs="Times New Roman"/>
                <w:bCs w:val="0"/>
                <w:sz w:val="20"/>
              </w:rPr>
            </w:pPr>
            <w:r w:rsidRPr="00FF756A">
              <w:rPr>
                <w:rFonts w:cs="Times New Roman"/>
                <w:sz w:val="20"/>
              </w:rPr>
              <w:t>Dega</w:t>
            </w:r>
          </w:p>
        </w:tc>
        <w:tc>
          <w:tcPr>
            <w:tcW w:w="523" w:type="pct"/>
            <w:noWrap/>
            <w:hideMark/>
          </w:tcPr>
          <w:p w14:paraId="0F022630"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2020</w:t>
            </w:r>
          </w:p>
        </w:tc>
        <w:tc>
          <w:tcPr>
            <w:tcW w:w="523" w:type="pct"/>
            <w:noWrap/>
            <w:hideMark/>
          </w:tcPr>
          <w:p w14:paraId="607FA892"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2021</w:t>
            </w:r>
          </w:p>
        </w:tc>
        <w:tc>
          <w:tcPr>
            <w:tcW w:w="523" w:type="pct"/>
            <w:noWrap/>
            <w:hideMark/>
          </w:tcPr>
          <w:p w14:paraId="1C72DE87"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2022</w:t>
            </w:r>
          </w:p>
        </w:tc>
        <w:tc>
          <w:tcPr>
            <w:tcW w:w="523" w:type="pct"/>
            <w:noWrap/>
            <w:hideMark/>
          </w:tcPr>
          <w:p w14:paraId="7DCFB3AF"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2023</w:t>
            </w:r>
          </w:p>
        </w:tc>
        <w:tc>
          <w:tcPr>
            <w:tcW w:w="523" w:type="pct"/>
            <w:noWrap/>
            <w:hideMark/>
          </w:tcPr>
          <w:p w14:paraId="242D4E31"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2025</w:t>
            </w:r>
          </w:p>
        </w:tc>
        <w:tc>
          <w:tcPr>
            <w:tcW w:w="523" w:type="pct"/>
            <w:noWrap/>
            <w:hideMark/>
          </w:tcPr>
          <w:p w14:paraId="791D6CF6"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2030</w:t>
            </w:r>
          </w:p>
        </w:tc>
        <w:tc>
          <w:tcPr>
            <w:tcW w:w="523" w:type="pct"/>
            <w:noWrap/>
            <w:hideMark/>
          </w:tcPr>
          <w:p w14:paraId="78EA1E49"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rPr>
            </w:pPr>
            <w:r w:rsidRPr="00FF756A">
              <w:rPr>
                <w:rFonts w:cs="Times New Roman"/>
                <w:sz w:val="20"/>
              </w:rPr>
              <w:t>2040</w:t>
            </w:r>
          </w:p>
        </w:tc>
        <w:tc>
          <w:tcPr>
            <w:tcW w:w="523" w:type="pct"/>
          </w:tcPr>
          <w:p w14:paraId="4898DFB7"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sz w:val="20"/>
              </w:rPr>
            </w:pPr>
            <w:r w:rsidRPr="00FF756A">
              <w:rPr>
                <w:rFonts w:cs="Times New Roman"/>
                <w:sz w:val="20"/>
              </w:rPr>
              <w:t>2050</w:t>
            </w:r>
          </w:p>
        </w:tc>
      </w:tr>
      <w:tr w:rsidR="00B86FB3" w:rsidRPr="00FF756A" w14:paraId="79C77E2A" w14:textId="77777777" w:rsidTr="006A3266">
        <w:trPr>
          <w:cnfStyle w:val="000000100000" w:firstRow="0" w:lastRow="0" w:firstColumn="0" w:lastColumn="0" w:oddVBand="0" w:evenVBand="0" w:oddHBand="1" w:evenHBand="0" w:firstRowFirstColumn="0" w:firstRowLastColumn="0" w:lastRowFirstColumn="0" w:lastRowLastColumn="0"/>
          <w:trHeight w:val="290"/>
          <w:jc w:val="right"/>
        </w:trPr>
        <w:tc>
          <w:tcPr>
            <w:cnfStyle w:val="001000000000" w:firstRow="0" w:lastRow="0" w:firstColumn="1" w:lastColumn="0" w:oddVBand="0" w:evenVBand="0" w:oddHBand="0" w:evenHBand="0" w:firstRowFirstColumn="0" w:firstRowLastColumn="0" w:lastRowFirstColumn="0" w:lastRowLastColumn="0"/>
            <w:tcW w:w="815" w:type="pct"/>
            <w:noWrap/>
            <w:hideMark/>
          </w:tcPr>
          <w:p w14:paraId="2E673BE1" w14:textId="77777777" w:rsidR="00B86FB3" w:rsidRPr="00FF756A" w:rsidRDefault="00B86FB3" w:rsidP="00B86FB3">
            <w:pPr>
              <w:rPr>
                <w:rFonts w:cs="Times New Roman"/>
                <w:b w:val="0"/>
                <w:sz w:val="20"/>
              </w:rPr>
            </w:pPr>
            <w:r w:rsidRPr="00FF756A">
              <w:rPr>
                <w:rFonts w:cs="Times New Roman"/>
                <w:sz w:val="20"/>
              </w:rPr>
              <w:t>Sektori i banesave</w:t>
            </w:r>
          </w:p>
        </w:tc>
        <w:tc>
          <w:tcPr>
            <w:tcW w:w="523" w:type="pct"/>
            <w:noWrap/>
            <w:vAlign w:val="center"/>
            <w:hideMark/>
          </w:tcPr>
          <w:p w14:paraId="4970F77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27,1%</w:t>
            </w:r>
          </w:p>
        </w:tc>
        <w:tc>
          <w:tcPr>
            <w:tcW w:w="523" w:type="pct"/>
            <w:noWrap/>
            <w:vAlign w:val="center"/>
            <w:hideMark/>
          </w:tcPr>
          <w:p w14:paraId="0DD14F3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25,6%</w:t>
            </w:r>
          </w:p>
        </w:tc>
        <w:tc>
          <w:tcPr>
            <w:tcW w:w="523" w:type="pct"/>
            <w:noWrap/>
            <w:vAlign w:val="center"/>
            <w:hideMark/>
          </w:tcPr>
          <w:p w14:paraId="31D8CE6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24,9%</w:t>
            </w:r>
          </w:p>
        </w:tc>
        <w:tc>
          <w:tcPr>
            <w:tcW w:w="523" w:type="pct"/>
            <w:noWrap/>
            <w:vAlign w:val="center"/>
            <w:hideMark/>
          </w:tcPr>
          <w:p w14:paraId="6573A5C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24,3%</w:t>
            </w:r>
          </w:p>
        </w:tc>
        <w:tc>
          <w:tcPr>
            <w:tcW w:w="523" w:type="pct"/>
            <w:noWrap/>
            <w:vAlign w:val="center"/>
            <w:hideMark/>
          </w:tcPr>
          <w:p w14:paraId="20AAB08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23,1%</w:t>
            </w:r>
          </w:p>
        </w:tc>
        <w:tc>
          <w:tcPr>
            <w:tcW w:w="523" w:type="pct"/>
            <w:noWrap/>
            <w:vAlign w:val="center"/>
            <w:hideMark/>
          </w:tcPr>
          <w:p w14:paraId="4F424B6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20,2%</w:t>
            </w:r>
          </w:p>
        </w:tc>
        <w:tc>
          <w:tcPr>
            <w:tcW w:w="523" w:type="pct"/>
            <w:noWrap/>
            <w:vAlign w:val="center"/>
            <w:hideMark/>
          </w:tcPr>
          <w:p w14:paraId="3D54C3D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16,3%</w:t>
            </w:r>
          </w:p>
        </w:tc>
        <w:tc>
          <w:tcPr>
            <w:tcW w:w="523" w:type="pct"/>
            <w:vAlign w:val="center"/>
          </w:tcPr>
          <w:p w14:paraId="77EA7CE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15,0%</w:t>
            </w:r>
          </w:p>
        </w:tc>
      </w:tr>
      <w:tr w:rsidR="00B86FB3" w:rsidRPr="00FF756A" w14:paraId="79001CCB" w14:textId="77777777" w:rsidTr="006A3266">
        <w:trPr>
          <w:trHeight w:val="290"/>
          <w:jc w:val="right"/>
        </w:trPr>
        <w:tc>
          <w:tcPr>
            <w:cnfStyle w:val="001000000000" w:firstRow="0" w:lastRow="0" w:firstColumn="1" w:lastColumn="0" w:oddVBand="0" w:evenVBand="0" w:oddHBand="0" w:evenHBand="0" w:firstRowFirstColumn="0" w:firstRowLastColumn="0" w:lastRowFirstColumn="0" w:lastRowLastColumn="0"/>
            <w:tcW w:w="815" w:type="pct"/>
            <w:noWrap/>
            <w:hideMark/>
          </w:tcPr>
          <w:p w14:paraId="75400B03" w14:textId="77777777" w:rsidR="00B86FB3" w:rsidRPr="00FF756A" w:rsidRDefault="00B86FB3" w:rsidP="00B86FB3">
            <w:pPr>
              <w:rPr>
                <w:rFonts w:cs="Times New Roman"/>
                <w:b w:val="0"/>
                <w:sz w:val="20"/>
              </w:rPr>
            </w:pPr>
            <w:r w:rsidRPr="00FF756A">
              <w:rPr>
                <w:rFonts w:cs="Times New Roman"/>
                <w:sz w:val="20"/>
              </w:rPr>
              <w:t>Shërbimet</w:t>
            </w:r>
          </w:p>
        </w:tc>
        <w:tc>
          <w:tcPr>
            <w:tcW w:w="523" w:type="pct"/>
            <w:noWrap/>
            <w:vAlign w:val="center"/>
            <w:hideMark/>
          </w:tcPr>
          <w:p w14:paraId="34F378B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10,3%</w:t>
            </w:r>
          </w:p>
        </w:tc>
        <w:tc>
          <w:tcPr>
            <w:tcW w:w="523" w:type="pct"/>
            <w:noWrap/>
            <w:vAlign w:val="center"/>
            <w:hideMark/>
          </w:tcPr>
          <w:p w14:paraId="7B6BADD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10,7%</w:t>
            </w:r>
          </w:p>
        </w:tc>
        <w:tc>
          <w:tcPr>
            <w:tcW w:w="523" w:type="pct"/>
            <w:noWrap/>
            <w:vAlign w:val="center"/>
            <w:hideMark/>
          </w:tcPr>
          <w:p w14:paraId="6CFA1B3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10,6%</w:t>
            </w:r>
          </w:p>
        </w:tc>
        <w:tc>
          <w:tcPr>
            <w:tcW w:w="523" w:type="pct"/>
            <w:noWrap/>
            <w:vAlign w:val="center"/>
            <w:hideMark/>
          </w:tcPr>
          <w:p w14:paraId="51F36A6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10,9%</w:t>
            </w:r>
          </w:p>
        </w:tc>
        <w:tc>
          <w:tcPr>
            <w:tcW w:w="523" w:type="pct"/>
            <w:noWrap/>
            <w:vAlign w:val="center"/>
            <w:hideMark/>
          </w:tcPr>
          <w:p w14:paraId="024574F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11,3%</w:t>
            </w:r>
          </w:p>
        </w:tc>
        <w:tc>
          <w:tcPr>
            <w:tcW w:w="523" w:type="pct"/>
            <w:noWrap/>
            <w:vAlign w:val="center"/>
            <w:hideMark/>
          </w:tcPr>
          <w:p w14:paraId="3DA409A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12,1%</w:t>
            </w:r>
          </w:p>
        </w:tc>
        <w:tc>
          <w:tcPr>
            <w:tcW w:w="523" w:type="pct"/>
            <w:noWrap/>
            <w:vAlign w:val="center"/>
            <w:hideMark/>
          </w:tcPr>
          <w:p w14:paraId="59125BA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12,7%</w:t>
            </w:r>
          </w:p>
        </w:tc>
        <w:tc>
          <w:tcPr>
            <w:tcW w:w="523" w:type="pct"/>
            <w:vAlign w:val="center"/>
          </w:tcPr>
          <w:p w14:paraId="3052F14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11,9%</w:t>
            </w:r>
          </w:p>
        </w:tc>
      </w:tr>
      <w:tr w:rsidR="00B86FB3" w:rsidRPr="00FF756A" w14:paraId="5E32BF75" w14:textId="77777777" w:rsidTr="006A3266">
        <w:trPr>
          <w:cnfStyle w:val="000000100000" w:firstRow="0" w:lastRow="0" w:firstColumn="0" w:lastColumn="0" w:oddVBand="0" w:evenVBand="0" w:oddHBand="1" w:evenHBand="0" w:firstRowFirstColumn="0" w:firstRowLastColumn="0" w:lastRowFirstColumn="0" w:lastRowLastColumn="0"/>
          <w:trHeight w:val="290"/>
          <w:jc w:val="right"/>
        </w:trPr>
        <w:tc>
          <w:tcPr>
            <w:cnfStyle w:val="001000000000" w:firstRow="0" w:lastRow="0" w:firstColumn="1" w:lastColumn="0" w:oddVBand="0" w:evenVBand="0" w:oddHBand="0" w:evenHBand="0" w:firstRowFirstColumn="0" w:firstRowLastColumn="0" w:lastRowFirstColumn="0" w:lastRowLastColumn="0"/>
            <w:tcW w:w="815" w:type="pct"/>
            <w:noWrap/>
            <w:hideMark/>
          </w:tcPr>
          <w:p w14:paraId="145D8153" w14:textId="77777777" w:rsidR="00B86FB3" w:rsidRPr="00FF756A" w:rsidRDefault="00B86FB3" w:rsidP="00B86FB3">
            <w:pPr>
              <w:rPr>
                <w:rFonts w:cs="Times New Roman"/>
                <w:b w:val="0"/>
                <w:sz w:val="20"/>
              </w:rPr>
            </w:pPr>
            <w:r w:rsidRPr="00FF756A">
              <w:rPr>
                <w:rFonts w:cs="Times New Roman"/>
                <w:sz w:val="20"/>
              </w:rPr>
              <w:t>Industria</w:t>
            </w:r>
          </w:p>
        </w:tc>
        <w:tc>
          <w:tcPr>
            <w:tcW w:w="523" w:type="pct"/>
            <w:noWrap/>
            <w:vAlign w:val="center"/>
            <w:hideMark/>
          </w:tcPr>
          <w:p w14:paraId="6236FE1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19,3%</w:t>
            </w:r>
          </w:p>
        </w:tc>
        <w:tc>
          <w:tcPr>
            <w:tcW w:w="523" w:type="pct"/>
            <w:noWrap/>
            <w:vAlign w:val="center"/>
            <w:hideMark/>
          </w:tcPr>
          <w:p w14:paraId="72BE368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21,3%</w:t>
            </w:r>
          </w:p>
        </w:tc>
        <w:tc>
          <w:tcPr>
            <w:tcW w:w="523" w:type="pct"/>
            <w:noWrap/>
            <w:vAlign w:val="center"/>
            <w:hideMark/>
          </w:tcPr>
          <w:p w14:paraId="063FD80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21,0%</w:t>
            </w:r>
          </w:p>
        </w:tc>
        <w:tc>
          <w:tcPr>
            <w:tcW w:w="523" w:type="pct"/>
            <w:noWrap/>
            <w:vAlign w:val="center"/>
            <w:hideMark/>
          </w:tcPr>
          <w:p w14:paraId="5A4E5FE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21,5%</w:t>
            </w:r>
          </w:p>
        </w:tc>
        <w:tc>
          <w:tcPr>
            <w:tcW w:w="523" w:type="pct"/>
            <w:noWrap/>
            <w:vAlign w:val="center"/>
            <w:hideMark/>
          </w:tcPr>
          <w:p w14:paraId="0BC2DE7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21,9%</w:t>
            </w:r>
          </w:p>
        </w:tc>
        <w:tc>
          <w:tcPr>
            <w:tcW w:w="523" w:type="pct"/>
            <w:noWrap/>
            <w:vAlign w:val="center"/>
            <w:hideMark/>
          </w:tcPr>
          <w:p w14:paraId="4DDD4D2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23,1%</w:t>
            </w:r>
          </w:p>
        </w:tc>
        <w:tc>
          <w:tcPr>
            <w:tcW w:w="523" w:type="pct"/>
            <w:noWrap/>
            <w:vAlign w:val="center"/>
            <w:hideMark/>
          </w:tcPr>
          <w:p w14:paraId="3DE4B2E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25,2%</w:t>
            </w:r>
          </w:p>
        </w:tc>
        <w:tc>
          <w:tcPr>
            <w:tcW w:w="523" w:type="pct"/>
            <w:vAlign w:val="center"/>
          </w:tcPr>
          <w:p w14:paraId="09B0C99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26,9%</w:t>
            </w:r>
          </w:p>
        </w:tc>
      </w:tr>
      <w:tr w:rsidR="00B86FB3" w:rsidRPr="00FF756A" w14:paraId="4DF08112" w14:textId="77777777" w:rsidTr="006A3266">
        <w:trPr>
          <w:trHeight w:val="290"/>
          <w:jc w:val="right"/>
        </w:trPr>
        <w:tc>
          <w:tcPr>
            <w:cnfStyle w:val="001000000000" w:firstRow="0" w:lastRow="0" w:firstColumn="1" w:lastColumn="0" w:oddVBand="0" w:evenVBand="0" w:oddHBand="0" w:evenHBand="0" w:firstRowFirstColumn="0" w:firstRowLastColumn="0" w:lastRowFirstColumn="0" w:lastRowLastColumn="0"/>
            <w:tcW w:w="815" w:type="pct"/>
            <w:noWrap/>
            <w:hideMark/>
          </w:tcPr>
          <w:p w14:paraId="5BE7D347" w14:textId="77777777" w:rsidR="00B86FB3" w:rsidRPr="00FF756A" w:rsidRDefault="00B86FB3" w:rsidP="00B86FB3">
            <w:pPr>
              <w:rPr>
                <w:rFonts w:cs="Times New Roman"/>
                <w:b w:val="0"/>
                <w:sz w:val="20"/>
              </w:rPr>
            </w:pPr>
            <w:r w:rsidRPr="00FF756A">
              <w:rPr>
                <w:rFonts w:cs="Times New Roman"/>
                <w:sz w:val="20"/>
              </w:rPr>
              <w:t>Transporti</w:t>
            </w:r>
          </w:p>
        </w:tc>
        <w:tc>
          <w:tcPr>
            <w:tcW w:w="523" w:type="pct"/>
            <w:noWrap/>
            <w:vAlign w:val="center"/>
            <w:hideMark/>
          </w:tcPr>
          <w:p w14:paraId="67A13A9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34,1%</w:t>
            </w:r>
          </w:p>
        </w:tc>
        <w:tc>
          <w:tcPr>
            <w:tcW w:w="523" w:type="pct"/>
            <w:noWrap/>
            <w:vAlign w:val="center"/>
            <w:hideMark/>
          </w:tcPr>
          <w:p w14:paraId="2F5166A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33,9%</w:t>
            </w:r>
          </w:p>
        </w:tc>
        <w:tc>
          <w:tcPr>
            <w:tcW w:w="523" w:type="pct"/>
            <w:noWrap/>
            <w:vAlign w:val="center"/>
            <w:hideMark/>
          </w:tcPr>
          <w:p w14:paraId="60DB1C0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35,0%</w:t>
            </w:r>
          </w:p>
        </w:tc>
        <w:tc>
          <w:tcPr>
            <w:tcW w:w="523" w:type="pct"/>
            <w:noWrap/>
            <w:vAlign w:val="center"/>
            <w:hideMark/>
          </w:tcPr>
          <w:p w14:paraId="50CF4E2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34,6%</w:t>
            </w:r>
          </w:p>
        </w:tc>
        <w:tc>
          <w:tcPr>
            <w:tcW w:w="523" w:type="pct"/>
            <w:noWrap/>
            <w:vAlign w:val="center"/>
            <w:hideMark/>
          </w:tcPr>
          <w:p w14:paraId="3BF6E41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34,9%</w:t>
            </w:r>
          </w:p>
        </w:tc>
        <w:tc>
          <w:tcPr>
            <w:tcW w:w="523" w:type="pct"/>
            <w:noWrap/>
            <w:vAlign w:val="center"/>
            <w:hideMark/>
          </w:tcPr>
          <w:p w14:paraId="09986A9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35,3%</w:t>
            </w:r>
          </w:p>
        </w:tc>
        <w:tc>
          <w:tcPr>
            <w:tcW w:w="523" w:type="pct"/>
            <w:noWrap/>
            <w:vAlign w:val="center"/>
            <w:hideMark/>
          </w:tcPr>
          <w:p w14:paraId="373D295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35,8%</w:t>
            </w:r>
          </w:p>
        </w:tc>
        <w:tc>
          <w:tcPr>
            <w:tcW w:w="523" w:type="pct"/>
            <w:vAlign w:val="center"/>
          </w:tcPr>
          <w:p w14:paraId="4067172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35,7%</w:t>
            </w:r>
          </w:p>
        </w:tc>
      </w:tr>
      <w:tr w:rsidR="00B86FB3" w:rsidRPr="00FF756A" w14:paraId="0953152D" w14:textId="77777777" w:rsidTr="006A3266">
        <w:trPr>
          <w:cnfStyle w:val="000000100000" w:firstRow="0" w:lastRow="0" w:firstColumn="0" w:lastColumn="0" w:oddVBand="0" w:evenVBand="0" w:oddHBand="1" w:evenHBand="0" w:firstRowFirstColumn="0" w:firstRowLastColumn="0" w:lastRowFirstColumn="0" w:lastRowLastColumn="0"/>
          <w:trHeight w:val="290"/>
          <w:jc w:val="right"/>
        </w:trPr>
        <w:tc>
          <w:tcPr>
            <w:cnfStyle w:val="001000000000" w:firstRow="0" w:lastRow="0" w:firstColumn="1" w:lastColumn="0" w:oddVBand="0" w:evenVBand="0" w:oddHBand="0" w:evenHBand="0" w:firstRowFirstColumn="0" w:firstRowLastColumn="0" w:lastRowFirstColumn="0" w:lastRowLastColumn="0"/>
            <w:tcW w:w="815" w:type="pct"/>
            <w:noWrap/>
            <w:hideMark/>
          </w:tcPr>
          <w:p w14:paraId="1E946F13" w14:textId="77777777" w:rsidR="00B86FB3" w:rsidRPr="00FF756A" w:rsidRDefault="00B86FB3" w:rsidP="00B86FB3">
            <w:pPr>
              <w:rPr>
                <w:rFonts w:cs="Times New Roman"/>
                <w:b w:val="0"/>
                <w:sz w:val="20"/>
              </w:rPr>
            </w:pPr>
            <w:r w:rsidRPr="00FF756A">
              <w:rPr>
                <w:rFonts w:cs="Times New Roman"/>
                <w:sz w:val="20"/>
              </w:rPr>
              <w:t xml:space="preserve">Bujqësia </w:t>
            </w:r>
          </w:p>
        </w:tc>
        <w:tc>
          <w:tcPr>
            <w:tcW w:w="523" w:type="pct"/>
            <w:noWrap/>
            <w:vAlign w:val="center"/>
            <w:hideMark/>
          </w:tcPr>
          <w:p w14:paraId="3F75F61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4,0%</w:t>
            </w:r>
          </w:p>
        </w:tc>
        <w:tc>
          <w:tcPr>
            <w:tcW w:w="523" w:type="pct"/>
            <w:noWrap/>
            <w:vAlign w:val="center"/>
            <w:hideMark/>
          </w:tcPr>
          <w:p w14:paraId="2B6E56B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3,9%</w:t>
            </w:r>
          </w:p>
        </w:tc>
        <w:tc>
          <w:tcPr>
            <w:tcW w:w="523" w:type="pct"/>
            <w:noWrap/>
            <w:vAlign w:val="center"/>
            <w:hideMark/>
          </w:tcPr>
          <w:p w14:paraId="4301E1E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3,9%</w:t>
            </w:r>
          </w:p>
        </w:tc>
        <w:tc>
          <w:tcPr>
            <w:tcW w:w="523" w:type="pct"/>
            <w:noWrap/>
            <w:vAlign w:val="center"/>
            <w:hideMark/>
          </w:tcPr>
          <w:p w14:paraId="3A444DE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3,9%</w:t>
            </w:r>
          </w:p>
        </w:tc>
        <w:tc>
          <w:tcPr>
            <w:tcW w:w="523" w:type="pct"/>
            <w:noWrap/>
            <w:vAlign w:val="center"/>
            <w:hideMark/>
          </w:tcPr>
          <w:p w14:paraId="696E9CB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4,0%</w:t>
            </w:r>
          </w:p>
        </w:tc>
        <w:tc>
          <w:tcPr>
            <w:tcW w:w="523" w:type="pct"/>
            <w:noWrap/>
            <w:vAlign w:val="center"/>
            <w:hideMark/>
          </w:tcPr>
          <w:p w14:paraId="537E2E7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4,1%</w:t>
            </w:r>
          </w:p>
        </w:tc>
        <w:tc>
          <w:tcPr>
            <w:tcW w:w="523" w:type="pct"/>
            <w:noWrap/>
            <w:vAlign w:val="center"/>
            <w:hideMark/>
          </w:tcPr>
          <w:p w14:paraId="2AC9178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4,1%</w:t>
            </w:r>
          </w:p>
        </w:tc>
        <w:tc>
          <w:tcPr>
            <w:tcW w:w="523" w:type="pct"/>
            <w:vAlign w:val="center"/>
          </w:tcPr>
          <w:p w14:paraId="7F981B0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4,1%</w:t>
            </w:r>
          </w:p>
        </w:tc>
      </w:tr>
      <w:tr w:rsidR="00B86FB3" w:rsidRPr="00FF756A" w14:paraId="7360A740" w14:textId="77777777" w:rsidTr="006A3266">
        <w:trPr>
          <w:trHeight w:val="290"/>
          <w:jc w:val="right"/>
        </w:trPr>
        <w:tc>
          <w:tcPr>
            <w:cnfStyle w:val="001000000000" w:firstRow="0" w:lastRow="0" w:firstColumn="1" w:lastColumn="0" w:oddVBand="0" w:evenVBand="0" w:oddHBand="0" w:evenHBand="0" w:firstRowFirstColumn="0" w:firstRowLastColumn="0" w:lastRowFirstColumn="0" w:lastRowLastColumn="0"/>
            <w:tcW w:w="815" w:type="pct"/>
            <w:noWrap/>
            <w:hideMark/>
          </w:tcPr>
          <w:p w14:paraId="5360033D" w14:textId="77777777" w:rsidR="00B86FB3" w:rsidRPr="00FF756A" w:rsidRDefault="00B86FB3" w:rsidP="00B86FB3">
            <w:pPr>
              <w:rPr>
                <w:rFonts w:cs="Times New Roman"/>
                <w:b w:val="0"/>
                <w:sz w:val="20"/>
              </w:rPr>
            </w:pPr>
            <w:r w:rsidRPr="00FF756A">
              <w:rPr>
                <w:rFonts w:cs="Times New Roman"/>
                <w:sz w:val="20"/>
              </w:rPr>
              <w:t>Peshkimi</w:t>
            </w:r>
          </w:p>
        </w:tc>
        <w:tc>
          <w:tcPr>
            <w:tcW w:w="523" w:type="pct"/>
            <w:noWrap/>
            <w:vAlign w:val="center"/>
            <w:hideMark/>
          </w:tcPr>
          <w:p w14:paraId="2569153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2,2%</w:t>
            </w:r>
          </w:p>
        </w:tc>
        <w:tc>
          <w:tcPr>
            <w:tcW w:w="523" w:type="pct"/>
            <w:noWrap/>
            <w:vAlign w:val="center"/>
            <w:hideMark/>
          </w:tcPr>
          <w:p w14:paraId="4B60124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2,0%</w:t>
            </w:r>
          </w:p>
        </w:tc>
        <w:tc>
          <w:tcPr>
            <w:tcW w:w="523" w:type="pct"/>
            <w:noWrap/>
            <w:vAlign w:val="center"/>
            <w:hideMark/>
          </w:tcPr>
          <w:p w14:paraId="3FAA478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2,0%</w:t>
            </w:r>
          </w:p>
        </w:tc>
        <w:tc>
          <w:tcPr>
            <w:tcW w:w="523" w:type="pct"/>
            <w:noWrap/>
            <w:vAlign w:val="center"/>
            <w:hideMark/>
          </w:tcPr>
          <w:p w14:paraId="0287953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2,1%</w:t>
            </w:r>
          </w:p>
        </w:tc>
        <w:tc>
          <w:tcPr>
            <w:tcW w:w="523" w:type="pct"/>
            <w:noWrap/>
            <w:vAlign w:val="center"/>
            <w:hideMark/>
          </w:tcPr>
          <w:p w14:paraId="2673F9C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2,2%</w:t>
            </w:r>
          </w:p>
        </w:tc>
        <w:tc>
          <w:tcPr>
            <w:tcW w:w="523" w:type="pct"/>
            <w:noWrap/>
            <w:vAlign w:val="center"/>
            <w:hideMark/>
          </w:tcPr>
          <w:p w14:paraId="4A432EB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2,5%</w:t>
            </w:r>
          </w:p>
        </w:tc>
        <w:tc>
          <w:tcPr>
            <w:tcW w:w="523" w:type="pct"/>
            <w:noWrap/>
            <w:vAlign w:val="center"/>
            <w:hideMark/>
          </w:tcPr>
          <w:p w14:paraId="0E646CB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2"/>
              </w:rPr>
            </w:pPr>
            <w:r w:rsidRPr="00FF756A">
              <w:rPr>
                <w:rFonts w:cs="Times New Roman"/>
                <w:sz w:val="20"/>
                <w:szCs w:val="22"/>
              </w:rPr>
              <w:t>3,2%</w:t>
            </w:r>
          </w:p>
        </w:tc>
        <w:tc>
          <w:tcPr>
            <w:tcW w:w="523" w:type="pct"/>
            <w:vAlign w:val="center"/>
          </w:tcPr>
          <w:p w14:paraId="3DAB657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2"/>
              </w:rPr>
            </w:pPr>
            <w:r w:rsidRPr="00FF756A">
              <w:rPr>
                <w:rFonts w:cs="Times New Roman"/>
                <w:sz w:val="20"/>
                <w:szCs w:val="22"/>
              </w:rPr>
              <w:t>4,0%</w:t>
            </w:r>
          </w:p>
        </w:tc>
      </w:tr>
      <w:tr w:rsidR="00B86FB3" w:rsidRPr="00FF756A" w14:paraId="0EE46443" w14:textId="77777777" w:rsidTr="006A3266">
        <w:trPr>
          <w:cnfStyle w:val="000000100000" w:firstRow="0" w:lastRow="0" w:firstColumn="0" w:lastColumn="0" w:oddVBand="0" w:evenVBand="0" w:oddHBand="1" w:evenHBand="0" w:firstRowFirstColumn="0" w:firstRowLastColumn="0" w:lastRowFirstColumn="0" w:lastRowLastColumn="0"/>
          <w:trHeight w:val="290"/>
          <w:jc w:val="right"/>
        </w:trPr>
        <w:tc>
          <w:tcPr>
            <w:cnfStyle w:val="001000000000" w:firstRow="0" w:lastRow="0" w:firstColumn="1" w:lastColumn="0" w:oddVBand="0" w:evenVBand="0" w:oddHBand="0" w:evenHBand="0" w:firstRowFirstColumn="0" w:firstRowLastColumn="0" w:lastRowFirstColumn="0" w:lastRowLastColumn="0"/>
            <w:tcW w:w="815" w:type="pct"/>
            <w:noWrap/>
            <w:hideMark/>
          </w:tcPr>
          <w:p w14:paraId="5DFD295A" w14:textId="77777777" w:rsidR="00B86FB3" w:rsidRPr="00FF756A" w:rsidRDefault="00B86FB3" w:rsidP="00B86FB3">
            <w:pPr>
              <w:rPr>
                <w:rFonts w:cs="Times New Roman"/>
                <w:b w:val="0"/>
                <w:sz w:val="20"/>
              </w:rPr>
            </w:pPr>
            <w:r w:rsidRPr="00FF756A">
              <w:rPr>
                <w:rFonts w:cs="Times New Roman"/>
                <w:sz w:val="20"/>
              </w:rPr>
              <w:t>Sektorët joenergjetikë</w:t>
            </w:r>
          </w:p>
        </w:tc>
        <w:tc>
          <w:tcPr>
            <w:tcW w:w="523" w:type="pct"/>
            <w:noWrap/>
            <w:vAlign w:val="center"/>
            <w:hideMark/>
          </w:tcPr>
          <w:p w14:paraId="5428392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2,9%</w:t>
            </w:r>
          </w:p>
        </w:tc>
        <w:tc>
          <w:tcPr>
            <w:tcW w:w="523" w:type="pct"/>
            <w:noWrap/>
            <w:vAlign w:val="center"/>
            <w:hideMark/>
          </w:tcPr>
          <w:p w14:paraId="2624CC9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2,7%</w:t>
            </w:r>
          </w:p>
        </w:tc>
        <w:tc>
          <w:tcPr>
            <w:tcW w:w="523" w:type="pct"/>
            <w:noWrap/>
            <w:vAlign w:val="center"/>
            <w:hideMark/>
          </w:tcPr>
          <w:p w14:paraId="6CC933F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2,7%</w:t>
            </w:r>
          </w:p>
        </w:tc>
        <w:tc>
          <w:tcPr>
            <w:tcW w:w="523" w:type="pct"/>
            <w:noWrap/>
            <w:vAlign w:val="center"/>
            <w:hideMark/>
          </w:tcPr>
          <w:p w14:paraId="7DDA66C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2,6%</w:t>
            </w:r>
          </w:p>
        </w:tc>
        <w:tc>
          <w:tcPr>
            <w:tcW w:w="523" w:type="pct"/>
            <w:noWrap/>
            <w:vAlign w:val="center"/>
            <w:hideMark/>
          </w:tcPr>
          <w:p w14:paraId="3EA61CB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2,6%</w:t>
            </w:r>
          </w:p>
        </w:tc>
        <w:tc>
          <w:tcPr>
            <w:tcW w:w="523" w:type="pct"/>
            <w:noWrap/>
            <w:vAlign w:val="center"/>
            <w:hideMark/>
          </w:tcPr>
          <w:p w14:paraId="05A951E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2,6%</w:t>
            </w:r>
          </w:p>
        </w:tc>
        <w:tc>
          <w:tcPr>
            <w:tcW w:w="523" w:type="pct"/>
            <w:noWrap/>
            <w:vAlign w:val="center"/>
            <w:hideMark/>
          </w:tcPr>
          <w:p w14:paraId="4BB8038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2"/>
              </w:rPr>
            </w:pPr>
            <w:r w:rsidRPr="00FF756A">
              <w:rPr>
                <w:rFonts w:cs="Times New Roman"/>
                <w:sz w:val="20"/>
                <w:szCs w:val="22"/>
              </w:rPr>
              <w:t>2,6%</w:t>
            </w:r>
          </w:p>
        </w:tc>
        <w:tc>
          <w:tcPr>
            <w:tcW w:w="523" w:type="pct"/>
            <w:vAlign w:val="center"/>
          </w:tcPr>
          <w:p w14:paraId="6D6D22FE" w14:textId="77777777" w:rsidR="00B86FB3" w:rsidRPr="00FF756A" w:rsidRDefault="00B86FB3" w:rsidP="003F200D">
            <w:pPr>
              <w:keepNext/>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2"/>
              </w:rPr>
            </w:pPr>
            <w:r w:rsidRPr="00FF756A">
              <w:rPr>
                <w:rFonts w:cs="Times New Roman"/>
                <w:sz w:val="20"/>
                <w:szCs w:val="22"/>
              </w:rPr>
              <w:t>2,5%</w:t>
            </w:r>
          </w:p>
        </w:tc>
      </w:tr>
    </w:tbl>
    <w:p w14:paraId="3BF9E3BD" w14:textId="7D380103" w:rsidR="00B86FB3" w:rsidRPr="00FF756A" w:rsidRDefault="003F200D" w:rsidP="003F200D">
      <w:pPr>
        <w:pStyle w:val="Caption"/>
        <w:rPr>
          <w:rFonts w:ascii="Times New Roman" w:hAnsi="Times New Roman"/>
        </w:rPr>
      </w:pPr>
      <w:bookmarkStart w:id="574" w:name="_Toc183016505"/>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41</w:t>
      </w:r>
      <w:r w:rsidR="008E7DE9" w:rsidRPr="00FF756A">
        <w:rPr>
          <w:rFonts w:ascii="Times New Roman" w:hAnsi="Times New Roman"/>
          <w:noProof/>
        </w:rPr>
        <w:fldChar w:fldCharType="end"/>
      </w:r>
      <w:r w:rsidRPr="00FF756A">
        <w:rPr>
          <w:rFonts w:ascii="Times New Roman" w:hAnsi="Times New Roman"/>
        </w:rPr>
        <w:t>: Përqindjet e kërkesës finale për energji në sektorët me kërkesë energjie për periudhën kohore 2020-2023 dhe sipas parashikimit deri në vitin 2050 me masat ekzistuese.</w:t>
      </w:r>
      <w:bookmarkEnd w:id="574"/>
    </w:p>
    <w:p w14:paraId="4B9C1B05" w14:textId="77777777" w:rsidR="00951388" w:rsidRPr="00FF756A" w:rsidRDefault="00951388" w:rsidP="00B86FB3"/>
    <w:p w14:paraId="7CA29F4D" w14:textId="0090BC80" w:rsidR="00B86FB3" w:rsidRPr="00FF756A" w:rsidRDefault="00B86FB3" w:rsidP="00B86FB3">
      <w:r w:rsidRPr="00FF756A">
        <w:t xml:space="preserve">Figurat e mëposhtme tregojnë kërkesën finale për energji sipas sektorëve të ndarë në nënsektorët përkatës, për vlerat historike nga vitet 2016-2023 dhe sipas projeksioneve deri në vitin 2050. Ashtu si në rastin e shkarkimeve të GES-ve, kjo pasohet nga një tabelë që paraqet vlerat për vitet 2020-2023, 2025, 2030, 2040 dhe 2050. Çdo figurë që paraqet kërkesën për energji sipas nënsektorëve shoqërohet me një figurë që tregon përzierjen e burimeve në atë nënsektor, por që nuk renditet si referencë në përshkrimin e mëposhtëm. Paragrafët e mëposhtëm theksojnë vërejtjet kryesore, ndërsa figurat janë grupuar për të lehtësuar kuptueshmërinë. </w:t>
      </w:r>
    </w:p>
    <w:p w14:paraId="05C63E6B" w14:textId="38BC6CF5" w:rsidR="00B86FB3" w:rsidRPr="00FF756A" w:rsidRDefault="00951388" w:rsidP="00B86FB3">
      <w:r w:rsidRPr="00FF756A">
        <w:t xml:space="preserve">Figura 49 </w:t>
      </w:r>
      <w:r w:rsidR="00B86FB3" w:rsidRPr="00FF756A">
        <w:t xml:space="preserve">tregon kërkesën e përgjithshme për energji. Sektori me kërkesën më të madhe për energji është transporti. Kjo kërkesë do të rritet më tej deri në vitin 2050. E njëjta gjë mund të thuhet edhe për industrinë, por në një nivel më të ulët. Kërkesa për energji nga sektori i banesave është pothuajse e stabilizuar. </w:t>
      </w:r>
    </w:p>
    <w:p w14:paraId="215542A6" w14:textId="55AAA18F" w:rsidR="00B86FB3" w:rsidRPr="00FF756A" w:rsidRDefault="007327FC" w:rsidP="00B86FB3">
      <w:r w:rsidRPr="00FF756A">
        <w:t xml:space="preserve">Figura 51 </w:t>
      </w:r>
      <w:r w:rsidR="00B86FB3" w:rsidRPr="00FF756A">
        <w:t>paraqet më me detaje sektorin e banesave, ku vërehet një rënie e kërkesës për energji për ngrohjen e hapësirave, shoqëruar me një rritje kontrastuese të kërkesës për energji për ftohjen e hapësirave dhe për përdorimin e pajisjeve elektro-shtëpiake. Në sektorin e shërbimeve (</w:t>
      </w:r>
      <w:r w:rsidR="00B86FB3" w:rsidRPr="00FF756A">
        <w:fldChar w:fldCharType="begin"/>
      </w:r>
      <w:r w:rsidR="00B86FB3" w:rsidRPr="00FF756A">
        <w:instrText xml:space="preserve"> REF _Ref75442699 \h  \* MERGEFORMAT </w:instrText>
      </w:r>
      <w:r w:rsidR="00B86FB3" w:rsidRPr="00FF756A">
        <w:fldChar w:fldCharType="separate"/>
      </w:r>
      <w:r w:rsidR="00B86FB3" w:rsidRPr="00FF756A">
        <w:t xml:space="preserve">Figura </w:t>
      </w:r>
      <w:r w:rsidRPr="00FF756A">
        <w:t>53</w:t>
      </w:r>
      <w:r w:rsidR="00B86FB3" w:rsidRPr="00FF756A">
        <w:fldChar w:fldCharType="end"/>
      </w:r>
      <w:r w:rsidR="00B86FB3" w:rsidRPr="00FF756A">
        <w:t>) vërehen ndryshime shumë të vogla, si në kërkesën totale për energji ashtu edhe në përzierjen e burimeve. Kërkesa për energji në sektorin e industrisë parashikohet të rritet (</w:t>
      </w:r>
      <w:r w:rsidR="00B86FB3" w:rsidRPr="00FF756A">
        <w:fldChar w:fldCharType="begin"/>
      </w:r>
      <w:r w:rsidR="00B86FB3" w:rsidRPr="00FF756A">
        <w:instrText xml:space="preserve"> REF _Ref75442766 \h  \* MERGEFORMAT </w:instrText>
      </w:r>
      <w:r w:rsidR="00B86FB3" w:rsidRPr="00FF756A">
        <w:fldChar w:fldCharType="separate"/>
      </w:r>
      <w:r w:rsidR="00B86FB3" w:rsidRPr="00FF756A">
        <w:t xml:space="preserve">Figura </w:t>
      </w:r>
      <w:r w:rsidR="00B86FB3" w:rsidRPr="00FF756A">
        <w:fldChar w:fldCharType="end"/>
      </w:r>
      <w:r w:rsidRPr="00FF756A">
        <w:t>5</w:t>
      </w:r>
      <w:r w:rsidR="007D42F0" w:rsidRPr="00FF756A">
        <w:t>5</w:t>
      </w:r>
      <w:r w:rsidR="00B86FB3" w:rsidRPr="00FF756A">
        <w:t>), pa përzierje të burimeve dhe me masa të kufizuara të efiçencës së energjisë. Kërkesa për lëvizshmëri është parashikuar të rritet, duke çuar rrjedhimisht në rritjen e kërkesës për energji (</w:t>
      </w:r>
      <w:r w:rsidR="007D42F0" w:rsidRPr="00FF756A">
        <w:t>Figura 57</w:t>
      </w:r>
      <w:r w:rsidR="00B86FB3" w:rsidRPr="00FF756A">
        <w:t>). Në transportin e udhëtarëve (</w:t>
      </w:r>
      <w:r w:rsidR="00B86FB3" w:rsidRPr="00FF756A">
        <w:fldChar w:fldCharType="begin"/>
      </w:r>
      <w:r w:rsidR="00B86FB3" w:rsidRPr="00FF756A">
        <w:instrText xml:space="preserve"> REF _Ref75443189 \h  \* MERGEFORMAT </w:instrText>
      </w:r>
      <w:r w:rsidR="00B86FB3" w:rsidRPr="00FF756A">
        <w:fldChar w:fldCharType="separate"/>
      </w:r>
      <w:r w:rsidR="00B86FB3" w:rsidRPr="00FF756A">
        <w:t xml:space="preserve">Figura </w:t>
      </w:r>
      <w:r w:rsidR="007D42F0" w:rsidRPr="00FF756A">
        <w:t>59</w:t>
      </w:r>
      <w:r w:rsidR="00B86FB3" w:rsidRPr="00FF756A">
        <w:fldChar w:fldCharType="end"/>
      </w:r>
      <w:r w:rsidR="00B86FB3" w:rsidRPr="00FF756A">
        <w:t>), transporti hekurudhor parashikohet të tërheqë një pjesë të vogël të kërkesës së parashikuar deri në vitin 2030, shoqëruar edhe nga elektrifikimi i transportit rrugor. Transporti hekurudhor i mallrave (</w:t>
      </w:r>
      <w:r w:rsidR="00B86FB3" w:rsidRPr="00FF756A">
        <w:fldChar w:fldCharType="begin"/>
      </w:r>
      <w:r w:rsidR="00B86FB3" w:rsidRPr="00FF756A">
        <w:instrText xml:space="preserve"> REF _Ref75443454 \h  \* MERGEFORMAT </w:instrText>
      </w:r>
      <w:r w:rsidR="00B86FB3" w:rsidRPr="00FF756A">
        <w:fldChar w:fldCharType="separate"/>
      </w:r>
      <w:r w:rsidR="00B86FB3" w:rsidRPr="00FF756A">
        <w:t xml:space="preserve">Figura </w:t>
      </w:r>
      <w:r w:rsidR="007D42F0" w:rsidRPr="00FF756A">
        <w:t>61</w:t>
      </w:r>
      <w:r w:rsidR="00B86FB3" w:rsidRPr="00FF756A">
        <w:fldChar w:fldCharType="end"/>
      </w:r>
      <w:r w:rsidR="00B86FB3" w:rsidRPr="00FF756A">
        <w:t>) pëson një reduktim dhe pjesa më e madhe e mallrave transportohet përmes transportit rrugor. Pas vitit 2030, sistemi parashikohet të furnizohet me një sasi të paktë hidrogjeni.</w:t>
      </w:r>
    </w:p>
    <w:p w14:paraId="5EEAA17C" w14:textId="77777777" w:rsidR="00B86FB3" w:rsidRPr="00FF756A" w:rsidRDefault="00B86FB3" w:rsidP="00B86FB3"/>
    <w:p w14:paraId="359378AB" w14:textId="77777777" w:rsidR="003F200D" w:rsidRPr="00FF756A" w:rsidRDefault="00B86FB3" w:rsidP="003F200D">
      <w:pPr>
        <w:keepNext/>
      </w:pPr>
      <w:r w:rsidRPr="00FF756A">
        <w:rPr>
          <w:noProof/>
          <w:lang w:val="en-US"/>
        </w:rPr>
        <w:drawing>
          <wp:inline distT="0" distB="0" distL="0" distR="0" wp14:anchorId="072243E2" wp14:editId="4892EFC5">
            <wp:extent cx="5760720" cy="3456305"/>
            <wp:effectExtent l="0" t="0" r="0" b="0"/>
            <wp:docPr id="1140117" name="Picture 3"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117" name="Picture 3" descr="A graph of different colored lines&#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6A420150" w14:textId="38189805" w:rsidR="00B86FB3" w:rsidRPr="00FF756A" w:rsidRDefault="003F200D" w:rsidP="003F200D">
      <w:pPr>
        <w:pStyle w:val="Caption"/>
        <w:rPr>
          <w:rFonts w:ascii="Times New Roman" w:hAnsi="Times New Roman"/>
        </w:rPr>
      </w:pPr>
      <w:bookmarkStart w:id="575" w:name="_Toc183016579"/>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49</w:t>
      </w:r>
      <w:r w:rsidR="008E7DE9" w:rsidRPr="00FF756A">
        <w:rPr>
          <w:rFonts w:ascii="Times New Roman" w:hAnsi="Times New Roman"/>
          <w:noProof/>
        </w:rPr>
        <w:fldChar w:fldCharType="end"/>
      </w:r>
      <w:r w:rsidRPr="00FF756A">
        <w:rPr>
          <w:rFonts w:ascii="Times New Roman" w:hAnsi="Times New Roman"/>
        </w:rPr>
        <w:t>: Konsumi final i energjisë (ktoe) për të gjithë sektorët kryesorë me kërkesë për energji, sipas vlerave historike të periudhës 2016-2023 dhe sipas parashikimit me masat ekzistuese deri në vitin 2050</w:t>
      </w:r>
      <w:bookmarkEnd w:id="575"/>
    </w:p>
    <w:p w14:paraId="0EC4A5D6" w14:textId="77777777" w:rsidR="00B86FB3" w:rsidRPr="00FF756A" w:rsidRDefault="00B86FB3" w:rsidP="00B86FB3"/>
    <w:p w14:paraId="118506A3" w14:textId="77777777" w:rsidR="003F200D" w:rsidRPr="00FF756A" w:rsidRDefault="00B86FB3" w:rsidP="003F200D">
      <w:pPr>
        <w:keepNext/>
      </w:pPr>
      <w:r w:rsidRPr="00FF756A">
        <w:rPr>
          <w:noProof/>
          <w:lang w:val="en-US"/>
        </w:rPr>
        <w:drawing>
          <wp:inline distT="0" distB="0" distL="0" distR="0" wp14:anchorId="48053B06" wp14:editId="0BB62296">
            <wp:extent cx="5760720" cy="3456305"/>
            <wp:effectExtent l="0" t="0" r="0" b="0"/>
            <wp:docPr id="65709018" name="Picture 4"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09018" name="Picture 4" descr="A graph of a graph&#10;&#10;Description automatically generated with medium confidenc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291AC907" w14:textId="0B3128F9" w:rsidR="00B86FB3" w:rsidRPr="00FF756A" w:rsidRDefault="003F200D" w:rsidP="003F200D">
      <w:pPr>
        <w:pStyle w:val="Caption"/>
        <w:rPr>
          <w:rFonts w:ascii="Times New Roman" w:hAnsi="Times New Roman"/>
        </w:rPr>
      </w:pPr>
      <w:bookmarkStart w:id="576" w:name="_Toc183016580"/>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50</w:t>
      </w:r>
      <w:r w:rsidR="008E7DE9" w:rsidRPr="00FF756A">
        <w:rPr>
          <w:rFonts w:ascii="Times New Roman" w:hAnsi="Times New Roman"/>
          <w:noProof/>
        </w:rPr>
        <w:fldChar w:fldCharType="end"/>
      </w:r>
      <w:r w:rsidRPr="00FF756A">
        <w:rPr>
          <w:rFonts w:ascii="Times New Roman" w:hAnsi="Times New Roman"/>
        </w:rPr>
        <w:t>: Burimet e përziera në konsumin final të energjisë (ktoe) për të gjithë sektorët kryesorë me kërkesë për energji, sipas vlerave historike të periudhës 2016-2023 dhe sipas parashikimit me masat ekzistuese deri në vitin 2050</w:t>
      </w:r>
      <w:bookmarkEnd w:id="576"/>
    </w:p>
    <w:p w14:paraId="00E0058D" w14:textId="77777777" w:rsidR="00B86FB3" w:rsidRPr="00FF756A" w:rsidRDefault="00B86FB3" w:rsidP="00B86FB3"/>
    <w:p w14:paraId="3DD10B2D" w14:textId="77777777" w:rsidR="003F200D" w:rsidRPr="00FF756A" w:rsidRDefault="00B86FB3" w:rsidP="003F200D">
      <w:pPr>
        <w:keepNext/>
      </w:pPr>
      <w:r w:rsidRPr="00FF756A">
        <w:rPr>
          <w:noProof/>
          <w:lang w:val="en-US"/>
        </w:rPr>
        <w:drawing>
          <wp:inline distT="0" distB="0" distL="0" distR="0" wp14:anchorId="655979F4" wp14:editId="34A87EF3">
            <wp:extent cx="5760720" cy="3456305"/>
            <wp:effectExtent l="0" t="0" r="0" b="0"/>
            <wp:docPr id="481078267" name="Picture 6"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078267" name="Picture 6" descr="A graph of different colored lines&#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2D41ABCE" w14:textId="5E9437EE" w:rsidR="00B86FB3" w:rsidRPr="00FF756A" w:rsidRDefault="003F200D" w:rsidP="003F200D">
      <w:pPr>
        <w:pStyle w:val="Caption"/>
        <w:rPr>
          <w:rFonts w:ascii="Times New Roman" w:hAnsi="Times New Roman"/>
        </w:rPr>
      </w:pPr>
      <w:bookmarkStart w:id="577" w:name="_Toc183016581"/>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51</w:t>
      </w:r>
      <w:r w:rsidR="008E7DE9" w:rsidRPr="00FF756A">
        <w:rPr>
          <w:rFonts w:ascii="Times New Roman" w:hAnsi="Times New Roman"/>
          <w:noProof/>
        </w:rPr>
        <w:fldChar w:fldCharType="end"/>
      </w:r>
      <w:r w:rsidRPr="00FF756A">
        <w:rPr>
          <w:rFonts w:ascii="Times New Roman" w:hAnsi="Times New Roman"/>
        </w:rPr>
        <w:t>: Konsumi final i energjisë (ktoe) për sektorin e banesave, sipas vlerave historike të periudhës 2022-2023 dhe sipas parashikimit me masat ekzistuese deri në vitin 2050</w:t>
      </w:r>
      <w:bookmarkEnd w:id="577"/>
    </w:p>
    <w:p w14:paraId="10AC8F03" w14:textId="77777777" w:rsidR="00B86FB3" w:rsidRPr="00FF756A" w:rsidRDefault="00B86FB3" w:rsidP="00B86FB3"/>
    <w:p w14:paraId="161FF03E" w14:textId="77777777" w:rsidR="003F200D" w:rsidRPr="00FF756A" w:rsidRDefault="00B86FB3" w:rsidP="003F200D">
      <w:pPr>
        <w:keepNext/>
      </w:pPr>
      <w:r w:rsidRPr="00FF756A">
        <w:rPr>
          <w:noProof/>
          <w:lang w:val="en-US"/>
        </w:rPr>
        <w:drawing>
          <wp:inline distT="0" distB="0" distL="0" distR="0" wp14:anchorId="3F1B0D0A" wp14:editId="0BD00D88">
            <wp:extent cx="5760720" cy="3456305"/>
            <wp:effectExtent l="0" t="0" r="0" b="0"/>
            <wp:docPr id="935030760" name="Picture 7" descr="A graph of a number of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30760" name="Picture 7" descr="A graph of a number of bars&#10;&#10;Description automatically generated with medium confidenc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46F714C5" w14:textId="25E9A771" w:rsidR="00B86FB3" w:rsidRPr="00FF756A" w:rsidRDefault="003F200D" w:rsidP="003F200D">
      <w:pPr>
        <w:pStyle w:val="Caption"/>
        <w:rPr>
          <w:rFonts w:ascii="Times New Roman" w:hAnsi="Times New Roman"/>
        </w:rPr>
      </w:pPr>
      <w:bookmarkStart w:id="578" w:name="_Toc183016582"/>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52</w:t>
      </w:r>
      <w:r w:rsidR="008E7DE9" w:rsidRPr="00FF756A">
        <w:rPr>
          <w:rFonts w:ascii="Times New Roman" w:hAnsi="Times New Roman"/>
          <w:noProof/>
        </w:rPr>
        <w:fldChar w:fldCharType="end"/>
      </w:r>
      <w:r w:rsidRPr="00FF756A">
        <w:rPr>
          <w:rFonts w:ascii="Times New Roman" w:hAnsi="Times New Roman"/>
        </w:rPr>
        <w:t>: Burimet e përziera në konsumin final të energjisë (ktoe) për sektorin e banesave, sipas vlerave historike të periudhës 2022-2023 dhe sipas parashikimit me masat ekzistuese deri në vitin 2050</w:t>
      </w:r>
      <w:bookmarkEnd w:id="578"/>
    </w:p>
    <w:p w14:paraId="524C33B8" w14:textId="77777777" w:rsidR="00B86FB3" w:rsidRPr="00FF756A" w:rsidRDefault="00B86FB3" w:rsidP="00B86FB3"/>
    <w:p w14:paraId="45F56E6F" w14:textId="77777777" w:rsidR="003F200D" w:rsidRPr="00FF756A" w:rsidRDefault="00B86FB3" w:rsidP="003F200D">
      <w:pPr>
        <w:keepNext/>
      </w:pPr>
      <w:r w:rsidRPr="00FF756A">
        <w:rPr>
          <w:noProof/>
          <w:lang w:val="en-US"/>
        </w:rPr>
        <w:drawing>
          <wp:inline distT="0" distB="0" distL="0" distR="0" wp14:anchorId="47A3C62A" wp14:editId="70F61617">
            <wp:extent cx="5760720" cy="3456305"/>
            <wp:effectExtent l="0" t="0" r="0" b="0"/>
            <wp:docPr id="1953615976" name="Picture 3"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15976" name="Picture 3" descr="A graph of different colored bars&#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5068F674" w14:textId="13BE6CCF" w:rsidR="00B86FB3" w:rsidRPr="00FF756A" w:rsidRDefault="003F200D" w:rsidP="003F200D">
      <w:pPr>
        <w:pStyle w:val="Caption"/>
        <w:rPr>
          <w:rFonts w:ascii="Times New Roman" w:hAnsi="Times New Roman"/>
        </w:rPr>
      </w:pPr>
      <w:bookmarkStart w:id="579" w:name="_Toc183016583"/>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53</w:t>
      </w:r>
      <w:r w:rsidR="008E7DE9" w:rsidRPr="00FF756A">
        <w:rPr>
          <w:rFonts w:ascii="Times New Roman" w:hAnsi="Times New Roman"/>
          <w:noProof/>
        </w:rPr>
        <w:fldChar w:fldCharType="end"/>
      </w:r>
      <w:r w:rsidRPr="00FF756A">
        <w:rPr>
          <w:rFonts w:ascii="Times New Roman" w:hAnsi="Times New Roman"/>
        </w:rPr>
        <w:t>: Konsumi final i energjisë (ktoe) për sektorin e shërbimeve, sipas vlerave historike të periudhës 2016-2023 dhe sipas parashikimit me masat ekzistuese deri në vitin 2050</w:t>
      </w:r>
      <w:bookmarkEnd w:id="579"/>
    </w:p>
    <w:p w14:paraId="1EE2623C" w14:textId="77777777" w:rsidR="00B86FB3" w:rsidRPr="00FF756A" w:rsidRDefault="00B86FB3" w:rsidP="00B86FB3"/>
    <w:p w14:paraId="57BBA7EF" w14:textId="77777777" w:rsidR="003F200D" w:rsidRPr="00FF756A" w:rsidRDefault="00B86FB3" w:rsidP="003F200D">
      <w:pPr>
        <w:keepNext/>
      </w:pPr>
      <w:r w:rsidRPr="00FF756A">
        <w:rPr>
          <w:noProof/>
          <w:lang w:val="en-US"/>
        </w:rPr>
        <w:drawing>
          <wp:inline distT="0" distB="0" distL="0" distR="0" wp14:anchorId="2BBA7295" wp14:editId="2ACA8C48">
            <wp:extent cx="5760720" cy="3456305"/>
            <wp:effectExtent l="0" t="0" r="0" b="0"/>
            <wp:docPr id="246519580" name="Picture 4" descr="A graph of a growing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19580" name="Picture 4" descr="A graph of a growing graph&#10;&#10;Description automatically generated with medium confidenc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6DDF4D85" w14:textId="62B74007" w:rsidR="00B86FB3" w:rsidRPr="00FF756A" w:rsidRDefault="003F200D" w:rsidP="003F200D">
      <w:pPr>
        <w:pStyle w:val="Caption"/>
        <w:rPr>
          <w:rFonts w:ascii="Times New Roman" w:hAnsi="Times New Roman"/>
        </w:rPr>
      </w:pPr>
      <w:bookmarkStart w:id="580" w:name="_Toc183016584"/>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54</w:t>
      </w:r>
      <w:r w:rsidR="008E7DE9" w:rsidRPr="00FF756A">
        <w:rPr>
          <w:rFonts w:ascii="Times New Roman" w:hAnsi="Times New Roman"/>
          <w:noProof/>
        </w:rPr>
        <w:fldChar w:fldCharType="end"/>
      </w:r>
      <w:r w:rsidRPr="00FF756A">
        <w:rPr>
          <w:rFonts w:ascii="Times New Roman" w:hAnsi="Times New Roman"/>
        </w:rPr>
        <w:t>: Burimet e përziera në konsumin final të energjisë (ktoe) për sektorin e shërbimeve, sipas vlerave historike të periudhës 2016-2023 dhe sipas parashikimit me masat ekzistuese deri në vitin 2050</w:t>
      </w:r>
      <w:bookmarkEnd w:id="580"/>
    </w:p>
    <w:p w14:paraId="6833BD8D" w14:textId="77777777" w:rsidR="00B86FB3" w:rsidRPr="00FF756A" w:rsidRDefault="00B86FB3" w:rsidP="00B86FB3"/>
    <w:p w14:paraId="2384ABF0" w14:textId="77777777" w:rsidR="003F200D" w:rsidRPr="00FF756A" w:rsidRDefault="00B86FB3" w:rsidP="003F200D">
      <w:pPr>
        <w:keepNext/>
      </w:pPr>
      <w:r w:rsidRPr="00FF756A">
        <w:rPr>
          <w:noProof/>
          <w:lang w:val="en-US"/>
        </w:rPr>
        <w:drawing>
          <wp:inline distT="0" distB="0" distL="0" distR="0" wp14:anchorId="37746AF1" wp14:editId="08376FA7">
            <wp:extent cx="5760720" cy="3456305"/>
            <wp:effectExtent l="0" t="0" r="0" b="0"/>
            <wp:docPr id="1954804987" name="Picture 5" descr="A graph of energy effici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804987" name="Picture 5" descr="A graph of energy efficiency&#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23FBCA0D" w14:textId="6A9728BF" w:rsidR="00B86FB3" w:rsidRPr="00FF756A" w:rsidRDefault="003F200D" w:rsidP="003F200D">
      <w:pPr>
        <w:pStyle w:val="Caption"/>
        <w:rPr>
          <w:rFonts w:ascii="Times New Roman" w:hAnsi="Times New Roman"/>
        </w:rPr>
      </w:pPr>
      <w:bookmarkStart w:id="581" w:name="_Toc183016585"/>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55</w:t>
      </w:r>
      <w:r w:rsidR="008E7DE9" w:rsidRPr="00FF756A">
        <w:rPr>
          <w:rFonts w:ascii="Times New Roman" w:hAnsi="Times New Roman"/>
          <w:noProof/>
        </w:rPr>
        <w:fldChar w:fldCharType="end"/>
      </w:r>
      <w:r w:rsidRPr="00FF756A">
        <w:rPr>
          <w:rFonts w:ascii="Times New Roman" w:hAnsi="Times New Roman"/>
        </w:rPr>
        <w:t>: Konsumi final i energjisë (ktoe) për sektorin e industrisë, sipas vlerave historike të periudhës 2016-2023 dhe sipas parashikimit me masat ekzistuese deri në vitin 2050</w:t>
      </w:r>
      <w:bookmarkEnd w:id="581"/>
    </w:p>
    <w:p w14:paraId="7BEBE400" w14:textId="77777777" w:rsidR="00B86FB3" w:rsidRPr="00FF756A" w:rsidRDefault="00B86FB3" w:rsidP="00B86FB3"/>
    <w:p w14:paraId="7684E8E1" w14:textId="77777777" w:rsidR="003F200D" w:rsidRPr="00FF756A" w:rsidRDefault="00B86FB3" w:rsidP="003F200D">
      <w:pPr>
        <w:keepNext/>
      </w:pPr>
      <w:r w:rsidRPr="00FF756A">
        <w:rPr>
          <w:noProof/>
          <w:lang w:val="en-US"/>
        </w:rPr>
        <w:drawing>
          <wp:inline distT="0" distB="0" distL="0" distR="0" wp14:anchorId="51C313D0" wp14:editId="43DBEA9A">
            <wp:extent cx="5760720" cy="3456305"/>
            <wp:effectExtent l="0" t="0" r="0" b="0"/>
            <wp:docPr id="1138141611" name="Picture 6"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141611" name="Picture 6" descr="A graph of a graph&#10;&#10;Description automatically generated with medium confidenc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2396C6B8" w14:textId="3EE99039" w:rsidR="00B86FB3" w:rsidRPr="00FF756A" w:rsidRDefault="003F200D" w:rsidP="003F200D">
      <w:pPr>
        <w:pStyle w:val="Caption"/>
        <w:rPr>
          <w:rFonts w:ascii="Times New Roman" w:hAnsi="Times New Roman"/>
        </w:rPr>
      </w:pPr>
      <w:bookmarkStart w:id="582" w:name="_Toc183016586"/>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56</w:t>
      </w:r>
      <w:r w:rsidR="008E7DE9" w:rsidRPr="00FF756A">
        <w:rPr>
          <w:rFonts w:ascii="Times New Roman" w:hAnsi="Times New Roman"/>
          <w:noProof/>
        </w:rPr>
        <w:fldChar w:fldCharType="end"/>
      </w:r>
      <w:r w:rsidRPr="00FF756A">
        <w:rPr>
          <w:rFonts w:ascii="Times New Roman" w:hAnsi="Times New Roman"/>
        </w:rPr>
        <w:t>: Burimet e përziera në konsumin final të energjisë (ktoe) për sektorin e industrisë, sipas vlerave historike të periudhës 2016-2023 dhe sipas parashikimit me masat ekzistuese deri në vitin 2050</w:t>
      </w:r>
      <w:bookmarkEnd w:id="582"/>
    </w:p>
    <w:p w14:paraId="6F37F940" w14:textId="77777777" w:rsidR="00B86FB3" w:rsidRPr="00FF756A" w:rsidRDefault="00B86FB3" w:rsidP="00B86FB3"/>
    <w:p w14:paraId="303419A4" w14:textId="77777777" w:rsidR="003F200D" w:rsidRPr="00FF756A" w:rsidRDefault="00B86FB3" w:rsidP="003F200D">
      <w:pPr>
        <w:keepNext/>
      </w:pPr>
      <w:r w:rsidRPr="00FF756A">
        <w:rPr>
          <w:noProof/>
          <w:lang w:val="en-US"/>
        </w:rPr>
        <w:drawing>
          <wp:inline distT="0" distB="0" distL="0" distR="0" wp14:anchorId="66C40031" wp14:editId="0848475F">
            <wp:extent cx="5760720" cy="3456305"/>
            <wp:effectExtent l="0" t="0" r="0" b="0"/>
            <wp:docPr id="1804725484" name="Picture 7"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725484" name="Picture 7" descr="A graph of a number of people&#10;&#10;Description automatically generated with medium confidenc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51620602" w14:textId="6518F354" w:rsidR="00B86FB3" w:rsidRPr="00FF756A" w:rsidRDefault="003F200D" w:rsidP="003F200D">
      <w:pPr>
        <w:pStyle w:val="Caption"/>
        <w:rPr>
          <w:rFonts w:ascii="Times New Roman" w:hAnsi="Times New Roman"/>
        </w:rPr>
      </w:pPr>
      <w:bookmarkStart w:id="583" w:name="_Toc183016587"/>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57</w:t>
      </w:r>
      <w:r w:rsidR="008E7DE9" w:rsidRPr="00FF756A">
        <w:rPr>
          <w:rFonts w:ascii="Times New Roman" w:hAnsi="Times New Roman"/>
          <w:noProof/>
        </w:rPr>
        <w:fldChar w:fldCharType="end"/>
      </w:r>
      <w:r w:rsidRPr="00FF756A">
        <w:rPr>
          <w:rFonts w:ascii="Times New Roman" w:hAnsi="Times New Roman"/>
        </w:rPr>
        <w:t>: Konsumi final i energjisë (ktoe) për sektorin e transportit, sipas vlerave historike të periudhës 2016-2023 dhe sipas parashikimit me masat ekzistuese deri në vitin 2050</w:t>
      </w:r>
      <w:bookmarkEnd w:id="583"/>
    </w:p>
    <w:p w14:paraId="21E9453A" w14:textId="77777777" w:rsidR="00B86FB3" w:rsidRPr="00FF756A" w:rsidRDefault="00B86FB3" w:rsidP="00B86FB3"/>
    <w:p w14:paraId="4BE508C5" w14:textId="77777777" w:rsidR="003F200D" w:rsidRPr="00FF756A" w:rsidRDefault="00B86FB3" w:rsidP="003F200D">
      <w:pPr>
        <w:keepNext/>
      </w:pPr>
      <w:r w:rsidRPr="00FF756A">
        <w:rPr>
          <w:noProof/>
          <w:lang w:val="en-US"/>
        </w:rPr>
        <w:drawing>
          <wp:inline distT="0" distB="0" distL="0" distR="0" wp14:anchorId="57E6CCBF" wp14:editId="13C47E27">
            <wp:extent cx="5760720" cy="3456305"/>
            <wp:effectExtent l="0" t="0" r="0" b="0"/>
            <wp:docPr id="1119214608" name="Picture 8" descr="A graph of energy effici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214608" name="Picture 8" descr="A graph of energy efficiency&#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0D119252" w14:textId="5E943494" w:rsidR="00B86FB3" w:rsidRPr="00FF756A" w:rsidRDefault="003F200D" w:rsidP="003F200D">
      <w:pPr>
        <w:pStyle w:val="Caption"/>
        <w:rPr>
          <w:rFonts w:ascii="Times New Roman" w:hAnsi="Times New Roman"/>
        </w:rPr>
      </w:pPr>
      <w:bookmarkStart w:id="584" w:name="_Toc183016588"/>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58</w:t>
      </w:r>
      <w:r w:rsidR="008E7DE9" w:rsidRPr="00FF756A">
        <w:rPr>
          <w:rFonts w:ascii="Times New Roman" w:hAnsi="Times New Roman"/>
          <w:noProof/>
        </w:rPr>
        <w:fldChar w:fldCharType="end"/>
      </w:r>
      <w:r w:rsidRPr="00FF756A">
        <w:rPr>
          <w:rFonts w:ascii="Times New Roman" w:hAnsi="Times New Roman"/>
        </w:rPr>
        <w:t>: Burimet e përziera në konsumin final të energjisë (ktoe) për sektorin e transportit, sipas vlerave historike të periudhës 2016-2023 dhe sipas parashikimit me masat ekzistuese deri në vitin 2050</w:t>
      </w:r>
      <w:bookmarkEnd w:id="584"/>
    </w:p>
    <w:p w14:paraId="556509CF" w14:textId="77777777" w:rsidR="00B86FB3" w:rsidRPr="00FF756A" w:rsidRDefault="00B86FB3" w:rsidP="00B86FB3"/>
    <w:p w14:paraId="358EC588" w14:textId="77777777" w:rsidR="003F200D" w:rsidRPr="00FF756A" w:rsidRDefault="00B86FB3" w:rsidP="003F200D">
      <w:pPr>
        <w:keepNext/>
      </w:pPr>
      <w:r w:rsidRPr="00FF756A">
        <w:rPr>
          <w:noProof/>
          <w:lang w:val="en-US"/>
        </w:rPr>
        <w:drawing>
          <wp:inline distT="0" distB="0" distL="0" distR="0" wp14:anchorId="3CFD2E9B" wp14:editId="57F1CA99">
            <wp:extent cx="5760720" cy="3456305"/>
            <wp:effectExtent l="0" t="0" r="0" b="0"/>
            <wp:docPr id="3290811" name="Picture 9"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0811" name="Picture 9" descr="A graph of a number of people&#10;&#10;Description automatically generated with medium confidenc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20363546" w14:textId="35448E1C" w:rsidR="00B86FB3" w:rsidRPr="00FF756A" w:rsidRDefault="003F200D" w:rsidP="003F200D">
      <w:pPr>
        <w:pStyle w:val="Caption"/>
        <w:rPr>
          <w:rFonts w:ascii="Times New Roman" w:hAnsi="Times New Roman"/>
        </w:rPr>
      </w:pPr>
      <w:bookmarkStart w:id="585" w:name="_Toc183016589"/>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59</w:t>
      </w:r>
      <w:r w:rsidR="008E7DE9" w:rsidRPr="00FF756A">
        <w:rPr>
          <w:rFonts w:ascii="Times New Roman" w:hAnsi="Times New Roman"/>
          <w:noProof/>
        </w:rPr>
        <w:fldChar w:fldCharType="end"/>
      </w:r>
      <w:r w:rsidRPr="00FF756A">
        <w:rPr>
          <w:rFonts w:ascii="Times New Roman" w:hAnsi="Times New Roman"/>
        </w:rPr>
        <w:t>: Konsumi final i energjisë (ktoe) për sektorin e transportit të udhëtarëve, sipas vlerave historike të periudhës 2016-2023 dhe sipas parashikimit me masat ekzistuese deri në vitin 2050</w:t>
      </w:r>
      <w:bookmarkEnd w:id="585"/>
    </w:p>
    <w:p w14:paraId="41AB5D94" w14:textId="77777777" w:rsidR="00B86FB3" w:rsidRPr="00FF756A" w:rsidRDefault="00B86FB3" w:rsidP="00B86FB3"/>
    <w:p w14:paraId="27B2188A" w14:textId="77777777" w:rsidR="003F200D" w:rsidRPr="00FF756A" w:rsidRDefault="00B86FB3" w:rsidP="003F200D">
      <w:pPr>
        <w:keepNext/>
      </w:pPr>
      <w:r w:rsidRPr="00FF756A">
        <w:rPr>
          <w:noProof/>
          <w:lang w:val="en-US"/>
        </w:rPr>
        <w:drawing>
          <wp:inline distT="0" distB="0" distL="0" distR="0" wp14:anchorId="71F624B3" wp14:editId="742865CD">
            <wp:extent cx="5760720" cy="3456305"/>
            <wp:effectExtent l="0" t="0" r="0" b="0"/>
            <wp:docPr id="1759497624" name="Picture 10" descr="A graph of energy effici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497624" name="Picture 10" descr="A graph of energy efficiency&#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6631CE6E" w14:textId="5C3623AB" w:rsidR="00B86FB3" w:rsidRPr="00FF756A" w:rsidRDefault="003F200D" w:rsidP="003F200D">
      <w:pPr>
        <w:pStyle w:val="Caption"/>
        <w:rPr>
          <w:rFonts w:ascii="Times New Roman" w:hAnsi="Times New Roman"/>
        </w:rPr>
      </w:pPr>
      <w:bookmarkStart w:id="586" w:name="_Toc183016590"/>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60</w:t>
      </w:r>
      <w:r w:rsidR="008E7DE9" w:rsidRPr="00FF756A">
        <w:rPr>
          <w:rFonts w:ascii="Times New Roman" w:hAnsi="Times New Roman"/>
          <w:noProof/>
        </w:rPr>
        <w:fldChar w:fldCharType="end"/>
      </w:r>
      <w:r w:rsidRPr="00FF756A">
        <w:rPr>
          <w:rFonts w:ascii="Times New Roman" w:hAnsi="Times New Roman"/>
        </w:rPr>
        <w:t>: Burimet e përziera në konsumin final të energjisë (ktoe) për sektorin e transportit të udhëtarëve, sipas vlerave historike të periudhës 2016-2023 dhe sipas parashikimit me masat ekzistuese deri në vitin 2050</w:t>
      </w:r>
      <w:bookmarkEnd w:id="586"/>
    </w:p>
    <w:p w14:paraId="069EC6BF" w14:textId="77777777" w:rsidR="00B86FB3" w:rsidRPr="00FF756A" w:rsidRDefault="00B86FB3" w:rsidP="00B86FB3"/>
    <w:p w14:paraId="2D3FF967" w14:textId="77777777" w:rsidR="003F200D" w:rsidRPr="00FF756A" w:rsidRDefault="00B86FB3" w:rsidP="003F200D">
      <w:pPr>
        <w:keepNext/>
      </w:pPr>
      <w:r w:rsidRPr="00FF756A">
        <w:rPr>
          <w:noProof/>
          <w:lang w:val="en-US"/>
        </w:rPr>
        <w:drawing>
          <wp:inline distT="0" distB="0" distL="0" distR="0" wp14:anchorId="6CEFBFA2" wp14:editId="44978DCE">
            <wp:extent cx="5760720" cy="3456305"/>
            <wp:effectExtent l="0" t="0" r="0" b="0"/>
            <wp:docPr id="597890505" name="Picture 1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890505" name="Picture 11" descr="A graph of a graph&#10;&#10;Description automatically generated with medium confidenc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143B50C0" w14:textId="2BF534A5" w:rsidR="00B86FB3" w:rsidRPr="00FF756A" w:rsidRDefault="003F200D" w:rsidP="003F200D">
      <w:pPr>
        <w:pStyle w:val="Caption"/>
        <w:rPr>
          <w:rFonts w:ascii="Times New Roman" w:hAnsi="Times New Roman"/>
        </w:rPr>
      </w:pPr>
      <w:bookmarkStart w:id="587" w:name="_Toc183016591"/>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61</w:t>
      </w:r>
      <w:r w:rsidR="008E7DE9" w:rsidRPr="00FF756A">
        <w:rPr>
          <w:rFonts w:ascii="Times New Roman" w:hAnsi="Times New Roman"/>
          <w:noProof/>
        </w:rPr>
        <w:fldChar w:fldCharType="end"/>
      </w:r>
      <w:r w:rsidRPr="00FF756A">
        <w:rPr>
          <w:rFonts w:ascii="Times New Roman" w:hAnsi="Times New Roman"/>
        </w:rPr>
        <w:t>: Konsumi final i energjisë (ktoe) për sektorin e transportit të mallrave, sipas vlerave historike të periudhës 2016-2023 dhe sipas parashikimit me masat ekzistuese deri në vitin 2050</w:t>
      </w:r>
      <w:bookmarkEnd w:id="587"/>
    </w:p>
    <w:p w14:paraId="7F705436" w14:textId="77777777" w:rsidR="00B86FB3" w:rsidRPr="00FF756A" w:rsidRDefault="00B86FB3" w:rsidP="00B86FB3"/>
    <w:p w14:paraId="135B92E8" w14:textId="77777777" w:rsidR="00B86FB3" w:rsidRPr="00FF756A" w:rsidRDefault="00B86FB3" w:rsidP="00B86FB3">
      <w:pPr>
        <w:keepNext/>
      </w:pPr>
    </w:p>
    <w:p w14:paraId="21653920" w14:textId="77777777" w:rsidR="003F200D" w:rsidRPr="00FF756A" w:rsidRDefault="00B86FB3" w:rsidP="003F200D">
      <w:pPr>
        <w:keepNext/>
      </w:pPr>
      <w:r w:rsidRPr="00FF756A">
        <w:rPr>
          <w:noProof/>
          <w:lang w:val="en-US"/>
        </w:rPr>
        <w:drawing>
          <wp:inline distT="0" distB="0" distL="0" distR="0" wp14:anchorId="0527FDAB" wp14:editId="6A3B36D3">
            <wp:extent cx="5760720" cy="3456305"/>
            <wp:effectExtent l="0" t="0" r="0" b="0"/>
            <wp:docPr id="1914900788" name="Picture 1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00788" name="Picture 12" descr="A graph of a graph&#10;&#10;Description automatically generated with medium confidenc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3B1F885A" w14:textId="29C1EE0C" w:rsidR="00B86FB3" w:rsidRPr="00FF756A" w:rsidRDefault="003F200D" w:rsidP="003F200D">
      <w:pPr>
        <w:pStyle w:val="Caption"/>
        <w:rPr>
          <w:rFonts w:ascii="Times New Roman" w:hAnsi="Times New Roman"/>
        </w:rPr>
      </w:pPr>
      <w:bookmarkStart w:id="588" w:name="_Toc183016592"/>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62</w:t>
      </w:r>
      <w:r w:rsidR="008E7DE9" w:rsidRPr="00FF756A">
        <w:rPr>
          <w:rFonts w:ascii="Times New Roman" w:hAnsi="Times New Roman"/>
          <w:noProof/>
        </w:rPr>
        <w:fldChar w:fldCharType="end"/>
      </w:r>
      <w:r w:rsidRPr="00FF756A">
        <w:rPr>
          <w:rFonts w:ascii="Times New Roman" w:hAnsi="Times New Roman"/>
        </w:rPr>
        <w:t>: Burimet e përziera në konsumin final të energjisë (ktoe) për sektorin e transportit të mallrave, sipas vlerave historike të periudhës 2016-2023 dhe sipas parashikimit me masat ekzistuese deri në vitin 2050</w:t>
      </w:r>
      <w:bookmarkEnd w:id="588"/>
    </w:p>
    <w:p w14:paraId="06500E94" w14:textId="77777777" w:rsidR="00B86FB3" w:rsidRPr="00FF756A" w:rsidRDefault="00B86FB3" w:rsidP="00B86FB3"/>
    <w:p w14:paraId="6288C35D" w14:textId="77777777" w:rsidR="003F200D" w:rsidRPr="00FF756A" w:rsidRDefault="00B86FB3" w:rsidP="003F200D">
      <w:pPr>
        <w:keepNext/>
      </w:pPr>
      <w:r w:rsidRPr="00FF756A">
        <w:rPr>
          <w:noProof/>
          <w:lang w:val="en-US"/>
        </w:rPr>
        <w:drawing>
          <wp:inline distT="0" distB="0" distL="0" distR="0" wp14:anchorId="7CB33535" wp14:editId="020D3C6D">
            <wp:extent cx="5760720" cy="3456305"/>
            <wp:effectExtent l="0" t="0" r="0" b="0"/>
            <wp:docPr id="1190780212" name="Picture 13"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780212" name="Picture 13" descr="A graph of a graph&#10;&#10;Description automatically generated with medium confidenc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484BE63C" w14:textId="425CDC81" w:rsidR="00B86FB3" w:rsidRPr="00FF756A" w:rsidRDefault="003F200D" w:rsidP="003F200D">
      <w:pPr>
        <w:pStyle w:val="Caption"/>
        <w:rPr>
          <w:rFonts w:ascii="Times New Roman" w:hAnsi="Times New Roman"/>
        </w:rPr>
      </w:pPr>
      <w:bookmarkStart w:id="589" w:name="_Toc183016593"/>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63</w:t>
      </w:r>
      <w:r w:rsidR="008E7DE9" w:rsidRPr="00FF756A">
        <w:rPr>
          <w:rFonts w:ascii="Times New Roman" w:hAnsi="Times New Roman"/>
          <w:noProof/>
        </w:rPr>
        <w:fldChar w:fldCharType="end"/>
      </w:r>
      <w:r w:rsidRPr="00FF756A">
        <w:rPr>
          <w:rFonts w:ascii="Times New Roman" w:hAnsi="Times New Roman"/>
        </w:rPr>
        <w:t>: Konsumi final i energjisë (ktoe) për kërkesën joenergjetike të vektorëve të energjisë, sipas vlerave historike të periudhës 2016-2023 dhe sipas parashikimit me masat ekzistuese deri në vitin 2050</w:t>
      </w:r>
      <w:bookmarkEnd w:id="589"/>
    </w:p>
    <w:p w14:paraId="13D48D60" w14:textId="77777777" w:rsidR="00B86FB3" w:rsidRPr="00FF756A" w:rsidRDefault="00B86FB3" w:rsidP="00B86FB3"/>
    <w:p w14:paraId="5C4061C8" w14:textId="77777777" w:rsidR="00B86FB3" w:rsidRPr="00FF756A" w:rsidRDefault="00B86FB3" w:rsidP="00B86FB3">
      <w:r w:rsidRPr="00FF756A">
        <w:t xml:space="preserve">Tabela e mëposhtme paraqet vlerat për kërkesën finale për energji (në ktoe) për sektorët dhe nënsektorët me kërkesë për energji, sipas parashikimit me masat ekzistuese. </w:t>
      </w:r>
    </w:p>
    <w:p w14:paraId="2CF4218E" w14:textId="77777777" w:rsidR="00B86FB3" w:rsidRPr="00FF756A" w:rsidRDefault="00B86FB3" w:rsidP="00B86FB3"/>
    <w:tbl>
      <w:tblPr>
        <w:tblStyle w:val="GridTable5DarkAccent10"/>
        <w:tblW w:w="9643" w:type="dxa"/>
        <w:tblLook w:val="04A0" w:firstRow="1" w:lastRow="0" w:firstColumn="1" w:lastColumn="0" w:noHBand="0" w:noVBand="1"/>
      </w:tblPr>
      <w:tblGrid>
        <w:gridCol w:w="1605"/>
        <w:gridCol w:w="1004"/>
        <w:gridCol w:w="1004"/>
        <w:gridCol w:w="1004"/>
        <w:gridCol w:w="1004"/>
        <w:gridCol w:w="1004"/>
        <w:gridCol w:w="1004"/>
        <w:gridCol w:w="1007"/>
        <w:gridCol w:w="1007"/>
      </w:tblGrid>
      <w:tr w:rsidR="00B86FB3" w:rsidRPr="00FF756A" w14:paraId="4978674C" w14:textId="77777777" w:rsidTr="006A3266">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605" w:type="dxa"/>
            <w:noWrap/>
            <w:hideMark/>
          </w:tcPr>
          <w:p w14:paraId="2CB80DA4" w14:textId="77777777" w:rsidR="00B86FB3" w:rsidRPr="00FF756A" w:rsidRDefault="00B86FB3" w:rsidP="00B86FB3">
            <w:pPr>
              <w:rPr>
                <w:rFonts w:eastAsia="Times New Roman" w:cs="Times New Roman"/>
                <w:b w:val="0"/>
                <w:bCs w:val="0"/>
                <w:color w:val="FFFFFF"/>
                <w:sz w:val="18"/>
                <w:szCs w:val="18"/>
              </w:rPr>
            </w:pPr>
            <w:r w:rsidRPr="00FF756A">
              <w:rPr>
                <w:rFonts w:cs="Times New Roman"/>
                <w:color w:val="FFFFFF"/>
                <w:sz w:val="18"/>
                <w:szCs w:val="18"/>
              </w:rPr>
              <w:t>Dega [ktoe]</w:t>
            </w:r>
          </w:p>
        </w:tc>
        <w:tc>
          <w:tcPr>
            <w:tcW w:w="1004" w:type="dxa"/>
            <w:noWrap/>
            <w:hideMark/>
          </w:tcPr>
          <w:p w14:paraId="2BF02A3D"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8"/>
                <w:szCs w:val="18"/>
              </w:rPr>
            </w:pPr>
            <w:r w:rsidRPr="00FF756A">
              <w:rPr>
                <w:rFonts w:cs="Times New Roman"/>
                <w:color w:val="FFFFFF"/>
                <w:sz w:val="18"/>
                <w:szCs w:val="18"/>
              </w:rPr>
              <w:t>2020</w:t>
            </w:r>
          </w:p>
        </w:tc>
        <w:tc>
          <w:tcPr>
            <w:tcW w:w="1004" w:type="dxa"/>
            <w:noWrap/>
            <w:hideMark/>
          </w:tcPr>
          <w:p w14:paraId="379141F3"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8"/>
                <w:szCs w:val="18"/>
              </w:rPr>
            </w:pPr>
            <w:r w:rsidRPr="00FF756A">
              <w:rPr>
                <w:rFonts w:cs="Times New Roman"/>
                <w:color w:val="FFFFFF"/>
                <w:sz w:val="18"/>
                <w:szCs w:val="18"/>
              </w:rPr>
              <w:t>2021</w:t>
            </w:r>
          </w:p>
        </w:tc>
        <w:tc>
          <w:tcPr>
            <w:tcW w:w="1004" w:type="dxa"/>
            <w:noWrap/>
            <w:hideMark/>
          </w:tcPr>
          <w:p w14:paraId="5A9BCE4F"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8"/>
                <w:szCs w:val="18"/>
              </w:rPr>
            </w:pPr>
            <w:r w:rsidRPr="00FF756A">
              <w:rPr>
                <w:rFonts w:cs="Times New Roman"/>
                <w:color w:val="FFFFFF"/>
                <w:sz w:val="18"/>
                <w:szCs w:val="18"/>
              </w:rPr>
              <w:t>2022</w:t>
            </w:r>
          </w:p>
        </w:tc>
        <w:tc>
          <w:tcPr>
            <w:tcW w:w="1004" w:type="dxa"/>
            <w:noWrap/>
            <w:hideMark/>
          </w:tcPr>
          <w:p w14:paraId="26468E08"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8"/>
                <w:szCs w:val="18"/>
              </w:rPr>
            </w:pPr>
            <w:r w:rsidRPr="00FF756A">
              <w:rPr>
                <w:rFonts w:cs="Times New Roman"/>
                <w:color w:val="FFFFFF"/>
                <w:sz w:val="18"/>
                <w:szCs w:val="18"/>
              </w:rPr>
              <w:t>2023</w:t>
            </w:r>
          </w:p>
        </w:tc>
        <w:tc>
          <w:tcPr>
            <w:tcW w:w="1004" w:type="dxa"/>
            <w:noWrap/>
            <w:hideMark/>
          </w:tcPr>
          <w:p w14:paraId="7BC3A0DE"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8"/>
                <w:szCs w:val="18"/>
              </w:rPr>
            </w:pPr>
            <w:r w:rsidRPr="00FF756A">
              <w:rPr>
                <w:rFonts w:cs="Times New Roman"/>
                <w:color w:val="FFFFFF"/>
                <w:sz w:val="18"/>
                <w:szCs w:val="18"/>
              </w:rPr>
              <w:t>2025</w:t>
            </w:r>
          </w:p>
        </w:tc>
        <w:tc>
          <w:tcPr>
            <w:tcW w:w="1004" w:type="dxa"/>
            <w:noWrap/>
            <w:hideMark/>
          </w:tcPr>
          <w:p w14:paraId="1AFF6E4B"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8"/>
                <w:szCs w:val="18"/>
              </w:rPr>
            </w:pPr>
            <w:r w:rsidRPr="00FF756A">
              <w:rPr>
                <w:rFonts w:cs="Times New Roman"/>
                <w:color w:val="FFFFFF"/>
                <w:sz w:val="18"/>
                <w:szCs w:val="18"/>
              </w:rPr>
              <w:t>2030</w:t>
            </w:r>
          </w:p>
        </w:tc>
        <w:tc>
          <w:tcPr>
            <w:tcW w:w="1007" w:type="dxa"/>
            <w:noWrap/>
            <w:hideMark/>
          </w:tcPr>
          <w:p w14:paraId="543700A5"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8"/>
                <w:szCs w:val="18"/>
              </w:rPr>
            </w:pPr>
            <w:r w:rsidRPr="00FF756A">
              <w:rPr>
                <w:rFonts w:cs="Times New Roman"/>
                <w:color w:val="FFFFFF"/>
                <w:sz w:val="18"/>
                <w:szCs w:val="18"/>
              </w:rPr>
              <w:t>2040</w:t>
            </w:r>
          </w:p>
        </w:tc>
        <w:tc>
          <w:tcPr>
            <w:tcW w:w="1007" w:type="dxa"/>
          </w:tcPr>
          <w:p w14:paraId="5D20AC21"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FFFFFF"/>
                <w:sz w:val="18"/>
                <w:szCs w:val="18"/>
              </w:rPr>
            </w:pPr>
            <w:r w:rsidRPr="00FF756A">
              <w:rPr>
                <w:rFonts w:cs="Times New Roman"/>
                <w:color w:val="FFFFFF"/>
                <w:sz w:val="18"/>
                <w:szCs w:val="18"/>
              </w:rPr>
              <w:t>2050</w:t>
            </w:r>
          </w:p>
        </w:tc>
      </w:tr>
      <w:tr w:rsidR="00B86FB3" w:rsidRPr="00FF756A" w14:paraId="2D451A60"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2B1FAB5F"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Sektori i banesave</w:t>
            </w:r>
          </w:p>
        </w:tc>
        <w:tc>
          <w:tcPr>
            <w:tcW w:w="1004" w:type="dxa"/>
            <w:noWrap/>
            <w:hideMark/>
          </w:tcPr>
          <w:p w14:paraId="78FE306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520,2 </w:t>
            </w:r>
          </w:p>
        </w:tc>
        <w:tc>
          <w:tcPr>
            <w:tcW w:w="1004" w:type="dxa"/>
            <w:noWrap/>
            <w:hideMark/>
          </w:tcPr>
          <w:p w14:paraId="4A93D7E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524,5 </w:t>
            </w:r>
          </w:p>
        </w:tc>
        <w:tc>
          <w:tcPr>
            <w:tcW w:w="1004" w:type="dxa"/>
            <w:noWrap/>
            <w:hideMark/>
          </w:tcPr>
          <w:p w14:paraId="24CE95C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512,4 </w:t>
            </w:r>
          </w:p>
        </w:tc>
        <w:tc>
          <w:tcPr>
            <w:tcW w:w="1004" w:type="dxa"/>
            <w:noWrap/>
            <w:hideMark/>
          </w:tcPr>
          <w:p w14:paraId="2453E8F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505,2 </w:t>
            </w:r>
          </w:p>
        </w:tc>
        <w:tc>
          <w:tcPr>
            <w:tcW w:w="1004" w:type="dxa"/>
            <w:noWrap/>
            <w:hideMark/>
          </w:tcPr>
          <w:p w14:paraId="421D8CD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498,2 </w:t>
            </w:r>
          </w:p>
        </w:tc>
        <w:tc>
          <w:tcPr>
            <w:tcW w:w="1004" w:type="dxa"/>
            <w:noWrap/>
            <w:hideMark/>
          </w:tcPr>
          <w:p w14:paraId="02B0318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481,5 </w:t>
            </w:r>
          </w:p>
        </w:tc>
        <w:tc>
          <w:tcPr>
            <w:tcW w:w="1007" w:type="dxa"/>
            <w:noWrap/>
            <w:hideMark/>
          </w:tcPr>
          <w:p w14:paraId="3C67D3D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485,6 </w:t>
            </w:r>
          </w:p>
        </w:tc>
        <w:tc>
          <w:tcPr>
            <w:tcW w:w="1007" w:type="dxa"/>
          </w:tcPr>
          <w:p w14:paraId="7636BED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579,2 </w:t>
            </w:r>
          </w:p>
        </w:tc>
      </w:tr>
      <w:tr w:rsidR="00B86FB3" w:rsidRPr="00FF756A" w14:paraId="32E1D3B5"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4F11928A"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Shërbimet</w:t>
            </w:r>
          </w:p>
        </w:tc>
        <w:tc>
          <w:tcPr>
            <w:tcW w:w="1004" w:type="dxa"/>
            <w:noWrap/>
            <w:hideMark/>
          </w:tcPr>
          <w:p w14:paraId="702FA4C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197,7 </w:t>
            </w:r>
          </w:p>
        </w:tc>
        <w:tc>
          <w:tcPr>
            <w:tcW w:w="1004" w:type="dxa"/>
            <w:noWrap/>
            <w:hideMark/>
          </w:tcPr>
          <w:p w14:paraId="6ED14EA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218,8 </w:t>
            </w:r>
          </w:p>
        </w:tc>
        <w:tc>
          <w:tcPr>
            <w:tcW w:w="1004" w:type="dxa"/>
            <w:noWrap/>
            <w:hideMark/>
          </w:tcPr>
          <w:p w14:paraId="6EC3D10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218,8 </w:t>
            </w:r>
          </w:p>
        </w:tc>
        <w:tc>
          <w:tcPr>
            <w:tcW w:w="1004" w:type="dxa"/>
            <w:noWrap/>
            <w:hideMark/>
          </w:tcPr>
          <w:p w14:paraId="6936204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225,7 </w:t>
            </w:r>
          </w:p>
        </w:tc>
        <w:tc>
          <w:tcPr>
            <w:tcW w:w="1004" w:type="dxa"/>
            <w:noWrap/>
            <w:hideMark/>
          </w:tcPr>
          <w:p w14:paraId="5C821D7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243,3 </w:t>
            </w:r>
          </w:p>
        </w:tc>
        <w:tc>
          <w:tcPr>
            <w:tcW w:w="1004" w:type="dxa"/>
            <w:noWrap/>
            <w:hideMark/>
          </w:tcPr>
          <w:p w14:paraId="06B0280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288,4 </w:t>
            </w:r>
          </w:p>
        </w:tc>
        <w:tc>
          <w:tcPr>
            <w:tcW w:w="1007" w:type="dxa"/>
            <w:noWrap/>
            <w:hideMark/>
          </w:tcPr>
          <w:p w14:paraId="2EFB91C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377,1 </w:t>
            </w:r>
          </w:p>
        </w:tc>
        <w:tc>
          <w:tcPr>
            <w:tcW w:w="1007" w:type="dxa"/>
          </w:tcPr>
          <w:p w14:paraId="0414F40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458,2 </w:t>
            </w:r>
          </w:p>
        </w:tc>
      </w:tr>
      <w:tr w:rsidR="00B86FB3" w:rsidRPr="00FF756A" w14:paraId="66584149"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1C839E93"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Industria</w:t>
            </w:r>
          </w:p>
        </w:tc>
        <w:tc>
          <w:tcPr>
            <w:tcW w:w="1004" w:type="dxa"/>
            <w:noWrap/>
            <w:hideMark/>
          </w:tcPr>
          <w:p w14:paraId="00671C6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370,6 </w:t>
            </w:r>
          </w:p>
        </w:tc>
        <w:tc>
          <w:tcPr>
            <w:tcW w:w="1004" w:type="dxa"/>
            <w:noWrap/>
            <w:hideMark/>
          </w:tcPr>
          <w:p w14:paraId="0EB8B12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437,2 </w:t>
            </w:r>
          </w:p>
        </w:tc>
        <w:tc>
          <w:tcPr>
            <w:tcW w:w="1004" w:type="dxa"/>
            <w:noWrap/>
            <w:hideMark/>
          </w:tcPr>
          <w:p w14:paraId="5E71A91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433,0 </w:t>
            </w:r>
          </w:p>
        </w:tc>
        <w:tc>
          <w:tcPr>
            <w:tcW w:w="1004" w:type="dxa"/>
            <w:noWrap/>
            <w:hideMark/>
          </w:tcPr>
          <w:p w14:paraId="4970EA3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446,0 </w:t>
            </w:r>
          </w:p>
        </w:tc>
        <w:tc>
          <w:tcPr>
            <w:tcW w:w="1004" w:type="dxa"/>
            <w:noWrap/>
            <w:hideMark/>
          </w:tcPr>
          <w:p w14:paraId="0BD5627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473,5 </w:t>
            </w:r>
          </w:p>
        </w:tc>
        <w:tc>
          <w:tcPr>
            <w:tcW w:w="1004" w:type="dxa"/>
            <w:noWrap/>
            <w:hideMark/>
          </w:tcPr>
          <w:p w14:paraId="142F7B6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551,6 </w:t>
            </w:r>
          </w:p>
        </w:tc>
        <w:tc>
          <w:tcPr>
            <w:tcW w:w="1007" w:type="dxa"/>
            <w:noWrap/>
            <w:hideMark/>
          </w:tcPr>
          <w:p w14:paraId="7C9EB24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749,8 </w:t>
            </w:r>
          </w:p>
        </w:tc>
        <w:tc>
          <w:tcPr>
            <w:tcW w:w="1007" w:type="dxa"/>
          </w:tcPr>
          <w:p w14:paraId="6F2B2C8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1 036,0 </w:t>
            </w:r>
          </w:p>
        </w:tc>
      </w:tr>
      <w:tr w:rsidR="00B86FB3" w:rsidRPr="00FF756A" w14:paraId="0D7EC401"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62CD6C4D"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Transporti</w:t>
            </w:r>
          </w:p>
        </w:tc>
        <w:tc>
          <w:tcPr>
            <w:tcW w:w="1004" w:type="dxa"/>
            <w:noWrap/>
            <w:hideMark/>
          </w:tcPr>
          <w:p w14:paraId="7DC0BD8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653,8 </w:t>
            </w:r>
          </w:p>
        </w:tc>
        <w:tc>
          <w:tcPr>
            <w:tcW w:w="1004" w:type="dxa"/>
            <w:noWrap/>
            <w:hideMark/>
          </w:tcPr>
          <w:p w14:paraId="6634ECE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694,3 </w:t>
            </w:r>
          </w:p>
        </w:tc>
        <w:tc>
          <w:tcPr>
            <w:tcW w:w="1004" w:type="dxa"/>
            <w:noWrap/>
            <w:hideMark/>
          </w:tcPr>
          <w:p w14:paraId="1770CDD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721,9 </w:t>
            </w:r>
          </w:p>
        </w:tc>
        <w:tc>
          <w:tcPr>
            <w:tcW w:w="1004" w:type="dxa"/>
            <w:noWrap/>
            <w:hideMark/>
          </w:tcPr>
          <w:p w14:paraId="5D961B0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718,7 </w:t>
            </w:r>
          </w:p>
        </w:tc>
        <w:tc>
          <w:tcPr>
            <w:tcW w:w="1004" w:type="dxa"/>
            <w:noWrap/>
            <w:hideMark/>
          </w:tcPr>
          <w:p w14:paraId="6297DEE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752,5 </w:t>
            </w:r>
          </w:p>
        </w:tc>
        <w:tc>
          <w:tcPr>
            <w:tcW w:w="1004" w:type="dxa"/>
            <w:noWrap/>
            <w:hideMark/>
          </w:tcPr>
          <w:p w14:paraId="774EBAA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842,1 </w:t>
            </w:r>
          </w:p>
        </w:tc>
        <w:tc>
          <w:tcPr>
            <w:tcW w:w="1007" w:type="dxa"/>
            <w:noWrap/>
            <w:hideMark/>
          </w:tcPr>
          <w:p w14:paraId="225A784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1 065,6 </w:t>
            </w:r>
          </w:p>
        </w:tc>
        <w:tc>
          <w:tcPr>
            <w:tcW w:w="1007" w:type="dxa"/>
          </w:tcPr>
          <w:p w14:paraId="03C3E6E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1 374,6 </w:t>
            </w:r>
          </w:p>
        </w:tc>
      </w:tr>
      <w:tr w:rsidR="00B86FB3" w:rsidRPr="00FF756A" w14:paraId="683E9000"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53320CCA"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Bujqësia Pylltaria</w:t>
            </w:r>
          </w:p>
        </w:tc>
        <w:tc>
          <w:tcPr>
            <w:tcW w:w="1004" w:type="dxa"/>
            <w:noWrap/>
            <w:hideMark/>
          </w:tcPr>
          <w:p w14:paraId="4221849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76,8 </w:t>
            </w:r>
          </w:p>
        </w:tc>
        <w:tc>
          <w:tcPr>
            <w:tcW w:w="1004" w:type="dxa"/>
            <w:noWrap/>
            <w:hideMark/>
          </w:tcPr>
          <w:p w14:paraId="1AE85B3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79,5 </w:t>
            </w:r>
          </w:p>
        </w:tc>
        <w:tc>
          <w:tcPr>
            <w:tcW w:w="1004" w:type="dxa"/>
            <w:noWrap/>
            <w:hideMark/>
          </w:tcPr>
          <w:p w14:paraId="5F0015F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79,5 </w:t>
            </w:r>
          </w:p>
        </w:tc>
        <w:tc>
          <w:tcPr>
            <w:tcW w:w="1004" w:type="dxa"/>
            <w:noWrap/>
            <w:hideMark/>
          </w:tcPr>
          <w:p w14:paraId="2157551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81,5 </w:t>
            </w:r>
          </w:p>
        </w:tc>
        <w:tc>
          <w:tcPr>
            <w:tcW w:w="1004" w:type="dxa"/>
            <w:noWrap/>
            <w:hideMark/>
          </w:tcPr>
          <w:p w14:paraId="2E67005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85,5 </w:t>
            </w:r>
          </w:p>
        </w:tc>
        <w:tc>
          <w:tcPr>
            <w:tcW w:w="1004" w:type="dxa"/>
            <w:noWrap/>
            <w:hideMark/>
          </w:tcPr>
          <w:p w14:paraId="4085901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96,7 </w:t>
            </w:r>
          </w:p>
        </w:tc>
        <w:tc>
          <w:tcPr>
            <w:tcW w:w="1007" w:type="dxa"/>
            <w:noWrap/>
            <w:hideMark/>
          </w:tcPr>
          <w:p w14:paraId="5EF5341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123,4 </w:t>
            </w:r>
          </w:p>
        </w:tc>
        <w:tc>
          <w:tcPr>
            <w:tcW w:w="1007" w:type="dxa"/>
          </w:tcPr>
          <w:p w14:paraId="7FDD4F7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157,6 </w:t>
            </w:r>
          </w:p>
        </w:tc>
      </w:tr>
      <w:tr w:rsidR="00B86FB3" w:rsidRPr="00FF756A" w14:paraId="4BF4BAFC"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43272EEF"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Peshkimi</w:t>
            </w:r>
          </w:p>
        </w:tc>
        <w:tc>
          <w:tcPr>
            <w:tcW w:w="1004" w:type="dxa"/>
            <w:noWrap/>
            <w:hideMark/>
          </w:tcPr>
          <w:p w14:paraId="514065F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42,3 </w:t>
            </w:r>
          </w:p>
        </w:tc>
        <w:tc>
          <w:tcPr>
            <w:tcW w:w="1004" w:type="dxa"/>
            <w:noWrap/>
            <w:hideMark/>
          </w:tcPr>
          <w:p w14:paraId="2E95424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41,7 </w:t>
            </w:r>
          </w:p>
        </w:tc>
        <w:tc>
          <w:tcPr>
            <w:tcW w:w="1004" w:type="dxa"/>
            <w:noWrap/>
            <w:hideMark/>
          </w:tcPr>
          <w:p w14:paraId="2F1B529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41,7 </w:t>
            </w:r>
          </w:p>
        </w:tc>
        <w:tc>
          <w:tcPr>
            <w:tcW w:w="1004" w:type="dxa"/>
            <w:noWrap/>
            <w:hideMark/>
          </w:tcPr>
          <w:p w14:paraId="463C2D5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43,7 </w:t>
            </w:r>
          </w:p>
        </w:tc>
        <w:tc>
          <w:tcPr>
            <w:tcW w:w="1004" w:type="dxa"/>
            <w:noWrap/>
            <w:hideMark/>
          </w:tcPr>
          <w:p w14:paraId="0DA35AB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47,9 </w:t>
            </w:r>
          </w:p>
        </w:tc>
        <w:tc>
          <w:tcPr>
            <w:tcW w:w="1004" w:type="dxa"/>
            <w:noWrap/>
            <w:hideMark/>
          </w:tcPr>
          <w:p w14:paraId="4EDAD8B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60,4 </w:t>
            </w:r>
          </w:p>
        </w:tc>
        <w:tc>
          <w:tcPr>
            <w:tcW w:w="1007" w:type="dxa"/>
            <w:noWrap/>
            <w:hideMark/>
          </w:tcPr>
          <w:p w14:paraId="3CB9E3D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96,1 </w:t>
            </w:r>
          </w:p>
        </w:tc>
        <w:tc>
          <w:tcPr>
            <w:tcW w:w="1007" w:type="dxa"/>
          </w:tcPr>
          <w:p w14:paraId="426586E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152,7 </w:t>
            </w:r>
          </w:p>
        </w:tc>
      </w:tr>
      <w:tr w:rsidR="00B86FB3" w:rsidRPr="00FF756A" w14:paraId="1B647BA8"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06B62D71"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Sektorët joenergjetikë</w:t>
            </w:r>
          </w:p>
        </w:tc>
        <w:tc>
          <w:tcPr>
            <w:tcW w:w="1004" w:type="dxa"/>
            <w:noWrap/>
            <w:hideMark/>
          </w:tcPr>
          <w:p w14:paraId="15F9FE0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54,7 </w:t>
            </w:r>
          </w:p>
        </w:tc>
        <w:tc>
          <w:tcPr>
            <w:tcW w:w="1004" w:type="dxa"/>
            <w:noWrap/>
            <w:hideMark/>
          </w:tcPr>
          <w:p w14:paraId="3292177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54,7 </w:t>
            </w:r>
          </w:p>
        </w:tc>
        <w:tc>
          <w:tcPr>
            <w:tcW w:w="1004" w:type="dxa"/>
            <w:noWrap/>
            <w:hideMark/>
          </w:tcPr>
          <w:p w14:paraId="299A5B4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54,7 </w:t>
            </w:r>
          </w:p>
        </w:tc>
        <w:tc>
          <w:tcPr>
            <w:tcW w:w="1004" w:type="dxa"/>
            <w:noWrap/>
            <w:hideMark/>
          </w:tcPr>
          <w:p w14:paraId="21ABF3E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54,1 </w:t>
            </w:r>
          </w:p>
        </w:tc>
        <w:tc>
          <w:tcPr>
            <w:tcW w:w="1004" w:type="dxa"/>
            <w:noWrap/>
            <w:hideMark/>
          </w:tcPr>
          <w:p w14:paraId="5CB9BC1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56,5 </w:t>
            </w:r>
          </w:p>
        </w:tc>
        <w:tc>
          <w:tcPr>
            <w:tcW w:w="1004" w:type="dxa"/>
            <w:noWrap/>
            <w:hideMark/>
          </w:tcPr>
          <w:p w14:paraId="5C7194E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62,4 </w:t>
            </w:r>
          </w:p>
        </w:tc>
        <w:tc>
          <w:tcPr>
            <w:tcW w:w="1007" w:type="dxa"/>
            <w:noWrap/>
            <w:hideMark/>
          </w:tcPr>
          <w:p w14:paraId="0C6A0D8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78,2 </w:t>
            </w:r>
          </w:p>
        </w:tc>
        <w:tc>
          <w:tcPr>
            <w:tcW w:w="1007" w:type="dxa"/>
          </w:tcPr>
          <w:p w14:paraId="5B95C2F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97,2 </w:t>
            </w:r>
          </w:p>
        </w:tc>
      </w:tr>
      <w:tr w:rsidR="00B86FB3" w:rsidRPr="00FF756A" w14:paraId="3EB81E6E"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shd w:val="clear" w:color="auto" w:fill="1F3864" w:themeFill="accent1" w:themeFillShade="80"/>
            <w:noWrap/>
            <w:hideMark/>
          </w:tcPr>
          <w:p w14:paraId="78E8A947"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Totali</w:t>
            </w:r>
          </w:p>
        </w:tc>
        <w:tc>
          <w:tcPr>
            <w:tcW w:w="1004" w:type="dxa"/>
            <w:shd w:val="clear" w:color="auto" w:fill="1F3864" w:themeFill="accent1" w:themeFillShade="80"/>
            <w:noWrap/>
            <w:hideMark/>
          </w:tcPr>
          <w:p w14:paraId="10B3136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sz w:val="18"/>
                <w:szCs w:val="20"/>
              </w:rPr>
            </w:pPr>
            <w:r w:rsidRPr="00FF756A">
              <w:rPr>
                <w:rFonts w:cs="Times New Roman"/>
                <w:sz w:val="18"/>
                <w:szCs w:val="20"/>
              </w:rPr>
              <w:t xml:space="preserve"> 1 916,1 </w:t>
            </w:r>
          </w:p>
        </w:tc>
        <w:tc>
          <w:tcPr>
            <w:tcW w:w="1004" w:type="dxa"/>
            <w:shd w:val="clear" w:color="auto" w:fill="1F3864" w:themeFill="accent1" w:themeFillShade="80"/>
            <w:noWrap/>
            <w:hideMark/>
          </w:tcPr>
          <w:p w14:paraId="40FC7E7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sz w:val="18"/>
                <w:szCs w:val="20"/>
              </w:rPr>
            </w:pPr>
            <w:r w:rsidRPr="00FF756A">
              <w:rPr>
                <w:rFonts w:cs="Times New Roman"/>
                <w:sz w:val="18"/>
                <w:szCs w:val="20"/>
              </w:rPr>
              <w:t xml:space="preserve"> 2 050,7 </w:t>
            </w:r>
          </w:p>
        </w:tc>
        <w:tc>
          <w:tcPr>
            <w:tcW w:w="1004" w:type="dxa"/>
            <w:shd w:val="clear" w:color="auto" w:fill="1F3864" w:themeFill="accent1" w:themeFillShade="80"/>
            <w:noWrap/>
            <w:hideMark/>
          </w:tcPr>
          <w:p w14:paraId="318D1EA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sz w:val="18"/>
                <w:szCs w:val="20"/>
              </w:rPr>
            </w:pPr>
            <w:r w:rsidRPr="00FF756A">
              <w:rPr>
                <w:rFonts w:cs="Times New Roman"/>
                <w:sz w:val="18"/>
                <w:szCs w:val="20"/>
              </w:rPr>
              <w:t xml:space="preserve"> 2 062,0 </w:t>
            </w:r>
          </w:p>
        </w:tc>
        <w:tc>
          <w:tcPr>
            <w:tcW w:w="1004" w:type="dxa"/>
            <w:shd w:val="clear" w:color="auto" w:fill="1F3864" w:themeFill="accent1" w:themeFillShade="80"/>
            <w:noWrap/>
            <w:hideMark/>
          </w:tcPr>
          <w:p w14:paraId="0DDD008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sz w:val="18"/>
                <w:szCs w:val="20"/>
              </w:rPr>
            </w:pPr>
            <w:r w:rsidRPr="00FF756A">
              <w:rPr>
                <w:rFonts w:cs="Times New Roman"/>
                <w:sz w:val="18"/>
                <w:szCs w:val="20"/>
              </w:rPr>
              <w:t xml:space="preserve"> 2 074,8 </w:t>
            </w:r>
          </w:p>
        </w:tc>
        <w:tc>
          <w:tcPr>
            <w:tcW w:w="1004" w:type="dxa"/>
            <w:shd w:val="clear" w:color="auto" w:fill="1F3864" w:themeFill="accent1" w:themeFillShade="80"/>
            <w:noWrap/>
            <w:hideMark/>
          </w:tcPr>
          <w:p w14:paraId="726AD09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sz w:val="18"/>
                <w:szCs w:val="20"/>
              </w:rPr>
            </w:pPr>
            <w:r w:rsidRPr="00FF756A">
              <w:rPr>
                <w:rFonts w:cs="Times New Roman"/>
                <w:sz w:val="18"/>
                <w:szCs w:val="20"/>
              </w:rPr>
              <w:t xml:space="preserve"> 2 157,4 </w:t>
            </w:r>
          </w:p>
        </w:tc>
        <w:tc>
          <w:tcPr>
            <w:tcW w:w="1004" w:type="dxa"/>
            <w:shd w:val="clear" w:color="auto" w:fill="1F3864" w:themeFill="accent1" w:themeFillShade="80"/>
            <w:noWrap/>
            <w:hideMark/>
          </w:tcPr>
          <w:p w14:paraId="06D08FD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sz w:val="18"/>
                <w:szCs w:val="20"/>
              </w:rPr>
            </w:pPr>
            <w:r w:rsidRPr="00FF756A">
              <w:rPr>
                <w:rFonts w:cs="Times New Roman"/>
                <w:sz w:val="18"/>
                <w:szCs w:val="20"/>
              </w:rPr>
              <w:t xml:space="preserve"> 2 383,0 </w:t>
            </w:r>
          </w:p>
        </w:tc>
        <w:tc>
          <w:tcPr>
            <w:tcW w:w="1007" w:type="dxa"/>
            <w:shd w:val="clear" w:color="auto" w:fill="1F3864" w:themeFill="accent1" w:themeFillShade="80"/>
            <w:noWrap/>
            <w:hideMark/>
          </w:tcPr>
          <w:p w14:paraId="0A29F48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sz w:val="18"/>
                <w:szCs w:val="20"/>
              </w:rPr>
            </w:pPr>
            <w:r w:rsidRPr="00FF756A">
              <w:rPr>
                <w:rFonts w:cs="Times New Roman"/>
                <w:sz w:val="18"/>
                <w:szCs w:val="20"/>
              </w:rPr>
              <w:t xml:space="preserve"> 2 975,7 </w:t>
            </w:r>
          </w:p>
        </w:tc>
        <w:tc>
          <w:tcPr>
            <w:tcW w:w="1007" w:type="dxa"/>
            <w:shd w:val="clear" w:color="auto" w:fill="1F3864" w:themeFill="accent1" w:themeFillShade="80"/>
          </w:tcPr>
          <w:p w14:paraId="0695DFD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sz w:val="18"/>
                <w:szCs w:val="20"/>
              </w:rPr>
            </w:pPr>
            <w:r w:rsidRPr="00FF756A">
              <w:rPr>
                <w:rFonts w:cs="Times New Roman"/>
                <w:sz w:val="18"/>
                <w:szCs w:val="20"/>
              </w:rPr>
              <w:t xml:space="preserve"> 3 855,4 </w:t>
            </w:r>
          </w:p>
        </w:tc>
      </w:tr>
      <w:tr w:rsidR="00B86FB3" w:rsidRPr="00FF756A" w14:paraId="5F3DCC99"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43" w:type="dxa"/>
            <w:gridSpan w:val="9"/>
            <w:noWrap/>
            <w:hideMark/>
          </w:tcPr>
          <w:p w14:paraId="38744312" w14:textId="77777777" w:rsidR="00B86FB3" w:rsidRPr="00FF756A" w:rsidRDefault="00B86FB3" w:rsidP="00B86FB3">
            <w:pPr>
              <w:rPr>
                <w:rFonts w:eastAsia="Times New Roman" w:cs="Times New Roman"/>
                <w:b w:val="0"/>
                <w:bCs w:val="0"/>
                <w:color w:val="FFFFFF"/>
                <w:sz w:val="18"/>
                <w:szCs w:val="18"/>
              </w:rPr>
            </w:pPr>
            <w:r w:rsidRPr="00FF756A">
              <w:rPr>
                <w:rFonts w:cs="Times New Roman"/>
                <w:color w:val="FFFFFF"/>
                <w:sz w:val="18"/>
                <w:szCs w:val="18"/>
              </w:rPr>
              <w:t>Sektori i banesave</w:t>
            </w:r>
          </w:p>
        </w:tc>
      </w:tr>
      <w:tr w:rsidR="00B86FB3" w:rsidRPr="00FF756A" w14:paraId="7778EEC0"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60DEF939"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Ngrohja e hapësirave</w:t>
            </w:r>
          </w:p>
        </w:tc>
        <w:tc>
          <w:tcPr>
            <w:tcW w:w="1004" w:type="dxa"/>
            <w:noWrap/>
            <w:hideMark/>
          </w:tcPr>
          <w:p w14:paraId="650BF24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338,1 </w:t>
            </w:r>
          </w:p>
        </w:tc>
        <w:tc>
          <w:tcPr>
            <w:tcW w:w="1004" w:type="dxa"/>
            <w:noWrap/>
            <w:hideMark/>
          </w:tcPr>
          <w:p w14:paraId="165A36D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338,8 </w:t>
            </w:r>
          </w:p>
        </w:tc>
        <w:tc>
          <w:tcPr>
            <w:tcW w:w="1004" w:type="dxa"/>
            <w:noWrap/>
            <w:hideMark/>
          </w:tcPr>
          <w:p w14:paraId="1DF737B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329,4 </w:t>
            </w:r>
          </w:p>
        </w:tc>
        <w:tc>
          <w:tcPr>
            <w:tcW w:w="1004" w:type="dxa"/>
            <w:noWrap/>
            <w:hideMark/>
          </w:tcPr>
          <w:p w14:paraId="30213E4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320,6 </w:t>
            </w:r>
          </w:p>
        </w:tc>
        <w:tc>
          <w:tcPr>
            <w:tcW w:w="1004" w:type="dxa"/>
            <w:noWrap/>
            <w:hideMark/>
          </w:tcPr>
          <w:p w14:paraId="065DDDC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309,8 </w:t>
            </w:r>
          </w:p>
        </w:tc>
        <w:tc>
          <w:tcPr>
            <w:tcW w:w="1004" w:type="dxa"/>
            <w:noWrap/>
            <w:hideMark/>
          </w:tcPr>
          <w:p w14:paraId="5A116AB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287,7 </w:t>
            </w:r>
          </w:p>
        </w:tc>
        <w:tc>
          <w:tcPr>
            <w:tcW w:w="1007" w:type="dxa"/>
            <w:noWrap/>
            <w:hideMark/>
          </w:tcPr>
          <w:p w14:paraId="6938B9E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265,7 </w:t>
            </w:r>
          </w:p>
        </w:tc>
        <w:tc>
          <w:tcPr>
            <w:tcW w:w="1007" w:type="dxa"/>
          </w:tcPr>
          <w:p w14:paraId="4040228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299,6 </w:t>
            </w:r>
          </w:p>
        </w:tc>
      </w:tr>
      <w:tr w:rsidR="00B86FB3" w:rsidRPr="00FF756A" w14:paraId="08C1F5C5"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756C42EB"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Pajisjet elektro-shtëpiake</w:t>
            </w:r>
          </w:p>
        </w:tc>
        <w:tc>
          <w:tcPr>
            <w:tcW w:w="1004" w:type="dxa"/>
            <w:noWrap/>
            <w:hideMark/>
          </w:tcPr>
          <w:p w14:paraId="5550254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98,2 </w:t>
            </w:r>
          </w:p>
        </w:tc>
        <w:tc>
          <w:tcPr>
            <w:tcW w:w="1004" w:type="dxa"/>
            <w:noWrap/>
            <w:hideMark/>
          </w:tcPr>
          <w:p w14:paraId="7EB33B5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99,0 </w:t>
            </w:r>
          </w:p>
        </w:tc>
        <w:tc>
          <w:tcPr>
            <w:tcW w:w="1004" w:type="dxa"/>
            <w:noWrap/>
            <w:hideMark/>
          </w:tcPr>
          <w:p w14:paraId="3CF90A1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98,4 </w:t>
            </w:r>
          </w:p>
        </w:tc>
        <w:tc>
          <w:tcPr>
            <w:tcW w:w="1004" w:type="dxa"/>
            <w:noWrap/>
            <w:hideMark/>
          </w:tcPr>
          <w:p w14:paraId="3905144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102,0 </w:t>
            </w:r>
          </w:p>
        </w:tc>
        <w:tc>
          <w:tcPr>
            <w:tcW w:w="1004" w:type="dxa"/>
            <w:noWrap/>
            <w:hideMark/>
          </w:tcPr>
          <w:p w14:paraId="12E7042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104,9 </w:t>
            </w:r>
          </w:p>
        </w:tc>
        <w:tc>
          <w:tcPr>
            <w:tcW w:w="1004" w:type="dxa"/>
            <w:noWrap/>
            <w:hideMark/>
          </w:tcPr>
          <w:p w14:paraId="43969C9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106,8 </w:t>
            </w:r>
          </w:p>
        </w:tc>
        <w:tc>
          <w:tcPr>
            <w:tcW w:w="1007" w:type="dxa"/>
            <w:noWrap/>
            <w:hideMark/>
          </w:tcPr>
          <w:p w14:paraId="0402199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114,6 </w:t>
            </w:r>
          </w:p>
        </w:tc>
        <w:tc>
          <w:tcPr>
            <w:tcW w:w="1007" w:type="dxa"/>
          </w:tcPr>
          <w:p w14:paraId="5F9C42F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123,3 </w:t>
            </w:r>
          </w:p>
        </w:tc>
      </w:tr>
      <w:tr w:rsidR="00B86FB3" w:rsidRPr="00FF756A" w14:paraId="06496946"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13FE3998"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Ndriçimi</w:t>
            </w:r>
          </w:p>
        </w:tc>
        <w:tc>
          <w:tcPr>
            <w:tcW w:w="1004" w:type="dxa"/>
            <w:noWrap/>
            <w:hideMark/>
          </w:tcPr>
          <w:p w14:paraId="1AF44A7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0,0 </w:t>
            </w:r>
          </w:p>
        </w:tc>
        <w:tc>
          <w:tcPr>
            <w:tcW w:w="1004" w:type="dxa"/>
            <w:noWrap/>
            <w:hideMark/>
          </w:tcPr>
          <w:p w14:paraId="28D8C32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0,0 </w:t>
            </w:r>
          </w:p>
        </w:tc>
        <w:tc>
          <w:tcPr>
            <w:tcW w:w="1004" w:type="dxa"/>
            <w:noWrap/>
            <w:hideMark/>
          </w:tcPr>
          <w:p w14:paraId="1EC4149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0,0 </w:t>
            </w:r>
          </w:p>
        </w:tc>
        <w:tc>
          <w:tcPr>
            <w:tcW w:w="1004" w:type="dxa"/>
            <w:noWrap/>
            <w:hideMark/>
          </w:tcPr>
          <w:p w14:paraId="6357127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0,0 </w:t>
            </w:r>
          </w:p>
        </w:tc>
        <w:tc>
          <w:tcPr>
            <w:tcW w:w="1004" w:type="dxa"/>
            <w:noWrap/>
            <w:hideMark/>
          </w:tcPr>
          <w:p w14:paraId="1E6C33C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0,0 </w:t>
            </w:r>
          </w:p>
        </w:tc>
        <w:tc>
          <w:tcPr>
            <w:tcW w:w="1004" w:type="dxa"/>
            <w:noWrap/>
            <w:hideMark/>
          </w:tcPr>
          <w:p w14:paraId="380A226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0,0 </w:t>
            </w:r>
          </w:p>
        </w:tc>
        <w:tc>
          <w:tcPr>
            <w:tcW w:w="1007" w:type="dxa"/>
            <w:noWrap/>
            <w:hideMark/>
          </w:tcPr>
          <w:p w14:paraId="77D647C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0,0 </w:t>
            </w:r>
          </w:p>
        </w:tc>
        <w:tc>
          <w:tcPr>
            <w:tcW w:w="1007" w:type="dxa"/>
          </w:tcPr>
          <w:p w14:paraId="728C2A8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0,0 </w:t>
            </w:r>
          </w:p>
        </w:tc>
      </w:tr>
      <w:tr w:rsidR="00B86FB3" w:rsidRPr="00FF756A" w14:paraId="23567480"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49585442"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Ftohja e hapësirave</w:t>
            </w:r>
          </w:p>
        </w:tc>
        <w:tc>
          <w:tcPr>
            <w:tcW w:w="1004" w:type="dxa"/>
            <w:noWrap/>
            <w:hideMark/>
          </w:tcPr>
          <w:p w14:paraId="5CA539C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32,4 </w:t>
            </w:r>
          </w:p>
        </w:tc>
        <w:tc>
          <w:tcPr>
            <w:tcW w:w="1004" w:type="dxa"/>
            <w:noWrap/>
            <w:hideMark/>
          </w:tcPr>
          <w:p w14:paraId="49A72E6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34,4 </w:t>
            </w:r>
          </w:p>
        </w:tc>
        <w:tc>
          <w:tcPr>
            <w:tcW w:w="1004" w:type="dxa"/>
            <w:noWrap/>
            <w:hideMark/>
          </w:tcPr>
          <w:p w14:paraId="2DAD44A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34,1 </w:t>
            </w:r>
          </w:p>
        </w:tc>
        <w:tc>
          <w:tcPr>
            <w:tcW w:w="1004" w:type="dxa"/>
            <w:noWrap/>
            <w:hideMark/>
          </w:tcPr>
          <w:p w14:paraId="6B3046F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33,8 </w:t>
            </w:r>
          </w:p>
        </w:tc>
        <w:tc>
          <w:tcPr>
            <w:tcW w:w="1004" w:type="dxa"/>
            <w:noWrap/>
            <w:hideMark/>
          </w:tcPr>
          <w:p w14:paraId="36201CD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34,7 </w:t>
            </w:r>
          </w:p>
        </w:tc>
        <w:tc>
          <w:tcPr>
            <w:tcW w:w="1004" w:type="dxa"/>
            <w:noWrap/>
            <w:hideMark/>
          </w:tcPr>
          <w:p w14:paraId="08FF688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37,5 </w:t>
            </w:r>
          </w:p>
        </w:tc>
        <w:tc>
          <w:tcPr>
            <w:tcW w:w="1007" w:type="dxa"/>
            <w:noWrap/>
            <w:hideMark/>
          </w:tcPr>
          <w:p w14:paraId="4958F52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48,7 </w:t>
            </w:r>
          </w:p>
        </w:tc>
        <w:tc>
          <w:tcPr>
            <w:tcW w:w="1007" w:type="dxa"/>
          </w:tcPr>
          <w:p w14:paraId="74C0CBC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77,4 </w:t>
            </w:r>
          </w:p>
        </w:tc>
      </w:tr>
      <w:tr w:rsidR="00B86FB3" w:rsidRPr="00FF756A" w14:paraId="7108F78C"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46C018DC"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Ngrohja e ujit</w:t>
            </w:r>
          </w:p>
        </w:tc>
        <w:tc>
          <w:tcPr>
            <w:tcW w:w="1004" w:type="dxa"/>
            <w:noWrap/>
            <w:hideMark/>
          </w:tcPr>
          <w:p w14:paraId="528678E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51,4 </w:t>
            </w:r>
          </w:p>
        </w:tc>
        <w:tc>
          <w:tcPr>
            <w:tcW w:w="1004" w:type="dxa"/>
            <w:noWrap/>
            <w:hideMark/>
          </w:tcPr>
          <w:p w14:paraId="0BD90C9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52,2 </w:t>
            </w:r>
          </w:p>
        </w:tc>
        <w:tc>
          <w:tcPr>
            <w:tcW w:w="1004" w:type="dxa"/>
            <w:noWrap/>
            <w:hideMark/>
          </w:tcPr>
          <w:p w14:paraId="20C59C9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50,5 </w:t>
            </w:r>
          </w:p>
        </w:tc>
        <w:tc>
          <w:tcPr>
            <w:tcW w:w="1004" w:type="dxa"/>
            <w:noWrap/>
            <w:hideMark/>
          </w:tcPr>
          <w:p w14:paraId="5814C6C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48,8 </w:t>
            </w:r>
          </w:p>
        </w:tc>
        <w:tc>
          <w:tcPr>
            <w:tcW w:w="1004" w:type="dxa"/>
            <w:noWrap/>
            <w:hideMark/>
          </w:tcPr>
          <w:p w14:paraId="301AF1E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48,7 </w:t>
            </w:r>
          </w:p>
        </w:tc>
        <w:tc>
          <w:tcPr>
            <w:tcW w:w="1004" w:type="dxa"/>
            <w:noWrap/>
            <w:hideMark/>
          </w:tcPr>
          <w:p w14:paraId="14BDE49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49,4 </w:t>
            </w:r>
          </w:p>
        </w:tc>
        <w:tc>
          <w:tcPr>
            <w:tcW w:w="1007" w:type="dxa"/>
            <w:noWrap/>
            <w:hideMark/>
          </w:tcPr>
          <w:p w14:paraId="53F7098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56,6 </w:t>
            </w:r>
          </w:p>
        </w:tc>
        <w:tc>
          <w:tcPr>
            <w:tcW w:w="1007" w:type="dxa"/>
          </w:tcPr>
          <w:p w14:paraId="4735ABB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78,8 </w:t>
            </w:r>
          </w:p>
        </w:tc>
      </w:tr>
      <w:tr w:rsidR="00B86FB3" w:rsidRPr="00FF756A" w14:paraId="2F9FD762"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000DA9ED"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Totali</w:t>
            </w:r>
          </w:p>
        </w:tc>
        <w:tc>
          <w:tcPr>
            <w:tcW w:w="1004" w:type="dxa"/>
            <w:shd w:val="clear" w:color="auto" w:fill="4472C4" w:themeFill="accent1"/>
            <w:noWrap/>
            <w:hideMark/>
          </w:tcPr>
          <w:p w14:paraId="273CAA8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520,2 </w:t>
            </w:r>
          </w:p>
        </w:tc>
        <w:tc>
          <w:tcPr>
            <w:tcW w:w="1004" w:type="dxa"/>
            <w:shd w:val="clear" w:color="auto" w:fill="4472C4" w:themeFill="accent1"/>
            <w:noWrap/>
            <w:hideMark/>
          </w:tcPr>
          <w:p w14:paraId="5D662D0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524,5 </w:t>
            </w:r>
          </w:p>
        </w:tc>
        <w:tc>
          <w:tcPr>
            <w:tcW w:w="1004" w:type="dxa"/>
            <w:shd w:val="clear" w:color="auto" w:fill="4472C4" w:themeFill="accent1"/>
            <w:noWrap/>
            <w:hideMark/>
          </w:tcPr>
          <w:p w14:paraId="33DA009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512,4 </w:t>
            </w:r>
          </w:p>
        </w:tc>
        <w:tc>
          <w:tcPr>
            <w:tcW w:w="1004" w:type="dxa"/>
            <w:shd w:val="clear" w:color="auto" w:fill="4472C4" w:themeFill="accent1"/>
            <w:noWrap/>
            <w:hideMark/>
          </w:tcPr>
          <w:p w14:paraId="4D5590A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505,2 </w:t>
            </w:r>
          </w:p>
        </w:tc>
        <w:tc>
          <w:tcPr>
            <w:tcW w:w="1004" w:type="dxa"/>
            <w:shd w:val="clear" w:color="auto" w:fill="4472C4" w:themeFill="accent1"/>
            <w:noWrap/>
            <w:hideMark/>
          </w:tcPr>
          <w:p w14:paraId="669B0A7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498,2 </w:t>
            </w:r>
          </w:p>
        </w:tc>
        <w:tc>
          <w:tcPr>
            <w:tcW w:w="1004" w:type="dxa"/>
            <w:shd w:val="clear" w:color="auto" w:fill="4472C4" w:themeFill="accent1"/>
            <w:noWrap/>
            <w:hideMark/>
          </w:tcPr>
          <w:p w14:paraId="64EC7E9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481,5 </w:t>
            </w:r>
          </w:p>
        </w:tc>
        <w:tc>
          <w:tcPr>
            <w:tcW w:w="1007" w:type="dxa"/>
            <w:shd w:val="clear" w:color="auto" w:fill="4472C4" w:themeFill="accent1"/>
            <w:noWrap/>
            <w:hideMark/>
          </w:tcPr>
          <w:p w14:paraId="5FC17C7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485,6 </w:t>
            </w:r>
          </w:p>
        </w:tc>
        <w:tc>
          <w:tcPr>
            <w:tcW w:w="1007" w:type="dxa"/>
            <w:shd w:val="clear" w:color="auto" w:fill="4472C4" w:themeFill="accent1"/>
          </w:tcPr>
          <w:p w14:paraId="1CD1972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579,2 </w:t>
            </w:r>
          </w:p>
        </w:tc>
      </w:tr>
      <w:tr w:rsidR="00B86FB3" w:rsidRPr="00FF756A" w14:paraId="56C1167A"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9643" w:type="dxa"/>
            <w:gridSpan w:val="9"/>
            <w:noWrap/>
            <w:hideMark/>
          </w:tcPr>
          <w:p w14:paraId="221690E3" w14:textId="77777777" w:rsidR="00B86FB3" w:rsidRPr="00FF756A" w:rsidRDefault="00B86FB3" w:rsidP="00B86FB3">
            <w:pPr>
              <w:rPr>
                <w:rFonts w:eastAsia="Times New Roman" w:cs="Times New Roman"/>
                <w:b w:val="0"/>
                <w:bCs w:val="0"/>
                <w:color w:val="FFFFFF"/>
                <w:sz w:val="18"/>
                <w:szCs w:val="18"/>
              </w:rPr>
            </w:pPr>
            <w:r w:rsidRPr="00FF756A">
              <w:rPr>
                <w:rFonts w:cs="Times New Roman"/>
                <w:color w:val="FFFFFF"/>
                <w:sz w:val="18"/>
                <w:szCs w:val="18"/>
              </w:rPr>
              <w:t>Shërbimet</w:t>
            </w:r>
          </w:p>
        </w:tc>
      </w:tr>
      <w:tr w:rsidR="00B86FB3" w:rsidRPr="00FF756A" w14:paraId="3BEA7687"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48882122"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Tregtia</w:t>
            </w:r>
          </w:p>
        </w:tc>
        <w:tc>
          <w:tcPr>
            <w:tcW w:w="1004" w:type="dxa"/>
            <w:noWrap/>
            <w:hideMark/>
          </w:tcPr>
          <w:p w14:paraId="296BF4E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30,2 </w:t>
            </w:r>
          </w:p>
        </w:tc>
        <w:tc>
          <w:tcPr>
            <w:tcW w:w="1004" w:type="dxa"/>
            <w:noWrap/>
            <w:hideMark/>
          </w:tcPr>
          <w:p w14:paraId="2D9E72A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32,2 </w:t>
            </w:r>
          </w:p>
        </w:tc>
        <w:tc>
          <w:tcPr>
            <w:tcW w:w="1004" w:type="dxa"/>
            <w:noWrap/>
            <w:hideMark/>
          </w:tcPr>
          <w:p w14:paraId="32A0F70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32,2 </w:t>
            </w:r>
          </w:p>
        </w:tc>
        <w:tc>
          <w:tcPr>
            <w:tcW w:w="1004" w:type="dxa"/>
            <w:noWrap/>
            <w:hideMark/>
          </w:tcPr>
          <w:p w14:paraId="6431FEF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34,5 </w:t>
            </w:r>
          </w:p>
        </w:tc>
        <w:tc>
          <w:tcPr>
            <w:tcW w:w="1004" w:type="dxa"/>
            <w:noWrap/>
            <w:hideMark/>
          </w:tcPr>
          <w:p w14:paraId="6D0F3CB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38,3 </w:t>
            </w:r>
          </w:p>
        </w:tc>
        <w:tc>
          <w:tcPr>
            <w:tcW w:w="1004" w:type="dxa"/>
            <w:noWrap/>
            <w:hideMark/>
          </w:tcPr>
          <w:p w14:paraId="7C9A3E4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46,6 </w:t>
            </w:r>
          </w:p>
        </w:tc>
        <w:tc>
          <w:tcPr>
            <w:tcW w:w="1007" w:type="dxa"/>
            <w:noWrap/>
            <w:hideMark/>
          </w:tcPr>
          <w:p w14:paraId="44533FE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56,5 </w:t>
            </w:r>
          </w:p>
        </w:tc>
        <w:tc>
          <w:tcPr>
            <w:tcW w:w="1007" w:type="dxa"/>
          </w:tcPr>
          <w:p w14:paraId="48C8016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58,2 </w:t>
            </w:r>
          </w:p>
        </w:tc>
      </w:tr>
      <w:tr w:rsidR="00B86FB3" w:rsidRPr="00FF756A" w14:paraId="061DA900"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2CD1F608"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Akomodimi dhe ushqimi</w:t>
            </w:r>
          </w:p>
        </w:tc>
        <w:tc>
          <w:tcPr>
            <w:tcW w:w="1004" w:type="dxa"/>
            <w:noWrap/>
            <w:hideMark/>
          </w:tcPr>
          <w:p w14:paraId="0DD8545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11,4 </w:t>
            </w:r>
          </w:p>
        </w:tc>
        <w:tc>
          <w:tcPr>
            <w:tcW w:w="1004" w:type="dxa"/>
            <w:noWrap/>
            <w:hideMark/>
          </w:tcPr>
          <w:p w14:paraId="3F2879B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12,2 </w:t>
            </w:r>
          </w:p>
        </w:tc>
        <w:tc>
          <w:tcPr>
            <w:tcW w:w="1004" w:type="dxa"/>
            <w:noWrap/>
            <w:hideMark/>
          </w:tcPr>
          <w:p w14:paraId="0ED2B28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12,2 </w:t>
            </w:r>
          </w:p>
        </w:tc>
        <w:tc>
          <w:tcPr>
            <w:tcW w:w="1004" w:type="dxa"/>
            <w:noWrap/>
            <w:hideMark/>
          </w:tcPr>
          <w:p w14:paraId="4417DCB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13,1 </w:t>
            </w:r>
          </w:p>
        </w:tc>
        <w:tc>
          <w:tcPr>
            <w:tcW w:w="1004" w:type="dxa"/>
            <w:noWrap/>
            <w:hideMark/>
          </w:tcPr>
          <w:p w14:paraId="627AC24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15,2 </w:t>
            </w:r>
          </w:p>
        </w:tc>
        <w:tc>
          <w:tcPr>
            <w:tcW w:w="1004" w:type="dxa"/>
            <w:noWrap/>
            <w:hideMark/>
          </w:tcPr>
          <w:p w14:paraId="1A7CE6C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20,4 </w:t>
            </w:r>
          </w:p>
        </w:tc>
        <w:tc>
          <w:tcPr>
            <w:tcW w:w="1007" w:type="dxa"/>
            <w:noWrap/>
            <w:hideMark/>
          </w:tcPr>
          <w:p w14:paraId="44AF36B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28,4 </w:t>
            </w:r>
          </w:p>
        </w:tc>
        <w:tc>
          <w:tcPr>
            <w:tcW w:w="1007" w:type="dxa"/>
          </w:tcPr>
          <w:p w14:paraId="10D2E81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30,6 </w:t>
            </w:r>
          </w:p>
        </w:tc>
      </w:tr>
      <w:tr w:rsidR="00B86FB3" w:rsidRPr="00FF756A" w14:paraId="7D8E026E"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3AE909CA"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Administrata publike</w:t>
            </w:r>
          </w:p>
        </w:tc>
        <w:tc>
          <w:tcPr>
            <w:tcW w:w="1004" w:type="dxa"/>
            <w:noWrap/>
            <w:hideMark/>
          </w:tcPr>
          <w:p w14:paraId="19296B5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15,5 </w:t>
            </w:r>
          </w:p>
        </w:tc>
        <w:tc>
          <w:tcPr>
            <w:tcW w:w="1004" w:type="dxa"/>
            <w:noWrap/>
            <w:hideMark/>
          </w:tcPr>
          <w:p w14:paraId="6507C41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16,5 </w:t>
            </w:r>
          </w:p>
        </w:tc>
        <w:tc>
          <w:tcPr>
            <w:tcW w:w="1004" w:type="dxa"/>
            <w:noWrap/>
            <w:hideMark/>
          </w:tcPr>
          <w:p w14:paraId="75FA9E3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16,5 </w:t>
            </w:r>
          </w:p>
        </w:tc>
        <w:tc>
          <w:tcPr>
            <w:tcW w:w="1004" w:type="dxa"/>
            <w:noWrap/>
            <w:hideMark/>
          </w:tcPr>
          <w:p w14:paraId="2A957BF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16,0 </w:t>
            </w:r>
          </w:p>
        </w:tc>
        <w:tc>
          <w:tcPr>
            <w:tcW w:w="1004" w:type="dxa"/>
            <w:noWrap/>
            <w:hideMark/>
          </w:tcPr>
          <w:p w14:paraId="43C1FC5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16,0 </w:t>
            </w:r>
          </w:p>
        </w:tc>
        <w:tc>
          <w:tcPr>
            <w:tcW w:w="1004" w:type="dxa"/>
            <w:noWrap/>
            <w:hideMark/>
          </w:tcPr>
          <w:p w14:paraId="03FB4DC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15,8 </w:t>
            </w:r>
          </w:p>
        </w:tc>
        <w:tc>
          <w:tcPr>
            <w:tcW w:w="1007" w:type="dxa"/>
            <w:noWrap/>
            <w:hideMark/>
          </w:tcPr>
          <w:p w14:paraId="5AE2DA6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14,2 </w:t>
            </w:r>
          </w:p>
        </w:tc>
        <w:tc>
          <w:tcPr>
            <w:tcW w:w="1007" w:type="dxa"/>
          </w:tcPr>
          <w:p w14:paraId="4BE078F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11,7 </w:t>
            </w:r>
          </w:p>
        </w:tc>
      </w:tr>
      <w:tr w:rsidR="00B86FB3" w:rsidRPr="00FF756A" w14:paraId="60C188DC"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4C004094"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Arsimi</w:t>
            </w:r>
          </w:p>
        </w:tc>
        <w:tc>
          <w:tcPr>
            <w:tcW w:w="1004" w:type="dxa"/>
            <w:noWrap/>
            <w:hideMark/>
          </w:tcPr>
          <w:p w14:paraId="40BA491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23,1 </w:t>
            </w:r>
          </w:p>
        </w:tc>
        <w:tc>
          <w:tcPr>
            <w:tcW w:w="1004" w:type="dxa"/>
            <w:noWrap/>
            <w:hideMark/>
          </w:tcPr>
          <w:p w14:paraId="4593546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21,3 </w:t>
            </w:r>
          </w:p>
        </w:tc>
        <w:tc>
          <w:tcPr>
            <w:tcW w:w="1004" w:type="dxa"/>
            <w:noWrap/>
            <w:hideMark/>
          </w:tcPr>
          <w:p w14:paraId="40197A6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21,3 </w:t>
            </w:r>
          </w:p>
        </w:tc>
        <w:tc>
          <w:tcPr>
            <w:tcW w:w="1004" w:type="dxa"/>
            <w:noWrap/>
            <w:hideMark/>
          </w:tcPr>
          <w:p w14:paraId="2C78FDA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20,6 </w:t>
            </w:r>
          </w:p>
        </w:tc>
        <w:tc>
          <w:tcPr>
            <w:tcW w:w="1004" w:type="dxa"/>
            <w:noWrap/>
            <w:hideMark/>
          </w:tcPr>
          <w:p w14:paraId="38A8F49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20,6 </w:t>
            </w:r>
          </w:p>
        </w:tc>
        <w:tc>
          <w:tcPr>
            <w:tcW w:w="1004" w:type="dxa"/>
            <w:noWrap/>
            <w:hideMark/>
          </w:tcPr>
          <w:p w14:paraId="44BD4DA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20,3 </w:t>
            </w:r>
          </w:p>
        </w:tc>
        <w:tc>
          <w:tcPr>
            <w:tcW w:w="1007" w:type="dxa"/>
            <w:noWrap/>
            <w:hideMark/>
          </w:tcPr>
          <w:p w14:paraId="2D57F97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18,4 </w:t>
            </w:r>
          </w:p>
        </w:tc>
        <w:tc>
          <w:tcPr>
            <w:tcW w:w="1007" w:type="dxa"/>
          </w:tcPr>
          <w:p w14:paraId="230A649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15,1 </w:t>
            </w:r>
          </w:p>
        </w:tc>
      </w:tr>
      <w:tr w:rsidR="00B86FB3" w:rsidRPr="00FF756A" w14:paraId="0F23AB0C"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7BAC4CDD"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Shëndetësia</w:t>
            </w:r>
          </w:p>
        </w:tc>
        <w:tc>
          <w:tcPr>
            <w:tcW w:w="1004" w:type="dxa"/>
            <w:noWrap/>
            <w:hideMark/>
          </w:tcPr>
          <w:p w14:paraId="1C0DBE8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20,3 </w:t>
            </w:r>
          </w:p>
        </w:tc>
        <w:tc>
          <w:tcPr>
            <w:tcW w:w="1004" w:type="dxa"/>
            <w:noWrap/>
            <w:hideMark/>
          </w:tcPr>
          <w:p w14:paraId="5653582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21,4 </w:t>
            </w:r>
          </w:p>
        </w:tc>
        <w:tc>
          <w:tcPr>
            <w:tcW w:w="1004" w:type="dxa"/>
            <w:noWrap/>
            <w:hideMark/>
          </w:tcPr>
          <w:p w14:paraId="566A77F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21,4 </w:t>
            </w:r>
          </w:p>
        </w:tc>
        <w:tc>
          <w:tcPr>
            <w:tcW w:w="1004" w:type="dxa"/>
            <w:noWrap/>
            <w:hideMark/>
          </w:tcPr>
          <w:p w14:paraId="4D89DCE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20,7 </w:t>
            </w:r>
          </w:p>
        </w:tc>
        <w:tc>
          <w:tcPr>
            <w:tcW w:w="1004" w:type="dxa"/>
            <w:noWrap/>
            <w:hideMark/>
          </w:tcPr>
          <w:p w14:paraId="3CEB97E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20,7 </w:t>
            </w:r>
          </w:p>
        </w:tc>
        <w:tc>
          <w:tcPr>
            <w:tcW w:w="1004" w:type="dxa"/>
            <w:noWrap/>
            <w:hideMark/>
          </w:tcPr>
          <w:p w14:paraId="352E5B0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20,4 </w:t>
            </w:r>
          </w:p>
        </w:tc>
        <w:tc>
          <w:tcPr>
            <w:tcW w:w="1007" w:type="dxa"/>
            <w:noWrap/>
            <w:hideMark/>
          </w:tcPr>
          <w:p w14:paraId="4E6799B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18,4 </w:t>
            </w:r>
          </w:p>
        </w:tc>
        <w:tc>
          <w:tcPr>
            <w:tcW w:w="1007" w:type="dxa"/>
          </w:tcPr>
          <w:p w14:paraId="778046A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15,2 </w:t>
            </w:r>
          </w:p>
        </w:tc>
      </w:tr>
      <w:tr w:rsidR="00B86FB3" w:rsidRPr="00FF756A" w14:paraId="0F2F0745"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6665A354"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Shërbime të tjera</w:t>
            </w:r>
          </w:p>
        </w:tc>
        <w:tc>
          <w:tcPr>
            <w:tcW w:w="1004" w:type="dxa"/>
            <w:noWrap/>
            <w:hideMark/>
          </w:tcPr>
          <w:p w14:paraId="6437C1A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97,3 </w:t>
            </w:r>
          </w:p>
        </w:tc>
        <w:tc>
          <w:tcPr>
            <w:tcW w:w="1004" w:type="dxa"/>
            <w:noWrap/>
            <w:hideMark/>
          </w:tcPr>
          <w:p w14:paraId="4A0D125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115,2 </w:t>
            </w:r>
          </w:p>
        </w:tc>
        <w:tc>
          <w:tcPr>
            <w:tcW w:w="1004" w:type="dxa"/>
            <w:noWrap/>
            <w:hideMark/>
          </w:tcPr>
          <w:p w14:paraId="728551F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115,2 </w:t>
            </w:r>
          </w:p>
        </w:tc>
        <w:tc>
          <w:tcPr>
            <w:tcW w:w="1004" w:type="dxa"/>
            <w:noWrap/>
            <w:hideMark/>
          </w:tcPr>
          <w:p w14:paraId="7FA58F8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120,8 </w:t>
            </w:r>
          </w:p>
        </w:tc>
        <w:tc>
          <w:tcPr>
            <w:tcW w:w="1004" w:type="dxa"/>
            <w:noWrap/>
            <w:hideMark/>
          </w:tcPr>
          <w:p w14:paraId="0D80D79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132,5 </w:t>
            </w:r>
          </w:p>
        </w:tc>
        <w:tc>
          <w:tcPr>
            <w:tcW w:w="1004" w:type="dxa"/>
            <w:noWrap/>
            <w:hideMark/>
          </w:tcPr>
          <w:p w14:paraId="22DB545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164,8 </w:t>
            </w:r>
          </w:p>
        </w:tc>
        <w:tc>
          <w:tcPr>
            <w:tcW w:w="1007" w:type="dxa"/>
            <w:noWrap/>
            <w:hideMark/>
          </w:tcPr>
          <w:p w14:paraId="5340101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241,1 </w:t>
            </w:r>
          </w:p>
        </w:tc>
        <w:tc>
          <w:tcPr>
            <w:tcW w:w="1007" w:type="dxa"/>
          </w:tcPr>
          <w:p w14:paraId="5BB6CEF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327,3 </w:t>
            </w:r>
          </w:p>
        </w:tc>
      </w:tr>
      <w:tr w:rsidR="00B86FB3" w:rsidRPr="00FF756A" w14:paraId="72F9E394"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1A368942"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Totali</w:t>
            </w:r>
          </w:p>
        </w:tc>
        <w:tc>
          <w:tcPr>
            <w:tcW w:w="1004" w:type="dxa"/>
            <w:shd w:val="clear" w:color="auto" w:fill="4472C4" w:themeFill="accent1"/>
            <w:noWrap/>
            <w:hideMark/>
          </w:tcPr>
          <w:p w14:paraId="393C5C6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197,7 </w:t>
            </w:r>
          </w:p>
        </w:tc>
        <w:tc>
          <w:tcPr>
            <w:tcW w:w="1004" w:type="dxa"/>
            <w:shd w:val="clear" w:color="auto" w:fill="4472C4" w:themeFill="accent1"/>
            <w:noWrap/>
            <w:hideMark/>
          </w:tcPr>
          <w:p w14:paraId="5BB0BFF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218,8 </w:t>
            </w:r>
          </w:p>
        </w:tc>
        <w:tc>
          <w:tcPr>
            <w:tcW w:w="1004" w:type="dxa"/>
            <w:shd w:val="clear" w:color="auto" w:fill="4472C4" w:themeFill="accent1"/>
            <w:noWrap/>
            <w:hideMark/>
          </w:tcPr>
          <w:p w14:paraId="26C05E1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218,8 </w:t>
            </w:r>
          </w:p>
        </w:tc>
        <w:tc>
          <w:tcPr>
            <w:tcW w:w="1004" w:type="dxa"/>
            <w:shd w:val="clear" w:color="auto" w:fill="4472C4" w:themeFill="accent1"/>
            <w:noWrap/>
            <w:hideMark/>
          </w:tcPr>
          <w:p w14:paraId="3CE559A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225,7 </w:t>
            </w:r>
          </w:p>
        </w:tc>
        <w:tc>
          <w:tcPr>
            <w:tcW w:w="1004" w:type="dxa"/>
            <w:shd w:val="clear" w:color="auto" w:fill="4472C4" w:themeFill="accent1"/>
            <w:noWrap/>
            <w:hideMark/>
          </w:tcPr>
          <w:p w14:paraId="45AD9E0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243,3 </w:t>
            </w:r>
          </w:p>
        </w:tc>
        <w:tc>
          <w:tcPr>
            <w:tcW w:w="1004" w:type="dxa"/>
            <w:shd w:val="clear" w:color="auto" w:fill="4472C4" w:themeFill="accent1"/>
            <w:noWrap/>
            <w:hideMark/>
          </w:tcPr>
          <w:p w14:paraId="3094797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288,4 </w:t>
            </w:r>
          </w:p>
        </w:tc>
        <w:tc>
          <w:tcPr>
            <w:tcW w:w="1007" w:type="dxa"/>
            <w:shd w:val="clear" w:color="auto" w:fill="4472C4" w:themeFill="accent1"/>
            <w:noWrap/>
            <w:hideMark/>
          </w:tcPr>
          <w:p w14:paraId="4B058F6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377,1 </w:t>
            </w:r>
          </w:p>
        </w:tc>
        <w:tc>
          <w:tcPr>
            <w:tcW w:w="1007" w:type="dxa"/>
            <w:shd w:val="clear" w:color="auto" w:fill="4472C4" w:themeFill="accent1"/>
          </w:tcPr>
          <w:p w14:paraId="2F5BE20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458,2 </w:t>
            </w:r>
          </w:p>
        </w:tc>
      </w:tr>
      <w:tr w:rsidR="00B86FB3" w:rsidRPr="00FF756A" w14:paraId="4BD3F97C"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9643" w:type="dxa"/>
            <w:gridSpan w:val="9"/>
            <w:noWrap/>
            <w:hideMark/>
          </w:tcPr>
          <w:p w14:paraId="779C8CD7" w14:textId="77777777" w:rsidR="00B86FB3" w:rsidRPr="00FF756A" w:rsidRDefault="00B86FB3" w:rsidP="00B86FB3">
            <w:pPr>
              <w:rPr>
                <w:rFonts w:eastAsia="Times New Roman" w:cs="Times New Roman"/>
                <w:b w:val="0"/>
                <w:bCs w:val="0"/>
                <w:color w:val="FFFFFF"/>
                <w:sz w:val="18"/>
                <w:szCs w:val="18"/>
              </w:rPr>
            </w:pPr>
            <w:r w:rsidRPr="00FF756A">
              <w:rPr>
                <w:rFonts w:cs="Times New Roman"/>
                <w:color w:val="FFFFFF"/>
                <w:sz w:val="18"/>
                <w:szCs w:val="18"/>
              </w:rPr>
              <w:t>Industria</w:t>
            </w:r>
          </w:p>
        </w:tc>
      </w:tr>
      <w:tr w:rsidR="00B86FB3" w:rsidRPr="00FF756A" w14:paraId="0C836AC4"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1E16DABF"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Hekuri dhe çeliku</w:t>
            </w:r>
          </w:p>
        </w:tc>
        <w:tc>
          <w:tcPr>
            <w:tcW w:w="1004" w:type="dxa"/>
            <w:noWrap/>
            <w:hideMark/>
          </w:tcPr>
          <w:p w14:paraId="6DD29CE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27,8 </w:t>
            </w:r>
          </w:p>
        </w:tc>
        <w:tc>
          <w:tcPr>
            <w:tcW w:w="1004" w:type="dxa"/>
            <w:noWrap/>
            <w:hideMark/>
          </w:tcPr>
          <w:p w14:paraId="43DA9A7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29,8 </w:t>
            </w:r>
          </w:p>
        </w:tc>
        <w:tc>
          <w:tcPr>
            <w:tcW w:w="1004" w:type="dxa"/>
            <w:noWrap/>
            <w:hideMark/>
          </w:tcPr>
          <w:p w14:paraId="3463CE5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29,8 </w:t>
            </w:r>
          </w:p>
        </w:tc>
        <w:tc>
          <w:tcPr>
            <w:tcW w:w="1004" w:type="dxa"/>
            <w:noWrap/>
            <w:hideMark/>
          </w:tcPr>
          <w:p w14:paraId="73F0ECD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31,2 </w:t>
            </w:r>
          </w:p>
        </w:tc>
        <w:tc>
          <w:tcPr>
            <w:tcW w:w="1004" w:type="dxa"/>
            <w:noWrap/>
            <w:hideMark/>
          </w:tcPr>
          <w:p w14:paraId="7CBC297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34,2 </w:t>
            </w:r>
          </w:p>
        </w:tc>
        <w:tc>
          <w:tcPr>
            <w:tcW w:w="1004" w:type="dxa"/>
            <w:noWrap/>
            <w:hideMark/>
          </w:tcPr>
          <w:p w14:paraId="598F76D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43,1 </w:t>
            </w:r>
          </w:p>
        </w:tc>
        <w:tc>
          <w:tcPr>
            <w:tcW w:w="1007" w:type="dxa"/>
            <w:noWrap/>
            <w:hideMark/>
          </w:tcPr>
          <w:p w14:paraId="6FCF3AB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68,6 </w:t>
            </w:r>
          </w:p>
        </w:tc>
        <w:tc>
          <w:tcPr>
            <w:tcW w:w="1007" w:type="dxa"/>
          </w:tcPr>
          <w:p w14:paraId="7C0CA78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109,0 </w:t>
            </w:r>
          </w:p>
        </w:tc>
      </w:tr>
      <w:tr w:rsidR="00B86FB3" w:rsidRPr="00FF756A" w14:paraId="3A015A08"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28A3A5C4"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Metalet joferrike</w:t>
            </w:r>
          </w:p>
        </w:tc>
        <w:tc>
          <w:tcPr>
            <w:tcW w:w="1004" w:type="dxa"/>
            <w:noWrap/>
            <w:hideMark/>
          </w:tcPr>
          <w:p w14:paraId="291B0B6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6,4 </w:t>
            </w:r>
          </w:p>
        </w:tc>
        <w:tc>
          <w:tcPr>
            <w:tcW w:w="1004" w:type="dxa"/>
            <w:noWrap/>
            <w:hideMark/>
          </w:tcPr>
          <w:p w14:paraId="0D910E9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4,7 </w:t>
            </w:r>
          </w:p>
        </w:tc>
        <w:tc>
          <w:tcPr>
            <w:tcW w:w="1004" w:type="dxa"/>
            <w:noWrap/>
            <w:hideMark/>
          </w:tcPr>
          <w:p w14:paraId="10E8813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4,7 </w:t>
            </w:r>
          </w:p>
        </w:tc>
        <w:tc>
          <w:tcPr>
            <w:tcW w:w="1004" w:type="dxa"/>
            <w:noWrap/>
            <w:hideMark/>
          </w:tcPr>
          <w:p w14:paraId="42B282E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4,9 </w:t>
            </w:r>
          </w:p>
        </w:tc>
        <w:tc>
          <w:tcPr>
            <w:tcW w:w="1004" w:type="dxa"/>
            <w:noWrap/>
            <w:hideMark/>
          </w:tcPr>
          <w:p w14:paraId="5553F8C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5,4 </w:t>
            </w:r>
          </w:p>
        </w:tc>
        <w:tc>
          <w:tcPr>
            <w:tcW w:w="1004" w:type="dxa"/>
            <w:noWrap/>
            <w:hideMark/>
          </w:tcPr>
          <w:p w14:paraId="117B107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6,8 </w:t>
            </w:r>
          </w:p>
        </w:tc>
        <w:tc>
          <w:tcPr>
            <w:tcW w:w="1007" w:type="dxa"/>
            <w:noWrap/>
            <w:hideMark/>
          </w:tcPr>
          <w:p w14:paraId="3933142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10,9 </w:t>
            </w:r>
          </w:p>
        </w:tc>
        <w:tc>
          <w:tcPr>
            <w:tcW w:w="1007" w:type="dxa"/>
          </w:tcPr>
          <w:p w14:paraId="7798BFC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17,3 </w:t>
            </w:r>
          </w:p>
        </w:tc>
      </w:tr>
      <w:tr w:rsidR="00B86FB3" w:rsidRPr="00FF756A" w14:paraId="06D41130"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60E7B5C1"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Sektori kimik</w:t>
            </w:r>
          </w:p>
        </w:tc>
        <w:tc>
          <w:tcPr>
            <w:tcW w:w="1004" w:type="dxa"/>
            <w:noWrap/>
            <w:hideMark/>
          </w:tcPr>
          <w:p w14:paraId="3434869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14,3 </w:t>
            </w:r>
          </w:p>
        </w:tc>
        <w:tc>
          <w:tcPr>
            <w:tcW w:w="1004" w:type="dxa"/>
            <w:noWrap/>
            <w:hideMark/>
          </w:tcPr>
          <w:p w14:paraId="5E1BB0F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14,4 </w:t>
            </w:r>
          </w:p>
        </w:tc>
        <w:tc>
          <w:tcPr>
            <w:tcW w:w="1004" w:type="dxa"/>
            <w:noWrap/>
            <w:hideMark/>
          </w:tcPr>
          <w:p w14:paraId="676094F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14,4 </w:t>
            </w:r>
          </w:p>
        </w:tc>
        <w:tc>
          <w:tcPr>
            <w:tcW w:w="1004" w:type="dxa"/>
            <w:noWrap/>
            <w:hideMark/>
          </w:tcPr>
          <w:p w14:paraId="7F40ED5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15,0 </w:t>
            </w:r>
          </w:p>
        </w:tc>
        <w:tc>
          <w:tcPr>
            <w:tcW w:w="1004" w:type="dxa"/>
            <w:noWrap/>
            <w:hideMark/>
          </w:tcPr>
          <w:p w14:paraId="78DE730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16,5 </w:t>
            </w:r>
          </w:p>
        </w:tc>
        <w:tc>
          <w:tcPr>
            <w:tcW w:w="1004" w:type="dxa"/>
            <w:noWrap/>
            <w:hideMark/>
          </w:tcPr>
          <w:p w14:paraId="08F0C68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20,8 </w:t>
            </w:r>
          </w:p>
        </w:tc>
        <w:tc>
          <w:tcPr>
            <w:tcW w:w="1007" w:type="dxa"/>
            <w:noWrap/>
            <w:hideMark/>
          </w:tcPr>
          <w:p w14:paraId="17FC751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33,1 </w:t>
            </w:r>
          </w:p>
        </w:tc>
        <w:tc>
          <w:tcPr>
            <w:tcW w:w="1007" w:type="dxa"/>
          </w:tcPr>
          <w:p w14:paraId="4B25DE7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52,6 </w:t>
            </w:r>
          </w:p>
        </w:tc>
      </w:tr>
      <w:tr w:rsidR="00B86FB3" w:rsidRPr="00FF756A" w14:paraId="2E1381EF"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10A41A62"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Sektori minerar</w:t>
            </w:r>
          </w:p>
        </w:tc>
        <w:tc>
          <w:tcPr>
            <w:tcW w:w="1004" w:type="dxa"/>
            <w:noWrap/>
            <w:hideMark/>
          </w:tcPr>
          <w:p w14:paraId="0294E11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208,9 </w:t>
            </w:r>
          </w:p>
        </w:tc>
        <w:tc>
          <w:tcPr>
            <w:tcW w:w="1004" w:type="dxa"/>
            <w:noWrap/>
            <w:hideMark/>
          </w:tcPr>
          <w:p w14:paraId="248B1D3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263,6 </w:t>
            </w:r>
          </w:p>
        </w:tc>
        <w:tc>
          <w:tcPr>
            <w:tcW w:w="1004" w:type="dxa"/>
            <w:noWrap/>
            <w:hideMark/>
          </w:tcPr>
          <w:p w14:paraId="07EDCC1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259,4 </w:t>
            </w:r>
          </w:p>
        </w:tc>
        <w:tc>
          <w:tcPr>
            <w:tcW w:w="1004" w:type="dxa"/>
            <w:noWrap/>
            <w:hideMark/>
          </w:tcPr>
          <w:p w14:paraId="48BB3C7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264,2 </w:t>
            </w:r>
          </w:p>
        </w:tc>
        <w:tc>
          <w:tcPr>
            <w:tcW w:w="1004" w:type="dxa"/>
            <w:noWrap/>
            <w:hideMark/>
          </w:tcPr>
          <w:p w14:paraId="520A635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274,0 </w:t>
            </w:r>
          </w:p>
        </w:tc>
        <w:tc>
          <w:tcPr>
            <w:tcW w:w="1004" w:type="dxa"/>
            <w:noWrap/>
            <w:hideMark/>
          </w:tcPr>
          <w:p w14:paraId="7392B5F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300,1 </w:t>
            </w:r>
          </w:p>
        </w:tc>
        <w:tc>
          <w:tcPr>
            <w:tcW w:w="1007" w:type="dxa"/>
            <w:noWrap/>
            <w:hideMark/>
          </w:tcPr>
          <w:p w14:paraId="5E5C5E2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349,9 </w:t>
            </w:r>
          </w:p>
        </w:tc>
        <w:tc>
          <w:tcPr>
            <w:tcW w:w="1007" w:type="dxa"/>
          </w:tcPr>
          <w:p w14:paraId="18952E0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400,3 </w:t>
            </w:r>
          </w:p>
        </w:tc>
      </w:tr>
      <w:tr w:rsidR="00B86FB3" w:rsidRPr="00FF756A" w14:paraId="51F1F6EA"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3D6C7AED"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Nxjerrja e xeheroreve</w:t>
            </w:r>
          </w:p>
        </w:tc>
        <w:tc>
          <w:tcPr>
            <w:tcW w:w="1004" w:type="dxa"/>
            <w:noWrap/>
            <w:hideMark/>
          </w:tcPr>
          <w:p w14:paraId="05B4AC6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1004" w:type="dxa"/>
            <w:noWrap/>
            <w:hideMark/>
          </w:tcPr>
          <w:p w14:paraId="7F4741E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1004" w:type="dxa"/>
            <w:noWrap/>
            <w:hideMark/>
          </w:tcPr>
          <w:p w14:paraId="6BB96F7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1004" w:type="dxa"/>
            <w:noWrap/>
            <w:hideMark/>
          </w:tcPr>
          <w:p w14:paraId="43F571E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1004" w:type="dxa"/>
            <w:noWrap/>
            <w:hideMark/>
          </w:tcPr>
          <w:p w14:paraId="3A1FB71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1004" w:type="dxa"/>
            <w:noWrap/>
            <w:hideMark/>
          </w:tcPr>
          <w:p w14:paraId="6DC0813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1007" w:type="dxa"/>
            <w:noWrap/>
            <w:hideMark/>
          </w:tcPr>
          <w:p w14:paraId="0D2AF9B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1007" w:type="dxa"/>
          </w:tcPr>
          <w:p w14:paraId="44BAEBB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r>
      <w:tr w:rsidR="00B86FB3" w:rsidRPr="00FF756A" w14:paraId="676B6686"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4A9A5FA0"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Ushqimet, pijet, duhani</w:t>
            </w:r>
          </w:p>
        </w:tc>
        <w:tc>
          <w:tcPr>
            <w:tcW w:w="1004" w:type="dxa"/>
            <w:noWrap/>
            <w:hideMark/>
          </w:tcPr>
          <w:p w14:paraId="1F53573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50,0 </w:t>
            </w:r>
          </w:p>
        </w:tc>
        <w:tc>
          <w:tcPr>
            <w:tcW w:w="1004" w:type="dxa"/>
            <w:noWrap/>
            <w:hideMark/>
          </w:tcPr>
          <w:p w14:paraId="5B44B30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52,1 </w:t>
            </w:r>
          </w:p>
        </w:tc>
        <w:tc>
          <w:tcPr>
            <w:tcW w:w="1004" w:type="dxa"/>
            <w:noWrap/>
            <w:hideMark/>
          </w:tcPr>
          <w:p w14:paraId="75946D7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52,1 </w:t>
            </w:r>
          </w:p>
        </w:tc>
        <w:tc>
          <w:tcPr>
            <w:tcW w:w="1004" w:type="dxa"/>
            <w:noWrap/>
            <w:hideMark/>
          </w:tcPr>
          <w:p w14:paraId="5A38D70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54,6 </w:t>
            </w:r>
          </w:p>
        </w:tc>
        <w:tc>
          <w:tcPr>
            <w:tcW w:w="1004" w:type="dxa"/>
            <w:noWrap/>
            <w:hideMark/>
          </w:tcPr>
          <w:p w14:paraId="519E358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59,9 </w:t>
            </w:r>
          </w:p>
        </w:tc>
        <w:tc>
          <w:tcPr>
            <w:tcW w:w="1004" w:type="dxa"/>
            <w:noWrap/>
            <w:hideMark/>
          </w:tcPr>
          <w:p w14:paraId="3D78844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75,5 </w:t>
            </w:r>
          </w:p>
        </w:tc>
        <w:tc>
          <w:tcPr>
            <w:tcW w:w="1007" w:type="dxa"/>
            <w:noWrap/>
            <w:hideMark/>
          </w:tcPr>
          <w:p w14:paraId="5376E0B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120,0 </w:t>
            </w:r>
          </w:p>
        </w:tc>
        <w:tc>
          <w:tcPr>
            <w:tcW w:w="1007" w:type="dxa"/>
          </w:tcPr>
          <w:p w14:paraId="1297DFA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190,8 </w:t>
            </w:r>
          </w:p>
        </w:tc>
      </w:tr>
      <w:tr w:rsidR="00B86FB3" w:rsidRPr="00FF756A" w14:paraId="497812EA"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1E491B9E"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Sektori i tekstilit, lëkurës dhe konfeksionit</w:t>
            </w:r>
          </w:p>
        </w:tc>
        <w:tc>
          <w:tcPr>
            <w:tcW w:w="1004" w:type="dxa"/>
            <w:noWrap/>
            <w:hideMark/>
          </w:tcPr>
          <w:p w14:paraId="75B5365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15,1 </w:t>
            </w:r>
          </w:p>
        </w:tc>
        <w:tc>
          <w:tcPr>
            <w:tcW w:w="1004" w:type="dxa"/>
            <w:noWrap/>
            <w:hideMark/>
          </w:tcPr>
          <w:p w14:paraId="43F1AAE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15,2 </w:t>
            </w:r>
          </w:p>
        </w:tc>
        <w:tc>
          <w:tcPr>
            <w:tcW w:w="1004" w:type="dxa"/>
            <w:noWrap/>
            <w:hideMark/>
          </w:tcPr>
          <w:p w14:paraId="2937165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15,2 </w:t>
            </w:r>
          </w:p>
        </w:tc>
        <w:tc>
          <w:tcPr>
            <w:tcW w:w="1004" w:type="dxa"/>
            <w:noWrap/>
            <w:hideMark/>
          </w:tcPr>
          <w:p w14:paraId="41611C6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15,9 </w:t>
            </w:r>
          </w:p>
        </w:tc>
        <w:tc>
          <w:tcPr>
            <w:tcW w:w="1004" w:type="dxa"/>
            <w:noWrap/>
            <w:hideMark/>
          </w:tcPr>
          <w:p w14:paraId="458BDE4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17,4 </w:t>
            </w:r>
          </w:p>
        </w:tc>
        <w:tc>
          <w:tcPr>
            <w:tcW w:w="1004" w:type="dxa"/>
            <w:noWrap/>
            <w:hideMark/>
          </w:tcPr>
          <w:p w14:paraId="21DC415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22,0 </w:t>
            </w:r>
          </w:p>
        </w:tc>
        <w:tc>
          <w:tcPr>
            <w:tcW w:w="1007" w:type="dxa"/>
            <w:noWrap/>
            <w:hideMark/>
          </w:tcPr>
          <w:p w14:paraId="19C3426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35,0 </w:t>
            </w:r>
          </w:p>
        </w:tc>
        <w:tc>
          <w:tcPr>
            <w:tcW w:w="1007" w:type="dxa"/>
          </w:tcPr>
          <w:p w14:paraId="72D7522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55,6 </w:t>
            </w:r>
          </w:p>
        </w:tc>
      </w:tr>
      <w:tr w:rsidR="00B86FB3" w:rsidRPr="00FF756A" w14:paraId="025D1481"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1E7A6603"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Shtypshkrimi</w:t>
            </w:r>
          </w:p>
        </w:tc>
        <w:tc>
          <w:tcPr>
            <w:tcW w:w="1004" w:type="dxa"/>
            <w:noWrap/>
            <w:hideMark/>
          </w:tcPr>
          <w:p w14:paraId="58A8541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9,7 </w:t>
            </w:r>
          </w:p>
        </w:tc>
        <w:tc>
          <w:tcPr>
            <w:tcW w:w="1004" w:type="dxa"/>
            <w:noWrap/>
            <w:hideMark/>
          </w:tcPr>
          <w:p w14:paraId="4CAF99E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8,9 </w:t>
            </w:r>
          </w:p>
        </w:tc>
        <w:tc>
          <w:tcPr>
            <w:tcW w:w="1004" w:type="dxa"/>
            <w:noWrap/>
            <w:hideMark/>
          </w:tcPr>
          <w:p w14:paraId="07B003B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8,9 </w:t>
            </w:r>
          </w:p>
        </w:tc>
        <w:tc>
          <w:tcPr>
            <w:tcW w:w="1004" w:type="dxa"/>
            <w:noWrap/>
            <w:hideMark/>
          </w:tcPr>
          <w:p w14:paraId="068A6FC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9,4 </w:t>
            </w:r>
          </w:p>
        </w:tc>
        <w:tc>
          <w:tcPr>
            <w:tcW w:w="1004" w:type="dxa"/>
            <w:noWrap/>
            <w:hideMark/>
          </w:tcPr>
          <w:p w14:paraId="07EFBE6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10,3 </w:t>
            </w:r>
          </w:p>
        </w:tc>
        <w:tc>
          <w:tcPr>
            <w:tcW w:w="1004" w:type="dxa"/>
            <w:noWrap/>
            <w:hideMark/>
          </w:tcPr>
          <w:p w14:paraId="136922D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13,0 </w:t>
            </w:r>
          </w:p>
        </w:tc>
        <w:tc>
          <w:tcPr>
            <w:tcW w:w="1007" w:type="dxa"/>
            <w:noWrap/>
            <w:hideMark/>
          </w:tcPr>
          <w:p w14:paraId="436AFB6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20,6 </w:t>
            </w:r>
          </w:p>
        </w:tc>
        <w:tc>
          <w:tcPr>
            <w:tcW w:w="1007" w:type="dxa"/>
          </w:tcPr>
          <w:p w14:paraId="7A3C9CE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32,8 </w:t>
            </w:r>
          </w:p>
        </w:tc>
      </w:tr>
      <w:tr w:rsidR="00B86FB3" w:rsidRPr="00FF756A" w14:paraId="36D27367"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47E85BA0"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Inxhinieria Metale të tjera</w:t>
            </w:r>
          </w:p>
        </w:tc>
        <w:tc>
          <w:tcPr>
            <w:tcW w:w="1004" w:type="dxa"/>
            <w:noWrap/>
            <w:hideMark/>
          </w:tcPr>
          <w:p w14:paraId="380FDCE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7,8 </w:t>
            </w:r>
          </w:p>
        </w:tc>
        <w:tc>
          <w:tcPr>
            <w:tcW w:w="1004" w:type="dxa"/>
            <w:noWrap/>
            <w:hideMark/>
          </w:tcPr>
          <w:p w14:paraId="539A30E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8,4 </w:t>
            </w:r>
          </w:p>
        </w:tc>
        <w:tc>
          <w:tcPr>
            <w:tcW w:w="1004" w:type="dxa"/>
            <w:noWrap/>
            <w:hideMark/>
          </w:tcPr>
          <w:p w14:paraId="5D5212F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8,4 </w:t>
            </w:r>
          </w:p>
        </w:tc>
        <w:tc>
          <w:tcPr>
            <w:tcW w:w="1004" w:type="dxa"/>
            <w:noWrap/>
            <w:hideMark/>
          </w:tcPr>
          <w:p w14:paraId="30AE3E6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8,8 </w:t>
            </w:r>
          </w:p>
        </w:tc>
        <w:tc>
          <w:tcPr>
            <w:tcW w:w="1004" w:type="dxa"/>
            <w:noWrap/>
            <w:hideMark/>
          </w:tcPr>
          <w:p w14:paraId="279E04B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9,6 </w:t>
            </w:r>
          </w:p>
        </w:tc>
        <w:tc>
          <w:tcPr>
            <w:tcW w:w="1004" w:type="dxa"/>
            <w:noWrap/>
            <w:hideMark/>
          </w:tcPr>
          <w:p w14:paraId="7427928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12,1 </w:t>
            </w:r>
          </w:p>
        </w:tc>
        <w:tc>
          <w:tcPr>
            <w:tcW w:w="1007" w:type="dxa"/>
            <w:noWrap/>
            <w:hideMark/>
          </w:tcPr>
          <w:p w14:paraId="2D2D522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19,3 </w:t>
            </w:r>
          </w:p>
        </w:tc>
        <w:tc>
          <w:tcPr>
            <w:tcW w:w="1007" w:type="dxa"/>
          </w:tcPr>
          <w:p w14:paraId="3EB4BD6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30,7 </w:t>
            </w:r>
          </w:p>
        </w:tc>
      </w:tr>
      <w:tr w:rsidR="00B86FB3" w:rsidRPr="00FF756A" w14:paraId="5BB9AE95"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42A21A99"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Tjetër</w:t>
            </w:r>
          </w:p>
        </w:tc>
        <w:tc>
          <w:tcPr>
            <w:tcW w:w="1004" w:type="dxa"/>
            <w:noWrap/>
            <w:hideMark/>
          </w:tcPr>
          <w:p w14:paraId="5FE333C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30,5 </w:t>
            </w:r>
          </w:p>
        </w:tc>
        <w:tc>
          <w:tcPr>
            <w:tcW w:w="1004" w:type="dxa"/>
            <w:noWrap/>
            <w:hideMark/>
          </w:tcPr>
          <w:p w14:paraId="2A471F9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40,1 </w:t>
            </w:r>
          </w:p>
        </w:tc>
        <w:tc>
          <w:tcPr>
            <w:tcW w:w="1004" w:type="dxa"/>
            <w:noWrap/>
            <w:hideMark/>
          </w:tcPr>
          <w:p w14:paraId="059458E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40,1 </w:t>
            </w:r>
          </w:p>
        </w:tc>
        <w:tc>
          <w:tcPr>
            <w:tcW w:w="1004" w:type="dxa"/>
            <w:noWrap/>
            <w:hideMark/>
          </w:tcPr>
          <w:p w14:paraId="27223B8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42,0 </w:t>
            </w:r>
          </w:p>
        </w:tc>
        <w:tc>
          <w:tcPr>
            <w:tcW w:w="1004" w:type="dxa"/>
            <w:noWrap/>
            <w:hideMark/>
          </w:tcPr>
          <w:p w14:paraId="67518B3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46,1 </w:t>
            </w:r>
          </w:p>
        </w:tc>
        <w:tc>
          <w:tcPr>
            <w:tcW w:w="1004" w:type="dxa"/>
            <w:noWrap/>
            <w:hideMark/>
          </w:tcPr>
          <w:p w14:paraId="3E55D40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58,1 </w:t>
            </w:r>
          </w:p>
        </w:tc>
        <w:tc>
          <w:tcPr>
            <w:tcW w:w="1007" w:type="dxa"/>
            <w:noWrap/>
            <w:hideMark/>
          </w:tcPr>
          <w:p w14:paraId="7DB3183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92,4 </w:t>
            </w:r>
          </w:p>
        </w:tc>
        <w:tc>
          <w:tcPr>
            <w:tcW w:w="1007" w:type="dxa"/>
          </w:tcPr>
          <w:p w14:paraId="5AB48E0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 xml:space="preserve"> 146,9 </w:t>
            </w:r>
          </w:p>
        </w:tc>
      </w:tr>
      <w:tr w:rsidR="00B86FB3" w:rsidRPr="00FF756A" w14:paraId="5870B3CF"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7D6B769F"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Totali</w:t>
            </w:r>
          </w:p>
        </w:tc>
        <w:tc>
          <w:tcPr>
            <w:tcW w:w="1004" w:type="dxa"/>
            <w:shd w:val="clear" w:color="auto" w:fill="4472C4" w:themeFill="accent1"/>
            <w:noWrap/>
            <w:hideMark/>
          </w:tcPr>
          <w:p w14:paraId="1EB2B29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370,6 </w:t>
            </w:r>
          </w:p>
        </w:tc>
        <w:tc>
          <w:tcPr>
            <w:tcW w:w="1004" w:type="dxa"/>
            <w:shd w:val="clear" w:color="auto" w:fill="4472C4" w:themeFill="accent1"/>
            <w:noWrap/>
            <w:hideMark/>
          </w:tcPr>
          <w:p w14:paraId="4879217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437,2 </w:t>
            </w:r>
          </w:p>
        </w:tc>
        <w:tc>
          <w:tcPr>
            <w:tcW w:w="1004" w:type="dxa"/>
            <w:shd w:val="clear" w:color="auto" w:fill="4472C4" w:themeFill="accent1"/>
            <w:noWrap/>
            <w:hideMark/>
          </w:tcPr>
          <w:p w14:paraId="6A04D1C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433,0 </w:t>
            </w:r>
          </w:p>
        </w:tc>
        <w:tc>
          <w:tcPr>
            <w:tcW w:w="1004" w:type="dxa"/>
            <w:shd w:val="clear" w:color="auto" w:fill="4472C4" w:themeFill="accent1"/>
            <w:noWrap/>
            <w:hideMark/>
          </w:tcPr>
          <w:p w14:paraId="55F198F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446,0 </w:t>
            </w:r>
          </w:p>
        </w:tc>
        <w:tc>
          <w:tcPr>
            <w:tcW w:w="1004" w:type="dxa"/>
            <w:shd w:val="clear" w:color="auto" w:fill="4472C4" w:themeFill="accent1"/>
            <w:noWrap/>
            <w:hideMark/>
          </w:tcPr>
          <w:p w14:paraId="3085058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473,5 </w:t>
            </w:r>
          </w:p>
        </w:tc>
        <w:tc>
          <w:tcPr>
            <w:tcW w:w="1004" w:type="dxa"/>
            <w:shd w:val="clear" w:color="auto" w:fill="4472C4" w:themeFill="accent1"/>
            <w:noWrap/>
            <w:hideMark/>
          </w:tcPr>
          <w:p w14:paraId="7A31094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551,6 </w:t>
            </w:r>
          </w:p>
        </w:tc>
        <w:tc>
          <w:tcPr>
            <w:tcW w:w="1007" w:type="dxa"/>
            <w:shd w:val="clear" w:color="auto" w:fill="4472C4" w:themeFill="accent1"/>
            <w:noWrap/>
            <w:hideMark/>
          </w:tcPr>
          <w:p w14:paraId="463E5D8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749,8 </w:t>
            </w:r>
          </w:p>
        </w:tc>
        <w:tc>
          <w:tcPr>
            <w:tcW w:w="1007" w:type="dxa"/>
            <w:shd w:val="clear" w:color="auto" w:fill="4472C4" w:themeFill="accent1"/>
          </w:tcPr>
          <w:p w14:paraId="6196275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1 036,0 </w:t>
            </w:r>
          </w:p>
        </w:tc>
      </w:tr>
      <w:tr w:rsidR="00B86FB3" w:rsidRPr="00FF756A" w14:paraId="3292F314"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9643" w:type="dxa"/>
            <w:gridSpan w:val="9"/>
            <w:noWrap/>
            <w:hideMark/>
          </w:tcPr>
          <w:p w14:paraId="76AEFFA9" w14:textId="77777777" w:rsidR="00B86FB3" w:rsidRPr="00FF756A" w:rsidRDefault="00B86FB3" w:rsidP="00B86FB3">
            <w:pPr>
              <w:rPr>
                <w:rFonts w:eastAsia="Times New Roman" w:cs="Times New Roman"/>
                <w:b w:val="0"/>
                <w:bCs w:val="0"/>
                <w:color w:val="FFFFFF"/>
                <w:sz w:val="18"/>
                <w:szCs w:val="18"/>
              </w:rPr>
            </w:pPr>
            <w:r w:rsidRPr="00FF756A">
              <w:rPr>
                <w:rFonts w:cs="Times New Roman"/>
                <w:color w:val="FFFFFF"/>
                <w:sz w:val="18"/>
                <w:szCs w:val="18"/>
              </w:rPr>
              <w:t>Transporti</w:t>
            </w:r>
          </w:p>
        </w:tc>
      </w:tr>
      <w:tr w:rsidR="00B86FB3" w:rsidRPr="00FF756A" w14:paraId="20AEBD32"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4A840355"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Pasagjerë</w:t>
            </w:r>
          </w:p>
        </w:tc>
        <w:tc>
          <w:tcPr>
            <w:tcW w:w="1004" w:type="dxa"/>
            <w:noWrap/>
            <w:vAlign w:val="bottom"/>
            <w:hideMark/>
          </w:tcPr>
          <w:p w14:paraId="4580AF2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486,4 </w:t>
            </w:r>
          </w:p>
        </w:tc>
        <w:tc>
          <w:tcPr>
            <w:tcW w:w="1004" w:type="dxa"/>
            <w:noWrap/>
            <w:vAlign w:val="bottom"/>
            <w:hideMark/>
          </w:tcPr>
          <w:p w14:paraId="74CBDB0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516,0 </w:t>
            </w:r>
          </w:p>
        </w:tc>
        <w:tc>
          <w:tcPr>
            <w:tcW w:w="1004" w:type="dxa"/>
            <w:noWrap/>
            <w:vAlign w:val="bottom"/>
            <w:hideMark/>
          </w:tcPr>
          <w:p w14:paraId="4B9FA64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543,6 </w:t>
            </w:r>
          </w:p>
        </w:tc>
        <w:tc>
          <w:tcPr>
            <w:tcW w:w="1004" w:type="dxa"/>
            <w:noWrap/>
            <w:vAlign w:val="bottom"/>
            <w:hideMark/>
          </w:tcPr>
          <w:p w14:paraId="46BA540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532,2 </w:t>
            </w:r>
          </w:p>
        </w:tc>
        <w:tc>
          <w:tcPr>
            <w:tcW w:w="1004" w:type="dxa"/>
            <w:noWrap/>
            <w:vAlign w:val="bottom"/>
            <w:hideMark/>
          </w:tcPr>
          <w:p w14:paraId="753725E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548,4 </w:t>
            </w:r>
          </w:p>
        </w:tc>
        <w:tc>
          <w:tcPr>
            <w:tcW w:w="1004" w:type="dxa"/>
            <w:noWrap/>
            <w:vAlign w:val="bottom"/>
            <w:hideMark/>
          </w:tcPr>
          <w:p w14:paraId="5FB6DF9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586,6 </w:t>
            </w:r>
          </w:p>
        </w:tc>
        <w:tc>
          <w:tcPr>
            <w:tcW w:w="1007" w:type="dxa"/>
            <w:noWrap/>
            <w:vAlign w:val="bottom"/>
            <w:hideMark/>
          </w:tcPr>
          <w:p w14:paraId="05ABC23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678,5 </w:t>
            </w:r>
          </w:p>
        </w:tc>
        <w:tc>
          <w:tcPr>
            <w:tcW w:w="1007" w:type="dxa"/>
            <w:vAlign w:val="bottom"/>
          </w:tcPr>
          <w:p w14:paraId="2946EAE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790,4 </w:t>
            </w:r>
          </w:p>
        </w:tc>
      </w:tr>
      <w:tr w:rsidR="00B86FB3" w:rsidRPr="00FF756A" w14:paraId="2B7B4AF0"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6A9CE4C1"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Transporti i mallrave</w:t>
            </w:r>
          </w:p>
        </w:tc>
        <w:tc>
          <w:tcPr>
            <w:tcW w:w="1004" w:type="dxa"/>
            <w:noWrap/>
            <w:vAlign w:val="bottom"/>
            <w:hideMark/>
          </w:tcPr>
          <w:p w14:paraId="2000A5C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167,4 </w:t>
            </w:r>
          </w:p>
        </w:tc>
        <w:tc>
          <w:tcPr>
            <w:tcW w:w="1004" w:type="dxa"/>
            <w:noWrap/>
            <w:vAlign w:val="bottom"/>
            <w:hideMark/>
          </w:tcPr>
          <w:p w14:paraId="53E522E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178,3 </w:t>
            </w:r>
          </w:p>
        </w:tc>
        <w:tc>
          <w:tcPr>
            <w:tcW w:w="1004" w:type="dxa"/>
            <w:noWrap/>
            <w:vAlign w:val="bottom"/>
            <w:hideMark/>
          </w:tcPr>
          <w:p w14:paraId="1877EC2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178,3 </w:t>
            </w:r>
          </w:p>
        </w:tc>
        <w:tc>
          <w:tcPr>
            <w:tcW w:w="1004" w:type="dxa"/>
            <w:noWrap/>
            <w:vAlign w:val="bottom"/>
            <w:hideMark/>
          </w:tcPr>
          <w:p w14:paraId="4BAC5D6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186,5 </w:t>
            </w:r>
          </w:p>
        </w:tc>
        <w:tc>
          <w:tcPr>
            <w:tcW w:w="1004" w:type="dxa"/>
            <w:noWrap/>
            <w:vAlign w:val="bottom"/>
            <w:hideMark/>
          </w:tcPr>
          <w:p w14:paraId="2E88173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204,1 </w:t>
            </w:r>
          </w:p>
        </w:tc>
        <w:tc>
          <w:tcPr>
            <w:tcW w:w="1004" w:type="dxa"/>
            <w:noWrap/>
            <w:vAlign w:val="bottom"/>
            <w:hideMark/>
          </w:tcPr>
          <w:p w14:paraId="35EEF71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255,5 </w:t>
            </w:r>
          </w:p>
        </w:tc>
        <w:tc>
          <w:tcPr>
            <w:tcW w:w="1007" w:type="dxa"/>
            <w:noWrap/>
            <w:vAlign w:val="bottom"/>
            <w:hideMark/>
          </w:tcPr>
          <w:p w14:paraId="2B8AE97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387,1 </w:t>
            </w:r>
          </w:p>
        </w:tc>
        <w:tc>
          <w:tcPr>
            <w:tcW w:w="1007" w:type="dxa"/>
            <w:vAlign w:val="bottom"/>
          </w:tcPr>
          <w:p w14:paraId="0B2BD44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584,2 </w:t>
            </w:r>
          </w:p>
        </w:tc>
      </w:tr>
      <w:tr w:rsidR="00B86FB3" w:rsidRPr="00FF756A" w14:paraId="6C1C6DCC"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33F693EF"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Totali</w:t>
            </w:r>
          </w:p>
        </w:tc>
        <w:tc>
          <w:tcPr>
            <w:tcW w:w="1004" w:type="dxa"/>
            <w:shd w:val="clear" w:color="auto" w:fill="4472C4" w:themeFill="accent1"/>
            <w:noWrap/>
            <w:vAlign w:val="bottom"/>
            <w:hideMark/>
          </w:tcPr>
          <w:p w14:paraId="1595FAE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653,8 </w:t>
            </w:r>
          </w:p>
        </w:tc>
        <w:tc>
          <w:tcPr>
            <w:tcW w:w="1004" w:type="dxa"/>
            <w:shd w:val="clear" w:color="auto" w:fill="4472C4" w:themeFill="accent1"/>
            <w:noWrap/>
            <w:vAlign w:val="bottom"/>
            <w:hideMark/>
          </w:tcPr>
          <w:p w14:paraId="35C69FB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694,3 </w:t>
            </w:r>
          </w:p>
        </w:tc>
        <w:tc>
          <w:tcPr>
            <w:tcW w:w="1004" w:type="dxa"/>
            <w:shd w:val="clear" w:color="auto" w:fill="4472C4" w:themeFill="accent1"/>
            <w:noWrap/>
            <w:vAlign w:val="bottom"/>
            <w:hideMark/>
          </w:tcPr>
          <w:p w14:paraId="1FEB2E9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721,9 </w:t>
            </w:r>
          </w:p>
        </w:tc>
        <w:tc>
          <w:tcPr>
            <w:tcW w:w="1004" w:type="dxa"/>
            <w:shd w:val="clear" w:color="auto" w:fill="4472C4" w:themeFill="accent1"/>
            <w:noWrap/>
            <w:vAlign w:val="bottom"/>
            <w:hideMark/>
          </w:tcPr>
          <w:p w14:paraId="1C67264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718,7 </w:t>
            </w:r>
          </w:p>
        </w:tc>
        <w:tc>
          <w:tcPr>
            <w:tcW w:w="1004" w:type="dxa"/>
            <w:shd w:val="clear" w:color="auto" w:fill="4472C4" w:themeFill="accent1"/>
            <w:noWrap/>
            <w:vAlign w:val="bottom"/>
            <w:hideMark/>
          </w:tcPr>
          <w:p w14:paraId="3C34605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752,5 </w:t>
            </w:r>
          </w:p>
        </w:tc>
        <w:tc>
          <w:tcPr>
            <w:tcW w:w="1004" w:type="dxa"/>
            <w:shd w:val="clear" w:color="auto" w:fill="4472C4" w:themeFill="accent1"/>
            <w:noWrap/>
            <w:vAlign w:val="bottom"/>
            <w:hideMark/>
          </w:tcPr>
          <w:p w14:paraId="405FB3D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842,1 </w:t>
            </w:r>
          </w:p>
        </w:tc>
        <w:tc>
          <w:tcPr>
            <w:tcW w:w="1007" w:type="dxa"/>
            <w:shd w:val="clear" w:color="auto" w:fill="4472C4" w:themeFill="accent1"/>
            <w:noWrap/>
            <w:vAlign w:val="bottom"/>
            <w:hideMark/>
          </w:tcPr>
          <w:p w14:paraId="3282B2E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1 065,6 </w:t>
            </w:r>
          </w:p>
        </w:tc>
        <w:tc>
          <w:tcPr>
            <w:tcW w:w="1007" w:type="dxa"/>
            <w:shd w:val="clear" w:color="auto" w:fill="4472C4" w:themeFill="accent1"/>
            <w:vAlign w:val="bottom"/>
          </w:tcPr>
          <w:p w14:paraId="5B15BDB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1 374,6 </w:t>
            </w:r>
          </w:p>
        </w:tc>
      </w:tr>
      <w:tr w:rsidR="00B86FB3" w:rsidRPr="00FF756A" w14:paraId="1FEB35D9"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9643" w:type="dxa"/>
            <w:gridSpan w:val="9"/>
            <w:noWrap/>
            <w:hideMark/>
          </w:tcPr>
          <w:p w14:paraId="19AD1429" w14:textId="77777777" w:rsidR="00B86FB3" w:rsidRPr="00FF756A" w:rsidRDefault="00B86FB3" w:rsidP="00B86FB3">
            <w:pPr>
              <w:rPr>
                <w:rFonts w:eastAsia="Times New Roman" w:cs="Times New Roman"/>
                <w:b w:val="0"/>
                <w:bCs w:val="0"/>
                <w:color w:val="FFFFFF"/>
                <w:sz w:val="18"/>
                <w:szCs w:val="18"/>
              </w:rPr>
            </w:pPr>
            <w:r w:rsidRPr="00FF756A">
              <w:rPr>
                <w:rFonts w:cs="Times New Roman"/>
                <w:color w:val="FFFFFF"/>
                <w:sz w:val="18"/>
                <w:szCs w:val="18"/>
              </w:rPr>
              <w:t>Transporti i udhëtarëve</w:t>
            </w:r>
          </w:p>
        </w:tc>
      </w:tr>
      <w:tr w:rsidR="00B86FB3" w:rsidRPr="00FF756A" w14:paraId="719A50E3"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1D7D8E37"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Hekurudhë</w:t>
            </w:r>
          </w:p>
        </w:tc>
        <w:tc>
          <w:tcPr>
            <w:tcW w:w="1004" w:type="dxa"/>
            <w:noWrap/>
            <w:vAlign w:val="bottom"/>
            <w:hideMark/>
          </w:tcPr>
          <w:p w14:paraId="74C5994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0,2 </w:t>
            </w:r>
          </w:p>
        </w:tc>
        <w:tc>
          <w:tcPr>
            <w:tcW w:w="1004" w:type="dxa"/>
            <w:noWrap/>
            <w:vAlign w:val="bottom"/>
            <w:hideMark/>
          </w:tcPr>
          <w:p w14:paraId="5B96866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0,2 </w:t>
            </w:r>
          </w:p>
        </w:tc>
        <w:tc>
          <w:tcPr>
            <w:tcW w:w="1004" w:type="dxa"/>
            <w:noWrap/>
            <w:vAlign w:val="bottom"/>
            <w:hideMark/>
          </w:tcPr>
          <w:p w14:paraId="38AEBAB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0,2 </w:t>
            </w:r>
          </w:p>
        </w:tc>
        <w:tc>
          <w:tcPr>
            <w:tcW w:w="1004" w:type="dxa"/>
            <w:noWrap/>
            <w:vAlign w:val="bottom"/>
            <w:hideMark/>
          </w:tcPr>
          <w:p w14:paraId="223DD92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   </w:t>
            </w:r>
          </w:p>
        </w:tc>
        <w:tc>
          <w:tcPr>
            <w:tcW w:w="1004" w:type="dxa"/>
            <w:noWrap/>
            <w:vAlign w:val="bottom"/>
            <w:hideMark/>
          </w:tcPr>
          <w:p w14:paraId="39C0320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1,3 </w:t>
            </w:r>
          </w:p>
        </w:tc>
        <w:tc>
          <w:tcPr>
            <w:tcW w:w="1004" w:type="dxa"/>
            <w:noWrap/>
            <w:vAlign w:val="bottom"/>
            <w:hideMark/>
          </w:tcPr>
          <w:p w14:paraId="1D4C7C0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8,7 </w:t>
            </w:r>
          </w:p>
        </w:tc>
        <w:tc>
          <w:tcPr>
            <w:tcW w:w="1007" w:type="dxa"/>
            <w:noWrap/>
            <w:vAlign w:val="bottom"/>
            <w:hideMark/>
          </w:tcPr>
          <w:p w14:paraId="1A3FF76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19,2 </w:t>
            </w:r>
          </w:p>
        </w:tc>
        <w:tc>
          <w:tcPr>
            <w:tcW w:w="1007" w:type="dxa"/>
            <w:vAlign w:val="bottom"/>
          </w:tcPr>
          <w:p w14:paraId="230428B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34,0 </w:t>
            </w:r>
          </w:p>
        </w:tc>
      </w:tr>
      <w:tr w:rsidR="00B86FB3" w:rsidRPr="00FF756A" w14:paraId="2FE5BC31"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481E09F4"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Me mjete lundruese</w:t>
            </w:r>
          </w:p>
        </w:tc>
        <w:tc>
          <w:tcPr>
            <w:tcW w:w="1004" w:type="dxa"/>
            <w:noWrap/>
            <w:vAlign w:val="bottom"/>
            <w:hideMark/>
          </w:tcPr>
          <w:p w14:paraId="4370A84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20,5 </w:t>
            </w:r>
          </w:p>
        </w:tc>
        <w:tc>
          <w:tcPr>
            <w:tcW w:w="1004" w:type="dxa"/>
            <w:noWrap/>
            <w:vAlign w:val="bottom"/>
            <w:hideMark/>
          </w:tcPr>
          <w:p w14:paraId="53F4DFC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20,5 </w:t>
            </w:r>
          </w:p>
        </w:tc>
        <w:tc>
          <w:tcPr>
            <w:tcW w:w="1004" w:type="dxa"/>
            <w:noWrap/>
            <w:vAlign w:val="bottom"/>
            <w:hideMark/>
          </w:tcPr>
          <w:p w14:paraId="74396DF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20,5 </w:t>
            </w:r>
          </w:p>
        </w:tc>
        <w:tc>
          <w:tcPr>
            <w:tcW w:w="1004" w:type="dxa"/>
            <w:noWrap/>
            <w:vAlign w:val="bottom"/>
            <w:hideMark/>
          </w:tcPr>
          <w:p w14:paraId="5A3BAD8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20,3 </w:t>
            </w:r>
          </w:p>
        </w:tc>
        <w:tc>
          <w:tcPr>
            <w:tcW w:w="1004" w:type="dxa"/>
            <w:noWrap/>
            <w:vAlign w:val="bottom"/>
            <w:hideMark/>
          </w:tcPr>
          <w:p w14:paraId="3E7D4BB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21,3 </w:t>
            </w:r>
          </w:p>
        </w:tc>
        <w:tc>
          <w:tcPr>
            <w:tcW w:w="1004" w:type="dxa"/>
            <w:noWrap/>
            <w:vAlign w:val="bottom"/>
            <w:hideMark/>
          </w:tcPr>
          <w:p w14:paraId="67CDA6D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24,2 </w:t>
            </w:r>
          </w:p>
        </w:tc>
        <w:tc>
          <w:tcPr>
            <w:tcW w:w="1007" w:type="dxa"/>
            <w:noWrap/>
            <w:vAlign w:val="bottom"/>
            <w:hideMark/>
          </w:tcPr>
          <w:p w14:paraId="57870C6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30,4 </w:t>
            </w:r>
          </w:p>
        </w:tc>
        <w:tc>
          <w:tcPr>
            <w:tcW w:w="1007" w:type="dxa"/>
            <w:vAlign w:val="bottom"/>
          </w:tcPr>
          <w:p w14:paraId="72F4AEE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37,7 </w:t>
            </w:r>
          </w:p>
        </w:tc>
      </w:tr>
      <w:tr w:rsidR="00B86FB3" w:rsidRPr="00FF756A" w14:paraId="47929615"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1B715E2C"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Me motoçikletë</w:t>
            </w:r>
          </w:p>
        </w:tc>
        <w:tc>
          <w:tcPr>
            <w:tcW w:w="1004" w:type="dxa"/>
            <w:noWrap/>
            <w:vAlign w:val="bottom"/>
            <w:hideMark/>
          </w:tcPr>
          <w:p w14:paraId="6736849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1,5 </w:t>
            </w:r>
          </w:p>
        </w:tc>
        <w:tc>
          <w:tcPr>
            <w:tcW w:w="1004" w:type="dxa"/>
            <w:noWrap/>
            <w:vAlign w:val="bottom"/>
            <w:hideMark/>
          </w:tcPr>
          <w:p w14:paraId="31888C9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1,6 </w:t>
            </w:r>
          </w:p>
        </w:tc>
        <w:tc>
          <w:tcPr>
            <w:tcW w:w="1004" w:type="dxa"/>
            <w:noWrap/>
            <w:vAlign w:val="bottom"/>
            <w:hideMark/>
          </w:tcPr>
          <w:p w14:paraId="5E853AA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1,7 </w:t>
            </w:r>
          </w:p>
        </w:tc>
        <w:tc>
          <w:tcPr>
            <w:tcW w:w="1004" w:type="dxa"/>
            <w:noWrap/>
            <w:vAlign w:val="bottom"/>
            <w:hideMark/>
          </w:tcPr>
          <w:p w14:paraId="3827869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1,7 </w:t>
            </w:r>
          </w:p>
        </w:tc>
        <w:tc>
          <w:tcPr>
            <w:tcW w:w="1004" w:type="dxa"/>
            <w:noWrap/>
            <w:vAlign w:val="bottom"/>
            <w:hideMark/>
          </w:tcPr>
          <w:p w14:paraId="5F63F12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1,8 </w:t>
            </w:r>
          </w:p>
        </w:tc>
        <w:tc>
          <w:tcPr>
            <w:tcW w:w="1004" w:type="dxa"/>
            <w:noWrap/>
            <w:vAlign w:val="bottom"/>
            <w:hideMark/>
          </w:tcPr>
          <w:p w14:paraId="18264C6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2,0 </w:t>
            </w:r>
          </w:p>
        </w:tc>
        <w:tc>
          <w:tcPr>
            <w:tcW w:w="1007" w:type="dxa"/>
            <w:noWrap/>
            <w:vAlign w:val="bottom"/>
            <w:hideMark/>
          </w:tcPr>
          <w:p w14:paraId="104D642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2,4 </w:t>
            </w:r>
          </w:p>
        </w:tc>
        <w:tc>
          <w:tcPr>
            <w:tcW w:w="1007" w:type="dxa"/>
            <w:vAlign w:val="bottom"/>
          </w:tcPr>
          <w:p w14:paraId="0408257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2,9 </w:t>
            </w:r>
          </w:p>
        </w:tc>
      </w:tr>
      <w:tr w:rsidR="00B86FB3" w:rsidRPr="00FF756A" w14:paraId="1268A6C9"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5D947885"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Me makinë</w:t>
            </w:r>
          </w:p>
        </w:tc>
        <w:tc>
          <w:tcPr>
            <w:tcW w:w="1004" w:type="dxa"/>
            <w:noWrap/>
            <w:vAlign w:val="bottom"/>
            <w:hideMark/>
          </w:tcPr>
          <w:p w14:paraId="23E07EC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439,4 </w:t>
            </w:r>
          </w:p>
        </w:tc>
        <w:tc>
          <w:tcPr>
            <w:tcW w:w="1004" w:type="dxa"/>
            <w:noWrap/>
            <w:vAlign w:val="bottom"/>
            <w:hideMark/>
          </w:tcPr>
          <w:p w14:paraId="766D5B4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468,0 </w:t>
            </w:r>
          </w:p>
        </w:tc>
        <w:tc>
          <w:tcPr>
            <w:tcW w:w="1004" w:type="dxa"/>
            <w:noWrap/>
            <w:vAlign w:val="bottom"/>
            <w:hideMark/>
          </w:tcPr>
          <w:p w14:paraId="5C54C18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494,1 </w:t>
            </w:r>
          </w:p>
        </w:tc>
        <w:tc>
          <w:tcPr>
            <w:tcW w:w="1004" w:type="dxa"/>
            <w:noWrap/>
            <w:vAlign w:val="bottom"/>
            <w:hideMark/>
          </w:tcPr>
          <w:p w14:paraId="3A927F7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481,3 </w:t>
            </w:r>
          </w:p>
        </w:tc>
        <w:tc>
          <w:tcPr>
            <w:tcW w:w="1004" w:type="dxa"/>
            <w:noWrap/>
            <w:vAlign w:val="bottom"/>
            <w:hideMark/>
          </w:tcPr>
          <w:p w14:paraId="2130BD0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492,2 </w:t>
            </w:r>
          </w:p>
        </w:tc>
        <w:tc>
          <w:tcPr>
            <w:tcW w:w="1004" w:type="dxa"/>
            <w:noWrap/>
            <w:vAlign w:val="bottom"/>
            <w:hideMark/>
          </w:tcPr>
          <w:p w14:paraId="65D0128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512,0 </w:t>
            </w:r>
          </w:p>
        </w:tc>
        <w:tc>
          <w:tcPr>
            <w:tcW w:w="1007" w:type="dxa"/>
            <w:noWrap/>
            <w:vAlign w:val="bottom"/>
            <w:hideMark/>
          </w:tcPr>
          <w:p w14:paraId="7A648BB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584,9 </w:t>
            </w:r>
          </w:p>
        </w:tc>
        <w:tc>
          <w:tcPr>
            <w:tcW w:w="1007" w:type="dxa"/>
            <w:vAlign w:val="bottom"/>
          </w:tcPr>
          <w:p w14:paraId="7E515CF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675,0 </w:t>
            </w:r>
          </w:p>
        </w:tc>
      </w:tr>
      <w:tr w:rsidR="00B86FB3" w:rsidRPr="00FF756A" w14:paraId="0DEE2CCF"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53D316E7"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Me autobus</w:t>
            </w:r>
          </w:p>
        </w:tc>
        <w:tc>
          <w:tcPr>
            <w:tcW w:w="1004" w:type="dxa"/>
            <w:noWrap/>
            <w:vAlign w:val="bottom"/>
            <w:hideMark/>
          </w:tcPr>
          <w:p w14:paraId="64228A5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24,9 </w:t>
            </w:r>
          </w:p>
        </w:tc>
        <w:tc>
          <w:tcPr>
            <w:tcW w:w="1004" w:type="dxa"/>
            <w:noWrap/>
            <w:vAlign w:val="bottom"/>
            <w:hideMark/>
          </w:tcPr>
          <w:p w14:paraId="1C22E19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25,7 </w:t>
            </w:r>
          </w:p>
        </w:tc>
        <w:tc>
          <w:tcPr>
            <w:tcW w:w="1004" w:type="dxa"/>
            <w:noWrap/>
            <w:vAlign w:val="bottom"/>
            <w:hideMark/>
          </w:tcPr>
          <w:p w14:paraId="0134FC2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27,2 </w:t>
            </w:r>
          </w:p>
        </w:tc>
        <w:tc>
          <w:tcPr>
            <w:tcW w:w="1004" w:type="dxa"/>
            <w:noWrap/>
            <w:vAlign w:val="bottom"/>
            <w:hideMark/>
          </w:tcPr>
          <w:p w14:paraId="68B9402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28,9 </w:t>
            </w:r>
          </w:p>
        </w:tc>
        <w:tc>
          <w:tcPr>
            <w:tcW w:w="1004" w:type="dxa"/>
            <w:noWrap/>
            <w:vAlign w:val="bottom"/>
            <w:hideMark/>
          </w:tcPr>
          <w:p w14:paraId="25DEDA8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31,8 </w:t>
            </w:r>
          </w:p>
        </w:tc>
        <w:tc>
          <w:tcPr>
            <w:tcW w:w="1004" w:type="dxa"/>
            <w:noWrap/>
            <w:vAlign w:val="bottom"/>
            <w:hideMark/>
          </w:tcPr>
          <w:p w14:paraId="71735C5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39,7 </w:t>
            </w:r>
          </w:p>
        </w:tc>
        <w:tc>
          <w:tcPr>
            <w:tcW w:w="1007" w:type="dxa"/>
            <w:noWrap/>
            <w:vAlign w:val="bottom"/>
            <w:hideMark/>
          </w:tcPr>
          <w:p w14:paraId="71AA5EE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41,5 </w:t>
            </w:r>
          </w:p>
        </w:tc>
        <w:tc>
          <w:tcPr>
            <w:tcW w:w="1007" w:type="dxa"/>
            <w:vAlign w:val="bottom"/>
          </w:tcPr>
          <w:p w14:paraId="3006BF8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40,7 </w:t>
            </w:r>
          </w:p>
        </w:tc>
      </w:tr>
      <w:tr w:rsidR="00B86FB3" w:rsidRPr="00FF756A" w14:paraId="3C767C40"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0539AC5D"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Totali</w:t>
            </w:r>
          </w:p>
        </w:tc>
        <w:tc>
          <w:tcPr>
            <w:tcW w:w="1004" w:type="dxa"/>
            <w:shd w:val="clear" w:color="auto" w:fill="4472C4" w:themeFill="accent1"/>
            <w:noWrap/>
            <w:vAlign w:val="bottom"/>
            <w:hideMark/>
          </w:tcPr>
          <w:p w14:paraId="109610E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486,4 </w:t>
            </w:r>
          </w:p>
        </w:tc>
        <w:tc>
          <w:tcPr>
            <w:tcW w:w="1004" w:type="dxa"/>
            <w:shd w:val="clear" w:color="auto" w:fill="4472C4" w:themeFill="accent1"/>
            <w:noWrap/>
            <w:vAlign w:val="bottom"/>
            <w:hideMark/>
          </w:tcPr>
          <w:p w14:paraId="681237D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516,0 </w:t>
            </w:r>
          </w:p>
        </w:tc>
        <w:tc>
          <w:tcPr>
            <w:tcW w:w="1004" w:type="dxa"/>
            <w:shd w:val="clear" w:color="auto" w:fill="4472C4" w:themeFill="accent1"/>
            <w:noWrap/>
            <w:vAlign w:val="bottom"/>
            <w:hideMark/>
          </w:tcPr>
          <w:p w14:paraId="1DF5247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543,6 </w:t>
            </w:r>
          </w:p>
        </w:tc>
        <w:tc>
          <w:tcPr>
            <w:tcW w:w="1004" w:type="dxa"/>
            <w:shd w:val="clear" w:color="auto" w:fill="4472C4" w:themeFill="accent1"/>
            <w:noWrap/>
            <w:vAlign w:val="bottom"/>
            <w:hideMark/>
          </w:tcPr>
          <w:p w14:paraId="608508F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532,2 </w:t>
            </w:r>
          </w:p>
        </w:tc>
        <w:tc>
          <w:tcPr>
            <w:tcW w:w="1004" w:type="dxa"/>
            <w:shd w:val="clear" w:color="auto" w:fill="4472C4" w:themeFill="accent1"/>
            <w:noWrap/>
            <w:vAlign w:val="bottom"/>
            <w:hideMark/>
          </w:tcPr>
          <w:p w14:paraId="6AB6428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548,4 </w:t>
            </w:r>
          </w:p>
        </w:tc>
        <w:tc>
          <w:tcPr>
            <w:tcW w:w="1004" w:type="dxa"/>
            <w:shd w:val="clear" w:color="auto" w:fill="4472C4" w:themeFill="accent1"/>
            <w:noWrap/>
            <w:vAlign w:val="bottom"/>
            <w:hideMark/>
          </w:tcPr>
          <w:p w14:paraId="6D23EBF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586,6 </w:t>
            </w:r>
          </w:p>
        </w:tc>
        <w:tc>
          <w:tcPr>
            <w:tcW w:w="1007" w:type="dxa"/>
            <w:shd w:val="clear" w:color="auto" w:fill="4472C4" w:themeFill="accent1"/>
            <w:noWrap/>
            <w:vAlign w:val="bottom"/>
            <w:hideMark/>
          </w:tcPr>
          <w:p w14:paraId="1621682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678,5 </w:t>
            </w:r>
          </w:p>
        </w:tc>
        <w:tc>
          <w:tcPr>
            <w:tcW w:w="1007" w:type="dxa"/>
            <w:shd w:val="clear" w:color="auto" w:fill="4472C4" w:themeFill="accent1"/>
            <w:vAlign w:val="bottom"/>
          </w:tcPr>
          <w:p w14:paraId="1AA4B9B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790,4 </w:t>
            </w:r>
          </w:p>
        </w:tc>
      </w:tr>
      <w:tr w:rsidR="00B86FB3" w:rsidRPr="00FF756A" w14:paraId="3B744557"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43" w:type="dxa"/>
            <w:gridSpan w:val="9"/>
            <w:noWrap/>
            <w:hideMark/>
          </w:tcPr>
          <w:p w14:paraId="28896F01" w14:textId="77777777" w:rsidR="00B86FB3" w:rsidRPr="00FF756A" w:rsidRDefault="00B86FB3" w:rsidP="00B86FB3">
            <w:pPr>
              <w:rPr>
                <w:rFonts w:eastAsia="Times New Roman" w:cs="Times New Roman"/>
                <w:b w:val="0"/>
                <w:bCs w:val="0"/>
                <w:color w:val="FFFFFF"/>
                <w:sz w:val="18"/>
                <w:szCs w:val="18"/>
              </w:rPr>
            </w:pPr>
            <w:r w:rsidRPr="00FF756A">
              <w:rPr>
                <w:rFonts w:cs="Times New Roman"/>
                <w:color w:val="FFFFFF"/>
                <w:sz w:val="18"/>
                <w:szCs w:val="18"/>
              </w:rPr>
              <w:t>Transporti i mallrave</w:t>
            </w:r>
          </w:p>
        </w:tc>
      </w:tr>
      <w:tr w:rsidR="00B86FB3" w:rsidRPr="00FF756A" w14:paraId="5BFABB4F"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7694FB7C"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Hekurudhë</w:t>
            </w:r>
          </w:p>
        </w:tc>
        <w:tc>
          <w:tcPr>
            <w:tcW w:w="1004" w:type="dxa"/>
            <w:noWrap/>
            <w:vAlign w:val="bottom"/>
            <w:hideMark/>
          </w:tcPr>
          <w:p w14:paraId="4C80BEE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1,2 </w:t>
            </w:r>
          </w:p>
        </w:tc>
        <w:tc>
          <w:tcPr>
            <w:tcW w:w="1004" w:type="dxa"/>
            <w:noWrap/>
            <w:vAlign w:val="bottom"/>
            <w:hideMark/>
          </w:tcPr>
          <w:p w14:paraId="0229861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0,7 </w:t>
            </w:r>
          </w:p>
        </w:tc>
        <w:tc>
          <w:tcPr>
            <w:tcW w:w="1004" w:type="dxa"/>
            <w:noWrap/>
            <w:vAlign w:val="bottom"/>
            <w:hideMark/>
          </w:tcPr>
          <w:p w14:paraId="0E0A84E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0,7 </w:t>
            </w:r>
          </w:p>
        </w:tc>
        <w:tc>
          <w:tcPr>
            <w:tcW w:w="1004" w:type="dxa"/>
            <w:noWrap/>
            <w:vAlign w:val="bottom"/>
            <w:hideMark/>
          </w:tcPr>
          <w:p w14:paraId="4498D27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0,7 </w:t>
            </w:r>
          </w:p>
        </w:tc>
        <w:tc>
          <w:tcPr>
            <w:tcW w:w="1004" w:type="dxa"/>
            <w:noWrap/>
            <w:vAlign w:val="bottom"/>
            <w:hideMark/>
          </w:tcPr>
          <w:p w14:paraId="35CEA2C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0,8 </w:t>
            </w:r>
          </w:p>
        </w:tc>
        <w:tc>
          <w:tcPr>
            <w:tcW w:w="1004" w:type="dxa"/>
            <w:noWrap/>
            <w:vAlign w:val="bottom"/>
            <w:hideMark/>
          </w:tcPr>
          <w:p w14:paraId="53468E3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1,0 </w:t>
            </w:r>
          </w:p>
        </w:tc>
        <w:tc>
          <w:tcPr>
            <w:tcW w:w="1007" w:type="dxa"/>
            <w:noWrap/>
            <w:vAlign w:val="bottom"/>
            <w:hideMark/>
          </w:tcPr>
          <w:p w14:paraId="54C9E3F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1,6 </w:t>
            </w:r>
          </w:p>
        </w:tc>
        <w:tc>
          <w:tcPr>
            <w:tcW w:w="1007" w:type="dxa"/>
            <w:vAlign w:val="bottom"/>
          </w:tcPr>
          <w:p w14:paraId="603B3F5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2,6 </w:t>
            </w:r>
          </w:p>
        </w:tc>
      </w:tr>
      <w:tr w:rsidR="00B86FB3" w:rsidRPr="00FF756A" w14:paraId="6DEC6DDE"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3CF0AE73"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Me mjete lundruese</w:t>
            </w:r>
          </w:p>
        </w:tc>
        <w:tc>
          <w:tcPr>
            <w:tcW w:w="1004" w:type="dxa"/>
            <w:noWrap/>
            <w:vAlign w:val="bottom"/>
            <w:hideMark/>
          </w:tcPr>
          <w:p w14:paraId="7861491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16,7 </w:t>
            </w:r>
          </w:p>
        </w:tc>
        <w:tc>
          <w:tcPr>
            <w:tcW w:w="1004" w:type="dxa"/>
            <w:noWrap/>
            <w:vAlign w:val="bottom"/>
            <w:hideMark/>
          </w:tcPr>
          <w:p w14:paraId="473D027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16,7 </w:t>
            </w:r>
          </w:p>
        </w:tc>
        <w:tc>
          <w:tcPr>
            <w:tcW w:w="1004" w:type="dxa"/>
            <w:noWrap/>
            <w:vAlign w:val="bottom"/>
            <w:hideMark/>
          </w:tcPr>
          <w:p w14:paraId="0A9481A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16,7 </w:t>
            </w:r>
          </w:p>
        </w:tc>
        <w:tc>
          <w:tcPr>
            <w:tcW w:w="1004" w:type="dxa"/>
            <w:noWrap/>
            <w:vAlign w:val="bottom"/>
            <w:hideMark/>
          </w:tcPr>
          <w:p w14:paraId="7E3E7EC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17,5 </w:t>
            </w:r>
          </w:p>
        </w:tc>
        <w:tc>
          <w:tcPr>
            <w:tcW w:w="1004" w:type="dxa"/>
            <w:noWrap/>
            <w:vAlign w:val="bottom"/>
            <w:hideMark/>
          </w:tcPr>
          <w:p w14:paraId="3E93022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19,2 </w:t>
            </w:r>
          </w:p>
        </w:tc>
        <w:tc>
          <w:tcPr>
            <w:tcW w:w="1004" w:type="dxa"/>
            <w:noWrap/>
            <w:vAlign w:val="bottom"/>
            <w:hideMark/>
          </w:tcPr>
          <w:p w14:paraId="28C61B8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24,4 </w:t>
            </w:r>
          </w:p>
        </w:tc>
        <w:tc>
          <w:tcPr>
            <w:tcW w:w="1007" w:type="dxa"/>
            <w:noWrap/>
            <w:vAlign w:val="bottom"/>
            <w:hideMark/>
          </w:tcPr>
          <w:p w14:paraId="531B254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39,2 </w:t>
            </w:r>
          </w:p>
        </w:tc>
        <w:tc>
          <w:tcPr>
            <w:tcW w:w="1007" w:type="dxa"/>
            <w:vAlign w:val="bottom"/>
          </w:tcPr>
          <w:p w14:paraId="537295D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62,9 </w:t>
            </w:r>
          </w:p>
        </w:tc>
      </w:tr>
      <w:tr w:rsidR="00B86FB3" w:rsidRPr="00FF756A" w14:paraId="742C550E"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223FC008"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Me kamion</w:t>
            </w:r>
          </w:p>
        </w:tc>
        <w:tc>
          <w:tcPr>
            <w:tcW w:w="1004" w:type="dxa"/>
            <w:noWrap/>
            <w:vAlign w:val="bottom"/>
            <w:hideMark/>
          </w:tcPr>
          <w:p w14:paraId="02B6B96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149,6 </w:t>
            </w:r>
          </w:p>
        </w:tc>
        <w:tc>
          <w:tcPr>
            <w:tcW w:w="1004" w:type="dxa"/>
            <w:noWrap/>
            <w:vAlign w:val="bottom"/>
            <w:hideMark/>
          </w:tcPr>
          <w:p w14:paraId="36F3EE6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160,9 </w:t>
            </w:r>
          </w:p>
        </w:tc>
        <w:tc>
          <w:tcPr>
            <w:tcW w:w="1004" w:type="dxa"/>
            <w:noWrap/>
            <w:vAlign w:val="bottom"/>
            <w:hideMark/>
          </w:tcPr>
          <w:p w14:paraId="470E9A0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160,9 </w:t>
            </w:r>
          </w:p>
        </w:tc>
        <w:tc>
          <w:tcPr>
            <w:tcW w:w="1004" w:type="dxa"/>
            <w:noWrap/>
            <w:vAlign w:val="bottom"/>
            <w:hideMark/>
          </w:tcPr>
          <w:p w14:paraId="1638B60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168,3 </w:t>
            </w:r>
          </w:p>
        </w:tc>
        <w:tc>
          <w:tcPr>
            <w:tcW w:w="1004" w:type="dxa"/>
            <w:noWrap/>
            <w:vAlign w:val="bottom"/>
            <w:hideMark/>
          </w:tcPr>
          <w:p w14:paraId="18ABBAB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184,0 </w:t>
            </w:r>
          </w:p>
        </w:tc>
        <w:tc>
          <w:tcPr>
            <w:tcW w:w="1004" w:type="dxa"/>
            <w:noWrap/>
            <w:vAlign w:val="bottom"/>
            <w:hideMark/>
          </w:tcPr>
          <w:p w14:paraId="0F27546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230,1 </w:t>
            </w:r>
          </w:p>
        </w:tc>
        <w:tc>
          <w:tcPr>
            <w:tcW w:w="1007" w:type="dxa"/>
            <w:noWrap/>
            <w:vAlign w:val="bottom"/>
            <w:hideMark/>
          </w:tcPr>
          <w:p w14:paraId="72DDBD4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346,2 </w:t>
            </w:r>
          </w:p>
        </w:tc>
        <w:tc>
          <w:tcPr>
            <w:tcW w:w="1007" w:type="dxa"/>
            <w:vAlign w:val="bottom"/>
          </w:tcPr>
          <w:p w14:paraId="3FB3EA3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518,7 </w:t>
            </w:r>
          </w:p>
        </w:tc>
      </w:tr>
      <w:tr w:rsidR="00B86FB3" w:rsidRPr="00FF756A" w14:paraId="289E35D8"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63C7F292"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Totali</w:t>
            </w:r>
          </w:p>
        </w:tc>
        <w:tc>
          <w:tcPr>
            <w:tcW w:w="1004" w:type="dxa"/>
            <w:shd w:val="clear" w:color="auto" w:fill="4472C4" w:themeFill="accent1"/>
            <w:noWrap/>
            <w:vAlign w:val="bottom"/>
            <w:hideMark/>
          </w:tcPr>
          <w:p w14:paraId="08B1A7E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167,4 </w:t>
            </w:r>
          </w:p>
        </w:tc>
        <w:tc>
          <w:tcPr>
            <w:tcW w:w="1004" w:type="dxa"/>
            <w:shd w:val="clear" w:color="auto" w:fill="4472C4" w:themeFill="accent1"/>
            <w:noWrap/>
            <w:vAlign w:val="bottom"/>
            <w:hideMark/>
          </w:tcPr>
          <w:p w14:paraId="2282183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178,3 </w:t>
            </w:r>
          </w:p>
        </w:tc>
        <w:tc>
          <w:tcPr>
            <w:tcW w:w="1004" w:type="dxa"/>
            <w:shd w:val="clear" w:color="auto" w:fill="4472C4" w:themeFill="accent1"/>
            <w:noWrap/>
            <w:vAlign w:val="bottom"/>
            <w:hideMark/>
          </w:tcPr>
          <w:p w14:paraId="73E8AA2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178,3 </w:t>
            </w:r>
          </w:p>
        </w:tc>
        <w:tc>
          <w:tcPr>
            <w:tcW w:w="1004" w:type="dxa"/>
            <w:shd w:val="clear" w:color="auto" w:fill="4472C4" w:themeFill="accent1"/>
            <w:noWrap/>
            <w:vAlign w:val="bottom"/>
            <w:hideMark/>
          </w:tcPr>
          <w:p w14:paraId="3FD4C41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186,5 </w:t>
            </w:r>
          </w:p>
        </w:tc>
        <w:tc>
          <w:tcPr>
            <w:tcW w:w="1004" w:type="dxa"/>
            <w:shd w:val="clear" w:color="auto" w:fill="4472C4" w:themeFill="accent1"/>
            <w:noWrap/>
            <w:vAlign w:val="bottom"/>
            <w:hideMark/>
          </w:tcPr>
          <w:p w14:paraId="6074182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204,1 </w:t>
            </w:r>
          </w:p>
        </w:tc>
        <w:tc>
          <w:tcPr>
            <w:tcW w:w="1004" w:type="dxa"/>
            <w:shd w:val="clear" w:color="auto" w:fill="4472C4" w:themeFill="accent1"/>
            <w:noWrap/>
            <w:vAlign w:val="bottom"/>
            <w:hideMark/>
          </w:tcPr>
          <w:p w14:paraId="60CF499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255,5 </w:t>
            </w:r>
          </w:p>
        </w:tc>
        <w:tc>
          <w:tcPr>
            <w:tcW w:w="1007" w:type="dxa"/>
            <w:shd w:val="clear" w:color="auto" w:fill="4472C4" w:themeFill="accent1"/>
            <w:noWrap/>
            <w:vAlign w:val="bottom"/>
            <w:hideMark/>
          </w:tcPr>
          <w:p w14:paraId="0B45F86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387,1 </w:t>
            </w:r>
          </w:p>
        </w:tc>
        <w:tc>
          <w:tcPr>
            <w:tcW w:w="1007" w:type="dxa"/>
            <w:shd w:val="clear" w:color="auto" w:fill="4472C4" w:themeFill="accent1"/>
            <w:vAlign w:val="bottom"/>
          </w:tcPr>
          <w:p w14:paraId="165727C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584,2 </w:t>
            </w:r>
          </w:p>
        </w:tc>
      </w:tr>
      <w:tr w:rsidR="00B86FB3" w:rsidRPr="00FF756A" w14:paraId="699F665D"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9643" w:type="dxa"/>
            <w:gridSpan w:val="9"/>
            <w:noWrap/>
            <w:hideMark/>
          </w:tcPr>
          <w:p w14:paraId="5884618E" w14:textId="77777777" w:rsidR="00B86FB3" w:rsidRPr="00FF756A" w:rsidRDefault="00B86FB3" w:rsidP="00B86FB3">
            <w:pPr>
              <w:rPr>
                <w:rFonts w:eastAsia="Times New Roman" w:cs="Times New Roman"/>
                <w:b w:val="0"/>
                <w:bCs w:val="0"/>
                <w:color w:val="FFFFFF"/>
                <w:sz w:val="18"/>
                <w:szCs w:val="18"/>
              </w:rPr>
            </w:pPr>
            <w:r w:rsidRPr="00FF756A">
              <w:rPr>
                <w:rFonts w:cs="Times New Roman"/>
                <w:color w:val="FFFFFF"/>
                <w:sz w:val="18"/>
                <w:szCs w:val="18"/>
              </w:rPr>
              <w:t>Sektorët joenergjetikë</w:t>
            </w:r>
          </w:p>
        </w:tc>
      </w:tr>
      <w:tr w:rsidR="00B86FB3" w:rsidRPr="00FF756A" w14:paraId="2CA03724"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2326FF90"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Sektori kimik</w:t>
            </w:r>
          </w:p>
        </w:tc>
        <w:tc>
          <w:tcPr>
            <w:tcW w:w="1004" w:type="dxa"/>
            <w:noWrap/>
            <w:vAlign w:val="bottom"/>
            <w:hideMark/>
          </w:tcPr>
          <w:p w14:paraId="2A2701D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0,4 </w:t>
            </w:r>
          </w:p>
        </w:tc>
        <w:tc>
          <w:tcPr>
            <w:tcW w:w="1004" w:type="dxa"/>
            <w:noWrap/>
            <w:vAlign w:val="bottom"/>
            <w:hideMark/>
          </w:tcPr>
          <w:p w14:paraId="357F713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0,4 </w:t>
            </w:r>
          </w:p>
        </w:tc>
        <w:tc>
          <w:tcPr>
            <w:tcW w:w="1004" w:type="dxa"/>
            <w:noWrap/>
            <w:vAlign w:val="bottom"/>
            <w:hideMark/>
          </w:tcPr>
          <w:p w14:paraId="75276DC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0,4 </w:t>
            </w:r>
          </w:p>
        </w:tc>
        <w:tc>
          <w:tcPr>
            <w:tcW w:w="1004" w:type="dxa"/>
            <w:noWrap/>
            <w:vAlign w:val="bottom"/>
            <w:hideMark/>
          </w:tcPr>
          <w:p w14:paraId="04AC200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0,4 </w:t>
            </w:r>
          </w:p>
        </w:tc>
        <w:tc>
          <w:tcPr>
            <w:tcW w:w="1004" w:type="dxa"/>
            <w:noWrap/>
            <w:vAlign w:val="bottom"/>
            <w:hideMark/>
          </w:tcPr>
          <w:p w14:paraId="5A54614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0,4 </w:t>
            </w:r>
          </w:p>
        </w:tc>
        <w:tc>
          <w:tcPr>
            <w:tcW w:w="1004" w:type="dxa"/>
            <w:noWrap/>
            <w:vAlign w:val="bottom"/>
            <w:hideMark/>
          </w:tcPr>
          <w:p w14:paraId="7224293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0,6 </w:t>
            </w:r>
          </w:p>
        </w:tc>
        <w:tc>
          <w:tcPr>
            <w:tcW w:w="1007" w:type="dxa"/>
            <w:noWrap/>
            <w:vAlign w:val="bottom"/>
            <w:hideMark/>
          </w:tcPr>
          <w:p w14:paraId="704D458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0,9 </w:t>
            </w:r>
          </w:p>
        </w:tc>
        <w:tc>
          <w:tcPr>
            <w:tcW w:w="1007" w:type="dxa"/>
            <w:vAlign w:val="bottom"/>
          </w:tcPr>
          <w:p w14:paraId="5F71D25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1,4 </w:t>
            </w:r>
          </w:p>
        </w:tc>
      </w:tr>
      <w:tr w:rsidR="00B86FB3" w:rsidRPr="00FF756A" w14:paraId="5C9239A2" w14:textId="77777777" w:rsidTr="006A3266">
        <w:trPr>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19703580"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Tjetër</w:t>
            </w:r>
          </w:p>
        </w:tc>
        <w:tc>
          <w:tcPr>
            <w:tcW w:w="1004" w:type="dxa"/>
            <w:noWrap/>
            <w:vAlign w:val="bottom"/>
            <w:hideMark/>
          </w:tcPr>
          <w:p w14:paraId="00C125A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54,4 </w:t>
            </w:r>
          </w:p>
        </w:tc>
        <w:tc>
          <w:tcPr>
            <w:tcW w:w="1004" w:type="dxa"/>
            <w:noWrap/>
            <w:vAlign w:val="bottom"/>
            <w:hideMark/>
          </w:tcPr>
          <w:p w14:paraId="0CCF1DD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54,4 </w:t>
            </w:r>
          </w:p>
        </w:tc>
        <w:tc>
          <w:tcPr>
            <w:tcW w:w="1004" w:type="dxa"/>
            <w:noWrap/>
            <w:vAlign w:val="bottom"/>
            <w:hideMark/>
          </w:tcPr>
          <w:p w14:paraId="00B8793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54,4 </w:t>
            </w:r>
          </w:p>
        </w:tc>
        <w:tc>
          <w:tcPr>
            <w:tcW w:w="1004" w:type="dxa"/>
            <w:noWrap/>
            <w:vAlign w:val="bottom"/>
            <w:hideMark/>
          </w:tcPr>
          <w:p w14:paraId="400F8D4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53,7 </w:t>
            </w:r>
          </w:p>
        </w:tc>
        <w:tc>
          <w:tcPr>
            <w:tcW w:w="1004" w:type="dxa"/>
            <w:noWrap/>
            <w:vAlign w:val="bottom"/>
            <w:hideMark/>
          </w:tcPr>
          <w:p w14:paraId="2FABF83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56,1 </w:t>
            </w:r>
          </w:p>
        </w:tc>
        <w:tc>
          <w:tcPr>
            <w:tcW w:w="1004" w:type="dxa"/>
            <w:noWrap/>
            <w:vAlign w:val="bottom"/>
            <w:hideMark/>
          </w:tcPr>
          <w:p w14:paraId="735EE0C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61,8 </w:t>
            </w:r>
          </w:p>
        </w:tc>
        <w:tc>
          <w:tcPr>
            <w:tcW w:w="1007" w:type="dxa"/>
            <w:noWrap/>
            <w:vAlign w:val="bottom"/>
            <w:hideMark/>
          </w:tcPr>
          <w:p w14:paraId="19E2EB7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77,3 </w:t>
            </w:r>
          </w:p>
        </w:tc>
        <w:tc>
          <w:tcPr>
            <w:tcW w:w="1007" w:type="dxa"/>
            <w:vAlign w:val="bottom"/>
          </w:tcPr>
          <w:p w14:paraId="3171248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color w:val="000000"/>
                <w:sz w:val="18"/>
                <w:szCs w:val="18"/>
              </w:rPr>
              <w:t xml:space="preserve">       95,8 </w:t>
            </w:r>
          </w:p>
        </w:tc>
      </w:tr>
      <w:tr w:rsidR="00B86FB3" w:rsidRPr="00FF756A" w14:paraId="702D4870" w14:textId="77777777" w:rsidTr="006A32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05" w:type="dxa"/>
            <w:noWrap/>
            <w:hideMark/>
          </w:tcPr>
          <w:p w14:paraId="70B9F4B5" w14:textId="77777777" w:rsidR="00B86FB3" w:rsidRPr="00FF756A" w:rsidRDefault="00B86FB3" w:rsidP="00B86FB3">
            <w:pPr>
              <w:rPr>
                <w:rFonts w:eastAsia="Times New Roman" w:cs="Times New Roman"/>
                <w:color w:val="FFFFFF"/>
                <w:sz w:val="18"/>
                <w:szCs w:val="18"/>
              </w:rPr>
            </w:pPr>
            <w:r w:rsidRPr="00FF756A">
              <w:rPr>
                <w:rFonts w:cs="Times New Roman"/>
                <w:color w:val="FFFFFF"/>
                <w:sz w:val="18"/>
                <w:szCs w:val="18"/>
              </w:rPr>
              <w:t>Totali</w:t>
            </w:r>
          </w:p>
        </w:tc>
        <w:tc>
          <w:tcPr>
            <w:tcW w:w="1004" w:type="dxa"/>
            <w:shd w:val="clear" w:color="auto" w:fill="4472C4" w:themeFill="accent1"/>
            <w:noWrap/>
            <w:vAlign w:val="bottom"/>
            <w:hideMark/>
          </w:tcPr>
          <w:p w14:paraId="28EDC36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54,7 </w:t>
            </w:r>
          </w:p>
        </w:tc>
        <w:tc>
          <w:tcPr>
            <w:tcW w:w="1004" w:type="dxa"/>
            <w:shd w:val="clear" w:color="auto" w:fill="4472C4" w:themeFill="accent1"/>
            <w:noWrap/>
            <w:vAlign w:val="bottom"/>
            <w:hideMark/>
          </w:tcPr>
          <w:p w14:paraId="446F409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54,7 </w:t>
            </w:r>
          </w:p>
        </w:tc>
        <w:tc>
          <w:tcPr>
            <w:tcW w:w="1004" w:type="dxa"/>
            <w:shd w:val="clear" w:color="auto" w:fill="4472C4" w:themeFill="accent1"/>
            <w:noWrap/>
            <w:vAlign w:val="bottom"/>
            <w:hideMark/>
          </w:tcPr>
          <w:p w14:paraId="7B0D640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54,7 </w:t>
            </w:r>
          </w:p>
        </w:tc>
        <w:tc>
          <w:tcPr>
            <w:tcW w:w="1004" w:type="dxa"/>
            <w:shd w:val="clear" w:color="auto" w:fill="4472C4" w:themeFill="accent1"/>
            <w:noWrap/>
            <w:vAlign w:val="bottom"/>
            <w:hideMark/>
          </w:tcPr>
          <w:p w14:paraId="4BC245F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54,1 </w:t>
            </w:r>
          </w:p>
        </w:tc>
        <w:tc>
          <w:tcPr>
            <w:tcW w:w="1004" w:type="dxa"/>
            <w:shd w:val="clear" w:color="auto" w:fill="4472C4" w:themeFill="accent1"/>
            <w:noWrap/>
            <w:vAlign w:val="bottom"/>
            <w:hideMark/>
          </w:tcPr>
          <w:p w14:paraId="7702F93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56,5 </w:t>
            </w:r>
          </w:p>
        </w:tc>
        <w:tc>
          <w:tcPr>
            <w:tcW w:w="1004" w:type="dxa"/>
            <w:shd w:val="clear" w:color="auto" w:fill="4472C4" w:themeFill="accent1"/>
            <w:noWrap/>
            <w:vAlign w:val="bottom"/>
            <w:hideMark/>
          </w:tcPr>
          <w:p w14:paraId="481F565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62,4 </w:t>
            </w:r>
          </w:p>
        </w:tc>
        <w:tc>
          <w:tcPr>
            <w:tcW w:w="1007" w:type="dxa"/>
            <w:shd w:val="clear" w:color="auto" w:fill="4472C4" w:themeFill="accent1"/>
            <w:noWrap/>
            <w:vAlign w:val="bottom"/>
            <w:hideMark/>
          </w:tcPr>
          <w:p w14:paraId="754063F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78,2 </w:t>
            </w:r>
          </w:p>
        </w:tc>
        <w:tc>
          <w:tcPr>
            <w:tcW w:w="1007" w:type="dxa"/>
            <w:shd w:val="clear" w:color="auto" w:fill="4472C4" w:themeFill="accent1"/>
            <w:vAlign w:val="bottom"/>
          </w:tcPr>
          <w:p w14:paraId="4248713F" w14:textId="77777777" w:rsidR="00B86FB3" w:rsidRPr="00FF756A" w:rsidRDefault="00B86FB3" w:rsidP="003F200D">
            <w:pPr>
              <w:keepNext/>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97,2 </w:t>
            </w:r>
          </w:p>
        </w:tc>
      </w:tr>
    </w:tbl>
    <w:p w14:paraId="18DC5E5F" w14:textId="14268C87" w:rsidR="00B86FB3" w:rsidRPr="00FF756A" w:rsidRDefault="003F200D" w:rsidP="003F200D">
      <w:pPr>
        <w:pStyle w:val="Caption"/>
        <w:rPr>
          <w:rFonts w:ascii="Times New Roman" w:hAnsi="Times New Roman"/>
        </w:rPr>
      </w:pPr>
      <w:bookmarkStart w:id="590" w:name="_Toc183016506"/>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42</w:t>
      </w:r>
      <w:r w:rsidR="008E7DE9" w:rsidRPr="00FF756A">
        <w:rPr>
          <w:rFonts w:ascii="Times New Roman" w:hAnsi="Times New Roman"/>
          <w:noProof/>
        </w:rPr>
        <w:fldChar w:fldCharType="end"/>
      </w:r>
      <w:r w:rsidRPr="00FF756A">
        <w:rPr>
          <w:rFonts w:ascii="Times New Roman" w:hAnsi="Times New Roman"/>
        </w:rPr>
        <w:t>: Konsumi final i energjisë (ktoe) për sektorë dhe nënsektorë të ndryshëm, sipas vlerave historike të periudhës 2020-2023 dhe sipas parashikimit me masat ekzistuese deri në vitin 2050</w:t>
      </w:r>
      <w:bookmarkEnd w:id="590"/>
    </w:p>
    <w:p w14:paraId="4C45F80E" w14:textId="540C6833" w:rsidR="00B86FB3" w:rsidRPr="00FF756A" w:rsidRDefault="00B86FB3" w:rsidP="004A3257">
      <w:pPr>
        <w:keepNext/>
        <w:keepLines/>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color w:val="44546A" w:themeColor="text2"/>
        </w:rPr>
      </w:pPr>
      <w:bookmarkStart w:id="591" w:name="_Toc183639285"/>
      <w:bookmarkStart w:id="592" w:name="_Hlk75715322"/>
      <w:r w:rsidRPr="00FF756A">
        <w:rPr>
          <w:rFonts w:eastAsia="Calibri Light"/>
          <w:i/>
          <w:iCs/>
          <w:color w:val="2F5496" w:themeColor="accent1" w:themeShade="BF"/>
        </w:rPr>
        <w:t>Nivelet e kostos optimale për kërkesat minimale të performancës së energjisë që rezultojnë nga përllogaritjet në nivel kombëtar, në përputhje me nenin 5 të Direktivës 2010/31/BE</w:t>
      </w:r>
      <w:bookmarkEnd w:id="591"/>
      <w:bookmarkEnd w:id="592"/>
    </w:p>
    <w:p w14:paraId="73D936A2" w14:textId="77777777" w:rsidR="00D67CBE" w:rsidRPr="00FF756A" w:rsidRDefault="00D67CBE" w:rsidP="00D67CBE">
      <w:pPr>
        <w:spacing w:line="240" w:lineRule="auto"/>
        <w:rPr>
          <w:color w:val="44546A" w:themeColor="text2"/>
        </w:rPr>
      </w:pPr>
    </w:p>
    <w:p w14:paraId="334A13B1" w14:textId="233643F1" w:rsidR="00B86FB3" w:rsidRPr="00FF756A" w:rsidRDefault="00B86FB3" w:rsidP="004A3257">
      <w:pPr>
        <w:spacing w:line="240" w:lineRule="auto"/>
        <w:rPr>
          <w:color w:val="44546A" w:themeColor="text2"/>
        </w:rPr>
      </w:pPr>
      <w:r w:rsidRPr="00FF756A">
        <w:rPr>
          <w:color w:val="44546A" w:themeColor="text2"/>
        </w:rPr>
        <w:t>Në vitin 2020, u miratua Vendimi nr. 256, datë 27 mars 2020, “Për krijimin e metodologjisë për llogaritjen e niveleve të kostos optimale të lidhur me kërkesat minimale të performancës energjetike për ndërtesat, njësitë dhe elementet e ndërtesave”. Ky vendim lehtësoi zbatimin e një studimi mbi nivelin e kostos optimale për tipologji të ndryshme ndërtesash në Shqipëri. Studimi, i cili u realizua nga Universiteti Politeknik i Tiranës, përcaktoi kërkesat minimale të performancës energjetike për ndërtesat e reja dhe ato ekzistuese që do t’u nënshtroheshin rinovimeve të konsiderueshme.</w:t>
      </w:r>
    </w:p>
    <w:p w14:paraId="3BE248A4" w14:textId="77777777" w:rsidR="00B86FB3" w:rsidRPr="00FF756A" w:rsidRDefault="00B86FB3" w:rsidP="00D67CBE">
      <w:pPr>
        <w:spacing w:line="240" w:lineRule="auto"/>
        <w:rPr>
          <w:color w:val="44546A" w:themeColor="text2"/>
        </w:rPr>
      </w:pPr>
      <w:r w:rsidRPr="00FF756A">
        <w:rPr>
          <w:color w:val="44546A" w:themeColor="text2"/>
        </w:rPr>
        <w:t>Aktualisht, ministria përgjegjëse për energjinë është duke realizuar një studim tjetër për koston optimale me mbështetjen e KfW-së që ka kontraktuar Institutin Fraunhofer në Gjermani për të dhënë informacione të përditësuara. Ky studim i ri parashikohet të përfundojë brenda këtij viti.</w:t>
      </w:r>
    </w:p>
    <w:p w14:paraId="5D920370" w14:textId="77777777" w:rsidR="00D67CBE" w:rsidRPr="00FF756A" w:rsidRDefault="00D67CBE" w:rsidP="004A3257">
      <w:pPr>
        <w:spacing w:line="240" w:lineRule="auto"/>
        <w:rPr>
          <w:color w:val="44546A" w:themeColor="text2"/>
        </w:rPr>
      </w:pPr>
    </w:p>
    <w:p w14:paraId="73097F29" w14:textId="77777777" w:rsidR="00B86FB3" w:rsidRPr="00FF756A" w:rsidRDefault="00B86FB3" w:rsidP="004A3257">
      <w:pPr>
        <w:keepNext/>
        <w:keepLines/>
        <w:numPr>
          <w:ilvl w:val="1"/>
          <w:numId w:val="247"/>
        </w:numPr>
        <w:spacing w:before="40" w:after="0"/>
        <w:outlineLvl w:val="1"/>
        <w:rPr>
          <w:rFonts w:eastAsiaTheme="minorEastAsia"/>
          <w:color w:val="365F91"/>
          <w:sz w:val="26"/>
          <w:szCs w:val="26"/>
          <w:lang w:eastAsia="de-DE"/>
        </w:rPr>
      </w:pPr>
      <w:bookmarkStart w:id="593" w:name="_Toc71832851"/>
      <w:bookmarkStart w:id="594" w:name="_Toc72331018"/>
      <w:bookmarkStart w:id="595" w:name="_Toc75616150"/>
      <w:bookmarkStart w:id="596" w:name="_Toc100575611"/>
      <w:bookmarkStart w:id="597" w:name="_Toc182898974"/>
      <w:bookmarkStart w:id="598" w:name="_Toc183639286"/>
      <w:r w:rsidRPr="00FF756A">
        <w:rPr>
          <w:rFonts w:eastAsiaTheme="minorEastAsia"/>
          <w:color w:val="365F91"/>
          <w:sz w:val="26"/>
          <w:szCs w:val="26"/>
          <w:lang w:eastAsia="de-DE"/>
        </w:rPr>
        <w:t>Dimensioni i sigurisë së energjisë</w:t>
      </w:r>
      <w:bookmarkEnd w:id="593"/>
      <w:bookmarkEnd w:id="594"/>
      <w:bookmarkEnd w:id="595"/>
      <w:bookmarkEnd w:id="596"/>
      <w:bookmarkEnd w:id="597"/>
      <w:bookmarkEnd w:id="598"/>
    </w:p>
    <w:p w14:paraId="4E6041F4" w14:textId="77777777" w:rsidR="00B86FB3" w:rsidRPr="00FF756A" w:rsidRDefault="00B86FB3" w:rsidP="00B86FB3"/>
    <w:p w14:paraId="5DCF036F" w14:textId="56EEFDF2" w:rsidR="00B86FB3" w:rsidRPr="00FF756A" w:rsidRDefault="00B86FB3" w:rsidP="004A3257">
      <w:pPr>
        <w:pStyle w:val="ListParagraph"/>
        <w:keepNext/>
        <w:keepLines/>
        <w:numPr>
          <w:ilvl w:val="2"/>
          <w:numId w:val="252"/>
        </w:numPr>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rFonts w:eastAsia="Calibri Light"/>
          <w:i/>
          <w:iCs/>
          <w:color w:val="2F5496" w:themeColor="accent1" w:themeShade="BF"/>
        </w:rPr>
      </w:pPr>
      <w:bookmarkStart w:id="599" w:name="_Toc183639287"/>
      <w:r w:rsidRPr="00FF756A">
        <w:rPr>
          <w:rFonts w:eastAsia="Calibri Light"/>
          <w:i/>
          <w:iCs/>
          <w:color w:val="2F5496" w:themeColor="accent1" w:themeShade="BF"/>
        </w:rPr>
        <w:t>Balanca aktuale energjetike, burimet e brendshme të energjisë dhe varësia nga importet, duke përfshirë rreziqet përkatëse</w:t>
      </w:r>
      <w:bookmarkEnd w:id="599"/>
    </w:p>
    <w:p w14:paraId="7AF1DACB" w14:textId="77777777" w:rsidR="009346F9" w:rsidRPr="00FF756A" w:rsidRDefault="009346F9" w:rsidP="009346F9">
      <w:pPr>
        <w:spacing w:line="240" w:lineRule="auto"/>
      </w:pPr>
    </w:p>
    <w:p w14:paraId="69C39256" w14:textId="40307B78" w:rsidR="00B86FB3" w:rsidRPr="00FF756A" w:rsidRDefault="00B86FB3" w:rsidP="004A3257">
      <w:pPr>
        <w:spacing w:line="240" w:lineRule="auto"/>
      </w:pPr>
      <w:r w:rsidRPr="00FF756A">
        <w:t>Balanca aktuale energjetike në Shqipëri përbëhet thuajse ekskluzivisht nga energjia hidrike. Ndonëse në nivele ende shumë të ulëta, energjia diellore po integrohet gjithnjë e më shumë në këtë balancë. Sidoqoftë, ka një mungesë totale të burimeve</w:t>
      </w:r>
      <w:r w:rsidR="00D37642" w:rsidRPr="00FF756A">
        <w:t xml:space="preserve"> me bazë karboni</w:t>
      </w:r>
      <w:r w:rsidRPr="00FF756A">
        <w:t xml:space="preserve"> në sektorin e prodhimit të energjisë elektrike në Shqipëri. Edhe pse në vitin 2011 u përfundua projekti i një termocentrali me naftë në Vlore, me kapacitet 97 MW, ai nuk u vu kurrë në punë. Si pjesë e një politike të skenarit me masa ekzistuese, është planifikuar rijetësimi i këtij termocentrali pas rinovimit të tij për vënien në punë me gaz natyror.</w:t>
      </w:r>
    </w:p>
    <w:p w14:paraId="0ED1E55B" w14:textId="77777777" w:rsidR="00B86FB3" w:rsidRPr="00FF756A" w:rsidRDefault="00B86FB3" w:rsidP="004A3257">
      <w:pPr>
        <w:spacing w:line="240" w:lineRule="auto"/>
      </w:pPr>
      <w:r w:rsidRPr="00FF756A">
        <w:t>Siguria energjetike cenohet nga mungesa e një rezerve prodhimi të energjisë elektrike që përdor një teknologji tjetër, për të siguruar mbrojtje nga rreziku që paraqesin vitet e thata me prodhim të ulët hidroenergjetik. Në të kaluarën, kjo gjë ka çuar në kulminacione të shpeshta të importeve të energjisë elektrike, që janë vërejtur për herë të fundit në vitin 2017, kur përqindja neto e importeve në konsumin bruto të energjisë u rrit në 39%, në kushtet e një vlere të eksporteve neto prej 1% në vitin 2016 dhe 2018.</w:t>
      </w:r>
    </w:p>
    <w:p w14:paraId="25588E0E" w14:textId="1EFD9093" w:rsidR="00B86FB3" w:rsidRPr="00FF756A" w:rsidRDefault="009346F9" w:rsidP="004A3257">
      <w:pPr>
        <w:spacing w:line="240" w:lineRule="auto"/>
      </w:pPr>
      <w:r w:rsidRPr="00FF756A">
        <w:t>Figura 64</w:t>
      </w:r>
      <w:r w:rsidR="00B86FB3" w:rsidRPr="00FF756A">
        <w:t xml:space="preserve"> tregon totalin e konsumit të brendshëm bruto, që mbetet pothuajse konstant me një rritje të lehtë. Paraqitet edhe prodhimi, importet neto dhe përqindja e importeve (boshti y majtas). </w:t>
      </w:r>
    </w:p>
    <w:p w14:paraId="514E7930" w14:textId="77777777" w:rsidR="00B86FB3" w:rsidRPr="00FF756A" w:rsidRDefault="00B86FB3" w:rsidP="00B86FB3"/>
    <w:p w14:paraId="29CC9578" w14:textId="77777777" w:rsidR="003F200D" w:rsidRPr="00FF756A" w:rsidRDefault="00B86FB3" w:rsidP="003F200D">
      <w:pPr>
        <w:keepNext/>
      </w:pPr>
      <w:r w:rsidRPr="00FF756A">
        <w:t xml:space="preserve"> </w:t>
      </w:r>
      <w:r w:rsidRPr="00FF756A">
        <w:rPr>
          <w:noProof/>
          <w:lang w:val="en-US"/>
        </w:rPr>
        <w:drawing>
          <wp:inline distT="0" distB="0" distL="0" distR="0" wp14:anchorId="50D3D2FA" wp14:editId="69518F32">
            <wp:extent cx="6029325" cy="2755900"/>
            <wp:effectExtent l="0" t="0" r="9525" b="635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29325" cy="2755900"/>
                    </a:xfrm>
                    <a:prstGeom prst="rect">
                      <a:avLst/>
                    </a:prstGeom>
                    <a:noFill/>
                  </pic:spPr>
                </pic:pic>
              </a:graphicData>
            </a:graphic>
          </wp:inline>
        </w:drawing>
      </w:r>
    </w:p>
    <w:p w14:paraId="4A8C18ED" w14:textId="4CCDFE47" w:rsidR="00B86FB3" w:rsidRPr="00FF756A" w:rsidRDefault="003F200D" w:rsidP="003F200D">
      <w:pPr>
        <w:pStyle w:val="Caption"/>
        <w:rPr>
          <w:rFonts w:ascii="Times New Roman" w:hAnsi="Times New Roman"/>
        </w:rPr>
      </w:pPr>
      <w:bookmarkStart w:id="600" w:name="_Toc183016594"/>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64</w:t>
      </w:r>
      <w:r w:rsidR="008E7DE9" w:rsidRPr="00FF756A">
        <w:rPr>
          <w:rFonts w:ascii="Times New Roman" w:hAnsi="Times New Roman"/>
          <w:noProof/>
        </w:rPr>
        <w:fldChar w:fldCharType="end"/>
      </w:r>
      <w:r w:rsidRPr="00FF756A">
        <w:rPr>
          <w:rFonts w:ascii="Times New Roman" w:hAnsi="Times New Roman"/>
        </w:rPr>
        <w:t>: Përqindja e importeve të energjisë elektrike (të dhënat historike të periudhës 2004 - 2018)</w:t>
      </w:r>
      <w:bookmarkEnd w:id="600"/>
    </w:p>
    <w:p w14:paraId="0A6C45A7" w14:textId="77777777" w:rsidR="00B86FB3" w:rsidRPr="00FF756A" w:rsidRDefault="00B86FB3" w:rsidP="00B86FB3"/>
    <w:p w14:paraId="76B8C7D8" w14:textId="5A578A3E" w:rsidR="00B86FB3" w:rsidRPr="00FF756A" w:rsidRDefault="00B86FB3" w:rsidP="00B86FB3">
      <w:r w:rsidRPr="00FF756A">
        <w:t xml:space="preserve">Krahas sektorit të energjisë elektrike, furnizimi me lëndë djegëse fosile dhe produkte të lëndëve djegëse fosile luan një rol thelbësor në sigurinë energjetike në Shqipëri. Edhe pse është prodhues i naftës bruto, vendi është mjaft i varur nga importet e produkteve të naftës së rafinuar për shkak të kapaciteteve të ulëta dhe të vjetruara të rafinimit. </w:t>
      </w:r>
      <w:r w:rsidRPr="00FF756A">
        <w:fldChar w:fldCharType="begin"/>
      </w:r>
      <w:r w:rsidRPr="00FF756A">
        <w:instrText xml:space="preserve"> REF _Ref71734971 \h  \* MERGEFORMAT </w:instrText>
      </w:r>
      <w:r w:rsidRPr="00FF756A">
        <w:fldChar w:fldCharType="separate"/>
      </w:r>
      <w:r w:rsidRPr="00FF756A">
        <w:t xml:space="preserve">Figura </w:t>
      </w:r>
      <w:r w:rsidRPr="00FF756A">
        <w:fldChar w:fldCharType="end"/>
      </w:r>
      <w:r w:rsidR="00386120" w:rsidRPr="00FF756A">
        <w:t>65</w:t>
      </w:r>
      <w:r w:rsidRPr="00FF756A">
        <w:t xml:space="preserve"> tregon qartë se si prodhimi i naftës bruto është shumë më i lartë se prodhimi i produkteve të naftës së rafinuar. </w:t>
      </w:r>
    </w:p>
    <w:p w14:paraId="29D7A1CE" w14:textId="43C487CF" w:rsidR="00B86FB3" w:rsidRPr="00FF756A" w:rsidRDefault="009346F9" w:rsidP="00B86FB3">
      <w:r w:rsidRPr="00FF756A">
        <w:t xml:space="preserve">Figura 65 </w:t>
      </w:r>
      <w:r w:rsidR="00B86FB3" w:rsidRPr="00FF756A">
        <w:t>tregon importet neto të produkteve të lëndëve djegëse. Vlerat negative nënkuptojnë se vlera e eksporteve e tejkalon atë të importeve, ndërsa vlerat pozitive nënkuptojnë të kundërtën. Siç mund të shihet, nafta bruto eksportohet gjerësisht, ndërsa produktet e naftës së rafinuar kryesisht importohen. Kjo rezulton në një varësi të ndjeshme ndaj importeve.</w:t>
      </w:r>
    </w:p>
    <w:p w14:paraId="2361C07E" w14:textId="77777777" w:rsidR="003F200D" w:rsidRPr="00FF756A" w:rsidRDefault="00B86FB3" w:rsidP="003F200D">
      <w:pPr>
        <w:keepNext/>
      </w:pPr>
      <w:r w:rsidRPr="00FF756A">
        <w:rPr>
          <w:noProof/>
          <w:lang w:val="en-US"/>
        </w:rPr>
        <w:drawing>
          <wp:inline distT="0" distB="0" distL="0" distR="0" wp14:anchorId="78EF61DA" wp14:editId="1289EF98">
            <wp:extent cx="6116320" cy="3381316"/>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116320" cy="3381316"/>
                    </a:xfrm>
                    <a:prstGeom prst="rect">
                      <a:avLst/>
                    </a:prstGeom>
                    <a:noFill/>
                    <a:ln>
                      <a:noFill/>
                    </a:ln>
                  </pic:spPr>
                </pic:pic>
              </a:graphicData>
            </a:graphic>
          </wp:inline>
        </w:drawing>
      </w:r>
    </w:p>
    <w:p w14:paraId="50672AE2" w14:textId="27287540" w:rsidR="00B86FB3" w:rsidRPr="00FF756A" w:rsidRDefault="003F200D" w:rsidP="003F200D">
      <w:pPr>
        <w:pStyle w:val="Caption"/>
        <w:rPr>
          <w:rFonts w:ascii="Times New Roman" w:hAnsi="Times New Roman"/>
        </w:rPr>
      </w:pPr>
      <w:bookmarkStart w:id="601" w:name="_Toc183016595"/>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65</w:t>
      </w:r>
      <w:r w:rsidR="008E7DE9" w:rsidRPr="00FF756A">
        <w:rPr>
          <w:rFonts w:ascii="Times New Roman" w:hAnsi="Times New Roman"/>
          <w:noProof/>
        </w:rPr>
        <w:fldChar w:fldCharType="end"/>
      </w:r>
      <w:r w:rsidRPr="00FF756A">
        <w:rPr>
          <w:rFonts w:ascii="Times New Roman" w:hAnsi="Times New Roman"/>
        </w:rPr>
        <w:t>: Prodhimi i lëndëve djegëse (të dhënat historike të periudhës 2011 - 2018)</w:t>
      </w:r>
      <w:bookmarkEnd w:id="601"/>
    </w:p>
    <w:p w14:paraId="0EF5DA74" w14:textId="77777777" w:rsidR="00B86FB3" w:rsidRPr="00FF756A" w:rsidRDefault="00B86FB3" w:rsidP="00B86FB3"/>
    <w:p w14:paraId="2AEC9FC6" w14:textId="77777777" w:rsidR="003F200D" w:rsidRPr="00FF756A" w:rsidRDefault="00B86FB3" w:rsidP="003F200D">
      <w:pPr>
        <w:keepNext/>
      </w:pPr>
      <w:r w:rsidRPr="00FF756A">
        <w:rPr>
          <w:noProof/>
          <w:lang w:val="en-US"/>
        </w:rPr>
        <w:drawing>
          <wp:inline distT="0" distB="0" distL="0" distR="0" wp14:anchorId="50B95663" wp14:editId="7133E855">
            <wp:extent cx="6116320" cy="3381316"/>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116320" cy="3381316"/>
                    </a:xfrm>
                    <a:prstGeom prst="rect">
                      <a:avLst/>
                    </a:prstGeom>
                    <a:noFill/>
                    <a:ln>
                      <a:noFill/>
                    </a:ln>
                  </pic:spPr>
                </pic:pic>
              </a:graphicData>
            </a:graphic>
          </wp:inline>
        </w:drawing>
      </w:r>
    </w:p>
    <w:p w14:paraId="08CA52C9" w14:textId="2EECD8ED" w:rsidR="00B86FB3" w:rsidRPr="00FF756A" w:rsidRDefault="003F200D" w:rsidP="003F200D">
      <w:pPr>
        <w:pStyle w:val="Caption"/>
        <w:rPr>
          <w:rFonts w:ascii="Times New Roman" w:hAnsi="Times New Roman"/>
        </w:rPr>
      </w:pPr>
      <w:bookmarkStart w:id="602" w:name="_Toc183016596"/>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66</w:t>
      </w:r>
      <w:r w:rsidR="008E7DE9" w:rsidRPr="00FF756A">
        <w:rPr>
          <w:rFonts w:ascii="Times New Roman" w:hAnsi="Times New Roman"/>
          <w:noProof/>
        </w:rPr>
        <w:fldChar w:fldCharType="end"/>
      </w:r>
      <w:r w:rsidRPr="00FF756A">
        <w:rPr>
          <w:rFonts w:ascii="Times New Roman" w:hAnsi="Times New Roman"/>
        </w:rPr>
        <w:t>: Importet neto të lëndëve djegëse (të dhënat historike të periudhës 2011 - 2018)</w:t>
      </w:r>
      <w:bookmarkEnd w:id="602"/>
    </w:p>
    <w:p w14:paraId="47640FA3" w14:textId="77777777" w:rsidR="00B86FB3" w:rsidRPr="00FF756A" w:rsidRDefault="00B86FB3" w:rsidP="00B86FB3"/>
    <w:p w14:paraId="64B8BFE5" w14:textId="79B85C03" w:rsidR="00B86FB3" w:rsidRPr="00FF756A" w:rsidRDefault="00B86FB3" w:rsidP="004A3257">
      <w:pPr>
        <w:pStyle w:val="ListParagraph"/>
        <w:keepNext/>
        <w:keepLines/>
        <w:numPr>
          <w:ilvl w:val="2"/>
          <w:numId w:val="252"/>
        </w:numPr>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rFonts w:eastAsia="Calibri Light"/>
          <w:i/>
          <w:iCs/>
          <w:color w:val="2F5496" w:themeColor="accent1" w:themeShade="BF"/>
        </w:rPr>
      </w:pPr>
      <w:bookmarkStart w:id="603" w:name="_Toc183639288"/>
      <w:r w:rsidRPr="00FF756A">
        <w:rPr>
          <w:rFonts w:eastAsia="Calibri Light"/>
          <w:i/>
          <w:iCs/>
          <w:color w:val="2F5496" w:themeColor="accent1" w:themeShade="BF"/>
        </w:rPr>
        <w:t xml:space="preserve">Projeksionet </w:t>
      </w:r>
      <w:r w:rsidR="005F13B2" w:rsidRPr="00FF756A">
        <w:rPr>
          <w:rFonts w:eastAsia="Calibri Light"/>
          <w:i/>
          <w:iCs/>
          <w:color w:val="2F5496" w:themeColor="accent1" w:themeShade="BF"/>
        </w:rPr>
        <w:t>e</w:t>
      </w:r>
      <w:r w:rsidRPr="00FF756A">
        <w:rPr>
          <w:rFonts w:eastAsia="Calibri Light"/>
          <w:i/>
          <w:iCs/>
          <w:color w:val="2F5496" w:themeColor="accent1" w:themeShade="BF"/>
        </w:rPr>
        <w:t xml:space="preserve"> zhvillim</w:t>
      </w:r>
      <w:r w:rsidR="005F13B2" w:rsidRPr="00FF756A">
        <w:rPr>
          <w:rFonts w:eastAsia="Calibri Light"/>
          <w:i/>
          <w:iCs/>
          <w:color w:val="2F5496" w:themeColor="accent1" w:themeShade="BF"/>
        </w:rPr>
        <w:t>it</w:t>
      </w:r>
      <w:r w:rsidRPr="00FF756A">
        <w:rPr>
          <w:rFonts w:eastAsia="Calibri Light"/>
          <w:i/>
          <w:iCs/>
          <w:color w:val="2F5496" w:themeColor="accent1" w:themeShade="BF"/>
        </w:rPr>
        <w:t xml:space="preserve"> bazuar në politikat dhe masat ekzistuese, të paktën deri në vitin 2040 (duke përfshirë për vitin 2030)</w:t>
      </w:r>
      <w:bookmarkEnd w:id="603"/>
    </w:p>
    <w:p w14:paraId="1EA6B2AC" w14:textId="43A34032" w:rsidR="00B86FB3" w:rsidRPr="00FF756A" w:rsidRDefault="00B86FB3" w:rsidP="00B86FB3">
      <w:r w:rsidRPr="00FF756A">
        <w:t xml:space="preserve">Për sa u përket parashikimeve të periudhës 2019-2040, konsumi i brendshëm bruto i energjisë elektrike pritet të rritet vazhdimisht deri në vitin 2050. Varësia nga importet në vitet me prodhim të ulët hidroenergjetik shfaqet si një problem i përsëritur në skenarin e bazuar në masat ekzistuese. Nga të dhënat historike, rezulton se </w:t>
      </w:r>
      <w:r w:rsidR="005F13B2" w:rsidRPr="00FF756A">
        <w:t xml:space="preserve">çdo </w:t>
      </w:r>
      <w:r w:rsidRPr="00FF756A">
        <w:t xml:space="preserve">pesë vite janë karakterizuar nga një prodhim i ulët hidroenergjetik, gjë që është vërejtur së fundmi në vitin 2017. Prandaj, modeli merr parasysh këtë tendencë duke llogaritur prodhim të ulët çdo një në pesë vite, duke filluar nga viti 2022, siç mund të shihet në </w:t>
      </w:r>
      <w:r w:rsidRPr="00FF756A">
        <w:fldChar w:fldCharType="begin"/>
      </w:r>
      <w:r w:rsidRPr="00FF756A">
        <w:instrText xml:space="preserve"> REF _Ref71801663 \h  \* MERGEFORMAT </w:instrText>
      </w:r>
      <w:r w:rsidRPr="00FF756A">
        <w:fldChar w:fldCharType="separate"/>
      </w:r>
      <w:r w:rsidRPr="00FF756A">
        <w:t xml:space="preserve">Figura </w:t>
      </w:r>
      <w:r w:rsidRPr="00FF756A">
        <w:fldChar w:fldCharType="end"/>
      </w:r>
      <w:r w:rsidR="005F13B2" w:rsidRPr="00FF756A">
        <w:t>67</w:t>
      </w:r>
      <w:r w:rsidRPr="00FF756A">
        <w:t xml:space="preserve"> nga rritjet në përqindjet e importeve (përllogaritur në raport me kërkesën për energji elektrike). Me përjashtim të këtyre viteve, përqindja e importeve neto është zero, me përjashtim të periudhës pranë fundit të viteve 2030, kur përqindja e importeve është në rritje të vazhdueshme, çka nënkupton një mungesë kapaciteti në prodhim për të përmbushur kërkesën për energji. Kjo ndikohet, ndër të tjera, edhe nga ndryshimet e kushteve klimatike, pasi nivelet e reshjeve pritet të ulen duke rezultuar në një prodhim prej 20% për hidrocentralet në lumenj të rrjedhshëm dhe 15% në hidrocentralet me rezervuar, pra nën nivelet e vitit 2010, deri në vitin 2050 </w:t>
      </w:r>
      <w:sdt>
        <w:sdtPr>
          <w:alias w:val="Për të modifikuar, shihni citavi.com/edit"/>
          <w:tag w:val="CitaviPlaceholder#8a00d6c0-ea88-4da7-bc51-f27d5efaae9f"/>
          <w:id w:val="-1199395712"/>
          <w:placeholder>
            <w:docPart w:val="6CA336F323204345980CD3CD898B6322"/>
          </w:placeholder>
        </w:sdtPr>
        <w:sdtEndPr/>
        <w:sdtContent>
          <w:r w:rsidRPr="00FF756A">
            <w:fldChar w:fldCharType="begin"/>
          </w:r>
          <w:r w:rsidRPr="00FF756A">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}</w:instrText>
          </w:r>
          <w:r w:rsidRPr="00FF756A">
            <w:fldChar w:fldCharType="separate"/>
          </w:r>
          <w:r w:rsidRPr="00FF756A">
            <w:t>(World Bank ESMAP 2009)</w:t>
          </w:r>
          <w:r w:rsidRPr="00FF756A">
            <w:fldChar w:fldCharType="end"/>
          </w:r>
        </w:sdtContent>
      </w:sdt>
      <w:r w:rsidRPr="00FF756A">
        <w:t xml:space="preserve">. </w:t>
      </w:r>
    </w:p>
    <w:p w14:paraId="4F644EE1" w14:textId="77777777" w:rsidR="003F200D" w:rsidRPr="00FF756A" w:rsidRDefault="00B86FB3" w:rsidP="003F200D">
      <w:pPr>
        <w:keepNext/>
      </w:pPr>
      <w:r w:rsidRPr="00FF756A">
        <w:t xml:space="preserve"> </w:t>
      </w:r>
      <w:r w:rsidRPr="00FF756A">
        <w:rPr>
          <w:noProof/>
          <w:lang w:val="en-US"/>
        </w:rPr>
        <w:drawing>
          <wp:inline distT="0" distB="0" distL="0" distR="0" wp14:anchorId="6F64F2F2" wp14:editId="4CD64CD4">
            <wp:extent cx="5508621" cy="3411022"/>
            <wp:effectExtent l="0" t="0" r="0" b="0"/>
            <wp:docPr id="1856817940" name="Picture 2" descr="A graph of a graph showing the power gener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817940" name="Picture 2" descr="A graph of a graph showing the power generation&#10;&#10;Description automatically generated with medium confidenc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508621" cy="3411022"/>
                    </a:xfrm>
                    <a:prstGeom prst="rect">
                      <a:avLst/>
                    </a:prstGeom>
                  </pic:spPr>
                </pic:pic>
              </a:graphicData>
            </a:graphic>
          </wp:inline>
        </w:drawing>
      </w:r>
    </w:p>
    <w:p w14:paraId="7C213B56" w14:textId="5EE4C8D9" w:rsidR="00B86FB3" w:rsidRPr="00FF756A" w:rsidRDefault="003F200D" w:rsidP="003F200D">
      <w:pPr>
        <w:pStyle w:val="Caption"/>
        <w:rPr>
          <w:rFonts w:ascii="Times New Roman" w:hAnsi="Times New Roman"/>
        </w:rPr>
      </w:pPr>
      <w:bookmarkStart w:id="604" w:name="_Toc183016597"/>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67</w:t>
      </w:r>
      <w:r w:rsidR="008E7DE9" w:rsidRPr="00FF756A">
        <w:rPr>
          <w:rFonts w:ascii="Times New Roman" w:hAnsi="Times New Roman"/>
          <w:noProof/>
        </w:rPr>
        <w:fldChar w:fldCharType="end"/>
      </w:r>
      <w:r w:rsidRPr="00FF756A">
        <w:rPr>
          <w:rFonts w:ascii="Times New Roman" w:hAnsi="Times New Roman"/>
        </w:rPr>
        <w:t>: Prodhimi, kërkesa dhe importet e energjisë elektrike për skenarin me masa ekzistuese. (projeksioni për periudhën 2023-2050)</w:t>
      </w:r>
      <w:bookmarkEnd w:id="604"/>
    </w:p>
    <w:p w14:paraId="4BC1750F" w14:textId="77777777" w:rsidR="00B86FB3" w:rsidRPr="00FF756A" w:rsidRDefault="00B86FB3" w:rsidP="00B86FB3"/>
    <w:tbl>
      <w:tblPr>
        <w:tblStyle w:val="GridTable5DarkAccent10"/>
        <w:tblW w:w="5219" w:type="pct"/>
        <w:tblLayout w:type="fixed"/>
        <w:tblLook w:val="04A0" w:firstRow="1" w:lastRow="0" w:firstColumn="1" w:lastColumn="0" w:noHBand="0" w:noVBand="1"/>
      </w:tblPr>
      <w:tblGrid>
        <w:gridCol w:w="1694"/>
        <w:gridCol w:w="1022"/>
        <w:gridCol w:w="829"/>
        <w:gridCol w:w="991"/>
        <w:gridCol w:w="993"/>
        <w:gridCol w:w="991"/>
        <w:gridCol w:w="993"/>
        <w:gridCol w:w="849"/>
        <w:gridCol w:w="1097"/>
      </w:tblGrid>
      <w:tr w:rsidR="00B86FB3" w:rsidRPr="00FF756A" w14:paraId="511237B2" w14:textId="77777777" w:rsidTr="006A3266">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95" w:type="pct"/>
            <w:noWrap/>
            <w:hideMark/>
          </w:tcPr>
          <w:p w14:paraId="57B49E68" w14:textId="77777777" w:rsidR="00B86FB3" w:rsidRPr="00FF756A" w:rsidRDefault="00B86FB3" w:rsidP="00B86FB3">
            <w:pPr>
              <w:rPr>
                <w:rFonts w:eastAsia="Times New Roman" w:cs="Times New Roman"/>
                <w:sz w:val="20"/>
              </w:rPr>
            </w:pPr>
            <w:r w:rsidRPr="00FF756A">
              <w:rPr>
                <w:rFonts w:cs="Times New Roman"/>
                <w:sz w:val="20"/>
              </w:rPr>
              <w:t> [GWh]</w:t>
            </w:r>
          </w:p>
        </w:tc>
        <w:tc>
          <w:tcPr>
            <w:tcW w:w="540" w:type="pct"/>
            <w:noWrap/>
            <w:hideMark/>
          </w:tcPr>
          <w:p w14:paraId="472DF371"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rPr>
            </w:pPr>
            <w:r w:rsidRPr="00FF756A">
              <w:rPr>
                <w:rFonts w:cs="Times New Roman"/>
                <w:sz w:val="20"/>
              </w:rPr>
              <w:t>2020</w:t>
            </w:r>
          </w:p>
        </w:tc>
        <w:tc>
          <w:tcPr>
            <w:tcW w:w="438" w:type="pct"/>
            <w:noWrap/>
            <w:hideMark/>
          </w:tcPr>
          <w:p w14:paraId="48E112F6"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rPr>
            </w:pPr>
            <w:r w:rsidRPr="00FF756A">
              <w:rPr>
                <w:rFonts w:cs="Times New Roman"/>
                <w:sz w:val="20"/>
              </w:rPr>
              <w:t>2021</w:t>
            </w:r>
          </w:p>
        </w:tc>
        <w:tc>
          <w:tcPr>
            <w:tcW w:w="524" w:type="pct"/>
            <w:noWrap/>
            <w:hideMark/>
          </w:tcPr>
          <w:p w14:paraId="7DA14A32"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rPr>
            </w:pPr>
            <w:r w:rsidRPr="00FF756A">
              <w:rPr>
                <w:rFonts w:cs="Times New Roman"/>
                <w:sz w:val="20"/>
              </w:rPr>
              <w:t>2022</w:t>
            </w:r>
          </w:p>
        </w:tc>
        <w:tc>
          <w:tcPr>
            <w:tcW w:w="525" w:type="pct"/>
            <w:noWrap/>
            <w:hideMark/>
          </w:tcPr>
          <w:p w14:paraId="2FA85068"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rPr>
            </w:pPr>
            <w:r w:rsidRPr="00FF756A">
              <w:rPr>
                <w:rFonts w:cs="Times New Roman"/>
                <w:sz w:val="20"/>
              </w:rPr>
              <w:t>2023</w:t>
            </w:r>
          </w:p>
        </w:tc>
        <w:tc>
          <w:tcPr>
            <w:tcW w:w="524" w:type="pct"/>
            <w:noWrap/>
            <w:hideMark/>
          </w:tcPr>
          <w:p w14:paraId="67218384"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rPr>
            </w:pPr>
            <w:r w:rsidRPr="00FF756A">
              <w:rPr>
                <w:rFonts w:cs="Times New Roman"/>
                <w:sz w:val="20"/>
              </w:rPr>
              <w:t>2025</w:t>
            </w:r>
          </w:p>
        </w:tc>
        <w:tc>
          <w:tcPr>
            <w:tcW w:w="525" w:type="pct"/>
            <w:noWrap/>
            <w:hideMark/>
          </w:tcPr>
          <w:p w14:paraId="0BBF41B6"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rPr>
            </w:pPr>
            <w:r w:rsidRPr="00FF756A">
              <w:rPr>
                <w:rFonts w:cs="Times New Roman"/>
                <w:sz w:val="20"/>
              </w:rPr>
              <w:t>2030</w:t>
            </w:r>
          </w:p>
        </w:tc>
        <w:tc>
          <w:tcPr>
            <w:tcW w:w="449" w:type="pct"/>
            <w:noWrap/>
            <w:hideMark/>
          </w:tcPr>
          <w:p w14:paraId="4348A607"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rPr>
            </w:pPr>
            <w:r w:rsidRPr="00FF756A">
              <w:rPr>
                <w:rFonts w:cs="Times New Roman"/>
                <w:sz w:val="20"/>
              </w:rPr>
              <w:t>2040</w:t>
            </w:r>
          </w:p>
        </w:tc>
        <w:tc>
          <w:tcPr>
            <w:tcW w:w="580" w:type="pct"/>
          </w:tcPr>
          <w:p w14:paraId="55163C40"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rPr>
            </w:pPr>
            <w:r w:rsidRPr="00FF756A">
              <w:rPr>
                <w:rFonts w:cs="Times New Roman"/>
                <w:sz w:val="20"/>
              </w:rPr>
              <w:t>2050</w:t>
            </w:r>
          </w:p>
        </w:tc>
      </w:tr>
      <w:tr w:rsidR="00B86FB3" w:rsidRPr="00FF756A" w14:paraId="1D5225FB"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95" w:type="pct"/>
            <w:noWrap/>
            <w:hideMark/>
          </w:tcPr>
          <w:p w14:paraId="42EF7657" w14:textId="77777777" w:rsidR="00B86FB3" w:rsidRPr="00FF756A" w:rsidRDefault="00B86FB3" w:rsidP="00B86FB3">
            <w:pPr>
              <w:rPr>
                <w:rFonts w:eastAsia="Times New Roman" w:cs="Times New Roman"/>
                <w:sz w:val="20"/>
              </w:rPr>
            </w:pPr>
            <w:r w:rsidRPr="00FF756A">
              <w:rPr>
                <w:rFonts w:cs="Times New Roman"/>
                <w:sz w:val="20"/>
              </w:rPr>
              <w:t>Kërkesa për energji elektrike</w:t>
            </w:r>
          </w:p>
        </w:tc>
        <w:tc>
          <w:tcPr>
            <w:tcW w:w="540" w:type="pct"/>
            <w:noWrap/>
            <w:vAlign w:val="center"/>
            <w:hideMark/>
          </w:tcPr>
          <w:p w14:paraId="779BB6C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6 083,0</w:t>
            </w:r>
          </w:p>
        </w:tc>
        <w:tc>
          <w:tcPr>
            <w:tcW w:w="438" w:type="pct"/>
            <w:noWrap/>
            <w:vAlign w:val="center"/>
            <w:hideMark/>
          </w:tcPr>
          <w:p w14:paraId="2BC0D67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6 347,0</w:t>
            </w:r>
          </w:p>
        </w:tc>
        <w:tc>
          <w:tcPr>
            <w:tcW w:w="524" w:type="pct"/>
            <w:noWrap/>
            <w:vAlign w:val="center"/>
            <w:hideMark/>
          </w:tcPr>
          <w:p w14:paraId="1FEFDCE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6 281,3</w:t>
            </w:r>
          </w:p>
        </w:tc>
        <w:tc>
          <w:tcPr>
            <w:tcW w:w="525" w:type="pct"/>
            <w:noWrap/>
            <w:vAlign w:val="center"/>
            <w:hideMark/>
          </w:tcPr>
          <w:p w14:paraId="4FFA960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6 388,8</w:t>
            </w:r>
          </w:p>
        </w:tc>
        <w:tc>
          <w:tcPr>
            <w:tcW w:w="524" w:type="pct"/>
            <w:noWrap/>
            <w:vAlign w:val="center"/>
            <w:hideMark/>
          </w:tcPr>
          <w:p w14:paraId="5B5AA45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6 671,2</w:t>
            </w:r>
          </w:p>
        </w:tc>
        <w:tc>
          <w:tcPr>
            <w:tcW w:w="525" w:type="pct"/>
            <w:noWrap/>
            <w:vAlign w:val="center"/>
            <w:hideMark/>
          </w:tcPr>
          <w:p w14:paraId="3F60A6D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7 456,1</w:t>
            </w:r>
          </w:p>
        </w:tc>
        <w:tc>
          <w:tcPr>
            <w:tcW w:w="449" w:type="pct"/>
            <w:noWrap/>
            <w:vAlign w:val="center"/>
            <w:hideMark/>
          </w:tcPr>
          <w:p w14:paraId="79ECF67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9 875,5</w:t>
            </w:r>
          </w:p>
        </w:tc>
        <w:tc>
          <w:tcPr>
            <w:tcW w:w="580" w:type="pct"/>
            <w:vAlign w:val="center"/>
          </w:tcPr>
          <w:p w14:paraId="12B74EA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6 083,0</w:t>
            </w:r>
          </w:p>
        </w:tc>
      </w:tr>
      <w:tr w:rsidR="00B86FB3" w:rsidRPr="00FF756A" w14:paraId="7B93A01B"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895" w:type="pct"/>
            <w:noWrap/>
            <w:hideMark/>
          </w:tcPr>
          <w:p w14:paraId="7387CD92" w14:textId="77777777" w:rsidR="00B86FB3" w:rsidRPr="00FF756A" w:rsidRDefault="00B86FB3" w:rsidP="00B86FB3">
            <w:pPr>
              <w:rPr>
                <w:rFonts w:eastAsia="Times New Roman" w:cs="Times New Roman"/>
                <w:sz w:val="20"/>
              </w:rPr>
            </w:pPr>
            <w:r w:rsidRPr="00FF756A">
              <w:rPr>
                <w:rFonts w:cs="Times New Roman"/>
                <w:sz w:val="20"/>
              </w:rPr>
              <w:t>Prodhimi i energjisë elektrike</w:t>
            </w:r>
          </w:p>
        </w:tc>
        <w:tc>
          <w:tcPr>
            <w:tcW w:w="540" w:type="pct"/>
            <w:noWrap/>
            <w:vAlign w:val="center"/>
            <w:hideMark/>
          </w:tcPr>
          <w:p w14:paraId="3BE64D8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5 313,9</w:t>
            </w:r>
          </w:p>
        </w:tc>
        <w:tc>
          <w:tcPr>
            <w:tcW w:w="438" w:type="pct"/>
            <w:noWrap/>
            <w:vAlign w:val="center"/>
            <w:hideMark/>
          </w:tcPr>
          <w:p w14:paraId="0D38244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5 313,9</w:t>
            </w:r>
          </w:p>
        </w:tc>
        <w:tc>
          <w:tcPr>
            <w:tcW w:w="524" w:type="pct"/>
            <w:noWrap/>
            <w:vAlign w:val="center"/>
            <w:hideMark/>
          </w:tcPr>
          <w:p w14:paraId="3DD3BC0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5 313,9</w:t>
            </w:r>
          </w:p>
        </w:tc>
        <w:tc>
          <w:tcPr>
            <w:tcW w:w="525" w:type="pct"/>
            <w:noWrap/>
            <w:vAlign w:val="center"/>
            <w:hideMark/>
          </w:tcPr>
          <w:p w14:paraId="7EE0963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7 817,3</w:t>
            </w:r>
          </w:p>
        </w:tc>
        <w:tc>
          <w:tcPr>
            <w:tcW w:w="524" w:type="pct"/>
            <w:noWrap/>
            <w:vAlign w:val="center"/>
            <w:hideMark/>
          </w:tcPr>
          <w:p w14:paraId="08F038C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8 002,6</w:t>
            </w:r>
          </w:p>
        </w:tc>
        <w:tc>
          <w:tcPr>
            <w:tcW w:w="525" w:type="pct"/>
            <w:noWrap/>
            <w:vAlign w:val="center"/>
            <w:hideMark/>
          </w:tcPr>
          <w:p w14:paraId="02BF71D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8 472,9</w:t>
            </w:r>
          </w:p>
        </w:tc>
        <w:tc>
          <w:tcPr>
            <w:tcW w:w="449" w:type="pct"/>
            <w:noWrap/>
            <w:vAlign w:val="center"/>
            <w:hideMark/>
          </w:tcPr>
          <w:p w14:paraId="057EA0B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10 253,1</w:t>
            </w:r>
          </w:p>
        </w:tc>
        <w:tc>
          <w:tcPr>
            <w:tcW w:w="580" w:type="pct"/>
            <w:vAlign w:val="center"/>
          </w:tcPr>
          <w:p w14:paraId="65E7758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5 313,9</w:t>
            </w:r>
          </w:p>
        </w:tc>
      </w:tr>
      <w:tr w:rsidR="00B86FB3" w:rsidRPr="00FF756A" w14:paraId="0F89BA0E"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95" w:type="pct"/>
            <w:noWrap/>
            <w:hideMark/>
          </w:tcPr>
          <w:p w14:paraId="69721CF3" w14:textId="77777777" w:rsidR="00B86FB3" w:rsidRPr="00FF756A" w:rsidRDefault="00B86FB3" w:rsidP="00B86FB3">
            <w:pPr>
              <w:rPr>
                <w:rFonts w:eastAsia="Times New Roman" w:cs="Times New Roman"/>
                <w:sz w:val="20"/>
              </w:rPr>
            </w:pPr>
            <w:r w:rsidRPr="00FF756A">
              <w:rPr>
                <w:rFonts w:cs="Times New Roman"/>
                <w:sz w:val="20"/>
              </w:rPr>
              <w:t>Importet e energjisë elektrike</w:t>
            </w:r>
          </w:p>
        </w:tc>
        <w:tc>
          <w:tcPr>
            <w:tcW w:w="540" w:type="pct"/>
            <w:noWrap/>
            <w:vAlign w:val="center"/>
            <w:hideMark/>
          </w:tcPr>
          <w:p w14:paraId="59CD7AE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2 340,2</w:t>
            </w:r>
          </w:p>
        </w:tc>
        <w:tc>
          <w:tcPr>
            <w:tcW w:w="438" w:type="pct"/>
            <w:noWrap/>
            <w:vAlign w:val="center"/>
            <w:hideMark/>
          </w:tcPr>
          <w:p w14:paraId="3AF0EDF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2 619,8</w:t>
            </w:r>
          </w:p>
        </w:tc>
        <w:tc>
          <w:tcPr>
            <w:tcW w:w="524" w:type="pct"/>
            <w:noWrap/>
            <w:vAlign w:val="center"/>
            <w:hideMark/>
          </w:tcPr>
          <w:p w14:paraId="47E54AA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2 508,4</w:t>
            </w:r>
          </w:p>
        </w:tc>
        <w:tc>
          <w:tcPr>
            <w:tcW w:w="525" w:type="pct"/>
            <w:noWrap/>
            <w:vAlign w:val="center"/>
            <w:hideMark/>
          </w:tcPr>
          <w:p w14:paraId="426EF96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63,3</w:t>
            </w:r>
          </w:p>
        </w:tc>
        <w:tc>
          <w:tcPr>
            <w:tcW w:w="524" w:type="pct"/>
            <w:noWrap/>
            <w:vAlign w:val="center"/>
            <w:hideMark/>
          </w:tcPr>
          <w:p w14:paraId="36620E5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30,1</w:t>
            </w:r>
          </w:p>
        </w:tc>
        <w:tc>
          <w:tcPr>
            <w:tcW w:w="525" w:type="pct"/>
            <w:noWrap/>
            <w:vAlign w:val="center"/>
            <w:hideMark/>
          </w:tcPr>
          <w:p w14:paraId="6ACC6B4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w:t>
            </w:r>
          </w:p>
        </w:tc>
        <w:tc>
          <w:tcPr>
            <w:tcW w:w="449" w:type="pct"/>
            <w:noWrap/>
            <w:vAlign w:val="center"/>
            <w:hideMark/>
          </w:tcPr>
          <w:p w14:paraId="3F3D716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969,1</w:t>
            </w:r>
          </w:p>
        </w:tc>
        <w:tc>
          <w:tcPr>
            <w:tcW w:w="580" w:type="pct"/>
            <w:vAlign w:val="center"/>
          </w:tcPr>
          <w:p w14:paraId="3334E6D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2 340,2</w:t>
            </w:r>
          </w:p>
        </w:tc>
      </w:tr>
      <w:tr w:rsidR="00B86FB3" w:rsidRPr="00FF756A" w14:paraId="675B9F37"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895" w:type="pct"/>
            <w:noWrap/>
            <w:hideMark/>
          </w:tcPr>
          <w:p w14:paraId="31B351AD" w14:textId="77777777" w:rsidR="00B86FB3" w:rsidRPr="00FF756A" w:rsidRDefault="00B86FB3" w:rsidP="00B86FB3">
            <w:pPr>
              <w:rPr>
                <w:rFonts w:eastAsia="Times New Roman" w:cs="Times New Roman"/>
                <w:sz w:val="20"/>
              </w:rPr>
            </w:pPr>
            <w:r w:rsidRPr="00FF756A">
              <w:rPr>
                <w:rFonts w:cs="Times New Roman"/>
                <w:sz w:val="20"/>
              </w:rPr>
              <w:t>Përqindja e importeve</w:t>
            </w:r>
          </w:p>
        </w:tc>
        <w:tc>
          <w:tcPr>
            <w:tcW w:w="540" w:type="pct"/>
            <w:noWrap/>
            <w:vAlign w:val="center"/>
            <w:hideMark/>
          </w:tcPr>
          <w:p w14:paraId="4751223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38,5%</w:t>
            </w:r>
          </w:p>
        </w:tc>
        <w:tc>
          <w:tcPr>
            <w:tcW w:w="438" w:type="pct"/>
            <w:noWrap/>
            <w:vAlign w:val="center"/>
            <w:hideMark/>
          </w:tcPr>
          <w:p w14:paraId="0E9AF6B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41,3%</w:t>
            </w:r>
          </w:p>
        </w:tc>
        <w:tc>
          <w:tcPr>
            <w:tcW w:w="524" w:type="pct"/>
            <w:noWrap/>
            <w:vAlign w:val="center"/>
            <w:hideMark/>
          </w:tcPr>
          <w:p w14:paraId="69F8B18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39,9%</w:t>
            </w:r>
          </w:p>
        </w:tc>
        <w:tc>
          <w:tcPr>
            <w:tcW w:w="525" w:type="pct"/>
            <w:noWrap/>
            <w:vAlign w:val="center"/>
            <w:hideMark/>
          </w:tcPr>
          <w:p w14:paraId="04BFBEC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1,0%</w:t>
            </w:r>
          </w:p>
        </w:tc>
        <w:tc>
          <w:tcPr>
            <w:tcW w:w="524" w:type="pct"/>
            <w:noWrap/>
            <w:vAlign w:val="center"/>
            <w:hideMark/>
          </w:tcPr>
          <w:p w14:paraId="4B074C6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0,5%</w:t>
            </w:r>
          </w:p>
        </w:tc>
        <w:tc>
          <w:tcPr>
            <w:tcW w:w="525" w:type="pct"/>
            <w:noWrap/>
            <w:vAlign w:val="center"/>
            <w:hideMark/>
          </w:tcPr>
          <w:p w14:paraId="720B29B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449" w:type="pct"/>
            <w:noWrap/>
            <w:vAlign w:val="center"/>
            <w:hideMark/>
          </w:tcPr>
          <w:p w14:paraId="314D3072" w14:textId="77777777" w:rsidR="00B86FB3" w:rsidRPr="00FF756A" w:rsidRDefault="00B86FB3" w:rsidP="00B86FB3">
            <w:pPr>
              <w:keepNext/>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9,8%</w:t>
            </w:r>
          </w:p>
        </w:tc>
        <w:tc>
          <w:tcPr>
            <w:tcW w:w="580" w:type="pct"/>
            <w:vAlign w:val="center"/>
          </w:tcPr>
          <w:p w14:paraId="794857C2" w14:textId="77777777" w:rsidR="00B86FB3" w:rsidRPr="00FF756A" w:rsidRDefault="00B86FB3" w:rsidP="003F200D">
            <w:pPr>
              <w:keepNext/>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38,5%</w:t>
            </w:r>
          </w:p>
        </w:tc>
      </w:tr>
    </w:tbl>
    <w:p w14:paraId="03CB4B57" w14:textId="31880DA3" w:rsidR="00B86FB3" w:rsidRPr="00FF756A" w:rsidRDefault="003F200D" w:rsidP="003F200D">
      <w:pPr>
        <w:pStyle w:val="Caption"/>
        <w:rPr>
          <w:rFonts w:ascii="Times New Roman" w:hAnsi="Times New Roman"/>
        </w:rPr>
      </w:pPr>
      <w:bookmarkStart w:id="605" w:name="_Toc183016507"/>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43</w:t>
      </w:r>
      <w:r w:rsidR="008E7DE9" w:rsidRPr="00FF756A">
        <w:rPr>
          <w:rFonts w:ascii="Times New Roman" w:hAnsi="Times New Roman"/>
          <w:noProof/>
        </w:rPr>
        <w:fldChar w:fldCharType="end"/>
      </w:r>
      <w:r w:rsidRPr="00FF756A">
        <w:rPr>
          <w:rFonts w:ascii="Times New Roman" w:hAnsi="Times New Roman"/>
        </w:rPr>
        <w:t>: Prodhimi, kërkesa dhe importet e energjisë elektrike për skenarin me masa ekzistuese.</w:t>
      </w:r>
      <w:bookmarkEnd w:id="605"/>
    </w:p>
    <w:p w14:paraId="7A57FCC3" w14:textId="77777777" w:rsidR="003F200D" w:rsidRPr="00FF756A" w:rsidRDefault="003F200D" w:rsidP="003F200D">
      <w:pPr>
        <w:rPr>
          <w:lang w:eastAsia="ja-JP"/>
        </w:rPr>
      </w:pPr>
    </w:p>
    <w:p w14:paraId="2915ECA6" w14:textId="74A45B97" w:rsidR="00B86FB3" w:rsidRPr="00FF756A" w:rsidRDefault="00B86FB3" w:rsidP="00B86FB3">
      <w:r w:rsidRPr="00FF756A">
        <w:t xml:space="preserve">Në prodhimin e lëndëve djegëse, një politikë ekzistuese për rinovimin e rafinerive ekzistuese të naftës nuk e ndryshon kapacitetin e prodhimit të naftës pas ndikon vetëm në ndotësit e ajrit. Kjo politikë do të zbatohet në vitin 2025, por nuk do të ndikojë te prodhimi, siç tregohet në </w:t>
      </w:r>
      <w:r w:rsidR="0047330D" w:rsidRPr="00FF756A">
        <w:fldChar w:fldCharType="begin"/>
      </w:r>
      <w:r w:rsidR="0047330D" w:rsidRPr="00FF756A">
        <w:instrText xml:space="preserve"> REF _Ref71802618 \h  \* MERGEFORMAT </w:instrText>
      </w:r>
      <w:r w:rsidR="0047330D" w:rsidRPr="00FF756A">
        <w:fldChar w:fldCharType="separate"/>
      </w:r>
      <w:r w:rsidR="0047330D" w:rsidRPr="00FF756A">
        <w:t>Figura 68</w:t>
      </w:r>
      <w:r w:rsidR="0047330D" w:rsidRPr="00FF756A">
        <w:fldChar w:fldCharType="end"/>
      </w:r>
      <w:r w:rsidRPr="00FF756A">
        <w:t xml:space="preserve">. </w:t>
      </w:r>
    </w:p>
    <w:p w14:paraId="49245DF1" w14:textId="77777777" w:rsidR="00B86FB3" w:rsidRPr="00FF756A" w:rsidRDefault="00B86FB3" w:rsidP="00B86FB3"/>
    <w:p w14:paraId="37F9E4D6" w14:textId="77777777" w:rsidR="003F200D" w:rsidRPr="00FF756A" w:rsidRDefault="00B86FB3" w:rsidP="003F200D">
      <w:pPr>
        <w:keepNext/>
      </w:pPr>
      <w:r w:rsidRPr="00FF756A">
        <w:rPr>
          <w:noProof/>
          <w:lang w:val="en-US"/>
        </w:rPr>
        <w:drawing>
          <wp:inline distT="0" distB="0" distL="0" distR="0" wp14:anchorId="5603D1C4" wp14:editId="6B9335B3">
            <wp:extent cx="5760720" cy="3459480"/>
            <wp:effectExtent l="0" t="0" r="0" b="7620"/>
            <wp:docPr id="15721877" name="Picture 2" descr="A graph showing the amount of fuel produ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1877" name="Picture 2" descr="A graph showing the amount of fuel production&#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760720" cy="3459480"/>
                    </a:xfrm>
                    <a:prstGeom prst="rect">
                      <a:avLst/>
                    </a:prstGeom>
                  </pic:spPr>
                </pic:pic>
              </a:graphicData>
            </a:graphic>
          </wp:inline>
        </w:drawing>
      </w:r>
    </w:p>
    <w:p w14:paraId="1334C4E3" w14:textId="65D0E4A5" w:rsidR="00B86FB3" w:rsidRPr="00FF756A" w:rsidRDefault="003F200D" w:rsidP="003F200D">
      <w:pPr>
        <w:pStyle w:val="Caption"/>
        <w:rPr>
          <w:rFonts w:ascii="Times New Roman" w:hAnsi="Times New Roman"/>
        </w:rPr>
      </w:pPr>
      <w:bookmarkStart w:id="606" w:name="_Toc183016598"/>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68</w:t>
      </w:r>
      <w:r w:rsidR="008E7DE9" w:rsidRPr="00FF756A">
        <w:rPr>
          <w:rFonts w:ascii="Times New Roman" w:hAnsi="Times New Roman"/>
          <w:noProof/>
        </w:rPr>
        <w:fldChar w:fldCharType="end"/>
      </w:r>
      <w:r w:rsidRPr="00FF756A">
        <w:rPr>
          <w:rFonts w:ascii="Times New Roman" w:hAnsi="Times New Roman"/>
        </w:rPr>
        <w:t>: Prodhimi i lëndëve djegëse (parashikimi për periudhën 2019 - -2040)</w:t>
      </w:r>
      <w:bookmarkEnd w:id="606"/>
    </w:p>
    <w:p w14:paraId="336640D5" w14:textId="77777777" w:rsidR="00B86FB3" w:rsidRPr="00FF756A" w:rsidRDefault="00B86FB3" w:rsidP="00B86FB3">
      <w:pPr>
        <w:keepNext/>
      </w:pPr>
    </w:p>
    <w:p w14:paraId="38C48120" w14:textId="77777777" w:rsidR="003F200D" w:rsidRPr="00FF756A" w:rsidRDefault="00B86FB3" w:rsidP="003F200D">
      <w:pPr>
        <w:keepNext/>
      </w:pPr>
      <w:r w:rsidRPr="00FF756A">
        <w:rPr>
          <w:noProof/>
          <w:lang w:val="en-US"/>
        </w:rPr>
        <w:drawing>
          <wp:inline distT="0" distB="0" distL="0" distR="0" wp14:anchorId="09800AA4" wp14:editId="03B24AD2">
            <wp:extent cx="5760720" cy="3418250"/>
            <wp:effectExtent l="0" t="0" r="0" b="0"/>
            <wp:docPr id="584291589" name="Picture 3" descr="A graph showing the price of fu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291589" name="Picture 3" descr="A graph showing the price of fuel&#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767834" cy="3422471"/>
                    </a:xfrm>
                    <a:prstGeom prst="rect">
                      <a:avLst/>
                    </a:prstGeom>
                  </pic:spPr>
                </pic:pic>
              </a:graphicData>
            </a:graphic>
          </wp:inline>
        </w:drawing>
      </w:r>
    </w:p>
    <w:p w14:paraId="74D1E9B7" w14:textId="334B6BDF" w:rsidR="00B86FB3" w:rsidRPr="00FF756A" w:rsidRDefault="003F200D" w:rsidP="003F200D">
      <w:pPr>
        <w:pStyle w:val="Caption"/>
        <w:rPr>
          <w:rFonts w:ascii="Times New Roman" w:hAnsi="Times New Roman"/>
        </w:rPr>
      </w:pPr>
      <w:bookmarkStart w:id="607" w:name="_Toc183016599"/>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69</w:t>
      </w:r>
      <w:r w:rsidR="008E7DE9" w:rsidRPr="00FF756A">
        <w:rPr>
          <w:rFonts w:ascii="Times New Roman" w:hAnsi="Times New Roman"/>
          <w:noProof/>
        </w:rPr>
        <w:fldChar w:fldCharType="end"/>
      </w:r>
      <w:r w:rsidRPr="00FF756A">
        <w:rPr>
          <w:rFonts w:ascii="Times New Roman" w:hAnsi="Times New Roman"/>
        </w:rPr>
        <w:t>: Importet neto të lëndëve djegëse (parashikimi për periudhën 2019 - -2040)</w:t>
      </w:r>
      <w:bookmarkEnd w:id="607"/>
    </w:p>
    <w:p w14:paraId="026B300C" w14:textId="77777777" w:rsidR="00B86FB3" w:rsidRPr="00FF756A" w:rsidRDefault="00B86FB3" w:rsidP="00B86FB3"/>
    <w:p w14:paraId="651EFB26" w14:textId="77777777" w:rsidR="00B86FB3" w:rsidRPr="00FF756A" w:rsidRDefault="00B86FB3" w:rsidP="00B86FB3"/>
    <w:p w14:paraId="7095C2E3" w14:textId="77777777" w:rsidR="00B86FB3" w:rsidRPr="00FF756A" w:rsidRDefault="00B86FB3" w:rsidP="00B86FB3"/>
    <w:p w14:paraId="3C626664" w14:textId="77777777" w:rsidR="00B86FB3" w:rsidRPr="00FF756A" w:rsidRDefault="00B86FB3" w:rsidP="00B86FB3"/>
    <w:p w14:paraId="25FEE1C5" w14:textId="77777777" w:rsidR="00B86FB3" w:rsidRPr="00FF756A" w:rsidRDefault="00B86FB3" w:rsidP="00B86FB3"/>
    <w:p w14:paraId="3E281B6F" w14:textId="77777777" w:rsidR="00B86FB3" w:rsidRPr="00FF756A" w:rsidRDefault="00B86FB3" w:rsidP="00B86FB3"/>
    <w:p w14:paraId="23B13523" w14:textId="77777777" w:rsidR="00B86FB3" w:rsidRPr="00FF756A" w:rsidRDefault="00B86FB3" w:rsidP="00B86FB3"/>
    <w:p w14:paraId="605041F3" w14:textId="77777777" w:rsidR="00B86FB3" w:rsidRPr="00FF756A" w:rsidRDefault="00B86FB3" w:rsidP="004A3257">
      <w:pPr>
        <w:keepNext/>
        <w:keepLines/>
        <w:numPr>
          <w:ilvl w:val="1"/>
          <w:numId w:val="252"/>
        </w:numPr>
        <w:spacing w:before="40" w:after="0"/>
        <w:outlineLvl w:val="1"/>
        <w:rPr>
          <w:rFonts w:eastAsiaTheme="minorEastAsia"/>
          <w:color w:val="365F91"/>
          <w:sz w:val="26"/>
          <w:szCs w:val="26"/>
          <w:lang w:eastAsia="de-DE"/>
        </w:rPr>
      </w:pPr>
      <w:bookmarkStart w:id="608" w:name="_Toc71832852"/>
      <w:bookmarkStart w:id="609" w:name="_Toc72331019"/>
      <w:bookmarkStart w:id="610" w:name="_Toc75616151"/>
      <w:bookmarkStart w:id="611" w:name="_Toc100575612"/>
      <w:bookmarkStart w:id="612" w:name="_Toc182898975"/>
      <w:bookmarkStart w:id="613" w:name="_Toc183639289"/>
      <w:r w:rsidRPr="00FF756A">
        <w:rPr>
          <w:rFonts w:eastAsiaTheme="minorEastAsia"/>
          <w:color w:val="365F91"/>
          <w:sz w:val="26"/>
          <w:szCs w:val="26"/>
          <w:lang w:eastAsia="de-DE"/>
        </w:rPr>
        <w:t>Dimensioni i tregut të brendshëm të energjisë</w:t>
      </w:r>
      <w:bookmarkEnd w:id="608"/>
      <w:bookmarkEnd w:id="609"/>
      <w:bookmarkEnd w:id="610"/>
      <w:bookmarkEnd w:id="611"/>
      <w:bookmarkEnd w:id="612"/>
      <w:bookmarkEnd w:id="613"/>
    </w:p>
    <w:p w14:paraId="01FEF700" w14:textId="77777777" w:rsidR="00B86FB3" w:rsidRPr="00FF756A" w:rsidRDefault="00B86FB3" w:rsidP="00B86FB3"/>
    <w:p w14:paraId="2D5667CF" w14:textId="77777777" w:rsidR="00B86FB3" w:rsidRPr="00FF756A" w:rsidRDefault="00B86FB3" w:rsidP="008639B2">
      <w:pPr>
        <w:keepNext/>
        <w:keepLines/>
        <w:numPr>
          <w:ilvl w:val="2"/>
          <w:numId w:val="197"/>
        </w:numPr>
        <w:pBdr>
          <w:top w:val="none" w:sz="0" w:space="0" w:color="auto"/>
          <w:left w:val="none" w:sz="0" w:space="0" w:color="auto"/>
          <w:bottom w:val="none" w:sz="0" w:space="0" w:color="auto"/>
          <w:right w:val="none" w:sz="0" w:space="0" w:color="auto"/>
          <w:between w:val="none" w:sz="0" w:space="0" w:color="auto"/>
        </w:pBdr>
        <w:spacing w:before="40" w:after="120" w:line="240" w:lineRule="auto"/>
        <w:outlineLvl w:val="2"/>
        <w:rPr>
          <w:rFonts w:eastAsia="Calibri Light"/>
          <w:color w:val="1F3763" w:themeColor="accent1" w:themeShade="7F"/>
          <w:sz w:val="24"/>
          <w:szCs w:val="24"/>
        </w:rPr>
      </w:pPr>
      <w:bookmarkStart w:id="614" w:name="_Toc71832853"/>
      <w:bookmarkStart w:id="615" w:name="_Toc72331020"/>
      <w:bookmarkStart w:id="616" w:name="_Toc75616152"/>
      <w:bookmarkStart w:id="617" w:name="_Toc100575613"/>
      <w:bookmarkStart w:id="618" w:name="_Toc182898976"/>
      <w:bookmarkStart w:id="619" w:name="_Toc183639290"/>
      <w:r w:rsidRPr="00FF756A">
        <w:rPr>
          <w:rFonts w:eastAsia="Calibri Light"/>
          <w:color w:val="1F3763" w:themeColor="accent1" w:themeShade="7F"/>
          <w:sz w:val="24"/>
          <w:szCs w:val="24"/>
        </w:rPr>
        <w:t>Interkoneksioni i energjisë elektrike</w:t>
      </w:r>
      <w:bookmarkEnd w:id="614"/>
      <w:bookmarkEnd w:id="615"/>
      <w:bookmarkEnd w:id="616"/>
      <w:bookmarkEnd w:id="617"/>
      <w:bookmarkEnd w:id="618"/>
      <w:bookmarkEnd w:id="619"/>
    </w:p>
    <w:p w14:paraId="66D93B81" w14:textId="77777777" w:rsidR="00B86FB3" w:rsidRPr="00FF756A" w:rsidRDefault="00B86FB3" w:rsidP="00B86FB3"/>
    <w:p w14:paraId="36CCA366" w14:textId="77777777" w:rsidR="00B86FB3" w:rsidRPr="00FF756A" w:rsidRDefault="00B86FB3" w:rsidP="004A3257">
      <w:pPr>
        <w:keepNext/>
        <w:keepLines/>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rFonts w:eastAsia="Calibri Light"/>
          <w:i/>
          <w:iCs/>
          <w:color w:val="2F5496" w:themeColor="accent1" w:themeShade="BF"/>
        </w:rPr>
      </w:pPr>
      <w:bookmarkStart w:id="620" w:name="_Toc183639291"/>
      <w:r w:rsidRPr="00FF756A">
        <w:rPr>
          <w:rFonts w:eastAsia="Calibri Light"/>
          <w:i/>
          <w:iCs/>
          <w:color w:val="2F5496" w:themeColor="accent1" w:themeShade="BF"/>
        </w:rPr>
        <w:t>Niveli aktual i interkoneksionit dhe interkonektorët kryesorë</w:t>
      </w:r>
      <w:bookmarkEnd w:id="620"/>
    </w:p>
    <w:p w14:paraId="63A54A3B" w14:textId="3A67C574" w:rsidR="00B86FB3" w:rsidRPr="00FF756A" w:rsidRDefault="00B86FB3" w:rsidP="00B86FB3">
      <w:r w:rsidRPr="00FF756A">
        <w:t xml:space="preserve">Shqipëria ka gjashtë linja interkoneksioni me një kapacitet total të instaluar prej 4096 MVA me të gjitha shtetet fqinje, me përjashtim të Maqedonisë së Veriut </w:t>
      </w:r>
      <w:sdt>
        <w:sdtPr>
          <w:alias w:val="Për të modifikuar, shihni citavi.com/edit"/>
          <w:tag w:val="CitaviPlaceholder#9939117b-7183-439d-a4b8-811d327850b0"/>
          <w:id w:val="1299653023"/>
          <w:placeholder>
            <w:docPart w:val="6CA336F323204345980CD3CD898B6322"/>
          </w:placeholder>
        </w:sdtPr>
        <w:sdtEndPr/>
        <w:sdtContent>
          <w:r w:rsidRPr="00FF756A">
            <w:fldChar w:fldCharType="begin"/>
          </w:r>
          <w:r w:rsidRPr="00FF756A">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}</w:instrText>
          </w:r>
          <w:r w:rsidRPr="00FF756A">
            <w:fldChar w:fldCharType="separate"/>
          </w:r>
          <w:r w:rsidRPr="00FF756A">
            <w:t>(Energy Community Secretariat 2021)</w:t>
          </w:r>
          <w:r w:rsidRPr="00FF756A">
            <w:fldChar w:fldCharType="end"/>
          </w:r>
        </w:sdtContent>
      </w:sdt>
      <w:r w:rsidRPr="00FF756A">
        <w:t xml:space="preserve"> siç tregohet në tabelën </w:t>
      </w:r>
      <w:r w:rsidRPr="00FF756A">
        <w:fldChar w:fldCharType="begin"/>
      </w:r>
      <w:r w:rsidRPr="00FF756A">
        <w:instrText xml:space="preserve"> REF _Ref71839564 \h </w:instrText>
      </w:r>
      <w:r w:rsidR="00FF756A" w:rsidRPr="00FF756A">
        <w:instrText xml:space="preserve"> \* MERGEFORMAT </w:instrText>
      </w:r>
      <w:r w:rsidRPr="00FF756A">
        <w:fldChar w:fldCharType="separate"/>
      </w:r>
      <w:r w:rsidRPr="00FF756A">
        <w:t xml:space="preserve">Tabela </w:t>
      </w:r>
      <w:r w:rsidRPr="00FF756A">
        <w:fldChar w:fldCharType="end"/>
      </w:r>
      <w:r w:rsidR="000C78B1" w:rsidRPr="00FF756A">
        <w:t>44</w:t>
      </w:r>
      <w:r w:rsidRPr="00FF756A">
        <w:t xml:space="preserve">. </w:t>
      </w:r>
    </w:p>
    <w:p w14:paraId="571DB2E4" w14:textId="77777777" w:rsidR="00B86FB3" w:rsidRPr="00FF756A" w:rsidRDefault="00B86FB3" w:rsidP="00B86FB3">
      <w:pPr>
        <w:rPr>
          <w:lang w:bidi="en-US"/>
        </w:rPr>
      </w:pPr>
    </w:p>
    <w:tbl>
      <w:tblPr>
        <w:tblStyle w:val="GridTable5DarkAccent10"/>
        <w:tblW w:w="5000" w:type="pct"/>
        <w:tblLook w:val="04A0" w:firstRow="1" w:lastRow="0" w:firstColumn="1" w:lastColumn="0" w:noHBand="0" w:noVBand="1"/>
      </w:tblPr>
      <w:tblGrid>
        <w:gridCol w:w="1713"/>
        <w:gridCol w:w="1640"/>
        <w:gridCol w:w="1796"/>
        <w:gridCol w:w="1780"/>
        <w:gridCol w:w="2133"/>
      </w:tblGrid>
      <w:tr w:rsidR="00B86FB3" w:rsidRPr="00FF756A" w14:paraId="64F20B43" w14:textId="77777777" w:rsidTr="006A32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5" w:type="pct"/>
          </w:tcPr>
          <w:p w14:paraId="2964BF87" w14:textId="77777777" w:rsidR="00B86FB3" w:rsidRPr="00FF756A" w:rsidRDefault="00B86FB3" w:rsidP="00B86FB3">
            <w:pPr>
              <w:jc w:val="left"/>
              <w:rPr>
                <w:rFonts w:cs="Times New Roman"/>
                <w:b w:val="0"/>
              </w:rPr>
            </w:pPr>
            <w:r w:rsidRPr="00FF756A">
              <w:rPr>
                <w:rFonts w:cs="Times New Roman"/>
              </w:rPr>
              <w:t>Niveli i tensionit (kV)</w:t>
            </w:r>
          </w:p>
        </w:tc>
        <w:tc>
          <w:tcPr>
            <w:tcW w:w="905" w:type="pct"/>
          </w:tcPr>
          <w:p w14:paraId="19146AB3" w14:textId="77777777" w:rsidR="00B86FB3" w:rsidRPr="00FF756A" w:rsidRDefault="00B86FB3" w:rsidP="00B86FB3">
            <w:pPr>
              <w:jc w:val="left"/>
              <w:cnfStyle w:val="100000000000" w:firstRow="1" w:lastRow="0" w:firstColumn="0" w:lastColumn="0" w:oddVBand="0" w:evenVBand="0" w:oddHBand="0" w:evenHBand="0" w:firstRowFirstColumn="0" w:firstRowLastColumn="0" w:lastRowFirstColumn="0" w:lastRowLastColumn="0"/>
              <w:rPr>
                <w:rFonts w:cs="Times New Roman"/>
                <w:b w:val="0"/>
              </w:rPr>
            </w:pPr>
            <w:r w:rsidRPr="00FF756A">
              <w:rPr>
                <w:rFonts w:cs="Times New Roman"/>
              </w:rPr>
              <w:t>Zbara 1 (brenda vendit)</w:t>
            </w:r>
          </w:p>
        </w:tc>
        <w:tc>
          <w:tcPr>
            <w:tcW w:w="991" w:type="pct"/>
          </w:tcPr>
          <w:p w14:paraId="3F4E0189" w14:textId="77777777" w:rsidR="00B86FB3" w:rsidRPr="00FF756A" w:rsidRDefault="00B86FB3" w:rsidP="00B86FB3">
            <w:pPr>
              <w:jc w:val="left"/>
              <w:cnfStyle w:val="100000000000" w:firstRow="1" w:lastRow="0" w:firstColumn="0" w:lastColumn="0" w:oddVBand="0" w:evenVBand="0" w:oddHBand="0" w:evenHBand="0" w:firstRowFirstColumn="0" w:firstRowLastColumn="0" w:lastRowFirstColumn="0" w:lastRowLastColumn="0"/>
              <w:rPr>
                <w:rFonts w:cs="Times New Roman"/>
                <w:b w:val="0"/>
              </w:rPr>
            </w:pPr>
            <w:r w:rsidRPr="00FF756A">
              <w:rPr>
                <w:rFonts w:cs="Times New Roman"/>
              </w:rPr>
              <w:t>Zbara 2 (jashtë vendit)</w:t>
            </w:r>
          </w:p>
        </w:tc>
        <w:tc>
          <w:tcPr>
            <w:tcW w:w="982" w:type="pct"/>
          </w:tcPr>
          <w:p w14:paraId="2E9DBA90" w14:textId="77777777" w:rsidR="00B86FB3" w:rsidRPr="00FF756A" w:rsidRDefault="00B86FB3" w:rsidP="00B86FB3">
            <w:pPr>
              <w:jc w:val="left"/>
              <w:cnfStyle w:val="100000000000" w:firstRow="1" w:lastRow="0" w:firstColumn="0" w:lastColumn="0" w:oddVBand="0" w:evenVBand="0" w:oddHBand="0" w:evenHBand="0" w:firstRowFirstColumn="0" w:firstRowLastColumn="0" w:lastRowFirstColumn="0" w:lastRowLastColumn="0"/>
              <w:rPr>
                <w:rFonts w:cs="Times New Roman"/>
                <w:b w:val="0"/>
              </w:rPr>
            </w:pPr>
            <w:r w:rsidRPr="00FF756A">
              <w:rPr>
                <w:rFonts w:cs="Times New Roman"/>
              </w:rPr>
              <w:t>Nga Shqipëria në</w:t>
            </w:r>
          </w:p>
        </w:tc>
        <w:tc>
          <w:tcPr>
            <w:tcW w:w="1178" w:type="pct"/>
          </w:tcPr>
          <w:p w14:paraId="740AFF53" w14:textId="77777777" w:rsidR="00B86FB3" w:rsidRPr="00FF756A" w:rsidRDefault="00B86FB3" w:rsidP="00B86FB3">
            <w:pPr>
              <w:jc w:val="left"/>
              <w:cnfStyle w:val="100000000000" w:firstRow="1" w:lastRow="0" w:firstColumn="0" w:lastColumn="0" w:oddVBand="0" w:evenVBand="0" w:oddHBand="0" w:evenHBand="0" w:firstRowFirstColumn="0" w:firstRowLastColumn="0" w:lastRowFirstColumn="0" w:lastRowLastColumn="0"/>
              <w:rPr>
                <w:rFonts w:cs="Times New Roman"/>
                <w:b w:val="0"/>
              </w:rPr>
            </w:pPr>
            <w:r w:rsidRPr="00FF756A">
              <w:rPr>
                <w:rFonts w:cs="Times New Roman"/>
              </w:rPr>
              <w:t>Fuqia maksimale aktive (MW)</w:t>
            </w:r>
          </w:p>
        </w:tc>
      </w:tr>
      <w:tr w:rsidR="00B86FB3" w:rsidRPr="00FF756A" w14:paraId="288F86A8"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5" w:type="pct"/>
          </w:tcPr>
          <w:p w14:paraId="34A6E9C6" w14:textId="77777777" w:rsidR="00B86FB3" w:rsidRPr="00FF756A" w:rsidRDefault="00B86FB3" w:rsidP="00B86FB3">
            <w:pPr>
              <w:rPr>
                <w:rFonts w:cs="Times New Roman"/>
                <w:b w:val="0"/>
                <w:bCs w:val="0"/>
              </w:rPr>
            </w:pPr>
            <w:r w:rsidRPr="00FF756A">
              <w:rPr>
                <w:rFonts w:cs="Times New Roman"/>
              </w:rPr>
              <w:t>400</w:t>
            </w:r>
          </w:p>
        </w:tc>
        <w:tc>
          <w:tcPr>
            <w:tcW w:w="905" w:type="pct"/>
          </w:tcPr>
          <w:p w14:paraId="02632202"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Zemblak</w:t>
            </w:r>
          </w:p>
        </w:tc>
        <w:tc>
          <w:tcPr>
            <w:tcW w:w="991" w:type="pct"/>
          </w:tcPr>
          <w:p w14:paraId="301C485F"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Kardia</w:t>
            </w:r>
          </w:p>
        </w:tc>
        <w:tc>
          <w:tcPr>
            <w:tcW w:w="982" w:type="pct"/>
          </w:tcPr>
          <w:p w14:paraId="48112D58"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Greqia</w:t>
            </w:r>
          </w:p>
        </w:tc>
        <w:tc>
          <w:tcPr>
            <w:tcW w:w="1178" w:type="pct"/>
          </w:tcPr>
          <w:p w14:paraId="560568BA"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1215</w:t>
            </w:r>
          </w:p>
        </w:tc>
      </w:tr>
      <w:tr w:rsidR="00B86FB3" w:rsidRPr="00FF756A" w14:paraId="4A358650" w14:textId="77777777" w:rsidTr="006A3266">
        <w:tc>
          <w:tcPr>
            <w:cnfStyle w:val="001000000000" w:firstRow="0" w:lastRow="0" w:firstColumn="1" w:lastColumn="0" w:oddVBand="0" w:evenVBand="0" w:oddHBand="0" w:evenHBand="0" w:firstRowFirstColumn="0" w:firstRowLastColumn="0" w:lastRowFirstColumn="0" w:lastRowLastColumn="0"/>
            <w:tcW w:w="945" w:type="pct"/>
          </w:tcPr>
          <w:p w14:paraId="252DA1C4" w14:textId="77777777" w:rsidR="00B86FB3" w:rsidRPr="00FF756A" w:rsidRDefault="00B86FB3" w:rsidP="00B86FB3">
            <w:pPr>
              <w:rPr>
                <w:rFonts w:cs="Times New Roman"/>
                <w:b w:val="0"/>
                <w:bCs w:val="0"/>
              </w:rPr>
            </w:pPr>
            <w:r w:rsidRPr="00FF756A">
              <w:rPr>
                <w:rFonts w:cs="Times New Roman"/>
              </w:rPr>
              <w:t>400</w:t>
            </w:r>
          </w:p>
        </w:tc>
        <w:tc>
          <w:tcPr>
            <w:tcW w:w="905" w:type="pct"/>
          </w:tcPr>
          <w:p w14:paraId="62A3A1A9"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Tiranë 2</w:t>
            </w:r>
          </w:p>
        </w:tc>
        <w:tc>
          <w:tcPr>
            <w:tcW w:w="991" w:type="pct"/>
          </w:tcPr>
          <w:p w14:paraId="3A7DB8D8"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Mali i Zi</w:t>
            </w:r>
          </w:p>
        </w:tc>
        <w:tc>
          <w:tcPr>
            <w:tcW w:w="982" w:type="pct"/>
          </w:tcPr>
          <w:p w14:paraId="04291841"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Mal të Zi</w:t>
            </w:r>
          </w:p>
        </w:tc>
        <w:tc>
          <w:tcPr>
            <w:tcW w:w="1178" w:type="pct"/>
          </w:tcPr>
          <w:p w14:paraId="37942AAA"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1197</w:t>
            </w:r>
          </w:p>
        </w:tc>
      </w:tr>
      <w:tr w:rsidR="00B86FB3" w:rsidRPr="00FF756A" w14:paraId="430590DA"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5" w:type="pct"/>
          </w:tcPr>
          <w:p w14:paraId="026E7AA4" w14:textId="77777777" w:rsidR="00B86FB3" w:rsidRPr="00FF756A" w:rsidRDefault="00B86FB3" w:rsidP="00B86FB3">
            <w:pPr>
              <w:rPr>
                <w:rFonts w:cs="Times New Roman"/>
                <w:b w:val="0"/>
                <w:bCs w:val="0"/>
              </w:rPr>
            </w:pPr>
            <w:r w:rsidRPr="00FF756A">
              <w:rPr>
                <w:rFonts w:cs="Times New Roman"/>
              </w:rPr>
              <w:t>400</w:t>
            </w:r>
          </w:p>
        </w:tc>
        <w:tc>
          <w:tcPr>
            <w:tcW w:w="905" w:type="pct"/>
          </w:tcPr>
          <w:p w14:paraId="6363954E"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Koman</w:t>
            </w:r>
          </w:p>
        </w:tc>
        <w:tc>
          <w:tcPr>
            <w:tcW w:w="991" w:type="pct"/>
          </w:tcPr>
          <w:p w14:paraId="7E63C639"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Kosova B</w:t>
            </w:r>
          </w:p>
        </w:tc>
        <w:tc>
          <w:tcPr>
            <w:tcW w:w="982" w:type="pct"/>
          </w:tcPr>
          <w:p w14:paraId="54B87756"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Kosova</w:t>
            </w:r>
          </w:p>
        </w:tc>
        <w:tc>
          <w:tcPr>
            <w:tcW w:w="1178" w:type="pct"/>
          </w:tcPr>
          <w:p w14:paraId="43C6F72F"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1185</w:t>
            </w:r>
          </w:p>
        </w:tc>
      </w:tr>
      <w:tr w:rsidR="00B86FB3" w:rsidRPr="00FF756A" w14:paraId="3294E70D" w14:textId="77777777" w:rsidTr="006A3266">
        <w:tc>
          <w:tcPr>
            <w:cnfStyle w:val="001000000000" w:firstRow="0" w:lastRow="0" w:firstColumn="1" w:lastColumn="0" w:oddVBand="0" w:evenVBand="0" w:oddHBand="0" w:evenHBand="0" w:firstRowFirstColumn="0" w:firstRowLastColumn="0" w:lastRowFirstColumn="0" w:lastRowLastColumn="0"/>
            <w:tcW w:w="945" w:type="pct"/>
          </w:tcPr>
          <w:p w14:paraId="4792DFAD" w14:textId="77777777" w:rsidR="00B86FB3" w:rsidRPr="00FF756A" w:rsidRDefault="00B86FB3" w:rsidP="00B86FB3">
            <w:pPr>
              <w:rPr>
                <w:rFonts w:cs="Times New Roman"/>
                <w:b w:val="0"/>
                <w:bCs w:val="0"/>
              </w:rPr>
            </w:pPr>
            <w:r w:rsidRPr="00FF756A">
              <w:rPr>
                <w:rFonts w:cs="Times New Roman"/>
              </w:rPr>
              <w:t>220</w:t>
            </w:r>
          </w:p>
        </w:tc>
        <w:tc>
          <w:tcPr>
            <w:tcW w:w="905" w:type="pct"/>
          </w:tcPr>
          <w:p w14:paraId="689BB993"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Koplik</w:t>
            </w:r>
          </w:p>
        </w:tc>
        <w:tc>
          <w:tcPr>
            <w:tcW w:w="991" w:type="pct"/>
          </w:tcPr>
          <w:p w14:paraId="392B326A"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Mali i Zi</w:t>
            </w:r>
          </w:p>
        </w:tc>
        <w:tc>
          <w:tcPr>
            <w:tcW w:w="982" w:type="pct"/>
          </w:tcPr>
          <w:p w14:paraId="4939E992"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Mal të Zi</w:t>
            </w:r>
          </w:p>
        </w:tc>
        <w:tc>
          <w:tcPr>
            <w:tcW w:w="1178" w:type="pct"/>
          </w:tcPr>
          <w:p w14:paraId="4DC25071"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rPr>
              <w:t>270</w:t>
            </w:r>
          </w:p>
        </w:tc>
      </w:tr>
      <w:tr w:rsidR="00B86FB3" w:rsidRPr="00FF756A" w14:paraId="495B53B4"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5" w:type="pct"/>
          </w:tcPr>
          <w:p w14:paraId="1570BC0F" w14:textId="77777777" w:rsidR="00B86FB3" w:rsidRPr="00FF756A" w:rsidRDefault="00B86FB3" w:rsidP="00B86FB3">
            <w:pPr>
              <w:rPr>
                <w:rFonts w:cs="Times New Roman"/>
                <w:b w:val="0"/>
                <w:bCs w:val="0"/>
              </w:rPr>
            </w:pPr>
            <w:r w:rsidRPr="00FF756A">
              <w:rPr>
                <w:rFonts w:cs="Times New Roman"/>
              </w:rPr>
              <w:t>220</w:t>
            </w:r>
          </w:p>
        </w:tc>
        <w:tc>
          <w:tcPr>
            <w:tcW w:w="905" w:type="pct"/>
          </w:tcPr>
          <w:p w14:paraId="20EB593A"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Fierzë</w:t>
            </w:r>
          </w:p>
        </w:tc>
        <w:tc>
          <w:tcPr>
            <w:tcW w:w="991" w:type="pct"/>
          </w:tcPr>
          <w:p w14:paraId="7FCACE5F"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Prizren 2</w:t>
            </w:r>
          </w:p>
        </w:tc>
        <w:tc>
          <w:tcPr>
            <w:tcW w:w="982" w:type="pct"/>
          </w:tcPr>
          <w:p w14:paraId="225C1D95"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Kosova</w:t>
            </w:r>
          </w:p>
        </w:tc>
        <w:tc>
          <w:tcPr>
            <w:tcW w:w="1178" w:type="pct"/>
          </w:tcPr>
          <w:p w14:paraId="42E79566" w14:textId="77777777" w:rsidR="00B86FB3" w:rsidRPr="00FF756A" w:rsidRDefault="00B86FB3" w:rsidP="00B86FB3">
            <w:pPr>
              <w:keepNext/>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270</w:t>
            </w:r>
          </w:p>
        </w:tc>
      </w:tr>
      <w:tr w:rsidR="00B86FB3" w:rsidRPr="00FF756A" w14:paraId="30FFD9F1" w14:textId="77777777" w:rsidTr="006A3266">
        <w:trPr>
          <w:trHeight w:val="300"/>
        </w:trPr>
        <w:tc>
          <w:tcPr>
            <w:cnfStyle w:val="001000000000" w:firstRow="0" w:lastRow="0" w:firstColumn="1" w:lastColumn="0" w:oddVBand="0" w:evenVBand="0" w:oddHBand="0" w:evenHBand="0" w:firstRowFirstColumn="0" w:firstRowLastColumn="0" w:lastRowFirstColumn="0" w:lastRowLastColumn="0"/>
            <w:tcW w:w="1713" w:type="dxa"/>
          </w:tcPr>
          <w:p w14:paraId="4FA6FE93" w14:textId="77777777" w:rsidR="00B86FB3" w:rsidRPr="00FF756A" w:rsidRDefault="00B86FB3" w:rsidP="00B86FB3">
            <w:pPr>
              <w:rPr>
                <w:rFonts w:cs="Times New Roman"/>
              </w:rPr>
            </w:pPr>
            <w:r w:rsidRPr="00FF756A">
              <w:rPr>
                <w:rFonts w:cs="Times New Roman"/>
              </w:rPr>
              <w:t>150</w:t>
            </w:r>
          </w:p>
        </w:tc>
        <w:tc>
          <w:tcPr>
            <w:tcW w:w="1640" w:type="dxa"/>
          </w:tcPr>
          <w:p w14:paraId="5481339B"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szCs w:val="22"/>
              </w:rPr>
            </w:pPr>
            <w:r w:rsidRPr="00FF756A">
              <w:rPr>
                <w:rFonts w:cs="Times New Roman"/>
              </w:rPr>
              <w:t>Bistrica</w:t>
            </w:r>
          </w:p>
        </w:tc>
        <w:tc>
          <w:tcPr>
            <w:tcW w:w="1796" w:type="dxa"/>
          </w:tcPr>
          <w:p w14:paraId="7BA591DA"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szCs w:val="22"/>
              </w:rPr>
            </w:pPr>
            <w:r w:rsidRPr="00FF756A">
              <w:rPr>
                <w:rFonts w:cs="Times New Roman"/>
              </w:rPr>
              <w:t xml:space="preserve">Myrtos / Igumenicë </w:t>
            </w:r>
          </w:p>
        </w:tc>
        <w:tc>
          <w:tcPr>
            <w:tcW w:w="1780" w:type="dxa"/>
          </w:tcPr>
          <w:p w14:paraId="19D96284"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szCs w:val="22"/>
              </w:rPr>
            </w:pPr>
            <w:r w:rsidRPr="00FF756A">
              <w:rPr>
                <w:rFonts w:cs="Times New Roman"/>
              </w:rPr>
              <w:t>Greqia</w:t>
            </w:r>
          </w:p>
        </w:tc>
        <w:tc>
          <w:tcPr>
            <w:tcW w:w="2133" w:type="dxa"/>
          </w:tcPr>
          <w:p w14:paraId="43A5216B" w14:textId="77777777" w:rsidR="00B86FB3" w:rsidRPr="00FF756A" w:rsidRDefault="00B86FB3" w:rsidP="003F200D">
            <w:pPr>
              <w:keepNext/>
              <w:cnfStyle w:val="000000000000" w:firstRow="0" w:lastRow="0" w:firstColumn="0" w:lastColumn="0" w:oddVBand="0" w:evenVBand="0" w:oddHBand="0" w:evenHBand="0" w:firstRowFirstColumn="0" w:firstRowLastColumn="0" w:lastRowFirstColumn="0" w:lastRowLastColumn="0"/>
              <w:rPr>
                <w:rFonts w:cs="Times New Roman"/>
              </w:rPr>
            </w:pPr>
          </w:p>
        </w:tc>
      </w:tr>
    </w:tbl>
    <w:p w14:paraId="1F00AA8B" w14:textId="4563A898" w:rsidR="00B86FB3" w:rsidRPr="00FF756A" w:rsidRDefault="003F200D" w:rsidP="003F200D">
      <w:pPr>
        <w:pStyle w:val="Caption"/>
        <w:rPr>
          <w:rFonts w:ascii="Times New Roman" w:hAnsi="Times New Roman"/>
          <w:lang w:bidi="en-US"/>
        </w:rPr>
      </w:pPr>
      <w:bookmarkStart w:id="621" w:name="_Toc183016508"/>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44</w:t>
      </w:r>
      <w:r w:rsidR="008E7DE9" w:rsidRPr="00FF756A">
        <w:rPr>
          <w:rFonts w:ascii="Times New Roman" w:hAnsi="Times New Roman"/>
          <w:noProof/>
        </w:rPr>
        <w:fldChar w:fldCharType="end"/>
      </w:r>
      <w:r w:rsidRPr="00FF756A">
        <w:rPr>
          <w:rFonts w:ascii="Times New Roman" w:hAnsi="Times New Roman"/>
        </w:rPr>
        <w:t>: Interkonektorët ekzistues ndërkufitarë. Burimi: (Energy Community Secretariat 2021)</w:t>
      </w:r>
      <w:bookmarkEnd w:id="621"/>
    </w:p>
    <w:p w14:paraId="779B64DF" w14:textId="77777777" w:rsidR="00B86FB3" w:rsidRPr="00FF756A" w:rsidRDefault="00B86FB3" w:rsidP="00B86FB3">
      <w:pPr>
        <w:rPr>
          <w:lang w:bidi="en-US"/>
        </w:rPr>
      </w:pPr>
    </w:p>
    <w:p w14:paraId="1F79AFB5" w14:textId="50052748" w:rsidR="00B86FB3" w:rsidRPr="00FF756A" w:rsidRDefault="00B86FB3" w:rsidP="00B86FB3">
      <w:r w:rsidRPr="00FF756A">
        <w:t xml:space="preserve">Ndërmjet viteve 2004-2018, importet e energjisë elektrike përmes këtyre interkonektorëve varionin midis 370 GWh në vitin 2005 dhe 3251 GWh në vitin 2014 (mesatarisht 1815 GWh). Eksportet varionin midis 0 dhe 2934 GWh (mesatarisht 325 GWh). Përdorimi i interkonektorëve (importe + eksporte) varionte midis 42 GWh në vitin 2016 dhe 4920 GWh në vitin 2010 (mesatarisht 2140 GWh). </w:t>
      </w:r>
      <w:r w:rsidRPr="00FF756A">
        <w:fldChar w:fldCharType="begin"/>
      </w:r>
      <w:r w:rsidRPr="00FF756A">
        <w:instrText xml:space="preserve"> REF _Ref71815246 \h  \* MERGEFORMAT </w:instrText>
      </w:r>
      <w:r w:rsidRPr="00FF756A">
        <w:fldChar w:fldCharType="separate"/>
      </w:r>
      <w:r w:rsidRPr="00FF756A">
        <w:t xml:space="preserve">Figura </w:t>
      </w:r>
      <w:r w:rsidRPr="00FF756A">
        <w:fldChar w:fldCharType="end"/>
      </w:r>
      <w:r w:rsidR="00E37979" w:rsidRPr="00FF756A">
        <w:t>7</w:t>
      </w:r>
      <w:r w:rsidR="00D23FD4" w:rsidRPr="00FF756A">
        <w:t>0</w:t>
      </w:r>
      <w:r w:rsidRPr="00FF756A">
        <w:t xml:space="preserve"> paraqet shpërndarjen gjeografike të linjave të transmetimit dhe interkonektorëve kryesorë.</w:t>
      </w:r>
    </w:p>
    <w:p w14:paraId="1A566D6D" w14:textId="77777777" w:rsidR="00B86FB3" w:rsidRPr="00FF756A" w:rsidRDefault="00B86FB3" w:rsidP="00B86FB3">
      <w:pPr>
        <w:rPr>
          <w:lang w:bidi="en-US"/>
        </w:rPr>
      </w:pPr>
    </w:p>
    <w:p w14:paraId="74FD956F" w14:textId="77777777" w:rsidR="003F200D" w:rsidRPr="00FF756A" w:rsidRDefault="00B86FB3" w:rsidP="003F200D">
      <w:pPr>
        <w:keepNext/>
      </w:pPr>
      <w:r w:rsidRPr="00FF756A">
        <w:rPr>
          <w:noProof/>
          <w:lang w:val="en-US"/>
        </w:rPr>
        <w:drawing>
          <wp:inline distT="0" distB="0" distL="0" distR="0" wp14:anchorId="7626EC10" wp14:editId="4E3B08B0">
            <wp:extent cx="6116320" cy="4184851"/>
            <wp:effectExtent l="0" t="0" r="0" b="6350"/>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116320" cy="4184851"/>
                    </a:xfrm>
                    <a:prstGeom prst="rect">
                      <a:avLst/>
                    </a:prstGeom>
                    <a:noFill/>
                    <a:ln>
                      <a:noFill/>
                    </a:ln>
                  </pic:spPr>
                </pic:pic>
              </a:graphicData>
            </a:graphic>
          </wp:inline>
        </w:drawing>
      </w:r>
    </w:p>
    <w:p w14:paraId="00B0AAB2" w14:textId="75E2F4DD" w:rsidR="00B86FB3" w:rsidRPr="00FF756A" w:rsidRDefault="003F200D" w:rsidP="003F200D">
      <w:pPr>
        <w:pStyle w:val="Caption"/>
        <w:rPr>
          <w:rFonts w:ascii="Times New Roman" w:hAnsi="Times New Roman"/>
        </w:rPr>
      </w:pPr>
      <w:bookmarkStart w:id="622" w:name="_Toc183016600"/>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70</w:t>
      </w:r>
      <w:r w:rsidR="008E7DE9" w:rsidRPr="00FF756A">
        <w:rPr>
          <w:rFonts w:ascii="Times New Roman" w:hAnsi="Times New Roman"/>
          <w:noProof/>
        </w:rPr>
        <w:fldChar w:fldCharType="end"/>
      </w:r>
      <w:r w:rsidRPr="00FF756A">
        <w:rPr>
          <w:rFonts w:ascii="Times New Roman" w:hAnsi="Times New Roman"/>
        </w:rPr>
        <w:t>: Harta e linjave të transmetimit dhe interkonektorëve kryesorë. Burimi: prezantimi ynë bazuar në OST 2018</w:t>
      </w:r>
      <w:bookmarkEnd w:id="622"/>
    </w:p>
    <w:p w14:paraId="149115B4" w14:textId="523B9DD3" w:rsidR="00B86FB3" w:rsidRPr="00FF756A" w:rsidRDefault="00B86FB3" w:rsidP="00B86FB3">
      <w:pPr>
        <w:spacing w:line="240" w:lineRule="auto"/>
        <w:rPr>
          <w:rFonts w:eastAsia="Times New Roman"/>
          <w:b/>
          <w:bCs/>
          <w:color w:val="4F81BD"/>
          <w:sz w:val="18"/>
          <w:szCs w:val="18"/>
          <w:lang w:eastAsia="ja-JP"/>
        </w:rPr>
      </w:pPr>
    </w:p>
    <w:p w14:paraId="4D3050CA" w14:textId="3A0EBB39" w:rsidR="00B86FB3" w:rsidRPr="00FF756A" w:rsidRDefault="00B86FB3" w:rsidP="00B86FB3">
      <w:r w:rsidRPr="00FF756A">
        <w:fldChar w:fldCharType="begin"/>
      </w:r>
      <w:r w:rsidRPr="00FF756A">
        <w:instrText xml:space="preserve"> REF _Ref71825256 \h </w:instrText>
      </w:r>
      <w:r w:rsidR="00FF756A" w:rsidRPr="00FF756A">
        <w:instrText xml:space="preserve"> \* MERGEFORMAT </w:instrText>
      </w:r>
      <w:r w:rsidRPr="00FF756A">
        <w:fldChar w:fldCharType="separate"/>
      </w:r>
      <w:r w:rsidRPr="00FF756A">
        <w:t xml:space="preserve">Figura </w:t>
      </w:r>
      <w:r w:rsidR="00D23FD4" w:rsidRPr="00FF756A">
        <w:rPr>
          <w:noProof/>
        </w:rPr>
        <w:t>71</w:t>
      </w:r>
      <w:r w:rsidRPr="00FF756A">
        <w:fldChar w:fldCharType="end"/>
      </w:r>
      <w:r w:rsidRPr="00FF756A">
        <w:t xml:space="preserve"> tregon një skemë të interkonektorëve ndërkufitarë, duke përfshirë kapacitetin nominal të transmetimit të interkonektorëve (fuqia maksimale aktive në MW) dhe kapacitetin maksimal ndërkufitar që u është dhënë pjesëmarrësve të tregut për përdorim për qëllime tregtare (NTC). Duhet theksuar se vënia në punë e linjës 400 kV Tiranë 2 - Koman - Kosovë B në dhjetor të vitit 2020 bëri të mundur rritjen e kapaciteteve nominale të transmetimit në kufirin me Kosovën dhe Greqinë, nga 250 MW që ishte më parë në 400MW.</w:t>
      </w:r>
    </w:p>
    <w:p w14:paraId="519840CB" w14:textId="77777777" w:rsidR="00B86FB3" w:rsidRPr="00FF756A" w:rsidRDefault="00B86FB3" w:rsidP="00B86FB3">
      <w:pPr>
        <w:rPr>
          <w:lang w:bidi="en-US"/>
        </w:rPr>
      </w:pPr>
    </w:p>
    <w:p w14:paraId="3068777F" w14:textId="77777777" w:rsidR="003F200D" w:rsidRPr="00FF756A" w:rsidRDefault="00B86FB3" w:rsidP="003F200D">
      <w:pPr>
        <w:keepNext/>
      </w:pPr>
      <w:r w:rsidRPr="00FF756A">
        <w:rPr>
          <w:noProof/>
          <w:lang w:val="en-US"/>
        </w:rPr>
        <w:drawing>
          <wp:inline distT="0" distB="0" distL="0" distR="0" wp14:anchorId="49C930E9" wp14:editId="466646D7">
            <wp:extent cx="4505325" cy="5619750"/>
            <wp:effectExtent l="0" t="0" r="9525" b="0"/>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505325" cy="5619750"/>
                    </a:xfrm>
                    <a:prstGeom prst="rect">
                      <a:avLst/>
                    </a:prstGeom>
                    <a:noFill/>
                    <a:ln>
                      <a:noFill/>
                    </a:ln>
                  </pic:spPr>
                </pic:pic>
              </a:graphicData>
            </a:graphic>
          </wp:inline>
        </w:drawing>
      </w:r>
    </w:p>
    <w:p w14:paraId="58FA8103" w14:textId="36D3E7AF" w:rsidR="00B86FB3" w:rsidRPr="00FF756A" w:rsidRDefault="003F200D" w:rsidP="003F200D">
      <w:pPr>
        <w:pStyle w:val="Caption"/>
        <w:rPr>
          <w:rFonts w:ascii="Times New Roman" w:hAnsi="Times New Roman"/>
        </w:rPr>
      </w:pPr>
      <w:bookmarkStart w:id="623" w:name="_Toc183016601"/>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71</w:t>
      </w:r>
      <w:r w:rsidR="008E7DE9" w:rsidRPr="00FF756A">
        <w:rPr>
          <w:rFonts w:ascii="Times New Roman" w:hAnsi="Times New Roman"/>
          <w:noProof/>
        </w:rPr>
        <w:fldChar w:fldCharType="end"/>
      </w:r>
      <w:r w:rsidRPr="00FF756A">
        <w:rPr>
          <w:rFonts w:ascii="Times New Roman" w:hAnsi="Times New Roman"/>
        </w:rPr>
        <w:t>: Kapacitetet e interkonektorëve. Burimi: Energy Community Secretariat 2021</w:t>
      </w:r>
      <w:bookmarkEnd w:id="623"/>
    </w:p>
    <w:p w14:paraId="7949F250" w14:textId="77777777" w:rsidR="00B86FB3" w:rsidRPr="00FF756A" w:rsidRDefault="00B86FB3" w:rsidP="00B86FB3">
      <w:pPr>
        <w:rPr>
          <w:lang w:bidi="en-US"/>
        </w:rPr>
      </w:pPr>
    </w:p>
    <w:p w14:paraId="24E1EB2A" w14:textId="62314981" w:rsidR="00B86FB3" w:rsidRPr="00FF756A" w:rsidRDefault="00B86FB3" w:rsidP="00B86FB3">
      <w:r w:rsidRPr="00FF756A">
        <w:t xml:space="preserve">Për të llogaritur objektivin e interkoneksionit, kapaciteti neto i transmetimit (NTC) në krahun e importit vihet në raport me kapacitetin e prodhimit të energjisë së rinovueshme. Siç tregohet në </w:t>
      </w:r>
      <w:r w:rsidR="00A83F0A" w:rsidRPr="00FF756A">
        <w:fldChar w:fldCharType="begin"/>
      </w:r>
      <w:r w:rsidR="00A83F0A" w:rsidRPr="00FF756A">
        <w:instrText xml:space="preserve"> REF _Ref71827296 \h </w:instrText>
      </w:r>
      <w:r w:rsidR="00FF756A" w:rsidRPr="00FF756A">
        <w:instrText xml:space="preserve"> \* MERGEFORMAT </w:instrText>
      </w:r>
      <w:r w:rsidR="00A83F0A" w:rsidRPr="00FF756A">
        <w:fldChar w:fldCharType="separate"/>
      </w:r>
      <w:r w:rsidR="00A83F0A" w:rsidRPr="00FF756A">
        <w:t xml:space="preserve">Tabela </w:t>
      </w:r>
      <w:r w:rsidR="00A83F0A" w:rsidRPr="00FF756A">
        <w:rPr>
          <w:noProof/>
        </w:rPr>
        <w:t>45</w:t>
      </w:r>
      <w:r w:rsidR="00A83F0A" w:rsidRPr="00FF756A">
        <w:fldChar w:fldCharType="end"/>
      </w:r>
      <w:r w:rsidRPr="00FF756A">
        <w:t>, rezulton se objektivi 15% për interkoneksionin deri në vitin 2030 është përmbushur tashmë, dhe do të vazhdojë të përmbushet të paktën deri në vitin 2030, në skenarin me masa ekzistuese.</w:t>
      </w:r>
    </w:p>
    <w:p w14:paraId="0A0766BB" w14:textId="77777777" w:rsidR="00B86FB3" w:rsidRPr="00FF756A" w:rsidRDefault="00B86FB3" w:rsidP="00B86FB3"/>
    <w:tbl>
      <w:tblPr>
        <w:tblStyle w:val="GridTable5DarkAccent10"/>
        <w:tblW w:w="9634" w:type="dxa"/>
        <w:tblLook w:val="04A0" w:firstRow="1" w:lastRow="0" w:firstColumn="1" w:lastColumn="0" w:noHBand="0" w:noVBand="1"/>
      </w:tblPr>
      <w:tblGrid>
        <w:gridCol w:w="3256"/>
        <w:gridCol w:w="1594"/>
        <w:gridCol w:w="1595"/>
        <w:gridCol w:w="1594"/>
        <w:gridCol w:w="1595"/>
      </w:tblGrid>
      <w:tr w:rsidR="00B86FB3" w:rsidRPr="00FF756A" w14:paraId="571A0224" w14:textId="77777777" w:rsidTr="006A32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58FCB773" w14:textId="77777777" w:rsidR="00B86FB3" w:rsidRPr="00FF756A" w:rsidRDefault="00B86FB3" w:rsidP="00B86FB3">
            <w:pPr>
              <w:rPr>
                <w:rFonts w:cs="Times New Roman"/>
                <w:bCs w:val="0"/>
              </w:rPr>
            </w:pPr>
            <w:r w:rsidRPr="00FF756A">
              <w:rPr>
                <w:rFonts w:cs="Times New Roman"/>
              </w:rPr>
              <w:t>Viti</w:t>
            </w:r>
          </w:p>
        </w:tc>
        <w:tc>
          <w:tcPr>
            <w:tcW w:w="1594" w:type="dxa"/>
          </w:tcPr>
          <w:p w14:paraId="7216945C" w14:textId="77777777" w:rsidR="00B86FB3" w:rsidRPr="00FF756A" w:rsidRDefault="00B86FB3" w:rsidP="00B86FB3">
            <w:pPr>
              <w:jc w:val="center"/>
              <w:cnfStyle w:val="100000000000" w:firstRow="1" w:lastRow="0" w:firstColumn="0" w:lastColumn="0" w:oddVBand="0" w:evenVBand="0" w:oddHBand="0" w:evenHBand="0" w:firstRowFirstColumn="0" w:firstRowLastColumn="0" w:lastRowFirstColumn="0" w:lastRowLastColumn="0"/>
              <w:rPr>
                <w:rFonts w:cs="Times New Roman"/>
                <w:bCs w:val="0"/>
              </w:rPr>
            </w:pPr>
            <w:r w:rsidRPr="00FF756A">
              <w:rPr>
                <w:rFonts w:cs="Times New Roman"/>
              </w:rPr>
              <w:t>2019</w:t>
            </w:r>
          </w:p>
        </w:tc>
        <w:tc>
          <w:tcPr>
            <w:tcW w:w="1595" w:type="dxa"/>
          </w:tcPr>
          <w:p w14:paraId="6746889A" w14:textId="77777777" w:rsidR="00B86FB3" w:rsidRPr="00FF756A" w:rsidRDefault="00B86FB3" w:rsidP="00B86FB3">
            <w:pPr>
              <w:jc w:val="center"/>
              <w:cnfStyle w:val="100000000000" w:firstRow="1" w:lastRow="0" w:firstColumn="0" w:lastColumn="0" w:oddVBand="0" w:evenVBand="0" w:oddHBand="0" w:evenHBand="0" w:firstRowFirstColumn="0" w:firstRowLastColumn="0" w:lastRowFirstColumn="0" w:lastRowLastColumn="0"/>
              <w:rPr>
                <w:rFonts w:cs="Times New Roman"/>
                <w:bCs w:val="0"/>
              </w:rPr>
            </w:pPr>
            <w:r w:rsidRPr="00FF756A">
              <w:rPr>
                <w:rFonts w:cs="Times New Roman"/>
              </w:rPr>
              <w:t>2021</w:t>
            </w:r>
          </w:p>
        </w:tc>
        <w:tc>
          <w:tcPr>
            <w:tcW w:w="1594" w:type="dxa"/>
          </w:tcPr>
          <w:p w14:paraId="17F36D77" w14:textId="77777777" w:rsidR="00B86FB3" w:rsidRPr="00FF756A" w:rsidRDefault="00B86FB3" w:rsidP="00B86FB3">
            <w:pPr>
              <w:jc w:val="center"/>
              <w:cnfStyle w:val="100000000000" w:firstRow="1" w:lastRow="0" w:firstColumn="0" w:lastColumn="0" w:oddVBand="0" w:evenVBand="0" w:oddHBand="0" w:evenHBand="0" w:firstRowFirstColumn="0" w:firstRowLastColumn="0" w:lastRowFirstColumn="0" w:lastRowLastColumn="0"/>
              <w:rPr>
                <w:rFonts w:cs="Times New Roman"/>
                <w:bCs w:val="0"/>
              </w:rPr>
            </w:pPr>
            <w:r w:rsidRPr="00FF756A">
              <w:rPr>
                <w:rFonts w:cs="Times New Roman"/>
              </w:rPr>
              <w:t>2030</w:t>
            </w:r>
          </w:p>
        </w:tc>
        <w:tc>
          <w:tcPr>
            <w:tcW w:w="1595" w:type="dxa"/>
          </w:tcPr>
          <w:p w14:paraId="70BB28D2" w14:textId="77777777" w:rsidR="00B86FB3" w:rsidRPr="00FF756A" w:rsidRDefault="00B86FB3" w:rsidP="00B86FB3">
            <w:pPr>
              <w:jc w:val="center"/>
              <w:cnfStyle w:val="100000000000" w:firstRow="1" w:lastRow="0" w:firstColumn="0" w:lastColumn="0" w:oddVBand="0" w:evenVBand="0" w:oddHBand="0" w:evenHBand="0" w:firstRowFirstColumn="0" w:firstRowLastColumn="0" w:lastRowFirstColumn="0" w:lastRowLastColumn="0"/>
              <w:rPr>
                <w:rFonts w:cs="Times New Roman"/>
                <w:bCs w:val="0"/>
              </w:rPr>
            </w:pPr>
            <w:r w:rsidRPr="00FF756A">
              <w:rPr>
                <w:rFonts w:cs="Times New Roman"/>
              </w:rPr>
              <w:t>2040</w:t>
            </w:r>
          </w:p>
        </w:tc>
      </w:tr>
      <w:tr w:rsidR="00B86FB3" w:rsidRPr="00FF756A" w14:paraId="53683ADB"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BD0F0AD" w14:textId="77777777" w:rsidR="00B86FB3" w:rsidRPr="00FF756A" w:rsidRDefault="00B86FB3" w:rsidP="00B86FB3">
            <w:pPr>
              <w:rPr>
                <w:rFonts w:cs="Times New Roman"/>
                <w:b w:val="0"/>
              </w:rPr>
            </w:pPr>
            <w:r w:rsidRPr="00FF756A">
              <w:rPr>
                <w:rFonts w:cs="Times New Roman"/>
              </w:rPr>
              <w:t>Kapaciteti i energjisë së rinovueshme (MW)</w:t>
            </w:r>
          </w:p>
        </w:tc>
        <w:tc>
          <w:tcPr>
            <w:tcW w:w="1594" w:type="dxa"/>
          </w:tcPr>
          <w:p w14:paraId="39ADEF4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rPr>
              <w:t>2 343</w:t>
            </w:r>
          </w:p>
        </w:tc>
        <w:tc>
          <w:tcPr>
            <w:tcW w:w="1595" w:type="dxa"/>
          </w:tcPr>
          <w:p w14:paraId="60C0FC6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rPr>
              <w:t>2 623</w:t>
            </w:r>
          </w:p>
        </w:tc>
        <w:tc>
          <w:tcPr>
            <w:tcW w:w="1594" w:type="dxa"/>
          </w:tcPr>
          <w:p w14:paraId="66A039E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rPr>
              <w:t>3 307</w:t>
            </w:r>
          </w:p>
        </w:tc>
        <w:tc>
          <w:tcPr>
            <w:tcW w:w="1595" w:type="dxa"/>
          </w:tcPr>
          <w:p w14:paraId="2BD988F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rPr>
              <w:t xml:space="preserve">3 307   </w:t>
            </w:r>
          </w:p>
        </w:tc>
      </w:tr>
      <w:tr w:rsidR="00B86FB3" w:rsidRPr="00FF756A" w14:paraId="3411874F" w14:textId="77777777" w:rsidTr="006A3266">
        <w:tc>
          <w:tcPr>
            <w:cnfStyle w:val="001000000000" w:firstRow="0" w:lastRow="0" w:firstColumn="1" w:lastColumn="0" w:oddVBand="0" w:evenVBand="0" w:oddHBand="0" w:evenHBand="0" w:firstRowFirstColumn="0" w:firstRowLastColumn="0" w:lastRowFirstColumn="0" w:lastRowLastColumn="0"/>
            <w:tcW w:w="3256" w:type="dxa"/>
          </w:tcPr>
          <w:p w14:paraId="60A6B634" w14:textId="77777777" w:rsidR="00B86FB3" w:rsidRPr="00FF756A" w:rsidRDefault="00B86FB3" w:rsidP="00B86FB3">
            <w:pPr>
              <w:rPr>
                <w:rFonts w:cs="Times New Roman"/>
                <w:b w:val="0"/>
              </w:rPr>
            </w:pPr>
            <w:r w:rsidRPr="00FF756A">
              <w:rPr>
                <w:rFonts w:cs="Times New Roman"/>
              </w:rPr>
              <w:t>Importi maksimal i NTC (MW)</w:t>
            </w:r>
          </w:p>
        </w:tc>
        <w:tc>
          <w:tcPr>
            <w:tcW w:w="1594" w:type="dxa"/>
          </w:tcPr>
          <w:p w14:paraId="76A8D02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rPr>
              <w:t>910</w:t>
            </w:r>
          </w:p>
        </w:tc>
        <w:tc>
          <w:tcPr>
            <w:tcW w:w="1595" w:type="dxa"/>
          </w:tcPr>
          <w:p w14:paraId="4545DA7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rPr>
              <w:t>1 210</w:t>
            </w:r>
          </w:p>
        </w:tc>
        <w:tc>
          <w:tcPr>
            <w:tcW w:w="1594" w:type="dxa"/>
          </w:tcPr>
          <w:p w14:paraId="23DA8B3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rPr>
              <w:t>1 810</w:t>
            </w:r>
          </w:p>
        </w:tc>
        <w:tc>
          <w:tcPr>
            <w:tcW w:w="1595" w:type="dxa"/>
          </w:tcPr>
          <w:p w14:paraId="121B156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rPr>
              <w:t xml:space="preserve">1 810 </w:t>
            </w:r>
          </w:p>
        </w:tc>
      </w:tr>
      <w:tr w:rsidR="00B86FB3" w:rsidRPr="00FF756A" w14:paraId="05FECC70"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F80A895" w14:textId="77777777" w:rsidR="00B86FB3" w:rsidRPr="00FF756A" w:rsidRDefault="00B86FB3" w:rsidP="00B86FB3">
            <w:pPr>
              <w:rPr>
                <w:rFonts w:cs="Times New Roman"/>
                <w:b w:val="0"/>
              </w:rPr>
            </w:pPr>
            <w:r w:rsidRPr="00FF756A">
              <w:rPr>
                <w:rFonts w:cs="Times New Roman"/>
              </w:rPr>
              <w:t>Niveli i interkoneksionit</w:t>
            </w:r>
          </w:p>
        </w:tc>
        <w:tc>
          <w:tcPr>
            <w:tcW w:w="1594" w:type="dxa"/>
          </w:tcPr>
          <w:p w14:paraId="25D02F8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39%</w:t>
            </w:r>
          </w:p>
        </w:tc>
        <w:tc>
          <w:tcPr>
            <w:tcW w:w="1595" w:type="dxa"/>
          </w:tcPr>
          <w:p w14:paraId="3EBC07E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46%</w:t>
            </w:r>
          </w:p>
        </w:tc>
        <w:tc>
          <w:tcPr>
            <w:tcW w:w="1594" w:type="dxa"/>
          </w:tcPr>
          <w:p w14:paraId="4E8771F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55%</w:t>
            </w:r>
          </w:p>
        </w:tc>
        <w:tc>
          <w:tcPr>
            <w:tcW w:w="1595" w:type="dxa"/>
          </w:tcPr>
          <w:p w14:paraId="3D2D1802" w14:textId="77777777" w:rsidR="00B86FB3" w:rsidRPr="00FF756A" w:rsidRDefault="00B86FB3" w:rsidP="003F200D">
            <w:pPr>
              <w:keepNext/>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rPr>
              <w:t>55%</w:t>
            </w:r>
          </w:p>
        </w:tc>
      </w:tr>
    </w:tbl>
    <w:p w14:paraId="59E1402E" w14:textId="52659857" w:rsidR="00B86FB3" w:rsidRPr="00FF756A" w:rsidRDefault="003F200D" w:rsidP="003F200D">
      <w:pPr>
        <w:pStyle w:val="Caption"/>
        <w:rPr>
          <w:rFonts w:ascii="Times New Roman" w:hAnsi="Times New Roman"/>
          <w:lang w:bidi="en-US"/>
        </w:rPr>
      </w:pPr>
      <w:bookmarkStart w:id="624" w:name="_Toc183016509"/>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45</w:t>
      </w:r>
      <w:r w:rsidR="008E7DE9" w:rsidRPr="00FF756A">
        <w:rPr>
          <w:rFonts w:ascii="Times New Roman" w:hAnsi="Times New Roman"/>
          <w:noProof/>
        </w:rPr>
        <w:fldChar w:fldCharType="end"/>
      </w:r>
      <w:r w:rsidRPr="00FF756A">
        <w:rPr>
          <w:rFonts w:ascii="Times New Roman" w:hAnsi="Times New Roman"/>
        </w:rPr>
        <w:t>: Niveli i interkoneksionit sipas përllogaritjeve për skenarin me masa ekzistuese</w:t>
      </w:r>
      <w:bookmarkEnd w:id="624"/>
    </w:p>
    <w:p w14:paraId="31680B5D" w14:textId="77777777" w:rsidR="00B86FB3" w:rsidRPr="00FF756A" w:rsidRDefault="00B86FB3" w:rsidP="00B86FB3">
      <w:pPr>
        <w:rPr>
          <w:lang w:bidi="en-US"/>
        </w:rPr>
      </w:pPr>
    </w:p>
    <w:p w14:paraId="7F88C2C7" w14:textId="77777777" w:rsidR="00B86FB3" w:rsidRPr="00FF756A" w:rsidRDefault="00B86FB3" w:rsidP="004A3257">
      <w:pPr>
        <w:keepNext/>
        <w:keepLines/>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rFonts w:eastAsia="Calibri Light"/>
          <w:i/>
          <w:iCs/>
          <w:color w:val="2F5496" w:themeColor="accent1" w:themeShade="BF"/>
        </w:rPr>
      </w:pPr>
      <w:bookmarkStart w:id="625" w:name="_Toc183639292"/>
      <w:r w:rsidRPr="00FF756A">
        <w:rPr>
          <w:rFonts w:eastAsia="Calibri Light"/>
          <w:i/>
          <w:iCs/>
          <w:color w:val="2F5496" w:themeColor="accent1" w:themeShade="BF"/>
        </w:rPr>
        <w:t>Projeksionet e kërkesave për shtrirjen e interkonektorëve (duke përfshirë për vitin 2030)</w:t>
      </w:r>
      <w:bookmarkEnd w:id="625"/>
    </w:p>
    <w:p w14:paraId="6A021A72" w14:textId="77777777" w:rsidR="00A83F0A" w:rsidRPr="00FF756A" w:rsidRDefault="00A83F0A" w:rsidP="00B86FB3"/>
    <w:p w14:paraId="3CA53DE3" w14:textId="78803870" w:rsidR="00B86FB3" w:rsidRPr="00FF756A" w:rsidRDefault="00B86FB3" w:rsidP="00B86FB3">
      <w:r w:rsidRPr="00FF756A">
        <w:t>Siç është përmendur më parë në kreun 1, vendi i vetëm fqinj që aktualisht nuk është i lidhur me rrjetin e transmetimit të Shqipërisë përmes interkonektorëve është Maqedonia e Veriut (përveç Italisë). Në muajin shkurt të vitit 2020 është nënshkruar një marrëveshje për ndërtimin e një linje transmetimi 400 KV me fuqi maksimale aktive prej 1195 MW, e cila shtrihet nga Fieri, duke kaluar përmes Elbasanit, e deri në qytetin e Manastirit në Maqedoninë e Veriut. Kjo linjë do të mbështesë potencialin për krijimin e një tregu rajonal të energjisë në Evropën Juglindore dhe për krijimin e mundësive të tregtimit me vendet midis Bullgarisë dhe Italisë.</w:t>
      </w:r>
    </w:p>
    <w:p w14:paraId="2A43EF07" w14:textId="77777777" w:rsidR="00B86FB3" w:rsidRPr="00FF756A" w:rsidRDefault="00B86FB3" w:rsidP="00B86FB3">
      <w:pPr>
        <w:spacing w:before="40" w:after="40"/>
        <w:rPr>
          <w:rFonts w:eastAsia="Times New Roman"/>
        </w:rPr>
      </w:pPr>
      <w:r w:rsidRPr="00FF756A">
        <w:t>Për më tepër, bazuar te parashikimet dhe potencialet e mëdha për zhvillim të burimeve të energjisë së rinovueshme, në planet afatgjata të OST-së në Shqipëri parashikohet ndërtimi i një linje të re interkoneksioni 400 kV Shqipëri (Fier) – Greqi (Arachtos), e cila do të jetë linjë ajrore dhe me një qark (trefazore), me një gjatësi prej rreth 125 km (shihni gjithashtu kreun 1, seksioni “Çështjet kryesore me rëndësi ndërkufitare”).</w:t>
      </w:r>
    </w:p>
    <w:p w14:paraId="26B6DA8B" w14:textId="77777777" w:rsidR="00B86FB3" w:rsidRPr="00FF756A" w:rsidRDefault="00B86FB3" w:rsidP="00B86FB3"/>
    <w:p w14:paraId="4FEACE6D" w14:textId="77777777" w:rsidR="00B86FB3" w:rsidRPr="00FF756A" w:rsidRDefault="00B86FB3" w:rsidP="008639B2">
      <w:pPr>
        <w:keepNext/>
        <w:keepLines/>
        <w:numPr>
          <w:ilvl w:val="2"/>
          <w:numId w:val="197"/>
        </w:numPr>
        <w:pBdr>
          <w:top w:val="none" w:sz="0" w:space="0" w:color="auto"/>
          <w:left w:val="none" w:sz="0" w:space="0" w:color="auto"/>
          <w:bottom w:val="none" w:sz="0" w:space="0" w:color="auto"/>
          <w:right w:val="none" w:sz="0" w:space="0" w:color="auto"/>
          <w:between w:val="none" w:sz="0" w:space="0" w:color="auto"/>
        </w:pBdr>
        <w:spacing w:before="40" w:after="120" w:line="240" w:lineRule="auto"/>
        <w:outlineLvl w:val="2"/>
        <w:rPr>
          <w:rFonts w:eastAsia="Calibri Light"/>
          <w:color w:val="1F3763" w:themeColor="accent1" w:themeShade="7F"/>
          <w:sz w:val="24"/>
          <w:szCs w:val="24"/>
        </w:rPr>
      </w:pPr>
      <w:bookmarkStart w:id="626" w:name="_Toc71832854"/>
      <w:bookmarkStart w:id="627" w:name="_Toc72331021"/>
      <w:bookmarkStart w:id="628" w:name="_Toc75616153"/>
      <w:bookmarkStart w:id="629" w:name="_Toc100575614"/>
      <w:bookmarkStart w:id="630" w:name="_Toc182898977"/>
      <w:bookmarkStart w:id="631" w:name="_Toc183639293"/>
      <w:r w:rsidRPr="00FF756A">
        <w:rPr>
          <w:rFonts w:eastAsia="Calibri Light"/>
          <w:color w:val="1F3763" w:themeColor="accent1" w:themeShade="7F"/>
          <w:sz w:val="24"/>
          <w:szCs w:val="24"/>
        </w:rPr>
        <w:t>Infrastruktura e transmetimit të energjisë</w:t>
      </w:r>
      <w:bookmarkEnd w:id="626"/>
      <w:bookmarkEnd w:id="627"/>
      <w:bookmarkEnd w:id="628"/>
      <w:bookmarkEnd w:id="629"/>
      <w:bookmarkEnd w:id="630"/>
      <w:bookmarkEnd w:id="631"/>
    </w:p>
    <w:p w14:paraId="7DFE13D2" w14:textId="77777777" w:rsidR="00B86FB3" w:rsidRPr="00FF756A" w:rsidRDefault="00B86FB3" w:rsidP="00B86FB3"/>
    <w:p w14:paraId="174B5288" w14:textId="77777777" w:rsidR="00B86FB3" w:rsidRPr="00FF756A" w:rsidRDefault="00B86FB3" w:rsidP="004A3257">
      <w:pPr>
        <w:keepNext/>
        <w:keepLines/>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rFonts w:eastAsia="Calibri Light"/>
          <w:i/>
          <w:iCs/>
          <w:color w:val="2F5496" w:themeColor="accent1" w:themeShade="BF"/>
        </w:rPr>
      </w:pPr>
      <w:bookmarkStart w:id="632" w:name="_Toc183639294"/>
      <w:r w:rsidRPr="00FF756A">
        <w:rPr>
          <w:rFonts w:eastAsia="Calibri Light"/>
          <w:i/>
          <w:iCs/>
          <w:color w:val="2F5496" w:themeColor="accent1" w:themeShade="BF"/>
        </w:rPr>
        <w:t>Karakteristikat kryesore të infrastrukturës ekzistuese të transmetimit për energjinë elektrike dhe gazin</w:t>
      </w:r>
      <w:bookmarkEnd w:id="632"/>
    </w:p>
    <w:p w14:paraId="3FA9ECF8" w14:textId="77777777" w:rsidR="00B86FB3" w:rsidRPr="00FF756A" w:rsidRDefault="00B86FB3" w:rsidP="00B86FB3">
      <w:r w:rsidRPr="00FF756A">
        <w:t xml:space="preserve">Deri më tani, Shqipëria nuk ka infrastrukturë të brendshme për transmetimin e gazit natyror. Megjithatë, Gazsjellësi Trans-Adriatik (TAP) ka nisur punën në fund të vitit 2020 dhe lidh Italinë, Shqipërinë dhe Greqinë me Gazsjellësin Trans-Anadollian në Turqi dhe Gazsjellësin e Kaukazit Jugor në Azerbajxhan dhe Gjeorgji. Në këtë mënyrë, gazsjellësi arrin të transportojë deri në 10 miliardë metër kub gaz natyror nga fushat e gazit të Azerbajxhanit drejt Italisë, Shqipërisë, Greqisë dhe (përmes një pike shtesë interkoneksioni) Bullgarisë. Për shkak të mungesës së infrastrukturës së brendshme, në kohën e hartimit të këtij dokumenti (Tetor 2024), gazi natyror nga gazsjellësi nuk është përdorur ende në Shqipëri. Për këtë arsye, analiza e mëposhtme kufizohet në infrastrukturën e transmetimit të energjisë elektrike. Informacioni është marrë kryesisht nga Plani për Zhvillimin e Rrjetit të Transmetimit në Shqipëri nga operatori i sistemit të transmetimit OST </w:t>
      </w:r>
      <w:sdt>
        <w:sdtPr>
          <w:alias w:val="Për të modifikuar, shihni citavi.com/edit"/>
          <w:tag w:val="CitaviPlaceholder#3b2903a2-16cd-44cd-bb7e-3efc89e30684"/>
          <w:id w:val="1033461501"/>
          <w:placeholder>
            <w:docPart w:val="6CA336F323204345980CD3CD898B6322"/>
          </w:placeholder>
        </w:sdtPr>
        <w:sdtEndPr/>
        <w:sdtContent>
          <w:r w:rsidRPr="00FF756A">
            <w:fldChar w:fldCharType="begin"/>
          </w:r>
          <w:r w:rsidRPr="00FF756A">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}</w:instrText>
          </w:r>
          <w:r w:rsidRPr="00FF756A">
            <w:fldChar w:fldCharType="separate"/>
          </w:r>
          <w:r w:rsidRPr="00FF756A">
            <w:t>(OST 2018)</w:t>
          </w:r>
          <w:r w:rsidRPr="00FF756A">
            <w:fldChar w:fldCharType="end"/>
          </w:r>
        </w:sdtContent>
      </w:sdt>
      <w:r w:rsidRPr="00FF756A">
        <w:t>.</w:t>
      </w:r>
    </w:p>
    <w:p w14:paraId="74F4BD75" w14:textId="77777777" w:rsidR="00B86FB3" w:rsidRPr="00FF756A" w:rsidRDefault="00B86FB3" w:rsidP="00B86FB3">
      <w:pPr>
        <w:rPr>
          <w:lang w:bidi="en-US"/>
        </w:rPr>
      </w:pPr>
    </w:p>
    <w:p w14:paraId="6C1529C3" w14:textId="77777777" w:rsidR="00B86FB3" w:rsidRPr="00FF756A" w:rsidRDefault="00B86FB3" w:rsidP="00B86FB3">
      <w:r w:rsidRPr="00FF756A">
        <w:t xml:space="preserve">Sistemi i Transmetimit të Energjisë në Shqipëri operon pesëmbëdhjetë nënstacione (400 kV, 220 kV dhe 150 kV), si dhe </w:t>
      </w:r>
    </w:p>
    <w:p w14:paraId="02F00C37" w14:textId="77777777" w:rsidR="00B86FB3" w:rsidRPr="00FF756A" w:rsidRDefault="00B86FB3" w:rsidP="00B86FB3">
      <w:pPr>
        <w:ind w:left="708"/>
      </w:pPr>
      <w:r w:rsidRPr="00FF756A">
        <w:t xml:space="preserve">445,7 km linja 400 kV, </w:t>
      </w:r>
    </w:p>
    <w:p w14:paraId="4E113C86" w14:textId="77777777" w:rsidR="00B86FB3" w:rsidRPr="00FF756A" w:rsidRDefault="00B86FB3" w:rsidP="00B86FB3">
      <w:pPr>
        <w:ind w:left="708"/>
      </w:pPr>
      <w:r w:rsidRPr="00FF756A">
        <w:t>1250 km linja 220 kV, 3</w:t>
      </w:r>
    </w:p>
    <w:p w14:paraId="064BB069" w14:textId="77777777" w:rsidR="00B86FB3" w:rsidRPr="00FF756A" w:rsidRDefault="00B86FB3" w:rsidP="00B86FB3">
      <w:pPr>
        <w:ind w:left="708"/>
      </w:pPr>
      <w:r w:rsidRPr="00FF756A">
        <w:t>4,4 km linja 150 kV dhe</w:t>
      </w:r>
    </w:p>
    <w:p w14:paraId="20BB5A74" w14:textId="77777777" w:rsidR="00B86FB3" w:rsidRPr="00FF756A" w:rsidRDefault="00B86FB3" w:rsidP="00B86FB3">
      <w:pPr>
        <w:ind w:left="708"/>
      </w:pPr>
      <w:r w:rsidRPr="00FF756A">
        <w:t xml:space="preserve">1606,7 km linja 110 kV. </w:t>
      </w:r>
    </w:p>
    <w:p w14:paraId="4E89D15B" w14:textId="77777777" w:rsidR="00B86FB3" w:rsidRPr="00FF756A" w:rsidRDefault="00B86FB3" w:rsidP="00B86FB3">
      <w:r w:rsidRPr="00FF756A">
        <w:t xml:space="preserve">Hidrocentralet kryesore të “Kaskadës së Lumit Drin” (Fierza, Komani dhe Vau i Dejës) në pjesën veriore të Shqipërisë janë të lidhur me rrjetin e transmetimit 220 kV, që përbën edhe lidhjen kryesore me ngarkesën më të madhe në zonën e Tiranës, Elbasanit, Durrësit dhe Fierit. Rrjeti 110 kV mbulon të gjitha zonat urbane të vendit me qëllim furnizimin e Sistemit të Shpërndarjes, që aktualisht operohet nga OSHEE dhe është 100% në pronësi të shtetit. </w:t>
      </w:r>
      <w:sdt>
        <w:sdtPr>
          <w:alias w:val="Për të modifikuar, shihni citavi.com/edit"/>
          <w:tag w:val="CitaviPlaceholder#89776b3c-e725-495b-8f4e-a89db393647f"/>
          <w:id w:val="-9608290"/>
          <w:placeholder>
            <w:docPart w:val="6CA336F323204345980CD3CD898B6322"/>
          </w:placeholder>
        </w:sdtPr>
        <w:sdtEndPr/>
        <w:sdtContent>
          <w:r w:rsidRPr="00FF756A">
            <w:fldChar w:fldCharType="begin"/>
          </w:r>
          <w:r w:rsidRPr="00FF756A">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}</w:instrText>
          </w:r>
          <w:r w:rsidRPr="00FF756A">
            <w:fldChar w:fldCharType="separate"/>
          </w:r>
          <w:r w:rsidRPr="00FF756A">
            <w:t>(OST 2018)</w:t>
          </w:r>
          <w:r w:rsidRPr="00FF756A">
            <w:fldChar w:fldCharType="end"/>
          </w:r>
        </w:sdtContent>
      </w:sdt>
    </w:p>
    <w:p w14:paraId="3D05B3B7" w14:textId="77777777" w:rsidR="00B86FB3" w:rsidRPr="00FF756A" w:rsidRDefault="00B86FB3" w:rsidP="00B86FB3">
      <w:r w:rsidRPr="00FF756A">
        <w:t>Më shumë se 70% e totalit të kapacitetit të instaluar të prodhuar është i lidhur me rrjetin 220 kV. Autotransformatorët 220/400 kV kanë një kapacitet prej 1200 MVA dhe rrjeti 110 kV është i lidhur me unazat 400 kV nga dy auto-transformatorë 150 MVA të instaluar në pjesën juglindore të rrjetit, në nënstacionin e Zemblakut.</w:t>
      </w:r>
    </w:p>
    <w:p w14:paraId="1ECC4C0C" w14:textId="77777777" w:rsidR="00B86FB3" w:rsidRPr="00FF756A" w:rsidRDefault="00B86FB3" w:rsidP="00B86FB3"/>
    <w:p w14:paraId="1E8E36A9" w14:textId="77777777" w:rsidR="00B86FB3" w:rsidRPr="00FF756A" w:rsidRDefault="00B86FB3" w:rsidP="00B86FB3">
      <w:r w:rsidRPr="00FF756A">
        <w:t xml:space="preserve">Transmetimi i energjisë elektrike nga burimet kryesore të prodhimit drejt qendrave më të mëdha të konsumit kryhet përmes rrjetit 220 kV dhe më tej përmes transformimit 220/110 kV (2390 MVA). Rrjeti 110 kV që furnizon të gjithë nënstacionet 110 kV përfaqësonte dikur nyjat kryesore të ngarkesës, ndërkohë që aktualisht është i lidhur me vetëm 20% të kapacitetit të instaluar të prodhimit </w:t>
      </w:r>
      <w:sdt>
        <w:sdtPr>
          <w:alias w:val="Për të modifikuar, shihni citavi.com/edit"/>
          <w:tag w:val="CitaviPlaceholder#e9ae9cea-22a8-472c-89f1-75ac4de9e043"/>
          <w:id w:val="1907943279"/>
          <w:placeholder>
            <w:docPart w:val="6CA336F323204345980CD3CD898B6322"/>
          </w:placeholder>
        </w:sdtPr>
        <w:sdtEndPr/>
        <w:sdtContent>
          <w:r w:rsidRPr="00FF756A">
            <w:fldChar w:fldCharType="begin"/>
          </w:r>
          <w:r w:rsidRPr="00FF756A">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}</w:instrText>
          </w:r>
          <w:r w:rsidRPr="00FF756A">
            <w:fldChar w:fldCharType="separate"/>
          </w:r>
          <w:r w:rsidRPr="00FF756A">
            <w:t>(OST 2018)</w:t>
          </w:r>
          <w:r w:rsidRPr="00FF756A">
            <w:fldChar w:fldCharType="end"/>
          </w:r>
        </w:sdtContent>
      </w:sdt>
      <w:r w:rsidRPr="00FF756A">
        <w:t>.</w:t>
      </w:r>
    </w:p>
    <w:p w14:paraId="50D3C41D" w14:textId="77777777" w:rsidR="00B86FB3" w:rsidRPr="00FF756A" w:rsidRDefault="00B86FB3" w:rsidP="00B86FB3"/>
    <w:p w14:paraId="67177AC1" w14:textId="17DDC4DD" w:rsidR="00B86FB3" w:rsidRPr="00FF756A" w:rsidRDefault="00B86FB3" w:rsidP="00B86FB3">
      <w:r w:rsidRPr="00FF756A">
        <w:fldChar w:fldCharType="begin"/>
      </w:r>
      <w:r w:rsidRPr="00FF756A">
        <w:instrText xml:space="preserve"> REF _Ref71810184 \h </w:instrText>
      </w:r>
      <w:r w:rsidR="00FF756A" w:rsidRPr="00FF756A">
        <w:instrText xml:space="preserve"> \* MERGEFORMAT </w:instrText>
      </w:r>
      <w:r w:rsidRPr="00FF756A">
        <w:fldChar w:fldCharType="separate"/>
      </w:r>
      <w:r w:rsidRPr="00FF756A">
        <w:t xml:space="preserve">Figura </w:t>
      </w:r>
      <w:r w:rsidR="005148D1" w:rsidRPr="00FF756A">
        <w:rPr>
          <w:noProof/>
        </w:rPr>
        <w:t>72</w:t>
      </w:r>
      <w:r w:rsidRPr="00FF756A">
        <w:fldChar w:fldCharType="end"/>
      </w:r>
      <w:r w:rsidRPr="00FF756A">
        <w:t xml:space="preserve"> paraqet strukturën e përgjithshme të rrjetit të transmetimit në Shqipëri.</w:t>
      </w:r>
    </w:p>
    <w:p w14:paraId="0ACD1F60" w14:textId="77777777" w:rsidR="00B86FB3" w:rsidRPr="00FF756A" w:rsidRDefault="00B86FB3" w:rsidP="00B86FB3">
      <w:pPr>
        <w:rPr>
          <w:lang w:bidi="en-US"/>
        </w:rPr>
      </w:pPr>
    </w:p>
    <w:p w14:paraId="3A58ECF5" w14:textId="77777777" w:rsidR="003F200D" w:rsidRPr="00FF756A" w:rsidRDefault="00B86FB3" w:rsidP="003F200D">
      <w:pPr>
        <w:keepNext/>
      </w:pPr>
      <w:r w:rsidRPr="00FF756A">
        <w:rPr>
          <w:noProof/>
          <w:lang w:val="en-US"/>
        </w:rPr>
        <w:drawing>
          <wp:inline distT="0" distB="0" distL="0" distR="0" wp14:anchorId="5CB88B08" wp14:editId="2EBAA572">
            <wp:extent cx="6038850" cy="4000500"/>
            <wp:effectExtent l="0" t="0" r="0" b="0"/>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038850" cy="4000500"/>
                    </a:xfrm>
                    <a:prstGeom prst="rect">
                      <a:avLst/>
                    </a:prstGeom>
                    <a:noFill/>
                    <a:ln>
                      <a:noFill/>
                    </a:ln>
                  </pic:spPr>
                </pic:pic>
              </a:graphicData>
            </a:graphic>
          </wp:inline>
        </w:drawing>
      </w:r>
    </w:p>
    <w:p w14:paraId="7A395082" w14:textId="20D1899C" w:rsidR="00B86FB3" w:rsidRPr="00FF756A" w:rsidRDefault="003F200D" w:rsidP="003F200D">
      <w:pPr>
        <w:pStyle w:val="Caption"/>
        <w:rPr>
          <w:rFonts w:ascii="Times New Roman" w:hAnsi="Times New Roman"/>
        </w:rPr>
      </w:pPr>
      <w:bookmarkStart w:id="633" w:name="_Toc183016602"/>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72</w:t>
      </w:r>
      <w:r w:rsidR="008E7DE9" w:rsidRPr="00FF756A">
        <w:rPr>
          <w:rFonts w:ascii="Times New Roman" w:hAnsi="Times New Roman"/>
          <w:noProof/>
        </w:rPr>
        <w:fldChar w:fldCharType="end"/>
      </w:r>
      <w:r w:rsidRPr="00FF756A">
        <w:rPr>
          <w:rFonts w:ascii="Times New Roman" w:hAnsi="Times New Roman"/>
        </w:rPr>
        <w:t>: Struktura e Sistemit të Transmetimit në Shqipëri: Burimi: OST 2018</w:t>
      </w:r>
      <w:bookmarkEnd w:id="633"/>
    </w:p>
    <w:p w14:paraId="03D272A2" w14:textId="3BE656A5" w:rsidR="00B86FB3" w:rsidRPr="00FF756A" w:rsidRDefault="00B86FB3" w:rsidP="00B86FB3">
      <w:pPr>
        <w:spacing w:line="240" w:lineRule="auto"/>
        <w:rPr>
          <w:rFonts w:eastAsia="Times New Roman"/>
          <w:b/>
          <w:bCs/>
          <w:color w:val="4F81BD"/>
          <w:sz w:val="18"/>
          <w:szCs w:val="18"/>
          <w:lang w:eastAsia="ja-JP"/>
        </w:rPr>
      </w:pPr>
    </w:p>
    <w:p w14:paraId="3B845771" w14:textId="77777777" w:rsidR="00B86FB3" w:rsidRPr="00FF756A" w:rsidRDefault="00B86FB3" w:rsidP="00B86FB3"/>
    <w:p w14:paraId="5F1B526E" w14:textId="77777777" w:rsidR="00B86FB3" w:rsidRPr="00FF756A" w:rsidRDefault="00B86FB3" w:rsidP="004A3257">
      <w:pPr>
        <w:keepNext/>
        <w:keepLines/>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rFonts w:eastAsia="Calibri Light"/>
          <w:i/>
          <w:iCs/>
          <w:color w:val="2F5496" w:themeColor="accent1" w:themeShade="BF"/>
        </w:rPr>
      </w:pPr>
      <w:bookmarkStart w:id="634" w:name="_Toc183639295"/>
      <w:r w:rsidRPr="00FF756A">
        <w:rPr>
          <w:rFonts w:eastAsia="Calibri Light"/>
          <w:i/>
          <w:iCs/>
          <w:color w:val="2F5496" w:themeColor="accent1" w:themeShade="BF"/>
        </w:rPr>
        <w:t>Projeksionet e kërkesave për shtrirjen e rrjetit, të paktën deri në vitin 2040 (duke përfshirë për vitin 2030)</w:t>
      </w:r>
      <w:bookmarkEnd w:id="634"/>
    </w:p>
    <w:p w14:paraId="363631A2" w14:textId="77777777" w:rsidR="00B86FB3" w:rsidRPr="00FF756A" w:rsidRDefault="00B86FB3" w:rsidP="00B86FB3">
      <w:r w:rsidRPr="00FF756A">
        <w:t xml:space="preserve">Gjatë viteve të fundit janë realizuar projekte të rëndësishme, të cilat kanë reduktuar ndjeshëm sasinë e energjisë elektrike të pafurnizuar, si dhe humbjet në transmetim. Gjatë periudhës 2005-2017, humbjet e energjisë elektrike në rrjetet e transmetimit janë reduktuar nga 4,56% në 2,08%. </w:t>
      </w:r>
      <w:sdt>
        <w:sdtPr>
          <w:alias w:val="Për të modifikuar, shihni citavi.com/edit"/>
          <w:tag w:val="CitaviPlaceholder#8d41fadf-7d46-4d17-a337-8a74dfa4ea47"/>
          <w:id w:val="-2137864029"/>
          <w:placeholder>
            <w:docPart w:val="6CA336F323204345980CD3CD898B6322"/>
          </w:placeholder>
        </w:sdtPr>
        <w:sdtEndPr/>
        <w:sdtContent>
          <w:r w:rsidRPr="00FF756A">
            <w:fldChar w:fldCharType="begin"/>
          </w:r>
          <w:r w:rsidRPr="00FF756A">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}</w:instrText>
          </w:r>
          <w:r w:rsidRPr="00FF756A">
            <w:fldChar w:fldCharType="separate"/>
          </w:r>
          <w:r w:rsidRPr="00FF756A">
            <w:t>(OST 2018)</w:t>
          </w:r>
          <w:r w:rsidRPr="00FF756A">
            <w:fldChar w:fldCharType="end"/>
          </w:r>
        </w:sdtContent>
      </w:sdt>
      <w:r w:rsidRPr="00FF756A">
        <w:t>.</w:t>
      </w:r>
    </w:p>
    <w:p w14:paraId="581AEE5D" w14:textId="77777777" w:rsidR="00B86FB3" w:rsidRPr="00FF756A" w:rsidRDefault="00B86FB3" w:rsidP="00B86FB3">
      <w:r w:rsidRPr="00FF756A">
        <w:t>Sipas përllogaritjeve në modelin e skenarit WEM, rritja vjetore e kërkesës për energji është një 1-2% midis viteve 2019 dhe 2040. Në total, kërkesa për energji elektrike rritet nga 512 ktoe në vitin 2019 në 533 ktoe në vitin 2030 dhe 621 ktoe në vitin 2040.  Në të njëjtën kohë, kapacitetet e prodhimit rriten nga 2343 MW në vitin 2019, në 2965 MW në vitin 2030 dhe në 3228 MW në vitin 2040.</w:t>
      </w:r>
    </w:p>
    <w:p w14:paraId="1C374FD0" w14:textId="31D61473" w:rsidR="00B86FB3" w:rsidRPr="00FF756A" w:rsidRDefault="00B86FB3" w:rsidP="00B86FB3">
      <w:r w:rsidRPr="00FF756A">
        <w:t xml:space="preserve">Rrjeti i transmetimit duhet t'i përshtaten ngarkesës në rritje dhe rrjedhimisht, nevojitet një zgjerim dhe rritje e mëtejshme e efiçencës. Zhvillimi i Rrjetit në Shqipëri </w:t>
      </w:r>
      <w:sdt>
        <w:sdtPr>
          <w:alias w:val="Për të modifikuar, shihni citavi.com/edit"/>
          <w:tag w:val="CitaviPlaceholder#7686667c-09a1-456d-8da0-0e0e20459b79"/>
          <w:id w:val="-872146286"/>
          <w:placeholder>
            <w:docPart w:val="6CA336F323204345980CD3CD898B6322"/>
          </w:placeholder>
        </w:sdtPr>
        <w:sdtEndPr/>
        <w:sdtContent/>
      </w:sdt>
      <w:sdt>
        <w:sdtPr>
          <w:alias w:val="Për të modifikuar, shihni citavi.com/edit"/>
          <w:tag w:val="CitaviPlaceholder#7686667c-09a1-456d-8da0-0e0e20459b79"/>
          <w:id w:val="-1437202597"/>
          <w:placeholder>
            <w:docPart w:val="6CA336F323204345980CD3CD898B6322"/>
          </w:placeholder>
        </w:sdtPr>
        <w:sdtEndPr/>
        <w:sdtContent>
          <w:r w:rsidRPr="00FF756A">
            <w:fldChar w:fldCharType="begin"/>
          </w:r>
          <w:r w:rsidRPr="00FF756A">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}</w:instrText>
          </w:r>
          <w:r w:rsidRPr="00FF756A">
            <w:fldChar w:fldCharType="separate"/>
          </w:r>
          <w:r w:rsidRPr="00FF756A">
            <w:t>(OST 2018)</w:t>
          </w:r>
          <w:r w:rsidRPr="00FF756A">
            <w:fldChar w:fldCharType="end"/>
          </w:r>
        </w:sdtContent>
      </w:sdt>
      <w:r w:rsidRPr="00FF756A">
        <w:t xml:space="preserve"> parashikon një sërë projektesh për përmirësimin e rrjetit të transmetimit, siç paraqitet në </w:t>
      </w:r>
      <w:r w:rsidRPr="00FF756A">
        <w:fldChar w:fldCharType="begin"/>
      </w:r>
      <w:r w:rsidRPr="00FF756A">
        <w:instrText xml:space="preserve"> REF _Ref71827296 \h </w:instrText>
      </w:r>
      <w:r w:rsidR="00FF756A" w:rsidRPr="00FF756A">
        <w:instrText xml:space="preserve"> \* MERGEFORMAT </w:instrText>
      </w:r>
      <w:r w:rsidRPr="00FF756A">
        <w:fldChar w:fldCharType="separate"/>
      </w:r>
      <w:r w:rsidRPr="00FF756A">
        <w:t xml:space="preserve">Tabela </w:t>
      </w:r>
      <w:r w:rsidR="00F31094" w:rsidRPr="00FF756A">
        <w:rPr>
          <w:noProof/>
        </w:rPr>
        <w:t>46</w:t>
      </w:r>
      <w:r w:rsidRPr="00FF756A">
        <w:fldChar w:fldCharType="end"/>
      </w:r>
      <w:r w:rsidRPr="00FF756A">
        <w:t>.</w:t>
      </w:r>
    </w:p>
    <w:p w14:paraId="10FD92DE" w14:textId="77777777" w:rsidR="00B86FB3" w:rsidRPr="00FF756A" w:rsidRDefault="00B86FB3" w:rsidP="00B86FB3"/>
    <w:p w14:paraId="6AF7F9E1" w14:textId="77777777" w:rsidR="00B86FB3" w:rsidRPr="00FF756A" w:rsidRDefault="00B86FB3" w:rsidP="00B86FB3"/>
    <w:tbl>
      <w:tblPr>
        <w:tblStyle w:val="GridTable5DarkAccent10"/>
        <w:tblW w:w="0" w:type="auto"/>
        <w:tblLook w:val="04A0" w:firstRow="1" w:lastRow="0" w:firstColumn="1" w:lastColumn="0" w:noHBand="0" w:noVBand="1"/>
      </w:tblPr>
      <w:tblGrid>
        <w:gridCol w:w="3755"/>
        <w:gridCol w:w="5307"/>
      </w:tblGrid>
      <w:tr w:rsidR="00B86FB3" w:rsidRPr="00FF756A" w14:paraId="0443CFED" w14:textId="77777777" w:rsidTr="006A32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63A2586" w14:textId="77777777" w:rsidR="00B86FB3" w:rsidRPr="00FF756A" w:rsidRDefault="00B86FB3" w:rsidP="00B86FB3">
            <w:pPr>
              <w:rPr>
                <w:rFonts w:cs="Times New Roman"/>
                <w:bCs w:val="0"/>
                <w:sz w:val="20"/>
                <w:szCs w:val="20"/>
              </w:rPr>
            </w:pPr>
            <w:r w:rsidRPr="00FF756A">
              <w:rPr>
                <w:rFonts w:cs="Times New Roman"/>
                <w:sz w:val="20"/>
                <w:szCs w:val="20"/>
              </w:rPr>
              <w:t>Projekti</w:t>
            </w:r>
          </w:p>
        </w:tc>
        <w:tc>
          <w:tcPr>
            <w:tcW w:w="5658" w:type="dxa"/>
          </w:tcPr>
          <w:p w14:paraId="3FBE5807"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Cs w:val="0"/>
                <w:sz w:val="20"/>
                <w:szCs w:val="20"/>
              </w:rPr>
            </w:pPr>
            <w:r w:rsidRPr="00FF756A">
              <w:rPr>
                <w:rFonts w:cs="Times New Roman"/>
                <w:sz w:val="20"/>
                <w:szCs w:val="20"/>
              </w:rPr>
              <w:t>Përfitimet</w:t>
            </w:r>
          </w:p>
        </w:tc>
      </w:tr>
      <w:tr w:rsidR="00B86FB3" w:rsidRPr="00FF756A" w14:paraId="1833EC91"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388C603C" w14:textId="77777777" w:rsidR="00B86FB3" w:rsidRPr="00FF756A" w:rsidRDefault="00B86FB3" w:rsidP="00B86FB3">
            <w:pPr>
              <w:rPr>
                <w:rFonts w:cs="Times New Roman"/>
                <w:b w:val="0"/>
                <w:sz w:val="20"/>
                <w:szCs w:val="20"/>
              </w:rPr>
            </w:pPr>
            <w:r w:rsidRPr="00FF756A">
              <w:rPr>
                <w:rFonts w:cs="Times New Roman"/>
                <w:sz w:val="20"/>
                <w:szCs w:val="20"/>
              </w:rPr>
              <w:t>Zgjerimi i nënstacionit të Komanit me një autotransformator të ri 345 MVA 400/220 kV, zbarë të dyfishtë 400 kV dhe dy trakte të reja të linjës 400 kV.</w:t>
            </w:r>
          </w:p>
        </w:tc>
        <w:tc>
          <w:tcPr>
            <w:tcW w:w="5658" w:type="dxa"/>
          </w:tcPr>
          <w:p w14:paraId="7C54ACEB" w14:textId="77777777" w:rsidR="00B86FB3" w:rsidRPr="00FF756A" w:rsidRDefault="00B86FB3" w:rsidP="008639B2">
            <w:pPr>
              <w:numPr>
                <w:ilvl w:val="1"/>
                <w:numId w:val="188"/>
              </w:numPr>
              <w:spacing w:after="0" w:line="240" w:lineRule="auto"/>
              <w:ind w:left="468" w:hanging="425"/>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Ky investim është i nevojshëm për të mundësuar një ekuilibër më të mirë midis rrjeteve 220 kV dhe 400 kV, përmes shpërndarjes së flukseve të energjisë së prodhuar nga HEC-i i Komanit me sa më pak humbje;</w:t>
            </w:r>
          </w:p>
          <w:p w14:paraId="577AAC61" w14:textId="77777777" w:rsidR="00B86FB3" w:rsidRPr="00FF756A" w:rsidRDefault="00B86FB3" w:rsidP="008639B2">
            <w:pPr>
              <w:numPr>
                <w:ilvl w:val="1"/>
                <w:numId w:val="188"/>
              </w:numPr>
              <w:spacing w:after="0" w:line="240" w:lineRule="auto"/>
              <w:ind w:left="468" w:hanging="425"/>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Përmirësime të ndjeshme në profilin e tensionit do të vërehen edhe gjatë periudhave me kushte të mira hidrologjike.</w:t>
            </w:r>
          </w:p>
        </w:tc>
      </w:tr>
      <w:tr w:rsidR="00B86FB3" w:rsidRPr="00FF756A" w14:paraId="4B54A63F" w14:textId="77777777" w:rsidTr="006A3266">
        <w:tc>
          <w:tcPr>
            <w:cnfStyle w:val="001000000000" w:firstRow="0" w:lastRow="0" w:firstColumn="1" w:lastColumn="0" w:oddVBand="0" w:evenVBand="0" w:oddHBand="0" w:evenHBand="0" w:firstRowFirstColumn="0" w:firstRowLastColumn="0" w:lastRowFirstColumn="0" w:lastRowLastColumn="0"/>
            <w:tcW w:w="3964" w:type="dxa"/>
          </w:tcPr>
          <w:p w14:paraId="1B073CA9" w14:textId="77777777" w:rsidR="00B86FB3" w:rsidRPr="00FF756A" w:rsidRDefault="00B86FB3" w:rsidP="00B86FB3">
            <w:pPr>
              <w:rPr>
                <w:rFonts w:cs="Times New Roman"/>
                <w:b w:val="0"/>
                <w:sz w:val="20"/>
                <w:szCs w:val="20"/>
              </w:rPr>
            </w:pPr>
            <w:r w:rsidRPr="00FF756A">
              <w:rPr>
                <w:rFonts w:cs="Times New Roman"/>
                <w:sz w:val="20"/>
                <w:szCs w:val="20"/>
              </w:rPr>
              <w:t>Linja e re e transmetimit 220kv me dy qarqe Tirana2 – Rrashbull</w:t>
            </w:r>
          </w:p>
        </w:tc>
        <w:tc>
          <w:tcPr>
            <w:tcW w:w="5658" w:type="dxa"/>
          </w:tcPr>
          <w:p w14:paraId="7FAEEBE5" w14:textId="77777777" w:rsidR="00B86FB3" w:rsidRPr="00FF756A" w:rsidRDefault="00B86FB3" w:rsidP="008639B2">
            <w:pPr>
              <w:numPr>
                <w:ilvl w:val="1"/>
                <w:numId w:val="188"/>
              </w:numPr>
              <w:spacing w:after="0" w:line="240" w:lineRule="auto"/>
              <w:ind w:left="468" w:hanging="425"/>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Projekti është tejet i rëndësishëm për sistemin e transmetimit në Shqipëri pasi trajton problematikat në vijim: ngarkesën maksimale të linjës ekzistuese, mospërmbushjen e kritereve të sigurisë N-1, humbjet e mëdha në transmetim dhe sasitë e konsiderueshme të energjisë elektrike të pafurnizuar.</w:t>
            </w:r>
          </w:p>
          <w:p w14:paraId="749C9B7C" w14:textId="77777777" w:rsidR="00B86FB3" w:rsidRPr="00FF756A" w:rsidRDefault="00B86FB3" w:rsidP="008639B2">
            <w:pPr>
              <w:numPr>
                <w:ilvl w:val="1"/>
                <w:numId w:val="188"/>
              </w:numPr>
              <w:spacing w:after="0" w:line="240" w:lineRule="auto"/>
              <w:ind w:left="468" w:hanging="425"/>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Ai do të përmirësojë furnizimin me energji elektrike në një zonë gjeografike mjaft të gjerë, që përfshin qarkun e Durrësit, Kavajën dhe pjesën jugore të Shqipërisë.</w:t>
            </w:r>
          </w:p>
          <w:p w14:paraId="3705E872" w14:textId="77777777" w:rsidR="00B86FB3" w:rsidRPr="00FF756A" w:rsidRDefault="00B86FB3" w:rsidP="008639B2">
            <w:pPr>
              <w:numPr>
                <w:ilvl w:val="1"/>
                <w:numId w:val="188"/>
              </w:numPr>
              <w:spacing w:after="0" w:line="240" w:lineRule="auto"/>
              <w:ind w:left="468" w:hanging="425"/>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Projekti përmbush kërkesat e legjislacionit shqiptar dhe evropian lidhur me mbrojtjen e mjedisit.</w:t>
            </w:r>
          </w:p>
          <w:p w14:paraId="78B335C0" w14:textId="77777777" w:rsidR="00B86FB3" w:rsidRPr="00FF756A" w:rsidRDefault="00B86FB3" w:rsidP="008639B2">
            <w:pPr>
              <w:numPr>
                <w:ilvl w:val="1"/>
                <w:numId w:val="188"/>
              </w:numPr>
              <w:spacing w:after="0" w:line="240" w:lineRule="auto"/>
              <w:ind w:left="468" w:hanging="425"/>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Investimi i propozuar pritet të ketë një ndikim pozitiv në ekonominë në tërësi dhe të përmirësojë cilësinë e jetës për qytetarët shqiptarë.</w:t>
            </w:r>
          </w:p>
          <w:p w14:paraId="0E220CE0" w14:textId="77777777" w:rsidR="00B86FB3" w:rsidRPr="00FF756A" w:rsidRDefault="00B86FB3" w:rsidP="008639B2">
            <w:pPr>
              <w:numPr>
                <w:ilvl w:val="1"/>
                <w:numId w:val="188"/>
              </w:numPr>
              <w:spacing w:after="0" w:line="240" w:lineRule="auto"/>
              <w:ind w:left="468" w:hanging="425"/>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Ai do të rrisë mundësitë për zhvillimin e turizmit në sajë të përmirësimit të furnizimit me energji.</w:t>
            </w:r>
          </w:p>
        </w:tc>
      </w:tr>
      <w:tr w:rsidR="00B86FB3" w:rsidRPr="00FF756A" w14:paraId="696D68F1" w14:textId="77777777" w:rsidTr="006A32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097A938F" w14:textId="77777777" w:rsidR="00B86FB3" w:rsidRPr="00FF756A" w:rsidRDefault="00B86FB3" w:rsidP="00B86FB3">
            <w:pPr>
              <w:rPr>
                <w:rFonts w:cs="Times New Roman"/>
                <w:b w:val="0"/>
                <w:sz w:val="20"/>
                <w:szCs w:val="20"/>
              </w:rPr>
            </w:pPr>
            <w:r w:rsidRPr="00FF756A">
              <w:rPr>
                <w:rFonts w:cs="Times New Roman"/>
                <w:sz w:val="20"/>
                <w:szCs w:val="20"/>
              </w:rPr>
              <w:t>Ndërtimi i nënstacionit 400/110 kV Tirana3 dhe përforcimi i unazës 110 KV të Tiranës</w:t>
            </w:r>
          </w:p>
        </w:tc>
        <w:tc>
          <w:tcPr>
            <w:tcW w:w="5658" w:type="dxa"/>
          </w:tcPr>
          <w:p w14:paraId="3E7B922B" w14:textId="77777777" w:rsidR="00B86FB3" w:rsidRPr="00FF756A" w:rsidRDefault="00B86FB3" w:rsidP="008639B2">
            <w:pPr>
              <w:numPr>
                <w:ilvl w:val="1"/>
                <w:numId w:val="188"/>
              </w:numPr>
              <w:spacing w:after="0" w:line="240" w:lineRule="auto"/>
              <w:ind w:left="457" w:hanging="425"/>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Kalimi i fluksit nga rrjeti 400 kV i interkoneksionit te rrjeti kombëtar 220 kV;</w:t>
            </w:r>
          </w:p>
          <w:p w14:paraId="25A33E76" w14:textId="77777777" w:rsidR="00B86FB3" w:rsidRPr="00FF756A" w:rsidRDefault="00B86FB3" w:rsidP="008639B2">
            <w:pPr>
              <w:numPr>
                <w:ilvl w:val="1"/>
                <w:numId w:val="188"/>
              </w:numPr>
              <w:spacing w:after="0" w:line="240" w:lineRule="auto"/>
              <w:ind w:left="457" w:hanging="425"/>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Rritja e sigurisë së funksionimit të sistemit;</w:t>
            </w:r>
          </w:p>
          <w:p w14:paraId="029FE93F" w14:textId="77777777" w:rsidR="00B86FB3" w:rsidRPr="00FF756A" w:rsidRDefault="00B86FB3" w:rsidP="008639B2">
            <w:pPr>
              <w:numPr>
                <w:ilvl w:val="1"/>
                <w:numId w:val="188"/>
              </w:numPr>
              <w:spacing w:after="0" w:line="240" w:lineRule="auto"/>
              <w:ind w:left="457" w:hanging="425"/>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Kalimi i fluksit nga rrjeti 400 kV i interkoneksionit te rrjeti kombëtar 220 kV;</w:t>
            </w:r>
          </w:p>
          <w:p w14:paraId="4BC3C817" w14:textId="77777777" w:rsidR="00B86FB3" w:rsidRPr="00FF756A" w:rsidRDefault="00B86FB3" w:rsidP="008639B2">
            <w:pPr>
              <w:numPr>
                <w:ilvl w:val="1"/>
                <w:numId w:val="188"/>
              </w:numPr>
              <w:spacing w:after="0" w:line="240" w:lineRule="auto"/>
              <w:ind w:left="457" w:hanging="425"/>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Rritja e ndjeshme e sigurisë së funksionimit të sistemit;</w:t>
            </w:r>
          </w:p>
          <w:p w14:paraId="30DFE8A9" w14:textId="77777777" w:rsidR="00B86FB3" w:rsidRPr="00FF756A" w:rsidRDefault="00B86FB3" w:rsidP="008639B2">
            <w:pPr>
              <w:numPr>
                <w:ilvl w:val="1"/>
                <w:numId w:val="188"/>
              </w:numPr>
              <w:spacing w:after="0" w:line="240" w:lineRule="auto"/>
              <w:ind w:left="457" w:hanging="425"/>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Rritja e cilësisë së furnizimit me energji elektrike dhe rritja e sigurisë së furnizimit për rajonin e Tiranës;</w:t>
            </w:r>
          </w:p>
          <w:p w14:paraId="18ED5EC2" w14:textId="77777777" w:rsidR="00B86FB3" w:rsidRPr="00FF756A" w:rsidRDefault="00B86FB3" w:rsidP="008639B2">
            <w:pPr>
              <w:numPr>
                <w:ilvl w:val="1"/>
                <w:numId w:val="188"/>
              </w:numPr>
              <w:spacing w:after="0" w:line="240" w:lineRule="auto"/>
              <w:ind w:left="457" w:hanging="425"/>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Pakësimi i humbjeve në rrjetin e transmetimit;</w:t>
            </w:r>
          </w:p>
          <w:p w14:paraId="6558F744" w14:textId="0B661817" w:rsidR="00B86FB3" w:rsidRPr="00FF756A" w:rsidRDefault="00B86FB3" w:rsidP="008639B2">
            <w:pPr>
              <w:numPr>
                <w:ilvl w:val="1"/>
                <w:numId w:val="188"/>
              </w:numPr>
              <w:spacing w:after="0" w:line="240" w:lineRule="auto"/>
              <w:ind w:left="457" w:hanging="425"/>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Reduktimi i energjisë së pa</w:t>
            </w:r>
            <w:r w:rsidR="00C62A3B" w:rsidRPr="00FF756A">
              <w:rPr>
                <w:rFonts w:cs="Times New Roman"/>
                <w:sz w:val="20"/>
                <w:szCs w:val="20"/>
              </w:rPr>
              <w:t>shërbyer</w:t>
            </w:r>
            <w:r w:rsidRPr="00FF756A">
              <w:rPr>
                <w:rFonts w:cs="Times New Roman"/>
                <w:sz w:val="20"/>
                <w:szCs w:val="20"/>
              </w:rPr>
              <w:t>.</w:t>
            </w:r>
          </w:p>
          <w:p w14:paraId="2112CDC9" w14:textId="77777777" w:rsidR="00B86FB3" w:rsidRPr="00FF756A" w:rsidRDefault="00B86FB3" w:rsidP="008639B2">
            <w:pPr>
              <w:keepNext/>
              <w:numPr>
                <w:ilvl w:val="1"/>
                <w:numId w:val="188"/>
              </w:numPr>
              <w:spacing w:after="0" w:line="240" w:lineRule="auto"/>
              <w:ind w:left="457" w:hanging="425"/>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FF756A">
              <w:rPr>
                <w:rFonts w:cs="Times New Roman"/>
                <w:sz w:val="20"/>
                <w:szCs w:val="20"/>
              </w:rPr>
              <w:t>Projekti përmbush kërkesat e legjislacionit shqiptar dhe evropian lidhur me mbrojtjen e mjedisit.</w:t>
            </w:r>
          </w:p>
        </w:tc>
      </w:tr>
    </w:tbl>
    <w:p w14:paraId="663B259E" w14:textId="7E3D9403" w:rsidR="00B86FB3" w:rsidRPr="00FF756A" w:rsidRDefault="003F200D" w:rsidP="003F200D">
      <w:pPr>
        <w:pStyle w:val="Caption"/>
        <w:rPr>
          <w:rFonts w:ascii="Times New Roman" w:hAnsi="Times New Roman"/>
        </w:rPr>
      </w:pPr>
      <w:bookmarkStart w:id="635" w:name="_Toc183016510"/>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46</w:t>
      </w:r>
      <w:r w:rsidR="008E7DE9" w:rsidRPr="00FF756A">
        <w:rPr>
          <w:rFonts w:ascii="Times New Roman" w:hAnsi="Times New Roman"/>
          <w:noProof/>
        </w:rPr>
        <w:fldChar w:fldCharType="end"/>
      </w:r>
      <w:r w:rsidRPr="00FF756A">
        <w:rPr>
          <w:rFonts w:ascii="Times New Roman" w:hAnsi="Times New Roman"/>
        </w:rPr>
        <w:t>: Projektet ekzistuese dhe të planifikuara të rrjetit të transmetimit. Burimi: OST 2018</w:t>
      </w:r>
      <w:bookmarkEnd w:id="635"/>
    </w:p>
    <w:p w14:paraId="02BA531E" w14:textId="77777777" w:rsidR="00FE6A99" w:rsidRPr="00FF756A" w:rsidRDefault="00FE6A99" w:rsidP="004A3257"/>
    <w:p w14:paraId="061F0CC6" w14:textId="77777777" w:rsidR="00B86FB3" w:rsidRPr="00FF756A" w:rsidRDefault="00B86FB3" w:rsidP="008639B2">
      <w:pPr>
        <w:keepNext/>
        <w:keepLines/>
        <w:numPr>
          <w:ilvl w:val="2"/>
          <w:numId w:val="197"/>
        </w:numPr>
        <w:pBdr>
          <w:top w:val="none" w:sz="0" w:space="0" w:color="auto"/>
          <w:left w:val="none" w:sz="0" w:space="0" w:color="auto"/>
          <w:bottom w:val="none" w:sz="0" w:space="0" w:color="auto"/>
          <w:right w:val="none" w:sz="0" w:space="0" w:color="auto"/>
          <w:between w:val="none" w:sz="0" w:space="0" w:color="auto"/>
        </w:pBdr>
        <w:spacing w:before="40" w:after="120" w:line="240" w:lineRule="auto"/>
        <w:outlineLvl w:val="2"/>
        <w:rPr>
          <w:rFonts w:eastAsia="Calibri Light"/>
          <w:color w:val="1F3763" w:themeColor="accent1" w:themeShade="7F"/>
          <w:sz w:val="24"/>
          <w:szCs w:val="24"/>
        </w:rPr>
      </w:pPr>
      <w:bookmarkStart w:id="636" w:name="_Toc71832855"/>
      <w:bookmarkStart w:id="637" w:name="_Toc72331022"/>
      <w:bookmarkStart w:id="638" w:name="_Toc75616154"/>
      <w:bookmarkStart w:id="639" w:name="_Toc100575615"/>
      <w:bookmarkStart w:id="640" w:name="_Toc182898978"/>
      <w:bookmarkStart w:id="641" w:name="_Toc183639296"/>
      <w:bookmarkStart w:id="642" w:name="_Hlk75715904"/>
      <w:r w:rsidRPr="00FF756A">
        <w:rPr>
          <w:rFonts w:eastAsia="Calibri Light"/>
          <w:color w:val="1F3763" w:themeColor="accent1" w:themeShade="7F"/>
          <w:sz w:val="24"/>
          <w:szCs w:val="24"/>
        </w:rPr>
        <w:t>Tregjet e energjisë elektrike dhe gazit, çmimet e energjisë</w:t>
      </w:r>
      <w:bookmarkEnd w:id="636"/>
      <w:bookmarkEnd w:id="637"/>
      <w:bookmarkEnd w:id="638"/>
      <w:bookmarkEnd w:id="639"/>
      <w:bookmarkEnd w:id="640"/>
      <w:bookmarkEnd w:id="641"/>
    </w:p>
    <w:bookmarkEnd w:id="642"/>
    <w:p w14:paraId="7039AA65" w14:textId="77777777" w:rsidR="00B86FB3" w:rsidRPr="00FF756A" w:rsidRDefault="00B86FB3" w:rsidP="00B86FB3"/>
    <w:p w14:paraId="6F4AD3CF" w14:textId="77777777" w:rsidR="00B86FB3" w:rsidRPr="00FF756A" w:rsidRDefault="00B86FB3" w:rsidP="004A3257">
      <w:pPr>
        <w:keepNext/>
        <w:keepLines/>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rFonts w:eastAsia="Calibri Light"/>
          <w:i/>
          <w:iCs/>
          <w:color w:val="2F5496" w:themeColor="accent1" w:themeShade="BF"/>
        </w:rPr>
      </w:pPr>
      <w:bookmarkStart w:id="643" w:name="_Toc183639297"/>
      <w:r w:rsidRPr="00FF756A">
        <w:rPr>
          <w:rFonts w:eastAsia="Calibri Light"/>
          <w:i/>
          <w:iCs/>
          <w:color w:val="2F5496" w:themeColor="accent1" w:themeShade="BF"/>
        </w:rPr>
        <w:t>Situata aktuale e tregjeve të energjisë elektrike dhe të gazit, duke përfshirë çmimet e energjisë elektrike</w:t>
      </w:r>
      <w:bookmarkEnd w:id="643"/>
    </w:p>
    <w:p w14:paraId="24AC946D" w14:textId="77777777" w:rsidR="00B86FB3" w:rsidRPr="00FF756A" w:rsidRDefault="00B86FB3" w:rsidP="00B86FB3">
      <w:r w:rsidRPr="00FF756A">
        <w:t xml:space="preserve">Tregjet e energjisë elektrike dhe të gazit përshkruhen në seksionin përkatës në kreun 1.  Bursa Shqiptare e Energjisë Elektrike (ALPEX) u krijua në vitin 2020 dhe u vu në punë më 12 prill 2023. </w:t>
      </w:r>
    </w:p>
    <w:p w14:paraId="0BC6E68D" w14:textId="77777777" w:rsidR="00B86FB3" w:rsidRPr="00FF756A" w:rsidRDefault="00B86FB3" w:rsidP="00B86FB3">
      <w:pPr>
        <w:rPr>
          <w:rFonts w:eastAsia="Times New Roman"/>
        </w:rPr>
      </w:pPr>
      <w:r w:rsidRPr="00FF756A">
        <w:t>Më 1 shkurt 2024, Bursa Shqiptare e Energjisë Elektrike (ALPEX) organizoi ankandin e saj të parë të ditës në avancë për furnizimin e energjisë elektrike në Kosovë, çka shënoi ndërlidhjen e parë të tregjeve midis palëve kontraktuese të Komunitetit të Energjisë. Alokimi i kapaciteteve ndërkufitare për pjesëmarrësit në tregun e rajonit realizohet nga Zyra e Koordinuar e Ankandeve për Evropën Juglindore (SEE CAO) në Podgoricë.</w:t>
      </w:r>
    </w:p>
    <w:p w14:paraId="6887779A" w14:textId="77777777" w:rsidR="00B86FB3" w:rsidRPr="00FF756A" w:rsidRDefault="00B86FB3" w:rsidP="00B86FB3">
      <w:r w:rsidRPr="00FF756A">
        <w:t xml:space="preserve"> </w:t>
      </w:r>
    </w:p>
    <w:p w14:paraId="2D4999EA" w14:textId="06D39931" w:rsidR="00B86FB3" w:rsidRPr="00FF756A" w:rsidRDefault="00B86FB3" w:rsidP="00B86FB3">
      <w:r w:rsidRPr="00FF756A">
        <w:t>Çmimet e energjisë elektrike vazhdojnë të jenë të rregulluara, por duhet të liberalizohen gradualisht me vënien në zbatim të legjislacionit.</w:t>
      </w:r>
      <w:r w:rsidR="00BD7F06" w:rsidRPr="00FF756A">
        <w:t xml:space="preserve"> </w:t>
      </w:r>
      <w:r w:rsidRPr="00FF756A">
        <w:t>Ndërkohë që për sa i përket çmimit të gazit, aktualisht nuk ekziston një treg me pakicë për të.</w:t>
      </w:r>
    </w:p>
    <w:p w14:paraId="7BA269AA" w14:textId="77777777" w:rsidR="00B86FB3" w:rsidRPr="00FF756A" w:rsidRDefault="00B86FB3" w:rsidP="00B86FB3"/>
    <w:p w14:paraId="20BC9FC9" w14:textId="77777777" w:rsidR="00B86FB3" w:rsidRPr="00FF756A" w:rsidRDefault="00B86FB3" w:rsidP="004A3257">
      <w:pPr>
        <w:keepNext/>
        <w:keepLines/>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rFonts w:eastAsia="Calibri Light"/>
          <w:i/>
          <w:iCs/>
          <w:color w:val="2F5496" w:themeColor="accent1" w:themeShade="BF"/>
        </w:rPr>
      </w:pPr>
      <w:bookmarkStart w:id="644" w:name="_Toc183639298"/>
      <w:r w:rsidRPr="00FF756A">
        <w:rPr>
          <w:rFonts w:eastAsia="Calibri Light"/>
          <w:i/>
          <w:iCs/>
          <w:color w:val="2F5496" w:themeColor="accent1" w:themeShade="BF"/>
        </w:rPr>
        <w:t>Parashikimet e zhvillimit me politikat dhe masat ekzistuese, të paktën deri në vitin 2040</w:t>
      </w:r>
      <w:bookmarkEnd w:id="644"/>
    </w:p>
    <w:p w14:paraId="7F4AB3C3" w14:textId="77777777" w:rsidR="00B86FB3" w:rsidRPr="00FF756A" w:rsidRDefault="00B86FB3" w:rsidP="00BD7F06">
      <w:r w:rsidRPr="00FF756A">
        <w:t>Aktualisht, po analizohet efekti i parashikimeve të zhvillimit të sistemit të energjisë sipas skenarit WEM.</w:t>
      </w:r>
    </w:p>
    <w:p w14:paraId="6FDF468F" w14:textId="77777777" w:rsidR="00B86FB3" w:rsidRPr="00FF756A" w:rsidRDefault="00B86FB3" w:rsidP="00B86FB3"/>
    <w:p w14:paraId="63A2CC91" w14:textId="7EA8B0FB" w:rsidR="00B86FB3" w:rsidRPr="00FF756A" w:rsidRDefault="00B86FB3" w:rsidP="004A3257">
      <w:pPr>
        <w:pStyle w:val="Heading2"/>
        <w:numPr>
          <w:ilvl w:val="1"/>
          <w:numId w:val="252"/>
        </w:numPr>
      </w:pPr>
      <w:bookmarkStart w:id="645" w:name="_Toc71832856"/>
      <w:bookmarkStart w:id="646" w:name="_Toc72331023"/>
      <w:bookmarkStart w:id="647" w:name="_Toc75616155"/>
      <w:bookmarkStart w:id="648" w:name="_Toc100575616"/>
      <w:bookmarkStart w:id="649" w:name="_Toc182898979"/>
      <w:bookmarkStart w:id="650" w:name="_Toc183639299"/>
      <w:r w:rsidRPr="00FF756A">
        <w:t>Dimensioni i kërkimeve, inovacionit dhe konkurueshmërisë</w:t>
      </w:r>
      <w:bookmarkEnd w:id="645"/>
      <w:bookmarkEnd w:id="646"/>
      <w:bookmarkEnd w:id="647"/>
      <w:bookmarkEnd w:id="648"/>
      <w:bookmarkEnd w:id="649"/>
      <w:bookmarkEnd w:id="650"/>
    </w:p>
    <w:p w14:paraId="778EB0D0" w14:textId="77777777" w:rsidR="00B86FB3" w:rsidRPr="00FF756A" w:rsidRDefault="00B86FB3" w:rsidP="00B86FB3"/>
    <w:p w14:paraId="3822091C" w14:textId="22D0B245" w:rsidR="00B86FB3" w:rsidRPr="00FF756A" w:rsidRDefault="00B86FB3" w:rsidP="004A3257">
      <w:pPr>
        <w:pStyle w:val="Heading3"/>
        <w:numPr>
          <w:ilvl w:val="2"/>
          <w:numId w:val="252"/>
        </w:numPr>
      </w:pPr>
      <w:bookmarkStart w:id="651" w:name="_Toc183639300"/>
      <w:r w:rsidRPr="00FF756A">
        <w:t>Situata aktuale në sektorin e teknologjive me shkarkime të ulëta të karbonit dhe, për aq sa është e mundur, pozicioni i tij në tregun botëror (kjo analizë duhet në kryhet në nivel BE-je ose botëror)</w:t>
      </w:r>
      <w:bookmarkEnd w:id="651"/>
    </w:p>
    <w:p w14:paraId="0CC4403B" w14:textId="77777777" w:rsidR="00B86FB3" w:rsidRPr="00FF756A" w:rsidRDefault="00B86FB3" w:rsidP="00B86FB3">
      <w:r w:rsidRPr="00FF756A">
        <w:t xml:space="preserve">Shqipëria ka marrë pjesë në programin “Horizon 2020” dhe është shtet pjesëmarrës në “Horizon Europe”. Në bazë të këtyre marrëveshjeve, organizatat dhe shoqëritë kërkimore kanë marrë pjesë me sukses në projektet përkatëse. </w:t>
      </w:r>
    </w:p>
    <w:p w14:paraId="5FE0CEBB" w14:textId="77777777" w:rsidR="00B86FB3" w:rsidRPr="00FF756A" w:rsidRDefault="00B86FB3" w:rsidP="00B86FB3"/>
    <w:p w14:paraId="4E67B7B8" w14:textId="6688FCFF" w:rsidR="00B86FB3" w:rsidRPr="00FF756A" w:rsidRDefault="00B86FB3" w:rsidP="004A3257">
      <w:pPr>
        <w:pStyle w:val="Heading3"/>
        <w:numPr>
          <w:ilvl w:val="2"/>
          <w:numId w:val="252"/>
        </w:numPr>
      </w:pPr>
      <w:bookmarkStart w:id="652" w:name="_Toc183639301"/>
      <w:r w:rsidRPr="00FF756A">
        <w:t>Niveli aktual i shpenzimeve publike dhe, sipas rastit, i shpenzimeve private për kërkim dhe inovacion për teknologjitë me shkarkime të ulëta karboni, numri aktual i patentave dhe numri aktual i kërkuesve</w:t>
      </w:r>
      <w:bookmarkEnd w:id="652"/>
    </w:p>
    <w:p w14:paraId="7BFFFB3C" w14:textId="77777777" w:rsidR="00B86FB3" w:rsidRPr="00FF756A" w:rsidRDefault="00B86FB3" w:rsidP="00B86FB3">
      <w:r w:rsidRPr="00FF756A">
        <w:t xml:space="preserve">Në rang kombëtar, nuk ekziston një program specifik për kërkim-zhvillimin e teknologjive me shkarkime të ulëta karboni. Për sa i përket sektorit privat, nuk disponohen të dhëna lidhur me shpenzimet private për kërkim dhe inovacion për teknologjitë me shkarkime të ulëta karboni, numrin aktual të patentave dhe numrin aktual të kërkuesve. </w:t>
      </w:r>
    </w:p>
    <w:p w14:paraId="2656347E" w14:textId="77777777" w:rsidR="00B86FB3" w:rsidRPr="00FF756A" w:rsidRDefault="00B86FB3" w:rsidP="00B86FB3">
      <w:pPr>
        <w:spacing w:before="0" w:after="0" w:line="240" w:lineRule="auto"/>
        <w:jc w:val="left"/>
        <w:rPr>
          <w:rFonts w:eastAsia="Calibri Light"/>
          <w:i/>
          <w:iCs/>
          <w:color w:val="2F5496" w:themeColor="accent1" w:themeShade="BF"/>
        </w:rPr>
      </w:pPr>
    </w:p>
    <w:p w14:paraId="54289DD0" w14:textId="2A36F55E" w:rsidR="00B86FB3" w:rsidRPr="00FF756A" w:rsidRDefault="00B86FB3" w:rsidP="004A3257">
      <w:pPr>
        <w:pStyle w:val="Heading3"/>
        <w:numPr>
          <w:ilvl w:val="2"/>
          <w:numId w:val="252"/>
        </w:numPr>
      </w:pPr>
      <w:bookmarkStart w:id="653" w:name="_Toc183639302"/>
      <w:r w:rsidRPr="00FF756A">
        <w:t>Kategorizimi i elementeve aktuale të çmimit që përbëjnë tre komponentët kryesorë të çmimit (energjia, rrjeti dhe taksat/detyrimet)</w:t>
      </w:r>
      <w:bookmarkEnd w:id="653"/>
    </w:p>
    <w:p w14:paraId="353B1ED0" w14:textId="77777777" w:rsidR="00B86FB3" w:rsidRPr="00FF756A" w:rsidRDefault="00B86FB3" w:rsidP="00B86FB3"/>
    <w:p w14:paraId="3819DAC5" w14:textId="77777777" w:rsidR="00B86FB3" w:rsidRPr="00FF756A" w:rsidRDefault="00B86FB3" w:rsidP="00B86FB3">
      <w:r w:rsidRPr="00FF756A">
        <w:t>Në tabelën e mëposhtme paraqitet kategorizimi i komponentëve të çmimit të energjisë, si dhe tarifat aktuale. Në të gjitha tabelat është përdorur kursi i këmbimit 1 euro = 100 lekë.</w:t>
      </w:r>
    </w:p>
    <w:p w14:paraId="52EA7CCD" w14:textId="77777777" w:rsidR="00B86FB3" w:rsidRPr="00FF756A" w:rsidRDefault="00B86FB3" w:rsidP="00B86FB3"/>
    <w:tbl>
      <w:tblPr>
        <w:tblStyle w:val="GridTable5DarkAccent10"/>
        <w:tblW w:w="9482" w:type="dxa"/>
        <w:tblLook w:val="04A0" w:firstRow="1" w:lastRow="0" w:firstColumn="1" w:lastColumn="0" w:noHBand="0" w:noVBand="1"/>
      </w:tblPr>
      <w:tblGrid>
        <w:gridCol w:w="2120"/>
        <w:gridCol w:w="1260"/>
        <w:gridCol w:w="1225"/>
        <w:gridCol w:w="1372"/>
        <w:gridCol w:w="1339"/>
        <w:gridCol w:w="1164"/>
        <w:gridCol w:w="1080"/>
      </w:tblGrid>
      <w:tr w:rsidR="00B86FB3" w:rsidRPr="00FF756A" w14:paraId="348E8222" w14:textId="77777777" w:rsidTr="006A3266">
        <w:trPr>
          <w:cnfStyle w:val="100000000000" w:firstRow="1" w:lastRow="0" w:firstColumn="0" w:lastColumn="0" w:oddVBand="0" w:evenVBand="0" w:oddHBand="0"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120" w:type="dxa"/>
            <w:tcBorders>
              <w:top w:val="single" w:sz="8" w:space="0" w:color="FFFFFF" w:themeColor="background1"/>
              <w:left w:val="single" w:sz="8" w:space="0" w:color="FFFFFF" w:themeColor="background1"/>
              <w:bottom w:val="single" w:sz="8" w:space="0" w:color="FFFFFF" w:themeColor="background1"/>
            </w:tcBorders>
            <w:shd w:val="clear" w:color="auto" w:fill="156082"/>
            <w:noWrap/>
            <w:tcMar>
              <w:left w:w="108" w:type="dxa"/>
              <w:right w:w="108" w:type="dxa"/>
            </w:tcMar>
            <w:hideMark/>
          </w:tcPr>
          <w:p w14:paraId="08C29805" w14:textId="77777777" w:rsidR="00B86FB3" w:rsidRPr="00FF756A" w:rsidRDefault="00B86FB3" w:rsidP="00B86FB3">
            <w:pPr>
              <w:spacing w:before="0" w:after="0"/>
              <w:jc w:val="center"/>
              <w:rPr>
                <w:rFonts w:eastAsia="Times New Roman" w:cs="Times New Roman"/>
                <w:sz w:val="20"/>
                <w:szCs w:val="20"/>
              </w:rPr>
            </w:pPr>
          </w:p>
        </w:tc>
        <w:tc>
          <w:tcPr>
            <w:tcW w:w="1260" w:type="dxa"/>
            <w:tcBorders>
              <w:top w:val="single" w:sz="8" w:space="0" w:color="FFFFFF" w:themeColor="background1"/>
              <w:bottom w:val="single" w:sz="8" w:space="0" w:color="FFFFFF" w:themeColor="background1"/>
            </w:tcBorders>
            <w:shd w:val="clear" w:color="auto" w:fill="156082"/>
            <w:noWrap/>
            <w:tcMar>
              <w:left w:w="108" w:type="dxa"/>
              <w:right w:w="108" w:type="dxa"/>
            </w:tcMar>
            <w:hideMark/>
          </w:tcPr>
          <w:p w14:paraId="2C4EBF99" w14:textId="77777777" w:rsidR="00B86FB3" w:rsidRPr="00FF756A" w:rsidRDefault="00B86FB3" w:rsidP="00B86FB3">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FF756A">
              <w:rPr>
                <w:rFonts w:cs="Times New Roman"/>
                <w:sz w:val="20"/>
                <w:szCs w:val="20"/>
              </w:rPr>
              <w:t xml:space="preserve"> </w:t>
            </w:r>
          </w:p>
        </w:tc>
        <w:tc>
          <w:tcPr>
            <w:tcW w:w="6102" w:type="dxa"/>
            <w:gridSpan w:val="5"/>
            <w:tcBorders>
              <w:top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64192ADE" w14:textId="77777777" w:rsidR="00B86FB3" w:rsidRPr="00FF756A" w:rsidRDefault="00B86FB3" w:rsidP="00B86FB3">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20"/>
                <w:szCs w:val="20"/>
              </w:rPr>
            </w:pPr>
            <w:r w:rsidRPr="00FF756A">
              <w:rPr>
                <w:rFonts w:cs="Times New Roman"/>
                <w:sz w:val="20"/>
                <w:szCs w:val="20"/>
              </w:rPr>
              <w:t>Çmimet mesatare të energjisë elektrike në eurocentë/kWh për vitin 2023</w:t>
            </w:r>
          </w:p>
        </w:tc>
      </w:tr>
      <w:tr w:rsidR="00B86FB3" w:rsidRPr="00FF756A" w14:paraId="74A96027" w14:textId="77777777" w:rsidTr="006A3266">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1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5A231303"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Lloji i</w:t>
            </w:r>
          </w:p>
        </w:tc>
        <w:tc>
          <w:tcPr>
            <w:tcW w:w="1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0E9D50EE"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 xml:space="preserve">Niveli i </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44367115"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Energjia dhe</w:t>
            </w:r>
          </w:p>
        </w:tc>
        <w:tc>
          <w:tcPr>
            <w:tcW w:w="1372" w:type="dxa"/>
            <w:tcBorders>
              <w:top w:val="nil"/>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779D1C6D" w14:textId="77777777" w:rsidR="00B86FB3" w:rsidRPr="00FF756A" w:rsidRDefault="00B86FB3" w:rsidP="00B86FB3">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Rrjeti</w:t>
            </w:r>
          </w:p>
        </w:tc>
        <w:tc>
          <w:tcPr>
            <w:tcW w:w="1261" w:type="dxa"/>
            <w:tcBorders>
              <w:top w:val="nil"/>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61586DB8" w14:textId="77777777" w:rsidR="00B86FB3" w:rsidRPr="00FF756A" w:rsidRDefault="00B86FB3" w:rsidP="00B86FB3">
            <w:pPr>
              <w:spacing w:before="0" w:after="0"/>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Kostot</w:t>
            </w:r>
          </w:p>
        </w:tc>
        <w:tc>
          <w:tcPr>
            <w:tcW w:w="1164" w:type="dxa"/>
            <w:tcBorders>
              <w:top w:val="nil"/>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187609E2"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Pa TVSH</w:t>
            </w:r>
          </w:p>
        </w:tc>
        <w:tc>
          <w:tcPr>
            <w:tcW w:w="1080" w:type="dxa"/>
            <w:tcBorders>
              <w:top w:val="nil"/>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0365D502"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Pa TVSH</w:t>
            </w:r>
          </w:p>
        </w:tc>
      </w:tr>
      <w:tr w:rsidR="00B86FB3" w:rsidRPr="00FF756A" w14:paraId="05D5E3B3" w14:textId="77777777" w:rsidTr="006A3266">
        <w:trPr>
          <w:trHeight w:val="15"/>
        </w:trPr>
        <w:tc>
          <w:tcPr>
            <w:cnfStyle w:val="001000000000" w:firstRow="0" w:lastRow="0" w:firstColumn="1" w:lastColumn="0" w:oddVBand="0" w:evenVBand="0" w:oddHBand="0" w:evenHBand="0" w:firstRowFirstColumn="0" w:firstRowLastColumn="0" w:lastRowFirstColumn="0" w:lastRowLastColumn="0"/>
            <w:tcW w:w="21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20DA9B60" w14:textId="289A98A0" w:rsidR="00B86FB3" w:rsidRPr="00FF756A" w:rsidRDefault="00C357E5" w:rsidP="00B86FB3">
            <w:pPr>
              <w:spacing w:before="0" w:after="0"/>
              <w:jc w:val="center"/>
              <w:rPr>
                <w:rFonts w:eastAsia="Times New Roman" w:cs="Times New Roman"/>
                <w:sz w:val="20"/>
                <w:szCs w:val="20"/>
              </w:rPr>
            </w:pPr>
            <w:r w:rsidRPr="00FF756A">
              <w:rPr>
                <w:rFonts w:cs="Times New Roman"/>
                <w:sz w:val="20"/>
                <w:szCs w:val="20"/>
              </w:rPr>
              <w:t>K</w:t>
            </w:r>
            <w:r w:rsidR="00B86FB3" w:rsidRPr="00FF756A">
              <w:rPr>
                <w:rFonts w:cs="Times New Roman"/>
                <w:sz w:val="20"/>
                <w:szCs w:val="20"/>
              </w:rPr>
              <w:t>onsumatorit</w:t>
            </w:r>
          </w:p>
        </w:tc>
        <w:tc>
          <w:tcPr>
            <w:tcW w:w="1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7D87783B"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tensionit</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511C5EC7"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furnizimi</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486CCF22"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i transmetimit</w:t>
            </w:r>
          </w:p>
        </w:tc>
        <w:tc>
          <w:tcPr>
            <w:tcW w:w="126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11533933"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e shpërndarjes</w:t>
            </w:r>
          </w:p>
        </w:tc>
        <w:tc>
          <w:tcPr>
            <w:tcW w:w="116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40C617F1"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0A915E28"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p>
        </w:tc>
      </w:tr>
      <w:tr w:rsidR="00B86FB3" w:rsidRPr="00FF756A" w14:paraId="7F7D990C" w14:textId="77777777" w:rsidTr="006A3266">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1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798D0238"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Privat, i furnizuar nga furnizuesi i mundësisë së fundit</w:t>
            </w:r>
          </w:p>
        </w:tc>
        <w:tc>
          <w:tcPr>
            <w:tcW w:w="1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319B2764"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35 kV</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2842E359"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16,870</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291893C4"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0,85</w:t>
            </w:r>
          </w:p>
        </w:tc>
        <w:tc>
          <w:tcPr>
            <w:tcW w:w="126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2EE99627"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1,55</w:t>
            </w:r>
          </w:p>
        </w:tc>
        <w:tc>
          <w:tcPr>
            <w:tcW w:w="116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523228BD"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19,270</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6951BAF1"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23,124</w:t>
            </w:r>
          </w:p>
        </w:tc>
      </w:tr>
      <w:tr w:rsidR="00B86FB3" w:rsidRPr="00FF756A" w14:paraId="469DC816" w14:textId="77777777" w:rsidTr="006A3266">
        <w:trPr>
          <w:trHeight w:val="15"/>
        </w:trPr>
        <w:tc>
          <w:tcPr>
            <w:cnfStyle w:val="001000000000" w:firstRow="0" w:lastRow="0" w:firstColumn="1" w:lastColumn="0" w:oddVBand="0" w:evenVBand="0" w:oddHBand="0" w:evenHBand="0" w:firstRowFirstColumn="0" w:firstRowLastColumn="0" w:lastRowFirstColumn="0" w:lastRowLastColumn="0"/>
            <w:tcW w:w="21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106557F9"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Privat, i furnizuar nga furnizuesi i mundësisë së fundit</w:t>
            </w:r>
          </w:p>
        </w:tc>
        <w:tc>
          <w:tcPr>
            <w:tcW w:w="1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1AECB39E"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20/10/6 kV</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05B364CE"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13,42</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4E2EF359"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0,85</w:t>
            </w:r>
          </w:p>
        </w:tc>
        <w:tc>
          <w:tcPr>
            <w:tcW w:w="126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7A3A863A"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3,99</w:t>
            </w:r>
          </w:p>
        </w:tc>
        <w:tc>
          <w:tcPr>
            <w:tcW w:w="116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323C6AAA"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18,26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52D4BE85"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21,912</w:t>
            </w:r>
          </w:p>
        </w:tc>
      </w:tr>
      <w:tr w:rsidR="00B86FB3" w:rsidRPr="00FF756A" w14:paraId="52622D32" w14:textId="77777777" w:rsidTr="006A3266">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1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2E11D0AE"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Shoqëritë e Ujësjellës-Kanalizime, të furnizuara nga furnizuesi i mundësisë së fundit</w:t>
            </w:r>
          </w:p>
        </w:tc>
        <w:tc>
          <w:tcPr>
            <w:tcW w:w="1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7C7F7122"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35 kV</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402421F5"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6,93</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4537908A"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0,85</w:t>
            </w:r>
          </w:p>
        </w:tc>
        <w:tc>
          <w:tcPr>
            <w:tcW w:w="126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7FB0E47B"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1,55</w:t>
            </w:r>
          </w:p>
        </w:tc>
        <w:tc>
          <w:tcPr>
            <w:tcW w:w="116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403A4788"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9,33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16D70832"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11,196</w:t>
            </w:r>
          </w:p>
        </w:tc>
      </w:tr>
      <w:tr w:rsidR="00B86FB3" w:rsidRPr="00FF756A" w14:paraId="238C0619" w14:textId="77777777" w:rsidTr="006A3266">
        <w:trPr>
          <w:trHeight w:val="15"/>
        </w:trPr>
        <w:tc>
          <w:tcPr>
            <w:cnfStyle w:val="001000000000" w:firstRow="0" w:lastRow="0" w:firstColumn="1" w:lastColumn="0" w:oddVBand="0" w:evenVBand="0" w:oddHBand="0" w:evenHBand="0" w:firstRowFirstColumn="0" w:firstRowLastColumn="0" w:lastRowFirstColumn="0" w:lastRowLastColumn="0"/>
            <w:tcW w:w="21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1B6CB880"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Shoqëritë e Ujësjellës-Kanalizime, të furnizuara nga furnizuesi i mundësisë së fundit</w:t>
            </w:r>
          </w:p>
        </w:tc>
        <w:tc>
          <w:tcPr>
            <w:tcW w:w="1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34EEB81B"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20/10/6 kV</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4519A0BA"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6,93</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0337CCE6"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0,85</w:t>
            </w:r>
          </w:p>
        </w:tc>
        <w:tc>
          <w:tcPr>
            <w:tcW w:w="126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0EBC586B"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3,99</w:t>
            </w:r>
          </w:p>
        </w:tc>
        <w:tc>
          <w:tcPr>
            <w:tcW w:w="116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6A98B193"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11,77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7EE147CA"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14,124</w:t>
            </w:r>
          </w:p>
        </w:tc>
      </w:tr>
      <w:tr w:rsidR="00B86FB3" w:rsidRPr="00FF756A" w14:paraId="5D8D83BA" w14:textId="77777777" w:rsidTr="006A3266">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1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4DD2AE58"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Privat</w:t>
            </w:r>
          </w:p>
        </w:tc>
        <w:tc>
          <w:tcPr>
            <w:tcW w:w="1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267747D4"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0,4 kV</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490B4C08"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6,73</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5170BBB4"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0,85</w:t>
            </w:r>
          </w:p>
        </w:tc>
        <w:tc>
          <w:tcPr>
            <w:tcW w:w="126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6CDDB856"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6,42</w:t>
            </w:r>
          </w:p>
        </w:tc>
        <w:tc>
          <w:tcPr>
            <w:tcW w:w="116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10F5B42E"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14,00</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3D0E02C8"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16,800</w:t>
            </w:r>
          </w:p>
        </w:tc>
      </w:tr>
      <w:tr w:rsidR="00B86FB3" w:rsidRPr="00FF756A" w14:paraId="4FE5E25B" w14:textId="77777777" w:rsidTr="006A3266">
        <w:trPr>
          <w:trHeight w:val="15"/>
        </w:trPr>
        <w:tc>
          <w:tcPr>
            <w:cnfStyle w:val="001000000000" w:firstRow="0" w:lastRow="0" w:firstColumn="1" w:lastColumn="0" w:oddVBand="0" w:evenVBand="0" w:oddHBand="0" w:evenHBand="0" w:firstRowFirstColumn="0" w:firstRowLastColumn="0" w:lastRowFirstColumn="0" w:lastRowLastColumn="0"/>
            <w:tcW w:w="21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190364F1"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 xml:space="preserve">Furrat e bukës, prodhimi i grurit </w:t>
            </w:r>
          </w:p>
        </w:tc>
        <w:tc>
          <w:tcPr>
            <w:tcW w:w="1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32443A62"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0,4 kV</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7E808A5A"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 xml:space="preserve"> </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2448AD36"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 xml:space="preserve"> </w:t>
            </w:r>
          </w:p>
        </w:tc>
        <w:tc>
          <w:tcPr>
            <w:tcW w:w="126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1329B6AE"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 xml:space="preserve"> </w:t>
            </w:r>
          </w:p>
        </w:tc>
        <w:tc>
          <w:tcPr>
            <w:tcW w:w="116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4251DE51"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 xml:space="preserve"> </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59CAB09A"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 xml:space="preserve"> </w:t>
            </w:r>
          </w:p>
        </w:tc>
      </w:tr>
      <w:tr w:rsidR="00B86FB3" w:rsidRPr="00FF756A" w14:paraId="6AADC112" w14:textId="77777777" w:rsidTr="006A3266">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1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412991CE"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Kategoria I</w:t>
            </w:r>
          </w:p>
        </w:tc>
        <w:tc>
          <w:tcPr>
            <w:tcW w:w="1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72CB5005"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7CC9B4E4"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0,33</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612D9061"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0,85</w:t>
            </w:r>
          </w:p>
        </w:tc>
        <w:tc>
          <w:tcPr>
            <w:tcW w:w="126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2C08B554"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6,42</w:t>
            </w:r>
          </w:p>
        </w:tc>
        <w:tc>
          <w:tcPr>
            <w:tcW w:w="116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6521140E"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7,60</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410B544C"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9,120</w:t>
            </w:r>
          </w:p>
        </w:tc>
      </w:tr>
      <w:tr w:rsidR="00B86FB3" w:rsidRPr="00FF756A" w14:paraId="5B5358E8" w14:textId="77777777" w:rsidTr="006A3266">
        <w:trPr>
          <w:trHeight w:val="15"/>
        </w:trPr>
        <w:tc>
          <w:tcPr>
            <w:cnfStyle w:val="001000000000" w:firstRow="0" w:lastRow="0" w:firstColumn="1" w:lastColumn="0" w:oddVBand="0" w:evenVBand="0" w:oddHBand="0" w:evenHBand="0" w:firstRowFirstColumn="0" w:firstRowLastColumn="0" w:lastRowFirstColumn="0" w:lastRowLastColumn="0"/>
            <w:tcW w:w="21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26D4CB19"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Kategoria II</w:t>
            </w:r>
          </w:p>
        </w:tc>
        <w:tc>
          <w:tcPr>
            <w:tcW w:w="1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4C8045B7"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 xml:space="preserve"> </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6FFF49D4"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2,23</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2FC04DBE"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0,85</w:t>
            </w:r>
          </w:p>
        </w:tc>
        <w:tc>
          <w:tcPr>
            <w:tcW w:w="126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7F733215"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6,42</w:t>
            </w:r>
          </w:p>
        </w:tc>
        <w:tc>
          <w:tcPr>
            <w:tcW w:w="116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01555B73"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9,50</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42A1FC28"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11,400</w:t>
            </w:r>
          </w:p>
        </w:tc>
      </w:tr>
      <w:tr w:rsidR="00B86FB3" w:rsidRPr="00FF756A" w14:paraId="6D0D0E56" w14:textId="77777777" w:rsidTr="006A3266">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1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2786A170"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Kategoria III</w:t>
            </w:r>
          </w:p>
        </w:tc>
        <w:tc>
          <w:tcPr>
            <w:tcW w:w="1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72EC0167"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 xml:space="preserve"> </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62FEC3B4"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4,73</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62A6B0D2"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0,85</w:t>
            </w:r>
          </w:p>
        </w:tc>
        <w:tc>
          <w:tcPr>
            <w:tcW w:w="126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2FDA5FBA"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6,42</w:t>
            </w:r>
          </w:p>
        </w:tc>
        <w:tc>
          <w:tcPr>
            <w:tcW w:w="116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67972A93"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12,00</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2D493899"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14,400</w:t>
            </w:r>
          </w:p>
        </w:tc>
      </w:tr>
      <w:tr w:rsidR="00B86FB3" w:rsidRPr="00FF756A" w14:paraId="67092C7C" w14:textId="77777777" w:rsidTr="006A3266">
        <w:trPr>
          <w:trHeight w:val="15"/>
        </w:trPr>
        <w:tc>
          <w:tcPr>
            <w:cnfStyle w:val="001000000000" w:firstRow="0" w:lastRow="0" w:firstColumn="1" w:lastColumn="0" w:oddVBand="0" w:evenVBand="0" w:oddHBand="0" w:evenHBand="0" w:firstRowFirstColumn="0" w:firstRowLastColumn="0" w:lastRowFirstColumn="0" w:lastRowLastColumn="0"/>
            <w:tcW w:w="21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28EBE165"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Familjet</w:t>
            </w:r>
          </w:p>
        </w:tc>
        <w:tc>
          <w:tcPr>
            <w:tcW w:w="1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7C32A5BF"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Tension i ulët</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3E0D8A38"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2,23</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287C6DAC"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0,85</w:t>
            </w:r>
          </w:p>
        </w:tc>
        <w:tc>
          <w:tcPr>
            <w:tcW w:w="126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48882578"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6,42</w:t>
            </w:r>
          </w:p>
        </w:tc>
        <w:tc>
          <w:tcPr>
            <w:tcW w:w="116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2A123919"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9,50</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18253905" w14:textId="77777777" w:rsidR="00B86FB3" w:rsidRPr="00FF756A" w:rsidRDefault="00B86FB3" w:rsidP="003F200D">
            <w:pPr>
              <w:keepNext/>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11,400</w:t>
            </w:r>
          </w:p>
        </w:tc>
      </w:tr>
    </w:tbl>
    <w:p w14:paraId="2520B8A4" w14:textId="2F6C521B" w:rsidR="00B86FB3" w:rsidRPr="00FF756A" w:rsidRDefault="003F200D" w:rsidP="003F200D">
      <w:pPr>
        <w:pStyle w:val="Caption"/>
        <w:rPr>
          <w:rFonts w:ascii="Times New Roman" w:hAnsi="Times New Roman"/>
        </w:rPr>
      </w:pPr>
      <w:bookmarkStart w:id="654" w:name="_Toc183016511"/>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47</w:t>
      </w:r>
      <w:r w:rsidR="008E7DE9" w:rsidRPr="00FF756A">
        <w:rPr>
          <w:rFonts w:ascii="Times New Roman" w:hAnsi="Times New Roman"/>
          <w:noProof/>
        </w:rPr>
        <w:fldChar w:fldCharType="end"/>
      </w:r>
      <w:r w:rsidRPr="00FF756A">
        <w:rPr>
          <w:rFonts w:ascii="Times New Roman" w:hAnsi="Times New Roman"/>
        </w:rPr>
        <w:t>: Komponentët e çmimit të energjisë për çmimet mesatare të energjisë elektrike</w:t>
      </w:r>
      <w:bookmarkEnd w:id="654"/>
    </w:p>
    <w:p w14:paraId="4D2CD2B0" w14:textId="77777777" w:rsidR="00C357E5" w:rsidRPr="00FF756A" w:rsidRDefault="00C357E5" w:rsidP="004A3257"/>
    <w:tbl>
      <w:tblPr>
        <w:tblStyle w:val="GridTable5DarkAccent10"/>
        <w:tblW w:w="9555" w:type="dxa"/>
        <w:tblLook w:val="04A0" w:firstRow="1" w:lastRow="0" w:firstColumn="1" w:lastColumn="0" w:noHBand="0" w:noVBand="1"/>
      </w:tblPr>
      <w:tblGrid>
        <w:gridCol w:w="2420"/>
        <w:gridCol w:w="960"/>
        <w:gridCol w:w="1225"/>
        <w:gridCol w:w="1372"/>
        <w:gridCol w:w="1339"/>
        <w:gridCol w:w="1159"/>
        <w:gridCol w:w="1080"/>
      </w:tblGrid>
      <w:tr w:rsidR="00B86FB3" w:rsidRPr="00FF756A" w14:paraId="4BF8D017" w14:textId="77777777" w:rsidTr="006A3266">
        <w:trPr>
          <w:cnfStyle w:val="100000000000" w:firstRow="1" w:lastRow="0" w:firstColumn="0" w:lastColumn="0" w:oddVBand="0" w:evenVBand="0" w:oddHBand="0"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420" w:type="dxa"/>
            <w:tcBorders>
              <w:top w:val="single" w:sz="8" w:space="0" w:color="FFFFFF" w:themeColor="background1"/>
              <w:left w:val="single" w:sz="8" w:space="0" w:color="FFFFFF" w:themeColor="background1"/>
              <w:bottom w:val="single" w:sz="8" w:space="0" w:color="FFFFFF" w:themeColor="background1"/>
            </w:tcBorders>
            <w:shd w:val="clear" w:color="auto" w:fill="156082"/>
            <w:noWrap/>
            <w:tcMar>
              <w:left w:w="108" w:type="dxa"/>
              <w:right w:w="108" w:type="dxa"/>
            </w:tcMar>
            <w:hideMark/>
          </w:tcPr>
          <w:p w14:paraId="7358286B" w14:textId="77777777" w:rsidR="00B86FB3" w:rsidRPr="00FF756A" w:rsidRDefault="00B86FB3" w:rsidP="00B86FB3">
            <w:pPr>
              <w:spacing w:before="0" w:after="0"/>
              <w:jc w:val="center"/>
              <w:rPr>
                <w:rFonts w:eastAsia="Times New Roman" w:cs="Times New Roman"/>
                <w:sz w:val="20"/>
                <w:szCs w:val="20"/>
              </w:rPr>
            </w:pPr>
          </w:p>
        </w:tc>
        <w:tc>
          <w:tcPr>
            <w:tcW w:w="960" w:type="dxa"/>
            <w:tcBorders>
              <w:top w:val="single" w:sz="8" w:space="0" w:color="FFFFFF" w:themeColor="background1"/>
              <w:bottom w:val="single" w:sz="8" w:space="0" w:color="FFFFFF" w:themeColor="background1"/>
            </w:tcBorders>
            <w:shd w:val="clear" w:color="auto" w:fill="156082"/>
            <w:noWrap/>
            <w:tcMar>
              <w:left w:w="108" w:type="dxa"/>
              <w:right w:w="108" w:type="dxa"/>
            </w:tcMar>
            <w:hideMark/>
          </w:tcPr>
          <w:p w14:paraId="18137D98" w14:textId="77777777" w:rsidR="00B86FB3" w:rsidRPr="00FF756A" w:rsidRDefault="00B86FB3" w:rsidP="00B86FB3">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 xml:space="preserve"> </w:t>
            </w:r>
          </w:p>
        </w:tc>
        <w:tc>
          <w:tcPr>
            <w:tcW w:w="6175" w:type="dxa"/>
            <w:gridSpan w:val="5"/>
            <w:tcBorders>
              <w:top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3EC5F946" w14:textId="77777777" w:rsidR="00B86FB3" w:rsidRPr="00FF756A" w:rsidRDefault="00B86FB3" w:rsidP="00B86FB3">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20"/>
                <w:szCs w:val="20"/>
              </w:rPr>
            </w:pPr>
            <w:r w:rsidRPr="00FF756A">
              <w:rPr>
                <w:rFonts w:cs="Times New Roman"/>
                <w:sz w:val="20"/>
                <w:szCs w:val="20"/>
              </w:rPr>
              <w:t>Çmimet mesatare të energjisë elektrike gjatë orëve të pikut në EUR/kWh</w:t>
            </w:r>
          </w:p>
        </w:tc>
      </w:tr>
      <w:tr w:rsidR="00B86FB3" w:rsidRPr="00FF756A" w14:paraId="61F4DBE9" w14:textId="77777777" w:rsidTr="006A3266">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4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2353DE25"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Lloji i</w:t>
            </w:r>
          </w:p>
        </w:tc>
        <w:tc>
          <w:tcPr>
            <w:tcW w:w="9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637DF879"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 xml:space="preserve">Niveli i </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72B21B49"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Energjia dhe</w:t>
            </w:r>
          </w:p>
        </w:tc>
        <w:tc>
          <w:tcPr>
            <w:tcW w:w="1372" w:type="dxa"/>
            <w:tcBorders>
              <w:top w:val="nil"/>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35CDBDD9" w14:textId="77777777" w:rsidR="00B86FB3" w:rsidRPr="00FF756A" w:rsidRDefault="00B86FB3" w:rsidP="00B86FB3">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Rrjeti</w:t>
            </w:r>
          </w:p>
        </w:tc>
        <w:tc>
          <w:tcPr>
            <w:tcW w:w="1339" w:type="dxa"/>
            <w:tcBorders>
              <w:top w:val="nil"/>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30F91143" w14:textId="77777777" w:rsidR="00B86FB3" w:rsidRPr="00FF756A" w:rsidRDefault="00B86FB3" w:rsidP="00B86FB3">
            <w:pPr>
              <w:spacing w:before="0" w:after="0"/>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Kostot</w:t>
            </w:r>
          </w:p>
        </w:tc>
        <w:tc>
          <w:tcPr>
            <w:tcW w:w="1159" w:type="dxa"/>
            <w:tcBorders>
              <w:top w:val="nil"/>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5E18129A"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Pa TVSH</w:t>
            </w:r>
          </w:p>
        </w:tc>
        <w:tc>
          <w:tcPr>
            <w:tcW w:w="1080" w:type="dxa"/>
            <w:tcBorders>
              <w:top w:val="nil"/>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5C8E80ED"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Pa TVSH</w:t>
            </w:r>
          </w:p>
        </w:tc>
      </w:tr>
      <w:tr w:rsidR="00B86FB3" w:rsidRPr="00FF756A" w14:paraId="4AF09BD2" w14:textId="77777777" w:rsidTr="006A3266">
        <w:trPr>
          <w:trHeight w:val="15"/>
        </w:trPr>
        <w:tc>
          <w:tcPr>
            <w:cnfStyle w:val="001000000000" w:firstRow="0" w:lastRow="0" w:firstColumn="1" w:lastColumn="0" w:oddVBand="0" w:evenVBand="0" w:oddHBand="0" w:evenHBand="0" w:firstRowFirstColumn="0" w:firstRowLastColumn="0" w:lastRowFirstColumn="0" w:lastRowLastColumn="0"/>
            <w:tcW w:w="24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09A5755B" w14:textId="4DDE0D50" w:rsidR="00B86FB3" w:rsidRPr="00FF756A" w:rsidRDefault="00C357E5" w:rsidP="00B86FB3">
            <w:pPr>
              <w:spacing w:before="0" w:after="0"/>
              <w:jc w:val="center"/>
              <w:rPr>
                <w:rFonts w:eastAsia="Times New Roman" w:cs="Times New Roman"/>
                <w:sz w:val="20"/>
                <w:szCs w:val="20"/>
              </w:rPr>
            </w:pPr>
            <w:r w:rsidRPr="00FF756A">
              <w:rPr>
                <w:rFonts w:cs="Times New Roman"/>
                <w:sz w:val="20"/>
                <w:szCs w:val="20"/>
              </w:rPr>
              <w:t>K</w:t>
            </w:r>
            <w:r w:rsidR="00B86FB3" w:rsidRPr="00FF756A">
              <w:rPr>
                <w:rFonts w:cs="Times New Roman"/>
                <w:sz w:val="20"/>
                <w:szCs w:val="20"/>
              </w:rPr>
              <w:t>onsumatorit</w:t>
            </w:r>
          </w:p>
        </w:tc>
        <w:tc>
          <w:tcPr>
            <w:tcW w:w="9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2B93D344"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tensionit</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611C9BD0"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furnizimi</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219258AD"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i transmetimit</w:t>
            </w:r>
          </w:p>
        </w:tc>
        <w:tc>
          <w:tcPr>
            <w:tcW w:w="133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06609DB9"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e shpërndarjes</w:t>
            </w:r>
          </w:p>
        </w:tc>
        <w:tc>
          <w:tcPr>
            <w:tcW w:w="115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438F7083"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70DC352B"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p>
        </w:tc>
      </w:tr>
      <w:tr w:rsidR="00B86FB3" w:rsidRPr="00FF756A" w14:paraId="2740AF32" w14:textId="77777777" w:rsidTr="006A3266">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4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0B96A208"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Privat, i furnizuar nga furnizuesi i mundësisë së fundit</w:t>
            </w:r>
          </w:p>
        </w:tc>
        <w:tc>
          <w:tcPr>
            <w:tcW w:w="9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2CD2BF1C"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35 kV</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2BFA6379"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19,76</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3FC6EBAE"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0,85</w:t>
            </w:r>
          </w:p>
        </w:tc>
        <w:tc>
          <w:tcPr>
            <w:tcW w:w="133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4D4C3A11"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1,55</w:t>
            </w:r>
          </w:p>
        </w:tc>
        <w:tc>
          <w:tcPr>
            <w:tcW w:w="115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005C7F70"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22,16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77919652"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26,59</w:t>
            </w:r>
          </w:p>
        </w:tc>
      </w:tr>
      <w:tr w:rsidR="00B86FB3" w:rsidRPr="00FF756A" w14:paraId="5A8F3CE5" w14:textId="77777777" w:rsidTr="006A3266">
        <w:trPr>
          <w:trHeight w:val="15"/>
        </w:trPr>
        <w:tc>
          <w:tcPr>
            <w:cnfStyle w:val="001000000000" w:firstRow="0" w:lastRow="0" w:firstColumn="1" w:lastColumn="0" w:oddVBand="0" w:evenVBand="0" w:oddHBand="0" w:evenHBand="0" w:firstRowFirstColumn="0" w:firstRowLastColumn="0" w:lastRowFirstColumn="0" w:lastRowLastColumn="0"/>
            <w:tcW w:w="24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778DC623"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Privat, i furnizuar nga furnizuesi i mundësisë së fundit</w:t>
            </w:r>
          </w:p>
        </w:tc>
        <w:tc>
          <w:tcPr>
            <w:tcW w:w="9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14F716AB"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20/10/6 kV</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662D4B9A"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16,16</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72BA3699"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0,85</w:t>
            </w:r>
          </w:p>
        </w:tc>
        <w:tc>
          <w:tcPr>
            <w:tcW w:w="133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6CCD7BBF"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3,99</w:t>
            </w:r>
          </w:p>
        </w:tc>
        <w:tc>
          <w:tcPr>
            <w:tcW w:w="115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22114B72"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20,999</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0C880E0A"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25,20</w:t>
            </w:r>
          </w:p>
        </w:tc>
      </w:tr>
      <w:tr w:rsidR="00B86FB3" w:rsidRPr="00FF756A" w14:paraId="136D0DFE" w14:textId="77777777" w:rsidTr="006A3266">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4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441FFDED"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Shoqëritë e Ujësjellës-Kanalizime, të furnizuara nga furnizuesi i mundësisë së fundit</w:t>
            </w:r>
          </w:p>
        </w:tc>
        <w:tc>
          <w:tcPr>
            <w:tcW w:w="9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1A5D33AF"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35 kV</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0494781A"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8,33</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4ED02169"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0,85</w:t>
            </w:r>
          </w:p>
        </w:tc>
        <w:tc>
          <w:tcPr>
            <w:tcW w:w="133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219E9A2E"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1,55</w:t>
            </w:r>
          </w:p>
        </w:tc>
        <w:tc>
          <w:tcPr>
            <w:tcW w:w="115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5C8D92CD"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10,73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3E45B63D"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12,88</w:t>
            </w:r>
          </w:p>
        </w:tc>
      </w:tr>
      <w:tr w:rsidR="00B86FB3" w:rsidRPr="00FF756A" w14:paraId="2C0E5B9A" w14:textId="77777777" w:rsidTr="006A3266">
        <w:trPr>
          <w:trHeight w:val="15"/>
        </w:trPr>
        <w:tc>
          <w:tcPr>
            <w:cnfStyle w:val="001000000000" w:firstRow="0" w:lastRow="0" w:firstColumn="1" w:lastColumn="0" w:oddVBand="0" w:evenVBand="0" w:oddHBand="0" w:evenHBand="0" w:firstRowFirstColumn="0" w:firstRowLastColumn="0" w:lastRowFirstColumn="0" w:lastRowLastColumn="0"/>
            <w:tcW w:w="24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59BE75DB"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Shoqëritë e Ujësjellës-Kanalizime, të furnizuara nga furnizuesi i mundësisë së fundit</w:t>
            </w:r>
          </w:p>
        </w:tc>
        <w:tc>
          <w:tcPr>
            <w:tcW w:w="9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7ABC2F51"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20/10/6 kV</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207031AF"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8,70</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0B2ED8C6"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0,85</w:t>
            </w:r>
          </w:p>
        </w:tc>
        <w:tc>
          <w:tcPr>
            <w:tcW w:w="133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1F3EE160"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3,99</w:t>
            </w:r>
          </w:p>
        </w:tc>
        <w:tc>
          <w:tcPr>
            <w:tcW w:w="115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4A58D141"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13,536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4C6078FD"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16,24</w:t>
            </w:r>
          </w:p>
        </w:tc>
      </w:tr>
      <w:tr w:rsidR="00B86FB3" w:rsidRPr="00FF756A" w14:paraId="73F3A902" w14:textId="77777777" w:rsidTr="006A3266">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4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3DDCE6AE"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Privat</w:t>
            </w:r>
          </w:p>
        </w:tc>
        <w:tc>
          <w:tcPr>
            <w:tcW w:w="9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5E8A82D7"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0,4 kV</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02CA65F3"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8,83</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29B5C7B6"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0,85</w:t>
            </w:r>
          </w:p>
        </w:tc>
        <w:tc>
          <w:tcPr>
            <w:tcW w:w="133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3DBB5FF2"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6,42</w:t>
            </w:r>
          </w:p>
        </w:tc>
        <w:tc>
          <w:tcPr>
            <w:tcW w:w="115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585C94B0"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16,1</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72C1129B"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19,32</w:t>
            </w:r>
          </w:p>
        </w:tc>
      </w:tr>
      <w:tr w:rsidR="00B86FB3" w:rsidRPr="00FF756A" w14:paraId="5528322D" w14:textId="77777777" w:rsidTr="006A3266">
        <w:trPr>
          <w:trHeight w:val="15"/>
        </w:trPr>
        <w:tc>
          <w:tcPr>
            <w:cnfStyle w:val="001000000000" w:firstRow="0" w:lastRow="0" w:firstColumn="1" w:lastColumn="0" w:oddVBand="0" w:evenVBand="0" w:oddHBand="0" w:evenHBand="0" w:firstRowFirstColumn="0" w:firstRowLastColumn="0" w:lastRowFirstColumn="0" w:lastRowLastColumn="0"/>
            <w:tcW w:w="24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65A7B6B9"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 xml:space="preserve">Furrat e bukës, prodhimi i grurit </w:t>
            </w:r>
          </w:p>
        </w:tc>
        <w:tc>
          <w:tcPr>
            <w:tcW w:w="9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6E19C0EE"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0,4 kV</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6D0B4F9D"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 xml:space="preserve"> </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65FA1C44"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 xml:space="preserve"> </w:t>
            </w:r>
          </w:p>
        </w:tc>
        <w:tc>
          <w:tcPr>
            <w:tcW w:w="133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471B3BA3"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 xml:space="preserve"> </w:t>
            </w:r>
          </w:p>
        </w:tc>
        <w:tc>
          <w:tcPr>
            <w:tcW w:w="115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7ACBBB5F"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 xml:space="preserve"> </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74E01F93"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 xml:space="preserve"> </w:t>
            </w:r>
          </w:p>
        </w:tc>
      </w:tr>
      <w:tr w:rsidR="00B86FB3" w:rsidRPr="00FF756A" w14:paraId="6B291938" w14:textId="77777777" w:rsidTr="006A3266">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4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0219D838"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Kategoria I</w:t>
            </w:r>
          </w:p>
        </w:tc>
        <w:tc>
          <w:tcPr>
            <w:tcW w:w="9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34889717"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7719106A"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1,47</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1797B928"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0,85</w:t>
            </w:r>
          </w:p>
        </w:tc>
        <w:tc>
          <w:tcPr>
            <w:tcW w:w="133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32A6F6BE"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6,42</w:t>
            </w:r>
          </w:p>
        </w:tc>
        <w:tc>
          <w:tcPr>
            <w:tcW w:w="115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4A54AE3D"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8,74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2DAD447C"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10,49</w:t>
            </w:r>
          </w:p>
        </w:tc>
      </w:tr>
      <w:tr w:rsidR="00B86FB3" w:rsidRPr="00FF756A" w14:paraId="5A89316B" w14:textId="77777777" w:rsidTr="006A3266">
        <w:trPr>
          <w:trHeight w:val="15"/>
        </w:trPr>
        <w:tc>
          <w:tcPr>
            <w:cnfStyle w:val="001000000000" w:firstRow="0" w:lastRow="0" w:firstColumn="1" w:lastColumn="0" w:oddVBand="0" w:evenVBand="0" w:oddHBand="0" w:evenHBand="0" w:firstRowFirstColumn="0" w:firstRowLastColumn="0" w:lastRowFirstColumn="0" w:lastRowLastColumn="0"/>
            <w:tcW w:w="24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22B960D2"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Kategoria II</w:t>
            </w:r>
          </w:p>
        </w:tc>
        <w:tc>
          <w:tcPr>
            <w:tcW w:w="9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3CC42C49"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 xml:space="preserve"> </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4CE3B7BF"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3,66</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570D0250"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0,85</w:t>
            </w:r>
          </w:p>
        </w:tc>
        <w:tc>
          <w:tcPr>
            <w:tcW w:w="133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291E8E6E"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6,42</w:t>
            </w:r>
          </w:p>
        </w:tc>
        <w:tc>
          <w:tcPr>
            <w:tcW w:w="115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144AE3DC"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10,93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1E4F5"/>
            <w:noWrap/>
            <w:tcMar>
              <w:left w:w="108" w:type="dxa"/>
              <w:right w:w="108" w:type="dxa"/>
            </w:tcMar>
            <w:hideMark/>
          </w:tcPr>
          <w:p w14:paraId="181436DB" w14:textId="77777777" w:rsidR="00B86FB3" w:rsidRPr="00FF756A" w:rsidRDefault="00B86FB3" w:rsidP="00B86FB3">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13,11</w:t>
            </w:r>
          </w:p>
        </w:tc>
      </w:tr>
      <w:tr w:rsidR="00B86FB3" w:rsidRPr="00FF756A" w14:paraId="7B33920C" w14:textId="77777777" w:rsidTr="006A3266">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4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6082"/>
            <w:noWrap/>
            <w:tcMar>
              <w:left w:w="108" w:type="dxa"/>
              <w:right w:w="108" w:type="dxa"/>
            </w:tcMar>
            <w:hideMark/>
          </w:tcPr>
          <w:p w14:paraId="5C39C91C" w14:textId="77777777" w:rsidR="00B86FB3" w:rsidRPr="00FF756A" w:rsidRDefault="00B86FB3" w:rsidP="00B86FB3">
            <w:pPr>
              <w:spacing w:before="0" w:after="0"/>
              <w:jc w:val="center"/>
              <w:rPr>
                <w:rFonts w:eastAsia="Times New Roman" w:cs="Times New Roman"/>
                <w:sz w:val="20"/>
                <w:szCs w:val="20"/>
              </w:rPr>
            </w:pPr>
            <w:r w:rsidRPr="00FF756A">
              <w:rPr>
                <w:rFonts w:cs="Times New Roman"/>
                <w:sz w:val="20"/>
                <w:szCs w:val="20"/>
              </w:rPr>
              <w:t>Kategoria III</w:t>
            </w:r>
          </w:p>
        </w:tc>
        <w:tc>
          <w:tcPr>
            <w:tcW w:w="9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2FE51EF3"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themeColor="text1"/>
                <w:sz w:val="20"/>
                <w:szCs w:val="20"/>
              </w:rPr>
            </w:pPr>
            <w:r w:rsidRPr="00FF756A">
              <w:rPr>
                <w:rFonts w:cs="Times New Roman"/>
                <w:b/>
                <w:bCs/>
                <w:color w:val="000000" w:themeColor="text1"/>
                <w:sz w:val="20"/>
                <w:szCs w:val="20"/>
              </w:rPr>
              <w:t xml:space="preserve"> </w:t>
            </w:r>
          </w:p>
        </w:tc>
        <w:tc>
          <w:tcPr>
            <w:tcW w:w="12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03E119B6"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6,53</w:t>
            </w:r>
          </w:p>
        </w:tc>
        <w:tc>
          <w:tcPr>
            <w:tcW w:w="13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6DA40EE4"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0,85</w:t>
            </w:r>
          </w:p>
        </w:tc>
        <w:tc>
          <w:tcPr>
            <w:tcW w:w="133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49DC2E5F"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6,42</w:t>
            </w:r>
          </w:p>
        </w:tc>
        <w:tc>
          <w:tcPr>
            <w:tcW w:w="115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1EEBE1EF" w14:textId="77777777" w:rsidR="00B86FB3" w:rsidRPr="00FF756A" w:rsidRDefault="00B86FB3" w:rsidP="00B86FB3">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13,80</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83CAEB"/>
            <w:noWrap/>
            <w:tcMar>
              <w:left w:w="108" w:type="dxa"/>
              <w:right w:w="108" w:type="dxa"/>
            </w:tcMar>
            <w:hideMark/>
          </w:tcPr>
          <w:p w14:paraId="5A47451F" w14:textId="77777777" w:rsidR="00B86FB3" w:rsidRPr="00FF756A" w:rsidRDefault="00B86FB3" w:rsidP="003F200D">
            <w:pPr>
              <w:keepNext/>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FF756A">
              <w:rPr>
                <w:rFonts w:cs="Times New Roman"/>
                <w:color w:val="000000" w:themeColor="text1"/>
                <w:sz w:val="20"/>
                <w:szCs w:val="20"/>
              </w:rPr>
              <w:t>16,56</w:t>
            </w:r>
          </w:p>
        </w:tc>
      </w:tr>
    </w:tbl>
    <w:p w14:paraId="5B40A472" w14:textId="370F4A74" w:rsidR="00B86FB3" w:rsidRPr="00FF756A" w:rsidRDefault="003F200D" w:rsidP="003F200D">
      <w:pPr>
        <w:pStyle w:val="Caption"/>
        <w:rPr>
          <w:rFonts w:ascii="Times New Roman" w:hAnsi="Times New Roman"/>
        </w:rPr>
      </w:pPr>
      <w:bookmarkStart w:id="655" w:name="_Toc183016512"/>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48</w:t>
      </w:r>
      <w:r w:rsidR="008E7DE9" w:rsidRPr="00FF756A">
        <w:rPr>
          <w:rFonts w:ascii="Times New Roman" w:hAnsi="Times New Roman"/>
          <w:noProof/>
        </w:rPr>
        <w:fldChar w:fldCharType="end"/>
      </w:r>
      <w:r w:rsidRPr="00FF756A">
        <w:rPr>
          <w:rFonts w:ascii="Times New Roman" w:hAnsi="Times New Roman"/>
        </w:rPr>
        <w:t>: Komponentët e çmimit të energjisë për energjinë elektrike gjatë pikut të kërkesës</w:t>
      </w:r>
      <w:bookmarkEnd w:id="655"/>
    </w:p>
    <w:p w14:paraId="6AB492E3" w14:textId="77777777" w:rsidR="00C357E5" w:rsidRPr="00FF756A" w:rsidRDefault="00C357E5" w:rsidP="004A3257"/>
    <w:tbl>
      <w:tblPr>
        <w:tblStyle w:val="GridTable5DarkAccent10"/>
        <w:tblW w:w="5000" w:type="pct"/>
        <w:tblLook w:val="04A0" w:firstRow="1" w:lastRow="0" w:firstColumn="1" w:lastColumn="0" w:noHBand="0" w:noVBand="1"/>
      </w:tblPr>
      <w:tblGrid>
        <w:gridCol w:w="5396"/>
        <w:gridCol w:w="3666"/>
      </w:tblGrid>
      <w:tr w:rsidR="00B86FB3" w:rsidRPr="00FF756A" w14:paraId="2FFA40A5" w14:textId="77777777" w:rsidTr="006A32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pct"/>
          </w:tcPr>
          <w:p w14:paraId="59F18161" w14:textId="77777777" w:rsidR="00B86FB3" w:rsidRPr="00FF756A" w:rsidRDefault="00B86FB3" w:rsidP="00B86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 w:val="20"/>
                <w:szCs w:val="20"/>
              </w:rPr>
            </w:pPr>
            <w:r w:rsidRPr="00FF756A">
              <w:rPr>
                <w:rFonts w:cs="Times New Roman"/>
                <w:sz w:val="20"/>
                <w:szCs w:val="20"/>
              </w:rPr>
              <w:t>Lloji i aktivitetit:</w:t>
            </w:r>
          </w:p>
        </w:tc>
        <w:tc>
          <w:tcPr>
            <w:tcW w:w="2023" w:type="pct"/>
          </w:tcPr>
          <w:p w14:paraId="20FD4985" w14:textId="77777777" w:rsidR="00B86FB3" w:rsidRPr="00FF756A" w:rsidRDefault="00B86FB3" w:rsidP="00B86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100000000000" w:firstRow="1" w:lastRow="0" w:firstColumn="0" w:lastColumn="0" w:oddVBand="0" w:evenVBand="0" w:oddHBand="0" w:evenHBand="0" w:firstRowFirstColumn="0" w:firstRowLastColumn="0" w:lastRowFirstColumn="0" w:lastRowLastColumn="0"/>
              <w:rPr>
                <w:rFonts w:eastAsia="Times New Roman" w:cs="Times New Roman"/>
                <w:color w:val="202124"/>
                <w:sz w:val="20"/>
                <w:szCs w:val="20"/>
              </w:rPr>
            </w:pPr>
            <w:r w:rsidRPr="00FF756A">
              <w:rPr>
                <w:rFonts w:cs="Times New Roman"/>
                <w:sz w:val="20"/>
                <w:szCs w:val="20"/>
              </w:rPr>
              <w:t>Tarifa e miratuar</w:t>
            </w:r>
          </w:p>
        </w:tc>
      </w:tr>
      <w:tr w:rsidR="00B86FB3" w:rsidRPr="00FF756A" w14:paraId="2387AB85" w14:textId="77777777" w:rsidTr="006A3266">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2977" w:type="pct"/>
          </w:tcPr>
          <w:p w14:paraId="2E8EBECD" w14:textId="77777777" w:rsidR="00B86FB3" w:rsidRPr="00FF756A" w:rsidRDefault="00B86FB3" w:rsidP="00B86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 w:val="20"/>
                <w:szCs w:val="20"/>
              </w:rPr>
            </w:pPr>
            <w:r w:rsidRPr="00FF756A">
              <w:rPr>
                <w:rFonts w:cs="Times New Roman"/>
                <w:sz w:val="20"/>
                <w:szCs w:val="20"/>
              </w:rPr>
              <w:t>Tarifa e shërbimit të transmetimit të energjisë elektrike</w:t>
            </w:r>
          </w:p>
        </w:tc>
        <w:tc>
          <w:tcPr>
            <w:tcW w:w="2023" w:type="pct"/>
          </w:tcPr>
          <w:p w14:paraId="353A958A" w14:textId="77777777" w:rsidR="00B86FB3" w:rsidRPr="00FF756A" w:rsidRDefault="00B86FB3" w:rsidP="00B86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100000" w:firstRow="0" w:lastRow="0" w:firstColumn="0" w:lastColumn="0" w:oddVBand="0" w:evenVBand="0" w:oddHBand="1" w:evenHBand="0" w:firstRowFirstColumn="0" w:firstRowLastColumn="0" w:lastRowFirstColumn="0" w:lastRowLastColumn="0"/>
              <w:rPr>
                <w:rFonts w:eastAsia="Times New Roman" w:cs="Times New Roman"/>
                <w:color w:val="202124"/>
                <w:sz w:val="20"/>
                <w:szCs w:val="20"/>
              </w:rPr>
            </w:pPr>
            <w:r w:rsidRPr="00FF756A">
              <w:rPr>
                <w:rFonts w:cs="Times New Roman"/>
                <w:color w:val="202124"/>
                <w:sz w:val="20"/>
                <w:szCs w:val="20"/>
              </w:rPr>
              <w:t>0,75 Lekë/kwh</w:t>
            </w:r>
          </w:p>
        </w:tc>
      </w:tr>
      <w:tr w:rsidR="00B86FB3" w:rsidRPr="00FF756A" w14:paraId="6533B75B" w14:textId="77777777" w:rsidTr="006A3266">
        <w:trPr>
          <w:trHeight w:val="440"/>
        </w:trPr>
        <w:tc>
          <w:tcPr>
            <w:cnfStyle w:val="001000000000" w:firstRow="0" w:lastRow="0" w:firstColumn="1" w:lastColumn="0" w:oddVBand="0" w:evenVBand="0" w:oddHBand="0" w:evenHBand="0" w:firstRowFirstColumn="0" w:firstRowLastColumn="0" w:lastRowFirstColumn="0" w:lastRowLastColumn="0"/>
            <w:tcW w:w="2977" w:type="pct"/>
          </w:tcPr>
          <w:p w14:paraId="26CBE5BC" w14:textId="77777777" w:rsidR="00B86FB3" w:rsidRPr="00FF756A" w:rsidRDefault="00B86FB3" w:rsidP="00B86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 w:val="20"/>
                <w:szCs w:val="20"/>
              </w:rPr>
            </w:pPr>
            <w:r w:rsidRPr="00FF756A">
              <w:rPr>
                <w:rFonts w:cs="Times New Roman"/>
                <w:sz w:val="20"/>
                <w:szCs w:val="20"/>
              </w:rPr>
              <w:t>Tarifa e shërbimit të shpërndarjes në nivelin e tensionit 35 kV</w:t>
            </w:r>
          </w:p>
        </w:tc>
        <w:tc>
          <w:tcPr>
            <w:tcW w:w="2023" w:type="pct"/>
          </w:tcPr>
          <w:p w14:paraId="77391DA8" w14:textId="77777777" w:rsidR="00B86FB3" w:rsidRPr="00FF756A" w:rsidRDefault="00B86FB3" w:rsidP="00B86FB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00000" w:firstRow="0" w:lastRow="0" w:firstColumn="0" w:lastColumn="0" w:oddVBand="0" w:evenVBand="0" w:oddHBand="0" w:evenHBand="0" w:firstRowFirstColumn="0" w:firstRowLastColumn="0" w:lastRowFirstColumn="0" w:lastRowLastColumn="0"/>
              <w:rPr>
                <w:rFonts w:eastAsia="Times New Roman" w:cs="Times New Roman"/>
                <w:color w:val="202124"/>
                <w:sz w:val="20"/>
                <w:szCs w:val="20"/>
              </w:rPr>
            </w:pPr>
            <w:r w:rsidRPr="00FF756A">
              <w:rPr>
                <w:rFonts w:cs="Times New Roman"/>
                <w:color w:val="202124"/>
                <w:sz w:val="20"/>
                <w:szCs w:val="20"/>
              </w:rPr>
              <w:t>1,5 Lekë/kwh</w:t>
            </w:r>
          </w:p>
        </w:tc>
      </w:tr>
      <w:tr w:rsidR="00B86FB3" w:rsidRPr="00FF756A" w14:paraId="48083198" w14:textId="77777777" w:rsidTr="006A3266">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977" w:type="pct"/>
          </w:tcPr>
          <w:p w14:paraId="0C0E0BAF" w14:textId="77777777" w:rsidR="00B86FB3" w:rsidRPr="00FF756A" w:rsidRDefault="00B86FB3" w:rsidP="00B86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 w:val="20"/>
                <w:szCs w:val="20"/>
              </w:rPr>
            </w:pPr>
            <w:r w:rsidRPr="00FF756A">
              <w:rPr>
                <w:rFonts w:cs="Times New Roman"/>
                <w:sz w:val="20"/>
                <w:szCs w:val="20"/>
              </w:rPr>
              <w:t>Tarifa e shërbimit të shpërndarjes në nivelin e tensionit 20 kV</w:t>
            </w:r>
          </w:p>
        </w:tc>
        <w:tc>
          <w:tcPr>
            <w:tcW w:w="2023" w:type="pct"/>
          </w:tcPr>
          <w:p w14:paraId="11E2E216" w14:textId="77777777" w:rsidR="00B86FB3" w:rsidRPr="00FF756A" w:rsidRDefault="00B86FB3" w:rsidP="00B86FB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100000" w:firstRow="0" w:lastRow="0" w:firstColumn="0" w:lastColumn="0" w:oddVBand="0" w:evenVBand="0" w:oddHBand="1" w:evenHBand="0" w:firstRowFirstColumn="0" w:firstRowLastColumn="0" w:lastRowFirstColumn="0" w:lastRowLastColumn="0"/>
              <w:rPr>
                <w:rFonts w:eastAsia="Times New Roman" w:cs="Times New Roman"/>
                <w:color w:val="202124"/>
                <w:sz w:val="20"/>
                <w:szCs w:val="20"/>
              </w:rPr>
            </w:pPr>
            <w:r w:rsidRPr="00FF756A">
              <w:rPr>
                <w:rFonts w:cs="Times New Roman"/>
                <w:color w:val="202124"/>
                <w:sz w:val="20"/>
                <w:szCs w:val="20"/>
              </w:rPr>
              <w:t>3,9 Lekë/kwh</w:t>
            </w:r>
          </w:p>
        </w:tc>
      </w:tr>
      <w:tr w:rsidR="00B86FB3" w:rsidRPr="00FF756A" w14:paraId="56205C4F" w14:textId="77777777" w:rsidTr="006A3266">
        <w:trPr>
          <w:trHeight w:val="440"/>
        </w:trPr>
        <w:tc>
          <w:tcPr>
            <w:cnfStyle w:val="001000000000" w:firstRow="0" w:lastRow="0" w:firstColumn="1" w:lastColumn="0" w:oddVBand="0" w:evenVBand="0" w:oddHBand="0" w:evenHBand="0" w:firstRowFirstColumn="0" w:firstRowLastColumn="0" w:lastRowFirstColumn="0" w:lastRowLastColumn="0"/>
            <w:tcW w:w="2977" w:type="pct"/>
          </w:tcPr>
          <w:p w14:paraId="7D63789F" w14:textId="77777777" w:rsidR="00B86FB3" w:rsidRPr="00FF756A" w:rsidRDefault="00B86FB3" w:rsidP="00B86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 w:val="20"/>
                <w:szCs w:val="20"/>
              </w:rPr>
            </w:pPr>
            <w:r w:rsidRPr="00FF756A">
              <w:rPr>
                <w:rFonts w:cs="Times New Roman"/>
                <w:sz w:val="20"/>
                <w:szCs w:val="20"/>
              </w:rPr>
              <w:t>Tarifa mesatare e shërbimit të shpërndarjes</w:t>
            </w:r>
            <w:r w:rsidRPr="00FF756A">
              <w:rPr>
                <w:rFonts w:cs="Times New Roman"/>
                <w:sz w:val="20"/>
                <w:szCs w:val="20"/>
              </w:rPr>
              <w:tab/>
            </w:r>
          </w:p>
        </w:tc>
        <w:tc>
          <w:tcPr>
            <w:tcW w:w="2023" w:type="pct"/>
          </w:tcPr>
          <w:p w14:paraId="6C1754E2" w14:textId="77777777" w:rsidR="00B86FB3" w:rsidRPr="00FF756A" w:rsidRDefault="00B86FB3" w:rsidP="00B86FB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00000" w:firstRow="0" w:lastRow="0" w:firstColumn="0" w:lastColumn="0" w:oddVBand="0" w:evenVBand="0" w:oddHBand="0" w:evenHBand="0" w:firstRowFirstColumn="0" w:firstRowLastColumn="0" w:lastRowFirstColumn="0" w:lastRowLastColumn="0"/>
              <w:rPr>
                <w:rFonts w:eastAsia="Times New Roman" w:cs="Times New Roman"/>
                <w:color w:val="202124"/>
                <w:sz w:val="20"/>
                <w:szCs w:val="20"/>
              </w:rPr>
            </w:pPr>
            <w:r w:rsidRPr="00FF756A">
              <w:rPr>
                <w:rFonts w:cs="Times New Roman"/>
                <w:color w:val="202124"/>
                <w:sz w:val="20"/>
                <w:szCs w:val="20"/>
              </w:rPr>
              <w:t>4,79 Lekë/kwh</w:t>
            </w:r>
          </w:p>
        </w:tc>
      </w:tr>
      <w:tr w:rsidR="00B86FB3" w:rsidRPr="00FF756A" w14:paraId="2A1AF510" w14:textId="77777777" w:rsidTr="006A3266">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2977" w:type="pct"/>
          </w:tcPr>
          <w:p w14:paraId="3282266E" w14:textId="77777777" w:rsidR="00B86FB3" w:rsidRPr="00FF756A" w:rsidRDefault="00B86FB3" w:rsidP="00B86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 w:val="20"/>
                <w:szCs w:val="20"/>
              </w:rPr>
            </w:pPr>
            <w:r w:rsidRPr="00FF756A">
              <w:rPr>
                <w:rFonts w:cs="Times New Roman"/>
                <w:sz w:val="20"/>
                <w:szCs w:val="20"/>
              </w:rPr>
              <w:t>Çmimi i shitjes për klientët në 20 kV</w:t>
            </w:r>
          </w:p>
        </w:tc>
        <w:tc>
          <w:tcPr>
            <w:tcW w:w="2023" w:type="pct"/>
          </w:tcPr>
          <w:p w14:paraId="46091ABC" w14:textId="77777777" w:rsidR="00B86FB3" w:rsidRPr="00FF756A" w:rsidRDefault="00B86FB3" w:rsidP="00B86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100000" w:firstRow="0" w:lastRow="0" w:firstColumn="0" w:lastColumn="0" w:oddVBand="0" w:evenVBand="0" w:oddHBand="1" w:evenHBand="0" w:firstRowFirstColumn="0" w:firstRowLastColumn="0" w:lastRowFirstColumn="0" w:lastRowLastColumn="0"/>
              <w:rPr>
                <w:rFonts w:eastAsia="Times New Roman" w:cs="Times New Roman"/>
                <w:color w:val="202124"/>
                <w:sz w:val="20"/>
                <w:szCs w:val="20"/>
              </w:rPr>
            </w:pPr>
            <w:r w:rsidRPr="00FF756A">
              <w:rPr>
                <w:rFonts w:cs="Times New Roman"/>
                <w:color w:val="202124"/>
                <w:sz w:val="20"/>
                <w:szCs w:val="20"/>
              </w:rPr>
              <w:t>11 Lekë/kwh</w:t>
            </w:r>
          </w:p>
          <w:p w14:paraId="665370CA" w14:textId="77777777" w:rsidR="00B86FB3" w:rsidRPr="00FF756A" w:rsidRDefault="00B86FB3" w:rsidP="00B86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100000" w:firstRow="0" w:lastRow="0" w:firstColumn="0" w:lastColumn="0" w:oddVBand="0" w:evenVBand="0" w:oddHBand="1" w:evenHBand="0" w:firstRowFirstColumn="0" w:firstRowLastColumn="0" w:lastRowFirstColumn="0" w:lastRowLastColumn="0"/>
              <w:rPr>
                <w:rFonts w:eastAsia="Times New Roman" w:cs="Times New Roman"/>
                <w:color w:val="202124"/>
                <w:sz w:val="20"/>
                <w:szCs w:val="20"/>
              </w:rPr>
            </w:pPr>
            <w:r w:rsidRPr="00FF756A">
              <w:rPr>
                <w:rFonts w:cs="Times New Roman"/>
                <w:color w:val="202124"/>
                <w:sz w:val="20"/>
                <w:szCs w:val="20"/>
              </w:rPr>
              <w:t>në pikun e ngarkesës 12,65 Lekë/kwh</w:t>
            </w:r>
          </w:p>
        </w:tc>
      </w:tr>
      <w:tr w:rsidR="00B86FB3" w:rsidRPr="00FF756A" w14:paraId="388044A7" w14:textId="77777777" w:rsidTr="006A3266">
        <w:trPr>
          <w:trHeight w:val="710"/>
        </w:trPr>
        <w:tc>
          <w:tcPr>
            <w:cnfStyle w:val="001000000000" w:firstRow="0" w:lastRow="0" w:firstColumn="1" w:lastColumn="0" w:oddVBand="0" w:evenVBand="0" w:oddHBand="0" w:evenHBand="0" w:firstRowFirstColumn="0" w:firstRowLastColumn="0" w:lastRowFirstColumn="0" w:lastRowLastColumn="0"/>
            <w:tcW w:w="2977" w:type="pct"/>
          </w:tcPr>
          <w:p w14:paraId="67382E11" w14:textId="77777777" w:rsidR="00B86FB3" w:rsidRPr="00FF756A" w:rsidRDefault="00B86FB3" w:rsidP="00B86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 w:val="20"/>
                <w:szCs w:val="20"/>
              </w:rPr>
            </w:pPr>
            <w:r w:rsidRPr="00FF756A">
              <w:rPr>
                <w:rFonts w:cs="Times New Roman"/>
                <w:sz w:val="20"/>
                <w:szCs w:val="20"/>
              </w:rPr>
              <w:t>Çmimi i shitjes për klientët në 10/6 kV</w:t>
            </w:r>
          </w:p>
        </w:tc>
        <w:tc>
          <w:tcPr>
            <w:tcW w:w="2023" w:type="pct"/>
          </w:tcPr>
          <w:p w14:paraId="714C3869" w14:textId="77777777" w:rsidR="00B86FB3" w:rsidRPr="00FF756A" w:rsidRDefault="00B86FB3" w:rsidP="00B86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00000" w:firstRow="0" w:lastRow="0" w:firstColumn="0" w:lastColumn="0" w:oddVBand="0" w:evenVBand="0" w:oddHBand="0" w:evenHBand="0" w:firstRowFirstColumn="0" w:firstRowLastColumn="0" w:lastRowFirstColumn="0" w:lastRowLastColumn="0"/>
              <w:rPr>
                <w:rFonts w:eastAsia="Times New Roman" w:cs="Times New Roman"/>
                <w:color w:val="202124"/>
                <w:sz w:val="20"/>
                <w:szCs w:val="20"/>
              </w:rPr>
            </w:pPr>
            <w:r w:rsidRPr="00FF756A">
              <w:rPr>
                <w:rFonts w:cs="Times New Roman"/>
                <w:color w:val="202124"/>
                <w:sz w:val="20"/>
                <w:szCs w:val="20"/>
              </w:rPr>
              <w:t>11 Lekë/kwh</w:t>
            </w:r>
          </w:p>
          <w:p w14:paraId="141D061D" w14:textId="77777777" w:rsidR="00B86FB3" w:rsidRPr="00FF756A" w:rsidRDefault="00B86FB3" w:rsidP="00B86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00000" w:firstRow="0" w:lastRow="0" w:firstColumn="0" w:lastColumn="0" w:oddVBand="0" w:evenVBand="0" w:oddHBand="0" w:evenHBand="0" w:firstRowFirstColumn="0" w:firstRowLastColumn="0" w:lastRowFirstColumn="0" w:lastRowLastColumn="0"/>
              <w:rPr>
                <w:rFonts w:eastAsia="Times New Roman" w:cs="Times New Roman"/>
                <w:color w:val="202124"/>
                <w:sz w:val="20"/>
                <w:szCs w:val="20"/>
              </w:rPr>
            </w:pPr>
            <w:r w:rsidRPr="00FF756A">
              <w:rPr>
                <w:rFonts w:cs="Times New Roman"/>
                <w:color w:val="202124"/>
                <w:sz w:val="20"/>
                <w:szCs w:val="20"/>
              </w:rPr>
              <w:t>në pikun e ngarkesës 12,65 Lekë/kwh</w:t>
            </w:r>
          </w:p>
        </w:tc>
      </w:tr>
      <w:tr w:rsidR="00B86FB3" w:rsidRPr="00FF756A" w14:paraId="66CE3273" w14:textId="77777777" w:rsidTr="006A3266">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977" w:type="pct"/>
          </w:tcPr>
          <w:p w14:paraId="2BD68466" w14:textId="77777777" w:rsidR="00B86FB3" w:rsidRPr="00FF756A" w:rsidRDefault="00B86FB3" w:rsidP="00B86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 w:val="20"/>
                <w:szCs w:val="20"/>
              </w:rPr>
            </w:pPr>
            <w:r w:rsidRPr="00FF756A">
              <w:rPr>
                <w:rFonts w:cs="Times New Roman"/>
                <w:sz w:val="20"/>
                <w:szCs w:val="20"/>
              </w:rPr>
              <w:t>Tarifa për shërbimin e transmetimit të gazit natyror</w:t>
            </w:r>
          </w:p>
        </w:tc>
        <w:tc>
          <w:tcPr>
            <w:tcW w:w="2023" w:type="pct"/>
          </w:tcPr>
          <w:p w14:paraId="5FA20CB4" w14:textId="77777777" w:rsidR="00B86FB3" w:rsidRPr="00FF756A" w:rsidRDefault="00B86FB3" w:rsidP="003F200D">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100000" w:firstRow="0" w:lastRow="0" w:firstColumn="0" w:lastColumn="0" w:oddVBand="0" w:evenVBand="0" w:oddHBand="1" w:evenHBand="0" w:firstRowFirstColumn="0" w:firstRowLastColumn="0" w:lastRowFirstColumn="0" w:lastRowLastColumn="0"/>
              <w:rPr>
                <w:rFonts w:eastAsia="Times New Roman" w:cs="Times New Roman"/>
                <w:color w:val="202124"/>
                <w:sz w:val="20"/>
                <w:szCs w:val="20"/>
              </w:rPr>
            </w:pPr>
            <w:r w:rsidRPr="00FF756A">
              <w:rPr>
                <w:rFonts w:cs="Times New Roman"/>
                <w:color w:val="202124"/>
                <w:sz w:val="20"/>
                <w:szCs w:val="20"/>
              </w:rPr>
              <w:t>28 Lekë/m</w:t>
            </w:r>
            <w:r w:rsidRPr="00FF756A">
              <w:rPr>
                <w:rFonts w:cs="Times New Roman"/>
                <w:color w:val="202124"/>
                <w:sz w:val="20"/>
                <w:szCs w:val="20"/>
                <w:vertAlign w:val="superscript"/>
              </w:rPr>
              <w:t>3</w:t>
            </w:r>
            <w:r w:rsidRPr="00FF756A">
              <w:rPr>
                <w:rFonts w:cs="Times New Roman"/>
                <w:color w:val="202124"/>
                <w:sz w:val="20"/>
                <w:szCs w:val="20"/>
              </w:rPr>
              <w:t xml:space="preserve"> ose 2,64 Lekë/kwh</w:t>
            </w:r>
          </w:p>
        </w:tc>
      </w:tr>
    </w:tbl>
    <w:p w14:paraId="0F72568C" w14:textId="4DAFD6CB" w:rsidR="00B86FB3" w:rsidRPr="00FF756A" w:rsidRDefault="003F200D" w:rsidP="003F200D">
      <w:pPr>
        <w:pStyle w:val="Caption"/>
        <w:rPr>
          <w:rFonts w:ascii="Times New Roman" w:hAnsi="Times New Roman"/>
        </w:rPr>
      </w:pPr>
      <w:bookmarkStart w:id="656" w:name="_Toc183016513"/>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49</w:t>
      </w:r>
      <w:r w:rsidR="008E7DE9" w:rsidRPr="00FF756A">
        <w:rPr>
          <w:rFonts w:ascii="Times New Roman" w:hAnsi="Times New Roman"/>
          <w:noProof/>
        </w:rPr>
        <w:fldChar w:fldCharType="end"/>
      </w:r>
      <w:r w:rsidRPr="00FF756A">
        <w:rPr>
          <w:rFonts w:ascii="Times New Roman" w:hAnsi="Times New Roman"/>
        </w:rPr>
        <w:t>: Tarifat e miratuara nga ERE, Enti Rregullator i Energjisë</w:t>
      </w:r>
      <w:bookmarkEnd w:id="656"/>
    </w:p>
    <w:p w14:paraId="306EFA7F" w14:textId="77777777" w:rsidR="00B86FB3" w:rsidRPr="00FF756A" w:rsidRDefault="00B86FB3" w:rsidP="00B86FB3"/>
    <w:p w14:paraId="2C8CB879" w14:textId="06FB05A0" w:rsidR="00B86FB3" w:rsidRPr="00FF756A" w:rsidRDefault="00B86FB3" w:rsidP="004A3257">
      <w:pPr>
        <w:pStyle w:val="Heading3"/>
        <w:numPr>
          <w:ilvl w:val="2"/>
          <w:numId w:val="252"/>
        </w:numPr>
      </w:pPr>
      <w:bookmarkStart w:id="657" w:name="_Toc183639303"/>
      <w:r w:rsidRPr="00FF756A">
        <w:t>Përshkrimi i subvencioneve të energjisë, duke përfshirë lëndët djegëse fosile</w:t>
      </w:r>
      <w:bookmarkEnd w:id="657"/>
    </w:p>
    <w:p w14:paraId="2D8DC7BC" w14:textId="77777777" w:rsidR="00B86FB3" w:rsidRPr="00FF756A" w:rsidRDefault="00B86FB3" w:rsidP="00B86FB3"/>
    <w:p w14:paraId="33343F9B" w14:textId="5A7E72CA" w:rsidR="00B86FB3" w:rsidRPr="00FF756A" w:rsidRDefault="00B86FB3" w:rsidP="004A3257">
      <w:pPr>
        <w:keepNext/>
        <w:keepLines/>
        <w:spacing w:before="80" w:after="40"/>
        <w:outlineLvl w:val="4"/>
        <w:rPr>
          <w:rFonts w:eastAsia="Times New Roman"/>
          <w:b/>
          <w:bCs/>
          <w:color w:val="0F4761"/>
          <w:sz w:val="24"/>
          <w:szCs w:val="24"/>
        </w:rPr>
      </w:pPr>
      <w:bookmarkStart w:id="658" w:name="_Toc183639304"/>
      <w:r w:rsidRPr="00FF756A">
        <w:rPr>
          <w:rFonts w:eastAsia="Arial"/>
          <w:color w:val="0F4761"/>
        </w:rPr>
        <w:t xml:space="preserve">Subvencionet për lëndët djegëse </w:t>
      </w:r>
      <w:r w:rsidR="00A104F0" w:rsidRPr="00FF756A">
        <w:rPr>
          <w:rFonts w:eastAsia="Arial"/>
          <w:color w:val="0F4761"/>
        </w:rPr>
        <w:t>me karbon</w:t>
      </w:r>
      <w:bookmarkEnd w:id="658"/>
    </w:p>
    <w:p w14:paraId="5E16DB56" w14:textId="764E5AA8" w:rsidR="00A130BE" w:rsidRPr="00FF756A" w:rsidRDefault="00B86FB3" w:rsidP="00B86FB3">
      <w:pPr>
        <w:rPr>
          <w:rFonts w:eastAsia="Times New Roman"/>
        </w:rPr>
      </w:pPr>
      <w:r w:rsidRPr="00FF756A">
        <w:t xml:space="preserve">Prodhimi i energjisë në Shqipëri mbështetet ekskluzivisht tek energjia hidrike dhe kjo tendencë do të vazhdojë në planin afatshkurtër. Shqipëria nuk ka varësi nga qymyri ose lëndë të tjera djegëse </w:t>
      </w:r>
      <w:r w:rsidR="00A104F0" w:rsidRPr="00FF756A">
        <w:t xml:space="preserve">me bazë karboni </w:t>
      </w:r>
      <w:r w:rsidRPr="00FF756A">
        <w:t xml:space="preserve">për prodhimin e energjisë elektrike, prandaj subvencionet për lëndët djegëse fosile nuk janë të nevojshme. </w:t>
      </w:r>
    </w:p>
    <w:p w14:paraId="2E0274AF" w14:textId="77777777" w:rsidR="00A130BE" w:rsidRPr="00FF756A" w:rsidRDefault="00A130BE" w:rsidP="004A3257">
      <w:pPr>
        <w:rPr>
          <w:rFonts w:eastAsia="Arial"/>
          <w:color w:val="0F4761"/>
        </w:rPr>
      </w:pPr>
    </w:p>
    <w:p w14:paraId="158F4DF1" w14:textId="28ADC8F0" w:rsidR="00B86FB3" w:rsidRPr="00FF756A" w:rsidRDefault="00B86FB3" w:rsidP="004A3257">
      <w:pPr>
        <w:keepNext/>
        <w:keepLines/>
        <w:spacing w:before="80" w:after="40"/>
        <w:outlineLvl w:val="4"/>
        <w:rPr>
          <w:rFonts w:eastAsia="Times New Roman"/>
          <w:b/>
          <w:bCs/>
          <w:color w:val="0F4761"/>
          <w:sz w:val="24"/>
          <w:szCs w:val="24"/>
        </w:rPr>
      </w:pPr>
      <w:bookmarkStart w:id="659" w:name="_Toc183639305"/>
      <w:r w:rsidRPr="00FF756A">
        <w:rPr>
          <w:rFonts w:eastAsia="Arial"/>
          <w:color w:val="0F4761"/>
        </w:rPr>
        <w:t>Subvencionet për burimet e rinovueshme të energjisë</w:t>
      </w:r>
      <w:bookmarkEnd w:id="659"/>
    </w:p>
    <w:p w14:paraId="35ADD9EA" w14:textId="77777777" w:rsidR="00B86FB3" w:rsidRPr="00FF756A" w:rsidRDefault="00B86FB3" w:rsidP="00B86FB3">
      <w:pPr>
        <w:rPr>
          <w:rFonts w:eastAsia="Times New Roman"/>
        </w:rPr>
      </w:pPr>
      <w:r w:rsidRPr="00FF756A">
        <w:t xml:space="preserve">Në këtë aspekt, politikat për adresimin e skemave të mbështetjes ose mekanizmat e subvencionimit janë kryesisht të orientuara drejt nxitjes së prodhimit të energjisë elektrike nga BRE-të. Kjo politikë është në përputhje me objektivin kombëtar të arritjes së 38% të konsumit final të energjisë nga BRE-të deri në vitin 2020. </w:t>
      </w:r>
    </w:p>
    <w:p w14:paraId="698DA4CC" w14:textId="77777777" w:rsidR="00B86FB3" w:rsidRPr="00FF756A" w:rsidRDefault="00B86FB3" w:rsidP="00B86FB3">
      <w:pPr>
        <w:rPr>
          <w:rFonts w:eastAsia="Times New Roman"/>
        </w:rPr>
      </w:pPr>
      <w:r w:rsidRPr="00FF756A">
        <w:t xml:space="preserve">Ligji 7/2017 “Për promovimin e përdorimit të energjisë nga burimet e rinovueshme (BRE)” parashikon krijimin e dy llojeve të mbështetjes financiare për BRE-E: </w:t>
      </w:r>
    </w:p>
    <w:p w14:paraId="79F80830" w14:textId="77777777" w:rsidR="00B86FB3" w:rsidRPr="00FF756A" w:rsidRDefault="00B86FB3" w:rsidP="008639B2">
      <w:pPr>
        <w:numPr>
          <w:ilvl w:val="0"/>
          <w:numId w:val="183"/>
        </w:numPr>
        <w:spacing w:before="0" w:after="0"/>
        <w:contextualSpacing/>
        <w:rPr>
          <w:rFonts w:eastAsia="Times New Roman"/>
        </w:rPr>
      </w:pPr>
      <w:r w:rsidRPr="00FF756A">
        <w:rPr>
          <w:b/>
          <w:bCs/>
        </w:rPr>
        <w:t>Tarifa "feed-in"</w:t>
      </w:r>
      <w:r w:rsidRPr="00FF756A">
        <w:t xml:space="preserve"> - kjo është skema ligjore e mbështetjes financiare për çmimin e blerjes së energjisë së prodhuar nga BRE-të me kapacitet të kufizuar prodhimi deri në 2 MW për impiantet fotovoltaike dhe deri në 3 MW për fermat eolike. Këto projekte janë miratuar nga ministri sipas procedurave të VKM 822/2015, të ndryshuar, “Për miratimin e rregullave dhe procedurave të ndërtimit të kapaciteteve të reja prodhuese të energjisë elektrike, që nuk janë objekt koncesioni”. Metodologjia e miratuar nga VKM Nr. 369, datë 26.4.2017 “Për miratimin e metodologjisë për përcaktimin e çmimit të blerjes së energjisë elektrike të prodhuar nga burimet e vogla të rinovueshme nga dielli dhe era”, parashikon miratimin nga ERE të çmimit fiks që prodhuesi do t'i shesë OSHEE-së për 15 vite.</w:t>
      </w:r>
    </w:p>
    <w:p w14:paraId="3B5F10B9" w14:textId="7F6698CD" w:rsidR="00B86FB3" w:rsidRPr="00FF756A" w:rsidRDefault="00B86FB3" w:rsidP="008639B2">
      <w:pPr>
        <w:numPr>
          <w:ilvl w:val="0"/>
          <w:numId w:val="183"/>
        </w:numPr>
        <w:spacing w:before="0" w:after="0"/>
        <w:contextualSpacing/>
        <w:rPr>
          <w:rFonts w:eastAsia="Times New Roman"/>
        </w:rPr>
      </w:pPr>
      <w:r w:rsidRPr="00FF756A">
        <w:t xml:space="preserve">Vendosja e tarifës </w:t>
      </w:r>
      <w:r w:rsidRPr="00FF756A">
        <w:rPr>
          <w:b/>
          <w:bCs/>
        </w:rPr>
        <w:t>“Feed-in Premium”</w:t>
      </w:r>
      <w:r w:rsidRPr="00FF756A">
        <w:t xml:space="preserve"> (tarifa FiP) - kjo është skema ligjore e mbështetjes financiare për çmimin e blerjes së energjisë së prodhuar nga hidrocentrale me kapacitet të instaluar prodhimi deri në 15 MW dhe çmimit referencë </w:t>
      </w:r>
      <w:r w:rsidR="00A104F0" w:rsidRPr="00FF756A">
        <w:t>i</w:t>
      </w:r>
      <w:r w:rsidRPr="00FF756A">
        <w:t xml:space="preserve"> shtohet një vlerë prej 20% (HUPEX or ALPEX).</w:t>
      </w:r>
    </w:p>
    <w:p w14:paraId="491169A4" w14:textId="77777777" w:rsidR="00B86FB3" w:rsidRPr="00FF756A" w:rsidRDefault="00B86FB3" w:rsidP="00B86FB3">
      <w:pPr>
        <w:rPr>
          <w:rFonts w:eastAsia="Times New Roman"/>
        </w:rPr>
      </w:pPr>
      <w:r w:rsidRPr="00FF756A">
        <w:t xml:space="preserve">Metodologjia e skemave të mbështetjes, sipas kapacitetit të impiantit të BRE-së, është miratuar nga VKM 369/2017, bazuar në ligjin nr. 7/2017 “Për nxitjen e përdorimit tё energjisë nga burimet e rinovueshme (BRE)”. </w:t>
      </w:r>
    </w:p>
    <w:p w14:paraId="3C0E89A7" w14:textId="77777777" w:rsidR="00B86FB3" w:rsidRPr="00FF756A" w:rsidRDefault="00B86FB3" w:rsidP="008639B2">
      <w:pPr>
        <w:numPr>
          <w:ilvl w:val="0"/>
          <w:numId w:val="182"/>
        </w:numPr>
        <w:spacing w:before="0" w:after="0"/>
        <w:contextualSpacing/>
        <w:rPr>
          <w:rFonts w:eastAsia="Times New Roman"/>
        </w:rPr>
      </w:pPr>
      <w:r w:rsidRPr="00FF756A">
        <w:t>Për impiantet fotovoltaike me kapacitet deri në 2 MW, janë aplikuar skemat e mbështetjes me tarifën e rregulluar “feed-in” (FiT). Për vitin 2017, çmimi ka qenë 100 Euro/MWh. Për vitin 2018, ky çmim është rishikuar në 71,2 Euro/Mwh. Për vitin pasues 2019, çmimi ka qenë 100,025 Euro/MWh. Për vitin 2022, çmimi i energjisë së prodhuar nga impiantet fotovoltaike, me kapacitet të instaluar deri në 2 MW ka qenë 97,21 dhe në vitin 2023 çmimi ka qenë 95,04 Euro/MWh.</w:t>
      </w:r>
    </w:p>
    <w:p w14:paraId="14C393AD" w14:textId="77777777" w:rsidR="00B86FB3" w:rsidRPr="00FF756A" w:rsidRDefault="00B86FB3" w:rsidP="008639B2">
      <w:pPr>
        <w:numPr>
          <w:ilvl w:val="0"/>
          <w:numId w:val="182"/>
        </w:numPr>
        <w:spacing w:before="0" w:after="0"/>
        <w:contextualSpacing/>
        <w:rPr>
          <w:rFonts w:eastAsia="Times New Roman"/>
        </w:rPr>
      </w:pPr>
      <w:r w:rsidRPr="00FF756A">
        <w:t xml:space="preserve">Për kapacitetet e instaluara mbi 2 MW aplikohet skema e mbështetjes me anë të ankandeve bazuar në CfD (Kontratat për Diferencë), të cilat kanë rezultuar tërheqëse për investitorët e interesuar. Kjo skemë ka rezultuar e suksesshme dhe përvoja e fituar do të shërbejë si bazë për të orientuar politikat e vendosjes së çmimeve për këto teknologji në të ardhmen. </w:t>
      </w:r>
    </w:p>
    <w:p w14:paraId="2E051CAE" w14:textId="1E00F985" w:rsidR="00B86FB3" w:rsidRPr="00FF756A" w:rsidRDefault="00B86FB3" w:rsidP="008639B2">
      <w:pPr>
        <w:numPr>
          <w:ilvl w:val="0"/>
          <w:numId w:val="182"/>
        </w:numPr>
        <w:spacing w:before="0" w:after="0"/>
        <w:contextualSpacing/>
        <w:rPr>
          <w:rFonts w:eastAsia="Times New Roman"/>
        </w:rPr>
      </w:pPr>
      <w:r w:rsidRPr="00FF756A">
        <w:t>Për impiantet eolike me kapacitet deri në 3</w:t>
      </w:r>
      <w:r w:rsidR="00722431" w:rsidRPr="00FF756A">
        <w:t xml:space="preserve"> </w:t>
      </w:r>
      <w:r w:rsidRPr="00FF756A">
        <w:t>M</w:t>
      </w:r>
      <w:r w:rsidR="00722431" w:rsidRPr="00FF756A">
        <w:t>W</w:t>
      </w:r>
      <w:r w:rsidRPr="00FF756A">
        <w:t>, skemat e mbështetjes bazohen në një tarifë të rregulluar “feed-in” (FiT). Për vitin 2017, çmimi është vendosur në vlerën 76 €/MWh dhe nuk është marrë asnjë vendim tjetër nga ERE për periudhën 2018-2020. Për kapacitetet e instaluara mbi 3 MW, duhet të aplikohet skema e mbështetjes me anë të ankandeve, e cila ofrohet përmes një CfD-je. Ka përfunduar me sukses një ankand për ndërtimin e impianteve eolike dhe janë përzgjedhur si 3 projekte fituese, me një kapacitet total të instaluar prej 222,6 MW.</w:t>
      </w:r>
    </w:p>
    <w:p w14:paraId="152A07F8" w14:textId="77777777" w:rsidR="00B86FB3" w:rsidRPr="00FF756A" w:rsidRDefault="00B86FB3" w:rsidP="00B86FB3">
      <w:pPr>
        <w:spacing w:after="0"/>
        <w:rPr>
          <w:rFonts w:eastAsia="Times New Roman"/>
        </w:rPr>
      </w:pPr>
      <w:r w:rsidRPr="00FF756A">
        <w:t>Për hidrocentralet e vogla deri në 15 MW, enti rregullator po vendos një çmim FiT çdo vit për të promovuar kapacitetet/veprat e prodhimit të energjisë nga BRE-të, si një angazhim i drejtpërdrejtë për subvencionimin e energjisë së pastër përkundrejt importeve të cilat konsiderohen si energji me origjinë fosile, si një mekanizëm për të arritur objektivin prej 38% të kontributit neto të BRE-ve në konsumin final deri në fund të vitit 2020.</w:t>
      </w:r>
    </w:p>
    <w:p w14:paraId="088076E2" w14:textId="77777777" w:rsidR="00B86FB3" w:rsidRPr="00FF756A" w:rsidRDefault="00B86FB3" w:rsidP="00B86FB3">
      <w:r w:rsidRPr="00FF756A">
        <w:t>Sipas të dhënave të INSTAT për vitin 2019, energjia elektrike e prodhuar nga impiantet fotovoltaike përbën pothuajse 0,43% të totalit të prodhimit kombëtar ose 0,29% totalit të konsumit të energjisë për këtë vit. Në vitin 2019 nuk ka pasur kontribute nga fermat eolike, pavarësisht miratimit të një numri të konsiderueshëm lejesh (viti 2019 është viti i parë gjatë të cilit burimet e tjera të rinovueshme kanë kontribuar në prodhimin kombëtar neto të energjisë elektrike).</w:t>
      </w:r>
    </w:p>
    <w:p w14:paraId="1438490E" w14:textId="77777777" w:rsidR="00A104F0" w:rsidRPr="00FF756A" w:rsidRDefault="00A104F0" w:rsidP="00B86FB3">
      <w:pPr>
        <w:rPr>
          <w:rFonts w:eastAsia="Times New Roman"/>
        </w:rPr>
      </w:pPr>
    </w:p>
    <w:p w14:paraId="435D8203" w14:textId="77777777" w:rsidR="00B86FB3" w:rsidRPr="00FF756A" w:rsidRDefault="00B86FB3" w:rsidP="004A3257">
      <w:pPr>
        <w:keepNext/>
        <w:keepLines/>
        <w:spacing w:before="80" w:after="40"/>
        <w:outlineLvl w:val="4"/>
        <w:rPr>
          <w:rFonts w:eastAsia="Times New Roman"/>
          <w:b/>
          <w:bCs/>
          <w:color w:val="0F4761"/>
          <w:sz w:val="24"/>
          <w:szCs w:val="24"/>
        </w:rPr>
      </w:pPr>
      <w:bookmarkStart w:id="660" w:name="_Toc183639306"/>
      <w:r w:rsidRPr="00FF756A">
        <w:rPr>
          <w:rFonts w:eastAsia="Arial"/>
          <w:color w:val="0F4761"/>
        </w:rPr>
        <w:t>Subvencionet / skemat e mbështetjes në sektorin e bujqësisë</w:t>
      </w:r>
      <w:bookmarkEnd w:id="660"/>
    </w:p>
    <w:p w14:paraId="7551729F" w14:textId="26711F56" w:rsidR="00B86FB3" w:rsidRPr="00FF756A" w:rsidRDefault="00B86FB3" w:rsidP="00B86FB3">
      <w:pPr>
        <w:rPr>
          <w:rFonts w:eastAsia="Times New Roman"/>
        </w:rPr>
      </w:pPr>
      <w:r w:rsidRPr="00FF756A">
        <w:t xml:space="preserve">Në Shqipëri, subvencionet e aplikuara për lëndët djegëse </w:t>
      </w:r>
      <w:r w:rsidR="00BE6390" w:rsidRPr="00FF756A">
        <w:t>me karbon</w:t>
      </w:r>
      <w:r w:rsidRPr="00FF756A">
        <w:t xml:space="preserve"> janë të limituara. Për vitin 2021, do të aplikohet një skemë subvencionimi në sektorin e bujqësisë për disa kategori të caktuara të produkteve bujqësore. Ky vendim përcakton gjithashtu normat e konsumit të naftës për hektar për të gjitha këto grupe dhe nëngrupe që do ta përfitojnë naftën pa pagesë, çka sipas Vendimit të Këshillit të Ministrave konsiston në: </w:t>
      </w:r>
    </w:p>
    <w:p w14:paraId="50A72D2E" w14:textId="77777777" w:rsidR="00B86FB3" w:rsidRPr="00FF756A" w:rsidRDefault="00B86FB3" w:rsidP="008639B2">
      <w:pPr>
        <w:numPr>
          <w:ilvl w:val="0"/>
          <w:numId w:val="181"/>
        </w:numPr>
        <w:spacing w:before="0" w:after="0"/>
        <w:contextualSpacing/>
        <w:rPr>
          <w:rFonts w:eastAsia="Times New Roman"/>
        </w:rPr>
      </w:pPr>
      <w:r w:rsidRPr="00FF756A">
        <w:t>përjashtimin nga detyrimet e akcizës (37 Lekë/lt) (/ek. 0,299 euro)</w:t>
      </w:r>
    </w:p>
    <w:p w14:paraId="387D1B72" w14:textId="77777777" w:rsidR="00B86FB3" w:rsidRPr="00FF756A" w:rsidRDefault="00B86FB3" w:rsidP="008639B2">
      <w:pPr>
        <w:numPr>
          <w:ilvl w:val="0"/>
          <w:numId w:val="181"/>
        </w:numPr>
        <w:spacing w:before="0" w:after="0"/>
        <w:contextualSpacing/>
        <w:rPr>
          <w:rFonts w:eastAsia="Times New Roman"/>
        </w:rPr>
      </w:pPr>
      <w:r w:rsidRPr="00FF756A">
        <w:t xml:space="preserve">përjashtimin nga tatimi mbi xhiron (27 Lekë/lt) (/ek.0,218 euro); </w:t>
      </w:r>
    </w:p>
    <w:p w14:paraId="3292C72C" w14:textId="77777777" w:rsidR="00B86FB3" w:rsidRPr="00FF756A" w:rsidRDefault="00B86FB3" w:rsidP="008639B2">
      <w:pPr>
        <w:numPr>
          <w:ilvl w:val="0"/>
          <w:numId w:val="181"/>
        </w:numPr>
        <w:spacing w:before="0" w:after="0"/>
        <w:contextualSpacing/>
        <w:rPr>
          <w:rFonts w:eastAsia="Times New Roman"/>
        </w:rPr>
      </w:pPr>
      <w:r w:rsidRPr="00FF756A">
        <w:t xml:space="preserve">përjashtimin nga taksa e karbonit (3 Lekë/lt) (ek.0,0024 euro) </w:t>
      </w:r>
    </w:p>
    <w:p w14:paraId="43EFA5E5" w14:textId="77777777" w:rsidR="00B86FB3" w:rsidRPr="00FF756A" w:rsidRDefault="00B86FB3" w:rsidP="008639B2">
      <w:pPr>
        <w:numPr>
          <w:ilvl w:val="0"/>
          <w:numId w:val="181"/>
        </w:numPr>
        <w:spacing w:before="0" w:after="0"/>
        <w:contextualSpacing/>
        <w:rPr>
          <w:rFonts w:eastAsia="Times New Roman"/>
        </w:rPr>
      </w:pPr>
      <w:r w:rsidRPr="00FF756A">
        <w:t xml:space="preserve">përjashtimin nga TVSH-ja (13,4 Lekë/lt) (ek. 0,108 euro) </w:t>
      </w:r>
    </w:p>
    <w:p w14:paraId="5BBC23E6" w14:textId="77777777" w:rsidR="00B86FB3" w:rsidRPr="00FF756A" w:rsidRDefault="00B86FB3" w:rsidP="00B86FB3">
      <w:pPr>
        <w:rPr>
          <w:rFonts w:eastAsia="Times New Roman"/>
        </w:rPr>
      </w:pPr>
      <w:r w:rsidRPr="00FF756A">
        <w:t xml:space="preserve">Në total, për 1 litër naftë që përdoret në sektorin e bujqësisë për disa kategori të caktuara (kulturat e fushave, pemët frutore dhe perimet) do të paguhen 67 Lekë ose 54% më pak. Fondi total që planifikohet të përdoret për financimin e masave të mësipërme është një miliardë lekë (përafërsisht 809 000 Euro) për vitin 2021, nga të cilat 950 milion lekë do të përdoren për subvencionimin e taksave dhe 50 milionë lekë për monitorimin e skemës së subvencionimit. </w:t>
      </w:r>
    </w:p>
    <w:p w14:paraId="5BBA02FF" w14:textId="77777777" w:rsidR="00B86FB3" w:rsidRPr="00FF756A" w:rsidRDefault="00B86FB3" w:rsidP="00B86FB3">
      <w:pPr>
        <w:rPr>
          <w:rFonts w:eastAsia="Times New Roman"/>
        </w:rPr>
      </w:pPr>
      <w:r w:rsidRPr="00FF756A">
        <w:t>Çmimi referencë i naftës që do të përdoret në sektorin e bujqësisë do të jetë çmimi mesatar vjetor 144 lekë /litër (ek. 1,163 euro), i publikuar nga Agjencia e Prokurimit Publik (APP) në Buletinin e Njoftimeve Publike.</w:t>
      </w:r>
    </w:p>
    <w:p w14:paraId="0A11E5AE" w14:textId="77777777" w:rsidR="00B86FB3" w:rsidRPr="00FF756A" w:rsidRDefault="00B86FB3" w:rsidP="00B86FB3"/>
    <w:p w14:paraId="6BA4ED0B" w14:textId="77777777" w:rsidR="00B86FB3" w:rsidRPr="00FF756A" w:rsidRDefault="00B86FB3" w:rsidP="00B86FB3">
      <w:r w:rsidRPr="00FF756A">
        <w:br w:type="page"/>
      </w:r>
    </w:p>
    <w:p w14:paraId="3126BEFA" w14:textId="77777777" w:rsidR="00B86FB3" w:rsidRPr="00FF756A" w:rsidRDefault="00B86FB3" w:rsidP="008639B2">
      <w:pPr>
        <w:keepNext/>
        <w:keepLines/>
        <w:numPr>
          <w:ilvl w:val="0"/>
          <w:numId w:val="198"/>
        </w:numPr>
        <w:spacing w:before="240" w:after="0"/>
        <w:outlineLvl w:val="0"/>
        <w:rPr>
          <w:rFonts w:eastAsia="Times New Roman"/>
          <w:color w:val="365F91"/>
          <w:sz w:val="32"/>
          <w:szCs w:val="32"/>
        </w:rPr>
      </w:pPr>
      <w:bookmarkStart w:id="661" w:name="_Toc72919991"/>
      <w:bookmarkStart w:id="662" w:name="_Toc72930627"/>
      <w:bookmarkStart w:id="663" w:name="_Toc100575617"/>
      <w:bookmarkStart w:id="664" w:name="_Toc182898980"/>
      <w:bookmarkStart w:id="665" w:name="_Toc183639307"/>
      <w:r w:rsidRPr="00FF756A">
        <w:rPr>
          <w:rFonts w:eastAsia="Times New Roman"/>
          <w:color w:val="365F91"/>
          <w:sz w:val="32"/>
          <w:szCs w:val="32"/>
        </w:rPr>
        <w:t>VLERËSIMI I NDIKIMIT TË POLITIKAVE DHE MASAVE TË PLANIFIKUARA</w:t>
      </w:r>
      <w:bookmarkEnd w:id="661"/>
      <w:bookmarkEnd w:id="662"/>
      <w:bookmarkEnd w:id="663"/>
      <w:bookmarkEnd w:id="664"/>
      <w:bookmarkEnd w:id="665"/>
    </w:p>
    <w:p w14:paraId="36793997" w14:textId="77777777" w:rsidR="00B86FB3" w:rsidRPr="00FF756A" w:rsidRDefault="00B86FB3" w:rsidP="00B86FB3"/>
    <w:p w14:paraId="63A3153E" w14:textId="77777777" w:rsidR="00B86FB3" w:rsidRPr="00FF756A" w:rsidRDefault="00B86FB3" w:rsidP="008639B2">
      <w:pPr>
        <w:keepNext/>
        <w:keepLines/>
        <w:numPr>
          <w:ilvl w:val="1"/>
          <w:numId w:val="195"/>
        </w:numPr>
        <w:spacing w:before="40" w:after="0"/>
        <w:outlineLvl w:val="1"/>
        <w:rPr>
          <w:rFonts w:eastAsiaTheme="minorEastAsia"/>
          <w:color w:val="365F91"/>
          <w:sz w:val="26"/>
          <w:szCs w:val="26"/>
          <w:lang w:eastAsia="de-DE"/>
        </w:rPr>
      </w:pPr>
      <w:bookmarkStart w:id="666" w:name="_Toc100575618"/>
      <w:bookmarkStart w:id="667" w:name="_Toc182898981"/>
      <w:bookmarkStart w:id="668" w:name="_Toc183639308"/>
      <w:bookmarkStart w:id="669" w:name="_Toc72919992"/>
      <w:bookmarkStart w:id="670" w:name="_Toc72930628"/>
      <w:r w:rsidRPr="00FF756A">
        <w:rPr>
          <w:rFonts w:eastAsiaTheme="minorEastAsia"/>
          <w:color w:val="365F91"/>
          <w:sz w:val="26"/>
          <w:szCs w:val="26"/>
          <w:lang w:eastAsia="de-DE"/>
        </w:rPr>
        <w:t>Ndikimet e politikave dhe masave të planifikuara, duke përfshirë krahasimin me parashikimet me politika dhe masa ekzistuese.</w:t>
      </w:r>
      <w:bookmarkEnd w:id="666"/>
      <w:bookmarkEnd w:id="667"/>
      <w:bookmarkEnd w:id="668"/>
      <w:r w:rsidRPr="00FF756A">
        <w:rPr>
          <w:rFonts w:eastAsiaTheme="minorEastAsia"/>
          <w:color w:val="365F91"/>
          <w:sz w:val="26"/>
          <w:szCs w:val="26"/>
          <w:lang w:eastAsia="de-DE"/>
        </w:rPr>
        <w:t xml:space="preserve"> </w:t>
      </w:r>
      <w:bookmarkEnd w:id="669"/>
      <w:bookmarkEnd w:id="670"/>
    </w:p>
    <w:p w14:paraId="0272DEFE" w14:textId="77777777" w:rsidR="00B86FB3" w:rsidRPr="00FF756A" w:rsidRDefault="00B86FB3" w:rsidP="00B86FB3"/>
    <w:p w14:paraId="0BE1663B" w14:textId="77777777" w:rsidR="00B86FB3" w:rsidRPr="00FF756A" w:rsidRDefault="00B86FB3" w:rsidP="00B86FB3">
      <w:r w:rsidRPr="00FF756A">
        <w:t>Ky seksion trajton ndikimet e politikave dhe masave të planifikuara të përshkruara në seksionin 3 në sistemin e energjisë dhe në shkarkimet dhe eliminimin e GES-ve, duke përfshirë krahasimin me parashikimet me politikat dhe masat ekzistuese (siç përshkruhet në seksionin 4). Kjo përkon me skenarin “me masa shtesë” (WAM).</w:t>
      </w:r>
    </w:p>
    <w:p w14:paraId="611BA280" w14:textId="77777777" w:rsidR="00B86FB3" w:rsidRPr="00FF756A" w:rsidRDefault="00B86FB3" w:rsidP="00B86FB3">
      <w:r w:rsidRPr="00FF756A">
        <w:t>Në Shqipëri janë planifikuar një sërë masash shtesë në të gjithë sektorët, të cilat janë përshkruar në detaje në kreun 3. Ky kre paraqet rezultatet e parashikimeve ne masa shtesë të planifikuara në nivelin e përgjithshëm dhe atë sektorial.</w:t>
      </w:r>
    </w:p>
    <w:p w14:paraId="7C35FAC1" w14:textId="77777777" w:rsidR="00B86FB3" w:rsidRPr="00FF756A" w:rsidRDefault="00B86FB3" w:rsidP="00B86FB3">
      <w:r w:rsidRPr="00FF756A">
        <w:t>Për analogji me kreun 4 dhe për më shumë qartësi, këto figura tregojnë vlerat për tendencat historike gjatë periudhës 2016 - 2023, pasuar nga parashikimet deri në vitin 2030, si dhe vlerat e parashikuara për vitet 2040 dhe 2050. Figurat tregojnë, sipas rastit, vlerat absolute, krahasimet e skenarëve dhe kategorizimin e nënkategorive për dallimet midis skenarit WEM (me masa ekzistuese) të trajtuar në kreun 4 dhe skenarit WAM (me masa shtesë, emërtuar “WAM që merr në konsideratë kapacitetin e plotë të ER-së” në grafikët e mëposhtëm) të paraqitur në këtë kre.</w:t>
      </w:r>
    </w:p>
    <w:p w14:paraId="3DE1AF1B" w14:textId="77777777" w:rsidR="00B86FB3" w:rsidRPr="00FF756A" w:rsidRDefault="00B86FB3" w:rsidP="00B86FB3">
      <w:r w:rsidRPr="00FF756A">
        <w:t>Skenari WAM merr në konsideratë operimin me kapacitet të plotë të impianteve të energjisë së rinovueshme, pavarësisht nga kërkesa për energji elektrike në vend. Kjo bazohet në një treg likuid dhe në një nivel të lartë interkoneksioni. Duke qenë se energjia elektrike e rinovueshme ka kosto operacionale të kufizuara ose zero, ka gjithmonë kërkesë për të. Për të analizuar efektin e këtij supozimi, në disa raste ky dokument paraqet edhe rezultatet e një skenari alternativ, ku prodhuesit e energjisë së rinovueshme operojnë vetëm për të përmbushur kërkesën e brendshme. Ky skenar quhet “WAM që merr në konsideratë vetëm ER-në për përmbushjen e kërkesës”. Vini re se, në më të shumtën e rasteve, kjo strukturë nuk ka asnjë ndikim mbi rezultatet, pasi teprica e energjisë elektrike thjesht eksportohet. Impiantet e energjisë së rinovueshme nuk prodhojnë shkarkime dhe nuk ndikojnë në kërkesën për energji. Ndikimi kryesor i kësaj strukture vihet re te përqindja e energjisë së rinovueshme primare dhe finale.</w:t>
      </w:r>
    </w:p>
    <w:p w14:paraId="1607755B" w14:textId="77777777" w:rsidR="00B86FB3" w:rsidRPr="00FF756A" w:rsidRDefault="00B86FB3" w:rsidP="00B86FB3"/>
    <w:p w14:paraId="372DCFAB" w14:textId="77777777" w:rsidR="00B86FB3" w:rsidRPr="00FF756A" w:rsidRDefault="00B86FB3" w:rsidP="008639B2">
      <w:pPr>
        <w:keepNext/>
        <w:keepLines/>
        <w:numPr>
          <w:ilvl w:val="0"/>
          <w:numId w:val="192"/>
        </w:numPr>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rFonts w:eastAsia="Calibri Light"/>
          <w:i/>
          <w:iCs/>
          <w:color w:val="2F5496" w:themeColor="accent1" w:themeShade="BF"/>
        </w:rPr>
      </w:pPr>
      <w:bookmarkStart w:id="671" w:name="_Toc183639309"/>
      <w:r w:rsidRPr="00FF756A">
        <w:rPr>
          <w:rFonts w:eastAsia="Calibri Light"/>
          <w:i/>
          <w:iCs/>
          <w:color w:val="2F5496" w:themeColor="accent1" w:themeShade="BF"/>
        </w:rPr>
        <w:t>Parashikimet e zhvillimit të sistemit të energjisë dhe shkarkimeve dhe eliminimit të GES-ve, si dhe, sipas rastit, shkarkimeve të elementeve ndotës të ajrit në përputhje me Direktivën (BE) 2016/2284 sipas politikave dhe masave të planifikuara të paktën deri dhjetë vite pas periudhës që mbulohet nga plani (duke përfshirë vitin e shkuar të periudhës së mbuluar nga plani), përfshirë këtu edhe politikat dhe masat përkatëse të BE-së.</w:t>
      </w:r>
      <w:bookmarkEnd w:id="671"/>
    </w:p>
    <w:p w14:paraId="7384A205" w14:textId="77777777" w:rsidR="00B86FB3" w:rsidRPr="00FF756A" w:rsidRDefault="00B86FB3" w:rsidP="00B86FB3"/>
    <w:p w14:paraId="42487DEC" w14:textId="77777777" w:rsidR="00B86FB3" w:rsidRPr="00FF756A" w:rsidRDefault="00B86FB3" w:rsidP="00B86FB3">
      <w:pPr>
        <w:rPr>
          <w:i/>
          <w:iCs/>
          <w:color w:val="2F5496" w:themeColor="accent1" w:themeShade="BF"/>
        </w:rPr>
      </w:pPr>
      <w:r w:rsidRPr="00FF756A">
        <w:rPr>
          <w:i/>
          <w:iCs/>
          <w:color w:val="2F5496" w:themeColor="accent1" w:themeShade="BF"/>
        </w:rPr>
        <w:t>Dimensioni i dekarbonizimit</w:t>
      </w:r>
    </w:p>
    <w:p w14:paraId="721393FC" w14:textId="77777777" w:rsidR="00B86FB3" w:rsidRPr="00FF756A" w:rsidRDefault="00B86FB3" w:rsidP="00B86FB3">
      <w:bookmarkStart w:id="672" w:name="_Hlk180423417"/>
      <w:r w:rsidRPr="00FF756A">
        <w:t xml:space="preserve">Për sa u përket shkarkimeve të GES-ve, skenari WEM rezulton në një total shkarkimesh prej 11,7 Mt CO2eq në vitin 2030, ndërsa vlerat në skenarin WAM arrijnë 10,8 Mt CO2eq, çka përkon me një reduktim prej 7,7% krahasuar me vlerat e skenarit WEM. </w:t>
      </w:r>
      <w:r w:rsidRPr="00FF756A">
        <w:fldChar w:fldCharType="begin"/>
      </w:r>
      <w:r w:rsidRPr="00FF756A">
        <w:instrText xml:space="preserve"> REF _Ref72913684 \h  \* MERGEFORMAT </w:instrText>
      </w:r>
      <w:r w:rsidRPr="00FF756A">
        <w:fldChar w:fldCharType="separate"/>
      </w:r>
      <w:r w:rsidRPr="00FF756A">
        <w:t>Tabela 24</w:t>
      </w:r>
      <w:r w:rsidRPr="00FF756A">
        <w:fldChar w:fldCharType="end"/>
      </w:r>
      <w:r w:rsidRPr="00FF756A">
        <w:t xml:space="preserve"> paraqet një përmbledhje të vlerave për WEM dhe WAM. Në krahasim me vitin 2020, skenari WAM përfshin një rritje të shkarkimeve prej 2,8% në vitin 2030 dhe më pas një rënie prej -22,6% deri në vitin 2040, pasuar nga një rënie e mëtejshme prej -49,9% deri në vitin 2050. Skenari WEM parashikon një rritje të shkarkimeve me 11% në vitin 2030, krahasuar me vitin 2020, dhe me 41,2% në vitin 2050. </w:t>
      </w:r>
      <w:r w:rsidRPr="00FF756A">
        <w:fldChar w:fldCharType="begin"/>
      </w:r>
      <w:r w:rsidRPr="00FF756A">
        <w:instrText xml:space="preserve"> REF _Ref71802728 \h  \* MERGEFORMAT </w:instrText>
      </w:r>
      <w:r w:rsidRPr="00FF756A">
        <w:fldChar w:fldCharType="separate"/>
      </w:r>
      <w:r w:rsidRPr="00FF756A">
        <w:t>Tabela 6</w:t>
      </w:r>
      <w:r w:rsidRPr="00FF756A">
        <w:fldChar w:fldCharType="end"/>
      </w:r>
      <w:r w:rsidRPr="00FF756A">
        <w:t xml:space="preserve"> rendit vlerat historike të paraqitura në figura, si dhe parashikimet për vitet 2020, 2025, 2030, 2040 dhe 2050.</w:t>
      </w:r>
    </w:p>
    <w:bookmarkEnd w:id="672"/>
    <w:p w14:paraId="74210ECC" w14:textId="77777777" w:rsidR="00B86FB3" w:rsidRPr="00FF756A" w:rsidRDefault="00B86FB3" w:rsidP="00B86FB3">
      <w:pPr>
        <w:rPr>
          <w:i/>
        </w:rPr>
      </w:pPr>
    </w:p>
    <w:p w14:paraId="3341A9D0" w14:textId="77777777" w:rsidR="00B86FB3" w:rsidRPr="00FF756A" w:rsidRDefault="00B86FB3" w:rsidP="00B86FB3">
      <w:pPr>
        <w:rPr>
          <w:i/>
        </w:rPr>
      </w:pPr>
    </w:p>
    <w:tbl>
      <w:tblPr>
        <w:tblW w:w="9799" w:type="dxa"/>
        <w:tblLook w:val="04A0" w:firstRow="1" w:lastRow="0" w:firstColumn="1" w:lastColumn="0" w:noHBand="0" w:noVBand="1"/>
      </w:tblPr>
      <w:tblGrid>
        <w:gridCol w:w="3251"/>
        <w:gridCol w:w="814"/>
        <w:gridCol w:w="819"/>
        <w:gridCol w:w="819"/>
        <w:gridCol w:w="819"/>
        <w:gridCol w:w="819"/>
        <w:gridCol w:w="819"/>
        <w:gridCol w:w="825"/>
        <w:gridCol w:w="808"/>
        <w:gridCol w:w="6"/>
      </w:tblGrid>
      <w:tr w:rsidR="00B86FB3" w:rsidRPr="00FF756A" w14:paraId="1ED35E19" w14:textId="77777777" w:rsidTr="006A3266">
        <w:trPr>
          <w:trHeight w:val="313"/>
        </w:trPr>
        <w:tc>
          <w:tcPr>
            <w:tcW w:w="3251" w:type="dxa"/>
            <w:tcBorders>
              <w:top w:val="single" w:sz="8" w:space="0" w:color="FFFFFF"/>
              <w:left w:val="single" w:sz="8" w:space="0" w:color="FFFFFF"/>
              <w:bottom w:val="single" w:sz="8" w:space="0" w:color="FFFFFF"/>
              <w:right w:val="nil"/>
            </w:tcBorders>
            <w:shd w:val="clear" w:color="000000" w:fill="4F81BD"/>
            <w:noWrap/>
            <w:vAlign w:val="center"/>
            <w:hideMark/>
          </w:tcPr>
          <w:p w14:paraId="791C5438" w14:textId="77777777" w:rsidR="00B86FB3" w:rsidRPr="00FF756A" w:rsidRDefault="00B86FB3" w:rsidP="00B86FB3">
            <w:pPr>
              <w:rPr>
                <w:rFonts w:eastAsia="Times New Roman"/>
                <w:b/>
                <w:bCs/>
                <w:color w:val="FFFFFF"/>
                <w:sz w:val="16"/>
                <w:szCs w:val="16"/>
              </w:rPr>
            </w:pPr>
            <w:bookmarkStart w:id="673" w:name="_Hlk180425734"/>
            <w:r w:rsidRPr="00FF756A">
              <w:rPr>
                <w:b/>
                <w:bCs/>
                <w:color w:val="FFFFFF"/>
                <w:sz w:val="16"/>
                <w:szCs w:val="16"/>
              </w:rPr>
              <w:t>Dega</w:t>
            </w:r>
          </w:p>
        </w:tc>
        <w:tc>
          <w:tcPr>
            <w:tcW w:w="814" w:type="dxa"/>
            <w:tcBorders>
              <w:top w:val="single" w:sz="8" w:space="0" w:color="FFFFFF"/>
              <w:left w:val="nil"/>
              <w:bottom w:val="single" w:sz="8" w:space="0" w:color="FFFFFF"/>
              <w:right w:val="nil"/>
            </w:tcBorders>
            <w:shd w:val="clear" w:color="000000" w:fill="4F81BD"/>
            <w:noWrap/>
            <w:vAlign w:val="center"/>
            <w:hideMark/>
          </w:tcPr>
          <w:p w14:paraId="4ED7E95F" w14:textId="77777777" w:rsidR="00B86FB3" w:rsidRPr="00FF756A" w:rsidRDefault="00B86FB3" w:rsidP="00B86FB3">
            <w:pPr>
              <w:jc w:val="right"/>
              <w:rPr>
                <w:rFonts w:eastAsia="Times New Roman"/>
                <w:b/>
                <w:bCs/>
                <w:color w:val="FFFFFF"/>
                <w:sz w:val="16"/>
                <w:szCs w:val="16"/>
              </w:rPr>
            </w:pPr>
            <w:r w:rsidRPr="00FF756A">
              <w:rPr>
                <w:b/>
                <w:bCs/>
                <w:color w:val="FFFFFF"/>
                <w:sz w:val="16"/>
                <w:szCs w:val="16"/>
              </w:rPr>
              <w:t>2020</w:t>
            </w:r>
          </w:p>
        </w:tc>
        <w:tc>
          <w:tcPr>
            <w:tcW w:w="819" w:type="dxa"/>
            <w:tcBorders>
              <w:top w:val="single" w:sz="8" w:space="0" w:color="FFFFFF"/>
              <w:left w:val="nil"/>
              <w:bottom w:val="single" w:sz="8" w:space="0" w:color="FFFFFF"/>
              <w:right w:val="nil"/>
            </w:tcBorders>
            <w:shd w:val="clear" w:color="000000" w:fill="4F81BD"/>
            <w:noWrap/>
            <w:vAlign w:val="center"/>
            <w:hideMark/>
          </w:tcPr>
          <w:p w14:paraId="4C20B342" w14:textId="77777777" w:rsidR="00B86FB3" w:rsidRPr="00FF756A" w:rsidRDefault="00B86FB3" w:rsidP="00B86FB3">
            <w:pPr>
              <w:jc w:val="right"/>
              <w:rPr>
                <w:rFonts w:eastAsia="Times New Roman"/>
                <w:b/>
                <w:bCs/>
                <w:color w:val="FFFFFF"/>
                <w:sz w:val="16"/>
                <w:szCs w:val="16"/>
              </w:rPr>
            </w:pPr>
            <w:r w:rsidRPr="00FF756A">
              <w:rPr>
                <w:b/>
                <w:bCs/>
                <w:color w:val="FFFFFF"/>
                <w:sz w:val="16"/>
                <w:szCs w:val="16"/>
              </w:rPr>
              <w:t>2021</w:t>
            </w:r>
          </w:p>
        </w:tc>
        <w:tc>
          <w:tcPr>
            <w:tcW w:w="819" w:type="dxa"/>
            <w:tcBorders>
              <w:top w:val="single" w:sz="8" w:space="0" w:color="FFFFFF"/>
              <w:left w:val="nil"/>
              <w:bottom w:val="single" w:sz="8" w:space="0" w:color="FFFFFF"/>
              <w:right w:val="nil"/>
            </w:tcBorders>
            <w:shd w:val="clear" w:color="000000" w:fill="4F81BD"/>
            <w:noWrap/>
            <w:vAlign w:val="center"/>
            <w:hideMark/>
          </w:tcPr>
          <w:p w14:paraId="1D89CB56" w14:textId="77777777" w:rsidR="00B86FB3" w:rsidRPr="00FF756A" w:rsidRDefault="00B86FB3" w:rsidP="00B86FB3">
            <w:pPr>
              <w:jc w:val="right"/>
              <w:rPr>
                <w:rFonts w:eastAsia="Times New Roman"/>
                <w:b/>
                <w:bCs/>
                <w:color w:val="FFFFFF"/>
                <w:sz w:val="16"/>
                <w:szCs w:val="16"/>
              </w:rPr>
            </w:pPr>
            <w:r w:rsidRPr="00FF756A">
              <w:rPr>
                <w:b/>
                <w:bCs/>
                <w:color w:val="FFFFFF"/>
                <w:sz w:val="16"/>
                <w:szCs w:val="16"/>
              </w:rPr>
              <w:t>2022</w:t>
            </w:r>
          </w:p>
        </w:tc>
        <w:tc>
          <w:tcPr>
            <w:tcW w:w="819" w:type="dxa"/>
            <w:tcBorders>
              <w:top w:val="single" w:sz="8" w:space="0" w:color="FFFFFF"/>
              <w:left w:val="nil"/>
              <w:bottom w:val="single" w:sz="8" w:space="0" w:color="FFFFFF"/>
              <w:right w:val="nil"/>
            </w:tcBorders>
            <w:shd w:val="clear" w:color="000000" w:fill="4F81BD"/>
            <w:noWrap/>
            <w:vAlign w:val="center"/>
            <w:hideMark/>
          </w:tcPr>
          <w:p w14:paraId="4A4A6C59" w14:textId="77777777" w:rsidR="00B86FB3" w:rsidRPr="00FF756A" w:rsidRDefault="00B86FB3" w:rsidP="00B86FB3">
            <w:pPr>
              <w:jc w:val="right"/>
              <w:rPr>
                <w:rFonts w:eastAsia="Times New Roman"/>
                <w:b/>
                <w:bCs/>
                <w:color w:val="FFFFFF"/>
                <w:sz w:val="16"/>
                <w:szCs w:val="16"/>
              </w:rPr>
            </w:pPr>
            <w:r w:rsidRPr="00FF756A">
              <w:rPr>
                <w:b/>
                <w:bCs/>
                <w:color w:val="FFFFFF"/>
                <w:sz w:val="16"/>
                <w:szCs w:val="16"/>
              </w:rPr>
              <w:t>2023</w:t>
            </w:r>
          </w:p>
        </w:tc>
        <w:tc>
          <w:tcPr>
            <w:tcW w:w="819" w:type="dxa"/>
            <w:tcBorders>
              <w:top w:val="single" w:sz="8" w:space="0" w:color="FFFFFF"/>
              <w:left w:val="nil"/>
              <w:bottom w:val="single" w:sz="8" w:space="0" w:color="FFFFFF"/>
              <w:right w:val="nil"/>
            </w:tcBorders>
            <w:shd w:val="clear" w:color="000000" w:fill="4F81BD"/>
            <w:noWrap/>
            <w:vAlign w:val="center"/>
            <w:hideMark/>
          </w:tcPr>
          <w:p w14:paraId="242B5E76" w14:textId="77777777" w:rsidR="00B86FB3" w:rsidRPr="00FF756A" w:rsidRDefault="00B86FB3" w:rsidP="00B86FB3">
            <w:pPr>
              <w:jc w:val="right"/>
              <w:rPr>
                <w:rFonts w:eastAsia="Times New Roman"/>
                <w:b/>
                <w:bCs/>
                <w:color w:val="FFFFFF"/>
                <w:sz w:val="16"/>
                <w:szCs w:val="16"/>
              </w:rPr>
            </w:pPr>
            <w:r w:rsidRPr="00FF756A">
              <w:rPr>
                <w:b/>
                <w:bCs/>
                <w:color w:val="FFFFFF"/>
                <w:sz w:val="16"/>
                <w:szCs w:val="16"/>
              </w:rPr>
              <w:t>2025</w:t>
            </w:r>
          </w:p>
        </w:tc>
        <w:tc>
          <w:tcPr>
            <w:tcW w:w="819" w:type="dxa"/>
            <w:tcBorders>
              <w:top w:val="single" w:sz="8" w:space="0" w:color="FFFFFF"/>
              <w:left w:val="nil"/>
              <w:bottom w:val="single" w:sz="8" w:space="0" w:color="FFFFFF"/>
              <w:right w:val="nil"/>
            </w:tcBorders>
            <w:shd w:val="clear" w:color="000000" w:fill="4F81BD"/>
            <w:noWrap/>
            <w:vAlign w:val="center"/>
            <w:hideMark/>
          </w:tcPr>
          <w:p w14:paraId="2ED39D53" w14:textId="77777777" w:rsidR="00B86FB3" w:rsidRPr="00FF756A" w:rsidRDefault="00B86FB3" w:rsidP="00B86FB3">
            <w:pPr>
              <w:jc w:val="right"/>
              <w:rPr>
                <w:rFonts w:eastAsia="Times New Roman"/>
                <w:b/>
                <w:bCs/>
                <w:color w:val="FFFFFF"/>
                <w:sz w:val="16"/>
                <w:szCs w:val="16"/>
              </w:rPr>
            </w:pPr>
            <w:r w:rsidRPr="00FF756A">
              <w:rPr>
                <w:b/>
                <w:bCs/>
                <w:color w:val="FFFFFF"/>
                <w:sz w:val="16"/>
                <w:szCs w:val="16"/>
              </w:rPr>
              <w:t>2030</w:t>
            </w:r>
          </w:p>
        </w:tc>
        <w:tc>
          <w:tcPr>
            <w:tcW w:w="825" w:type="dxa"/>
            <w:tcBorders>
              <w:top w:val="single" w:sz="8" w:space="0" w:color="FFFFFF"/>
              <w:left w:val="nil"/>
            </w:tcBorders>
            <w:shd w:val="clear" w:color="000000" w:fill="4F81BD"/>
            <w:noWrap/>
            <w:vAlign w:val="center"/>
            <w:hideMark/>
          </w:tcPr>
          <w:p w14:paraId="0747456F" w14:textId="77777777" w:rsidR="00B86FB3" w:rsidRPr="00FF756A" w:rsidRDefault="00B86FB3" w:rsidP="00B86FB3">
            <w:pPr>
              <w:jc w:val="right"/>
              <w:rPr>
                <w:rFonts w:eastAsia="Times New Roman"/>
                <w:b/>
                <w:bCs/>
                <w:color w:val="FFFFFF"/>
                <w:sz w:val="16"/>
                <w:szCs w:val="16"/>
              </w:rPr>
            </w:pPr>
            <w:r w:rsidRPr="00FF756A">
              <w:rPr>
                <w:b/>
                <w:bCs/>
                <w:color w:val="FFFFFF"/>
                <w:sz w:val="16"/>
                <w:szCs w:val="16"/>
              </w:rPr>
              <w:t>2040</w:t>
            </w:r>
          </w:p>
        </w:tc>
        <w:tc>
          <w:tcPr>
            <w:tcW w:w="814" w:type="dxa"/>
            <w:gridSpan w:val="2"/>
            <w:tcBorders>
              <w:top w:val="single" w:sz="8" w:space="0" w:color="FFFFFF"/>
              <w:right w:val="single" w:sz="8" w:space="0" w:color="FFFFFF"/>
            </w:tcBorders>
            <w:shd w:val="clear" w:color="000000" w:fill="4F81BD"/>
          </w:tcPr>
          <w:p w14:paraId="543F635A" w14:textId="77777777" w:rsidR="00B86FB3" w:rsidRPr="00FF756A" w:rsidRDefault="00B86FB3" w:rsidP="00B86FB3">
            <w:pPr>
              <w:pBdr>
                <w:top w:val="none" w:sz="0" w:space="0" w:color="auto"/>
                <w:left w:val="none" w:sz="0" w:space="0" w:color="auto"/>
                <w:bottom w:val="none" w:sz="0" w:space="0" w:color="auto"/>
                <w:right w:val="none" w:sz="0" w:space="0" w:color="auto"/>
                <w:between w:val="none" w:sz="0" w:space="0" w:color="auto"/>
              </w:pBdr>
              <w:jc w:val="right"/>
              <w:rPr>
                <w:rFonts w:eastAsia="Times New Roman"/>
                <w:b/>
                <w:bCs/>
                <w:color w:val="FFFFFF"/>
                <w:sz w:val="16"/>
                <w:szCs w:val="16"/>
              </w:rPr>
            </w:pPr>
            <w:r w:rsidRPr="00FF756A">
              <w:rPr>
                <w:b/>
                <w:bCs/>
                <w:color w:val="FFFFFF"/>
                <w:sz w:val="16"/>
                <w:szCs w:val="16"/>
              </w:rPr>
              <w:t>2050</w:t>
            </w:r>
          </w:p>
        </w:tc>
      </w:tr>
      <w:tr w:rsidR="00B86FB3" w:rsidRPr="00FF756A" w14:paraId="42FAFC47" w14:textId="77777777" w:rsidTr="006A3266">
        <w:trPr>
          <w:gridAfter w:val="1"/>
          <w:wAfter w:w="6" w:type="dxa"/>
          <w:trHeight w:val="313"/>
        </w:trPr>
        <w:tc>
          <w:tcPr>
            <w:tcW w:w="9793" w:type="dxa"/>
            <w:gridSpan w:val="9"/>
            <w:tcBorders>
              <w:top w:val="single" w:sz="8" w:space="0" w:color="FFFFFF"/>
              <w:left w:val="single" w:sz="8" w:space="0" w:color="FFFFFF"/>
              <w:bottom w:val="single" w:sz="8" w:space="0" w:color="FFFFFF"/>
              <w:right w:val="single" w:sz="8" w:space="0" w:color="FFFFFF"/>
            </w:tcBorders>
            <w:shd w:val="clear" w:color="000000" w:fill="4F81BD"/>
            <w:noWrap/>
            <w:vAlign w:val="center"/>
            <w:hideMark/>
          </w:tcPr>
          <w:p w14:paraId="2DCD95DD" w14:textId="77777777" w:rsidR="00B86FB3" w:rsidRPr="00FF756A" w:rsidRDefault="00B86FB3" w:rsidP="00B86FB3">
            <w:pPr>
              <w:rPr>
                <w:rFonts w:eastAsia="Times New Roman"/>
                <w:b/>
                <w:bCs/>
                <w:color w:val="FFFFFF"/>
                <w:sz w:val="16"/>
                <w:szCs w:val="16"/>
              </w:rPr>
            </w:pPr>
            <w:r w:rsidRPr="00FF756A">
              <w:rPr>
                <w:b/>
                <w:bCs/>
                <w:color w:val="FFFFFF"/>
                <w:sz w:val="16"/>
                <w:szCs w:val="16"/>
              </w:rPr>
              <w:t>WAM</w:t>
            </w:r>
          </w:p>
        </w:tc>
      </w:tr>
      <w:tr w:rsidR="00B86FB3" w:rsidRPr="00FF756A" w14:paraId="05411D9A" w14:textId="77777777" w:rsidTr="006A3266">
        <w:trPr>
          <w:trHeight w:val="313"/>
        </w:trPr>
        <w:tc>
          <w:tcPr>
            <w:tcW w:w="3251" w:type="dxa"/>
            <w:tcBorders>
              <w:top w:val="nil"/>
              <w:left w:val="single" w:sz="8" w:space="0" w:color="FFFFFF"/>
              <w:bottom w:val="single" w:sz="8" w:space="0" w:color="FFFFFF"/>
              <w:right w:val="single" w:sz="8" w:space="0" w:color="FFFFFF"/>
            </w:tcBorders>
            <w:shd w:val="clear" w:color="000000" w:fill="4F81BD"/>
            <w:noWrap/>
            <w:vAlign w:val="center"/>
            <w:hideMark/>
          </w:tcPr>
          <w:p w14:paraId="31AD0417" w14:textId="77777777" w:rsidR="00B86FB3" w:rsidRPr="00FF756A" w:rsidRDefault="00B86FB3" w:rsidP="00B86FB3">
            <w:pPr>
              <w:rPr>
                <w:rFonts w:eastAsia="Times New Roman"/>
                <w:b/>
                <w:bCs/>
                <w:color w:val="FFFFFF"/>
                <w:sz w:val="16"/>
                <w:szCs w:val="16"/>
              </w:rPr>
            </w:pPr>
            <w:r w:rsidRPr="00FF756A">
              <w:rPr>
                <w:b/>
                <w:bCs/>
                <w:color w:val="FFFFFF"/>
                <w:sz w:val="16"/>
                <w:szCs w:val="16"/>
              </w:rPr>
              <w:t>Kërkesa</w:t>
            </w:r>
          </w:p>
        </w:tc>
        <w:tc>
          <w:tcPr>
            <w:tcW w:w="814" w:type="dxa"/>
            <w:tcBorders>
              <w:top w:val="nil"/>
              <w:left w:val="nil"/>
              <w:bottom w:val="single" w:sz="8" w:space="0" w:color="FFFFFF"/>
              <w:right w:val="single" w:sz="8" w:space="0" w:color="FFFFFF"/>
            </w:tcBorders>
            <w:shd w:val="clear" w:color="000000" w:fill="DBE5F1"/>
            <w:noWrap/>
            <w:vAlign w:val="center"/>
            <w:hideMark/>
          </w:tcPr>
          <w:p w14:paraId="5582A718" w14:textId="77777777" w:rsidR="00B86FB3" w:rsidRPr="00FF756A" w:rsidRDefault="00B86FB3" w:rsidP="00B86FB3">
            <w:pPr>
              <w:jc w:val="center"/>
              <w:rPr>
                <w:rFonts w:eastAsia="Times New Roman"/>
                <w:color w:val="000000"/>
                <w:sz w:val="16"/>
                <w:szCs w:val="16"/>
              </w:rPr>
            </w:pPr>
            <w:r w:rsidRPr="00FF756A">
              <w:rPr>
                <w:sz w:val="16"/>
                <w:szCs w:val="16"/>
              </w:rPr>
              <w:t>3 751.7</w:t>
            </w:r>
          </w:p>
        </w:tc>
        <w:tc>
          <w:tcPr>
            <w:tcW w:w="819" w:type="dxa"/>
            <w:tcBorders>
              <w:top w:val="nil"/>
              <w:left w:val="nil"/>
              <w:bottom w:val="single" w:sz="8" w:space="0" w:color="FFFFFF"/>
              <w:right w:val="single" w:sz="8" w:space="0" w:color="FFFFFF"/>
            </w:tcBorders>
            <w:shd w:val="clear" w:color="000000" w:fill="DBE5F1"/>
            <w:noWrap/>
            <w:vAlign w:val="center"/>
            <w:hideMark/>
          </w:tcPr>
          <w:p w14:paraId="10511B2A" w14:textId="77777777" w:rsidR="00B86FB3" w:rsidRPr="00FF756A" w:rsidRDefault="00B86FB3" w:rsidP="00B86FB3">
            <w:pPr>
              <w:jc w:val="center"/>
              <w:rPr>
                <w:rFonts w:eastAsia="Times New Roman"/>
                <w:color w:val="000000"/>
                <w:sz w:val="16"/>
                <w:szCs w:val="16"/>
              </w:rPr>
            </w:pPr>
            <w:r w:rsidRPr="00FF756A">
              <w:rPr>
                <w:sz w:val="16"/>
                <w:szCs w:val="16"/>
              </w:rPr>
              <w:t>4 165,1</w:t>
            </w:r>
          </w:p>
        </w:tc>
        <w:tc>
          <w:tcPr>
            <w:tcW w:w="819" w:type="dxa"/>
            <w:tcBorders>
              <w:top w:val="nil"/>
              <w:left w:val="nil"/>
              <w:bottom w:val="single" w:sz="8" w:space="0" w:color="FFFFFF"/>
              <w:right w:val="single" w:sz="8" w:space="0" w:color="FFFFFF"/>
            </w:tcBorders>
            <w:shd w:val="clear" w:color="000000" w:fill="DBE5F1"/>
            <w:noWrap/>
            <w:vAlign w:val="center"/>
            <w:hideMark/>
          </w:tcPr>
          <w:p w14:paraId="128BCCC3" w14:textId="77777777" w:rsidR="00B86FB3" w:rsidRPr="00FF756A" w:rsidRDefault="00B86FB3" w:rsidP="00B86FB3">
            <w:pPr>
              <w:jc w:val="center"/>
              <w:rPr>
                <w:rFonts w:eastAsia="Times New Roman"/>
                <w:color w:val="000000"/>
                <w:sz w:val="16"/>
                <w:szCs w:val="16"/>
              </w:rPr>
            </w:pPr>
            <w:r w:rsidRPr="00FF756A">
              <w:rPr>
                <w:sz w:val="16"/>
                <w:szCs w:val="16"/>
              </w:rPr>
              <w:t>4 220,2</w:t>
            </w:r>
          </w:p>
        </w:tc>
        <w:tc>
          <w:tcPr>
            <w:tcW w:w="819" w:type="dxa"/>
            <w:tcBorders>
              <w:top w:val="nil"/>
              <w:left w:val="nil"/>
              <w:bottom w:val="single" w:sz="8" w:space="0" w:color="FFFFFF"/>
              <w:right w:val="single" w:sz="8" w:space="0" w:color="FFFFFF"/>
            </w:tcBorders>
            <w:shd w:val="clear" w:color="000000" w:fill="DBE5F1"/>
            <w:noWrap/>
            <w:vAlign w:val="center"/>
            <w:hideMark/>
          </w:tcPr>
          <w:p w14:paraId="183B18A7" w14:textId="77777777" w:rsidR="00B86FB3" w:rsidRPr="00FF756A" w:rsidRDefault="00B86FB3" w:rsidP="00B86FB3">
            <w:pPr>
              <w:jc w:val="center"/>
              <w:rPr>
                <w:rFonts w:eastAsia="Times New Roman"/>
                <w:color w:val="000000"/>
                <w:sz w:val="16"/>
                <w:szCs w:val="16"/>
              </w:rPr>
            </w:pPr>
            <w:r w:rsidRPr="00FF756A">
              <w:rPr>
                <w:sz w:val="16"/>
                <w:szCs w:val="16"/>
              </w:rPr>
              <w:t>4 123,5</w:t>
            </w:r>
          </w:p>
        </w:tc>
        <w:tc>
          <w:tcPr>
            <w:tcW w:w="819" w:type="dxa"/>
            <w:tcBorders>
              <w:top w:val="nil"/>
              <w:left w:val="nil"/>
              <w:bottom w:val="single" w:sz="8" w:space="0" w:color="FFFFFF"/>
              <w:right w:val="single" w:sz="8" w:space="0" w:color="FFFFFF"/>
            </w:tcBorders>
            <w:shd w:val="clear" w:color="000000" w:fill="DBE5F1"/>
            <w:noWrap/>
            <w:vAlign w:val="center"/>
            <w:hideMark/>
          </w:tcPr>
          <w:p w14:paraId="2E2D80E8" w14:textId="77777777" w:rsidR="00B86FB3" w:rsidRPr="00FF756A" w:rsidRDefault="00B86FB3" w:rsidP="00B86FB3">
            <w:pPr>
              <w:jc w:val="center"/>
              <w:rPr>
                <w:rFonts w:eastAsia="Times New Roman"/>
                <w:color w:val="000000"/>
                <w:sz w:val="16"/>
                <w:szCs w:val="16"/>
              </w:rPr>
            </w:pPr>
            <w:r w:rsidRPr="00FF756A">
              <w:rPr>
                <w:sz w:val="16"/>
                <w:szCs w:val="16"/>
              </w:rPr>
              <w:t>4 154,8</w:t>
            </w:r>
          </w:p>
        </w:tc>
        <w:tc>
          <w:tcPr>
            <w:tcW w:w="819" w:type="dxa"/>
            <w:tcBorders>
              <w:top w:val="nil"/>
              <w:left w:val="nil"/>
              <w:bottom w:val="single" w:sz="8" w:space="0" w:color="FFFFFF"/>
              <w:right w:val="single" w:sz="8" w:space="0" w:color="FFFFFF"/>
            </w:tcBorders>
            <w:shd w:val="clear" w:color="000000" w:fill="DBE5F1"/>
            <w:noWrap/>
            <w:vAlign w:val="center"/>
            <w:hideMark/>
          </w:tcPr>
          <w:p w14:paraId="22B70DA3" w14:textId="77777777" w:rsidR="00B86FB3" w:rsidRPr="00FF756A" w:rsidRDefault="00B86FB3" w:rsidP="00B86FB3">
            <w:pPr>
              <w:jc w:val="center"/>
              <w:rPr>
                <w:rFonts w:eastAsia="Times New Roman"/>
                <w:color w:val="000000"/>
                <w:sz w:val="16"/>
                <w:szCs w:val="16"/>
              </w:rPr>
            </w:pPr>
            <w:r w:rsidRPr="00FF756A">
              <w:rPr>
                <w:sz w:val="16"/>
                <w:szCs w:val="16"/>
              </w:rPr>
              <w:t>4 192,7</w:t>
            </w:r>
          </w:p>
        </w:tc>
        <w:tc>
          <w:tcPr>
            <w:tcW w:w="825" w:type="dxa"/>
            <w:tcBorders>
              <w:top w:val="nil"/>
              <w:left w:val="nil"/>
              <w:bottom w:val="single" w:sz="8" w:space="0" w:color="FFFFFF"/>
              <w:right w:val="single" w:sz="8" w:space="0" w:color="FFFFFF"/>
            </w:tcBorders>
            <w:shd w:val="clear" w:color="000000" w:fill="DBE5F1"/>
            <w:noWrap/>
            <w:vAlign w:val="center"/>
            <w:hideMark/>
          </w:tcPr>
          <w:p w14:paraId="6392F962" w14:textId="77777777" w:rsidR="00B86FB3" w:rsidRPr="00FF756A" w:rsidRDefault="00B86FB3" w:rsidP="00B86FB3">
            <w:pPr>
              <w:jc w:val="center"/>
              <w:rPr>
                <w:rFonts w:eastAsia="Times New Roman"/>
                <w:color w:val="000000"/>
                <w:sz w:val="16"/>
                <w:szCs w:val="16"/>
              </w:rPr>
            </w:pPr>
            <w:r w:rsidRPr="00FF756A">
              <w:rPr>
                <w:sz w:val="16"/>
                <w:szCs w:val="16"/>
              </w:rPr>
              <w:t>3 507,1</w:t>
            </w:r>
          </w:p>
        </w:tc>
        <w:tc>
          <w:tcPr>
            <w:tcW w:w="814" w:type="dxa"/>
            <w:gridSpan w:val="2"/>
            <w:tcBorders>
              <w:top w:val="nil"/>
              <w:left w:val="nil"/>
              <w:bottom w:val="single" w:sz="8" w:space="0" w:color="FFFFFF"/>
              <w:right w:val="single" w:sz="8" w:space="0" w:color="FFFFFF"/>
            </w:tcBorders>
            <w:shd w:val="clear" w:color="000000" w:fill="DBE5F1"/>
            <w:vAlign w:val="center"/>
          </w:tcPr>
          <w:p w14:paraId="18761645" w14:textId="77777777" w:rsidR="00B86FB3" w:rsidRPr="00FF756A" w:rsidRDefault="00B86FB3" w:rsidP="00B86FB3">
            <w:pPr>
              <w:jc w:val="center"/>
              <w:rPr>
                <w:rFonts w:eastAsia="Times New Roman"/>
                <w:color w:val="000000"/>
                <w:sz w:val="16"/>
                <w:szCs w:val="16"/>
              </w:rPr>
            </w:pPr>
            <w:r w:rsidRPr="00FF756A">
              <w:rPr>
                <w:sz w:val="16"/>
                <w:szCs w:val="16"/>
              </w:rPr>
              <w:t>2 221,5</w:t>
            </w:r>
          </w:p>
        </w:tc>
      </w:tr>
      <w:tr w:rsidR="00B86FB3" w:rsidRPr="00FF756A" w14:paraId="36506F93" w14:textId="77777777" w:rsidTr="006A3266">
        <w:trPr>
          <w:trHeight w:val="313"/>
        </w:trPr>
        <w:tc>
          <w:tcPr>
            <w:tcW w:w="3251" w:type="dxa"/>
            <w:tcBorders>
              <w:top w:val="nil"/>
              <w:left w:val="single" w:sz="8" w:space="0" w:color="FFFFFF"/>
              <w:bottom w:val="single" w:sz="8" w:space="0" w:color="FFFFFF"/>
              <w:right w:val="single" w:sz="8" w:space="0" w:color="FFFFFF"/>
            </w:tcBorders>
            <w:shd w:val="clear" w:color="000000" w:fill="4F81BD"/>
            <w:noWrap/>
            <w:vAlign w:val="center"/>
            <w:hideMark/>
          </w:tcPr>
          <w:p w14:paraId="2E1949D4" w14:textId="77777777" w:rsidR="00B86FB3" w:rsidRPr="00FF756A" w:rsidRDefault="00B86FB3" w:rsidP="00B86FB3">
            <w:pPr>
              <w:rPr>
                <w:rFonts w:eastAsia="Times New Roman"/>
                <w:b/>
                <w:bCs/>
                <w:color w:val="FFFFFF"/>
                <w:sz w:val="16"/>
                <w:szCs w:val="16"/>
              </w:rPr>
            </w:pPr>
            <w:r w:rsidRPr="00FF756A">
              <w:rPr>
                <w:b/>
                <w:bCs/>
                <w:color w:val="FFFFFF"/>
                <w:sz w:val="16"/>
                <w:szCs w:val="16"/>
              </w:rPr>
              <w:t>Transformimi</w:t>
            </w:r>
          </w:p>
        </w:tc>
        <w:tc>
          <w:tcPr>
            <w:tcW w:w="814" w:type="dxa"/>
            <w:tcBorders>
              <w:top w:val="nil"/>
              <w:left w:val="nil"/>
              <w:bottom w:val="single" w:sz="8" w:space="0" w:color="FFFFFF"/>
              <w:right w:val="single" w:sz="8" w:space="0" w:color="FFFFFF"/>
            </w:tcBorders>
            <w:shd w:val="clear" w:color="000000" w:fill="B8CCE4"/>
            <w:noWrap/>
            <w:vAlign w:val="center"/>
            <w:hideMark/>
          </w:tcPr>
          <w:p w14:paraId="1B321C4A" w14:textId="77777777" w:rsidR="00B86FB3" w:rsidRPr="00FF756A" w:rsidRDefault="00B86FB3" w:rsidP="00B86FB3">
            <w:pPr>
              <w:jc w:val="center"/>
              <w:rPr>
                <w:rFonts w:eastAsia="Times New Roman"/>
                <w:color w:val="000000"/>
                <w:sz w:val="16"/>
                <w:szCs w:val="16"/>
              </w:rPr>
            </w:pPr>
            <w:r w:rsidRPr="00FF756A">
              <w:rPr>
                <w:sz w:val="16"/>
                <w:szCs w:val="16"/>
              </w:rPr>
              <w:t>151,4</w:t>
            </w:r>
          </w:p>
        </w:tc>
        <w:tc>
          <w:tcPr>
            <w:tcW w:w="819" w:type="dxa"/>
            <w:tcBorders>
              <w:top w:val="nil"/>
              <w:left w:val="nil"/>
              <w:bottom w:val="single" w:sz="8" w:space="0" w:color="FFFFFF"/>
              <w:right w:val="single" w:sz="8" w:space="0" w:color="FFFFFF"/>
            </w:tcBorders>
            <w:shd w:val="clear" w:color="000000" w:fill="B8CCE4"/>
            <w:noWrap/>
            <w:vAlign w:val="center"/>
            <w:hideMark/>
          </w:tcPr>
          <w:p w14:paraId="6C74074A" w14:textId="77777777" w:rsidR="00B86FB3" w:rsidRPr="00FF756A" w:rsidRDefault="00B86FB3" w:rsidP="00B86FB3">
            <w:pPr>
              <w:jc w:val="center"/>
              <w:rPr>
                <w:rFonts w:eastAsia="Times New Roman"/>
                <w:color w:val="000000"/>
                <w:sz w:val="16"/>
                <w:szCs w:val="16"/>
              </w:rPr>
            </w:pPr>
            <w:r w:rsidRPr="00FF756A">
              <w:rPr>
                <w:sz w:val="16"/>
                <w:szCs w:val="16"/>
              </w:rPr>
              <w:t>145,1</w:t>
            </w:r>
          </w:p>
        </w:tc>
        <w:tc>
          <w:tcPr>
            <w:tcW w:w="819" w:type="dxa"/>
            <w:tcBorders>
              <w:top w:val="nil"/>
              <w:left w:val="nil"/>
              <w:bottom w:val="single" w:sz="8" w:space="0" w:color="FFFFFF"/>
              <w:right w:val="single" w:sz="8" w:space="0" w:color="FFFFFF"/>
            </w:tcBorders>
            <w:shd w:val="clear" w:color="000000" w:fill="B8CCE4"/>
            <w:noWrap/>
            <w:vAlign w:val="center"/>
            <w:hideMark/>
          </w:tcPr>
          <w:p w14:paraId="3A489BDE" w14:textId="77777777" w:rsidR="00B86FB3" w:rsidRPr="00FF756A" w:rsidRDefault="00B86FB3" w:rsidP="00B86FB3">
            <w:pPr>
              <w:jc w:val="center"/>
              <w:rPr>
                <w:rFonts w:eastAsia="Times New Roman"/>
                <w:color w:val="000000"/>
                <w:sz w:val="16"/>
                <w:szCs w:val="16"/>
              </w:rPr>
            </w:pPr>
            <w:r w:rsidRPr="00FF756A">
              <w:rPr>
                <w:sz w:val="16"/>
                <w:szCs w:val="16"/>
              </w:rPr>
              <w:t>157,2</w:t>
            </w:r>
          </w:p>
        </w:tc>
        <w:tc>
          <w:tcPr>
            <w:tcW w:w="819" w:type="dxa"/>
            <w:tcBorders>
              <w:top w:val="nil"/>
              <w:left w:val="nil"/>
              <w:bottom w:val="single" w:sz="8" w:space="0" w:color="FFFFFF"/>
              <w:right w:val="single" w:sz="8" w:space="0" w:color="FFFFFF"/>
            </w:tcBorders>
            <w:shd w:val="clear" w:color="000000" w:fill="B8CCE4"/>
            <w:noWrap/>
            <w:vAlign w:val="center"/>
            <w:hideMark/>
          </w:tcPr>
          <w:p w14:paraId="0E906267" w14:textId="77777777" w:rsidR="00B86FB3" w:rsidRPr="00FF756A" w:rsidRDefault="00B86FB3" w:rsidP="00B86FB3">
            <w:pPr>
              <w:jc w:val="center"/>
              <w:rPr>
                <w:rFonts w:eastAsia="Times New Roman"/>
                <w:color w:val="000000"/>
                <w:sz w:val="16"/>
                <w:szCs w:val="16"/>
              </w:rPr>
            </w:pPr>
            <w:r w:rsidRPr="00FF756A">
              <w:rPr>
                <w:sz w:val="16"/>
                <w:szCs w:val="16"/>
              </w:rPr>
              <w:t>159,0</w:t>
            </w:r>
          </w:p>
        </w:tc>
        <w:tc>
          <w:tcPr>
            <w:tcW w:w="819" w:type="dxa"/>
            <w:tcBorders>
              <w:top w:val="nil"/>
              <w:left w:val="nil"/>
              <w:bottom w:val="single" w:sz="8" w:space="0" w:color="FFFFFF"/>
              <w:right w:val="single" w:sz="8" w:space="0" w:color="FFFFFF"/>
            </w:tcBorders>
            <w:shd w:val="clear" w:color="000000" w:fill="B8CCE4"/>
            <w:noWrap/>
            <w:vAlign w:val="center"/>
            <w:hideMark/>
          </w:tcPr>
          <w:p w14:paraId="541BB939" w14:textId="77777777" w:rsidR="00B86FB3" w:rsidRPr="00FF756A" w:rsidRDefault="00B86FB3" w:rsidP="00B86FB3">
            <w:pPr>
              <w:jc w:val="center"/>
              <w:rPr>
                <w:rFonts w:eastAsia="Times New Roman"/>
                <w:color w:val="000000"/>
                <w:sz w:val="16"/>
                <w:szCs w:val="16"/>
              </w:rPr>
            </w:pPr>
            <w:r w:rsidRPr="00FF756A">
              <w:rPr>
                <w:sz w:val="16"/>
                <w:szCs w:val="16"/>
              </w:rPr>
              <w:t>159,0</w:t>
            </w:r>
          </w:p>
        </w:tc>
        <w:tc>
          <w:tcPr>
            <w:tcW w:w="819" w:type="dxa"/>
            <w:tcBorders>
              <w:top w:val="nil"/>
              <w:left w:val="nil"/>
              <w:bottom w:val="single" w:sz="8" w:space="0" w:color="FFFFFF"/>
              <w:right w:val="single" w:sz="8" w:space="0" w:color="FFFFFF"/>
            </w:tcBorders>
            <w:shd w:val="clear" w:color="000000" w:fill="B8CCE4"/>
            <w:noWrap/>
            <w:vAlign w:val="center"/>
            <w:hideMark/>
          </w:tcPr>
          <w:p w14:paraId="469D9533" w14:textId="77777777" w:rsidR="00B86FB3" w:rsidRPr="00FF756A" w:rsidRDefault="00B86FB3" w:rsidP="00B86FB3">
            <w:pPr>
              <w:jc w:val="center"/>
              <w:rPr>
                <w:rFonts w:eastAsia="Times New Roman"/>
                <w:color w:val="000000"/>
                <w:sz w:val="16"/>
                <w:szCs w:val="16"/>
              </w:rPr>
            </w:pPr>
            <w:r w:rsidRPr="00FF756A">
              <w:rPr>
                <w:sz w:val="16"/>
                <w:szCs w:val="16"/>
              </w:rPr>
              <w:t>159,0</w:t>
            </w:r>
          </w:p>
        </w:tc>
        <w:tc>
          <w:tcPr>
            <w:tcW w:w="825" w:type="dxa"/>
            <w:tcBorders>
              <w:top w:val="nil"/>
              <w:left w:val="nil"/>
              <w:bottom w:val="single" w:sz="8" w:space="0" w:color="FFFFFF"/>
              <w:right w:val="single" w:sz="8" w:space="0" w:color="FFFFFF"/>
            </w:tcBorders>
            <w:shd w:val="clear" w:color="000000" w:fill="B8CCE4"/>
            <w:noWrap/>
            <w:vAlign w:val="center"/>
            <w:hideMark/>
          </w:tcPr>
          <w:p w14:paraId="2671A909" w14:textId="77777777" w:rsidR="00B86FB3" w:rsidRPr="00FF756A" w:rsidRDefault="00B86FB3" w:rsidP="00B86FB3">
            <w:pPr>
              <w:jc w:val="center"/>
              <w:rPr>
                <w:rFonts w:eastAsia="Times New Roman"/>
                <w:color w:val="000000"/>
                <w:sz w:val="16"/>
                <w:szCs w:val="16"/>
              </w:rPr>
            </w:pPr>
            <w:r w:rsidRPr="00FF756A">
              <w:rPr>
                <w:sz w:val="16"/>
                <w:szCs w:val="16"/>
              </w:rPr>
              <w:t>234,3</w:t>
            </w:r>
          </w:p>
        </w:tc>
        <w:tc>
          <w:tcPr>
            <w:tcW w:w="814" w:type="dxa"/>
            <w:gridSpan w:val="2"/>
            <w:tcBorders>
              <w:top w:val="nil"/>
              <w:left w:val="nil"/>
              <w:bottom w:val="single" w:sz="8" w:space="0" w:color="FFFFFF"/>
              <w:right w:val="single" w:sz="8" w:space="0" w:color="FFFFFF"/>
            </w:tcBorders>
            <w:shd w:val="clear" w:color="000000" w:fill="B8CCE4"/>
            <w:vAlign w:val="center"/>
          </w:tcPr>
          <w:p w14:paraId="716E7A22" w14:textId="77777777" w:rsidR="00B86FB3" w:rsidRPr="00FF756A" w:rsidRDefault="00B86FB3" w:rsidP="00B86FB3">
            <w:pPr>
              <w:jc w:val="center"/>
              <w:rPr>
                <w:rFonts w:eastAsia="Times New Roman"/>
                <w:color w:val="000000"/>
                <w:sz w:val="16"/>
                <w:szCs w:val="16"/>
              </w:rPr>
            </w:pPr>
            <w:r w:rsidRPr="00FF756A">
              <w:rPr>
                <w:sz w:val="16"/>
                <w:szCs w:val="16"/>
              </w:rPr>
              <w:t>770,0</w:t>
            </w:r>
          </w:p>
        </w:tc>
      </w:tr>
      <w:tr w:rsidR="00B86FB3" w:rsidRPr="00FF756A" w14:paraId="135787E0" w14:textId="77777777" w:rsidTr="006A3266">
        <w:trPr>
          <w:trHeight w:val="313"/>
        </w:trPr>
        <w:tc>
          <w:tcPr>
            <w:tcW w:w="3251" w:type="dxa"/>
            <w:tcBorders>
              <w:top w:val="nil"/>
              <w:left w:val="single" w:sz="8" w:space="0" w:color="FFFFFF"/>
              <w:bottom w:val="single" w:sz="8" w:space="0" w:color="FFFFFF"/>
              <w:right w:val="single" w:sz="8" w:space="0" w:color="FFFFFF"/>
            </w:tcBorders>
            <w:shd w:val="clear" w:color="000000" w:fill="4F81BD"/>
            <w:noWrap/>
            <w:vAlign w:val="center"/>
            <w:hideMark/>
          </w:tcPr>
          <w:p w14:paraId="46D532BE" w14:textId="77777777" w:rsidR="00B86FB3" w:rsidRPr="00FF756A" w:rsidRDefault="00B86FB3" w:rsidP="00B86FB3">
            <w:pPr>
              <w:rPr>
                <w:rFonts w:eastAsia="Times New Roman"/>
                <w:b/>
                <w:bCs/>
                <w:color w:val="FFFFFF"/>
                <w:sz w:val="16"/>
                <w:szCs w:val="16"/>
              </w:rPr>
            </w:pPr>
            <w:r w:rsidRPr="00FF756A">
              <w:rPr>
                <w:b/>
                <w:bCs/>
                <w:color w:val="FFFFFF"/>
                <w:sz w:val="16"/>
                <w:szCs w:val="16"/>
              </w:rPr>
              <w:t>Sektorët joenergjetikë</w:t>
            </w:r>
          </w:p>
        </w:tc>
        <w:tc>
          <w:tcPr>
            <w:tcW w:w="814" w:type="dxa"/>
            <w:tcBorders>
              <w:top w:val="nil"/>
              <w:left w:val="nil"/>
              <w:bottom w:val="single" w:sz="8" w:space="0" w:color="FFFFFF"/>
              <w:right w:val="single" w:sz="8" w:space="0" w:color="FFFFFF"/>
            </w:tcBorders>
            <w:shd w:val="clear" w:color="000000" w:fill="DBE5F1"/>
            <w:noWrap/>
            <w:vAlign w:val="center"/>
            <w:hideMark/>
          </w:tcPr>
          <w:p w14:paraId="7C0882C7" w14:textId="77777777" w:rsidR="00B86FB3" w:rsidRPr="00FF756A" w:rsidRDefault="00B86FB3" w:rsidP="00B86FB3">
            <w:pPr>
              <w:jc w:val="center"/>
              <w:rPr>
                <w:rFonts w:eastAsia="Times New Roman"/>
                <w:color w:val="000000"/>
                <w:sz w:val="16"/>
                <w:szCs w:val="16"/>
              </w:rPr>
            </w:pPr>
            <w:r w:rsidRPr="00FF756A">
              <w:rPr>
                <w:sz w:val="16"/>
                <w:szCs w:val="16"/>
              </w:rPr>
              <w:t>6 658,6</w:t>
            </w:r>
          </w:p>
        </w:tc>
        <w:tc>
          <w:tcPr>
            <w:tcW w:w="819" w:type="dxa"/>
            <w:tcBorders>
              <w:top w:val="nil"/>
              <w:left w:val="nil"/>
              <w:bottom w:val="single" w:sz="8" w:space="0" w:color="FFFFFF"/>
              <w:right w:val="single" w:sz="8" w:space="0" w:color="FFFFFF"/>
            </w:tcBorders>
            <w:shd w:val="clear" w:color="000000" w:fill="DBE5F1"/>
            <w:noWrap/>
            <w:vAlign w:val="center"/>
            <w:hideMark/>
          </w:tcPr>
          <w:p w14:paraId="6D8E11BD" w14:textId="77777777" w:rsidR="00B86FB3" w:rsidRPr="00FF756A" w:rsidRDefault="00B86FB3" w:rsidP="00B86FB3">
            <w:pPr>
              <w:jc w:val="center"/>
              <w:rPr>
                <w:rFonts w:eastAsia="Times New Roman"/>
                <w:color w:val="000000"/>
                <w:sz w:val="16"/>
                <w:szCs w:val="16"/>
              </w:rPr>
            </w:pPr>
            <w:r w:rsidRPr="00FF756A">
              <w:rPr>
                <w:sz w:val="16"/>
                <w:szCs w:val="16"/>
              </w:rPr>
              <w:t>6 645,3</w:t>
            </w:r>
          </w:p>
        </w:tc>
        <w:tc>
          <w:tcPr>
            <w:tcW w:w="819" w:type="dxa"/>
            <w:tcBorders>
              <w:top w:val="nil"/>
              <w:left w:val="nil"/>
              <w:bottom w:val="single" w:sz="8" w:space="0" w:color="FFFFFF"/>
              <w:right w:val="single" w:sz="8" w:space="0" w:color="FFFFFF"/>
            </w:tcBorders>
            <w:shd w:val="clear" w:color="000000" w:fill="DBE5F1"/>
            <w:noWrap/>
            <w:vAlign w:val="center"/>
            <w:hideMark/>
          </w:tcPr>
          <w:p w14:paraId="7E4B6CD4" w14:textId="77777777" w:rsidR="00B86FB3" w:rsidRPr="00FF756A" w:rsidRDefault="00B86FB3" w:rsidP="00B86FB3">
            <w:pPr>
              <w:jc w:val="center"/>
              <w:rPr>
                <w:rFonts w:eastAsia="Times New Roman"/>
                <w:color w:val="000000"/>
                <w:sz w:val="16"/>
                <w:szCs w:val="16"/>
              </w:rPr>
            </w:pPr>
            <w:r w:rsidRPr="00FF756A">
              <w:rPr>
                <w:sz w:val="16"/>
                <w:szCs w:val="16"/>
              </w:rPr>
              <w:t>6 633,3</w:t>
            </w:r>
          </w:p>
        </w:tc>
        <w:tc>
          <w:tcPr>
            <w:tcW w:w="819" w:type="dxa"/>
            <w:tcBorders>
              <w:top w:val="nil"/>
              <w:left w:val="nil"/>
              <w:bottom w:val="single" w:sz="8" w:space="0" w:color="FFFFFF"/>
              <w:right w:val="single" w:sz="8" w:space="0" w:color="FFFFFF"/>
            </w:tcBorders>
            <w:shd w:val="clear" w:color="000000" w:fill="DBE5F1"/>
            <w:noWrap/>
            <w:vAlign w:val="center"/>
            <w:hideMark/>
          </w:tcPr>
          <w:p w14:paraId="2E9AF3E2" w14:textId="77777777" w:rsidR="00B86FB3" w:rsidRPr="00FF756A" w:rsidRDefault="00B86FB3" w:rsidP="00B86FB3">
            <w:pPr>
              <w:jc w:val="center"/>
              <w:rPr>
                <w:rFonts w:eastAsia="Times New Roman"/>
                <w:color w:val="000000"/>
                <w:sz w:val="16"/>
                <w:szCs w:val="16"/>
              </w:rPr>
            </w:pPr>
            <w:r w:rsidRPr="00FF756A">
              <w:rPr>
                <w:sz w:val="16"/>
                <w:szCs w:val="16"/>
              </w:rPr>
              <w:t>6 639,1</w:t>
            </w:r>
          </w:p>
        </w:tc>
        <w:tc>
          <w:tcPr>
            <w:tcW w:w="819" w:type="dxa"/>
            <w:tcBorders>
              <w:top w:val="nil"/>
              <w:left w:val="nil"/>
              <w:bottom w:val="single" w:sz="8" w:space="0" w:color="FFFFFF"/>
              <w:right w:val="single" w:sz="8" w:space="0" w:color="FFFFFF"/>
            </w:tcBorders>
            <w:shd w:val="clear" w:color="000000" w:fill="DBE5F1"/>
            <w:noWrap/>
            <w:vAlign w:val="center"/>
            <w:hideMark/>
          </w:tcPr>
          <w:p w14:paraId="098AEA1D" w14:textId="77777777" w:rsidR="00B86FB3" w:rsidRPr="00FF756A" w:rsidRDefault="00B86FB3" w:rsidP="00B86FB3">
            <w:pPr>
              <w:jc w:val="center"/>
              <w:rPr>
                <w:rFonts w:eastAsia="Times New Roman"/>
                <w:color w:val="000000"/>
                <w:sz w:val="16"/>
                <w:szCs w:val="16"/>
              </w:rPr>
            </w:pPr>
            <w:r w:rsidRPr="00FF756A">
              <w:rPr>
                <w:sz w:val="16"/>
                <w:szCs w:val="16"/>
              </w:rPr>
              <w:t>6 636,7</w:t>
            </w:r>
          </w:p>
        </w:tc>
        <w:tc>
          <w:tcPr>
            <w:tcW w:w="819" w:type="dxa"/>
            <w:tcBorders>
              <w:top w:val="nil"/>
              <w:left w:val="nil"/>
              <w:bottom w:val="single" w:sz="8" w:space="0" w:color="FFFFFF"/>
              <w:right w:val="single" w:sz="8" w:space="0" w:color="FFFFFF"/>
            </w:tcBorders>
            <w:shd w:val="clear" w:color="000000" w:fill="DBE5F1"/>
            <w:noWrap/>
            <w:vAlign w:val="center"/>
            <w:hideMark/>
          </w:tcPr>
          <w:p w14:paraId="3144192D" w14:textId="77777777" w:rsidR="00B86FB3" w:rsidRPr="00FF756A" w:rsidRDefault="00B86FB3" w:rsidP="00B86FB3">
            <w:pPr>
              <w:jc w:val="center"/>
              <w:rPr>
                <w:rFonts w:eastAsia="Times New Roman"/>
                <w:color w:val="000000"/>
                <w:sz w:val="16"/>
                <w:szCs w:val="16"/>
              </w:rPr>
            </w:pPr>
            <w:r w:rsidRPr="00FF756A">
              <w:rPr>
                <w:sz w:val="16"/>
                <w:szCs w:val="16"/>
              </w:rPr>
              <w:t>6 506,3</w:t>
            </w:r>
          </w:p>
        </w:tc>
        <w:tc>
          <w:tcPr>
            <w:tcW w:w="825" w:type="dxa"/>
            <w:tcBorders>
              <w:top w:val="nil"/>
              <w:left w:val="nil"/>
              <w:bottom w:val="single" w:sz="8" w:space="0" w:color="FFFFFF"/>
              <w:right w:val="single" w:sz="8" w:space="0" w:color="FFFFFF"/>
            </w:tcBorders>
            <w:shd w:val="clear" w:color="000000" w:fill="DBE5F1"/>
            <w:noWrap/>
            <w:vAlign w:val="center"/>
            <w:hideMark/>
          </w:tcPr>
          <w:p w14:paraId="1C86A77F" w14:textId="77777777" w:rsidR="00B86FB3" w:rsidRPr="00FF756A" w:rsidRDefault="00B86FB3" w:rsidP="00B86FB3">
            <w:pPr>
              <w:jc w:val="center"/>
              <w:rPr>
                <w:rFonts w:eastAsia="Times New Roman"/>
                <w:color w:val="000000"/>
                <w:sz w:val="16"/>
                <w:szCs w:val="16"/>
              </w:rPr>
            </w:pPr>
            <w:r w:rsidRPr="00FF756A">
              <w:rPr>
                <w:sz w:val="16"/>
                <w:szCs w:val="16"/>
              </w:rPr>
              <w:t>4 438,1</w:t>
            </w:r>
          </w:p>
        </w:tc>
        <w:tc>
          <w:tcPr>
            <w:tcW w:w="814" w:type="dxa"/>
            <w:gridSpan w:val="2"/>
            <w:tcBorders>
              <w:top w:val="nil"/>
              <w:left w:val="nil"/>
              <w:bottom w:val="single" w:sz="8" w:space="0" w:color="FFFFFF"/>
              <w:right w:val="single" w:sz="8" w:space="0" w:color="FFFFFF"/>
            </w:tcBorders>
            <w:shd w:val="clear" w:color="000000" w:fill="DBE5F1"/>
            <w:vAlign w:val="center"/>
          </w:tcPr>
          <w:p w14:paraId="74D465EF" w14:textId="77777777" w:rsidR="00B86FB3" w:rsidRPr="00FF756A" w:rsidRDefault="00B86FB3" w:rsidP="00B86FB3">
            <w:pPr>
              <w:jc w:val="center"/>
              <w:rPr>
                <w:rFonts w:eastAsia="Times New Roman"/>
                <w:color w:val="000000"/>
                <w:sz w:val="16"/>
                <w:szCs w:val="16"/>
              </w:rPr>
            </w:pPr>
            <w:r w:rsidRPr="00FF756A">
              <w:rPr>
                <w:sz w:val="16"/>
                <w:szCs w:val="16"/>
              </w:rPr>
              <w:t>2 303,8</w:t>
            </w:r>
          </w:p>
        </w:tc>
      </w:tr>
      <w:tr w:rsidR="00B86FB3" w:rsidRPr="00FF756A" w14:paraId="26A2EF68" w14:textId="77777777" w:rsidTr="006A3266">
        <w:trPr>
          <w:trHeight w:val="313"/>
        </w:trPr>
        <w:tc>
          <w:tcPr>
            <w:tcW w:w="3251" w:type="dxa"/>
            <w:tcBorders>
              <w:top w:val="nil"/>
              <w:left w:val="single" w:sz="8" w:space="0" w:color="FFFFFF"/>
              <w:bottom w:val="single" w:sz="8" w:space="0" w:color="FFFFFF"/>
              <w:right w:val="single" w:sz="8" w:space="0" w:color="FFFFFF"/>
            </w:tcBorders>
            <w:shd w:val="clear" w:color="000000" w:fill="244061"/>
            <w:noWrap/>
            <w:vAlign w:val="center"/>
            <w:hideMark/>
          </w:tcPr>
          <w:p w14:paraId="20044E34" w14:textId="77777777" w:rsidR="00B86FB3" w:rsidRPr="00FF756A" w:rsidRDefault="00B86FB3" w:rsidP="00B86FB3">
            <w:pPr>
              <w:rPr>
                <w:rFonts w:eastAsia="Times New Roman"/>
                <w:b/>
                <w:bCs/>
                <w:color w:val="FFFFFF"/>
                <w:sz w:val="16"/>
                <w:szCs w:val="16"/>
              </w:rPr>
            </w:pPr>
            <w:r w:rsidRPr="00FF756A">
              <w:rPr>
                <w:b/>
                <w:bCs/>
                <w:color w:val="FFFFFF"/>
                <w:sz w:val="16"/>
                <w:szCs w:val="16"/>
              </w:rPr>
              <w:t>WAM total</w:t>
            </w:r>
          </w:p>
        </w:tc>
        <w:tc>
          <w:tcPr>
            <w:tcW w:w="814" w:type="dxa"/>
            <w:tcBorders>
              <w:top w:val="nil"/>
              <w:left w:val="nil"/>
              <w:bottom w:val="single" w:sz="8" w:space="0" w:color="FFFFFF"/>
              <w:right w:val="single" w:sz="8" w:space="0" w:color="FFFFFF"/>
            </w:tcBorders>
            <w:shd w:val="clear" w:color="000000" w:fill="244061"/>
            <w:noWrap/>
            <w:vAlign w:val="center"/>
            <w:hideMark/>
          </w:tcPr>
          <w:p w14:paraId="6038F2B6" w14:textId="77777777" w:rsidR="00B86FB3" w:rsidRPr="00FF756A" w:rsidRDefault="00B86FB3" w:rsidP="00B86FB3">
            <w:pPr>
              <w:jc w:val="center"/>
              <w:rPr>
                <w:rFonts w:eastAsia="Times New Roman"/>
                <w:color w:val="FFFFFF"/>
                <w:sz w:val="16"/>
                <w:szCs w:val="16"/>
              </w:rPr>
            </w:pPr>
            <w:r w:rsidRPr="00FF756A">
              <w:rPr>
                <w:sz w:val="16"/>
                <w:szCs w:val="16"/>
              </w:rPr>
              <w:t>10 561,8</w:t>
            </w:r>
          </w:p>
        </w:tc>
        <w:tc>
          <w:tcPr>
            <w:tcW w:w="819" w:type="dxa"/>
            <w:tcBorders>
              <w:top w:val="nil"/>
              <w:left w:val="nil"/>
              <w:bottom w:val="single" w:sz="8" w:space="0" w:color="FFFFFF"/>
              <w:right w:val="single" w:sz="8" w:space="0" w:color="FFFFFF"/>
            </w:tcBorders>
            <w:shd w:val="clear" w:color="000000" w:fill="244061"/>
            <w:noWrap/>
            <w:vAlign w:val="center"/>
            <w:hideMark/>
          </w:tcPr>
          <w:p w14:paraId="03C41773" w14:textId="77777777" w:rsidR="00B86FB3" w:rsidRPr="00FF756A" w:rsidRDefault="00B86FB3" w:rsidP="00B86FB3">
            <w:pPr>
              <w:jc w:val="center"/>
              <w:rPr>
                <w:rFonts w:eastAsia="Times New Roman"/>
                <w:color w:val="FFFFFF"/>
                <w:sz w:val="16"/>
                <w:szCs w:val="16"/>
              </w:rPr>
            </w:pPr>
            <w:r w:rsidRPr="00FF756A">
              <w:rPr>
                <w:sz w:val="16"/>
                <w:szCs w:val="16"/>
              </w:rPr>
              <w:t>10 955,6</w:t>
            </w:r>
          </w:p>
        </w:tc>
        <w:tc>
          <w:tcPr>
            <w:tcW w:w="819" w:type="dxa"/>
            <w:tcBorders>
              <w:top w:val="nil"/>
              <w:left w:val="nil"/>
              <w:bottom w:val="single" w:sz="8" w:space="0" w:color="FFFFFF"/>
              <w:right w:val="single" w:sz="8" w:space="0" w:color="FFFFFF"/>
            </w:tcBorders>
            <w:shd w:val="clear" w:color="000000" w:fill="244061"/>
            <w:noWrap/>
            <w:vAlign w:val="center"/>
            <w:hideMark/>
          </w:tcPr>
          <w:p w14:paraId="14C43666" w14:textId="77777777" w:rsidR="00B86FB3" w:rsidRPr="00FF756A" w:rsidRDefault="00B86FB3" w:rsidP="00B86FB3">
            <w:pPr>
              <w:jc w:val="center"/>
              <w:rPr>
                <w:rFonts w:eastAsia="Times New Roman"/>
                <w:color w:val="FFFFFF"/>
                <w:sz w:val="16"/>
                <w:szCs w:val="16"/>
              </w:rPr>
            </w:pPr>
            <w:r w:rsidRPr="00FF756A">
              <w:rPr>
                <w:sz w:val="16"/>
                <w:szCs w:val="16"/>
              </w:rPr>
              <w:t>11 010,7</w:t>
            </w:r>
          </w:p>
        </w:tc>
        <w:tc>
          <w:tcPr>
            <w:tcW w:w="819" w:type="dxa"/>
            <w:tcBorders>
              <w:top w:val="nil"/>
              <w:left w:val="nil"/>
              <w:bottom w:val="single" w:sz="8" w:space="0" w:color="FFFFFF"/>
              <w:right w:val="single" w:sz="8" w:space="0" w:color="FFFFFF"/>
            </w:tcBorders>
            <w:shd w:val="clear" w:color="000000" w:fill="244061"/>
            <w:noWrap/>
            <w:vAlign w:val="center"/>
            <w:hideMark/>
          </w:tcPr>
          <w:p w14:paraId="4667B38E" w14:textId="77777777" w:rsidR="00B86FB3" w:rsidRPr="00FF756A" w:rsidRDefault="00B86FB3" w:rsidP="00B86FB3">
            <w:pPr>
              <w:jc w:val="center"/>
              <w:rPr>
                <w:rFonts w:eastAsia="Times New Roman"/>
                <w:color w:val="FFFFFF"/>
                <w:sz w:val="16"/>
                <w:szCs w:val="16"/>
              </w:rPr>
            </w:pPr>
            <w:r w:rsidRPr="00FF756A">
              <w:rPr>
                <w:sz w:val="16"/>
                <w:szCs w:val="16"/>
              </w:rPr>
              <w:t>10 921,5</w:t>
            </w:r>
          </w:p>
        </w:tc>
        <w:tc>
          <w:tcPr>
            <w:tcW w:w="819" w:type="dxa"/>
            <w:tcBorders>
              <w:top w:val="nil"/>
              <w:left w:val="nil"/>
              <w:bottom w:val="single" w:sz="8" w:space="0" w:color="FFFFFF"/>
              <w:right w:val="single" w:sz="8" w:space="0" w:color="FFFFFF"/>
            </w:tcBorders>
            <w:shd w:val="clear" w:color="000000" w:fill="244061"/>
            <w:noWrap/>
            <w:vAlign w:val="center"/>
            <w:hideMark/>
          </w:tcPr>
          <w:p w14:paraId="136039E3" w14:textId="77777777" w:rsidR="00B86FB3" w:rsidRPr="00FF756A" w:rsidRDefault="00B86FB3" w:rsidP="00B86FB3">
            <w:pPr>
              <w:jc w:val="center"/>
              <w:rPr>
                <w:rFonts w:eastAsia="Times New Roman"/>
                <w:color w:val="FFFFFF"/>
                <w:sz w:val="16"/>
                <w:szCs w:val="16"/>
              </w:rPr>
            </w:pPr>
            <w:r w:rsidRPr="00FF756A">
              <w:rPr>
                <w:sz w:val="16"/>
                <w:szCs w:val="16"/>
              </w:rPr>
              <w:t>10 950,5</w:t>
            </w:r>
          </w:p>
        </w:tc>
        <w:tc>
          <w:tcPr>
            <w:tcW w:w="819" w:type="dxa"/>
            <w:tcBorders>
              <w:top w:val="nil"/>
              <w:left w:val="nil"/>
              <w:bottom w:val="single" w:sz="8" w:space="0" w:color="FFFFFF"/>
              <w:right w:val="single" w:sz="8" w:space="0" w:color="FFFFFF"/>
            </w:tcBorders>
            <w:shd w:val="clear" w:color="000000" w:fill="244061"/>
            <w:noWrap/>
            <w:vAlign w:val="center"/>
            <w:hideMark/>
          </w:tcPr>
          <w:p w14:paraId="6D997122" w14:textId="77777777" w:rsidR="00B86FB3" w:rsidRPr="00FF756A" w:rsidRDefault="00B86FB3" w:rsidP="00B86FB3">
            <w:pPr>
              <w:jc w:val="center"/>
              <w:rPr>
                <w:rFonts w:eastAsia="Times New Roman"/>
                <w:color w:val="FFFFFF"/>
                <w:sz w:val="16"/>
                <w:szCs w:val="16"/>
              </w:rPr>
            </w:pPr>
            <w:r w:rsidRPr="00FF756A">
              <w:rPr>
                <w:sz w:val="16"/>
                <w:szCs w:val="16"/>
              </w:rPr>
              <w:t>10 858,0</w:t>
            </w:r>
          </w:p>
        </w:tc>
        <w:tc>
          <w:tcPr>
            <w:tcW w:w="825" w:type="dxa"/>
            <w:tcBorders>
              <w:top w:val="nil"/>
              <w:left w:val="nil"/>
              <w:bottom w:val="single" w:sz="8" w:space="0" w:color="FFFFFF"/>
              <w:right w:val="single" w:sz="8" w:space="0" w:color="FFFFFF"/>
            </w:tcBorders>
            <w:shd w:val="clear" w:color="000000" w:fill="244061"/>
            <w:noWrap/>
            <w:vAlign w:val="center"/>
            <w:hideMark/>
          </w:tcPr>
          <w:p w14:paraId="329623FB" w14:textId="77777777" w:rsidR="00B86FB3" w:rsidRPr="00FF756A" w:rsidRDefault="00B86FB3" w:rsidP="00B86FB3">
            <w:pPr>
              <w:jc w:val="center"/>
              <w:rPr>
                <w:rFonts w:eastAsia="Times New Roman"/>
                <w:color w:val="FFFFFF"/>
                <w:sz w:val="16"/>
                <w:szCs w:val="16"/>
              </w:rPr>
            </w:pPr>
            <w:r w:rsidRPr="00FF756A">
              <w:rPr>
                <w:sz w:val="16"/>
                <w:szCs w:val="16"/>
              </w:rPr>
              <w:t>8 179,5</w:t>
            </w:r>
          </w:p>
        </w:tc>
        <w:tc>
          <w:tcPr>
            <w:tcW w:w="814" w:type="dxa"/>
            <w:gridSpan w:val="2"/>
            <w:tcBorders>
              <w:top w:val="nil"/>
              <w:left w:val="nil"/>
              <w:bottom w:val="single" w:sz="8" w:space="0" w:color="FFFFFF"/>
              <w:right w:val="single" w:sz="8" w:space="0" w:color="FFFFFF"/>
            </w:tcBorders>
            <w:shd w:val="clear" w:color="000000" w:fill="244061"/>
            <w:vAlign w:val="center"/>
          </w:tcPr>
          <w:p w14:paraId="44EF2D20" w14:textId="77777777" w:rsidR="00B86FB3" w:rsidRPr="00FF756A" w:rsidRDefault="00B86FB3" w:rsidP="00B86FB3">
            <w:pPr>
              <w:jc w:val="center"/>
              <w:rPr>
                <w:rFonts w:eastAsia="Times New Roman"/>
                <w:color w:val="FFFFFF"/>
                <w:sz w:val="16"/>
                <w:szCs w:val="16"/>
              </w:rPr>
            </w:pPr>
            <w:r w:rsidRPr="00FF756A">
              <w:rPr>
                <w:sz w:val="16"/>
                <w:szCs w:val="16"/>
              </w:rPr>
              <w:t>5 295,2</w:t>
            </w:r>
          </w:p>
        </w:tc>
      </w:tr>
      <w:tr w:rsidR="00B86FB3" w:rsidRPr="00FF756A" w14:paraId="4D5FBC69" w14:textId="77777777" w:rsidTr="006A3266">
        <w:trPr>
          <w:trHeight w:val="313"/>
        </w:trPr>
        <w:tc>
          <w:tcPr>
            <w:tcW w:w="3251" w:type="dxa"/>
            <w:tcBorders>
              <w:top w:val="nil"/>
              <w:left w:val="single" w:sz="8" w:space="0" w:color="FFFFFF"/>
              <w:bottom w:val="single" w:sz="8" w:space="0" w:color="FFFFFF"/>
              <w:right w:val="single" w:sz="8" w:space="0" w:color="FFFFFF"/>
            </w:tcBorders>
            <w:shd w:val="clear" w:color="000000" w:fill="4F81BD"/>
            <w:noWrap/>
            <w:vAlign w:val="center"/>
            <w:hideMark/>
          </w:tcPr>
          <w:p w14:paraId="53C726E5" w14:textId="77777777" w:rsidR="00B86FB3" w:rsidRPr="00FF756A" w:rsidRDefault="00B86FB3" w:rsidP="00B86FB3">
            <w:pPr>
              <w:rPr>
                <w:rFonts w:eastAsia="Times New Roman"/>
                <w:b/>
                <w:bCs/>
                <w:color w:val="FFFFFF"/>
                <w:sz w:val="16"/>
                <w:szCs w:val="16"/>
              </w:rPr>
            </w:pPr>
            <w:r w:rsidRPr="00FF756A">
              <w:rPr>
                <w:b/>
                <w:bCs/>
                <w:color w:val="FFFFFF" w:themeColor="background1"/>
                <w:sz w:val="16"/>
                <w:szCs w:val="16"/>
              </w:rPr>
              <w:t>Reduktimi i WAM krahasuar me 2020 [%]</w:t>
            </w:r>
          </w:p>
        </w:tc>
        <w:tc>
          <w:tcPr>
            <w:tcW w:w="814" w:type="dxa"/>
            <w:tcBorders>
              <w:top w:val="nil"/>
              <w:left w:val="nil"/>
              <w:bottom w:val="single" w:sz="8" w:space="0" w:color="FFFFFF"/>
              <w:right w:val="single" w:sz="8" w:space="0" w:color="FFFFFF"/>
            </w:tcBorders>
            <w:shd w:val="clear" w:color="000000" w:fill="DBE5F1"/>
            <w:noWrap/>
            <w:vAlign w:val="center"/>
            <w:hideMark/>
          </w:tcPr>
          <w:p w14:paraId="1A2C0F49" w14:textId="77777777" w:rsidR="00B86FB3" w:rsidRPr="00FF756A" w:rsidRDefault="00B86FB3" w:rsidP="00B86FB3">
            <w:pPr>
              <w:jc w:val="center"/>
              <w:rPr>
                <w:rFonts w:eastAsia="Times New Roman"/>
                <w:color w:val="000000"/>
                <w:sz w:val="16"/>
                <w:szCs w:val="16"/>
              </w:rPr>
            </w:pPr>
          </w:p>
        </w:tc>
        <w:tc>
          <w:tcPr>
            <w:tcW w:w="819" w:type="dxa"/>
            <w:tcBorders>
              <w:top w:val="nil"/>
              <w:left w:val="nil"/>
              <w:bottom w:val="single" w:sz="8" w:space="0" w:color="FFFFFF"/>
              <w:right w:val="single" w:sz="8" w:space="0" w:color="FFFFFF"/>
            </w:tcBorders>
            <w:shd w:val="clear" w:color="000000" w:fill="DBE5F1"/>
            <w:noWrap/>
            <w:hideMark/>
          </w:tcPr>
          <w:p w14:paraId="2753332C" w14:textId="77777777" w:rsidR="00B86FB3" w:rsidRPr="00FF756A" w:rsidRDefault="00B86FB3" w:rsidP="00B86FB3">
            <w:pPr>
              <w:jc w:val="center"/>
              <w:rPr>
                <w:rFonts w:eastAsia="Times New Roman"/>
                <w:color w:val="000000"/>
                <w:sz w:val="16"/>
                <w:szCs w:val="16"/>
              </w:rPr>
            </w:pPr>
            <w:r w:rsidRPr="00FF756A">
              <w:rPr>
                <w:sz w:val="16"/>
                <w:szCs w:val="16"/>
              </w:rPr>
              <w:t>3,7%</w:t>
            </w:r>
          </w:p>
        </w:tc>
        <w:tc>
          <w:tcPr>
            <w:tcW w:w="819" w:type="dxa"/>
            <w:tcBorders>
              <w:top w:val="nil"/>
              <w:left w:val="nil"/>
              <w:bottom w:val="single" w:sz="8" w:space="0" w:color="FFFFFF"/>
              <w:right w:val="single" w:sz="8" w:space="0" w:color="FFFFFF"/>
            </w:tcBorders>
            <w:shd w:val="clear" w:color="000000" w:fill="DBE5F1"/>
            <w:noWrap/>
            <w:hideMark/>
          </w:tcPr>
          <w:p w14:paraId="3DDED5AF" w14:textId="77777777" w:rsidR="00B86FB3" w:rsidRPr="00FF756A" w:rsidRDefault="00B86FB3" w:rsidP="00B86FB3">
            <w:pPr>
              <w:jc w:val="center"/>
              <w:rPr>
                <w:rFonts w:eastAsia="Times New Roman"/>
                <w:color w:val="000000"/>
                <w:sz w:val="16"/>
                <w:szCs w:val="16"/>
              </w:rPr>
            </w:pPr>
            <w:r w:rsidRPr="00FF756A">
              <w:rPr>
                <w:sz w:val="16"/>
                <w:szCs w:val="16"/>
              </w:rPr>
              <w:t>4,3%</w:t>
            </w:r>
          </w:p>
        </w:tc>
        <w:tc>
          <w:tcPr>
            <w:tcW w:w="819" w:type="dxa"/>
            <w:tcBorders>
              <w:top w:val="nil"/>
              <w:left w:val="nil"/>
              <w:bottom w:val="single" w:sz="8" w:space="0" w:color="FFFFFF"/>
              <w:right w:val="single" w:sz="8" w:space="0" w:color="FFFFFF"/>
            </w:tcBorders>
            <w:shd w:val="clear" w:color="000000" w:fill="DBE5F1"/>
            <w:noWrap/>
            <w:hideMark/>
          </w:tcPr>
          <w:p w14:paraId="28B864FB" w14:textId="77777777" w:rsidR="00B86FB3" w:rsidRPr="00FF756A" w:rsidRDefault="00B86FB3" w:rsidP="00B86FB3">
            <w:pPr>
              <w:jc w:val="center"/>
              <w:rPr>
                <w:rFonts w:eastAsia="Times New Roman"/>
                <w:color w:val="000000"/>
                <w:sz w:val="16"/>
                <w:szCs w:val="16"/>
              </w:rPr>
            </w:pPr>
            <w:r w:rsidRPr="00FF756A">
              <w:rPr>
                <w:sz w:val="16"/>
                <w:szCs w:val="16"/>
              </w:rPr>
              <w:t>3,4%</w:t>
            </w:r>
          </w:p>
        </w:tc>
        <w:tc>
          <w:tcPr>
            <w:tcW w:w="819" w:type="dxa"/>
            <w:tcBorders>
              <w:top w:val="nil"/>
              <w:left w:val="nil"/>
              <w:bottom w:val="single" w:sz="8" w:space="0" w:color="FFFFFF"/>
              <w:right w:val="single" w:sz="8" w:space="0" w:color="FFFFFF"/>
            </w:tcBorders>
            <w:shd w:val="clear" w:color="000000" w:fill="DBE5F1"/>
            <w:noWrap/>
            <w:hideMark/>
          </w:tcPr>
          <w:p w14:paraId="4506B2D2" w14:textId="77777777" w:rsidR="00B86FB3" w:rsidRPr="00FF756A" w:rsidRDefault="00B86FB3" w:rsidP="00B86FB3">
            <w:pPr>
              <w:jc w:val="center"/>
              <w:rPr>
                <w:rFonts w:eastAsia="Times New Roman"/>
                <w:color w:val="000000"/>
                <w:sz w:val="16"/>
                <w:szCs w:val="16"/>
              </w:rPr>
            </w:pPr>
            <w:r w:rsidRPr="00FF756A">
              <w:rPr>
                <w:sz w:val="16"/>
                <w:szCs w:val="16"/>
              </w:rPr>
              <w:t>3,7%</w:t>
            </w:r>
          </w:p>
        </w:tc>
        <w:tc>
          <w:tcPr>
            <w:tcW w:w="819" w:type="dxa"/>
            <w:tcBorders>
              <w:top w:val="nil"/>
              <w:left w:val="nil"/>
              <w:bottom w:val="single" w:sz="8" w:space="0" w:color="FFFFFF"/>
              <w:right w:val="single" w:sz="8" w:space="0" w:color="FFFFFF"/>
            </w:tcBorders>
            <w:shd w:val="clear" w:color="000000" w:fill="DBE5F1"/>
            <w:noWrap/>
            <w:hideMark/>
          </w:tcPr>
          <w:p w14:paraId="2D0700A0" w14:textId="77777777" w:rsidR="00B86FB3" w:rsidRPr="00FF756A" w:rsidRDefault="00B86FB3" w:rsidP="00B86FB3">
            <w:pPr>
              <w:jc w:val="center"/>
              <w:rPr>
                <w:rFonts w:eastAsia="Times New Roman"/>
                <w:color w:val="000000"/>
                <w:sz w:val="16"/>
                <w:szCs w:val="16"/>
              </w:rPr>
            </w:pPr>
            <w:r w:rsidRPr="00FF756A">
              <w:rPr>
                <w:sz w:val="16"/>
                <w:szCs w:val="16"/>
              </w:rPr>
              <w:t>2,8%</w:t>
            </w:r>
          </w:p>
        </w:tc>
        <w:tc>
          <w:tcPr>
            <w:tcW w:w="825" w:type="dxa"/>
            <w:tcBorders>
              <w:top w:val="nil"/>
              <w:left w:val="nil"/>
              <w:bottom w:val="single" w:sz="8" w:space="0" w:color="FFFFFF"/>
              <w:right w:val="single" w:sz="8" w:space="0" w:color="FFFFFF"/>
            </w:tcBorders>
            <w:shd w:val="clear" w:color="000000" w:fill="DBE5F1"/>
            <w:noWrap/>
            <w:hideMark/>
          </w:tcPr>
          <w:p w14:paraId="00AFC7E8" w14:textId="77777777" w:rsidR="00B86FB3" w:rsidRPr="00FF756A" w:rsidRDefault="00B86FB3" w:rsidP="00B86FB3">
            <w:pPr>
              <w:jc w:val="center"/>
              <w:rPr>
                <w:rFonts w:eastAsia="Times New Roman"/>
                <w:color w:val="000000"/>
                <w:sz w:val="16"/>
                <w:szCs w:val="16"/>
              </w:rPr>
            </w:pPr>
            <w:r w:rsidRPr="00FF756A">
              <w:rPr>
                <w:sz w:val="16"/>
                <w:szCs w:val="16"/>
              </w:rPr>
              <w:t>-22,6%</w:t>
            </w:r>
          </w:p>
        </w:tc>
        <w:tc>
          <w:tcPr>
            <w:tcW w:w="814" w:type="dxa"/>
            <w:gridSpan w:val="2"/>
            <w:tcBorders>
              <w:top w:val="nil"/>
              <w:left w:val="nil"/>
              <w:bottom w:val="single" w:sz="8" w:space="0" w:color="FFFFFF"/>
              <w:right w:val="single" w:sz="8" w:space="0" w:color="FFFFFF"/>
            </w:tcBorders>
            <w:shd w:val="clear" w:color="000000" w:fill="DBE5F1"/>
          </w:tcPr>
          <w:p w14:paraId="7294B139" w14:textId="77777777" w:rsidR="00B86FB3" w:rsidRPr="00FF756A" w:rsidRDefault="00B86FB3" w:rsidP="00B86FB3">
            <w:pPr>
              <w:jc w:val="center"/>
              <w:rPr>
                <w:rFonts w:eastAsia="Times New Roman"/>
                <w:color w:val="000000"/>
                <w:sz w:val="16"/>
                <w:szCs w:val="16"/>
              </w:rPr>
            </w:pPr>
            <w:r w:rsidRPr="00FF756A">
              <w:rPr>
                <w:sz w:val="16"/>
                <w:szCs w:val="16"/>
              </w:rPr>
              <w:t>-49,9%</w:t>
            </w:r>
          </w:p>
        </w:tc>
      </w:tr>
      <w:tr w:rsidR="00B86FB3" w:rsidRPr="00FF756A" w14:paraId="671BF606" w14:textId="77777777" w:rsidTr="006A3266">
        <w:trPr>
          <w:gridAfter w:val="1"/>
          <w:wAfter w:w="6" w:type="dxa"/>
          <w:trHeight w:val="313"/>
        </w:trPr>
        <w:tc>
          <w:tcPr>
            <w:tcW w:w="9793" w:type="dxa"/>
            <w:gridSpan w:val="9"/>
            <w:tcBorders>
              <w:top w:val="single" w:sz="8" w:space="0" w:color="FFFFFF"/>
              <w:left w:val="single" w:sz="8" w:space="0" w:color="FFFFFF"/>
              <w:bottom w:val="single" w:sz="8" w:space="0" w:color="FFFFFF"/>
              <w:right w:val="single" w:sz="8" w:space="0" w:color="FFFFFF"/>
            </w:tcBorders>
            <w:shd w:val="clear" w:color="000000" w:fill="4F81BD"/>
            <w:noWrap/>
            <w:vAlign w:val="center"/>
            <w:hideMark/>
          </w:tcPr>
          <w:p w14:paraId="6CCBF251" w14:textId="77777777" w:rsidR="00B86FB3" w:rsidRPr="00FF756A" w:rsidRDefault="00B86FB3" w:rsidP="00B86FB3">
            <w:pPr>
              <w:rPr>
                <w:rFonts w:eastAsia="Times New Roman"/>
                <w:b/>
                <w:bCs/>
                <w:color w:val="FFFFFF"/>
                <w:sz w:val="16"/>
                <w:szCs w:val="16"/>
              </w:rPr>
            </w:pPr>
            <w:r w:rsidRPr="00FF756A">
              <w:rPr>
                <w:b/>
                <w:bCs/>
                <w:color w:val="FFFFFF" w:themeColor="background1"/>
                <w:sz w:val="16"/>
                <w:szCs w:val="16"/>
              </w:rPr>
              <w:t>WEM</w:t>
            </w:r>
          </w:p>
        </w:tc>
      </w:tr>
      <w:tr w:rsidR="00B86FB3" w:rsidRPr="00FF756A" w14:paraId="2F5D3A3C" w14:textId="77777777" w:rsidTr="006A3266">
        <w:trPr>
          <w:trHeight w:val="313"/>
        </w:trPr>
        <w:tc>
          <w:tcPr>
            <w:tcW w:w="3251" w:type="dxa"/>
            <w:tcBorders>
              <w:top w:val="nil"/>
              <w:left w:val="single" w:sz="8" w:space="0" w:color="FFFFFF"/>
              <w:bottom w:val="single" w:sz="8" w:space="0" w:color="FFFFFF"/>
              <w:right w:val="single" w:sz="8" w:space="0" w:color="FFFFFF"/>
            </w:tcBorders>
            <w:shd w:val="clear" w:color="000000" w:fill="4F81BD"/>
            <w:noWrap/>
            <w:vAlign w:val="center"/>
            <w:hideMark/>
          </w:tcPr>
          <w:p w14:paraId="36BA33E6" w14:textId="77777777" w:rsidR="00B86FB3" w:rsidRPr="00FF756A" w:rsidRDefault="00B86FB3" w:rsidP="00B86FB3">
            <w:pPr>
              <w:rPr>
                <w:rFonts w:eastAsia="Times New Roman"/>
                <w:b/>
                <w:bCs/>
                <w:color w:val="FFFFFF"/>
                <w:sz w:val="16"/>
                <w:szCs w:val="16"/>
              </w:rPr>
            </w:pPr>
            <w:r w:rsidRPr="00FF756A">
              <w:rPr>
                <w:b/>
                <w:bCs/>
                <w:color w:val="FFFFFF" w:themeColor="background1"/>
                <w:sz w:val="16"/>
                <w:szCs w:val="16"/>
              </w:rPr>
              <w:t>Kërkesa</w:t>
            </w:r>
          </w:p>
        </w:tc>
        <w:tc>
          <w:tcPr>
            <w:tcW w:w="814" w:type="dxa"/>
            <w:tcBorders>
              <w:top w:val="nil"/>
              <w:left w:val="nil"/>
              <w:bottom w:val="single" w:sz="8" w:space="0" w:color="FFFFFF"/>
              <w:right w:val="single" w:sz="8" w:space="0" w:color="FFFFFF"/>
            </w:tcBorders>
            <w:shd w:val="clear" w:color="000000" w:fill="DBE5F1"/>
            <w:noWrap/>
            <w:hideMark/>
          </w:tcPr>
          <w:p w14:paraId="2065D1BA" w14:textId="77777777" w:rsidR="00B86FB3" w:rsidRPr="00FF756A" w:rsidRDefault="00B86FB3" w:rsidP="00B86FB3">
            <w:pPr>
              <w:jc w:val="right"/>
              <w:rPr>
                <w:rFonts w:eastAsia="Times New Roman"/>
                <w:color w:val="000000"/>
                <w:sz w:val="16"/>
                <w:szCs w:val="16"/>
              </w:rPr>
            </w:pPr>
            <w:r w:rsidRPr="00FF756A">
              <w:rPr>
                <w:sz w:val="16"/>
                <w:szCs w:val="16"/>
              </w:rPr>
              <w:t xml:space="preserve"> 3 751.7 </w:t>
            </w:r>
          </w:p>
        </w:tc>
        <w:tc>
          <w:tcPr>
            <w:tcW w:w="819" w:type="dxa"/>
            <w:tcBorders>
              <w:top w:val="nil"/>
              <w:left w:val="nil"/>
              <w:bottom w:val="single" w:sz="8" w:space="0" w:color="FFFFFF"/>
              <w:right w:val="single" w:sz="8" w:space="0" w:color="FFFFFF"/>
            </w:tcBorders>
            <w:shd w:val="clear" w:color="000000" w:fill="DBE5F1"/>
            <w:noWrap/>
            <w:hideMark/>
          </w:tcPr>
          <w:p w14:paraId="7D2B97DF" w14:textId="77777777" w:rsidR="00B86FB3" w:rsidRPr="00FF756A" w:rsidRDefault="00B86FB3" w:rsidP="00B86FB3">
            <w:pPr>
              <w:jc w:val="right"/>
              <w:rPr>
                <w:rFonts w:eastAsia="Times New Roman"/>
                <w:color w:val="000000"/>
                <w:sz w:val="16"/>
                <w:szCs w:val="16"/>
              </w:rPr>
            </w:pPr>
            <w:r w:rsidRPr="00FF756A">
              <w:rPr>
                <w:sz w:val="16"/>
                <w:szCs w:val="16"/>
              </w:rPr>
              <w:t xml:space="preserve"> 4 165,1 </w:t>
            </w:r>
          </w:p>
        </w:tc>
        <w:tc>
          <w:tcPr>
            <w:tcW w:w="819" w:type="dxa"/>
            <w:tcBorders>
              <w:top w:val="nil"/>
              <w:left w:val="nil"/>
              <w:bottom w:val="single" w:sz="8" w:space="0" w:color="FFFFFF"/>
              <w:right w:val="single" w:sz="8" w:space="0" w:color="FFFFFF"/>
            </w:tcBorders>
            <w:shd w:val="clear" w:color="000000" w:fill="DBE5F1"/>
            <w:noWrap/>
            <w:hideMark/>
          </w:tcPr>
          <w:p w14:paraId="0C6E34E9" w14:textId="77777777" w:rsidR="00B86FB3" w:rsidRPr="00FF756A" w:rsidRDefault="00B86FB3" w:rsidP="00B86FB3">
            <w:pPr>
              <w:jc w:val="right"/>
              <w:rPr>
                <w:rFonts w:eastAsia="Times New Roman"/>
                <w:color w:val="000000"/>
                <w:sz w:val="16"/>
                <w:szCs w:val="16"/>
              </w:rPr>
            </w:pPr>
            <w:r w:rsidRPr="00FF756A">
              <w:rPr>
                <w:sz w:val="16"/>
                <w:szCs w:val="16"/>
              </w:rPr>
              <w:t xml:space="preserve"> 4 220,2 </w:t>
            </w:r>
          </w:p>
        </w:tc>
        <w:tc>
          <w:tcPr>
            <w:tcW w:w="819" w:type="dxa"/>
            <w:tcBorders>
              <w:top w:val="nil"/>
              <w:left w:val="nil"/>
              <w:bottom w:val="single" w:sz="8" w:space="0" w:color="FFFFFF"/>
              <w:right w:val="single" w:sz="8" w:space="0" w:color="FFFFFF"/>
            </w:tcBorders>
            <w:shd w:val="clear" w:color="000000" w:fill="DBE5F1"/>
            <w:noWrap/>
            <w:hideMark/>
          </w:tcPr>
          <w:p w14:paraId="7AF07B86" w14:textId="77777777" w:rsidR="00B86FB3" w:rsidRPr="00FF756A" w:rsidRDefault="00B86FB3" w:rsidP="00B86FB3">
            <w:pPr>
              <w:jc w:val="right"/>
              <w:rPr>
                <w:rFonts w:eastAsia="Times New Roman"/>
                <w:color w:val="000000"/>
                <w:sz w:val="16"/>
                <w:szCs w:val="16"/>
              </w:rPr>
            </w:pPr>
            <w:r w:rsidRPr="00FF756A">
              <w:rPr>
                <w:sz w:val="16"/>
                <w:szCs w:val="16"/>
              </w:rPr>
              <w:t xml:space="preserve"> 4 235,6 </w:t>
            </w:r>
          </w:p>
        </w:tc>
        <w:tc>
          <w:tcPr>
            <w:tcW w:w="819" w:type="dxa"/>
            <w:tcBorders>
              <w:top w:val="nil"/>
              <w:left w:val="nil"/>
              <w:bottom w:val="single" w:sz="8" w:space="0" w:color="FFFFFF"/>
              <w:right w:val="single" w:sz="8" w:space="0" w:color="FFFFFF"/>
            </w:tcBorders>
            <w:shd w:val="clear" w:color="000000" w:fill="DBE5F1"/>
            <w:noWrap/>
            <w:hideMark/>
          </w:tcPr>
          <w:p w14:paraId="76BFBC50" w14:textId="77777777" w:rsidR="00B86FB3" w:rsidRPr="00FF756A" w:rsidRDefault="00B86FB3" w:rsidP="00B86FB3">
            <w:pPr>
              <w:jc w:val="right"/>
              <w:rPr>
                <w:rFonts w:eastAsia="Times New Roman"/>
                <w:color w:val="000000"/>
                <w:sz w:val="16"/>
                <w:szCs w:val="16"/>
              </w:rPr>
            </w:pPr>
            <w:r w:rsidRPr="00FF756A">
              <w:rPr>
                <w:sz w:val="16"/>
                <w:szCs w:val="16"/>
              </w:rPr>
              <w:t xml:space="preserve"> 4 404,4 </w:t>
            </w:r>
          </w:p>
        </w:tc>
        <w:tc>
          <w:tcPr>
            <w:tcW w:w="819" w:type="dxa"/>
            <w:tcBorders>
              <w:top w:val="nil"/>
              <w:left w:val="nil"/>
              <w:bottom w:val="single" w:sz="8" w:space="0" w:color="FFFFFF"/>
              <w:right w:val="single" w:sz="8" w:space="0" w:color="FFFFFF"/>
            </w:tcBorders>
            <w:shd w:val="clear" w:color="000000" w:fill="DBE5F1"/>
            <w:noWrap/>
            <w:hideMark/>
          </w:tcPr>
          <w:p w14:paraId="34A833FC" w14:textId="77777777" w:rsidR="00B86FB3" w:rsidRPr="00FF756A" w:rsidRDefault="00B86FB3" w:rsidP="00B86FB3">
            <w:pPr>
              <w:jc w:val="right"/>
              <w:rPr>
                <w:rFonts w:eastAsia="Times New Roman"/>
                <w:color w:val="000000"/>
                <w:sz w:val="16"/>
                <w:szCs w:val="16"/>
              </w:rPr>
            </w:pPr>
            <w:r w:rsidRPr="00FF756A">
              <w:rPr>
                <w:sz w:val="16"/>
                <w:szCs w:val="16"/>
              </w:rPr>
              <w:t xml:space="preserve"> 4 860,2 </w:t>
            </w:r>
          </w:p>
        </w:tc>
        <w:tc>
          <w:tcPr>
            <w:tcW w:w="825" w:type="dxa"/>
            <w:tcBorders>
              <w:top w:val="nil"/>
              <w:left w:val="nil"/>
              <w:bottom w:val="single" w:sz="8" w:space="0" w:color="FFFFFF"/>
              <w:right w:val="single" w:sz="8" w:space="0" w:color="FFFFFF"/>
            </w:tcBorders>
            <w:shd w:val="clear" w:color="000000" w:fill="DBE5F1"/>
            <w:noWrap/>
            <w:hideMark/>
          </w:tcPr>
          <w:p w14:paraId="33DF2C2E" w14:textId="77777777" w:rsidR="00B86FB3" w:rsidRPr="00FF756A" w:rsidRDefault="00B86FB3" w:rsidP="00B86FB3">
            <w:pPr>
              <w:jc w:val="right"/>
              <w:rPr>
                <w:rFonts w:eastAsia="Times New Roman"/>
                <w:color w:val="000000"/>
                <w:sz w:val="16"/>
                <w:szCs w:val="16"/>
              </w:rPr>
            </w:pPr>
            <w:r w:rsidRPr="00FF756A">
              <w:rPr>
                <w:sz w:val="16"/>
                <w:szCs w:val="16"/>
              </w:rPr>
              <w:t xml:space="preserve"> 5 911,8 </w:t>
            </w:r>
          </w:p>
        </w:tc>
        <w:tc>
          <w:tcPr>
            <w:tcW w:w="814" w:type="dxa"/>
            <w:gridSpan w:val="2"/>
            <w:tcBorders>
              <w:top w:val="nil"/>
              <w:left w:val="nil"/>
              <w:bottom w:val="single" w:sz="8" w:space="0" w:color="FFFFFF"/>
              <w:right w:val="single" w:sz="8" w:space="0" w:color="FFFFFF"/>
            </w:tcBorders>
            <w:shd w:val="clear" w:color="000000" w:fill="DBE5F1"/>
          </w:tcPr>
          <w:p w14:paraId="13AEAE31" w14:textId="77777777" w:rsidR="00B86FB3" w:rsidRPr="00FF756A" w:rsidRDefault="00B86FB3" w:rsidP="00B86FB3">
            <w:pPr>
              <w:jc w:val="right"/>
              <w:rPr>
                <w:rFonts w:eastAsia="Times New Roman"/>
                <w:color w:val="000000"/>
                <w:sz w:val="16"/>
                <w:szCs w:val="16"/>
              </w:rPr>
            </w:pPr>
            <w:r w:rsidRPr="00FF756A">
              <w:rPr>
                <w:sz w:val="16"/>
                <w:szCs w:val="16"/>
              </w:rPr>
              <w:t xml:space="preserve"> 7 284,6 </w:t>
            </w:r>
          </w:p>
        </w:tc>
      </w:tr>
      <w:tr w:rsidR="00B86FB3" w:rsidRPr="00FF756A" w14:paraId="21C703DE" w14:textId="77777777" w:rsidTr="006A3266">
        <w:trPr>
          <w:trHeight w:val="313"/>
        </w:trPr>
        <w:tc>
          <w:tcPr>
            <w:tcW w:w="3251" w:type="dxa"/>
            <w:tcBorders>
              <w:top w:val="nil"/>
              <w:left w:val="single" w:sz="8" w:space="0" w:color="FFFFFF"/>
              <w:bottom w:val="single" w:sz="8" w:space="0" w:color="FFFFFF"/>
              <w:right w:val="single" w:sz="8" w:space="0" w:color="FFFFFF"/>
            </w:tcBorders>
            <w:shd w:val="clear" w:color="000000" w:fill="4F81BD"/>
            <w:noWrap/>
            <w:vAlign w:val="center"/>
            <w:hideMark/>
          </w:tcPr>
          <w:p w14:paraId="268FDEA0" w14:textId="77777777" w:rsidR="00B86FB3" w:rsidRPr="00FF756A" w:rsidRDefault="00B86FB3" w:rsidP="00B86FB3">
            <w:pPr>
              <w:rPr>
                <w:rFonts w:eastAsia="Times New Roman"/>
                <w:b/>
                <w:bCs/>
                <w:color w:val="FFFFFF"/>
                <w:sz w:val="16"/>
                <w:szCs w:val="16"/>
              </w:rPr>
            </w:pPr>
            <w:r w:rsidRPr="00FF756A">
              <w:rPr>
                <w:b/>
                <w:bCs/>
                <w:color w:val="FFFFFF" w:themeColor="background1"/>
                <w:sz w:val="16"/>
                <w:szCs w:val="16"/>
              </w:rPr>
              <w:t>Transformimi</w:t>
            </w:r>
          </w:p>
        </w:tc>
        <w:tc>
          <w:tcPr>
            <w:tcW w:w="814" w:type="dxa"/>
            <w:tcBorders>
              <w:top w:val="nil"/>
              <w:left w:val="nil"/>
              <w:bottom w:val="single" w:sz="8" w:space="0" w:color="FFFFFF"/>
              <w:right w:val="single" w:sz="8" w:space="0" w:color="FFFFFF"/>
            </w:tcBorders>
            <w:shd w:val="clear" w:color="000000" w:fill="B8CCE4"/>
            <w:noWrap/>
            <w:hideMark/>
          </w:tcPr>
          <w:p w14:paraId="785C56E5" w14:textId="77777777" w:rsidR="00B86FB3" w:rsidRPr="00FF756A" w:rsidRDefault="00B86FB3" w:rsidP="00B86FB3">
            <w:pPr>
              <w:jc w:val="right"/>
              <w:rPr>
                <w:rFonts w:eastAsia="Times New Roman"/>
                <w:color w:val="000000"/>
                <w:sz w:val="16"/>
                <w:szCs w:val="16"/>
              </w:rPr>
            </w:pPr>
            <w:r w:rsidRPr="00FF756A">
              <w:rPr>
                <w:sz w:val="16"/>
                <w:szCs w:val="16"/>
              </w:rPr>
              <w:t xml:space="preserve"> 151,4 </w:t>
            </w:r>
          </w:p>
        </w:tc>
        <w:tc>
          <w:tcPr>
            <w:tcW w:w="819" w:type="dxa"/>
            <w:tcBorders>
              <w:top w:val="nil"/>
              <w:left w:val="nil"/>
              <w:bottom w:val="single" w:sz="8" w:space="0" w:color="FFFFFF"/>
              <w:right w:val="single" w:sz="8" w:space="0" w:color="FFFFFF"/>
            </w:tcBorders>
            <w:shd w:val="clear" w:color="000000" w:fill="B8CCE4"/>
            <w:noWrap/>
            <w:hideMark/>
          </w:tcPr>
          <w:p w14:paraId="097E86EE" w14:textId="77777777" w:rsidR="00B86FB3" w:rsidRPr="00FF756A" w:rsidRDefault="00B86FB3" w:rsidP="00B86FB3">
            <w:pPr>
              <w:jc w:val="right"/>
              <w:rPr>
                <w:rFonts w:eastAsia="Times New Roman"/>
                <w:color w:val="000000"/>
                <w:sz w:val="16"/>
                <w:szCs w:val="16"/>
              </w:rPr>
            </w:pPr>
            <w:r w:rsidRPr="00FF756A">
              <w:rPr>
                <w:sz w:val="16"/>
                <w:szCs w:val="16"/>
              </w:rPr>
              <w:t xml:space="preserve"> 145,1 </w:t>
            </w:r>
          </w:p>
        </w:tc>
        <w:tc>
          <w:tcPr>
            <w:tcW w:w="819" w:type="dxa"/>
            <w:tcBorders>
              <w:top w:val="nil"/>
              <w:left w:val="nil"/>
              <w:bottom w:val="single" w:sz="8" w:space="0" w:color="FFFFFF"/>
              <w:right w:val="single" w:sz="8" w:space="0" w:color="FFFFFF"/>
            </w:tcBorders>
            <w:shd w:val="clear" w:color="000000" w:fill="B8CCE4"/>
            <w:noWrap/>
            <w:hideMark/>
          </w:tcPr>
          <w:p w14:paraId="560B1620" w14:textId="77777777" w:rsidR="00B86FB3" w:rsidRPr="00FF756A" w:rsidRDefault="00B86FB3" w:rsidP="00B86FB3">
            <w:pPr>
              <w:jc w:val="right"/>
              <w:rPr>
                <w:rFonts w:eastAsia="Times New Roman"/>
                <w:color w:val="000000"/>
                <w:sz w:val="16"/>
                <w:szCs w:val="16"/>
              </w:rPr>
            </w:pPr>
            <w:r w:rsidRPr="00FF756A">
              <w:rPr>
                <w:sz w:val="16"/>
                <w:szCs w:val="16"/>
              </w:rPr>
              <w:t xml:space="preserve"> 157,2 </w:t>
            </w:r>
          </w:p>
        </w:tc>
        <w:tc>
          <w:tcPr>
            <w:tcW w:w="819" w:type="dxa"/>
            <w:tcBorders>
              <w:top w:val="nil"/>
              <w:left w:val="nil"/>
              <w:bottom w:val="single" w:sz="8" w:space="0" w:color="FFFFFF"/>
              <w:right w:val="single" w:sz="8" w:space="0" w:color="FFFFFF"/>
            </w:tcBorders>
            <w:shd w:val="clear" w:color="000000" w:fill="B8CCE4"/>
            <w:noWrap/>
            <w:hideMark/>
          </w:tcPr>
          <w:p w14:paraId="025CB646" w14:textId="77777777" w:rsidR="00B86FB3" w:rsidRPr="00FF756A" w:rsidRDefault="00B86FB3" w:rsidP="00B86FB3">
            <w:pPr>
              <w:jc w:val="right"/>
              <w:rPr>
                <w:rFonts w:eastAsia="Times New Roman"/>
                <w:color w:val="000000"/>
                <w:sz w:val="16"/>
                <w:szCs w:val="16"/>
              </w:rPr>
            </w:pPr>
            <w:r w:rsidRPr="00FF756A">
              <w:rPr>
                <w:sz w:val="16"/>
                <w:szCs w:val="16"/>
              </w:rPr>
              <w:t xml:space="preserve"> 159,0 </w:t>
            </w:r>
          </w:p>
        </w:tc>
        <w:tc>
          <w:tcPr>
            <w:tcW w:w="819" w:type="dxa"/>
            <w:tcBorders>
              <w:top w:val="nil"/>
              <w:left w:val="nil"/>
              <w:bottom w:val="single" w:sz="8" w:space="0" w:color="FFFFFF"/>
              <w:right w:val="single" w:sz="8" w:space="0" w:color="FFFFFF"/>
            </w:tcBorders>
            <w:shd w:val="clear" w:color="000000" w:fill="B8CCE4"/>
            <w:noWrap/>
            <w:hideMark/>
          </w:tcPr>
          <w:p w14:paraId="39C95D71" w14:textId="77777777" w:rsidR="00B86FB3" w:rsidRPr="00FF756A" w:rsidRDefault="00B86FB3" w:rsidP="00B86FB3">
            <w:pPr>
              <w:jc w:val="right"/>
              <w:rPr>
                <w:rFonts w:eastAsia="Times New Roman"/>
                <w:color w:val="000000"/>
                <w:sz w:val="16"/>
                <w:szCs w:val="16"/>
              </w:rPr>
            </w:pPr>
            <w:r w:rsidRPr="00FF756A">
              <w:rPr>
                <w:sz w:val="16"/>
                <w:szCs w:val="16"/>
              </w:rPr>
              <w:t xml:space="preserve"> 159,0 </w:t>
            </w:r>
          </w:p>
        </w:tc>
        <w:tc>
          <w:tcPr>
            <w:tcW w:w="819" w:type="dxa"/>
            <w:tcBorders>
              <w:top w:val="nil"/>
              <w:left w:val="nil"/>
              <w:bottom w:val="single" w:sz="8" w:space="0" w:color="FFFFFF"/>
              <w:right w:val="single" w:sz="8" w:space="0" w:color="FFFFFF"/>
            </w:tcBorders>
            <w:shd w:val="clear" w:color="000000" w:fill="B8CCE4"/>
            <w:noWrap/>
            <w:hideMark/>
          </w:tcPr>
          <w:p w14:paraId="7D1292DD" w14:textId="77777777" w:rsidR="00B86FB3" w:rsidRPr="00FF756A" w:rsidRDefault="00B86FB3" w:rsidP="00B86FB3">
            <w:pPr>
              <w:jc w:val="right"/>
              <w:rPr>
                <w:rFonts w:eastAsia="Times New Roman"/>
                <w:color w:val="000000"/>
                <w:sz w:val="16"/>
                <w:szCs w:val="16"/>
              </w:rPr>
            </w:pPr>
            <w:r w:rsidRPr="00FF756A">
              <w:rPr>
                <w:sz w:val="16"/>
                <w:szCs w:val="16"/>
              </w:rPr>
              <w:t xml:space="preserve"> 167,1 </w:t>
            </w:r>
          </w:p>
        </w:tc>
        <w:tc>
          <w:tcPr>
            <w:tcW w:w="825" w:type="dxa"/>
            <w:tcBorders>
              <w:top w:val="nil"/>
              <w:left w:val="nil"/>
              <w:bottom w:val="single" w:sz="8" w:space="0" w:color="FFFFFF"/>
              <w:right w:val="single" w:sz="8" w:space="0" w:color="FFFFFF"/>
            </w:tcBorders>
            <w:shd w:val="clear" w:color="000000" w:fill="B8CCE4"/>
            <w:noWrap/>
            <w:hideMark/>
          </w:tcPr>
          <w:p w14:paraId="4C991ED2" w14:textId="77777777" w:rsidR="00B86FB3" w:rsidRPr="00FF756A" w:rsidRDefault="00B86FB3" w:rsidP="00B86FB3">
            <w:pPr>
              <w:jc w:val="right"/>
              <w:rPr>
                <w:rFonts w:eastAsia="Times New Roman"/>
                <w:color w:val="000000"/>
                <w:sz w:val="16"/>
                <w:szCs w:val="16"/>
              </w:rPr>
            </w:pPr>
            <w:r w:rsidRPr="00FF756A">
              <w:rPr>
                <w:sz w:val="16"/>
                <w:szCs w:val="16"/>
              </w:rPr>
              <w:t xml:space="preserve"> 361,7 </w:t>
            </w:r>
          </w:p>
        </w:tc>
        <w:tc>
          <w:tcPr>
            <w:tcW w:w="814" w:type="dxa"/>
            <w:gridSpan w:val="2"/>
            <w:tcBorders>
              <w:top w:val="nil"/>
              <w:left w:val="nil"/>
              <w:bottom w:val="single" w:sz="8" w:space="0" w:color="FFFFFF"/>
              <w:right w:val="single" w:sz="8" w:space="0" w:color="FFFFFF"/>
            </w:tcBorders>
            <w:shd w:val="clear" w:color="000000" w:fill="B8CCE4"/>
          </w:tcPr>
          <w:p w14:paraId="294045EB" w14:textId="77777777" w:rsidR="00B86FB3" w:rsidRPr="00FF756A" w:rsidRDefault="00B86FB3" w:rsidP="00B86FB3">
            <w:pPr>
              <w:jc w:val="right"/>
              <w:rPr>
                <w:rFonts w:eastAsia="Times New Roman"/>
                <w:color w:val="000000"/>
                <w:sz w:val="16"/>
                <w:szCs w:val="16"/>
              </w:rPr>
            </w:pPr>
            <w:r w:rsidRPr="00FF756A">
              <w:rPr>
                <w:sz w:val="16"/>
                <w:szCs w:val="16"/>
              </w:rPr>
              <w:t xml:space="preserve"> 484,1 </w:t>
            </w:r>
          </w:p>
        </w:tc>
      </w:tr>
      <w:tr w:rsidR="00B86FB3" w:rsidRPr="00FF756A" w14:paraId="1DB285A8" w14:textId="77777777" w:rsidTr="006A3266">
        <w:trPr>
          <w:trHeight w:val="313"/>
        </w:trPr>
        <w:tc>
          <w:tcPr>
            <w:tcW w:w="3251" w:type="dxa"/>
            <w:tcBorders>
              <w:top w:val="nil"/>
              <w:left w:val="single" w:sz="8" w:space="0" w:color="FFFFFF"/>
              <w:bottom w:val="single" w:sz="8" w:space="0" w:color="FFFFFF"/>
              <w:right w:val="single" w:sz="8" w:space="0" w:color="FFFFFF"/>
            </w:tcBorders>
            <w:shd w:val="clear" w:color="000000" w:fill="4F81BD"/>
            <w:noWrap/>
            <w:vAlign w:val="center"/>
            <w:hideMark/>
          </w:tcPr>
          <w:p w14:paraId="6AEC17AA" w14:textId="77777777" w:rsidR="00B86FB3" w:rsidRPr="00FF756A" w:rsidRDefault="00B86FB3" w:rsidP="00B86FB3">
            <w:pPr>
              <w:rPr>
                <w:rFonts w:eastAsia="Times New Roman"/>
                <w:b/>
                <w:bCs/>
                <w:color w:val="FFFFFF"/>
                <w:sz w:val="16"/>
                <w:szCs w:val="16"/>
              </w:rPr>
            </w:pPr>
            <w:r w:rsidRPr="00FF756A">
              <w:rPr>
                <w:b/>
                <w:bCs/>
                <w:color w:val="FFFFFF" w:themeColor="background1"/>
                <w:sz w:val="16"/>
                <w:szCs w:val="16"/>
              </w:rPr>
              <w:t>Sektorët joenergjetikë</w:t>
            </w:r>
          </w:p>
        </w:tc>
        <w:tc>
          <w:tcPr>
            <w:tcW w:w="814" w:type="dxa"/>
            <w:tcBorders>
              <w:top w:val="nil"/>
              <w:left w:val="nil"/>
              <w:bottom w:val="single" w:sz="8" w:space="0" w:color="FFFFFF"/>
              <w:right w:val="single" w:sz="8" w:space="0" w:color="FFFFFF"/>
            </w:tcBorders>
            <w:shd w:val="clear" w:color="000000" w:fill="DBE5F1"/>
            <w:noWrap/>
            <w:hideMark/>
          </w:tcPr>
          <w:p w14:paraId="7E54C18D" w14:textId="77777777" w:rsidR="00B86FB3" w:rsidRPr="00FF756A" w:rsidRDefault="00B86FB3" w:rsidP="00B86FB3">
            <w:pPr>
              <w:jc w:val="right"/>
              <w:rPr>
                <w:rFonts w:eastAsia="Times New Roman"/>
                <w:color w:val="000000"/>
                <w:sz w:val="16"/>
                <w:szCs w:val="16"/>
              </w:rPr>
            </w:pPr>
            <w:r w:rsidRPr="00FF756A">
              <w:rPr>
                <w:sz w:val="16"/>
                <w:szCs w:val="16"/>
              </w:rPr>
              <w:t xml:space="preserve"> 6 658,6 </w:t>
            </w:r>
          </w:p>
        </w:tc>
        <w:tc>
          <w:tcPr>
            <w:tcW w:w="819" w:type="dxa"/>
            <w:tcBorders>
              <w:top w:val="nil"/>
              <w:left w:val="nil"/>
              <w:bottom w:val="single" w:sz="8" w:space="0" w:color="FFFFFF"/>
              <w:right w:val="single" w:sz="8" w:space="0" w:color="FFFFFF"/>
            </w:tcBorders>
            <w:shd w:val="clear" w:color="000000" w:fill="DBE5F1"/>
            <w:noWrap/>
            <w:hideMark/>
          </w:tcPr>
          <w:p w14:paraId="1492348A" w14:textId="77777777" w:rsidR="00B86FB3" w:rsidRPr="00FF756A" w:rsidRDefault="00B86FB3" w:rsidP="00B86FB3">
            <w:pPr>
              <w:jc w:val="right"/>
              <w:rPr>
                <w:rFonts w:eastAsia="Times New Roman"/>
                <w:color w:val="000000"/>
                <w:sz w:val="16"/>
                <w:szCs w:val="16"/>
              </w:rPr>
            </w:pPr>
            <w:r w:rsidRPr="00FF756A">
              <w:rPr>
                <w:sz w:val="16"/>
                <w:szCs w:val="16"/>
              </w:rPr>
              <w:t xml:space="preserve"> 6 645,3 </w:t>
            </w:r>
          </w:p>
        </w:tc>
        <w:tc>
          <w:tcPr>
            <w:tcW w:w="819" w:type="dxa"/>
            <w:tcBorders>
              <w:top w:val="nil"/>
              <w:left w:val="nil"/>
              <w:bottom w:val="single" w:sz="8" w:space="0" w:color="FFFFFF"/>
              <w:right w:val="single" w:sz="8" w:space="0" w:color="FFFFFF"/>
            </w:tcBorders>
            <w:shd w:val="clear" w:color="000000" w:fill="DBE5F1"/>
            <w:noWrap/>
            <w:hideMark/>
          </w:tcPr>
          <w:p w14:paraId="47F63E6A" w14:textId="77777777" w:rsidR="00B86FB3" w:rsidRPr="00FF756A" w:rsidRDefault="00B86FB3" w:rsidP="00B86FB3">
            <w:pPr>
              <w:jc w:val="right"/>
              <w:rPr>
                <w:rFonts w:eastAsia="Times New Roman"/>
                <w:color w:val="000000"/>
                <w:sz w:val="16"/>
                <w:szCs w:val="16"/>
              </w:rPr>
            </w:pPr>
            <w:r w:rsidRPr="00FF756A">
              <w:rPr>
                <w:sz w:val="16"/>
                <w:szCs w:val="16"/>
              </w:rPr>
              <w:t xml:space="preserve"> 6 633,3 </w:t>
            </w:r>
          </w:p>
        </w:tc>
        <w:tc>
          <w:tcPr>
            <w:tcW w:w="819" w:type="dxa"/>
            <w:tcBorders>
              <w:top w:val="nil"/>
              <w:left w:val="nil"/>
              <w:bottom w:val="single" w:sz="8" w:space="0" w:color="FFFFFF"/>
              <w:right w:val="single" w:sz="8" w:space="0" w:color="FFFFFF"/>
            </w:tcBorders>
            <w:shd w:val="clear" w:color="000000" w:fill="DBE5F1"/>
            <w:noWrap/>
            <w:hideMark/>
          </w:tcPr>
          <w:p w14:paraId="4CC54FC2" w14:textId="77777777" w:rsidR="00B86FB3" w:rsidRPr="00FF756A" w:rsidRDefault="00B86FB3" w:rsidP="00B86FB3">
            <w:pPr>
              <w:jc w:val="right"/>
              <w:rPr>
                <w:rFonts w:eastAsia="Times New Roman"/>
                <w:color w:val="000000"/>
                <w:sz w:val="16"/>
                <w:szCs w:val="16"/>
              </w:rPr>
            </w:pPr>
            <w:r w:rsidRPr="00FF756A">
              <w:rPr>
                <w:sz w:val="16"/>
                <w:szCs w:val="16"/>
              </w:rPr>
              <w:t xml:space="preserve"> 6 691,0 </w:t>
            </w:r>
          </w:p>
        </w:tc>
        <w:tc>
          <w:tcPr>
            <w:tcW w:w="819" w:type="dxa"/>
            <w:tcBorders>
              <w:top w:val="nil"/>
              <w:left w:val="nil"/>
              <w:bottom w:val="single" w:sz="8" w:space="0" w:color="FFFFFF"/>
              <w:right w:val="single" w:sz="8" w:space="0" w:color="FFFFFF"/>
            </w:tcBorders>
            <w:shd w:val="clear" w:color="000000" w:fill="DBE5F1"/>
            <w:noWrap/>
            <w:hideMark/>
          </w:tcPr>
          <w:p w14:paraId="4891AADB" w14:textId="77777777" w:rsidR="00B86FB3" w:rsidRPr="00FF756A" w:rsidRDefault="00B86FB3" w:rsidP="00B86FB3">
            <w:pPr>
              <w:jc w:val="right"/>
              <w:rPr>
                <w:rFonts w:eastAsia="Times New Roman"/>
                <w:color w:val="000000"/>
                <w:sz w:val="16"/>
                <w:szCs w:val="16"/>
              </w:rPr>
            </w:pPr>
            <w:r w:rsidRPr="00FF756A">
              <w:rPr>
                <w:sz w:val="16"/>
                <w:szCs w:val="16"/>
              </w:rPr>
              <w:t xml:space="preserve"> 6 725,9 </w:t>
            </w:r>
          </w:p>
        </w:tc>
        <w:tc>
          <w:tcPr>
            <w:tcW w:w="819" w:type="dxa"/>
            <w:tcBorders>
              <w:top w:val="nil"/>
              <w:left w:val="nil"/>
              <w:bottom w:val="single" w:sz="8" w:space="0" w:color="FFFFFF"/>
              <w:right w:val="single" w:sz="8" w:space="0" w:color="FFFFFF"/>
            </w:tcBorders>
            <w:shd w:val="clear" w:color="000000" w:fill="DBE5F1"/>
            <w:noWrap/>
            <w:hideMark/>
          </w:tcPr>
          <w:p w14:paraId="1754642F" w14:textId="77777777" w:rsidR="00B86FB3" w:rsidRPr="00FF756A" w:rsidRDefault="00B86FB3" w:rsidP="00B86FB3">
            <w:pPr>
              <w:jc w:val="right"/>
              <w:rPr>
                <w:rFonts w:eastAsia="Times New Roman"/>
                <w:color w:val="000000"/>
                <w:sz w:val="16"/>
                <w:szCs w:val="16"/>
              </w:rPr>
            </w:pPr>
            <w:r w:rsidRPr="00FF756A">
              <w:rPr>
                <w:sz w:val="16"/>
                <w:szCs w:val="16"/>
              </w:rPr>
              <w:t xml:space="preserve"> 6 692,5 </w:t>
            </w:r>
          </w:p>
        </w:tc>
        <w:tc>
          <w:tcPr>
            <w:tcW w:w="825" w:type="dxa"/>
            <w:tcBorders>
              <w:top w:val="nil"/>
              <w:left w:val="nil"/>
              <w:bottom w:val="single" w:sz="8" w:space="0" w:color="FFFFFF"/>
              <w:right w:val="single" w:sz="8" w:space="0" w:color="FFFFFF"/>
            </w:tcBorders>
            <w:shd w:val="clear" w:color="000000" w:fill="DBE5F1"/>
            <w:noWrap/>
            <w:hideMark/>
          </w:tcPr>
          <w:p w14:paraId="1B9423A3" w14:textId="77777777" w:rsidR="00B86FB3" w:rsidRPr="00FF756A" w:rsidRDefault="00B86FB3" w:rsidP="00B86FB3">
            <w:pPr>
              <w:jc w:val="right"/>
              <w:rPr>
                <w:rFonts w:eastAsia="Times New Roman"/>
                <w:color w:val="000000"/>
                <w:sz w:val="16"/>
                <w:szCs w:val="16"/>
              </w:rPr>
            </w:pPr>
            <w:r w:rsidRPr="00FF756A">
              <w:rPr>
                <w:sz w:val="16"/>
                <w:szCs w:val="16"/>
              </w:rPr>
              <w:t xml:space="preserve"> 6 817,6 </w:t>
            </w:r>
          </w:p>
        </w:tc>
        <w:tc>
          <w:tcPr>
            <w:tcW w:w="814" w:type="dxa"/>
            <w:gridSpan w:val="2"/>
            <w:tcBorders>
              <w:top w:val="nil"/>
              <w:left w:val="nil"/>
              <w:bottom w:val="single" w:sz="8" w:space="0" w:color="FFFFFF"/>
              <w:right w:val="single" w:sz="8" w:space="0" w:color="FFFFFF"/>
            </w:tcBorders>
            <w:shd w:val="clear" w:color="000000" w:fill="DBE5F1"/>
          </w:tcPr>
          <w:p w14:paraId="1D27DF69" w14:textId="77777777" w:rsidR="00B86FB3" w:rsidRPr="00FF756A" w:rsidRDefault="00B86FB3" w:rsidP="00B86FB3">
            <w:pPr>
              <w:jc w:val="right"/>
              <w:rPr>
                <w:rFonts w:eastAsia="Times New Roman"/>
                <w:color w:val="000000"/>
                <w:sz w:val="16"/>
                <w:szCs w:val="16"/>
              </w:rPr>
            </w:pPr>
            <w:r w:rsidRPr="00FF756A">
              <w:rPr>
                <w:sz w:val="16"/>
                <w:szCs w:val="16"/>
              </w:rPr>
              <w:t xml:space="preserve"> 7 145,5 </w:t>
            </w:r>
          </w:p>
        </w:tc>
      </w:tr>
      <w:tr w:rsidR="00B86FB3" w:rsidRPr="00FF756A" w14:paraId="00250B13" w14:textId="77777777" w:rsidTr="006A3266">
        <w:trPr>
          <w:trHeight w:val="313"/>
        </w:trPr>
        <w:tc>
          <w:tcPr>
            <w:tcW w:w="3251" w:type="dxa"/>
            <w:tcBorders>
              <w:top w:val="nil"/>
              <w:left w:val="single" w:sz="8" w:space="0" w:color="FFFFFF"/>
              <w:bottom w:val="single" w:sz="8" w:space="0" w:color="FFFFFF"/>
              <w:right w:val="single" w:sz="8" w:space="0" w:color="FFFFFF"/>
            </w:tcBorders>
            <w:shd w:val="clear" w:color="000000" w:fill="17365D"/>
            <w:noWrap/>
            <w:vAlign w:val="center"/>
            <w:hideMark/>
          </w:tcPr>
          <w:p w14:paraId="64BE2E95" w14:textId="77777777" w:rsidR="00B86FB3" w:rsidRPr="00FF756A" w:rsidRDefault="00B86FB3" w:rsidP="00B86FB3">
            <w:pPr>
              <w:rPr>
                <w:rFonts w:eastAsia="Times New Roman"/>
                <w:b/>
                <w:bCs/>
                <w:color w:val="FFFFFF"/>
                <w:sz w:val="16"/>
                <w:szCs w:val="16"/>
              </w:rPr>
            </w:pPr>
            <w:r w:rsidRPr="00FF756A">
              <w:rPr>
                <w:b/>
                <w:bCs/>
                <w:color w:val="FFFFFF" w:themeColor="background1"/>
                <w:sz w:val="16"/>
                <w:szCs w:val="16"/>
              </w:rPr>
              <w:t>WEM total</w:t>
            </w:r>
          </w:p>
        </w:tc>
        <w:tc>
          <w:tcPr>
            <w:tcW w:w="814" w:type="dxa"/>
            <w:tcBorders>
              <w:top w:val="nil"/>
              <w:left w:val="nil"/>
              <w:bottom w:val="single" w:sz="8" w:space="0" w:color="FFFFFF"/>
              <w:right w:val="single" w:sz="8" w:space="0" w:color="FFFFFF"/>
            </w:tcBorders>
            <w:shd w:val="clear" w:color="000000" w:fill="17365D"/>
            <w:noWrap/>
            <w:hideMark/>
          </w:tcPr>
          <w:p w14:paraId="6F0DFEF1" w14:textId="77777777" w:rsidR="00B86FB3" w:rsidRPr="00FF756A" w:rsidRDefault="00B86FB3" w:rsidP="00B86FB3">
            <w:pPr>
              <w:jc w:val="right"/>
              <w:rPr>
                <w:rFonts w:eastAsia="Times New Roman"/>
                <w:color w:val="FFFFFF"/>
                <w:sz w:val="16"/>
                <w:szCs w:val="16"/>
              </w:rPr>
            </w:pPr>
            <w:r w:rsidRPr="00FF756A">
              <w:rPr>
                <w:sz w:val="16"/>
                <w:szCs w:val="16"/>
              </w:rPr>
              <w:t xml:space="preserve"> 10 561,8 </w:t>
            </w:r>
          </w:p>
        </w:tc>
        <w:tc>
          <w:tcPr>
            <w:tcW w:w="819" w:type="dxa"/>
            <w:tcBorders>
              <w:top w:val="nil"/>
              <w:left w:val="nil"/>
              <w:bottom w:val="single" w:sz="8" w:space="0" w:color="FFFFFF"/>
              <w:right w:val="single" w:sz="8" w:space="0" w:color="FFFFFF"/>
            </w:tcBorders>
            <w:shd w:val="clear" w:color="000000" w:fill="17365D"/>
            <w:noWrap/>
            <w:hideMark/>
          </w:tcPr>
          <w:p w14:paraId="06FA4436" w14:textId="77777777" w:rsidR="00B86FB3" w:rsidRPr="00FF756A" w:rsidRDefault="00B86FB3" w:rsidP="00B86FB3">
            <w:pPr>
              <w:jc w:val="right"/>
              <w:rPr>
                <w:rFonts w:eastAsia="Times New Roman"/>
                <w:color w:val="FFFFFF"/>
                <w:sz w:val="16"/>
                <w:szCs w:val="16"/>
              </w:rPr>
            </w:pPr>
            <w:r w:rsidRPr="00FF756A">
              <w:rPr>
                <w:sz w:val="16"/>
                <w:szCs w:val="16"/>
              </w:rPr>
              <w:t xml:space="preserve"> 10 955,6 </w:t>
            </w:r>
          </w:p>
        </w:tc>
        <w:tc>
          <w:tcPr>
            <w:tcW w:w="819" w:type="dxa"/>
            <w:tcBorders>
              <w:top w:val="nil"/>
              <w:left w:val="nil"/>
              <w:bottom w:val="single" w:sz="8" w:space="0" w:color="FFFFFF"/>
              <w:right w:val="single" w:sz="8" w:space="0" w:color="FFFFFF"/>
            </w:tcBorders>
            <w:shd w:val="clear" w:color="000000" w:fill="17365D"/>
            <w:noWrap/>
            <w:hideMark/>
          </w:tcPr>
          <w:p w14:paraId="4A178B62" w14:textId="77777777" w:rsidR="00B86FB3" w:rsidRPr="00FF756A" w:rsidRDefault="00B86FB3" w:rsidP="00B86FB3">
            <w:pPr>
              <w:jc w:val="right"/>
              <w:rPr>
                <w:rFonts w:eastAsia="Times New Roman"/>
                <w:color w:val="FFFFFF"/>
                <w:sz w:val="16"/>
                <w:szCs w:val="16"/>
              </w:rPr>
            </w:pPr>
            <w:r w:rsidRPr="00FF756A">
              <w:rPr>
                <w:sz w:val="16"/>
                <w:szCs w:val="16"/>
              </w:rPr>
              <w:t xml:space="preserve"> 11 010,7 </w:t>
            </w:r>
          </w:p>
        </w:tc>
        <w:tc>
          <w:tcPr>
            <w:tcW w:w="819" w:type="dxa"/>
            <w:tcBorders>
              <w:top w:val="nil"/>
              <w:left w:val="nil"/>
              <w:bottom w:val="single" w:sz="8" w:space="0" w:color="FFFFFF"/>
              <w:right w:val="single" w:sz="8" w:space="0" w:color="FFFFFF"/>
            </w:tcBorders>
            <w:shd w:val="clear" w:color="000000" w:fill="17365D"/>
            <w:noWrap/>
            <w:hideMark/>
          </w:tcPr>
          <w:p w14:paraId="044AF82F" w14:textId="77777777" w:rsidR="00B86FB3" w:rsidRPr="00FF756A" w:rsidRDefault="00B86FB3" w:rsidP="00B86FB3">
            <w:pPr>
              <w:jc w:val="right"/>
              <w:rPr>
                <w:rFonts w:eastAsia="Times New Roman"/>
                <w:color w:val="FFFFFF"/>
                <w:sz w:val="16"/>
                <w:szCs w:val="16"/>
              </w:rPr>
            </w:pPr>
            <w:r w:rsidRPr="00FF756A">
              <w:rPr>
                <w:sz w:val="16"/>
                <w:szCs w:val="16"/>
              </w:rPr>
              <w:t xml:space="preserve"> 11 085,6 </w:t>
            </w:r>
          </w:p>
        </w:tc>
        <w:tc>
          <w:tcPr>
            <w:tcW w:w="819" w:type="dxa"/>
            <w:tcBorders>
              <w:top w:val="nil"/>
              <w:left w:val="nil"/>
              <w:bottom w:val="single" w:sz="8" w:space="0" w:color="FFFFFF"/>
              <w:right w:val="single" w:sz="8" w:space="0" w:color="FFFFFF"/>
            </w:tcBorders>
            <w:shd w:val="clear" w:color="000000" w:fill="17365D"/>
            <w:noWrap/>
            <w:hideMark/>
          </w:tcPr>
          <w:p w14:paraId="4B1FE4C9" w14:textId="77777777" w:rsidR="00B86FB3" w:rsidRPr="00FF756A" w:rsidRDefault="00B86FB3" w:rsidP="00B86FB3">
            <w:pPr>
              <w:jc w:val="right"/>
              <w:rPr>
                <w:rFonts w:eastAsia="Times New Roman"/>
                <w:color w:val="FFFFFF"/>
                <w:sz w:val="16"/>
                <w:szCs w:val="16"/>
              </w:rPr>
            </w:pPr>
            <w:r w:rsidRPr="00FF756A">
              <w:rPr>
                <w:sz w:val="16"/>
                <w:szCs w:val="16"/>
              </w:rPr>
              <w:t xml:space="preserve"> 11 289,2 </w:t>
            </w:r>
          </w:p>
        </w:tc>
        <w:tc>
          <w:tcPr>
            <w:tcW w:w="819" w:type="dxa"/>
            <w:tcBorders>
              <w:top w:val="nil"/>
              <w:left w:val="nil"/>
              <w:bottom w:val="single" w:sz="8" w:space="0" w:color="FFFFFF"/>
              <w:right w:val="single" w:sz="8" w:space="0" w:color="FFFFFF"/>
            </w:tcBorders>
            <w:shd w:val="clear" w:color="000000" w:fill="17365D"/>
            <w:noWrap/>
            <w:hideMark/>
          </w:tcPr>
          <w:p w14:paraId="2198D853" w14:textId="77777777" w:rsidR="00B86FB3" w:rsidRPr="00FF756A" w:rsidRDefault="00B86FB3" w:rsidP="00B86FB3">
            <w:pPr>
              <w:jc w:val="right"/>
              <w:rPr>
                <w:rFonts w:eastAsia="Times New Roman"/>
                <w:color w:val="FFFFFF"/>
                <w:sz w:val="16"/>
                <w:szCs w:val="16"/>
              </w:rPr>
            </w:pPr>
            <w:r w:rsidRPr="00FF756A">
              <w:rPr>
                <w:sz w:val="16"/>
                <w:szCs w:val="16"/>
              </w:rPr>
              <w:t xml:space="preserve"> 11 719,8 </w:t>
            </w:r>
          </w:p>
        </w:tc>
        <w:tc>
          <w:tcPr>
            <w:tcW w:w="825" w:type="dxa"/>
            <w:tcBorders>
              <w:top w:val="nil"/>
              <w:left w:val="nil"/>
              <w:bottom w:val="single" w:sz="8" w:space="0" w:color="FFFFFF"/>
              <w:right w:val="single" w:sz="8" w:space="0" w:color="FFFFFF"/>
            </w:tcBorders>
            <w:shd w:val="clear" w:color="000000" w:fill="17365D"/>
            <w:noWrap/>
            <w:hideMark/>
          </w:tcPr>
          <w:p w14:paraId="7FAFB1CE" w14:textId="77777777" w:rsidR="00B86FB3" w:rsidRPr="00FF756A" w:rsidRDefault="00B86FB3" w:rsidP="00B86FB3">
            <w:pPr>
              <w:jc w:val="right"/>
              <w:rPr>
                <w:rFonts w:eastAsia="Times New Roman"/>
                <w:color w:val="FFFFFF"/>
                <w:sz w:val="16"/>
                <w:szCs w:val="16"/>
              </w:rPr>
            </w:pPr>
            <w:r w:rsidRPr="00FF756A">
              <w:rPr>
                <w:sz w:val="16"/>
                <w:szCs w:val="16"/>
              </w:rPr>
              <w:t xml:space="preserve"> 13 091,1 </w:t>
            </w:r>
          </w:p>
        </w:tc>
        <w:tc>
          <w:tcPr>
            <w:tcW w:w="814" w:type="dxa"/>
            <w:gridSpan w:val="2"/>
            <w:tcBorders>
              <w:top w:val="nil"/>
              <w:left w:val="nil"/>
              <w:bottom w:val="single" w:sz="8" w:space="0" w:color="FFFFFF"/>
              <w:right w:val="single" w:sz="8" w:space="0" w:color="FFFFFF"/>
            </w:tcBorders>
            <w:shd w:val="clear" w:color="000000" w:fill="17365D"/>
          </w:tcPr>
          <w:p w14:paraId="12451AE2" w14:textId="77777777" w:rsidR="00B86FB3" w:rsidRPr="00FF756A" w:rsidRDefault="00B86FB3" w:rsidP="00B86FB3">
            <w:pPr>
              <w:jc w:val="right"/>
              <w:rPr>
                <w:rFonts w:eastAsia="Times New Roman"/>
                <w:color w:val="FFFFFF"/>
                <w:sz w:val="16"/>
                <w:szCs w:val="16"/>
              </w:rPr>
            </w:pPr>
            <w:r w:rsidRPr="00FF756A">
              <w:rPr>
                <w:sz w:val="16"/>
                <w:szCs w:val="16"/>
              </w:rPr>
              <w:t xml:space="preserve"> 14 914,1 </w:t>
            </w:r>
          </w:p>
        </w:tc>
      </w:tr>
      <w:tr w:rsidR="00B86FB3" w:rsidRPr="00FF756A" w14:paraId="5E4E05AE" w14:textId="77777777" w:rsidTr="006A3266">
        <w:trPr>
          <w:trHeight w:val="313"/>
        </w:trPr>
        <w:tc>
          <w:tcPr>
            <w:tcW w:w="3251" w:type="dxa"/>
            <w:tcBorders>
              <w:top w:val="nil"/>
              <w:left w:val="single" w:sz="8" w:space="0" w:color="FFFFFF"/>
              <w:bottom w:val="single" w:sz="8" w:space="0" w:color="FFFFFF"/>
              <w:right w:val="single" w:sz="8" w:space="0" w:color="FFFFFF"/>
            </w:tcBorders>
            <w:shd w:val="clear" w:color="000000" w:fill="4F81BD"/>
            <w:noWrap/>
            <w:vAlign w:val="center"/>
            <w:hideMark/>
          </w:tcPr>
          <w:p w14:paraId="28268982" w14:textId="77777777" w:rsidR="00B86FB3" w:rsidRPr="00FF756A" w:rsidRDefault="00B86FB3" w:rsidP="00B86FB3">
            <w:pPr>
              <w:rPr>
                <w:rFonts w:eastAsia="Times New Roman"/>
                <w:b/>
                <w:bCs/>
                <w:color w:val="FFFFFF"/>
                <w:sz w:val="16"/>
                <w:szCs w:val="16"/>
              </w:rPr>
            </w:pPr>
            <w:r w:rsidRPr="00FF756A">
              <w:rPr>
                <w:b/>
                <w:bCs/>
                <w:color w:val="FFFFFF" w:themeColor="background1"/>
                <w:sz w:val="16"/>
              </w:rPr>
              <w:t>Reduktimi i WEM krahasuar me 2020 [%]</w:t>
            </w:r>
          </w:p>
        </w:tc>
        <w:tc>
          <w:tcPr>
            <w:tcW w:w="814" w:type="dxa"/>
            <w:tcBorders>
              <w:top w:val="nil"/>
              <w:left w:val="nil"/>
              <w:bottom w:val="single" w:sz="8" w:space="0" w:color="FFFFFF"/>
              <w:right w:val="single" w:sz="8" w:space="0" w:color="FFFFFF"/>
            </w:tcBorders>
            <w:shd w:val="clear" w:color="000000" w:fill="DBE5F1"/>
            <w:noWrap/>
            <w:hideMark/>
          </w:tcPr>
          <w:p w14:paraId="6975FD24" w14:textId="77777777" w:rsidR="00B86FB3" w:rsidRPr="00FF756A" w:rsidRDefault="00B86FB3" w:rsidP="00B86FB3">
            <w:pPr>
              <w:jc w:val="right"/>
              <w:rPr>
                <w:rFonts w:eastAsia="Times New Roman"/>
                <w:color w:val="000000"/>
                <w:sz w:val="16"/>
                <w:szCs w:val="16"/>
              </w:rPr>
            </w:pPr>
          </w:p>
        </w:tc>
        <w:tc>
          <w:tcPr>
            <w:tcW w:w="819" w:type="dxa"/>
            <w:tcBorders>
              <w:top w:val="nil"/>
              <w:left w:val="nil"/>
              <w:bottom w:val="single" w:sz="8" w:space="0" w:color="FFFFFF"/>
              <w:right w:val="single" w:sz="8" w:space="0" w:color="FFFFFF"/>
            </w:tcBorders>
            <w:shd w:val="clear" w:color="000000" w:fill="DBE5F1"/>
            <w:noWrap/>
            <w:hideMark/>
          </w:tcPr>
          <w:p w14:paraId="6E7D5027" w14:textId="77777777" w:rsidR="00B86FB3" w:rsidRPr="00FF756A" w:rsidRDefault="00B86FB3" w:rsidP="00B86FB3">
            <w:pPr>
              <w:jc w:val="right"/>
              <w:rPr>
                <w:rFonts w:eastAsia="Times New Roman"/>
                <w:color w:val="000000"/>
                <w:sz w:val="16"/>
                <w:szCs w:val="16"/>
              </w:rPr>
            </w:pPr>
            <w:r w:rsidRPr="00FF756A">
              <w:rPr>
                <w:sz w:val="16"/>
                <w:szCs w:val="16"/>
              </w:rPr>
              <w:t>3,7%</w:t>
            </w:r>
          </w:p>
        </w:tc>
        <w:tc>
          <w:tcPr>
            <w:tcW w:w="819" w:type="dxa"/>
            <w:tcBorders>
              <w:top w:val="nil"/>
              <w:left w:val="nil"/>
              <w:bottom w:val="single" w:sz="8" w:space="0" w:color="FFFFFF"/>
              <w:right w:val="single" w:sz="8" w:space="0" w:color="FFFFFF"/>
            </w:tcBorders>
            <w:shd w:val="clear" w:color="000000" w:fill="DBE5F1"/>
            <w:noWrap/>
            <w:hideMark/>
          </w:tcPr>
          <w:p w14:paraId="5878CE98" w14:textId="77777777" w:rsidR="00B86FB3" w:rsidRPr="00FF756A" w:rsidRDefault="00B86FB3" w:rsidP="00B86FB3">
            <w:pPr>
              <w:jc w:val="right"/>
              <w:rPr>
                <w:rFonts w:eastAsia="Times New Roman"/>
                <w:color w:val="000000"/>
                <w:sz w:val="16"/>
                <w:szCs w:val="16"/>
              </w:rPr>
            </w:pPr>
            <w:r w:rsidRPr="00FF756A">
              <w:rPr>
                <w:sz w:val="16"/>
                <w:szCs w:val="16"/>
              </w:rPr>
              <w:t>4,3%</w:t>
            </w:r>
          </w:p>
        </w:tc>
        <w:tc>
          <w:tcPr>
            <w:tcW w:w="819" w:type="dxa"/>
            <w:tcBorders>
              <w:top w:val="nil"/>
              <w:left w:val="nil"/>
              <w:bottom w:val="single" w:sz="8" w:space="0" w:color="FFFFFF"/>
              <w:right w:val="single" w:sz="8" w:space="0" w:color="FFFFFF"/>
            </w:tcBorders>
            <w:shd w:val="clear" w:color="000000" w:fill="DBE5F1"/>
            <w:noWrap/>
            <w:hideMark/>
          </w:tcPr>
          <w:p w14:paraId="2D9A82BF" w14:textId="77777777" w:rsidR="00B86FB3" w:rsidRPr="00FF756A" w:rsidRDefault="00B86FB3" w:rsidP="00B86FB3">
            <w:pPr>
              <w:jc w:val="right"/>
              <w:rPr>
                <w:rFonts w:eastAsia="Times New Roman"/>
                <w:color w:val="000000"/>
                <w:sz w:val="16"/>
                <w:szCs w:val="16"/>
              </w:rPr>
            </w:pPr>
            <w:r w:rsidRPr="00FF756A">
              <w:rPr>
                <w:sz w:val="16"/>
                <w:szCs w:val="16"/>
              </w:rPr>
              <w:t>5,0%</w:t>
            </w:r>
          </w:p>
        </w:tc>
        <w:tc>
          <w:tcPr>
            <w:tcW w:w="819" w:type="dxa"/>
            <w:tcBorders>
              <w:top w:val="nil"/>
              <w:left w:val="nil"/>
              <w:bottom w:val="single" w:sz="8" w:space="0" w:color="FFFFFF"/>
              <w:right w:val="single" w:sz="8" w:space="0" w:color="FFFFFF"/>
            </w:tcBorders>
            <w:shd w:val="clear" w:color="000000" w:fill="DBE5F1"/>
            <w:noWrap/>
            <w:hideMark/>
          </w:tcPr>
          <w:p w14:paraId="1B96B7F3" w14:textId="77777777" w:rsidR="00B86FB3" w:rsidRPr="00FF756A" w:rsidRDefault="00B86FB3" w:rsidP="00B86FB3">
            <w:pPr>
              <w:jc w:val="right"/>
              <w:rPr>
                <w:rFonts w:eastAsia="Times New Roman"/>
                <w:color w:val="000000"/>
                <w:sz w:val="16"/>
                <w:szCs w:val="16"/>
              </w:rPr>
            </w:pPr>
            <w:r w:rsidRPr="00FF756A">
              <w:rPr>
                <w:sz w:val="16"/>
                <w:szCs w:val="16"/>
              </w:rPr>
              <w:t>6,9%</w:t>
            </w:r>
          </w:p>
        </w:tc>
        <w:tc>
          <w:tcPr>
            <w:tcW w:w="819" w:type="dxa"/>
            <w:tcBorders>
              <w:top w:val="nil"/>
              <w:left w:val="nil"/>
              <w:bottom w:val="single" w:sz="8" w:space="0" w:color="FFFFFF"/>
              <w:right w:val="single" w:sz="8" w:space="0" w:color="FFFFFF"/>
            </w:tcBorders>
            <w:shd w:val="clear" w:color="000000" w:fill="DBE5F1"/>
            <w:noWrap/>
            <w:hideMark/>
          </w:tcPr>
          <w:p w14:paraId="001BA199" w14:textId="77777777" w:rsidR="00B86FB3" w:rsidRPr="00FF756A" w:rsidRDefault="00B86FB3" w:rsidP="00B86FB3">
            <w:pPr>
              <w:jc w:val="right"/>
              <w:rPr>
                <w:rFonts w:eastAsia="Times New Roman"/>
                <w:color w:val="000000"/>
                <w:sz w:val="16"/>
                <w:szCs w:val="16"/>
              </w:rPr>
            </w:pPr>
            <w:r w:rsidRPr="00FF756A">
              <w:rPr>
                <w:sz w:val="16"/>
                <w:szCs w:val="16"/>
              </w:rPr>
              <w:t>11,0%</w:t>
            </w:r>
          </w:p>
        </w:tc>
        <w:tc>
          <w:tcPr>
            <w:tcW w:w="825" w:type="dxa"/>
            <w:tcBorders>
              <w:top w:val="nil"/>
              <w:left w:val="nil"/>
              <w:bottom w:val="single" w:sz="8" w:space="0" w:color="FFFFFF"/>
              <w:right w:val="single" w:sz="8" w:space="0" w:color="FFFFFF"/>
            </w:tcBorders>
            <w:shd w:val="clear" w:color="000000" w:fill="DBE5F1"/>
            <w:noWrap/>
            <w:hideMark/>
          </w:tcPr>
          <w:p w14:paraId="3F132686" w14:textId="77777777" w:rsidR="00B86FB3" w:rsidRPr="00FF756A" w:rsidRDefault="00B86FB3" w:rsidP="00B86FB3">
            <w:pPr>
              <w:jc w:val="right"/>
              <w:rPr>
                <w:rFonts w:eastAsia="Times New Roman"/>
                <w:color w:val="000000"/>
                <w:sz w:val="16"/>
                <w:szCs w:val="16"/>
              </w:rPr>
            </w:pPr>
            <w:r w:rsidRPr="00FF756A">
              <w:rPr>
                <w:sz w:val="16"/>
                <w:szCs w:val="16"/>
              </w:rPr>
              <w:t>23,9%</w:t>
            </w:r>
          </w:p>
        </w:tc>
        <w:tc>
          <w:tcPr>
            <w:tcW w:w="814" w:type="dxa"/>
            <w:gridSpan w:val="2"/>
            <w:tcBorders>
              <w:top w:val="nil"/>
              <w:left w:val="nil"/>
              <w:bottom w:val="single" w:sz="8" w:space="0" w:color="FFFFFF"/>
              <w:right w:val="single" w:sz="8" w:space="0" w:color="FFFFFF"/>
            </w:tcBorders>
            <w:shd w:val="clear" w:color="000000" w:fill="DBE5F1"/>
          </w:tcPr>
          <w:p w14:paraId="5CB9C882" w14:textId="77777777" w:rsidR="00B86FB3" w:rsidRPr="00FF756A" w:rsidRDefault="00B86FB3" w:rsidP="00B86FB3">
            <w:pPr>
              <w:jc w:val="right"/>
              <w:rPr>
                <w:rFonts w:eastAsia="Times New Roman"/>
                <w:color w:val="000000"/>
                <w:sz w:val="16"/>
                <w:szCs w:val="16"/>
              </w:rPr>
            </w:pPr>
            <w:r w:rsidRPr="00FF756A">
              <w:rPr>
                <w:sz w:val="16"/>
                <w:szCs w:val="16"/>
              </w:rPr>
              <w:t>41,2%</w:t>
            </w:r>
          </w:p>
        </w:tc>
      </w:tr>
      <w:tr w:rsidR="00B86FB3" w:rsidRPr="00FF756A" w14:paraId="27CCBB55" w14:textId="77777777" w:rsidTr="006A3266">
        <w:trPr>
          <w:trHeight w:val="313"/>
        </w:trPr>
        <w:tc>
          <w:tcPr>
            <w:tcW w:w="3251" w:type="dxa"/>
            <w:tcBorders>
              <w:top w:val="nil"/>
              <w:left w:val="single" w:sz="8" w:space="0" w:color="FFFFFF"/>
              <w:bottom w:val="single" w:sz="8" w:space="0" w:color="FFFFFF"/>
              <w:right w:val="single" w:sz="8" w:space="0" w:color="FFFFFF"/>
            </w:tcBorders>
            <w:shd w:val="clear" w:color="000000" w:fill="17365D"/>
            <w:noWrap/>
            <w:vAlign w:val="center"/>
            <w:hideMark/>
          </w:tcPr>
          <w:p w14:paraId="723CD7F9" w14:textId="77777777" w:rsidR="00B86FB3" w:rsidRPr="00FF756A" w:rsidRDefault="00B86FB3" w:rsidP="00B86FB3">
            <w:pPr>
              <w:rPr>
                <w:rFonts w:eastAsia="Times New Roman"/>
                <w:b/>
                <w:bCs/>
                <w:color w:val="FFFFFF"/>
                <w:sz w:val="16"/>
                <w:szCs w:val="16"/>
              </w:rPr>
            </w:pPr>
            <w:bookmarkStart w:id="674" w:name="_Hlk180428032"/>
            <w:r w:rsidRPr="00FF756A">
              <w:rPr>
                <w:b/>
                <w:bCs/>
                <w:color w:val="FFFFFF" w:themeColor="background1"/>
                <w:sz w:val="16"/>
                <w:szCs w:val="16"/>
              </w:rPr>
              <w:t>Reduktimi relativ (WAM minus WEM)</w:t>
            </w:r>
          </w:p>
        </w:tc>
        <w:tc>
          <w:tcPr>
            <w:tcW w:w="814" w:type="dxa"/>
            <w:tcBorders>
              <w:top w:val="nil"/>
              <w:left w:val="nil"/>
              <w:bottom w:val="single" w:sz="8" w:space="0" w:color="FFFFFF"/>
              <w:right w:val="single" w:sz="8" w:space="0" w:color="FFFFFF"/>
            </w:tcBorders>
            <w:shd w:val="clear" w:color="000000" w:fill="17365D"/>
            <w:noWrap/>
            <w:vAlign w:val="center"/>
            <w:hideMark/>
          </w:tcPr>
          <w:p w14:paraId="23365DA6" w14:textId="77777777" w:rsidR="00B86FB3" w:rsidRPr="00FF756A" w:rsidRDefault="00B86FB3" w:rsidP="00B86FB3">
            <w:pPr>
              <w:jc w:val="right"/>
              <w:rPr>
                <w:rFonts w:eastAsia="Times New Roman"/>
                <w:color w:val="FFFFFF"/>
                <w:sz w:val="16"/>
                <w:szCs w:val="16"/>
              </w:rPr>
            </w:pPr>
            <w:r w:rsidRPr="00FF756A">
              <w:rPr>
                <w:color w:val="FFFFFF"/>
                <w:sz w:val="16"/>
                <w:szCs w:val="16"/>
              </w:rPr>
              <w:t> </w:t>
            </w:r>
          </w:p>
        </w:tc>
        <w:tc>
          <w:tcPr>
            <w:tcW w:w="819" w:type="dxa"/>
            <w:tcBorders>
              <w:top w:val="nil"/>
              <w:left w:val="nil"/>
              <w:bottom w:val="single" w:sz="8" w:space="0" w:color="FFFFFF"/>
              <w:right w:val="single" w:sz="8" w:space="0" w:color="FFFFFF"/>
            </w:tcBorders>
            <w:shd w:val="clear" w:color="000000" w:fill="17365D"/>
            <w:noWrap/>
            <w:hideMark/>
          </w:tcPr>
          <w:p w14:paraId="77B37C3F" w14:textId="77777777" w:rsidR="00B86FB3" w:rsidRPr="00FF756A" w:rsidRDefault="00B86FB3" w:rsidP="00B86FB3">
            <w:pPr>
              <w:jc w:val="right"/>
              <w:rPr>
                <w:rFonts w:eastAsia="Times New Roman"/>
                <w:color w:val="FFFFFF"/>
                <w:sz w:val="16"/>
                <w:szCs w:val="16"/>
              </w:rPr>
            </w:pPr>
            <w:r w:rsidRPr="00FF756A">
              <w:rPr>
                <w:sz w:val="16"/>
                <w:szCs w:val="16"/>
              </w:rPr>
              <w:t>0,0%</w:t>
            </w:r>
          </w:p>
        </w:tc>
        <w:tc>
          <w:tcPr>
            <w:tcW w:w="819" w:type="dxa"/>
            <w:tcBorders>
              <w:top w:val="nil"/>
              <w:left w:val="nil"/>
              <w:bottom w:val="single" w:sz="8" w:space="0" w:color="FFFFFF"/>
              <w:right w:val="single" w:sz="8" w:space="0" w:color="FFFFFF"/>
            </w:tcBorders>
            <w:shd w:val="clear" w:color="000000" w:fill="17365D"/>
            <w:noWrap/>
            <w:hideMark/>
          </w:tcPr>
          <w:p w14:paraId="3BB28003" w14:textId="77777777" w:rsidR="00B86FB3" w:rsidRPr="00FF756A" w:rsidRDefault="00B86FB3" w:rsidP="00B86FB3">
            <w:pPr>
              <w:jc w:val="right"/>
              <w:rPr>
                <w:rFonts w:eastAsia="Times New Roman"/>
                <w:color w:val="FFFFFF"/>
                <w:sz w:val="16"/>
                <w:szCs w:val="16"/>
              </w:rPr>
            </w:pPr>
            <w:r w:rsidRPr="00FF756A">
              <w:rPr>
                <w:sz w:val="16"/>
                <w:szCs w:val="16"/>
              </w:rPr>
              <w:t>0,0%</w:t>
            </w:r>
          </w:p>
        </w:tc>
        <w:tc>
          <w:tcPr>
            <w:tcW w:w="819" w:type="dxa"/>
            <w:tcBorders>
              <w:top w:val="nil"/>
              <w:left w:val="nil"/>
              <w:bottom w:val="single" w:sz="8" w:space="0" w:color="FFFFFF"/>
              <w:right w:val="single" w:sz="8" w:space="0" w:color="FFFFFF"/>
            </w:tcBorders>
            <w:shd w:val="clear" w:color="000000" w:fill="17365D"/>
            <w:noWrap/>
            <w:hideMark/>
          </w:tcPr>
          <w:p w14:paraId="49E5C822" w14:textId="77777777" w:rsidR="00B86FB3" w:rsidRPr="00FF756A" w:rsidRDefault="00B86FB3" w:rsidP="00B86FB3">
            <w:pPr>
              <w:jc w:val="right"/>
              <w:rPr>
                <w:rFonts w:eastAsia="Times New Roman"/>
                <w:color w:val="FFFFFF"/>
                <w:sz w:val="16"/>
                <w:szCs w:val="16"/>
              </w:rPr>
            </w:pPr>
            <w:r w:rsidRPr="00FF756A">
              <w:rPr>
                <w:sz w:val="16"/>
                <w:szCs w:val="16"/>
              </w:rPr>
              <w:t>-1,6%</w:t>
            </w:r>
          </w:p>
        </w:tc>
        <w:tc>
          <w:tcPr>
            <w:tcW w:w="819" w:type="dxa"/>
            <w:tcBorders>
              <w:top w:val="nil"/>
              <w:left w:val="nil"/>
              <w:bottom w:val="single" w:sz="8" w:space="0" w:color="FFFFFF"/>
              <w:right w:val="single" w:sz="8" w:space="0" w:color="FFFFFF"/>
            </w:tcBorders>
            <w:shd w:val="clear" w:color="000000" w:fill="17365D"/>
            <w:noWrap/>
            <w:hideMark/>
          </w:tcPr>
          <w:p w14:paraId="0F3BA06A" w14:textId="77777777" w:rsidR="00B86FB3" w:rsidRPr="00FF756A" w:rsidRDefault="00B86FB3" w:rsidP="00B86FB3">
            <w:pPr>
              <w:jc w:val="right"/>
              <w:rPr>
                <w:rFonts w:eastAsia="Times New Roman"/>
                <w:color w:val="FFFFFF"/>
                <w:sz w:val="16"/>
                <w:szCs w:val="16"/>
              </w:rPr>
            </w:pPr>
            <w:r w:rsidRPr="00FF756A">
              <w:rPr>
                <w:sz w:val="16"/>
                <w:szCs w:val="16"/>
              </w:rPr>
              <w:t>-3,2%</w:t>
            </w:r>
          </w:p>
        </w:tc>
        <w:tc>
          <w:tcPr>
            <w:tcW w:w="819" w:type="dxa"/>
            <w:tcBorders>
              <w:top w:val="nil"/>
              <w:left w:val="nil"/>
              <w:bottom w:val="single" w:sz="8" w:space="0" w:color="FFFFFF"/>
              <w:right w:val="single" w:sz="8" w:space="0" w:color="FFFFFF"/>
            </w:tcBorders>
            <w:shd w:val="clear" w:color="000000" w:fill="17365D"/>
            <w:noWrap/>
            <w:hideMark/>
          </w:tcPr>
          <w:p w14:paraId="7D85B0BC" w14:textId="77777777" w:rsidR="00B86FB3" w:rsidRPr="00FF756A" w:rsidRDefault="00B86FB3" w:rsidP="00B86FB3">
            <w:pPr>
              <w:jc w:val="right"/>
              <w:rPr>
                <w:rFonts w:eastAsia="Times New Roman"/>
                <w:color w:val="FFFFFF"/>
                <w:sz w:val="16"/>
                <w:szCs w:val="16"/>
              </w:rPr>
            </w:pPr>
            <w:bookmarkStart w:id="675" w:name="_Hlk180428102"/>
            <w:r w:rsidRPr="00FF756A">
              <w:rPr>
                <w:sz w:val="16"/>
                <w:szCs w:val="16"/>
              </w:rPr>
              <w:t>-8,2%</w:t>
            </w:r>
            <w:bookmarkEnd w:id="675"/>
          </w:p>
        </w:tc>
        <w:tc>
          <w:tcPr>
            <w:tcW w:w="825" w:type="dxa"/>
            <w:tcBorders>
              <w:top w:val="nil"/>
              <w:left w:val="nil"/>
              <w:bottom w:val="single" w:sz="8" w:space="0" w:color="FFFFFF"/>
              <w:right w:val="single" w:sz="8" w:space="0" w:color="FFFFFF"/>
            </w:tcBorders>
            <w:shd w:val="clear" w:color="000000" w:fill="17365D"/>
            <w:noWrap/>
            <w:hideMark/>
          </w:tcPr>
          <w:p w14:paraId="0CDA1F46" w14:textId="77777777" w:rsidR="00B86FB3" w:rsidRPr="00FF756A" w:rsidRDefault="00B86FB3" w:rsidP="00B86FB3">
            <w:pPr>
              <w:jc w:val="right"/>
              <w:rPr>
                <w:rFonts w:eastAsia="Times New Roman"/>
                <w:color w:val="FFFFFF"/>
                <w:sz w:val="16"/>
                <w:szCs w:val="16"/>
              </w:rPr>
            </w:pPr>
            <w:r w:rsidRPr="00FF756A">
              <w:rPr>
                <w:sz w:val="16"/>
                <w:szCs w:val="16"/>
              </w:rPr>
              <w:t>-46,5%</w:t>
            </w:r>
          </w:p>
        </w:tc>
        <w:tc>
          <w:tcPr>
            <w:tcW w:w="814" w:type="dxa"/>
            <w:gridSpan w:val="2"/>
            <w:tcBorders>
              <w:top w:val="nil"/>
              <w:left w:val="nil"/>
              <w:bottom w:val="single" w:sz="8" w:space="0" w:color="FFFFFF"/>
              <w:right w:val="single" w:sz="8" w:space="0" w:color="FFFFFF"/>
            </w:tcBorders>
            <w:shd w:val="clear" w:color="000000" w:fill="17365D"/>
          </w:tcPr>
          <w:p w14:paraId="26EE8763" w14:textId="77777777" w:rsidR="00B86FB3" w:rsidRPr="00FF756A" w:rsidRDefault="00B86FB3" w:rsidP="003F200D">
            <w:pPr>
              <w:keepNext/>
              <w:jc w:val="right"/>
              <w:rPr>
                <w:rFonts w:eastAsia="Times New Roman"/>
                <w:color w:val="FFFFFF"/>
                <w:sz w:val="16"/>
                <w:szCs w:val="16"/>
              </w:rPr>
            </w:pPr>
            <w:r w:rsidRPr="00FF756A">
              <w:rPr>
                <w:sz w:val="16"/>
                <w:szCs w:val="16"/>
              </w:rPr>
              <w:t>-91,1%</w:t>
            </w:r>
          </w:p>
        </w:tc>
      </w:tr>
    </w:tbl>
    <w:p w14:paraId="251C33DA" w14:textId="6258BC2A" w:rsidR="00B86FB3" w:rsidRPr="00FF756A" w:rsidRDefault="003F200D" w:rsidP="003F200D">
      <w:pPr>
        <w:pStyle w:val="Caption"/>
        <w:rPr>
          <w:rFonts w:ascii="Times New Roman" w:hAnsi="Times New Roman"/>
        </w:rPr>
      </w:pPr>
      <w:bookmarkStart w:id="676" w:name="_Toc183016514"/>
      <w:bookmarkEnd w:id="673"/>
      <w:bookmarkEnd w:id="674"/>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50</w:t>
      </w:r>
      <w:r w:rsidR="008E7DE9" w:rsidRPr="00FF756A">
        <w:rPr>
          <w:rFonts w:ascii="Times New Roman" w:hAnsi="Times New Roman"/>
          <w:noProof/>
        </w:rPr>
        <w:fldChar w:fldCharType="end"/>
      </w:r>
      <w:r w:rsidRPr="00FF756A">
        <w:rPr>
          <w:rFonts w:ascii="Times New Roman" w:hAnsi="Times New Roman"/>
        </w:rPr>
        <w:t>: Shkarkimet e GES-ve (kt CO2eq) për ekonominë në tërësi në skenarët WEM dhe WAM.</w:t>
      </w:r>
      <w:bookmarkEnd w:id="676"/>
    </w:p>
    <w:p w14:paraId="62C2C069" w14:textId="77777777" w:rsidR="003F200D" w:rsidRPr="00FF756A" w:rsidRDefault="00B86FB3" w:rsidP="003F200D">
      <w:pPr>
        <w:keepNext/>
      </w:pPr>
      <w:r w:rsidRPr="00FF756A">
        <w:rPr>
          <w:noProof/>
          <w:lang w:val="en-US"/>
        </w:rPr>
        <w:drawing>
          <wp:inline distT="0" distB="0" distL="0" distR="0" wp14:anchorId="4969E3B3" wp14:editId="544E3575">
            <wp:extent cx="5760720" cy="3456305"/>
            <wp:effectExtent l="0" t="0" r="0" b="0"/>
            <wp:docPr id="2147130511" name="Picture 14"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130511" name="Picture 14" descr="A graph of a graph&#10;&#10;Description automatically generated with medium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45FE030B" w14:textId="51B4EBDA" w:rsidR="00B86FB3" w:rsidRPr="00FF756A" w:rsidRDefault="003F200D" w:rsidP="003F200D">
      <w:pPr>
        <w:pStyle w:val="Caption"/>
        <w:rPr>
          <w:rFonts w:ascii="Times New Roman" w:hAnsi="Times New Roman"/>
        </w:rPr>
      </w:pPr>
      <w:bookmarkStart w:id="677" w:name="_Toc183016603"/>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73</w:t>
      </w:r>
      <w:r w:rsidR="008E7DE9" w:rsidRPr="00FF756A">
        <w:rPr>
          <w:rFonts w:ascii="Times New Roman" w:hAnsi="Times New Roman"/>
          <w:noProof/>
        </w:rPr>
        <w:fldChar w:fldCharType="end"/>
      </w:r>
      <w:r w:rsidRPr="00FF756A">
        <w:rPr>
          <w:rFonts w:ascii="Times New Roman" w:hAnsi="Times New Roman"/>
        </w:rPr>
        <w:t>: Shkarkimet e GES-ve (kt CO2eq) për ekonominë në tërësi për periudhën kohore 2016-2023 dhe sipas parashikimit për periudhën 2024-2050</w:t>
      </w:r>
      <w:bookmarkEnd w:id="677"/>
    </w:p>
    <w:p w14:paraId="5AB69A4A" w14:textId="77777777" w:rsidR="003F200D" w:rsidRPr="00FF756A" w:rsidRDefault="00B86FB3" w:rsidP="003F200D">
      <w:pPr>
        <w:keepNext/>
      </w:pPr>
      <w:r w:rsidRPr="00FF756A">
        <w:rPr>
          <w:noProof/>
          <w:lang w:val="en-US"/>
        </w:rPr>
        <w:drawing>
          <wp:inline distT="0" distB="0" distL="0" distR="0" wp14:anchorId="0AABA3E2" wp14:editId="75BACE45">
            <wp:extent cx="5760720" cy="3456305"/>
            <wp:effectExtent l="0" t="0" r="0" b="0"/>
            <wp:docPr id="738175373" name="Picture 15"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175373" name="Picture 15" descr="A graph of a graph&#10;&#10;Description automatically generated with medium confidenc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4FE4020F" w14:textId="7E25FA2B" w:rsidR="00B86FB3" w:rsidRPr="00FF756A" w:rsidRDefault="003F200D" w:rsidP="003F200D">
      <w:pPr>
        <w:pStyle w:val="Caption"/>
        <w:rPr>
          <w:rFonts w:ascii="Times New Roman" w:hAnsi="Times New Roman"/>
        </w:rPr>
      </w:pPr>
      <w:bookmarkStart w:id="678" w:name="_Toc183016604"/>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74</w:t>
      </w:r>
      <w:r w:rsidR="008E7DE9" w:rsidRPr="00FF756A">
        <w:rPr>
          <w:rFonts w:ascii="Times New Roman" w:hAnsi="Times New Roman"/>
          <w:noProof/>
        </w:rPr>
        <w:fldChar w:fldCharType="end"/>
      </w:r>
      <w:r w:rsidRPr="00FF756A">
        <w:rPr>
          <w:rFonts w:ascii="Times New Roman" w:hAnsi="Times New Roman"/>
        </w:rPr>
        <w:t>: Shkarkimet e GES-ve (kt CO2eq) për ekonominë në tërësi për periudhën kohore 2016-2023 dhe sipas parashikimit për vitet 2024-2050, skenarët WAM dhe WEM</w:t>
      </w:r>
      <w:bookmarkEnd w:id="678"/>
    </w:p>
    <w:p w14:paraId="3DCECCC4" w14:textId="77777777" w:rsidR="00B86FB3" w:rsidRPr="00FF756A" w:rsidRDefault="00B86FB3" w:rsidP="00B86FB3">
      <w:pPr>
        <w:keepNext/>
        <w:rPr>
          <w:rFonts w:eastAsia="Times New Roman"/>
          <w:b/>
          <w:bCs/>
          <w:color w:val="4F81BD"/>
          <w:sz w:val="18"/>
          <w:szCs w:val="18"/>
          <w:lang w:eastAsia="ja-JP"/>
        </w:rPr>
      </w:pPr>
    </w:p>
    <w:p w14:paraId="3129F7CC" w14:textId="77777777" w:rsidR="003F200D" w:rsidRPr="00FF756A" w:rsidRDefault="003F200D" w:rsidP="00B86FB3">
      <w:pPr>
        <w:keepNext/>
      </w:pPr>
    </w:p>
    <w:p w14:paraId="14DF5F22" w14:textId="77777777" w:rsidR="003F200D" w:rsidRPr="00FF756A" w:rsidRDefault="00B86FB3" w:rsidP="003F200D">
      <w:pPr>
        <w:keepNext/>
      </w:pPr>
      <w:r w:rsidRPr="00FF756A">
        <w:rPr>
          <w:noProof/>
          <w:lang w:val="en-US"/>
        </w:rPr>
        <w:drawing>
          <wp:inline distT="0" distB="0" distL="0" distR="0" wp14:anchorId="1A881D9C" wp14:editId="5765BE8A">
            <wp:extent cx="5760720" cy="3456305"/>
            <wp:effectExtent l="0" t="0" r="0" b="0"/>
            <wp:docPr id="761400912" name="Picture 16"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400912" name="Picture 16" descr="A graph of a graph&#10;&#10;Description automatically generated with medium confidenc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419258A4" w14:textId="783814D0" w:rsidR="00B86FB3" w:rsidRPr="00FF756A" w:rsidRDefault="003F200D" w:rsidP="003F200D">
      <w:pPr>
        <w:pStyle w:val="Caption"/>
        <w:rPr>
          <w:rFonts w:ascii="Times New Roman" w:hAnsi="Times New Roman"/>
        </w:rPr>
      </w:pPr>
      <w:bookmarkStart w:id="679" w:name="_Toc183016605"/>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75</w:t>
      </w:r>
      <w:r w:rsidR="008E7DE9" w:rsidRPr="00FF756A">
        <w:rPr>
          <w:rFonts w:ascii="Times New Roman" w:hAnsi="Times New Roman"/>
          <w:noProof/>
        </w:rPr>
        <w:fldChar w:fldCharType="end"/>
      </w:r>
      <w:r w:rsidRPr="00FF756A">
        <w:rPr>
          <w:rFonts w:ascii="Times New Roman" w:hAnsi="Times New Roman"/>
        </w:rPr>
        <w:t>: Shkarkimet e GES-ve (kt CO2eq) për ekonominë në tërësi për periudhën kohore 2016-2023 dhe siç është projektuar për periudhën 2024-2050 (WAM). Dallimet midis WAM dhe WEM, të ndara në nënkategori</w:t>
      </w:r>
      <w:bookmarkEnd w:id="679"/>
    </w:p>
    <w:p w14:paraId="31EB4C43" w14:textId="77777777" w:rsidR="00B86FB3" w:rsidRPr="00FF756A" w:rsidRDefault="00B86FB3" w:rsidP="00B86FB3"/>
    <w:p w14:paraId="2AD9868D" w14:textId="77777777" w:rsidR="00B86FB3" w:rsidRPr="00FF756A" w:rsidRDefault="00B86FB3" w:rsidP="00B86FB3">
      <w:r w:rsidRPr="00FF756A">
        <w:t>Figurat e mëposhtme shpjegojnë me detaje shkarkimet e drejtpërdrejta të GES-ve nga sektorët me kërkesë për energji. Këto janë shkarkimet e drejtpërdrejta nga përdorimi i energjisë. Shkarkimet nga proceset dhe shkarkimet për shkak të transformimit të energjisë raportohen veçmas. Dy burimet kryesore të shkarkimeve të drejtpërdrejta janë sektori i transportit dhe sektori industrial, të cilët nuk do të dekarbonizohen plotësisht deri në vitin 2050.</w:t>
      </w:r>
    </w:p>
    <w:p w14:paraId="760B8B63" w14:textId="77777777" w:rsidR="00B86FB3" w:rsidRPr="00FF756A" w:rsidRDefault="00B86FB3" w:rsidP="00B86FB3"/>
    <w:p w14:paraId="33EF4FB3" w14:textId="77777777" w:rsidR="00B86FB3" w:rsidRPr="00FF756A" w:rsidRDefault="00B86FB3" w:rsidP="00B86FB3">
      <w:r w:rsidRPr="00FF756A">
        <w:t>Në sektorin e banesave (</w:t>
      </w:r>
      <w:r w:rsidRPr="00FF756A">
        <w:fldChar w:fldCharType="begin"/>
      </w:r>
      <w:r w:rsidRPr="00FF756A">
        <w:instrText xml:space="preserve"> REF _Ref75509493 \h  \* MERGEFORMAT </w:instrText>
      </w:r>
      <w:r w:rsidRPr="00FF756A">
        <w:fldChar w:fldCharType="separate"/>
      </w:r>
      <w:r w:rsidRPr="00FF756A">
        <w:t>Figura 62</w:t>
      </w:r>
      <w:r w:rsidRPr="00FF756A">
        <w:fldChar w:fldCharType="end"/>
      </w:r>
      <w:r w:rsidRPr="00FF756A">
        <w:t>), ndryshimi i sistemeve të ngrohjes dhe gatimit drejt një niveli më të lartë elektrifikimi (pompat e nxehtësisë dhe elektrifikimi i drejtpërdrejtë), së bashku me ndryshimet në kërkesë për shkak të rinovimit dhe rikonstruktimit, kanë çuar në reduktimin e shkarkimeve të drejtpërdrejta. Megjithatë, sektori i shërbimeve (</w:t>
      </w:r>
      <w:r w:rsidRPr="00FF756A">
        <w:fldChar w:fldCharType="begin"/>
      </w:r>
      <w:r w:rsidRPr="00FF756A">
        <w:instrText xml:space="preserve"> REF _Ref75509722 \h  \* MERGEFORMAT </w:instrText>
      </w:r>
      <w:r w:rsidRPr="00FF756A">
        <w:fldChar w:fldCharType="separate"/>
      </w:r>
      <w:r w:rsidRPr="00FF756A">
        <w:t>Figura 63</w:t>
      </w:r>
      <w:r w:rsidRPr="00FF756A">
        <w:fldChar w:fldCharType="end"/>
      </w:r>
      <w:r w:rsidRPr="00FF756A">
        <w:t>) parashikon një rritje të shkarkimeve si pasojë e rritjes së përgjithshme të veprimtarisë në këtë sektor. Shkarkimet në industri (</w:t>
      </w:r>
      <w:r w:rsidRPr="00FF756A">
        <w:fldChar w:fldCharType="begin"/>
      </w:r>
      <w:r w:rsidRPr="00FF756A">
        <w:instrText xml:space="preserve"> REF _Ref75509904 \h  \* MERGEFORMAT </w:instrText>
      </w:r>
      <w:r w:rsidRPr="00FF756A">
        <w:fldChar w:fldCharType="separate"/>
      </w:r>
      <w:r w:rsidRPr="00FF756A">
        <w:t>Figura 64</w:t>
      </w:r>
      <w:r w:rsidRPr="00FF756A">
        <w:fldChar w:fldCharType="end"/>
      </w:r>
      <w:r w:rsidRPr="00FF756A">
        <w:t>) janë më të ulëta se sa në WEM, për shkak të shtimit të elektrifikimit, zëvendësimit të lëndës djegëse dhe rritjes së efiçencës së energjisë. Shkarkimet nga sektori i transportit (</w:t>
      </w:r>
      <w:r w:rsidRPr="00FF756A">
        <w:fldChar w:fldCharType="begin"/>
      </w:r>
      <w:r w:rsidRPr="00FF756A">
        <w:instrText xml:space="preserve"> REF _Ref75510001 \h  \* MERGEFORMAT </w:instrText>
      </w:r>
      <w:r w:rsidRPr="00FF756A">
        <w:fldChar w:fldCharType="separate"/>
      </w:r>
      <w:r w:rsidRPr="00FF756A">
        <w:t>Figura 65</w:t>
      </w:r>
      <w:r w:rsidRPr="00FF756A">
        <w:fldChar w:fldCharType="end"/>
      </w:r>
      <w:r w:rsidRPr="00FF756A">
        <w:t xml:space="preserve">) janë të qëndrueshme deri në vitin 2030 dhe më pas reduktohen gradualisht si pasojë e rritjes së elektrifikimit, përdorimit të hidrogjenit dhe nxitjes së transportit publik për udhëtarët dhe mallrat. </w:t>
      </w:r>
    </w:p>
    <w:p w14:paraId="700147FE" w14:textId="77777777" w:rsidR="003F200D" w:rsidRPr="00FF756A" w:rsidRDefault="00B86FB3" w:rsidP="003F200D">
      <w:pPr>
        <w:keepNext/>
      </w:pPr>
      <w:r w:rsidRPr="00FF756A">
        <w:rPr>
          <w:noProof/>
          <w:lang w:val="en-US"/>
        </w:rPr>
        <w:drawing>
          <wp:inline distT="0" distB="0" distL="0" distR="0" wp14:anchorId="4C3055A4" wp14:editId="75525F7F">
            <wp:extent cx="5760720" cy="3456305"/>
            <wp:effectExtent l="0" t="0" r="0" b="0"/>
            <wp:docPr id="551828051" name="Picture 17"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828051" name="Picture 17" descr="A graph of a graph&#10;&#10;Description automatically generated with medium confidenc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7ED14DE1" w14:textId="54179FD9" w:rsidR="00B86FB3" w:rsidRPr="00FF756A" w:rsidRDefault="003F200D" w:rsidP="003F200D">
      <w:pPr>
        <w:pStyle w:val="Caption"/>
        <w:rPr>
          <w:rFonts w:ascii="Times New Roman" w:hAnsi="Times New Roman"/>
        </w:rPr>
      </w:pPr>
      <w:bookmarkStart w:id="680" w:name="_Toc183016606"/>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76</w:t>
      </w:r>
      <w:r w:rsidR="008E7DE9" w:rsidRPr="00FF756A">
        <w:rPr>
          <w:rFonts w:ascii="Times New Roman" w:hAnsi="Times New Roman"/>
          <w:noProof/>
        </w:rPr>
        <w:fldChar w:fldCharType="end"/>
      </w:r>
      <w:r w:rsidRPr="00FF756A">
        <w:rPr>
          <w:rFonts w:ascii="Times New Roman" w:hAnsi="Times New Roman"/>
        </w:rPr>
        <w:t>: Shkarkimet e drejtpërdrejta të GES-ve (kt CO2eq) për sektorët me kërkesë për energji për periudhën kohore 2016-2023 dhe sipas parashikimit për periudhën 2024-2050 me masa shtesë</w:t>
      </w:r>
      <w:bookmarkEnd w:id="680"/>
    </w:p>
    <w:p w14:paraId="769E7291" w14:textId="77777777" w:rsidR="00B86FB3" w:rsidRPr="00FF756A" w:rsidRDefault="00B86FB3" w:rsidP="00B86FB3">
      <w:pPr>
        <w:rPr>
          <w:rFonts w:eastAsia="Times New Roman"/>
          <w:b/>
          <w:bCs/>
          <w:color w:val="4F81BD"/>
          <w:sz w:val="18"/>
          <w:szCs w:val="18"/>
          <w:lang w:eastAsia="ja-JP"/>
        </w:rPr>
      </w:pPr>
    </w:p>
    <w:p w14:paraId="0699A580" w14:textId="77777777" w:rsidR="003F200D" w:rsidRPr="00FF756A" w:rsidRDefault="003F200D" w:rsidP="00B86FB3"/>
    <w:p w14:paraId="27309DF6" w14:textId="77777777" w:rsidR="003F200D" w:rsidRPr="00FF756A" w:rsidRDefault="00B86FB3" w:rsidP="003F200D">
      <w:pPr>
        <w:keepNext/>
      </w:pPr>
      <w:r w:rsidRPr="00FF756A">
        <w:rPr>
          <w:noProof/>
          <w:lang w:val="en-US"/>
        </w:rPr>
        <w:drawing>
          <wp:inline distT="0" distB="0" distL="0" distR="0" wp14:anchorId="7426930E" wp14:editId="06E46D1C">
            <wp:extent cx="5760720" cy="3456305"/>
            <wp:effectExtent l="0" t="0" r="0" b="0"/>
            <wp:docPr id="740758525" name="Picture 18" descr="A graph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758525" name="Picture 18" descr="A graph with lines and numbers&#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379E1A04" w14:textId="54B3191A" w:rsidR="00B86FB3" w:rsidRPr="00FF756A" w:rsidRDefault="003F200D" w:rsidP="003F200D">
      <w:pPr>
        <w:pStyle w:val="Caption"/>
        <w:rPr>
          <w:rFonts w:ascii="Times New Roman" w:hAnsi="Times New Roman"/>
        </w:rPr>
      </w:pPr>
      <w:bookmarkStart w:id="681" w:name="_Toc183016607"/>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77</w:t>
      </w:r>
      <w:r w:rsidR="008E7DE9" w:rsidRPr="00FF756A">
        <w:rPr>
          <w:rFonts w:ascii="Times New Roman" w:hAnsi="Times New Roman"/>
          <w:noProof/>
        </w:rPr>
        <w:fldChar w:fldCharType="end"/>
      </w:r>
      <w:r w:rsidRPr="00FF756A">
        <w:rPr>
          <w:rFonts w:ascii="Times New Roman" w:hAnsi="Times New Roman"/>
        </w:rPr>
        <w:t>: Shkarkimet e GES-ve (kt CO2eq) për sektorët me kërkesë për energji për periudhën kohore 2016-2023 dhe sipas parashikimit për periudhën 2024-2050 për WAM dhe WEM</w:t>
      </w:r>
      <w:bookmarkEnd w:id="681"/>
    </w:p>
    <w:p w14:paraId="01AE6D2A" w14:textId="77777777" w:rsidR="003F200D" w:rsidRPr="00FF756A" w:rsidRDefault="00B86FB3" w:rsidP="003F200D">
      <w:pPr>
        <w:keepNext/>
      </w:pPr>
      <w:r w:rsidRPr="00FF756A">
        <w:rPr>
          <w:noProof/>
          <w:lang w:val="en-US"/>
        </w:rPr>
        <w:drawing>
          <wp:inline distT="0" distB="0" distL="0" distR="0" wp14:anchorId="043A89BE" wp14:editId="754BA9B1">
            <wp:extent cx="5760720" cy="3456305"/>
            <wp:effectExtent l="0" t="0" r="0" b="0"/>
            <wp:docPr id="1226120704" name="Picture 19" descr="A graph of a graph showing the amount of the amount of the amount of the amount of the amount of the amount of the amount of the amount of the amount of the amount of the amount 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120704" name="Picture 19" descr="A graph of a graph showing the amount of the amount of the amount of the amount of the amount of the amount of the amount of the amount of the amount of the amount of the amount of&#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353C6421" w14:textId="0AC73B2B" w:rsidR="00B86FB3" w:rsidRPr="00FF756A" w:rsidRDefault="003F200D" w:rsidP="003F200D">
      <w:pPr>
        <w:pStyle w:val="Caption"/>
        <w:rPr>
          <w:rFonts w:ascii="Times New Roman" w:hAnsi="Times New Roman"/>
        </w:rPr>
      </w:pPr>
      <w:bookmarkStart w:id="682" w:name="_Toc183016608"/>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78</w:t>
      </w:r>
      <w:r w:rsidR="008E7DE9" w:rsidRPr="00FF756A">
        <w:rPr>
          <w:rFonts w:ascii="Times New Roman" w:hAnsi="Times New Roman"/>
          <w:noProof/>
        </w:rPr>
        <w:fldChar w:fldCharType="end"/>
      </w:r>
      <w:r w:rsidRPr="00FF756A">
        <w:rPr>
          <w:rFonts w:ascii="Times New Roman" w:hAnsi="Times New Roman"/>
        </w:rPr>
        <w:t>: Shkarkimet e GES-ve (kt CO2eq) për sektorët me kërkesë për energji për periudhën kohore 2016-2023 dhe sipas parashikimit për periudhën 2024-2050 (WAM). Dallimet midis WAM dhe WEM, të ndara në nënkategori</w:t>
      </w:r>
      <w:bookmarkEnd w:id="682"/>
    </w:p>
    <w:p w14:paraId="4EAA0433" w14:textId="77777777" w:rsidR="003F200D" w:rsidRPr="00FF756A" w:rsidRDefault="00B86FB3" w:rsidP="003F200D">
      <w:pPr>
        <w:keepNext/>
      </w:pPr>
      <w:r w:rsidRPr="00FF756A">
        <w:rPr>
          <w:noProof/>
          <w:lang w:val="en-US"/>
        </w:rPr>
        <w:drawing>
          <wp:inline distT="0" distB="0" distL="0" distR="0" wp14:anchorId="53D1C307" wp14:editId="72B9EB47">
            <wp:extent cx="5760720" cy="3456305"/>
            <wp:effectExtent l="0" t="0" r="0" b="0"/>
            <wp:docPr id="396618236" name="Picture 20"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18236" name="Picture 20" descr="A graph of a graph&#10;&#10;Description automatically generated with medium confidenc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1365954B" w14:textId="7B51894D" w:rsidR="00B86FB3" w:rsidRPr="00FF756A" w:rsidRDefault="003F200D" w:rsidP="003F200D">
      <w:pPr>
        <w:pStyle w:val="Caption"/>
        <w:rPr>
          <w:rFonts w:ascii="Times New Roman" w:hAnsi="Times New Roman"/>
        </w:rPr>
      </w:pPr>
      <w:bookmarkStart w:id="683" w:name="_Toc183016609"/>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79</w:t>
      </w:r>
      <w:r w:rsidR="008E7DE9" w:rsidRPr="00FF756A">
        <w:rPr>
          <w:rFonts w:ascii="Times New Roman" w:hAnsi="Times New Roman"/>
          <w:noProof/>
        </w:rPr>
        <w:fldChar w:fldCharType="end"/>
      </w:r>
      <w:r w:rsidRPr="00FF756A">
        <w:rPr>
          <w:rFonts w:ascii="Times New Roman" w:hAnsi="Times New Roman"/>
        </w:rPr>
        <w:t>: Shkarkimet e drejtpërdrejta të GES-ve (kt CO2eq) për sektorin e banesave për periudhën kohore 2016-2023 dhe sipas parashikimit për vitet 2024-2050</w:t>
      </w:r>
      <w:bookmarkEnd w:id="683"/>
    </w:p>
    <w:p w14:paraId="672C21A2" w14:textId="77777777" w:rsidR="00B86FB3" w:rsidRPr="00FF756A" w:rsidRDefault="00B86FB3" w:rsidP="00B86FB3"/>
    <w:p w14:paraId="7E6C2F80" w14:textId="77777777" w:rsidR="003F200D" w:rsidRPr="00FF756A" w:rsidRDefault="00B86FB3" w:rsidP="003F200D">
      <w:pPr>
        <w:keepNext/>
      </w:pPr>
      <w:r w:rsidRPr="00FF756A">
        <w:rPr>
          <w:noProof/>
          <w:lang w:val="en-US"/>
        </w:rPr>
        <w:drawing>
          <wp:inline distT="0" distB="0" distL="0" distR="0" wp14:anchorId="29C700D6" wp14:editId="5277CAD6">
            <wp:extent cx="5760720" cy="3456305"/>
            <wp:effectExtent l="0" t="0" r="0" b="0"/>
            <wp:docPr id="921359112" name="Picture 24"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359112" name="Picture 24" descr="A graph of different colored bars&#10;&#10;Description automatically generated"/>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23133153" w14:textId="23C6394C" w:rsidR="00B86FB3" w:rsidRPr="00FF756A" w:rsidRDefault="003F200D" w:rsidP="003F200D">
      <w:pPr>
        <w:pStyle w:val="Caption"/>
        <w:rPr>
          <w:rFonts w:ascii="Times New Roman" w:hAnsi="Times New Roman"/>
        </w:rPr>
      </w:pPr>
      <w:bookmarkStart w:id="684" w:name="_Toc183016610"/>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80</w:t>
      </w:r>
      <w:r w:rsidR="008E7DE9" w:rsidRPr="00FF756A">
        <w:rPr>
          <w:rFonts w:ascii="Times New Roman" w:hAnsi="Times New Roman"/>
          <w:noProof/>
        </w:rPr>
        <w:fldChar w:fldCharType="end"/>
      </w:r>
      <w:r w:rsidRPr="00FF756A">
        <w:rPr>
          <w:rFonts w:ascii="Times New Roman" w:hAnsi="Times New Roman"/>
        </w:rPr>
        <w:t>: Shkarkimet e drejtpërdrejta të GES-ve (kt CO2eq) për sektorin e shërbimeve për periudhën kohore 2016-2023 dhe sipas parashikimit për vitet 2024-2050</w:t>
      </w:r>
      <w:bookmarkEnd w:id="684"/>
    </w:p>
    <w:p w14:paraId="3257FF17" w14:textId="48BDADDC" w:rsidR="00B86FB3" w:rsidRPr="00FF756A" w:rsidRDefault="00B86FB3" w:rsidP="00B86FB3">
      <w:pPr>
        <w:spacing w:line="240" w:lineRule="auto"/>
        <w:rPr>
          <w:rFonts w:eastAsia="Times New Roman"/>
          <w:b/>
          <w:bCs/>
          <w:color w:val="4F81BD"/>
          <w:sz w:val="18"/>
          <w:szCs w:val="18"/>
          <w:lang w:eastAsia="ja-JP"/>
        </w:rPr>
      </w:pPr>
    </w:p>
    <w:p w14:paraId="74E1E933" w14:textId="77777777" w:rsidR="00B86FB3" w:rsidRPr="00FF756A" w:rsidRDefault="00B86FB3" w:rsidP="00B86FB3"/>
    <w:p w14:paraId="20C90016" w14:textId="77777777" w:rsidR="003F200D" w:rsidRPr="00FF756A" w:rsidRDefault="00B86FB3" w:rsidP="003F200D">
      <w:pPr>
        <w:keepNext/>
      </w:pPr>
      <w:r w:rsidRPr="00FF756A">
        <w:rPr>
          <w:noProof/>
          <w:lang w:val="en-US"/>
        </w:rPr>
        <w:drawing>
          <wp:inline distT="0" distB="0" distL="0" distR="0" wp14:anchorId="58AD5D51" wp14:editId="0DE1C3A5">
            <wp:extent cx="5760720" cy="3456305"/>
            <wp:effectExtent l="0" t="0" r="0" b="0"/>
            <wp:docPr id="1349717677" name="Picture 25"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717677" name="Picture 25" descr="A graph of different colored bars&#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19BC2D2F" w14:textId="409F4E3A" w:rsidR="00B86FB3" w:rsidRPr="00FF756A" w:rsidRDefault="003F200D" w:rsidP="003F200D">
      <w:pPr>
        <w:pStyle w:val="Caption"/>
        <w:rPr>
          <w:rFonts w:ascii="Times New Roman" w:hAnsi="Times New Roman"/>
        </w:rPr>
      </w:pPr>
      <w:bookmarkStart w:id="685" w:name="_Toc183016611"/>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81</w:t>
      </w:r>
      <w:r w:rsidR="008E7DE9" w:rsidRPr="00FF756A">
        <w:rPr>
          <w:rFonts w:ascii="Times New Roman" w:hAnsi="Times New Roman"/>
          <w:noProof/>
        </w:rPr>
        <w:fldChar w:fldCharType="end"/>
      </w:r>
      <w:r w:rsidRPr="00FF756A">
        <w:rPr>
          <w:rFonts w:ascii="Times New Roman" w:hAnsi="Times New Roman"/>
        </w:rPr>
        <w:t>: Shkarkimet e drejtpërdrejta të GES-ve (kt CO2eq) për industrinë (me kërkesë për energji) për periudhën kohore 2016-2023 dhe sipas parashikimit për vitet 2024-2050</w:t>
      </w:r>
      <w:bookmarkEnd w:id="685"/>
    </w:p>
    <w:p w14:paraId="17D8A719" w14:textId="77777777" w:rsidR="00B86FB3" w:rsidRPr="00FF756A" w:rsidRDefault="00B86FB3" w:rsidP="00B86FB3"/>
    <w:p w14:paraId="597B6D83" w14:textId="77777777" w:rsidR="003F200D" w:rsidRPr="00FF756A" w:rsidRDefault="00B86FB3" w:rsidP="003F200D">
      <w:pPr>
        <w:keepNext/>
      </w:pPr>
      <w:r w:rsidRPr="00FF756A">
        <w:rPr>
          <w:noProof/>
          <w:lang w:val="en-US"/>
        </w:rPr>
        <w:drawing>
          <wp:inline distT="0" distB="0" distL="0" distR="0" wp14:anchorId="291B54E7" wp14:editId="1894F218">
            <wp:extent cx="5760720" cy="3456305"/>
            <wp:effectExtent l="0" t="0" r="0" b="0"/>
            <wp:docPr id="894386756" name="Picture 26"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86756" name="Picture 26" descr="A graph of a graph&#10;&#10;Description automatically generated with medium confidenc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6D8F3AC7" w14:textId="49EF8A1F" w:rsidR="00B86FB3" w:rsidRPr="00FF756A" w:rsidRDefault="003F200D" w:rsidP="003F200D">
      <w:pPr>
        <w:pStyle w:val="Caption"/>
        <w:rPr>
          <w:rFonts w:ascii="Times New Roman" w:hAnsi="Times New Roman"/>
        </w:rPr>
      </w:pPr>
      <w:bookmarkStart w:id="686" w:name="_Toc183016612"/>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82</w:t>
      </w:r>
      <w:r w:rsidR="008E7DE9" w:rsidRPr="00FF756A">
        <w:rPr>
          <w:rFonts w:ascii="Times New Roman" w:hAnsi="Times New Roman"/>
          <w:noProof/>
        </w:rPr>
        <w:fldChar w:fldCharType="end"/>
      </w:r>
      <w:r w:rsidRPr="00FF756A">
        <w:rPr>
          <w:rFonts w:ascii="Times New Roman" w:hAnsi="Times New Roman"/>
        </w:rPr>
        <w:t>: Shkarkimet e drejtpërdrejta të GES-ve (kt CO2eq) për sektorin e transportit për periudhën kohore 2016-2023 dhe sipas parashikimit për vitet 2024-2050</w:t>
      </w:r>
      <w:bookmarkEnd w:id="686"/>
    </w:p>
    <w:p w14:paraId="5BFBA682" w14:textId="77777777" w:rsidR="00B86FB3" w:rsidRPr="00FF756A" w:rsidRDefault="00B86FB3" w:rsidP="00B86FB3">
      <w:pPr>
        <w:rPr>
          <w:lang w:eastAsia="ja-JP"/>
        </w:rPr>
      </w:pPr>
    </w:p>
    <w:p w14:paraId="602FB678" w14:textId="77777777" w:rsidR="00B86FB3" w:rsidRPr="00FF756A" w:rsidRDefault="00B86FB3" w:rsidP="00B86FB3">
      <w:r w:rsidRPr="00FF756A">
        <w:t>Figurat e mëposhtme tregojnë shkarkimet e drejtpërdrejta të GES-ve nga sektori i transformimit të energjisë. Kjo përfshin prodhimin e energjisë elektrike nga impiantet që punojnë me gaz, si dhe shkarkimet nga rafineritë. Rritja e ndjeshme e shkarkimeve nga prodhimi i energjisë elektrike në vitin 2027 dhe çdo pesë vite të mëpasshme mund të shpjegohet nga fakti se këto vite janë modeluar si vite me klimë të thatë dhe me prodhim të ulët hidroenergjetik. Centralet me gaz në Vlorë, Korçë dhe Roskovec plotësojnë mangësitë dhe gjenerojnë shkarkime. Shkarkimet reduktohen në raport me WEM (</w:t>
      </w:r>
      <w:r w:rsidRPr="00FF756A">
        <w:fldChar w:fldCharType="begin"/>
      </w:r>
      <w:r w:rsidRPr="00FF756A">
        <w:instrText xml:space="preserve"> REF _Ref75509149 \h  \* MERGEFORMAT </w:instrText>
      </w:r>
      <w:r w:rsidRPr="00FF756A">
        <w:fldChar w:fldCharType="separate"/>
      </w:r>
      <w:r w:rsidRPr="00FF756A">
        <w:t>Figura 67</w:t>
      </w:r>
      <w:r w:rsidRPr="00FF756A">
        <w:fldChar w:fldCharType="end"/>
      </w:r>
      <w:r w:rsidRPr="00FF756A">
        <w:t xml:space="preserve">, </w:t>
      </w:r>
      <w:r w:rsidRPr="00FF756A">
        <w:fldChar w:fldCharType="begin"/>
      </w:r>
      <w:r w:rsidRPr="00FF756A">
        <w:instrText xml:space="preserve"> REF _Ref75509162 \h  \* MERGEFORMAT </w:instrText>
      </w:r>
      <w:r w:rsidRPr="00FF756A">
        <w:fldChar w:fldCharType="separate"/>
      </w:r>
      <w:r w:rsidRPr="00FF756A">
        <w:t>Figura 68</w:t>
      </w:r>
      <w:r w:rsidRPr="00FF756A">
        <w:fldChar w:fldCharType="end"/>
      </w:r>
      <w:r w:rsidRPr="00FF756A">
        <w:t xml:space="preserve">), me vënien në punë të impianteve shtesë të energjisë së rinovueshme në skenarin WAM. </w:t>
      </w:r>
    </w:p>
    <w:p w14:paraId="1DB99153" w14:textId="77777777" w:rsidR="003F200D" w:rsidRPr="00FF756A" w:rsidRDefault="00B86FB3" w:rsidP="003F200D">
      <w:pPr>
        <w:keepNext/>
      </w:pPr>
      <w:r w:rsidRPr="00FF756A">
        <w:rPr>
          <w:noProof/>
          <w:lang w:val="en-US"/>
        </w:rPr>
        <w:drawing>
          <wp:inline distT="0" distB="0" distL="0" distR="0" wp14:anchorId="251843D5" wp14:editId="2EEF164D">
            <wp:extent cx="5760720" cy="3456305"/>
            <wp:effectExtent l="0" t="0" r="0" b="0"/>
            <wp:docPr id="1631569319" name="Picture 27" descr="A graph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569319" name="Picture 27" descr="A graph with numbers and lines&#10;&#10;Description automatically generated with medium confidenc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2178135B" w14:textId="1E78822E" w:rsidR="00B86FB3" w:rsidRPr="00FF756A" w:rsidRDefault="003F200D" w:rsidP="003F200D">
      <w:pPr>
        <w:pStyle w:val="Caption"/>
        <w:rPr>
          <w:rFonts w:ascii="Times New Roman" w:hAnsi="Times New Roman"/>
        </w:rPr>
      </w:pPr>
      <w:bookmarkStart w:id="687" w:name="_Toc183016613"/>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83</w:t>
      </w:r>
      <w:r w:rsidR="008E7DE9" w:rsidRPr="00FF756A">
        <w:rPr>
          <w:rFonts w:ascii="Times New Roman" w:hAnsi="Times New Roman"/>
          <w:noProof/>
        </w:rPr>
        <w:fldChar w:fldCharType="end"/>
      </w:r>
      <w:r w:rsidRPr="00FF756A">
        <w:rPr>
          <w:rFonts w:ascii="Times New Roman" w:hAnsi="Times New Roman"/>
        </w:rPr>
        <w:t>: Shkarkimet e drejtpërdrejta të GES-ve (kt CO2eq) për sektorin e transformimit të energjisë për periudhën kohore 2016-2023 dhe sipas parashikimit për vitet 2024-2050</w:t>
      </w:r>
      <w:bookmarkEnd w:id="687"/>
    </w:p>
    <w:p w14:paraId="32725964" w14:textId="77777777" w:rsidR="003F200D" w:rsidRPr="00FF756A" w:rsidRDefault="00B86FB3" w:rsidP="003F200D">
      <w:pPr>
        <w:keepNext/>
      </w:pPr>
      <w:r w:rsidRPr="00FF756A">
        <w:rPr>
          <w:noProof/>
          <w:lang w:val="en-US"/>
        </w:rPr>
        <w:drawing>
          <wp:inline distT="0" distB="0" distL="0" distR="0" wp14:anchorId="25374C3C" wp14:editId="55745F7B">
            <wp:extent cx="5760720" cy="3456305"/>
            <wp:effectExtent l="0" t="0" r="0" b="0"/>
            <wp:docPr id="1395451031" name="Picture 28" descr="A graph with line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451031" name="Picture 28" descr="A graph with lines and numbers&#10;&#10;Description automatically generated with medium confidenc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77B8D772" w14:textId="3A7FE1EE" w:rsidR="00B86FB3" w:rsidRPr="00FF756A" w:rsidRDefault="003F200D" w:rsidP="003F200D">
      <w:pPr>
        <w:pStyle w:val="Caption"/>
        <w:rPr>
          <w:rFonts w:ascii="Times New Roman" w:hAnsi="Times New Roman"/>
        </w:rPr>
      </w:pPr>
      <w:bookmarkStart w:id="688" w:name="_Toc183016614"/>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84</w:t>
      </w:r>
      <w:r w:rsidR="008E7DE9" w:rsidRPr="00FF756A">
        <w:rPr>
          <w:rFonts w:ascii="Times New Roman" w:hAnsi="Times New Roman"/>
          <w:noProof/>
        </w:rPr>
        <w:fldChar w:fldCharType="end"/>
      </w:r>
      <w:r w:rsidRPr="00FF756A">
        <w:rPr>
          <w:rFonts w:ascii="Times New Roman" w:hAnsi="Times New Roman"/>
        </w:rPr>
        <w:t>: Shkarkimet e GES-ve (kt CO2eq) për sektorin e transformimit të energjisë për periudhën kohore 2016-2023 dhe sipas parashikimit për periudhën 2024-2050 (WAM që merr në konsideratë kapacitetin e plotë të ER-së). Krahasimi i skenarit me skenarin “me masa</w:t>
      </w:r>
      <w:bookmarkEnd w:id="688"/>
    </w:p>
    <w:p w14:paraId="4B3A18A9" w14:textId="77777777" w:rsidR="00B86FB3" w:rsidRPr="00FF756A" w:rsidRDefault="00B86FB3" w:rsidP="00B86FB3"/>
    <w:p w14:paraId="0ED0ECA8" w14:textId="77777777" w:rsidR="00B86FB3" w:rsidRPr="00FF756A" w:rsidRDefault="00B86FB3" w:rsidP="00B86FB3"/>
    <w:p w14:paraId="1EFB30AA" w14:textId="77777777" w:rsidR="003F200D" w:rsidRPr="00FF756A" w:rsidRDefault="00B86FB3" w:rsidP="003F200D">
      <w:pPr>
        <w:keepNext/>
      </w:pPr>
      <w:r w:rsidRPr="00FF756A">
        <w:rPr>
          <w:noProof/>
          <w:lang w:val="en-US"/>
        </w:rPr>
        <w:drawing>
          <wp:inline distT="0" distB="0" distL="0" distR="0" wp14:anchorId="6C7FC8AC" wp14:editId="6183E5EC">
            <wp:extent cx="5760720" cy="3456305"/>
            <wp:effectExtent l="0" t="0" r="0" b="0"/>
            <wp:docPr id="254436891" name="Picture 29" descr="A graph with blue lines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436891" name="Picture 29" descr="A graph with blue lines and black text&#10;&#10;Description automatically generated"/>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001393AB" w14:textId="2F16C8E4" w:rsidR="00B86FB3" w:rsidRPr="00FF756A" w:rsidRDefault="003F200D" w:rsidP="003F200D">
      <w:pPr>
        <w:pStyle w:val="Caption"/>
        <w:rPr>
          <w:rFonts w:ascii="Times New Roman" w:hAnsi="Times New Roman"/>
        </w:rPr>
      </w:pPr>
      <w:bookmarkStart w:id="689" w:name="_Toc183016615"/>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85</w:t>
      </w:r>
      <w:r w:rsidR="008E7DE9" w:rsidRPr="00FF756A">
        <w:rPr>
          <w:rFonts w:ascii="Times New Roman" w:hAnsi="Times New Roman"/>
          <w:noProof/>
        </w:rPr>
        <w:fldChar w:fldCharType="end"/>
      </w:r>
      <w:r w:rsidRPr="00FF756A">
        <w:rPr>
          <w:rFonts w:ascii="Times New Roman" w:hAnsi="Times New Roman"/>
        </w:rPr>
        <w:t>: Shkarkimet e GES-ve (kt CO2eq) për sektorin e transformimit të energjisë për periudhën kohore 2016-2023 dhe sipas parashikimit për periudhën 2024-2050 (WAM). Dallimet midis WAM dhe WEM, të ndara në nënkategori</w:t>
      </w:r>
      <w:bookmarkEnd w:id="689"/>
    </w:p>
    <w:p w14:paraId="5A4F99D9" w14:textId="77777777" w:rsidR="00B86FB3" w:rsidRPr="00FF756A" w:rsidRDefault="00B86FB3" w:rsidP="00B86FB3"/>
    <w:p w14:paraId="3ACDEFDE" w14:textId="77777777" w:rsidR="00B86FB3" w:rsidRPr="00FF756A" w:rsidRDefault="00B86FB3" w:rsidP="00B86FB3">
      <w:r w:rsidRPr="00FF756A">
        <w:t xml:space="preserve">Figurat e mëposhtme paraqesin shkarkimet e GES-ve të lidhura me sektorët joenergjetikë. </w:t>
      </w:r>
      <w:r w:rsidRPr="00FF756A">
        <w:fldChar w:fldCharType="begin"/>
      </w:r>
      <w:r w:rsidRPr="00FF756A">
        <w:instrText xml:space="preserve"> REF _Ref75510107 \h  \* MERGEFORMAT </w:instrText>
      </w:r>
      <w:r w:rsidRPr="00FF756A">
        <w:fldChar w:fldCharType="separate"/>
      </w:r>
      <w:r w:rsidRPr="00FF756A">
        <w:t>Figura 69</w:t>
      </w:r>
      <w:r w:rsidRPr="00FF756A">
        <w:fldChar w:fldCharType="end"/>
      </w:r>
      <w:r w:rsidRPr="00FF756A">
        <w:t xml:space="preserve"> paraqet një përmbledhje të shkarkimeve nga PIPP-të, bujqësia, LULUCF-ja dhe mbetjet, të cilat shfaqen më të detajuara në figurat në vijim. Dallimi me WEM-in i atribuohet një ndryshimi në menaxhimin e LULUCF-së, shihni gjithashtu </w:t>
      </w:r>
      <w:r w:rsidRPr="00FF756A">
        <w:fldChar w:fldCharType="begin"/>
      </w:r>
      <w:r w:rsidRPr="00FF756A">
        <w:instrText xml:space="preserve"> REF _Ref75510254 \h  \* MERGEFORMAT </w:instrText>
      </w:r>
      <w:r w:rsidRPr="00FF756A">
        <w:fldChar w:fldCharType="separate"/>
      </w:r>
      <w:r w:rsidRPr="00FF756A">
        <w:t>Figura 74</w:t>
      </w:r>
      <w:r w:rsidRPr="00FF756A">
        <w:fldChar w:fldCharType="end"/>
      </w:r>
      <w:r w:rsidRPr="00FF756A">
        <w:t xml:space="preserve">. Teksa kapaciteti real i përthithjes së karbonit mbetet konstant, shkarkimet nga menaxhimi i pyjeve reduktohen përmes dy politikave ambicioze. Ndryshimi i dytë në shkarkimet e GES-ve vjen nga planet ambicioze të zbatuara për sektorin e çimentos. Shihni në veçanti </w:t>
      </w:r>
      <w:r w:rsidRPr="00FF756A">
        <w:fldChar w:fldCharType="begin"/>
      </w:r>
      <w:r w:rsidRPr="00FF756A">
        <w:instrText xml:space="preserve"> REF _Ref99726381 \h  \* MERGEFORMAT </w:instrText>
      </w:r>
      <w:r w:rsidRPr="00FF756A">
        <w:fldChar w:fldCharType="separate"/>
      </w:r>
      <w:r w:rsidRPr="00FF756A">
        <w:t>Figura 72</w:t>
      </w:r>
      <w:r w:rsidRPr="00FF756A">
        <w:fldChar w:fldCharType="end"/>
      </w:r>
      <w:r w:rsidRPr="00FF756A">
        <w:t xml:space="preserve">. Kjo supozohet se do të ndikojë te fabrikat e çimentos në vend përmes zbatimit të teknologjive të kapjes dhe përdorimit të karbonit (CCU), duke shmangur kështu 80% të shkarkimeve specifike (shkarkimet nga proceset dhe djegia) brenda vitit 2050. Nënkategoritë e tjera shfaqin një rënie të ulët krahasuar me shkarkimet në skenarin WEM, kryesisht si pasojë e uljes së shkarkimeve ne sektorin e bujqësisë përmes zbatimit të masave për reduktimin e shkarkimeve të metanit nga fermentimi enterik. Së fundmi, është miratuar një strategji ambicioze për mbetjet, cila është marrë në konsideratë në skenarin WEM. </w:t>
      </w:r>
    </w:p>
    <w:p w14:paraId="09C9A328" w14:textId="77777777" w:rsidR="0013201C" w:rsidRPr="00FF756A" w:rsidRDefault="00B86FB3" w:rsidP="0013201C">
      <w:pPr>
        <w:keepNext/>
      </w:pPr>
      <w:r w:rsidRPr="00FF756A">
        <w:rPr>
          <w:noProof/>
          <w:lang w:val="en-US"/>
        </w:rPr>
        <w:drawing>
          <wp:inline distT="0" distB="0" distL="0" distR="0" wp14:anchorId="77F38F3D" wp14:editId="55CAFD96">
            <wp:extent cx="5760720" cy="3456305"/>
            <wp:effectExtent l="0" t="0" r="0" b="0"/>
            <wp:docPr id="1823829830" name="Picture 30" descr="A graph of a number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829830" name="Picture 30" descr="A graph of a number of different colored bars&#10;&#10;Description automatically generated with medium confidenc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0977FDB4" w14:textId="30253E43" w:rsidR="00B86FB3" w:rsidRPr="00FF756A" w:rsidRDefault="0013201C" w:rsidP="0013201C">
      <w:pPr>
        <w:pStyle w:val="Caption"/>
        <w:rPr>
          <w:rFonts w:ascii="Times New Roman" w:hAnsi="Times New Roman"/>
        </w:rPr>
      </w:pPr>
      <w:bookmarkStart w:id="690" w:name="_Toc183016616"/>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86</w:t>
      </w:r>
      <w:r w:rsidR="008E7DE9" w:rsidRPr="00FF756A">
        <w:rPr>
          <w:rFonts w:ascii="Times New Roman" w:hAnsi="Times New Roman"/>
          <w:noProof/>
        </w:rPr>
        <w:fldChar w:fldCharType="end"/>
      </w:r>
      <w:r w:rsidRPr="00FF756A">
        <w:rPr>
          <w:rFonts w:ascii="Times New Roman" w:hAnsi="Times New Roman"/>
        </w:rPr>
        <w:t>: Shkarkimet e GES-ve nga sektorë joenergjetikë (kt CO2eq) për periudhën kohore 2016-2023 dhe sipas parashikimit për periudhën 2024-2050</w:t>
      </w:r>
      <w:bookmarkEnd w:id="690"/>
    </w:p>
    <w:p w14:paraId="2662DD33" w14:textId="77777777" w:rsidR="00B86FB3" w:rsidRPr="00FF756A" w:rsidRDefault="00B86FB3" w:rsidP="00B86FB3">
      <w:pPr>
        <w:keepNext/>
      </w:pPr>
    </w:p>
    <w:p w14:paraId="0E1AF4C9" w14:textId="77777777" w:rsidR="0013201C" w:rsidRPr="00FF756A" w:rsidRDefault="00B86FB3" w:rsidP="0013201C">
      <w:pPr>
        <w:keepNext/>
      </w:pPr>
      <w:r w:rsidRPr="00FF756A">
        <w:rPr>
          <w:noProof/>
          <w:lang w:val="en-US"/>
        </w:rPr>
        <w:drawing>
          <wp:inline distT="0" distB="0" distL="0" distR="0" wp14:anchorId="676F4905" wp14:editId="1C187490">
            <wp:extent cx="5760720" cy="3456305"/>
            <wp:effectExtent l="0" t="0" r="0" b="0"/>
            <wp:docPr id="1689118619" name="Picture 3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18619" name="Picture 31" descr="A graph with numbers and lines&#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39CCAC18" w14:textId="24D899F2" w:rsidR="00B86FB3" w:rsidRPr="00FF756A" w:rsidRDefault="0013201C" w:rsidP="0013201C">
      <w:pPr>
        <w:pStyle w:val="Caption"/>
        <w:rPr>
          <w:rFonts w:ascii="Times New Roman" w:hAnsi="Times New Roman"/>
        </w:rPr>
      </w:pPr>
      <w:bookmarkStart w:id="691" w:name="_Toc183016617"/>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87</w:t>
      </w:r>
      <w:r w:rsidR="008E7DE9" w:rsidRPr="00FF756A">
        <w:rPr>
          <w:rFonts w:ascii="Times New Roman" w:hAnsi="Times New Roman"/>
          <w:noProof/>
        </w:rPr>
        <w:fldChar w:fldCharType="end"/>
      </w:r>
      <w:r w:rsidRPr="00FF756A">
        <w:rPr>
          <w:rFonts w:ascii="Times New Roman" w:hAnsi="Times New Roman"/>
        </w:rPr>
        <w:t>: Shkarkimet e GES-ve nga sektorë joenergjetikë (kt CO2eq) për periudhën kohore 2016-2023 dhe sipas parashikimit për periudhën 2024-2050 për WAM dhe WEM</w:t>
      </w:r>
      <w:bookmarkEnd w:id="691"/>
    </w:p>
    <w:p w14:paraId="2FD0EB7A" w14:textId="77777777" w:rsidR="00B86FB3" w:rsidRPr="00FF756A" w:rsidRDefault="00B86FB3" w:rsidP="00B86FB3"/>
    <w:p w14:paraId="22350656" w14:textId="77777777" w:rsidR="0013201C" w:rsidRPr="00FF756A" w:rsidRDefault="00B86FB3" w:rsidP="0013201C">
      <w:pPr>
        <w:keepNext/>
      </w:pPr>
      <w:r w:rsidRPr="00FF756A">
        <w:rPr>
          <w:noProof/>
          <w:lang w:val="en-US"/>
        </w:rPr>
        <w:drawing>
          <wp:inline distT="0" distB="0" distL="0" distR="0" wp14:anchorId="4AC6FC8E" wp14:editId="713C8C61">
            <wp:extent cx="5760720" cy="3456305"/>
            <wp:effectExtent l="0" t="0" r="0" b="0"/>
            <wp:docPr id="1074725552" name="Picture 3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725552" name="Picture 32" descr="A graph of a graph&#10;&#10;Description automatically generated with medium confidenc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7CE686B3" w14:textId="156E6840" w:rsidR="00B86FB3" w:rsidRPr="00FF756A" w:rsidRDefault="0013201C" w:rsidP="0013201C">
      <w:pPr>
        <w:pStyle w:val="Caption"/>
        <w:rPr>
          <w:rFonts w:ascii="Times New Roman" w:hAnsi="Times New Roman"/>
        </w:rPr>
      </w:pPr>
      <w:bookmarkStart w:id="692" w:name="_Toc183016618"/>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88</w:t>
      </w:r>
      <w:r w:rsidR="008E7DE9" w:rsidRPr="00FF756A">
        <w:rPr>
          <w:rFonts w:ascii="Times New Roman" w:hAnsi="Times New Roman"/>
          <w:noProof/>
        </w:rPr>
        <w:fldChar w:fldCharType="end"/>
      </w:r>
      <w:r w:rsidRPr="00FF756A">
        <w:rPr>
          <w:rFonts w:ascii="Times New Roman" w:hAnsi="Times New Roman"/>
        </w:rPr>
        <w:t>: Shkarkimet e GES-ve nga sektorë joenergjetikë (kt CO2eq) për periudhën kohore 2016-2023 dhe sipas parashikimit për periudhën 2024-2050 (WAM). Dallimet midis skenarit WAM që merr në konsideratë kapacitetin e plotë të ER-së dhe skenarit WEM, të ndara në</w:t>
      </w:r>
      <w:bookmarkEnd w:id="692"/>
    </w:p>
    <w:p w14:paraId="1F1CD6FA" w14:textId="77777777" w:rsidR="00B86FB3" w:rsidRPr="00FF756A" w:rsidRDefault="00B86FB3" w:rsidP="00B86FB3">
      <w:pPr>
        <w:keepNext/>
      </w:pPr>
    </w:p>
    <w:p w14:paraId="30F6E730" w14:textId="77777777" w:rsidR="0013201C" w:rsidRPr="00FF756A" w:rsidRDefault="00B86FB3" w:rsidP="0013201C">
      <w:pPr>
        <w:keepNext/>
      </w:pPr>
      <w:r w:rsidRPr="00FF756A">
        <w:rPr>
          <w:noProof/>
          <w:lang w:val="en-US"/>
        </w:rPr>
        <w:drawing>
          <wp:inline distT="0" distB="0" distL="0" distR="0" wp14:anchorId="2AF5D1A8" wp14:editId="3378EE1A">
            <wp:extent cx="5760720" cy="3456305"/>
            <wp:effectExtent l="0" t="0" r="0" b="0"/>
            <wp:docPr id="2145159263" name="Picture 33"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159263" name="Picture 33" descr="A graph of a graph&#10;&#10;Description automatically generated with medium confidenc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306FF868" w14:textId="733500B2" w:rsidR="00B86FB3" w:rsidRPr="00FF756A" w:rsidRDefault="0013201C" w:rsidP="0013201C">
      <w:pPr>
        <w:pStyle w:val="Caption"/>
        <w:rPr>
          <w:rFonts w:ascii="Times New Roman" w:hAnsi="Times New Roman"/>
        </w:rPr>
      </w:pPr>
      <w:bookmarkStart w:id="693" w:name="_Toc183016619"/>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89</w:t>
      </w:r>
      <w:r w:rsidR="008E7DE9" w:rsidRPr="00FF756A">
        <w:rPr>
          <w:rFonts w:ascii="Times New Roman" w:hAnsi="Times New Roman"/>
          <w:noProof/>
        </w:rPr>
        <w:fldChar w:fldCharType="end"/>
      </w:r>
      <w:r w:rsidRPr="00FF756A">
        <w:rPr>
          <w:rFonts w:ascii="Times New Roman" w:hAnsi="Times New Roman"/>
        </w:rPr>
        <w:t>: Shkarkimet e GES-ve (kt CO2eq) nga proceset industriale dhe përdorimi i produkteve për periudhën kohore 2016-2023 dhe sipas parashikimit për vitet 2024-2050</w:t>
      </w:r>
      <w:bookmarkEnd w:id="693"/>
    </w:p>
    <w:p w14:paraId="6608FB09" w14:textId="77777777" w:rsidR="00B86FB3" w:rsidRPr="00FF756A" w:rsidRDefault="00B86FB3" w:rsidP="00B86FB3"/>
    <w:p w14:paraId="6A133356" w14:textId="77777777" w:rsidR="0013201C" w:rsidRPr="00FF756A" w:rsidRDefault="00B86FB3" w:rsidP="0013201C">
      <w:pPr>
        <w:keepNext/>
      </w:pPr>
      <w:r w:rsidRPr="00FF756A">
        <w:rPr>
          <w:noProof/>
          <w:lang w:val="en-US"/>
        </w:rPr>
        <w:drawing>
          <wp:inline distT="0" distB="0" distL="0" distR="0" wp14:anchorId="41532DA4" wp14:editId="3AE25DCC">
            <wp:extent cx="5760720" cy="3456305"/>
            <wp:effectExtent l="0" t="0" r="0" b="0"/>
            <wp:docPr id="1123765182" name="Picture 34" descr="A graph of a number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765182" name="Picture 34" descr="A graph of a number of different colored bars&#10;&#10;Description automatically generated with medium confidenc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019380AF" w14:textId="472734E6" w:rsidR="00B86FB3" w:rsidRPr="00FF756A" w:rsidRDefault="0013201C" w:rsidP="0013201C">
      <w:pPr>
        <w:pStyle w:val="Caption"/>
        <w:rPr>
          <w:rFonts w:ascii="Times New Roman" w:hAnsi="Times New Roman"/>
        </w:rPr>
      </w:pPr>
      <w:bookmarkStart w:id="694" w:name="_Toc183016620"/>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90</w:t>
      </w:r>
      <w:r w:rsidR="008E7DE9" w:rsidRPr="00FF756A">
        <w:rPr>
          <w:rFonts w:ascii="Times New Roman" w:hAnsi="Times New Roman"/>
          <w:noProof/>
        </w:rPr>
        <w:fldChar w:fldCharType="end"/>
      </w:r>
      <w:r w:rsidRPr="00FF756A">
        <w:rPr>
          <w:rFonts w:ascii="Times New Roman" w:hAnsi="Times New Roman"/>
        </w:rPr>
        <w:t>: Shkarkimet e GES-ve nga sektorë joenergjetikë (kt CO2eq) nga veprimtaritë bujqësore për periudhën kohore 2016-2023 dhe sipas parashikimit për periudhën 2024-2050</w:t>
      </w:r>
      <w:bookmarkEnd w:id="694"/>
    </w:p>
    <w:p w14:paraId="61180440" w14:textId="77777777" w:rsidR="00B86FB3" w:rsidRPr="00FF756A" w:rsidRDefault="00B86FB3" w:rsidP="00B86FB3"/>
    <w:p w14:paraId="37467075" w14:textId="77777777" w:rsidR="0013201C" w:rsidRPr="00FF756A" w:rsidRDefault="00B86FB3" w:rsidP="0013201C">
      <w:pPr>
        <w:keepNext/>
      </w:pPr>
      <w:r w:rsidRPr="00FF756A">
        <w:rPr>
          <w:noProof/>
          <w:lang w:val="en-US"/>
        </w:rPr>
        <w:drawing>
          <wp:inline distT="0" distB="0" distL="0" distR="0" wp14:anchorId="4CE91758" wp14:editId="25315959">
            <wp:extent cx="5760720" cy="3456305"/>
            <wp:effectExtent l="0" t="0" r="0" b="0"/>
            <wp:docPr id="53502693" name="Picture 35"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02693" name="Picture 35" descr="A graph of a graph&#10;&#10;Description automatically generated with medium confidenc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7167E460" w14:textId="002535E5" w:rsidR="00B86FB3" w:rsidRPr="00FF756A" w:rsidRDefault="0013201C" w:rsidP="0013201C">
      <w:pPr>
        <w:pStyle w:val="Caption"/>
        <w:rPr>
          <w:rFonts w:ascii="Times New Roman" w:hAnsi="Times New Roman"/>
        </w:rPr>
      </w:pPr>
      <w:bookmarkStart w:id="695" w:name="_Toc183016621"/>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91</w:t>
      </w:r>
      <w:r w:rsidR="008E7DE9" w:rsidRPr="00FF756A">
        <w:rPr>
          <w:rFonts w:ascii="Times New Roman" w:hAnsi="Times New Roman"/>
          <w:noProof/>
        </w:rPr>
        <w:fldChar w:fldCharType="end"/>
      </w:r>
      <w:r w:rsidRPr="00FF756A">
        <w:rPr>
          <w:rFonts w:ascii="Times New Roman" w:hAnsi="Times New Roman"/>
        </w:rPr>
        <w:t>: Shkarkimet e GES-ve (kt CO2eq) të sektorëve joenergjetikë nga përdorimi i tokës, ndryshimi i përdorimi të tokës dhe pyjet (LULUCF) për periudhën 2016-2023 dhe sipas projeksioneve për vitet 2024-2050</w:t>
      </w:r>
      <w:bookmarkEnd w:id="695"/>
    </w:p>
    <w:p w14:paraId="5C14092F" w14:textId="77777777" w:rsidR="00B86FB3" w:rsidRPr="00FF756A" w:rsidRDefault="00B86FB3" w:rsidP="00B86FB3"/>
    <w:p w14:paraId="1160B8F2" w14:textId="77777777" w:rsidR="0013201C" w:rsidRPr="00FF756A" w:rsidRDefault="00B86FB3" w:rsidP="0013201C">
      <w:pPr>
        <w:keepNext/>
      </w:pPr>
      <w:r w:rsidRPr="00FF756A">
        <w:rPr>
          <w:noProof/>
          <w:lang w:val="en-US"/>
        </w:rPr>
        <w:drawing>
          <wp:inline distT="0" distB="0" distL="0" distR="0" wp14:anchorId="713D5EA8" wp14:editId="5A653D21">
            <wp:extent cx="5760720" cy="3456305"/>
            <wp:effectExtent l="0" t="0" r="0" b="0"/>
            <wp:docPr id="1972305555" name="Picture 36"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305555" name="Picture 36" descr="A graph of a graph&#10;&#10;Description automatically generated with medium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07B13DEC" w14:textId="302A4F05" w:rsidR="00B86FB3" w:rsidRPr="00FF756A" w:rsidRDefault="0013201C" w:rsidP="0013201C">
      <w:pPr>
        <w:pStyle w:val="Caption"/>
        <w:rPr>
          <w:rFonts w:ascii="Times New Roman" w:hAnsi="Times New Roman"/>
        </w:rPr>
      </w:pPr>
      <w:bookmarkStart w:id="696" w:name="_Toc183016622"/>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92</w:t>
      </w:r>
      <w:r w:rsidR="008E7DE9" w:rsidRPr="00FF756A">
        <w:rPr>
          <w:rFonts w:ascii="Times New Roman" w:hAnsi="Times New Roman"/>
          <w:noProof/>
        </w:rPr>
        <w:fldChar w:fldCharType="end"/>
      </w:r>
      <w:r w:rsidRPr="00FF756A">
        <w:rPr>
          <w:rFonts w:ascii="Times New Roman" w:hAnsi="Times New Roman"/>
        </w:rPr>
        <w:t>: Shkarkimet e GES-ve (kt CO2eq) të sektorëve joenergjetikë nga sektori i mbetjeve për periudhën kohore 2016-2023 dhe sipas parashikimit për vitet 2024-2050</w:t>
      </w:r>
      <w:bookmarkEnd w:id="696"/>
    </w:p>
    <w:p w14:paraId="06E6A869" w14:textId="77777777" w:rsidR="00B86FB3" w:rsidRPr="00FF756A" w:rsidRDefault="00B86FB3" w:rsidP="00B86FB3">
      <w:pPr>
        <w:rPr>
          <w:highlight w:val="yellow"/>
        </w:rPr>
      </w:pPr>
    </w:p>
    <w:p w14:paraId="59D7834F" w14:textId="77777777" w:rsidR="00B86FB3" w:rsidRPr="00FF756A" w:rsidRDefault="00B86FB3" w:rsidP="00B86FB3">
      <w:r w:rsidRPr="00FF756A">
        <w:t>Tabela e mëposhtme paraqet shkarkimet e GES-ve (ktCO</w:t>
      </w:r>
      <w:r w:rsidRPr="00FF756A">
        <w:rPr>
          <w:vertAlign w:val="subscript"/>
        </w:rPr>
        <w:t>2</w:t>
      </w:r>
      <w:r w:rsidRPr="00FF756A">
        <w:t>eq, potenciali i ngrohjes globale për 100 vite) për degë të ndryshme të ekonomisë për skenarin me masa shtesë. Faktorët e konvertimit të shkarkimeve për substanca të ndryshme nga CO</w:t>
      </w:r>
      <w:r w:rsidRPr="00FF756A">
        <w:rPr>
          <w:vertAlign w:val="subscript"/>
        </w:rPr>
        <w:t>2</w:t>
      </w:r>
      <w:r w:rsidRPr="00FF756A">
        <w:t xml:space="preserve"> paraqiten në kreun 4.</w:t>
      </w:r>
    </w:p>
    <w:tbl>
      <w:tblPr>
        <w:tblW w:w="9170" w:type="dxa"/>
        <w:tblLayout w:type="fixed"/>
        <w:tblLook w:val="04A0" w:firstRow="1" w:lastRow="0" w:firstColumn="1" w:lastColumn="0" w:noHBand="0" w:noVBand="1"/>
      </w:tblPr>
      <w:tblGrid>
        <w:gridCol w:w="1832"/>
        <w:gridCol w:w="917"/>
        <w:gridCol w:w="917"/>
        <w:gridCol w:w="917"/>
        <w:gridCol w:w="917"/>
        <w:gridCol w:w="917"/>
        <w:gridCol w:w="917"/>
        <w:gridCol w:w="918"/>
        <w:gridCol w:w="918"/>
      </w:tblGrid>
      <w:tr w:rsidR="00B86FB3" w:rsidRPr="00FF756A" w14:paraId="2531C740" w14:textId="77777777" w:rsidTr="006A3266">
        <w:trPr>
          <w:trHeight w:val="293"/>
          <w:tblHeader/>
        </w:trPr>
        <w:tc>
          <w:tcPr>
            <w:tcW w:w="1832" w:type="dxa"/>
            <w:tcBorders>
              <w:top w:val="single" w:sz="8" w:space="0" w:color="FFFFFF"/>
              <w:left w:val="single" w:sz="8" w:space="0" w:color="FFFFFF"/>
              <w:bottom w:val="single" w:sz="8" w:space="0" w:color="FFFFFF"/>
              <w:right w:val="nil"/>
            </w:tcBorders>
            <w:shd w:val="clear" w:color="000000" w:fill="4F81BD"/>
            <w:noWrap/>
            <w:vAlign w:val="center"/>
            <w:hideMark/>
          </w:tcPr>
          <w:p w14:paraId="3BD54C42" w14:textId="77777777" w:rsidR="00B86FB3" w:rsidRPr="00FF756A" w:rsidRDefault="00B86FB3" w:rsidP="00B86FB3">
            <w:pPr>
              <w:rPr>
                <w:rFonts w:eastAsia="Times New Roman"/>
                <w:b/>
                <w:bCs/>
                <w:color w:val="FFFFFF"/>
                <w:sz w:val="16"/>
                <w:szCs w:val="16"/>
              </w:rPr>
            </w:pPr>
            <w:r w:rsidRPr="00FF756A">
              <w:rPr>
                <w:b/>
                <w:bCs/>
                <w:color w:val="FFFFFF"/>
                <w:sz w:val="16"/>
                <w:szCs w:val="16"/>
              </w:rPr>
              <w:t>Dega</w:t>
            </w:r>
          </w:p>
        </w:tc>
        <w:tc>
          <w:tcPr>
            <w:tcW w:w="917" w:type="dxa"/>
            <w:tcBorders>
              <w:top w:val="single" w:sz="8" w:space="0" w:color="FFFFFF"/>
              <w:left w:val="nil"/>
              <w:bottom w:val="single" w:sz="8" w:space="0" w:color="FFFFFF"/>
              <w:right w:val="nil"/>
            </w:tcBorders>
            <w:shd w:val="clear" w:color="000000" w:fill="4F81BD"/>
            <w:noWrap/>
            <w:vAlign w:val="center"/>
            <w:hideMark/>
          </w:tcPr>
          <w:p w14:paraId="00DB62A9" w14:textId="77777777" w:rsidR="00B86FB3" w:rsidRPr="00FF756A" w:rsidRDefault="00B86FB3" w:rsidP="00B86FB3">
            <w:pPr>
              <w:jc w:val="right"/>
              <w:rPr>
                <w:rFonts w:eastAsia="Times New Roman"/>
                <w:b/>
                <w:bCs/>
                <w:color w:val="FFFFFF"/>
                <w:sz w:val="16"/>
                <w:szCs w:val="16"/>
              </w:rPr>
            </w:pPr>
            <w:r w:rsidRPr="00FF756A">
              <w:rPr>
                <w:b/>
                <w:bCs/>
                <w:color w:val="FFFFFF"/>
                <w:sz w:val="16"/>
                <w:szCs w:val="16"/>
              </w:rPr>
              <w:t>2020</w:t>
            </w:r>
          </w:p>
        </w:tc>
        <w:tc>
          <w:tcPr>
            <w:tcW w:w="917" w:type="dxa"/>
            <w:tcBorders>
              <w:top w:val="single" w:sz="8" w:space="0" w:color="FFFFFF"/>
              <w:left w:val="nil"/>
              <w:bottom w:val="single" w:sz="8" w:space="0" w:color="FFFFFF"/>
              <w:right w:val="nil"/>
            </w:tcBorders>
            <w:shd w:val="clear" w:color="000000" w:fill="4F81BD"/>
            <w:noWrap/>
            <w:vAlign w:val="center"/>
            <w:hideMark/>
          </w:tcPr>
          <w:p w14:paraId="7B64A955" w14:textId="77777777" w:rsidR="00B86FB3" w:rsidRPr="00FF756A" w:rsidRDefault="00B86FB3" w:rsidP="00B86FB3">
            <w:pPr>
              <w:jc w:val="right"/>
              <w:rPr>
                <w:rFonts w:eastAsia="Times New Roman"/>
                <w:b/>
                <w:bCs/>
                <w:color w:val="FFFFFF"/>
                <w:sz w:val="16"/>
                <w:szCs w:val="16"/>
              </w:rPr>
            </w:pPr>
            <w:r w:rsidRPr="00FF756A">
              <w:rPr>
                <w:b/>
                <w:bCs/>
                <w:color w:val="FFFFFF"/>
                <w:sz w:val="16"/>
                <w:szCs w:val="16"/>
              </w:rPr>
              <w:t>2021</w:t>
            </w:r>
          </w:p>
        </w:tc>
        <w:tc>
          <w:tcPr>
            <w:tcW w:w="917" w:type="dxa"/>
            <w:tcBorders>
              <w:top w:val="single" w:sz="8" w:space="0" w:color="FFFFFF"/>
              <w:left w:val="nil"/>
              <w:bottom w:val="single" w:sz="8" w:space="0" w:color="FFFFFF"/>
              <w:right w:val="nil"/>
            </w:tcBorders>
            <w:shd w:val="clear" w:color="000000" w:fill="4F81BD"/>
            <w:noWrap/>
            <w:vAlign w:val="center"/>
            <w:hideMark/>
          </w:tcPr>
          <w:p w14:paraId="5FC12E12" w14:textId="77777777" w:rsidR="00B86FB3" w:rsidRPr="00FF756A" w:rsidRDefault="00B86FB3" w:rsidP="00B86FB3">
            <w:pPr>
              <w:jc w:val="right"/>
              <w:rPr>
                <w:rFonts w:eastAsia="Times New Roman"/>
                <w:b/>
                <w:bCs/>
                <w:color w:val="FFFFFF"/>
                <w:sz w:val="16"/>
                <w:szCs w:val="16"/>
              </w:rPr>
            </w:pPr>
            <w:r w:rsidRPr="00FF756A">
              <w:rPr>
                <w:b/>
                <w:bCs/>
                <w:color w:val="FFFFFF"/>
                <w:sz w:val="16"/>
                <w:szCs w:val="16"/>
              </w:rPr>
              <w:t>2022</w:t>
            </w:r>
          </w:p>
        </w:tc>
        <w:tc>
          <w:tcPr>
            <w:tcW w:w="917" w:type="dxa"/>
            <w:tcBorders>
              <w:top w:val="single" w:sz="8" w:space="0" w:color="FFFFFF"/>
              <w:left w:val="nil"/>
              <w:bottom w:val="single" w:sz="8" w:space="0" w:color="FFFFFF"/>
              <w:right w:val="nil"/>
            </w:tcBorders>
            <w:shd w:val="clear" w:color="000000" w:fill="4F81BD"/>
            <w:noWrap/>
            <w:vAlign w:val="center"/>
            <w:hideMark/>
          </w:tcPr>
          <w:p w14:paraId="1111483A" w14:textId="77777777" w:rsidR="00B86FB3" w:rsidRPr="00FF756A" w:rsidRDefault="00B86FB3" w:rsidP="00B86FB3">
            <w:pPr>
              <w:jc w:val="right"/>
              <w:rPr>
                <w:rFonts w:eastAsia="Times New Roman"/>
                <w:b/>
                <w:bCs/>
                <w:color w:val="FFFFFF"/>
                <w:sz w:val="16"/>
                <w:szCs w:val="16"/>
              </w:rPr>
            </w:pPr>
            <w:r w:rsidRPr="00FF756A">
              <w:rPr>
                <w:b/>
                <w:bCs/>
                <w:color w:val="FFFFFF"/>
                <w:sz w:val="16"/>
                <w:szCs w:val="16"/>
              </w:rPr>
              <w:t>2023</w:t>
            </w:r>
          </w:p>
        </w:tc>
        <w:tc>
          <w:tcPr>
            <w:tcW w:w="917" w:type="dxa"/>
            <w:tcBorders>
              <w:top w:val="single" w:sz="8" w:space="0" w:color="FFFFFF"/>
              <w:left w:val="nil"/>
              <w:bottom w:val="single" w:sz="8" w:space="0" w:color="FFFFFF"/>
              <w:right w:val="nil"/>
            </w:tcBorders>
            <w:shd w:val="clear" w:color="000000" w:fill="4F81BD"/>
            <w:noWrap/>
            <w:vAlign w:val="center"/>
            <w:hideMark/>
          </w:tcPr>
          <w:p w14:paraId="5F0C8AD2" w14:textId="77777777" w:rsidR="00B86FB3" w:rsidRPr="00FF756A" w:rsidRDefault="00B86FB3" w:rsidP="00B86FB3">
            <w:pPr>
              <w:jc w:val="right"/>
              <w:rPr>
                <w:rFonts w:eastAsia="Times New Roman"/>
                <w:b/>
                <w:bCs/>
                <w:color w:val="FFFFFF"/>
                <w:sz w:val="16"/>
                <w:szCs w:val="16"/>
              </w:rPr>
            </w:pPr>
            <w:r w:rsidRPr="00FF756A">
              <w:rPr>
                <w:b/>
                <w:bCs/>
                <w:color w:val="FFFFFF"/>
                <w:sz w:val="16"/>
                <w:szCs w:val="16"/>
              </w:rPr>
              <w:t>2025</w:t>
            </w:r>
          </w:p>
        </w:tc>
        <w:tc>
          <w:tcPr>
            <w:tcW w:w="917" w:type="dxa"/>
            <w:tcBorders>
              <w:top w:val="single" w:sz="8" w:space="0" w:color="FFFFFF"/>
              <w:left w:val="nil"/>
              <w:bottom w:val="single" w:sz="8" w:space="0" w:color="FFFFFF"/>
              <w:right w:val="nil"/>
            </w:tcBorders>
            <w:shd w:val="clear" w:color="auto" w:fill="323E4F" w:themeFill="text2" w:themeFillShade="BF"/>
            <w:noWrap/>
            <w:vAlign w:val="center"/>
            <w:hideMark/>
          </w:tcPr>
          <w:p w14:paraId="7F368B81" w14:textId="77777777" w:rsidR="00B86FB3" w:rsidRPr="00FF756A" w:rsidRDefault="00B86FB3" w:rsidP="00B86FB3">
            <w:pPr>
              <w:jc w:val="right"/>
              <w:rPr>
                <w:rFonts w:eastAsia="Times New Roman"/>
                <w:b/>
                <w:bCs/>
                <w:color w:val="FFFFFF"/>
                <w:sz w:val="16"/>
                <w:szCs w:val="16"/>
              </w:rPr>
            </w:pPr>
            <w:r w:rsidRPr="00FF756A">
              <w:rPr>
                <w:b/>
                <w:bCs/>
                <w:color w:val="FFFFFF"/>
                <w:sz w:val="16"/>
                <w:szCs w:val="16"/>
              </w:rPr>
              <w:t>2030</w:t>
            </w:r>
          </w:p>
        </w:tc>
        <w:tc>
          <w:tcPr>
            <w:tcW w:w="918" w:type="dxa"/>
            <w:tcBorders>
              <w:top w:val="single" w:sz="8" w:space="0" w:color="FFFFFF"/>
              <w:left w:val="nil"/>
              <w:bottom w:val="single" w:sz="8" w:space="0" w:color="FFFFFF"/>
              <w:right w:val="single" w:sz="8" w:space="0" w:color="FFFFFF"/>
            </w:tcBorders>
            <w:shd w:val="clear" w:color="000000" w:fill="4F81BD"/>
            <w:noWrap/>
            <w:vAlign w:val="center"/>
            <w:hideMark/>
          </w:tcPr>
          <w:p w14:paraId="6A92BF4F" w14:textId="77777777" w:rsidR="00B86FB3" w:rsidRPr="00FF756A" w:rsidRDefault="00B86FB3" w:rsidP="00B86FB3">
            <w:pPr>
              <w:jc w:val="right"/>
              <w:rPr>
                <w:rFonts w:eastAsia="Times New Roman"/>
                <w:b/>
                <w:bCs/>
                <w:color w:val="FFFFFF"/>
                <w:sz w:val="16"/>
                <w:szCs w:val="16"/>
              </w:rPr>
            </w:pPr>
            <w:r w:rsidRPr="00FF756A">
              <w:rPr>
                <w:b/>
                <w:bCs/>
                <w:color w:val="FFFFFF"/>
                <w:sz w:val="16"/>
                <w:szCs w:val="16"/>
              </w:rPr>
              <w:t>2040</w:t>
            </w:r>
          </w:p>
        </w:tc>
        <w:tc>
          <w:tcPr>
            <w:tcW w:w="918" w:type="dxa"/>
            <w:tcBorders>
              <w:top w:val="single" w:sz="8" w:space="0" w:color="FFFFFF"/>
              <w:left w:val="nil"/>
              <w:bottom w:val="single" w:sz="8" w:space="0" w:color="FFFFFF"/>
              <w:right w:val="single" w:sz="8" w:space="0" w:color="FFFFFF"/>
            </w:tcBorders>
            <w:shd w:val="clear" w:color="000000" w:fill="4F81BD"/>
          </w:tcPr>
          <w:p w14:paraId="1AC225D3" w14:textId="77777777" w:rsidR="00B86FB3" w:rsidRPr="00FF756A" w:rsidRDefault="00B86FB3" w:rsidP="00B86FB3">
            <w:pPr>
              <w:jc w:val="right"/>
              <w:rPr>
                <w:rFonts w:eastAsia="Times New Roman"/>
                <w:b/>
                <w:bCs/>
                <w:color w:val="FFFFFF"/>
                <w:sz w:val="16"/>
                <w:szCs w:val="16"/>
              </w:rPr>
            </w:pPr>
            <w:r w:rsidRPr="00FF756A">
              <w:rPr>
                <w:b/>
                <w:bCs/>
                <w:color w:val="FFFFFF"/>
                <w:sz w:val="16"/>
                <w:szCs w:val="16"/>
              </w:rPr>
              <w:t>2050</w:t>
            </w:r>
          </w:p>
        </w:tc>
      </w:tr>
      <w:tr w:rsidR="00B86FB3" w:rsidRPr="00FF756A" w14:paraId="32B5DEC6" w14:textId="77777777" w:rsidTr="006A3266">
        <w:trPr>
          <w:trHeight w:val="293"/>
        </w:trPr>
        <w:tc>
          <w:tcPr>
            <w:tcW w:w="9170" w:type="dxa"/>
            <w:gridSpan w:val="9"/>
            <w:tcBorders>
              <w:top w:val="single" w:sz="8" w:space="0" w:color="FFFFFF"/>
              <w:left w:val="single" w:sz="8" w:space="0" w:color="FFFFFF"/>
              <w:bottom w:val="single" w:sz="8" w:space="0" w:color="FFFFFF"/>
              <w:right w:val="single" w:sz="8" w:space="0" w:color="FFFFFF"/>
            </w:tcBorders>
            <w:shd w:val="clear" w:color="000000" w:fill="4F81BD"/>
            <w:noWrap/>
            <w:vAlign w:val="center"/>
            <w:hideMark/>
          </w:tcPr>
          <w:p w14:paraId="01B5B38D" w14:textId="77777777" w:rsidR="00B86FB3" w:rsidRPr="00FF756A" w:rsidRDefault="00B86FB3" w:rsidP="00B86FB3">
            <w:pPr>
              <w:rPr>
                <w:rFonts w:eastAsia="Times New Roman"/>
                <w:b/>
                <w:bCs/>
                <w:color w:val="FFFFFF"/>
                <w:sz w:val="16"/>
                <w:szCs w:val="16"/>
              </w:rPr>
            </w:pPr>
            <w:r w:rsidRPr="00FF756A">
              <w:rPr>
                <w:b/>
                <w:bCs/>
                <w:color w:val="FFFFFF"/>
                <w:sz w:val="16"/>
                <w:szCs w:val="16"/>
              </w:rPr>
              <w:t>Skenari WAM që merr në konsideratë kapacitetin e plotë të ER-së</w:t>
            </w:r>
          </w:p>
        </w:tc>
      </w:tr>
      <w:tr w:rsidR="00B86FB3" w:rsidRPr="00FF756A" w14:paraId="2EB10550"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06300E67" w14:textId="77777777" w:rsidR="00B86FB3" w:rsidRPr="00FF756A" w:rsidRDefault="00B86FB3" w:rsidP="00B86FB3">
            <w:pPr>
              <w:rPr>
                <w:rFonts w:eastAsia="Times New Roman"/>
                <w:b/>
                <w:bCs/>
                <w:color w:val="FFFFFF"/>
                <w:sz w:val="16"/>
                <w:szCs w:val="16"/>
              </w:rPr>
            </w:pPr>
            <w:r w:rsidRPr="00FF756A">
              <w:rPr>
                <w:b/>
                <w:bCs/>
                <w:color w:val="FFFFFF"/>
                <w:sz w:val="16"/>
                <w:szCs w:val="16"/>
              </w:rPr>
              <w:t>Kërkesa</w:t>
            </w:r>
          </w:p>
        </w:tc>
        <w:tc>
          <w:tcPr>
            <w:tcW w:w="917" w:type="dxa"/>
            <w:tcBorders>
              <w:top w:val="nil"/>
              <w:left w:val="nil"/>
              <w:bottom w:val="single" w:sz="8" w:space="0" w:color="FFFFFF"/>
              <w:right w:val="single" w:sz="8" w:space="0" w:color="FFFFFF"/>
            </w:tcBorders>
            <w:shd w:val="clear" w:color="000000" w:fill="DBE5F1"/>
            <w:noWrap/>
            <w:hideMark/>
          </w:tcPr>
          <w:p w14:paraId="7CA53FEF" w14:textId="77777777" w:rsidR="00B86FB3" w:rsidRPr="00FF756A" w:rsidRDefault="00B86FB3" w:rsidP="00B86FB3">
            <w:pPr>
              <w:jc w:val="center"/>
              <w:rPr>
                <w:rFonts w:eastAsia="Times New Roman"/>
                <w:color w:val="000000"/>
                <w:sz w:val="16"/>
                <w:szCs w:val="16"/>
              </w:rPr>
            </w:pPr>
            <w:r w:rsidRPr="00FF756A">
              <w:rPr>
                <w:sz w:val="16"/>
                <w:szCs w:val="16"/>
              </w:rPr>
              <w:t xml:space="preserve"> 3 751,7 </w:t>
            </w:r>
          </w:p>
        </w:tc>
        <w:tc>
          <w:tcPr>
            <w:tcW w:w="917" w:type="dxa"/>
            <w:tcBorders>
              <w:top w:val="nil"/>
              <w:left w:val="nil"/>
              <w:bottom w:val="single" w:sz="8" w:space="0" w:color="FFFFFF"/>
              <w:right w:val="single" w:sz="8" w:space="0" w:color="FFFFFF"/>
            </w:tcBorders>
            <w:shd w:val="clear" w:color="000000" w:fill="DBE5F1"/>
            <w:noWrap/>
            <w:hideMark/>
          </w:tcPr>
          <w:p w14:paraId="6A92AEB4" w14:textId="77777777" w:rsidR="00B86FB3" w:rsidRPr="00FF756A" w:rsidRDefault="00B86FB3" w:rsidP="00B86FB3">
            <w:pPr>
              <w:jc w:val="center"/>
              <w:rPr>
                <w:rFonts w:eastAsia="Times New Roman"/>
                <w:color w:val="000000"/>
                <w:sz w:val="16"/>
                <w:szCs w:val="16"/>
              </w:rPr>
            </w:pPr>
            <w:r w:rsidRPr="00FF756A">
              <w:rPr>
                <w:sz w:val="16"/>
                <w:szCs w:val="16"/>
              </w:rPr>
              <w:t xml:space="preserve"> 4 165,1 </w:t>
            </w:r>
          </w:p>
        </w:tc>
        <w:tc>
          <w:tcPr>
            <w:tcW w:w="917" w:type="dxa"/>
            <w:tcBorders>
              <w:top w:val="nil"/>
              <w:left w:val="nil"/>
              <w:bottom w:val="single" w:sz="8" w:space="0" w:color="FFFFFF"/>
              <w:right w:val="single" w:sz="8" w:space="0" w:color="FFFFFF"/>
            </w:tcBorders>
            <w:shd w:val="clear" w:color="000000" w:fill="DBE5F1"/>
            <w:noWrap/>
            <w:hideMark/>
          </w:tcPr>
          <w:p w14:paraId="18452B66" w14:textId="77777777" w:rsidR="00B86FB3" w:rsidRPr="00FF756A" w:rsidRDefault="00B86FB3" w:rsidP="00B86FB3">
            <w:pPr>
              <w:jc w:val="center"/>
              <w:rPr>
                <w:rFonts w:eastAsia="Times New Roman"/>
                <w:color w:val="000000"/>
                <w:sz w:val="16"/>
                <w:szCs w:val="16"/>
              </w:rPr>
            </w:pPr>
            <w:r w:rsidRPr="00FF756A">
              <w:rPr>
                <w:sz w:val="16"/>
                <w:szCs w:val="16"/>
              </w:rPr>
              <w:t xml:space="preserve"> 4 220,2 </w:t>
            </w:r>
          </w:p>
        </w:tc>
        <w:tc>
          <w:tcPr>
            <w:tcW w:w="917" w:type="dxa"/>
            <w:tcBorders>
              <w:top w:val="nil"/>
              <w:left w:val="nil"/>
              <w:bottom w:val="single" w:sz="8" w:space="0" w:color="FFFFFF"/>
              <w:right w:val="single" w:sz="8" w:space="0" w:color="FFFFFF"/>
            </w:tcBorders>
            <w:shd w:val="clear" w:color="000000" w:fill="DBE5F1"/>
            <w:noWrap/>
            <w:hideMark/>
          </w:tcPr>
          <w:p w14:paraId="309EB322" w14:textId="77777777" w:rsidR="00B86FB3" w:rsidRPr="00FF756A" w:rsidRDefault="00B86FB3" w:rsidP="00B86FB3">
            <w:pPr>
              <w:jc w:val="center"/>
              <w:rPr>
                <w:rFonts w:eastAsia="Times New Roman"/>
                <w:color w:val="000000"/>
                <w:sz w:val="16"/>
                <w:szCs w:val="16"/>
              </w:rPr>
            </w:pPr>
            <w:r w:rsidRPr="00FF756A">
              <w:rPr>
                <w:sz w:val="16"/>
                <w:szCs w:val="16"/>
              </w:rPr>
              <w:t xml:space="preserve"> 4 123,5 </w:t>
            </w:r>
          </w:p>
        </w:tc>
        <w:tc>
          <w:tcPr>
            <w:tcW w:w="917" w:type="dxa"/>
            <w:tcBorders>
              <w:top w:val="nil"/>
              <w:left w:val="nil"/>
              <w:bottom w:val="single" w:sz="8" w:space="0" w:color="FFFFFF"/>
              <w:right w:val="single" w:sz="8" w:space="0" w:color="FFFFFF"/>
            </w:tcBorders>
            <w:shd w:val="clear" w:color="000000" w:fill="DBE5F1"/>
            <w:noWrap/>
            <w:hideMark/>
          </w:tcPr>
          <w:p w14:paraId="534AF957" w14:textId="77777777" w:rsidR="00B86FB3" w:rsidRPr="00FF756A" w:rsidRDefault="00B86FB3" w:rsidP="00B86FB3">
            <w:pPr>
              <w:jc w:val="center"/>
              <w:rPr>
                <w:rFonts w:eastAsia="Times New Roman"/>
                <w:color w:val="000000"/>
                <w:sz w:val="16"/>
                <w:szCs w:val="16"/>
              </w:rPr>
            </w:pPr>
            <w:r w:rsidRPr="00FF756A">
              <w:rPr>
                <w:sz w:val="16"/>
                <w:szCs w:val="16"/>
              </w:rPr>
              <w:t xml:space="preserve"> 4 154,8 </w:t>
            </w:r>
          </w:p>
        </w:tc>
        <w:tc>
          <w:tcPr>
            <w:tcW w:w="917" w:type="dxa"/>
            <w:tcBorders>
              <w:top w:val="nil"/>
              <w:left w:val="nil"/>
              <w:bottom w:val="single" w:sz="8" w:space="0" w:color="FFFFFF"/>
              <w:right w:val="single" w:sz="8" w:space="0" w:color="FFFFFF"/>
            </w:tcBorders>
            <w:shd w:val="clear" w:color="auto" w:fill="323E4F" w:themeFill="text2" w:themeFillShade="BF"/>
            <w:noWrap/>
            <w:vAlign w:val="center"/>
            <w:hideMark/>
          </w:tcPr>
          <w:p w14:paraId="7E4C5E36" w14:textId="77777777" w:rsidR="00B86FB3" w:rsidRPr="00FF756A" w:rsidRDefault="00B86FB3" w:rsidP="00B86FB3">
            <w:pPr>
              <w:jc w:val="center"/>
              <w:rPr>
                <w:rFonts w:eastAsia="Times New Roman"/>
                <w:color w:val="FFFFFF" w:themeColor="background1"/>
                <w:sz w:val="16"/>
                <w:szCs w:val="16"/>
              </w:rPr>
            </w:pPr>
            <w:r w:rsidRPr="00FF756A">
              <w:rPr>
                <w:color w:val="FFFFFF" w:themeColor="background1"/>
                <w:sz w:val="16"/>
                <w:szCs w:val="16"/>
              </w:rPr>
              <w:t>4 192,7</w:t>
            </w:r>
          </w:p>
        </w:tc>
        <w:tc>
          <w:tcPr>
            <w:tcW w:w="918" w:type="dxa"/>
            <w:tcBorders>
              <w:top w:val="nil"/>
              <w:left w:val="nil"/>
              <w:bottom w:val="single" w:sz="8" w:space="0" w:color="FFFFFF"/>
              <w:right w:val="single" w:sz="8" w:space="0" w:color="FFFFFF"/>
            </w:tcBorders>
            <w:shd w:val="clear" w:color="000000" w:fill="DBE5F1"/>
            <w:noWrap/>
            <w:vAlign w:val="center"/>
            <w:hideMark/>
          </w:tcPr>
          <w:p w14:paraId="52C73521" w14:textId="77777777" w:rsidR="00B86FB3" w:rsidRPr="00FF756A" w:rsidRDefault="00B86FB3" w:rsidP="00B86FB3">
            <w:pPr>
              <w:jc w:val="center"/>
              <w:rPr>
                <w:rFonts w:eastAsia="Times New Roman"/>
                <w:color w:val="000000"/>
                <w:sz w:val="16"/>
                <w:szCs w:val="16"/>
              </w:rPr>
            </w:pPr>
            <w:r w:rsidRPr="00FF756A">
              <w:rPr>
                <w:sz w:val="16"/>
                <w:szCs w:val="16"/>
              </w:rPr>
              <w:t>3 507,1</w:t>
            </w:r>
          </w:p>
        </w:tc>
        <w:tc>
          <w:tcPr>
            <w:tcW w:w="918" w:type="dxa"/>
            <w:tcBorders>
              <w:top w:val="nil"/>
              <w:left w:val="nil"/>
              <w:bottom w:val="single" w:sz="8" w:space="0" w:color="FFFFFF"/>
              <w:right w:val="single" w:sz="8" w:space="0" w:color="FFFFFF"/>
            </w:tcBorders>
            <w:shd w:val="clear" w:color="000000" w:fill="DBE5F1"/>
            <w:vAlign w:val="center"/>
          </w:tcPr>
          <w:p w14:paraId="3F4E020A" w14:textId="77777777" w:rsidR="00B86FB3" w:rsidRPr="00FF756A" w:rsidRDefault="00B86FB3" w:rsidP="00B86FB3">
            <w:pPr>
              <w:jc w:val="center"/>
              <w:rPr>
                <w:rFonts w:eastAsia="Times New Roman"/>
                <w:color w:val="000000"/>
                <w:sz w:val="16"/>
                <w:szCs w:val="16"/>
              </w:rPr>
            </w:pPr>
            <w:r w:rsidRPr="00FF756A">
              <w:rPr>
                <w:sz w:val="16"/>
                <w:szCs w:val="16"/>
              </w:rPr>
              <w:t>2 221,5</w:t>
            </w:r>
          </w:p>
        </w:tc>
      </w:tr>
      <w:tr w:rsidR="00B86FB3" w:rsidRPr="00FF756A" w14:paraId="36AF6C4E"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58259312" w14:textId="77777777" w:rsidR="00B86FB3" w:rsidRPr="00FF756A" w:rsidRDefault="00B86FB3" w:rsidP="00B86FB3">
            <w:pPr>
              <w:rPr>
                <w:rFonts w:eastAsia="Times New Roman"/>
                <w:b/>
                <w:bCs/>
                <w:color w:val="FFFFFF"/>
                <w:sz w:val="16"/>
                <w:szCs w:val="16"/>
              </w:rPr>
            </w:pPr>
            <w:r w:rsidRPr="00FF756A">
              <w:rPr>
                <w:b/>
                <w:bCs/>
                <w:color w:val="FFFFFF"/>
                <w:sz w:val="16"/>
                <w:szCs w:val="16"/>
              </w:rPr>
              <w:t>Transformimi</w:t>
            </w:r>
          </w:p>
        </w:tc>
        <w:tc>
          <w:tcPr>
            <w:tcW w:w="917" w:type="dxa"/>
            <w:tcBorders>
              <w:top w:val="nil"/>
              <w:left w:val="nil"/>
              <w:bottom w:val="single" w:sz="8" w:space="0" w:color="FFFFFF"/>
              <w:right w:val="single" w:sz="8" w:space="0" w:color="FFFFFF"/>
            </w:tcBorders>
            <w:shd w:val="clear" w:color="000000" w:fill="B8CCE4"/>
            <w:noWrap/>
            <w:hideMark/>
          </w:tcPr>
          <w:p w14:paraId="3487FE8B" w14:textId="77777777" w:rsidR="00B86FB3" w:rsidRPr="00FF756A" w:rsidRDefault="00B86FB3" w:rsidP="00B86FB3">
            <w:pPr>
              <w:jc w:val="center"/>
              <w:rPr>
                <w:rFonts w:eastAsia="Times New Roman"/>
                <w:color w:val="000000"/>
                <w:sz w:val="16"/>
                <w:szCs w:val="16"/>
              </w:rPr>
            </w:pPr>
            <w:r w:rsidRPr="00FF756A">
              <w:rPr>
                <w:sz w:val="16"/>
                <w:szCs w:val="16"/>
              </w:rPr>
              <w:t xml:space="preserve"> 151,4 </w:t>
            </w:r>
          </w:p>
        </w:tc>
        <w:tc>
          <w:tcPr>
            <w:tcW w:w="917" w:type="dxa"/>
            <w:tcBorders>
              <w:top w:val="nil"/>
              <w:left w:val="nil"/>
              <w:bottom w:val="single" w:sz="8" w:space="0" w:color="FFFFFF"/>
              <w:right w:val="single" w:sz="8" w:space="0" w:color="FFFFFF"/>
            </w:tcBorders>
            <w:shd w:val="clear" w:color="000000" w:fill="B8CCE4"/>
            <w:noWrap/>
            <w:hideMark/>
          </w:tcPr>
          <w:p w14:paraId="603CEEA4" w14:textId="77777777" w:rsidR="00B86FB3" w:rsidRPr="00FF756A" w:rsidRDefault="00B86FB3" w:rsidP="00B86FB3">
            <w:pPr>
              <w:jc w:val="center"/>
              <w:rPr>
                <w:rFonts w:eastAsia="Times New Roman"/>
                <w:color w:val="000000"/>
                <w:sz w:val="16"/>
                <w:szCs w:val="16"/>
              </w:rPr>
            </w:pPr>
            <w:r w:rsidRPr="00FF756A">
              <w:rPr>
                <w:sz w:val="16"/>
                <w:szCs w:val="16"/>
              </w:rPr>
              <w:t xml:space="preserve"> 145,1 </w:t>
            </w:r>
          </w:p>
        </w:tc>
        <w:tc>
          <w:tcPr>
            <w:tcW w:w="917" w:type="dxa"/>
            <w:tcBorders>
              <w:top w:val="nil"/>
              <w:left w:val="nil"/>
              <w:bottom w:val="single" w:sz="8" w:space="0" w:color="FFFFFF"/>
              <w:right w:val="single" w:sz="8" w:space="0" w:color="FFFFFF"/>
            </w:tcBorders>
            <w:shd w:val="clear" w:color="000000" w:fill="B8CCE4"/>
            <w:noWrap/>
            <w:hideMark/>
          </w:tcPr>
          <w:p w14:paraId="1C9BE2BF" w14:textId="77777777" w:rsidR="00B86FB3" w:rsidRPr="00FF756A" w:rsidRDefault="00B86FB3" w:rsidP="00B86FB3">
            <w:pPr>
              <w:jc w:val="center"/>
              <w:rPr>
                <w:rFonts w:eastAsia="Times New Roman"/>
                <w:color w:val="000000"/>
                <w:sz w:val="16"/>
                <w:szCs w:val="16"/>
              </w:rPr>
            </w:pPr>
            <w:r w:rsidRPr="00FF756A">
              <w:rPr>
                <w:sz w:val="16"/>
                <w:szCs w:val="16"/>
              </w:rPr>
              <w:t xml:space="preserve"> 157,2 </w:t>
            </w:r>
          </w:p>
        </w:tc>
        <w:tc>
          <w:tcPr>
            <w:tcW w:w="917" w:type="dxa"/>
            <w:tcBorders>
              <w:top w:val="nil"/>
              <w:left w:val="nil"/>
              <w:bottom w:val="single" w:sz="8" w:space="0" w:color="FFFFFF"/>
              <w:right w:val="single" w:sz="8" w:space="0" w:color="FFFFFF"/>
            </w:tcBorders>
            <w:shd w:val="clear" w:color="000000" w:fill="B8CCE4"/>
            <w:noWrap/>
            <w:hideMark/>
          </w:tcPr>
          <w:p w14:paraId="235672B5" w14:textId="77777777" w:rsidR="00B86FB3" w:rsidRPr="00FF756A" w:rsidRDefault="00B86FB3" w:rsidP="00B86FB3">
            <w:pPr>
              <w:jc w:val="center"/>
              <w:rPr>
                <w:rFonts w:eastAsia="Times New Roman"/>
                <w:color w:val="000000"/>
                <w:sz w:val="16"/>
                <w:szCs w:val="16"/>
              </w:rPr>
            </w:pPr>
            <w:r w:rsidRPr="00FF756A">
              <w:rPr>
                <w:sz w:val="16"/>
                <w:szCs w:val="16"/>
              </w:rPr>
              <w:t xml:space="preserve"> 159,0 </w:t>
            </w:r>
          </w:p>
        </w:tc>
        <w:tc>
          <w:tcPr>
            <w:tcW w:w="917" w:type="dxa"/>
            <w:tcBorders>
              <w:top w:val="nil"/>
              <w:left w:val="nil"/>
              <w:bottom w:val="single" w:sz="8" w:space="0" w:color="FFFFFF"/>
              <w:right w:val="single" w:sz="8" w:space="0" w:color="FFFFFF"/>
            </w:tcBorders>
            <w:shd w:val="clear" w:color="000000" w:fill="B8CCE4"/>
            <w:noWrap/>
            <w:hideMark/>
          </w:tcPr>
          <w:p w14:paraId="467B61DF" w14:textId="77777777" w:rsidR="00B86FB3" w:rsidRPr="00FF756A" w:rsidRDefault="00B86FB3" w:rsidP="00B86FB3">
            <w:pPr>
              <w:jc w:val="center"/>
              <w:rPr>
                <w:rFonts w:eastAsia="Times New Roman"/>
                <w:color w:val="000000"/>
                <w:sz w:val="16"/>
                <w:szCs w:val="16"/>
              </w:rPr>
            </w:pPr>
            <w:r w:rsidRPr="00FF756A">
              <w:rPr>
                <w:sz w:val="16"/>
                <w:szCs w:val="16"/>
              </w:rPr>
              <w:t xml:space="preserve"> 159,0 </w:t>
            </w:r>
          </w:p>
        </w:tc>
        <w:tc>
          <w:tcPr>
            <w:tcW w:w="917" w:type="dxa"/>
            <w:tcBorders>
              <w:top w:val="nil"/>
              <w:left w:val="nil"/>
              <w:bottom w:val="single" w:sz="8" w:space="0" w:color="FFFFFF"/>
              <w:right w:val="single" w:sz="8" w:space="0" w:color="FFFFFF"/>
            </w:tcBorders>
            <w:shd w:val="clear" w:color="auto" w:fill="323E4F" w:themeFill="text2" w:themeFillShade="BF"/>
            <w:noWrap/>
            <w:vAlign w:val="center"/>
            <w:hideMark/>
          </w:tcPr>
          <w:p w14:paraId="066672DE" w14:textId="77777777" w:rsidR="00B86FB3" w:rsidRPr="00FF756A" w:rsidRDefault="00B86FB3" w:rsidP="00B86FB3">
            <w:pPr>
              <w:jc w:val="center"/>
              <w:rPr>
                <w:rFonts w:eastAsia="Times New Roman"/>
                <w:color w:val="FFFFFF" w:themeColor="background1"/>
                <w:sz w:val="16"/>
                <w:szCs w:val="16"/>
              </w:rPr>
            </w:pPr>
            <w:r w:rsidRPr="00FF756A">
              <w:rPr>
                <w:color w:val="FFFFFF" w:themeColor="background1"/>
                <w:sz w:val="16"/>
                <w:szCs w:val="16"/>
              </w:rPr>
              <w:t>159,0</w:t>
            </w:r>
          </w:p>
        </w:tc>
        <w:tc>
          <w:tcPr>
            <w:tcW w:w="918" w:type="dxa"/>
            <w:tcBorders>
              <w:top w:val="nil"/>
              <w:left w:val="nil"/>
              <w:bottom w:val="single" w:sz="8" w:space="0" w:color="FFFFFF"/>
              <w:right w:val="single" w:sz="8" w:space="0" w:color="FFFFFF"/>
            </w:tcBorders>
            <w:shd w:val="clear" w:color="000000" w:fill="B8CCE4"/>
            <w:noWrap/>
            <w:vAlign w:val="center"/>
            <w:hideMark/>
          </w:tcPr>
          <w:p w14:paraId="235173BC" w14:textId="77777777" w:rsidR="00B86FB3" w:rsidRPr="00FF756A" w:rsidRDefault="00B86FB3" w:rsidP="00B86FB3">
            <w:pPr>
              <w:jc w:val="center"/>
              <w:rPr>
                <w:rFonts w:eastAsia="Times New Roman"/>
                <w:color w:val="000000"/>
                <w:sz w:val="16"/>
                <w:szCs w:val="16"/>
              </w:rPr>
            </w:pPr>
            <w:r w:rsidRPr="00FF756A">
              <w:rPr>
                <w:sz w:val="16"/>
                <w:szCs w:val="16"/>
              </w:rPr>
              <w:t>234,3</w:t>
            </w:r>
          </w:p>
        </w:tc>
        <w:tc>
          <w:tcPr>
            <w:tcW w:w="918" w:type="dxa"/>
            <w:tcBorders>
              <w:top w:val="nil"/>
              <w:left w:val="nil"/>
              <w:bottom w:val="single" w:sz="8" w:space="0" w:color="FFFFFF"/>
              <w:right w:val="single" w:sz="8" w:space="0" w:color="FFFFFF"/>
            </w:tcBorders>
            <w:shd w:val="clear" w:color="000000" w:fill="B8CCE4"/>
            <w:vAlign w:val="center"/>
          </w:tcPr>
          <w:p w14:paraId="06D1B8E9" w14:textId="77777777" w:rsidR="00B86FB3" w:rsidRPr="00FF756A" w:rsidRDefault="00B86FB3" w:rsidP="00B86FB3">
            <w:pPr>
              <w:jc w:val="center"/>
              <w:rPr>
                <w:rFonts w:eastAsia="Times New Roman"/>
                <w:color w:val="000000"/>
                <w:sz w:val="16"/>
                <w:szCs w:val="16"/>
              </w:rPr>
            </w:pPr>
            <w:r w:rsidRPr="00FF756A">
              <w:rPr>
                <w:sz w:val="16"/>
                <w:szCs w:val="16"/>
              </w:rPr>
              <w:t>770,0</w:t>
            </w:r>
          </w:p>
        </w:tc>
      </w:tr>
      <w:tr w:rsidR="00B86FB3" w:rsidRPr="00FF756A" w14:paraId="310A5E5F"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02DAC5E1" w14:textId="77777777" w:rsidR="00B86FB3" w:rsidRPr="00FF756A" w:rsidRDefault="00B86FB3" w:rsidP="00B86FB3">
            <w:pPr>
              <w:rPr>
                <w:rFonts w:eastAsia="Times New Roman"/>
                <w:b/>
                <w:bCs/>
                <w:color w:val="FFFFFF"/>
                <w:sz w:val="16"/>
                <w:szCs w:val="16"/>
              </w:rPr>
            </w:pPr>
            <w:r w:rsidRPr="00FF756A">
              <w:rPr>
                <w:b/>
                <w:bCs/>
                <w:color w:val="FFFFFF"/>
                <w:sz w:val="16"/>
                <w:szCs w:val="16"/>
              </w:rPr>
              <w:t>Sektorët joenergjetikë</w:t>
            </w:r>
          </w:p>
        </w:tc>
        <w:tc>
          <w:tcPr>
            <w:tcW w:w="917" w:type="dxa"/>
            <w:tcBorders>
              <w:top w:val="nil"/>
              <w:left w:val="nil"/>
              <w:bottom w:val="single" w:sz="8" w:space="0" w:color="FFFFFF"/>
              <w:right w:val="single" w:sz="8" w:space="0" w:color="FFFFFF"/>
            </w:tcBorders>
            <w:shd w:val="clear" w:color="000000" w:fill="DBE5F1"/>
            <w:noWrap/>
            <w:hideMark/>
          </w:tcPr>
          <w:p w14:paraId="1DE5FE8A" w14:textId="77777777" w:rsidR="00B86FB3" w:rsidRPr="00FF756A" w:rsidRDefault="00B86FB3" w:rsidP="00B86FB3">
            <w:pPr>
              <w:jc w:val="center"/>
              <w:rPr>
                <w:rFonts w:eastAsia="Times New Roman"/>
                <w:color w:val="000000"/>
                <w:sz w:val="16"/>
                <w:szCs w:val="16"/>
              </w:rPr>
            </w:pPr>
            <w:r w:rsidRPr="00FF756A">
              <w:rPr>
                <w:sz w:val="16"/>
                <w:szCs w:val="16"/>
              </w:rPr>
              <w:t xml:space="preserve"> 6 658,6 </w:t>
            </w:r>
          </w:p>
        </w:tc>
        <w:tc>
          <w:tcPr>
            <w:tcW w:w="917" w:type="dxa"/>
            <w:tcBorders>
              <w:top w:val="nil"/>
              <w:left w:val="nil"/>
              <w:bottom w:val="single" w:sz="8" w:space="0" w:color="FFFFFF"/>
              <w:right w:val="single" w:sz="8" w:space="0" w:color="FFFFFF"/>
            </w:tcBorders>
            <w:shd w:val="clear" w:color="000000" w:fill="DBE5F1"/>
            <w:noWrap/>
            <w:hideMark/>
          </w:tcPr>
          <w:p w14:paraId="1B62B7A6" w14:textId="77777777" w:rsidR="00B86FB3" w:rsidRPr="00FF756A" w:rsidRDefault="00B86FB3" w:rsidP="00B86FB3">
            <w:pPr>
              <w:jc w:val="center"/>
              <w:rPr>
                <w:rFonts w:eastAsia="Times New Roman"/>
                <w:color w:val="000000"/>
                <w:sz w:val="16"/>
                <w:szCs w:val="16"/>
              </w:rPr>
            </w:pPr>
            <w:r w:rsidRPr="00FF756A">
              <w:rPr>
                <w:sz w:val="16"/>
                <w:szCs w:val="16"/>
              </w:rPr>
              <w:t xml:space="preserve"> 6 645,3 </w:t>
            </w:r>
          </w:p>
        </w:tc>
        <w:tc>
          <w:tcPr>
            <w:tcW w:w="917" w:type="dxa"/>
            <w:tcBorders>
              <w:top w:val="nil"/>
              <w:left w:val="nil"/>
              <w:bottom w:val="single" w:sz="8" w:space="0" w:color="FFFFFF"/>
              <w:right w:val="single" w:sz="8" w:space="0" w:color="FFFFFF"/>
            </w:tcBorders>
            <w:shd w:val="clear" w:color="000000" w:fill="DBE5F1"/>
            <w:noWrap/>
            <w:hideMark/>
          </w:tcPr>
          <w:p w14:paraId="352C18AC" w14:textId="77777777" w:rsidR="00B86FB3" w:rsidRPr="00FF756A" w:rsidRDefault="00B86FB3" w:rsidP="00B86FB3">
            <w:pPr>
              <w:jc w:val="center"/>
              <w:rPr>
                <w:rFonts w:eastAsia="Times New Roman"/>
                <w:color w:val="000000"/>
                <w:sz w:val="16"/>
                <w:szCs w:val="16"/>
              </w:rPr>
            </w:pPr>
            <w:r w:rsidRPr="00FF756A">
              <w:rPr>
                <w:sz w:val="16"/>
                <w:szCs w:val="16"/>
              </w:rPr>
              <w:t xml:space="preserve"> 6 633,3 </w:t>
            </w:r>
          </w:p>
        </w:tc>
        <w:tc>
          <w:tcPr>
            <w:tcW w:w="917" w:type="dxa"/>
            <w:tcBorders>
              <w:top w:val="nil"/>
              <w:left w:val="nil"/>
              <w:bottom w:val="single" w:sz="8" w:space="0" w:color="FFFFFF"/>
              <w:right w:val="single" w:sz="8" w:space="0" w:color="FFFFFF"/>
            </w:tcBorders>
            <w:shd w:val="clear" w:color="000000" w:fill="DBE5F1"/>
            <w:noWrap/>
            <w:hideMark/>
          </w:tcPr>
          <w:p w14:paraId="77BB4F41" w14:textId="77777777" w:rsidR="00B86FB3" w:rsidRPr="00FF756A" w:rsidRDefault="00B86FB3" w:rsidP="00B86FB3">
            <w:pPr>
              <w:jc w:val="center"/>
              <w:rPr>
                <w:rFonts w:eastAsia="Times New Roman"/>
                <w:color w:val="000000"/>
                <w:sz w:val="16"/>
                <w:szCs w:val="16"/>
              </w:rPr>
            </w:pPr>
            <w:r w:rsidRPr="00FF756A">
              <w:rPr>
                <w:sz w:val="16"/>
                <w:szCs w:val="16"/>
              </w:rPr>
              <w:t xml:space="preserve"> 6 639,1 </w:t>
            </w:r>
          </w:p>
        </w:tc>
        <w:tc>
          <w:tcPr>
            <w:tcW w:w="917" w:type="dxa"/>
            <w:tcBorders>
              <w:top w:val="nil"/>
              <w:left w:val="nil"/>
              <w:bottom w:val="single" w:sz="8" w:space="0" w:color="FFFFFF"/>
              <w:right w:val="single" w:sz="8" w:space="0" w:color="FFFFFF"/>
            </w:tcBorders>
            <w:shd w:val="clear" w:color="000000" w:fill="DBE5F1"/>
            <w:noWrap/>
            <w:hideMark/>
          </w:tcPr>
          <w:p w14:paraId="67DC6978" w14:textId="77777777" w:rsidR="00B86FB3" w:rsidRPr="00FF756A" w:rsidRDefault="00B86FB3" w:rsidP="00B86FB3">
            <w:pPr>
              <w:jc w:val="center"/>
              <w:rPr>
                <w:rFonts w:eastAsia="Times New Roman"/>
                <w:color w:val="000000"/>
                <w:sz w:val="16"/>
                <w:szCs w:val="16"/>
              </w:rPr>
            </w:pPr>
            <w:r w:rsidRPr="00FF756A">
              <w:rPr>
                <w:sz w:val="16"/>
                <w:szCs w:val="16"/>
              </w:rPr>
              <w:t xml:space="preserve"> 6 636,7 </w:t>
            </w:r>
          </w:p>
        </w:tc>
        <w:tc>
          <w:tcPr>
            <w:tcW w:w="917" w:type="dxa"/>
            <w:tcBorders>
              <w:top w:val="nil"/>
              <w:left w:val="nil"/>
              <w:bottom w:val="single" w:sz="8" w:space="0" w:color="FFFFFF"/>
              <w:right w:val="single" w:sz="8" w:space="0" w:color="FFFFFF"/>
            </w:tcBorders>
            <w:shd w:val="clear" w:color="auto" w:fill="323E4F" w:themeFill="text2" w:themeFillShade="BF"/>
            <w:noWrap/>
            <w:vAlign w:val="center"/>
            <w:hideMark/>
          </w:tcPr>
          <w:p w14:paraId="0DC7205A" w14:textId="77777777" w:rsidR="00B86FB3" w:rsidRPr="00FF756A" w:rsidRDefault="00B86FB3" w:rsidP="00B86FB3">
            <w:pPr>
              <w:jc w:val="center"/>
              <w:rPr>
                <w:rFonts w:eastAsia="Times New Roman"/>
                <w:color w:val="FFFFFF" w:themeColor="background1"/>
                <w:sz w:val="16"/>
                <w:szCs w:val="16"/>
              </w:rPr>
            </w:pPr>
            <w:r w:rsidRPr="00FF756A">
              <w:rPr>
                <w:color w:val="FFFFFF" w:themeColor="background1"/>
                <w:sz w:val="16"/>
                <w:szCs w:val="16"/>
              </w:rPr>
              <w:t>6 506,3</w:t>
            </w:r>
          </w:p>
        </w:tc>
        <w:tc>
          <w:tcPr>
            <w:tcW w:w="918" w:type="dxa"/>
            <w:tcBorders>
              <w:top w:val="nil"/>
              <w:left w:val="nil"/>
              <w:bottom w:val="single" w:sz="8" w:space="0" w:color="FFFFFF"/>
              <w:right w:val="single" w:sz="8" w:space="0" w:color="FFFFFF"/>
            </w:tcBorders>
            <w:shd w:val="clear" w:color="000000" w:fill="DBE5F1"/>
            <w:noWrap/>
            <w:vAlign w:val="center"/>
            <w:hideMark/>
          </w:tcPr>
          <w:p w14:paraId="2B30C48F" w14:textId="77777777" w:rsidR="00B86FB3" w:rsidRPr="00FF756A" w:rsidRDefault="00B86FB3" w:rsidP="00B86FB3">
            <w:pPr>
              <w:jc w:val="center"/>
              <w:rPr>
                <w:rFonts w:eastAsia="Times New Roman"/>
                <w:color w:val="000000"/>
                <w:sz w:val="16"/>
                <w:szCs w:val="16"/>
              </w:rPr>
            </w:pPr>
            <w:r w:rsidRPr="00FF756A">
              <w:rPr>
                <w:sz w:val="16"/>
                <w:szCs w:val="16"/>
              </w:rPr>
              <w:t>4 438,1</w:t>
            </w:r>
          </w:p>
        </w:tc>
        <w:tc>
          <w:tcPr>
            <w:tcW w:w="918" w:type="dxa"/>
            <w:tcBorders>
              <w:top w:val="nil"/>
              <w:left w:val="nil"/>
              <w:bottom w:val="single" w:sz="8" w:space="0" w:color="FFFFFF"/>
              <w:right w:val="single" w:sz="8" w:space="0" w:color="FFFFFF"/>
            </w:tcBorders>
            <w:shd w:val="clear" w:color="000000" w:fill="DBE5F1"/>
            <w:vAlign w:val="center"/>
          </w:tcPr>
          <w:p w14:paraId="08F16DB5" w14:textId="77777777" w:rsidR="00B86FB3" w:rsidRPr="00FF756A" w:rsidRDefault="00B86FB3" w:rsidP="00B86FB3">
            <w:pPr>
              <w:jc w:val="center"/>
              <w:rPr>
                <w:rFonts w:eastAsia="Times New Roman"/>
                <w:color w:val="000000"/>
                <w:sz w:val="16"/>
                <w:szCs w:val="16"/>
              </w:rPr>
            </w:pPr>
            <w:r w:rsidRPr="00FF756A">
              <w:rPr>
                <w:sz w:val="16"/>
                <w:szCs w:val="16"/>
              </w:rPr>
              <w:t>2 303,8</w:t>
            </w:r>
          </w:p>
        </w:tc>
      </w:tr>
      <w:tr w:rsidR="00B86FB3" w:rsidRPr="00FF756A" w14:paraId="7A925DE5"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244061"/>
            <w:noWrap/>
            <w:vAlign w:val="center"/>
            <w:hideMark/>
          </w:tcPr>
          <w:p w14:paraId="75D31D07" w14:textId="77777777" w:rsidR="00B86FB3" w:rsidRPr="00FF756A" w:rsidRDefault="00B86FB3" w:rsidP="00B86FB3">
            <w:pPr>
              <w:rPr>
                <w:rFonts w:eastAsia="Times New Roman"/>
                <w:b/>
                <w:bCs/>
                <w:color w:val="FFFFFF"/>
                <w:sz w:val="16"/>
                <w:szCs w:val="16"/>
              </w:rPr>
            </w:pPr>
            <w:r w:rsidRPr="00FF756A">
              <w:rPr>
                <w:b/>
                <w:bCs/>
                <w:color w:val="FFFFFF"/>
                <w:sz w:val="16"/>
                <w:szCs w:val="16"/>
              </w:rPr>
              <w:t>WAM total</w:t>
            </w:r>
          </w:p>
        </w:tc>
        <w:tc>
          <w:tcPr>
            <w:tcW w:w="917" w:type="dxa"/>
            <w:tcBorders>
              <w:top w:val="nil"/>
              <w:left w:val="nil"/>
              <w:bottom w:val="single" w:sz="8" w:space="0" w:color="FFFFFF"/>
              <w:right w:val="single" w:sz="8" w:space="0" w:color="FFFFFF"/>
            </w:tcBorders>
            <w:shd w:val="clear" w:color="000000" w:fill="244061"/>
            <w:noWrap/>
            <w:hideMark/>
          </w:tcPr>
          <w:p w14:paraId="3F0D906D" w14:textId="77777777" w:rsidR="00B86FB3" w:rsidRPr="00FF756A" w:rsidRDefault="00B86FB3" w:rsidP="00B86FB3">
            <w:pPr>
              <w:jc w:val="center"/>
              <w:rPr>
                <w:rFonts w:eastAsia="Times New Roman"/>
                <w:color w:val="FFFFFF"/>
                <w:sz w:val="16"/>
                <w:szCs w:val="16"/>
              </w:rPr>
            </w:pPr>
            <w:r w:rsidRPr="00FF756A">
              <w:rPr>
                <w:sz w:val="16"/>
                <w:szCs w:val="16"/>
              </w:rPr>
              <w:t xml:space="preserve"> 10 561,8 </w:t>
            </w:r>
          </w:p>
        </w:tc>
        <w:tc>
          <w:tcPr>
            <w:tcW w:w="917" w:type="dxa"/>
            <w:tcBorders>
              <w:top w:val="nil"/>
              <w:left w:val="nil"/>
              <w:bottom w:val="single" w:sz="8" w:space="0" w:color="FFFFFF"/>
              <w:right w:val="single" w:sz="8" w:space="0" w:color="FFFFFF"/>
            </w:tcBorders>
            <w:shd w:val="clear" w:color="000000" w:fill="244061"/>
            <w:noWrap/>
            <w:hideMark/>
          </w:tcPr>
          <w:p w14:paraId="066A7B3F" w14:textId="77777777" w:rsidR="00B86FB3" w:rsidRPr="00FF756A" w:rsidRDefault="00B86FB3" w:rsidP="00B86FB3">
            <w:pPr>
              <w:jc w:val="center"/>
              <w:rPr>
                <w:rFonts w:eastAsia="Times New Roman"/>
                <w:color w:val="FFFFFF"/>
                <w:sz w:val="16"/>
                <w:szCs w:val="16"/>
              </w:rPr>
            </w:pPr>
            <w:r w:rsidRPr="00FF756A">
              <w:rPr>
                <w:sz w:val="16"/>
                <w:szCs w:val="16"/>
              </w:rPr>
              <w:t xml:space="preserve"> 10 955,6 </w:t>
            </w:r>
          </w:p>
        </w:tc>
        <w:tc>
          <w:tcPr>
            <w:tcW w:w="917" w:type="dxa"/>
            <w:tcBorders>
              <w:top w:val="nil"/>
              <w:left w:val="nil"/>
              <w:bottom w:val="single" w:sz="8" w:space="0" w:color="FFFFFF"/>
              <w:right w:val="single" w:sz="8" w:space="0" w:color="FFFFFF"/>
            </w:tcBorders>
            <w:shd w:val="clear" w:color="000000" w:fill="244061"/>
            <w:noWrap/>
            <w:hideMark/>
          </w:tcPr>
          <w:p w14:paraId="3E06C49A" w14:textId="77777777" w:rsidR="00B86FB3" w:rsidRPr="00FF756A" w:rsidRDefault="00B86FB3" w:rsidP="00B86FB3">
            <w:pPr>
              <w:jc w:val="center"/>
              <w:rPr>
                <w:rFonts w:eastAsia="Times New Roman"/>
                <w:color w:val="FFFFFF"/>
                <w:sz w:val="16"/>
                <w:szCs w:val="16"/>
              </w:rPr>
            </w:pPr>
            <w:r w:rsidRPr="00FF756A">
              <w:rPr>
                <w:sz w:val="16"/>
                <w:szCs w:val="16"/>
              </w:rPr>
              <w:t xml:space="preserve"> 11 010,7 </w:t>
            </w:r>
          </w:p>
        </w:tc>
        <w:tc>
          <w:tcPr>
            <w:tcW w:w="917" w:type="dxa"/>
            <w:tcBorders>
              <w:top w:val="nil"/>
              <w:left w:val="nil"/>
              <w:bottom w:val="single" w:sz="8" w:space="0" w:color="FFFFFF"/>
              <w:right w:val="single" w:sz="8" w:space="0" w:color="FFFFFF"/>
            </w:tcBorders>
            <w:shd w:val="clear" w:color="000000" w:fill="244061"/>
            <w:noWrap/>
            <w:hideMark/>
          </w:tcPr>
          <w:p w14:paraId="24B121F0" w14:textId="77777777" w:rsidR="00B86FB3" w:rsidRPr="00FF756A" w:rsidRDefault="00B86FB3" w:rsidP="00B86FB3">
            <w:pPr>
              <w:jc w:val="center"/>
              <w:rPr>
                <w:rFonts w:eastAsia="Times New Roman"/>
                <w:color w:val="FFFFFF"/>
                <w:sz w:val="16"/>
                <w:szCs w:val="16"/>
              </w:rPr>
            </w:pPr>
            <w:r w:rsidRPr="00FF756A">
              <w:rPr>
                <w:sz w:val="16"/>
                <w:szCs w:val="16"/>
              </w:rPr>
              <w:t xml:space="preserve"> 10 921,5 </w:t>
            </w:r>
          </w:p>
        </w:tc>
        <w:tc>
          <w:tcPr>
            <w:tcW w:w="917" w:type="dxa"/>
            <w:tcBorders>
              <w:top w:val="nil"/>
              <w:left w:val="nil"/>
              <w:bottom w:val="single" w:sz="8" w:space="0" w:color="FFFFFF"/>
              <w:right w:val="single" w:sz="8" w:space="0" w:color="FFFFFF"/>
            </w:tcBorders>
            <w:shd w:val="clear" w:color="000000" w:fill="244061"/>
            <w:noWrap/>
            <w:hideMark/>
          </w:tcPr>
          <w:p w14:paraId="3A6FAD6F" w14:textId="77777777" w:rsidR="00B86FB3" w:rsidRPr="00FF756A" w:rsidRDefault="00B86FB3" w:rsidP="00B86FB3">
            <w:pPr>
              <w:jc w:val="center"/>
              <w:rPr>
                <w:rFonts w:eastAsia="Times New Roman"/>
                <w:color w:val="FFFFFF"/>
                <w:sz w:val="16"/>
                <w:szCs w:val="16"/>
              </w:rPr>
            </w:pPr>
            <w:r w:rsidRPr="00FF756A">
              <w:rPr>
                <w:sz w:val="16"/>
                <w:szCs w:val="16"/>
              </w:rPr>
              <w:t xml:space="preserve"> 10 950,5 </w:t>
            </w:r>
          </w:p>
        </w:tc>
        <w:tc>
          <w:tcPr>
            <w:tcW w:w="917" w:type="dxa"/>
            <w:tcBorders>
              <w:top w:val="nil"/>
              <w:left w:val="nil"/>
              <w:bottom w:val="single" w:sz="8" w:space="0" w:color="FFFFFF"/>
              <w:right w:val="single" w:sz="8" w:space="0" w:color="FFFFFF"/>
            </w:tcBorders>
            <w:shd w:val="clear" w:color="auto" w:fill="323E4F" w:themeFill="text2" w:themeFillShade="BF"/>
            <w:noWrap/>
            <w:vAlign w:val="center"/>
            <w:hideMark/>
          </w:tcPr>
          <w:p w14:paraId="695D4C78" w14:textId="77777777" w:rsidR="00B86FB3" w:rsidRPr="00FF756A" w:rsidRDefault="00B86FB3" w:rsidP="00B86FB3">
            <w:pPr>
              <w:jc w:val="center"/>
              <w:rPr>
                <w:rFonts w:eastAsia="Times New Roman"/>
                <w:color w:val="FFFFFF" w:themeColor="background1"/>
                <w:sz w:val="16"/>
                <w:szCs w:val="16"/>
              </w:rPr>
            </w:pPr>
            <w:r w:rsidRPr="00FF756A">
              <w:rPr>
                <w:color w:val="FFFFFF" w:themeColor="background1"/>
                <w:sz w:val="16"/>
                <w:szCs w:val="16"/>
              </w:rPr>
              <w:t>10 858,0</w:t>
            </w:r>
          </w:p>
        </w:tc>
        <w:tc>
          <w:tcPr>
            <w:tcW w:w="918" w:type="dxa"/>
            <w:tcBorders>
              <w:top w:val="nil"/>
              <w:left w:val="nil"/>
              <w:bottom w:val="single" w:sz="8" w:space="0" w:color="FFFFFF"/>
              <w:right w:val="single" w:sz="8" w:space="0" w:color="FFFFFF"/>
            </w:tcBorders>
            <w:shd w:val="clear" w:color="000000" w:fill="244061"/>
            <w:noWrap/>
            <w:vAlign w:val="center"/>
            <w:hideMark/>
          </w:tcPr>
          <w:p w14:paraId="3B4B8CEF" w14:textId="77777777" w:rsidR="00B86FB3" w:rsidRPr="00FF756A" w:rsidRDefault="00B86FB3" w:rsidP="00B86FB3">
            <w:pPr>
              <w:jc w:val="center"/>
              <w:rPr>
                <w:rFonts w:eastAsia="Times New Roman"/>
                <w:color w:val="FFFFFF"/>
                <w:sz w:val="16"/>
                <w:szCs w:val="16"/>
              </w:rPr>
            </w:pPr>
            <w:r w:rsidRPr="00FF756A">
              <w:rPr>
                <w:sz w:val="16"/>
                <w:szCs w:val="16"/>
              </w:rPr>
              <w:t>8 179,5</w:t>
            </w:r>
          </w:p>
        </w:tc>
        <w:tc>
          <w:tcPr>
            <w:tcW w:w="918" w:type="dxa"/>
            <w:tcBorders>
              <w:top w:val="nil"/>
              <w:left w:val="nil"/>
              <w:bottom w:val="single" w:sz="8" w:space="0" w:color="FFFFFF"/>
              <w:right w:val="single" w:sz="8" w:space="0" w:color="FFFFFF"/>
            </w:tcBorders>
            <w:shd w:val="clear" w:color="000000" w:fill="244061"/>
            <w:vAlign w:val="center"/>
          </w:tcPr>
          <w:p w14:paraId="5C6A7188" w14:textId="77777777" w:rsidR="00B86FB3" w:rsidRPr="00FF756A" w:rsidRDefault="00B86FB3" w:rsidP="00B86FB3">
            <w:pPr>
              <w:jc w:val="center"/>
              <w:rPr>
                <w:rFonts w:eastAsia="Times New Roman"/>
                <w:color w:val="FFFFFF"/>
                <w:sz w:val="16"/>
                <w:szCs w:val="16"/>
              </w:rPr>
            </w:pPr>
            <w:r w:rsidRPr="00FF756A">
              <w:rPr>
                <w:sz w:val="16"/>
                <w:szCs w:val="16"/>
              </w:rPr>
              <w:t>5 295,2</w:t>
            </w:r>
          </w:p>
        </w:tc>
      </w:tr>
      <w:tr w:rsidR="00B86FB3" w:rsidRPr="00FF756A" w14:paraId="318453D1" w14:textId="77777777" w:rsidTr="006A3266">
        <w:trPr>
          <w:trHeight w:val="293"/>
        </w:trPr>
        <w:tc>
          <w:tcPr>
            <w:tcW w:w="9170" w:type="dxa"/>
            <w:gridSpan w:val="9"/>
            <w:tcBorders>
              <w:top w:val="single" w:sz="8" w:space="0" w:color="FFFFFF"/>
              <w:left w:val="single" w:sz="8" w:space="0" w:color="FFFFFF"/>
              <w:bottom w:val="single" w:sz="8" w:space="0" w:color="FFFFFF"/>
              <w:right w:val="single" w:sz="8" w:space="0" w:color="FFFFFF"/>
            </w:tcBorders>
            <w:shd w:val="clear" w:color="000000" w:fill="4F81BD"/>
            <w:noWrap/>
            <w:vAlign w:val="center"/>
            <w:hideMark/>
          </w:tcPr>
          <w:p w14:paraId="5C29252F" w14:textId="77777777" w:rsidR="00B86FB3" w:rsidRPr="00FF756A" w:rsidRDefault="00B86FB3" w:rsidP="00B86FB3">
            <w:pPr>
              <w:rPr>
                <w:rFonts w:eastAsia="Times New Roman"/>
                <w:b/>
                <w:bCs/>
                <w:color w:val="FFFFFF"/>
                <w:sz w:val="16"/>
                <w:szCs w:val="16"/>
              </w:rPr>
            </w:pPr>
            <w:r w:rsidRPr="00FF756A">
              <w:rPr>
                <w:b/>
                <w:bCs/>
                <w:color w:val="FFFFFF"/>
                <w:sz w:val="16"/>
                <w:szCs w:val="16"/>
              </w:rPr>
              <w:t>Kërkesa</w:t>
            </w:r>
          </w:p>
        </w:tc>
      </w:tr>
      <w:tr w:rsidR="00B86FB3" w:rsidRPr="00FF756A" w14:paraId="48CCC983"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3C90474D" w14:textId="77777777" w:rsidR="00B86FB3" w:rsidRPr="00FF756A" w:rsidRDefault="00B86FB3" w:rsidP="00B86FB3">
            <w:pPr>
              <w:rPr>
                <w:rFonts w:eastAsia="Times New Roman"/>
                <w:b/>
                <w:bCs/>
                <w:color w:val="FFFFFF"/>
                <w:sz w:val="16"/>
                <w:szCs w:val="16"/>
              </w:rPr>
            </w:pPr>
            <w:r w:rsidRPr="00FF756A">
              <w:rPr>
                <w:b/>
                <w:bCs/>
                <w:color w:val="FFFFFF"/>
                <w:sz w:val="16"/>
                <w:szCs w:val="16"/>
              </w:rPr>
              <w:t>Sektori i banesave</w:t>
            </w:r>
          </w:p>
        </w:tc>
        <w:tc>
          <w:tcPr>
            <w:tcW w:w="917" w:type="dxa"/>
            <w:tcBorders>
              <w:top w:val="nil"/>
              <w:left w:val="nil"/>
              <w:bottom w:val="single" w:sz="8" w:space="0" w:color="FFFFFF"/>
              <w:right w:val="single" w:sz="8" w:space="0" w:color="FFFFFF"/>
            </w:tcBorders>
            <w:shd w:val="clear" w:color="000000" w:fill="DBE5F1"/>
            <w:noWrap/>
            <w:hideMark/>
          </w:tcPr>
          <w:p w14:paraId="060C2EAA" w14:textId="77777777" w:rsidR="00B86FB3" w:rsidRPr="00FF756A" w:rsidRDefault="00B86FB3" w:rsidP="00B86FB3">
            <w:pPr>
              <w:jc w:val="right"/>
              <w:rPr>
                <w:rFonts w:eastAsia="Times New Roman"/>
                <w:color w:val="000000"/>
                <w:sz w:val="16"/>
                <w:szCs w:val="16"/>
              </w:rPr>
            </w:pPr>
            <w:r w:rsidRPr="00FF756A">
              <w:rPr>
                <w:sz w:val="16"/>
                <w:szCs w:val="16"/>
              </w:rPr>
              <w:t xml:space="preserve"> 359,9 </w:t>
            </w:r>
          </w:p>
        </w:tc>
        <w:tc>
          <w:tcPr>
            <w:tcW w:w="917" w:type="dxa"/>
            <w:tcBorders>
              <w:top w:val="nil"/>
              <w:left w:val="nil"/>
              <w:bottom w:val="single" w:sz="8" w:space="0" w:color="FFFFFF"/>
              <w:right w:val="single" w:sz="8" w:space="0" w:color="FFFFFF"/>
            </w:tcBorders>
            <w:shd w:val="clear" w:color="000000" w:fill="DBE5F1"/>
            <w:noWrap/>
            <w:hideMark/>
          </w:tcPr>
          <w:p w14:paraId="1C66F37F" w14:textId="77777777" w:rsidR="00B86FB3" w:rsidRPr="00FF756A" w:rsidRDefault="00B86FB3" w:rsidP="00B86FB3">
            <w:pPr>
              <w:jc w:val="right"/>
              <w:rPr>
                <w:rFonts w:eastAsia="Times New Roman"/>
                <w:color w:val="000000"/>
                <w:sz w:val="16"/>
                <w:szCs w:val="16"/>
              </w:rPr>
            </w:pPr>
            <w:r w:rsidRPr="00FF756A">
              <w:rPr>
                <w:sz w:val="16"/>
                <w:szCs w:val="16"/>
              </w:rPr>
              <w:t xml:space="preserve"> 363,5 </w:t>
            </w:r>
          </w:p>
        </w:tc>
        <w:tc>
          <w:tcPr>
            <w:tcW w:w="917" w:type="dxa"/>
            <w:tcBorders>
              <w:top w:val="nil"/>
              <w:left w:val="nil"/>
              <w:bottom w:val="single" w:sz="8" w:space="0" w:color="FFFFFF"/>
              <w:right w:val="single" w:sz="8" w:space="0" w:color="FFFFFF"/>
            </w:tcBorders>
            <w:shd w:val="clear" w:color="000000" w:fill="DBE5F1"/>
            <w:noWrap/>
            <w:hideMark/>
          </w:tcPr>
          <w:p w14:paraId="34980A68" w14:textId="77777777" w:rsidR="00B86FB3" w:rsidRPr="00FF756A" w:rsidRDefault="00B86FB3" w:rsidP="00B86FB3">
            <w:pPr>
              <w:jc w:val="right"/>
              <w:rPr>
                <w:rFonts w:eastAsia="Times New Roman"/>
                <w:color w:val="000000"/>
                <w:sz w:val="16"/>
                <w:szCs w:val="16"/>
              </w:rPr>
            </w:pPr>
            <w:r w:rsidRPr="00FF756A">
              <w:rPr>
                <w:sz w:val="16"/>
                <w:szCs w:val="16"/>
              </w:rPr>
              <w:t xml:space="preserve"> 353,5 </w:t>
            </w:r>
          </w:p>
        </w:tc>
        <w:tc>
          <w:tcPr>
            <w:tcW w:w="917" w:type="dxa"/>
            <w:tcBorders>
              <w:top w:val="nil"/>
              <w:left w:val="nil"/>
              <w:bottom w:val="single" w:sz="8" w:space="0" w:color="FFFFFF"/>
              <w:right w:val="single" w:sz="8" w:space="0" w:color="FFFFFF"/>
            </w:tcBorders>
            <w:shd w:val="clear" w:color="000000" w:fill="DBE5F1"/>
            <w:noWrap/>
            <w:hideMark/>
          </w:tcPr>
          <w:p w14:paraId="47D40542" w14:textId="77777777" w:rsidR="00B86FB3" w:rsidRPr="00FF756A" w:rsidRDefault="00B86FB3" w:rsidP="00B86FB3">
            <w:pPr>
              <w:jc w:val="right"/>
              <w:rPr>
                <w:rFonts w:eastAsia="Times New Roman"/>
                <w:color w:val="000000"/>
                <w:sz w:val="16"/>
                <w:szCs w:val="16"/>
              </w:rPr>
            </w:pPr>
            <w:r w:rsidRPr="00FF756A">
              <w:rPr>
                <w:sz w:val="16"/>
                <w:szCs w:val="16"/>
              </w:rPr>
              <w:t xml:space="preserve"> 337,5 </w:t>
            </w:r>
          </w:p>
        </w:tc>
        <w:tc>
          <w:tcPr>
            <w:tcW w:w="917" w:type="dxa"/>
            <w:tcBorders>
              <w:top w:val="nil"/>
              <w:left w:val="nil"/>
              <w:bottom w:val="single" w:sz="8" w:space="0" w:color="FFFFFF"/>
              <w:right w:val="single" w:sz="8" w:space="0" w:color="FFFFFF"/>
            </w:tcBorders>
            <w:shd w:val="clear" w:color="000000" w:fill="DBE5F1"/>
            <w:noWrap/>
            <w:hideMark/>
          </w:tcPr>
          <w:p w14:paraId="2BDA87C6" w14:textId="77777777" w:rsidR="00B86FB3" w:rsidRPr="00FF756A" w:rsidRDefault="00B86FB3" w:rsidP="00B86FB3">
            <w:pPr>
              <w:jc w:val="right"/>
              <w:rPr>
                <w:rFonts w:eastAsia="Times New Roman"/>
                <w:color w:val="000000"/>
                <w:sz w:val="16"/>
                <w:szCs w:val="16"/>
              </w:rPr>
            </w:pPr>
            <w:r w:rsidRPr="00FF756A">
              <w:rPr>
                <w:sz w:val="16"/>
                <w:szCs w:val="16"/>
              </w:rPr>
              <w:t xml:space="preserve"> 325,3 </w:t>
            </w:r>
          </w:p>
        </w:tc>
        <w:tc>
          <w:tcPr>
            <w:tcW w:w="917" w:type="dxa"/>
            <w:tcBorders>
              <w:top w:val="nil"/>
              <w:left w:val="nil"/>
              <w:bottom w:val="single" w:sz="8" w:space="0" w:color="FFFFFF"/>
              <w:right w:val="single" w:sz="8" w:space="0" w:color="FFFFFF"/>
            </w:tcBorders>
            <w:shd w:val="clear" w:color="000000" w:fill="DBE5F1"/>
            <w:noWrap/>
            <w:hideMark/>
          </w:tcPr>
          <w:p w14:paraId="799785C0" w14:textId="77777777" w:rsidR="00B86FB3" w:rsidRPr="00FF756A" w:rsidRDefault="00B86FB3" w:rsidP="00B86FB3">
            <w:pPr>
              <w:jc w:val="right"/>
              <w:rPr>
                <w:rFonts w:eastAsia="Times New Roman"/>
                <w:color w:val="000000"/>
                <w:sz w:val="16"/>
                <w:szCs w:val="16"/>
              </w:rPr>
            </w:pPr>
            <w:r w:rsidRPr="00FF756A">
              <w:rPr>
                <w:sz w:val="16"/>
                <w:szCs w:val="16"/>
              </w:rPr>
              <w:t xml:space="preserve"> 291,6 </w:t>
            </w:r>
          </w:p>
        </w:tc>
        <w:tc>
          <w:tcPr>
            <w:tcW w:w="918" w:type="dxa"/>
            <w:tcBorders>
              <w:top w:val="nil"/>
              <w:left w:val="nil"/>
              <w:bottom w:val="single" w:sz="8" w:space="0" w:color="FFFFFF"/>
              <w:right w:val="single" w:sz="8" w:space="0" w:color="FFFFFF"/>
            </w:tcBorders>
            <w:shd w:val="clear" w:color="000000" w:fill="DBE5F1"/>
            <w:noWrap/>
            <w:hideMark/>
          </w:tcPr>
          <w:p w14:paraId="44F31A40" w14:textId="77777777" w:rsidR="00B86FB3" w:rsidRPr="00FF756A" w:rsidRDefault="00B86FB3" w:rsidP="00B86FB3">
            <w:pPr>
              <w:jc w:val="right"/>
              <w:rPr>
                <w:rFonts w:eastAsia="Times New Roman"/>
                <w:color w:val="000000"/>
                <w:sz w:val="16"/>
                <w:szCs w:val="16"/>
              </w:rPr>
            </w:pPr>
            <w:r w:rsidRPr="00FF756A">
              <w:rPr>
                <w:sz w:val="16"/>
                <w:szCs w:val="16"/>
              </w:rPr>
              <w:t xml:space="preserve"> 190,2 </w:t>
            </w:r>
          </w:p>
        </w:tc>
        <w:tc>
          <w:tcPr>
            <w:tcW w:w="918" w:type="dxa"/>
            <w:tcBorders>
              <w:top w:val="nil"/>
              <w:left w:val="nil"/>
              <w:bottom w:val="single" w:sz="8" w:space="0" w:color="FFFFFF"/>
              <w:right w:val="single" w:sz="8" w:space="0" w:color="FFFFFF"/>
            </w:tcBorders>
            <w:shd w:val="clear" w:color="000000" w:fill="DBE5F1"/>
          </w:tcPr>
          <w:p w14:paraId="3D42DAB3" w14:textId="77777777" w:rsidR="00B86FB3" w:rsidRPr="00FF756A" w:rsidRDefault="00B86FB3" w:rsidP="00B86FB3">
            <w:pPr>
              <w:jc w:val="right"/>
              <w:rPr>
                <w:rFonts w:eastAsia="Times New Roman"/>
                <w:color w:val="000000"/>
                <w:sz w:val="16"/>
                <w:szCs w:val="16"/>
              </w:rPr>
            </w:pPr>
            <w:r w:rsidRPr="00FF756A">
              <w:rPr>
                <w:sz w:val="16"/>
                <w:szCs w:val="16"/>
              </w:rPr>
              <w:t xml:space="preserve"> 123,4 </w:t>
            </w:r>
          </w:p>
        </w:tc>
      </w:tr>
      <w:tr w:rsidR="00B86FB3" w:rsidRPr="00FF756A" w14:paraId="11E316E3"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735B812D" w14:textId="77777777" w:rsidR="00B86FB3" w:rsidRPr="00FF756A" w:rsidRDefault="00B86FB3" w:rsidP="00B86FB3">
            <w:pPr>
              <w:rPr>
                <w:rFonts w:eastAsia="Times New Roman"/>
                <w:b/>
                <w:bCs/>
                <w:color w:val="FFFFFF"/>
                <w:sz w:val="16"/>
                <w:szCs w:val="16"/>
              </w:rPr>
            </w:pPr>
            <w:r w:rsidRPr="00FF756A">
              <w:rPr>
                <w:b/>
                <w:bCs/>
                <w:color w:val="FFFFFF"/>
                <w:sz w:val="16"/>
                <w:szCs w:val="16"/>
              </w:rPr>
              <w:t>Shërbimet</w:t>
            </w:r>
          </w:p>
        </w:tc>
        <w:tc>
          <w:tcPr>
            <w:tcW w:w="917" w:type="dxa"/>
            <w:tcBorders>
              <w:top w:val="nil"/>
              <w:left w:val="nil"/>
              <w:bottom w:val="single" w:sz="8" w:space="0" w:color="FFFFFF"/>
              <w:right w:val="single" w:sz="8" w:space="0" w:color="FFFFFF"/>
            </w:tcBorders>
            <w:shd w:val="clear" w:color="000000" w:fill="B8CCE4"/>
            <w:noWrap/>
            <w:hideMark/>
          </w:tcPr>
          <w:p w14:paraId="18778C58" w14:textId="77777777" w:rsidR="00B86FB3" w:rsidRPr="00FF756A" w:rsidRDefault="00B86FB3" w:rsidP="00B86FB3">
            <w:pPr>
              <w:jc w:val="right"/>
              <w:rPr>
                <w:rFonts w:eastAsia="Times New Roman"/>
                <w:color w:val="000000"/>
                <w:sz w:val="16"/>
                <w:szCs w:val="16"/>
              </w:rPr>
            </w:pPr>
            <w:r w:rsidRPr="00FF756A">
              <w:rPr>
                <w:sz w:val="16"/>
                <w:szCs w:val="16"/>
              </w:rPr>
              <w:t xml:space="preserve"> 193,3 </w:t>
            </w:r>
          </w:p>
        </w:tc>
        <w:tc>
          <w:tcPr>
            <w:tcW w:w="917" w:type="dxa"/>
            <w:tcBorders>
              <w:top w:val="nil"/>
              <w:left w:val="nil"/>
              <w:bottom w:val="single" w:sz="8" w:space="0" w:color="FFFFFF"/>
              <w:right w:val="single" w:sz="8" w:space="0" w:color="FFFFFF"/>
            </w:tcBorders>
            <w:shd w:val="clear" w:color="000000" w:fill="B8CCE4"/>
            <w:noWrap/>
            <w:hideMark/>
          </w:tcPr>
          <w:p w14:paraId="3D4FBC26" w14:textId="77777777" w:rsidR="00B86FB3" w:rsidRPr="00FF756A" w:rsidRDefault="00B86FB3" w:rsidP="00B86FB3">
            <w:pPr>
              <w:jc w:val="right"/>
              <w:rPr>
                <w:rFonts w:eastAsia="Times New Roman"/>
                <w:color w:val="000000"/>
                <w:sz w:val="16"/>
                <w:szCs w:val="16"/>
              </w:rPr>
            </w:pPr>
            <w:r w:rsidRPr="00FF756A">
              <w:rPr>
                <w:sz w:val="16"/>
                <w:szCs w:val="16"/>
              </w:rPr>
              <w:t xml:space="preserve"> 213,9 </w:t>
            </w:r>
          </w:p>
        </w:tc>
        <w:tc>
          <w:tcPr>
            <w:tcW w:w="917" w:type="dxa"/>
            <w:tcBorders>
              <w:top w:val="nil"/>
              <w:left w:val="nil"/>
              <w:bottom w:val="single" w:sz="8" w:space="0" w:color="FFFFFF"/>
              <w:right w:val="single" w:sz="8" w:space="0" w:color="FFFFFF"/>
            </w:tcBorders>
            <w:shd w:val="clear" w:color="000000" w:fill="B8CCE4"/>
            <w:noWrap/>
            <w:hideMark/>
          </w:tcPr>
          <w:p w14:paraId="36F1CFC7" w14:textId="77777777" w:rsidR="00B86FB3" w:rsidRPr="00FF756A" w:rsidRDefault="00B86FB3" w:rsidP="00B86FB3">
            <w:pPr>
              <w:jc w:val="right"/>
              <w:rPr>
                <w:rFonts w:eastAsia="Times New Roman"/>
                <w:color w:val="000000"/>
                <w:sz w:val="16"/>
                <w:szCs w:val="16"/>
              </w:rPr>
            </w:pPr>
            <w:r w:rsidRPr="00FF756A">
              <w:rPr>
                <w:sz w:val="16"/>
                <w:szCs w:val="16"/>
              </w:rPr>
              <w:t xml:space="preserve"> 213,9 </w:t>
            </w:r>
          </w:p>
        </w:tc>
        <w:tc>
          <w:tcPr>
            <w:tcW w:w="917" w:type="dxa"/>
            <w:tcBorders>
              <w:top w:val="nil"/>
              <w:left w:val="nil"/>
              <w:bottom w:val="single" w:sz="8" w:space="0" w:color="FFFFFF"/>
              <w:right w:val="single" w:sz="8" w:space="0" w:color="FFFFFF"/>
            </w:tcBorders>
            <w:shd w:val="clear" w:color="000000" w:fill="B8CCE4"/>
            <w:noWrap/>
            <w:hideMark/>
          </w:tcPr>
          <w:p w14:paraId="75BCD431" w14:textId="77777777" w:rsidR="00B86FB3" w:rsidRPr="00FF756A" w:rsidRDefault="00B86FB3" w:rsidP="00B86FB3">
            <w:pPr>
              <w:jc w:val="right"/>
              <w:rPr>
                <w:rFonts w:eastAsia="Times New Roman"/>
                <w:color w:val="000000"/>
                <w:sz w:val="16"/>
                <w:szCs w:val="16"/>
              </w:rPr>
            </w:pPr>
            <w:r w:rsidRPr="00FF756A">
              <w:rPr>
                <w:sz w:val="16"/>
                <w:szCs w:val="16"/>
              </w:rPr>
              <w:t xml:space="preserve"> 219,7 </w:t>
            </w:r>
          </w:p>
        </w:tc>
        <w:tc>
          <w:tcPr>
            <w:tcW w:w="917" w:type="dxa"/>
            <w:tcBorders>
              <w:top w:val="nil"/>
              <w:left w:val="nil"/>
              <w:bottom w:val="single" w:sz="8" w:space="0" w:color="FFFFFF"/>
              <w:right w:val="single" w:sz="8" w:space="0" w:color="FFFFFF"/>
            </w:tcBorders>
            <w:shd w:val="clear" w:color="000000" w:fill="B8CCE4"/>
            <w:noWrap/>
            <w:hideMark/>
          </w:tcPr>
          <w:p w14:paraId="68253FE7" w14:textId="77777777" w:rsidR="00B86FB3" w:rsidRPr="00FF756A" w:rsidRDefault="00B86FB3" w:rsidP="00B86FB3">
            <w:pPr>
              <w:jc w:val="right"/>
              <w:rPr>
                <w:rFonts w:eastAsia="Times New Roman"/>
                <w:color w:val="000000"/>
                <w:sz w:val="16"/>
                <w:szCs w:val="16"/>
              </w:rPr>
            </w:pPr>
            <w:r w:rsidRPr="00FF756A">
              <w:rPr>
                <w:sz w:val="16"/>
                <w:szCs w:val="16"/>
              </w:rPr>
              <w:t xml:space="preserve"> 231,7 </w:t>
            </w:r>
          </w:p>
        </w:tc>
        <w:tc>
          <w:tcPr>
            <w:tcW w:w="917" w:type="dxa"/>
            <w:tcBorders>
              <w:top w:val="nil"/>
              <w:left w:val="nil"/>
              <w:bottom w:val="single" w:sz="8" w:space="0" w:color="FFFFFF"/>
              <w:right w:val="single" w:sz="8" w:space="0" w:color="FFFFFF"/>
            </w:tcBorders>
            <w:shd w:val="clear" w:color="000000" w:fill="B8CCE4"/>
            <w:noWrap/>
            <w:hideMark/>
          </w:tcPr>
          <w:p w14:paraId="78117487" w14:textId="77777777" w:rsidR="00B86FB3" w:rsidRPr="00FF756A" w:rsidRDefault="00B86FB3" w:rsidP="00B86FB3">
            <w:pPr>
              <w:jc w:val="right"/>
              <w:rPr>
                <w:rFonts w:eastAsia="Times New Roman"/>
                <w:color w:val="000000"/>
                <w:sz w:val="16"/>
                <w:szCs w:val="16"/>
              </w:rPr>
            </w:pPr>
            <w:r w:rsidRPr="00FF756A">
              <w:rPr>
                <w:sz w:val="16"/>
                <w:szCs w:val="16"/>
              </w:rPr>
              <w:t xml:space="preserve"> 247,0 </w:t>
            </w:r>
          </w:p>
        </w:tc>
        <w:tc>
          <w:tcPr>
            <w:tcW w:w="918" w:type="dxa"/>
            <w:tcBorders>
              <w:top w:val="nil"/>
              <w:left w:val="nil"/>
              <w:bottom w:val="single" w:sz="8" w:space="0" w:color="FFFFFF"/>
              <w:right w:val="single" w:sz="8" w:space="0" w:color="FFFFFF"/>
            </w:tcBorders>
            <w:shd w:val="clear" w:color="000000" w:fill="B8CCE4"/>
            <w:noWrap/>
            <w:hideMark/>
          </w:tcPr>
          <w:p w14:paraId="50B069A9" w14:textId="77777777" w:rsidR="00B86FB3" w:rsidRPr="00FF756A" w:rsidRDefault="00B86FB3" w:rsidP="00B86FB3">
            <w:pPr>
              <w:jc w:val="right"/>
              <w:rPr>
                <w:rFonts w:eastAsia="Times New Roman"/>
                <w:color w:val="000000"/>
                <w:sz w:val="16"/>
                <w:szCs w:val="16"/>
              </w:rPr>
            </w:pPr>
            <w:r w:rsidRPr="00FF756A">
              <w:rPr>
                <w:sz w:val="16"/>
                <w:szCs w:val="16"/>
              </w:rPr>
              <w:t xml:space="preserve"> 272,3 </w:t>
            </w:r>
          </w:p>
        </w:tc>
        <w:tc>
          <w:tcPr>
            <w:tcW w:w="918" w:type="dxa"/>
            <w:tcBorders>
              <w:top w:val="nil"/>
              <w:left w:val="nil"/>
              <w:bottom w:val="single" w:sz="8" w:space="0" w:color="FFFFFF"/>
              <w:right w:val="single" w:sz="8" w:space="0" w:color="FFFFFF"/>
            </w:tcBorders>
            <w:shd w:val="clear" w:color="000000" w:fill="B8CCE4"/>
          </w:tcPr>
          <w:p w14:paraId="1AD253BC" w14:textId="77777777" w:rsidR="00B86FB3" w:rsidRPr="00FF756A" w:rsidRDefault="00B86FB3" w:rsidP="00B86FB3">
            <w:pPr>
              <w:jc w:val="right"/>
              <w:rPr>
                <w:rFonts w:eastAsia="Times New Roman"/>
                <w:color w:val="000000"/>
                <w:sz w:val="16"/>
                <w:szCs w:val="16"/>
                <w:highlight w:val="green"/>
              </w:rPr>
            </w:pPr>
            <w:r w:rsidRPr="00FF756A">
              <w:rPr>
                <w:sz w:val="16"/>
                <w:szCs w:val="16"/>
              </w:rPr>
              <w:t xml:space="preserve"> 306,6 </w:t>
            </w:r>
          </w:p>
        </w:tc>
      </w:tr>
      <w:tr w:rsidR="00B86FB3" w:rsidRPr="00FF756A" w14:paraId="347F9BE3"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4FF1AFCC" w14:textId="77777777" w:rsidR="00B86FB3" w:rsidRPr="00FF756A" w:rsidRDefault="00B86FB3" w:rsidP="00B86FB3">
            <w:pPr>
              <w:rPr>
                <w:rFonts w:eastAsia="Times New Roman"/>
                <w:b/>
                <w:bCs/>
                <w:color w:val="FFFFFF"/>
                <w:sz w:val="16"/>
                <w:szCs w:val="16"/>
              </w:rPr>
            </w:pPr>
            <w:r w:rsidRPr="00FF756A">
              <w:rPr>
                <w:b/>
                <w:bCs/>
                <w:color w:val="FFFFFF"/>
                <w:sz w:val="16"/>
                <w:szCs w:val="16"/>
              </w:rPr>
              <w:t>Industria</w:t>
            </w:r>
          </w:p>
        </w:tc>
        <w:tc>
          <w:tcPr>
            <w:tcW w:w="917" w:type="dxa"/>
            <w:tcBorders>
              <w:top w:val="nil"/>
              <w:left w:val="nil"/>
              <w:bottom w:val="single" w:sz="8" w:space="0" w:color="FFFFFF"/>
              <w:right w:val="single" w:sz="8" w:space="0" w:color="FFFFFF"/>
            </w:tcBorders>
            <w:shd w:val="clear" w:color="000000" w:fill="DBE5F1"/>
            <w:noWrap/>
            <w:hideMark/>
          </w:tcPr>
          <w:p w14:paraId="05F1FAD5" w14:textId="77777777" w:rsidR="00B86FB3" w:rsidRPr="00FF756A" w:rsidRDefault="00B86FB3" w:rsidP="00B86FB3">
            <w:pPr>
              <w:jc w:val="right"/>
              <w:rPr>
                <w:rFonts w:eastAsia="Times New Roman"/>
                <w:color w:val="000000"/>
                <w:sz w:val="16"/>
                <w:szCs w:val="16"/>
              </w:rPr>
            </w:pPr>
            <w:r w:rsidRPr="00FF756A">
              <w:rPr>
                <w:sz w:val="16"/>
                <w:szCs w:val="16"/>
              </w:rPr>
              <w:t xml:space="preserve"> 923,3 </w:t>
            </w:r>
          </w:p>
        </w:tc>
        <w:tc>
          <w:tcPr>
            <w:tcW w:w="917" w:type="dxa"/>
            <w:tcBorders>
              <w:top w:val="nil"/>
              <w:left w:val="nil"/>
              <w:bottom w:val="single" w:sz="8" w:space="0" w:color="FFFFFF"/>
              <w:right w:val="single" w:sz="8" w:space="0" w:color="FFFFFF"/>
            </w:tcBorders>
            <w:shd w:val="clear" w:color="000000" w:fill="DBE5F1"/>
            <w:noWrap/>
            <w:hideMark/>
          </w:tcPr>
          <w:p w14:paraId="2F306910" w14:textId="77777777" w:rsidR="00B86FB3" w:rsidRPr="00FF756A" w:rsidRDefault="00B86FB3" w:rsidP="00B86FB3">
            <w:pPr>
              <w:jc w:val="right"/>
              <w:rPr>
                <w:rFonts w:eastAsia="Times New Roman"/>
                <w:color w:val="000000"/>
                <w:sz w:val="16"/>
                <w:szCs w:val="16"/>
              </w:rPr>
            </w:pPr>
            <w:r w:rsidRPr="00FF756A">
              <w:rPr>
                <w:sz w:val="16"/>
                <w:szCs w:val="16"/>
              </w:rPr>
              <w:t xml:space="preserve"> 1 186,1 </w:t>
            </w:r>
          </w:p>
        </w:tc>
        <w:tc>
          <w:tcPr>
            <w:tcW w:w="917" w:type="dxa"/>
            <w:tcBorders>
              <w:top w:val="nil"/>
              <w:left w:val="nil"/>
              <w:bottom w:val="single" w:sz="8" w:space="0" w:color="FFFFFF"/>
              <w:right w:val="single" w:sz="8" w:space="0" w:color="FFFFFF"/>
            </w:tcBorders>
            <w:shd w:val="clear" w:color="000000" w:fill="DBE5F1"/>
            <w:noWrap/>
            <w:hideMark/>
          </w:tcPr>
          <w:p w14:paraId="6F3B60AE" w14:textId="77777777" w:rsidR="00B86FB3" w:rsidRPr="00FF756A" w:rsidRDefault="00B86FB3" w:rsidP="00B86FB3">
            <w:pPr>
              <w:jc w:val="right"/>
              <w:rPr>
                <w:rFonts w:eastAsia="Times New Roman"/>
                <w:color w:val="000000"/>
                <w:sz w:val="16"/>
                <w:szCs w:val="16"/>
              </w:rPr>
            </w:pPr>
            <w:r w:rsidRPr="00FF756A">
              <w:rPr>
                <w:sz w:val="16"/>
                <w:szCs w:val="16"/>
              </w:rPr>
              <w:t xml:space="preserve"> 1 169,8 </w:t>
            </w:r>
          </w:p>
        </w:tc>
        <w:tc>
          <w:tcPr>
            <w:tcW w:w="917" w:type="dxa"/>
            <w:tcBorders>
              <w:top w:val="nil"/>
              <w:left w:val="nil"/>
              <w:bottom w:val="single" w:sz="8" w:space="0" w:color="FFFFFF"/>
              <w:right w:val="single" w:sz="8" w:space="0" w:color="FFFFFF"/>
            </w:tcBorders>
            <w:shd w:val="clear" w:color="000000" w:fill="DBE5F1"/>
            <w:noWrap/>
            <w:hideMark/>
          </w:tcPr>
          <w:p w14:paraId="53F8D331" w14:textId="77777777" w:rsidR="00B86FB3" w:rsidRPr="00FF756A" w:rsidRDefault="00B86FB3" w:rsidP="00B86FB3">
            <w:pPr>
              <w:jc w:val="right"/>
              <w:rPr>
                <w:rFonts w:eastAsia="Times New Roman"/>
                <w:color w:val="000000"/>
                <w:sz w:val="16"/>
                <w:szCs w:val="16"/>
              </w:rPr>
            </w:pPr>
            <w:r w:rsidRPr="00FF756A">
              <w:rPr>
                <w:sz w:val="16"/>
                <w:szCs w:val="16"/>
              </w:rPr>
              <w:t xml:space="preserve"> 1 196,2 </w:t>
            </w:r>
          </w:p>
        </w:tc>
        <w:tc>
          <w:tcPr>
            <w:tcW w:w="917" w:type="dxa"/>
            <w:tcBorders>
              <w:top w:val="nil"/>
              <w:left w:val="nil"/>
              <w:bottom w:val="single" w:sz="8" w:space="0" w:color="FFFFFF"/>
              <w:right w:val="single" w:sz="8" w:space="0" w:color="FFFFFF"/>
            </w:tcBorders>
            <w:shd w:val="clear" w:color="000000" w:fill="DBE5F1"/>
            <w:noWrap/>
            <w:hideMark/>
          </w:tcPr>
          <w:p w14:paraId="0BCAF2DE" w14:textId="77777777" w:rsidR="00B86FB3" w:rsidRPr="00FF756A" w:rsidRDefault="00B86FB3" w:rsidP="00B86FB3">
            <w:pPr>
              <w:jc w:val="right"/>
              <w:rPr>
                <w:rFonts w:eastAsia="Times New Roman"/>
                <w:color w:val="000000"/>
                <w:sz w:val="16"/>
                <w:szCs w:val="16"/>
              </w:rPr>
            </w:pPr>
            <w:r w:rsidRPr="00FF756A">
              <w:rPr>
                <w:sz w:val="16"/>
                <w:szCs w:val="16"/>
              </w:rPr>
              <w:t xml:space="preserve"> 1 248,2 </w:t>
            </w:r>
          </w:p>
        </w:tc>
        <w:tc>
          <w:tcPr>
            <w:tcW w:w="917" w:type="dxa"/>
            <w:tcBorders>
              <w:top w:val="nil"/>
              <w:left w:val="nil"/>
              <w:bottom w:val="single" w:sz="8" w:space="0" w:color="FFFFFF"/>
              <w:right w:val="single" w:sz="8" w:space="0" w:color="FFFFFF"/>
            </w:tcBorders>
            <w:shd w:val="clear" w:color="000000" w:fill="DBE5F1"/>
            <w:noWrap/>
            <w:hideMark/>
          </w:tcPr>
          <w:p w14:paraId="03D3EFFD" w14:textId="77777777" w:rsidR="00B86FB3" w:rsidRPr="00FF756A" w:rsidRDefault="00B86FB3" w:rsidP="00B86FB3">
            <w:pPr>
              <w:jc w:val="right"/>
              <w:rPr>
                <w:rFonts w:eastAsia="Times New Roman"/>
                <w:color w:val="000000"/>
                <w:sz w:val="16"/>
                <w:szCs w:val="16"/>
              </w:rPr>
            </w:pPr>
            <w:r w:rsidRPr="00FF756A">
              <w:rPr>
                <w:sz w:val="16"/>
                <w:szCs w:val="16"/>
              </w:rPr>
              <w:t xml:space="preserve"> 1 233,6 </w:t>
            </w:r>
          </w:p>
        </w:tc>
        <w:tc>
          <w:tcPr>
            <w:tcW w:w="918" w:type="dxa"/>
            <w:tcBorders>
              <w:top w:val="nil"/>
              <w:left w:val="nil"/>
              <w:bottom w:val="single" w:sz="8" w:space="0" w:color="FFFFFF"/>
              <w:right w:val="single" w:sz="8" w:space="0" w:color="FFFFFF"/>
            </w:tcBorders>
            <w:shd w:val="clear" w:color="000000" w:fill="DBE5F1"/>
            <w:noWrap/>
            <w:hideMark/>
          </w:tcPr>
          <w:p w14:paraId="74AA7F5E" w14:textId="77777777" w:rsidR="00B86FB3" w:rsidRPr="00FF756A" w:rsidRDefault="00B86FB3" w:rsidP="00B86FB3">
            <w:pPr>
              <w:jc w:val="right"/>
              <w:rPr>
                <w:rFonts w:eastAsia="Times New Roman"/>
                <w:color w:val="000000"/>
                <w:sz w:val="16"/>
                <w:szCs w:val="16"/>
              </w:rPr>
            </w:pPr>
            <w:r w:rsidRPr="00FF756A">
              <w:rPr>
                <w:sz w:val="16"/>
                <w:szCs w:val="16"/>
              </w:rPr>
              <w:t xml:space="preserve"> 1 005,7 </w:t>
            </w:r>
          </w:p>
        </w:tc>
        <w:tc>
          <w:tcPr>
            <w:tcW w:w="918" w:type="dxa"/>
            <w:tcBorders>
              <w:top w:val="nil"/>
              <w:left w:val="nil"/>
              <w:bottom w:val="single" w:sz="8" w:space="0" w:color="FFFFFF"/>
              <w:right w:val="single" w:sz="8" w:space="0" w:color="FFFFFF"/>
            </w:tcBorders>
            <w:shd w:val="clear" w:color="000000" w:fill="DBE5F1"/>
          </w:tcPr>
          <w:p w14:paraId="4BE53DC5" w14:textId="77777777" w:rsidR="00B86FB3" w:rsidRPr="00FF756A" w:rsidRDefault="00B86FB3" w:rsidP="00B86FB3">
            <w:pPr>
              <w:jc w:val="right"/>
              <w:rPr>
                <w:rFonts w:eastAsia="Times New Roman"/>
                <w:color w:val="000000"/>
                <w:sz w:val="16"/>
                <w:szCs w:val="16"/>
                <w:highlight w:val="green"/>
              </w:rPr>
            </w:pPr>
            <w:r w:rsidRPr="00FF756A">
              <w:rPr>
                <w:sz w:val="16"/>
                <w:szCs w:val="16"/>
              </w:rPr>
              <w:t xml:space="preserve"> 776,7 </w:t>
            </w:r>
          </w:p>
        </w:tc>
      </w:tr>
      <w:tr w:rsidR="00B86FB3" w:rsidRPr="00FF756A" w14:paraId="6BF5975D"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1E8C2DD5" w14:textId="77777777" w:rsidR="00B86FB3" w:rsidRPr="00FF756A" w:rsidRDefault="00B86FB3" w:rsidP="00B86FB3">
            <w:pPr>
              <w:rPr>
                <w:rFonts w:eastAsia="Times New Roman"/>
                <w:b/>
                <w:bCs/>
                <w:color w:val="FFFFFF"/>
                <w:sz w:val="16"/>
                <w:szCs w:val="16"/>
              </w:rPr>
            </w:pPr>
            <w:r w:rsidRPr="00FF756A">
              <w:rPr>
                <w:b/>
                <w:bCs/>
                <w:color w:val="FFFFFF"/>
                <w:sz w:val="16"/>
                <w:szCs w:val="16"/>
              </w:rPr>
              <w:t>Transporti</w:t>
            </w:r>
          </w:p>
        </w:tc>
        <w:tc>
          <w:tcPr>
            <w:tcW w:w="917" w:type="dxa"/>
            <w:tcBorders>
              <w:top w:val="nil"/>
              <w:left w:val="nil"/>
              <w:bottom w:val="single" w:sz="8" w:space="0" w:color="FFFFFF"/>
              <w:right w:val="single" w:sz="8" w:space="0" w:color="FFFFFF"/>
            </w:tcBorders>
            <w:shd w:val="clear" w:color="000000" w:fill="B8CCE4"/>
            <w:noWrap/>
            <w:hideMark/>
          </w:tcPr>
          <w:p w14:paraId="02C6FA1B" w14:textId="77777777" w:rsidR="00B86FB3" w:rsidRPr="00FF756A" w:rsidRDefault="00B86FB3" w:rsidP="00B86FB3">
            <w:pPr>
              <w:jc w:val="right"/>
              <w:rPr>
                <w:rFonts w:eastAsia="Times New Roman"/>
                <w:color w:val="000000"/>
                <w:sz w:val="16"/>
                <w:szCs w:val="16"/>
              </w:rPr>
            </w:pPr>
            <w:r w:rsidRPr="00FF756A">
              <w:rPr>
                <w:sz w:val="16"/>
                <w:szCs w:val="16"/>
              </w:rPr>
              <w:t xml:space="preserve"> 1 979,4 </w:t>
            </w:r>
          </w:p>
        </w:tc>
        <w:tc>
          <w:tcPr>
            <w:tcW w:w="917" w:type="dxa"/>
            <w:tcBorders>
              <w:top w:val="nil"/>
              <w:left w:val="nil"/>
              <w:bottom w:val="single" w:sz="8" w:space="0" w:color="FFFFFF"/>
              <w:right w:val="single" w:sz="8" w:space="0" w:color="FFFFFF"/>
            </w:tcBorders>
            <w:shd w:val="clear" w:color="000000" w:fill="B8CCE4"/>
            <w:noWrap/>
            <w:hideMark/>
          </w:tcPr>
          <w:p w14:paraId="26759A5A" w14:textId="77777777" w:rsidR="00B86FB3" w:rsidRPr="00FF756A" w:rsidRDefault="00B86FB3" w:rsidP="00B86FB3">
            <w:pPr>
              <w:jc w:val="right"/>
              <w:rPr>
                <w:rFonts w:eastAsia="Times New Roman"/>
                <w:color w:val="000000"/>
                <w:sz w:val="16"/>
                <w:szCs w:val="16"/>
              </w:rPr>
            </w:pPr>
            <w:r w:rsidRPr="00FF756A">
              <w:rPr>
                <w:sz w:val="16"/>
                <w:szCs w:val="16"/>
              </w:rPr>
              <w:t xml:space="preserve"> 2 099,3 </w:t>
            </w:r>
          </w:p>
        </w:tc>
        <w:tc>
          <w:tcPr>
            <w:tcW w:w="917" w:type="dxa"/>
            <w:tcBorders>
              <w:top w:val="nil"/>
              <w:left w:val="nil"/>
              <w:bottom w:val="single" w:sz="8" w:space="0" w:color="FFFFFF"/>
              <w:right w:val="single" w:sz="8" w:space="0" w:color="FFFFFF"/>
            </w:tcBorders>
            <w:shd w:val="clear" w:color="000000" w:fill="B8CCE4"/>
            <w:noWrap/>
            <w:hideMark/>
          </w:tcPr>
          <w:p w14:paraId="08AF3F8D" w14:textId="77777777" w:rsidR="00B86FB3" w:rsidRPr="00FF756A" w:rsidRDefault="00B86FB3" w:rsidP="00B86FB3">
            <w:pPr>
              <w:jc w:val="right"/>
              <w:rPr>
                <w:rFonts w:eastAsia="Times New Roman"/>
                <w:color w:val="000000"/>
                <w:sz w:val="16"/>
                <w:szCs w:val="16"/>
              </w:rPr>
            </w:pPr>
            <w:r w:rsidRPr="00FF756A">
              <w:rPr>
                <w:sz w:val="16"/>
                <w:szCs w:val="16"/>
              </w:rPr>
              <w:t xml:space="preserve"> 2 180,7 </w:t>
            </w:r>
          </w:p>
        </w:tc>
        <w:tc>
          <w:tcPr>
            <w:tcW w:w="917" w:type="dxa"/>
            <w:tcBorders>
              <w:top w:val="nil"/>
              <w:left w:val="nil"/>
              <w:bottom w:val="single" w:sz="8" w:space="0" w:color="FFFFFF"/>
              <w:right w:val="single" w:sz="8" w:space="0" w:color="FFFFFF"/>
            </w:tcBorders>
            <w:shd w:val="clear" w:color="000000" w:fill="B8CCE4"/>
            <w:noWrap/>
            <w:hideMark/>
          </w:tcPr>
          <w:p w14:paraId="4625A7F7" w14:textId="77777777" w:rsidR="00B86FB3" w:rsidRPr="00FF756A" w:rsidRDefault="00B86FB3" w:rsidP="00B86FB3">
            <w:pPr>
              <w:jc w:val="right"/>
              <w:rPr>
                <w:rFonts w:eastAsia="Times New Roman"/>
                <w:color w:val="000000"/>
                <w:sz w:val="16"/>
                <w:szCs w:val="16"/>
              </w:rPr>
            </w:pPr>
            <w:r w:rsidRPr="00FF756A">
              <w:rPr>
                <w:sz w:val="16"/>
                <w:szCs w:val="16"/>
              </w:rPr>
              <w:t xml:space="preserve"> 2 057,5 </w:t>
            </w:r>
          </w:p>
        </w:tc>
        <w:tc>
          <w:tcPr>
            <w:tcW w:w="917" w:type="dxa"/>
            <w:tcBorders>
              <w:top w:val="nil"/>
              <w:left w:val="nil"/>
              <w:bottom w:val="single" w:sz="8" w:space="0" w:color="FFFFFF"/>
              <w:right w:val="single" w:sz="8" w:space="0" w:color="FFFFFF"/>
            </w:tcBorders>
            <w:shd w:val="clear" w:color="000000" w:fill="B8CCE4"/>
            <w:noWrap/>
            <w:hideMark/>
          </w:tcPr>
          <w:p w14:paraId="2DA97ADC" w14:textId="77777777" w:rsidR="00B86FB3" w:rsidRPr="00FF756A" w:rsidRDefault="00B86FB3" w:rsidP="00B86FB3">
            <w:pPr>
              <w:jc w:val="right"/>
              <w:rPr>
                <w:rFonts w:eastAsia="Times New Roman"/>
                <w:color w:val="000000"/>
                <w:sz w:val="16"/>
                <w:szCs w:val="16"/>
              </w:rPr>
            </w:pPr>
            <w:r w:rsidRPr="00FF756A">
              <w:rPr>
                <w:sz w:val="16"/>
                <w:szCs w:val="16"/>
              </w:rPr>
              <w:t xml:space="preserve"> 2 015,5 </w:t>
            </w:r>
          </w:p>
        </w:tc>
        <w:tc>
          <w:tcPr>
            <w:tcW w:w="917" w:type="dxa"/>
            <w:tcBorders>
              <w:top w:val="nil"/>
              <w:left w:val="nil"/>
              <w:bottom w:val="single" w:sz="8" w:space="0" w:color="FFFFFF"/>
              <w:right w:val="single" w:sz="8" w:space="0" w:color="FFFFFF"/>
            </w:tcBorders>
            <w:shd w:val="clear" w:color="000000" w:fill="B8CCE4"/>
            <w:noWrap/>
            <w:hideMark/>
          </w:tcPr>
          <w:p w14:paraId="59DB1260" w14:textId="77777777" w:rsidR="00B86FB3" w:rsidRPr="00FF756A" w:rsidRDefault="00B86FB3" w:rsidP="00B86FB3">
            <w:pPr>
              <w:jc w:val="right"/>
              <w:rPr>
                <w:rFonts w:eastAsia="Times New Roman"/>
                <w:color w:val="000000"/>
                <w:sz w:val="16"/>
                <w:szCs w:val="16"/>
              </w:rPr>
            </w:pPr>
            <w:r w:rsidRPr="00FF756A">
              <w:rPr>
                <w:sz w:val="16"/>
                <w:szCs w:val="16"/>
              </w:rPr>
              <w:t xml:space="preserve"> 2 024,9 </w:t>
            </w:r>
          </w:p>
        </w:tc>
        <w:tc>
          <w:tcPr>
            <w:tcW w:w="918" w:type="dxa"/>
            <w:tcBorders>
              <w:top w:val="nil"/>
              <w:left w:val="nil"/>
              <w:bottom w:val="single" w:sz="8" w:space="0" w:color="FFFFFF"/>
              <w:right w:val="single" w:sz="8" w:space="0" w:color="FFFFFF"/>
            </w:tcBorders>
            <w:shd w:val="clear" w:color="000000" w:fill="B8CCE4"/>
            <w:noWrap/>
            <w:hideMark/>
          </w:tcPr>
          <w:p w14:paraId="445CDF84" w14:textId="77777777" w:rsidR="00B86FB3" w:rsidRPr="00FF756A" w:rsidRDefault="00B86FB3" w:rsidP="00B86FB3">
            <w:pPr>
              <w:jc w:val="right"/>
              <w:rPr>
                <w:rFonts w:eastAsia="Times New Roman"/>
                <w:color w:val="000000"/>
                <w:sz w:val="16"/>
                <w:szCs w:val="16"/>
              </w:rPr>
            </w:pPr>
            <w:r w:rsidRPr="00FF756A">
              <w:rPr>
                <w:sz w:val="16"/>
                <w:szCs w:val="16"/>
              </w:rPr>
              <w:t xml:space="preserve"> 1 656,0 </w:t>
            </w:r>
          </w:p>
        </w:tc>
        <w:tc>
          <w:tcPr>
            <w:tcW w:w="918" w:type="dxa"/>
            <w:tcBorders>
              <w:top w:val="nil"/>
              <w:left w:val="nil"/>
              <w:bottom w:val="single" w:sz="8" w:space="0" w:color="FFFFFF"/>
              <w:right w:val="single" w:sz="8" w:space="0" w:color="FFFFFF"/>
            </w:tcBorders>
            <w:shd w:val="clear" w:color="000000" w:fill="B8CCE4"/>
          </w:tcPr>
          <w:p w14:paraId="39F7A159" w14:textId="77777777" w:rsidR="00B86FB3" w:rsidRPr="00FF756A" w:rsidRDefault="00B86FB3" w:rsidP="00B86FB3">
            <w:pPr>
              <w:jc w:val="right"/>
              <w:rPr>
                <w:rFonts w:eastAsia="Times New Roman"/>
                <w:color w:val="000000"/>
                <w:sz w:val="16"/>
                <w:szCs w:val="16"/>
                <w:highlight w:val="green"/>
              </w:rPr>
            </w:pPr>
            <w:r w:rsidRPr="00FF756A">
              <w:rPr>
                <w:sz w:val="16"/>
                <w:szCs w:val="16"/>
              </w:rPr>
              <w:t xml:space="preserve"> 734,8 </w:t>
            </w:r>
          </w:p>
        </w:tc>
      </w:tr>
      <w:tr w:rsidR="00B86FB3" w:rsidRPr="00FF756A" w14:paraId="5D937BD7"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47BCC84A" w14:textId="77777777" w:rsidR="00B86FB3" w:rsidRPr="00FF756A" w:rsidRDefault="00B86FB3" w:rsidP="00B86FB3">
            <w:pPr>
              <w:rPr>
                <w:rFonts w:eastAsia="Times New Roman"/>
                <w:b/>
                <w:bCs/>
                <w:color w:val="FFFFFF"/>
                <w:sz w:val="16"/>
                <w:szCs w:val="16"/>
              </w:rPr>
            </w:pPr>
            <w:r w:rsidRPr="00FF756A">
              <w:rPr>
                <w:b/>
                <w:bCs/>
                <w:color w:val="FFFFFF"/>
                <w:sz w:val="16"/>
                <w:szCs w:val="16"/>
              </w:rPr>
              <w:t>Bujqësia Pylltaria</w:t>
            </w:r>
          </w:p>
        </w:tc>
        <w:tc>
          <w:tcPr>
            <w:tcW w:w="917" w:type="dxa"/>
            <w:tcBorders>
              <w:top w:val="nil"/>
              <w:left w:val="nil"/>
              <w:bottom w:val="single" w:sz="8" w:space="0" w:color="FFFFFF"/>
              <w:right w:val="single" w:sz="8" w:space="0" w:color="FFFFFF"/>
            </w:tcBorders>
            <w:shd w:val="clear" w:color="000000" w:fill="DBE5F1"/>
            <w:noWrap/>
            <w:hideMark/>
          </w:tcPr>
          <w:p w14:paraId="305CA250" w14:textId="77777777" w:rsidR="00B86FB3" w:rsidRPr="00FF756A" w:rsidRDefault="00B86FB3" w:rsidP="00B86FB3">
            <w:pPr>
              <w:jc w:val="right"/>
              <w:rPr>
                <w:rFonts w:eastAsia="Times New Roman"/>
                <w:color w:val="000000"/>
                <w:sz w:val="16"/>
                <w:szCs w:val="16"/>
              </w:rPr>
            </w:pPr>
            <w:r w:rsidRPr="00FF756A">
              <w:rPr>
                <w:sz w:val="16"/>
                <w:szCs w:val="16"/>
              </w:rPr>
              <w:t xml:space="preserve"> 173,6 </w:t>
            </w:r>
          </w:p>
        </w:tc>
        <w:tc>
          <w:tcPr>
            <w:tcW w:w="917" w:type="dxa"/>
            <w:tcBorders>
              <w:top w:val="nil"/>
              <w:left w:val="nil"/>
              <w:bottom w:val="single" w:sz="8" w:space="0" w:color="FFFFFF"/>
              <w:right w:val="single" w:sz="8" w:space="0" w:color="FFFFFF"/>
            </w:tcBorders>
            <w:shd w:val="clear" w:color="000000" w:fill="DBE5F1"/>
            <w:noWrap/>
            <w:hideMark/>
          </w:tcPr>
          <w:p w14:paraId="6CCBB253" w14:textId="77777777" w:rsidR="00B86FB3" w:rsidRPr="00FF756A" w:rsidRDefault="00B86FB3" w:rsidP="00B86FB3">
            <w:pPr>
              <w:jc w:val="right"/>
              <w:rPr>
                <w:rFonts w:eastAsia="Times New Roman"/>
                <w:color w:val="000000"/>
                <w:sz w:val="16"/>
                <w:szCs w:val="16"/>
              </w:rPr>
            </w:pPr>
            <w:r w:rsidRPr="00FF756A">
              <w:rPr>
                <w:sz w:val="16"/>
                <w:szCs w:val="16"/>
              </w:rPr>
              <w:t xml:space="preserve"> 181,9 </w:t>
            </w:r>
          </w:p>
        </w:tc>
        <w:tc>
          <w:tcPr>
            <w:tcW w:w="917" w:type="dxa"/>
            <w:tcBorders>
              <w:top w:val="nil"/>
              <w:left w:val="nil"/>
              <w:bottom w:val="single" w:sz="8" w:space="0" w:color="FFFFFF"/>
              <w:right w:val="single" w:sz="8" w:space="0" w:color="FFFFFF"/>
            </w:tcBorders>
            <w:shd w:val="clear" w:color="000000" w:fill="DBE5F1"/>
            <w:noWrap/>
            <w:hideMark/>
          </w:tcPr>
          <w:p w14:paraId="5D84FD22" w14:textId="77777777" w:rsidR="00B86FB3" w:rsidRPr="00FF756A" w:rsidRDefault="00B86FB3" w:rsidP="00B86FB3">
            <w:pPr>
              <w:jc w:val="right"/>
              <w:rPr>
                <w:rFonts w:eastAsia="Times New Roman"/>
                <w:color w:val="000000"/>
                <w:sz w:val="16"/>
                <w:szCs w:val="16"/>
              </w:rPr>
            </w:pPr>
            <w:r w:rsidRPr="00FF756A">
              <w:rPr>
                <w:sz w:val="16"/>
                <w:szCs w:val="16"/>
              </w:rPr>
              <w:t xml:space="preserve"> 181,9 </w:t>
            </w:r>
          </w:p>
        </w:tc>
        <w:tc>
          <w:tcPr>
            <w:tcW w:w="917" w:type="dxa"/>
            <w:tcBorders>
              <w:top w:val="nil"/>
              <w:left w:val="nil"/>
              <w:bottom w:val="single" w:sz="8" w:space="0" w:color="FFFFFF"/>
              <w:right w:val="single" w:sz="8" w:space="0" w:color="FFFFFF"/>
            </w:tcBorders>
            <w:shd w:val="clear" w:color="000000" w:fill="DBE5F1"/>
            <w:noWrap/>
            <w:hideMark/>
          </w:tcPr>
          <w:p w14:paraId="51EFD93E" w14:textId="77777777" w:rsidR="00B86FB3" w:rsidRPr="00FF756A" w:rsidRDefault="00B86FB3" w:rsidP="00B86FB3">
            <w:pPr>
              <w:jc w:val="right"/>
              <w:rPr>
                <w:rFonts w:eastAsia="Times New Roman"/>
                <w:color w:val="000000"/>
                <w:sz w:val="16"/>
                <w:szCs w:val="16"/>
              </w:rPr>
            </w:pPr>
            <w:r w:rsidRPr="00FF756A">
              <w:rPr>
                <w:sz w:val="16"/>
                <w:szCs w:val="16"/>
              </w:rPr>
              <w:t xml:space="preserve"> 186,4 </w:t>
            </w:r>
          </w:p>
        </w:tc>
        <w:tc>
          <w:tcPr>
            <w:tcW w:w="917" w:type="dxa"/>
            <w:tcBorders>
              <w:top w:val="nil"/>
              <w:left w:val="nil"/>
              <w:bottom w:val="single" w:sz="8" w:space="0" w:color="FFFFFF"/>
              <w:right w:val="single" w:sz="8" w:space="0" w:color="FFFFFF"/>
            </w:tcBorders>
            <w:shd w:val="clear" w:color="000000" w:fill="DBE5F1"/>
            <w:noWrap/>
            <w:hideMark/>
          </w:tcPr>
          <w:p w14:paraId="796DFBD5" w14:textId="77777777" w:rsidR="00B86FB3" w:rsidRPr="00FF756A" w:rsidRDefault="00B86FB3" w:rsidP="00B86FB3">
            <w:pPr>
              <w:jc w:val="right"/>
              <w:rPr>
                <w:rFonts w:eastAsia="Times New Roman"/>
                <w:color w:val="000000"/>
                <w:sz w:val="16"/>
                <w:szCs w:val="16"/>
              </w:rPr>
            </w:pPr>
            <w:r w:rsidRPr="00FF756A">
              <w:rPr>
                <w:sz w:val="16"/>
                <w:szCs w:val="16"/>
              </w:rPr>
              <w:t xml:space="preserve"> 195,7 </w:t>
            </w:r>
          </w:p>
        </w:tc>
        <w:tc>
          <w:tcPr>
            <w:tcW w:w="917" w:type="dxa"/>
            <w:tcBorders>
              <w:top w:val="nil"/>
              <w:left w:val="nil"/>
              <w:bottom w:val="single" w:sz="8" w:space="0" w:color="FFFFFF"/>
              <w:right w:val="single" w:sz="8" w:space="0" w:color="FFFFFF"/>
            </w:tcBorders>
            <w:shd w:val="clear" w:color="000000" w:fill="DBE5F1"/>
            <w:noWrap/>
            <w:hideMark/>
          </w:tcPr>
          <w:p w14:paraId="0B631231" w14:textId="77777777" w:rsidR="00B86FB3" w:rsidRPr="00FF756A" w:rsidRDefault="00B86FB3" w:rsidP="00B86FB3">
            <w:pPr>
              <w:jc w:val="right"/>
              <w:rPr>
                <w:rFonts w:eastAsia="Times New Roman"/>
                <w:color w:val="000000"/>
                <w:sz w:val="16"/>
                <w:szCs w:val="16"/>
              </w:rPr>
            </w:pPr>
            <w:r w:rsidRPr="00FF756A">
              <w:rPr>
                <w:sz w:val="16"/>
                <w:szCs w:val="16"/>
              </w:rPr>
              <w:t xml:space="preserve"> 221,1 </w:t>
            </w:r>
          </w:p>
        </w:tc>
        <w:tc>
          <w:tcPr>
            <w:tcW w:w="918" w:type="dxa"/>
            <w:tcBorders>
              <w:top w:val="nil"/>
              <w:left w:val="nil"/>
              <w:bottom w:val="single" w:sz="8" w:space="0" w:color="FFFFFF"/>
              <w:right w:val="single" w:sz="8" w:space="0" w:color="FFFFFF"/>
            </w:tcBorders>
            <w:shd w:val="clear" w:color="000000" w:fill="DBE5F1"/>
            <w:noWrap/>
            <w:hideMark/>
          </w:tcPr>
          <w:p w14:paraId="72BDA65B" w14:textId="77777777" w:rsidR="00B86FB3" w:rsidRPr="00FF756A" w:rsidRDefault="00B86FB3" w:rsidP="00B86FB3">
            <w:pPr>
              <w:jc w:val="right"/>
              <w:rPr>
                <w:rFonts w:eastAsia="Times New Roman"/>
                <w:color w:val="000000"/>
                <w:sz w:val="16"/>
                <w:szCs w:val="16"/>
              </w:rPr>
            </w:pPr>
            <w:r w:rsidRPr="00FF756A">
              <w:rPr>
                <w:sz w:val="16"/>
                <w:szCs w:val="16"/>
              </w:rPr>
              <w:t xml:space="preserve"> 186,2 </w:t>
            </w:r>
          </w:p>
        </w:tc>
        <w:tc>
          <w:tcPr>
            <w:tcW w:w="918" w:type="dxa"/>
            <w:tcBorders>
              <w:top w:val="nil"/>
              <w:left w:val="nil"/>
              <w:bottom w:val="single" w:sz="8" w:space="0" w:color="FFFFFF"/>
              <w:right w:val="single" w:sz="8" w:space="0" w:color="FFFFFF"/>
            </w:tcBorders>
            <w:shd w:val="clear" w:color="000000" w:fill="DBE5F1"/>
          </w:tcPr>
          <w:p w14:paraId="70A3F8FA" w14:textId="77777777" w:rsidR="00B86FB3" w:rsidRPr="00FF756A" w:rsidRDefault="00B86FB3" w:rsidP="00B86FB3">
            <w:pPr>
              <w:jc w:val="right"/>
              <w:rPr>
                <w:rFonts w:eastAsia="Times New Roman"/>
                <w:color w:val="000000"/>
                <w:sz w:val="16"/>
                <w:szCs w:val="16"/>
                <w:highlight w:val="green"/>
              </w:rPr>
            </w:pPr>
            <w:r w:rsidRPr="00FF756A">
              <w:rPr>
                <w:sz w:val="16"/>
                <w:szCs w:val="16"/>
              </w:rPr>
              <w:t xml:space="preserve"> 111,4 </w:t>
            </w:r>
          </w:p>
        </w:tc>
      </w:tr>
      <w:tr w:rsidR="00B86FB3" w:rsidRPr="00FF756A" w14:paraId="0B1DE20E"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7E02CC08" w14:textId="77777777" w:rsidR="00B86FB3" w:rsidRPr="00FF756A" w:rsidRDefault="00B86FB3" w:rsidP="00B86FB3">
            <w:pPr>
              <w:rPr>
                <w:rFonts w:eastAsia="Times New Roman"/>
                <w:b/>
                <w:bCs/>
                <w:color w:val="FFFFFF"/>
                <w:sz w:val="16"/>
                <w:szCs w:val="16"/>
              </w:rPr>
            </w:pPr>
            <w:r w:rsidRPr="00FF756A">
              <w:rPr>
                <w:b/>
                <w:bCs/>
                <w:color w:val="FFFFFF"/>
                <w:sz w:val="16"/>
                <w:szCs w:val="16"/>
              </w:rPr>
              <w:t>Peshkimi</w:t>
            </w:r>
          </w:p>
        </w:tc>
        <w:tc>
          <w:tcPr>
            <w:tcW w:w="917" w:type="dxa"/>
            <w:tcBorders>
              <w:top w:val="nil"/>
              <w:left w:val="nil"/>
              <w:bottom w:val="single" w:sz="8" w:space="0" w:color="FFFFFF"/>
              <w:right w:val="single" w:sz="8" w:space="0" w:color="FFFFFF"/>
            </w:tcBorders>
            <w:shd w:val="clear" w:color="000000" w:fill="B8CCE4"/>
            <w:noWrap/>
            <w:hideMark/>
          </w:tcPr>
          <w:p w14:paraId="4C5A4272" w14:textId="77777777" w:rsidR="00B86FB3" w:rsidRPr="00FF756A" w:rsidRDefault="00B86FB3" w:rsidP="00B86FB3">
            <w:pPr>
              <w:jc w:val="right"/>
              <w:rPr>
                <w:rFonts w:eastAsia="Times New Roman"/>
                <w:color w:val="000000"/>
                <w:sz w:val="16"/>
                <w:szCs w:val="16"/>
              </w:rPr>
            </w:pPr>
            <w:r w:rsidRPr="00FF756A">
              <w:rPr>
                <w:sz w:val="16"/>
                <w:szCs w:val="16"/>
              </w:rPr>
              <w:t xml:space="preserve"> 122,3 </w:t>
            </w:r>
          </w:p>
        </w:tc>
        <w:tc>
          <w:tcPr>
            <w:tcW w:w="917" w:type="dxa"/>
            <w:tcBorders>
              <w:top w:val="nil"/>
              <w:left w:val="nil"/>
              <w:bottom w:val="single" w:sz="8" w:space="0" w:color="FFFFFF"/>
              <w:right w:val="single" w:sz="8" w:space="0" w:color="FFFFFF"/>
            </w:tcBorders>
            <w:shd w:val="clear" w:color="000000" w:fill="B8CCE4"/>
            <w:noWrap/>
            <w:hideMark/>
          </w:tcPr>
          <w:p w14:paraId="3DB3ECDA" w14:textId="77777777" w:rsidR="00B86FB3" w:rsidRPr="00FF756A" w:rsidRDefault="00B86FB3" w:rsidP="00B86FB3">
            <w:pPr>
              <w:jc w:val="right"/>
              <w:rPr>
                <w:rFonts w:eastAsia="Times New Roman"/>
                <w:color w:val="000000"/>
                <w:sz w:val="16"/>
                <w:szCs w:val="16"/>
              </w:rPr>
            </w:pPr>
            <w:r w:rsidRPr="00FF756A">
              <w:rPr>
                <w:sz w:val="16"/>
                <w:szCs w:val="16"/>
              </w:rPr>
              <w:t xml:space="preserve"> 120,4 </w:t>
            </w:r>
          </w:p>
        </w:tc>
        <w:tc>
          <w:tcPr>
            <w:tcW w:w="917" w:type="dxa"/>
            <w:tcBorders>
              <w:top w:val="nil"/>
              <w:left w:val="nil"/>
              <w:bottom w:val="single" w:sz="8" w:space="0" w:color="FFFFFF"/>
              <w:right w:val="single" w:sz="8" w:space="0" w:color="FFFFFF"/>
            </w:tcBorders>
            <w:shd w:val="clear" w:color="000000" w:fill="B8CCE4"/>
            <w:noWrap/>
            <w:hideMark/>
          </w:tcPr>
          <w:p w14:paraId="3A922E14" w14:textId="77777777" w:rsidR="00B86FB3" w:rsidRPr="00FF756A" w:rsidRDefault="00B86FB3" w:rsidP="00B86FB3">
            <w:pPr>
              <w:jc w:val="right"/>
              <w:rPr>
                <w:rFonts w:eastAsia="Times New Roman"/>
                <w:color w:val="000000"/>
                <w:sz w:val="16"/>
                <w:szCs w:val="16"/>
              </w:rPr>
            </w:pPr>
            <w:r w:rsidRPr="00FF756A">
              <w:rPr>
                <w:sz w:val="16"/>
                <w:szCs w:val="16"/>
              </w:rPr>
              <w:t xml:space="preserve"> 120,4 </w:t>
            </w:r>
          </w:p>
        </w:tc>
        <w:tc>
          <w:tcPr>
            <w:tcW w:w="917" w:type="dxa"/>
            <w:tcBorders>
              <w:top w:val="nil"/>
              <w:left w:val="nil"/>
              <w:bottom w:val="single" w:sz="8" w:space="0" w:color="FFFFFF"/>
              <w:right w:val="single" w:sz="8" w:space="0" w:color="FFFFFF"/>
            </w:tcBorders>
            <w:shd w:val="clear" w:color="000000" w:fill="B8CCE4"/>
            <w:noWrap/>
            <w:hideMark/>
          </w:tcPr>
          <w:p w14:paraId="14FE88AA" w14:textId="77777777" w:rsidR="00B86FB3" w:rsidRPr="00FF756A" w:rsidRDefault="00B86FB3" w:rsidP="00B86FB3">
            <w:pPr>
              <w:jc w:val="right"/>
              <w:rPr>
                <w:rFonts w:eastAsia="Times New Roman"/>
                <w:color w:val="000000"/>
                <w:sz w:val="16"/>
                <w:szCs w:val="16"/>
              </w:rPr>
            </w:pPr>
            <w:r w:rsidRPr="00FF756A">
              <w:rPr>
                <w:sz w:val="16"/>
                <w:szCs w:val="16"/>
              </w:rPr>
              <w:t xml:space="preserve"> 126,2 </w:t>
            </w:r>
          </w:p>
        </w:tc>
        <w:tc>
          <w:tcPr>
            <w:tcW w:w="917" w:type="dxa"/>
            <w:tcBorders>
              <w:top w:val="nil"/>
              <w:left w:val="nil"/>
              <w:bottom w:val="single" w:sz="8" w:space="0" w:color="FFFFFF"/>
              <w:right w:val="single" w:sz="8" w:space="0" w:color="FFFFFF"/>
            </w:tcBorders>
            <w:shd w:val="clear" w:color="000000" w:fill="B8CCE4"/>
            <w:noWrap/>
            <w:hideMark/>
          </w:tcPr>
          <w:p w14:paraId="03CD9B9B" w14:textId="77777777" w:rsidR="00B86FB3" w:rsidRPr="00FF756A" w:rsidRDefault="00B86FB3" w:rsidP="00B86FB3">
            <w:pPr>
              <w:jc w:val="right"/>
              <w:rPr>
                <w:rFonts w:eastAsia="Times New Roman"/>
                <w:color w:val="000000"/>
                <w:sz w:val="16"/>
                <w:szCs w:val="16"/>
              </w:rPr>
            </w:pPr>
            <w:r w:rsidRPr="00FF756A">
              <w:rPr>
                <w:sz w:val="16"/>
                <w:szCs w:val="16"/>
              </w:rPr>
              <w:t xml:space="preserve"> 138,4 </w:t>
            </w:r>
          </w:p>
        </w:tc>
        <w:tc>
          <w:tcPr>
            <w:tcW w:w="917" w:type="dxa"/>
            <w:tcBorders>
              <w:top w:val="nil"/>
              <w:left w:val="nil"/>
              <w:bottom w:val="single" w:sz="8" w:space="0" w:color="FFFFFF"/>
              <w:right w:val="single" w:sz="8" w:space="0" w:color="FFFFFF"/>
            </w:tcBorders>
            <w:shd w:val="clear" w:color="000000" w:fill="B8CCE4"/>
            <w:noWrap/>
            <w:hideMark/>
          </w:tcPr>
          <w:p w14:paraId="01D7457B" w14:textId="77777777" w:rsidR="00B86FB3" w:rsidRPr="00FF756A" w:rsidRDefault="00B86FB3" w:rsidP="00B86FB3">
            <w:pPr>
              <w:jc w:val="right"/>
              <w:rPr>
                <w:rFonts w:eastAsia="Times New Roman"/>
                <w:color w:val="000000"/>
                <w:sz w:val="16"/>
                <w:szCs w:val="16"/>
              </w:rPr>
            </w:pPr>
            <w:r w:rsidRPr="00FF756A">
              <w:rPr>
                <w:sz w:val="16"/>
                <w:szCs w:val="16"/>
              </w:rPr>
              <w:t xml:space="preserve"> 174,5 </w:t>
            </w:r>
          </w:p>
        </w:tc>
        <w:tc>
          <w:tcPr>
            <w:tcW w:w="918" w:type="dxa"/>
            <w:tcBorders>
              <w:top w:val="nil"/>
              <w:left w:val="nil"/>
              <w:bottom w:val="single" w:sz="8" w:space="0" w:color="FFFFFF"/>
              <w:right w:val="single" w:sz="8" w:space="0" w:color="FFFFFF"/>
            </w:tcBorders>
            <w:shd w:val="clear" w:color="000000" w:fill="B8CCE4"/>
            <w:noWrap/>
            <w:hideMark/>
          </w:tcPr>
          <w:p w14:paraId="3A912DB1" w14:textId="77777777" w:rsidR="00B86FB3" w:rsidRPr="00FF756A" w:rsidRDefault="00B86FB3" w:rsidP="00B86FB3">
            <w:pPr>
              <w:jc w:val="right"/>
              <w:rPr>
                <w:rFonts w:eastAsia="Times New Roman"/>
                <w:color w:val="000000"/>
                <w:sz w:val="16"/>
                <w:szCs w:val="16"/>
              </w:rPr>
            </w:pPr>
            <w:r w:rsidRPr="00FF756A">
              <w:rPr>
                <w:sz w:val="16"/>
                <w:szCs w:val="16"/>
              </w:rPr>
              <w:t xml:space="preserve"> 196,9 </w:t>
            </w:r>
          </w:p>
        </w:tc>
        <w:tc>
          <w:tcPr>
            <w:tcW w:w="918" w:type="dxa"/>
            <w:tcBorders>
              <w:top w:val="nil"/>
              <w:left w:val="nil"/>
              <w:bottom w:val="single" w:sz="8" w:space="0" w:color="FFFFFF"/>
              <w:right w:val="single" w:sz="8" w:space="0" w:color="FFFFFF"/>
            </w:tcBorders>
            <w:shd w:val="clear" w:color="000000" w:fill="B8CCE4"/>
          </w:tcPr>
          <w:p w14:paraId="6E92A702" w14:textId="77777777" w:rsidR="00B86FB3" w:rsidRPr="00FF756A" w:rsidRDefault="00B86FB3" w:rsidP="00B86FB3">
            <w:pPr>
              <w:jc w:val="right"/>
              <w:rPr>
                <w:rFonts w:eastAsia="Times New Roman"/>
                <w:color w:val="000000"/>
                <w:sz w:val="16"/>
                <w:szCs w:val="16"/>
                <w:highlight w:val="green"/>
              </w:rPr>
            </w:pPr>
            <w:r w:rsidRPr="00FF756A">
              <w:rPr>
                <w:sz w:val="16"/>
                <w:szCs w:val="16"/>
              </w:rPr>
              <w:t xml:space="preserve"> 168,7 </w:t>
            </w:r>
          </w:p>
        </w:tc>
      </w:tr>
      <w:tr w:rsidR="00B86FB3" w:rsidRPr="00FF756A" w14:paraId="060FB729"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1475DCF9" w14:textId="77777777" w:rsidR="00B86FB3" w:rsidRPr="00FF756A" w:rsidRDefault="00B86FB3" w:rsidP="00B86FB3">
            <w:pPr>
              <w:rPr>
                <w:rFonts w:eastAsia="Times New Roman"/>
                <w:b/>
                <w:bCs/>
                <w:color w:val="FFFFFF"/>
                <w:sz w:val="16"/>
                <w:szCs w:val="16"/>
              </w:rPr>
            </w:pPr>
            <w:r w:rsidRPr="00FF756A">
              <w:rPr>
                <w:b/>
                <w:bCs/>
                <w:color w:val="FFFFFF"/>
                <w:sz w:val="16"/>
                <w:szCs w:val="16"/>
              </w:rPr>
              <w:t>Totali</w:t>
            </w:r>
          </w:p>
        </w:tc>
        <w:tc>
          <w:tcPr>
            <w:tcW w:w="917" w:type="dxa"/>
            <w:tcBorders>
              <w:top w:val="nil"/>
              <w:left w:val="nil"/>
              <w:bottom w:val="single" w:sz="8" w:space="0" w:color="FFFFFF"/>
              <w:right w:val="single" w:sz="8" w:space="0" w:color="FFFFFF"/>
            </w:tcBorders>
            <w:shd w:val="clear" w:color="000000" w:fill="4F81BD"/>
            <w:noWrap/>
            <w:hideMark/>
          </w:tcPr>
          <w:p w14:paraId="08AB048B" w14:textId="77777777" w:rsidR="00B86FB3" w:rsidRPr="00FF756A" w:rsidRDefault="00B86FB3" w:rsidP="00B86FB3">
            <w:pPr>
              <w:jc w:val="right"/>
              <w:rPr>
                <w:color w:val="FFFFFF" w:themeColor="background1"/>
                <w:sz w:val="16"/>
                <w:szCs w:val="16"/>
              </w:rPr>
            </w:pPr>
            <w:r w:rsidRPr="00FF756A">
              <w:rPr>
                <w:color w:val="FFFFFF" w:themeColor="background1"/>
                <w:sz w:val="16"/>
                <w:szCs w:val="16"/>
              </w:rPr>
              <w:t xml:space="preserve"> 3 751,7 </w:t>
            </w:r>
          </w:p>
        </w:tc>
        <w:tc>
          <w:tcPr>
            <w:tcW w:w="917" w:type="dxa"/>
            <w:tcBorders>
              <w:top w:val="nil"/>
              <w:left w:val="nil"/>
              <w:bottom w:val="single" w:sz="8" w:space="0" w:color="FFFFFF"/>
              <w:right w:val="single" w:sz="8" w:space="0" w:color="FFFFFF"/>
            </w:tcBorders>
            <w:shd w:val="clear" w:color="000000" w:fill="4F81BD"/>
            <w:noWrap/>
            <w:hideMark/>
          </w:tcPr>
          <w:p w14:paraId="23D9F1EF" w14:textId="77777777" w:rsidR="00B86FB3" w:rsidRPr="00FF756A" w:rsidRDefault="00B86FB3" w:rsidP="00B86FB3">
            <w:pPr>
              <w:jc w:val="right"/>
              <w:rPr>
                <w:color w:val="FFFFFF" w:themeColor="background1"/>
                <w:sz w:val="16"/>
                <w:szCs w:val="16"/>
              </w:rPr>
            </w:pPr>
            <w:r w:rsidRPr="00FF756A">
              <w:rPr>
                <w:color w:val="FFFFFF" w:themeColor="background1"/>
                <w:sz w:val="16"/>
                <w:szCs w:val="16"/>
              </w:rPr>
              <w:t xml:space="preserve"> 4 165,1 </w:t>
            </w:r>
          </w:p>
        </w:tc>
        <w:tc>
          <w:tcPr>
            <w:tcW w:w="917" w:type="dxa"/>
            <w:tcBorders>
              <w:top w:val="nil"/>
              <w:left w:val="nil"/>
              <w:bottom w:val="single" w:sz="8" w:space="0" w:color="FFFFFF"/>
              <w:right w:val="single" w:sz="8" w:space="0" w:color="FFFFFF"/>
            </w:tcBorders>
            <w:shd w:val="clear" w:color="000000" w:fill="4F81BD"/>
            <w:noWrap/>
            <w:hideMark/>
          </w:tcPr>
          <w:p w14:paraId="7B232275" w14:textId="77777777" w:rsidR="00B86FB3" w:rsidRPr="00FF756A" w:rsidRDefault="00B86FB3" w:rsidP="00B86FB3">
            <w:pPr>
              <w:jc w:val="right"/>
              <w:rPr>
                <w:color w:val="FFFFFF" w:themeColor="background1"/>
                <w:sz w:val="16"/>
                <w:szCs w:val="16"/>
              </w:rPr>
            </w:pPr>
            <w:r w:rsidRPr="00FF756A">
              <w:rPr>
                <w:color w:val="FFFFFF" w:themeColor="background1"/>
                <w:sz w:val="16"/>
                <w:szCs w:val="16"/>
              </w:rPr>
              <w:t xml:space="preserve"> 4 220,2 </w:t>
            </w:r>
          </w:p>
        </w:tc>
        <w:tc>
          <w:tcPr>
            <w:tcW w:w="917" w:type="dxa"/>
            <w:tcBorders>
              <w:top w:val="nil"/>
              <w:left w:val="nil"/>
              <w:bottom w:val="single" w:sz="8" w:space="0" w:color="FFFFFF"/>
              <w:right w:val="single" w:sz="8" w:space="0" w:color="FFFFFF"/>
            </w:tcBorders>
            <w:shd w:val="clear" w:color="000000" w:fill="4F81BD"/>
            <w:noWrap/>
            <w:hideMark/>
          </w:tcPr>
          <w:p w14:paraId="0DEDCB08" w14:textId="77777777" w:rsidR="00B86FB3" w:rsidRPr="00FF756A" w:rsidRDefault="00B86FB3" w:rsidP="00B86FB3">
            <w:pPr>
              <w:jc w:val="right"/>
              <w:rPr>
                <w:color w:val="FFFFFF" w:themeColor="background1"/>
                <w:sz w:val="16"/>
                <w:szCs w:val="16"/>
              </w:rPr>
            </w:pPr>
            <w:r w:rsidRPr="00FF756A">
              <w:rPr>
                <w:color w:val="FFFFFF" w:themeColor="background1"/>
                <w:sz w:val="16"/>
                <w:szCs w:val="16"/>
              </w:rPr>
              <w:t xml:space="preserve"> 4 123,5 </w:t>
            </w:r>
          </w:p>
        </w:tc>
        <w:tc>
          <w:tcPr>
            <w:tcW w:w="917" w:type="dxa"/>
            <w:tcBorders>
              <w:top w:val="nil"/>
              <w:left w:val="nil"/>
              <w:bottom w:val="single" w:sz="8" w:space="0" w:color="FFFFFF"/>
              <w:right w:val="single" w:sz="8" w:space="0" w:color="FFFFFF"/>
            </w:tcBorders>
            <w:shd w:val="clear" w:color="000000" w:fill="4F81BD"/>
            <w:noWrap/>
            <w:hideMark/>
          </w:tcPr>
          <w:p w14:paraId="7692B45D" w14:textId="77777777" w:rsidR="00B86FB3" w:rsidRPr="00FF756A" w:rsidRDefault="00B86FB3" w:rsidP="00B86FB3">
            <w:pPr>
              <w:jc w:val="right"/>
              <w:rPr>
                <w:color w:val="FFFFFF" w:themeColor="background1"/>
                <w:sz w:val="16"/>
                <w:szCs w:val="16"/>
              </w:rPr>
            </w:pPr>
            <w:r w:rsidRPr="00FF756A">
              <w:rPr>
                <w:color w:val="FFFFFF" w:themeColor="background1"/>
                <w:sz w:val="16"/>
                <w:szCs w:val="16"/>
              </w:rPr>
              <w:t xml:space="preserve"> 4 154,8 </w:t>
            </w:r>
          </w:p>
        </w:tc>
        <w:tc>
          <w:tcPr>
            <w:tcW w:w="917" w:type="dxa"/>
            <w:tcBorders>
              <w:top w:val="nil"/>
              <w:left w:val="nil"/>
              <w:bottom w:val="single" w:sz="8" w:space="0" w:color="FFFFFF"/>
              <w:right w:val="single" w:sz="8" w:space="0" w:color="FFFFFF"/>
            </w:tcBorders>
            <w:shd w:val="clear" w:color="000000" w:fill="4F81BD"/>
            <w:noWrap/>
            <w:hideMark/>
          </w:tcPr>
          <w:p w14:paraId="751E5868"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4 192,7 </w:t>
            </w:r>
          </w:p>
        </w:tc>
        <w:tc>
          <w:tcPr>
            <w:tcW w:w="918" w:type="dxa"/>
            <w:tcBorders>
              <w:top w:val="nil"/>
              <w:left w:val="nil"/>
              <w:bottom w:val="single" w:sz="8" w:space="0" w:color="FFFFFF"/>
              <w:right w:val="single" w:sz="8" w:space="0" w:color="FFFFFF"/>
            </w:tcBorders>
            <w:shd w:val="clear" w:color="000000" w:fill="4F81BD"/>
            <w:noWrap/>
            <w:hideMark/>
          </w:tcPr>
          <w:p w14:paraId="28327B1A"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3 507,1 </w:t>
            </w:r>
          </w:p>
        </w:tc>
        <w:tc>
          <w:tcPr>
            <w:tcW w:w="918" w:type="dxa"/>
            <w:tcBorders>
              <w:top w:val="nil"/>
              <w:left w:val="nil"/>
              <w:bottom w:val="single" w:sz="8" w:space="0" w:color="FFFFFF"/>
              <w:right w:val="single" w:sz="8" w:space="0" w:color="FFFFFF"/>
            </w:tcBorders>
            <w:shd w:val="clear" w:color="000000" w:fill="4F81BD"/>
          </w:tcPr>
          <w:p w14:paraId="33A96EE3"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2 221,5 </w:t>
            </w:r>
          </w:p>
        </w:tc>
      </w:tr>
      <w:tr w:rsidR="00B86FB3" w:rsidRPr="00FF756A" w14:paraId="2332ECA6" w14:textId="77777777" w:rsidTr="006A3266">
        <w:trPr>
          <w:trHeight w:val="293"/>
        </w:trPr>
        <w:tc>
          <w:tcPr>
            <w:tcW w:w="9170" w:type="dxa"/>
            <w:gridSpan w:val="9"/>
            <w:tcBorders>
              <w:top w:val="single" w:sz="8" w:space="0" w:color="FFFFFF"/>
              <w:left w:val="single" w:sz="8" w:space="0" w:color="FFFFFF"/>
              <w:bottom w:val="single" w:sz="8" w:space="0" w:color="FFFFFF"/>
              <w:right w:val="single" w:sz="8" w:space="0" w:color="FFFFFF"/>
            </w:tcBorders>
            <w:shd w:val="clear" w:color="000000" w:fill="4F81BD"/>
            <w:noWrap/>
            <w:vAlign w:val="center"/>
            <w:hideMark/>
          </w:tcPr>
          <w:p w14:paraId="23F25851" w14:textId="77777777" w:rsidR="00B86FB3" w:rsidRPr="00FF756A" w:rsidRDefault="00B86FB3" w:rsidP="00B86FB3">
            <w:pPr>
              <w:rPr>
                <w:rFonts w:eastAsia="Times New Roman"/>
                <w:b/>
                <w:bCs/>
                <w:color w:val="FFFFFF"/>
                <w:sz w:val="16"/>
                <w:szCs w:val="16"/>
              </w:rPr>
            </w:pPr>
            <w:r w:rsidRPr="00FF756A">
              <w:rPr>
                <w:b/>
                <w:bCs/>
                <w:color w:val="FFFFFF"/>
                <w:sz w:val="16"/>
                <w:szCs w:val="16"/>
              </w:rPr>
              <w:t>Sektori i banesave</w:t>
            </w:r>
          </w:p>
        </w:tc>
      </w:tr>
      <w:tr w:rsidR="00B86FB3" w:rsidRPr="00FF756A" w14:paraId="61C7CDDE"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73AD723F" w14:textId="77777777" w:rsidR="00B86FB3" w:rsidRPr="00FF756A" w:rsidRDefault="00B86FB3" w:rsidP="00B86FB3">
            <w:pPr>
              <w:rPr>
                <w:rFonts w:eastAsia="Times New Roman"/>
                <w:b/>
                <w:bCs/>
                <w:color w:val="FFFFFF"/>
                <w:sz w:val="16"/>
                <w:szCs w:val="16"/>
              </w:rPr>
            </w:pPr>
            <w:r w:rsidRPr="00FF756A">
              <w:rPr>
                <w:b/>
                <w:bCs/>
                <w:color w:val="FFFFFF"/>
                <w:sz w:val="16"/>
                <w:szCs w:val="16"/>
              </w:rPr>
              <w:t>Ngrohja e hapësirave</w:t>
            </w:r>
          </w:p>
        </w:tc>
        <w:tc>
          <w:tcPr>
            <w:tcW w:w="917" w:type="dxa"/>
            <w:tcBorders>
              <w:top w:val="nil"/>
              <w:left w:val="nil"/>
              <w:bottom w:val="single" w:sz="8" w:space="0" w:color="FFFFFF"/>
              <w:right w:val="single" w:sz="8" w:space="0" w:color="FFFFFF"/>
            </w:tcBorders>
            <w:shd w:val="clear" w:color="000000" w:fill="DBE5F1"/>
            <w:noWrap/>
            <w:hideMark/>
          </w:tcPr>
          <w:p w14:paraId="6004C1D6" w14:textId="77777777" w:rsidR="00B86FB3" w:rsidRPr="00FF756A" w:rsidRDefault="00B86FB3" w:rsidP="00B86FB3">
            <w:pPr>
              <w:jc w:val="right"/>
              <w:rPr>
                <w:rFonts w:eastAsia="Times New Roman"/>
                <w:color w:val="000000"/>
                <w:sz w:val="16"/>
                <w:szCs w:val="16"/>
              </w:rPr>
            </w:pPr>
            <w:r w:rsidRPr="00FF756A">
              <w:rPr>
                <w:sz w:val="16"/>
                <w:szCs w:val="16"/>
              </w:rPr>
              <w:t xml:space="preserve"> 324,6 </w:t>
            </w:r>
          </w:p>
        </w:tc>
        <w:tc>
          <w:tcPr>
            <w:tcW w:w="917" w:type="dxa"/>
            <w:tcBorders>
              <w:top w:val="nil"/>
              <w:left w:val="nil"/>
              <w:bottom w:val="single" w:sz="8" w:space="0" w:color="FFFFFF"/>
              <w:right w:val="single" w:sz="8" w:space="0" w:color="FFFFFF"/>
            </w:tcBorders>
            <w:shd w:val="clear" w:color="000000" w:fill="DBE5F1"/>
            <w:noWrap/>
            <w:hideMark/>
          </w:tcPr>
          <w:p w14:paraId="318D1EC3" w14:textId="77777777" w:rsidR="00B86FB3" w:rsidRPr="00FF756A" w:rsidRDefault="00B86FB3" w:rsidP="00B86FB3">
            <w:pPr>
              <w:jc w:val="right"/>
              <w:rPr>
                <w:rFonts w:eastAsia="Times New Roman"/>
                <w:color w:val="000000"/>
                <w:sz w:val="16"/>
                <w:szCs w:val="16"/>
              </w:rPr>
            </w:pPr>
            <w:r w:rsidRPr="00FF756A">
              <w:rPr>
                <w:sz w:val="16"/>
                <w:szCs w:val="16"/>
              </w:rPr>
              <w:t xml:space="preserve"> 328,4 </w:t>
            </w:r>
          </w:p>
        </w:tc>
        <w:tc>
          <w:tcPr>
            <w:tcW w:w="917" w:type="dxa"/>
            <w:tcBorders>
              <w:top w:val="nil"/>
              <w:left w:val="nil"/>
              <w:bottom w:val="single" w:sz="8" w:space="0" w:color="FFFFFF"/>
              <w:right w:val="single" w:sz="8" w:space="0" w:color="FFFFFF"/>
            </w:tcBorders>
            <w:shd w:val="clear" w:color="000000" w:fill="DBE5F1"/>
            <w:noWrap/>
            <w:hideMark/>
          </w:tcPr>
          <w:p w14:paraId="0DE1E786" w14:textId="77777777" w:rsidR="00B86FB3" w:rsidRPr="00FF756A" w:rsidRDefault="00B86FB3" w:rsidP="00B86FB3">
            <w:pPr>
              <w:jc w:val="right"/>
              <w:rPr>
                <w:rFonts w:eastAsia="Times New Roman"/>
                <w:color w:val="000000"/>
                <w:sz w:val="16"/>
                <w:szCs w:val="16"/>
              </w:rPr>
            </w:pPr>
            <w:r w:rsidRPr="00FF756A">
              <w:rPr>
                <w:sz w:val="16"/>
                <w:szCs w:val="16"/>
              </w:rPr>
              <w:t xml:space="preserve"> 319,1 </w:t>
            </w:r>
          </w:p>
        </w:tc>
        <w:tc>
          <w:tcPr>
            <w:tcW w:w="917" w:type="dxa"/>
            <w:tcBorders>
              <w:top w:val="nil"/>
              <w:left w:val="nil"/>
              <w:bottom w:val="single" w:sz="8" w:space="0" w:color="FFFFFF"/>
              <w:right w:val="single" w:sz="8" w:space="0" w:color="FFFFFF"/>
            </w:tcBorders>
            <w:shd w:val="clear" w:color="000000" w:fill="DBE5F1"/>
            <w:noWrap/>
            <w:hideMark/>
          </w:tcPr>
          <w:p w14:paraId="2E7BBA80" w14:textId="77777777" w:rsidR="00B86FB3" w:rsidRPr="00FF756A" w:rsidRDefault="00B86FB3" w:rsidP="00B86FB3">
            <w:pPr>
              <w:jc w:val="right"/>
              <w:rPr>
                <w:rFonts w:eastAsia="Times New Roman"/>
                <w:color w:val="000000"/>
                <w:sz w:val="16"/>
                <w:szCs w:val="16"/>
              </w:rPr>
            </w:pPr>
            <w:r w:rsidRPr="00FF756A">
              <w:rPr>
                <w:sz w:val="16"/>
                <w:szCs w:val="16"/>
              </w:rPr>
              <w:t xml:space="preserve"> 301,5 </w:t>
            </w:r>
          </w:p>
        </w:tc>
        <w:tc>
          <w:tcPr>
            <w:tcW w:w="917" w:type="dxa"/>
            <w:tcBorders>
              <w:top w:val="nil"/>
              <w:left w:val="nil"/>
              <w:bottom w:val="single" w:sz="8" w:space="0" w:color="FFFFFF"/>
              <w:right w:val="single" w:sz="8" w:space="0" w:color="FFFFFF"/>
            </w:tcBorders>
            <w:shd w:val="clear" w:color="000000" w:fill="DBE5F1"/>
            <w:noWrap/>
            <w:hideMark/>
          </w:tcPr>
          <w:p w14:paraId="5BAE8A87" w14:textId="77777777" w:rsidR="00B86FB3" w:rsidRPr="00FF756A" w:rsidRDefault="00B86FB3" w:rsidP="00B86FB3">
            <w:pPr>
              <w:jc w:val="right"/>
              <w:rPr>
                <w:rFonts w:eastAsia="Times New Roman"/>
                <w:color w:val="000000"/>
                <w:sz w:val="16"/>
                <w:szCs w:val="16"/>
              </w:rPr>
            </w:pPr>
            <w:r w:rsidRPr="00FF756A">
              <w:rPr>
                <w:sz w:val="16"/>
                <w:szCs w:val="16"/>
              </w:rPr>
              <w:t xml:space="preserve"> 288,9 </w:t>
            </w:r>
          </w:p>
        </w:tc>
        <w:tc>
          <w:tcPr>
            <w:tcW w:w="917" w:type="dxa"/>
            <w:tcBorders>
              <w:top w:val="nil"/>
              <w:left w:val="nil"/>
              <w:bottom w:val="single" w:sz="8" w:space="0" w:color="FFFFFF"/>
              <w:right w:val="single" w:sz="8" w:space="0" w:color="FFFFFF"/>
            </w:tcBorders>
            <w:shd w:val="clear" w:color="000000" w:fill="DBE5F1"/>
            <w:noWrap/>
            <w:hideMark/>
          </w:tcPr>
          <w:p w14:paraId="52054890" w14:textId="77777777" w:rsidR="00B86FB3" w:rsidRPr="00FF756A" w:rsidRDefault="00B86FB3" w:rsidP="00B86FB3">
            <w:pPr>
              <w:jc w:val="right"/>
              <w:rPr>
                <w:rFonts w:eastAsia="Times New Roman"/>
                <w:color w:val="000000"/>
                <w:sz w:val="16"/>
                <w:szCs w:val="16"/>
              </w:rPr>
            </w:pPr>
            <w:r w:rsidRPr="00FF756A">
              <w:rPr>
                <w:sz w:val="16"/>
                <w:szCs w:val="16"/>
              </w:rPr>
              <w:t xml:space="preserve"> 257,1 </w:t>
            </w:r>
          </w:p>
        </w:tc>
        <w:tc>
          <w:tcPr>
            <w:tcW w:w="918" w:type="dxa"/>
            <w:tcBorders>
              <w:top w:val="nil"/>
              <w:left w:val="nil"/>
              <w:bottom w:val="single" w:sz="8" w:space="0" w:color="FFFFFF"/>
              <w:right w:val="single" w:sz="8" w:space="0" w:color="FFFFFF"/>
            </w:tcBorders>
            <w:shd w:val="clear" w:color="000000" w:fill="DBE5F1"/>
            <w:noWrap/>
            <w:hideMark/>
          </w:tcPr>
          <w:p w14:paraId="2FBDAF41" w14:textId="77777777" w:rsidR="00B86FB3" w:rsidRPr="00FF756A" w:rsidRDefault="00B86FB3" w:rsidP="00B86FB3">
            <w:pPr>
              <w:jc w:val="right"/>
              <w:rPr>
                <w:rFonts w:eastAsia="Times New Roman"/>
                <w:color w:val="000000"/>
                <w:sz w:val="16"/>
                <w:szCs w:val="16"/>
              </w:rPr>
            </w:pPr>
            <w:r w:rsidRPr="00FF756A">
              <w:rPr>
                <w:sz w:val="16"/>
                <w:szCs w:val="16"/>
              </w:rPr>
              <w:t xml:space="preserve"> 151,3 </w:t>
            </w:r>
          </w:p>
        </w:tc>
        <w:tc>
          <w:tcPr>
            <w:tcW w:w="918" w:type="dxa"/>
            <w:tcBorders>
              <w:top w:val="nil"/>
              <w:left w:val="nil"/>
              <w:bottom w:val="single" w:sz="8" w:space="0" w:color="FFFFFF"/>
              <w:right w:val="single" w:sz="8" w:space="0" w:color="FFFFFF"/>
            </w:tcBorders>
            <w:shd w:val="clear" w:color="auto" w:fill="DBE5F1"/>
          </w:tcPr>
          <w:p w14:paraId="1AF91C85" w14:textId="77777777" w:rsidR="00B86FB3" w:rsidRPr="00FF756A" w:rsidRDefault="00B86FB3" w:rsidP="00B86FB3">
            <w:pPr>
              <w:shd w:val="clear" w:color="auto" w:fill="DBE5F1"/>
              <w:jc w:val="right"/>
              <w:rPr>
                <w:rFonts w:eastAsia="Times New Roman"/>
                <w:color w:val="000000"/>
                <w:sz w:val="16"/>
                <w:szCs w:val="16"/>
              </w:rPr>
            </w:pPr>
            <w:r w:rsidRPr="00FF756A">
              <w:rPr>
                <w:sz w:val="16"/>
                <w:szCs w:val="16"/>
              </w:rPr>
              <w:t xml:space="preserve"> 80,2 </w:t>
            </w:r>
          </w:p>
        </w:tc>
      </w:tr>
      <w:tr w:rsidR="00B86FB3" w:rsidRPr="00FF756A" w14:paraId="14A9BD1B"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tcPr>
          <w:p w14:paraId="4931964A" w14:textId="77777777" w:rsidR="00B86FB3" w:rsidRPr="00FF756A" w:rsidRDefault="00B86FB3" w:rsidP="00B86FB3">
            <w:pPr>
              <w:rPr>
                <w:rFonts w:eastAsia="Times New Roman"/>
                <w:b/>
                <w:bCs/>
                <w:color w:val="FFFFFF"/>
                <w:sz w:val="16"/>
                <w:szCs w:val="16"/>
              </w:rPr>
            </w:pPr>
            <w:r w:rsidRPr="00FF756A">
              <w:rPr>
                <w:b/>
                <w:bCs/>
                <w:color w:val="FFFFFF"/>
                <w:sz w:val="16"/>
                <w:szCs w:val="16"/>
              </w:rPr>
              <w:t>Pajisjet elektro-shtëpiake</w:t>
            </w:r>
          </w:p>
        </w:tc>
        <w:tc>
          <w:tcPr>
            <w:tcW w:w="917" w:type="dxa"/>
            <w:tcBorders>
              <w:top w:val="nil"/>
              <w:left w:val="nil"/>
              <w:bottom w:val="single" w:sz="8" w:space="0" w:color="FFFFFF"/>
              <w:right w:val="single" w:sz="8" w:space="0" w:color="FFFFFF"/>
            </w:tcBorders>
            <w:shd w:val="clear" w:color="000000" w:fill="DBE5F1"/>
            <w:noWrap/>
          </w:tcPr>
          <w:p w14:paraId="0E5F6A28" w14:textId="77777777" w:rsidR="00B86FB3" w:rsidRPr="00FF756A" w:rsidRDefault="00B86FB3" w:rsidP="00B86FB3">
            <w:pPr>
              <w:jc w:val="right"/>
              <w:rPr>
                <w:rFonts w:eastAsia="Times New Roman"/>
                <w:color w:val="000000"/>
                <w:sz w:val="16"/>
                <w:szCs w:val="16"/>
              </w:rPr>
            </w:pPr>
            <w:r w:rsidRPr="00FF756A">
              <w:rPr>
                <w:sz w:val="16"/>
                <w:szCs w:val="16"/>
              </w:rPr>
              <w:t xml:space="preserve"> 34,2 </w:t>
            </w:r>
          </w:p>
        </w:tc>
        <w:tc>
          <w:tcPr>
            <w:tcW w:w="917" w:type="dxa"/>
            <w:tcBorders>
              <w:top w:val="nil"/>
              <w:left w:val="nil"/>
              <w:bottom w:val="single" w:sz="8" w:space="0" w:color="FFFFFF"/>
              <w:right w:val="single" w:sz="8" w:space="0" w:color="FFFFFF"/>
            </w:tcBorders>
            <w:shd w:val="clear" w:color="000000" w:fill="DBE5F1"/>
            <w:noWrap/>
          </w:tcPr>
          <w:p w14:paraId="7D7828C4" w14:textId="77777777" w:rsidR="00B86FB3" w:rsidRPr="00FF756A" w:rsidRDefault="00B86FB3" w:rsidP="00B86FB3">
            <w:pPr>
              <w:jc w:val="right"/>
              <w:rPr>
                <w:rFonts w:eastAsia="Times New Roman"/>
                <w:color w:val="000000"/>
                <w:sz w:val="16"/>
                <w:szCs w:val="16"/>
              </w:rPr>
            </w:pPr>
            <w:r w:rsidRPr="00FF756A">
              <w:rPr>
                <w:sz w:val="16"/>
                <w:szCs w:val="16"/>
              </w:rPr>
              <w:t xml:space="preserve"> 34,2 </w:t>
            </w:r>
          </w:p>
        </w:tc>
        <w:tc>
          <w:tcPr>
            <w:tcW w:w="917" w:type="dxa"/>
            <w:tcBorders>
              <w:top w:val="nil"/>
              <w:left w:val="nil"/>
              <w:bottom w:val="single" w:sz="8" w:space="0" w:color="FFFFFF"/>
              <w:right w:val="single" w:sz="8" w:space="0" w:color="FFFFFF"/>
            </w:tcBorders>
            <w:shd w:val="clear" w:color="000000" w:fill="DBE5F1"/>
            <w:noWrap/>
          </w:tcPr>
          <w:p w14:paraId="05C0D5CD" w14:textId="77777777" w:rsidR="00B86FB3" w:rsidRPr="00FF756A" w:rsidRDefault="00B86FB3" w:rsidP="00B86FB3">
            <w:pPr>
              <w:jc w:val="right"/>
              <w:rPr>
                <w:rFonts w:eastAsia="Times New Roman"/>
                <w:color w:val="000000"/>
                <w:sz w:val="16"/>
                <w:szCs w:val="16"/>
              </w:rPr>
            </w:pPr>
            <w:r w:rsidRPr="00FF756A">
              <w:rPr>
                <w:sz w:val="16"/>
                <w:szCs w:val="16"/>
              </w:rPr>
              <w:t xml:space="preserve"> 33,6 </w:t>
            </w:r>
          </w:p>
        </w:tc>
        <w:tc>
          <w:tcPr>
            <w:tcW w:w="917" w:type="dxa"/>
            <w:tcBorders>
              <w:top w:val="nil"/>
              <w:left w:val="nil"/>
              <w:bottom w:val="single" w:sz="8" w:space="0" w:color="FFFFFF"/>
              <w:right w:val="single" w:sz="8" w:space="0" w:color="FFFFFF"/>
            </w:tcBorders>
            <w:shd w:val="clear" w:color="000000" w:fill="DBE5F1"/>
            <w:noWrap/>
          </w:tcPr>
          <w:p w14:paraId="51D6D0D8" w14:textId="77777777" w:rsidR="00B86FB3" w:rsidRPr="00FF756A" w:rsidRDefault="00B86FB3" w:rsidP="00B86FB3">
            <w:pPr>
              <w:jc w:val="right"/>
              <w:rPr>
                <w:rFonts w:eastAsia="Times New Roman"/>
                <w:color w:val="000000"/>
                <w:sz w:val="16"/>
                <w:szCs w:val="16"/>
              </w:rPr>
            </w:pPr>
            <w:r w:rsidRPr="00FF756A">
              <w:rPr>
                <w:sz w:val="16"/>
                <w:szCs w:val="16"/>
              </w:rPr>
              <w:t xml:space="preserve"> 34,8 </w:t>
            </w:r>
          </w:p>
        </w:tc>
        <w:tc>
          <w:tcPr>
            <w:tcW w:w="917" w:type="dxa"/>
            <w:tcBorders>
              <w:top w:val="nil"/>
              <w:left w:val="nil"/>
              <w:bottom w:val="single" w:sz="8" w:space="0" w:color="FFFFFF"/>
              <w:right w:val="single" w:sz="8" w:space="0" w:color="FFFFFF"/>
            </w:tcBorders>
            <w:shd w:val="clear" w:color="000000" w:fill="DBE5F1"/>
            <w:noWrap/>
          </w:tcPr>
          <w:p w14:paraId="3916D13A" w14:textId="77777777" w:rsidR="00B86FB3" w:rsidRPr="00FF756A" w:rsidRDefault="00B86FB3" w:rsidP="00B86FB3">
            <w:pPr>
              <w:jc w:val="right"/>
              <w:rPr>
                <w:rFonts w:eastAsia="Times New Roman"/>
                <w:color w:val="000000"/>
                <w:sz w:val="16"/>
                <w:szCs w:val="16"/>
              </w:rPr>
            </w:pPr>
            <w:r w:rsidRPr="00FF756A">
              <w:rPr>
                <w:sz w:val="16"/>
                <w:szCs w:val="16"/>
              </w:rPr>
              <w:t xml:space="preserve"> 34,2 </w:t>
            </w:r>
          </w:p>
        </w:tc>
        <w:tc>
          <w:tcPr>
            <w:tcW w:w="917" w:type="dxa"/>
            <w:tcBorders>
              <w:top w:val="nil"/>
              <w:left w:val="nil"/>
              <w:bottom w:val="single" w:sz="8" w:space="0" w:color="FFFFFF"/>
              <w:right w:val="single" w:sz="8" w:space="0" w:color="FFFFFF"/>
            </w:tcBorders>
            <w:shd w:val="clear" w:color="000000" w:fill="DBE5F1"/>
            <w:noWrap/>
          </w:tcPr>
          <w:p w14:paraId="3B6560FB" w14:textId="77777777" w:rsidR="00B86FB3" w:rsidRPr="00FF756A" w:rsidRDefault="00B86FB3" w:rsidP="00B86FB3">
            <w:pPr>
              <w:jc w:val="right"/>
              <w:rPr>
                <w:rFonts w:eastAsia="Times New Roman"/>
                <w:color w:val="000000"/>
                <w:sz w:val="16"/>
                <w:szCs w:val="16"/>
              </w:rPr>
            </w:pPr>
            <w:r w:rsidRPr="00FF756A">
              <w:rPr>
                <w:sz w:val="16"/>
                <w:szCs w:val="16"/>
              </w:rPr>
              <w:t xml:space="preserve"> 30,8 </w:t>
            </w:r>
          </w:p>
        </w:tc>
        <w:tc>
          <w:tcPr>
            <w:tcW w:w="918" w:type="dxa"/>
            <w:tcBorders>
              <w:top w:val="nil"/>
              <w:left w:val="nil"/>
              <w:bottom w:val="single" w:sz="8" w:space="0" w:color="FFFFFF"/>
              <w:right w:val="single" w:sz="8" w:space="0" w:color="FFFFFF"/>
            </w:tcBorders>
            <w:shd w:val="clear" w:color="000000" w:fill="DBE5F1"/>
            <w:noWrap/>
          </w:tcPr>
          <w:p w14:paraId="3B465EE4" w14:textId="77777777" w:rsidR="00B86FB3" w:rsidRPr="00FF756A" w:rsidRDefault="00B86FB3" w:rsidP="00B86FB3">
            <w:pPr>
              <w:jc w:val="right"/>
              <w:rPr>
                <w:rFonts w:eastAsia="Times New Roman"/>
                <w:color w:val="000000"/>
                <w:sz w:val="16"/>
                <w:szCs w:val="16"/>
              </w:rPr>
            </w:pPr>
            <w:r w:rsidRPr="00FF756A">
              <w:rPr>
                <w:sz w:val="16"/>
                <w:szCs w:val="16"/>
              </w:rPr>
              <w:t xml:space="preserve"> 34,1 </w:t>
            </w:r>
          </w:p>
        </w:tc>
        <w:tc>
          <w:tcPr>
            <w:tcW w:w="918" w:type="dxa"/>
            <w:tcBorders>
              <w:top w:val="single" w:sz="8" w:space="0" w:color="FFFFFF"/>
              <w:left w:val="nil"/>
              <w:bottom w:val="single" w:sz="8" w:space="0" w:color="FFFFFF"/>
              <w:right w:val="single" w:sz="8" w:space="0" w:color="FFFFFF"/>
            </w:tcBorders>
            <w:shd w:val="clear" w:color="auto" w:fill="DBE5F1"/>
          </w:tcPr>
          <w:p w14:paraId="15B32546" w14:textId="77777777" w:rsidR="00B86FB3" w:rsidRPr="00FF756A" w:rsidRDefault="00B86FB3" w:rsidP="00B86FB3">
            <w:pPr>
              <w:shd w:val="clear" w:color="auto" w:fill="DBE5F1"/>
              <w:jc w:val="right"/>
              <w:rPr>
                <w:rFonts w:eastAsia="Times New Roman"/>
                <w:color w:val="000000"/>
                <w:sz w:val="16"/>
                <w:szCs w:val="16"/>
              </w:rPr>
            </w:pPr>
            <w:r w:rsidRPr="00FF756A">
              <w:rPr>
                <w:sz w:val="16"/>
                <w:szCs w:val="16"/>
              </w:rPr>
              <w:t xml:space="preserve"> 36,6 </w:t>
            </w:r>
          </w:p>
        </w:tc>
      </w:tr>
      <w:tr w:rsidR="00B86FB3" w:rsidRPr="00FF756A" w14:paraId="658CC03F"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4EC88402" w14:textId="77777777" w:rsidR="00B86FB3" w:rsidRPr="00FF756A" w:rsidRDefault="00B86FB3" w:rsidP="00B86FB3">
            <w:pPr>
              <w:rPr>
                <w:rFonts w:eastAsia="Times New Roman"/>
                <w:b/>
                <w:bCs/>
                <w:color w:val="FFFFFF"/>
                <w:sz w:val="16"/>
                <w:szCs w:val="16"/>
              </w:rPr>
            </w:pPr>
            <w:r w:rsidRPr="00FF756A">
              <w:rPr>
                <w:b/>
                <w:bCs/>
                <w:color w:val="FFFFFF"/>
                <w:sz w:val="16"/>
                <w:szCs w:val="16"/>
              </w:rPr>
              <w:t>Ngrohja e ujit</w:t>
            </w:r>
          </w:p>
        </w:tc>
        <w:tc>
          <w:tcPr>
            <w:tcW w:w="917" w:type="dxa"/>
            <w:tcBorders>
              <w:top w:val="nil"/>
              <w:left w:val="nil"/>
              <w:bottom w:val="single" w:sz="8" w:space="0" w:color="FFFFFF"/>
              <w:right w:val="single" w:sz="8" w:space="0" w:color="FFFFFF"/>
            </w:tcBorders>
            <w:shd w:val="clear" w:color="000000" w:fill="B8CCE4"/>
            <w:noWrap/>
            <w:hideMark/>
          </w:tcPr>
          <w:p w14:paraId="7D7D1A56" w14:textId="77777777" w:rsidR="00B86FB3" w:rsidRPr="00FF756A" w:rsidRDefault="00B86FB3" w:rsidP="00B86FB3">
            <w:pPr>
              <w:jc w:val="right"/>
              <w:rPr>
                <w:rFonts w:eastAsia="Times New Roman"/>
                <w:color w:val="000000"/>
                <w:sz w:val="16"/>
                <w:szCs w:val="16"/>
              </w:rPr>
            </w:pPr>
            <w:r w:rsidRPr="00FF756A">
              <w:rPr>
                <w:sz w:val="16"/>
                <w:szCs w:val="16"/>
              </w:rPr>
              <w:t xml:space="preserve"> 1,0 </w:t>
            </w:r>
          </w:p>
        </w:tc>
        <w:tc>
          <w:tcPr>
            <w:tcW w:w="917" w:type="dxa"/>
            <w:tcBorders>
              <w:top w:val="nil"/>
              <w:left w:val="nil"/>
              <w:bottom w:val="single" w:sz="8" w:space="0" w:color="FFFFFF"/>
              <w:right w:val="single" w:sz="8" w:space="0" w:color="FFFFFF"/>
            </w:tcBorders>
            <w:shd w:val="clear" w:color="000000" w:fill="B8CCE4"/>
            <w:noWrap/>
            <w:hideMark/>
          </w:tcPr>
          <w:p w14:paraId="43685EBC" w14:textId="77777777" w:rsidR="00B86FB3" w:rsidRPr="00FF756A" w:rsidRDefault="00B86FB3" w:rsidP="00B86FB3">
            <w:pPr>
              <w:jc w:val="right"/>
              <w:rPr>
                <w:rFonts w:eastAsia="Times New Roman"/>
                <w:color w:val="000000"/>
                <w:sz w:val="16"/>
                <w:szCs w:val="16"/>
              </w:rPr>
            </w:pPr>
            <w:r w:rsidRPr="00FF756A">
              <w:rPr>
                <w:sz w:val="16"/>
                <w:szCs w:val="16"/>
              </w:rPr>
              <w:t xml:space="preserve"> 0,9 </w:t>
            </w:r>
          </w:p>
        </w:tc>
        <w:tc>
          <w:tcPr>
            <w:tcW w:w="917" w:type="dxa"/>
            <w:tcBorders>
              <w:top w:val="nil"/>
              <w:left w:val="nil"/>
              <w:bottom w:val="single" w:sz="8" w:space="0" w:color="FFFFFF"/>
              <w:right w:val="single" w:sz="8" w:space="0" w:color="FFFFFF"/>
            </w:tcBorders>
            <w:shd w:val="clear" w:color="000000" w:fill="B8CCE4"/>
            <w:noWrap/>
            <w:hideMark/>
          </w:tcPr>
          <w:p w14:paraId="16073821" w14:textId="77777777" w:rsidR="00B86FB3" w:rsidRPr="00FF756A" w:rsidRDefault="00B86FB3" w:rsidP="00B86FB3">
            <w:pPr>
              <w:jc w:val="right"/>
              <w:rPr>
                <w:rFonts w:eastAsia="Times New Roman"/>
                <w:color w:val="000000"/>
                <w:sz w:val="16"/>
                <w:szCs w:val="16"/>
              </w:rPr>
            </w:pPr>
            <w:r w:rsidRPr="00FF756A">
              <w:rPr>
                <w:sz w:val="16"/>
                <w:szCs w:val="16"/>
              </w:rPr>
              <w:t xml:space="preserve"> 0,8 </w:t>
            </w:r>
          </w:p>
        </w:tc>
        <w:tc>
          <w:tcPr>
            <w:tcW w:w="917" w:type="dxa"/>
            <w:tcBorders>
              <w:top w:val="nil"/>
              <w:left w:val="nil"/>
              <w:bottom w:val="single" w:sz="8" w:space="0" w:color="FFFFFF"/>
              <w:right w:val="single" w:sz="8" w:space="0" w:color="FFFFFF"/>
            </w:tcBorders>
            <w:shd w:val="clear" w:color="000000" w:fill="B8CCE4"/>
            <w:noWrap/>
            <w:hideMark/>
          </w:tcPr>
          <w:p w14:paraId="2E00F7B2" w14:textId="77777777" w:rsidR="00B86FB3" w:rsidRPr="00FF756A" w:rsidRDefault="00B86FB3" w:rsidP="00B86FB3">
            <w:pPr>
              <w:jc w:val="right"/>
              <w:rPr>
                <w:rFonts w:eastAsia="Times New Roman"/>
                <w:color w:val="000000"/>
                <w:sz w:val="16"/>
                <w:szCs w:val="16"/>
              </w:rPr>
            </w:pPr>
            <w:r w:rsidRPr="00FF756A">
              <w:rPr>
                <w:sz w:val="16"/>
                <w:szCs w:val="16"/>
              </w:rPr>
              <w:t xml:space="preserve"> 1,3 </w:t>
            </w:r>
          </w:p>
        </w:tc>
        <w:tc>
          <w:tcPr>
            <w:tcW w:w="917" w:type="dxa"/>
            <w:tcBorders>
              <w:top w:val="nil"/>
              <w:left w:val="nil"/>
              <w:bottom w:val="single" w:sz="8" w:space="0" w:color="FFFFFF"/>
              <w:right w:val="single" w:sz="8" w:space="0" w:color="FFFFFF"/>
            </w:tcBorders>
            <w:shd w:val="clear" w:color="000000" w:fill="B8CCE4"/>
            <w:noWrap/>
            <w:hideMark/>
          </w:tcPr>
          <w:p w14:paraId="762B39DB" w14:textId="77777777" w:rsidR="00B86FB3" w:rsidRPr="00FF756A" w:rsidRDefault="00B86FB3" w:rsidP="00B86FB3">
            <w:pPr>
              <w:jc w:val="right"/>
              <w:rPr>
                <w:rFonts w:eastAsia="Times New Roman"/>
                <w:color w:val="000000"/>
                <w:sz w:val="16"/>
                <w:szCs w:val="16"/>
              </w:rPr>
            </w:pPr>
            <w:r w:rsidRPr="00FF756A">
              <w:rPr>
                <w:sz w:val="16"/>
                <w:szCs w:val="16"/>
              </w:rPr>
              <w:t xml:space="preserve"> 2,2 </w:t>
            </w:r>
          </w:p>
        </w:tc>
        <w:tc>
          <w:tcPr>
            <w:tcW w:w="917" w:type="dxa"/>
            <w:tcBorders>
              <w:top w:val="nil"/>
              <w:left w:val="nil"/>
              <w:bottom w:val="single" w:sz="8" w:space="0" w:color="FFFFFF"/>
              <w:right w:val="single" w:sz="8" w:space="0" w:color="FFFFFF"/>
            </w:tcBorders>
            <w:shd w:val="clear" w:color="000000" w:fill="B8CCE4"/>
            <w:noWrap/>
            <w:hideMark/>
          </w:tcPr>
          <w:p w14:paraId="735790B9" w14:textId="77777777" w:rsidR="00B86FB3" w:rsidRPr="00FF756A" w:rsidRDefault="00B86FB3" w:rsidP="00B86FB3">
            <w:pPr>
              <w:jc w:val="right"/>
              <w:rPr>
                <w:rFonts w:eastAsia="Times New Roman"/>
                <w:color w:val="000000"/>
                <w:sz w:val="16"/>
                <w:szCs w:val="16"/>
              </w:rPr>
            </w:pPr>
            <w:r w:rsidRPr="00FF756A">
              <w:rPr>
                <w:sz w:val="16"/>
                <w:szCs w:val="16"/>
              </w:rPr>
              <w:t xml:space="preserve"> 3,7 </w:t>
            </w:r>
          </w:p>
        </w:tc>
        <w:tc>
          <w:tcPr>
            <w:tcW w:w="918" w:type="dxa"/>
            <w:tcBorders>
              <w:top w:val="nil"/>
              <w:left w:val="nil"/>
              <w:bottom w:val="single" w:sz="8" w:space="0" w:color="FFFFFF"/>
              <w:right w:val="single" w:sz="8" w:space="0" w:color="FFFFFF"/>
            </w:tcBorders>
            <w:shd w:val="clear" w:color="000000" w:fill="B8CCE4"/>
            <w:noWrap/>
            <w:hideMark/>
          </w:tcPr>
          <w:p w14:paraId="01580751" w14:textId="77777777" w:rsidR="00B86FB3" w:rsidRPr="00FF756A" w:rsidRDefault="00B86FB3" w:rsidP="00B86FB3">
            <w:pPr>
              <w:jc w:val="right"/>
              <w:rPr>
                <w:rFonts w:eastAsia="Times New Roman"/>
                <w:color w:val="000000"/>
                <w:sz w:val="16"/>
                <w:szCs w:val="16"/>
              </w:rPr>
            </w:pPr>
            <w:r w:rsidRPr="00FF756A">
              <w:rPr>
                <w:sz w:val="16"/>
                <w:szCs w:val="16"/>
              </w:rPr>
              <w:t xml:space="preserve"> 4,8 </w:t>
            </w:r>
          </w:p>
        </w:tc>
        <w:tc>
          <w:tcPr>
            <w:tcW w:w="918" w:type="dxa"/>
            <w:tcBorders>
              <w:top w:val="single" w:sz="8" w:space="0" w:color="FFFFFF"/>
              <w:left w:val="nil"/>
              <w:bottom w:val="single" w:sz="8" w:space="0" w:color="FFFFFF"/>
              <w:right w:val="single" w:sz="8" w:space="0" w:color="FFFFFF"/>
            </w:tcBorders>
            <w:shd w:val="clear" w:color="auto" w:fill="B8CCE4"/>
          </w:tcPr>
          <w:p w14:paraId="291D5684" w14:textId="77777777" w:rsidR="00B86FB3" w:rsidRPr="00FF756A" w:rsidRDefault="00B86FB3" w:rsidP="00B86FB3">
            <w:pPr>
              <w:shd w:val="clear" w:color="auto" w:fill="B8CCE4"/>
              <w:jc w:val="right"/>
              <w:rPr>
                <w:rFonts w:eastAsia="Times New Roman"/>
                <w:color w:val="000000"/>
                <w:sz w:val="16"/>
                <w:szCs w:val="16"/>
              </w:rPr>
            </w:pPr>
            <w:r w:rsidRPr="00FF756A">
              <w:rPr>
                <w:sz w:val="16"/>
                <w:szCs w:val="16"/>
              </w:rPr>
              <w:t xml:space="preserve"> 6,6 </w:t>
            </w:r>
          </w:p>
        </w:tc>
      </w:tr>
      <w:tr w:rsidR="00B86FB3" w:rsidRPr="00FF756A" w14:paraId="0E68F477"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63B8225D" w14:textId="77777777" w:rsidR="00B86FB3" w:rsidRPr="00FF756A" w:rsidRDefault="00B86FB3" w:rsidP="00B86FB3">
            <w:pPr>
              <w:rPr>
                <w:rFonts w:eastAsia="Times New Roman"/>
                <w:b/>
                <w:bCs/>
                <w:color w:val="FFFFFF"/>
                <w:sz w:val="16"/>
                <w:szCs w:val="16"/>
              </w:rPr>
            </w:pPr>
            <w:r w:rsidRPr="00FF756A">
              <w:rPr>
                <w:b/>
                <w:bCs/>
                <w:color w:val="FFFFFF"/>
                <w:sz w:val="16"/>
                <w:szCs w:val="16"/>
              </w:rPr>
              <w:t>Totali</w:t>
            </w:r>
          </w:p>
        </w:tc>
        <w:tc>
          <w:tcPr>
            <w:tcW w:w="917" w:type="dxa"/>
            <w:tcBorders>
              <w:top w:val="nil"/>
              <w:left w:val="nil"/>
              <w:bottom w:val="single" w:sz="8" w:space="0" w:color="FFFFFF"/>
              <w:right w:val="single" w:sz="8" w:space="0" w:color="FFFFFF"/>
            </w:tcBorders>
            <w:shd w:val="clear" w:color="000000" w:fill="4F81BD"/>
            <w:noWrap/>
            <w:hideMark/>
          </w:tcPr>
          <w:p w14:paraId="2A0B3A7B"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359,9 </w:t>
            </w:r>
          </w:p>
        </w:tc>
        <w:tc>
          <w:tcPr>
            <w:tcW w:w="917" w:type="dxa"/>
            <w:tcBorders>
              <w:top w:val="nil"/>
              <w:left w:val="nil"/>
              <w:bottom w:val="single" w:sz="8" w:space="0" w:color="FFFFFF"/>
              <w:right w:val="single" w:sz="8" w:space="0" w:color="FFFFFF"/>
            </w:tcBorders>
            <w:shd w:val="clear" w:color="000000" w:fill="4F81BD"/>
            <w:noWrap/>
            <w:hideMark/>
          </w:tcPr>
          <w:p w14:paraId="0BCF3B5B"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363,5 </w:t>
            </w:r>
          </w:p>
        </w:tc>
        <w:tc>
          <w:tcPr>
            <w:tcW w:w="917" w:type="dxa"/>
            <w:tcBorders>
              <w:top w:val="nil"/>
              <w:left w:val="nil"/>
              <w:bottom w:val="single" w:sz="8" w:space="0" w:color="FFFFFF"/>
              <w:right w:val="single" w:sz="8" w:space="0" w:color="FFFFFF"/>
            </w:tcBorders>
            <w:shd w:val="clear" w:color="000000" w:fill="4F81BD"/>
            <w:noWrap/>
            <w:hideMark/>
          </w:tcPr>
          <w:p w14:paraId="2824CE27"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353,5 </w:t>
            </w:r>
          </w:p>
        </w:tc>
        <w:tc>
          <w:tcPr>
            <w:tcW w:w="917" w:type="dxa"/>
            <w:tcBorders>
              <w:top w:val="nil"/>
              <w:left w:val="nil"/>
              <w:bottom w:val="single" w:sz="8" w:space="0" w:color="FFFFFF"/>
              <w:right w:val="single" w:sz="8" w:space="0" w:color="FFFFFF"/>
            </w:tcBorders>
            <w:shd w:val="clear" w:color="000000" w:fill="4F81BD"/>
            <w:noWrap/>
            <w:hideMark/>
          </w:tcPr>
          <w:p w14:paraId="27057B92"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337,5 </w:t>
            </w:r>
          </w:p>
        </w:tc>
        <w:tc>
          <w:tcPr>
            <w:tcW w:w="917" w:type="dxa"/>
            <w:tcBorders>
              <w:top w:val="nil"/>
              <w:left w:val="nil"/>
              <w:bottom w:val="single" w:sz="8" w:space="0" w:color="FFFFFF"/>
              <w:right w:val="single" w:sz="8" w:space="0" w:color="FFFFFF"/>
            </w:tcBorders>
            <w:shd w:val="clear" w:color="000000" w:fill="4F81BD"/>
            <w:noWrap/>
            <w:hideMark/>
          </w:tcPr>
          <w:p w14:paraId="18625BDF"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325,3 </w:t>
            </w:r>
          </w:p>
        </w:tc>
        <w:tc>
          <w:tcPr>
            <w:tcW w:w="917" w:type="dxa"/>
            <w:tcBorders>
              <w:top w:val="nil"/>
              <w:left w:val="nil"/>
              <w:bottom w:val="single" w:sz="8" w:space="0" w:color="FFFFFF"/>
              <w:right w:val="single" w:sz="8" w:space="0" w:color="FFFFFF"/>
            </w:tcBorders>
            <w:shd w:val="clear" w:color="000000" w:fill="4F81BD"/>
            <w:noWrap/>
            <w:hideMark/>
          </w:tcPr>
          <w:p w14:paraId="106B2699"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291,6 </w:t>
            </w:r>
          </w:p>
        </w:tc>
        <w:tc>
          <w:tcPr>
            <w:tcW w:w="918" w:type="dxa"/>
            <w:tcBorders>
              <w:top w:val="nil"/>
              <w:left w:val="nil"/>
              <w:bottom w:val="single" w:sz="8" w:space="0" w:color="FFFFFF"/>
              <w:right w:val="single" w:sz="8" w:space="0" w:color="FFFFFF"/>
            </w:tcBorders>
            <w:shd w:val="clear" w:color="000000" w:fill="4F81BD"/>
            <w:noWrap/>
            <w:hideMark/>
          </w:tcPr>
          <w:p w14:paraId="79B471FA"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190,2 </w:t>
            </w:r>
          </w:p>
        </w:tc>
        <w:tc>
          <w:tcPr>
            <w:tcW w:w="918" w:type="dxa"/>
            <w:tcBorders>
              <w:top w:val="single" w:sz="8" w:space="0" w:color="FFFFFF"/>
              <w:left w:val="nil"/>
              <w:bottom w:val="single" w:sz="8" w:space="0" w:color="FFFFFF"/>
              <w:right w:val="single" w:sz="8" w:space="0" w:color="FFFFFF"/>
            </w:tcBorders>
            <w:shd w:val="clear" w:color="000000" w:fill="4F81BD"/>
          </w:tcPr>
          <w:p w14:paraId="1A857F14"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123,4 </w:t>
            </w:r>
          </w:p>
        </w:tc>
      </w:tr>
      <w:tr w:rsidR="00B86FB3" w:rsidRPr="00FF756A" w14:paraId="57793C39" w14:textId="77777777" w:rsidTr="006A3266">
        <w:trPr>
          <w:trHeight w:val="293"/>
        </w:trPr>
        <w:tc>
          <w:tcPr>
            <w:tcW w:w="9170" w:type="dxa"/>
            <w:gridSpan w:val="9"/>
            <w:tcBorders>
              <w:top w:val="single" w:sz="8" w:space="0" w:color="FFFFFF"/>
              <w:left w:val="single" w:sz="8" w:space="0" w:color="FFFFFF"/>
              <w:bottom w:val="single" w:sz="8" w:space="0" w:color="FFFFFF"/>
              <w:right w:val="single" w:sz="8" w:space="0" w:color="FFFFFF"/>
            </w:tcBorders>
            <w:shd w:val="clear" w:color="000000" w:fill="4F81BD"/>
            <w:noWrap/>
            <w:vAlign w:val="center"/>
            <w:hideMark/>
          </w:tcPr>
          <w:p w14:paraId="6B7736AB" w14:textId="77777777" w:rsidR="00B86FB3" w:rsidRPr="00FF756A" w:rsidRDefault="00B86FB3" w:rsidP="00B86FB3">
            <w:pPr>
              <w:rPr>
                <w:rFonts w:eastAsia="Times New Roman"/>
                <w:b/>
                <w:bCs/>
                <w:color w:val="FFFFFF"/>
                <w:sz w:val="16"/>
                <w:szCs w:val="16"/>
              </w:rPr>
            </w:pPr>
            <w:r w:rsidRPr="00FF756A">
              <w:rPr>
                <w:b/>
                <w:bCs/>
                <w:color w:val="FFFFFF"/>
                <w:sz w:val="16"/>
                <w:szCs w:val="16"/>
              </w:rPr>
              <w:t>Shërbimet</w:t>
            </w:r>
          </w:p>
        </w:tc>
      </w:tr>
      <w:tr w:rsidR="00B86FB3" w:rsidRPr="00FF756A" w14:paraId="0AA55498"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61084B85" w14:textId="77777777" w:rsidR="00B86FB3" w:rsidRPr="00FF756A" w:rsidRDefault="00B86FB3" w:rsidP="00B86FB3">
            <w:pPr>
              <w:rPr>
                <w:rFonts w:eastAsia="Times New Roman"/>
                <w:b/>
                <w:bCs/>
                <w:color w:val="FFFFFF"/>
                <w:sz w:val="16"/>
                <w:szCs w:val="16"/>
              </w:rPr>
            </w:pPr>
            <w:r w:rsidRPr="00FF756A">
              <w:rPr>
                <w:b/>
                <w:bCs/>
                <w:color w:val="FFFFFF"/>
                <w:sz w:val="16"/>
                <w:szCs w:val="16"/>
              </w:rPr>
              <w:t>Tregtia</w:t>
            </w:r>
          </w:p>
        </w:tc>
        <w:tc>
          <w:tcPr>
            <w:tcW w:w="917" w:type="dxa"/>
            <w:tcBorders>
              <w:top w:val="nil"/>
              <w:left w:val="nil"/>
              <w:bottom w:val="single" w:sz="8" w:space="0" w:color="FFFFFF"/>
              <w:right w:val="single" w:sz="8" w:space="0" w:color="FFFFFF"/>
            </w:tcBorders>
            <w:shd w:val="clear" w:color="000000" w:fill="DBE5F1"/>
            <w:noWrap/>
            <w:hideMark/>
          </w:tcPr>
          <w:p w14:paraId="16460DFA" w14:textId="77777777" w:rsidR="00B86FB3" w:rsidRPr="00FF756A" w:rsidRDefault="00B86FB3" w:rsidP="00B86FB3">
            <w:pPr>
              <w:jc w:val="right"/>
              <w:rPr>
                <w:rFonts w:eastAsia="Times New Roman"/>
                <w:color w:val="000000"/>
                <w:sz w:val="16"/>
                <w:szCs w:val="16"/>
              </w:rPr>
            </w:pPr>
            <w:r w:rsidRPr="00FF756A">
              <w:rPr>
                <w:sz w:val="16"/>
                <w:szCs w:val="16"/>
              </w:rPr>
              <w:t xml:space="preserve"> 29,5 </w:t>
            </w:r>
          </w:p>
        </w:tc>
        <w:tc>
          <w:tcPr>
            <w:tcW w:w="917" w:type="dxa"/>
            <w:tcBorders>
              <w:top w:val="nil"/>
              <w:left w:val="nil"/>
              <w:bottom w:val="single" w:sz="8" w:space="0" w:color="FFFFFF"/>
              <w:right w:val="single" w:sz="8" w:space="0" w:color="FFFFFF"/>
            </w:tcBorders>
            <w:shd w:val="clear" w:color="000000" w:fill="DBE5F1"/>
            <w:noWrap/>
            <w:hideMark/>
          </w:tcPr>
          <w:p w14:paraId="1892EF70" w14:textId="77777777" w:rsidR="00B86FB3" w:rsidRPr="00FF756A" w:rsidRDefault="00B86FB3" w:rsidP="00B86FB3">
            <w:pPr>
              <w:jc w:val="right"/>
              <w:rPr>
                <w:rFonts w:eastAsia="Times New Roman"/>
                <w:color w:val="000000"/>
                <w:sz w:val="16"/>
                <w:szCs w:val="16"/>
              </w:rPr>
            </w:pPr>
            <w:r w:rsidRPr="00FF756A">
              <w:rPr>
                <w:sz w:val="16"/>
                <w:szCs w:val="16"/>
              </w:rPr>
              <w:t xml:space="preserve"> 31,5 </w:t>
            </w:r>
          </w:p>
        </w:tc>
        <w:tc>
          <w:tcPr>
            <w:tcW w:w="917" w:type="dxa"/>
            <w:tcBorders>
              <w:top w:val="nil"/>
              <w:left w:val="nil"/>
              <w:bottom w:val="single" w:sz="8" w:space="0" w:color="FFFFFF"/>
              <w:right w:val="single" w:sz="8" w:space="0" w:color="FFFFFF"/>
            </w:tcBorders>
            <w:shd w:val="clear" w:color="000000" w:fill="DBE5F1"/>
            <w:noWrap/>
            <w:hideMark/>
          </w:tcPr>
          <w:p w14:paraId="57F85754" w14:textId="77777777" w:rsidR="00B86FB3" w:rsidRPr="00FF756A" w:rsidRDefault="00B86FB3" w:rsidP="00B86FB3">
            <w:pPr>
              <w:jc w:val="right"/>
              <w:rPr>
                <w:rFonts w:eastAsia="Times New Roman"/>
                <w:color w:val="000000"/>
                <w:sz w:val="16"/>
                <w:szCs w:val="16"/>
              </w:rPr>
            </w:pPr>
            <w:r w:rsidRPr="00FF756A">
              <w:rPr>
                <w:sz w:val="16"/>
                <w:szCs w:val="16"/>
              </w:rPr>
              <w:t xml:space="preserve"> 31,5 </w:t>
            </w:r>
          </w:p>
        </w:tc>
        <w:tc>
          <w:tcPr>
            <w:tcW w:w="917" w:type="dxa"/>
            <w:tcBorders>
              <w:top w:val="nil"/>
              <w:left w:val="nil"/>
              <w:bottom w:val="single" w:sz="8" w:space="0" w:color="FFFFFF"/>
              <w:right w:val="single" w:sz="8" w:space="0" w:color="FFFFFF"/>
            </w:tcBorders>
            <w:shd w:val="clear" w:color="000000" w:fill="DBE5F1"/>
            <w:noWrap/>
            <w:hideMark/>
          </w:tcPr>
          <w:p w14:paraId="6D3B21D5" w14:textId="77777777" w:rsidR="00B86FB3" w:rsidRPr="00FF756A" w:rsidRDefault="00B86FB3" w:rsidP="00B86FB3">
            <w:pPr>
              <w:jc w:val="right"/>
              <w:rPr>
                <w:rFonts w:eastAsia="Times New Roman"/>
                <w:color w:val="000000"/>
                <w:sz w:val="16"/>
                <w:szCs w:val="16"/>
              </w:rPr>
            </w:pPr>
            <w:r w:rsidRPr="00FF756A">
              <w:rPr>
                <w:sz w:val="16"/>
                <w:szCs w:val="16"/>
              </w:rPr>
              <w:t xml:space="preserve"> 33,7 </w:t>
            </w:r>
          </w:p>
        </w:tc>
        <w:tc>
          <w:tcPr>
            <w:tcW w:w="917" w:type="dxa"/>
            <w:tcBorders>
              <w:top w:val="nil"/>
              <w:left w:val="nil"/>
              <w:bottom w:val="single" w:sz="8" w:space="0" w:color="FFFFFF"/>
              <w:right w:val="single" w:sz="8" w:space="0" w:color="FFFFFF"/>
            </w:tcBorders>
            <w:shd w:val="clear" w:color="000000" w:fill="DBE5F1"/>
            <w:noWrap/>
            <w:hideMark/>
          </w:tcPr>
          <w:p w14:paraId="108DCCF0" w14:textId="77777777" w:rsidR="00B86FB3" w:rsidRPr="00FF756A" w:rsidRDefault="00B86FB3" w:rsidP="00B86FB3">
            <w:pPr>
              <w:jc w:val="right"/>
              <w:rPr>
                <w:rFonts w:eastAsia="Times New Roman"/>
                <w:color w:val="000000"/>
                <w:sz w:val="16"/>
                <w:szCs w:val="16"/>
              </w:rPr>
            </w:pPr>
            <w:r w:rsidRPr="00FF756A">
              <w:rPr>
                <w:sz w:val="16"/>
                <w:szCs w:val="16"/>
              </w:rPr>
              <w:t xml:space="preserve"> 36,8 </w:t>
            </w:r>
          </w:p>
        </w:tc>
        <w:tc>
          <w:tcPr>
            <w:tcW w:w="917" w:type="dxa"/>
            <w:tcBorders>
              <w:top w:val="nil"/>
              <w:left w:val="nil"/>
              <w:bottom w:val="single" w:sz="8" w:space="0" w:color="FFFFFF"/>
              <w:right w:val="single" w:sz="8" w:space="0" w:color="FFFFFF"/>
            </w:tcBorders>
            <w:shd w:val="clear" w:color="000000" w:fill="DBE5F1"/>
            <w:noWrap/>
            <w:hideMark/>
          </w:tcPr>
          <w:p w14:paraId="2AFBBDAC" w14:textId="77777777" w:rsidR="00B86FB3" w:rsidRPr="00FF756A" w:rsidRDefault="00B86FB3" w:rsidP="00B86FB3">
            <w:pPr>
              <w:jc w:val="right"/>
              <w:rPr>
                <w:rFonts w:eastAsia="Times New Roman"/>
                <w:color w:val="000000"/>
                <w:sz w:val="16"/>
                <w:szCs w:val="16"/>
              </w:rPr>
            </w:pPr>
            <w:r w:rsidRPr="00FF756A">
              <w:rPr>
                <w:sz w:val="16"/>
                <w:szCs w:val="16"/>
              </w:rPr>
              <w:t xml:space="preserve"> 40,3 </w:t>
            </w:r>
          </w:p>
        </w:tc>
        <w:tc>
          <w:tcPr>
            <w:tcW w:w="918" w:type="dxa"/>
            <w:tcBorders>
              <w:top w:val="nil"/>
              <w:left w:val="nil"/>
              <w:bottom w:val="single" w:sz="8" w:space="0" w:color="FFFFFF"/>
              <w:right w:val="single" w:sz="8" w:space="0" w:color="FFFFFF"/>
            </w:tcBorders>
            <w:shd w:val="clear" w:color="000000" w:fill="DBE5F1"/>
            <w:noWrap/>
            <w:hideMark/>
          </w:tcPr>
          <w:p w14:paraId="16A848F4" w14:textId="77777777" w:rsidR="00B86FB3" w:rsidRPr="00FF756A" w:rsidRDefault="00B86FB3" w:rsidP="00B86FB3">
            <w:pPr>
              <w:jc w:val="right"/>
              <w:rPr>
                <w:rFonts w:eastAsia="Times New Roman"/>
                <w:color w:val="000000"/>
                <w:sz w:val="16"/>
                <w:szCs w:val="16"/>
              </w:rPr>
            </w:pPr>
            <w:r w:rsidRPr="00FF756A">
              <w:rPr>
                <w:sz w:val="16"/>
                <w:szCs w:val="16"/>
              </w:rPr>
              <w:t xml:space="preserve"> 41,1 </w:t>
            </w:r>
          </w:p>
        </w:tc>
        <w:tc>
          <w:tcPr>
            <w:tcW w:w="918" w:type="dxa"/>
            <w:tcBorders>
              <w:top w:val="nil"/>
              <w:left w:val="nil"/>
              <w:bottom w:val="single" w:sz="8" w:space="0" w:color="FFFFFF"/>
              <w:right w:val="single" w:sz="8" w:space="0" w:color="FFFFFF"/>
            </w:tcBorders>
            <w:shd w:val="clear" w:color="000000" w:fill="DBE5F1"/>
          </w:tcPr>
          <w:p w14:paraId="51036778" w14:textId="77777777" w:rsidR="00B86FB3" w:rsidRPr="00FF756A" w:rsidRDefault="00B86FB3" w:rsidP="00B86FB3">
            <w:pPr>
              <w:jc w:val="right"/>
              <w:rPr>
                <w:rFonts w:eastAsia="Times New Roman"/>
                <w:color w:val="000000"/>
                <w:sz w:val="16"/>
                <w:szCs w:val="16"/>
              </w:rPr>
            </w:pPr>
            <w:r w:rsidRPr="00FF756A">
              <w:rPr>
                <w:sz w:val="16"/>
                <w:szCs w:val="16"/>
              </w:rPr>
              <w:t xml:space="preserve"> 39,3 </w:t>
            </w:r>
          </w:p>
        </w:tc>
      </w:tr>
      <w:tr w:rsidR="00B86FB3" w:rsidRPr="00FF756A" w14:paraId="69117362"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03AAF136" w14:textId="77777777" w:rsidR="00B86FB3" w:rsidRPr="00FF756A" w:rsidRDefault="00B86FB3" w:rsidP="00B86FB3">
            <w:pPr>
              <w:rPr>
                <w:rFonts w:eastAsia="Times New Roman"/>
                <w:b/>
                <w:bCs/>
                <w:color w:val="FFFFFF"/>
                <w:sz w:val="16"/>
                <w:szCs w:val="16"/>
              </w:rPr>
            </w:pPr>
            <w:r w:rsidRPr="00FF756A">
              <w:rPr>
                <w:b/>
                <w:bCs/>
                <w:color w:val="FFFFFF"/>
                <w:sz w:val="16"/>
                <w:szCs w:val="16"/>
              </w:rPr>
              <w:t>Akomodimi dhe ushqimi</w:t>
            </w:r>
          </w:p>
        </w:tc>
        <w:tc>
          <w:tcPr>
            <w:tcW w:w="917" w:type="dxa"/>
            <w:tcBorders>
              <w:top w:val="nil"/>
              <w:left w:val="nil"/>
              <w:bottom w:val="single" w:sz="8" w:space="0" w:color="FFFFFF"/>
              <w:right w:val="single" w:sz="8" w:space="0" w:color="FFFFFF"/>
            </w:tcBorders>
            <w:shd w:val="clear" w:color="000000" w:fill="B8CCE4"/>
            <w:noWrap/>
            <w:hideMark/>
          </w:tcPr>
          <w:p w14:paraId="4FF45B9D" w14:textId="77777777" w:rsidR="00B86FB3" w:rsidRPr="00FF756A" w:rsidRDefault="00B86FB3" w:rsidP="00B86FB3">
            <w:pPr>
              <w:jc w:val="right"/>
              <w:rPr>
                <w:rFonts w:eastAsia="Times New Roman"/>
                <w:color w:val="000000"/>
                <w:sz w:val="16"/>
                <w:szCs w:val="16"/>
              </w:rPr>
            </w:pPr>
            <w:r w:rsidRPr="00FF756A">
              <w:rPr>
                <w:sz w:val="16"/>
                <w:szCs w:val="16"/>
              </w:rPr>
              <w:t xml:space="preserve"> 11,1 </w:t>
            </w:r>
          </w:p>
        </w:tc>
        <w:tc>
          <w:tcPr>
            <w:tcW w:w="917" w:type="dxa"/>
            <w:tcBorders>
              <w:top w:val="nil"/>
              <w:left w:val="nil"/>
              <w:bottom w:val="single" w:sz="8" w:space="0" w:color="FFFFFF"/>
              <w:right w:val="single" w:sz="8" w:space="0" w:color="FFFFFF"/>
            </w:tcBorders>
            <w:shd w:val="clear" w:color="000000" w:fill="B8CCE4"/>
            <w:noWrap/>
            <w:hideMark/>
          </w:tcPr>
          <w:p w14:paraId="6C6B7C4F" w14:textId="77777777" w:rsidR="00B86FB3" w:rsidRPr="00FF756A" w:rsidRDefault="00B86FB3" w:rsidP="00B86FB3">
            <w:pPr>
              <w:jc w:val="right"/>
              <w:rPr>
                <w:rFonts w:eastAsia="Times New Roman"/>
                <w:color w:val="000000"/>
                <w:sz w:val="16"/>
                <w:szCs w:val="16"/>
              </w:rPr>
            </w:pPr>
            <w:r w:rsidRPr="00FF756A">
              <w:rPr>
                <w:sz w:val="16"/>
                <w:szCs w:val="16"/>
              </w:rPr>
              <w:t xml:space="preserve"> 11,9 </w:t>
            </w:r>
          </w:p>
        </w:tc>
        <w:tc>
          <w:tcPr>
            <w:tcW w:w="917" w:type="dxa"/>
            <w:tcBorders>
              <w:top w:val="nil"/>
              <w:left w:val="nil"/>
              <w:bottom w:val="single" w:sz="8" w:space="0" w:color="FFFFFF"/>
              <w:right w:val="single" w:sz="8" w:space="0" w:color="FFFFFF"/>
            </w:tcBorders>
            <w:shd w:val="clear" w:color="000000" w:fill="B8CCE4"/>
            <w:noWrap/>
            <w:hideMark/>
          </w:tcPr>
          <w:p w14:paraId="728CE093" w14:textId="77777777" w:rsidR="00B86FB3" w:rsidRPr="00FF756A" w:rsidRDefault="00B86FB3" w:rsidP="00B86FB3">
            <w:pPr>
              <w:jc w:val="right"/>
              <w:rPr>
                <w:rFonts w:eastAsia="Times New Roman"/>
                <w:color w:val="000000"/>
                <w:sz w:val="16"/>
                <w:szCs w:val="16"/>
              </w:rPr>
            </w:pPr>
            <w:r w:rsidRPr="00FF756A">
              <w:rPr>
                <w:sz w:val="16"/>
                <w:szCs w:val="16"/>
              </w:rPr>
              <w:t xml:space="preserve"> 11,9 </w:t>
            </w:r>
          </w:p>
        </w:tc>
        <w:tc>
          <w:tcPr>
            <w:tcW w:w="917" w:type="dxa"/>
            <w:tcBorders>
              <w:top w:val="nil"/>
              <w:left w:val="nil"/>
              <w:bottom w:val="single" w:sz="8" w:space="0" w:color="FFFFFF"/>
              <w:right w:val="single" w:sz="8" w:space="0" w:color="FFFFFF"/>
            </w:tcBorders>
            <w:shd w:val="clear" w:color="000000" w:fill="B8CCE4"/>
            <w:noWrap/>
            <w:hideMark/>
          </w:tcPr>
          <w:p w14:paraId="21906D9A" w14:textId="77777777" w:rsidR="00B86FB3" w:rsidRPr="00FF756A" w:rsidRDefault="00B86FB3" w:rsidP="00B86FB3">
            <w:pPr>
              <w:jc w:val="right"/>
              <w:rPr>
                <w:rFonts w:eastAsia="Times New Roman"/>
                <w:color w:val="000000"/>
                <w:sz w:val="16"/>
                <w:szCs w:val="16"/>
              </w:rPr>
            </w:pPr>
            <w:r w:rsidRPr="00FF756A">
              <w:rPr>
                <w:sz w:val="16"/>
                <w:szCs w:val="16"/>
              </w:rPr>
              <w:t xml:space="preserve"> 12,9 </w:t>
            </w:r>
          </w:p>
        </w:tc>
        <w:tc>
          <w:tcPr>
            <w:tcW w:w="917" w:type="dxa"/>
            <w:tcBorders>
              <w:top w:val="nil"/>
              <w:left w:val="nil"/>
              <w:bottom w:val="single" w:sz="8" w:space="0" w:color="FFFFFF"/>
              <w:right w:val="single" w:sz="8" w:space="0" w:color="FFFFFF"/>
            </w:tcBorders>
            <w:shd w:val="clear" w:color="000000" w:fill="B8CCE4"/>
            <w:noWrap/>
            <w:hideMark/>
          </w:tcPr>
          <w:p w14:paraId="3CC96CB6" w14:textId="77777777" w:rsidR="00B86FB3" w:rsidRPr="00FF756A" w:rsidRDefault="00B86FB3" w:rsidP="00B86FB3">
            <w:pPr>
              <w:jc w:val="right"/>
              <w:rPr>
                <w:rFonts w:eastAsia="Times New Roman"/>
                <w:color w:val="000000"/>
                <w:sz w:val="16"/>
                <w:szCs w:val="16"/>
              </w:rPr>
            </w:pPr>
            <w:r w:rsidRPr="00FF756A">
              <w:rPr>
                <w:sz w:val="16"/>
                <w:szCs w:val="16"/>
              </w:rPr>
              <w:t xml:space="preserve"> 14,7 </w:t>
            </w:r>
          </w:p>
        </w:tc>
        <w:tc>
          <w:tcPr>
            <w:tcW w:w="917" w:type="dxa"/>
            <w:tcBorders>
              <w:top w:val="nil"/>
              <w:left w:val="nil"/>
              <w:bottom w:val="single" w:sz="8" w:space="0" w:color="FFFFFF"/>
              <w:right w:val="single" w:sz="8" w:space="0" w:color="FFFFFF"/>
            </w:tcBorders>
            <w:shd w:val="clear" w:color="000000" w:fill="B8CCE4"/>
            <w:noWrap/>
            <w:hideMark/>
          </w:tcPr>
          <w:p w14:paraId="165C4BB3" w14:textId="77777777" w:rsidR="00B86FB3" w:rsidRPr="00FF756A" w:rsidRDefault="00B86FB3" w:rsidP="00B86FB3">
            <w:pPr>
              <w:jc w:val="right"/>
              <w:rPr>
                <w:rFonts w:eastAsia="Times New Roman"/>
                <w:color w:val="000000"/>
                <w:sz w:val="16"/>
                <w:szCs w:val="16"/>
              </w:rPr>
            </w:pPr>
            <w:r w:rsidRPr="00FF756A">
              <w:rPr>
                <w:sz w:val="16"/>
                <w:szCs w:val="16"/>
              </w:rPr>
              <w:t xml:space="preserve"> 18,2 </w:t>
            </w:r>
          </w:p>
        </w:tc>
        <w:tc>
          <w:tcPr>
            <w:tcW w:w="918" w:type="dxa"/>
            <w:tcBorders>
              <w:top w:val="nil"/>
              <w:left w:val="nil"/>
              <w:bottom w:val="single" w:sz="8" w:space="0" w:color="FFFFFF"/>
              <w:right w:val="single" w:sz="8" w:space="0" w:color="FFFFFF"/>
            </w:tcBorders>
            <w:shd w:val="clear" w:color="000000" w:fill="B8CCE4"/>
            <w:noWrap/>
            <w:hideMark/>
          </w:tcPr>
          <w:p w14:paraId="6DD0D3BD" w14:textId="77777777" w:rsidR="00B86FB3" w:rsidRPr="00FF756A" w:rsidRDefault="00B86FB3" w:rsidP="00B86FB3">
            <w:pPr>
              <w:jc w:val="right"/>
              <w:rPr>
                <w:rFonts w:eastAsia="Times New Roman"/>
                <w:color w:val="000000"/>
                <w:sz w:val="16"/>
                <w:szCs w:val="16"/>
              </w:rPr>
            </w:pPr>
            <w:r w:rsidRPr="00FF756A">
              <w:rPr>
                <w:sz w:val="16"/>
                <w:szCs w:val="16"/>
              </w:rPr>
              <w:t xml:space="preserve"> 22,0 </w:t>
            </w:r>
          </w:p>
        </w:tc>
        <w:tc>
          <w:tcPr>
            <w:tcW w:w="918" w:type="dxa"/>
            <w:tcBorders>
              <w:top w:val="nil"/>
              <w:left w:val="nil"/>
              <w:bottom w:val="single" w:sz="8" w:space="0" w:color="FFFFFF"/>
              <w:right w:val="single" w:sz="8" w:space="0" w:color="FFFFFF"/>
            </w:tcBorders>
            <w:shd w:val="clear" w:color="000000" w:fill="B8CCE4"/>
          </w:tcPr>
          <w:p w14:paraId="7F57DEF6" w14:textId="77777777" w:rsidR="00B86FB3" w:rsidRPr="00FF756A" w:rsidRDefault="00B86FB3" w:rsidP="00B86FB3">
            <w:pPr>
              <w:jc w:val="right"/>
              <w:rPr>
                <w:rFonts w:eastAsia="Times New Roman"/>
                <w:color w:val="000000"/>
                <w:sz w:val="16"/>
                <w:szCs w:val="16"/>
              </w:rPr>
            </w:pPr>
            <w:r w:rsidRPr="00FF756A">
              <w:rPr>
                <w:sz w:val="16"/>
                <w:szCs w:val="16"/>
              </w:rPr>
              <w:t xml:space="preserve"> 22,0 </w:t>
            </w:r>
          </w:p>
        </w:tc>
      </w:tr>
      <w:tr w:rsidR="00B86FB3" w:rsidRPr="00FF756A" w14:paraId="1B5B9288"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5D8465B8" w14:textId="77777777" w:rsidR="00B86FB3" w:rsidRPr="00FF756A" w:rsidRDefault="00B86FB3" w:rsidP="00B86FB3">
            <w:pPr>
              <w:rPr>
                <w:rFonts w:eastAsia="Times New Roman"/>
                <w:b/>
                <w:bCs/>
                <w:color w:val="FFFFFF"/>
                <w:sz w:val="16"/>
                <w:szCs w:val="16"/>
              </w:rPr>
            </w:pPr>
            <w:r w:rsidRPr="00FF756A">
              <w:rPr>
                <w:b/>
                <w:bCs/>
                <w:color w:val="FFFFFF"/>
                <w:sz w:val="16"/>
                <w:szCs w:val="16"/>
              </w:rPr>
              <w:t>Administrata publike</w:t>
            </w:r>
          </w:p>
        </w:tc>
        <w:tc>
          <w:tcPr>
            <w:tcW w:w="917" w:type="dxa"/>
            <w:tcBorders>
              <w:top w:val="nil"/>
              <w:left w:val="nil"/>
              <w:bottom w:val="single" w:sz="8" w:space="0" w:color="FFFFFF"/>
              <w:right w:val="single" w:sz="8" w:space="0" w:color="FFFFFF"/>
            </w:tcBorders>
            <w:shd w:val="clear" w:color="000000" w:fill="DBE5F1"/>
            <w:noWrap/>
            <w:hideMark/>
          </w:tcPr>
          <w:p w14:paraId="3B3F2BFF" w14:textId="77777777" w:rsidR="00B86FB3" w:rsidRPr="00FF756A" w:rsidRDefault="00B86FB3" w:rsidP="00B86FB3">
            <w:pPr>
              <w:jc w:val="right"/>
              <w:rPr>
                <w:rFonts w:eastAsia="Times New Roman"/>
                <w:color w:val="000000"/>
                <w:sz w:val="16"/>
                <w:szCs w:val="16"/>
              </w:rPr>
            </w:pPr>
            <w:r w:rsidRPr="00FF756A">
              <w:rPr>
                <w:sz w:val="16"/>
                <w:szCs w:val="16"/>
              </w:rPr>
              <w:t xml:space="preserve"> 15,1 </w:t>
            </w:r>
          </w:p>
        </w:tc>
        <w:tc>
          <w:tcPr>
            <w:tcW w:w="917" w:type="dxa"/>
            <w:tcBorders>
              <w:top w:val="nil"/>
              <w:left w:val="nil"/>
              <w:bottom w:val="single" w:sz="8" w:space="0" w:color="FFFFFF"/>
              <w:right w:val="single" w:sz="8" w:space="0" w:color="FFFFFF"/>
            </w:tcBorders>
            <w:shd w:val="clear" w:color="000000" w:fill="DBE5F1"/>
            <w:noWrap/>
            <w:hideMark/>
          </w:tcPr>
          <w:p w14:paraId="01879B8D" w14:textId="77777777" w:rsidR="00B86FB3" w:rsidRPr="00FF756A" w:rsidRDefault="00B86FB3" w:rsidP="00B86FB3">
            <w:pPr>
              <w:jc w:val="right"/>
              <w:rPr>
                <w:rFonts w:eastAsia="Times New Roman"/>
                <w:color w:val="000000"/>
                <w:sz w:val="16"/>
                <w:szCs w:val="16"/>
              </w:rPr>
            </w:pPr>
            <w:r w:rsidRPr="00FF756A">
              <w:rPr>
                <w:sz w:val="16"/>
                <w:szCs w:val="16"/>
              </w:rPr>
              <w:t xml:space="preserve"> 16,2 </w:t>
            </w:r>
          </w:p>
        </w:tc>
        <w:tc>
          <w:tcPr>
            <w:tcW w:w="917" w:type="dxa"/>
            <w:tcBorders>
              <w:top w:val="nil"/>
              <w:left w:val="nil"/>
              <w:bottom w:val="single" w:sz="8" w:space="0" w:color="FFFFFF"/>
              <w:right w:val="single" w:sz="8" w:space="0" w:color="FFFFFF"/>
            </w:tcBorders>
            <w:shd w:val="clear" w:color="000000" w:fill="DBE5F1"/>
            <w:noWrap/>
            <w:hideMark/>
          </w:tcPr>
          <w:p w14:paraId="4A670F64" w14:textId="77777777" w:rsidR="00B86FB3" w:rsidRPr="00FF756A" w:rsidRDefault="00B86FB3" w:rsidP="00B86FB3">
            <w:pPr>
              <w:jc w:val="right"/>
              <w:rPr>
                <w:rFonts w:eastAsia="Times New Roman"/>
                <w:color w:val="000000"/>
                <w:sz w:val="16"/>
                <w:szCs w:val="16"/>
              </w:rPr>
            </w:pPr>
            <w:r w:rsidRPr="00FF756A">
              <w:rPr>
                <w:sz w:val="16"/>
                <w:szCs w:val="16"/>
              </w:rPr>
              <w:t xml:space="preserve"> 16,2 </w:t>
            </w:r>
          </w:p>
        </w:tc>
        <w:tc>
          <w:tcPr>
            <w:tcW w:w="917" w:type="dxa"/>
            <w:tcBorders>
              <w:top w:val="nil"/>
              <w:left w:val="nil"/>
              <w:bottom w:val="single" w:sz="8" w:space="0" w:color="FFFFFF"/>
              <w:right w:val="single" w:sz="8" w:space="0" w:color="FFFFFF"/>
            </w:tcBorders>
            <w:shd w:val="clear" w:color="000000" w:fill="DBE5F1"/>
            <w:noWrap/>
            <w:hideMark/>
          </w:tcPr>
          <w:p w14:paraId="6EC65EBF" w14:textId="77777777" w:rsidR="00B86FB3" w:rsidRPr="00FF756A" w:rsidRDefault="00B86FB3" w:rsidP="00B86FB3">
            <w:pPr>
              <w:jc w:val="right"/>
              <w:rPr>
                <w:rFonts w:eastAsia="Times New Roman"/>
                <w:color w:val="000000"/>
                <w:sz w:val="16"/>
                <w:szCs w:val="16"/>
              </w:rPr>
            </w:pPr>
            <w:r w:rsidRPr="00FF756A">
              <w:rPr>
                <w:sz w:val="16"/>
                <w:szCs w:val="16"/>
              </w:rPr>
              <w:t xml:space="preserve"> 15,3 </w:t>
            </w:r>
          </w:p>
        </w:tc>
        <w:tc>
          <w:tcPr>
            <w:tcW w:w="917" w:type="dxa"/>
            <w:tcBorders>
              <w:top w:val="nil"/>
              <w:left w:val="nil"/>
              <w:bottom w:val="single" w:sz="8" w:space="0" w:color="FFFFFF"/>
              <w:right w:val="single" w:sz="8" w:space="0" w:color="FFFFFF"/>
            </w:tcBorders>
            <w:shd w:val="clear" w:color="000000" w:fill="DBE5F1"/>
            <w:noWrap/>
            <w:hideMark/>
          </w:tcPr>
          <w:p w14:paraId="4B2DAE83" w14:textId="77777777" w:rsidR="00B86FB3" w:rsidRPr="00FF756A" w:rsidRDefault="00B86FB3" w:rsidP="00B86FB3">
            <w:pPr>
              <w:jc w:val="right"/>
              <w:rPr>
                <w:rFonts w:eastAsia="Times New Roman"/>
                <w:color w:val="000000"/>
                <w:sz w:val="16"/>
                <w:szCs w:val="16"/>
              </w:rPr>
            </w:pPr>
            <w:r w:rsidRPr="00FF756A">
              <w:rPr>
                <w:sz w:val="16"/>
                <w:szCs w:val="16"/>
              </w:rPr>
              <w:t xml:space="preserve"> 14,7 </w:t>
            </w:r>
          </w:p>
        </w:tc>
        <w:tc>
          <w:tcPr>
            <w:tcW w:w="917" w:type="dxa"/>
            <w:tcBorders>
              <w:top w:val="nil"/>
              <w:left w:val="nil"/>
              <w:bottom w:val="single" w:sz="8" w:space="0" w:color="FFFFFF"/>
              <w:right w:val="single" w:sz="8" w:space="0" w:color="FFFFFF"/>
            </w:tcBorders>
            <w:shd w:val="clear" w:color="000000" w:fill="DBE5F1"/>
            <w:noWrap/>
            <w:hideMark/>
          </w:tcPr>
          <w:p w14:paraId="328CAB70" w14:textId="77777777" w:rsidR="00B86FB3" w:rsidRPr="00FF756A" w:rsidRDefault="00B86FB3" w:rsidP="00B86FB3">
            <w:pPr>
              <w:jc w:val="right"/>
              <w:rPr>
                <w:rFonts w:eastAsia="Times New Roman"/>
                <w:color w:val="000000"/>
                <w:sz w:val="16"/>
                <w:szCs w:val="16"/>
              </w:rPr>
            </w:pPr>
            <w:r w:rsidRPr="00FF756A">
              <w:rPr>
                <w:sz w:val="16"/>
                <w:szCs w:val="16"/>
              </w:rPr>
              <w:t xml:space="preserve"> 12,3 </w:t>
            </w:r>
          </w:p>
        </w:tc>
        <w:tc>
          <w:tcPr>
            <w:tcW w:w="918" w:type="dxa"/>
            <w:tcBorders>
              <w:top w:val="nil"/>
              <w:left w:val="nil"/>
              <w:bottom w:val="single" w:sz="8" w:space="0" w:color="FFFFFF"/>
              <w:right w:val="single" w:sz="8" w:space="0" w:color="FFFFFF"/>
            </w:tcBorders>
            <w:shd w:val="clear" w:color="000000" w:fill="DBE5F1"/>
            <w:noWrap/>
            <w:hideMark/>
          </w:tcPr>
          <w:p w14:paraId="5999A4FA" w14:textId="77777777" w:rsidR="00B86FB3" w:rsidRPr="00FF756A" w:rsidRDefault="00B86FB3" w:rsidP="00B86FB3">
            <w:pPr>
              <w:jc w:val="right"/>
              <w:rPr>
                <w:rFonts w:eastAsia="Times New Roman"/>
                <w:color w:val="000000"/>
                <w:sz w:val="16"/>
                <w:szCs w:val="16"/>
              </w:rPr>
            </w:pPr>
            <w:r w:rsidRPr="00FF756A">
              <w:rPr>
                <w:sz w:val="16"/>
                <w:szCs w:val="16"/>
              </w:rPr>
              <w:t xml:space="preserve"> 8,2 </w:t>
            </w:r>
          </w:p>
        </w:tc>
        <w:tc>
          <w:tcPr>
            <w:tcW w:w="918" w:type="dxa"/>
            <w:tcBorders>
              <w:top w:val="nil"/>
              <w:left w:val="nil"/>
              <w:bottom w:val="single" w:sz="8" w:space="0" w:color="FFFFFF"/>
              <w:right w:val="single" w:sz="8" w:space="0" w:color="FFFFFF"/>
            </w:tcBorders>
            <w:shd w:val="clear" w:color="000000" w:fill="DBE5F1"/>
          </w:tcPr>
          <w:p w14:paraId="765AFAFC" w14:textId="77777777" w:rsidR="00B86FB3" w:rsidRPr="00FF756A" w:rsidRDefault="00B86FB3" w:rsidP="00B86FB3">
            <w:pPr>
              <w:jc w:val="right"/>
              <w:rPr>
                <w:rFonts w:eastAsia="Times New Roman"/>
                <w:color w:val="000000"/>
                <w:sz w:val="16"/>
                <w:szCs w:val="16"/>
              </w:rPr>
            </w:pPr>
            <w:r w:rsidRPr="00FF756A">
              <w:rPr>
                <w:sz w:val="16"/>
                <w:szCs w:val="16"/>
              </w:rPr>
              <w:t xml:space="preserve"> 5,3 </w:t>
            </w:r>
          </w:p>
        </w:tc>
      </w:tr>
      <w:tr w:rsidR="00B86FB3" w:rsidRPr="00FF756A" w14:paraId="18B90353"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23111DFC" w14:textId="77777777" w:rsidR="00B86FB3" w:rsidRPr="00FF756A" w:rsidRDefault="00B86FB3" w:rsidP="00B86FB3">
            <w:pPr>
              <w:rPr>
                <w:rFonts w:eastAsia="Times New Roman"/>
                <w:b/>
                <w:bCs/>
                <w:color w:val="FFFFFF"/>
                <w:sz w:val="16"/>
                <w:szCs w:val="16"/>
              </w:rPr>
            </w:pPr>
            <w:r w:rsidRPr="00FF756A">
              <w:rPr>
                <w:b/>
                <w:bCs/>
                <w:color w:val="FFFFFF"/>
                <w:sz w:val="16"/>
                <w:szCs w:val="16"/>
              </w:rPr>
              <w:t>Arsimi</w:t>
            </w:r>
          </w:p>
        </w:tc>
        <w:tc>
          <w:tcPr>
            <w:tcW w:w="917" w:type="dxa"/>
            <w:tcBorders>
              <w:top w:val="nil"/>
              <w:left w:val="nil"/>
              <w:bottom w:val="single" w:sz="8" w:space="0" w:color="FFFFFF"/>
              <w:right w:val="single" w:sz="8" w:space="0" w:color="FFFFFF"/>
            </w:tcBorders>
            <w:shd w:val="clear" w:color="000000" w:fill="B8CCE4"/>
            <w:noWrap/>
            <w:hideMark/>
          </w:tcPr>
          <w:p w14:paraId="62B81753" w14:textId="77777777" w:rsidR="00B86FB3" w:rsidRPr="00FF756A" w:rsidRDefault="00B86FB3" w:rsidP="00B86FB3">
            <w:pPr>
              <w:jc w:val="right"/>
              <w:rPr>
                <w:rFonts w:eastAsia="Times New Roman"/>
                <w:color w:val="000000"/>
                <w:sz w:val="16"/>
                <w:szCs w:val="16"/>
              </w:rPr>
            </w:pPr>
            <w:r w:rsidRPr="00FF756A">
              <w:rPr>
                <w:sz w:val="16"/>
                <w:szCs w:val="16"/>
              </w:rPr>
              <w:t xml:space="preserve"> 22,6 </w:t>
            </w:r>
          </w:p>
        </w:tc>
        <w:tc>
          <w:tcPr>
            <w:tcW w:w="917" w:type="dxa"/>
            <w:tcBorders>
              <w:top w:val="nil"/>
              <w:left w:val="nil"/>
              <w:bottom w:val="single" w:sz="8" w:space="0" w:color="FFFFFF"/>
              <w:right w:val="single" w:sz="8" w:space="0" w:color="FFFFFF"/>
            </w:tcBorders>
            <w:shd w:val="clear" w:color="000000" w:fill="B8CCE4"/>
            <w:noWrap/>
            <w:hideMark/>
          </w:tcPr>
          <w:p w14:paraId="4B63AFA1" w14:textId="77777777" w:rsidR="00B86FB3" w:rsidRPr="00FF756A" w:rsidRDefault="00B86FB3" w:rsidP="00B86FB3">
            <w:pPr>
              <w:jc w:val="right"/>
              <w:rPr>
                <w:rFonts w:eastAsia="Times New Roman"/>
                <w:color w:val="000000"/>
                <w:sz w:val="16"/>
                <w:szCs w:val="16"/>
              </w:rPr>
            </w:pPr>
            <w:r w:rsidRPr="00FF756A">
              <w:rPr>
                <w:sz w:val="16"/>
                <w:szCs w:val="16"/>
              </w:rPr>
              <w:t xml:space="preserve"> 20,8 </w:t>
            </w:r>
          </w:p>
        </w:tc>
        <w:tc>
          <w:tcPr>
            <w:tcW w:w="917" w:type="dxa"/>
            <w:tcBorders>
              <w:top w:val="nil"/>
              <w:left w:val="nil"/>
              <w:bottom w:val="single" w:sz="8" w:space="0" w:color="FFFFFF"/>
              <w:right w:val="single" w:sz="8" w:space="0" w:color="FFFFFF"/>
            </w:tcBorders>
            <w:shd w:val="clear" w:color="000000" w:fill="B8CCE4"/>
            <w:noWrap/>
            <w:hideMark/>
          </w:tcPr>
          <w:p w14:paraId="4A55A395" w14:textId="77777777" w:rsidR="00B86FB3" w:rsidRPr="00FF756A" w:rsidRDefault="00B86FB3" w:rsidP="00B86FB3">
            <w:pPr>
              <w:jc w:val="right"/>
              <w:rPr>
                <w:rFonts w:eastAsia="Times New Roman"/>
                <w:color w:val="000000"/>
                <w:sz w:val="16"/>
                <w:szCs w:val="16"/>
              </w:rPr>
            </w:pPr>
            <w:r w:rsidRPr="00FF756A">
              <w:rPr>
                <w:sz w:val="16"/>
                <w:szCs w:val="16"/>
              </w:rPr>
              <w:t xml:space="preserve"> 20,8 </w:t>
            </w:r>
          </w:p>
        </w:tc>
        <w:tc>
          <w:tcPr>
            <w:tcW w:w="917" w:type="dxa"/>
            <w:tcBorders>
              <w:top w:val="nil"/>
              <w:left w:val="nil"/>
              <w:bottom w:val="single" w:sz="8" w:space="0" w:color="FFFFFF"/>
              <w:right w:val="single" w:sz="8" w:space="0" w:color="FFFFFF"/>
            </w:tcBorders>
            <w:shd w:val="clear" w:color="000000" w:fill="B8CCE4"/>
            <w:noWrap/>
            <w:hideMark/>
          </w:tcPr>
          <w:p w14:paraId="52715AC7" w14:textId="77777777" w:rsidR="00B86FB3" w:rsidRPr="00FF756A" w:rsidRDefault="00B86FB3" w:rsidP="00B86FB3">
            <w:pPr>
              <w:jc w:val="right"/>
              <w:rPr>
                <w:rFonts w:eastAsia="Times New Roman"/>
                <w:color w:val="000000"/>
                <w:sz w:val="16"/>
                <w:szCs w:val="16"/>
              </w:rPr>
            </w:pPr>
            <w:r w:rsidRPr="00FF756A">
              <w:rPr>
                <w:sz w:val="16"/>
                <w:szCs w:val="16"/>
              </w:rPr>
              <w:t xml:space="preserve"> 19,8 </w:t>
            </w:r>
          </w:p>
        </w:tc>
        <w:tc>
          <w:tcPr>
            <w:tcW w:w="917" w:type="dxa"/>
            <w:tcBorders>
              <w:top w:val="nil"/>
              <w:left w:val="nil"/>
              <w:bottom w:val="single" w:sz="8" w:space="0" w:color="FFFFFF"/>
              <w:right w:val="single" w:sz="8" w:space="0" w:color="FFFFFF"/>
            </w:tcBorders>
            <w:shd w:val="clear" w:color="000000" w:fill="B8CCE4"/>
            <w:noWrap/>
            <w:hideMark/>
          </w:tcPr>
          <w:p w14:paraId="61B4615A" w14:textId="77777777" w:rsidR="00B86FB3" w:rsidRPr="00FF756A" w:rsidRDefault="00B86FB3" w:rsidP="00B86FB3">
            <w:pPr>
              <w:jc w:val="right"/>
              <w:rPr>
                <w:rFonts w:eastAsia="Times New Roman"/>
                <w:color w:val="000000"/>
                <w:sz w:val="16"/>
                <w:szCs w:val="16"/>
              </w:rPr>
            </w:pPr>
            <w:r w:rsidRPr="00FF756A">
              <w:rPr>
                <w:sz w:val="16"/>
                <w:szCs w:val="16"/>
              </w:rPr>
              <w:t xml:space="preserve"> 19,0 </w:t>
            </w:r>
          </w:p>
        </w:tc>
        <w:tc>
          <w:tcPr>
            <w:tcW w:w="917" w:type="dxa"/>
            <w:tcBorders>
              <w:top w:val="nil"/>
              <w:left w:val="nil"/>
              <w:bottom w:val="single" w:sz="8" w:space="0" w:color="FFFFFF"/>
              <w:right w:val="single" w:sz="8" w:space="0" w:color="FFFFFF"/>
            </w:tcBorders>
            <w:shd w:val="clear" w:color="000000" w:fill="B8CCE4"/>
            <w:noWrap/>
            <w:hideMark/>
          </w:tcPr>
          <w:p w14:paraId="6007AA76" w14:textId="77777777" w:rsidR="00B86FB3" w:rsidRPr="00FF756A" w:rsidRDefault="00B86FB3" w:rsidP="00B86FB3">
            <w:pPr>
              <w:jc w:val="right"/>
              <w:rPr>
                <w:rFonts w:eastAsia="Times New Roman"/>
                <w:color w:val="000000"/>
                <w:sz w:val="16"/>
                <w:szCs w:val="16"/>
              </w:rPr>
            </w:pPr>
            <w:r w:rsidRPr="00FF756A">
              <w:rPr>
                <w:sz w:val="16"/>
                <w:szCs w:val="16"/>
              </w:rPr>
              <w:t xml:space="preserve"> 16,1 </w:t>
            </w:r>
          </w:p>
        </w:tc>
        <w:tc>
          <w:tcPr>
            <w:tcW w:w="918" w:type="dxa"/>
            <w:tcBorders>
              <w:top w:val="nil"/>
              <w:left w:val="nil"/>
              <w:bottom w:val="single" w:sz="8" w:space="0" w:color="FFFFFF"/>
              <w:right w:val="single" w:sz="8" w:space="0" w:color="FFFFFF"/>
            </w:tcBorders>
            <w:shd w:val="clear" w:color="000000" w:fill="B8CCE4"/>
            <w:noWrap/>
            <w:hideMark/>
          </w:tcPr>
          <w:p w14:paraId="212358DF" w14:textId="77777777" w:rsidR="00B86FB3" w:rsidRPr="00FF756A" w:rsidRDefault="00B86FB3" w:rsidP="00B86FB3">
            <w:pPr>
              <w:jc w:val="right"/>
              <w:rPr>
                <w:rFonts w:eastAsia="Times New Roman"/>
                <w:color w:val="000000"/>
                <w:sz w:val="16"/>
                <w:szCs w:val="16"/>
              </w:rPr>
            </w:pPr>
            <w:r w:rsidRPr="00FF756A">
              <w:rPr>
                <w:sz w:val="16"/>
                <w:szCs w:val="16"/>
              </w:rPr>
              <w:t xml:space="preserve"> 10,9 </w:t>
            </w:r>
          </w:p>
        </w:tc>
        <w:tc>
          <w:tcPr>
            <w:tcW w:w="918" w:type="dxa"/>
            <w:tcBorders>
              <w:top w:val="nil"/>
              <w:left w:val="nil"/>
              <w:bottom w:val="single" w:sz="8" w:space="0" w:color="FFFFFF"/>
              <w:right w:val="single" w:sz="8" w:space="0" w:color="FFFFFF"/>
            </w:tcBorders>
            <w:shd w:val="clear" w:color="000000" w:fill="B8CCE4"/>
          </w:tcPr>
          <w:p w14:paraId="64151AFB" w14:textId="77777777" w:rsidR="00B86FB3" w:rsidRPr="00FF756A" w:rsidRDefault="00B86FB3" w:rsidP="00B86FB3">
            <w:pPr>
              <w:jc w:val="right"/>
              <w:rPr>
                <w:rFonts w:eastAsia="Times New Roman"/>
                <w:color w:val="000000"/>
                <w:sz w:val="16"/>
                <w:szCs w:val="16"/>
              </w:rPr>
            </w:pPr>
            <w:r w:rsidRPr="00FF756A">
              <w:rPr>
                <w:sz w:val="16"/>
                <w:szCs w:val="16"/>
              </w:rPr>
              <w:t xml:space="preserve"> 7,2 </w:t>
            </w:r>
          </w:p>
        </w:tc>
      </w:tr>
      <w:tr w:rsidR="00B86FB3" w:rsidRPr="00FF756A" w14:paraId="72F90858"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0CC14F76" w14:textId="77777777" w:rsidR="00B86FB3" w:rsidRPr="00FF756A" w:rsidRDefault="00B86FB3" w:rsidP="00B86FB3">
            <w:pPr>
              <w:rPr>
                <w:rFonts w:eastAsia="Times New Roman"/>
                <w:b/>
                <w:bCs/>
                <w:color w:val="FFFFFF"/>
                <w:sz w:val="16"/>
                <w:szCs w:val="16"/>
              </w:rPr>
            </w:pPr>
            <w:r w:rsidRPr="00FF756A">
              <w:rPr>
                <w:b/>
                <w:bCs/>
                <w:color w:val="FFFFFF"/>
                <w:sz w:val="16"/>
                <w:szCs w:val="16"/>
              </w:rPr>
              <w:t>Shëndetësia</w:t>
            </w:r>
          </w:p>
        </w:tc>
        <w:tc>
          <w:tcPr>
            <w:tcW w:w="917" w:type="dxa"/>
            <w:tcBorders>
              <w:top w:val="nil"/>
              <w:left w:val="nil"/>
              <w:bottom w:val="single" w:sz="8" w:space="0" w:color="FFFFFF"/>
              <w:right w:val="single" w:sz="8" w:space="0" w:color="FFFFFF"/>
            </w:tcBorders>
            <w:shd w:val="clear" w:color="000000" w:fill="DBE5F1"/>
            <w:noWrap/>
            <w:hideMark/>
          </w:tcPr>
          <w:p w14:paraId="6F122034" w14:textId="77777777" w:rsidR="00B86FB3" w:rsidRPr="00FF756A" w:rsidRDefault="00B86FB3" w:rsidP="00B86FB3">
            <w:pPr>
              <w:jc w:val="right"/>
              <w:rPr>
                <w:rFonts w:eastAsia="Times New Roman"/>
                <w:color w:val="000000"/>
                <w:sz w:val="16"/>
                <w:szCs w:val="16"/>
              </w:rPr>
            </w:pPr>
            <w:r w:rsidRPr="00FF756A">
              <w:rPr>
                <w:sz w:val="16"/>
                <w:szCs w:val="16"/>
              </w:rPr>
              <w:t xml:space="preserve"> 19,8 </w:t>
            </w:r>
          </w:p>
        </w:tc>
        <w:tc>
          <w:tcPr>
            <w:tcW w:w="917" w:type="dxa"/>
            <w:tcBorders>
              <w:top w:val="nil"/>
              <w:left w:val="nil"/>
              <w:bottom w:val="single" w:sz="8" w:space="0" w:color="FFFFFF"/>
              <w:right w:val="single" w:sz="8" w:space="0" w:color="FFFFFF"/>
            </w:tcBorders>
            <w:shd w:val="clear" w:color="000000" w:fill="DBE5F1"/>
            <w:noWrap/>
            <w:hideMark/>
          </w:tcPr>
          <w:p w14:paraId="256A6FE4" w14:textId="77777777" w:rsidR="00B86FB3" w:rsidRPr="00FF756A" w:rsidRDefault="00B86FB3" w:rsidP="00B86FB3">
            <w:pPr>
              <w:jc w:val="right"/>
              <w:rPr>
                <w:rFonts w:eastAsia="Times New Roman"/>
                <w:color w:val="000000"/>
                <w:sz w:val="16"/>
                <w:szCs w:val="16"/>
              </w:rPr>
            </w:pPr>
            <w:r w:rsidRPr="00FF756A">
              <w:rPr>
                <w:sz w:val="16"/>
                <w:szCs w:val="16"/>
              </w:rPr>
              <w:t xml:space="preserve"> 20,9 </w:t>
            </w:r>
          </w:p>
        </w:tc>
        <w:tc>
          <w:tcPr>
            <w:tcW w:w="917" w:type="dxa"/>
            <w:tcBorders>
              <w:top w:val="nil"/>
              <w:left w:val="nil"/>
              <w:bottom w:val="single" w:sz="8" w:space="0" w:color="FFFFFF"/>
              <w:right w:val="single" w:sz="8" w:space="0" w:color="FFFFFF"/>
            </w:tcBorders>
            <w:shd w:val="clear" w:color="000000" w:fill="DBE5F1"/>
            <w:noWrap/>
            <w:hideMark/>
          </w:tcPr>
          <w:p w14:paraId="7F53412F" w14:textId="77777777" w:rsidR="00B86FB3" w:rsidRPr="00FF756A" w:rsidRDefault="00B86FB3" w:rsidP="00B86FB3">
            <w:pPr>
              <w:jc w:val="right"/>
              <w:rPr>
                <w:rFonts w:eastAsia="Times New Roman"/>
                <w:color w:val="000000"/>
                <w:sz w:val="16"/>
                <w:szCs w:val="16"/>
              </w:rPr>
            </w:pPr>
            <w:r w:rsidRPr="00FF756A">
              <w:rPr>
                <w:sz w:val="16"/>
                <w:szCs w:val="16"/>
              </w:rPr>
              <w:t xml:space="preserve"> 20,9 </w:t>
            </w:r>
          </w:p>
        </w:tc>
        <w:tc>
          <w:tcPr>
            <w:tcW w:w="917" w:type="dxa"/>
            <w:tcBorders>
              <w:top w:val="nil"/>
              <w:left w:val="nil"/>
              <w:bottom w:val="single" w:sz="8" w:space="0" w:color="FFFFFF"/>
              <w:right w:val="single" w:sz="8" w:space="0" w:color="FFFFFF"/>
            </w:tcBorders>
            <w:shd w:val="clear" w:color="000000" w:fill="DBE5F1"/>
            <w:noWrap/>
            <w:hideMark/>
          </w:tcPr>
          <w:p w14:paraId="37F8B397" w14:textId="77777777" w:rsidR="00B86FB3" w:rsidRPr="00FF756A" w:rsidRDefault="00B86FB3" w:rsidP="00B86FB3">
            <w:pPr>
              <w:jc w:val="right"/>
              <w:rPr>
                <w:rFonts w:eastAsia="Times New Roman"/>
                <w:color w:val="000000"/>
                <w:sz w:val="16"/>
                <w:szCs w:val="16"/>
              </w:rPr>
            </w:pPr>
            <w:r w:rsidRPr="00FF756A">
              <w:rPr>
                <w:sz w:val="16"/>
                <w:szCs w:val="16"/>
              </w:rPr>
              <w:t xml:space="preserve"> 19,9 </w:t>
            </w:r>
          </w:p>
        </w:tc>
        <w:tc>
          <w:tcPr>
            <w:tcW w:w="917" w:type="dxa"/>
            <w:tcBorders>
              <w:top w:val="nil"/>
              <w:left w:val="nil"/>
              <w:bottom w:val="single" w:sz="8" w:space="0" w:color="FFFFFF"/>
              <w:right w:val="single" w:sz="8" w:space="0" w:color="FFFFFF"/>
            </w:tcBorders>
            <w:shd w:val="clear" w:color="000000" w:fill="DBE5F1"/>
            <w:noWrap/>
            <w:hideMark/>
          </w:tcPr>
          <w:p w14:paraId="5B0E8A16" w14:textId="77777777" w:rsidR="00B86FB3" w:rsidRPr="00FF756A" w:rsidRDefault="00B86FB3" w:rsidP="00B86FB3">
            <w:pPr>
              <w:jc w:val="right"/>
              <w:rPr>
                <w:rFonts w:eastAsia="Times New Roman"/>
                <w:color w:val="000000"/>
                <w:sz w:val="16"/>
                <w:szCs w:val="16"/>
              </w:rPr>
            </w:pPr>
            <w:r w:rsidRPr="00FF756A">
              <w:rPr>
                <w:sz w:val="16"/>
                <w:szCs w:val="16"/>
              </w:rPr>
              <w:t xml:space="preserve"> 19,1 </w:t>
            </w:r>
          </w:p>
        </w:tc>
        <w:tc>
          <w:tcPr>
            <w:tcW w:w="917" w:type="dxa"/>
            <w:tcBorders>
              <w:top w:val="nil"/>
              <w:left w:val="nil"/>
              <w:bottom w:val="single" w:sz="8" w:space="0" w:color="FFFFFF"/>
              <w:right w:val="single" w:sz="8" w:space="0" w:color="FFFFFF"/>
            </w:tcBorders>
            <w:shd w:val="clear" w:color="000000" w:fill="DBE5F1"/>
            <w:noWrap/>
            <w:hideMark/>
          </w:tcPr>
          <w:p w14:paraId="57D44CDA" w14:textId="77777777" w:rsidR="00B86FB3" w:rsidRPr="00FF756A" w:rsidRDefault="00B86FB3" w:rsidP="00B86FB3">
            <w:pPr>
              <w:jc w:val="right"/>
              <w:rPr>
                <w:rFonts w:eastAsia="Times New Roman"/>
                <w:color w:val="000000"/>
                <w:sz w:val="16"/>
                <w:szCs w:val="16"/>
              </w:rPr>
            </w:pPr>
            <w:r w:rsidRPr="00FF756A">
              <w:rPr>
                <w:sz w:val="16"/>
                <w:szCs w:val="16"/>
              </w:rPr>
              <w:t xml:space="preserve"> 16,1 </w:t>
            </w:r>
          </w:p>
        </w:tc>
        <w:tc>
          <w:tcPr>
            <w:tcW w:w="918" w:type="dxa"/>
            <w:tcBorders>
              <w:top w:val="nil"/>
              <w:left w:val="nil"/>
              <w:bottom w:val="single" w:sz="8" w:space="0" w:color="FFFFFF"/>
              <w:right w:val="single" w:sz="8" w:space="0" w:color="FFFFFF"/>
            </w:tcBorders>
            <w:shd w:val="clear" w:color="000000" w:fill="DBE5F1"/>
            <w:noWrap/>
            <w:hideMark/>
          </w:tcPr>
          <w:p w14:paraId="06951F64" w14:textId="77777777" w:rsidR="00B86FB3" w:rsidRPr="00FF756A" w:rsidRDefault="00B86FB3" w:rsidP="00B86FB3">
            <w:pPr>
              <w:jc w:val="right"/>
              <w:rPr>
                <w:rFonts w:eastAsia="Times New Roman"/>
                <w:color w:val="000000"/>
                <w:sz w:val="16"/>
                <w:szCs w:val="16"/>
              </w:rPr>
            </w:pPr>
            <w:r w:rsidRPr="00FF756A">
              <w:rPr>
                <w:sz w:val="16"/>
                <w:szCs w:val="16"/>
              </w:rPr>
              <w:t xml:space="preserve"> 11,0 </w:t>
            </w:r>
          </w:p>
        </w:tc>
        <w:tc>
          <w:tcPr>
            <w:tcW w:w="918" w:type="dxa"/>
            <w:tcBorders>
              <w:top w:val="nil"/>
              <w:left w:val="nil"/>
              <w:bottom w:val="single" w:sz="8" w:space="0" w:color="FFFFFF"/>
              <w:right w:val="single" w:sz="8" w:space="0" w:color="FFFFFF"/>
            </w:tcBorders>
            <w:shd w:val="clear" w:color="000000" w:fill="DBE5F1"/>
          </w:tcPr>
          <w:p w14:paraId="21E1EACA" w14:textId="77777777" w:rsidR="00B86FB3" w:rsidRPr="00FF756A" w:rsidRDefault="00B86FB3" w:rsidP="00B86FB3">
            <w:pPr>
              <w:jc w:val="right"/>
              <w:rPr>
                <w:rFonts w:eastAsia="Times New Roman"/>
                <w:color w:val="000000"/>
                <w:sz w:val="16"/>
                <w:szCs w:val="16"/>
              </w:rPr>
            </w:pPr>
            <w:r w:rsidRPr="00FF756A">
              <w:rPr>
                <w:sz w:val="16"/>
                <w:szCs w:val="16"/>
              </w:rPr>
              <w:t xml:space="preserve"> 7,2 </w:t>
            </w:r>
          </w:p>
        </w:tc>
      </w:tr>
      <w:tr w:rsidR="00B86FB3" w:rsidRPr="00FF756A" w14:paraId="177DC765"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56C20450" w14:textId="77777777" w:rsidR="00B86FB3" w:rsidRPr="00FF756A" w:rsidRDefault="00B86FB3" w:rsidP="00B86FB3">
            <w:pPr>
              <w:rPr>
                <w:rFonts w:eastAsia="Times New Roman"/>
                <w:b/>
                <w:bCs/>
                <w:color w:val="FFFFFF"/>
                <w:sz w:val="16"/>
                <w:szCs w:val="16"/>
              </w:rPr>
            </w:pPr>
            <w:r w:rsidRPr="00FF756A">
              <w:rPr>
                <w:b/>
                <w:bCs/>
                <w:color w:val="FFFFFF"/>
                <w:sz w:val="16"/>
                <w:szCs w:val="16"/>
              </w:rPr>
              <w:t>Shërbime të tjera</w:t>
            </w:r>
          </w:p>
        </w:tc>
        <w:tc>
          <w:tcPr>
            <w:tcW w:w="917" w:type="dxa"/>
            <w:tcBorders>
              <w:top w:val="nil"/>
              <w:left w:val="nil"/>
              <w:bottom w:val="single" w:sz="8" w:space="0" w:color="FFFFFF"/>
              <w:right w:val="single" w:sz="8" w:space="0" w:color="FFFFFF"/>
            </w:tcBorders>
            <w:shd w:val="clear" w:color="000000" w:fill="B8CCE4"/>
            <w:noWrap/>
            <w:hideMark/>
          </w:tcPr>
          <w:p w14:paraId="6C2C6413" w14:textId="77777777" w:rsidR="00B86FB3" w:rsidRPr="00FF756A" w:rsidRDefault="00B86FB3" w:rsidP="00B86FB3">
            <w:pPr>
              <w:jc w:val="right"/>
              <w:rPr>
                <w:rFonts w:eastAsia="Times New Roman"/>
                <w:color w:val="000000"/>
                <w:sz w:val="16"/>
                <w:szCs w:val="16"/>
              </w:rPr>
            </w:pPr>
            <w:r w:rsidRPr="00FF756A">
              <w:rPr>
                <w:sz w:val="16"/>
                <w:szCs w:val="16"/>
              </w:rPr>
              <w:t xml:space="preserve"> 95,1 </w:t>
            </w:r>
          </w:p>
        </w:tc>
        <w:tc>
          <w:tcPr>
            <w:tcW w:w="917" w:type="dxa"/>
            <w:tcBorders>
              <w:top w:val="nil"/>
              <w:left w:val="nil"/>
              <w:bottom w:val="single" w:sz="8" w:space="0" w:color="FFFFFF"/>
              <w:right w:val="single" w:sz="8" w:space="0" w:color="FFFFFF"/>
            </w:tcBorders>
            <w:shd w:val="clear" w:color="000000" w:fill="B8CCE4"/>
            <w:noWrap/>
            <w:hideMark/>
          </w:tcPr>
          <w:p w14:paraId="7E082622" w14:textId="77777777" w:rsidR="00B86FB3" w:rsidRPr="00FF756A" w:rsidRDefault="00B86FB3" w:rsidP="00B86FB3">
            <w:pPr>
              <w:jc w:val="right"/>
              <w:rPr>
                <w:rFonts w:eastAsia="Times New Roman"/>
                <w:color w:val="000000"/>
                <w:sz w:val="16"/>
                <w:szCs w:val="16"/>
              </w:rPr>
            </w:pPr>
            <w:r w:rsidRPr="00FF756A">
              <w:rPr>
                <w:sz w:val="16"/>
                <w:szCs w:val="16"/>
              </w:rPr>
              <w:t xml:space="preserve"> 112,6 </w:t>
            </w:r>
          </w:p>
        </w:tc>
        <w:tc>
          <w:tcPr>
            <w:tcW w:w="917" w:type="dxa"/>
            <w:tcBorders>
              <w:top w:val="nil"/>
              <w:left w:val="nil"/>
              <w:bottom w:val="single" w:sz="8" w:space="0" w:color="FFFFFF"/>
              <w:right w:val="single" w:sz="8" w:space="0" w:color="FFFFFF"/>
            </w:tcBorders>
            <w:shd w:val="clear" w:color="000000" w:fill="B8CCE4"/>
            <w:noWrap/>
            <w:hideMark/>
          </w:tcPr>
          <w:p w14:paraId="19ABE2A9" w14:textId="77777777" w:rsidR="00B86FB3" w:rsidRPr="00FF756A" w:rsidRDefault="00B86FB3" w:rsidP="00B86FB3">
            <w:pPr>
              <w:jc w:val="right"/>
              <w:rPr>
                <w:rFonts w:eastAsia="Times New Roman"/>
                <w:color w:val="000000"/>
                <w:sz w:val="16"/>
                <w:szCs w:val="16"/>
              </w:rPr>
            </w:pPr>
            <w:r w:rsidRPr="00FF756A">
              <w:rPr>
                <w:sz w:val="16"/>
                <w:szCs w:val="16"/>
              </w:rPr>
              <w:t xml:space="preserve"> 112,6 </w:t>
            </w:r>
          </w:p>
        </w:tc>
        <w:tc>
          <w:tcPr>
            <w:tcW w:w="917" w:type="dxa"/>
            <w:tcBorders>
              <w:top w:val="nil"/>
              <w:left w:val="nil"/>
              <w:bottom w:val="single" w:sz="8" w:space="0" w:color="FFFFFF"/>
              <w:right w:val="single" w:sz="8" w:space="0" w:color="FFFFFF"/>
            </w:tcBorders>
            <w:shd w:val="clear" w:color="000000" w:fill="B8CCE4"/>
            <w:noWrap/>
            <w:hideMark/>
          </w:tcPr>
          <w:p w14:paraId="72232E0E" w14:textId="77777777" w:rsidR="00B86FB3" w:rsidRPr="00FF756A" w:rsidRDefault="00B86FB3" w:rsidP="00B86FB3">
            <w:pPr>
              <w:jc w:val="right"/>
              <w:rPr>
                <w:rFonts w:eastAsia="Times New Roman"/>
                <w:color w:val="000000"/>
                <w:sz w:val="16"/>
                <w:szCs w:val="16"/>
              </w:rPr>
            </w:pPr>
            <w:r w:rsidRPr="00FF756A">
              <w:rPr>
                <w:sz w:val="16"/>
                <w:szCs w:val="16"/>
              </w:rPr>
              <w:t xml:space="preserve"> 118,1 </w:t>
            </w:r>
          </w:p>
        </w:tc>
        <w:tc>
          <w:tcPr>
            <w:tcW w:w="917" w:type="dxa"/>
            <w:tcBorders>
              <w:top w:val="nil"/>
              <w:left w:val="nil"/>
              <w:bottom w:val="single" w:sz="8" w:space="0" w:color="FFFFFF"/>
              <w:right w:val="single" w:sz="8" w:space="0" w:color="FFFFFF"/>
            </w:tcBorders>
            <w:shd w:val="clear" w:color="000000" w:fill="B8CCE4"/>
            <w:noWrap/>
            <w:hideMark/>
          </w:tcPr>
          <w:p w14:paraId="4AAAC5EC" w14:textId="77777777" w:rsidR="00B86FB3" w:rsidRPr="00FF756A" w:rsidRDefault="00B86FB3" w:rsidP="00B86FB3">
            <w:pPr>
              <w:jc w:val="right"/>
              <w:rPr>
                <w:rFonts w:eastAsia="Times New Roman"/>
                <w:color w:val="000000"/>
                <w:sz w:val="16"/>
                <w:szCs w:val="16"/>
              </w:rPr>
            </w:pPr>
            <w:r w:rsidRPr="00FF756A">
              <w:rPr>
                <w:sz w:val="16"/>
                <w:szCs w:val="16"/>
              </w:rPr>
              <w:t xml:space="preserve"> 127,5 </w:t>
            </w:r>
          </w:p>
        </w:tc>
        <w:tc>
          <w:tcPr>
            <w:tcW w:w="917" w:type="dxa"/>
            <w:tcBorders>
              <w:top w:val="nil"/>
              <w:left w:val="nil"/>
              <w:bottom w:val="single" w:sz="8" w:space="0" w:color="FFFFFF"/>
              <w:right w:val="single" w:sz="8" w:space="0" w:color="FFFFFF"/>
            </w:tcBorders>
            <w:shd w:val="clear" w:color="000000" w:fill="B8CCE4"/>
            <w:noWrap/>
            <w:hideMark/>
          </w:tcPr>
          <w:p w14:paraId="1477CBE0" w14:textId="77777777" w:rsidR="00B86FB3" w:rsidRPr="00FF756A" w:rsidRDefault="00B86FB3" w:rsidP="00B86FB3">
            <w:pPr>
              <w:jc w:val="right"/>
              <w:rPr>
                <w:rFonts w:eastAsia="Times New Roman"/>
                <w:color w:val="000000"/>
                <w:sz w:val="16"/>
                <w:szCs w:val="16"/>
              </w:rPr>
            </w:pPr>
            <w:r w:rsidRPr="00FF756A">
              <w:rPr>
                <w:sz w:val="16"/>
                <w:szCs w:val="16"/>
              </w:rPr>
              <w:t xml:space="preserve"> 143,9 </w:t>
            </w:r>
          </w:p>
        </w:tc>
        <w:tc>
          <w:tcPr>
            <w:tcW w:w="918" w:type="dxa"/>
            <w:tcBorders>
              <w:top w:val="nil"/>
              <w:left w:val="nil"/>
              <w:bottom w:val="single" w:sz="8" w:space="0" w:color="FFFFFF"/>
              <w:right w:val="single" w:sz="8" w:space="0" w:color="FFFFFF"/>
            </w:tcBorders>
            <w:shd w:val="clear" w:color="000000" w:fill="B8CCE4"/>
            <w:noWrap/>
            <w:hideMark/>
          </w:tcPr>
          <w:p w14:paraId="52D4FB62" w14:textId="77777777" w:rsidR="00B86FB3" w:rsidRPr="00FF756A" w:rsidRDefault="00B86FB3" w:rsidP="00B86FB3">
            <w:pPr>
              <w:jc w:val="right"/>
              <w:rPr>
                <w:rFonts w:eastAsia="Times New Roman"/>
                <w:color w:val="000000"/>
                <w:sz w:val="16"/>
                <w:szCs w:val="16"/>
              </w:rPr>
            </w:pPr>
            <w:r w:rsidRPr="00FF756A">
              <w:rPr>
                <w:sz w:val="16"/>
                <w:szCs w:val="16"/>
              </w:rPr>
              <w:t xml:space="preserve"> 179,1 </w:t>
            </w:r>
          </w:p>
        </w:tc>
        <w:tc>
          <w:tcPr>
            <w:tcW w:w="918" w:type="dxa"/>
            <w:tcBorders>
              <w:top w:val="nil"/>
              <w:left w:val="nil"/>
              <w:bottom w:val="single" w:sz="8" w:space="0" w:color="FFFFFF"/>
              <w:right w:val="single" w:sz="8" w:space="0" w:color="FFFFFF"/>
            </w:tcBorders>
            <w:shd w:val="clear" w:color="000000" w:fill="B8CCE4"/>
          </w:tcPr>
          <w:p w14:paraId="4FBCC27B" w14:textId="77777777" w:rsidR="00B86FB3" w:rsidRPr="00FF756A" w:rsidRDefault="00B86FB3" w:rsidP="00B86FB3">
            <w:pPr>
              <w:jc w:val="right"/>
              <w:rPr>
                <w:rFonts w:eastAsia="Times New Roman"/>
                <w:color w:val="000000"/>
                <w:sz w:val="16"/>
                <w:szCs w:val="16"/>
              </w:rPr>
            </w:pPr>
            <w:r w:rsidRPr="00FF756A">
              <w:rPr>
                <w:sz w:val="16"/>
                <w:szCs w:val="16"/>
              </w:rPr>
              <w:t xml:space="preserve"> 225,5 </w:t>
            </w:r>
          </w:p>
        </w:tc>
      </w:tr>
      <w:tr w:rsidR="00B86FB3" w:rsidRPr="00FF756A" w14:paraId="1C76DF33"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4F5737F2" w14:textId="77777777" w:rsidR="00B86FB3" w:rsidRPr="00FF756A" w:rsidRDefault="00B86FB3" w:rsidP="00B86FB3">
            <w:pPr>
              <w:rPr>
                <w:rFonts w:eastAsia="Times New Roman"/>
                <w:b/>
                <w:bCs/>
                <w:color w:val="FFFFFF"/>
                <w:sz w:val="16"/>
                <w:szCs w:val="16"/>
              </w:rPr>
            </w:pPr>
            <w:r w:rsidRPr="00FF756A">
              <w:rPr>
                <w:b/>
                <w:bCs/>
                <w:color w:val="FFFFFF"/>
                <w:sz w:val="16"/>
                <w:szCs w:val="16"/>
              </w:rPr>
              <w:t>Totali</w:t>
            </w:r>
          </w:p>
        </w:tc>
        <w:tc>
          <w:tcPr>
            <w:tcW w:w="917" w:type="dxa"/>
            <w:tcBorders>
              <w:top w:val="nil"/>
              <w:left w:val="nil"/>
              <w:bottom w:val="single" w:sz="8" w:space="0" w:color="FFFFFF"/>
              <w:right w:val="single" w:sz="8" w:space="0" w:color="FFFFFF"/>
            </w:tcBorders>
            <w:shd w:val="clear" w:color="000000" w:fill="4F81BD"/>
            <w:noWrap/>
            <w:hideMark/>
          </w:tcPr>
          <w:p w14:paraId="600A18FA"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193,3 </w:t>
            </w:r>
          </w:p>
        </w:tc>
        <w:tc>
          <w:tcPr>
            <w:tcW w:w="917" w:type="dxa"/>
            <w:tcBorders>
              <w:top w:val="nil"/>
              <w:left w:val="nil"/>
              <w:bottom w:val="single" w:sz="8" w:space="0" w:color="FFFFFF"/>
              <w:right w:val="single" w:sz="8" w:space="0" w:color="FFFFFF"/>
            </w:tcBorders>
            <w:shd w:val="clear" w:color="000000" w:fill="4F81BD"/>
            <w:noWrap/>
            <w:hideMark/>
          </w:tcPr>
          <w:p w14:paraId="7E6D1565"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213,9 </w:t>
            </w:r>
          </w:p>
        </w:tc>
        <w:tc>
          <w:tcPr>
            <w:tcW w:w="917" w:type="dxa"/>
            <w:tcBorders>
              <w:top w:val="nil"/>
              <w:left w:val="nil"/>
              <w:bottom w:val="single" w:sz="8" w:space="0" w:color="FFFFFF"/>
              <w:right w:val="single" w:sz="8" w:space="0" w:color="FFFFFF"/>
            </w:tcBorders>
            <w:shd w:val="clear" w:color="000000" w:fill="4F81BD"/>
            <w:noWrap/>
            <w:hideMark/>
          </w:tcPr>
          <w:p w14:paraId="39DAB715"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213,9 </w:t>
            </w:r>
          </w:p>
        </w:tc>
        <w:tc>
          <w:tcPr>
            <w:tcW w:w="917" w:type="dxa"/>
            <w:tcBorders>
              <w:top w:val="nil"/>
              <w:left w:val="nil"/>
              <w:bottom w:val="single" w:sz="8" w:space="0" w:color="FFFFFF"/>
              <w:right w:val="single" w:sz="8" w:space="0" w:color="FFFFFF"/>
            </w:tcBorders>
            <w:shd w:val="clear" w:color="000000" w:fill="4F81BD"/>
            <w:noWrap/>
            <w:hideMark/>
          </w:tcPr>
          <w:p w14:paraId="16AE6FFB"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219,7 </w:t>
            </w:r>
          </w:p>
        </w:tc>
        <w:tc>
          <w:tcPr>
            <w:tcW w:w="917" w:type="dxa"/>
            <w:tcBorders>
              <w:top w:val="nil"/>
              <w:left w:val="nil"/>
              <w:bottom w:val="single" w:sz="8" w:space="0" w:color="FFFFFF"/>
              <w:right w:val="single" w:sz="8" w:space="0" w:color="FFFFFF"/>
            </w:tcBorders>
            <w:shd w:val="clear" w:color="000000" w:fill="4F81BD"/>
            <w:noWrap/>
            <w:hideMark/>
          </w:tcPr>
          <w:p w14:paraId="3D0AB15F"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231,7 </w:t>
            </w:r>
          </w:p>
        </w:tc>
        <w:tc>
          <w:tcPr>
            <w:tcW w:w="917" w:type="dxa"/>
            <w:tcBorders>
              <w:top w:val="nil"/>
              <w:left w:val="nil"/>
              <w:bottom w:val="single" w:sz="8" w:space="0" w:color="FFFFFF"/>
              <w:right w:val="single" w:sz="8" w:space="0" w:color="FFFFFF"/>
            </w:tcBorders>
            <w:shd w:val="clear" w:color="000000" w:fill="4F81BD"/>
            <w:noWrap/>
            <w:hideMark/>
          </w:tcPr>
          <w:p w14:paraId="5E436466"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247,0 </w:t>
            </w:r>
          </w:p>
        </w:tc>
        <w:tc>
          <w:tcPr>
            <w:tcW w:w="918" w:type="dxa"/>
            <w:tcBorders>
              <w:top w:val="nil"/>
              <w:left w:val="nil"/>
              <w:bottom w:val="single" w:sz="8" w:space="0" w:color="FFFFFF"/>
              <w:right w:val="single" w:sz="8" w:space="0" w:color="FFFFFF"/>
            </w:tcBorders>
            <w:shd w:val="clear" w:color="000000" w:fill="4F81BD"/>
            <w:noWrap/>
            <w:hideMark/>
          </w:tcPr>
          <w:p w14:paraId="5A6F838E"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272,3 </w:t>
            </w:r>
          </w:p>
        </w:tc>
        <w:tc>
          <w:tcPr>
            <w:tcW w:w="918" w:type="dxa"/>
            <w:tcBorders>
              <w:top w:val="nil"/>
              <w:left w:val="nil"/>
              <w:bottom w:val="single" w:sz="8" w:space="0" w:color="FFFFFF"/>
              <w:right w:val="single" w:sz="8" w:space="0" w:color="FFFFFF"/>
            </w:tcBorders>
            <w:shd w:val="clear" w:color="000000" w:fill="4F81BD"/>
          </w:tcPr>
          <w:p w14:paraId="0316CB03"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306,6 </w:t>
            </w:r>
          </w:p>
        </w:tc>
      </w:tr>
      <w:tr w:rsidR="00B86FB3" w:rsidRPr="00FF756A" w14:paraId="7578C704" w14:textId="77777777" w:rsidTr="006A3266">
        <w:trPr>
          <w:trHeight w:val="293"/>
        </w:trPr>
        <w:tc>
          <w:tcPr>
            <w:tcW w:w="9170" w:type="dxa"/>
            <w:gridSpan w:val="9"/>
            <w:tcBorders>
              <w:top w:val="single" w:sz="8" w:space="0" w:color="FFFFFF"/>
              <w:left w:val="single" w:sz="8" w:space="0" w:color="FFFFFF"/>
              <w:bottom w:val="single" w:sz="8" w:space="0" w:color="FFFFFF"/>
              <w:right w:val="single" w:sz="8" w:space="0" w:color="FFFFFF"/>
            </w:tcBorders>
            <w:shd w:val="clear" w:color="000000" w:fill="4F81BD"/>
            <w:noWrap/>
            <w:vAlign w:val="center"/>
            <w:hideMark/>
          </w:tcPr>
          <w:p w14:paraId="175D6858" w14:textId="77777777" w:rsidR="00B86FB3" w:rsidRPr="00FF756A" w:rsidRDefault="00B86FB3" w:rsidP="00B86FB3">
            <w:pPr>
              <w:rPr>
                <w:rFonts w:eastAsia="Times New Roman"/>
                <w:b/>
                <w:bCs/>
                <w:color w:val="FFFFFF"/>
                <w:sz w:val="16"/>
                <w:szCs w:val="16"/>
              </w:rPr>
            </w:pPr>
            <w:r w:rsidRPr="00FF756A">
              <w:rPr>
                <w:b/>
                <w:bCs/>
                <w:color w:val="FFFFFF"/>
                <w:sz w:val="16"/>
                <w:szCs w:val="16"/>
              </w:rPr>
              <w:t>Industria</w:t>
            </w:r>
          </w:p>
        </w:tc>
      </w:tr>
      <w:tr w:rsidR="00B86FB3" w:rsidRPr="00FF756A" w14:paraId="6A189073"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3577D67F" w14:textId="77777777" w:rsidR="00B86FB3" w:rsidRPr="00FF756A" w:rsidRDefault="00B86FB3" w:rsidP="00B86FB3">
            <w:pPr>
              <w:rPr>
                <w:rFonts w:eastAsia="Times New Roman"/>
                <w:b/>
                <w:bCs/>
                <w:color w:val="FFFFFF"/>
                <w:sz w:val="16"/>
                <w:szCs w:val="16"/>
              </w:rPr>
            </w:pPr>
            <w:r w:rsidRPr="00FF756A">
              <w:rPr>
                <w:b/>
                <w:bCs/>
                <w:color w:val="FFFFFF"/>
                <w:sz w:val="16"/>
                <w:szCs w:val="16"/>
              </w:rPr>
              <w:t>Hekuri dhe çeliku</w:t>
            </w:r>
          </w:p>
        </w:tc>
        <w:tc>
          <w:tcPr>
            <w:tcW w:w="917" w:type="dxa"/>
            <w:tcBorders>
              <w:top w:val="nil"/>
              <w:left w:val="nil"/>
              <w:bottom w:val="single" w:sz="8" w:space="0" w:color="FFFFFF"/>
              <w:right w:val="single" w:sz="8" w:space="0" w:color="FFFFFF"/>
            </w:tcBorders>
            <w:shd w:val="clear" w:color="000000" w:fill="DBE5F1"/>
            <w:noWrap/>
            <w:hideMark/>
          </w:tcPr>
          <w:p w14:paraId="516C8B4B" w14:textId="77777777" w:rsidR="00B86FB3" w:rsidRPr="00FF756A" w:rsidRDefault="00B86FB3" w:rsidP="00B86FB3">
            <w:pPr>
              <w:jc w:val="right"/>
              <w:rPr>
                <w:rFonts w:eastAsia="Times New Roman"/>
                <w:color w:val="000000"/>
                <w:sz w:val="16"/>
                <w:szCs w:val="16"/>
              </w:rPr>
            </w:pPr>
            <w:r w:rsidRPr="00FF756A">
              <w:rPr>
                <w:sz w:val="16"/>
                <w:szCs w:val="16"/>
              </w:rPr>
              <w:t xml:space="preserve"> 9,5 </w:t>
            </w:r>
          </w:p>
        </w:tc>
        <w:tc>
          <w:tcPr>
            <w:tcW w:w="917" w:type="dxa"/>
            <w:tcBorders>
              <w:top w:val="nil"/>
              <w:left w:val="nil"/>
              <w:bottom w:val="single" w:sz="8" w:space="0" w:color="FFFFFF"/>
              <w:right w:val="single" w:sz="8" w:space="0" w:color="FFFFFF"/>
            </w:tcBorders>
            <w:shd w:val="clear" w:color="000000" w:fill="DBE5F1"/>
            <w:noWrap/>
            <w:hideMark/>
          </w:tcPr>
          <w:p w14:paraId="4C28AF30" w14:textId="77777777" w:rsidR="00B86FB3" w:rsidRPr="00FF756A" w:rsidRDefault="00B86FB3" w:rsidP="00B86FB3">
            <w:pPr>
              <w:jc w:val="right"/>
              <w:rPr>
                <w:rFonts w:eastAsia="Times New Roman"/>
                <w:color w:val="000000"/>
                <w:sz w:val="16"/>
                <w:szCs w:val="16"/>
              </w:rPr>
            </w:pPr>
            <w:r w:rsidRPr="00FF756A">
              <w:rPr>
                <w:sz w:val="16"/>
                <w:szCs w:val="16"/>
              </w:rPr>
              <w:t xml:space="preserve"> 6,6 </w:t>
            </w:r>
          </w:p>
        </w:tc>
        <w:tc>
          <w:tcPr>
            <w:tcW w:w="917" w:type="dxa"/>
            <w:tcBorders>
              <w:top w:val="nil"/>
              <w:left w:val="nil"/>
              <w:bottom w:val="single" w:sz="8" w:space="0" w:color="FFFFFF"/>
              <w:right w:val="single" w:sz="8" w:space="0" w:color="FFFFFF"/>
            </w:tcBorders>
            <w:shd w:val="clear" w:color="000000" w:fill="DBE5F1"/>
            <w:noWrap/>
            <w:hideMark/>
          </w:tcPr>
          <w:p w14:paraId="4FD59057" w14:textId="77777777" w:rsidR="00B86FB3" w:rsidRPr="00FF756A" w:rsidRDefault="00B86FB3" w:rsidP="00B86FB3">
            <w:pPr>
              <w:jc w:val="right"/>
              <w:rPr>
                <w:rFonts w:eastAsia="Times New Roman"/>
                <w:color w:val="000000"/>
                <w:sz w:val="16"/>
                <w:szCs w:val="16"/>
              </w:rPr>
            </w:pPr>
            <w:r w:rsidRPr="00FF756A">
              <w:rPr>
                <w:sz w:val="16"/>
                <w:szCs w:val="16"/>
              </w:rPr>
              <w:t xml:space="preserve"> 6,6 </w:t>
            </w:r>
          </w:p>
        </w:tc>
        <w:tc>
          <w:tcPr>
            <w:tcW w:w="917" w:type="dxa"/>
            <w:tcBorders>
              <w:top w:val="nil"/>
              <w:left w:val="nil"/>
              <w:bottom w:val="single" w:sz="8" w:space="0" w:color="FFFFFF"/>
              <w:right w:val="single" w:sz="8" w:space="0" w:color="FFFFFF"/>
            </w:tcBorders>
            <w:shd w:val="clear" w:color="000000" w:fill="DBE5F1"/>
            <w:noWrap/>
            <w:hideMark/>
          </w:tcPr>
          <w:p w14:paraId="4F0F3385" w14:textId="77777777" w:rsidR="00B86FB3" w:rsidRPr="00FF756A" w:rsidRDefault="00B86FB3" w:rsidP="00B86FB3">
            <w:pPr>
              <w:jc w:val="right"/>
              <w:rPr>
                <w:rFonts w:eastAsia="Times New Roman"/>
                <w:color w:val="000000"/>
                <w:sz w:val="16"/>
                <w:szCs w:val="16"/>
              </w:rPr>
            </w:pPr>
            <w:r w:rsidRPr="00FF756A">
              <w:rPr>
                <w:sz w:val="16"/>
                <w:szCs w:val="16"/>
              </w:rPr>
              <w:t xml:space="preserve"> 6,9 </w:t>
            </w:r>
          </w:p>
        </w:tc>
        <w:tc>
          <w:tcPr>
            <w:tcW w:w="917" w:type="dxa"/>
            <w:tcBorders>
              <w:top w:val="nil"/>
              <w:left w:val="nil"/>
              <w:bottom w:val="single" w:sz="8" w:space="0" w:color="FFFFFF"/>
              <w:right w:val="single" w:sz="8" w:space="0" w:color="FFFFFF"/>
            </w:tcBorders>
            <w:shd w:val="clear" w:color="000000" w:fill="DBE5F1"/>
            <w:noWrap/>
            <w:hideMark/>
          </w:tcPr>
          <w:p w14:paraId="15384DF6" w14:textId="77777777" w:rsidR="00B86FB3" w:rsidRPr="00FF756A" w:rsidRDefault="00B86FB3" w:rsidP="00B86FB3">
            <w:pPr>
              <w:jc w:val="right"/>
              <w:rPr>
                <w:rFonts w:eastAsia="Times New Roman"/>
                <w:color w:val="000000"/>
                <w:sz w:val="16"/>
                <w:szCs w:val="16"/>
              </w:rPr>
            </w:pPr>
            <w:r w:rsidRPr="00FF756A">
              <w:rPr>
                <w:sz w:val="16"/>
                <w:szCs w:val="16"/>
              </w:rPr>
              <w:t xml:space="preserve"> 7,4 </w:t>
            </w:r>
          </w:p>
        </w:tc>
        <w:tc>
          <w:tcPr>
            <w:tcW w:w="917" w:type="dxa"/>
            <w:tcBorders>
              <w:top w:val="nil"/>
              <w:left w:val="nil"/>
              <w:bottom w:val="single" w:sz="8" w:space="0" w:color="FFFFFF"/>
              <w:right w:val="single" w:sz="8" w:space="0" w:color="FFFFFF"/>
            </w:tcBorders>
            <w:shd w:val="clear" w:color="000000" w:fill="DBE5F1"/>
            <w:noWrap/>
            <w:hideMark/>
          </w:tcPr>
          <w:p w14:paraId="2C138546" w14:textId="77777777" w:rsidR="00B86FB3" w:rsidRPr="00FF756A" w:rsidRDefault="00B86FB3" w:rsidP="00B86FB3">
            <w:pPr>
              <w:jc w:val="right"/>
              <w:rPr>
                <w:rFonts w:eastAsia="Times New Roman"/>
                <w:color w:val="000000"/>
                <w:sz w:val="16"/>
                <w:szCs w:val="16"/>
              </w:rPr>
            </w:pPr>
            <w:r w:rsidRPr="00FF756A">
              <w:rPr>
                <w:sz w:val="16"/>
                <w:szCs w:val="16"/>
              </w:rPr>
              <w:t xml:space="preserve"> 7,6 </w:t>
            </w:r>
          </w:p>
        </w:tc>
        <w:tc>
          <w:tcPr>
            <w:tcW w:w="918" w:type="dxa"/>
            <w:tcBorders>
              <w:top w:val="nil"/>
              <w:left w:val="nil"/>
              <w:bottom w:val="single" w:sz="8" w:space="0" w:color="FFFFFF"/>
              <w:right w:val="single" w:sz="8" w:space="0" w:color="FFFFFF"/>
            </w:tcBorders>
            <w:shd w:val="clear" w:color="000000" w:fill="DBE5F1"/>
            <w:noWrap/>
            <w:hideMark/>
          </w:tcPr>
          <w:p w14:paraId="03EC9D09" w14:textId="77777777" w:rsidR="00B86FB3" w:rsidRPr="00FF756A" w:rsidRDefault="00B86FB3" w:rsidP="00B86FB3">
            <w:pPr>
              <w:jc w:val="right"/>
              <w:rPr>
                <w:rFonts w:eastAsia="Times New Roman"/>
                <w:color w:val="000000"/>
                <w:sz w:val="16"/>
                <w:szCs w:val="16"/>
              </w:rPr>
            </w:pPr>
            <w:r w:rsidRPr="00FF756A">
              <w:rPr>
                <w:sz w:val="16"/>
                <w:szCs w:val="16"/>
              </w:rPr>
              <w:t xml:space="preserve"> 9,3 </w:t>
            </w:r>
          </w:p>
        </w:tc>
        <w:tc>
          <w:tcPr>
            <w:tcW w:w="918" w:type="dxa"/>
            <w:tcBorders>
              <w:top w:val="nil"/>
              <w:left w:val="nil"/>
              <w:bottom w:val="single" w:sz="8" w:space="0" w:color="FFFFFF"/>
              <w:right w:val="single" w:sz="8" w:space="0" w:color="FFFFFF"/>
            </w:tcBorders>
            <w:shd w:val="clear" w:color="000000" w:fill="DBE5F1"/>
          </w:tcPr>
          <w:p w14:paraId="27510424" w14:textId="77777777" w:rsidR="00B86FB3" w:rsidRPr="00FF756A" w:rsidRDefault="00B86FB3" w:rsidP="00B86FB3">
            <w:pPr>
              <w:jc w:val="right"/>
              <w:rPr>
                <w:rFonts w:eastAsia="Times New Roman"/>
                <w:color w:val="000000"/>
                <w:sz w:val="16"/>
                <w:szCs w:val="16"/>
              </w:rPr>
            </w:pPr>
            <w:r w:rsidRPr="00FF756A">
              <w:rPr>
                <w:sz w:val="16"/>
                <w:szCs w:val="16"/>
              </w:rPr>
              <w:t xml:space="preserve"> 11,4 </w:t>
            </w:r>
          </w:p>
        </w:tc>
      </w:tr>
      <w:tr w:rsidR="00B86FB3" w:rsidRPr="00FF756A" w14:paraId="1ADDCF67"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4B6A6E88" w14:textId="77777777" w:rsidR="00B86FB3" w:rsidRPr="00FF756A" w:rsidRDefault="00B86FB3" w:rsidP="00B86FB3">
            <w:pPr>
              <w:rPr>
                <w:rFonts w:eastAsia="Times New Roman"/>
                <w:b/>
                <w:bCs/>
                <w:color w:val="FFFFFF"/>
                <w:sz w:val="16"/>
                <w:szCs w:val="16"/>
              </w:rPr>
            </w:pPr>
            <w:r w:rsidRPr="00FF756A">
              <w:rPr>
                <w:b/>
                <w:bCs/>
                <w:color w:val="FFFFFF"/>
                <w:sz w:val="16"/>
                <w:szCs w:val="16"/>
              </w:rPr>
              <w:t>Metalet joferrike</w:t>
            </w:r>
          </w:p>
        </w:tc>
        <w:tc>
          <w:tcPr>
            <w:tcW w:w="917" w:type="dxa"/>
            <w:tcBorders>
              <w:top w:val="nil"/>
              <w:left w:val="nil"/>
              <w:bottom w:val="single" w:sz="8" w:space="0" w:color="FFFFFF"/>
              <w:right w:val="single" w:sz="8" w:space="0" w:color="FFFFFF"/>
            </w:tcBorders>
            <w:shd w:val="clear" w:color="000000" w:fill="B8CCE4"/>
            <w:noWrap/>
            <w:hideMark/>
          </w:tcPr>
          <w:p w14:paraId="4D1F40AE"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7" w:type="dxa"/>
            <w:tcBorders>
              <w:top w:val="nil"/>
              <w:left w:val="nil"/>
              <w:bottom w:val="single" w:sz="8" w:space="0" w:color="FFFFFF"/>
              <w:right w:val="single" w:sz="8" w:space="0" w:color="FFFFFF"/>
            </w:tcBorders>
            <w:shd w:val="clear" w:color="000000" w:fill="B8CCE4"/>
            <w:noWrap/>
            <w:hideMark/>
          </w:tcPr>
          <w:p w14:paraId="430134EB" w14:textId="77777777" w:rsidR="00B86FB3" w:rsidRPr="00FF756A" w:rsidRDefault="00B86FB3" w:rsidP="00B86FB3">
            <w:pPr>
              <w:jc w:val="right"/>
              <w:rPr>
                <w:rFonts w:eastAsia="Times New Roman"/>
                <w:color w:val="000000"/>
                <w:sz w:val="16"/>
                <w:szCs w:val="16"/>
              </w:rPr>
            </w:pPr>
            <w:r w:rsidRPr="00FF756A">
              <w:rPr>
                <w:sz w:val="16"/>
                <w:szCs w:val="16"/>
              </w:rPr>
              <w:t xml:space="preserve"> 0,9 </w:t>
            </w:r>
          </w:p>
        </w:tc>
        <w:tc>
          <w:tcPr>
            <w:tcW w:w="917" w:type="dxa"/>
            <w:tcBorders>
              <w:top w:val="nil"/>
              <w:left w:val="nil"/>
              <w:bottom w:val="single" w:sz="8" w:space="0" w:color="FFFFFF"/>
              <w:right w:val="single" w:sz="8" w:space="0" w:color="FFFFFF"/>
            </w:tcBorders>
            <w:shd w:val="clear" w:color="000000" w:fill="B8CCE4"/>
            <w:noWrap/>
            <w:hideMark/>
          </w:tcPr>
          <w:p w14:paraId="2057EFD1" w14:textId="77777777" w:rsidR="00B86FB3" w:rsidRPr="00FF756A" w:rsidRDefault="00B86FB3" w:rsidP="00B86FB3">
            <w:pPr>
              <w:jc w:val="right"/>
              <w:rPr>
                <w:rFonts w:eastAsia="Times New Roman"/>
                <w:color w:val="000000"/>
                <w:sz w:val="16"/>
                <w:szCs w:val="16"/>
              </w:rPr>
            </w:pPr>
            <w:r w:rsidRPr="00FF756A">
              <w:rPr>
                <w:sz w:val="16"/>
                <w:szCs w:val="16"/>
              </w:rPr>
              <w:t xml:space="preserve"> 0,9 </w:t>
            </w:r>
          </w:p>
        </w:tc>
        <w:tc>
          <w:tcPr>
            <w:tcW w:w="917" w:type="dxa"/>
            <w:tcBorders>
              <w:top w:val="nil"/>
              <w:left w:val="nil"/>
              <w:bottom w:val="single" w:sz="8" w:space="0" w:color="FFFFFF"/>
              <w:right w:val="single" w:sz="8" w:space="0" w:color="FFFFFF"/>
            </w:tcBorders>
            <w:shd w:val="clear" w:color="000000" w:fill="B8CCE4"/>
            <w:noWrap/>
            <w:hideMark/>
          </w:tcPr>
          <w:p w14:paraId="6897F399" w14:textId="77777777" w:rsidR="00B86FB3" w:rsidRPr="00FF756A" w:rsidRDefault="00B86FB3" w:rsidP="00B86FB3">
            <w:pPr>
              <w:jc w:val="right"/>
              <w:rPr>
                <w:rFonts w:eastAsia="Times New Roman"/>
                <w:color w:val="000000"/>
                <w:sz w:val="16"/>
                <w:szCs w:val="16"/>
              </w:rPr>
            </w:pPr>
            <w:r w:rsidRPr="00FF756A">
              <w:rPr>
                <w:sz w:val="16"/>
                <w:szCs w:val="16"/>
              </w:rPr>
              <w:t xml:space="preserve"> 1,0 </w:t>
            </w:r>
          </w:p>
        </w:tc>
        <w:tc>
          <w:tcPr>
            <w:tcW w:w="917" w:type="dxa"/>
            <w:tcBorders>
              <w:top w:val="nil"/>
              <w:left w:val="nil"/>
              <w:bottom w:val="single" w:sz="8" w:space="0" w:color="FFFFFF"/>
              <w:right w:val="single" w:sz="8" w:space="0" w:color="FFFFFF"/>
            </w:tcBorders>
            <w:shd w:val="clear" w:color="000000" w:fill="B8CCE4"/>
            <w:noWrap/>
            <w:hideMark/>
          </w:tcPr>
          <w:p w14:paraId="28692A25" w14:textId="77777777" w:rsidR="00B86FB3" w:rsidRPr="00FF756A" w:rsidRDefault="00B86FB3" w:rsidP="00B86FB3">
            <w:pPr>
              <w:jc w:val="right"/>
              <w:rPr>
                <w:rFonts w:eastAsia="Times New Roman"/>
                <w:color w:val="000000"/>
                <w:sz w:val="16"/>
                <w:szCs w:val="16"/>
              </w:rPr>
            </w:pPr>
            <w:r w:rsidRPr="00FF756A">
              <w:rPr>
                <w:sz w:val="16"/>
                <w:szCs w:val="16"/>
              </w:rPr>
              <w:t xml:space="preserve"> 1,0 </w:t>
            </w:r>
          </w:p>
        </w:tc>
        <w:tc>
          <w:tcPr>
            <w:tcW w:w="917" w:type="dxa"/>
            <w:tcBorders>
              <w:top w:val="nil"/>
              <w:left w:val="nil"/>
              <w:bottom w:val="single" w:sz="8" w:space="0" w:color="FFFFFF"/>
              <w:right w:val="single" w:sz="8" w:space="0" w:color="FFFFFF"/>
            </w:tcBorders>
            <w:shd w:val="clear" w:color="000000" w:fill="B8CCE4"/>
            <w:noWrap/>
            <w:hideMark/>
          </w:tcPr>
          <w:p w14:paraId="6582A70E" w14:textId="77777777" w:rsidR="00B86FB3" w:rsidRPr="00FF756A" w:rsidRDefault="00B86FB3" w:rsidP="00B86FB3">
            <w:pPr>
              <w:jc w:val="right"/>
              <w:rPr>
                <w:rFonts w:eastAsia="Times New Roman"/>
                <w:color w:val="000000"/>
                <w:sz w:val="16"/>
                <w:szCs w:val="16"/>
              </w:rPr>
            </w:pPr>
            <w:r w:rsidRPr="00FF756A">
              <w:rPr>
                <w:sz w:val="16"/>
                <w:szCs w:val="16"/>
              </w:rPr>
              <w:t xml:space="preserve"> 1,3 </w:t>
            </w:r>
          </w:p>
        </w:tc>
        <w:tc>
          <w:tcPr>
            <w:tcW w:w="918" w:type="dxa"/>
            <w:tcBorders>
              <w:top w:val="nil"/>
              <w:left w:val="nil"/>
              <w:bottom w:val="single" w:sz="8" w:space="0" w:color="FFFFFF"/>
              <w:right w:val="single" w:sz="8" w:space="0" w:color="FFFFFF"/>
            </w:tcBorders>
            <w:shd w:val="clear" w:color="000000" w:fill="B8CCE4"/>
            <w:noWrap/>
            <w:hideMark/>
          </w:tcPr>
          <w:p w14:paraId="604FA737" w14:textId="77777777" w:rsidR="00B86FB3" w:rsidRPr="00FF756A" w:rsidRDefault="00B86FB3" w:rsidP="00B86FB3">
            <w:pPr>
              <w:jc w:val="right"/>
              <w:rPr>
                <w:rFonts w:eastAsia="Times New Roman"/>
                <w:color w:val="000000"/>
                <w:sz w:val="16"/>
                <w:szCs w:val="16"/>
              </w:rPr>
            </w:pPr>
            <w:r w:rsidRPr="00FF756A">
              <w:rPr>
                <w:sz w:val="16"/>
                <w:szCs w:val="16"/>
              </w:rPr>
              <w:t xml:space="preserve"> 2,0 </w:t>
            </w:r>
          </w:p>
        </w:tc>
        <w:tc>
          <w:tcPr>
            <w:tcW w:w="918" w:type="dxa"/>
            <w:tcBorders>
              <w:top w:val="nil"/>
              <w:left w:val="nil"/>
              <w:bottom w:val="single" w:sz="8" w:space="0" w:color="FFFFFF"/>
              <w:right w:val="single" w:sz="8" w:space="0" w:color="FFFFFF"/>
            </w:tcBorders>
            <w:shd w:val="clear" w:color="000000" w:fill="B8CCE4"/>
          </w:tcPr>
          <w:p w14:paraId="6ACECEBB" w14:textId="77777777" w:rsidR="00B86FB3" w:rsidRPr="00FF756A" w:rsidRDefault="00B86FB3" w:rsidP="00B86FB3">
            <w:pPr>
              <w:jc w:val="right"/>
              <w:rPr>
                <w:rFonts w:eastAsia="Times New Roman"/>
                <w:color w:val="000000"/>
                <w:sz w:val="16"/>
                <w:szCs w:val="16"/>
              </w:rPr>
            </w:pPr>
            <w:r w:rsidRPr="00FF756A">
              <w:rPr>
                <w:sz w:val="16"/>
                <w:szCs w:val="16"/>
              </w:rPr>
              <w:t xml:space="preserve"> 3,1 </w:t>
            </w:r>
          </w:p>
        </w:tc>
      </w:tr>
      <w:tr w:rsidR="00B86FB3" w:rsidRPr="00FF756A" w14:paraId="3D19860F"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4A6A5272" w14:textId="77777777" w:rsidR="00B86FB3" w:rsidRPr="00FF756A" w:rsidRDefault="00B86FB3" w:rsidP="00B86FB3">
            <w:pPr>
              <w:rPr>
                <w:rFonts w:eastAsia="Times New Roman"/>
                <w:b/>
                <w:bCs/>
                <w:color w:val="FFFFFF"/>
                <w:sz w:val="16"/>
                <w:szCs w:val="16"/>
              </w:rPr>
            </w:pPr>
            <w:r w:rsidRPr="00FF756A">
              <w:rPr>
                <w:b/>
                <w:bCs/>
                <w:color w:val="FFFFFF"/>
                <w:sz w:val="16"/>
                <w:szCs w:val="16"/>
              </w:rPr>
              <w:t>Sektori kimik</w:t>
            </w:r>
          </w:p>
        </w:tc>
        <w:tc>
          <w:tcPr>
            <w:tcW w:w="917" w:type="dxa"/>
            <w:tcBorders>
              <w:top w:val="nil"/>
              <w:left w:val="nil"/>
              <w:bottom w:val="single" w:sz="8" w:space="0" w:color="FFFFFF"/>
              <w:right w:val="single" w:sz="8" w:space="0" w:color="FFFFFF"/>
            </w:tcBorders>
            <w:shd w:val="clear" w:color="000000" w:fill="DBE5F1"/>
            <w:noWrap/>
            <w:hideMark/>
          </w:tcPr>
          <w:p w14:paraId="6BE9C9CF" w14:textId="77777777" w:rsidR="00B86FB3" w:rsidRPr="00FF756A" w:rsidRDefault="00B86FB3" w:rsidP="00B86FB3">
            <w:pPr>
              <w:jc w:val="right"/>
              <w:rPr>
                <w:rFonts w:eastAsia="Times New Roman"/>
                <w:color w:val="000000"/>
                <w:sz w:val="16"/>
                <w:szCs w:val="16"/>
              </w:rPr>
            </w:pPr>
            <w:r w:rsidRPr="00FF756A">
              <w:rPr>
                <w:sz w:val="16"/>
                <w:szCs w:val="16"/>
              </w:rPr>
              <w:t xml:space="preserve"> 22,2 </w:t>
            </w:r>
          </w:p>
        </w:tc>
        <w:tc>
          <w:tcPr>
            <w:tcW w:w="917" w:type="dxa"/>
            <w:tcBorders>
              <w:top w:val="nil"/>
              <w:left w:val="nil"/>
              <w:bottom w:val="single" w:sz="8" w:space="0" w:color="FFFFFF"/>
              <w:right w:val="single" w:sz="8" w:space="0" w:color="FFFFFF"/>
            </w:tcBorders>
            <w:shd w:val="clear" w:color="000000" w:fill="DBE5F1"/>
            <w:noWrap/>
            <w:hideMark/>
          </w:tcPr>
          <w:p w14:paraId="02F007B5" w14:textId="77777777" w:rsidR="00B86FB3" w:rsidRPr="00FF756A" w:rsidRDefault="00B86FB3" w:rsidP="00B86FB3">
            <w:pPr>
              <w:jc w:val="right"/>
              <w:rPr>
                <w:rFonts w:eastAsia="Times New Roman"/>
                <w:color w:val="000000"/>
                <w:sz w:val="16"/>
                <w:szCs w:val="16"/>
              </w:rPr>
            </w:pPr>
            <w:r w:rsidRPr="00FF756A">
              <w:rPr>
                <w:sz w:val="16"/>
                <w:szCs w:val="16"/>
              </w:rPr>
              <w:t xml:space="preserve"> 37,6 </w:t>
            </w:r>
          </w:p>
        </w:tc>
        <w:tc>
          <w:tcPr>
            <w:tcW w:w="917" w:type="dxa"/>
            <w:tcBorders>
              <w:top w:val="nil"/>
              <w:left w:val="nil"/>
              <w:bottom w:val="single" w:sz="8" w:space="0" w:color="FFFFFF"/>
              <w:right w:val="single" w:sz="8" w:space="0" w:color="FFFFFF"/>
            </w:tcBorders>
            <w:shd w:val="clear" w:color="000000" w:fill="DBE5F1"/>
            <w:noWrap/>
            <w:hideMark/>
          </w:tcPr>
          <w:p w14:paraId="4D6467D2" w14:textId="77777777" w:rsidR="00B86FB3" w:rsidRPr="00FF756A" w:rsidRDefault="00B86FB3" w:rsidP="00B86FB3">
            <w:pPr>
              <w:jc w:val="right"/>
              <w:rPr>
                <w:rFonts w:eastAsia="Times New Roman"/>
                <w:color w:val="000000"/>
                <w:sz w:val="16"/>
                <w:szCs w:val="16"/>
              </w:rPr>
            </w:pPr>
            <w:r w:rsidRPr="00FF756A">
              <w:rPr>
                <w:sz w:val="16"/>
                <w:szCs w:val="16"/>
              </w:rPr>
              <w:t xml:space="preserve"> 37,6 </w:t>
            </w:r>
          </w:p>
        </w:tc>
        <w:tc>
          <w:tcPr>
            <w:tcW w:w="917" w:type="dxa"/>
            <w:tcBorders>
              <w:top w:val="nil"/>
              <w:left w:val="nil"/>
              <w:bottom w:val="single" w:sz="8" w:space="0" w:color="FFFFFF"/>
              <w:right w:val="single" w:sz="8" w:space="0" w:color="FFFFFF"/>
            </w:tcBorders>
            <w:shd w:val="clear" w:color="000000" w:fill="DBE5F1"/>
            <w:noWrap/>
            <w:hideMark/>
          </w:tcPr>
          <w:p w14:paraId="1FEFBE8E" w14:textId="77777777" w:rsidR="00B86FB3" w:rsidRPr="00FF756A" w:rsidRDefault="00B86FB3" w:rsidP="00B86FB3">
            <w:pPr>
              <w:jc w:val="right"/>
              <w:rPr>
                <w:rFonts w:eastAsia="Times New Roman"/>
                <w:color w:val="000000"/>
                <w:sz w:val="16"/>
                <w:szCs w:val="16"/>
              </w:rPr>
            </w:pPr>
            <w:r w:rsidRPr="00FF756A">
              <w:rPr>
                <w:sz w:val="16"/>
                <w:szCs w:val="16"/>
              </w:rPr>
              <w:t xml:space="preserve"> 39,3 </w:t>
            </w:r>
          </w:p>
        </w:tc>
        <w:tc>
          <w:tcPr>
            <w:tcW w:w="917" w:type="dxa"/>
            <w:tcBorders>
              <w:top w:val="nil"/>
              <w:left w:val="nil"/>
              <w:bottom w:val="single" w:sz="8" w:space="0" w:color="FFFFFF"/>
              <w:right w:val="single" w:sz="8" w:space="0" w:color="FFFFFF"/>
            </w:tcBorders>
            <w:shd w:val="clear" w:color="000000" w:fill="DBE5F1"/>
            <w:noWrap/>
            <w:hideMark/>
          </w:tcPr>
          <w:p w14:paraId="4B6E2135" w14:textId="77777777" w:rsidR="00B86FB3" w:rsidRPr="00FF756A" w:rsidRDefault="00B86FB3" w:rsidP="00B86FB3">
            <w:pPr>
              <w:jc w:val="right"/>
              <w:rPr>
                <w:rFonts w:eastAsia="Times New Roman"/>
                <w:color w:val="000000"/>
                <w:sz w:val="16"/>
                <w:szCs w:val="16"/>
              </w:rPr>
            </w:pPr>
            <w:r w:rsidRPr="00FF756A">
              <w:rPr>
                <w:sz w:val="16"/>
                <w:szCs w:val="16"/>
              </w:rPr>
              <w:t xml:space="preserve"> 42,9 </w:t>
            </w:r>
          </w:p>
        </w:tc>
        <w:tc>
          <w:tcPr>
            <w:tcW w:w="917" w:type="dxa"/>
            <w:tcBorders>
              <w:top w:val="nil"/>
              <w:left w:val="nil"/>
              <w:bottom w:val="single" w:sz="8" w:space="0" w:color="FFFFFF"/>
              <w:right w:val="single" w:sz="8" w:space="0" w:color="FFFFFF"/>
            </w:tcBorders>
            <w:shd w:val="clear" w:color="000000" w:fill="DBE5F1"/>
            <w:noWrap/>
            <w:hideMark/>
          </w:tcPr>
          <w:p w14:paraId="5AFCBD01" w14:textId="77777777" w:rsidR="00B86FB3" w:rsidRPr="00FF756A" w:rsidRDefault="00B86FB3" w:rsidP="00B86FB3">
            <w:pPr>
              <w:jc w:val="right"/>
              <w:rPr>
                <w:rFonts w:eastAsia="Times New Roman"/>
                <w:color w:val="000000"/>
                <w:sz w:val="16"/>
                <w:szCs w:val="16"/>
              </w:rPr>
            </w:pPr>
            <w:r w:rsidRPr="00FF756A">
              <w:rPr>
                <w:sz w:val="16"/>
                <w:szCs w:val="16"/>
              </w:rPr>
              <w:t xml:space="preserve"> 50,1 </w:t>
            </w:r>
          </w:p>
        </w:tc>
        <w:tc>
          <w:tcPr>
            <w:tcW w:w="918" w:type="dxa"/>
            <w:tcBorders>
              <w:top w:val="nil"/>
              <w:left w:val="nil"/>
              <w:bottom w:val="single" w:sz="8" w:space="0" w:color="FFFFFF"/>
              <w:right w:val="single" w:sz="8" w:space="0" w:color="FFFFFF"/>
            </w:tcBorders>
            <w:shd w:val="clear" w:color="000000" w:fill="DBE5F1"/>
            <w:noWrap/>
            <w:hideMark/>
          </w:tcPr>
          <w:p w14:paraId="2CEBA588" w14:textId="77777777" w:rsidR="00B86FB3" w:rsidRPr="00FF756A" w:rsidRDefault="00B86FB3" w:rsidP="00B86FB3">
            <w:pPr>
              <w:jc w:val="right"/>
              <w:rPr>
                <w:rFonts w:eastAsia="Times New Roman"/>
                <w:color w:val="000000"/>
                <w:sz w:val="16"/>
                <w:szCs w:val="16"/>
              </w:rPr>
            </w:pPr>
            <w:r w:rsidRPr="00FF756A">
              <w:rPr>
                <w:sz w:val="16"/>
                <w:szCs w:val="16"/>
              </w:rPr>
              <w:t xml:space="preserve"> 73,5 </w:t>
            </w:r>
          </w:p>
        </w:tc>
        <w:tc>
          <w:tcPr>
            <w:tcW w:w="918" w:type="dxa"/>
            <w:tcBorders>
              <w:top w:val="nil"/>
              <w:left w:val="nil"/>
              <w:bottom w:val="single" w:sz="8" w:space="0" w:color="FFFFFF"/>
              <w:right w:val="single" w:sz="8" w:space="0" w:color="FFFFFF"/>
            </w:tcBorders>
            <w:shd w:val="clear" w:color="000000" w:fill="DBE5F1"/>
          </w:tcPr>
          <w:p w14:paraId="673A27E6" w14:textId="77777777" w:rsidR="00B86FB3" w:rsidRPr="00FF756A" w:rsidRDefault="00B86FB3" w:rsidP="00B86FB3">
            <w:pPr>
              <w:jc w:val="right"/>
              <w:rPr>
                <w:rFonts w:eastAsia="Times New Roman"/>
                <w:color w:val="000000"/>
                <w:sz w:val="16"/>
                <w:szCs w:val="16"/>
              </w:rPr>
            </w:pPr>
            <w:r w:rsidRPr="00FF756A">
              <w:rPr>
                <w:sz w:val="16"/>
                <w:szCs w:val="16"/>
              </w:rPr>
              <w:t xml:space="preserve"> 113,4 </w:t>
            </w:r>
          </w:p>
        </w:tc>
      </w:tr>
      <w:tr w:rsidR="00B86FB3" w:rsidRPr="00FF756A" w14:paraId="681AA914"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1738CFAF" w14:textId="77777777" w:rsidR="00B86FB3" w:rsidRPr="00FF756A" w:rsidRDefault="00B86FB3" w:rsidP="00B86FB3">
            <w:pPr>
              <w:rPr>
                <w:rFonts w:eastAsia="Times New Roman"/>
                <w:b/>
                <w:bCs/>
                <w:color w:val="FFFFFF"/>
                <w:sz w:val="16"/>
                <w:szCs w:val="16"/>
              </w:rPr>
            </w:pPr>
            <w:r w:rsidRPr="00FF756A">
              <w:rPr>
                <w:b/>
                <w:bCs/>
                <w:color w:val="FFFFFF"/>
                <w:sz w:val="16"/>
                <w:szCs w:val="16"/>
              </w:rPr>
              <w:t>Sektori minerar</w:t>
            </w:r>
          </w:p>
        </w:tc>
        <w:tc>
          <w:tcPr>
            <w:tcW w:w="917" w:type="dxa"/>
            <w:tcBorders>
              <w:top w:val="nil"/>
              <w:left w:val="nil"/>
              <w:bottom w:val="single" w:sz="8" w:space="0" w:color="FFFFFF"/>
              <w:right w:val="single" w:sz="8" w:space="0" w:color="FFFFFF"/>
            </w:tcBorders>
            <w:shd w:val="clear" w:color="000000" w:fill="B8CCE4"/>
            <w:noWrap/>
            <w:hideMark/>
          </w:tcPr>
          <w:p w14:paraId="79842511" w14:textId="77777777" w:rsidR="00B86FB3" w:rsidRPr="00FF756A" w:rsidRDefault="00B86FB3" w:rsidP="00B86FB3">
            <w:pPr>
              <w:jc w:val="right"/>
              <w:rPr>
                <w:rFonts w:eastAsia="Times New Roman"/>
                <w:color w:val="000000"/>
                <w:sz w:val="16"/>
                <w:szCs w:val="16"/>
              </w:rPr>
            </w:pPr>
            <w:r w:rsidRPr="00FF756A">
              <w:rPr>
                <w:sz w:val="16"/>
                <w:szCs w:val="16"/>
              </w:rPr>
              <w:t xml:space="preserve"> 728,8 </w:t>
            </w:r>
          </w:p>
        </w:tc>
        <w:tc>
          <w:tcPr>
            <w:tcW w:w="917" w:type="dxa"/>
            <w:tcBorders>
              <w:top w:val="nil"/>
              <w:left w:val="nil"/>
              <w:bottom w:val="single" w:sz="8" w:space="0" w:color="FFFFFF"/>
              <w:right w:val="single" w:sz="8" w:space="0" w:color="FFFFFF"/>
            </w:tcBorders>
            <w:shd w:val="clear" w:color="000000" w:fill="B8CCE4"/>
            <w:noWrap/>
            <w:hideMark/>
          </w:tcPr>
          <w:p w14:paraId="5D8EFBBA" w14:textId="77777777" w:rsidR="00B86FB3" w:rsidRPr="00FF756A" w:rsidRDefault="00B86FB3" w:rsidP="00B86FB3">
            <w:pPr>
              <w:jc w:val="right"/>
              <w:rPr>
                <w:rFonts w:eastAsia="Times New Roman"/>
                <w:color w:val="000000"/>
                <w:sz w:val="16"/>
                <w:szCs w:val="16"/>
              </w:rPr>
            </w:pPr>
            <w:r w:rsidRPr="00FF756A">
              <w:rPr>
                <w:sz w:val="16"/>
                <w:szCs w:val="16"/>
              </w:rPr>
              <w:t xml:space="preserve"> 974,7 </w:t>
            </w:r>
          </w:p>
        </w:tc>
        <w:tc>
          <w:tcPr>
            <w:tcW w:w="917" w:type="dxa"/>
            <w:tcBorders>
              <w:top w:val="nil"/>
              <w:left w:val="nil"/>
              <w:bottom w:val="single" w:sz="8" w:space="0" w:color="FFFFFF"/>
              <w:right w:val="single" w:sz="8" w:space="0" w:color="FFFFFF"/>
            </w:tcBorders>
            <w:shd w:val="clear" w:color="000000" w:fill="B8CCE4"/>
            <w:noWrap/>
            <w:hideMark/>
          </w:tcPr>
          <w:p w14:paraId="515C06D4" w14:textId="77777777" w:rsidR="00B86FB3" w:rsidRPr="00FF756A" w:rsidRDefault="00B86FB3" w:rsidP="00B86FB3">
            <w:pPr>
              <w:jc w:val="right"/>
              <w:rPr>
                <w:rFonts w:eastAsia="Times New Roman"/>
                <w:color w:val="000000"/>
                <w:sz w:val="16"/>
                <w:szCs w:val="16"/>
              </w:rPr>
            </w:pPr>
            <w:r w:rsidRPr="00FF756A">
              <w:rPr>
                <w:sz w:val="16"/>
                <w:szCs w:val="16"/>
              </w:rPr>
              <w:t xml:space="preserve"> 958,3 </w:t>
            </w:r>
          </w:p>
        </w:tc>
        <w:tc>
          <w:tcPr>
            <w:tcW w:w="917" w:type="dxa"/>
            <w:tcBorders>
              <w:top w:val="nil"/>
              <w:left w:val="nil"/>
              <w:bottom w:val="single" w:sz="8" w:space="0" w:color="FFFFFF"/>
              <w:right w:val="single" w:sz="8" w:space="0" w:color="FFFFFF"/>
            </w:tcBorders>
            <w:shd w:val="clear" w:color="000000" w:fill="B8CCE4"/>
            <w:noWrap/>
            <w:hideMark/>
          </w:tcPr>
          <w:p w14:paraId="527EE14F" w14:textId="77777777" w:rsidR="00B86FB3" w:rsidRPr="00FF756A" w:rsidRDefault="00B86FB3" w:rsidP="00B86FB3">
            <w:pPr>
              <w:jc w:val="right"/>
              <w:rPr>
                <w:rFonts w:eastAsia="Times New Roman"/>
                <w:color w:val="000000"/>
                <w:sz w:val="16"/>
                <w:szCs w:val="16"/>
              </w:rPr>
            </w:pPr>
            <w:r w:rsidRPr="00FF756A">
              <w:rPr>
                <w:sz w:val="16"/>
                <w:szCs w:val="16"/>
              </w:rPr>
              <w:t xml:space="preserve"> 974,9 </w:t>
            </w:r>
          </w:p>
        </w:tc>
        <w:tc>
          <w:tcPr>
            <w:tcW w:w="917" w:type="dxa"/>
            <w:tcBorders>
              <w:top w:val="nil"/>
              <w:left w:val="nil"/>
              <w:bottom w:val="single" w:sz="8" w:space="0" w:color="FFFFFF"/>
              <w:right w:val="single" w:sz="8" w:space="0" w:color="FFFFFF"/>
            </w:tcBorders>
            <w:shd w:val="clear" w:color="000000" w:fill="B8CCE4"/>
            <w:noWrap/>
            <w:hideMark/>
          </w:tcPr>
          <w:p w14:paraId="68967BEC" w14:textId="77777777" w:rsidR="00B86FB3" w:rsidRPr="00FF756A" w:rsidRDefault="00B86FB3" w:rsidP="00B86FB3">
            <w:pPr>
              <w:jc w:val="right"/>
              <w:rPr>
                <w:rFonts w:eastAsia="Times New Roman"/>
                <w:color w:val="000000"/>
                <w:sz w:val="16"/>
                <w:szCs w:val="16"/>
              </w:rPr>
            </w:pPr>
            <w:r w:rsidRPr="00FF756A">
              <w:rPr>
                <w:sz w:val="16"/>
                <w:szCs w:val="16"/>
              </w:rPr>
              <w:t xml:space="preserve"> 1 007,1 </w:t>
            </w:r>
          </w:p>
        </w:tc>
        <w:tc>
          <w:tcPr>
            <w:tcW w:w="917" w:type="dxa"/>
            <w:tcBorders>
              <w:top w:val="nil"/>
              <w:left w:val="nil"/>
              <w:bottom w:val="single" w:sz="8" w:space="0" w:color="FFFFFF"/>
              <w:right w:val="single" w:sz="8" w:space="0" w:color="FFFFFF"/>
            </w:tcBorders>
            <w:shd w:val="clear" w:color="000000" w:fill="B8CCE4"/>
            <w:noWrap/>
            <w:hideMark/>
          </w:tcPr>
          <w:p w14:paraId="701CFFF9" w14:textId="77777777" w:rsidR="00B86FB3" w:rsidRPr="00FF756A" w:rsidRDefault="00B86FB3" w:rsidP="00B86FB3">
            <w:pPr>
              <w:jc w:val="right"/>
              <w:rPr>
                <w:rFonts w:eastAsia="Times New Roman"/>
                <w:color w:val="000000"/>
                <w:sz w:val="16"/>
                <w:szCs w:val="16"/>
              </w:rPr>
            </w:pPr>
            <w:r w:rsidRPr="00FF756A">
              <w:rPr>
                <w:sz w:val="16"/>
                <w:szCs w:val="16"/>
              </w:rPr>
              <w:t xml:space="preserve"> 977,2 </w:t>
            </w:r>
          </w:p>
        </w:tc>
        <w:tc>
          <w:tcPr>
            <w:tcW w:w="918" w:type="dxa"/>
            <w:tcBorders>
              <w:top w:val="nil"/>
              <w:left w:val="nil"/>
              <w:bottom w:val="single" w:sz="8" w:space="0" w:color="FFFFFF"/>
              <w:right w:val="single" w:sz="8" w:space="0" w:color="FFFFFF"/>
            </w:tcBorders>
            <w:shd w:val="clear" w:color="000000" w:fill="B8CCE4"/>
            <w:noWrap/>
            <w:hideMark/>
          </w:tcPr>
          <w:p w14:paraId="2394DB3C" w14:textId="77777777" w:rsidR="00B86FB3" w:rsidRPr="00FF756A" w:rsidRDefault="00B86FB3" w:rsidP="00B86FB3">
            <w:pPr>
              <w:jc w:val="right"/>
              <w:rPr>
                <w:rFonts w:eastAsia="Times New Roman"/>
                <w:color w:val="000000"/>
                <w:sz w:val="16"/>
                <w:szCs w:val="16"/>
              </w:rPr>
            </w:pPr>
            <w:r w:rsidRPr="00FF756A">
              <w:rPr>
                <w:sz w:val="16"/>
                <w:szCs w:val="16"/>
              </w:rPr>
              <w:t xml:space="preserve"> 672,4 </w:t>
            </w:r>
          </w:p>
        </w:tc>
        <w:tc>
          <w:tcPr>
            <w:tcW w:w="918" w:type="dxa"/>
            <w:tcBorders>
              <w:top w:val="nil"/>
              <w:left w:val="nil"/>
              <w:bottom w:val="single" w:sz="8" w:space="0" w:color="FFFFFF"/>
              <w:right w:val="single" w:sz="8" w:space="0" w:color="FFFFFF"/>
            </w:tcBorders>
            <w:shd w:val="clear" w:color="000000" w:fill="B8CCE4"/>
          </w:tcPr>
          <w:p w14:paraId="20AB564E" w14:textId="77777777" w:rsidR="00B86FB3" w:rsidRPr="00FF756A" w:rsidRDefault="00B86FB3" w:rsidP="00B86FB3">
            <w:pPr>
              <w:jc w:val="right"/>
              <w:rPr>
                <w:rFonts w:eastAsia="Times New Roman"/>
                <w:color w:val="000000"/>
                <w:sz w:val="16"/>
                <w:szCs w:val="16"/>
              </w:rPr>
            </w:pPr>
            <w:r w:rsidRPr="00FF756A">
              <w:rPr>
                <w:sz w:val="16"/>
                <w:szCs w:val="16"/>
              </w:rPr>
              <w:t xml:space="preserve"> 265,4 </w:t>
            </w:r>
          </w:p>
        </w:tc>
      </w:tr>
      <w:tr w:rsidR="00B86FB3" w:rsidRPr="00FF756A" w14:paraId="584A7E0B"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61D54DB0" w14:textId="77777777" w:rsidR="00B86FB3" w:rsidRPr="00FF756A" w:rsidRDefault="00B86FB3" w:rsidP="00B86FB3">
            <w:pPr>
              <w:rPr>
                <w:rFonts w:eastAsia="Times New Roman"/>
                <w:b/>
                <w:bCs/>
                <w:color w:val="FFFFFF"/>
                <w:sz w:val="16"/>
                <w:szCs w:val="16"/>
              </w:rPr>
            </w:pPr>
            <w:r w:rsidRPr="00FF756A">
              <w:rPr>
                <w:b/>
                <w:bCs/>
                <w:color w:val="FFFFFF"/>
                <w:sz w:val="16"/>
                <w:szCs w:val="16"/>
              </w:rPr>
              <w:t>Ushqimet, pijet, duhani</w:t>
            </w:r>
          </w:p>
        </w:tc>
        <w:tc>
          <w:tcPr>
            <w:tcW w:w="917" w:type="dxa"/>
            <w:tcBorders>
              <w:top w:val="nil"/>
              <w:left w:val="nil"/>
              <w:bottom w:val="single" w:sz="8" w:space="0" w:color="FFFFFF"/>
              <w:right w:val="single" w:sz="8" w:space="0" w:color="FFFFFF"/>
            </w:tcBorders>
            <w:shd w:val="clear" w:color="000000" w:fill="B8CCE4"/>
            <w:noWrap/>
            <w:hideMark/>
          </w:tcPr>
          <w:p w14:paraId="4F124894" w14:textId="77777777" w:rsidR="00B86FB3" w:rsidRPr="00FF756A" w:rsidRDefault="00B86FB3" w:rsidP="00B86FB3">
            <w:pPr>
              <w:jc w:val="right"/>
              <w:rPr>
                <w:rFonts w:eastAsia="Times New Roman"/>
                <w:color w:val="000000"/>
                <w:sz w:val="16"/>
                <w:szCs w:val="16"/>
              </w:rPr>
            </w:pPr>
            <w:r w:rsidRPr="00FF756A">
              <w:rPr>
                <w:sz w:val="16"/>
                <w:szCs w:val="16"/>
              </w:rPr>
              <w:t xml:space="preserve"> 68,8 </w:t>
            </w:r>
          </w:p>
        </w:tc>
        <w:tc>
          <w:tcPr>
            <w:tcW w:w="917" w:type="dxa"/>
            <w:tcBorders>
              <w:top w:val="nil"/>
              <w:left w:val="nil"/>
              <w:bottom w:val="single" w:sz="8" w:space="0" w:color="FFFFFF"/>
              <w:right w:val="single" w:sz="8" w:space="0" w:color="FFFFFF"/>
            </w:tcBorders>
            <w:shd w:val="clear" w:color="000000" w:fill="B8CCE4"/>
            <w:noWrap/>
            <w:hideMark/>
          </w:tcPr>
          <w:p w14:paraId="0B774856" w14:textId="77777777" w:rsidR="00B86FB3" w:rsidRPr="00FF756A" w:rsidRDefault="00B86FB3" w:rsidP="00B86FB3">
            <w:pPr>
              <w:jc w:val="right"/>
              <w:rPr>
                <w:rFonts w:eastAsia="Times New Roman"/>
                <w:color w:val="000000"/>
                <w:sz w:val="16"/>
                <w:szCs w:val="16"/>
              </w:rPr>
            </w:pPr>
            <w:r w:rsidRPr="00FF756A">
              <w:rPr>
                <w:sz w:val="16"/>
                <w:szCs w:val="16"/>
              </w:rPr>
              <w:t xml:space="preserve"> 75,0 </w:t>
            </w:r>
          </w:p>
        </w:tc>
        <w:tc>
          <w:tcPr>
            <w:tcW w:w="917" w:type="dxa"/>
            <w:tcBorders>
              <w:top w:val="nil"/>
              <w:left w:val="nil"/>
              <w:bottom w:val="single" w:sz="8" w:space="0" w:color="FFFFFF"/>
              <w:right w:val="single" w:sz="8" w:space="0" w:color="FFFFFF"/>
            </w:tcBorders>
            <w:shd w:val="clear" w:color="000000" w:fill="B8CCE4"/>
            <w:noWrap/>
            <w:hideMark/>
          </w:tcPr>
          <w:p w14:paraId="7A1EB44D" w14:textId="77777777" w:rsidR="00B86FB3" w:rsidRPr="00FF756A" w:rsidRDefault="00B86FB3" w:rsidP="00B86FB3">
            <w:pPr>
              <w:jc w:val="right"/>
              <w:rPr>
                <w:rFonts w:eastAsia="Times New Roman"/>
                <w:color w:val="000000"/>
                <w:sz w:val="16"/>
                <w:szCs w:val="16"/>
              </w:rPr>
            </w:pPr>
            <w:r w:rsidRPr="00FF756A">
              <w:rPr>
                <w:sz w:val="16"/>
                <w:szCs w:val="16"/>
              </w:rPr>
              <w:t xml:space="preserve"> 75,0 </w:t>
            </w:r>
          </w:p>
        </w:tc>
        <w:tc>
          <w:tcPr>
            <w:tcW w:w="917" w:type="dxa"/>
            <w:tcBorders>
              <w:top w:val="nil"/>
              <w:left w:val="nil"/>
              <w:bottom w:val="single" w:sz="8" w:space="0" w:color="FFFFFF"/>
              <w:right w:val="single" w:sz="8" w:space="0" w:color="FFFFFF"/>
            </w:tcBorders>
            <w:shd w:val="clear" w:color="000000" w:fill="B8CCE4"/>
            <w:noWrap/>
            <w:hideMark/>
          </w:tcPr>
          <w:p w14:paraId="06F7DC7F" w14:textId="77777777" w:rsidR="00B86FB3" w:rsidRPr="00FF756A" w:rsidRDefault="00B86FB3" w:rsidP="00B86FB3">
            <w:pPr>
              <w:jc w:val="right"/>
              <w:rPr>
                <w:rFonts w:eastAsia="Times New Roman"/>
                <w:color w:val="000000"/>
                <w:sz w:val="16"/>
                <w:szCs w:val="16"/>
              </w:rPr>
            </w:pPr>
            <w:r w:rsidRPr="00FF756A">
              <w:rPr>
                <w:sz w:val="16"/>
                <w:szCs w:val="16"/>
              </w:rPr>
              <w:t xml:space="preserve"> 78,4 </w:t>
            </w:r>
          </w:p>
        </w:tc>
        <w:tc>
          <w:tcPr>
            <w:tcW w:w="917" w:type="dxa"/>
            <w:tcBorders>
              <w:top w:val="nil"/>
              <w:left w:val="nil"/>
              <w:bottom w:val="single" w:sz="8" w:space="0" w:color="FFFFFF"/>
              <w:right w:val="single" w:sz="8" w:space="0" w:color="FFFFFF"/>
            </w:tcBorders>
            <w:shd w:val="clear" w:color="000000" w:fill="B8CCE4"/>
            <w:noWrap/>
            <w:hideMark/>
          </w:tcPr>
          <w:p w14:paraId="6DD2A49D" w14:textId="77777777" w:rsidR="00B86FB3" w:rsidRPr="00FF756A" w:rsidRDefault="00B86FB3" w:rsidP="00B86FB3">
            <w:pPr>
              <w:jc w:val="right"/>
              <w:rPr>
                <w:rFonts w:eastAsia="Times New Roman"/>
                <w:color w:val="000000"/>
                <w:sz w:val="16"/>
                <w:szCs w:val="16"/>
              </w:rPr>
            </w:pPr>
            <w:r w:rsidRPr="00FF756A">
              <w:rPr>
                <w:sz w:val="16"/>
                <w:szCs w:val="16"/>
              </w:rPr>
              <w:t xml:space="preserve"> 85,4 </w:t>
            </w:r>
          </w:p>
        </w:tc>
        <w:tc>
          <w:tcPr>
            <w:tcW w:w="917" w:type="dxa"/>
            <w:tcBorders>
              <w:top w:val="nil"/>
              <w:left w:val="nil"/>
              <w:bottom w:val="single" w:sz="8" w:space="0" w:color="FFFFFF"/>
              <w:right w:val="single" w:sz="8" w:space="0" w:color="FFFFFF"/>
            </w:tcBorders>
            <w:shd w:val="clear" w:color="000000" w:fill="B8CCE4"/>
            <w:noWrap/>
            <w:hideMark/>
          </w:tcPr>
          <w:p w14:paraId="450208E1" w14:textId="77777777" w:rsidR="00B86FB3" w:rsidRPr="00FF756A" w:rsidRDefault="00B86FB3" w:rsidP="00B86FB3">
            <w:pPr>
              <w:jc w:val="right"/>
              <w:rPr>
                <w:rFonts w:eastAsia="Times New Roman"/>
                <w:color w:val="000000"/>
                <w:sz w:val="16"/>
                <w:szCs w:val="16"/>
              </w:rPr>
            </w:pPr>
            <w:r w:rsidRPr="00FF756A">
              <w:rPr>
                <w:sz w:val="16"/>
                <w:szCs w:val="16"/>
              </w:rPr>
              <w:t xml:space="preserve"> 93,1 </w:t>
            </w:r>
          </w:p>
        </w:tc>
        <w:tc>
          <w:tcPr>
            <w:tcW w:w="918" w:type="dxa"/>
            <w:tcBorders>
              <w:top w:val="nil"/>
              <w:left w:val="nil"/>
              <w:bottom w:val="single" w:sz="8" w:space="0" w:color="FFFFFF"/>
              <w:right w:val="single" w:sz="8" w:space="0" w:color="FFFFFF"/>
            </w:tcBorders>
            <w:shd w:val="clear" w:color="000000" w:fill="B8CCE4"/>
            <w:noWrap/>
            <w:hideMark/>
          </w:tcPr>
          <w:p w14:paraId="7A1B84AA" w14:textId="77777777" w:rsidR="00B86FB3" w:rsidRPr="00FF756A" w:rsidRDefault="00B86FB3" w:rsidP="00B86FB3">
            <w:pPr>
              <w:jc w:val="right"/>
              <w:rPr>
                <w:rFonts w:eastAsia="Times New Roman"/>
                <w:color w:val="000000"/>
                <w:sz w:val="16"/>
                <w:szCs w:val="16"/>
              </w:rPr>
            </w:pPr>
            <w:r w:rsidRPr="00FF756A">
              <w:rPr>
                <w:sz w:val="16"/>
                <w:szCs w:val="16"/>
              </w:rPr>
              <w:t xml:space="preserve"> 127,0 </w:t>
            </w:r>
          </w:p>
        </w:tc>
        <w:tc>
          <w:tcPr>
            <w:tcW w:w="918" w:type="dxa"/>
            <w:tcBorders>
              <w:top w:val="nil"/>
              <w:left w:val="nil"/>
              <w:bottom w:val="single" w:sz="8" w:space="0" w:color="FFFFFF"/>
              <w:right w:val="single" w:sz="8" w:space="0" w:color="FFFFFF"/>
            </w:tcBorders>
            <w:shd w:val="clear" w:color="000000" w:fill="B8CCE4"/>
          </w:tcPr>
          <w:p w14:paraId="0CBD614D" w14:textId="77777777" w:rsidR="00B86FB3" w:rsidRPr="00FF756A" w:rsidRDefault="00B86FB3" w:rsidP="00B86FB3">
            <w:pPr>
              <w:jc w:val="right"/>
              <w:rPr>
                <w:rFonts w:eastAsia="Times New Roman"/>
                <w:color w:val="000000"/>
                <w:sz w:val="16"/>
                <w:szCs w:val="16"/>
              </w:rPr>
            </w:pPr>
            <w:r w:rsidRPr="00FF756A">
              <w:rPr>
                <w:sz w:val="16"/>
                <w:szCs w:val="16"/>
              </w:rPr>
              <w:t xml:space="preserve"> 195,9 </w:t>
            </w:r>
          </w:p>
        </w:tc>
      </w:tr>
      <w:tr w:rsidR="00B86FB3" w:rsidRPr="00FF756A" w14:paraId="08535D4E" w14:textId="77777777" w:rsidTr="006A3266">
        <w:trPr>
          <w:trHeight w:val="434"/>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3CD2593E" w14:textId="77777777" w:rsidR="00B86FB3" w:rsidRPr="00FF756A" w:rsidRDefault="00B86FB3" w:rsidP="00B86FB3">
            <w:pPr>
              <w:rPr>
                <w:rFonts w:eastAsia="Times New Roman"/>
                <w:b/>
                <w:bCs/>
                <w:color w:val="FFFFFF"/>
                <w:sz w:val="16"/>
                <w:szCs w:val="16"/>
              </w:rPr>
            </w:pPr>
            <w:r w:rsidRPr="00FF756A">
              <w:rPr>
                <w:b/>
                <w:bCs/>
                <w:color w:val="FFFFFF"/>
                <w:sz w:val="16"/>
                <w:szCs w:val="16"/>
              </w:rPr>
              <w:t>Sektori i tekstilit, lëkurës dhe konfeksionit</w:t>
            </w:r>
          </w:p>
        </w:tc>
        <w:tc>
          <w:tcPr>
            <w:tcW w:w="917" w:type="dxa"/>
            <w:tcBorders>
              <w:top w:val="nil"/>
              <w:left w:val="nil"/>
              <w:bottom w:val="single" w:sz="8" w:space="0" w:color="FFFFFF"/>
              <w:right w:val="single" w:sz="8" w:space="0" w:color="FFFFFF"/>
            </w:tcBorders>
            <w:shd w:val="clear" w:color="000000" w:fill="DBE5F1"/>
            <w:noWrap/>
            <w:hideMark/>
          </w:tcPr>
          <w:p w14:paraId="6CB672EB" w14:textId="77777777" w:rsidR="00B86FB3" w:rsidRPr="00FF756A" w:rsidRDefault="00B86FB3" w:rsidP="00B86FB3">
            <w:pPr>
              <w:jc w:val="right"/>
              <w:rPr>
                <w:rFonts w:eastAsia="Times New Roman"/>
                <w:color w:val="000000"/>
                <w:sz w:val="16"/>
                <w:szCs w:val="16"/>
              </w:rPr>
            </w:pPr>
            <w:r w:rsidRPr="00FF756A">
              <w:rPr>
                <w:sz w:val="16"/>
                <w:szCs w:val="16"/>
              </w:rPr>
              <w:t xml:space="preserve"> 6,6 </w:t>
            </w:r>
          </w:p>
        </w:tc>
        <w:tc>
          <w:tcPr>
            <w:tcW w:w="917" w:type="dxa"/>
            <w:tcBorders>
              <w:top w:val="nil"/>
              <w:left w:val="nil"/>
              <w:bottom w:val="single" w:sz="8" w:space="0" w:color="FFFFFF"/>
              <w:right w:val="single" w:sz="8" w:space="0" w:color="FFFFFF"/>
            </w:tcBorders>
            <w:shd w:val="clear" w:color="000000" w:fill="DBE5F1"/>
            <w:noWrap/>
            <w:hideMark/>
          </w:tcPr>
          <w:p w14:paraId="2E638195" w14:textId="77777777" w:rsidR="00B86FB3" w:rsidRPr="00FF756A" w:rsidRDefault="00B86FB3" w:rsidP="00B86FB3">
            <w:pPr>
              <w:jc w:val="right"/>
              <w:rPr>
                <w:rFonts w:eastAsia="Times New Roman"/>
                <w:color w:val="000000"/>
                <w:sz w:val="16"/>
                <w:szCs w:val="16"/>
              </w:rPr>
            </w:pPr>
            <w:r w:rsidRPr="00FF756A">
              <w:rPr>
                <w:sz w:val="16"/>
                <w:szCs w:val="16"/>
              </w:rPr>
              <w:t xml:space="preserve"> 9,1 </w:t>
            </w:r>
          </w:p>
        </w:tc>
        <w:tc>
          <w:tcPr>
            <w:tcW w:w="917" w:type="dxa"/>
            <w:tcBorders>
              <w:top w:val="nil"/>
              <w:left w:val="nil"/>
              <w:bottom w:val="single" w:sz="8" w:space="0" w:color="FFFFFF"/>
              <w:right w:val="single" w:sz="8" w:space="0" w:color="FFFFFF"/>
            </w:tcBorders>
            <w:shd w:val="clear" w:color="000000" w:fill="DBE5F1"/>
            <w:noWrap/>
            <w:hideMark/>
          </w:tcPr>
          <w:p w14:paraId="3A6EED4C" w14:textId="77777777" w:rsidR="00B86FB3" w:rsidRPr="00FF756A" w:rsidRDefault="00B86FB3" w:rsidP="00B86FB3">
            <w:pPr>
              <w:jc w:val="right"/>
              <w:rPr>
                <w:rFonts w:eastAsia="Times New Roman"/>
                <w:color w:val="000000"/>
                <w:sz w:val="16"/>
                <w:szCs w:val="16"/>
              </w:rPr>
            </w:pPr>
            <w:r w:rsidRPr="00FF756A">
              <w:rPr>
                <w:sz w:val="16"/>
                <w:szCs w:val="16"/>
              </w:rPr>
              <w:t xml:space="preserve"> 9,1 </w:t>
            </w:r>
          </w:p>
        </w:tc>
        <w:tc>
          <w:tcPr>
            <w:tcW w:w="917" w:type="dxa"/>
            <w:tcBorders>
              <w:top w:val="nil"/>
              <w:left w:val="nil"/>
              <w:bottom w:val="single" w:sz="8" w:space="0" w:color="FFFFFF"/>
              <w:right w:val="single" w:sz="8" w:space="0" w:color="FFFFFF"/>
            </w:tcBorders>
            <w:shd w:val="clear" w:color="000000" w:fill="DBE5F1"/>
            <w:noWrap/>
            <w:hideMark/>
          </w:tcPr>
          <w:p w14:paraId="4C9250FA" w14:textId="77777777" w:rsidR="00B86FB3" w:rsidRPr="00FF756A" w:rsidRDefault="00B86FB3" w:rsidP="00B86FB3">
            <w:pPr>
              <w:jc w:val="right"/>
              <w:rPr>
                <w:rFonts w:eastAsia="Times New Roman"/>
                <w:color w:val="000000"/>
                <w:sz w:val="16"/>
                <w:szCs w:val="16"/>
              </w:rPr>
            </w:pPr>
            <w:r w:rsidRPr="00FF756A">
              <w:rPr>
                <w:sz w:val="16"/>
                <w:szCs w:val="16"/>
              </w:rPr>
              <w:t xml:space="preserve"> 9,6 </w:t>
            </w:r>
          </w:p>
        </w:tc>
        <w:tc>
          <w:tcPr>
            <w:tcW w:w="917" w:type="dxa"/>
            <w:tcBorders>
              <w:top w:val="nil"/>
              <w:left w:val="nil"/>
              <w:bottom w:val="single" w:sz="8" w:space="0" w:color="FFFFFF"/>
              <w:right w:val="single" w:sz="8" w:space="0" w:color="FFFFFF"/>
            </w:tcBorders>
            <w:shd w:val="clear" w:color="000000" w:fill="DBE5F1"/>
            <w:noWrap/>
            <w:hideMark/>
          </w:tcPr>
          <w:p w14:paraId="243974E4" w14:textId="77777777" w:rsidR="00B86FB3" w:rsidRPr="00FF756A" w:rsidRDefault="00B86FB3" w:rsidP="00B86FB3">
            <w:pPr>
              <w:jc w:val="right"/>
              <w:rPr>
                <w:rFonts w:eastAsia="Times New Roman"/>
                <w:color w:val="000000"/>
                <w:sz w:val="16"/>
                <w:szCs w:val="16"/>
              </w:rPr>
            </w:pPr>
            <w:r w:rsidRPr="00FF756A">
              <w:rPr>
                <w:sz w:val="16"/>
                <w:szCs w:val="16"/>
              </w:rPr>
              <w:t xml:space="preserve"> 10,5 </w:t>
            </w:r>
          </w:p>
        </w:tc>
        <w:tc>
          <w:tcPr>
            <w:tcW w:w="917" w:type="dxa"/>
            <w:tcBorders>
              <w:top w:val="nil"/>
              <w:left w:val="nil"/>
              <w:bottom w:val="single" w:sz="8" w:space="0" w:color="FFFFFF"/>
              <w:right w:val="single" w:sz="8" w:space="0" w:color="FFFFFF"/>
            </w:tcBorders>
            <w:shd w:val="clear" w:color="000000" w:fill="DBE5F1"/>
            <w:noWrap/>
            <w:hideMark/>
          </w:tcPr>
          <w:p w14:paraId="4B462226" w14:textId="77777777" w:rsidR="00B86FB3" w:rsidRPr="00FF756A" w:rsidRDefault="00B86FB3" w:rsidP="00B86FB3">
            <w:pPr>
              <w:jc w:val="right"/>
              <w:rPr>
                <w:rFonts w:eastAsia="Times New Roman"/>
                <w:color w:val="000000"/>
                <w:sz w:val="16"/>
                <w:szCs w:val="16"/>
              </w:rPr>
            </w:pPr>
            <w:r w:rsidRPr="00FF756A">
              <w:rPr>
                <w:sz w:val="16"/>
                <w:szCs w:val="16"/>
              </w:rPr>
              <w:t xml:space="preserve"> 11,6 </w:t>
            </w:r>
          </w:p>
        </w:tc>
        <w:tc>
          <w:tcPr>
            <w:tcW w:w="918" w:type="dxa"/>
            <w:tcBorders>
              <w:top w:val="nil"/>
              <w:left w:val="nil"/>
              <w:bottom w:val="single" w:sz="8" w:space="0" w:color="FFFFFF"/>
              <w:right w:val="single" w:sz="8" w:space="0" w:color="FFFFFF"/>
            </w:tcBorders>
            <w:shd w:val="clear" w:color="000000" w:fill="DBE5F1"/>
            <w:noWrap/>
            <w:hideMark/>
          </w:tcPr>
          <w:p w14:paraId="5C98E50B" w14:textId="77777777" w:rsidR="00B86FB3" w:rsidRPr="00FF756A" w:rsidRDefault="00B86FB3" w:rsidP="00B86FB3">
            <w:pPr>
              <w:jc w:val="right"/>
              <w:rPr>
                <w:rFonts w:eastAsia="Times New Roman"/>
                <w:color w:val="000000"/>
                <w:sz w:val="16"/>
                <w:szCs w:val="16"/>
              </w:rPr>
            </w:pPr>
            <w:r w:rsidRPr="00FF756A">
              <w:rPr>
                <w:sz w:val="16"/>
                <w:szCs w:val="16"/>
              </w:rPr>
              <w:t xml:space="preserve"> 15,7 </w:t>
            </w:r>
          </w:p>
        </w:tc>
        <w:tc>
          <w:tcPr>
            <w:tcW w:w="918" w:type="dxa"/>
            <w:tcBorders>
              <w:top w:val="nil"/>
              <w:left w:val="nil"/>
              <w:bottom w:val="single" w:sz="8" w:space="0" w:color="FFFFFF"/>
              <w:right w:val="single" w:sz="8" w:space="0" w:color="FFFFFF"/>
            </w:tcBorders>
            <w:shd w:val="clear" w:color="000000" w:fill="DBE5F1"/>
          </w:tcPr>
          <w:p w14:paraId="7097BDA5" w14:textId="77777777" w:rsidR="00B86FB3" w:rsidRPr="00FF756A" w:rsidRDefault="00B86FB3" w:rsidP="00B86FB3">
            <w:pPr>
              <w:jc w:val="right"/>
              <w:rPr>
                <w:rFonts w:eastAsia="Times New Roman"/>
                <w:color w:val="000000"/>
                <w:sz w:val="16"/>
                <w:szCs w:val="16"/>
              </w:rPr>
            </w:pPr>
            <w:r w:rsidRPr="00FF756A">
              <w:rPr>
                <w:sz w:val="16"/>
                <w:szCs w:val="16"/>
              </w:rPr>
              <w:t xml:space="preserve"> 24,3 </w:t>
            </w:r>
          </w:p>
        </w:tc>
      </w:tr>
      <w:tr w:rsidR="00B86FB3" w:rsidRPr="00FF756A" w14:paraId="41636567"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012F1E48" w14:textId="77777777" w:rsidR="00B86FB3" w:rsidRPr="00FF756A" w:rsidRDefault="00B86FB3" w:rsidP="00B86FB3">
            <w:pPr>
              <w:rPr>
                <w:rFonts w:eastAsia="Times New Roman"/>
                <w:b/>
                <w:bCs/>
                <w:color w:val="FFFFFF"/>
                <w:sz w:val="16"/>
                <w:szCs w:val="16"/>
              </w:rPr>
            </w:pPr>
            <w:r w:rsidRPr="00FF756A">
              <w:rPr>
                <w:b/>
                <w:bCs/>
                <w:color w:val="FFFFFF"/>
                <w:sz w:val="16"/>
                <w:szCs w:val="16"/>
              </w:rPr>
              <w:t>Shtypshkrimi</w:t>
            </w:r>
          </w:p>
        </w:tc>
        <w:tc>
          <w:tcPr>
            <w:tcW w:w="917" w:type="dxa"/>
            <w:tcBorders>
              <w:top w:val="nil"/>
              <w:left w:val="nil"/>
              <w:bottom w:val="single" w:sz="8" w:space="0" w:color="FFFFFF"/>
              <w:right w:val="single" w:sz="8" w:space="0" w:color="FFFFFF"/>
            </w:tcBorders>
            <w:shd w:val="clear" w:color="000000" w:fill="B8CCE4"/>
            <w:noWrap/>
            <w:hideMark/>
          </w:tcPr>
          <w:p w14:paraId="07A95254" w14:textId="77777777" w:rsidR="00B86FB3" w:rsidRPr="00FF756A" w:rsidRDefault="00B86FB3" w:rsidP="00B86FB3">
            <w:pPr>
              <w:jc w:val="right"/>
              <w:rPr>
                <w:rFonts w:eastAsia="Times New Roman"/>
                <w:color w:val="000000"/>
                <w:sz w:val="16"/>
                <w:szCs w:val="16"/>
              </w:rPr>
            </w:pPr>
            <w:r w:rsidRPr="00FF756A">
              <w:rPr>
                <w:sz w:val="16"/>
                <w:szCs w:val="16"/>
              </w:rPr>
              <w:t xml:space="preserve"> 4,3 </w:t>
            </w:r>
          </w:p>
        </w:tc>
        <w:tc>
          <w:tcPr>
            <w:tcW w:w="917" w:type="dxa"/>
            <w:tcBorders>
              <w:top w:val="nil"/>
              <w:left w:val="nil"/>
              <w:bottom w:val="single" w:sz="8" w:space="0" w:color="FFFFFF"/>
              <w:right w:val="single" w:sz="8" w:space="0" w:color="FFFFFF"/>
            </w:tcBorders>
            <w:shd w:val="clear" w:color="000000" w:fill="B8CCE4"/>
            <w:noWrap/>
            <w:hideMark/>
          </w:tcPr>
          <w:p w14:paraId="05C80D67" w14:textId="77777777" w:rsidR="00B86FB3" w:rsidRPr="00FF756A" w:rsidRDefault="00B86FB3" w:rsidP="00B86FB3">
            <w:pPr>
              <w:jc w:val="right"/>
              <w:rPr>
                <w:rFonts w:eastAsia="Times New Roman"/>
                <w:color w:val="000000"/>
                <w:sz w:val="16"/>
                <w:szCs w:val="16"/>
              </w:rPr>
            </w:pPr>
            <w:r w:rsidRPr="00FF756A">
              <w:rPr>
                <w:sz w:val="16"/>
                <w:szCs w:val="16"/>
              </w:rPr>
              <w:t xml:space="preserve"> 8,5 </w:t>
            </w:r>
          </w:p>
        </w:tc>
        <w:tc>
          <w:tcPr>
            <w:tcW w:w="917" w:type="dxa"/>
            <w:tcBorders>
              <w:top w:val="nil"/>
              <w:left w:val="nil"/>
              <w:bottom w:val="single" w:sz="8" w:space="0" w:color="FFFFFF"/>
              <w:right w:val="single" w:sz="8" w:space="0" w:color="FFFFFF"/>
            </w:tcBorders>
            <w:shd w:val="clear" w:color="000000" w:fill="B8CCE4"/>
            <w:noWrap/>
            <w:hideMark/>
          </w:tcPr>
          <w:p w14:paraId="66B6DFD3" w14:textId="77777777" w:rsidR="00B86FB3" w:rsidRPr="00FF756A" w:rsidRDefault="00B86FB3" w:rsidP="00B86FB3">
            <w:pPr>
              <w:jc w:val="right"/>
              <w:rPr>
                <w:rFonts w:eastAsia="Times New Roman"/>
                <w:color w:val="000000"/>
                <w:sz w:val="16"/>
                <w:szCs w:val="16"/>
              </w:rPr>
            </w:pPr>
            <w:r w:rsidRPr="00FF756A">
              <w:rPr>
                <w:sz w:val="16"/>
                <w:szCs w:val="16"/>
              </w:rPr>
              <w:t xml:space="preserve"> 8,5 </w:t>
            </w:r>
          </w:p>
        </w:tc>
        <w:tc>
          <w:tcPr>
            <w:tcW w:w="917" w:type="dxa"/>
            <w:tcBorders>
              <w:top w:val="nil"/>
              <w:left w:val="nil"/>
              <w:bottom w:val="single" w:sz="8" w:space="0" w:color="FFFFFF"/>
              <w:right w:val="single" w:sz="8" w:space="0" w:color="FFFFFF"/>
            </w:tcBorders>
            <w:shd w:val="clear" w:color="000000" w:fill="B8CCE4"/>
            <w:noWrap/>
            <w:hideMark/>
          </w:tcPr>
          <w:p w14:paraId="10B59B14" w14:textId="77777777" w:rsidR="00B86FB3" w:rsidRPr="00FF756A" w:rsidRDefault="00B86FB3" w:rsidP="00B86FB3">
            <w:pPr>
              <w:jc w:val="right"/>
              <w:rPr>
                <w:rFonts w:eastAsia="Times New Roman"/>
                <w:color w:val="000000"/>
                <w:sz w:val="16"/>
                <w:szCs w:val="16"/>
              </w:rPr>
            </w:pPr>
            <w:r w:rsidRPr="00FF756A">
              <w:rPr>
                <w:sz w:val="16"/>
                <w:szCs w:val="16"/>
              </w:rPr>
              <w:t xml:space="preserve"> 8,9 </w:t>
            </w:r>
          </w:p>
        </w:tc>
        <w:tc>
          <w:tcPr>
            <w:tcW w:w="917" w:type="dxa"/>
            <w:tcBorders>
              <w:top w:val="nil"/>
              <w:left w:val="nil"/>
              <w:bottom w:val="single" w:sz="8" w:space="0" w:color="FFFFFF"/>
              <w:right w:val="single" w:sz="8" w:space="0" w:color="FFFFFF"/>
            </w:tcBorders>
            <w:shd w:val="clear" w:color="000000" w:fill="B8CCE4"/>
            <w:noWrap/>
            <w:hideMark/>
          </w:tcPr>
          <w:p w14:paraId="220AFBF9" w14:textId="77777777" w:rsidR="00B86FB3" w:rsidRPr="00FF756A" w:rsidRDefault="00B86FB3" w:rsidP="00B86FB3">
            <w:pPr>
              <w:jc w:val="right"/>
              <w:rPr>
                <w:rFonts w:eastAsia="Times New Roman"/>
                <w:color w:val="000000"/>
                <w:sz w:val="16"/>
                <w:szCs w:val="16"/>
              </w:rPr>
            </w:pPr>
            <w:r w:rsidRPr="00FF756A">
              <w:rPr>
                <w:sz w:val="16"/>
                <w:szCs w:val="16"/>
              </w:rPr>
              <w:t xml:space="preserve"> 9,7 </w:t>
            </w:r>
          </w:p>
        </w:tc>
        <w:tc>
          <w:tcPr>
            <w:tcW w:w="917" w:type="dxa"/>
            <w:tcBorders>
              <w:top w:val="nil"/>
              <w:left w:val="nil"/>
              <w:bottom w:val="single" w:sz="8" w:space="0" w:color="FFFFFF"/>
              <w:right w:val="single" w:sz="8" w:space="0" w:color="FFFFFF"/>
            </w:tcBorders>
            <w:shd w:val="clear" w:color="000000" w:fill="B8CCE4"/>
            <w:noWrap/>
            <w:hideMark/>
          </w:tcPr>
          <w:p w14:paraId="1A7151A8" w14:textId="77777777" w:rsidR="00B86FB3" w:rsidRPr="00FF756A" w:rsidRDefault="00B86FB3" w:rsidP="00B86FB3">
            <w:pPr>
              <w:jc w:val="right"/>
              <w:rPr>
                <w:rFonts w:eastAsia="Times New Roman"/>
                <w:color w:val="000000"/>
                <w:sz w:val="16"/>
                <w:szCs w:val="16"/>
              </w:rPr>
            </w:pPr>
            <w:r w:rsidRPr="00FF756A">
              <w:rPr>
                <w:sz w:val="16"/>
                <w:szCs w:val="16"/>
              </w:rPr>
              <w:t xml:space="preserve"> 11,1 </w:t>
            </w:r>
          </w:p>
        </w:tc>
        <w:tc>
          <w:tcPr>
            <w:tcW w:w="918" w:type="dxa"/>
            <w:tcBorders>
              <w:top w:val="nil"/>
              <w:left w:val="nil"/>
              <w:bottom w:val="single" w:sz="8" w:space="0" w:color="FFFFFF"/>
              <w:right w:val="single" w:sz="8" w:space="0" w:color="FFFFFF"/>
            </w:tcBorders>
            <w:shd w:val="clear" w:color="000000" w:fill="B8CCE4"/>
            <w:noWrap/>
            <w:hideMark/>
          </w:tcPr>
          <w:p w14:paraId="0856577A" w14:textId="77777777" w:rsidR="00B86FB3" w:rsidRPr="00FF756A" w:rsidRDefault="00B86FB3" w:rsidP="00B86FB3">
            <w:pPr>
              <w:jc w:val="right"/>
              <w:rPr>
                <w:rFonts w:eastAsia="Times New Roman"/>
                <w:color w:val="000000"/>
                <w:sz w:val="16"/>
                <w:szCs w:val="16"/>
              </w:rPr>
            </w:pPr>
            <w:r w:rsidRPr="00FF756A">
              <w:rPr>
                <w:sz w:val="16"/>
                <w:szCs w:val="16"/>
              </w:rPr>
              <w:t xml:space="preserve"> 15,8 </w:t>
            </w:r>
          </w:p>
        </w:tc>
        <w:tc>
          <w:tcPr>
            <w:tcW w:w="918" w:type="dxa"/>
            <w:tcBorders>
              <w:top w:val="nil"/>
              <w:left w:val="nil"/>
              <w:bottom w:val="single" w:sz="8" w:space="0" w:color="FFFFFF"/>
              <w:right w:val="single" w:sz="8" w:space="0" w:color="FFFFFF"/>
            </w:tcBorders>
            <w:shd w:val="clear" w:color="000000" w:fill="B8CCE4"/>
          </w:tcPr>
          <w:p w14:paraId="736694B2" w14:textId="77777777" w:rsidR="00B86FB3" w:rsidRPr="00FF756A" w:rsidRDefault="00B86FB3" w:rsidP="00B86FB3">
            <w:pPr>
              <w:jc w:val="right"/>
              <w:rPr>
                <w:rFonts w:eastAsia="Times New Roman"/>
                <w:color w:val="000000"/>
                <w:sz w:val="16"/>
                <w:szCs w:val="16"/>
              </w:rPr>
            </w:pPr>
            <w:r w:rsidRPr="00FF756A">
              <w:rPr>
                <w:sz w:val="16"/>
                <w:szCs w:val="16"/>
              </w:rPr>
              <w:t xml:space="preserve"> 24,4 </w:t>
            </w:r>
          </w:p>
        </w:tc>
      </w:tr>
      <w:tr w:rsidR="00B86FB3" w:rsidRPr="00FF756A" w14:paraId="290A6E25"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1D35FA42" w14:textId="77777777" w:rsidR="00B86FB3" w:rsidRPr="00FF756A" w:rsidRDefault="00B86FB3" w:rsidP="00B86FB3">
            <w:pPr>
              <w:rPr>
                <w:rFonts w:eastAsia="Times New Roman"/>
                <w:b/>
                <w:bCs/>
                <w:color w:val="FFFFFF"/>
                <w:sz w:val="16"/>
                <w:szCs w:val="16"/>
              </w:rPr>
            </w:pPr>
            <w:r w:rsidRPr="00FF756A">
              <w:rPr>
                <w:b/>
                <w:bCs/>
                <w:color w:val="FFFFFF"/>
                <w:sz w:val="16"/>
                <w:szCs w:val="16"/>
              </w:rPr>
              <w:t>Inxhinieria Metale të tjera</w:t>
            </w:r>
          </w:p>
        </w:tc>
        <w:tc>
          <w:tcPr>
            <w:tcW w:w="917" w:type="dxa"/>
            <w:tcBorders>
              <w:top w:val="nil"/>
              <w:left w:val="nil"/>
              <w:bottom w:val="single" w:sz="8" w:space="0" w:color="FFFFFF"/>
              <w:right w:val="single" w:sz="8" w:space="0" w:color="FFFFFF"/>
            </w:tcBorders>
            <w:shd w:val="clear" w:color="000000" w:fill="DBE5F1"/>
            <w:noWrap/>
            <w:hideMark/>
          </w:tcPr>
          <w:p w14:paraId="3ACE87A6" w14:textId="77777777" w:rsidR="00B86FB3" w:rsidRPr="00FF756A" w:rsidRDefault="00B86FB3" w:rsidP="00B86FB3">
            <w:pPr>
              <w:jc w:val="right"/>
              <w:rPr>
                <w:rFonts w:eastAsia="Times New Roman"/>
                <w:color w:val="000000"/>
                <w:sz w:val="16"/>
                <w:szCs w:val="16"/>
              </w:rPr>
            </w:pPr>
            <w:r w:rsidRPr="00FF756A">
              <w:rPr>
                <w:sz w:val="16"/>
                <w:szCs w:val="16"/>
              </w:rPr>
              <w:t xml:space="preserve"> 6,7 </w:t>
            </w:r>
          </w:p>
        </w:tc>
        <w:tc>
          <w:tcPr>
            <w:tcW w:w="917" w:type="dxa"/>
            <w:tcBorders>
              <w:top w:val="nil"/>
              <w:left w:val="nil"/>
              <w:bottom w:val="single" w:sz="8" w:space="0" w:color="FFFFFF"/>
              <w:right w:val="single" w:sz="8" w:space="0" w:color="FFFFFF"/>
            </w:tcBorders>
            <w:shd w:val="clear" w:color="000000" w:fill="DBE5F1"/>
            <w:noWrap/>
            <w:hideMark/>
          </w:tcPr>
          <w:p w14:paraId="2036C4B2" w14:textId="77777777" w:rsidR="00B86FB3" w:rsidRPr="00FF756A" w:rsidRDefault="00B86FB3" w:rsidP="00B86FB3">
            <w:pPr>
              <w:jc w:val="right"/>
              <w:rPr>
                <w:rFonts w:eastAsia="Times New Roman"/>
                <w:color w:val="000000"/>
                <w:sz w:val="16"/>
                <w:szCs w:val="16"/>
              </w:rPr>
            </w:pPr>
            <w:r w:rsidRPr="00FF756A">
              <w:rPr>
                <w:sz w:val="16"/>
                <w:szCs w:val="16"/>
              </w:rPr>
              <w:t xml:space="preserve"> 7,1 </w:t>
            </w:r>
          </w:p>
        </w:tc>
        <w:tc>
          <w:tcPr>
            <w:tcW w:w="917" w:type="dxa"/>
            <w:tcBorders>
              <w:top w:val="nil"/>
              <w:left w:val="nil"/>
              <w:bottom w:val="single" w:sz="8" w:space="0" w:color="FFFFFF"/>
              <w:right w:val="single" w:sz="8" w:space="0" w:color="FFFFFF"/>
            </w:tcBorders>
            <w:shd w:val="clear" w:color="000000" w:fill="DBE5F1"/>
            <w:noWrap/>
            <w:hideMark/>
          </w:tcPr>
          <w:p w14:paraId="7024AEE3" w14:textId="77777777" w:rsidR="00B86FB3" w:rsidRPr="00FF756A" w:rsidRDefault="00B86FB3" w:rsidP="00B86FB3">
            <w:pPr>
              <w:jc w:val="right"/>
              <w:rPr>
                <w:rFonts w:eastAsia="Times New Roman"/>
                <w:color w:val="000000"/>
                <w:sz w:val="16"/>
                <w:szCs w:val="16"/>
              </w:rPr>
            </w:pPr>
            <w:r w:rsidRPr="00FF756A">
              <w:rPr>
                <w:sz w:val="16"/>
                <w:szCs w:val="16"/>
              </w:rPr>
              <w:t xml:space="preserve"> 7,1 </w:t>
            </w:r>
          </w:p>
        </w:tc>
        <w:tc>
          <w:tcPr>
            <w:tcW w:w="917" w:type="dxa"/>
            <w:tcBorders>
              <w:top w:val="nil"/>
              <w:left w:val="nil"/>
              <w:bottom w:val="single" w:sz="8" w:space="0" w:color="FFFFFF"/>
              <w:right w:val="single" w:sz="8" w:space="0" w:color="FFFFFF"/>
            </w:tcBorders>
            <w:shd w:val="clear" w:color="000000" w:fill="DBE5F1"/>
            <w:noWrap/>
            <w:hideMark/>
          </w:tcPr>
          <w:p w14:paraId="4A562C95" w14:textId="77777777" w:rsidR="00B86FB3" w:rsidRPr="00FF756A" w:rsidRDefault="00B86FB3" w:rsidP="00B86FB3">
            <w:pPr>
              <w:jc w:val="right"/>
              <w:rPr>
                <w:rFonts w:eastAsia="Times New Roman"/>
                <w:color w:val="000000"/>
                <w:sz w:val="16"/>
                <w:szCs w:val="16"/>
              </w:rPr>
            </w:pPr>
            <w:r w:rsidRPr="00FF756A">
              <w:rPr>
                <w:sz w:val="16"/>
                <w:szCs w:val="16"/>
              </w:rPr>
              <w:t xml:space="preserve"> 7,5 </w:t>
            </w:r>
          </w:p>
        </w:tc>
        <w:tc>
          <w:tcPr>
            <w:tcW w:w="917" w:type="dxa"/>
            <w:tcBorders>
              <w:top w:val="nil"/>
              <w:left w:val="nil"/>
              <w:bottom w:val="single" w:sz="8" w:space="0" w:color="FFFFFF"/>
              <w:right w:val="single" w:sz="8" w:space="0" w:color="FFFFFF"/>
            </w:tcBorders>
            <w:shd w:val="clear" w:color="000000" w:fill="DBE5F1"/>
            <w:noWrap/>
            <w:hideMark/>
          </w:tcPr>
          <w:p w14:paraId="66F91C2E" w14:textId="77777777" w:rsidR="00B86FB3" w:rsidRPr="00FF756A" w:rsidRDefault="00B86FB3" w:rsidP="00B86FB3">
            <w:pPr>
              <w:jc w:val="right"/>
              <w:rPr>
                <w:rFonts w:eastAsia="Times New Roman"/>
                <w:color w:val="000000"/>
                <w:sz w:val="16"/>
                <w:szCs w:val="16"/>
              </w:rPr>
            </w:pPr>
            <w:r w:rsidRPr="00FF756A">
              <w:rPr>
                <w:sz w:val="16"/>
                <w:szCs w:val="16"/>
              </w:rPr>
              <w:t xml:space="preserve"> 8,1 </w:t>
            </w:r>
          </w:p>
        </w:tc>
        <w:tc>
          <w:tcPr>
            <w:tcW w:w="917" w:type="dxa"/>
            <w:tcBorders>
              <w:top w:val="nil"/>
              <w:left w:val="nil"/>
              <w:bottom w:val="single" w:sz="8" w:space="0" w:color="FFFFFF"/>
              <w:right w:val="single" w:sz="8" w:space="0" w:color="FFFFFF"/>
            </w:tcBorders>
            <w:shd w:val="clear" w:color="000000" w:fill="DBE5F1"/>
            <w:noWrap/>
            <w:hideMark/>
          </w:tcPr>
          <w:p w14:paraId="7DBAF88F" w14:textId="77777777" w:rsidR="00B86FB3" w:rsidRPr="00FF756A" w:rsidRDefault="00B86FB3" w:rsidP="00B86FB3">
            <w:pPr>
              <w:jc w:val="right"/>
              <w:rPr>
                <w:rFonts w:eastAsia="Times New Roman"/>
                <w:color w:val="000000"/>
                <w:sz w:val="16"/>
                <w:szCs w:val="16"/>
              </w:rPr>
            </w:pPr>
            <w:r w:rsidRPr="00FF756A">
              <w:rPr>
                <w:sz w:val="16"/>
                <w:szCs w:val="16"/>
              </w:rPr>
              <w:t xml:space="preserve"> 10,1 </w:t>
            </w:r>
          </w:p>
        </w:tc>
        <w:tc>
          <w:tcPr>
            <w:tcW w:w="918" w:type="dxa"/>
            <w:tcBorders>
              <w:top w:val="nil"/>
              <w:left w:val="nil"/>
              <w:bottom w:val="single" w:sz="8" w:space="0" w:color="FFFFFF"/>
              <w:right w:val="single" w:sz="8" w:space="0" w:color="FFFFFF"/>
            </w:tcBorders>
            <w:shd w:val="clear" w:color="000000" w:fill="DBE5F1"/>
            <w:noWrap/>
            <w:hideMark/>
          </w:tcPr>
          <w:p w14:paraId="08DE7CB7" w14:textId="77777777" w:rsidR="00B86FB3" w:rsidRPr="00FF756A" w:rsidRDefault="00B86FB3" w:rsidP="00B86FB3">
            <w:pPr>
              <w:jc w:val="right"/>
              <w:rPr>
                <w:rFonts w:eastAsia="Times New Roman"/>
                <w:color w:val="000000"/>
                <w:sz w:val="16"/>
                <w:szCs w:val="16"/>
              </w:rPr>
            </w:pPr>
            <w:r w:rsidRPr="00FF756A">
              <w:rPr>
                <w:sz w:val="16"/>
                <w:szCs w:val="16"/>
              </w:rPr>
              <w:t xml:space="preserve"> 15,6 </w:t>
            </w:r>
          </w:p>
        </w:tc>
        <w:tc>
          <w:tcPr>
            <w:tcW w:w="918" w:type="dxa"/>
            <w:tcBorders>
              <w:top w:val="nil"/>
              <w:left w:val="nil"/>
              <w:bottom w:val="single" w:sz="8" w:space="0" w:color="FFFFFF"/>
              <w:right w:val="single" w:sz="8" w:space="0" w:color="FFFFFF"/>
            </w:tcBorders>
            <w:shd w:val="clear" w:color="000000" w:fill="DBE5F1"/>
          </w:tcPr>
          <w:p w14:paraId="5A632835" w14:textId="77777777" w:rsidR="00B86FB3" w:rsidRPr="00FF756A" w:rsidRDefault="00B86FB3" w:rsidP="00B86FB3">
            <w:pPr>
              <w:jc w:val="right"/>
              <w:rPr>
                <w:rFonts w:eastAsia="Times New Roman"/>
                <w:color w:val="000000"/>
                <w:sz w:val="16"/>
                <w:szCs w:val="16"/>
              </w:rPr>
            </w:pPr>
            <w:r w:rsidRPr="00FF756A">
              <w:rPr>
                <w:sz w:val="16"/>
                <w:szCs w:val="16"/>
              </w:rPr>
              <w:t xml:space="preserve"> 24,1 </w:t>
            </w:r>
          </w:p>
        </w:tc>
      </w:tr>
      <w:tr w:rsidR="00B86FB3" w:rsidRPr="00FF756A" w14:paraId="32AE14CA"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103042B5" w14:textId="77777777" w:rsidR="00B86FB3" w:rsidRPr="00FF756A" w:rsidRDefault="00B86FB3" w:rsidP="00B86FB3">
            <w:pPr>
              <w:rPr>
                <w:rFonts w:eastAsia="Times New Roman"/>
                <w:b/>
                <w:bCs/>
                <w:color w:val="FFFFFF"/>
                <w:sz w:val="16"/>
                <w:szCs w:val="16"/>
              </w:rPr>
            </w:pPr>
            <w:r w:rsidRPr="00FF756A">
              <w:rPr>
                <w:b/>
                <w:bCs/>
                <w:color w:val="FFFFFF"/>
                <w:sz w:val="16"/>
                <w:szCs w:val="16"/>
              </w:rPr>
              <w:t>Tjetër</w:t>
            </w:r>
          </w:p>
        </w:tc>
        <w:tc>
          <w:tcPr>
            <w:tcW w:w="917" w:type="dxa"/>
            <w:tcBorders>
              <w:top w:val="nil"/>
              <w:left w:val="nil"/>
              <w:bottom w:val="single" w:sz="8" w:space="0" w:color="FFFFFF"/>
              <w:right w:val="single" w:sz="8" w:space="0" w:color="FFFFFF"/>
            </w:tcBorders>
            <w:shd w:val="clear" w:color="000000" w:fill="B8CCE4"/>
            <w:noWrap/>
            <w:hideMark/>
          </w:tcPr>
          <w:p w14:paraId="267BD540" w14:textId="77777777" w:rsidR="00B86FB3" w:rsidRPr="00FF756A" w:rsidRDefault="00B86FB3" w:rsidP="00B86FB3">
            <w:pPr>
              <w:jc w:val="right"/>
              <w:rPr>
                <w:rFonts w:eastAsia="Times New Roman"/>
                <w:color w:val="000000"/>
                <w:sz w:val="16"/>
                <w:szCs w:val="16"/>
              </w:rPr>
            </w:pPr>
            <w:r w:rsidRPr="00FF756A">
              <w:rPr>
                <w:sz w:val="16"/>
                <w:szCs w:val="16"/>
              </w:rPr>
              <w:t xml:space="preserve"> 76,4 </w:t>
            </w:r>
          </w:p>
        </w:tc>
        <w:tc>
          <w:tcPr>
            <w:tcW w:w="917" w:type="dxa"/>
            <w:tcBorders>
              <w:top w:val="nil"/>
              <w:left w:val="nil"/>
              <w:bottom w:val="single" w:sz="8" w:space="0" w:color="FFFFFF"/>
              <w:right w:val="single" w:sz="8" w:space="0" w:color="FFFFFF"/>
            </w:tcBorders>
            <w:shd w:val="clear" w:color="000000" w:fill="B8CCE4"/>
            <w:noWrap/>
            <w:hideMark/>
          </w:tcPr>
          <w:p w14:paraId="77B0B444" w14:textId="77777777" w:rsidR="00B86FB3" w:rsidRPr="00FF756A" w:rsidRDefault="00B86FB3" w:rsidP="00B86FB3">
            <w:pPr>
              <w:jc w:val="right"/>
              <w:rPr>
                <w:rFonts w:eastAsia="Times New Roman"/>
                <w:color w:val="000000"/>
                <w:sz w:val="16"/>
                <w:szCs w:val="16"/>
              </w:rPr>
            </w:pPr>
            <w:r w:rsidRPr="00FF756A">
              <w:rPr>
                <w:sz w:val="16"/>
                <w:szCs w:val="16"/>
              </w:rPr>
              <w:t xml:space="preserve"> 66,6 </w:t>
            </w:r>
          </w:p>
        </w:tc>
        <w:tc>
          <w:tcPr>
            <w:tcW w:w="917" w:type="dxa"/>
            <w:tcBorders>
              <w:top w:val="nil"/>
              <w:left w:val="nil"/>
              <w:bottom w:val="single" w:sz="8" w:space="0" w:color="FFFFFF"/>
              <w:right w:val="single" w:sz="8" w:space="0" w:color="FFFFFF"/>
            </w:tcBorders>
            <w:shd w:val="clear" w:color="000000" w:fill="B8CCE4"/>
            <w:noWrap/>
            <w:hideMark/>
          </w:tcPr>
          <w:p w14:paraId="51008180" w14:textId="77777777" w:rsidR="00B86FB3" w:rsidRPr="00FF756A" w:rsidRDefault="00B86FB3" w:rsidP="00B86FB3">
            <w:pPr>
              <w:jc w:val="right"/>
              <w:rPr>
                <w:rFonts w:eastAsia="Times New Roman"/>
                <w:color w:val="000000"/>
                <w:sz w:val="16"/>
                <w:szCs w:val="16"/>
              </w:rPr>
            </w:pPr>
            <w:r w:rsidRPr="00FF756A">
              <w:rPr>
                <w:sz w:val="16"/>
                <w:szCs w:val="16"/>
              </w:rPr>
              <w:t xml:space="preserve"> 66,6 </w:t>
            </w:r>
          </w:p>
        </w:tc>
        <w:tc>
          <w:tcPr>
            <w:tcW w:w="917" w:type="dxa"/>
            <w:tcBorders>
              <w:top w:val="nil"/>
              <w:left w:val="nil"/>
              <w:bottom w:val="single" w:sz="8" w:space="0" w:color="FFFFFF"/>
              <w:right w:val="single" w:sz="8" w:space="0" w:color="FFFFFF"/>
            </w:tcBorders>
            <w:shd w:val="clear" w:color="000000" w:fill="B8CCE4"/>
            <w:noWrap/>
            <w:hideMark/>
          </w:tcPr>
          <w:p w14:paraId="1B74DB73" w14:textId="77777777" w:rsidR="00B86FB3" w:rsidRPr="00FF756A" w:rsidRDefault="00B86FB3" w:rsidP="00B86FB3">
            <w:pPr>
              <w:jc w:val="right"/>
              <w:rPr>
                <w:rFonts w:eastAsia="Times New Roman"/>
                <w:color w:val="000000"/>
                <w:sz w:val="16"/>
                <w:szCs w:val="16"/>
              </w:rPr>
            </w:pPr>
            <w:r w:rsidRPr="00FF756A">
              <w:rPr>
                <w:sz w:val="16"/>
                <w:szCs w:val="16"/>
              </w:rPr>
              <w:t xml:space="preserve"> 69,7 </w:t>
            </w:r>
          </w:p>
        </w:tc>
        <w:tc>
          <w:tcPr>
            <w:tcW w:w="917" w:type="dxa"/>
            <w:tcBorders>
              <w:top w:val="nil"/>
              <w:left w:val="nil"/>
              <w:bottom w:val="single" w:sz="8" w:space="0" w:color="FFFFFF"/>
              <w:right w:val="single" w:sz="8" w:space="0" w:color="FFFFFF"/>
            </w:tcBorders>
            <w:shd w:val="clear" w:color="000000" w:fill="B8CCE4"/>
            <w:noWrap/>
            <w:hideMark/>
          </w:tcPr>
          <w:p w14:paraId="6D139D59" w14:textId="77777777" w:rsidR="00B86FB3" w:rsidRPr="00FF756A" w:rsidRDefault="00B86FB3" w:rsidP="00B86FB3">
            <w:pPr>
              <w:jc w:val="right"/>
              <w:rPr>
                <w:rFonts w:eastAsia="Times New Roman"/>
                <w:color w:val="000000"/>
                <w:sz w:val="16"/>
                <w:szCs w:val="16"/>
              </w:rPr>
            </w:pPr>
            <w:r w:rsidRPr="00FF756A">
              <w:rPr>
                <w:sz w:val="16"/>
                <w:szCs w:val="16"/>
              </w:rPr>
              <w:t xml:space="preserve"> 76,2 </w:t>
            </w:r>
          </w:p>
        </w:tc>
        <w:tc>
          <w:tcPr>
            <w:tcW w:w="917" w:type="dxa"/>
            <w:tcBorders>
              <w:top w:val="nil"/>
              <w:left w:val="nil"/>
              <w:bottom w:val="single" w:sz="8" w:space="0" w:color="FFFFFF"/>
              <w:right w:val="single" w:sz="8" w:space="0" w:color="FFFFFF"/>
            </w:tcBorders>
            <w:shd w:val="clear" w:color="000000" w:fill="B8CCE4"/>
            <w:noWrap/>
            <w:hideMark/>
          </w:tcPr>
          <w:p w14:paraId="24883F9E" w14:textId="77777777" w:rsidR="00B86FB3" w:rsidRPr="00FF756A" w:rsidRDefault="00B86FB3" w:rsidP="00B86FB3">
            <w:pPr>
              <w:jc w:val="right"/>
              <w:rPr>
                <w:rFonts w:eastAsia="Times New Roman"/>
                <w:color w:val="000000"/>
                <w:sz w:val="16"/>
                <w:szCs w:val="16"/>
              </w:rPr>
            </w:pPr>
            <w:r w:rsidRPr="00FF756A">
              <w:rPr>
                <w:sz w:val="16"/>
                <w:szCs w:val="16"/>
              </w:rPr>
              <w:t xml:space="preserve"> 71,4 </w:t>
            </w:r>
          </w:p>
        </w:tc>
        <w:tc>
          <w:tcPr>
            <w:tcW w:w="918" w:type="dxa"/>
            <w:tcBorders>
              <w:top w:val="nil"/>
              <w:left w:val="nil"/>
              <w:bottom w:val="single" w:sz="8" w:space="0" w:color="FFFFFF"/>
              <w:right w:val="single" w:sz="8" w:space="0" w:color="FFFFFF"/>
            </w:tcBorders>
            <w:shd w:val="clear" w:color="000000" w:fill="B8CCE4"/>
            <w:noWrap/>
            <w:hideMark/>
          </w:tcPr>
          <w:p w14:paraId="19FD539D" w14:textId="77777777" w:rsidR="00B86FB3" w:rsidRPr="00FF756A" w:rsidRDefault="00B86FB3" w:rsidP="00B86FB3">
            <w:pPr>
              <w:jc w:val="right"/>
              <w:rPr>
                <w:rFonts w:eastAsia="Times New Roman"/>
                <w:color w:val="000000"/>
                <w:sz w:val="16"/>
                <w:szCs w:val="16"/>
              </w:rPr>
            </w:pPr>
            <w:r w:rsidRPr="00FF756A">
              <w:rPr>
                <w:sz w:val="16"/>
                <w:szCs w:val="16"/>
              </w:rPr>
              <w:t xml:space="preserve"> 74,4 </w:t>
            </w:r>
          </w:p>
        </w:tc>
        <w:tc>
          <w:tcPr>
            <w:tcW w:w="918" w:type="dxa"/>
            <w:tcBorders>
              <w:top w:val="nil"/>
              <w:left w:val="nil"/>
              <w:bottom w:val="single" w:sz="8" w:space="0" w:color="FFFFFF"/>
              <w:right w:val="single" w:sz="8" w:space="0" w:color="FFFFFF"/>
            </w:tcBorders>
            <w:shd w:val="clear" w:color="000000" w:fill="B8CCE4"/>
          </w:tcPr>
          <w:p w14:paraId="267D5EE4" w14:textId="77777777" w:rsidR="00B86FB3" w:rsidRPr="00FF756A" w:rsidRDefault="00B86FB3" w:rsidP="00B86FB3">
            <w:pPr>
              <w:jc w:val="right"/>
              <w:rPr>
                <w:rFonts w:eastAsia="Times New Roman"/>
                <w:color w:val="000000"/>
                <w:sz w:val="16"/>
                <w:szCs w:val="16"/>
              </w:rPr>
            </w:pPr>
            <w:r w:rsidRPr="00FF756A">
              <w:rPr>
                <w:sz w:val="16"/>
                <w:szCs w:val="16"/>
              </w:rPr>
              <w:t xml:space="preserve"> 114,7 </w:t>
            </w:r>
          </w:p>
        </w:tc>
      </w:tr>
      <w:tr w:rsidR="00B86FB3" w:rsidRPr="00FF756A" w14:paraId="5489962E"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5B60598E" w14:textId="77777777" w:rsidR="00B86FB3" w:rsidRPr="00FF756A" w:rsidRDefault="00B86FB3" w:rsidP="00B86FB3">
            <w:pPr>
              <w:rPr>
                <w:rFonts w:eastAsia="Times New Roman"/>
                <w:b/>
                <w:bCs/>
                <w:color w:val="FFFFFF"/>
                <w:sz w:val="16"/>
                <w:szCs w:val="16"/>
              </w:rPr>
            </w:pPr>
            <w:r w:rsidRPr="00FF756A">
              <w:rPr>
                <w:b/>
                <w:bCs/>
                <w:color w:val="FFFFFF"/>
                <w:sz w:val="16"/>
                <w:szCs w:val="16"/>
              </w:rPr>
              <w:t>Totali</w:t>
            </w:r>
          </w:p>
        </w:tc>
        <w:tc>
          <w:tcPr>
            <w:tcW w:w="917" w:type="dxa"/>
            <w:tcBorders>
              <w:top w:val="nil"/>
              <w:left w:val="nil"/>
              <w:bottom w:val="single" w:sz="8" w:space="0" w:color="FFFFFF"/>
              <w:right w:val="single" w:sz="8" w:space="0" w:color="FFFFFF"/>
            </w:tcBorders>
            <w:shd w:val="clear" w:color="000000" w:fill="4F81BD"/>
            <w:noWrap/>
            <w:hideMark/>
          </w:tcPr>
          <w:p w14:paraId="1A588411"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923,3 </w:t>
            </w:r>
          </w:p>
        </w:tc>
        <w:tc>
          <w:tcPr>
            <w:tcW w:w="917" w:type="dxa"/>
            <w:tcBorders>
              <w:top w:val="nil"/>
              <w:left w:val="nil"/>
              <w:bottom w:val="single" w:sz="8" w:space="0" w:color="FFFFFF"/>
              <w:right w:val="single" w:sz="8" w:space="0" w:color="FFFFFF"/>
            </w:tcBorders>
            <w:shd w:val="clear" w:color="000000" w:fill="4F81BD"/>
            <w:noWrap/>
            <w:hideMark/>
          </w:tcPr>
          <w:p w14:paraId="50CF2DBB"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1 186,1 </w:t>
            </w:r>
          </w:p>
        </w:tc>
        <w:tc>
          <w:tcPr>
            <w:tcW w:w="917" w:type="dxa"/>
            <w:tcBorders>
              <w:top w:val="nil"/>
              <w:left w:val="nil"/>
              <w:bottom w:val="single" w:sz="8" w:space="0" w:color="FFFFFF"/>
              <w:right w:val="single" w:sz="8" w:space="0" w:color="FFFFFF"/>
            </w:tcBorders>
            <w:shd w:val="clear" w:color="000000" w:fill="4F81BD"/>
            <w:noWrap/>
            <w:hideMark/>
          </w:tcPr>
          <w:p w14:paraId="371A498F"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1 169,8 </w:t>
            </w:r>
          </w:p>
        </w:tc>
        <w:tc>
          <w:tcPr>
            <w:tcW w:w="917" w:type="dxa"/>
            <w:tcBorders>
              <w:top w:val="nil"/>
              <w:left w:val="nil"/>
              <w:bottom w:val="single" w:sz="8" w:space="0" w:color="FFFFFF"/>
              <w:right w:val="single" w:sz="8" w:space="0" w:color="FFFFFF"/>
            </w:tcBorders>
            <w:shd w:val="clear" w:color="000000" w:fill="4F81BD"/>
            <w:noWrap/>
            <w:hideMark/>
          </w:tcPr>
          <w:p w14:paraId="0684B8A3"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1 196,2 </w:t>
            </w:r>
          </w:p>
        </w:tc>
        <w:tc>
          <w:tcPr>
            <w:tcW w:w="917" w:type="dxa"/>
            <w:tcBorders>
              <w:top w:val="nil"/>
              <w:left w:val="nil"/>
              <w:bottom w:val="single" w:sz="8" w:space="0" w:color="FFFFFF"/>
              <w:right w:val="single" w:sz="8" w:space="0" w:color="FFFFFF"/>
            </w:tcBorders>
            <w:shd w:val="clear" w:color="000000" w:fill="4F81BD"/>
            <w:noWrap/>
            <w:hideMark/>
          </w:tcPr>
          <w:p w14:paraId="2CABF5D8"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1 248,2 </w:t>
            </w:r>
          </w:p>
        </w:tc>
        <w:tc>
          <w:tcPr>
            <w:tcW w:w="917" w:type="dxa"/>
            <w:tcBorders>
              <w:top w:val="nil"/>
              <w:left w:val="nil"/>
              <w:bottom w:val="single" w:sz="8" w:space="0" w:color="FFFFFF"/>
              <w:right w:val="single" w:sz="8" w:space="0" w:color="FFFFFF"/>
            </w:tcBorders>
            <w:shd w:val="clear" w:color="000000" w:fill="4F81BD"/>
            <w:noWrap/>
            <w:hideMark/>
          </w:tcPr>
          <w:p w14:paraId="5C0334E3"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1 233,6 </w:t>
            </w:r>
          </w:p>
        </w:tc>
        <w:tc>
          <w:tcPr>
            <w:tcW w:w="918" w:type="dxa"/>
            <w:tcBorders>
              <w:top w:val="nil"/>
              <w:left w:val="nil"/>
              <w:bottom w:val="single" w:sz="8" w:space="0" w:color="FFFFFF"/>
              <w:right w:val="single" w:sz="8" w:space="0" w:color="FFFFFF"/>
            </w:tcBorders>
            <w:shd w:val="clear" w:color="000000" w:fill="4F81BD"/>
            <w:noWrap/>
            <w:hideMark/>
          </w:tcPr>
          <w:p w14:paraId="0210C501"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1 005,7 </w:t>
            </w:r>
          </w:p>
        </w:tc>
        <w:tc>
          <w:tcPr>
            <w:tcW w:w="918" w:type="dxa"/>
            <w:tcBorders>
              <w:top w:val="nil"/>
              <w:left w:val="nil"/>
              <w:bottom w:val="single" w:sz="8" w:space="0" w:color="FFFFFF"/>
              <w:right w:val="single" w:sz="8" w:space="0" w:color="FFFFFF"/>
            </w:tcBorders>
            <w:shd w:val="clear" w:color="000000" w:fill="4F81BD"/>
          </w:tcPr>
          <w:p w14:paraId="5862775A"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776,7 </w:t>
            </w:r>
          </w:p>
        </w:tc>
      </w:tr>
      <w:tr w:rsidR="00B86FB3" w:rsidRPr="00FF756A" w14:paraId="410113F5" w14:textId="77777777" w:rsidTr="006A3266">
        <w:trPr>
          <w:trHeight w:val="293"/>
        </w:trPr>
        <w:tc>
          <w:tcPr>
            <w:tcW w:w="9170" w:type="dxa"/>
            <w:gridSpan w:val="9"/>
            <w:tcBorders>
              <w:top w:val="single" w:sz="8" w:space="0" w:color="FFFFFF"/>
              <w:left w:val="single" w:sz="8" w:space="0" w:color="FFFFFF"/>
              <w:bottom w:val="single" w:sz="8" w:space="0" w:color="FFFFFF"/>
              <w:right w:val="single" w:sz="8" w:space="0" w:color="FFFFFF"/>
            </w:tcBorders>
            <w:shd w:val="clear" w:color="000000" w:fill="4F81BD"/>
            <w:noWrap/>
            <w:vAlign w:val="center"/>
            <w:hideMark/>
          </w:tcPr>
          <w:p w14:paraId="3D53556D" w14:textId="77777777" w:rsidR="00B86FB3" w:rsidRPr="00FF756A" w:rsidRDefault="00B86FB3" w:rsidP="00B86FB3">
            <w:pPr>
              <w:rPr>
                <w:rFonts w:eastAsia="Times New Roman"/>
                <w:b/>
                <w:bCs/>
                <w:color w:val="FFFFFF"/>
                <w:sz w:val="16"/>
                <w:szCs w:val="16"/>
              </w:rPr>
            </w:pPr>
            <w:r w:rsidRPr="00FF756A">
              <w:rPr>
                <w:b/>
                <w:bCs/>
                <w:color w:val="FFFFFF"/>
                <w:sz w:val="16"/>
                <w:szCs w:val="16"/>
              </w:rPr>
              <w:t>Transporti</w:t>
            </w:r>
          </w:p>
        </w:tc>
      </w:tr>
      <w:tr w:rsidR="00B86FB3" w:rsidRPr="00FF756A" w14:paraId="0DA06FE2"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61678448" w14:textId="77777777" w:rsidR="00B86FB3" w:rsidRPr="00FF756A" w:rsidRDefault="00B86FB3" w:rsidP="00B86FB3">
            <w:pPr>
              <w:rPr>
                <w:rFonts w:eastAsia="Times New Roman"/>
                <w:b/>
                <w:bCs/>
                <w:color w:val="FFFFFF"/>
                <w:sz w:val="16"/>
                <w:szCs w:val="16"/>
              </w:rPr>
            </w:pPr>
            <w:r w:rsidRPr="00FF756A">
              <w:rPr>
                <w:b/>
                <w:bCs/>
                <w:color w:val="FFFFFF"/>
                <w:sz w:val="16"/>
                <w:szCs w:val="16"/>
              </w:rPr>
              <w:t>Pasagjerë</w:t>
            </w:r>
          </w:p>
        </w:tc>
        <w:tc>
          <w:tcPr>
            <w:tcW w:w="917" w:type="dxa"/>
            <w:tcBorders>
              <w:top w:val="nil"/>
              <w:left w:val="nil"/>
              <w:bottom w:val="single" w:sz="8" w:space="0" w:color="FFFFFF"/>
              <w:right w:val="single" w:sz="8" w:space="0" w:color="FFFFFF"/>
            </w:tcBorders>
            <w:shd w:val="clear" w:color="000000" w:fill="DBE5F1"/>
            <w:noWrap/>
            <w:hideMark/>
          </w:tcPr>
          <w:p w14:paraId="5B4A95AC" w14:textId="77777777" w:rsidR="00B86FB3" w:rsidRPr="00FF756A" w:rsidRDefault="00B86FB3" w:rsidP="00B86FB3">
            <w:pPr>
              <w:jc w:val="right"/>
              <w:rPr>
                <w:rFonts w:eastAsia="Times New Roman"/>
                <w:color w:val="000000"/>
                <w:sz w:val="16"/>
                <w:szCs w:val="16"/>
              </w:rPr>
            </w:pPr>
            <w:r w:rsidRPr="00FF756A">
              <w:rPr>
                <w:sz w:val="16"/>
                <w:szCs w:val="16"/>
              </w:rPr>
              <w:t xml:space="preserve"> 1 468,8 </w:t>
            </w:r>
          </w:p>
        </w:tc>
        <w:tc>
          <w:tcPr>
            <w:tcW w:w="917" w:type="dxa"/>
            <w:tcBorders>
              <w:top w:val="nil"/>
              <w:left w:val="nil"/>
              <w:bottom w:val="single" w:sz="8" w:space="0" w:color="FFFFFF"/>
              <w:right w:val="single" w:sz="8" w:space="0" w:color="FFFFFF"/>
            </w:tcBorders>
            <w:shd w:val="clear" w:color="000000" w:fill="DBE5F1"/>
            <w:noWrap/>
            <w:hideMark/>
          </w:tcPr>
          <w:p w14:paraId="575CC751" w14:textId="77777777" w:rsidR="00B86FB3" w:rsidRPr="00FF756A" w:rsidRDefault="00B86FB3" w:rsidP="00B86FB3">
            <w:pPr>
              <w:jc w:val="right"/>
              <w:rPr>
                <w:rFonts w:eastAsia="Times New Roman"/>
                <w:color w:val="000000"/>
                <w:sz w:val="16"/>
                <w:szCs w:val="16"/>
              </w:rPr>
            </w:pPr>
            <w:r w:rsidRPr="00FF756A">
              <w:rPr>
                <w:sz w:val="16"/>
                <w:szCs w:val="16"/>
              </w:rPr>
              <w:t xml:space="preserve"> 1 555,7 </w:t>
            </w:r>
          </w:p>
        </w:tc>
        <w:tc>
          <w:tcPr>
            <w:tcW w:w="917" w:type="dxa"/>
            <w:tcBorders>
              <w:top w:val="nil"/>
              <w:left w:val="nil"/>
              <w:bottom w:val="single" w:sz="8" w:space="0" w:color="FFFFFF"/>
              <w:right w:val="single" w:sz="8" w:space="0" w:color="FFFFFF"/>
            </w:tcBorders>
            <w:shd w:val="clear" w:color="000000" w:fill="DBE5F1"/>
            <w:noWrap/>
            <w:hideMark/>
          </w:tcPr>
          <w:p w14:paraId="1D57547B" w14:textId="77777777" w:rsidR="00B86FB3" w:rsidRPr="00FF756A" w:rsidRDefault="00B86FB3" w:rsidP="00B86FB3">
            <w:pPr>
              <w:jc w:val="right"/>
              <w:rPr>
                <w:rFonts w:eastAsia="Times New Roman"/>
                <w:color w:val="000000"/>
                <w:sz w:val="16"/>
                <w:szCs w:val="16"/>
              </w:rPr>
            </w:pPr>
            <w:r w:rsidRPr="00FF756A">
              <w:rPr>
                <w:sz w:val="16"/>
                <w:szCs w:val="16"/>
              </w:rPr>
              <w:t xml:space="preserve"> 1 637,4 </w:t>
            </w:r>
          </w:p>
        </w:tc>
        <w:tc>
          <w:tcPr>
            <w:tcW w:w="917" w:type="dxa"/>
            <w:tcBorders>
              <w:top w:val="nil"/>
              <w:left w:val="nil"/>
              <w:bottom w:val="single" w:sz="8" w:space="0" w:color="FFFFFF"/>
              <w:right w:val="single" w:sz="8" w:space="0" w:color="FFFFFF"/>
            </w:tcBorders>
            <w:shd w:val="clear" w:color="000000" w:fill="DBE5F1"/>
            <w:noWrap/>
            <w:hideMark/>
          </w:tcPr>
          <w:p w14:paraId="3A50B54C" w14:textId="77777777" w:rsidR="00B86FB3" w:rsidRPr="00FF756A" w:rsidRDefault="00B86FB3" w:rsidP="00B86FB3">
            <w:pPr>
              <w:jc w:val="right"/>
              <w:rPr>
                <w:rFonts w:eastAsia="Times New Roman"/>
                <w:color w:val="000000"/>
                <w:sz w:val="16"/>
                <w:szCs w:val="16"/>
              </w:rPr>
            </w:pPr>
            <w:r w:rsidRPr="00FF756A">
              <w:rPr>
                <w:sz w:val="16"/>
                <w:szCs w:val="16"/>
              </w:rPr>
              <w:t xml:space="preserve"> 1 522,6 </w:t>
            </w:r>
          </w:p>
        </w:tc>
        <w:tc>
          <w:tcPr>
            <w:tcW w:w="917" w:type="dxa"/>
            <w:tcBorders>
              <w:top w:val="nil"/>
              <w:left w:val="nil"/>
              <w:bottom w:val="single" w:sz="8" w:space="0" w:color="FFFFFF"/>
              <w:right w:val="single" w:sz="8" w:space="0" w:color="FFFFFF"/>
            </w:tcBorders>
            <w:shd w:val="clear" w:color="000000" w:fill="DBE5F1"/>
            <w:noWrap/>
            <w:hideMark/>
          </w:tcPr>
          <w:p w14:paraId="4547EA71" w14:textId="77777777" w:rsidR="00B86FB3" w:rsidRPr="00FF756A" w:rsidRDefault="00B86FB3" w:rsidP="00B86FB3">
            <w:pPr>
              <w:jc w:val="right"/>
              <w:rPr>
                <w:rFonts w:eastAsia="Times New Roman"/>
                <w:color w:val="000000"/>
                <w:sz w:val="16"/>
                <w:szCs w:val="16"/>
              </w:rPr>
            </w:pPr>
            <w:r w:rsidRPr="00FF756A">
              <w:rPr>
                <w:sz w:val="16"/>
                <w:szCs w:val="16"/>
              </w:rPr>
              <w:t xml:space="preserve"> 1 475,0 </w:t>
            </w:r>
          </w:p>
        </w:tc>
        <w:tc>
          <w:tcPr>
            <w:tcW w:w="917" w:type="dxa"/>
            <w:tcBorders>
              <w:top w:val="nil"/>
              <w:left w:val="nil"/>
              <w:bottom w:val="single" w:sz="8" w:space="0" w:color="FFFFFF"/>
              <w:right w:val="single" w:sz="8" w:space="0" w:color="FFFFFF"/>
            </w:tcBorders>
            <w:shd w:val="clear" w:color="000000" w:fill="DBE5F1"/>
            <w:noWrap/>
            <w:hideMark/>
          </w:tcPr>
          <w:p w14:paraId="72F9D5FA" w14:textId="77777777" w:rsidR="00B86FB3" w:rsidRPr="00FF756A" w:rsidRDefault="00B86FB3" w:rsidP="00B86FB3">
            <w:pPr>
              <w:jc w:val="right"/>
              <w:rPr>
                <w:rFonts w:eastAsia="Times New Roman"/>
                <w:color w:val="000000"/>
                <w:sz w:val="16"/>
                <w:szCs w:val="16"/>
              </w:rPr>
            </w:pPr>
            <w:r w:rsidRPr="00FF756A">
              <w:rPr>
                <w:sz w:val="16"/>
                <w:szCs w:val="16"/>
              </w:rPr>
              <w:t xml:space="preserve"> 1 417,9 </w:t>
            </w:r>
          </w:p>
        </w:tc>
        <w:tc>
          <w:tcPr>
            <w:tcW w:w="918" w:type="dxa"/>
            <w:tcBorders>
              <w:top w:val="nil"/>
              <w:left w:val="nil"/>
              <w:bottom w:val="single" w:sz="8" w:space="0" w:color="FFFFFF"/>
              <w:right w:val="single" w:sz="8" w:space="0" w:color="FFFFFF"/>
            </w:tcBorders>
            <w:shd w:val="clear" w:color="000000" w:fill="DBE5F1"/>
            <w:noWrap/>
            <w:hideMark/>
          </w:tcPr>
          <w:p w14:paraId="7592CB5B" w14:textId="77777777" w:rsidR="00B86FB3" w:rsidRPr="00FF756A" w:rsidRDefault="00B86FB3" w:rsidP="00B86FB3">
            <w:pPr>
              <w:jc w:val="right"/>
              <w:rPr>
                <w:rFonts w:eastAsia="Times New Roman"/>
                <w:color w:val="000000"/>
                <w:sz w:val="16"/>
                <w:szCs w:val="16"/>
              </w:rPr>
            </w:pPr>
            <w:r w:rsidRPr="00FF756A">
              <w:rPr>
                <w:sz w:val="16"/>
                <w:szCs w:val="16"/>
              </w:rPr>
              <w:t xml:space="preserve"> 993,4 </w:t>
            </w:r>
          </w:p>
        </w:tc>
        <w:tc>
          <w:tcPr>
            <w:tcW w:w="918" w:type="dxa"/>
            <w:tcBorders>
              <w:top w:val="nil"/>
              <w:left w:val="nil"/>
              <w:bottom w:val="single" w:sz="8" w:space="0" w:color="FFFFFF"/>
              <w:right w:val="single" w:sz="8" w:space="0" w:color="FFFFFF"/>
            </w:tcBorders>
            <w:shd w:val="clear" w:color="000000" w:fill="DBE5F1"/>
          </w:tcPr>
          <w:p w14:paraId="1B9065DC" w14:textId="77777777" w:rsidR="00B86FB3" w:rsidRPr="00FF756A" w:rsidRDefault="00B86FB3" w:rsidP="00B86FB3">
            <w:pPr>
              <w:jc w:val="right"/>
              <w:rPr>
                <w:rFonts w:eastAsia="Times New Roman"/>
                <w:color w:val="000000"/>
                <w:sz w:val="16"/>
                <w:szCs w:val="16"/>
              </w:rPr>
            </w:pPr>
            <w:r w:rsidRPr="00FF756A">
              <w:rPr>
                <w:sz w:val="16"/>
                <w:szCs w:val="16"/>
              </w:rPr>
              <w:t xml:space="preserve"> 363,2 </w:t>
            </w:r>
          </w:p>
        </w:tc>
      </w:tr>
      <w:tr w:rsidR="00B86FB3" w:rsidRPr="00FF756A" w14:paraId="4520B879"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5EF0E51A" w14:textId="77777777" w:rsidR="00B86FB3" w:rsidRPr="00FF756A" w:rsidRDefault="00B86FB3" w:rsidP="00B86FB3">
            <w:pPr>
              <w:rPr>
                <w:rFonts w:eastAsia="Times New Roman"/>
                <w:b/>
                <w:bCs/>
                <w:color w:val="FFFFFF"/>
                <w:sz w:val="16"/>
                <w:szCs w:val="16"/>
              </w:rPr>
            </w:pPr>
            <w:r w:rsidRPr="00FF756A">
              <w:rPr>
                <w:b/>
                <w:bCs/>
                <w:color w:val="FFFFFF"/>
                <w:sz w:val="16"/>
                <w:szCs w:val="16"/>
              </w:rPr>
              <w:t>Transporti i mallrave</w:t>
            </w:r>
          </w:p>
        </w:tc>
        <w:tc>
          <w:tcPr>
            <w:tcW w:w="917" w:type="dxa"/>
            <w:tcBorders>
              <w:top w:val="nil"/>
              <w:left w:val="nil"/>
              <w:bottom w:val="single" w:sz="8" w:space="0" w:color="FFFFFF"/>
              <w:right w:val="single" w:sz="8" w:space="0" w:color="FFFFFF"/>
            </w:tcBorders>
            <w:shd w:val="clear" w:color="000000" w:fill="B8CCE4"/>
            <w:noWrap/>
            <w:hideMark/>
          </w:tcPr>
          <w:p w14:paraId="5A91F288" w14:textId="77777777" w:rsidR="00B86FB3" w:rsidRPr="00FF756A" w:rsidRDefault="00B86FB3" w:rsidP="00B86FB3">
            <w:pPr>
              <w:jc w:val="right"/>
              <w:rPr>
                <w:rFonts w:eastAsia="Times New Roman"/>
                <w:color w:val="000000"/>
                <w:sz w:val="16"/>
                <w:szCs w:val="16"/>
              </w:rPr>
            </w:pPr>
            <w:r w:rsidRPr="00FF756A">
              <w:rPr>
                <w:sz w:val="16"/>
                <w:szCs w:val="16"/>
              </w:rPr>
              <w:t xml:space="preserve"> 510,6 </w:t>
            </w:r>
          </w:p>
        </w:tc>
        <w:tc>
          <w:tcPr>
            <w:tcW w:w="917" w:type="dxa"/>
            <w:tcBorders>
              <w:top w:val="nil"/>
              <w:left w:val="nil"/>
              <w:bottom w:val="single" w:sz="8" w:space="0" w:color="FFFFFF"/>
              <w:right w:val="single" w:sz="8" w:space="0" w:color="FFFFFF"/>
            </w:tcBorders>
            <w:shd w:val="clear" w:color="000000" w:fill="B8CCE4"/>
            <w:noWrap/>
            <w:hideMark/>
          </w:tcPr>
          <w:p w14:paraId="2C122E50" w14:textId="77777777" w:rsidR="00B86FB3" w:rsidRPr="00FF756A" w:rsidRDefault="00B86FB3" w:rsidP="00B86FB3">
            <w:pPr>
              <w:jc w:val="right"/>
              <w:rPr>
                <w:rFonts w:eastAsia="Times New Roman"/>
                <w:color w:val="000000"/>
                <w:sz w:val="16"/>
                <w:szCs w:val="16"/>
              </w:rPr>
            </w:pPr>
            <w:r w:rsidRPr="00FF756A">
              <w:rPr>
                <w:sz w:val="16"/>
                <w:szCs w:val="16"/>
              </w:rPr>
              <w:t xml:space="preserve"> 543,6 </w:t>
            </w:r>
          </w:p>
        </w:tc>
        <w:tc>
          <w:tcPr>
            <w:tcW w:w="917" w:type="dxa"/>
            <w:tcBorders>
              <w:top w:val="nil"/>
              <w:left w:val="nil"/>
              <w:bottom w:val="single" w:sz="8" w:space="0" w:color="FFFFFF"/>
              <w:right w:val="single" w:sz="8" w:space="0" w:color="FFFFFF"/>
            </w:tcBorders>
            <w:shd w:val="clear" w:color="000000" w:fill="B8CCE4"/>
            <w:noWrap/>
            <w:hideMark/>
          </w:tcPr>
          <w:p w14:paraId="508783E9" w14:textId="77777777" w:rsidR="00B86FB3" w:rsidRPr="00FF756A" w:rsidRDefault="00B86FB3" w:rsidP="00B86FB3">
            <w:pPr>
              <w:jc w:val="right"/>
              <w:rPr>
                <w:rFonts w:eastAsia="Times New Roman"/>
                <w:color w:val="000000"/>
                <w:sz w:val="16"/>
                <w:szCs w:val="16"/>
              </w:rPr>
            </w:pPr>
            <w:r w:rsidRPr="00FF756A">
              <w:rPr>
                <w:sz w:val="16"/>
                <w:szCs w:val="16"/>
              </w:rPr>
              <w:t xml:space="preserve"> 543,3 </w:t>
            </w:r>
          </w:p>
        </w:tc>
        <w:tc>
          <w:tcPr>
            <w:tcW w:w="917" w:type="dxa"/>
            <w:tcBorders>
              <w:top w:val="nil"/>
              <w:left w:val="nil"/>
              <w:bottom w:val="single" w:sz="8" w:space="0" w:color="FFFFFF"/>
              <w:right w:val="single" w:sz="8" w:space="0" w:color="FFFFFF"/>
            </w:tcBorders>
            <w:shd w:val="clear" w:color="000000" w:fill="B8CCE4"/>
            <w:noWrap/>
            <w:hideMark/>
          </w:tcPr>
          <w:p w14:paraId="79DC5B1B" w14:textId="77777777" w:rsidR="00B86FB3" w:rsidRPr="00FF756A" w:rsidRDefault="00B86FB3" w:rsidP="00B86FB3">
            <w:pPr>
              <w:jc w:val="right"/>
              <w:rPr>
                <w:rFonts w:eastAsia="Times New Roman"/>
                <w:color w:val="000000"/>
                <w:sz w:val="16"/>
                <w:szCs w:val="16"/>
              </w:rPr>
            </w:pPr>
            <w:r w:rsidRPr="00FF756A">
              <w:rPr>
                <w:sz w:val="16"/>
                <w:szCs w:val="16"/>
              </w:rPr>
              <w:t xml:space="preserve"> 535,0 </w:t>
            </w:r>
          </w:p>
        </w:tc>
        <w:tc>
          <w:tcPr>
            <w:tcW w:w="917" w:type="dxa"/>
            <w:tcBorders>
              <w:top w:val="nil"/>
              <w:left w:val="nil"/>
              <w:bottom w:val="single" w:sz="8" w:space="0" w:color="FFFFFF"/>
              <w:right w:val="single" w:sz="8" w:space="0" w:color="FFFFFF"/>
            </w:tcBorders>
            <w:shd w:val="clear" w:color="000000" w:fill="B8CCE4"/>
            <w:noWrap/>
            <w:hideMark/>
          </w:tcPr>
          <w:p w14:paraId="15A0165E" w14:textId="77777777" w:rsidR="00B86FB3" w:rsidRPr="00FF756A" w:rsidRDefault="00B86FB3" w:rsidP="00B86FB3">
            <w:pPr>
              <w:jc w:val="right"/>
              <w:rPr>
                <w:rFonts w:eastAsia="Times New Roman"/>
                <w:color w:val="000000"/>
                <w:sz w:val="16"/>
                <w:szCs w:val="16"/>
              </w:rPr>
            </w:pPr>
            <w:r w:rsidRPr="00FF756A">
              <w:rPr>
                <w:sz w:val="16"/>
                <w:szCs w:val="16"/>
              </w:rPr>
              <w:t xml:space="preserve"> 540,5 </w:t>
            </w:r>
          </w:p>
        </w:tc>
        <w:tc>
          <w:tcPr>
            <w:tcW w:w="917" w:type="dxa"/>
            <w:tcBorders>
              <w:top w:val="nil"/>
              <w:left w:val="nil"/>
              <w:bottom w:val="single" w:sz="8" w:space="0" w:color="FFFFFF"/>
              <w:right w:val="single" w:sz="8" w:space="0" w:color="FFFFFF"/>
            </w:tcBorders>
            <w:shd w:val="clear" w:color="000000" w:fill="B8CCE4"/>
            <w:noWrap/>
            <w:hideMark/>
          </w:tcPr>
          <w:p w14:paraId="3986DBDB" w14:textId="77777777" w:rsidR="00B86FB3" w:rsidRPr="00FF756A" w:rsidRDefault="00B86FB3" w:rsidP="00B86FB3">
            <w:pPr>
              <w:jc w:val="right"/>
              <w:rPr>
                <w:rFonts w:eastAsia="Times New Roman"/>
                <w:color w:val="000000"/>
                <w:sz w:val="16"/>
                <w:szCs w:val="16"/>
              </w:rPr>
            </w:pPr>
            <w:r w:rsidRPr="00FF756A">
              <w:rPr>
                <w:sz w:val="16"/>
                <w:szCs w:val="16"/>
              </w:rPr>
              <w:t xml:space="preserve"> 607,0 </w:t>
            </w:r>
          </w:p>
        </w:tc>
        <w:tc>
          <w:tcPr>
            <w:tcW w:w="918" w:type="dxa"/>
            <w:tcBorders>
              <w:top w:val="nil"/>
              <w:left w:val="nil"/>
              <w:bottom w:val="single" w:sz="8" w:space="0" w:color="FFFFFF"/>
              <w:right w:val="single" w:sz="8" w:space="0" w:color="FFFFFF"/>
            </w:tcBorders>
            <w:shd w:val="clear" w:color="000000" w:fill="B8CCE4"/>
            <w:noWrap/>
            <w:hideMark/>
          </w:tcPr>
          <w:p w14:paraId="05AD33E2" w14:textId="77777777" w:rsidR="00B86FB3" w:rsidRPr="00FF756A" w:rsidRDefault="00B86FB3" w:rsidP="00B86FB3">
            <w:pPr>
              <w:jc w:val="right"/>
              <w:rPr>
                <w:rFonts w:eastAsia="Times New Roman"/>
                <w:color w:val="000000"/>
                <w:sz w:val="16"/>
                <w:szCs w:val="16"/>
              </w:rPr>
            </w:pPr>
            <w:r w:rsidRPr="00FF756A">
              <w:rPr>
                <w:sz w:val="16"/>
                <w:szCs w:val="16"/>
              </w:rPr>
              <w:t xml:space="preserve"> 662,6 </w:t>
            </w:r>
          </w:p>
        </w:tc>
        <w:tc>
          <w:tcPr>
            <w:tcW w:w="918" w:type="dxa"/>
            <w:tcBorders>
              <w:top w:val="nil"/>
              <w:left w:val="nil"/>
              <w:bottom w:val="single" w:sz="8" w:space="0" w:color="FFFFFF"/>
              <w:right w:val="single" w:sz="8" w:space="0" w:color="FFFFFF"/>
            </w:tcBorders>
            <w:shd w:val="clear" w:color="000000" w:fill="B8CCE4"/>
          </w:tcPr>
          <w:p w14:paraId="60AC17FA" w14:textId="77777777" w:rsidR="00B86FB3" w:rsidRPr="00FF756A" w:rsidRDefault="00B86FB3" w:rsidP="00B86FB3">
            <w:pPr>
              <w:jc w:val="right"/>
              <w:rPr>
                <w:rFonts w:eastAsia="Times New Roman"/>
                <w:color w:val="000000"/>
                <w:sz w:val="16"/>
                <w:szCs w:val="16"/>
              </w:rPr>
            </w:pPr>
            <w:r w:rsidRPr="00FF756A">
              <w:rPr>
                <w:sz w:val="16"/>
                <w:szCs w:val="16"/>
              </w:rPr>
              <w:t xml:space="preserve"> 371,6 </w:t>
            </w:r>
          </w:p>
        </w:tc>
      </w:tr>
      <w:tr w:rsidR="00B86FB3" w:rsidRPr="00FF756A" w14:paraId="249F9235"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1351CDF4" w14:textId="77777777" w:rsidR="00B86FB3" w:rsidRPr="00FF756A" w:rsidRDefault="00B86FB3" w:rsidP="00B86FB3">
            <w:pPr>
              <w:rPr>
                <w:rFonts w:eastAsia="Times New Roman"/>
                <w:b/>
                <w:bCs/>
                <w:color w:val="FFFFFF"/>
                <w:sz w:val="16"/>
                <w:szCs w:val="16"/>
              </w:rPr>
            </w:pPr>
            <w:r w:rsidRPr="00FF756A">
              <w:rPr>
                <w:b/>
                <w:bCs/>
                <w:color w:val="FFFFFF"/>
                <w:sz w:val="16"/>
                <w:szCs w:val="16"/>
              </w:rPr>
              <w:t>Totali</w:t>
            </w:r>
          </w:p>
        </w:tc>
        <w:tc>
          <w:tcPr>
            <w:tcW w:w="917" w:type="dxa"/>
            <w:tcBorders>
              <w:top w:val="nil"/>
              <w:left w:val="nil"/>
              <w:bottom w:val="single" w:sz="8" w:space="0" w:color="FFFFFF"/>
              <w:right w:val="single" w:sz="8" w:space="0" w:color="FFFFFF"/>
            </w:tcBorders>
            <w:shd w:val="clear" w:color="000000" w:fill="4F81BD"/>
            <w:noWrap/>
            <w:hideMark/>
          </w:tcPr>
          <w:p w14:paraId="4456D4DE"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1 979,4 </w:t>
            </w:r>
          </w:p>
        </w:tc>
        <w:tc>
          <w:tcPr>
            <w:tcW w:w="917" w:type="dxa"/>
            <w:tcBorders>
              <w:top w:val="nil"/>
              <w:left w:val="nil"/>
              <w:bottom w:val="single" w:sz="8" w:space="0" w:color="FFFFFF"/>
              <w:right w:val="single" w:sz="8" w:space="0" w:color="FFFFFF"/>
            </w:tcBorders>
            <w:shd w:val="clear" w:color="000000" w:fill="4F81BD"/>
            <w:noWrap/>
            <w:hideMark/>
          </w:tcPr>
          <w:p w14:paraId="52313093"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2 099,3 </w:t>
            </w:r>
          </w:p>
        </w:tc>
        <w:tc>
          <w:tcPr>
            <w:tcW w:w="917" w:type="dxa"/>
            <w:tcBorders>
              <w:top w:val="nil"/>
              <w:left w:val="nil"/>
              <w:bottom w:val="single" w:sz="8" w:space="0" w:color="FFFFFF"/>
              <w:right w:val="single" w:sz="8" w:space="0" w:color="FFFFFF"/>
            </w:tcBorders>
            <w:shd w:val="clear" w:color="000000" w:fill="4F81BD"/>
            <w:noWrap/>
            <w:hideMark/>
          </w:tcPr>
          <w:p w14:paraId="44214EC5"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2 180,7 </w:t>
            </w:r>
          </w:p>
        </w:tc>
        <w:tc>
          <w:tcPr>
            <w:tcW w:w="917" w:type="dxa"/>
            <w:tcBorders>
              <w:top w:val="nil"/>
              <w:left w:val="nil"/>
              <w:bottom w:val="single" w:sz="8" w:space="0" w:color="FFFFFF"/>
              <w:right w:val="single" w:sz="8" w:space="0" w:color="FFFFFF"/>
            </w:tcBorders>
            <w:shd w:val="clear" w:color="000000" w:fill="4F81BD"/>
            <w:noWrap/>
            <w:hideMark/>
          </w:tcPr>
          <w:p w14:paraId="4CD7AD76"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2 057,5 </w:t>
            </w:r>
          </w:p>
        </w:tc>
        <w:tc>
          <w:tcPr>
            <w:tcW w:w="917" w:type="dxa"/>
            <w:tcBorders>
              <w:top w:val="nil"/>
              <w:left w:val="nil"/>
              <w:bottom w:val="single" w:sz="8" w:space="0" w:color="FFFFFF"/>
              <w:right w:val="single" w:sz="8" w:space="0" w:color="FFFFFF"/>
            </w:tcBorders>
            <w:shd w:val="clear" w:color="000000" w:fill="4F81BD"/>
            <w:noWrap/>
            <w:hideMark/>
          </w:tcPr>
          <w:p w14:paraId="0926762A"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2 015,5 </w:t>
            </w:r>
          </w:p>
        </w:tc>
        <w:tc>
          <w:tcPr>
            <w:tcW w:w="917" w:type="dxa"/>
            <w:tcBorders>
              <w:top w:val="nil"/>
              <w:left w:val="nil"/>
              <w:bottom w:val="single" w:sz="8" w:space="0" w:color="FFFFFF"/>
              <w:right w:val="single" w:sz="8" w:space="0" w:color="FFFFFF"/>
            </w:tcBorders>
            <w:shd w:val="clear" w:color="000000" w:fill="4F81BD"/>
            <w:noWrap/>
            <w:hideMark/>
          </w:tcPr>
          <w:p w14:paraId="238FEB1F"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2 024,9 </w:t>
            </w:r>
          </w:p>
        </w:tc>
        <w:tc>
          <w:tcPr>
            <w:tcW w:w="918" w:type="dxa"/>
            <w:tcBorders>
              <w:top w:val="nil"/>
              <w:left w:val="nil"/>
              <w:bottom w:val="single" w:sz="8" w:space="0" w:color="FFFFFF"/>
              <w:right w:val="single" w:sz="8" w:space="0" w:color="FFFFFF"/>
            </w:tcBorders>
            <w:shd w:val="clear" w:color="000000" w:fill="4F81BD"/>
            <w:noWrap/>
            <w:hideMark/>
          </w:tcPr>
          <w:p w14:paraId="633BD123"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1 656,0 </w:t>
            </w:r>
          </w:p>
        </w:tc>
        <w:tc>
          <w:tcPr>
            <w:tcW w:w="918" w:type="dxa"/>
            <w:tcBorders>
              <w:top w:val="nil"/>
              <w:left w:val="nil"/>
              <w:bottom w:val="single" w:sz="8" w:space="0" w:color="FFFFFF"/>
              <w:right w:val="single" w:sz="8" w:space="0" w:color="FFFFFF"/>
            </w:tcBorders>
            <w:shd w:val="clear" w:color="000000" w:fill="4F81BD"/>
          </w:tcPr>
          <w:p w14:paraId="08D3137F"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734,8 </w:t>
            </w:r>
          </w:p>
        </w:tc>
      </w:tr>
      <w:tr w:rsidR="00B86FB3" w:rsidRPr="00FF756A" w14:paraId="001F8D18" w14:textId="77777777" w:rsidTr="006A3266">
        <w:trPr>
          <w:trHeight w:val="293"/>
        </w:trPr>
        <w:tc>
          <w:tcPr>
            <w:tcW w:w="9170" w:type="dxa"/>
            <w:gridSpan w:val="9"/>
            <w:tcBorders>
              <w:top w:val="single" w:sz="8" w:space="0" w:color="FFFFFF"/>
              <w:left w:val="single" w:sz="8" w:space="0" w:color="FFFFFF"/>
              <w:bottom w:val="single" w:sz="8" w:space="0" w:color="FFFFFF"/>
              <w:right w:val="single" w:sz="8" w:space="0" w:color="FFFFFF"/>
            </w:tcBorders>
            <w:shd w:val="clear" w:color="000000" w:fill="4F81BD"/>
            <w:noWrap/>
            <w:vAlign w:val="center"/>
            <w:hideMark/>
          </w:tcPr>
          <w:p w14:paraId="18B8AF08" w14:textId="77777777" w:rsidR="00B86FB3" w:rsidRPr="00FF756A" w:rsidRDefault="00B86FB3" w:rsidP="00B86FB3">
            <w:pPr>
              <w:rPr>
                <w:rFonts w:eastAsia="Times New Roman"/>
                <w:b/>
                <w:bCs/>
                <w:color w:val="FFFFFF"/>
                <w:sz w:val="16"/>
                <w:szCs w:val="16"/>
              </w:rPr>
            </w:pPr>
            <w:r w:rsidRPr="00FF756A">
              <w:rPr>
                <w:b/>
                <w:bCs/>
                <w:color w:val="FFFFFF"/>
                <w:sz w:val="16"/>
                <w:szCs w:val="16"/>
              </w:rPr>
              <w:t>Transformimi</w:t>
            </w:r>
          </w:p>
        </w:tc>
      </w:tr>
      <w:tr w:rsidR="00B86FB3" w:rsidRPr="00FF756A" w14:paraId="3EF13F05"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55747442" w14:textId="77777777" w:rsidR="00B86FB3" w:rsidRPr="00FF756A" w:rsidRDefault="00B86FB3" w:rsidP="00B86FB3">
            <w:pPr>
              <w:rPr>
                <w:rFonts w:eastAsia="Times New Roman"/>
                <w:b/>
                <w:bCs/>
                <w:color w:val="FFFFFF"/>
                <w:sz w:val="16"/>
                <w:szCs w:val="16"/>
              </w:rPr>
            </w:pPr>
            <w:r w:rsidRPr="00FF756A">
              <w:rPr>
                <w:b/>
                <w:bCs/>
                <w:color w:val="FFFFFF"/>
                <w:sz w:val="16"/>
                <w:szCs w:val="16"/>
              </w:rPr>
              <w:t>Prodhimi i energjisë elektrike</w:t>
            </w:r>
          </w:p>
        </w:tc>
        <w:tc>
          <w:tcPr>
            <w:tcW w:w="917" w:type="dxa"/>
            <w:tcBorders>
              <w:top w:val="nil"/>
              <w:left w:val="nil"/>
              <w:bottom w:val="single" w:sz="8" w:space="0" w:color="FFFFFF"/>
              <w:right w:val="single" w:sz="8" w:space="0" w:color="FFFFFF"/>
            </w:tcBorders>
            <w:shd w:val="clear" w:color="000000" w:fill="DBE5F1"/>
            <w:noWrap/>
            <w:hideMark/>
          </w:tcPr>
          <w:p w14:paraId="6F9CFE10"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7" w:type="dxa"/>
            <w:tcBorders>
              <w:top w:val="nil"/>
              <w:left w:val="nil"/>
              <w:bottom w:val="single" w:sz="8" w:space="0" w:color="FFFFFF"/>
              <w:right w:val="single" w:sz="8" w:space="0" w:color="FFFFFF"/>
            </w:tcBorders>
            <w:shd w:val="clear" w:color="000000" w:fill="DBE5F1"/>
            <w:noWrap/>
            <w:hideMark/>
          </w:tcPr>
          <w:p w14:paraId="74CB9E3A"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7" w:type="dxa"/>
            <w:tcBorders>
              <w:top w:val="nil"/>
              <w:left w:val="nil"/>
              <w:bottom w:val="single" w:sz="8" w:space="0" w:color="FFFFFF"/>
              <w:right w:val="single" w:sz="8" w:space="0" w:color="FFFFFF"/>
            </w:tcBorders>
            <w:shd w:val="clear" w:color="000000" w:fill="DBE5F1"/>
            <w:noWrap/>
            <w:hideMark/>
          </w:tcPr>
          <w:p w14:paraId="4281FEFF"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7" w:type="dxa"/>
            <w:tcBorders>
              <w:top w:val="nil"/>
              <w:left w:val="nil"/>
              <w:bottom w:val="single" w:sz="8" w:space="0" w:color="FFFFFF"/>
              <w:right w:val="single" w:sz="8" w:space="0" w:color="FFFFFF"/>
            </w:tcBorders>
            <w:shd w:val="clear" w:color="000000" w:fill="DBE5F1"/>
            <w:noWrap/>
            <w:hideMark/>
          </w:tcPr>
          <w:p w14:paraId="10205415"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7" w:type="dxa"/>
            <w:tcBorders>
              <w:top w:val="nil"/>
              <w:left w:val="nil"/>
              <w:bottom w:val="single" w:sz="8" w:space="0" w:color="FFFFFF"/>
              <w:right w:val="single" w:sz="8" w:space="0" w:color="FFFFFF"/>
            </w:tcBorders>
            <w:shd w:val="clear" w:color="000000" w:fill="DBE5F1"/>
            <w:noWrap/>
            <w:hideMark/>
          </w:tcPr>
          <w:p w14:paraId="43465C21"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7" w:type="dxa"/>
            <w:tcBorders>
              <w:top w:val="nil"/>
              <w:left w:val="nil"/>
              <w:bottom w:val="single" w:sz="8" w:space="0" w:color="FFFFFF"/>
              <w:right w:val="single" w:sz="8" w:space="0" w:color="FFFFFF"/>
            </w:tcBorders>
            <w:shd w:val="clear" w:color="000000" w:fill="DBE5F1"/>
            <w:noWrap/>
            <w:hideMark/>
          </w:tcPr>
          <w:p w14:paraId="7D494829"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8" w:type="dxa"/>
            <w:tcBorders>
              <w:top w:val="nil"/>
              <w:left w:val="nil"/>
              <w:bottom w:val="single" w:sz="8" w:space="0" w:color="FFFFFF"/>
              <w:right w:val="single" w:sz="8" w:space="0" w:color="FFFFFF"/>
            </w:tcBorders>
            <w:shd w:val="clear" w:color="000000" w:fill="DBE5F1"/>
            <w:noWrap/>
            <w:hideMark/>
          </w:tcPr>
          <w:p w14:paraId="7F62357E" w14:textId="77777777" w:rsidR="00B86FB3" w:rsidRPr="00FF756A" w:rsidRDefault="00B86FB3" w:rsidP="00B86FB3">
            <w:pPr>
              <w:jc w:val="right"/>
              <w:rPr>
                <w:rFonts w:eastAsia="Times New Roman"/>
                <w:color w:val="000000"/>
                <w:sz w:val="16"/>
                <w:szCs w:val="16"/>
              </w:rPr>
            </w:pPr>
            <w:r w:rsidRPr="00FF756A">
              <w:rPr>
                <w:sz w:val="16"/>
                <w:szCs w:val="16"/>
              </w:rPr>
              <w:t xml:space="preserve"> 75,3 </w:t>
            </w:r>
          </w:p>
        </w:tc>
        <w:tc>
          <w:tcPr>
            <w:tcW w:w="918" w:type="dxa"/>
            <w:tcBorders>
              <w:top w:val="nil"/>
              <w:left w:val="nil"/>
              <w:bottom w:val="single" w:sz="8" w:space="0" w:color="FFFFFF"/>
              <w:right w:val="single" w:sz="8" w:space="0" w:color="FFFFFF"/>
            </w:tcBorders>
            <w:shd w:val="clear" w:color="000000" w:fill="DBE5F1"/>
          </w:tcPr>
          <w:p w14:paraId="75AB127D" w14:textId="77777777" w:rsidR="00B86FB3" w:rsidRPr="00FF756A" w:rsidRDefault="00B86FB3" w:rsidP="00B86FB3">
            <w:pPr>
              <w:jc w:val="right"/>
              <w:rPr>
                <w:rFonts w:eastAsia="Times New Roman"/>
                <w:color w:val="000000"/>
                <w:sz w:val="16"/>
                <w:szCs w:val="16"/>
              </w:rPr>
            </w:pPr>
            <w:r w:rsidRPr="00FF756A">
              <w:rPr>
                <w:sz w:val="16"/>
                <w:szCs w:val="16"/>
              </w:rPr>
              <w:t xml:space="preserve"> 611,0 </w:t>
            </w:r>
          </w:p>
        </w:tc>
      </w:tr>
      <w:tr w:rsidR="00B86FB3" w:rsidRPr="00FF756A" w14:paraId="682ED351"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480B752A" w14:textId="77777777" w:rsidR="00B86FB3" w:rsidRPr="00FF756A" w:rsidRDefault="00B86FB3" w:rsidP="00B86FB3">
            <w:pPr>
              <w:rPr>
                <w:rFonts w:eastAsia="Times New Roman"/>
                <w:b/>
                <w:bCs/>
                <w:color w:val="FFFFFF"/>
                <w:sz w:val="16"/>
                <w:szCs w:val="16"/>
              </w:rPr>
            </w:pPr>
            <w:r w:rsidRPr="00FF756A">
              <w:rPr>
                <w:b/>
                <w:bCs/>
                <w:color w:val="FFFFFF"/>
                <w:sz w:val="16"/>
                <w:szCs w:val="16"/>
              </w:rPr>
              <w:t>Rafinimi i naftës</w:t>
            </w:r>
          </w:p>
        </w:tc>
        <w:tc>
          <w:tcPr>
            <w:tcW w:w="917" w:type="dxa"/>
            <w:tcBorders>
              <w:top w:val="nil"/>
              <w:left w:val="nil"/>
              <w:bottom w:val="single" w:sz="8" w:space="0" w:color="FFFFFF"/>
              <w:right w:val="single" w:sz="8" w:space="0" w:color="FFFFFF"/>
            </w:tcBorders>
            <w:shd w:val="clear" w:color="000000" w:fill="B8CCE4"/>
            <w:noWrap/>
            <w:hideMark/>
          </w:tcPr>
          <w:p w14:paraId="7A9A97A2" w14:textId="77777777" w:rsidR="00B86FB3" w:rsidRPr="00FF756A" w:rsidRDefault="00B86FB3" w:rsidP="00B86FB3">
            <w:pPr>
              <w:jc w:val="right"/>
              <w:rPr>
                <w:rFonts w:eastAsia="Times New Roman"/>
                <w:color w:val="000000"/>
                <w:sz w:val="16"/>
                <w:szCs w:val="16"/>
              </w:rPr>
            </w:pPr>
            <w:r w:rsidRPr="00FF756A">
              <w:rPr>
                <w:sz w:val="16"/>
                <w:szCs w:val="16"/>
              </w:rPr>
              <w:t xml:space="preserve"> 47,4 </w:t>
            </w:r>
          </w:p>
        </w:tc>
        <w:tc>
          <w:tcPr>
            <w:tcW w:w="917" w:type="dxa"/>
            <w:tcBorders>
              <w:top w:val="nil"/>
              <w:left w:val="nil"/>
              <w:bottom w:val="single" w:sz="8" w:space="0" w:color="FFFFFF"/>
              <w:right w:val="single" w:sz="8" w:space="0" w:color="FFFFFF"/>
            </w:tcBorders>
            <w:shd w:val="clear" w:color="000000" w:fill="B8CCE4"/>
            <w:noWrap/>
            <w:hideMark/>
          </w:tcPr>
          <w:p w14:paraId="17B817B7" w14:textId="77777777" w:rsidR="00B86FB3" w:rsidRPr="00FF756A" w:rsidRDefault="00B86FB3" w:rsidP="00B86FB3">
            <w:pPr>
              <w:jc w:val="right"/>
              <w:rPr>
                <w:rFonts w:eastAsia="Times New Roman"/>
                <w:color w:val="000000"/>
                <w:sz w:val="16"/>
                <w:szCs w:val="16"/>
              </w:rPr>
            </w:pPr>
            <w:r w:rsidRPr="00FF756A">
              <w:rPr>
                <w:sz w:val="16"/>
                <w:szCs w:val="16"/>
              </w:rPr>
              <w:t xml:space="preserve"> 47,4 </w:t>
            </w:r>
          </w:p>
        </w:tc>
        <w:tc>
          <w:tcPr>
            <w:tcW w:w="917" w:type="dxa"/>
            <w:tcBorders>
              <w:top w:val="nil"/>
              <w:left w:val="nil"/>
              <w:bottom w:val="single" w:sz="8" w:space="0" w:color="FFFFFF"/>
              <w:right w:val="single" w:sz="8" w:space="0" w:color="FFFFFF"/>
            </w:tcBorders>
            <w:shd w:val="clear" w:color="000000" w:fill="B8CCE4"/>
            <w:noWrap/>
            <w:hideMark/>
          </w:tcPr>
          <w:p w14:paraId="0C7296AF" w14:textId="77777777" w:rsidR="00B86FB3" w:rsidRPr="00FF756A" w:rsidRDefault="00B86FB3" w:rsidP="00B86FB3">
            <w:pPr>
              <w:jc w:val="right"/>
              <w:rPr>
                <w:rFonts w:eastAsia="Times New Roman"/>
                <w:color w:val="000000"/>
                <w:sz w:val="16"/>
                <w:szCs w:val="16"/>
              </w:rPr>
            </w:pPr>
            <w:r w:rsidRPr="00FF756A">
              <w:rPr>
                <w:sz w:val="16"/>
                <w:szCs w:val="16"/>
              </w:rPr>
              <w:t xml:space="preserve"> 47,4 </w:t>
            </w:r>
          </w:p>
        </w:tc>
        <w:tc>
          <w:tcPr>
            <w:tcW w:w="917" w:type="dxa"/>
            <w:tcBorders>
              <w:top w:val="nil"/>
              <w:left w:val="nil"/>
              <w:bottom w:val="single" w:sz="8" w:space="0" w:color="FFFFFF"/>
              <w:right w:val="single" w:sz="8" w:space="0" w:color="FFFFFF"/>
            </w:tcBorders>
            <w:shd w:val="clear" w:color="000000" w:fill="B8CCE4"/>
            <w:noWrap/>
            <w:hideMark/>
          </w:tcPr>
          <w:p w14:paraId="230B6AD4" w14:textId="77777777" w:rsidR="00B86FB3" w:rsidRPr="00FF756A" w:rsidRDefault="00B86FB3" w:rsidP="00B86FB3">
            <w:pPr>
              <w:jc w:val="right"/>
              <w:rPr>
                <w:rFonts w:eastAsia="Times New Roman"/>
                <w:color w:val="000000"/>
                <w:sz w:val="16"/>
                <w:szCs w:val="16"/>
              </w:rPr>
            </w:pPr>
            <w:r w:rsidRPr="00FF756A">
              <w:rPr>
                <w:sz w:val="16"/>
                <w:szCs w:val="16"/>
              </w:rPr>
              <w:t xml:space="preserve"> 49,1 </w:t>
            </w:r>
          </w:p>
        </w:tc>
        <w:tc>
          <w:tcPr>
            <w:tcW w:w="917" w:type="dxa"/>
            <w:tcBorders>
              <w:top w:val="nil"/>
              <w:left w:val="nil"/>
              <w:bottom w:val="single" w:sz="8" w:space="0" w:color="FFFFFF"/>
              <w:right w:val="single" w:sz="8" w:space="0" w:color="FFFFFF"/>
            </w:tcBorders>
            <w:shd w:val="clear" w:color="000000" w:fill="B8CCE4"/>
            <w:noWrap/>
            <w:hideMark/>
          </w:tcPr>
          <w:p w14:paraId="080E03C9" w14:textId="77777777" w:rsidR="00B86FB3" w:rsidRPr="00FF756A" w:rsidRDefault="00B86FB3" w:rsidP="00B86FB3">
            <w:pPr>
              <w:jc w:val="right"/>
              <w:rPr>
                <w:rFonts w:eastAsia="Times New Roman"/>
                <w:color w:val="000000"/>
                <w:sz w:val="16"/>
                <w:szCs w:val="16"/>
              </w:rPr>
            </w:pPr>
            <w:r w:rsidRPr="00FF756A">
              <w:rPr>
                <w:sz w:val="16"/>
                <w:szCs w:val="16"/>
              </w:rPr>
              <w:t xml:space="preserve"> 49,1 </w:t>
            </w:r>
          </w:p>
        </w:tc>
        <w:tc>
          <w:tcPr>
            <w:tcW w:w="917" w:type="dxa"/>
            <w:tcBorders>
              <w:top w:val="nil"/>
              <w:left w:val="nil"/>
              <w:bottom w:val="single" w:sz="8" w:space="0" w:color="FFFFFF"/>
              <w:right w:val="single" w:sz="8" w:space="0" w:color="FFFFFF"/>
            </w:tcBorders>
            <w:shd w:val="clear" w:color="000000" w:fill="B8CCE4"/>
            <w:noWrap/>
            <w:hideMark/>
          </w:tcPr>
          <w:p w14:paraId="1CB3F569" w14:textId="77777777" w:rsidR="00B86FB3" w:rsidRPr="00FF756A" w:rsidRDefault="00B86FB3" w:rsidP="00B86FB3">
            <w:pPr>
              <w:jc w:val="right"/>
              <w:rPr>
                <w:rFonts w:eastAsia="Times New Roman"/>
                <w:color w:val="000000"/>
                <w:sz w:val="16"/>
                <w:szCs w:val="16"/>
              </w:rPr>
            </w:pPr>
            <w:r w:rsidRPr="00FF756A">
              <w:rPr>
                <w:sz w:val="16"/>
                <w:szCs w:val="16"/>
              </w:rPr>
              <w:t xml:space="preserve"> 49,1 </w:t>
            </w:r>
          </w:p>
        </w:tc>
        <w:tc>
          <w:tcPr>
            <w:tcW w:w="918" w:type="dxa"/>
            <w:tcBorders>
              <w:top w:val="nil"/>
              <w:left w:val="nil"/>
              <w:bottom w:val="single" w:sz="8" w:space="0" w:color="FFFFFF"/>
              <w:right w:val="single" w:sz="8" w:space="0" w:color="FFFFFF"/>
            </w:tcBorders>
            <w:shd w:val="clear" w:color="000000" w:fill="B8CCE4"/>
            <w:noWrap/>
            <w:hideMark/>
          </w:tcPr>
          <w:p w14:paraId="3EDA8A3F" w14:textId="77777777" w:rsidR="00B86FB3" w:rsidRPr="00FF756A" w:rsidRDefault="00B86FB3" w:rsidP="00B86FB3">
            <w:pPr>
              <w:jc w:val="right"/>
              <w:rPr>
                <w:rFonts w:eastAsia="Times New Roman"/>
                <w:color w:val="000000"/>
                <w:sz w:val="16"/>
                <w:szCs w:val="16"/>
              </w:rPr>
            </w:pPr>
            <w:r w:rsidRPr="00FF756A">
              <w:rPr>
                <w:sz w:val="16"/>
                <w:szCs w:val="16"/>
              </w:rPr>
              <w:t xml:space="preserve"> 49,1 </w:t>
            </w:r>
          </w:p>
        </w:tc>
        <w:tc>
          <w:tcPr>
            <w:tcW w:w="918" w:type="dxa"/>
            <w:tcBorders>
              <w:top w:val="nil"/>
              <w:left w:val="nil"/>
              <w:bottom w:val="single" w:sz="8" w:space="0" w:color="FFFFFF"/>
              <w:right w:val="single" w:sz="8" w:space="0" w:color="FFFFFF"/>
            </w:tcBorders>
            <w:shd w:val="clear" w:color="000000" w:fill="B8CCE4"/>
          </w:tcPr>
          <w:p w14:paraId="60F66934" w14:textId="77777777" w:rsidR="00B86FB3" w:rsidRPr="00FF756A" w:rsidRDefault="00B86FB3" w:rsidP="00B86FB3">
            <w:pPr>
              <w:jc w:val="right"/>
              <w:rPr>
                <w:rFonts w:eastAsia="Times New Roman"/>
                <w:color w:val="000000"/>
                <w:sz w:val="16"/>
                <w:szCs w:val="16"/>
              </w:rPr>
            </w:pPr>
            <w:r w:rsidRPr="00FF756A">
              <w:rPr>
                <w:sz w:val="16"/>
                <w:szCs w:val="16"/>
              </w:rPr>
              <w:t xml:space="preserve"> 49,1 </w:t>
            </w:r>
          </w:p>
        </w:tc>
      </w:tr>
      <w:tr w:rsidR="00B86FB3" w:rsidRPr="00FF756A" w14:paraId="1F930944"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676DCC0D" w14:textId="77777777" w:rsidR="00B86FB3" w:rsidRPr="00FF756A" w:rsidRDefault="00B86FB3" w:rsidP="00B86FB3">
            <w:pPr>
              <w:rPr>
                <w:rFonts w:eastAsia="Times New Roman"/>
                <w:b/>
                <w:bCs/>
                <w:color w:val="FFFFFF"/>
                <w:sz w:val="16"/>
                <w:szCs w:val="16"/>
              </w:rPr>
            </w:pPr>
            <w:r w:rsidRPr="00FF756A">
              <w:rPr>
                <w:b/>
                <w:bCs/>
                <w:color w:val="FFFFFF"/>
                <w:sz w:val="16"/>
                <w:szCs w:val="16"/>
              </w:rPr>
              <w:t>Nxjerrja e naftës</w:t>
            </w:r>
          </w:p>
        </w:tc>
        <w:tc>
          <w:tcPr>
            <w:tcW w:w="917" w:type="dxa"/>
            <w:tcBorders>
              <w:top w:val="nil"/>
              <w:left w:val="nil"/>
              <w:bottom w:val="single" w:sz="8" w:space="0" w:color="FFFFFF"/>
              <w:right w:val="single" w:sz="8" w:space="0" w:color="FFFFFF"/>
            </w:tcBorders>
            <w:shd w:val="clear" w:color="000000" w:fill="DBE5F1"/>
            <w:noWrap/>
            <w:hideMark/>
          </w:tcPr>
          <w:p w14:paraId="7A39F1B3" w14:textId="77777777" w:rsidR="00B86FB3" w:rsidRPr="00FF756A" w:rsidRDefault="00B86FB3" w:rsidP="00B86FB3">
            <w:pPr>
              <w:jc w:val="right"/>
              <w:rPr>
                <w:rFonts w:eastAsia="Times New Roman"/>
                <w:color w:val="000000"/>
                <w:sz w:val="16"/>
                <w:szCs w:val="16"/>
              </w:rPr>
            </w:pPr>
            <w:r w:rsidRPr="00FF756A">
              <w:rPr>
                <w:sz w:val="16"/>
                <w:szCs w:val="16"/>
              </w:rPr>
              <w:t xml:space="preserve"> 104,1 </w:t>
            </w:r>
          </w:p>
        </w:tc>
        <w:tc>
          <w:tcPr>
            <w:tcW w:w="917" w:type="dxa"/>
            <w:tcBorders>
              <w:top w:val="nil"/>
              <w:left w:val="nil"/>
              <w:bottom w:val="single" w:sz="8" w:space="0" w:color="FFFFFF"/>
              <w:right w:val="single" w:sz="8" w:space="0" w:color="FFFFFF"/>
            </w:tcBorders>
            <w:shd w:val="clear" w:color="000000" w:fill="DBE5F1"/>
            <w:noWrap/>
            <w:hideMark/>
          </w:tcPr>
          <w:p w14:paraId="1BFA5E36" w14:textId="77777777" w:rsidR="00B86FB3" w:rsidRPr="00FF756A" w:rsidRDefault="00B86FB3" w:rsidP="00B86FB3">
            <w:pPr>
              <w:jc w:val="right"/>
              <w:rPr>
                <w:rFonts w:eastAsia="Times New Roman"/>
                <w:color w:val="000000"/>
                <w:sz w:val="16"/>
                <w:szCs w:val="16"/>
              </w:rPr>
            </w:pPr>
            <w:r w:rsidRPr="00FF756A">
              <w:rPr>
                <w:sz w:val="16"/>
                <w:szCs w:val="16"/>
              </w:rPr>
              <w:t xml:space="preserve"> 97,8 </w:t>
            </w:r>
          </w:p>
        </w:tc>
        <w:tc>
          <w:tcPr>
            <w:tcW w:w="917" w:type="dxa"/>
            <w:tcBorders>
              <w:top w:val="nil"/>
              <w:left w:val="nil"/>
              <w:bottom w:val="single" w:sz="8" w:space="0" w:color="FFFFFF"/>
              <w:right w:val="single" w:sz="8" w:space="0" w:color="FFFFFF"/>
            </w:tcBorders>
            <w:shd w:val="clear" w:color="000000" w:fill="DBE5F1"/>
            <w:noWrap/>
            <w:hideMark/>
          </w:tcPr>
          <w:p w14:paraId="6EFCEC98" w14:textId="77777777" w:rsidR="00B86FB3" w:rsidRPr="00FF756A" w:rsidRDefault="00B86FB3" w:rsidP="00B86FB3">
            <w:pPr>
              <w:jc w:val="right"/>
              <w:rPr>
                <w:rFonts w:eastAsia="Times New Roman"/>
                <w:color w:val="000000"/>
                <w:sz w:val="16"/>
                <w:szCs w:val="16"/>
              </w:rPr>
            </w:pPr>
            <w:r w:rsidRPr="00FF756A">
              <w:rPr>
                <w:sz w:val="16"/>
                <w:szCs w:val="16"/>
              </w:rPr>
              <w:t xml:space="preserve"> 109,9 </w:t>
            </w:r>
          </w:p>
        </w:tc>
        <w:tc>
          <w:tcPr>
            <w:tcW w:w="917" w:type="dxa"/>
            <w:tcBorders>
              <w:top w:val="nil"/>
              <w:left w:val="nil"/>
              <w:bottom w:val="single" w:sz="8" w:space="0" w:color="FFFFFF"/>
              <w:right w:val="single" w:sz="8" w:space="0" w:color="FFFFFF"/>
            </w:tcBorders>
            <w:shd w:val="clear" w:color="000000" w:fill="DBE5F1"/>
            <w:noWrap/>
            <w:hideMark/>
          </w:tcPr>
          <w:p w14:paraId="780D7F26" w14:textId="77777777" w:rsidR="00B86FB3" w:rsidRPr="00FF756A" w:rsidRDefault="00B86FB3" w:rsidP="00B86FB3">
            <w:pPr>
              <w:jc w:val="right"/>
              <w:rPr>
                <w:rFonts w:eastAsia="Times New Roman"/>
                <w:color w:val="000000"/>
                <w:sz w:val="16"/>
                <w:szCs w:val="16"/>
              </w:rPr>
            </w:pPr>
            <w:r w:rsidRPr="00FF756A">
              <w:rPr>
                <w:sz w:val="16"/>
                <w:szCs w:val="16"/>
              </w:rPr>
              <w:t xml:space="preserve"> 109,9 </w:t>
            </w:r>
          </w:p>
        </w:tc>
        <w:tc>
          <w:tcPr>
            <w:tcW w:w="917" w:type="dxa"/>
            <w:tcBorders>
              <w:top w:val="nil"/>
              <w:left w:val="nil"/>
              <w:bottom w:val="single" w:sz="8" w:space="0" w:color="FFFFFF"/>
              <w:right w:val="single" w:sz="8" w:space="0" w:color="FFFFFF"/>
            </w:tcBorders>
            <w:shd w:val="clear" w:color="000000" w:fill="DBE5F1"/>
            <w:noWrap/>
            <w:hideMark/>
          </w:tcPr>
          <w:p w14:paraId="38D3BF6E" w14:textId="77777777" w:rsidR="00B86FB3" w:rsidRPr="00FF756A" w:rsidRDefault="00B86FB3" w:rsidP="00B86FB3">
            <w:pPr>
              <w:jc w:val="right"/>
              <w:rPr>
                <w:rFonts w:eastAsia="Times New Roman"/>
                <w:color w:val="000000"/>
                <w:sz w:val="16"/>
                <w:szCs w:val="16"/>
              </w:rPr>
            </w:pPr>
            <w:r w:rsidRPr="00FF756A">
              <w:rPr>
                <w:sz w:val="16"/>
                <w:szCs w:val="16"/>
              </w:rPr>
              <w:t xml:space="preserve"> 109,9 </w:t>
            </w:r>
          </w:p>
        </w:tc>
        <w:tc>
          <w:tcPr>
            <w:tcW w:w="917" w:type="dxa"/>
            <w:tcBorders>
              <w:top w:val="nil"/>
              <w:left w:val="nil"/>
              <w:bottom w:val="single" w:sz="8" w:space="0" w:color="FFFFFF"/>
              <w:right w:val="single" w:sz="8" w:space="0" w:color="FFFFFF"/>
            </w:tcBorders>
            <w:shd w:val="clear" w:color="000000" w:fill="DBE5F1"/>
            <w:noWrap/>
            <w:hideMark/>
          </w:tcPr>
          <w:p w14:paraId="2E63A4B8" w14:textId="77777777" w:rsidR="00B86FB3" w:rsidRPr="00FF756A" w:rsidRDefault="00B86FB3" w:rsidP="00B86FB3">
            <w:pPr>
              <w:jc w:val="right"/>
              <w:rPr>
                <w:rFonts w:eastAsia="Times New Roman"/>
                <w:color w:val="000000"/>
                <w:sz w:val="16"/>
                <w:szCs w:val="16"/>
              </w:rPr>
            </w:pPr>
            <w:r w:rsidRPr="00FF756A">
              <w:rPr>
                <w:sz w:val="16"/>
                <w:szCs w:val="16"/>
              </w:rPr>
              <w:t xml:space="preserve"> 109,9 </w:t>
            </w:r>
          </w:p>
        </w:tc>
        <w:tc>
          <w:tcPr>
            <w:tcW w:w="918" w:type="dxa"/>
            <w:tcBorders>
              <w:top w:val="nil"/>
              <w:left w:val="nil"/>
              <w:bottom w:val="single" w:sz="8" w:space="0" w:color="FFFFFF"/>
              <w:right w:val="single" w:sz="8" w:space="0" w:color="FFFFFF"/>
            </w:tcBorders>
            <w:shd w:val="clear" w:color="000000" w:fill="DBE5F1"/>
            <w:noWrap/>
            <w:hideMark/>
          </w:tcPr>
          <w:p w14:paraId="3FB304CE" w14:textId="77777777" w:rsidR="00B86FB3" w:rsidRPr="00FF756A" w:rsidRDefault="00B86FB3" w:rsidP="00B86FB3">
            <w:pPr>
              <w:jc w:val="right"/>
              <w:rPr>
                <w:rFonts w:eastAsia="Times New Roman"/>
                <w:color w:val="000000"/>
                <w:sz w:val="16"/>
                <w:szCs w:val="16"/>
              </w:rPr>
            </w:pPr>
            <w:r w:rsidRPr="00FF756A">
              <w:rPr>
                <w:sz w:val="16"/>
                <w:szCs w:val="16"/>
              </w:rPr>
              <w:t xml:space="preserve"> 109,9 </w:t>
            </w:r>
          </w:p>
        </w:tc>
        <w:tc>
          <w:tcPr>
            <w:tcW w:w="918" w:type="dxa"/>
            <w:tcBorders>
              <w:top w:val="nil"/>
              <w:left w:val="nil"/>
              <w:bottom w:val="single" w:sz="8" w:space="0" w:color="FFFFFF"/>
              <w:right w:val="single" w:sz="8" w:space="0" w:color="FFFFFF"/>
            </w:tcBorders>
            <w:shd w:val="clear" w:color="000000" w:fill="DBE5F1"/>
          </w:tcPr>
          <w:p w14:paraId="51CC2422" w14:textId="77777777" w:rsidR="00B86FB3" w:rsidRPr="00FF756A" w:rsidRDefault="00B86FB3" w:rsidP="00B86FB3">
            <w:pPr>
              <w:jc w:val="right"/>
              <w:rPr>
                <w:rFonts w:eastAsia="Times New Roman"/>
                <w:color w:val="000000"/>
                <w:sz w:val="16"/>
                <w:szCs w:val="16"/>
              </w:rPr>
            </w:pPr>
            <w:r w:rsidRPr="00FF756A">
              <w:rPr>
                <w:sz w:val="16"/>
                <w:szCs w:val="16"/>
              </w:rPr>
              <w:t xml:space="preserve"> 109,9 </w:t>
            </w:r>
          </w:p>
        </w:tc>
      </w:tr>
      <w:tr w:rsidR="00B86FB3" w:rsidRPr="00FF756A" w14:paraId="5A22992F"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66D7322B" w14:textId="77777777" w:rsidR="00B86FB3" w:rsidRPr="00FF756A" w:rsidRDefault="00B86FB3" w:rsidP="00B86FB3">
            <w:pPr>
              <w:rPr>
                <w:rFonts w:eastAsia="Times New Roman"/>
                <w:b/>
                <w:bCs/>
                <w:color w:val="FFFFFF"/>
                <w:sz w:val="16"/>
                <w:szCs w:val="16"/>
              </w:rPr>
            </w:pPr>
            <w:r w:rsidRPr="00FF756A">
              <w:rPr>
                <w:b/>
                <w:bCs/>
                <w:color w:val="FFFFFF"/>
                <w:sz w:val="16"/>
                <w:szCs w:val="16"/>
              </w:rPr>
              <w:t>Totali</w:t>
            </w:r>
          </w:p>
        </w:tc>
        <w:tc>
          <w:tcPr>
            <w:tcW w:w="917" w:type="dxa"/>
            <w:tcBorders>
              <w:top w:val="nil"/>
              <w:left w:val="nil"/>
              <w:bottom w:val="single" w:sz="8" w:space="0" w:color="FFFFFF"/>
              <w:right w:val="single" w:sz="8" w:space="0" w:color="FFFFFF"/>
            </w:tcBorders>
            <w:shd w:val="clear" w:color="000000" w:fill="4F81BD"/>
            <w:noWrap/>
            <w:hideMark/>
          </w:tcPr>
          <w:p w14:paraId="68AC8BDD"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151,4 </w:t>
            </w:r>
          </w:p>
        </w:tc>
        <w:tc>
          <w:tcPr>
            <w:tcW w:w="917" w:type="dxa"/>
            <w:tcBorders>
              <w:top w:val="nil"/>
              <w:left w:val="nil"/>
              <w:bottom w:val="single" w:sz="8" w:space="0" w:color="FFFFFF"/>
              <w:right w:val="single" w:sz="8" w:space="0" w:color="FFFFFF"/>
            </w:tcBorders>
            <w:shd w:val="clear" w:color="000000" w:fill="4F81BD"/>
            <w:noWrap/>
            <w:hideMark/>
          </w:tcPr>
          <w:p w14:paraId="3E7E7ADF"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145,1 </w:t>
            </w:r>
          </w:p>
        </w:tc>
        <w:tc>
          <w:tcPr>
            <w:tcW w:w="917" w:type="dxa"/>
            <w:tcBorders>
              <w:top w:val="nil"/>
              <w:left w:val="nil"/>
              <w:bottom w:val="single" w:sz="8" w:space="0" w:color="FFFFFF"/>
              <w:right w:val="single" w:sz="8" w:space="0" w:color="FFFFFF"/>
            </w:tcBorders>
            <w:shd w:val="clear" w:color="000000" w:fill="4F81BD"/>
            <w:noWrap/>
            <w:hideMark/>
          </w:tcPr>
          <w:p w14:paraId="153C91D5"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157,2 </w:t>
            </w:r>
          </w:p>
        </w:tc>
        <w:tc>
          <w:tcPr>
            <w:tcW w:w="917" w:type="dxa"/>
            <w:tcBorders>
              <w:top w:val="nil"/>
              <w:left w:val="nil"/>
              <w:bottom w:val="single" w:sz="8" w:space="0" w:color="FFFFFF"/>
              <w:right w:val="single" w:sz="8" w:space="0" w:color="FFFFFF"/>
            </w:tcBorders>
            <w:shd w:val="clear" w:color="000000" w:fill="4F81BD"/>
            <w:noWrap/>
            <w:hideMark/>
          </w:tcPr>
          <w:p w14:paraId="4FB36388"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159,0 </w:t>
            </w:r>
          </w:p>
        </w:tc>
        <w:tc>
          <w:tcPr>
            <w:tcW w:w="917" w:type="dxa"/>
            <w:tcBorders>
              <w:top w:val="nil"/>
              <w:left w:val="nil"/>
              <w:bottom w:val="single" w:sz="8" w:space="0" w:color="FFFFFF"/>
              <w:right w:val="single" w:sz="8" w:space="0" w:color="FFFFFF"/>
            </w:tcBorders>
            <w:shd w:val="clear" w:color="000000" w:fill="4F81BD"/>
            <w:noWrap/>
            <w:hideMark/>
          </w:tcPr>
          <w:p w14:paraId="2FFE395D"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159,0 </w:t>
            </w:r>
          </w:p>
        </w:tc>
        <w:tc>
          <w:tcPr>
            <w:tcW w:w="917" w:type="dxa"/>
            <w:tcBorders>
              <w:top w:val="nil"/>
              <w:left w:val="nil"/>
              <w:bottom w:val="single" w:sz="8" w:space="0" w:color="FFFFFF"/>
              <w:right w:val="single" w:sz="8" w:space="0" w:color="FFFFFF"/>
            </w:tcBorders>
            <w:shd w:val="clear" w:color="000000" w:fill="4F81BD"/>
            <w:noWrap/>
            <w:hideMark/>
          </w:tcPr>
          <w:p w14:paraId="46EB8046"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159,0 </w:t>
            </w:r>
          </w:p>
        </w:tc>
        <w:tc>
          <w:tcPr>
            <w:tcW w:w="918" w:type="dxa"/>
            <w:tcBorders>
              <w:top w:val="nil"/>
              <w:left w:val="nil"/>
              <w:bottom w:val="single" w:sz="8" w:space="0" w:color="FFFFFF"/>
              <w:right w:val="single" w:sz="8" w:space="0" w:color="FFFFFF"/>
            </w:tcBorders>
            <w:shd w:val="clear" w:color="000000" w:fill="4F81BD"/>
            <w:noWrap/>
            <w:hideMark/>
          </w:tcPr>
          <w:p w14:paraId="53A4CEF3"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234,3 </w:t>
            </w:r>
          </w:p>
        </w:tc>
        <w:tc>
          <w:tcPr>
            <w:tcW w:w="918" w:type="dxa"/>
            <w:tcBorders>
              <w:top w:val="nil"/>
              <w:left w:val="nil"/>
              <w:bottom w:val="single" w:sz="8" w:space="0" w:color="FFFFFF"/>
              <w:right w:val="single" w:sz="8" w:space="0" w:color="FFFFFF"/>
            </w:tcBorders>
            <w:shd w:val="clear" w:color="000000" w:fill="4F81BD"/>
          </w:tcPr>
          <w:p w14:paraId="74A43217"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770,0 </w:t>
            </w:r>
          </w:p>
        </w:tc>
      </w:tr>
      <w:tr w:rsidR="00B86FB3" w:rsidRPr="00FF756A" w14:paraId="5FED2ED0" w14:textId="77777777" w:rsidTr="006A3266">
        <w:trPr>
          <w:trHeight w:val="293"/>
        </w:trPr>
        <w:tc>
          <w:tcPr>
            <w:tcW w:w="9170" w:type="dxa"/>
            <w:gridSpan w:val="9"/>
            <w:tcBorders>
              <w:top w:val="single" w:sz="8" w:space="0" w:color="FFFFFF"/>
              <w:left w:val="single" w:sz="8" w:space="0" w:color="FFFFFF"/>
              <w:bottom w:val="single" w:sz="8" w:space="0" w:color="FFFFFF"/>
              <w:right w:val="single" w:sz="8" w:space="0" w:color="FFFFFF"/>
            </w:tcBorders>
            <w:shd w:val="clear" w:color="000000" w:fill="4F81BD"/>
            <w:noWrap/>
            <w:vAlign w:val="center"/>
            <w:hideMark/>
          </w:tcPr>
          <w:p w14:paraId="7C5B9196" w14:textId="77777777" w:rsidR="00B86FB3" w:rsidRPr="00FF756A" w:rsidRDefault="00B86FB3" w:rsidP="00B86FB3">
            <w:pPr>
              <w:rPr>
                <w:rFonts w:eastAsia="Times New Roman"/>
                <w:b/>
                <w:bCs/>
                <w:color w:val="FFFFFF"/>
                <w:sz w:val="16"/>
                <w:szCs w:val="16"/>
              </w:rPr>
            </w:pPr>
            <w:r w:rsidRPr="00FF756A">
              <w:rPr>
                <w:b/>
                <w:bCs/>
                <w:color w:val="FFFFFF"/>
                <w:sz w:val="16"/>
                <w:szCs w:val="16"/>
              </w:rPr>
              <w:t>Sektorët joenergjetikë</w:t>
            </w:r>
          </w:p>
        </w:tc>
      </w:tr>
      <w:tr w:rsidR="00B86FB3" w:rsidRPr="00FF756A" w14:paraId="69EB33AC"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2929BD34" w14:textId="77777777" w:rsidR="00B86FB3" w:rsidRPr="00FF756A" w:rsidRDefault="00B86FB3" w:rsidP="00B86FB3">
            <w:pPr>
              <w:rPr>
                <w:rFonts w:eastAsia="Times New Roman"/>
                <w:b/>
                <w:bCs/>
                <w:color w:val="FFFFFF"/>
                <w:sz w:val="16"/>
                <w:szCs w:val="16"/>
              </w:rPr>
            </w:pPr>
            <w:r w:rsidRPr="00FF756A">
              <w:rPr>
                <w:b/>
                <w:bCs/>
                <w:color w:val="FFFFFF"/>
                <w:sz w:val="16"/>
                <w:szCs w:val="16"/>
              </w:rPr>
              <w:t>PIPP</w:t>
            </w:r>
          </w:p>
        </w:tc>
        <w:tc>
          <w:tcPr>
            <w:tcW w:w="917" w:type="dxa"/>
            <w:tcBorders>
              <w:top w:val="nil"/>
              <w:left w:val="nil"/>
              <w:bottom w:val="single" w:sz="8" w:space="0" w:color="FFFFFF"/>
              <w:right w:val="single" w:sz="8" w:space="0" w:color="FFFFFF"/>
            </w:tcBorders>
            <w:shd w:val="clear" w:color="000000" w:fill="DBE5F1"/>
            <w:noWrap/>
            <w:hideMark/>
          </w:tcPr>
          <w:p w14:paraId="414C2CFC" w14:textId="77777777" w:rsidR="00B86FB3" w:rsidRPr="00FF756A" w:rsidRDefault="00B86FB3" w:rsidP="00B86FB3">
            <w:pPr>
              <w:jc w:val="right"/>
              <w:rPr>
                <w:rFonts w:eastAsia="Times New Roman"/>
                <w:color w:val="000000"/>
                <w:sz w:val="16"/>
                <w:szCs w:val="16"/>
              </w:rPr>
            </w:pPr>
            <w:r w:rsidRPr="00FF756A">
              <w:rPr>
                <w:sz w:val="16"/>
                <w:szCs w:val="16"/>
              </w:rPr>
              <w:t xml:space="preserve"> 1 583,9 </w:t>
            </w:r>
          </w:p>
        </w:tc>
        <w:tc>
          <w:tcPr>
            <w:tcW w:w="917" w:type="dxa"/>
            <w:tcBorders>
              <w:top w:val="nil"/>
              <w:left w:val="nil"/>
              <w:bottom w:val="single" w:sz="8" w:space="0" w:color="FFFFFF"/>
              <w:right w:val="single" w:sz="8" w:space="0" w:color="FFFFFF"/>
            </w:tcBorders>
            <w:shd w:val="clear" w:color="000000" w:fill="DBE5F1"/>
            <w:noWrap/>
            <w:hideMark/>
          </w:tcPr>
          <w:p w14:paraId="2266A91F" w14:textId="77777777" w:rsidR="00B86FB3" w:rsidRPr="00FF756A" w:rsidRDefault="00B86FB3" w:rsidP="00B86FB3">
            <w:pPr>
              <w:jc w:val="right"/>
              <w:rPr>
                <w:rFonts w:eastAsia="Times New Roman"/>
                <w:color w:val="000000"/>
                <w:sz w:val="16"/>
                <w:szCs w:val="16"/>
              </w:rPr>
            </w:pPr>
            <w:r w:rsidRPr="00FF756A">
              <w:rPr>
                <w:sz w:val="16"/>
                <w:szCs w:val="16"/>
              </w:rPr>
              <w:t xml:space="preserve"> 1 592,1 </w:t>
            </w:r>
          </w:p>
        </w:tc>
        <w:tc>
          <w:tcPr>
            <w:tcW w:w="917" w:type="dxa"/>
            <w:tcBorders>
              <w:top w:val="nil"/>
              <w:left w:val="nil"/>
              <w:bottom w:val="single" w:sz="8" w:space="0" w:color="FFFFFF"/>
              <w:right w:val="single" w:sz="8" w:space="0" w:color="FFFFFF"/>
            </w:tcBorders>
            <w:shd w:val="clear" w:color="000000" w:fill="DBE5F1"/>
            <w:noWrap/>
            <w:hideMark/>
          </w:tcPr>
          <w:p w14:paraId="5772E17A" w14:textId="77777777" w:rsidR="00B86FB3" w:rsidRPr="00FF756A" w:rsidRDefault="00B86FB3" w:rsidP="00B86FB3">
            <w:pPr>
              <w:jc w:val="right"/>
              <w:rPr>
                <w:rFonts w:eastAsia="Times New Roman"/>
                <w:color w:val="000000"/>
                <w:sz w:val="16"/>
                <w:szCs w:val="16"/>
              </w:rPr>
            </w:pPr>
            <w:r w:rsidRPr="00FF756A">
              <w:rPr>
                <w:sz w:val="16"/>
                <w:szCs w:val="16"/>
              </w:rPr>
              <w:t xml:space="preserve"> 1 600,2 </w:t>
            </w:r>
          </w:p>
        </w:tc>
        <w:tc>
          <w:tcPr>
            <w:tcW w:w="917" w:type="dxa"/>
            <w:tcBorders>
              <w:top w:val="nil"/>
              <w:left w:val="nil"/>
              <w:bottom w:val="single" w:sz="8" w:space="0" w:color="FFFFFF"/>
              <w:right w:val="single" w:sz="8" w:space="0" w:color="FFFFFF"/>
            </w:tcBorders>
            <w:shd w:val="clear" w:color="000000" w:fill="DBE5F1"/>
            <w:noWrap/>
            <w:hideMark/>
          </w:tcPr>
          <w:p w14:paraId="6D40EFA4" w14:textId="77777777" w:rsidR="00B86FB3" w:rsidRPr="00FF756A" w:rsidRDefault="00B86FB3" w:rsidP="00B86FB3">
            <w:pPr>
              <w:jc w:val="right"/>
              <w:rPr>
                <w:rFonts w:eastAsia="Times New Roman"/>
                <w:color w:val="000000"/>
                <w:sz w:val="16"/>
                <w:szCs w:val="16"/>
              </w:rPr>
            </w:pPr>
            <w:r w:rsidRPr="00FF756A">
              <w:rPr>
                <w:sz w:val="16"/>
                <w:szCs w:val="16"/>
              </w:rPr>
              <w:t xml:space="preserve"> 1 640,4 </w:t>
            </w:r>
          </w:p>
        </w:tc>
        <w:tc>
          <w:tcPr>
            <w:tcW w:w="917" w:type="dxa"/>
            <w:tcBorders>
              <w:top w:val="nil"/>
              <w:left w:val="nil"/>
              <w:bottom w:val="single" w:sz="8" w:space="0" w:color="FFFFFF"/>
              <w:right w:val="single" w:sz="8" w:space="0" w:color="FFFFFF"/>
            </w:tcBorders>
            <w:shd w:val="clear" w:color="000000" w:fill="DBE5F1"/>
            <w:noWrap/>
            <w:hideMark/>
          </w:tcPr>
          <w:p w14:paraId="6F365D1D" w14:textId="77777777" w:rsidR="00B86FB3" w:rsidRPr="00FF756A" w:rsidRDefault="00B86FB3" w:rsidP="00B86FB3">
            <w:pPr>
              <w:jc w:val="right"/>
              <w:rPr>
                <w:rFonts w:eastAsia="Times New Roman"/>
                <w:color w:val="000000"/>
                <w:sz w:val="16"/>
                <w:szCs w:val="16"/>
              </w:rPr>
            </w:pPr>
            <w:r w:rsidRPr="00FF756A">
              <w:rPr>
                <w:sz w:val="16"/>
                <w:szCs w:val="16"/>
              </w:rPr>
              <w:t xml:space="preserve"> 1 714,7 </w:t>
            </w:r>
          </w:p>
        </w:tc>
        <w:tc>
          <w:tcPr>
            <w:tcW w:w="917" w:type="dxa"/>
            <w:tcBorders>
              <w:top w:val="nil"/>
              <w:left w:val="nil"/>
              <w:bottom w:val="single" w:sz="8" w:space="0" w:color="FFFFFF"/>
              <w:right w:val="single" w:sz="8" w:space="0" w:color="FFFFFF"/>
            </w:tcBorders>
            <w:shd w:val="clear" w:color="000000" w:fill="DBE5F1"/>
            <w:noWrap/>
            <w:hideMark/>
          </w:tcPr>
          <w:p w14:paraId="139F092A" w14:textId="77777777" w:rsidR="00B86FB3" w:rsidRPr="00FF756A" w:rsidRDefault="00B86FB3" w:rsidP="00B86FB3">
            <w:pPr>
              <w:jc w:val="right"/>
              <w:rPr>
                <w:rFonts w:eastAsia="Times New Roman"/>
                <w:color w:val="000000"/>
                <w:sz w:val="16"/>
                <w:szCs w:val="16"/>
              </w:rPr>
            </w:pPr>
            <w:r w:rsidRPr="00FF756A">
              <w:rPr>
                <w:sz w:val="16"/>
                <w:szCs w:val="16"/>
              </w:rPr>
              <w:t xml:space="preserve"> 1 891,3 </w:t>
            </w:r>
          </w:p>
        </w:tc>
        <w:tc>
          <w:tcPr>
            <w:tcW w:w="918" w:type="dxa"/>
            <w:tcBorders>
              <w:top w:val="nil"/>
              <w:left w:val="nil"/>
              <w:bottom w:val="single" w:sz="8" w:space="0" w:color="FFFFFF"/>
              <w:right w:val="single" w:sz="8" w:space="0" w:color="FFFFFF"/>
            </w:tcBorders>
            <w:shd w:val="clear" w:color="000000" w:fill="DBE5F1"/>
            <w:noWrap/>
            <w:hideMark/>
          </w:tcPr>
          <w:p w14:paraId="572F4BD3" w14:textId="77777777" w:rsidR="00B86FB3" w:rsidRPr="00FF756A" w:rsidRDefault="00B86FB3" w:rsidP="00B86FB3">
            <w:pPr>
              <w:jc w:val="right"/>
              <w:rPr>
                <w:rFonts w:eastAsia="Times New Roman"/>
                <w:color w:val="000000"/>
                <w:sz w:val="16"/>
                <w:szCs w:val="16"/>
              </w:rPr>
            </w:pPr>
            <w:r w:rsidRPr="00FF756A">
              <w:rPr>
                <w:sz w:val="16"/>
                <w:szCs w:val="16"/>
              </w:rPr>
              <w:t xml:space="preserve"> 1 456,2 </w:t>
            </w:r>
          </w:p>
        </w:tc>
        <w:tc>
          <w:tcPr>
            <w:tcW w:w="918" w:type="dxa"/>
            <w:tcBorders>
              <w:top w:val="nil"/>
              <w:left w:val="nil"/>
              <w:bottom w:val="single" w:sz="8" w:space="0" w:color="FFFFFF"/>
              <w:right w:val="single" w:sz="8" w:space="0" w:color="FFFFFF"/>
            </w:tcBorders>
            <w:shd w:val="clear" w:color="000000" w:fill="DBE5F1"/>
          </w:tcPr>
          <w:p w14:paraId="4C7CC700" w14:textId="77777777" w:rsidR="00B86FB3" w:rsidRPr="00FF756A" w:rsidRDefault="00B86FB3" w:rsidP="00B86FB3">
            <w:pPr>
              <w:jc w:val="right"/>
              <w:rPr>
                <w:rFonts w:eastAsia="Times New Roman"/>
                <w:color w:val="000000"/>
                <w:sz w:val="16"/>
                <w:szCs w:val="16"/>
              </w:rPr>
            </w:pPr>
            <w:r w:rsidRPr="00FF756A">
              <w:rPr>
                <w:sz w:val="16"/>
                <w:szCs w:val="16"/>
              </w:rPr>
              <w:t xml:space="preserve"> 830,8 </w:t>
            </w:r>
          </w:p>
        </w:tc>
      </w:tr>
      <w:tr w:rsidR="00B86FB3" w:rsidRPr="00FF756A" w14:paraId="2F7C0029"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7F2A442B" w14:textId="77777777" w:rsidR="00B86FB3" w:rsidRPr="00FF756A" w:rsidRDefault="00B86FB3" w:rsidP="00B86FB3">
            <w:pPr>
              <w:rPr>
                <w:rFonts w:eastAsia="Times New Roman"/>
                <w:b/>
                <w:bCs/>
                <w:color w:val="FFFFFF"/>
                <w:sz w:val="16"/>
                <w:szCs w:val="16"/>
              </w:rPr>
            </w:pPr>
            <w:r w:rsidRPr="00FF756A">
              <w:rPr>
                <w:b/>
                <w:bCs/>
                <w:color w:val="FFFFFF"/>
                <w:sz w:val="16"/>
                <w:szCs w:val="16"/>
              </w:rPr>
              <w:t>Bujqësia</w:t>
            </w:r>
          </w:p>
        </w:tc>
        <w:tc>
          <w:tcPr>
            <w:tcW w:w="917" w:type="dxa"/>
            <w:tcBorders>
              <w:top w:val="nil"/>
              <w:left w:val="nil"/>
              <w:bottom w:val="single" w:sz="8" w:space="0" w:color="FFFFFF"/>
              <w:right w:val="single" w:sz="8" w:space="0" w:color="FFFFFF"/>
            </w:tcBorders>
            <w:shd w:val="clear" w:color="000000" w:fill="B8CCE4"/>
            <w:noWrap/>
            <w:hideMark/>
          </w:tcPr>
          <w:p w14:paraId="13861B09" w14:textId="77777777" w:rsidR="00B86FB3" w:rsidRPr="00FF756A" w:rsidRDefault="00B86FB3" w:rsidP="00B86FB3">
            <w:pPr>
              <w:jc w:val="right"/>
              <w:rPr>
                <w:rFonts w:eastAsia="Times New Roman"/>
                <w:color w:val="000000"/>
                <w:sz w:val="16"/>
                <w:szCs w:val="16"/>
              </w:rPr>
            </w:pPr>
            <w:r w:rsidRPr="00FF756A">
              <w:rPr>
                <w:sz w:val="16"/>
                <w:szCs w:val="16"/>
              </w:rPr>
              <w:t xml:space="preserve"> 2 376,6 </w:t>
            </w:r>
          </w:p>
        </w:tc>
        <w:tc>
          <w:tcPr>
            <w:tcW w:w="917" w:type="dxa"/>
            <w:tcBorders>
              <w:top w:val="nil"/>
              <w:left w:val="nil"/>
              <w:bottom w:val="single" w:sz="8" w:space="0" w:color="FFFFFF"/>
              <w:right w:val="single" w:sz="8" w:space="0" w:color="FFFFFF"/>
            </w:tcBorders>
            <w:shd w:val="clear" w:color="000000" w:fill="B8CCE4"/>
            <w:noWrap/>
            <w:hideMark/>
          </w:tcPr>
          <w:p w14:paraId="1AC7F406" w14:textId="77777777" w:rsidR="00B86FB3" w:rsidRPr="00FF756A" w:rsidRDefault="00B86FB3" w:rsidP="00B86FB3">
            <w:pPr>
              <w:jc w:val="right"/>
              <w:rPr>
                <w:rFonts w:eastAsia="Times New Roman"/>
                <w:color w:val="000000"/>
                <w:sz w:val="16"/>
                <w:szCs w:val="16"/>
              </w:rPr>
            </w:pPr>
            <w:r w:rsidRPr="00FF756A">
              <w:rPr>
                <w:sz w:val="16"/>
                <w:szCs w:val="16"/>
              </w:rPr>
              <w:t xml:space="preserve"> 2 376,6 </w:t>
            </w:r>
          </w:p>
        </w:tc>
        <w:tc>
          <w:tcPr>
            <w:tcW w:w="917" w:type="dxa"/>
            <w:tcBorders>
              <w:top w:val="nil"/>
              <w:left w:val="nil"/>
              <w:bottom w:val="single" w:sz="8" w:space="0" w:color="FFFFFF"/>
              <w:right w:val="single" w:sz="8" w:space="0" w:color="FFFFFF"/>
            </w:tcBorders>
            <w:shd w:val="clear" w:color="000000" w:fill="B8CCE4"/>
            <w:noWrap/>
            <w:hideMark/>
          </w:tcPr>
          <w:p w14:paraId="03E95629" w14:textId="77777777" w:rsidR="00B86FB3" w:rsidRPr="00FF756A" w:rsidRDefault="00B86FB3" w:rsidP="00B86FB3">
            <w:pPr>
              <w:jc w:val="right"/>
              <w:rPr>
                <w:rFonts w:eastAsia="Times New Roman"/>
                <w:color w:val="000000"/>
                <w:sz w:val="16"/>
                <w:szCs w:val="16"/>
              </w:rPr>
            </w:pPr>
            <w:r w:rsidRPr="00FF756A">
              <w:rPr>
                <w:sz w:val="16"/>
                <w:szCs w:val="16"/>
              </w:rPr>
              <w:t xml:space="preserve"> 2 376,6 </w:t>
            </w:r>
          </w:p>
        </w:tc>
        <w:tc>
          <w:tcPr>
            <w:tcW w:w="917" w:type="dxa"/>
            <w:tcBorders>
              <w:top w:val="nil"/>
              <w:left w:val="nil"/>
              <w:bottom w:val="single" w:sz="8" w:space="0" w:color="FFFFFF"/>
              <w:right w:val="single" w:sz="8" w:space="0" w:color="FFFFFF"/>
            </w:tcBorders>
            <w:shd w:val="clear" w:color="000000" w:fill="B8CCE4"/>
            <w:noWrap/>
            <w:hideMark/>
          </w:tcPr>
          <w:p w14:paraId="299B1D6A" w14:textId="77777777" w:rsidR="00B86FB3" w:rsidRPr="00FF756A" w:rsidRDefault="00B86FB3" w:rsidP="00B86FB3">
            <w:pPr>
              <w:jc w:val="right"/>
              <w:rPr>
                <w:rFonts w:eastAsia="Times New Roman"/>
                <w:color w:val="000000"/>
                <w:sz w:val="16"/>
                <w:szCs w:val="16"/>
              </w:rPr>
            </w:pPr>
            <w:r w:rsidRPr="00FF756A">
              <w:rPr>
                <w:sz w:val="16"/>
                <w:szCs w:val="16"/>
              </w:rPr>
              <w:t xml:space="preserve"> 2 340,8 </w:t>
            </w:r>
          </w:p>
        </w:tc>
        <w:tc>
          <w:tcPr>
            <w:tcW w:w="917" w:type="dxa"/>
            <w:tcBorders>
              <w:top w:val="nil"/>
              <w:left w:val="nil"/>
              <w:bottom w:val="single" w:sz="8" w:space="0" w:color="FFFFFF"/>
              <w:right w:val="single" w:sz="8" w:space="0" w:color="FFFFFF"/>
            </w:tcBorders>
            <w:shd w:val="clear" w:color="000000" w:fill="B8CCE4"/>
            <w:noWrap/>
            <w:hideMark/>
          </w:tcPr>
          <w:p w14:paraId="3EC44007" w14:textId="77777777" w:rsidR="00B86FB3" w:rsidRPr="00FF756A" w:rsidRDefault="00B86FB3" w:rsidP="00B86FB3">
            <w:pPr>
              <w:jc w:val="right"/>
              <w:rPr>
                <w:rFonts w:eastAsia="Times New Roman"/>
                <w:color w:val="000000"/>
                <w:sz w:val="16"/>
                <w:szCs w:val="16"/>
              </w:rPr>
            </w:pPr>
            <w:r w:rsidRPr="00FF756A">
              <w:rPr>
                <w:sz w:val="16"/>
                <w:szCs w:val="16"/>
              </w:rPr>
              <w:t xml:space="preserve"> 2 325,0 </w:t>
            </w:r>
          </w:p>
        </w:tc>
        <w:tc>
          <w:tcPr>
            <w:tcW w:w="917" w:type="dxa"/>
            <w:tcBorders>
              <w:top w:val="nil"/>
              <w:left w:val="nil"/>
              <w:bottom w:val="single" w:sz="8" w:space="0" w:color="FFFFFF"/>
              <w:right w:val="single" w:sz="8" w:space="0" w:color="FFFFFF"/>
            </w:tcBorders>
            <w:shd w:val="clear" w:color="000000" w:fill="B8CCE4"/>
            <w:noWrap/>
            <w:hideMark/>
          </w:tcPr>
          <w:p w14:paraId="09D92231" w14:textId="77777777" w:rsidR="00B86FB3" w:rsidRPr="00FF756A" w:rsidRDefault="00B86FB3" w:rsidP="00B86FB3">
            <w:pPr>
              <w:jc w:val="right"/>
              <w:rPr>
                <w:rFonts w:eastAsia="Times New Roman"/>
                <w:color w:val="000000"/>
                <w:sz w:val="16"/>
                <w:szCs w:val="16"/>
              </w:rPr>
            </w:pPr>
            <w:r w:rsidRPr="00FF756A">
              <w:rPr>
                <w:sz w:val="16"/>
                <w:szCs w:val="16"/>
              </w:rPr>
              <w:t xml:space="preserve"> 2 286,4 </w:t>
            </w:r>
          </w:p>
        </w:tc>
        <w:tc>
          <w:tcPr>
            <w:tcW w:w="918" w:type="dxa"/>
            <w:tcBorders>
              <w:top w:val="nil"/>
              <w:left w:val="nil"/>
              <w:bottom w:val="single" w:sz="8" w:space="0" w:color="FFFFFF"/>
              <w:right w:val="single" w:sz="8" w:space="0" w:color="FFFFFF"/>
            </w:tcBorders>
            <w:shd w:val="clear" w:color="000000" w:fill="B8CCE4"/>
            <w:noWrap/>
            <w:hideMark/>
          </w:tcPr>
          <w:p w14:paraId="6A015683" w14:textId="77777777" w:rsidR="00B86FB3" w:rsidRPr="00FF756A" w:rsidRDefault="00B86FB3" w:rsidP="00B86FB3">
            <w:pPr>
              <w:jc w:val="right"/>
              <w:rPr>
                <w:rFonts w:eastAsia="Times New Roman"/>
                <w:color w:val="000000"/>
                <w:sz w:val="16"/>
                <w:szCs w:val="16"/>
              </w:rPr>
            </w:pPr>
            <w:r w:rsidRPr="00FF756A">
              <w:rPr>
                <w:sz w:val="16"/>
                <w:szCs w:val="16"/>
              </w:rPr>
              <w:t xml:space="preserve"> 1 910,8 </w:t>
            </w:r>
          </w:p>
        </w:tc>
        <w:tc>
          <w:tcPr>
            <w:tcW w:w="918" w:type="dxa"/>
            <w:tcBorders>
              <w:top w:val="nil"/>
              <w:left w:val="nil"/>
              <w:bottom w:val="single" w:sz="8" w:space="0" w:color="FFFFFF"/>
              <w:right w:val="single" w:sz="8" w:space="0" w:color="FFFFFF"/>
            </w:tcBorders>
            <w:shd w:val="clear" w:color="000000" w:fill="B8CCE4"/>
          </w:tcPr>
          <w:p w14:paraId="5060DFF1" w14:textId="77777777" w:rsidR="00B86FB3" w:rsidRPr="00FF756A" w:rsidRDefault="00B86FB3" w:rsidP="00B86FB3">
            <w:pPr>
              <w:jc w:val="right"/>
              <w:rPr>
                <w:rFonts w:eastAsia="Times New Roman"/>
                <w:color w:val="000000"/>
                <w:sz w:val="16"/>
                <w:szCs w:val="16"/>
              </w:rPr>
            </w:pPr>
            <w:r w:rsidRPr="00FF756A">
              <w:rPr>
                <w:sz w:val="16"/>
                <w:szCs w:val="16"/>
              </w:rPr>
              <w:t xml:space="preserve"> 1 533,7 </w:t>
            </w:r>
          </w:p>
        </w:tc>
      </w:tr>
      <w:tr w:rsidR="00B86FB3" w:rsidRPr="00FF756A" w14:paraId="76FBAF52"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431EF60B" w14:textId="77777777" w:rsidR="00B86FB3" w:rsidRPr="00FF756A" w:rsidRDefault="00B86FB3" w:rsidP="00B86FB3">
            <w:pPr>
              <w:rPr>
                <w:rFonts w:eastAsia="Times New Roman"/>
                <w:b/>
                <w:bCs/>
                <w:color w:val="FFFFFF"/>
                <w:sz w:val="16"/>
                <w:szCs w:val="16"/>
              </w:rPr>
            </w:pPr>
            <w:r w:rsidRPr="00FF756A">
              <w:rPr>
                <w:b/>
                <w:bCs/>
                <w:color w:val="FFFFFF"/>
                <w:sz w:val="16"/>
                <w:szCs w:val="16"/>
              </w:rPr>
              <w:t>LULUCF</w:t>
            </w:r>
          </w:p>
        </w:tc>
        <w:tc>
          <w:tcPr>
            <w:tcW w:w="917" w:type="dxa"/>
            <w:tcBorders>
              <w:top w:val="nil"/>
              <w:left w:val="nil"/>
              <w:bottom w:val="single" w:sz="8" w:space="0" w:color="FFFFFF"/>
              <w:right w:val="single" w:sz="8" w:space="0" w:color="FFFFFF"/>
            </w:tcBorders>
            <w:shd w:val="clear" w:color="000000" w:fill="DBE5F1"/>
            <w:noWrap/>
            <w:hideMark/>
          </w:tcPr>
          <w:p w14:paraId="15D1D2F9" w14:textId="77777777" w:rsidR="00B86FB3" w:rsidRPr="00FF756A" w:rsidRDefault="00B86FB3" w:rsidP="00B86FB3">
            <w:pPr>
              <w:jc w:val="right"/>
              <w:rPr>
                <w:rFonts w:eastAsia="Times New Roman"/>
                <w:color w:val="000000"/>
                <w:sz w:val="16"/>
                <w:szCs w:val="16"/>
              </w:rPr>
            </w:pPr>
            <w:r w:rsidRPr="00FF756A">
              <w:rPr>
                <w:sz w:val="16"/>
                <w:szCs w:val="16"/>
              </w:rPr>
              <w:t xml:space="preserve"> 1 361,2 </w:t>
            </w:r>
          </w:p>
        </w:tc>
        <w:tc>
          <w:tcPr>
            <w:tcW w:w="917" w:type="dxa"/>
            <w:tcBorders>
              <w:top w:val="nil"/>
              <w:left w:val="nil"/>
              <w:bottom w:val="single" w:sz="8" w:space="0" w:color="FFFFFF"/>
              <w:right w:val="single" w:sz="8" w:space="0" w:color="FFFFFF"/>
            </w:tcBorders>
            <w:shd w:val="clear" w:color="000000" w:fill="DBE5F1"/>
            <w:noWrap/>
            <w:hideMark/>
          </w:tcPr>
          <w:p w14:paraId="2D975F2B" w14:textId="77777777" w:rsidR="00B86FB3" w:rsidRPr="00FF756A" w:rsidRDefault="00B86FB3" w:rsidP="00B86FB3">
            <w:pPr>
              <w:jc w:val="right"/>
              <w:rPr>
                <w:rFonts w:eastAsia="Times New Roman"/>
                <w:color w:val="000000"/>
                <w:sz w:val="16"/>
                <w:szCs w:val="16"/>
              </w:rPr>
            </w:pPr>
            <w:r w:rsidRPr="00FF756A">
              <w:rPr>
                <w:sz w:val="16"/>
                <w:szCs w:val="16"/>
              </w:rPr>
              <w:t xml:space="preserve"> 1 361,2 </w:t>
            </w:r>
          </w:p>
        </w:tc>
        <w:tc>
          <w:tcPr>
            <w:tcW w:w="917" w:type="dxa"/>
            <w:tcBorders>
              <w:top w:val="nil"/>
              <w:left w:val="nil"/>
              <w:bottom w:val="single" w:sz="8" w:space="0" w:color="FFFFFF"/>
              <w:right w:val="single" w:sz="8" w:space="0" w:color="FFFFFF"/>
            </w:tcBorders>
            <w:shd w:val="clear" w:color="000000" w:fill="DBE5F1"/>
            <w:noWrap/>
            <w:hideMark/>
          </w:tcPr>
          <w:p w14:paraId="232ABDC1" w14:textId="77777777" w:rsidR="00B86FB3" w:rsidRPr="00FF756A" w:rsidRDefault="00B86FB3" w:rsidP="00B86FB3">
            <w:pPr>
              <w:jc w:val="right"/>
              <w:rPr>
                <w:rFonts w:eastAsia="Times New Roman"/>
                <w:color w:val="000000"/>
                <w:sz w:val="16"/>
                <w:szCs w:val="16"/>
              </w:rPr>
            </w:pPr>
            <w:r w:rsidRPr="00FF756A">
              <w:rPr>
                <w:sz w:val="16"/>
                <w:szCs w:val="16"/>
              </w:rPr>
              <w:t xml:space="preserve"> 1 361,2 </w:t>
            </w:r>
          </w:p>
        </w:tc>
        <w:tc>
          <w:tcPr>
            <w:tcW w:w="917" w:type="dxa"/>
            <w:tcBorders>
              <w:top w:val="nil"/>
              <w:left w:val="nil"/>
              <w:bottom w:val="single" w:sz="8" w:space="0" w:color="FFFFFF"/>
              <w:right w:val="single" w:sz="8" w:space="0" w:color="FFFFFF"/>
            </w:tcBorders>
            <w:shd w:val="clear" w:color="000000" w:fill="DBE5F1"/>
            <w:noWrap/>
            <w:hideMark/>
          </w:tcPr>
          <w:p w14:paraId="39BE5361" w14:textId="77777777" w:rsidR="00B86FB3" w:rsidRPr="00FF756A" w:rsidRDefault="00B86FB3" w:rsidP="00B86FB3">
            <w:pPr>
              <w:jc w:val="right"/>
              <w:rPr>
                <w:rFonts w:eastAsia="Times New Roman"/>
                <w:color w:val="000000"/>
                <w:sz w:val="16"/>
                <w:szCs w:val="16"/>
              </w:rPr>
            </w:pPr>
            <w:r w:rsidRPr="00FF756A">
              <w:rPr>
                <w:sz w:val="16"/>
                <w:szCs w:val="16"/>
              </w:rPr>
              <w:t xml:space="preserve"> 1 388,0 </w:t>
            </w:r>
          </w:p>
        </w:tc>
        <w:tc>
          <w:tcPr>
            <w:tcW w:w="917" w:type="dxa"/>
            <w:tcBorders>
              <w:top w:val="nil"/>
              <w:left w:val="nil"/>
              <w:bottom w:val="single" w:sz="8" w:space="0" w:color="FFFFFF"/>
              <w:right w:val="single" w:sz="8" w:space="0" w:color="FFFFFF"/>
            </w:tcBorders>
            <w:shd w:val="clear" w:color="000000" w:fill="DBE5F1"/>
            <w:noWrap/>
            <w:hideMark/>
          </w:tcPr>
          <w:p w14:paraId="559187E7" w14:textId="77777777" w:rsidR="00B86FB3" w:rsidRPr="00FF756A" w:rsidRDefault="00B86FB3" w:rsidP="00B86FB3">
            <w:pPr>
              <w:jc w:val="right"/>
              <w:rPr>
                <w:rFonts w:eastAsia="Times New Roman"/>
                <w:color w:val="000000"/>
                <w:sz w:val="16"/>
                <w:szCs w:val="16"/>
              </w:rPr>
            </w:pPr>
            <w:r w:rsidRPr="00FF756A">
              <w:rPr>
                <w:sz w:val="16"/>
                <w:szCs w:val="16"/>
              </w:rPr>
              <w:t xml:space="preserve"> 1 360,2 </w:t>
            </w:r>
          </w:p>
        </w:tc>
        <w:tc>
          <w:tcPr>
            <w:tcW w:w="917" w:type="dxa"/>
            <w:tcBorders>
              <w:top w:val="nil"/>
              <w:left w:val="nil"/>
              <w:bottom w:val="single" w:sz="8" w:space="0" w:color="FFFFFF"/>
              <w:right w:val="single" w:sz="8" w:space="0" w:color="FFFFFF"/>
            </w:tcBorders>
            <w:shd w:val="clear" w:color="000000" w:fill="DBE5F1"/>
            <w:noWrap/>
            <w:hideMark/>
          </w:tcPr>
          <w:p w14:paraId="4B1796B0" w14:textId="77777777" w:rsidR="00B86FB3" w:rsidRPr="00FF756A" w:rsidRDefault="00B86FB3" w:rsidP="00B86FB3">
            <w:pPr>
              <w:jc w:val="right"/>
              <w:rPr>
                <w:rFonts w:eastAsia="Times New Roman"/>
                <w:color w:val="000000"/>
                <w:sz w:val="16"/>
                <w:szCs w:val="16"/>
              </w:rPr>
            </w:pPr>
            <w:r w:rsidRPr="00FF756A">
              <w:rPr>
                <w:sz w:val="16"/>
                <w:szCs w:val="16"/>
              </w:rPr>
              <w:t xml:space="preserve"> 1 290,7 </w:t>
            </w:r>
          </w:p>
        </w:tc>
        <w:tc>
          <w:tcPr>
            <w:tcW w:w="918" w:type="dxa"/>
            <w:tcBorders>
              <w:top w:val="nil"/>
              <w:left w:val="nil"/>
              <w:bottom w:val="single" w:sz="8" w:space="0" w:color="FFFFFF"/>
              <w:right w:val="single" w:sz="8" w:space="0" w:color="FFFFFF"/>
            </w:tcBorders>
            <w:shd w:val="clear" w:color="000000" w:fill="DBE5F1"/>
            <w:noWrap/>
            <w:hideMark/>
          </w:tcPr>
          <w:p w14:paraId="62FCBBBF" w14:textId="77777777" w:rsidR="00B86FB3" w:rsidRPr="00FF756A" w:rsidRDefault="00B86FB3" w:rsidP="00B86FB3">
            <w:pPr>
              <w:jc w:val="right"/>
              <w:rPr>
                <w:rFonts w:eastAsia="Times New Roman"/>
                <w:color w:val="000000"/>
                <w:sz w:val="16"/>
                <w:szCs w:val="16"/>
              </w:rPr>
            </w:pPr>
            <w:r w:rsidRPr="00FF756A">
              <w:rPr>
                <w:sz w:val="16"/>
                <w:szCs w:val="16"/>
              </w:rPr>
              <w:t xml:space="preserve"> 315,7 </w:t>
            </w:r>
          </w:p>
        </w:tc>
        <w:tc>
          <w:tcPr>
            <w:tcW w:w="918" w:type="dxa"/>
            <w:tcBorders>
              <w:top w:val="nil"/>
              <w:left w:val="nil"/>
              <w:bottom w:val="single" w:sz="8" w:space="0" w:color="FFFFFF"/>
              <w:right w:val="single" w:sz="8" w:space="0" w:color="FFFFFF"/>
            </w:tcBorders>
            <w:shd w:val="clear" w:color="000000" w:fill="DBE5F1"/>
          </w:tcPr>
          <w:p w14:paraId="14BB781D" w14:textId="77777777" w:rsidR="00B86FB3" w:rsidRPr="00FF756A" w:rsidRDefault="00B86FB3" w:rsidP="00B86FB3">
            <w:pPr>
              <w:jc w:val="right"/>
              <w:rPr>
                <w:rFonts w:eastAsia="Times New Roman"/>
                <w:color w:val="000000"/>
                <w:sz w:val="16"/>
                <w:szCs w:val="16"/>
              </w:rPr>
            </w:pPr>
            <w:r w:rsidRPr="00FF756A">
              <w:rPr>
                <w:sz w:val="16"/>
                <w:szCs w:val="16"/>
              </w:rPr>
              <w:t xml:space="preserve"> -658,9 </w:t>
            </w:r>
          </w:p>
        </w:tc>
      </w:tr>
      <w:tr w:rsidR="00B86FB3" w:rsidRPr="00FF756A" w14:paraId="6D963961"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3081E53C" w14:textId="77777777" w:rsidR="00B86FB3" w:rsidRPr="00FF756A" w:rsidRDefault="00B86FB3" w:rsidP="00B86FB3">
            <w:pPr>
              <w:rPr>
                <w:rFonts w:eastAsia="Times New Roman"/>
                <w:b/>
                <w:bCs/>
                <w:color w:val="FFFFFF"/>
                <w:sz w:val="16"/>
                <w:szCs w:val="16"/>
              </w:rPr>
            </w:pPr>
            <w:r w:rsidRPr="00FF756A">
              <w:rPr>
                <w:b/>
                <w:bCs/>
                <w:color w:val="FFFFFF"/>
                <w:sz w:val="16"/>
                <w:szCs w:val="16"/>
              </w:rPr>
              <w:t>Mbetjet</w:t>
            </w:r>
          </w:p>
        </w:tc>
        <w:tc>
          <w:tcPr>
            <w:tcW w:w="917" w:type="dxa"/>
            <w:tcBorders>
              <w:top w:val="nil"/>
              <w:left w:val="nil"/>
              <w:bottom w:val="single" w:sz="8" w:space="0" w:color="FFFFFF"/>
              <w:right w:val="single" w:sz="8" w:space="0" w:color="FFFFFF"/>
            </w:tcBorders>
            <w:shd w:val="clear" w:color="000000" w:fill="B8CCE4"/>
            <w:noWrap/>
            <w:hideMark/>
          </w:tcPr>
          <w:p w14:paraId="0243FFCC" w14:textId="77777777" w:rsidR="00B86FB3" w:rsidRPr="00FF756A" w:rsidRDefault="00B86FB3" w:rsidP="00B86FB3">
            <w:pPr>
              <w:jc w:val="right"/>
              <w:rPr>
                <w:rFonts w:eastAsia="Times New Roman"/>
                <w:color w:val="000000"/>
                <w:sz w:val="16"/>
                <w:szCs w:val="16"/>
              </w:rPr>
            </w:pPr>
            <w:r w:rsidRPr="00FF756A">
              <w:rPr>
                <w:sz w:val="16"/>
                <w:szCs w:val="16"/>
              </w:rPr>
              <w:t xml:space="preserve"> 1 336,9 </w:t>
            </w:r>
          </w:p>
        </w:tc>
        <w:tc>
          <w:tcPr>
            <w:tcW w:w="917" w:type="dxa"/>
            <w:tcBorders>
              <w:top w:val="nil"/>
              <w:left w:val="nil"/>
              <w:bottom w:val="single" w:sz="8" w:space="0" w:color="FFFFFF"/>
              <w:right w:val="single" w:sz="8" w:space="0" w:color="FFFFFF"/>
            </w:tcBorders>
            <w:shd w:val="clear" w:color="000000" w:fill="B8CCE4"/>
            <w:noWrap/>
            <w:hideMark/>
          </w:tcPr>
          <w:p w14:paraId="05B8F627" w14:textId="77777777" w:rsidR="00B86FB3" w:rsidRPr="00FF756A" w:rsidRDefault="00B86FB3" w:rsidP="00B86FB3">
            <w:pPr>
              <w:jc w:val="right"/>
              <w:rPr>
                <w:rFonts w:eastAsia="Times New Roman"/>
                <w:color w:val="000000"/>
                <w:sz w:val="16"/>
                <w:szCs w:val="16"/>
              </w:rPr>
            </w:pPr>
            <w:r w:rsidRPr="00FF756A">
              <w:rPr>
                <w:sz w:val="16"/>
                <w:szCs w:val="16"/>
              </w:rPr>
              <w:t xml:space="preserve"> 1 315,4 </w:t>
            </w:r>
          </w:p>
        </w:tc>
        <w:tc>
          <w:tcPr>
            <w:tcW w:w="917" w:type="dxa"/>
            <w:tcBorders>
              <w:top w:val="nil"/>
              <w:left w:val="nil"/>
              <w:bottom w:val="single" w:sz="8" w:space="0" w:color="FFFFFF"/>
              <w:right w:val="single" w:sz="8" w:space="0" w:color="FFFFFF"/>
            </w:tcBorders>
            <w:shd w:val="clear" w:color="000000" w:fill="B8CCE4"/>
            <w:noWrap/>
            <w:hideMark/>
          </w:tcPr>
          <w:p w14:paraId="23C7DCC3" w14:textId="77777777" w:rsidR="00B86FB3" w:rsidRPr="00FF756A" w:rsidRDefault="00B86FB3" w:rsidP="00B86FB3">
            <w:pPr>
              <w:jc w:val="right"/>
              <w:rPr>
                <w:rFonts w:eastAsia="Times New Roman"/>
                <w:color w:val="000000"/>
                <w:sz w:val="16"/>
                <w:szCs w:val="16"/>
              </w:rPr>
            </w:pPr>
            <w:r w:rsidRPr="00FF756A">
              <w:rPr>
                <w:sz w:val="16"/>
                <w:szCs w:val="16"/>
              </w:rPr>
              <w:t xml:space="preserve"> 1 295,2 </w:t>
            </w:r>
          </w:p>
        </w:tc>
        <w:tc>
          <w:tcPr>
            <w:tcW w:w="917" w:type="dxa"/>
            <w:tcBorders>
              <w:top w:val="nil"/>
              <w:left w:val="nil"/>
              <w:bottom w:val="single" w:sz="8" w:space="0" w:color="FFFFFF"/>
              <w:right w:val="single" w:sz="8" w:space="0" w:color="FFFFFF"/>
            </w:tcBorders>
            <w:shd w:val="clear" w:color="000000" w:fill="B8CCE4"/>
            <w:noWrap/>
            <w:hideMark/>
          </w:tcPr>
          <w:p w14:paraId="456CDDDA" w14:textId="77777777" w:rsidR="00B86FB3" w:rsidRPr="00FF756A" w:rsidRDefault="00B86FB3" w:rsidP="00B86FB3">
            <w:pPr>
              <w:jc w:val="right"/>
              <w:rPr>
                <w:rFonts w:eastAsia="Times New Roman"/>
                <w:color w:val="000000"/>
                <w:sz w:val="16"/>
                <w:szCs w:val="16"/>
              </w:rPr>
            </w:pPr>
            <w:r w:rsidRPr="00FF756A">
              <w:rPr>
                <w:sz w:val="16"/>
                <w:szCs w:val="16"/>
              </w:rPr>
              <w:t xml:space="preserve"> 1 269,9 </w:t>
            </w:r>
          </w:p>
        </w:tc>
        <w:tc>
          <w:tcPr>
            <w:tcW w:w="917" w:type="dxa"/>
            <w:tcBorders>
              <w:top w:val="nil"/>
              <w:left w:val="nil"/>
              <w:bottom w:val="single" w:sz="8" w:space="0" w:color="FFFFFF"/>
              <w:right w:val="single" w:sz="8" w:space="0" w:color="FFFFFF"/>
            </w:tcBorders>
            <w:shd w:val="clear" w:color="000000" w:fill="B8CCE4"/>
            <w:noWrap/>
            <w:hideMark/>
          </w:tcPr>
          <w:p w14:paraId="7C87C78D" w14:textId="77777777" w:rsidR="00B86FB3" w:rsidRPr="00FF756A" w:rsidRDefault="00B86FB3" w:rsidP="00B86FB3">
            <w:pPr>
              <w:jc w:val="right"/>
              <w:rPr>
                <w:rFonts w:eastAsia="Times New Roman"/>
                <w:color w:val="000000"/>
                <w:sz w:val="16"/>
                <w:szCs w:val="16"/>
              </w:rPr>
            </w:pPr>
            <w:r w:rsidRPr="00FF756A">
              <w:rPr>
                <w:sz w:val="16"/>
                <w:szCs w:val="16"/>
              </w:rPr>
              <w:t xml:space="preserve"> 1 236,9 </w:t>
            </w:r>
          </w:p>
        </w:tc>
        <w:tc>
          <w:tcPr>
            <w:tcW w:w="917" w:type="dxa"/>
            <w:tcBorders>
              <w:top w:val="nil"/>
              <w:left w:val="nil"/>
              <w:bottom w:val="single" w:sz="8" w:space="0" w:color="FFFFFF"/>
              <w:right w:val="single" w:sz="8" w:space="0" w:color="FFFFFF"/>
            </w:tcBorders>
            <w:shd w:val="clear" w:color="000000" w:fill="B8CCE4"/>
            <w:noWrap/>
            <w:hideMark/>
          </w:tcPr>
          <w:p w14:paraId="7FFF5C29" w14:textId="77777777" w:rsidR="00B86FB3" w:rsidRPr="00FF756A" w:rsidRDefault="00B86FB3" w:rsidP="00B86FB3">
            <w:pPr>
              <w:jc w:val="right"/>
              <w:rPr>
                <w:rFonts w:eastAsia="Times New Roman"/>
                <w:color w:val="000000"/>
                <w:sz w:val="16"/>
                <w:szCs w:val="16"/>
              </w:rPr>
            </w:pPr>
            <w:r w:rsidRPr="00FF756A">
              <w:rPr>
                <w:sz w:val="16"/>
                <w:szCs w:val="16"/>
              </w:rPr>
              <w:t xml:space="preserve"> 1 037,8 </w:t>
            </w:r>
          </w:p>
        </w:tc>
        <w:tc>
          <w:tcPr>
            <w:tcW w:w="918" w:type="dxa"/>
            <w:tcBorders>
              <w:top w:val="nil"/>
              <w:left w:val="nil"/>
              <w:bottom w:val="single" w:sz="8" w:space="0" w:color="FFFFFF"/>
              <w:right w:val="single" w:sz="8" w:space="0" w:color="FFFFFF"/>
            </w:tcBorders>
            <w:shd w:val="clear" w:color="000000" w:fill="B8CCE4"/>
            <w:noWrap/>
            <w:hideMark/>
          </w:tcPr>
          <w:p w14:paraId="027F9F7D" w14:textId="77777777" w:rsidR="00B86FB3" w:rsidRPr="00FF756A" w:rsidRDefault="00B86FB3" w:rsidP="00B86FB3">
            <w:pPr>
              <w:jc w:val="right"/>
              <w:rPr>
                <w:rFonts w:eastAsia="Times New Roman"/>
                <w:color w:val="000000"/>
                <w:sz w:val="16"/>
                <w:szCs w:val="16"/>
              </w:rPr>
            </w:pPr>
            <w:r w:rsidRPr="00FF756A">
              <w:rPr>
                <w:sz w:val="16"/>
                <w:szCs w:val="16"/>
              </w:rPr>
              <w:t xml:space="preserve"> 755,3 </w:t>
            </w:r>
          </w:p>
        </w:tc>
        <w:tc>
          <w:tcPr>
            <w:tcW w:w="918" w:type="dxa"/>
            <w:tcBorders>
              <w:top w:val="nil"/>
              <w:left w:val="nil"/>
              <w:bottom w:val="single" w:sz="8" w:space="0" w:color="FFFFFF"/>
              <w:right w:val="single" w:sz="8" w:space="0" w:color="FFFFFF"/>
            </w:tcBorders>
            <w:shd w:val="clear" w:color="000000" w:fill="B8CCE4"/>
          </w:tcPr>
          <w:p w14:paraId="751624FF" w14:textId="77777777" w:rsidR="00B86FB3" w:rsidRPr="00FF756A" w:rsidRDefault="00B86FB3" w:rsidP="00B86FB3">
            <w:pPr>
              <w:jc w:val="right"/>
              <w:rPr>
                <w:rFonts w:eastAsia="Times New Roman"/>
                <w:color w:val="000000"/>
                <w:sz w:val="16"/>
                <w:szCs w:val="16"/>
              </w:rPr>
            </w:pPr>
            <w:r w:rsidRPr="00FF756A">
              <w:rPr>
                <w:sz w:val="16"/>
                <w:szCs w:val="16"/>
              </w:rPr>
              <w:t xml:space="preserve"> 598,2 </w:t>
            </w:r>
          </w:p>
        </w:tc>
      </w:tr>
      <w:tr w:rsidR="00B86FB3" w:rsidRPr="00FF756A" w14:paraId="280CF7D1"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372440FD" w14:textId="77777777" w:rsidR="00B86FB3" w:rsidRPr="00FF756A" w:rsidRDefault="00B86FB3" w:rsidP="00B86FB3">
            <w:pPr>
              <w:rPr>
                <w:rFonts w:eastAsia="Times New Roman"/>
                <w:b/>
                <w:bCs/>
                <w:color w:val="FFFFFF"/>
                <w:sz w:val="16"/>
                <w:szCs w:val="16"/>
              </w:rPr>
            </w:pPr>
            <w:r w:rsidRPr="00FF756A">
              <w:rPr>
                <w:b/>
                <w:bCs/>
                <w:color w:val="FFFFFF"/>
                <w:sz w:val="16"/>
                <w:szCs w:val="16"/>
              </w:rPr>
              <w:t>Totali</w:t>
            </w:r>
          </w:p>
        </w:tc>
        <w:tc>
          <w:tcPr>
            <w:tcW w:w="917" w:type="dxa"/>
            <w:tcBorders>
              <w:top w:val="nil"/>
              <w:left w:val="nil"/>
              <w:bottom w:val="single" w:sz="8" w:space="0" w:color="FFFFFF"/>
              <w:right w:val="single" w:sz="8" w:space="0" w:color="FFFFFF"/>
            </w:tcBorders>
            <w:shd w:val="clear" w:color="000000" w:fill="4F81BD"/>
            <w:noWrap/>
            <w:hideMark/>
          </w:tcPr>
          <w:p w14:paraId="04DE0268"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6 658,6 </w:t>
            </w:r>
          </w:p>
        </w:tc>
        <w:tc>
          <w:tcPr>
            <w:tcW w:w="917" w:type="dxa"/>
            <w:tcBorders>
              <w:top w:val="nil"/>
              <w:left w:val="nil"/>
              <w:bottom w:val="single" w:sz="8" w:space="0" w:color="FFFFFF"/>
              <w:right w:val="single" w:sz="8" w:space="0" w:color="FFFFFF"/>
            </w:tcBorders>
            <w:shd w:val="clear" w:color="000000" w:fill="4F81BD"/>
            <w:noWrap/>
            <w:hideMark/>
          </w:tcPr>
          <w:p w14:paraId="540EF0C0"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6 645,3 </w:t>
            </w:r>
          </w:p>
        </w:tc>
        <w:tc>
          <w:tcPr>
            <w:tcW w:w="917" w:type="dxa"/>
            <w:tcBorders>
              <w:top w:val="nil"/>
              <w:left w:val="nil"/>
              <w:bottom w:val="single" w:sz="8" w:space="0" w:color="FFFFFF"/>
              <w:right w:val="single" w:sz="8" w:space="0" w:color="FFFFFF"/>
            </w:tcBorders>
            <w:shd w:val="clear" w:color="000000" w:fill="4F81BD"/>
            <w:noWrap/>
            <w:hideMark/>
          </w:tcPr>
          <w:p w14:paraId="5C36CC97"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6 633,3 </w:t>
            </w:r>
          </w:p>
        </w:tc>
        <w:tc>
          <w:tcPr>
            <w:tcW w:w="917" w:type="dxa"/>
            <w:tcBorders>
              <w:top w:val="nil"/>
              <w:left w:val="nil"/>
              <w:bottom w:val="single" w:sz="8" w:space="0" w:color="FFFFFF"/>
              <w:right w:val="single" w:sz="8" w:space="0" w:color="FFFFFF"/>
            </w:tcBorders>
            <w:shd w:val="clear" w:color="000000" w:fill="4F81BD"/>
            <w:noWrap/>
            <w:hideMark/>
          </w:tcPr>
          <w:p w14:paraId="3D53AAB3"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6 639,1 </w:t>
            </w:r>
          </w:p>
        </w:tc>
        <w:tc>
          <w:tcPr>
            <w:tcW w:w="917" w:type="dxa"/>
            <w:tcBorders>
              <w:top w:val="nil"/>
              <w:left w:val="nil"/>
              <w:bottom w:val="single" w:sz="8" w:space="0" w:color="FFFFFF"/>
              <w:right w:val="single" w:sz="8" w:space="0" w:color="FFFFFF"/>
            </w:tcBorders>
            <w:shd w:val="clear" w:color="000000" w:fill="4F81BD"/>
            <w:noWrap/>
            <w:hideMark/>
          </w:tcPr>
          <w:p w14:paraId="4DC879CE"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6 636,7 </w:t>
            </w:r>
          </w:p>
        </w:tc>
        <w:tc>
          <w:tcPr>
            <w:tcW w:w="917" w:type="dxa"/>
            <w:tcBorders>
              <w:top w:val="nil"/>
              <w:left w:val="nil"/>
              <w:bottom w:val="single" w:sz="8" w:space="0" w:color="FFFFFF"/>
              <w:right w:val="single" w:sz="8" w:space="0" w:color="FFFFFF"/>
            </w:tcBorders>
            <w:shd w:val="clear" w:color="000000" w:fill="4F81BD"/>
            <w:noWrap/>
            <w:hideMark/>
          </w:tcPr>
          <w:p w14:paraId="1EF5B971"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6 506,3 </w:t>
            </w:r>
          </w:p>
        </w:tc>
        <w:tc>
          <w:tcPr>
            <w:tcW w:w="918" w:type="dxa"/>
            <w:tcBorders>
              <w:top w:val="nil"/>
              <w:left w:val="nil"/>
              <w:bottom w:val="single" w:sz="8" w:space="0" w:color="FFFFFF"/>
              <w:right w:val="single" w:sz="8" w:space="0" w:color="FFFFFF"/>
            </w:tcBorders>
            <w:shd w:val="clear" w:color="000000" w:fill="4F81BD"/>
            <w:noWrap/>
            <w:hideMark/>
          </w:tcPr>
          <w:p w14:paraId="53D7E337"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4 438,1 </w:t>
            </w:r>
          </w:p>
        </w:tc>
        <w:tc>
          <w:tcPr>
            <w:tcW w:w="918" w:type="dxa"/>
            <w:tcBorders>
              <w:top w:val="nil"/>
              <w:left w:val="nil"/>
              <w:bottom w:val="single" w:sz="8" w:space="0" w:color="FFFFFF"/>
              <w:right w:val="single" w:sz="8" w:space="0" w:color="FFFFFF"/>
            </w:tcBorders>
            <w:shd w:val="clear" w:color="000000" w:fill="4F81BD"/>
          </w:tcPr>
          <w:p w14:paraId="1C34938B"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2 303,8 </w:t>
            </w:r>
          </w:p>
        </w:tc>
      </w:tr>
      <w:tr w:rsidR="00B86FB3" w:rsidRPr="00FF756A" w14:paraId="51A5D27A" w14:textId="77777777" w:rsidTr="006A3266">
        <w:trPr>
          <w:trHeight w:val="293"/>
        </w:trPr>
        <w:tc>
          <w:tcPr>
            <w:tcW w:w="9170" w:type="dxa"/>
            <w:gridSpan w:val="9"/>
            <w:tcBorders>
              <w:top w:val="single" w:sz="8" w:space="0" w:color="FFFFFF"/>
              <w:left w:val="single" w:sz="8" w:space="0" w:color="FFFFFF"/>
              <w:bottom w:val="single" w:sz="8" w:space="0" w:color="FFFFFF"/>
              <w:right w:val="single" w:sz="8" w:space="0" w:color="FFFFFF"/>
            </w:tcBorders>
            <w:shd w:val="clear" w:color="000000" w:fill="4F81BD"/>
            <w:noWrap/>
            <w:vAlign w:val="center"/>
            <w:hideMark/>
          </w:tcPr>
          <w:p w14:paraId="148BC8DF" w14:textId="77777777" w:rsidR="00B86FB3" w:rsidRPr="00FF756A" w:rsidRDefault="00B86FB3" w:rsidP="00B86FB3">
            <w:pPr>
              <w:rPr>
                <w:rFonts w:eastAsia="Times New Roman"/>
                <w:b/>
                <w:bCs/>
                <w:color w:val="FFFFFF"/>
                <w:sz w:val="16"/>
                <w:szCs w:val="16"/>
              </w:rPr>
            </w:pPr>
            <w:r w:rsidRPr="00FF756A">
              <w:rPr>
                <w:b/>
                <w:bCs/>
                <w:color w:val="FFFFFF"/>
                <w:sz w:val="16"/>
                <w:szCs w:val="16"/>
              </w:rPr>
              <w:t>PIPP</w:t>
            </w:r>
          </w:p>
        </w:tc>
      </w:tr>
      <w:tr w:rsidR="00B86FB3" w:rsidRPr="00FF756A" w14:paraId="2106A8E3"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61886663" w14:textId="77777777" w:rsidR="00B86FB3" w:rsidRPr="00FF756A" w:rsidRDefault="00B86FB3" w:rsidP="00B86FB3">
            <w:pPr>
              <w:rPr>
                <w:rFonts w:eastAsia="Times New Roman"/>
                <w:b/>
                <w:bCs/>
                <w:color w:val="FFFFFF"/>
                <w:sz w:val="16"/>
                <w:szCs w:val="16"/>
              </w:rPr>
            </w:pPr>
            <w:r w:rsidRPr="00FF756A">
              <w:rPr>
                <w:b/>
                <w:bCs/>
                <w:color w:val="FFFFFF"/>
                <w:sz w:val="16"/>
                <w:szCs w:val="16"/>
              </w:rPr>
              <w:t>CO</w:t>
            </w:r>
            <w:r w:rsidRPr="00FF756A">
              <w:rPr>
                <w:b/>
                <w:bCs/>
                <w:color w:val="FFFFFF"/>
                <w:sz w:val="16"/>
                <w:szCs w:val="16"/>
                <w:vertAlign w:val="subscript"/>
              </w:rPr>
              <w:t>2</w:t>
            </w:r>
            <w:r w:rsidRPr="00FF756A">
              <w:rPr>
                <w:b/>
                <w:bCs/>
                <w:color w:val="FFFFFF"/>
                <w:sz w:val="16"/>
                <w:szCs w:val="16"/>
              </w:rPr>
              <w:t xml:space="preserve"> nga industria e çimentos</w:t>
            </w:r>
          </w:p>
        </w:tc>
        <w:tc>
          <w:tcPr>
            <w:tcW w:w="917" w:type="dxa"/>
            <w:tcBorders>
              <w:top w:val="nil"/>
              <w:left w:val="nil"/>
              <w:bottom w:val="single" w:sz="8" w:space="0" w:color="FFFFFF"/>
              <w:right w:val="single" w:sz="8" w:space="0" w:color="FFFFFF"/>
            </w:tcBorders>
            <w:shd w:val="clear" w:color="000000" w:fill="DBE5F1"/>
            <w:noWrap/>
            <w:hideMark/>
          </w:tcPr>
          <w:p w14:paraId="48CCDC86" w14:textId="77777777" w:rsidR="00B86FB3" w:rsidRPr="00FF756A" w:rsidRDefault="00B86FB3" w:rsidP="00B86FB3">
            <w:pPr>
              <w:jc w:val="right"/>
              <w:rPr>
                <w:rFonts w:eastAsia="Times New Roman"/>
                <w:color w:val="000000"/>
                <w:sz w:val="16"/>
                <w:szCs w:val="16"/>
              </w:rPr>
            </w:pPr>
            <w:r w:rsidRPr="00FF756A">
              <w:rPr>
                <w:sz w:val="16"/>
                <w:szCs w:val="16"/>
              </w:rPr>
              <w:t xml:space="preserve"> 1 390,9 </w:t>
            </w:r>
          </w:p>
        </w:tc>
        <w:tc>
          <w:tcPr>
            <w:tcW w:w="917" w:type="dxa"/>
            <w:tcBorders>
              <w:top w:val="nil"/>
              <w:left w:val="nil"/>
              <w:bottom w:val="single" w:sz="8" w:space="0" w:color="FFFFFF"/>
              <w:right w:val="single" w:sz="8" w:space="0" w:color="FFFFFF"/>
            </w:tcBorders>
            <w:shd w:val="clear" w:color="000000" w:fill="DBE5F1"/>
            <w:noWrap/>
            <w:hideMark/>
          </w:tcPr>
          <w:p w14:paraId="7634E47B" w14:textId="77777777" w:rsidR="00B86FB3" w:rsidRPr="00FF756A" w:rsidRDefault="00B86FB3" w:rsidP="00B86FB3">
            <w:pPr>
              <w:jc w:val="right"/>
              <w:rPr>
                <w:rFonts w:eastAsia="Times New Roman"/>
                <w:color w:val="000000"/>
                <w:sz w:val="16"/>
                <w:szCs w:val="16"/>
              </w:rPr>
            </w:pPr>
            <w:r w:rsidRPr="00FF756A">
              <w:rPr>
                <w:sz w:val="16"/>
                <w:szCs w:val="16"/>
              </w:rPr>
              <w:t xml:space="preserve"> 1 390,9 </w:t>
            </w:r>
          </w:p>
        </w:tc>
        <w:tc>
          <w:tcPr>
            <w:tcW w:w="917" w:type="dxa"/>
            <w:tcBorders>
              <w:top w:val="nil"/>
              <w:left w:val="nil"/>
              <w:bottom w:val="single" w:sz="8" w:space="0" w:color="FFFFFF"/>
              <w:right w:val="single" w:sz="8" w:space="0" w:color="FFFFFF"/>
            </w:tcBorders>
            <w:shd w:val="clear" w:color="000000" w:fill="DBE5F1"/>
            <w:noWrap/>
            <w:hideMark/>
          </w:tcPr>
          <w:p w14:paraId="662E40C9" w14:textId="77777777" w:rsidR="00B86FB3" w:rsidRPr="00FF756A" w:rsidRDefault="00B86FB3" w:rsidP="00B86FB3">
            <w:pPr>
              <w:jc w:val="right"/>
              <w:rPr>
                <w:rFonts w:eastAsia="Times New Roman"/>
                <w:color w:val="000000"/>
                <w:sz w:val="16"/>
                <w:szCs w:val="16"/>
              </w:rPr>
            </w:pPr>
            <w:r w:rsidRPr="00FF756A">
              <w:rPr>
                <w:sz w:val="16"/>
                <w:szCs w:val="16"/>
              </w:rPr>
              <w:t xml:space="preserve"> 1 390,9 </w:t>
            </w:r>
          </w:p>
        </w:tc>
        <w:tc>
          <w:tcPr>
            <w:tcW w:w="917" w:type="dxa"/>
            <w:tcBorders>
              <w:top w:val="nil"/>
              <w:left w:val="nil"/>
              <w:bottom w:val="single" w:sz="8" w:space="0" w:color="FFFFFF"/>
              <w:right w:val="single" w:sz="8" w:space="0" w:color="FFFFFF"/>
            </w:tcBorders>
            <w:shd w:val="clear" w:color="000000" w:fill="DBE5F1"/>
            <w:noWrap/>
            <w:hideMark/>
          </w:tcPr>
          <w:p w14:paraId="177853D6" w14:textId="77777777" w:rsidR="00B86FB3" w:rsidRPr="00FF756A" w:rsidRDefault="00B86FB3" w:rsidP="00B86FB3">
            <w:pPr>
              <w:jc w:val="right"/>
              <w:rPr>
                <w:rFonts w:eastAsia="Times New Roman"/>
                <w:color w:val="000000"/>
                <w:sz w:val="16"/>
                <w:szCs w:val="16"/>
              </w:rPr>
            </w:pPr>
            <w:r w:rsidRPr="00FF756A">
              <w:rPr>
                <w:sz w:val="16"/>
                <w:szCs w:val="16"/>
              </w:rPr>
              <w:t xml:space="preserve"> 1 420,1 </w:t>
            </w:r>
          </w:p>
        </w:tc>
        <w:tc>
          <w:tcPr>
            <w:tcW w:w="917" w:type="dxa"/>
            <w:tcBorders>
              <w:top w:val="nil"/>
              <w:left w:val="nil"/>
              <w:bottom w:val="single" w:sz="8" w:space="0" w:color="FFFFFF"/>
              <w:right w:val="single" w:sz="8" w:space="0" w:color="FFFFFF"/>
            </w:tcBorders>
            <w:shd w:val="clear" w:color="000000" w:fill="DBE5F1"/>
            <w:noWrap/>
            <w:hideMark/>
          </w:tcPr>
          <w:p w14:paraId="7E34F308" w14:textId="77777777" w:rsidR="00B86FB3" w:rsidRPr="00FF756A" w:rsidRDefault="00B86FB3" w:rsidP="00B86FB3">
            <w:pPr>
              <w:jc w:val="right"/>
              <w:rPr>
                <w:rFonts w:eastAsia="Times New Roman"/>
                <w:color w:val="000000"/>
                <w:sz w:val="16"/>
                <w:szCs w:val="16"/>
              </w:rPr>
            </w:pPr>
            <w:r w:rsidRPr="00FF756A">
              <w:rPr>
                <w:sz w:val="16"/>
                <w:szCs w:val="16"/>
              </w:rPr>
              <w:t xml:space="preserve"> 1 480,4 </w:t>
            </w:r>
          </w:p>
        </w:tc>
        <w:tc>
          <w:tcPr>
            <w:tcW w:w="917" w:type="dxa"/>
            <w:tcBorders>
              <w:top w:val="nil"/>
              <w:left w:val="nil"/>
              <w:bottom w:val="single" w:sz="8" w:space="0" w:color="FFFFFF"/>
              <w:right w:val="single" w:sz="8" w:space="0" w:color="FFFFFF"/>
            </w:tcBorders>
            <w:shd w:val="clear" w:color="000000" w:fill="DBE5F1"/>
            <w:noWrap/>
            <w:hideMark/>
          </w:tcPr>
          <w:p w14:paraId="505C863F" w14:textId="77777777" w:rsidR="00B86FB3" w:rsidRPr="00FF756A" w:rsidRDefault="00B86FB3" w:rsidP="00B86FB3">
            <w:pPr>
              <w:jc w:val="right"/>
              <w:rPr>
                <w:rFonts w:eastAsia="Times New Roman"/>
                <w:color w:val="000000"/>
                <w:sz w:val="16"/>
                <w:szCs w:val="16"/>
              </w:rPr>
            </w:pPr>
            <w:r w:rsidRPr="00FF756A">
              <w:rPr>
                <w:sz w:val="16"/>
                <w:szCs w:val="16"/>
              </w:rPr>
              <w:t xml:space="preserve"> 1 641,4 </w:t>
            </w:r>
          </w:p>
        </w:tc>
        <w:tc>
          <w:tcPr>
            <w:tcW w:w="918" w:type="dxa"/>
            <w:tcBorders>
              <w:top w:val="nil"/>
              <w:left w:val="nil"/>
              <w:bottom w:val="single" w:sz="8" w:space="0" w:color="FFFFFF"/>
              <w:right w:val="single" w:sz="8" w:space="0" w:color="FFFFFF"/>
            </w:tcBorders>
            <w:shd w:val="clear" w:color="000000" w:fill="DBE5F1"/>
            <w:noWrap/>
            <w:hideMark/>
          </w:tcPr>
          <w:p w14:paraId="089700F9" w14:textId="77777777" w:rsidR="00B86FB3" w:rsidRPr="00FF756A" w:rsidRDefault="00B86FB3" w:rsidP="00B86FB3">
            <w:pPr>
              <w:jc w:val="right"/>
              <w:rPr>
                <w:rFonts w:eastAsia="Times New Roman"/>
                <w:color w:val="000000"/>
                <w:sz w:val="16"/>
                <w:szCs w:val="16"/>
              </w:rPr>
            </w:pPr>
            <w:r w:rsidRPr="00FF756A">
              <w:rPr>
                <w:sz w:val="16"/>
                <w:szCs w:val="16"/>
              </w:rPr>
              <w:t xml:space="preserve"> 1 180,9 </w:t>
            </w:r>
          </w:p>
        </w:tc>
        <w:tc>
          <w:tcPr>
            <w:tcW w:w="918" w:type="dxa"/>
            <w:tcBorders>
              <w:top w:val="nil"/>
              <w:left w:val="nil"/>
              <w:bottom w:val="single" w:sz="8" w:space="0" w:color="FFFFFF"/>
              <w:right w:val="single" w:sz="8" w:space="0" w:color="FFFFFF"/>
            </w:tcBorders>
            <w:shd w:val="clear" w:color="000000" w:fill="DBE5F1"/>
          </w:tcPr>
          <w:p w14:paraId="240CFB05" w14:textId="77777777" w:rsidR="00B86FB3" w:rsidRPr="00FF756A" w:rsidRDefault="00B86FB3" w:rsidP="00B86FB3">
            <w:pPr>
              <w:jc w:val="right"/>
              <w:rPr>
                <w:rFonts w:eastAsia="Times New Roman"/>
                <w:color w:val="000000"/>
                <w:sz w:val="16"/>
                <w:szCs w:val="16"/>
              </w:rPr>
            </w:pPr>
            <w:r w:rsidRPr="00FF756A">
              <w:rPr>
                <w:sz w:val="16"/>
                <w:szCs w:val="16"/>
              </w:rPr>
              <w:t xml:space="preserve"> 464,2 </w:t>
            </w:r>
          </w:p>
        </w:tc>
      </w:tr>
      <w:tr w:rsidR="00B86FB3" w:rsidRPr="00FF756A" w14:paraId="5E330F48"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1789DD8A" w14:textId="77777777" w:rsidR="00B86FB3" w:rsidRPr="00FF756A" w:rsidRDefault="00B86FB3" w:rsidP="00B86FB3">
            <w:pPr>
              <w:rPr>
                <w:rFonts w:eastAsia="Times New Roman"/>
                <w:b/>
                <w:bCs/>
                <w:color w:val="FFFFFF"/>
                <w:sz w:val="16"/>
                <w:szCs w:val="16"/>
              </w:rPr>
            </w:pPr>
            <w:r w:rsidRPr="00FF756A">
              <w:rPr>
                <w:b/>
                <w:bCs/>
                <w:color w:val="FFFFFF"/>
                <w:sz w:val="16"/>
                <w:szCs w:val="16"/>
              </w:rPr>
              <w:t>CO</w:t>
            </w:r>
            <w:r w:rsidRPr="00FF756A">
              <w:rPr>
                <w:b/>
                <w:bCs/>
                <w:color w:val="FFFFFF"/>
                <w:sz w:val="16"/>
                <w:szCs w:val="16"/>
                <w:vertAlign w:val="subscript"/>
              </w:rPr>
              <w:t>2</w:t>
            </w:r>
            <w:r w:rsidRPr="00FF756A">
              <w:rPr>
                <w:b/>
                <w:bCs/>
                <w:color w:val="FFFFFF"/>
                <w:sz w:val="16"/>
                <w:szCs w:val="16"/>
              </w:rPr>
              <w:t xml:space="preserve"> nga industria e gëlqeres</w:t>
            </w:r>
          </w:p>
        </w:tc>
        <w:tc>
          <w:tcPr>
            <w:tcW w:w="917" w:type="dxa"/>
            <w:tcBorders>
              <w:top w:val="nil"/>
              <w:left w:val="nil"/>
              <w:bottom w:val="single" w:sz="8" w:space="0" w:color="FFFFFF"/>
              <w:right w:val="single" w:sz="8" w:space="0" w:color="FFFFFF"/>
            </w:tcBorders>
            <w:shd w:val="clear" w:color="000000" w:fill="B8CCE4"/>
            <w:noWrap/>
            <w:hideMark/>
          </w:tcPr>
          <w:p w14:paraId="1F04BF24" w14:textId="77777777" w:rsidR="00B86FB3" w:rsidRPr="00FF756A" w:rsidRDefault="00B86FB3" w:rsidP="00B86FB3">
            <w:pPr>
              <w:jc w:val="right"/>
              <w:rPr>
                <w:rFonts w:eastAsia="Times New Roman"/>
                <w:color w:val="000000"/>
                <w:sz w:val="16"/>
                <w:szCs w:val="16"/>
              </w:rPr>
            </w:pPr>
            <w:r w:rsidRPr="00FF756A">
              <w:rPr>
                <w:sz w:val="16"/>
                <w:szCs w:val="16"/>
              </w:rPr>
              <w:t xml:space="preserve"> 13,8 </w:t>
            </w:r>
          </w:p>
        </w:tc>
        <w:tc>
          <w:tcPr>
            <w:tcW w:w="917" w:type="dxa"/>
            <w:tcBorders>
              <w:top w:val="nil"/>
              <w:left w:val="nil"/>
              <w:bottom w:val="single" w:sz="8" w:space="0" w:color="FFFFFF"/>
              <w:right w:val="single" w:sz="8" w:space="0" w:color="FFFFFF"/>
            </w:tcBorders>
            <w:shd w:val="clear" w:color="000000" w:fill="B8CCE4"/>
            <w:noWrap/>
            <w:hideMark/>
          </w:tcPr>
          <w:p w14:paraId="142590E9" w14:textId="77777777" w:rsidR="00B86FB3" w:rsidRPr="00FF756A" w:rsidRDefault="00B86FB3" w:rsidP="00B86FB3">
            <w:pPr>
              <w:jc w:val="right"/>
              <w:rPr>
                <w:rFonts w:eastAsia="Times New Roman"/>
                <w:color w:val="000000"/>
                <w:sz w:val="16"/>
                <w:szCs w:val="16"/>
              </w:rPr>
            </w:pPr>
            <w:r w:rsidRPr="00FF756A">
              <w:rPr>
                <w:sz w:val="16"/>
                <w:szCs w:val="16"/>
              </w:rPr>
              <w:t xml:space="preserve"> 13,8 </w:t>
            </w:r>
          </w:p>
        </w:tc>
        <w:tc>
          <w:tcPr>
            <w:tcW w:w="917" w:type="dxa"/>
            <w:tcBorders>
              <w:top w:val="nil"/>
              <w:left w:val="nil"/>
              <w:bottom w:val="single" w:sz="8" w:space="0" w:color="FFFFFF"/>
              <w:right w:val="single" w:sz="8" w:space="0" w:color="FFFFFF"/>
            </w:tcBorders>
            <w:shd w:val="clear" w:color="000000" w:fill="B8CCE4"/>
            <w:noWrap/>
            <w:hideMark/>
          </w:tcPr>
          <w:p w14:paraId="00350367" w14:textId="77777777" w:rsidR="00B86FB3" w:rsidRPr="00FF756A" w:rsidRDefault="00B86FB3" w:rsidP="00B86FB3">
            <w:pPr>
              <w:jc w:val="right"/>
              <w:rPr>
                <w:rFonts w:eastAsia="Times New Roman"/>
                <w:color w:val="000000"/>
                <w:sz w:val="16"/>
                <w:szCs w:val="16"/>
              </w:rPr>
            </w:pPr>
            <w:r w:rsidRPr="00FF756A">
              <w:rPr>
                <w:sz w:val="16"/>
                <w:szCs w:val="16"/>
              </w:rPr>
              <w:t xml:space="preserve"> 13,8 </w:t>
            </w:r>
          </w:p>
        </w:tc>
        <w:tc>
          <w:tcPr>
            <w:tcW w:w="917" w:type="dxa"/>
            <w:tcBorders>
              <w:top w:val="nil"/>
              <w:left w:val="nil"/>
              <w:bottom w:val="single" w:sz="8" w:space="0" w:color="FFFFFF"/>
              <w:right w:val="single" w:sz="8" w:space="0" w:color="FFFFFF"/>
            </w:tcBorders>
            <w:shd w:val="clear" w:color="000000" w:fill="B8CCE4"/>
            <w:noWrap/>
            <w:hideMark/>
          </w:tcPr>
          <w:p w14:paraId="0CD04835" w14:textId="77777777" w:rsidR="00B86FB3" w:rsidRPr="00FF756A" w:rsidRDefault="00B86FB3" w:rsidP="00B86FB3">
            <w:pPr>
              <w:jc w:val="right"/>
              <w:rPr>
                <w:rFonts w:eastAsia="Times New Roman"/>
                <w:color w:val="000000"/>
                <w:sz w:val="16"/>
                <w:szCs w:val="16"/>
              </w:rPr>
            </w:pPr>
            <w:r w:rsidRPr="00FF756A">
              <w:rPr>
                <w:sz w:val="16"/>
                <w:szCs w:val="16"/>
              </w:rPr>
              <w:t xml:space="preserve"> 14,4 </w:t>
            </w:r>
          </w:p>
        </w:tc>
        <w:tc>
          <w:tcPr>
            <w:tcW w:w="917" w:type="dxa"/>
            <w:tcBorders>
              <w:top w:val="nil"/>
              <w:left w:val="nil"/>
              <w:bottom w:val="single" w:sz="8" w:space="0" w:color="FFFFFF"/>
              <w:right w:val="single" w:sz="8" w:space="0" w:color="FFFFFF"/>
            </w:tcBorders>
            <w:shd w:val="clear" w:color="000000" w:fill="B8CCE4"/>
            <w:noWrap/>
            <w:hideMark/>
          </w:tcPr>
          <w:p w14:paraId="2D6EDF2A" w14:textId="77777777" w:rsidR="00B86FB3" w:rsidRPr="00FF756A" w:rsidRDefault="00B86FB3" w:rsidP="00B86FB3">
            <w:pPr>
              <w:jc w:val="right"/>
              <w:rPr>
                <w:rFonts w:eastAsia="Times New Roman"/>
                <w:color w:val="000000"/>
                <w:sz w:val="16"/>
                <w:szCs w:val="16"/>
              </w:rPr>
            </w:pPr>
            <w:r w:rsidRPr="00FF756A">
              <w:rPr>
                <w:sz w:val="16"/>
                <w:szCs w:val="16"/>
              </w:rPr>
              <w:t xml:space="preserve"> 15,9 </w:t>
            </w:r>
          </w:p>
        </w:tc>
        <w:tc>
          <w:tcPr>
            <w:tcW w:w="917" w:type="dxa"/>
            <w:tcBorders>
              <w:top w:val="nil"/>
              <w:left w:val="nil"/>
              <w:bottom w:val="single" w:sz="8" w:space="0" w:color="FFFFFF"/>
              <w:right w:val="single" w:sz="8" w:space="0" w:color="FFFFFF"/>
            </w:tcBorders>
            <w:shd w:val="clear" w:color="000000" w:fill="B8CCE4"/>
            <w:noWrap/>
            <w:hideMark/>
          </w:tcPr>
          <w:p w14:paraId="1174222C" w14:textId="77777777" w:rsidR="00B86FB3" w:rsidRPr="00FF756A" w:rsidRDefault="00B86FB3" w:rsidP="00B86FB3">
            <w:pPr>
              <w:jc w:val="right"/>
              <w:rPr>
                <w:rFonts w:eastAsia="Times New Roman"/>
                <w:color w:val="000000"/>
                <w:sz w:val="16"/>
                <w:szCs w:val="16"/>
              </w:rPr>
            </w:pPr>
            <w:r w:rsidRPr="00FF756A">
              <w:rPr>
                <w:sz w:val="16"/>
                <w:szCs w:val="16"/>
              </w:rPr>
              <w:t xml:space="preserve"> 20,1 </w:t>
            </w:r>
          </w:p>
        </w:tc>
        <w:tc>
          <w:tcPr>
            <w:tcW w:w="918" w:type="dxa"/>
            <w:tcBorders>
              <w:top w:val="nil"/>
              <w:left w:val="nil"/>
              <w:bottom w:val="single" w:sz="8" w:space="0" w:color="FFFFFF"/>
              <w:right w:val="single" w:sz="8" w:space="0" w:color="FFFFFF"/>
            </w:tcBorders>
            <w:shd w:val="clear" w:color="000000" w:fill="B8CCE4"/>
            <w:noWrap/>
            <w:hideMark/>
          </w:tcPr>
          <w:p w14:paraId="2F4FA6FF" w14:textId="77777777" w:rsidR="00B86FB3" w:rsidRPr="00FF756A" w:rsidRDefault="00B86FB3" w:rsidP="00B86FB3">
            <w:pPr>
              <w:jc w:val="right"/>
              <w:rPr>
                <w:rFonts w:eastAsia="Times New Roman"/>
                <w:color w:val="000000"/>
                <w:sz w:val="16"/>
                <w:szCs w:val="16"/>
              </w:rPr>
            </w:pPr>
            <w:r w:rsidRPr="00FF756A">
              <w:rPr>
                <w:sz w:val="16"/>
                <w:szCs w:val="16"/>
              </w:rPr>
              <w:t xml:space="preserve"> 32,3 </w:t>
            </w:r>
          </w:p>
        </w:tc>
        <w:tc>
          <w:tcPr>
            <w:tcW w:w="918" w:type="dxa"/>
            <w:tcBorders>
              <w:top w:val="nil"/>
              <w:left w:val="nil"/>
              <w:bottom w:val="single" w:sz="8" w:space="0" w:color="FFFFFF"/>
              <w:right w:val="single" w:sz="8" w:space="0" w:color="FFFFFF"/>
            </w:tcBorders>
            <w:shd w:val="clear" w:color="000000" w:fill="B8CCE4"/>
          </w:tcPr>
          <w:p w14:paraId="1DC65EE4" w14:textId="77777777" w:rsidR="00B86FB3" w:rsidRPr="00FF756A" w:rsidRDefault="00B86FB3" w:rsidP="00B86FB3">
            <w:pPr>
              <w:jc w:val="right"/>
              <w:rPr>
                <w:rFonts w:eastAsia="Times New Roman"/>
                <w:color w:val="000000"/>
                <w:sz w:val="16"/>
                <w:szCs w:val="16"/>
              </w:rPr>
            </w:pPr>
            <w:r w:rsidRPr="00FF756A">
              <w:rPr>
                <w:sz w:val="16"/>
                <w:szCs w:val="16"/>
              </w:rPr>
              <w:t xml:space="preserve"> 51,9 </w:t>
            </w:r>
          </w:p>
        </w:tc>
      </w:tr>
      <w:tr w:rsidR="00B86FB3" w:rsidRPr="00FF756A" w14:paraId="3806FB21"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67DE130F" w14:textId="77777777" w:rsidR="00B86FB3" w:rsidRPr="00FF756A" w:rsidRDefault="00B86FB3" w:rsidP="00B86FB3">
            <w:pPr>
              <w:rPr>
                <w:rFonts w:eastAsia="Times New Roman"/>
                <w:b/>
                <w:bCs/>
                <w:color w:val="FFFFFF"/>
                <w:sz w:val="16"/>
                <w:szCs w:val="16"/>
              </w:rPr>
            </w:pPr>
            <w:r w:rsidRPr="00FF756A">
              <w:rPr>
                <w:b/>
                <w:bCs/>
                <w:color w:val="FFFFFF"/>
                <w:sz w:val="16"/>
                <w:szCs w:val="16"/>
              </w:rPr>
              <w:t>CO</w:t>
            </w:r>
            <w:r w:rsidRPr="00FF756A">
              <w:rPr>
                <w:b/>
                <w:bCs/>
                <w:color w:val="FFFFFF"/>
                <w:sz w:val="16"/>
                <w:szCs w:val="16"/>
                <w:vertAlign w:val="subscript"/>
              </w:rPr>
              <w:t>2</w:t>
            </w:r>
            <w:r w:rsidRPr="00FF756A">
              <w:rPr>
                <w:b/>
                <w:bCs/>
                <w:color w:val="FFFFFF"/>
                <w:sz w:val="16"/>
                <w:szCs w:val="16"/>
              </w:rPr>
              <w:t xml:space="preserve"> nga industria e prodhimit të çelikut dhe hekurit</w:t>
            </w:r>
          </w:p>
        </w:tc>
        <w:tc>
          <w:tcPr>
            <w:tcW w:w="917" w:type="dxa"/>
            <w:tcBorders>
              <w:top w:val="nil"/>
              <w:left w:val="nil"/>
              <w:bottom w:val="single" w:sz="8" w:space="0" w:color="FFFFFF"/>
              <w:right w:val="single" w:sz="8" w:space="0" w:color="FFFFFF"/>
            </w:tcBorders>
            <w:shd w:val="clear" w:color="000000" w:fill="DBE5F1"/>
            <w:noWrap/>
            <w:hideMark/>
          </w:tcPr>
          <w:p w14:paraId="4D8E1D23" w14:textId="77777777" w:rsidR="00B86FB3" w:rsidRPr="00FF756A" w:rsidRDefault="00B86FB3" w:rsidP="00B86FB3">
            <w:pPr>
              <w:jc w:val="right"/>
              <w:rPr>
                <w:rFonts w:eastAsia="Times New Roman"/>
                <w:color w:val="000000"/>
                <w:sz w:val="16"/>
                <w:szCs w:val="16"/>
              </w:rPr>
            </w:pPr>
            <w:r w:rsidRPr="00FF756A">
              <w:rPr>
                <w:sz w:val="16"/>
                <w:szCs w:val="16"/>
              </w:rPr>
              <w:t xml:space="preserve"> 22,1 </w:t>
            </w:r>
          </w:p>
        </w:tc>
        <w:tc>
          <w:tcPr>
            <w:tcW w:w="917" w:type="dxa"/>
            <w:tcBorders>
              <w:top w:val="nil"/>
              <w:left w:val="nil"/>
              <w:bottom w:val="single" w:sz="8" w:space="0" w:color="FFFFFF"/>
              <w:right w:val="single" w:sz="8" w:space="0" w:color="FFFFFF"/>
            </w:tcBorders>
            <w:shd w:val="clear" w:color="000000" w:fill="DBE5F1"/>
            <w:noWrap/>
            <w:hideMark/>
          </w:tcPr>
          <w:p w14:paraId="600096C3" w14:textId="77777777" w:rsidR="00B86FB3" w:rsidRPr="00FF756A" w:rsidRDefault="00B86FB3" w:rsidP="00B86FB3">
            <w:pPr>
              <w:jc w:val="right"/>
              <w:rPr>
                <w:rFonts w:eastAsia="Times New Roman"/>
                <w:color w:val="000000"/>
                <w:sz w:val="16"/>
                <w:szCs w:val="16"/>
              </w:rPr>
            </w:pPr>
            <w:r w:rsidRPr="00FF756A">
              <w:rPr>
                <w:sz w:val="16"/>
                <w:szCs w:val="16"/>
              </w:rPr>
              <w:t xml:space="preserve"> 22,1 </w:t>
            </w:r>
          </w:p>
        </w:tc>
        <w:tc>
          <w:tcPr>
            <w:tcW w:w="917" w:type="dxa"/>
            <w:tcBorders>
              <w:top w:val="nil"/>
              <w:left w:val="nil"/>
              <w:bottom w:val="single" w:sz="8" w:space="0" w:color="FFFFFF"/>
              <w:right w:val="single" w:sz="8" w:space="0" w:color="FFFFFF"/>
            </w:tcBorders>
            <w:shd w:val="clear" w:color="000000" w:fill="DBE5F1"/>
            <w:noWrap/>
            <w:hideMark/>
          </w:tcPr>
          <w:p w14:paraId="11A4A8E2" w14:textId="77777777" w:rsidR="00B86FB3" w:rsidRPr="00FF756A" w:rsidRDefault="00B86FB3" w:rsidP="00B86FB3">
            <w:pPr>
              <w:jc w:val="right"/>
              <w:rPr>
                <w:rFonts w:eastAsia="Times New Roman"/>
                <w:color w:val="000000"/>
                <w:sz w:val="16"/>
                <w:szCs w:val="16"/>
              </w:rPr>
            </w:pPr>
            <w:r w:rsidRPr="00FF756A">
              <w:rPr>
                <w:sz w:val="16"/>
                <w:szCs w:val="16"/>
              </w:rPr>
              <w:t xml:space="preserve"> 22,1 </w:t>
            </w:r>
          </w:p>
        </w:tc>
        <w:tc>
          <w:tcPr>
            <w:tcW w:w="917" w:type="dxa"/>
            <w:tcBorders>
              <w:top w:val="nil"/>
              <w:left w:val="nil"/>
              <w:bottom w:val="single" w:sz="8" w:space="0" w:color="FFFFFF"/>
              <w:right w:val="single" w:sz="8" w:space="0" w:color="FFFFFF"/>
            </w:tcBorders>
            <w:shd w:val="clear" w:color="000000" w:fill="DBE5F1"/>
            <w:noWrap/>
            <w:hideMark/>
          </w:tcPr>
          <w:p w14:paraId="74EFAB1C" w14:textId="77777777" w:rsidR="00B86FB3" w:rsidRPr="00FF756A" w:rsidRDefault="00B86FB3" w:rsidP="00B86FB3">
            <w:pPr>
              <w:jc w:val="right"/>
              <w:rPr>
                <w:rFonts w:eastAsia="Times New Roman"/>
                <w:color w:val="000000"/>
                <w:sz w:val="16"/>
                <w:szCs w:val="16"/>
              </w:rPr>
            </w:pPr>
            <w:r w:rsidRPr="00FF756A">
              <w:rPr>
                <w:sz w:val="16"/>
                <w:szCs w:val="16"/>
              </w:rPr>
              <w:t xml:space="preserve"> 23,2 </w:t>
            </w:r>
          </w:p>
        </w:tc>
        <w:tc>
          <w:tcPr>
            <w:tcW w:w="917" w:type="dxa"/>
            <w:tcBorders>
              <w:top w:val="nil"/>
              <w:left w:val="nil"/>
              <w:bottom w:val="single" w:sz="8" w:space="0" w:color="FFFFFF"/>
              <w:right w:val="single" w:sz="8" w:space="0" w:color="FFFFFF"/>
            </w:tcBorders>
            <w:shd w:val="clear" w:color="000000" w:fill="DBE5F1"/>
            <w:noWrap/>
            <w:hideMark/>
          </w:tcPr>
          <w:p w14:paraId="2984362D" w14:textId="77777777" w:rsidR="00B86FB3" w:rsidRPr="00FF756A" w:rsidRDefault="00B86FB3" w:rsidP="00B86FB3">
            <w:pPr>
              <w:jc w:val="right"/>
              <w:rPr>
                <w:rFonts w:eastAsia="Times New Roman"/>
                <w:color w:val="000000"/>
                <w:sz w:val="16"/>
                <w:szCs w:val="16"/>
              </w:rPr>
            </w:pPr>
            <w:r w:rsidRPr="00FF756A">
              <w:rPr>
                <w:sz w:val="16"/>
                <w:szCs w:val="16"/>
              </w:rPr>
              <w:t xml:space="preserve"> 25,5 </w:t>
            </w:r>
          </w:p>
        </w:tc>
        <w:tc>
          <w:tcPr>
            <w:tcW w:w="917" w:type="dxa"/>
            <w:tcBorders>
              <w:top w:val="nil"/>
              <w:left w:val="nil"/>
              <w:bottom w:val="single" w:sz="8" w:space="0" w:color="FFFFFF"/>
              <w:right w:val="single" w:sz="8" w:space="0" w:color="FFFFFF"/>
            </w:tcBorders>
            <w:shd w:val="clear" w:color="000000" w:fill="DBE5F1"/>
            <w:noWrap/>
            <w:hideMark/>
          </w:tcPr>
          <w:p w14:paraId="501F307E" w14:textId="77777777" w:rsidR="00B86FB3" w:rsidRPr="00FF756A" w:rsidRDefault="00B86FB3" w:rsidP="00B86FB3">
            <w:pPr>
              <w:jc w:val="right"/>
              <w:rPr>
                <w:rFonts w:eastAsia="Times New Roman"/>
                <w:color w:val="000000"/>
                <w:sz w:val="16"/>
                <w:szCs w:val="16"/>
              </w:rPr>
            </w:pPr>
            <w:r w:rsidRPr="00FF756A">
              <w:rPr>
                <w:sz w:val="16"/>
                <w:szCs w:val="16"/>
              </w:rPr>
              <w:t xml:space="preserve"> 32,3 </w:t>
            </w:r>
          </w:p>
        </w:tc>
        <w:tc>
          <w:tcPr>
            <w:tcW w:w="918" w:type="dxa"/>
            <w:tcBorders>
              <w:top w:val="nil"/>
              <w:left w:val="nil"/>
              <w:bottom w:val="single" w:sz="8" w:space="0" w:color="FFFFFF"/>
              <w:right w:val="single" w:sz="8" w:space="0" w:color="FFFFFF"/>
            </w:tcBorders>
            <w:shd w:val="clear" w:color="000000" w:fill="DBE5F1"/>
            <w:noWrap/>
            <w:hideMark/>
          </w:tcPr>
          <w:p w14:paraId="57942AF0" w14:textId="77777777" w:rsidR="00B86FB3" w:rsidRPr="00FF756A" w:rsidRDefault="00B86FB3" w:rsidP="00B86FB3">
            <w:pPr>
              <w:jc w:val="right"/>
              <w:rPr>
                <w:rFonts w:eastAsia="Times New Roman"/>
                <w:color w:val="000000"/>
                <w:sz w:val="16"/>
                <w:szCs w:val="16"/>
              </w:rPr>
            </w:pPr>
            <w:r w:rsidRPr="00FF756A">
              <w:rPr>
                <w:sz w:val="16"/>
                <w:szCs w:val="16"/>
              </w:rPr>
              <w:t xml:space="preserve"> 51,9 </w:t>
            </w:r>
          </w:p>
        </w:tc>
        <w:tc>
          <w:tcPr>
            <w:tcW w:w="918" w:type="dxa"/>
            <w:tcBorders>
              <w:top w:val="nil"/>
              <w:left w:val="nil"/>
              <w:bottom w:val="single" w:sz="8" w:space="0" w:color="FFFFFF"/>
              <w:right w:val="single" w:sz="8" w:space="0" w:color="FFFFFF"/>
            </w:tcBorders>
            <w:shd w:val="clear" w:color="000000" w:fill="DBE5F1"/>
          </w:tcPr>
          <w:p w14:paraId="6A4018DE" w14:textId="77777777" w:rsidR="00B86FB3" w:rsidRPr="00FF756A" w:rsidRDefault="00B86FB3" w:rsidP="00B86FB3">
            <w:pPr>
              <w:jc w:val="right"/>
              <w:rPr>
                <w:rFonts w:eastAsia="Times New Roman"/>
                <w:color w:val="000000"/>
                <w:sz w:val="16"/>
                <w:szCs w:val="16"/>
              </w:rPr>
            </w:pPr>
            <w:r w:rsidRPr="00FF756A">
              <w:rPr>
                <w:sz w:val="16"/>
                <w:szCs w:val="16"/>
              </w:rPr>
              <w:t xml:space="preserve"> 83,4 </w:t>
            </w:r>
          </w:p>
        </w:tc>
      </w:tr>
      <w:tr w:rsidR="00B86FB3" w:rsidRPr="00FF756A" w14:paraId="7FD7594F"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7EDCEBD7" w14:textId="77777777" w:rsidR="00B86FB3" w:rsidRPr="00FF756A" w:rsidRDefault="00B86FB3" w:rsidP="00B86FB3">
            <w:pPr>
              <w:rPr>
                <w:rFonts w:eastAsia="Times New Roman"/>
                <w:b/>
                <w:bCs/>
                <w:color w:val="FFFFFF"/>
                <w:sz w:val="16"/>
                <w:szCs w:val="16"/>
              </w:rPr>
            </w:pPr>
            <w:r w:rsidRPr="00FF756A">
              <w:rPr>
                <w:b/>
                <w:bCs/>
                <w:color w:val="FFFFFF"/>
                <w:sz w:val="16"/>
                <w:szCs w:val="16"/>
              </w:rPr>
              <w:t>CO</w:t>
            </w:r>
            <w:r w:rsidRPr="00FF756A">
              <w:rPr>
                <w:b/>
                <w:bCs/>
                <w:color w:val="FFFFFF"/>
                <w:sz w:val="16"/>
                <w:szCs w:val="16"/>
                <w:vertAlign w:val="subscript"/>
              </w:rPr>
              <w:t>2</w:t>
            </w:r>
            <w:r w:rsidRPr="00FF756A">
              <w:rPr>
                <w:b/>
                <w:bCs/>
                <w:color w:val="FFFFFF"/>
                <w:sz w:val="16"/>
                <w:szCs w:val="16"/>
              </w:rPr>
              <w:t xml:space="preserve"> nga aliazhet e hekurit</w:t>
            </w:r>
          </w:p>
        </w:tc>
        <w:tc>
          <w:tcPr>
            <w:tcW w:w="917" w:type="dxa"/>
            <w:tcBorders>
              <w:top w:val="nil"/>
              <w:left w:val="nil"/>
              <w:bottom w:val="single" w:sz="8" w:space="0" w:color="FFFFFF"/>
              <w:right w:val="single" w:sz="8" w:space="0" w:color="FFFFFF"/>
            </w:tcBorders>
            <w:shd w:val="clear" w:color="000000" w:fill="B8CCE4"/>
            <w:noWrap/>
            <w:hideMark/>
          </w:tcPr>
          <w:p w14:paraId="7C50828D" w14:textId="77777777" w:rsidR="00B86FB3" w:rsidRPr="00FF756A" w:rsidRDefault="00B86FB3" w:rsidP="00B86FB3">
            <w:pPr>
              <w:jc w:val="right"/>
              <w:rPr>
                <w:rFonts w:eastAsia="Times New Roman"/>
                <w:color w:val="000000"/>
                <w:sz w:val="16"/>
                <w:szCs w:val="16"/>
              </w:rPr>
            </w:pPr>
            <w:r w:rsidRPr="00FF756A">
              <w:rPr>
                <w:sz w:val="16"/>
                <w:szCs w:val="16"/>
              </w:rPr>
              <w:t xml:space="preserve"> 57,9 </w:t>
            </w:r>
          </w:p>
        </w:tc>
        <w:tc>
          <w:tcPr>
            <w:tcW w:w="917" w:type="dxa"/>
            <w:tcBorders>
              <w:top w:val="nil"/>
              <w:left w:val="nil"/>
              <w:bottom w:val="single" w:sz="8" w:space="0" w:color="FFFFFF"/>
              <w:right w:val="single" w:sz="8" w:space="0" w:color="FFFFFF"/>
            </w:tcBorders>
            <w:shd w:val="clear" w:color="000000" w:fill="B8CCE4"/>
            <w:noWrap/>
            <w:hideMark/>
          </w:tcPr>
          <w:p w14:paraId="37AD4758" w14:textId="77777777" w:rsidR="00B86FB3" w:rsidRPr="00FF756A" w:rsidRDefault="00B86FB3" w:rsidP="00B86FB3">
            <w:pPr>
              <w:jc w:val="right"/>
              <w:rPr>
                <w:rFonts w:eastAsia="Times New Roman"/>
                <w:color w:val="000000"/>
                <w:sz w:val="16"/>
                <w:szCs w:val="16"/>
              </w:rPr>
            </w:pPr>
            <w:r w:rsidRPr="00FF756A">
              <w:rPr>
                <w:sz w:val="16"/>
                <w:szCs w:val="16"/>
              </w:rPr>
              <w:t xml:space="preserve"> 57,9 </w:t>
            </w:r>
          </w:p>
        </w:tc>
        <w:tc>
          <w:tcPr>
            <w:tcW w:w="917" w:type="dxa"/>
            <w:tcBorders>
              <w:top w:val="nil"/>
              <w:left w:val="nil"/>
              <w:bottom w:val="single" w:sz="8" w:space="0" w:color="FFFFFF"/>
              <w:right w:val="single" w:sz="8" w:space="0" w:color="FFFFFF"/>
            </w:tcBorders>
            <w:shd w:val="clear" w:color="000000" w:fill="B8CCE4"/>
            <w:noWrap/>
            <w:hideMark/>
          </w:tcPr>
          <w:p w14:paraId="0D96D902" w14:textId="77777777" w:rsidR="00B86FB3" w:rsidRPr="00FF756A" w:rsidRDefault="00B86FB3" w:rsidP="00B86FB3">
            <w:pPr>
              <w:jc w:val="right"/>
              <w:rPr>
                <w:rFonts w:eastAsia="Times New Roman"/>
                <w:color w:val="000000"/>
                <w:sz w:val="16"/>
                <w:szCs w:val="16"/>
              </w:rPr>
            </w:pPr>
            <w:r w:rsidRPr="00FF756A">
              <w:rPr>
                <w:sz w:val="16"/>
                <w:szCs w:val="16"/>
              </w:rPr>
              <w:t xml:space="preserve"> 57,9 </w:t>
            </w:r>
          </w:p>
        </w:tc>
        <w:tc>
          <w:tcPr>
            <w:tcW w:w="917" w:type="dxa"/>
            <w:tcBorders>
              <w:top w:val="nil"/>
              <w:left w:val="nil"/>
              <w:bottom w:val="single" w:sz="8" w:space="0" w:color="FFFFFF"/>
              <w:right w:val="single" w:sz="8" w:space="0" w:color="FFFFFF"/>
            </w:tcBorders>
            <w:shd w:val="clear" w:color="000000" w:fill="B8CCE4"/>
            <w:noWrap/>
            <w:hideMark/>
          </w:tcPr>
          <w:p w14:paraId="6F0FD3A0" w14:textId="77777777" w:rsidR="00B86FB3" w:rsidRPr="00FF756A" w:rsidRDefault="00B86FB3" w:rsidP="00B86FB3">
            <w:pPr>
              <w:jc w:val="right"/>
              <w:rPr>
                <w:rFonts w:eastAsia="Times New Roman"/>
                <w:color w:val="000000"/>
                <w:sz w:val="16"/>
                <w:szCs w:val="16"/>
              </w:rPr>
            </w:pPr>
            <w:r w:rsidRPr="00FF756A">
              <w:rPr>
                <w:sz w:val="16"/>
                <w:szCs w:val="16"/>
              </w:rPr>
              <w:t xml:space="preserve"> 60,7 </w:t>
            </w:r>
          </w:p>
        </w:tc>
        <w:tc>
          <w:tcPr>
            <w:tcW w:w="917" w:type="dxa"/>
            <w:tcBorders>
              <w:top w:val="nil"/>
              <w:left w:val="nil"/>
              <w:bottom w:val="single" w:sz="8" w:space="0" w:color="FFFFFF"/>
              <w:right w:val="single" w:sz="8" w:space="0" w:color="FFFFFF"/>
            </w:tcBorders>
            <w:shd w:val="clear" w:color="000000" w:fill="B8CCE4"/>
            <w:noWrap/>
            <w:hideMark/>
          </w:tcPr>
          <w:p w14:paraId="4D36A047" w14:textId="77777777" w:rsidR="00B86FB3" w:rsidRPr="00FF756A" w:rsidRDefault="00B86FB3" w:rsidP="00B86FB3">
            <w:pPr>
              <w:jc w:val="right"/>
              <w:rPr>
                <w:rFonts w:eastAsia="Times New Roman"/>
                <w:color w:val="000000"/>
                <w:sz w:val="16"/>
                <w:szCs w:val="16"/>
              </w:rPr>
            </w:pPr>
            <w:r w:rsidRPr="00FF756A">
              <w:rPr>
                <w:sz w:val="16"/>
                <w:szCs w:val="16"/>
              </w:rPr>
              <w:t xml:space="preserve"> 66,8 </w:t>
            </w:r>
          </w:p>
        </w:tc>
        <w:tc>
          <w:tcPr>
            <w:tcW w:w="917" w:type="dxa"/>
            <w:tcBorders>
              <w:top w:val="nil"/>
              <w:left w:val="nil"/>
              <w:bottom w:val="single" w:sz="8" w:space="0" w:color="FFFFFF"/>
              <w:right w:val="single" w:sz="8" w:space="0" w:color="FFFFFF"/>
            </w:tcBorders>
            <w:shd w:val="clear" w:color="000000" w:fill="B8CCE4"/>
            <w:noWrap/>
            <w:hideMark/>
          </w:tcPr>
          <w:p w14:paraId="43AFA713" w14:textId="77777777" w:rsidR="00B86FB3" w:rsidRPr="00FF756A" w:rsidRDefault="00B86FB3" w:rsidP="00B86FB3">
            <w:pPr>
              <w:jc w:val="right"/>
              <w:rPr>
                <w:rFonts w:eastAsia="Times New Roman"/>
                <w:color w:val="000000"/>
                <w:sz w:val="16"/>
                <w:szCs w:val="16"/>
              </w:rPr>
            </w:pPr>
            <w:r w:rsidRPr="00FF756A">
              <w:rPr>
                <w:sz w:val="16"/>
                <w:szCs w:val="16"/>
              </w:rPr>
              <w:t xml:space="preserve"> 84,6 </w:t>
            </w:r>
          </w:p>
        </w:tc>
        <w:tc>
          <w:tcPr>
            <w:tcW w:w="918" w:type="dxa"/>
            <w:tcBorders>
              <w:top w:val="nil"/>
              <w:left w:val="nil"/>
              <w:bottom w:val="single" w:sz="8" w:space="0" w:color="FFFFFF"/>
              <w:right w:val="single" w:sz="8" w:space="0" w:color="FFFFFF"/>
            </w:tcBorders>
            <w:shd w:val="clear" w:color="000000" w:fill="B8CCE4"/>
            <w:noWrap/>
            <w:hideMark/>
          </w:tcPr>
          <w:p w14:paraId="44A9513A" w14:textId="77777777" w:rsidR="00B86FB3" w:rsidRPr="00FF756A" w:rsidRDefault="00B86FB3" w:rsidP="00B86FB3">
            <w:pPr>
              <w:jc w:val="right"/>
              <w:rPr>
                <w:rFonts w:eastAsia="Times New Roman"/>
                <w:color w:val="000000"/>
                <w:sz w:val="16"/>
                <w:szCs w:val="16"/>
              </w:rPr>
            </w:pPr>
            <w:r w:rsidRPr="00FF756A">
              <w:rPr>
                <w:sz w:val="16"/>
                <w:szCs w:val="16"/>
              </w:rPr>
              <w:t xml:space="preserve"> 135,8 </w:t>
            </w:r>
          </w:p>
        </w:tc>
        <w:tc>
          <w:tcPr>
            <w:tcW w:w="918" w:type="dxa"/>
            <w:tcBorders>
              <w:top w:val="nil"/>
              <w:left w:val="nil"/>
              <w:bottom w:val="single" w:sz="8" w:space="0" w:color="FFFFFF"/>
              <w:right w:val="single" w:sz="8" w:space="0" w:color="FFFFFF"/>
            </w:tcBorders>
            <w:shd w:val="clear" w:color="000000" w:fill="B8CCE4"/>
          </w:tcPr>
          <w:p w14:paraId="2E9E094B" w14:textId="77777777" w:rsidR="00B86FB3" w:rsidRPr="00FF756A" w:rsidRDefault="00B86FB3" w:rsidP="00B86FB3">
            <w:pPr>
              <w:jc w:val="right"/>
              <w:rPr>
                <w:rFonts w:eastAsia="Times New Roman"/>
                <w:color w:val="000000"/>
                <w:sz w:val="16"/>
                <w:szCs w:val="16"/>
              </w:rPr>
            </w:pPr>
            <w:r w:rsidRPr="00FF756A">
              <w:rPr>
                <w:sz w:val="16"/>
                <w:szCs w:val="16"/>
              </w:rPr>
              <w:t xml:space="preserve"> 218,1 </w:t>
            </w:r>
          </w:p>
        </w:tc>
      </w:tr>
      <w:tr w:rsidR="00B86FB3" w:rsidRPr="00FF756A" w14:paraId="0D61FA6F"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038A2E74" w14:textId="77777777" w:rsidR="00B86FB3" w:rsidRPr="00FF756A" w:rsidRDefault="00B86FB3" w:rsidP="00B86FB3">
            <w:pPr>
              <w:rPr>
                <w:rFonts w:eastAsia="Times New Roman"/>
                <w:b/>
                <w:bCs/>
                <w:color w:val="FFFFFF"/>
                <w:sz w:val="16"/>
                <w:szCs w:val="16"/>
              </w:rPr>
            </w:pPr>
            <w:r w:rsidRPr="00FF756A">
              <w:rPr>
                <w:b/>
                <w:bCs/>
                <w:color w:val="FFFFFF"/>
                <w:sz w:val="16"/>
                <w:szCs w:val="16"/>
              </w:rPr>
              <w:t>HFC134a</w:t>
            </w:r>
          </w:p>
        </w:tc>
        <w:tc>
          <w:tcPr>
            <w:tcW w:w="917" w:type="dxa"/>
            <w:tcBorders>
              <w:top w:val="nil"/>
              <w:left w:val="nil"/>
              <w:bottom w:val="single" w:sz="8" w:space="0" w:color="FFFFFF"/>
              <w:right w:val="single" w:sz="8" w:space="0" w:color="FFFFFF"/>
            </w:tcBorders>
            <w:shd w:val="clear" w:color="000000" w:fill="DBE5F1"/>
            <w:noWrap/>
            <w:hideMark/>
          </w:tcPr>
          <w:p w14:paraId="6724CA44" w14:textId="77777777" w:rsidR="00B86FB3" w:rsidRPr="00FF756A" w:rsidRDefault="00B86FB3" w:rsidP="00B86FB3">
            <w:pPr>
              <w:jc w:val="right"/>
              <w:rPr>
                <w:rFonts w:eastAsia="Times New Roman"/>
                <w:color w:val="000000"/>
                <w:sz w:val="16"/>
                <w:szCs w:val="16"/>
              </w:rPr>
            </w:pPr>
            <w:r w:rsidRPr="00FF756A">
              <w:rPr>
                <w:sz w:val="16"/>
                <w:szCs w:val="16"/>
              </w:rPr>
              <w:t xml:space="preserve"> 59,2 </w:t>
            </w:r>
          </w:p>
        </w:tc>
        <w:tc>
          <w:tcPr>
            <w:tcW w:w="917" w:type="dxa"/>
            <w:tcBorders>
              <w:top w:val="nil"/>
              <w:left w:val="nil"/>
              <w:bottom w:val="single" w:sz="8" w:space="0" w:color="FFFFFF"/>
              <w:right w:val="single" w:sz="8" w:space="0" w:color="FFFFFF"/>
            </w:tcBorders>
            <w:shd w:val="clear" w:color="000000" w:fill="DBE5F1"/>
            <w:noWrap/>
            <w:hideMark/>
          </w:tcPr>
          <w:p w14:paraId="09708067" w14:textId="77777777" w:rsidR="00B86FB3" w:rsidRPr="00FF756A" w:rsidRDefault="00B86FB3" w:rsidP="00B86FB3">
            <w:pPr>
              <w:jc w:val="right"/>
              <w:rPr>
                <w:rFonts w:eastAsia="Times New Roman"/>
                <w:color w:val="000000"/>
                <w:sz w:val="16"/>
                <w:szCs w:val="16"/>
              </w:rPr>
            </w:pPr>
            <w:r w:rsidRPr="00FF756A">
              <w:rPr>
                <w:sz w:val="16"/>
                <w:szCs w:val="16"/>
              </w:rPr>
              <w:t xml:space="preserve"> 63,9 </w:t>
            </w:r>
          </w:p>
        </w:tc>
        <w:tc>
          <w:tcPr>
            <w:tcW w:w="917" w:type="dxa"/>
            <w:tcBorders>
              <w:top w:val="nil"/>
              <w:left w:val="nil"/>
              <w:bottom w:val="single" w:sz="8" w:space="0" w:color="FFFFFF"/>
              <w:right w:val="single" w:sz="8" w:space="0" w:color="FFFFFF"/>
            </w:tcBorders>
            <w:shd w:val="clear" w:color="000000" w:fill="DBE5F1"/>
            <w:noWrap/>
            <w:hideMark/>
          </w:tcPr>
          <w:p w14:paraId="3BFA9FE6" w14:textId="77777777" w:rsidR="00B86FB3" w:rsidRPr="00FF756A" w:rsidRDefault="00B86FB3" w:rsidP="00B86FB3">
            <w:pPr>
              <w:jc w:val="right"/>
              <w:rPr>
                <w:rFonts w:eastAsia="Times New Roman"/>
                <w:color w:val="000000"/>
                <w:sz w:val="16"/>
                <w:szCs w:val="16"/>
              </w:rPr>
            </w:pPr>
            <w:r w:rsidRPr="00FF756A">
              <w:rPr>
                <w:sz w:val="16"/>
                <w:szCs w:val="16"/>
              </w:rPr>
              <w:t xml:space="preserve"> 68,6 </w:t>
            </w:r>
          </w:p>
        </w:tc>
        <w:tc>
          <w:tcPr>
            <w:tcW w:w="917" w:type="dxa"/>
            <w:tcBorders>
              <w:top w:val="nil"/>
              <w:left w:val="nil"/>
              <w:bottom w:val="single" w:sz="8" w:space="0" w:color="FFFFFF"/>
              <w:right w:val="single" w:sz="8" w:space="0" w:color="FFFFFF"/>
            </w:tcBorders>
            <w:shd w:val="clear" w:color="000000" w:fill="DBE5F1"/>
            <w:noWrap/>
            <w:hideMark/>
          </w:tcPr>
          <w:p w14:paraId="18D5020A" w14:textId="77777777" w:rsidR="00B86FB3" w:rsidRPr="00FF756A" w:rsidRDefault="00B86FB3" w:rsidP="00B86FB3">
            <w:pPr>
              <w:jc w:val="right"/>
              <w:rPr>
                <w:rFonts w:eastAsia="Times New Roman"/>
                <w:color w:val="000000"/>
                <w:sz w:val="16"/>
                <w:szCs w:val="16"/>
              </w:rPr>
            </w:pPr>
            <w:r w:rsidRPr="00FF756A">
              <w:rPr>
                <w:sz w:val="16"/>
                <w:szCs w:val="16"/>
              </w:rPr>
              <w:t xml:space="preserve"> 72,3 </w:t>
            </w:r>
          </w:p>
        </w:tc>
        <w:tc>
          <w:tcPr>
            <w:tcW w:w="917" w:type="dxa"/>
            <w:tcBorders>
              <w:top w:val="nil"/>
              <w:left w:val="nil"/>
              <w:bottom w:val="single" w:sz="8" w:space="0" w:color="FFFFFF"/>
              <w:right w:val="single" w:sz="8" w:space="0" w:color="FFFFFF"/>
            </w:tcBorders>
            <w:shd w:val="clear" w:color="000000" w:fill="DBE5F1"/>
            <w:noWrap/>
            <w:hideMark/>
          </w:tcPr>
          <w:p w14:paraId="3EBBF80C" w14:textId="77777777" w:rsidR="00B86FB3" w:rsidRPr="00FF756A" w:rsidRDefault="00B86FB3" w:rsidP="00B86FB3">
            <w:pPr>
              <w:jc w:val="right"/>
              <w:rPr>
                <w:rFonts w:eastAsia="Times New Roman"/>
                <w:color w:val="000000"/>
                <w:sz w:val="16"/>
                <w:szCs w:val="16"/>
              </w:rPr>
            </w:pPr>
            <w:r w:rsidRPr="00FF756A">
              <w:rPr>
                <w:sz w:val="16"/>
                <w:szCs w:val="16"/>
              </w:rPr>
              <w:t xml:space="preserve"> 74,7 </w:t>
            </w:r>
          </w:p>
        </w:tc>
        <w:tc>
          <w:tcPr>
            <w:tcW w:w="917" w:type="dxa"/>
            <w:tcBorders>
              <w:top w:val="nil"/>
              <w:left w:val="nil"/>
              <w:bottom w:val="single" w:sz="8" w:space="0" w:color="FFFFFF"/>
              <w:right w:val="single" w:sz="8" w:space="0" w:color="FFFFFF"/>
            </w:tcBorders>
            <w:shd w:val="clear" w:color="000000" w:fill="DBE5F1"/>
            <w:noWrap/>
            <w:hideMark/>
          </w:tcPr>
          <w:p w14:paraId="4C27C9F6" w14:textId="77777777" w:rsidR="00B86FB3" w:rsidRPr="00FF756A" w:rsidRDefault="00B86FB3" w:rsidP="00B86FB3">
            <w:pPr>
              <w:jc w:val="right"/>
              <w:rPr>
                <w:rFonts w:eastAsia="Times New Roman"/>
                <w:color w:val="000000"/>
                <w:sz w:val="16"/>
                <w:szCs w:val="16"/>
              </w:rPr>
            </w:pPr>
            <w:r w:rsidRPr="00FF756A">
              <w:rPr>
                <w:sz w:val="16"/>
                <w:szCs w:val="16"/>
              </w:rPr>
              <w:t xml:space="preserve"> 66,8 </w:t>
            </w:r>
          </w:p>
        </w:tc>
        <w:tc>
          <w:tcPr>
            <w:tcW w:w="918" w:type="dxa"/>
            <w:tcBorders>
              <w:top w:val="nil"/>
              <w:left w:val="nil"/>
              <w:bottom w:val="single" w:sz="8" w:space="0" w:color="FFFFFF"/>
              <w:right w:val="single" w:sz="8" w:space="0" w:color="FFFFFF"/>
            </w:tcBorders>
            <w:shd w:val="clear" w:color="000000" w:fill="DBE5F1"/>
            <w:noWrap/>
            <w:hideMark/>
          </w:tcPr>
          <w:p w14:paraId="2D7BC7E5" w14:textId="77777777" w:rsidR="00B86FB3" w:rsidRPr="00FF756A" w:rsidRDefault="00B86FB3" w:rsidP="00B86FB3">
            <w:pPr>
              <w:jc w:val="right"/>
              <w:rPr>
                <w:rFonts w:eastAsia="Times New Roman"/>
                <w:color w:val="000000"/>
                <w:sz w:val="16"/>
                <w:szCs w:val="16"/>
              </w:rPr>
            </w:pPr>
            <w:r w:rsidRPr="00FF756A">
              <w:rPr>
                <w:sz w:val="16"/>
                <w:szCs w:val="16"/>
              </w:rPr>
              <w:t xml:space="preserve"> 32,7 </w:t>
            </w:r>
          </w:p>
        </w:tc>
        <w:tc>
          <w:tcPr>
            <w:tcW w:w="918" w:type="dxa"/>
            <w:tcBorders>
              <w:top w:val="nil"/>
              <w:left w:val="nil"/>
              <w:bottom w:val="single" w:sz="8" w:space="0" w:color="FFFFFF"/>
              <w:right w:val="single" w:sz="8" w:space="0" w:color="FFFFFF"/>
            </w:tcBorders>
            <w:shd w:val="clear" w:color="000000" w:fill="DBE5F1"/>
          </w:tcPr>
          <w:p w14:paraId="00B07AC1" w14:textId="77777777" w:rsidR="00B86FB3" w:rsidRPr="00FF756A" w:rsidRDefault="00B86FB3" w:rsidP="00B86FB3">
            <w:pPr>
              <w:jc w:val="right"/>
              <w:rPr>
                <w:rFonts w:eastAsia="Times New Roman"/>
                <w:color w:val="000000"/>
                <w:sz w:val="16"/>
                <w:szCs w:val="16"/>
              </w:rPr>
            </w:pPr>
            <w:r w:rsidRPr="00FF756A">
              <w:rPr>
                <w:sz w:val="16"/>
                <w:szCs w:val="16"/>
              </w:rPr>
              <w:t xml:space="preserve"> 7,8 </w:t>
            </w:r>
          </w:p>
        </w:tc>
      </w:tr>
      <w:tr w:rsidR="00B86FB3" w:rsidRPr="00FF756A" w14:paraId="57D7D593"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02D13046" w14:textId="77777777" w:rsidR="00B86FB3" w:rsidRPr="00FF756A" w:rsidRDefault="00B86FB3" w:rsidP="00B86FB3">
            <w:pPr>
              <w:rPr>
                <w:rFonts w:eastAsia="Times New Roman"/>
                <w:b/>
                <w:bCs/>
                <w:color w:val="FFFFFF"/>
                <w:sz w:val="16"/>
                <w:szCs w:val="16"/>
              </w:rPr>
            </w:pPr>
            <w:r w:rsidRPr="00FF756A">
              <w:rPr>
                <w:b/>
                <w:bCs/>
                <w:color w:val="FFFFFF"/>
                <w:sz w:val="16"/>
                <w:szCs w:val="16"/>
              </w:rPr>
              <w:t>HFC227ea</w:t>
            </w:r>
          </w:p>
        </w:tc>
        <w:tc>
          <w:tcPr>
            <w:tcW w:w="917" w:type="dxa"/>
            <w:tcBorders>
              <w:top w:val="nil"/>
              <w:left w:val="nil"/>
              <w:bottom w:val="single" w:sz="8" w:space="0" w:color="FFFFFF"/>
              <w:right w:val="single" w:sz="8" w:space="0" w:color="FFFFFF"/>
            </w:tcBorders>
            <w:shd w:val="clear" w:color="000000" w:fill="B8CCE4"/>
            <w:noWrap/>
            <w:hideMark/>
          </w:tcPr>
          <w:p w14:paraId="2E359209" w14:textId="77777777" w:rsidR="00B86FB3" w:rsidRPr="00FF756A" w:rsidRDefault="00B86FB3" w:rsidP="00B86FB3">
            <w:pPr>
              <w:jc w:val="right"/>
              <w:rPr>
                <w:rFonts w:eastAsia="Times New Roman"/>
                <w:color w:val="000000"/>
                <w:sz w:val="16"/>
                <w:szCs w:val="16"/>
              </w:rPr>
            </w:pPr>
            <w:r w:rsidRPr="00FF756A">
              <w:rPr>
                <w:sz w:val="16"/>
                <w:szCs w:val="16"/>
              </w:rPr>
              <w:t xml:space="preserve"> 39,8 </w:t>
            </w:r>
          </w:p>
        </w:tc>
        <w:tc>
          <w:tcPr>
            <w:tcW w:w="917" w:type="dxa"/>
            <w:tcBorders>
              <w:top w:val="nil"/>
              <w:left w:val="nil"/>
              <w:bottom w:val="single" w:sz="8" w:space="0" w:color="FFFFFF"/>
              <w:right w:val="single" w:sz="8" w:space="0" w:color="FFFFFF"/>
            </w:tcBorders>
            <w:shd w:val="clear" w:color="000000" w:fill="B8CCE4"/>
            <w:noWrap/>
            <w:hideMark/>
          </w:tcPr>
          <w:p w14:paraId="58301FA0" w14:textId="77777777" w:rsidR="00B86FB3" w:rsidRPr="00FF756A" w:rsidRDefault="00B86FB3" w:rsidP="00B86FB3">
            <w:pPr>
              <w:jc w:val="right"/>
              <w:rPr>
                <w:rFonts w:eastAsia="Times New Roman"/>
                <w:color w:val="000000"/>
                <w:sz w:val="16"/>
                <w:szCs w:val="16"/>
              </w:rPr>
            </w:pPr>
            <w:r w:rsidRPr="00FF756A">
              <w:rPr>
                <w:sz w:val="16"/>
                <w:szCs w:val="16"/>
              </w:rPr>
              <w:t xml:space="preserve"> 43,3 </w:t>
            </w:r>
          </w:p>
        </w:tc>
        <w:tc>
          <w:tcPr>
            <w:tcW w:w="917" w:type="dxa"/>
            <w:tcBorders>
              <w:top w:val="nil"/>
              <w:left w:val="nil"/>
              <w:bottom w:val="single" w:sz="8" w:space="0" w:color="FFFFFF"/>
              <w:right w:val="single" w:sz="8" w:space="0" w:color="FFFFFF"/>
            </w:tcBorders>
            <w:shd w:val="clear" w:color="000000" w:fill="B8CCE4"/>
            <w:noWrap/>
            <w:hideMark/>
          </w:tcPr>
          <w:p w14:paraId="493A26BC" w14:textId="77777777" w:rsidR="00B86FB3" w:rsidRPr="00FF756A" w:rsidRDefault="00B86FB3" w:rsidP="00B86FB3">
            <w:pPr>
              <w:jc w:val="right"/>
              <w:rPr>
                <w:rFonts w:eastAsia="Times New Roman"/>
                <w:color w:val="000000"/>
                <w:sz w:val="16"/>
                <w:szCs w:val="16"/>
              </w:rPr>
            </w:pPr>
            <w:r w:rsidRPr="00FF756A">
              <w:rPr>
                <w:sz w:val="16"/>
                <w:szCs w:val="16"/>
              </w:rPr>
              <w:t xml:space="preserve"> 46,7 </w:t>
            </w:r>
          </w:p>
        </w:tc>
        <w:tc>
          <w:tcPr>
            <w:tcW w:w="917" w:type="dxa"/>
            <w:tcBorders>
              <w:top w:val="nil"/>
              <w:left w:val="nil"/>
              <w:bottom w:val="single" w:sz="8" w:space="0" w:color="FFFFFF"/>
              <w:right w:val="single" w:sz="8" w:space="0" w:color="FFFFFF"/>
            </w:tcBorders>
            <w:shd w:val="clear" w:color="000000" w:fill="B8CCE4"/>
            <w:noWrap/>
            <w:hideMark/>
          </w:tcPr>
          <w:p w14:paraId="56ECE824" w14:textId="77777777" w:rsidR="00B86FB3" w:rsidRPr="00FF756A" w:rsidRDefault="00B86FB3" w:rsidP="00B86FB3">
            <w:pPr>
              <w:jc w:val="right"/>
              <w:rPr>
                <w:rFonts w:eastAsia="Times New Roman"/>
                <w:color w:val="000000"/>
                <w:sz w:val="16"/>
                <w:szCs w:val="16"/>
              </w:rPr>
            </w:pPr>
            <w:r w:rsidRPr="00FF756A">
              <w:rPr>
                <w:sz w:val="16"/>
                <w:szCs w:val="16"/>
              </w:rPr>
              <w:t xml:space="preserve"> 49,4 </w:t>
            </w:r>
          </w:p>
        </w:tc>
        <w:tc>
          <w:tcPr>
            <w:tcW w:w="917" w:type="dxa"/>
            <w:tcBorders>
              <w:top w:val="nil"/>
              <w:left w:val="nil"/>
              <w:bottom w:val="single" w:sz="8" w:space="0" w:color="FFFFFF"/>
              <w:right w:val="single" w:sz="8" w:space="0" w:color="FFFFFF"/>
            </w:tcBorders>
            <w:shd w:val="clear" w:color="000000" w:fill="B8CCE4"/>
            <w:noWrap/>
            <w:hideMark/>
          </w:tcPr>
          <w:p w14:paraId="599291DB" w14:textId="77777777" w:rsidR="00B86FB3" w:rsidRPr="00FF756A" w:rsidRDefault="00B86FB3" w:rsidP="00B86FB3">
            <w:pPr>
              <w:jc w:val="right"/>
              <w:rPr>
                <w:rFonts w:eastAsia="Times New Roman"/>
                <w:color w:val="000000"/>
                <w:sz w:val="16"/>
                <w:szCs w:val="16"/>
              </w:rPr>
            </w:pPr>
            <w:r w:rsidRPr="00FF756A">
              <w:rPr>
                <w:sz w:val="16"/>
                <w:szCs w:val="16"/>
              </w:rPr>
              <w:t xml:space="preserve"> 51,3 </w:t>
            </w:r>
          </w:p>
        </w:tc>
        <w:tc>
          <w:tcPr>
            <w:tcW w:w="917" w:type="dxa"/>
            <w:tcBorders>
              <w:top w:val="nil"/>
              <w:left w:val="nil"/>
              <w:bottom w:val="single" w:sz="8" w:space="0" w:color="FFFFFF"/>
              <w:right w:val="single" w:sz="8" w:space="0" w:color="FFFFFF"/>
            </w:tcBorders>
            <w:shd w:val="clear" w:color="000000" w:fill="B8CCE4"/>
            <w:noWrap/>
            <w:hideMark/>
          </w:tcPr>
          <w:p w14:paraId="66F26429" w14:textId="77777777" w:rsidR="00B86FB3" w:rsidRPr="00FF756A" w:rsidRDefault="00B86FB3" w:rsidP="00B86FB3">
            <w:pPr>
              <w:jc w:val="right"/>
              <w:rPr>
                <w:rFonts w:eastAsia="Times New Roman"/>
                <w:color w:val="000000"/>
                <w:sz w:val="16"/>
                <w:szCs w:val="16"/>
              </w:rPr>
            </w:pPr>
            <w:r w:rsidRPr="00FF756A">
              <w:rPr>
                <w:sz w:val="16"/>
                <w:szCs w:val="16"/>
              </w:rPr>
              <w:t xml:space="preserve"> 45,9 </w:t>
            </w:r>
          </w:p>
        </w:tc>
        <w:tc>
          <w:tcPr>
            <w:tcW w:w="918" w:type="dxa"/>
            <w:tcBorders>
              <w:top w:val="nil"/>
              <w:left w:val="nil"/>
              <w:bottom w:val="single" w:sz="8" w:space="0" w:color="FFFFFF"/>
              <w:right w:val="single" w:sz="8" w:space="0" w:color="FFFFFF"/>
            </w:tcBorders>
            <w:shd w:val="clear" w:color="000000" w:fill="B8CCE4"/>
            <w:noWrap/>
            <w:hideMark/>
          </w:tcPr>
          <w:p w14:paraId="7BF95E6B" w14:textId="77777777" w:rsidR="00B86FB3" w:rsidRPr="00FF756A" w:rsidRDefault="00B86FB3" w:rsidP="00B86FB3">
            <w:pPr>
              <w:jc w:val="right"/>
              <w:rPr>
                <w:rFonts w:eastAsia="Times New Roman"/>
                <w:color w:val="000000"/>
                <w:sz w:val="16"/>
                <w:szCs w:val="16"/>
              </w:rPr>
            </w:pPr>
            <w:r w:rsidRPr="00FF756A">
              <w:rPr>
                <w:sz w:val="16"/>
                <w:szCs w:val="16"/>
              </w:rPr>
              <w:t xml:space="preserve"> 22,4 </w:t>
            </w:r>
          </w:p>
        </w:tc>
        <w:tc>
          <w:tcPr>
            <w:tcW w:w="918" w:type="dxa"/>
            <w:tcBorders>
              <w:top w:val="nil"/>
              <w:left w:val="nil"/>
              <w:bottom w:val="single" w:sz="8" w:space="0" w:color="FFFFFF"/>
              <w:right w:val="single" w:sz="8" w:space="0" w:color="FFFFFF"/>
            </w:tcBorders>
            <w:shd w:val="clear" w:color="000000" w:fill="B8CCE4"/>
          </w:tcPr>
          <w:p w14:paraId="28A833CC" w14:textId="77777777" w:rsidR="00B86FB3" w:rsidRPr="00FF756A" w:rsidRDefault="00B86FB3" w:rsidP="00B86FB3">
            <w:pPr>
              <w:jc w:val="right"/>
              <w:rPr>
                <w:rFonts w:eastAsia="Times New Roman"/>
                <w:color w:val="000000"/>
                <w:sz w:val="16"/>
                <w:szCs w:val="16"/>
              </w:rPr>
            </w:pPr>
            <w:r w:rsidRPr="00FF756A">
              <w:rPr>
                <w:sz w:val="16"/>
                <w:szCs w:val="16"/>
              </w:rPr>
              <w:t xml:space="preserve"> 5,4 </w:t>
            </w:r>
          </w:p>
        </w:tc>
      </w:tr>
      <w:tr w:rsidR="00B86FB3" w:rsidRPr="00FF756A" w14:paraId="4E7A4F3F"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0E2958A6" w14:textId="77777777" w:rsidR="00B86FB3" w:rsidRPr="00FF756A" w:rsidRDefault="00B86FB3" w:rsidP="00B86FB3">
            <w:pPr>
              <w:rPr>
                <w:rFonts w:eastAsia="Times New Roman"/>
                <w:b/>
                <w:bCs/>
                <w:color w:val="FFFFFF"/>
                <w:sz w:val="16"/>
                <w:szCs w:val="16"/>
              </w:rPr>
            </w:pPr>
            <w:r w:rsidRPr="00FF756A">
              <w:rPr>
                <w:b/>
                <w:bCs/>
                <w:color w:val="FFFFFF"/>
                <w:sz w:val="16"/>
                <w:szCs w:val="16"/>
              </w:rPr>
              <w:t>R404a CO</w:t>
            </w:r>
            <w:r w:rsidRPr="00FF756A">
              <w:rPr>
                <w:b/>
                <w:bCs/>
                <w:color w:val="FFFFFF"/>
                <w:sz w:val="16"/>
                <w:szCs w:val="16"/>
                <w:vertAlign w:val="subscript"/>
              </w:rPr>
              <w:t>2</w:t>
            </w:r>
            <w:r w:rsidRPr="00FF756A">
              <w:rPr>
                <w:b/>
                <w:bCs/>
                <w:color w:val="FFFFFF"/>
                <w:sz w:val="16"/>
                <w:szCs w:val="16"/>
              </w:rPr>
              <w:t>eq</w:t>
            </w:r>
          </w:p>
        </w:tc>
        <w:tc>
          <w:tcPr>
            <w:tcW w:w="917" w:type="dxa"/>
            <w:tcBorders>
              <w:top w:val="nil"/>
              <w:left w:val="nil"/>
              <w:bottom w:val="single" w:sz="8" w:space="0" w:color="FFFFFF"/>
              <w:right w:val="single" w:sz="8" w:space="0" w:color="FFFFFF"/>
            </w:tcBorders>
            <w:shd w:val="clear" w:color="000000" w:fill="DBE5F1"/>
            <w:noWrap/>
            <w:hideMark/>
          </w:tcPr>
          <w:p w14:paraId="633A8F86" w14:textId="77777777" w:rsidR="00B86FB3" w:rsidRPr="00FF756A" w:rsidRDefault="00B86FB3" w:rsidP="00B86FB3">
            <w:pPr>
              <w:jc w:val="right"/>
              <w:rPr>
                <w:rFonts w:eastAsia="Times New Roman"/>
                <w:color w:val="000000"/>
                <w:sz w:val="16"/>
                <w:szCs w:val="16"/>
              </w:rPr>
            </w:pPr>
            <w:r w:rsidRPr="00FF756A">
              <w:rPr>
                <w:sz w:val="16"/>
                <w:szCs w:val="16"/>
              </w:rPr>
              <w:t xml:space="preserve"> 0,1 </w:t>
            </w:r>
          </w:p>
        </w:tc>
        <w:tc>
          <w:tcPr>
            <w:tcW w:w="917" w:type="dxa"/>
            <w:tcBorders>
              <w:top w:val="nil"/>
              <w:left w:val="nil"/>
              <w:bottom w:val="single" w:sz="8" w:space="0" w:color="FFFFFF"/>
              <w:right w:val="single" w:sz="8" w:space="0" w:color="FFFFFF"/>
            </w:tcBorders>
            <w:shd w:val="clear" w:color="000000" w:fill="DBE5F1"/>
            <w:noWrap/>
            <w:hideMark/>
          </w:tcPr>
          <w:p w14:paraId="58A102DC" w14:textId="77777777" w:rsidR="00B86FB3" w:rsidRPr="00FF756A" w:rsidRDefault="00B86FB3" w:rsidP="00B86FB3">
            <w:pPr>
              <w:jc w:val="right"/>
              <w:rPr>
                <w:rFonts w:eastAsia="Times New Roman"/>
                <w:color w:val="000000"/>
                <w:sz w:val="16"/>
                <w:szCs w:val="16"/>
              </w:rPr>
            </w:pPr>
            <w:r w:rsidRPr="00FF756A">
              <w:rPr>
                <w:sz w:val="16"/>
                <w:szCs w:val="16"/>
              </w:rPr>
              <w:t xml:space="preserve"> 0,1 </w:t>
            </w:r>
          </w:p>
        </w:tc>
        <w:tc>
          <w:tcPr>
            <w:tcW w:w="917" w:type="dxa"/>
            <w:tcBorders>
              <w:top w:val="nil"/>
              <w:left w:val="nil"/>
              <w:bottom w:val="single" w:sz="8" w:space="0" w:color="FFFFFF"/>
              <w:right w:val="single" w:sz="8" w:space="0" w:color="FFFFFF"/>
            </w:tcBorders>
            <w:shd w:val="clear" w:color="000000" w:fill="DBE5F1"/>
            <w:noWrap/>
            <w:hideMark/>
          </w:tcPr>
          <w:p w14:paraId="33F7A370" w14:textId="77777777" w:rsidR="00B86FB3" w:rsidRPr="00FF756A" w:rsidRDefault="00B86FB3" w:rsidP="00B86FB3">
            <w:pPr>
              <w:jc w:val="right"/>
              <w:rPr>
                <w:rFonts w:eastAsia="Times New Roman"/>
                <w:color w:val="000000"/>
                <w:sz w:val="16"/>
                <w:szCs w:val="16"/>
              </w:rPr>
            </w:pPr>
            <w:r w:rsidRPr="00FF756A">
              <w:rPr>
                <w:sz w:val="16"/>
                <w:szCs w:val="16"/>
              </w:rPr>
              <w:t xml:space="preserve"> 0,1 </w:t>
            </w:r>
          </w:p>
        </w:tc>
        <w:tc>
          <w:tcPr>
            <w:tcW w:w="917" w:type="dxa"/>
            <w:tcBorders>
              <w:top w:val="nil"/>
              <w:left w:val="nil"/>
              <w:bottom w:val="single" w:sz="8" w:space="0" w:color="FFFFFF"/>
              <w:right w:val="single" w:sz="8" w:space="0" w:color="FFFFFF"/>
            </w:tcBorders>
            <w:shd w:val="clear" w:color="000000" w:fill="DBE5F1"/>
            <w:noWrap/>
            <w:hideMark/>
          </w:tcPr>
          <w:p w14:paraId="3E45E0A5" w14:textId="77777777" w:rsidR="00B86FB3" w:rsidRPr="00FF756A" w:rsidRDefault="00B86FB3" w:rsidP="00B86FB3">
            <w:pPr>
              <w:jc w:val="right"/>
              <w:rPr>
                <w:rFonts w:eastAsia="Times New Roman"/>
                <w:color w:val="000000"/>
                <w:sz w:val="16"/>
                <w:szCs w:val="16"/>
              </w:rPr>
            </w:pPr>
            <w:r w:rsidRPr="00FF756A">
              <w:rPr>
                <w:sz w:val="16"/>
                <w:szCs w:val="16"/>
              </w:rPr>
              <w:t xml:space="preserve"> 0,1 </w:t>
            </w:r>
          </w:p>
        </w:tc>
        <w:tc>
          <w:tcPr>
            <w:tcW w:w="917" w:type="dxa"/>
            <w:tcBorders>
              <w:top w:val="nil"/>
              <w:left w:val="nil"/>
              <w:bottom w:val="single" w:sz="8" w:space="0" w:color="FFFFFF"/>
              <w:right w:val="single" w:sz="8" w:space="0" w:color="FFFFFF"/>
            </w:tcBorders>
            <w:shd w:val="clear" w:color="000000" w:fill="DBE5F1"/>
            <w:noWrap/>
            <w:hideMark/>
          </w:tcPr>
          <w:p w14:paraId="19C7F56E" w14:textId="77777777" w:rsidR="00B86FB3" w:rsidRPr="00FF756A" w:rsidRDefault="00B86FB3" w:rsidP="00B86FB3">
            <w:pPr>
              <w:jc w:val="right"/>
              <w:rPr>
                <w:rFonts w:eastAsia="Times New Roman"/>
                <w:color w:val="000000"/>
                <w:sz w:val="16"/>
                <w:szCs w:val="16"/>
              </w:rPr>
            </w:pPr>
            <w:r w:rsidRPr="00FF756A">
              <w:rPr>
                <w:sz w:val="16"/>
                <w:szCs w:val="16"/>
              </w:rPr>
              <w:t xml:space="preserve"> 0,1 </w:t>
            </w:r>
          </w:p>
        </w:tc>
        <w:tc>
          <w:tcPr>
            <w:tcW w:w="917" w:type="dxa"/>
            <w:tcBorders>
              <w:top w:val="nil"/>
              <w:left w:val="nil"/>
              <w:bottom w:val="single" w:sz="8" w:space="0" w:color="FFFFFF"/>
              <w:right w:val="single" w:sz="8" w:space="0" w:color="FFFFFF"/>
            </w:tcBorders>
            <w:shd w:val="clear" w:color="000000" w:fill="DBE5F1"/>
            <w:noWrap/>
            <w:hideMark/>
          </w:tcPr>
          <w:p w14:paraId="271F4E7C" w14:textId="77777777" w:rsidR="00B86FB3" w:rsidRPr="00FF756A" w:rsidRDefault="00B86FB3" w:rsidP="00B86FB3">
            <w:pPr>
              <w:jc w:val="right"/>
              <w:rPr>
                <w:rFonts w:eastAsia="Times New Roman"/>
                <w:color w:val="000000"/>
                <w:sz w:val="16"/>
                <w:szCs w:val="16"/>
              </w:rPr>
            </w:pPr>
            <w:r w:rsidRPr="00FF756A">
              <w:rPr>
                <w:sz w:val="16"/>
                <w:szCs w:val="16"/>
              </w:rPr>
              <w:t xml:space="preserve"> 0,1 </w:t>
            </w:r>
          </w:p>
        </w:tc>
        <w:tc>
          <w:tcPr>
            <w:tcW w:w="918" w:type="dxa"/>
            <w:tcBorders>
              <w:top w:val="nil"/>
              <w:left w:val="nil"/>
              <w:bottom w:val="single" w:sz="8" w:space="0" w:color="FFFFFF"/>
              <w:right w:val="single" w:sz="8" w:space="0" w:color="FFFFFF"/>
            </w:tcBorders>
            <w:shd w:val="clear" w:color="000000" w:fill="DBE5F1"/>
            <w:noWrap/>
            <w:hideMark/>
          </w:tcPr>
          <w:p w14:paraId="7712B67F" w14:textId="77777777" w:rsidR="00B86FB3" w:rsidRPr="00FF756A" w:rsidRDefault="00B86FB3" w:rsidP="00B86FB3">
            <w:pPr>
              <w:jc w:val="right"/>
              <w:rPr>
                <w:rFonts w:eastAsia="Times New Roman"/>
                <w:color w:val="000000"/>
                <w:sz w:val="16"/>
                <w:szCs w:val="16"/>
              </w:rPr>
            </w:pPr>
            <w:r w:rsidRPr="00FF756A">
              <w:rPr>
                <w:sz w:val="16"/>
                <w:szCs w:val="16"/>
              </w:rPr>
              <w:t xml:space="preserve"> 0,1 </w:t>
            </w:r>
          </w:p>
        </w:tc>
        <w:tc>
          <w:tcPr>
            <w:tcW w:w="918" w:type="dxa"/>
            <w:tcBorders>
              <w:top w:val="nil"/>
              <w:left w:val="nil"/>
              <w:bottom w:val="single" w:sz="8" w:space="0" w:color="FFFFFF"/>
              <w:right w:val="single" w:sz="8" w:space="0" w:color="FFFFFF"/>
            </w:tcBorders>
            <w:shd w:val="clear" w:color="000000" w:fill="DBE5F1"/>
          </w:tcPr>
          <w:p w14:paraId="23F022F8"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r>
      <w:tr w:rsidR="00B86FB3" w:rsidRPr="00FF756A" w14:paraId="60238899"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453F04D8" w14:textId="77777777" w:rsidR="00B86FB3" w:rsidRPr="00FF756A" w:rsidRDefault="00B86FB3" w:rsidP="00B86FB3">
            <w:pPr>
              <w:rPr>
                <w:rFonts w:eastAsia="Times New Roman"/>
                <w:b/>
                <w:bCs/>
                <w:color w:val="FFFFFF"/>
                <w:sz w:val="16"/>
                <w:szCs w:val="16"/>
              </w:rPr>
            </w:pPr>
            <w:r w:rsidRPr="00FF756A">
              <w:rPr>
                <w:b/>
                <w:bCs/>
                <w:color w:val="FFFFFF"/>
                <w:sz w:val="16"/>
                <w:szCs w:val="16"/>
              </w:rPr>
              <w:t>R407a CO</w:t>
            </w:r>
            <w:r w:rsidRPr="00FF756A">
              <w:rPr>
                <w:b/>
                <w:bCs/>
                <w:color w:val="FFFFFF"/>
                <w:sz w:val="16"/>
                <w:szCs w:val="16"/>
                <w:vertAlign w:val="subscript"/>
              </w:rPr>
              <w:t>2</w:t>
            </w:r>
            <w:r w:rsidRPr="00FF756A">
              <w:rPr>
                <w:b/>
                <w:bCs/>
                <w:color w:val="FFFFFF"/>
                <w:sz w:val="16"/>
                <w:szCs w:val="16"/>
              </w:rPr>
              <w:t>eq</w:t>
            </w:r>
          </w:p>
        </w:tc>
        <w:tc>
          <w:tcPr>
            <w:tcW w:w="917" w:type="dxa"/>
            <w:tcBorders>
              <w:top w:val="nil"/>
              <w:left w:val="nil"/>
              <w:bottom w:val="single" w:sz="8" w:space="0" w:color="FFFFFF"/>
              <w:right w:val="single" w:sz="8" w:space="0" w:color="FFFFFF"/>
            </w:tcBorders>
            <w:shd w:val="clear" w:color="000000" w:fill="B8CCE4"/>
            <w:noWrap/>
            <w:hideMark/>
          </w:tcPr>
          <w:p w14:paraId="1DA9ADF5"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B8CCE4"/>
            <w:noWrap/>
            <w:hideMark/>
          </w:tcPr>
          <w:p w14:paraId="11836187"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B8CCE4"/>
            <w:noWrap/>
            <w:hideMark/>
          </w:tcPr>
          <w:p w14:paraId="7841437E"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B8CCE4"/>
            <w:noWrap/>
            <w:hideMark/>
          </w:tcPr>
          <w:p w14:paraId="7AC7359A"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B8CCE4"/>
            <w:noWrap/>
            <w:hideMark/>
          </w:tcPr>
          <w:p w14:paraId="47604676"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7" w:type="dxa"/>
            <w:tcBorders>
              <w:top w:val="nil"/>
              <w:left w:val="nil"/>
              <w:bottom w:val="single" w:sz="8" w:space="0" w:color="FFFFFF"/>
              <w:right w:val="single" w:sz="8" w:space="0" w:color="FFFFFF"/>
            </w:tcBorders>
            <w:shd w:val="clear" w:color="000000" w:fill="B8CCE4"/>
            <w:noWrap/>
            <w:hideMark/>
          </w:tcPr>
          <w:p w14:paraId="537BFDE6"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8" w:type="dxa"/>
            <w:tcBorders>
              <w:top w:val="nil"/>
              <w:left w:val="nil"/>
              <w:bottom w:val="single" w:sz="8" w:space="0" w:color="FFFFFF"/>
              <w:right w:val="single" w:sz="8" w:space="0" w:color="FFFFFF"/>
            </w:tcBorders>
            <w:shd w:val="clear" w:color="000000" w:fill="B8CCE4"/>
            <w:noWrap/>
            <w:hideMark/>
          </w:tcPr>
          <w:p w14:paraId="56C84302"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8" w:type="dxa"/>
            <w:tcBorders>
              <w:top w:val="nil"/>
              <w:left w:val="nil"/>
              <w:bottom w:val="single" w:sz="8" w:space="0" w:color="FFFFFF"/>
              <w:right w:val="single" w:sz="8" w:space="0" w:color="FFFFFF"/>
            </w:tcBorders>
            <w:shd w:val="clear" w:color="000000" w:fill="B8CCE4"/>
          </w:tcPr>
          <w:p w14:paraId="5BBF977D"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r>
      <w:tr w:rsidR="00B86FB3" w:rsidRPr="00FF756A" w14:paraId="13FDD43D"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4E3C4EE4" w14:textId="77777777" w:rsidR="00B86FB3" w:rsidRPr="00FF756A" w:rsidRDefault="00B86FB3" w:rsidP="00B86FB3">
            <w:pPr>
              <w:rPr>
                <w:rFonts w:eastAsia="Times New Roman"/>
                <w:b/>
                <w:bCs/>
                <w:color w:val="FFFFFF"/>
                <w:sz w:val="16"/>
                <w:szCs w:val="16"/>
              </w:rPr>
            </w:pPr>
            <w:r w:rsidRPr="00FF756A">
              <w:rPr>
                <w:b/>
                <w:bCs/>
                <w:color w:val="FFFFFF"/>
                <w:sz w:val="16"/>
                <w:szCs w:val="16"/>
              </w:rPr>
              <w:t>R410a CO</w:t>
            </w:r>
            <w:r w:rsidRPr="00FF756A">
              <w:rPr>
                <w:b/>
                <w:bCs/>
                <w:color w:val="FFFFFF"/>
                <w:sz w:val="16"/>
                <w:szCs w:val="16"/>
                <w:vertAlign w:val="subscript"/>
              </w:rPr>
              <w:t>2</w:t>
            </w:r>
            <w:r w:rsidRPr="00FF756A">
              <w:rPr>
                <w:b/>
                <w:bCs/>
                <w:color w:val="FFFFFF"/>
                <w:sz w:val="16"/>
                <w:szCs w:val="16"/>
              </w:rPr>
              <w:t>eq</w:t>
            </w:r>
          </w:p>
        </w:tc>
        <w:tc>
          <w:tcPr>
            <w:tcW w:w="917" w:type="dxa"/>
            <w:tcBorders>
              <w:top w:val="nil"/>
              <w:left w:val="nil"/>
              <w:bottom w:val="single" w:sz="8" w:space="0" w:color="FFFFFF"/>
              <w:right w:val="single" w:sz="8" w:space="0" w:color="FFFFFF"/>
            </w:tcBorders>
            <w:shd w:val="clear" w:color="000000" w:fill="DBE5F1"/>
            <w:noWrap/>
            <w:hideMark/>
          </w:tcPr>
          <w:p w14:paraId="7AAB5D96"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DBE5F1"/>
            <w:noWrap/>
            <w:hideMark/>
          </w:tcPr>
          <w:p w14:paraId="1B323EC0"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DBE5F1"/>
            <w:noWrap/>
            <w:hideMark/>
          </w:tcPr>
          <w:p w14:paraId="719E1DF2"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DBE5F1"/>
            <w:noWrap/>
            <w:hideMark/>
          </w:tcPr>
          <w:p w14:paraId="59EFB0B8" w14:textId="77777777" w:rsidR="00B86FB3" w:rsidRPr="00FF756A" w:rsidRDefault="00B86FB3" w:rsidP="00B86FB3">
            <w:pPr>
              <w:jc w:val="right"/>
              <w:rPr>
                <w:rFonts w:eastAsia="Times New Roman"/>
                <w:color w:val="000000"/>
                <w:sz w:val="16"/>
                <w:szCs w:val="16"/>
              </w:rPr>
            </w:pPr>
            <w:r w:rsidRPr="00FF756A">
              <w:rPr>
                <w:sz w:val="16"/>
                <w:szCs w:val="16"/>
              </w:rPr>
              <w:t xml:space="preserve"> 0,1 </w:t>
            </w:r>
          </w:p>
        </w:tc>
        <w:tc>
          <w:tcPr>
            <w:tcW w:w="917" w:type="dxa"/>
            <w:tcBorders>
              <w:top w:val="nil"/>
              <w:left w:val="nil"/>
              <w:bottom w:val="single" w:sz="8" w:space="0" w:color="FFFFFF"/>
              <w:right w:val="single" w:sz="8" w:space="0" w:color="FFFFFF"/>
            </w:tcBorders>
            <w:shd w:val="clear" w:color="000000" w:fill="DBE5F1"/>
            <w:noWrap/>
            <w:hideMark/>
          </w:tcPr>
          <w:p w14:paraId="5B5B5A95" w14:textId="77777777" w:rsidR="00B86FB3" w:rsidRPr="00FF756A" w:rsidRDefault="00B86FB3" w:rsidP="00B86FB3">
            <w:pPr>
              <w:jc w:val="right"/>
              <w:rPr>
                <w:rFonts w:eastAsia="Times New Roman"/>
                <w:color w:val="000000"/>
                <w:sz w:val="16"/>
                <w:szCs w:val="16"/>
              </w:rPr>
            </w:pPr>
            <w:r w:rsidRPr="00FF756A">
              <w:rPr>
                <w:sz w:val="16"/>
                <w:szCs w:val="16"/>
              </w:rPr>
              <w:t xml:space="preserve"> 0,1 </w:t>
            </w:r>
          </w:p>
        </w:tc>
        <w:tc>
          <w:tcPr>
            <w:tcW w:w="917" w:type="dxa"/>
            <w:tcBorders>
              <w:top w:val="nil"/>
              <w:left w:val="nil"/>
              <w:bottom w:val="single" w:sz="8" w:space="0" w:color="FFFFFF"/>
              <w:right w:val="single" w:sz="8" w:space="0" w:color="FFFFFF"/>
            </w:tcBorders>
            <w:shd w:val="clear" w:color="000000" w:fill="DBE5F1"/>
            <w:noWrap/>
            <w:hideMark/>
          </w:tcPr>
          <w:p w14:paraId="5AAEFADE"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8" w:type="dxa"/>
            <w:tcBorders>
              <w:top w:val="nil"/>
              <w:left w:val="nil"/>
              <w:bottom w:val="single" w:sz="8" w:space="0" w:color="FFFFFF"/>
              <w:right w:val="single" w:sz="8" w:space="0" w:color="FFFFFF"/>
            </w:tcBorders>
            <w:shd w:val="clear" w:color="000000" w:fill="DBE5F1"/>
            <w:noWrap/>
            <w:hideMark/>
          </w:tcPr>
          <w:p w14:paraId="05DAF057"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8" w:type="dxa"/>
            <w:tcBorders>
              <w:top w:val="nil"/>
              <w:left w:val="nil"/>
              <w:bottom w:val="single" w:sz="8" w:space="0" w:color="FFFFFF"/>
              <w:right w:val="single" w:sz="8" w:space="0" w:color="FFFFFF"/>
            </w:tcBorders>
            <w:shd w:val="clear" w:color="000000" w:fill="DBE5F1"/>
          </w:tcPr>
          <w:p w14:paraId="3B42FD57"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r>
      <w:tr w:rsidR="00B86FB3" w:rsidRPr="00FF756A" w14:paraId="47588462"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0BC3F5A4" w14:textId="77777777" w:rsidR="00B86FB3" w:rsidRPr="00FF756A" w:rsidRDefault="00B86FB3" w:rsidP="00B86FB3">
            <w:pPr>
              <w:rPr>
                <w:rFonts w:eastAsia="Times New Roman"/>
                <w:b/>
                <w:bCs/>
                <w:color w:val="FFFFFF"/>
                <w:sz w:val="16"/>
                <w:szCs w:val="16"/>
              </w:rPr>
            </w:pPr>
            <w:r w:rsidRPr="00FF756A">
              <w:rPr>
                <w:b/>
                <w:bCs/>
                <w:color w:val="FFFFFF"/>
                <w:sz w:val="16"/>
                <w:szCs w:val="16"/>
              </w:rPr>
              <w:t>R507a CO</w:t>
            </w:r>
            <w:r w:rsidRPr="00FF756A">
              <w:rPr>
                <w:b/>
                <w:bCs/>
                <w:color w:val="FFFFFF"/>
                <w:sz w:val="16"/>
                <w:szCs w:val="16"/>
                <w:vertAlign w:val="subscript"/>
              </w:rPr>
              <w:t>2</w:t>
            </w:r>
            <w:r w:rsidRPr="00FF756A">
              <w:rPr>
                <w:b/>
                <w:bCs/>
                <w:color w:val="FFFFFF"/>
                <w:sz w:val="16"/>
                <w:szCs w:val="16"/>
              </w:rPr>
              <w:t>eq</w:t>
            </w:r>
          </w:p>
        </w:tc>
        <w:tc>
          <w:tcPr>
            <w:tcW w:w="917" w:type="dxa"/>
            <w:tcBorders>
              <w:top w:val="nil"/>
              <w:left w:val="nil"/>
              <w:bottom w:val="single" w:sz="8" w:space="0" w:color="FFFFFF"/>
              <w:right w:val="single" w:sz="8" w:space="0" w:color="FFFFFF"/>
            </w:tcBorders>
            <w:shd w:val="clear" w:color="000000" w:fill="B8CCE4"/>
            <w:noWrap/>
            <w:hideMark/>
          </w:tcPr>
          <w:p w14:paraId="77B34102"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B8CCE4"/>
            <w:noWrap/>
            <w:hideMark/>
          </w:tcPr>
          <w:p w14:paraId="32D1DEEA"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B8CCE4"/>
            <w:noWrap/>
            <w:hideMark/>
          </w:tcPr>
          <w:p w14:paraId="38619425"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B8CCE4"/>
            <w:noWrap/>
            <w:hideMark/>
          </w:tcPr>
          <w:p w14:paraId="127D20D1"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B8CCE4"/>
            <w:noWrap/>
            <w:hideMark/>
          </w:tcPr>
          <w:p w14:paraId="6560AF71"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7" w:type="dxa"/>
            <w:tcBorders>
              <w:top w:val="nil"/>
              <w:left w:val="nil"/>
              <w:bottom w:val="single" w:sz="8" w:space="0" w:color="FFFFFF"/>
              <w:right w:val="single" w:sz="8" w:space="0" w:color="FFFFFF"/>
            </w:tcBorders>
            <w:shd w:val="clear" w:color="000000" w:fill="B8CCE4"/>
            <w:noWrap/>
            <w:hideMark/>
          </w:tcPr>
          <w:p w14:paraId="493760C3"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8" w:type="dxa"/>
            <w:tcBorders>
              <w:top w:val="nil"/>
              <w:left w:val="nil"/>
              <w:bottom w:val="single" w:sz="8" w:space="0" w:color="FFFFFF"/>
              <w:right w:val="single" w:sz="8" w:space="0" w:color="FFFFFF"/>
            </w:tcBorders>
            <w:shd w:val="clear" w:color="000000" w:fill="B8CCE4"/>
            <w:noWrap/>
            <w:hideMark/>
          </w:tcPr>
          <w:p w14:paraId="6C87E317"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8" w:type="dxa"/>
            <w:tcBorders>
              <w:top w:val="nil"/>
              <w:left w:val="nil"/>
              <w:bottom w:val="single" w:sz="8" w:space="0" w:color="FFFFFF"/>
              <w:right w:val="single" w:sz="8" w:space="0" w:color="FFFFFF"/>
            </w:tcBorders>
            <w:shd w:val="clear" w:color="000000" w:fill="B8CCE4"/>
          </w:tcPr>
          <w:p w14:paraId="341FE9C9"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r>
      <w:tr w:rsidR="00B86FB3" w:rsidRPr="00FF756A" w14:paraId="611B2EDD"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29DB7E91" w14:textId="77777777" w:rsidR="00B86FB3" w:rsidRPr="00FF756A" w:rsidRDefault="00B86FB3" w:rsidP="00B86FB3">
            <w:pPr>
              <w:rPr>
                <w:rFonts w:eastAsia="Times New Roman"/>
                <w:b/>
                <w:bCs/>
                <w:color w:val="FFFFFF"/>
                <w:sz w:val="16"/>
                <w:szCs w:val="16"/>
              </w:rPr>
            </w:pPr>
            <w:r w:rsidRPr="00FF756A">
              <w:rPr>
                <w:b/>
                <w:bCs/>
                <w:color w:val="FFFFFF"/>
                <w:sz w:val="16"/>
                <w:szCs w:val="16"/>
              </w:rPr>
              <w:t>Totali</w:t>
            </w:r>
          </w:p>
        </w:tc>
        <w:tc>
          <w:tcPr>
            <w:tcW w:w="917" w:type="dxa"/>
            <w:tcBorders>
              <w:top w:val="nil"/>
              <w:left w:val="nil"/>
              <w:bottom w:val="single" w:sz="8" w:space="0" w:color="FFFFFF"/>
              <w:right w:val="single" w:sz="8" w:space="0" w:color="FFFFFF"/>
            </w:tcBorders>
            <w:shd w:val="clear" w:color="000000" w:fill="4F81BD"/>
            <w:noWrap/>
            <w:hideMark/>
          </w:tcPr>
          <w:p w14:paraId="649347C8"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1 583,9 </w:t>
            </w:r>
          </w:p>
        </w:tc>
        <w:tc>
          <w:tcPr>
            <w:tcW w:w="917" w:type="dxa"/>
            <w:tcBorders>
              <w:top w:val="nil"/>
              <w:left w:val="nil"/>
              <w:bottom w:val="single" w:sz="8" w:space="0" w:color="FFFFFF"/>
              <w:right w:val="single" w:sz="8" w:space="0" w:color="FFFFFF"/>
            </w:tcBorders>
            <w:shd w:val="clear" w:color="000000" w:fill="4F81BD"/>
            <w:noWrap/>
            <w:hideMark/>
          </w:tcPr>
          <w:p w14:paraId="0135ABF6"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1 592,1 </w:t>
            </w:r>
          </w:p>
        </w:tc>
        <w:tc>
          <w:tcPr>
            <w:tcW w:w="917" w:type="dxa"/>
            <w:tcBorders>
              <w:top w:val="nil"/>
              <w:left w:val="nil"/>
              <w:bottom w:val="single" w:sz="8" w:space="0" w:color="FFFFFF"/>
              <w:right w:val="single" w:sz="8" w:space="0" w:color="FFFFFF"/>
            </w:tcBorders>
            <w:shd w:val="clear" w:color="000000" w:fill="4F81BD"/>
            <w:noWrap/>
            <w:hideMark/>
          </w:tcPr>
          <w:p w14:paraId="0312A9DA"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1 600,2 </w:t>
            </w:r>
          </w:p>
        </w:tc>
        <w:tc>
          <w:tcPr>
            <w:tcW w:w="917" w:type="dxa"/>
            <w:tcBorders>
              <w:top w:val="nil"/>
              <w:left w:val="nil"/>
              <w:bottom w:val="single" w:sz="8" w:space="0" w:color="FFFFFF"/>
              <w:right w:val="single" w:sz="8" w:space="0" w:color="FFFFFF"/>
            </w:tcBorders>
            <w:shd w:val="clear" w:color="000000" w:fill="4F81BD"/>
            <w:noWrap/>
            <w:hideMark/>
          </w:tcPr>
          <w:p w14:paraId="7E0ACD7C"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1 640,4 </w:t>
            </w:r>
          </w:p>
        </w:tc>
        <w:tc>
          <w:tcPr>
            <w:tcW w:w="917" w:type="dxa"/>
            <w:tcBorders>
              <w:top w:val="nil"/>
              <w:left w:val="nil"/>
              <w:bottom w:val="single" w:sz="8" w:space="0" w:color="FFFFFF"/>
              <w:right w:val="single" w:sz="8" w:space="0" w:color="FFFFFF"/>
            </w:tcBorders>
            <w:shd w:val="clear" w:color="000000" w:fill="4F81BD"/>
            <w:noWrap/>
            <w:hideMark/>
          </w:tcPr>
          <w:p w14:paraId="7F7A09B6"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1 714,7 </w:t>
            </w:r>
          </w:p>
        </w:tc>
        <w:tc>
          <w:tcPr>
            <w:tcW w:w="917" w:type="dxa"/>
            <w:tcBorders>
              <w:top w:val="nil"/>
              <w:left w:val="nil"/>
              <w:bottom w:val="single" w:sz="8" w:space="0" w:color="FFFFFF"/>
              <w:right w:val="single" w:sz="8" w:space="0" w:color="FFFFFF"/>
            </w:tcBorders>
            <w:shd w:val="clear" w:color="000000" w:fill="4F81BD"/>
            <w:noWrap/>
            <w:hideMark/>
          </w:tcPr>
          <w:p w14:paraId="07D37FC9"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1 891,3 </w:t>
            </w:r>
          </w:p>
        </w:tc>
        <w:tc>
          <w:tcPr>
            <w:tcW w:w="918" w:type="dxa"/>
            <w:tcBorders>
              <w:top w:val="nil"/>
              <w:left w:val="nil"/>
              <w:bottom w:val="single" w:sz="8" w:space="0" w:color="FFFFFF"/>
              <w:right w:val="single" w:sz="8" w:space="0" w:color="FFFFFF"/>
            </w:tcBorders>
            <w:shd w:val="clear" w:color="000000" w:fill="4F81BD"/>
            <w:noWrap/>
            <w:hideMark/>
          </w:tcPr>
          <w:p w14:paraId="57D9EE73"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1 456,2 </w:t>
            </w:r>
          </w:p>
        </w:tc>
        <w:tc>
          <w:tcPr>
            <w:tcW w:w="918" w:type="dxa"/>
            <w:tcBorders>
              <w:top w:val="nil"/>
              <w:left w:val="nil"/>
              <w:bottom w:val="single" w:sz="8" w:space="0" w:color="FFFFFF"/>
              <w:right w:val="single" w:sz="8" w:space="0" w:color="FFFFFF"/>
            </w:tcBorders>
            <w:shd w:val="clear" w:color="000000" w:fill="4F81BD"/>
          </w:tcPr>
          <w:p w14:paraId="5E9DA6F7"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830,8 </w:t>
            </w:r>
          </w:p>
        </w:tc>
      </w:tr>
      <w:tr w:rsidR="00B86FB3" w:rsidRPr="00FF756A" w14:paraId="735CBFB1" w14:textId="77777777" w:rsidTr="006A3266">
        <w:trPr>
          <w:trHeight w:val="293"/>
        </w:trPr>
        <w:tc>
          <w:tcPr>
            <w:tcW w:w="9170" w:type="dxa"/>
            <w:gridSpan w:val="9"/>
            <w:tcBorders>
              <w:top w:val="single" w:sz="8" w:space="0" w:color="FFFFFF"/>
              <w:left w:val="single" w:sz="8" w:space="0" w:color="FFFFFF"/>
              <w:bottom w:val="single" w:sz="8" w:space="0" w:color="FFFFFF"/>
              <w:right w:val="single" w:sz="8" w:space="0" w:color="FFFFFF"/>
            </w:tcBorders>
            <w:shd w:val="clear" w:color="000000" w:fill="4F81BD"/>
            <w:noWrap/>
            <w:vAlign w:val="center"/>
            <w:hideMark/>
          </w:tcPr>
          <w:p w14:paraId="6AE1CC05" w14:textId="77777777" w:rsidR="00B86FB3" w:rsidRPr="00FF756A" w:rsidRDefault="00B86FB3" w:rsidP="00B86FB3">
            <w:pPr>
              <w:rPr>
                <w:rFonts w:eastAsia="Times New Roman"/>
                <w:b/>
                <w:bCs/>
                <w:color w:val="FFFFFF"/>
                <w:sz w:val="16"/>
                <w:szCs w:val="16"/>
              </w:rPr>
            </w:pPr>
            <w:r w:rsidRPr="00FF756A">
              <w:rPr>
                <w:b/>
                <w:bCs/>
                <w:color w:val="FFFFFF"/>
                <w:sz w:val="16"/>
                <w:szCs w:val="16"/>
              </w:rPr>
              <w:t>Bujqësia</w:t>
            </w:r>
          </w:p>
        </w:tc>
      </w:tr>
      <w:tr w:rsidR="00B86FB3" w:rsidRPr="00FF756A" w14:paraId="62F18DD6"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4832EE73" w14:textId="77777777" w:rsidR="00B86FB3" w:rsidRPr="00FF756A" w:rsidRDefault="00B86FB3" w:rsidP="00B86FB3">
            <w:pPr>
              <w:rPr>
                <w:rFonts w:eastAsia="Times New Roman"/>
                <w:b/>
                <w:bCs/>
                <w:color w:val="FFFFFF"/>
                <w:sz w:val="16"/>
                <w:szCs w:val="16"/>
              </w:rPr>
            </w:pPr>
            <w:r w:rsidRPr="00FF756A">
              <w:rPr>
                <w:b/>
                <w:bCs/>
                <w:color w:val="FFFFFF"/>
                <w:sz w:val="16"/>
                <w:szCs w:val="16"/>
              </w:rPr>
              <w:t>CH</w:t>
            </w:r>
            <w:r w:rsidRPr="00FF756A">
              <w:rPr>
                <w:b/>
                <w:bCs/>
                <w:color w:val="FFFFFF"/>
                <w:sz w:val="16"/>
                <w:szCs w:val="16"/>
                <w:vertAlign w:val="subscript"/>
              </w:rPr>
              <w:t>4</w:t>
            </w:r>
            <w:r w:rsidRPr="00FF756A">
              <w:rPr>
                <w:b/>
                <w:bCs/>
                <w:color w:val="FFFFFF"/>
                <w:sz w:val="16"/>
                <w:szCs w:val="16"/>
              </w:rPr>
              <w:t xml:space="preserve"> nga fermentimi enterik</w:t>
            </w:r>
          </w:p>
        </w:tc>
        <w:tc>
          <w:tcPr>
            <w:tcW w:w="917" w:type="dxa"/>
            <w:tcBorders>
              <w:top w:val="nil"/>
              <w:left w:val="nil"/>
              <w:bottom w:val="single" w:sz="8" w:space="0" w:color="FFFFFF"/>
              <w:right w:val="single" w:sz="8" w:space="0" w:color="FFFFFF"/>
            </w:tcBorders>
            <w:shd w:val="clear" w:color="000000" w:fill="DBE5F1"/>
            <w:noWrap/>
            <w:hideMark/>
          </w:tcPr>
          <w:p w14:paraId="64F28313" w14:textId="77777777" w:rsidR="00B86FB3" w:rsidRPr="00FF756A" w:rsidRDefault="00B86FB3" w:rsidP="00B86FB3">
            <w:pPr>
              <w:jc w:val="right"/>
              <w:rPr>
                <w:rFonts w:eastAsia="Times New Roman"/>
                <w:color w:val="000000"/>
                <w:sz w:val="16"/>
                <w:szCs w:val="16"/>
              </w:rPr>
            </w:pPr>
            <w:r w:rsidRPr="00FF756A">
              <w:rPr>
                <w:sz w:val="16"/>
                <w:szCs w:val="16"/>
              </w:rPr>
              <w:t xml:space="preserve"> 1 697,5 </w:t>
            </w:r>
          </w:p>
        </w:tc>
        <w:tc>
          <w:tcPr>
            <w:tcW w:w="917" w:type="dxa"/>
            <w:tcBorders>
              <w:top w:val="nil"/>
              <w:left w:val="nil"/>
              <w:bottom w:val="single" w:sz="8" w:space="0" w:color="FFFFFF"/>
              <w:right w:val="single" w:sz="8" w:space="0" w:color="FFFFFF"/>
            </w:tcBorders>
            <w:shd w:val="clear" w:color="000000" w:fill="DBE5F1"/>
            <w:noWrap/>
            <w:hideMark/>
          </w:tcPr>
          <w:p w14:paraId="469B4CD0" w14:textId="77777777" w:rsidR="00B86FB3" w:rsidRPr="00FF756A" w:rsidRDefault="00B86FB3" w:rsidP="00B86FB3">
            <w:pPr>
              <w:jc w:val="right"/>
              <w:rPr>
                <w:rFonts w:eastAsia="Times New Roman"/>
                <w:color w:val="000000"/>
                <w:sz w:val="16"/>
                <w:szCs w:val="16"/>
              </w:rPr>
            </w:pPr>
            <w:r w:rsidRPr="00FF756A">
              <w:rPr>
                <w:sz w:val="16"/>
                <w:szCs w:val="16"/>
              </w:rPr>
              <w:t xml:space="preserve"> 1 697,5 </w:t>
            </w:r>
          </w:p>
        </w:tc>
        <w:tc>
          <w:tcPr>
            <w:tcW w:w="917" w:type="dxa"/>
            <w:tcBorders>
              <w:top w:val="nil"/>
              <w:left w:val="nil"/>
              <w:bottom w:val="single" w:sz="8" w:space="0" w:color="FFFFFF"/>
              <w:right w:val="single" w:sz="8" w:space="0" w:color="FFFFFF"/>
            </w:tcBorders>
            <w:shd w:val="clear" w:color="000000" w:fill="DBE5F1"/>
            <w:noWrap/>
            <w:hideMark/>
          </w:tcPr>
          <w:p w14:paraId="4EDEAA64" w14:textId="77777777" w:rsidR="00B86FB3" w:rsidRPr="00FF756A" w:rsidRDefault="00B86FB3" w:rsidP="00B86FB3">
            <w:pPr>
              <w:jc w:val="right"/>
              <w:rPr>
                <w:rFonts w:eastAsia="Times New Roman"/>
                <w:color w:val="000000"/>
                <w:sz w:val="16"/>
                <w:szCs w:val="16"/>
              </w:rPr>
            </w:pPr>
            <w:r w:rsidRPr="00FF756A">
              <w:rPr>
                <w:sz w:val="16"/>
                <w:szCs w:val="16"/>
              </w:rPr>
              <w:t xml:space="preserve"> 1 697,5 </w:t>
            </w:r>
          </w:p>
        </w:tc>
        <w:tc>
          <w:tcPr>
            <w:tcW w:w="917" w:type="dxa"/>
            <w:tcBorders>
              <w:top w:val="nil"/>
              <w:left w:val="nil"/>
              <w:bottom w:val="single" w:sz="8" w:space="0" w:color="FFFFFF"/>
              <w:right w:val="single" w:sz="8" w:space="0" w:color="FFFFFF"/>
            </w:tcBorders>
            <w:shd w:val="clear" w:color="000000" w:fill="DBE5F1"/>
            <w:noWrap/>
            <w:hideMark/>
          </w:tcPr>
          <w:p w14:paraId="4F3BAE92" w14:textId="77777777" w:rsidR="00B86FB3" w:rsidRPr="00FF756A" w:rsidRDefault="00B86FB3" w:rsidP="00B86FB3">
            <w:pPr>
              <w:jc w:val="right"/>
              <w:rPr>
                <w:rFonts w:eastAsia="Times New Roman"/>
                <w:color w:val="000000"/>
                <w:sz w:val="16"/>
                <w:szCs w:val="16"/>
              </w:rPr>
            </w:pPr>
            <w:r w:rsidRPr="00FF756A">
              <w:rPr>
                <w:sz w:val="16"/>
                <w:szCs w:val="16"/>
              </w:rPr>
              <w:t xml:space="preserve"> 1 697,6 </w:t>
            </w:r>
          </w:p>
        </w:tc>
        <w:tc>
          <w:tcPr>
            <w:tcW w:w="917" w:type="dxa"/>
            <w:tcBorders>
              <w:top w:val="nil"/>
              <w:left w:val="nil"/>
              <w:bottom w:val="single" w:sz="8" w:space="0" w:color="FFFFFF"/>
              <w:right w:val="single" w:sz="8" w:space="0" w:color="FFFFFF"/>
            </w:tcBorders>
            <w:shd w:val="clear" w:color="000000" w:fill="DBE5F1"/>
            <w:noWrap/>
            <w:hideMark/>
          </w:tcPr>
          <w:p w14:paraId="3FA4F4A0" w14:textId="77777777" w:rsidR="00B86FB3" w:rsidRPr="00FF756A" w:rsidRDefault="00B86FB3" w:rsidP="00B86FB3">
            <w:pPr>
              <w:jc w:val="right"/>
              <w:rPr>
                <w:rFonts w:eastAsia="Times New Roman"/>
                <w:color w:val="000000"/>
                <w:sz w:val="16"/>
                <w:szCs w:val="16"/>
              </w:rPr>
            </w:pPr>
            <w:r w:rsidRPr="00FF756A">
              <w:rPr>
                <w:sz w:val="16"/>
                <w:szCs w:val="16"/>
              </w:rPr>
              <w:t xml:space="preserve"> 1 697,8 </w:t>
            </w:r>
          </w:p>
        </w:tc>
        <w:tc>
          <w:tcPr>
            <w:tcW w:w="917" w:type="dxa"/>
            <w:tcBorders>
              <w:top w:val="nil"/>
              <w:left w:val="nil"/>
              <w:bottom w:val="single" w:sz="8" w:space="0" w:color="FFFFFF"/>
              <w:right w:val="single" w:sz="8" w:space="0" w:color="FFFFFF"/>
            </w:tcBorders>
            <w:shd w:val="clear" w:color="000000" w:fill="DBE5F1"/>
            <w:noWrap/>
            <w:hideMark/>
          </w:tcPr>
          <w:p w14:paraId="364972F2" w14:textId="77777777" w:rsidR="00B86FB3" w:rsidRPr="00FF756A" w:rsidRDefault="00B86FB3" w:rsidP="00B86FB3">
            <w:pPr>
              <w:jc w:val="right"/>
              <w:rPr>
                <w:rFonts w:eastAsia="Times New Roman"/>
                <w:color w:val="000000"/>
                <w:sz w:val="16"/>
                <w:szCs w:val="16"/>
              </w:rPr>
            </w:pPr>
            <w:r w:rsidRPr="00FF756A">
              <w:rPr>
                <w:sz w:val="16"/>
                <w:szCs w:val="16"/>
              </w:rPr>
              <w:t xml:space="preserve"> 1 698,2 </w:t>
            </w:r>
          </w:p>
        </w:tc>
        <w:tc>
          <w:tcPr>
            <w:tcW w:w="918" w:type="dxa"/>
            <w:tcBorders>
              <w:top w:val="nil"/>
              <w:left w:val="nil"/>
              <w:bottom w:val="single" w:sz="8" w:space="0" w:color="FFFFFF"/>
              <w:right w:val="single" w:sz="8" w:space="0" w:color="FFFFFF"/>
            </w:tcBorders>
            <w:shd w:val="clear" w:color="000000" w:fill="DBE5F1"/>
            <w:noWrap/>
            <w:hideMark/>
          </w:tcPr>
          <w:p w14:paraId="3ACB7911" w14:textId="77777777" w:rsidR="00B86FB3" w:rsidRPr="00FF756A" w:rsidRDefault="00B86FB3" w:rsidP="00B86FB3">
            <w:pPr>
              <w:jc w:val="right"/>
              <w:rPr>
                <w:rFonts w:eastAsia="Times New Roman"/>
                <w:color w:val="000000"/>
                <w:sz w:val="16"/>
                <w:szCs w:val="16"/>
              </w:rPr>
            </w:pPr>
            <w:r w:rsidRPr="00FF756A">
              <w:rPr>
                <w:sz w:val="16"/>
                <w:szCs w:val="16"/>
              </w:rPr>
              <w:t xml:space="preserve"> 1 412,1 </w:t>
            </w:r>
          </w:p>
        </w:tc>
        <w:tc>
          <w:tcPr>
            <w:tcW w:w="918" w:type="dxa"/>
            <w:tcBorders>
              <w:top w:val="nil"/>
              <w:left w:val="nil"/>
              <w:bottom w:val="single" w:sz="8" w:space="0" w:color="FFFFFF"/>
              <w:right w:val="single" w:sz="8" w:space="0" w:color="FFFFFF"/>
            </w:tcBorders>
            <w:shd w:val="clear" w:color="000000" w:fill="DBE5F1"/>
          </w:tcPr>
          <w:p w14:paraId="2AF06222" w14:textId="77777777" w:rsidR="00B86FB3" w:rsidRPr="00FF756A" w:rsidRDefault="00B86FB3" w:rsidP="00B86FB3">
            <w:pPr>
              <w:jc w:val="right"/>
              <w:rPr>
                <w:rFonts w:eastAsia="Times New Roman"/>
                <w:color w:val="000000"/>
                <w:sz w:val="16"/>
                <w:szCs w:val="16"/>
              </w:rPr>
            </w:pPr>
            <w:r w:rsidRPr="00FF756A">
              <w:rPr>
                <w:sz w:val="16"/>
                <w:szCs w:val="16"/>
              </w:rPr>
              <w:t xml:space="preserve"> 1 125,9 </w:t>
            </w:r>
          </w:p>
        </w:tc>
      </w:tr>
      <w:tr w:rsidR="00B86FB3" w:rsidRPr="00FF756A" w14:paraId="5C49F411"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67DB42A0" w14:textId="77777777" w:rsidR="00B86FB3" w:rsidRPr="00FF756A" w:rsidRDefault="00B86FB3" w:rsidP="00B86FB3">
            <w:pPr>
              <w:rPr>
                <w:rFonts w:eastAsia="Times New Roman"/>
                <w:b/>
                <w:bCs/>
                <w:color w:val="FFFFFF"/>
                <w:sz w:val="16"/>
                <w:szCs w:val="16"/>
              </w:rPr>
            </w:pPr>
            <w:r w:rsidRPr="00FF756A">
              <w:rPr>
                <w:b/>
                <w:bCs/>
                <w:color w:val="FFFFFF"/>
                <w:sz w:val="16"/>
                <w:szCs w:val="16"/>
              </w:rPr>
              <w:t>CH</w:t>
            </w:r>
            <w:r w:rsidRPr="00FF756A">
              <w:rPr>
                <w:b/>
                <w:bCs/>
                <w:color w:val="FFFFFF"/>
                <w:sz w:val="16"/>
                <w:szCs w:val="16"/>
                <w:vertAlign w:val="subscript"/>
              </w:rPr>
              <w:t>4</w:t>
            </w:r>
            <w:r w:rsidRPr="00FF756A">
              <w:rPr>
                <w:b/>
                <w:bCs/>
                <w:color w:val="FFFFFF"/>
                <w:sz w:val="16"/>
                <w:szCs w:val="16"/>
              </w:rPr>
              <w:t xml:space="preserve"> nga menaxhimi i plehut</w:t>
            </w:r>
          </w:p>
        </w:tc>
        <w:tc>
          <w:tcPr>
            <w:tcW w:w="917" w:type="dxa"/>
            <w:tcBorders>
              <w:top w:val="nil"/>
              <w:left w:val="nil"/>
              <w:bottom w:val="single" w:sz="8" w:space="0" w:color="FFFFFF"/>
              <w:right w:val="single" w:sz="8" w:space="0" w:color="FFFFFF"/>
            </w:tcBorders>
            <w:shd w:val="clear" w:color="000000" w:fill="B8CCE4"/>
            <w:noWrap/>
            <w:hideMark/>
          </w:tcPr>
          <w:p w14:paraId="6197E5F0" w14:textId="77777777" w:rsidR="00B86FB3" w:rsidRPr="00FF756A" w:rsidRDefault="00B86FB3" w:rsidP="00B86FB3">
            <w:pPr>
              <w:jc w:val="right"/>
              <w:rPr>
                <w:rFonts w:eastAsia="Times New Roman"/>
                <w:color w:val="000000"/>
                <w:sz w:val="16"/>
                <w:szCs w:val="16"/>
              </w:rPr>
            </w:pPr>
            <w:r w:rsidRPr="00FF756A">
              <w:rPr>
                <w:sz w:val="16"/>
                <w:szCs w:val="16"/>
              </w:rPr>
              <w:t xml:space="preserve"> 283,8 </w:t>
            </w:r>
          </w:p>
        </w:tc>
        <w:tc>
          <w:tcPr>
            <w:tcW w:w="917" w:type="dxa"/>
            <w:tcBorders>
              <w:top w:val="nil"/>
              <w:left w:val="nil"/>
              <w:bottom w:val="single" w:sz="8" w:space="0" w:color="FFFFFF"/>
              <w:right w:val="single" w:sz="8" w:space="0" w:color="FFFFFF"/>
            </w:tcBorders>
            <w:shd w:val="clear" w:color="000000" w:fill="B8CCE4"/>
            <w:noWrap/>
            <w:hideMark/>
          </w:tcPr>
          <w:p w14:paraId="1B5D2505" w14:textId="77777777" w:rsidR="00B86FB3" w:rsidRPr="00FF756A" w:rsidRDefault="00B86FB3" w:rsidP="00B86FB3">
            <w:pPr>
              <w:jc w:val="right"/>
              <w:rPr>
                <w:rFonts w:eastAsia="Times New Roman"/>
                <w:color w:val="000000"/>
                <w:sz w:val="16"/>
                <w:szCs w:val="16"/>
              </w:rPr>
            </w:pPr>
            <w:r w:rsidRPr="00FF756A">
              <w:rPr>
                <w:sz w:val="16"/>
                <w:szCs w:val="16"/>
              </w:rPr>
              <w:t xml:space="preserve"> 283,8 </w:t>
            </w:r>
          </w:p>
        </w:tc>
        <w:tc>
          <w:tcPr>
            <w:tcW w:w="917" w:type="dxa"/>
            <w:tcBorders>
              <w:top w:val="nil"/>
              <w:left w:val="nil"/>
              <w:bottom w:val="single" w:sz="8" w:space="0" w:color="FFFFFF"/>
              <w:right w:val="single" w:sz="8" w:space="0" w:color="FFFFFF"/>
            </w:tcBorders>
            <w:shd w:val="clear" w:color="000000" w:fill="B8CCE4"/>
            <w:noWrap/>
            <w:hideMark/>
          </w:tcPr>
          <w:p w14:paraId="5F61FBD1" w14:textId="77777777" w:rsidR="00B86FB3" w:rsidRPr="00FF756A" w:rsidRDefault="00B86FB3" w:rsidP="00B86FB3">
            <w:pPr>
              <w:jc w:val="right"/>
              <w:rPr>
                <w:rFonts w:eastAsia="Times New Roman"/>
                <w:color w:val="000000"/>
                <w:sz w:val="16"/>
                <w:szCs w:val="16"/>
              </w:rPr>
            </w:pPr>
            <w:r w:rsidRPr="00FF756A">
              <w:rPr>
                <w:sz w:val="16"/>
                <w:szCs w:val="16"/>
              </w:rPr>
              <w:t xml:space="preserve"> 283,8 </w:t>
            </w:r>
          </w:p>
        </w:tc>
        <w:tc>
          <w:tcPr>
            <w:tcW w:w="917" w:type="dxa"/>
            <w:tcBorders>
              <w:top w:val="nil"/>
              <w:left w:val="nil"/>
              <w:bottom w:val="single" w:sz="8" w:space="0" w:color="FFFFFF"/>
              <w:right w:val="single" w:sz="8" w:space="0" w:color="FFFFFF"/>
            </w:tcBorders>
            <w:shd w:val="clear" w:color="000000" w:fill="B8CCE4"/>
            <w:noWrap/>
            <w:hideMark/>
          </w:tcPr>
          <w:p w14:paraId="4D067A4F" w14:textId="77777777" w:rsidR="00B86FB3" w:rsidRPr="00FF756A" w:rsidRDefault="00B86FB3" w:rsidP="00B86FB3">
            <w:pPr>
              <w:jc w:val="right"/>
              <w:rPr>
                <w:rFonts w:eastAsia="Times New Roman"/>
                <w:color w:val="000000"/>
                <w:sz w:val="16"/>
                <w:szCs w:val="16"/>
              </w:rPr>
            </w:pPr>
            <w:r w:rsidRPr="00FF756A">
              <w:rPr>
                <w:sz w:val="16"/>
                <w:szCs w:val="16"/>
              </w:rPr>
              <w:t xml:space="preserve"> 284,0 </w:t>
            </w:r>
          </w:p>
        </w:tc>
        <w:tc>
          <w:tcPr>
            <w:tcW w:w="917" w:type="dxa"/>
            <w:tcBorders>
              <w:top w:val="nil"/>
              <w:left w:val="nil"/>
              <w:bottom w:val="single" w:sz="8" w:space="0" w:color="FFFFFF"/>
              <w:right w:val="single" w:sz="8" w:space="0" w:color="FFFFFF"/>
            </w:tcBorders>
            <w:shd w:val="clear" w:color="000000" w:fill="B8CCE4"/>
            <w:noWrap/>
            <w:hideMark/>
          </w:tcPr>
          <w:p w14:paraId="0C8F0C6F" w14:textId="77777777" w:rsidR="00B86FB3" w:rsidRPr="00FF756A" w:rsidRDefault="00B86FB3" w:rsidP="00B86FB3">
            <w:pPr>
              <w:jc w:val="right"/>
              <w:rPr>
                <w:rFonts w:eastAsia="Times New Roman"/>
                <w:color w:val="000000"/>
                <w:sz w:val="16"/>
                <w:szCs w:val="16"/>
              </w:rPr>
            </w:pPr>
            <w:r w:rsidRPr="00FF756A">
              <w:rPr>
                <w:sz w:val="16"/>
                <w:szCs w:val="16"/>
              </w:rPr>
              <w:t xml:space="preserve"> 284,7 </w:t>
            </w:r>
          </w:p>
        </w:tc>
        <w:tc>
          <w:tcPr>
            <w:tcW w:w="917" w:type="dxa"/>
            <w:tcBorders>
              <w:top w:val="nil"/>
              <w:left w:val="nil"/>
              <w:bottom w:val="single" w:sz="8" w:space="0" w:color="FFFFFF"/>
              <w:right w:val="single" w:sz="8" w:space="0" w:color="FFFFFF"/>
            </w:tcBorders>
            <w:shd w:val="clear" w:color="000000" w:fill="B8CCE4"/>
            <w:noWrap/>
            <w:hideMark/>
          </w:tcPr>
          <w:p w14:paraId="66DCA8BB" w14:textId="77777777" w:rsidR="00B86FB3" w:rsidRPr="00FF756A" w:rsidRDefault="00B86FB3" w:rsidP="00B86FB3">
            <w:pPr>
              <w:jc w:val="right"/>
              <w:rPr>
                <w:rFonts w:eastAsia="Times New Roman"/>
                <w:color w:val="000000"/>
                <w:sz w:val="16"/>
                <w:szCs w:val="16"/>
              </w:rPr>
            </w:pPr>
            <w:r w:rsidRPr="00FF756A">
              <w:rPr>
                <w:sz w:val="16"/>
                <w:szCs w:val="16"/>
              </w:rPr>
              <w:t xml:space="preserve"> 286,6 </w:t>
            </w:r>
          </w:p>
        </w:tc>
        <w:tc>
          <w:tcPr>
            <w:tcW w:w="918" w:type="dxa"/>
            <w:tcBorders>
              <w:top w:val="nil"/>
              <w:left w:val="nil"/>
              <w:bottom w:val="single" w:sz="8" w:space="0" w:color="FFFFFF"/>
              <w:right w:val="single" w:sz="8" w:space="0" w:color="FFFFFF"/>
            </w:tcBorders>
            <w:shd w:val="clear" w:color="000000" w:fill="B8CCE4"/>
            <w:noWrap/>
            <w:hideMark/>
          </w:tcPr>
          <w:p w14:paraId="3A4206CB" w14:textId="77777777" w:rsidR="00B86FB3" w:rsidRPr="00FF756A" w:rsidRDefault="00B86FB3" w:rsidP="00B86FB3">
            <w:pPr>
              <w:jc w:val="right"/>
              <w:rPr>
                <w:rFonts w:eastAsia="Times New Roman"/>
                <w:color w:val="000000"/>
                <w:sz w:val="16"/>
                <w:szCs w:val="16"/>
              </w:rPr>
            </w:pPr>
            <w:r w:rsidRPr="00FF756A">
              <w:rPr>
                <w:sz w:val="16"/>
                <w:szCs w:val="16"/>
              </w:rPr>
              <w:t xml:space="preserve"> 232,6 </w:t>
            </w:r>
          </w:p>
        </w:tc>
        <w:tc>
          <w:tcPr>
            <w:tcW w:w="918" w:type="dxa"/>
            <w:tcBorders>
              <w:top w:val="nil"/>
              <w:left w:val="nil"/>
              <w:bottom w:val="single" w:sz="8" w:space="0" w:color="FFFFFF"/>
              <w:right w:val="single" w:sz="8" w:space="0" w:color="FFFFFF"/>
            </w:tcBorders>
            <w:shd w:val="clear" w:color="000000" w:fill="B8CCE4"/>
          </w:tcPr>
          <w:p w14:paraId="120B7310" w14:textId="77777777" w:rsidR="00B86FB3" w:rsidRPr="00FF756A" w:rsidRDefault="00B86FB3" w:rsidP="00B86FB3">
            <w:pPr>
              <w:jc w:val="right"/>
              <w:rPr>
                <w:rFonts w:eastAsia="Times New Roman"/>
                <w:color w:val="000000"/>
                <w:sz w:val="16"/>
                <w:szCs w:val="16"/>
              </w:rPr>
            </w:pPr>
            <w:r w:rsidRPr="00FF756A">
              <w:rPr>
                <w:sz w:val="16"/>
                <w:szCs w:val="16"/>
              </w:rPr>
              <w:t xml:space="preserve"> 177,2 </w:t>
            </w:r>
          </w:p>
        </w:tc>
      </w:tr>
      <w:tr w:rsidR="00B86FB3" w:rsidRPr="00FF756A" w14:paraId="5906A103"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1C25266A" w14:textId="77777777" w:rsidR="00B86FB3" w:rsidRPr="00FF756A" w:rsidRDefault="00B86FB3" w:rsidP="00B86FB3">
            <w:pPr>
              <w:rPr>
                <w:rFonts w:eastAsia="Times New Roman"/>
                <w:b/>
                <w:bCs/>
                <w:color w:val="FFFFFF"/>
                <w:sz w:val="16"/>
                <w:szCs w:val="16"/>
              </w:rPr>
            </w:pPr>
            <w:r w:rsidRPr="00FF756A">
              <w:rPr>
                <w:b/>
                <w:bCs/>
                <w:color w:val="FFFFFF"/>
                <w:sz w:val="16"/>
                <w:szCs w:val="16"/>
              </w:rPr>
              <w:t>N</w:t>
            </w:r>
            <w:r w:rsidRPr="00FF756A">
              <w:rPr>
                <w:b/>
                <w:bCs/>
                <w:color w:val="FFFFFF"/>
                <w:sz w:val="16"/>
                <w:szCs w:val="16"/>
                <w:vertAlign w:val="subscript"/>
              </w:rPr>
              <w:t>2</w:t>
            </w:r>
            <w:r w:rsidRPr="00FF756A">
              <w:rPr>
                <w:b/>
                <w:bCs/>
                <w:color w:val="FFFFFF"/>
                <w:sz w:val="16"/>
                <w:szCs w:val="16"/>
              </w:rPr>
              <w:t>O nga menaxhimi i plehut</w:t>
            </w:r>
          </w:p>
        </w:tc>
        <w:tc>
          <w:tcPr>
            <w:tcW w:w="917" w:type="dxa"/>
            <w:tcBorders>
              <w:top w:val="nil"/>
              <w:left w:val="nil"/>
              <w:bottom w:val="single" w:sz="8" w:space="0" w:color="FFFFFF"/>
              <w:right w:val="single" w:sz="8" w:space="0" w:color="FFFFFF"/>
            </w:tcBorders>
            <w:shd w:val="clear" w:color="000000" w:fill="DBE5F1"/>
            <w:noWrap/>
            <w:hideMark/>
          </w:tcPr>
          <w:p w14:paraId="583F7C1C" w14:textId="77777777" w:rsidR="00B86FB3" w:rsidRPr="00FF756A" w:rsidRDefault="00B86FB3" w:rsidP="00B86FB3">
            <w:pPr>
              <w:jc w:val="right"/>
              <w:rPr>
                <w:rFonts w:eastAsia="Times New Roman"/>
                <w:color w:val="000000"/>
                <w:sz w:val="16"/>
                <w:szCs w:val="16"/>
              </w:rPr>
            </w:pPr>
            <w:r w:rsidRPr="00FF756A">
              <w:rPr>
                <w:sz w:val="16"/>
                <w:szCs w:val="16"/>
              </w:rPr>
              <w:t xml:space="preserve"> 94,8 </w:t>
            </w:r>
          </w:p>
        </w:tc>
        <w:tc>
          <w:tcPr>
            <w:tcW w:w="917" w:type="dxa"/>
            <w:tcBorders>
              <w:top w:val="nil"/>
              <w:left w:val="nil"/>
              <w:bottom w:val="single" w:sz="8" w:space="0" w:color="FFFFFF"/>
              <w:right w:val="single" w:sz="8" w:space="0" w:color="FFFFFF"/>
            </w:tcBorders>
            <w:shd w:val="clear" w:color="000000" w:fill="DBE5F1"/>
            <w:noWrap/>
            <w:hideMark/>
          </w:tcPr>
          <w:p w14:paraId="16892294" w14:textId="77777777" w:rsidR="00B86FB3" w:rsidRPr="00FF756A" w:rsidRDefault="00B86FB3" w:rsidP="00B86FB3">
            <w:pPr>
              <w:jc w:val="right"/>
              <w:rPr>
                <w:rFonts w:eastAsia="Times New Roman"/>
                <w:color w:val="000000"/>
                <w:sz w:val="16"/>
                <w:szCs w:val="16"/>
              </w:rPr>
            </w:pPr>
            <w:r w:rsidRPr="00FF756A">
              <w:rPr>
                <w:sz w:val="16"/>
                <w:szCs w:val="16"/>
              </w:rPr>
              <w:t xml:space="preserve"> 94,8 </w:t>
            </w:r>
          </w:p>
        </w:tc>
        <w:tc>
          <w:tcPr>
            <w:tcW w:w="917" w:type="dxa"/>
            <w:tcBorders>
              <w:top w:val="nil"/>
              <w:left w:val="nil"/>
              <w:bottom w:val="single" w:sz="8" w:space="0" w:color="FFFFFF"/>
              <w:right w:val="single" w:sz="8" w:space="0" w:color="FFFFFF"/>
            </w:tcBorders>
            <w:shd w:val="clear" w:color="000000" w:fill="DBE5F1"/>
            <w:noWrap/>
            <w:hideMark/>
          </w:tcPr>
          <w:p w14:paraId="26004A87" w14:textId="77777777" w:rsidR="00B86FB3" w:rsidRPr="00FF756A" w:rsidRDefault="00B86FB3" w:rsidP="00B86FB3">
            <w:pPr>
              <w:jc w:val="right"/>
              <w:rPr>
                <w:rFonts w:eastAsia="Times New Roman"/>
                <w:color w:val="000000"/>
                <w:sz w:val="16"/>
                <w:szCs w:val="16"/>
              </w:rPr>
            </w:pPr>
            <w:r w:rsidRPr="00FF756A">
              <w:rPr>
                <w:sz w:val="16"/>
                <w:szCs w:val="16"/>
              </w:rPr>
              <w:t xml:space="preserve"> 94,8 </w:t>
            </w:r>
          </w:p>
        </w:tc>
        <w:tc>
          <w:tcPr>
            <w:tcW w:w="917" w:type="dxa"/>
            <w:tcBorders>
              <w:top w:val="nil"/>
              <w:left w:val="nil"/>
              <w:bottom w:val="single" w:sz="8" w:space="0" w:color="FFFFFF"/>
              <w:right w:val="single" w:sz="8" w:space="0" w:color="FFFFFF"/>
            </w:tcBorders>
            <w:shd w:val="clear" w:color="000000" w:fill="DBE5F1"/>
            <w:noWrap/>
            <w:hideMark/>
          </w:tcPr>
          <w:p w14:paraId="7437F0CF" w14:textId="77777777" w:rsidR="00B86FB3" w:rsidRPr="00FF756A" w:rsidRDefault="00B86FB3" w:rsidP="00B86FB3">
            <w:pPr>
              <w:jc w:val="right"/>
              <w:rPr>
                <w:rFonts w:eastAsia="Times New Roman"/>
                <w:color w:val="000000"/>
                <w:sz w:val="16"/>
                <w:szCs w:val="16"/>
              </w:rPr>
            </w:pPr>
            <w:r w:rsidRPr="00FF756A">
              <w:rPr>
                <w:sz w:val="16"/>
                <w:szCs w:val="16"/>
              </w:rPr>
              <w:t xml:space="preserve"> 94,8 </w:t>
            </w:r>
          </w:p>
        </w:tc>
        <w:tc>
          <w:tcPr>
            <w:tcW w:w="917" w:type="dxa"/>
            <w:tcBorders>
              <w:top w:val="nil"/>
              <w:left w:val="nil"/>
              <w:bottom w:val="single" w:sz="8" w:space="0" w:color="FFFFFF"/>
              <w:right w:val="single" w:sz="8" w:space="0" w:color="FFFFFF"/>
            </w:tcBorders>
            <w:shd w:val="clear" w:color="000000" w:fill="DBE5F1"/>
            <w:noWrap/>
            <w:hideMark/>
          </w:tcPr>
          <w:p w14:paraId="211E3840" w14:textId="77777777" w:rsidR="00B86FB3" w:rsidRPr="00FF756A" w:rsidRDefault="00B86FB3" w:rsidP="00B86FB3">
            <w:pPr>
              <w:jc w:val="right"/>
              <w:rPr>
                <w:rFonts w:eastAsia="Times New Roman"/>
                <w:color w:val="000000"/>
                <w:sz w:val="16"/>
                <w:szCs w:val="16"/>
              </w:rPr>
            </w:pPr>
            <w:r w:rsidRPr="00FF756A">
              <w:rPr>
                <w:sz w:val="16"/>
                <w:szCs w:val="16"/>
              </w:rPr>
              <w:t xml:space="preserve"> 95,0 </w:t>
            </w:r>
          </w:p>
        </w:tc>
        <w:tc>
          <w:tcPr>
            <w:tcW w:w="917" w:type="dxa"/>
            <w:tcBorders>
              <w:top w:val="nil"/>
              <w:left w:val="nil"/>
              <w:bottom w:val="single" w:sz="8" w:space="0" w:color="FFFFFF"/>
              <w:right w:val="single" w:sz="8" w:space="0" w:color="FFFFFF"/>
            </w:tcBorders>
            <w:shd w:val="clear" w:color="000000" w:fill="DBE5F1"/>
            <w:noWrap/>
            <w:hideMark/>
          </w:tcPr>
          <w:p w14:paraId="1F60BD41" w14:textId="77777777" w:rsidR="00B86FB3" w:rsidRPr="00FF756A" w:rsidRDefault="00B86FB3" w:rsidP="00B86FB3">
            <w:pPr>
              <w:jc w:val="right"/>
              <w:rPr>
                <w:rFonts w:eastAsia="Times New Roman"/>
                <w:color w:val="000000"/>
                <w:sz w:val="16"/>
                <w:szCs w:val="16"/>
              </w:rPr>
            </w:pPr>
            <w:r w:rsidRPr="00FF756A">
              <w:rPr>
                <w:sz w:val="16"/>
                <w:szCs w:val="16"/>
              </w:rPr>
              <w:t xml:space="preserve"> 95,4 </w:t>
            </w:r>
          </w:p>
        </w:tc>
        <w:tc>
          <w:tcPr>
            <w:tcW w:w="918" w:type="dxa"/>
            <w:tcBorders>
              <w:top w:val="nil"/>
              <w:left w:val="nil"/>
              <w:bottom w:val="single" w:sz="8" w:space="0" w:color="FFFFFF"/>
              <w:right w:val="single" w:sz="8" w:space="0" w:color="FFFFFF"/>
            </w:tcBorders>
            <w:shd w:val="clear" w:color="000000" w:fill="DBE5F1"/>
            <w:noWrap/>
            <w:hideMark/>
          </w:tcPr>
          <w:p w14:paraId="5D491D76" w14:textId="77777777" w:rsidR="00B86FB3" w:rsidRPr="00FF756A" w:rsidRDefault="00B86FB3" w:rsidP="00B86FB3">
            <w:pPr>
              <w:jc w:val="right"/>
              <w:rPr>
                <w:rFonts w:eastAsia="Times New Roman"/>
                <w:color w:val="000000"/>
                <w:sz w:val="16"/>
                <w:szCs w:val="16"/>
              </w:rPr>
            </w:pPr>
            <w:r w:rsidRPr="00FF756A">
              <w:rPr>
                <w:sz w:val="16"/>
                <w:szCs w:val="16"/>
              </w:rPr>
              <w:t xml:space="preserve"> 96,4 </w:t>
            </w:r>
          </w:p>
        </w:tc>
        <w:tc>
          <w:tcPr>
            <w:tcW w:w="918" w:type="dxa"/>
            <w:tcBorders>
              <w:top w:val="nil"/>
              <w:left w:val="nil"/>
              <w:bottom w:val="single" w:sz="8" w:space="0" w:color="FFFFFF"/>
              <w:right w:val="single" w:sz="8" w:space="0" w:color="FFFFFF"/>
            </w:tcBorders>
            <w:shd w:val="clear" w:color="000000" w:fill="DBE5F1"/>
          </w:tcPr>
          <w:p w14:paraId="58FC1035" w14:textId="77777777" w:rsidR="00B86FB3" w:rsidRPr="00FF756A" w:rsidRDefault="00B86FB3" w:rsidP="00B86FB3">
            <w:pPr>
              <w:jc w:val="right"/>
              <w:rPr>
                <w:rFonts w:eastAsia="Times New Roman"/>
                <w:color w:val="000000"/>
                <w:sz w:val="16"/>
                <w:szCs w:val="16"/>
              </w:rPr>
            </w:pPr>
            <w:r w:rsidRPr="00FF756A">
              <w:rPr>
                <w:sz w:val="16"/>
                <w:szCs w:val="16"/>
              </w:rPr>
              <w:t xml:space="preserve"> 97,4 </w:t>
            </w:r>
          </w:p>
        </w:tc>
      </w:tr>
      <w:tr w:rsidR="00B86FB3" w:rsidRPr="00FF756A" w14:paraId="7CA92729"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6E5BCF2C" w14:textId="77777777" w:rsidR="00B86FB3" w:rsidRPr="00FF756A" w:rsidRDefault="00B86FB3" w:rsidP="00B86FB3">
            <w:pPr>
              <w:rPr>
                <w:rFonts w:eastAsia="Times New Roman"/>
                <w:b/>
                <w:bCs/>
                <w:color w:val="FFFFFF"/>
                <w:sz w:val="16"/>
                <w:szCs w:val="16"/>
              </w:rPr>
            </w:pPr>
            <w:r w:rsidRPr="00FF756A">
              <w:rPr>
                <w:b/>
                <w:bCs/>
                <w:color w:val="FFFFFF"/>
                <w:sz w:val="16"/>
                <w:szCs w:val="16"/>
              </w:rPr>
              <w:t>N</w:t>
            </w:r>
            <w:r w:rsidRPr="00FF756A">
              <w:rPr>
                <w:b/>
                <w:bCs/>
                <w:color w:val="FFFFFF"/>
                <w:sz w:val="16"/>
                <w:szCs w:val="16"/>
                <w:vertAlign w:val="subscript"/>
              </w:rPr>
              <w:t>2</w:t>
            </w:r>
            <w:r w:rsidRPr="00FF756A">
              <w:rPr>
                <w:b/>
                <w:bCs/>
                <w:color w:val="FFFFFF"/>
                <w:sz w:val="16"/>
                <w:szCs w:val="16"/>
              </w:rPr>
              <w:t>O nga menaxhimi i tokave</w:t>
            </w:r>
          </w:p>
        </w:tc>
        <w:tc>
          <w:tcPr>
            <w:tcW w:w="917" w:type="dxa"/>
            <w:tcBorders>
              <w:top w:val="nil"/>
              <w:left w:val="nil"/>
              <w:bottom w:val="single" w:sz="8" w:space="0" w:color="FFFFFF"/>
              <w:right w:val="single" w:sz="8" w:space="0" w:color="FFFFFF"/>
            </w:tcBorders>
            <w:shd w:val="clear" w:color="000000" w:fill="B8CCE4"/>
            <w:noWrap/>
            <w:hideMark/>
          </w:tcPr>
          <w:p w14:paraId="5327B814" w14:textId="77777777" w:rsidR="00B86FB3" w:rsidRPr="00FF756A" w:rsidRDefault="00B86FB3" w:rsidP="00B86FB3">
            <w:pPr>
              <w:jc w:val="right"/>
              <w:rPr>
                <w:rFonts w:eastAsia="Times New Roman"/>
                <w:color w:val="000000"/>
                <w:sz w:val="16"/>
                <w:szCs w:val="16"/>
              </w:rPr>
            </w:pPr>
            <w:r w:rsidRPr="00FF756A">
              <w:rPr>
                <w:sz w:val="16"/>
                <w:szCs w:val="16"/>
              </w:rPr>
              <w:t xml:space="preserve"> 155,8 </w:t>
            </w:r>
          </w:p>
        </w:tc>
        <w:tc>
          <w:tcPr>
            <w:tcW w:w="917" w:type="dxa"/>
            <w:tcBorders>
              <w:top w:val="nil"/>
              <w:left w:val="nil"/>
              <w:bottom w:val="single" w:sz="8" w:space="0" w:color="FFFFFF"/>
              <w:right w:val="single" w:sz="8" w:space="0" w:color="FFFFFF"/>
            </w:tcBorders>
            <w:shd w:val="clear" w:color="000000" w:fill="B8CCE4"/>
            <w:noWrap/>
            <w:hideMark/>
          </w:tcPr>
          <w:p w14:paraId="35CDC317" w14:textId="77777777" w:rsidR="00B86FB3" w:rsidRPr="00FF756A" w:rsidRDefault="00B86FB3" w:rsidP="00B86FB3">
            <w:pPr>
              <w:jc w:val="right"/>
              <w:rPr>
                <w:rFonts w:eastAsia="Times New Roman"/>
                <w:color w:val="000000"/>
                <w:sz w:val="16"/>
                <w:szCs w:val="16"/>
              </w:rPr>
            </w:pPr>
            <w:r w:rsidRPr="00FF756A">
              <w:rPr>
                <w:sz w:val="16"/>
                <w:szCs w:val="16"/>
              </w:rPr>
              <w:t xml:space="preserve"> 155,8 </w:t>
            </w:r>
          </w:p>
        </w:tc>
        <w:tc>
          <w:tcPr>
            <w:tcW w:w="917" w:type="dxa"/>
            <w:tcBorders>
              <w:top w:val="nil"/>
              <w:left w:val="nil"/>
              <w:bottom w:val="single" w:sz="8" w:space="0" w:color="FFFFFF"/>
              <w:right w:val="single" w:sz="8" w:space="0" w:color="FFFFFF"/>
            </w:tcBorders>
            <w:shd w:val="clear" w:color="000000" w:fill="B8CCE4"/>
            <w:noWrap/>
            <w:hideMark/>
          </w:tcPr>
          <w:p w14:paraId="31C20B72" w14:textId="77777777" w:rsidR="00B86FB3" w:rsidRPr="00FF756A" w:rsidRDefault="00B86FB3" w:rsidP="00B86FB3">
            <w:pPr>
              <w:jc w:val="right"/>
              <w:rPr>
                <w:rFonts w:eastAsia="Times New Roman"/>
                <w:color w:val="000000"/>
                <w:sz w:val="16"/>
                <w:szCs w:val="16"/>
              </w:rPr>
            </w:pPr>
            <w:r w:rsidRPr="00FF756A">
              <w:rPr>
                <w:sz w:val="16"/>
                <w:szCs w:val="16"/>
              </w:rPr>
              <w:t xml:space="preserve"> 155,8 </w:t>
            </w:r>
          </w:p>
        </w:tc>
        <w:tc>
          <w:tcPr>
            <w:tcW w:w="917" w:type="dxa"/>
            <w:tcBorders>
              <w:top w:val="nil"/>
              <w:left w:val="nil"/>
              <w:bottom w:val="single" w:sz="8" w:space="0" w:color="FFFFFF"/>
              <w:right w:val="single" w:sz="8" w:space="0" w:color="FFFFFF"/>
            </w:tcBorders>
            <w:shd w:val="clear" w:color="000000" w:fill="B8CCE4"/>
            <w:noWrap/>
            <w:hideMark/>
          </w:tcPr>
          <w:p w14:paraId="7C3DCFD4" w14:textId="77777777" w:rsidR="00B86FB3" w:rsidRPr="00FF756A" w:rsidRDefault="00B86FB3" w:rsidP="00B86FB3">
            <w:pPr>
              <w:jc w:val="right"/>
              <w:rPr>
                <w:rFonts w:eastAsia="Times New Roman"/>
                <w:color w:val="000000"/>
                <w:sz w:val="16"/>
                <w:szCs w:val="16"/>
              </w:rPr>
            </w:pPr>
            <w:r w:rsidRPr="00FF756A">
              <w:rPr>
                <w:sz w:val="16"/>
                <w:szCs w:val="16"/>
              </w:rPr>
              <w:t xml:space="preserve"> 146,4 </w:t>
            </w:r>
          </w:p>
        </w:tc>
        <w:tc>
          <w:tcPr>
            <w:tcW w:w="917" w:type="dxa"/>
            <w:tcBorders>
              <w:top w:val="nil"/>
              <w:left w:val="nil"/>
              <w:bottom w:val="single" w:sz="8" w:space="0" w:color="FFFFFF"/>
              <w:right w:val="single" w:sz="8" w:space="0" w:color="FFFFFF"/>
            </w:tcBorders>
            <w:shd w:val="clear" w:color="000000" w:fill="B8CCE4"/>
            <w:noWrap/>
            <w:hideMark/>
          </w:tcPr>
          <w:p w14:paraId="6A5AF9CA" w14:textId="77777777" w:rsidR="00B86FB3" w:rsidRPr="00FF756A" w:rsidRDefault="00B86FB3" w:rsidP="00B86FB3">
            <w:pPr>
              <w:jc w:val="right"/>
              <w:rPr>
                <w:rFonts w:eastAsia="Times New Roman"/>
                <w:color w:val="000000"/>
                <w:sz w:val="16"/>
                <w:szCs w:val="16"/>
              </w:rPr>
            </w:pPr>
            <w:r w:rsidRPr="00FF756A">
              <w:rPr>
                <w:sz w:val="16"/>
                <w:szCs w:val="16"/>
              </w:rPr>
              <w:t xml:space="preserve"> 142,9 </w:t>
            </w:r>
          </w:p>
        </w:tc>
        <w:tc>
          <w:tcPr>
            <w:tcW w:w="917" w:type="dxa"/>
            <w:tcBorders>
              <w:top w:val="nil"/>
              <w:left w:val="nil"/>
              <w:bottom w:val="single" w:sz="8" w:space="0" w:color="FFFFFF"/>
              <w:right w:val="single" w:sz="8" w:space="0" w:color="FFFFFF"/>
            </w:tcBorders>
            <w:shd w:val="clear" w:color="000000" w:fill="B8CCE4"/>
            <w:noWrap/>
            <w:hideMark/>
          </w:tcPr>
          <w:p w14:paraId="3F2DAB4D" w14:textId="77777777" w:rsidR="00B86FB3" w:rsidRPr="00FF756A" w:rsidRDefault="00B86FB3" w:rsidP="00B86FB3">
            <w:pPr>
              <w:jc w:val="right"/>
              <w:rPr>
                <w:rFonts w:eastAsia="Times New Roman"/>
                <w:color w:val="000000"/>
                <w:sz w:val="16"/>
                <w:szCs w:val="16"/>
              </w:rPr>
            </w:pPr>
            <w:r w:rsidRPr="00FF756A">
              <w:rPr>
                <w:sz w:val="16"/>
                <w:szCs w:val="16"/>
              </w:rPr>
              <w:t xml:space="preserve"> 134,3 </w:t>
            </w:r>
          </w:p>
        </w:tc>
        <w:tc>
          <w:tcPr>
            <w:tcW w:w="918" w:type="dxa"/>
            <w:tcBorders>
              <w:top w:val="nil"/>
              <w:left w:val="nil"/>
              <w:bottom w:val="single" w:sz="8" w:space="0" w:color="FFFFFF"/>
              <w:right w:val="single" w:sz="8" w:space="0" w:color="FFFFFF"/>
            </w:tcBorders>
            <w:shd w:val="clear" w:color="000000" w:fill="B8CCE4"/>
            <w:noWrap/>
            <w:hideMark/>
          </w:tcPr>
          <w:p w14:paraId="5611788C" w14:textId="77777777" w:rsidR="00B86FB3" w:rsidRPr="00FF756A" w:rsidRDefault="00B86FB3" w:rsidP="00B86FB3">
            <w:pPr>
              <w:jc w:val="right"/>
              <w:rPr>
                <w:rFonts w:eastAsia="Times New Roman"/>
                <w:color w:val="000000"/>
                <w:sz w:val="16"/>
                <w:szCs w:val="16"/>
              </w:rPr>
            </w:pPr>
            <w:r w:rsidRPr="00FF756A">
              <w:rPr>
                <w:sz w:val="16"/>
                <w:szCs w:val="16"/>
              </w:rPr>
              <w:t xml:space="preserve"> 119,4 </w:t>
            </w:r>
          </w:p>
        </w:tc>
        <w:tc>
          <w:tcPr>
            <w:tcW w:w="918" w:type="dxa"/>
            <w:tcBorders>
              <w:top w:val="nil"/>
              <w:left w:val="nil"/>
              <w:bottom w:val="single" w:sz="8" w:space="0" w:color="FFFFFF"/>
              <w:right w:val="single" w:sz="8" w:space="0" w:color="FFFFFF"/>
            </w:tcBorders>
            <w:shd w:val="clear" w:color="000000" w:fill="B8CCE4"/>
          </w:tcPr>
          <w:p w14:paraId="774A68F3" w14:textId="77777777" w:rsidR="00B86FB3" w:rsidRPr="00FF756A" w:rsidRDefault="00B86FB3" w:rsidP="00B86FB3">
            <w:pPr>
              <w:jc w:val="right"/>
              <w:rPr>
                <w:rFonts w:eastAsia="Times New Roman"/>
                <w:color w:val="000000"/>
                <w:sz w:val="16"/>
                <w:szCs w:val="16"/>
              </w:rPr>
            </w:pPr>
            <w:r w:rsidRPr="00FF756A">
              <w:rPr>
                <w:sz w:val="16"/>
                <w:szCs w:val="16"/>
              </w:rPr>
              <w:t xml:space="preserve"> 104,5 </w:t>
            </w:r>
          </w:p>
        </w:tc>
      </w:tr>
      <w:tr w:rsidR="00B86FB3" w:rsidRPr="00FF756A" w14:paraId="479F43D0"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00505DE3" w14:textId="77777777" w:rsidR="00B86FB3" w:rsidRPr="00FF756A" w:rsidRDefault="00B86FB3" w:rsidP="00B86FB3">
            <w:pPr>
              <w:rPr>
                <w:rFonts w:eastAsia="Times New Roman"/>
                <w:b/>
                <w:bCs/>
                <w:color w:val="FFFFFF"/>
                <w:sz w:val="16"/>
                <w:szCs w:val="16"/>
              </w:rPr>
            </w:pPr>
            <w:r w:rsidRPr="00FF756A">
              <w:rPr>
                <w:b/>
                <w:bCs/>
                <w:color w:val="FFFFFF"/>
                <w:sz w:val="16"/>
                <w:szCs w:val="16"/>
              </w:rPr>
              <w:t>CO</w:t>
            </w:r>
            <w:r w:rsidRPr="00FF756A">
              <w:rPr>
                <w:b/>
                <w:bCs/>
                <w:color w:val="FFFFFF"/>
                <w:sz w:val="16"/>
                <w:szCs w:val="16"/>
                <w:vertAlign w:val="subscript"/>
              </w:rPr>
              <w:t>2</w:t>
            </w:r>
            <w:r w:rsidRPr="00FF756A">
              <w:rPr>
                <w:b/>
                <w:bCs/>
                <w:color w:val="FFFFFF"/>
                <w:sz w:val="16"/>
                <w:szCs w:val="16"/>
              </w:rPr>
              <w:t xml:space="preserve"> nga aplikimi i uresë</w:t>
            </w:r>
          </w:p>
        </w:tc>
        <w:tc>
          <w:tcPr>
            <w:tcW w:w="917" w:type="dxa"/>
            <w:tcBorders>
              <w:top w:val="nil"/>
              <w:left w:val="nil"/>
              <w:bottom w:val="single" w:sz="8" w:space="0" w:color="FFFFFF"/>
              <w:right w:val="single" w:sz="8" w:space="0" w:color="FFFFFF"/>
            </w:tcBorders>
            <w:shd w:val="clear" w:color="000000" w:fill="B8CCE4"/>
            <w:noWrap/>
            <w:hideMark/>
          </w:tcPr>
          <w:p w14:paraId="262E8909" w14:textId="77777777" w:rsidR="00B86FB3" w:rsidRPr="00FF756A" w:rsidRDefault="00B86FB3" w:rsidP="00B86FB3">
            <w:pPr>
              <w:jc w:val="right"/>
              <w:rPr>
                <w:rFonts w:eastAsia="Times New Roman"/>
                <w:color w:val="000000"/>
                <w:sz w:val="16"/>
                <w:szCs w:val="16"/>
              </w:rPr>
            </w:pPr>
            <w:r w:rsidRPr="00FF756A">
              <w:rPr>
                <w:sz w:val="16"/>
                <w:szCs w:val="16"/>
              </w:rPr>
              <w:t xml:space="preserve"> 143,8 </w:t>
            </w:r>
          </w:p>
        </w:tc>
        <w:tc>
          <w:tcPr>
            <w:tcW w:w="917" w:type="dxa"/>
            <w:tcBorders>
              <w:top w:val="nil"/>
              <w:left w:val="nil"/>
              <w:bottom w:val="single" w:sz="8" w:space="0" w:color="FFFFFF"/>
              <w:right w:val="single" w:sz="8" w:space="0" w:color="FFFFFF"/>
            </w:tcBorders>
            <w:shd w:val="clear" w:color="000000" w:fill="B8CCE4"/>
            <w:noWrap/>
            <w:hideMark/>
          </w:tcPr>
          <w:p w14:paraId="624BE141" w14:textId="77777777" w:rsidR="00B86FB3" w:rsidRPr="00FF756A" w:rsidRDefault="00B86FB3" w:rsidP="00B86FB3">
            <w:pPr>
              <w:jc w:val="right"/>
              <w:rPr>
                <w:rFonts w:eastAsia="Times New Roman"/>
                <w:color w:val="000000"/>
                <w:sz w:val="16"/>
                <w:szCs w:val="16"/>
              </w:rPr>
            </w:pPr>
            <w:r w:rsidRPr="00FF756A">
              <w:rPr>
                <w:sz w:val="16"/>
                <w:szCs w:val="16"/>
              </w:rPr>
              <w:t xml:space="preserve"> 143,8 </w:t>
            </w:r>
          </w:p>
        </w:tc>
        <w:tc>
          <w:tcPr>
            <w:tcW w:w="917" w:type="dxa"/>
            <w:tcBorders>
              <w:top w:val="nil"/>
              <w:left w:val="nil"/>
              <w:bottom w:val="single" w:sz="8" w:space="0" w:color="FFFFFF"/>
              <w:right w:val="single" w:sz="8" w:space="0" w:color="FFFFFF"/>
            </w:tcBorders>
            <w:shd w:val="clear" w:color="000000" w:fill="B8CCE4"/>
            <w:noWrap/>
            <w:hideMark/>
          </w:tcPr>
          <w:p w14:paraId="140D71AD" w14:textId="77777777" w:rsidR="00B86FB3" w:rsidRPr="00FF756A" w:rsidRDefault="00B86FB3" w:rsidP="00B86FB3">
            <w:pPr>
              <w:jc w:val="right"/>
              <w:rPr>
                <w:rFonts w:eastAsia="Times New Roman"/>
                <w:color w:val="000000"/>
                <w:sz w:val="16"/>
                <w:szCs w:val="16"/>
              </w:rPr>
            </w:pPr>
            <w:r w:rsidRPr="00FF756A">
              <w:rPr>
                <w:sz w:val="16"/>
                <w:szCs w:val="16"/>
              </w:rPr>
              <w:t xml:space="preserve"> 143,8 </w:t>
            </w:r>
          </w:p>
        </w:tc>
        <w:tc>
          <w:tcPr>
            <w:tcW w:w="917" w:type="dxa"/>
            <w:tcBorders>
              <w:top w:val="nil"/>
              <w:left w:val="nil"/>
              <w:bottom w:val="single" w:sz="8" w:space="0" w:color="FFFFFF"/>
              <w:right w:val="single" w:sz="8" w:space="0" w:color="FFFFFF"/>
            </w:tcBorders>
            <w:shd w:val="clear" w:color="000000" w:fill="B8CCE4"/>
            <w:noWrap/>
            <w:hideMark/>
          </w:tcPr>
          <w:p w14:paraId="62CEC560" w14:textId="77777777" w:rsidR="00B86FB3" w:rsidRPr="00FF756A" w:rsidRDefault="00B86FB3" w:rsidP="00B86FB3">
            <w:pPr>
              <w:jc w:val="right"/>
              <w:rPr>
                <w:rFonts w:eastAsia="Times New Roman"/>
                <w:color w:val="000000"/>
                <w:sz w:val="16"/>
                <w:szCs w:val="16"/>
              </w:rPr>
            </w:pPr>
            <w:r w:rsidRPr="00FF756A">
              <w:rPr>
                <w:sz w:val="16"/>
                <w:szCs w:val="16"/>
              </w:rPr>
              <w:t xml:space="preserve"> 117,7 </w:t>
            </w:r>
          </w:p>
        </w:tc>
        <w:tc>
          <w:tcPr>
            <w:tcW w:w="917" w:type="dxa"/>
            <w:tcBorders>
              <w:top w:val="nil"/>
              <w:left w:val="nil"/>
              <w:bottom w:val="single" w:sz="8" w:space="0" w:color="FFFFFF"/>
              <w:right w:val="single" w:sz="8" w:space="0" w:color="FFFFFF"/>
            </w:tcBorders>
            <w:shd w:val="clear" w:color="000000" w:fill="B8CCE4"/>
            <w:noWrap/>
            <w:hideMark/>
          </w:tcPr>
          <w:p w14:paraId="3176D150" w14:textId="77777777" w:rsidR="00B86FB3" w:rsidRPr="00FF756A" w:rsidRDefault="00B86FB3" w:rsidP="00B86FB3">
            <w:pPr>
              <w:jc w:val="right"/>
              <w:rPr>
                <w:rFonts w:eastAsia="Times New Roman"/>
                <w:color w:val="000000"/>
                <w:sz w:val="16"/>
                <w:szCs w:val="16"/>
              </w:rPr>
            </w:pPr>
            <w:r w:rsidRPr="00FF756A">
              <w:rPr>
                <w:sz w:val="16"/>
                <w:szCs w:val="16"/>
              </w:rPr>
              <w:t xml:space="preserve"> 104,6 </w:t>
            </w:r>
          </w:p>
        </w:tc>
        <w:tc>
          <w:tcPr>
            <w:tcW w:w="917" w:type="dxa"/>
            <w:tcBorders>
              <w:top w:val="nil"/>
              <w:left w:val="nil"/>
              <w:bottom w:val="single" w:sz="8" w:space="0" w:color="FFFFFF"/>
              <w:right w:val="single" w:sz="8" w:space="0" w:color="FFFFFF"/>
            </w:tcBorders>
            <w:shd w:val="clear" w:color="000000" w:fill="B8CCE4"/>
            <w:noWrap/>
            <w:hideMark/>
          </w:tcPr>
          <w:p w14:paraId="3648B0F2" w14:textId="77777777" w:rsidR="00B86FB3" w:rsidRPr="00FF756A" w:rsidRDefault="00B86FB3" w:rsidP="00B86FB3">
            <w:pPr>
              <w:jc w:val="right"/>
              <w:rPr>
                <w:rFonts w:eastAsia="Times New Roman"/>
                <w:color w:val="000000"/>
                <w:sz w:val="16"/>
                <w:szCs w:val="16"/>
              </w:rPr>
            </w:pPr>
            <w:r w:rsidRPr="00FF756A">
              <w:rPr>
                <w:sz w:val="16"/>
                <w:szCs w:val="16"/>
              </w:rPr>
              <w:t xml:space="preserve"> 71,9 </w:t>
            </w:r>
          </w:p>
        </w:tc>
        <w:tc>
          <w:tcPr>
            <w:tcW w:w="918" w:type="dxa"/>
            <w:tcBorders>
              <w:top w:val="nil"/>
              <w:left w:val="nil"/>
              <w:bottom w:val="single" w:sz="8" w:space="0" w:color="FFFFFF"/>
              <w:right w:val="single" w:sz="8" w:space="0" w:color="FFFFFF"/>
            </w:tcBorders>
            <w:shd w:val="clear" w:color="000000" w:fill="B8CCE4"/>
            <w:noWrap/>
            <w:hideMark/>
          </w:tcPr>
          <w:p w14:paraId="1DB90750" w14:textId="77777777" w:rsidR="00B86FB3" w:rsidRPr="00FF756A" w:rsidRDefault="00B86FB3" w:rsidP="00B86FB3">
            <w:pPr>
              <w:jc w:val="right"/>
              <w:rPr>
                <w:rFonts w:eastAsia="Times New Roman"/>
                <w:color w:val="000000"/>
                <w:sz w:val="16"/>
                <w:szCs w:val="16"/>
              </w:rPr>
            </w:pPr>
            <w:r w:rsidRPr="00FF756A">
              <w:rPr>
                <w:sz w:val="16"/>
                <w:szCs w:val="16"/>
              </w:rPr>
              <w:t xml:space="preserve"> 50,3 </w:t>
            </w:r>
          </w:p>
        </w:tc>
        <w:tc>
          <w:tcPr>
            <w:tcW w:w="918" w:type="dxa"/>
            <w:tcBorders>
              <w:top w:val="nil"/>
              <w:left w:val="nil"/>
              <w:bottom w:val="single" w:sz="8" w:space="0" w:color="FFFFFF"/>
              <w:right w:val="single" w:sz="8" w:space="0" w:color="FFFFFF"/>
            </w:tcBorders>
            <w:shd w:val="clear" w:color="000000" w:fill="B8CCE4"/>
          </w:tcPr>
          <w:p w14:paraId="5E5A41E8" w14:textId="77777777" w:rsidR="00B86FB3" w:rsidRPr="00FF756A" w:rsidRDefault="00B86FB3" w:rsidP="00B86FB3">
            <w:pPr>
              <w:jc w:val="right"/>
              <w:rPr>
                <w:rFonts w:eastAsia="Times New Roman"/>
                <w:color w:val="000000"/>
                <w:sz w:val="16"/>
                <w:szCs w:val="16"/>
              </w:rPr>
            </w:pPr>
            <w:r w:rsidRPr="00FF756A">
              <w:rPr>
                <w:sz w:val="16"/>
                <w:szCs w:val="16"/>
              </w:rPr>
              <w:t xml:space="preserve"> 28,8 </w:t>
            </w:r>
          </w:p>
        </w:tc>
      </w:tr>
      <w:tr w:rsidR="00B86FB3" w:rsidRPr="00FF756A" w14:paraId="6C099C77"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43F956EF" w14:textId="77777777" w:rsidR="00B86FB3" w:rsidRPr="00FF756A" w:rsidRDefault="00B86FB3" w:rsidP="00B86FB3">
            <w:pPr>
              <w:rPr>
                <w:rFonts w:eastAsia="Times New Roman"/>
                <w:b/>
                <w:bCs/>
                <w:color w:val="FFFFFF"/>
                <w:sz w:val="16"/>
                <w:szCs w:val="16"/>
              </w:rPr>
            </w:pPr>
            <w:r w:rsidRPr="00FF756A">
              <w:rPr>
                <w:b/>
                <w:bCs/>
                <w:color w:val="FFFFFF"/>
                <w:sz w:val="16"/>
                <w:szCs w:val="16"/>
              </w:rPr>
              <w:t>CH</w:t>
            </w:r>
            <w:r w:rsidRPr="00FF756A">
              <w:rPr>
                <w:b/>
                <w:bCs/>
                <w:color w:val="FFFFFF"/>
                <w:sz w:val="16"/>
                <w:szCs w:val="16"/>
                <w:vertAlign w:val="subscript"/>
              </w:rPr>
              <w:t>4</w:t>
            </w:r>
            <w:r w:rsidRPr="00FF756A">
              <w:rPr>
                <w:b/>
                <w:bCs/>
                <w:color w:val="FFFFFF"/>
                <w:sz w:val="16"/>
                <w:szCs w:val="16"/>
              </w:rPr>
              <w:t xml:space="preserve"> nga djegia e fushave</w:t>
            </w:r>
          </w:p>
        </w:tc>
        <w:tc>
          <w:tcPr>
            <w:tcW w:w="917" w:type="dxa"/>
            <w:tcBorders>
              <w:top w:val="nil"/>
              <w:left w:val="nil"/>
              <w:bottom w:val="single" w:sz="8" w:space="0" w:color="FFFFFF"/>
              <w:right w:val="single" w:sz="8" w:space="0" w:color="FFFFFF"/>
            </w:tcBorders>
            <w:shd w:val="clear" w:color="000000" w:fill="DBE5F1"/>
            <w:noWrap/>
            <w:hideMark/>
          </w:tcPr>
          <w:p w14:paraId="4F88D688" w14:textId="77777777" w:rsidR="00B86FB3" w:rsidRPr="00FF756A" w:rsidRDefault="00B86FB3" w:rsidP="00B86FB3">
            <w:pPr>
              <w:jc w:val="right"/>
              <w:rPr>
                <w:rFonts w:eastAsia="Times New Roman"/>
                <w:color w:val="000000"/>
                <w:sz w:val="16"/>
                <w:szCs w:val="16"/>
              </w:rPr>
            </w:pPr>
            <w:r w:rsidRPr="00FF756A">
              <w:rPr>
                <w:sz w:val="16"/>
                <w:szCs w:val="16"/>
              </w:rPr>
              <w:t xml:space="preserve"> 0,7 </w:t>
            </w:r>
          </w:p>
        </w:tc>
        <w:tc>
          <w:tcPr>
            <w:tcW w:w="917" w:type="dxa"/>
            <w:tcBorders>
              <w:top w:val="nil"/>
              <w:left w:val="nil"/>
              <w:bottom w:val="single" w:sz="8" w:space="0" w:color="FFFFFF"/>
              <w:right w:val="single" w:sz="8" w:space="0" w:color="FFFFFF"/>
            </w:tcBorders>
            <w:shd w:val="clear" w:color="000000" w:fill="DBE5F1"/>
            <w:noWrap/>
            <w:hideMark/>
          </w:tcPr>
          <w:p w14:paraId="4F9AF2BA" w14:textId="77777777" w:rsidR="00B86FB3" w:rsidRPr="00FF756A" w:rsidRDefault="00B86FB3" w:rsidP="00B86FB3">
            <w:pPr>
              <w:jc w:val="right"/>
              <w:rPr>
                <w:rFonts w:eastAsia="Times New Roman"/>
                <w:color w:val="000000"/>
                <w:sz w:val="16"/>
                <w:szCs w:val="16"/>
              </w:rPr>
            </w:pPr>
            <w:r w:rsidRPr="00FF756A">
              <w:rPr>
                <w:sz w:val="16"/>
                <w:szCs w:val="16"/>
              </w:rPr>
              <w:t xml:space="preserve"> 0,7 </w:t>
            </w:r>
          </w:p>
        </w:tc>
        <w:tc>
          <w:tcPr>
            <w:tcW w:w="917" w:type="dxa"/>
            <w:tcBorders>
              <w:top w:val="nil"/>
              <w:left w:val="nil"/>
              <w:bottom w:val="single" w:sz="8" w:space="0" w:color="FFFFFF"/>
              <w:right w:val="single" w:sz="8" w:space="0" w:color="FFFFFF"/>
            </w:tcBorders>
            <w:shd w:val="clear" w:color="000000" w:fill="DBE5F1"/>
            <w:noWrap/>
            <w:hideMark/>
          </w:tcPr>
          <w:p w14:paraId="065EA2D0" w14:textId="77777777" w:rsidR="00B86FB3" w:rsidRPr="00FF756A" w:rsidRDefault="00B86FB3" w:rsidP="00B86FB3">
            <w:pPr>
              <w:jc w:val="right"/>
              <w:rPr>
                <w:rFonts w:eastAsia="Times New Roman"/>
                <w:color w:val="000000"/>
                <w:sz w:val="16"/>
                <w:szCs w:val="16"/>
              </w:rPr>
            </w:pPr>
            <w:r w:rsidRPr="00FF756A">
              <w:rPr>
                <w:sz w:val="16"/>
                <w:szCs w:val="16"/>
              </w:rPr>
              <w:t xml:space="preserve"> 0,7 </w:t>
            </w:r>
          </w:p>
        </w:tc>
        <w:tc>
          <w:tcPr>
            <w:tcW w:w="917" w:type="dxa"/>
            <w:tcBorders>
              <w:top w:val="nil"/>
              <w:left w:val="nil"/>
              <w:bottom w:val="single" w:sz="8" w:space="0" w:color="FFFFFF"/>
              <w:right w:val="single" w:sz="8" w:space="0" w:color="FFFFFF"/>
            </w:tcBorders>
            <w:shd w:val="clear" w:color="000000" w:fill="DBE5F1"/>
            <w:noWrap/>
            <w:hideMark/>
          </w:tcPr>
          <w:p w14:paraId="7798C5D9" w14:textId="77777777" w:rsidR="00B86FB3" w:rsidRPr="00FF756A" w:rsidRDefault="00B86FB3" w:rsidP="00B86FB3">
            <w:pPr>
              <w:jc w:val="right"/>
              <w:rPr>
                <w:rFonts w:eastAsia="Times New Roman"/>
                <w:color w:val="000000"/>
                <w:sz w:val="16"/>
                <w:szCs w:val="16"/>
              </w:rPr>
            </w:pPr>
            <w:r w:rsidRPr="00FF756A">
              <w:rPr>
                <w:sz w:val="16"/>
                <w:szCs w:val="16"/>
              </w:rPr>
              <w:t xml:space="preserve"> 0,3 </w:t>
            </w:r>
          </w:p>
        </w:tc>
        <w:tc>
          <w:tcPr>
            <w:tcW w:w="917" w:type="dxa"/>
            <w:tcBorders>
              <w:top w:val="nil"/>
              <w:left w:val="nil"/>
              <w:bottom w:val="single" w:sz="8" w:space="0" w:color="FFFFFF"/>
              <w:right w:val="single" w:sz="8" w:space="0" w:color="FFFFFF"/>
            </w:tcBorders>
            <w:shd w:val="clear" w:color="000000" w:fill="DBE5F1"/>
            <w:noWrap/>
            <w:hideMark/>
          </w:tcPr>
          <w:p w14:paraId="3AEB1031"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7" w:type="dxa"/>
            <w:tcBorders>
              <w:top w:val="nil"/>
              <w:left w:val="nil"/>
              <w:bottom w:val="single" w:sz="8" w:space="0" w:color="FFFFFF"/>
              <w:right w:val="single" w:sz="8" w:space="0" w:color="FFFFFF"/>
            </w:tcBorders>
            <w:shd w:val="clear" w:color="000000" w:fill="DBE5F1"/>
            <w:noWrap/>
            <w:hideMark/>
          </w:tcPr>
          <w:p w14:paraId="66D8F31A"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8" w:type="dxa"/>
            <w:tcBorders>
              <w:top w:val="nil"/>
              <w:left w:val="nil"/>
              <w:bottom w:val="single" w:sz="8" w:space="0" w:color="FFFFFF"/>
              <w:right w:val="single" w:sz="8" w:space="0" w:color="FFFFFF"/>
            </w:tcBorders>
            <w:shd w:val="clear" w:color="000000" w:fill="DBE5F1"/>
            <w:noWrap/>
            <w:hideMark/>
          </w:tcPr>
          <w:p w14:paraId="2BF31B57"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8" w:type="dxa"/>
            <w:tcBorders>
              <w:top w:val="nil"/>
              <w:left w:val="nil"/>
              <w:bottom w:val="single" w:sz="8" w:space="0" w:color="FFFFFF"/>
              <w:right w:val="single" w:sz="8" w:space="0" w:color="FFFFFF"/>
            </w:tcBorders>
            <w:shd w:val="clear" w:color="000000" w:fill="DBE5F1"/>
          </w:tcPr>
          <w:p w14:paraId="286CABDA"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r>
      <w:tr w:rsidR="00B86FB3" w:rsidRPr="00FF756A" w14:paraId="48BEE5DB"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47C46C01" w14:textId="77777777" w:rsidR="00B86FB3" w:rsidRPr="00FF756A" w:rsidRDefault="00B86FB3" w:rsidP="00B86FB3">
            <w:pPr>
              <w:rPr>
                <w:rFonts w:eastAsia="Times New Roman"/>
                <w:b/>
                <w:bCs/>
                <w:color w:val="FFFFFF"/>
                <w:sz w:val="16"/>
                <w:szCs w:val="16"/>
              </w:rPr>
            </w:pPr>
            <w:r w:rsidRPr="00FF756A">
              <w:rPr>
                <w:b/>
                <w:bCs/>
                <w:color w:val="FFFFFF"/>
                <w:sz w:val="16"/>
                <w:szCs w:val="16"/>
              </w:rPr>
              <w:t>N</w:t>
            </w:r>
            <w:r w:rsidRPr="00FF756A">
              <w:rPr>
                <w:b/>
                <w:bCs/>
                <w:color w:val="FFFFFF"/>
                <w:sz w:val="16"/>
                <w:szCs w:val="16"/>
                <w:vertAlign w:val="subscript"/>
              </w:rPr>
              <w:t>2</w:t>
            </w:r>
            <w:r w:rsidRPr="00FF756A">
              <w:rPr>
                <w:b/>
                <w:bCs/>
                <w:color w:val="FFFFFF"/>
                <w:sz w:val="16"/>
                <w:szCs w:val="16"/>
              </w:rPr>
              <w:t>O nga djegia e fushave</w:t>
            </w:r>
          </w:p>
        </w:tc>
        <w:tc>
          <w:tcPr>
            <w:tcW w:w="917" w:type="dxa"/>
            <w:tcBorders>
              <w:top w:val="nil"/>
              <w:left w:val="nil"/>
              <w:bottom w:val="single" w:sz="8" w:space="0" w:color="FFFFFF"/>
              <w:right w:val="single" w:sz="8" w:space="0" w:color="FFFFFF"/>
            </w:tcBorders>
            <w:shd w:val="clear" w:color="000000" w:fill="B8CCE4"/>
            <w:noWrap/>
            <w:hideMark/>
          </w:tcPr>
          <w:p w14:paraId="5570360F" w14:textId="77777777" w:rsidR="00B86FB3" w:rsidRPr="00FF756A" w:rsidRDefault="00B86FB3" w:rsidP="00B86FB3">
            <w:pPr>
              <w:jc w:val="right"/>
              <w:rPr>
                <w:rFonts w:eastAsia="Times New Roman"/>
                <w:color w:val="000000"/>
                <w:sz w:val="16"/>
                <w:szCs w:val="16"/>
              </w:rPr>
            </w:pPr>
            <w:r w:rsidRPr="00FF756A">
              <w:rPr>
                <w:sz w:val="16"/>
                <w:szCs w:val="16"/>
              </w:rPr>
              <w:t xml:space="preserve"> 0,2 </w:t>
            </w:r>
          </w:p>
        </w:tc>
        <w:tc>
          <w:tcPr>
            <w:tcW w:w="917" w:type="dxa"/>
            <w:tcBorders>
              <w:top w:val="nil"/>
              <w:left w:val="nil"/>
              <w:bottom w:val="single" w:sz="8" w:space="0" w:color="FFFFFF"/>
              <w:right w:val="single" w:sz="8" w:space="0" w:color="FFFFFF"/>
            </w:tcBorders>
            <w:shd w:val="clear" w:color="000000" w:fill="B8CCE4"/>
            <w:noWrap/>
            <w:hideMark/>
          </w:tcPr>
          <w:p w14:paraId="4CD6B32B" w14:textId="77777777" w:rsidR="00B86FB3" w:rsidRPr="00FF756A" w:rsidRDefault="00B86FB3" w:rsidP="00B86FB3">
            <w:pPr>
              <w:jc w:val="right"/>
              <w:rPr>
                <w:rFonts w:eastAsia="Times New Roman"/>
                <w:color w:val="000000"/>
                <w:sz w:val="16"/>
                <w:szCs w:val="16"/>
              </w:rPr>
            </w:pPr>
            <w:r w:rsidRPr="00FF756A">
              <w:rPr>
                <w:sz w:val="16"/>
                <w:szCs w:val="16"/>
              </w:rPr>
              <w:t xml:space="preserve"> 0,2 </w:t>
            </w:r>
          </w:p>
        </w:tc>
        <w:tc>
          <w:tcPr>
            <w:tcW w:w="917" w:type="dxa"/>
            <w:tcBorders>
              <w:top w:val="nil"/>
              <w:left w:val="nil"/>
              <w:bottom w:val="single" w:sz="8" w:space="0" w:color="FFFFFF"/>
              <w:right w:val="single" w:sz="8" w:space="0" w:color="FFFFFF"/>
            </w:tcBorders>
            <w:shd w:val="clear" w:color="000000" w:fill="B8CCE4"/>
            <w:noWrap/>
            <w:hideMark/>
          </w:tcPr>
          <w:p w14:paraId="63A44AAA" w14:textId="77777777" w:rsidR="00B86FB3" w:rsidRPr="00FF756A" w:rsidRDefault="00B86FB3" w:rsidP="00B86FB3">
            <w:pPr>
              <w:jc w:val="right"/>
              <w:rPr>
                <w:rFonts w:eastAsia="Times New Roman"/>
                <w:color w:val="000000"/>
                <w:sz w:val="16"/>
                <w:szCs w:val="16"/>
              </w:rPr>
            </w:pPr>
            <w:r w:rsidRPr="00FF756A">
              <w:rPr>
                <w:sz w:val="16"/>
                <w:szCs w:val="16"/>
              </w:rPr>
              <w:t xml:space="preserve"> 0,2 </w:t>
            </w:r>
          </w:p>
        </w:tc>
        <w:tc>
          <w:tcPr>
            <w:tcW w:w="917" w:type="dxa"/>
            <w:tcBorders>
              <w:top w:val="nil"/>
              <w:left w:val="nil"/>
              <w:bottom w:val="single" w:sz="8" w:space="0" w:color="FFFFFF"/>
              <w:right w:val="single" w:sz="8" w:space="0" w:color="FFFFFF"/>
            </w:tcBorders>
            <w:shd w:val="clear" w:color="000000" w:fill="B8CCE4"/>
            <w:noWrap/>
            <w:hideMark/>
          </w:tcPr>
          <w:p w14:paraId="30D157FD" w14:textId="77777777" w:rsidR="00B86FB3" w:rsidRPr="00FF756A" w:rsidRDefault="00B86FB3" w:rsidP="00B86FB3">
            <w:pPr>
              <w:jc w:val="right"/>
              <w:rPr>
                <w:rFonts w:eastAsia="Times New Roman"/>
                <w:color w:val="000000"/>
                <w:sz w:val="16"/>
                <w:szCs w:val="16"/>
              </w:rPr>
            </w:pPr>
            <w:r w:rsidRPr="00FF756A">
              <w:rPr>
                <w:sz w:val="16"/>
                <w:szCs w:val="16"/>
              </w:rPr>
              <w:t xml:space="preserve"> 0,1 </w:t>
            </w:r>
          </w:p>
        </w:tc>
        <w:tc>
          <w:tcPr>
            <w:tcW w:w="917" w:type="dxa"/>
            <w:tcBorders>
              <w:top w:val="nil"/>
              <w:left w:val="nil"/>
              <w:bottom w:val="single" w:sz="8" w:space="0" w:color="FFFFFF"/>
              <w:right w:val="single" w:sz="8" w:space="0" w:color="FFFFFF"/>
            </w:tcBorders>
            <w:shd w:val="clear" w:color="000000" w:fill="B8CCE4"/>
            <w:noWrap/>
            <w:hideMark/>
          </w:tcPr>
          <w:p w14:paraId="6A2964E4"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7" w:type="dxa"/>
            <w:tcBorders>
              <w:top w:val="nil"/>
              <w:left w:val="nil"/>
              <w:bottom w:val="single" w:sz="8" w:space="0" w:color="FFFFFF"/>
              <w:right w:val="single" w:sz="8" w:space="0" w:color="FFFFFF"/>
            </w:tcBorders>
            <w:shd w:val="clear" w:color="000000" w:fill="B8CCE4"/>
            <w:noWrap/>
            <w:hideMark/>
          </w:tcPr>
          <w:p w14:paraId="511072D1"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8" w:type="dxa"/>
            <w:tcBorders>
              <w:top w:val="nil"/>
              <w:left w:val="nil"/>
              <w:bottom w:val="single" w:sz="8" w:space="0" w:color="FFFFFF"/>
              <w:right w:val="single" w:sz="8" w:space="0" w:color="FFFFFF"/>
            </w:tcBorders>
            <w:shd w:val="clear" w:color="000000" w:fill="B8CCE4"/>
            <w:noWrap/>
            <w:hideMark/>
          </w:tcPr>
          <w:p w14:paraId="7F119CA8"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8" w:type="dxa"/>
            <w:tcBorders>
              <w:top w:val="nil"/>
              <w:left w:val="nil"/>
              <w:bottom w:val="single" w:sz="8" w:space="0" w:color="FFFFFF"/>
              <w:right w:val="single" w:sz="8" w:space="0" w:color="FFFFFF"/>
            </w:tcBorders>
            <w:shd w:val="clear" w:color="000000" w:fill="B8CCE4"/>
          </w:tcPr>
          <w:p w14:paraId="61B3C5FA"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r>
      <w:tr w:rsidR="00B86FB3" w:rsidRPr="00FF756A" w14:paraId="41B4BCA6"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5E84DAD3" w14:textId="77777777" w:rsidR="00B86FB3" w:rsidRPr="00FF756A" w:rsidRDefault="00B86FB3" w:rsidP="00B86FB3">
            <w:pPr>
              <w:rPr>
                <w:rFonts w:eastAsia="Times New Roman"/>
                <w:b/>
                <w:bCs/>
                <w:color w:val="FFFFFF"/>
                <w:sz w:val="16"/>
                <w:szCs w:val="16"/>
              </w:rPr>
            </w:pPr>
            <w:r w:rsidRPr="00FF756A">
              <w:rPr>
                <w:b/>
                <w:bCs/>
                <w:color w:val="FFFFFF"/>
                <w:sz w:val="16"/>
                <w:szCs w:val="16"/>
              </w:rPr>
              <w:t>Totali</w:t>
            </w:r>
          </w:p>
        </w:tc>
        <w:tc>
          <w:tcPr>
            <w:tcW w:w="917" w:type="dxa"/>
            <w:tcBorders>
              <w:top w:val="nil"/>
              <w:left w:val="nil"/>
              <w:bottom w:val="single" w:sz="8" w:space="0" w:color="FFFFFF"/>
              <w:right w:val="single" w:sz="8" w:space="0" w:color="FFFFFF"/>
            </w:tcBorders>
            <w:shd w:val="clear" w:color="000000" w:fill="4F81BD"/>
            <w:noWrap/>
            <w:hideMark/>
          </w:tcPr>
          <w:p w14:paraId="29CBA972"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2 376,6 </w:t>
            </w:r>
          </w:p>
        </w:tc>
        <w:tc>
          <w:tcPr>
            <w:tcW w:w="917" w:type="dxa"/>
            <w:tcBorders>
              <w:top w:val="nil"/>
              <w:left w:val="nil"/>
              <w:bottom w:val="single" w:sz="8" w:space="0" w:color="FFFFFF"/>
              <w:right w:val="single" w:sz="8" w:space="0" w:color="FFFFFF"/>
            </w:tcBorders>
            <w:shd w:val="clear" w:color="000000" w:fill="4F81BD"/>
            <w:noWrap/>
            <w:hideMark/>
          </w:tcPr>
          <w:p w14:paraId="05303742"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2 376,6 </w:t>
            </w:r>
          </w:p>
        </w:tc>
        <w:tc>
          <w:tcPr>
            <w:tcW w:w="917" w:type="dxa"/>
            <w:tcBorders>
              <w:top w:val="nil"/>
              <w:left w:val="nil"/>
              <w:bottom w:val="single" w:sz="8" w:space="0" w:color="FFFFFF"/>
              <w:right w:val="single" w:sz="8" w:space="0" w:color="FFFFFF"/>
            </w:tcBorders>
            <w:shd w:val="clear" w:color="000000" w:fill="4F81BD"/>
            <w:noWrap/>
            <w:hideMark/>
          </w:tcPr>
          <w:p w14:paraId="25C4A556"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2 376,6 </w:t>
            </w:r>
          </w:p>
        </w:tc>
        <w:tc>
          <w:tcPr>
            <w:tcW w:w="917" w:type="dxa"/>
            <w:tcBorders>
              <w:top w:val="nil"/>
              <w:left w:val="nil"/>
              <w:bottom w:val="single" w:sz="8" w:space="0" w:color="FFFFFF"/>
              <w:right w:val="single" w:sz="8" w:space="0" w:color="FFFFFF"/>
            </w:tcBorders>
            <w:shd w:val="clear" w:color="000000" w:fill="4F81BD"/>
            <w:noWrap/>
            <w:hideMark/>
          </w:tcPr>
          <w:p w14:paraId="04079D3A"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2 340,8 </w:t>
            </w:r>
          </w:p>
        </w:tc>
        <w:tc>
          <w:tcPr>
            <w:tcW w:w="917" w:type="dxa"/>
            <w:tcBorders>
              <w:top w:val="nil"/>
              <w:left w:val="nil"/>
              <w:bottom w:val="single" w:sz="8" w:space="0" w:color="FFFFFF"/>
              <w:right w:val="single" w:sz="8" w:space="0" w:color="FFFFFF"/>
            </w:tcBorders>
            <w:shd w:val="clear" w:color="000000" w:fill="4F81BD"/>
            <w:noWrap/>
            <w:hideMark/>
          </w:tcPr>
          <w:p w14:paraId="33276A66"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2 325,0 </w:t>
            </w:r>
          </w:p>
        </w:tc>
        <w:tc>
          <w:tcPr>
            <w:tcW w:w="917" w:type="dxa"/>
            <w:tcBorders>
              <w:top w:val="nil"/>
              <w:left w:val="nil"/>
              <w:bottom w:val="single" w:sz="8" w:space="0" w:color="FFFFFF"/>
              <w:right w:val="single" w:sz="8" w:space="0" w:color="FFFFFF"/>
            </w:tcBorders>
            <w:shd w:val="clear" w:color="000000" w:fill="4F81BD"/>
            <w:noWrap/>
            <w:hideMark/>
          </w:tcPr>
          <w:p w14:paraId="0A29AAF7"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2 286,4 </w:t>
            </w:r>
          </w:p>
        </w:tc>
        <w:tc>
          <w:tcPr>
            <w:tcW w:w="918" w:type="dxa"/>
            <w:tcBorders>
              <w:top w:val="nil"/>
              <w:left w:val="nil"/>
              <w:bottom w:val="single" w:sz="8" w:space="0" w:color="FFFFFF"/>
              <w:right w:val="single" w:sz="8" w:space="0" w:color="FFFFFF"/>
            </w:tcBorders>
            <w:shd w:val="clear" w:color="000000" w:fill="4F81BD"/>
            <w:noWrap/>
            <w:hideMark/>
          </w:tcPr>
          <w:p w14:paraId="7B908C62"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1 910,8 </w:t>
            </w:r>
          </w:p>
        </w:tc>
        <w:tc>
          <w:tcPr>
            <w:tcW w:w="918" w:type="dxa"/>
            <w:tcBorders>
              <w:top w:val="nil"/>
              <w:left w:val="nil"/>
              <w:bottom w:val="single" w:sz="8" w:space="0" w:color="FFFFFF"/>
              <w:right w:val="single" w:sz="8" w:space="0" w:color="FFFFFF"/>
            </w:tcBorders>
            <w:shd w:val="clear" w:color="000000" w:fill="4F81BD"/>
          </w:tcPr>
          <w:p w14:paraId="736696D1"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1 533,7 </w:t>
            </w:r>
          </w:p>
        </w:tc>
      </w:tr>
      <w:tr w:rsidR="00B86FB3" w:rsidRPr="00FF756A" w14:paraId="5892A815" w14:textId="77777777" w:rsidTr="006A3266">
        <w:trPr>
          <w:trHeight w:val="293"/>
        </w:trPr>
        <w:tc>
          <w:tcPr>
            <w:tcW w:w="9170" w:type="dxa"/>
            <w:gridSpan w:val="9"/>
            <w:tcBorders>
              <w:top w:val="single" w:sz="8" w:space="0" w:color="FFFFFF"/>
              <w:left w:val="single" w:sz="8" w:space="0" w:color="FFFFFF"/>
              <w:bottom w:val="single" w:sz="8" w:space="0" w:color="FFFFFF"/>
              <w:right w:val="single" w:sz="8" w:space="0" w:color="FFFFFF"/>
            </w:tcBorders>
            <w:shd w:val="clear" w:color="000000" w:fill="4F81BD"/>
            <w:noWrap/>
            <w:vAlign w:val="center"/>
            <w:hideMark/>
          </w:tcPr>
          <w:p w14:paraId="4DB5F55C" w14:textId="77777777" w:rsidR="00B86FB3" w:rsidRPr="00FF756A" w:rsidRDefault="00B86FB3" w:rsidP="00B86FB3">
            <w:pPr>
              <w:rPr>
                <w:rFonts w:eastAsia="Times New Roman"/>
                <w:b/>
                <w:bCs/>
                <w:color w:val="FFFFFF"/>
                <w:sz w:val="16"/>
                <w:szCs w:val="16"/>
              </w:rPr>
            </w:pPr>
            <w:r w:rsidRPr="00FF756A">
              <w:rPr>
                <w:b/>
                <w:bCs/>
                <w:color w:val="FFFFFF"/>
                <w:sz w:val="16"/>
                <w:szCs w:val="16"/>
              </w:rPr>
              <w:t>LULUCF</w:t>
            </w:r>
          </w:p>
        </w:tc>
      </w:tr>
      <w:tr w:rsidR="00B86FB3" w:rsidRPr="00FF756A" w14:paraId="19CBBEF0"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0D47096B" w14:textId="77777777" w:rsidR="00B86FB3" w:rsidRPr="00FF756A" w:rsidRDefault="00B86FB3" w:rsidP="00B86FB3">
            <w:pPr>
              <w:rPr>
                <w:rFonts w:eastAsia="Times New Roman"/>
                <w:b/>
                <w:bCs/>
                <w:color w:val="FFFFFF"/>
                <w:sz w:val="16"/>
                <w:szCs w:val="16"/>
              </w:rPr>
            </w:pPr>
            <w:r w:rsidRPr="00FF756A">
              <w:rPr>
                <w:b/>
                <w:bCs/>
                <w:color w:val="FFFFFF"/>
                <w:sz w:val="16"/>
                <w:szCs w:val="16"/>
              </w:rPr>
              <w:t>CO</w:t>
            </w:r>
            <w:r w:rsidRPr="00FF756A">
              <w:rPr>
                <w:b/>
                <w:bCs/>
                <w:color w:val="FFFFFF"/>
                <w:sz w:val="16"/>
                <w:szCs w:val="16"/>
                <w:vertAlign w:val="subscript"/>
              </w:rPr>
              <w:t xml:space="preserve">2 </w:t>
            </w:r>
            <w:r w:rsidRPr="00FF756A">
              <w:rPr>
                <w:b/>
                <w:bCs/>
                <w:color w:val="FFFFFF"/>
                <w:sz w:val="16"/>
                <w:szCs w:val="16"/>
              </w:rPr>
              <w:t>nga mbledhja e materialeve drusore në pyje</w:t>
            </w:r>
          </w:p>
        </w:tc>
        <w:tc>
          <w:tcPr>
            <w:tcW w:w="917" w:type="dxa"/>
            <w:tcBorders>
              <w:top w:val="nil"/>
              <w:left w:val="nil"/>
              <w:bottom w:val="single" w:sz="8" w:space="0" w:color="FFFFFF"/>
              <w:right w:val="single" w:sz="8" w:space="0" w:color="FFFFFF"/>
            </w:tcBorders>
            <w:shd w:val="clear" w:color="000000" w:fill="DBE5F1"/>
            <w:noWrap/>
            <w:vAlign w:val="center"/>
            <w:hideMark/>
          </w:tcPr>
          <w:p w14:paraId="794114E6"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7" w:type="dxa"/>
            <w:tcBorders>
              <w:top w:val="nil"/>
              <w:left w:val="nil"/>
              <w:bottom w:val="single" w:sz="8" w:space="0" w:color="FFFFFF"/>
              <w:right w:val="single" w:sz="8" w:space="0" w:color="FFFFFF"/>
            </w:tcBorders>
            <w:shd w:val="clear" w:color="000000" w:fill="DBE5F1"/>
            <w:noWrap/>
            <w:vAlign w:val="center"/>
            <w:hideMark/>
          </w:tcPr>
          <w:p w14:paraId="50CBC340"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7" w:type="dxa"/>
            <w:tcBorders>
              <w:top w:val="nil"/>
              <w:left w:val="nil"/>
              <w:bottom w:val="single" w:sz="8" w:space="0" w:color="FFFFFF"/>
              <w:right w:val="single" w:sz="8" w:space="0" w:color="FFFFFF"/>
            </w:tcBorders>
            <w:shd w:val="clear" w:color="000000" w:fill="DBE5F1"/>
            <w:noWrap/>
            <w:vAlign w:val="center"/>
            <w:hideMark/>
          </w:tcPr>
          <w:p w14:paraId="340E464B"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7" w:type="dxa"/>
            <w:tcBorders>
              <w:top w:val="nil"/>
              <w:left w:val="nil"/>
              <w:bottom w:val="single" w:sz="8" w:space="0" w:color="FFFFFF"/>
              <w:right w:val="single" w:sz="8" w:space="0" w:color="FFFFFF"/>
            </w:tcBorders>
            <w:shd w:val="clear" w:color="000000" w:fill="DBE5F1"/>
            <w:noWrap/>
            <w:vAlign w:val="center"/>
            <w:hideMark/>
          </w:tcPr>
          <w:p w14:paraId="22AB6F22"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7" w:type="dxa"/>
            <w:tcBorders>
              <w:top w:val="nil"/>
              <w:left w:val="nil"/>
              <w:bottom w:val="single" w:sz="8" w:space="0" w:color="FFFFFF"/>
              <w:right w:val="single" w:sz="8" w:space="0" w:color="FFFFFF"/>
            </w:tcBorders>
            <w:shd w:val="clear" w:color="000000" w:fill="DBE5F1"/>
            <w:noWrap/>
            <w:vAlign w:val="center"/>
            <w:hideMark/>
          </w:tcPr>
          <w:p w14:paraId="25D3348F"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7" w:type="dxa"/>
            <w:tcBorders>
              <w:top w:val="nil"/>
              <w:left w:val="nil"/>
              <w:bottom w:val="single" w:sz="8" w:space="0" w:color="FFFFFF"/>
              <w:right w:val="single" w:sz="8" w:space="0" w:color="FFFFFF"/>
            </w:tcBorders>
            <w:shd w:val="clear" w:color="000000" w:fill="DBE5F1"/>
            <w:noWrap/>
            <w:vAlign w:val="center"/>
            <w:hideMark/>
          </w:tcPr>
          <w:p w14:paraId="3294172F"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8" w:type="dxa"/>
            <w:tcBorders>
              <w:top w:val="nil"/>
              <w:left w:val="nil"/>
              <w:bottom w:val="single" w:sz="8" w:space="0" w:color="FFFFFF"/>
              <w:right w:val="single" w:sz="8" w:space="0" w:color="FFFFFF"/>
            </w:tcBorders>
            <w:shd w:val="clear" w:color="000000" w:fill="DBE5F1"/>
            <w:noWrap/>
            <w:vAlign w:val="center"/>
            <w:hideMark/>
          </w:tcPr>
          <w:p w14:paraId="764A399E"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8" w:type="dxa"/>
            <w:tcBorders>
              <w:top w:val="nil"/>
              <w:left w:val="nil"/>
              <w:bottom w:val="single" w:sz="8" w:space="0" w:color="FFFFFF"/>
              <w:right w:val="single" w:sz="8" w:space="0" w:color="FFFFFF"/>
            </w:tcBorders>
            <w:shd w:val="clear" w:color="000000" w:fill="DBE5F1"/>
          </w:tcPr>
          <w:p w14:paraId="1891508C"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r>
      <w:tr w:rsidR="00B86FB3" w:rsidRPr="00FF756A" w14:paraId="0D8AC62A"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3868B9E1" w14:textId="77777777" w:rsidR="00B86FB3" w:rsidRPr="00FF756A" w:rsidRDefault="00B86FB3" w:rsidP="00B86FB3">
            <w:pPr>
              <w:rPr>
                <w:rFonts w:eastAsia="Times New Roman"/>
                <w:b/>
                <w:bCs/>
                <w:color w:val="FFFFFF"/>
                <w:sz w:val="16"/>
                <w:szCs w:val="16"/>
              </w:rPr>
            </w:pPr>
            <w:r w:rsidRPr="00FF756A">
              <w:rPr>
                <w:b/>
                <w:bCs/>
                <w:color w:val="FFFFFF"/>
                <w:sz w:val="16"/>
                <w:szCs w:val="16"/>
              </w:rPr>
              <w:t>CO</w:t>
            </w:r>
            <w:r w:rsidRPr="00FF756A">
              <w:rPr>
                <w:b/>
                <w:bCs/>
                <w:color w:val="FFFFFF"/>
                <w:sz w:val="16"/>
                <w:szCs w:val="16"/>
                <w:vertAlign w:val="subscript"/>
              </w:rPr>
              <w:t xml:space="preserve">2 </w:t>
            </w:r>
            <w:r w:rsidRPr="00FF756A">
              <w:rPr>
                <w:b/>
                <w:bCs/>
                <w:color w:val="FFFFFF"/>
                <w:sz w:val="16"/>
                <w:szCs w:val="16"/>
              </w:rPr>
              <w:t>nga shkarkimet e pyjeve</w:t>
            </w:r>
          </w:p>
        </w:tc>
        <w:tc>
          <w:tcPr>
            <w:tcW w:w="917" w:type="dxa"/>
            <w:tcBorders>
              <w:top w:val="nil"/>
              <w:left w:val="nil"/>
              <w:bottom w:val="single" w:sz="8" w:space="0" w:color="FFFFFF"/>
              <w:right w:val="single" w:sz="8" w:space="0" w:color="FFFFFF"/>
            </w:tcBorders>
            <w:shd w:val="clear" w:color="000000" w:fill="B8CCE4"/>
            <w:noWrap/>
            <w:hideMark/>
          </w:tcPr>
          <w:p w14:paraId="24AFCB86" w14:textId="77777777" w:rsidR="00B86FB3" w:rsidRPr="00FF756A" w:rsidRDefault="00B86FB3" w:rsidP="00B86FB3">
            <w:pPr>
              <w:jc w:val="right"/>
              <w:rPr>
                <w:rFonts w:eastAsia="Times New Roman"/>
                <w:color w:val="000000"/>
                <w:sz w:val="16"/>
                <w:szCs w:val="16"/>
              </w:rPr>
            </w:pPr>
            <w:r w:rsidRPr="00FF756A">
              <w:rPr>
                <w:sz w:val="16"/>
                <w:szCs w:val="16"/>
              </w:rPr>
              <w:t xml:space="preserve"> 3 344,6 </w:t>
            </w:r>
          </w:p>
        </w:tc>
        <w:tc>
          <w:tcPr>
            <w:tcW w:w="917" w:type="dxa"/>
            <w:tcBorders>
              <w:top w:val="nil"/>
              <w:left w:val="nil"/>
              <w:bottom w:val="single" w:sz="8" w:space="0" w:color="FFFFFF"/>
              <w:right w:val="single" w:sz="8" w:space="0" w:color="FFFFFF"/>
            </w:tcBorders>
            <w:shd w:val="clear" w:color="000000" w:fill="B8CCE4"/>
            <w:noWrap/>
            <w:hideMark/>
          </w:tcPr>
          <w:p w14:paraId="071FA4E8" w14:textId="77777777" w:rsidR="00B86FB3" w:rsidRPr="00FF756A" w:rsidRDefault="00B86FB3" w:rsidP="00B86FB3">
            <w:pPr>
              <w:jc w:val="right"/>
              <w:rPr>
                <w:rFonts w:eastAsia="Times New Roman"/>
                <w:color w:val="000000"/>
                <w:sz w:val="16"/>
                <w:szCs w:val="16"/>
              </w:rPr>
            </w:pPr>
            <w:r w:rsidRPr="00FF756A">
              <w:rPr>
                <w:sz w:val="16"/>
                <w:szCs w:val="16"/>
              </w:rPr>
              <w:t xml:space="preserve"> 3 344,6 </w:t>
            </w:r>
          </w:p>
        </w:tc>
        <w:tc>
          <w:tcPr>
            <w:tcW w:w="917" w:type="dxa"/>
            <w:tcBorders>
              <w:top w:val="nil"/>
              <w:left w:val="nil"/>
              <w:bottom w:val="single" w:sz="8" w:space="0" w:color="FFFFFF"/>
              <w:right w:val="single" w:sz="8" w:space="0" w:color="FFFFFF"/>
            </w:tcBorders>
            <w:shd w:val="clear" w:color="000000" w:fill="B8CCE4"/>
            <w:noWrap/>
            <w:hideMark/>
          </w:tcPr>
          <w:p w14:paraId="640607DC" w14:textId="77777777" w:rsidR="00B86FB3" w:rsidRPr="00FF756A" w:rsidRDefault="00B86FB3" w:rsidP="00B86FB3">
            <w:pPr>
              <w:jc w:val="right"/>
              <w:rPr>
                <w:rFonts w:eastAsia="Times New Roman"/>
                <w:color w:val="000000"/>
                <w:sz w:val="16"/>
                <w:szCs w:val="16"/>
              </w:rPr>
            </w:pPr>
            <w:r w:rsidRPr="00FF756A">
              <w:rPr>
                <w:sz w:val="16"/>
                <w:szCs w:val="16"/>
              </w:rPr>
              <w:t xml:space="preserve"> 3 344,6 </w:t>
            </w:r>
          </w:p>
        </w:tc>
        <w:tc>
          <w:tcPr>
            <w:tcW w:w="917" w:type="dxa"/>
            <w:tcBorders>
              <w:top w:val="nil"/>
              <w:left w:val="nil"/>
              <w:bottom w:val="single" w:sz="8" w:space="0" w:color="FFFFFF"/>
              <w:right w:val="single" w:sz="8" w:space="0" w:color="FFFFFF"/>
            </w:tcBorders>
            <w:shd w:val="clear" w:color="000000" w:fill="B8CCE4"/>
            <w:noWrap/>
            <w:hideMark/>
          </w:tcPr>
          <w:p w14:paraId="566869DF" w14:textId="77777777" w:rsidR="00B86FB3" w:rsidRPr="00FF756A" w:rsidRDefault="00B86FB3" w:rsidP="00B86FB3">
            <w:pPr>
              <w:jc w:val="right"/>
              <w:rPr>
                <w:rFonts w:eastAsia="Times New Roman"/>
                <w:color w:val="000000"/>
                <w:sz w:val="16"/>
                <w:szCs w:val="16"/>
              </w:rPr>
            </w:pPr>
            <w:r w:rsidRPr="00FF756A">
              <w:rPr>
                <w:sz w:val="16"/>
                <w:szCs w:val="16"/>
              </w:rPr>
              <w:t xml:space="preserve"> 3 294,4 </w:t>
            </w:r>
          </w:p>
        </w:tc>
        <w:tc>
          <w:tcPr>
            <w:tcW w:w="917" w:type="dxa"/>
            <w:tcBorders>
              <w:top w:val="nil"/>
              <w:left w:val="nil"/>
              <w:bottom w:val="single" w:sz="8" w:space="0" w:color="FFFFFF"/>
              <w:right w:val="single" w:sz="8" w:space="0" w:color="FFFFFF"/>
            </w:tcBorders>
            <w:shd w:val="clear" w:color="000000" w:fill="B8CCE4"/>
            <w:noWrap/>
            <w:hideMark/>
          </w:tcPr>
          <w:p w14:paraId="7EB27FE0" w14:textId="77777777" w:rsidR="00B86FB3" w:rsidRPr="00FF756A" w:rsidRDefault="00B86FB3" w:rsidP="00B86FB3">
            <w:pPr>
              <w:jc w:val="right"/>
              <w:rPr>
                <w:rFonts w:eastAsia="Times New Roman"/>
                <w:color w:val="000000"/>
                <w:sz w:val="16"/>
                <w:szCs w:val="16"/>
              </w:rPr>
            </w:pPr>
            <w:r w:rsidRPr="00FF756A">
              <w:rPr>
                <w:sz w:val="16"/>
                <w:szCs w:val="16"/>
              </w:rPr>
              <w:t xml:space="preserve"> 3 260,9 </w:t>
            </w:r>
          </w:p>
        </w:tc>
        <w:tc>
          <w:tcPr>
            <w:tcW w:w="917" w:type="dxa"/>
            <w:tcBorders>
              <w:top w:val="nil"/>
              <w:left w:val="nil"/>
              <w:bottom w:val="single" w:sz="8" w:space="0" w:color="FFFFFF"/>
              <w:right w:val="single" w:sz="8" w:space="0" w:color="FFFFFF"/>
            </w:tcBorders>
            <w:shd w:val="clear" w:color="000000" w:fill="B8CCE4"/>
            <w:noWrap/>
            <w:hideMark/>
          </w:tcPr>
          <w:p w14:paraId="20E0BBD9" w14:textId="77777777" w:rsidR="00B86FB3" w:rsidRPr="00FF756A" w:rsidRDefault="00B86FB3" w:rsidP="00B86FB3">
            <w:pPr>
              <w:jc w:val="right"/>
              <w:rPr>
                <w:rFonts w:eastAsia="Times New Roman"/>
                <w:color w:val="000000"/>
                <w:sz w:val="16"/>
                <w:szCs w:val="16"/>
              </w:rPr>
            </w:pPr>
            <w:r w:rsidRPr="00FF756A">
              <w:rPr>
                <w:sz w:val="16"/>
                <w:szCs w:val="16"/>
              </w:rPr>
              <w:t xml:space="preserve"> 3 177,3 </w:t>
            </w:r>
          </w:p>
        </w:tc>
        <w:tc>
          <w:tcPr>
            <w:tcW w:w="918" w:type="dxa"/>
            <w:tcBorders>
              <w:top w:val="nil"/>
              <w:left w:val="nil"/>
              <w:bottom w:val="single" w:sz="8" w:space="0" w:color="FFFFFF"/>
              <w:right w:val="single" w:sz="8" w:space="0" w:color="FFFFFF"/>
            </w:tcBorders>
            <w:shd w:val="clear" w:color="000000" w:fill="B8CCE4"/>
            <w:noWrap/>
            <w:hideMark/>
          </w:tcPr>
          <w:p w14:paraId="689336E4" w14:textId="77777777" w:rsidR="00B86FB3" w:rsidRPr="00FF756A" w:rsidRDefault="00B86FB3" w:rsidP="00B86FB3">
            <w:pPr>
              <w:jc w:val="right"/>
              <w:rPr>
                <w:rFonts w:eastAsia="Times New Roman"/>
                <w:color w:val="000000"/>
                <w:sz w:val="16"/>
                <w:szCs w:val="16"/>
              </w:rPr>
            </w:pPr>
            <w:r w:rsidRPr="00FF756A">
              <w:rPr>
                <w:sz w:val="16"/>
                <w:szCs w:val="16"/>
              </w:rPr>
              <w:t xml:space="preserve"> 2 174,0 </w:t>
            </w:r>
          </w:p>
        </w:tc>
        <w:tc>
          <w:tcPr>
            <w:tcW w:w="918" w:type="dxa"/>
            <w:tcBorders>
              <w:top w:val="single" w:sz="8" w:space="0" w:color="FFFFFF"/>
              <w:left w:val="nil"/>
              <w:bottom w:val="single" w:sz="8" w:space="0" w:color="FFFFFF"/>
              <w:right w:val="single" w:sz="8" w:space="0" w:color="FFFFFF"/>
            </w:tcBorders>
            <w:shd w:val="clear" w:color="auto" w:fill="B8CCE4"/>
          </w:tcPr>
          <w:p w14:paraId="72ADB878" w14:textId="77777777" w:rsidR="00B86FB3" w:rsidRPr="00FF756A" w:rsidRDefault="00B86FB3" w:rsidP="00B86FB3">
            <w:pPr>
              <w:jc w:val="right"/>
              <w:rPr>
                <w:rFonts w:eastAsia="Times New Roman"/>
                <w:color w:val="000000"/>
                <w:sz w:val="16"/>
                <w:szCs w:val="16"/>
              </w:rPr>
            </w:pPr>
            <w:r w:rsidRPr="00FF756A">
              <w:rPr>
                <w:sz w:val="16"/>
                <w:szCs w:val="16"/>
              </w:rPr>
              <w:t xml:space="preserve"> 1 170,6 </w:t>
            </w:r>
          </w:p>
        </w:tc>
      </w:tr>
      <w:tr w:rsidR="00B86FB3" w:rsidRPr="00FF756A" w14:paraId="0C1F129C"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1FE0E265" w14:textId="77777777" w:rsidR="00B86FB3" w:rsidRPr="00FF756A" w:rsidRDefault="00B86FB3" w:rsidP="00B86FB3">
            <w:pPr>
              <w:rPr>
                <w:rFonts w:eastAsia="Times New Roman"/>
                <w:b/>
                <w:bCs/>
                <w:color w:val="FFFFFF"/>
                <w:sz w:val="16"/>
                <w:szCs w:val="16"/>
              </w:rPr>
            </w:pPr>
            <w:r w:rsidRPr="00FF756A">
              <w:rPr>
                <w:b/>
                <w:bCs/>
                <w:color w:val="FFFFFF"/>
                <w:sz w:val="16"/>
                <w:szCs w:val="16"/>
              </w:rPr>
              <w:t>CO</w:t>
            </w:r>
            <w:r w:rsidRPr="00FF756A">
              <w:rPr>
                <w:b/>
                <w:bCs/>
                <w:color w:val="FFFFFF"/>
                <w:sz w:val="16"/>
                <w:szCs w:val="16"/>
                <w:vertAlign w:val="subscript"/>
              </w:rPr>
              <w:t xml:space="preserve">2 </w:t>
            </w:r>
            <w:r w:rsidRPr="00FF756A">
              <w:rPr>
                <w:b/>
                <w:bCs/>
                <w:color w:val="FFFFFF"/>
                <w:sz w:val="16"/>
                <w:szCs w:val="16"/>
              </w:rPr>
              <w:t>nga shpyllëzimi</w:t>
            </w:r>
          </w:p>
        </w:tc>
        <w:tc>
          <w:tcPr>
            <w:tcW w:w="917" w:type="dxa"/>
            <w:tcBorders>
              <w:top w:val="nil"/>
              <w:left w:val="nil"/>
              <w:bottom w:val="single" w:sz="8" w:space="0" w:color="FFFFFF"/>
              <w:right w:val="single" w:sz="8" w:space="0" w:color="FFFFFF"/>
            </w:tcBorders>
            <w:shd w:val="clear" w:color="000000" w:fill="DBE5F1"/>
            <w:noWrap/>
            <w:hideMark/>
          </w:tcPr>
          <w:p w14:paraId="115A0BD2" w14:textId="77777777" w:rsidR="00B86FB3" w:rsidRPr="00FF756A" w:rsidRDefault="00B86FB3" w:rsidP="00B86FB3">
            <w:pPr>
              <w:jc w:val="right"/>
              <w:rPr>
                <w:rFonts w:eastAsia="Times New Roman"/>
                <w:color w:val="000000"/>
                <w:sz w:val="16"/>
                <w:szCs w:val="16"/>
              </w:rPr>
            </w:pPr>
            <w:r w:rsidRPr="00FF756A">
              <w:rPr>
                <w:sz w:val="16"/>
                <w:szCs w:val="16"/>
              </w:rPr>
              <w:t xml:space="preserve"> -2 161,6 </w:t>
            </w:r>
          </w:p>
        </w:tc>
        <w:tc>
          <w:tcPr>
            <w:tcW w:w="917" w:type="dxa"/>
            <w:tcBorders>
              <w:top w:val="nil"/>
              <w:left w:val="nil"/>
              <w:bottom w:val="single" w:sz="8" w:space="0" w:color="FFFFFF"/>
              <w:right w:val="single" w:sz="8" w:space="0" w:color="FFFFFF"/>
            </w:tcBorders>
            <w:shd w:val="clear" w:color="000000" w:fill="DBE5F1"/>
            <w:noWrap/>
            <w:hideMark/>
          </w:tcPr>
          <w:p w14:paraId="46842392" w14:textId="77777777" w:rsidR="00B86FB3" w:rsidRPr="00FF756A" w:rsidRDefault="00B86FB3" w:rsidP="00B86FB3">
            <w:pPr>
              <w:jc w:val="right"/>
              <w:rPr>
                <w:rFonts w:eastAsia="Times New Roman"/>
                <w:color w:val="000000"/>
                <w:sz w:val="16"/>
                <w:szCs w:val="16"/>
              </w:rPr>
            </w:pPr>
            <w:r w:rsidRPr="00FF756A">
              <w:rPr>
                <w:sz w:val="16"/>
                <w:szCs w:val="16"/>
              </w:rPr>
              <w:t xml:space="preserve"> -2 161,6 </w:t>
            </w:r>
          </w:p>
        </w:tc>
        <w:tc>
          <w:tcPr>
            <w:tcW w:w="917" w:type="dxa"/>
            <w:tcBorders>
              <w:top w:val="nil"/>
              <w:left w:val="nil"/>
              <w:bottom w:val="single" w:sz="8" w:space="0" w:color="FFFFFF"/>
              <w:right w:val="single" w:sz="8" w:space="0" w:color="FFFFFF"/>
            </w:tcBorders>
            <w:shd w:val="clear" w:color="000000" w:fill="DBE5F1"/>
            <w:noWrap/>
            <w:hideMark/>
          </w:tcPr>
          <w:p w14:paraId="56557F4A" w14:textId="77777777" w:rsidR="00B86FB3" w:rsidRPr="00FF756A" w:rsidRDefault="00B86FB3" w:rsidP="00B86FB3">
            <w:pPr>
              <w:jc w:val="right"/>
              <w:rPr>
                <w:rFonts w:eastAsia="Times New Roman"/>
                <w:color w:val="000000"/>
                <w:sz w:val="16"/>
                <w:szCs w:val="16"/>
              </w:rPr>
            </w:pPr>
            <w:r w:rsidRPr="00FF756A">
              <w:rPr>
                <w:sz w:val="16"/>
                <w:szCs w:val="16"/>
              </w:rPr>
              <w:t xml:space="preserve"> -2 161,6 </w:t>
            </w:r>
          </w:p>
        </w:tc>
        <w:tc>
          <w:tcPr>
            <w:tcW w:w="917" w:type="dxa"/>
            <w:tcBorders>
              <w:top w:val="nil"/>
              <w:left w:val="nil"/>
              <w:bottom w:val="single" w:sz="8" w:space="0" w:color="FFFFFF"/>
              <w:right w:val="single" w:sz="8" w:space="0" w:color="FFFFFF"/>
            </w:tcBorders>
            <w:shd w:val="clear" w:color="000000" w:fill="DBE5F1"/>
            <w:noWrap/>
            <w:hideMark/>
          </w:tcPr>
          <w:p w14:paraId="29011F43" w14:textId="77777777" w:rsidR="00B86FB3" w:rsidRPr="00FF756A" w:rsidRDefault="00B86FB3" w:rsidP="00B86FB3">
            <w:pPr>
              <w:jc w:val="right"/>
              <w:rPr>
                <w:rFonts w:eastAsia="Times New Roman"/>
                <w:color w:val="000000"/>
                <w:sz w:val="16"/>
                <w:szCs w:val="16"/>
              </w:rPr>
            </w:pPr>
            <w:r w:rsidRPr="00FF756A">
              <w:rPr>
                <w:sz w:val="16"/>
                <w:szCs w:val="16"/>
              </w:rPr>
              <w:t xml:space="preserve"> -2 161,6 </w:t>
            </w:r>
          </w:p>
        </w:tc>
        <w:tc>
          <w:tcPr>
            <w:tcW w:w="917" w:type="dxa"/>
            <w:tcBorders>
              <w:top w:val="nil"/>
              <w:left w:val="nil"/>
              <w:bottom w:val="single" w:sz="8" w:space="0" w:color="FFFFFF"/>
              <w:right w:val="single" w:sz="8" w:space="0" w:color="FFFFFF"/>
            </w:tcBorders>
            <w:shd w:val="clear" w:color="000000" w:fill="DBE5F1"/>
            <w:noWrap/>
            <w:hideMark/>
          </w:tcPr>
          <w:p w14:paraId="2B191DF7" w14:textId="77777777" w:rsidR="00B86FB3" w:rsidRPr="00FF756A" w:rsidRDefault="00B86FB3" w:rsidP="00B86FB3">
            <w:pPr>
              <w:jc w:val="right"/>
              <w:rPr>
                <w:rFonts w:eastAsia="Times New Roman"/>
                <w:color w:val="000000"/>
                <w:sz w:val="16"/>
                <w:szCs w:val="16"/>
              </w:rPr>
            </w:pPr>
            <w:r w:rsidRPr="00FF756A">
              <w:rPr>
                <w:sz w:val="16"/>
                <w:szCs w:val="16"/>
              </w:rPr>
              <w:t xml:space="preserve"> -2 161,6 </w:t>
            </w:r>
          </w:p>
        </w:tc>
        <w:tc>
          <w:tcPr>
            <w:tcW w:w="917" w:type="dxa"/>
            <w:tcBorders>
              <w:top w:val="nil"/>
              <w:left w:val="nil"/>
              <w:bottom w:val="single" w:sz="8" w:space="0" w:color="FFFFFF"/>
              <w:right w:val="single" w:sz="8" w:space="0" w:color="FFFFFF"/>
            </w:tcBorders>
            <w:shd w:val="clear" w:color="000000" w:fill="DBE5F1"/>
            <w:noWrap/>
            <w:hideMark/>
          </w:tcPr>
          <w:p w14:paraId="7D9F5149" w14:textId="77777777" w:rsidR="00B86FB3" w:rsidRPr="00FF756A" w:rsidRDefault="00B86FB3" w:rsidP="00B86FB3">
            <w:pPr>
              <w:jc w:val="right"/>
              <w:rPr>
                <w:rFonts w:eastAsia="Times New Roman"/>
                <w:color w:val="000000"/>
                <w:sz w:val="16"/>
                <w:szCs w:val="16"/>
              </w:rPr>
            </w:pPr>
            <w:r w:rsidRPr="00FF756A">
              <w:rPr>
                <w:sz w:val="16"/>
                <w:szCs w:val="16"/>
              </w:rPr>
              <w:t xml:space="preserve"> -2 161,6 </w:t>
            </w:r>
          </w:p>
        </w:tc>
        <w:tc>
          <w:tcPr>
            <w:tcW w:w="918" w:type="dxa"/>
            <w:tcBorders>
              <w:top w:val="nil"/>
              <w:left w:val="nil"/>
              <w:bottom w:val="single" w:sz="8" w:space="0" w:color="FFFFFF"/>
              <w:right w:val="single" w:sz="8" w:space="0" w:color="FFFFFF"/>
            </w:tcBorders>
            <w:shd w:val="clear" w:color="auto" w:fill="DBE5F1"/>
            <w:noWrap/>
            <w:hideMark/>
          </w:tcPr>
          <w:p w14:paraId="63FE6570" w14:textId="77777777" w:rsidR="00B86FB3" w:rsidRPr="00FF756A" w:rsidRDefault="00B86FB3" w:rsidP="00B86FB3">
            <w:pPr>
              <w:jc w:val="right"/>
              <w:rPr>
                <w:rFonts w:eastAsia="Times New Roman"/>
                <w:color w:val="000000"/>
                <w:sz w:val="16"/>
                <w:szCs w:val="16"/>
              </w:rPr>
            </w:pPr>
            <w:r w:rsidRPr="00FF756A">
              <w:rPr>
                <w:sz w:val="16"/>
                <w:szCs w:val="16"/>
              </w:rPr>
              <w:t xml:space="preserve"> -2 161,6 </w:t>
            </w:r>
          </w:p>
        </w:tc>
        <w:tc>
          <w:tcPr>
            <w:tcW w:w="918" w:type="dxa"/>
            <w:tcBorders>
              <w:top w:val="single" w:sz="8" w:space="0" w:color="FFFFFF"/>
              <w:left w:val="nil"/>
              <w:bottom w:val="single" w:sz="8" w:space="0" w:color="FFFFFF"/>
              <w:right w:val="single" w:sz="8" w:space="0" w:color="FFFFFF"/>
            </w:tcBorders>
            <w:shd w:val="clear" w:color="auto" w:fill="DBE5F1"/>
          </w:tcPr>
          <w:p w14:paraId="318666B6" w14:textId="77777777" w:rsidR="00B86FB3" w:rsidRPr="00FF756A" w:rsidRDefault="00B86FB3" w:rsidP="00B86FB3">
            <w:pPr>
              <w:jc w:val="right"/>
              <w:rPr>
                <w:rFonts w:eastAsia="Times New Roman"/>
                <w:color w:val="000000"/>
                <w:sz w:val="16"/>
                <w:szCs w:val="16"/>
              </w:rPr>
            </w:pPr>
            <w:r w:rsidRPr="00FF756A">
              <w:rPr>
                <w:sz w:val="16"/>
                <w:szCs w:val="16"/>
              </w:rPr>
              <w:t xml:space="preserve"> -2 161,6 </w:t>
            </w:r>
          </w:p>
        </w:tc>
      </w:tr>
      <w:tr w:rsidR="00B86FB3" w:rsidRPr="00FF756A" w14:paraId="764ECC15"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1F19B0E2" w14:textId="77777777" w:rsidR="00B86FB3" w:rsidRPr="00FF756A" w:rsidRDefault="00B86FB3" w:rsidP="00B86FB3">
            <w:pPr>
              <w:rPr>
                <w:rFonts w:eastAsia="Times New Roman"/>
                <w:b/>
                <w:bCs/>
                <w:color w:val="FFFFFF"/>
                <w:sz w:val="16"/>
                <w:szCs w:val="16"/>
              </w:rPr>
            </w:pPr>
            <w:r w:rsidRPr="00FF756A">
              <w:rPr>
                <w:b/>
                <w:bCs/>
                <w:color w:val="FFFFFF"/>
                <w:sz w:val="16"/>
                <w:szCs w:val="16"/>
              </w:rPr>
              <w:t>CO</w:t>
            </w:r>
            <w:r w:rsidRPr="00FF756A">
              <w:rPr>
                <w:b/>
                <w:bCs/>
                <w:color w:val="FFFFFF"/>
                <w:sz w:val="16"/>
                <w:szCs w:val="16"/>
                <w:vertAlign w:val="subscript"/>
              </w:rPr>
              <w:t xml:space="preserve">2 </w:t>
            </w:r>
            <w:r w:rsidRPr="00FF756A">
              <w:rPr>
                <w:b/>
                <w:bCs/>
                <w:color w:val="FFFFFF"/>
                <w:sz w:val="16"/>
                <w:szCs w:val="16"/>
              </w:rPr>
              <w:t>nga zjarret në pyje</w:t>
            </w:r>
          </w:p>
        </w:tc>
        <w:tc>
          <w:tcPr>
            <w:tcW w:w="917" w:type="dxa"/>
            <w:tcBorders>
              <w:top w:val="nil"/>
              <w:left w:val="nil"/>
              <w:bottom w:val="single" w:sz="8" w:space="0" w:color="FFFFFF"/>
              <w:right w:val="single" w:sz="8" w:space="0" w:color="FFFFFF"/>
            </w:tcBorders>
            <w:shd w:val="clear" w:color="000000" w:fill="B8CCE4"/>
            <w:noWrap/>
            <w:hideMark/>
          </w:tcPr>
          <w:p w14:paraId="37A38925" w14:textId="77777777" w:rsidR="00B86FB3" w:rsidRPr="00FF756A" w:rsidRDefault="00B86FB3" w:rsidP="00B86FB3">
            <w:pPr>
              <w:jc w:val="right"/>
              <w:rPr>
                <w:rFonts w:eastAsia="Times New Roman"/>
                <w:color w:val="000000"/>
                <w:sz w:val="16"/>
                <w:szCs w:val="16"/>
              </w:rPr>
            </w:pPr>
            <w:r w:rsidRPr="00FF756A">
              <w:rPr>
                <w:sz w:val="16"/>
                <w:szCs w:val="16"/>
              </w:rPr>
              <w:t xml:space="preserve"> 84,7 </w:t>
            </w:r>
          </w:p>
        </w:tc>
        <w:tc>
          <w:tcPr>
            <w:tcW w:w="917" w:type="dxa"/>
            <w:tcBorders>
              <w:top w:val="nil"/>
              <w:left w:val="nil"/>
              <w:bottom w:val="single" w:sz="8" w:space="0" w:color="FFFFFF"/>
              <w:right w:val="single" w:sz="8" w:space="0" w:color="FFFFFF"/>
            </w:tcBorders>
            <w:shd w:val="clear" w:color="000000" w:fill="B8CCE4"/>
            <w:noWrap/>
            <w:hideMark/>
          </w:tcPr>
          <w:p w14:paraId="17D12F61" w14:textId="77777777" w:rsidR="00B86FB3" w:rsidRPr="00FF756A" w:rsidRDefault="00B86FB3" w:rsidP="00B86FB3">
            <w:pPr>
              <w:jc w:val="right"/>
              <w:rPr>
                <w:rFonts w:eastAsia="Times New Roman"/>
                <w:color w:val="000000"/>
                <w:sz w:val="16"/>
                <w:szCs w:val="16"/>
              </w:rPr>
            </w:pPr>
            <w:r w:rsidRPr="00FF756A">
              <w:rPr>
                <w:sz w:val="16"/>
                <w:szCs w:val="16"/>
              </w:rPr>
              <w:t xml:space="preserve"> 84,7 </w:t>
            </w:r>
          </w:p>
        </w:tc>
        <w:tc>
          <w:tcPr>
            <w:tcW w:w="917" w:type="dxa"/>
            <w:tcBorders>
              <w:top w:val="nil"/>
              <w:left w:val="nil"/>
              <w:bottom w:val="single" w:sz="8" w:space="0" w:color="FFFFFF"/>
              <w:right w:val="single" w:sz="8" w:space="0" w:color="FFFFFF"/>
            </w:tcBorders>
            <w:shd w:val="clear" w:color="000000" w:fill="B8CCE4"/>
            <w:noWrap/>
            <w:hideMark/>
          </w:tcPr>
          <w:p w14:paraId="4F135509" w14:textId="77777777" w:rsidR="00B86FB3" w:rsidRPr="00FF756A" w:rsidRDefault="00B86FB3" w:rsidP="00B86FB3">
            <w:pPr>
              <w:jc w:val="right"/>
              <w:rPr>
                <w:rFonts w:eastAsia="Times New Roman"/>
                <w:color w:val="000000"/>
                <w:sz w:val="16"/>
                <w:szCs w:val="16"/>
              </w:rPr>
            </w:pPr>
            <w:r w:rsidRPr="00FF756A">
              <w:rPr>
                <w:sz w:val="16"/>
                <w:szCs w:val="16"/>
              </w:rPr>
              <w:t xml:space="preserve"> 84,7 </w:t>
            </w:r>
          </w:p>
        </w:tc>
        <w:tc>
          <w:tcPr>
            <w:tcW w:w="917" w:type="dxa"/>
            <w:tcBorders>
              <w:top w:val="nil"/>
              <w:left w:val="nil"/>
              <w:bottom w:val="single" w:sz="8" w:space="0" w:color="FFFFFF"/>
              <w:right w:val="single" w:sz="8" w:space="0" w:color="FFFFFF"/>
            </w:tcBorders>
            <w:shd w:val="clear" w:color="000000" w:fill="B8CCE4"/>
            <w:noWrap/>
            <w:hideMark/>
          </w:tcPr>
          <w:p w14:paraId="33B207F9" w14:textId="77777777" w:rsidR="00B86FB3" w:rsidRPr="00FF756A" w:rsidRDefault="00B86FB3" w:rsidP="00B86FB3">
            <w:pPr>
              <w:jc w:val="right"/>
              <w:rPr>
                <w:rFonts w:eastAsia="Times New Roman"/>
                <w:color w:val="000000"/>
                <w:sz w:val="16"/>
                <w:szCs w:val="16"/>
              </w:rPr>
            </w:pPr>
            <w:r w:rsidRPr="00FF756A">
              <w:rPr>
                <w:sz w:val="16"/>
                <w:szCs w:val="16"/>
              </w:rPr>
              <w:t xml:space="preserve"> 161,2 </w:t>
            </w:r>
          </w:p>
        </w:tc>
        <w:tc>
          <w:tcPr>
            <w:tcW w:w="917" w:type="dxa"/>
            <w:tcBorders>
              <w:top w:val="nil"/>
              <w:left w:val="nil"/>
              <w:bottom w:val="single" w:sz="8" w:space="0" w:color="FFFFFF"/>
              <w:right w:val="single" w:sz="8" w:space="0" w:color="FFFFFF"/>
            </w:tcBorders>
            <w:shd w:val="clear" w:color="000000" w:fill="B8CCE4"/>
            <w:noWrap/>
            <w:hideMark/>
          </w:tcPr>
          <w:p w14:paraId="4FE89CCB" w14:textId="77777777" w:rsidR="00B86FB3" w:rsidRPr="00FF756A" w:rsidRDefault="00B86FB3" w:rsidP="00B86FB3">
            <w:pPr>
              <w:jc w:val="right"/>
              <w:rPr>
                <w:rFonts w:eastAsia="Times New Roman"/>
                <w:color w:val="000000"/>
                <w:sz w:val="16"/>
                <w:szCs w:val="16"/>
              </w:rPr>
            </w:pPr>
            <w:r w:rsidRPr="00FF756A">
              <w:rPr>
                <w:sz w:val="16"/>
                <w:szCs w:val="16"/>
              </w:rPr>
              <w:t xml:space="preserve"> 165,8 </w:t>
            </w:r>
          </w:p>
        </w:tc>
        <w:tc>
          <w:tcPr>
            <w:tcW w:w="917" w:type="dxa"/>
            <w:tcBorders>
              <w:top w:val="nil"/>
              <w:left w:val="nil"/>
              <w:bottom w:val="single" w:sz="8" w:space="0" w:color="FFFFFF"/>
              <w:right w:val="single" w:sz="8" w:space="0" w:color="FFFFFF"/>
            </w:tcBorders>
            <w:shd w:val="clear" w:color="000000" w:fill="B8CCE4"/>
            <w:noWrap/>
            <w:hideMark/>
          </w:tcPr>
          <w:p w14:paraId="29D40093" w14:textId="77777777" w:rsidR="00B86FB3" w:rsidRPr="00FF756A" w:rsidRDefault="00B86FB3" w:rsidP="00B86FB3">
            <w:pPr>
              <w:jc w:val="right"/>
              <w:rPr>
                <w:rFonts w:eastAsia="Times New Roman"/>
                <w:color w:val="000000"/>
                <w:sz w:val="16"/>
                <w:szCs w:val="16"/>
              </w:rPr>
            </w:pPr>
            <w:r w:rsidRPr="00FF756A">
              <w:rPr>
                <w:sz w:val="16"/>
                <w:szCs w:val="16"/>
              </w:rPr>
              <w:t xml:space="preserve"> 177,5 </w:t>
            </w:r>
          </w:p>
        </w:tc>
        <w:tc>
          <w:tcPr>
            <w:tcW w:w="918" w:type="dxa"/>
            <w:tcBorders>
              <w:top w:val="nil"/>
              <w:left w:val="nil"/>
              <w:bottom w:val="single" w:sz="8" w:space="0" w:color="FFFFFF"/>
              <w:right w:val="single" w:sz="8" w:space="0" w:color="FFFFFF"/>
            </w:tcBorders>
            <w:shd w:val="clear" w:color="auto" w:fill="B8CCE4"/>
            <w:noWrap/>
            <w:hideMark/>
          </w:tcPr>
          <w:p w14:paraId="4526BF4D" w14:textId="77777777" w:rsidR="00B86FB3" w:rsidRPr="00FF756A" w:rsidRDefault="00B86FB3" w:rsidP="00B86FB3">
            <w:pPr>
              <w:jc w:val="right"/>
              <w:rPr>
                <w:rFonts w:eastAsia="Times New Roman"/>
                <w:color w:val="000000"/>
                <w:sz w:val="16"/>
                <w:szCs w:val="16"/>
              </w:rPr>
            </w:pPr>
            <w:r w:rsidRPr="00FF756A">
              <w:rPr>
                <w:sz w:val="16"/>
                <w:szCs w:val="16"/>
              </w:rPr>
              <w:t xml:space="preserve"> 200,9 </w:t>
            </w:r>
          </w:p>
        </w:tc>
        <w:tc>
          <w:tcPr>
            <w:tcW w:w="918" w:type="dxa"/>
            <w:tcBorders>
              <w:top w:val="single" w:sz="8" w:space="0" w:color="FFFFFF"/>
              <w:left w:val="nil"/>
              <w:bottom w:val="nil"/>
              <w:right w:val="single" w:sz="8" w:space="0" w:color="FFFFFF"/>
            </w:tcBorders>
            <w:shd w:val="clear" w:color="auto" w:fill="B8CCE4"/>
          </w:tcPr>
          <w:p w14:paraId="7A85B3C7" w14:textId="77777777" w:rsidR="00B86FB3" w:rsidRPr="00FF756A" w:rsidRDefault="00B86FB3" w:rsidP="00B86FB3">
            <w:pPr>
              <w:jc w:val="right"/>
              <w:rPr>
                <w:rFonts w:eastAsia="Times New Roman"/>
                <w:color w:val="000000"/>
                <w:sz w:val="16"/>
                <w:szCs w:val="16"/>
              </w:rPr>
            </w:pPr>
            <w:r w:rsidRPr="00FF756A">
              <w:rPr>
                <w:sz w:val="16"/>
                <w:szCs w:val="16"/>
              </w:rPr>
              <w:t xml:space="preserve"> 224,2 </w:t>
            </w:r>
          </w:p>
        </w:tc>
      </w:tr>
      <w:tr w:rsidR="00B86FB3" w:rsidRPr="00FF756A" w14:paraId="33D88A68" w14:textId="77777777" w:rsidTr="006A3266">
        <w:trPr>
          <w:trHeight w:val="293"/>
        </w:trPr>
        <w:tc>
          <w:tcPr>
            <w:tcW w:w="1832" w:type="dxa"/>
            <w:tcBorders>
              <w:top w:val="single" w:sz="8" w:space="0" w:color="FFFFFF"/>
              <w:left w:val="single" w:sz="8" w:space="0" w:color="FFFFFF"/>
              <w:bottom w:val="single" w:sz="8" w:space="0" w:color="FFFFFF"/>
              <w:right w:val="single" w:sz="8" w:space="0" w:color="FFFFFF"/>
            </w:tcBorders>
            <w:shd w:val="clear" w:color="000000" w:fill="4F81BD"/>
            <w:noWrap/>
            <w:vAlign w:val="center"/>
            <w:hideMark/>
          </w:tcPr>
          <w:p w14:paraId="47F825F5" w14:textId="77777777" w:rsidR="00B86FB3" w:rsidRPr="00FF756A" w:rsidRDefault="00B86FB3" w:rsidP="00B86FB3">
            <w:pPr>
              <w:rPr>
                <w:rFonts w:eastAsia="Times New Roman"/>
                <w:b/>
                <w:bCs/>
                <w:color w:val="FFFFFF"/>
                <w:sz w:val="16"/>
                <w:szCs w:val="16"/>
              </w:rPr>
            </w:pPr>
            <w:r w:rsidRPr="00FF756A">
              <w:rPr>
                <w:b/>
                <w:bCs/>
                <w:color w:val="FFFFFF"/>
                <w:sz w:val="16"/>
                <w:szCs w:val="16"/>
              </w:rPr>
              <w:t>CH</w:t>
            </w:r>
            <w:r w:rsidRPr="00FF756A">
              <w:rPr>
                <w:b/>
                <w:bCs/>
                <w:color w:val="FFFFFF"/>
                <w:sz w:val="16"/>
                <w:szCs w:val="16"/>
                <w:vertAlign w:val="subscript"/>
              </w:rPr>
              <w:t>4</w:t>
            </w:r>
            <w:r w:rsidRPr="00FF756A">
              <w:rPr>
                <w:b/>
                <w:bCs/>
                <w:color w:val="FFFFFF"/>
                <w:sz w:val="16"/>
                <w:szCs w:val="16"/>
              </w:rPr>
              <w:t xml:space="preserve"> nga zjarret në pyje</w:t>
            </w:r>
          </w:p>
        </w:tc>
        <w:tc>
          <w:tcPr>
            <w:tcW w:w="917" w:type="dxa"/>
            <w:tcBorders>
              <w:top w:val="single" w:sz="8" w:space="0" w:color="FFFFFF"/>
              <w:left w:val="nil"/>
              <w:bottom w:val="single" w:sz="8" w:space="0" w:color="FFFFFF"/>
              <w:right w:val="single" w:sz="8" w:space="0" w:color="FFFFFF"/>
            </w:tcBorders>
            <w:shd w:val="clear" w:color="000000" w:fill="DBE5F1"/>
            <w:noWrap/>
            <w:hideMark/>
          </w:tcPr>
          <w:p w14:paraId="15D50A3D"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single" w:sz="8" w:space="0" w:color="FFFFFF"/>
              <w:left w:val="nil"/>
              <w:bottom w:val="single" w:sz="8" w:space="0" w:color="FFFFFF"/>
              <w:right w:val="single" w:sz="8" w:space="0" w:color="FFFFFF"/>
            </w:tcBorders>
            <w:shd w:val="clear" w:color="000000" w:fill="DBE5F1"/>
            <w:noWrap/>
            <w:hideMark/>
          </w:tcPr>
          <w:p w14:paraId="28F67EA8"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single" w:sz="8" w:space="0" w:color="FFFFFF"/>
              <w:left w:val="nil"/>
              <w:bottom w:val="single" w:sz="8" w:space="0" w:color="FFFFFF"/>
              <w:right w:val="single" w:sz="8" w:space="0" w:color="FFFFFF"/>
            </w:tcBorders>
            <w:shd w:val="clear" w:color="000000" w:fill="DBE5F1"/>
            <w:noWrap/>
            <w:hideMark/>
          </w:tcPr>
          <w:p w14:paraId="1365CB3A"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single" w:sz="8" w:space="0" w:color="FFFFFF"/>
              <w:left w:val="nil"/>
              <w:bottom w:val="single" w:sz="8" w:space="0" w:color="FFFFFF"/>
              <w:right w:val="single" w:sz="8" w:space="0" w:color="FFFFFF"/>
            </w:tcBorders>
            <w:shd w:val="clear" w:color="000000" w:fill="DBE5F1"/>
            <w:noWrap/>
            <w:hideMark/>
          </w:tcPr>
          <w:p w14:paraId="43321B87"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single" w:sz="8" w:space="0" w:color="FFFFFF"/>
              <w:left w:val="nil"/>
              <w:bottom w:val="single" w:sz="8" w:space="0" w:color="FFFFFF"/>
              <w:right w:val="single" w:sz="8" w:space="0" w:color="FFFFFF"/>
            </w:tcBorders>
            <w:shd w:val="clear" w:color="000000" w:fill="DBE5F1"/>
            <w:noWrap/>
            <w:hideMark/>
          </w:tcPr>
          <w:p w14:paraId="7456F15E"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single" w:sz="8" w:space="0" w:color="FFFFFF"/>
              <w:left w:val="nil"/>
              <w:bottom w:val="single" w:sz="8" w:space="0" w:color="FFFFFF"/>
              <w:right w:val="single" w:sz="8" w:space="0" w:color="FFFFFF"/>
            </w:tcBorders>
            <w:shd w:val="clear" w:color="000000" w:fill="DBE5F1"/>
            <w:noWrap/>
            <w:hideMark/>
          </w:tcPr>
          <w:p w14:paraId="46768F7F"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8" w:type="dxa"/>
            <w:tcBorders>
              <w:top w:val="single" w:sz="8" w:space="0" w:color="FFFFFF"/>
              <w:left w:val="nil"/>
              <w:bottom w:val="single" w:sz="8" w:space="0" w:color="FFFFFF"/>
              <w:right w:val="single" w:sz="8" w:space="0" w:color="FFFFFF"/>
            </w:tcBorders>
            <w:shd w:val="clear" w:color="000000" w:fill="DBE5F1"/>
            <w:noWrap/>
            <w:hideMark/>
          </w:tcPr>
          <w:p w14:paraId="4D6BC7CA"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8" w:type="dxa"/>
            <w:tcBorders>
              <w:top w:val="single" w:sz="8" w:space="0" w:color="FFFFFF"/>
              <w:left w:val="nil"/>
              <w:bottom w:val="single" w:sz="8" w:space="0" w:color="FFFFFF"/>
              <w:right w:val="single" w:sz="8" w:space="0" w:color="FFFFFF"/>
            </w:tcBorders>
            <w:shd w:val="clear" w:color="auto" w:fill="DBE5F1"/>
          </w:tcPr>
          <w:p w14:paraId="3ADC6341"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r>
      <w:tr w:rsidR="00B86FB3" w:rsidRPr="00FF756A" w14:paraId="6BB90E15"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154290CD" w14:textId="77777777" w:rsidR="00B86FB3" w:rsidRPr="00FF756A" w:rsidRDefault="00B86FB3" w:rsidP="00B86FB3">
            <w:pPr>
              <w:rPr>
                <w:rFonts w:eastAsia="Times New Roman"/>
                <w:b/>
                <w:bCs/>
                <w:color w:val="FFFFFF"/>
                <w:sz w:val="16"/>
                <w:szCs w:val="16"/>
              </w:rPr>
            </w:pPr>
            <w:r w:rsidRPr="00FF756A">
              <w:rPr>
                <w:b/>
                <w:bCs/>
                <w:color w:val="FFFFFF"/>
                <w:sz w:val="16"/>
                <w:szCs w:val="16"/>
              </w:rPr>
              <w:t>N</w:t>
            </w:r>
            <w:r w:rsidRPr="00FF756A">
              <w:rPr>
                <w:b/>
                <w:bCs/>
                <w:color w:val="FFFFFF"/>
                <w:sz w:val="16"/>
                <w:szCs w:val="16"/>
                <w:vertAlign w:val="subscript"/>
              </w:rPr>
              <w:t>2</w:t>
            </w:r>
            <w:r w:rsidRPr="00FF756A">
              <w:rPr>
                <w:b/>
                <w:bCs/>
                <w:color w:val="FFFFFF"/>
                <w:sz w:val="16"/>
                <w:szCs w:val="16"/>
              </w:rPr>
              <w:t>O nga zjarret në pyje</w:t>
            </w:r>
          </w:p>
        </w:tc>
        <w:tc>
          <w:tcPr>
            <w:tcW w:w="917" w:type="dxa"/>
            <w:tcBorders>
              <w:top w:val="nil"/>
              <w:left w:val="nil"/>
              <w:bottom w:val="single" w:sz="8" w:space="0" w:color="FFFFFF"/>
              <w:right w:val="single" w:sz="8" w:space="0" w:color="FFFFFF"/>
            </w:tcBorders>
            <w:shd w:val="clear" w:color="000000" w:fill="B8CCE4"/>
            <w:noWrap/>
            <w:hideMark/>
          </w:tcPr>
          <w:p w14:paraId="35B9B3DB"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B8CCE4"/>
            <w:noWrap/>
            <w:hideMark/>
          </w:tcPr>
          <w:p w14:paraId="3035B8EB"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B8CCE4"/>
            <w:noWrap/>
            <w:hideMark/>
          </w:tcPr>
          <w:p w14:paraId="1803D97A"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B8CCE4"/>
            <w:noWrap/>
            <w:hideMark/>
          </w:tcPr>
          <w:p w14:paraId="66BAE972"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B8CCE4"/>
            <w:noWrap/>
            <w:hideMark/>
          </w:tcPr>
          <w:p w14:paraId="2B9AA93C"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B8CCE4"/>
            <w:noWrap/>
            <w:hideMark/>
          </w:tcPr>
          <w:p w14:paraId="675B2F12"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8" w:type="dxa"/>
            <w:tcBorders>
              <w:top w:val="nil"/>
              <w:left w:val="nil"/>
              <w:bottom w:val="single" w:sz="8" w:space="0" w:color="FFFFFF"/>
              <w:right w:val="single" w:sz="8" w:space="0" w:color="FFFFFF"/>
            </w:tcBorders>
            <w:shd w:val="clear" w:color="000000" w:fill="B8CCE4"/>
            <w:noWrap/>
            <w:hideMark/>
          </w:tcPr>
          <w:p w14:paraId="3029C24C"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8" w:type="dxa"/>
            <w:tcBorders>
              <w:top w:val="single" w:sz="8" w:space="0" w:color="FFFFFF"/>
              <w:left w:val="nil"/>
              <w:bottom w:val="single" w:sz="8" w:space="0" w:color="FFFFFF"/>
              <w:right w:val="single" w:sz="8" w:space="0" w:color="FFFFFF"/>
            </w:tcBorders>
            <w:shd w:val="clear" w:color="auto" w:fill="B8CCE4"/>
          </w:tcPr>
          <w:p w14:paraId="4D0FA1A5"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r>
      <w:tr w:rsidR="00B86FB3" w:rsidRPr="00FF756A" w14:paraId="48E3CCB3"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355E1EFC" w14:textId="77777777" w:rsidR="00B86FB3" w:rsidRPr="00FF756A" w:rsidRDefault="00B86FB3" w:rsidP="00B86FB3">
            <w:pPr>
              <w:rPr>
                <w:rFonts w:eastAsia="Times New Roman"/>
                <w:b/>
                <w:bCs/>
                <w:color w:val="FFFFFF"/>
                <w:sz w:val="16"/>
                <w:szCs w:val="16"/>
              </w:rPr>
            </w:pPr>
            <w:r w:rsidRPr="00FF756A">
              <w:rPr>
                <w:b/>
                <w:bCs/>
                <w:color w:val="FFFFFF"/>
                <w:sz w:val="16"/>
                <w:szCs w:val="16"/>
              </w:rPr>
              <w:t>CO</w:t>
            </w:r>
            <w:r w:rsidRPr="00FF756A">
              <w:rPr>
                <w:b/>
                <w:bCs/>
                <w:color w:val="FFFFFF"/>
                <w:sz w:val="16"/>
                <w:szCs w:val="16"/>
                <w:vertAlign w:val="subscript"/>
              </w:rPr>
              <w:t>2</w:t>
            </w:r>
            <w:r w:rsidRPr="00FF756A">
              <w:rPr>
                <w:b/>
                <w:bCs/>
                <w:color w:val="FFFFFF"/>
                <w:sz w:val="16"/>
                <w:szCs w:val="16"/>
              </w:rPr>
              <w:t xml:space="preserve"> nga tokat bujqësore</w:t>
            </w:r>
          </w:p>
        </w:tc>
        <w:tc>
          <w:tcPr>
            <w:tcW w:w="917" w:type="dxa"/>
            <w:tcBorders>
              <w:top w:val="nil"/>
              <w:left w:val="nil"/>
              <w:bottom w:val="single" w:sz="8" w:space="0" w:color="FFFFFF"/>
              <w:right w:val="single" w:sz="8" w:space="0" w:color="FFFFFF"/>
            </w:tcBorders>
            <w:shd w:val="clear" w:color="000000" w:fill="DBE5F1"/>
            <w:noWrap/>
            <w:hideMark/>
          </w:tcPr>
          <w:p w14:paraId="76D77DFD"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DBE5F1"/>
            <w:noWrap/>
            <w:hideMark/>
          </w:tcPr>
          <w:p w14:paraId="440947F3"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DBE5F1"/>
            <w:noWrap/>
            <w:hideMark/>
          </w:tcPr>
          <w:p w14:paraId="331A04A1"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DBE5F1"/>
            <w:noWrap/>
            <w:hideMark/>
          </w:tcPr>
          <w:p w14:paraId="083055AE"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DBE5F1"/>
            <w:noWrap/>
            <w:hideMark/>
          </w:tcPr>
          <w:p w14:paraId="4153A8BC"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DBE5F1"/>
            <w:noWrap/>
            <w:hideMark/>
          </w:tcPr>
          <w:p w14:paraId="417D1ACD"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8" w:type="dxa"/>
            <w:tcBorders>
              <w:top w:val="nil"/>
              <w:left w:val="nil"/>
              <w:bottom w:val="single" w:sz="8" w:space="0" w:color="FFFFFF"/>
              <w:right w:val="single" w:sz="8" w:space="0" w:color="FFFFFF"/>
            </w:tcBorders>
            <w:shd w:val="clear" w:color="000000" w:fill="DBE5F1"/>
            <w:noWrap/>
            <w:hideMark/>
          </w:tcPr>
          <w:p w14:paraId="7779F087"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8" w:type="dxa"/>
            <w:tcBorders>
              <w:top w:val="single" w:sz="8" w:space="0" w:color="FFFFFF"/>
              <w:left w:val="nil"/>
              <w:bottom w:val="single" w:sz="8" w:space="0" w:color="FFFFFF"/>
              <w:right w:val="single" w:sz="8" w:space="0" w:color="FFFFFF"/>
            </w:tcBorders>
            <w:shd w:val="clear" w:color="auto" w:fill="DBE5F1"/>
          </w:tcPr>
          <w:p w14:paraId="1C0D64E1"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r>
      <w:tr w:rsidR="00B86FB3" w:rsidRPr="00FF756A" w14:paraId="5D9CD2B4"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6630DB5F" w14:textId="77777777" w:rsidR="00B86FB3" w:rsidRPr="00FF756A" w:rsidRDefault="00B86FB3" w:rsidP="00B86FB3">
            <w:pPr>
              <w:rPr>
                <w:rFonts w:eastAsia="Times New Roman"/>
                <w:b/>
                <w:bCs/>
                <w:color w:val="FFFFFF"/>
                <w:sz w:val="16"/>
                <w:szCs w:val="16"/>
              </w:rPr>
            </w:pPr>
            <w:r w:rsidRPr="00FF756A">
              <w:rPr>
                <w:b/>
                <w:bCs/>
                <w:color w:val="FFFFFF"/>
                <w:sz w:val="16"/>
                <w:szCs w:val="16"/>
              </w:rPr>
              <w:t>CO</w:t>
            </w:r>
            <w:r w:rsidRPr="00FF756A">
              <w:rPr>
                <w:b/>
                <w:bCs/>
                <w:color w:val="FFFFFF"/>
                <w:sz w:val="16"/>
                <w:szCs w:val="16"/>
                <w:vertAlign w:val="subscript"/>
              </w:rPr>
              <w:t>2</w:t>
            </w:r>
            <w:r w:rsidRPr="00FF756A">
              <w:rPr>
                <w:b/>
                <w:bCs/>
                <w:color w:val="FFFFFF"/>
                <w:sz w:val="16"/>
                <w:szCs w:val="16"/>
              </w:rPr>
              <w:t xml:space="preserve"> nga kullotat</w:t>
            </w:r>
          </w:p>
        </w:tc>
        <w:tc>
          <w:tcPr>
            <w:tcW w:w="917" w:type="dxa"/>
            <w:tcBorders>
              <w:top w:val="nil"/>
              <w:left w:val="nil"/>
              <w:bottom w:val="single" w:sz="8" w:space="0" w:color="FFFFFF"/>
              <w:right w:val="single" w:sz="8" w:space="0" w:color="FFFFFF"/>
            </w:tcBorders>
            <w:shd w:val="clear" w:color="000000" w:fill="B8CCE4"/>
            <w:noWrap/>
            <w:vAlign w:val="center"/>
            <w:hideMark/>
          </w:tcPr>
          <w:p w14:paraId="7B5CBE60"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7" w:type="dxa"/>
            <w:tcBorders>
              <w:top w:val="nil"/>
              <w:left w:val="nil"/>
              <w:bottom w:val="single" w:sz="8" w:space="0" w:color="FFFFFF"/>
              <w:right w:val="single" w:sz="8" w:space="0" w:color="FFFFFF"/>
            </w:tcBorders>
            <w:shd w:val="clear" w:color="000000" w:fill="B8CCE4"/>
            <w:noWrap/>
            <w:vAlign w:val="center"/>
            <w:hideMark/>
          </w:tcPr>
          <w:p w14:paraId="3000542C"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7" w:type="dxa"/>
            <w:tcBorders>
              <w:top w:val="nil"/>
              <w:left w:val="nil"/>
              <w:bottom w:val="single" w:sz="8" w:space="0" w:color="FFFFFF"/>
              <w:right w:val="single" w:sz="8" w:space="0" w:color="FFFFFF"/>
            </w:tcBorders>
            <w:shd w:val="clear" w:color="000000" w:fill="B8CCE4"/>
            <w:noWrap/>
            <w:vAlign w:val="center"/>
            <w:hideMark/>
          </w:tcPr>
          <w:p w14:paraId="17A9FA06"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7" w:type="dxa"/>
            <w:tcBorders>
              <w:top w:val="nil"/>
              <w:left w:val="nil"/>
              <w:bottom w:val="single" w:sz="8" w:space="0" w:color="FFFFFF"/>
              <w:right w:val="single" w:sz="8" w:space="0" w:color="FFFFFF"/>
            </w:tcBorders>
            <w:shd w:val="clear" w:color="000000" w:fill="B8CCE4"/>
            <w:noWrap/>
            <w:vAlign w:val="center"/>
            <w:hideMark/>
          </w:tcPr>
          <w:p w14:paraId="6EE96A14"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7" w:type="dxa"/>
            <w:tcBorders>
              <w:top w:val="nil"/>
              <w:left w:val="nil"/>
              <w:bottom w:val="single" w:sz="8" w:space="0" w:color="FFFFFF"/>
              <w:right w:val="single" w:sz="8" w:space="0" w:color="FFFFFF"/>
            </w:tcBorders>
            <w:shd w:val="clear" w:color="000000" w:fill="B8CCE4"/>
            <w:noWrap/>
            <w:vAlign w:val="center"/>
            <w:hideMark/>
          </w:tcPr>
          <w:p w14:paraId="0B97806C"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7" w:type="dxa"/>
            <w:tcBorders>
              <w:top w:val="nil"/>
              <w:left w:val="nil"/>
              <w:bottom w:val="single" w:sz="8" w:space="0" w:color="FFFFFF"/>
              <w:right w:val="single" w:sz="8" w:space="0" w:color="FFFFFF"/>
            </w:tcBorders>
            <w:shd w:val="clear" w:color="auto" w:fill="B8CCE4"/>
            <w:noWrap/>
            <w:vAlign w:val="center"/>
            <w:hideMark/>
          </w:tcPr>
          <w:p w14:paraId="4E266C27"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8" w:type="dxa"/>
            <w:tcBorders>
              <w:top w:val="nil"/>
              <w:left w:val="nil"/>
              <w:bottom w:val="single" w:sz="8" w:space="0" w:color="FFFFFF"/>
              <w:right w:val="single" w:sz="8" w:space="0" w:color="FFFFFF"/>
            </w:tcBorders>
            <w:shd w:val="clear" w:color="000000" w:fill="B8CCE4"/>
            <w:noWrap/>
            <w:vAlign w:val="center"/>
            <w:hideMark/>
          </w:tcPr>
          <w:p w14:paraId="330FE17F"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8" w:type="dxa"/>
            <w:tcBorders>
              <w:top w:val="single" w:sz="8" w:space="0" w:color="FFFFFF"/>
              <w:left w:val="nil"/>
              <w:bottom w:val="single" w:sz="8" w:space="0" w:color="FFFFFF"/>
              <w:right w:val="single" w:sz="8" w:space="0" w:color="FFFFFF"/>
            </w:tcBorders>
            <w:shd w:val="clear" w:color="auto" w:fill="B8CCE4"/>
          </w:tcPr>
          <w:p w14:paraId="034A8A00"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r>
      <w:tr w:rsidR="00B86FB3" w:rsidRPr="00FF756A" w14:paraId="24055E95"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644C1FC7" w14:textId="77777777" w:rsidR="00B86FB3" w:rsidRPr="00FF756A" w:rsidRDefault="00B86FB3" w:rsidP="00B86FB3">
            <w:pPr>
              <w:rPr>
                <w:rFonts w:eastAsia="Times New Roman"/>
                <w:b/>
                <w:bCs/>
                <w:color w:val="FFFFFF"/>
                <w:sz w:val="16"/>
                <w:szCs w:val="16"/>
              </w:rPr>
            </w:pPr>
            <w:r w:rsidRPr="00FF756A">
              <w:rPr>
                <w:b/>
                <w:bCs/>
                <w:color w:val="FFFFFF"/>
                <w:sz w:val="16"/>
                <w:szCs w:val="16"/>
              </w:rPr>
              <w:t>CO</w:t>
            </w:r>
            <w:r w:rsidRPr="00FF756A">
              <w:rPr>
                <w:b/>
                <w:bCs/>
                <w:color w:val="FFFFFF"/>
                <w:sz w:val="16"/>
                <w:szCs w:val="16"/>
                <w:vertAlign w:val="subscript"/>
              </w:rPr>
              <w:t>2</w:t>
            </w:r>
            <w:r w:rsidRPr="00FF756A">
              <w:rPr>
                <w:b/>
                <w:bCs/>
                <w:color w:val="FFFFFF"/>
                <w:sz w:val="16"/>
                <w:szCs w:val="16"/>
              </w:rPr>
              <w:t xml:space="preserve"> nga ligatinat</w:t>
            </w:r>
          </w:p>
        </w:tc>
        <w:tc>
          <w:tcPr>
            <w:tcW w:w="917" w:type="dxa"/>
            <w:tcBorders>
              <w:top w:val="nil"/>
              <w:left w:val="nil"/>
              <w:bottom w:val="single" w:sz="8" w:space="0" w:color="FFFFFF"/>
              <w:right w:val="single" w:sz="8" w:space="0" w:color="FFFFFF"/>
            </w:tcBorders>
            <w:shd w:val="clear" w:color="000000" w:fill="DBE5F1"/>
            <w:noWrap/>
            <w:vAlign w:val="center"/>
            <w:hideMark/>
          </w:tcPr>
          <w:p w14:paraId="576C04B6"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7" w:type="dxa"/>
            <w:tcBorders>
              <w:top w:val="nil"/>
              <w:left w:val="nil"/>
              <w:bottom w:val="single" w:sz="8" w:space="0" w:color="FFFFFF"/>
              <w:right w:val="single" w:sz="8" w:space="0" w:color="FFFFFF"/>
            </w:tcBorders>
            <w:shd w:val="clear" w:color="000000" w:fill="DBE5F1"/>
            <w:noWrap/>
            <w:vAlign w:val="center"/>
            <w:hideMark/>
          </w:tcPr>
          <w:p w14:paraId="65FD97C7"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7" w:type="dxa"/>
            <w:tcBorders>
              <w:top w:val="nil"/>
              <w:left w:val="nil"/>
              <w:bottom w:val="single" w:sz="8" w:space="0" w:color="FFFFFF"/>
              <w:right w:val="single" w:sz="8" w:space="0" w:color="FFFFFF"/>
            </w:tcBorders>
            <w:shd w:val="clear" w:color="000000" w:fill="DBE5F1"/>
            <w:noWrap/>
            <w:vAlign w:val="center"/>
            <w:hideMark/>
          </w:tcPr>
          <w:p w14:paraId="4CB48914"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7" w:type="dxa"/>
            <w:tcBorders>
              <w:top w:val="nil"/>
              <w:left w:val="nil"/>
              <w:bottom w:val="single" w:sz="8" w:space="0" w:color="FFFFFF"/>
              <w:right w:val="single" w:sz="8" w:space="0" w:color="FFFFFF"/>
            </w:tcBorders>
            <w:shd w:val="clear" w:color="000000" w:fill="DBE5F1"/>
            <w:noWrap/>
            <w:vAlign w:val="center"/>
            <w:hideMark/>
          </w:tcPr>
          <w:p w14:paraId="44FBB1A9"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7" w:type="dxa"/>
            <w:tcBorders>
              <w:top w:val="nil"/>
              <w:left w:val="nil"/>
              <w:bottom w:val="single" w:sz="8" w:space="0" w:color="FFFFFF"/>
              <w:right w:val="single" w:sz="8" w:space="0" w:color="FFFFFF"/>
            </w:tcBorders>
            <w:shd w:val="clear" w:color="000000" w:fill="DBE5F1"/>
            <w:noWrap/>
            <w:vAlign w:val="center"/>
            <w:hideMark/>
          </w:tcPr>
          <w:p w14:paraId="06DB81BB"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7" w:type="dxa"/>
            <w:tcBorders>
              <w:top w:val="nil"/>
              <w:left w:val="nil"/>
              <w:bottom w:val="single" w:sz="8" w:space="0" w:color="FFFFFF"/>
              <w:right w:val="single" w:sz="8" w:space="0" w:color="FFFFFF"/>
            </w:tcBorders>
            <w:shd w:val="clear" w:color="000000" w:fill="DBE5F1"/>
            <w:noWrap/>
            <w:vAlign w:val="center"/>
            <w:hideMark/>
          </w:tcPr>
          <w:p w14:paraId="2E0C948A"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8" w:type="dxa"/>
            <w:tcBorders>
              <w:top w:val="nil"/>
              <w:left w:val="nil"/>
              <w:bottom w:val="single" w:sz="8" w:space="0" w:color="FFFFFF"/>
              <w:right w:val="single" w:sz="8" w:space="0" w:color="FFFFFF"/>
            </w:tcBorders>
            <w:shd w:val="clear" w:color="000000" w:fill="DBE5F1"/>
            <w:noWrap/>
            <w:vAlign w:val="center"/>
            <w:hideMark/>
          </w:tcPr>
          <w:p w14:paraId="33AB2F0D"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c>
          <w:tcPr>
            <w:tcW w:w="918" w:type="dxa"/>
            <w:tcBorders>
              <w:top w:val="single" w:sz="8" w:space="0" w:color="FFFFFF"/>
              <w:left w:val="nil"/>
              <w:bottom w:val="single" w:sz="8" w:space="0" w:color="FFFFFF"/>
              <w:right w:val="single" w:sz="8" w:space="0" w:color="FFFFFF"/>
            </w:tcBorders>
            <w:shd w:val="clear" w:color="auto" w:fill="DBE5F1"/>
          </w:tcPr>
          <w:p w14:paraId="4938D30C" w14:textId="77777777" w:rsidR="00B86FB3" w:rsidRPr="00FF756A" w:rsidRDefault="00B86FB3" w:rsidP="00B86FB3">
            <w:pPr>
              <w:jc w:val="right"/>
              <w:rPr>
                <w:rFonts w:eastAsia="Times New Roman"/>
                <w:color w:val="000000"/>
                <w:sz w:val="16"/>
                <w:szCs w:val="16"/>
              </w:rPr>
            </w:pPr>
            <w:r w:rsidRPr="00FF756A">
              <w:rPr>
                <w:color w:val="000000"/>
                <w:sz w:val="16"/>
                <w:szCs w:val="16"/>
              </w:rPr>
              <w:t>0,0</w:t>
            </w:r>
          </w:p>
        </w:tc>
      </w:tr>
      <w:tr w:rsidR="00B86FB3" w:rsidRPr="00FF756A" w14:paraId="47F7B42D"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7D0A5131" w14:textId="77777777" w:rsidR="00B86FB3" w:rsidRPr="00FF756A" w:rsidRDefault="00B86FB3" w:rsidP="00B86FB3">
            <w:pPr>
              <w:rPr>
                <w:rFonts w:eastAsia="Times New Roman"/>
                <w:b/>
                <w:bCs/>
                <w:color w:val="FFFFFF"/>
                <w:sz w:val="16"/>
                <w:szCs w:val="16"/>
              </w:rPr>
            </w:pPr>
            <w:r w:rsidRPr="00FF756A">
              <w:rPr>
                <w:b/>
                <w:bCs/>
                <w:color w:val="FFFFFF"/>
                <w:sz w:val="16"/>
                <w:szCs w:val="16"/>
              </w:rPr>
              <w:t>CO</w:t>
            </w:r>
            <w:r w:rsidRPr="00FF756A">
              <w:rPr>
                <w:b/>
                <w:bCs/>
                <w:color w:val="FFFFFF"/>
                <w:sz w:val="16"/>
                <w:szCs w:val="16"/>
                <w:vertAlign w:val="subscript"/>
              </w:rPr>
              <w:t>2</w:t>
            </w:r>
            <w:r w:rsidRPr="00FF756A">
              <w:rPr>
                <w:b/>
                <w:bCs/>
                <w:color w:val="FFFFFF"/>
                <w:sz w:val="16"/>
                <w:szCs w:val="16"/>
              </w:rPr>
              <w:t xml:space="preserve"> nga vendet e banuara</w:t>
            </w:r>
          </w:p>
        </w:tc>
        <w:tc>
          <w:tcPr>
            <w:tcW w:w="917" w:type="dxa"/>
            <w:tcBorders>
              <w:top w:val="nil"/>
              <w:left w:val="nil"/>
              <w:bottom w:val="single" w:sz="8" w:space="0" w:color="FFFFFF"/>
              <w:right w:val="single" w:sz="8" w:space="0" w:color="FFFFFF"/>
            </w:tcBorders>
            <w:shd w:val="clear" w:color="000000" w:fill="B8CCE4"/>
            <w:noWrap/>
            <w:hideMark/>
          </w:tcPr>
          <w:p w14:paraId="0FD9C78E" w14:textId="77777777" w:rsidR="00B86FB3" w:rsidRPr="00FF756A" w:rsidRDefault="00B86FB3" w:rsidP="00B86FB3">
            <w:pPr>
              <w:jc w:val="right"/>
              <w:rPr>
                <w:rFonts w:eastAsia="Times New Roman"/>
                <w:color w:val="000000"/>
                <w:sz w:val="16"/>
                <w:szCs w:val="16"/>
              </w:rPr>
            </w:pPr>
            <w:r w:rsidRPr="00FF756A">
              <w:rPr>
                <w:sz w:val="16"/>
                <w:szCs w:val="16"/>
              </w:rPr>
              <w:t xml:space="preserve"> 93,5 </w:t>
            </w:r>
          </w:p>
        </w:tc>
        <w:tc>
          <w:tcPr>
            <w:tcW w:w="917" w:type="dxa"/>
            <w:tcBorders>
              <w:top w:val="nil"/>
              <w:left w:val="nil"/>
              <w:bottom w:val="single" w:sz="8" w:space="0" w:color="FFFFFF"/>
              <w:right w:val="single" w:sz="8" w:space="0" w:color="FFFFFF"/>
            </w:tcBorders>
            <w:shd w:val="clear" w:color="000000" w:fill="B8CCE4"/>
            <w:noWrap/>
            <w:hideMark/>
          </w:tcPr>
          <w:p w14:paraId="30C944B7" w14:textId="77777777" w:rsidR="00B86FB3" w:rsidRPr="00FF756A" w:rsidRDefault="00B86FB3" w:rsidP="00B86FB3">
            <w:pPr>
              <w:jc w:val="right"/>
              <w:rPr>
                <w:rFonts w:eastAsia="Times New Roman"/>
                <w:color w:val="000000"/>
                <w:sz w:val="16"/>
                <w:szCs w:val="16"/>
              </w:rPr>
            </w:pPr>
            <w:r w:rsidRPr="00FF756A">
              <w:rPr>
                <w:sz w:val="16"/>
                <w:szCs w:val="16"/>
              </w:rPr>
              <w:t xml:space="preserve"> 93,5 </w:t>
            </w:r>
          </w:p>
        </w:tc>
        <w:tc>
          <w:tcPr>
            <w:tcW w:w="917" w:type="dxa"/>
            <w:tcBorders>
              <w:top w:val="nil"/>
              <w:left w:val="nil"/>
              <w:bottom w:val="single" w:sz="8" w:space="0" w:color="FFFFFF"/>
              <w:right w:val="single" w:sz="8" w:space="0" w:color="FFFFFF"/>
            </w:tcBorders>
            <w:shd w:val="clear" w:color="000000" w:fill="B8CCE4"/>
            <w:noWrap/>
            <w:hideMark/>
          </w:tcPr>
          <w:p w14:paraId="345DE7D0" w14:textId="77777777" w:rsidR="00B86FB3" w:rsidRPr="00FF756A" w:rsidRDefault="00B86FB3" w:rsidP="00B86FB3">
            <w:pPr>
              <w:jc w:val="right"/>
              <w:rPr>
                <w:rFonts w:eastAsia="Times New Roman"/>
                <w:color w:val="000000"/>
                <w:sz w:val="16"/>
                <w:szCs w:val="16"/>
              </w:rPr>
            </w:pPr>
            <w:r w:rsidRPr="00FF756A">
              <w:rPr>
                <w:sz w:val="16"/>
                <w:szCs w:val="16"/>
              </w:rPr>
              <w:t xml:space="preserve"> 93,5 </w:t>
            </w:r>
          </w:p>
        </w:tc>
        <w:tc>
          <w:tcPr>
            <w:tcW w:w="917" w:type="dxa"/>
            <w:tcBorders>
              <w:top w:val="nil"/>
              <w:left w:val="nil"/>
              <w:bottom w:val="single" w:sz="8" w:space="0" w:color="FFFFFF"/>
              <w:right w:val="single" w:sz="8" w:space="0" w:color="FFFFFF"/>
            </w:tcBorders>
            <w:shd w:val="clear" w:color="000000" w:fill="B8CCE4"/>
            <w:noWrap/>
            <w:hideMark/>
          </w:tcPr>
          <w:p w14:paraId="1192ED68" w14:textId="77777777" w:rsidR="00B86FB3" w:rsidRPr="00FF756A" w:rsidRDefault="00B86FB3" w:rsidP="00B86FB3">
            <w:pPr>
              <w:jc w:val="right"/>
              <w:rPr>
                <w:rFonts w:eastAsia="Times New Roman"/>
                <w:color w:val="000000"/>
                <w:sz w:val="16"/>
                <w:szCs w:val="16"/>
              </w:rPr>
            </w:pPr>
            <w:r w:rsidRPr="00FF756A">
              <w:rPr>
                <w:sz w:val="16"/>
                <w:szCs w:val="16"/>
              </w:rPr>
              <w:t xml:space="preserve"> 94,0 </w:t>
            </w:r>
          </w:p>
        </w:tc>
        <w:tc>
          <w:tcPr>
            <w:tcW w:w="917" w:type="dxa"/>
            <w:tcBorders>
              <w:top w:val="nil"/>
              <w:left w:val="nil"/>
              <w:bottom w:val="single" w:sz="8" w:space="0" w:color="FFFFFF"/>
              <w:right w:val="single" w:sz="8" w:space="0" w:color="FFFFFF"/>
            </w:tcBorders>
            <w:shd w:val="clear" w:color="000000" w:fill="B8CCE4"/>
            <w:noWrap/>
            <w:hideMark/>
          </w:tcPr>
          <w:p w14:paraId="4CAA7643" w14:textId="77777777" w:rsidR="00B86FB3" w:rsidRPr="00FF756A" w:rsidRDefault="00B86FB3" w:rsidP="00B86FB3">
            <w:pPr>
              <w:jc w:val="right"/>
              <w:rPr>
                <w:rFonts w:eastAsia="Times New Roman"/>
                <w:color w:val="000000"/>
                <w:sz w:val="16"/>
                <w:szCs w:val="16"/>
              </w:rPr>
            </w:pPr>
            <w:r w:rsidRPr="00FF756A">
              <w:rPr>
                <w:sz w:val="16"/>
                <w:szCs w:val="16"/>
              </w:rPr>
              <w:t xml:space="preserve"> 94,9 </w:t>
            </w:r>
          </w:p>
        </w:tc>
        <w:tc>
          <w:tcPr>
            <w:tcW w:w="917" w:type="dxa"/>
            <w:tcBorders>
              <w:top w:val="nil"/>
              <w:left w:val="nil"/>
              <w:bottom w:val="single" w:sz="8" w:space="0" w:color="FFFFFF"/>
              <w:right w:val="single" w:sz="8" w:space="0" w:color="FFFFFF"/>
            </w:tcBorders>
            <w:shd w:val="clear" w:color="000000" w:fill="B8CCE4"/>
            <w:noWrap/>
            <w:hideMark/>
          </w:tcPr>
          <w:p w14:paraId="4287CD1E" w14:textId="77777777" w:rsidR="00B86FB3" w:rsidRPr="00FF756A" w:rsidRDefault="00B86FB3" w:rsidP="00B86FB3">
            <w:pPr>
              <w:jc w:val="right"/>
              <w:rPr>
                <w:rFonts w:eastAsia="Times New Roman"/>
                <w:color w:val="000000"/>
                <w:sz w:val="16"/>
                <w:szCs w:val="16"/>
              </w:rPr>
            </w:pPr>
            <w:r w:rsidRPr="00FF756A">
              <w:rPr>
                <w:sz w:val="16"/>
                <w:szCs w:val="16"/>
              </w:rPr>
              <w:t xml:space="preserve"> 97,4 </w:t>
            </w:r>
          </w:p>
        </w:tc>
        <w:tc>
          <w:tcPr>
            <w:tcW w:w="918" w:type="dxa"/>
            <w:tcBorders>
              <w:top w:val="nil"/>
              <w:left w:val="nil"/>
              <w:bottom w:val="single" w:sz="8" w:space="0" w:color="FFFFFF"/>
              <w:right w:val="single" w:sz="8" w:space="0" w:color="FFFFFF"/>
            </w:tcBorders>
            <w:shd w:val="clear" w:color="000000" w:fill="B8CCE4"/>
            <w:noWrap/>
            <w:hideMark/>
          </w:tcPr>
          <w:p w14:paraId="6ED4DD80" w14:textId="77777777" w:rsidR="00B86FB3" w:rsidRPr="00FF756A" w:rsidRDefault="00B86FB3" w:rsidP="00B86FB3">
            <w:pPr>
              <w:jc w:val="right"/>
              <w:rPr>
                <w:rFonts w:eastAsia="Times New Roman"/>
                <w:color w:val="000000"/>
                <w:sz w:val="16"/>
                <w:szCs w:val="16"/>
              </w:rPr>
            </w:pPr>
            <w:r w:rsidRPr="00FF756A">
              <w:rPr>
                <w:sz w:val="16"/>
                <w:szCs w:val="16"/>
              </w:rPr>
              <w:t xml:space="preserve"> 102,5 </w:t>
            </w:r>
          </w:p>
        </w:tc>
        <w:tc>
          <w:tcPr>
            <w:tcW w:w="918" w:type="dxa"/>
            <w:tcBorders>
              <w:top w:val="single" w:sz="8" w:space="0" w:color="FFFFFF"/>
              <w:left w:val="nil"/>
              <w:bottom w:val="single" w:sz="8" w:space="0" w:color="FFFFFF"/>
              <w:right w:val="single" w:sz="8" w:space="0" w:color="FFFFFF"/>
            </w:tcBorders>
            <w:shd w:val="clear" w:color="auto" w:fill="B8CCE4"/>
          </w:tcPr>
          <w:p w14:paraId="77425D06" w14:textId="77777777" w:rsidR="00B86FB3" w:rsidRPr="00FF756A" w:rsidRDefault="00B86FB3" w:rsidP="00B86FB3">
            <w:pPr>
              <w:jc w:val="right"/>
              <w:rPr>
                <w:rFonts w:eastAsia="Times New Roman"/>
                <w:color w:val="000000"/>
                <w:sz w:val="16"/>
                <w:szCs w:val="16"/>
              </w:rPr>
            </w:pPr>
            <w:r w:rsidRPr="00FF756A">
              <w:rPr>
                <w:sz w:val="16"/>
                <w:szCs w:val="16"/>
              </w:rPr>
              <w:t xml:space="preserve"> 107,8 </w:t>
            </w:r>
          </w:p>
        </w:tc>
      </w:tr>
      <w:tr w:rsidR="00B86FB3" w:rsidRPr="00FF756A" w14:paraId="121A7B27"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04C80C13" w14:textId="77777777" w:rsidR="00B86FB3" w:rsidRPr="00FF756A" w:rsidRDefault="00B86FB3" w:rsidP="00B86FB3">
            <w:pPr>
              <w:rPr>
                <w:rFonts w:eastAsia="Times New Roman"/>
                <w:b/>
                <w:bCs/>
                <w:color w:val="FFFFFF"/>
                <w:sz w:val="16"/>
                <w:szCs w:val="16"/>
              </w:rPr>
            </w:pPr>
            <w:r w:rsidRPr="00FF756A">
              <w:rPr>
                <w:b/>
                <w:bCs/>
                <w:color w:val="FFFFFF"/>
                <w:sz w:val="16"/>
                <w:szCs w:val="16"/>
              </w:rPr>
              <w:t>Totali</w:t>
            </w:r>
          </w:p>
        </w:tc>
        <w:tc>
          <w:tcPr>
            <w:tcW w:w="917" w:type="dxa"/>
            <w:tcBorders>
              <w:top w:val="nil"/>
              <w:left w:val="nil"/>
              <w:bottom w:val="single" w:sz="8" w:space="0" w:color="FFFFFF"/>
              <w:right w:val="single" w:sz="8" w:space="0" w:color="FFFFFF"/>
            </w:tcBorders>
            <w:shd w:val="clear" w:color="000000" w:fill="4F81BD"/>
            <w:noWrap/>
            <w:hideMark/>
          </w:tcPr>
          <w:p w14:paraId="0983F3B2"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1 361,2 </w:t>
            </w:r>
          </w:p>
        </w:tc>
        <w:tc>
          <w:tcPr>
            <w:tcW w:w="917" w:type="dxa"/>
            <w:tcBorders>
              <w:top w:val="nil"/>
              <w:left w:val="nil"/>
              <w:bottom w:val="single" w:sz="8" w:space="0" w:color="FFFFFF"/>
              <w:right w:val="single" w:sz="8" w:space="0" w:color="FFFFFF"/>
            </w:tcBorders>
            <w:shd w:val="clear" w:color="000000" w:fill="4F81BD"/>
            <w:noWrap/>
            <w:hideMark/>
          </w:tcPr>
          <w:p w14:paraId="2628AF62"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1 361,2 </w:t>
            </w:r>
          </w:p>
        </w:tc>
        <w:tc>
          <w:tcPr>
            <w:tcW w:w="917" w:type="dxa"/>
            <w:tcBorders>
              <w:top w:val="nil"/>
              <w:left w:val="nil"/>
              <w:bottom w:val="single" w:sz="8" w:space="0" w:color="FFFFFF"/>
              <w:right w:val="single" w:sz="8" w:space="0" w:color="FFFFFF"/>
            </w:tcBorders>
            <w:shd w:val="clear" w:color="000000" w:fill="4F81BD"/>
            <w:noWrap/>
            <w:hideMark/>
          </w:tcPr>
          <w:p w14:paraId="01DD1387"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1 361,2 </w:t>
            </w:r>
          </w:p>
        </w:tc>
        <w:tc>
          <w:tcPr>
            <w:tcW w:w="917" w:type="dxa"/>
            <w:tcBorders>
              <w:top w:val="nil"/>
              <w:left w:val="nil"/>
              <w:bottom w:val="single" w:sz="8" w:space="0" w:color="FFFFFF"/>
              <w:right w:val="single" w:sz="8" w:space="0" w:color="FFFFFF"/>
            </w:tcBorders>
            <w:shd w:val="clear" w:color="000000" w:fill="4F81BD"/>
            <w:noWrap/>
            <w:hideMark/>
          </w:tcPr>
          <w:p w14:paraId="1942DC1D"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1 388,0 </w:t>
            </w:r>
          </w:p>
        </w:tc>
        <w:tc>
          <w:tcPr>
            <w:tcW w:w="917" w:type="dxa"/>
            <w:tcBorders>
              <w:top w:val="nil"/>
              <w:left w:val="nil"/>
              <w:bottom w:val="single" w:sz="8" w:space="0" w:color="FFFFFF"/>
              <w:right w:val="single" w:sz="8" w:space="0" w:color="FFFFFF"/>
            </w:tcBorders>
            <w:shd w:val="clear" w:color="000000" w:fill="4F81BD"/>
            <w:noWrap/>
            <w:hideMark/>
          </w:tcPr>
          <w:p w14:paraId="3503159C"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1 360,2 </w:t>
            </w:r>
          </w:p>
        </w:tc>
        <w:tc>
          <w:tcPr>
            <w:tcW w:w="917" w:type="dxa"/>
            <w:tcBorders>
              <w:top w:val="nil"/>
              <w:left w:val="nil"/>
              <w:bottom w:val="single" w:sz="8" w:space="0" w:color="FFFFFF"/>
              <w:right w:val="single" w:sz="8" w:space="0" w:color="FFFFFF"/>
            </w:tcBorders>
            <w:shd w:val="clear" w:color="000000" w:fill="4F81BD"/>
            <w:noWrap/>
            <w:hideMark/>
          </w:tcPr>
          <w:p w14:paraId="5260E0AE"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1 290,7 </w:t>
            </w:r>
          </w:p>
        </w:tc>
        <w:tc>
          <w:tcPr>
            <w:tcW w:w="918" w:type="dxa"/>
            <w:tcBorders>
              <w:top w:val="nil"/>
              <w:left w:val="nil"/>
              <w:bottom w:val="single" w:sz="8" w:space="0" w:color="FFFFFF"/>
              <w:right w:val="single" w:sz="8" w:space="0" w:color="FFFFFF"/>
            </w:tcBorders>
            <w:shd w:val="clear" w:color="000000" w:fill="4F81BD"/>
            <w:noWrap/>
            <w:hideMark/>
          </w:tcPr>
          <w:p w14:paraId="69985956"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315,7 </w:t>
            </w:r>
          </w:p>
        </w:tc>
        <w:tc>
          <w:tcPr>
            <w:tcW w:w="918" w:type="dxa"/>
            <w:tcBorders>
              <w:top w:val="nil"/>
              <w:left w:val="nil"/>
              <w:bottom w:val="single" w:sz="8" w:space="0" w:color="FFFFFF"/>
              <w:right w:val="single" w:sz="8" w:space="0" w:color="FFFFFF"/>
            </w:tcBorders>
            <w:shd w:val="clear" w:color="000000" w:fill="4F81BD"/>
          </w:tcPr>
          <w:p w14:paraId="14A82830"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-658,9 </w:t>
            </w:r>
          </w:p>
        </w:tc>
      </w:tr>
      <w:tr w:rsidR="00B86FB3" w:rsidRPr="00FF756A" w14:paraId="3BD569D4" w14:textId="77777777" w:rsidTr="006A3266">
        <w:trPr>
          <w:trHeight w:val="293"/>
        </w:trPr>
        <w:tc>
          <w:tcPr>
            <w:tcW w:w="9170" w:type="dxa"/>
            <w:gridSpan w:val="9"/>
            <w:tcBorders>
              <w:top w:val="single" w:sz="8" w:space="0" w:color="FFFFFF"/>
              <w:left w:val="single" w:sz="8" w:space="0" w:color="FFFFFF"/>
              <w:bottom w:val="single" w:sz="8" w:space="0" w:color="FFFFFF"/>
              <w:right w:val="single" w:sz="8" w:space="0" w:color="FFFFFF"/>
            </w:tcBorders>
            <w:shd w:val="clear" w:color="000000" w:fill="4F81BD"/>
            <w:noWrap/>
            <w:vAlign w:val="center"/>
            <w:hideMark/>
          </w:tcPr>
          <w:p w14:paraId="1CF3461C" w14:textId="77777777" w:rsidR="00B86FB3" w:rsidRPr="00FF756A" w:rsidRDefault="00B86FB3" w:rsidP="00B86FB3">
            <w:pPr>
              <w:rPr>
                <w:rFonts w:eastAsia="Times New Roman"/>
                <w:b/>
                <w:bCs/>
                <w:color w:val="FFFFFF"/>
                <w:sz w:val="16"/>
                <w:szCs w:val="16"/>
              </w:rPr>
            </w:pPr>
            <w:r w:rsidRPr="00FF756A">
              <w:rPr>
                <w:b/>
                <w:bCs/>
                <w:color w:val="FFFFFF"/>
                <w:sz w:val="16"/>
                <w:szCs w:val="16"/>
              </w:rPr>
              <w:t>Mbetjet</w:t>
            </w:r>
          </w:p>
        </w:tc>
      </w:tr>
      <w:tr w:rsidR="00B86FB3" w:rsidRPr="00FF756A" w14:paraId="0D7815BE"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0549B2B3" w14:textId="77777777" w:rsidR="00B86FB3" w:rsidRPr="00FF756A" w:rsidRDefault="00B86FB3" w:rsidP="00B86FB3">
            <w:pPr>
              <w:rPr>
                <w:rFonts w:eastAsia="Times New Roman"/>
                <w:b/>
                <w:bCs/>
                <w:color w:val="FFFFFF"/>
                <w:sz w:val="16"/>
                <w:szCs w:val="16"/>
              </w:rPr>
            </w:pPr>
            <w:r w:rsidRPr="00FF756A">
              <w:rPr>
                <w:b/>
                <w:bCs/>
                <w:color w:val="FFFFFF"/>
                <w:sz w:val="16"/>
                <w:szCs w:val="16"/>
              </w:rPr>
              <w:t>CH</w:t>
            </w:r>
            <w:r w:rsidRPr="00FF756A">
              <w:rPr>
                <w:b/>
                <w:bCs/>
                <w:color w:val="FFFFFF"/>
                <w:sz w:val="16"/>
                <w:szCs w:val="16"/>
                <w:vertAlign w:val="subscript"/>
              </w:rPr>
              <w:t>4</w:t>
            </w:r>
            <w:r w:rsidRPr="00FF756A">
              <w:rPr>
                <w:b/>
                <w:bCs/>
                <w:color w:val="FFFFFF"/>
                <w:sz w:val="16"/>
                <w:szCs w:val="16"/>
              </w:rPr>
              <w:t xml:space="preserve"> nga mbetjet e ngurta</w:t>
            </w:r>
          </w:p>
        </w:tc>
        <w:tc>
          <w:tcPr>
            <w:tcW w:w="917" w:type="dxa"/>
            <w:tcBorders>
              <w:top w:val="nil"/>
              <w:left w:val="nil"/>
              <w:bottom w:val="single" w:sz="8" w:space="0" w:color="FFFFFF"/>
              <w:right w:val="single" w:sz="8" w:space="0" w:color="FFFFFF"/>
            </w:tcBorders>
            <w:shd w:val="clear" w:color="000000" w:fill="DBE5F1"/>
            <w:noWrap/>
            <w:hideMark/>
          </w:tcPr>
          <w:p w14:paraId="775937D8" w14:textId="77777777" w:rsidR="00B86FB3" w:rsidRPr="00FF756A" w:rsidRDefault="00B86FB3" w:rsidP="00B86FB3">
            <w:pPr>
              <w:jc w:val="right"/>
              <w:rPr>
                <w:rFonts w:eastAsia="Times New Roman"/>
                <w:color w:val="000000"/>
                <w:sz w:val="16"/>
                <w:szCs w:val="16"/>
              </w:rPr>
            </w:pPr>
            <w:r w:rsidRPr="00FF756A">
              <w:rPr>
                <w:sz w:val="16"/>
                <w:szCs w:val="16"/>
              </w:rPr>
              <w:t xml:space="preserve"> 1 166,8 </w:t>
            </w:r>
          </w:p>
        </w:tc>
        <w:tc>
          <w:tcPr>
            <w:tcW w:w="917" w:type="dxa"/>
            <w:tcBorders>
              <w:top w:val="nil"/>
              <w:left w:val="nil"/>
              <w:bottom w:val="single" w:sz="8" w:space="0" w:color="FFFFFF"/>
              <w:right w:val="single" w:sz="8" w:space="0" w:color="FFFFFF"/>
            </w:tcBorders>
            <w:shd w:val="clear" w:color="000000" w:fill="DBE5F1"/>
            <w:noWrap/>
            <w:hideMark/>
          </w:tcPr>
          <w:p w14:paraId="34C049DD" w14:textId="77777777" w:rsidR="00B86FB3" w:rsidRPr="00FF756A" w:rsidRDefault="00B86FB3" w:rsidP="00B86FB3">
            <w:pPr>
              <w:jc w:val="right"/>
              <w:rPr>
                <w:rFonts w:eastAsia="Times New Roman"/>
                <w:color w:val="000000"/>
                <w:sz w:val="16"/>
                <w:szCs w:val="16"/>
              </w:rPr>
            </w:pPr>
            <w:r w:rsidRPr="00FF756A">
              <w:rPr>
                <w:sz w:val="16"/>
                <w:szCs w:val="16"/>
              </w:rPr>
              <w:t xml:space="preserve"> 1 151,2 </w:t>
            </w:r>
          </w:p>
        </w:tc>
        <w:tc>
          <w:tcPr>
            <w:tcW w:w="917" w:type="dxa"/>
            <w:tcBorders>
              <w:top w:val="nil"/>
              <w:left w:val="nil"/>
              <w:bottom w:val="single" w:sz="8" w:space="0" w:color="FFFFFF"/>
              <w:right w:val="single" w:sz="8" w:space="0" w:color="FFFFFF"/>
            </w:tcBorders>
            <w:shd w:val="clear" w:color="000000" w:fill="DBE5F1"/>
            <w:noWrap/>
            <w:hideMark/>
          </w:tcPr>
          <w:p w14:paraId="4FDE6871" w14:textId="77777777" w:rsidR="00B86FB3" w:rsidRPr="00FF756A" w:rsidRDefault="00B86FB3" w:rsidP="00B86FB3">
            <w:pPr>
              <w:jc w:val="right"/>
              <w:rPr>
                <w:rFonts w:eastAsia="Times New Roman"/>
                <w:color w:val="000000"/>
                <w:sz w:val="16"/>
                <w:szCs w:val="16"/>
              </w:rPr>
            </w:pPr>
            <w:r w:rsidRPr="00FF756A">
              <w:rPr>
                <w:sz w:val="16"/>
                <w:szCs w:val="16"/>
              </w:rPr>
              <w:t xml:space="preserve"> 1 136,9 </w:t>
            </w:r>
          </w:p>
        </w:tc>
        <w:tc>
          <w:tcPr>
            <w:tcW w:w="917" w:type="dxa"/>
            <w:tcBorders>
              <w:top w:val="nil"/>
              <w:left w:val="nil"/>
              <w:bottom w:val="single" w:sz="8" w:space="0" w:color="FFFFFF"/>
              <w:right w:val="single" w:sz="8" w:space="0" w:color="FFFFFF"/>
            </w:tcBorders>
            <w:shd w:val="clear" w:color="000000" w:fill="DBE5F1"/>
            <w:noWrap/>
            <w:hideMark/>
          </w:tcPr>
          <w:p w14:paraId="2259A9FE" w14:textId="77777777" w:rsidR="00B86FB3" w:rsidRPr="00FF756A" w:rsidRDefault="00B86FB3" w:rsidP="00B86FB3">
            <w:pPr>
              <w:jc w:val="right"/>
              <w:rPr>
                <w:rFonts w:eastAsia="Times New Roman"/>
                <w:color w:val="000000"/>
                <w:sz w:val="16"/>
                <w:szCs w:val="16"/>
              </w:rPr>
            </w:pPr>
            <w:r w:rsidRPr="00FF756A">
              <w:rPr>
                <w:sz w:val="16"/>
                <w:szCs w:val="16"/>
              </w:rPr>
              <w:t xml:space="preserve"> 1 123,9 </w:t>
            </w:r>
          </w:p>
        </w:tc>
        <w:tc>
          <w:tcPr>
            <w:tcW w:w="917" w:type="dxa"/>
            <w:tcBorders>
              <w:top w:val="nil"/>
              <w:left w:val="nil"/>
              <w:bottom w:val="single" w:sz="8" w:space="0" w:color="FFFFFF"/>
              <w:right w:val="single" w:sz="8" w:space="0" w:color="FFFFFF"/>
            </w:tcBorders>
            <w:shd w:val="clear" w:color="000000" w:fill="DBE5F1"/>
            <w:noWrap/>
            <w:hideMark/>
          </w:tcPr>
          <w:p w14:paraId="64DB412D" w14:textId="77777777" w:rsidR="00B86FB3" w:rsidRPr="00FF756A" w:rsidRDefault="00B86FB3" w:rsidP="00B86FB3">
            <w:pPr>
              <w:jc w:val="right"/>
              <w:rPr>
                <w:rFonts w:eastAsia="Times New Roman"/>
                <w:color w:val="000000"/>
                <w:sz w:val="16"/>
                <w:szCs w:val="16"/>
              </w:rPr>
            </w:pPr>
            <w:r w:rsidRPr="00FF756A">
              <w:rPr>
                <w:sz w:val="16"/>
                <w:szCs w:val="16"/>
              </w:rPr>
              <w:t xml:space="preserve"> 1 097,4 </w:t>
            </w:r>
          </w:p>
        </w:tc>
        <w:tc>
          <w:tcPr>
            <w:tcW w:w="917" w:type="dxa"/>
            <w:tcBorders>
              <w:top w:val="nil"/>
              <w:left w:val="nil"/>
              <w:bottom w:val="single" w:sz="8" w:space="0" w:color="FFFFFF"/>
              <w:right w:val="single" w:sz="8" w:space="0" w:color="FFFFFF"/>
            </w:tcBorders>
            <w:shd w:val="clear" w:color="000000" w:fill="DBE5F1"/>
            <w:noWrap/>
            <w:hideMark/>
          </w:tcPr>
          <w:p w14:paraId="4A603543" w14:textId="77777777" w:rsidR="00B86FB3" w:rsidRPr="00FF756A" w:rsidRDefault="00B86FB3" w:rsidP="00B86FB3">
            <w:pPr>
              <w:jc w:val="right"/>
              <w:rPr>
                <w:rFonts w:eastAsia="Times New Roman"/>
                <w:color w:val="000000"/>
                <w:sz w:val="16"/>
                <w:szCs w:val="16"/>
              </w:rPr>
            </w:pPr>
            <w:r w:rsidRPr="00FF756A">
              <w:rPr>
                <w:sz w:val="16"/>
                <w:szCs w:val="16"/>
              </w:rPr>
              <w:t xml:space="preserve"> 925,3 </w:t>
            </w:r>
          </w:p>
        </w:tc>
        <w:tc>
          <w:tcPr>
            <w:tcW w:w="918" w:type="dxa"/>
            <w:tcBorders>
              <w:top w:val="nil"/>
              <w:left w:val="nil"/>
              <w:bottom w:val="single" w:sz="8" w:space="0" w:color="FFFFFF"/>
              <w:right w:val="single" w:sz="8" w:space="0" w:color="FFFFFF"/>
            </w:tcBorders>
            <w:shd w:val="clear" w:color="000000" w:fill="DBE5F1"/>
            <w:noWrap/>
            <w:hideMark/>
          </w:tcPr>
          <w:p w14:paraId="67E823FA" w14:textId="77777777" w:rsidR="00B86FB3" w:rsidRPr="00FF756A" w:rsidRDefault="00B86FB3" w:rsidP="00B86FB3">
            <w:pPr>
              <w:jc w:val="right"/>
              <w:rPr>
                <w:rFonts w:eastAsia="Times New Roman"/>
                <w:color w:val="000000"/>
                <w:sz w:val="16"/>
                <w:szCs w:val="16"/>
              </w:rPr>
            </w:pPr>
            <w:r w:rsidRPr="00FF756A">
              <w:rPr>
                <w:sz w:val="16"/>
                <w:szCs w:val="16"/>
              </w:rPr>
              <w:t xml:space="preserve"> 676,6 </w:t>
            </w:r>
          </w:p>
        </w:tc>
        <w:tc>
          <w:tcPr>
            <w:tcW w:w="918" w:type="dxa"/>
            <w:tcBorders>
              <w:top w:val="nil"/>
              <w:left w:val="nil"/>
              <w:bottom w:val="single" w:sz="8" w:space="0" w:color="FFFFFF"/>
              <w:right w:val="single" w:sz="8" w:space="0" w:color="FFFFFF"/>
            </w:tcBorders>
            <w:shd w:val="clear" w:color="000000" w:fill="DBE5F1"/>
          </w:tcPr>
          <w:p w14:paraId="4FB92974" w14:textId="77777777" w:rsidR="00B86FB3" w:rsidRPr="00FF756A" w:rsidRDefault="00B86FB3" w:rsidP="00B86FB3">
            <w:pPr>
              <w:jc w:val="right"/>
              <w:rPr>
                <w:rFonts w:eastAsia="Times New Roman"/>
                <w:color w:val="000000"/>
                <w:sz w:val="16"/>
                <w:szCs w:val="16"/>
              </w:rPr>
            </w:pPr>
            <w:r w:rsidRPr="00FF756A">
              <w:rPr>
                <w:sz w:val="16"/>
                <w:szCs w:val="16"/>
              </w:rPr>
              <w:t xml:space="preserve"> 550,6 </w:t>
            </w:r>
          </w:p>
        </w:tc>
      </w:tr>
      <w:tr w:rsidR="00B86FB3" w:rsidRPr="00FF756A" w14:paraId="20FF18F9"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52E6E241" w14:textId="77777777" w:rsidR="00B86FB3" w:rsidRPr="00FF756A" w:rsidRDefault="00B86FB3" w:rsidP="00B86FB3">
            <w:pPr>
              <w:rPr>
                <w:rFonts w:eastAsia="Times New Roman"/>
                <w:b/>
                <w:bCs/>
                <w:color w:val="FFFFFF"/>
                <w:sz w:val="16"/>
                <w:szCs w:val="16"/>
              </w:rPr>
            </w:pPr>
            <w:r w:rsidRPr="00FF756A">
              <w:rPr>
                <w:b/>
                <w:bCs/>
                <w:color w:val="FFFFFF"/>
                <w:sz w:val="16"/>
                <w:szCs w:val="16"/>
              </w:rPr>
              <w:t>CH</w:t>
            </w:r>
            <w:r w:rsidRPr="00FF756A">
              <w:rPr>
                <w:b/>
                <w:bCs/>
                <w:color w:val="FFFFFF"/>
                <w:sz w:val="16"/>
                <w:szCs w:val="16"/>
                <w:vertAlign w:val="subscript"/>
              </w:rPr>
              <w:t>4</w:t>
            </w:r>
            <w:r w:rsidRPr="00FF756A">
              <w:rPr>
                <w:b/>
                <w:bCs/>
                <w:color w:val="FFFFFF"/>
                <w:sz w:val="16"/>
                <w:szCs w:val="16"/>
              </w:rPr>
              <w:t xml:space="preserve"> nga ujërat e përdorura</w:t>
            </w:r>
          </w:p>
        </w:tc>
        <w:tc>
          <w:tcPr>
            <w:tcW w:w="917" w:type="dxa"/>
            <w:tcBorders>
              <w:top w:val="nil"/>
              <w:left w:val="nil"/>
              <w:bottom w:val="single" w:sz="8" w:space="0" w:color="FFFFFF"/>
              <w:right w:val="single" w:sz="8" w:space="0" w:color="FFFFFF"/>
            </w:tcBorders>
            <w:shd w:val="clear" w:color="000000" w:fill="B8CCE4"/>
            <w:noWrap/>
            <w:hideMark/>
          </w:tcPr>
          <w:p w14:paraId="7E82B558" w14:textId="77777777" w:rsidR="00B86FB3" w:rsidRPr="00FF756A" w:rsidRDefault="00B86FB3" w:rsidP="00B86FB3">
            <w:pPr>
              <w:jc w:val="right"/>
              <w:rPr>
                <w:rFonts w:eastAsia="Times New Roman"/>
                <w:color w:val="000000"/>
                <w:sz w:val="16"/>
                <w:szCs w:val="16"/>
              </w:rPr>
            </w:pPr>
            <w:r w:rsidRPr="00FF756A">
              <w:rPr>
                <w:sz w:val="16"/>
                <w:szCs w:val="16"/>
              </w:rPr>
              <w:t xml:space="preserve"> 107,5 </w:t>
            </w:r>
          </w:p>
        </w:tc>
        <w:tc>
          <w:tcPr>
            <w:tcW w:w="917" w:type="dxa"/>
            <w:tcBorders>
              <w:top w:val="nil"/>
              <w:left w:val="nil"/>
              <w:bottom w:val="single" w:sz="8" w:space="0" w:color="FFFFFF"/>
              <w:right w:val="single" w:sz="8" w:space="0" w:color="FFFFFF"/>
            </w:tcBorders>
            <w:shd w:val="clear" w:color="000000" w:fill="B8CCE4"/>
            <w:noWrap/>
            <w:hideMark/>
          </w:tcPr>
          <w:p w14:paraId="7773FA16" w14:textId="77777777" w:rsidR="00B86FB3" w:rsidRPr="00FF756A" w:rsidRDefault="00B86FB3" w:rsidP="00B86FB3">
            <w:pPr>
              <w:jc w:val="right"/>
              <w:rPr>
                <w:rFonts w:eastAsia="Times New Roman"/>
                <w:color w:val="000000"/>
                <w:sz w:val="16"/>
                <w:szCs w:val="16"/>
              </w:rPr>
            </w:pPr>
            <w:r w:rsidRPr="00FF756A">
              <w:rPr>
                <w:sz w:val="16"/>
                <w:szCs w:val="16"/>
              </w:rPr>
              <w:t xml:space="preserve"> 103,8 </w:t>
            </w:r>
          </w:p>
        </w:tc>
        <w:tc>
          <w:tcPr>
            <w:tcW w:w="917" w:type="dxa"/>
            <w:tcBorders>
              <w:top w:val="nil"/>
              <w:left w:val="nil"/>
              <w:bottom w:val="single" w:sz="8" w:space="0" w:color="FFFFFF"/>
              <w:right w:val="single" w:sz="8" w:space="0" w:color="FFFFFF"/>
            </w:tcBorders>
            <w:shd w:val="clear" w:color="000000" w:fill="B8CCE4"/>
            <w:noWrap/>
            <w:hideMark/>
          </w:tcPr>
          <w:p w14:paraId="374E076B" w14:textId="77777777" w:rsidR="00B86FB3" w:rsidRPr="00FF756A" w:rsidRDefault="00B86FB3" w:rsidP="00B86FB3">
            <w:pPr>
              <w:jc w:val="right"/>
              <w:rPr>
                <w:rFonts w:eastAsia="Times New Roman"/>
                <w:color w:val="000000"/>
                <w:sz w:val="16"/>
                <w:szCs w:val="16"/>
              </w:rPr>
            </w:pPr>
            <w:r w:rsidRPr="00FF756A">
              <w:rPr>
                <w:sz w:val="16"/>
                <w:szCs w:val="16"/>
              </w:rPr>
              <w:t xml:space="preserve"> 100,1 </w:t>
            </w:r>
          </w:p>
        </w:tc>
        <w:tc>
          <w:tcPr>
            <w:tcW w:w="917" w:type="dxa"/>
            <w:tcBorders>
              <w:top w:val="nil"/>
              <w:left w:val="nil"/>
              <w:bottom w:val="single" w:sz="8" w:space="0" w:color="FFFFFF"/>
              <w:right w:val="single" w:sz="8" w:space="0" w:color="FFFFFF"/>
            </w:tcBorders>
            <w:shd w:val="clear" w:color="000000" w:fill="B8CCE4"/>
            <w:noWrap/>
            <w:hideMark/>
          </w:tcPr>
          <w:p w14:paraId="477F5D3A" w14:textId="77777777" w:rsidR="00B86FB3" w:rsidRPr="00FF756A" w:rsidRDefault="00B86FB3" w:rsidP="00B86FB3">
            <w:pPr>
              <w:jc w:val="right"/>
              <w:rPr>
                <w:rFonts w:eastAsia="Times New Roman"/>
                <w:color w:val="000000"/>
                <w:sz w:val="16"/>
                <w:szCs w:val="16"/>
              </w:rPr>
            </w:pPr>
            <w:r w:rsidRPr="00FF756A">
              <w:rPr>
                <w:sz w:val="16"/>
                <w:szCs w:val="16"/>
              </w:rPr>
              <w:t xml:space="preserve"> 90,0 </w:t>
            </w:r>
          </w:p>
        </w:tc>
        <w:tc>
          <w:tcPr>
            <w:tcW w:w="917" w:type="dxa"/>
            <w:tcBorders>
              <w:top w:val="nil"/>
              <w:left w:val="nil"/>
              <w:bottom w:val="single" w:sz="8" w:space="0" w:color="FFFFFF"/>
              <w:right w:val="single" w:sz="8" w:space="0" w:color="FFFFFF"/>
            </w:tcBorders>
            <w:shd w:val="clear" w:color="000000" w:fill="B8CCE4"/>
            <w:noWrap/>
            <w:hideMark/>
          </w:tcPr>
          <w:p w14:paraId="7C284D3D" w14:textId="77777777" w:rsidR="00B86FB3" w:rsidRPr="00FF756A" w:rsidRDefault="00B86FB3" w:rsidP="00B86FB3">
            <w:pPr>
              <w:jc w:val="right"/>
              <w:rPr>
                <w:rFonts w:eastAsia="Times New Roman"/>
                <w:color w:val="000000"/>
                <w:sz w:val="16"/>
                <w:szCs w:val="16"/>
              </w:rPr>
            </w:pPr>
            <w:r w:rsidRPr="00FF756A">
              <w:rPr>
                <w:sz w:val="16"/>
                <w:szCs w:val="16"/>
              </w:rPr>
              <w:t xml:space="preserve"> 83,8 </w:t>
            </w:r>
          </w:p>
        </w:tc>
        <w:tc>
          <w:tcPr>
            <w:tcW w:w="917" w:type="dxa"/>
            <w:tcBorders>
              <w:top w:val="nil"/>
              <w:left w:val="nil"/>
              <w:bottom w:val="single" w:sz="8" w:space="0" w:color="FFFFFF"/>
              <w:right w:val="single" w:sz="8" w:space="0" w:color="FFFFFF"/>
            </w:tcBorders>
            <w:shd w:val="clear" w:color="000000" w:fill="B8CCE4"/>
            <w:noWrap/>
            <w:hideMark/>
          </w:tcPr>
          <w:p w14:paraId="31280ED4" w14:textId="77777777" w:rsidR="00B86FB3" w:rsidRPr="00FF756A" w:rsidRDefault="00B86FB3" w:rsidP="00B86FB3">
            <w:pPr>
              <w:jc w:val="right"/>
              <w:rPr>
                <w:rFonts w:eastAsia="Times New Roman"/>
                <w:color w:val="000000"/>
                <w:sz w:val="16"/>
                <w:szCs w:val="16"/>
              </w:rPr>
            </w:pPr>
            <w:r w:rsidRPr="00FF756A">
              <w:rPr>
                <w:sz w:val="16"/>
                <w:szCs w:val="16"/>
              </w:rPr>
              <w:t xml:space="preserve"> 58,0 </w:t>
            </w:r>
          </w:p>
        </w:tc>
        <w:tc>
          <w:tcPr>
            <w:tcW w:w="918" w:type="dxa"/>
            <w:tcBorders>
              <w:top w:val="nil"/>
              <w:left w:val="nil"/>
              <w:bottom w:val="single" w:sz="8" w:space="0" w:color="FFFFFF"/>
              <w:right w:val="single" w:sz="8" w:space="0" w:color="FFFFFF"/>
            </w:tcBorders>
            <w:shd w:val="clear" w:color="000000" w:fill="B8CCE4"/>
            <w:noWrap/>
            <w:hideMark/>
          </w:tcPr>
          <w:p w14:paraId="68CDA39E" w14:textId="77777777" w:rsidR="00B86FB3" w:rsidRPr="00FF756A" w:rsidRDefault="00B86FB3" w:rsidP="00B86FB3">
            <w:pPr>
              <w:jc w:val="right"/>
              <w:rPr>
                <w:rFonts w:eastAsia="Times New Roman"/>
                <w:color w:val="000000"/>
                <w:sz w:val="16"/>
                <w:szCs w:val="16"/>
              </w:rPr>
            </w:pPr>
            <w:r w:rsidRPr="00FF756A">
              <w:rPr>
                <w:sz w:val="16"/>
                <w:szCs w:val="16"/>
              </w:rPr>
              <w:t xml:space="preserve"> 27,3 </w:t>
            </w:r>
          </w:p>
        </w:tc>
        <w:tc>
          <w:tcPr>
            <w:tcW w:w="918" w:type="dxa"/>
            <w:tcBorders>
              <w:top w:val="nil"/>
              <w:left w:val="nil"/>
              <w:bottom w:val="single" w:sz="8" w:space="0" w:color="FFFFFF"/>
              <w:right w:val="single" w:sz="8" w:space="0" w:color="FFFFFF"/>
            </w:tcBorders>
            <w:shd w:val="clear" w:color="000000" w:fill="B8CCE4"/>
          </w:tcPr>
          <w:p w14:paraId="340AE4FA"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r>
      <w:tr w:rsidR="00B86FB3" w:rsidRPr="00FF756A" w14:paraId="0869A074"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756DCD3D" w14:textId="77777777" w:rsidR="00B86FB3" w:rsidRPr="00FF756A" w:rsidRDefault="00B86FB3" w:rsidP="00B86FB3">
            <w:pPr>
              <w:rPr>
                <w:rFonts w:eastAsia="Times New Roman"/>
                <w:b/>
                <w:bCs/>
                <w:color w:val="FFFFFF"/>
                <w:sz w:val="16"/>
                <w:szCs w:val="16"/>
              </w:rPr>
            </w:pPr>
            <w:r w:rsidRPr="00FF756A">
              <w:rPr>
                <w:b/>
                <w:bCs/>
                <w:color w:val="FFFFFF"/>
                <w:sz w:val="16"/>
                <w:szCs w:val="16"/>
              </w:rPr>
              <w:t>N</w:t>
            </w:r>
            <w:r w:rsidRPr="00FF756A">
              <w:rPr>
                <w:b/>
                <w:bCs/>
                <w:color w:val="FFFFFF"/>
                <w:sz w:val="16"/>
                <w:szCs w:val="16"/>
                <w:vertAlign w:val="subscript"/>
              </w:rPr>
              <w:t>2</w:t>
            </w:r>
            <w:r w:rsidRPr="00FF756A">
              <w:rPr>
                <w:b/>
                <w:bCs/>
                <w:color w:val="FFFFFF"/>
                <w:sz w:val="16"/>
                <w:szCs w:val="16"/>
              </w:rPr>
              <w:t>O nga ujërat e përdorura</w:t>
            </w:r>
          </w:p>
        </w:tc>
        <w:tc>
          <w:tcPr>
            <w:tcW w:w="917" w:type="dxa"/>
            <w:tcBorders>
              <w:top w:val="nil"/>
              <w:left w:val="nil"/>
              <w:bottom w:val="single" w:sz="8" w:space="0" w:color="FFFFFF"/>
              <w:right w:val="single" w:sz="8" w:space="0" w:color="FFFFFF"/>
            </w:tcBorders>
            <w:shd w:val="clear" w:color="000000" w:fill="DBE5F1"/>
            <w:noWrap/>
            <w:hideMark/>
          </w:tcPr>
          <w:p w14:paraId="106793A0" w14:textId="77777777" w:rsidR="00B86FB3" w:rsidRPr="00FF756A" w:rsidRDefault="00B86FB3" w:rsidP="00B86FB3">
            <w:pPr>
              <w:jc w:val="right"/>
              <w:rPr>
                <w:rFonts w:eastAsia="Times New Roman"/>
                <w:color w:val="000000"/>
                <w:sz w:val="16"/>
                <w:szCs w:val="16"/>
              </w:rPr>
            </w:pPr>
            <w:r w:rsidRPr="00FF756A">
              <w:rPr>
                <w:sz w:val="16"/>
                <w:szCs w:val="16"/>
              </w:rPr>
              <w:t xml:space="preserve"> 62,5 </w:t>
            </w:r>
          </w:p>
        </w:tc>
        <w:tc>
          <w:tcPr>
            <w:tcW w:w="917" w:type="dxa"/>
            <w:tcBorders>
              <w:top w:val="nil"/>
              <w:left w:val="nil"/>
              <w:bottom w:val="single" w:sz="8" w:space="0" w:color="FFFFFF"/>
              <w:right w:val="single" w:sz="8" w:space="0" w:color="FFFFFF"/>
            </w:tcBorders>
            <w:shd w:val="clear" w:color="000000" w:fill="DBE5F1"/>
            <w:noWrap/>
            <w:hideMark/>
          </w:tcPr>
          <w:p w14:paraId="70971B57" w14:textId="77777777" w:rsidR="00B86FB3" w:rsidRPr="00FF756A" w:rsidRDefault="00B86FB3" w:rsidP="00B86FB3">
            <w:pPr>
              <w:jc w:val="right"/>
              <w:rPr>
                <w:rFonts w:eastAsia="Times New Roman"/>
                <w:color w:val="000000"/>
                <w:sz w:val="16"/>
                <w:szCs w:val="16"/>
              </w:rPr>
            </w:pPr>
            <w:r w:rsidRPr="00FF756A">
              <w:rPr>
                <w:sz w:val="16"/>
                <w:szCs w:val="16"/>
              </w:rPr>
              <w:t xml:space="preserve"> 60,3 </w:t>
            </w:r>
          </w:p>
        </w:tc>
        <w:tc>
          <w:tcPr>
            <w:tcW w:w="917" w:type="dxa"/>
            <w:tcBorders>
              <w:top w:val="nil"/>
              <w:left w:val="nil"/>
              <w:bottom w:val="single" w:sz="8" w:space="0" w:color="FFFFFF"/>
              <w:right w:val="single" w:sz="8" w:space="0" w:color="FFFFFF"/>
            </w:tcBorders>
            <w:shd w:val="clear" w:color="000000" w:fill="DBE5F1"/>
            <w:noWrap/>
            <w:hideMark/>
          </w:tcPr>
          <w:p w14:paraId="7000DDFA" w14:textId="77777777" w:rsidR="00B86FB3" w:rsidRPr="00FF756A" w:rsidRDefault="00B86FB3" w:rsidP="00B86FB3">
            <w:pPr>
              <w:jc w:val="right"/>
              <w:rPr>
                <w:rFonts w:eastAsia="Times New Roman"/>
                <w:color w:val="000000"/>
                <w:sz w:val="16"/>
                <w:szCs w:val="16"/>
              </w:rPr>
            </w:pPr>
            <w:r w:rsidRPr="00FF756A">
              <w:rPr>
                <w:sz w:val="16"/>
                <w:szCs w:val="16"/>
              </w:rPr>
              <w:t xml:space="preserve"> 58,2 </w:t>
            </w:r>
          </w:p>
        </w:tc>
        <w:tc>
          <w:tcPr>
            <w:tcW w:w="917" w:type="dxa"/>
            <w:tcBorders>
              <w:top w:val="nil"/>
              <w:left w:val="nil"/>
              <w:bottom w:val="single" w:sz="8" w:space="0" w:color="FFFFFF"/>
              <w:right w:val="single" w:sz="8" w:space="0" w:color="FFFFFF"/>
            </w:tcBorders>
            <w:shd w:val="clear" w:color="000000" w:fill="DBE5F1"/>
            <w:noWrap/>
            <w:hideMark/>
          </w:tcPr>
          <w:p w14:paraId="6C50A5F2" w14:textId="77777777" w:rsidR="00B86FB3" w:rsidRPr="00FF756A" w:rsidRDefault="00B86FB3" w:rsidP="00B86FB3">
            <w:pPr>
              <w:jc w:val="right"/>
              <w:rPr>
                <w:rFonts w:eastAsia="Times New Roman"/>
                <w:color w:val="000000"/>
                <w:sz w:val="16"/>
                <w:szCs w:val="16"/>
              </w:rPr>
            </w:pPr>
            <w:r w:rsidRPr="00FF756A">
              <w:rPr>
                <w:sz w:val="16"/>
                <w:szCs w:val="16"/>
              </w:rPr>
              <w:t xml:space="preserve"> 56,0 </w:t>
            </w:r>
          </w:p>
        </w:tc>
        <w:tc>
          <w:tcPr>
            <w:tcW w:w="917" w:type="dxa"/>
            <w:tcBorders>
              <w:top w:val="nil"/>
              <w:left w:val="nil"/>
              <w:bottom w:val="single" w:sz="8" w:space="0" w:color="FFFFFF"/>
              <w:right w:val="single" w:sz="8" w:space="0" w:color="FFFFFF"/>
            </w:tcBorders>
            <w:shd w:val="clear" w:color="000000" w:fill="DBE5F1"/>
            <w:noWrap/>
            <w:hideMark/>
          </w:tcPr>
          <w:p w14:paraId="6CFB24EE" w14:textId="77777777" w:rsidR="00B86FB3" w:rsidRPr="00FF756A" w:rsidRDefault="00B86FB3" w:rsidP="00B86FB3">
            <w:pPr>
              <w:jc w:val="right"/>
              <w:rPr>
                <w:rFonts w:eastAsia="Times New Roman"/>
                <w:color w:val="000000"/>
                <w:sz w:val="16"/>
                <w:szCs w:val="16"/>
              </w:rPr>
            </w:pPr>
            <w:r w:rsidRPr="00FF756A">
              <w:rPr>
                <w:sz w:val="16"/>
                <w:szCs w:val="16"/>
              </w:rPr>
              <w:t xml:space="preserve"> 55,6 </w:t>
            </w:r>
          </w:p>
        </w:tc>
        <w:tc>
          <w:tcPr>
            <w:tcW w:w="917" w:type="dxa"/>
            <w:tcBorders>
              <w:top w:val="nil"/>
              <w:left w:val="nil"/>
              <w:bottom w:val="single" w:sz="8" w:space="0" w:color="FFFFFF"/>
              <w:right w:val="single" w:sz="8" w:space="0" w:color="FFFFFF"/>
            </w:tcBorders>
            <w:shd w:val="clear" w:color="000000" w:fill="DBE5F1"/>
            <w:noWrap/>
            <w:hideMark/>
          </w:tcPr>
          <w:p w14:paraId="79C4AD94" w14:textId="77777777" w:rsidR="00B86FB3" w:rsidRPr="00FF756A" w:rsidRDefault="00B86FB3" w:rsidP="00B86FB3">
            <w:pPr>
              <w:jc w:val="right"/>
              <w:rPr>
                <w:rFonts w:eastAsia="Times New Roman"/>
                <w:color w:val="000000"/>
                <w:sz w:val="16"/>
                <w:szCs w:val="16"/>
              </w:rPr>
            </w:pPr>
            <w:r w:rsidRPr="00FF756A">
              <w:rPr>
                <w:sz w:val="16"/>
                <w:szCs w:val="16"/>
              </w:rPr>
              <w:t xml:space="preserve"> 54,5 </w:t>
            </w:r>
          </w:p>
        </w:tc>
        <w:tc>
          <w:tcPr>
            <w:tcW w:w="918" w:type="dxa"/>
            <w:tcBorders>
              <w:top w:val="nil"/>
              <w:left w:val="nil"/>
              <w:bottom w:val="single" w:sz="8" w:space="0" w:color="FFFFFF"/>
              <w:right w:val="single" w:sz="8" w:space="0" w:color="FFFFFF"/>
            </w:tcBorders>
            <w:shd w:val="clear" w:color="000000" w:fill="DBE5F1"/>
            <w:noWrap/>
            <w:hideMark/>
          </w:tcPr>
          <w:p w14:paraId="0943EEFF" w14:textId="77777777" w:rsidR="00B86FB3" w:rsidRPr="00FF756A" w:rsidRDefault="00B86FB3" w:rsidP="00B86FB3">
            <w:pPr>
              <w:jc w:val="right"/>
              <w:rPr>
                <w:rFonts w:eastAsia="Times New Roman"/>
                <w:color w:val="000000"/>
                <w:sz w:val="16"/>
                <w:szCs w:val="16"/>
              </w:rPr>
            </w:pPr>
            <w:r w:rsidRPr="00FF756A">
              <w:rPr>
                <w:sz w:val="16"/>
                <w:szCs w:val="16"/>
              </w:rPr>
              <w:t xml:space="preserve"> 51,4 </w:t>
            </w:r>
          </w:p>
        </w:tc>
        <w:tc>
          <w:tcPr>
            <w:tcW w:w="918" w:type="dxa"/>
            <w:tcBorders>
              <w:top w:val="nil"/>
              <w:left w:val="nil"/>
              <w:bottom w:val="single" w:sz="8" w:space="0" w:color="FFFFFF"/>
              <w:right w:val="single" w:sz="8" w:space="0" w:color="FFFFFF"/>
            </w:tcBorders>
            <w:shd w:val="clear" w:color="000000" w:fill="DBE5F1"/>
          </w:tcPr>
          <w:p w14:paraId="0E34533A" w14:textId="77777777" w:rsidR="00B86FB3" w:rsidRPr="00FF756A" w:rsidRDefault="00B86FB3" w:rsidP="00B86FB3">
            <w:pPr>
              <w:jc w:val="right"/>
              <w:rPr>
                <w:rFonts w:eastAsia="Times New Roman"/>
                <w:color w:val="000000"/>
                <w:sz w:val="16"/>
                <w:szCs w:val="16"/>
              </w:rPr>
            </w:pPr>
            <w:r w:rsidRPr="00FF756A">
              <w:rPr>
                <w:sz w:val="16"/>
                <w:szCs w:val="16"/>
              </w:rPr>
              <w:t xml:space="preserve"> 47,6 </w:t>
            </w:r>
          </w:p>
        </w:tc>
      </w:tr>
      <w:tr w:rsidR="00B86FB3" w:rsidRPr="00FF756A" w14:paraId="15BFD5DE"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573D4773" w14:textId="77777777" w:rsidR="00B86FB3" w:rsidRPr="00FF756A" w:rsidRDefault="00B86FB3" w:rsidP="00B86FB3">
            <w:pPr>
              <w:rPr>
                <w:rFonts w:eastAsia="Times New Roman"/>
                <w:b/>
                <w:bCs/>
                <w:color w:val="FFFFFF"/>
                <w:sz w:val="16"/>
                <w:szCs w:val="16"/>
              </w:rPr>
            </w:pPr>
            <w:r w:rsidRPr="00FF756A">
              <w:rPr>
                <w:b/>
                <w:bCs/>
                <w:color w:val="FFFFFF"/>
                <w:sz w:val="16"/>
                <w:szCs w:val="16"/>
              </w:rPr>
              <w:t>CH</w:t>
            </w:r>
            <w:r w:rsidRPr="00FF756A">
              <w:rPr>
                <w:b/>
                <w:bCs/>
                <w:color w:val="FFFFFF"/>
                <w:sz w:val="16"/>
                <w:szCs w:val="16"/>
                <w:vertAlign w:val="subscript"/>
              </w:rPr>
              <w:t>4</w:t>
            </w:r>
            <w:r w:rsidRPr="00FF756A">
              <w:rPr>
                <w:b/>
                <w:bCs/>
                <w:color w:val="FFFFFF"/>
                <w:sz w:val="16"/>
                <w:szCs w:val="16"/>
              </w:rPr>
              <w:t xml:space="preserve"> nga djegia</w:t>
            </w:r>
          </w:p>
        </w:tc>
        <w:tc>
          <w:tcPr>
            <w:tcW w:w="917" w:type="dxa"/>
            <w:tcBorders>
              <w:top w:val="nil"/>
              <w:left w:val="nil"/>
              <w:bottom w:val="single" w:sz="8" w:space="0" w:color="FFFFFF"/>
              <w:right w:val="single" w:sz="8" w:space="0" w:color="FFFFFF"/>
            </w:tcBorders>
            <w:shd w:val="clear" w:color="000000" w:fill="B8CCE4"/>
            <w:noWrap/>
            <w:hideMark/>
          </w:tcPr>
          <w:p w14:paraId="64EAE14A"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B8CCE4"/>
            <w:noWrap/>
            <w:hideMark/>
          </w:tcPr>
          <w:p w14:paraId="21D1BDE9"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B8CCE4"/>
            <w:noWrap/>
            <w:hideMark/>
          </w:tcPr>
          <w:p w14:paraId="066F47F3"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B8CCE4"/>
            <w:noWrap/>
            <w:hideMark/>
          </w:tcPr>
          <w:p w14:paraId="7627E082"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B8CCE4"/>
            <w:noWrap/>
            <w:hideMark/>
          </w:tcPr>
          <w:p w14:paraId="72DCD402"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B8CCE4"/>
            <w:noWrap/>
            <w:hideMark/>
          </w:tcPr>
          <w:p w14:paraId="1CBE4970"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8" w:type="dxa"/>
            <w:tcBorders>
              <w:top w:val="nil"/>
              <w:left w:val="nil"/>
              <w:bottom w:val="single" w:sz="8" w:space="0" w:color="FFFFFF"/>
              <w:right w:val="single" w:sz="8" w:space="0" w:color="FFFFFF"/>
            </w:tcBorders>
            <w:shd w:val="clear" w:color="000000" w:fill="B8CCE4"/>
            <w:noWrap/>
            <w:hideMark/>
          </w:tcPr>
          <w:p w14:paraId="4B141924"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8" w:type="dxa"/>
            <w:tcBorders>
              <w:top w:val="nil"/>
              <w:left w:val="nil"/>
              <w:bottom w:val="single" w:sz="8" w:space="0" w:color="FFFFFF"/>
              <w:right w:val="single" w:sz="8" w:space="0" w:color="FFFFFF"/>
            </w:tcBorders>
            <w:shd w:val="clear" w:color="000000" w:fill="B8CCE4"/>
          </w:tcPr>
          <w:p w14:paraId="5D15508B"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r>
      <w:tr w:rsidR="00B86FB3" w:rsidRPr="00FF756A" w14:paraId="2223971E"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7B7C524D" w14:textId="77777777" w:rsidR="00B86FB3" w:rsidRPr="00FF756A" w:rsidRDefault="00B86FB3" w:rsidP="00B86FB3">
            <w:pPr>
              <w:rPr>
                <w:rFonts w:eastAsia="Times New Roman"/>
                <w:b/>
                <w:bCs/>
                <w:color w:val="FFFFFF"/>
                <w:sz w:val="16"/>
                <w:szCs w:val="16"/>
              </w:rPr>
            </w:pPr>
            <w:r w:rsidRPr="00FF756A">
              <w:rPr>
                <w:b/>
                <w:bCs/>
                <w:color w:val="FFFFFF"/>
                <w:sz w:val="16"/>
                <w:szCs w:val="16"/>
              </w:rPr>
              <w:t>N</w:t>
            </w:r>
            <w:r w:rsidRPr="00FF756A">
              <w:rPr>
                <w:b/>
                <w:bCs/>
                <w:color w:val="FFFFFF"/>
                <w:sz w:val="16"/>
                <w:szCs w:val="16"/>
                <w:vertAlign w:val="subscript"/>
              </w:rPr>
              <w:t>2</w:t>
            </w:r>
            <w:r w:rsidRPr="00FF756A">
              <w:rPr>
                <w:b/>
                <w:bCs/>
                <w:color w:val="FFFFFF"/>
                <w:sz w:val="16"/>
                <w:szCs w:val="16"/>
              </w:rPr>
              <w:t>O nga djegia</w:t>
            </w:r>
          </w:p>
        </w:tc>
        <w:tc>
          <w:tcPr>
            <w:tcW w:w="917" w:type="dxa"/>
            <w:tcBorders>
              <w:top w:val="nil"/>
              <w:left w:val="nil"/>
              <w:bottom w:val="single" w:sz="8" w:space="0" w:color="FFFFFF"/>
              <w:right w:val="single" w:sz="8" w:space="0" w:color="FFFFFF"/>
            </w:tcBorders>
            <w:shd w:val="clear" w:color="000000" w:fill="DBE5F1"/>
            <w:noWrap/>
            <w:hideMark/>
          </w:tcPr>
          <w:p w14:paraId="6B6E5E10"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DBE5F1"/>
            <w:noWrap/>
            <w:hideMark/>
          </w:tcPr>
          <w:p w14:paraId="041B8307"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DBE5F1"/>
            <w:noWrap/>
            <w:hideMark/>
          </w:tcPr>
          <w:p w14:paraId="2E7E56B8"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DBE5F1"/>
            <w:noWrap/>
            <w:hideMark/>
          </w:tcPr>
          <w:p w14:paraId="3FD1AD02"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DBE5F1"/>
            <w:noWrap/>
            <w:hideMark/>
          </w:tcPr>
          <w:p w14:paraId="69E6E93C"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7" w:type="dxa"/>
            <w:tcBorders>
              <w:top w:val="nil"/>
              <w:left w:val="nil"/>
              <w:bottom w:val="single" w:sz="8" w:space="0" w:color="FFFFFF"/>
              <w:right w:val="single" w:sz="8" w:space="0" w:color="FFFFFF"/>
            </w:tcBorders>
            <w:shd w:val="clear" w:color="000000" w:fill="DBE5F1"/>
            <w:noWrap/>
            <w:hideMark/>
          </w:tcPr>
          <w:p w14:paraId="5A8E95E3" w14:textId="77777777" w:rsidR="00B86FB3" w:rsidRPr="00FF756A" w:rsidRDefault="00B86FB3" w:rsidP="00B86FB3">
            <w:pPr>
              <w:jc w:val="right"/>
              <w:rPr>
                <w:rFonts w:eastAsia="Times New Roman"/>
                <w:color w:val="000000"/>
                <w:sz w:val="16"/>
                <w:szCs w:val="16"/>
              </w:rPr>
            </w:pPr>
            <w:r w:rsidRPr="00FF756A">
              <w:rPr>
                <w:sz w:val="16"/>
                <w:szCs w:val="16"/>
              </w:rPr>
              <w:t xml:space="preserve"> 0,0 </w:t>
            </w:r>
          </w:p>
        </w:tc>
        <w:tc>
          <w:tcPr>
            <w:tcW w:w="918" w:type="dxa"/>
            <w:tcBorders>
              <w:top w:val="nil"/>
              <w:left w:val="nil"/>
              <w:bottom w:val="single" w:sz="8" w:space="0" w:color="FFFFFF"/>
              <w:right w:val="single" w:sz="8" w:space="0" w:color="FFFFFF"/>
            </w:tcBorders>
            <w:shd w:val="clear" w:color="000000" w:fill="DBE5F1"/>
            <w:noWrap/>
            <w:hideMark/>
          </w:tcPr>
          <w:p w14:paraId="2B18FF4E"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c>
          <w:tcPr>
            <w:tcW w:w="918" w:type="dxa"/>
            <w:tcBorders>
              <w:top w:val="nil"/>
              <w:left w:val="nil"/>
              <w:bottom w:val="single" w:sz="8" w:space="0" w:color="FFFFFF"/>
              <w:right w:val="single" w:sz="8" w:space="0" w:color="FFFFFF"/>
            </w:tcBorders>
            <w:shd w:val="clear" w:color="000000" w:fill="DBE5F1"/>
          </w:tcPr>
          <w:p w14:paraId="79072501" w14:textId="77777777" w:rsidR="00B86FB3" w:rsidRPr="00FF756A" w:rsidRDefault="00B86FB3" w:rsidP="00B86FB3">
            <w:pPr>
              <w:jc w:val="right"/>
              <w:rPr>
                <w:rFonts w:eastAsia="Times New Roman"/>
                <w:color w:val="000000"/>
                <w:sz w:val="16"/>
                <w:szCs w:val="16"/>
              </w:rPr>
            </w:pPr>
            <w:r w:rsidRPr="00FF756A">
              <w:rPr>
                <w:sz w:val="16"/>
                <w:szCs w:val="16"/>
              </w:rPr>
              <w:t xml:space="preserve"> -   </w:t>
            </w:r>
          </w:p>
        </w:tc>
      </w:tr>
      <w:tr w:rsidR="00B86FB3" w:rsidRPr="00FF756A" w14:paraId="0A7BA61F" w14:textId="77777777" w:rsidTr="006A3266">
        <w:trPr>
          <w:trHeight w:val="293"/>
        </w:trPr>
        <w:tc>
          <w:tcPr>
            <w:tcW w:w="1832" w:type="dxa"/>
            <w:tcBorders>
              <w:top w:val="nil"/>
              <w:left w:val="single" w:sz="8" w:space="0" w:color="FFFFFF"/>
              <w:bottom w:val="single" w:sz="8" w:space="0" w:color="FFFFFF"/>
              <w:right w:val="single" w:sz="8" w:space="0" w:color="FFFFFF"/>
            </w:tcBorders>
            <w:shd w:val="clear" w:color="000000" w:fill="4F81BD"/>
            <w:noWrap/>
            <w:vAlign w:val="center"/>
            <w:hideMark/>
          </w:tcPr>
          <w:p w14:paraId="4A692833" w14:textId="77777777" w:rsidR="00B86FB3" w:rsidRPr="00FF756A" w:rsidRDefault="00B86FB3" w:rsidP="00B86FB3">
            <w:pPr>
              <w:rPr>
                <w:rFonts w:eastAsia="Times New Roman"/>
                <w:b/>
                <w:bCs/>
                <w:color w:val="FFFFFF"/>
                <w:sz w:val="16"/>
                <w:szCs w:val="16"/>
              </w:rPr>
            </w:pPr>
            <w:r w:rsidRPr="00FF756A">
              <w:rPr>
                <w:b/>
                <w:bCs/>
                <w:color w:val="FFFFFF"/>
                <w:sz w:val="16"/>
                <w:szCs w:val="16"/>
              </w:rPr>
              <w:t>Totali</w:t>
            </w:r>
          </w:p>
        </w:tc>
        <w:tc>
          <w:tcPr>
            <w:tcW w:w="917" w:type="dxa"/>
            <w:tcBorders>
              <w:top w:val="nil"/>
              <w:left w:val="nil"/>
              <w:bottom w:val="single" w:sz="8" w:space="0" w:color="FFFFFF"/>
              <w:right w:val="single" w:sz="8" w:space="0" w:color="FFFFFF"/>
            </w:tcBorders>
            <w:shd w:val="clear" w:color="000000" w:fill="4F81BD"/>
            <w:noWrap/>
            <w:hideMark/>
          </w:tcPr>
          <w:p w14:paraId="3F37FF40"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1 336,9 </w:t>
            </w:r>
          </w:p>
        </w:tc>
        <w:tc>
          <w:tcPr>
            <w:tcW w:w="917" w:type="dxa"/>
            <w:tcBorders>
              <w:top w:val="nil"/>
              <w:left w:val="nil"/>
              <w:bottom w:val="single" w:sz="8" w:space="0" w:color="FFFFFF"/>
              <w:right w:val="single" w:sz="8" w:space="0" w:color="FFFFFF"/>
            </w:tcBorders>
            <w:shd w:val="clear" w:color="000000" w:fill="4F81BD"/>
            <w:noWrap/>
            <w:hideMark/>
          </w:tcPr>
          <w:p w14:paraId="6248021B"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1 315,4 </w:t>
            </w:r>
          </w:p>
        </w:tc>
        <w:tc>
          <w:tcPr>
            <w:tcW w:w="917" w:type="dxa"/>
            <w:tcBorders>
              <w:top w:val="nil"/>
              <w:left w:val="nil"/>
              <w:bottom w:val="single" w:sz="8" w:space="0" w:color="FFFFFF"/>
              <w:right w:val="single" w:sz="8" w:space="0" w:color="FFFFFF"/>
            </w:tcBorders>
            <w:shd w:val="clear" w:color="000000" w:fill="4F81BD"/>
            <w:noWrap/>
            <w:hideMark/>
          </w:tcPr>
          <w:p w14:paraId="7F85A710"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1 295,2 </w:t>
            </w:r>
          </w:p>
        </w:tc>
        <w:tc>
          <w:tcPr>
            <w:tcW w:w="917" w:type="dxa"/>
            <w:tcBorders>
              <w:top w:val="nil"/>
              <w:left w:val="nil"/>
              <w:bottom w:val="single" w:sz="8" w:space="0" w:color="FFFFFF"/>
              <w:right w:val="single" w:sz="8" w:space="0" w:color="FFFFFF"/>
            </w:tcBorders>
            <w:shd w:val="clear" w:color="000000" w:fill="4F81BD"/>
            <w:noWrap/>
            <w:hideMark/>
          </w:tcPr>
          <w:p w14:paraId="4567082C"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1 269,9 </w:t>
            </w:r>
          </w:p>
        </w:tc>
        <w:tc>
          <w:tcPr>
            <w:tcW w:w="917" w:type="dxa"/>
            <w:tcBorders>
              <w:top w:val="nil"/>
              <w:left w:val="nil"/>
              <w:bottom w:val="single" w:sz="8" w:space="0" w:color="FFFFFF"/>
              <w:right w:val="single" w:sz="8" w:space="0" w:color="FFFFFF"/>
            </w:tcBorders>
            <w:shd w:val="clear" w:color="000000" w:fill="4F81BD"/>
            <w:noWrap/>
            <w:hideMark/>
          </w:tcPr>
          <w:p w14:paraId="1CB16776"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1 236,9 </w:t>
            </w:r>
          </w:p>
        </w:tc>
        <w:tc>
          <w:tcPr>
            <w:tcW w:w="917" w:type="dxa"/>
            <w:tcBorders>
              <w:top w:val="nil"/>
              <w:left w:val="nil"/>
              <w:bottom w:val="single" w:sz="8" w:space="0" w:color="FFFFFF"/>
              <w:right w:val="single" w:sz="8" w:space="0" w:color="FFFFFF"/>
            </w:tcBorders>
            <w:shd w:val="clear" w:color="000000" w:fill="4F81BD"/>
            <w:noWrap/>
            <w:hideMark/>
          </w:tcPr>
          <w:p w14:paraId="5CDAEDC9"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1 037,8 </w:t>
            </w:r>
          </w:p>
        </w:tc>
        <w:tc>
          <w:tcPr>
            <w:tcW w:w="918" w:type="dxa"/>
            <w:tcBorders>
              <w:top w:val="nil"/>
              <w:left w:val="nil"/>
              <w:bottom w:val="single" w:sz="8" w:space="0" w:color="FFFFFF"/>
              <w:right w:val="single" w:sz="8" w:space="0" w:color="FFFFFF"/>
            </w:tcBorders>
            <w:shd w:val="clear" w:color="000000" w:fill="4F81BD"/>
            <w:noWrap/>
            <w:hideMark/>
          </w:tcPr>
          <w:p w14:paraId="55E122A4" w14:textId="77777777" w:rsidR="00B86FB3" w:rsidRPr="00FF756A" w:rsidRDefault="00B86FB3" w:rsidP="00B86FB3">
            <w:pPr>
              <w:jc w:val="right"/>
              <w:rPr>
                <w:rFonts w:eastAsia="Times New Roman"/>
                <w:color w:val="FFFFFF" w:themeColor="background1"/>
                <w:sz w:val="16"/>
                <w:szCs w:val="16"/>
              </w:rPr>
            </w:pPr>
            <w:r w:rsidRPr="00FF756A">
              <w:rPr>
                <w:color w:val="FFFFFF" w:themeColor="background1"/>
                <w:sz w:val="16"/>
                <w:szCs w:val="16"/>
              </w:rPr>
              <w:t xml:space="preserve"> 755,3 </w:t>
            </w:r>
          </w:p>
        </w:tc>
        <w:tc>
          <w:tcPr>
            <w:tcW w:w="918" w:type="dxa"/>
            <w:tcBorders>
              <w:top w:val="nil"/>
              <w:left w:val="nil"/>
              <w:bottom w:val="single" w:sz="8" w:space="0" w:color="FFFFFF"/>
              <w:right w:val="single" w:sz="8" w:space="0" w:color="FFFFFF"/>
            </w:tcBorders>
            <w:shd w:val="clear" w:color="000000" w:fill="4F81BD"/>
          </w:tcPr>
          <w:p w14:paraId="38FAD9A0" w14:textId="77777777" w:rsidR="00B86FB3" w:rsidRPr="00FF756A" w:rsidRDefault="00B86FB3" w:rsidP="0013201C">
            <w:pPr>
              <w:keepNext/>
              <w:jc w:val="right"/>
              <w:rPr>
                <w:rFonts w:eastAsia="Times New Roman"/>
                <w:color w:val="FFFFFF" w:themeColor="background1"/>
                <w:sz w:val="16"/>
                <w:szCs w:val="16"/>
              </w:rPr>
            </w:pPr>
            <w:r w:rsidRPr="00FF756A">
              <w:rPr>
                <w:color w:val="FFFFFF" w:themeColor="background1"/>
                <w:sz w:val="16"/>
                <w:szCs w:val="16"/>
              </w:rPr>
              <w:t xml:space="preserve"> 598,2 </w:t>
            </w:r>
          </w:p>
        </w:tc>
      </w:tr>
    </w:tbl>
    <w:p w14:paraId="617FD9F6" w14:textId="3A4DA69E" w:rsidR="00B86FB3" w:rsidRPr="00FF756A" w:rsidRDefault="0013201C" w:rsidP="0013201C">
      <w:pPr>
        <w:pStyle w:val="Caption"/>
        <w:rPr>
          <w:rFonts w:ascii="Times New Roman" w:hAnsi="Times New Roman"/>
        </w:rPr>
      </w:pPr>
      <w:bookmarkStart w:id="697" w:name="_Toc183016515"/>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51</w:t>
      </w:r>
      <w:r w:rsidR="008E7DE9" w:rsidRPr="00FF756A">
        <w:rPr>
          <w:rFonts w:ascii="Times New Roman" w:hAnsi="Times New Roman"/>
          <w:noProof/>
        </w:rPr>
        <w:fldChar w:fldCharType="end"/>
      </w:r>
      <w:r w:rsidRPr="00FF756A">
        <w:rPr>
          <w:rFonts w:ascii="Times New Roman" w:hAnsi="Times New Roman"/>
        </w:rPr>
        <w:t>: Shkarkimet e GES-ve (kt CO2eq) për degë të ndryshme të ekonomisë, të konstatuara për periudhën kohore (2020-2023) dhe sipas parashikimit me masat shtesë deri në vitin 2050.</w:t>
      </w:r>
      <w:bookmarkEnd w:id="697"/>
    </w:p>
    <w:p w14:paraId="00D998B9" w14:textId="77777777" w:rsidR="00B86FB3" w:rsidRPr="00FF756A" w:rsidRDefault="00B86FB3" w:rsidP="00B86FB3">
      <w:pPr>
        <w:rPr>
          <w:i/>
          <w:iCs/>
          <w:color w:val="2F5496" w:themeColor="accent1" w:themeShade="BF"/>
        </w:rPr>
      </w:pPr>
      <w:bookmarkStart w:id="698" w:name="_Hlk75717634"/>
      <w:r w:rsidRPr="00FF756A">
        <w:rPr>
          <w:i/>
          <w:iCs/>
          <w:color w:val="2F5496" w:themeColor="accent1" w:themeShade="BF"/>
        </w:rPr>
        <w:t xml:space="preserve">Energjia e rinovueshme - Energjia primare </w:t>
      </w:r>
    </w:p>
    <w:bookmarkEnd w:id="698"/>
    <w:p w14:paraId="36C4A954" w14:textId="77777777" w:rsidR="00B86FB3" w:rsidRPr="00FF756A" w:rsidRDefault="00B86FB3" w:rsidP="00B86FB3">
      <w:r w:rsidRPr="00FF756A">
        <w:t>Kontributi i energjisë së rinovueshme në energjinë primare është paraqitur në tabelën e mëposhtme, e cila tregon përqindjen aktuale të energjisë së rinovueshme në TFEP dhe parashikimin deri në vitin 2050 bazuar në masat shtesë. Në figurat e mëposhtme paraqiten vlerat absolute të burimeve të rinovueshme të energjisë për furnizimin neto me energji primare për skenarin WAM (Figura 94) dhe për rastet kur impiantet e ER-së vihen në punë vetëm për të përmbushur kërkesën e brendshme (Figura 95). Tabela 37 paraqet vlerat absolute të burimeve të rinovueshme në furnizimin me energji primare, ndërsa në Tabelën 38 renditen përqindjet. Detaje të mëtejshme lidhur me burimet e përziera në furnizimin me energji primare jepen në seksionin e mëposhtëm për efiçencën e energjisë.</w:t>
      </w:r>
    </w:p>
    <w:p w14:paraId="31A0D73B" w14:textId="77777777" w:rsidR="00B86FB3" w:rsidRPr="00FF756A" w:rsidRDefault="00B86FB3" w:rsidP="00B86FB3">
      <w:bookmarkStart w:id="699" w:name="_Hlk180428264"/>
      <w:r w:rsidRPr="00FF756A">
        <w:t>Në skenarin WEM, përqindja e energjisë së rinovueshme në TFEP ndryshon nga 29,2% në vitin 2020 në 34,8% në vitin 2030. Në skenarin WAM, përqindja e energjisë së rinovueshme në TFEP arrin në 58,4%. Në rastin e skenarit WAM që merr në konsideratë vetëm ER-në, i cili merr parasysh vetëm kërkesën e brendshme për energji elektrike (Skenari WAM që merr në konsideratë vetëm ER-në për përmbushjen e kërkesës), përqindja arrin në 39,6%.</w:t>
      </w:r>
    </w:p>
    <w:bookmarkEnd w:id="699"/>
    <w:p w14:paraId="026DBDF7" w14:textId="77777777" w:rsidR="00B86FB3" w:rsidRPr="00FF756A" w:rsidRDefault="00B86FB3" w:rsidP="00B86FB3"/>
    <w:p w14:paraId="091D2826" w14:textId="77777777" w:rsidR="00490D19" w:rsidRPr="00FF756A" w:rsidRDefault="00B86FB3" w:rsidP="00490D19">
      <w:pPr>
        <w:keepNext/>
        <w:jc w:val="center"/>
      </w:pPr>
      <w:r w:rsidRPr="00FF756A">
        <w:rPr>
          <w:noProof/>
          <w:lang w:val="en-US"/>
        </w:rPr>
        <w:drawing>
          <wp:inline distT="0" distB="0" distL="0" distR="0" wp14:anchorId="78E6FC9E" wp14:editId="5AD049F6">
            <wp:extent cx="5760720" cy="3456305"/>
            <wp:effectExtent l="0" t="0" r="0" b="0"/>
            <wp:docPr id="1367085022" name="Picture 2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085022" name="Picture 21" descr="A graph of a graph&#10;&#10;Description automatically generated with medium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471D63CD" w14:textId="74F02F78" w:rsidR="00B86FB3" w:rsidRPr="00FF756A" w:rsidRDefault="00490D19" w:rsidP="00490D19">
      <w:pPr>
        <w:pStyle w:val="Caption"/>
        <w:jc w:val="center"/>
        <w:rPr>
          <w:rFonts w:ascii="Times New Roman" w:hAnsi="Times New Roman"/>
        </w:rPr>
      </w:pPr>
      <w:bookmarkStart w:id="700" w:name="_Toc183016623"/>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93</w:t>
      </w:r>
      <w:r w:rsidR="008E7DE9" w:rsidRPr="00FF756A">
        <w:rPr>
          <w:rFonts w:ascii="Times New Roman" w:hAnsi="Times New Roman"/>
          <w:noProof/>
        </w:rPr>
        <w:fldChar w:fldCharType="end"/>
      </w:r>
      <w:r w:rsidRPr="00FF756A">
        <w:rPr>
          <w:rFonts w:ascii="Times New Roman" w:hAnsi="Times New Roman"/>
        </w:rPr>
        <w:t>: Burimet e rinovueshme të furnizimit me energji primare dhe totali i kërkesës neto për periudhën kohore (2016-2023) dhe sipas parashikimit me masat shtesë deri në vitin 2050, nëse impiantet e BR vihen në punë vetëm për të përmbushur kërkesën e brendshme</w:t>
      </w:r>
      <w:bookmarkEnd w:id="700"/>
    </w:p>
    <w:p w14:paraId="59AB293E" w14:textId="77777777" w:rsidR="00B86FB3" w:rsidRPr="00FF756A" w:rsidRDefault="00B86FB3" w:rsidP="00B86FB3">
      <w:pPr>
        <w:rPr>
          <w:highlight w:val="yellow"/>
        </w:rPr>
      </w:pPr>
    </w:p>
    <w:p w14:paraId="4871A754" w14:textId="77777777" w:rsidR="00490D19" w:rsidRPr="00FF756A" w:rsidRDefault="00B86FB3" w:rsidP="00490D19">
      <w:pPr>
        <w:keepNext/>
      </w:pPr>
      <w:r w:rsidRPr="00FF756A">
        <w:rPr>
          <w:noProof/>
          <w:lang w:val="en-US"/>
        </w:rPr>
        <w:drawing>
          <wp:inline distT="0" distB="0" distL="0" distR="0" wp14:anchorId="60B2501B" wp14:editId="17E22C75">
            <wp:extent cx="5760720" cy="3456305"/>
            <wp:effectExtent l="0" t="0" r="0" b="0"/>
            <wp:docPr id="1468935841" name="Picture 20"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35841" name="Picture 20" descr="A graph of a graph&#10;&#10;Description automatically generated with medium confidenc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165A06AB" w14:textId="7D5E1ECF" w:rsidR="00B86FB3" w:rsidRPr="00FF756A" w:rsidRDefault="00490D19" w:rsidP="00490D19">
      <w:pPr>
        <w:pStyle w:val="Caption"/>
        <w:rPr>
          <w:rFonts w:ascii="Times New Roman" w:hAnsi="Times New Roman"/>
        </w:rPr>
      </w:pPr>
      <w:bookmarkStart w:id="701" w:name="_Toc183016624"/>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94</w:t>
      </w:r>
      <w:r w:rsidR="008E7DE9" w:rsidRPr="00FF756A">
        <w:rPr>
          <w:rFonts w:ascii="Times New Roman" w:hAnsi="Times New Roman"/>
          <w:noProof/>
        </w:rPr>
        <w:fldChar w:fldCharType="end"/>
      </w:r>
      <w:r w:rsidRPr="00FF756A">
        <w:rPr>
          <w:rFonts w:ascii="Times New Roman" w:hAnsi="Times New Roman"/>
        </w:rPr>
        <w:t>: Burimet e rinovueshme të furnizimit me energji primare dhe totali i kërkesës neto për periudhën kohore (2016-2023) dhe sipas parashikimit me masat shtesë deri në vitin 2050, nëse impiantet e ER-së funksionojnë me kapacitet të plotë (WAM)</w:t>
      </w:r>
      <w:bookmarkEnd w:id="701"/>
    </w:p>
    <w:p w14:paraId="26EBABD5" w14:textId="77777777" w:rsidR="00B86FB3" w:rsidRPr="00FF756A" w:rsidRDefault="00B86FB3" w:rsidP="00B86FB3">
      <w:pPr>
        <w:rPr>
          <w:highlight w:val="yellow"/>
          <w:lang w:eastAsia="ja-JP"/>
        </w:rPr>
      </w:pPr>
    </w:p>
    <w:tbl>
      <w:tblPr>
        <w:tblStyle w:val="GridTable5DarkAccent10"/>
        <w:tblW w:w="4563" w:type="pct"/>
        <w:tblLayout w:type="fixed"/>
        <w:tblLook w:val="04A0" w:firstRow="1" w:lastRow="0" w:firstColumn="1" w:lastColumn="0" w:noHBand="0" w:noVBand="1"/>
      </w:tblPr>
      <w:tblGrid>
        <w:gridCol w:w="1887"/>
        <w:gridCol w:w="801"/>
        <w:gridCol w:w="801"/>
        <w:gridCol w:w="797"/>
        <w:gridCol w:w="797"/>
        <w:gridCol w:w="797"/>
        <w:gridCol w:w="797"/>
        <w:gridCol w:w="797"/>
        <w:gridCol w:w="789"/>
        <w:gridCol w:w="7"/>
      </w:tblGrid>
      <w:tr w:rsidR="00B86FB3" w:rsidRPr="00FF756A" w14:paraId="713BB3A9" w14:textId="77777777" w:rsidTr="006A3266">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1" w:type="pct"/>
            <w:noWrap/>
            <w:hideMark/>
          </w:tcPr>
          <w:p w14:paraId="3A2BCB1E" w14:textId="77777777" w:rsidR="00B86FB3" w:rsidRPr="00FF756A" w:rsidRDefault="00B86FB3" w:rsidP="00B86FB3">
            <w:pPr>
              <w:rPr>
                <w:rFonts w:eastAsia="Times New Roman" w:cs="Times New Roman"/>
                <w:bCs w:val="0"/>
                <w:sz w:val="20"/>
                <w:szCs w:val="20"/>
              </w:rPr>
            </w:pPr>
            <w:r w:rsidRPr="00FF756A">
              <w:rPr>
                <w:rFonts w:cs="Times New Roman"/>
                <w:sz w:val="20"/>
                <w:szCs w:val="20"/>
              </w:rPr>
              <w:t>Burimi [ktoe]</w:t>
            </w:r>
          </w:p>
        </w:tc>
        <w:tc>
          <w:tcPr>
            <w:tcW w:w="484" w:type="pct"/>
            <w:noWrap/>
            <w:hideMark/>
          </w:tcPr>
          <w:p w14:paraId="3D1C1557"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2020</w:t>
            </w:r>
          </w:p>
        </w:tc>
        <w:tc>
          <w:tcPr>
            <w:tcW w:w="484" w:type="pct"/>
            <w:noWrap/>
            <w:hideMark/>
          </w:tcPr>
          <w:p w14:paraId="796B8378"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2021</w:t>
            </w:r>
          </w:p>
        </w:tc>
        <w:tc>
          <w:tcPr>
            <w:tcW w:w="482" w:type="pct"/>
            <w:noWrap/>
            <w:hideMark/>
          </w:tcPr>
          <w:p w14:paraId="2C9F7CC5"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2022</w:t>
            </w:r>
          </w:p>
        </w:tc>
        <w:tc>
          <w:tcPr>
            <w:tcW w:w="482" w:type="pct"/>
            <w:noWrap/>
            <w:hideMark/>
          </w:tcPr>
          <w:p w14:paraId="7D8253E0"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2023</w:t>
            </w:r>
          </w:p>
        </w:tc>
        <w:tc>
          <w:tcPr>
            <w:tcW w:w="482" w:type="pct"/>
            <w:noWrap/>
            <w:hideMark/>
          </w:tcPr>
          <w:p w14:paraId="0BD8AF11"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2025</w:t>
            </w:r>
          </w:p>
        </w:tc>
        <w:tc>
          <w:tcPr>
            <w:tcW w:w="482" w:type="pct"/>
            <w:noWrap/>
            <w:hideMark/>
          </w:tcPr>
          <w:p w14:paraId="12C0C7DD"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2030</w:t>
            </w:r>
          </w:p>
        </w:tc>
        <w:tc>
          <w:tcPr>
            <w:tcW w:w="482" w:type="pct"/>
            <w:noWrap/>
            <w:hideMark/>
          </w:tcPr>
          <w:p w14:paraId="08C034F7" w14:textId="77777777" w:rsidR="00B86FB3" w:rsidRPr="00FF756A" w:rsidRDefault="00B86FB3" w:rsidP="00B86FB3">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2040</w:t>
            </w:r>
          </w:p>
        </w:tc>
        <w:tc>
          <w:tcPr>
            <w:tcW w:w="481" w:type="pct"/>
            <w:gridSpan w:val="2"/>
            <w:noWrap/>
            <w:hideMark/>
          </w:tcPr>
          <w:p w14:paraId="50BCACBD"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2050</w:t>
            </w:r>
          </w:p>
        </w:tc>
      </w:tr>
      <w:tr w:rsidR="00B86FB3" w:rsidRPr="00FF756A" w14:paraId="2F8DFB29" w14:textId="77777777" w:rsidTr="006A3266">
        <w:trPr>
          <w:gridAfter w:val="1"/>
          <w:cnfStyle w:val="000000100000" w:firstRow="0" w:lastRow="0" w:firstColumn="0" w:lastColumn="0" w:oddVBand="0" w:evenVBand="0" w:oddHBand="1" w:evenHBand="0" w:firstRowFirstColumn="0" w:firstRowLastColumn="0" w:lastRowFirstColumn="0" w:lastRowLastColumn="0"/>
          <w:wAfter w:w="4" w:type="pct"/>
          <w:trHeight w:val="290"/>
        </w:trPr>
        <w:tc>
          <w:tcPr>
            <w:cnfStyle w:val="001000000000" w:firstRow="0" w:lastRow="0" w:firstColumn="1" w:lastColumn="0" w:oddVBand="0" w:evenVBand="0" w:oddHBand="0" w:evenHBand="0" w:firstRowFirstColumn="0" w:firstRowLastColumn="0" w:lastRowFirstColumn="0" w:lastRowLastColumn="0"/>
            <w:tcW w:w="4996" w:type="pct"/>
            <w:gridSpan w:val="9"/>
            <w:noWrap/>
            <w:vAlign w:val="center"/>
            <w:hideMark/>
          </w:tcPr>
          <w:p w14:paraId="1A6854E8" w14:textId="77777777" w:rsidR="00B86FB3" w:rsidRPr="00FF756A" w:rsidRDefault="00B86FB3" w:rsidP="00B86FB3">
            <w:pPr>
              <w:jc w:val="left"/>
              <w:rPr>
                <w:rFonts w:eastAsia="Times New Roman" w:cs="Times New Roman"/>
                <w:sz w:val="18"/>
                <w:szCs w:val="18"/>
              </w:rPr>
            </w:pPr>
            <w:r w:rsidRPr="00FF756A">
              <w:rPr>
                <w:rFonts w:cs="Times New Roman"/>
                <w:sz w:val="18"/>
                <w:szCs w:val="18"/>
              </w:rPr>
              <w:t>Skenari WAM që merr në konsideratë vetëm ER-në për përmbushjen e kërkesës</w:t>
            </w:r>
          </w:p>
        </w:tc>
      </w:tr>
      <w:tr w:rsidR="00B86FB3" w:rsidRPr="00FF756A" w14:paraId="5E7D9847"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1" w:type="pct"/>
            <w:noWrap/>
            <w:vAlign w:val="center"/>
            <w:hideMark/>
          </w:tcPr>
          <w:p w14:paraId="74E9142E" w14:textId="77777777" w:rsidR="00B86FB3" w:rsidRPr="00FF756A" w:rsidRDefault="00B86FB3" w:rsidP="00B86FB3">
            <w:pPr>
              <w:jc w:val="left"/>
              <w:rPr>
                <w:rFonts w:eastAsia="Times New Roman" w:cs="Times New Roman"/>
                <w:b w:val="0"/>
                <w:sz w:val="18"/>
                <w:szCs w:val="18"/>
              </w:rPr>
            </w:pPr>
            <w:r w:rsidRPr="00FF756A">
              <w:rPr>
                <w:rFonts w:cs="Times New Roman"/>
                <w:sz w:val="18"/>
                <w:szCs w:val="18"/>
              </w:rPr>
              <w:t>Lënda drusore</w:t>
            </w:r>
          </w:p>
        </w:tc>
        <w:tc>
          <w:tcPr>
            <w:tcW w:w="484" w:type="pct"/>
            <w:noWrap/>
            <w:vAlign w:val="center"/>
            <w:hideMark/>
          </w:tcPr>
          <w:p w14:paraId="2CB8231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149,5</w:t>
            </w:r>
          </w:p>
        </w:tc>
        <w:tc>
          <w:tcPr>
            <w:tcW w:w="484" w:type="pct"/>
            <w:noWrap/>
            <w:vAlign w:val="center"/>
            <w:hideMark/>
          </w:tcPr>
          <w:p w14:paraId="2F2634D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146,3</w:t>
            </w:r>
          </w:p>
        </w:tc>
        <w:tc>
          <w:tcPr>
            <w:tcW w:w="482" w:type="pct"/>
            <w:noWrap/>
            <w:vAlign w:val="center"/>
            <w:hideMark/>
          </w:tcPr>
          <w:p w14:paraId="67C60AF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143,2</w:t>
            </w:r>
          </w:p>
        </w:tc>
        <w:tc>
          <w:tcPr>
            <w:tcW w:w="482" w:type="pct"/>
            <w:noWrap/>
            <w:vAlign w:val="center"/>
            <w:hideMark/>
          </w:tcPr>
          <w:p w14:paraId="33A0D23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142,8</w:t>
            </w:r>
          </w:p>
        </w:tc>
        <w:tc>
          <w:tcPr>
            <w:tcW w:w="482" w:type="pct"/>
            <w:noWrap/>
            <w:vAlign w:val="center"/>
            <w:hideMark/>
          </w:tcPr>
          <w:p w14:paraId="3BAE8D2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143,2</w:t>
            </w:r>
          </w:p>
        </w:tc>
        <w:tc>
          <w:tcPr>
            <w:tcW w:w="482" w:type="pct"/>
            <w:shd w:val="clear" w:color="auto" w:fill="4472C4" w:themeFill="accent1"/>
            <w:noWrap/>
            <w:vAlign w:val="center"/>
            <w:hideMark/>
          </w:tcPr>
          <w:p w14:paraId="326A224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sz w:val="18"/>
                <w:szCs w:val="18"/>
              </w:rPr>
              <w:t>181,0</w:t>
            </w:r>
          </w:p>
        </w:tc>
        <w:tc>
          <w:tcPr>
            <w:tcW w:w="482" w:type="pct"/>
            <w:noWrap/>
            <w:vAlign w:val="center"/>
            <w:hideMark/>
          </w:tcPr>
          <w:p w14:paraId="2CB2DDF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321,5</w:t>
            </w:r>
          </w:p>
        </w:tc>
        <w:tc>
          <w:tcPr>
            <w:tcW w:w="481" w:type="pct"/>
            <w:gridSpan w:val="2"/>
            <w:vAlign w:val="center"/>
          </w:tcPr>
          <w:p w14:paraId="64F9CEC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491,1</w:t>
            </w:r>
          </w:p>
        </w:tc>
      </w:tr>
      <w:tr w:rsidR="00B86FB3" w:rsidRPr="00FF756A" w14:paraId="5D3CD4B0"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1" w:type="pct"/>
            <w:noWrap/>
            <w:vAlign w:val="center"/>
            <w:hideMark/>
          </w:tcPr>
          <w:p w14:paraId="1347D7A7" w14:textId="77777777" w:rsidR="00B86FB3" w:rsidRPr="00FF756A" w:rsidRDefault="00B86FB3" w:rsidP="00B86FB3">
            <w:pPr>
              <w:jc w:val="left"/>
              <w:rPr>
                <w:rFonts w:eastAsia="Times New Roman" w:cs="Times New Roman"/>
                <w:b w:val="0"/>
                <w:sz w:val="18"/>
                <w:szCs w:val="18"/>
              </w:rPr>
            </w:pPr>
            <w:r w:rsidRPr="00FF756A">
              <w:rPr>
                <w:rFonts w:cs="Times New Roman"/>
                <w:sz w:val="18"/>
                <w:szCs w:val="18"/>
              </w:rPr>
              <w:t>Energjia eolike</w:t>
            </w:r>
          </w:p>
        </w:tc>
        <w:tc>
          <w:tcPr>
            <w:tcW w:w="484" w:type="pct"/>
            <w:noWrap/>
            <w:vAlign w:val="center"/>
            <w:hideMark/>
          </w:tcPr>
          <w:p w14:paraId="4628DEC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4" w:type="pct"/>
            <w:noWrap/>
            <w:vAlign w:val="center"/>
            <w:hideMark/>
          </w:tcPr>
          <w:p w14:paraId="28F88D6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625693D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2E71B77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5B98BB8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shd w:val="clear" w:color="auto" w:fill="4472C4" w:themeFill="accent1"/>
            <w:noWrap/>
            <w:vAlign w:val="center"/>
            <w:hideMark/>
          </w:tcPr>
          <w:p w14:paraId="0D5E2B3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sz w:val="18"/>
                <w:szCs w:val="18"/>
              </w:rPr>
              <w:t>93,8</w:t>
            </w:r>
          </w:p>
        </w:tc>
        <w:tc>
          <w:tcPr>
            <w:tcW w:w="482" w:type="pct"/>
            <w:noWrap/>
            <w:vAlign w:val="center"/>
            <w:hideMark/>
          </w:tcPr>
          <w:p w14:paraId="70ABBCC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139,6</w:t>
            </w:r>
          </w:p>
        </w:tc>
        <w:tc>
          <w:tcPr>
            <w:tcW w:w="481" w:type="pct"/>
            <w:gridSpan w:val="2"/>
            <w:vAlign w:val="center"/>
          </w:tcPr>
          <w:p w14:paraId="0776378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193,0</w:t>
            </w:r>
          </w:p>
        </w:tc>
      </w:tr>
      <w:tr w:rsidR="00B86FB3" w:rsidRPr="00FF756A" w14:paraId="3500F078"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1" w:type="pct"/>
            <w:noWrap/>
            <w:vAlign w:val="center"/>
            <w:hideMark/>
          </w:tcPr>
          <w:p w14:paraId="01B848F2" w14:textId="77777777" w:rsidR="00B86FB3" w:rsidRPr="00FF756A" w:rsidRDefault="00B86FB3" w:rsidP="00B86FB3">
            <w:pPr>
              <w:jc w:val="left"/>
              <w:rPr>
                <w:rFonts w:eastAsia="Times New Roman" w:cs="Times New Roman"/>
                <w:b w:val="0"/>
                <w:sz w:val="18"/>
                <w:szCs w:val="18"/>
              </w:rPr>
            </w:pPr>
            <w:r w:rsidRPr="00FF756A">
              <w:rPr>
                <w:rFonts w:cs="Times New Roman"/>
                <w:sz w:val="18"/>
                <w:szCs w:val="18"/>
              </w:rPr>
              <w:t>Energjia diellore</w:t>
            </w:r>
          </w:p>
        </w:tc>
        <w:tc>
          <w:tcPr>
            <w:tcW w:w="484" w:type="pct"/>
            <w:noWrap/>
            <w:vAlign w:val="center"/>
            <w:hideMark/>
          </w:tcPr>
          <w:p w14:paraId="15D319B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15,8</w:t>
            </w:r>
          </w:p>
        </w:tc>
        <w:tc>
          <w:tcPr>
            <w:tcW w:w="484" w:type="pct"/>
            <w:noWrap/>
            <w:vAlign w:val="center"/>
            <w:hideMark/>
          </w:tcPr>
          <w:p w14:paraId="5E8D9AD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16,7</w:t>
            </w:r>
          </w:p>
        </w:tc>
        <w:tc>
          <w:tcPr>
            <w:tcW w:w="482" w:type="pct"/>
            <w:noWrap/>
            <w:vAlign w:val="center"/>
            <w:hideMark/>
          </w:tcPr>
          <w:p w14:paraId="7979ADB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16,5</w:t>
            </w:r>
          </w:p>
        </w:tc>
        <w:tc>
          <w:tcPr>
            <w:tcW w:w="482" w:type="pct"/>
            <w:noWrap/>
            <w:vAlign w:val="center"/>
            <w:hideMark/>
          </w:tcPr>
          <w:p w14:paraId="4C09A17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43,8</w:t>
            </w:r>
          </w:p>
        </w:tc>
        <w:tc>
          <w:tcPr>
            <w:tcW w:w="482" w:type="pct"/>
            <w:noWrap/>
            <w:vAlign w:val="center"/>
            <w:hideMark/>
          </w:tcPr>
          <w:p w14:paraId="288337C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88,5</w:t>
            </w:r>
          </w:p>
        </w:tc>
        <w:tc>
          <w:tcPr>
            <w:tcW w:w="482" w:type="pct"/>
            <w:shd w:val="clear" w:color="auto" w:fill="4472C4" w:themeFill="accent1"/>
            <w:noWrap/>
            <w:vAlign w:val="center"/>
            <w:hideMark/>
          </w:tcPr>
          <w:p w14:paraId="4D00A5D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sz w:val="18"/>
                <w:szCs w:val="18"/>
              </w:rPr>
              <w:t>151,5</w:t>
            </w:r>
          </w:p>
        </w:tc>
        <w:tc>
          <w:tcPr>
            <w:tcW w:w="482" w:type="pct"/>
            <w:noWrap/>
            <w:vAlign w:val="center"/>
            <w:hideMark/>
          </w:tcPr>
          <w:p w14:paraId="2CE5FD7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325,0</w:t>
            </w:r>
          </w:p>
        </w:tc>
        <w:tc>
          <w:tcPr>
            <w:tcW w:w="481" w:type="pct"/>
            <w:gridSpan w:val="2"/>
            <w:vAlign w:val="center"/>
          </w:tcPr>
          <w:p w14:paraId="0E38D2F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546,3</w:t>
            </w:r>
          </w:p>
        </w:tc>
      </w:tr>
      <w:tr w:rsidR="00B86FB3" w:rsidRPr="00FF756A" w14:paraId="3ABD0634"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1" w:type="pct"/>
            <w:noWrap/>
            <w:vAlign w:val="center"/>
            <w:hideMark/>
          </w:tcPr>
          <w:p w14:paraId="0015F6AD" w14:textId="77777777" w:rsidR="00B86FB3" w:rsidRPr="00FF756A" w:rsidRDefault="00B86FB3" w:rsidP="00B86FB3">
            <w:pPr>
              <w:jc w:val="left"/>
              <w:rPr>
                <w:rFonts w:eastAsia="Times New Roman" w:cs="Times New Roman"/>
                <w:b w:val="0"/>
                <w:sz w:val="18"/>
                <w:szCs w:val="18"/>
              </w:rPr>
            </w:pPr>
            <w:r w:rsidRPr="00FF756A">
              <w:rPr>
                <w:rFonts w:cs="Times New Roman"/>
                <w:sz w:val="18"/>
                <w:szCs w:val="18"/>
              </w:rPr>
              <w:t>Energjia hidrike</w:t>
            </w:r>
          </w:p>
        </w:tc>
        <w:tc>
          <w:tcPr>
            <w:tcW w:w="484" w:type="pct"/>
            <w:noWrap/>
            <w:vAlign w:val="center"/>
            <w:hideMark/>
          </w:tcPr>
          <w:p w14:paraId="65A4FE7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454,7</w:t>
            </w:r>
          </w:p>
        </w:tc>
        <w:tc>
          <w:tcPr>
            <w:tcW w:w="484" w:type="pct"/>
            <w:noWrap/>
            <w:vAlign w:val="center"/>
            <w:hideMark/>
          </w:tcPr>
          <w:p w14:paraId="05C3479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454,7</w:t>
            </w:r>
          </w:p>
        </w:tc>
        <w:tc>
          <w:tcPr>
            <w:tcW w:w="482" w:type="pct"/>
            <w:noWrap/>
            <w:vAlign w:val="center"/>
            <w:hideMark/>
          </w:tcPr>
          <w:p w14:paraId="2F9D647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454,7</w:t>
            </w:r>
          </w:p>
        </w:tc>
        <w:tc>
          <w:tcPr>
            <w:tcW w:w="482" w:type="pct"/>
            <w:noWrap/>
            <w:vAlign w:val="center"/>
            <w:hideMark/>
          </w:tcPr>
          <w:p w14:paraId="4423D41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643,9</w:t>
            </w:r>
          </w:p>
        </w:tc>
        <w:tc>
          <w:tcPr>
            <w:tcW w:w="482" w:type="pct"/>
            <w:noWrap/>
            <w:vAlign w:val="center"/>
            <w:hideMark/>
          </w:tcPr>
          <w:p w14:paraId="2D8C4C4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612,6</w:t>
            </w:r>
          </w:p>
        </w:tc>
        <w:tc>
          <w:tcPr>
            <w:tcW w:w="482" w:type="pct"/>
            <w:shd w:val="clear" w:color="auto" w:fill="4472C4" w:themeFill="accent1"/>
            <w:noWrap/>
            <w:vAlign w:val="center"/>
            <w:hideMark/>
          </w:tcPr>
          <w:p w14:paraId="7A57E68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sz w:val="18"/>
                <w:szCs w:val="18"/>
              </w:rPr>
              <w:t>480,5</w:t>
            </w:r>
          </w:p>
        </w:tc>
        <w:tc>
          <w:tcPr>
            <w:tcW w:w="482" w:type="pct"/>
            <w:noWrap/>
            <w:vAlign w:val="center"/>
            <w:hideMark/>
          </w:tcPr>
          <w:p w14:paraId="1934EBD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505,5</w:t>
            </w:r>
          </w:p>
        </w:tc>
        <w:tc>
          <w:tcPr>
            <w:tcW w:w="481" w:type="pct"/>
            <w:gridSpan w:val="2"/>
            <w:vAlign w:val="center"/>
          </w:tcPr>
          <w:p w14:paraId="1E47921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547,0</w:t>
            </w:r>
          </w:p>
        </w:tc>
      </w:tr>
      <w:tr w:rsidR="00B86FB3" w:rsidRPr="00FF756A" w14:paraId="0049E508"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1" w:type="pct"/>
            <w:noWrap/>
            <w:vAlign w:val="center"/>
            <w:hideMark/>
          </w:tcPr>
          <w:p w14:paraId="00A3BE0E" w14:textId="77777777" w:rsidR="00B86FB3" w:rsidRPr="00FF756A" w:rsidRDefault="00B86FB3" w:rsidP="00B86FB3">
            <w:pPr>
              <w:jc w:val="left"/>
              <w:rPr>
                <w:rFonts w:eastAsia="Times New Roman" w:cs="Times New Roman"/>
                <w:b w:val="0"/>
                <w:sz w:val="18"/>
                <w:szCs w:val="18"/>
              </w:rPr>
            </w:pPr>
            <w:r w:rsidRPr="00FF756A">
              <w:rPr>
                <w:rFonts w:cs="Times New Roman"/>
                <w:sz w:val="18"/>
                <w:szCs w:val="18"/>
              </w:rPr>
              <w:t>Hidrogjeni</w:t>
            </w:r>
          </w:p>
        </w:tc>
        <w:tc>
          <w:tcPr>
            <w:tcW w:w="484" w:type="pct"/>
            <w:noWrap/>
            <w:vAlign w:val="center"/>
            <w:hideMark/>
          </w:tcPr>
          <w:p w14:paraId="24BEC54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4" w:type="pct"/>
            <w:noWrap/>
            <w:vAlign w:val="center"/>
            <w:hideMark/>
          </w:tcPr>
          <w:p w14:paraId="45A3E6E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3BDD04C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290DA0A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0AD84C3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shd w:val="clear" w:color="auto" w:fill="4472C4" w:themeFill="accent1"/>
            <w:noWrap/>
            <w:vAlign w:val="center"/>
            <w:hideMark/>
          </w:tcPr>
          <w:p w14:paraId="26F1440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sz w:val="18"/>
                <w:szCs w:val="18"/>
              </w:rPr>
              <w:t>0,1</w:t>
            </w:r>
          </w:p>
        </w:tc>
        <w:tc>
          <w:tcPr>
            <w:tcW w:w="482" w:type="pct"/>
            <w:noWrap/>
            <w:vAlign w:val="center"/>
            <w:hideMark/>
          </w:tcPr>
          <w:p w14:paraId="10CCB80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10,6</w:t>
            </w:r>
          </w:p>
        </w:tc>
        <w:tc>
          <w:tcPr>
            <w:tcW w:w="481" w:type="pct"/>
            <w:gridSpan w:val="2"/>
            <w:vAlign w:val="center"/>
          </w:tcPr>
          <w:p w14:paraId="18BC064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104,0</w:t>
            </w:r>
          </w:p>
        </w:tc>
      </w:tr>
      <w:tr w:rsidR="00B86FB3" w:rsidRPr="00FF756A" w14:paraId="365E5A18"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1" w:type="pct"/>
            <w:noWrap/>
            <w:vAlign w:val="center"/>
            <w:hideMark/>
          </w:tcPr>
          <w:p w14:paraId="2DE41476" w14:textId="77777777" w:rsidR="00B86FB3" w:rsidRPr="00FF756A" w:rsidRDefault="00B86FB3" w:rsidP="00B86FB3">
            <w:pPr>
              <w:jc w:val="left"/>
              <w:rPr>
                <w:rFonts w:eastAsia="Times New Roman" w:cs="Times New Roman"/>
                <w:b w:val="0"/>
                <w:sz w:val="18"/>
                <w:szCs w:val="18"/>
              </w:rPr>
            </w:pPr>
            <w:r w:rsidRPr="00FF756A">
              <w:rPr>
                <w:rFonts w:cs="Times New Roman"/>
                <w:sz w:val="18"/>
                <w:szCs w:val="18"/>
              </w:rPr>
              <w:t>Mbetjet e ngurta urbane</w:t>
            </w:r>
          </w:p>
        </w:tc>
        <w:tc>
          <w:tcPr>
            <w:tcW w:w="484" w:type="pct"/>
            <w:noWrap/>
            <w:vAlign w:val="center"/>
            <w:hideMark/>
          </w:tcPr>
          <w:p w14:paraId="21F1C15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4" w:type="pct"/>
            <w:noWrap/>
            <w:vAlign w:val="center"/>
            <w:hideMark/>
          </w:tcPr>
          <w:p w14:paraId="52922F7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4D33EFC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5C826F5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1,3</w:t>
            </w:r>
          </w:p>
        </w:tc>
        <w:tc>
          <w:tcPr>
            <w:tcW w:w="482" w:type="pct"/>
            <w:noWrap/>
            <w:vAlign w:val="center"/>
            <w:hideMark/>
          </w:tcPr>
          <w:p w14:paraId="12F5885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0,9</w:t>
            </w:r>
          </w:p>
        </w:tc>
        <w:tc>
          <w:tcPr>
            <w:tcW w:w="482" w:type="pct"/>
            <w:shd w:val="clear" w:color="auto" w:fill="4472C4" w:themeFill="accent1"/>
            <w:noWrap/>
            <w:vAlign w:val="center"/>
            <w:hideMark/>
          </w:tcPr>
          <w:p w14:paraId="707B31A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sz w:val="18"/>
                <w:szCs w:val="18"/>
              </w:rPr>
              <w:t>-</w:t>
            </w:r>
          </w:p>
        </w:tc>
        <w:tc>
          <w:tcPr>
            <w:tcW w:w="482" w:type="pct"/>
            <w:noWrap/>
            <w:vAlign w:val="center"/>
            <w:hideMark/>
          </w:tcPr>
          <w:p w14:paraId="412C2C7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0,1</w:t>
            </w:r>
          </w:p>
        </w:tc>
        <w:tc>
          <w:tcPr>
            <w:tcW w:w="481" w:type="pct"/>
            <w:gridSpan w:val="2"/>
            <w:vAlign w:val="center"/>
          </w:tcPr>
          <w:p w14:paraId="56B344A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0,9</w:t>
            </w:r>
          </w:p>
        </w:tc>
      </w:tr>
      <w:tr w:rsidR="00B86FB3" w:rsidRPr="00FF756A" w14:paraId="6ABC2697"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1" w:type="pct"/>
            <w:noWrap/>
            <w:vAlign w:val="center"/>
            <w:hideMark/>
          </w:tcPr>
          <w:p w14:paraId="5CB31BDD" w14:textId="77777777" w:rsidR="00B86FB3" w:rsidRPr="00FF756A" w:rsidRDefault="00B86FB3" w:rsidP="00B86FB3">
            <w:pPr>
              <w:jc w:val="left"/>
              <w:rPr>
                <w:rFonts w:eastAsia="Times New Roman" w:cs="Times New Roman"/>
                <w:b w:val="0"/>
                <w:sz w:val="18"/>
                <w:szCs w:val="18"/>
              </w:rPr>
            </w:pPr>
            <w:r w:rsidRPr="00FF756A">
              <w:rPr>
                <w:rFonts w:cs="Times New Roman"/>
                <w:sz w:val="18"/>
                <w:szCs w:val="18"/>
              </w:rPr>
              <w:t>Biodizeli</w:t>
            </w:r>
          </w:p>
        </w:tc>
        <w:tc>
          <w:tcPr>
            <w:tcW w:w="484" w:type="pct"/>
            <w:noWrap/>
            <w:vAlign w:val="center"/>
            <w:hideMark/>
          </w:tcPr>
          <w:p w14:paraId="5E40E29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4" w:type="pct"/>
            <w:noWrap/>
            <w:vAlign w:val="center"/>
            <w:hideMark/>
          </w:tcPr>
          <w:p w14:paraId="7A42D8D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718552D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22C919A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19,4</w:t>
            </w:r>
          </w:p>
        </w:tc>
        <w:tc>
          <w:tcPr>
            <w:tcW w:w="482" w:type="pct"/>
            <w:noWrap/>
            <w:vAlign w:val="center"/>
            <w:hideMark/>
          </w:tcPr>
          <w:p w14:paraId="17E9805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32,1</w:t>
            </w:r>
          </w:p>
        </w:tc>
        <w:tc>
          <w:tcPr>
            <w:tcW w:w="482" w:type="pct"/>
            <w:shd w:val="clear" w:color="auto" w:fill="4472C4" w:themeFill="accent1"/>
            <w:noWrap/>
            <w:vAlign w:val="center"/>
            <w:hideMark/>
          </w:tcPr>
          <w:p w14:paraId="73EC982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sz w:val="18"/>
                <w:szCs w:val="18"/>
              </w:rPr>
              <w:t>56,8</w:t>
            </w:r>
          </w:p>
        </w:tc>
        <w:tc>
          <w:tcPr>
            <w:tcW w:w="482" w:type="pct"/>
            <w:noWrap/>
            <w:vAlign w:val="center"/>
            <w:hideMark/>
          </w:tcPr>
          <w:p w14:paraId="56965CF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101,6</w:t>
            </w:r>
          </w:p>
        </w:tc>
        <w:tc>
          <w:tcPr>
            <w:tcW w:w="481" w:type="pct"/>
            <w:gridSpan w:val="2"/>
            <w:vAlign w:val="center"/>
          </w:tcPr>
          <w:p w14:paraId="61789A1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103,2</w:t>
            </w:r>
          </w:p>
        </w:tc>
      </w:tr>
      <w:tr w:rsidR="00B86FB3" w:rsidRPr="00FF756A" w14:paraId="4263BE69"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1" w:type="pct"/>
            <w:noWrap/>
            <w:vAlign w:val="center"/>
            <w:hideMark/>
          </w:tcPr>
          <w:p w14:paraId="4F215E93" w14:textId="77777777" w:rsidR="00B86FB3" w:rsidRPr="00FF756A" w:rsidRDefault="00B86FB3" w:rsidP="00B86FB3">
            <w:pPr>
              <w:jc w:val="left"/>
              <w:rPr>
                <w:rFonts w:eastAsia="Times New Roman" w:cs="Times New Roman"/>
                <w:b w:val="0"/>
                <w:sz w:val="18"/>
                <w:szCs w:val="18"/>
              </w:rPr>
            </w:pPr>
            <w:r w:rsidRPr="00FF756A">
              <w:rPr>
                <w:rFonts w:cs="Times New Roman"/>
                <w:sz w:val="18"/>
                <w:szCs w:val="18"/>
              </w:rPr>
              <w:t>Totali</w:t>
            </w:r>
          </w:p>
        </w:tc>
        <w:tc>
          <w:tcPr>
            <w:tcW w:w="484" w:type="pct"/>
            <w:shd w:val="clear" w:color="auto" w:fill="4472C4" w:themeFill="accent1"/>
            <w:noWrap/>
            <w:vAlign w:val="center"/>
            <w:hideMark/>
          </w:tcPr>
          <w:p w14:paraId="4E36009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620,0</w:t>
            </w:r>
          </w:p>
        </w:tc>
        <w:tc>
          <w:tcPr>
            <w:tcW w:w="484" w:type="pct"/>
            <w:shd w:val="clear" w:color="auto" w:fill="4472C4" w:themeFill="accent1"/>
            <w:noWrap/>
            <w:vAlign w:val="center"/>
            <w:hideMark/>
          </w:tcPr>
          <w:p w14:paraId="08C0D2B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617,6</w:t>
            </w:r>
          </w:p>
        </w:tc>
        <w:tc>
          <w:tcPr>
            <w:tcW w:w="482" w:type="pct"/>
            <w:shd w:val="clear" w:color="auto" w:fill="4472C4" w:themeFill="accent1"/>
            <w:noWrap/>
            <w:vAlign w:val="center"/>
            <w:hideMark/>
          </w:tcPr>
          <w:p w14:paraId="6860324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614,3</w:t>
            </w:r>
          </w:p>
        </w:tc>
        <w:tc>
          <w:tcPr>
            <w:tcW w:w="482" w:type="pct"/>
            <w:shd w:val="clear" w:color="auto" w:fill="4472C4" w:themeFill="accent1"/>
            <w:noWrap/>
            <w:vAlign w:val="center"/>
            <w:hideMark/>
          </w:tcPr>
          <w:p w14:paraId="4D75EDC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851,3</w:t>
            </w:r>
          </w:p>
        </w:tc>
        <w:tc>
          <w:tcPr>
            <w:tcW w:w="482" w:type="pct"/>
            <w:shd w:val="clear" w:color="auto" w:fill="4472C4" w:themeFill="accent1"/>
            <w:noWrap/>
            <w:vAlign w:val="center"/>
            <w:hideMark/>
          </w:tcPr>
          <w:p w14:paraId="402F4A7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877,2</w:t>
            </w:r>
          </w:p>
        </w:tc>
        <w:tc>
          <w:tcPr>
            <w:tcW w:w="482" w:type="pct"/>
            <w:shd w:val="clear" w:color="auto" w:fill="4472C4" w:themeFill="accent1"/>
            <w:noWrap/>
            <w:vAlign w:val="center"/>
            <w:hideMark/>
          </w:tcPr>
          <w:p w14:paraId="7148EEB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963,7</w:t>
            </w:r>
          </w:p>
        </w:tc>
        <w:tc>
          <w:tcPr>
            <w:tcW w:w="482" w:type="pct"/>
            <w:shd w:val="clear" w:color="auto" w:fill="4472C4" w:themeFill="accent1"/>
            <w:noWrap/>
            <w:vAlign w:val="center"/>
            <w:hideMark/>
          </w:tcPr>
          <w:p w14:paraId="15FB4F8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1 403,8</w:t>
            </w:r>
          </w:p>
        </w:tc>
        <w:tc>
          <w:tcPr>
            <w:tcW w:w="481" w:type="pct"/>
            <w:gridSpan w:val="2"/>
            <w:shd w:val="clear" w:color="auto" w:fill="4472C4" w:themeFill="accent1"/>
            <w:vAlign w:val="center"/>
          </w:tcPr>
          <w:p w14:paraId="6527C95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1 985,5</w:t>
            </w:r>
          </w:p>
        </w:tc>
      </w:tr>
      <w:tr w:rsidR="00B86FB3" w:rsidRPr="00FF756A" w14:paraId="1158F2B9"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1" w:type="pct"/>
            <w:noWrap/>
            <w:vAlign w:val="center"/>
            <w:hideMark/>
          </w:tcPr>
          <w:p w14:paraId="078C97A4" w14:textId="77777777" w:rsidR="00B86FB3" w:rsidRPr="00FF756A" w:rsidRDefault="00B86FB3" w:rsidP="00B86FB3">
            <w:pPr>
              <w:jc w:val="left"/>
              <w:rPr>
                <w:rFonts w:eastAsia="Times New Roman" w:cs="Times New Roman"/>
                <w:b w:val="0"/>
                <w:sz w:val="18"/>
                <w:szCs w:val="18"/>
              </w:rPr>
            </w:pPr>
            <w:r w:rsidRPr="00FF756A">
              <w:rPr>
                <w:rFonts w:cs="Times New Roman"/>
                <w:sz w:val="18"/>
                <w:szCs w:val="18"/>
              </w:rPr>
              <w:t>WAM</w:t>
            </w:r>
          </w:p>
        </w:tc>
        <w:tc>
          <w:tcPr>
            <w:tcW w:w="484" w:type="pct"/>
            <w:shd w:val="clear" w:color="auto" w:fill="4472C4" w:themeFill="accent1"/>
            <w:noWrap/>
            <w:vAlign w:val="center"/>
            <w:hideMark/>
          </w:tcPr>
          <w:p w14:paraId="37A22BB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p>
        </w:tc>
        <w:tc>
          <w:tcPr>
            <w:tcW w:w="484" w:type="pct"/>
            <w:shd w:val="clear" w:color="auto" w:fill="4472C4" w:themeFill="accent1"/>
            <w:noWrap/>
            <w:vAlign w:val="center"/>
            <w:hideMark/>
          </w:tcPr>
          <w:p w14:paraId="6374141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rPr>
            </w:pPr>
          </w:p>
        </w:tc>
        <w:tc>
          <w:tcPr>
            <w:tcW w:w="482" w:type="pct"/>
            <w:shd w:val="clear" w:color="auto" w:fill="4472C4" w:themeFill="accent1"/>
            <w:noWrap/>
            <w:vAlign w:val="center"/>
            <w:hideMark/>
          </w:tcPr>
          <w:p w14:paraId="7732FBC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rPr>
            </w:pPr>
          </w:p>
        </w:tc>
        <w:tc>
          <w:tcPr>
            <w:tcW w:w="482" w:type="pct"/>
            <w:shd w:val="clear" w:color="auto" w:fill="4472C4" w:themeFill="accent1"/>
            <w:noWrap/>
            <w:vAlign w:val="center"/>
            <w:hideMark/>
          </w:tcPr>
          <w:p w14:paraId="79F1400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rPr>
            </w:pPr>
          </w:p>
        </w:tc>
        <w:tc>
          <w:tcPr>
            <w:tcW w:w="482" w:type="pct"/>
            <w:shd w:val="clear" w:color="auto" w:fill="4472C4" w:themeFill="accent1"/>
            <w:noWrap/>
            <w:vAlign w:val="center"/>
            <w:hideMark/>
          </w:tcPr>
          <w:p w14:paraId="373244C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rPr>
            </w:pPr>
          </w:p>
        </w:tc>
        <w:tc>
          <w:tcPr>
            <w:tcW w:w="482" w:type="pct"/>
            <w:shd w:val="clear" w:color="auto" w:fill="4472C4" w:themeFill="accent1"/>
            <w:noWrap/>
            <w:vAlign w:val="center"/>
            <w:hideMark/>
          </w:tcPr>
          <w:p w14:paraId="1E865AD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p>
        </w:tc>
        <w:tc>
          <w:tcPr>
            <w:tcW w:w="482" w:type="pct"/>
            <w:shd w:val="clear" w:color="auto" w:fill="4472C4" w:themeFill="accent1"/>
            <w:noWrap/>
            <w:vAlign w:val="center"/>
            <w:hideMark/>
          </w:tcPr>
          <w:p w14:paraId="2357D94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rPr>
            </w:pPr>
          </w:p>
        </w:tc>
        <w:tc>
          <w:tcPr>
            <w:tcW w:w="481" w:type="pct"/>
            <w:gridSpan w:val="2"/>
            <w:shd w:val="clear" w:color="auto" w:fill="4472C4" w:themeFill="accent1"/>
            <w:vAlign w:val="center"/>
          </w:tcPr>
          <w:p w14:paraId="7C3827B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rPr>
            </w:pPr>
          </w:p>
        </w:tc>
      </w:tr>
      <w:tr w:rsidR="00B86FB3" w:rsidRPr="00FF756A" w14:paraId="0F47A608"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1" w:type="pct"/>
            <w:noWrap/>
            <w:vAlign w:val="center"/>
            <w:hideMark/>
          </w:tcPr>
          <w:p w14:paraId="1C646944" w14:textId="77777777" w:rsidR="00B86FB3" w:rsidRPr="00FF756A" w:rsidRDefault="00B86FB3" w:rsidP="00B86FB3">
            <w:pPr>
              <w:jc w:val="left"/>
              <w:rPr>
                <w:rFonts w:eastAsia="Times New Roman" w:cs="Times New Roman"/>
                <w:b w:val="0"/>
                <w:sz w:val="18"/>
                <w:szCs w:val="18"/>
              </w:rPr>
            </w:pPr>
            <w:r w:rsidRPr="00FF756A">
              <w:rPr>
                <w:rFonts w:cs="Times New Roman"/>
                <w:sz w:val="18"/>
                <w:szCs w:val="18"/>
              </w:rPr>
              <w:t>Lënda drusore</w:t>
            </w:r>
          </w:p>
        </w:tc>
        <w:tc>
          <w:tcPr>
            <w:tcW w:w="484" w:type="pct"/>
            <w:noWrap/>
            <w:vAlign w:val="center"/>
            <w:hideMark/>
          </w:tcPr>
          <w:p w14:paraId="5327292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149,5</w:t>
            </w:r>
          </w:p>
        </w:tc>
        <w:tc>
          <w:tcPr>
            <w:tcW w:w="484" w:type="pct"/>
            <w:noWrap/>
            <w:vAlign w:val="center"/>
            <w:hideMark/>
          </w:tcPr>
          <w:p w14:paraId="2063642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146,3</w:t>
            </w:r>
          </w:p>
        </w:tc>
        <w:tc>
          <w:tcPr>
            <w:tcW w:w="482" w:type="pct"/>
            <w:noWrap/>
            <w:vAlign w:val="center"/>
            <w:hideMark/>
          </w:tcPr>
          <w:p w14:paraId="2006574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143,2</w:t>
            </w:r>
          </w:p>
        </w:tc>
        <w:tc>
          <w:tcPr>
            <w:tcW w:w="482" w:type="pct"/>
            <w:noWrap/>
            <w:vAlign w:val="center"/>
            <w:hideMark/>
          </w:tcPr>
          <w:p w14:paraId="2E50201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142,8</w:t>
            </w:r>
          </w:p>
        </w:tc>
        <w:tc>
          <w:tcPr>
            <w:tcW w:w="482" w:type="pct"/>
            <w:noWrap/>
            <w:vAlign w:val="center"/>
            <w:hideMark/>
          </w:tcPr>
          <w:p w14:paraId="52EB89D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143,2</w:t>
            </w:r>
          </w:p>
        </w:tc>
        <w:tc>
          <w:tcPr>
            <w:tcW w:w="482" w:type="pct"/>
            <w:shd w:val="clear" w:color="auto" w:fill="4472C4" w:themeFill="accent1"/>
            <w:noWrap/>
            <w:vAlign w:val="center"/>
            <w:hideMark/>
          </w:tcPr>
          <w:p w14:paraId="3112D5A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sz w:val="18"/>
                <w:szCs w:val="18"/>
              </w:rPr>
              <w:t>181,0</w:t>
            </w:r>
          </w:p>
        </w:tc>
        <w:tc>
          <w:tcPr>
            <w:tcW w:w="482" w:type="pct"/>
            <w:noWrap/>
            <w:vAlign w:val="center"/>
            <w:hideMark/>
          </w:tcPr>
          <w:p w14:paraId="3A9ACFB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321,5</w:t>
            </w:r>
          </w:p>
        </w:tc>
        <w:tc>
          <w:tcPr>
            <w:tcW w:w="481" w:type="pct"/>
            <w:gridSpan w:val="2"/>
            <w:vAlign w:val="center"/>
          </w:tcPr>
          <w:p w14:paraId="601E8E5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491,1</w:t>
            </w:r>
          </w:p>
        </w:tc>
      </w:tr>
      <w:tr w:rsidR="00B86FB3" w:rsidRPr="00FF756A" w14:paraId="2F432F53"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1" w:type="pct"/>
            <w:noWrap/>
            <w:vAlign w:val="center"/>
            <w:hideMark/>
          </w:tcPr>
          <w:p w14:paraId="4AB92F23" w14:textId="77777777" w:rsidR="00B86FB3" w:rsidRPr="00FF756A" w:rsidRDefault="00B86FB3" w:rsidP="00B86FB3">
            <w:pPr>
              <w:jc w:val="left"/>
              <w:rPr>
                <w:rFonts w:eastAsia="Times New Roman" w:cs="Times New Roman"/>
                <w:b w:val="0"/>
                <w:sz w:val="18"/>
                <w:szCs w:val="18"/>
              </w:rPr>
            </w:pPr>
            <w:r w:rsidRPr="00FF756A">
              <w:rPr>
                <w:rFonts w:cs="Times New Roman"/>
                <w:sz w:val="18"/>
                <w:szCs w:val="18"/>
              </w:rPr>
              <w:t>Energjia eolike</w:t>
            </w:r>
          </w:p>
        </w:tc>
        <w:tc>
          <w:tcPr>
            <w:tcW w:w="484" w:type="pct"/>
            <w:noWrap/>
            <w:vAlign w:val="center"/>
            <w:hideMark/>
          </w:tcPr>
          <w:p w14:paraId="3D522E5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4" w:type="pct"/>
            <w:noWrap/>
            <w:vAlign w:val="center"/>
            <w:hideMark/>
          </w:tcPr>
          <w:p w14:paraId="14C8137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5A9FE35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42E09CE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3DEF204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shd w:val="clear" w:color="auto" w:fill="4472C4" w:themeFill="accent1"/>
            <w:noWrap/>
            <w:vAlign w:val="center"/>
            <w:hideMark/>
          </w:tcPr>
          <w:p w14:paraId="19B63B0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sz w:val="18"/>
                <w:szCs w:val="18"/>
              </w:rPr>
              <w:t>97,9</w:t>
            </w:r>
          </w:p>
        </w:tc>
        <w:tc>
          <w:tcPr>
            <w:tcW w:w="482" w:type="pct"/>
            <w:noWrap/>
            <w:vAlign w:val="center"/>
            <w:hideMark/>
          </w:tcPr>
          <w:p w14:paraId="7F026ED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163,8</w:t>
            </w:r>
          </w:p>
        </w:tc>
        <w:tc>
          <w:tcPr>
            <w:tcW w:w="481" w:type="pct"/>
            <w:gridSpan w:val="2"/>
            <w:vAlign w:val="center"/>
          </w:tcPr>
          <w:p w14:paraId="1B62903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229,7</w:t>
            </w:r>
          </w:p>
        </w:tc>
      </w:tr>
      <w:tr w:rsidR="00B86FB3" w:rsidRPr="00FF756A" w14:paraId="7E728FA5"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1" w:type="pct"/>
            <w:noWrap/>
            <w:vAlign w:val="center"/>
            <w:hideMark/>
          </w:tcPr>
          <w:p w14:paraId="3F7B5679" w14:textId="77777777" w:rsidR="00B86FB3" w:rsidRPr="00FF756A" w:rsidRDefault="00B86FB3" w:rsidP="00B86FB3">
            <w:pPr>
              <w:jc w:val="left"/>
              <w:rPr>
                <w:rFonts w:eastAsia="Times New Roman" w:cs="Times New Roman"/>
                <w:b w:val="0"/>
                <w:sz w:val="18"/>
                <w:szCs w:val="18"/>
              </w:rPr>
            </w:pPr>
            <w:r w:rsidRPr="00FF756A">
              <w:rPr>
                <w:rFonts w:cs="Times New Roman"/>
                <w:sz w:val="18"/>
                <w:szCs w:val="18"/>
              </w:rPr>
              <w:t>Energjia diellore</w:t>
            </w:r>
          </w:p>
        </w:tc>
        <w:tc>
          <w:tcPr>
            <w:tcW w:w="484" w:type="pct"/>
            <w:noWrap/>
            <w:vAlign w:val="center"/>
            <w:hideMark/>
          </w:tcPr>
          <w:p w14:paraId="79B1393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15,8</w:t>
            </w:r>
          </w:p>
        </w:tc>
        <w:tc>
          <w:tcPr>
            <w:tcW w:w="484" w:type="pct"/>
            <w:noWrap/>
            <w:vAlign w:val="center"/>
            <w:hideMark/>
          </w:tcPr>
          <w:p w14:paraId="1EEC19D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16,7</w:t>
            </w:r>
          </w:p>
        </w:tc>
        <w:tc>
          <w:tcPr>
            <w:tcW w:w="482" w:type="pct"/>
            <w:noWrap/>
            <w:vAlign w:val="center"/>
            <w:hideMark/>
          </w:tcPr>
          <w:p w14:paraId="62A73B1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16,5</w:t>
            </w:r>
          </w:p>
        </w:tc>
        <w:tc>
          <w:tcPr>
            <w:tcW w:w="482" w:type="pct"/>
            <w:noWrap/>
            <w:vAlign w:val="center"/>
            <w:hideMark/>
          </w:tcPr>
          <w:p w14:paraId="4491FAB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43,8</w:t>
            </w:r>
          </w:p>
        </w:tc>
        <w:tc>
          <w:tcPr>
            <w:tcW w:w="482" w:type="pct"/>
            <w:noWrap/>
            <w:vAlign w:val="center"/>
            <w:hideMark/>
          </w:tcPr>
          <w:p w14:paraId="2F4BAB1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88,5</w:t>
            </w:r>
          </w:p>
        </w:tc>
        <w:tc>
          <w:tcPr>
            <w:tcW w:w="482" w:type="pct"/>
            <w:shd w:val="clear" w:color="auto" w:fill="4472C4" w:themeFill="accent1"/>
            <w:noWrap/>
            <w:vAlign w:val="center"/>
            <w:hideMark/>
          </w:tcPr>
          <w:p w14:paraId="04EED00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sz w:val="18"/>
                <w:szCs w:val="18"/>
              </w:rPr>
              <w:t>164,4</w:t>
            </w:r>
          </w:p>
        </w:tc>
        <w:tc>
          <w:tcPr>
            <w:tcW w:w="482" w:type="pct"/>
            <w:noWrap/>
            <w:vAlign w:val="center"/>
            <w:hideMark/>
          </w:tcPr>
          <w:p w14:paraId="58AF1AA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462,8</w:t>
            </w:r>
          </w:p>
        </w:tc>
        <w:tc>
          <w:tcPr>
            <w:tcW w:w="481" w:type="pct"/>
            <w:gridSpan w:val="2"/>
            <w:vAlign w:val="center"/>
          </w:tcPr>
          <w:p w14:paraId="509EFD9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808,3</w:t>
            </w:r>
          </w:p>
        </w:tc>
      </w:tr>
      <w:tr w:rsidR="00B86FB3" w:rsidRPr="00FF756A" w14:paraId="6186DF10"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1" w:type="pct"/>
            <w:noWrap/>
            <w:vAlign w:val="center"/>
            <w:hideMark/>
          </w:tcPr>
          <w:p w14:paraId="0BFDA355" w14:textId="77777777" w:rsidR="00B86FB3" w:rsidRPr="00FF756A" w:rsidRDefault="00B86FB3" w:rsidP="00B86FB3">
            <w:pPr>
              <w:jc w:val="left"/>
              <w:rPr>
                <w:rFonts w:eastAsia="Times New Roman" w:cs="Times New Roman"/>
                <w:b w:val="0"/>
                <w:sz w:val="18"/>
                <w:szCs w:val="18"/>
              </w:rPr>
            </w:pPr>
            <w:r w:rsidRPr="00FF756A">
              <w:rPr>
                <w:rFonts w:cs="Times New Roman"/>
                <w:sz w:val="18"/>
                <w:szCs w:val="18"/>
              </w:rPr>
              <w:t>Energjia hidrike</w:t>
            </w:r>
          </w:p>
        </w:tc>
        <w:tc>
          <w:tcPr>
            <w:tcW w:w="484" w:type="pct"/>
            <w:noWrap/>
            <w:vAlign w:val="center"/>
            <w:hideMark/>
          </w:tcPr>
          <w:p w14:paraId="1C6FA70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454,7</w:t>
            </w:r>
          </w:p>
        </w:tc>
        <w:tc>
          <w:tcPr>
            <w:tcW w:w="484" w:type="pct"/>
            <w:noWrap/>
            <w:vAlign w:val="center"/>
            <w:hideMark/>
          </w:tcPr>
          <w:p w14:paraId="0268A04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454,7</w:t>
            </w:r>
          </w:p>
        </w:tc>
        <w:tc>
          <w:tcPr>
            <w:tcW w:w="482" w:type="pct"/>
            <w:noWrap/>
            <w:vAlign w:val="center"/>
            <w:hideMark/>
          </w:tcPr>
          <w:p w14:paraId="02D87AC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454,7</w:t>
            </w:r>
          </w:p>
        </w:tc>
        <w:tc>
          <w:tcPr>
            <w:tcW w:w="482" w:type="pct"/>
            <w:noWrap/>
            <w:vAlign w:val="center"/>
            <w:hideMark/>
          </w:tcPr>
          <w:p w14:paraId="45EA579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830,5</w:t>
            </w:r>
          </w:p>
        </w:tc>
        <w:tc>
          <w:tcPr>
            <w:tcW w:w="482" w:type="pct"/>
            <w:noWrap/>
            <w:vAlign w:val="center"/>
            <w:hideMark/>
          </w:tcPr>
          <w:p w14:paraId="4A2E468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843,7</w:t>
            </w:r>
          </w:p>
        </w:tc>
        <w:tc>
          <w:tcPr>
            <w:tcW w:w="482" w:type="pct"/>
            <w:shd w:val="clear" w:color="auto" w:fill="4472C4" w:themeFill="accent1"/>
            <w:noWrap/>
            <w:vAlign w:val="center"/>
            <w:hideMark/>
          </w:tcPr>
          <w:p w14:paraId="6C53F6E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sz w:val="18"/>
                <w:szCs w:val="18"/>
              </w:rPr>
              <w:t>918,5</w:t>
            </w:r>
          </w:p>
        </w:tc>
        <w:tc>
          <w:tcPr>
            <w:tcW w:w="482" w:type="pct"/>
            <w:noWrap/>
            <w:vAlign w:val="center"/>
            <w:hideMark/>
          </w:tcPr>
          <w:p w14:paraId="6C345B5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867,7</w:t>
            </w:r>
          </w:p>
        </w:tc>
        <w:tc>
          <w:tcPr>
            <w:tcW w:w="481" w:type="pct"/>
            <w:gridSpan w:val="2"/>
            <w:vAlign w:val="center"/>
          </w:tcPr>
          <w:p w14:paraId="2FA17EB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817,0</w:t>
            </w:r>
          </w:p>
        </w:tc>
      </w:tr>
      <w:tr w:rsidR="00B86FB3" w:rsidRPr="00FF756A" w14:paraId="47A971BE"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1" w:type="pct"/>
            <w:noWrap/>
            <w:vAlign w:val="center"/>
            <w:hideMark/>
          </w:tcPr>
          <w:p w14:paraId="0E284594" w14:textId="77777777" w:rsidR="00B86FB3" w:rsidRPr="00FF756A" w:rsidRDefault="00B86FB3" w:rsidP="00B86FB3">
            <w:pPr>
              <w:jc w:val="left"/>
              <w:rPr>
                <w:rFonts w:eastAsia="Times New Roman" w:cs="Times New Roman"/>
                <w:b w:val="0"/>
                <w:sz w:val="18"/>
                <w:szCs w:val="18"/>
              </w:rPr>
            </w:pPr>
            <w:r w:rsidRPr="00FF756A">
              <w:rPr>
                <w:rFonts w:cs="Times New Roman"/>
                <w:sz w:val="18"/>
                <w:szCs w:val="18"/>
              </w:rPr>
              <w:t>Hidrogjeni</w:t>
            </w:r>
          </w:p>
        </w:tc>
        <w:tc>
          <w:tcPr>
            <w:tcW w:w="484" w:type="pct"/>
            <w:noWrap/>
            <w:vAlign w:val="center"/>
            <w:hideMark/>
          </w:tcPr>
          <w:p w14:paraId="3A01ED4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4" w:type="pct"/>
            <w:noWrap/>
            <w:vAlign w:val="center"/>
            <w:hideMark/>
          </w:tcPr>
          <w:p w14:paraId="76F94EB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554E38C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34E4B98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45AD5ED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shd w:val="clear" w:color="auto" w:fill="4472C4" w:themeFill="accent1"/>
            <w:noWrap/>
            <w:vAlign w:val="center"/>
            <w:hideMark/>
          </w:tcPr>
          <w:p w14:paraId="271BEA7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sz w:val="18"/>
                <w:szCs w:val="18"/>
              </w:rPr>
              <w:t>0,1</w:t>
            </w:r>
          </w:p>
        </w:tc>
        <w:tc>
          <w:tcPr>
            <w:tcW w:w="482" w:type="pct"/>
            <w:noWrap/>
            <w:vAlign w:val="center"/>
            <w:hideMark/>
          </w:tcPr>
          <w:p w14:paraId="74FED64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10,6</w:t>
            </w:r>
          </w:p>
        </w:tc>
        <w:tc>
          <w:tcPr>
            <w:tcW w:w="481" w:type="pct"/>
            <w:gridSpan w:val="2"/>
            <w:vAlign w:val="center"/>
          </w:tcPr>
          <w:p w14:paraId="6F7070E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104,0</w:t>
            </w:r>
          </w:p>
        </w:tc>
      </w:tr>
      <w:tr w:rsidR="00B86FB3" w:rsidRPr="00FF756A" w14:paraId="31545B56"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1" w:type="pct"/>
            <w:noWrap/>
            <w:vAlign w:val="center"/>
            <w:hideMark/>
          </w:tcPr>
          <w:p w14:paraId="4A7D55AC" w14:textId="77777777" w:rsidR="00B86FB3" w:rsidRPr="00FF756A" w:rsidRDefault="00B86FB3" w:rsidP="00B86FB3">
            <w:pPr>
              <w:jc w:val="left"/>
              <w:rPr>
                <w:rFonts w:eastAsia="Times New Roman" w:cs="Times New Roman"/>
                <w:b w:val="0"/>
                <w:sz w:val="18"/>
                <w:szCs w:val="18"/>
              </w:rPr>
            </w:pPr>
            <w:r w:rsidRPr="00FF756A">
              <w:rPr>
                <w:rFonts w:cs="Times New Roman"/>
                <w:sz w:val="18"/>
                <w:szCs w:val="18"/>
              </w:rPr>
              <w:t>Mbetjet e ngurta urbane</w:t>
            </w:r>
          </w:p>
        </w:tc>
        <w:tc>
          <w:tcPr>
            <w:tcW w:w="484" w:type="pct"/>
            <w:noWrap/>
            <w:vAlign w:val="center"/>
            <w:hideMark/>
          </w:tcPr>
          <w:p w14:paraId="454C848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4" w:type="pct"/>
            <w:noWrap/>
            <w:vAlign w:val="center"/>
            <w:hideMark/>
          </w:tcPr>
          <w:p w14:paraId="2385B94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5C21275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7EEF12F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3,6</w:t>
            </w:r>
          </w:p>
        </w:tc>
        <w:tc>
          <w:tcPr>
            <w:tcW w:w="482" w:type="pct"/>
            <w:noWrap/>
            <w:vAlign w:val="center"/>
            <w:hideMark/>
          </w:tcPr>
          <w:p w14:paraId="34B6755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3,6</w:t>
            </w:r>
          </w:p>
        </w:tc>
        <w:tc>
          <w:tcPr>
            <w:tcW w:w="482" w:type="pct"/>
            <w:shd w:val="clear" w:color="auto" w:fill="4472C4" w:themeFill="accent1"/>
            <w:noWrap/>
            <w:vAlign w:val="center"/>
            <w:hideMark/>
          </w:tcPr>
          <w:p w14:paraId="56BFDFF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sz w:val="18"/>
                <w:szCs w:val="18"/>
              </w:rPr>
              <w:t>3,6</w:t>
            </w:r>
          </w:p>
        </w:tc>
        <w:tc>
          <w:tcPr>
            <w:tcW w:w="482" w:type="pct"/>
            <w:noWrap/>
            <w:vAlign w:val="center"/>
            <w:hideMark/>
          </w:tcPr>
          <w:p w14:paraId="1A001FB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3,6</w:t>
            </w:r>
          </w:p>
        </w:tc>
        <w:tc>
          <w:tcPr>
            <w:tcW w:w="481" w:type="pct"/>
            <w:gridSpan w:val="2"/>
            <w:vAlign w:val="center"/>
          </w:tcPr>
          <w:p w14:paraId="11CE45B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3,6</w:t>
            </w:r>
          </w:p>
        </w:tc>
      </w:tr>
      <w:tr w:rsidR="00B86FB3" w:rsidRPr="00FF756A" w14:paraId="2050690F"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1" w:type="pct"/>
            <w:noWrap/>
            <w:vAlign w:val="center"/>
            <w:hideMark/>
          </w:tcPr>
          <w:p w14:paraId="0C40C963" w14:textId="77777777" w:rsidR="00B86FB3" w:rsidRPr="00FF756A" w:rsidRDefault="00B86FB3" w:rsidP="00B86FB3">
            <w:pPr>
              <w:jc w:val="left"/>
              <w:rPr>
                <w:rFonts w:eastAsia="Times New Roman" w:cs="Times New Roman"/>
                <w:b w:val="0"/>
                <w:sz w:val="18"/>
                <w:szCs w:val="18"/>
              </w:rPr>
            </w:pPr>
            <w:r w:rsidRPr="00FF756A">
              <w:rPr>
                <w:rFonts w:cs="Times New Roman"/>
                <w:sz w:val="18"/>
                <w:szCs w:val="18"/>
              </w:rPr>
              <w:t>Biodizeli</w:t>
            </w:r>
          </w:p>
        </w:tc>
        <w:tc>
          <w:tcPr>
            <w:tcW w:w="484" w:type="pct"/>
            <w:noWrap/>
            <w:vAlign w:val="center"/>
            <w:hideMark/>
          </w:tcPr>
          <w:p w14:paraId="2C7A97F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4" w:type="pct"/>
            <w:noWrap/>
            <w:vAlign w:val="center"/>
            <w:hideMark/>
          </w:tcPr>
          <w:p w14:paraId="7624664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6D7558B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49D9158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19,4</w:t>
            </w:r>
          </w:p>
        </w:tc>
        <w:tc>
          <w:tcPr>
            <w:tcW w:w="482" w:type="pct"/>
            <w:noWrap/>
            <w:vAlign w:val="center"/>
            <w:hideMark/>
          </w:tcPr>
          <w:p w14:paraId="281CE7E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32,1</w:t>
            </w:r>
          </w:p>
        </w:tc>
        <w:tc>
          <w:tcPr>
            <w:tcW w:w="482" w:type="pct"/>
            <w:shd w:val="clear" w:color="auto" w:fill="4472C4" w:themeFill="accent1"/>
            <w:noWrap/>
            <w:vAlign w:val="center"/>
            <w:hideMark/>
          </w:tcPr>
          <w:p w14:paraId="77F8E09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sz w:val="18"/>
                <w:szCs w:val="18"/>
              </w:rPr>
              <w:t>56,8</w:t>
            </w:r>
          </w:p>
        </w:tc>
        <w:tc>
          <w:tcPr>
            <w:tcW w:w="482" w:type="pct"/>
            <w:noWrap/>
            <w:vAlign w:val="center"/>
            <w:hideMark/>
          </w:tcPr>
          <w:p w14:paraId="21CD7EC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101,6</w:t>
            </w:r>
          </w:p>
        </w:tc>
        <w:tc>
          <w:tcPr>
            <w:tcW w:w="481" w:type="pct"/>
            <w:gridSpan w:val="2"/>
            <w:vAlign w:val="center"/>
          </w:tcPr>
          <w:p w14:paraId="6385D52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103,2</w:t>
            </w:r>
          </w:p>
        </w:tc>
      </w:tr>
      <w:tr w:rsidR="00B86FB3" w:rsidRPr="00FF756A" w14:paraId="69EF25B1"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1" w:type="pct"/>
            <w:noWrap/>
            <w:vAlign w:val="center"/>
            <w:hideMark/>
          </w:tcPr>
          <w:p w14:paraId="47DB1707" w14:textId="77777777" w:rsidR="00B86FB3" w:rsidRPr="00FF756A" w:rsidRDefault="00B86FB3" w:rsidP="00B86FB3">
            <w:pPr>
              <w:jc w:val="left"/>
              <w:rPr>
                <w:rFonts w:eastAsia="Times New Roman" w:cs="Times New Roman"/>
                <w:b w:val="0"/>
                <w:sz w:val="18"/>
                <w:szCs w:val="18"/>
              </w:rPr>
            </w:pPr>
            <w:r w:rsidRPr="00FF756A">
              <w:rPr>
                <w:rFonts w:cs="Times New Roman"/>
                <w:sz w:val="18"/>
                <w:szCs w:val="18"/>
              </w:rPr>
              <w:t>Totali</w:t>
            </w:r>
          </w:p>
        </w:tc>
        <w:tc>
          <w:tcPr>
            <w:tcW w:w="484" w:type="pct"/>
            <w:shd w:val="clear" w:color="auto" w:fill="4472C4" w:themeFill="accent1"/>
            <w:noWrap/>
            <w:vAlign w:val="center"/>
            <w:hideMark/>
          </w:tcPr>
          <w:p w14:paraId="3B0F325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620,0</w:t>
            </w:r>
          </w:p>
        </w:tc>
        <w:tc>
          <w:tcPr>
            <w:tcW w:w="484" w:type="pct"/>
            <w:shd w:val="clear" w:color="auto" w:fill="4472C4" w:themeFill="accent1"/>
            <w:noWrap/>
            <w:vAlign w:val="center"/>
            <w:hideMark/>
          </w:tcPr>
          <w:p w14:paraId="510A584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617,6</w:t>
            </w:r>
          </w:p>
        </w:tc>
        <w:tc>
          <w:tcPr>
            <w:tcW w:w="482" w:type="pct"/>
            <w:shd w:val="clear" w:color="auto" w:fill="4472C4" w:themeFill="accent1"/>
            <w:noWrap/>
            <w:vAlign w:val="center"/>
            <w:hideMark/>
          </w:tcPr>
          <w:p w14:paraId="14E918C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614,3</w:t>
            </w:r>
          </w:p>
        </w:tc>
        <w:tc>
          <w:tcPr>
            <w:tcW w:w="482" w:type="pct"/>
            <w:shd w:val="clear" w:color="auto" w:fill="4472C4" w:themeFill="accent1"/>
            <w:noWrap/>
            <w:vAlign w:val="center"/>
            <w:hideMark/>
          </w:tcPr>
          <w:p w14:paraId="4D6919C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1 040,2</w:t>
            </w:r>
          </w:p>
        </w:tc>
        <w:tc>
          <w:tcPr>
            <w:tcW w:w="482" w:type="pct"/>
            <w:shd w:val="clear" w:color="auto" w:fill="4472C4" w:themeFill="accent1"/>
            <w:noWrap/>
            <w:vAlign w:val="center"/>
            <w:hideMark/>
          </w:tcPr>
          <w:p w14:paraId="540E048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1 111,0</w:t>
            </w:r>
          </w:p>
        </w:tc>
        <w:tc>
          <w:tcPr>
            <w:tcW w:w="482" w:type="pct"/>
            <w:shd w:val="clear" w:color="auto" w:fill="4472C4" w:themeFill="accent1"/>
            <w:noWrap/>
            <w:vAlign w:val="center"/>
            <w:hideMark/>
          </w:tcPr>
          <w:p w14:paraId="38D0EC8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1 422,3</w:t>
            </w:r>
          </w:p>
        </w:tc>
        <w:tc>
          <w:tcPr>
            <w:tcW w:w="482" w:type="pct"/>
            <w:shd w:val="clear" w:color="auto" w:fill="4472C4" w:themeFill="accent1"/>
            <w:noWrap/>
            <w:vAlign w:val="center"/>
            <w:hideMark/>
          </w:tcPr>
          <w:p w14:paraId="420F2BC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1 931,6</w:t>
            </w:r>
          </w:p>
        </w:tc>
        <w:tc>
          <w:tcPr>
            <w:tcW w:w="481" w:type="pct"/>
            <w:gridSpan w:val="2"/>
            <w:shd w:val="clear" w:color="auto" w:fill="4472C4" w:themeFill="accent1"/>
            <w:vAlign w:val="center"/>
          </w:tcPr>
          <w:p w14:paraId="5B0F02E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2 557,0</w:t>
            </w:r>
          </w:p>
        </w:tc>
      </w:tr>
      <w:tr w:rsidR="00B86FB3" w:rsidRPr="00FF756A" w14:paraId="747FB6C9"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1" w:type="pct"/>
            <w:noWrap/>
            <w:hideMark/>
          </w:tcPr>
          <w:p w14:paraId="1685E5F9" w14:textId="77777777" w:rsidR="00B86FB3" w:rsidRPr="00FF756A" w:rsidRDefault="00B86FB3" w:rsidP="00B86FB3">
            <w:pPr>
              <w:rPr>
                <w:rFonts w:eastAsia="Times New Roman" w:cs="Times New Roman"/>
                <w:b w:val="0"/>
                <w:sz w:val="18"/>
                <w:szCs w:val="18"/>
              </w:rPr>
            </w:pPr>
            <w:r w:rsidRPr="00FF756A">
              <w:rPr>
                <w:rFonts w:cs="Times New Roman"/>
                <w:sz w:val="18"/>
                <w:szCs w:val="18"/>
              </w:rPr>
              <w:t>WEM</w:t>
            </w:r>
          </w:p>
        </w:tc>
        <w:tc>
          <w:tcPr>
            <w:tcW w:w="484" w:type="pct"/>
            <w:shd w:val="clear" w:color="auto" w:fill="4472C4" w:themeFill="accent1"/>
            <w:noWrap/>
            <w:hideMark/>
          </w:tcPr>
          <w:p w14:paraId="29D43FCD"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84" w:type="pct"/>
            <w:shd w:val="clear" w:color="auto" w:fill="4472C4" w:themeFill="accent1"/>
            <w:noWrap/>
            <w:hideMark/>
          </w:tcPr>
          <w:p w14:paraId="4EA053BE"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rPr>
            </w:pPr>
          </w:p>
        </w:tc>
        <w:tc>
          <w:tcPr>
            <w:tcW w:w="482" w:type="pct"/>
            <w:shd w:val="clear" w:color="auto" w:fill="4472C4" w:themeFill="accent1"/>
            <w:noWrap/>
            <w:hideMark/>
          </w:tcPr>
          <w:p w14:paraId="77B989AB"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rPr>
            </w:pPr>
          </w:p>
        </w:tc>
        <w:tc>
          <w:tcPr>
            <w:tcW w:w="482" w:type="pct"/>
            <w:shd w:val="clear" w:color="auto" w:fill="4472C4" w:themeFill="accent1"/>
            <w:noWrap/>
            <w:hideMark/>
          </w:tcPr>
          <w:p w14:paraId="23E369AC"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rPr>
            </w:pPr>
          </w:p>
        </w:tc>
        <w:tc>
          <w:tcPr>
            <w:tcW w:w="482" w:type="pct"/>
            <w:shd w:val="clear" w:color="auto" w:fill="4472C4" w:themeFill="accent1"/>
            <w:noWrap/>
            <w:hideMark/>
          </w:tcPr>
          <w:p w14:paraId="6659AB65"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rPr>
            </w:pPr>
          </w:p>
        </w:tc>
        <w:tc>
          <w:tcPr>
            <w:tcW w:w="482" w:type="pct"/>
            <w:shd w:val="clear" w:color="auto" w:fill="4472C4" w:themeFill="accent1"/>
            <w:noWrap/>
            <w:hideMark/>
          </w:tcPr>
          <w:p w14:paraId="19113F93"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p>
        </w:tc>
        <w:tc>
          <w:tcPr>
            <w:tcW w:w="482" w:type="pct"/>
            <w:shd w:val="clear" w:color="auto" w:fill="4472C4" w:themeFill="accent1"/>
            <w:noWrap/>
            <w:hideMark/>
          </w:tcPr>
          <w:p w14:paraId="45C0A3DF"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rPr>
            </w:pPr>
          </w:p>
        </w:tc>
        <w:tc>
          <w:tcPr>
            <w:tcW w:w="481" w:type="pct"/>
            <w:gridSpan w:val="2"/>
            <w:shd w:val="clear" w:color="auto" w:fill="4472C4" w:themeFill="accent1"/>
          </w:tcPr>
          <w:p w14:paraId="0A5B8811"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rPr>
            </w:pPr>
          </w:p>
        </w:tc>
      </w:tr>
      <w:tr w:rsidR="00B86FB3" w:rsidRPr="00FF756A" w14:paraId="7435117A"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1" w:type="pct"/>
            <w:noWrap/>
            <w:hideMark/>
          </w:tcPr>
          <w:p w14:paraId="62942937" w14:textId="77777777" w:rsidR="00B86FB3" w:rsidRPr="00FF756A" w:rsidRDefault="00B86FB3" w:rsidP="00B86FB3">
            <w:pPr>
              <w:rPr>
                <w:rFonts w:eastAsia="Times New Roman" w:cs="Times New Roman"/>
                <w:b w:val="0"/>
                <w:sz w:val="18"/>
                <w:szCs w:val="18"/>
              </w:rPr>
            </w:pPr>
            <w:r w:rsidRPr="00FF756A">
              <w:rPr>
                <w:rFonts w:cs="Times New Roman"/>
                <w:sz w:val="18"/>
                <w:szCs w:val="18"/>
              </w:rPr>
              <w:t>Lënda drusore</w:t>
            </w:r>
          </w:p>
        </w:tc>
        <w:tc>
          <w:tcPr>
            <w:tcW w:w="484" w:type="pct"/>
            <w:noWrap/>
            <w:vAlign w:val="center"/>
            <w:hideMark/>
          </w:tcPr>
          <w:p w14:paraId="68FE07E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149,5</w:t>
            </w:r>
          </w:p>
        </w:tc>
        <w:tc>
          <w:tcPr>
            <w:tcW w:w="484" w:type="pct"/>
            <w:noWrap/>
            <w:vAlign w:val="center"/>
            <w:hideMark/>
          </w:tcPr>
          <w:p w14:paraId="748242D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146,3</w:t>
            </w:r>
          </w:p>
        </w:tc>
        <w:tc>
          <w:tcPr>
            <w:tcW w:w="482" w:type="pct"/>
            <w:noWrap/>
            <w:vAlign w:val="center"/>
            <w:hideMark/>
          </w:tcPr>
          <w:p w14:paraId="444A4F9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143,2</w:t>
            </w:r>
          </w:p>
        </w:tc>
        <w:tc>
          <w:tcPr>
            <w:tcW w:w="482" w:type="pct"/>
            <w:noWrap/>
            <w:vAlign w:val="center"/>
            <w:hideMark/>
          </w:tcPr>
          <w:p w14:paraId="71DB99C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142,1</w:t>
            </w:r>
          </w:p>
        </w:tc>
        <w:tc>
          <w:tcPr>
            <w:tcW w:w="482" w:type="pct"/>
            <w:noWrap/>
            <w:vAlign w:val="center"/>
            <w:hideMark/>
          </w:tcPr>
          <w:p w14:paraId="10A796A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142,5</w:t>
            </w:r>
          </w:p>
        </w:tc>
        <w:tc>
          <w:tcPr>
            <w:tcW w:w="482" w:type="pct"/>
            <w:shd w:val="clear" w:color="auto" w:fill="4472C4" w:themeFill="accent1"/>
            <w:noWrap/>
            <w:vAlign w:val="center"/>
            <w:hideMark/>
          </w:tcPr>
          <w:p w14:paraId="084A537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sz w:val="18"/>
                <w:szCs w:val="18"/>
              </w:rPr>
              <w:t>145,0</w:t>
            </w:r>
          </w:p>
        </w:tc>
        <w:tc>
          <w:tcPr>
            <w:tcW w:w="482" w:type="pct"/>
            <w:noWrap/>
            <w:vAlign w:val="center"/>
            <w:hideMark/>
          </w:tcPr>
          <w:p w14:paraId="2670BFD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153,0</w:t>
            </w:r>
          </w:p>
        </w:tc>
        <w:tc>
          <w:tcPr>
            <w:tcW w:w="481" w:type="pct"/>
            <w:gridSpan w:val="2"/>
            <w:vAlign w:val="center"/>
          </w:tcPr>
          <w:p w14:paraId="4E7B889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179,7</w:t>
            </w:r>
          </w:p>
        </w:tc>
      </w:tr>
      <w:tr w:rsidR="00B86FB3" w:rsidRPr="00FF756A" w14:paraId="7FAF1B75"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1" w:type="pct"/>
            <w:noWrap/>
            <w:hideMark/>
          </w:tcPr>
          <w:p w14:paraId="32EC6DBB" w14:textId="77777777" w:rsidR="00B86FB3" w:rsidRPr="00FF756A" w:rsidRDefault="00B86FB3" w:rsidP="00B86FB3">
            <w:pPr>
              <w:rPr>
                <w:rFonts w:eastAsia="Times New Roman" w:cs="Times New Roman"/>
                <w:b w:val="0"/>
                <w:sz w:val="18"/>
                <w:szCs w:val="18"/>
              </w:rPr>
            </w:pPr>
            <w:r w:rsidRPr="00FF756A">
              <w:rPr>
                <w:rFonts w:cs="Times New Roman"/>
                <w:sz w:val="18"/>
                <w:szCs w:val="18"/>
              </w:rPr>
              <w:t>Energjia eolike</w:t>
            </w:r>
          </w:p>
        </w:tc>
        <w:tc>
          <w:tcPr>
            <w:tcW w:w="484" w:type="pct"/>
            <w:noWrap/>
            <w:vAlign w:val="center"/>
            <w:hideMark/>
          </w:tcPr>
          <w:p w14:paraId="333A74E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4" w:type="pct"/>
            <w:noWrap/>
            <w:vAlign w:val="center"/>
            <w:hideMark/>
          </w:tcPr>
          <w:p w14:paraId="64A29C5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4D540C0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2C5DFCE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2CBCD329"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shd w:val="clear" w:color="auto" w:fill="4472C4" w:themeFill="accent1"/>
            <w:noWrap/>
            <w:vAlign w:val="center"/>
            <w:hideMark/>
          </w:tcPr>
          <w:p w14:paraId="62FD952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sz w:val="18"/>
                <w:szCs w:val="18"/>
              </w:rPr>
              <w:t>41,4</w:t>
            </w:r>
          </w:p>
        </w:tc>
        <w:tc>
          <w:tcPr>
            <w:tcW w:w="482" w:type="pct"/>
            <w:noWrap/>
            <w:vAlign w:val="center"/>
            <w:hideMark/>
          </w:tcPr>
          <w:p w14:paraId="3550AB8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41,4</w:t>
            </w:r>
          </w:p>
        </w:tc>
        <w:tc>
          <w:tcPr>
            <w:tcW w:w="481" w:type="pct"/>
            <w:gridSpan w:val="2"/>
            <w:vAlign w:val="center"/>
          </w:tcPr>
          <w:p w14:paraId="72D20FA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41,4</w:t>
            </w:r>
          </w:p>
        </w:tc>
      </w:tr>
      <w:tr w:rsidR="00B86FB3" w:rsidRPr="00FF756A" w14:paraId="2846FF81"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1" w:type="pct"/>
            <w:noWrap/>
            <w:hideMark/>
          </w:tcPr>
          <w:p w14:paraId="7BBD54B5" w14:textId="77777777" w:rsidR="00B86FB3" w:rsidRPr="00FF756A" w:rsidRDefault="00B86FB3" w:rsidP="00B86FB3">
            <w:pPr>
              <w:rPr>
                <w:rFonts w:eastAsia="Times New Roman" w:cs="Times New Roman"/>
                <w:b w:val="0"/>
                <w:sz w:val="18"/>
                <w:szCs w:val="18"/>
              </w:rPr>
            </w:pPr>
            <w:r w:rsidRPr="00FF756A">
              <w:rPr>
                <w:rFonts w:cs="Times New Roman"/>
                <w:sz w:val="18"/>
                <w:szCs w:val="18"/>
              </w:rPr>
              <w:t>Energjia diellore</w:t>
            </w:r>
          </w:p>
        </w:tc>
        <w:tc>
          <w:tcPr>
            <w:tcW w:w="484" w:type="pct"/>
            <w:noWrap/>
            <w:vAlign w:val="center"/>
            <w:hideMark/>
          </w:tcPr>
          <w:p w14:paraId="296791A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15,8</w:t>
            </w:r>
          </w:p>
        </w:tc>
        <w:tc>
          <w:tcPr>
            <w:tcW w:w="484" w:type="pct"/>
            <w:noWrap/>
            <w:vAlign w:val="center"/>
            <w:hideMark/>
          </w:tcPr>
          <w:p w14:paraId="054C5F4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16,7</w:t>
            </w:r>
          </w:p>
        </w:tc>
        <w:tc>
          <w:tcPr>
            <w:tcW w:w="482" w:type="pct"/>
            <w:noWrap/>
            <w:vAlign w:val="center"/>
            <w:hideMark/>
          </w:tcPr>
          <w:p w14:paraId="5DF11BC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16,5</w:t>
            </w:r>
          </w:p>
        </w:tc>
        <w:tc>
          <w:tcPr>
            <w:tcW w:w="482" w:type="pct"/>
            <w:noWrap/>
            <w:vAlign w:val="center"/>
            <w:hideMark/>
          </w:tcPr>
          <w:p w14:paraId="05C3CFC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37,7</w:t>
            </w:r>
          </w:p>
        </w:tc>
        <w:tc>
          <w:tcPr>
            <w:tcW w:w="482" w:type="pct"/>
            <w:noWrap/>
            <w:vAlign w:val="center"/>
            <w:hideMark/>
          </w:tcPr>
          <w:p w14:paraId="4407C6E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55,3</w:t>
            </w:r>
          </w:p>
        </w:tc>
        <w:tc>
          <w:tcPr>
            <w:tcW w:w="482" w:type="pct"/>
            <w:shd w:val="clear" w:color="auto" w:fill="4472C4" w:themeFill="accent1"/>
            <w:noWrap/>
            <w:vAlign w:val="center"/>
            <w:hideMark/>
          </w:tcPr>
          <w:p w14:paraId="7965BD0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sz w:val="18"/>
                <w:szCs w:val="18"/>
              </w:rPr>
              <w:t>61,5</w:t>
            </w:r>
          </w:p>
        </w:tc>
        <w:tc>
          <w:tcPr>
            <w:tcW w:w="482" w:type="pct"/>
            <w:noWrap/>
            <w:vAlign w:val="center"/>
            <w:hideMark/>
          </w:tcPr>
          <w:p w14:paraId="4F11386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72,3</w:t>
            </w:r>
          </w:p>
        </w:tc>
        <w:tc>
          <w:tcPr>
            <w:tcW w:w="481" w:type="pct"/>
            <w:gridSpan w:val="2"/>
            <w:vAlign w:val="center"/>
          </w:tcPr>
          <w:p w14:paraId="62AD2A9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92,1</w:t>
            </w:r>
          </w:p>
        </w:tc>
      </w:tr>
      <w:tr w:rsidR="00B86FB3" w:rsidRPr="00FF756A" w14:paraId="0945710E"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1" w:type="pct"/>
            <w:noWrap/>
            <w:hideMark/>
          </w:tcPr>
          <w:p w14:paraId="46C4B0E2" w14:textId="77777777" w:rsidR="00B86FB3" w:rsidRPr="00FF756A" w:rsidRDefault="00B86FB3" w:rsidP="00B86FB3">
            <w:pPr>
              <w:rPr>
                <w:rFonts w:eastAsia="Times New Roman" w:cs="Times New Roman"/>
                <w:b w:val="0"/>
                <w:sz w:val="18"/>
                <w:szCs w:val="18"/>
              </w:rPr>
            </w:pPr>
            <w:r w:rsidRPr="00FF756A">
              <w:rPr>
                <w:rFonts w:cs="Times New Roman"/>
                <w:sz w:val="18"/>
                <w:szCs w:val="18"/>
              </w:rPr>
              <w:t>Energjia hidrike</w:t>
            </w:r>
          </w:p>
        </w:tc>
        <w:tc>
          <w:tcPr>
            <w:tcW w:w="484" w:type="pct"/>
            <w:noWrap/>
            <w:vAlign w:val="center"/>
            <w:hideMark/>
          </w:tcPr>
          <w:p w14:paraId="02C2B0B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454,7</w:t>
            </w:r>
          </w:p>
        </w:tc>
        <w:tc>
          <w:tcPr>
            <w:tcW w:w="484" w:type="pct"/>
            <w:noWrap/>
            <w:vAlign w:val="center"/>
            <w:hideMark/>
          </w:tcPr>
          <w:p w14:paraId="0201EB1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454,7</w:t>
            </w:r>
          </w:p>
        </w:tc>
        <w:tc>
          <w:tcPr>
            <w:tcW w:w="482" w:type="pct"/>
            <w:noWrap/>
            <w:vAlign w:val="center"/>
            <w:hideMark/>
          </w:tcPr>
          <w:p w14:paraId="1EA4BB4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454,7</w:t>
            </w:r>
          </w:p>
        </w:tc>
        <w:tc>
          <w:tcPr>
            <w:tcW w:w="482" w:type="pct"/>
            <w:noWrap/>
            <w:vAlign w:val="center"/>
            <w:hideMark/>
          </w:tcPr>
          <w:p w14:paraId="30B28A0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648,9</w:t>
            </w:r>
          </w:p>
        </w:tc>
        <w:tc>
          <w:tcPr>
            <w:tcW w:w="482" w:type="pct"/>
            <w:noWrap/>
            <w:vAlign w:val="center"/>
            <w:hideMark/>
          </w:tcPr>
          <w:p w14:paraId="4C6619E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649,6</w:t>
            </w:r>
          </w:p>
        </w:tc>
        <w:tc>
          <w:tcPr>
            <w:tcW w:w="482" w:type="pct"/>
            <w:shd w:val="clear" w:color="auto" w:fill="4472C4" w:themeFill="accent1"/>
            <w:noWrap/>
            <w:vAlign w:val="center"/>
            <w:hideMark/>
          </w:tcPr>
          <w:p w14:paraId="03FD0B0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sz w:val="18"/>
                <w:szCs w:val="18"/>
              </w:rPr>
              <w:t>647,1</w:t>
            </w:r>
          </w:p>
        </w:tc>
        <w:tc>
          <w:tcPr>
            <w:tcW w:w="482" w:type="pct"/>
            <w:noWrap/>
            <w:vAlign w:val="center"/>
            <w:hideMark/>
          </w:tcPr>
          <w:p w14:paraId="1D9C463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758,5</w:t>
            </w:r>
          </w:p>
        </w:tc>
        <w:tc>
          <w:tcPr>
            <w:tcW w:w="481" w:type="pct"/>
            <w:gridSpan w:val="2"/>
            <w:vAlign w:val="center"/>
          </w:tcPr>
          <w:p w14:paraId="0F3F44F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757,9</w:t>
            </w:r>
          </w:p>
        </w:tc>
      </w:tr>
      <w:tr w:rsidR="00B86FB3" w:rsidRPr="00FF756A" w14:paraId="01263184"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1" w:type="pct"/>
            <w:noWrap/>
            <w:hideMark/>
          </w:tcPr>
          <w:p w14:paraId="480ED7D7" w14:textId="77777777" w:rsidR="00B86FB3" w:rsidRPr="00FF756A" w:rsidRDefault="00B86FB3" w:rsidP="00B86FB3">
            <w:pPr>
              <w:rPr>
                <w:rFonts w:eastAsia="Times New Roman" w:cs="Times New Roman"/>
                <w:b w:val="0"/>
                <w:sz w:val="18"/>
                <w:szCs w:val="18"/>
              </w:rPr>
            </w:pPr>
            <w:r w:rsidRPr="00FF756A">
              <w:rPr>
                <w:rFonts w:cs="Times New Roman"/>
                <w:sz w:val="18"/>
                <w:szCs w:val="18"/>
              </w:rPr>
              <w:t>Hidrogjeni</w:t>
            </w:r>
          </w:p>
        </w:tc>
        <w:tc>
          <w:tcPr>
            <w:tcW w:w="484" w:type="pct"/>
            <w:noWrap/>
            <w:vAlign w:val="center"/>
            <w:hideMark/>
          </w:tcPr>
          <w:p w14:paraId="7C7B1DF5"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4" w:type="pct"/>
            <w:noWrap/>
            <w:vAlign w:val="center"/>
            <w:hideMark/>
          </w:tcPr>
          <w:p w14:paraId="1A392B7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1E44C6E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4F8F438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461DF04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shd w:val="clear" w:color="auto" w:fill="4472C4" w:themeFill="accent1"/>
            <w:noWrap/>
            <w:vAlign w:val="center"/>
            <w:hideMark/>
          </w:tcPr>
          <w:p w14:paraId="0596A42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sz w:val="18"/>
                <w:szCs w:val="18"/>
              </w:rPr>
              <w:t>0,1</w:t>
            </w:r>
          </w:p>
        </w:tc>
        <w:tc>
          <w:tcPr>
            <w:tcW w:w="482" w:type="pct"/>
            <w:noWrap/>
            <w:vAlign w:val="center"/>
            <w:hideMark/>
          </w:tcPr>
          <w:p w14:paraId="7F249BB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15,3</w:t>
            </w:r>
          </w:p>
        </w:tc>
        <w:tc>
          <w:tcPr>
            <w:tcW w:w="481" w:type="pct"/>
            <w:gridSpan w:val="2"/>
            <w:vAlign w:val="center"/>
          </w:tcPr>
          <w:p w14:paraId="3A76F87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47,7</w:t>
            </w:r>
          </w:p>
        </w:tc>
      </w:tr>
      <w:tr w:rsidR="00B86FB3" w:rsidRPr="00FF756A" w14:paraId="10479EBD"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1" w:type="pct"/>
            <w:noWrap/>
            <w:hideMark/>
          </w:tcPr>
          <w:p w14:paraId="31465159" w14:textId="77777777" w:rsidR="00B86FB3" w:rsidRPr="00FF756A" w:rsidRDefault="00B86FB3" w:rsidP="00B86FB3">
            <w:pPr>
              <w:jc w:val="left"/>
              <w:rPr>
                <w:rFonts w:eastAsia="Times New Roman" w:cs="Times New Roman"/>
                <w:b w:val="0"/>
                <w:sz w:val="18"/>
                <w:szCs w:val="18"/>
              </w:rPr>
            </w:pPr>
            <w:r w:rsidRPr="00FF756A">
              <w:rPr>
                <w:rFonts w:cs="Times New Roman"/>
                <w:sz w:val="18"/>
                <w:szCs w:val="18"/>
              </w:rPr>
              <w:t>Mbetjet e ngurta urbane</w:t>
            </w:r>
          </w:p>
        </w:tc>
        <w:tc>
          <w:tcPr>
            <w:tcW w:w="484" w:type="pct"/>
            <w:noWrap/>
            <w:vAlign w:val="center"/>
            <w:hideMark/>
          </w:tcPr>
          <w:p w14:paraId="71AB863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4" w:type="pct"/>
            <w:noWrap/>
            <w:vAlign w:val="center"/>
            <w:hideMark/>
          </w:tcPr>
          <w:p w14:paraId="5C49E5B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19FF1A1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w:t>
            </w:r>
          </w:p>
        </w:tc>
        <w:tc>
          <w:tcPr>
            <w:tcW w:w="482" w:type="pct"/>
            <w:noWrap/>
            <w:vAlign w:val="center"/>
            <w:hideMark/>
          </w:tcPr>
          <w:p w14:paraId="6A97BD9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1,3</w:t>
            </w:r>
          </w:p>
        </w:tc>
        <w:tc>
          <w:tcPr>
            <w:tcW w:w="482" w:type="pct"/>
            <w:noWrap/>
            <w:vAlign w:val="center"/>
            <w:hideMark/>
          </w:tcPr>
          <w:p w14:paraId="5A5030C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0,9</w:t>
            </w:r>
          </w:p>
        </w:tc>
        <w:tc>
          <w:tcPr>
            <w:tcW w:w="482" w:type="pct"/>
            <w:shd w:val="clear" w:color="auto" w:fill="4472C4" w:themeFill="accent1"/>
            <w:noWrap/>
            <w:vAlign w:val="center"/>
            <w:hideMark/>
          </w:tcPr>
          <w:p w14:paraId="516C189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sz w:val="18"/>
                <w:szCs w:val="18"/>
              </w:rPr>
              <w:t>0,1</w:t>
            </w:r>
          </w:p>
        </w:tc>
        <w:tc>
          <w:tcPr>
            <w:tcW w:w="482" w:type="pct"/>
            <w:noWrap/>
            <w:vAlign w:val="center"/>
            <w:hideMark/>
          </w:tcPr>
          <w:p w14:paraId="3AF8FC1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2,2</w:t>
            </w:r>
          </w:p>
        </w:tc>
        <w:tc>
          <w:tcPr>
            <w:tcW w:w="481" w:type="pct"/>
            <w:gridSpan w:val="2"/>
            <w:vAlign w:val="center"/>
          </w:tcPr>
          <w:p w14:paraId="7CEC4CB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r w:rsidRPr="00FF756A">
              <w:rPr>
                <w:rFonts w:cs="Times New Roman"/>
                <w:sz w:val="18"/>
                <w:szCs w:val="18"/>
              </w:rPr>
              <w:t>3,6</w:t>
            </w:r>
          </w:p>
        </w:tc>
      </w:tr>
      <w:tr w:rsidR="00B86FB3" w:rsidRPr="00FF756A" w14:paraId="015E2073"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1" w:type="pct"/>
            <w:noWrap/>
            <w:hideMark/>
          </w:tcPr>
          <w:p w14:paraId="26A16A31" w14:textId="77777777" w:rsidR="00B86FB3" w:rsidRPr="00FF756A" w:rsidRDefault="00B86FB3" w:rsidP="00B86FB3">
            <w:pPr>
              <w:rPr>
                <w:rFonts w:eastAsia="Times New Roman" w:cs="Times New Roman"/>
                <w:b w:val="0"/>
                <w:sz w:val="18"/>
                <w:szCs w:val="18"/>
              </w:rPr>
            </w:pPr>
            <w:r w:rsidRPr="00FF756A">
              <w:rPr>
                <w:rFonts w:cs="Times New Roman"/>
                <w:sz w:val="18"/>
                <w:szCs w:val="18"/>
              </w:rPr>
              <w:t>Totali</w:t>
            </w:r>
          </w:p>
        </w:tc>
        <w:tc>
          <w:tcPr>
            <w:tcW w:w="484" w:type="pct"/>
            <w:shd w:val="clear" w:color="auto" w:fill="4472C4" w:themeFill="accent1"/>
            <w:noWrap/>
            <w:vAlign w:val="center"/>
            <w:hideMark/>
          </w:tcPr>
          <w:p w14:paraId="19738FC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620,0</w:t>
            </w:r>
          </w:p>
        </w:tc>
        <w:tc>
          <w:tcPr>
            <w:tcW w:w="484" w:type="pct"/>
            <w:shd w:val="clear" w:color="auto" w:fill="4472C4" w:themeFill="accent1"/>
            <w:noWrap/>
            <w:vAlign w:val="center"/>
            <w:hideMark/>
          </w:tcPr>
          <w:p w14:paraId="015E8A3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617,6</w:t>
            </w:r>
          </w:p>
        </w:tc>
        <w:tc>
          <w:tcPr>
            <w:tcW w:w="482" w:type="pct"/>
            <w:shd w:val="clear" w:color="auto" w:fill="4472C4" w:themeFill="accent1"/>
            <w:noWrap/>
            <w:vAlign w:val="center"/>
            <w:hideMark/>
          </w:tcPr>
          <w:p w14:paraId="22E88B0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614,3</w:t>
            </w:r>
          </w:p>
        </w:tc>
        <w:tc>
          <w:tcPr>
            <w:tcW w:w="482" w:type="pct"/>
            <w:shd w:val="clear" w:color="auto" w:fill="4472C4" w:themeFill="accent1"/>
            <w:noWrap/>
            <w:vAlign w:val="center"/>
            <w:hideMark/>
          </w:tcPr>
          <w:p w14:paraId="4E29CCAE"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830,0</w:t>
            </w:r>
          </w:p>
        </w:tc>
        <w:tc>
          <w:tcPr>
            <w:tcW w:w="482" w:type="pct"/>
            <w:shd w:val="clear" w:color="auto" w:fill="4472C4" w:themeFill="accent1"/>
            <w:noWrap/>
            <w:vAlign w:val="center"/>
            <w:hideMark/>
          </w:tcPr>
          <w:p w14:paraId="349E055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848,3</w:t>
            </w:r>
          </w:p>
        </w:tc>
        <w:tc>
          <w:tcPr>
            <w:tcW w:w="482" w:type="pct"/>
            <w:shd w:val="clear" w:color="auto" w:fill="4472C4" w:themeFill="accent1"/>
            <w:noWrap/>
            <w:vAlign w:val="center"/>
            <w:hideMark/>
          </w:tcPr>
          <w:p w14:paraId="2D3FBFC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895,1</w:t>
            </w:r>
          </w:p>
        </w:tc>
        <w:tc>
          <w:tcPr>
            <w:tcW w:w="482" w:type="pct"/>
            <w:shd w:val="clear" w:color="auto" w:fill="4472C4" w:themeFill="accent1"/>
            <w:noWrap/>
            <w:vAlign w:val="center"/>
            <w:hideMark/>
          </w:tcPr>
          <w:p w14:paraId="01AC5790" w14:textId="77777777" w:rsidR="00B86FB3" w:rsidRPr="00FF756A" w:rsidRDefault="00B86FB3" w:rsidP="00B86FB3">
            <w:pPr>
              <w:keepNext/>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1 042,8</w:t>
            </w:r>
          </w:p>
        </w:tc>
        <w:tc>
          <w:tcPr>
            <w:tcW w:w="481" w:type="pct"/>
            <w:gridSpan w:val="2"/>
            <w:shd w:val="clear" w:color="auto" w:fill="4472C4" w:themeFill="accent1"/>
            <w:vAlign w:val="center"/>
          </w:tcPr>
          <w:p w14:paraId="4BA7D9DF" w14:textId="77777777" w:rsidR="00B86FB3" w:rsidRPr="00FF756A" w:rsidRDefault="00B86FB3" w:rsidP="00490D19">
            <w:pPr>
              <w:keepNext/>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1 122,3</w:t>
            </w:r>
          </w:p>
        </w:tc>
      </w:tr>
    </w:tbl>
    <w:p w14:paraId="5919A9B7" w14:textId="5899AE32" w:rsidR="00B86FB3" w:rsidRPr="00FF756A" w:rsidRDefault="00490D19" w:rsidP="00490D19">
      <w:pPr>
        <w:pStyle w:val="Caption"/>
        <w:rPr>
          <w:rFonts w:ascii="Times New Roman" w:hAnsi="Times New Roman"/>
          <w:highlight w:val="yellow"/>
        </w:rPr>
      </w:pPr>
      <w:bookmarkStart w:id="702" w:name="_Toc183016516"/>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52</w:t>
      </w:r>
      <w:r w:rsidR="008E7DE9" w:rsidRPr="00FF756A">
        <w:rPr>
          <w:rFonts w:ascii="Times New Roman" w:hAnsi="Times New Roman"/>
          <w:noProof/>
        </w:rPr>
        <w:fldChar w:fldCharType="end"/>
      </w:r>
      <w:r w:rsidRPr="00FF756A">
        <w:rPr>
          <w:rFonts w:ascii="Times New Roman" w:hAnsi="Times New Roman"/>
        </w:rPr>
        <w:t>: Vlerat absolute të burimeve të rinovueshme të energjisë dhe vlerat totale të furnizimit me energji primare për skenarë të ndryshëm</w:t>
      </w:r>
      <w:bookmarkEnd w:id="702"/>
    </w:p>
    <w:tbl>
      <w:tblPr>
        <w:tblStyle w:val="GridTable5DarkAccent10"/>
        <w:tblW w:w="4596" w:type="pct"/>
        <w:tblLook w:val="04A0" w:firstRow="1" w:lastRow="0" w:firstColumn="1" w:lastColumn="0" w:noHBand="0" w:noVBand="1"/>
      </w:tblPr>
      <w:tblGrid>
        <w:gridCol w:w="2322"/>
        <w:gridCol w:w="733"/>
        <w:gridCol w:w="733"/>
        <w:gridCol w:w="733"/>
        <w:gridCol w:w="733"/>
        <w:gridCol w:w="733"/>
        <w:gridCol w:w="877"/>
        <w:gridCol w:w="733"/>
        <w:gridCol w:w="733"/>
      </w:tblGrid>
      <w:tr w:rsidR="00B86FB3" w:rsidRPr="00FF756A" w14:paraId="27E6C356" w14:textId="77777777" w:rsidTr="006A3266">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4890A6A3" w14:textId="77777777" w:rsidR="00B86FB3" w:rsidRPr="00FF756A" w:rsidRDefault="00B86FB3" w:rsidP="00B86FB3">
            <w:pPr>
              <w:rPr>
                <w:rFonts w:eastAsia="Times New Roman" w:cs="Times New Roman"/>
                <w:b w:val="0"/>
                <w:sz w:val="20"/>
                <w:szCs w:val="20"/>
              </w:rPr>
            </w:pPr>
            <w:r w:rsidRPr="00FF756A">
              <w:rPr>
                <w:rFonts w:cs="Times New Roman"/>
                <w:sz w:val="20"/>
                <w:szCs w:val="20"/>
              </w:rPr>
              <w:t>Burimi</w:t>
            </w:r>
          </w:p>
        </w:tc>
        <w:tc>
          <w:tcPr>
            <w:tcW w:w="440" w:type="pct"/>
            <w:noWrap/>
            <w:hideMark/>
          </w:tcPr>
          <w:p w14:paraId="70559294"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rPr>
            </w:pPr>
            <w:r w:rsidRPr="00FF756A">
              <w:rPr>
                <w:rFonts w:cs="Times New Roman"/>
                <w:sz w:val="20"/>
                <w:szCs w:val="20"/>
              </w:rPr>
              <w:t>2020</w:t>
            </w:r>
          </w:p>
        </w:tc>
        <w:tc>
          <w:tcPr>
            <w:tcW w:w="440" w:type="pct"/>
            <w:noWrap/>
            <w:hideMark/>
          </w:tcPr>
          <w:p w14:paraId="1DE53007"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rPr>
            </w:pPr>
            <w:r w:rsidRPr="00FF756A">
              <w:rPr>
                <w:rFonts w:cs="Times New Roman"/>
                <w:sz w:val="20"/>
                <w:szCs w:val="20"/>
              </w:rPr>
              <w:t>2021</w:t>
            </w:r>
          </w:p>
        </w:tc>
        <w:tc>
          <w:tcPr>
            <w:tcW w:w="440" w:type="pct"/>
            <w:noWrap/>
            <w:hideMark/>
          </w:tcPr>
          <w:p w14:paraId="7C70448C"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rPr>
            </w:pPr>
            <w:r w:rsidRPr="00FF756A">
              <w:rPr>
                <w:rFonts w:cs="Times New Roman"/>
                <w:sz w:val="20"/>
                <w:szCs w:val="20"/>
              </w:rPr>
              <w:t>2022</w:t>
            </w:r>
          </w:p>
        </w:tc>
        <w:tc>
          <w:tcPr>
            <w:tcW w:w="440" w:type="pct"/>
            <w:noWrap/>
            <w:hideMark/>
          </w:tcPr>
          <w:p w14:paraId="7A029E0D"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rPr>
            </w:pPr>
            <w:r w:rsidRPr="00FF756A">
              <w:rPr>
                <w:rFonts w:cs="Times New Roman"/>
                <w:sz w:val="20"/>
                <w:szCs w:val="20"/>
              </w:rPr>
              <w:t>2023</w:t>
            </w:r>
          </w:p>
        </w:tc>
        <w:tc>
          <w:tcPr>
            <w:tcW w:w="440" w:type="pct"/>
            <w:noWrap/>
            <w:hideMark/>
          </w:tcPr>
          <w:p w14:paraId="517647D7"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rPr>
            </w:pPr>
            <w:r w:rsidRPr="00FF756A">
              <w:rPr>
                <w:rFonts w:cs="Times New Roman"/>
                <w:sz w:val="20"/>
                <w:szCs w:val="20"/>
              </w:rPr>
              <w:t>2025</w:t>
            </w:r>
          </w:p>
        </w:tc>
        <w:tc>
          <w:tcPr>
            <w:tcW w:w="623" w:type="pct"/>
            <w:noWrap/>
            <w:hideMark/>
          </w:tcPr>
          <w:p w14:paraId="41AEEB55"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rPr>
            </w:pPr>
            <w:r w:rsidRPr="00FF756A">
              <w:rPr>
                <w:rFonts w:cs="Times New Roman"/>
                <w:sz w:val="20"/>
                <w:szCs w:val="20"/>
              </w:rPr>
              <w:t>2030</w:t>
            </w:r>
          </w:p>
        </w:tc>
        <w:tc>
          <w:tcPr>
            <w:tcW w:w="440" w:type="pct"/>
            <w:noWrap/>
            <w:hideMark/>
          </w:tcPr>
          <w:p w14:paraId="6E86E8C1"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rPr>
            </w:pPr>
            <w:r w:rsidRPr="00FF756A">
              <w:rPr>
                <w:rFonts w:cs="Times New Roman"/>
                <w:sz w:val="20"/>
                <w:szCs w:val="20"/>
              </w:rPr>
              <w:t>2040</w:t>
            </w:r>
          </w:p>
        </w:tc>
        <w:tc>
          <w:tcPr>
            <w:tcW w:w="440" w:type="pct"/>
          </w:tcPr>
          <w:p w14:paraId="489C1BE4"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FF756A">
              <w:rPr>
                <w:rFonts w:cs="Times New Roman"/>
                <w:sz w:val="20"/>
                <w:szCs w:val="20"/>
              </w:rPr>
              <w:t>2050</w:t>
            </w:r>
          </w:p>
        </w:tc>
      </w:tr>
      <w:tr w:rsidR="00B86FB3" w:rsidRPr="00FF756A" w14:paraId="6FF4D0F8"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000" w:type="pct"/>
            <w:gridSpan w:val="9"/>
            <w:noWrap/>
          </w:tcPr>
          <w:p w14:paraId="5AE074FC" w14:textId="77777777" w:rsidR="00B86FB3" w:rsidRPr="00FF756A" w:rsidRDefault="00B86FB3" w:rsidP="00B86FB3">
            <w:pPr>
              <w:rPr>
                <w:rFonts w:eastAsia="Times New Roman" w:cs="Times New Roman"/>
                <w:b w:val="0"/>
                <w:sz w:val="20"/>
                <w:szCs w:val="20"/>
              </w:rPr>
            </w:pPr>
            <w:r w:rsidRPr="00FF756A">
              <w:rPr>
                <w:rFonts w:cs="Times New Roman"/>
                <w:sz w:val="20"/>
                <w:szCs w:val="20"/>
              </w:rPr>
              <w:t>Skenari WAM që merr në konsideratë vetëm ER-në për përmbushjen e kërkesës</w:t>
            </w:r>
          </w:p>
        </w:tc>
      </w:tr>
      <w:tr w:rsidR="00B86FB3" w:rsidRPr="00FF756A" w14:paraId="0637F53A"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1E01A9BD" w14:textId="77777777" w:rsidR="00B86FB3" w:rsidRPr="00FF756A" w:rsidRDefault="00B86FB3" w:rsidP="00B86FB3">
            <w:pPr>
              <w:rPr>
                <w:rFonts w:eastAsia="Times New Roman" w:cs="Times New Roman"/>
                <w:b w:val="0"/>
                <w:sz w:val="20"/>
                <w:szCs w:val="20"/>
              </w:rPr>
            </w:pPr>
            <w:r w:rsidRPr="00FF756A">
              <w:rPr>
                <w:rFonts w:cs="Times New Roman"/>
                <w:sz w:val="20"/>
                <w:szCs w:val="20"/>
              </w:rPr>
              <w:t>Lënda drusore</w:t>
            </w:r>
          </w:p>
        </w:tc>
        <w:tc>
          <w:tcPr>
            <w:tcW w:w="440" w:type="pct"/>
            <w:noWrap/>
            <w:hideMark/>
          </w:tcPr>
          <w:p w14:paraId="40D9840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7,1%</w:t>
            </w:r>
          </w:p>
        </w:tc>
        <w:tc>
          <w:tcPr>
            <w:tcW w:w="440" w:type="pct"/>
            <w:noWrap/>
            <w:hideMark/>
          </w:tcPr>
          <w:p w14:paraId="73AA447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6,5%</w:t>
            </w:r>
          </w:p>
        </w:tc>
        <w:tc>
          <w:tcPr>
            <w:tcW w:w="440" w:type="pct"/>
            <w:noWrap/>
            <w:hideMark/>
          </w:tcPr>
          <w:p w14:paraId="6610D60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6,3%</w:t>
            </w:r>
          </w:p>
        </w:tc>
        <w:tc>
          <w:tcPr>
            <w:tcW w:w="440" w:type="pct"/>
            <w:noWrap/>
            <w:hideMark/>
          </w:tcPr>
          <w:p w14:paraId="2EF0AEA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6,2%</w:t>
            </w:r>
          </w:p>
        </w:tc>
        <w:tc>
          <w:tcPr>
            <w:tcW w:w="440" w:type="pct"/>
            <w:noWrap/>
            <w:hideMark/>
          </w:tcPr>
          <w:p w14:paraId="626A09A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6,2%</w:t>
            </w:r>
          </w:p>
        </w:tc>
        <w:tc>
          <w:tcPr>
            <w:tcW w:w="623" w:type="pct"/>
            <w:shd w:val="clear" w:color="auto" w:fill="4472C4" w:themeFill="accent1"/>
            <w:noWrap/>
            <w:hideMark/>
          </w:tcPr>
          <w:p w14:paraId="1901073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0"/>
              </w:rPr>
            </w:pPr>
            <w:r w:rsidRPr="00FF756A">
              <w:rPr>
                <w:rFonts w:cs="Times New Roman"/>
                <w:sz w:val="20"/>
                <w:szCs w:val="20"/>
              </w:rPr>
              <w:t>7,4%</w:t>
            </w:r>
          </w:p>
        </w:tc>
        <w:tc>
          <w:tcPr>
            <w:tcW w:w="440" w:type="pct"/>
            <w:noWrap/>
            <w:hideMark/>
          </w:tcPr>
          <w:p w14:paraId="577F722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11,8%</w:t>
            </w:r>
          </w:p>
        </w:tc>
        <w:tc>
          <w:tcPr>
            <w:tcW w:w="440" w:type="pct"/>
          </w:tcPr>
          <w:p w14:paraId="4F4ADE1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15,6%</w:t>
            </w:r>
          </w:p>
        </w:tc>
      </w:tr>
      <w:tr w:rsidR="00B86FB3" w:rsidRPr="00FF756A" w14:paraId="7FBFA60E"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2BC75AC2" w14:textId="77777777" w:rsidR="00B86FB3" w:rsidRPr="00FF756A" w:rsidRDefault="00B86FB3" w:rsidP="00B86FB3">
            <w:pPr>
              <w:rPr>
                <w:rFonts w:eastAsia="Times New Roman" w:cs="Times New Roman"/>
                <w:b w:val="0"/>
                <w:sz w:val="20"/>
                <w:szCs w:val="20"/>
              </w:rPr>
            </w:pPr>
            <w:r w:rsidRPr="00FF756A">
              <w:rPr>
                <w:rFonts w:cs="Times New Roman"/>
                <w:sz w:val="20"/>
                <w:szCs w:val="20"/>
              </w:rPr>
              <w:t>Energjia eolike</w:t>
            </w:r>
          </w:p>
        </w:tc>
        <w:tc>
          <w:tcPr>
            <w:tcW w:w="440" w:type="pct"/>
            <w:noWrap/>
            <w:hideMark/>
          </w:tcPr>
          <w:p w14:paraId="19F1902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6334138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5FDE7A2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750064D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2B2A251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623" w:type="pct"/>
            <w:shd w:val="clear" w:color="auto" w:fill="4472C4" w:themeFill="accent1"/>
            <w:noWrap/>
            <w:hideMark/>
          </w:tcPr>
          <w:p w14:paraId="0ADD9CD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rPr>
            </w:pPr>
            <w:r w:rsidRPr="00FF756A">
              <w:rPr>
                <w:rFonts w:cs="Times New Roman"/>
                <w:sz w:val="20"/>
                <w:szCs w:val="20"/>
              </w:rPr>
              <w:t>3,9%</w:t>
            </w:r>
          </w:p>
        </w:tc>
        <w:tc>
          <w:tcPr>
            <w:tcW w:w="440" w:type="pct"/>
            <w:noWrap/>
            <w:hideMark/>
          </w:tcPr>
          <w:p w14:paraId="72D630B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5,1%</w:t>
            </w:r>
          </w:p>
        </w:tc>
        <w:tc>
          <w:tcPr>
            <w:tcW w:w="440" w:type="pct"/>
          </w:tcPr>
          <w:p w14:paraId="1E17525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6,1%</w:t>
            </w:r>
          </w:p>
        </w:tc>
      </w:tr>
      <w:tr w:rsidR="00B86FB3" w:rsidRPr="00FF756A" w14:paraId="18BEEBE6"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765252FB" w14:textId="77777777" w:rsidR="00B86FB3" w:rsidRPr="00FF756A" w:rsidRDefault="00B86FB3" w:rsidP="00B86FB3">
            <w:pPr>
              <w:rPr>
                <w:rFonts w:eastAsia="Times New Roman" w:cs="Times New Roman"/>
                <w:b w:val="0"/>
                <w:sz w:val="20"/>
                <w:szCs w:val="20"/>
              </w:rPr>
            </w:pPr>
            <w:r w:rsidRPr="00FF756A">
              <w:rPr>
                <w:rFonts w:cs="Times New Roman"/>
                <w:sz w:val="20"/>
                <w:szCs w:val="20"/>
              </w:rPr>
              <w:t>Energjia diellore</w:t>
            </w:r>
          </w:p>
        </w:tc>
        <w:tc>
          <w:tcPr>
            <w:tcW w:w="440" w:type="pct"/>
            <w:noWrap/>
            <w:hideMark/>
          </w:tcPr>
          <w:p w14:paraId="4F46569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0,7%</w:t>
            </w:r>
          </w:p>
        </w:tc>
        <w:tc>
          <w:tcPr>
            <w:tcW w:w="440" w:type="pct"/>
            <w:noWrap/>
            <w:hideMark/>
          </w:tcPr>
          <w:p w14:paraId="58752FA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0,7%</w:t>
            </w:r>
          </w:p>
        </w:tc>
        <w:tc>
          <w:tcPr>
            <w:tcW w:w="440" w:type="pct"/>
            <w:noWrap/>
            <w:hideMark/>
          </w:tcPr>
          <w:p w14:paraId="22B308F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0,7%</w:t>
            </w:r>
          </w:p>
        </w:tc>
        <w:tc>
          <w:tcPr>
            <w:tcW w:w="440" w:type="pct"/>
            <w:noWrap/>
            <w:hideMark/>
          </w:tcPr>
          <w:p w14:paraId="496BD50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1,9%</w:t>
            </w:r>
          </w:p>
        </w:tc>
        <w:tc>
          <w:tcPr>
            <w:tcW w:w="440" w:type="pct"/>
            <w:noWrap/>
            <w:hideMark/>
          </w:tcPr>
          <w:p w14:paraId="48D7691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3,8%</w:t>
            </w:r>
          </w:p>
        </w:tc>
        <w:tc>
          <w:tcPr>
            <w:tcW w:w="623" w:type="pct"/>
            <w:shd w:val="clear" w:color="auto" w:fill="4472C4" w:themeFill="accent1"/>
            <w:noWrap/>
            <w:hideMark/>
          </w:tcPr>
          <w:p w14:paraId="0AE6ABF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0"/>
              </w:rPr>
            </w:pPr>
            <w:r w:rsidRPr="00FF756A">
              <w:rPr>
                <w:rFonts w:cs="Times New Roman"/>
                <w:sz w:val="20"/>
                <w:szCs w:val="20"/>
              </w:rPr>
              <w:t>6,2%</w:t>
            </w:r>
          </w:p>
        </w:tc>
        <w:tc>
          <w:tcPr>
            <w:tcW w:w="440" w:type="pct"/>
            <w:noWrap/>
            <w:hideMark/>
          </w:tcPr>
          <w:p w14:paraId="4E60B13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12,0%</w:t>
            </w:r>
          </w:p>
        </w:tc>
        <w:tc>
          <w:tcPr>
            <w:tcW w:w="440" w:type="pct"/>
          </w:tcPr>
          <w:p w14:paraId="6E7BA6E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17,4%</w:t>
            </w:r>
          </w:p>
        </w:tc>
      </w:tr>
      <w:tr w:rsidR="00B86FB3" w:rsidRPr="00FF756A" w14:paraId="59D283AA"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6F6C9352" w14:textId="77777777" w:rsidR="00B86FB3" w:rsidRPr="00FF756A" w:rsidRDefault="00B86FB3" w:rsidP="00B86FB3">
            <w:pPr>
              <w:rPr>
                <w:rFonts w:eastAsia="Times New Roman" w:cs="Times New Roman"/>
                <w:b w:val="0"/>
                <w:sz w:val="20"/>
                <w:szCs w:val="20"/>
              </w:rPr>
            </w:pPr>
            <w:r w:rsidRPr="00FF756A">
              <w:rPr>
                <w:rFonts w:cs="Times New Roman"/>
                <w:sz w:val="20"/>
                <w:szCs w:val="20"/>
              </w:rPr>
              <w:t>Energjia hidrike</w:t>
            </w:r>
          </w:p>
        </w:tc>
        <w:tc>
          <w:tcPr>
            <w:tcW w:w="440" w:type="pct"/>
            <w:noWrap/>
            <w:hideMark/>
          </w:tcPr>
          <w:p w14:paraId="335C968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21,4%</w:t>
            </w:r>
          </w:p>
        </w:tc>
        <w:tc>
          <w:tcPr>
            <w:tcW w:w="440" w:type="pct"/>
            <w:noWrap/>
            <w:hideMark/>
          </w:tcPr>
          <w:p w14:paraId="02081FC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20,2%</w:t>
            </w:r>
          </w:p>
        </w:tc>
        <w:tc>
          <w:tcPr>
            <w:tcW w:w="440" w:type="pct"/>
            <w:noWrap/>
            <w:hideMark/>
          </w:tcPr>
          <w:p w14:paraId="0CB6C6A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20,1%</w:t>
            </w:r>
          </w:p>
        </w:tc>
        <w:tc>
          <w:tcPr>
            <w:tcW w:w="440" w:type="pct"/>
            <w:noWrap/>
            <w:hideMark/>
          </w:tcPr>
          <w:p w14:paraId="5AEF5CC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28,1%</w:t>
            </w:r>
          </w:p>
        </w:tc>
        <w:tc>
          <w:tcPr>
            <w:tcW w:w="440" w:type="pct"/>
            <w:noWrap/>
            <w:hideMark/>
          </w:tcPr>
          <w:p w14:paraId="2BC6BE3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26,4%</w:t>
            </w:r>
          </w:p>
        </w:tc>
        <w:tc>
          <w:tcPr>
            <w:tcW w:w="623" w:type="pct"/>
            <w:shd w:val="clear" w:color="auto" w:fill="4472C4" w:themeFill="accent1"/>
            <w:noWrap/>
            <w:hideMark/>
          </w:tcPr>
          <w:p w14:paraId="027BE13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rPr>
            </w:pPr>
            <w:r w:rsidRPr="00FF756A">
              <w:rPr>
                <w:rFonts w:cs="Times New Roman"/>
                <w:sz w:val="20"/>
                <w:szCs w:val="20"/>
              </w:rPr>
              <w:t>19,7%</w:t>
            </w:r>
          </w:p>
        </w:tc>
        <w:tc>
          <w:tcPr>
            <w:tcW w:w="440" w:type="pct"/>
            <w:noWrap/>
            <w:hideMark/>
          </w:tcPr>
          <w:p w14:paraId="657B5B9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18,6%</w:t>
            </w:r>
          </w:p>
        </w:tc>
        <w:tc>
          <w:tcPr>
            <w:tcW w:w="440" w:type="pct"/>
          </w:tcPr>
          <w:p w14:paraId="48755F3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17,4%</w:t>
            </w:r>
          </w:p>
        </w:tc>
      </w:tr>
      <w:tr w:rsidR="00B86FB3" w:rsidRPr="00FF756A" w14:paraId="56AFB225"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7C1203EB" w14:textId="77777777" w:rsidR="00B86FB3" w:rsidRPr="00FF756A" w:rsidRDefault="00B86FB3" w:rsidP="00B86FB3">
            <w:pPr>
              <w:rPr>
                <w:rFonts w:eastAsia="Times New Roman" w:cs="Times New Roman"/>
                <w:b w:val="0"/>
                <w:sz w:val="20"/>
                <w:szCs w:val="20"/>
              </w:rPr>
            </w:pPr>
            <w:r w:rsidRPr="00FF756A">
              <w:rPr>
                <w:rFonts w:cs="Times New Roman"/>
                <w:sz w:val="20"/>
                <w:szCs w:val="20"/>
              </w:rPr>
              <w:t>Hidrogjeni</w:t>
            </w:r>
          </w:p>
        </w:tc>
        <w:tc>
          <w:tcPr>
            <w:tcW w:w="440" w:type="pct"/>
            <w:noWrap/>
            <w:hideMark/>
          </w:tcPr>
          <w:p w14:paraId="5A2D558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1837830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24AB3D2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5854BF5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463CD70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623" w:type="pct"/>
            <w:shd w:val="clear" w:color="auto" w:fill="4472C4" w:themeFill="accent1"/>
            <w:noWrap/>
            <w:hideMark/>
          </w:tcPr>
          <w:p w14:paraId="2711F56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0"/>
              </w:rPr>
            </w:pPr>
            <w:r w:rsidRPr="00FF756A">
              <w:rPr>
                <w:rFonts w:cs="Times New Roman"/>
                <w:sz w:val="20"/>
                <w:szCs w:val="20"/>
              </w:rPr>
              <w:t>0,0%</w:t>
            </w:r>
          </w:p>
        </w:tc>
        <w:tc>
          <w:tcPr>
            <w:tcW w:w="440" w:type="pct"/>
            <w:noWrap/>
            <w:hideMark/>
          </w:tcPr>
          <w:p w14:paraId="76FFF2F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0,4%</w:t>
            </w:r>
          </w:p>
        </w:tc>
        <w:tc>
          <w:tcPr>
            <w:tcW w:w="440" w:type="pct"/>
          </w:tcPr>
          <w:p w14:paraId="5418CE5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3,3%</w:t>
            </w:r>
          </w:p>
        </w:tc>
      </w:tr>
      <w:tr w:rsidR="00B86FB3" w:rsidRPr="00FF756A" w14:paraId="0A8FA4F3"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2D52228A" w14:textId="77777777" w:rsidR="00B86FB3" w:rsidRPr="00FF756A" w:rsidRDefault="00B86FB3" w:rsidP="00B86FB3">
            <w:pPr>
              <w:rPr>
                <w:rFonts w:eastAsia="Times New Roman" w:cs="Times New Roman"/>
                <w:b w:val="0"/>
                <w:sz w:val="20"/>
                <w:szCs w:val="20"/>
              </w:rPr>
            </w:pPr>
            <w:r w:rsidRPr="00FF756A">
              <w:rPr>
                <w:rFonts w:cs="Times New Roman"/>
                <w:sz w:val="20"/>
                <w:szCs w:val="20"/>
              </w:rPr>
              <w:t>Mbetjet e ngurta urbane</w:t>
            </w:r>
          </w:p>
        </w:tc>
        <w:tc>
          <w:tcPr>
            <w:tcW w:w="440" w:type="pct"/>
            <w:noWrap/>
            <w:hideMark/>
          </w:tcPr>
          <w:p w14:paraId="4303CD9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03F3024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1CAC4C1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18F0F65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0,1%</w:t>
            </w:r>
          </w:p>
        </w:tc>
        <w:tc>
          <w:tcPr>
            <w:tcW w:w="440" w:type="pct"/>
            <w:noWrap/>
            <w:hideMark/>
          </w:tcPr>
          <w:p w14:paraId="6F26259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623" w:type="pct"/>
            <w:shd w:val="clear" w:color="auto" w:fill="4472C4" w:themeFill="accent1"/>
            <w:noWrap/>
            <w:hideMark/>
          </w:tcPr>
          <w:p w14:paraId="257DEDF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rPr>
            </w:pPr>
            <w:r w:rsidRPr="00FF756A">
              <w:rPr>
                <w:rFonts w:cs="Times New Roman"/>
                <w:sz w:val="20"/>
                <w:szCs w:val="20"/>
              </w:rPr>
              <w:t>0,0%</w:t>
            </w:r>
          </w:p>
        </w:tc>
        <w:tc>
          <w:tcPr>
            <w:tcW w:w="440" w:type="pct"/>
            <w:noWrap/>
            <w:hideMark/>
          </w:tcPr>
          <w:p w14:paraId="6B1F3FB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tcPr>
          <w:p w14:paraId="28DB927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r>
      <w:tr w:rsidR="00B86FB3" w:rsidRPr="00FF756A" w14:paraId="3F5A0B76"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43B7A218" w14:textId="77777777" w:rsidR="00B86FB3" w:rsidRPr="00FF756A" w:rsidRDefault="00B86FB3" w:rsidP="00B86FB3">
            <w:pPr>
              <w:rPr>
                <w:rFonts w:eastAsia="Times New Roman" w:cs="Times New Roman"/>
                <w:b w:val="0"/>
                <w:sz w:val="20"/>
                <w:szCs w:val="20"/>
              </w:rPr>
            </w:pPr>
            <w:r w:rsidRPr="00FF756A">
              <w:rPr>
                <w:rFonts w:cs="Times New Roman"/>
                <w:sz w:val="20"/>
                <w:szCs w:val="20"/>
              </w:rPr>
              <w:t>Biodizeli</w:t>
            </w:r>
          </w:p>
        </w:tc>
        <w:tc>
          <w:tcPr>
            <w:tcW w:w="440" w:type="pct"/>
            <w:noWrap/>
            <w:hideMark/>
          </w:tcPr>
          <w:p w14:paraId="76D245D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7BCD274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086801F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1921403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0,8%</w:t>
            </w:r>
          </w:p>
        </w:tc>
        <w:tc>
          <w:tcPr>
            <w:tcW w:w="440" w:type="pct"/>
            <w:noWrap/>
            <w:hideMark/>
          </w:tcPr>
          <w:p w14:paraId="2BA9811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1,4%</w:t>
            </w:r>
          </w:p>
        </w:tc>
        <w:tc>
          <w:tcPr>
            <w:tcW w:w="623" w:type="pct"/>
            <w:shd w:val="clear" w:color="auto" w:fill="4472C4" w:themeFill="accent1"/>
            <w:noWrap/>
            <w:hideMark/>
          </w:tcPr>
          <w:p w14:paraId="20CABDB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0"/>
              </w:rPr>
            </w:pPr>
            <w:r w:rsidRPr="00FF756A">
              <w:rPr>
                <w:rFonts w:cs="Times New Roman"/>
                <w:sz w:val="20"/>
                <w:szCs w:val="20"/>
              </w:rPr>
              <w:t>2,3%</w:t>
            </w:r>
          </w:p>
        </w:tc>
        <w:tc>
          <w:tcPr>
            <w:tcW w:w="440" w:type="pct"/>
            <w:noWrap/>
            <w:hideMark/>
          </w:tcPr>
          <w:p w14:paraId="1CDC748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3,7%</w:t>
            </w:r>
          </w:p>
        </w:tc>
        <w:tc>
          <w:tcPr>
            <w:tcW w:w="440" w:type="pct"/>
          </w:tcPr>
          <w:p w14:paraId="506EA26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3,3%</w:t>
            </w:r>
          </w:p>
        </w:tc>
      </w:tr>
      <w:tr w:rsidR="00B86FB3" w:rsidRPr="00FF756A" w14:paraId="1C70DCF1"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7C767BDD" w14:textId="77777777" w:rsidR="00B86FB3" w:rsidRPr="00FF756A" w:rsidRDefault="00B86FB3" w:rsidP="00B86FB3">
            <w:pPr>
              <w:rPr>
                <w:rFonts w:eastAsia="Times New Roman" w:cs="Times New Roman"/>
                <w:b w:val="0"/>
                <w:sz w:val="20"/>
                <w:szCs w:val="20"/>
              </w:rPr>
            </w:pPr>
            <w:r w:rsidRPr="00FF756A">
              <w:rPr>
                <w:rFonts w:cs="Times New Roman"/>
                <w:sz w:val="20"/>
                <w:szCs w:val="20"/>
              </w:rPr>
              <w:t>Totali</w:t>
            </w:r>
          </w:p>
        </w:tc>
        <w:tc>
          <w:tcPr>
            <w:tcW w:w="440" w:type="pct"/>
            <w:shd w:val="clear" w:color="auto" w:fill="4472C4" w:themeFill="accent1"/>
            <w:noWrap/>
            <w:hideMark/>
          </w:tcPr>
          <w:p w14:paraId="687AD0D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rPr>
            </w:pPr>
            <w:r w:rsidRPr="00FF756A">
              <w:rPr>
                <w:rFonts w:cs="Times New Roman"/>
                <w:color w:val="FFFFFF" w:themeColor="background1"/>
                <w:sz w:val="20"/>
                <w:szCs w:val="20"/>
              </w:rPr>
              <w:t>29,2%</w:t>
            </w:r>
          </w:p>
        </w:tc>
        <w:tc>
          <w:tcPr>
            <w:tcW w:w="440" w:type="pct"/>
            <w:shd w:val="clear" w:color="auto" w:fill="4472C4" w:themeFill="accent1"/>
            <w:noWrap/>
            <w:hideMark/>
          </w:tcPr>
          <w:p w14:paraId="4AAB604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rPr>
            </w:pPr>
            <w:r w:rsidRPr="00FF756A">
              <w:rPr>
                <w:rFonts w:cs="Times New Roman"/>
                <w:color w:val="FFFFFF" w:themeColor="background1"/>
                <w:sz w:val="20"/>
                <w:szCs w:val="20"/>
              </w:rPr>
              <w:t>27,4%</w:t>
            </w:r>
          </w:p>
        </w:tc>
        <w:tc>
          <w:tcPr>
            <w:tcW w:w="440" w:type="pct"/>
            <w:shd w:val="clear" w:color="auto" w:fill="4472C4" w:themeFill="accent1"/>
            <w:noWrap/>
            <w:hideMark/>
          </w:tcPr>
          <w:p w14:paraId="2B98CA1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rPr>
            </w:pPr>
            <w:r w:rsidRPr="00FF756A">
              <w:rPr>
                <w:rFonts w:cs="Times New Roman"/>
                <w:color w:val="FFFFFF" w:themeColor="background1"/>
                <w:sz w:val="20"/>
                <w:szCs w:val="20"/>
              </w:rPr>
              <w:t>27,1%</w:t>
            </w:r>
          </w:p>
        </w:tc>
        <w:tc>
          <w:tcPr>
            <w:tcW w:w="440" w:type="pct"/>
            <w:shd w:val="clear" w:color="auto" w:fill="4472C4" w:themeFill="accent1"/>
            <w:noWrap/>
            <w:hideMark/>
          </w:tcPr>
          <w:p w14:paraId="1F8E002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rPr>
            </w:pPr>
            <w:r w:rsidRPr="00FF756A">
              <w:rPr>
                <w:rFonts w:cs="Times New Roman"/>
                <w:color w:val="FFFFFF" w:themeColor="background1"/>
                <w:sz w:val="20"/>
                <w:szCs w:val="20"/>
              </w:rPr>
              <w:t>37,2%</w:t>
            </w:r>
          </w:p>
        </w:tc>
        <w:tc>
          <w:tcPr>
            <w:tcW w:w="440" w:type="pct"/>
            <w:shd w:val="clear" w:color="auto" w:fill="4472C4" w:themeFill="accent1"/>
            <w:noWrap/>
            <w:hideMark/>
          </w:tcPr>
          <w:p w14:paraId="25A9385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rPr>
            </w:pPr>
            <w:r w:rsidRPr="00FF756A">
              <w:rPr>
                <w:rFonts w:cs="Times New Roman"/>
                <w:color w:val="FFFFFF" w:themeColor="background1"/>
                <w:sz w:val="20"/>
                <w:szCs w:val="20"/>
              </w:rPr>
              <w:t>37,8%</w:t>
            </w:r>
          </w:p>
        </w:tc>
        <w:tc>
          <w:tcPr>
            <w:tcW w:w="623" w:type="pct"/>
            <w:shd w:val="clear" w:color="auto" w:fill="4472C4" w:themeFill="accent1"/>
            <w:noWrap/>
            <w:hideMark/>
          </w:tcPr>
          <w:p w14:paraId="67E3C08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rPr>
            </w:pPr>
            <w:bookmarkStart w:id="703" w:name="_Hlk180428524"/>
            <w:r w:rsidRPr="00FF756A">
              <w:rPr>
                <w:rFonts w:cs="Times New Roman"/>
                <w:color w:val="FFFFFF" w:themeColor="background1"/>
                <w:sz w:val="20"/>
                <w:szCs w:val="20"/>
              </w:rPr>
              <w:t>39,6%</w:t>
            </w:r>
            <w:bookmarkEnd w:id="703"/>
          </w:p>
        </w:tc>
        <w:tc>
          <w:tcPr>
            <w:tcW w:w="440" w:type="pct"/>
            <w:shd w:val="clear" w:color="auto" w:fill="4472C4" w:themeFill="accent1"/>
            <w:noWrap/>
            <w:hideMark/>
          </w:tcPr>
          <w:p w14:paraId="275D706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rPr>
            </w:pPr>
            <w:r w:rsidRPr="00FF756A">
              <w:rPr>
                <w:rFonts w:cs="Times New Roman"/>
                <w:color w:val="FFFFFF" w:themeColor="background1"/>
                <w:sz w:val="20"/>
                <w:szCs w:val="20"/>
              </w:rPr>
              <w:t>51,6%</w:t>
            </w:r>
          </w:p>
        </w:tc>
        <w:tc>
          <w:tcPr>
            <w:tcW w:w="440" w:type="pct"/>
            <w:shd w:val="clear" w:color="auto" w:fill="4472C4" w:themeFill="accent1"/>
          </w:tcPr>
          <w:p w14:paraId="46AE013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rPr>
            </w:pPr>
            <w:r w:rsidRPr="00FF756A">
              <w:rPr>
                <w:rFonts w:cs="Times New Roman"/>
                <w:color w:val="FFFFFF" w:themeColor="background1"/>
                <w:sz w:val="20"/>
                <w:szCs w:val="20"/>
              </w:rPr>
              <w:t>63,1%</w:t>
            </w:r>
          </w:p>
        </w:tc>
      </w:tr>
      <w:tr w:rsidR="00B86FB3" w:rsidRPr="00FF756A" w14:paraId="56C66BED"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97" w:type="pct"/>
            <w:shd w:val="clear" w:color="auto" w:fill="323E4F" w:themeFill="text2" w:themeFillShade="BF"/>
            <w:noWrap/>
            <w:hideMark/>
          </w:tcPr>
          <w:p w14:paraId="30D8D41B" w14:textId="77777777" w:rsidR="00B86FB3" w:rsidRPr="00FF756A" w:rsidRDefault="00B86FB3" w:rsidP="00B86FB3">
            <w:pPr>
              <w:rPr>
                <w:rFonts w:eastAsia="Times New Roman" w:cs="Times New Roman"/>
                <w:b w:val="0"/>
                <w:sz w:val="20"/>
                <w:szCs w:val="20"/>
              </w:rPr>
            </w:pPr>
            <w:r w:rsidRPr="00FF756A">
              <w:rPr>
                <w:rFonts w:cs="Times New Roman"/>
                <w:sz w:val="20"/>
                <w:szCs w:val="20"/>
              </w:rPr>
              <w:t xml:space="preserve">WAM </w:t>
            </w:r>
          </w:p>
        </w:tc>
        <w:tc>
          <w:tcPr>
            <w:tcW w:w="440" w:type="pct"/>
            <w:shd w:val="clear" w:color="auto" w:fill="323E4F" w:themeFill="text2" w:themeFillShade="BF"/>
            <w:noWrap/>
            <w:hideMark/>
          </w:tcPr>
          <w:p w14:paraId="094DDF63"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20"/>
                <w:szCs w:val="20"/>
              </w:rPr>
            </w:pPr>
          </w:p>
        </w:tc>
        <w:tc>
          <w:tcPr>
            <w:tcW w:w="440" w:type="pct"/>
            <w:shd w:val="clear" w:color="auto" w:fill="323E4F" w:themeFill="text2" w:themeFillShade="BF"/>
            <w:noWrap/>
            <w:hideMark/>
          </w:tcPr>
          <w:p w14:paraId="0B7F88B3"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20"/>
                <w:szCs w:val="20"/>
              </w:rPr>
            </w:pPr>
          </w:p>
        </w:tc>
        <w:tc>
          <w:tcPr>
            <w:tcW w:w="440" w:type="pct"/>
            <w:shd w:val="clear" w:color="auto" w:fill="323E4F" w:themeFill="text2" w:themeFillShade="BF"/>
            <w:noWrap/>
            <w:hideMark/>
          </w:tcPr>
          <w:p w14:paraId="36ABE331"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20"/>
                <w:szCs w:val="20"/>
              </w:rPr>
            </w:pPr>
          </w:p>
        </w:tc>
        <w:tc>
          <w:tcPr>
            <w:tcW w:w="440" w:type="pct"/>
            <w:shd w:val="clear" w:color="auto" w:fill="323E4F" w:themeFill="text2" w:themeFillShade="BF"/>
            <w:noWrap/>
            <w:hideMark/>
          </w:tcPr>
          <w:p w14:paraId="7B37900F"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20"/>
                <w:szCs w:val="20"/>
              </w:rPr>
            </w:pPr>
          </w:p>
        </w:tc>
        <w:tc>
          <w:tcPr>
            <w:tcW w:w="440" w:type="pct"/>
            <w:shd w:val="clear" w:color="auto" w:fill="323E4F" w:themeFill="text2" w:themeFillShade="BF"/>
            <w:noWrap/>
            <w:hideMark/>
          </w:tcPr>
          <w:p w14:paraId="1D9E97AC"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20"/>
                <w:szCs w:val="20"/>
              </w:rPr>
            </w:pPr>
          </w:p>
        </w:tc>
        <w:tc>
          <w:tcPr>
            <w:tcW w:w="623" w:type="pct"/>
            <w:shd w:val="clear" w:color="auto" w:fill="323E4F" w:themeFill="text2" w:themeFillShade="BF"/>
            <w:noWrap/>
            <w:hideMark/>
          </w:tcPr>
          <w:p w14:paraId="682D5DA6"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20"/>
                <w:szCs w:val="20"/>
              </w:rPr>
            </w:pPr>
          </w:p>
        </w:tc>
        <w:tc>
          <w:tcPr>
            <w:tcW w:w="440" w:type="pct"/>
            <w:shd w:val="clear" w:color="auto" w:fill="323E4F" w:themeFill="text2" w:themeFillShade="BF"/>
            <w:noWrap/>
            <w:hideMark/>
          </w:tcPr>
          <w:p w14:paraId="2F6EA40A"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20"/>
                <w:szCs w:val="20"/>
              </w:rPr>
            </w:pPr>
          </w:p>
        </w:tc>
        <w:tc>
          <w:tcPr>
            <w:tcW w:w="440" w:type="pct"/>
            <w:shd w:val="clear" w:color="auto" w:fill="323E4F" w:themeFill="text2" w:themeFillShade="BF"/>
          </w:tcPr>
          <w:p w14:paraId="4297DB57"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20"/>
                <w:szCs w:val="20"/>
              </w:rPr>
            </w:pPr>
          </w:p>
        </w:tc>
      </w:tr>
      <w:tr w:rsidR="00B86FB3" w:rsidRPr="00FF756A" w14:paraId="71E7320F"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15273C57" w14:textId="77777777" w:rsidR="00B86FB3" w:rsidRPr="00FF756A" w:rsidRDefault="00B86FB3" w:rsidP="00B86FB3">
            <w:pPr>
              <w:rPr>
                <w:rFonts w:eastAsia="Times New Roman" w:cs="Times New Roman"/>
                <w:b w:val="0"/>
                <w:sz w:val="20"/>
                <w:szCs w:val="20"/>
              </w:rPr>
            </w:pPr>
            <w:r w:rsidRPr="00FF756A">
              <w:rPr>
                <w:rFonts w:cs="Times New Roman"/>
                <w:sz w:val="20"/>
                <w:szCs w:val="20"/>
              </w:rPr>
              <w:t>Lënda drusore</w:t>
            </w:r>
          </w:p>
        </w:tc>
        <w:tc>
          <w:tcPr>
            <w:tcW w:w="440" w:type="pct"/>
            <w:noWrap/>
            <w:hideMark/>
          </w:tcPr>
          <w:p w14:paraId="1D4295E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7,1%</w:t>
            </w:r>
          </w:p>
        </w:tc>
        <w:tc>
          <w:tcPr>
            <w:tcW w:w="440" w:type="pct"/>
            <w:noWrap/>
            <w:hideMark/>
          </w:tcPr>
          <w:p w14:paraId="1E7D463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6,5%</w:t>
            </w:r>
          </w:p>
        </w:tc>
        <w:tc>
          <w:tcPr>
            <w:tcW w:w="440" w:type="pct"/>
            <w:noWrap/>
            <w:hideMark/>
          </w:tcPr>
          <w:p w14:paraId="46FA6AA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6,3%</w:t>
            </w:r>
          </w:p>
        </w:tc>
        <w:tc>
          <w:tcPr>
            <w:tcW w:w="440" w:type="pct"/>
            <w:noWrap/>
            <w:hideMark/>
          </w:tcPr>
          <w:p w14:paraId="0FDAE3B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6,2%</w:t>
            </w:r>
          </w:p>
        </w:tc>
        <w:tc>
          <w:tcPr>
            <w:tcW w:w="440" w:type="pct"/>
            <w:noWrap/>
            <w:hideMark/>
          </w:tcPr>
          <w:p w14:paraId="5B5D87F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6,2%</w:t>
            </w:r>
          </w:p>
        </w:tc>
        <w:tc>
          <w:tcPr>
            <w:tcW w:w="623" w:type="pct"/>
            <w:shd w:val="clear" w:color="auto" w:fill="323E4F" w:themeFill="text2" w:themeFillShade="BF"/>
            <w:noWrap/>
            <w:hideMark/>
          </w:tcPr>
          <w:p w14:paraId="2E34FA7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2"/>
              </w:rPr>
            </w:pPr>
            <w:r w:rsidRPr="00FF756A">
              <w:rPr>
                <w:rFonts w:cs="Times New Roman"/>
                <w:color w:val="FFFFFF" w:themeColor="background1"/>
                <w:sz w:val="20"/>
                <w:szCs w:val="22"/>
              </w:rPr>
              <w:t>7,4%</w:t>
            </w:r>
          </w:p>
        </w:tc>
        <w:tc>
          <w:tcPr>
            <w:tcW w:w="440" w:type="pct"/>
            <w:noWrap/>
            <w:hideMark/>
          </w:tcPr>
          <w:p w14:paraId="4178D5B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11,8%</w:t>
            </w:r>
          </w:p>
        </w:tc>
        <w:tc>
          <w:tcPr>
            <w:tcW w:w="440" w:type="pct"/>
          </w:tcPr>
          <w:p w14:paraId="53AB68F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15,6%</w:t>
            </w:r>
          </w:p>
        </w:tc>
      </w:tr>
      <w:tr w:rsidR="00B86FB3" w:rsidRPr="00FF756A" w14:paraId="65889608"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4D785139" w14:textId="77777777" w:rsidR="00B86FB3" w:rsidRPr="00FF756A" w:rsidRDefault="00B86FB3" w:rsidP="00B86FB3">
            <w:pPr>
              <w:rPr>
                <w:rFonts w:eastAsia="Times New Roman" w:cs="Times New Roman"/>
                <w:b w:val="0"/>
                <w:sz w:val="20"/>
                <w:szCs w:val="20"/>
              </w:rPr>
            </w:pPr>
            <w:r w:rsidRPr="00FF756A">
              <w:rPr>
                <w:rFonts w:cs="Times New Roman"/>
                <w:sz w:val="20"/>
                <w:szCs w:val="20"/>
              </w:rPr>
              <w:t>Energjia eolike</w:t>
            </w:r>
          </w:p>
        </w:tc>
        <w:tc>
          <w:tcPr>
            <w:tcW w:w="440" w:type="pct"/>
            <w:noWrap/>
            <w:hideMark/>
          </w:tcPr>
          <w:p w14:paraId="1BD0E79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440" w:type="pct"/>
            <w:noWrap/>
            <w:hideMark/>
          </w:tcPr>
          <w:p w14:paraId="3850D38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440" w:type="pct"/>
            <w:noWrap/>
            <w:hideMark/>
          </w:tcPr>
          <w:p w14:paraId="0FCF0BA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440" w:type="pct"/>
            <w:noWrap/>
            <w:hideMark/>
          </w:tcPr>
          <w:p w14:paraId="14FECEF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440" w:type="pct"/>
            <w:noWrap/>
            <w:hideMark/>
          </w:tcPr>
          <w:p w14:paraId="0E560C7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623" w:type="pct"/>
            <w:shd w:val="clear" w:color="auto" w:fill="323E4F" w:themeFill="text2" w:themeFillShade="BF"/>
            <w:noWrap/>
            <w:hideMark/>
          </w:tcPr>
          <w:p w14:paraId="16299A1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2"/>
              </w:rPr>
            </w:pPr>
            <w:r w:rsidRPr="00FF756A">
              <w:rPr>
                <w:rFonts w:cs="Times New Roman"/>
                <w:color w:val="FFFFFF" w:themeColor="background1"/>
                <w:sz w:val="20"/>
                <w:szCs w:val="22"/>
              </w:rPr>
              <w:t>4,0%</w:t>
            </w:r>
          </w:p>
        </w:tc>
        <w:tc>
          <w:tcPr>
            <w:tcW w:w="440" w:type="pct"/>
            <w:noWrap/>
            <w:hideMark/>
          </w:tcPr>
          <w:p w14:paraId="5509EC5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6,0%</w:t>
            </w:r>
          </w:p>
        </w:tc>
        <w:tc>
          <w:tcPr>
            <w:tcW w:w="440" w:type="pct"/>
          </w:tcPr>
          <w:p w14:paraId="78BC294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7,3%</w:t>
            </w:r>
          </w:p>
        </w:tc>
      </w:tr>
      <w:tr w:rsidR="00B86FB3" w:rsidRPr="00FF756A" w14:paraId="0CA1C041"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43F099E2" w14:textId="77777777" w:rsidR="00B86FB3" w:rsidRPr="00FF756A" w:rsidRDefault="00B86FB3" w:rsidP="00B86FB3">
            <w:pPr>
              <w:rPr>
                <w:rFonts w:eastAsia="Times New Roman" w:cs="Times New Roman"/>
                <w:b w:val="0"/>
                <w:sz w:val="20"/>
                <w:szCs w:val="20"/>
              </w:rPr>
            </w:pPr>
            <w:r w:rsidRPr="00FF756A">
              <w:rPr>
                <w:rFonts w:cs="Times New Roman"/>
                <w:sz w:val="20"/>
                <w:szCs w:val="20"/>
              </w:rPr>
              <w:t>Energjia diellore</w:t>
            </w:r>
          </w:p>
        </w:tc>
        <w:tc>
          <w:tcPr>
            <w:tcW w:w="440" w:type="pct"/>
            <w:noWrap/>
            <w:hideMark/>
          </w:tcPr>
          <w:p w14:paraId="004C38F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0,7%</w:t>
            </w:r>
          </w:p>
        </w:tc>
        <w:tc>
          <w:tcPr>
            <w:tcW w:w="440" w:type="pct"/>
            <w:noWrap/>
            <w:hideMark/>
          </w:tcPr>
          <w:p w14:paraId="07310DC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0,7%</w:t>
            </w:r>
          </w:p>
        </w:tc>
        <w:tc>
          <w:tcPr>
            <w:tcW w:w="440" w:type="pct"/>
            <w:noWrap/>
            <w:hideMark/>
          </w:tcPr>
          <w:p w14:paraId="7FE9724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0,7%</w:t>
            </w:r>
          </w:p>
        </w:tc>
        <w:tc>
          <w:tcPr>
            <w:tcW w:w="440" w:type="pct"/>
            <w:noWrap/>
            <w:hideMark/>
          </w:tcPr>
          <w:p w14:paraId="39D26C8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1,9%</w:t>
            </w:r>
          </w:p>
        </w:tc>
        <w:tc>
          <w:tcPr>
            <w:tcW w:w="440" w:type="pct"/>
            <w:noWrap/>
            <w:hideMark/>
          </w:tcPr>
          <w:p w14:paraId="589B022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3,8%</w:t>
            </w:r>
          </w:p>
        </w:tc>
        <w:tc>
          <w:tcPr>
            <w:tcW w:w="623" w:type="pct"/>
            <w:shd w:val="clear" w:color="auto" w:fill="323E4F" w:themeFill="text2" w:themeFillShade="BF"/>
            <w:noWrap/>
            <w:hideMark/>
          </w:tcPr>
          <w:p w14:paraId="4DAECDC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2"/>
              </w:rPr>
            </w:pPr>
            <w:r w:rsidRPr="00FF756A">
              <w:rPr>
                <w:rFonts w:cs="Times New Roman"/>
                <w:color w:val="FFFFFF" w:themeColor="background1"/>
                <w:sz w:val="20"/>
                <w:szCs w:val="22"/>
              </w:rPr>
              <w:t>6,8%</w:t>
            </w:r>
          </w:p>
        </w:tc>
        <w:tc>
          <w:tcPr>
            <w:tcW w:w="440" w:type="pct"/>
            <w:noWrap/>
            <w:hideMark/>
          </w:tcPr>
          <w:p w14:paraId="461991A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17,0%</w:t>
            </w:r>
          </w:p>
        </w:tc>
        <w:tc>
          <w:tcPr>
            <w:tcW w:w="440" w:type="pct"/>
          </w:tcPr>
          <w:p w14:paraId="5DF49FC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25,7%</w:t>
            </w:r>
          </w:p>
        </w:tc>
      </w:tr>
      <w:tr w:rsidR="00B86FB3" w:rsidRPr="00FF756A" w14:paraId="134ED7B3"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34592ADF" w14:textId="77777777" w:rsidR="00B86FB3" w:rsidRPr="00FF756A" w:rsidRDefault="00B86FB3" w:rsidP="00B86FB3">
            <w:pPr>
              <w:rPr>
                <w:rFonts w:eastAsia="Times New Roman" w:cs="Times New Roman"/>
                <w:b w:val="0"/>
                <w:sz w:val="20"/>
                <w:szCs w:val="20"/>
              </w:rPr>
            </w:pPr>
            <w:r w:rsidRPr="00FF756A">
              <w:rPr>
                <w:rFonts w:cs="Times New Roman"/>
                <w:sz w:val="20"/>
                <w:szCs w:val="20"/>
              </w:rPr>
              <w:t>Energjia hidrike</w:t>
            </w:r>
          </w:p>
        </w:tc>
        <w:tc>
          <w:tcPr>
            <w:tcW w:w="440" w:type="pct"/>
            <w:noWrap/>
            <w:hideMark/>
          </w:tcPr>
          <w:p w14:paraId="5BCE7BC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21,4%</w:t>
            </w:r>
          </w:p>
        </w:tc>
        <w:tc>
          <w:tcPr>
            <w:tcW w:w="440" w:type="pct"/>
            <w:noWrap/>
            <w:hideMark/>
          </w:tcPr>
          <w:p w14:paraId="1B6EBE0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20,2%</w:t>
            </w:r>
          </w:p>
        </w:tc>
        <w:tc>
          <w:tcPr>
            <w:tcW w:w="440" w:type="pct"/>
            <w:noWrap/>
            <w:hideMark/>
          </w:tcPr>
          <w:p w14:paraId="027C283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20,1%</w:t>
            </w:r>
          </w:p>
        </w:tc>
        <w:tc>
          <w:tcPr>
            <w:tcW w:w="440" w:type="pct"/>
            <w:noWrap/>
            <w:hideMark/>
          </w:tcPr>
          <w:p w14:paraId="701FCFD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36,3%</w:t>
            </w:r>
          </w:p>
        </w:tc>
        <w:tc>
          <w:tcPr>
            <w:tcW w:w="440" w:type="pct"/>
            <w:noWrap/>
            <w:hideMark/>
          </w:tcPr>
          <w:p w14:paraId="0F759A1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36,3%</w:t>
            </w:r>
          </w:p>
        </w:tc>
        <w:tc>
          <w:tcPr>
            <w:tcW w:w="623" w:type="pct"/>
            <w:shd w:val="clear" w:color="auto" w:fill="323E4F" w:themeFill="text2" w:themeFillShade="BF"/>
            <w:noWrap/>
            <w:hideMark/>
          </w:tcPr>
          <w:p w14:paraId="2DA44DA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2"/>
              </w:rPr>
            </w:pPr>
            <w:r w:rsidRPr="00FF756A">
              <w:rPr>
                <w:rFonts w:cs="Times New Roman"/>
                <w:color w:val="FFFFFF" w:themeColor="background1"/>
                <w:sz w:val="20"/>
                <w:szCs w:val="22"/>
              </w:rPr>
              <w:t>37,7%</w:t>
            </w:r>
          </w:p>
        </w:tc>
        <w:tc>
          <w:tcPr>
            <w:tcW w:w="440" w:type="pct"/>
            <w:noWrap/>
            <w:hideMark/>
          </w:tcPr>
          <w:p w14:paraId="1344B4F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31,9%</w:t>
            </w:r>
          </w:p>
        </w:tc>
        <w:tc>
          <w:tcPr>
            <w:tcW w:w="440" w:type="pct"/>
          </w:tcPr>
          <w:p w14:paraId="4DDF871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26,0%</w:t>
            </w:r>
          </w:p>
        </w:tc>
      </w:tr>
      <w:tr w:rsidR="00B86FB3" w:rsidRPr="00FF756A" w14:paraId="4BD7A13F"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52B5AD0B" w14:textId="77777777" w:rsidR="00B86FB3" w:rsidRPr="00FF756A" w:rsidRDefault="00B86FB3" w:rsidP="00B86FB3">
            <w:pPr>
              <w:rPr>
                <w:rFonts w:eastAsia="Times New Roman" w:cs="Times New Roman"/>
                <w:b w:val="0"/>
                <w:sz w:val="20"/>
                <w:szCs w:val="20"/>
              </w:rPr>
            </w:pPr>
            <w:r w:rsidRPr="00FF756A">
              <w:rPr>
                <w:rFonts w:cs="Times New Roman"/>
                <w:sz w:val="20"/>
                <w:szCs w:val="20"/>
              </w:rPr>
              <w:t>Hidrogjeni</w:t>
            </w:r>
          </w:p>
        </w:tc>
        <w:tc>
          <w:tcPr>
            <w:tcW w:w="440" w:type="pct"/>
            <w:noWrap/>
            <w:hideMark/>
          </w:tcPr>
          <w:p w14:paraId="1EBC4F9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440" w:type="pct"/>
            <w:noWrap/>
            <w:hideMark/>
          </w:tcPr>
          <w:p w14:paraId="39474B5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440" w:type="pct"/>
            <w:noWrap/>
            <w:hideMark/>
          </w:tcPr>
          <w:p w14:paraId="7F216A5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440" w:type="pct"/>
            <w:noWrap/>
            <w:hideMark/>
          </w:tcPr>
          <w:p w14:paraId="3FF99ED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440" w:type="pct"/>
            <w:noWrap/>
            <w:hideMark/>
          </w:tcPr>
          <w:p w14:paraId="664F751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623" w:type="pct"/>
            <w:shd w:val="clear" w:color="auto" w:fill="323E4F" w:themeFill="text2" w:themeFillShade="BF"/>
            <w:noWrap/>
            <w:hideMark/>
          </w:tcPr>
          <w:p w14:paraId="114C158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2"/>
              </w:rPr>
            </w:pPr>
            <w:r w:rsidRPr="00FF756A">
              <w:rPr>
                <w:rFonts w:cs="Times New Roman"/>
                <w:color w:val="FFFFFF" w:themeColor="background1"/>
                <w:sz w:val="20"/>
                <w:szCs w:val="22"/>
              </w:rPr>
              <w:t>0,0%</w:t>
            </w:r>
          </w:p>
        </w:tc>
        <w:tc>
          <w:tcPr>
            <w:tcW w:w="440" w:type="pct"/>
            <w:noWrap/>
            <w:hideMark/>
          </w:tcPr>
          <w:p w14:paraId="2EE1AC0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0,4%</w:t>
            </w:r>
          </w:p>
        </w:tc>
        <w:tc>
          <w:tcPr>
            <w:tcW w:w="440" w:type="pct"/>
          </w:tcPr>
          <w:p w14:paraId="2291BBA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3,3%</w:t>
            </w:r>
          </w:p>
        </w:tc>
      </w:tr>
      <w:tr w:rsidR="00B86FB3" w:rsidRPr="00FF756A" w14:paraId="34E49296"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2A51C99A" w14:textId="77777777" w:rsidR="00B86FB3" w:rsidRPr="00FF756A" w:rsidRDefault="00B86FB3" w:rsidP="00B86FB3">
            <w:pPr>
              <w:rPr>
                <w:rFonts w:eastAsia="Times New Roman" w:cs="Times New Roman"/>
                <w:b w:val="0"/>
                <w:sz w:val="20"/>
                <w:szCs w:val="20"/>
              </w:rPr>
            </w:pPr>
            <w:r w:rsidRPr="00FF756A">
              <w:rPr>
                <w:rFonts w:cs="Times New Roman"/>
                <w:sz w:val="20"/>
                <w:szCs w:val="20"/>
              </w:rPr>
              <w:t>Mbetjet e ngurta urbane</w:t>
            </w:r>
          </w:p>
        </w:tc>
        <w:tc>
          <w:tcPr>
            <w:tcW w:w="440" w:type="pct"/>
            <w:noWrap/>
            <w:hideMark/>
          </w:tcPr>
          <w:p w14:paraId="1EAFD90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440" w:type="pct"/>
            <w:noWrap/>
            <w:hideMark/>
          </w:tcPr>
          <w:p w14:paraId="5B25072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440" w:type="pct"/>
            <w:noWrap/>
            <w:hideMark/>
          </w:tcPr>
          <w:p w14:paraId="3691474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440" w:type="pct"/>
            <w:noWrap/>
            <w:hideMark/>
          </w:tcPr>
          <w:p w14:paraId="7E693BC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440" w:type="pct"/>
            <w:noWrap/>
            <w:hideMark/>
          </w:tcPr>
          <w:p w14:paraId="2626FCD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623" w:type="pct"/>
            <w:shd w:val="clear" w:color="auto" w:fill="323E4F" w:themeFill="text2" w:themeFillShade="BF"/>
            <w:noWrap/>
            <w:hideMark/>
          </w:tcPr>
          <w:p w14:paraId="40BF6D5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2"/>
              </w:rPr>
            </w:pPr>
            <w:r w:rsidRPr="00FF756A">
              <w:rPr>
                <w:rFonts w:cs="Times New Roman"/>
                <w:color w:val="FFFFFF" w:themeColor="background1"/>
                <w:sz w:val="20"/>
                <w:szCs w:val="22"/>
              </w:rPr>
              <w:t>0,1%</w:t>
            </w:r>
          </w:p>
        </w:tc>
        <w:tc>
          <w:tcPr>
            <w:tcW w:w="440" w:type="pct"/>
            <w:noWrap/>
            <w:hideMark/>
          </w:tcPr>
          <w:p w14:paraId="0AD2B89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440" w:type="pct"/>
          </w:tcPr>
          <w:p w14:paraId="51012B3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r>
      <w:tr w:rsidR="00B86FB3" w:rsidRPr="00FF756A" w14:paraId="7E8D5C0E"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3FD84CA6" w14:textId="77777777" w:rsidR="00B86FB3" w:rsidRPr="00FF756A" w:rsidRDefault="00B86FB3" w:rsidP="00B86FB3">
            <w:pPr>
              <w:rPr>
                <w:rFonts w:eastAsia="Times New Roman" w:cs="Times New Roman"/>
                <w:b w:val="0"/>
                <w:sz w:val="20"/>
                <w:szCs w:val="20"/>
              </w:rPr>
            </w:pPr>
            <w:r w:rsidRPr="00FF756A">
              <w:rPr>
                <w:rFonts w:cs="Times New Roman"/>
                <w:sz w:val="20"/>
                <w:szCs w:val="20"/>
              </w:rPr>
              <w:t>Biodizeli</w:t>
            </w:r>
          </w:p>
        </w:tc>
        <w:tc>
          <w:tcPr>
            <w:tcW w:w="440" w:type="pct"/>
            <w:noWrap/>
            <w:hideMark/>
          </w:tcPr>
          <w:p w14:paraId="6801531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440" w:type="pct"/>
            <w:noWrap/>
            <w:hideMark/>
          </w:tcPr>
          <w:p w14:paraId="15DCC06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440" w:type="pct"/>
            <w:noWrap/>
            <w:hideMark/>
          </w:tcPr>
          <w:p w14:paraId="50CE8B6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440" w:type="pct"/>
            <w:noWrap/>
            <w:hideMark/>
          </w:tcPr>
          <w:p w14:paraId="1EC6FA0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0,8%</w:t>
            </w:r>
          </w:p>
        </w:tc>
        <w:tc>
          <w:tcPr>
            <w:tcW w:w="440" w:type="pct"/>
            <w:noWrap/>
            <w:hideMark/>
          </w:tcPr>
          <w:p w14:paraId="527207C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1,4%</w:t>
            </w:r>
          </w:p>
        </w:tc>
        <w:tc>
          <w:tcPr>
            <w:tcW w:w="623" w:type="pct"/>
            <w:shd w:val="clear" w:color="auto" w:fill="323E4F" w:themeFill="text2" w:themeFillShade="BF"/>
            <w:noWrap/>
            <w:hideMark/>
          </w:tcPr>
          <w:p w14:paraId="7BA12A1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2"/>
              </w:rPr>
            </w:pPr>
            <w:r w:rsidRPr="00FF756A">
              <w:rPr>
                <w:rFonts w:cs="Times New Roman"/>
                <w:color w:val="FFFFFF" w:themeColor="background1"/>
                <w:sz w:val="20"/>
                <w:szCs w:val="22"/>
              </w:rPr>
              <w:t>2,3%</w:t>
            </w:r>
          </w:p>
        </w:tc>
        <w:tc>
          <w:tcPr>
            <w:tcW w:w="440" w:type="pct"/>
            <w:noWrap/>
            <w:hideMark/>
          </w:tcPr>
          <w:p w14:paraId="70D8BB8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3,7%</w:t>
            </w:r>
          </w:p>
        </w:tc>
        <w:tc>
          <w:tcPr>
            <w:tcW w:w="440" w:type="pct"/>
          </w:tcPr>
          <w:p w14:paraId="459EF79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3,3%</w:t>
            </w:r>
          </w:p>
        </w:tc>
      </w:tr>
      <w:tr w:rsidR="00B86FB3" w:rsidRPr="00FF756A" w14:paraId="05A21597"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97" w:type="pct"/>
            <w:shd w:val="clear" w:color="auto" w:fill="323E4F" w:themeFill="text2" w:themeFillShade="BF"/>
            <w:noWrap/>
            <w:hideMark/>
          </w:tcPr>
          <w:p w14:paraId="10117D20" w14:textId="77777777" w:rsidR="00B86FB3" w:rsidRPr="00FF756A" w:rsidRDefault="00B86FB3" w:rsidP="00B86FB3">
            <w:pPr>
              <w:rPr>
                <w:rFonts w:eastAsia="Times New Roman" w:cs="Times New Roman"/>
                <w:b w:val="0"/>
                <w:sz w:val="20"/>
                <w:szCs w:val="20"/>
              </w:rPr>
            </w:pPr>
            <w:r w:rsidRPr="00FF756A">
              <w:rPr>
                <w:rFonts w:cs="Times New Roman"/>
                <w:sz w:val="20"/>
                <w:szCs w:val="20"/>
              </w:rPr>
              <w:t>Totali</w:t>
            </w:r>
          </w:p>
        </w:tc>
        <w:tc>
          <w:tcPr>
            <w:tcW w:w="440" w:type="pct"/>
            <w:shd w:val="clear" w:color="auto" w:fill="323E4F" w:themeFill="text2" w:themeFillShade="BF"/>
            <w:noWrap/>
            <w:hideMark/>
          </w:tcPr>
          <w:p w14:paraId="09F9E7C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2"/>
              </w:rPr>
            </w:pPr>
            <w:r w:rsidRPr="00FF756A">
              <w:rPr>
                <w:rFonts w:cs="Times New Roman"/>
                <w:color w:val="FFFFFF" w:themeColor="background1"/>
                <w:sz w:val="20"/>
                <w:szCs w:val="22"/>
              </w:rPr>
              <w:t>29,2%</w:t>
            </w:r>
          </w:p>
        </w:tc>
        <w:tc>
          <w:tcPr>
            <w:tcW w:w="440" w:type="pct"/>
            <w:shd w:val="clear" w:color="auto" w:fill="323E4F" w:themeFill="text2" w:themeFillShade="BF"/>
            <w:noWrap/>
            <w:hideMark/>
          </w:tcPr>
          <w:p w14:paraId="533E7FA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2"/>
              </w:rPr>
            </w:pPr>
            <w:r w:rsidRPr="00FF756A">
              <w:rPr>
                <w:rFonts w:cs="Times New Roman"/>
                <w:color w:val="FFFFFF" w:themeColor="background1"/>
                <w:sz w:val="20"/>
                <w:szCs w:val="22"/>
              </w:rPr>
              <w:t>27,4%</w:t>
            </w:r>
          </w:p>
        </w:tc>
        <w:tc>
          <w:tcPr>
            <w:tcW w:w="440" w:type="pct"/>
            <w:shd w:val="clear" w:color="auto" w:fill="323E4F" w:themeFill="text2" w:themeFillShade="BF"/>
            <w:noWrap/>
            <w:hideMark/>
          </w:tcPr>
          <w:p w14:paraId="1FB353B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2"/>
              </w:rPr>
            </w:pPr>
            <w:r w:rsidRPr="00FF756A">
              <w:rPr>
                <w:rFonts w:cs="Times New Roman"/>
                <w:color w:val="FFFFFF" w:themeColor="background1"/>
                <w:sz w:val="20"/>
                <w:szCs w:val="22"/>
              </w:rPr>
              <w:t>27,1%</w:t>
            </w:r>
          </w:p>
        </w:tc>
        <w:tc>
          <w:tcPr>
            <w:tcW w:w="440" w:type="pct"/>
            <w:shd w:val="clear" w:color="auto" w:fill="323E4F" w:themeFill="text2" w:themeFillShade="BF"/>
            <w:noWrap/>
            <w:hideMark/>
          </w:tcPr>
          <w:p w14:paraId="3D9FD34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2"/>
              </w:rPr>
            </w:pPr>
            <w:r w:rsidRPr="00FF756A">
              <w:rPr>
                <w:rFonts w:cs="Times New Roman"/>
                <w:color w:val="FFFFFF" w:themeColor="background1"/>
                <w:sz w:val="20"/>
                <w:szCs w:val="22"/>
              </w:rPr>
              <w:t>45,4%</w:t>
            </w:r>
          </w:p>
        </w:tc>
        <w:tc>
          <w:tcPr>
            <w:tcW w:w="440" w:type="pct"/>
            <w:shd w:val="clear" w:color="auto" w:fill="323E4F" w:themeFill="text2" w:themeFillShade="BF"/>
            <w:noWrap/>
            <w:hideMark/>
          </w:tcPr>
          <w:p w14:paraId="3779E47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2"/>
              </w:rPr>
            </w:pPr>
            <w:r w:rsidRPr="00FF756A">
              <w:rPr>
                <w:rFonts w:cs="Times New Roman"/>
                <w:color w:val="FFFFFF" w:themeColor="background1"/>
                <w:sz w:val="20"/>
                <w:szCs w:val="22"/>
              </w:rPr>
              <w:t>47,8%</w:t>
            </w:r>
          </w:p>
        </w:tc>
        <w:tc>
          <w:tcPr>
            <w:tcW w:w="623" w:type="pct"/>
            <w:shd w:val="clear" w:color="auto" w:fill="323E4F" w:themeFill="text2" w:themeFillShade="BF"/>
            <w:noWrap/>
            <w:hideMark/>
          </w:tcPr>
          <w:p w14:paraId="5A3DE17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2"/>
              </w:rPr>
            </w:pPr>
            <w:r w:rsidRPr="00FF756A">
              <w:rPr>
                <w:rFonts w:cs="Times New Roman"/>
                <w:color w:val="FFFFFF" w:themeColor="background1"/>
                <w:sz w:val="20"/>
                <w:szCs w:val="22"/>
              </w:rPr>
              <w:t>58,4%</w:t>
            </w:r>
          </w:p>
        </w:tc>
        <w:tc>
          <w:tcPr>
            <w:tcW w:w="440" w:type="pct"/>
            <w:shd w:val="clear" w:color="auto" w:fill="323E4F" w:themeFill="text2" w:themeFillShade="BF"/>
            <w:noWrap/>
            <w:hideMark/>
          </w:tcPr>
          <w:p w14:paraId="12FED22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2"/>
              </w:rPr>
            </w:pPr>
            <w:r w:rsidRPr="00FF756A">
              <w:rPr>
                <w:rFonts w:cs="Times New Roman"/>
                <w:color w:val="FFFFFF" w:themeColor="background1"/>
                <w:sz w:val="20"/>
                <w:szCs w:val="22"/>
              </w:rPr>
              <w:t>71,0%</w:t>
            </w:r>
          </w:p>
        </w:tc>
        <w:tc>
          <w:tcPr>
            <w:tcW w:w="440" w:type="pct"/>
            <w:shd w:val="clear" w:color="auto" w:fill="323E4F" w:themeFill="text2" w:themeFillShade="BF"/>
          </w:tcPr>
          <w:p w14:paraId="54D189D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2"/>
              </w:rPr>
            </w:pPr>
            <w:r w:rsidRPr="00FF756A">
              <w:rPr>
                <w:rFonts w:cs="Times New Roman"/>
                <w:color w:val="FFFFFF" w:themeColor="background1"/>
                <w:sz w:val="20"/>
                <w:szCs w:val="22"/>
              </w:rPr>
              <w:t>81,2%</w:t>
            </w:r>
          </w:p>
        </w:tc>
      </w:tr>
      <w:tr w:rsidR="00B86FB3" w:rsidRPr="00FF756A" w14:paraId="6C6AD33A"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3622E778" w14:textId="77777777" w:rsidR="00B86FB3" w:rsidRPr="00FF756A" w:rsidRDefault="00B86FB3" w:rsidP="00B86FB3">
            <w:pPr>
              <w:rPr>
                <w:rFonts w:eastAsia="Times New Roman" w:cs="Times New Roman"/>
                <w:b w:val="0"/>
                <w:sz w:val="20"/>
                <w:szCs w:val="20"/>
              </w:rPr>
            </w:pPr>
            <w:r w:rsidRPr="00FF756A">
              <w:rPr>
                <w:rFonts w:cs="Times New Roman"/>
                <w:sz w:val="20"/>
                <w:szCs w:val="20"/>
              </w:rPr>
              <w:t>WEM</w:t>
            </w:r>
          </w:p>
        </w:tc>
        <w:tc>
          <w:tcPr>
            <w:tcW w:w="440" w:type="pct"/>
            <w:shd w:val="clear" w:color="auto" w:fill="4472C4" w:themeFill="accent1"/>
            <w:noWrap/>
            <w:hideMark/>
          </w:tcPr>
          <w:p w14:paraId="7416C779"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440" w:type="pct"/>
            <w:shd w:val="clear" w:color="auto" w:fill="4472C4" w:themeFill="accent1"/>
            <w:noWrap/>
            <w:hideMark/>
          </w:tcPr>
          <w:p w14:paraId="28EF67D7"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440" w:type="pct"/>
            <w:shd w:val="clear" w:color="auto" w:fill="4472C4" w:themeFill="accent1"/>
            <w:noWrap/>
            <w:hideMark/>
          </w:tcPr>
          <w:p w14:paraId="036F78C1"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440" w:type="pct"/>
            <w:shd w:val="clear" w:color="auto" w:fill="4472C4" w:themeFill="accent1"/>
            <w:noWrap/>
            <w:hideMark/>
          </w:tcPr>
          <w:p w14:paraId="667828D3"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440" w:type="pct"/>
            <w:shd w:val="clear" w:color="auto" w:fill="4472C4" w:themeFill="accent1"/>
            <w:noWrap/>
            <w:hideMark/>
          </w:tcPr>
          <w:p w14:paraId="2AC32702"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623" w:type="pct"/>
            <w:shd w:val="clear" w:color="auto" w:fill="4472C4" w:themeFill="accent1"/>
            <w:noWrap/>
            <w:hideMark/>
          </w:tcPr>
          <w:p w14:paraId="1BBC30F9"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440" w:type="pct"/>
            <w:shd w:val="clear" w:color="auto" w:fill="4472C4" w:themeFill="accent1"/>
            <w:noWrap/>
            <w:hideMark/>
          </w:tcPr>
          <w:p w14:paraId="1DAF919B"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440" w:type="pct"/>
            <w:shd w:val="clear" w:color="auto" w:fill="4472C4" w:themeFill="accent1"/>
          </w:tcPr>
          <w:p w14:paraId="7371B648"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r>
      <w:tr w:rsidR="00B86FB3" w:rsidRPr="00FF756A" w14:paraId="1754931D"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593647A3" w14:textId="77777777" w:rsidR="00B86FB3" w:rsidRPr="00FF756A" w:rsidRDefault="00B86FB3" w:rsidP="00B86FB3">
            <w:pPr>
              <w:rPr>
                <w:rFonts w:eastAsia="Times New Roman" w:cs="Times New Roman"/>
                <w:b w:val="0"/>
                <w:sz w:val="20"/>
                <w:szCs w:val="20"/>
              </w:rPr>
            </w:pPr>
            <w:r w:rsidRPr="00FF756A">
              <w:rPr>
                <w:rFonts w:cs="Times New Roman"/>
                <w:sz w:val="20"/>
                <w:szCs w:val="20"/>
              </w:rPr>
              <w:t>Lënda drusore</w:t>
            </w:r>
          </w:p>
        </w:tc>
        <w:tc>
          <w:tcPr>
            <w:tcW w:w="440" w:type="pct"/>
            <w:noWrap/>
            <w:hideMark/>
          </w:tcPr>
          <w:p w14:paraId="126723E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7,1%</w:t>
            </w:r>
          </w:p>
        </w:tc>
        <w:tc>
          <w:tcPr>
            <w:tcW w:w="440" w:type="pct"/>
            <w:noWrap/>
            <w:hideMark/>
          </w:tcPr>
          <w:p w14:paraId="19D895F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6,5%</w:t>
            </w:r>
          </w:p>
        </w:tc>
        <w:tc>
          <w:tcPr>
            <w:tcW w:w="440" w:type="pct"/>
            <w:noWrap/>
            <w:hideMark/>
          </w:tcPr>
          <w:p w14:paraId="24FE81D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6,3%</w:t>
            </w:r>
          </w:p>
        </w:tc>
        <w:tc>
          <w:tcPr>
            <w:tcW w:w="440" w:type="pct"/>
            <w:noWrap/>
            <w:hideMark/>
          </w:tcPr>
          <w:p w14:paraId="52C8162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6,2%</w:t>
            </w:r>
          </w:p>
        </w:tc>
        <w:tc>
          <w:tcPr>
            <w:tcW w:w="440" w:type="pct"/>
            <w:noWrap/>
            <w:hideMark/>
          </w:tcPr>
          <w:p w14:paraId="6105E7F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6,0%</w:t>
            </w:r>
          </w:p>
        </w:tc>
        <w:tc>
          <w:tcPr>
            <w:tcW w:w="623" w:type="pct"/>
            <w:shd w:val="clear" w:color="auto" w:fill="4472C4" w:themeFill="accent1"/>
            <w:noWrap/>
            <w:hideMark/>
          </w:tcPr>
          <w:p w14:paraId="3AA027B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0"/>
              </w:rPr>
            </w:pPr>
            <w:r w:rsidRPr="00FF756A">
              <w:rPr>
                <w:rFonts w:cs="Times New Roman"/>
                <w:sz w:val="20"/>
                <w:szCs w:val="20"/>
              </w:rPr>
              <w:t>5,6%</w:t>
            </w:r>
          </w:p>
        </w:tc>
        <w:tc>
          <w:tcPr>
            <w:tcW w:w="440" w:type="pct"/>
            <w:noWrap/>
            <w:hideMark/>
          </w:tcPr>
          <w:p w14:paraId="2D1FD06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4,7%</w:t>
            </w:r>
          </w:p>
        </w:tc>
        <w:tc>
          <w:tcPr>
            <w:tcW w:w="440" w:type="pct"/>
          </w:tcPr>
          <w:p w14:paraId="3889BE4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4,3%</w:t>
            </w:r>
          </w:p>
        </w:tc>
      </w:tr>
      <w:tr w:rsidR="00B86FB3" w:rsidRPr="00FF756A" w14:paraId="66F70365"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229C8EA9" w14:textId="77777777" w:rsidR="00B86FB3" w:rsidRPr="00FF756A" w:rsidRDefault="00B86FB3" w:rsidP="00B86FB3">
            <w:pPr>
              <w:rPr>
                <w:rFonts w:eastAsia="Times New Roman" w:cs="Times New Roman"/>
                <w:b w:val="0"/>
                <w:sz w:val="20"/>
                <w:szCs w:val="20"/>
              </w:rPr>
            </w:pPr>
            <w:r w:rsidRPr="00FF756A">
              <w:rPr>
                <w:rFonts w:cs="Times New Roman"/>
                <w:sz w:val="20"/>
                <w:szCs w:val="20"/>
              </w:rPr>
              <w:t>Energjia eolike</w:t>
            </w:r>
          </w:p>
        </w:tc>
        <w:tc>
          <w:tcPr>
            <w:tcW w:w="440" w:type="pct"/>
            <w:noWrap/>
            <w:hideMark/>
          </w:tcPr>
          <w:p w14:paraId="6B19BC0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554FB2E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6D8E6DA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0C10980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73A5E73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623" w:type="pct"/>
            <w:shd w:val="clear" w:color="auto" w:fill="4472C4" w:themeFill="accent1"/>
            <w:noWrap/>
            <w:hideMark/>
          </w:tcPr>
          <w:p w14:paraId="3EA30CA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rPr>
            </w:pPr>
            <w:r w:rsidRPr="00FF756A">
              <w:rPr>
                <w:rFonts w:cs="Times New Roman"/>
                <w:sz w:val="20"/>
                <w:szCs w:val="20"/>
              </w:rPr>
              <w:t>1,6%</w:t>
            </w:r>
          </w:p>
        </w:tc>
        <w:tc>
          <w:tcPr>
            <w:tcW w:w="440" w:type="pct"/>
            <w:noWrap/>
            <w:hideMark/>
          </w:tcPr>
          <w:p w14:paraId="102A4CF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1,3%</w:t>
            </w:r>
          </w:p>
        </w:tc>
        <w:tc>
          <w:tcPr>
            <w:tcW w:w="440" w:type="pct"/>
          </w:tcPr>
          <w:p w14:paraId="41D6C2A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1,0%</w:t>
            </w:r>
          </w:p>
        </w:tc>
      </w:tr>
      <w:tr w:rsidR="00B86FB3" w:rsidRPr="00FF756A" w14:paraId="40E17C00"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2D4A1B66" w14:textId="77777777" w:rsidR="00B86FB3" w:rsidRPr="00FF756A" w:rsidRDefault="00B86FB3" w:rsidP="00B86FB3">
            <w:pPr>
              <w:rPr>
                <w:rFonts w:eastAsia="Times New Roman" w:cs="Times New Roman"/>
                <w:b w:val="0"/>
                <w:sz w:val="20"/>
                <w:szCs w:val="20"/>
              </w:rPr>
            </w:pPr>
            <w:r w:rsidRPr="00FF756A">
              <w:rPr>
                <w:rFonts w:cs="Times New Roman"/>
                <w:sz w:val="20"/>
                <w:szCs w:val="20"/>
              </w:rPr>
              <w:t>Energjia diellore</w:t>
            </w:r>
          </w:p>
        </w:tc>
        <w:tc>
          <w:tcPr>
            <w:tcW w:w="440" w:type="pct"/>
            <w:noWrap/>
            <w:hideMark/>
          </w:tcPr>
          <w:p w14:paraId="0F09EC8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0,7%</w:t>
            </w:r>
          </w:p>
        </w:tc>
        <w:tc>
          <w:tcPr>
            <w:tcW w:w="440" w:type="pct"/>
            <w:noWrap/>
            <w:hideMark/>
          </w:tcPr>
          <w:p w14:paraId="0AC2B92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0,7%</w:t>
            </w:r>
          </w:p>
        </w:tc>
        <w:tc>
          <w:tcPr>
            <w:tcW w:w="440" w:type="pct"/>
            <w:noWrap/>
            <w:hideMark/>
          </w:tcPr>
          <w:p w14:paraId="6B46C28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0,7%</w:t>
            </w:r>
          </w:p>
        </w:tc>
        <w:tc>
          <w:tcPr>
            <w:tcW w:w="440" w:type="pct"/>
            <w:noWrap/>
            <w:hideMark/>
          </w:tcPr>
          <w:p w14:paraId="14A24E7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1,6%</w:t>
            </w:r>
          </w:p>
        </w:tc>
        <w:tc>
          <w:tcPr>
            <w:tcW w:w="440" w:type="pct"/>
            <w:noWrap/>
            <w:hideMark/>
          </w:tcPr>
          <w:p w14:paraId="31A95B1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2,3%</w:t>
            </w:r>
          </w:p>
        </w:tc>
        <w:tc>
          <w:tcPr>
            <w:tcW w:w="623" w:type="pct"/>
            <w:shd w:val="clear" w:color="auto" w:fill="4472C4" w:themeFill="accent1"/>
            <w:noWrap/>
            <w:hideMark/>
          </w:tcPr>
          <w:p w14:paraId="491840B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0"/>
              </w:rPr>
            </w:pPr>
            <w:r w:rsidRPr="00FF756A">
              <w:rPr>
                <w:rFonts w:cs="Times New Roman"/>
                <w:sz w:val="20"/>
                <w:szCs w:val="20"/>
              </w:rPr>
              <w:t>2,4%</w:t>
            </w:r>
          </w:p>
        </w:tc>
        <w:tc>
          <w:tcPr>
            <w:tcW w:w="440" w:type="pct"/>
            <w:noWrap/>
            <w:hideMark/>
          </w:tcPr>
          <w:p w14:paraId="4278AC7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2,2%</w:t>
            </w:r>
          </w:p>
        </w:tc>
        <w:tc>
          <w:tcPr>
            <w:tcW w:w="440" w:type="pct"/>
          </w:tcPr>
          <w:p w14:paraId="2A7E0DB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2,2%</w:t>
            </w:r>
          </w:p>
        </w:tc>
      </w:tr>
      <w:tr w:rsidR="00B86FB3" w:rsidRPr="00FF756A" w14:paraId="1CFB126E"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255EE744" w14:textId="77777777" w:rsidR="00B86FB3" w:rsidRPr="00FF756A" w:rsidRDefault="00B86FB3" w:rsidP="00B86FB3">
            <w:pPr>
              <w:rPr>
                <w:rFonts w:eastAsia="Times New Roman" w:cs="Times New Roman"/>
                <w:b w:val="0"/>
                <w:sz w:val="20"/>
                <w:szCs w:val="20"/>
              </w:rPr>
            </w:pPr>
            <w:r w:rsidRPr="00FF756A">
              <w:rPr>
                <w:rFonts w:cs="Times New Roman"/>
                <w:sz w:val="20"/>
                <w:szCs w:val="20"/>
              </w:rPr>
              <w:t>Energjia hidrike</w:t>
            </w:r>
          </w:p>
        </w:tc>
        <w:tc>
          <w:tcPr>
            <w:tcW w:w="440" w:type="pct"/>
            <w:noWrap/>
            <w:hideMark/>
          </w:tcPr>
          <w:p w14:paraId="44DAD85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21,4%</w:t>
            </w:r>
          </w:p>
        </w:tc>
        <w:tc>
          <w:tcPr>
            <w:tcW w:w="440" w:type="pct"/>
            <w:noWrap/>
            <w:hideMark/>
          </w:tcPr>
          <w:p w14:paraId="1AA9999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20,2%</w:t>
            </w:r>
          </w:p>
        </w:tc>
        <w:tc>
          <w:tcPr>
            <w:tcW w:w="440" w:type="pct"/>
            <w:noWrap/>
            <w:hideMark/>
          </w:tcPr>
          <w:p w14:paraId="7776A4A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20,1%</w:t>
            </w:r>
          </w:p>
        </w:tc>
        <w:tc>
          <w:tcPr>
            <w:tcW w:w="440" w:type="pct"/>
            <w:noWrap/>
            <w:hideMark/>
          </w:tcPr>
          <w:p w14:paraId="1D97703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28,2%</w:t>
            </w:r>
          </w:p>
        </w:tc>
        <w:tc>
          <w:tcPr>
            <w:tcW w:w="440" w:type="pct"/>
            <w:noWrap/>
            <w:hideMark/>
          </w:tcPr>
          <w:p w14:paraId="55B9986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27,4%</w:t>
            </w:r>
          </w:p>
        </w:tc>
        <w:tc>
          <w:tcPr>
            <w:tcW w:w="623" w:type="pct"/>
            <w:shd w:val="clear" w:color="auto" w:fill="4472C4" w:themeFill="accent1"/>
            <w:noWrap/>
            <w:hideMark/>
          </w:tcPr>
          <w:p w14:paraId="4C192CE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rPr>
            </w:pPr>
            <w:r w:rsidRPr="00FF756A">
              <w:rPr>
                <w:rFonts w:cs="Times New Roman"/>
                <w:sz w:val="20"/>
                <w:szCs w:val="20"/>
              </w:rPr>
              <w:t>25,2%</w:t>
            </w:r>
          </w:p>
        </w:tc>
        <w:tc>
          <w:tcPr>
            <w:tcW w:w="440" w:type="pct"/>
            <w:noWrap/>
            <w:hideMark/>
          </w:tcPr>
          <w:p w14:paraId="7CDD0A5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23,5%</w:t>
            </w:r>
          </w:p>
        </w:tc>
        <w:tc>
          <w:tcPr>
            <w:tcW w:w="440" w:type="pct"/>
          </w:tcPr>
          <w:p w14:paraId="46E3673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18,1%</w:t>
            </w:r>
          </w:p>
        </w:tc>
      </w:tr>
      <w:tr w:rsidR="00B86FB3" w:rsidRPr="00FF756A" w14:paraId="085E7DDB"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66FEC5F3" w14:textId="77777777" w:rsidR="00B86FB3" w:rsidRPr="00FF756A" w:rsidRDefault="00B86FB3" w:rsidP="00B86FB3">
            <w:pPr>
              <w:rPr>
                <w:rFonts w:eastAsia="Times New Roman" w:cs="Times New Roman"/>
                <w:b w:val="0"/>
                <w:sz w:val="20"/>
                <w:szCs w:val="20"/>
              </w:rPr>
            </w:pPr>
            <w:r w:rsidRPr="00FF756A">
              <w:rPr>
                <w:rFonts w:cs="Times New Roman"/>
                <w:sz w:val="20"/>
                <w:szCs w:val="20"/>
              </w:rPr>
              <w:t>Hidrogjeni</w:t>
            </w:r>
          </w:p>
        </w:tc>
        <w:tc>
          <w:tcPr>
            <w:tcW w:w="440" w:type="pct"/>
            <w:noWrap/>
            <w:hideMark/>
          </w:tcPr>
          <w:p w14:paraId="56FCD9C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3D3AE98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181EACA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6BD241C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7C31871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623" w:type="pct"/>
            <w:shd w:val="clear" w:color="auto" w:fill="4472C4" w:themeFill="accent1"/>
            <w:noWrap/>
            <w:hideMark/>
          </w:tcPr>
          <w:p w14:paraId="13177E0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0"/>
              </w:rPr>
            </w:pPr>
            <w:r w:rsidRPr="00FF756A">
              <w:rPr>
                <w:rFonts w:cs="Times New Roman"/>
                <w:sz w:val="20"/>
                <w:szCs w:val="20"/>
              </w:rPr>
              <w:t>0,0%</w:t>
            </w:r>
          </w:p>
        </w:tc>
        <w:tc>
          <w:tcPr>
            <w:tcW w:w="440" w:type="pct"/>
            <w:noWrap/>
            <w:hideMark/>
          </w:tcPr>
          <w:p w14:paraId="074BA1B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0,5%</w:t>
            </w:r>
          </w:p>
        </w:tc>
        <w:tc>
          <w:tcPr>
            <w:tcW w:w="440" w:type="pct"/>
          </w:tcPr>
          <w:p w14:paraId="7B8715D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1,1%</w:t>
            </w:r>
          </w:p>
        </w:tc>
      </w:tr>
      <w:tr w:rsidR="00B86FB3" w:rsidRPr="00FF756A" w14:paraId="48A2B734"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2C0EE173" w14:textId="77777777" w:rsidR="00B86FB3" w:rsidRPr="00FF756A" w:rsidRDefault="00B86FB3" w:rsidP="00B86FB3">
            <w:pPr>
              <w:rPr>
                <w:rFonts w:eastAsia="Times New Roman" w:cs="Times New Roman"/>
                <w:b w:val="0"/>
                <w:sz w:val="20"/>
                <w:szCs w:val="20"/>
              </w:rPr>
            </w:pPr>
            <w:r w:rsidRPr="00FF756A">
              <w:rPr>
                <w:rFonts w:cs="Times New Roman"/>
                <w:sz w:val="20"/>
                <w:szCs w:val="20"/>
              </w:rPr>
              <w:t>Mbetjet e ngurta urbane</w:t>
            </w:r>
          </w:p>
        </w:tc>
        <w:tc>
          <w:tcPr>
            <w:tcW w:w="440" w:type="pct"/>
            <w:noWrap/>
            <w:hideMark/>
          </w:tcPr>
          <w:p w14:paraId="51EBB6A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5ACB994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4FC547B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440" w:type="pct"/>
            <w:noWrap/>
            <w:hideMark/>
          </w:tcPr>
          <w:p w14:paraId="5E5CED0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0,1%</w:t>
            </w:r>
          </w:p>
        </w:tc>
        <w:tc>
          <w:tcPr>
            <w:tcW w:w="440" w:type="pct"/>
            <w:noWrap/>
            <w:hideMark/>
          </w:tcPr>
          <w:p w14:paraId="2DFF070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0,0%</w:t>
            </w:r>
          </w:p>
        </w:tc>
        <w:tc>
          <w:tcPr>
            <w:tcW w:w="623" w:type="pct"/>
            <w:shd w:val="clear" w:color="auto" w:fill="4472C4" w:themeFill="accent1"/>
            <w:noWrap/>
            <w:hideMark/>
          </w:tcPr>
          <w:p w14:paraId="2BBE7D2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rPr>
            </w:pPr>
            <w:r w:rsidRPr="00FF756A">
              <w:rPr>
                <w:rFonts w:cs="Times New Roman"/>
                <w:sz w:val="20"/>
                <w:szCs w:val="20"/>
              </w:rPr>
              <w:t>0,0%</w:t>
            </w:r>
          </w:p>
        </w:tc>
        <w:tc>
          <w:tcPr>
            <w:tcW w:w="440" w:type="pct"/>
            <w:noWrap/>
            <w:hideMark/>
          </w:tcPr>
          <w:p w14:paraId="45D5001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0,1%</w:t>
            </w:r>
          </w:p>
        </w:tc>
        <w:tc>
          <w:tcPr>
            <w:tcW w:w="440" w:type="pct"/>
          </w:tcPr>
          <w:p w14:paraId="1770420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0,1%</w:t>
            </w:r>
          </w:p>
        </w:tc>
      </w:tr>
      <w:tr w:rsidR="00B86FB3" w:rsidRPr="00FF756A" w14:paraId="1B4325A4"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97" w:type="pct"/>
            <w:noWrap/>
            <w:hideMark/>
          </w:tcPr>
          <w:p w14:paraId="255B0E80" w14:textId="77777777" w:rsidR="00B86FB3" w:rsidRPr="00FF756A" w:rsidRDefault="00B86FB3" w:rsidP="00B86FB3">
            <w:pPr>
              <w:rPr>
                <w:rFonts w:eastAsia="Times New Roman" w:cs="Times New Roman"/>
                <w:b w:val="0"/>
                <w:sz w:val="20"/>
                <w:szCs w:val="20"/>
              </w:rPr>
            </w:pPr>
            <w:r w:rsidRPr="00FF756A">
              <w:rPr>
                <w:rFonts w:cs="Times New Roman"/>
                <w:sz w:val="20"/>
                <w:szCs w:val="20"/>
              </w:rPr>
              <w:t>Totali</w:t>
            </w:r>
          </w:p>
        </w:tc>
        <w:tc>
          <w:tcPr>
            <w:tcW w:w="440" w:type="pct"/>
            <w:shd w:val="clear" w:color="auto" w:fill="4472C4" w:themeFill="accent1"/>
            <w:noWrap/>
            <w:hideMark/>
          </w:tcPr>
          <w:p w14:paraId="3147F85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0"/>
              </w:rPr>
            </w:pPr>
            <w:r w:rsidRPr="00FF756A">
              <w:rPr>
                <w:rFonts w:cs="Times New Roman"/>
                <w:color w:val="FFFFFF" w:themeColor="background1"/>
                <w:sz w:val="20"/>
                <w:szCs w:val="20"/>
              </w:rPr>
              <w:t>29,2%</w:t>
            </w:r>
          </w:p>
        </w:tc>
        <w:tc>
          <w:tcPr>
            <w:tcW w:w="440" w:type="pct"/>
            <w:shd w:val="clear" w:color="auto" w:fill="4472C4" w:themeFill="accent1"/>
            <w:noWrap/>
            <w:hideMark/>
          </w:tcPr>
          <w:p w14:paraId="310F62D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0"/>
              </w:rPr>
            </w:pPr>
            <w:r w:rsidRPr="00FF756A">
              <w:rPr>
                <w:rFonts w:cs="Times New Roman"/>
                <w:color w:val="FFFFFF" w:themeColor="background1"/>
                <w:sz w:val="20"/>
                <w:szCs w:val="20"/>
              </w:rPr>
              <w:t>27,4%</w:t>
            </w:r>
          </w:p>
        </w:tc>
        <w:tc>
          <w:tcPr>
            <w:tcW w:w="440" w:type="pct"/>
            <w:shd w:val="clear" w:color="auto" w:fill="4472C4" w:themeFill="accent1"/>
            <w:noWrap/>
            <w:hideMark/>
          </w:tcPr>
          <w:p w14:paraId="364FE39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0"/>
              </w:rPr>
            </w:pPr>
            <w:r w:rsidRPr="00FF756A">
              <w:rPr>
                <w:rFonts w:cs="Times New Roman"/>
                <w:color w:val="FFFFFF" w:themeColor="background1"/>
                <w:sz w:val="20"/>
                <w:szCs w:val="20"/>
              </w:rPr>
              <w:t>27,1%</w:t>
            </w:r>
          </w:p>
        </w:tc>
        <w:tc>
          <w:tcPr>
            <w:tcW w:w="440" w:type="pct"/>
            <w:shd w:val="clear" w:color="auto" w:fill="4472C4" w:themeFill="accent1"/>
            <w:noWrap/>
            <w:hideMark/>
          </w:tcPr>
          <w:p w14:paraId="31DBF47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0"/>
              </w:rPr>
            </w:pPr>
            <w:r w:rsidRPr="00FF756A">
              <w:rPr>
                <w:rFonts w:cs="Times New Roman"/>
                <w:color w:val="FFFFFF" w:themeColor="background1"/>
                <w:sz w:val="20"/>
                <w:szCs w:val="20"/>
              </w:rPr>
              <w:t>36,0%</w:t>
            </w:r>
          </w:p>
        </w:tc>
        <w:tc>
          <w:tcPr>
            <w:tcW w:w="440" w:type="pct"/>
            <w:shd w:val="clear" w:color="auto" w:fill="4472C4" w:themeFill="accent1"/>
            <w:noWrap/>
            <w:hideMark/>
          </w:tcPr>
          <w:p w14:paraId="5E3F8CA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0"/>
              </w:rPr>
            </w:pPr>
            <w:r w:rsidRPr="00FF756A">
              <w:rPr>
                <w:rFonts w:cs="Times New Roman"/>
                <w:color w:val="FFFFFF" w:themeColor="background1"/>
                <w:sz w:val="20"/>
                <w:szCs w:val="20"/>
              </w:rPr>
              <w:t>35,7%</w:t>
            </w:r>
          </w:p>
        </w:tc>
        <w:tc>
          <w:tcPr>
            <w:tcW w:w="623" w:type="pct"/>
            <w:shd w:val="clear" w:color="auto" w:fill="4472C4" w:themeFill="accent1"/>
            <w:noWrap/>
            <w:hideMark/>
          </w:tcPr>
          <w:p w14:paraId="47036DF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0"/>
              </w:rPr>
            </w:pPr>
            <w:r w:rsidRPr="00FF756A">
              <w:rPr>
                <w:rFonts w:cs="Times New Roman"/>
                <w:color w:val="FFFFFF" w:themeColor="background1"/>
                <w:sz w:val="20"/>
                <w:szCs w:val="20"/>
              </w:rPr>
              <w:t>34,8%</w:t>
            </w:r>
          </w:p>
        </w:tc>
        <w:tc>
          <w:tcPr>
            <w:tcW w:w="440" w:type="pct"/>
            <w:shd w:val="clear" w:color="auto" w:fill="4472C4" w:themeFill="accent1"/>
            <w:noWrap/>
            <w:hideMark/>
          </w:tcPr>
          <w:p w14:paraId="699F206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0"/>
              </w:rPr>
            </w:pPr>
            <w:r w:rsidRPr="00FF756A">
              <w:rPr>
                <w:rFonts w:cs="Times New Roman"/>
                <w:color w:val="FFFFFF" w:themeColor="background1"/>
                <w:sz w:val="20"/>
                <w:szCs w:val="20"/>
              </w:rPr>
              <w:t>32,3%</w:t>
            </w:r>
          </w:p>
        </w:tc>
        <w:tc>
          <w:tcPr>
            <w:tcW w:w="440" w:type="pct"/>
            <w:shd w:val="clear" w:color="auto" w:fill="4472C4" w:themeFill="accent1"/>
          </w:tcPr>
          <w:p w14:paraId="18AC0B88" w14:textId="77777777" w:rsidR="00B86FB3" w:rsidRPr="00FF756A" w:rsidRDefault="00B86FB3" w:rsidP="00490D19">
            <w:pPr>
              <w:keepNext/>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20"/>
                <w:szCs w:val="20"/>
              </w:rPr>
            </w:pPr>
            <w:r w:rsidRPr="00FF756A">
              <w:rPr>
                <w:rFonts w:cs="Times New Roman"/>
                <w:color w:val="FFFFFF" w:themeColor="background1"/>
                <w:sz w:val="20"/>
                <w:szCs w:val="20"/>
              </w:rPr>
              <w:t>26,8%</w:t>
            </w:r>
          </w:p>
        </w:tc>
      </w:tr>
    </w:tbl>
    <w:p w14:paraId="3F0189B2" w14:textId="382FD842" w:rsidR="00490D19" w:rsidRPr="00FF756A" w:rsidRDefault="00490D19">
      <w:pPr>
        <w:pStyle w:val="Caption"/>
        <w:rPr>
          <w:rFonts w:ascii="Times New Roman" w:hAnsi="Times New Roman"/>
        </w:rPr>
      </w:pPr>
      <w:bookmarkStart w:id="704" w:name="_Toc183016517"/>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53</w:t>
      </w:r>
      <w:r w:rsidR="008E7DE9" w:rsidRPr="00FF756A">
        <w:rPr>
          <w:rFonts w:ascii="Times New Roman" w:hAnsi="Times New Roman"/>
          <w:noProof/>
        </w:rPr>
        <w:fldChar w:fldCharType="end"/>
      </w:r>
      <w:r w:rsidRPr="00FF756A">
        <w:rPr>
          <w:rFonts w:ascii="Times New Roman" w:hAnsi="Times New Roman"/>
        </w:rPr>
        <w:t>: Përqindjet e burimeve të rinovueshme të energjisë në TFEP dhe përqindja totale e energjisë së rinovueshme për skenarë të ndryshëm</w:t>
      </w:r>
      <w:bookmarkEnd w:id="704"/>
    </w:p>
    <w:p w14:paraId="19FB0B69" w14:textId="77777777" w:rsidR="00B86FB3" w:rsidRPr="00FF756A" w:rsidRDefault="00B86FB3" w:rsidP="00B86FB3">
      <w:pPr>
        <w:spacing w:line="240" w:lineRule="auto"/>
        <w:rPr>
          <w:rFonts w:eastAsia="Times New Roman"/>
          <w:b/>
          <w:bCs/>
          <w:color w:val="4F81BD"/>
          <w:sz w:val="18"/>
          <w:szCs w:val="18"/>
          <w:lang w:eastAsia="ja-JP"/>
        </w:rPr>
      </w:pPr>
      <w:r w:rsidRPr="00FF756A">
        <w:rPr>
          <w:rFonts w:eastAsia="Times New Roman"/>
          <w:b/>
          <w:bCs/>
          <w:color w:val="4F81BD"/>
          <w:sz w:val="18"/>
          <w:szCs w:val="18"/>
          <w:lang w:eastAsia="ja-JP"/>
        </w:rPr>
        <w:t xml:space="preserve"> </w:t>
      </w:r>
    </w:p>
    <w:p w14:paraId="4EF16F38" w14:textId="77777777" w:rsidR="00B86FB3" w:rsidRPr="00FF756A" w:rsidRDefault="00B86FB3" w:rsidP="00B86FB3">
      <w:pPr>
        <w:rPr>
          <w:i/>
          <w:iCs/>
          <w:color w:val="2F5496" w:themeColor="accent1" w:themeShade="BF"/>
        </w:rPr>
      </w:pPr>
      <w:r w:rsidRPr="00FF756A">
        <w:rPr>
          <w:i/>
          <w:iCs/>
          <w:color w:val="2F5496" w:themeColor="accent1" w:themeShade="BF"/>
        </w:rPr>
        <w:t>Energjia e rinovueshme - Energjia finale</w:t>
      </w:r>
    </w:p>
    <w:p w14:paraId="1F449A67" w14:textId="77777777" w:rsidR="00B86FB3" w:rsidRPr="00FF756A" w:rsidRDefault="00B86FB3" w:rsidP="00B86FB3">
      <w:r w:rsidRPr="00FF756A">
        <w:t xml:space="preserve">Përqindjet e burimeve të rinovueshme në konsumin final të energjisë përcaktohen sipas Direktivës 2009/28/KE (RED; </w:t>
      </w:r>
      <w:sdt>
        <w:sdtPr>
          <w:alias w:val="Për të modifikuar, shihni citavi.com/edit"/>
          <w:tag w:val="CitaviPlaceholder#28a08a52-546d-49f3-a1a3-527c5def2a10"/>
          <w:id w:val="-1309777334"/>
          <w:placeholder>
            <w:docPart w:val="A813EA41D262400BB257E7033F4E6C6D"/>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}</w:instrText>
          </w:r>
          <w:r w:rsidRPr="00FF756A">
            <w:fldChar w:fldCharType="separate"/>
          </w:r>
          <w:r w:rsidRPr="00FF756A">
            <w:t>EU</w:t>
          </w:r>
          <w:r w:rsidRPr="00FF756A">
            <w:fldChar w:fldCharType="end"/>
          </w:r>
        </w:sdtContent>
      </w:sdt>
      <w:r w:rsidRPr="00FF756A">
        <w:t xml:space="preserve"> </w:t>
      </w:r>
      <w:sdt>
        <w:sdtPr>
          <w:alias w:val="Për të modifikuar, shihni citavi.com/edit"/>
          <w:tag w:val="CitaviPlaceholder#49006f5b-70b9-4b65-ada5-5c5d99dcc958"/>
          <w:id w:val="41800192"/>
          <w:placeholder>
            <w:docPart w:val="A813EA41D262400BB257E7033F4E6C6D"/>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}</w:instrText>
          </w:r>
          <w:r w:rsidRPr="00FF756A">
            <w:fldChar w:fldCharType="separate"/>
          </w:r>
          <w:r w:rsidRPr="00FF756A">
            <w:t>(2009)</w:t>
          </w:r>
          <w:r w:rsidRPr="00FF756A">
            <w:fldChar w:fldCharType="end"/>
          </w:r>
        </w:sdtContent>
      </w:sdt>
      <w:r w:rsidRPr="00FF756A">
        <w:t xml:space="preserve">; shihni gjithashtu </w:t>
      </w:r>
      <w:sdt>
        <w:sdtPr>
          <w:alias w:val="Për të modifikuar, shihni citavi.com/edit"/>
          <w:tag w:val="CitaviPlaceholder#a53b16a0-830c-4998-9fe6-a285906b14e3"/>
          <w:id w:val="-1173406534"/>
          <w:placeholder>
            <w:docPart w:val="A813EA41D262400BB257E7033F4E6C6D"/>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}</w:instrText>
          </w:r>
          <w:r w:rsidRPr="00FF756A">
            <w:fldChar w:fldCharType="separate"/>
          </w:r>
          <w:r w:rsidRPr="00FF756A">
            <w:t>European Commission</w:t>
          </w:r>
          <w:r w:rsidRPr="00FF756A">
            <w:fldChar w:fldCharType="end"/>
          </w:r>
        </w:sdtContent>
      </w:sdt>
      <w:r w:rsidRPr="00FF756A">
        <w:t xml:space="preserve"> </w:t>
      </w:r>
      <w:sdt>
        <w:sdtPr>
          <w:alias w:val="Për të modifikuar, shihni citavi.com/edit"/>
          <w:tag w:val="CitaviPlaceholder#14ff37bd-03a3-47be-9fd7-b5f26b64aa63"/>
          <w:id w:val="-135342823"/>
          <w:placeholder>
            <w:docPart w:val="A813EA41D262400BB257E7033F4E6C6D"/>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}</w:instrText>
          </w:r>
          <w:r w:rsidRPr="00FF756A">
            <w:fldChar w:fldCharType="separate"/>
          </w:r>
          <w:r w:rsidRPr="00FF756A">
            <w:t>(2018)</w:t>
          </w:r>
          <w:r w:rsidRPr="00FF756A">
            <w:fldChar w:fldCharType="end"/>
          </w:r>
        </w:sdtContent>
      </w:sdt>
      <w:r w:rsidRPr="00FF756A">
        <w:t xml:space="preserve">). Figurat e mëposhtme paraqesin të dhënat historike të përqindjes së BRE-ve për vitet 2016-2021 dhe parashikimet me masat shtesë. Për sa i përket përqindjes në sektorin e transportit (BRE-T), kjo përfshin edhe shumëzuesit për përdorimin e energjisë elektrike në transportin rrugor dhe hekurudhor, gjë që shpjegon rritjen e ndjeshme. Nuk merren parasysh biokarburantet e avancuara (me shumëzues më të mëdhenj). Përqindja e energjisë së rinovueshme për ngrohjen dhe ftohjen (BRE-N&amp;F) bie paralelisht me rënien e përqindjes së lëndës drusore si lëndë djegëse për ngrohje.  Përqindja e energjisë elektrike të rinovueshme (BRE-E) përcaktohet gjerësisht nga prodhimi hidroenergjetik, me një rritje të kapaciteteve të parashikuara të impianteve diellore fotovoltaike dhe atyre eolike. Figurat e mëposhtme japin detaje teknologjike për secilin tregues të BRE. </w:t>
      </w:r>
    </w:p>
    <w:p w14:paraId="25E419D7" w14:textId="77777777" w:rsidR="00B86FB3" w:rsidRPr="00FF756A" w:rsidRDefault="00B86FB3" w:rsidP="00B86FB3">
      <w:r w:rsidRPr="00FF756A">
        <w:t xml:space="preserve">Duke qenë se këta tregues (në veçanti BRE-E) përcaktohen nga prodhimi i BRE-E (numëruesi) dhe kërkesa neto për energji elektrike (emëruesi), vlerat e tyre ndryshojnë ndjeshëm në rastin e supozimit se impiantet e energjisë së rinovueshme funksionojnë me kapacitet të plotë, duke eksportuar të gjithë tepricën e energjisë elektrike. Prandaj, figurat tregojnë të dy variantet e skenarit WAM. </w:t>
      </w:r>
    </w:p>
    <w:p w14:paraId="3AC01E54" w14:textId="77777777" w:rsidR="00B86FB3" w:rsidRPr="00FF756A" w:rsidRDefault="00B86FB3" w:rsidP="00B86FB3"/>
    <w:p w14:paraId="77585275" w14:textId="77777777" w:rsidR="00B86FB3" w:rsidRPr="00FF756A" w:rsidRDefault="00B86FB3" w:rsidP="00B86FB3">
      <w:bookmarkStart w:id="705" w:name="_Hlk180429625"/>
      <w:r w:rsidRPr="00FF756A">
        <w:t>Në terma të përgjithshëm, masat shtesë rrisin përqindjen e burimeve të rinovueshme në energjinë finale nga 37,1% (skenari WEM) në vitin 2030 në 57,1% (skenari WAM). Vlerat historike të vitit 2020 arrijnë në 44%, ndaj skenari WAM rezulton në një rritje me 13 pikë përqindjeje në vitin 2030. Rritja vërehet edhe nëse merret në konsideratë vetëm kërkesa e brendshme për energji elektrike (skenari WAM që merr në konsideratë vetëm ER-në për përmbushjen e kërkesës), rast në të cilin arrihet një përqindje e përgjithshme e BRE-së prej 49,4%.</w:t>
      </w:r>
    </w:p>
    <w:bookmarkEnd w:id="705"/>
    <w:p w14:paraId="3BFDAC0B" w14:textId="77777777" w:rsidR="00490D19" w:rsidRPr="00FF756A" w:rsidRDefault="00B86FB3" w:rsidP="00490D19">
      <w:pPr>
        <w:keepNext/>
        <w:jc w:val="center"/>
      </w:pPr>
      <w:r w:rsidRPr="00FF756A">
        <w:rPr>
          <w:noProof/>
          <w:lang w:val="en-US"/>
        </w:rPr>
        <w:drawing>
          <wp:inline distT="0" distB="0" distL="0" distR="0" wp14:anchorId="33C7CDEF" wp14:editId="19353EFE">
            <wp:extent cx="5760720" cy="4086225"/>
            <wp:effectExtent l="0" t="0" r="0" b="9525"/>
            <wp:docPr id="1989068247" name="Picture 22"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068247" name="Picture 22" descr="A graph of different colored lines&#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760720" cy="4086225"/>
                    </a:xfrm>
                    <a:prstGeom prst="rect">
                      <a:avLst/>
                    </a:prstGeom>
                  </pic:spPr>
                </pic:pic>
              </a:graphicData>
            </a:graphic>
          </wp:inline>
        </w:drawing>
      </w:r>
    </w:p>
    <w:p w14:paraId="12603975" w14:textId="5B2B8F95" w:rsidR="00B86FB3" w:rsidRPr="00FF756A" w:rsidRDefault="00490D19" w:rsidP="00490D19">
      <w:pPr>
        <w:pStyle w:val="Caption"/>
        <w:jc w:val="center"/>
        <w:rPr>
          <w:rFonts w:ascii="Times New Roman" w:hAnsi="Times New Roman"/>
        </w:rPr>
      </w:pPr>
      <w:bookmarkStart w:id="706" w:name="_Toc183016625"/>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95</w:t>
      </w:r>
      <w:r w:rsidR="008E7DE9" w:rsidRPr="00FF756A">
        <w:rPr>
          <w:rFonts w:ascii="Times New Roman" w:hAnsi="Times New Roman"/>
          <w:noProof/>
        </w:rPr>
        <w:fldChar w:fldCharType="end"/>
      </w:r>
      <w:r w:rsidRPr="00FF756A">
        <w:rPr>
          <w:rFonts w:ascii="Times New Roman" w:hAnsi="Times New Roman"/>
        </w:rPr>
        <w:t>: Përqindjet e BRE-ve në kërkesën finale për energji, të përllogaritura sipas RED (Direktivës 2009/28/KE) për periudhën kohore 2016-2023 dhe sipas parashikimeve deri në vitin 2050 me masa shtesë. Tregohen edhe vlerat nga skenari WEM</w:t>
      </w:r>
      <w:bookmarkEnd w:id="706"/>
    </w:p>
    <w:p w14:paraId="73E47892" w14:textId="77777777" w:rsidR="00B86FB3" w:rsidRPr="00FF756A" w:rsidRDefault="00B86FB3" w:rsidP="00B86FB3">
      <w:pPr>
        <w:rPr>
          <w:lang w:eastAsia="ja-JP"/>
        </w:rPr>
      </w:pPr>
    </w:p>
    <w:tbl>
      <w:tblPr>
        <w:tblStyle w:val="GridTable5DarkAccent10"/>
        <w:tblW w:w="5000" w:type="pct"/>
        <w:tblLayout w:type="fixed"/>
        <w:tblLook w:val="04A0" w:firstRow="1" w:lastRow="0" w:firstColumn="1" w:lastColumn="0" w:noHBand="0" w:noVBand="1"/>
      </w:tblPr>
      <w:tblGrid>
        <w:gridCol w:w="1788"/>
        <w:gridCol w:w="979"/>
        <w:gridCol w:w="834"/>
        <w:gridCol w:w="834"/>
        <w:gridCol w:w="979"/>
        <w:gridCol w:w="979"/>
        <w:gridCol w:w="973"/>
        <w:gridCol w:w="855"/>
        <w:gridCol w:w="841"/>
      </w:tblGrid>
      <w:tr w:rsidR="00B86FB3" w:rsidRPr="00FF756A" w14:paraId="072E6449" w14:textId="77777777" w:rsidTr="006A3266">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987" w:type="pct"/>
            <w:noWrap/>
            <w:hideMark/>
          </w:tcPr>
          <w:p w14:paraId="1EF28096" w14:textId="77777777" w:rsidR="00B86FB3" w:rsidRPr="00FF756A" w:rsidRDefault="00B86FB3" w:rsidP="00B86FB3">
            <w:pPr>
              <w:rPr>
                <w:rFonts w:eastAsia="Times New Roman" w:cs="Times New Roman"/>
                <w:bCs w:val="0"/>
                <w:sz w:val="20"/>
                <w:szCs w:val="20"/>
              </w:rPr>
            </w:pPr>
            <w:r w:rsidRPr="00FF756A">
              <w:rPr>
                <w:rFonts w:cs="Times New Roman"/>
                <w:sz w:val="20"/>
                <w:szCs w:val="20"/>
              </w:rPr>
              <w:t>Vlerat në përqindje</w:t>
            </w:r>
          </w:p>
        </w:tc>
        <w:tc>
          <w:tcPr>
            <w:tcW w:w="540" w:type="pct"/>
            <w:noWrap/>
            <w:hideMark/>
          </w:tcPr>
          <w:p w14:paraId="583BC498"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2020</w:t>
            </w:r>
          </w:p>
        </w:tc>
        <w:tc>
          <w:tcPr>
            <w:tcW w:w="460" w:type="pct"/>
            <w:noWrap/>
            <w:hideMark/>
          </w:tcPr>
          <w:p w14:paraId="07F1EDB7"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2021</w:t>
            </w:r>
          </w:p>
        </w:tc>
        <w:tc>
          <w:tcPr>
            <w:tcW w:w="460" w:type="pct"/>
            <w:noWrap/>
            <w:hideMark/>
          </w:tcPr>
          <w:p w14:paraId="67392792"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2022</w:t>
            </w:r>
          </w:p>
        </w:tc>
        <w:tc>
          <w:tcPr>
            <w:tcW w:w="540" w:type="pct"/>
            <w:noWrap/>
            <w:hideMark/>
          </w:tcPr>
          <w:p w14:paraId="16AFFEAF"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2023</w:t>
            </w:r>
          </w:p>
        </w:tc>
        <w:tc>
          <w:tcPr>
            <w:tcW w:w="540" w:type="pct"/>
            <w:noWrap/>
            <w:hideMark/>
          </w:tcPr>
          <w:p w14:paraId="78CA2F9A"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2025</w:t>
            </w:r>
          </w:p>
        </w:tc>
        <w:tc>
          <w:tcPr>
            <w:tcW w:w="537" w:type="pct"/>
            <w:noWrap/>
            <w:hideMark/>
          </w:tcPr>
          <w:p w14:paraId="7F911157"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2030</w:t>
            </w:r>
          </w:p>
        </w:tc>
        <w:tc>
          <w:tcPr>
            <w:tcW w:w="472" w:type="pct"/>
            <w:noWrap/>
            <w:hideMark/>
          </w:tcPr>
          <w:p w14:paraId="7B53341B"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2040</w:t>
            </w:r>
          </w:p>
        </w:tc>
        <w:tc>
          <w:tcPr>
            <w:tcW w:w="464" w:type="pct"/>
          </w:tcPr>
          <w:p w14:paraId="4202F99A"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FF756A">
              <w:rPr>
                <w:rFonts w:cs="Times New Roman"/>
                <w:sz w:val="20"/>
                <w:szCs w:val="20"/>
              </w:rPr>
              <w:t>2050</w:t>
            </w:r>
          </w:p>
        </w:tc>
      </w:tr>
      <w:tr w:rsidR="00B86FB3" w:rsidRPr="00FF756A" w14:paraId="3CC98E67" w14:textId="77777777" w:rsidTr="006A3266">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pct"/>
            <w:noWrap/>
            <w:hideMark/>
          </w:tcPr>
          <w:p w14:paraId="19CA081C" w14:textId="77777777" w:rsidR="00B86FB3" w:rsidRPr="00FF756A" w:rsidRDefault="00B86FB3" w:rsidP="00B86FB3">
            <w:pPr>
              <w:rPr>
                <w:rFonts w:eastAsia="Times New Roman" w:cs="Times New Roman"/>
                <w:b w:val="0"/>
                <w:sz w:val="20"/>
                <w:szCs w:val="20"/>
              </w:rPr>
            </w:pPr>
            <w:r w:rsidRPr="00FF756A">
              <w:rPr>
                <w:rFonts w:cs="Times New Roman"/>
                <w:sz w:val="20"/>
                <w:szCs w:val="20"/>
              </w:rPr>
              <w:t>Skenari WAM që merr në konsideratë vetëm ER-në për përmbushjen e kërkesës</w:t>
            </w:r>
          </w:p>
        </w:tc>
        <w:tc>
          <w:tcPr>
            <w:tcW w:w="0" w:type="pct"/>
            <w:shd w:val="clear" w:color="auto" w:fill="4472C4" w:themeFill="accent1"/>
            <w:noWrap/>
            <w:hideMark/>
          </w:tcPr>
          <w:p w14:paraId="76A5C780"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0" w:type="pct"/>
            <w:shd w:val="clear" w:color="auto" w:fill="4472C4" w:themeFill="accent1"/>
            <w:noWrap/>
            <w:hideMark/>
          </w:tcPr>
          <w:p w14:paraId="50E37595"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0" w:type="pct"/>
            <w:shd w:val="clear" w:color="auto" w:fill="4472C4" w:themeFill="accent1"/>
            <w:noWrap/>
            <w:hideMark/>
          </w:tcPr>
          <w:p w14:paraId="4122A72D"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0" w:type="pct"/>
            <w:shd w:val="clear" w:color="auto" w:fill="4472C4" w:themeFill="accent1"/>
            <w:noWrap/>
            <w:hideMark/>
          </w:tcPr>
          <w:p w14:paraId="69743F37"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0" w:type="pct"/>
            <w:shd w:val="clear" w:color="auto" w:fill="4472C4" w:themeFill="accent1"/>
            <w:noWrap/>
            <w:hideMark/>
          </w:tcPr>
          <w:p w14:paraId="2BAA00F7"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537" w:type="pct"/>
            <w:shd w:val="clear" w:color="auto" w:fill="4472C4" w:themeFill="accent1"/>
            <w:noWrap/>
            <w:hideMark/>
          </w:tcPr>
          <w:p w14:paraId="33F3D15B"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472" w:type="pct"/>
            <w:shd w:val="clear" w:color="auto" w:fill="4472C4" w:themeFill="accent1"/>
            <w:noWrap/>
            <w:hideMark/>
          </w:tcPr>
          <w:p w14:paraId="2BB370CB"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464" w:type="pct"/>
            <w:shd w:val="clear" w:color="auto" w:fill="4472C4" w:themeFill="accent1"/>
          </w:tcPr>
          <w:p w14:paraId="1DFAE255"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r>
      <w:tr w:rsidR="00B86FB3" w:rsidRPr="00FF756A" w14:paraId="59E47479" w14:textId="77777777" w:rsidTr="006A3266">
        <w:trPr>
          <w:trHeight w:val="295"/>
        </w:trPr>
        <w:tc>
          <w:tcPr>
            <w:cnfStyle w:val="001000000000" w:firstRow="0" w:lastRow="0" w:firstColumn="1" w:lastColumn="0" w:oddVBand="0" w:evenVBand="0" w:oddHBand="0" w:evenHBand="0" w:firstRowFirstColumn="0" w:firstRowLastColumn="0" w:lastRowFirstColumn="0" w:lastRowLastColumn="0"/>
            <w:tcW w:w="0" w:type="pct"/>
            <w:noWrap/>
            <w:hideMark/>
          </w:tcPr>
          <w:p w14:paraId="1B68CFC0" w14:textId="77777777" w:rsidR="00B86FB3" w:rsidRPr="00FF756A" w:rsidRDefault="00B86FB3" w:rsidP="00B86FB3">
            <w:pPr>
              <w:rPr>
                <w:rFonts w:eastAsia="Times New Roman" w:cs="Times New Roman"/>
                <w:b w:val="0"/>
                <w:sz w:val="20"/>
                <w:szCs w:val="20"/>
              </w:rPr>
            </w:pPr>
            <w:r w:rsidRPr="00FF756A">
              <w:rPr>
                <w:rFonts w:cs="Times New Roman"/>
                <w:sz w:val="20"/>
                <w:szCs w:val="20"/>
              </w:rPr>
              <w:t>BRE</w:t>
            </w:r>
          </w:p>
        </w:tc>
        <w:tc>
          <w:tcPr>
            <w:tcW w:w="0" w:type="pct"/>
            <w:noWrap/>
            <w:hideMark/>
          </w:tcPr>
          <w:p w14:paraId="1EF6B36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44,1 </w:t>
            </w:r>
          </w:p>
        </w:tc>
        <w:tc>
          <w:tcPr>
            <w:tcW w:w="0" w:type="pct"/>
            <w:noWrap/>
            <w:hideMark/>
          </w:tcPr>
          <w:p w14:paraId="794DF25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39,9 </w:t>
            </w:r>
          </w:p>
        </w:tc>
        <w:tc>
          <w:tcPr>
            <w:tcW w:w="0" w:type="pct"/>
            <w:noWrap/>
            <w:hideMark/>
          </w:tcPr>
          <w:p w14:paraId="3E564DE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39,6 </w:t>
            </w:r>
          </w:p>
        </w:tc>
        <w:tc>
          <w:tcPr>
            <w:tcW w:w="0" w:type="pct"/>
            <w:noWrap/>
            <w:hideMark/>
          </w:tcPr>
          <w:p w14:paraId="0FF7FC4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43,4 </w:t>
            </w:r>
          </w:p>
        </w:tc>
        <w:tc>
          <w:tcPr>
            <w:tcW w:w="0" w:type="pct"/>
            <w:noWrap/>
            <w:hideMark/>
          </w:tcPr>
          <w:p w14:paraId="3795E35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43,6 </w:t>
            </w:r>
          </w:p>
        </w:tc>
        <w:tc>
          <w:tcPr>
            <w:tcW w:w="537" w:type="pct"/>
            <w:shd w:val="clear" w:color="auto" w:fill="4472C4" w:themeFill="accent1"/>
            <w:noWrap/>
            <w:hideMark/>
          </w:tcPr>
          <w:p w14:paraId="0C3F7F9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 xml:space="preserve"> 49,4 </w:t>
            </w:r>
          </w:p>
        </w:tc>
        <w:tc>
          <w:tcPr>
            <w:tcW w:w="472" w:type="pct"/>
            <w:noWrap/>
            <w:hideMark/>
          </w:tcPr>
          <w:p w14:paraId="7B0F58F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53,8 </w:t>
            </w:r>
          </w:p>
        </w:tc>
        <w:tc>
          <w:tcPr>
            <w:tcW w:w="464" w:type="pct"/>
          </w:tcPr>
          <w:p w14:paraId="16D3E42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66,7 </w:t>
            </w:r>
          </w:p>
        </w:tc>
      </w:tr>
      <w:tr w:rsidR="00B86FB3" w:rsidRPr="00FF756A" w14:paraId="50D5AC17" w14:textId="77777777" w:rsidTr="006A3266">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pct"/>
            <w:noWrap/>
            <w:hideMark/>
          </w:tcPr>
          <w:p w14:paraId="2C552AAA" w14:textId="77777777" w:rsidR="00B86FB3" w:rsidRPr="00FF756A" w:rsidRDefault="00B86FB3" w:rsidP="00B86FB3">
            <w:pPr>
              <w:rPr>
                <w:rFonts w:eastAsia="Times New Roman" w:cs="Times New Roman"/>
                <w:b w:val="0"/>
                <w:sz w:val="20"/>
                <w:szCs w:val="20"/>
              </w:rPr>
            </w:pPr>
            <w:r w:rsidRPr="00FF756A">
              <w:rPr>
                <w:rFonts w:cs="Times New Roman"/>
                <w:sz w:val="20"/>
                <w:szCs w:val="20"/>
              </w:rPr>
              <w:t>BRE-T</w:t>
            </w:r>
          </w:p>
        </w:tc>
        <w:tc>
          <w:tcPr>
            <w:tcW w:w="0" w:type="pct"/>
            <w:noWrap/>
            <w:hideMark/>
          </w:tcPr>
          <w:p w14:paraId="5A52740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0,3 </w:t>
            </w:r>
          </w:p>
        </w:tc>
        <w:tc>
          <w:tcPr>
            <w:tcW w:w="0" w:type="pct"/>
            <w:noWrap/>
            <w:hideMark/>
          </w:tcPr>
          <w:p w14:paraId="283A1A3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0,5 </w:t>
            </w:r>
          </w:p>
        </w:tc>
        <w:tc>
          <w:tcPr>
            <w:tcW w:w="0" w:type="pct"/>
            <w:noWrap/>
            <w:hideMark/>
          </w:tcPr>
          <w:p w14:paraId="580BA7F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0,8 </w:t>
            </w:r>
          </w:p>
        </w:tc>
        <w:tc>
          <w:tcPr>
            <w:tcW w:w="0" w:type="pct"/>
            <w:noWrap/>
            <w:hideMark/>
          </w:tcPr>
          <w:p w14:paraId="523854C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7,3 </w:t>
            </w:r>
          </w:p>
        </w:tc>
        <w:tc>
          <w:tcPr>
            <w:tcW w:w="0" w:type="pct"/>
            <w:noWrap/>
            <w:hideMark/>
          </w:tcPr>
          <w:p w14:paraId="56181A4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16,4 </w:t>
            </w:r>
          </w:p>
        </w:tc>
        <w:tc>
          <w:tcPr>
            <w:tcW w:w="537" w:type="pct"/>
            <w:shd w:val="clear" w:color="auto" w:fill="4472C4" w:themeFill="accent1"/>
            <w:noWrap/>
            <w:hideMark/>
          </w:tcPr>
          <w:p w14:paraId="75B5B99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 xml:space="preserve"> 34,8 </w:t>
            </w:r>
          </w:p>
        </w:tc>
        <w:tc>
          <w:tcPr>
            <w:tcW w:w="472" w:type="pct"/>
            <w:noWrap/>
            <w:hideMark/>
          </w:tcPr>
          <w:p w14:paraId="579CAEF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101,5 </w:t>
            </w:r>
          </w:p>
        </w:tc>
        <w:tc>
          <w:tcPr>
            <w:tcW w:w="464" w:type="pct"/>
          </w:tcPr>
          <w:p w14:paraId="30F20C7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197,3 </w:t>
            </w:r>
          </w:p>
        </w:tc>
      </w:tr>
      <w:tr w:rsidR="00B86FB3" w:rsidRPr="00FF756A" w14:paraId="097F0EDD" w14:textId="77777777" w:rsidTr="006A3266">
        <w:trPr>
          <w:trHeight w:val="295"/>
        </w:trPr>
        <w:tc>
          <w:tcPr>
            <w:cnfStyle w:val="001000000000" w:firstRow="0" w:lastRow="0" w:firstColumn="1" w:lastColumn="0" w:oddVBand="0" w:evenVBand="0" w:oddHBand="0" w:evenHBand="0" w:firstRowFirstColumn="0" w:firstRowLastColumn="0" w:lastRowFirstColumn="0" w:lastRowLastColumn="0"/>
            <w:tcW w:w="0" w:type="pct"/>
            <w:noWrap/>
            <w:hideMark/>
          </w:tcPr>
          <w:p w14:paraId="3037CD4A" w14:textId="77777777" w:rsidR="00B86FB3" w:rsidRPr="00FF756A" w:rsidRDefault="00B86FB3" w:rsidP="00B86FB3">
            <w:pPr>
              <w:rPr>
                <w:rFonts w:eastAsia="Times New Roman" w:cs="Times New Roman"/>
                <w:b w:val="0"/>
                <w:sz w:val="20"/>
                <w:szCs w:val="20"/>
              </w:rPr>
            </w:pPr>
            <w:r w:rsidRPr="00FF756A">
              <w:rPr>
                <w:rFonts w:cs="Times New Roman"/>
                <w:sz w:val="20"/>
                <w:szCs w:val="20"/>
              </w:rPr>
              <w:t>BRE-E</w:t>
            </w:r>
          </w:p>
        </w:tc>
        <w:tc>
          <w:tcPr>
            <w:tcW w:w="0" w:type="pct"/>
            <w:noWrap/>
            <w:hideMark/>
          </w:tcPr>
          <w:p w14:paraId="67CB6F0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103,5 </w:t>
            </w:r>
          </w:p>
        </w:tc>
        <w:tc>
          <w:tcPr>
            <w:tcW w:w="0" w:type="pct"/>
            <w:noWrap/>
            <w:hideMark/>
          </w:tcPr>
          <w:p w14:paraId="026FC6B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96,3 </w:t>
            </w:r>
          </w:p>
        </w:tc>
        <w:tc>
          <w:tcPr>
            <w:tcW w:w="0" w:type="pct"/>
            <w:noWrap/>
            <w:hideMark/>
          </w:tcPr>
          <w:p w14:paraId="1526825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97,9 </w:t>
            </w:r>
          </w:p>
        </w:tc>
        <w:tc>
          <w:tcPr>
            <w:tcW w:w="0" w:type="pct"/>
            <w:noWrap/>
            <w:hideMark/>
          </w:tcPr>
          <w:p w14:paraId="0164129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105,5 </w:t>
            </w:r>
          </w:p>
        </w:tc>
        <w:tc>
          <w:tcPr>
            <w:tcW w:w="0" w:type="pct"/>
            <w:noWrap/>
            <w:hideMark/>
          </w:tcPr>
          <w:p w14:paraId="772ADFE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106,0 </w:t>
            </w:r>
          </w:p>
        </w:tc>
        <w:tc>
          <w:tcPr>
            <w:tcW w:w="537" w:type="pct"/>
            <w:shd w:val="clear" w:color="auto" w:fill="4472C4" w:themeFill="accent1"/>
            <w:noWrap/>
            <w:hideMark/>
          </w:tcPr>
          <w:p w14:paraId="42DDB7E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 xml:space="preserve"> 121,2 </w:t>
            </w:r>
          </w:p>
        </w:tc>
        <w:tc>
          <w:tcPr>
            <w:tcW w:w="472" w:type="pct"/>
            <w:noWrap/>
            <w:hideMark/>
          </w:tcPr>
          <w:p w14:paraId="4EE5FE4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96,0 </w:t>
            </w:r>
          </w:p>
        </w:tc>
        <w:tc>
          <w:tcPr>
            <w:tcW w:w="464" w:type="pct"/>
          </w:tcPr>
          <w:p w14:paraId="6857C07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86,1 </w:t>
            </w:r>
          </w:p>
        </w:tc>
      </w:tr>
      <w:tr w:rsidR="00B86FB3" w:rsidRPr="00FF756A" w14:paraId="33E1C63E" w14:textId="77777777" w:rsidTr="006A3266">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pct"/>
            <w:noWrap/>
            <w:hideMark/>
          </w:tcPr>
          <w:p w14:paraId="6A69FD43" w14:textId="77777777" w:rsidR="00B86FB3" w:rsidRPr="00FF756A" w:rsidRDefault="00B86FB3" w:rsidP="00B86FB3">
            <w:pPr>
              <w:rPr>
                <w:rFonts w:eastAsia="Times New Roman" w:cs="Times New Roman"/>
                <w:b w:val="0"/>
                <w:sz w:val="20"/>
                <w:szCs w:val="20"/>
              </w:rPr>
            </w:pPr>
            <w:r w:rsidRPr="00FF756A">
              <w:rPr>
                <w:rFonts w:cs="Times New Roman"/>
                <w:sz w:val="20"/>
                <w:szCs w:val="20"/>
              </w:rPr>
              <w:t>BRE-N &amp; F</w:t>
            </w:r>
          </w:p>
        </w:tc>
        <w:tc>
          <w:tcPr>
            <w:tcW w:w="0" w:type="pct"/>
            <w:noWrap/>
            <w:hideMark/>
          </w:tcPr>
          <w:p w14:paraId="7F25F06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22,0 </w:t>
            </w:r>
          </w:p>
        </w:tc>
        <w:tc>
          <w:tcPr>
            <w:tcW w:w="0" w:type="pct"/>
            <w:noWrap/>
            <w:hideMark/>
          </w:tcPr>
          <w:p w14:paraId="6D84329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19,8 </w:t>
            </w:r>
          </w:p>
        </w:tc>
        <w:tc>
          <w:tcPr>
            <w:tcW w:w="0" w:type="pct"/>
            <w:noWrap/>
            <w:hideMark/>
          </w:tcPr>
          <w:p w14:paraId="0396049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19,7 </w:t>
            </w:r>
          </w:p>
        </w:tc>
        <w:tc>
          <w:tcPr>
            <w:tcW w:w="0" w:type="pct"/>
            <w:noWrap/>
            <w:hideMark/>
          </w:tcPr>
          <w:p w14:paraId="2D3B6CE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19,5 </w:t>
            </w:r>
          </w:p>
        </w:tc>
        <w:tc>
          <w:tcPr>
            <w:tcW w:w="0" w:type="pct"/>
            <w:noWrap/>
            <w:hideMark/>
          </w:tcPr>
          <w:p w14:paraId="5BCC9A8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19,1 </w:t>
            </w:r>
          </w:p>
        </w:tc>
        <w:tc>
          <w:tcPr>
            <w:tcW w:w="537" w:type="pct"/>
            <w:shd w:val="clear" w:color="auto" w:fill="4472C4" w:themeFill="accent1"/>
            <w:noWrap/>
            <w:hideMark/>
          </w:tcPr>
          <w:p w14:paraId="5351F08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 xml:space="preserve"> 22,6 </w:t>
            </w:r>
          </w:p>
        </w:tc>
        <w:tc>
          <w:tcPr>
            <w:tcW w:w="472" w:type="pct"/>
            <w:noWrap/>
            <w:hideMark/>
          </w:tcPr>
          <w:p w14:paraId="09848A8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34,5 </w:t>
            </w:r>
          </w:p>
        </w:tc>
        <w:tc>
          <w:tcPr>
            <w:tcW w:w="464" w:type="pct"/>
          </w:tcPr>
          <w:p w14:paraId="3CC3856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45,9 </w:t>
            </w:r>
          </w:p>
        </w:tc>
      </w:tr>
      <w:tr w:rsidR="00B86FB3" w:rsidRPr="00FF756A" w14:paraId="5D8C3283" w14:textId="77777777" w:rsidTr="006A3266">
        <w:trPr>
          <w:trHeight w:val="295"/>
        </w:trPr>
        <w:tc>
          <w:tcPr>
            <w:cnfStyle w:val="001000000000" w:firstRow="0" w:lastRow="0" w:firstColumn="1" w:lastColumn="0" w:oddVBand="0" w:evenVBand="0" w:oddHBand="0" w:evenHBand="0" w:firstRowFirstColumn="0" w:firstRowLastColumn="0" w:lastRowFirstColumn="0" w:lastRowLastColumn="0"/>
            <w:tcW w:w="0" w:type="pct"/>
            <w:gridSpan w:val="9"/>
            <w:shd w:val="clear" w:color="auto" w:fill="323E4F" w:themeFill="text2" w:themeFillShade="BF"/>
            <w:noWrap/>
          </w:tcPr>
          <w:p w14:paraId="777EFBBB" w14:textId="77777777" w:rsidR="00B86FB3" w:rsidRPr="00FF756A" w:rsidRDefault="00B86FB3" w:rsidP="00B86FB3">
            <w:pPr>
              <w:rPr>
                <w:rFonts w:eastAsia="Times New Roman" w:cs="Times New Roman"/>
                <w:b w:val="0"/>
                <w:color w:val="000000"/>
                <w:sz w:val="20"/>
                <w:szCs w:val="20"/>
              </w:rPr>
            </w:pPr>
            <w:r w:rsidRPr="00FF756A">
              <w:rPr>
                <w:rFonts w:cs="Times New Roman"/>
                <w:sz w:val="20"/>
                <w:szCs w:val="20"/>
              </w:rPr>
              <w:t>WAM</w:t>
            </w:r>
          </w:p>
        </w:tc>
      </w:tr>
      <w:tr w:rsidR="00B86FB3" w:rsidRPr="00FF756A" w14:paraId="0DF8FB59" w14:textId="77777777" w:rsidTr="006A3266">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pct"/>
            <w:shd w:val="clear" w:color="auto" w:fill="323E4F" w:themeFill="text2" w:themeFillShade="BF"/>
            <w:noWrap/>
            <w:hideMark/>
          </w:tcPr>
          <w:p w14:paraId="667AB5E9" w14:textId="77777777" w:rsidR="00B86FB3" w:rsidRPr="00FF756A" w:rsidRDefault="00B86FB3" w:rsidP="00B86FB3">
            <w:pPr>
              <w:rPr>
                <w:rFonts w:eastAsia="Times New Roman" w:cs="Times New Roman"/>
                <w:b w:val="0"/>
                <w:sz w:val="20"/>
                <w:szCs w:val="20"/>
              </w:rPr>
            </w:pPr>
            <w:r w:rsidRPr="00FF756A">
              <w:rPr>
                <w:rFonts w:cs="Times New Roman"/>
                <w:sz w:val="20"/>
                <w:szCs w:val="20"/>
              </w:rPr>
              <w:t>BRE</w:t>
            </w:r>
          </w:p>
        </w:tc>
        <w:tc>
          <w:tcPr>
            <w:tcW w:w="0" w:type="pct"/>
            <w:noWrap/>
            <w:hideMark/>
          </w:tcPr>
          <w:p w14:paraId="0CA1A22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44,1 </w:t>
            </w:r>
          </w:p>
        </w:tc>
        <w:tc>
          <w:tcPr>
            <w:tcW w:w="0" w:type="pct"/>
            <w:noWrap/>
            <w:hideMark/>
          </w:tcPr>
          <w:p w14:paraId="2FD7A63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39,9 </w:t>
            </w:r>
          </w:p>
        </w:tc>
        <w:tc>
          <w:tcPr>
            <w:tcW w:w="0" w:type="pct"/>
            <w:noWrap/>
            <w:hideMark/>
          </w:tcPr>
          <w:p w14:paraId="7F0F535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39,6 </w:t>
            </w:r>
          </w:p>
        </w:tc>
        <w:tc>
          <w:tcPr>
            <w:tcW w:w="0" w:type="pct"/>
            <w:noWrap/>
            <w:hideMark/>
          </w:tcPr>
          <w:p w14:paraId="09FDB4A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44,0 </w:t>
            </w:r>
          </w:p>
        </w:tc>
        <w:tc>
          <w:tcPr>
            <w:tcW w:w="0" w:type="pct"/>
            <w:noWrap/>
            <w:hideMark/>
          </w:tcPr>
          <w:p w14:paraId="6509635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45,6 </w:t>
            </w:r>
          </w:p>
        </w:tc>
        <w:tc>
          <w:tcPr>
            <w:tcW w:w="537" w:type="pct"/>
            <w:shd w:val="clear" w:color="auto" w:fill="323E4F" w:themeFill="text2" w:themeFillShade="BF"/>
            <w:noWrap/>
            <w:hideMark/>
          </w:tcPr>
          <w:p w14:paraId="343491D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0"/>
              </w:rPr>
            </w:pPr>
            <w:r w:rsidRPr="00FF756A">
              <w:rPr>
                <w:rFonts w:cs="Times New Roman"/>
                <w:color w:val="FFFFFF" w:themeColor="background1"/>
                <w:sz w:val="20"/>
                <w:szCs w:val="20"/>
              </w:rPr>
              <w:t xml:space="preserve"> 57,1 </w:t>
            </w:r>
          </w:p>
        </w:tc>
        <w:tc>
          <w:tcPr>
            <w:tcW w:w="472" w:type="pct"/>
            <w:noWrap/>
            <w:hideMark/>
          </w:tcPr>
          <w:p w14:paraId="5FCBB66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74,0 </w:t>
            </w:r>
          </w:p>
        </w:tc>
        <w:tc>
          <w:tcPr>
            <w:tcW w:w="464" w:type="pct"/>
          </w:tcPr>
          <w:p w14:paraId="25216A5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88,1 </w:t>
            </w:r>
          </w:p>
        </w:tc>
      </w:tr>
      <w:tr w:rsidR="00B86FB3" w:rsidRPr="00FF756A" w14:paraId="38E4CC0C" w14:textId="77777777" w:rsidTr="006A3266">
        <w:trPr>
          <w:trHeight w:val="295"/>
        </w:trPr>
        <w:tc>
          <w:tcPr>
            <w:cnfStyle w:val="001000000000" w:firstRow="0" w:lastRow="0" w:firstColumn="1" w:lastColumn="0" w:oddVBand="0" w:evenVBand="0" w:oddHBand="0" w:evenHBand="0" w:firstRowFirstColumn="0" w:firstRowLastColumn="0" w:lastRowFirstColumn="0" w:lastRowLastColumn="0"/>
            <w:tcW w:w="0" w:type="pct"/>
            <w:shd w:val="clear" w:color="auto" w:fill="323E4F" w:themeFill="text2" w:themeFillShade="BF"/>
            <w:noWrap/>
            <w:hideMark/>
          </w:tcPr>
          <w:p w14:paraId="23CF4F37" w14:textId="77777777" w:rsidR="00B86FB3" w:rsidRPr="00FF756A" w:rsidRDefault="00B86FB3" w:rsidP="00B86FB3">
            <w:pPr>
              <w:rPr>
                <w:rFonts w:eastAsia="Times New Roman" w:cs="Times New Roman"/>
                <w:b w:val="0"/>
                <w:sz w:val="20"/>
                <w:szCs w:val="20"/>
              </w:rPr>
            </w:pPr>
            <w:r w:rsidRPr="00FF756A">
              <w:rPr>
                <w:rFonts w:cs="Times New Roman"/>
                <w:sz w:val="20"/>
                <w:szCs w:val="20"/>
              </w:rPr>
              <w:t>BRE-T</w:t>
            </w:r>
          </w:p>
        </w:tc>
        <w:tc>
          <w:tcPr>
            <w:tcW w:w="0" w:type="pct"/>
            <w:noWrap/>
            <w:hideMark/>
          </w:tcPr>
          <w:p w14:paraId="631EA83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0,3 </w:t>
            </w:r>
          </w:p>
        </w:tc>
        <w:tc>
          <w:tcPr>
            <w:tcW w:w="0" w:type="pct"/>
            <w:noWrap/>
            <w:hideMark/>
          </w:tcPr>
          <w:p w14:paraId="2A27A7B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0,5 </w:t>
            </w:r>
          </w:p>
        </w:tc>
        <w:tc>
          <w:tcPr>
            <w:tcW w:w="0" w:type="pct"/>
            <w:noWrap/>
            <w:hideMark/>
          </w:tcPr>
          <w:p w14:paraId="4E59BC4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0,8 </w:t>
            </w:r>
          </w:p>
        </w:tc>
        <w:tc>
          <w:tcPr>
            <w:tcW w:w="0" w:type="pct"/>
            <w:noWrap/>
            <w:hideMark/>
          </w:tcPr>
          <w:p w14:paraId="6398840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7,3 </w:t>
            </w:r>
          </w:p>
        </w:tc>
        <w:tc>
          <w:tcPr>
            <w:tcW w:w="0" w:type="pct"/>
            <w:noWrap/>
            <w:hideMark/>
          </w:tcPr>
          <w:p w14:paraId="6D0DB5A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16,4 </w:t>
            </w:r>
          </w:p>
        </w:tc>
        <w:tc>
          <w:tcPr>
            <w:tcW w:w="537" w:type="pct"/>
            <w:shd w:val="clear" w:color="auto" w:fill="323E4F" w:themeFill="text2" w:themeFillShade="BF"/>
            <w:noWrap/>
            <w:hideMark/>
          </w:tcPr>
          <w:p w14:paraId="41FF32A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0"/>
              </w:rPr>
            </w:pPr>
            <w:r w:rsidRPr="00FF756A">
              <w:rPr>
                <w:rFonts w:cs="Times New Roman"/>
                <w:color w:val="FFFFFF" w:themeColor="background1"/>
                <w:sz w:val="20"/>
                <w:szCs w:val="20"/>
              </w:rPr>
              <w:t xml:space="preserve"> 34,8 </w:t>
            </w:r>
          </w:p>
        </w:tc>
        <w:tc>
          <w:tcPr>
            <w:tcW w:w="472" w:type="pct"/>
            <w:noWrap/>
            <w:hideMark/>
          </w:tcPr>
          <w:p w14:paraId="7646AF6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101,5 </w:t>
            </w:r>
          </w:p>
        </w:tc>
        <w:tc>
          <w:tcPr>
            <w:tcW w:w="464" w:type="pct"/>
          </w:tcPr>
          <w:p w14:paraId="10C38C2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222,7 </w:t>
            </w:r>
          </w:p>
        </w:tc>
      </w:tr>
      <w:tr w:rsidR="00B86FB3" w:rsidRPr="00FF756A" w14:paraId="2E7150E5" w14:textId="77777777" w:rsidTr="006A3266">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pct"/>
            <w:shd w:val="clear" w:color="auto" w:fill="323E4F" w:themeFill="text2" w:themeFillShade="BF"/>
            <w:noWrap/>
            <w:hideMark/>
          </w:tcPr>
          <w:p w14:paraId="3C74C951" w14:textId="77777777" w:rsidR="00B86FB3" w:rsidRPr="00FF756A" w:rsidRDefault="00B86FB3" w:rsidP="00B86FB3">
            <w:pPr>
              <w:rPr>
                <w:rFonts w:eastAsia="Times New Roman" w:cs="Times New Roman"/>
                <w:b w:val="0"/>
                <w:sz w:val="20"/>
                <w:szCs w:val="20"/>
              </w:rPr>
            </w:pPr>
            <w:r w:rsidRPr="00FF756A">
              <w:rPr>
                <w:rFonts w:cs="Times New Roman"/>
                <w:sz w:val="20"/>
                <w:szCs w:val="20"/>
              </w:rPr>
              <w:t>BRE-E</w:t>
            </w:r>
          </w:p>
        </w:tc>
        <w:tc>
          <w:tcPr>
            <w:tcW w:w="0" w:type="pct"/>
            <w:noWrap/>
            <w:hideMark/>
          </w:tcPr>
          <w:p w14:paraId="675C03E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103,5 </w:t>
            </w:r>
          </w:p>
        </w:tc>
        <w:tc>
          <w:tcPr>
            <w:tcW w:w="0" w:type="pct"/>
            <w:noWrap/>
            <w:hideMark/>
          </w:tcPr>
          <w:p w14:paraId="500EF98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96,3 </w:t>
            </w:r>
          </w:p>
        </w:tc>
        <w:tc>
          <w:tcPr>
            <w:tcW w:w="0" w:type="pct"/>
            <w:noWrap/>
            <w:hideMark/>
          </w:tcPr>
          <w:p w14:paraId="6987A1D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97,9 </w:t>
            </w:r>
          </w:p>
        </w:tc>
        <w:tc>
          <w:tcPr>
            <w:tcW w:w="0" w:type="pct"/>
            <w:noWrap/>
            <w:hideMark/>
          </w:tcPr>
          <w:p w14:paraId="13594B6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107,4 </w:t>
            </w:r>
          </w:p>
        </w:tc>
        <w:tc>
          <w:tcPr>
            <w:tcW w:w="0" w:type="pct"/>
            <w:noWrap/>
            <w:hideMark/>
          </w:tcPr>
          <w:p w14:paraId="63AE065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112,1 </w:t>
            </w:r>
          </w:p>
        </w:tc>
        <w:tc>
          <w:tcPr>
            <w:tcW w:w="537" w:type="pct"/>
            <w:shd w:val="clear" w:color="auto" w:fill="323E4F" w:themeFill="text2" w:themeFillShade="BF"/>
            <w:noWrap/>
            <w:hideMark/>
          </w:tcPr>
          <w:p w14:paraId="2635BDE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0"/>
              </w:rPr>
            </w:pPr>
            <w:r w:rsidRPr="00FF756A">
              <w:rPr>
                <w:rFonts w:cs="Times New Roman"/>
                <w:color w:val="FFFFFF" w:themeColor="background1"/>
                <w:sz w:val="20"/>
                <w:szCs w:val="20"/>
              </w:rPr>
              <w:t xml:space="preserve"> 145,8 </w:t>
            </w:r>
          </w:p>
        </w:tc>
        <w:tc>
          <w:tcPr>
            <w:tcW w:w="472" w:type="pct"/>
            <w:noWrap/>
            <w:hideMark/>
          </w:tcPr>
          <w:p w14:paraId="76C3044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148,8 </w:t>
            </w:r>
          </w:p>
        </w:tc>
        <w:tc>
          <w:tcPr>
            <w:tcW w:w="464" w:type="pct"/>
          </w:tcPr>
          <w:p w14:paraId="3288354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129,6 </w:t>
            </w:r>
          </w:p>
        </w:tc>
      </w:tr>
      <w:tr w:rsidR="00B86FB3" w:rsidRPr="00FF756A" w14:paraId="538BED6B" w14:textId="77777777" w:rsidTr="006A3266">
        <w:trPr>
          <w:trHeight w:val="255"/>
        </w:trPr>
        <w:tc>
          <w:tcPr>
            <w:cnfStyle w:val="001000000000" w:firstRow="0" w:lastRow="0" w:firstColumn="1" w:lastColumn="0" w:oddVBand="0" w:evenVBand="0" w:oddHBand="0" w:evenHBand="0" w:firstRowFirstColumn="0" w:firstRowLastColumn="0" w:lastRowFirstColumn="0" w:lastRowLastColumn="0"/>
            <w:tcW w:w="0" w:type="pct"/>
            <w:shd w:val="clear" w:color="auto" w:fill="323E4F" w:themeFill="text2" w:themeFillShade="BF"/>
            <w:noWrap/>
            <w:hideMark/>
          </w:tcPr>
          <w:p w14:paraId="4C392214" w14:textId="77777777" w:rsidR="00B86FB3" w:rsidRPr="00FF756A" w:rsidRDefault="00B86FB3" w:rsidP="00B86FB3">
            <w:pPr>
              <w:rPr>
                <w:rFonts w:eastAsia="Times New Roman" w:cs="Times New Roman"/>
                <w:b w:val="0"/>
                <w:sz w:val="20"/>
                <w:szCs w:val="20"/>
              </w:rPr>
            </w:pPr>
            <w:r w:rsidRPr="00FF756A">
              <w:rPr>
                <w:rFonts w:cs="Times New Roman"/>
                <w:sz w:val="20"/>
                <w:szCs w:val="20"/>
              </w:rPr>
              <w:t>BRE-N &amp; F</w:t>
            </w:r>
          </w:p>
        </w:tc>
        <w:tc>
          <w:tcPr>
            <w:tcW w:w="0" w:type="pct"/>
            <w:noWrap/>
            <w:hideMark/>
          </w:tcPr>
          <w:p w14:paraId="46DD3EA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22,0 </w:t>
            </w:r>
          </w:p>
        </w:tc>
        <w:tc>
          <w:tcPr>
            <w:tcW w:w="0" w:type="pct"/>
            <w:noWrap/>
            <w:hideMark/>
          </w:tcPr>
          <w:p w14:paraId="30B9109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19,8 </w:t>
            </w:r>
          </w:p>
        </w:tc>
        <w:tc>
          <w:tcPr>
            <w:tcW w:w="0" w:type="pct"/>
            <w:noWrap/>
            <w:hideMark/>
          </w:tcPr>
          <w:p w14:paraId="46BD4F3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19,7 </w:t>
            </w:r>
          </w:p>
        </w:tc>
        <w:tc>
          <w:tcPr>
            <w:tcW w:w="0" w:type="pct"/>
            <w:noWrap/>
            <w:hideMark/>
          </w:tcPr>
          <w:p w14:paraId="6795925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19,5 </w:t>
            </w:r>
          </w:p>
        </w:tc>
        <w:tc>
          <w:tcPr>
            <w:tcW w:w="0" w:type="pct"/>
            <w:noWrap/>
            <w:hideMark/>
          </w:tcPr>
          <w:p w14:paraId="701C739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19,1 </w:t>
            </w:r>
          </w:p>
        </w:tc>
        <w:tc>
          <w:tcPr>
            <w:tcW w:w="537" w:type="pct"/>
            <w:shd w:val="clear" w:color="auto" w:fill="323E4F" w:themeFill="text2" w:themeFillShade="BF"/>
            <w:noWrap/>
            <w:hideMark/>
          </w:tcPr>
          <w:p w14:paraId="0E8A589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0"/>
              </w:rPr>
            </w:pPr>
            <w:r w:rsidRPr="00FF756A">
              <w:rPr>
                <w:rFonts w:cs="Times New Roman"/>
                <w:color w:val="FFFFFF" w:themeColor="background1"/>
                <w:sz w:val="20"/>
                <w:szCs w:val="20"/>
              </w:rPr>
              <w:t xml:space="preserve"> 22,6 </w:t>
            </w:r>
          </w:p>
        </w:tc>
        <w:tc>
          <w:tcPr>
            <w:tcW w:w="472" w:type="pct"/>
            <w:noWrap/>
            <w:hideMark/>
          </w:tcPr>
          <w:p w14:paraId="6C758DA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34,5 </w:t>
            </w:r>
          </w:p>
        </w:tc>
        <w:tc>
          <w:tcPr>
            <w:tcW w:w="464" w:type="pct"/>
          </w:tcPr>
          <w:p w14:paraId="74C8B9C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sz w:val="20"/>
                <w:szCs w:val="20"/>
              </w:rPr>
              <w:t xml:space="preserve"> 45,9 </w:t>
            </w:r>
          </w:p>
        </w:tc>
      </w:tr>
      <w:tr w:rsidR="00B86FB3" w:rsidRPr="00FF756A" w14:paraId="6621BC53" w14:textId="77777777" w:rsidTr="006A3266">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pct"/>
            <w:noWrap/>
            <w:hideMark/>
          </w:tcPr>
          <w:p w14:paraId="3A2011E4" w14:textId="77777777" w:rsidR="00B86FB3" w:rsidRPr="00FF756A" w:rsidRDefault="00B86FB3" w:rsidP="00B86FB3">
            <w:pPr>
              <w:rPr>
                <w:rFonts w:eastAsia="Times New Roman" w:cs="Times New Roman"/>
                <w:b w:val="0"/>
                <w:sz w:val="20"/>
                <w:szCs w:val="20"/>
              </w:rPr>
            </w:pPr>
            <w:r w:rsidRPr="00FF756A">
              <w:rPr>
                <w:rFonts w:cs="Times New Roman"/>
                <w:sz w:val="20"/>
                <w:szCs w:val="20"/>
              </w:rPr>
              <w:t>WEM</w:t>
            </w:r>
          </w:p>
        </w:tc>
        <w:tc>
          <w:tcPr>
            <w:tcW w:w="0" w:type="pct"/>
            <w:shd w:val="clear" w:color="auto" w:fill="4472C4" w:themeFill="accent1"/>
            <w:noWrap/>
            <w:hideMark/>
          </w:tcPr>
          <w:p w14:paraId="7B5B2081"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p>
        </w:tc>
        <w:tc>
          <w:tcPr>
            <w:tcW w:w="0" w:type="pct"/>
            <w:shd w:val="clear" w:color="auto" w:fill="4472C4" w:themeFill="accent1"/>
            <w:noWrap/>
            <w:hideMark/>
          </w:tcPr>
          <w:p w14:paraId="71FAFC68"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c>
          <w:tcPr>
            <w:tcW w:w="0" w:type="pct"/>
            <w:shd w:val="clear" w:color="auto" w:fill="4472C4" w:themeFill="accent1"/>
            <w:noWrap/>
            <w:hideMark/>
          </w:tcPr>
          <w:p w14:paraId="44B21240"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c>
          <w:tcPr>
            <w:tcW w:w="0" w:type="pct"/>
            <w:shd w:val="clear" w:color="auto" w:fill="4472C4" w:themeFill="accent1"/>
            <w:noWrap/>
            <w:hideMark/>
          </w:tcPr>
          <w:p w14:paraId="7E72ED73"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c>
          <w:tcPr>
            <w:tcW w:w="0" w:type="pct"/>
            <w:shd w:val="clear" w:color="auto" w:fill="4472C4" w:themeFill="accent1"/>
            <w:noWrap/>
            <w:hideMark/>
          </w:tcPr>
          <w:p w14:paraId="1A0C4A91"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c>
          <w:tcPr>
            <w:tcW w:w="537" w:type="pct"/>
            <w:shd w:val="clear" w:color="auto" w:fill="4472C4" w:themeFill="accent1"/>
            <w:noWrap/>
            <w:hideMark/>
          </w:tcPr>
          <w:p w14:paraId="649564D4"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472" w:type="pct"/>
            <w:shd w:val="clear" w:color="auto" w:fill="4472C4" w:themeFill="accent1"/>
            <w:noWrap/>
            <w:hideMark/>
          </w:tcPr>
          <w:p w14:paraId="524A1625"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c>
          <w:tcPr>
            <w:tcW w:w="464" w:type="pct"/>
            <w:shd w:val="clear" w:color="auto" w:fill="4472C4" w:themeFill="accent1"/>
          </w:tcPr>
          <w:p w14:paraId="7F407050"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r>
      <w:tr w:rsidR="00B86FB3" w:rsidRPr="00FF756A" w14:paraId="023CA156" w14:textId="77777777" w:rsidTr="006A3266">
        <w:trPr>
          <w:trHeight w:val="295"/>
        </w:trPr>
        <w:tc>
          <w:tcPr>
            <w:cnfStyle w:val="001000000000" w:firstRow="0" w:lastRow="0" w:firstColumn="1" w:lastColumn="0" w:oddVBand="0" w:evenVBand="0" w:oddHBand="0" w:evenHBand="0" w:firstRowFirstColumn="0" w:firstRowLastColumn="0" w:lastRowFirstColumn="0" w:lastRowLastColumn="0"/>
            <w:tcW w:w="0" w:type="pct"/>
            <w:noWrap/>
            <w:hideMark/>
          </w:tcPr>
          <w:p w14:paraId="3742A162" w14:textId="77777777" w:rsidR="00B86FB3" w:rsidRPr="00FF756A" w:rsidRDefault="00B86FB3" w:rsidP="00B86FB3">
            <w:pPr>
              <w:rPr>
                <w:rFonts w:eastAsia="Times New Roman" w:cs="Times New Roman"/>
                <w:b w:val="0"/>
                <w:sz w:val="20"/>
                <w:szCs w:val="20"/>
              </w:rPr>
            </w:pPr>
            <w:r w:rsidRPr="00FF756A">
              <w:rPr>
                <w:rFonts w:cs="Times New Roman"/>
                <w:sz w:val="20"/>
                <w:szCs w:val="20"/>
              </w:rPr>
              <w:t>BRE</w:t>
            </w:r>
          </w:p>
        </w:tc>
        <w:tc>
          <w:tcPr>
            <w:tcW w:w="0" w:type="pct"/>
            <w:noWrap/>
            <w:hideMark/>
          </w:tcPr>
          <w:p w14:paraId="1235EF4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44,1 </w:t>
            </w:r>
          </w:p>
        </w:tc>
        <w:tc>
          <w:tcPr>
            <w:tcW w:w="0" w:type="pct"/>
            <w:noWrap/>
            <w:hideMark/>
          </w:tcPr>
          <w:p w14:paraId="3A29B6A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39,9 </w:t>
            </w:r>
          </w:p>
        </w:tc>
        <w:tc>
          <w:tcPr>
            <w:tcW w:w="0" w:type="pct"/>
            <w:noWrap/>
            <w:hideMark/>
          </w:tcPr>
          <w:p w14:paraId="6D52386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39,6 </w:t>
            </w:r>
          </w:p>
        </w:tc>
        <w:tc>
          <w:tcPr>
            <w:tcW w:w="0" w:type="pct"/>
            <w:noWrap/>
            <w:hideMark/>
          </w:tcPr>
          <w:p w14:paraId="0649D52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41,9 </w:t>
            </w:r>
          </w:p>
        </w:tc>
        <w:tc>
          <w:tcPr>
            <w:tcW w:w="0" w:type="pct"/>
            <w:noWrap/>
            <w:hideMark/>
          </w:tcPr>
          <w:p w14:paraId="5983130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39,7 </w:t>
            </w:r>
          </w:p>
        </w:tc>
        <w:tc>
          <w:tcPr>
            <w:tcW w:w="537" w:type="pct"/>
            <w:shd w:val="clear" w:color="auto" w:fill="4472C4" w:themeFill="accent1"/>
            <w:noWrap/>
            <w:hideMark/>
          </w:tcPr>
          <w:p w14:paraId="147D056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 xml:space="preserve"> 37,1 </w:t>
            </w:r>
          </w:p>
        </w:tc>
        <w:tc>
          <w:tcPr>
            <w:tcW w:w="472" w:type="pct"/>
            <w:noWrap/>
            <w:hideMark/>
          </w:tcPr>
          <w:p w14:paraId="1B44F37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31,5 </w:t>
            </w:r>
          </w:p>
        </w:tc>
        <w:tc>
          <w:tcPr>
            <w:tcW w:w="464" w:type="pct"/>
          </w:tcPr>
          <w:p w14:paraId="3F3C2AA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27,6 </w:t>
            </w:r>
          </w:p>
        </w:tc>
      </w:tr>
      <w:tr w:rsidR="00B86FB3" w:rsidRPr="00FF756A" w14:paraId="580DF741" w14:textId="77777777" w:rsidTr="006A3266">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pct"/>
            <w:noWrap/>
            <w:hideMark/>
          </w:tcPr>
          <w:p w14:paraId="6B0605DB" w14:textId="77777777" w:rsidR="00B86FB3" w:rsidRPr="00FF756A" w:rsidRDefault="00B86FB3" w:rsidP="00B86FB3">
            <w:pPr>
              <w:rPr>
                <w:rFonts w:eastAsia="Times New Roman" w:cs="Times New Roman"/>
                <w:b w:val="0"/>
                <w:sz w:val="20"/>
                <w:szCs w:val="20"/>
              </w:rPr>
            </w:pPr>
            <w:r w:rsidRPr="00FF756A">
              <w:rPr>
                <w:rFonts w:cs="Times New Roman"/>
                <w:sz w:val="20"/>
                <w:szCs w:val="20"/>
              </w:rPr>
              <w:t>BRE-T</w:t>
            </w:r>
          </w:p>
        </w:tc>
        <w:tc>
          <w:tcPr>
            <w:tcW w:w="0" w:type="pct"/>
            <w:noWrap/>
            <w:hideMark/>
          </w:tcPr>
          <w:p w14:paraId="611B837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0,3 </w:t>
            </w:r>
          </w:p>
        </w:tc>
        <w:tc>
          <w:tcPr>
            <w:tcW w:w="0" w:type="pct"/>
            <w:noWrap/>
            <w:hideMark/>
          </w:tcPr>
          <w:p w14:paraId="778E719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0,5 </w:t>
            </w:r>
          </w:p>
        </w:tc>
        <w:tc>
          <w:tcPr>
            <w:tcW w:w="0" w:type="pct"/>
            <w:noWrap/>
            <w:hideMark/>
          </w:tcPr>
          <w:p w14:paraId="2EA7E0F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0,8 </w:t>
            </w:r>
          </w:p>
        </w:tc>
        <w:tc>
          <w:tcPr>
            <w:tcW w:w="0" w:type="pct"/>
            <w:noWrap/>
            <w:hideMark/>
          </w:tcPr>
          <w:p w14:paraId="796EC93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3,1 </w:t>
            </w:r>
          </w:p>
        </w:tc>
        <w:tc>
          <w:tcPr>
            <w:tcW w:w="0" w:type="pct"/>
            <w:noWrap/>
            <w:hideMark/>
          </w:tcPr>
          <w:p w14:paraId="2A2AEAA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7,4 </w:t>
            </w:r>
          </w:p>
        </w:tc>
        <w:tc>
          <w:tcPr>
            <w:tcW w:w="537" w:type="pct"/>
            <w:shd w:val="clear" w:color="auto" w:fill="4472C4" w:themeFill="accent1"/>
            <w:noWrap/>
            <w:hideMark/>
          </w:tcPr>
          <w:p w14:paraId="4B78B2D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 xml:space="preserve"> 17,8 </w:t>
            </w:r>
          </w:p>
        </w:tc>
        <w:tc>
          <w:tcPr>
            <w:tcW w:w="472" w:type="pct"/>
            <w:noWrap/>
            <w:hideMark/>
          </w:tcPr>
          <w:p w14:paraId="7072392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34,6 </w:t>
            </w:r>
          </w:p>
        </w:tc>
        <w:tc>
          <w:tcPr>
            <w:tcW w:w="464" w:type="pct"/>
          </w:tcPr>
          <w:p w14:paraId="69074C7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44,8 </w:t>
            </w:r>
          </w:p>
        </w:tc>
      </w:tr>
      <w:tr w:rsidR="00B86FB3" w:rsidRPr="00FF756A" w14:paraId="6BF62355" w14:textId="77777777" w:rsidTr="006A3266">
        <w:trPr>
          <w:trHeight w:val="295"/>
        </w:trPr>
        <w:tc>
          <w:tcPr>
            <w:cnfStyle w:val="001000000000" w:firstRow="0" w:lastRow="0" w:firstColumn="1" w:lastColumn="0" w:oddVBand="0" w:evenVBand="0" w:oddHBand="0" w:evenHBand="0" w:firstRowFirstColumn="0" w:firstRowLastColumn="0" w:lastRowFirstColumn="0" w:lastRowLastColumn="0"/>
            <w:tcW w:w="0" w:type="pct"/>
            <w:noWrap/>
            <w:hideMark/>
          </w:tcPr>
          <w:p w14:paraId="2AD35A06" w14:textId="77777777" w:rsidR="00B86FB3" w:rsidRPr="00FF756A" w:rsidRDefault="00B86FB3" w:rsidP="00B86FB3">
            <w:pPr>
              <w:rPr>
                <w:rFonts w:eastAsia="Times New Roman" w:cs="Times New Roman"/>
                <w:b w:val="0"/>
                <w:sz w:val="20"/>
                <w:szCs w:val="20"/>
              </w:rPr>
            </w:pPr>
            <w:r w:rsidRPr="00FF756A">
              <w:rPr>
                <w:rFonts w:cs="Times New Roman"/>
                <w:sz w:val="20"/>
                <w:szCs w:val="20"/>
              </w:rPr>
              <w:t>BRE-E</w:t>
            </w:r>
          </w:p>
        </w:tc>
        <w:tc>
          <w:tcPr>
            <w:tcW w:w="0" w:type="pct"/>
            <w:noWrap/>
            <w:hideMark/>
          </w:tcPr>
          <w:p w14:paraId="093150C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103,5 </w:t>
            </w:r>
          </w:p>
        </w:tc>
        <w:tc>
          <w:tcPr>
            <w:tcW w:w="0" w:type="pct"/>
            <w:noWrap/>
            <w:hideMark/>
          </w:tcPr>
          <w:p w14:paraId="43F3B4E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96,3 </w:t>
            </w:r>
          </w:p>
        </w:tc>
        <w:tc>
          <w:tcPr>
            <w:tcW w:w="0" w:type="pct"/>
            <w:noWrap/>
            <w:hideMark/>
          </w:tcPr>
          <w:p w14:paraId="77701C5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97,9 </w:t>
            </w:r>
          </w:p>
        </w:tc>
        <w:tc>
          <w:tcPr>
            <w:tcW w:w="0" w:type="pct"/>
            <w:noWrap/>
            <w:hideMark/>
          </w:tcPr>
          <w:p w14:paraId="22FC43A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105,0 </w:t>
            </w:r>
          </w:p>
        </w:tc>
        <w:tc>
          <w:tcPr>
            <w:tcW w:w="0" w:type="pct"/>
            <w:noWrap/>
            <w:hideMark/>
          </w:tcPr>
          <w:p w14:paraId="42BCDFF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100,9 </w:t>
            </w:r>
          </w:p>
        </w:tc>
        <w:tc>
          <w:tcPr>
            <w:tcW w:w="537" w:type="pct"/>
            <w:shd w:val="clear" w:color="auto" w:fill="4472C4" w:themeFill="accent1"/>
            <w:noWrap/>
            <w:hideMark/>
          </w:tcPr>
          <w:p w14:paraId="62E8252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 xml:space="preserve"> 98,3 </w:t>
            </w:r>
          </w:p>
        </w:tc>
        <w:tc>
          <w:tcPr>
            <w:tcW w:w="472" w:type="pct"/>
            <w:noWrap/>
            <w:hideMark/>
          </w:tcPr>
          <w:p w14:paraId="7EE6F62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76,1 </w:t>
            </w:r>
          </w:p>
        </w:tc>
        <w:tc>
          <w:tcPr>
            <w:tcW w:w="464" w:type="pct"/>
          </w:tcPr>
          <w:p w14:paraId="7D7E28F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58,0 </w:t>
            </w:r>
          </w:p>
        </w:tc>
      </w:tr>
      <w:tr w:rsidR="00B86FB3" w:rsidRPr="00FF756A" w14:paraId="12B8C270" w14:textId="77777777" w:rsidTr="006A3266">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pct"/>
            <w:noWrap/>
            <w:hideMark/>
          </w:tcPr>
          <w:p w14:paraId="5CB6561C" w14:textId="77777777" w:rsidR="00B86FB3" w:rsidRPr="00FF756A" w:rsidRDefault="00B86FB3" w:rsidP="00B86FB3">
            <w:pPr>
              <w:rPr>
                <w:rFonts w:eastAsia="Times New Roman" w:cs="Times New Roman"/>
                <w:b w:val="0"/>
                <w:sz w:val="20"/>
                <w:szCs w:val="20"/>
              </w:rPr>
            </w:pPr>
            <w:r w:rsidRPr="00FF756A">
              <w:rPr>
                <w:rFonts w:cs="Times New Roman"/>
                <w:sz w:val="20"/>
                <w:szCs w:val="20"/>
              </w:rPr>
              <w:t>BRE-N &amp; F</w:t>
            </w:r>
          </w:p>
        </w:tc>
        <w:tc>
          <w:tcPr>
            <w:tcW w:w="0" w:type="pct"/>
            <w:noWrap/>
            <w:hideMark/>
          </w:tcPr>
          <w:p w14:paraId="5A124F1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22,0 </w:t>
            </w:r>
          </w:p>
        </w:tc>
        <w:tc>
          <w:tcPr>
            <w:tcW w:w="0" w:type="pct"/>
            <w:noWrap/>
            <w:hideMark/>
          </w:tcPr>
          <w:p w14:paraId="0B719DF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19,8 </w:t>
            </w:r>
          </w:p>
        </w:tc>
        <w:tc>
          <w:tcPr>
            <w:tcW w:w="0" w:type="pct"/>
            <w:noWrap/>
            <w:hideMark/>
          </w:tcPr>
          <w:p w14:paraId="20C600C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19,7 </w:t>
            </w:r>
          </w:p>
        </w:tc>
        <w:tc>
          <w:tcPr>
            <w:tcW w:w="0" w:type="pct"/>
            <w:noWrap/>
            <w:hideMark/>
          </w:tcPr>
          <w:p w14:paraId="6719537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19,4 </w:t>
            </w:r>
          </w:p>
        </w:tc>
        <w:tc>
          <w:tcPr>
            <w:tcW w:w="0" w:type="pct"/>
            <w:noWrap/>
            <w:hideMark/>
          </w:tcPr>
          <w:p w14:paraId="51A3253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19,0 </w:t>
            </w:r>
          </w:p>
        </w:tc>
        <w:tc>
          <w:tcPr>
            <w:tcW w:w="537" w:type="pct"/>
            <w:shd w:val="clear" w:color="auto" w:fill="4472C4" w:themeFill="accent1"/>
            <w:noWrap/>
            <w:hideMark/>
          </w:tcPr>
          <w:p w14:paraId="7AD8736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 xml:space="preserve"> 18,1 </w:t>
            </w:r>
          </w:p>
        </w:tc>
        <w:tc>
          <w:tcPr>
            <w:tcW w:w="472" w:type="pct"/>
            <w:noWrap/>
            <w:hideMark/>
          </w:tcPr>
          <w:p w14:paraId="5CD0BD0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16,2 </w:t>
            </w:r>
          </w:p>
        </w:tc>
        <w:tc>
          <w:tcPr>
            <w:tcW w:w="464" w:type="pct"/>
          </w:tcPr>
          <w:p w14:paraId="4EF11B7F" w14:textId="77777777" w:rsidR="00B86FB3" w:rsidRPr="00FF756A" w:rsidRDefault="00B86FB3" w:rsidP="00490D19">
            <w:pPr>
              <w:keepNext/>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15,7 </w:t>
            </w:r>
          </w:p>
        </w:tc>
      </w:tr>
    </w:tbl>
    <w:p w14:paraId="2E1C73B0" w14:textId="54CF7ECD" w:rsidR="00B86FB3" w:rsidRPr="00FF756A" w:rsidRDefault="00490D19" w:rsidP="00490D19">
      <w:pPr>
        <w:pStyle w:val="Caption"/>
        <w:rPr>
          <w:rFonts w:ascii="Times New Roman" w:hAnsi="Times New Roman"/>
        </w:rPr>
      </w:pPr>
      <w:bookmarkStart w:id="707" w:name="_Toc183016518"/>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54</w:t>
      </w:r>
      <w:r w:rsidR="008E7DE9" w:rsidRPr="00FF756A">
        <w:rPr>
          <w:rFonts w:ascii="Times New Roman" w:hAnsi="Times New Roman"/>
          <w:noProof/>
        </w:rPr>
        <w:fldChar w:fldCharType="end"/>
      </w:r>
      <w:r w:rsidRPr="00FF756A">
        <w:rPr>
          <w:rFonts w:ascii="Times New Roman" w:hAnsi="Times New Roman"/>
        </w:rPr>
        <w:t>: Përqindjet e BRE-ve në kërkesën finale për energji, të përllogaritura sipas RED (Direktivës 2009/28/KE) për periudhën kohore 2020-2023 dhe sipas parashikimeve deri në vitin 2050 me masa shtesë (rreshtat e sipërm) dhe me masat ekzistuese</w:t>
      </w:r>
      <w:bookmarkEnd w:id="707"/>
    </w:p>
    <w:p w14:paraId="148EFFBB" w14:textId="77777777" w:rsidR="00B86FB3" w:rsidRPr="00FF756A" w:rsidRDefault="00B86FB3" w:rsidP="00B86FB3">
      <w:r w:rsidRPr="00FF756A">
        <w:t>Përqindja e BRE-E varet në një shkallë të madhe nga dinamikat e eksporteve (</w:t>
      </w:r>
      <w:r w:rsidRPr="00FF756A">
        <w:fldChar w:fldCharType="begin"/>
      </w:r>
      <w:r w:rsidRPr="00FF756A">
        <w:instrText xml:space="preserve"> REF _Ref75520195 \h  \* MERGEFORMAT </w:instrText>
      </w:r>
      <w:r w:rsidRPr="00FF756A">
        <w:fldChar w:fldCharType="separate"/>
      </w:r>
      <w:r w:rsidRPr="00FF756A">
        <w:t>Figura 79</w:t>
      </w:r>
      <w:r w:rsidRPr="00FF756A">
        <w:fldChar w:fldCharType="end"/>
      </w:r>
      <w:r w:rsidRPr="00FF756A">
        <w:t xml:space="preserve">, </w:t>
      </w:r>
      <w:r w:rsidRPr="00FF756A">
        <w:fldChar w:fldCharType="begin"/>
      </w:r>
      <w:r w:rsidRPr="00FF756A">
        <w:instrText xml:space="preserve"> REF _Ref75520216 \h  \* MERGEFORMAT </w:instrText>
      </w:r>
      <w:r w:rsidRPr="00FF756A">
        <w:fldChar w:fldCharType="separate"/>
      </w:r>
      <w:r w:rsidRPr="00FF756A">
        <w:t>Tabela 29</w:t>
      </w:r>
      <w:r w:rsidRPr="00FF756A">
        <w:fldChar w:fldCharType="end"/>
      </w:r>
      <w:r w:rsidRPr="00FF756A">
        <w:t>). Në të gjithë skenarët arrihen vlera më të larta se 100% në vitin 2030, dhe në skenarin WAM arrihet një përqindje e BRE-E prej 145,8%. Në të gjithë skenarët, kjo varet gjerësisht nga përqindja e BRE-E për energjinë hidrike, e cila në vetvete arrin 112,3% në skenarin WAM. Duhet theksuar se këto vlera janë veçanërisht të ndjeshme ndaj normalizimit sipas metodologjisë së parashikuar nga rregullorja (vlerësimi SHARES i Eurostat), ku llogaritja varet nga vlerat historike.</w:t>
      </w:r>
    </w:p>
    <w:p w14:paraId="4CF565C6" w14:textId="77777777" w:rsidR="00B86FB3" w:rsidRPr="00FF756A" w:rsidRDefault="00B86FB3" w:rsidP="00B86FB3"/>
    <w:p w14:paraId="3E46CF42" w14:textId="77777777" w:rsidR="00490D19" w:rsidRPr="00FF756A" w:rsidRDefault="00B86FB3" w:rsidP="00490D19">
      <w:pPr>
        <w:keepNext/>
        <w:jc w:val="center"/>
      </w:pPr>
      <w:r w:rsidRPr="00FF756A">
        <w:rPr>
          <w:noProof/>
          <w:lang w:val="en-US"/>
        </w:rPr>
        <w:drawing>
          <wp:inline distT="0" distB="0" distL="0" distR="0" wp14:anchorId="5120EFC0" wp14:editId="2ABE4E9F">
            <wp:extent cx="5760720" cy="3717290"/>
            <wp:effectExtent l="0" t="0" r="0" b="0"/>
            <wp:docPr id="379781248" name="Picture 23"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81248" name="Picture 23" descr="A graph of different colored lines&#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760720" cy="3717290"/>
                    </a:xfrm>
                    <a:prstGeom prst="rect">
                      <a:avLst/>
                    </a:prstGeom>
                  </pic:spPr>
                </pic:pic>
              </a:graphicData>
            </a:graphic>
          </wp:inline>
        </w:drawing>
      </w:r>
    </w:p>
    <w:p w14:paraId="7D4E49A6" w14:textId="016F2550" w:rsidR="00B86FB3" w:rsidRPr="00FF756A" w:rsidRDefault="00490D19" w:rsidP="00490D19">
      <w:pPr>
        <w:pStyle w:val="Caption"/>
        <w:jc w:val="center"/>
        <w:rPr>
          <w:rFonts w:ascii="Times New Roman" w:hAnsi="Times New Roman"/>
        </w:rPr>
      </w:pPr>
      <w:bookmarkStart w:id="708" w:name="_Toc183016626"/>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96</w:t>
      </w:r>
      <w:r w:rsidR="008E7DE9" w:rsidRPr="00FF756A">
        <w:rPr>
          <w:rFonts w:ascii="Times New Roman" w:hAnsi="Times New Roman"/>
          <w:noProof/>
        </w:rPr>
        <w:fldChar w:fldCharType="end"/>
      </w:r>
      <w:r w:rsidRPr="00FF756A">
        <w:rPr>
          <w:rFonts w:ascii="Times New Roman" w:hAnsi="Times New Roman"/>
        </w:rPr>
        <w:t>: Përqindja e BRE-E, e përllogaritur sipas RED (Direktivës 2009/28/KE) për periudhën kohore 2016-2023 dhe sipas parashikimeve deri në vitin 2050 me masa shtesë. Vlerat e WEM jepen për referencë.</w:t>
      </w:r>
      <w:bookmarkEnd w:id="708"/>
    </w:p>
    <w:p w14:paraId="39F83B26" w14:textId="77777777" w:rsidR="00B86FB3" w:rsidRPr="00FF756A" w:rsidRDefault="00B86FB3" w:rsidP="00B86FB3">
      <w:pPr>
        <w:rPr>
          <w:highlight w:val="yellow"/>
        </w:rPr>
      </w:pPr>
    </w:p>
    <w:tbl>
      <w:tblPr>
        <w:tblStyle w:val="GridTable5DarkAccent10"/>
        <w:tblW w:w="5000" w:type="pct"/>
        <w:tblLook w:val="04A0" w:firstRow="1" w:lastRow="0" w:firstColumn="1" w:lastColumn="0" w:noHBand="0" w:noVBand="1"/>
      </w:tblPr>
      <w:tblGrid>
        <w:gridCol w:w="4802"/>
        <w:gridCol w:w="549"/>
        <w:gridCol w:w="483"/>
        <w:gridCol w:w="483"/>
        <w:gridCol w:w="549"/>
        <w:gridCol w:w="549"/>
        <w:gridCol w:w="549"/>
        <w:gridCol w:w="549"/>
        <w:gridCol w:w="549"/>
      </w:tblGrid>
      <w:tr w:rsidR="00B86FB3" w:rsidRPr="00FF756A" w14:paraId="145E0E37" w14:textId="77777777" w:rsidTr="006A3266">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69" w:type="pct"/>
            <w:noWrap/>
            <w:hideMark/>
          </w:tcPr>
          <w:p w14:paraId="0301E84A" w14:textId="77777777" w:rsidR="00B86FB3" w:rsidRPr="00FF756A" w:rsidRDefault="00B86FB3" w:rsidP="00B86FB3">
            <w:pPr>
              <w:rPr>
                <w:rFonts w:eastAsia="Times New Roman" w:cs="Times New Roman"/>
                <w:b w:val="0"/>
                <w:sz w:val="20"/>
                <w:szCs w:val="20"/>
              </w:rPr>
            </w:pPr>
            <w:r w:rsidRPr="00FF756A">
              <w:rPr>
                <w:rFonts w:cs="Times New Roman"/>
                <w:sz w:val="20"/>
                <w:szCs w:val="20"/>
              </w:rPr>
              <w:t>Vlerat në përqindje</w:t>
            </w:r>
          </w:p>
        </w:tc>
        <w:tc>
          <w:tcPr>
            <w:tcW w:w="484" w:type="pct"/>
            <w:noWrap/>
            <w:hideMark/>
          </w:tcPr>
          <w:p w14:paraId="7B391D4B"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rPr>
            </w:pPr>
            <w:r w:rsidRPr="00FF756A">
              <w:rPr>
                <w:rFonts w:cs="Times New Roman"/>
                <w:sz w:val="20"/>
                <w:szCs w:val="20"/>
              </w:rPr>
              <w:t>2020</w:t>
            </w:r>
          </w:p>
        </w:tc>
        <w:tc>
          <w:tcPr>
            <w:tcW w:w="476" w:type="pct"/>
            <w:noWrap/>
            <w:hideMark/>
          </w:tcPr>
          <w:p w14:paraId="5925D237"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rPr>
            </w:pPr>
            <w:r w:rsidRPr="00FF756A">
              <w:rPr>
                <w:rFonts w:cs="Times New Roman"/>
                <w:sz w:val="20"/>
                <w:szCs w:val="20"/>
              </w:rPr>
              <w:t>2021</w:t>
            </w:r>
          </w:p>
        </w:tc>
        <w:tc>
          <w:tcPr>
            <w:tcW w:w="476" w:type="pct"/>
            <w:noWrap/>
            <w:hideMark/>
          </w:tcPr>
          <w:p w14:paraId="1AFE5E3A"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rPr>
            </w:pPr>
            <w:r w:rsidRPr="00FF756A">
              <w:rPr>
                <w:rFonts w:cs="Times New Roman"/>
                <w:sz w:val="20"/>
                <w:szCs w:val="20"/>
              </w:rPr>
              <w:t>2022</w:t>
            </w:r>
          </w:p>
        </w:tc>
        <w:tc>
          <w:tcPr>
            <w:tcW w:w="484" w:type="pct"/>
            <w:noWrap/>
            <w:hideMark/>
          </w:tcPr>
          <w:p w14:paraId="2B718D2C"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rPr>
            </w:pPr>
            <w:r w:rsidRPr="00FF756A">
              <w:rPr>
                <w:rFonts w:cs="Times New Roman"/>
                <w:sz w:val="20"/>
                <w:szCs w:val="20"/>
              </w:rPr>
              <w:t>2023</w:t>
            </w:r>
          </w:p>
        </w:tc>
        <w:tc>
          <w:tcPr>
            <w:tcW w:w="484" w:type="pct"/>
            <w:noWrap/>
            <w:hideMark/>
          </w:tcPr>
          <w:p w14:paraId="3E418A01"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rPr>
            </w:pPr>
            <w:r w:rsidRPr="00FF756A">
              <w:rPr>
                <w:rFonts w:cs="Times New Roman"/>
                <w:sz w:val="20"/>
                <w:szCs w:val="20"/>
              </w:rPr>
              <w:t>2025</w:t>
            </w:r>
          </w:p>
        </w:tc>
        <w:tc>
          <w:tcPr>
            <w:tcW w:w="484" w:type="pct"/>
            <w:noWrap/>
            <w:hideMark/>
          </w:tcPr>
          <w:p w14:paraId="73582AF7"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rPr>
            </w:pPr>
            <w:r w:rsidRPr="00FF756A">
              <w:rPr>
                <w:rFonts w:cs="Times New Roman"/>
                <w:sz w:val="20"/>
                <w:szCs w:val="20"/>
              </w:rPr>
              <w:t>2030</w:t>
            </w:r>
          </w:p>
        </w:tc>
        <w:tc>
          <w:tcPr>
            <w:tcW w:w="471" w:type="pct"/>
            <w:noWrap/>
            <w:hideMark/>
          </w:tcPr>
          <w:p w14:paraId="1875476F"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rPr>
            </w:pPr>
            <w:r w:rsidRPr="00FF756A">
              <w:rPr>
                <w:rFonts w:cs="Times New Roman"/>
                <w:sz w:val="20"/>
                <w:szCs w:val="20"/>
              </w:rPr>
              <w:t>2040</w:t>
            </w:r>
          </w:p>
        </w:tc>
        <w:tc>
          <w:tcPr>
            <w:tcW w:w="471" w:type="pct"/>
            <w:noWrap/>
            <w:hideMark/>
          </w:tcPr>
          <w:p w14:paraId="664230FC"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rPr>
            </w:pPr>
            <w:r w:rsidRPr="00FF756A">
              <w:rPr>
                <w:rFonts w:cs="Times New Roman"/>
                <w:sz w:val="20"/>
                <w:szCs w:val="20"/>
              </w:rPr>
              <w:t>2050</w:t>
            </w:r>
          </w:p>
        </w:tc>
      </w:tr>
      <w:tr w:rsidR="00B86FB3" w:rsidRPr="00FF756A" w14:paraId="5FFD54AA"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69" w:type="pct"/>
            <w:noWrap/>
            <w:hideMark/>
          </w:tcPr>
          <w:p w14:paraId="7753FF36" w14:textId="77777777" w:rsidR="00B86FB3" w:rsidRPr="00FF756A" w:rsidRDefault="00B86FB3" w:rsidP="00B86FB3">
            <w:pPr>
              <w:rPr>
                <w:rFonts w:eastAsia="Times New Roman" w:cs="Times New Roman"/>
                <w:b w:val="0"/>
                <w:sz w:val="20"/>
                <w:szCs w:val="20"/>
              </w:rPr>
            </w:pPr>
            <w:r w:rsidRPr="00FF756A">
              <w:rPr>
                <w:rFonts w:cs="Times New Roman"/>
                <w:sz w:val="20"/>
                <w:szCs w:val="20"/>
              </w:rPr>
              <w:t>Skenari WAM që merr në konsideratë vetëm ER-në për përmbushjen e kërkesës</w:t>
            </w:r>
          </w:p>
        </w:tc>
        <w:tc>
          <w:tcPr>
            <w:tcW w:w="484" w:type="pct"/>
            <w:shd w:val="clear" w:color="auto" w:fill="4472C4" w:themeFill="accent1"/>
            <w:noWrap/>
            <w:hideMark/>
          </w:tcPr>
          <w:p w14:paraId="6C72B366"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p>
        </w:tc>
        <w:tc>
          <w:tcPr>
            <w:tcW w:w="476" w:type="pct"/>
            <w:shd w:val="clear" w:color="auto" w:fill="4472C4" w:themeFill="accent1"/>
            <w:noWrap/>
            <w:hideMark/>
          </w:tcPr>
          <w:p w14:paraId="075948C5"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c>
          <w:tcPr>
            <w:tcW w:w="476" w:type="pct"/>
            <w:shd w:val="clear" w:color="auto" w:fill="4472C4" w:themeFill="accent1"/>
            <w:noWrap/>
            <w:hideMark/>
          </w:tcPr>
          <w:p w14:paraId="074952A9"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c>
          <w:tcPr>
            <w:tcW w:w="484" w:type="pct"/>
            <w:shd w:val="clear" w:color="auto" w:fill="4472C4" w:themeFill="accent1"/>
            <w:noWrap/>
            <w:hideMark/>
          </w:tcPr>
          <w:p w14:paraId="22F4CD80"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c>
          <w:tcPr>
            <w:tcW w:w="484" w:type="pct"/>
            <w:shd w:val="clear" w:color="auto" w:fill="4472C4" w:themeFill="accent1"/>
            <w:noWrap/>
            <w:hideMark/>
          </w:tcPr>
          <w:p w14:paraId="247C7281"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c>
          <w:tcPr>
            <w:tcW w:w="484" w:type="pct"/>
            <w:shd w:val="clear" w:color="auto" w:fill="4472C4" w:themeFill="accent1"/>
            <w:noWrap/>
            <w:hideMark/>
          </w:tcPr>
          <w:p w14:paraId="554191E2"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471" w:type="pct"/>
            <w:shd w:val="clear" w:color="auto" w:fill="4472C4" w:themeFill="accent1"/>
            <w:noWrap/>
            <w:hideMark/>
          </w:tcPr>
          <w:p w14:paraId="4F866ED5"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c>
          <w:tcPr>
            <w:tcW w:w="471" w:type="pct"/>
            <w:shd w:val="clear" w:color="auto" w:fill="4472C4" w:themeFill="accent1"/>
            <w:noWrap/>
            <w:hideMark/>
          </w:tcPr>
          <w:p w14:paraId="7356B226"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p>
        </w:tc>
      </w:tr>
      <w:tr w:rsidR="00B86FB3" w:rsidRPr="00FF756A" w14:paraId="5990F14A"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69" w:type="pct"/>
            <w:noWrap/>
            <w:hideMark/>
          </w:tcPr>
          <w:p w14:paraId="14A5D726" w14:textId="77777777" w:rsidR="00B86FB3" w:rsidRPr="00FF756A" w:rsidRDefault="00B86FB3" w:rsidP="00B86FB3">
            <w:pPr>
              <w:rPr>
                <w:rFonts w:eastAsia="Times New Roman" w:cs="Times New Roman"/>
                <w:b w:val="0"/>
                <w:sz w:val="20"/>
                <w:szCs w:val="20"/>
              </w:rPr>
            </w:pPr>
            <w:r w:rsidRPr="00FF756A">
              <w:rPr>
                <w:rFonts w:cs="Times New Roman"/>
                <w:sz w:val="20"/>
                <w:szCs w:val="20"/>
              </w:rPr>
              <w:t>BRE-E hidrike</w:t>
            </w:r>
          </w:p>
        </w:tc>
        <w:tc>
          <w:tcPr>
            <w:tcW w:w="484" w:type="pct"/>
            <w:noWrap/>
            <w:hideMark/>
          </w:tcPr>
          <w:p w14:paraId="393B9B0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103,1 </w:t>
            </w:r>
          </w:p>
        </w:tc>
        <w:tc>
          <w:tcPr>
            <w:tcW w:w="476" w:type="pct"/>
            <w:noWrap/>
            <w:hideMark/>
          </w:tcPr>
          <w:p w14:paraId="3EB74DA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95,9 </w:t>
            </w:r>
          </w:p>
        </w:tc>
        <w:tc>
          <w:tcPr>
            <w:tcW w:w="476" w:type="pct"/>
            <w:noWrap/>
            <w:hideMark/>
          </w:tcPr>
          <w:p w14:paraId="192B186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97,5 </w:t>
            </w:r>
          </w:p>
        </w:tc>
        <w:tc>
          <w:tcPr>
            <w:tcW w:w="484" w:type="pct"/>
            <w:noWrap/>
            <w:hideMark/>
          </w:tcPr>
          <w:p w14:paraId="2552D56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101,3 </w:t>
            </w:r>
          </w:p>
        </w:tc>
        <w:tc>
          <w:tcPr>
            <w:tcW w:w="484" w:type="pct"/>
            <w:noWrap/>
            <w:hideMark/>
          </w:tcPr>
          <w:p w14:paraId="75D1583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95,6 </w:t>
            </w:r>
          </w:p>
        </w:tc>
        <w:tc>
          <w:tcPr>
            <w:tcW w:w="484" w:type="pct"/>
            <w:shd w:val="clear" w:color="auto" w:fill="4472C4" w:themeFill="accent1"/>
            <w:noWrap/>
            <w:hideMark/>
          </w:tcPr>
          <w:p w14:paraId="7B31E54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 xml:space="preserve"> 89,7 </w:t>
            </w:r>
          </w:p>
        </w:tc>
        <w:tc>
          <w:tcPr>
            <w:tcW w:w="471" w:type="pct"/>
            <w:noWrap/>
            <w:hideMark/>
          </w:tcPr>
          <w:p w14:paraId="4435067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51,0 </w:t>
            </w:r>
          </w:p>
        </w:tc>
        <w:tc>
          <w:tcPr>
            <w:tcW w:w="471" w:type="pct"/>
            <w:noWrap/>
            <w:hideMark/>
          </w:tcPr>
          <w:p w14:paraId="4146F0C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36,0 </w:t>
            </w:r>
          </w:p>
        </w:tc>
      </w:tr>
      <w:tr w:rsidR="00B86FB3" w:rsidRPr="00FF756A" w14:paraId="13B7EC81"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69" w:type="pct"/>
            <w:noWrap/>
            <w:hideMark/>
          </w:tcPr>
          <w:p w14:paraId="288597A6" w14:textId="77777777" w:rsidR="00B86FB3" w:rsidRPr="00FF756A" w:rsidRDefault="00B86FB3" w:rsidP="00B86FB3">
            <w:pPr>
              <w:rPr>
                <w:rFonts w:eastAsia="Times New Roman" w:cs="Times New Roman"/>
                <w:b w:val="0"/>
                <w:sz w:val="20"/>
                <w:szCs w:val="20"/>
              </w:rPr>
            </w:pPr>
            <w:r w:rsidRPr="00FF756A">
              <w:rPr>
                <w:rFonts w:cs="Times New Roman"/>
                <w:sz w:val="20"/>
                <w:szCs w:val="20"/>
              </w:rPr>
              <w:t>BRE-E eolike</w:t>
            </w:r>
          </w:p>
        </w:tc>
        <w:tc>
          <w:tcPr>
            <w:tcW w:w="484" w:type="pct"/>
            <w:noWrap/>
            <w:hideMark/>
          </w:tcPr>
          <w:p w14:paraId="2817872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476" w:type="pct"/>
            <w:noWrap/>
            <w:hideMark/>
          </w:tcPr>
          <w:p w14:paraId="29A7F64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476" w:type="pct"/>
            <w:noWrap/>
            <w:hideMark/>
          </w:tcPr>
          <w:p w14:paraId="2BA09E5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484" w:type="pct"/>
            <w:noWrap/>
            <w:hideMark/>
          </w:tcPr>
          <w:p w14:paraId="4BE8776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484" w:type="pct"/>
            <w:noWrap/>
            <w:hideMark/>
          </w:tcPr>
          <w:p w14:paraId="3039A2E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484" w:type="pct"/>
            <w:shd w:val="clear" w:color="auto" w:fill="4472C4" w:themeFill="accent1"/>
            <w:noWrap/>
            <w:hideMark/>
          </w:tcPr>
          <w:p w14:paraId="2E2B54C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 xml:space="preserve"> 14,1 </w:t>
            </w:r>
          </w:p>
        </w:tc>
        <w:tc>
          <w:tcPr>
            <w:tcW w:w="471" w:type="pct"/>
            <w:noWrap/>
            <w:hideMark/>
          </w:tcPr>
          <w:p w14:paraId="4F5F4BF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14,9 </w:t>
            </w:r>
          </w:p>
        </w:tc>
        <w:tc>
          <w:tcPr>
            <w:tcW w:w="471" w:type="pct"/>
            <w:noWrap/>
            <w:hideMark/>
          </w:tcPr>
          <w:p w14:paraId="15F283D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14,2 </w:t>
            </w:r>
          </w:p>
        </w:tc>
      </w:tr>
      <w:tr w:rsidR="00B86FB3" w:rsidRPr="00FF756A" w14:paraId="6BFAE1A5"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69" w:type="pct"/>
            <w:noWrap/>
            <w:hideMark/>
          </w:tcPr>
          <w:p w14:paraId="11F8C2D8" w14:textId="77777777" w:rsidR="00B86FB3" w:rsidRPr="00FF756A" w:rsidRDefault="00B86FB3" w:rsidP="00B86FB3">
            <w:pPr>
              <w:rPr>
                <w:rFonts w:eastAsia="Times New Roman" w:cs="Times New Roman"/>
                <w:b w:val="0"/>
                <w:sz w:val="20"/>
                <w:szCs w:val="20"/>
              </w:rPr>
            </w:pPr>
            <w:r w:rsidRPr="00FF756A">
              <w:rPr>
                <w:rFonts w:cs="Times New Roman"/>
                <w:sz w:val="20"/>
                <w:szCs w:val="20"/>
              </w:rPr>
              <w:t>BRE-E diellore</w:t>
            </w:r>
          </w:p>
        </w:tc>
        <w:tc>
          <w:tcPr>
            <w:tcW w:w="484" w:type="pct"/>
            <w:noWrap/>
            <w:hideMark/>
          </w:tcPr>
          <w:p w14:paraId="0F5791D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0,3 </w:t>
            </w:r>
          </w:p>
        </w:tc>
        <w:tc>
          <w:tcPr>
            <w:tcW w:w="476" w:type="pct"/>
            <w:noWrap/>
            <w:hideMark/>
          </w:tcPr>
          <w:p w14:paraId="2D83AA5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0,3 </w:t>
            </w:r>
          </w:p>
        </w:tc>
        <w:tc>
          <w:tcPr>
            <w:tcW w:w="476" w:type="pct"/>
            <w:noWrap/>
            <w:hideMark/>
          </w:tcPr>
          <w:p w14:paraId="2F2BC53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0,3 </w:t>
            </w:r>
          </w:p>
        </w:tc>
        <w:tc>
          <w:tcPr>
            <w:tcW w:w="484" w:type="pct"/>
            <w:noWrap/>
            <w:hideMark/>
          </w:tcPr>
          <w:p w14:paraId="3D3AC75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4,2 </w:t>
            </w:r>
          </w:p>
        </w:tc>
        <w:tc>
          <w:tcPr>
            <w:tcW w:w="484" w:type="pct"/>
            <w:noWrap/>
            <w:hideMark/>
          </w:tcPr>
          <w:p w14:paraId="12FE636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10,4 </w:t>
            </w:r>
          </w:p>
        </w:tc>
        <w:tc>
          <w:tcPr>
            <w:tcW w:w="484" w:type="pct"/>
            <w:shd w:val="clear" w:color="auto" w:fill="4472C4" w:themeFill="accent1"/>
            <w:noWrap/>
            <w:hideMark/>
          </w:tcPr>
          <w:p w14:paraId="4438E1A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 xml:space="preserve"> 17,4 </w:t>
            </w:r>
          </w:p>
        </w:tc>
        <w:tc>
          <w:tcPr>
            <w:tcW w:w="471" w:type="pct"/>
            <w:noWrap/>
            <w:hideMark/>
          </w:tcPr>
          <w:p w14:paraId="55359F1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30,1 </w:t>
            </w:r>
          </w:p>
        </w:tc>
        <w:tc>
          <w:tcPr>
            <w:tcW w:w="471" w:type="pct"/>
            <w:noWrap/>
            <w:hideMark/>
          </w:tcPr>
          <w:p w14:paraId="0524B33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35,8 </w:t>
            </w:r>
          </w:p>
        </w:tc>
      </w:tr>
      <w:tr w:rsidR="00B86FB3" w:rsidRPr="00FF756A" w14:paraId="4E6E51F3"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69" w:type="pct"/>
            <w:noWrap/>
            <w:hideMark/>
          </w:tcPr>
          <w:p w14:paraId="12AF7367" w14:textId="77777777" w:rsidR="00B86FB3" w:rsidRPr="00FF756A" w:rsidRDefault="00B86FB3" w:rsidP="00B86FB3">
            <w:pPr>
              <w:rPr>
                <w:rFonts w:eastAsia="Times New Roman" w:cs="Times New Roman"/>
                <w:b w:val="0"/>
                <w:sz w:val="20"/>
                <w:szCs w:val="20"/>
              </w:rPr>
            </w:pPr>
            <w:r w:rsidRPr="00FF756A">
              <w:rPr>
                <w:rFonts w:cs="Times New Roman"/>
                <w:sz w:val="20"/>
                <w:szCs w:val="20"/>
              </w:rPr>
              <w:t>BRE-E</w:t>
            </w:r>
          </w:p>
        </w:tc>
        <w:tc>
          <w:tcPr>
            <w:tcW w:w="484" w:type="pct"/>
            <w:noWrap/>
            <w:hideMark/>
          </w:tcPr>
          <w:p w14:paraId="6FEADEA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103,5 </w:t>
            </w:r>
          </w:p>
        </w:tc>
        <w:tc>
          <w:tcPr>
            <w:tcW w:w="476" w:type="pct"/>
            <w:noWrap/>
            <w:hideMark/>
          </w:tcPr>
          <w:p w14:paraId="206C9B4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96,3 </w:t>
            </w:r>
          </w:p>
        </w:tc>
        <w:tc>
          <w:tcPr>
            <w:tcW w:w="476" w:type="pct"/>
            <w:noWrap/>
            <w:hideMark/>
          </w:tcPr>
          <w:p w14:paraId="018D371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97,9 </w:t>
            </w:r>
          </w:p>
        </w:tc>
        <w:tc>
          <w:tcPr>
            <w:tcW w:w="484" w:type="pct"/>
            <w:noWrap/>
            <w:hideMark/>
          </w:tcPr>
          <w:p w14:paraId="2186B6A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105,5 </w:t>
            </w:r>
          </w:p>
        </w:tc>
        <w:tc>
          <w:tcPr>
            <w:tcW w:w="484" w:type="pct"/>
            <w:noWrap/>
            <w:hideMark/>
          </w:tcPr>
          <w:p w14:paraId="481A344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106,0 </w:t>
            </w:r>
          </w:p>
        </w:tc>
        <w:tc>
          <w:tcPr>
            <w:tcW w:w="484" w:type="pct"/>
            <w:shd w:val="clear" w:color="auto" w:fill="4472C4" w:themeFill="accent1"/>
            <w:noWrap/>
            <w:hideMark/>
          </w:tcPr>
          <w:p w14:paraId="3055818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 xml:space="preserve"> 121,2 </w:t>
            </w:r>
          </w:p>
        </w:tc>
        <w:tc>
          <w:tcPr>
            <w:tcW w:w="471" w:type="pct"/>
            <w:noWrap/>
            <w:hideMark/>
          </w:tcPr>
          <w:p w14:paraId="5B57948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96,0 </w:t>
            </w:r>
          </w:p>
        </w:tc>
        <w:tc>
          <w:tcPr>
            <w:tcW w:w="471" w:type="pct"/>
            <w:noWrap/>
            <w:hideMark/>
          </w:tcPr>
          <w:p w14:paraId="49EAC40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86,1 </w:t>
            </w:r>
          </w:p>
        </w:tc>
      </w:tr>
      <w:tr w:rsidR="00B86FB3" w:rsidRPr="00FF756A" w14:paraId="2F047173"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69" w:type="pct"/>
            <w:shd w:val="clear" w:color="auto" w:fill="323E4F" w:themeFill="text2" w:themeFillShade="BF"/>
            <w:noWrap/>
            <w:hideMark/>
          </w:tcPr>
          <w:p w14:paraId="794AAD38" w14:textId="77777777" w:rsidR="00B86FB3" w:rsidRPr="00FF756A" w:rsidRDefault="00B86FB3" w:rsidP="00B86FB3">
            <w:pPr>
              <w:rPr>
                <w:rFonts w:eastAsia="Times New Roman" w:cs="Times New Roman"/>
                <w:b w:val="0"/>
                <w:sz w:val="20"/>
                <w:szCs w:val="20"/>
              </w:rPr>
            </w:pPr>
            <w:r w:rsidRPr="00FF756A">
              <w:rPr>
                <w:rFonts w:cs="Times New Roman"/>
                <w:sz w:val="20"/>
                <w:szCs w:val="20"/>
              </w:rPr>
              <w:t>WAM</w:t>
            </w:r>
          </w:p>
        </w:tc>
        <w:tc>
          <w:tcPr>
            <w:tcW w:w="484" w:type="pct"/>
            <w:shd w:val="clear" w:color="auto" w:fill="323E4F" w:themeFill="text2" w:themeFillShade="BF"/>
            <w:noWrap/>
            <w:hideMark/>
          </w:tcPr>
          <w:p w14:paraId="40E4244C"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 </w:t>
            </w:r>
          </w:p>
        </w:tc>
        <w:tc>
          <w:tcPr>
            <w:tcW w:w="476" w:type="pct"/>
            <w:shd w:val="clear" w:color="auto" w:fill="323E4F" w:themeFill="text2" w:themeFillShade="BF"/>
            <w:noWrap/>
            <w:hideMark/>
          </w:tcPr>
          <w:p w14:paraId="0B514144"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 </w:t>
            </w:r>
          </w:p>
        </w:tc>
        <w:tc>
          <w:tcPr>
            <w:tcW w:w="476" w:type="pct"/>
            <w:shd w:val="clear" w:color="auto" w:fill="323E4F" w:themeFill="text2" w:themeFillShade="BF"/>
            <w:noWrap/>
            <w:hideMark/>
          </w:tcPr>
          <w:p w14:paraId="47419662"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 </w:t>
            </w:r>
          </w:p>
        </w:tc>
        <w:tc>
          <w:tcPr>
            <w:tcW w:w="484" w:type="pct"/>
            <w:shd w:val="clear" w:color="auto" w:fill="323E4F" w:themeFill="text2" w:themeFillShade="BF"/>
            <w:noWrap/>
            <w:hideMark/>
          </w:tcPr>
          <w:p w14:paraId="3A330EC9"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 </w:t>
            </w:r>
          </w:p>
        </w:tc>
        <w:tc>
          <w:tcPr>
            <w:tcW w:w="484" w:type="pct"/>
            <w:shd w:val="clear" w:color="auto" w:fill="323E4F" w:themeFill="text2" w:themeFillShade="BF"/>
            <w:noWrap/>
            <w:hideMark/>
          </w:tcPr>
          <w:p w14:paraId="53CAFF0C"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 </w:t>
            </w:r>
          </w:p>
        </w:tc>
        <w:tc>
          <w:tcPr>
            <w:tcW w:w="484" w:type="pct"/>
            <w:shd w:val="clear" w:color="auto" w:fill="323E4F" w:themeFill="text2" w:themeFillShade="BF"/>
            <w:noWrap/>
            <w:hideMark/>
          </w:tcPr>
          <w:p w14:paraId="2DA75AE2"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20"/>
                <w:szCs w:val="20"/>
              </w:rPr>
            </w:pPr>
            <w:r w:rsidRPr="00FF756A">
              <w:rPr>
                <w:rFonts w:cs="Times New Roman"/>
                <w:color w:val="FFFFFF" w:themeColor="background1"/>
                <w:sz w:val="20"/>
                <w:szCs w:val="20"/>
              </w:rPr>
              <w:t> </w:t>
            </w:r>
          </w:p>
        </w:tc>
        <w:tc>
          <w:tcPr>
            <w:tcW w:w="471" w:type="pct"/>
            <w:shd w:val="clear" w:color="auto" w:fill="323E4F" w:themeFill="text2" w:themeFillShade="BF"/>
            <w:noWrap/>
            <w:hideMark/>
          </w:tcPr>
          <w:p w14:paraId="08565CAF"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 </w:t>
            </w:r>
          </w:p>
        </w:tc>
        <w:tc>
          <w:tcPr>
            <w:tcW w:w="471" w:type="pct"/>
            <w:shd w:val="clear" w:color="auto" w:fill="323E4F" w:themeFill="text2" w:themeFillShade="BF"/>
            <w:noWrap/>
            <w:hideMark/>
          </w:tcPr>
          <w:p w14:paraId="742E4B1C"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 </w:t>
            </w:r>
          </w:p>
        </w:tc>
      </w:tr>
      <w:tr w:rsidR="00B86FB3" w:rsidRPr="00FF756A" w14:paraId="705EE43D"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69" w:type="pct"/>
            <w:shd w:val="clear" w:color="auto" w:fill="323E4F" w:themeFill="text2" w:themeFillShade="BF"/>
            <w:noWrap/>
            <w:hideMark/>
          </w:tcPr>
          <w:p w14:paraId="5881216B" w14:textId="77777777" w:rsidR="00B86FB3" w:rsidRPr="00FF756A" w:rsidRDefault="00B86FB3" w:rsidP="00B86FB3">
            <w:pPr>
              <w:rPr>
                <w:rFonts w:eastAsia="Times New Roman" w:cs="Times New Roman"/>
                <w:b w:val="0"/>
                <w:sz w:val="20"/>
                <w:szCs w:val="20"/>
              </w:rPr>
            </w:pPr>
            <w:r w:rsidRPr="00FF756A">
              <w:rPr>
                <w:rFonts w:cs="Times New Roman"/>
                <w:sz w:val="20"/>
                <w:szCs w:val="20"/>
              </w:rPr>
              <w:t>BRE-E hidrike</w:t>
            </w:r>
          </w:p>
        </w:tc>
        <w:tc>
          <w:tcPr>
            <w:tcW w:w="484" w:type="pct"/>
            <w:noWrap/>
            <w:hideMark/>
          </w:tcPr>
          <w:p w14:paraId="6CEBDB2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103,1 </w:t>
            </w:r>
          </w:p>
        </w:tc>
        <w:tc>
          <w:tcPr>
            <w:tcW w:w="476" w:type="pct"/>
            <w:noWrap/>
            <w:hideMark/>
          </w:tcPr>
          <w:p w14:paraId="2F42C2A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95,9 </w:t>
            </w:r>
          </w:p>
        </w:tc>
        <w:tc>
          <w:tcPr>
            <w:tcW w:w="476" w:type="pct"/>
            <w:noWrap/>
            <w:hideMark/>
          </w:tcPr>
          <w:p w14:paraId="2F33558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97,5 </w:t>
            </w:r>
          </w:p>
        </w:tc>
        <w:tc>
          <w:tcPr>
            <w:tcW w:w="484" w:type="pct"/>
            <w:noWrap/>
            <w:hideMark/>
          </w:tcPr>
          <w:p w14:paraId="5F648DA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103,1 </w:t>
            </w:r>
          </w:p>
        </w:tc>
        <w:tc>
          <w:tcPr>
            <w:tcW w:w="484" w:type="pct"/>
            <w:noWrap/>
            <w:hideMark/>
          </w:tcPr>
          <w:p w14:paraId="2F9B44A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101,7 </w:t>
            </w:r>
          </w:p>
        </w:tc>
        <w:tc>
          <w:tcPr>
            <w:tcW w:w="484" w:type="pct"/>
            <w:shd w:val="clear" w:color="auto" w:fill="323E4F" w:themeFill="text2" w:themeFillShade="BF"/>
            <w:noWrap/>
            <w:hideMark/>
          </w:tcPr>
          <w:p w14:paraId="72A6176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 xml:space="preserve"> 112,3 </w:t>
            </w:r>
          </w:p>
        </w:tc>
        <w:tc>
          <w:tcPr>
            <w:tcW w:w="471" w:type="pct"/>
            <w:noWrap/>
            <w:hideMark/>
          </w:tcPr>
          <w:p w14:paraId="68DCCEF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87,2 </w:t>
            </w:r>
          </w:p>
        </w:tc>
        <w:tc>
          <w:tcPr>
            <w:tcW w:w="471" w:type="pct"/>
            <w:noWrap/>
            <w:hideMark/>
          </w:tcPr>
          <w:p w14:paraId="79FCC00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57,7 </w:t>
            </w:r>
          </w:p>
        </w:tc>
      </w:tr>
      <w:tr w:rsidR="00B86FB3" w:rsidRPr="00FF756A" w14:paraId="6EA89DEA"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69" w:type="pct"/>
            <w:shd w:val="clear" w:color="auto" w:fill="323E4F" w:themeFill="text2" w:themeFillShade="BF"/>
            <w:noWrap/>
            <w:hideMark/>
          </w:tcPr>
          <w:p w14:paraId="0366FE5C" w14:textId="77777777" w:rsidR="00B86FB3" w:rsidRPr="00FF756A" w:rsidRDefault="00B86FB3" w:rsidP="00B86FB3">
            <w:pPr>
              <w:rPr>
                <w:rFonts w:eastAsia="Times New Roman" w:cs="Times New Roman"/>
                <w:b w:val="0"/>
                <w:sz w:val="20"/>
                <w:szCs w:val="20"/>
              </w:rPr>
            </w:pPr>
            <w:r w:rsidRPr="00FF756A">
              <w:rPr>
                <w:rFonts w:cs="Times New Roman"/>
                <w:sz w:val="20"/>
                <w:szCs w:val="20"/>
              </w:rPr>
              <w:t>BRE-E eolike</w:t>
            </w:r>
          </w:p>
        </w:tc>
        <w:tc>
          <w:tcPr>
            <w:tcW w:w="484" w:type="pct"/>
            <w:noWrap/>
            <w:hideMark/>
          </w:tcPr>
          <w:p w14:paraId="2138CF3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476" w:type="pct"/>
            <w:noWrap/>
            <w:hideMark/>
          </w:tcPr>
          <w:p w14:paraId="1B712E0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476" w:type="pct"/>
            <w:noWrap/>
            <w:hideMark/>
          </w:tcPr>
          <w:p w14:paraId="5FFF378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484" w:type="pct"/>
            <w:noWrap/>
            <w:hideMark/>
          </w:tcPr>
          <w:p w14:paraId="5D021B5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484" w:type="pct"/>
            <w:noWrap/>
            <w:hideMark/>
          </w:tcPr>
          <w:p w14:paraId="34DFEEF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484" w:type="pct"/>
            <w:shd w:val="clear" w:color="auto" w:fill="323E4F" w:themeFill="text2" w:themeFillShade="BF"/>
            <w:noWrap/>
            <w:hideMark/>
          </w:tcPr>
          <w:p w14:paraId="0DE0289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 xml:space="preserve"> 14,4 </w:t>
            </w:r>
          </w:p>
        </w:tc>
        <w:tc>
          <w:tcPr>
            <w:tcW w:w="471" w:type="pct"/>
            <w:noWrap/>
            <w:hideMark/>
          </w:tcPr>
          <w:p w14:paraId="6B820A0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17,2 </w:t>
            </w:r>
          </w:p>
        </w:tc>
        <w:tc>
          <w:tcPr>
            <w:tcW w:w="471" w:type="pct"/>
            <w:noWrap/>
            <w:hideMark/>
          </w:tcPr>
          <w:p w14:paraId="76C7EBA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16,9 </w:t>
            </w:r>
          </w:p>
        </w:tc>
      </w:tr>
      <w:tr w:rsidR="00B86FB3" w:rsidRPr="00FF756A" w14:paraId="475CD372"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69" w:type="pct"/>
            <w:shd w:val="clear" w:color="auto" w:fill="323E4F" w:themeFill="text2" w:themeFillShade="BF"/>
            <w:noWrap/>
            <w:hideMark/>
          </w:tcPr>
          <w:p w14:paraId="55BF0D06" w14:textId="77777777" w:rsidR="00B86FB3" w:rsidRPr="00FF756A" w:rsidRDefault="00B86FB3" w:rsidP="00B86FB3">
            <w:pPr>
              <w:rPr>
                <w:rFonts w:eastAsia="Times New Roman" w:cs="Times New Roman"/>
                <w:b w:val="0"/>
                <w:sz w:val="20"/>
                <w:szCs w:val="20"/>
              </w:rPr>
            </w:pPr>
            <w:r w:rsidRPr="00FF756A">
              <w:rPr>
                <w:rFonts w:cs="Times New Roman"/>
                <w:sz w:val="20"/>
                <w:szCs w:val="20"/>
              </w:rPr>
              <w:t>BRE-E diellore</w:t>
            </w:r>
          </w:p>
        </w:tc>
        <w:tc>
          <w:tcPr>
            <w:tcW w:w="484" w:type="pct"/>
            <w:noWrap/>
            <w:hideMark/>
          </w:tcPr>
          <w:p w14:paraId="1D63722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0,3 </w:t>
            </w:r>
          </w:p>
        </w:tc>
        <w:tc>
          <w:tcPr>
            <w:tcW w:w="476" w:type="pct"/>
            <w:noWrap/>
            <w:hideMark/>
          </w:tcPr>
          <w:p w14:paraId="0B1E126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0,3 </w:t>
            </w:r>
          </w:p>
        </w:tc>
        <w:tc>
          <w:tcPr>
            <w:tcW w:w="476" w:type="pct"/>
            <w:noWrap/>
            <w:hideMark/>
          </w:tcPr>
          <w:p w14:paraId="1BB434D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0,3 </w:t>
            </w:r>
          </w:p>
        </w:tc>
        <w:tc>
          <w:tcPr>
            <w:tcW w:w="484" w:type="pct"/>
            <w:noWrap/>
            <w:hideMark/>
          </w:tcPr>
          <w:p w14:paraId="6B5CAE0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4,2 </w:t>
            </w:r>
          </w:p>
        </w:tc>
        <w:tc>
          <w:tcPr>
            <w:tcW w:w="484" w:type="pct"/>
            <w:noWrap/>
            <w:hideMark/>
          </w:tcPr>
          <w:p w14:paraId="5D8DB8D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10,4 </w:t>
            </w:r>
          </w:p>
        </w:tc>
        <w:tc>
          <w:tcPr>
            <w:tcW w:w="484" w:type="pct"/>
            <w:shd w:val="clear" w:color="auto" w:fill="323E4F" w:themeFill="text2" w:themeFillShade="BF"/>
            <w:noWrap/>
            <w:hideMark/>
          </w:tcPr>
          <w:p w14:paraId="20F89F5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 xml:space="preserve"> 19,1 </w:t>
            </w:r>
          </w:p>
        </w:tc>
        <w:tc>
          <w:tcPr>
            <w:tcW w:w="471" w:type="pct"/>
            <w:noWrap/>
            <w:hideMark/>
          </w:tcPr>
          <w:p w14:paraId="7D04BB6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44,3 </w:t>
            </w:r>
          </w:p>
        </w:tc>
        <w:tc>
          <w:tcPr>
            <w:tcW w:w="471" w:type="pct"/>
            <w:noWrap/>
            <w:hideMark/>
          </w:tcPr>
          <w:p w14:paraId="3995EAC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55,0 </w:t>
            </w:r>
          </w:p>
        </w:tc>
      </w:tr>
      <w:tr w:rsidR="00B86FB3" w:rsidRPr="00FF756A" w14:paraId="6B90F59F"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69" w:type="pct"/>
            <w:shd w:val="clear" w:color="auto" w:fill="323E4F" w:themeFill="text2" w:themeFillShade="BF"/>
            <w:noWrap/>
            <w:hideMark/>
          </w:tcPr>
          <w:p w14:paraId="4F289F9E" w14:textId="77777777" w:rsidR="00B86FB3" w:rsidRPr="00FF756A" w:rsidRDefault="00B86FB3" w:rsidP="00B86FB3">
            <w:pPr>
              <w:rPr>
                <w:rFonts w:eastAsia="Times New Roman" w:cs="Times New Roman"/>
                <w:b w:val="0"/>
                <w:sz w:val="20"/>
                <w:szCs w:val="20"/>
              </w:rPr>
            </w:pPr>
            <w:r w:rsidRPr="00FF756A">
              <w:rPr>
                <w:rFonts w:cs="Times New Roman"/>
                <w:sz w:val="20"/>
                <w:szCs w:val="20"/>
              </w:rPr>
              <w:t>BRE-E</w:t>
            </w:r>
          </w:p>
        </w:tc>
        <w:tc>
          <w:tcPr>
            <w:tcW w:w="484" w:type="pct"/>
            <w:noWrap/>
            <w:hideMark/>
          </w:tcPr>
          <w:p w14:paraId="64805D1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103,5 </w:t>
            </w:r>
          </w:p>
        </w:tc>
        <w:tc>
          <w:tcPr>
            <w:tcW w:w="476" w:type="pct"/>
            <w:noWrap/>
            <w:hideMark/>
          </w:tcPr>
          <w:p w14:paraId="2B81373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96,3 </w:t>
            </w:r>
          </w:p>
        </w:tc>
        <w:tc>
          <w:tcPr>
            <w:tcW w:w="476" w:type="pct"/>
            <w:noWrap/>
            <w:hideMark/>
          </w:tcPr>
          <w:p w14:paraId="17311C3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97,9 </w:t>
            </w:r>
          </w:p>
        </w:tc>
        <w:tc>
          <w:tcPr>
            <w:tcW w:w="484" w:type="pct"/>
            <w:noWrap/>
            <w:hideMark/>
          </w:tcPr>
          <w:p w14:paraId="521449E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107,4 </w:t>
            </w:r>
          </w:p>
        </w:tc>
        <w:tc>
          <w:tcPr>
            <w:tcW w:w="484" w:type="pct"/>
            <w:noWrap/>
            <w:hideMark/>
          </w:tcPr>
          <w:p w14:paraId="6F63767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112,1 </w:t>
            </w:r>
          </w:p>
        </w:tc>
        <w:tc>
          <w:tcPr>
            <w:tcW w:w="484" w:type="pct"/>
            <w:shd w:val="clear" w:color="auto" w:fill="323E4F" w:themeFill="text2" w:themeFillShade="BF"/>
            <w:noWrap/>
            <w:hideMark/>
          </w:tcPr>
          <w:p w14:paraId="55C557E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 xml:space="preserve"> 145,8 </w:t>
            </w:r>
          </w:p>
        </w:tc>
        <w:tc>
          <w:tcPr>
            <w:tcW w:w="471" w:type="pct"/>
            <w:noWrap/>
            <w:hideMark/>
          </w:tcPr>
          <w:p w14:paraId="0EC9FF4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148,8 </w:t>
            </w:r>
          </w:p>
        </w:tc>
        <w:tc>
          <w:tcPr>
            <w:tcW w:w="471" w:type="pct"/>
            <w:noWrap/>
            <w:hideMark/>
          </w:tcPr>
          <w:p w14:paraId="76530FC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129,6 </w:t>
            </w:r>
          </w:p>
        </w:tc>
      </w:tr>
      <w:tr w:rsidR="00B86FB3" w:rsidRPr="00FF756A" w14:paraId="6D006AA6"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69" w:type="pct"/>
            <w:noWrap/>
            <w:hideMark/>
          </w:tcPr>
          <w:p w14:paraId="332BB4BF" w14:textId="77777777" w:rsidR="00B86FB3" w:rsidRPr="00FF756A" w:rsidRDefault="00B86FB3" w:rsidP="00B86FB3">
            <w:pPr>
              <w:rPr>
                <w:rFonts w:eastAsia="Times New Roman" w:cs="Times New Roman"/>
                <w:b w:val="0"/>
                <w:sz w:val="20"/>
                <w:szCs w:val="20"/>
              </w:rPr>
            </w:pPr>
            <w:r w:rsidRPr="00FF756A">
              <w:rPr>
                <w:rFonts w:cs="Times New Roman"/>
                <w:sz w:val="20"/>
                <w:szCs w:val="20"/>
              </w:rPr>
              <w:t>WEM</w:t>
            </w:r>
          </w:p>
        </w:tc>
        <w:tc>
          <w:tcPr>
            <w:tcW w:w="484" w:type="pct"/>
            <w:shd w:val="clear" w:color="auto" w:fill="4472C4" w:themeFill="accent1"/>
            <w:noWrap/>
            <w:hideMark/>
          </w:tcPr>
          <w:p w14:paraId="2EC1D117"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 </w:t>
            </w:r>
          </w:p>
        </w:tc>
        <w:tc>
          <w:tcPr>
            <w:tcW w:w="476" w:type="pct"/>
            <w:shd w:val="clear" w:color="auto" w:fill="4472C4" w:themeFill="accent1"/>
            <w:noWrap/>
            <w:hideMark/>
          </w:tcPr>
          <w:p w14:paraId="5C7F20B1"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 </w:t>
            </w:r>
          </w:p>
        </w:tc>
        <w:tc>
          <w:tcPr>
            <w:tcW w:w="476" w:type="pct"/>
            <w:shd w:val="clear" w:color="auto" w:fill="4472C4" w:themeFill="accent1"/>
            <w:noWrap/>
            <w:hideMark/>
          </w:tcPr>
          <w:p w14:paraId="14160F21"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 </w:t>
            </w:r>
          </w:p>
        </w:tc>
        <w:tc>
          <w:tcPr>
            <w:tcW w:w="484" w:type="pct"/>
            <w:shd w:val="clear" w:color="auto" w:fill="4472C4" w:themeFill="accent1"/>
            <w:noWrap/>
            <w:hideMark/>
          </w:tcPr>
          <w:p w14:paraId="2D4F1CE3"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 </w:t>
            </w:r>
          </w:p>
        </w:tc>
        <w:tc>
          <w:tcPr>
            <w:tcW w:w="484" w:type="pct"/>
            <w:shd w:val="clear" w:color="auto" w:fill="4472C4" w:themeFill="accent1"/>
            <w:noWrap/>
            <w:hideMark/>
          </w:tcPr>
          <w:p w14:paraId="4F13F746"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 </w:t>
            </w:r>
          </w:p>
        </w:tc>
        <w:tc>
          <w:tcPr>
            <w:tcW w:w="484" w:type="pct"/>
            <w:shd w:val="clear" w:color="auto" w:fill="4472C4" w:themeFill="accent1"/>
            <w:noWrap/>
            <w:hideMark/>
          </w:tcPr>
          <w:p w14:paraId="4C0204DB"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r w:rsidRPr="00FF756A">
              <w:rPr>
                <w:rFonts w:cs="Times New Roman"/>
                <w:color w:val="FFFFFF" w:themeColor="background1"/>
                <w:sz w:val="20"/>
                <w:szCs w:val="20"/>
              </w:rPr>
              <w:t> </w:t>
            </w:r>
          </w:p>
        </w:tc>
        <w:tc>
          <w:tcPr>
            <w:tcW w:w="471" w:type="pct"/>
            <w:shd w:val="clear" w:color="auto" w:fill="4472C4" w:themeFill="accent1"/>
            <w:noWrap/>
            <w:hideMark/>
          </w:tcPr>
          <w:p w14:paraId="048129E4"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 </w:t>
            </w:r>
          </w:p>
        </w:tc>
        <w:tc>
          <w:tcPr>
            <w:tcW w:w="471" w:type="pct"/>
            <w:shd w:val="clear" w:color="auto" w:fill="4472C4" w:themeFill="accent1"/>
            <w:noWrap/>
            <w:hideMark/>
          </w:tcPr>
          <w:p w14:paraId="6A30CB9E"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 </w:t>
            </w:r>
          </w:p>
        </w:tc>
      </w:tr>
      <w:tr w:rsidR="00B86FB3" w:rsidRPr="00FF756A" w14:paraId="0F1EF9D8"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69" w:type="pct"/>
            <w:noWrap/>
            <w:hideMark/>
          </w:tcPr>
          <w:p w14:paraId="440864FB" w14:textId="77777777" w:rsidR="00B86FB3" w:rsidRPr="00FF756A" w:rsidRDefault="00B86FB3" w:rsidP="00B86FB3">
            <w:pPr>
              <w:rPr>
                <w:rFonts w:eastAsia="Times New Roman" w:cs="Times New Roman"/>
                <w:b w:val="0"/>
                <w:sz w:val="20"/>
                <w:szCs w:val="20"/>
              </w:rPr>
            </w:pPr>
            <w:r w:rsidRPr="00FF756A">
              <w:rPr>
                <w:rFonts w:cs="Times New Roman"/>
                <w:sz w:val="20"/>
                <w:szCs w:val="20"/>
              </w:rPr>
              <w:t>BRE-E hidrike</w:t>
            </w:r>
          </w:p>
        </w:tc>
        <w:tc>
          <w:tcPr>
            <w:tcW w:w="484" w:type="pct"/>
            <w:noWrap/>
            <w:hideMark/>
          </w:tcPr>
          <w:p w14:paraId="1116C2A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103,1 </w:t>
            </w:r>
          </w:p>
        </w:tc>
        <w:tc>
          <w:tcPr>
            <w:tcW w:w="476" w:type="pct"/>
            <w:noWrap/>
            <w:hideMark/>
          </w:tcPr>
          <w:p w14:paraId="3135855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95,9 </w:t>
            </w:r>
          </w:p>
        </w:tc>
        <w:tc>
          <w:tcPr>
            <w:tcW w:w="476" w:type="pct"/>
            <w:noWrap/>
            <w:hideMark/>
          </w:tcPr>
          <w:p w14:paraId="6D490ED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97,5 </w:t>
            </w:r>
          </w:p>
        </w:tc>
        <w:tc>
          <w:tcPr>
            <w:tcW w:w="484" w:type="pct"/>
            <w:noWrap/>
            <w:hideMark/>
          </w:tcPr>
          <w:p w14:paraId="26CACC0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101,7 </w:t>
            </w:r>
          </w:p>
        </w:tc>
        <w:tc>
          <w:tcPr>
            <w:tcW w:w="484" w:type="pct"/>
            <w:noWrap/>
            <w:hideMark/>
          </w:tcPr>
          <w:p w14:paraId="4D013F4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95,4 </w:t>
            </w:r>
          </w:p>
        </w:tc>
        <w:tc>
          <w:tcPr>
            <w:tcW w:w="484" w:type="pct"/>
            <w:shd w:val="clear" w:color="auto" w:fill="4472C4" w:themeFill="accent1"/>
            <w:noWrap/>
            <w:hideMark/>
          </w:tcPr>
          <w:p w14:paraId="43E50C0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 xml:space="preserve"> 87,5 </w:t>
            </w:r>
          </w:p>
        </w:tc>
        <w:tc>
          <w:tcPr>
            <w:tcW w:w="471" w:type="pct"/>
            <w:noWrap/>
            <w:hideMark/>
          </w:tcPr>
          <w:p w14:paraId="450BAA8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67,8 </w:t>
            </w:r>
          </w:p>
        </w:tc>
        <w:tc>
          <w:tcPr>
            <w:tcW w:w="471" w:type="pct"/>
            <w:noWrap/>
            <w:hideMark/>
          </w:tcPr>
          <w:p w14:paraId="6B9A078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52,0 </w:t>
            </w:r>
          </w:p>
        </w:tc>
      </w:tr>
      <w:tr w:rsidR="00B86FB3" w:rsidRPr="00FF756A" w14:paraId="6ADDE2F8"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69" w:type="pct"/>
            <w:noWrap/>
            <w:hideMark/>
          </w:tcPr>
          <w:p w14:paraId="32639170" w14:textId="77777777" w:rsidR="00B86FB3" w:rsidRPr="00FF756A" w:rsidRDefault="00B86FB3" w:rsidP="00B86FB3">
            <w:pPr>
              <w:rPr>
                <w:rFonts w:eastAsia="Times New Roman" w:cs="Times New Roman"/>
                <w:b w:val="0"/>
                <w:sz w:val="20"/>
                <w:szCs w:val="20"/>
              </w:rPr>
            </w:pPr>
            <w:r w:rsidRPr="00FF756A">
              <w:rPr>
                <w:rFonts w:cs="Times New Roman"/>
                <w:sz w:val="20"/>
                <w:szCs w:val="20"/>
              </w:rPr>
              <w:t>BRE-E eolike</w:t>
            </w:r>
          </w:p>
        </w:tc>
        <w:tc>
          <w:tcPr>
            <w:tcW w:w="484" w:type="pct"/>
            <w:noWrap/>
            <w:hideMark/>
          </w:tcPr>
          <w:p w14:paraId="30CF317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476" w:type="pct"/>
            <w:noWrap/>
            <w:hideMark/>
          </w:tcPr>
          <w:p w14:paraId="17AA139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476" w:type="pct"/>
            <w:noWrap/>
            <w:hideMark/>
          </w:tcPr>
          <w:p w14:paraId="72BDCAB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484" w:type="pct"/>
            <w:noWrap/>
            <w:hideMark/>
          </w:tcPr>
          <w:p w14:paraId="76169FE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484" w:type="pct"/>
            <w:noWrap/>
            <w:hideMark/>
          </w:tcPr>
          <w:p w14:paraId="5D02320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484" w:type="pct"/>
            <w:shd w:val="clear" w:color="auto" w:fill="4472C4" w:themeFill="accent1"/>
            <w:noWrap/>
            <w:hideMark/>
          </w:tcPr>
          <w:p w14:paraId="3845CB7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 xml:space="preserve"> 5,5 </w:t>
            </w:r>
          </w:p>
        </w:tc>
        <w:tc>
          <w:tcPr>
            <w:tcW w:w="471" w:type="pct"/>
            <w:noWrap/>
            <w:hideMark/>
          </w:tcPr>
          <w:p w14:paraId="689AC84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4,3 </w:t>
            </w:r>
          </w:p>
        </w:tc>
        <w:tc>
          <w:tcPr>
            <w:tcW w:w="471" w:type="pct"/>
            <w:noWrap/>
            <w:hideMark/>
          </w:tcPr>
          <w:p w14:paraId="1501386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3,1 </w:t>
            </w:r>
          </w:p>
        </w:tc>
      </w:tr>
      <w:tr w:rsidR="00B86FB3" w:rsidRPr="00FF756A" w14:paraId="655D354B"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69" w:type="pct"/>
            <w:noWrap/>
            <w:hideMark/>
          </w:tcPr>
          <w:p w14:paraId="5D59213A" w14:textId="77777777" w:rsidR="00B86FB3" w:rsidRPr="00FF756A" w:rsidRDefault="00B86FB3" w:rsidP="00B86FB3">
            <w:pPr>
              <w:rPr>
                <w:rFonts w:eastAsia="Times New Roman" w:cs="Times New Roman"/>
                <w:b w:val="0"/>
                <w:sz w:val="20"/>
                <w:szCs w:val="20"/>
              </w:rPr>
            </w:pPr>
            <w:r w:rsidRPr="00FF756A">
              <w:rPr>
                <w:rFonts w:cs="Times New Roman"/>
                <w:sz w:val="20"/>
                <w:szCs w:val="20"/>
              </w:rPr>
              <w:t>BRE-E diellore</w:t>
            </w:r>
          </w:p>
        </w:tc>
        <w:tc>
          <w:tcPr>
            <w:tcW w:w="484" w:type="pct"/>
            <w:noWrap/>
            <w:hideMark/>
          </w:tcPr>
          <w:p w14:paraId="3F5CA5E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0,3 </w:t>
            </w:r>
          </w:p>
        </w:tc>
        <w:tc>
          <w:tcPr>
            <w:tcW w:w="476" w:type="pct"/>
            <w:noWrap/>
            <w:hideMark/>
          </w:tcPr>
          <w:p w14:paraId="6054939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0,3 </w:t>
            </w:r>
          </w:p>
        </w:tc>
        <w:tc>
          <w:tcPr>
            <w:tcW w:w="476" w:type="pct"/>
            <w:noWrap/>
            <w:hideMark/>
          </w:tcPr>
          <w:p w14:paraId="27AEBC1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0,3 </w:t>
            </w:r>
          </w:p>
        </w:tc>
        <w:tc>
          <w:tcPr>
            <w:tcW w:w="484" w:type="pct"/>
            <w:noWrap/>
            <w:hideMark/>
          </w:tcPr>
          <w:p w14:paraId="75723C4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3,3 </w:t>
            </w:r>
          </w:p>
        </w:tc>
        <w:tc>
          <w:tcPr>
            <w:tcW w:w="484" w:type="pct"/>
            <w:noWrap/>
            <w:hideMark/>
          </w:tcPr>
          <w:p w14:paraId="3A7E868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5,5 </w:t>
            </w:r>
          </w:p>
        </w:tc>
        <w:tc>
          <w:tcPr>
            <w:tcW w:w="484" w:type="pct"/>
            <w:shd w:val="clear" w:color="auto" w:fill="4472C4" w:themeFill="accent1"/>
            <w:noWrap/>
            <w:hideMark/>
          </w:tcPr>
          <w:p w14:paraId="22FB6E5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 xml:space="preserve"> 5,3 </w:t>
            </w:r>
          </w:p>
        </w:tc>
        <w:tc>
          <w:tcPr>
            <w:tcW w:w="471" w:type="pct"/>
            <w:noWrap/>
            <w:hideMark/>
          </w:tcPr>
          <w:p w14:paraId="22C5BBA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4,0 </w:t>
            </w:r>
          </w:p>
        </w:tc>
        <w:tc>
          <w:tcPr>
            <w:tcW w:w="471" w:type="pct"/>
            <w:noWrap/>
            <w:hideMark/>
          </w:tcPr>
          <w:p w14:paraId="16BCD5A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2,9 </w:t>
            </w:r>
          </w:p>
        </w:tc>
      </w:tr>
      <w:tr w:rsidR="00B86FB3" w:rsidRPr="00FF756A" w14:paraId="4DA4A34F"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69" w:type="pct"/>
            <w:noWrap/>
            <w:hideMark/>
          </w:tcPr>
          <w:p w14:paraId="43D25EFB" w14:textId="77777777" w:rsidR="00B86FB3" w:rsidRPr="00FF756A" w:rsidRDefault="00B86FB3" w:rsidP="00B86FB3">
            <w:pPr>
              <w:rPr>
                <w:rFonts w:eastAsia="Times New Roman" w:cs="Times New Roman"/>
                <w:b w:val="0"/>
                <w:sz w:val="20"/>
                <w:szCs w:val="20"/>
              </w:rPr>
            </w:pPr>
            <w:r w:rsidRPr="00FF756A">
              <w:rPr>
                <w:rFonts w:cs="Times New Roman"/>
                <w:sz w:val="20"/>
                <w:szCs w:val="20"/>
              </w:rPr>
              <w:t>BRE-E</w:t>
            </w:r>
          </w:p>
        </w:tc>
        <w:tc>
          <w:tcPr>
            <w:tcW w:w="484" w:type="pct"/>
            <w:noWrap/>
            <w:hideMark/>
          </w:tcPr>
          <w:p w14:paraId="789289C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103,5 </w:t>
            </w:r>
          </w:p>
        </w:tc>
        <w:tc>
          <w:tcPr>
            <w:tcW w:w="476" w:type="pct"/>
            <w:noWrap/>
            <w:hideMark/>
          </w:tcPr>
          <w:p w14:paraId="28BC021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96,3 </w:t>
            </w:r>
          </w:p>
        </w:tc>
        <w:tc>
          <w:tcPr>
            <w:tcW w:w="476" w:type="pct"/>
            <w:noWrap/>
            <w:hideMark/>
          </w:tcPr>
          <w:p w14:paraId="4FA8F6C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97,9 </w:t>
            </w:r>
          </w:p>
        </w:tc>
        <w:tc>
          <w:tcPr>
            <w:tcW w:w="484" w:type="pct"/>
            <w:noWrap/>
            <w:hideMark/>
          </w:tcPr>
          <w:p w14:paraId="200F587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105,0 </w:t>
            </w:r>
          </w:p>
        </w:tc>
        <w:tc>
          <w:tcPr>
            <w:tcW w:w="484" w:type="pct"/>
            <w:noWrap/>
            <w:hideMark/>
          </w:tcPr>
          <w:p w14:paraId="07C21EA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100,9 </w:t>
            </w:r>
          </w:p>
        </w:tc>
        <w:tc>
          <w:tcPr>
            <w:tcW w:w="484" w:type="pct"/>
            <w:shd w:val="clear" w:color="auto" w:fill="4472C4" w:themeFill="accent1"/>
            <w:noWrap/>
            <w:hideMark/>
          </w:tcPr>
          <w:p w14:paraId="3D1EE0C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 xml:space="preserve"> 98,3 </w:t>
            </w:r>
          </w:p>
        </w:tc>
        <w:tc>
          <w:tcPr>
            <w:tcW w:w="471" w:type="pct"/>
            <w:noWrap/>
            <w:hideMark/>
          </w:tcPr>
          <w:p w14:paraId="64A32D8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76,1 </w:t>
            </w:r>
          </w:p>
        </w:tc>
        <w:tc>
          <w:tcPr>
            <w:tcW w:w="471" w:type="pct"/>
            <w:noWrap/>
            <w:hideMark/>
          </w:tcPr>
          <w:p w14:paraId="63159291" w14:textId="77777777" w:rsidR="00B86FB3" w:rsidRPr="00FF756A" w:rsidRDefault="00B86FB3" w:rsidP="00490D19">
            <w:pPr>
              <w:keepNext/>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58,0 </w:t>
            </w:r>
          </w:p>
        </w:tc>
      </w:tr>
    </w:tbl>
    <w:p w14:paraId="3F32EF84" w14:textId="7C40DC16" w:rsidR="00B86FB3" w:rsidRPr="00FF756A" w:rsidRDefault="00490D19" w:rsidP="00490D19">
      <w:pPr>
        <w:pStyle w:val="Caption"/>
        <w:rPr>
          <w:rFonts w:ascii="Times New Roman" w:hAnsi="Times New Roman"/>
        </w:rPr>
      </w:pPr>
      <w:bookmarkStart w:id="709" w:name="_Toc183016627"/>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97</w:t>
      </w:r>
      <w:r w:rsidR="008E7DE9" w:rsidRPr="00FF756A">
        <w:rPr>
          <w:rFonts w:ascii="Times New Roman" w:hAnsi="Times New Roman"/>
          <w:noProof/>
        </w:rPr>
        <w:fldChar w:fldCharType="end"/>
      </w:r>
      <w:r w:rsidRPr="00FF756A">
        <w:rPr>
          <w:rFonts w:ascii="Times New Roman" w:hAnsi="Times New Roman"/>
        </w:rPr>
        <w:t>: Përqindja e BRE-E, e përllogaritur sipas RED (Direktivës 2009/28/KE) për periudhën kohore 2020-2023 dhe sipas parashikimeve deri në vitin 2050 me masa shtesë. Totali i WEM jepet për referencë</w:t>
      </w:r>
      <w:bookmarkEnd w:id="709"/>
    </w:p>
    <w:p w14:paraId="201B8128" w14:textId="77777777" w:rsidR="00B86FB3" w:rsidRPr="00FF756A" w:rsidRDefault="00B86FB3" w:rsidP="00B86FB3">
      <w:r w:rsidRPr="00FF756A">
        <w:t xml:space="preserve">Figurat në vijim japin më tepër detaje për të mundësuar një vlerësim më të hollësishëm të përqindjes së BRE-E dhe të mënyrës se si ajo është e lidhur me zgjerimin e kapaciteteve. </w:t>
      </w:r>
      <w:r w:rsidRPr="00FF756A">
        <w:fldChar w:fldCharType="begin"/>
      </w:r>
      <w:r w:rsidRPr="00FF756A">
        <w:instrText xml:space="preserve"> REF _Ref100239245 \h  \* MERGEFORMAT </w:instrText>
      </w:r>
      <w:r w:rsidRPr="00FF756A">
        <w:fldChar w:fldCharType="separate"/>
      </w:r>
      <w:r w:rsidRPr="00FF756A">
        <w:rPr>
          <w:noProof/>
          <w:lang w:val="en-US"/>
        </w:rPr>
        <w:drawing>
          <wp:inline distT="0" distB="0" distL="0" distR="0" wp14:anchorId="7B787908" wp14:editId="61DAF404">
            <wp:extent cx="5760720" cy="2960370"/>
            <wp:effectExtent l="0" t="0" r="0" b="0"/>
            <wp:docPr id="1" name="Picture 24"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4" descr="A graph of different colored lines&#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760720" cy="2960370"/>
                    </a:xfrm>
                    <a:prstGeom prst="rect">
                      <a:avLst/>
                    </a:prstGeom>
                  </pic:spPr>
                </pic:pic>
              </a:graphicData>
            </a:graphic>
          </wp:inline>
        </w:drawing>
      </w:r>
    </w:p>
    <w:p w14:paraId="5A36AC14" w14:textId="77777777" w:rsidR="00B86FB3" w:rsidRPr="00FF756A" w:rsidRDefault="00B86FB3" w:rsidP="00B86FB3">
      <w:r w:rsidRPr="00FF756A">
        <w:t xml:space="preserve">Figura </w:t>
      </w:r>
      <w:r w:rsidRPr="00FF756A">
        <w:rPr>
          <w:b/>
          <w:noProof/>
        </w:rPr>
        <w:t>80</w:t>
      </w:r>
      <w:r w:rsidRPr="00FF756A">
        <w:fldChar w:fldCharType="end"/>
      </w:r>
      <w:r w:rsidRPr="00FF756A">
        <w:t xml:space="preserve"> tregon prodhimin e normalizuar të impianteve të energjisë së rinovueshme (të normalizuar sipas SHARES, duke i përfshirë edhe ato në përqindjen e BRE-E), si dhe përqindjen përkatëse të BRE-E për skenarin WAM dhe skenarin WAM që merr në konsideratë vetëm ER-në për përmbushjen e kërkesës. Përdorimi i energjisë eolike është mjaft i përafërt në të dy skenarët. Përdorimet e energjisë diellore fotovoltaike janë të ndryshme. Prodhimi sipas skenarit WAM që merr në konsideratë vetëm ER-në për përmbushjen e kërkesës tregon një nivel të caktuar ndikimi që vjen nga vitet me klimë të thatë, ndikim ky që nuk është i dukshëm në prodhimin e energjisë hidrike për shkak të harkut të gjatë kohor mbi të cilin bazohet normalizimi. Pa dyshim që kontributin më të madh në BRE-E e jep energjia hidrike, siç është përmendur më sipër. </w:t>
      </w:r>
    </w:p>
    <w:p w14:paraId="7E745F37" w14:textId="77777777" w:rsidR="00B86FB3" w:rsidRPr="00FF756A" w:rsidRDefault="00B86FB3" w:rsidP="00B86FB3">
      <w:r w:rsidRPr="00FF756A">
        <w:t xml:space="preserve">Është interesante që ta shqyrtojmë këtë aspekt së bashku me kapacitetet që shtohen realisht në sistem. Këto kapacitete jepen në </w:t>
      </w:r>
      <w:r w:rsidRPr="00FF756A">
        <w:fldChar w:fldCharType="begin"/>
      </w:r>
      <w:r w:rsidRPr="00FF756A">
        <w:instrText xml:space="preserve"> REF _Ref100239029 \h  \* MERGEFORMAT </w:instrText>
      </w:r>
      <w:r w:rsidRPr="00FF756A">
        <w:fldChar w:fldCharType="separate"/>
      </w:r>
      <w:r w:rsidRPr="00FF756A">
        <w:rPr>
          <w:noProof/>
          <w:lang w:val="en-US"/>
        </w:rPr>
        <w:drawing>
          <wp:inline distT="0" distB="0" distL="0" distR="0" wp14:anchorId="353BC5F8" wp14:editId="27D01785">
            <wp:extent cx="5760720" cy="3382010"/>
            <wp:effectExtent l="0" t="0" r="0" b="8890"/>
            <wp:docPr id="2" name="Picture 27"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7" descr="A graph with different colored lines&#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760720" cy="3382010"/>
                    </a:xfrm>
                    <a:prstGeom prst="rect">
                      <a:avLst/>
                    </a:prstGeom>
                  </pic:spPr>
                </pic:pic>
              </a:graphicData>
            </a:graphic>
          </wp:inline>
        </w:drawing>
      </w:r>
    </w:p>
    <w:p w14:paraId="5175CD05" w14:textId="77777777" w:rsidR="00B86FB3" w:rsidRPr="00FF756A" w:rsidRDefault="00B86FB3" w:rsidP="00B86FB3">
      <w:r w:rsidRPr="00FF756A">
        <w:t xml:space="preserve">Figura </w:t>
      </w:r>
      <w:r w:rsidRPr="00FF756A">
        <w:rPr>
          <w:b/>
          <w:noProof/>
        </w:rPr>
        <w:t>81</w:t>
      </w:r>
      <w:r w:rsidRPr="00FF756A">
        <w:fldChar w:fldCharType="end"/>
      </w:r>
      <w:r w:rsidRPr="00FF756A">
        <w:t xml:space="preserve">, ndërsa </w:t>
      </w:r>
      <w:r w:rsidRPr="00FF756A">
        <w:fldChar w:fldCharType="begin"/>
      </w:r>
      <w:r w:rsidRPr="00FF756A">
        <w:instrText xml:space="preserve"> REF _Ref100239669 \h  \* MERGEFORMAT </w:instrText>
      </w:r>
      <w:r w:rsidRPr="00FF756A">
        <w:fldChar w:fldCharType="separate"/>
      </w:r>
      <w:r w:rsidRPr="00FF756A">
        <w:t>Figura 82</w:t>
      </w:r>
      <w:r w:rsidRPr="00FF756A">
        <w:fldChar w:fldCharType="end"/>
      </w:r>
      <w:r w:rsidRPr="00FF756A">
        <w:t xml:space="preserve"> paraqet të njëjtën gjë për skenarin WEM, për të bërë krahasimin. Kjo tregon se si kontribuojnë impiantet e mëdha të energjisë, të parashikuara sipas skenarit WAM, në ndryshimin e përqindjes së BRE-së. Pas vitit 2030, shtohen vetëm impiantet diellore fotovoltaike dhe impiantet eolike. Kjo shpjegon arsyen se pse bie përqindja e BRE-E pasi arrin pikun në vitin 2036, si pasojë e rritjes së vazhdueshme të kërkesës për energji elektrike. Për referencë, </w:t>
      </w:r>
      <w:r w:rsidRPr="00FF756A">
        <w:fldChar w:fldCharType="begin"/>
      </w:r>
      <w:r w:rsidRPr="00FF756A">
        <w:instrText xml:space="preserve"> REF _Ref100241212 \h  \* MERGEFORMAT </w:instrText>
      </w:r>
      <w:r w:rsidRPr="00FF756A">
        <w:fldChar w:fldCharType="separate"/>
      </w:r>
      <w:r w:rsidRPr="00FF756A">
        <w:t>Tabela 30</w:t>
      </w:r>
      <w:r w:rsidRPr="00FF756A">
        <w:fldChar w:fldCharType="end"/>
      </w:r>
      <w:r w:rsidRPr="00FF756A">
        <w:t xml:space="preserve"> rendit kapacitetet e shtuara në sistem sipas skenarit WAM. Kini parasysh se skenari WAM dhe skenari WAM që merr në konsideratë vetëm ER-në për përmbushjen e kërkesës nuk ndryshojnë lidhur me kapacitetet, por vetëm lidhur me mënyrën se si përdoren këto kapacitete. </w:t>
      </w:r>
    </w:p>
    <w:p w14:paraId="2F472564" w14:textId="77777777" w:rsidR="00B86FB3" w:rsidRPr="00FF756A" w:rsidRDefault="00B86FB3" w:rsidP="00B86FB3"/>
    <w:p w14:paraId="5772285F" w14:textId="77777777" w:rsidR="00B86FB3" w:rsidRPr="00FF756A" w:rsidRDefault="00B86FB3" w:rsidP="00B86FB3">
      <w:pPr>
        <w:keepNext/>
      </w:pPr>
    </w:p>
    <w:p w14:paraId="558FA6EF" w14:textId="77777777" w:rsidR="008D2BF9" w:rsidRPr="00FF756A" w:rsidRDefault="00B86FB3" w:rsidP="008D2BF9">
      <w:pPr>
        <w:keepNext/>
        <w:spacing w:line="240" w:lineRule="auto"/>
      </w:pPr>
      <w:bookmarkStart w:id="710" w:name="_Ref100239245"/>
      <w:bookmarkStart w:id="711" w:name="_Toc100321074"/>
      <w:r w:rsidRPr="00FF756A">
        <w:rPr>
          <w:rFonts w:eastAsia="Times New Roman"/>
          <w:bCs/>
          <w:noProof/>
          <w:color w:val="4F81BD"/>
          <w:sz w:val="18"/>
          <w:szCs w:val="18"/>
          <w:lang w:val="en-US"/>
        </w:rPr>
        <w:drawing>
          <wp:inline distT="0" distB="0" distL="0" distR="0" wp14:anchorId="517CB75D" wp14:editId="75230987">
            <wp:extent cx="5760720" cy="2960370"/>
            <wp:effectExtent l="0" t="0" r="0" b="0"/>
            <wp:docPr id="651582611" name="Picture 24"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82611" name="Picture 24" descr="A graph of different colored lines&#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760720" cy="2960370"/>
                    </a:xfrm>
                    <a:prstGeom prst="rect">
                      <a:avLst/>
                    </a:prstGeom>
                  </pic:spPr>
                </pic:pic>
              </a:graphicData>
            </a:graphic>
          </wp:inline>
        </w:drawing>
      </w:r>
    </w:p>
    <w:p w14:paraId="5183A372" w14:textId="77F012AB" w:rsidR="00B86FB3" w:rsidRPr="00FF756A" w:rsidRDefault="008D2BF9" w:rsidP="008D2BF9">
      <w:pPr>
        <w:pStyle w:val="Caption"/>
        <w:rPr>
          <w:rFonts w:ascii="Times New Roman" w:hAnsi="Times New Roman"/>
          <w:highlight w:val="yellow"/>
        </w:rPr>
      </w:pPr>
      <w:bookmarkStart w:id="712" w:name="_Toc183016628"/>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98</w:t>
      </w:r>
      <w:r w:rsidR="008E7DE9" w:rsidRPr="00FF756A">
        <w:rPr>
          <w:rFonts w:ascii="Times New Roman" w:hAnsi="Times New Roman"/>
          <w:noProof/>
        </w:rPr>
        <w:fldChar w:fldCharType="end"/>
      </w:r>
      <w:r w:rsidRPr="00FF756A">
        <w:rPr>
          <w:rFonts w:ascii="Times New Roman" w:hAnsi="Times New Roman"/>
        </w:rPr>
        <w:t>: Prodhimi i normalizuar i impianteve të energjisë së rinovueshme dhe përqindja përkatëse e BRE-E për skenarin WAM dhe skenarin WAM që merr në konsideratë vetëm ER-në për përmbushjen e kërkesës (WAM mdem).</w:t>
      </w:r>
      <w:bookmarkEnd w:id="712"/>
    </w:p>
    <w:bookmarkEnd w:id="710"/>
    <w:bookmarkEnd w:id="711"/>
    <w:p w14:paraId="33EE741B" w14:textId="77777777" w:rsidR="00B86FB3" w:rsidRPr="00FF756A" w:rsidRDefault="00B86FB3" w:rsidP="00B86FB3">
      <w:pPr>
        <w:keepNext/>
      </w:pPr>
    </w:p>
    <w:p w14:paraId="1EEE180F" w14:textId="77777777" w:rsidR="008D2BF9" w:rsidRPr="00FF756A" w:rsidRDefault="00B86FB3" w:rsidP="008D2BF9">
      <w:pPr>
        <w:keepNext/>
        <w:spacing w:line="240" w:lineRule="auto"/>
      </w:pPr>
      <w:bookmarkStart w:id="713" w:name="_Ref100239029"/>
      <w:bookmarkStart w:id="714" w:name="_Toc100321075"/>
      <w:r w:rsidRPr="00FF756A">
        <w:rPr>
          <w:rFonts w:eastAsia="Times New Roman"/>
          <w:bCs/>
          <w:noProof/>
          <w:color w:val="4F81BD"/>
          <w:sz w:val="18"/>
          <w:szCs w:val="18"/>
          <w:lang w:val="en-US"/>
        </w:rPr>
        <w:drawing>
          <wp:inline distT="0" distB="0" distL="0" distR="0" wp14:anchorId="072683FF" wp14:editId="5C31736E">
            <wp:extent cx="5760720" cy="3382010"/>
            <wp:effectExtent l="0" t="0" r="0" b="8890"/>
            <wp:docPr id="341696110" name="Picture 27"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696110" name="Picture 27" descr="A graph with different colored lines&#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760720" cy="3382010"/>
                    </a:xfrm>
                    <a:prstGeom prst="rect">
                      <a:avLst/>
                    </a:prstGeom>
                  </pic:spPr>
                </pic:pic>
              </a:graphicData>
            </a:graphic>
          </wp:inline>
        </w:drawing>
      </w:r>
    </w:p>
    <w:p w14:paraId="668A01A1" w14:textId="50486805" w:rsidR="008D2BF9" w:rsidRPr="00FF756A" w:rsidRDefault="008D2BF9" w:rsidP="008D2BF9">
      <w:pPr>
        <w:pStyle w:val="Caption"/>
        <w:rPr>
          <w:rFonts w:ascii="Times New Roman" w:hAnsi="Times New Roman"/>
          <w:bCs w:val="0"/>
        </w:rPr>
      </w:pPr>
      <w:bookmarkStart w:id="715" w:name="_Toc183016629"/>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99</w:t>
      </w:r>
      <w:r w:rsidR="008E7DE9" w:rsidRPr="00FF756A">
        <w:rPr>
          <w:rFonts w:ascii="Times New Roman" w:hAnsi="Times New Roman"/>
          <w:noProof/>
        </w:rPr>
        <w:fldChar w:fldCharType="end"/>
      </w:r>
      <w:r w:rsidRPr="00FF756A">
        <w:rPr>
          <w:rFonts w:ascii="Times New Roman" w:hAnsi="Times New Roman"/>
        </w:rPr>
        <w:t>: Kapacitetet e shtuara në sistemin e modelimit. Kini parasysh se për arsye qartësie nuk janë renditur të gjitha projektet, por janë grupuar sipas teknologjisë. Megjithatë, bien në sy projektet e mëdha në vite të caktuara. Kini parasysh gjithashtu se skenari WAM dhe skenari WAM që merr në konsideratë vetëm ER-në për përmbushjen e kërkesës nuk ndryshojnë lidhur me kapacitetet, por vetëm lidhur me mënyrën se si përdoren këto kapacitete.</w:t>
      </w:r>
      <w:bookmarkEnd w:id="715"/>
    </w:p>
    <w:bookmarkEnd w:id="713"/>
    <w:bookmarkEnd w:id="714"/>
    <w:p w14:paraId="32D56BF7" w14:textId="77777777" w:rsidR="00B86FB3" w:rsidRPr="00FF756A" w:rsidRDefault="00B86FB3" w:rsidP="00B86FB3">
      <w:pPr>
        <w:rPr>
          <w:lang w:eastAsia="ja-JP"/>
        </w:rPr>
      </w:pPr>
    </w:p>
    <w:tbl>
      <w:tblPr>
        <w:tblStyle w:val="GridTable5DarkAccent10"/>
        <w:tblW w:w="5000" w:type="pct"/>
        <w:tblLook w:val="04A0" w:firstRow="1" w:lastRow="0" w:firstColumn="1" w:lastColumn="0" w:noHBand="0" w:noVBand="1"/>
      </w:tblPr>
      <w:tblGrid>
        <w:gridCol w:w="4039"/>
        <w:gridCol w:w="1255"/>
        <w:gridCol w:w="1256"/>
        <w:gridCol w:w="1256"/>
        <w:gridCol w:w="1256"/>
      </w:tblGrid>
      <w:tr w:rsidR="00B86FB3" w:rsidRPr="00FF756A" w14:paraId="73CA5DEE" w14:textId="77777777" w:rsidTr="006A3266">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409BA98A" w14:textId="77777777" w:rsidR="00B86FB3" w:rsidRPr="00FF756A" w:rsidRDefault="00B86FB3" w:rsidP="00B86FB3">
            <w:pPr>
              <w:spacing w:before="0" w:after="0" w:line="240" w:lineRule="auto"/>
              <w:jc w:val="left"/>
              <w:rPr>
                <w:rFonts w:eastAsia="Times New Roman" w:cs="Times New Roman"/>
                <w:b w:val="0"/>
                <w:sz w:val="20"/>
              </w:rPr>
            </w:pPr>
          </w:p>
        </w:tc>
        <w:tc>
          <w:tcPr>
            <w:tcW w:w="839" w:type="pct"/>
            <w:noWrap/>
            <w:hideMark/>
          </w:tcPr>
          <w:p w14:paraId="2EC3DF90" w14:textId="77777777" w:rsidR="00B86FB3" w:rsidRPr="00FF756A" w:rsidRDefault="00B86FB3" w:rsidP="00B86FB3">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rPr>
            </w:pPr>
            <w:r w:rsidRPr="00FF756A">
              <w:rPr>
                <w:rFonts w:cs="Times New Roman"/>
                <w:sz w:val="20"/>
              </w:rPr>
              <w:t>2020-2025</w:t>
            </w:r>
          </w:p>
        </w:tc>
        <w:tc>
          <w:tcPr>
            <w:tcW w:w="839" w:type="pct"/>
            <w:noWrap/>
            <w:hideMark/>
          </w:tcPr>
          <w:p w14:paraId="2B645548" w14:textId="77777777" w:rsidR="00B86FB3" w:rsidRPr="00FF756A" w:rsidRDefault="00B86FB3" w:rsidP="00B86FB3">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rPr>
            </w:pPr>
            <w:r w:rsidRPr="00FF756A">
              <w:rPr>
                <w:rFonts w:cs="Times New Roman"/>
                <w:sz w:val="20"/>
              </w:rPr>
              <w:t>2026-2030</w:t>
            </w:r>
          </w:p>
        </w:tc>
        <w:tc>
          <w:tcPr>
            <w:tcW w:w="839" w:type="pct"/>
            <w:noWrap/>
            <w:hideMark/>
          </w:tcPr>
          <w:p w14:paraId="432866F3" w14:textId="77777777" w:rsidR="00B86FB3" w:rsidRPr="00FF756A" w:rsidRDefault="00B86FB3" w:rsidP="00B86FB3">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rPr>
            </w:pPr>
            <w:r w:rsidRPr="00FF756A">
              <w:rPr>
                <w:rFonts w:cs="Times New Roman"/>
                <w:sz w:val="20"/>
              </w:rPr>
              <w:t>2031-2040</w:t>
            </w:r>
          </w:p>
        </w:tc>
        <w:tc>
          <w:tcPr>
            <w:tcW w:w="839" w:type="pct"/>
            <w:noWrap/>
            <w:hideMark/>
          </w:tcPr>
          <w:p w14:paraId="0002502C" w14:textId="77777777" w:rsidR="00B86FB3" w:rsidRPr="00FF756A" w:rsidRDefault="00B86FB3" w:rsidP="00B86FB3">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rPr>
            </w:pPr>
            <w:r w:rsidRPr="00FF756A">
              <w:rPr>
                <w:rFonts w:cs="Times New Roman"/>
                <w:sz w:val="20"/>
              </w:rPr>
              <w:t>2041-2050</w:t>
            </w:r>
          </w:p>
        </w:tc>
      </w:tr>
      <w:tr w:rsidR="00B86FB3" w:rsidRPr="00FF756A" w14:paraId="191C3F22"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35826B46"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TEC Korçë</w:t>
            </w:r>
          </w:p>
        </w:tc>
        <w:tc>
          <w:tcPr>
            <w:tcW w:w="839" w:type="pct"/>
            <w:noWrap/>
            <w:hideMark/>
          </w:tcPr>
          <w:p w14:paraId="675A2EC6"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hideMark/>
          </w:tcPr>
          <w:p w14:paraId="09C153AD"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hideMark/>
          </w:tcPr>
          <w:p w14:paraId="58B3BCFB"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500,0 </w:t>
            </w:r>
          </w:p>
        </w:tc>
        <w:tc>
          <w:tcPr>
            <w:tcW w:w="839" w:type="pct"/>
            <w:noWrap/>
            <w:hideMark/>
          </w:tcPr>
          <w:p w14:paraId="0265DEAD"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r>
      <w:tr w:rsidR="00B86FB3" w:rsidRPr="00FF756A" w14:paraId="10F28DE2"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644" w:type="pct"/>
            <w:noWrap/>
          </w:tcPr>
          <w:p w14:paraId="6BAEBC3D" w14:textId="77777777" w:rsidR="00B86FB3" w:rsidRPr="00FF756A" w:rsidRDefault="00B86FB3" w:rsidP="00B86FB3">
            <w:pPr>
              <w:spacing w:before="0" w:after="0" w:line="240" w:lineRule="auto"/>
              <w:jc w:val="left"/>
              <w:rPr>
                <w:rFonts w:eastAsia="Times New Roman" w:cs="Times New Roman"/>
                <w:sz w:val="20"/>
              </w:rPr>
            </w:pPr>
            <w:r w:rsidRPr="00FF756A">
              <w:rPr>
                <w:rFonts w:cs="Times New Roman"/>
                <w:sz w:val="20"/>
              </w:rPr>
              <w:t>HEC Ashta</w:t>
            </w:r>
          </w:p>
        </w:tc>
        <w:tc>
          <w:tcPr>
            <w:tcW w:w="839" w:type="pct"/>
            <w:noWrap/>
          </w:tcPr>
          <w:p w14:paraId="29786C8B"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tcPr>
          <w:p w14:paraId="0BE8D80E"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tcPr>
          <w:p w14:paraId="7EB55677"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tcPr>
          <w:p w14:paraId="0DC31B14"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r>
      <w:tr w:rsidR="00B86FB3" w:rsidRPr="00FF756A" w14:paraId="6C50809A"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4439D2BF"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HEC Moglica</w:t>
            </w:r>
          </w:p>
        </w:tc>
        <w:tc>
          <w:tcPr>
            <w:tcW w:w="839" w:type="pct"/>
            <w:noWrap/>
            <w:hideMark/>
          </w:tcPr>
          <w:p w14:paraId="7956B356"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197,0 </w:t>
            </w:r>
          </w:p>
        </w:tc>
        <w:tc>
          <w:tcPr>
            <w:tcW w:w="839" w:type="pct"/>
            <w:noWrap/>
            <w:hideMark/>
          </w:tcPr>
          <w:p w14:paraId="0E2AF52A"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hideMark/>
          </w:tcPr>
          <w:p w14:paraId="210BF6BF"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hideMark/>
          </w:tcPr>
          <w:p w14:paraId="6305B07C"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r>
      <w:tr w:rsidR="00B86FB3" w:rsidRPr="00FF756A" w14:paraId="172D81EC"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644" w:type="pct"/>
            <w:noWrap/>
          </w:tcPr>
          <w:p w14:paraId="676281F0" w14:textId="77777777" w:rsidR="00B86FB3" w:rsidRPr="00FF756A" w:rsidRDefault="00B86FB3" w:rsidP="00B86FB3">
            <w:pPr>
              <w:spacing w:before="0" w:after="0" w:line="240" w:lineRule="auto"/>
              <w:jc w:val="left"/>
              <w:rPr>
                <w:rFonts w:eastAsia="Times New Roman" w:cs="Times New Roman"/>
                <w:sz w:val="20"/>
              </w:rPr>
            </w:pPr>
            <w:r w:rsidRPr="00FF756A">
              <w:rPr>
                <w:rFonts w:cs="Times New Roman"/>
                <w:sz w:val="20"/>
              </w:rPr>
              <w:t>HEC Banjë</w:t>
            </w:r>
          </w:p>
        </w:tc>
        <w:tc>
          <w:tcPr>
            <w:tcW w:w="839" w:type="pct"/>
            <w:noWrap/>
          </w:tcPr>
          <w:p w14:paraId="491FC6E7"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tcPr>
          <w:p w14:paraId="631E6947"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tcPr>
          <w:p w14:paraId="20B9AF13"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tcPr>
          <w:p w14:paraId="0E7E1D0F"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r>
      <w:tr w:rsidR="00B86FB3" w:rsidRPr="00FF756A" w14:paraId="1891BEC0"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44" w:type="pct"/>
            <w:noWrap/>
          </w:tcPr>
          <w:p w14:paraId="47DDFA6C" w14:textId="77777777" w:rsidR="00B86FB3" w:rsidRPr="00FF756A" w:rsidRDefault="00B86FB3" w:rsidP="00B86FB3">
            <w:pPr>
              <w:spacing w:before="0" w:after="0" w:line="240" w:lineRule="auto"/>
              <w:jc w:val="left"/>
              <w:rPr>
                <w:rFonts w:eastAsia="Times New Roman" w:cs="Times New Roman"/>
                <w:sz w:val="20"/>
              </w:rPr>
            </w:pPr>
            <w:r w:rsidRPr="00FF756A">
              <w:rPr>
                <w:rFonts w:cs="Times New Roman"/>
                <w:sz w:val="20"/>
              </w:rPr>
              <w:t>HEC Fangu</w:t>
            </w:r>
          </w:p>
        </w:tc>
        <w:tc>
          <w:tcPr>
            <w:tcW w:w="839" w:type="pct"/>
            <w:noWrap/>
          </w:tcPr>
          <w:p w14:paraId="29DCEA36"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6,6 </w:t>
            </w:r>
          </w:p>
        </w:tc>
        <w:tc>
          <w:tcPr>
            <w:tcW w:w="839" w:type="pct"/>
            <w:noWrap/>
          </w:tcPr>
          <w:p w14:paraId="1B11DF74"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tcPr>
          <w:p w14:paraId="17B623B5"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tcPr>
          <w:p w14:paraId="4184A3EE"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r>
      <w:tr w:rsidR="00B86FB3" w:rsidRPr="00FF756A" w14:paraId="42F869DF"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2A4F84B2"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HEC Skavica</w:t>
            </w:r>
          </w:p>
        </w:tc>
        <w:tc>
          <w:tcPr>
            <w:tcW w:w="839" w:type="pct"/>
            <w:noWrap/>
            <w:hideMark/>
          </w:tcPr>
          <w:p w14:paraId="47A27C4D"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hideMark/>
          </w:tcPr>
          <w:p w14:paraId="3F87756F"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210,0 </w:t>
            </w:r>
          </w:p>
        </w:tc>
        <w:tc>
          <w:tcPr>
            <w:tcW w:w="839" w:type="pct"/>
            <w:noWrap/>
            <w:hideMark/>
          </w:tcPr>
          <w:p w14:paraId="4AB0E689"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hideMark/>
          </w:tcPr>
          <w:p w14:paraId="7F88ECFC"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r>
      <w:tr w:rsidR="00B86FB3" w:rsidRPr="00FF756A" w14:paraId="615E97CC"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4F026042"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HECv në lumenj të rrjedhshëm</w:t>
            </w:r>
          </w:p>
        </w:tc>
        <w:tc>
          <w:tcPr>
            <w:tcW w:w="839" w:type="pct"/>
            <w:noWrap/>
            <w:hideMark/>
          </w:tcPr>
          <w:p w14:paraId="2933B26C"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256,3 </w:t>
            </w:r>
          </w:p>
        </w:tc>
        <w:tc>
          <w:tcPr>
            <w:tcW w:w="839" w:type="pct"/>
            <w:noWrap/>
            <w:hideMark/>
          </w:tcPr>
          <w:p w14:paraId="3F50A909"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120,0 </w:t>
            </w:r>
          </w:p>
        </w:tc>
        <w:tc>
          <w:tcPr>
            <w:tcW w:w="839" w:type="pct"/>
            <w:noWrap/>
            <w:hideMark/>
          </w:tcPr>
          <w:p w14:paraId="147182E8"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hideMark/>
          </w:tcPr>
          <w:p w14:paraId="61B7C071"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r>
      <w:tr w:rsidR="00B86FB3" w:rsidRPr="00FF756A" w14:paraId="78DD053F"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04F26AC5"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Impianti fotovoltaik lundrues i Vaut të Dejës</w:t>
            </w:r>
          </w:p>
        </w:tc>
        <w:tc>
          <w:tcPr>
            <w:tcW w:w="839" w:type="pct"/>
            <w:noWrap/>
            <w:hideMark/>
          </w:tcPr>
          <w:p w14:paraId="62F6AC21"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12,9 </w:t>
            </w:r>
          </w:p>
        </w:tc>
        <w:tc>
          <w:tcPr>
            <w:tcW w:w="839" w:type="pct"/>
            <w:noWrap/>
            <w:hideMark/>
          </w:tcPr>
          <w:p w14:paraId="2C366068"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hideMark/>
          </w:tcPr>
          <w:p w14:paraId="3D1D3745"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hideMark/>
          </w:tcPr>
          <w:p w14:paraId="24DE2277"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r>
      <w:tr w:rsidR="00B86FB3" w:rsidRPr="00FF756A" w14:paraId="20A01A7F"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521F2FCE"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Impianti fotovoltaik i Belshit</w:t>
            </w:r>
          </w:p>
        </w:tc>
        <w:tc>
          <w:tcPr>
            <w:tcW w:w="839" w:type="pct"/>
            <w:noWrap/>
            <w:hideMark/>
          </w:tcPr>
          <w:p w14:paraId="1179DDA9"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hideMark/>
          </w:tcPr>
          <w:p w14:paraId="0B395E7C"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50,0 </w:t>
            </w:r>
          </w:p>
        </w:tc>
        <w:tc>
          <w:tcPr>
            <w:tcW w:w="839" w:type="pct"/>
            <w:noWrap/>
            <w:hideMark/>
          </w:tcPr>
          <w:p w14:paraId="32EA7677"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hideMark/>
          </w:tcPr>
          <w:p w14:paraId="67CF8EA4"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r>
      <w:tr w:rsidR="00B86FB3" w:rsidRPr="00FF756A" w14:paraId="7DC87D44"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392549B6"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Impianti fotovoltaik i Karavastasë</w:t>
            </w:r>
          </w:p>
        </w:tc>
        <w:tc>
          <w:tcPr>
            <w:tcW w:w="839" w:type="pct"/>
            <w:noWrap/>
            <w:hideMark/>
          </w:tcPr>
          <w:p w14:paraId="6689A135"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140,0 </w:t>
            </w:r>
          </w:p>
        </w:tc>
        <w:tc>
          <w:tcPr>
            <w:tcW w:w="839" w:type="pct"/>
            <w:noWrap/>
            <w:hideMark/>
          </w:tcPr>
          <w:p w14:paraId="48FA6324"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hideMark/>
          </w:tcPr>
          <w:p w14:paraId="48BA43B4"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hideMark/>
          </w:tcPr>
          <w:p w14:paraId="2CC43240"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r>
      <w:tr w:rsidR="00B86FB3" w:rsidRPr="00FF756A" w14:paraId="7F1D2004"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0F7A8681"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Impianti fotovoltaik i Spitallës</w:t>
            </w:r>
          </w:p>
        </w:tc>
        <w:tc>
          <w:tcPr>
            <w:tcW w:w="839" w:type="pct"/>
            <w:noWrap/>
            <w:hideMark/>
          </w:tcPr>
          <w:p w14:paraId="6A86AC72"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100,0 </w:t>
            </w:r>
          </w:p>
        </w:tc>
        <w:tc>
          <w:tcPr>
            <w:tcW w:w="839" w:type="pct"/>
            <w:noWrap/>
            <w:hideMark/>
          </w:tcPr>
          <w:p w14:paraId="4B928A59"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hideMark/>
          </w:tcPr>
          <w:p w14:paraId="4FD2589D"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hideMark/>
          </w:tcPr>
          <w:p w14:paraId="539E6889"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r>
      <w:tr w:rsidR="00B86FB3" w:rsidRPr="00FF756A" w14:paraId="38687373"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1B6227E6"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Impiantet fotovoltaike në ankand</w:t>
            </w:r>
          </w:p>
        </w:tc>
        <w:tc>
          <w:tcPr>
            <w:tcW w:w="839" w:type="pct"/>
            <w:noWrap/>
            <w:hideMark/>
          </w:tcPr>
          <w:p w14:paraId="1FA17281"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183,3 </w:t>
            </w:r>
          </w:p>
        </w:tc>
        <w:tc>
          <w:tcPr>
            <w:tcW w:w="839" w:type="pct"/>
            <w:noWrap/>
            <w:hideMark/>
          </w:tcPr>
          <w:p w14:paraId="0FB29170"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416,7 </w:t>
            </w:r>
          </w:p>
        </w:tc>
        <w:tc>
          <w:tcPr>
            <w:tcW w:w="839" w:type="pct"/>
            <w:noWrap/>
            <w:hideMark/>
          </w:tcPr>
          <w:p w14:paraId="50822F9B"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1 700,0 </w:t>
            </w:r>
          </w:p>
        </w:tc>
        <w:tc>
          <w:tcPr>
            <w:tcW w:w="839" w:type="pct"/>
            <w:noWrap/>
            <w:hideMark/>
          </w:tcPr>
          <w:p w14:paraId="2D6936CF"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1 700,0 </w:t>
            </w:r>
          </w:p>
        </w:tc>
      </w:tr>
      <w:tr w:rsidR="00B86FB3" w:rsidRPr="00FF756A" w14:paraId="77742A65"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1A21CADC"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Panelet diellore me montim në soletë</w:t>
            </w:r>
          </w:p>
        </w:tc>
        <w:tc>
          <w:tcPr>
            <w:tcW w:w="839" w:type="pct"/>
            <w:noWrap/>
            <w:hideMark/>
          </w:tcPr>
          <w:p w14:paraId="1D7029B9"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63,1 </w:t>
            </w:r>
          </w:p>
        </w:tc>
        <w:tc>
          <w:tcPr>
            <w:tcW w:w="839" w:type="pct"/>
            <w:noWrap/>
            <w:hideMark/>
          </w:tcPr>
          <w:p w14:paraId="72FD62D7"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38,9 </w:t>
            </w:r>
          </w:p>
        </w:tc>
        <w:tc>
          <w:tcPr>
            <w:tcW w:w="839" w:type="pct"/>
            <w:noWrap/>
            <w:hideMark/>
          </w:tcPr>
          <w:p w14:paraId="7DC5BAA1"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350,0 </w:t>
            </w:r>
          </w:p>
        </w:tc>
        <w:tc>
          <w:tcPr>
            <w:tcW w:w="839" w:type="pct"/>
            <w:noWrap/>
            <w:hideMark/>
          </w:tcPr>
          <w:p w14:paraId="25959B51"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550,0 </w:t>
            </w:r>
          </w:p>
        </w:tc>
      </w:tr>
      <w:tr w:rsidR="00B86FB3" w:rsidRPr="00FF756A" w14:paraId="638A9C1B"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3E8B58D5"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Impianti eolik i Lezhës</w:t>
            </w:r>
          </w:p>
        </w:tc>
        <w:tc>
          <w:tcPr>
            <w:tcW w:w="839" w:type="pct"/>
            <w:noWrap/>
            <w:hideMark/>
          </w:tcPr>
          <w:p w14:paraId="02DBABD7"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hideMark/>
          </w:tcPr>
          <w:p w14:paraId="405BFD05"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220,0 </w:t>
            </w:r>
          </w:p>
        </w:tc>
        <w:tc>
          <w:tcPr>
            <w:tcW w:w="839" w:type="pct"/>
            <w:noWrap/>
            <w:hideMark/>
          </w:tcPr>
          <w:p w14:paraId="24067F37"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hideMark/>
          </w:tcPr>
          <w:p w14:paraId="284B15A8"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r>
      <w:tr w:rsidR="00B86FB3" w:rsidRPr="00FF756A" w14:paraId="7BE3C4D8"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57939BFD"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Impiantet eolike të tenderuara</w:t>
            </w:r>
          </w:p>
        </w:tc>
        <w:tc>
          <w:tcPr>
            <w:tcW w:w="839" w:type="pct"/>
            <w:noWrap/>
            <w:hideMark/>
          </w:tcPr>
          <w:p w14:paraId="54D40D21"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hideMark/>
          </w:tcPr>
          <w:p w14:paraId="66088B1F"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300,0 </w:t>
            </w:r>
          </w:p>
        </w:tc>
        <w:tc>
          <w:tcPr>
            <w:tcW w:w="839" w:type="pct"/>
            <w:noWrap/>
            <w:hideMark/>
          </w:tcPr>
          <w:p w14:paraId="70CDFFD2"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350,0 </w:t>
            </w:r>
          </w:p>
        </w:tc>
        <w:tc>
          <w:tcPr>
            <w:tcW w:w="839" w:type="pct"/>
            <w:noWrap/>
            <w:hideMark/>
          </w:tcPr>
          <w:p w14:paraId="29DC1A25" w14:textId="77777777" w:rsidR="00B86FB3" w:rsidRPr="00FF756A" w:rsidRDefault="00B86FB3" w:rsidP="00B86FB3">
            <w:pPr>
              <w:keepNext/>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350,0 </w:t>
            </w:r>
          </w:p>
        </w:tc>
      </w:tr>
      <w:tr w:rsidR="00B86FB3" w:rsidRPr="00FF756A" w14:paraId="59C1387B"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644" w:type="pct"/>
            <w:noWrap/>
          </w:tcPr>
          <w:p w14:paraId="6C0396A4" w14:textId="77777777" w:rsidR="00B86FB3" w:rsidRPr="00FF756A" w:rsidRDefault="00B86FB3" w:rsidP="00B86FB3">
            <w:pPr>
              <w:spacing w:before="0" w:after="0" w:line="240" w:lineRule="auto"/>
              <w:jc w:val="left"/>
              <w:rPr>
                <w:rFonts w:eastAsia="Times New Roman" w:cs="Times New Roman"/>
                <w:sz w:val="20"/>
              </w:rPr>
            </w:pPr>
            <w:r w:rsidRPr="00FF756A">
              <w:rPr>
                <w:rFonts w:cs="Times New Roman"/>
                <w:sz w:val="20"/>
              </w:rPr>
              <w:t>TEC (nga mbetje në energji)</w:t>
            </w:r>
          </w:p>
        </w:tc>
        <w:tc>
          <w:tcPr>
            <w:tcW w:w="839" w:type="pct"/>
            <w:noWrap/>
          </w:tcPr>
          <w:p w14:paraId="60B6FB4D"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tcPr>
          <w:p w14:paraId="66D39E33"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tcPr>
          <w:p w14:paraId="5F68F393"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tcPr>
          <w:p w14:paraId="58554191" w14:textId="77777777" w:rsidR="00B86FB3" w:rsidRPr="00FF756A" w:rsidRDefault="00B86FB3" w:rsidP="00B86FB3">
            <w:pPr>
              <w:keepNext/>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r>
      <w:tr w:rsidR="00B86FB3" w:rsidRPr="00FF756A" w14:paraId="0809EC81"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44" w:type="pct"/>
            <w:noWrap/>
          </w:tcPr>
          <w:p w14:paraId="64A0BA99" w14:textId="77777777" w:rsidR="00B86FB3" w:rsidRPr="00FF756A" w:rsidRDefault="00B86FB3" w:rsidP="00B86FB3">
            <w:pPr>
              <w:spacing w:before="0" w:after="0" w:line="240" w:lineRule="auto"/>
              <w:jc w:val="left"/>
              <w:rPr>
                <w:rFonts w:eastAsia="Times New Roman" w:cs="Times New Roman"/>
                <w:sz w:val="20"/>
              </w:rPr>
            </w:pPr>
            <w:r w:rsidRPr="00FF756A">
              <w:rPr>
                <w:rFonts w:cs="Times New Roman"/>
                <w:sz w:val="20"/>
              </w:rPr>
              <w:t>TEC-i i Roskovecit</w:t>
            </w:r>
          </w:p>
        </w:tc>
        <w:tc>
          <w:tcPr>
            <w:tcW w:w="839" w:type="pct"/>
            <w:noWrap/>
          </w:tcPr>
          <w:p w14:paraId="0523595A"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tcPr>
          <w:p w14:paraId="38277609"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170,0 </w:t>
            </w:r>
          </w:p>
        </w:tc>
        <w:tc>
          <w:tcPr>
            <w:tcW w:w="839" w:type="pct"/>
            <w:noWrap/>
          </w:tcPr>
          <w:p w14:paraId="5CE814C7"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c>
          <w:tcPr>
            <w:tcW w:w="839" w:type="pct"/>
            <w:noWrap/>
          </w:tcPr>
          <w:p w14:paraId="4E720A82" w14:textId="77777777" w:rsidR="00B86FB3" w:rsidRPr="00FF756A" w:rsidRDefault="00B86FB3" w:rsidP="008D2BF9">
            <w:pPr>
              <w:keepNext/>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rPr>
            </w:pPr>
            <w:r w:rsidRPr="00FF756A">
              <w:rPr>
                <w:rFonts w:cs="Times New Roman"/>
              </w:rPr>
              <w:t xml:space="preserve"> -   </w:t>
            </w:r>
          </w:p>
        </w:tc>
      </w:tr>
    </w:tbl>
    <w:p w14:paraId="6EF5C3A3" w14:textId="2427EB78" w:rsidR="00B86FB3" w:rsidRPr="00FF756A" w:rsidRDefault="008D2BF9" w:rsidP="008D2BF9">
      <w:pPr>
        <w:pStyle w:val="Caption"/>
        <w:rPr>
          <w:rFonts w:ascii="Times New Roman" w:hAnsi="Times New Roman"/>
        </w:rPr>
      </w:pPr>
      <w:bookmarkStart w:id="716" w:name="_Toc183016519"/>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55</w:t>
      </w:r>
      <w:r w:rsidR="008E7DE9" w:rsidRPr="00FF756A">
        <w:rPr>
          <w:rFonts w:ascii="Times New Roman" w:hAnsi="Times New Roman"/>
          <w:noProof/>
        </w:rPr>
        <w:fldChar w:fldCharType="end"/>
      </w:r>
      <w:r w:rsidRPr="00FF756A">
        <w:rPr>
          <w:rFonts w:ascii="Times New Roman" w:hAnsi="Times New Roman"/>
        </w:rPr>
        <w:t>: Kapacitetet e prodhimit të energjisë [MW] të shtuara në sistem sipas skenarit WAM.</w:t>
      </w:r>
      <w:bookmarkEnd w:id="716"/>
    </w:p>
    <w:p w14:paraId="1E4D8F4F" w14:textId="77777777" w:rsidR="008D2BF9" w:rsidRPr="00FF756A" w:rsidRDefault="00B86FB3" w:rsidP="008D2BF9">
      <w:pPr>
        <w:keepNext/>
      </w:pPr>
      <w:r w:rsidRPr="00FF756A">
        <w:rPr>
          <w:noProof/>
          <w:lang w:val="en-US"/>
        </w:rPr>
        <w:drawing>
          <wp:inline distT="0" distB="0" distL="0" distR="0" wp14:anchorId="53A1EE52" wp14:editId="064095BC">
            <wp:extent cx="5375616" cy="3042488"/>
            <wp:effectExtent l="0" t="0" r="0" b="5715"/>
            <wp:docPr id="1235391169" name="Picture 28"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91169" name="Picture 28" descr="A graph with different colored lines&#10;&#10;Description automatically generated"/>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375616" cy="3042488"/>
                    </a:xfrm>
                    <a:prstGeom prst="rect">
                      <a:avLst/>
                    </a:prstGeom>
                  </pic:spPr>
                </pic:pic>
              </a:graphicData>
            </a:graphic>
          </wp:inline>
        </w:drawing>
      </w:r>
    </w:p>
    <w:p w14:paraId="655F2A57" w14:textId="482F822B" w:rsidR="00B86FB3" w:rsidRPr="00FF756A" w:rsidRDefault="008D2BF9" w:rsidP="008D2BF9">
      <w:pPr>
        <w:pStyle w:val="Caption"/>
        <w:rPr>
          <w:rFonts w:ascii="Times New Roman" w:hAnsi="Times New Roman"/>
        </w:rPr>
      </w:pPr>
      <w:bookmarkStart w:id="717" w:name="_Toc183016630"/>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100</w:t>
      </w:r>
      <w:r w:rsidR="008E7DE9" w:rsidRPr="00FF756A">
        <w:rPr>
          <w:rFonts w:ascii="Times New Roman" w:hAnsi="Times New Roman"/>
          <w:noProof/>
        </w:rPr>
        <w:fldChar w:fldCharType="end"/>
      </w:r>
      <w:r w:rsidRPr="00FF756A">
        <w:rPr>
          <w:rFonts w:ascii="Times New Roman" w:hAnsi="Times New Roman"/>
        </w:rPr>
        <w:t>: Njësoj si në Figura 81 por për skenarin WEM.</w:t>
      </w:r>
      <w:bookmarkEnd w:id="717"/>
    </w:p>
    <w:p w14:paraId="7E4431CD" w14:textId="4BD9151B" w:rsidR="00B86FB3" w:rsidRPr="00FF756A" w:rsidRDefault="008D2BF9" w:rsidP="00B86FB3">
      <w:pPr>
        <w:spacing w:line="240" w:lineRule="auto"/>
        <w:rPr>
          <w:rFonts w:eastAsia="Times New Roman"/>
          <w:bCs/>
          <w:color w:val="4F81BD"/>
          <w:sz w:val="18"/>
          <w:szCs w:val="18"/>
          <w:lang w:eastAsia="ja-JP"/>
        </w:rPr>
      </w:pPr>
      <w:r w:rsidRPr="00FF756A">
        <w:rPr>
          <w:rFonts w:eastAsia="Times New Roman"/>
          <w:bCs/>
          <w:noProof/>
          <w:color w:val="4F81BD"/>
          <w:sz w:val="18"/>
          <w:szCs w:val="18"/>
          <w:lang w:val="en-US"/>
        </w:rPr>
        <w:drawing>
          <wp:inline distT="0" distB="0" distL="0" distR="0" wp14:anchorId="151009C5" wp14:editId="6654B2A2">
            <wp:extent cx="5760720" cy="3382010"/>
            <wp:effectExtent l="0" t="0" r="0" b="8890"/>
            <wp:docPr id="3" name="Picture 27"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7" descr="A graph with different colored lines&#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760720" cy="3382010"/>
                    </a:xfrm>
                    <a:prstGeom prst="rect">
                      <a:avLst/>
                    </a:prstGeom>
                  </pic:spPr>
                </pic:pic>
              </a:graphicData>
            </a:graphic>
          </wp:inline>
        </w:drawing>
      </w:r>
    </w:p>
    <w:p w14:paraId="19378D05" w14:textId="77777777" w:rsidR="00B86FB3" w:rsidRPr="00FF756A" w:rsidRDefault="00B86FB3" w:rsidP="00B86FB3"/>
    <w:tbl>
      <w:tblPr>
        <w:tblStyle w:val="GridTable5DarkAccent10"/>
        <w:tblW w:w="5000" w:type="pct"/>
        <w:tblLook w:val="04A0" w:firstRow="1" w:lastRow="0" w:firstColumn="1" w:lastColumn="0" w:noHBand="0" w:noVBand="1"/>
      </w:tblPr>
      <w:tblGrid>
        <w:gridCol w:w="4039"/>
        <w:gridCol w:w="1255"/>
        <w:gridCol w:w="1256"/>
        <w:gridCol w:w="1256"/>
        <w:gridCol w:w="1256"/>
      </w:tblGrid>
      <w:tr w:rsidR="00B86FB3" w:rsidRPr="00FF756A" w14:paraId="3285749E" w14:textId="77777777" w:rsidTr="006A3266">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0329C2ED" w14:textId="77777777" w:rsidR="00B86FB3" w:rsidRPr="00FF756A" w:rsidRDefault="00B86FB3" w:rsidP="00B86FB3">
            <w:pPr>
              <w:spacing w:before="0" w:after="0" w:line="240" w:lineRule="auto"/>
              <w:jc w:val="left"/>
              <w:rPr>
                <w:rFonts w:eastAsia="Times New Roman" w:cs="Times New Roman"/>
                <w:b w:val="0"/>
                <w:sz w:val="20"/>
              </w:rPr>
            </w:pPr>
          </w:p>
        </w:tc>
        <w:tc>
          <w:tcPr>
            <w:tcW w:w="839" w:type="pct"/>
            <w:noWrap/>
            <w:hideMark/>
          </w:tcPr>
          <w:p w14:paraId="7427A3DC" w14:textId="77777777" w:rsidR="00B86FB3" w:rsidRPr="00FF756A" w:rsidRDefault="00B86FB3" w:rsidP="00B86FB3">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imes New Roman"/>
                <w:sz w:val="20"/>
              </w:rPr>
            </w:pPr>
            <w:r w:rsidRPr="00FF756A">
              <w:rPr>
                <w:rFonts w:cs="Times New Roman"/>
                <w:sz w:val="20"/>
              </w:rPr>
              <w:t>2020-2025</w:t>
            </w:r>
          </w:p>
        </w:tc>
        <w:tc>
          <w:tcPr>
            <w:tcW w:w="839" w:type="pct"/>
            <w:noWrap/>
            <w:hideMark/>
          </w:tcPr>
          <w:p w14:paraId="2FC61DBF" w14:textId="77777777" w:rsidR="00B86FB3" w:rsidRPr="00FF756A" w:rsidRDefault="00B86FB3" w:rsidP="00B86FB3">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imes New Roman"/>
                <w:sz w:val="20"/>
              </w:rPr>
            </w:pPr>
            <w:r w:rsidRPr="00FF756A">
              <w:rPr>
                <w:rFonts w:cs="Times New Roman"/>
                <w:sz w:val="20"/>
              </w:rPr>
              <w:t>2026-2030</w:t>
            </w:r>
          </w:p>
        </w:tc>
        <w:tc>
          <w:tcPr>
            <w:tcW w:w="839" w:type="pct"/>
            <w:noWrap/>
            <w:hideMark/>
          </w:tcPr>
          <w:p w14:paraId="5E6FE54D" w14:textId="77777777" w:rsidR="00B86FB3" w:rsidRPr="00FF756A" w:rsidRDefault="00B86FB3" w:rsidP="00B86FB3">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imes New Roman"/>
                <w:sz w:val="20"/>
              </w:rPr>
            </w:pPr>
            <w:r w:rsidRPr="00FF756A">
              <w:rPr>
                <w:rFonts w:cs="Times New Roman"/>
                <w:sz w:val="20"/>
              </w:rPr>
              <w:t>2031-2040</w:t>
            </w:r>
          </w:p>
        </w:tc>
        <w:tc>
          <w:tcPr>
            <w:tcW w:w="839" w:type="pct"/>
            <w:noWrap/>
            <w:hideMark/>
          </w:tcPr>
          <w:p w14:paraId="05BCAEAA" w14:textId="77777777" w:rsidR="00B86FB3" w:rsidRPr="00FF756A" w:rsidRDefault="00B86FB3" w:rsidP="00B86FB3">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imes New Roman"/>
                <w:sz w:val="20"/>
              </w:rPr>
            </w:pPr>
            <w:r w:rsidRPr="00FF756A">
              <w:rPr>
                <w:rFonts w:cs="Times New Roman"/>
                <w:sz w:val="20"/>
              </w:rPr>
              <w:t>2041-2050</w:t>
            </w:r>
          </w:p>
        </w:tc>
      </w:tr>
      <w:tr w:rsidR="00B86FB3" w:rsidRPr="00FF756A" w14:paraId="64749CF0"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44D7A877"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HEC Ashta</w:t>
            </w:r>
          </w:p>
        </w:tc>
        <w:tc>
          <w:tcPr>
            <w:tcW w:w="839" w:type="pct"/>
            <w:noWrap/>
            <w:hideMark/>
          </w:tcPr>
          <w:p w14:paraId="2066B99F"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839" w:type="pct"/>
            <w:noWrap/>
            <w:hideMark/>
          </w:tcPr>
          <w:p w14:paraId="1FEBBAD1"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839" w:type="pct"/>
            <w:noWrap/>
            <w:hideMark/>
          </w:tcPr>
          <w:p w14:paraId="316AA44A"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839" w:type="pct"/>
            <w:noWrap/>
            <w:hideMark/>
          </w:tcPr>
          <w:p w14:paraId="632D85D8"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r>
      <w:tr w:rsidR="00B86FB3" w:rsidRPr="00FF756A" w14:paraId="6C0C496D"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68B58B7C"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HEC Moglica</w:t>
            </w:r>
          </w:p>
        </w:tc>
        <w:tc>
          <w:tcPr>
            <w:tcW w:w="839" w:type="pct"/>
            <w:noWrap/>
            <w:hideMark/>
          </w:tcPr>
          <w:p w14:paraId="17B50E42"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197,0 </w:t>
            </w:r>
          </w:p>
        </w:tc>
        <w:tc>
          <w:tcPr>
            <w:tcW w:w="839" w:type="pct"/>
            <w:noWrap/>
            <w:hideMark/>
          </w:tcPr>
          <w:p w14:paraId="17F0B745"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13,0 </w:t>
            </w:r>
          </w:p>
        </w:tc>
        <w:tc>
          <w:tcPr>
            <w:tcW w:w="839" w:type="pct"/>
            <w:noWrap/>
            <w:hideMark/>
          </w:tcPr>
          <w:p w14:paraId="08B39BE0"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13,0 </w:t>
            </w:r>
          </w:p>
        </w:tc>
        <w:tc>
          <w:tcPr>
            <w:tcW w:w="839" w:type="pct"/>
            <w:noWrap/>
            <w:hideMark/>
          </w:tcPr>
          <w:p w14:paraId="6D6F90A0"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13,0 </w:t>
            </w:r>
          </w:p>
        </w:tc>
      </w:tr>
      <w:tr w:rsidR="00B86FB3" w:rsidRPr="00FF756A" w14:paraId="4D1CA2DF"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2E69CBD1"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HEC Banjë</w:t>
            </w:r>
          </w:p>
        </w:tc>
        <w:tc>
          <w:tcPr>
            <w:tcW w:w="839" w:type="pct"/>
            <w:noWrap/>
            <w:hideMark/>
          </w:tcPr>
          <w:p w14:paraId="2BBCD616"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839" w:type="pct"/>
            <w:noWrap/>
            <w:hideMark/>
          </w:tcPr>
          <w:p w14:paraId="066DD693"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839" w:type="pct"/>
            <w:noWrap/>
            <w:hideMark/>
          </w:tcPr>
          <w:p w14:paraId="3ECD6AF1"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839" w:type="pct"/>
            <w:noWrap/>
            <w:hideMark/>
          </w:tcPr>
          <w:p w14:paraId="698C7976"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r>
      <w:tr w:rsidR="00B86FB3" w:rsidRPr="00FF756A" w14:paraId="5CFBABAE"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5EA11A47"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HEC Fangu</w:t>
            </w:r>
          </w:p>
        </w:tc>
        <w:tc>
          <w:tcPr>
            <w:tcW w:w="839" w:type="pct"/>
            <w:noWrap/>
            <w:hideMark/>
          </w:tcPr>
          <w:p w14:paraId="657A0AC1"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6,6 </w:t>
            </w:r>
          </w:p>
        </w:tc>
        <w:tc>
          <w:tcPr>
            <w:tcW w:w="839" w:type="pct"/>
            <w:noWrap/>
            <w:hideMark/>
          </w:tcPr>
          <w:p w14:paraId="15FB7CB6"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6,6 </w:t>
            </w:r>
          </w:p>
        </w:tc>
        <w:tc>
          <w:tcPr>
            <w:tcW w:w="839" w:type="pct"/>
            <w:noWrap/>
            <w:hideMark/>
          </w:tcPr>
          <w:p w14:paraId="6BEC097D"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6,6 </w:t>
            </w:r>
          </w:p>
        </w:tc>
        <w:tc>
          <w:tcPr>
            <w:tcW w:w="839" w:type="pct"/>
            <w:noWrap/>
            <w:hideMark/>
          </w:tcPr>
          <w:p w14:paraId="5934E32A"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6,6 </w:t>
            </w:r>
          </w:p>
        </w:tc>
      </w:tr>
      <w:tr w:rsidR="00B86FB3" w:rsidRPr="00FF756A" w14:paraId="3512B6D1"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3DF621DB"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HECv në lumenj të rrjedhshëm</w:t>
            </w:r>
          </w:p>
        </w:tc>
        <w:tc>
          <w:tcPr>
            <w:tcW w:w="839" w:type="pct"/>
            <w:noWrap/>
            <w:hideMark/>
          </w:tcPr>
          <w:p w14:paraId="267D9AC3"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256,3 </w:t>
            </w:r>
          </w:p>
        </w:tc>
        <w:tc>
          <w:tcPr>
            <w:tcW w:w="839" w:type="pct"/>
            <w:noWrap/>
            <w:hideMark/>
          </w:tcPr>
          <w:p w14:paraId="3BA6FA44"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240,0 </w:t>
            </w:r>
          </w:p>
        </w:tc>
        <w:tc>
          <w:tcPr>
            <w:tcW w:w="839" w:type="pct"/>
            <w:noWrap/>
            <w:hideMark/>
          </w:tcPr>
          <w:p w14:paraId="0FDBCADD"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280,0 </w:t>
            </w:r>
          </w:p>
        </w:tc>
        <w:tc>
          <w:tcPr>
            <w:tcW w:w="839" w:type="pct"/>
            <w:noWrap/>
            <w:hideMark/>
          </w:tcPr>
          <w:p w14:paraId="7E0230AF"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320,0 </w:t>
            </w:r>
          </w:p>
        </w:tc>
      </w:tr>
      <w:tr w:rsidR="00B86FB3" w:rsidRPr="00FF756A" w14:paraId="3D7B2A76"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29FC328A"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Impianti fotovoltaik lundrues i Vaut të Dejës</w:t>
            </w:r>
          </w:p>
        </w:tc>
        <w:tc>
          <w:tcPr>
            <w:tcW w:w="839" w:type="pct"/>
            <w:noWrap/>
            <w:hideMark/>
          </w:tcPr>
          <w:p w14:paraId="4B2B9DF7"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12,9 </w:t>
            </w:r>
          </w:p>
        </w:tc>
        <w:tc>
          <w:tcPr>
            <w:tcW w:w="839" w:type="pct"/>
            <w:noWrap/>
            <w:hideMark/>
          </w:tcPr>
          <w:p w14:paraId="6357F1A8"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12,9 </w:t>
            </w:r>
          </w:p>
        </w:tc>
        <w:tc>
          <w:tcPr>
            <w:tcW w:w="839" w:type="pct"/>
            <w:noWrap/>
            <w:hideMark/>
          </w:tcPr>
          <w:p w14:paraId="3FDEAD92"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12,9 </w:t>
            </w:r>
          </w:p>
        </w:tc>
        <w:tc>
          <w:tcPr>
            <w:tcW w:w="839" w:type="pct"/>
            <w:noWrap/>
            <w:hideMark/>
          </w:tcPr>
          <w:p w14:paraId="5CB59753"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12,9 </w:t>
            </w:r>
          </w:p>
        </w:tc>
      </w:tr>
      <w:tr w:rsidR="00B86FB3" w:rsidRPr="00FF756A" w14:paraId="73C8D053"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3918CC81"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Impianti fotovoltaik i Karavastasë</w:t>
            </w:r>
          </w:p>
        </w:tc>
        <w:tc>
          <w:tcPr>
            <w:tcW w:w="839" w:type="pct"/>
            <w:noWrap/>
            <w:hideMark/>
          </w:tcPr>
          <w:p w14:paraId="076A5053"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140,0 </w:t>
            </w:r>
          </w:p>
        </w:tc>
        <w:tc>
          <w:tcPr>
            <w:tcW w:w="839" w:type="pct"/>
            <w:noWrap/>
            <w:hideMark/>
          </w:tcPr>
          <w:p w14:paraId="1498435E"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140,0 </w:t>
            </w:r>
          </w:p>
        </w:tc>
        <w:tc>
          <w:tcPr>
            <w:tcW w:w="839" w:type="pct"/>
            <w:noWrap/>
            <w:hideMark/>
          </w:tcPr>
          <w:p w14:paraId="305D1E01"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140,0 </w:t>
            </w:r>
          </w:p>
        </w:tc>
        <w:tc>
          <w:tcPr>
            <w:tcW w:w="839" w:type="pct"/>
            <w:noWrap/>
            <w:hideMark/>
          </w:tcPr>
          <w:p w14:paraId="7F54D052"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140,0 </w:t>
            </w:r>
          </w:p>
        </w:tc>
      </w:tr>
      <w:tr w:rsidR="00B86FB3" w:rsidRPr="00FF756A" w14:paraId="69C98B82"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79ECE7C6"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Impianti fotovoltaik i Spitallës</w:t>
            </w:r>
          </w:p>
        </w:tc>
        <w:tc>
          <w:tcPr>
            <w:tcW w:w="839" w:type="pct"/>
            <w:noWrap/>
            <w:hideMark/>
          </w:tcPr>
          <w:p w14:paraId="10849F3A"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100,0 </w:t>
            </w:r>
          </w:p>
        </w:tc>
        <w:tc>
          <w:tcPr>
            <w:tcW w:w="839" w:type="pct"/>
            <w:noWrap/>
            <w:hideMark/>
          </w:tcPr>
          <w:p w14:paraId="4ADD3721"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100,0 </w:t>
            </w:r>
          </w:p>
        </w:tc>
        <w:tc>
          <w:tcPr>
            <w:tcW w:w="839" w:type="pct"/>
            <w:noWrap/>
            <w:hideMark/>
          </w:tcPr>
          <w:p w14:paraId="2398DCA2"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100,0 </w:t>
            </w:r>
          </w:p>
        </w:tc>
        <w:tc>
          <w:tcPr>
            <w:tcW w:w="839" w:type="pct"/>
            <w:noWrap/>
            <w:hideMark/>
          </w:tcPr>
          <w:p w14:paraId="3A54FF0E"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100,0 </w:t>
            </w:r>
          </w:p>
        </w:tc>
      </w:tr>
      <w:tr w:rsidR="00B86FB3" w:rsidRPr="00FF756A" w14:paraId="3CC88767"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73F9E8BE"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Panelet diellore me montim në soletë</w:t>
            </w:r>
          </w:p>
        </w:tc>
        <w:tc>
          <w:tcPr>
            <w:tcW w:w="839" w:type="pct"/>
            <w:noWrap/>
            <w:hideMark/>
          </w:tcPr>
          <w:p w14:paraId="5562BE27"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2,0 </w:t>
            </w:r>
          </w:p>
        </w:tc>
        <w:tc>
          <w:tcPr>
            <w:tcW w:w="839" w:type="pct"/>
            <w:noWrap/>
            <w:hideMark/>
          </w:tcPr>
          <w:p w14:paraId="4825C532"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839" w:type="pct"/>
            <w:noWrap/>
            <w:hideMark/>
          </w:tcPr>
          <w:p w14:paraId="6C0ADFA2"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839" w:type="pct"/>
            <w:noWrap/>
            <w:hideMark/>
          </w:tcPr>
          <w:p w14:paraId="78324D33"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r>
      <w:tr w:rsidR="00B86FB3" w:rsidRPr="00FF756A" w14:paraId="13F7F463"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73FF4737"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Impianti eolik i Lezhës</w:t>
            </w:r>
          </w:p>
        </w:tc>
        <w:tc>
          <w:tcPr>
            <w:tcW w:w="839" w:type="pct"/>
            <w:noWrap/>
            <w:hideMark/>
          </w:tcPr>
          <w:p w14:paraId="235C1027"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839" w:type="pct"/>
            <w:noWrap/>
            <w:hideMark/>
          </w:tcPr>
          <w:p w14:paraId="1DE475B9"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150,0 </w:t>
            </w:r>
          </w:p>
        </w:tc>
        <w:tc>
          <w:tcPr>
            <w:tcW w:w="839" w:type="pct"/>
            <w:noWrap/>
            <w:hideMark/>
          </w:tcPr>
          <w:p w14:paraId="6084ED9B"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150,0 </w:t>
            </w:r>
          </w:p>
        </w:tc>
        <w:tc>
          <w:tcPr>
            <w:tcW w:w="839" w:type="pct"/>
            <w:noWrap/>
            <w:hideMark/>
          </w:tcPr>
          <w:p w14:paraId="669C4460"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150,0 </w:t>
            </w:r>
          </w:p>
        </w:tc>
      </w:tr>
      <w:tr w:rsidR="00B86FB3" w:rsidRPr="00FF756A" w14:paraId="04AA01B0"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2A6747D1"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TEC (nga mbetje në energji)</w:t>
            </w:r>
          </w:p>
        </w:tc>
        <w:tc>
          <w:tcPr>
            <w:tcW w:w="839" w:type="pct"/>
            <w:noWrap/>
            <w:hideMark/>
          </w:tcPr>
          <w:p w14:paraId="573AEC33"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839" w:type="pct"/>
            <w:noWrap/>
            <w:hideMark/>
          </w:tcPr>
          <w:p w14:paraId="0A84411D"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839" w:type="pct"/>
            <w:noWrap/>
            <w:hideMark/>
          </w:tcPr>
          <w:p w14:paraId="0EC2AE2F"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c>
          <w:tcPr>
            <w:tcW w:w="839" w:type="pct"/>
            <w:noWrap/>
            <w:hideMark/>
          </w:tcPr>
          <w:p w14:paraId="5DA100D6"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   </w:t>
            </w:r>
          </w:p>
        </w:tc>
      </w:tr>
      <w:tr w:rsidR="00B86FB3" w:rsidRPr="00FF756A" w14:paraId="2526875D"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644" w:type="pct"/>
            <w:noWrap/>
            <w:hideMark/>
          </w:tcPr>
          <w:p w14:paraId="090F7EA7" w14:textId="77777777" w:rsidR="00B86FB3" w:rsidRPr="00FF756A" w:rsidRDefault="00B86FB3" w:rsidP="00B86FB3">
            <w:pPr>
              <w:spacing w:before="0" w:after="0" w:line="240" w:lineRule="auto"/>
              <w:jc w:val="left"/>
              <w:rPr>
                <w:rFonts w:eastAsia="Times New Roman" w:cs="Times New Roman"/>
                <w:b w:val="0"/>
                <w:sz w:val="20"/>
              </w:rPr>
            </w:pPr>
            <w:r w:rsidRPr="00FF756A">
              <w:rPr>
                <w:rFonts w:cs="Times New Roman"/>
                <w:sz w:val="20"/>
              </w:rPr>
              <w:t>TEC Vlorë</w:t>
            </w:r>
          </w:p>
        </w:tc>
        <w:tc>
          <w:tcPr>
            <w:tcW w:w="839" w:type="pct"/>
            <w:noWrap/>
            <w:hideMark/>
          </w:tcPr>
          <w:p w14:paraId="327A8B9C"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197,0 </w:t>
            </w:r>
          </w:p>
        </w:tc>
        <w:tc>
          <w:tcPr>
            <w:tcW w:w="839" w:type="pct"/>
            <w:noWrap/>
            <w:hideMark/>
          </w:tcPr>
          <w:p w14:paraId="224AA954"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13,0 </w:t>
            </w:r>
          </w:p>
        </w:tc>
        <w:tc>
          <w:tcPr>
            <w:tcW w:w="839" w:type="pct"/>
            <w:noWrap/>
            <w:hideMark/>
          </w:tcPr>
          <w:p w14:paraId="254EC433"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13,0 </w:t>
            </w:r>
          </w:p>
        </w:tc>
        <w:tc>
          <w:tcPr>
            <w:tcW w:w="839" w:type="pct"/>
            <w:noWrap/>
            <w:hideMark/>
          </w:tcPr>
          <w:p w14:paraId="59C99358" w14:textId="77777777" w:rsidR="00B86FB3" w:rsidRPr="00FF756A" w:rsidRDefault="00B86FB3" w:rsidP="008D2BF9">
            <w:pPr>
              <w:keepNext/>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 xml:space="preserve"> 13,0 </w:t>
            </w:r>
          </w:p>
        </w:tc>
      </w:tr>
    </w:tbl>
    <w:p w14:paraId="4087737E" w14:textId="76346982" w:rsidR="00B86FB3" w:rsidRPr="00FF756A" w:rsidRDefault="008D2BF9" w:rsidP="008D2BF9">
      <w:pPr>
        <w:pStyle w:val="Caption"/>
        <w:rPr>
          <w:rFonts w:ascii="Times New Roman" w:hAnsi="Times New Roman"/>
        </w:rPr>
      </w:pPr>
      <w:bookmarkStart w:id="718" w:name="_Toc183016520"/>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56</w:t>
      </w:r>
      <w:r w:rsidR="008E7DE9" w:rsidRPr="00FF756A">
        <w:rPr>
          <w:rFonts w:ascii="Times New Roman" w:hAnsi="Times New Roman"/>
          <w:noProof/>
        </w:rPr>
        <w:fldChar w:fldCharType="end"/>
      </w:r>
      <w:r w:rsidRPr="00FF756A">
        <w:rPr>
          <w:rFonts w:ascii="Times New Roman" w:hAnsi="Times New Roman"/>
        </w:rPr>
        <w:t>: Kapacitetet e prodhimit të energjisë [MW] të shtuara në sistem sipas skenarit WEM.</w:t>
      </w:r>
      <w:bookmarkEnd w:id="718"/>
    </w:p>
    <w:p w14:paraId="276674AD" w14:textId="77777777" w:rsidR="00B86FB3" w:rsidRPr="00FF756A" w:rsidRDefault="00B86FB3" w:rsidP="00B86FB3">
      <w:pPr>
        <w:rPr>
          <w:highlight w:val="yellow"/>
        </w:rPr>
      </w:pPr>
      <w:r w:rsidRPr="00FF756A">
        <w:t>Figura e mëposhtme paraqet lëndët djegëse që përdoren aktualisht në sektorin e transportit, si dhe parashikimet deri në vitin 2050 me masa shtesë. Përqindja e biodizelit është relativisht e kufizuar dhe po zëvendësohet gradualisht nga energjia elektrike dhe hidrogjeni. Brenda vitit 2050, energjia elektrike do të përdoret për të plotësuar më tepër se 40% të kërkesës për energji në sektorin e transportit dhe pjesa më e madhe do të jetë me origjinë nga burimet e rinovueshme.</w:t>
      </w:r>
    </w:p>
    <w:p w14:paraId="7023D861" w14:textId="77777777" w:rsidR="00CA0875" w:rsidRPr="00FF756A" w:rsidRDefault="00B86FB3" w:rsidP="00CA0875">
      <w:pPr>
        <w:keepNext/>
      </w:pPr>
      <w:r w:rsidRPr="00FF756A">
        <w:rPr>
          <w:noProof/>
          <w:lang w:val="en-US"/>
        </w:rPr>
        <w:drawing>
          <wp:inline distT="0" distB="0" distL="0" distR="0" wp14:anchorId="6DA8B946" wp14:editId="7CD8A2D2">
            <wp:extent cx="5760720" cy="3456305"/>
            <wp:effectExtent l="0" t="0" r="0" b="0"/>
            <wp:docPr id="1398150041" name="Picture 26"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150041" name="Picture 26" descr="A graph of different colored lines&#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2096EAC4" w14:textId="2326C206" w:rsidR="00B86FB3" w:rsidRPr="00FF756A" w:rsidRDefault="00CA0875" w:rsidP="00CA0875">
      <w:pPr>
        <w:pStyle w:val="Caption"/>
        <w:rPr>
          <w:rFonts w:ascii="Times New Roman" w:hAnsi="Times New Roman"/>
        </w:rPr>
      </w:pPr>
      <w:bookmarkStart w:id="719" w:name="_Toc183016631"/>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101</w:t>
      </w:r>
      <w:r w:rsidR="008E7DE9" w:rsidRPr="00FF756A">
        <w:rPr>
          <w:rFonts w:ascii="Times New Roman" w:hAnsi="Times New Roman"/>
          <w:noProof/>
        </w:rPr>
        <w:fldChar w:fldCharType="end"/>
      </w:r>
      <w:r w:rsidRPr="00FF756A">
        <w:rPr>
          <w:rFonts w:ascii="Times New Roman" w:hAnsi="Times New Roman"/>
        </w:rPr>
        <w:t>: Burimet e energjisë në sektorin e transportit, të paraqitura për të shoqëruar dhe shpjeguar përqindjen e BRE-T të paraqitur në Figura 25</w:t>
      </w:r>
      <w:bookmarkEnd w:id="719"/>
    </w:p>
    <w:p w14:paraId="4F2D2AF4" w14:textId="77777777" w:rsidR="00B86FB3" w:rsidRPr="00FF756A" w:rsidRDefault="00B86FB3" w:rsidP="00B86FB3">
      <w:pPr>
        <w:rPr>
          <w:highlight w:val="yellow"/>
          <w:lang w:eastAsia="ja-JP"/>
        </w:rPr>
      </w:pPr>
    </w:p>
    <w:tbl>
      <w:tblPr>
        <w:tblStyle w:val="GridTable5DarkAccent10"/>
        <w:tblW w:w="9085" w:type="dxa"/>
        <w:tblLayout w:type="fixed"/>
        <w:tblLook w:val="04A0" w:firstRow="1" w:lastRow="0" w:firstColumn="1" w:lastColumn="0" w:noHBand="0" w:noVBand="1"/>
      </w:tblPr>
      <w:tblGrid>
        <w:gridCol w:w="1260"/>
        <w:gridCol w:w="978"/>
        <w:gridCol w:w="978"/>
        <w:gridCol w:w="978"/>
        <w:gridCol w:w="978"/>
        <w:gridCol w:w="978"/>
        <w:gridCol w:w="978"/>
        <w:gridCol w:w="978"/>
        <w:gridCol w:w="979"/>
      </w:tblGrid>
      <w:tr w:rsidR="00B86FB3" w:rsidRPr="00FF756A" w14:paraId="649BC56C" w14:textId="77777777" w:rsidTr="006A3266">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60" w:type="dxa"/>
            <w:noWrap/>
            <w:hideMark/>
          </w:tcPr>
          <w:p w14:paraId="12D5A13E" w14:textId="77777777" w:rsidR="00B86FB3" w:rsidRPr="00FF756A" w:rsidRDefault="00B86FB3" w:rsidP="00B86FB3">
            <w:pPr>
              <w:rPr>
                <w:rFonts w:eastAsia="Times New Roman" w:cs="Times New Roman"/>
                <w:bCs w:val="0"/>
                <w:sz w:val="20"/>
                <w:szCs w:val="20"/>
              </w:rPr>
            </w:pPr>
            <w:r w:rsidRPr="00FF756A">
              <w:rPr>
                <w:rFonts w:cs="Times New Roman"/>
                <w:sz w:val="20"/>
                <w:szCs w:val="20"/>
              </w:rPr>
              <w:t>Burimi</w:t>
            </w:r>
          </w:p>
        </w:tc>
        <w:tc>
          <w:tcPr>
            <w:tcW w:w="978" w:type="dxa"/>
            <w:noWrap/>
            <w:hideMark/>
          </w:tcPr>
          <w:p w14:paraId="28978FC2"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2020</w:t>
            </w:r>
          </w:p>
        </w:tc>
        <w:tc>
          <w:tcPr>
            <w:tcW w:w="978" w:type="dxa"/>
            <w:noWrap/>
            <w:hideMark/>
          </w:tcPr>
          <w:p w14:paraId="5972BCD9"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2021</w:t>
            </w:r>
          </w:p>
        </w:tc>
        <w:tc>
          <w:tcPr>
            <w:tcW w:w="978" w:type="dxa"/>
            <w:noWrap/>
            <w:hideMark/>
          </w:tcPr>
          <w:p w14:paraId="21C3B397"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2022</w:t>
            </w:r>
          </w:p>
        </w:tc>
        <w:tc>
          <w:tcPr>
            <w:tcW w:w="978" w:type="dxa"/>
            <w:noWrap/>
            <w:hideMark/>
          </w:tcPr>
          <w:p w14:paraId="6BCD6AC4"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2023</w:t>
            </w:r>
          </w:p>
        </w:tc>
        <w:tc>
          <w:tcPr>
            <w:tcW w:w="978" w:type="dxa"/>
            <w:noWrap/>
            <w:hideMark/>
          </w:tcPr>
          <w:p w14:paraId="4285C2E9"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2025</w:t>
            </w:r>
          </w:p>
        </w:tc>
        <w:tc>
          <w:tcPr>
            <w:tcW w:w="978" w:type="dxa"/>
            <w:noWrap/>
            <w:hideMark/>
          </w:tcPr>
          <w:p w14:paraId="20933917"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2030</w:t>
            </w:r>
          </w:p>
        </w:tc>
        <w:tc>
          <w:tcPr>
            <w:tcW w:w="978" w:type="dxa"/>
            <w:noWrap/>
            <w:hideMark/>
          </w:tcPr>
          <w:p w14:paraId="4B01F608"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2040</w:t>
            </w:r>
          </w:p>
        </w:tc>
        <w:tc>
          <w:tcPr>
            <w:tcW w:w="979" w:type="dxa"/>
            <w:noWrap/>
            <w:hideMark/>
          </w:tcPr>
          <w:p w14:paraId="2548601B"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2050</w:t>
            </w:r>
          </w:p>
        </w:tc>
      </w:tr>
      <w:tr w:rsidR="00B86FB3" w:rsidRPr="00FF756A" w14:paraId="12BABA47"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60" w:type="dxa"/>
            <w:noWrap/>
            <w:hideMark/>
          </w:tcPr>
          <w:p w14:paraId="46F1A35D" w14:textId="77777777" w:rsidR="00B86FB3" w:rsidRPr="00FF756A" w:rsidRDefault="00B86FB3" w:rsidP="00B86FB3">
            <w:pPr>
              <w:rPr>
                <w:rFonts w:eastAsia="Times New Roman" w:cs="Times New Roman"/>
                <w:b w:val="0"/>
                <w:sz w:val="20"/>
                <w:szCs w:val="20"/>
              </w:rPr>
            </w:pPr>
            <w:r w:rsidRPr="00FF756A">
              <w:rPr>
                <w:rFonts w:cs="Times New Roman"/>
                <w:sz w:val="20"/>
                <w:szCs w:val="20"/>
              </w:rPr>
              <w:t>Energjia elektrike</w:t>
            </w:r>
          </w:p>
        </w:tc>
        <w:tc>
          <w:tcPr>
            <w:tcW w:w="978" w:type="dxa"/>
            <w:noWrap/>
            <w:hideMark/>
          </w:tcPr>
          <w:p w14:paraId="3F150C8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978" w:type="dxa"/>
            <w:noWrap/>
            <w:hideMark/>
          </w:tcPr>
          <w:p w14:paraId="258ED73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0,1%</w:t>
            </w:r>
          </w:p>
        </w:tc>
        <w:tc>
          <w:tcPr>
            <w:tcW w:w="978" w:type="dxa"/>
            <w:noWrap/>
            <w:hideMark/>
          </w:tcPr>
          <w:p w14:paraId="73E3EF1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0,2%</w:t>
            </w:r>
          </w:p>
        </w:tc>
        <w:tc>
          <w:tcPr>
            <w:tcW w:w="978" w:type="dxa"/>
            <w:noWrap/>
            <w:hideMark/>
          </w:tcPr>
          <w:p w14:paraId="0A590EF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0,9%</w:t>
            </w:r>
          </w:p>
        </w:tc>
        <w:tc>
          <w:tcPr>
            <w:tcW w:w="978" w:type="dxa"/>
            <w:noWrap/>
            <w:hideMark/>
          </w:tcPr>
          <w:p w14:paraId="159FF51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2,4%</w:t>
            </w:r>
          </w:p>
        </w:tc>
        <w:tc>
          <w:tcPr>
            <w:tcW w:w="978" w:type="dxa"/>
            <w:shd w:val="clear" w:color="auto" w:fill="4472C4" w:themeFill="accent1"/>
            <w:noWrap/>
            <w:hideMark/>
          </w:tcPr>
          <w:p w14:paraId="3489772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5,5%</w:t>
            </w:r>
          </w:p>
        </w:tc>
        <w:tc>
          <w:tcPr>
            <w:tcW w:w="978" w:type="dxa"/>
            <w:noWrap/>
            <w:hideMark/>
          </w:tcPr>
          <w:p w14:paraId="18ABDA5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19,1%</w:t>
            </w:r>
          </w:p>
        </w:tc>
        <w:tc>
          <w:tcPr>
            <w:tcW w:w="979" w:type="dxa"/>
            <w:noWrap/>
            <w:hideMark/>
          </w:tcPr>
          <w:p w14:paraId="13E3518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44,7%</w:t>
            </w:r>
          </w:p>
        </w:tc>
      </w:tr>
      <w:tr w:rsidR="00B86FB3" w:rsidRPr="00FF756A" w14:paraId="45AEDE2C"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60" w:type="dxa"/>
            <w:noWrap/>
            <w:hideMark/>
          </w:tcPr>
          <w:p w14:paraId="2088E54D" w14:textId="77777777" w:rsidR="00B86FB3" w:rsidRPr="00FF756A" w:rsidRDefault="00B86FB3" w:rsidP="00B86FB3">
            <w:pPr>
              <w:rPr>
                <w:rFonts w:eastAsia="Times New Roman" w:cs="Times New Roman"/>
                <w:b w:val="0"/>
                <w:sz w:val="20"/>
                <w:szCs w:val="20"/>
              </w:rPr>
            </w:pPr>
            <w:r w:rsidRPr="00FF756A">
              <w:rPr>
                <w:rFonts w:cs="Times New Roman"/>
                <w:sz w:val="20"/>
                <w:szCs w:val="20"/>
              </w:rPr>
              <w:t>Benzina</w:t>
            </w:r>
          </w:p>
        </w:tc>
        <w:tc>
          <w:tcPr>
            <w:tcW w:w="978" w:type="dxa"/>
            <w:noWrap/>
            <w:hideMark/>
          </w:tcPr>
          <w:p w14:paraId="3ED1749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16,8%</w:t>
            </w:r>
          </w:p>
        </w:tc>
        <w:tc>
          <w:tcPr>
            <w:tcW w:w="978" w:type="dxa"/>
            <w:noWrap/>
            <w:hideMark/>
          </w:tcPr>
          <w:p w14:paraId="0472B8D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17,1%</w:t>
            </w:r>
          </w:p>
        </w:tc>
        <w:tc>
          <w:tcPr>
            <w:tcW w:w="978" w:type="dxa"/>
            <w:noWrap/>
            <w:hideMark/>
          </w:tcPr>
          <w:p w14:paraId="402A173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17,2%</w:t>
            </w:r>
          </w:p>
        </w:tc>
        <w:tc>
          <w:tcPr>
            <w:tcW w:w="978" w:type="dxa"/>
            <w:noWrap/>
            <w:hideMark/>
          </w:tcPr>
          <w:p w14:paraId="29C8EC7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17,1%</w:t>
            </w:r>
          </w:p>
        </w:tc>
        <w:tc>
          <w:tcPr>
            <w:tcW w:w="978" w:type="dxa"/>
            <w:noWrap/>
            <w:hideMark/>
          </w:tcPr>
          <w:p w14:paraId="1C24BBD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17,0%</w:t>
            </w:r>
          </w:p>
        </w:tc>
        <w:tc>
          <w:tcPr>
            <w:tcW w:w="978" w:type="dxa"/>
            <w:shd w:val="clear" w:color="auto" w:fill="4472C4" w:themeFill="accent1"/>
            <w:noWrap/>
            <w:hideMark/>
          </w:tcPr>
          <w:p w14:paraId="484717C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16,9%</w:t>
            </w:r>
          </w:p>
        </w:tc>
        <w:tc>
          <w:tcPr>
            <w:tcW w:w="978" w:type="dxa"/>
            <w:noWrap/>
            <w:hideMark/>
          </w:tcPr>
          <w:p w14:paraId="6A68CE2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14,8%</w:t>
            </w:r>
          </w:p>
        </w:tc>
        <w:tc>
          <w:tcPr>
            <w:tcW w:w="979" w:type="dxa"/>
            <w:noWrap/>
            <w:hideMark/>
          </w:tcPr>
          <w:p w14:paraId="51B91D8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10,5%</w:t>
            </w:r>
          </w:p>
        </w:tc>
      </w:tr>
      <w:tr w:rsidR="00B86FB3" w:rsidRPr="00FF756A" w14:paraId="50FA9C0B"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60" w:type="dxa"/>
            <w:noWrap/>
            <w:hideMark/>
          </w:tcPr>
          <w:p w14:paraId="608E09CF" w14:textId="77777777" w:rsidR="00B86FB3" w:rsidRPr="00FF756A" w:rsidRDefault="00B86FB3" w:rsidP="00B86FB3">
            <w:pPr>
              <w:rPr>
                <w:rFonts w:eastAsia="Times New Roman" w:cs="Times New Roman"/>
                <w:b w:val="0"/>
                <w:sz w:val="20"/>
                <w:szCs w:val="20"/>
              </w:rPr>
            </w:pPr>
            <w:r w:rsidRPr="00FF756A">
              <w:rPr>
                <w:rFonts w:cs="Times New Roman"/>
                <w:sz w:val="20"/>
                <w:szCs w:val="20"/>
              </w:rPr>
              <w:t>Nafta dizel</w:t>
            </w:r>
          </w:p>
        </w:tc>
        <w:tc>
          <w:tcPr>
            <w:tcW w:w="978" w:type="dxa"/>
            <w:noWrap/>
            <w:hideMark/>
          </w:tcPr>
          <w:p w14:paraId="441B438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80,2%</w:t>
            </w:r>
          </w:p>
        </w:tc>
        <w:tc>
          <w:tcPr>
            <w:tcW w:w="978" w:type="dxa"/>
            <w:noWrap/>
            <w:hideMark/>
          </w:tcPr>
          <w:p w14:paraId="64F9AEF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79,6%</w:t>
            </w:r>
          </w:p>
        </w:tc>
        <w:tc>
          <w:tcPr>
            <w:tcW w:w="978" w:type="dxa"/>
            <w:noWrap/>
            <w:hideMark/>
          </w:tcPr>
          <w:p w14:paraId="59BAF4C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79,2%</w:t>
            </w:r>
          </w:p>
        </w:tc>
        <w:tc>
          <w:tcPr>
            <w:tcW w:w="978" w:type="dxa"/>
            <w:noWrap/>
            <w:hideMark/>
          </w:tcPr>
          <w:p w14:paraId="744E54F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75,7%</w:t>
            </w:r>
          </w:p>
        </w:tc>
        <w:tc>
          <w:tcPr>
            <w:tcW w:w="978" w:type="dxa"/>
            <w:noWrap/>
            <w:hideMark/>
          </w:tcPr>
          <w:p w14:paraId="7C1E17D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72,6%</w:t>
            </w:r>
          </w:p>
        </w:tc>
        <w:tc>
          <w:tcPr>
            <w:tcW w:w="978" w:type="dxa"/>
            <w:shd w:val="clear" w:color="auto" w:fill="4472C4" w:themeFill="accent1"/>
            <w:noWrap/>
            <w:hideMark/>
          </w:tcPr>
          <w:p w14:paraId="29856F0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67,2%</w:t>
            </w:r>
          </w:p>
        </w:tc>
        <w:tc>
          <w:tcPr>
            <w:tcW w:w="978" w:type="dxa"/>
            <w:noWrap/>
            <w:hideMark/>
          </w:tcPr>
          <w:p w14:paraId="7F01CE0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53,9%</w:t>
            </w:r>
          </w:p>
        </w:tc>
        <w:tc>
          <w:tcPr>
            <w:tcW w:w="979" w:type="dxa"/>
            <w:noWrap/>
            <w:hideMark/>
          </w:tcPr>
          <w:p w14:paraId="034A35B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23,4%</w:t>
            </w:r>
          </w:p>
        </w:tc>
      </w:tr>
      <w:tr w:rsidR="00B86FB3" w:rsidRPr="00FF756A" w14:paraId="31887E1E"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60" w:type="dxa"/>
            <w:noWrap/>
            <w:hideMark/>
          </w:tcPr>
          <w:p w14:paraId="39413C8C" w14:textId="77777777" w:rsidR="00B86FB3" w:rsidRPr="00FF756A" w:rsidRDefault="00B86FB3" w:rsidP="00B86FB3">
            <w:pPr>
              <w:rPr>
                <w:rFonts w:eastAsia="Times New Roman" w:cs="Times New Roman"/>
                <w:b w:val="0"/>
                <w:sz w:val="20"/>
                <w:szCs w:val="20"/>
              </w:rPr>
            </w:pPr>
            <w:r w:rsidRPr="00FF756A">
              <w:rPr>
                <w:rFonts w:cs="Times New Roman"/>
                <w:sz w:val="20"/>
                <w:szCs w:val="20"/>
              </w:rPr>
              <w:t>GLN</w:t>
            </w:r>
          </w:p>
        </w:tc>
        <w:tc>
          <w:tcPr>
            <w:tcW w:w="978" w:type="dxa"/>
            <w:noWrap/>
            <w:hideMark/>
          </w:tcPr>
          <w:p w14:paraId="16BC9C9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2,9%</w:t>
            </w:r>
          </w:p>
        </w:tc>
        <w:tc>
          <w:tcPr>
            <w:tcW w:w="978" w:type="dxa"/>
            <w:noWrap/>
            <w:hideMark/>
          </w:tcPr>
          <w:p w14:paraId="5CCFABD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3,2%</w:t>
            </w:r>
          </w:p>
        </w:tc>
        <w:tc>
          <w:tcPr>
            <w:tcW w:w="978" w:type="dxa"/>
            <w:noWrap/>
            <w:hideMark/>
          </w:tcPr>
          <w:p w14:paraId="25FF206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3,4%</w:t>
            </w:r>
          </w:p>
        </w:tc>
        <w:tc>
          <w:tcPr>
            <w:tcW w:w="978" w:type="dxa"/>
            <w:noWrap/>
            <w:hideMark/>
          </w:tcPr>
          <w:p w14:paraId="478BFBF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3,6%</w:t>
            </w:r>
          </w:p>
        </w:tc>
        <w:tc>
          <w:tcPr>
            <w:tcW w:w="978" w:type="dxa"/>
            <w:noWrap/>
            <w:hideMark/>
          </w:tcPr>
          <w:p w14:paraId="604D408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3,5%</w:t>
            </w:r>
          </w:p>
        </w:tc>
        <w:tc>
          <w:tcPr>
            <w:tcW w:w="978" w:type="dxa"/>
            <w:shd w:val="clear" w:color="auto" w:fill="4472C4" w:themeFill="accent1"/>
            <w:noWrap/>
            <w:hideMark/>
          </w:tcPr>
          <w:p w14:paraId="0EB1CED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3,1%</w:t>
            </w:r>
          </w:p>
        </w:tc>
        <w:tc>
          <w:tcPr>
            <w:tcW w:w="978" w:type="dxa"/>
            <w:noWrap/>
            <w:hideMark/>
          </w:tcPr>
          <w:p w14:paraId="5659E13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2,9%</w:t>
            </w:r>
          </w:p>
        </w:tc>
        <w:tc>
          <w:tcPr>
            <w:tcW w:w="979" w:type="dxa"/>
            <w:noWrap/>
            <w:hideMark/>
          </w:tcPr>
          <w:p w14:paraId="5122725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3,2%</w:t>
            </w:r>
          </w:p>
        </w:tc>
      </w:tr>
      <w:tr w:rsidR="00B86FB3" w:rsidRPr="00FF756A" w14:paraId="48283C9A"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60" w:type="dxa"/>
            <w:noWrap/>
            <w:hideMark/>
          </w:tcPr>
          <w:p w14:paraId="5C5B25EE" w14:textId="77777777" w:rsidR="00B86FB3" w:rsidRPr="00FF756A" w:rsidRDefault="00B86FB3" w:rsidP="00B86FB3">
            <w:pPr>
              <w:rPr>
                <w:rFonts w:eastAsia="Times New Roman" w:cs="Times New Roman"/>
                <w:b w:val="0"/>
                <w:sz w:val="20"/>
                <w:szCs w:val="20"/>
              </w:rPr>
            </w:pPr>
            <w:r w:rsidRPr="00FF756A">
              <w:rPr>
                <w:rFonts w:cs="Times New Roman"/>
                <w:sz w:val="20"/>
                <w:szCs w:val="20"/>
              </w:rPr>
              <w:t>Hidrogjeni</w:t>
            </w:r>
          </w:p>
        </w:tc>
        <w:tc>
          <w:tcPr>
            <w:tcW w:w="978" w:type="dxa"/>
            <w:noWrap/>
            <w:hideMark/>
          </w:tcPr>
          <w:p w14:paraId="2FCAFDE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978" w:type="dxa"/>
            <w:noWrap/>
            <w:hideMark/>
          </w:tcPr>
          <w:p w14:paraId="197BEDC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978" w:type="dxa"/>
            <w:noWrap/>
            <w:hideMark/>
          </w:tcPr>
          <w:p w14:paraId="425D90C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978" w:type="dxa"/>
            <w:noWrap/>
            <w:hideMark/>
          </w:tcPr>
          <w:p w14:paraId="1A87356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978" w:type="dxa"/>
            <w:noWrap/>
            <w:hideMark/>
          </w:tcPr>
          <w:p w14:paraId="50194CF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978" w:type="dxa"/>
            <w:shd w:val="clear" w:color="auto" w:fill="4472C4" w:themeFill="accent1"/>
            <w:noWrap/>
            <w:hideMark/>
          </w:tcPr>
          <w:p w14:paraId="75ABA78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0,0%</w:t>
            </w:r>
          </w:p>
        </w:tc>
        <w:tc>
          <w:tcPr>
            <w:tcW w:w="978" w:type="dxa"/>
            <w:noWrap/>
            <w:hideMark/>
          </w:tcPr>
          <w:p w14:paraId="5546DE8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1,3%</w:t>
            </w:r>
          </w:p>
        </w:tc>
        <w:tc>
          <w:tcPr>
            <w:tcW w:w="979" w:type="dxa"/>
            <w:noWrap/>
            <w:hideMark/>
          </w:tcPr>
          <w:p w14:paraId="1AD3BDE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15,1%</w:t>
            </w:r>
          </w:p>
        </w:tc>
      </w:tr>
      <w:tr w:rsidR="00B86FB3" w:rsidRPr="00FF756A" w14:paraId="5B0830B4"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60" w:type="dxa"/>
            <w:noWrap/>
            <w:hideMark/>
          </w:tcPr>
          <w:p w14:paraId="4AA9ADF2" w14:textId="77777777" w:rsidR="00B86FB3" w:rsidRPr="00FF756A" w:rsidRDefault="00B86FB3" w:rsidP="00B86FB3">
            <w:pPr>
              <w:rPr>
                <w:rFonts w:eastAsia="Times New Roman" w:cs="Times New Roman"/>
                <w:b w:val="0"/>
                <w:sz w:val="20"/>
                <w:szCs w:val="20"/>
              </w:rPr>
            </w:pPr>
            <w:r w:rsidRPr="00FF756A">
              <w:rPr>
                <w:rFonts w:cs="Times New Roman"/>
                <w:sz w:val="20"/>
                <w:szCs w:val="20"/>
              </w:rPr>
              <w:t>Biodizeli</w:t>
            </w:r>
          </w:p>
        </w:tc>
        <w:tc>
          <w:tcPr>
            <w:tcW w:w="978" w:type="dxa"/>
            <w:noWrap/>
            <w:hideMark/>
          </w:tcPr>
          <w:p w14:paraId="6A82FA1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978" w:type="dxa"/>
            <w:noWrap/>
            <w:hideMark/>
          </w:tcPr>
          <w:p w14:paraId="3DC275F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978" w:type="dxa"/>
            <w:noWrap/>
            <w:hideMark/>
          </w:tcPr>
          <w:p w14:paraId="6834647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0,0%</w:t>
            </w:r>
          </w:p>
        </w:tc>
        <w:tc>
          <w:tcPr>
            <w:tcW w:w="978" w:type="dxa"/>
            <w:noWrap/>
            <w:hideMark/>
          </w:tcPr>
          <w:p w14:paraId="3CFFEE7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2,7%</w:t>
            </w:r>
          </w:p>
        </w:tc>
        <w:tc>
          <w:tcPr>
            <w:tcW w:w="978" w:type="dxa"/>
            <w:noWrap/>
            <w:hideMark/>
          </w:tcPr>
          <w:p w14:paraId="416D44D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4,5%</w:t>
            </w:r>
          </w:p>
        </w:tc>
        <w:tc>
          <w:tcPr>
            <w:tcW w:w="978" w:type="dxa"/>
            <w:shd w:val="clear" w:color="auto" w:fill="4472C4" w:themeFill="accent1"/>
            <w:noWrap/>
            <w:hideMark/>
          </w:tcPr>
          <w:p w14:paraId="17F7E47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2"/>
              </w:rPr>
            </w:pPr>
            <w:r w:rsidRPr="00FF756A">
              <w:rPr>
                <w:rFonts w:cs="Times New Roman"/>
                <w:b/>
                <w:bCs/>
                <w:color w:val="FFFFFF" w:themeColor="background1"/>
                <w:sz w:val="20"/>
                <w:szCs w:val="22"/>
              </w:rPr>
              <w:t>7,4%</w:t>
            </w:r>
          </w:p>
        </w:tc>
        <w:tc>
          <w:tcPr>
            <w:tcW w:w="978" w:type="dxa"/>
            <w:noWrap/>
            <w:hideMark/>
          </w:tcPr>
          <w:p w14:paraId="1C04B80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8,1%</w:t>
            </w:r>
          </w:p>
        </w:tc>
        <w:tc>
          <w:tcPr>
            <w:tcW w:w="979" w:type="dxa"/>
            <w:noWrap/>
            <w:hideMark/>
          </w:tcPr>
          <w:p w14:paraId="7C155FC6" w14:textId="77777777" w:rsidR="00B86FB3" w:rsidRPr="00FF756A" w:rsidRDefault="00B86FB3" w:rsidP="00CA0875">
            <w:pPr>
              <w:keepNext/>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3,1%</w:t>
            </w:r>
          </w:p>
        </w:tc>
      </w:tr>
    </w:tbl>
    <w:p w14:paraId="09E0FF2E" w14:textId="59EB61B4" w:rsidR="00CA0875" w:rsidRPr="00FF756A" w:rsidRDefault="00CA0875" w:rsidP="00CA0875">
      <w:pPr>
        <w:pStyle w:val="Caption"/>
        <w:rPr>
          <w:rFonts w:ascii="Times New Roman" w:hAnsi="Times New Roman"/>
        </w:rPr>
      </w:pPr>
      <w:bookmarkStart w:id="720" w:name="_Toc183016521"/>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57</w:t>
      </w:r>
      <w:r w:rsidR="008E7DE9" w:rsidRPr="00FF756A">
        <w:rPr>
          <w:rFonts w:ascii="Times New Roman" w:hAnsi="Times New Roman"/>
          <w:noProof/>
        </w:rPr>
        <w:fldChar w:fldCharType="end"/>
      </w:r>
      <w:r w:rsidRPr="00FF756A">
        <w:rPr>
          <w:rFonts w:ascii="Times New Roman" w:hAnsi="Times New Roman"/>
        </w:rPr>
        <w:t>: Përqindjet e burimeve të energjisë në sektorin e transportit për periudhën kohore 2020-2023 dhe sipas parashikimeve deri në vitin 2050 me masa shtesë</w:t>
      </w:r>
      <w:bookmarkEnd w:id="720"/>
    </w:p>
    <w:p w14:paraId="38714B86" w14:textId="77777777" w:rsidR="00B86FB3" w:rsidRPr="00FF756A" w:rsidRDefault="00B86FB3" w:rsidP="00B86FB3">
      <w:r w:rsidRPr="00FF756A">
        <w:t xml:space="preserve">Përqindja e BRE-N &amp; F kombinon të gjitha energjitë e rinovueshme të ndryshme nga energjia elektrike, nxehtësia dhe biolikuidet në sektorë të ndryshëm nga transporti. Ajo përfshin sektorin e banesave, shërbimeve, industrisë, bujqësisë dhe peshkimit, dhe burime të tilla si burimet e energjisë eolike dhe diellore, lënda drusore, burimet hidrike dhe biomasa. Nga këto, vetëm burimet e energjisë diellore dhe lënda drusore luajnë rol thelbësor, pasi të dyja përdoren për ngrohjen e ambienteve dhe të ujit, si dhe për disa procese industriale. Sektori i bujqësisë dhe peshkimit nuk përdor energji të rinovueshme (me përjashtim të energjisë elektrike, e cila nuk merret në konsideratë këtu). Tabela e mëposhtme tregon përqindjen e energjisë nga lënda drusore dhe burimet diellore në raport me totalin e konsumit final të energjisë në secilin prej tre sektorëve të mbetur. Vlen të theksohet se përqindja e BRE-N &amp; F tregon përqindjen e energjisë së rinovueshme në raport me kërkesën finale për energji të ndryshme nga energjia elektrike, çka shpjegon përqindjen më të lartë të BRE-N &amp; F krahasuar me vlerat e paraqitura në tabelën e mëposhtme. </w:t>
      </w:r>
    </w:p>
    <w:tbl>
      <w:tblPr>
        <w:tblStyle w:val="GridTable5DarkAccent10"/>
        <w:tblW w:w="9175" w:type="dxa"/>
        <w:tblLayout w:type="fixed"/>
        <w:tblLook w:val="04A0" w:firstRow="1" w:lastRow="0" w:firstColumn="1" w:lastColumn="0" w:noHBand="0" w:noVBand="1"/>
      </w:tblPr>
      <w:tblGrid>
        <w:gridCol w:w="1270"/>
        <w:gridCol w:w="988"/>
        <w:gridCol w:w="35"/>
        <w:gridCol w:w="953"/>
        <w:gridCol w:w="988"/>
        <w:gridCol w:w="353"/>
        <w:gridCol w:w="635"/>
        <w:gridCol w:w="988"/>
        <w:gridCol w:w="671"/>
        <w:gridCol w:w="317"/>
        <w:gridCol w:w="988"/>
        <w:gridCol w:w="989"/>
      </w:tblGrid>
      <w:tr w:rsidR="00B86FB3" w:rsidRPr="00FF756A" w14:paraId="18615793" w14:textId="77777777" w:rsidTr="006A3266">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70" w:type="dxa"/>
            <w:noWrap/>
            <w:hideMark/>
          </w:tcPr>
          <w:p w14:paraId="6D6B2234" w14:textId="77777777" w:rsidR="00B86FB3" w:rsidRPr="00FF756A" w:rsidRDefault="00B86FB3" w:rsidP="00B86FB3">
            <w:pPr>
              <w:rPr>
                <w:rFonts w:eastAsia="Times New Roman" w:cs="Times New Roman"/>
                <w:bCs w:val="0"/>
                <w:sz w:val="20"/>
                <w:szCs w:val="20"/>
              </w:rPr>
            </w:pPr>
            <w:r w:rsidRPr="00FF756A">
              <w:rPr>
                <w:rFonts w:cs="Times New Roman"/>
                <w:sz w:val="20"/>
                <w:szCs w:val="20"/>
              </w:rPr>
              <w:t> </w:t>
            </w:r>
          </w:p>
        </w:tc>
        <w:tc>
          <w:tcPr>
            <w:tcW w:w="988" w:type="dxa"/>
            <w:noWrap/>
            <w:hideMark/>
          </w:tcPr>
          <w:p w14:paraId="420C0C84"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2016</w:t>
            </w:r>
          </w:p>
        </w:tc>
        <w:tc>
          <w:tcPr>
            <w:tcW w:w="988" w:type="dxa"/>
            <w:gridSpan w:val="2"/>
            <w:noWrap/>
            <w:hideMark/>
          </w:tcPr>
          <w:p w14:paraId="634905E2"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2017</w:t>
            </w:r>
          </w:p>
        </w:tc>
        <w:tc>
          <w:tcPr>
            <w:tcW w:w="988" w:type="dxa"/>
            <w:noWrap/>
            <w:hideMark/>
          </w:tcPr>
          <w:p w14:paraId="03739874"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2018</w:t>
            </w:r>
          </w:p>
        </w:tc>
        <w:tc>
          <w:tcPr>
            <w:tcW w:w="988" w:type="dxa"/>
            <w:gridSpan w:val="2"/>
            <w:noWrap/>
            <w:hideMark/>
          </w:tcPr>
          <w:p w14:paraId="04AC5C75"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2020</w:t>
            </w:r>
          </w:p>
        </w:tc>
        <w:tc>
          <w:tcPr>
            <w:tcW w:w="988" w:type="dxa"/>
            <w:noWrap/>
            <w:hideMark/>
          </w:tcPr>
          <w:p w14:paraId="63639E76"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2025</w:t>
            </w:r>
          </w:p>
        </w:tc>
        <w:tc>
          <w:tcPr>
            <w:tcW w:w="988" w:type="dxa"/>
            <w:gridSpan w:val="2"/>
            <w:noWrap/>
            <w:hideMark/>
          </w:tcPr>
          <w:p w14:paraId="7FC30A47"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2030</w:t>
            </w:r>
          </w:p>
        </w:tc>
        <w:tc>
          <w:tcPr>
            <w:tcW w:w="988" w:type="dxa"/>
            <w:noWrap/>
            <w:hideMark/>
          </w:tcPr>
          <w:p w14:paraId="786E37D5"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2040</w:t>
            </w:r>
          </w:p>
        </w:tc>
        <w:tc>
          <w:tcPr>
            <w:tcW w:w="989" w:type="dxa"/>
            <w:noWrap/>
            <w:hideMark/>
          </w:tcPr>
          <w:p w14:paraId="3760D1E7"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0"/>
                <w:szCs w:val="20"/>
              </w:rPr>
            </w:pPr>
            <w:r w:rsidRPr="00FF756A">
              <w:rPr>
                <w:rFonts w:cs="Times New Roman"/>
                <w:sz w:val="20"/>
                <w:szCs w:val="20"/>
              </w:rPr>
              <w:t>2050</w:t>
            </w:r>
          </w:p>
        </w:tc>
      </w:tr>
      <w:tr w:rsidR="00B86FB3" w:rsidRPr="00FF756A" w14:paraId="63DB5BD3"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70" w:type="dxa"/>
            <w:noWrap/>
            <w:hideMark/>
          </w:tcPr>
          <w:p w14:paraId="69694EE8" w14:textId="77777777" w:rsidR="00B86FB3" w:rsidRPr="00FF756A" w:rsidRDefault="00B86FB3" w:rsidP="00B86FB3">
            <w:pPr>
              <w:rPr>
                <w:rFonts w:eastAsia="Times New Roman" w:cs="Times New Roman"/>
                <w:b w:val="0"/>
                <w:sz w:val="20"/>
                <w:szCs w:val="20"/>
              </w:rPr>
            </w:pPr>
            <w:r w:rsidRPr="00FF756A">
              <w:rPr>
                <w:rFonts w:cs="Times New Roman"/>
                <w:sz w:val="20"/>
                <w:szCs w:val="20"/>
              </w:rPr>
              <w:t>Sektori i banesave</w:t>
            </w:r>
          </w:p>
        </w:tc>
        <w:tc>
          <w:tcPr>
            <w:tcW w:w="988" w:type="dxa"/>
            <w:shd w:val="clear" w:color="auto" w:fill="4472C4" w:themeFill="accent1"/>
            <w:noWrap/>
            <w:hideMark/>
          </w:tcPr>
          <w:p w14:paraId="08051671"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988" w:type="dxa"/>
            <w:gridSpan w:val="2"/>
            <w:shd w:val="clear" w:color="auto" w:fill="4472C4" w:themeFill="accent1"/>
            <w:noWrap/>
            <w:hideMark/>
          </w:tcPr>
          <w:p w14:paraId="463A9FB4"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988" w:type="dxa"/>
            <w:shd w:val="clear" w:color="auto" w:fill="4472C4" w:themeFill="accent1"/>
            <w:noWrap/>
            <w:hideMark/>
          </w:tcPr>
          <w:p w14:paraId="520D8E23"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988" w:type="dxa"/>
            <w:gridSpan w:val="2"/>
            <w:shd w:val="clear" w:color="auto" w:fill="4472C4" w:themeFill="accent1"/>
            <w:noWrap/>
            <w:hideMark/>
          </w:tcPr>
          <w:p w14:paraId="6D12B512"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988" w:type="dxa"/>
            <w:shd w:val="clear" w:color="auto" w:fill="4472C4" w:themeFill="accent1"/>
            <w:noWrap/>
            <w:hideMark/>
          </w:tcPr>
          <w:p w14:paraId="01B96403"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988" w:type="dxa"/>
            <w:gridSpan w:val="2"/>
            <w:shd w:val="clear" w:color="auto" w:fill="4472C4" w:themeFill="accent1"/>
            <w:noWrap/>
            <w:hideMark/>
          </w:tcPr>
          <w:p w14:paraId="403E6CEE"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988" w:type="dxa"/>
            <w:shd w:val="clear" w:color="auto" w:fill="4472C4" w:themeFill="accent1"/>
            <w:noWrap/>
            <w:hideMark/>
          </w:tcPr>
          <w:p w14:paraId="35E5B5E3"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c>
          <w:tcPr>
            <w:tcW w:w="989" w:type="dxa"/>
            <w:shd w:val="clear" w:color="auto" w:fill="4472C4" w:themeFill="accent1"/>
            <w:noWrap/>
            <w:hideMark/>
          </w:tcPr>
          <w:p w14:paraId="487FA4A0"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p>
        </w:tc>
      </w:tr>
      <w:tr w:rsidR="00B86FB3" w:rsidRPr="00FF756A" w14:paraId="5D89BE12"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70" w:type="dxa"/>
            <w:noWrap/>
            <w:hideMark/>
          </w:tcPr>
          <w:p w14:paraId="715E955A" w14:textId="77777777" w:rsidR="00B86FB3" w:rsidRPr="00FF756A" w:rsidRDefault="00B86FB3" w:rsidP="00B86FB3">
            <w:pPr>
              <w:rPr>
                <w:rFonts w:eastAsia="Times New Roman" w:cs="Times New Roman"/>
                <w:b w:val="0"/>
                <w:sz w:val="20"/>
                <w:szCs w:val="20"/>
              </w:rPr>
            </w:pPr>
            <w:r w:rsidRPr="00FF756A">
              <w:rPr>
                <w:rFonts w:cs="Times New Roman"/>
                <w:sz w:val="20"/>
                <w:szCs w:val="20"/>
              </w:rPr>
              <w:t>Lënda drusore</w:t>
            </w:r>
          </w:p>
        </w:tc>
        <w:tc>
          <w:tcPr>
            <w:tcW w:w="988" w:type="dxa"/>
            <w:noWrap/>
            <w:hideMark/>
          </w:tcPr>
          <w:p w14:paraId="5494868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22,4%</w:t>
            </w:r>
          </w:p>
        </w:tc>
        <w:tc>
          <w:tcPr>
            <w:tcW w:w="988" w:type="dxa"/>
            <w:gridSpan w:val="2"/>
            <w:noWrap/>
            <w:hideMark/>
          </w:tcPr>
          <w:p w14:paraId="60F97AA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21,4%</w:t>
            </w:r>
          </w:p>
        </w:tc>
        <w:tc>
          <w:tcPr>
            <w:tcW w:w="988" w:type="dxa"/>
            <w:noWrap/>
            <w:hideMark/>
          </w:tcPr>
          <w:p w14:paraId="5DE3267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21,3%</w:t>
            </w:r>
          </w:p>
        </w:tc>
        <w:tc>
          <w:tcPr>
            <w:tcW w:w="988" w:type="dxa"/>
            <w:gridSpan w:val="2"/>
            <w:noWrap/>
            <w:hideMark/>
          </w:tcPr>
          <w:p w14:paraId="6E46ABB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21,4%</w:t>
            </w:r>
          </w:p>
        </w:tc>
        <w:tc>
          <w:tcPr>
            <w:tcW w:w="988" w:type="dxa"/>
            <w:noWrap/>
            <w:hideMark/>
          </w:tcPr>
          <w:p w14:paraId="2836968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21,6%</w:t>
            </w:r>
          </w:p>
        </w:tc>
        <w:tc>
          <w:tcPr>
            <w:tcW w:w="988" w:type="dxa"/>
            <w:gridSpan w:val="2"/>
            <w:shd w:val="clear" w:color="auto" w:fill="4472C4" w:themeFill="accent1"/>
            <w:noWrap/>
            <w:hideMark/>
          </w:tcPr>
          <w:p w14:paraId="513A577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20"/>
                <w:szCs w:val="22"/>
              </w:rPr>
            </w:pPr>
            <w:r w:rsidRPr="00FF756A">
              <w:rPr>
                <w:rFonts w:cs="Times New Roman"/>
                <w:color w:val="FFFFFF" w:themeColor="background1"/>
                <w:sz w:val="20"/>
                <w:szCs w:val="22"/>
              </w:rPr>
              <w:t>22,4%</w:t>
            </w:r>
          </w:p>
        </w:tc>
        <w:tc>
          <w:tcPr>
            <w:tcW w:w="988" w:type="dxa"/>
            <w:noWrap/>
            <w:hideMark/>
          </w:tcPr>
          <w:p w14:paraId="463B666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22,7%</w:t>
            </w:r>
          </w:p>
        </w:tc>
        <w:tc>
          <w:tcPr>
            <w:tcW w:w="989" w:type="dxa"/>
            <w:noWrap/>
          </w:tcPr>
          <w:p w14:paraId="6FD51B6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20,4%</w:t>
            </w:r>
          </w:p>
        </w:tc>
      </w:tr>
      <w:tr w:rsidR="00B86FB3" w:rsidRPr="00FF756A" w14:paraId="4FF54E93"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70" w:type="dxa"/>
            <w:noWrap/>
            <w:hideMark/>
          </w:tcPr>
          <w:p w14:paraId="084DAF74" w14:textId="77777777" w:rsidR="00B86FB3" w:rsidRPr="00FF756A" w:rsidRDefault="00B86FB3" w:rsidP="00B86FB3">
            <w:pPr>
              <w:rPr>
                <w:rFonts w:eastAsia="Times New Roman" w:cs="Times New Roman"/>
                <w:b w:val="0"/>
                <w:sz w:val="20"/>
                <w:szCs w:val="20"/>
              </w:rPr>
            </w:pPr>
            <w:r w:rsidRPr="00FF756A">
              <w:rPr>
                <w:rFonts w:cs="Times New Roman"/>
                <w:sz w:val="20"/>
                <w:szCs w:val="20"/>
              </w:rPr>
              <w:t>Energjia diellore</w:t>
            </w:r>
          </w:p>
        </w:tc>
        <w:tc>
          <w:tcPr>
            <w:tcW w:w="988" w:type="dxa"/>
            <w:noWrap/>
            <w:hideMark/>
          </w:tcPr>
          <w:p w14:paraId="2750B2B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1,5%</w:t>
            </w:r>
          </w:p>
        </w:tc>
        <w:tc>
          <w:tcPr>
            <w:tcW w:w="988" w:type="dxa"/>
            <w:gridSpan w:val="2"/>
            <w:noWrap/>
            <w:hideMark/>
          </w:tcPr>
          <w:p w14:paraId="5DE5959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1,6%</w:t>
            </w:r>
          </w:p>
        </w:tc>
        <w:tc>
          <w:tcPr>
            <w:tcW w:w="988" w:type="dxa"/>
            <w:noWrap/>
            <w:hideMark/>
          </w:tcPr>
          <w:p w14:paraId="4BA96E2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1,6%</w:t>
            </w:r>
          </w:p>
        </w:tc>
        <w:tc>
          <w:tcPr>
            <w:tcW w:w="988" w:type="dxa"/>
            <w:gridSpan w:val="2"/>
            <w:noWrap/>
            <w:hideMark/>
          </w:tcPr>
          <w:p w14:paraId="3DF4420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1,7%</w:t>
            </w:r>
          </w:p>
        </w:tc>
        <w:tc>
          <w:tcPr>
            <w:tcW w:w="988" w:type="dxa"/>
            <w:noWrap/>
            <w:hideMark/>
          </w:tcPr>
          <w:p w14:paraId="5E971C8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2,1%</w:t>
            </w:r>
          </w:p>
        </w:tc>
        <w:tc>
          <w:tcPr>
            <w:tcW w:w="988" w:type="dxa"/>
            <w:gridSpan w:val="2"/>
            <w:shd w:val="clear" w:color="auto" w:fill="4472C4" w:themeFill="accent1"/>
            <w:noWrap/>
            <w:hideMark/>
          </w:tcPr>
          <w:p w14:paraId="662D5FA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2"/>
              </w:rPr>
            </w:pPr>
            <w:r w:rsidRPr="00FF756A">
              <w:rPr>
                <w:rFonts w:cs="Times New Roman"/>
                <w:color w:val="FFFFFF" w:themeColor="background1"/>
                <w:sz w:val="20"/>
                <w:szCs w:val="22"/>
              </w:rPr>
              <w:t>3,3%</w:t>
            </w:r>
          </w:p>
        </w:tc>
        <w:tc>
          <w:tcPr>
            <w:tcW w:w="988" w:type="dxa"/>
            <w:noWrap/>
            <w:hideMark/>
          </w:tcPr>
          <w:p w14:paraId="75BB348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5,2%</w:t>
            </w:r>
          </w:p>
        </w:tc>
        <w:tc>
          <w:tcPr>
            <w:tcW w:w="989" w:type="dxa"/>
            <w:noWrap/>
          </w:tcPr>
          <w:p w14:paraId="29DAF4F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7,8%</w:t>
            </w:r>
          </w:p>
        </w:tc>
      </w:tr>
      <w:tr w:rsidR="00B86FB3" w:rsidRPr="00FF756A" w14:paraId="00614687"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70" w:type="dxa"/>
            <w:noWrap/>
            <w:hideMark/>
          </w:tcPr>
          <w:p w14:paraId="10D42DE1" w14:textId="77777777" w:rsidR="00B86FB3" w:rsidRPr="00FF756A" w:rsidRDefault="00B86FB3" w:rsidP="00B86FB3">
            <w:pPr>
              <w:rPr>
                <w:rFonts w:eastAsia="Times New Roman" w:cs="Times New Roman"/>
                <w:bCs w:val="0"/>
                <w:sz w:val="20"/>
                <w:szCs w:val="20"/>
              </w:rPr>
            </w:pPr>
            <w:r w:rsidRPr="00FF756A">
              <w:rPr>
                <w:rFonts w:cs="Times New Roman"/>
                <w:sz w:val="20"/>
                <w:szCs w:val="20"/>
              </w:rPr>
              <w:t>Shërbimet</w:t>
            </w:r>
          </w:p>
        </w:tc>
        <w:tc>
          <w:tcPr>
            <w:tcW w:w="988" w:type="dxa"/>
            <w:shd w:val="clear" w:color="auto" w:fill="4472C4" w:themeFill="accent1"/>
            <w:noWrap/>
            <w:hideMark/>
          </w:tcPr>
          <w:p w14:paraId="36F0C75D"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0"/>
                <w:szCs w:val="20"/>
              </w:rPr>
            </w:pPr>
          </w:p>
        </w:tc>
        <w:tc>
          <w:tcPr>
            <w:tcW w:w="988" w:type="dxa"/>
            <w:gridSpan w:val="2"/>
            <w:shd w:val="clear" w:color="auto" w:fill="4472C4" w:themeFill="accent1"/>
            <w:noWrap/>
            <w:hideMark/>
          </w:tcPr>
          <w:p w14:paraId="4E1CFE38"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rPr>
            </w:pPr>
          </w:p>
        </w:tc>
        <w:tc>
          <w:tcPr>
            <w:tcW w:w="988" w:type="dxa"/>
            <w:shd w:val="clear" w:color="auto" w:fill="4472C4" w:themeFill="accent1"/>
            <w:noWrap/>
            <w:hideMark/>
          </w:tcPr>
          <w:p w14:paraId="49519677"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rPr>
            </w:pPr>
          </w:p>
        </w:tc>
        <w:tc>
          <w:tcPr>
            <w:tcW w:w="988" w:type="dxa"/>
            <w:gridSpan w:val="2"/>
            <w:shd w:val="clear" w:color="auto" w:fill="4472C4" w:themeFill="accent1"/>
            <w:noWrap/>
            <w:hideMark/>
          </w:tcPr>
          <w:p w14:paraId="5A063130"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rPr>
            </w:pPr>
          </w:p>
        </w:tc>
        <w:tc>
          <w:tcPr>
            <w:tcW w:w="988" w:type="dxa"/>
            <w:shd w:val="clear" w:color="auto" w:fill="4472C4" w:themeFill="accent1"/>
            <w:noWrap/>
            <w:hideMark/>
          </w:tcPr>
          <w:p w14:paraId="3A99F619"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rPr>
            </w:pPr>
          </w:p>
        </w:tc>
        <w:tc>
          <w:tcPr>
            <w:tcW w:w="988" w:type="dxa"/>
            <w:gridSpan w:val="2"/>
            <w:shd w:val="clear" w:color="auto" w:fill="4472C4" w:themeFill="accent1"/>
            <w:noWrap/>
            <w:hideMark/>
          </w:tcPr>
          <w:p w14:paraId="3F82F9FE"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FFFFFF" w:themeColor="background1"/>
                <w:sz w:val="20"/>
                <w:szCs w:val="20"/>
              </w:rPr>
            </w:pPr>
          </w:p>
        </w:tc>
        <w:tc>
          <w:tcPr>
            <w:tcW w:w="988" w:type="dxa"/>
            <w:shd w:val="clear" w:color="auto" w:fill="4472C4" w:themeFill="accent1"/>
            <w:noWrap/>
            <w:hideMark/>
          </w:tcPr>
          <w:p w14:paraId="1EBD681B"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rPr>
            </w:pPr>
          </w:p>
        </w:tc>
        <w:tc>
          <w:tcPr>
            <w:tcW w:w="989" w:type="dxa"/>
            <w:shd w:val="clear" w:color="auto" w:fill="4472C4" w:themeFill="accent1"/>
            <w:noWrap/>
          </w:tcPr>
          <w:p w14:paraId="634F9DB0"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rPr>
            </w:pPr>
          </w:p>
        </w:tc>
      </w:tr>
      <w:tr w:rsidR="00B86FB3" w:rsidRPr="00FF756A" w14:paraId="31DBA700"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70" w:type="dxa"/>
            <w:noWrap/>
            <w:hideMark/>
          </w:tcPr>
          <w:p w14:paraId="2EDB5780" w14:textId="77777777" w:rsidR="00B86FB3" w:rsidRPr="00FF756A" w:rsidRDefault="00B86FB3" w:rsidP="00B86FB3">
            <w:pPr>
              <w:rPr>
                <w:rFonts w:eastAsia="Times New Roman" w:cs="Times New Roman"/>
                <w:b w:val="0"/>
                <w:sz w:val="20"/>
                <w:szCs w:val="20"/>
              </w:rPr>
            </w:pPr>
            <w:r w:rsidRPr="00FF756A">
              <w:rPr>
                <w:rFonts w:cs="Times New Roman"/>
                <w:sz w:val="20"/>
                <w:szCs w:val="20"/>
              </w:rPr>
              <w:t>Lënda drusore</w:t>
            </w:r>
          </w:p>
        </w:tc>
        <w:tc>
          <w:tcPr>
            <w:tcW w:w="988" w:type="dxa"/>
            <w:noWrap/>
            <w:hideMark/>
          </w:tcPr>
          <w:p w14:paraId="2FB894A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6,1%</w:t>
            </w:r>
          </w:p>
        </w:tc>
        <w:tc>
          <w:tcPr>
            <w:tcW w:w="988" w:type="dxa"/>
            <w:gridSpan w:val="2"/>
            <w:noWrap/>
            <w:hideMark/>
          </w:tcPr>
          <w:p w14:paraId="572BBA0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6,1%</w:t>
            </w:r>
          </w:p>
        </w:tc>
        <w:tc>
          <w:tcPr>
            <w:tcW w:w="988" w:type="dxa"/>
            <w:noWrap/>
            <w:hideMark/>
          </w:tcPr>
          <w:p w14:paraId="438BDBC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6,1%</w:t>
            </w:r>
          </w:p>
        </w:tc>
        <w:tc>
          <w:tcPr>
            <w:tcW w:w="988" w:type="dxa"/>
            <w:gridSpan w:val="2"/>
            <w:noWrap/>
            <w:hideMark/>
          </w:tcPr>
          <w:p w14:paraId="677B679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6,1%</w:t>
            </w:r>
          </w:p>
        </w:tc>
        <w:tc>
          <w:tcPr>
            <w:tcW w:w="988" w:type="dxa"/>
            <w:noWrap/>
            <w:hideMark/>
          </w:tcPr>
          <w:p w14:paraId="0440EC5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6,1%</w:t>
            </w:r>
          </w:p>
        </w:tc>
        <w:tc>
          <w:tcPr>
            <w:tcW w:w="988" w:type="dxa"/>
            <w:gridSpan w:val="2"/>
            <w:shd w:val="clear" w:color="auto" w:fill="4472C4" w:themeFill="accent1"/>
            <w:noWrap/>
            <w:hideMark/>
          </w:tcPr>
          <w:p w14:paraId="49B75DB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0"/>
              </w:rPr>
            </w:pPr>
            <w:r w:rsidRPr="00FF756A">
              <w:rPr>
                <w:rFonts w:cs="Times New Roman"/>
                <w:color w:val="FFFFFF" w:themeColor="background1"/>
                <w:sz w:val="20"/>
                <w:szCs w:val="20"/>
              </w:rPr>
              <w:t>6,1%</w:t>
            </w:r>
          </w:p>
        </w:tc>
        <w:tc>
          <w:tcPr>
            <w:tcW w:w="988" w:type="dxa"/>
            <w:noWrap/>
            <w:hideMark/>
          </w:tcPr>
          <w:p w14:paraId="1A93BB8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6,1%</w:t>
            </w:r>
          </w:p>
        </w:tc>
        <w:tc>
          <w:tcPr>
            <w:tcW w:w="989" w:type="dxa"/>
            <w:noWrap/>
          </w:tcPr>
          <w:p w14:paraId="308D254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6,1%</w:t>
            </w:r>
          </w:p>
        </w:tc>
      </w:tr>
      <w:tr w:rsidR="00B86FB3" w:rsidRPr="00FF756A" w14:paraId="3117DFB0"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70" w:type="dxa"/>
            <w:noWrap/>
            <w:hideMark/>
          </w:tcPr>
          <w:p w14:paraId="52A28A28" w14:textId="77777777" w:rsidR="00B86FB3" w:rsidRPr="00FF756A" w:rsidRDefault="00B86FB3" w:rsidP="00B86FB3">
            <w:pPr>
              <w:rPr>
                <w:rFonts w:eastAsia="Times New Roman" w:cs="Times New Roman"/>
                <w:b w:val="0"/>
                <w:sz w:val="20"/>
                <w:szCs w:val="20"/>
              </w:rPr>
            </w:pPr>
            <w:r w:rsidRPr="00FF756A">
              <w:rPr>
                <w:rFonts w:cs="Times New Roman"/>
                <w:sz w:val="20"/>
                <w:szCs w:val="20"/>
              </w:rPr>
              <w:t>Energjia diellore</w:t>
            </w:r>
          </w:p>
        </w:tc>
        <w:tc>
          <w:tcPr>
            <w:tcW w:w="988" w:type="dxa"/>
            <w:noWrap/>
            <w:hideMark/>
          </w:tcPr>
          <w:p w14:paraId="409B149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2,3%</w:t>
            </w:r>
          </w:p>
        </w:tc>
        <w:tc>
          <w:tcPr>
            <w:tcW w:w="988" w:type="dxa"/>
            <w:gridSpan w:val="2"/>
            <w:noWrap/>
            <w:hideMark/>
          </w:tcPr>
          <w:p w14:paraId="1871F2E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2,3%</w:t>
            </w:r>
          </w:p>
        </w:tc>
        <w:tc>
          <w:tcPr>
            <w:tcW w:w="988" w:type="dxa"/>
            <w:noWrap/>
            <w:hideMark/>
          </w:tcPr>
          <w:p w14:paraId="66810A3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2,3%</w:t>
            </w:r>
          </w:p>
        </w:tc>
        <w:tc>
          <w:tcPr>
            <w:tcW w:w="988" w:type="dxa"/>
            <w:gridSpan w:val="2"/>
            <w:noWrap/>
            <w:hideMark/>
          </w:tcPr>
          <w:p w14:paraId="7F70FE6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2,3%</w:t>
            </w:r>
          </w:p>
        </w:tc>
        <w:tc>
          <w:tcPr>
            <w:tcW w:w="988" w:type="dxa"/>
            <w:noWrap/>
            <w:hideMark/>
          </w:tcPr>
          <w:p w14:paraId="2CDD626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2,3%</w:t>
            </w:r>
          </w:p>
        </w:tc>
        <w:tc>
          <w:tcPr>
            <w:tcW w:w="988" w:type="dxa"/>
            <w:gridSpan w:val="2"/>
            <w:shd w:val="clear" w:color="auto" w:fill="4472C4" w:themeFill="accent1"/>
            <w:noWrap/>
            <w:hideMark/>
          </w:tcPr>
          <w:p w14:paraId="4414FC4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20"/>
                <w:szCs w:val="20"/>
              </w:rPr>
            </w:pPr>
            <w:r w:rsidRPr="00FF756A">
              <w:rPr>
                <w:rFonts w:cs="Times New Roman"/>
                <w:color w:val="FFFFFF" w:themeColor="background1"/>
                <w:sz w:val="20"/>
                <w:szCs w:val="20"/>
              </w:rPr>
              <w:t>2,3%</w:t>
            </w:r>
          </w:p>
        </w:tc>
        <w:tc>
          <w:tcPr>
            <w:tcW w:w="988" w:type="dxa"/>
            <w:noWrap/>
            <w:hideMark/>
          </w:tcPr>
          <w:p w14:paraId="741F417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2,3%</w:t>
            </w:r>
          </w:p>
        </w:tc>
        <w:tc>
          <w:tcPr>
            <w:tcW w:w="989" w:type="dxa"/>
            <w:noWrap/>
          </w:tcPr>
          <w:p w14:paraId="6E1EDD2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FF756A">
              <w:rPr>
                <w:rFonts w:cs="Times New Roman"/>
                <w:color w:val="000000"/>
                <w:sz w:val="20"/>
                <w:szCs w:val="20"/>
              </w:rPr>
              <w:t>2,3%</w:t>
            </w:r>
          </w:p>
        </w:tc>
      </w:tr>
      <w:tr w:rsidR="00B86FB3" w:rsidRPr="00FF756A" w14:paraId="6973EF89"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70" w:type="dxa"/>
            <w:noWrap/>
            <w:hideMark/>
          </w:tcPr>
          <w:p w14:paraId="7BED42C4" w14:textId="77777777" w:rsidR="00B86FB3" w:rsidRPr="00FF756A" w:rsidRDefault="00B86FB3" w:rsidP="00B86FB3">
            <w:pPr>
              <w:rPr>
                <w:rFonts w:eastAsia="Times New Roman" w:cs="Times New Roman"/>
                <w:bCs w:val="0"/>
                <w:sz w:val="20"/>
                <w:szCs w:val="20"/>
              </w:rPr>
            </w:pPr>
            <w:r w:rsidRPr="00FF756A">
              <w:rPr>
                <w:rFonts w:cs="Times New Roman"/>
                <w:sz w:val="20"/>
                <w:szCs w:val="20"/>
              </w:rPr>
              <w:t>Industria</w:t>
            </w:r>
          </w:p>
        </w:tc>
        <w:tc>
          <w:tcPr>
            <w:tcW w:w="988" w:type="dxa"/>
            <w:shd w:val="clear" w:color="auto" w:fill="4472C4" w:themeFill="accent1"/>
            <w:noWrap/>
            <w:hideMark/>
          </w:tcPr>
          <w:p w14:paraId="5827659E"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rPr>
            </w:pPr>
            <w:r w:rsidRPr="00FF756A">
              <w:rPr>
                <w:rFonts w:cs="Times New Roman"/>
                <w:b/>
                <w:color w:val="000000"/>
                <w:sz w:val="20"/>
                <w:szCs w:val="20"/>
              </w:rPr>
              <w:t> </w:t>
            </w:r>
          </w:p>
        </w:tc>
        <w:tc>
          <w:tcPr>
            <w:tcW w:w="988" w:type="dxa"/>
            <w:gridSpan w:val="2"/>
            <w:shd w:val="clear" w:color="auto" w:fill="4472C4" w:themeFill="accent1"/>
            <w:noWrap/>
            <w:hideMark/>
          </w:tcPr>
          <w:p w14:paraId="7A724785"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rPr>
            </w:pPr>
            <w:r w:rsidRPr="00FF756A">
              <w:rPr>
                <w:rFonts w:cs="Times New Roman"/>
                <w:b/>
                <w:color w:val="000000"/>
                <w:sz w:val="20"/>
                <w:szCs w:val="20"/>
              </w:rPr>
              <w:t> </w:t>
            </w:r>
          </w:p>
        </w:tc>
        <w:tc>
          <w:tcPr>
            <w:tcW w:w="988" w:type="dxa"/>
            <w:shd w:val="clear" w:color="auto" w:fill="4472C4" w:themeFill="accent1"/>
            <w:noWrap/>
            <w:hideMark/>
          </w:tcPr>
          <w:p w14:paraId="0D2EB374"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rPr>
            </w:pPr>
            <w:r w:rsidRPr="00FF756A">
              <w:rPr>
                <w:rFonts w:cs="Times New Roman"/>
                <w:b/>
                <w:color w:val="000000"/>
                <w:sz w:val="20"/>
                <w:szCs w:val="20"/>
              </w:rPr>
              <w:t> </w:t>
            </w:r>
          </w:p>
        </w:tc>
        <w:tc>
          <w:tcPr>
            <w:tcW w:w="988" w:type="dxa"/>
            <w:gridSpan w:val="2"/>
            <w:shd w:val="clear" w:color="auto" w:fill="4472C4" w:themeFill="accent1"/>
            <w:noWrap/>
            <w:hideMark/>
          </w:tcPr>
          <w:p w14:paraId="53A71F9D"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rPr>
            </w:pPr>
            <w:r w:rsidRPr="00FF756A">
              <w:rPr>
                <w:rFonts w:cs="Times New Roman"/>
                <w:b/>
                <w:color w:val="000000"/>
                <w:sz w:val="20"/>
                <w:szCs w:val="20"/>
              </w:rPr>
              <w:t> </w:t>
            </w:r>
          </w:p>
        </w:tc>
        <w:tc>
          <w:tcPr>
            <w:tcW w:w="988" w:type="dxa"/>
            <w:shd w:val="clear" w:color="auto" w:fill="4472C4" w:themeFill="accent1"/>
            <w:noWrap/>
            <w:hideMark/>
          </w:tcPr>
          <w:p w14:paraId="4D74A5E6"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rPr>
            </w:pPr>
            <w:r w:rsidRPr="00FF756A">
              <w:rPr>
                <w:rFonts w:cs="Times New Roman"/>
                <w:b/>
                <w:color w:val="000000"/>
                <w:sz w:val="20"/>
                <w:szCs w:val="20"/>
              </w:rPr>
              <w:t> </w:t>
            </w:r>
          </w:p>
        </w:tc>
        <w:tc>
          <w:tcPr>
            <w:tcW w:w="988" w:type="dxa"/>
            <w:gridSpan w:val="2"/>
            <w:shd w:val="clear" w:color="auto" w:fill="4472C4" w:themeFill="accent1"/>
            <w:noWrap/>
            <w:hideMark/>
          </w:tcPr>
          <w:p w14:paraId="0F0D368F"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FFFFFF" w:themeColor="background1"/>
                <w:sz w:val="20"/>
                <w:szCs w:val="20"/>
              </w:rPr>
            </w:pPr>
            <w:r w:rsidRPr="00FF756A">
              <w:rPr>
                <w:rFonts w:cs="Times New Roman"/>
                <w:b/>
                <w:color w:val="FFFFFF" w:themeColor="background1"/>
                <w:sz w:val="20"/>
                <w:szCs w:val="20"/>
              </w:rPr>
              <w:t> </w:t>
            </w:r>
          </w:p>
        </w:tc>
        <w:tc>
          <w:tcPr>
            <w:tcW w:w="988" w:type="dxa"/>
            <w:shd w:val="clear" w:color="auto" w:fill="4472C4" w:themeFill="accent1"/>
            <w:noWrap/>
            <w:hideMark/>
          </w:tcPr>
          <w:p w14:paraId="08F2C2CD"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rPr>
            </w:pPr>
            <w:r w:rsidRPr="00FF756A">
              <w:rPr>
                <w:rFonts w:cs="Times New Roman"/>
                <w:b/>
                <w:color w:val="000000"/>
                <w:sz w:val="20"/>
                <w:szCs w:val="20"/>
              </w:rPr>
              <w:t> </w:t>
            </w:r>
          </w:p>
        </w:tc>
        <w:tc>
          <w:tcPr>
            <w:tcW w:w="989" w:type="dxa"/>
            <w:shd w:val="clear" w:color="auto" w:fill="4472C4" w:themeFill="accent1"/>
            <w:noWrap/>
          </w:tcPr>
          <w:p w14:paraId="6427E473"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rPr>
            </w:pPr>
          </w:p>
        </w:tc>
      </w:tr>
      <w:tr w:rsidR="00B86FB3" w:rsidRPr="00FF756A" w14:paraId="75641403"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70" w:type="dxa"/>
            <w:noWrap/>
            <w:hideMark/>
          </w:tcPr>
          <w:p w14:paraId="1FB939DB" w14:textId="77777777" w:rsidR="00B86FB3" w:rsidRPr="00FF756A" w:rsidRDefault="00B86FB3" w:rsidP="00B86FB3">
            <w:pPr>
              <w:rPr>
                <w:rFonts w:eastAsia="Times New Roman" w:cs="Times New Roman"/>
                <w:b w:val="0"/>
                <w:sz w:val="20"/>
                <w:szCs w:val="20"/>
              </w:rPr>
            </w:pPr>
            <w:r w:rsidRPr="00FF756A">
              <w:rPr>
                <w:rFonts w:cs="Times New Roman"/>
                <w:sz w:val="20"/>
                <w:szCs w:val="20"/>
              </w:rPr>
              <w:t>Lënda drusore</w:t>
            </w:r>
          </w:p>
        </w:tc>
        <w:tc>
          <w:tcPr>
            <w:tcW w:w="988" w:type="dxa"/>
            <w:noWrap/>
            <w:hideMark/>
          </w:tcPr>
          <w:p w14:paraId="1FED4D4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2,1%</w:t>
            </w:r>
          </w:p>
        </w:tc>
        <w:tc>
          <w:tcPr>
            <w:tcW w:w="988" w:type="dxa"/>
            <w:gridSpan w:val="2"/>
            <w:noWrap/>
            <w:hideMark/>
          </w:tcPr>
          <w:p w14:paraId="6DBAFBB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1,7%</w:t>
            </w:r>
          </w:p>
        </w:tc>
        <w:tc>
          <w:tcPr>
            <w:tcW w:w="988" w:type="dxa"/>
            <w:noWrap/>
            <w:hideMark/>
          </w:tcPr>
          <w:p w14:paraId="395710D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1,7%</w:t>
            </w:r>
          </w:p>
        </w:tc>
        <w:tc>
          <w:tcPr>
            <w:tcW w:w="988" w:type="dxa"/>
            <w:gridSpan w:val="2"/>
            <w:noWrap/>
            <w:hideMark/>
          </w:tcPr>
          <w:p w14:paraId="5C2DEA0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1,8%</w:t>
            </w:r>
          </w:p>
        </w:tc>
        <w:tc>
          <w:tcPr>
            <w:tcW w:w="988" w:type="dxa"/>
            <w:noWrap/>
            <w:hideMark/>
          </w:tcPr>
          <w:p w14:paraId="6878449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1,8%</w:t>
            </w:r>
          </w:p>
        </w:tc>
        <w:tc>
          <w:tcPr>
            <w:tcW w:w="988" w:type="dxa"/>
            <w:gridSpan w:val="2"/>
            <w:shd w:val="clear" w:color="auto" w:fill="4472C4" w:themeFill="accent1"/>
            <w:noWrap/>
            <w:hideMark/>
          </w:tcPr>
          <w:p w14:paraId="68ED4A1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20"/>
                <w:szCs w:val="22"/>
              </w:rPr>
            </w:pPr>
            <w:r w:rsidRPr="00FF756A">
              <w:rPr>
                <w:rFonts w:cs="Times New Roman"/>
                <w:color w:val="FFFFFF" w:themeColor="background1"/>
                <w:sz w:val="20"/>
                <w:szCs w:val="22"/>
              </w:rPr>
              <w:t>8,7%</w:t>
            </w:r>
          </w:p>
        </w:tc>
        <w:tc>
          <w:tcPr>
            <w:tcW w:w="988" w:type="dxa"/>
            <w:noWrap/>
            <w:hideMark/>
          </w:tcPr>
          <w:p w14:paraId="723F8B3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26,3%</w:t>
            </w:r>
          </w:p>
        </w:tc>
        <w:tc>
          <w:tcPr>
            <w:tcW w:w="989" w:type="dxa"/>
            <w:noWrap/>
          </w:tcPr>
          <w:p w14:paraId="0ACCFF2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37,0%</w:t>
            </w:r>
          </w:p>
        </w:tc>
      </w:tr>
      <w:tr w:rsidR="00B86FB3" w:rsidRPr="00FF756A" w14:paraId="4B8863F1"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70" w:type="dxa"/>
            <w:noWrap/>
            <w:hideMark/>
          </w:tcPr>
          <w:p w14:paraId="1B60A96F" w14:textId="77777777" w:rsidR="00B86FB3" w:rsidRPr="00FF756A" w:rsidRDefault="00B86FB3" w:rsidP="00B86FB3">
            <w:pPr>
              <w:rPr>
                <w:rFonts w:eastAsia="Times New Roman" w:cs="Times New Roman"/>
                <w:b w:val="0"/>
                <w:sz w:val="20"/>
                <w:szCs w:val="20"/>
              </w:rPr>
            </w:pPr>
            <w:r w:rsidRPr="00FF756A">
              <w:rPr>
                <w:rFonts w:cs="Times New Roman"/>
                <w:sz w:val="20"/>
                <w:szCs w:val="20"/>
              </w:rPr>
              <w:t>Energjia diellore</w:t>
            </w:r>
          </w:p>
        </w:tc>
        <w:tc>
          <w:tcPr>
            <w:tcW w:w="988" w:type="dxa"/>
            <w:noWrap/>
            <w:hideMark/>
          </w:tcPr>
          <w:p w14:paraId="6650C1F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0,3%</w:t>
            </w:r>
          </w:p>
        </w:tc>
        <w:tc>
          <w:tcPr>
            <w:tcW w:w="988" w:type="dxa"/>
            <w:gridSpan w:val="2"/>
            <w:noWrap/>
            <w:hideMark/>
          </w:tcPr>
          <w:p w14:paraId="432F0FB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0,3%</w:t>
            </w:r>
          </w:p>
        </w:tc>
        <w:tc>
          <w:tcPr>
            <w:tcW w:w="988" w:type="dxa"/>
            <w:noWrap/>
            <w:hideMark/>
          </w:tcPr>
          <w:p w14:paraId="7F7B465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0,3%</w:t>
            </w:r>
          </w:p>
        </w:tc>
        <w:tc>
          <w:tcPr>
            <w:tcW w:w="988" w:type="dxa"/>
            <w:gridSpan w:val="2"/>
            <w:noWrap/>
            <w:hideMark/>
          </w:tcPr>
          <w:p w14:paraId="37461D1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0,3%</w:t>
            </w:r>
          </w:p>
        </w:tc>
        <w:tc>
          <w:tcPr>
            <w:tcW w:w="988" w:type="dxa"/>
            <w:noWrap/>
            <w:hideMark/>
          </w:tcPr>
          <w:p w14:paraId="17D60E7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0,3%</w:t>
            </w:r>
          </w:p>
        </w:tc>
        <w:tc>
          <w:tcPr>
            <w:tcW w:w="988" w:type="dxa"/>
            <w:gridSpan w:val="2"/>
            <w:shd w:val="clear" w:color="auto" w:fill="4472C4" w:themeFill="accent1"/>
            <w:noWrap/>
            <w:hideMark/>
          </w:tcPr>
          <w:p w14:paraId="09F687D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2"/>
              </w:rPr>
            </w:pPr>
            <w:r w:rsidRPr="00FF756A">
              <w:rPr>
                <w:rFonts w:cs="Times New Roman"/>
                <w:color w:val="FFFFFF" w:themeColor="background1"/>
                <w:sz w:val="20"/>
                <w:szCs w:val="22"/>
              </w:rPr>
              <w:t>0,4%</w:t>
            </w:r>
          </w:p>
        </w:tc>
        <w:tc>
          <w:tcPr>
            <w:tcW w:w="988" w:type="dxa"/>
            <w:noWrap/>
            <w:hideMark/>
          </w:tcPr>
          <w:p w14:paraId="51C4E51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0,6%</w:t>
            </w:r>
          </w:p>
        </w:tc>
        <w:tc>
          <w:tcPr>
            <w:tcW w:w="989" w:type="dxa"/>
            <w:noWrap/>
          </w:tcPr>
          <w:p w14:paraId="09959BD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0,9%</w:t>
            </w:r>
          </w:p>
        </w:tc>
      </w:tr>
      <w:tr w:rsidR="00B86FB3" w:rsidRPr="00FF756A" w14:paraId="1845E14E"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2293" w:type="dxa"/>
            <w:gridSpan w:val="3"/>
            <w:noWrap/>
            <w:hideMark/>
          </w:tcPr>
          <w:p w14:paraId="4A6EF06A" w14:textId="77777777" w:rsidR="00B86FB3" w:rsidRPr="00FF756A" w:rsidRDefault="00B86FB3" w:rsidP="00B86FB3">
            <w:pPr>
              <w:rPr>
                <w:rFonts w:eastAsia="Times New Roman" w:cs="Times New Roman"/>
                <w:bCs w:val="0"/>
                <w:sz w:val="20"/>
                <w:szCs w:val="20"/>
              </w:rPr>
            </w:pPr>
            <w:r w:rsidRPr="00FF756A">
              <w:rPr>
                <w:rFonts w:cs="Times New Roman"/>
                <w:sz w:val="20"/>
                <w:szCs w:val="20"/>
              </w:rPr>
              <w:t>Totali i kërkesës finale për energji (FE)</w:t>
            </w:r>
          </w:p>
        </w:tc>
        <w:tc>
          <w:tcPr>
            <w:tcW w:w="2294" w:type="dxa"/>
            <w:gridSpan w:val="3"/>
            <w:shd w:val="clear" w:color="auto" w:fill="4472C4" w:themeFill="accent1"/>
            <w:noWrap/>
            <w:hideMark/>
          </w:tcPr>
          <w:p w14:paraId="1D09E083"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FFFFFF" w:themeColor="background1"/>
                <w:sz w:val="20"/>
                <w:szCs w:val="20"/>
              </w:rPr>
            </w:pPr>
          </w:p>
        </w:tc>
        <w:tc>
          <w:tcPr>
            <w:tcW w:w="2294" w:type="dxa"/>
            <w:gridSpan w:val="3"/>
            <w:shd w:val="clear" w:color="auto" w:fill="4472C4" w:themeFill="accent1"/>
            <w:noWrap/>
            <w:hideMark/>
          </w:tcPr>
          <w:p w14:paraId="1EF6B871"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rPr>
            </w:pPr>
          </w:p>
        </w:tc>
        <w:tc>
          <w:tcPr>
            <w:tcW w:w="2294" w:type="dxa"/>
            <w:gridSpan w:val="3"/>
            <w:shd w:val="clear" w:color="auto" w:fill="4472C4" w:themeFill="accent1"/>
            <w:noWrap/>
          </w:tcPr>
          <w:p w14:paraId="7A0E7906"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0"/>
              </w:rPr>
            </w:pPr>
          </w:p>
        </w:tc>
      </w:tr>
      <w:tr w:rsidR="00B86FB3" w:rsidRPr="00FF756A" w14:paraId="3476079F"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70" w:type="dxa"/>
            <w:noWrap/>
            <w:hideMark/>
          </w:tcPr>
          <w:p w14:paraId="4BE12635" w14:textId="77777777" w:rsidR="00B86FB3" w:rsidRPr="00FF756A" w:rsidRDefault="00B86FB3" w:rsidP="00B86FB3">
            <w:pPr>
              <w:rPr>
                <w:rFonts w:eastAsia="Times New Roman" w:cs="Times New Roman"/>
                <w:b w:val="0"/>
                <w:sz w:val="20"/>
                <w:szCs w:val="20"/>
              </w:rPr>
            </w:pPr>
            <w:r w:rsidRPr="00FF756A">
              <w:rPr>
                <w:rFonts w:cs="Times New Roman"/>
                <w:sz w:val="20"/>
                <w:szCs w:val="20"/>
              </w:rPr>
              <w:t>Lënda drusore</w:t>
            </w:r>
          </w:p>
        </w:tc>
        <w:tc>
          <w:tcPr>
            <w:tcW w:w="988" w:type="dxa"/>
            <w:noWrap/>
            <w:hideMark/>
          </w:tcPr>
          <w:p w14:paraId="178393E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7,8%</w:t>
            </w:r>
          </w:p>
        </w:tc>
        <w:tc>
          <w:tcPr>
            <w:tcW w:w="988" w:type="dxa"/>
            <w:gridSpan w:val="2"/>
            <w:noWrap/>
            <w:hideMark/>
          </w:tcPr>
          <w:p w14:paraId="2DCEA85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7,1%</w:t>
            </w:r>
          </w:p>
        </w:tc>
        <w:tc>
          <w:tcPr>
            <w:tcW w:w="988" w:type="dxa"/>
            <w:noWrap/>
            <w:hideMark/>
          </w:tcPr>
          <w:p w14:paraId="6C1BEE4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6,9%</w:t>
            </w:r>
          </w:p>
        </w:tc>
        <w:tc>
          <w:tcPr>
            <w:tcW w:w="988" w:type="dxa"/>
            <w:gridSpan w:val="2"/>
            <w:noWrap/>
            <w:hideMark/>
          </w:tcPr>
          <w:p w14:paraId="06905B1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6,9%</w:t>
            </w:r>
          </w:p>
        </w:tc>
        <w:tc>
          <w:tcPr>
            <w:tcW w:w="988" w:type="dxa"/>
            <w:noWrap/>
            <w:hideMark/>
          </w:tcPr>
          <w:p w14:paraId="6B02E6E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6,8%</w:t>
            </w:r>
          </w:p>
        </w:tc>
        <w:tc>
          <w:tcPr>
            <w:tcW w:w="988" w:type="dxa"/>
            <w:gridSpan w:val="2"/>
            <w:shd w:val="clear" w:color="auto" w:fill="4472C4" w:themeFill="accent1"/>
            <w:noWrap/>
            <w:hideMark/>
          </w:tcPr>
          <w:p w14:paraId="6961278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20"/>
                <w:szCs w:val="22"/>
              </w:rPr>
            </w:pPr>
            <w:r w:rsidRPr="00FF756A">
              <w:rPr>
                <w:rFonts w:cs="Times New Roman"/>
                <w:color w:val="FFFFFF" w:themeColor="background1"/>
                <w:sz w:val="20"/>
                <w:szCs w:val="22"/>
              </w:rPr>
              <w:t>8,0%</w:t>
            </w:r>
          </w:p>
        </w:tc>
        <w:tc>
          <w:tcPr>
            <w:tcW w:w="988" w:type="dxa"/>
            <w:noWrap/>
            <w:hideMark/>
          </w:tcPr>
          <w:p w14:paraId="4F371AF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12,9%</w:t>
            </w:r>
          </w:p>
        </w:tc>
        <w:tc>
          <w:tcPr>
            <w:tcW w:w="989" w:type="dxa"/>
            <w:noWrap/>
          </w:tcPr>
          <w:p w14:paraId="101298A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17,8%</w:t>
            </w:r>
          </w:p>
        </w:tc>
      </w:tr>
      <w:tr w:rsidR="00B86FB3" w:rsidRPr="00FF756A" w14:paraId="2E98FE19"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70" w:type="dxa"/>
            <w:noWrap/>
            <w:hideMark/>
          </w:tcPr>
          <w:p w14:paraId="2F0F1BE8" w14:textId="77777777" w:rsidR="00B86FB3" w:rsidRPr="00FF756A" w:rsidRDefault="00B86FB3" w:rsidP="00B86FB3">
            <w:pPr>
              <w:rPr>
                <w:rFonts w:eastAsia="Times New Roman" w:cs="Times New Roman"/>
                <w:b w:val="0"/>
                <w:sz w:val="20"/>
                <w:szCs w:val="20"/>
              </w:rPr>
            </w:pPr>
            <w:r w:rsidRPr="00FF756A">
              <w:rPr>
                <w:rFonts w:cs="Times New Roman"/>
                <w:sz w:val="20"/>
                <w:szCs w:val="20"/>
              </w:rPr>
              <w:t>Energjia diellore</w:t>
            </w:r>
          </w:p>
        </w:tc>
        <w:tc>
          <w:tcPr>
            <w:tcW w:w="988" w:type="dxa"/>
            <w:noWrap/>
            <w:hideMark/>
          </w:tcPr>
          <w:p w14:paraId="71AE4F2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0,7%</w:t>
            </w:r>
          </w:p>
        </w:tc>
        <w:tc>
          <w:tcPr>
            <w:tcW w:w="988" w:type="dxa"/>
            <w:gridSpan w:val="2"/>
            <w:noWrap/>
            <w:hideMark/>
          </w:tcPr>
          <w:p w14:paraId="471F43A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0,7%</w:t>
            </w:r>
          </w:p>
        </w:tc>
        <w:tc>
          <w:tcPr>
            <w:tcW w:w="988" w:type="dxa"/>
            <w:noWrap/>
            <w:hideMark/>
          </w:tcPr>
          <w:p w14:paraId="1573A91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0,7%</w:t>
            </w:r>
          </w:p>
        </w:tc>
        <w:tc>
          <w:tcPr>
            <w:tcW w:w="988" w:type="dxa"/>
            <w:gridSpan w:val="2"/>
            <w:noWrap/>
            <w:hideMark/>
          </w:tcPr>
          <w:p w14:paraId="112B03D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0,7%</w:t>
            </w:r>
          </w:p>
        </w:tc>
        <w:tc>
          <w:tcPr>
            <w:tcW w:w="988" w:type="dxa"/>
            <w:noWrap/>
            <w:hideMark/>
          </w:tcPr>
          <w:p w14:paraId="3A3F2E3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0,8%</w:t>
            </w:r>
          </w:p>
        </w:tc>
        <w:tc>
          <w:tcPr>
            <w:tcW w:w="988" w:type="dxa"/>
            <w:gridSpan w:val="2"/>
            <w:shd w:val="clear" w:color="auto" w:fill="4472C4" w:themeFill="accent1"/>
            <w:noWrap/>
            <w:hideMark/>
          </w:tcPr>
          <w:p w14:paraId="24DBD48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20"/>
                <w:szCs w:val="22"/>
              </w:rPr>
            </w:pPr>
            <w:r w:rsidRPr="00FF756A">
              <w:rPr>
                <w:rFonts w:cs="Times New Roman"/>
                <w:color w:val="FFFFFF" w:themeColor="background1"/>
                <w:sz w:val="20"/>
                <w:szCs w:val="22"/>
              </w:rPr>
              <w:t>1,0%</w:t>
            </w:r>
          </w:p>
        </w:tc>
        <w:tc>
          <w:tcPr>
            <w:tcW w:w="988" w:type="dxa"/>
            <w:noWrap/>
            <w:hideMark/>
          </w:tcPr>
          <w:p w14:paraId="2075513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1,4%</w:t>
            </w:r>
          </w:p>
        </w:tc>
        <w:tc>
          <w:tcPr>
            <w:tcW w:w="989" w:type="dxa"/>
            <w:noWrap/>
          </w:tcPr>
          <w:p w14:paraId="4FBA0685" w14:textId="77777777" w:rsidR="00B86FB3" w:rsidRPr="00FF756A" w:rsidRDefault="00B86FB3" w:rsidP="00CA0875">
            <w:pPr>
              <w:keepNext/>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2"/>
              </w:rPr>
            </w:pPr>
            <w:r w:rsidRPr="00FF756A">
              <w:rPr>
                <w:rFonts w:cs="Times New Roman"/>
                <w:sz w:val="20"/>
                <w:szCs w:val="22"/>
              </w:rPr>
              <w:t>2,0%</w:t>
            </w:r>
          </w:p>
        </w:tc>
      </w:tr>
    </w:tbl>
    <w:p w14:paraId="72A932B0" w14:textId="7C0A5B09" w:rsidR="00B86FB3" w:rsidRPr="00FF756A" w:rsidRDefault="00CA0875" w:rsidP="00CA0875">
      <w:pPr>
        <w:pStyle w:val="Caption"/>
        <w:rPr>
          <w:rFonts w:ascii="Times New Roman" w:hAnsi="Times New Roman"/>
        </w:rPr>
      </w:pPr>
      <w:bookmarkStart w:id="721" w:name="_Toc183016522"/>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58</w:t>
      </w:r>
      <w:r w:rsidR="008E7DE9" w:rsidRPr="00FF756A">
        <w:rPr>
          <w:rFonts w:ascii="Times New Roman" w:hAnsi="Times New Roman"/>
          <w:noProof/>
        </w:rPr>
        <w:fldChar w:fldCharType="end"/>
      </w:r>
      <w:r w:rsidRPr="00FF756A">
        <w:rPr>
          <w:rFonts w:ascii="Times New Roman" w:hAnsi="Times New Roman"/>
        </w:rPr>
        <w:t>: Përqindja e energjisë nga lënda drusore dhe burimet diellore në kërkesën finale për energji të sektorëve që shfrytëzojnë këto burime, sipas parashikimit për skenarin WAM. Vini re se përqindjet këtu nuk janë të njëjta me përqindjen e BRE-N &amp; F, pasi kjo e fundit nuk është në raport me energjinë finale, por me energjinë finale të ndryshme nga energjia elektrike.</w:t>
      </w:r>
      <w:bookmarkEnd w:id="721"/>
    </w:p>
    <w:p w14:paraId="600A7FDF" w14:textId="77777777" w:rsidR="00B86FB3" w:rsidRPr="00FF756A" w:rsidRDefault="00B86FB3" w:rsidP="00B86FB3">
      <w:pPr>
        <w:rPr>
          <w:i/>
          <w:iCs/>
          <w:color w:val="2F5496" w:themeColor="accent1" w:themeShade="BF"/>
        </w:rPr>
      </w:pPr>
      <w:r w:rsidRPr="00FF756A">
        <w:rPr>
          <w:i/>
          <w:iCs/>
          <w:color w:val="2F5496" w:themeColor="accent1" w:themeShade="BF"/>
        </w:rPr>
        <w:t>Dimensioni i efiçencës së energjisë</w:t>
      </w:r>
    </w:p>
    <w:p w14:paraId="0DD88A9F" w14:textId="77777777" w:rsidR="00B86FB3" w:rsidRPr="00FF756A" w:rsidRDefault="00B86FB3" w:rsidP="00B86FB3">
      <w:r w:rsidRPr="00FF756A">
        <w:t xml:space="preserve">Ky seksion përshkruan me detaje parashikimet me masa shtesë për konsumin e energjisë nga ekonomia. Në hyrje të tij gjendet një përmbledhje e furnizimit me energji primare për të gjitha burimet, që plotëson trajtimin e dallimeve midis WAM dhe WEM në seksionin e mësipërm, për sa u përket përqindjeve të burimeve të rinovueshme në furnizimin me energji primare. Përmbledhja pasohet nga një vlerësim i kërkesave finale për energji, parë dhe nga një pikëpamje sektoriale e tendencave të konsumit final të energjisë. </w:t>
      </w:r>
    </w:p>
    <w:p w14:paraId="474AABDC" w14:textId="77777777" w:rsidR="00B86FB3" w:rsidRPr="00FF756A" w:rsidRDefault="00B86FB3" w:rsidP="00B86FB3">
      <w:pPr>
        <w:keepNext/>
        <w:keepLines/>
        <w:spacing w:before="320"/>
        <w:outlineLvl w:val="4"/>
        <w:rPr>
          <w:rFonts w:eastAsia="Arial"/>
          <w:b/>
          <w:bCs/>
          <w:sz w:val="24"/>
          <w:szCs w:val="24"/>
        </w:rPr>
      </w:pPr>
      <w:bookmarkStart w:id="722" w:name="_Toc183639310"/>
      <w:r w:rsidRPr="00FF756A">
        <w:rPr>
          <w:rFonts w:eastAsia="Arial"/>
          <w:b/>
          <w:bCs/>
          <w:sz w:val="24"/>
          <w:szCs w:val="24"/>
        </w:rPr>
        <w:t>Furnizimi me energji primare</w:t>
      </w:r>
      <w:bookmarkEnd w:id="722"/>
    </w:p>
    <w:p w14:paraId="16AFF64F" w14:textId="77777777" w:rsidR="00B86FB3" w:rsidRPr="00FF756A" w:rsidRDefault="00B86FB3" w:rsidP="00B86FB3">
      <w:r w:rsidRPr="00FF756A">
        <w:t xml:space="preserve">Si një prezantim me furnizimin me energji primare në Shqipëri, </w:t>
      </w:r>
      <w:r w:rsidRPr="00FF756A">
        <w:fldChar w:fldCharType="begin"/>
      </w:r>
      <w:r w:rsidRPr="00FF756A">
        <w:instrText xml:space="preserve"> REF _Ref75945511 \h  \* MERGEFORMAT </w:instrText>
      </w:r>
      <w:r w:rsidRPr="00FF756A">
        <w:fldChar w:fldCharType="separate"/>
      </w:r>
      <w:r w:rsidRPr="00FF756A">
        <w:t>Tabela 34</w:t>
      </w:r>
      <w:r w:rsidRPr="00FF756A">
        <w:fldChar w:fldCharType="end"/>
      </w:r>
      <w:r w:rsidRPr="00FF756A">
        <w:t xml:space="preserve"> paraqet një krahasim të furnizimit me energji primare në skenarin WEM (nga kreu 4) dhe skenarët WAM (ky kre), duke marrë në konsideratë edhe variantin e WAM-it në të cilin impiantet e ER-së vihen në funksion vetëm për të përmbushur kërkesën e brendshme. </w:t>
      </w:r>
    </w:p>
    <w:p w14:paraId="7788F0F0" w14:textId="77777777" w:rsidR="00B86FB3" w:rsidRPr="00FF756A" w:rsidRDefault="00B86FB3" w:rsidP="00B86FB3">
      <w:r w:rsidRPr="00FF756A">
        <w:t xml:space="preserve">Në të gjithë skenarët, totali i kërkesës neto për energji është në rritje. Teksa në skenarin WEM, konsumi neto i energjisë primare rritet (në krahasim me vitin 2020) me 21,3% deri në vitin 2030 dhe 97,3% deri në vitin 2050, ai rritet me vetëm 14,8% deri në vitin 2030 dhe 48,5% deri në vitin 2050 në skenarin WAM. Në mënyrë krahasimore, konsumi në skenarin WAM reduktohet krahasuar me skenarin WEM me 6,4 % në vitin 2030 dhe 48,8% në vitin 2050. Duhet theksuar se dallimi ndërmjet “skenarit WAM që merr në konsideratë vetëm ER-në për përmbushjen e kërkesës” dhe skenarit WAM nuk qëndron te vlerat neto, por te prodhimi primar dhe tek eksportet. Teprica e energjisë elektrike eksportohet në “skenarin WAM që merr në konsideratë vetëm ER-në për përmbushjen e kërkesës”, ndërkohë që konsumi neto mbetet pothuajse i barabartë. </w:t>
      </w:r>
    </w:p>
    <w:tbl>
      <w:tblPr>
        <w:tblStyle w:val="GridTable5DarkAccent10"/>
        <w:tblW w:w="5000" w:type="pct"/>
        <w:tblLayout w:type="fixed"/>
        <w:tblLook w:val="04A0" w:firstRow="1" w:lastRow="0" w:firstColumn="1" w:lastColumn="0" w:noHBand="0" w:noVBand="1"/>
      </w:tblPr>
      <w:tblGrid>
        <w:gridCol w:w="2245"/>
        <w:gridCol w:w="872"/>
        <w:gridCol w:w="848"/>
        <w:gridCol w:w="850"/>
        <w:gridCol w:w="850"/>
        <w:gridCol w:w="852"/>
        <w:gridCol w:w="848"/>
        <w:gridCol w:w="852"/>
        <w:gridCol w:w="845"/>
      </w:tblGrid>
      <w:tr w:rsidR="00B86FB3" w:rsidRPr="00FF756A" w14:paraId="60B9CFCF" w14:textId="77777777" w:rsidTr="006A3266">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39" w:type="pct"/>
            <w:noWrap/>
            <w:hideMark/>
          </w:tcPr>
          <w:p w14:paraId="5B9028E3" w14:textId="77777777" w:rsidR="00B86FB3" w:rsidRPr="00FF756A" w:rsidRDefault="00B86FB3" w:rsidP="00B86FB3">
            <w:pPr>
              <w:spacing w:before="0" w:after="0" w:line="240" w:lineRule="auto"/>
              <w:jc w:val="left"/>
              <w:rPr>
                <w:rFonts w:eastAsia="Times New Roman" w:cs="Times New Roman"/>
                <w:sz w:val="18"/>
                <w:szCs w:val="18"/>
              </w:rPr>
            </w:pPr>
            <w:r w:rsidRPr="00FF756A">
              <w:rPr>
                <w:rFonts w:cs="Times New Roman"/>
                <w:sz w:val="18"/>
                <w:szCs w:val="18"/>
              </w:rPr>
              <w:t>[ktoe]</w:t>
            </w:r>
          </w:p>
        </w:tc>
        <w:tc>
          <w:tcPr>
            <w:tcW w:w="481" w:type="pct"/>
            <w:noWrap/>
            <w:hideMark/>
          </w:tcPr>
          <w:p w14:paraId="447D767D" w14:textId="77777777" w:rsidR="00B86FB3" w:rsidRPr="00FF756A" w:rsidRDefault="00B86FB3" w:rsidP="00B86FB3">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rPr>
            </w:pPr>
            <w:r w:rsidRPr="00FF756A">
              <w:rPr>
                <w:rFonts w:cs="Times New Roman"/>
                <w:sz w:val="18"/>
                <w:szCs w:val="18"/>
              </w:rPr>
              <w:t>2020</w:t>
            </w:r>
          </w:p>
        </w:tc>
        <w:tc>
          <w:tcPr>
            <w:tcW w:w="468" w:type="pct"/>
            <w:noWrap/>
            <w:hideMark/>
          </w:tcPr>
          <w:p w14:paraId="1C377413" w14:textId="77777777" w:rsidR="00B86FB3" w:rsidRPr="00FF756A" w:rsidRDefault="00B86FB3" w:rsidP="00B86FB3">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rPr>
            </w:pPr>
            <w:r w:rsidRPr="00FF756A">
              <w:rPr>
                <w:rFonts w:cs="Times New Roman"/>
                <w:sz w:val="18"/>
                <w:szCs w:val="18"/>
              </w:rPr>
              <w:t>2021</w:t>
            </w:r>
          </w:p>
        </w:tc>
        <w:tc>
          <w:tcPr>
            <w:tcW w:w="469" w:type="pct"/>
            <w:noWrap/>
            <w:hideMark/>
          </w:tcPr>
          <w:p w14:paraId="166CCE81" w14:textId="77777777" w:rsidR="00B86FB3" w:rsidRPr="00FF756A" w:rsidRDefault="00B86FB3" w:rsidP="00B86FB3">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rPr>
            </w:pPr>
            <w:r w:rsidRPr="00FF756A">
              <w:rPr>
                <w:rFonts w:cs="Times New Roman"/>
                <w:sz w:val="18"/>
                <w:szCs w:val="18"/>
              </w:rPr>
              <w:t>2022</w:t>
            </w:r>
          </w:p>
        </w:tc>
        <w:tc>
          <w:tcPr>
            <w:tcW w:w="469" w:type="pct"/>
            <w:noWrap/>
            <w:hideMark/>
          </w:tcPr>
          <w:p w14:paraId="673AD6EB" w14:textId="77777777" w:rsidR="00B86FB3" w:rsidRPr="00FF756A" w:rsidRDefault="00B86FB3" w:rsidP="00B86FB3">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rPr>
            </w:pPr>
            <w:r w:rsidRPr="00FF756A">
              <w:rPr>
                <w:rFonts w:cs="Times New Roman"/>
                <w:sz w:val="18"/>
                <w:szCs w:val="18"/>
              </w:rPr>
              <w:t>2023</w:t>
            </w:r>
          </w:p>
        </w:tc>
        <w:tc>
          <w:tcPr>
            <w:tcW w:w="470" w:type="pct"/>
            <w:noWrap/>
            <w:hideMark/>
          </w:tcPr>
          <w:p w14:paraId="5753EE14" w14:textId="77777777" w:rsidR="00B86FB3" w:rsidRPr="00FF756A" w:rsidRDefault="00B86FB3" w:rsidP="00B86FB3">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rPr>
            </w:pPr>
            <w:r w:rsidRPr="00FF756A">
              <w:rPr>
                <w:rFonts w:cs="Times New Roman"/>
                <w:sz w:val="18"/>
                <w:szCs w:val="18"/>
              </w:rPr>
              <w:t>2025</w:t>
            </w:r>
          </w:p>
        </w:tc>
        <w:tc>
          <w:tcPr>
            <w:tcW w:w="468" w:type="pct"/>
            <w:shd w:val="clear" w:color="auto" w:fill="2F5496" w:themeFill="accent1" w:themeFillShade="BF"/>
            <w:noWrap/>
            <w:hideMark/>
          </w:tcPr>
          <w:p w14:paraId="49E16702" w14:textId="77777777" w:rsidR="00B86FB3" w:rsidRPr="00FF756A" w:rsidRDefault="00B86FB3" w:rsidP="00B86FB3">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rPr>
            </w:pPr>
            <w:r w:rsidRPr="00FF756A">
              <w:rPr>
                <w:rFonts w:cs="Times New Roman"/>
                <w:sz w:val="18"/>
                <w:szCs w:val="18"/>
              </w:rPr>
              <w:t>2030</w:t>
            </w:r>
          </w:p>
        </w:tc>
        <w:tc>
          <w:tcPr>
            <w:tcW w:w="470" w:type="pct"/>
            <w:noWrap/>
            <w:hideMark/>
          </w:tcPr>
          <w:p w14:paraId="67398739" w14:textId="77777777" w:rsidR="00B86FB3" w:rsidRPr="00FF756A" w:rsidRDefault="00B86FB3" w:rsidP="00B86FB3">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rPr>
            </w:pPr>
            <w:r w:rsidRPr="00FF756A">
              <w:rPr>
                <w:rFonts w:cs="Times New Roman"/>
                <w:sz w:val="18"/>
                <w:szCs w:val="18"/>
              </w:rPr>
              <w:t>2040</w:t>
            </w:r>
          </w:p>
        </w:tc>
        <w:tc>
          <w:tcPr>
            <w:tcW w:w="466" w:type="pct"/>
            <w:noWrap/>
            <w:hideMark/>
          </w:tcPr>
          <w:p w14:paraId="25058B32" w14:textId="77777777" w:rsidR="00B86FB3" w:rsidRPr="00FF756A" w:rsidRDefault="00B86FB3" w:rsidP="00B86FB3">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rPr>
            </w:pPr>
            <w:r w:rsidRPr="00FF756A">
              <w:rPr>
                <w:rFonts w:cs="Times New Roman"/>
                <w:sz w:val="18"/>
                <w:szCs w:val="18"/>
              </w:rPr>
              <w:t>2050</w:t>
            </w:r>
          </w:p>
        </w:tc>
      </w:tr>
      <w:tr w:rsidR="00B86FB3" w:rsidRPr="00FF756A" w14:paraId="4F22F7BD"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88" w:type="pct"/>
            <w:gridSpan w:val="3"/>
            <w:noWrap/>
            <w:hideMark/>
          </w:tcPr>
          <w:p w14:paraId="53661F73" w14:textId="77777777" w:rsidR="00B86FB3" w:rsidRPr="00FF756A" w:rsidRDefault="00B86FB3" w:rsidP="00B86FB3">
            <w:pPr>
              <w:spacing w:before="0" w:after="0" w:line="240" w:lineRule="auto"/>
              <w:jc w:val="left"/>
              <w:rPr>
                <w:rFonts w:eastAsia="Times New Roman" w:cs="Times New Roman"/>
                <w:b w:val="0"/>
                <w:sz w:val="18"/>
                <w:szCs w:val="18"/>
              </w:rPr>
            </w:pPr>
            <w:r w:rsidRPr="00FF756A">
              <w:rPr>
                <w:rFonts w:cs="Times New Roman"/>
                <w:sz w:val="18"/>
                <w:szCs w:val="18"/>
              </w:rPr>
              <w:t>Skenari WAM që merr në konsideratë vetëm ER-në për përmbushjen e kërkesës</w:t>
            </w:r>
          </w:p>
        </w:tc>
        <w:tc>
          <w:tcPr>
            <w:tcW w:w="469" w:type="pct"/>
            <w:shd w:val="clear" w:color="auto" w:fill="4472C4" w:themeFill="accent1"/>
            <w:noWrap/>
            <w:hideMark/>
          </w:tcPr>
          <w:p w14:paraId="0FD16429" w14:textId="77777777" w:rsidR="00B86FB3" w:rsidRPr="00FF756A" w:rsidRDefault="00B86FB3" w:rsidP="00B86FB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69" w:type="pct"/>
            <w:shd w:val="clear" w:color="auto" w:fill="4472C4" w:themeFill="accent1"/>
            <w:noWrap/>
            <w:hideMark/>
          </w:tcPr>
          <w:p w14:paraId="6EFC2327" w14:textId="77777777" w:rsidR="00B86FB3" w:rsidRPr="00FF756A" w:rsidRDefault="00B86FB3" w:rsidP="00B86FB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rPr>
            </w:pPr>
          </w:p>
        </w:tc>
        <w:tc>
          <w:tcPr>
            <w:tcW w:w="470" w:type="pct"/>
            <w:shd w:val="clear" w:color="auto" w:fill="4472C4" w:themeFill="accent1"/>
            <w:noWrap/>
            <w:hideMark/>
          </w:tcPr>
          <w:p w14:paraId="59DD7A17" w14:textId="77777777" w:rsidR="00B86FB3" w:rsidRPr="00FF756A" w:rsidRDefault="00B86FB3" w:rsidP="00B86FB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rPr>
            </w:pPr>
          </w:p>
        </w:tc>
        <w:tc>
          <w:tcPr>
            <w:tcW w:w="468" w:type="pct"/>
            <w:shd w:val="clear" w:color="auto" w:fill="4472C4" w:themeFill="accent1"/>
            <w:noWrap/>
            <w:hideMark/>
          </w:tcPr>
          <w:p w14:paraId="20A1A5FD" w14:textId="77777777" w:rsidR="00B86FB3" w:rsidRPr="00FF756A" w:rsidRDefault="00B86FB3" w:rsidP="00B86FB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rPr>
            </w:pPr>
          </w:p>
        </w:tc>
        <w:tc>
          <w:tcPr>
            <w:tcW w:w="470" w:type="pct"/>
            <w:shd w:val="clear" w:color="auto" w:fill="4472C4" w:themeFill="accent1"/>
            <w:noWrap/>
            <w:hideMark/>
          </w:tcPr>
          <w:p w14:paraId="7469A862" w14:textId="77777777" w:rsidR="00B86FB3" w:rsidRPr="00FF756A" w:rsidRDefault="00B86FB3" w:rsidP="00B86FB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rPr>
            </w:pPr>
          </w:p>
        </w:tc>
        <w:tc>
          <w:tcPr>
            <w:tcW w:w="466" w:type="pct"/>
            <w:shd w:val="clear" w:color="auto" w:fill="4472C4" w:themeFill="accent1"/>
            <w:noWrap/>
            <w:hideMark/>
          </w:tcPr>
          <w:p w14:paraId="146DB0C3" w14:textId="77777777" w:rsidR="00B86FB3" w:rsidRPr="00FF756A" w:rsidRDefault="00B86FB3" w:rsidP="00B86FB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rPr>
            </w:pPr>
          </w:p>
        </w:tc>
      </w:tr>
      <w:tr w:rsidR="00B86FB3" w:rsidRPr="00FF756A" w14:paraId="2B91CB4F"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39" w:type="pct"/>
            <w:noWrap/>
            <w:hideMark/>
          </w:tcPr>
          <w:p w14:paraId="0B86F1C5" w14:textId="77777777" w:rsidR="00B86FB3" w:rsidRPr="00FF756A" w:rsidRDefault="00B86FB3" w:rsidP="00B86FB3">
            <w:pPr>
              <w:spacing w:before="0" w:after="0" w:line="240" w:lineRule="auto"/>
              <w:jc w:val="left"/>
              <w:rPr>
                <w:rFonts w:eastAsia="Times New Roman" w:cs="Times New Roman"/>
                <w:b w:val="0"/>
                <w:sz w:val="18"/>
                <w:szCs w:val="18"/>
              </w:rPr>
            </w:pPr>
            <w:r w:rsidRPr="00FF756A">
              <w:rPr>
                <w:rFonts w:cs="Times New Roman"/>
                <w:sz w:val="18"/>
                <w:szCs w:val="18"/>
              </w:rPr>
              <w:t>Prodhimi primar dhe importet</w:t>
            </w:r>
          </w:p>
        </w:tc>
        <w:tc>
          <w:tcPr>
            <w:tcW w:w="481" w:type="pct"/>
            <w:noWrap/>
            <w:hideMark/>
          </w:tcPr>
          <w:p w14:paraId="52F5B974"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2 660,2 </w:t>
            </w:r>
          </w:p>
        </w:tc>
        <w:tc>
          <w:tcPr>
            <w:tcW w:w="468" w:type="pct"/>
            <w:noWrap/>
            <w:hideMark/>
          </w:tcPr>
          <w:p w14:paraId="37D87B65"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2 775,2 </w:t>
            </w:r>
          </w:p>
        </w:tc>
        <w:tc>
          <w:tcPr>
            <w:tcW w:w="469" w:type="pct"/>
            <w:noWrap/>
            <w:hideMark/>
          </w:tcPr>
          <w:p w14:paraId="0702ACE2"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2 872,5 </w:t>
            </w:r>
          </w:p>
        </w:tc>
        <w:tc>
          <w:tcPr>
            <w:tcW w:w="469" w:type="pct"/>
            <w:noWrap/>
            <w:hideMark/>
          </w:tcPr>
          <w:p w14:paraId="0CAF0FC1"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2 755,1 </w:t>
            </w:r>
          </w:p>
        </w:tc>
        <w:tc>
          <w:tcPr>
            <w:tcW w:w="470" w:type="pct"/>
            <w:noWrap/>
            <w:hideMark/>
          </w:tcPr>
          <w:p w14:paraId="32FC14B0"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2 785,5 </w:t>
            </w:r>
          </w:p>
        </w:tc>
        <w:tc>
          <w:tcPr>
            <w:tcW w:w="468" w:type="pct"/>
            <w:shd w:val="clear" w:color="auto" w:fill="4472C4" w:themeFill="accent1"/>
            <w:noWrap/>
            <w:hideMark/>
          </w:tcPr>
          <w:p w14:paraId="0BB278E9"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20"/>
              </w:rPr>
            </w:pPr>
            <w:r w:rsidRPr="00FF756A">
              <w:rPr>
                <w:rFonts w:cs="Times New Roman"/>
                <w:color w:val="FFFFFF" w:themeColor="background1"/>
                <w:sz w:val="18"/>
                <w:szCs w:val="20"/>
              </w:rPr>
              <w:t xml:space="preserve"> 2 897,3 </w:t>
            </w:r>
          </w:p>
        </w:tc>
        <w:tc>
          <w:tcPr>
            <w:tcW w:w="470" w:type="pct"/>
            <w:noWrap/>
            <w:hideMark/>
          </w:tcPr>
          <w:p w14:paraId="58D5355F"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3 190,3 </w:t>
            </w:r>
          </w:p>
        </w:tc>
        <w:tc>
          <w:tcPr>
            <w:tcW w:w="466" w:type="pct"/>
            <w:noWrap/>
          </w:tcPr>
          <w:p w14:paraId="066D563B"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3 629,9 </w:t>
            </w:r>
          </w:p>
        </w:tc>
      </w:tr>
      <w:tr w:rsidR="00B86FB3" w:rsidRPr="00FF756A" w14:paraId="4FC943E1"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39" w:type="pct"/>
            <w:noWrap/>
            <w:hideMark/>
          </w:tcPr>
          <w:p w14:paraId="1331602E" w14:textId="77777777" w:rsidR="00B86FB3" w:rsidRPr="00FF756A" w:rsidRDefault="00B86FB3" w:rsidP="00B86FB3">
            <w:pPr>
              <w:spacing w:before="0" w:after="0" w:line="240" w:lineRule="auto"/>
              <w:jc w:val="left"/>
              <w:rPr>
                <w:rFonts w:eastAsia="Times New Roman" w:cs="Times New Roman"/>
                <w:b w:val="0"/>
                <w:sz w:val="18"/>
                <w:szCs w:val="18"/>
              </w:rPr>
            </w:pPr>
            <w:r w:rsidRPr="00FF756A">
              <w:rPr>
                <w:rFonts w:cs="Times New Roman"/>
                <w:sz w:val="18"/>
                <w:szCs w:val="18"/>
              </w:rPr>
              <w:t>Eksportet</w:t>
            </w:r>
          </w:p>
        </w:tc>
        <w:tc>
          <w:tcPr>
            <w:tcW w:w="481" w:type="pct"/>
            <w:noWrap/>
            <w:hideMark/>
          </w:tcPr>
          <w:p w14:paraId="68438D50"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-540,3 </w:t>
            </w:r>
          </w:p>
        </w:tc>
        <w:tc>
          <w:tcPr>
            <w:tcW w:w="468" w:type="pct"/>
            <w:noWrap/>
            <w:hideMark/>
          </w:tcPr>
          <w:p w14:paraId="029136A5"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-522,6 </w:t>
            </w:r>
          </w:p>
        </w:tc>
        <w:tc>
          <w:tcPr>
            <w:tcW w:w="469" w:type="pct"/>
            <w:noWrap/>
            <w:hideMark/>
          </w:tcPr>
          <w:p w14:paraId="17E9FFBB"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-606,2 </w:t>
            </w:r>
          </w:p>
        </w:tc>
        <w:tc>
          <w:tcPr>
            <w:tcW w:w="469" w:type="pct"/>
            <w:noWrap/>
            <w:hideMark/>
          </w:tcPr>
          <w:p w14:paraId="07046DB9"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-466,0 </w:t>
            </w:r>
          </w:p>
        </w:tc>
        <w:tc>
          <w:tcPr>
            <w:tcW w:w="470" w:type="pct"/>
            <w:noWrap/>
            <w:hideMark/>
          </w:tcPr>
          <w:p w14:paraId="4FF212F2"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-464,2 </w:t>
            </w:r>
          </w:p>
        </w:tc>
        <w:tc>
          <w:tcPr>
            <w:tcW w:w="468" w:type="pct"/>
            <w:shd w:val="clear" w:color="auto" w:fill="4472C4" w:themeFill="accent1"/>
            <w:noWrap/>
            <w:hideMark/>
          </w:tcPr>
          <w:p w14:paraId="14CDA55C"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20"/>
              </w:rPr>
            </w:pPr>
            <w:r w:rsidRPr="00FF756A">
              <w:rPr>
                <w:rFonts w:cs="Times New Roman"/>
                <w:color w:val="FFFFFF" w:themeColor="background1"/>
                <w:sz w:val="18"/>
                <w:szCs w:val="20"/>
              </w:rPr>
              <w:t xml:space="preserve"> -464,2 </w:t>
            </w:r>
          </w:p>
        </w:tc>
        <w:tc>
          <w:tcPr>
            <w:tcW w:w="470" w:type="pct"/>
            <w:noWrap/>
            <w:hideMark/>
          </w:tcPr>
          <w:p w14:paraId="304D6CED"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-472,2 </w:t>
            </w:r>
          </w:p>
        </w:tc>
        <w:tc>
          <w:tcPr>
            <w:tcW w:w="466" w:type="pct"/>
            <w:noWrap/>
          </w:tcPr>
          <w:p w14:paraId="255883E9"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-482,6 </w:t>
            </w:r>
          </w:p>
        </w:tc>
      </w:tr>
      <w:tr w:rsidR="00B86FB3" w:rsidRPr="00FF756A" w14:paraId="0E4230FB"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39" w:type="pct"/>
            <w:noWrap/>
            <w:hideMark/>
          </w:tcPr>
          <w:p w14:paraId="773DFE74" w14:textId="77777777" w:rsidR="00B86FB3" w:rsidRPr="00FF756A" w:rsidRDefault="00B86FB3" w:rsidP="00B86FB3">
            <w:pPr>
              <w:spacing w:before="0" w:after="0" w:line="240" w:lineRule="auto"/>
              <w:jc w:val="left"/>
              <w:rPr>
                <w:rFonts w:eastAsia="Times New Roman" w:cs="Times New Roman"/>
                <w:b w:val="0"/>
                <w:sz w:val="18"/>
                <w:szCs w:val="18"/>
              </w:rPr>
            </w:pPr>
            <w:r w:rsidRPr="00FF756A">
              <w:rPr>
                <w:rFonts w:cs="Times New Roman"/>
                <w:sz w:val="18"/>
                <w:szCs w:val="18"/>
              </w:rPr>
              <w:t>Vlera neto</w:t>
            </w:r>
          </w:p>
        </w:tc>
        <w:tc>
          <w:tcPr>
            <w:tcW w:w="481" w:type="pct"/>
            <w:noWrap/>
            <w:hideMark/>
          </w:tcPr>
          <w:p w14:paraId="2057A1AD"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2 119,9 </w:t>
            </w:r>
          </w:p>
        </w:tc>
        <w:tc>
          <w:tcPr>
            <w:tcW w:w="468" w:type="pct"/>
            <w:noWrap/>
            <w:hideMark/>
          </w:tcPr>
          <w:p w14:paraId="5CE2354D"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2 252,6 </w:t>
            </w:r>
          </w:p>
        </w:tc>
        <w:tc>
          <w:tcPr>
            <w:tcW w:w="469" w:type="pct"/>
            <w:noWrap/>
            <w:hideMark/>
          </w:tcPr>
          <w:p w14:paraId="6D23A170"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2 266,2 </w:t>
            </w:r>
          </w:p>
        </w:tc>
        <w:tc>
          <w:tcPr>
            <w:tcW w:w="469" w:type="pct"/>
            <w:noWrap/>
            <w:hideMark/>
          </w:tcPr>
          <w:p w14:paraId="0AF5370F"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2 289,2 </w:t>
            </w:r>
          </w:p>
        </w:tc>
        <w:tc>
          <w:tcPr>
            <w:tcW w:w="470" w:type="pct"/>
            <w:noWrap/>
            <w:hideMark/>
          </w:tcPr>
          <w:p w14:paraId="7C4DE72E"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2 321,3 </w:t>
            </w:r>
          </w:p>
        </w:tc>
        <w:tc>
          <w:tcPr>
            <w:tcW w:w="468" w:type="pct"/>
            <w:shd w:val="clear" w:color="auto" w:fill="4472C4" w:themeFill="accent1"/>
            <w:noWrap/>
            <w:hideMark/>
          </w:tcPr>
          <w:p w14:paraId="53AABA68"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20"/>
              </w:rPr>
            </w:pPr>
            <w:r w:rsidRPr="00FF756A">
              <w:rPr>
                <w:rFonts w:cs="Times New Roman"/>
                <w:color w:val="FFFFFF" w:themeColor="background1"/>
                <w:sz w:val="18"/>
                <w:szCs w:val="20"/>
              </w:rPr>
              <w:t xml:space="preserve"> 2 433,2 </w:t>
            </w:r>
          </w:p>
        </w:tc>
        <w:tc>
          <w:tcPr>
            <w:tcW w:w="470" w:type="pct"/>
            <w:noWrap/>
            <w:hideMark/>
          </w:tcPr>
          <w:p w14:paraId="57BE1ACC"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2 718,1 </w:t>
            </w:r>
          </w:p>
        </w:tc>
        <w:tc>
          <w:tcPr>
            <w:tcW w:w="466" w:type="pct"/>
            <w:noWrap/>
          </w:tcPr>
          <w:p w14:paraId="3316D6FB"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3 147,3 </w:t>
            </w:r>
          </w:p>
        </w:tc>
      </w:tr>
      <w:tr w:rsidR="00B86FB3" w:rsidRPr="00FF756A" w14:paraId="339910D3"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720" w:type="pct"/>
            <w:gridSpan w:val="2"/>
            <w:noWrap/>
            <w:hideMark/>
          </w:tcPr>
          <w:p w14:paraId="1C5DBFD6" w14:textId="77777777" w:rsidR="00B86FB3" w:rsidRPr="00FF756A" w:rsidRDefault="00B86FB3" w:rsidP="00B86FB3">
            <w:pPr>
              <w:spacing w:before="0" w:after="0" w:line="240" w:lineRule="auto"/>
              <w:jc w:val="left"/>
              <w:rPr>
                <w:rFonts w:eastAsia="Times New Roman" w:cs="Times New Roman"/>
                <w:b w:val="0"/>
                <w:sz w:val="18"/>
                <w:szCs w:val="18"/>
              </w:rPr>
            </w:pPr>
            <w:r w:rsidRPr="00FF756A">
              <w:rPr>
                <w:rFonts w:cs="Times New Roman"/>
                <w:sz w:val="18"/>
                <w:szCs w:val="18"/>
              </w:rPr>
              <w:t>Ndryshimi i vlerës neto në raport me vitin 2018 [%]</w:t>
            </w:r>
          </w:p>
        </w:tc>
        <w:tc>
          <w:tcPr>
            <w:tcW w:w="468" w:type="pct"/>
            <w:shd w:val="clear" w:color="auto" w:fill="4472C4" w:themeFill="accent1"/>
            <w:noWrap/>
            <w:hideMark/>
          </w:tcPr>
          <w:p w14:paraId="5395467D" w14:textId="77777777" w:rsidR="00B86FB3" w:rsidRPr="00FF756A" w:rsidRDefault="00B86FB3" w:rsidP="00B86FB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20"/>
              </w:rPr>
              <w:t>6,3%</w:t>
            </w:r>
          </w:p>
        </w:tc>
        <w:tc>
          <w:tcPr>
            <w:tcW w:w="469" w:type="pct"/>
            <w:shd w:val="clear" w:color="auto" w:fill="4472C4" w:themeFill="accent1"/>
            <w:noWrap/>
            <w:hideMark/>
          </w:tcPr>
          <w:p w14:paraId="20BE09C5" w14:textId="77777777" w:rsidR="00B86FB3" w:rsidRPr="00FF756A" w:rsidRDefault="00B86FB3" w:rsidP="00B86FB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20"/>
              </w:rPr>
              <w:t>6,9%</w:t>
            </w:r>
          </w:p>
        </w:tc>
        <w:tc>
          <w:tcPr>
            <w:tcW w:w="469" w:type="pct"/>
            <w:shd w:val="clear" w:color="auto" w:fill="4472C4" w:themeFill="accent1"/>
            <w:noWrap/>
            <w:hideMark/>
          </w:tcPr>
          <w:p w14:paraId="358994AC"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20"/>
              </w:rPr>
              <w:t>8,0%</w:t>
            </w:r>
          </w:p>
        </w:tc>
        <w:tc>
          <w:tcPr>
            <w:tcW w:w="470" w:type="pct"/>
            <w:shd w:val="clear" w:color="auto" w:fill="4472C4" w:themeFill="accent1"/>
            <w:noWrap/>
            <w:hideMark/>
          </w:tcPr>
          <w:p w14:paraId="7A19569C"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8"/>
                <w:szCs w:val="20"/>
              </w:rPr>
            </w:pPr>
            <w:r w:rsidRPr="00FF756A">
              <w:rPr>
                <w:rFonts w:cs="Times New Roman"/>
                <w:color w:val="FFFFFF" w:themeColor="background1"/>
                <w:sz w:val="18"/>
                <w:szCs w:val="20"/>
              </w:rPr>
              <w:t>9,5%</w:t>
            </w:r>
          </w:p>
        </w:tc>
        <w:tc>
          <w:tcPr>
            <w:tcW w:w="468" w:type="pct"/>
            <w:shd w:val="clear" w:color="auto" w:fill="4472C4" w:themeFill="accent1"/>
            <w:noWrap/>
            <w:hideMark/>
          </w:tcPr>
          <w:p w14:paraId="391C8D7E"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8"/>
                <w:szCs w:val="20"/>
              </w:rPr>
            </w:pPr>
            <w:r w:rsidRPr="00FF756A">
              <w:rPr>
                <w:rFonts w:cs="Times New Roman"/>
                <w:color w:val="FFFFFF" w:themeColor="background1"/>
                <w:sz w:val="18"/>
                <w:szCs w:val="20"/>
              </w:rPr>
              <w:t>14,8%</w:t>
            </w:r>
          </w:p>
        </w:tc>
        <w:tc>
          <w:tcPr>
            <w:tcW w:w="470" w:type="pct"/>
            <w:shd w:val="clear" w:color="auto" w:fill="4472C4" w:themeFill="accent1"/>
            <w:noWrap/>
            <w:hideMark/>
          </w:tcPr>
          <w:p w14:paraId="176CE721"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8"/>
                <w:szCs w:val="20"/>
              </w:rPr>
            </w:pPr>
            <w:r w:rsidRPr="00FF756A">
              <w:rPr>
                <w:rFonts w:cs="Times New Roman"/>
                <w:color w:val="FFFFFF" w:themeColor="background1"/>
                <w:sz w:val="18"/>
                <w:szCs w:val="20"/>
              </w:rPr>
              <w:t>28,2%</w:t>
            </w:r>
          </w:p>
        </w:tc>
        <w:tc>
          <w:tcPr>
            <w:tcW w:w="466" w:type="pct"/>
            <w:shd w:val="clear" w:color="auto" w:fill="4472C4" w:themeFill="accent1"/>
            <w:noWrap/>
          </w:tcPr>
          <w:p w14:paraId="47EB93FC"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8"/>
                <w:szCs w:val="20"/>
              </w:rPr>
            </w:pPr>
            <w:r w:rsidRPr="00FF756A">
              <w:rPr>
                <w:rFonts w:cs="Times New Roman"/>
                <w:color w:val="FFFFFF" w:themeColor="background1"/>
                <w:sz w:val="18"/>
                <w:szCs w:val="20"/>
              </w:rPr>
              <w:t>48,5%</w:t>
            </w:r>
          </w:p>
        </w:tc>
      </w:tr>
      <w:tr w:rsidR="00B86FB3" w:rsidRPr="00FF756A" w14:paraId="10A3C777"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39" w:type="pct"/>
            <w:shd w:val="clear" w:color="auto" w:fill="2F5496" w:themeFill="accent1" w:themeFillShade="BF"/>
            <w:noWrap/>
            <w:hideMark/>
          </w:tcPr>
          <w:p w14:paraId="1227462C" w14:textId="77777777" w:rsidR="00B86FB3" w:rsidRPr="00FF756A" w:rsidRDefault="00B86FB3" w:rsidP="00B86FB3">
            <w:pPr>
              <w:spacing w:before="0" w:after="0" w:line="240" w:lineRule="auto"/>
              <w:jc w:val="left"/>
              <w:rPr>
                <w:rFonts w:eastAsia="Times New Roman" w:cs="Times New Roman"/>
                <w:b w:val="0"/>
                <w:sz w:val="18"/>
                <w:szCs w:val="18"/>
              </w:rPr>
            </w:pPr>
            <w:r w:rsidRPr="00FF756A">
              <w:rPr>
                <w:rFonts w:cs="Times New Roman"/>
                <w:sz w:val="18"/>
                <w:szCs w:val="18"/>
              </w:rPr>
              <w:t xml:space="preserve">WAM </w:t>
            </w:r>
          </w:p>
        </w:tc>
        <w:tc>
          <w:tcPr>
            <w:tcW w:w="481" w:type="pct"/>
            <w:shd w:val="clear" w:color="auto" w:fill="2F5496" w:themeFill="accent1" w:themeFillShade="BF"/>
            <w:noWrap/>
            <w:hideMark/>
          </w:tcPr>
          <w:p w14:paraId="07BBBF75" w14:textId="77777777" w:rsidR="00B86FB3" w:rsidRPr="00FF756A" w:rsidRDefault="00B86FB3" w:rsidP="00B86F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p>
        </w:tc>
        <w:tc>
          <w:tcPr>
            <w:tcW w:w="468" w:type="pct"/>
            <w:shd w:val="clear" w:color="auto" w:fill="2F5496" w:themeFill="accent1" w:themeFillShade="BF"/>
            <w:noWrap/>
            <w:hideMark/>
          </w:tcPr>
          <w:p w14:paraId="48ACAB31" w14:textId="77777777" w:rsidR="00B86FB3" w:rsidRPr="00FF756A" w:rsidRDefault="00B86FB3" w:rsidP="00B86F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p>
        </w:tc>
        <w:tc>
          <w:tcPr>
            <w:tcW w:w="469" w:type="pct"/>
            <w:shd w:val="clear" w:color="auto" w:fill="2F5496" w:themeFill="accent1" w:themeFillShade="BF"/>
            <w:noWrap/>
            <w:hideMark/>
          </w:tcPr>
          <w:p w14:paraId="23305FC7" w14:textId="77777777" w:rsidR="00B86FB3" w:rsidRPr="00FF756A" w:rsidRDefault="00B86FB3" w:rsidP="00B86F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p>
        </w:tc>
        <w:tc>
          <w:tcPr>
            <w:tcW w:w="469" w:type="pct"/>
            <w:shd w:val="clear" w:color="auto" w:fill="2F5496" w:themeFill="accent1" w:themeFillShade="BF"/>
            <w:noWrap/>
            <w:hideMark/>
          </w:tcPr>
          <w:p w14:paraId="11D71B21" w14:textId="77777777" w:rsidR="00B86FB3" w:rsidRPr="00FF756A" w:rsidRDefault="00B86FB3" w:rsidP="00B86F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p>
        </w:tc>
        <w:tc>
          <w:tcPr>
            <w:tcW w:w="470" w:type="pct"/>
            <w:shd w:val="clear" w:color="auto" w:fill="2F5496" w:themeFill="accent1" w:themeFillShade="BF"/>
            <w:noWrap/>
            <w:hideMark/>
          </w:tcPr>
          <w:p w14:paraId="04387F8F" w14:textId="77777777" w:rsidR="00B86FB3" w:rsidRPr="00FF756A" w:rsidRDefault="00B86FB3" w:rsidP="00B86F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p>
        </w:tc>
        <w:tc>
          <w:tcPr>
            <w:tcW w:w="468" w:type="pct"/>
            <w:shd w:val="clear" w:color="auto" w:fill="2F5496" w:themeFill="accent1" w:themeFillShade="BF"/>
            <w:noWrap/>
            <w:hideMark/>
          </w:tcPr>
          <w:p w14:paraId="068237C4" w14:textId="77777777" w:rsidR="00B86FB3" w:rsidRPr="00FF756A" w:rsidRDefault="00B86FB3" w:rsidP="00B86F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p>
        </w:tc>
        <w:tc>
          <w:tcPr>
            <w:tcW w:w="470" w:type="pct"/>
            <w:shd w:val="clear" w:color="auto" w:fill="2F5496" w:themeFill="accent1" w:themeFillShade="BF"/>
            <w:noWrap/>
            <w:hideMark/>
          </w:tcPr>
          <w:p w14:paraId="4CA21120" w14:textId="77777777" w:rsidR="00B86FB3" w:rsidRPr="00FF756A" w:rsidRDefault="00B86FB3" w:rsidP="00B86F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p>
        </w:tc>
        <w:tc>
          <w:tcPr>
            <w:tcW w:w="466" w:type="pct"/>
            <w:shd w:val="clear" w:color="auto" w:fill="2F5496" w:themeFill="accent1" w:themeFillShade="BF"/>
            <w:noWrap/>
          </w:tcPr>
          <w:p w14:paraId="0077D7F0" w14:textId="77777777" w:rsidR="00B86FB3" w:rsidRPr="00FF756A" w:rsidRDefault="00B86FB3" w:rsidP="00B86F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p>
        </w:tc>
      </w:tr>
      <w:tr w:rsidR="00B86FB3" w:rsidRPr="00FF756A" w14:paraId="7B902137"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39" w:type="pct"/>
            <w:shd w:val="clear" w:color="auto" w:fill="2F5496" w:themeFill="accent1" w:themeFillShade="BF"/>
            <w:noWrap/>
            <w:hideMark/>
          </w:tcPr>
          <w:p w14:paraId="7627D953" w14:textId="77777777" w:rsidR="00B86FB3" w:rsidRPr="00FF756A" w:rsidRDefault="00B86FB3" w:rsidP="00B86FB3">
            <w:pPr>
              <w:spacing w:before="0" w:after="0" w:line="240" w:lineRule="auto"/>
              <w:jc w:val="left"/>
              <w:rPr>
                <w:rFonts w:eastAsia="Times New Roman" w:cs="Times New Roman"/>
                <w:b w:val="0"/>
                <w:sz w:val="18"/>
                <w:szCs w:val="18"/>
              </w:rPr>
            </w:pPr>
            <w:r w:rsidRPr="00FF756A">
              <w:rPr>
                <w:rFonts w:cs="Times New Roman"/>
                <w:sz w:val="18"/>
                <w:szCs w:val="18"/>
              </w:rPr>
              <w:t>Prodhimi primar dhe importet</w:t>
            </w:r>
          </w:p>
        </w:tc>
        <w:tc>
          <w:tcPr>
            <w:tcW w:w="481" w:type="pct"/>
            <w:noWrap/>
            <w:hideMark/>
          </w:tcPr>
          <w:p w14:paraId="71C93A3A"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2 660,2 </w:t>
            </w:r>
          </w:p>
        </w:tc>
        <w:tc>
          <w:tcPr>
            <w:tcW w:w="468" w:type="pct"/>
            <w:noWrap/>
            <w:hideMark/>
          </w:tcPr>
          <w:p w14:paraId="4FCBA90C"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2 775,2 </w:t>
            </w:r>
          </w:p>
        </w:tc>
        <w:tc>
          <w:tcPr>
            <w:tcW w:w="469" w:type="pct"/>
            <w:noWrap/>
            <w:hideMark/>
          </w:tcPr>
          <w:p w14:paraId="53211371"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2 872,5 </w:t>
            </w:r>
          </w:p>
        </w:tc>
        <w:tc>
          <w:tcPr>
            <w:tcW w:w="469" w:type="pct"/>
            <w:noWrap/>
            <w:hideMark/>
          </w:tcPr>
          <w:p w14:paraId="36F3A6F9"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2 937,5 </w:t>
            </w:r>
          </w:p>
        </w:tc>
        <w:tc>
          <w:tcPr>
            <w:tcW w:w="470" w:type="pct"/>
            <w:noWrap/>
            <w:hideMark/>
          </w:tcPr>
          <w:p w14:paraId="3C597EE4"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3 018,8 </w:t>
            </w:r>
          </w:p>
        </w:tc>
        <w:tc>
          <w:tcPr>
            <w:tcW w:w="468" w:type="pct"/>
            <w:shd w:val="clear" w:color="auto" w:fill="2F5496" w:themeFill="accent1" w:themeFillShade="BF"/>
            <w:noWrap/>
            <w:hideMark/>
          </w:tcPr>
          <w:p w14:paraId="5065C1E6"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20"/>
              </w:rPr>
            </w:pPr>
            <w:r w:rsidRPr="00FF756A">
              <w:rPr>
                <w:rFonts w:cs="Times New Roman"/>
                <w:color w:val="FFFFFF" w:themeColor="background1"/>
                <w:sz w:val="18"/>
                <w:szCs w:val="20"/>
              </w:rPr>
              <w:t xml:space="preserve"> 3 355,9 </w:t>
            </w:r>
          </w:p>
        </w:tc>
        <w:tc>
          <w:tcPr>
            <w:tcW w:w="470" w:type="pct"/>
            <w:noWrap/>
            <w:hideMark/>
          </w:tcPr>
          <w:p w14:paraId="6ACC82EC"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3 717,3 </w:t>
            </w:r>
          </w:p>
        </w:tc>
        <w:tc>
          <w:tcPr>
            <w:tcW w:w="466" w:type="pct"/>
            <w:noWrap/>
          </w:tcPr>
          <w:p w14:paraId="42C786EE"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4 200,5 </w:t>
            </w:r>
          </w:p>
        </w:tc>
      </w:tr>
      <w:tr w:rsidR="00B86FB3" w:rsidRPr="00FF756A" w14:paraId="1D89D9D2"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39" w:type="pct"/>
            <w:shd w:val="clear" w:color="auto" w:fill="2F5496" w:themeFill="accent1" w:themeFillShade="BF"/>
            <w:noWrap/>
            <w:hideMark/>
          </w:tcPr>
          <w:p w14:paraId="63572321" w14:textId="77777777" w:rsidR="00B86FB3" w:rsidRPr="00FF756A" w:rsidRDefault="00B86FB3" w:rsidP="00B86FB3">
            <w:pPr>
              <w:spacing w:before="0" w:after="0" w:line="240" w:lineRule="auto"/>
              <w:jc w:val="left"/>
              <w:rPr>
                <w:rFonts w:eastAsia="Times New Roman" w:cs="Times New Roman"/>
                <w:b w:val="0"/>
                <w:sz w:val="18"/>
                <w:szCs w:val="18"/>
              </w:rPr>
            </w:pPr>
            <w:r w:rsidRPr="00FF756A">
              <w:rPr>
                <w:rFonts w:cs="Times New Roman"/>
                <w:sz w:val="18"/>
                <w:szCs w:val="18"/>
              </w:rPr>
              <w:t>Eksportet</w:t>
            </w:r>
          </w:p>
        </w:tc>
        <w:tc>
          <w:tcPr>
            <w:tcW w:w="481" w:type="pct"/>
            <w:noWrap/>
            <w:hideMark/>
          </w:tcPr>
          <w:p w14:paraId="20EB9569"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-540,3 </w:t>
            </w:r>
          </w:p>
        </w:tc>
        <w:tc>
          <w:tcPr>
            <w:tcW w:w="468" w:type="pct"/>
            <w:noWrap/>
            <w:hideMark/>
          </w:tcPr>
          <w:p w14:paraId="08CFB09E"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-522,6 </w:t>
            </w:r>
          </w:p>
        </w:tc>
        <w:tc>
          <w:tcPr>
            <w:tcW w:w="469" w:type="pct"/>
            <w:noWrap/>
            <w:hideMark/>
          </w:tcPr>
          <w:p w14:paraId="22B75E37"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-606,2 </w:t>
            </w:r>
          </w:p>
        </w:tc>
        <w:tc>
          <w:tcPr>
            <w:tcW w:w="469" w:type="pct"/>
            <w:noWrap/>
            <w:hideMark/>
          </w:tcPr>
          <w:p w14:paraId="6FA61C06"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-647,2 </w:t>
            </w:r>
          </w:p>
        </w:tc>
        <w:tc>
          <w:tcPr>
            <w:tcW w:w="470" w:type="pct"/>
            <w:noWrap/>
            <w:hideMark/>
          </w:tcPr>
          <w:p w14:paraId="528E0D49"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-696,1 </w:t>
            </w:r>
          </w:p>
        </w:tc>
        <w:tc>
          <w:tcPr>
            <w:tcW w:w="468" w:type="pct"/>
            <w:shd w:val="clear" w:color="auto" w:fill="2F5496" w:themeFill="accent1" w:themeFillShade="BF"/>
            <w:noWrap/>
            <w:hideMark/>
          </w:tcPr>
          <w:p w14:paraId="2EA09425"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20"/>
              </w:rPr>
            </w:pPr>
            <w:r w:rsidRPr="00FF756A">
              <w:rPr>
                <w:rFonts w:cs="Times New Roman"/>
                <w:color w:val="FFFFFF" w:themeColor="background1"/>
                <w:sz w:val="18"/>
                <w:szCs w:val="20"/>
              </w:rPr>
              <w:t xml:space="preserve"> -920,9 </w:t>
            </w:r>
          </w:p>
        </w:tc>
        <w:tc>
          <w:tcPr>
            <w:tcW w:w="470" w:type="pct"/>
            <w:noWrap/>
            <w:hideMark/>
          </w:tcPr>
          <w:p w14:paraId="6160151F"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-997,8 </w:t>
            </w:r>
          </w:p>
        </w:tc>
        <w:tc>
          <w:tcPr>
            <w:tcW w:w="466" w:type="pct"/>
            <w:noWrap/>
          </w:tcPr>
          <w:p w14:paraId="3E17439E"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-1 052,3 </w:t>
            </w:r>
          </w:p>
        </w:tc>
      </w:tr>
      <w:tr w:rsidR="00B86FB3" w:rsidRPr="00FF756A" w14:paraId="5E85D57E"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39" w:type="pct"/>
            <w:shd w:val="clear" w:color="auto" w:fill="2F5496" w:themeFill="accent1" w:themeFillShade="BF"/>
            <w:noWrap/>
            <w:hideMark/>
          </w:tcPr>
          <w:p w14:paraId="4C760376" w14:textId="77777777" w:rsidR="00B86FB3" w:rsidRPr="00FF756A" w:rsidRDefault="00B86FB3" w:rsidP="00B86FB3">
            <w:pPr>
              <w:spacing w:before="0" w:after="0" w:line="240" w:lineRule="auto"/>
              <w:jc w:val="left"/>
              <w:rPr>
                <w:rFonts w:eastAsia="Times New Roman" w:cs="Times New Roman"/>
                <w:b w:val="0"/>
                <w:sz w:val="18"/>
                <w:szCs w:val="18"/>
              </w:rPr>
            </w:pPr>
            <w:r w:rsidRPr="00FF756A">
              <w:rPr>
                <w:rFonts w:cs="Times New Roman"/>
                <w:sz w:val="18"/>
                <w:szCs w:val="18"/>
              </w:rPr>
              <w:t>Vlera neto</w:t>
            </w:r>
          </w:p>
        </w:tc>
        <w:tc>
          <w:tcPr>
            <w:tcW w:w="481" w:type="pct"/>
            <w:noWrap/>
            <w:hideMark/>
          </w:tcPr>
          <w:p w14:paraId="666FAC38"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2 119,9 </w:t>
            </w:r>
          </w:p>
        </w:tc>
        <w:tc>
          <w:tcPr>
            <w:tcW w:w="468" w:type="pct"/>
            <w:noWrap/>
            <w:hideMark/>
          </w:tcPr>
          <w:p w14:paraId="652EBED4"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2 252,6 </w:t>
            </w:r>
          </w:p>
        </w:tc>
        <w:tc>
          <w:tcPr>
            <w:tcW w:w="469" w:type="pct"/>
            <w:noWrap/>
            <w:hideMark/>
          </w:tcPr>
          <w:p w14:paraId="4D5BA6BA"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2 266,2 </w:t>
            </w:r>
          </w:p>
        </w:tc>
        <w:tc>
          <w:tcPr>
            <w:tcW w:w="469" w:type="pct"/>
            <w:noWrap/>
            <w:hideMark/>
          </w:tcPr>
          <w:p w14:paraId="501813FF"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2 290,3 </w:t>
            </w:r>
          </w:p>
        </w:tc>
        <w:tc>
          <w:tcPr>
            <w:tcW w:w="470" w:type="pct"/>
            <w:noWrap/>
            <w:hideMark/>
          </w:tcPr>
          <w:p w14:paraId="46C40317"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2 322,7 </w:t>
            </w:r>
          </w:p>
        </w:tc>
        <w:tc>
          <w:tcPr>
            <w:tcW w:w="468" w:type="pct"/>
            <w:shd w:val="clear" w:color="auto" w:fill="2F5496" w:themeFill="accent1" w:themeFillShade="BF"/>
            <w:noWrap/>
            <w:hideMark/>
          </w:tcPr>
          <w:p w14:paraId="68B760F2"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20"/>
              </w:rPr>
            </w:pPr>
            <w:r w:rsidRPr="00FF756A">
              <w:rPr>
                <w:rFonts w:cs="Times New Roman"/>
                <w:color w:val="FFFFFF" w:themeColor="background1"/>
                <w:sz w:val="18"/>
                <w:szCs w:val="20"/>
              </w:rPr>
              <w:t xml:space="preserve"> 2 435,0 </w:t>
            </w:r>
          </w:p>
        </w:tc>
        <w:tc>
          <w:tcPr>
            <w:tcW w:w="470" w:type="pct"/>
            <w:noWrap/>
            <w:hideMark/>
          </w:tcPr>
          <w:p w14:paraId="5E0F0AB7"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2 719,5 </w:t>
            </w:r>
          </w:p>
        </w:tc>
        <w:tc>
          <w:tcPr>
            <w:tcW w:w="466" w:type="pct"/>
            <w:noWrap/>
          </w:tcPr>
          <w:p w14:paraId="021AF06A"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20"/>
              </w:rPr>
            </w:pPr>
            <w:r w:rsidRPr="00FF756A">
              <w:rPr>
                <w:rFonts w:cs="Times New Roman"/>
                <w:sz w:val="18"/>
                <w:szCs w:val="20"/>
              </w:rPr>
              <w:t xml:space="preserve"> 3 148,2 </w:t>
            </w:r>
          </w:p>
        </w:tc>
      </w:tr>
      <w:tr w:rsidR="00B86FB3" w:rsidRPr="00FF756A" w14:paraId="60585686"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720" w:type="pct"/>
            <w:gridSpan w:val="2"/>
            <w:shd w:val="clear" w:color="auto" w:fill="2F5496" w:themeFill="accent1" w:themeFillShade="BF"/>
            <w:noWrap/>
            <w:hideMark/>
          </w:tcPr>
          <w:p w14:paraId="4F5C2B73" w14:textId="77777777" w:rsidR="00B86FB3" w:rsidRPr="00FF756A" w:rsidRDefault="00B86FB3" w:rsidP="00B86FB3">
            <w:pPr>
              <w:spacing w:before="0" w:after="0" w:line="240" w:lineRule="auto"/>
              <w:jc w:val="left"/>
              <w:rPr>
                <w:rFonts w:eastAsia="Times New Roman" w:cs="Times New Roman"/>
                <w:b w:val="0"/>
                <w:sz w:val="18"/>
                <w:szCs w:val="18"/>
              </w:rPr>
            </w:pPr>
            <w:r w:rsidRPr="00FF756A">
              <w:rPr>
                <w:rFonts w:cs="Times New Roman"/>
                <w:sz w:val="18"/>
                <w:szCs w:val="18"/>
              </w:rPr>
              <w:t>Ndryshimi i vlerës neto në raport me vitin 2020 [%]</w:t>
            </w:r>
          </w:p>
        </w:tc>
        <w:tc>
          <w:tcPr>
            <w:tcW w:w="468" w:type="pct"/>
            <w:shd w:val="clear" w:color="auto" w:fill="2F5496" w:themeFill="accent1" w:themeFillShade="BF"/>
            <w:noWrap/>
            <w:hideMark/>
          </w:tcPr>
          <w:p w14:paraId="1DFBC21B" w14:textId="77777777" w:rsidR="00B86FB3" w:rsidRPr="00FF756A" w:rsidRDefault="00B86FB3" w:rsidP="00B86F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20"/>
              </w:rPr>
            </w:pPr>
            <w:r w:rsidRPr="00FF756A">
              <w:rPr>
                <w:rFonts w:cs="Times New Roman"/>
                <w:color w:val="FFFFFF" w:themeColor="background1"/>
                <w:sz w:val="18"/>
                <w:szCs w:val="20"/>
              </w:rPr>
              <w:t>6,3%</w:t>
            </w:r>
          </w:p>
        </w:tc>
        <w:tc>
          <w:tcPr>
            <w:tcW w:w="469" w:type="pct"/>
            <w:shd w:val="clear" w:color="auto" w:fill="2F5496" w:themeFill="accent1" w:themeFillShade="BF"/>
            <w:noWrap/>
            <w:hideMark/>
          </w:tcPr>
          <w:p w14:paraId="5E524BCA" w14:textId="77777777" w:rsidR="00B86FB3" w:rsidRPr="00FF756A" w:rsidRDefault="00B86FB3" w:rsidP="00B86F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20"/>
              </w:rPr>
            </w:pPr>
            <w:r w:rsidRPr="00FF756A">
              <w:rPr>
                <w:rFonts w:cs="Times New Roman"/>
                <w:color w:val="FFFFFF" w:themeColor="background1"/>
                <w:sz w:val="18"/>
                <w:szCs w:val="20"/>
              </w:rPr>
              <w:t>6,9%</w:t>
            </w:r>
          </w:p>
        </w:tc>
        <w:tc>
          <w:tcPr>
            <w:tcW w:w="469" w:type="pct"/>
            <w:shd w:val="clear" w:color="auto" w:fill="2F5496" w:themeFill="accent1" w:themeFillShade="BF"/>
            <w:noWrap/>
          </w:tcPr>
          <w:p w14:paraId="16327740"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20"/>
              </w:rPr>
            </w:pPr>
            <w:r w:rsidRPr="00FF756A">
              <w:rPr>
                <w:rFonts w:cs="Times New Roman"/>
                <w:color w:val="FFFFFF" w:themeColor="background1"/>
                <w:sz w:val="18"/>
                <w:szCs w:val="20"/>
              </w:rPr>
              <w:t>8,0%</w:t>
            </w:r>
          </w:p>
        </w:tc>
        <w:tc>
          <w:tcPr>
            <w:tcW w:w="470" w:type="pct"/>
            <w:shd w:val="clear" w:color="auto" w:fill="2F5496" w:themeFill="accent1" w:themeFillShade="BF"/>
            <w:noWrap/>
            <w:hideMark/>
          </w:tcPr>
          <w:p w14:paraId="29159730"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8"/>
                <w:szCs w:val="20"/>
              </w:rPr>
            </w:pPr>
            <w:r w:rsidRPr="00FF756A">
              <w:rPr>
                <w:rFonts w:cs="Times New Roman"/>
                <w:color w:val="FFFFFF" w:themeColor="background1"/>
                <w:sz w:val="18"/>
                <w:szCs w:val="20"/>
              </w:rPr>
              <w:t>9,6%</w:t>
            </w:r>
          </w:p>
        </w:tc>
        <w:tc>
          <w:tcPr>
            <w:tcW w:w="468" w:type="pct"/>
            <w:shd w:val="clear" w:color="auto" w:fill="2F5496" w:themeFill="accent1" w:themeFillShade="BF"/>
            <w:noWrap/>
            <w:hideMark/>
          </w:tcPr>
          <w:p w14:paraId="3C55C41C"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8"/>
                <w:szCs w:val="20"/>
              </w:rPr>
            </w:pPr>
            <w:r w:rsidRPr="00FF756A">
              <w:rPr>
                <w:rFonts w:cs="Times New Roman"/>
                <w:color w:val="FFFFFF" w:themeColor="background1"/>
                <w:sz w:val="18"/>
                <w:szCs w:val="20"/>
              </w:rPr>
              <w:t>14,9%</w:t>
            </w:r>
          </w:p>
        </w:tc>
        <w:tc>
          <w:tcPr>
            <w:tcW w:w="470" w:type="pct"/>
            <w:shd w:val="clear" w:color="auto" w:fill="2F5496" w:themeFill="accent1" w:themeFillShade="BF"/>
            <w:noWrap/>
            <w:hideMark/>
          </w:tcPr>
          <w:p w14:paraId="41513E70"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8"/>
                <w:szCs w:val="20"/>
              </w:rPr>
            </w:pPr>
            <w:r w:rsidRPr="00FF756A">
              <w:rPr>
                <w:rFonts w:cs="Times New Roman"/>
                <w:color w:val="FFFFFF" w:themeColor="background1"/>
                <w:sz w:val="18"/>
                <w:szCs w:val="20"/>
              </w:rPr>
              <w:t>28,3%</w:t>
            </w:r>
          </w:p>
        </w:tc>
        <w:tc>
          <w:tcPr>
            <w:tcW w:w="466" w:type="pct"/>
            <w:shd w:val="clear" w:color="auto" w:fill="2F5496" w:themeFill="accent1" w:themeFillShade="BF"/>
            <w:noWrap/>
          </w:tcPr>
          <w:p w14:paraId="64D5277A"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8"/>
                <w:szCs w:val="20"/>
              </w:rPr>
            </w:pPr>
            <w:r w:rsidRPr="00FF756A">
              <w:rPr>
                <w:rFonts w:cs="Times New Roman"/>
                <w:color w:val="FFFFFF" w:themeColor="background1"/>
                <w:sz w:val="18"/>
                <w:szCs w:val="20"/>
              </w:rPr>
              <w:t>48,5%</w:t>
            </w:r>
          </w:p>
        </w:tc>
      </w:tr>
      <w:tr w:rsidR="00B86FB3" w:rsidRPr="00FF756A" w14:paraId="7583516B"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39" w:type="pct"/>
            <w:noWrap/>
            <w:hideMark/>
          </w:tcPr>
          <w:p w14:paraId="37FC3F67" w14:textId="77777777" w:rsidR="00B86FB3" w:rsidRPr="00FF756A" w:rsidRDefault="00B86FB3" w:rsidP="00B86FB3">
            <w:pPr>
              <w:spacing w:before="0" w:after="0" w:line="240" w:lineRule="auto"/>
              <w:jc w:val="left"/>
              <w:rPr>
                <w:rFonts w:eastAsia="Times New Roman" w:cs="Times New Roman"/>
                <w:b w:val="0"/>
                <w:sz w:val="18"/>
                <w:szCs w:val="18"/>
              </w:rPr>
            </w:pPr>
            <w:r w:rsidRPr="00FF756A">
              <w:rPr>
                <w:rFonts w:cs="Times New Roman"/>
                <w:sz w:val="18"/>
                <w:szCs w:val="18"/>
              </w:rPr>
              <w:t>WEM</w:t>
            </w:r>
          </w:p>
        </w:tc>
        <w:tc>
          <w:tcPr>
            <w:tcW w:w="481" w:type="pct"/>
            <w:shd w:val="clear" w:color="auto" w:fill="4472C4" w:themeFill="accent1"/>
            <w:noWrap/>
            <w:hideMark/>
          </w:tcPr>
          <w:p w14:paraId="63191B65" w14:textId="77777777" w:rsidR="00B86FB3" w:rsidRPr="00FF756A" w:rsidRDefault="00B86FB3" w:rsidP="00B86FB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8"/>
                <w:szCs w:val="18"/>
              </w:rPr>
            </w:pPr>
          </w:p>
        </w:tc>
        <w:tc>
          <w:tcPr>
            <w:tcW w:w="468" w:type="pct"/>
            <w:shd w:val="clear" w:color="auto" w:fill="4472C4" w:themeFill="accent1"/>
            <w:noWrap/>
            <w:hideMark/>
          </w:tcPr>
          <w:p w14:paraId="553CEEBF" w14:textId="77777777" w:rsidR="00B86FB3" w:rsidRPr="00FF756A" w:rsidRDefault="00B86FB3" w:rsidP="00B86FB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rPr>
            </w:pPr>
          </w:p>
        </w:tc>
        <w:tc>
          <w:tcPr>
            <w:tcW w:w="469" w:type="pct"/>
            <w:shd w:val="clear" w:color="auto" w:fill="4472C4" w:themeFill="accent1"/>
            <w:noWrap/>
            <w:hideMark/>
          </w:tcPr>
          <w:p w14:paraId="1D9FF54C" w14:textId="77777777" w:rsidR="00B86FB3" w:rsidRPr="00FF756A" w:rsidRDefault="00B86FB3" w:rsidP="00B86FB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p>
        </w:tc>
        <w:tc>
          <w:tcPr>
            <w:tcW w:w="469" w:type="pct"/>
            <w:shd w:val="clear" w:color="auto" w:fill="4472C4" w:themeFill="accent1"/>
            <w:noWrap/>
            <w:hideMark/>
          </w:tcPr>
          <w:p w14:paraId="1C922B45" w14:textId="77777777" w:rsidR="00B86FB3" w:rsidRPr="00FF756A" w:rsidRDefault="00B86FB3" w:rsidP="00B86FB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p>
        </w:tc>
        <w:tc>
          <w:tcPr>
            <w:tcW w:w="470" w:type="pct"/>
            <w:shd w:val="clear" w:color="auto" w:fill="4472C4" w:themeFill="accent1"/>
            <w:noWrap/>
            <w:hideMark/>
          </w:tcPr>
          <w:p w14:paraId="2E92B48F" w14:textId="77777777" w:rsidR="00B86FB3" w:rsidRPr="00FF756A" w:rsidRDefault="00B86FB3" w:rsidP="00B86FB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p>
        </w:tc>
        <w:tc>
          <w:tcPr>
            <w:tcW w:w="468" w:type="pct"/>
            <w:shd w:val="clear" w:color="auto" w:fill="4472C4" w:themeFill="accent1"/>
            <w:noWrap/>
            <w:hideMark/>
          </w:tcPr>
          <w:p w14:paraId="4D259828" w14:textId="77777777" w:rsidR="00B86FB3" w:rsidRPr="00FF756A" w:rsidRDefault="00B86FB3" w:rsidP="00B86FB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p>
        </w:tc>
        <w:tc>
          <w:tcPr>
            <w:tcW w:w="470" w:type="pct"/>
            <w:shd w:val="clear" w:color="auto" w:fill="4472C4" w:themeFill="accent1"/>
            <w:noWrap/>
            <w:hideMark/>
          </w:tcPr>
          <w:p w14:paraId="364B17F0" w14:textId="77777777" w:rsidR="00B86FB3" w:rsidRPr="00FF756A" w:rsidRDefault="00B86FB3" w:rsidP="00B86FB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p>
        </w:tc>
        <w:tc>
          <w:tcPr>
            <w:tcW w:w="466" w:type="pct"/>
            <w:shd w:val="clear" w:color="auto" w:fill="4472C4" w:themeFill="accent1"/>
            <w:noWrap/>
          </w:tcPr>
          <w:p w14:paraId="79E2311E" w14:textId="77777777" w:rsidR="00B86FB3" w:rsidRPr="00FF756A" w:rsidRDefault="00B86FB3" w:rsidP="00B86FB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p>
        </w:tc>
      </w:tr>
      <w:tr w:rsidR="00B86FB3" w:rsidRPr="00FF756A" w14:paraId="7DE2A097"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39" w:type="pct"/>
            <w:noWrap/>
            <w:hideMark/>
          </w:tcPr>
          <w:p w14:paraId="49D76A16" w14:textId="77777777" w:rsidR="00B86FB3" w:rsidRPr="00FF756A" w:rsidRDefault="00B86FB3" w:rsidP="00B86FB3">
            <w:pPr>
              <w:spacing w:before="0" w:after="0" w:line="240" w:lineRule="auto"/>
              <w:jc w:val="left"/>
              <w:rPr>
                <w:rFonts w:eastAsia="Times New Roman" w:cs="Times New Roman"/>
                <w:b w:val="0"/>
                <w:sz w:val="18"/>
                <w:szCs w:val="18"/>
              </w:rPr>
            </w:pPr>
            <w:r w:rsidRPr="00FF756A">
              <w:rPr>
                <w:rFonts w:cs="Times New Roman"/>
                <w:sz w:val="18"/>
                <w:szCs w:val="18"/>
              </w:rPr>
              <w:t>Prodhimi primar dhe importet</w:t>
            </w:r>
          </w:p>
        </w:tc>
        <w:tc>
          <w:tcPr>
            <w:tcW w:w="481" w:type="pct"/>
            <w:noWrap/>
            <w:vAlign w:val="bottom"/>
            <w:hideMark/>
          </w:tcPr>
          <w:p w14:paraId="680D9D57"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2 660,2 </w:t>
            </w:r>
          </w:p>
        </w:tc>
        <w:tc>
          <w:tcPr>
            <w:tcW w:w="468" w:type="pct"/>
            <w:noWrap/>
            <w:vAlign w:val="bottom"/>
            <w:hideMark/>
          </w:tcPr>
          <w:p w14:paraId="6D59FA27"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2 775,2 </w:t>
            </w:r>
          </w:p>
        </w:tc>
        <w:tc>
          <w:tcPr>
            <w:tcW w:w="469" w:type="pct"/>
            <w:noWrap/>
            <w:vAlign w:val="bottom"/>
            <w:hideMark/>
          </w:tcPr>
          <w:p w14:paraId="2FDEAB6C"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2 872,5 </w:t>
            </w:r>
          </w:p>
        </w:tc>
        <w:tc>
          <w:tcPr>
            <w:tcW w:w="469" w:type="pct"/>
            <w:noWrap/>
            <w:vAlign w:val="bottom"/>
            <w:hideMark/>
          </w:tcPr>
          <w:p w14:paraId="0C630E74"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2 769,0 </w:t>
            </w:r>
          </w:p>
        </w:tc>
        <w:tc>
          <w:tcPr>
            <w:tcW w:w="470" w:type="pct"/>
            <w:noWrap/>
            <w:vAlign w:val="bottom"/>
            <w:hideMark/>
          </w:tcPr>
          <w:p w14:paraId="4F2E1ECE"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2 837,9 </w:t>
            </w:r>
          </w:p>
        </w:tc>
        <w:tc>
          <w:tcPr>
            <w:tcW w:w="468" w:type="pct"/>
            <w:shd w:val="clear" w:color="auto" w:fill="4472C4" w:themeFill="accent1"/>
            <w:noWrap/>
            <w:vAlign w:val="bottom"/>
            <w:hideMark/>
          </w:tcPr>
          <w:p w14:paraId="37609430"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3 029,1 </w:t>
            </w:r>
          </w:p>
        </w:tc>
        <w:tc>
          <w:tcPr>
            <w:tcW w:w="470" w:type="pct"/>
            <w:noWrap/>
            <w:vAlign w:val="bottom"/>
            <w:hideMark/>
          </w:tcPr>
          <w:p w14:paraId="0F21B6A1"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3 681,1 </w:t>
            </w:r>
          </w:p>
        </w:tc>
        <w:tc>
          <w:tcPr>
            <w:tcW w:w="466" w:type="pct"/>
            <w:noWrap/>
            <w:vAlign w:val="bottom"/>
          </w:tcPr>
          <w:p w14:paraId="1B67F304"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4 619,3 </w:t>
            </w:r>
          </w:p>
        </w:tc>
      </w:tr>
      <w:tr w:rsidR="00B86FB3" w:rsidRPr="00FF756A" w14:paraId="4C9F3636"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39" w:type="pct"/>
            <w:noWrap/>
            <w:hideMark/>
          </w:tcPr>
          <w:p w14:paraId="7A37AD46" w14:textId="77777777" w:rsidR="00B86FB3" w:rsidRPr="00FF756A" w:rsidRDefault="00B86FB3" w:rsidP="00B86FB3">
            <w:pPr>
              <w:spacing w:before="0" w:after="0" w:line="240" w:lineRule="auto"/>
              <w:jc w:val="left"/>
              <w:rPr>
                <w:rFonts w:eastAsia="Times New Roman" w:cs="Times New Roman"/>
                <w:b w:val="0"/>
                <w:sz w:val="18"/>
                <w:szCs w:val="18"/>
              </w:rPr>
            </w:pPr>
            <w:r w:rsidRPr="00FF756A">
              <w:rPr>
                <w:rFonts w:cs="Times New Roman"/>
                <w:sz w:val="18"/>
                <w:szCs w:val="18"/>
              </w:rPr>
              <w:t>Eksportet</w:t>
            </w:r>
          </w:p>
        </w:tc>
        <w:tc>
          <w:tcPr>
            <w:tcW w:w="481" w:type="pct"/>
            <w:noWrap/>
            <w:vAlign w:val="bottom"/>
            <w:hideMark/>
          </w:tcPr>
          <w:p w14:paraId="44FF5057"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-540,3 </w:t>
            </w:r>
          </w:p>
        </w:tc>
        <w:tc>
          <w:tcPr>
            <w:tcW w:w="468" w:type="pct"/>
            <w:noWrap/>
            <w:vAlign w:val="bottom"/>
            <w:hideMark/>
          </w:tcPr>
          <w:p w14:paraId="11B9E177"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-522,6 </w:t>
            </w:r>
          </w:p>
        </w:tc>
        <w:tc>
          <w:tcPr>
            <w:tcW w:w="469" w:type="pct"/>
            <w:noWrap/>
            <w:vAlign w:val="bottom"/>
            <w:hideMark/>
          </w:tcPr>
          <w:p w14:paraId="230B4D20"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-606,2 </w:t>
            </w:r>
          </w:p>
        </w:tc>
        <w:tc>
          <w:tcPr>
            <w:tcW w:w="469" w:type="pct"/>
            <w:noWrap/>
            <w:vAlign w:val="bottom"/>
            <w:hideMark/>
          </w:tcPr>
          <w:p w14:paraId="039A95A0"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-465,9 </w:t>
            </w:r>
          </w:p>
        </w:tc>
        <w:tc>
          <w:tcPr>
            <w:tcW w:w="470" w:type="pct"/>
            <w:noWrap/>
            <w:vAlign w:val="bottom"/>
            <w:hideMark/>
          </w:tcPr>
          <w:p w14:paraId="5C6ADC29"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-463,9 </w:t>
            </w:r>
          </w:p>
        </w:tc>
        <w:tc>
          <w:tcPr>
            <w:tcW w:w="468" w:type="pct"/>
            <w:shd w:val="clear" w:color="auto" w:fill="4472C4" w:themeFill="accent1"/>
            <w:noWrap/>
            <w:vAlign w:val="bottom"/>
            <w:hideMark/>
          </w:tcPr>
          <w:p w14:paraId="0A8D0436"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-458,6 </w:t>
            </w:r>
          </w:p>
        </w:tc>
        <w:tc>
          <w:tcPr>
            <w:tcW w:w="470" w:type="pct"/>
            <w:noWrap/>
            <w:vAlign w:val="bottom"/>
            <w:hideMark/>
          </w:tcPr>
          <w:p w14:paraId="5EE753FF"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-447,8 </w:t>
            </w:r>
          </w:p>
        </w:tc>
        <w:tc>
          <w:tcPr>
            <w:tcW w:w="466" w:type="pct"/>
            <w:noWrap/>
            <w:vAlign w:val="bottom"/>
          </w:tcPr>
          <w:p w14:paraId="6B8E494E"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-436,0 </w:t>
            </w:r>
          </w:p>
        </w:tc>
      </w:tr>
      <w:tr w:rsidR="00B86FB3" w:rsidRPr="00FF756A" w14:paraId="3A805F7E"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239" w:type="pct"/>
            <w:noWrap/>
            <w:hideMark/>
          </w:tcPr>
          <w:p w14:paraId="12EF9FA5" w14:textId="77777777" w:rsidR="00B86FB3" w:rsidRPr="00FF756A" w:rsidRDefault="00B86FB3" w:rsidP="00B86FB3">
            <w:pPr>
              <w:spacing w:before="0" w:after="0" w:line="240" w:lineRule="auto"/>
              <w:jc w:val="left"/>
              <w:rPr>
                <w:rFonts w:eastAsia="Times New Roman" w:cs="Times New Roman"/>
                <w:b w:val="0"/>
                <w:sz w:val="18"/>
                <w:szCs w:val="18"/>
              </w:rPr>
            </w:pPr>
            <w:bookmarkStart w:id="723" w:name="_Hlk180436729"/>
            <w:r w:rsidRPr="00FF756A">
              <w:rPr>
                <w:rFonts w:cs="Times New Roman"/>
                <w:sz w:val="18"/>
                <w:szCs w:val="18"/>
              </w:rPr>
              <w:t>Vlera neto</w:t>
            </w:r>
          </w:p>
        </w:tc>
        <w:tc>
          <w:tcPr>
            <w:tcW w:w="481" w:type="pct"/>
            <w:noWrap/>
            <w:vAlign w:val="bottom"/>
            <w:hideMark/>
          </w:tcPr>
          <w:p w14:paraId="0DCC313F"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2 119,9 </w:t>
            </w:r>
          </w:p>
        </w:tc>
        <w:tc>
          <w:tcPr>
            <w:tcW w:w="468" w:type="pct"/>
            <w:noWrap/>
            <w:vAlign w:val="bottom"/>
            <w:hideMark/>
          </w:tcPr>
          <w:p w14:paraId="6D89E91E"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2 252,6 </w:t>
            </w:r>
          </w:p>
        </w:tc>
        <w:tc>
          <w:tcPr>
            <w:tcW w:w="469" w:type="pct"/>
            <w:noWrap/>
            <w:vAlign w:val="bottom"/>
            <w:hideMark/>
          </w:tcPr>
          <w:p w14:paraId="5EC11CAE"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2 266,2 </w:t>
            </w:r>
          </w:p>
        </w:tc>
        <w:tc>
          <w:tcPr>
            <w:tcW w:w="469" w:type="pct"/>
            <w:noWrap/>
            <w:vAlign w:val="bottom"/>
            <w:hideMark/>
          </w:tcPr>
          <w:p w14:paraId="317637EC"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2 303,1 </w:t>
            </w:r>
          </w:p>
        </w:tc>
        <w:tc>
          <w:tcPr>
            <w:tcW w:w="470" w:type="pct"/>
            <w:noWrap/>
            <w:vAlign w:val="bottom"/>
            <w:hideMark/>
          </w:tcPr>
          <w:p w14:paraId="1F4C241D"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2 374,0 </w:t>
            </w:r>
          </w:p>
        </w:tc>
        <w:tc>
          <w:tcPr>
            <w:tcW w:w="468" w:type="pct"/>
            <w:shd w:val="clear" w:color="auto" w:fill="4472C4" w:themeFill="accent1"/>
            <w:noWrap/>
            <w:vAlign w:val="bottom"/>
            <w:hideMark/>
          </w:tcPr>
          <w:p w14:paraId="47123C09"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 xml:space="preserve">       2 570,5 </w:t>
            </w:r>
          </w:p>
        </w:tc>
        <w:tc>
          <w:tcPr>
            <w:tcW w:w="470" w:type="pct"/>
            <w:noWrap/>
            <w:vAlign w:val="bottom"/>
            <w:hideMark/>
          </w:tcPr>
          <w:p w14:paraId="2195F465"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3 233,3 </w:t>
            </w:r>
          </w:p>
        </w:tc>
        <w:tc>
          <w:tcPr>
            <w:tcW w:w="466" w:type="pct"/>
            <w:noWrap/>
            <w:vAlign w:val="bottom"/>
          </w:tcPr>
          <w:p w14:paraId="10CD9957"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rPr>
            </w:pPr>
            <w:r w:rsidRPr="00FF756A">
              <w:rPr>
                <w:rFonts w:cs="Times New Roman"/>
                <w:color w:val="000000"/>
                <w:sz w:val="18"/>
                <w:szCs w:val="18"/>
              </w:rPr>
              <w:t xml:space="preserve">       4 183,3 </w:t>
            </w:r>
          </w:p>
        </w:tc>
      </w:tr>
      <w:bookmarkEnd w:id="723"/>
      <w:tr w:rsidR="00B86FB3" w:rsidRPr="00FF756A" w14:paraId="4ADF6661"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720" w:type="pct"/>
            <w:gridSpan w:val="2"/>
            <w:noWrap/>
            <w:hideMark/>
          </w:tcPr>
          <w:p w14:paraId="69DC4A26" w14:textId="77777777" w:rsidR="00B86FB3" w:rsidRPr="00FF756A" w:rsidRDefault="00B86FB3" w:rsidP="00B86FB3">
            <w:pPr>
              <w:spacing w:before="0" w:after="0" w:line="240" w:lineRule="auto"/>
              <w:jc w:val="left"/>
              <w:rPr>
                <w:rFonts w:eastAsia="Times New Roman" w:cs="Times New Roman"/>
                <w:b w:val="0"/>
                <w:sz w:val="18"/>
                <w:szCs w:val="18"/>
              </w:rPr>
            </w:pPr>
            <w:r w:rsidRPr="00FF756A">
              <w:rPr>
                <w:rFonts w:cs="Times New Roman"/>
                <w:sz w:val="18"/>
                <w:szCs w:val="18"/>
              </w:rPr>
              <w:t>Ndryshimi i vlerës neto në raport me vitin 2020 [%]</w:t>
            </w:r>
          </w:p>
        </w:tc>
        <w:tc>
          <w:tcPr>
            <w:tcW w:w="468" w:type="pct"/>
            <w:shd w:val="clear" w:color="auto" w:fill="4472C4" w:themeFill="accent1"/>
            <w:noWrap/>
            <w:vAlign w:val="bottom"/>
            <w:hideMark/>
          </w:tcPr>
          <w:p w14:paraId="43158ACA" w14:textId="77777777" w:rsidR="00B86FB3" w:rsidRPr="00FF756A" w:rsidRDefault="00B86FB3" w:rsidP="00B86FB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6,3%</w:t>
            </w:r>
          </w:p>
        </w:tc>
        <w:tc>
          <w:tcPr>
            <w:tcW w:w="469" w:type="pct"/>
            <w:shd w:val="clear" w:color="auto" w:fill="4472C4" w:themeFill="accent1"/>
            <w:noWrap/>
            <w:vAlign w:val="bottom"/>
            <w:hideMark/>
          </w:tcPr>
          <w:p w14:paraId="2C7A524F" w14:textId="77777777" w:rsidR="00B86FB3" w:rsidRPr="00FF756A" w:rsidRDefault="00B86FB3" w:rsidP="00B86FB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6,9%</w:t>
            </w:r>
          </w:p>
        </w:tc>
        <w:tc>
          <w:tcPr>
            <w:tcW w:w="469" w:type="pct"/>
            <w:shd w:val="clear" w:color="auto" w:fill="4472C4" w:themeFill="accent1"/>
            <w:noWrap/>
            <w:vAlign w:val="bottom"/>
            <w:hideMark/>
          </w:tcPr>
          <w:p w14:paraId="6BB45BE4"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8"/>
                <w:szCs w:val="18"/>
              </w:rPr>
            </w:pPr>
            <w:r w:rsidRPr="00FF756A">
              <w:rPr>
                <w:rFonts w:cs="Times New Roman"/>
                <w:color w:val="FFFFFF" w:themeColor="background1"/>
                <w:sz w:val="18"/>
                <w:szCs w:val="18"/>
              </w:rPr>
              <w:t>8,6%</w:t>
            </w:r>
          </w:p>
        </w:tc>
        <w:tc>
          <w:tcPr>
            <w:tcW w:w="470" w:type="pct"/>
            <w:shd w:val="clear" w:color="auto" w:fill="4472C4" w:themeFill="accent1"/>
            <w:noWrap/>
            <w:vAlign w:val="bottom"/>
            <w:hideMark/>
          </w:tcPr>
          <w:p w14:paraId="013626B4"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8"/>
                <w:szCs w:val="18"/>
              </w:rPr>
            </w:pPr>
            <w:r w:rsidRPr="00FF756A">
              <w:rPr>
                <w:rFonts w:cs="Times New Roman"/>
                <w:color w:val="FFFFFF" w:themeColor="background1"/>
                <w:sz w:val="18"/>
                <w:szCs w:val="18"/>
              </w:rPr>
              <w:t>12,0%</w:t>
            </w:r>
          </w:p>
        </w:tc>
        <w:tc>
          <w:tcPr>
            <w:tcW w:w="468" w:type="pct"/>
            <w:shd w:val="clear" w:color="auto" w:fill="4472C4" w:themeFill="accent1"/>
            <w:noWrap/>
            <w:vAlign w:val="bottom"/>
            <w:hideMark/>
          </w:tcPr>
          <w:p w14:paraId="15777806"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8"/>
                <w:szCs w:val="18"/>
              </w:rPr>
            </w:pPr>
            <w:r w:rsidRPr="00FF756A">
              <w:rPr>
                <w:rFonts w:cs="Times New Roman"/>
                <w:color w:val="FFFFFF" w:themeColor="background1"/>
                <w:sz w:val="18"/>
                <w:szCs w:val="18"/>
              </w:rPr>
              <w:t>21,3%</w:t>
            </w:r>
          </w:p>
        </w:tc>
        <w:tc>
          <w:tcPr>
            <w:tcW w:w="470" w:type="pct"/>
            <w:shd w:val="clear" w:color="auto" w:fill="4472C4" w:themeFill="accent1"/>
            <w:noWrap/>
            <w:vAlign w:val="bottom"/>
            <w:hideMark/>
          </w:tcPr>
          <w:p w14:paraId="23442D3D"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8"/>
                <w:szCs w:val="18"/>
              </w:rPr>
            </w:pPr>
            <w:r w:rsidRPr="00FF756A">
              <w:rPr>
                <w:rFonts w:cs="Times New Roman"/>
                <w:color w:val="FFFFFF" w:themeColor="background1"/>
                <w:sz w:val="18"/>
                <w:szCs w:val="18"/>
              </w:rPr>
              <w:t>52,5%</w:t>
            </w:r>
          </w:p>
        </w:tc>
        <w:tc>
          <w:tcPr>
            <w:tcW w:w="466" w:type="pct"/>
            <w:shd w:val="clear" w:color="auto" w:fill="4472C4" w:themeFill="accent1"/>
            <w:noWrap/>
            <w:vAlign w:val="bottom"/>
          </w:tcPr>
          <w:p w14:paraId="09883ED7" w14:textId="77777777" w:rsidR="00B86FB3" w:rsidRPr="00FF756A" w:rsidRDefault="00B86FB3" w:rsidP="00B86FB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8"/>
                <w:szCs w:val="18"/>
              </w:rPr>
            </w:pPr>
            <w:r w:rsidRPr="00FF756A">
              <w:rPr>
                <w:rFonts w:cs="Times New Roman"/>
                <w:color w:val="FFFFFF" w:themeColor="background1"/>
                <w:sz w:val="18"/>
                <w:szCs w:val="18"/>
              </w:rPr>
              <w:t>97,3%</w:t>
            </w:r>
          </w:p>
        </w:tc>
      </w:tr>
      <w:tr w:rsidR="00B86FB3" w:rsidRPr="00FF756A" w14:paraId="05C48254"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2188" w:type="pct"/>
            <w:gridSpan w:val="3"/>
            <w:shd w:val="clear" w:color="auto" w:fill="2F5496" w:themeFill="accent1" w:themeFillShade="BF"/>
            <w:noWrap/>
            <w:hideMark/>
          </w:tcPr>
          <w:p w14:paraId="77677622" w14:textId="77777777" w:rsidR="00B86FB3" w:rsidRPr="00FF756A" w:rsidRDefault="00B86FB3" w:rsidP="00B86FB3">
            <w:pPr>
              <w:spacing w:before="0" w:after="0" w:line="240" w:lineRule="auto"/>
              <w:jc w:val="left"/>
              <w:rPr>
                <w:rFonts w:eastAsia="Times New Roman" w:cs="Times New Roman"/>
                <w:b w:val="0"/>
                <w:sz w:val="18"/>
                <w:szCs w:val="18"/>
              </w:rPr>
            </w:pPr>
            <w:r w:rsidRPr="00FF756A">
              <w:rPr>
                <w:rFonts w:cs="Times New Roman"/>
                <w:sz w:val="18"/>
                <w:szCs w:val="18"/>
              </w:rPr>
              <w:t xml:space="preserve">Ndryshimi relativ i vlerës neto </w:t>
            </w:r>
            <w:r w:rsidRPr="00FF756A">
              <w:rPr>
                <w:rFonts w:cs="Times New Roman"/>
                <w:sz w:val="18"/>
                <w:szCs w:val="18"/>
              </w:rPr>
              <w:br/>
              <w:t>(WAM minus WEM)</w:t>
            </w:r>
          </w:p>
        </w:tc>
        <w:tc>
          <w:tcPr>
            <w:tcW w:w="469" w:type="pct"/>
            <w:shd w:val="clear" w:color="auto" w:fill="2F5496" w:themeFill="accent1" w:themeFillShade="BF"/>
            <w:noWrap/>
            <w:hideMark/>
          </w:tcPr>
          <w:p w14:paraId="572BE53F" w14:textId="77777777" w:rsidR="00B86FB3" w:rsidRPr="00FF756A" w:rsidRDefault="00B86FB3" w:rsidP="00B86FB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18"/>
              </w:rPr>
            </w:pPr>
          </w:p>
        </w:tc>
        <w:tc>
          <w:tcPr>
            <w:tcW w:w="469" w:type="pct"/>
            <w:shd w:val="clear" w:color="auto" w:fill="2F5496" w:themeFill="accent1" w:themeFillShade="BF"/>
            <w:noWrap/>
            <w:hideMark/>
          </w:tcPr>
          <w:p w14:paraId="4A067522"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8"/>
                <w:szCs w:val="20"/>
              </w:rPr>
            </w:pPr>
            <w:r w:rsidRPr="00FF756A">
              <w:rPr>
                <w:rFonts w:cs="Times New Roman"/>
                <w:color w:val="FFFFFF" w:themeColor="background1"/>
                <w:sz w:val="18"/>
                <w:szCs w:val="20"/>
              </w:rPr>
              <w:t xml:space="preserve">-0,6% </w:t>
            </w:r>
          </w:p>
        </w:tc>
        <w:tc>
          <w:tcPr>
            <w:tcW w:w="470" w:type="pct"/>
            <w:shd w:val="clear" w:color="auto" w:fill="2F5496" w:themeFill="accent1" w:themeFillShade="BF"/>
            <w:noWrap/>
            <w:hideMark/>
          </w:tcPr>
          <w:p w14:paraId="74C86B9F"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8"/>
                <w:szCs w:val="20"/>
              </w:rPr>
            </w:pPr>
            <w:r w:rsidRPr="00FF756A">
              <w:rPr>
                <w:rFonts w:cs="Times New Roman"/>
                <w:color w:val="FFFFFF" w:themeColor="background1"/>
                <w:sz w:val="18"/>
                <w:szCs w:val="20"/>
              </w:rPr>
              <w:t>-2,4%</w:t>
            </w:r>
          </w:p>
        </w:tc>
        <w:tc>
          <w:tcPr>
            <w:tcW w:w="468" w:type="pct"/>
            <w:shd w:val="clear" w:color="auto" w:fill="2F5496" w:themeFill="accent1" w:themeFillShade="BF"/>
            <w:noWrap/>
            <w:hideMark/>
          </w:tcPr>
          <w:p w14:paraId="47D59D89"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8"/>
                <w:szCs w:val="20"/>
              </w:rPr>
            </w:pPr>
            <w:r w:rsidRPr="00FF756A">
              <w:rPr>
                <w:rFonts w:cs="Times New Roman"/>
                <w:color w:val="FFFFFF" w:themeColor="background1"/>
                <w:sz w:val="18"/>
                <w:szCs w:val="20"/>
              </w:rPr>
              <w:t>-6,4%</w:t>
            </w:r>
          </w:p>
        </w:tc>
        <w:tc>
          <w:tcPr>
            <w:tcW w:w="470" w:type="pct"/>
            <w:shd w:val="clear" w:color="auto" w:fill="2F5496" w:themeFill="accent1" w:themeFillShade="BF"/>
            <w:noWrap/>
            <w:hideMark/>
          </w:tcPr>
          <w:p w14:paraId="69096476" w14:textId="77777777" w:rsidR="00B86FB3" w:rsidRPr="00FF756A" w:rsidRDefault="00B86FB3" w:rsidP="00B86FB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8"/>
                <w:szCs w:val="20"/>
              </w:rPr>
            </w:pPr>
            <w:r w:rsidRPr="00FF756A">
              <w:rPr>
                <w:rFonts w:cs="Times New Roman"/>
                <w:color w:val="FFFFFF" w:themeColor="background1"/>
                <w:sz w:val="18"/>
                <w:szCs w:val="20"/>
              </w:rPr>
              <w:t>-24,2%</w:t>
            </w:r>
          </w:p>
        </w:tc>
        <w:tc>
          <w:tcPr>
            <w:tcW w:w="466" w:type="pct"/>
            <w:shd w:val="clear" w:color="auto" w:fill="2F5496" w:themeFill="accent1" w:themeFillShade="BF"/>
            <w:noWrap/>
          </w:tcPr>
          <w:p w14:paraId="285FFEF3" w14:textId="77777777" w:rsidR="00B86FB3" w:rsidRPr="00FF756A" w:rsidRDefault="00B86FB3" w:rsidP="00CA0875">
            <w:pPr>
              <w:keepNext/>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8"/>
                <w:szCs w:val="20"/>
              </w:rPr>
            </w:pPr>
            <w:r w:rsidRPr="00FF756A">
              <w:rPr>
                <w:rFonts w:cs="Times New Roman"/>
                <w:color w:val="FFFFFF" w:themeColor="background1"/>
                <w:sz w:val="18"/>
                <w:szCs w:val="20"/>
              </w:rPr>
              <w:t>-48,8%</w:t>
            </w:r>
          </w:p>
        </w:tc>
      </w:tr>
    </w:tbl>
    <w:p w14:paraId="4CE41FCD" w14:textId="42367BCB" w:rsidR="00B86FB3" w:rsidRPr="00FF756A" w:rsidRDefault="00CA0875" w:rsidP="00CA0875">
      <w:pPr>
        <w:pStyle w:val="Caption"/>
        <w:rPr>
          <w:rFonts w:ascii="Times New Roman" w:hAnsi="Times New Roman"/>
        </w:rPr>
      </w:pPr>
      <w:bookmarkStart w:id="724" w:name="_Toc183016523"/>
      <w:r w:rsidRPr="00FF756A">
        <w:rPr>
          <w:rFonts w:ascii="Times New Roman" w:hAnsi="Times New Roman"/>
        </w:rPr>
        <w:t xml:space="preserve">Tabela </w:t>
      </w:r>
      <w:r w:rsidR="008E7DE9" w:rsidRPr="00FF756A">
        <w:rPr>
          <w:rFonts w:ascii="Times New Roman" w:hAnsi="Times New Roman"/>
        </w:rPr>
        <w:fldChar w:fldCharType="begin"/>
      </w:r>
      <w:r w:rsidR="008E7DE9" w:rsidRPr="00FF756A">
        <w:rPr>
          <w:rFonts w:ascii="Times New Roman" w:hAnsi="Times New Roman"/>
        </w:rPr>
        <w:instrText xml:space="preserve"> SEQ Tabela \* ARABIC </w:instrText>
      </w:r>
      <w:r w:rsidR="008E7DE9" w:rsidRPr="00FF756A">
        <w:rPr>
          <w:rFonts w:ascii="Times New Roman" w:hAnsi="Times New Roman"/>
        </w:rPr>
        <w:fldChar w:fldCharType="separate"/>
      </w:r>
      <w:r w:rsidR="008E7DE9" w:rsidRPr="00FF756A">
        <w:rPr>
          <w:rFonts w:ascii="Times New Roman" w:hAnsi="Times New Roman"/>
          <w:noProof/>
        </w:rPr>
        <w:t>59</w:t>
      </w:r>
      <w:r w:rsidR="008E7DE9" w:rsidRPr="00FF756A">
        <w:rPr>
          <w:rFonts w:ascii="Times New Roman" w:hAnsi="Times New Roman"/>
          <w:noProof/>
        </w:rPr>
        <w:fldChar w:fldCharType="end"/>
      </w:r>
      <w:r w:rsidRPr="00FF756A">
        <w:rPr>
          <w:rFonts w:ascii="Times New Roman" w:hAnsi="Times New Roman"/>
        </w:rPr>
        <w:t>: Furnizimi me energji primare [ktoe] në skenarët WAM dhe WEM</w:t>
      </w:r>
      <w:bookmarkEnd w:id="724"/>
    </w:p>
    <w:p w14:paraId="0F42FD08" w14:textId="77777777" w:rsidR="00CA0875" w:rsidRPr="00FF756A" w:rsidRDefault="00CA0875" w:rsidP="00CA0875">
      <w:pPr>
        <w:rPr>
          <w:lang w:eastAsia="ja-JP"/>
        </w:rPr>
      </w:pPr>
    </w:p>
    <w:p w14:paraId="66A4C919" w14:textId="77777777" w:rsidR="00B86FB3" w:rsidRPr="00FF756A" w:rsidRDefault="00B86FB3" w:rsidP="00B86FB3">
      <w:r w:rsidRPr="00FF756A">
        <w:fldChar w:fldCharType="begin"/>
      </w:r>
      <w:r w:rsidRPr="00FF756A">
        <w:instrText xml:space="preserve"> REF _Ref71838421 \h  \* MERGEFORMAT </w:instrText>
      </w:r>
      <w:r w:rsidRPr="00FF756A">
        <w:fldChar w:fldCharType="separate"/>
      </w:r>
      <w:r w:rsidRPr="00FF756A">
        <w:t>Figura 29</w:t>
      </w:r>
      <w:r w:rsidRPr="00FF756A">
        <w:fldChar w:fldCharType="end"/>
      </w:r>
      <w:r w:rsidRPr="00FF756A">
        <w:t xml:space="preserve"> deri në </w:t>
      </w:r>
      <w:r w:rsidRPr="00FF756A">
        <w:fldChar w:fldCharType="begin"/>
      </w:r>
      <w:r w:rsidRPr="00FF756A">
        <w:instrText xml:space="preserve"> REF _Ref75520534 \h  \* MERGEFORMAT </w:instrText>
      </w:r>
      <w:r w:rsidRPr="00FF756A">
        <w:fldChar w:fldCharType="separate"/>
      </w:r>
      <w:r w:rsidRPr="00FF756A">
        <w:t>Figura 87</w:t>
      </w:r>
      <w:r w:rsidRPr="00FF756A">
        <w:fldChar w:fldCharType="end"/>
      </w:r>
      <w:r w:rsidRPr="00FF756A">
        <w:t xml:space="preserve"> paraqesin kërkesën për energji primare çdo burim, sipas parashikimit në skenarin WAM. Duke krahasuar </w:t>
      </w:r>
      <w:r w:rsidRPr="00FF756A">
        <w:fldChar w:fldCharType="begin"/>
      </w:r>
      <w:r w:rsidRPr="00FF756A">
        <w:instrText xml:space="preserve"> REF _Ref71838421 \h  \* MERGEFORMAT </w:instrText>
      </w:r>
      <w:r w:rsidRPr="00FF756A">
        <w:fldChar w:fldCharType="separate"/>
      </w:r>
      <w:r w:rsidRPr="00FF756A">
        <w:t>Figura 29</w:t>
      </w:r>
      <w:r w:rsidRPr="00FF756A">
        <w:fldChar w:fldCharType="end"/>
      </w:r>
      <w:r w:rsidRPr="00FF756A">
        <w:t xml:space="preserve"> (skenarin WAM) dhe </w:t>
      </w:r>
      <w:r w:rsidRPr="00FF756A">
        <w:fldChar w:fldCharType="begin"/>
      </w:r>
      <w:r w:rsidRPr="00FF756A">
        <w:instrText xml:space="preserve"> REF _Ref75520580 \h  \* MERGEFORMAT </w:instrText>
      </w:r>
      <w:r w:rsidRPr="00FF756A">
        <w:fldChar w:fldCharType="separate"/>
      </w:r>
      <w:r w:rsidRPr="00FF756A">
        <w:t>Figura 85</w:t>
      </w:r>
      <w:r w:rsidRPr="00FF756A">
        <w:fldChar w:fldCharType="end"/>
      </w:r>
      <w:r w:rsidRPr="00FF756A">
        <w:t xml:space="preserve"> (skenarin WAM që merr në konsideratë vetëm ER-në për përmbushjen e kërkesës), duket qartë se diferenca i atribuohet sërish mënyrës së funksionimit të impianteve të energjisë së rinovueshme, çka dikton në veçanti përqindjen e ER-së të diskutuar më sipër. Kjo përbën një ndër nxitësit kryesorë të dallimit midis WEM dhe WAM për sa i përket furnizimit me energji primare (</w:t>
      </w:r>
      <w:r w:rsidRPr="00FF756A">
        <w:fldChar w:fldCharType="begin"/>
      </w:r>
      <w:r w:rsidRPr="00FF756A">
        <w:instrText xml:space="preserve"> REF _Ref75520534 \h  \* MERGEFORMAT </w:instrText>
      </w:r>
      <w:r w:rsidRPr="00FF756A">
        <w:fldChar w:fldCharType="separate"/>
      </w:r>
      <w:r w:rsidRPr="00FF756A">
        <w:t>Figura 87</w:t>
      </w:r>
      <w:r w:rsidRPr="00FF756A">
        <w:fldChar w:fldCharType="end"/>
      </w:r>
      <w:r w:rsidRPr="00FF756A">
        <w:t xml:space="preserve">); të tjerët përfshijnë reduktimin e përdorimit të lëndëve djegëse fosile në sektorin e transportit dhe në industri përmes zëvendësimit të lëndës djegëse dhe masat për efiçencën e energjisë.  </w:t>
      </w:r>
    </w:p>
    <w:p w14:paraId="6D7883B4" w14:textId="77777777" w:rsidR="00CA0875" w:rsidRPr="00FF756A" w:rsidRDefault="00B86FB3" w:rsidP="00CA0875">
      <w:pPr>
        <w:keepNext/>
      </w:pPr>
      <w:r w:rsidRPr="00FF756A">
        <w:rPr>
          <w:noProof/>
          <w:lang w:val="en-US"/>
        </w:rPr>
        <w:drawing>
          <wp:inline distT="0" distB="0" distL="0" distR="0" wp14:anchorId="1DEB3DD0" wp14:editId="707A1E1D">
            <wp:extent cx="5760720" cy="3456305"/>
            <wp:effectExtent l="0" t="0" r="0" b="0"/>
            <wp:docPr id="1053980079" name="Picture 4"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980079" name="Picture 4" descr="A graph of different colored bars&#10;&#10;Description automatically generated"/>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5AC3A4D0" w14:textId="2210F702" w:rsidR="00B86FB3" w:rsidRPr="00FF756A" w:rsidRDefault="00CA0875" w:rsidP="00CA0875">
      <w:pPr>
        <w:pStyle w:val="Caption"/>
        <w:rPr>
          <w:rFonts w:ascii="Times New Roman" w:hAnsi="Times New Roman"/>
        </w:rPr>
      </w:pPr>
      <w:bookmarkStart w:id="725" w:name="_Toc183016632"/>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102</w:t>
      </w:r>
      <w:r w:rsidR="008E7DE9" w:rsidRPr="00FF756A">
        <w:rPr>
          <w:rFonts w:ascii="Times New Roman" w:hAnsi="Times New Roman"/>
          <w:noProof/>
        </w:rPr>
        <w:fldChar w:fldCharType="end"/>
      </w:r>
      <w:r w:rsidRPr="00FF756A">
        <w:rPr>
          <w:rFonts w:ascii="Times New Roman" w:hAnsi="Times New Roman"/>
        </w:rPr>
        <w:t>: Furnizimi me energji primare për periudhën kohore 2016-2023 dhe sipas parashikimeve deri në vitin 2050 me masat shtesë</w:t>
      </w:r>
      <w:bookmarkEnd w:id="725"/>
    </w:p>
    <w:p w14:paraId="1564D51D" w14:textId="77777777" w:rsidR="00B86FB3" w:rsidRPr="00FF756A" w:rsidRDefault="00B86FB3" w:rsidP="00B86FB3"/>
    <w:p w14:paraId="23984C3D" w14:textId="77777777" w:rsidR="00CA0875" w:rsidRPr="00FF756A" w:rsidRDefault="00B86FB3" w:rsidP="00CA0875">
      <w:pPr>
        <w:keepNext/>
      </w:pPr>
      <w:r w:rsidRPr="00FF756A">
        <w:rPr>
          <w:noProof/>
          <w:lang w:val="en-US"/>
        </w:rPr>
        <w:drawing>
          <wp:inline distT="0" distB="0" distL="0" distR="0" wp14:anchorId="2D9A0DDA" wp14:editId="6EA2A3FD">
            <wp:extent cx="5760720" cy="3456305"/>
            <wp:effectExtent l="0" t="0" r="0" b="0"/>
            <wp:docPr id="960649392" name="Picture 29"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49392" name="Picture 29" descr="A graph of different colored bars&#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585083DD" w14:textId="734CE7AB" w:rsidR="00B86FB3" w:rsidRPr="00FF756A" w:rsidRDefault="00CA0875" w:rsidP="00CA0875">
      <w:pPr>
        <w:pStyle w:val="Caption"/>
        <w:rPr>
          <w:rFonts w:ascii="Times New Roman" w:hAnsi="Times New Roman"/>
        </w:rPr>
      </w:pPr>
      <w:bookmarkStart w:id="726" w:name="_Toc183016633"/>
      <w:r w:rsidRPr="00FF756A">
        <w:rPr>
          <w:rFonts w:ascii="Times New Roman" w:hAnsi="Times New Roman"/>
        </w:rPr>
        <w:t xml:space="preserve">Figura </w:t>
      </w:r>
      <w:r w:rsidR="008E7DE9" w:rsidRPr="00FF756A">
        <w:rPr>
          <w:rFonts w:ascii="Times New Roman" w:hAnsi="Times New Roman"/>
        </w:rPr>
        <w:fldChar w:fldCharType="begin"/>
      </w:r>
      <w:r w:rsidR="008E7DE9" w:rsidRPr="00FF756A">
        <w:rPr>
          <w:rFonts w:ascii="Times New Roman" w:hAnsi="Times New Roman"/>
        </w:rPr>
        <w:instrText xml:space="preserve"> SEQ Figura \* ARABIC </w:instrText>
      </w:r>
      <w:r w:rsidR="008E7DE9" w:rsidRPr="00FF756A">
        <w:rPr>
          <w:rFonts w:ascii="Times New Roman" w:hAnsi="Times New Roman"/>
        </w:rPr>
        <w:fldChar w:fldCharType="separate"/>
      </w:r>
      <w:r w:rsidR="008E7DE9" w:rsidRPr="00FF756A">
        <w:rPr>
          <w:rFonts w:ascii="Times New Roman" w:hAnsi="Times New Roman"/>
          <w:noProof/>
        </w:rPr>
        <w:t>103</w:t>
      </w:r>
      <w:r w:rsidR="008E7DE9" w:rsidRPr="00FF756A">
        <w:rPr>
          <w:rFonts w:ascii="Times New Roman" w:hAnsi="Times New Roman"/>
          <w:noProof/>
        </w:rPr>
        <w:fldChar w:fldCharType="end"/>
      </w:r>
      <w:r w:rsidRPr="00FF756A">
        <w:rPr>
          <w:rFonts w:ascii="Times New Roman" w:hAnsi="Times New Roman"/>
        </w:rPr>
        <w:t>: Furnizimi me energji primare për periudhën kohore 2016-2023 dhe sipas parashikimeve deri në vitin 2050 me masat shtesë, kur impiantet e energjisë së rinovueshme vihen në funksion vetëm për të përmbushur nevojat e brendshme për energji</w:t>
      </w:r>
      <w:bookmarkEnd w:id="726"/>
    </w:p>
    <w:p w14:paraId="539683E1" w14:textId="77777777" w:rsidR="00B86FB3" w:rsidRPr="00FF756A" w:rsidRDefault="00B86FB3" w:rsidP="00B86FB3">
      <w:pPr>
        <w:keepNext/>
      </w:pPr>
      <w:r w:rsidRPr="00FF756A">
        <w:rPr>
          <w:noProof/>
          <w:lang w:val="en-US"/>
        </w:rPr>
        <w:drawing>
          <wp:inline distT="0" distB="0" distL="0" distR="0" wp14:anchorId="784777EC" wp14:editId="4349624F">
            <wp:extent cx="5760720" cy="3456305"/>
            <wp:effectExtent l="0" t="0" r="0" b="0"/>
            <wp:docPr id="1510075959" name="Picture 30"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075959" name="Picture 30" descr="A graph with a line&#10;&#10;Description automatically generated"/>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504E4280" w14:textId="77777777" w:rsidR="00B86FB3" w:rsidRPr="00FF756A" w:rsidRDefault="00B86FB3" w:rsidP="00B86FB3">
      <w:pPr>
        <w:spacing w:line="240" w:lineRule="auto"/>
        <w:rPr>
          <w:rFonts w:eastAsia="Times New Roman"/>
          <w:b/>
          <w:bCs/>
          <w:color w:val="4F81BD"/>
          <w:sz w:val="18"/>
          <w:szCs w:val="18"/>
          <w:lang w:eastAsia="ja-JP"/>
        </w:rPr>
      </w:pPr>
      <w:bookmarkStart w:id="727" w:name="_Toc76466955"/>
      <w:bookmarkStart w:id="728" w:name="_Toc100321080"/>
      <w:r w:rsidRPr="00FF756A">
        <w:rPr>
          <w:rFonts w:eastAsia="Times New Roman"/>
          <w:b/>
          <w:bCs/>
          <w:color w:val="4F81BD"/>
          <w:sz w:val="18"/>
          <w:szCs w:val="18"/>
          <w:lang w:eastAsia="ja-JP"/>
        </w:rPr>
        <w:t xml:space="preserve">Figura </w:t>
      </w:r>
      <w:r w:rsidRPr="00FF756A">
        <w:rPr>
          <w:rFonts w:eastAsia="Times New Roman"/>
          <w:b/>
          <w:bCs/>
          <w:color w:val="4F81BD"/>
          <w:sz w:val="18"/>
          <w:szCs w:val="18"/>
          <w:lang w:eastAsia="ja-JP"/>
        </w:rPr>
        <w:fldChar w:fldCharType="begin"/>
      </w:r>
      <w:r w:rsidRPr="00FF756A">
        <w:rPr>
          <w:rFonts w:eastAsia="Times New Roman"/>
          <w:b/>
          <w:bCs/>
          <w:color w:val="4F81BD"/>
          <w:sz w:val="18"/>
          <w:szCs w:val="18"/>
          <w:lang w:eastAsia="ja-JP"/>
        </w:rPr>
        <w:instrText xml:space="preserve"> SEQ Figure \* ARABIC </w:instrText>
      </w:r>
      <w:r w:rsidRPr="00FF756A">
        <w:rPr>
          <w:rFonts w:eastAsia="Times New Roman"/>
          <w:b/>
          <w:bCs/>
          <w:color w:val="4F81BD"/>
          <w:sz w:val="18"/>
          <w:szCs w:val="18"/>
          <w:lang w:eastAsia="ja-JP"/>
        </w:rPr>
        <w:fldChar w:fldCharType="separate"/>
      </w:r>
      <w:r w:rsidRPr="00FF756A">
        <w:rPr>
          <w:rFonts w:eastAsia="Times New Roman"/>
          <w:b/>
          <w:bCs/>
          <w:noProof/>
          <w:color w:val="4F81BD"/>
          <w:sz w:val="18"/>
          <w:szCs w:val="18"/>
          <w:lang w:eastAsia="ja-JP"/>
        </w:rPr>
        <w:t>86</w:t>
      </w:r>
      <w:r w:rsidRPr="00FF756A">
        <w:rPr>
          <w:rFonts w:eastAsia="Times New Roman"/>
          <w:b/>
          <w:bCs/>
          <w:noProof/>
          <w:color w:val="4F81BD"/>
          <w:sz w:val="18"/>
          <w:szCs w:val="18"/>
          <w:lang w:eastAsia="ja-JP"/>
        </w:rPr>
        <w:fldChar w:fldCharType="end"/>
      </w:r>
      <w:r w:rsidRPr="00FF756A">
        <w:rPr>
          <w:rFonts w:eastAsia="Times New Roman"/>
          <w:b/>
          <w:bCs/>
          <w:color w:val="4F81BD"/>
          <w:sz w:val="18"/>
          <w:szCs w:val="18"/>
          <w:lang w:eastAsia="ja-JP"/>
        </w:rPr>
        <w:t>: Vlera neto e furnizimit me energji primare për periudhën kohore 2016-2023 dhe sipas parashikimeve deri në vitin 2030 dhe për vitet 2040 dhe 2050, me masat shtesë (të dyja variantet) dhe me masat ekzistuese</w:t>
      </w:r>
      <w:bookmarkEnd w:id="727"/>
      <w:bookmarkEnd w:id="728"/>
    </w:p>
    <w:p w14:paraId="034FA062" w14:textId="77777777" w:rsidR="008E7DE9" w:rsidRPr="00FF756A" w:rsidRDefault="00B86FB3" w:rsidP="008E7DE9">
      <w:pPr>
        <w:keepNext/>
      </w:pPr>
      <w:r w:rsidRPr="00FF756A">
        <w:rPr>
          <w:noProof/>
          <w:lang w:val="en-US"/>
        </w:rPr>
        <w:drawing>
          <wp:inline distT="0" distB="0" distL="0" distR="0" wp14:anchorId="24518EE7" wp14:editId="197312BD">
            <wp:extent cx="5340096" cy="3203940"/>
            <wp:effectExtent l="0" t="0" r="0" b="0"/>
            <wp:docPr id="1593082141" name="Picture 5"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082141" name="Picture 5" descr="A graph of a graph&#10;&#10;Description automatically generated with medium confidenc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342575" cy="3205427"/>
                    </a:xfrm>
                    <a:prstGeom prst="rect">
                      <a:avLst/>
                    </a:prstGeom>
                  </pic:spPr>
                </pic:pic>
              </a:graphicData>
            </a:graphic>
          </wp:inline>
        </w:drawing>
      </w:r>
    </w:p>
    <w:p w14:paraId="655A1AB0" w14:textId="25751BF8" w:rsidR="00B86FB3" w:rsidRPr="00FF756A" w:rsidRDefault="008E7DE9" w:rsidP="008E7DE9">
      <w:pPr>
        <w:pStyle w:val="Caption"/>
        <w:rPr>
          <w:rFonts w:ascii="Times New Roman" w:hAnsi="Times New Roman"/>
        </w:rPr>
      </w:pPr>
      <w:bookmarkStart w:id="729" w:name="_Toc183016634"/>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104</w:t>
      </w:r>
      <w:r w:rsidRPr="00FF756A">
        <w:rPr>
          <w:rFonts w:ascii="Times New Roman" w:hAnsi="Times New Roman"/>
          <w:noProof/>
        </w:rPr>
        <w:fldChar w:fldCharType="end"/>
      </w:r>
      <w:r w:rsidRPr="00FF756A">
        <w:rPr>
          <w:rFonts w:ascii="Times New Roman" w:hAnsi="Times New Roman"/>
        </w:rPr>
        <w:t>: Furnizimi me energji primare për periudhën kohore 2016-2023 dhe sipas parashikimeve deri në vitin 2050 Dallimet midis skenarit WAM (që merr në konsideratë kapacitetin e plotë të ER-së) dhe skenarit WEM, të ndara në nënkategori</w:t>
      </w:r>
      <w:bookmarkEnd w:id="729"/>
    </w:p>
    <w:p w14:paraId="4E880CA6" w14:textId="77777777" w:rsidR="00B86FB3" w:rsidRPr="00FF756A" w:rsidRDefault="00B86FB3" w:rsidP="00B86FB3"/>
    <w:p w14:paraId="545A1133" w14:textId="77777777" w:rsidR="00B86FB3" w:rsidRPr="00FF756A" w:rsidRDefault="00B86FB3" w:rsidP="00B86FB3">
      <w:r w:rsidRPr="00FF756A">
        <w:t xml:space="preserve">Në tabelën e mëposhtme paraqitet një përmbledhje e furnizimit me energji primare në skenarin WAM. </w:t>
      </w:r>
    </w:p>
    <w:p w14:paraId="1E52A3A7" w14:textId="77777777" w:rsidR="00B86FB3" w:rsidRPr="00FF756A" w:rsidRDefault="00B86FB3" w:rsidP="00B86FB3"/>
    <w:tbl>
      <w:tblPr>
        <w:tblW w:w="9245" w:type="dxa"/>
        <w:tblLayout w:type="fixed"/>
        <w:tblLook w:val="04A0" w:firstRow="1" w:lastRow="0" w:firstColumn="1" w:lastColumn="0" w:noHBand="0" w:noVBand="1"/>
      </w:tblPr>
      <w:tblGrid>
        <w:gridCol w:w="2238"/>
        <w:gridCol w:w="875"/>
        <w:gridCol w:w="876"/>
        <w:gridCol w:w="876"/>
        <w:gridCol w:w="876"/>
        <w:gridCol w:w="876"/>
        <w:gridCol w:w="876"/>
        <w:gridCol w:w="876"/>
        <w:gridCol w:w="876"/>
      </w:tblGrid>
      <w:tr w:rsidR="00B86FB3" w:rsidRPr="00FF756A" w14:paraId="6A108FBB" w14:textId="77777777" w:rsidTr="006A3266">
        <w:trPr>
          <w:trHeight w:val="304"/>
        </w:trPr>
        <w:tc>
          <w:tcPr>
            <w:tcW w:w="2238" w:type="dxa"/>
            <w:tcBorders>
              <w:top w:val="single" w:sz="8" w:space="0" w:color="FFFFFF"/>
              <w:left w:val="single" w:sz="8" w:space="0" w:color="FFFFFF"/>
              <w:bottom w:val="single" w:sz="8" w:space="0" w:color="FFFFFF"/>
              <w:right w:val="nil"/>
            </w:tcBorders>
            <w:shd w:val="clear" w:color="000000" w:fill="4F81BD"/>
            <w:noWrap/>
            <w:vAlign w:val="center"/>
            <w:hideMark/>
          </w:tcPr>
          <w:p w14:paraId="635CF424" w14:textId="77777777" w:rsidR="00B86FB3" w:rsidRPr="00FF756A" w:rsidRDefault="00B86FB3" w:rsidP="00B86FB3">
            <w:pPr>
              <w:rPr>
                <w:rFonts w:eastAsia="Times New Roman"/>
                <w:b/>
                <w:bCs/>
                <w:color w:val="FFFFFF"/>
                <w:sz w:val="20"/>
                <w:szCs w:val="20"/>
              </w:rPr>
            </w:pPr>
            <w:r w:rsidRPr="00FF756A">
              <w:rPr>
                <w:b/>
                <w:bCs/>
                <w:color w:val="FFFFFF"/>
                <w:sz w:val="20"/>
                <w:szCs w:val="20"/>
              </w:rPr>
              <w:t>Lënda djegëse [në ktoe]</w:t>
            </w:r>
          </w:p>
        </w:tc>
        <w:tc>
          <w:tcPr>
            <w:tcW w:w="875" w:type="dxa"/>
            <w:tcBorders>
              <w:top w:val="single" w:sz="8" w:space="0" w:color="FFFFFF"/>
              <w:left w:val="nil"/>
              <w:bottom w:val="single" w:sz="8" w:space="0" w:color="FFFFFF"/>
              <w:right w:val="nil"/>
            </w:tcBorders>
            <w:shd w:val="clear" w:color="000000" w:fill="4F81BD"/>
            <w:noWrap/>
            <w:vAlign w:val="center"/>
            <w:hideMark/>
          </w:tcPr>
          <w:p w14:paraId="000EE4F2" w14:textId="77777777" w:rsidR="00B86FB3" w:rsidRPr="00FF756A" w:rsidRDefault="00B86FB3" w:rsidP="00B86FB3">
            <w:pPr>
              <w:jc w:val="right"/>
              <w:rPr>
                <w:rFonts w:eastAsia="Times New Roman"/>
                <w:b/>
                <w:bCs/>
                <w:color w:val="FFFFFF"/>
                <w:sz w:val="20"/>
                <w:szCs w:val="20"/>
              </w:rPr>
            </w:pPr>
            <w:r w:rsidRPr="00FF756A">
              <w:rPr>
                <w:b/>
                <w:bCs/>
                <w:color w:val="FFFFFF"/>
                <w:sz w:val="20"/>
                <w:szCs w:val="20"/>
              </w:rPr>
              <w:t>2020</w:t>
            </w:r>
          </w:p>
        </w:tc>
        <w:tc>
          <w:tcPr>
            <w:tcW w:w="876" w:type="dxa"/>
            <w:tcBorders>
              <w:top w:val="single" w:sz="8" w:space="0" w:color="FFFFFF"/>
              <w:left w:val="nil"/>
              <w:bottom w:val="single" w:sz="8" w:space="0" w:color="FFFFFF"/>
              <w:right w:val="nil"/>
            </w:tcBorders>
            <w:shd w:val="clear" w:color="000000" w:fill="4F81BD"/>
            <w:noWrap/>
            <w:vAlign w:val="center"/>
            <w:hideMark/>
          </w:tcPr>
          <w:p w14:paraId="5671BF8D" w14:textId="77777777" w:rsidR="00B86FB3" w:rsidRPr="00FF756A" w:rsidRDefault="00B86FB3" w:rsidP="00B86FB3">
            <w:pPr>
              <w:jc w:val="right"/>
              <w:rPr>
                <w:rFonts w:eastAsia="Times New Roman"/>
                <w:b/>
                <w:bCs/>
                <w:color w:val="FFFFFF"/>
                <w:sz w:val="20"/>
                <w:szCs w:val="20"/>
              </w:rPr>
            </w:pPr>
            <w:r w:rsidRPr="00FF756A">
              <w:rPr>
                <w:b/>
                <w:bCs/>
                <w:color w:val="FFFFFF"/>
                <w:sz w:val="20"/>
                <w:szCs w:val="20"/>
              </w:rPr>
              <w:t>2021</w:t>
            </w:r>
          </w:p>
        </w:tc>
        <w:tc>
          <w:tcPr>
            <w:tcW w:w="876" w:type="dxa"/>
            <w:tcBorders>
              <w:top w:val="single" w:sz="8" w:space="0" w:color="FFFFFF"/>
              <w:left w:val="nil"/>
              <w:bottom w:val="single" w:sz="8" w:space="0" w:color="FFFFFF"/>
              <w:right w:val="nil"/>
            </w:tcBorders>
            <w:shd w:val="clear" w:color="000000" w:fill="4F81BD"/>
            <w:noWrap/>
            <w:vAlign w:val="center"/>
            <w:hideMark/>
          </w:tcPr>
          <w:p w14:paraId="64CE616F" w14:textId="77777777" w:rsidR="00B86FB3" w:rsidRPr="00FF756A" w:rsidRDefault="00B86FB3" w:rsidP="00B86FB3">
            <w:pPr>
              <w:jc w:val="right"/>
              <w:rPr>
                <w:rFonts w:eastAsia="Times New Roman"/>
                <w:b/>
                <w:bCs/>
                <w:color w:val="FFFFFF"/>
                <w:sz w:val="20"/>
                <w:szCs w:val="20"/>
              </w:rPr>
            </w:pPr>
            <w:r w:rsidRPr="00FF756A">
              <w:rPr>
                <w:b/>
                <w:bCs/>
                <w:color w:val="FFFFFF"/>
                <w:sz w:val="20"/>
                <w:szCs w:val="20"/>
              </w:rPr>
              <w:t>2022</w:t>
            </w:r>
          </w:p>
        </w:tc>
        <w:tc>
          <w:tcPr>
            <w:tcW w:w="876" w:type="dxa"/>
            <w:tcBorders>
              <w:top w:val="single" w:sz="8" w:space="0" w:color="FFFFFF"/>
              <w:left w:val="nil"/>
              <w:bottom w:val="single" w:sz="8" w:space="0" w:color="FFFFFF"/>
              <w:right w:val="nil"/>
            </w:tcBorders>
            <w:shd w:val="clear" w:color="000000" w:fill="4F81BD"/>
            <w:noWrap/>
            <w:vAlign w:val="center"/>
            <w:hideMark/>
          </w:tcPr>
          <w:p w14:paraId="5C7CC54D" w14:textId="77777777" w:rsidR="00B86FB3" w:rsidRPr="00FF756A" w:rsidRDefault="00B86FB3" w:rsidP="00B86FB3">
            <w:pPr>
              <w:jc w:val="right"/>
              <w:rPr>
                <w:rFonts w:eastAsia="Times New Roman"/>
                <w:b/>
                <w:bCs/>
                <w:color w:val="FFFFFF"/>
                <w:sz w:val="20"/>
                <w:szCs w:val="20"/>
              </w:rPr>
            </w:pPr>
            <w:r w:rsidRPr="00FF756A">
              <w:rPr>
                <w:b/>
                <w:bCs/>
                <w:color w:val="FFFFFF"/>
                <w:sz w:val="20"/>
                <w:szCs w:val="20"/>
              </w:rPr>
              <w:t>2023</w:t>
            </w:r>
          </w:p>
        </w:tc>
        <w:tc>
          <w:tcPr>
            <w:tcW w:w="876" w:type="dxa"/>
            <w:tcBorders>
              <w:top w:val="single" w:sz="8" w:space="0" w:color="FFFFFF"/>
              <w:left w:val="nil"/>
              <w:bottom w:val="single" w:sz="8" w:space="0" w:color="FFFFFF"/>
              <w:right w:val="nil"/>
            </w:tcBorders>
            <w:shd w:val="clear" w:color="000000" w:fill="4F81BD"/>
            <w:noWrap/>
            <w:vAlign w:val="center"/>
            <w:hideMark/>
          </w:tcPr>
          <w:p w14:paraId="39A9FCFB" w14:textId="77777777" w:rsidR="00B86FB3" w:rsidRPr="00FF756A" w:rsidRDefault="00B86FB3" w:rsidP="00B86FB3">
            <w:pPr>
              <w:jc w:val="right"/>
              <w:rPr>
                <w:rFonts w:eastAsia="Times New Roman"/>
                <w:b/>
                <w:bCs/>
                <w:color w:val="FFFFFF"/>
                <w:sz w:val="20"/>
                <w:szCs w:val="20"/>
              </w:rPr>
            </w:pPr>
            <w:r w:rsidRPr="00FF756A">
              <w:rPr>
                <w:b/>
                <w:bCs/>
                <w:color w:val="FFFFFF"/>
                <w:sz w:val="20"/>
                <w:szCs w:val="20"/>
              </w:rPr>
              <w:t>2025</w:t>
            </w:r>
          </w:p>
        </w:tc>
        <w:tc>
          <w:tcPr>
            <w:tcW w:w="876" w:type="dxa"/>
            <w:tcBorders>
              <w:top w:val="single" w:sz="8" w:space="0" w:color="FFFFFF"/>
              <w:left w:val="nil"/>
              <w:bottom w:val="single" w:sz="8" w:space="0" w:color="FFFFFF"/>
              <w:right w:val="nil"/>
            </w:tcBorders>
            <w:shd w:val="clear" w:color="auto" w:fill="4472C4" w:themeFill="accent1"/>
            <w:noWrap/>
            <w:vAlign w:val="center"/>
            <w:hideMark/>
          </w:tcPr>
          <w:p w14:paraId="495AF323" w14:textId="77777777" w:rsidR="00B86FB3" w:rsidRPr="00FF756A" w:rsidRDefault="00B86FB3" w:rsidP="00B86FB3">
            <w:pPr>
              <w:jc w:val="right"/>
              <w:rPr>
                <w:rFonts w:eastAsia="Times New Roman"/>
                <w:b/>
                <w:bCs/>
                <w:color w:val="FFFFFF" w:themeColor="background1"/>
                <w:sz w:val="20"/>
                <w:szCs w:val="20"/>
              </w:rPr>
            </w:pPr>
            <w:r w:rsidRPr="00FF756A">
              <w:rPr>
                <w:b/>
                <w:bCs/>
                <w:color w:val="FFFFFF" w:themeColor="background1"/>
                <w:sz w:val="20"/>
                <w:szCs w:val="20"/>
              </w:rPr>
              <w:t>2030</w:t>
            </w:r>
          </w:p>
        </w:tc>
        <w:tc>
          <w:tcPr>
            <w:tcW w:w="876" w:type="dxa"/>
            <w:tcBorders>
              <w:top w:val="single" w:sz="8" w:space="0" w:color="FFFFFF"/>
              <w:left w:val="nil"/>
              <w:bottom w:val="single" w:sz="8" w:space="0" w:color="FFFFFF"/>
              <w:right w:val="nil"/>
            </w:tcBorders>
            <w:shd w:val="clear" w:color="000000" w:fill="4F81BD"/>
            <w:noWrap/>
            <w:vAlign w:val="center"/>
            <w:hideMark/>
          </w:tcPr>
          <w:p w14:paraId="412E6A45" w14:textId="77777777" w:rsidR="00B86FB3" w:rsidRPr="00FF756A" w:rsidRDefault="00B86FB3" w:rsidP="00B86FB3">
            <w:pPr>
              <w:jc w:val="right"/>
              <w:rPr>
                <w:rFonts w:eastAsia="Times New Roman"/>
                <w:b/>
                <w:bCs/>
                <w:color w:val="FFFFFF"/>
                <w:sz w:val="20"/>
                <w:szCs w:val="20"/>
              </w:rPr>
            </w:pPr>
            <w:r w:rsidRPr="00FF756A">
              <w:rPr>
                <w:b/>
                <w:bCs/>
                <w:color w:val="FFFFFF"/>
                <w:sz w:val="20"/>
                <w:szCs w:val="20"/>
              </w:rPr>
              <w:t>2040</w:t>
            </w:r>
          </w:p>
        </w:tc>
        <w:tc>
          <w:tcPr>
            <w:tcW w:w="876" w:type="dxa"/>
            <w:tcBorders>
              <w:top w:val="single" w:sz="8" w:space="0" w:color="FFFFFF"/>
              <w:left w:val="nil"/>
              <w:bottom w:val="single" w:sz="8" w:space="0" w:color="FFFFFF"/>
              <w:right w:val="single" w:sz="8" w:space="0" w:color="FFFFFF"/>
            </w:tcBorders>
            <w:shd w:val="clear" w:color="000000" w:fill="4F81BD"/>
            <w:noWrap/>
            <w:vAlign w:val="center"/>
            <w:hideMark/>
          </w:tcPr>
          <w:p w14:paraId="2CAFA9C4" w14:textId="77777777" w:rsidR="00B86FB3" w:rsidRPr="00FF756A" w:rsidRDefault="00B86FB3" w:rsidP="00B86FB3">
            <w:pPr>
              <w:jc w:val="right"/>
              <w:rPr>
                <w:rFonts w:eastAsia="Times New Roman"/>
                <w:b/>
                <w:bCs/>
                <w:color w:val="FFFFFF"/>
                <w:sz w:val="20"/>
                <w:szCs w:val="20"/>
              </w:rPr>
            </w:pPr>
            <w:r w:rsidRPr="00FF756A">
              <w:rPr>
                <w:b/>
                <w:bCs/>
                <w:color w:val="FFFFFF"/>
                <w:sz w:val="20"/>
                <w:szCs w:val="20"/>
              </w:rPr>
              <w:t>2050</w:t>
            </w:r>
          </w:p>
        </w:tc>
      </w:tr>
      <w:tr w:rsidR="00B86FB3" w:rsidRPr="00FF756A" w14:paraId="1E4F8653" w14:textId="77777777" w:rsidTr="006A3266">
        <w:trPr>
          <w:trHeight w:val="304"/>
        </w:trPr>
        <w:tc>
          <w:tcPr>
            <w:tcW w:w="2238" w:type="dxa"/>
            <w:tcBorders>
              <w:top w:val="nil"/>
              <w:left w:val="single" w:sz="8" w:space="0" w:color="FFFFFF"/>
              <w:bottom w:val="single" w:sz="8" w:space="0" w:color="FFFFFF"/>
              <w:right w:val="single" w:sz="8" w:space="0" w:color="FFFFFF"/>
            </w:tcBorders>
            <w:shd w:val="clear" w:color="000000" w:fill="4F81BD"/>
            <w:noWrap/>
            <w:hideMark/>
          </w:tcPr>
          <w:p w14:paraId="1866D65F" w14:textId="77777777" w:rsidR="00B86FB3" w:rsidRPr="00FF756A" w:rsidRDefault="00B86FB3" w:rsidP="00B86FB3">
            <w:pPr>
              <w:rPr>
                <w:rFonts w:eastAsia="Times New Roman"/>
                <w:color w:val="FFFFFF" w:themeColor="background1"/>
                <w:sz w:val="20"/>
                <w:szCs w:val="20"/>
              </w:rPr>
            </w:pPr>
            <w:r w:rsidRPr="00FF756A">
              <w:rPr>
                <w:color w:val="FFFFFF" w:themeColor="background1"/>
                <w:sz w:val="20"/>
                <w:szCs w:val="20"/>
              </w:rPr>
              <w:t>Energjia elektrike</w:t>
            </w:r>
          </w:p>
        </w:tc>
        <w:tc>
          <w:tcPr>
            <w:tcW w:w="875" w:type="dxa"/>
            <w:tcBorders>
              <w:top w:val="nil"/>
              <w:left w:val="nil"/>
              <w:bottom w:val="single" w:sz="8" w:space="0" w:color="FFFFFF"/>
              <w:right w:val="single" w:sz="8" w:space="0" w:color="FFFFFF"/>
            </w:tcBorders>
            <w:shd w:val="clear" w:color="000000" w:fill="B8CCE4"/>
            <w:noWrap/>
            <w:hideMark/>
          </w:tcPr>
          <w:p w14:paraId="3C3AC165" w14:textId="77777777" w:rsidR="00B86FB3" w:rsidRPr="00FF756A" w:rsidRDefault="00B86FB3" w:rsidP="00B86FB3">
            <w:pPr>
              <w:jc w:val="right"/>
              <w:rPr>
                <w:rFonts w:eastAsia="Times New Roman"/>
                <w:color w:val="000000"/>
                <w:sz w:val="20"/>
                <w:szCs w:val="20"/>
              </w:rPr>
            </w:pPr>
            <w:r w:rsidRPr="00FF756A">
              <w:rPr>
                <w:sz w:val="20"/>
                <w:szCs w:val="20"/>
              </w:rPr>
              <w:t xml:space="preserve"> 201,2 </w:t>
            </w:r>
          </w:p>
        </w:tc>
        <w:tc>
          <w:tcPr>
            <w:tcW w:w="876" w:type="dxa"/>
            <w:tcBorders>
              <w:top w:val="nil"/>
              <w:left w:val="nil"/>
              <w:bottom w:val="single" w:sz="8" w:space="0" w:color="FFFFFF"/>
              <w:right w:val="single" w:sz="8" w:space="0" w:color="FFFFFF"/>
            </w:tcBorders>
            <w:shd w:val="clear" w:color="000000" w:fill="B8CCE4"/>
            <w:noWrap/>
            <w:hideMark/>
          </w:tcPr>
          <w:p w14:paraId="351A1316" w14:textId="77777777" w:rsidR="00B86FB3" w:rsidRPr="00FF756A" w:rsidRDefault="00B86FB3" w:rsidP="00B86FB3">
            <w:pPr>
              <w:jc w:val="right"/>
              <w:rPr>
                <w:rFonts w:eastAsia="Times New Roman"/>
                <w:color w:val="000000"/>
                <w:sz w:val="20"/>
                <w:szCs w:val="20"/>
              </w:rPr>
            </w:pPr>
            <w:r w:rsidRPr="00FF756A">
              <w:rPr>
                <w:sz w:val="20"/>
                <w:szCs w:val="20"/>
              </w:rPr>
              <w:t xml:space="preserve"> 225,3 </w:t>
            </w:r>
          </w:p>
        </w:tc>
        <w:tc>
          <w:tcPr>
            <w:tcW w:w="876" w:type="dxa"/>
            <w:tcBorders>
              <w:top w:val="nil"/>
              <w:left w:val="nil"/>
              <w:bottom w:val="single" w:sz="8" w:space="0" w:color="FFFFFF"/>
              <w:right w:val="single" w:sz="8" w:space="0" w:color="FFFFFF"/>
            </w:tcBorders>
            <w:shd w:val="clear" w:color="000000" w:fill="B8CCE4"/>
            <w:noWrap/>
            <w:hideMark/>
          </w:tcPr>
          <w:p w14:paraId="445B1333" w14:textId="77777777" w:rsidR="00B86FB3" w:rsidRPr="00FF756A" w:rsidRDefault="00B86FB3" w:rsidP="00B86FB3">
            <w:pPr>
              <w:jc w:val="right"/>
              <w:rPr>
                <w:rFonts w:eastAsia="Times New Roman"/>
                <w:color w:val="000000"/>
                <w:sz w:val="20"/>
                <w:szCs w:val="20"/>
              </w:rPr>
            </w:pPr>
            <w:r w:rsidRPr="00FF756A">
              <w:rPr>
                <w:sz w:val="20"/>
                <w:szCs w:val="20"/>
              </w:rPr>
              <w:t xml:space="preserve"> 215,7 </w:t>
            </w:r>
          </w:p>
        </w:tc>
        <w:tc>
          <w:tcPr>
            <w:tcW w:w="876" w:type="dxa"/>
            <w:tcBorders>
              <w:top w:val="nil"/>
              <w:left w:val="nil"/>
              <w:bottom w:val="single" w:sz="8" w:space="0" w:color="FFFFFF"/>
              <w:right w:val="single" w:sz="8" w:space="0" w:color="FFFFFF"/>
            </w:tcBorders>
            <w:shd w:val="clear" w:color="000000" w:fill="B8CCE4"/>
            <w:noWrap/>
            <w:hideMark/>
          </w:tcPr>
          <w:p w14:paraId="74FC6E0E" w14:textId="77777777" w:rsidR="00B86FB3" w:rsidRPr="00FF756A" w:rsidRDefault="00B86FB3" w:rsidP="00B86FB3">
            <w:pPr>
              <w:jc w:val="right"/>
              <w:rPr>
                <w:rFonts w:eastAsia="Times New Roman"/>
                <w:color w:val="000000"/>
                <w:sz w:val="20"/>
                <w:szCs w:val="20"/>
              </w:rPr>
            </w:pPr>
            <w:r w:rsidRPr="00FF756A">
              <w:rPr>
                <w:sz w:val="20"/>
                <w:szCs w:val="20"/>
              </w:rPr>
              <w:t xml:space="preserve"> -181,2 </w:t>
            </w:r>
          </w:p>
        </w:tc>
        <w:tc>
          <w:tcPr>
            <w:tcW w:w="876" w:type="dxa"/>
            <w:tcBorders>
              <w:top w:val="nil"/>
              <w:left w:val="nil"/>
              <w:bottom w:val="single" w:sz="8" w:space="0" w:color="FFFFFF"/>
              <w:right w:val="single" w:sz="8" w:space="0" w:color="FFFFFF"/>
            </w:tcBorders>
            <w:shd w:val="clear" w:color="000000" w:fill="B8CCE4"/>
            <w:noWrap/>
            <w:hideMark/>
          </w:tcPr>
          <w:p w14:paraId="131709D2" w14:textId="77777777" w:rsidR="00B86FB3" w:rsidRPr="00FF756A" w:rsidRDefault="00B86FB3" w:rsidP="00B86FB3">
            <w:pPr>
              <w:jc w:val="right"/>
              <w:rPr>
                <w:rFonts w:eastAsia="Times New Roman"/>
                <w:color w:val="000000"/>
                <w:sz w:val="20"/>
                <w:szCs w:val="20"/>
              </w:rPr>
            </w:pPr>
            <w:r w:rsidRPr="00FF756A">
              <w:rPr>
                <w:sz w:val="20"/>
                <w:szCs w:val="20"/>
              </w:rPr>
              <w:t xml:space="preserve"> -231,8 </w:t>
            </w:r>
          </w:p>
        </w:tc>
        <w:tc>
          <w:tcPr>
            <w:tcW w:w="876" w:type="dxa"/>
            <w:tcBorders>
              <w:top w:val="nil"/>
              <w:left w:val="nil"/>
              <w:bottom w:val="single" w:sz="8" w:space="0" w:color="FFFFFF"/>
              <w:right w:val="single" w:sz="8" w:space="0" w:color="FFFFFF"/>
            </w:tcBorders>
            <w:shd w:val="clear" w:color="auto" w:fill="4472C4" w:themeFill="accent1"/>
            <w:noWrap/>
            <w:hideMark/>
          </w:tcPr>
          <w:p w14:paraId="75E08524"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-456,7 </w:t>
            </w:r>
          </w:p>
        </w:tc>
        <w:tc>
          <w:tcPr>
            <w:tcW w:w="876" w:type="dxa"/>
            <w:tcBorders>
              <w:top w:val="nil"/>
              <w:left w:val="nil"/>
              <w:bottom w:val="single" w:sz="8" w:space="0" w:color="FFFFFF"/>
              <w:right w:val="single" w:sz="8" w:space="0" w:color="FFFFFF"/>
            </w:tcBorders>
            <w:shd w:val="clear" w:color="000000" w:fill="B8CCE4"/>
            <w:noWrap/>
            <w:hideMark/>
          </w:tcPr>
          <w:p w14:paraId="4160BDB3" w14:textId="77777777" w:rsidR="00B86FB3" w:rsidRPr="00FF756A" w:rsidRDefault="00B86FB3" w:rsidP="00B86FB3">
            <w:pPr>
              <w:jc w:val="right"/>
              <w:rPr>
                <w:rFonts w:eastAsia="Times New Roman"/>
                <w:color w:val="000000"/>
                <w:sz w:val="20"/>
                <w:szCs w:val="20"/>
              </w:rPr>
            </w:pPr>
            <w:r w:rsidRPr="00FF756A">
              <w:rPr>
                <w:sz w:val="20"/>
                <w:szCs w:val="20"/>
              </w:rPr>
              <w:t xml:space="preserve"> -525,6 </w:t>
            </w:r>
          </w:p>
        </w:tc>
        <w:tc>
          <w:tcPr>
            <w:tcW w:w="876" w:type="dxa"/>
            <w:tcBorders>
              <w:top w:val="nil"/>
              <w:left w:val="nil"/>
              <w:bottom w:val="single" w:sz="8" w:space="0" w:color="FFFFFF"/>
              <w:right w:val="single" w:sz="8" w:space="0" w:color="FFFFFF"/>
            </w:tcBorders>
            <w:shd w:val="clear" w:color="000000" w:fill="B8CCE4"/>
            <w:noWrap/>
            <w:hideMark/>
          </w:tcPr>
          <w:p w14:paraId="375A4D2D" w14:textId="77777777" w:rsidR="00B86FB3" w:rsidRPr="00FF756A" w:rsidRDefault="00B86FB3" w:rsidP="00B86FB3">
            <w:pPr>
              <w:jc w:val="right"/>
              <w:rPr>
                <w:rFonts w:eastAsia="Times New Roman"/>
                <w:color w:val="000000"/>
                <w:sz w:val="20"/>
                <w:szCs w:val="20"/>
              </w:rPr>
            </w:pPr>
            <w:r w:rsidRPr="00FF756A">
              <w:rPr>
                <w:sz w:val="20"/>
                <w:szCs w:val="20"/>
              </w:rPr>
              <w:t xml:space="preserve"> -569,7 </w:t>
            </w:r>
          </w:p>
        </w:tc>
      </w:tr>
      <w:tr w:rsidR="00B86FB3" w:rsidRPr="00FF756A" w14:paraId="2280FDA3" w14:textId="77777777" w:rsidTr="006A3266">
        <w:trPr>
          <w:trHeight w:val="304"/>
        </w:trPr>
        <w:tc>
          <w:tcPr>
            <w:tcW w:w="2238" w:type="dxa"/>
            <w:tcBorders>
              <w:top w:val="nil"/>
              <w:left w:val="single" w:sz="8" w:space="0" w:color="FFFFFF"/>
              <w:bottom w:val="single" w:sz="8" w:space="0" w:color="FFFFFF"/>
              <w:right w:val="single" w:sz="8" w:space="0" w:color="FFFFFF"/>
            </w:tcBorders>
            <w:shd w:val="clear" w:color="000000" w:fill="4F81BD"/>
            <w:noWrap/>
            <w:hideMark/>
          </w:tcPr>
          <w:p w14:paraId="6BE0E2DC" w14:textId="77777777" w:rsidR="00B86FB3" w:rsidRPr="00FF756A" w:rsidRDefault="00B86FB3" w:rsidP="00B86FB3">
            <w:pPr>
              <w:rPr>
                <w:rFonts w:eastAsia="Times New Roman"/>
                <w:color w:val="FFFFFF" w:themeColor="background1"/>
                <w:sz w:val="20"/>
                <w:szCs w:val="20"/>
              </w:rPr>
            </w:pPr>
            <w:r w:rsidRPr="00FF756A">
              <w:rPr>
                <w:color w:val="FFFFFF" w:themeColor="background1"/>
                <w:sz w:val="20"/>
                <w:szCs w:val="20"/>
              </w:rPr>
              <w:t>Gazi natyror</w:t>
            </w:r>
          </w:p>
        </w:tc>
        <w:tc>
          <w:tcPr>
            <w:tcW w:w="875" w:type="dxa"/>
            <w:tcBorders>
              <w:top w:val="nil"/>
              <w:left w:val="nil"/>
              <w:bottom w:val="single" w:sz="8" w:space="0" w:color="FFFFFF"/>
              <w:right w:val="single" w:sz="8" w:space="0" w:color="FFFFFF"/>
            </w:tcBorders>
            <w:shd w:val="clear" w:color="000000" w:fill="DBE5F1"/>
            <w:noWrap/>
            <w:hideMark/>
          </w:tcPr>
          <w:p w14:paraId="2D6C016B" w14:textId="77777777" w:rsidR="00B86FB3" w:rsidRPr="00FF756A" w:rsidRDefault="00B86FB3" w:rsidP="00B86FB3">
            <w:pPr>
              <w:jc w:val="right"/>
              <w:rPr>
                <w:rFonts w:eastAsia="Times New Roman"/>
                <w:color w:val="000000"/>
                <w:sz w:val="20"/>
                <w:szCs w:val="20"/>
              </w:rPr>
            </w:pPr>
            <w:r w:rsidRPr="00FF756A">
              <w:rPr>
                <w:sz w:val="20"/>
                <w:szCs w:val="20"/>
              </w:rPr>
              <w:t xml:space="preserve"> 44,7 </w:t>
            </w:r>
          </w:p>
        </w:tc>
        <w:tc>
          <w:tcPr>
            <w:tcW w:w="876" w:type="dxa"/>
            <w:tcBorders>
              <w:top w:val="nil"/>
              <w:left w:val="nil"/>
              <w:bottom w:val="single" w:sz="8" w:space="0" w:color="FFFFFF"/>
              <w:right w:val="single" w:sz="8" w:space="0" w:color="FFFFFF"/>
            </w:tcBorders>
            <w:shd w:val="clear" w:color="000000" w:fill="DBE5F1"/>
            <w:noWrap/>
            <w:hideMark/>
          </w:tcPr>
          <w:p w14:paraId="237F2423" w14:textId="77777777" w:rsidR="00B86FB3" w:rsidRPr="00FF756A" w:rsidRDefault="00B86FB3" w:rsidP="00B86FB3">
            <w:pPr>
              <w:jc w:val="right"/>
              <w:rPr>
                <w:rFonts w:eastAsia="Times New Roman"/>
                <w:color w:val="000000"/>
                <w:sz w:val="20"/>
                <w:szCs w:val="20"/>
              </w:rPr>
            </w:pPr>
            <w:r w:rsidRPr="00FF756A">
              <w:rPr>
                <w:sz w:val="20"/>
                <w:szCs w:val="20"/>
              </w:rPr>
              <w:t xml:space="preserve"> 44,0 </w:t>
            </w:r>
          </w:p>
        </w:tc>
        <w:tc>
          <w:tcPr>
            <w:tcW w:w="876" w:type="dxa"/>
            <w:tcBorders>
              <w:top w:val="nil"/>
              <w:left w:val="nil"/>
              <w:bottom w:val="single" w:sz="8" w:space="0" w:color="FFFFFF"/>
              <w:right w:val="single" w:sz="8" w:space="0" w:color="FFFFFF"/>
            </w:tcBorders>
            <w:shd w:val="clear" w:color="000000" w:fill="DBE5F1"/>
            <w:noWrap/>
            <w:hideMark/>
          </w:tcPr>
          <w:p w14:paraId="5F9A2A61" w14:textId="77777777" w:rsidR="00B86FB3" w:rsidRPr="00FF756A" w:rsidRDefault="00B86FB3" w:rsidP="00B86FB3">
            <w:pPr>
              <w:jc w:val="right"/>
              <w:rPr>
                <w:rFonts w:eastAsia="Times New Roman"/>
                <w:color w:val="000000"/>
                <w:sz w:val="20"/>
                <w:szCs w:val="20"/>
              </w:rPr>
            </w:pPr>
            <w:r w:rsidRPr="00FF756A">
              <w:rPr>
                <w:sz w:val="20"/>
                <w:szCs w:val="20"/>
              </w:rPr>
              <w:t xml:space="preserve"> 44,0 </w:t>
            </w:r>
          </w:p>
        </w:tc>
        <w:tc>
          <w:tcPr>
            <w:tcW w:w="876" w:type="dxa"/>
            <w:tcBorders>
              <w:top w:val="nil"/>
              <w:left w:val="nil"/>
              <w:bottom w:val="single" w:sz="8" w:space="0" w:color="FFFFFF"/>
              <w:right w:val="single" w:sz="8" w:space="0" w:color="FFFFFF"/>
            </w:tcBorders>
            <w:shd w:val="clear" w:color="000000" w:fill="DBE5F1"/>
            <w:noWrap/>
            <w:hideMark/>
          </w:tcPr>
          <w:p w14:paraId="3858B902" w14:textId="77777777" w:rsidR="00B86FB3" w:rsidRPr="00FF756A" w:rsidRDefault="00B86FB3" w:rsidP="00B86FB3">
            <w:pPr>
              <w:jc w:val="right"/>
              <w:rPr>
                <w:rFonts w:eastAsia="Times New Roman"/>
                <w:color w:val="000000"/>
                <w:sz w:val="20"/>
                <w:szCs w:val="20"/>
              </w:rPr>
            </w:pPr>
            <w:r w:rsidRPr="00FF756A">
              <w:rPr>
                <w:sz w:val="20"/>
                <w:szCs w:val="20"/>
              </w:rPr>
              <w:t xml:space="preserve"> 45,6 </w:t>
            </w:r>
          </w:p>
        </w:tc>
        <w:tc>
          <w:tcPr>
            <w:tcW w:w="876" w:type="dxa"/>
            <w:tcBorders>
              <w:top w:val="nil"/>
              <w:left w:val="nil"/>
              <w:bottom w:val="single" w:sz="8" w:space="0" w:color="FFFFFF"/>
              <w:right w:val="single" w:sz="8" w:space="0" w:color="FFFFFF"/>
            </w:tcBorders>
            <w:shd w:val="clear" w:color="000000" w:fill="DBE5F1"/>
            <w:noWrap/>
            <w:hideMark/>
          </w:tcPr>
          <w:p w14:paraId="3EBE5F8A" w14:textId="77777777" w:rsidR="00B86FB3" w:rsidRPr="00FF756A" w:rsidRDefault="00B86FB3" w:rsidP="00B86FB3">
            <w:pPr>
              <w:jc w:val="right"/>
              <w:rPr>
                <w:rFonts w:eastAsia="Times New Roman"/>
                <w:color w:val="000000"/>
                <w:sz w:val="20"/>
                <w:szCs w:val="20"/>
              </w:rPr>
            </w:pPr>
            <w:r w:rsidRPr="00FF756A">
              <w:rPr>
                <w:sz w:val="20"/>
                <w:szCs w:val="20"/>
              </w:rPr>
              <w:t xml:space="preserve"> 54,9 </w:t>
            </w:r>
          </w:p>
        </w:tc>
        <w:tc>
          <w:tcPr>
            <w:tcW w:w="876" w:type="dxa"/>
            <w:tcBorders>
              <w:top w:val="nil"/>
              <w:left w:val="nil"/>
              <w:bottom w:val="single" w:sz="8" w:space="0" w:color="FFFFFF"/>
              <w:right w:val="single" w:sz="8" w:space="0" w:color="FFFFFF"/>
            </w:tcBorders>
            <w:shd w:val="clear" w:color="auto" w:fill="4472C4" w:themeFill="accent1"/>
            <w:noWrap/>
            <w:hideMark/>
          </w:tcPr>
          <w:p w14:paraId="2863F47F"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85,4 </w:t>
            </w:r>
          </w:p>
        </w:tc>
        <w:tc>
          <w:tcPr>
            <w:tcW w:w="876" w:type="dxa"/>
            <w:tcBorders>
              <w:top w:val="nil"/>
              <w:left w:val="nil"/>
              <w:bottom w:val="single" w:sz="8" w:space="0" w:color="FFFFFF"/>
              <w:right w:val="single" w:sz="8" w:space="0" w:color="FFFFFF"/>
            </w:tcBorders>
            <w:shd w:val="clear" w:color="000000" w:fill="DBE5F1"/>
            <w:noWrap/>
            <w:hideMark/>
          </w:tcPr>
          <w:p w14:paraId="1DA76AEE" w14:textId="77777777" w:rsidR="00B86FB3" w:rsidRPr="00FF756A" w:rsidRDefault="00B86FB3" w:rsidP="00B86FB3">
            <w:pPr>
              <w:jc w:val="right"/>
              <w:rPr>
                <w:rFonts w:eastAsia="Times New Roman"/>
                <w:color w:val="000000"/>
                <w:sz w:val="20"/>
                <w:szCs w:val="20"/>
              </w:rPr>
            </w:pPr>
            <w:r w:rsidRPr="00FF756A">
              <w:rPr>
                <w:sz w:val="20"/>
                <w:szCs w:val="20"/>
              </w:rPr>
              <w:t xml:space="preserve"> 157,8 </w:t>
            </w:r>
          </w:p>
        </w:tc>
        <w:tc>
          <w:tcPr>
            <w:tcW w:w="876" w:type="dxa"/>
            <w:tcBorders>
              <w:top w:val="nil"/>
              <w:left w:val="nil"/>
              <w:bottom w:val="single" w:sz="8" w:space="0" w:color="FFFFFF"/>
              <w:right w:val="single" w:sz="8" w:space="0" w:color="FFFFFF"/>
            </w:tcBorders>
            <w:shd w:val="clear" w:color="000000" w:fill="DBE5F1"/>
            <w:noWrap/>
            <w:hideMark/>
          </w:tcPr>
          <w:p w14:paraId="3ABDE82E" w14:textId="77777777" w:rsidR="00B86FB3" w:rsidRPr="00FF756A" w:rsidRDefault="00B86FB3" w:rsidP="00B86FB3">
            <w:pPr>
              <w:jc w:val="right"/>
              <w:rPr>
                <w:rFonts w:eastAsia="Times New Roman"/>
                <w:color w:val="000000"/>
                <w:sz w:val="20"/>
                <w:szCs w:val="20"/>
              </w:rPr>
            </w:pPr>
            <w:r w:rsidRPr="00FF756A">
              <w:rPr>
                <w:sz w:val="20"/>
                <w:szCs w:val="20"/>
              </w:rPr>
              <w:t xml:space="preserve"> 412,0 </w:t>
            </w:r>
          </w:p>
        </w:tc>
      </w:tr>
      <w:tr w:rsidR="00B86FB3" w:rsidRPr="00FF756A" w14:paraId="55D0FD08" w14:textId="77777777" w:rsidTr="006A3266">
        <w:trPr>
          <w:trHeight w:val="304"/>
        </w:trPr>
        <w:tc>
          <w:tcPr>
            <w:tcW w:w="2238" w:type="dxa"/>
            <w:tcBorders>
              <w:top w:val="nil"/>
              <w:left w:val="single" w:sz="8" w:space="0" w:color="FFFFFF"/>
              <w:bottom w:val="single" w:sz="8" w:space="0" w:color="FFFFFF"/>
              <w:right w:val="single" w:sz="8" w:space="0" w:color="FFFFFF"/>
            </w:tcBorders>
            <w:shd w:val="clear" w:color="000000" w:fill="4F81BD"/>
            <w:noWrap/>
            <w:hideMark/>
          </w:tcPr>
          <w:p w14:paraId="498F1049" w14:textId="77777777" w:rsidR="00B86FB3" w:rsidRPr="00FF756A" w:rsidRDefault="00B86FB3" w:rsidP="00B86FB3">
            <w:pPr>
              <w:rPr>
                <w:rFonts w:eastAsia="Times New Roman"/>
                <w:color w:val="FFFFFF" w:themeColor="background1"/>
                <w:sz w:val="20"/>
                <w:szCs w:val="20"/>
              </w:rPr>
            </w:pPr>
            <w:r w:rsidRPr="00FF756A">
              <w:rPr>
                <w:color w:val="FFFFFF" w:themeColor="background1"/>
                <w:sz w:val="20"/>
                <w:szCs w:val="20"/>
              </w:rPr>
              <w:t>Benzina</w:t>
            </w:r>
          </w:p>
        </w:tc>
        <w:tc>
          <w:tcPr>
            <w:tcW w:w="875" w:type="dxa"/>
            <w:tcBorders>
              <w:top w:val="nil"/>
              <w:left w:val="nil"/>
              <w:bottom w:val="single" w:sz="8" w:space="0" w:color="FFFFFF"/>
              <w:right w:val="single" w:sz="8" w:space="0" w:color="FFFFFF"/>
            </w:tcBorders>
            <w:shd w:val="clear" w:color="000000" w:fill="B8CCE4"/>
            <w:noWrap/>
            <w:hideMark/>
          </w:tcPr>
          <w:p w14:paraId="10709198" w14:textId="77777777" w:rsidR="00B86FB3" w:rsidRPr="00FF756A" w:rsidRDefault="00B86FB3" w:rsidP="00B86FB3">
            <w:pPr>
              <w:jc w:val="right"/>
              <w:rPr>
                <w:rFonts w:eastAsia="Times New Roman"/>
                <w:color w:val="000000"/>
                <w:sz w:val="20"/>
                <w:szCs w:val="20"/>
              </w:rPr>
            </w:pPr>
            <w:r w:rsidRPr="00FF756A">
              <w:rPr>
                <w:sz w:val="20"/>
                <w:szCs w:val="20"/>
              </w:rPr>
              <w:t xml:space="preserve"> 111,8 </w:t>
            </w:r>
          </w:p>
        </w:tc>
        <w:tc>
          <w:tcPr>
            <w:tcW w:w="876" w:type="dxa"/>
            <w:tcBorders>
              <w:top w:val="nil"/>
              <w:left w:val="nil"/>
              <w:bottom w:val="single" w:sz="8" w:space="0" w:color="FFFFFF"/>
              <w:right w:val="single" w:sz="8" w:space="0" w:color="FFFFFF"/>
            </w:tcBorders>
            <w:shd w:val="clear" w:color="000000" w:fill="B8CCE4"/>
            <w:noWrap/>
            <w:hideMark/>
          </w:tcPr>
          <w:p w14:paraId="498E3C39" w14:textId="77777777" w:rsidR="00B86FB3" w:rsidRPr="00FF756A" w:rsidRDefault="00B86FB3" w:rsidP="00B86FB3">
            <w:pPr>
              <w:jc w:val="right"/>
              <w:rPr>
                <w:rFonts w:eastAsia="Times New Roman"/>
                <w:color w:val="000000"/>
                <w:sz w:val="20"/>
                <w:szCs w:val="20"/>
              </w:rPr>
            </w:pPr>
            <w:r w:rsidRPr="00FF756A">
              <w:rPr>
                <w:sz w:val="20"/>
                <w:szCs w:val="20"/>
              </w:rPr>
              <w:t xml:space="preserve"> 127,6 </w:t>
            </w:r>
          </w:p>
        </w:tc>
        <w:tc>
          <w:tcPr>
            <w:tcW w:w="876" w:type="dxa"/>
            <w:tcBorders>
              <w:top w:val="nil"/>
              <w:left w:val="nil"/>
              <w:bottom w:val="single" w:sz="8" w:space="0" w:color="FFFFFF"/>
              <w:right w:val="single" w:sz="8" w:space="0" w:color="FFFFFF"/>
            </w:tcBorders>
            <w:shd w:val="clear" w:color="000000" w:fill="B8CCE4"/>
            <w:noWrap/>
            <w:hideMark/>
          </w:tcPr>
          <w:p w14:paraId="70A945E6" w14:textId="77777777" w:rsidR="00B86FB3" w:rsidRPr="00FF756A" w:rsidRDefault="00B86FB3" w:rsidP="00B86FB3">
            <w:pPr>
              <w:jc w:val="right"/>
              <w:rPr>
                <w:rFonts w:eastAsia="Times New Roman"/>
                <w:color w:val="000000"/>
                <w:sz w:val="20"/>
                <w:szCs w:val="20"/>
              </w:rPr>
            </w:pPr>
            <w:r w:rsidRPr="00FF756A">
              <w:rPr>
                <w:sz w:val="20"/>
                <w:szCs w:val="20"/>
              </w:rPr>
              <w:t xml:space="preserve"> 133,4 </w:t>
            </w:r>
          </w:p>
        </w:tc>
        <w:tc>
          <w:tcPr>
            <w:tcW w:w="876" w:type="dxa"/>
            <w:tcBorders>
              <w:top w:val="nil"/>
              <w:left w:val="nil"/>
              <w:bottom w:val="single" w:sz="8" w:space="0" w:color="FFFFFF"/>
              <w:right w:val="single" w:sz="8" w:space="0" w:color="FFFFFF"/>
            </w:tcBorders>
            <w:shd w:val="clear" w:color="000000" w:fill="B8CCE4"/>
            <w:noWrap/>
            <w:hideMark/>
          </w:tcPr>
          <w:p w14:paraId="28EB77AD" w14:textId="77777777" w:rsidR="00B86FB3" w:rsidRPr="00FF756A" w:rsidRDefault="00B86FB3" w:rsidP="00B86FB3">
            <w:pPr>
              <w:jc w:val="right"/>
              <w:rPr>
                <w:rFonts w:eastAsia="Times New Roman"/>
                <w:color w:val="000000"/>
                <w:sz w:val="20"/>
                <w:szCs w:val="20"/>
              </w:rPr>
            </w:pPr>
            <w:r w:rsidRPr="00FF756A">
              <w:rPr>
                <w:sz w:val="20"/>
                <w:szCs w:val="20"/>
              </w:rPr>
              <w:t xml:space="preserve"> 129,9 </w:t>
            </w:r>
          </w:p>
        </w:tc>
        <w:tc>
          <w:tcPr>
            <w:tcW w:w="876" w:type="dxa"/>
            <w:tcBorders>
              <w:top w:val="nil"/>
              <w:left w:val="nil"/>
              <w:bottom w:val="single" w:sz="8" w:space="0" w:color="FFFFFF"/>
              <w:right w:val="single" w:sz="8" w:space="0" w:color="FFFFFF"/>
            </w:tcBorders>
            <w:shd w:val="clear" w:color="000000" w:fill="B8CCE4"/>
            <w:noWrap/>
            <w:hideMark/>
          </w:tcPr>
          <w:p w14:paraId="6C5AE9B5" w14:textId="77777777" w:rsidR="00B86FB3" w:rsidRPr="00FF756A" w:rsidRDefault="00B86FB3" w:rsidP="00B86FB3">
            <w:pPr>
              <w:jc w:val="right"/>
              <w:rPr>
                <w:rFonts w:eastAsia="Times New Roman"/>
                <w:color w:val="000000"/>
                <w:sz w:val="20"/>
                <w:szCs w:val="20"/>
              </w:rPr>
            </w:pPr>
            <w:r w:rsidRPr="00FF756A">
              <w:rPr>
                <w:sz w:val="20"/>
                <w:szCs w:val="20"/>
              </w:rPr>
              <w:t xml:space="preserve"> 132,2 </w:t>
            </w:r>
          </w:p>
        </w:tc>
        <w:tc>
          <w:tcPr>
            <w:tcW w:w="876" w:type="dxa"/>
            <w:tcBorders>
              <w:top w:val="nil"/>
              <w:left w:val="nil"/>
              <w:bottom w:val="single" w:sz="8" w:space="0" w:color="FFFFFF"/>
              <w:right w:val="single" w:sz="8" w:space="0" w:color="FFFFFF"/>
            </w:tcBorders>
            <w:shd w:val="clear" w:color="auto" w:fill="4472C4" w:themeFill="accent1"/>
            <w:noWrap/>
            <w:hideMark/>
          </w:tcPr>
          <w:p w14:paraId="76C4B7FE"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142,4 </w:t>
            </w:r>
          </w:p>
        </w:tc>
        <w:tc>
          <w:tcPr>
            <w:tcW w:w="876" w:type="dxa"/>
            <w:tcBorders>
              <w:top w:val="nil"/>
              <w:left w:val="nil"/>
              <w:bottom w:val="single" w:sz="8" w:space="0" w:color="FFFFFF"/>
              <w:right w:val="single" w:sz="8" w:space="0" w:color="FFFFFF"/>
            </w:tcBorders>
            <w:shd w:val="clear" w:color="000000" w:fill="B8CCE4"/>
            <w:noWrap/>
            <w:hideMark/>
          </w:tcPr>
          <w:p w14:paraId="73D37332" w14:textId="77777777" w:rsidR="00B86FB3" w:rsidRPr="00FF756A" w:rsidRDefault="00B86FB3" w:rsidP="00B86FB3">
            <w:pPr>
              <w:jc w:val="right"/>
              <w:rPr>
                <w:rFonts w:eastAsia="Times New Roman"/>
                <w:color w:val="000000"/>
                <w:sz w:val="20"/>
                <w:szCs w:val="20"/>
              </w:rPr>
            </w:pPr>
            <w:r w:rsidRPr="00FF756A">
              <w:rPr>
                <w:sz w:val="20"/>
                <w:szCs w:val="20"/>
              </w:rPr>
              <w:t xml:space="preserve"> 133,1 </w:t>
            </w:r>
          </w:p>
        </w:tc>
        <w:tc>
          <w:tcPr>
            <w:tcW w:w="876" w:type="dxa"/>
            <w:tcBorders>
              <w:top w:val="nil"/>
              <w:left w:val="nil"/>
              <w:bottom w:val="single" w:sz="8" w:space="0" w:color="FFFFFF"/>
              <w:right w:val="single" w:sz="8" w:space="0" w:color="FFFFFF"/>
            </w:tcBorders>
            <w:shd w:val="clear" w:color="000000" w:fill="B8CCE4"/>
            <w:noWrap/>
            <w:hideMark/>
          </w:tcPr>
          <w:p w14:paraId="11F742F9" w14:textId="77777777" w:rsidR="00B86FB3" w:rsidRPr="00FF756A" w:rsidRDefault="00B86FB3" w:rsidP="00B86FB3">
            <w:pPr>
              <w:jc w:val="right"/>
              <w:rPr>
                <w:rFonts w:eastAsia="Times New Roman"/>
                <w:color w:val="000000"/>
                <w:sz w:val="20"/>
                <w:szCs w:val="20"/>
              </w:rPr>
            </w:pPr>
            <w:r w:rsidRPr="00FF756A">
              <w:rPr>
                <w:sz w:val="20"/>
                <w:szCs w:val="20"/>
              </w:rPr>
              <w:t xml:space="preserve"> 100,2 </w:t>
            </w:r>
          </w:p>
        </w:tc>
      </w:tr>
      <w:tr w:rsidR="00B86FB3" w:rsidRPr="00FF756A" w14:paraId="38E522CA" w14:textId="77777777" w:rsidTr="006A3266">
        <w:trPr>
          <w:trHeight w:val="304"/>
        </w:trPr>
        <w:tc>
          <w:tcPr>
            <w:tcW w:w="2238" w:type="dxa"/>
            <w:tcBorders>
              <w:top w:val="nil"/>
              <w:left w:val="single" w:sz="8" w:space="0" w:color="FFFFFF"/>
              <w:bottom w:val="single" w:sz="8" w:space="0" w:color="FFFFFF"/>
              <w:right w:val="single" w:sz="8" w:space="0" w:color="FFFFFF"/>
            </w:tcBorders>
            <w:shd w:val="clear" w:color="000000" w:fill="4F81BD"/>
            <w:noWrap/>
            <w:hideMark/>
          </w:tcPr>
          <w:p w14:paraId="4D880D0C" w14:textId="77777777" w:rsidR="00B86FB3" w:rsidRPr="00FF756A" w:rsidRDefault="00B86FB3" w:rsidP="00B86FB3">
            <w:pPr>
              <w:rPr>
                <w:rFonts w:eastAsia="Times New Roman"/>
                <w:color w:val="FFFFFF" w:themeColor="background1"/>
                <w:sz w:val="20"/>
                <w:szCs w:val="20"/>
              </w:rPr>
            </w:pPr>
            <w:r w:rsidRPr="00FF756A">
              <w:rPr>
                <w:color w:val="FFFFFF" w:themeColor="background1"/>
                <w:sz w:val="20"/>
                <w:szCs w:val="20"/>
              </w:rPr>
              <w:t>Nafta dizel</w:t>
            </w:r>
          </w:p>
        </w:tc>
        <w:tc>
          <w:tcPr>
            <w:tcW w:w="875" w:type="dxa"/>
            <w:tcBorders>
              <w:top w:val="nil"/>
              <w:left w:val="nil"/>
              <w:bottom w:val="single" w:sz="8" w:space="0" w:color="FFFFFF"/>
              <w:right w:val="single" w:sz="8" w:space="0" w:color="FFFFFF"/>
            </w:tcBorders>
            <w:shd w:val="clear" w:color="000000" w:fill="DBE5F1"/>
            <w:noWrap/>
            <w:hideMark/>
          </w:tcPr>
          <w:p w14:paraId="776969D6" w14:textId="77777777" w:rsidR="00B86FB3" w:rsidRPr="00FF756A" w:rsidRDefault="00B86FB3" w:rsidP="00B86FB3">
            <w:pPr>
              <w:jc w:val="right"/>
              <w:rPr>
                <w:rFonts w:eastAsia="Times New Roman"/>
                <w:color w:val="000000"/>
                <w:sz w:val="20"/>
                <w:szCs w:val="20"/>
              </w:rPr>
            </w:pPr>
            <w:r w:rsidRPr="00FF756A">
              <w:rPr>
                <w:sz w:val="20"/>
                <w:szCs w:val="20"/>
              </w:rPr>
              <w:t xml:space="preserve"> 561,6 </w:t>
            </w:r>
          </w:p>
        </w:tc>
        <w:tc>
          <w:tcPr>
            <w:tcW w:w="876" w:type="dxa"/>
            <w:tcBorders>
              <w:top w:val="nil"/>
              <w:left w:val="nil"/>
              <w:bottom w:val="single" w:sz="8" w:space="0" w:color="FFFFFF"/>
              <w:right w:val="single" w:sz="8" w:space="0" w:color="FFFFFF"/>
            </w:tcBorders>
            <w:shd w:val="clear" w:color="000000" w:fill="DBE5F1"/>
            <w:noWrap/>
            <w:hideMark/>
          </w:tcPr>
          <w:p w14:paraId="220E26D6" w14:textId="77777777" w:rsidR="00B86FB3" w:rsidRPr="00FF756A" w:rsidRDefault="00B86FB3" w:rsidP="00B86FB3">
            <w:pPr>
              <w:jc w:val="right"/>
              <w:rPr>
                <w:rFonts w:eastAsia="Times New Roman"/>
                <w:color w:val="000000"/>
                <w:sz w:val="20"/>
                <w:szCs w:val="20"/>
              </w:rPr>
            </w:pPr>
            <w:r w:rsidRPr="00FF756A">
              <w:rPr>
                <w:sz w:val="20"/>
                <w:szCs w:val="20"/>
              </w:rPr>
              <w:t xml:space="preserve"> 599,6 </w:t>
            </w:r>
          </w:p>
        </w:tc>
        <w:tc>
          <w:tcPr>
            <w:tcW w:w="876" w:type="dxa"/>
            <w:tcBorders>
              <w:top w:val="nil"/>
              <w:left w:val="nil"/>
              <w:bottom w:val="single" w:sz="8" w:space="0" w:color="FFFFFF"/>
              <w:right w:val="single" w:sz="8" w:space="0" w:color="FFFFFF"/>
            </w:tcBorders>
            <w:shd w:val="clear" w:color="000000" w:fill="DBE5F1"/>
            <w:noWrap/>
            <w:hideMark/>
          </w:tcPr>
          <w:p w14:paraId="13F4AF65" w14:textId="77777777" w:rsidR="00B86FB3" w:rsidRPr="00FF756A" w:rsidRDefault="00B86FB3" w:rsidP="00B86FB3">
            <w:pPr>
              <w:jc w:val="right"/>
              <w:rPr>
                <w:rFonts w:eastAsia="Times New Roman"/>
                <w:color w:val="000000"/>
                <w:sz w:val="20"/>
                <w:szCs w:val="20"/>
              </w:rPr>
            </w:pPr>
            <w:r w:rsidRPr="00FF756A">
              <w:rPr>
                <w:sz w:val="20"/>
                <w:szCs w:val="20"/>
              </w:rPr>
              <w:t xml:space="preserve"> 619,0 </w:t>
            </w:r>
          </w:p>
        </w:tc>
        <w:tc>
          <w:tcPr>
            <w:tcW w:w="876" w:type="dxa"/>
            <w:tcBorders>
              <w:top w:val="nil"/>
              <w:left w:val="nil"/>
              <w:bottom w:val="single" w:sz="8" w:space="0" w:color="FFFFFF"/>
              <w:right w:val="single" w:sz="8" w:space="0" w:color="FFFFFF"/>
            </w:tcBorders>
            <w:shd w:val="clear" w:color="000000" w:fill="DBE5F1"/>
            <w:noWrap/>
            <w:hideMark/>
          </w:tcPr>
          <w:p w14:paraId="2CF96C64" w14:textId="77777777" w:rsidR="00B86FB3" w:rsidRPr="00FF756A" w:rsidRDefault="00B86FB3" w:rsidP="00B86FB3">
            <w:pPr>
              <w:jc w:val="right"/>
              <w:rPr>
                <w:rFonts w:eastAsia="Times New Roman"/>
                <w:color w:val="000000"/>
                <w:sz w:val="20"/>
                <w:szCs w:val="20"/>
              </w:rPr>
            </w:pPr>
            <w:r w:rsidRPr="00FF756A">
              <w:rPr>
                <w:sz w:val="20"/>
                <w:szCs w:val="20"/>
              </w:rPr>
              <w:t xml:space="preserve"> 434,5 </w:t>
            </w:r>
          </w:p>
        </w:tc>
        <w:tc>
          <w:tcPr>
            <w:tcW w:w="876" w:type="dxa"/>
            <w:tcBorders>
              <w:top w:val="nil"/>
              <w:left w:val="nil"/>
              <w:bottom w:val="single" w:sz="8" w:space="0" w:color="FFFFFF"/>
              <w:right w:val="single" w:sz="8" w:space="0" w:color="FFFFFF"/>
            </w:tcBorders>
            <w:shd w:val="clear" w:color="000000" w:fill="DBE5F1"/>
            <w:noWrap/>
            <w:hideMark/>
          </w:tcPr>
          <w:p w14:paraId="77C002BB" w14:textId="77777777" w:rsidR="00B86FB3" w:rsidRPr="00FF756A" w:rsidRDefault="00B86FB3" w:rsidP="00B86FB3">
            <w:pPr>
              <w:jc w:val="right"/>
              <w:rPr>
                <w:rFonts w:eastAsia="Times New Roman"/>
                <w:color w:val="000000"/>
                <w:sz w:val="20"/>
                <w:szCs w:val="20"/>
              </w:rPr>
            </w:pPr>
            <w:r w:rsidRPr="00FF756A">
              <w:rPr>
                <w:sz w:val="20"/>
                <w:szCs w:val="20"/>
              </w:rPr>
              <w:t xml:space="preserve"> 429,4 </w:t>
            </w:r>
          </w:p>
        </w:tc>
        <w:tc>
          <w:tcPr>
            <w:tcW w:w="876" w:type="dxa"/>
            <w:tcBorders>
              <w:top w:val="nil"/>
              <w:left w:val="nil"/>
              <w:bottom w:val="single" w:sz="8" w:space="0" w:color="FFFFFF"/>
              <w:right w:val="single" w:sz="8" w:space="0" w:color="FFFFFF"/>
            </w:tcBorders>
            <w:shd w:val="clear" w:color="auto" w:fill="4472C4" w:themeFill="accent1"/>
            <w:noWrap/>
            <w:hideMark/>
          </w:tcPr>
          <w:p w14:paraId="1C35A7F0"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449,5 </w:t>
            </w:r>
          </w:p>
        </w:tc>
        <w:tc>
          <w:tcPr>
            <w:tcW w:w="876" w:type="dxa"/>
            <w:tcBorders>
              <w:top w:val="nil"/>
              <w:left w:val="nil"/>
              <w:bottom w:val="single" w:sz="8" w:space="0" w:color="FFFFFF"/>
              <w:right w:val="single" w:sz="8" w:space="0" w:color="FFFFFF"/>
            </w:tcBorders>
            <w:shd w:val="clear" w:color="000000" w:fill="DBE5F1"/>
            <w:noWrap/>
            <w:hideMark/>
          </w:tcPr>
          <w:p w14:paraId="51785A28" w14:textId="77777777" w:rsidR="00B86FB3" w:rsidRPr="00FF756A" w:rsidRDefault="00B86FB3" w:rsidP="00B86FB3">
            <w:pPr>
              <w:jc w:val="right"/>
              <w:rPr>
                <w:rFonts w:eastAsia="Times New Roman"/>
                <w:color w:val="000000"/>
                <w:sz w:val="20"/>
                <w:szCs w:val="20"/>
              </w:rPr>
            </w:pPr>
            <w:r w:rsidRPr="00FF756A">
              <w:rPr>
                <w:sz w:val="20"/>
                <w:szCs w:val="20"/>
              </w:rPr>
              <w:t xml:space="preserve"> 358,5 </w:t>
            </w:r>
          </w:p>
        </w:tc>
        <w:tc>
          <w:tcPr>
            <w:tcW w:w="876" w:type="dxa"/>
            <w:tcBorders>
              <w:top w:val="nil"/>
              <w:left w:val="nil"/>
              <w:bottom w:val="single" w:sz="8" w:space="0" w:color="FFFFFF"/>
              <w:right w:val="single" w:sz="8" w:space="0" w:color="FFFFFF"/>
            </w:tcBorders>
            <w:shd w:val="clear" w:color="000000" w:fill="DBE5F1"/>
            <w:noWrap/>
            <w:hideMark/>
          </w:tcPr>
          <w:p w14:paraId="1127A4AC" w14:textId="77777777" w:rsidR="00B86FB3" w:rsidRPr="00FF756A" w:rsidRDefault="00B86FB3" w:rsidP="00B86FB3">
            <w:pPr>
              <w:jc w:val="right"/>
              <w:rPr>
                <w:rFonts w:eastAsia="Times New Roman"/>
                <w:color w:val="000000"/>
                <w:sz w:val="20"/>
                <w:szCs w:val="20"/>
              </w:rPr>
            </w:pPr>
            <w:r w:rsidRPr="00FF756A">
              <w:rPr>
                <w:sz w:val="20"/>
                <w:szCs w:val="20"/>
              </w:rPr>
              <w:t xml:space="preserve"> 94,5 </w:t>
            </w:r>
          </w:p>
        </w:tc>
      </w:tr>
      <w:tr w:rsidR="00B86FB3" w:rsidRPr="00FF756A" w14:paraId="54A92E71" w14:textId="77777777" w:rsidTr="006A3266">
        <w:trPr>
          <w:trHeight w:val="304"/>
        </w:trPr>
        <w:tc>
          <w:tcPr>
            <w:tcW w:w="2238" w:type="dxa"/>
            <w:tcBorders>
              <w:top w:val="nil"/>
              <w:left w:val="single" w:sz="8" w:space="0" w:color="FFFFFF"/>
              <w:bottom w:val="single" w:sz="8" w:space="0" w:color="FFFFFF"/>
              <w:right w:val="single" w:sz="8" w:space="0" w:color="FFFFFF"/>
            </w:tcBorders>
            <w:shd w:val="clear" w:color="000000" w:fill="4F81BD"/>
            <w:noWrap/>
            <w:hideMark/>
          </w:tcPr>
          <w:p w14:paraId="49748416" w14:textId="77777777" w:rsidR="00B86FB3" w:rsidRPr="00FF756A" w:rsidRDefault="00B86FB3" w:rsidP="00B86FB3">
            <w:pPr>
              <w:rPr>
                <w:rFonts w:eastAsia="Times New Roman"/>
                <w:color w:val="FFFFFF" w:themeColor="background1"/>
                <w:sz w:val="20"/>
                <w:szCs w:val="20"/>
              </w:rPr>
            </w:pPr>
            <w:r w:rsidRPr="00FF756A">
              <w:rPr>
                <w:color w:val="FFFFFF" w:themeColor="background1"/>
                <w:sz w:val="20"/>
                <w:szCs w:val="20"/>
              </w:rPr>
              <w:t>GLN</w:t>
            </w:r>
          </w:p>
        </w:tc>
        <w:tc>
          <w:tcPr>
            <w:tcW w:w="875" w:type="dxa"/>
            <w:tcBorders>
              <w:top w:val="nil"/>
              <w:left w:val="nil"/>
              <w:bottom w:val="single" w:sz="8" w:space="0" w:color="FFFFFF"/>
              <w:right w:val="single" w:sz="8" w:space="0" w:color="FFFFFF"/>
            </w:tcBorders>
            <w:shd w:val="clear" w:color="000000" w:fill="DBE5F1"/>
            <w:noWrap/>
            <w:hideMark/>
          </w:tcPr>
          <w:p w14:paraId="15FC1EA1" w14:textId="77777777" w:rsidR="00B86FB3" w:rsidRPr="00FF756A" w:rsidRDefault="00B86FB3" w:rsidP="00B86FB3">
            <w:pPr>
              <w:jc w:val="right"/>
              <w:rPr>
                <w:rFonts w:eastAsia="Times New Roman"/>
                <w:color w:val="000000"/>
                <w:sz w:val="20"/>
                <w:szCs w:val="20"/>
              </w:rPr>
            </w:pPr>
            <w:r w:rsidRPr="00FF756A">
              <w:rPr>
                <w:sz w:val="20"/>
                <w:szCs w:val="20"/>
              </w:rPr>
              <w:t xml:space="preserve"> 178,8 </w:t>
            </w:r>
          </w:p>
        </w:tc>
        <w:tc>
          <w:tcPr>
            <w:tcW w:w="876" w:type="dxa"/>
            <w:tcBorders>
              <w:top w:val="nil"/>
              <w:left w:val="nil"/>
              <w:bottom w:val="single" w:sz="8" w:space="0" w:color="FFFFFF"/>
              <w:right w:val="single" w:sz="8" w:space="0" w:color="FFFFFF"/>
            </w:tcBorders>
            <w:shd w:val="clear" w:color="000000" w:fill="DBE5F1"/>
            <w:noWrap/>
            <w:hideMark/>
          </w:tcPr>
          <w:p w14:paraId="042FC9C7" w14:textId="77777777" w:rsidR="00B86FB3" w:rsidRPr="00FF756A" w:rsidRDefault="00B86FB3" w:rsidP="00B86FB3">
            <w:pPr>
              <w:jc w:val="right"/>
              <w:rPr>
                <w:rFonts w:eastAsia="Times New Roman"/>
                <w:color w:val="000000"/>
                <w:sz w:val="20"/>
                <w:szCs w:val="20"/>
              </w:rPr>
            </w:pPr>
            <w:r w:rsidRPr="00FF756A">
              <w:rPr>
                <w:sz w:val="20"/>
                <w:szCs w:val="20"/>
              </w:rPr>
              <w:t xml:space="preserve"> 191,6 </w:t>
            </w:r>
          </w:p>
        </w:tc>
        <w:tc>
          <w:tcPr>
            <w:tcW w:w="876" w:type="dxa"/>
            <w:tcBorders>
              <w:top w:val="nil"/>
              <w:left w:val="nil"/>
              <w:bottom w:val="single" w:sz="8" w:space="0" w:color="FFFFFF"/>
              <w:right w:val="single" w:sz="8" w:space="0" w:color="FFFFFF"/>
            </w:tcBorders>
            <w:shd w:val="clear" w:color="000000" w:fill="DBE5F1"/>
            <w:noWrap/>
            <w:hideMark/>
          </w:tcPr>
          <w:p w14:paraId="385C8F1E" w14:textId="77777777" w:rsidR="00B86FB3" w:rsidRPr="00FF756A" w:rsidRDefault="00B86FB3" w:rsidP="00B86FB3">
            <w:pPr>
              <w:jc w:val="right"/>
              <w:rPr>
                <w:rFonts w:eastAsia="Times New Roman"/>
                <w:color w:val="000000"/>
                <w:sz w:val="20"/>
                <w:szCs w:val="20"/>
              </w:rPr>
            </w:pPr>
            <w:r w:rsidRPr="00FF756A">
              <w:rPr>
                <w:sz w:val="20"/>
                <w:szCs w:val="20"/>
              </w:rPr>
              <w:t xml:space="preserve"> 190,7 </w:t>
            </w:r>
          </w:p>
        </w:tc>
        <w:tc>
          <w:tcPr>
            <w:tcW w:w="876" w:type="dxa"/>
            <w:tcBorders>
              <w:top w:val="nil"/>
              <w:left w:val="nil"/>
              <w:bottom w:val="single" w:sz="8" w:space="0" w:color="FFFFFF"/>
              <w:right w:val="single" w:sz="8" w:space="0" w:color="FFFFFF"/>
            </w:tcBorders>
            <w:shd w:val="clear" w:color="000000" w:fill="DBE5F1"/>
            <w:noWrap/>
            <w:hideMark/>
          </w:tcPr>
          <w:p w14:paraId="51EB31BD" w14:textId="77777777" w:rsidR="00B86FB3" w:rsidRPr="00FF756A" w:rsidRDefault="00B86FB3" w:rsidP="00B86FB3">
            <w:pPr>
              <w:jc w:val="right"/>
              <w:rPr>
                <w:rFonts w:eastAsia="Times New Roman"/>
                <w:color w:val="000000"/>
                <w:sz w:val="20"/>
                <w:szCs w:val="20"/>
              </w:rPr>
            </w:pPr>
            <w:r w:rsidRPr="00FF756A">
              <w:rPr>
                <w:sz w:val="20"/>
                <w:szCs w:val="20"/>
              </w:rPr>
              <w:t xml:space="preserve"> 187,4 </w:t>
            </w:r>
          </w:p>
        </w:tc>
        <w:tc>
          <w:tcPr>
            <w:tcW w:w="876" w:type="dxa"/>
            <w:tcBorders>
              <w:top w:val="nil"/>
              <w:left w:val="nil"/>
              <w:bottom w:val="single" w:sz="8" w:space="0" w:color="FFFFFF"/>
              <w:right w:val="single" w:sz="8" w:space="0" w:color="FFFFFF"/>
            </w:tcBorders>
            <w:shd w:val="clear" w:color="000000" w:fill="DBE5F1"/>
            <w:noWrap/>
            <w:hideMark/>
          </w:tcPr>
          <w:p w14:paraId="46DFF035" w14:textId="77777777" w:rsidR="00B86FB3" w:rsidRPr="00FF756A" w:rsidRDefault="00B86FB3" w:rsidP="00B86FB3">
            <w:pPr>
              <w:jc w:val="right"/>
              <w:rPr>
                <w:rFonts w:eastAsia="Times New Roman"/>
                <w:color w:val="000000"/>
                <w:sz w:val="20"/>
                <w:szCs w:val="20"/>
              </w:rPr>
            </w:pPr>
            <w:r w:rsidRPr="00FF756A">
              <w:rPr>
                <w:sz w:val="20"/>
                <w:szCs w:val="20"/>
              </w:rPr>
              <w:t xml:space="preserve"> 182,1 </w:t>
            </w:r>
          </w:p>
        </w:tc>
        <w:tc>
          <w:tcPr>
            <w:tcW w:w="876" w:type="dxa"/>
            <w:tcBorders>
              <w:top w:val="nil"/>
              <w:left w:val="nil"/>
              <w:bottom w:val="single" w:sz="8" w:space="0" w:color="FFFFFF"/>
              <w:right w:val="single" w:sz="8" w:space="0" w:color="FFFFFF"/>
            </w:tcBorders>
            <w:shd w:val="clear" w:color="auto" w:fill="4472C4" w:themeFill="accent1"/>
            <w:noWrap/>
            <w:hideMark/>
          </w:tcPr>
          <w:p w14:paraId="180F0536"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158,9 </w:t>
            </w:r>
          </w:p>
        </w:tc>
        <w:tc>
          <w:tcPr>
            <w:tcW w:w="876" w:type="dxa"/>
            <w:tcBorders>
              <w:top w:val="nil"/>
              <w:left w:val="nil"/>
              <w:bottom w:val="single" w:sz="8" w:space="0" w:color="FFFFFF"/>
              <w:right w:val="single" w:sz="8" w:space="0" w:color="FFFFFF"/>
            </w:tcBorders>
            <w:shd w:val="clear" w:color="000000" w:fill="DBE5F1"/>
            <w:noWrap/>
            <w:hideMark/>
          </w:tcPr>
          <w:p w14:paraId="1347A7EF" w14:textId="77777777" w:rsidR="00B86FB3" w:rsidRPr="00FF756A" w:rsidRDefault="00B86FB3" w:rsidP="00B86FB3">
            <w:pPr>
              <w:jc w:val="right"/>
              <w:rPr>
                <w:rFonts w:eastAsia="Times New Roman"/>
                <w:color w:val="000000"/>
                <w:sz w:val="20"/>
                <w:szCs w:val="20"/>
              </w:rPr>
            </w:pPr>
            <w:r w:rsidRPr="00FF756A">
              <w:rPr>
                <w:sz w:val="20"/>
                <w:szCs w:val="20"/>
              </w:rPr>
              <w:t xml:space="preserve"> 117,1 </w:t>
            </w:r>
          </w:p>
        </w:tc>
        <w:tc>
          <w:tcPr>
            <w:tcW w:w="876" w:type="dxa"/>
            <w:tcBorders>
              <w:top w:val="nil"/>
              <w:left w:val="nil"/>
              <w:bottom w:val="single" w:sz="8" w:space="0" w:color="FFFFFF"/>
              <w:right w:val="single" w:sz="8" w:space="0" w:color="FFFFFF"/>
            </w:tcBorders>
            <w:shd w:val="clear" w:color="000000" w:fill="DBE5F1"/>
            <w:noWrap/>
            <w:hideMark/>
          </w:tcPr>
          <w:p w14:paraId="3F0241F5" w14:textId="77777777" w:rsidR="00B86FB3" w:rsidRPr="00FF756A" w:rsidRDefault="00B86FB3" w:rsidP="00B86FB3">
            <w:pPr>
              <w:jc w:val="right"/>
              <w:rPr>
                <w:rFonts w:eastAsia="Times New Roman"/>
                <w:color w:val="000000"/>
                <w:sz w:val="20"/>
                <w:szCs w:val="20"/>
              </w:rPr>
            </w:pPr>
            <w:r w:rsidRPr="00FF756A">
              <w:rPr>
                <w:sz w:val="20"/>
                <w:szCs w:val="20"/>
              </w:rPr>
              <w:t xml:space="preserve"> 109,2 </w:t>
            </w:r>
          </w:p>
        </w:tc>
      </w:tr>
      <w:tr w:rsidR="00B86FB3" w:rsidRPr="00FF756A" w14:paraId="58166CC5" w14:textId="77777777" w:rsidTr="006A3266">
        <w:trPr>
          <w:trHeight w:val="304"/>
        </w:trPr>
        <w:tc>
          <w:tcPr>
            <w:tcW w:w="2238" w:type="dxa"/>
            <w:tcBorders>
              <w:top w:val="nil"/>
              <w:left w:val="single" w:sz="8" w:space="0" w:color="FFFFFF"/>
              <w:bottom w:val="single" w:sz="8" w:space="0" w:color="FFFFFF"/>
              <w:right w:val="single" w:sz="8" w:space="0" w:color="FFFFFF"/>
            </w:tcBorders>
            <w:shd w:val="clear" w:color="000000" w:fill="4F81BD"/>
            <w:noWrap/>
            <w:hideMark/>
          </w:tcPr>
          <w:p w14:paraId="7967881A" w14:textId="77777777" w:rsidR="00B86FB3" w:rsidRPr="00FF756A" w:rsidRDefault="00B86FB3" w:rsidP="00B86FB3">
            <w:pPr>
              <w:rPr>
                <w:rFonts w:eastAsia="Times New Roman"/>
                <w:color w:val="FFFFFF" w:themeColor="background1"/>
                <w:sz w:val="20"/>
                <w:szCs w:val="20"/>
              </w:rPr>
            </w:pPr>
            <w:r w:rsidRPr="00FF756A">
              <w:rPr>
                <w:color w:val="FFFFFF" w:themeColor="background1"/>
                <w:sz w:val="20"/>
                <w:szCs w:val="20"/>
              </w:rPr>
              <w:t>Nafta</w:t>
            </w:r>
          </w:p>
        </w:tc>
        <w:tc>
          <w:tcPr>
            <w:tcW w:w="875" w:type="dxa"/>
            <w:tcBorders>
              <w:top w:val="nil"/>
              <w:left w:val="nil"/>
              <w:bottom w:val="single" w:sz="8" w:space="0" w:color="FFFFFF"/>
              <w:right w:val="single" w:sz="8" w:space="0" w:color="FFFFFF"/>
            </w:tcBorders>
            <w:shd w:val="clear" w:color="000000" w:fill="B8CCE4"/>
            <w:noWrap/>
            <w:hideMark/>
          </w:tcPr>
          <w:p w14:paraId="13DD5299" w14:textId="77777777" w:rsidR="00B86FB3" w:rsidRPr="00FF756A" w:rsidRDefault="00B86FB3" w:rsidP="00B86FB3">
            <w:pPr>
              <w:jc w:val="right"/>
              <w:rPr>
                <w:rFonts w:eastAsia="Times New Roman"/>
                <w:color w:val="000000"/>
                <w:sz w:val="20"/>
                <w:szCs w:val="20"/>
              </w:rPr>
            </w:pPr>
            <w:r w:rsidRPr="00FF756A">
              <w:rPr>
                <w:sz w:val="20"/>
                <w:szCs w:val="20"/>
              </w:rPr>
              <w:t xml:space="preserve"> -55,6 </w:t>
            </w:r>
          </w:p>
        </w:tc>
        <w:tc>
          <w:tcPr>
            <w:tcW w:w="876" w:type="dxa"/>
            <w:tcBorders>
              <w:top w:val="nil"/>
              <w:left w:val="nil"/>
              <w:bottom w:val="single" w:sz="8" w:space="0" w:color="FFFFFF"/>
              <w:right w:val="single" w:sz="8" w:space="0" w:color="FFFFFF"/>
            </w:tcBorders>
            <w:shd w:val="clear" w:color="000000" w:fill="B8CCE4"/>
            <w:noWrap/>
            <w:hideMark/>
          </w:tcPr>
          <w:p w14:paraId="2CB66284" w14:textId="77777777" w:rsidR="00B86FB3" w:rsidRPr="00FF756A" w:rsidRDefault="00B86FB3" w:rsidP="00B86FB3">
            <w:pPr>
              <w:jc w:val="right"/>
              <w:rPr>
                <w:rFonts w:eastAsia="Times New Roman"/>
                <w:color w:val="000000"/>
                <w:sz w:val="20"/>
                <w:szCs w:val="20"/>
              </w:rPr>
            </w:pPr>
            <w:r w:rsidRPr="00FF756A">
              <w:rPr>
                <w:sz w:val="20"/>
                <w:szCs w:val="20"/>
              </w:rPr>
              <w:t xml:space="preserve"> -54,9 </w:t>
            </w:r>
          </w:p>
        </w:tc>
        <w:tc>
          <w:tcPr>
            <w:tcW w:w="876" w:type="dxa"/>
            <w:tcBorders>
              <w:top w:val="nil"/>
              <w:left w:val="nil"/>
              <w:bottom w:val="single" w:sz="8" w:space="0" w:color="FFFFFF"/>
              <w:right w:val="single" w:sz="8" w:space="0" w:color="FFFFFF"/>
            </w:tcBorders>
            <w:shd w:val="clear" w:color="000000" w:fill="B8CCE4"/>
            <w:noWrap/>
            <w:hideMark/>
          </w:tcPr>
          <w:p w14:paraId="6BEE3EDD" w14:textId="77777777" w:rsidR="00B86FB3" w:rsidRPr="00FF756A" w:rsidRDefault="00B86FB3" w:rsidP="00B86FB3">
            <w:pPr>
              <w:jc w:val="right"/>
              <w:rPr>
                <w:rFonts w:eastAsia="Times New Roman"/>
                <w:color w:val="000000"/>
                <w:sz w:val="20"/>
                <w:szCs w:val="20"/>
              </w:rPr>
            </w:pPr>
            <w:r w:rsidRPr="00FF756A">
              <w:rPr>
                <w:sz w:val="20"/>
                <w:szCs w:val="20"/>
              </w:rPr>
              <w:t xml:space="preserve"> -54,9 </w:t>
            </w:r>
          </w:p>
        </w:tc>
        <w:tc>
          <w:tcPr>
            <w:tcW w:w="876" w:type="dxa"/>
            <w:tcBorders>
              <w:top w:val="nil"/>
              <w:left w:val="nil"/>
              <w:bottom w:val="single" w:sz="8" w:space="0" w:color="FFFFFF"/>
              <w:right w:val="single" w:sz="8" w:space="0" w:color="FFFFFF"/>
            </w:tcBorders>
            <w:shd w:val="clear" w:color="000000" w:fill="B8CCE4"/>
            <w:noWrap/>
            <w:hideMark/>
          </w:tcPr>
          <w:p w14:paraId="2DEE871E" w14:textId="77777777" w:rsidR="00B86FB3" w:rsidRPr="00FF756A" w:rsidRDefault="00B86FB3" w:rsidP="00B86FB3">
            <w:pPr>
              <w:jc w:val="right"/>
              <w:rPr>
                <w:rFonts w:eastAsia="Times New Roman"/>
                <w:color w:val="000000"/>
                <w:sz w:val="20"/>
                <w:szCs w:val="20"/>
              </w:rPr>
            </w:pPr>
            <w:r w:rsidRPr="00FF756A">
              <w:rPr>
                <w:sz w:val="20"/>
                <w:szCs w:val="20"/>
              </w:rPr>
              <w:t xml:space="preserve"> -153,5 </w:t>
            </w:r>
          </w:p>
        </w:tc>
        <w:tc>
          <w:tcPr>
            <w:tcW w:w="876" w:type="dxa"/>
            <w:tcBorders>
              <w:top w:val="nil"/>
              <w:left w:val="nil"/>
              <w:bottom w:val="single" w:sz="8" w:space="0" w:color="FFFFFF"/>
              <w:right w:val="single" w:sz="8" w:space="0" w:color="FFFFFF"/>
            </w:tcBorders>
            <w:shd w:val="clear" w:color="000000" w:fill="B8CCE4"/>
            <w:noWrap/>
            <w:hideMark/>
          </w:tcPr>
          <w:p w14:paraId="32C253DB" w14:textId="77777777" w:rsidR="00B86FB3" w:rsidRPr="00FF756A" w:rsidRDefault="00B86FB3" w:rsidP="00B86FB3">
            <w:pPr>
              <w:jc w:val="right"/>
              <w:rPr>
                <w:rFonts w:eastAsia="Times New Roman"/>
                <w:color w:val="000000"/>
                <w:sz w:val="20"/>
                <w:szCs w:val="20"/>
              </w:rPr>
            </w:pPr>
            <w:r w:rsidRPr="00FF756A">
              <w:rPr>
                <w:sz w:val="20"/>
                <w:szCs w:val="20"/>
              </w:rPr>
              <w:t xml:space="preserve"> -153,0 </w:t>
            </w:r>
          </w:p>
        </w:tc>
        <w:tc>
          <w:tcPr>
            <w:tcW w:w="876" w:type="dxa"/>
            <w:tcBorders>
              <w:top w:val="nil"/>
              <w:left w:val="nil"/>
              <w:bottom w:val="single" w:sz="8" w:space="0" w:color="FFFFFF"/>
              <w:right w:val="single" w:sz="8" w:space="0" w:color="FFFFFF"/>
            </w:tcBorders>
            <w:shd w:val="clear" w:color="auto" w:fill="4472C4" w:themeFill="accent1"/>
            <w:noWrap/>
            <w:hideMark/>
          </w:tcPr>
          <w:p w14:paraId="6417B6BF"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-152,1 </w:t>
            </w:r>
          </w:p>
        </w:tc>
        <w:tc>
          <w:tcPr>
            <w:tcW w:w="876" w:type="dxa"/>
            <w:tcBorders>
              <w:top w:val="nil"/>
              <w:left w:val="nil"/>
              <w:bottom w:val="single" w:sz="8" w:space="0" w:color="FFFFFF"/>
              <w:right w:val="single" w:sz="8" w:space="0" w:color="FFFFFF"/>
            </w:tcBorders>
            <w:shd w:val="clear" w:color="000000" w:fill="B8CCE4"/>
            <w:noWrap/>
            <w:hideMark/>
          </w:tcPr>
          <w:p w14:paraId="7CCAB472" w14:textId="77777777" w:rsidR="00B86FB3" w:rsidRPr="00FF756A" w:rsidRDefault="00B86FB3" w:rsidP="00B86FB3">
            <w:pPr>
              <w:jc w:val="right"/>
              <w:rPr>
                <w:rFonts w:eastAsia="Times New Roman"/>
                <w:color w:val="000000"/>
                <w:sz w:val="20"/>
                <w:szCs w:val="20"/>
              </w:rPr>
            </w:pPr>
            <w:r w:rsidRPr="00FF756A">
              <w:rPr>
                <w:sz w:val="20"/>
                <w:szCs w:val="20"/>
              </w:rPr>
              <w:t xml:space="preserve"> -150,6 </w:t>
            </w:r>
          </w:p>
        </w:tc>
        <w:tc>
          <w:tcPr>
            <w:tcW w:w="876" w:type="dxa"/>
            <w:tcBorders>
              <w:top w:val="nil"/>
              <w:left w:val="nil"/>
              <w:bottom w:val="single" w:sz="8" w:space="0" w:color="FFFFFF"/>
              <w:right w:val="single" w:sz="8" w:space="0" w:color="FFFFFF"/>
            </w:tcBorders>
            <w:shd w:val="clear" w:color="000000" w:fill="B8CCE4"/>
            <w:noWrap/>
            <w:hideMark/>
          </w:tcPr>
          <w:p w14:paraId="07796B4F" w14:textId="77777777" w:rsidR="00B86FB3" w:rsidRPr="00FF756A" w:rsidRDefault="00B86FB3" w:rsidP="00B86FB3">
            <w:pPr>
              <w:jc w:val="right"/>
              <w:rPr>
                <w:rFonts w:eastAsia="Times New Roman"/>
                <w:color w:val="000000"/>
                <w:sz w:val="20"/>
                <w:szCs w:val="20"/>
              </w:rPr>
            </w:pPr>
            <w:r w:rsidRPr="00FF756A">
              <w:rPr>
                <w:sz w:val="20"/>
                <w:szCs w:val="20"/>
              </w:rPr>
              <w:t xml:space="preserve"> -149,4 </w:t>
            </w:r>
          </w:p>
        </w:tc>
      </w:tr>
      <w:tr w:rsidR="00B86FB3" w:rsidRPr="00FF756A" w14:paraId="06128284" w14:textId="77777777" w:rsidTr="006A3266">
        <w:trPr>
          <w:trHeight w:val="304"/>
        </w:trPr>
        <w:tc>
          <w:tcPr>
            <w:tcW w:w="2238" w:type="dxa"/>
            <w:tcBorders>
              <w:top w:val="nil"/>
              <w:left w:val="single" w:sz="8" w:space="0" w:color="FFFFFF"/>
              <w:bottom w:val="single" w:sz="8" w:space="0" w:color="FFFFFF"/>
              <w:right w:val="single" w:sz="8" w:space="0" w:color="FFFFFF"/>
            </w:tcBorders>
            <w:shd w:val="clear" w:color="000000" w:fill="4F81BD"/>
            <w:noWrap/>
            <w:hideMark/>
          </w:tcPr>
          <w:p w14:paraId="6F57AECF" w14:textId="77777777" w:rsidR="00B86FB3" w:rsidRPr="00FF756A" w:rsidRDefault="00B86FB3" w:rsidP="00B86FB3">
            <w:pPr>
              <w:rPr>
                <w:rFonts w:eastAsia="Times New Roman"/>
                <w:color w:val="FFFFFF" w:themeColor="background1"/>
                <w:sz w:val="20"/>
                <w:szCs w:val="20"/>
              </w:rPr>
            </w:pPr>
            <w:r w:rsidRPr="00FF756A">
              <w:rPr>
                <w:color w:val="FFFFFF" w:themeColor="background1"/>
                <w:sz w:val="20"/>
                <w:szCs w:val="20"/>
              </w:rPr>
              <w:t>Nafta bruto</w:t>
            </w:r>
          </w:p>
        </w:tc>
        <w:tc>
          <w:tcPr>
            <w:tcW w:w="875" w:type="dxa"/>
            <w:tcBorders>
              <w:top w:val="nil"/>
              <w:left w:val="nil"/>
              <w:bottom w:val="single" w:sz="8" w:space="0" w:color="FFFFFF"/>
              <w:right w:val="single" w:sz="8" w:space="0" w:color="FFFFFF"/>
            </w:tcBorders>
            <w:shd w:val="clear" w:color="000000" w:fill="DBE5F1"/>
            <w:noWrap/>
            <w:hideMark/>
          </w:tcPr>
          <w:p w14:paraId="11DA34F6" w14:textId="77777777" w:rsidR="00B86FB3" w:rsidRPr="00FF756A" w:rsidRDefault="00B86FB3" w:rsidP="00B86FB3">
            <w:pPr>
              <w:jc w:val="right"/>
              <w:rPr>
                <w:rFonts w:eastAsia="Times New Roman"/>
                <w:color w:val="000000"/>
                <w:sz w:val="20"/>
                <w:szCs w:val="20"/>
              </w:rPr>
            </w:pPr>
            <w:r w:rsidRPr="00FF756A">
              <w:rPr>
                <w:sz w:val="20"/>
                <w:szCs w:val="20"/>
              </w:rPr>
              <w:t xml:space="preserve"> 362,8 </w:t>
            </w:r>
          </w:p>
        </w:tc>
        <w:tc>
          <w:tcPr>
            <w:tcW w:w="876" w:type="dxa"/>
            <w:tcBorders>
              <w:top w:val="nil"/>
              <w:left w:val="nil"/>
              <w:bottom w:val="single" w:sz="8" w:space="0" w:color="FFFFFF"/>
              <w:right w:val="single" w:sz="8" w:space="0" w:color="FFFFFF"/>
            </w:tcBorders>
            <w:shd w:val="clear" w:color="000000" w:fill="DBE5F1"/>
            <w:noWrap/>
            <w:hideMark/>
          </w:tcPr>
          <w:p w14:paraId="7B2E7B49" w14:textId="77777777" w:rsidR="00B86FB3" w:rsidRPr="00FF756A" w:rsidRDefault="00B86FB3" w:rsidP="00B86FB3">
            <w:pPr>
              <w:jc w:val="right"/>
              <w:rPr>
                <w:rFonts w:eastAsia="Times New Roman"/>
                <w:color w:val="000000"/>
                <w:sz w:val="20"/>
                <w:szCs w:val="20"/>
              </w:rPr>
            </w:pPr>
            <w:r w:rsidRPr="00FF756A">
              <w:rPr>
                <w:sz w:val="20"/>
                <w:szCs w:val="20"/>
              </w:rPr>
              <w:t xml:space="preserve"> 359,5 </w:t>
            </w:r>
          </w:p>
        </w:tc>
        <w:tc>
          <w:tcPr>
            <w:tcW w:w="876" w:type="dxa"/>
            <w:tcBorders>
              <w:top w:val="nil"/>
              <w:left w:val="nil"/>
              <w:bottom w:val="single" w:sz="8" w:space="0" w:color="FFFFFF"/>
              <w:right w:val="single" w:sz="8" w:space="0" w:color="FFFFFF"/>
            </w:tcBorders>
            <w:shd w:val="clear" w:color="000000" w:fill="DBE5F1"/>
            <w:noWrap/>
            <w:hideMark/>
          </w:tcPr>
          <w:p w14:paraId="413C8905" w14:textId="77777777" w:rsidR="00B86FB3" w:rsidRPr="00FF756A" w:rsidRDefault="00B86FB3" w:rsidP="00B86FB3">
            <w:pPr>
              <w:jc w:val="right"/>
              <w:rPr>
                <w:rFonts w:eastAsia="Times New Roman"/>
                <w:color w:val="000000"/>
                <w:sz w:val="20"/>
                <w:szCs w:val="20"/>
              </w:rPr>
            </w:pPr>
            <w:r w:rsidRPr="00FF756A">
              <w:rPr>
                <w:sz w:val="20"/>
                <w:szCs w:val="20"/>
              </w:rPr>
              <w:t xml:space="preserve"> 365,8 </w:t>
            </w:r>
          </w:p>
        </w:tc>
        <w:tc>
          <w:tcPr>
            <w:tcW w:w="876" w:type="dxa"/>
            <w:tcBorders>
              <w:top w:val="nil"/>
              <w:left w:val="nil"/>
              <w:bottom w:val="single" w:sz="8" w:space="0" w:color="FFFFFF"/>
              <w:right w:val="single" w:sz="8" w:space="0" w:color="FFFFFF"/>
            </w:tcBorders>
            <w:shd w:val="clear" w:color="000000" w:fill="DBE5F1"/>
            <w:noWrap/>
            <w:hideMark/>
          </w:tcPr>
          <w:p w14:paraId="4A615510" w14:textId="77777777" w:rsidR="00B86FB3" w:rsidRPr="00FF756A" w:rsidRDefault="00B86FB3" w:rsidP="00B86FB3">
            <w:pPr>
              <w:jc w:val="right"/>
              <w:rPr>
                <w:rFonts w:eastAsia="Times New Roman"/>
                <w:color w:val="000000"/>
                <w:sz w:val="20"/>
                <w:szCs w:val="20"/>
              </w:rPr>
            </w:pPr>
            <w:r w:rsidRPr="00FF756A">
              <w:rPr>
                <w:sz w:val="20"/>
                <w:szCs w:val="20"/>
              </w:rPr>
              <w:t xml:space="preserve"> 857,2 </w:t>
            </w:r>
          </w:p>
        </w:tc>
        <w:tc>
          <w:tcPr>
            <w:tcW w:w="876" w:type="dxa"/>
            <w:tcBorders>
              <w:top w:val="nil"/>
              <w:left w:val="nil"/>
              <w:bottom w:val="single" w:sz="8" w:space="0" w:color="FFFFFF"/>
              <w:right w:val="single" w:sz="8" w:space="0" w:color="FFFFFF"/>
            </w:tcBorders>
            <w:shd w:val="clear" w:color="000000" w:fill="DBE5F1"/>
            <w:noWrap/>
            <w:hideMark/>
          </w:tcPr>
          <w:p w14:paraId="13093543" w14:textId="77777777" w:rsidR="00B86FB3" w:rsidRPr="00FF756A" w:rsidRDefault="00B86FB3" w:rsidP="00B86FB3">
            <w:pPr>
              <w:jc w:val="right"/>
              <w:rPr>
                <w:rFonts w:eastAsia="Times New Roman"/>
                <w:color w:val="000000"/>
                <w:sz w:val="20"/>
                <w:szCs w:val="20"/>
              </w:rPr>
            </w:pPr>
            <w:r w:rsidRPr="00FF756A">
              <w:rPr>
                <w:sz w:val="20"/>
                <w:szCs w:val="20"/>
              </w:rPr>
              <w:t xml:space="preserve"> 857,2 </w:t>
            </w:r>
          </w:p>
        </w:tc>
        <w:tc>
          <w:tcPr>
            <w:tcW w:w="876" w:type="dxa"/>
            <w:tcBorders>
              <w:top w:val="nil"/>
              <w:left w:val="nil"/>
              <w:bottom w:val="single" w:sz="8" w:space="0" w:color="FFFFFF"/>
              <w:right w:val="single" w:sz="8" w:space="0" w:color="FFFFFF"/>
            </w:tcBorders>
            <w:shd w:val="clear" w:color="auto" w:fill="4472C4" w:themeFill="accent1"/>
            <w:noWrap/>
            <w:hideMark/>
          </w:tcPr>
          <w:p w14:paraId="634CF4C6"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857,2 </w:t>
            </w:r>
          </w:p>
        </w:tc>
        <w:tc>
          <w:tcPr>
            <w:tcW w:w="876" w:type="dxa"/>
            <w:tcBorders>
              <w:top w:val="nil"/>
              <w:left w:val="nil"/>
              <w:bottom w:val="single" w:sz="8" w:space="0" w:color="FFFFFF"/>
              <w:right w:val="single" w:sz="8" w:space="0" w:color="FFFFFF"/>
            </w:tcBorders>
            <w:shd w:val="clear" w:color="000000" w:fill="DBE5F1"/>
            <w:noWrap/>
            <w:hideMark/>
          </w:tcPr>
          <w:p w14:paraId="1A573AEE" w14:textId="77777777" w:rsidR="00B86FB3" w:rsidRPr="00FF756A" w:rsidRDefault="00B86FB3" w:rsidP="00B86FB3">
            <w:pPr>
              <w:jc w:val="right"/>
              <w:rPr>
                <w:rFonts w:eastAsia="Times New Roman"/>
                <w:color w:val="000000"/>
                <w:sz w:val="20"/>
                <w:szCs w:val="20"/>
              </w:rPr>
            </w:pPr>
            <w:r w:rsidRPr="00FF756A">
              <w:rPr>
                <w:sz w:val="20"/>
                <w:szCs w:val="20"/>
              </w:rPr>
              <w:t xml:space="preserve"> 857,2 </w:t>
            </w:r>
          </w:p>
        </w:tc>
        <w:tc>
          <w:tcPr>
            <w:tcW w:w="876" w:type="dxa"/>
            <w:tcBorders>
              <w:top w:val="nil"/>
              <w:left w:val="nil"/>
              <w:bottom w:val="single" w:sz="8" w:space="0" w:color="FFFFFF"/>
              <w:right w:val="single" w:sz="8" w:space="0" w:color="FFFFFF"/>
            </w:tcBorders>
            <w:shd w:val="clear" w:color="000000" w:fill="DBE5F1"/>
            <w:noWrap/>
            <w:hideMark/>
          </w:tcPr>
          <w:p w14:paraId="1F7C7EA0" w14:textId="77777777" w:rsidR="00B86FB3" w:rsidRPr="00FF756A" w:rsidRDefault="00B86FB3" w:rsidP="00B86FB3">
            <w:pPr>
              <w:jc w:val="right"/>
              <w:rPr>
                <w:rFonts w:eastAsia="Times New Roman"/>
                <w:color w:val="000000"/>
                <w:sz w:val="20"/>
                <w:szCs w:val="20"/>
              </w:rPr>
            </w:pPr>
            <w:r w:rsidRPr="00FF756A">
              <w:rPr>
                <w:sz w:val="20"/>
                <w:szCs w:val="20"/>
              </w:rPr>
              <w:t xml:space="preserve"> 857,2 </w:t>
            </w:r>
          </w:p>
        </w:tc>
      </w:tr>
      <w:tr w:rsidR="00B86FB3" w:rsidRPr="00FF756A" w14:paraId="27AF3971" w14:textId="77777777" w:rsidTr="006A3266">
        <w:trPr>
          <w:trHeight w:val="304"/>
        </w:trPr>
        <w:tc>
          <w:tcPr>
            <w:tcW w:w="2238" w:type="dxa"/>
            <w:tcBorders>
              <w:top w:val="nil"/>
              <w:left w:val="single" w:sz="8" w:space="0" w:color="FFFFFF"/>
              <w:bottom w:val="single" w:sz="8" w:space="0" w:color="FFFFFF"/>
              <w:right w:val="single" w:sz="8" w:space="0" w:color="FFFFFF"/>
            </w:tcBorders>
            <w:shd w:val="clear" w:color="000000" w:fill="4F81BD"/>
            <w:noWrap/>
            <w:hideMark/>
          </w:tcPr>
          <w:p w14:paraId="0F25B2E2" w14:textId="77777777" w:rsidR="00B86FB3" w:rsidRPr="00FF756A" w:rsidRDefault="00B86FB3" w:rsidP="00B86FB3">
            <w:pPr>
              <w:rPr>
                <w:rFonts w:eastAsia="Times New Roman"/>
                <w:color w:val="FFFFFF" w:themeColor="background1"/>
                <w:sz w:val="20"/>
                <w:szCs w:val="20"/>
              </w:rPr>
            </w:pPr>
            <w:r w:rsidRPr="00FF756A">
              <w:rPr>
                <w:color w:val="FFFFFF" w:themeColor="background1"/>
                <w:sz w:val="20"/>
                <w:szCs w:val="20"/>
              </w:rPr>
              <w:t>Lënda drusore</w:t>
            </w:r>
          </w:p>
        </w:tc>
        <w:tc>
          <w:tcPr>
            <w:tcW w:w="875" w:type="dxa"/>
            <w:tcBorders>
              <w:top w:val="nil"/>
              <w:left w:val="nil"/>
              <w:bottom w:val="single" w:sz="8" w:space="0" w:color="FFFFFF"/>
              <w:right w:val="single" w:sz="8" w:space="0" w:color="FFFFFF"/>
            </w:tcBorders>
            <w:shd w:val="clear" w:color="000000" w:fill="DBE5F1"/>
            <w:noWrap/>
            <w:hideMark/>
          </w:tcPr>
          <w:p w14:paraId="344C5308" w14:textId="77777777" w:rsidR="00B86FB3" w:rsidRPr="00FF756A" w:rsidRDefault="00B86FB3" w:rsidP="00B86FB3">
            <w:pPr>
              <w:jc w:val="right"/>
              <w:rPr>
                <w:rFonts w:eastAsia="Times New Roman"/>
                <w:color w:val="000000"/>
                <w:sz w:val="20"/>
                <w:szCs w:val="20"/>
              </w:rPr>
            </w:pPr>
            <w:r w:rsidRPr="00FF756A">
              <w:rPr>
                <w:sz w:val="20"/>
                <w:szCs w:val="20"/>
              </w:rPr>
              <w:t xml:space="preserve"> 149,5 </w:t>
            </w:r>
          </w:p>
        </w:tc>
        <w:tc>
          <w:tcPr>
            <w:tcW w:w="876" w:type="dxa"/>
            <w:tcBorders>
              <w:top w:val="nil"/>
              <w:left w:val="nil"/>
              <w:bottom w:val="single" w:sz="8" w:space="0" w:color="FFFFFF"/>
              <w:right w:val="single" w:sz="8" w:space="0" w:color="FFFFFF"/>
            </w:tcBorders>
            <w:shd w:val="clear" w:color="000000" w:fill="DBE5F1"/>
            <w:noWrap/>
            <w:hideMark/>
          </w:tcPr>
          <w:p w14:paraId="6F1A25F5" w14:textId="77777777" w:rsidR="00B86FB3" w:rsidRPr="00FF756A" w:rsidRDefault="00B86FB3" w:rsidP="00B86FB3">
            <w:pPr>
              <w:jc w:val="right"/>
              <w:rPr>
                <w:rFonts w:eastAsia="Times New Roman"/>
                <w:color w:val="000000"/>
                <w:sz w:val="20"/>
                <w:szCs w:val="20"/>
              </w:rPr>
            </w:pPr>
            <w:r w:rsidRPr="00FF756A">
              <w:rPr>
                <w:sz w:val="20"/>
                <w:szCs w:val="20"/>
              </w:rPr>
              <w:t xml:space="preserve"> 146,3 </w:t>
            </w:r>
          </w:p>
        </w:tc>
        <w:tc>
          <w:tcPr>
            <w:tcW w:w="876" w:type="dxa"/>
            <w:tcBorders>
              <w:top w:val="nil"/>
              <w:left w:val="nil"/>
              <w:bottom w:val="single" w:sz="8" w:space="0" w:color="FFFFFF"/>
              <w:right w:val="single" w:sz="8" w:space="0" w:color="FFFFFF"/>
            </w:tcBorders>
            <w:shd w:val="clear" w:color="000000" w:fill="DBE5F1"/>
            <w:noWrap/>
            <w:hideMark/>
          </w:tcPr>
          <w:p w14:paraId="592F0FDA" w14:textId="77777777" w:rsidR="00B86FB3" w:rsidRPr="00FF756A" w:rsidRDefault="00B86FB3" w:rsidP="00B86FB3">
            <w:pPr>
              <w:jc w:val="right"/>
              <w:rPr>
                <w:rFonts w:eastAsia="Times New Roman"/>
                <w:color w:val="000000"/>
                <w:sz w:val="20"/>
                <w:szCs w:val="20"/>
              </w:rPr>
            </w:pPr>
            <w:r w:rsidRPr="00FF756A">
              <w:rPr>
                <w:sz w:val="20"/>
                <w:szCs w:val="20"/>
              </w:rPr>
              <w:t xml:space="preserve"> 143,2 </w:t>
            </w:r>
          </w:p>
        </w:tc>
        <w:tc>
          <w:tcPr>
            <w:tcW w:w="876" w:type="dxa"/>
            <w:tcBorders>
              <w:top w:val="nil"/>
              <w:left w:val="nil"/>
              <w:bottom w:val="single" w:sz="8" w:space="0" w:color="FFFFFF"/>
              <w:right w:val="single" w:sz="8" w:space="0" w:color="FFFFFF"/>
            </w:tcBorders>
            <w:shd w:val="clear" w:color="000000" w:fill="DBE5F1"/>
            <w:noWrap/>
            <w:hideMark/>
          </w:tcPr>
          <w:p w14:paraId="7D80151A" w14:textId="77777777" w:rsidR="00B86FB3" w:rsidRPr="00FF756A" w:rsidRDefault="00B86FB3" w:rsidP="00B86FB3">
            <w:pPr>
              <w:jc w:val="right"/>
              <w:rPr>
                <w:rFonts w:eastAsia="Times New Roman"/>
                <w:color w:val="000000"/>
                <w:sz w:val="20"/>
                <w:szCs w:val="20"/>
              </w:rPr>
            </w:pPr>
            <w:r w:rsidRPr="00FF756A">
              <w:rPr>
                <w:sz w:val="20"/>
                <w:szCs w:val="20"/>
              </w:rPr>
              <w:t xml:space="preserve"> 142,8 </w:t>
            </w:r>
          </w:p>
        </w:tc>
        <w:tc>
          <w:tcPr>
            <w:tcW w:w="876" w:type="dxa"/>
            <w:tcBorders>
              <w:top w:val="nil"/>
              <w:left w:val="nil"/>
              <w:bottom w:val="single" w:sz="8" w:space="0" w:color="FFFFFF"/>
              <w:right w:val="single" w:sz="8" w:space="0" w:color="FFFFFF"/>
            </w:tcBorders>
            <w:shd w:val="clear" w:color="000000" w:fill="DBE5F1"/>
            <w:noWrap/>
            <w:hideMark/>
          </w:tcPr>
          <w:p w14:paraId="35B690C4" w14:textId="77777777" w:rsidR="00B86FB3" w:rsidRPr="00FF756A" w:rsidRDefault="00B86FB3" w:rsidP="00B86FB3">
            <w:pPr>
              <w:jc w:val="right"/>
              <w:rPr>
                <w:rFonts w:eastAsia="Times New Roman"/>
                <w:color w:val="000000"/>
                <w:sz w:val="20"/>
                <w:szCs w:val="20"/>
              </w:rPr>
            </w:pPr>
            <w:r w:rsidRPr="00FF756A">
              <w:rPr>
                <w:sz w:val="20"/>
                <w:szCs w:val="20"/>
              </w:rPr>
              <w:t xml:space="preserve"> 143,2 </w:t>
            </w:r>
          </w:p>
        </w:tc>
        <w:tc>
          <w:tcPr>
            <w:tcW w:w="876" w:type="dxa"/>
            <w:tcBorders>
              <w:top w:val="nil"/>
              <w:left w:val="nil"/>
              <w:bottom w:val="single" w:sz="8" w:space="0" w:color="FFFFFF"/>
              <w:right w:val="single" w:sz="8" w:space="0" w:color="FFFFFF"/>
            </w:tcBorders>
            <w:shd w:val="clear" w:color="auto" w:fill="4472C4" w:themeFill="accent1"/>
            <w:noWrap/>
            <w:hideMark/>
          </w:tcPr>
          <w:p w14:paraId="37DC6EAB"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181,0 </w:t>
            </w:r>
          </w:p>
        </w:tc>
        <w:tc>
          <w:tcPr>
            <w:tcW w:w="876" w:type="dxa"/>
            <w:tcBorders>
              <w:top w:val="nil"/>
              <w:left w:val="nil"/>
              <w:bottom w:val="single" w:sz="8" w:space="0" w:color="FFFFFF"/>
              <w:right w:val="single" w:sz="8" w:space="0" w:color="FFFFFF"/>
            </w:tcBorders>
            <w:shd w:val="clear" w:color="000000" w:fill="DBE5F1"/>
            <w:noWrap/>
            <w:hideMark/>
          </w:tcPr>
          <w:p w14:paraId="1E8E6A31" w14:textId="77777777" w:rsidR="00B86FB3" w:rsidRPr="00FF756A" w:rsidRDefault="00B86FB3" w:rsidP="00B86FB3">
            <w:pPr>
              <w:jc w:val="right"/>
              <w:rPr>
                <w:rFonts w:eastAsia="Times New Roman"/>
                <w:color w:val="000000"/>
                <w:sz w:val="20"/>
                <w:szCs w:val="20"/>
              </w:rPr>
            </w:pPr>
            <w:r w:rsidRPr="00FF756A">
              <w:rPr>
                <w:sz w:val="20"/>
                <w:szCs w:val="20"/>
              </w:rPr>
              <w:t xml:space="preserve"> 321,5 </w:t>
            </w:r>
          </w:p>
        </w:tc>
        <w:tc>
          <w:tcPr>
            <w:tcW w:w="876" w:type="dxa"/>
            <w:tcBorders>
              <w:top w:val="nil"/>
              <w:left w:val="nil"/>
              <w:bottom w:val="single" w:sz="8" w:space="0" w:color="FFFFFF"/>
              <w:right w:val="single" w:sz="8" w:space="0" w:color="FFFFFF"/>
            </w:tcBorders>
            <w:shd w:val="clear" w:color="000000" w:fill="DBE5F1"/>
            <w:noWrap/>
            <w:hideMark/>
          </w:tcPr>
          <w:p w14:paraId="588CABFF" w14:textId="77777777" w:rsidR="00B86FB3" w:rsidRPr="00FF756A" w:rsidRDefault="00B86FB3" w:rsidP="00B86FB3">
            <w:pPr>
              <w:jc w:val="right"/>
              <w:rPr>
                <w:rFonts w:eastAsia="Times New Roman"/>
                <w:color w:val="000000"/>
                <w:sz w:val="20"/>
                <w:szCs w:val="20"/>
              </w:rPr>
            </w:pPr>
            <w:r w:rsidRPr="00FF756A">
              <w:rPr>
                <w:sz w:val="20"/>
                <w:szCs w:val="20"/>
              </w:rPr>
              <w:t xml:space="preserve"> 491,1 </w:t>
            </w:r>
          </w:p>
        </w:tc>
      </w:tr>
      <w:tr w:rsidR="00B86FB3" w:rsidRPr="00FF756A" w14:paraId="2CC36FB8" w14:textId="77777777" w:rsidTr="006A3266">
        <w:trPr>
          <w:trHeight w:val="304"/>
        </w:trPr>
        <w:tc>
          <w:tcPr>
            <w:tcW w:w="2238" w:type="dxa"/>
            <w:tcBorders>
              <w:top w:val="nil"/>
              <w:left w:val="single" w:sz="8" w:space="0" w:color="FFFFFF"/>
              <w:bottom w:val="single" w:sz="8" w:space="0" w:color="FFFFFF"/>
              <w:right w:val="single" w:sz="8" w:space="0" w:color="FFFFFF"/>
            </w:tcBorders>
            <w:shd w:val="clear" w:color="000000" w:fill="4F81BD"/>
            <w:noWrap/>
            <w:hideMark/>
          </w:tcPr>
          <w:p w14:paraId="083B7BCC" w14:textId="77777777" w:rsidR="00B86FB3" w:rsidRPr="00FF756A" w:rsidRDefault="00B86FB3" w:rsidP="00B86FB3">
            <w:pPr>
              <w:rPr>
                <w:rFonts w:eastAsia="Times New Roman"/>
                <w:color w:val="FFFFFF" w:themeColor="background1"/>
                <w:sz w:val="20"/>
                <w:szCs w:val="20"/>
              </w:rPr>
            </w:pPr>
            <w:r w:rsidRPr="00FF756A">
              <w:rPr>
                <w:color w:val="FFFFFF" w:themeColor="background1"/>
                <w:sz w:val="20"/>
                <w:szCs w:val="20"/>
              </w:rPr>
              <w:t>Energjia eolike</w:t>
            </w:r>
          </w:p>
        </w:tc>
        <w:tc>
          <w:tcPr>
            <w:tcW w:w="875" w:type="dxa"/>
            <w:tcBorders>
              <w:top w:val="nil"/>
              <w:left w:val="nil"/>
              <w:bottom w:val="single" w:sz="8" w:space="0" w:color="FFFFFF"/>
              <w:right w:val="single" w:sz="8" w:space="0" w:color="FFFFFF"/>
            </w:tcBorders>
            <w:shd w:val="clear" w:color="000000" w:fill="DBE5F1"/>
            <w:noWrap/>
            <w:hideMark/>
          </w:tcPr>
          <w:p w14:paraId="6D08E91E" w14:textId="77777777" w:rsidR="00B86FB3" w:rsidRPr="00FF756A" w:rsidRDefault="00B86FB3" w:rsidP="00B86FB3">
            <w:pPr>
              <w:jc w:val="right"/>
              <w:rPr>
                <w:rFonts w:eastAsia="Times New Roman"/>
                <w:color w:val="000000"/>
                <w:sz w:val="20"/>
                <w:szCs w:val="20"/>
              </w:rPr>
            </w:pPr>
            <w:r w:rsidRPr="00FF756A">
              <w:rPr>
                <w:sz w:val="20"/>
                <w:szCs w:val="20"/>
              </w:rPr>
              <w:t xml:space="preserve"> -   </w:t>
            </w:r>
          </w:p>
        </w:tc>
        <w:tc>
          <w:tcPr>
            <w:tcW w:w="876" w:type="dxa"/>
            <w:tcBorders>
              <w:top w:val="nil"/>
              <w:left w:val="nil"/>
              <w:bottom w:val="single" w:sz="8" w:space="0" w:color="FFFFFF"/>
              <w:right w:val="single" w:sz="8" w:space="0" w:color="FFFFFF"/>
            </w:tcBorders>
            <w:shd w:val="clear" w:color="000000" w:fill="DBE5F1"/>
            <w:noWrap/>
            <w:hideMark/>
          </w:tcPr>
          <w:p w14:paraId="09E423F4" w14:textId="77777777" w:rsidR="00B86FB3" w:rsidRPr="00FF756A" w:rsidRDefault="00B86FB3" w:rsidP="00B86FB3">
            <w:pPr>
              <w:jc w:val="right"/>
              <w:rPr>
                <w:rFonts w:eastAsia="Times New Roman"/>
                <w:color w:val="000000"/>
                <w:sz w:val="20"/>
                <w:szCs w:val="20"/>
              </w:rPr>
            </w:pPr>
            <w:r w:rsidRPr="00FF756A">
              <w:rPr>
                <w:sz w:val="20"/>
                <w:szCs w:val="20"/>
              </w:rPr>
              <w:t xml:space="preserve"> -   </w:t>
            </w:r>
          </w:p>
        </w:tc>
        <w:tc>
          <w:tcPr>
            <w:tcW w:w="876" w:type="dxa"/>
            <w:tcBorders>
              <w:top w:val="nil"/>
              <w:left w:val="nil"/>
              <w:bottom w:val="single" w:sz="8" w:space="0" w:color="FFFFFF"/>
              <w:right w:val="single" w:sz="8" w:space="0" w:color="FFFFFF"/>
            </w:tcBorders>
            <w:shd w:val="clear" w:color="000000" w:fill="DBE5F1"/>
            <w:noWrap/>
            <w:hideMark/>
          </w:tcPr>
          <w:p w14:paraId="10440B74" w14:textId="77777777" w:rsidR="00B86FB3" w:rsidRPr="00FF756A" w:rsidRDefault="00B86FB3" w:rsidP="00B86FB3">
            <w:pPr>
              <w:jc w:val="right"/>
              <w:rPr>
                <w:rFonts w:eastAsia="Times New Roman"/>
                <w:color w:val="000000"/>
                <w:sz w:val="20"/>
                <w:szCs w:val="20"/>
              </w:rPr>
            </w:pPr>
            <w:r w:rsidRPr="00FF756A">
              <w:rPr>
                <w:sz w:val="20"/>
                <w:szCs w:val="20"/>
              </w:rPr>
              <w:t xml:space="preserve"> -   </w:t>
            </w:r>
          </w:p>
        </w:tc>
        <w:tc>
          <w:tcPr>
            <w:tcW w:w="876" w:type="dxa"/>
            <w:tcBorders>
              <w:top w:val="nil"/>
              <w:left w:val="nil"/>
              <w:bottom w:val="single" w:sz="8" w:space="0" w:color="FFFFFF"/>
              <w:right w:val="single" w:sz="8" w:space="0" w:color="FFFFFF"/>
            </w:tcBorders>
            <w:shd w:val="clear" w:color="000000" w:fill="DBE5F1"/>
            <w:noWrap/>
            <w:hideMark/>
          </w:tcPr>
          <w:p w14:paraId="1D782361" w14:textId="77777777" w:rsidR="00B86FB3" w:rsidRPr="00FF756A" w:rsidRDefault="00B86FB3" w:rsidP="00B86FB3">
            <w:pPr>
              <w:jc w:val="right"/>
              <w:rPr>
                <w:rFonts w:eastAsia="Times New Roman"/>
                <w:color w:val="000000"/>
                <w:sz w:val="20"/>
                <w:szCs w:val="20"/>
              </w:rPr>
            </w:pPr>
            <w:r w:rsidRPr="00FF756A">
              <w:rPr>
                <w:sz w:val="20"/>
                <w:szCs w:val="20"/>
              </w:rPr>
              <w:t xml:space="preserve"> -   </w:t>
            </w:r>
          </w:p>
        </w:tc>
        <w:tc>
          <w:tcPr>
            <w:tcW w:w="876" w:type="dxa"/>
            <w:tcBorders>
              <w:top w:val="nil"/>
              <w:left w:val="nil"/>
              <w:bottom w:val="single" w:sz="8" w:space="0" w:color="FFFFFF"/>
              <w:right w:val="single" w:sz="8" w:space="0" w:color="FFFFFF"/>
            </w:tcBorders>
            <w:shd w:val="clear" w:color="000000" w:fill="DBE5F1"/>
            <w:noWrap/>
            <w:hideMark/>
          </w:tcPr>
          <w:p w14:paraId="24F20998" w14:textId="77777777" w:rsidR="00B86FB3" w:rsidRPr="00FF756A" w:rsidRDefault="00B86FB3" w:rsidP="00B86FB3">
            <w:pPr>
              <w:jc w:val="right"/>
              <w:rPr>
                <w:rFonts w:eastAsia="Times New Roman"/>
                <w:color w:val="000000"/>
                <w:sz w:val="20"/>
                <w:szCs w:val="20"/>
              </w:rPr>
            </w:pPr>
            <w:r w:rsidRPr="00FF756A">
              <w:rPr>
                <w:sz w:val="20"/>
                <w:szCs w:val="20"/>
              </w:rPr>
              <w:t xml:space="preserve"> -   </w:t>
            </w:r>
          </w:p>
        </w:tc>
        <w:tc>
          <w:tcPr>
            <w:tcW w:w="876" w:type="dxa"/>
            <w:tcBorders>
              <w:top w:val="nil"/>
              <w:left w:val="nil"/>
              <w:bottom w:val="single" w:sz="8" w:space="0" w:color="FFFFFF"/>
              <w:right w:val="single" w:sz="8" w:space="0" w:color="FFFFFF"/>
            </w:tcBorders>
            <w:shd w:val="clear" w:color="auto" w:fill="4472C4" w:themeFill="accent1"/>
            <w:noWrap/>
            <w:hideMark/>
          </w:tcPr>
          <w:p w14:paraId="7466DF63"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97,9 </w:t>
            </w:r>
          </w:p>
        </w:tc>
        <w:tc>
          <w:tcPr>
            <w:tcW w:w="876" w:type="dxa"/>
            <w:tcBorders>
              <w:top w:val="nil"/>
              <w:left w:val="nil"/>
              <w:bottom w:val="single" w:sz="8" w:space="0" w:color="FFFFFF"/>
              <w:right w:val="single" w:sz="8" w:space="0" w:color="FFFFFF"/>
            </w:tcBorders>
            <w:shd w:val="clear" w:color="000000" w:fill="DBE5F1"/>
            <w:noWrap/>
            <w:hideMark/>
          </w:tcPr>
          <w:p w14:paraId="2994CAA2" w14:textId="77777777" w:rsidR="00B86FB3" w:rsidRPr="00FF756A" w:rsidRDefault="00B86FB3" w:rsidP="00B86FB3">
            <w:pPr>
              <w:jc w:val="right"/>
              <w:rPr>
                <w:rFonts w:eastAsia="Times New Roman"/>
                <w:color w:val="000000"/>
                <w:sz w:val="20"/>
                <w:szCs w:val="20"/>
              </w:rPr>
            </w:pPr>
            <w:r w:rsidRPr="00FF756A">
              <w:rPr>
                <w:sz w:val="20"/>
                <w:szCs w:val="20"/>
              </w:rPr>
              <w:t xml:space="preserve"> 163,8 </w:t>
            </w:r>
          </w:p>
        </w:tc>
        <w:tc>
          <w:tcPr>
            <w:tcW w:w="876" w:type="dxa"/>
            <w:tcBorders>
              <w:top w:val="nil"/>
              <w:left w:val="nil"/>
              <w:bottom w:val="single" w:sz="8" w:space="0" w:color="FFFFFF"/>
              <w:right w:val="single" w:sz="8" w:space="0" w:color="FFFFFF"/>
            </w:tcBorders>
            <w:shd w:val="clear" w:color="000000" w:fill="DBE5F1"/>
            <w:noWrap/>
            <w:hideMark/>
          </w:tcPr>
          <w:p w14:paraId="4C2E7175" w14:textId="77777777" w:rsidR="00B86FB3" w:rsidRPr="00FF756A" w:rsidRDefault="00B86FB3" w:rsidP="00B86FB3">
            <w:pPr>
              <w:jc w:val="right"/>
              <w:rPr>
                <w:rFonts w:eastAsia="Times New Roman"/>
                <w:color w:val="000000"/>
                <w:sz w:val="20"/>
                <w:szCs w:val="20"/>
              </w:rPr>
            </w:pPr>
            <w:r w:rsidRPr="00FF756A">
              <w:rPr>
                <w:sz w:val="20"/>
                <w:szCs w:val="20"/>
              </w:rPr>
              <w:t xml:space="preserve"> 229,7 </w:t>
            </w:r>
          </w:p>
        </w:tc>
      </w:tr>
      <w:tr w:rsidR="00B86FB3" w:rsidRPr="00FF756A" w14:paraId="03BD3AF7" w14:textId="77777777" w:rsidTr="006A3266">
        <w:trPr>
          <w:trHeight w:val="304"/>
        </w:trPr>
        <w:tc>
          <w:tcPr>
            <w:tcW w:w="2238" w:type="dxa"/>
            <w:tcBorders>
              <w:top w:val="nil"/>
              <w:left w:val="single" w:sz="8" w:space="0" w:color="FFFFFF"/>
              <w:bottom w:val="single" w:sz="8" w:space="0" w:color="FFFFFF"/>
              <w:right w:val="single" w:sz="8" w:space="0" w:color="FFFFFF"/>
            </w:tcBorders>
            <w:shd w:val="clear" w:color="000000" w:fill="4F81BD"/>
            <w:noWrap/>
            <w:hideMark/>
          </w:tcPr>
          <w:p w14:paraId="60A1B3FE" w14:textId="77777777" w:rsidR="00B86FB3" w:rsidRPr="00FF756A" w:rsidRDefault="00B86FB3" w:rsidP="00B86FB3">
            <w:pPr>
              <w:rPr>
                <w:rFonts w:eastAsia="Times New Roman"/>
                <w:color w:val="FFFFFF" w:themeColor="background1"/>
                <w:sz w:val="20"/>
                <w:szCs w:val="20"/>
              </w:rPr>
            </w:pPr>
            <w:r w:rsidRPr="00FF756A">
              <w:rPr>
                <w:color w:val="FFFFFF" w:themeColor="background1"/>
                <w:sz w:val="20"/>
                <w:szCs w:val="20"/>
              </w:rPr>
              <w:t>Energjia diellore</w:t>
            </w:r>
          </w:p>
        </w:tc>
        <w:tc>
          <w:tcPr>
            <w:tcW w:w="875" w:type="dxa"/>
            <w:tcBorders>
              <w:top w:val="nil"/>
              <w:left w:val="nil"/>
              <w:bottom w:val="single" w:sz="8" w:space="0" w:color="FFFFFF"/>
              <w:right w:val="single" w:sz="8" w:space="0" w:color="FFFFFF"/>
            </w:tcBorders>
            <w:shd w:val="clear" w:color="000000" w:fill="B8CCE4"/>
            <w:noWrap/>
            <w:hideMark/>
          </w:tcPr>
          <w:p w14:paraId="3683026C" w14:textId="77777777" w:rsidR="00B86FB3" w:rsidRPr="00FF756A" w:rsidRDefault="00B86FB3" w:rsidP="00B86FB3">
            <w:pPr>
              <w:jc w:val="right"/>
              <w:rPr>
                <w:rFonts w:eastAsia="Times New Roman"/>
                <w:color w:val="000000"/>
                <w:sz w:val="20"/>
                <w:szCs w:val="20"/>
              </w:rPr>
            </w:pPr>
            <w:r w:rsidRPr="00FF756A">
              <w:rPr>
                <w:sz w:val="20"/>
                <w:szCs w:val="20"/>
              </w:rPr>
              <w:t xml:space="preserve"> 15,8 </w:t>
            </w:r>
          </w:p>
        </w:tc>
        <w:tc>
          <w:tcPr>
            <w:tcW w:w="876" w:type="dxa"/>
            <w:tcBorders>
              <w:top w:val="nil"/>
              <w:left w:val="nil"/>
              <w:bottom w:val="single" w:sz="8" w:space="0" w:color="FFFFFF"/>
              <w:right w:val="single" w:sz="8" w:space="0" w:color="FFFFFF"/>
            </w:tcBorders>
            <w:shd w:val="clear" w:color="000000" w:fill="B8CCE4"/>
            <w:noWrap/>
            <w:hideMark/>
          </w:tcPr>
          <w:p w14:paraId="5B00B955" w14:textId="77777777" w:rsidR="00B86FB3" w:rsidRPr="00FF756A" w:rsidRDefault="00B86FB3" w:rsidP="00B86FB3">
            <w:pPr>
              <w:jc w:val="right"/>
              <w:rPr>
                <w:rFonts w:eastAsia="Times New Roman"/>
                <w:color w:val="000000"/>
                <w:sz w:val="20"/>
                <w:szCs w:val="20"/>
              </w:rPr>
            </w:pPr>
            <w:r w:rsidRPr="00FF756A">
              <w:rPr>
                <w:sz w:val="20"/>
                <w:szCs w:val="20"/>
              </w:rPr>
              <w:t xml:space="preserve"> 16,7 </w:t>
            </w:r>
          </w:p>
        </w:tc>
        <w:tc>
          <w:tcPr>
            <w:tcW w:w="876" w:type="dxa"/>
            <w:tcBorders>
              <w:top w:val="nil"/>
              <w:left w:val="nil"/>
              <w:bottom w:val="single" w:sz="8" w:space="0" w:color="FFFFFF"/>
              <w:right w:val="single" w:sz="8" w:space="0" w:color="FFFFFF"/>
            </w:tcBorders>
            <w:shd w:val="clear" w:color="000000" w:fill="B8CCE4"/>
            <w:noWrap/>
            <w:hideMark/>
          </w:tcPr>
          <w:p w14:paraId="45D2D263" w14:textId="77777777" w:rsidR="00B86FB3" w:rsidRPr="00FF756A" w:rsidRDefault="00B86FB3" w:rsidP="00B86FB3">
            <w:pPr>
              <w:jc w:val="right"/>
              <w:rPr>
                <w:rFonts w:eastAsia="Times New Roman"/>
                <w:color w:val="000000"/>
                <w:sz w:val="20"/>
                <w:szCs w:val="20"/>
              </w:rPr>
            </w:pPr>
            <w:r w:rsidRPr="00FF756A">
              <w:rPr>
                <w:sz w:val="20"/>
                <w:szCs w:val="20"/>
              </w:rPr>
              <w:t xml:space="preserve"> 16,5 </w:t>
            </w:r>
          </w:p>
        </w:tc>
        <w:tc>
          <w:tcPr>
            <w:tcW w:w="876" w:type="dxa"/>
            <w:tcBorders>
              <w:top w:val="nil"/>
              <w:left w:val="nil"/>
              <w:bottom w:val="single" w:sz="8" w:space="0" w:color="FFFFFF"/>
              <w:right w:val="single" w:sz="8" w:space="0" w:color="FFFFFF"/>
            </w:tcBorders>
            <w:shd w:val="clear" w:color="000000" w:fill="B8CCE4"/>
            <w:noWrap/>
            <w:hideMark/>
          </w:tcPr>
          <w:p w14:paraId="43DDF801" w14:textId="77777777" w:rsidR="00B86FB3" w:rsidRPr="00FF756A" w:rsidRDefault="00B86FB3" w:rsidP="00B86FB3">
            <w:pPr>
              <w:jc w:val="right"/>
              <w:rPr>
                <w:rFonts w:eastAsia="Times New Roman"/>
                <w:color w:val="000000"/>
                <w:sz w:val="20"/>
                <w:szCs w:val="20"/>
              </w:rPr>
            </w:pPr>
            <w:r w:rsidRPr="00FF756A">
              <w:rPr>
                <w:sz w:val="20"/>
                <w:szCs w:val="20"/>
              </w:rPr>
              <w:t xml:space="preserve"> 43,8 </w:t>
            </w:r>
          </w:p>
        </w:tc>
        <w:tc>
          <w:tcPr>
            <w:tcW w:w="876" w:type="dxa"/>
            <w:tcBorders>
              <w:top w:val="nil"/>
              <w:left w:val="nil"/>
              <w:bottom w:val="single" w:sz="8" w:space="0" w:color="FFFFFF"/>
              <w:right w:val="single" w:sz="8" w:space="0" w:color="FFFFFF"/>
            </w:tcBorders>
            <w:shd w:val="clear" w:color="000000" w:fill="B8CCE4"/>
            <w:noWrap/>
            <w:hideMark/>
          </w:tcPr>
          <w:p w14:paraId="3580289D" w14:textId="77777777" w:rsidR="00B86FB3" w:rsidRPr="00FF756A" w:rsidRDefault="00B86FB3" w:rsidP="00B86FB3">
            <w:pPr>
              <w:jc w:val="right"/>
              <w:rPr>
                <w:rFonts w:eastAsia="Times New Roman"/>
                <w:color w:val="000000"/>
                <w:sz w:val="20"/>
                <w:szCs w:val="20"/>
              </w:rPr>
            </w:pPr>
            <w:r w:rsidRPr="00FF756A">
              <w:rPr>
                <w:sz w:val="20"/>
                <w:szCs w:val="20"/>
              </w:rPr>
              <w:t xml:space="preserve"> 88,5 </w:t>
            </w:r>
          </w:p>
        </w:tc>
        <w:tc>
          <w:tcPr>
            <w:tcW w:w="876" w:type="dxa"/>
            <w:tcBorders>
              <w:top w:val="nil"/>
              <w:left w:val="nil"/>
              <w:bottom w:val="single" w:sz="8" w:space="0" w:color="FFFFFF"/>
              <w:right w:val="single" w:sz="8" w:space="0" w:color="FFFFFF"/>
            </w:tcBorders>
            <w:shd w:val="clear" w:color="auto" w:fill="4472C4" w:themeFill="accent1"/>
            <w:noWrap/>
            <w:hideMark/>
          </w:tcPr>
          <w:p w14:paraId="10A2D83E"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164,4 </w:t>
            </w:r>
          </w:p>
        </w:tc>
        <w:tc>
          <w:tcPr>
            <w:tcW w:w="876" w:type="dxa"/>
            <w:tcBorders>
              <w:top w:val="nil"/>
              <w:left w:val="nil"/>
              <w:bottom w:val="single" w:sz="8" w:space="0" w:color="FFFFFF"/>
              <w:right w:val="single" w:sz="8" w:space="0" w:color="FFFFFF"/>
            </w:tcBorders>
            <w:shd w:val="clear" w:color="000000" w:fill="B8CCE4"/>
            <w:noWrap/>
            <w:hideMark/>
          </w:tcPr>
          <w:p w14:paraId="524E87C2" w14:textId="77777777" w:rsidR="00B86FB3" w:rsidRPr="00FF756A" w:rsidRDefault="00B86FB3" w:rsidP="00B86FB3">
            <w:pPr>
              <w:jc w:val="right"/>
              <w:rPr>
                <w:rFonts w:eastAsia="Times New Roman"/>
                <w:color w:val="000000"/>
                <w:sz w:val="20"/>
                <w:szCs w:val="20"/>
              </w:rPr>
            </w:pPr>
            <w:r w:rsidRPr="00FF756A">
              <w:rPr>
                <w:sz w:val="20"/>
                <w:szCs w:val="20"/>
              </w:rPr>
              <w:t xml:space="preserve"> 462,8 </w:t>
            </w:r>
          </w:p>
        </w:tc>
        <w:tc>
          <w:tcPr>
            <w:tcW w:w="876" w:type="dxa"/>
            <w:tcBorders>
              <w:top w:val="nil"/>
              <w:left w:val="nil"/>
              <w:bottom w:val="single" w:sz="8" w:space="0" w:color="FFFFFF"/>
              <w:right w:val="single" w:sz="8" w:space="0" w:color="FFFFFF"/>
            </w:tcBorders>
            <w:shd w:val="clear" w:color="000000" w:fill="B8CCE4"/>
            <w:noWrap/>
            <w:hideMark/>
          </w:tcPr>
          <w:p w14:paraId="29BAF106" w14:textId="77777777" w:rsidR="00B86FB3" w:rsidRPr="00FF756A" w:rsidRDefault="00B86FB3" w:rsidP="00B86FB3">
            <w:pPr>
              <w:jc w:val="right"/>
              <w:rPr>
                <w:rFonts w:eastAsia="Times New Roman"/>
                <w:color w:val="000000"/>
                <w:sz w:val="20"/>
                <w:szCs w:val="20"/>
              </w:rPr>
            </w:pPr>
            <w:r w:rsidRPr="00FF756A">
              <w:rPr>
                <w:sz w:val="20"/>
                <w:szCs w:val="20"/>
              </w:rPr>
              <w:t xml:space="preserve"> 808,3 </w:t>
            </w:r>
          </w:p>
        </w:tc>
      </w:tr>
      <w:tr w:rsidR="00B86FB3" w:rsidRPr="00FF756A" w14:paraId="6A4B4072" w14:textId="77777777" w:rsidTr="006A3266">
        <w:trPr>
          <w:trHeight w:val="304"/>
        </w:trPr>
        <w:tc>
          <w:tcPr>
            <w:tcW w:w="2238" w:type="dxa"/>
            <w:tcBorders>
              <w:top w:val="nil"/>
              <w:left w:val="single" w:sz="8" w:space="0" w:color="FFFFFF"/>
              <w:bottom w:val="single" w:sz="8" w:space="0" w:color="FFFFFF"/>
              <w:right w:val="single" w:sz="8" w:space="0" w:color="FFFFFF"/>
            </w:tcBorders>
            <w:shd w:val="clear" w:color="000000" w:fill="4F81BD"/>
            <w:noWrap/>
            <w:hideMark/>
          </w:tcPr>
          <w:p w14:paraId="0D8BC9A9" w14:textId="77777777" w:rsidR="00B86FB3" w:rsidRPr="00FF756A" w:rsidRDefault="00B86FB3" w:rsidP="00B86FB3">
            <w:pPr>
              <w:rPr>
                <w:rFonts w:eastAsia="Times New Roman"/>
                <w:color w:val="FFFFFF" w:themeColor="background1"/>
                <w:sz w:val="20"/>
                <w:szCs w:val="20"/>
              </w:rPr>
            </w:pPr>
            <w:r w:rsidRPr="00FF756A">
              <w:rPr>
                <w:color w:val="FFFFFF" w:themeColor="background1"/>
                <w:sz w:val="20"/>
                <w:szCs w:val="20"/>
              </w:rPr>
              <w:t>Energjia hidrike</w:t>
            </w:r>
          </w:p>
        </w:tc>
        <w:tc>
          <w:tcPr>
            <w:tcW w:w="875" w:type="dxa"/>
            <w:tcBorders>
              <w:top w:val="nil"/>
              <w:left w:val="nil"/>
              <w:bottom w:val="single" w:sz="8" w:space="0" w:color="FFFFFF"/>
              <w:right w:val="single" w:sz="8" w:space="0" w:color="FFFFFF"/>
            </w:tcBorders>
            <w:shd w:val="clear" w:color="000000" w:fill="DBE5F1"/>
            <w:noWrap/>
            <w:hideMark/>
          </w:tcPr>
          <w:p w14:paraId="46C40726" w14:textId="77777777" w:rsidR="00B86FB3" w:rsidRPr="00FF756A" w:rsidRDefault="00B86FB3" w:rsidP="00B86FB3">
            <w:pPr>
              <w:jc w:val="right"/>
              <w:rPr>
                <w:rFonts w:eastAsia="Times New Roman"/>
                <w:color w:val="000000"/>
                <w:sz w:val="20"/>
                <w:szCs w:val="20"/>
              </w:rPr>
            </w:pPr>
            <w:r w:rsidRPr="00FF756A">
              <w:rPr>
                <w:sz w:val="20"/>
                <w:szCs w:val="20"/>
              </w:rPr>
              <w:t xml:space="preserve"> 454,7 </w:t>
            </w:r>
          </w:p>
        </w:tc>
        <w:tc>
          <w:tcPr>
            <w:tcW w:w="876" w:type="dxa"/>
            <w:tcBorders>
              <w:top w:val="nil"/>
              <w:left w:val="nil"/>
              <w:bottom w:val="single" w:sz="8" w:space="0" w:color="FFFFFF"/>
              <w:right w:val="single" w:sz="8" w:space="0" w:color="FFFFFF"/>
            </w:tcBorders>
            <w:shd w:val="clear" w:color="000000" w:fill="DBE5F1"/>
            <w:noWrap/>
            <w:hideMark/>
          </w:tcPr>
          <w:p w14:paraId="695323D4" w14:textId="77777777" w:rsidR="00B86FB3" w:rsidRPr="00FF756A" w:rsidRDefault="00B86FB3" w:rsidP="00B86FB3">
            <w:pPr>
              <w:jc w:val="right"/>
              <w:rPr>
                <w:rFonts w:eastAsia="Times New Roman"/>
                <w:color w:val="000000"/>
                <w:sz w:val="20"/>
                <w:szCs w:val="20"/>
              </w:rPr>
            </w:pPr>
            <w:r w:rsidRPr="00FF756A">
              <w:rPr>
                <w:sz w:val="20"/>
                <w:szCs w:val="20"/>
              </w:rPr>
              <w:t xml:space="preserve"> 454,7 </w:t>
            </w:r>
          </w:p>
        </w:tc>
        <w:tc>
          <w:tcPr>
            <w:tcW w:w="876" w:type="dxa"/>
            <w:tcBorders>
              <w:top w:val="nil"/>
              <w:left w:val="nil"/>
              <w:bottom w:val="single" w:sz="8" w:space="0" w:color="FFFFFF"/>
              <w:right w:val="single" w:sz="8" w:space="0" w:color="FFFFFF"/>
            </w:tcBorders>
            <w:shd w:val="clear" w:color="000000" w:fill="DBE5F1"/>
            <w:noWrap/>
            <w:hideMark/>
          </w:tcPr>
          <w:p w14:paraId="359272DA" w14:textId="77777777" w:rsidR="00B86FB3" w:rsidRPr="00FF756A" w:rsidRDefault="00B86FB3" w:rsidP="00B86FB3">
            <w:pPr>
              <w:jc w:val="right"/>
              <w:rPr>
                <w:rFonts w:eastAsia="Times New Roman"/>
                <w:color w:val="000000"/>
                <w:sz w:val="20"/>
                <w:szCs w:val="20"/>
              </w:rPr>
            </w:pPr>
            <w:r w:rsidRPr="00FF756A">
              <w:rPr>
                <w:sz w:val="20"/>
                <w:szCs w:val="20"/>
              </w:rPr>
              <w:t xml:space="preserve"> 454,7 </w:t>
            </w:r>
          </w:p>
        </w:tc>
        <w:tc>
          <w:tcPr>
            <w:tcW w:w="876" w:type="dxa"/>
            <w:tcBorders>
              <w:top w:val="nil"/>
              <w:left w:val="nil"/>
              <w:bottom w:val="single" w:sz="8" w:space="0" w:color="FFFFFF"/>
              <w:right w:val="single" w:sz="8" w:space="0" w:color="FFFFFF"/>
            </w:tcBorders>
            <w:shd w:val="clear" w:color="000000" w:fill="DBE5F1"/>
            <w:noWrap/>
            <w:hideMark/>
          </w:tcPr>
          <w:p w14:paraId="4E4CF22E" w14:textId="77777777" w:rsidR="00B86FB3" w:rsidRPr="00FF756A" w:rsidRDefault="00B86FB3" w:rsidP="00B86FB3">
            <w:pPr>
              <w:jc w:val="right"/>
              <w:rPr>
                <w:rFonts w:eastAsia="Times New Roman"/>
                <w:color w:val="000000"/>
                <w:sz w:val="20"/>
                <w:szCs w:val="20"/>
              </w:rPr>
            </w:pPr>
            <w:r w:rsidRPr="00FF756A">
              <w:rPr>
                <w:sz w:val="20"/>
                <w:szCs w:val="20"/>
              </w:rPr>
              <w:t xml:space="preserve"> 830,5 </w:t>
            </w:r>
          </w:p>
        </w:tc>
        <w:tc>
          <w:tcPr>
            <w:tcW w:w="876" w:type="dxa"/>
            <w:tcBorders>
              <w:top w:val="nil"/>
              <w:left w:val="nil"/>
              <w:bottom w:val="single" w:sz="8" w:space="0" w:color="FFFFFF"/>
              <w:right w:val="single" w:sz="8" w:space="0" w:color="FFFFFF"/>
            </w:tcBorders>
            <w:shd w:val="clear" w:color="000000" w:fill="DBE5F1"/>
            <w:noWrap/>
            <w:hideMark/>
          </w:tcPr>
          <w:p w14:paraId="78F3B882" w14:textId="77777777" w:rsidR="00B86FB3" w:rsidRPr="00FF756A" w:rsidRDefault="00B86FB3" w:rsidP="00B86FB3">
            <w:pPr>
              <w:jc w:val="right"/>
              <w:rPr>
                <w:rFonts w:eastAsia="Times New Roman"/>
                <w:color w:val="000000"/>
                <w:sz w:val="20"/>
                <w:szCs w:val="20"/>
              </w:rPr>
            </w:pPr>
            <w:r w:rsidRPr="00FF756A">
              <w:rPr>
                <w:sz w:val="20"/>
                <w:szCs w:val="20"/>
              </w:rPr>
              <w:t xml:space="preserve"> 843,7 </w:t>
            </w:r>
          </w:p>
        </w:tc>
        <w:tc>
          <w:tcPr>
            <w:tcW w:w="876" w:type="dxa"/>
            <w:tcBorders>
              <w:top w:val="nil"/>
              <w:left w:val="nil"/>
              <w:bottom w:val="single" w:sz="8" w:space="0" w:color="FFFFFF"/>
              <w:right w:val="single" w:sz="8" w:space="0" w:color="FFFFFF"/>
            </w:tcBorders>
            <w:shd w:val="clear" w:color="auto" w:fill="4472C4" w:themeFill="accent1"/>
            <w:noWrap/>
            <w:hideMark/>
          </w:tcPr>
          <w:p w14:paraId="38FA3F59"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918,5 </w:t>
            </w:r>
          </w:p>
        </w:tc>
        <w:tc>
          <w:tcPr>
            <w:tcW w:w="876" w:type="dxa"/>
            <w:tcBorders>
              <w:top w:val="nil"/>
              <w:left w:val="nil"/>
              <w:bottom w:val="single" w:sz="8" w:space="0" w:color="FFFFFF"/>
              <w:right w:val="single" w:sz="8" w:space="0" w:color="FFFFFF"/>
            </w:tcBorders>
            <w:shd w:val="clear" w:color="000000" w:fill="DBE5F1"/>
            <w:noWrap/>
            <w:hideMark/>
          </w:tcPr>
          <w:p w14:paraId="735D175D" w14:textId="77777777" w:rsidR="00B86FB3" w:rsidRPr="00FF756A" w:rsidRDefault="00B86FB3" w:rsidP="00B86FB3">
            <w:pPr>
              <w:jc w:val="right"/>
              <w:rPr>
                <w:rFonts w:eastAsia="Times New Roman"/>
                <w:color w:val="000000"/>
                <w:sz w:val="20"/>
                <w:szCs w:val="20"/>
              </w:rPr>
            </w:pPr>
            <w:r w:rsidRPr="00FF756A">
              <w:rPr>
                <w:sz w:val="20"/>
                <w:szCs w:val="20"/>
              </w:rPr>
              <w:t xml:space="preserve"> 867,7 </w:t>
            </w:r>
          </w:p>
        </w:tc>
        <w:tc>
          <w:tcPr>
            <w:tcW w:w="876" w:type="dxa"/>
            <w:tcBorders>
              <w:top w:val="nil"/>
              <w:left w:val="nil"/>
              <w:bottom w:val="single" w:sz="8" w:space="0" w:color="FFFFFF"/>
              <w:right w:val="single" w:sz="8" w:space="0" w:color="FFFFFF"/>
            </w:tcBorders>
            <w:shd w:val="clear" w:color="000000" w:fill="DBE5F1"/>
            <w:noWrap/>
            <w:hideMark/>
          </w:tcPr>
          <w:p w14:paraId="5556496A" w14:textId="77777777" w:rsidR="00B86FB3" w:rsidRPr="00FF756A" w:rsidRDefault="00B86FB3" w:rsidP="00B86FB3">
            <w:pPr>
              <w:jc w:val="right"/>
              <w:rPr>
                <w:rFonts w:eastAsia="Times New Roman"/>
                <w:color w:val="000000"/>
                <w:sz w:val="20"/>
                <w:szCs w:val="20"/>
              </w:rPr>
            </w:pPr>
            <w:r w:rsidRPr="00FF756A">
              <w:rPr>
                <w:sz w:val="20"/>
                <w:szCs w:val="20"/>
              </w:rPr>
              <w:t xml:space="preserve"> 817,0 </w:t>
            </w:r>
          </w:p>
        </w:tc>
      </w:tr>
      <w:tr w:rsidR="00B86FB3" w:rsidRPr="00FF756A" w14:paraId="79F86743" w14:textId="77777777" w:rsidTr="006A3266">
        <w:trPr>
          <w:trHeight w:val="304"/>
        </w:trPr>
        <w:tc>
          <w:tcPr>
            <w:tcW w:w="2238" w:type="dxa"/>
            <w:tcBorders>
              <w:top w:val="nil"/>
              <w:left w:val="single" w:sz="8" w:space="0" w:color="FFFFFF"/>
              <w:bottom w:val="single" w:sz="8" w:space="0" w:color="FFFFFF"/>
              <w:right w:val="single" w:sz="8" w:space="0" w:color="FFFFFF"/>
            </w:tcBorders>
            <w:shd w:val="clear" w:color="000000" w:fill="4F81BD"/>
            <w:noWrap/>
            <w:hideMark/>
          </w:tcPr>
          <w:p w14:paraId="63F4468E" w14:textId="77777777" w:rsidR="00B86FB3" w:rsidRPr="00FF756A" w:rsidRDefault="00B86FB3" w:rsidP="00B86FB3">
            <w:pPr>
              <w:rPr>
                <w:rFonts w:eastAsia="Times New Roman"/>
                <w:color w:val="FFFFFF" w:themeColor="background1"/>
                <w:sz w:val="20"/>
                <w:szCs w:val="20"/>
              </w:rPr>
            </w:pPr>
            <w:r w:rsidRPr="00FF756A">
              <w:rPr>
                <w:color w:val="FFFFFF" w:themeColor="background1"/>
                <w:sz w:val="20"/>
                <w:szCs w:val="20"/>
              </w:rPr>
              <w:t>Hidrogjeni</w:t>
            </w:r>
          </w:p>
        </w:tc>
        <w:tc>
          <w:tcPr>
            <w:tcW w:w="875" w:type="dxa"/>
            <w:tcBorders>
              <w:top w:val="nil"/>
              <w:left w:val="nil"/>
              <w:bottom w:val="single" w:sz="8" w:space="0" w:color="FFFFFF"/>
              <w:right w:val="single" w:sz="8" w:space="0" w:color="FFFFFF"/>
            </w:tcBorders>
            <w:shd w:val="clear" w:color="000000" w:fill="DBE5F1"/>
            <w:noWrap/>
            <w:hideMark/>
          </w:tcPr>
          <w:p w14:paraId="2D439A11" w14:textId="77777777" w:rsidR="00B86FB3" w:rsidRPr="00FF756A" w:rsidRDefault="00B86FB3" w:rsidP="00B86FB3">
            <w:pPr>
              <w:jc w:val="right"/>
              <w:rPr>
                <w:rFonts w:eastAsia="Times New Roman"/>
                <w:color w:val="000000"/>
                <w:sz w:val="20"/>
                <w:szCs w:val="20"/>
              </w:rPr>
            </w:pPr>
            <w:r w:rsidRPr="00FF756A">
              <w:rPr>
                <w:sz w:val="20"/>
                <w:szCs w:val="20"/>
              </w:rPr>
              <w:t xml:space="preserve"> -   </w:t>
            </w:r>
          </w:p>
        </w:tc>
        <w:tc>
          <w:tcPr>
            <w:tcW w:w="876" w:type="dxa"/>
            <w:tcBorders>
              <w:top w:val="nil"/>
              <w:left w:val="nil"/>
              <w:bottom w:val="single" w:sz="8" w:space="0" w:color="FFFFFF"/>
              <w:right w:val="single" w:sz="8" w:space="0" w:color="FFFFFF"/>
            </w:tcBorders>
            <w:shd w:val="clear" w:color="000000" w:fill="DBE5F1"/>
            <w:noWrap/>
            <w:hideMark/>
          </w:tcPr>
          <w:p w14:paraId="157A47E8" w14:textId="77777777" w:rsidR="00B86FB3" w:rsidRPr="00FF756A" w:rsidRDefault="00B86FB3" w:rsidP="00B86FB3">
            <w:pPr>
              <w:jc w:val="right"/>
              <w:rPr>
                <w:rFonts w:eastAsia="Times New Roman"/>
                <w:color w:val="000000"/>
                <w:sz w:val="20"/>
                <w:szCs w:val="20"/>
              </w:rPr>
            </w:pPr>
            <w:r w:rsidRPr="00FF756A">
              <w:rPr>
                <w:sz w:val="20"/>
                <w:szCs w:val="20"/>
              </w:rPr>
              <w:t xml:space="preserve"> -   </w:t>
            </w:r>
          </w:p>
        </w:tc>
        <w:tc>
          <w:tcPr>
            <w:tcW w:w="876" w:type="dxa"/>
            <w:tcBorders>
              <w:top w:val="nil"/>
              <w:left w:val="nil"/>
              <w:bottom w:val="single" w:sz="8" w:space="0" w:color="FFFFFF"/>
              <w:right w:val="single" w:sz="8" w:space="0" w:color="FFFFFF"/>
            </w:tcBorders>
            <w:shd w:val="clear" w:color="000000" w:fill="DBE5F1"/>
            <w:noWrap/>
            <w:hideMark/>
          </w:tcPr>
          <w:p w14:paraId="0F255EEF" w14:textId="77777777" w:rsidR="00B86FB3" w:rsidRPr="00FF756A" w:rsidRDefault="00B86FB3" w:rsidP="00B86FB3">
            <w:pPr>
              <w:jc w:val="right"/>
              <w:rPr>
                <w:rFonts w:eastAsia="Times New Roman"/>
                <w:color w:val="000000"/>
                <w:sz w:val="20"/>
                <w:szCs w:val="20"/>
              </w:rPr>
            </w:pPr>
            <w:r w:rsidRPr="00FF756A">
              <w:rPr>
                <w:sz w:val="20"/>
                <w:szCs w:val="20"/>
              </w:rPr>
              <w:t xml:space="preserve"> -   </w:t>
            </w:r>
          </w:p>
        </w:tc>
        <w:tc>
          <w:tcPr>
            <w:tcW w:w="876" w:type="dxa"/>
            <w:tcBorders>
              <w:top w:val="nil"/>
              <w:left w:val="nil"/>
              <w:bottom w:val="single" w:sz="8" w:space="0" w:color="FFFFFF"/>
              <w:right w:val="single" w:sz="8" w:space="0" w:color="FFFFFF"/>
            </w:tcBorders>
            <w:shd w:val="clear" w:color="000000" w:fill="DBE5F1"/>
            <w:noWrap/>
            <w:hideMark/>
          </w:tcPr>
          <w:p w14:paraId="27B7AD86" w14:textId="77777777" w:rsidR="00B86FB3" w:rsidRPr="00FF756A" w:rsidRDefault="00B86FB3" w:rsidP="00B86FB3">
            <w:pPr>
              <w:jc w:val="right"/>
              <w:rPr>
                <w:rFonts w:eastAsia="Times New Roman"/>
                <w:color w:val="000000"/>
                <w:sz w:val="20"/>
                <w:szCs w:val="20"/>
              </w:rPr>
            </w:pPr>
            <w:r w:rsidRPr="00FF756A">
              <w:rPr>
                <w:sz w:val="20"/>
                <w:szCs w:val="20"/>
              </w:rPr>
              <w:t xml:space="preserve"> -   </w:t>
            </w:r>
          </w:p>
        </w:tc>
        <w:tc>
          <w:tcPr>
            <w:tcW w:w="876" w:type="dxa"/>
            <w:tcBorders>
              <w:top w:val="nil"/>
              <w:left w:val="nil"/>
              <w:bottom w:val="single" w:sz="8" w:space="0" w:color="FFFFFF"/>
              <w:right w:val="single" w:sz="8" w:space="0" w:color="FFFFFF"/>
            </w:tcBorders>
            <w:shd w:val="clear" w:color="000000" w:fill="DBE5F1"/>
            <w:noWrap/>
            <w:hideMark/>
          </w:tcPr>
          <w:p w14:paraId="4C88B815" w14:textId="77777777" w:rsidR="00B86FB3" w:rsidRPr="00FF756A" w:rsidRDefault="00B86FB3" w:rsidP="00B86FB3">
            <w:pPr>
              <w:jc w:val="right"/>
              <w:rPr>
                <w:rFonts w:eastAsia="Times New Roman"/>
                <w:color w:val="000000"/>
                <w:sz w:val="20"/>
                <w:szCs w:val="20"/>
              </w:rPr>
            </w:pPr>
            <w:r w:rsidRPr="00FF756A">
              <w:rPr>
                <w:sz w:val="20"/>
                <w:szCs w:val="20"/>
              </w:rPr>
              <w:t xml:space="preserve"> -   </w:t>
            </w:r>
          </w:p>
        </w:tc>
        <w:tc>
          <w:tcPr>
            <w:tcW w:w="876" w:type="dxa"/>
            <w:tcBorders>
              <w:top w:val="nil"/>
              <w:left w:val="nil"/>
              <w:bottom w:val="single" w:sz="8" w:space="0" w:color="FFFFFF"/>
              <w:right w:val="single" w:sz="8" w:space="0" w:color="FFFFFF"/>
            </w:tcBorders>
            <w:shd w:val="clear" w:color="auto" w:fill="4472C4" w:themeFill="accent1"/>
            <w:noWrap/>
            <w:hideMark/>
          </w:tcPr>
          <w:p w14:paraId="340AE5A1"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0,1 </w:t>
            </w:r>
          </w:p>
        </w:tc>
        <w:tc>
          <w:tcPr>
            <w:tcW w:w="876" w:type="dxa"/>
            <w:tcBorders>
              <w:top w:val="nil"/>
              <w:left w:val="nil"/>
              <w:bottom w:val="single" w:sz="8" w:space="0" w:color="FFFFFF"/>
              <w:right w:val="single" w:sz="8" w:space="0" w:color="FFFFFF"/>
            </w:tcBorders>
            <w:shd w:val="clear" w:color="000000" w:fill="DBE5F1"/>
            <w:noWrap/>
            <w:hideMark/>
          </w:tcPr>
          <w:p w14:paraId="21182FD3" w14:textId="77777777" w:rsidR="00B86FB3" w:rsidRPr="00FF756A" w:rsidRDefault="00B86FB3" w:rsidP="00B86FB3">
            <w:pPr>
              <w:jc w:val="right"/>
              <w:rPr>
                <w:rFonts w:eastAsia="Times New Roman"/>
                <w:color w:val="000000"/>
                <w:sz w:val="20"/>
                <w:szCs w:val="20"/>
              </w:rPr>
            </w:pPr>
            <w:r w:rsidRPr="00FF756A">
              <w:rPr>
                <w:sz w:val="20"/>
                <w:szCs w:val="20"/>
              </w:rPr>
              <w:t xml:space="preserve"> 10,6 </w:t>
            </w:r>
          </w:p>
        </w:tc>
        <w:tc>
          <w:tcPr>
            <w:tcW w:w="876" w:type="dxa"/>
            <w:tcBorders>
              <w:top w:val="nil"/>
              <w:left w:val="nil"/>
              <w:bottom w:val="single" w:sz="8" w:space="0" w:color="FFFFFF"/>
              <w:right w:val="single" w:sz="8" w:space="0" w:color="FFFFFF"/>
            </w:tcBorders>
            <w:shd w:val="clear" w:color="000000" w:fill="DBE5F1"/>
            <w:noWrap/>
            <w:hideMark/>
          </w:tcPr>
          <w:p w14:paraId="37EF7F6E" w14:textId="77777777" w:rsidR="00B86FB3" w:rsidRPr="00FF756A" w:rsidRDefault="00B86FB3" w:rsidP="00B86FB3">
            <w:pPr>
              <w:jc w:val="right"/>
              <w:rPr>
                <w:rFonts w:eastAsia="Times New Roman"/>
                <w:color w:val="000000"/>
                <w:sz w:val="20"/>
                <w:szCs w:val="20"/>
              </w:rPr>
            </w:pPr>
            <w:r w:rsidRPr="00FF756A">
              <w:rPr>
                <w:sz w:val="20"/>
                <w:szCs w:val="20"/>
              </w:rPr>
              <w:t xml:space="preserve"> 104,0 </w:t>
            </w:r>
          </w:p>
        </w:tc>
      </w:tr>
      <w:tr w:rsidR="00B86FB3" w:rsidRPr="00FF756A" w14:paraId="76665563" w14:textId="77777777" w:rsidTr="006A3266">
        <w:trPr>
          <w:trHeight w:val="304"/>
        </w:trPr>
        <w:tc>
          <w:tcPr>
            <w:tcW w:w="2238" w:type="dxa"/>
            <w:tcBorders>
              <w:top w:val="nil"/>
              <w:left w:val="single" w:sz="8" w:space="0" w:color="FFFFFF"/>
              <w:bottom w:val="single" w:sz="8" w:space="0" w:color="FFFFFF"/>
              <w:right w:val="single" w:sz="8" w:space="0" w:color="FFFFFF"/>
            </w:tcBorders>
            <w:shd w:val="clear" w:color="000000" w:fill="4F81BD"/>
            <w:noWrap/>
            <w:hideMark/>
          </w:tcPr>
          <w:p w14:paraId="499E8068" w14:textId="77777777" w:rsidR="00B86FB3" w:rsidRPr="00FF756A" w:rsidRDefault="00B86FB3" w:rsidP="00B86FB3">
            <w:pPr>
              <w:rPr>
                <w:rFonts w:eastAsia="Times New Roman"/>
                <w:color w:val="FFFFFF" w:themeColor="background1"/>
                <w:sz w:val="20"/>
                <w:szCs w:val="20"/>
              </w:rPr>
            </w:pPr>
            <w:r w:rsidRPr="00FF756A">
              <w:rPr>
                <w:color w:val="FFFFFF" w:themeColor="background1"/>
                <w:sz w:val="20"/>
                <w:szCs w:val="20"/>
              </w:rPr>
              <w:t>Mbetjet e ngurta urbane</w:t>
            </w:r>
          </w:p>
        </w:tc>
        <w:tc>
          <w:tcPr>
            <w:tcW w:w="875" w:type="dxa"/>
            <w:tcBorders>
              <w:top w:val="nil"/>
              <w:left w:val="nil"/>
              <w:bottom w:val="single" w:sz="8" w:space="0" w:color="FFFFFF"/>
              <w:right w:val="single" w:sz="8" w:space="0" w:color="FFFFFF"/>
            </w:tcBorders>
            <w:shd w:val="clear" w:color="000000" w:fill="B8CCE4"/>
            <w:noWrap/>
            <w:hideMark/>
          </w:tcPr>
          <w:p w14:paraId="60B0F46A" w14:textId="77777777" w:rsidR="00B86FB3" w:rsidRPr="00FF756A" w:rsidRDefault="00B86FB3" w:rsidP="00B86FB3">
            <w:pPr>
              <w:jc w:val="right"/>
              <w:rPr>
                <w:rFonts w:eastAsia="Times New Roman"/>
                <w:color w:val="000000"/>
                <w:sz w:val="20"/>
                <w:szCs w:val="20"/>
              </w:rPr>
            </w:pPr>
            <w:r w:rsidRPr="00FF756A">
              <w:rPr>
                <w:sz w:val="20"/>
                <w:szCs w:val="20"/>
              </w:rPr>
              <w:t xml:space="preserve"> -   </w:t>
            </w:r>
          </w:p>
        </w:tc>
        <w:tc>
          <w:tcPr>
            <w:tcW w:w="876" w:type="dxa"/>
            <w:tcBorders>
              <w:top w:val="nil"/>
              <w:left w:val="nil"/>
              <w:bottom w:val="single" w:sz="8" w:space="0" w:color="FFFFFF"/>
              <w:right w:val="single" w:sz="8" w:space="0" w:color="FFFFFF"/>
            </w:tcBorders>
            <w:shd w:val="clear" w:color="000000" w:fill="B8CCE4"/>
            <w:noWrap/>
            <w:hideMark/>
          </w:tcPr>
          <w:p w14:paraId="7F9D7027" w14:textId="77777777" w:rsidR="00B86FB3" w:rsidRPr="00FF756A" w:rsidRDefault="00B86FB3" w:rsidP="00B86FB3">
            <w:pPr>
              <w:jc w:val="right"/>
              <w:rPr>
                <w:rFonts w:eastAsia="Times New Roman"/>
                <w:color w:val="000000"/>
                <w:sz w:val="20"/>
                <w:szCs w:val="20"/>
              </w:rPr>
            </w:pPr>
            <w:r w:rsidRPr="00FF756A">
              <w:rPr>
                <w:sz w:val="20"/>
                <w:szCs w:val="20"/>
              </w:rPr>
              <w:t xml:space="preserve"> -   </w:t>
            </w:r>
          </w:p>
        </w:tc>
        <w:tc>
          <w:tcPr>
            <w:tcW w:w="876" w:type="dxa"/>
            <w:tcBorders>
              <w:top w:val="nil"/>
              <w:left w:val="nil"/>
              <w:bottom w:val="single" w:sz="8" w:space="0" w:color="FFFFFF"/>
              <w:right w:val="single" w:sz="8" w:space="0" w:color="FFFFFF"/>
            </w:tcBorders>
            <w:shd w:val="clear" w:color="000000" w:fill="B8CCE4"/>
            <w:noWrap/>
            <w:hideMark/>
          </w:tcPr>
          <w:p w14:paraId="55E48CB7" w14:textId="77777777" w:rsidR="00B86FB3" w:rsidRPr="00FF756A" w:rsidRDefault="00B86FB3" w:rsidP="00B86FB3">
            <w:pPr>
              <w:jc w:val="right"/>
              <w:rPr>
                <w:rFonts w:eastAsia="Times New Roman"/>
                <w:color w:val="000000"/>
                <w:sz w:val="20"/>
                <w:szCs w:val="20"/>
              </w:rPr>
            </w:pPr>
            <w:r w:rsidRPr="00FF756A">
              <w:rPr>
                <w:sz w:val="20"/>
                <w:szCs w:val="20"/>
              </w:rPr>
              <w:t xml:space="preserve"> -   </w:t>
            </w:r>
          </w:p>
        </w:tc>
        <w:tc>
          <w:tcPr>
            <w:tcW w:w="876" w:type="dxa"/>
            <w:tcBorders>
              <w:top w:val="nil"/>
              <w:left w:val="nil"/>
              <w:bottom w:val="single" w:sz="8" w:space="0" w:color="FFFFFF"/>
              <w:right w:val="single" w:sz="8" w:space="0" w:color="FFFFFF"/>
            </w:tcBorders>
            <w:shd w:val="clear" w:color="000000" w:fill="B8CCE4"/>
            <w:noWrap/>
            <w:hideMark/>
          </w:tcPr>
          <w:p w14:paraId="3BF72EC2" w14:textId="77777777" w:rsidR="00B86FB3" w:rsidRPr="00FF756A" w:rsidRDefault="00B86FB3" w:rsidP="00B86FB3">
            <w:pPr>
              <w:jc w:val="right"/>
              <w:rPr>
                <w:rFonts w:eastAsia="Times New Roman"/>
                <w:color w:val="000000"/>
                <w:sz w:val="20"/>
                <w:szCs w:val="20"/>
              </w:rPr>
            </w:pPr>
            <w:r w:rsidRPr="00FF756A">
              <w:rPr>
                <w:sz w:val="20"/>
                <w:szCs w:val="20"/>
              </w:rPr>
              <w:t xml:space="preserve"> 3,6 </w:t>
            </w:r>
          </w:p>
        </w:tc>
        <w:tc>
          <w:tcPr>
            <w:tcW w:w="876" w:type="dxa"/>
            <w:tcBorders>
              <w:top w:val="nil"/>
              <w:left w:val="nil"/>
              <w:bottom w:val="single" w:sz="8" w:space="0" w:color="FFFFFF"/>
              <w:right w:val="single" w:sz="8" w:space="0" w:color="FFFFFF"/>
            </w:tcBorders>
            <w:shd w:val="clear" w:color="000000" w:fill="B8CCE4"/>
            <w:noWrap/>
            <w:hideMark/>
          </w:tcPr>
          <w:p w14:paraId="14C99FFF" w14:textId="77777777" w:rsidR="00B86FB3" w:rsidRPr="00FF756A" w:rsidRDefault="00B86FB3" w:rsidP="00B86FB3">
            <w:pPr>
              <w:jc w:val="right"/>
              <w:rPr>
                <w:rFonts w:eastAsia="Times New Roman"/>
                <w:color w:val="000000"/>
                <w:sz w:val="20"/>
                <w:szCs w:val="20"/>
              </w:rPr>
            </w:pPr>
            <w:r w:rsidRPr="00FF756A">
              <w:rPr>
                <w:sz w:val="20"/>
                <w:szCs w:val="20"/>
              </w:rPr>
              <w:t xml:space="preserve"> 3,6 </w:t>
            </w:r>
          </w:p>
        </w:tc>
        <w:tc>
          <w:tcPr>
            <w:tcW w:w="876" w:type="dxa"/>
            <w:tcBorders>
              <w:top w:val="nil"/>
              <w:left w:val="nil"/>
              <w:bottom w:val="single" w:sz="8" w:space="0" w:color="FFFFFF"/>
              <w:right w:val="single" w:sz="8" w:space="0" w:color="FFFFFF"/>
            </w:tcBorders>
            <w:shd w:val="clear" w:color="auto" w:fill="4472C4" w:themeFill="accent1"/>
            <w:noWrap/>
            <w:hideMark/>
          </w:tcPr>
          <w:p w14:paraId="160BB31C"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3,6 </w:t>
            </w:r>
          </w:p>
        </w:tc>
        <w:tc>
          <w:tcPr>
            <w:tcW w:w="876" w:type="dxa"/>
            <w:tcBorders>
              <w:top w:val="nil"/>
              <w:left w:val="nil"/>
              <w:bottom w:val="single" w:sz="8" w:space="0" w:color="FFFFFF"/>
              <w:right w:val="single" w:sz="8" w:space="0" w:color="FFFFFF"/>
            </w:tcBorders>
            <w:shd w:val="clear" w:color="000000" w:fill="B8CCE4"/>
            <w:noWrap/>
            <w:hideMark/>
          </w:tcPr>
          <w:p w14:paraId="59E2F8DC" w14:textId="77777777" w:rsidR="00B86FB3" w:rsidRPr="00FF756A" w:rsidRDefault="00B86FB3" w:rsidP="00B86FB3">
            <w:pPr>
              <w:jc w:val="right"/>
              <w:rPr>
                <w:rFonts w:eastAsia="Times New Roman"/>
                <w:color w:val="000000"/>
                <w:sz w:val="20"/>
                <w:szCs w:val="20"/>
              </w:rPr>
            </w:pPr>
            <w:r w:rsidRPr="00FF756A">
              <w:rPr>
                <w:sz w:val="20"/>
                <w:szCs w:val="20"/>
              </w:rPr>
              <w:t xml:space="preserve"> 3,6 </w:t>
            </w:r>
          </w:p>
        </w:tc>
        <w:tc>
          <w:tcPr>
            <w:tcW w:w="876" w:type="dxa"/>
            <w:tcBorders>
              <w:top w:val="nil"/>
              <w:left w:val="nil"/>
              <w:bottom w:val="single" w:sz="8" w:space="0" w:color="FFFFFF"/>
              <w:right w:val="single" w:sz="8" w:space="0" w:color="FFFFFF"/>
            </w:tcBorders>
            <w:shd w:val="clear" w:color="000000" w:fill="B8CCE4"/>
            <w:noWrap/>
            <w:hideMark/>
          </w:tcPr>
          <w:p w14:paraId="7371F8E5" w14:textId="77777777" w:rsidR="00B86FB3" w:rsidRPr="00FF756A" w:rsidRDefault="00B86FB3" w:rsidP="00B86FB3">
            <w:pPr>
              <w:jc w:val="right"/>
              <w:rPr>
                <w:rFonts w:eastAsia="Times New Roman"/>
                <w:color w:val="000000"/>
                <w:sz w:val="20"/>
                <w:szCs w:val="20"/>
              </w:rPr>
            </w:pPr>
            <w:r w:rsidRPr="00FF756A">
              <w:rPr>
                <w:sz w:val="20"/>
                <w:szCs w:val="20"/>
              </w:rPr>
              <w:t xml:space="preserve"> 3,6 </w:t>
            </w:r>
          </w:p>
        </w:tc>
      </w:tr>
      <w:tr w:rsidR="00B86FB3" w:rsidRPr="00FF756A" w14:paraId="18EC45EF" w14:textId="77777777" w:rsidTr="006A3266">
        <w:trPr>
          <w:trHeight w:val="304"/>
        </w:trPr>
        <w:tc>
          <w:tcPr>
            <w:tcW w:w="2238" w:type="dxa"/>
            <w:tcBorders>
              <w:top w:val="nil"/>
              <w:left w:val="single" w:sz="8" w:space="0" w:color="FFFFFF"/>
              <w:bottom w:val="single" w:sz="8" w:space="0" w:color="FFFFFF"/>
              <w:right w:val="single" w:sz="8" w:space="0" w:color="FFFFFF"/>
            </w:tcBorders>
            <w:shd w:val="clear" w:color="000000" w:fill="4F81BD"/>
            <w:noWrap/>
            <w:hideMark/>
          </w:tcPr>
          <w:p w14:paraId="4EE69BE5" w14:textId="77777777" w:rsidR="00B86FB3" w:rsidRPr="00FF756A" w:rsidRDefault="00B86FB3" w:rsidP="00B86FB3">
            <w:pPr>
              <w:rPr>
                <w:rFonts w:eastAsia="Times New Roman"/>
                <w:color w:val="FFFFFF" w:themeColor="background1"/>
                <w:sz w:val="20"/>
                <w:szCs w:val="20"/>
              </w:rPr>
            </w:pPr>
            <w:r w:rsidRPr="00FF756A">
              <w:rPr>
                <w:color w:val="FFFFFF" w:themeColor="background1"/>
                <w:sz w:val="20"/>
                <w:szCs w:val="20"/>
              </w:rPr>
              <w:t>Ligroina</w:t>
            </w:r>
          </w:p>
        </w:tc>
        <w:tc>
          <w:tcPr>
            <w:tcW w:w="875" w:type="dxa"/>
            <w:tcBorders>
              <w:top w:val="nil"/>
              <w:left w:val="nil"/>
              <w:bottom w:val="single" w:sz="8" w:space="0" w:color="FFFFFF"/>
              <w:right w:val="single" w:sz="8" w:space="0" w:color="FFFFFF"/>
            </w:tcBorders>
            <w:shd w:val="clear" w:color="000000" w:fill="DBE5F1"/>
            <w:noWrap/>
            <w:hideMark/>
          </w:tcPr>
          <w:p w14:paraId="7FF76D70" w14:textId="77777777" w:rsidR="00B86FB3" w:rsidRPr="00FF756A" w:rsidRDefault="00B86FB3" w:rsidP="00B86FB3">
            <w:pPr>
              <w:jc w:val="right"/>
              <w:rPr>
                <w:rFonts w:eastAsia="Times New Roman"/>
                <w:color w:val="000000"/>
                <w:sz w:val="20"/>
                <w:szCs w:val="20"/>
              </w:rPr>
            </w:pPr>
            <w:r w:rsidRPr="00FF756A">
              <w:rPr>
                <w:sz w:val="20"/>
                <w:szCs w:val="20"/>
              </w:rPr>
              <w:t xml:space="preserve"> -24,2 </w:t>
            </w:r>
          </w:p>
        </w:tc>
        <w:tc>
          <w:tcPr>
            <w:tcW w:w="876" w:type="dxa"/>
            <w:tcBorders>
              <w:top w:val="nil"/>
              <w:left w:val="nil"/>
              <w:bottom w:val="single" w:sz="8" w:space="0" w:color="FFFFFF"/>
              <w:right w:val="single" w:sz="8" w:space="0" w:color="FFFFFF"/>
            </w:tcBorders>
            <w:shd w:val="clear" w:color="000000" w:fill="DBE5F1"/>
            <w:noWrap/>
            <w:hideMark/>
          </w:tcPr>
          <w:p w14:paraId="522E6C4E" w14:textId="77777777" w:rsidR="00B86FB3" w:rsidRPr="00FF756A" w:rsidRDefault="00B86FB3" w:rsidP="00B86FB3">
            <w:pPr>
              <w:jc w:val="right"/>
              <w:rPr>
                <w:rFonts w:eastAsia="Times New Roman"/>
                <w:color w:val="000000"/>
                <w:sz w:val="20"/>
                <w:szCs w:val="20"/>
              </w:rPr>
            </w:pPr>
            <w:r w:rsidRPr="00FF756A">
              <w:rPr>
                <w:sz w:val="20"/>
                <w:szCs w:val="20"/>
              </w:rPr>
              <w:t xml:space="preserve"> -24,2 </w:t>
            </w:r>
          </w:p>
        </w:tc>
        <w:tc>
          <w:tcPr>
            <w:tcW w:w="876" w:type="dxa"/>
            <w:tcBorders>
              <w:top w:val="nil"/>
              <w:left w:val="nil"/>
              <w:bottom w:val="single" w:sz="8" w:space="0" w:color="FFFFFF"/>
              <w:right w:val="single" w:sz="8" w:space="0" w:color="FFFFFF"/>
            </w:tcBorders>
            <w:shd w:val="clear" w:color="000000" w:fill="DBE5F1"/>
            <w:noWrap/>
            <w:hideMark/>
          </w:tcPr>
          <w:p w14:paraId="59FDC7AC" w14:textId="77777777" w:rsidR="00B86FB3" w:rsidRPr="00FF756A" w:rsidRDefault="00B86FB3" w:rsidP="00B86FB3">
            <w:pPr>
              <w:jc w:val="right"/>
              <w:rPr>
                <w:rFonts w:eastAsia="Times New Roman"/>
                <w:color w:val="000000"/>
                <w:sz w:val="20"/>
                <w:szCs w:val="20"/>
              </w:rPr>
            </w:pPr>
            <w:r w:rsidRPr="00FF756A">
              <w:rPr>
                <w:sz w:val="20"/>
                <w:szCs w:val="20"/>
              </w:rPr>
              <w:t xml:space="preserve"> -24,2 </w:t>
            </w:r>
          </w:p>
        </w:tc>
        <w:tc>
          <w:tcPr>
            <w:tcW w:w="876" w:type="dxa"/>
            <w:tcBorders>
              <w:top w:val="nil"/>
              <w:left w:val="nil"/>
              <w:bottom w:val="single" w:sz="8" w:space="0" w:color="FFFFFF"/>
              <w:right w:val="single" w:sz="8" w:space="0" w:color="FFFFFF"/>
            </w:tcBorders>
            <w:shd w:val="clear" w:color="000000" w:fill="DBE5F1"/>
            <w:noWrap/>
            <w:hideMark/>
          </w:tcPr>
          <w:p w14:paraId="77E1FB6E" w14:textId="77777777" w:rsidR="00B86FB3" w:rsidRPr="00FF756A" w:rsidRDefault="00B86FB3" w:rsidP="00B86FB3">
            <w:pPr>
              <w:jc w:val="right"/>
              <w:rPr>
                <w:rFonts w:eastAsia="Times New Roman"/>
                <w:color w:val="000000"/>
                <w:sz w:val="20"/>
                <w:szCs w:val="20"/>
              </w:rPr>
            </w:pPr>
            <w:r w:rsidRPr="00FF756A">
              <w:rPr>
                <w:sz w:val="20"/>
                <w:szCs w:val="20"/>
              </w:rPr>
              <w:t xml:space="preserve"> -62,6 </w:t>
            </w:r>
          </w:p>
        </w:tc>
        <w:tc>
          <w:tcPr>
            <w:tcW w:w="876" w:type="dxa"/>
            <w:tcBorders>
              <w:top w:val="nil"/>
              <w:left w:val="nil"/>
              <w:bottom w:val="single" w:sz="8" w:space="0" w:color="FFFFFF"/>
              <w:right w:val="single" w:sz="8" w:space="0" w:color="FFFFFF"/>
            </w:tcBorders>
            <w:shd w:val="clear" w:color="000000" w:fill="DBE5F1"/>
            <w:noWrap/>
            <w:hideMark/>
          </w:tcPr>
          <w:p w14:paraId="3377A505" w14:textId="77777777" w:rsidR="00B86FB3" w:rsidRPr="00FF756A" w:rsidRDefault="00B86FB3" w:rsidP="00B86FB3">
            <w:pPr>
              <w:jc w:val="right"/>
              <w:rPr>
                <w:rFonts w:eastAsia="Times New Roman"/>
                <w:color w:val="000000"/>
                <w:sz w:val="20"/>
                <w:szCs w:val="20"/>
              </w:rPr>
            </w:pPr>
            <w:r w:rsidRPr="00FF756A">
              <w:rPr>
                <w:sz w:val="20"/>
                <w:szCs w:val="20"/>
              </w:rPr>
              <w:t xml:space="preserve"> -62,6 </w:t>
            </w:r>
          </w:p>
        </w:tc>
        <w:tc>
          <w:tcPr>
            <w:tcW w:w="876" w:type="dxa"/>
            <w:tcBorders>
              <w:top w:val="nil"/>
              <w:left w:val="nil"/>
              <w:bottom w:val="single" w:sz="8" w:space="0" w:color="FFFFFF"/>
              <w:right w:val="single" w:sz="8" w:space="0" w:color="FFFFFF"/>
            </w:tcBorders>
            <w:shd w:val="clear" w:color="auto" w:fill="4472C4" w:themeFill="accent1"/>
            <w:noWrap/>
            <w:hideMark/>
          </w:tcPr>
          <w:p w14:paraId="1002869D"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-62,6 </w:t>
            </w:r>
          </w:p>
        </w:tc>
        <w:tc>
          <w:tcPr>
            <w:tcW w:w="876" w:type="dxa"/>
            <w:tcBorders>
              <w:top w:val="nil"/>
              <w:left w:val="nil"/>
              <w:bottom w:val="single" w:sz="8" w:space="0" w:color="FFFFFF"/>
              <w:right w:val="single" w:sz="8" w:space="0" w:color="FFFFFF"/>
            </w:tcBorders>
            <w:shd w:val="clear" w:color="000000" w:fill="DBE5F1"/>
            <w:noWrap/>
            <w:hideMark/>
          </w:tcPr>
          <w:p w14:paraId="4BF2E7B0" w14:textId="77777777" w:rsidR="00B86FB3" w:rsidRPr="00FF756A" w:rsidRDefault="00B86FB3" w:rsidP="00B86FB3">
            <w:pPr>
              <w:jc w:val="right"/>
              <w:rPr>
                <w:rFonts w:eastAsia="Times New Roman"/>
                <w:color w:val="000000"/>
                <w:sz w:val="20"/>
                <w:szCs w:val="20"/>
              </w:rPr>
            </w:pPr>
            <w:r w:rsidRPr="00FF756A">
              <w:rPr>
                <w:sz w:val="20"/>
                <w:szCs w:val="20"/>
              </w:rPr>
              <w:t xml:space="preserve"> -62,6 </w:t>
            </w:r>
          </w:p>
        </w:tc>
        <w:tc>
          <w:tcPr>
            <w:tcW w:w="876" w:type="dxa"/>
            <w:tcBorders>
              <w:top w:val="nil"/>
              <w:left w:val="nil"/>
              <w:bottom w:val="single" w:sz="8" w:space="0" w:color="FFFFFF"/>
              <w:right w:val="single" w:sz="8" w:space="0" w:color="FFFFFF"/>
            </w:tcBorders>
            <w:shd w:val="clear" w:color="000000" w:fill="DBE5F1"/>
            <w:noWrap/>
            <w:hideMark/>
          </w:tcPr>
          <w:p w14:paraId="40AF1CAF" w14:textId="77777777" w:rsidR="00B86FB3" w:rsidRPr="00FF756A" w:rsidRDefault="00B86FB3" w:rsidP="00B86FB3">
            <w:pPr>
              <w:jc w:val="right"/>
              <w:rPr>
                <w:rFonts w:eastAsia="Times New Roman"/>
                <w:color w:val="000000"/>
                <w:sz w:val="20"/>
                <w:szCs w:val="20"/>
              </w:rPr>
            </w:pPr>
            <w:r w:rsidRPr="00FF756A">
              <w:rPr>
                <w:sz w:val="20"/>
                <w:szCs w:val="20"/>
              </w:rPr>
              <w:t xml:space="preserve"> -62,6 </w:t>
            </w:r>
          </w:p>
        </w:tc>
      </w:tr>
      <w:tr w:rsidR="00B86FB3" w:rsidRPr="00FF756A" w14:paraId="1523EA97" w14:textId="77777777" w:rsidTr="006A3266">
        <w:trPr>
          <w:trHeight w:val="304"/>
        </w:trPr>
        <w:tc>
          <w:tcPr>
            <w:tcW w:w="2238" w:type="dxa"/>
            <w:tcBorders>
              <w:top w:val="nil"/>
              <w:left w:val="single" w:sz="8" w:space="0" w:color="FFFFFF"/>
              <w:bottom w:val="single" w:sz="8" w:space="0" w:color="FFFFFF"/>
              <w:right w:val="single" w:sz="8" w:space="0" w:color="FFFFFF"/>
            </w:tcBorders>
            <w:shd w:val="clear" w:color="000000" w:fill="4F81BD"/>
            <w:noWrap/>
            <w:hideMark/>
          </w:tcPr>
          <w:p w14:paraId="3B43ABEE" w14:textId="77777777" w:rsidR="00B86FB3" w:rsidRPr="00FF756A" w:rsidRDefault="00B86FB3" w:rsidP="00B86FB3">
            <w:pPr>
              <w:rPr>
                <w:rFonts w:eastAsia="Times New Roman"/>
                <w:color w:val="FFFFFF" w:themeColor="background1"/>
                <w:sz w:val="20"/>
                <w:szCs w:val="20"/>
              </w:rPr>
            </w:pPr>
            <w:r w:rsidRPr="00FF756A">
              <w:rPr>
                <w:color w:val="FFFFFF" w:themeColor="background1"/>
                <w:sz w:val="20"/>
                <w:szCs w:val="20"/>
              </w:rPr>
              <w:t>Bitumi</w:t>
            </w:r>
          </w:p>
        </w:tc>
        <w:tc>
          <w:tcPr>
            <w:tcW w:w="875" w:type="dxa"/>
            <w:tcBorders>
              <w:top w:val="nil"/>
              <w:left w:val="nil"/>
              <w:bottom w:val="single" w:sz="8" w:space="0" w:color="FFFFFF"/>
              <w:right w:val="single" w:sz="8" w:space="0" w:color="FFFFFF"/>
            </w:tcBorders>
            <w:shd w:val="clear" w:color="000000" w:fill="B8CCE4"/>
            <w:noWrap/>
            <w:hideMark/>
          </w:tcPr>
          <w:p w14:paraId="2E279597" w14:textId="77777777" w:rsidR="00B86FB3" w:rsidRPr="00FF756A" w:rsidRDefault="00B86FB3" w:rsidP="00B86FB3">
            <w:pPr>
              <w:jc w:val="right"/>
              <w:rPr>
                <w:rFonts w:eastAsia="Times New Roman"/>
                <w:color w:val="000000"/>
                <w:sz w:val="20"/>
                <w:szCs w:val="20"/>
              </w:rPr>
            </w:pPr>
            <w:r w:rsidRPr="00FF756A">
              <w:rPr>
                <w:sz w:val="20"/>
                <w:szCs w:val="20"/>
              </w:rPr>
              <w:t xml:space="preserve"> -46,3 </w:t>
            </w:r>
          </w:p>
        </w:tc>
        <w:tc>
          <w:tcPr>
            <w:tcW w:w="876" w:type="dxa"/>
            <w:tcBorders>
              <w:top w:val="nil"/>
              <w:left w:val="nil"/>
              <w:bottom w:val="single" w:sz="8" w:space="0" w:color="FFFFFF"/>
              <w:right w:val="single" w:sz="8" w:space="0" w:color="FFFFFF"/>
            </w:tcBorders>
            <w:shd w:val="clear" w:color="000000" w:fill="B8CCE4"/>
            <w:noWrap/>
            <w:hideMark/>
          </w:tcPr>
          <w:p w14:paraId="3FA28A50" w14:textId="77777777" w:rsidR="00B86FB3" w:rsidRPr="00FF756A" w:rsidRDefault="00B86FB3" w:rsidP="00B86FB3">
            <w:pPr>
              <w:jc w:val="right"/>
              <w:rPr>
                <w:rFonts w:eastAsia="Times New Roman"/>
                <w:color w:val="000000"/>
                <w:sz w:val="20"/>
                <w:szCs w:val="20"/>
              </w:rPr>
            </w:pPr>
            <w:r w:rsidRPr="00FF756A">
              <w:rPr>
                <w:sz w:val="20"/>
                <w:szCs w:val="20"/>
              </w:rPr>
              <w:t xml:space="preserve"> -46,3 </w:t>
            </w:r>
          </w:p>
        </w:tc>
        <w:tc>
          <w:tcPr>
            <w:tcW w:w="876" w:type="dxa"/>
            <w:tcBorders>
              <w:top w:val="nil"/>
              <w:left w:val="nil"/>
              <w:bottom w:val="single" w:sz="8" w:space="0" w:color="FFFFFF"/>
              <w:right w:val="single" w:sz="8" w:space="0" w:color="FFFFFF"/>
            </w:tcBorders>
            <w:shd w:val="clear" w:color="000000" w:fill="B8CCE4"/>
            <w:noWrap/>
            <w:hideMark/>
          </w:tcPr>
          <w:p w14:paraId="59A0EB57" w14:textId="77777777" w:rsidR="00B86FB3" w:rsidRPr="00FF756A" w:rsidRDefault="00B86FB3" w:rsidP="00B86FB3">
            <w:pPr>
              <w:jc w:val="right"/>
              <w:rPr>
                <w:rFonts w:eastAsia="Times New Roman"/>
                <w:color w:val="000000"/>
                <w:sz w:val="20"/>
                <w:szCs w:val="20"/>
              </w:rPr>
            </w:pPr>
            <w:r w:rsidRPr="00FF756A">
              <w:rPr>
                <w:sz w:val="20"/>
                <w:szCs w:val="20"/>
              </w:rPr>
              <w:t xml:space="preserve"> -46,3 </w:t>
            </w:r>
          </w:p>
        </w:tc>
        <w:tc>
          <w:tcPr>
            <w:tcW w:w="876" w:type="dxa"/>
            <w:tcBorders>
              <w:top w:val="nil"/>
              <w:left w:val="nil"/>
              <w:bottom w:val="single" w:sz="8" w:space="0" w:color="FFFFFF"/>
              <w:right w:val="single" w:sz="8" w:space="0" w:color="FFFFFF"/>
            </w:tcBorders>
            <w:shd w:val="clear" w:color="000000" w:fill="B8CCE4"/>
            <w:noWrap/>
            <w:hideMark/>
          </w:tcPr>
          <w:p w14:paraId="0D713F00" w14:textId="77777777" w:rsidR="00B86FB3" w:rsidRPr="00FF756A" w:rsidRDefault="00B86FB3" w:rsidP="00B86FB3">
            <w:pPr>
              <w:jc w:val="right"/>
              <w:rPr>
                <w:rFonts w:eastAsia="Times New Roman"/>
                <w:color w:val="000000"/>
                <w:sz w:val="20"/>
                <w:szCs w:val="20"/>
              </w:rPr>
            </w:pPr>
            <w:r w:rsidRPr="00FF756A">
              <w:rPr>
                <w:sz w:val="20"/>
                <w:szCs w:val="20"/>
              </w:rPr>
              <w:t xml:space="preserve"> -120,0 </w:t>
            </w:r>
          </w:p>
        </w:tc>
        <w:tc>
          <w:tcPr>
            <w:tcW w:w="876" w:type="dxa"/>
            <w:tcBorders>
              <w:top w:val="nil"/>
              <w:left w:val="nil"/>
              <w:bottom w:val="single" w:sz="8" w:space="0" w:color="FFFFFF"/>
              <w:right w:val="single" w:sz="8" w:space="0" w:color="FFFFFF"/>
            </w:tcBorders>
            <w:shd w:val="clear" w:color="000000" w:fill="B8CCE4"/>
            <w:noWrap/>
            <w:hideMark/>
          </w:tcPr>
          <w:p w14:paraId="4C8AA709" w14:textId="77777777" w:rsidR="00B86FB3" w:rsidRPr="00FF756A" w:rsidRDefault="00B86FB3" w:rsidP="00B86FB3">
            <w:pPr>
              <w:jc w:val="right"/>
              <w:rPr>
                <w:rFonts w:eastAsia="Times New Roman"/>
                <w:color w:val="000000"/>
                <w:sz w:val="20"/>
                <w:szCs w:val="20"/>
              </w:rPr>
            </w:pPr>
            <w:r w:rsidRPr="00FF756A">
              <w:rPr>
                <w:sz w:val="20"/>
                <w:szCs w:val="20"/>
              </w:rPr>
              <w:t xml:space="preserve"> -120,0 </w:t>
            </w:r>
          </w:p>
        </w:tc>
        <w:tc>
          <w:tcPr>
            <w:tcW w:w="876" w:type="dxa"/>
            <w:tcBorders>
              <w:top w:val="nil"/>
              <w:left w:val="nil"/>
              <w:bottom w:val="single" w:sz="8" w:space="0" w:color="FFFFFF"/>
              <w:right w:val="single" w:sz="8" w:space="0" w:color="FFFFFF"/>
            </w:tcBorders>
            <w:shd w:val="clear" w:color="auto" w:fill="4472C4" w:themeFill="accent1"/>
            <w:noWrap/>
            <w:hideMark/>
          </w:tcPr>
          <w:p w14:paraId="7E36DB68"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-120,0 </w:t>
            </w:r>
          </w:p>
        </w:tc>
        <w:tc>
          <w:tcPr>
            <w:tcW w:w="876" w:type="dxa"/>
            <w:tcBorders>
              <w:top w:val="nil"/>
              <w:left w:val="nil"/>
              <w:bottom w:val="single" w:sz="8" w:space="0" w:color="FFFFFF"/>
              <w:right w:val="single" w:sz="8" w:space="0" w:color="FFFFFF"/>
            </w:tcBorders>
            <w:shd w:val="clear" w:color="000000" w:fill="B8CCE4"/>
            <w:noWrap/>
            <w:hideMark/>
          </w:tcPr>
          <w:p w14:paraId="198C2E81" w14:textId="77777777" w:rsidR="00B86FB3" w:rsidRPr="00FF756A" w:rsidRDefault="00B86FB3" w:rsidP="00B86FB3">
            <w:pPr>
              <w:jc w:val="right"/>
              <w:rPr>
                <w:rFonts w:eastAsia="Times New Roman"/>
                <w:color w:val="000000"/>
                <w:sz w:val="20"/>
                <w:szCs w:val="20"/>
              </w:rPr>
            </w:pPr>
            <w:r w:rsidRPr="00FF756A">
              <w:rPr>
                <w:sz w:val="20"/>
                <w:szCs w:val="20"/>
              </w:rPr>
              <w:t xml:space="preserve"> -120,0 </w:t>
            </w:r>
          </w:p>
        </w:tc>
        <w:tc>
          <w:tcPr>
            <w:tcW w:w="876" w:type="dxa"/>
            <w:tcBorders>
              <w:top w:val="nil"/>
              <w:left w:val="nil"/>
              <w:bottom w:val="single" w:sz="8" w:space="0" w:color="FFFFFF"/>
              <w:right w:val="single" w:sz="8" w:space="0" w:color="FFFFFF"/>
            </w:tcBorders>
            <w:shd w:val="clear" w:color="000000" w:fill="B8CCE4"/>
            <w:noWrap/>
            <w:hideMark/>
          </w:tcPr>
          <w:p w14:paraId="31E0B8F2" w14:textId="77777777" w:rsidR="00B86FB3" w:rsidRPr="00FF756A" w:rsidRDefault="00B86FB3" w:rsidP="00B86FB3">
            <w:pPr>
              <w:jc w:val="right"/>
              <w:rPr>
                <w:rFonts w:eastAsia="Times New Roman"/>
                <w:color w:val="000000"/>
                <w:sz w:val="20"/>
                <w:szCs w:val="20"/>
              </w:rPr>
            </w:pPr>
            <w:r w:rsidRPr="00FF756A">
              <w:rPr>
                <w:sz w:val="20"/>
                <w:szCs w:val="20"/>
              </w:rPr>
              <w:t xml:space="preserve"> -120,0 </w:t>
            </w:r>
          </w:p>
        </w:tc>
      </w:tr>
      <w:tr w:rsidR="00B86FB3" w:rsidRPr="00FF756A" w14:paraId="36733C3D" w14:textId="77777777" w:rsidTr="006A3266">
        <w:trPr>
          <w:trHeight w:val="304"/>
        </w:trPr>
        <w:tc>
          <w:tcPr>
            <w:tcW w:w="2238" w:type="dxa"/>
            <w:tcBorders>
              <w:top w:val="nil"/>
              <w:left w:val="single" w:sz="8" w:space="0" w:color="FFFFFF"/>
              <w:bottom w:val="single" w:sz="8" w:space="0" w:color="FFFFFF"/>
              <w:right w:val="single" w:sz="8" w:space="0" w:color="FFFFFF"/>
            </w:tcBorders>
            <w:shd w:val="clear" w:color="000000" w:fill="4F81BD"/>
            <w:noWrap/>
            <w:hideMark/>
          </w:tcPr>
          <w:p w14:paraId="1DEB720F" w14:textId="77777777" w:rsidR="00B86FB3" w:rsidRPr="00FF756A" w:rsidRDefault="00B86FB3" w:rsidP="00B86FB3">
            <w:pPr>
              <w:rPr>
                <w:rFonts w:eastAsia="Times New Roman"/>
                <w:color w:val="FFFFFF" w:themeColor="background1"/>
                <w:sz w:val="20"/>
                <w:szCs w:val="20"/>
              </w:rPr>
            </w:pPr>
            <w:r w:rsidRPr="00FF756A">
              <w:rPr>
                <w:color w:val="FFFFFF" w:themeColor="background1"/>
                <w:sz w:val="20"/>
                <w:szCs w:val="20"/>
              </w:rPr>
              <w:t>Koksi i naftës</w:t>
            </w:r>
          </w:p>
        </w:tc>
        <w:tc>
          <w:tcPr>
            <w:tcW w:w="875" w:type="dxa"/>
            <w:tcBorders>
              <w:top w:val="nil"/>
              <w:left w:val="nil"/>
              <w:bottom w:val="single" w:sz="8" w:space="0" w:color="FFFFFF"/>
              <w:right w:val="single" w:sz="8" w:space="0" w:color="FFFFFF"/>
            </w:tcBorders>
            <w:shd w:val="clear" w:color="000000" w:fill="DBE5F1"/>
            <w:noWrap/>
            <w:hideMark/>
          </w:tcPr>
          <w:p w14:paraId="6C835CB3" w14:textId="77777777" w:rsidR="00B86FB3" w:rsidRPr="00FF756A" w:rsidRDefault="00B86FB3" w:rsidP="00B86FB3">
            <w:pPr>
              <w:jc w:val="right"/>
              <w:rPr>
                <w:rFonts w:eastAsia="Times New Roman"/>
                <w:color w:val="000000"/>
                <w:sz w:val="20"/>
                <w:szCs w:val="20"/>
              </w:rPr>
            </w:pPr>
            <w:r w:rsidRPr="00FF756A">
              <w:rPr>
                <w:sz w:val="20"/>
                <w:szCs w:val="20"/>
              </w:rPr>
              <w:t xml:space="preserve"> -2,7 </w:t>
            </w:r>
          </w:p>
        </w:tc>
        <w:tc>
          <w:tcPr>
            <w:tcW w:w="876" w:type="dxa"/>
            <w:tcBorders>
              <w:top w:val="nil"/>
              <w:left w:val="nil"/>
              <w:bottom w:val="single" w:sz="8" w:space="0" w:color="FFFFFF"/>
              <w:right w:val="single" w:sz="8" w:space="0" w:color="FFFFFF"/>
            </w:tcBorders>
            <w:shd w:val="clear" w:color="000000" w:fill="DBE5F1"/>
            <w:noWrap/>
            <w:hideMark/>
          </w:tcPr>
          <w:p w14:paraId="06882229" w14:textId="77777777" w:rsidR="00B86FB3" w:rsidRPr="00FF756A" w:rsidRDefault="00B86FB3" w:rsidP="00B86FB3">
            <w:pPr>
              <w:jc w:val="right"/>
              <w:rPr>
                <w:rFonts w:eastAsia="Times New Roman"/>
                <w:color w:val="000000"/>
                <w:sz w:val="20"/>
                <w:szCs w:val="20"/>
              </w:rPr>
            </w:pPr>
            <w:r w:rsidRPr="00FF756A">
              <w:rPr>
                <w:sz w:val="20"/>
                <w:szCs w:val="20"/>
              </w:rPr>
              <w:t xml:space="preserve"> -29,4 </w:t>
            </w:r>
          </w:p>
        </w:tc>
        <w:tc>
          <w:tcPr>
            <w:tcW w:w="876" w:type="dxa"/>
            <w:tcBorders>
              <w:top w:val="nil"/>
              <w:left w:val="nil"/>
              <w:bottom w:val="single" w:sz="8" w:space="0" w:color="FFFFFF"/>
              <w:right w:val="single" w:sz="8" w:space="0" w:color="FFFFFF"/>
            </w:tcBorders>
            <w:shd w:val="clear" w:color="000000" w:fill="DBE5F1"/>
            <w:noWrap/>
            <w:hideMark/>
          </w:tcPr>
          <w:p w14:paraId="2F933E5C" w14:textId="77777777" w:rsidR="00B86FB3" w:rsidRPr="00FF756A" w:rsidRDefault="00B86FB3" w:rsidP="00B86FB3">
            <w:pPr>
              <w:jc w:val="right"/>
              <w:rPr>
                <w:rFonts w:eastAsia="Times New Roman"/>
                <w:color w:val="000000"/>
                <w:sz w:val="20"/>
                <w:szCs w:val="20"/>
              </w:rPr>
            </w:pPr>
            <w:r w:rsidRPr="00FF756A">
              <w:rPr>
                <w:sz w:val="20"/>
                <w:szCs w:val="20"/>
              </w:rPr>
              <w:t xml:space="preserve"> -29,4 </w:t>
            </w:r>
          </w:p>
        </w:tc>
        <w:tc>
          <w:tcPr>
            <w:tcW w:w="876" w:type="dxa"/>
            <w:tcBorders>
              <w:top w:val="nil"/>
              <w:left w:val="nil"/>
              <w:bottom w:val="single" w:sz="8" w:space="0" w:color="FFFFFF"/>
              <w:right w:val="single" w:sz="8" w:space="0" w:color="FFFFFF"/>
            </w:tcBorders>
            <w:shd w:val="clear" w:color="000000" w:fill="DBE5F1"/>
            <w:noWrap/>
            <w:hideMark/>
          </w:tcPr>
          <w:p w14:paraId="3ECC237E" w14:textId="77777777" w:rsidR="00B86FB3" w:rsidRPr="00FF756A" w:rsidRDefault="00B86FB3" w:rsidP="00B86FB3">
            <w:pPr>
              <w:jc w:val="right"/>
              <w:rPr>
                <w:rFonts w:eastAsia="Times New Roman"/>
                <w:color w:val="000000"/>
                <w:sz w:val="20"/>
                <w:szCs w:val="20"/>
              </w:rPr>
            </w:pPr>
            <w:r w:rsidRPr="00FF756A">
              <w:rPr>
                <w:sz w:val="20"/>
                <w:szCs w:val="20"/>
              </w:rPr>
              <w:t xml:space="preserve"> -129,8 </w:t>
            </w:r>
          </w:p>
        </w:tc>
        <w:tc>
          <w:tcPr>
            <w:tcW w:w="876" w:type="dxa"/>
            <w:tcBorders>
              <w:top w:val="nil"/>
              <w:left w:val="nil"/>
              <w:bottom w:val="single" w:sz="8" w:space="0" w:color="FFFFFF"/>
              <w:right w:val="single" w:sz="8" w:space="0" w:color="FFFFFF"/>
            </w:tcBorders>
            <w:shd w:val="clear" w:color="000000" w:fill="DBE5F1"/>
            <w:noWrap/>
            <w:hideMark/>
          </w:tcPr>
          <w:p w14:paraId="387A6AF8" w14:textId="77777777" w:rsidR="00B86FB3" w:rsidRPr="00FF756A" w:rsidRDefault="00B86FB3" w:rsidP="00B86FB3">
            <w:pPr>
              <w:jc w:val="right"/>
              <w:rPr>
                <w:rFonts w:eastAsia="Times New Roman"/>
                <w:color w:val="000000"/>
                <w:sz w:val="20"/>
                <w:szCs w:val="20"/>
              </w:rPr>
            </w:pPr>
            <w:r w:rsidRPr="00FF756A">
              <w:rPr>
                <w:sz w:val="20"/>
                <w:szCs w:val="20"/>
              </w:rPr>
              <w:t xml:space="preserve"> -128,6 </w:t>
            </w:r>
          </w:p>
        </w:tc>
        <w:tc>
          <w:tcPr>
            <w:tcW w:w="876" w:type="dxa"/>
            <w:tcBorders>
              <w:top w:val="nil"/>
              <w:left w:val="nil"/>
              <w:bottom w:val="single" w:sz="8" w:space="0" w:color="FFFFFF"/>
              <w:right w:val="single" w:sz="8" w:space="0" w:color="FFFFFF"/>
            </w:tcBorders>
            <w:shd w:val="clear" w:color="auto" w:fill="4472C4" w:themeFill="accent1"/>
            <w:noWrap/>
            <w:hideMark/>
          </w:tcPr>
          <w:p w14:paraId="4B668FE6"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-129,5 </w:t>
            </w:r>
          </w:p>
        </w:tc>
        <w:tc>
          <w:tcPr>
            <w:tcW w:w="876" w:type="dxa"/>
            <w:tcBorders>
              <w:top w:val="nil"/>
              <w:left w:val="nil"/>
              <w:bottom w:val="single" w:sz="8" w:space="0" w:color="FFFFFF"/>
              <w:right w:val="single" w:sz="8" w:space="0" w:color="FFFFFF"/>
            </w:tcBorders>
            <w:shd w:val="clear" w:color="000000" w:fill="DBE5F1"/>
            <w:noWrap/>
            <w:hideMark/>
          </w:tcPr>
          <w:p w14:paraId="38AB424C" w14:textId="77777777" w:rsidR="00B86FB3" w:rsidRPr="00FF756A" w:rsidRDefault="00B86FB3" w:rsidP="00B86FB3">
            <w:pPr>
              <w:jc w:val="right"/>
              <w:rPr>
                <w:rFonts w:eastAsia="Times New Roman"/>
                <w:color w:val="000000"/>
                <w:sz w:val="20"/>
                <w:szCs w:val="20"/>
              </w:rPr>
            </w:pPr>
            <w:r w:rsidRPr="00FF756A">
              <w:rPr>
                <w:sz w:val="20"/>
                <w:szCs w:val="20"/>
              </w:rPr>
              <w:t xml:space="preserve"> -138,9 </w:t>
            </w:r>
          </w:p>
        </w:tc>
        <w:tc>
          <w:tcPr>
            <w:tcW w:w="876" w:type="dxa"/>
            <w:tcBorders>
              <w:top w:val="nil"/>
              <w:left w:val="nil"/>
              <w:bottom w:val="single" w:sz="8" w:space="0" w:color="FFFFFF"/>
              <w:right w:val="single" w:sz="8" w:space="0" w:color="FFFFFF"/>
            </w:tcBorders>
            <w:shd w:val="clear" w:color="000000" w:fill="DBE5F1"/>
            <w:noWrap/>
            <w:hideMark/>
          </w:tcPr>
          <w:p w14:paraId="1D1B2BFD" w14:textId="77777777" w:rsidR="00B86FB3" w:rsidRPr="00FF756A" w:rsidRDefault="00B86FB3" w:rsidP="00B86FB3">
            <w:pPr>
              <w:jc w:val="right"/>
              <w:rPr>
                <w:rFonts w:eastAsia="Times New Roman"/>
                <w:color w:val="000000"/>
                <w:sz w:val="20"/>
                <w:szCs w:val="20"/>
              </w:rPr>
            </w:pPr>
            <w:r w:rsidRPr="00FF756A">
              <w:rPr>
                <w:sz w:val="20"/>
                <w:szCs w:val="20"/>
              </w:rPr>
              <w:t xml:space="preserve"> -150,6 </w:t>
            </w:r>
          </w:p>
        </w:tc>
      </w:tr>
      <w:tr w:rsidR="00B86FB3" w:rsidRPr="00FF756A" w14:paraId="1EF06D65" w14:textId="77777777" w:rsidTr="006A3266">
        <w:trPr>
          <w:trHeight w:val="304"/>
        </w:trPr>
        <w:tc>
          <w:tcPr>
            <w:tcW w:w="2238" w:type="dxa"/>
            <w:tcBorders>
              <w:top w:val="nil"/>
              <w:left w:val="single" w:sz="8" w:space="0" w:color="FFFFFF"/>
              <w:bottom w:val="single" w:sz="8" w:space="0" w:color="FFFFFF"/>
              <w:right w:val="single" w:sz="8" w:space="0" w:color="FFFFFF"/>
            </w:tcBorders>
            <w:shd w:val="clear" w:color="000000" w:fill="4F81BD"/>
            <w:noWrap/>
            <w:hideMark/>
          </w:tcPr>
          <w:p w14:paraId="7DDAB3E4" w14:textId="77777777" w:rsidR="00B86FB3" w:rsidRPr="00FF756A" w:rsidRDefault="00B86FB3" w:rsidP="00B86FB3">
            <w:pPr>
              <w:rPr>
                <w:rFonts w:eastAsia="Times New Roman"/>
                <w:color w:val="FFFFFF" w:themeColor="background1"/>
                <w:sz w:val="20"/>
                <w:szCs w:val="20"/>
              </w:rPr>
            </w:pPr>
            <w:r w:rsidRPr="00FF756A">
              <w:rPr>
                <w:color w:val="FFFFFF" w:themeColor="background1"/>
                <w:sz w:val="20"/>
                <w:szCs w:val="20"/>
              </w:rPr>
              <w:t>Lubrifikantët</w:t>
            </w:r>
          </w:p>
        </w:tc>
        <w:tc>
          <w:tcPr>
            <w:tcW w:w="875" w:type="dxa"/>
            <w:tcBorders>
              <w:top w:val="nil"/>
              <w:left w:val="nil"/>
              <w:bottom w:val="single" w:sz="8" w:space="0" w:color="FFFFFF"/>
              <w:right w:val="single" w:sz="8" w:space="0" w:color="FFFFFF"/>
            </w:tcBorders>
            <w:shd w:val="clear" w:color="000000" w:fill="B8CCE4"/>
            <w:noWrap/>
            <w:hideMark/>
          </w:tcPr>
          <w:p w14:paraId="4A3439D3" w14:textId="77777777" w:rsidR="00B86FB3" w:rsidRPr="00FF756A" w:rsidRDefault="00B86FB3" w:rsidP="00B86FB3">
            <w:pPr>
              <w:jc w:val="right"/>
              <w:rPr>
                <w:rFonts w:eastAsia="Times New Roman"/>
                <w:color w:val="000000"/>
                <w:sz w:val="20"/>
                <w:szCs w:val="20"/>
              </w:rPr>
            </w:pPr>
            <w:r w:rsidRPr="00FF756A">
              <w:rPr>
                <w:sz w:val="20"/>
                <w:szCs w:val="20"/>
              </w:rPr>
              <w:t xml:space="preserve"> 15,3 </w:t>
            </w:r>
          </w:p>
        </w:tc>
        <w:tc>
          <w:tcPr>
            <w:tcW w:w="876" w:type="dxa"/>
            <w:tcBorders>
              <w:top w:val="nil"/>
              <w:left w:val="nil"/>
              <w:bottom w:val="single" w:sz="8" w:space="0" w:color="FFFFFF"/>
              <w:right w:val="single" w:sz="8" w:space="0" w:color="FFFFFF"/>
            </w:tcBorders>
            <w:shd w:val="clear" w:color="000000" w:fill="B8CCE4"/>
            <w:noWrap/>
            <w:hideMark/>
          </w:tcPr>
          <w:p w14:paraId="509B2134" w14:textId="77777777" w:rsidR="00B86FB3" w:rsidRPr="00FF756A" w:rsidRDefault="00B86FB3" w:rsidP="00B86FB3">
            <w:pPr>
              <w:jc w:val="right"/>
              <w:rPr>
                <w:rFonts w:eastAsia="Times New Roman"/>
                <w:color w:val="000000"/>
                <w:sz w:val="20"/>
                <w:szCs w:val="20"/>
              </w:rPr>
            </w:pPr>
            <w:r w:rsidRPr="00FF756A">
              <w:rPr>
                <w:sz w:val="20"/>
                <w:szCs w:val="20"/>
              </w:rPr>
              <w:t xml:space="preserve"> 10,4 </w:t>
            </w:r>
          </w:p>
        </w:tc>
        <w:tc>
          <w:tcPr>
            <w:tcW w:w="876" w:type="dxa"/>
            <w:tcBorders>
              <w:top w:val="nil"/>
              <w:left w:val="nil"/>
              <w:bottom w:val="single" w:sz="8" w:space="0" w:color="FFFFFF"/>
              <w:right w:val="single" w:sz="8" w:space="0" w:color="FFFFFF"/>
            </w:tcBorders>
            <w:shd w:val="clear" w:color="000000" w:fill="B8CCE4"/>
            <w:noWrap/>
            <w:hideMark/>
          </w:tcPr>
          <w:p w14:paraId="6A55A1A7" w14:textId="77777777" w:rsidR="00B86FB3" w:rsidRPr="00FF756A" w:rsidRDefault="00B86FB3" w:rsidP="00B86FB3">
            <w:pPr>
              <w:jc w:val="right"/>
              <w:rPr>
                <w:rFonts w:eastAsia="Times New Roman"/>
                <w:color w:val="000000"/>
                <w:sz w:val="20"/>
                <w:szCs w:val="20"/>
              </w:rPr>
            </w:pPr>
            <w:r w:rsidRPr="00FF756A">
              <w:rPr>
                <w:sz w:val="20"/>
                <w:szCs w:val="20"/>
              </w:rPr>
              <w:t xml:space="preserve"> 10,4 </w:t>
            </w:r>
          </w:p>
        </w:tc>
        <w:tc>
          <w:tcPr>
            <w:tcW w:w="876" w:type="dxa"/>
            <w:tcBorders>
              <w:top w:val="nil"/>
              <w:left w:val="nil"/>
              <w:bottom w:val="single" w:sz="8" w:space="0" w:color="FFFFFF"/>
              <w:right w:val="single" w:sz="8" w:space="0" w:color="FFFFFF"/>
            </w:tcBorders>
            <w:shd w:val="clear" w:color="000000" w:fill="B8CCE4"/>
            <w:noWrap/>
            <w:hideMark/>
          </w:tcPr>
          <w:p w14:paraId="722774BB" w14:textId="77777777" w:rsidR="00B86FB3" w:rsidRPr="00FF756A" w:rsidRDefault="00B86FB3" w:rsidP="00B86FB3">
            <w:pPr>
              <w:jc w:val="right"/>
              <w:rPr>
                <w:rFonts w:eastAsia="Times New Roman"/>
                <w:color w:val="000000"/>
                <w:sz w:val="20"/>
                <w:szCs w:val="20"/>
              </w:rPr>
            </w:pPr>
            <w:r w:rsidRPr="00FF756A">
              <w:rPr>
                <w:sz w:val="20"/>
                <w:szCs w:val="20"/>
              </w:rPr>
              <w:t xml:space="preserve"> 10,9 </w:t>
            </w:r>
          </w:p>
        </w:tc>
        <w:tc>
          <w:tcPr>
            <w:tcW w:w="876" w:type="dxa"/>
            <w:tcBorders>
              <w:top w:val="nil"/>
              <w:left w:val="nil"/>
              <w:bottom w:val="single" w:sz="8" w:space="0" w:color="FFFFFF"/>
              <w:right w:val="single" w:sz="8" w:space="0" w:color="FFFFFF"/>
            </w:tcBorders>
            <w:shd w:val="clear" w:color="000000" w:fill="B8CCE4"/>
            <w:noWrap/>
            <w:hideMark/>
          </w:tcPr>
          <w:p w14:paraId="6EB62DCE" w14:textId="77777777" w:rsidR="00B86FB3" w:rsidRPr="00FF756A" w:rsidRDefault="00B86FB3" w:rsidP="00B86FB3">
            <w:pPr>
              <w:jc w:val="right"/>
              <w:rPr>
                <w:rFonts w:eastAsia="Times New Roman"/>
                <w:color w:val="000000"/>
                <w:sz w:val="20"/>
                <w:szCs w:val="20"/>
              </w:rPr>
            </w:pPr>
            <w:r w:rsidRPr="00FF756A">
              <w:rPr>
                <w:sz w:val="20"/>
                <w:szCs w:val="20"/>
              </w:rPr>
              <w:t xml:space="preserve"> 11,9 </w:t>
            </w:r>
          </w:p>
        </w:tc>
        <w:tc>
          <w:tcPr>
            <w:tcW w:w="876" w:type="dxa"/>
            <w:tcBorders>
              <w:top w:val="nil"/>
              <w:left w:val="nil"/>
              <w:bottom w:val="single" w:sz="8" w:space="0" w:color="FFFFFF"/>
              <w:right w:val="single" w:sz="8" w:space="0" w:color="FFFFFF"/>
            </w:tcBorders>
            <w:shd w:val="clear" w:color="auto" w:fill="4472C4" w:themeFill="accent1"/>
            <w:noWrap/>
            <w:hideMark/>
          </w:tcPr>
          <w:p w14:paraId="5E082C0C"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9,0 </w:t>
            </w:r>
          </w:p>
        </w:tc>
        <w:tc>
          <w:tcPr>
            <w:tcW w:w="876" w:type="dxa"/>
            <w:tcBorders>
              <w:top w:val="nil"/>
              <w:left w:val="nil"/>
              <w:bottom w:val="single" w:sz="8" w:space="0" w:color="FFFFFF"/>
              <w:right w:val="single" w:sz="8" w:space="0" w:color="FFFFFF"/>
            </w:tcBorders>
            <w:shd w:val="clear" w:color="000000" w:fill="B8CCE4"/>
            <w:noWrap/>
            <w:hideMark/>
          </w:tcPr>
          <w:p w14:paraId="7A8EBE12" w14:textId="77777777" w:rsidR="00B86FB3" w:rsidRPr="00FF756A" w:rsidRDefault="00B86FB3" w:rsidP="00B86FB3">
            <w:pPr>
              <w:jc w:val="right"/>
              <w:rPr>
                <w:rFonts w:eastAsia="Times New Roman"/>
                <w:color w:val="000000"/>
                <w:sz w:val="20"/>
                <w:szCs w:val="20"/>
              </w:rPr>
            </w:pPr>
            <w:r w:rsidRPr="00FF756A">
              <w:rPr>
                <w:sz w:val="20"/>
                <w:szCs w:val="20"/>
              </w:rPr>
              <w:t xml:space="preserve"> 4,9 </w:t>
            </w:r>
          </w:p>
        </w:tc>
        <w:tc>
          <w:tcPr>
            <w:tcW w:w="876" w:type="dxa"/>
            <w:tcBorders>
              <w:top w:val="nil"/>
              <w:left w:val="nil"/>
              <w:bottom w:val="single" w:sz="8" w:space="0" w:color="FFFFFF"/>
              <w:right w:val="single" w:sz="8" w:space="0" w:color="FFFFFF"/>
            </w:tcBorders>
            <w:shd w:val="clear" w:color="000000" w:fill="B8CCE4"/>
            <w:noWrap/>
            <w:hideMark/>
          </w:tcPr>
          <w:p w14:paraId="511EA017" w14:textId="77777777" w:rsidR="00B86FB3" w:rsidRPr="00FF756A" w:rsidRDefault="00B86FB3" w:rsidP="00B86FB3">
            <w:pPr>
              <w:jc w:val="right"/>
              <w:rPr>
                <w:rFonts w:eastAsia="Times New Roman"/>
                <w:color w:val="000000"/>
                <w:sz w:val="20"/>
                <w:szCs w:val="20"/>
              </w:rPr>
            </w:pPr>
            <w:r w:rsidRPr="00FF756A">
              <w:rPr>
                <w:sz w:val="20"/>
                <w:szCs w:val="20"/>
              </w:rPr>
              <w:t xml:space="preserve"> 7,6 </w:t>
            </w:r>
          </w:p>
        </w:tc>
      </w:tr>
      <w:tr w:rsidR="00B86FB3" w:rsidRPr="00FF756A" w14:paraId="7B3EF46C" w14:textId="77777777" w:rsidTr="006A3266">
        <w:trPr>
          <w:trHeight w:val="304"/>
        </w:trPr>
        <w:tc>
          <w:tcPr>
            <w:tcW w:w="2238" w:type="dxa"/>
            <w:tcBorders>
              <w:top w:val="nil"/>
              <w:left w:val="single" w:sz="8" w:space="0" w:color="FFFFFF"/>
              <w:bottom w:val="single" w:sz="8" w:space="0" w:color="FFFFFF"/>
              <w:right w:val="single" w:sz="8" w:space="0" w:color="FFFFFF"/>
            </w:tcBorders>
            <w:shd w:val="clear" w:color="000000" w:fill="4F81BD"/>
            <w:noWrap/>
            <w:hideMark/>
          </w:tcPr>
          <w:p w14:paraId="08A189C5" w14:textId="77777777" w:rsidR="00B86FB3" w:rsidRPr="00FF756A" w:rsidRDefault="00B86FB3" w:rsidP="00B86FB3">
            <w:pPr>
              <w:rPr>
                <w:rFonts w:eastAsia="Times New Roman"/>
                <w:color w:val="FFFFFF" w:themeColor="background1"/>
                <w:sz w:val="20"/>
                <w:szCs w:val="20"/>
              </w:rPr>
            </w:pPr>
            <w:r w:rsidRPr="00FF756A">
              <w:rPr>
                <w:color w:val="FFFFFF" w:themeColor="background1"/>
                <w:sz w:val="20"/>
                <w:szCs w:val="20"/>
              </w:rPr>
              <w:t>Qymyr i paspecifikuar</w:t>
            </w:r>
          </w:p>
        </w:tc>
        <w:tc>
          <w:tcPr>
            <w:tcW w:w="875" w:type="dxa"/>
            <w:tcBorders>
              <w:top w:val="nil"/>
              <w:left w:val="nil"/>
              <w:bottom w:val="single" w:sz="8" w:space="0" w:color="FFFFFF"/>
              <w:right w:val="single" w:sz="8" w:space="0" w:color="FFFFFF"/>
            </w:tcBorders>
            <w:shd w:val="clear" w:color="000000" w:fill="DBE5F1"/>
            <w:noWrap/>
            <w:hideMark/>
          </w:tcPr>
          <w:p w14:paraId="382F0862" w14:textId="77777777" w:rsidR="00B86FB3" w:rsidRPr="00FF756A" w:rsidRDefault="00B86FB3" w:rsidP="00B86FB3">
            <w:pPr>
              <w:jc w:val="right"/>
              <w:rPr>
                <w:rFonts w:eastAsia="Times New Roman"/>
                <w:color w:val="000000"/>
                <w:sz w:val="20"/>
                <w:szCs w:val="20"/>
              </w:rPr>
            </w:pPr>
            <w:r w:rsidRPr="00FF756A">
              <w:rPr>
                <w:sz w:val="20"/>
                <w:szCs w:val="20"/>
              </w:rPr>
              <w:t xml:space="preserve"> 152,5 </w:t>
            </w:r>
          </w:p>
        </w:tc>
        <w:tc>
          <w:tcPr>
            <w:tcW w:w="876" w:type="dxa"/>
            <w:tcBorders>
              <w:top w:val="nil"/>
              <w:left w:val="nil"/>
              <w:bottom w:val="single" w:sz="8" w:space="0" w:color="FFFFFF"/>
              <w:right w:val="single" w:sz="8" w:space="0" w:color="FFFFFF"/>
            </w:tcBorders>
            <w:shd w:val="clear" w:color="000000" w:fill="DBE5F1"/>
            <w:noWrap/>
            <w:hideMark/>
          </w:tcPr>
          <w:p w14:paraId="7F616BD1" w14:textId="77777777" w:rsidR="00B86FB3" w:rsidRPr="00FF756A" w:rsidRDefault="00B86FB3" w:rsidP="00B86FB3">
            <w:pPr>
              <w:jc w:val="right"/>
              <w:rPr>
                <w:rFonts w:eastAsia="Times New Roman"/>
                <w:color w:val="000000"/>
                <w:sz w:val="20"/>
                <w:szCs w:val="20"/>
              </w:rPr>
            </w:pPr>
            <w:r w:rsidRPr="00FF756A">
              <w:rPr>
                <w:sz w:val="20"/>
                <w:szCs w:val="20"/>
              </w:rPr>
              <w:t xml:space="preserve"> 231,8 </w:t>
            </w:r>
          </w:p>
        </w:tc>
        <w:tc>
          <w:tcPr>
            <w:tcW w:w="876" w:type="dxa"/>
            <w:tcBorders>
              <w:top w:val="nil"/>
              <w:left w:val="nil"/>
              <w:bottom w:val="single" w:sz="8" w:space="0" w:color="FFFFFF"/>
              <w:right w:val="single" w:sz="8" w:space="0" w:color="FFFFFF"/>
            </w:tcBorders>
            <w:shd w:val="clear" w:color="000000" w:fill="DBE5F1"/>
            <w:noWrap/>
            <w:hideMark/>
          </w:tcPr>
          <w:p w14:paraId="5772376C" w14:textId="77777777" w:rsidR="00B86FB3" w:rsidRPr="00FF756A" w:rsidRDefault="00B86FB3" w:rsidP="00B86FB3">
            <w:pPr>
              <w:jc w:val="right"/>
              <w:rPr>
                <w:rFonts w:eastAsia="Times New Roman"/>
                <w:color w:val="000000"/>
                <w:sz w:val="20"/>
                <w:szCs w:val="20"/>
              </w:rPr>
            </w:pPr>
            <w:r w:rsidRPr="00FF756A">
              <w:rPr>
                <w:sz w:val="20"/>
                <w:szCs w:val="20"/>
              </w:rPr>
              <w:t xml:space="preserve"> 227,7 </w:t>
            </w:r>
          </w:p>
        </w:tc>
        <w:tc>
          <w:tcPr>
            <w:tcW w:w="876" w:type="dxa"/>
            <w:tcBorders>
              <w:top w:val="nil"/>
              <w:left w:val="nil"/>
              <w:bottom w:val="single" w:sz="8" w:space="0" w:color="FFFFFF"/>
              <w:right w:val="single" w:sz="8" w:space="0" w:color="FFFFFF"/>
            </w:tcBorders>
            <w:shd w:val="clear" w:color="000000" w:fill="DBE5F1"/>
            <w:noWrap/>
            <w:hideMark/>
          </w:tcPr>
          <w:p w14:paraId="53C505DF" w14:textId="77777777" w:rsidR="00B86FB3" w:rsidRPr="00FF756A" w:rsidRDefault="00B86FB3" w:rsidP="00B86FB3">
            <w:pPr>
              <w:jc w:val="right"/>
              <w:rPr>
                <w:rFonts w:eastAsia="Times New Roman"/>
                <w:color w:val="000000"/>
                <w:sz w:val="20"/>
                <w:szCs w:val="20"/>
              </w:rPr>
            </w:pPr>
            <w:r w:rsidRPr="00FF756A">
              <w:rPr>
                <w:sz w:val="20"/>
                <w:szCs w:val="20"/>
              </w:rPr>
              <w:t xml:space="preserve"> 231,8 </w:t>
            </w:r>
          </w:p>
        </w:tc>
        <w:tc>
          <w:tcPr>
            <w:tcW w:w="876" w:type="dxa"/>
            <w:tcBorders>
              <w:top w:val="nil"/>
              <w:left w:val="nil"/>
              <w:bottom w:val="single" w:sz="8" w:space="0" w:color="FFFFFF"/>
              <w:right w:val="single" w:sz="8" w:space="0" w:color="FFFFFF"/>
            </w:tcBorders>
            <w:shd w:val="clear" w:color="000000" w:fill="DBE5F1"/>
            <w:noWrap/>
            <w:hideMark/>
          </w:tcPr>
          <w:p w14:paraId="487F1B78" w14:textId="77777777" w:rsidR="00B86FB3" w:rsidRPr="00FF756A" w:rsidRDefault="00B86FB3" w:rsidP="00B86FB3">
            <w:pPr>
              <w:jc w:val="right"/>
              <w:rPr>
                <w:rFonts w:eastAsia="Times New Roman"/>
                <w:color w:val="000000"/>
                <w:sz w:val="20"/>
                <w:szCs w:val="20"/>
              </w:rPr>
            </w:pPr>
            <w:r w:rsidRPr="00FF756A">
              <w:rPr>
                <w:sz w:val="20"/>
                <w:szCs w:val="20"/>
              </w:rPr>
              <w:t xml:space="preserve"> 240,0 </w:t>
            </w:r>
          </w:p>
        </w:tc>
        <w:tc>
          <w:tcPr>
            <w:tcW w:w="876" w:type="dxa"/>
            <w:tcBorders>
              <w:top w:val="nil"/>
              <w:left w:val="nil"/>
              <w:bottom w:val="single" w:sz="8" w:space="0" w:color="FFFFFF"/>
              <w:right w:val="single" w:sz="8" w:space="0" w:color="FFFFFF"/>
            </w:tcBorders>
            <w:shd w:val="clear" w:color="auto" w:fill="4472C4" w:themeFill="accent1"/>
            <w:noWrap/>
            <w:hideMark/>
          </w:tcPr>
          <w:p w14:paraId="4F4DB42B"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231,2 </w:t>
            </w:r>
          </w:p>
        </w:tc>
        <w:tc>
          <w:tcPr>
            <w:tcW w:w="876" w:type="dxa"/>
            <w:tcBorders>
              <w:top w:val="nil"/>
              <w:left w:val="nil"/>
              <w:bottom w:val="single" w:sz="8" w:space="0" w:color="FFFFFF"/>
              <w:right w:val="single" w:sz="8" w:space="0" w:color="FFFFFF"/>
            </w:tcBorders>
            <w:shd w:val="clear" w:color="000000" w:fill="DBE5F1"/>
            <w:noWrap/>
            <w:hideMark/>
          </w:tcPr>
          <w:p w14:paraId="7305ACD6" w14:textId="77777777" w:rsidR="00B86FB3" w:rsidRPr="00FF756A" w:rsidRDefault="00B86FB3" w:rsidP="00B86FB3">
            <w:pPr>
              <w:jc w:val="right"/>
              <w:rPr>
                <w:rFonts w:eastAsia="Times New Roman"/>
                <w:color w:val="000000"/>
                <w:sz w:val="20"/>
                <w:szCs w:val="20"/>
              </w:rPr>
            </w:pPr>
            <w:r w:rsidRPr="00FF756A">
              <w:rPr>
                <w:sz w:val="20"/>
                <w:szCs w:val="20"/>
              </w:rPr>
              <w:t xml:space="preserve"> 156,9 </w:t>
            </w:r>
          </w:p>
        </w:tc>
        <w:tc>
          <w:tcPr>
            <w:tcW w:w="876" w:type="dxa"/>
            <w:tcBorders>
              <w:top w:val="nil"/>
              <w:left w:val="nil"/>
              <w:bottom w:val="single" w:sz="8" w:space="0" w:color="FFFFFF"/>
              <w:right w:val="single" w:sz="8" w:space="0" w:color="FFFFFF"/>
            </w:tcBorders>
            <w:shd w:val="clear" w:color="000000" w:fill="DBE5F1"/>
            <w:noWrap/>
            <w:hideMark/>
          </w:tcPr>
          <w:p w14:paraId="3BC47811" w14:textId="77777777" w:rsidR="00B86FB3" w:rsidRPr="00FF756A" w:rsidRDefault="00B86FB3" w:rsidP="00B86FB3">
            <w:pPr>
              <w:jc w:val="right"/>
              <w:rPr>
                <w:rFonts w:eastAsia="Times New Roman"/>
                <w:color w:val="000000"/>
                <w:sz w:val="20"/>
                <w:szCs w:val="20"/>
              </w:rPr>
            </w:pPr>
            <w:r w:rsidRPr="00FF756A">
              <w:rPr>
                <w:sz w:val="20"/>
                <w:szCs w:val="20"/>
              </w:rPr>
              <w:t xml:space="preserve"> 62,8 </w:t>
            </w:r>
          </w:p>
        </w:tc>
      </w:tr>
      <w:tr w:rsidR="00B86FB3" w:rsidRPr="00FF756A" w14:paraId="7A049149" w14:textId="77777777" w:rsidTr="006A3266">
        <w:trPr>
          <w:trHeight w:val="304"/>
        </w:trPr>
        <w:tc>
          <w:tcPr>
            <w:tcW w:w="2238" w:type="dxa"/>
            <w:tcBorders>
              <w:top w:val="nil"/>
              <w:left w:val="single" w:sz="8" w:space="0" w:color="FFFFFF"/>
              <w:bottom w:val="single" w:sz="8" w:space="0" w:color="FFFFFF"/>
              <w:right w:val="single" w:sz="8" w:space="0" w:color="FFFFFF"/>
            </w:tcBorders>
            <w:shd w:val="clear" w:color="000000" w:fill="4F81BD"/>
            <w:noWrap/>
            <w:hideMark/>
          </w:tcPr>
          <w:p w14:paraId="3933C1AE" w14:textId="77777777" w:rsidR="00B86FB3" w:rsidRPr="00FF756A" w:rsidRDefault="00B86FB3" w:rsidP="00B86FB3">
            <w:pPr>
              <w:rPr>
                <w:rFonts w:eastAsia="Times New Roman"/>
                <w:color w:val="FFFFFF" w:themeColor="background1"/>
                <w:sz w:val="20"/>
                <w:szCs w:val="20"/>
              </w:rPr>
            </w:pPr>
            <w:r w:rsidRPr="00FF756A">
              <w:rPr>
                <w:color w:val="FFFFFF" w:themeColor="background1"/>
                <w:sz w:val="20"/>
                <w:szCs w:val="20"/>
              </w:rPr>
              <w:t>Biodizeli</w:t>
            </w:r>
          </w:p>
        </w:tc>
        <w:tc>
          <w:tcPr>
            <w:tcW w:w="875" w:type="dxa"/>
            <w:tcBorders>
              <w:top w:val="nil"/>
              <w:left w:val="nil"/>
              <w:bottom w:val="single" w:sz="8" w:space="0" w:color="FFFFFF"/>
              <w:right w:val="single" w:sz="8" w:space="0" w:color="FFFFFF"/>
            </w:tcBorders>
            <w:shd w:val="clear" w:color="000000" w:fill="DBE5F1"/>
            <w:noWrap/>
            <w:hideMark/>
          </w:tcPr>
          <w:p w14:paraId="119A002A" w14:textId="77777777" w:rsidR="00B86FB3" w:rsidRPr="00FF756A" w:rsidRDefault="00B86FB3" w:rsidP="00B86FB3">
            <w:pPr>
              <w:jc w:val="right"/>
              <w:rPr>
                <w:rFonts w:eastAsia="Times New Roman"/>
                <w:color w:val="000000"/>
                <w:sz w:val="20"/>
                <w:szCs w:val="20"/>
              </w:rPr>
            </w:pPr>
            <w:r w:rsidRPr="00FF756A">
              <w:rPr>
                <w:sz w:val="20"/>
                <w:szCs w:val="20"/>
              </w:rPr>
              <w:t xml:space="preserve"> -   </w:t>
            </w:r>
          </w:p>
        </w:tc>
        <w:tc>
          <w:tcPr>
            <w:tcW w:w="876" w:type="dxa"/>
            <w:tcBorders>
              <w:top w:val="nil"/>
              <w:left w:val="nil"/>
              <w:bottom w:val="single" w:sz="8" w:space="0" w:color="FFFFFF"/>
              <w:right w:val="single" w:sz="8" w:space="0" w:color="FFFFFF"/>
            </w:tcBorders>
            <w:shd w:val="clear" w:color="000000" w:fill="DBE5F1"/>
            <w:noWrap/>
            <w:hideMark/>
          </w:tcPr>
          <w:p w14:paraId="5C04F777" w14:textId="77777777" w:rsidR="00B86FB3" w:rsidRPr="00FF756A" w:rsidRDefault="00B86FB3" w:rsidP="00B86FB3">
            <w:pPr>
              <w:jc w:val="right"/>
              <w:rPr>
                <w:rFonts w:eastAsia="Times New Roman"/>
                <w:color w:val="000000"/>
                <w:sz w:val="20"/>
                <w:szCs w:val="20"/>
              </w:rPr>
            </w:pPr>
            <w:r w:rsidRPr="00FF756A">
              <w:rPr>
                <w:sz w:val="20"/>
                <w:szCs w:val="20"/>
              </w:rPr>
              <w:t xml:space="preserve"> -   </w:t>
            </w:r>
          </w:p>
        </w:tc>
        <w:tc>
          <w:tcPr>
            <w:tcW w:w="876" w:type="dxa"/>
            <w:tcBorders>
              <w:top w:val="nil"/>
              <w:left w:val="nil"/>
              <w:bottom w:val="single" w:sz="8" w:space="0" w:color="FFFFFF"/>
              <w:right w:val="single" w:sz="8" w:space="0" w:color="FFFFFF"/>
            </w:tcBorders>
            <w:shd w:val="clear" w:color="000000" w:fill="DBE5F1"/>
            <w:noWrap/>
            <w:hideMark/>
          </w:tcPr>
          <w:p w14:paraId="45967083" w14:textId="77777777" w:rsidR="00B86FB3" w:rsidRPr="00FF756A" w:rsidRDefault="00B86FB3" w:rsidP="00B86FB3">
            <w:pPr>
              <w:jc w:val="right"/>
              <w:rPr>
                <w:rFonts w:eastAsia="Times New Roman"/>
                <w:color w:val="000000"/>
                <w:sz w:val="20"/>
                <w:szCs w:val="20"/>
              </w:rPr>
            </w:pPr>
            <w:r w:rsidRPr="00FF756A">
              <w:rPr>
                <w:sz w:val="20"/>
                <w:szCs w:val="20"/>
              </w:rPr>
              <w:t xml:space="preserve"> -   </w:t>
            </w:r>
          </w:p>
        </w:tc>
        <w:tc>
          <w:tcPr>
            <w:tcW w:w="876" w:type="dxa"/>
            <w:tcBorders>
              <w:top w:val="nil"/>
              <w:left w:val="nil"/>
              <w:bottom w:val="single" w:sz="8" w:space="0" w:color="FFFFFF"/>
              <w:right w:val="single" w:sz="8" w:space="0" w:color="FFFFFF"/>
            </w:tcBorders>
            <w:shd w:val="clear" w:color="000000" w:fill="DBE5F1"/>
            <w:noWrap/>
            <w:hideMark/>
          </w:tcPr>
          <w:p w14:paraId="37673B17" w14:textId="77777777" w:rsidR="00B86FB3" w:rsidRPr="00FF756A" w:rsidRDefault="00B86FB3" w:rsidP="00B86FB3">
            <w:pPr>
              <w:jc w:val="right"/>
              <w:rPr>
                <w:rFonts w:eastAsia="Times New Roman"/>
                <w:color w:val="000000"/>
                <w:sz w:val="20"/>
                <w:szCs w:val="20"/>
              </w:rPr>
            </w:pPr>
            <w:r w:rsidRPr="00FF756A">
              <w:rPr>
                <w:sz w:val="20"/>
                <w:szCs w:val="20"/>
              </w:rPr>
              <w:t xml:space="preserve"> 19,4 </w:t>
            </w:r>
          </w:p>
        </w:tc>
        <w:tc>
          <w:tcPr>
            <w:tcW w:w="876" w:type="dxa"/>
            <w:tcBorders>
              <w:top w:val="nil"/>
              <w:left w:val="nil"/>
              <w:bottom w:val="single" w:sz="8" w:space="0" w:color="FFFFFF"/>
              <w:right w:val="single" w:sz="8" w:space="0" w:color="FFFFFF"/>
            </w:tcBorders>
            <w:shd w:val="clear" w:color="000000" w:fill="DBE5F1"/>
            <w:noWrap/>
            <w:hideMark/>
          </w:tcPr>
          <w:p w14:paraId="0E52B19B" w14:textId="77777777" w:rsidR="00B86FB3" w:rsidRPr="00FF756A" w:rsidRDefault="00B86FB3" w:rsidP="00B86FB3">
            <w:pPr>
              <w:jc w:val="right"/>
              <w:rPr>
                <w:rFonts w:eastAsia="Times New Roman"/>
                <w:color w:val="000000"/>
                <w:sz w:val="20"/>
                <w:szCs w:val="20"/>
              </w:rPr>
            </w:pPr>
            <w:r w:rsidRPr="00FF756A">
              <w:rPr>
                <w:sz w:val="20"/>
                <w:szCs w:val="20"/>
              </w:rPr>
              <w:t xml:space="preserve"> 32,1 </w:t>
            </w:r>
          </w:p>
        </w:tc>
        <w:tc>
          <w:tcPr>
            <w:tcW w:w="876" w:type="dxa"/>
            <w:tcBorders>
              <w:top w:val="nil"/>
              <w:left w:val="nil"/>
              <w:bottom w:val="single" w:sz="8" w:space="0" w:color="FFFFFF"/>
              <w:right w:val="single" w:sz="8" w:space="0" w:color="FFFFFF"/>
            </w:tcBorders>
            <w:shd w:val="clear" w:color="auto" w:fill="4472C4" w:themeFill="accent1"/>
            <w:noWrap/>
            <w:hideMark/>
          </w:tcPr>
          <w:p w14:paraId="15744F64"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56,8 </w:t>
            </w:r>
          </w:p>
        </w:tc>
        <w:tc>
          <w:tcPr>
            <w:tcW w:w="876" w:type="dxa"/>
            <w:tcBorders>
              <w:top w:val="nil"/>
              <w:left w:val="nil"/>
              <w:bottom w:val="single" w:sz="8" w:space="0" w:color="FFFFFF"/>
              <w:right w:val="single" w:sz="8" w:space="0" w:color="FFFFFF"/>
            </w:tcBorders>
            <w:shd w:val="clear" w:color="000000" w:fill="DBE5F1"/>
            <w:noWrap/>
            <w:hideMark/>
          </w:tcPr>
          <w:p w14:paraId="2A167F21" w14:textId="77777777" w:rsidR="00B86FB3" w:rsidRPr="00FF756A" w:rsidRDefault="00B86FB3" w:rsidP="00B86FB3">
            <w:pPr>
              <w:jc w:val="right"/>
              <w:rPr>
                <w:rFonts w:eastAsia="Times New Roman"/>
                <w:color w:val="000000"/>
                <w:sz w:val="20"/>
                <w:szCs w:val="20"/>
              </w:rPr>
            </w:pPr>
            <w:r w:rsidRPr="00FF756A">
              <w:rPr>
                <w:sz w:val="20"/>
                <w:szCs w:val="20"/>
              </w:rPr>
              <w:t xml:space="preserve"> 101,6 </w:t>
            </w:r>
          </w:p>
        </w:tc>
        <w:tc>
          <w:tcPr>
            <w:tcW w:w="876" w:type="dxa"/>
            <w:tcBorders>
              <w:top w:val="nil"/>
              <w:left w:val="nil"/>
              <w:bottom w:val="single" w:sz="8" w:space="0" w:color="FFFFFF"/>
              <w:right w:val="single" w:sz="8" w:space="0" w:color="FFFFFF"/>
            </w:tcBorders>
            <w:shd w:val="clear" w:color="000000" w:fill="DBE5F1"/>
            <w:noWrap/>
            <w:hideMark/>
          </w:tcPr>
          <w:p w14:paraId="3C17D9A0" w14:textId="77777777" w:rsidR="00B86FB3" w:rsidRPr="00FF756A" w:rsidRDefault="00B86FB3" w:rsidP="00B86FB3">
            <w:pPr>
              <w:jc w:val="right"/>
              <w:rPr>
                <w:rFonts w:eastAsia="Times New Roman"/>
                <w:color w:val="000000"/>
                <w:sz w:val="20"/>
                <w:szCs w:val="20"/>
              </w:rPr>
            </w:pPr>
            <w:r w:rsidRPr="00FF756A">
              <w:rPr>
                <w:sz w:val="20"/>
                <w:szCs w:val="20"/>
              </w:rPr>
              <w:t xml:space="preserve"> 103,2 </w:t>
            </w:r>
          </w:p>
        </w:tc>
      </w:tr>
      <w:tr w:rsidR="00B86FB3" w:rsidRPr="00FF756A" w14:paraId="093B4B02" w14:textId="77777777" w:rsidTr="006A3266">
        <w:trPr>
          <w:trHeight w:val="304"/>
        </w:trPr>
        <w:tc>
          <w:tcPr>
            <w:tcW w:w="2238" w:type="dxa"/>
            <w:tcBorders>
              <w:top w:val="nil"/>
              <w:left w:val="single" w:sz="8" w:space="0" w:color="FFFFFF"/>
              <w:bottom w:val="single" w:sz="8" w:space="0" w:color="FFFFFF"/>
              <w:right w:val="nil"/>
            </w:tcBorders>
            <w:shd w:val="clear" w:color="000000" w:fill="4F81BD"/>
            <w:noWrap/>
            <w:hideMark/>
          </w:tcPr>
          <w:p w14:paraId="1C468646" w14:textId="77777777" w:rsidR="00B86FB3" w:rsidRPr="00FF756A" w:rsidRDefault="00B86FB3" w:rsidP="00B86FB3">
            <w:pPr>
              <w:rPr>
                <w:rFonts w:eastAsia="Times New Roman"/>
                <w:color w:val="FFFFFF" w:themeColor="background1"/>
                <w:sz w:val="20"/>
                <w:szCs w:val="20"/>
              </w:rPr>
            </w:pPr>
            <w:bookmarkStart w:id="730" w:name="_Hlk180436601"/>
            <w:r w:rsidRPr="00FF756A">
              <w:rPr>
                <w:color w:val="FFFFFF" w:themeColor="background1"/>
                <w:sz w:val="20"/>
                <w:szCs w:val="20"/>
              </w:rPr>
              <w:t>Totali</w:t>
            </w:r>
          </w:p>
        </w:tc>
        <w:tc>
          <w:tcPr>
            <w:tcW w:w="875" w:type="dxa"/>
            <w:tcBorders>
              <w:top w:val="nil"/>
              <w:left w:val="nil"/>
              <w:bottom w:val="single" w:sz="8" w:space="0" w:color="FFFFFF"/>
              <w:right w:val="nil"/>
            </w:tcBorders>
            <w:shd w:val="clear" w:color="000000" w:fill="4F81BD"/>
            <w:noWrap/>
            <w:hideMark/>
          </w:tcPr>
          <w:p w14:paraId="5899DC82"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2 119,9 </w:t>
            </w:r>
          </w:p>
        </w:tc>
        <w:tc>
          <w:tcPr>
            <w:tcW w:w="876" w:type="dxa"/>
            <w:tcBorders>
              <w:top w:val="nil"/>
              <w:left w:val="nil"/>
              <w:bottom w:val="single" w:sz="8" w:space="0" w:color="FFFFFF"/>
              <w:right w:val="nil"/>
            </w:tcBorders>
            <w:shd w:val="clear" w:color="000000" w:fill="4F81BD"/>
            <w:noWrap/>
            <w:hideMark/>
          </w:tcPr>
          <w:p w14:paraId="21AD4018"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2 252,6 </w:t>
            </w:r>
          </w:p>
        </w:tc>
        <w:tc>
          <w:tcPr>
            <w:tcW w:w="876" w:type="dxa"/>
            <w:tcBorders>
              <w:top w:val="nil"/>
              <w:left w:val="nil"/>
              <w:bottom w:val="single" w:sz="8" w:space="0" w:color="FFFFFF"/>
              <w:right w:val="nil"/>
            </w:tcBorders>
            <w:shd w:val="clear" w:color="000000" w:fill="4F81BD"/>
            <w:noWrap/>
            <w:hideMark/>
          </w:tcPr>
          <w:p w14:paraId="0E809C88"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2 266,2 </w:t>
            </w:r>
          </w:p>
        </w:tc>
        <w:tc>
          <w:tcPr>
            <w:tcW w:w="876" w:type="dxa"/>
            <w:tcBorders>
              <w:top w:val="nil"/>
              <w:left w:val="nil"/>
              <w:bottom w:val="single" w:sz="8" w:space="0" w:color="FFFFFF"/>
              <w:right w:val="nil"/>
            </w:tcBorders>
            <w:shd w:val="clear" w:color="000000" w:fill="4F81BD"/>
            <w:noWrap/>
            <w:hideMark/>
          </w:tcPr>
          <w:p w14:paraId="7701CFA4"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2 290,3 </w:t>
            </w:r>
          </w:p>
        </w:tc>
        <w:tc>
          <w:tcPr>
            <w:tcW w:w="876" w:type="dxa"/>
            <w:tcBorders>
              <w:top w:val="nil"/>
              <w:left w:val="nil"/>
              <w:bottom w:val="single" w:sz="8" w:space="0" w:color="FFFFFF"/>
              <w:right w:val="nil"/>
            </w:tcBorders>
            <w:shd w:val="clear" w:color="000000" w:fill="4F81BD"/>
            <w:noWrap/>
            <w:hideMark/>
          </w:tcPr>
          <w:p w14:paraId="1B87B64C"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2 322,7 </w:t>
            </w:r>
          </w:p>
        </w:tc>
        <w:tc>
          <w:tcPr>
            <w:tcW w:w="876" w:type="dxa"/>
            <w:tcBorders>
              <w:top w:val="nil"/>
              <w:left w:val="nil"/>
              <w:bottom w:val="single" w:sz="8" w:space="0" w:color="FFFFFF"/>
              <w:right w:val="nil"/>
            </w:tcBorders>
            <w:shd w:val="clear" w:color="auto" w:fill="4472C4" w:themeFill="accent1"/>
            <w:noWrap/>
            <w:hideMark/>
          </w:tcPr>
          <w:p w14:paraId="406954DB"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2 435,0 </w:t>
            </w:r>
          </w:p>
        </w:tc>
        <w:tc>
          <w:tcPr>
            <w:tcW w:w="876" w:type="dxa"/>
            <w:tcBorders>
              <w:top w:val="nil"/>
              <w:left w:val="nil"/>
              <w:bottom w:val="single" w:sz="8" w:space="0" w:color="FFFFFF"/>
              <w:right w:val="nil"/>
            </w:tcBorders>
            <w:shd w:val="clear" w:color="000000" w:fill="4F81BD"/>
            <w:noWrap/>
            <w:hideMark/>
          </w:tcPr>
          <w:p w14:paraId="23E927D5" w14:textId="77777777" w:rsidR="00B86FB3" w:rsidRPr="00FF756A" w:rsidRDefault="00B86FB3" w:rsidP="00B86FB3">
            <w:pPr>
              <w:jc w:val="right"/>
              <w:rPr>
                <w:rFonts w:eastAsia="Times New Roman"/>
                <w:b/>
                <w:bCs/>
                <w:color w:val="FFFFFF" w:themeColor="background1"/>
                <w:sz w:val="20"/>
                <w:szCs w:val="20"/>
              </w:rPr>
            </w:pPr>
            <w:r w:rsidRPr="00FF756A">
              <w:rPr>
                <w:sz w:val="20"/>
                <w:szCs w:val="20"/>
              </w:rPr>
              <w:t xml:space="preserve"> 2 719,5 </w:t>
            </w:r>
          </w:p>
        </w:tc>
        <w:tc>
          <w:tcPr>
            <w:tcW w:w="876" w:type="dxa"/>
            <w:tcBorders>
              <w:top w:val="nil"/>
              <w:left w:val="nil"/>
              <w:bottom w:val="single" w:sz="8" w:space="0" w:color="FFFFFF"/>
              <w:right w:val="single" w:sz="8" w:space="0" w:color="FFFFFF"/>
            </w:tcBorders>
            <w:shd w:val="clear" w:color="000000" w:fill="4F81BD"/>
            <w:noWrap/>
            <w:hideMark/>
          </w:tcPr>
          <w:p w14:paraId="42A9DACA" w14:textId="77777777" w:rsidR="00B86FB3" w:rsidRPr="00FF756A" w:rsidRDefault="00B86FB3" w:rsidP="008E7DE9">
            <w:pPr>
              <w:keepNext/>
              <w:jc w:val="right"/>
              <w:rPr>
                <w:rFonts w:eastAsia="Times New Roman"/>
                <w:b/>
                <w:bCs/>
                <w:color w:val="FFFFFF" w:themeColor="background1"/>
                <w:sz w:val="20"/>
                <w:szCs w:val="20"/>
              </w:rPr>
            </w:pPr>
            <w:r w:rsidRPr="00FF756A">
              <w:rPr>
                <w:sz w:val="20"/>
                <w:szCs w:val="20"/>
              </w:rPr>
              <w:t xml:space="preserve"> 3 148,2 </w:t>
            </w:r>
          </w:p>
        </w:tc>
      </w:tr>
    </w:tbl>
    <w:p w14:paraId="561112B4" w14:textId="0D43A4C4" w:rsidR="00B86FB3" w:rsidRPr="00FF756A" w:rsidRDefault="008E7DE9" w:rsidP="008E7DE9">
      <w:pPr>
        <w:pStyle w:val="Caption"/>
        <w:rPr>
          <w:rFonts w:ascii="Times New Roman" w:hAnsi="Times New Roman"/>
        </w:rPr>
      </w:pPr>
      <w:bookmarkStart w:id="731" w:name="_Toc183016524"/>
      <w:bookmarkEnd w:id="730"/>
      <w:r w:rsidRPr="00FF756A">
        <w:rPr>
          <w:rFonts w:ascii="Times New Roman" w:hAnsi="Times New Roman"/>
        </w:rPr>
        <w:t xml:space="preserve">Tabela </w:t>
      </w:r>
      <w:r w:rsidRPr="00FF756A">
        <w:rPr>
          <w:rFonts w:ascii="Times New Roman" w:hAnsi="Times New Roman"/>
        </w:rPr>
        <w:fldChar w:fldCharType="begin"/>
      </w:r>
      <w:r w:rsidRPr="00FF756A">
        <w:rPr>
          <w:rFonts w:ascii="Times New Roman" w:hAnsi="Times New Roman"/>
        </w:rPr>
        <w:instrText xml:space="preserve"> SEQ Tabela \* ARABIC </w:instrText>
      </w:r>
      <w:r w:rsidRPr="00FF756A">
        <w:rPr>
          <w:rFonts w:ascii="Times New Roman" w:hAnsi="Times New Roman"/>
        </w:rPr>
        <w:fldChar w:fldCharType="separate"/>
      </w:r>
      <w:r w:rsidRPr="00FF756A">
        <w:rPr>
          <w:rFonts w:ascii="Times New Roman" w:hAnsi="Times New Roman"/>
          <w:noProof/>
        </w:rPr>
        <w:t>60</w:t>
      </w:r>
      <w:r w:rsidRPr="00FF756A">
        <w:rPr>
          <w:rFonts w:ascii="Times New Roman" w:hAnsi="Times New Roman"/>
          <w:noProof/>
        </w:rPr>
        <w:fldChar w:fldCharType="end"/>
      </w:r>
      <w:r w:rsidRPr="00FF756A">
        <w:rPr>
          <w:rFonts w:ascii="Times New Roman" w:hAnsi="Times New Roman"/>
        </w:rPr>
        <w:t>: Furnizimi me energji primare për periudhën kohore 2020-2023 dhe sipas parashikimeve deri në vitin 2030 dhe për vitet 2040 e 2050, për skenarin WAM. Vlerat negative tregojnë eksportet.</w:t>
      </w:r>
      <w:bookmarkEnd w:id="731"/>
    </w:p>
    <w:p w14:paraId="680758E2" w14:textId="77777777" w:rsidR="00B86FB3" w:rsidRPr="00FF756A" w:rsidRDefault="00B86FB3" w:rsidP="00B86FB3">
      <w:pPr>
        <w:keepNext/>
        <w:keepLines/>
        <w:spacing w:before="320"/>
        <w:outlineLvl w:val="4"/>
        <w:rPr>
          <w:rFonts w:eastAsia="Arial"/>
          <w:b/>
          <w:bCs/>
          <w:sz w:val="24"/>
          <w:szCs w:val="24"/>
        </w:rPr>
      </w:pPr>
      <w:bookmarkStart w:id="732" w:name="_Toc183639311"/>
      <w:r w:rsidRPr="00FF756A">
        <w:rPr>
          <w:rFonts w:eastAsia="Arial"/>
          <w:b/>
          <w:bCs/>
          <w:sz w:val="24"/>
          <w:szCs w:val="24"/>
        </w:rPr>
        <w:t>Kërkesa finale për energji</w:t>
      </w:r>
      <w:bookmarkEnd w:id="732"/>
    </w:p>
    <w:p w14:paraId="7CE9B99A" w14:textId="77777777" w:rsidR="00B86FB3" w:rsidRPr="00FF756A" w:rsidRDefault="00B86FB3" w:rsidP="00B86FB3">
      <w:r w:rsidRPr="00FF756A">
        <w:t xml:space="preserve">Në trajtën e një prezantimi me kërkesën finale për energji në ekonominë Shqiptare, </w:t>
      </w:r>
      <w:r w:rsidRPr="00FF756A">
        <w:fldChar w:fldCharType="begin"/>
      </w:r>
      <w:r w:rsidRPr="00FF756A">
        <w:instrText xml:space="preserve"> REF _Ref72919331 \h  \* MERGEFORMAT </w:instrText>
      </w:r>
      <w:r w:rsidRPr="00FF756A">
        <w:fldChar w:fldCharType="separate"/>
      </w:r>
      <w:r w:rsidRPr="00FF756A">
        <w:t>Tabela 36</w:t>
      </w:r>
      <w:r w:rsidRPr="00FF756A">
        <w:fldChar w:fldCharType="end"/>
      </w:r>
      <w:r w:rsidRPr="00FF756A">
        <w:t xml:space="preserve"> paraqet një krahasim të konsumit final të energjisë për sektorët me kërkesë për energji midis skenarit WEM (nga kreu 4) dhe skenarit WAM (ky kre). Në të dy skenarët, kërkesa për energji është në rritje. </w:t>
      </w:r>
    </w:p>
    <w:p w14:paraId="2D82518B" w14:textId="77777777" w:rsidR="00B86FB3" w:rsidRPr="00FF756A" w:rsidRDefault="00B86FB3" w:rsidP="00B86FB3">
      <w:bookmarkStart w:id="733" w:name="_Hlk75765296"/>
      <w:r w:rsidRPr="00FF756A">
        <w:t xml:space="preserve">Teksa në skenarin WEM vërehet një rritje e konsumit final të energjisë (në krahasim me vitin 2020) me 24,4% deri në vitin 2030, 55,3% deri në vitin 2040 dhe 101% deri në vitin 2050, ky konsum rritet me vetëm 17,4% deri në vitin 2030, 30% deri në vitin 2040 dhe 43,8% deri në vitin 2050 në skenarin WAM. Në mënyrë krahasimore, konsumi final i energjisë në skenarin WAM reduktohet krahasuar me skenarin WEM me 6,9% në vitin 2030, me 25,3% në vitin 2040 dhe me 57,4% në vitin 2050. </w:t>
      </w:r>
    </w:p>
    <w:bookmarkEnd w:id="733"/>
    <w:p w14:paraId="7B7EFA10" w14:textId="77777777" w:rsidR="00B86FB3" w:rsidRPr="00FF756A" w:rsidRDefault="00B86FB3" w:rsidP="00B86FB3">
      <w:pPr>
        <w:rPr>
          <w:i/>
          <w:iCs/>
        </w:rPr>
      </w:pPr>
    </w:p>
    <w:tbl>
      <w:tblPr>
        <w:tblStyle w:val="GridTable5DarkAccent10"/>
        <w:tblW w:w="9085" w:type="dxa"/>
        <w:tblLayout w:type="fixed"/>
        <w:tblLook w:val="04A0" w:firstRow="1" w:lastRow="0" w:firstColumn="1" w:lastColumn="0" w:noHBand="0" w:noVBand="1"/>
      </w:tblPr>
      <w:tblGrid>
        <w:gridCol w:w="2785"/>
        <w:gridCol w:w="787"/>
        <w:gridCol w:w="788"/>
        <w:gridCol w:w="787"/>
        <w:gridCol w:w="788"/>
        <w:gridCol w:w="787"/>
        <w:gridCol w:w="788"/>
        <w:gridCol w:w="787"/>
        <w:gridCol w:w="788"/>
      </w:tblGrid>
      <w:tr w:rsidR="00B86FB3" w:rsidRPr="00FF756A" w14:paraId="099D104B" w14:textId="77777777" w:rsidTr="006A3266">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785" w:type="dxa"/>
            <w:noWrap/>
            <w:hideMark/>
          </w:tcPr>
          <w:p w14:paraId="514C3D56" w14:textId="77777777" w:rsidR="00B86FB3" w:rsidRPr="00FF756A" w:rsidRDefault="00B86FB3" w:rsidP="00B86FB3">
            <w:pPr>
              <w:rPr>
                <w:rFonts w:eastAsia="Times New Roman" w:cs="Times New Roman"/>
                <w:color w:val="FFFFFF"/>
                <w:sz w:val="16"/>
                <w:szCs w:val="16"/>
              </w:rPr>
            </w:pPr>
            <w:r w:rsidRPr="00FF756A">
              <w:rPr>
                <w:rFonts w:cs="Times New Roman"/>
                <w:color w:val="FFFFFF"/>
                <w:sz w:val="16"/>
                <w:szCs w:val="16"/>
              </w:rPr>
              <w:t>Dega</w:t>
            </w:r>
          </w:p>
        </w:tc>
        <w:tc>
          <w:tcPr>
            <w:tcW w:w="787" w:type="dxa"/>
            <w:noWrap/>
            <w:hideMark/>
          </w:tcPr>
          <w:p w14:paraId="74D9DA17"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16"/>
                <w:szCs w:val="16"/>
              </w:rPr>
            </w:pPr>
            <w:r w:rsidRPr="00FF756A">
              <w:rPr>
                <w:rFonts w:cs="Times New Roman"/>
                <w:color w:val="FFFFFF"/>
                <w:sz w:val="16"/>
                <w:szCs w:val="16"/>
              </w:rPr>
              <w:t>2020</w:t>
            </w:r>
          </w:p>
        </w:tc>
        <w:tc>
          <w:tcPr>
            <w:tcW w:w="788" w:type="dxa"/>
            <w:noWrap/>
            <w:hideMark/>
          </w:tcPr>
          <w:p w14:paraId="649099FE"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16"/>
                <w:szCs w:val="16"/>
              </w:rPr>
            </w:pPr>
            <w:r w:rsidRPr="00FF756A">
              <w:rPr>
                <w:rFonts w:cs="Times New Roman"/>
                <w:color w:val="FFFFFF"/>
                <w:sz w:val="16"/>
                <w:szCs w:val="16"/>
              </w:rPr>
              <w:t>2021</w:t>
            </w:r>
          </w:p>
        </w:tc>
        <w:tc>
          <w:tcPr>
            <w:tcW w:w="787" w:type="dxa"/>
            <w:noWrap/>
            <w:hideMark/>
          </w:tcPr>
          <w:p w14:paraId="1A708602"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16"/>
                <w:szCs w:val="16"/>
              </w:rPr>
            </w:pPr>
            <w:r w:rsidRPr="00FF756A">
              <w:rPr>
                <w:rFonts w:cs="Times New Roman"/>
                <w:color w:val="FFFFFF"/>
                <w:sz w:val="16"/>
                <w:szCs w:val="16"/>
              </w:rPr>
              <w:t>2022</w:t>
            </w:r>
          </w:p>
        </w:tc>
        <w:tc>
          <w:tcPr>
            <w:tcW w:w="788" w:type="dxa"/>
            <w:noWrap/>
            <w:hideMark/>
          </w:tcPr>
          <w:p w14:paraId="69D1C14F"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16"/>
                <w:szCs w:val="16"/>
              </w:rPr>
            </w:pPr>
            <w:r w:rsidRPr="00FF756A">
              <w:rPr>
                <w:rFonts w:cs="Times New Roman"/>
                <w:color w:val="FFFFFF"/>
                <w:sz w:val="16"/>
                <w:szCs w:val="16"/>
              </w:rPr>
              <w:t>2023</w:t>
            </w:r>
          </w:p>
        </w:tc>
        <w:tc>
          <w:tcPr>
            <w:tcW w:w="787" w:type="dxa"/>
            <w:noWrap/>
            <w:hideMark/>
          </w:tcPr>
          <w:p w14:paraId="2EF1D196"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16"/>
                <w:szCs w:val="16"/>
              </w:rPr>
            </w:pPr>
            <w:r w:rsidRPr="00FF756A">
              <w:rPr>
                <w:rFonts w:cs="Times New Roman"/>
                <w:color w:val="FFFFFF"/>
                <w:sz w:val="16"/>
                <w:szCs w:val="16"/>
              </w:rPr>
              <w:t>2025</w:t>
            </w:r>
          </w:p>
        </w:tc>
        <w:tc>
          <w:tcPr>
            <w:tcW w:w="788" w:type="dxa"/>
            <w:shd w:val="clear" w:color="auto" w:fill="44546A" w:themeFill="text2"/>
            <w:noWrap/>
            <w:hideMark/>
          </w:tcPr>
          <w:p w14:paraId="0E0231D3"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16"/>
                <w:szCs w:val="16"/>
              </w:rPr>
            </w:pPr>
            <w:r w:rsidRPr="00FF756A">
              <w:rPr>
                <w:rFonts w:cs="Times New Roman"/>
                <w:color w:val="FFFFFF"/>
                <w:sz w:val="16"/>
                <w:szCs w:val="16"/>
              </w:rPr>
              <w:t>2030</w:t>
            </w:r>
          </w:p>
        </w:tc>
        <w:tc>
          <w:tcPr>
            <w:tcW w:w="787" w:type="dxa"/>
            <w:noWrap/>
            <w:hideMark/>
          </w:tcPr>
          <w:p w14:paraId="053E2653"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16"/>
                <w:szCs w:val="16"/>
              </w:rPr>
            </w:pPr>
            <w:r w:rsidRPr="00FF756A">
              <w:rPr>
                <w:rFonts w:cs="Times New Roman"/>
                <w:color w:val="FFFFFF"/>
                <w:sz w:val="16"/>
                <w:szCs w:val="16"/>
              </w:rPr>
              <w:t>2040</w:t>
            </w:r>
          </w:p>
        </w:tc>
        <w:tc>
          <w:tcPr>
            <w:tcW w:w="788" w:type="dxa"/>
            <w:noWrap/>
            <w:hideMark/>
          </w:tcPr>
          <w:p w14:paraId="3C50FA3F" w14:textId="77777777" w:rsidR="00B86FB3" w:rsidRPr="00FF756A" w:rsidRDefault="00B86FB3" w:rsidP="00B86FB3">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sz w:val="16"/>
                <w:szCs w:val="16"/>
              </w:rPr>
            </w:pPr>
            <w:r w:rsidRPr="00FF756A">
              <w:rPr>
                <w:rFonts w:cs="Times New Roman"/>
                <w:color w:val="FFFFFF"/>
                <w:sz w:val="16"/>
                <w:szCs w:val="16"/>
              </w:rPr>
              <w:t>2050</w:t>
            </w:r>
          </w:p>
        </w:tc>
      </w:tr>
      <w:tr w:rsidR="00B86FB3" w:rsidRPr="00FF756A" w14:paraId="6F82C30F" w14:textId="77777777" w:rsidTr="006A3266">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9085" w:type="dxa"/>
            <w:gridSpan w:val="9"/>
            <w:shd w:val="clear" w:color="auto" w:fill="44546A" w:themeFill="text2"/>
            <w:noWrap/>
            <w:hideMark/>
          </w:tcPr>
          <w:p w14:paraId="6986B2B5"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 xml:space="preserve">WAM </w:t>
            </w:r>
          </w:p>
        </w:tc>
      </w:tr>
      <w:tr w:rsidR="00B86FB3" w:rsidRPr="00FF756A" w14:paraId="34C098C8" w14:textId="77777777" w:rsidTr="006A3266">
        <w:trPr>
          <w:trHeight w:val="306"/>
        </w:trPr>
        <w:tc>
          <w:tcPr>
            <w:cnfStyle w:val="001000000000" w:firstRow="0" w:lastRow="0" w:firstColumn="1" w:lastColumn="0" w:oddVBand="0" w:evenVBand="0" w:oddHBand="0" w:evenHBand="0" w:firstRowFirstColumn="0" w:firstRowLastColumn="0" w:lastRowFirstColumn="0" w:lastRowLastColumn="0"/>
            <w:tcW w:w="2785" w:type="dxa"/>
            <w:shd w:val="clear" w:color="auto" w:fill="44546A" w:themeFill="text2"/>
            <w:noWrap/>
            <w:hideMark/>
          </w:tcPr>
          <w:p w14:paraId="06821994"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Sektori i banesave</w:t>
            </w:r>
          </w:p>
        </w:tc>
        <w:tc>
          <w:tcPr>
            <w:tcW w:w="787" w:type="dxa"/>
            <w:noWrap/>
            <w:hideMark/>
          </w:tcPr>
          <w:p w14:paraId="481BF17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520,2 </w:t>
            </w:r>
          </w:p>
        </w:tc>
        <w:tc>
          <w:tcPr>
            <w:tcW w:w="788" w:type="dxa"/>
            <w:noWrap/>
            <w:hideMark/>
          </w:tcPr>
          <w:p w14:paraId="730A827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524,5 </w:t>
            </w:r>
          </w:p>
        </w:tc>
        <w:tc>
          <w:tcPr>
            <w:tcW w:w="787" w:type="dxa"/>
            <w:noWrap/>
            <w:hideMark/>
          </w:tcPr>
          <w:p w14:paraId="753C308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512,4 </w:t>
            </w:r>
          </w:p>
        </w:tc>
        <w:tc>
          <w:tcPr>
            <w:tcW w:w="788" w:type="dxa"/>
            <w:noWrap/>
            <w:hideMark/>
          </w:tcPr>
          <w:p w14:paraId="211F6DE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504,1 </w:t>
            </w:r>
          </w:p>
        </w:tc>
        <w:tc>
          <w:tcPr>
            <w:tcW w:w="787" w:type="dxa"/>
            <w:noWrap/>
            <w:hideMark/>
          </w:tcPr>
          <w:p w14:paraId="4DC851A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489,2 </w:t>
            </w:r>
          </w:p>
        </w:tc>
        <w:tc>
          <w:tcPr>
            <w:tcW w:w="788" w:type="dxa"/>
            <w:shd w:val="clear" w:color="auto" w:fill="44546A" w:themeFill="text2"/>
            <w:noWrap/>
            <w:hideMark/>
          </w:tcPr>
          <w:p w14:paraId="18F1042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453,4 </w:t>
            </w:r>
          </w:p>
        </w:tc>
        <w:tc>
          <w:tcPr>
            <w:tcW w:w="787" w:type="dxa"/>
            <w:noWrap/>
            <w:hideMark/>
          </w:tcPr>
          <w:p w14:paraId="7139248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426,0 </w:t>
            </w:r>
          </w:p>
        </w:tc>
        <w:tc>
          <w:tcPr>
            <w:tcW w:w="788" w:type="dxa"/>
            <w:noWrap/>
          </w:tcPr>
          <w:p w14:paraId="383A6EF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483,4 </w:t>
            </w:r>
          </w:p>
        </w:tc>
      </w:tr>
      <w:tr w:rsidR="00B86FB3" w:rsidRPr="00FF756A" w14:paraId="27016EA0" w14:textId="77777777" w:rsidTr="006A3266">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785" w:type="dxa"/>
            <w:shd w:val="clear" w:color="auto" w:fill="44546A" w:themeFill="text2"/>
            <w:noWrap/>
            <w:hideMark/>
          </w:tcPr>
          <w:p w14:paraId="5BB20553"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Shërbimet</w:t>
            </w:r>
          </w:p>
        </w:tc>
        <w:tc>
          <w:tcPr>
            <w:tcW w:w="787" w:type="dxa"/>
            <w:noWrap/>
            <w:hideMark/>
          </w:tcPr>
          <w:p w14:paraId="578324B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197,7 </w:t>
            </w:r>
          </w:p>
        </w:tc>
        <w:tc>
          <w:tcPr>
            <w:tcW w:w="788" w:type="dxa"/>
            <w:noWrap/>
            <w:hideMark/>
          </w:tcPr>
          <w:p w14:paraId="5D25032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218,8 </w:t>
            </w:r>
          </w:p>
        </w:tc>
        <w:tc>
          <w:tcPr>
            <w:tcW w:w="787" w:type="dxa"/>
            <w:noWrap/>
            <w:hideMark/>
          </w:tcPr>
          <w:p w14:paraId="6FF60A1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218,8 </w:t>
            </w:r>
          </w:p>
        </w:tc>
        <w:tc>
          <w:tcPr>
            <w:tcW w:w="788" w:type="dxa"/>
            <w:noWrap/>
            <w:hideMark/>
          </w:tcPr>
          <w:p w14:paraId="4CEDECE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224,7 </w:t>
            </w:r>
          </w:p>
        </w:tc>
        <w:tc>
          <w:tcPr>
            <w:tcW w:w="787" w:type="dxa"/>
            <w:noWrap/>
            <w:hideMark/>
          </w:tcPr>
          <w:p w14:paraId="5EA6E82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239,3 </w:t>
            </w:r>
          </w:p>
        </w:tc>
        <w:tc>
          <w:tcPr>
            <w:tcW w:w="788" w:type="dxa"/>
            <w:shd w:val="clear" w:color="auto" w:fill="44546A" w:themeFill="text2"/>
            <w:noWrap/>
            <w:hideMark/>
          </w:tcPr>
          <w:p w14:paraId="442633B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268,4 </w:t>
            </w:r>
          </w:p>
        </w:tc>
        <w:tc>
          <w:tcPr>
            <w:tcW w:w="787" w:type="dxa"/>
            <w:noWrap/>
            <w:hideMark/>
          </w:tcPr>
          <w:p w14:paraId="089B72E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313,0 </w:t>
            </w:r>
          </w:p>
        </w:tc>
        <w:tc>
          <w:tcPr>
            <w:tcW w:w="788" w:type="dxa"/>
            <w:noWrap/>
          </w:tcPr>
          <w:p w14:paraId="4E9436A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353,1 </w:t>
            </w:r>
          </w:p>
        </w:tc>
      </w:tr>
      <w:tr w:rsidR="00B86FB3" w:rsidRPr="00FF756A" w14:paraId="270F8BC8" w14:textId="77777777" w:rsidTr="006A3266">
        <w:trPr>
          <w:trHeight w:val="306"/>
        </w:trPr>
        <w:tc>
          <w:tcPr>
            <w:cnfStyle w:val="001000000000" w:firstRow="0" w:lastRow="0" w:firstColumn="1" w:lastColumn="0" w:oddVBand="0" w:evenVBand="0" w:oddHBand="0" w:evenHBand="0" w:firstRowFirstColumn="0" w:firstRowLastColumn="0" w:lastRowFirstColumn="0" w:lastRowLastColumn="0"/>
            <w:tcW w:w="2785" w:type="dxa"/>
            <w:shd w:val="clear" w:color="auto" w:fill="44546A" w:themeFill="text2"/>
            <w:noWrap/>
            <w:hideMark/>
          </w:tcPr>
          <w:p w14:paraId="7CFDAE50"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Industria</w:t>
            </w:r>
          </w:p>
        </w:tc>
        <w:tc>
          <w:tcPr>
            <w:tcW w:w="787" w:type="dxa"/>
            <w:noWrap/>
            <w:hideMark/>
          </w:tcPr>
          <w:p w14:paraId="2B152A2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370,6 </w:t>
            </w:r>
          </w:p>
        </w:tc>
        <w:tc>
          <w:tcPr>
            <w:tcW w:w="788" w:type="dxa"/>
            <w:noWrap/>
            <w:hideMark/>
          </w:tcPr>
          <w:p w14:paraId="65FDD93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437,2 </w:t>
            </w:r>
          </w:p>
        </w:tc>
        <w:tc>
          <w:tcPr>
            <w:tcW w:w="787" w:type="dxa"/>
            <w:noWrap/>
            <w:hideMark/>
          </w:tcPr>
          <w:p w14:paraId="56836A7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433,0 </w:t>
            </w:r>
          </w:p>
        </w:tc>
        <w:tc>
          <w:tcPr>
            <w:tcW w:w="788" w:type="dxa"/>
            <w:noWrap/>
            <w:hideMark/>
          </w:tcPr>
          <w:p w14:paraId="0A988D1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445,6 </w:t>
            </w:r>
          </w:p>
        </w:tc>
        <w:tc>
          <w:tcPr>
            <w:tcW w:w="787" w:type="dxa"/>
            <w:noWrap/>
            <w:hideMark/>
          </w:tcPr>
          <w:p w14:paraId="1969326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471,1 </w:t>
            </w:r>
          </w:p>
        </w:tc>
        <w:tc>
          <w:tcPr>
            <w:tcW w:w="788" w:type="dxa"/>
            <w:shd w:val="clear" w:color="auto" w:fill="44546A" w:themeFill="text2"/>
            <w:noWrap/>
            <w:hideMark/>
          </w:tcPr>
          <w:p w14:paraId="73BF4FB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540,7 </w:t>
            </w:r>
          </w:p>
        </w:tc>
        <w:tc>
          <w:tcPr>
            <w:tcW w:w="787" w:type="dxa"/>
            <w:noWrap/>
            <w:hideMark/>
          </w:tcPr>
          <w:p w14:paraId="0D62F9F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713,1 </w:t>
            </w:r>
          </w:p>
        </w:tc>
        <w:tc>
          <w:tcPr>
            <w:tcW w:w="788" w:type="dxa"/>
            <w:noWrap/>
          </w:tcPr>
          <w:p w14:paraId="291BB58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956,1 </w:t>
            </w:r>
          </w:p>
        </w:tc>
      </w:tr>
      <w:tr w:rsidR="00B86FB3" w:rsidRPr="00FF756A" w14:paraId="04F8AF89" w14:textId="77777777" w:rsidTr="006A3266">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785" w:type="dxa"/>
            <w:shd w:val="clear" w:color="auto" w:fill="44546A" w:themeFill="text2"/>
            <w:noWrap/>
            <w:hideMark/>
          </w:tcPr>
          <w:p w14:paraId="1A7230AE"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Transporti</w:t>
            </w:r>
          </w:p>
        </w:tc>
        <w:tc>
          <w:tcPr>
            <w:tcW w:w="787" w:type="dxa"/>
            <w:noWrap/>
            <w:hideMark/>
          </w:tcPr>
          <w:p w14:paraId="29C23F7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653,8 </w:t>
            </w:r>
          </w:p>
        </w:tc>
        <w:tc>
          <w:tcPr>
            <w:tcW w:w="788" w:type="dxa"/>
            <w:noWrap/>
            <w:hideMark/>
          </w:tcPr>
          <w:p w14:paraId="1C09207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694,3 </w:t>
            </w:r>
          </w:p>
        </w:tc>
        <w:tc>
          <w:tcPr>
            <w:tcW w:w="787" w:type="dxa"/>
            <w:noWrap/>
            <w:hideMark/>
          </w:tcPr>
          <w:p w14:paraId="252FD24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721,9 </w:t>
            </w:r>
          </w:p>
        </w:tc>
        <w:tc>
          <w:tcPr>
            <w:tcW w:w="788" w:type="dxa"/>
            <w:noWrap/>
            <w:hideMark/>
          </w:tcPr>
          <w:p w14:paraId="36A274C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706,9 </w:t>
            </w:r>
          </w:p>
        </w:tc>
        <w:tc>
          <w:tcPr>
            <w:tcW w:w="787" w:type="dxa"/>
            <w:noWrap/>
            <w:hideMark/>
          </w:tcPr>
          <w:p w14:paraId="1166329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716,4 </w:t>
            </w:r>
          </w:p>
        </w:tc>
        <w:tc>
          <w:tcPr>
            <w:tcW w:w="788" w:type="dxa"/>
            <w:shd w:val="clear" w:color="auto" w:fill="44546A" w:themeFill="text2"/>
            <w:noWrap/>
            <w:hideMark/>
          </w:tcPr>
          <w:p w14:paraId="18AE6A0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769,7 </w:t>
            </w:r>
          </w:p>
        </w:tc>
        <w:tc>
          <w:tcPr>
            <w:tcW w:w="787" w:type="dxa"/>
            <w:noWrap/>
            <w:hideMark/>
          </w:tcPr>
          <w:p w14:paraId="7625318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768,2 </w:t>
            </w:r>
          </w:p>
        </w:tc>
        <w:tc>
          <w:tcPr>
            <w:tcW w:w="788" w:type="dxa"/>
            <w:noWrap/>
          </w:tcPr>
          <w:p w14:paraId="0BE901D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670,0 </w:t>
            </w:r>
          </w:p>
        </w:tc>
      </w:tr>
      <w:tr w:rsidR="00B86FB3" w:rsidRPr="00FF756A" w14:paraId="17DC4462" w14:textId="77777777" w:rsidTr="006A3266">
        <w:trPr>
          <w:trHeight w:val="306"/>
        </w:trPr>
        <w:tc>
          <w:tcPr>
            <w:cnfStyle w:val="001000000000" w:firstRow="0" w:lastRow="0" w:firstColumn="1" w:lastColumn="0" w:oddVBand="0" w:evenVBand="0" w:oddHBand="0" w:evenHBand="0" w:firstRowFirstColumn="0" w:firstRowLastColumn="0" w:lastRowFirstColumn="0" w:lastRowLastColumn="0"/>
            <w:tcW w:w="2785" w:type="dxa"/>
            <w:shd w:val="clear" w:color="auto" w:fill="44546A" w:themeFill="text2"/>
            <w:noWrap/>
            <w:hideMark/>
          </w:tcPr>
          <w:p w14:paraId="5372DC1B"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Bujqësia Pylltaria</w:t>
            </w:r>
          </w:p>
        </w:tc>
        <w:tc>
          <w:tcPr>
            <w:tcW w:w="787" w:type="dxa"/>
            <w:noWrap/>
            <w:hideMark/>
          </w:tcPr>
          <w:p w14:paraId="7872E0A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76,8 </w:t>
            </w:r>
          </w:p>
        </w:tc>
        <w:tc>
          <w:tcPr>
            <w:tcW w:w="788" w:type="dxa"/>
            <w:noWrap/>
            <w:hideMark/>
          </w:tcPr>
          <w:p w14:paraId="6A20851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79,5 </w:t>
            </w:r>
          </w:p>
        </w:tc>
        <w:tc>
          <w:tcPr>
            <w:tcW w:w="787" w:type="dxa"/>
            <w:noWrap/>
            <w:hideMark/>
          </w:tcPr>
          <w:p w14:paraId="7C9F707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79,5 </w:t>
            </w:r>
          </w:p>
        </w:tc>
        <w:tc>
          <w:tcPr>
            <w:tcW w:w="788" w:type="dxa"/>
            <w:noWrap/>
            <w:hideMark/>
          </w:tcPr>
          <w:p w14:paraId="0BAB6C2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81,5 </w:t>
            </w:r>
          </w:p>
        </w:tc>
        <w:tc>
          <w:tcPr>
            <w:tcW w:w="787" w:type="dxa"/>
            <w:noWrap/>
            <w:hideMark/>
          </w:tcPr>
          <w:p w14:paraId="4A6056F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85,5 </w:t>
            </w:r>
          </w:p>
        </w:tc>
        <w:tc>
          <w:tcPr>
            <w:tcW w:w="788" w:type="dxa"/>
            <w:shd w:val="clear" w:color="auto" w:fill="44546A" w:themeFill="text2"/>
            <w:noWrap/>
            <w:hideMark/>
          </w:tcPr>
          <w:p w14:paraId="6CF4991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96,7 </w:t>
            </w:r>
          </w:p>
        </w:tc>
        <w:tc>
          <w:tcPr>
            <w:tcW w:w="787" w:type="dxa"/>
            <w:noWrap/>
            <w:hideMark/>
          </w:tcPr>
          <w:p w14:paraId="7EA302D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111,1 </w:t>
            </w:r>
          </w:p>
        </w:tc>
        <w:tc>
          <w:tcPr>
            <w:tcW w:w="788" w:type="dxa"/>
            <w:noWrap/>
          </w:tcPr>
          <w:p w14:paraId="4EB1D8F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104,6 </w:t>
            </w:r>
          </w:p>
        </w:tc>
      </w:tr>
      <w:tr w:rsidR="00B86FB3" w:rsidRPr="00FF756A" w14:paraId="6FB7D99E" w14:textId="77777777" w:rsidTr="006A3266">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785" w:type="dxa"/>
            <w:shd w:val="clear" w:color="auto" w:fill="44546A" w:themeFill="text2"/>
            <w:noWrap/>
            <w:hideMark/>
          </w:tcPr>
          <w:p w14:paraId="78382B3B"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Peshkimi</w:t>
            </w:r>
          </w:p>
        </w:tc>
        <w:tc>
          <w:tcPr>
            <w:tcW w:w="787" w:type="dxa"/>
            <w:noWrap/>
            <w:hideMark/>
          </w:tcPr>
          <w:p w14:paraId="1DDF692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42,3 </w:t>
            </w:r>
          </w:p>
        </w:tc>
        <w:tc>
          <w:tcPr>
            <w:tcW w:w="788" w:type="dxa"/>
            <w:noWrap/>
            <w:hideMark/>
          </w:tcPr>
          <w:p w14:paraId="1ED1B43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41,7 </w:t>
            </w:r>
          </w:p>
        </w:tc>
        <w:tc>
          <w:tcPr>
            <w:tcW w:w="787" w:type="dxa"/>
            <w:noWrap/>
            <w:hideMark/>
          </w:tcPr>
          <w:p w14:paraId="6DFC756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41,7 </w:t>
            </w:r>
          </w:p>
        </w:tc>
        <w:tc>
          <w:tcPr>
            <w:tcW w:w="788" w:type="dxa"/>
            <w:noWrap/>
            <w:hideMark/>
          </w:tcPr>
          <w:p w14:paraId="0930EA2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43,7 </w:t>
            </w:r>
          </w:p>
        </w:tc>
        <w:tc>
          <w:tcPr>
            <w:tcW w:w="787" w:type="dxa"/>
            <w:noWrap/>
            <w:hideMark/>
          </w:tcPr>
          <w:p w14:paraId="3494A0A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47,9 </w:t>
            </w:r>
          </w:p>
        </w:tc>
        <w:tc>
          <w:tcPr>
            <w:tcW w:w="788" w:type="dxa"/>
            <w:shd w:val="clear" w:color="auto" w:fill="44546A" w:themeFill="text2"/>
            <w:noWrap/>
            <w:hideMark/>
          </w:tcPr>
          <w:p w14:paraId="44E329F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60,4 </w:t>
            </w:r>
          </w:p>
        </w:tc>
        <w:tc>
          <w:tcPr>
            <w:tcW w:w="787" w:type="dxa"/>
            <w:noWrap/>
            <w:hideMark/>
          </w:tcPr>
          <w:p w14:paraId="59CE9F2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86,5 </w:t>
            </w:r>
          </w:p>
        </w:tc>
        <w:tc>
          <w:tcPr>
            <w:tcW w:w="788" w:type="dxa"/>
            <w:noWrap/>
          </w:tcPr>
          <w:p w14:paraId="66BCAFF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101,3 </w:t>
            </w:r>
          </w:p>
        </w:tc>
      </w:tr>
      <w:tr w:rsidR="00B86FB3" w:rsidRPr="00FF756A" w14:paraId="045103C7" w14:textId="77777777" w:rsidTr="006A3266">
        <w:trPr>
          <w:trHeight w:val="306"/>
        </w:trPr>
        <w:tc>
          <w:tcPr>
            <w:cnfStyle w:val="001000000000" w:firstRow="0" w:lastRow="0" w:firstColumn="1" w:lastColumn="0" w:oddVBand="0" w:evenVBand="0" w:oddHBand="0" w:evenHBand="0" w:firstRowFirstColumn="0" w:firstRowLastColumn="0" w:lastRowFirstColumn="0" w:lastRowLastColumn="0"/>
            <w:tcW w:w="2785" w:type="dxa"/>
            <w:shd w:val="clear" w:color="auto" w:fill="44546A" w:themeFill="text2"/>
            <w:noWrap/>
            <w:hideMark/>
          </w:tcPr>
          <w:p w14:paraId="7B246D65"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Sektorët joenergjetikë</w:t>
            </w:r>
          </w:p>
        </w:tc>
        <w:tc>
          <w:tcPr>
            <w:tcW w:w="787" w:type="dxa"/>
            <w:noWrap/>
            <w:hideMark/>
          </w:tcPr>
          <w:p w14:paraId="3F85A43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54,7 </w:t>
            </w:r>
          </w:p>
        </w:tc>
        <w:tc>
          <w:tcPr>
            <w:tcW w:w="788" w:type="dxa"/>
            <w:noWrap/>
            <w:hideMark/>
          </w:tcPr>
          <w:p w14:paraId="04F9BAC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54,7 </w:t>
            </w:r>
          </w:p>
        </w:tc>
        <w:tc>
          <w:tcPr>
            <w:tcW w:w="787" w:type="dxa"/>
            <w:noWrap/>
            <w:hideMark/>
          </w:tcPr>
          <w:p w14:paraId="7B804F1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54,7 </w:t>
            </w:r>
          </w:p>
        </w:tc>
        <w:tc>
          <w:tcPr>
            <w:tcW w:w="788" w:type="dxa"/>
            <w:noWrap/>
            <w:hideMark/>
          </w:tcPr>
          <w:p w14:paraId="046738E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53,9 </w:t>
            </w:r>
          </w:p>
        </w:tc>
        <w:tc>
          <w:tcPr>
            <w:tcW w:w="787" w:type="dxa"/>
            <w:noWrap/>
            <w:hideMark/>
          </w:tcPr>
          <w:p w14:paraId="06FE4F5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56,1 </w:t>
            </w:r>
          </w:p>
        </w:tc>
        <w:tc>
          <w:tcPr>
            <w:tcW w:w="788" w:type="dxa"/>
            <w:shd w:val="clear" w:color="auto" w:fill="44546A" w:themeFill="text2"/>
            <w:noWrap/>
            <w:hideMark/>
          </w:tcPr>
          <w:p w14:paraId="653634D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61,4 </w:t>
            </w:r>
          </w:p>
        </w:tc>
        <w:tc>
          <w:tcPr>
            <w:tcW w:w="787" w:type="dxa"/>
            <w:noWrap/>
            <w:hideMark/>
          </w:tcPr>
          <w:p w14:paraId="6B94ED9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72,8 </w:t>
            </w:r>
          </w:p>
        </w:tc>
        <w:tc>
          <w:tcPr>
            <w:tcW w:w="788" w:type="dxa"/>
            <w:noWrap/>
          </w:tcPr>
          <w:p w14:paraId="4B6BDED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86,9 </w:t>
            </w:r>
          </w:p>
        </w:tc>
      </w:tr>
      <w:tr w:rsidR="00B86FB3" w:rsidRPr="00FF756A" w14:paraId="3C0C730D" w14:textId="77777777" w:rsidTr="006A3266">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785" w:type="dxa"/>
            <w:shd w:val="clear" w:color="auto" w:fill="44546A" w:themeFill="text2"/>
            <w:noWrap/>
            <w:hideMark/>
          </w:tcPr>
          <w:p w14:paraId="330A8DB6"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 xml:space="preserve">WAM total </w:t>
            </w:r>
          </w:p>
        </w:tc>
        <w:tc>
          <w:tcPr>
            <w:tcW w:w="787" w:type="dxa"/>
            <w:shd w:val="clear" w:color="auto" w:fill="44546A" w:themeFill="text2"/>
            <w:noWrap/>
            <w:hideMark/>
          </w:tcPr>
          <w:p w14:paraId="36EB3D3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1 916,1 </w:t>
            </w:r>
          </w:p>
        </w:tc>
        <w:tc>
          <w:tcPr>
            <w:tcW w:w="788" w:type="dxa"/>
            <w:shd w:val="clear" w:color="auto" w:fill="44546A" w:themeFill="text2"/>
            <w:noWrap/>
            <w:hideMark/>
          </w:tcPr>
          <w:p w14:paraId="7998F08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2 050,7 </w:t>
            </w:r>
          </w:p>
        </w:tc>
        <w:tc>
          <w:tcPr>
            <w:tcW w:w="787" w:type="dxa"/>
            <w:shd w:val="clear" w:color="auto" w:fill="44546A" w:themeFill="text2"/>
            <w:noWrap/>
            <w:hideMark/>
          </w:tcPr>
          <w:p w14:paraId="7B503AB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2 062,0 </w:t>
            </w:r>
          </w:p>
        </w:tc>
        <w:tc>
          <w:tcPr>
            <w:tcW w:w="788" w:type="dxa"/>
            <w:shd w:val="clear" w:color="auto" w:fill="44546A" w:themeFill="text2"/>
            <w:noWrap/>
            <w:hideMark/>
          </w:tcPr>
          <w:p w14:paraId="4FE8757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2 060,4 </w:t>
            </w:r>
          </w:p>
        </w:tc>
        <w:tc>
          <w:tcPr>
            <w:tcW w:w="787" w:type="dxa"/>
            <w:shd w:val="clear" w:color="auto" w:fill="44546A" w:themeFill="text2"/>
            <w:noWrap/>
            <w:hideMark/>
          </w:tcPr>
          <w:p w14:paraId="23EE1B2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2 105,7 </w:t>
            </w:r>
          </w:p>
        </w:tc>
        <w:tc>
          <w:tcPr>
            <w:tcW w:w="788" w:type="dxa"/>
            <w:shd w:val="clear" w:color="auto" w:fill="44546A" w:themeFill="text2"/>
            <w:noWrap/>
            <w:hideMark/>
          </w:tcPr>
          <w:p w14:paraId="0093D23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2 250,6 </w:t>
            </w:r>
          </w:p>
        </w:tc>
        <w:tc>
          <w:tcPr>
            <w:tcW w:w="787" w:type="dxa"/>
            <w:shd w:val="clear" w:color="auto" w:fill="44546A" w:themeFill="text2"/>
            <w:noWrap/>
            <w:hideMark/>
          </w:tcPr>
          <w:p w14:paraId="41F3C91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2 490,7 </w:t>
            </w:r>
          </w:p>
        </w:tc>
        <w:tc>
          <w:tcPr>
            <w:tcW w:w="788" w:type="dxa"/>
            <w:shd w:val="clear" w:color="auto" w:fill="44546A" w:themeFill="text2"/>
            <w:noWrap/>
          </w:tcPr>
          <w:p w14:paraId="40774E8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2 755,3 </w:t>
            </w:r>
          </w:p>
        </w:tc>
      </w:tr>
      <w:tr w:rsidR="00B86FB3" w:rsidRPr="00FF756A" w14:paraId="0629B4C7" w14:textId="77777777" w:rsidTr="006A3266">
        <w:trPr>
          <w:trHeight w:val="306"/>
        </w:trPr>
        <w:tc>
          <w:tcPr>
            <w:cnfStyle w:val="001000000000" w:firstRow="0" w:lastRow="0" w:firstColumn="1" w:lastColumn="0" w:oddVBand="0" w:evenVBand="0" w:oddHBand="0" w:evenHBand="0" w:firstRowFirstColumn="0" w:firstRowLastColumn="0" w:lastRowFirstColumn="0" w:lastRowLastColumn="0"/>
            <w:tcW w:w="2785" w:type="dxa"/>
            <w:noWrap/>
            <w:hideMark/>
          </w:tcPr>
          <w:p w14:paraId="44A683AD" w14:textId="77777777" w:rsidR="00B86FB3" w:rsidRPr="00FF756A" w:rsidRDefault="00B86FB3" w:rsidP="00B86FB3">
            <w:pPr>
              <w:rPr>
                <w:rFonts w:eastAsia="Times New Roman" w:cs="Times New Roman"/>
                <w:b w:val="0"/>
                <w:bCs w:val="0"/>
                <w:color w:val="FFFFFF"/>
                <w:sz w:val="16"/>
                <w:szCs w:val="16"/>
              </w:rPr>
            </w:pPr>
            <w:r w:rsidRPr="00FF756A">
              <w:rPr>
                <w:rFonts w:cs="Times New Roman"/>
                <w:sz w:val="16"/>
                <w:szCs w:val="16"/>
              </w:rPr>
              <w:t>Ndryshimi i WAM krahasuar me 2020 [%]</w:t>
            </w:r>
          </w:p>
        </w:tc>
        <w:tc>
          <w:tcPr>
            <w:tcW w:w="787" w:type="dxa"/>
            <w:shd w:val="clear" w:color="auto" w:fill="4472C4" w:themeFill="accent1"/>
            <w:noWrap/>
            <w:hideMark/>
          </w:tcPr>
          <w:p w14:paraId="4316686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6"/>
                <w:szCs w:val="18"/>
              </w:rPr>
            </w:pPr>
            <w:r w:rsidRPr="00FF756A">
              <w:rPr>
                <w:rFonts w:cs="Times New Roman"/>
                <w:color w:val="FFFFFF" w:themeColor="background1"/>
                <w:sz w:val="16"/>
                <w:szCs w:val="18"/>
              </w:rPr>
              <w:t> </w:t>
            </w:r>
          </w:p>
        </w:tc>
        <w:tc>
          <w:tcPr>
            <w:tcW w:w="788" w:type="dxa"/>
            <w:shd w:val="clear" w:color="auto" w:fill="4472C4" w:themeFill="accent1"/>
            <w:noWrap/>
            <w:hideMark/>
          </w:tcPr>
          <w:p w14:paraId="4DB0081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6"/>
                <w:szCs w:val="16"/>
              </w:rPr>
            </w:pPr>
            <w:r w:rsidRPr="00FF756A">
              <w:rPr>
                <w:rFonts w:cs="Times New Roman"/>
                <w:color w:val="FFFFFF" w:themeColor="background1"/>
                <w:sz w:val="16"/>
                <w:szCs w:val="16"/>
              </w:rPr>
              <w:t>7,0%</w:t>
            </w:r>
          </w:p>
        </w:tc>
        <w:tc>
          <w:tcPr>
            <w:tcW w:w="787" w:type="dxa"/>
            <w:shd w:val="clear" w:color="auto" w:fill="4472C4" w:themeFill="accent1"/>
            <w:noWrap/>
            <w:hideMark/>
          </w:tcPr>
          <w:p w14:paraId="7534326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6"/>
                <w:szCs w:val="16"/>
              </w:rPr>
            </w:pPr>
            <w:r w:rsidRPr="00FF756A">
              <w:rPr>
                <w:rFonts w:cs="Times New Roman"/>
                <w:color w:val="FFFFFF" w:themeColor="background1"/>
                <w:sz w:val="16"/>
                <w:szCs w:val="16"/>
              </w:rPr>
              <w:t>7,6%</w:t>
            </w:r>
          </w:p>
        </w:tc>
        <w:tc>
          <w:tcPr>
            <w:tcW w:w="788" w:type="dxa"/>
            <w:shd w:val="clear" w:color="auto" w:fill="4472C4" w:themeFill="accent1"/>
            <w:noWrap/>
          </w:tcPr>
          <w:p w14:paraId="6E7F5D0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6"/>
                <w:szCs w:val="16"/>
              </w:rPr>
            </w:pPr>
            <w:r w:rsidRPr="00FF756A">
              <w:rPr>
                <w:rFonts w:cs="Times New Roman"/>
                <w:color w:val="FFFFFF" w:themeColor="background1"/>
                <w:sz w:val="16"/>
                <w:szCs w:val="16"/>
              </w:rPr>
              <w:t>7,5%</w:t>
            </w:r>
          </w:p>
        </w:tc>
        <w:tc>
          <w:tcPr>
            <w:tcW w:w="787" w:type="dxa"/>
            <w:shd w:val="clear" w:color="auto" w:fill="4472C4" w:themeFill="accent1"/>
            <w:noWrap/>
          </w:tcPr>
          <w:p w14:paraId="2720E93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6"/>
                <w:szCs w:val="16"/>
              </w:rPr>
            </w:pPr>
            <w:r w:rsidRPr="00FF756A">
              <w:rPr>
                <w:rFonts w:cs="Times New Roman"/>
                <w:color w:val="FFFFFF" w:themeColor="background1"/>
                <w:sz w:val="16"/>
                <w:szCs w:val="16"/>
              </w:rPr>
              <w:t>9,9%</w:t>
            </w:r>
          </w:p>
        </w:tc>
        <w:tc>
          <w:tcPr>
            <w:tcW w:w="788" w:type="dxa"/>
            <w:shd w:val="clear" w:color="auto" w:fill="4472C4" w:themeFill="accent1"/>
            <w:noWrap/>
          </w:tcPr>
          <w:p w14:paraId="34A03083"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6"/>
                <w:szCs w:val="16"/>
              </w:rPr>
            </w:pPr>
            <w:r w:rsidRPr="00FF756A">
              <w:rPr>
                <w:rFonts w:cs="Times New Roman"/>
                <w:color w:val="FFFFFF" w:themeColor="background1"/>
                <w:sz w:val="16"/>
                <w:szCs w:val="16"/>
              </w:rPr>
              <w:t>17,5%</w:t>
            </w:r>
          </w:p>
        </w:tc>
        <w:tc>
          <w:tcPr>
            <w:tcW w:w="787" w:type="dxa"/>
            <w:shd w:val="clear" w:color="auto" w:fill="4472C4" w:themeFill="accent1"/>
            <w:noWrap/>
          </w:tcPr>
          <w:p w14:paraId="0071CE4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6"/>
                <w:szCs w:val="16"/>
              </w:rPr>
            </w:pPr>
            <w:r w:rsidRPr="00FF756A">
              <w:rPr>
                <w:rFonts w:cs="Times New Roman"/>
                <w:color w:val="FFFFFF" w:themeColor="background1"/>
                <w:sz w:val="16"/>
                <w:szCs w:val="16"/>
              </w:rPr>
              <w:t>30,0%</w:t>
            </w:r>
          </w:p>
        </w:tc>
        <w:tc>
          <w:tcPr>
            <w:tcW w:w="788" w:type="dxa"/>
            <w:shd w:val="clear" w:color="auto" w:fill="4472C4" w:themeFill="accent1"/>
            <w:noWrap/>
          </w:tcPr>
          <w:p w14:paraId="29037EF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6"/>
                <w:szCs w:val="16"/>
              </w:rPr>
            </w:pPr>
            <w:r w:rsidRPr="00FF756A">
              <w:rPr>
                <w:rFonts w:cs="Times New Roman"/>
                <w:color w:val="FFFFFF" w:themeColor="background1"/>
                <w:sz w:val="16"/>
                <w:szCs w:val="16"/>
              </w:rPr>
              <w:t>43,8%</w:t>
            </w:r>
          </w:p>
        </w:tc>
      </w:tr>
      <w:tr w:rsidR="00B86FB3" w:rsidRPr="00FF756A" w14:paraId="3720BF1D" w14:textId="77777777" w:rsidTr="006A3266">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9085" w:type="dxa"/>
            <w:gridSpan w:val="9"/>
            <w:noWrap/>
            <w:hideMark/>
          </w:tcPr>
          <w:p w14:paraId="0908F161" w14:textId="77777777" w:rsidR="00B86FB3" w:rsidRPr="00FF756A" w:rsidRDefault="00B86FB3" w:rsidP="00B86FB3">
            <w:pPr>
              <w:rPr>
                <w:rFonts w:eastAsia="Times New Roman" w:cs="Times New Roman"/>
                <w:sz w:val="16"/>
                <w:szCs w:val="16"/>
              </w:rPr>
            </w:pPr>
            <w:r w:rsidRPr="00FF756A">
              <w:rPr>
                <w:rFonts w:cs="Times New Roman"/>
                <w:sz w:val="16"/>
                <w:szCs w:val="16"/>
              </w:rPr>
              <w:t>WEM</w:t>
            </w:r>
          </w:p>
        </w:tc>
      </w:tr>
      <w:tr w:rsidR="00B86FB3" w:rsidRPr="00FF756A" w14:paraId="0A983C95" w14:textId="77777777" w:rsidTr="006A3266">
        <w:trPr>
          <w:trHeight w:val="306"/>
        </w:trPr>
        <w:tc>
          <w:tcPr>
            <w:cnfStyle w:val="001000000000" w:firstRow="0" w:lastRow="0" w:firstColumn="1" w:lastColumn="0" w:oddVBand="0" w:evenVBand="0" w:oddHBand="0" w:evenHBand="0" w:firstRowFirstColumn="0" w:firstRowLastColumn="0" w:lastRowFirstColumn="0" w:lastRowLastColumn="0"/>
            <w:tcW w:w="2785" w:type="dxa"/>
            <w:noWrap/>
            <w:hideMark/>
          </w:tcPr>
          <w:p w14:paraId="7E508573"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Sektori i banesave</w:t>
            </w:r>
          </w:p>
        </w:tc>
        <w:tc>
          <w:tcPr>
            <w:tcW w:w="787" w:type="dxa"/>
            <w:noWrap/>
            <w:hideMark/>
          </w:tcPr>
          <w:p w14:paraId="721C811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520,2 </w:t>
            </w:r>
          </w:p>
        </w:tc>
        <w:tc>
          <w:tcPr>
            <w:tcW w:w="788" w:type="dxa"/>
            <w:noWrap/>
            <w:hideMark/>
          </w:tcPr>
          <w:p w14:paraId="4A903F6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524,5 </w:t>
            </w:r>
          </w:p>
        </w:tc>
        <w:tc>
          <w:tcPr>
            <w:tcW w:w="787" w:type="dxa"/>
            <w:noWrap/>
            <w:hideMark/>
          </w:tcPr>
          <w:p w14:paraId="1ADDC86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512,4 </w:t>
            </w:r>
          </w:p>
        </w:tc>
        <w:tc>
          <w:tcPr>
            <w:tcW w:w="788" w:type="dxa"/>
            <w:noWrap/>
            <w:hideMark/>
          </w:tcPr>
          <w:p w14:paraId="495E242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505,2 </w:t>
            </w:r>
          </w:p>
        </w:tc>
        <w:tc>
          <w:tcPr>
            <w:tcW w:w="787" w:type="dxa"/>
            <w:noWrap/>
            <w:hideMark/>
          </w:tcPr>
          <w:p w14:paraId="3B9D0AD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498,2 </w:t>
            </w:r>
          </w:p>
        </w:tc>
        <w:tc>
          <w:tcPr>
            <w:tcW w:w="788" w:type="dxa"/>
            <w:shd w:val="clear" w:color="auto" w:fill="4472C4" w:themeFill="accent1"/>
            <w:noWrap/>
            <w:hideMark/>
          </w:tcPr>
          <w:p w14:paraId="12B58F7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481,5 </w:t>
            </w:r>
          </w:p>
        </w:tc>
        <w:tc>
          <w:tcPr>
            <w:tcW w:w="787" w:type="dxa"/>
            <w:noWrap/>
            <w:hideMark/>
          </w:tcPr>
          <w:p w14:paraId="5A4D3B9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485,6 </w:t>
            </w:r>
          </w:p>
        </w:tc>
        <w:tc>
          <w:tcPr>
            <w:tcW w:w="788" w:type="dxa"/>
            <w:noWrap/>
          </w:tcPr>
          <w:p w14:paraId="5FF30F2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579,2 </w:t>
            </w:r>
          </w:p>
        </w:tc>
      </w:tr>
      <w:tr w:rsidR="00B86FB3" w:rsidRPr="00FF756A" w14:paraId="7A93DD9A" w14:textId="77777777" w:rsidTr="006A3266">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785" w:type="dxa"/>
            <w:noWrap/>
            <w:hideMark/>
          </w:tcPr>
          <w:p w14:paraId="0D58E092"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Shërbimet</w:t>
            </w:r>
          </w:p>
        </w:tc>
        <w:tc>
          <w:tcPr>
            <w:tcW w:w="787" w:type="dxa"/>
            <w:noWrap/>
            <w:hideMark/>
          </w:tcPr>
          <w:p w14:paraId="25ABFC9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197,7 </w:t>
            </w:r>
          </w:p>
        </w:tc>
        <w:tc>
          <w:tcPr>
            <w:tcW w:w="788" w:type="dxa"/>
            <w:noWrap/>
            <w:hideMark/>
          </w:tcPr>
          <w:p w14:paraId="5206AFA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218,8 </w:t>
            </w:r>
          </w:p>
        </w:tc>
        <w:tc>
          <w:tcPr>
            <w:tcW w:w="787" w:type="dxa"/>
            <w:noWrap/>
            <w:hideMark/>
          </w:tcPr>
          <w:p w14:paraId="658DA8B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218,8 </w:t>
            </w:r>
          </w:p>
        </w:tc>
        <w:tc>
          <w:tcPr>
            <w:tcW w:w="788" w:type="dxa"/>
            <w:noWrap/>
            <w:hideMark/>
          </w:tcPr>
          <w:p w14:paraId="068DF81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225,7 </w:t>
            </w:r>
          </w:p>
        </w:tc>
        <w:tc>
          <w:tcPr>
            <w:tcW w:w="787" w:type="dxa"/>
            <w:noWrap/>
            <w:hideMark/>
          </w:tcPr>
          <w:p w14:paraId="0F72E65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243,3 </w:t>
            </w:r>
          </w:p>
        </w:tc>
        <w:tc>
          <w:tcPr>
            <w:tcW w:w="788" w:type="dxa"/>
            <w:shd w:val="clear" w:color="auto" w:fill="4472C4" w:themeFill="accent1"/>
            <w:noWrap/>
            <w:hideMark/>
          </w:tcPr>
          <w:p w14:paraId="45FA7D1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288,4 </w:t>
            </w:r>
          </w:p>
        </w:tc>
        <w:tc>
          <w:tcPr>
            <w:tcW w:w="787" w:type="dxa"/>
            <w:noWrap/>
            <w:hideMark/>
          </w:tcPr>
          <w:p w14:paraId="359E39D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377,1 </w:t>
            </w:r>
          </w:p>
        </w:tc>
        <w:tc>
          <w:tcPr>
            <w:tcW w:w="788" w:type="dxa"/>
            <w:noWrap/>
          </w:tcPr>
          <w:p w14:paraId="121CEBE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458,2 </w:t>
            </w:r>
          </w:p>
        </w:tc>
      </w:tr>
      <w:tr w:rsidR="00B86FB3" w:rsidRPr="00FF756A" w14:paraId="1240FB8D" w14:textId="77777777" w:rsidTr="006A3266">
        <w:trPr>
          <w:trHeight w:val="306"/>
        </w:trPr>
        <w:tc>
          <w:tcPr>
            <w:cnfStyle w:val="001000000000" w:firstRow="0" w:lastRow="0" w:firstColumn="1" w:lastColumn="0" w:oddVBand="0" w:evenVBand="0" w:oddHBand="0" w:evenHBand="0" w:firstRowFirstColumn="0" w:firstRowLastColumn="0" w:lastRowFirstColumn="0" w:lastRowLastColumn="0"/>
            <w:tcW w:w="2785" w:type="dxa"/>
            <w:noWrap/>
            <w:hideMark/>
          </w:tcPr>
          <w:p w14:paraId="15A95C7A"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Industria</w:t>
            </w:r>
          </w:p>
        </w:tc>
        <w:tc>
          <w:tcPr>
            <w:tcW w:w="787" w:type="dxa"/>
            <w:noWrap/>
            <w:hideMark/>
          </w:tcPr>
          <w:p w14:paraId="1D4D6DCB"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370,6 </w:t>
            </w:r>
          </w:p>
        </w:tc>
        <w:tc>
          <w:tcPr>
            <w:tcW w:w="788" w:type="dxa"/>
            <w:noWrap/>
            <w:hideMark/>
          </w:tcPr>
          <w:p w14:paraId="3E79C47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437,2 </w:t>
            </w:r>
          </w:p>
        </w:tc>
        <w:tc>
          <w:tcPr>
            <w:tcW w:w="787" w:type="dxa"/>
            <w:noWrap/>
            <w:hideMark/>
          </w:tcPr>
          <w:p w14:paraId="6071BF4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433,0 </w:t>
            </w:r>
          </w:p>
        </w:tc>
        <w:tc>
          <w:tcPr>
            <w:tcW w:w="788" w:type="dxa"/>
            <w:noWrap/>
            <w:hideMark/>
          </w:tcPr>
          <w:p w14:paraId="06C4B2C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446,0 </w:t>
            </w:r>
          </w:p>
        </w:tc>
        <w:tc>
          <w:tcPr>
            <w:tcW w:w="787" w:type="dxa"/>
            <w:noWrap/>
            <w:hideMark/>
          </w:tcPr>
          <w:p w14:paraId="430C6DC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473,5 </w:t>
            </w:r>
          </w:p>
        </w:tc>
        <w:tc>
          <w:tcPr>
            <w:tcW w:w="788" w:type="dxa"/>
            <w:shd w:val="clear" w:color="auto" w:fill="4472C4" w:themeFill="accent1"/>
            <w:noWrap/>
            <w:hideMark/>
          </w:tcPr>
          <w:p w14:paraId="4EDBC56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551,6 </w:t>
            </w:r>
          </w:p>
        </w:tc>
        <w:tc>
          <w:tcPr>
            <w:tcW w:w="787" w:type="dxa"/>
            <w:noWrap/>
            <w:hideMark/>
          </w:tcPr>
          <w:p w14:paraId="602FF78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749,8 </w:t>
            </w:r>
          </w:p>
        </w:tc>
        <w:tc>
          <w:tcPr>
            <w:tcW w:w="788" w:type="dxa"/>
            <w:noWrap/>
          </w:tcPr>
          <w:p w14:paraId="2B37AEF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1 036,0 </w:t>
            </w:r>
          </w:p>
        </w:tc>
      </w:tr>
      <w:tr w:rsidR="00B86FB3" w:rsidRPr="00FF756A" w14:paraId="3D2B52BC" w14:textId="77777777" w:rsidTr="006A3266">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785" w:type="dxa"/>
            <w:noWrap/>
            <w:hideMark/>
          </w:tcPr>
          <w:p w14:paraId="61FF0951"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Transporti</w:t>
            </w:r>
          </w:p>
        </w:tc>
        <w:tc>
          <w:tcPr>
            <w:tcW w:w="787" w:type="dxa"/>
            <w:noWrap/>
            <w:hideMark/>
          </w:tcPr>
          <w:p w14:paraId="10155201"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653,8 </w:t>
            </w:r>
          </w:p>
        </w:tc>
        <w:tc>
          <w:tcPr>
            <w:tcW w:w="788" w:type="dxa"/>
            <w:noWrap/>
            <w:hideMark/>
          </w:tcPr>
          <w:p w14:paraId="1CF7A13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694,3 </w:t>
            </w:r>
          </w:p>
        </w:tc>
        <w:tc>
          <w:tcPr>
            <w:tcW w:w="787" w:type="dxa"/>
            <w:noWrap/>
            <w:hideMark/>
          </w:tcPr>
          <w:p w14:paraId="62F0A54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721,9 </w:t>
            </w:r>
          </w:p>
        </w:tc>
        <w:tc>
          <w:tcPr>
            <w:tcW w:w="788" w:type="dxa"/>
            <w:noWrap/>
            <w:hideMark/>
          </w:tcPr>
          <w:p w14:paraId="4502718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718,7 </w:t>
            </w:r>
          </w:p>
        </w:tc>
        <w:tc>
          <w:tcPr>
            <w:tcW w:w="787" w:type="dxa"/>
            <w:noWrap/>
            <w:hideMark/>
          </w:tcPr>
          <w:p w14:paraId="09C96FB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752,5 </w:t>
            </w:r>
          </w:p>
        </w:tc>
        <w:tc>
          <w:tcPr>
            <w:tcW w:w="788" w:type="dxa"/>
            <w:shd w:val="clear" w:color="auto" w:fill="4472C4" w:themeFill="accent1"/>
            <w:noWrap/>
            <w:hideMark/>
          </w:tcPr>
          <w:p w14:paraId="0FCF2050"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842,1 </w:t>
            </w:r>
          </w:p>
        </w:tc>
        <w:tc>
          <w:tcPr>
            <w:tcW w:w="787" w:type="dxa"/>
            <w:noWrap/>
            <w:hideMark/>
          </w:tcPr>
          <w:p w14:paraId="1817615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1 065,6 </w:t>
            </w:r>
          </w:p>
        </w:tc>
        <w:tc>
          <w:tcPr>
            <w:tcW w:w="788" w:type="dxa"/>
            <w:noWrap/>
          </w:tcPr>
          <w:p w14:paraId="53FD72D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1 374,6 </w:t>
            </w:r>
          </w:p>
        </w:tc>
      </w:tr>
      <w:tr w:rsidR="00B86FB3" w:rsidRPr="00FF756A" w14:paraId="6685B7FD" w14:textId="77777777" w:rsidTr="006A3266">
        <w:trPr>
          <w:trHeight w:val="306"/>
        </w:trPr>
        <w:tc>
          <w:tcPr>
            <w:cnfStyle w:val="001000000000" w:firstRow="0" w:lastRow="0" w:firstColumn="1" w:lastColumn="0" w:oddVBand="0" w:evenVBand="0" w:oddHBand="0" w:evenHBand="0" w:firstRowFirstColumn="0" w:firstRowLastColumn="0" w:lastRowFirstColumn="0" w:lastRowLastColumn="0"/>
            <w:tcW w:w="2785" w:type="dxa"/>
            <w:noWrap/>
            <w:hideMark/>
          </w:tcPr>
          <w:p w14:paraId="4211CBB7"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Bujqësia Pylltaria</w:t>
            </w:r>
          </w:p>
        </w:tc>
        <w:tc>
          <w:tcPr>
            <w:tcW w:w="787" w:type="dxa"/>
            <w:noWrap/>
            <w:hideMark/>
          </w:tcPr>
          <w:p w14:paraId="3FC1080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76,8 </w:t>
            </w:r>
          </w:p>
        </w:tc>
        <w:tc>
          <w:tcPr>
            <w:tcW w:w="788" w:type="dxa"/>
            <w:noWrap/>
            <w:hideMark/>
          </w:tcPr>
          <w:p w14:paraId="6B5D67C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79,5 </w:t>
            </w:r>
          </w:p>
        </w:tc>
        <w:tc>
          <w:tcPr>
            <w:tcW w:w="787" w:type="dxa"/>
            <w:noWrap/>
            <w:hideMark/>
          </w:tcPr>
          <w:p w14:paraId="7964285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79,5 </w:t>
            </w:r>
          </w:p>
        </w:tc>
        <w:tc>
          <w:tcPr>
            <w:tcW w:w="788" w:type="dxa"/>
            <w:noWrap/>
            <w:hideMark/>
          </w:tcPr>
          <w:p w14:paraId="126BAD9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81,5 </w:t>
            </w:r>
          </w:p>
        </w:tc>
        <w:tc>
          <w:tcPr>
            <w:tcW w:w="787" w:type="dxa"/>
            <w:noWrap/>
            <w:hideMark/>
          </w:tcPr>
          <w:p w14:paraId="47EECDD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85,5 </w:t>
            </w:r>
          </w:p>
        </w:tc>
        <w:tc>
          <w:tcPr>
            <w:tcW w:w="788" w:type="dxa"/>
            <w:shd w:val="clear" w:color="auto" w:fill="4472C4" w:themeFill="accent1"/>
            <w:noWrap/>
            <w:hideMark/>
          </w:tcPr>
          <w:p w14:paraId="2F5CCC50"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96,7 </w:t>
            </w:r>
          </w:p>
        </w:tc>
        <w:tc>
          <w:tcPr>
            <w:tcW w:w="787" w:type="dxa"/>
            <w:noWrap/>
            <w:hideMark/>
          </w:tcPr>
          <w:p w14:paraId="1616ECE9"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123,4 </w:t>
            </w:r>
          </w:p>
        </w:tc>
        <w:tc>
          <w:tcPr>
            <w:tcW w:w="788" w:type="dxa"/>
            <w:noWrap/>
          </w:tcPr>
          <w:p w14:paraId="088B63F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157,6 </w:t>
            </w:r>
          </w:p>
        </w:tc>
      </w:tr>
      <w:tr w:rsidR="00B86FB3" w:rsidRPr="00FF756A" w14:paraId="432C470C" w14:textId="77777777" w:rsidTr="006A3266">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785" w:type="dxa"/>
            <w:noWrap/>
            <w:hideMark/>
          </w:tcPr>
          <w:p w14:paraId="32F061E4"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Peshkimi</w:t>
            </w:r>
          </w:p>
        </w:tc>
        <w:tc>
          <w:tcPr>
            <w:tcW w:w="787" w:type="dxa"/>
            <w:noWrap/>
            <w:hideMark/>
          </w:tcPr>
          <w:p w14:paraId="4AE840C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42,3 </w:t>
            </w:r>
          </w:p>
        </w:tc>
        <w:tc>
          <w:tcPr>
            <w:tcW w:w="788" w:type="dxa"/>
            <w:noWrap/>
            <w:hideMark/>
          </w:tcPr>
          <w:p w14:paraId="4B099058"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41,7 </w:t>
            </w:r>
          </w:p>
        </w:tc>
        <w:tc>
          <w:tcPr>
            <w:tcW w:w="787" w:type="dxa"/>
            <w:noWrap/>
            <w:hideMark/>
          </w:tcPr>
          <w:p w14:paraId="48F3647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41,7 </w:t>
            </w:r>
          </w:p>
        </w:tc>
        <w:tc>
          <w:tcPr>
            <w:tcW w:w="788" w:type="dxa"/>
            <w:noWrap/>
            <w:hideMark/>
          </w:tcPr>
          <w:p w14:paraId="3C615982"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43,7 </w:t>
            </w:r>
          </w:p>
        </w:tc>
        <w:tc>
          <w:tcPr>
            <w:tcW w:w="787" w:type="dxa"/>
            <w:noWrap/>
            <w:hideMark/>
          </w:tcPr>
          <w:p w14:paraId="7DB39FD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47,9 </w:t>
            </w:r>
          </w:p>
        </w:tc>
        <w:tc>
          <w:tcPr>
            <w:tcW w:w="788" w:type="dxa"/>
            <w:shd w:val="clear" w:color="auto" w:fill="4472C4" w:themeFill="accent1"/>
            <w:noWrap/>
            <w:hideMark/>
          </w:tcPr>
          <w:p w14:paraId="6F09316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60,4 </w:t>
            </w:r>
          </w:p>
        </w:tc>
        <w:tc>
          <w:tcPr>
            <w:tcW w:w="787" w:type="dxa"/>
            <w:noWrap/>
            <w:hideMark/>
          </w:tcPr>
          <w:p w14:paraId="4EBA603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96,1 </w:t>
            </w:r>
          </w:p>
        </w:tc>
        <w:tc>
          <w:tcPr>
            <w:tcW w:w="788" w:type="dxa"/>
            <w:noWrap/>
          </w:tcPr>
          <w:p w14:paraId="5F0AFA2C"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152,7 </w:t>
            </w:r>
          </w:p>
        </w:tc>
      </w:tr>
      <w:tr w:rsidR="00B86FB3" w:rsidRPr="00FF756A" w14:paraId="45C22EA0" w14:textId="77777777" w:rsidTr="006A3266">
        <w:trPr>
          <w:trHeight w:val="306"/>
        </w:trPr>
        <w:tc>
          <w:tcPr>
            <w:cnfStyle w:val="001000000000" w:firstRow="0" w:lastRow="0" w:firstColumn="1" w:lastColumn="0" w:oddVBand="0" w:evenVBand="0" w:oddHBand="0" w:evenHBand="0" w:firstRowFirstColumn="0" w:firstRowLastColumn="0" w:lastRowFirstColumn="0" w:lastRowLastColumn="0"/>
            <w:tcW w:w="2785" w:type="dxa"/>
            <w:noWrap/>
            <w:hideMark/>
          </w:tcPr>
          <w:p w14:paraId="14AE61C4"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Sektorët joenergjetikë</w:t>
            </w:r>
          </w:p>
        </w:tc>
        <w:tc>
          <w:tcPr>
            <w:tcW w:w="787" w:type="dxa"/>
            <w:noWrap/>
            <w:hideMark/>
          </w:tcPr>
          <w:p w14:paraId="00E95DD8"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54,7 </w:t>
            </w:r>
          </w:p>
        </w:tc>
        <w:tc>
          <w:tcPr>
            <w:tcW w:w="788" w:type="dxa"/>
            <w:noWrap/>
            <w:hideMark/>
          </w:tcPr>
          <w:p w14:paraId="13C1DF7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54,7 </w:t>
            </w:r>
          </w:p>
        </w:tc>
        <w:tc>
          <w:tcPr>
            <w:tcW w:w="787" w:type="dxa"/>
            <w:noWrap/>
            <w:hideMark/>
          </w:tcPr>
          <w:p w14:paraId="0FA5BFD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54,7 </w:t>
            </w:r>
          </w:p>
        </w:tc>
        <w:tc>
          <w:tcPr>
            <w:tcW w:w="788" w:type="dxa"/>
            <w:noWrap/>
            <w:hideMark/>
          </w:tcPr>
          <w:p w14:paraId="64BCFBD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54,1 </w:t>
            </w:r>
          </w:p>
        </w:tc>
        <w:tc>
          <w:tcPr>
            <w:tcW w:w="787" w:type="dxa"/>
            <w:noWrap/>
            <w:hideMark/>
          </w:tcPr>
          <w:p w14:paraId="41159AA4"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56,5 </w:t>
            </w:r>
          </w:p>
        </w:tc>
        <w:tc>
          <w:tcPr>
            <w:tcW w:w="788" w:type="dxa"/>
            <w:shd w:val="clear" w:color="auto" w:fill="4472C4" w:themeFill="accent1"/>
            <w:noWrap/>
            <w:hideMark/>
          </w:tcPr>
          <w:p w14:paraId="74DA649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62,4 </w:t>
            </w:r>
          </w:p>
        </w:tc>
        <w:tc>
          <w:tcPr>
            <w:tcW w:w="787" w:type="dxa"/>
            <w:noWrap/>
            <w:hideMark/>
          </w:tcPr>
          <w:p w14:paraId="7951B49E"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78,2 </w:t>
            </w:r>
          </w:p>
        </w:tc>
        <w:tc>
          <w:tcPr>
            <w:tcW w:w="788" w:type="dxa"/>
            <w:noWrap/>
          </w:tcPr>
          <w:p w14:paraId="4E8B016A"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sz w:val="16"/>
                <w:szCs w:val="16"/>
              </w:rPr>
              <w:t xml:space="preserve"> 97,2 </w:t>
            </w:r>
          </w:p>
        </w:tc>
      </w:tr>
      <w:tr w:rsidR="00B86FB3" w:rsidRPr="00FF756A" w14:paraId="601DE915" w14:textId="77777777" w:rsidTr="006A3266">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785" w:type="dxa"/>
            <w:noWrap/>
            <w:hideMark/>
          </w:tcPr>
          <w:p w14:paraId="45839846" w14:textId="77777777" w:rsidR="00B86FB3" w:rsidRPr="00FF756A" w:rsidRDefault="00B86FB3" w:rsidP="00B86FB3">
            <w:pPr>
              <w:rPr>
                <w:rFonts w:eastAsia="Times New Roman" w:cs="Times New Roman"/>
                <w:b w:val="0"/>
                <w:bCs w:val="0"/>
                <w:color w:val="FFFFFF"/>
                <w:sz w:val="16"/>
                <w:szCs w:val="16"/>
              </w:rPr>
            </w:pPr>
            <w:r w:rsidRPr="00FF756A">
              <w:rPr>
                <w:rFonts w:cs="Times New Roman"/>
                <w:color w:val="FFFFFF"/>
                <w:sz w:val="16"/>
                <w:szCs w:val="16"/>
              </w:rPr>
              <w:t>WEM total</w:t>
            </w:r>
          </w:p>
        </w:tc>
        <w:tc>
          <w:tcPr>
            <w:tcW w:w="787" w:type="dxa"/>
            <w:shd w:val="clear" w:color="auto" w:fill="4472C4" w:themeFill="accent1"/>
            <w:noWrap/>
            <w:hideMark/>
          </w:tcPr>
          <w:p w14:paraId="6475A1B3"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1 916,1 </w:t>
            </w:r>
          </w:p>
        </w:tc>
        <w:tc>
          <w:tcPr>
            <w:tcW w:w="788" w:type="dxa"/>
            <w:shd w:val="clear" w:color="auto" w:fill="4472C4" w:themeFill="accent1"/>
            <w:noWrap/>
            <w:hideMark/>
          </w:tcPr>
          <w:p w14:paraId="0FC93BE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2 050,7 </w:t>
            </w:r>
          </w:p>
        </w:tc>
        <w:tc>
          <w:tcPr>
            <w:tcW w:w="787" w:type="dxa"/>
            <w:shd w:val="clear" w:color="auto" w:fill="4472C4" w:themeFill="accent1"/>
            <w:noWrap/>
            <w:hideMark/>
          </w:tcPr>
          <w:p w14:paraId="360CBC2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2 062,0 </w:t>
            </w:r>
          </w:p>
        </w:tc>
        <w:tc>
          <w:tcPr>
            <w:tcW w:w="788" w:type="dxa"/>
            <w:shd w:val="clear" w:color="auto" w:fill="4472C4" w:themeFill="accent1"/>
            <w:noWrap/>
            <w:hideMark/>
          </w:tcPr>
          <w:p w14:paraId="219B01D5"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2 074,8 </w:t>
            </w:r>
          </w:p>
        </w:tc>
        <w:tc>
          <w:tcPr>
            <w:tcW w:w="787" w:type="dxa"/>
            <w:shd w:val="clear" w:color="auto" w:fill="4472C4" w:themeFill="accent1"/>
            <w:noWrap/>
            <w:hideMark/>
          </w:tcPr>
          <w:p w14:paraId="52A1FDCD"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2 157,4 </w:t>
            </w:r>
          </w:p>
        </w:tc>
        <w:tc>
          <w:tcPr>
            <w:tcW w:w="788" w:type="dxa"/>
            <w:shd w:val="clear" w:color="auto" w:fill="4472C4" w:themeFill="accent1"/>
            <w:noWrap/>
            <w:hideMark/>
          </w:tcPr>
          <w:p w14:paraId="2B928EDF"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2 383,0 </w:t>
            </w:r>
          </w:p>
        </w:tc>
        <w:tc>
          <w:tcPr>
            <w:tcW w:w="787" w:type="dxa"/>
            <w:shd w:val="clear" w:color="auto" w:fill="4472C4" w:themeFill="accent1"/>
            <w:noWrap/>
            <w:hideMark/>
          </w:tcPr>
          <w:p w14:paraId="307FBBFB"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2 975,7 </w:t>
            </w:r>
          </w:p>
        </w:tc>
        <w:tc>
          <w:tcPr>
            <w:tcW w:w="788" w:type="dxa"/>
            <w:shd w:val="clear" w:color="auto" w:fill="4472C4" w:themeFill="accent1"/>
            <w:noWrap/>
          </w:tcPr>
          <w:p w14:paraId="2F5B6427"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 xml:space="preserve"> 3 855,4 </w:t>
            </w:r>
          </w:p>
        </w:tc>
      </w:tr>
      <w:tr w:rsidR="00B86FB3" w:rsidRPr="00FF756A" w14:paraId="777B2035" w14:textId="77777777" w:rsidTr="006A3266">
        <w:trPr>
          <w:trHeight w:val="316"/>
        </w:trPr>
        <w:tc>
          <w:tcPr>
            <w:cnfStyle w:val="001000000000" w:firstRow="0" w:lastRow="0" w:firstColumn="1" w:lastColumn="0" w:oddVBand="0" w:evenVBand="0" w:oddHBand="0" w:evenHBand="0" w:firstRowFirstColumn="0" w:firstRowLastColumn="0" w:lastRowFirstColumn="0" w:lastRowLastColumn="0"/>
            <w:tcW w:w="2785" w:type="dxa"/>
            <w:noWrap/>
            <w:hideMark/>
          </w:tcPr>
          <w:p w14:paraId="7683BE51" w14:textId="77777777" w:rsidR="00B86FB3" w:rsidRPr="00FF756A" w:rsidRDefault="00B86FB3" w:rsidP="00B86FB3">
            <w:pPr>
              <w:rPr>
                <w:rFonts w:eastAsia="Times New Roman" w:cs="Times New Roman"/>
                <w:b w:val="0"/>
                <w:bCs w:val="0"/>
                <w:color w:val="FFFFFF"/>
                <w:sz w:val="16"/>
                <w:szCs w:val="16"/>
              </w:rPr>
            </w:pPr>
            <w:r w:rsidRPr="00FF756A">
              <w:rPr>
                <w:rFonts w:cs="Times New Roman"/>
                <w:sz w:val="16"/>
              </w:rPr>
              <w:t>Ndryshimi i WEM krahasuar me 2020 [%]</w:t>
            </w:r>
            <w:r w:rsidRPr="00FF756A">
              <w:rPr>
                <w:rFonts w:cs="Times New Roman"/>
                <w:color w:val="000000"/>
              </w:rPr>
              <w:t>  </w:t>
            </w:r>
          </w:p>
        </w:tc>
        <w:tc>
          <w:tcPr>
            <w:tcW w:w="787" w:type="dxa"/>
            <w:shd w:val="clear" w:color="auto" w:fill="4472C4" w:themeFill="accent1"/>
            <w:noWrap/>
            <w:hideMark/>
          </w:tcPr>
          <w:p w14:paraId="372914A6"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rPr>
            </w:pPr>
            <w:r w:rsidRPr="00FF756A">
              <w:rPr>
                <w:rFonts w:cs="Times New Roman"/>
                <w:color w:val="000000"/>
                <w:sz w:val="16"/>
                <w:szCs w:val="16"/>
              </w:rPr>
              <w:t> </w:t>
            </w:r>
          </w:p>
        </w:tc>
        <w:tc>
          <w:tcPr>
            <w:tcW w:w="788" w:type="dxa"/>
            <w:shd w:val="clear" w:color="auto" w:fill="4472C4" w:themeFill="accent1"/>
            <w:noWrap/>
            <w:hideMark/>
          </w:tcPr>
          <w:p w14:paraId="3E09FB72"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7,0%</w:t>
            </w:r>
          </w:p>
        </w:tc>
        <w:tc>
          <w:tcPr>
            <w:tcW w:w="787" w:type="dxa"/>
            <w:shd w:val="clear" w:color="auto" w:fill="4472C4" w:themeFill="accent1"/>
            <w:noWrap/>
            <w:hideMark/>
          </w:tcPr>
          <w:p w14:paraId="200027C5"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7,6%</w:t>
            </w:r>
          </w:p>
        </w:tc>
        <w:tc>
          <w:tcPr>
            <w:tcW w:w="788" w:type="dxa"/>
            <w:shd w:val="clear" w:color="auto" w:fill="4472C4" w:themeFill="accent1"/>
            <w:noWrap/>
          </w:tcPr>
          <w:p w14:paraId="410284DC"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8,3%</w:t>
            </w:r>
          </w:p>
        </w:tc>
        <w:tc>
          <w:tcPr>
            <w:tcW w:w="787" w:type="dxa"/>
            <w:shd w:val="clear" w:color="auto" w:fill="4472C4" w:themeFill="accent1"/>
            <w:noWrap/>
            <w:hideMark/>
          </w:tcPr>
          <w:p w14:paraId="18AFD307"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6"/>
                <w:szCs w:val="16"/>
              </w:rPr>
            </w:pPr>
            <w:r w:rsidRPr="00FF756A">
              <w:rPr>
                <w:rFonts w:cs="Times New Roman"/>
                <w:color w:val="FFFFFF" w:themeColor="background1"/>
                <w:sz w:val="16"/>
                <w:szCs w:val="16"/>
              </w:rPr>
              <w:t>12,6%</w:t>
            </w:r>
          </w:p>
        </w:tc>
        <w:tc>
          <w:tcPr>
            <w:tcW w:w="788" w:type="dxa"/>
            <w:shd w:val="clear" w:color="auto" w:fill="4472C4" w:themeFill="accent1"/>
            <w:noWrap/>
            <w:hideMark/>
          </w:tcPr>
          <w:p w14:paraId="2C3F649F"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6"/>
                <w:szCs w:val="16"/>
              </w:rPr>
            </w:pPr>
            <w:r w:rsidRPr="00FF756A">
              <w:rPr>
                <w:rFonts w:cs="Times New Roman"/>
                <w:color w:val="FFFFFF" w:themeColor="background1"/>
                <w:sz w:val="16"/>
                <w:szCs w:val="16"/>
              </w:rPr>
              <w:t>24,4%</w:t>
            </w:r>
          </w:p>
        </w:tc>
        <w:tc>
          <w:tcPr>
            <w:tcW w:w="787" w:type="dxa"/>
            <w:shd w:val="clear" w:color="auto" w:fill="4472C4" w:themeFill="accent1"/>
            <w:noWrap/>
            <w:hideMark/>
          </w:tcPr>
          <w:p w14:paraId="170400A1"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6"/>
                <w:szCs w:val="16"/>
              </w:rPr>
            </w:pPr>
            <w:r w:rsidRPr="00FF756A">
              <w:rPr>
                <w:rFonts w:cs="Times New Roman"/>
                <w:color w:val="FFFFFF" w:themeColor="background1"/>
                <w:sz w:val="16"/>
                <w:szCs w:val="16"/>
              </w:rPr>
              <w:t>55,3%</w:t>
            </w:r>
          </w:p>
        </w:tc>
        <w:tc>
          <w:tcPr>
            <w:tcW w:w="788" w:type="dxa"/>
            <w:shd w:val="clear" w:color="auto" w:fill="4472C4" w:themeFill="accent1"/>
            <w:noWrap/>
          </w:tcPr>
          <w:p w14:paraId="0F98E44D" w14:textId="77777777" w:rsidR="00B86FB3" w:rsidRPr="00FF756A" w:rsidRDefault="00B86FB3" w:rsidP="00B86FB3">
            <w:pPr>
              <w:jc w:val="right"/>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6"/>
                <w:szCs w:val="16"/>
              </w:rPr>
            </w:pPr>
            <w:r w:rsidRPr="00FF756A">
              <w:rPr>
                <w:rFonts w:cs="Times New Roman"/>
                <w:color w:val="FFFFFF" w:themeColor="background1"/>
                <w:sz w:val="16"/>
                <w:szCs w:val="16"/>
              </w:rPr>
              <w:t>101,2%</w:t>
            </w:r>
          </w:p>
        </w:tc>
      </w:tr>
      <w:tr w:rsidR="00B86FB3" w:rsidRPr="00FF756A" w14:paraId="03D60004" w14:textId="77777777" w:rsidTr="006A3266">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785" w:type="dxa"/>
            <w:shd w:val="clear" w:color="auto" w:fill="44546A" w:themeFill="text2"/>
            <w:noWrap/>
            <w:hideMark/>
          </w:tcPr>
          <w:p w14:paraId="498F80F9" w14:textId="77777777" w:rsidR="00B86FB3" w:rsidRPr="00FF756A" w:rsidRDefault="00B86FB3" w:rsidP="00B86FB3">
            <w:pPr>
              <w:rPr>
                <w:rFonts w:eastAsia="Times New Roman" w:cs="Times New Roman"/>
                <w:b w:val="0"/>
                <w:bCs w:val="0"/>
                <w:color w:val="FFFFFF"/>
                <w:sz w:val="16"/>
                <w:szCs w:val="16"/>
              </w:rPr>
            </w:pPr>
            <w:r w:rsidRPr="00FF756A">
              <w:rPr>
                <w:rFonts w:cs="Times New Roman"/>
                <w:sz w:val="16"/>
                <w:szCs w:val="16"/>
              </w:rPr>
              <w:t>Reduktimi relativ (WAM minus WEM)</w:t>
            </w:r>
          </w:p>
        </w:tc>
        <w:tc>
          <w:tcPr>
            <w:tcW w:w="787" w:type="dxa"/>
            <w:shd w:val="clear" w:color="auto" w:fill="44546A" w:themeFill="text2"/>
            <w:noWrap/>
            <w:hideMark/>
          </w:tcPr>
          <w:p w14:paraId="2153A3B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sz w:val="16"/>
                <w:szCs w:val="16"/>
              </w:rPr>
            </w:pPr>
            <w:r w:rsidRPr="00FF756A">
              <w:rPr>
                <w:rFonts w:cs="Times New Roman"/>
                <w:color w:val="FFFFFF"/>
                <w:sz w:val="16"/>
                <w:szCs w:val="16"/>
              </w:rPr>
              <w:t> </w:t>
            </w:r>
          </w:p>
        </w:tc>
        <w:tc>
          <w:tcPr>
            <w:tcW w:w="788" w:type="dxa"/>
            <w:shd w:val="clear" w:color="auto" w:fill="44546A" w:themeFill="text2"/>
            <w:noWrap/>
            <w:hideMark/>
          </w:tcPr>
          <w:p w14:paraId="20BC02A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sz w:val="16"/>
                <w:szCs w:val="16"/>
              </w:rPr>
            </w:pPr>
            <w:r w:rsidRPr="00FF756A">
              <w:rPr>
                <w:rFonts w:cs="Times New Roman"/>
                <w:color w:val="FFFFFF"/>
                <w:sz w:val="16"/>
                <w:szCs w:val="16"/>
              </w:rPr>
              <w:t> </w:t>
            </w:r>
          </w:p>
        </w:tc>
        <w:tc>
          <w:tcPr>
            <w:tcW w:w="787" w:type="dxa"/>
            <w:shd w:val="clear" w:color="auto" w:fill="44546A" w:themeFill="text2"/>
            <w:noWrap/>
            <w:hideMark/>
          </w:tcPr>
          <w:p w14:paraId="67BEF82A"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-0,7%</w:t>
            </w:r>
          </w:p>
        </w:tc>
        <w:tc>
          <w:tcPr>
            <w:tcW w:w="788" w:type="dxa"/>
            <w:shd w:val="clear" w:color="auto" w:fill="44546A" w:themeFill="text2"/>
            <w:noWrap/>
            <w:hideMark/>
          </w:tcPr>
          <w:p w14:paraId="24435D3E"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rPr>
            </w:pPr>
            <w:r w:rsidRPr="00FF756A">
              <w:rPr>
                <w:rFonts w:cs="Times New Roman"/>
                <w:color w:val="FFFFFF" w:themeColor="background1"/>
                <w:sz w:val="16"/>
                <w:szCs w:val="16"/>
              </w:rPr>
              <w:t>-2,7%</w:t>
            </w:r>
          </w:p>
        </w:tc>
        <w:tc>
          <w:tcPr>
            <w:tcW w:w="787" w:type="dxa"/>
            <w:shd w:val="clear" w:color="auto" w:fill="44546A" w:themeFill="text2"/>
            <w:noWrap/>
            <w:hideMark/>
          </w:tcPr>
          <w:p w14:paraId="475CE246"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6"/>
                <w:szCs w:val="16"/>
              </w:rPr>
            </w:pPr>
            <w:r w:rsidRPr="00FF756A">
              <w:rPr>
                <w:rFonts w:cs="Times New Roman"/>
                <w:color w:val="FFFFFF" w:themeColor="background1"/>
                <w:sz w:val="16"/>
                <w:szCs w:val="16"/>
              </w:rPr>
              <w:t>-6,9%</w:t>
            </w:r>
          </w:p>
        </w:tc>
        <w:tc>
          <w:tcPr>
            <w:tcW w:w="788" w:type="dxa"/>
            <w:shd w:val="clear" w:color="auto" w:fill="44546A" w:themeFill="text2"/>
            <w:noWrap/>
            <w:hideMark/>
          </w:tcPr>
          <w:p w14:paraId="51616D99"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6"/>
                <w:szCs w:val="16"/>
              </w:rPr>
            </w:pPr>
            <w:r w:rsidRPr="00FF756A">
              <w:rPr>
                <w:rFonts w:cs="Times New Roman"/>
                <w:color w:val="FFFFFF" w:themeColor="background1"/>
                <w:sz w:val="16"/>
                <w:szCs w:val="16"/>
              </w:rPr>
              <w:t>-25,3%</w:t>
            </w:r>
          </w:p>
        </w:tc>
        <w:tc>
          <w:tcPr>
            <w:tcW w:w="787" w:type="dxa"/>
            <w:shd w:val="clear" w:color="auto" w:fill="44546A" w:themeFill="text2"/>
            <w:noWrap/>
            <w:hideMark/>
          </w:tcPr>
          <w:p w14:paraId="21B65C14" w14:textId="77777777" w:rsidR="00B86FB3" w:rsidRPr="00FF756A" w:rsidRDefault="00B86FB3" w:rsidP="00B86FB3">
            <w:pPr>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6"/>
                <w:szCs w:val="16"/>
              </w:rPr>
            </w:pPr>
            <w:r w:rsidRPr="00FF756A">
              <w:rPr>
                <w:rFonts w:cs="Times New Roman"/>
                <w:color w:val="FFFFFF" w:themeColor="background1"/>
                <w:sz w:val="16"/>
                <w:szCs w:val="16"/>
              </w:rPr>
              <w:t>-57,4%</w:t>
            </w:r>
          </w:p>
        </w:tc>
        <w:tc>
          <w:tcPr>
            <w:tcW w:w="788" w:type="dxa"/>
            <w:shd w:val="clear" w:color="auto" w:fill="44546A" w:themeFill="text2"/>
            <w:noWrap/>
          </w:tcPr>
          <w:p w14:paraId="6BF72868" w14:textId="77777777" w:rsidR="00B86FB3" w:rsidRPr="00FF756A" w:rsidRDefault="00B86FB3" w:rsidP="008E7DE9">
            <w:pPr>
              <w:keepNext/>
              <w:jc w:val="right"/>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6"/>
                <w:szCs w:val="16"/>
              </w:rPr>
            </w:pPr>
            <w:r w:rsidRPr="00FF756A">
              <w:rPr>
                <w:rFonts w:cs="Times New Roman"/>
                <w:color w:val="FFFFFF" w:themeColor="background1"/>
                <w:sz w:val="16"/>
                <w:szCs w:val="16"/>
              </w:rPr>
              <w:t>-0,7%</w:t>
            </w:r>
          </w:p>
        </w:tc>
      </w:tr>
    </w:tbl>
    <w:p w14:paraId="6A168F56" w14:textId="5C0005E2" w:rsidR="00B86FB3" w:rsidRPr="00FF756A" w:rsidRDefault="008E7DE9" w:rsidP="008E7DE9">
      <w:pPr>
        <w:pStyle w:val="Caption"/>
        <w:rPr>
          <w:rFonts w:ascii="Times New Roman" w:hAnsi="Times New Roman"/>
        </w:rPr>
      </w:pPr>
      <w:bookmarkStart w:id="734" w:name="_Toc183016525"/>
      <w:r w:rsidRPr="00FF756A">
        <w:rPr>
          <w:rFonts w:ascii="Times New Roman" w:hAnsi="Times New Roman"/>
        </w:rPr>
        <w:t xml:space="preserve">Tabela </w:t>
      </w:r>
      <w:r w:rsidRPr="00FF756A">
        <w:rPr>
          <w:rFonts w:ascii="Times New Roman" w:hAnsi="Times New Roman"/>
        </w:rPr>
        <w:fldChar w:fldCharType="begin"/>
      </w:r>
      <w:r w:rsidRPr="00FF756A">
        <w:rPr>
          <w:rFonts w:ascii="Times New Roman" w:hAnsi="Times New Roman"/>
        </w:rPr>
        <w:instrText xml:space="preserve"> SEQ Tabela \* ARABIC </w:instrText>
      </w:r>
      <w:r w:rsidRPr="00FF756A">
        <w:rPr>
          <w:rFonts w:ascii="Times New Roman" w:hAnsi="Times New Roman"/>
        </w:rPr>
        <w:fldChar w:fldCharType="separate"/>
      </w:r>
      <w:r w:rsidRPr="00FF756A">
        <w:rPr>
          <w:rFonts w:ascii="Times New Roman" w:hAnsi="Times New Roman"/>
          <w:noProof/>
        </w:rPr>
        <w:t>61</w:t>
      </w:r>
      <w:r w:rsidRPr="00FF756A">
        <w:rPr>
          <w:rFonts w:ascii="Times New Roman" w:hAnsi="Times New Roman"/>
          <w:noProof/>
        </w:rPr>
        <w:fldChar w:fldCharType="end"/>
      </w:r>
      <w:r w:rsidRPr="00FF756A">
        <w:rPr>
          <w:rFonts w:ascii="Times New Roman" w:hAnsi="Times New Roman"/>
        </w:rPr>
        <w:t>: Konsumi final i energjisë (ktoe) për sektorët me kërkesë për energji në skenarët WEM dhe WAM</w:t>
      </w:r>
      <w:bookmarkEnd w:id="734"/>
    </w:p>
    <w:p w14:paraId="7E85CA4D" w14:textId="77777777" w:rsidR="00B86FB3" w:rsidRPr="00FF756A" w:rsidRDefault="00B86FB3" w:rsidP="00B86FB3">
      <w:r w:rsidRPr="00FF756A">
        <w:t>Tendencat e konsumit të sektorëve me kërkesë për energji pritet të ndryshojnë në të ardhmen, dhe akoma më shumë me marrjen e masave shtesë. Siç mund të shihet nga shifrat në vijim, përqindja e konsumit të energjisë në sektorin e transportit ka pësuar një rënie të lehtë, ashtu si në sektorin e banesave.</w:t>
      </w:r>
    </w:p>
    <w:p w14:paraId="0C81174F" w14:textId="77777777" w:rsidR="008E7DE9" w:rsidRPr="00FF756A" w:rsidRDefault="00B86FB3" w:rsidP="008E7DE9">
      <w:pPr>
        <w:keepNext/>
      </w:pPr>
      <w:r w:rsidRPr="00FF756A">
        <w:rPr>
          <w:noProof/>
          <w:lang w:val="en-US"/>
        </w:rPr>
        <w:drawing>
          <wp:inline distT="0" distB="0" distL="0" distR="0" wp14:anchorId="31A04C48" wp14:editId="6D9B2EFC">
            <wp:extent cx="5760720" cy="3456305"/>
            <wp:effectExtent l="0" t="0" r="0" b="0"/>
            <wp:docPr id="1583255395" name="Picture 2" descr="A graph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255395" name="Picture 2" descr="A graph of different colors&#10;&#10;Description automatically generated"/>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6DAEFA09" w14:textId="6C2092FC" w:rsidR="00B86FB3" w:rsidRPr="00FF756A" w:rsidRDefault="008E7DE9" w:rsidP="008E7DE9">
      <w:pPr>
        <w:pStyle w:val="Caption"/>
        <w:rPr>
          <w:rFonts w:ascii="Times New Roman" w:hAnsi="Times New Roman"/>
        </w:rPr>
      </w:pPr>
      <w:bookmarkStart w:id="735" w:name="_Toc183016635"/>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105</w:t>
      </w:r>
      <w:r w:rsidRPr="00FF756A">
        <w:rPr>
          <w:rFonts w:ascii="Times New Roman" w:hAnsi="Times New Roman"/>
          <w:noProof/>
        </w:rPr>
        <w:fldChar w:fldCharType="end"/>
      </w:r>
      <w:r w:rsidRPr="00FF756A">
        <w:rPr>
          <w:rFonts w:ascii="Times New Roman" w:hAnsi="Times New Roman"/>
        </w:rPr>
        <w:t>: Përqindjet e kërkesës finale për energji për periudhën kohore 2016-2023 dhe sipas parashikimit deri në vitin 2050 me masat shtesë</w:t>
      </w:r>
      <w:bookmarkEnd w:id="735"/>
    </w:p>
    <w:p w14:paraId="5FFEBB0D" w14:textId="77777777" w:rsidR="00B86FB3" w:rsidRPr="00FF756A" w:rsidRDefault="00B86FB3" w:rsidP="00B86FB3">
      <w:pPr>
        <w:rPr>
          <w:lang w:eastAsia="ja-JP"/>
        </w:rPr>
      </w:pPr>
    </w:p>
    <w:tbl>
      <w:tblPr>
        <w:tblW w:w="9170" w:type="dxa"/>
        <w:tblLayout w:type="fixed"/>
        <w:tblLook w:val="04A0" w:firstRow="1" w:lastRow="0" w:firstColumn="1" w:lastColumn="0" w:noHBand="0" w:noVBand="1"/>
      </w:tblPr>
      <w:tblGrid>
        <w:gridCol w:w="1499"/>
        <w:gridCol w:w="958"/>
        <w:gridCol w:w="959"/>
        <w:gridCol w:w="959"/>
        <w:gridCol w:w="959"/>
        <w:gridCol w:w="959"/>
        <w:gridCol w:w="959"/>
        <w:gridCol w:w="959"/>
        <w:gridCol w:w="959"/>
      </w:tblGrid>
      <w:tr w:rsidR="00B86FB3" w:rsidRPr="00FF756A" w14:paraId="6378FB39" w14:textId="77777777" w:rsidTr="006A3266">
        <w:trPr>
          <w:trHeight w:val="309"/>
        </w:trPr>
        <w:tc>
          <w:tcPr>
            <w:tcW w:w="1499" w:type="dxa"/>
            <w:tcBorders>
              <w:top w:val="single" w:sz="8" w:space="0" w:color="FFFFFF"/>
              <w:left w:val="single" w:sz="8" w:space="0" w:color="FFFFFF"/>
              <w:bottom w:val="single" w:sz="8" w:space="0" w:color="FFFFFF"/>
              <w:right w:val="nil"/>
            </w:tcBorders>
            <w:shd w:val="clear" w:color="000000" w:fill="4F81BD"/>
            <w:noWrap/>
            <w:vAlign w:val="center"/>
            <w:hideMark/>
          </w:tcPr>
          <w:p w14:paraId="4A5AD5F0" w14:textId="77777777" w:rsidR="00B86FB3" w:rsidRPr="00FF756A" w:rsidRDefault="00B86FB3" w:rsidP="00B86FB3">
            <w:pPr>
              <w:rPr>
                <w:rFonts w:eastAsia="Times New Roman"/>
                <w:b/>
                <w:bCs/>
                <w:color w:val="FFFFFF"/>
                <w:sz w:val="20"/>
                <w:szCs w:val="20"/>
              </w:rPr>
            </w:pPr>
            <w:r w:rsidRPr="00FF756A">
              <w:rPr>
                <w:b/>
                <w:bCs/>
                <w:color w:val="FFFFFF"/>
                <w:sz w:val="20"/>
                <w:szCs w:val="20"/>
              </w:rPr>
              <w:t>Dega</w:t>
            </w:r>
          </w:p>
        </w:tc>
        <w:tc>
          <w:tcPr>
            <w:tcW w:w="958" w:type="dxa"/>
            <w:tcBorders>
              <w:top w:val="single" w:sz="8" w:space="0" w:color="FFFFFF"/>
              <w:left w:val="nil"/>
              <w:bottom w:val="single" w:sz="8" w:space="0" w:color="FFFFFF"/>
              <w:right w:val="nil"/>
            </w:tcBorders>
            <w:shd w:val="clear" w:color="000000" w:fill="4F81BD"/>
            <w:noWrap/>
            <w:vAlign w:val="center"/>
            <w:hideMark/>
          </w:tcPr>
          <w:p w14:paraId="19CE2777" w14:textId="77777777" w:rsidR="00B86FB3" w:rsidRPr="00FF756A" w:rsidRDefault="00B86FB3" w:rsidP="00B86FB3">
            <w:pPr>
              <w:jc w:val="right"/>
              <w:rPr>
                <w:rFonts w:eastAsia="Times New Roman"/>
                <w:b/>
                <w:bCs/>
                <w:color w:val="FFFFFF"/>
                <w:sz w:val="20"/>
                <w:szCs w:val="20"/>
              </w:rPr>
            </w:pPr>
            <w:r w:rsidRPr="00FF756A">
              <w:rPr>
                <w:b/>
                <w:bCs/>
                <w:color w:val="FFFFFF"/>
                <w:sz w:val="20"/>
                <w:szCs w:val="20"/>
              </w:rPr>
              <w:t>2020</w:t>
            </w:r>
          </w:p>
        </w:tc>
        <w:tc>
          <w:tcPr>
            <w:tcW w:w="959" w:type="dxa"/>
            <w:tcBorders>
              <w:top w:val="single" w:sz="8" w:space="0" w:color="FFFFFF"/>
              <w:left w:val="nil"/>
              <w:bottom w:val="single" w:sz="8" w:space="0" w:color="FFFFFF"/>
              <w:right w:val="nil"/>
            </w:tcBorders>
            <w:shd w:val="clear" w:color="000000" w:fill="4F81BD"/>
            <w:noWrap/>
            <w:vAlign w:val="center"/>
            <w:hideMark/>
          </w:tcPr>
          <w:p w14:paraId="14CCBA74" w14:textId="77777777" w:rsidR="00B86FB3" w:rsidRPr="00FF756A" w:rsidRDefault="00B86FB3" w:rsidP="00B86FB3">
            <w:pPr>
              <w:jc w:val="right"/>
              <w:rPr>
                <w:rFonts w:eastAsia="Times New Roman"/>
                <w:b/>
                <w:bCs/>
                <w:color w:val="FFFFFF"/>
                <w:sz w:val="20"/>
                <w:szCs w:val="20"/>
              </w:rPr>
            </w:pPr>
            <w:r w:rsidRPr="00FF756A">
              <w:rPr>
                <w:b/>
                <w:bCs/>
                <w:color w:val="FFFFFF"/>
                <w:sz w:val="20"/>
                <w:szCs w:val="20"/>
              </w:rPr>
              <w:t>2021</w:t>
            </w:r>
          </w:p>
        </w:tc>
        <w:tc>
          <w:tcPr>
            <w:tcW w:w="959" w:type="dxa"/>
            <w:tcBorders>
              <w:top w:val="single" w:sz="8" w:space="0" w:color="FFFFFF"/>
              <w:left w:val="nil"/>
              <w:bottom w:val="single" w:sz="8" w:space="0" w:color="FFFFFF"/>
              <w:right w:val="nil"/>
            </w:tcBorders>
            <w:shd w:val="clear" w:color="000000" w:fill="4F81BD"/>
            <w:noWrap/>
            <w:vAlign w:val="center"/>
            <w:hideMark/>
          </w:tcPr>
          <w:p w14:paraId="0D19ACCA" w14:textId="77777777" w:rsidR="00B86FB3" w:rsidRPr="00FF756A" w:rsidRDefault="00B86FB3" w:rsidP="00B86FB3">
            <w:pPr>
              <w:jc w:val="right"/>
              <w:rPr>
                <w:rFonts w:eastAsia="Times New Roman"/>
                <w:b/>
                <w:bCs/>
                <w:color w:val="FFFFFF"/>
                <w:sz w:val="20"/>
                <w:szCs w:val="20"/>
              </w:rPr>
            </w:pPr>
            <w:r w:rsidRPr="00FF756A">
              <w:rPr>
                <w:b/>
                <w:bCs/>
                <w:color w:val="FFFFFF"/>
                <w:sz w:val="20"/>
                <w:szCs w:val="20"/>
              </w:rPr>
              <w:t>2022</w:t>
            </w:r>
          </w:p>
        </w:tc>
        <w:tc>
          <w:tcPr>
            <w:tcW w:w="959" w:type="dxa"/>
            <w:tcBorders>
              <w:top w:val="single" w:sz="8" w:space="0" w:color="FFFFFF"/>
              <w:left w:val="nil"/>
              <w:bottom w:val="single" w:sz="8" w:space="0" w:color="FFFFFF"/>
              <w:right w:val="nil"/>
            </w:tcBorders>
            <w:shd w:val="clear" w:color="000000" w:fill="4F81BD"/>
            <w:noWrap/>
            <w:vAlign w:val="center"/>
            <w:hideMark/>
          </w:tcPr>
          <w:p w14:paraId="2D068126" w14:textId="77777777" w:rsidR="00B86FB3" w:rsidRPr="00FF756A" w:rsidRDefault="00B86FB3" w:rsidP="00B86FB3">
            <w:pPr>
              <w:jc w:val="right"/>
              <w:rPr>
                <w:rFonts w:eastAsia="Times New Roman"/>
                <w:b/>
                <w:bCs/>
                <w:color w:val="FFFFFF"/>
                <w:sz w:val="20"/>
                <w:szCs w:val="20"/>
              </w:rPr>
            </w:pPr>
            <w:r w:rsidRPr="00FF756A">
              <w:rPr>
                <w:b/>
                <w:bCs/>
                <w:color w:val="FFFFFF"/>
                <w:sz w:val="20"/>
                <w:szCs w:val="20"/>
              </w:rPr>
              <w:t>2023</w:t>
            </w:r>
          </w:p>
        </w:tc>
        <w:tc>
          <w:tcPr>
            <w:tcW w:w="959" w:type="dxa"/>
            <w:tcBorders>
              <w:top w:val="single" w:sz="8" w:space="0" w:color="FFFFFF"/>
              <w:left w:val="nil"/>
              <w:bottom w:val="single" w:sz="8" w:space="0" w:color="FFFFFF"/>
              <w:right w:val="nil"/>
            </w:tcBorders>
            <w:shd w:val="clear" w:color="000000" w:fill="4F81BD"/>
            <w:noWrap/>
            <w:vAlign w:val="center"/>
            <w:hideMark/>
          </w:tcPr>
          <w:p w14:paraId="6D955862" w14:textId="77777777" w:rsidR="00B86FB3" w:rsidRPr="00FF756A" w:rsidRDefault="00B86FB3" w:rsidP="00B86FB3">
            <w:pPr>
              <w:jc w:val="right"/>
              <w:rPr>
                <w:rFonts w:eastAsia="Times New Roman"/>
                <w:b/>
                <w:bCs/>
                <w:color w:val="FFFFFF"/>
                <w:sz w:val="20"/>
                <w:szCs w:val="20"/>
              </w:rPr>
            </w:pPr>
            <w:r w:rsidRPr="00FF756A">
              <w:rPr>
                <w:b/>
                <w:bCs/>
                <w:color w:val="FFFFFF"/>
                <w:sz w:val="20"/>
                <w:szCs w:val="20"/>
              </w:rPr>
              <w:t>2025</w:t>
            </w:r>
          </w:p>
        </w:tc>
        <w:tc>
          <w:tcPr>
            <w:tcW w:w="959" w:type="dxa"/>
            <w:tcBorders>
              <w:top w:val="single" w:sz="8" w:space="0" w:color="FFFFFF"/>
              <w:left w:val="nil"/>
              <w:bottom w:val="single" w:sz="8" w:space="0" w:color="FFFFFF"/>
              <w:right w:val="nil"/>
            </w:tcBorders>
            <w:shd w:val="clear" w:color="000000" w:fill="4F81BD"/>
            <w:noWrap/>
            <w:vAlign w:val="center"/>
            <w:hideMark/>
          </w:tcPr>
          <w:p w14:paraId="156C8FAE" w14:textId="77777777" w:rsidR="00B86FB3" w:rsidRPr="00FF756A" w:rsidRDefault="00B86FB3" w:rsidP="00B86FB3">
            <w:pPr>
              <w:jc w:val="right"/>
              <w:rPr>
                <w:rFonts w:eastAsia="Times New Roman"/>
                <w:b/>
                <w:bCs/>
                <w:color w:val="FFFFFF"/>
                <w:sz w:val="20"/>
                <w:szCs w:val="20"/>
              </w:rPr>
            </w:pPr>
            <w:r w:rsidRPr="00FF756A">
              <w:rPr>
                <w:b/>
                <w:bCs/>
                <w:color w:val="FFFFFF"/>
                <w:sz w:val="20"/>
                <w:szCs w:val="20"/>
              </w:rPr>
              <w:t>2030</w:t>
            </w:r>
          </w:p>
        </w:tc>
        <w:tc>
          <w:tcPr>
            <w:tcW w:w="959" w:type="dxa"/>
            <w:tcBorders>
              <w:top w:val="single" w:sz="8" w:space="0" w:color="FFFFFF"/>
              <w:left w:val="nil"/>
              <w:bottom w:val="single" w:sz="8" w:space="0" w:color="FFFFFF"/>
              <w:right w:val="nil"/>
            </w:tcBorders>
            <w:shd w:val="clear" w:color="000000" w:fill="4F81BD"/>
            <w:noWrap/>
            <w:vAlign w:val="center"/>
            <w:hideMark/>
          </w:tcPr>
          <w:p w14:paraId="00D0C53B" w14:textId="77777777" w:rsidR="00B86FB3" w:rsidRPr="00FF756A" w:rsidRDefault="00B86FB3" w:rsidP="00B86FB3">
            <w:pPr>
              <w:jc w:val="right"/>
              <w:rPr>
                <w:rFonts w:eastAsia="Times New Roman"/>
                <w:b/>
                <w:bCs/>
                <w:color w:val="FFFFFF"/>
                <w:sz w:val="20"/>
                <w:szCs w:val="20"/>
              </w:rPr>
            </w:pPr>
            <w:r w:rsidRPr="00FF756A">
              <w:rPr>
                <w:b/>
                <w:bCs/>
                <w:color w:val="FFFFFF"/>
                <w:sz w:val="20"/>
                <w:szCs w:val="20"/>
              </w:rPr>
              <w:t>2040</w:t>
            </w:r>
          </w:p>
        </w:tc>
        <w:tc>
          <w:tcPr>
            <w:tcW w:w="959" w:type="dxa"/>
            <w:tcBorders>
              <w:top w:val="single" w:sz="8" w:space="0" w:color="FFFFFF"/>
              <w:left w:val="nil"/>
              <w:bottom w:val="single" w:sz="8" w:space="0" w:color="FFFFFF"/>
              <w:right w:val="single" w:sz="8" w:space="0" w:color="FFFFFF"/>
            </w:tcBorders>
            <w:shd w:val="clear" w:color="000000" w:fill="4F81BD"/>
            <w:noWrap/>
            <w:vAlign w:val="center"/>
            <w:hideMark/>
          </w:tcPr>
          <w:p w14:paraId="642B12B1" w14:textId="77777777" w:rsidR="00B86FB3" w:rsidRPr="00FF756A" w:rsidRDefault="00B86FB3" w:rsidP="00B86FB3">
            <w:pPr>
              <w:jc w:val="right"/>
              <w:rPr>
                <w:rFonts w:eastAsia="Times New Roman"/>
                <w:b/>
                <w:bCs/>
                <w:color w:val="FFFFFF"/>
                <w:sz w:val="20"/>
                <w:szCs w:val="20"/>
              </w:rPr>
            </w:pPr>
            <w:r w:rsidRPr="00FF756A">
              <w:rPr>
                <w:b/>
                <w:bCs/>
                <w:color w:val="FFFFFF"/>
                <w:sz w:val="20"/>
                <w:szCs w:val="20"/>
              </w:rPr>
              <w:t>2050</w:t>
            </w:r>
          </w:p>
        </w:tc>
      </w:tr>
      <w:tr w:rsidR="00B86FB3" w:rsidRPr="00FF756A" w14:paraId="0F8C9A26" w14:textId="77777777" w:rsidTr="006A3266">
        <w:trPr>
          <w:trHeight w:val="309"/>
        </w:trPr>
        <w:tc>
          <w:tcPr>
            <w:tcW w:w="1499" w:type="dxa"/>
            <w:tcBorders>
              <w:top w:val="nil"/>
              <w:left w:val="single" w:sz="8" w:space="0" w:color="FFFFFF"/>
              <w:bottom w:val="single" w:sz="8" w:space="0" w:color="FFFFFF"/>
              <w:right w:val="single" w:sz="8" w:space="0" w:color="FFFFFF"/>
            </w:tcBorders>
            <w:shd w:val="clear" w:color="000000" w:fill="4F81BD"/>
            <w:noWrap/>
            <w:vAlign w:val="center"/>
            <w:hideMark/>
          </w:tcPr>
          <w:p w14:paraId="334AA6BB" w14:textId="77777777" w:rsidR="00B86FB3" w:rsidRPr="00FF756A" w:rsidRDefault="00B86FB3" w:rsidP="00B86FB3">
            <w:pPr>
              <w:rPr>
                <w:rFonts w:eastAsia="Times New Roman"/>
                <w:color w:val="FFFFFF"/>
                <w:sz w:val="20"/>
                <w:szCs w:val="20"/>
              </w:rPr>
            </w:pPr>
            <w:r w:rsidRPr="00FF756A">
              <w:rPr>
                <w:color w:val="FFFFFF"/>
                <w:sz w:val="20"/>
                <w:szCs w:val="20"/>
              </w:rPr>
              <w:t>Sektori i banesave</w:t>
            </w:r>
          </w:p>
        </w:tc>
        <w:tc>
          <w:tcPr>
            <w:tcW w:w="958" w:type="dxa"/>
            <w:tcBorders>
              <w:top w:val="nil"/>
              <w:left w:val="nil"/>
              <w:bottom w:val="single" w:sz="8" w:space="0" w:color="FFFFFF"/>
              <w:right w:val="single" w:sz="8" w:space="0" w:color="FFFFFF"/>
            </w:tcBorders>
            <w:shd w:val="clear" w:color="000000" w:fill="B8CCE4"/>
            <w:noWrap/>
            <w:hideMark/>
          </w:tcPr>
          <w:p w14:paraId="51EB126C" w14:textId="77777777" w:rsidR="00B86FB3" w:rsidRPr="00FF756A" w:rsidRDefault="00B86FB3" w:rsidP="00B86FB3">
            <w:pPr>
              <w:jc w:val="right"/>
              <w:rPr>
                <w:rFonts w:eastAsia="Times New Roman"/>
                <w:color w:val="000000"/>
                <w:sz w:val="20"/>
                <w:szCs w:val="20"/>
              </w:rPr>
            </w:pPr>
            <w:r w:rsidRPr="00FF756A">
              <w:rPr>
                <w:sz w:val="20"/>
                <w:szCs w:val="20"/>
              </w:rPr>
              <w:t>27,1%</w:t>
            </w:r>
          </w:p>
        </w:tc>
        <w:tc>
          <w:tcPr>
            <w:tcW w:w="959" w:type="dxa"/>
            <w:tcBorders>
              <w:top w:val="nil"/>
              <w:left w:val="nil"/>
              <w:bottom w:val="single" w:sz="8" w:space="0" w:color="FFFFFF"/>
              <w:right w:val="single" w:sz="8" w:space="0" w:color="FFFFFF"/>
            </w:tcBorders>
            <w:shd w:val="clear" w:color="000000" w:fill="B8CCE4"/>
            <w:noWrap/>
            <w:hideMark/>
          </w:tcPr>
          <w:p w14:paraId="422EA5CE" w14:textId="77777777" w:rsidR="00B86FB3" w:rsidRPr="00FF756A" w:rsidRDefault="00B86FB3" w:rsidP="00B86FB3">
            <w:pPr>
              <w:jc w:val="right"/>
              <w:rPr>
                <w:rFonts w:eastAsia="Times New Roman"/>
                <w:color w:val="000000"/>
                <w:sz w:val="20"/>
                <w:szCs w:val="20"/>
              </w:rPr>
            </w:pPr>
            <w:r w:rsidRPr="00FF756A">
              <w:rPr>
                <w:sz w:val="20"/>
                <w:szCs w:val="20"/>
              </w:rPr>
              <w:t>25,6%</w:t>
            </w:r>
          </w:p>
        </w:tc>
        <w:tc>
          <w:tcPr>
            <w:tcW w:w="959" w:type="dxa"/>
            <w:tcBorders>
              <w:top w:val="nil"/>
              <w:left w:val="nil"/>
              <w:bottom w:val="single" w:sz="8" w:space="0" w:color="FFFFFF"/>
              <w:right w:val="single" w:sz="8" w:space="0" w:color="FFFFFF"/>
            </w:tcBorders>
            <w:shd w:val="clear" w:color="000000" w:fill="B8CCE4"/>
            <w:noWrap/>
            <w:hideMark/>
          </w:tcPr>
          <w:p w14:paraId="129BB13F" w14:textId="77777777" w:rsidR="00B86FB3" w:rsidRPr="00FF756A" w:rsidRDefault="00B86FB3" w:rsidP="00B86FB3">
            <w:pPr>
              <w:jc w:val="right"/>
              <w:rPr>
                <w:rFonts w:eastAsia="Times New Roman"/>
                <w:color w:val="000000"/>
                <w:sz w:val="20"/>
                <w:szCs w:val="20"/>
              </w:rPr>
            </w:pPr>
            <w:r w:rsidRPr="00FF756A">
              <w:rPr>
                <w:sz w:val="20"/>
                <w:szCs w:val="20"/>
              </w:rPr>
              <w:t>24,9%</w:t>
            </w:r>
          </w:p>
        </w:tc>
        <w:tc>
          <w:tcPr>
            <w:tcW w:w="959" w:type="dxa"/>
            <w:tcBorders>
              <w:top w:val="nil"/>
              <w:left w:val="nil"/>
              <w:bottom w:val="single" w:sz="8" w:space="0" w:color="FFFFFF"/>
              <w:right w:val="single" w:sz="8" w:space="0" w:color="FFFFFF"/>
            </w:tcBorders>
            <w:shd w:val="clear" w:color="000000" w:fill="B8CCE4"/>
            <w:noWrap/>
            <w:hideMark/>
          </w:tcPr>
          <w:p w14:paraId="79EB7674" w14:textId="77777777" w:rsidR="00B86FB3" w:rsidRPr="00FF756A" w:rsidRDefault="00B86FB3" w:rsidP="00B86FB3">
            <w:pPr>
              <w:jc w:val="right"/>
              <w:rPr>
                <w:rFonts w:eastAsia="Times New Roman"/>
                <w:color w:val="000000"/>
                <w:sz w:val="20"/>
                <w:szCs w:val="20"/>
              </w:rPr>
            </w:pPr>
            <w:r w:rsidRPr="00FF756A">
              <w:rPr>
                <w:sz w:val="20"/>
                <w:szCs w:val="20"/>
              </w:rPr>
              <w:t>24,3%</w:t>
            </w:r>
          </w:p>
        </w:tc>
        <w:tc>
          <w:tcPr>
            <w:tcW w:w="959" w:type="dxa"/>
            <w:tcBorders>
              <w:top w:val="nil"/>
              <w:left w:val="nil"/>
              <w:bottom w:val="single" w:sz="8" w:space="0" w:color="FFFFFF"/>
              <w:right w:val="single" w:sz="8" w:space="0" w:color="FFFFFF"/>
            </w:tcBorders>
            <w:shd w:val="clear" w:color="000000" w:fill="B8CCE4"/>
            <w:noWrap/>
            <w:hideMark/>
          </w:tcPr>
          <w:p w14:paraId="592C45A9" w14:textId="77777777" w:rsidR="00B86FB3" w:rsidRPr="00FF756A" w:rsidRDefault="00B86FB3" w:rsidP="00B86FB3">
            <w:pPr>
              <w:jc w:val="right"/>
              <w:rPr>
                <w:rFonts w:eastAsia="Times New Roman"/>
                <w:color w:val="000000"/>
                <w:sz w:val="20"/>
                <w:szCs w:val="20"/>
              </w:rPr>
            </w:pPr>
            <w:r w:rsidRPr="00FF756A">
              <w:rPr>
                <w:sz w:val="20"/>
                <w:szCs w:val="20"/>
              </w:rPr>
              <w:t>23,1%</w:t>
            </w:r>
          </w:p>
        </w:tc>
        <w:tc>
          <w:tcPr>
            <w:tcW w:w="959" w:type="dxa"/>
            <w:tcBorders>
              <w:top w:val="nil"/>
              <w:left w:val="nil"/>
              <w:bottom w:val="single" w:sz="8" w:space="0" w:color="FFFFFF"/>
              <w:right w:val="single" w:sz="8" w:space="0" w:color="FFFFFF"/>
            </w:tcBorders>
            <w:shd w:val="clear" w:color="auto" w:fill="4472C4" w:themeFill="accent1"/>
            <w:noWrap/>
            <w:hideMark/>
          </w:tcPr>
          <w:p w14:paraId="1279589D" w14:textId="77777777" w:rsidR="00B86FB3" w:rsidRPr="00FF756A" w:rsidRDefault="00B86FB3" w:rsidP="00B86FB3">
            <w:pPr>
              <w:jc w:val="right"/>
              <w:rPr>
                <w:rFonts w:eastAsia="Times New Roman"/>
                <w:color w:val="FFFFFF" w:themeColor="background1"/>
                <w:sz w:val="20"/>
                <w:szCs w:val="20"/>
              </w:rPr>
            </w:pPr>
            <w:r w:rsidRPr="00FF756A">
              <w:rPr>
                <w:color w:val="FFFFFF" w:themeColor="background1"/>
                <w:sz w:val="20"/>
                <w:szCs w:val="20"/>
              </w:rPr>
              <w:t>20,2%</w:t>
            </w:r>
          </w:p>
        </w:tc>
        <w:tc>
          <w:tcPr>
            <w:tcW w:w="959" w:type="dxa"/>
            <w:tcBorders>
              <w:top w:val="nil"/>
              <w:left w:val="nil"/>
              <w:bottom w:val="single" w:sz="8" w:space="0" w:color="FFFFFF"/>
              <w:right w:val="single" w:sz="8" w:space="0" w:color="FFFFFF"/>
            </w:tcBorders>
            <w:shd w:val="clear" w:color="000000" w:fill="B8CCE4"/>
            <w:noWrap/>
            <w:hideMark/>
          </w:tcPr>
          <w:p w14:paraId="544927F2" w14:textId="77777777" w:rsidR="00B86FB3" w:rsidRPr="00FF756A" w:rsidRDefault="00B86FB3" w:rsidP="00B86FB3">
            <w:pPr>
              <w:jc w:val="right"/>
              <w:rPr>
                <w:rFonts w:eastAsia="Times New Roman"/>
                <w:color w:val="000000"/>
                <w:sz w:val="20"/>
                <w:szCs w:val="20"/>
              </w:rPr>
            </w:pPr>
            <w:r w:rsidRPr="00FF756A">
              <w:rPr>
                <w:sz w:val="20"/>
                <w:szCs w:val="20"/>
              </w:rPr>
              <w:t>16,3%</w:t>
            </w:r>
          </w:p>
        </w:tc>
        <w:tc>
          <w:tcPr>
            <w:tcW w:w="959" w:type="dxa"/>
            <w:tcBorders>
              <w:top w:val="nil"/>
              <w:left w:val="nil"/>
              <w:bottom w:val="single" w:sz="8" w:space="0" w:color="FFFFFF"/>
              <w:right w:val="single" w:sz="8" w:space="0" w:color="FFFFFF"/>
            </w:tcBorders>
            <w:shd w:val="clear" w:color="000000" w:fill="B8CCE4"/>
            <w:noWrap/>
            <w:hideMark/>
          </w:tcPr>
          <w:p w14:paraId="158E4F80" w14:textId="77777777" w:rsidR="00B86FB3" w:rsidRPr="00FF756A" w:rsidRDefault="00B86FB3" w:rsidP="00B86FB3">
            <w:pPr>
              <w:jc w:val="right"/>
              <w:rPr>
                <w:rFonts w:eastAsia="Times New Roman"/>
                <w:color w:val="000000"/>
                <w:sz w:val="20"/>
                <w:szCs w:val="20"/>
              </w:rPr>
            </w:pPr>
            <w:r w:rsidRPr="00FF756A">
              <w:rPr>
                <w:sz w:val="20"/>
                <w:szCs w:val="20"/>
              </w:rPr>
              <w:t>15,0%</w:t>
            </w:r>
          </w:p>
        </w:tc>
      </w:tr>
      <w:tr w:rsidR="00B86FB3" w:rsidRPr="00FF756A" w14:paraId="69FCB0DF" w14:textId="77777777" w:rsidTr="006A3266">
        <w:trPr>
          <w:trHeight w:val="309"/>
        </w:trPr>
        <w:tc>
          <w:tcPr>
            <w:tcW w:w="1499" w:type="dxa"/>
            <w:tcBorders>
              <w:top w:val="nil"/>
              <w:left w:val="single" w:sz="8" w:space="0" w:color="FFFFFF"/>
              <w:bottom w:val="single" w:sz="8" w:space="0" w:color="FFFFFF"/>
              <w:right w:val="single" w:sz="8" w:space="0" w:color="FFFFFF"/>
            </w:tcBorders>
            <w:shd w:val="clear" w:color="000000" w:fill="4F81BD"/>
            <w:noWrap/>
            <w:vAlign w:val="center"/>
            <w:hideMark/>
          </w:tcPr>
          <w:p w14:paraId="20026392" w14:textId="77777777" w:rsidR="00B86FB3" w:rsidRPr="00FF756A" w:rsidRDefault="00B86FB3" w:rsidP="00B86FB3">
            <w:pPr>
              <w:rPr>
                <w:rFonts w:eastAsia="Times New Roman"/>
                <w:color w:val="FFFFFF"/>
                <w:sz w:val="20"/>
                <w:szCs w:val="20"/>
              </w:rPr>
            </w:pPr>
            <w:r w:rsidRPr="00FF756A">
              <w:rPr>
                <w:color w:val="FFFFFF"/>
                <w:sz w:val="20"/>
                <w:szCs w:val="20"/>
              </w:rPr>
              <w:t>Shërbimet</w:t>
            </w:r>
          </w:p>
        </w:tc>
        <w:tc>
          <w:tcPr>
            <w:tcW w:w="958" w:type="dxa"/>
            <w:tcBorders>
              <w:top w:val="nil"/>
              <w:left w:val="nil"/>
              <w:bottom w:val="single" w:sz="8" w:space="0" w:color="FFFFFF"/>
              <w:right w:val="single" w:sz="8" w:space="0" w:color="FFFFFF"/>
            </w:tcBorders>
            <w:shd w:val="clear" w:color="000000" w:fill="DBE5F1"/>
            <w:noWrap/>
            <w:hideMark/>
          </w:tcPr>
          <w:p w14:paraId="16B2A19F" w14:textId="77777777" w:rsidR="00B86FB3" w:rsidRPr="00FF756A" w:rsidRDefault="00B86FB3" w:rsidP="00B86FB3">
            <w:pPr>
              <w:jc w:val="right"/>
              <w:rPr>
                <w:rFonts w:eastAsia="Times New Roman"/>
                <w:color w:val="000000"/>
                <w:sz w:val="20"/>
                <w:szCs w:val="20"/>
              </w:rPr>
            </w:pPr>
            <w:r w:rsidRPr="00FF756A">
              <w:rPr>
                <w:sz w:val="20"/>
                <w:szCs w:val="20"/>
              </w:rPr>
              <w:t>10,3%</w:t>
            </w:r>
          </w:p>
        </w:tc>
        <w:tc>
          <w:tcPr>
            <w:tcW w:w="959" w:type="dxa"/>
            <w:tcBorders>
              <w:top w:val="nil"/>
              <w:left w:val="nil"/>
              <w:bottom w:val="single" w:sz="8" w:space="0" w:color="FFFFFF"/>
              <w:right w:val="single" w:sz="8" w:space="0" w:color="FFFFFF"/>
            </w:tcBorders>
            <w:shd w:val="clear" w:color="000000" w:fill="DBE5F1"/>
            <w:noWrap/>
            <w:hideMark/>
          </w:tcPr>
          <w:p w14:paraId="5DEF1279" w14:textId="77777777" w:rsidR="00B86FB3" w:rsidRPr="00FF756A" w:rsidRDefault="00B86FB3" w:rsidP="00B86FB3">
            <w:pPr>
              <w:jc w:val="right"/>
              <w:rPr>
                <w:rFonts w:eastAsia="Times New Roman"/>
                <w:color w:val="000000"/>
                <w:sz w:val="20"/>
                <w:szCs w:val="20"/>
              </w:rPr>
            </w:pPr>
            <w:r w:rsidRPr="00FF756A">
              <w:rPr>
                <w:sz w:val="20"/>
                <w:szCs w:val="20"/>
              </w:rPr>
              <w:t>10,7%</w:t>
            </w:r>
          </w:p>
        </w:tc>
        <w:tc>
          <w:tcPr>
            <w:tcW w:w="959" w:type="dxa"/>
            <w:tcBorders>
              <w:top w:val="nil"/>
              <w:left w:val="nil"/>
              <w:bottom w:val="single" w:sz="8" w:space="0" w:color="FFFFFF"/>
              <w:right w:val="single" w:sz="8" w:space="0" w:color="FFFFFF"/>
            </w:tcBorders>
            <w:shd w:val="clear" w:color="000000" w:fill="DBE5F1"/>
            <w:noWrap/>
            <w:hideMark/>
          </w:tcPr>
          <w:p w14:paraId="37A49143" w14:textId="77777777" w:rsidR="00B86FB3" w:rsidRPr="00FF756A" w:rsidRDefault="00B86FB3" w:rsidP="00B86FB3">
            <w:pPr>
              <w:jc w:val="right"/>
              <w:rPr>
                <w:rFonts w:eastAsia="Times New Roman"/>
                <w:color w:val="000000"/>
                <w:sz w:val="20"/>
                <w:szCs w:val="20"/>
              </w:rPr>
            </w:pPr>
            <w:r w:rsidRPr="00FF756A">
              <w:rPr>
                <w:sz w:val="20"/>
                <w:szCs w:val="20"/>
              </w:rPr>
              <w:t>10,6%</w:t>
            </w:r>
          </w:p>
        </w:tc>
        <w:tc>
          <w:tcPr>
            <w:tcW w:w="959" w:type="dxa"/>
            <w:tcBorders>
              <w:top w:val="nil"/>
              <w:left w:val="nil"/>
              <w:bottom w:val="single" w:sz="8" w:space="0" w:color="FFFFFF"/>
              <w:right w:val="single" w:sz="8" w:space="0" w:color="FFFFFF"/>
            </w:tcBorders>
            <w:shd w:val="clear" w:color="000000" w:fill="DBE5F1"/>
            <w:noWrap/>
            <w:hideMark/>
          </w:tcPr>
          <w:p w14:paraId="3F6580FF" w14:textId="77777777" w:rsidR="00B86FB3" w:rsidRPr="00FF756A" w:rsidRDefault="00B86FB3" w:rsidP="00B86FB3">
            <w:pPr>
              <w:jc w:val="right"/>
              <w:rPr>
                <w:rFonts w:eastAsia="Times New Roman"/>
                <w:color w:val="000000"/>
                <w:sz w:val="20"/>
                <w:szCs w:val="20"/>
              </w:rPr>
            </w:pPr>
            <w:r w:rsidRPr="00FF756A">
              <w:rPr>
                <w:sz w:val="20"/>
                <w:szCs w:val="20"/>
              </w:rPr>
              <w:t>10,9%</w:t>
            </w:r>
          </w:p>
        </w:tc>
        <w:tc>
          <w:tcPr>
            <w:tcW w:w="959" w:type="dxa"/>
            <w:tcBorders>
              <w:top w:val="nil"/>
              <w:left w:val="nil"/>
              <w:bottom w:val="single" w:sz="8" w:space="0" w:color="FFFFFF"/>
              <w:right w:val="single" w:sz="8" w:space="0" w:color="FFFFFF"/>
            </w:tcBorders>
            <w:shd w:val="clear" w:color="000000" w:fill="DBE5F1"/>
            <w:noWrap/>
            <w:hideMark/>
          </w:tcPr>
          <w:p w14:paraId="34127F51" w14:textId="77777777" w:rsidR="00B86FB3" w:rsidRPr="00FF756A" w:rsidRDefault="00B86FB3" w:rsidP="00B86FB3">
            <w:pPr>
              <w:jc w:val="right"/>
              <w:rPr>
                <w:rFonts w:eastAsia="Times New Roman"/>
                <w:color w:val="000000"/>
                <w:sz w:val="20"/>
                <w:szCs w:val="20"/>
              </w:rPr>
            </w:pPr>
            <w:r w:rsidRPr="00FF756A">
              <w:rPr>
                <w:sz w:val="20"/>
                <w:szCs w:val="20"/>
              </w:rPr>
              <w:t>11,3%</w:t>
            </w:r>
          </w:p>
        </w:tc>
        <w:tc>
          <w:tcPr>
            <w:tcW w:w="959" w:type="dxa"/>
            <w:tcBorders>
              <w:top w:val="nil"/>
              <w:left w:val="nil"/>
              <w:bottom w:val="single" w:sz="8" w:space="0" w:color="FFFFFF"/>
              <w:right w:val="single" w:sz="8" w:space="0" w:color="FFFFFF"/>
            </w:tcBorders>
            <w:shd w:val="clear" w:color="auto" w:fill="4472C4" w:themeFill="accent1"/>
            <w:noWrap/>
            <w:hideMark/>
          </w:tcPr>
          <w:p w14:paraId="44AB279C" w14:textId="77777777" w:rsidR="00B86FB3" w:rsidRPr="00FF756A" w:rsidRDefault="00B86FB3" w:rsidP="00B86FB3">
            <w:pPr>
              <w:jc w:val="right"/>
              <w:rPr>
                <w:rFonts w:eastAsia="Times New Roman"/>
                <w:color w:val="FFFFFF" w:themeColor="background1"/>
                <w:sz w:val="20"/>
                <w:szCs w:val="20"/>
              </w:rPr>
            </w:pPr>
            <w:r w:rsidRPr="00FF756A">
              <w:rPr>
                <w:color w:val="FFFFFF" w:themeColor="background1"/>
                <w:sz w:val="20"/>
                <w:szCs w:val="20"/>
              </w:rPr>
              <w:t>12,1%</w:t>
            </w:r>
          </w:p>
        </w:tc>
        <w:tc>
          <w:tcPr>
            <w:tcW w:w="959" w:type="dxa"/>
            <w:tcBorders>
              <w:top w:val="nil"/>
              <w:left w:val="nil"/>
              <w:bottom w:val="single" w:sz="8" w:space="0" w:color="FFFFFF"/>
              <w:right w:val="single" w:sz="8" w:space="0" w:color="FFFFFF"/>
            </w:tcBorders>
            <w:shd w:val="clear" w:color="000000" w:fill="DBE5F1"/>
            <w:noWrap/>
            <w:hideMark/>
          </w:tcPr>
          <w:p w14:paraId="751B55B3" w14:textId="77777777" w:rsidR="00B86FB3" w:rsidRPr="00FF756A" w:rsidRDefault="00B86FB3" w:rsidP="00B86FB3">
            <w:pPr>
              <w:jc w:val="right"/>
              <w:rPr>
                <w:rFonts w:eastAsia="Times New Roman"/>
                <w:color w:val="000000"/>
                <w:sz w:val="20"/>
                <w:szCs w:val="20"/>
              </w:rPr>
            </w:pPr>
            <w:r w:rsidRPr="00FF756A">
              <w:rPr>
                <w:sz w:val="20"/>
                <w:szCs w:val="20"/>
              </w:rPr>
              <w:t>12,7%</w:t>
            </w:r>
          </w:p>
        </w:tc>
        <w:tc>
          <w:tcPr>
            <w:tcW w:w="959" w:type="dxa"/>
            <w:tcBorders>
              <w:top w:val="nil"/>
              <w:left w:val="nil"/>
              <w:bottom w:val="single" w:sz="8" w:space="0" w:color="FFFFFF"/>
              <w:right w:val="single" w:sz="8" w:space="0" w:color="FFFFFF"/>
            </w:tcBorders>
            <w:shd w:val="clear" w:color="000000" w:fill="DBE5F1"/>
            <w:noWrap/>
            <w:hideMark/>
          </w:tcPr>
          <w:p w14:paraId="34B39F8D" w14:textId="77777777" w:rsidR="00B86FB3" w:rsidRPr="00FF756A" w:rsidRDefault="00B86FB3" w:rsidP="00B86FB3">
            <w:pPr>
              <w:jc w:val="right"/>
              <w:rPr>
                <w:rFonts w:eastAsia="Times New Roman"/>
                <w:color w:val="000000"/>
                <w:sz w:val="20"/>
                <w:szCs w:val="20"/>
              </w:rPr>
            </w:pPr>
            <w:r w:rsidRPr="00FF756A">
              <w:rPr>
                <w:sz w:val="20"/>
                <w:szCs w:val="20"/>
              </w:rPr>
              <w:t>11,9%</w:t>
            </w:r>
          </w:p>
        </w:tc>
      </w:tr>
      <w:tr w:rsidR="00B86FB3" w:rsidRPr="00FF756A" w14:paraId="5C4F8139" w14:textId="77777777" w:rsidTr="006A3266">
        <w:trPr>
          <w:trHeight w:val="309"/>
        </w:trPr>
        <w:tc>
          <w:tcPr>
            <w:tcW w:w="1499" w:type="dxa"/>
            <w:tcBorders>
              <w:top w:val="nil"/>
              <w:left w:val="single" w:sz="8" w:space="0" w:color="FFFFFF"/>
              <w:bottom w:val="single" w:sz="8" w:space="0" w:color="FFFFFF"/>
              <w:right w:val="single" w:sz="8" w:space="0" w:color="FFFFFF"/>
            </w:tcBorders>
            <w:shd w:val="clear" w:color="000000" w:fill="4F81BD"/>
            <w:noWrap/>
            <w:vAlign w:val="center"/>
            <w:hideMark/>
          </w:tcPr>
          <w:p w14:paraId="1E1A5440" w14:textId="77777777" w:rsidR="00B86FB3" w:rsidRPr="00FF756A" w:rsidRDefault="00B86FB3" w:rsidP="00B86FB3">
            <w:pPr>
              <w:rPr>
                <w:rFonts w:eastAsia="Times New Roman"/>
                <w:color w:val="FFFFFF"/>
                <w:sz w:val="20"/>
                <w:szCs w:val="20"/>
              </w:rPr>
            </w:pPr>
            <w:r w:rsidRPr="00FF756A">
              <w:rPr>
                <w:color w:val="FFFFFF"/>
                <w:sz w:val="20"/>
                <w:szCs w:val="20"/>
              </w:rPr>
              <w:t>Industria</w:t>
            </w:r>
          </w:p>
        </w:tc>
        <w:tc>
          <w:tcPr>
            <w:tcW w:w="958" w:type="dxa"/>
            <w:tcBorders>
              <w:top w:val="nil"/>
              <w:left w:val="nil"/>
              <w:bottom w:val="single" w:sz="8" w:space="0" w:color="FFFFFF"/>
              <w:right w:val="single" w:sz="8" w:space="0" w:color="FFFFFF"/>
            </w:tcBorders>
            <w:shd w:val="clear" w:color="000000" w:fill="B8CCE4"/>
            <w:noWrap/>
            <w:hideMark/>
          </w:tcPr>
          <w:p w14:paraId="731ECAAD" w14:textId="77777777" w:rsidR="00B86FB3" w:rsidRPr="00FF756A" w:rsidRDefault="00B86FB3" w:rsidP="00B86FB3">
            <w:pPr>
              <w:jc w:val="right"/>
              <w:rPr>
                <w:rFonts w:eastAsia="Times New Roman"/>
                <w:color w:val="000000"/>
                <w:sz w:val="20"/>
                <w:szCs w:val="20"/>
              </w:rPr>
            </w:pPr>
            <w:r w:rsidRPr="00FF756A">
              <w:rPr>
                <w:sz w:val="20"/>
                <w:szCs w:val="20"/>
              </w:rPr>
              <w:t>19,3%</w:t>
            </w:r>
          </w:p>
        </w:tc>
        <w:tc>
          <w:tcPr>
            <w:tcW w:w="959" w:type="dxa"/>
            <w:tcBorders>
              <w:top w:val="nil"/>
              <w:left w:val="nil"/>
              <w:bottom w:val="single" w:sz="8" w:space="0" w:color="FFFFFF"/>
              <w:right w:val="single" w:sz="8" w:space="0" w:color="FFFFFF"/>
            </w:tcBorders>
            <w:shd w:val="clear" w:color="000000" w:fill="B8CCE4"/>
            <w:noWrap/>
            <w:hideMark/>
          </w:tcPr>
          <w:p w14:paraId="7F524E39" w14:textId="77777777" w:rsidR="00B86FB3" w:rsidRPr="00FF756A" w:rsidRDefault="00B86FB3" w:rsidP="00B86FB3">
            <w:pPr>
              <w:jc w:val="right"/>
              <w:rPr>
                <w:rFonts w:eastAsia="Times New Roman"/>
                <w:color w:val="000000"/>
                <w:sz w:val="20"/>
                <w:szCs w:val="20"/>
              </w:rPr>
            </w:pPr>
            <w:r w:rsidRPr="00FF756A">
              <w:rPr>
                <w:sz w:val="20"/>
                <w:szCs w:val="20"/>
              </w:rPr>
              <w:t>21,3%</w:t>
            </w:r>
          </w:p>
        </w:tc>
        <w:tc>
          <w:tcPr>
            <w:tcW w:w="959" w:type="dxa"/>
            <w:tcBorders>
              <w:top w:val="nil"/>
              <w:left w:val="nil"/>
              <w:bottom w:val="single" w:sz="8" w:space="0" w:color="FFFFFF"/>
              <w:right w:val="single" w:sz="8" w:space="0" w:color="FFFFFF"/>
            </w:tcBorders>
            <w:shd w:val="clear" w:color="000000" w:fill="B8CCE4"/>
            <w:noWrap/>
            <w:hideMark/>
          </w:tcPr>
          <w:p w14:paraId="138FD8D2" w14:textId="77777777" w:rsidR="00B86FB3" w:rsidRPr="00FF756A" w:rsidRDefault="00B86FB3" w:rsidP="00B86FB3">
            <w:pPr>
              <w:jc w:val="right"/>
              <w:rPr>
                <w:rFonts w:eastAsia="Times New Roman"/>
                <w:color w:val="000000"/>
                <w:sz w:val="20"/>
                <w:szCs w:val="20"/>
              </w:rPr>
            </w:pPr>
            <w:r w:rsidRPr="00FF756A">
              <w:rPr>
                <w:sz w:val="20"/>
                <w:szCs w:val="20"/>
              </w:rPr>
              <w:t>21,0%</w:t>
            </w:r>
          </w:p>
        </w:tc>
        <w:tc>
          <w:tcPr>
            <w:tcW w:w="959" w:type="dxa"/>
            <w:tcBorders>
              <w:top w:val="nil"/>
              <w:left w:val="nil"/>
              <w:bottom w:val="single" w:sz="8" w:space="0" w:color="FFFFFF"/>
              <w:right w:val="single" w:sz="8" w:space="0" w:color="FFFFFF"/>
            </w:tcBorders>
            <w:shd w:val="clear" w:color="000000" w:fill="B8CCE4"/>
            <w:noWrap/>
            <w:hideMark/>
          </w:tcPr>
          <w:p w14:paraId="107DAA5D" w14:textId="77777777" w:rsidR="00B86FB3" w:rsidRPr="00FF756A" w:rsidRDefault="00B86FB3" w:rsidP="00B86FB3">
            <w:pPr>
              <w:jc w:val="right"/>
              <w:rPr>
                <w:rFonts w:eastAsia="Times New Roman"/>
                <w:color w:val="000000"/>
                <w:sz w:val="20"/>
                <w:szCs w:val="20"/>
              </w:rPr>
            </w:pPr>
            <w:r w:rsidRPr="00FF756A">
              <w:rPr>
                <w:sz w:val="20"/>
                <w:szCs w:val="20"/>
              </w:rPr>
              <w:t>21,5%</w:t>
            </w:r>
          </w:p>
        </w:tc>
        <w:tc>
          <w:tcPr>
            <w:tcW w:w="959" w:type="dxa"/>
            <w:tcBorders>
              <w:top w:val="nil"/>
              <w:left w:val="nil"/>
              <w:bottom w:val="single" w:sz="8" w:space="0" w:color="FFFFFF"/>
              <w:right w:val="single" w:sz="8" w:space="0" w:color="FFFFFF"/>
            </w:tcBorders>
            <w:shd w:val="clear" w:color="000000" w:fill="B8CCE4"/>
            <w:noWrap/>
            <w:hideMark/>
          </w:tcPr>
          <w:p w14:paraId="3FFD5C7F" w14:textId="77777777" w:rsidR="00B86FB3" w:rsidRPr="00FF756A" w:rsidRDefault="00B86FB3" w:rsidP="00B86FB3">
            <w:pPr>
              <w:jc w:val="right"/>
              <w:rPr>
                <w:rFonts w:eastAsia="Times New Roman"/>
                <w:color w:val="000000"/>
                <w:sz w:val="20"/>
                <w:szCs w:val="20"/>
              </w:rPr>
            </w:pPr>
            <w:r w:rsidRPr="00FF756A">
              <w:rPr>
                <w:sz w:val="20"/>
                <w:szCs w:val="20"/>
              </w:rPr>
              <w:t>21,9%</w:t>
            </w:r>
          </w:p>
        </w:tc>
        <w:tc>
          <w:tcPr>
            <w:tcW w:w="959" w:type="dxa"/>
            <w:tcBorders>
              <w:top w:val="nil"/>
              <w:left w:val="nil"/>
              <w:bottom w:val="single" w:sz="8" w:space="0" w:color="FFFFFF"/>
              <w:right w:val="single" w:sz="8" w:space="0" w:color="FFFFFF"/>
            </w:tcBorders>
            <w:shd w:val="clear" w:color="auto" w:fill="4472C4" w:themeFill="accent1"/>
            <w:noWrap/>
            <w:hideMark/>
          </w:tcPr>
          <w:p w14:paraId="75D23C24" w14:textId="77777777" w:rsidR="00B86FB3" w:rsidRPr="00FF756A" w:rsidRDefault="00B86FB3" w:rsidP="00B86FB3">
            <w:pPr>
              <w:jc w:val="right"/>
              <w:rPr>
                <w:rFonts w:eastAsia="Times New Roman"/>
                <w:color w:val="FFFFFF" w:themeColor="background1"/>
                <w:sz w:val="20"/>
                <w:szCs w:val="20"/>
              </w:rPr>
            </w:pPr>
            <w:r w:rsidRPr="00FF756A">
              <w:rPr>
                <w:color w:val="FFFFFF" w:themeColor="background1"/>
                <w:sz w:val="20"/>
                <w:szCs w:val="20"/>
              </w:rPr>
              <w:t>23,1%</w:t>
            </w:r>
          </w:p>
        </w:tc>
        <w:tc>
          <w:tcPr>
            <w:tcW w:w="959" w:type="dxa"/>
            <w:tcBorders>
              <w:top w:val="nil"/>
              <w:left w:val="nil"/>
              <w:bottom w:val="single" w:sz="8" w:space="0" w:color="FFFFFF"/>
              <w:right w:val="single" w:sz="8" w:space="0" w:color="FFFFFF"/>
            </w:tcBorders>
            <w:shd w:val="clear" w:color="000000" w:fill="B8CCE4"/>
            <w:noWrap/>
            <w:hideMark/>
          </w:tcPr>
          <w:p w14:paraId="1D5A2046" w14:textId="77777777" w:rsidR="00B86FB3" w:rsidRPr="00FF756A" w:rsidRDefault="00B86FB3" w:rsidP="00B86FB3">
            <w:pPr>
              <w:jc w:val="right"/>
              <w:rPr>
                <w:rFonts w:eastAsia="Times New Roman"/>
                <w:color w:val="000000"/>
                <w:sz w:val="20"/>
                <w:szCs w:val="20"/>
              </w:rPr>
            </w:pPr>
            <w:r w:rsidRPr="00FF756A">
              <w:rPr>
                <w:sz w:val="20"/>
                <w:szCs w:val="20"/>
              </w:rPr>
              <w:t>25,2%</w:t>
            </w:r>
          </w:p>
        </w:tc>
        <w:tc>
          <w:tcPr>
            <w:tcW w:w="959" w:type="dxa"/>
            <w:tcBorders>
              <w:top w:val="nil"/>
              <w:left w:val="nil"/>
              <w:bottom w:val="single" w:sz="8" w:space="0" w:color="FFFFFF"/>
              <w:right w:val="single" w:sz="8" w:space="0" w:color="FFFFFF"/>
            </w:tcBorders>
            <w:shd w:val="clear" w:color="000000" w:fill="B8CCE4"/>
            <w:noWrap/>
            <w:hideMark/>
          </w:tcPr>
          <w:p w14:paraId="2594E630" w14:textId="77777777" w:rsidR="00B86FB3" w:rsidRPr="00FF756A" w:rsidRDefault="00B86FB3" w:rsidP="00B86FB3">
            <w:pPr>
              <w:jc w:val="right"/>
              <w:rPr>
                <w:rFonts w:eastAsia="Times New Roman"/>
                <w:color w:val="000000"/>
                <w:sz w:val="20"/>
                <w:szCs w:val="20"/>
              </w:rPr>
            </w:pPr>
            <w:r w:rsidRPr="00FF756A">
              <w:rPr>
                <w:sz w:val="20"/>
                <w:szCs w:val="20"/>
              </w:rPr>
              <w:t>26,9%</w:t>
            </w:r>
          </w:p>
        </w:tc>
      </w:tr>
      <w:tr w:rsidR="00B86FB3" w:rsidRPr="00FF756A" w14:paraId="638CF30F" w14:textId="77777777" w:rsidTr="006A3266">
        <w:trPr>
          <w:trHeight w:val="309"/>
        </w:trPr>
        <w:tc>
          <w:tcPr>
            <w:tcW w:w="1499" w:type="dxa"/>
            <w:tcBorders>
              <w:top w:val="nil"/>
              <w:left w:val="single" w:sz="8" w:space="0" w:color="FFFFFF"/>
              <w:bottom w:val="single" w:sz="8" w:space="0" w:color="FFFFFF"/>
              <w:right w:val="single" w:sz="8" w:space="0" w:color="FFFFFF"/>
            </w:tcBorders>
            <w:shd w:val="clear" w:color="000000" w:fill="4F81BD"/>
            <w:noWrap/>
            <w:vAlign w:val="center"/>
            <w:hideMark/>
          </w:tcPr>
          <w:p w14:paraId="711D53FA" w14:textId="77777777" w:rsidR="00B86FB3" w:rsidRPr="00FF756A" w:rsidRDefault="00B86FB3" w:rsidP="00B86FB3">
            <w:pPr>
              <w:rPr>
                <w:rFonts w:eastAsia="Times New Roman"/>
                <w:color w:val="FFFFFF"/>
                <w:sz w:val="20"/>
                <w:szCs w:val="20"/>
              </w:rPr>
            </w:pPr>
            <w:r w:rsidRPr="00FF756A">
              <w:rPr>
                <w:color w:val="FFFFFF"/>
                <w:sz w:val="20"/>
                <w:szCs w:val="20"/>
              </w:rPr>
              <w:t>Transporti</w:t>
            </w:r>
          </w:p>
        </w:tc>
        <w:tc>
          <w:tcPr>
            <w:tcW w:w="958" w:type="dxa"/>
            <w:tcBorders>
              <w:top w:val="nil"/>
              <w:left w:val="nil"/>
              <w:bottom w:val="single" w:sz="8" w:space="0" w:color="FFFFFF"/>
              <w:right w:val="single" w:sz="8" w:space="0" w:color="FFFFFF"/>
            </w:tcBorders>
            <w:shd w:val="clear" w:color="000000" w:fill="DBE5F1"/>
            <w:noWrap/>
            <w:hideMark/>
          </w:tcPr>
          <w:p w14:paraId="0D2B89B8" w14:textId="77777777" w:rsidR="00B86FB3" w:rsidRPr="00FF756A" w:rsidRDefault="00B86FB3" w:rsidP="00B86FB3">
            <w:pPr>
              <w:jc w:val="right"/>
              <w:rPr>
                <w:rFonts w:eastAsia="Times New Roman"/>
                <w:color w:val="000000"/>
                <w:sz w:val="20"/>
                <w:szCs w:val="20"/>
              </w:rPr>
            </w:pPr>
            <w:r w:rsidRPr="00FF756A">
              <w:rPr>
                <w:sz w:val="20"/>
                <w:szCs w:val="20"/>
              </w:rPr>
              <w:t>34,1%</w:t>
            </w:r>
          </w:p>
        </w:tc>
        <w:tc>
          <w:tcPr>
            <w:tcW w:w="959" w:type="dxa"/>
            <w:tcBorders>
              <w:top w:val="nil"/>
              <w:left w:val="nil"/>
              <w:bottom w:val="single" w:sz="8" w:space="0" w:color="FFFFFF"/>
              <w:right w:val="single" w:sz="8" w:space="0" w:color="FFFFFF"/>
            </w:tcBorders>
            <w:shd w:val="clear" w:color="000000" w:fill="DBE5F1"/>
            <w:noWrap/>
            <w:hideMark/>
          </w:tcPr>
          <w:p w14:paraId="5A4F20E6" w14:textId="77777777" w:rsidR="00B86FB3" w:rsidRPr="00FF756A" w:rsidRDefault="00B86FB3" w:rsidP="00B86FB3">
            <w:pPr>
              <w:jc w:val="right"/>
              <w:rPr>
                <w:rFonts w:eastAsia="Times New Roman"/>
                <w:color w:val="000000"/>
                <w:sz w:val="20"/>
                <w:szCs w:val="20"/>
              </w:rPr>
            </w:pPr>
            <w:r w:rsidRPr="00FF756A">
              <w:rPr>
                <w:sz w:val="20"/>
                <w:szCs w:val="20"/>
              </w:rPr>
              <w:t>33,9%</w:t>
            </w:r>
          </w:p>
        </w:tc>
        <w:tc>
          <w:tcPr>
            <w:tcW w:w="959" w:type="dxa"/>
            <w:tcBorders>
              <w:top w:val="nil"/>
              <w:left w:val="nil"/>
              <w:bottom w:val="single" w:sz="8" w:space="0" w:color="FFFFFF"/>
              <w:right w:val="single" w:sz="8" w:space="0" w:color="FFFFFF"/>
            </w:tcBorders>
            <w:shd w:val="clear" w:color="000000" w:fill="DBE5F1"/>
            <w:noWrap/>
            <w:hideMark/>
          </w:tcPr>
          <w:p w14:paraId="28ADF538" w14:textId="77777777" w:rsidR="00B86FB3" w:rsidRPr="00FF756A" w:rsidRDefault="00B86FB3" w:rsidP="00B86FB3">
            <w:pPr>
              <w:jc w:val="right"/>
              <w:rPr>
                <w:rFonts w:eastAsia="Times New Roman"/>
                <w:color w:val="000000"/>
                <w:sz w:val="20"/>
                <w:szCs w:val="20"/>
              </w:rPr>
            </w:pPr>
            <w:r w:rsidRPr="00FF756A">
              <w:rPr>
                <w:sz w:val="20"/>
                <w:szCs w:val="20"/>
              </w:rPr>
              <w:t>35,0%</w:t>
            </w:r>
          </w:p>
        </w:tc>
        <w:tc>
          <w:tcPr>
            <w:tcW w:w="959" w:type="dxa"/>
            <w:tcBorders>
              <w:top w:val="nil"/>
              <w:left w:val="nil"/>
              <w:bottom w:val="single" w:sz="8" w:space="0" w:color="FFFFFF"/>
              <w:right w:val="single" w:sz="8" w:space="0" w:color="FFFFFF"/>
            </w:tcBorders>
            <w:shd w:val="clear" w:color="000000" w:fill="DBE5F1"/>
            <w:noWrap/>
            <w:hideMark/>
          </w:tcPr>
          <w:p w14:paraId="34A51AC5" w14:textId="77777777" w:rsidR="00B86FB3" w:rsidRPr="00FF756A" w:rsidRDefault="00B86FB3" w:rsidP="00B86FB3">
            <w:pPr>
              <w:jc w:val="right"/>
              <w:rPr>
                <w:rFonts w:eastAsia="Times New Roman"/>
                <w:color w:val="000000"/>
                <w:sz w:val="20"/>
                <w:szCs w:val="20"/>
              </w:rPr>
            </w:pPr>
            <w:r w:rsidRPr="00FF756A">
              <w:rPr>
                <w:sz w:val="20"/>
                <w:szCs w:val="20"/>
              </w:rPr>
              <w:t>34,6%</w:t>
            </w:r>
          </w:p>
        </w:tc>
        <w:tc>
          <w:tcPr>
            <w:tcW w:w="959" w:type="dxa"/>
            <w:tcBorders>
              <w:top w:val="nil"/>
              <w:left w:val="nil"/>
              <w:bottom w:val="single" w:sz="8" w:space="0" w:color="FFFFFF"/>
              <w:right w:val="single" w:sz="8" w:space="0" w:color="FFFFFF"/>
            </w:tcBorders>
            <w:shd w:val="clear" w:color="000000" w:fill="DBE5F1"/>
            <w:noWrap/>
            <w:hideMark/>
          </w:tcPr>
          <w:p w14:paraId="3D00BE99" w14:textId="77777777" w:rsidR="00B86FB3" w:rsidRPr="00FF756A" w:rsidRDefault="00B86FB3" w:rsidP="00B86FB3">
            <w:pPr>
              <w:jc w:val="right"/>
              <w:rPr>
                <w:rFonts w:eastAsia="Times New Roman"/>
                <w:color w:val="000000"/>
                <w:sz w:val="20"/>
                <w:szCs w:val="20"/>
              </w:rPr>
            </w:pPr>
            <w:r w:rsidRPr="00FF756A">
              <w:rPr>
                <w:sz w:val="20"/>
                <w:szCs w:val="20"/>
              </w:rPr>
              <w:t>34,9%</w:t>
            </w:r>
          </w:p>
        </w:tc>
        <w:tc>
          <w:tcPr>
            <w:tcW w:w="959" w:type="dxa"/>
            <w:tcBorders>
              <w:top w:val="nil"/>
              <w:left w:val="nil"/>
              <w:bottom w:val="single" w:sz="8" w:space="0" w:color="FFFFFF"/>
              <w:right w:val="single" w:sz="8" w:space="0" w:color="FFFFFF"/>
            </w:tcBorders>
            <w:shd w:val="clear" w:color="auto" w:fill="4472C4" w:themeFill="accent1"/>
            <w:noWrap/>
            <w:hideMark/>
          </w:tcPr>
          <w:p w14:paraId="609CD4EA" w14:textId="77777777" w:rsidR="00B86FB3" w:rsidRPr="00FF756A" w:rsidRDefault="00B86FB3" w:rsidP="00B86FB3">
            <w:pPr>
              <w:jc w:val="right"/>
              <w:rPr>
                <w:rFonts w:eastAsia="Times New Roman"/>
                <w:color w:val="FFFFFF" w:themeColor="background1"/>
                <w:sz w:val="20"/>
                <w:szCs w:val="20"/>
              </w:rPr>
            </w:pPr>
            <w:r w:rsidRPr="00FF756A">
              <w:rPr>
                <w:color w:val="FFFFFF" w:themeColor="background1"/>
                <w:sz w:val="20"/>
                <w:szCs w:val="20"/>
              </w:rPr>
              <w:t>35,3%</w:t>
            </w:r>
          </w:p>
        </w:tc>
        <w:tc>
          <w:tcPr>
            <w:tcW w:w="959" w:type="dxa"/>
            <w:tcBorders>
              <w:top w:val="nil"/>
              <w:left w:val="nil"/>
              <w:bottom w:val="single" w:sz="8" w:space="0" w:color="FFFFFF"/>
              <w:right w:val="single" w:sz="8" w:space="0" w:color="FFFFFF"/>
            </w:tcBorders>
            <w:shd w:val="clear" w:color="000000" w:fill="DBE5F1"/>
            <w:noWrap/>
            <w:hideMark/>
          </w:tcPr>
          <w:p w14:paraId="7BA0ECF8" w14:textId="77777777" w:rsidR="00B86FB3" w:rsidRPr="00FF756A" w:rsidRDefault="00B86FB3" w:rsidP="00B86FB3">
            <w:pPr>
              <w:jc w:val="right"/>
              <w:rPr>
                <w:rFonts w:eastAsia="Times New Roman"/>
                <w:color w:val="000000"/>
                <w:sz w:val="20"/>
                <w:szCs w:val="20"/>
              </w:rPr>
            </w:pPr>
            <w:r w:rsidRPr="00FF756A">
              <w:rPr>
                <w:sz w:val="20"/>
                <w:szCs w:val="20"/>
              </w:rPr>
              <w:t>35,8%</w:t>
            </w:r>
          </w:p>
        </w:tc>
        <w:tc>
          <w:tcPr>
            <w:tcW w:w="959" w:type="dxa"/>
            <w:tcBorders>
              <w:top w:val="nil"/>
              <w:left w:val="nil"/>
              <w:bottom w:val="single" w:sz="8" w:space="0" w:color="FFFFFF"/>
              <w:right w:val="single" w:sz="8" w:space="0" w:color="FFFFFF"/>
            </w:tcBorders>
            <w:shd w:val="clear" w:color="000000" w:fill="DBE5F1"/>
            <w:noWrap/>
            <w:hideMark/>
          </w:tcPr>
          <w:p w14:paraId="67AFEFBC" w14:textId="77777777" w:rsidR="00B86FB3" w:rsidRPr="00FF756A" w:rsidRDefault="00B86FB3" w:rsidP="00B86FB3">
            <w:pPr>
              <w:jc w:val="right"/>
              <w:rPr>
                <w:rFonts w:eastAsia="Times New Roman"/>
                <w:color w:val="000000"/>
                <w:sz w:val="20"/>
                <w:szCs w:val="20"/>
              </w:rPr>
            </w:pPr>
            <w:r w:rsidRPr="00FF756A">
              <w:rPr>
                <w:sz w:val="20"/>
                <w:szCs w:val="20"/>
              </w:rPr>
              <w:t>35,7%</w:t>
            </w:r>
          </w:p>
        </w:tc>
      </w:tr>
      <w:tr w:rsidR="00B86FB3" w:rsidRPr="00FF756A" w14:paraId="50B2DF51" w14:textId="77777777" w:rsidTr="006A3266">
        <w:trPr>
          <w:trHeight w:val="309"/>
        </w:trPr>
        <w:tc>
          <w:tcPr>
            <w:tcW w:w="1499" w:type="dxa"/>
            <w:tcBorders>
              <w:top w:val="nil"/>
              <w:left w:val="single" w:sz="8" w:space="0" w:color="FFFFFF"/>
              <w:bottom w:val="single" w:sz="8" w:space="0" w:color="FFFFFF"/>
              <w:right w:val="single" w:sz="8" w:space="0" w:color="FFFFFF"/>
            </w:tcBorders>
            <w:shd w:val="clear" w:color="000000" w:fill="4F81BD"/>
            <w:noWrap/>
            <w:vAlign w:val="center"/>
            <w:hideMark/>
          </w:tcPr>
          <w:p w14:paraId="315578A4" w14:textId="77777777" w:rsidR="00B86FB3" w:rsidRPr="00FF756A" w:rsidRDefault="00B86FB3" w:rsidP="00B86FB3">
            <w:pPr>
              <w:rPr>
                <w:rFonts w:eastAsia="Times New Roman"/>
                <w:color w:val="FFFFFF"/>
                <w:sz w:val="20"/>
                <w:szCs w:val="20"/>
              </w:rPr>
            </w:pPr>
            <w:r w:rsidRPr="00FF756A">
              <w:rPr>
                <w:color w:val="FFFFFF"/>
                <w:sz w:val="20"/>
                <w:szCs w:val="20"/>
              </w:rPr>
              <w:t>Bujqësia Pylltaria</w:t>
            </w:r>
          </w:p>
        </w:tc>
        <w:tc>
          <w:tcPr>
            <w:tcW w:w="958" w:type="dxa"/>
            <w:tcBorders>
              <w:top w:val="nil"/>
              <w:left w:val="nil"/>
              <w:bottom w:val="single" w:sz="8" w:space="0" w:color="FFFFFF"/>
              <w:right w:val="single" w:sz="8" w:space="0" w:color="FFFFFF"/>
            </w:tcBorders>
            <w:shd w:val="clear" w:color="000000" w:fill="B8CCE4"/>
            <w:noWrap/>
            <w:hideMark/>
          </w:tcPr>
          <w:p w14:paraId="3701FE86" w14:textId="77777777" w:rsidR="00B86FB3" w:rsidRPr="00FF756A" w:rsidRDefault="00B86FB3" w:rsidP="00B86FB3">
            <w:pPr>
              <w:jc w:val="right"/>
              <w:rPr>
                <w:rFonts w:eastAsia="Times New Roman"/>
                <w:color w:val="000000"/>
                <w:sz w:val="20"/>
                <w:szCs w:val="20"/>
              </w:rPr>
            </w:pPr>
            <w:r w:rsidRPr="00FF756A">
              <w:rPr>
                <w:sz w:val="20"/>
                <w:szCs w:val="20"/>
              </w:rPr>
              <w:t>4,0%</w:t>
            </w:r>
          </w:p>
        </w:tc>
        <w:tc>
          <w:tcPr>
            <w:tcW w:w="959" w:type="dxa"/>
            <w:tcBorders>
              <w:top w:val="nil"/>
              <w:left w:val="nil"/>
              <w:bottom w:val="single" w:sz="8" w:space="0" w:color="FFFFFF"/>
              <w:right w:val="single" w:sz="8" w:space="0" w:color="FFFFFF"/>
            </w:tcBorders>
            <w:shd w:val="clear" w:color="000000" w:fill="B8CCE4"/>
            <w:noWrap/>
            <w:hideMark/>
          </w:tcPr>
          <w:p w14:paraId="628E3770" w14:textId="77777777" w:rsidR="00B86FB3" w:rsidRPr="00FF756A" w:rsidRDefault="00B86FB3" w:rsidP="00B86FB3">
            <w:pPr>
              <w:jc w:val="right"/>
              <w:rPr>
                <w:rFonts w:eastAsia="Times New Roman"/>
                <w:color w:val="000000"/>
                <w:sz w:val="20"/>
                <w:szCs w:val="20"/>
              </w:rPr>
            </w:pPr>
            <w:r w:rsidRPr="00FF756A">
              <w:rPr>
                <w:sz w:val="20"/>
                <w:szCs w:val="20"/>
              </w:rPr>
              <w:t>3,9%</w:t>
            </w:r>
          </w:p>
        </w:tc>
        <w:tc>
          <w:tcPr>
            <w:tcW w:w="959" w:type="dxa"/>
            <w:tcBorders>
              <w:top w:val="nil"/>
              <w:left w:val="nil"/>
              <w:bottom w:val="single" w:sz="8" w:space="0" w:color="FFFFFF"/>
              <w:right w:val="single" w:sz="8" w:space="0" w:color="FFFFFF"/>
            </w:tcBorders>
            <w:shd w:val="clear" w:color="000000" w:fill="B8CCE4"/>
            <w:noWrap/>
            <w:hideMark/>
          </w:tcPr>
          <w:p w14:paraId="04F1BEF3" w14:textId="77777777" w:rsidR="00B86FB3" w:rsidRPr="00FF756A" w:rsidRDefault="00B86FB3" w:rsidP="00B86FB3">
            <w:pPr>
              <w:jc w:val="right"/>
              <w:rPr>
                <w:rFonts w:eastAsia="Times New Roman"/>
                <w:color w:val="000000"/>
                <w:sz w:val="20"/>
                <w:szCs w:val="20"/>
              </w:rPr>
            </w:pPr>
            <w:r w:rsidRPr="00FF756A">
              <w:rPr>
                <w:sz w:val="20"/>
                <w:szCs w:val="20"/>
              </w:rPr>
              <w:t>3,9%</w:t>
            </w:r>
          </w:p>
        </w:tc>
        <w:tc>
          <w:tcPr>
            <w:tcW w:w="959" w:type="dxa"/>
            <w:tcBorders>
              <w:top w:val="nil"/>
              <w:left w:val="nil"/>
              <w:bottom w:val="single" w:sz="8" w:space="0" w:color="FFFFFF"/>
              <w:right w:val="single" w:sz="8" w:space="0" w:color="FFFFFF"/>
            </w:tcBorders>
            <w:shd w:val="clear" w:color="000000" w:fill="B8CCE4"/>
            <w:noWrap/>
            <w:hideMark/>
          </w:tcPr>
          <w:p w14:paraId="49371C09" w14:textId="77777777" w:rsidR="00B86FB3" w:rsidRPr="00FF756A" w:rsidRDefault="00B86FB3" w:rsidP="00B86FB3">
            <w:pPr>
              <w:jc w:val="right"/>
              <w:rPr>
                <w:rFonts w:eastAsia="Times New Roman"/>
                <w:color w:val="000000"/>
                <w:sz w:val="20"/>
                <w:szCs w:val="20"/>
              </w:rPr>
            </w:pPr>
            <w:r w:rsidRPr="00FF756A">
              <w:rPr>
                <w:sz w:val="20"/>
                <w:szCs w:val="20"/>
              </w:rPr>
              <w:t>3,9%</w:t>
            </w:r>
          </w:p>
        </w:tc>
        <w:tc>
          <w:tcPr>
            <w:tcW w:w="959" w:type="dxa"/>
            <w:tcBorders>
              <w:top w:val="nil"/>
              <w:left w:val="nil"/>
              <w:bottom w:val="single" w:sz="8" w:space="0" w:color="FFFFFF"/>
              <w:right w:val="single" w:sz="8" w:space="0" w:color="FFFFFF"/>
            </w:tcBorders>
            <w:shd w:val="clear" w:color="000000" w:fill="B8CCE4"/>
            <w:noWrap/>
            <w:hideMark/>
          </w:tcPr>
          <w:p w14:paraId="623B621B" w14:textId="77777777" w:rsidR="00B86FB3" w:rsidRPr="00FF756A" w:rsidRDefault="00B86FB3" w:rsidP="00B86FB3">
            <w:pPr>
              <w:jc w:val="right"/>
              <w:rPr>
                <w:rFonts w:eastAsia="Times New Roman"/>
                <w:color w:val="000000"/>
                <w:sz w:val="20"/>
                <w:szCs w:val="20"/>
              </w:rPr>
            </w:pPr>
            <w:r w:rsidRPr="00FF756A">
              <w:rPr>
                <w:sz w:val="20"/>
                <w:szCs w:val="20"/>
              </w:rPr>
              <w:t>4,0%</w:t>
            </w:r>
          </w:p>
        </w:tc>
        <w:tc>
          <w:tcPr>
            <w:tcW w:w="959" w:type="dxa"/>
            <w:tcBorders>
              <w:top w:val="nil"/>
              <w:left w:val="nil"/>
              <w:bottom w:val="single" w:sz="8" w:space="0" w:color="FFFFFF"/>
              <w:right w:val="single" w:sz="8" w:space="0" w:color="FFFFFF"/>
            </w:tcBorders>
            <w:shd w:val="clear" w:color="auto" w:fill="4472C4" w:themeFill="accent1"/>
            <w:noWrap/>
            <w:hideMark/>
          </w:tcPr>
          <w:p w14:paraId="1B2F81AC" w14:textId="77777777" w:rsidR="00B86FB3" w:rsidRPr="00FF756A" w:rsidRDefault="00B86FB3" w:rsidP="00B86FB3">
            <w:pPr>
              <w:jc w:val="right"/>
              <w:rPr>
                <w:rFonts w:eastAsia="Times New Roman"/>
                <w:color w:val="FFFFFF" w:themeColor="background1"/>
                <w:sz w:val="20"/>
                <w:szCs w:val="20"/>
              </w:rPr>
            </w:pPr>
            <w:r w:rsidRPr="00FF756A">
              <w:rPr>
                <w:color w:val="FFFFFF" w:themeColor="background1"/>
                <w:sz w:val="20"/>
                <w:szCs w:val="20"/>
              </w:rPr>
              <w:t>4,1%</w:t>
            </w:r>
          </w:p>
        </w:tc>
        <w:tc>
          <w:tcPr>
            <w:tcW w:w="959" w:type="dxa"/>
            <w:tcBorders>
              <w:top w:val="nil"/>
              <w:left w:val="nil"/>
              <w:bottom w:val="single" w:sz="8" w:space="0" w:color="FFFFFF"/>
              <w:right w:val="single" w:sz="8" w:space="0" w:color="FFFFFF"/>
            </w:tcBorders>
            <w:shd w:val="clear" w:color="000000" w:fill="B8CCE4"/>
            <w:noWrap/>
            <w:hideMark/>
          </w:tcPr>
          <w:p w14:paraId="088E717D" w14:textId="77777777" w:rsidR="00B86FB3" w:rsidRPr="00FF756A" w:rsidRDefault="00B86FB3" w:rsidP="00B86FB3">
            <w:pPr>
              <w:jc w:val="right"/>
              <w:rPr>
                <w:rFonts w:eastAsia="Times New Roman"/>
                <w:color w:val="000000"/>
                <w:sz w:val="20"/>
                <w:szCs w:val="20"/>
              </w:rPr>
            </w:pPr>
            <w:r w:rsidRPr="00FF756A">
              <w:rPr>
                <w:sz w:val="20"/>
                <w:szCs w:val="20"/>
              </w:rPr>
              <w:t>4,1%</w:t>
            </w:r>
          </w:p>
        </w:tc>
        <w:tc>
          <w:tcPr>
            <w:tcW w:w="959" w:type="dxa"/>
            <w:tcBorders>
              <w:top w:val="nil"/>
              <w:left w:val="nil"/>
              <w:bottom w:val="single" w:sz="8" w:space="0" w:color="FFFFFF"/>
              <w:right w:val="single" w:sz="8" w:space="0" w:color="FFFFFF"/>
            </w:tcBorders>
            <w:shd w:val="clear" w:color="000000" w:fill="B8CCE4"/>
            <w:noWrap/>
            <w:hideMark/>
          </w:tcPr>
          <w:p w14:paraId="5BA47F42" w14:textId="77777777" w:rsidR="00B86FB3" w:rsidRPr="00FF756A" w:rsidRDefault="00B86FB3" w:rsidP="00B86FB3">
            <w:pPr>
              <w:jc w:val="right"/>
              <w:rPr>
                <w:rFonts w:eastAsia="Times New Roman"/>
                <w:color w:val="000000"/>
                <w:sz w:val="20"/>
                <w:szCs w:val="20"/>
              </w:rPr>
            </w:pPr>
            <w:r w:rsidRPr="00FF756A">
              <w:rPr>
                <w:sz w:val="20"/>
                <w:szCs w:val="20"/>
              </w:rPr>
              <w:t>4,1%</w:t>
            </w:r>
          </w:p>
        </w:tc>
      </w:tr>
      <w:tr w:rsidR="00B86FB3" w:rsidRPr="00FF756A" w14:paraId="23079F7F" w14:textId="77777777" w:rsidTr="006A3266">
        <w:trPr>
          <w:trHeight w:val="309"/>
        </w:trPr>
        <w:tc>
          <w:tcPr>
            <w:tcW w:w="1499" w:type="dxa"/>
            <w:tcBorders>
              <w:top w:val="nil"/>
              <w:left w:val="single" w:sz="8" w:space="0" w:color="FFFFFF"/>
              <w:bottom w:val="single" w:sz="8" w:space="0" w:color="FFFFFF"/>
              <w:right w:val="single" w:sz="8" w:space="0" w:color="FFFFFF"/>
            </w:tcBorders>
            <w:shd w:val="clear" w:color="000000" w:fill="4F81BD"/>
            <w:noWrap/>
            <w:vAlign w:val="center"/>
            <w:hideMark/>
          </w:tcPr>
          <w:p w14:paraId="792E062E" w14:textId="77777777" w:rsidR="00B86FB3" w:rsidRPr="00FF756A" w:rsidRDefault="00B86FB3" w:rsidP="00B86FB3">
            <w:pPr>
              <w:rPr>
                <w:rFonts w:eastAsia="Times New Roman"/>
                <w:color w:val="FFFFFF"/>
                <w:sz w:val="20"/>
                <w:szCs w:val="20"/>
              </w:rPr>
            </w:pPr>
            <w:r w:rsidRPr="00FF756A">
              <w:rPr>
                <w:color w:val="FFFFFF"/>
                <w:sz w:val="20"/>
                <w:szCs w:val="20"/>
              </w:rPr>
              <w:t>Peshkimi</w:t>
            </w:r>
          </w:p>
        </w:tc>
        <w:tc>
          <w:tcPr>
            <w:tcW w:w="958" w:type="dxa"/>
            <w:tcBorders>
              <w:top w:val="nil"/>
              <w:left w:val="nil"/>
              <w:bottom w:val="single" w:sz="8" w:space="0" w:color="FFFFFF"/>
              <w:right w:val="single" w:sz="8" w:space="0" w:color="FFFFFF"/>
            </w:tcBorders>
            <w:shd w:val="clear" w:color="000000" w:fill="DBE5F1"/>
            <w:noWrap/>
            <w:hideMark/>
          </w:tcPr>
          <w:p w14:paraId="75B01828" w14:textId="77777777" w:rsidR="00B86FB3" w:rsidRPr="00FF756A" w:rsidRDefault="00B86FB3" w:rsidP="00B86FB3">
            <w:pPr>
              <w:jc w:val="right"/>
              <w:rPr>
                <w:rFonts w:eastAsia="Times New Roman"/>
                <w:color w:val="000000"/>
                <w:sz w:val="20"/>
                <w:szCs w:val="20"/>
              </w:rPr>
            </w:pPr>
            <w:r w:rsidRPr="00FF756A">
              <w:rPr>
                <w:sz w:val="20"/>
                <w:szCs w:val="20"/>
              </w:rPr>
              <w:t>2,2%</w:t>
            </w:r>
          </w:p>
        </w:tc>
        <w:tc>
          <w:tcPr>
            <w:tcW w:w="959" w:type="dxa"/>
            <w:tcBorders>
              <w:top w:val="nil"/>
              <w:left w:val="nil"/>
              <w:bottom w:val="single" w:sz="8" w:space="0" w:color="FFFFFF"/>
              <w:right w:val="single" w:sz="8" w:space="0" w:color="FFFFFF"/>
            </w:tcBorders>
            <w:shd w:val="clear" w:color="000000" w:fill="DBE5F1"/>
            <w:noWrap/>
            <w:hideMark/>
          </w:tcPr>
          <w:p w14:paraId="7F9BA3B3" w14:textId="77777777" w:rsidR="00B86FB3" w:rsidRPr="00FF756A" w:rsidRDefault="00B86FB3" w:rsidP="00B86FB3">
            <w:pPr>
              <w:jc w:val="right"/>
              <w:rPr>
                <w:rFonts w:eastAsia="Times New Roman"/>
                <w:color w:val="000000"/>
                <w:sz w:val="20"/>
                <w:szCs w:val="20"/>
              </w:rPr>
            </w:pPr>
            <w:r w:rsidRPr="00FF756A">
              <w:rPr>
                <w:sz w:val="20"/>
                <w:szCs w:val="20"/>
              </w:rPr>
              <w:t>2,0%</w:t>
            </w:r>
          </w:p>
        </w:tc>
        <w:tc>
          <w:tcPr>
            <w:tcW w:w="959" w:type="dxa"/>
            <w:tcBorders>
              <w:top w:val="nil"/>
              <w:left w:val="nil"/>
              <w:bottom w:val="single" w:sz="8" w:space="0" w:color="FFFFFF"/>
              <w:right w:val="single" w:sz="8" w:space="0" w:color="FFFFFF"/>
            </w:tcBorders>
            <w:shd w:val="clear" w:color="000000" w:fill="DBE5F1"/>
            <w:noWrap/>
            <w:hideMark/>
          </w:tcPr>
          <w:p w14:paraId="10E3FCE5" w14:textId="77777777" w:rsidR="00B86FB3" w:rsidRPr="00FF756A" w:rsidRDefault="00B86FB3" w:rsidP="00B86FB3">
            <w:pPr>
              <w:jc w:val="right"/>
              <w:rPr>
                <w:rFonts w:eastAsia="Times New Roman"/>
                <w:color w:val="000000"/>
                <w:sz w:val="20"/>
                <w:szCs w:val="20"/>
              </w:rPr>
            </w:pPr>
            <w:r w:rsidRPr="00FF756A">
              <w:rPr>
                <w:sz w:val="20"/>
                <w:szCs w:val="20"/>
              </w:rPr>
              <w:t>2,0%</w:t>
            </w:r>
          </w:p>
        </w:tc>
        <w:tc>
          <w:tcPr>
            <w:tcW w:w="959" w:type="dxa"/>
            <w:tcBorders>
              <w:top w:val="nil"/>
              <w:left w:val="nil"/>
              <w:bottom w:val="single" w:sz="8" w:space="0" w:color="FFFFFF"/>
              <w:right w:val="single" w:sz="8" w:space="0" w:color="FFFFFF"/>
            </w:tcBorders>
            <w:shd w:val="clear" w:color="000000" w:fill="DBE5F1"/>
            <w:noWrap/>
            <w:hideMark/>
          </w:tcPr>
          <w:p w14:paraId="1569A234" w14:textId="77777777" w:rsidR="00B86FB3" w:rsidRPr="00FF756A" w:rsidRDefault="00B86FB3" w:rsidP="00B86FB3">
            <w:pPr>
              <w:jc w:val="right"/>
              <w:rPr>
                <w:rFonts w:eastAsia="Times New Roman"/>
                <w:color w:val="000000"/>
                <w:sz w:val="20"/>
                <w:szCs w:val="20"/>
              </w:rPr>
            </w:pPr>
            <w:r w:rsidRPr="00FF756A">
              <w:rPr>
                <w:sz w:val="20"/>
                <w:szCs w:val="20"/>
              </w:rPr>
              <w:t>2,1%</w:t>
            </w:r>
          </w:p>
        </w:tc>
        <w:tc>
          <w:tcPr>
            <w:tcW w:w="959" w:type="dxa"/>
            <w:tcBorders>
              <w:top w:val="nil"/>
              <w:left w:val="nil"/>
              <w:bottom w:val="single" w:sz="8" w:space="0" w:color="FFFFFF"/>
              <w:right w:val="single" w:sz="8" w:space="0" w:color="FFFFFF"/>
            </w:tcBorders>
            <w:shd w:val="clear" w:color="000000" w:fill="DBE5F1"/>
            <w:noWrap/>
            <w:hideMark/>
          </w:tcPr>
          <w:p w14:paraId="10806389" w14:textId="77777777" w:rsidR="00B86FB3" w:rsidRPr="00FF756A" w:rsidRDefault="00B86FB3" w:rsidP="00B86FB3">
            <w:pPr>
              <w:jc w:val="right"/>
              <w:rPr>
                <w:rFonts w:eastAsia="Times New Roman"/>
                <w:color w:val="000000"/>
                <w:sz w:val="20"/>
                <w:szCs w:val="20"/>
              </w:rPr>
            </w:pPr>
            <w:r w:rsidRPr="00FF756A">
              <w:rPr>
                <w:sz w:val="20"/>
                <w:szCs w:val="20"/>
              </w:rPr>
              <w:t>2,2%</w:t>
            </w:r>
          </w:p>
        </w:tc>
        <w:tc>
          <w:tcPr>
            <w:tcW w:w="959" w:type="dxa"/>
            <w:tcBorders>
              <w:top w:val="nil"/>
              <w:left w:val="nil"/>
              <w:bottom w:val="single" w:sz="8" w:space="0" w:color="FFFFFF"/>
              <w:right w:val="single" w:sz="8" w:space="0" w:color="FFFFFF"/>
            </w:tcBorders>
            <w:shd w:val="clear" w:color="auto" w:fill="4472C4" w:themeFill="accent1"/>
            <w:noWrap/>
            <w:hideMark/>
          </w:tcPr>
          <w:p w14:paraId="28772C8D" w14:textId="77777777" w:rsidR="00B86FB3" w:rsidRPr="00FF756A" w:rsidRDefault="00B86FB3" w:rsidP="00B86FB3">
            <w:pPr>
              <w:jc w:val="right"/>
              <w:rPr>
                <w:rFonts w:eastAsia="Times New Roman"/>
                <w:color w:val="FFFFFF" w:themeColor="background1"/>
                <w:sz w:val="20"/>
                <w:szCs w:val="20"/>
              </w:rPr>
            </w:pPr>
            <w:r w:rsidRPr="00FF756A">
              <w:rPr>
                <w:color w:val="FFFFFF" w:themeColor="background1"/>
                <w:sz w:val="20"/>
                <w:szCs w:val="20"/>
              </w:rPr>
              <w:t>2,5%</w:t>
            </w:r>
          </w:p>
        </w:tc>
        <w:tc>
          <w:tcPr>
            <w:tcW w:w="959" w:type="dxa"/>
            <w:tcBorders>
              <w:top w:val="nil"/>
              <w:left w:val="nil"/>
              <w:bottom w:val="single" w:sz="8" w:space="0" w:color="FFFFFF"/>
              <w:right w:val="single" w:sz="8" w:space="0" w:color="FFFFFF"/>
            </w:tcBorders>
            <w:shd w:val="clear" w:color="000000" w:fill="DBE5F1"/>
            <w:noWrap/>
            <w:hideMark/>
          </w:tcPr>
          <w:p w14:paraId="7EF4F662" w14:textId="77777777" w:rsidR="00B86FB3" w:rsidRPr="00FF756A" w:rsidRDefault="00B86FB3" w:rsidP="00B86FB3">
            <w:pPr>
              <w:jc w:val="right"/>
              <w:rPr>
                <w:rFonts w:eastAsia="Times New Roman"/>
                <w:color w:val="000000"/>
                <w:sz w:val="20"/>
                <w:szCs w:val="20"/>
              </w:rPr>
            </w:pPr>
            <w:r w:rsidRPr="00FF756A">
              <w:rPr>
                <w:sz w:val="20"/>
                <w:szCs w:val="20"/>
              </w:rPr>
              <w:t>3,2%</w:t>
            </w:r>
          </w:p>
        </w:tc>
        <w:tc>
          <w:tcPr>
            <w:tcW w:w="959" w:type="dxa"/>
            <w:tcBorders>
              <w:top w:val="nil"/>
              <w:left w:val="nil"/>
              <w:bottom w:val="single" w:sz="8" w:space="0" w:color="FFFFFF"/>
              <w:right w:val="single" w:sz="8" w:space="0" w:color="FFFFFF"/>
            </w:tcBorders>
            <w:shd w:val="clear" w:color="000000" w:fill="DBE5F1"/>
            <w:noWrap/>
            <w:hideMark/>
          </w:tcPr>
          <w:p w14:paraId="169D13A7" w14:textId="77777777" w:rsidR="00B86FB3" w:rsidRPr="00FF756A" w:rsidRDefault="00B86FB3" w:rsidP="00B86FB3">
            <w:pPr>
              <w:jc w:val="right"/>
              <w:rPr>
                <w:rFonts w:eastAsia="Times New Roman"/>
                <w:color w:val="000000"/>
                <w:sz w:val="20"/>
                <w:szCs w:val="20"/>
              </w:rPr>
            </w:pPr>
            <w:r w:rsidRPr="00FF756A">
              <w:rPr>
                <w:sz w:val="20"/>
                <w:szCs w:val="20"/>
              </w:rPr>
              <w:t>4,0%</w:t>
            </w:r>
          </w:p>
        </w:tc>
      </w:tr>
      <w:tr w:rsidR="00B86FB3" w:rsidRPr="00FF756A" w14:paraId="016D48F5" w14:textId="77777777" w:rsidTr="006A3266">
        <w:trPr>
          <w:trHeight w:val="309"/>
        </w:trPr>
        <w:tc>
          <w:tcPr>
            <w:tcW w:w="1499" w:type="dxa"/>
            <w:tcBorders>
              <w:top w:val="nil"/>
              <w:left w:val="single" w:sz="8" w:space="0" w:color="FFFFFF"/>
              <w:bottom w:val="single" w:sz="8" w:space="0" w:color="FFFFFF"/>
              <w:right w:val="single" w:sz="8" w:space="0" w:color="FFFFFF"/>
            </w:tcBorders>
            <w:shd w:val="clear" w:color="000000" w:fill="4F81BD"/>
            <w:noWrap/>
            <w:vAlign w:val="center"/>
            <w:hideMark/>
          </w:tcPr>
          <w:p w14:paraId="767E9CF5" w14:textId="77777777" w:rsidR="00B86FB3" w:rsidRPr="00FF756A" w:rsidRDefault="00B86FB3" w:rsidP="00B86FB3">
            <w:pPr>
              <w:rPr>
                <w:rFonts w:eastAsia="Times New Roman"/>
                <w:color w:val="FFFFFF"/>
                <w:sz w:val="20"/>
                <w:szCs w:val="20"/>
              </w:rPr>
            </w:pPr>
            <w:r w:rsidRPr="00FF756A">
              <w:rPr>
                <w:color w:val="FFFFFF"/>
                <w:sz w:val="20"/>
                <w:szCs w:val="20"/>
              </w:rPr>
              <w:t>Sektorët joenergjetikë</w:t>
            </w:r>
          </w:p>
        </w:tc>
        <w:tc>
          <w:tcPr>
            <w:tcW w:w="958" w:type="dxa"/>
            <w:tcBorders>
              <w:top w:val="nil"/>
              <w:left w:val="nil"/>
              <w:bottom w:val="single" w:sz="8" w:space="0" w:color="FFFFFF"/>
              <w:right w:val="single" w:sz="8" w:space="0" w:color="FFFFFF"/>
            </w:tcBorders>
            <w:shd w:val="clear" w:color="000000" w:fill="B8CCE4"/>
            <w:noWrap/>
            <w:hideMark/>
          </w:tcPr>
          <w:p w14:paraId="72584A54" w14:textId="77777777" w:rsidR="00B86FB3" w:rsidRPr="00FF756A" w:rsidRDefault="00B86FB3" w:rsidP="00B86FB3">
            <w:pPr>
              <w:jc w:val="right"/>
              <w:rPr>
                <w:rFonts w:eastAsia="Times New Roman"/>
                <w:color w:val="000000"/>
                <w:sz w:val="20"/>
                <w:szCs w:val="20"/>
              </w:rPr>
            </w:pPr>
            <w:r w:rsidRPr="00FF756A">
              <w:rPr>
                <w:sz w:val="20"/>
                <w:szCs w:val="20"/>
              </w:rPr>
              <w:t>2,9%</w:t>
            </w:r>
          </w:p>
        </w:tc>
        <w:tc>
          <w:tcPr>
            <w:tcW w:w="959" w:type="dxa"/>
            <w:tcBorders>
              <w:top w:val="nil"/>
              <w:left w:val="nil"/>
              <w:bottom w:val="single" w:sz="8" w:space="0" w:color="FFFFFF"/>
              <w:right w:val="single" w:sz="8" w:space="0" w:color="FFFFFF"/>
            </w:tcBorders>
            <w:shd w:val="clear" w:color="000000" w:fill="B8CCE4"/>
            <w:noWrap/>
            <w:hideMark/>
          </w:tcPr>
          <w:p w14:paraId="402864F0" w14:textId="77777777" w:rsidR="00B86FB3" w:rsidRPr="00FF756A" w:rsidRDefault="00B86FB3" w:rsidP="00B86FB3">
            <w:pPr>
              <w:jc w:val="right"/>
              <w:rPr>
                <w:rFonts w:eastAsia="Times New Roman"/>
                <w:color w:val="000000"/>
                <w:sz w:val="20"/>
                <w:szCs w:val="20"/>
              </w:rPr>
            </w:pPr>
            <w:r w:rsidRPr="00FF756A">
              <w:rPr>
                <w:sz w:val="20"/>
                <w:szCs w:val="20"/>
              </w:rPr>
              <w:t>2,7%</w:t>
            </w:r>
          </w:p>
        </w:tc>
        <w:tc>
          <w:tcPr>
            <w:tcW w:w="959" w:type="dxa"/>
            <w:tcBorders>
              <w:top w:val="nil"/>
              <w:left w:val="nil"/>
              <w:bottom w:val="single" w:sz="8" w:space="0" w:color="FFFFFF"/>
              <w:right w:val="single" w:sz="8" w:space="0" w:color="FFFFFF"/>
            </w:tcBorders>
            <w:shd w:val="clear" w:color="000000" w:fill="B8CCE4"/>
            <w:noWrap/>
            <w:hideMark/>
          </w:tcPr>
          <w:p w14:paraId="68B51EBB" w14:textId="77777777" w:rsidR="00B86FB3" w:rsidRPr="00FF756A" w:rsidRDefault="00B86FB3" w:rsidP="00B86FB3">
            <w:pPr>
              <w:jc w:val="right"/>
              <w:rPr>
                <w:rFonts w:eastAsia="Times New Roman"/>
                <w:color w:val="000000"/>
                <w:sz w:val="20"/>
                <w:szCs w:val="20"/>
              </w:rPr>
            </w:pPr>
            <w:r w:rsidRPr="00FF756A">
              <w:rPr>
                <w:sz w:val="20"/>
                <w:szCs w:val="20"/>
              </w:rPr>
              <w:t>2,7%</w:t>
            </w:r>
          </w:p>
        </w:tc>
        <w:tc>
          <w:tcPr>
            <w:tcW w:w="959" w:type="dxa"/>
            <w:tcBorders>
              <w:top w:val="nil"/>
              <w:left w:val="nil"/>
              <w:bottom w:val="single" w:sz="8" w:space="0" w:color="FFFFFF"/>
              <w:right w:val="single" w:sz="8" w:space="0" w:color="FFFFFF"/>
            </w:tcBorders>
            <w:shd w:val="clear" w:color="000000" w:fill="B8CCE4"/>
            <w:noWrap/>
            <w:hideMark/>
          </w:tcPr>
          <w:p w14:paraId="0768DA15" w14:textId="77777777" w:rsidR="00B86FB3" w:rsidRPr="00FF756A" w:rsidRDefault="00B86FB3" w:rsidP="00B86FB3">
            <w:pPr>
              <w:jc w:val="right"/>
              <w:rPr>
                <w:rFonts w:eastAsia="Times New Roman"/>
                <w:color w:val="000000"/>
                <w:sz w:val="20"/>
                <w:szCs w:val="20"/>
              </w:rPr>
            </w:pPr>
            <w:r w:rsidRPr="00FF756A">
              <w:rPr>
                <w:sz w:val="20"/>
                <w:szCs w:val="20"/>
              </w:rPr>
              <w:t>2,6%</w:t>
            </w:r>
          </w:p>
        </w:tc>
        <w:tc>
          <w:tcPr>
            <w:tcW w:w="959" w:type="dxa"/>
            <w:tcBorders>
              <w:top w:val="nil"/>
              <w:left w:val="nil"/>
              <w:bottom w:val="single" w:sz="8" w:space="0" w:color="FFFFFF"/>
              <w:right w:val="single" w:sz="8" w:space="0" w:color="FFFFFF"/>
            </w:tcBorders>
            <w:shd w:val="clear" w:color="000000" w:fill="B8CCE4"/>
            <w:noWrap/>
            <w:hideMark/>
          </w:tcPr>
          <w:p w14:paraId="5C830B8E" w14:textId="77777777" w:rsidR="00B86FB3" w:rsidRPr="00FF756A" w:rsidRDefault="00B86FB3" w:rsidP="00B86FB3">
            <w:pPr>
              <w:jc w:val="right"/>
              <w:rPr>
                <w:rFonts w:eastAsia="Times New Roman"/>
                <w:color w:val="000000"/>
                <w:sz w:val="20"/>
                <w:szCs w:val="20"/>
              </w:rPr>
            </w:pPr>
            <w:r w:rsidRPr="00FF756A">
              <w:rPr>
                <w:sz w:val="20"/>
                <w:szCs w:val="20"/>
              </w:rPr>
              <w:t>2,6%</w:t>
            </w:r>
          </w:p>
        </w:tc>
        <w:tc>
          <w:tcPr>
            <w:tcW w:w="959" w:type="dxa"/>
            <w:tcBorders>
              <w:top w:val="nil"/>
              <w:left w:val="nil"/>
              <w:bottom w:val="single" w:sz="8" w:space="0" w:color="FFFFFF"/>
              <w:right w:val="single" w:sz="8" w:space="0" w:color="FFFFFF"/>
            </w:tcBorders>
            <w:shd w:val="clear" w:color="auto" w:fill="4472C4" w:themeFill="accent1"/>
            <w:noWrap/>
            <w:hideMark/>
          </w:tcPr>
          <w:p w14:paraId="2A5F1BB5" w14:textId="77777777" w:rsidR="00B86FB3" w:rsidRPr="00FF756A" w:rsidRDefault="00B86FB3" w:rsidP="00B86FB3">
            <w:pPr>
              <w:jc w:val="right"/>
              <w:rPr>
                <w:rFonts w:eastAsia="Times New Roman"/>
                <w:color w:val="FFFFFF" w:themeColor="background1"/>
                <w:sz w:val="20"/>
                <w:szCs w:val="20"/>
              </w:rPr>
            </w:pPr>
            <w:r w:rsidRPr="00FF756A">
              <w:rPr>
                <w:color w:val="FFFFFF" w:themeColor="background1"/>
                <w:sz w:val="20"/>
                <w:szCs w:val="20"/>
              </w:rPr>
              <w:t>2,6%</w:t>
            </w:r>
          </w:p>
        </w:tc>
        <w:tc>
          <w:tcPr>
            <w:tcW w:w="959" w:type="dxa"/>
            <w:tcBorders>
              <w:top w:val="nil"/>
              <w:left w:val="nil"/>
              <w:bottom w:val="single" w:sz="8" w:space="0" w:color="FFFFFF"/>
              <w:right w:val="single" w:sz="8" w:space="0" w:color="FFFFFF"/>
            </w:tcBorders>
            <w:shd w:val="clear" w:color="000000" w:fill="B8CCE4"/>
            <w:noWrap/>
            <w:hideMark/>
          </w:tcPr>
          <w:p w14:paraId="1DB6AF6B" w14:textId="77777777" w:rsidR="00B86FB3" w:rsidRPr="00FF756A" w:rsidRDefault="00B86FB3" w:rsidP="00B86FB3">
            <w:pPr>
              <w:jc w:val="right"/>
              <w:rPr>
                <w:rFonts w:eastAsia="Times New Roman"/>
                <w:color w:val="000000"/>
                <w:sz w:val="20"/>
                <w:szCs w:val="20"/>
              </w:rPr>
            </w:pPr>
            <w:r w:rsidRPr="00FF756A">
              <w:rPr>
                <w:sz w:val="20"/>
                <w:szCs w:val="20"/>
              </w:rPr>
              <w:t>2,6%</w:t>
            </w:r>
          </w:p>
        </w:tc>
        <w:tc>
          <w:tcPr>
            <w:tcW w:w="959" w:type="dxa"/>
            <w:tcBorders>
              <w:top w:val="nil"/>
              <w:left w:val="nil"/>
              <w:bottom w:val="single" w:sz="8" w:space="0" w:color="FFFFFF"/>
              <w:right w:val="single" w:sz="8" w:space="0" w:color="FFFFFF"/>
            </w:tcBorders>
            <w:shd w:val="clear" w:color="000000" w:fill="B8CCE4"/>
            <w:noWrap/>
            <w:hideMark/>
          </w:tcPr>
          <w:p w14:paraId="04746C59" w14:textId="77777777" w:rsidR="00B86FB3" w:rsidRPr="00FF756A" w:rsidRDefault="00B86FB3" w:rsidP="008E7DE9">
            <w:pPr>
              <w:keepNext/>
              <w:jc w:val="right"/>
              <w:rPr>
                <w:rFonts w:eastAsia="Times New Roman"/>
                <w:color w:val="000000"/>
                <w:sz w:val="20"/>
                <w:szCs w:val="20"/>
              </w:rPr>
            </w:pPr>
            <w:r w:rsidRPr="00FF756A">
              <w:rPr>
                <w:sz w:val="20"/>
                <w:szCs w:val="20"/>
              </w:rPr>
              <w:t>2,5%</w:t>
            </w:r>
          </w:p>
        </w:tc>
      </w:tr>
    </w:tbl>
    <w:p w14:paraId="59288ECF" w14:textId="7EBD379F" w:rsidR="00B86FB3" w:rsidRPr="00FF756A" w:rsidRDefault="008E7DE9" w:rsidP="008E7DE9">
      <w:pPr>
        <w:pStyle w:val="Caption"/>
        <w:rPr>
          <w:rFonts w:ascii="Times New Roman" w:hAnsi="Times New Roman"/>
        </w:rPr>
      </w:pPr>
      <w:bookmarkStart w:id="736" w:name="_Toc183016526"/>
      <w:r w:rsidRPr="00FF756A">
        <w:rPr>
          <w:rFonts w:ascii="Times New Roman" w:hAnsi="Times New Roman"/>
        </w:rPr>
        <w:t xml:space="preserve">Tabela </w:t>
      </w:r>
      <w:r w:rsidRPr="00FF756A">
        <w:rPr>
          <w:rFonts w:ascii="Times New Roman" w:hAnsi="Times New Roman"/>
        </w:rPr>
        <w:fldChar w:fldCharType="begin"/>
      </w:r>
      <w:r w:rsidRPr="00FF756A">
        <w:rPr>
          <w:rFonts w:ascii="Times New Roman" w:hAnsi="Times New Roman"/>
        </w:rPr>
        <w:instrText xml:space="preserve"> SEQ Tabela \* ARABIC </w:instrText>
      </w:r>
      <w:r w:rsidRPr="00FF756A">
        <w:rPr>
          <w:rFonts w:ascii="Times New Roman" w:hAnsi="Times New Roman"/>
        </w:rPr>
        <w:fldChar w:fldCharType="separate"/>
      </w:r>
      <w:r w:rsidRPr="00FF756A">
        <w:rPr>
          <w:rFonts w:ascii="Times New Roman" w:hAnsi="Times New Roman"/>
          <w:noProof/>
        </w:rPr>
        <w:t>62</w:t>
      </w:r>
      <w:r w:rsidRPr="00FF756A">
        <w:rPr>
          <w:rFonts w:ascii="Times New Roman" w:hAnsi="Times New Roman"/>
          <w:noProof/>
        </w:rPr>
        <w:fldChar w:fldCharType="end"/>
      </w:r>
      <w:r w:rsidRPr="00FF756A">
        <w:rPr>
          <w:rFonts w:ascii="Times New Roman" w:hAnsi="Times New Roman"/>
        </w:rPr>
        <w:t>: Përqindjet e kërkesës finale për energji për sektorët me kërkesë energjie për periudhën kohore 2020-2023 dhe sipas parashikimeve deri në vitin 2030 dhe për vitet 2040 dhe 2050, me masat shtesë</w:t>
      </w:r>
      <w:bookmarkEnd w:id="736"/>
    </w:p>
    <w:p w14:paraId="2129EC48" w14:textId="77777777" w:rsidR="008E7DE9" w:rsidRPr="00FF756A" w:rsidRDefault="008E7DE9" w:rsidP="008E7DE9">
      <w:pPr>
        <w:rPr>
          <w:lang w:eastAsia="ja-JP"/>
        </w:rPr>
      </w:pPr>
    </w:p>
    <w:p w14:paraId="03FB84A1" w14:textId="77777777" w:rsidR="00B86FB3" w:rsidRPr="00FF756A" w:rsidRDefault="00B86FB3" w:rsidP="00B86FB3">
      <w:r w:rsidRPr="00FF756A">
        <w:t xml:space="preserve">Në figurat e mëposhtme paraqitet konsumi i energjisë në vlera absolute dhe krahasohet me skenarin WEM. Fillimisht janë dhënë shifrat totale, të cilat detajohen më pas për secilin sektor me kërkesë për energji. </w:t>
      </w:r>
      <w:r w:rsidRPr="00FF756A">
        <w:fldChar w:fldCharType="begin"/>
      </w:r>
      <w:r w:rsidRPr="00FF756A">
        <w:instrText xml:space="preserve"> REF _Ref72922964 \h  \* MERGEFORMAT </w:instrText>
      </w:r>
      <w:r w:rsidRPr="00FF756A">
        <w:fldChar w:fldCharType="separate"/>
      </w:r>
      <w:r w:rsidRPr="00FF756A">
        <w:t>Tabela 38</w:t>
      </w:r>
      <w:r w:rsidRPr="00FF756A">
        <w:fldChar w:fldCharType="end"/>
      </w:r>
      <w:r w:rsidRPr="00FF756A">
        <w:t xml:space="preserve"> paraqet shifrat e treguara në figura për referencë. </w:t>
      </w:r>
    </w:p>
    <w:p w14:paraId="631BB767" w14:textId="77777777" w:rsidR="00B86FB3" w:rsidRPr="00FF756A" w:rsidRDefault="00B86FB3" w:rsidP="00B86FB3">
      <w:r w:rsidRPr="00FF756A">
        <w:fldChar w:fldCharType="begin"/>
      </w:r>
      <w:r w:rsidRPr="00FF756A">
        <w:instrText xml:space="preserve"> REF _Ref75521390 \h  \* MERGEFORMAT </w:instrText>
      </w:r>
      <w:r w:rsidRPr="00FF756A">
        <w:fldChar w:fldCharType="separate"/>
      </w:r>
      <w:r w:rsidRPr="00FF756A">
        <w:t>Figura 89</w:t>
      </w:r>
      <w:r w:rsidRPr="00FF756A">
        <w:fldChar w:fldCharType="end"/>
      </w:r>
      <w:r w:rsidRPr="00FF756A">
        <w:t xml:space="preserve"> deri në </w:t>
      </w:r>
      <w:r w:rsidRPr="00FF756A">
        <w:fldChar w:fldCharType="begin"/>
      </w:r>
      <w:r w:rsidRPr="00FF756A">
        <w:instrText xml:space="preserve"> REF _Ref75521395 \h  \* MERGEFORMAT </w:instrText>
      </w:r>
      <w:r w:rsidRPr="00FF756A">
        <w:fldChar w:fldCharType="separate"/>
      </w:r>
      <w:r w:rsidRPr="00FF756A">
        <w:t>Figura 92</w:t>
      </w:r>
      <w:r w:rsidRPr="00FF756A">
        <w:fldChar w:fldCharType="end"/>
      </w:r>
      <w:r w:rsidRPr="00FF756A">
        <w:t xml:space="preserve"> tregon vlerat e përgjithshme të skenarit WAM dhe krahasimin me skenarin WEM. Kërkesa e përgjithshme për energji vazhdon të rritet në skenarin WAM. Megjithatë, politikat dhe masat (PM) e marra në konsideratë krahas skenarit WEM rezultojnë në ulje të kërkesës për energji krahasuar me parashikimet e skenarit WEM (</w:t>
      </w:r>
      <w:r w:rsidRPr="00FF756A">
        <w:fldChar w:fldCharType="begin"/>
      </w:r>
      <w:r w:rsidRPr="00FF756A">
        <w:instrText xml:space="preserve"> REF _Ref75521395 \h  \* MERGEFORMAT </w:instrText>
      </w:r>
      <w:r w:rsidRPr="00FF756A">
        <w:fldChar w:fldCharType="separate"/>
      </w:r>
      <w:r w:rsidRPr="00FF756A">
        <w:t>Figura 92</w:t>
      </w:r>
      <w:r w:rsidRPr="00FF756A">
        <w:fldChar w:fldCharType="end"/>
      </w:r>
      <w:r w:rsidRPr="00FF756A">
        <w:t>). Sektorët e transportit, banesave dhe shërbimeve janë sektorët që regjistrojnë një ulje të konsiderueshme të kërkesës për energji në skenarin WAM, krahasuar me skenarin WEM (</w:t>
      </w:r>
      <w:r w:rsidRPr="00FF756A">
        <w:fldChar w:fldCharType="begin"/>
      </w:r>
      <w:r w:rsidRPr="00FF756A">
        <w:instrText xml:space="preserve"> REF _Ref75521395 \h  \* MERGEFORMAT </w:instrText>
      </w:r>
      <w:r w:rsidRPr="00FF756A">
        <w:fldChar w:fldCharType="separate"/>
      </w:r>
      <w:r w:rsidRPr="00FF756A">
        <w:t>Figura 92</w:t>
      </w:r>
      <w:r w:rsidRPr="00FF756A">
        <w:fldChar w:fldCharType="end"/>
      </w:r>
      <w:r w:rsidRPr="00FF756A">
        <w:t xml:space="preserve">). </w:t>
      </w:r>
    </w:p>
    <w:p w14:paraId="3957DCFC" w14:textId="77777777" w:rsidR="00B86FB3" w:rsidRPr="00FF756A" w:rsidRDefault="00B86FB3" w:rsidP="00B86FB3"/>
    <w:p w14:paraId="524EE0F7" w14:textId="77777777" w:rsidR="008E7DE9" w:rsidRPr="00FF756A" w:rsidRDefault="00B86FB3" w:rsidP="008E7DE9">
      <w:pPr>
        <w:keepNext/>
      </w:pPr>
      <w:r w:rsidRPr="00FF756A">
        <w:rPr>
          <w:noProof/>
          <w:lang w:val="en-US"/>
        </w:rPr>
        <w:drawing>
          <wp:inline distT="0" distB="0" distL="0" distR="0" wp14:anchorId="756668AA" wp14:editId="74CA29FB">
            <wp:extent cx="5760720" cy="3456305"/>
            <wp:effectExtent l="0" t="0" r="0" b="0"/>
            <wp:docPr id="480024530" name="Picture 3"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024530" name="Picture 3" descr="A graph of different colored lines&#10;&#10;Description automatically generated"/>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7AC57EF8" w14:textId="5E3E1F14" w:rsidR="00B86FB3" w:rsidRPr="00FF756A" w:rsidRDefault="008E7DE9" w:rsidP="008E7DE9">
      <w:pPr>
        <w:pStyle w:val="Caption"/>
        <w:rPr>
          <w:rFonts w:ascii="Times New Roman" w:hAnsi="Times New Roman"/>
        </w:rPr>
      </w:pPr>
      <w:bookmarkStart w:id="737" w:name="_Toc183016636"/>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106</w:t>
      </w:r>
      <w:r w:rsidRPr="00FF756A">
        <w:rPr>
          <w:rFonts w:ascii="Times New Roman" w:hAnsi="Times New Roman"/>
          <w:noProof/>
        </w:rPr>
        <w:fldChar w:fldCharType="end"/>
      </w:r>
      <w:r w:rsidRPr="00FF756A">
        <w:rPr>
          <w:rFonts w:ascii="Times New Roman" w:hAnsi="Times New Roman"/>
        </w:rPr>
        <w:t>: Konsumi final i energjisë (ktoe) për të gjithë sektorët kryesorë me kërkesë për energji, sipas vlerave historike të periudhës 2016-2023 dhe sipas parashikimit deri në vitin 2050</w:t>
      </w:r>
      <w:bookmarkEnd w:id="737"/>
    </w:p>
    <w:p w14:paraId="570CE914" w14:textId="77777777" w:rsidR="008E7DE9" w:rsidRPr="00FF756A" w:rsidRDefault="00B86FB3" w:rsidP="008E7DE9">
      <w:pPr>
        <w:keepNext/>
      </w:pPr>
      <w:r w:rsidRPr="00FF756A">
        <w:rPr>
          <w:noProof/>
          <w:lang w:val="en-US"/>
        </w:rPr>
        <w:drawing>
          <wp:inline distT="0" distB="0" distL="0" distR="0" wp14:anchorId="0AB97580" wp14:editId="567D214B">
            <wp:extent cx="5760720" cy="3456305"/>
            <wp:effectExtent l="0" t="0" r="0" b="0"/>
            <wp:docPr id="1211472634" name="Picture 4"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472634" name="Picture 4" descr="A graph of a graph&#10;&#10;Description automatically generated with medium confidenc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20FD03E1" w14:textId="5D4D29D7" w:rsidR="00B86FB3" w:rsidRPr="00FF756A" w:rsidRDefault="008E7DE9" w:rsidP="008E7DE9">
      <w:pPr>
        <w:pStyle w:val="Caption"/>
        <w:rPr>
          <w:rFonts w:ascii="Times New Roman" w:hAnsi="Times New Roman"/>
        </w:rPr>
      </w:pPr>
      <w:bookmarkStart w:id="738" w:name="_Toc183016637"/>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107</w:t>
      </w:r>
      <w:r w:rsidRPr="00FF756A">
        <w:rPr>
          <w:rFonts w:ascii="Times New Roman" w:hAnsi="Times New Roman"/>
          <w:noProof/>
        </w:rPr>
        <w:fldChar w:fldCharType="end"/>
      </w:r>
      <w:r w:rsidRPr="00FF756A">
        <w:rPr>
          <w:rFonts w:ascii="Times New Roman" w:hAnsi="Times New Roman"/>
        </w:rPr>
        <w:t>: Burimet e përziera në konsumin final të energjisë (ktoe) për të gjithë sektorët kryesorë me kërkesë për energji, sipas vlerave historike të periudhës 2016-2023 dhe sipas parashikimit deri në vitin 2050</w:t>
      </w:r>
      <w:bookmarkEnd w:id="738"/>
    </w:p>
    <w:p w14:paraId="327D093C" w14:textId="77777777" w:rsidR="008E7DE9" w:rsidRPr="00FF756A" w:rsidRDefault="00B86FB3" w:rsidP="008E7DE9">
      <w:pPr>
        <w:keepNext/>
      </w:pPr>
      <w:r w:rsidRPr="00FF756A">
        <w:t xml:space="preserve"> </w:t>
      </w:r>
      <w:r w:rsidRPr="00FF756A">
        <w:rPr>
          <w:noProof/>
          <w:lang w:val="en-US"/>
        </w:rPr>
        <w:drawing>
          <wp:inline distT="0" distB="0" distL="0" distR="0" wp14:anchorId="564FBE48" wp14:editId="4C43A68C">
            <wp:extent cx="5760720" cy="3456305"/>
            <wp:effectExtent l="0" t="0" r="0" b="0"/>
            <wp:docPr id="659038110" name="Picture 5" descr="A graph of a person with a red and blue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038110" name="Picture 5" descr="A graph of a person with a red and blue line&#10;&#10;Description automatically generated with medium confidenc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50B1C71F" w14:textId="3612BFF3" w:rsidR="00B86FB3" w:rsidRPr="00FF756A" w:rsidRDefault="008E7DE9" w:rsidP="008E7DE9">
      <w:pPr>
        <w:pStyle w:val="Caption"/>
        <w:rPr>
          <w:rFonts w:ascii="Times New Roman" w:hAnsi="Times New Roman"/>
        </w:rPr>
      </w:pPr>
      <w:bookmarkStart w:id="739" w:name="_Toc183016638"/>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108</w:t>
      </w:r>
      <w:r w:rsidRPr="00FF756A">
        <w:rPr>
          <w:rFonts w:ascii="Times New Roman" w:hAnsi="Times New Roman"/>
          <w:noProof/>
        </w:rPr>
        <w:fldChar w:fldCharType="end"/>
      </w:r>
      <w:r w:rsidRPr="00FF756A">
        <w:rPr>
          <w:rFonts w:ascii="Times New Roman" w:hAnsi="Times New Roman"/>
        </w:rPr>
        <w:t>: Konsumi final i energjisë (ktoe) për të gjithë sektorët kryesorë me kërkesë për energji, sipas vlerave historike të periudhës 2016-2023 dhe sipas parashikimit deri në vitin 2040, duke përfshirë vitet 2019-2030 dhe vitet 2040 dhe 2050. Krahasimi i skena</w:t>
      </w:r>
      <w:bookmarkEnd w:id="739"/>
    </w:p>
    <w:p w14:paraId="1F8964D1" w14:textId="77777777" w:rsidR="00B86FB3" w:rsidRPr="00FF756A" w:rsidRDefault="00B86FB3" w:rsidP="00B86FB3">
      <w:pPr>
        <w:keepNext/>
      </w:pPr>
      <w:r w:rsidRPr="00FF756A">
        <w:rPr>
          <w:noProof/>
          <w:lang w:val="en-US"/>
        </w:rPr>
        <w:drawing>
          <wp:inline distT="0" distB="0" distL="0" distR="0" wp14:anchorId="5A593342" wp14:editId="2B10421F">
            <wp:extent cx="5760720" cy="3456305"/>
            <wp:effectExtent l="0" t="0" r="0" b="0"/>
            <wp:docPr id="2024063905" name="Picture 31" descr="A graph of a number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063905" name="Picture 31" descr="A graph of a number of different colored bars&#10;&#10;Description automatically generated with medium confidenc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52973239" w14:textId="0CB2CCF3" w:rsidR="008E7DE9" w:rsidRPr="00FF756A" w:rsidRDefault="00B86FB3" w:rsidP="00B86FB3">
      <w:pPr>
        <w:spacing w:line="240" w:lineRule="auto"/>
        <w:rPr>
          <w:rFonts w:eastAsia="Times New Roman"/>
          <w:b/>
          <w:bCs/>
          <w:color w:val="4F81BD"/>
          <w:sz w:val="18"/>
          <w:szCs w:val="18"/>
          <w:lang w:eastAsia="ja-JP"/>
        </w:rPr>
      </w:pPr>
      <w:bookmarkStart w:id="740" w:name="_Ref75521395"/>
      <w:bookmarkStart w:id="741" w:name="_Toc76466961"/>
      <w:bookmarkStart w:id="742" w:name="_Toc100321086"/>
      <w:r w:rsidRPr="00FF756A">
        <w:rPr>
          <w:rFonts w:eastAsia="Times New Roman"/>
          <w:b/>
          <w:bCs/>
          <w:color w:val="4F81BD"/>
          <w:sz w:val="18"/>
          <w:szCs w:val="18"/>
          <w:lang w:eastAsia="ja-JP"/>
        </w:rPr>
        <w:t xml:space="preserve">Figura </w:t>
      </w:r>
      <w:r w:rsidRPr="00FF756A">
        <w:rPr>
          <w:rFonts w:eastAsia="Times New Roman"/>
          <w:b/>
          <w:bCs/>
          <w:color w:val="4F81BD"/>
          <w:sz w:val="18"/>
          <w:szCs w:val="18"/>
          <w:lang w:eastAsia="ja-JP"/>
        </w:rPr>
        <w:fldChar w:fldCharType="begin"/>
      </w:r>
      <w:r w:rsidRPr="00FF756A">
        <w:rPr>
          <w:rFonts w:eastAsia="Times New Roman"/>
          <w:b/>
          <w:bCs/>
          <w:color w:val="4F81BD"/>
          <w:sz w:val="18"/>
          <w:szCs w:val="18"/>
          <w:lang w:eastAsia="ja-JP"/>
        </w:rPr>
        <w:instrText xml:space="preserve"> SEQ Figure \* ARABIC </w:instrText>
      </w:r>
      <w:r w:rsidRPr="00FF756A">
        <w:rPr>
          <w:rFonts w:eastAsia="Times New Roman"/>
          <w:b/>
          <w:bCs/>
          <w:color w:val="4F81BD"/>
          <w:sz w:val="18"/>
          <w:szCs w:val="18"/>
          <w:lang w:eastAsia="ja-JP"/>
        </w:rPr>
        <w:fldChar w:fldCharType="separate"/>
      </w:r>
      <w:r w:rsidRPr="00FF756A">
        <w:rPr>
          <w:rFonts w:eastAsia="Times New Roman"/>
          <w:b/>
          <w:bCs/>
          <w:noProof/>
          <w:color w:val="4F81BD"/>
          <w:sz w:val="18"/>
          <w:szCs w:val="18"/>
          <w:lang w:eastAsia="ja-JP"/>
        </w:rPr>
        <w:t>92</w:t>
      </w:r>
      <w:r w:rsidRPr="00FF756A">
        <w:rPr>
          <w:rFonts w:eastAsia="Times New Roman"/>
          <w:b/>
          <w:bCs/>
          <w:noProof/>
          <w:color w:val="4F81BD"/>
          <w:sz w:val="18"/>
          <w:szCs w:val="18"/>
          <w:lang w:eastAsia="ja-JP"/>
        </w:rPr>
        <w:fldChar w:fldCharType="end"/>
      </w:r>
      <w:bookmarkEnd w:id="740"/>
      <w:r w:rsidRPr="00FF756A">
        <w:rPr>
          <w:rFonts w:eastAsia="Times New Roman"/>
          <w:b/>
          <w:bCs/>
          <w:color w:val="4F81BD"/>
          <w:sz w:val="18"/>
          <w:szCs w:val="18"/>
          <w:lang w:eastAsia="ja-JP"/>
        </w:rPr>
        <w:t>: Konsumi final i energjisë (ktoe) për të gjithë sektorët kryesorë me kërkesë për energji, sipas vlerave historike të periudhës 2016-2023 dhe sipas parashikimit deri në vitin 2040, duke përfshirë vitet 2019-2030 dhe vitet 2040 dhe 2050.</w:t>
      </w:r>
      <w:bookmarkEnd w:id="741"/>
      <w:bookmarkEnd w:id="742"/>
      <w:r w:rsidR="008E7DE9" w:rsidRPr="00FF756A">
        <w:rPr>
          <w:rFonts w:eastAsia="Times New Roman"/>
          <w:b/>
          <w:bCs/>
          <w:color w:val="4F81BD"/>
          <w:sz w:val="18"/>
          <w:szCs w:val="18"/>
          <w:lang w:eastAsia="ja-JP"/>
        </w:rPr>
        <w:t xml:space="preserve"> Krahasimi i skenarit me skenarin “me masa ekzistuese” të paraqitur në kreun 4.</w:t>
      </w:r>
    </w:p>
    <w:p w14:paraId="5140ADF1" w14:textId="77777777" w:rsidR="00B86FB3" w:rsidRPr="00FF756A" w:rsidRDefault="00B86FB3" w:rsidP="00B86FB3"/>
    <w:p w14:paraId="395DD8EF" w14:textId="77777777" w:rsidR="00B86FB3" w:rsidRPr="00FF756A" w:rsidRDefault="00B86FB3" w:rsidP="00B86FB3">
      <w:r w:rsidRPr="00FF756A">
        <w:t>Sektori i banesave (</w:t>
      </w:r>
      <w:r w:rsidRPr="00FF756A">
        <w:fldChar w:fldCharType="begin"/>
      </w:r>
      <w:r w:rsidRPr="00FF756A">
        <w:instrText xml:space="preserve"> REF _Ref75521740 \h  \* MERGEFORMAT </w:instrText>
      </w:r>
      <w:r w:rsidRPr="00FF756A">
        <w:fldChar w:fldCharType="separate"/>
      </w:r>
      <w:r w:rsidRPr="00FF756A">
        <w:t>Figura 93</w:t>
      </w:r>
      <w:r w:rsidRPr="00FF756A">
        <w:fldChar w:fldCharType="end"/>
      </w:r>
      <w:r w:rsidRPr="00FF756A">
        <w:t>) pritet të shfaqë një reduktim të kërkesës për energji deri në vitin 2035, për shkak të nivelit të lartë të ndërtimeve dhe rrjedhimisht rritjes së shpejtë të numrit të ndërtesave me efiçencë më të lartë energjie. Rritja e përdorimit të teknologjive për ftohjen e hapësirave në banesat shqiptare çon në rritje të konsumit të energjisë për ftohjen e hapësirave, megjithatë kjo rritje mbahet në nivel të moderuar falë përmirësimit të performancës energjetike të ndërtesave. Në sektorin e shërbimeve (</w:t>
      </w:r>
      <w:r w:rsidRPr="00FF756A">
        <w:fldChar w:fldCharType="begin"/>
      </w:r>
      <w:r w:rsidRPr="00FF756A">
        <w:instrText xml:space="preserve"> REF _Ref75521774 \h  \* MERGEFORMAT </w:instrText>
      </w:r>
      <w:r w:rsidRPr="00FF756A">
        <w:fldChar w:fldCharType="separate"/>
      </w:r>
      <w:r w:rsidRPr="00FF756A">
        <w:t>Figura 95</w:t>
      </w:r>
      <w:r w:rsidRPr="00FF756A">
        <w:fldChar w:fldCharType="end"/>
      </w:r>
      <w:r w:rsidRPr="00FF756A">
        <w:t>), nënsektorët publikë (administrata publike, arsimi dhe shëndetësia) pritet të reduktojnë konsumin e energjisë. Megjithatë, nënsektorët privatë të shërbimeve i nënshtrohen një numri më të vogël politikash dhe në të njëjtën kohë paraqesin një rritje tejet të madhe, duke i hapur rrugë rritjes së mëtejshme të konsumit të energjisë. Në sektorin industrial, kërkesa për energji pritet që të rritet në çdo nënsektor, ku ende mbizotëron sektori minerar (</w:t>
      </w:r>
      <w:r w:rsidRPr="00FF756A">
        <w:fldChar w:fldCharType="begin"/>
      </w:r>
      <w:r w:rsidRPr="00FF756A">
        <w:instrText xml:space="preserve"> REF _Ref75521836 \h  \* MERGEFORMAT </w:instrText>
      </w:r>
      <w:r w:rsidRPr="00FF756A">
        <w:fldChar w:fldCharType="separate"/>
      </w:r>
      <w:r w:rsidRPr="00FF756A">
        <w:t>Figura 97</w:t>
      </w:r>
      <w:r w:rsidRPr="00FF756A">
        <w:fldChar w:fldCharType="end"/>
      </w:r>
      <w:r w:rsidRPr="00FF756A">
        <w:t>). Rritja është më e lehtë se në skenarin WEM, por megjithatë ende mbizotëron rritja në këtë sektor. Në sektorin e transportit, edhe pse rritja ekonomike dhe shtimi i nevojës për lëvizshmëri ka çuar në një rritje të kërkesës për transport, përdorimi i automjeteve efiçente (kryesisht automjete elektrike) dhe ndryshimi i modelit aktual në atë të transportit publik dhe hekurudhor, rezulton në një stabilizim të kërkesës për energji midis viteve 2030 dhe 2040, si dhe në një rënie deri në vitin 2050 (</w:t>
      </w:r>
      <w:r w:rsidRPr="00FF756A">
        <w:fldChar w:fldCharType="begin"/>
      </w:r>
      <w:r w:rsidRPr="00FF756A">
        <w:instrText xml:space="preserve"> REF _Ref75521915 \h  \* MERGEFORMAT </w:instrText>
      </w:r>
      <w:r w:rsidRPr="00FF756A">
        <w:fldChar w:fldCharType="separate"/>
      </w:r>
      <w:r w:rsidRPr="00FF756A">
        <w:t>Figura 99</w:t>
      </w:r>
      <w:r w:rsidRPr="00FF756A">
        <w:fldChar w:fldCharType="end"/>
      </w:r>
      <w:r w:rsidRPr="00FF756A">
        <w:t>). Kjo vlen si për transportin e udhëtarëve ashtu dhe për atë të mallrave (</w:t>
      </w:r>
      <w:r w:rsidRPr="00FF756A">
        <w:fldChar w:fldCharType="begin"/>
      </w:r>
      <w:r w:rsidRPr="00FF756A">
        <w:instrText xml:space="preserve"> REF _Ref75521954 \h  \* MERGEFORMAT </w:instrText>
      </w:r>
      <w:r w:rsidRPr="00FF756A">
        <w:fldChar w:fldCharType="separate"/>
      </w:r>
      <w:r w:rsidRPr="00FF756A">
        <w:t>Figura 101</w:t>
      </w:r>
      <w:r w:rsidRPr="00FF756A">
        <w:fldChar w:fldCharType="end"/>
      </w:r>
      <w:r w:rsidRPr="00FF756A">
        <w:t xml:space="preserve">, </w:t>
      </w:r>
      <w:r w:rsidRPr="00FF756A">
        <w:fldChar w:fldCharType="begin"/>
      </w:r>
      <w:r w:rsidRPr="00FF756A">
        <w:instrText xml:space="preserve"> REF _Ref75521960 \h  \* MERGEFORMAT </w:instrText>
      </w:r>
      <w:r w:rsidRPr="00FF756A">
        <w:fldChar w:fldCharType="separate"/>
      </w:r>
      <w:r w:rsidRPr="00FF756A">
        <w:t>Figura 103</w:t>
      </w:r>
      <w:r w:rsidRPr="00FF756A">
        <w:fldChar w:fldCharType="end"/>
      </w:r>
      <w:r w:rsidRPr="00FF756A">
        <w:t>). Konsumi nga sektorët joenergjetikë (</w:t>
      </w:r>
      <w:r w:rsidRPr="00FF756A">
        <w:fldChar w:fldCharType="begin"/>
      </w:r>
      <w:r w:rsidRPr="00FF756A">
        <w:instrText xml:space="preserve"> REF _Ref75521971 \h  \* MERGEFORMAT </w:instrText>
      </w:r>
      <w:r w:rsidRPr="00FF756A">
        <w:fldChar w:fldCharType="separate"/>
      </w:r>
      <w:r w:rsidRPr="00FF756A">
        <w:t>Figura 105</w:t>
      </w:r>
      <w:r w:rsidRPr="00FF756A">
        <w:fldChar w:fldCharType="end"/>
      </w:r>
      <w:r w:rsidRPr="00FF756A">
        <w:t>) është reduktuar ndjeshëm në të shkuarën, por pritet të rritet me rritjen e kërkesës në sektorin e transportit.</w:t>
      </w:r>
    </w:p>
    <w:p w14:paraId="60580F41" w14:textId="77777777" w:rsidR="00B86FB3" w:rsidRPr="00FF756A" w:rsidRDefault="00B86FB3" w:rsidP="00B86FB3"/>
    <w:p w14:paraId="312CE44A" w14:textId="77777777" w:rsidR="008E7DE9" w:rsidRPr="00FF756A" w:rsidRDefault="00B86FB3" w:rsidP="008E7DE9">
      <w:pPr>
        <w:keepNext/>
      </w:pPr>
      <w:r w:rsidRPr="00FF756A">
        <w:rPr>
          <w:noProof/>
          <w:lang w:val="en-US"/>
        </w:rPr>
        <w:drawing>
          <wp:inline distT="0" distB="0" distL="0" distR="0" wp14:anchorId="29C55C41" wp14:editId="714D3EC6">
            <wp:extent cx="5760720" cy="3456305"/>
            <wp:effectExtent l="0" t="0" r="0" b="0"/>
            <wp:docPr id="42276487" name="Picture 6" descr="A graph of energy dem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6487" name="Picture 6" descr="A graph of energy demand&#10;&#10;Description automatically generated"/>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2D4E26ED" w14:textId="699F05E5" w:rsidR="00B86FB3" w:rsidRPr="00FF756A" w:rsidRDefault="008E7DE9" w:rsidP="008E7DE9">
      <w:pPr>
        <w:pStyle w:val="Caption"/>
        <w:rPr>
          <w:rFonts w:ascii="Times New Roman" w:hAnsi="Times New Roman"/>
        </w:rPr>
      </w:pPr>
      <w:bookmarkStart w:id="743" w:name="_Toc183016639"/>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109</w:t>
      </w:r>
      <w:r w:rsidRPr="00FF756A">
        <w:rPr>
          <w:rFonts w:ascii="Times New Roman" w:hAnsi="Times New Roman"/>
          <w:noProof/>
        </w:rPr>
        <w:fldChar w:fldCharType="end"/>
      </w:r>
      <w:r w:rsidRPr="00FF756A">
        <w:rPr>
          <w:rFonts w:ascii="Times New Roman" w:hAnsi="Times New Roman"/>
        </w:rPr>
        <w:t>: Konsumi final i energjisë (ktoe) për sektorin e banesave, sipas vlerave historike të periudhës 2016-2023 dhe sipas parashikimit me masat shtesë deri në vitin 2050</w:t>
      </w:r>
      <w:bookmarkEnd w:id="743"/>
    </w:p>
    <w:p w14:paraId="5F8F2AD7" w14:textId="77777777" w:rsidR="008E7DE9" w:rsidRPr="00FF756A" w:rsidRDefault="00B86FB3" w:rsidP="008E7DE9">
      <w:pPr>
        <w:keepNext/>
      </w:pPr>
      <w:r w:rsidRPr="00FF756A">
        <w:rPr>
          <w:noProof/>
          <w:lang w:val="en-US"/>
        </w:rPr>
        <w:drawing>
          <wp:inline distT="0" distB="0" distL="0" distR="0" wp14:anchorId="70C99461" wp14:editId="004E4B0C">
            <wp:extent cx="5760720" cy="3456305"/>
            <wp:effectExtent l="0" t="0" r="0" b="0"/>
            <wp:docPr id="1984092699" name="Picture 7" descr="A graph of energy effici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92699" name="Picture 7" descr="A graph of energy efficiency&#10;&#10;Description automatically generated"/>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46E39467" w14:textId="36CDCC41" w:rsidR="00B86FB3" w:rsidRPr="00FF756A" w:rsidRDefault="008E7DE9" w:rsidP="008E7DE9">
      <w:pPr>
        <w:pStyle w:val="Caption"/>
        <w:rPr>
          <w:rFonts w:ascii="Times New Roman" w:hAnsi="Times New Roman"/>
        </w:rPr>
      </w:pPr>
      <w:bookmarkStart w:id="744" w:name="_Toc183016640"/>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110</w:t>
      </w:r>
      <w:r w:rsidRPr="00FF756A">
        <w:rPr>
          <w:rFonts w:ascii="Times New Roman" w:hAnsi="Times New Roman"/>
          <w:noProof/>
        </w:rPr>
        <w:fldChar w:fldCharType="end"/>
      </w:r>
      <w:r w:rsidRPr="00FF756A">
        <w:rPr>
          <w:rFonts w:ascii="Times New Roman" w:hAnsi="Times New Roman"/>
        </w:rPr>
        <w:t>: Burimet e përziera në konsumin final të energjisë (ktoe) për sektorin e banesave, sipas vlerave historike të periudhës 2016-2023 dhe sipas parashikimit me masat shtesë deri në vitin 2050</w:t>
      </w:r>
      <w:bookmarkEnd w:id="744"/>
    </w:p>
    <w:p w14:paraId="427F339F" w14:textId="77777777" w:rsidR="00B86FB3" w:rsidRPr="00FF756A" w:rsidRDefault="00B86FB3" w:rsidP="00B86FB3">
      <w:pPr>
        <w:rPr>
          <w:lang w:eastAsia="ja-JP"/>
        </w:rPr>
      </w:pPr>
    </w:p>
    <w:p w14:paraId="1090C5BA" w14:textId="77777777" w:rsidR="008E7DE9" w:rsidRPr="00FF756A" w:rsidRDefault="00B86FB3" w:rsidP="008E7DE9">
      <w:pPr>
        <w:keepNext/>
      </w:pPr>
      <w:r w:rsidRPr="00FF756A">
        <w:rPr>
          <w:noProof/>
          <w:lang w:val="en-US"/>
        </w:rPr>
        <w:drawing>
          <wp:inline distT="0" distB="0" distL="0" distR="0" wp14:anchorId="56A1BDEF" wp14:editId="16006AF8">
            <wp:extent cx="5760720" cy="3456305"/>
            <wp:effectExtent l="0" t="0" r="0" b="0"/>
            <wp:docPr id="618782854" name="Picture 8"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782854" name="Picture 8" descr="A graph of different colored lines&#10;&#10;Description automatically generated"/>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24EC22D8" w14:textId="0C55E84D" w:rsidR="00B86FB3" w:rsidRPr="00FF756A" w:rsidRDefault="008E7DE9" w:rsidP="008E7DE9">
      <w:pPr>
        <w:pStyle w:val="Caption"/>
        <w:rPr>
          <w:rFonts w:ascii="Times New Roman" w:hAnsi="Times New Roman"/>
        </w:rPr>
      </w:pPr>
      <w:bookmarkStart w:id="745" w:name="_Toc183016641"/>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111</w:t>
      </w:r>
      <w:r w:rsidRPr="00FF756A">
        <w:rPr>
          <w:rFonts w:ascii="Times New Roman" w:hAnsi="Times New Roman"/>
          <w:noProof/>
        </w:rPr>
        <w:fldChar w:fldCharType="end"/>
      </w:r>
      <w:r w:rsidRPr="00FF756A">
        <w:rPr>
          <w:rFonts w:ascii="Times New Roman" w:hAnsi="Times New Roman"/>
        </w:rPr>
        <w:t>: Konsumi final i energjisë (ktoe) për sektorin e shërbimeve, sipas vlerave historike të periudhës 2016-2023 dhe sipas parashikimit me masat shtesë deri në vitin 2050</w:t>
      </w:r>
      <w:bookmarkEnd w:id="745"/>
    </w:p>
    <w:p w14:paraId="03BD8CAB" w14:textId="77777777" w:rsidR="008E7DE9" w:rsidRPr="00FF756A" w:rsidRDefault="00B86FB3" w:rsidP="008E7DE9">
      <w:pPr>
        <w:keepNext/>
      </w:pPr>
      <w:r w:rsidRPr="00FF756A">
        <w:rPr>
          <w:noProof/>
          <w:lang w:val="en-US"/>
        </w:rPr>
        <w:drawing>
          <wp:inline distT="0" distB="0" distL="0" distR="0" wp14:anchorId="29147899" wp14:editId="11634A85">
            <wp:extent cx="5760720" cy="3456305"/>
            <wp:effectExtent l="0" t="0" r="0" b="0"/>
            <wp:docPr id="1636970708" name="Picture 9"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970708" name="Picture 9" descr="A graph of a graph&#10;&#10;Description automatically generated with medium confidenc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5FD583B3" w14:textId="53235CFC" w:rsidR="00B86FB3" w:rsidRPr="00FF756A" w:rsidRDefault="008E7DE9" w:rsidP="008E7DE9">
      <w:pPr>
        <w:pStyle w:val="Caption"/>
        <w:rPr>
          <w:rFonts w:ascii="Times New Roman" w:hAnsi="Times New Roman"/>
        </w:rPr>
      </w:pPr>
      <w:bookmarkStart w:id="746" w:name="_Toc183016642"/>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112</w:t>
      </w:r>
      <w:r w:rsidRPr="00FF756A">
        <w:rPr>
          <w:rFonts w:ascii="Times New Roman" w:hAnsi="Times New Roman"/>
          <w:noProof/>
        </w:rPr>
        <w:fldChar w:fldCharType="end"/>
      </w:r>
      <w:r w:rsidRPr="00FF756A">
        <w:rPr>
          <w:rFonts w:ascii="Times New Roman" w:hAnsi="Times New Roman"/>
        </w:rPr>
        <w:t>: Burimet e përziera në konsumin final të energjisë (ktoe) për sektorin e shërbimeve, sipas vlerave historike të periudhës 2016-2023 dhe sipas parashikimit me masat shtesë deri në vitin 2050</w:t>
      </w:r>
      <w:bookmarkEnd w:id="746"/>
    </w:p>
    <w:p w14:paraId="7BADD3F8" w14:textId="77777777" w:rsidR="00B86FB3" w:rsidRPr="00FF756A" w:rsidRDefault="00B86FB3" w:rsidP="00B86FB3">
      <w:pPr>
        <w:spacing w:line="240" w:lineRule="auto"/>
        <w:rPr>
          <w:rFonts w:eastAsia="Times New Roman"/>
          <w:b/>
          <w:bCs/>
          <w:color w:val="4F81BD"/>
          <w:sz w:val="18"/>
          <w:szCs w:val="18"/>
          <w:lang w:eastAsia="ja-JP"/>
        </w:rPr>
      </w:pPr>
    </w:p>
    <w:p w14:paraId="47DB3C19" w14:textId="77777777" w:rsidR="008E7DE9" w:rsidRPr="00FF756A" w:rsidRDefault="00B86FB3" w:rsidP="008E7DE9">
      <w:pPr>
        <w:keepNext/>
      </w:pPr>
      <w:r w:rsidRPr="00FF756A">
        <w:rPr>
          <w:noProof/>
          <w:lang w:val="en-US"/>
        </w:rPr>
        <w:drawing>
          <wp:inline distT="0" distB="0" distL="0" distR="0" wp14:anchorId="292E87FD" wp14:editId="7923CD2C">
            <wp:extent cx="5760720" cy="3456305"/>
            <wp:effectExtent l="0" t="0" r="0" b="0"/>
            <wp:docPr id="208166138" name="Picture 10" descr="A graph of a graph of energ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66138" name="Picture 10" descr="A graph of a graph of energy&#10;&#10;Description automatically generated with medium confidenc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56A9CEBF" w14:textId="20F0CEAF" w:rsidR="00B86FB3" w:rsidRPr="00FF756A" w:rsidRDefault="008E7DE9" w:rsidP="008E7DE9">
      <w:pPr>
        <w:pStyle w:val="Caption"/>
        <w:rPr>
          <w:rFonts w:ascii="Times New Roman" w:hAnsi="Times New Roman"/>
        </w:rPr>
      </w:pPr>
      <w:bookmarkStart w:id="747" w:name="_Toc183016643"/>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113</w:t>
      </w:r>
      <w:r w:rsidRPr="00FF756A">
        <w:rPr>
          <w:rFonts w:ascii="Times New Roman" w:hAnsi="Times New Roman"/>
          <w:noProof/>
        </w:rPr>
        <w:fldChar w:fldCharType="end"/>
      </w:r>
      <w:r w:rsidRPr="00FF756A">
        <w:rPr>
          <w:rFonts w:ascii="Times New Roman" w:hAnsi="Times New Roman"/>
        </w:rPr>
        <w:t>: Konsumi final i energjisë (ktoe) për sektorin e industrisë, sipas vlerave historike të periudhës 2016-2023 dhe sipas parashikimit me masat shtesë deri në vitin 2050</w:t>
      </w:r>
      <w:bookmarkEnd w:id="747"/>
    </w:p>
    <w:p w14:paraId="4990606E" w14:textId="77777777" w:rsidR="008E7DE9" w:rsidRPr="00FF756A" w:rsidRDefault="00B86FB3" w:rsidP="008E7DE9">
      <w:pPr>
        <w:keepNext/>
      </w:pPr>
      <w:r w:rsidRPr="00FF756A">
        <w:rPr>
          <w:noProof/>
          <w:lang w:val="en-US"/>
        </w:rPr>
        <w:drawing>
          <wp:inline distT="0" distB="0" distL="0" distR="0" wp14:anchorId="6D831023" wp14:editId="39002AF7">
            <wp:extent cx="5760720" cy="3456305"/>
            <wp:effectExtent l="0" t="0" r="0" b="0"/>
            <wp:docPr id="32242108" name="Picture 1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42108" name="Picture 11" descr="A graph of a graph&#10;&#10;Description automatically generated with medium confidenc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3F0BCD22" w14:textId="48DBA9FD" w:rsidR="00B86FB3" w:rsidRPr="00FF756A" w:rsidRDefault="008E7DE9" w:rsidP="008E7DE9">
      <w:pPr>
        <w:pStyle w:val="Caption"/>
        <w:rPr>
          <w:rFonts w:ascii="Times New Roman" w:hAnsi="Times New Roman"/>
        </w:rPr>
      </w:pPr>
      <w:bookmarkStart w:id="748" w:name="_Toc183016644"/>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114</w:t>
      </w:r>
      <w:r w:rsidRPr="00FF756A">
        <w:rPr>
          <w:rFonts w:ascii="Times New Roman" w:hAnsi="Times New Roman"/>
          <w:noProof/>
        </w:rPr>
        <w:fldChar w:fldCharType="end"/>
      </w:r>
      <w:r w:rsidRPr="00FF756A">
        <w:rPr>
          <w:rFonts w:ascii="Times New Roman" w:hAnsi="Times New Roman"/>
        </w:rPr>
        <w:t>: Burimet e përziera në konsumin final të energjisë (ktoe) për sektorin e industrisë, sipas vlerave historike të periudhës 2016-2023 dhe sipas parashikimit me masat shtesë deri në vitin 2050</w:t>
      </w:r>
      <w:bookmarkEnd w:id="748"/>
    </w:p>
    <w:p w14:paraId="1B1889FF" w14:textId="77777777" w:rsidR="008E7DE9" w:rsidRPr="00FF756A" w:rsidRDefault="00B86FB3" w:rsidP="008E7DE9">
      <w:pPr>
        <w:keepNext/>
      </w:pPr>
      <w:r w:rsidRPr="00FF756A">
        <w:rPr>
          <w:noProof/>
          <w:lang w:val="en-US"/>
        </w:rPr>
        <w:drawing>
          <wp:inline distT="0" distB="0" distL="0" distR="0" wp14:anchorId="50669109" wp14:editId="09530478">
            <wp:extent cx="5760720" cy="3456305"/>
            <wp:effectExtent l="0" t="0" r="0" b="0"/>
            <wp:docPr id="1325962015" name="Picture 12"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962015" name="Picture 12" descr="A graph of a number of people&#10;&#10;Description automatically generated with medium confidenc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459D7767" w14:textId="4CDB8EC8" w:rsidR="00B86FB3" w:rsidRPr="00FF756A" w:rsidRDefault="008E7DE9" w:rsidP="008E7DE9">
      <w:pPr>
        <w:pStyle w:val="Caption"/>
        <w:rPr>
          <w:rFonts w:ascii="Times New Roman" w:hAnsi="Times New Roman"/>
        </w:rPr>
      </w:pPr>
      <w:bookmarkStart w:id="749" w:name="_Toc183016645"/>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115</w:t>
      </w:r>
      <w:r w:rsidRPr="00FF756A">
        <w:rPr>
          <w:rFonts w:ascii="Times New Roman" w:hAnsi="Times New Roman"/>
          <w:noProof/>
        </w:rPr>
        <w:fldChar w:fldCharType="end"/>
      </w:r>
      <w:r w:rsidRPr="00FF756A">
        <w:rPr>
          <w:rFonts w:ascii="Times New Roman" w:hAnsi="Times New Roman"/>
        </w:rPr>
        <w:t>: Konsumi final i energjisë (ktoe) për sektorin e transportit, sipas vlerave historike të periudhës 2016-2023 dhe sipas parashikimit me masat shtesë deri në vitin 2050</w:t>
      </w:r>
      <w:bookmarkEnd w:id="749"/>
    </w:p>
    <w:p w14:paraId="01B8C8A4" w14:textId="77777777" w:rsidR="008E7DE9" w:rsidRPr="00FF756A" w:rsidRDefault="00B86FB3" w:rsidP="008E7DE9">
      <w:pPr>
        <w:keepNext/>
      </w:pPr>
      <w:r w:rsidRPr="00FF756A">
        <w:rPr>
          <w:noProof/>
          <w:lang w:val="en-US"/>
        </w:rPr>
        <w:drawing>
          <wp:inline distT="0" distB="0" distL="0" distR="0" wp14:anchorId="170699D1" wp14:editId="73479D52">
            <wp:extent cx="5760720" cy="3456305"/>
            <wp:effectExtent l="0" t="0" r="0" b="0"/>
            <wp:docPr id="746558192" name="Picture 13"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58192" name="Picture 13" descr="A graph of a graph&#10;&#10;Description automatically generated with medium confidenc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4FADC917" w14:textId="3ADF6833" w:rsidR="008E7DE9" w:rsidRPr="00FF756A" w:rsidRDefault="008E7DE9" w:rsidP="008E7DE9">
      <w:pPr>
        <w:pStyle w:val="Caption"/>
        <w:rPr>
          <w:rFonts w:ascii="Times New Roman" w:hAnsi="Times New Roman"/>
        </w:rPr>
      </w:pPr>
      <w:bookmarkStart w:id="750" w:name="_Toc183016646"/>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116</w:t>
      </w:r>
      <w:r w:rsidRPr="00FF756A">
        <w:rPr>
          <w:rFonts w:ascii="Times New Roman" w:hAnsi="Times New Roman"/>
          <w:noProof/>
        </w:rPr>
        <w:fldChar w:fldCharType="end"/>
      </w:r>
      <w:r w:rsidRPr="00FF756A">
        <w:rPr>
          <w:rFonts w:ascii="Times New Roman" w:hAnsi="Times New Roman"/>
        </w:rPr>
        <w:t>: Burimet e përziera në konsumin final të energjisë (ktoe) për sektorin e transportit, sipas vlerave historike të periudhës 2016-2023 dhe sipas parashikimit me masat shtesë deri në vitin 2050</w:t>
      </w:r>
      <w:bookmarkEnd w:id="750"/>
    </w:p>
    <w:p w14:paraId="3D94AD05" w14:textId="77777777" w:rsidR="00B86FB3" w:rsidRPr="00FF756A" w:rsidRDefault="00B86FB3" w:rsidP="00B86FB3">
      <w:pPr>
        <w:spacing w:line="240" w:lineRule="auto"/>
        <w:rPr>
          <w:rFonts w:eastAsia="Times New Roman"/>
          <w:b/>
          <w:bCs/>
          <w:color w:val="4F81BD"/>
          <w:sz w:val="18"/>
          <w:szCs w:val="18"/>
          <w:lang w:eastAsia="ja-JP"/>
        </w:rPr>
      </w:pPr>
    </w:p>
    <w:p w14:paraId="64201BC5" w14:textId="77777777" w:rsidR="008E7DE9" w:rsidRPr="00FF756A" w:rsidRDefault="00B86FB3" w:rsidP="008E7DE9">
      <w:pPr>
        <w:keepNext/>
      </w:pPr>
      <w:r w:rsidRPr="00FF756A">
        <w:rPr>
          <w:noProof/>
          <w:lang w:val="en-US"/>
        </w:rPr>
        <w:drawing>
          <wp:inline distT="0" distB="0" distL="0" distR="0" wp14:anchorId="1D6B4E0C" wp14:editId="389DF48E">
            <wp:extent cx="5760720" cy="3456305"/>
            <wp:effectExtent l="0" t="0" r="0" b="0"/>
            <wp:docPr id="923089003" name="Picture 14" descr="A graph of a number of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089003" name="Picture 14" descr="A graph of a number of bars&#10;&#10;Description automatically generated with medium confidenc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0BBE646C" w14:textId="55065A0E" w:rsidR="00B86FB3" w:rsidRPr="00FF756A" w:rsidRDefault="008E7DE9" w:rsidP="008E7DE9">
      <w:pPr>
        <w:pStyle w:val="Caption"/>
        <w:rPr>
          <w:rFonts w:ascii="Times New Roman" w:hAnsi="Times New Roman"/>
        </w:rPr>
      </w:pPr>
      <w:bookmarkStart w:id="751" w:name="_Toc183016647"/>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117</w:t>
      </w:r>
      <w:r w:rsidRPr="00FF756A">
        <w:rPr>
          <w:rFonts w:ascii="Times New Roman" w:hAnsi="Times New Roman"/>
          <w:noProof/>
        </w:rPr>
        <w:fldChar w:fldCharType="end"/>
      </w:r>
      <w:r w:rsidRPr="00FF756A">
        <w:rPr>
          <w:rFonts w:ascii="Times New Roman" w:hAnsi="Times New Roman"/>
        </w:rPr>
        <w:t>: Konsumi final i energjisë (ktoe) për sektorin e transportit të udhëtarëve, sipas vlerave historike të periudhës 2016-2023 dhe sipas parashikimit me masat shtesë deri në vitin 2050</w:t>
      </w:r>
      <w:bookmarkEnd w:id="751"/>
    </w:p>
    <w:p w14:paraId="2418038E" w14:textId="77777777" w:rsidR="00B86FB3" w:rsidRPr="00FF756A" w:rsidRDefault="00B86FB3" w:rsidP="00B86FB3">
      <w:pPr>
        <w:rPr>
          <w:lang w:eastAsia="ja-JP"/>
        </w:rPr>
      </w:pPr>
    </w:p>
    <w:p w14:paraId="44B8232C" w14:textId="77777777" w:rsidR="008E7DE9" w:rsidRPr="00FF756A" w:rsidRDefault="00B86FB3" w:rsidP="008E7DE9">
      <w:pPr>
        <w:keepNext/>
      </w:pPr>
      <w:r w:rsidRPr="00FF756A">
        <w:rPr>
          <w:noProof/>
          <w:lang w:val="en-US"/>
        </w:rPr>
        <w:drawing>
          <wp:inline distT="0" distB="0" distL="0" distR="0" wp14:anchorId="1EBBCF65" wp14:editId="26100712">
            <wp:extent cx="5760720" cy="3456305"/>
            <wp:effectExtent l="0" t="0" r="0" b="0"/>
            <wp:docPr id="1605285158" name="Picture 15" descr="A graph of a graph showing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285158" name="Picture 15" descr="A graph of a graph showing different colored bars&#10;&#10;Description automatically generated with medium confidenc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484D325B" w14:textId="171FD461" w:rsidR="00B86FB3" w:rsidRPr="00FF756A" w:rsidRDefault="008E7DE9" w:rsidP="008E7DE9">
      <w:pPr>
        <w:pStyle w:val="Caption"/>
        <w:rPr>
          <w:rFonts w:ascii="Times New Roman" w:hAnsi="Times New Roman"/>
        </w:rPr>
      </w:pPr>
      <w:bookmarkStart w:id="752" w:name="_Toc183016648"/>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118</w:t>
      </w:r>
      <w:r w:rsidRPr="00FF756A">
        <w:rPr>
          <w:rFonts w:ascii="Times New Roman" w:hAnsi="Times New Roman"/>
          <w:noProof/>
        </w:rPr>
        <w:fldChar w:fldCharType="end"/>
      </w:r>
      <w:r w:rsidRPr="00FF756A">
        <w:rPr>
          <w:rFonts w:ascii="Times New Roman" w:hAnsi="Times New Roman"/>
        </w:rPr>
        <w:t>: Burimet e përziera në konsumin final të energjisë (ktoe) për sektorin e transportit të udhëtarëve, sipas vlerave historike të periudhës 2016-2023 dhe sipas parashikimit me masat shtesë deri në vitin 2050</w:t>
      </w:r>
      <w:bookmarkEnd w:id="752"/>
    </w:p>
    <w:p w14:paraId="7329D24F" w14:textId="77777777" w:rsidR="00B86FB3" w:rsidRPr="00FF756A" w:rsidRDefault="00B86FB3" w:rsidP="00B86FB3">
      <w:pPr>
        <w:spacing w:line="240" w:lineRule="auto"/>
        <w:rPr>
          <w:rFonts w:eastAsia="Times New Roman"/>
          <w:b/>
          <w:bCs/>
          <w:color w:val="4F81BD"/>
          <w:sz w:val="18"/>
          <w:szCs w:val="18"/>
          <w:lang w:eastAsia="ja-JP"/>
        </w:rPr>
      </w:pPr>
    </w:p>
    <w:p w14:paraId="358EDCA4" w14:textId="77777777" w:rsidR="008E7DE9" w:rsidRPr="00FF756A" w:rsidRDefault="00B86FB3" w:rsidP="008E7DE9">
      <w:pPr>
        <w:keepNext/>
      </w:pPr>
      <w:r w:rsidRPr="00FF756A">
        <w:rPr>
          <w:noProof/>
          <w:lang w:val="en-US"/>
        </w:rPr>
        <w:drawing>
          <wp:inline distT="0" distB="0" distL="0" distR="0" wp14:anchorId="4FEC0BEA" wp14:editId="2D91E9B3">
            <wp:extent cx="5760720" cy="3456305"/>
            <wp:effectExtent l="0" t="0" r="0" b="0"/>
            <wp:docPr id="1529698693" name="Picture 16"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698693" name="Picture 16" descr="A graph of a graph&#10;&#10;Description automatically generated with medium confidenc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26761D4F" w14:textId="33CC12C0" w:rsidR="00B86FB3" w:rsidRPr="00FF756A" w:rsidRDefault="008E7DE9" w:rsidP="008E7DE9">
      <w:pPr>
        <w:pStyle w:val="Caption"/>
        <w:rPr>
          <w:rFonts w:ascii="Times New Roman" w:hAnsi="Times New Roman"/>
        </w:rPr>
      </w:pPr>
      <w:bookmarkStart w:id="753" w:name="_Toc183016649"/>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119</w:t>
      </w:r>
      <w:r w:rsidRPr="00FF756A">
        <w:rPr>
          <w:rFonts w:ascii="Times New Roman" w:hAnsi="Times New Roman"/>
          <w:noProof/>
        </w:rPr>
        <w:fldChar w:fldCharType="end"/>
      </w:r>
      <w:r w:rsidRPr="00FF756A">
        <w:rPr>
          <w:rFonts w:ascii="Times New Roman" w:hAnsi="Times New Roman"/>
        </w:rPr>
        <w:t>: Konsumi final i energjisë (ktoe) për sektorin e transportit të mallrave, sipas vlerave historike të periudhës 2016-2023 dhe sipas parashikimit me masat shtesë deri në vitin 2050</w:t>
      </w:r>
      <w:bookmarkEnd w:id="753"/>
    </w:p>
    <w:p w14:paraId="146A195C" w14:textId="77777777" w:rsidR="008E7DE9" w:rsidRPr="00FF756A" w:rsidRDefault="00B86FB3" w:rsidP="008E7DE9">
      <w:pPr>
        <w:keepNext/>
      </w:pPr>
      <w:r w:rsidRPr="00FF756A">
        <w:rPr>
          <w:noProof/>
          <w:lang w:val="en-US"/>
        </w:rPr>
        <w:drawing>
          <wp:inline distT="0" distB="0" distL="0" distR="0" wp14:anchorId="51BF3BC3" wp14:editId="30648979">
            <wp:extent cx="5760720" cy="3456305"/>
            <wp:effectExtent l="0" t="0" r="0" b="0"/>
            <wp:docPr id="1050602797" name="Picture 17"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602797" name="Picture 17" descr="A graph of a graph of a graph&#10;&#10;Description automatically generated with medium confidenc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2106F25E" w14:textId="1FA0D2F6" w:rsidR="00B86FB3" w:rsidRPr="00FF756A" w:rsidRDefault="008E7DE9" w:rsidP="008E7DE9">
      <w:pPr>
        <w:pStyle w:val="Caption"/>
        <w:rPr>
          <w:rFonts w:ascii="Times New Roman" w:hAnsi="Times New Roman"/>
        </w:rPr>
      </w:pPr>
      <w:bookmarkStart w:id="754" w:name="_Toc183016650"/>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120</w:t>
      </w:r>
      <w:r w:rsidRPr="00FF756A">
        <w:rPr>
          <w:rFonts w:ascii="Times New Roman" w:hAnsi="Times New Roman"/>
          <w:noProof/>
        </w:rPr>
        <w:fldChar w:fldCharType="end"/>
      </w:r>
      <w:r w:rsidRPr="00FF756A">
        <w:rPr>
          <w:rFonts w:ascii="Times New Roman" w:hAnsi="Times New Roman"/>
        </w:rPr>
        <w:t>: Burimet e përziera në konsumin final të energjisë (ktoe) për sektorin e transportit të mallrave, sipas vlerave historike të periudhës 2016-2023 dhe sipas parashikimit me masat shtesë deri në vitin 2050</w:t>
      </w:r>
      <w:bookmarkEnd w:id="754"/>
    </w:p>
    <w:p w14:paraId="0B860AC8" w14:textId="77777777" w:rsidR="00B86FB3" w:rsidRPr="00FF756A" w:rsidRDefault="00B86FB3" w:rsidP="00B86FB3">
      <w:pPr>
        <w:spacing w:line="240" w:lineRule="auto"/>
        <w:rPr>
          <w:rFonts w:eastAsia="Times New Roman"/>
          <w:b/>
          <w:bCs/>
          <w:color w:val="4F81BD"/>
          <w:sz w:val="18"/>
          <w:szCs w:val="18"/>
          <w:lang w:eastAsia="ja-JP"/>
        </w:rPr>
      </w:pPr>
    </w:p>
    <w:p w14:paraId="4963C086" w14:textId="77777777" w:rsidR="008E7DE9" w:rsidRPr="00FF756A" w:rsidRDefault="00B86FB3" w:rsidP="008E7DE9">
      <w:pPr>
        <w:keepNext/>
      </w:pPr>
      <w:r w:rsidRPr="00FF756A">
        <w:rPr>
          <w:noProof/>
          <w:lang w:val="en-US"/>
        </w:rPr>
        <w:drawing>
          <wp:inline distT="0" distB="0" distL="0" distR="0" wp14:anchorId="1BFAB46F" wp14:editId="7BE8D91E">
            <wp:extent cx="5760720" cy="3456305"/>
            <wp:effectExtent l="0" t="0" r="0" b="0"/>
            <wp:docPr id="1262379466" name="Picture 18"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379466" name="Picture 18" descr="A graph of a number of people&#10;&#10;Description automatically generated with medium confidenc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30585AB9" w14:textId="344E45B1" w:rsidR="00B86FB3" w:rsidRPr="00FF756A" w:rsidRDefault="008E7DE9" w:rsidP="008E7DE9">
      <w:pPr>
        <w:pStyle w:val="Caption"/>
        <w:rPr>
          <w:rFonts w:ascii="Times New Roman" w:hAnsi="Times New Roman"/>
        </w:rPr>
      </w:pPr>
      <w:bookmarkStart w:id="755" w:name="_Toc183016651"/>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121</w:t>
      </w:r>
      <w:r w:rsidRPr="00FF756A">
        <w:rPr>
          <w:rFonts w:ascii="Times New Roman" w:hAnsi="Times New Roman"/>
          <w:noProof/>
        </w:rPr>
        <w:fldChar w:fldCharType="end"/>
      </w:r>
      <w:r w:rsidRPr="00FF756A">
        <w:rPr>
          <w:rFonts w:ascii="Times New Roman" w:hAnsi="Times New Roman"/>
        </w:rPr>
        <w:t>: Konsumi (ktoe) për kërkesën joenergjetike të vektorëve të energjisë, sipas vlerave historike të periudhës 2016-2023 dhe sipas parashikimit me masat shtesë deri në vitin 2050</w:t>
      </w:r>
      <w:bookmarkEnd w:id="755"/>
    </w:p>
    <w:p w14:paraId="506C7D33" w14:textId="77777777" w:rsidR="00B86FB3" w:rsidRPr="00FF756A" w:rsidRDefault="00B86FB3" w:rsidP="00B86FB3"/>
    <w:p w14:paraId="6D0BF454" w14:textId="77777777" w:rsidR="00B86FB3" w:rsidRPr="00FF756A" w:rsidRDefault="00B86FB3" w:rsidP="00B86FB3">
      <w:r w:rsidRPr="00FF756A">
        <w:t>Tabela e mëposhtme paraqet kërkesën finale për energji në nënsektorë të ndryshëm, në njësi ktoe.</w:t>
      </w:r>
    </w:p>
    <w:p w14:paraId="7EA91C72" w14:textId="77777777" w:rsidR="00B86FB3" w:rsidRPr="00FF756A" w:rsidRDefault="00B86FB3" w:rsidP="00B86FB3"/>
    <w:tbl>
      <w:tblPr>
        <w:tblW w:w="9080" w:type="dxa"/>
        <w:tblLayout w:type="fixed"/>
        <w:tblLook w:val="04A0" w:firstRow="1" w:lastRow="0" w:firstColumn="1" w:lastColumn="0" w:noHBand="0" w:noVBand="1"/>
      </w:tblPr>
      <w:tblGrid>
        <w:gridCol w:w="2150"/>
        <w:gridCol w:w="866"/>
        <w:gridCol w:w="866"/>
        <w:gridCol w:w="866"/>
        <w:gridCol w:w="867"/>
        <w:gridCol w:w="866"/>
        <w:gridCol w:w="866"/>
        <w:gridCol w:w="866"/>
        <w:gridCol w:w="867"/>
      </w:tblGrid>
      <w:tr w:rsidR="00B86FB3" w:rsidRPr="00FF756A" w14:paraId="37394419" w14:textId="77777777" w:rsidTr="006A3266">
        <w:trPr>
          <w:trHeight w:val="291"/>
          <w:tblHeader/>
        </w:trPr>
        <w:tc>
          <w:tcPr>
            <w:tcW w:w="2150" w:type="dxa"/>
            <w:tcBorders>
              <w:top w:val="single" w:sz="8" w:space="0" w:color="FFFFFF"/>
              <w:left w:val="single" w:sz="8" w:space="0" w:color="FFFFFF"/>
              <w:bottom w:val="single" w:sz="8" w:space="0" w:color="FFFFFF"/>
              <w:right w:val="nil"/>
            </w:tcBorders>
            <w:shd w:val="clear" w:color="000000" w:fill="4F81BD"/>
            <w:noWrap/>
            <w:vAlign w:val="center"/>
            <w:hideMark/>
          </w:tcPr>
          <w:p w14:paraId="38B52AD7" w14:textId="77777777" w:rsidR="00B86FB3" w:rsidRPr="00FF756A" w:rsidRDefault="00B86FB3" w:rsidP="00B86FB3">
            <w:pPr>
              <w:rPr>
                <w:rFonts w:eastAsia="Times New Roman"/>
                <w:b/>
                <w:bCs/>
                <w:color w:val="FFFFFF"/>
                <w:sz w:val="18"/>
                <w:szCs w:val="18"/>
              </w:rPr>
            </w:pPr>
            <w:r w:rsidRPr="00FF756A">
              <w:rPr>
                <w:b/>
                <w:bCs/>
                <w:color w:val="FFFFFF"/>
                <w:sz w:val="18"/>
                <w:szCs w:val="18"/>
              </w:rPr>
              <w:t>Dega [ktoe]</w:t>
            </w:r>
          </w:p>
        </w:tc>
        <w:tc>
          <w:tcPr>
            <w:tcW w:w="866" w:type="dxa"/>
            <w:tcBorders>
              <w:top w:val="single" w:sz="8" w:space="0" w:color="FFFFFF"/>
              <w:left w:val="nil"/>
              <w:bottom w:val="single" w:sz="8" w:space="0" w:color="FFFFFF"/>
              <w:right w:val="nil"/>
            </w:tcBorders>
            <w:shd w:val="clear" w:color="000000" w:fill="4F81BD"/>
            <w:noWrap/>
            <w:vAlign w:val="center"/>
            <w:hideMark/>
          </w:tcPr>
          <w:p w14:paraId="19394377" w14:textId="77777777" w:rsidR="00B86FB3" w:rsidRPr="00FF756A" w:rsidRDefault="00B86FB3" w:rsidP="00B86FB3">
            <w:pPr>
              <w:jc w:val="right"/>
              <w:rPr>
                <w:rFonts w:eastAsia="Times New Roman"/>
                <w:b/>
                <w:bCs/>
                <w:color w:val="FFFFFF"/>
                <w:sz w:val="18"/>
                <w:szCs w:val="18"/>
              </w:rPr>
            </w:pPr>
            <w:r w:rsidRPr="00FF756A">
              <w:rPr>
                <w:b/>
                <w:bCs/>
                <w:color w:val="FFFFFF"/>
                <w:sz w:val="18"/>
                <w:szCs w:val="18"/>
              </w:rPr>
              <w:t>2020</w:t>
            </w:r>
          </w:p>
        </w:tc>
        <w:tc>
          <w:tcPr>
            <w:tcW w:w="866" w:type="dxa"/>
            <w:tcBorders>
              <w:top w:val="single" w:sz="8" w:space="0" w:color="FFFFFF"/>
              <w:left w:val="nil"/>
              <w:bottom w:val="single" w:sz="8" w:space="0" w:color="FFFFFF"/>
              <w:right w:val="nil"/>
            </w:tcBorders>
            <w:shd w:val="clear" w:color="000000" w:fill="4F81BD"/>
            <w:noWrap/>
            <w:vAlign w:val="center"/>
            <w:hideMark/>
          </w:tcPr>
          <w:p w14:paraId="44DDD90A" w14:textId="77777777" w:rsidR="00B86FB3" w:rsidRPr="00FF756A" w:rsidRDefault="00B86FB3" w:rsidP="00B86FB3">
            <w:pPr>
              <w:jc w:val="right"/>
              <w:rPr>
                <w:rFonts w:eastAsia="Times New Roman"/>
                <w:b/>
                <w:bCs/>
                <w:color w:val="FFFFFF"/>
                <w:sz w:val="18"/>
                <w:szCs w:val="18"/>
              </w:rPr>
            </w:pPr>
            <w:r w:rsidRPr="00FF756A">
              <w:rPr>
                <w:b/>
                <w:bCs/>
                <w:color w:val="FFFFFF"/>
                <w:sz w:val="18"/>
                <w:szCs w:val="18"/>
              </w:rPr>
              <w:t>2021</w:t>
            </w:r>
          </w:p>
        </w:tc>
        <w:tc>
          <w:tcPr>
            <w:tcW w:w="866" w:type="dxa"/>
            <w:tcBorders>
              <w:top w:val="single" w:sz="8" w:space="0" w:color="FFFFFF"/>
              <w:left w:val="nil"/>
              <w:bottom w:val="single" w:sz="8" w:space="0" w:color="FFFFFF"/>
              <w:right w:val="nil"/>
            </w:tcBorders>
            <w:shd w:val="clear" w:color="000000" w:fill="4F81BD"/>
            <w:noWrap/>
            <w:vAlign w:val="center"/>
            <w:hideMark/>
          </w:tcPr>
          <w:p w14:paraId="0DDC1FF0" w14:textId="77777777" w:rsidR="00B86FB3" w:rsidRPr="00FF756A" w:rsidRDefault="00B86FB3" w:rsidP="00B86FB3">
            <w:pPr>
              <w:jc w:val="right"/>
              <w:rPr>
                <w:rFonts w:eastAsia="Times New Roman"/>
                <w:b/>
                <w:bCs/>
                <w:color w:val="FFFFFF"/>
                <w:sz w:val="18"/>
                <w:szCs w:val="18"/>
              </w:rPr>
            </w:pPr>
            <w:r w:rsidRPr="00FF756A">
              <w:rPr>
                <w:b/>
                <w:bCs/>
                <w:color w:val="FFFFFF"/>
                <w:sz w:val="18"/>
                <w:szCs w:val="18"/>
              </w:rPr>
              <w:t>2022</w:t>
            </w:r>
          </w:p>
        </w:tc>
        <w:tc>
          <w:tcPr>
            <w:tcW w:w="867" w:type="dxa"/>
            <w:tcBorders>
              <w:top w:val="single" w:sz="8" w:space="0" w:color="FFFFFF"/>
              <w:left w:val="nil"/>
              <w:bottom w:val="single" w:sz="8" w:space="0" w:color="FFFFFF"/>
              <w:right w:val="nil"/>
            </w:tcBorders>
            <w:shd w:val="clear" w:color="000000" w:fill="4F81BD"/>
            <w:noWrap/>
            <w:vAlign w:val="center"/>
            <w:hideMark/>
          </w:tcPr>
          <w:p w14:paraId="50C202B8" w14:textId="77777777" w:rsidR="00B86FB3" w:rsidRPr="00FF756A" w:rsidRDefault="00B86FB3" w:rsidP="00B86FB3">
            <w:pPr>
              <w:jc w:val="right"/>
              <w:rPr>
                <w:rFonts w:eastAsia="Times New Roman"/>
                <w:b/>
                <w:bCs/>
                <w:color w:val="FFFFFF"/>
                <w:sz w:val="18"/>
                <w:szCs w:val="18"/>
              </w:rPr>
            </w:pPr>
            <w:r w:rsidRPr="00FF756A">
              <w:rPr>
                <w:b/>
                <w:bCs/>
                <w:color w:val="FFFFFF"/>
                <w:sz w:val="18"/>
                <w:szCs w:val="18"/>
              </w:rPr>
              <w:t>2023</w:t>
            </w:r>
          </w:p>
        </w:tc>
        <w:tc>
          <w:tcPr>
            <w:tcW w:w="866" w:type="dxa"/>
            <w:tcBorders>
              <w:top w:val="single" w:sz="8" w:space="0" w:color="FFFFFF"/>
              <w:left w:val="nil"/>
              <w:bottom w:val="single" w:sz="8" w:space="0" w:color="FFFFFF"/>
              <w:right w:val="nil"/>
            </w:tcBorders>
            <w:shd w:val="clear" w:color="000000" w:fill="4F81BD"/>
            <w:noWrap/>
            <w:vAlign w:val="center"/>
            <w:hideMark/>
          </w:tcPr>
          <w:p w14:paraId="3DEF2017" w14:textId="77777777" w:rsidR="00B86FB3" w:rsidRPr="00FF756A" w:rsidRDefault="00B86FB3" w:rsidP="00B86FB3">
            <w:pPr>
              <w:jc w:val="right"/>
              <w:rPr>
                <w:rFonts w:eastAsia="Times New Roman"/>
                <w:b/>
                <w:bCs/>
                <w:color w:val="FFFFFF"/>
                <w:sz w:val="18"/>
                <w:szCs w:val="18"/>
              </w:rPr>
            </w:pPr>
            <w:r w:rsidRPr="00FF756A">
              <w:rPr>
                <w:b/>
                <w:bCs/>
                <w:color w:val="FFFFFF"/>
                <w:sz w:val="18"/>
                <w:szCs w:val="18"/>
              </w:rPr>
              <w:t>2025</w:t>
            </w:r>
          </w:p>
        </w:tc>
        <w:tc>
          <w:tcPr>
            <w:tcW w:w="866" w:type="dxa"/>
            <w:tcBorders>
              <w:top w:val="single" w:sz="8" w:space="0" w:color="FFFFFF"/>
              <w:left w:val="nil"/>
              <w:bottom w:val="single" w:sz="8" w:space="0" w:color="FFFFFF"/>
              <w:right w:val="nil"/>
            </w:tcBorders>
            <w:shd w:val="clear" w:color="auto" w:fill="4472C4" w:themeFill="accent1"/>
            <w:noWrap/>
            <w:vAlign w:val="center"/>
            <w:hideMark/>
          </w:tcPr>
          <w:p w14:paraId="19AEE4A1" w14:textId="77777777" w:rsidR="00B86FB3" w:rsidRPr="00FF756A" w:rsidRDefault="00B86FB3" w:rsidP="00B86FB3">
            <w:pPr>
              <w:jc w:val="right"/>
              <w:rPr>
                <w:rFonts w:eastAsia="Times New Roman"/>
                <w:b/>
                <w:bCs/>
                <w:color w:val="FFFFFF" w:themeColor="background1"/>
                <w:sz w:val="18"/>
                <w:szCs w:val="18"/>
              </w:rPr>
            </w:pPr>
            <w:r w:rsidRPr="00FF756A">
              <w:rPr>
                <w:b/>
                <w:bCs/>
                <w:color w:val="FFFFFF" w:themeColor="background1"/>
                <w:sz w:val="18"/>
                <w:szCs w:val="18"/>
              </w:rPr>
              <w:t>2030</w:t>
            </w:r>
          </w:p>
        </w:tc>
        <w:tc>
          <w:tcPr>
            <w:tcW w:w="866" w:type="dxa"/>
            <w:tcBorders>
              <w:top w:val="single" w:sz="8" w:space="0" w:color="FFFFFF"/>
              <w:left w:val="nil"/>
              <w:bottom w:val="single" w:sz="8" w:space="0" w:color="FFFFFF"/>
              <w:right w:val="nil"/>
            </w:tcBorders>
            <w:shd w:val="clear" w:color="000000" w:fill="4F81BD"/>
            <w:noWrap/>
            <w:vAlign w:val="center"/>
            <w:hideMark/>
          </w:tcPr>
          <w:p w14:paraId="6585B8E5" w14:textId="77777777" w:rsidR="00B86FB3" w:rsidRPr="00FF756A" w:rsidRDefault="00B86FB3" w:rsidP="00B86FB3">
            <w:pPr>
              <w:jc w:val="right"/>
              <w:rPr>
                <w:rFonts w:eastAsia="Times New Roman"/>
                <w:b/>
                <w:bCs/>
                <w:color w:val="FFFFFF"/>
                <w:sz w:val="18"/>
                <w:szCs w:val="18"/>
              </w:rPr>
            </w:pPr>
            <w:r w:rsidRPr="00FF756A">
              <w:rPr>
                <w:b/>
                <w:bCs/>
                <w:color w:val="FFFFFF"/>
                <w:sz w:val="18"/>
                <w:szCs w:val="18"/>
              </w:rPr>
              <w:t>2040</w:t>
            </w:r>
          </w:p>
        </w:tc>
        <w:tc>
          <w:tcPr>
            <w:tcW w:w="867" w:type="dxa"/>
            <w:tcBorders>
              <w:top w:val="single" w:sz="8" w:space="0" w:color="FFFFFF"/>
              <w:left w:val="nil"/>
              <w:bottom w:val="single" w:sz="8" w:space="0" w:color="FFFFFF"/>
              <w:right w:val="single" w:sz="8" w:space="0" w:color="FFFFFF"/>
            </w:tcBorders>
            <w:shd w:val="clear" w:color="000000" w:fill="4F81BD"/>
            <w:noWrap/>
            <w:vAlign w:val="center"/>
            <w:hideMark/>
          </w:tcPr>
          <w:p w14:paraId="5613232C" w14:textId="77777777" w:rsidR="00B86FB3" w:rsidRPr="00FF756A" w:rsidRDefault="00B86FB3" w:rsidP="00B86FB3">
            <w:pPr>
              <w:jc w:val="right"/>
              <w:rPr>
                <w:rFonts w:eastAsia="Times New Roman"/>
                <w:b/>
                <w:bCs/>
                <w:color w:val="FFFFFF"/>
                <w:sz w:val="18"/>
                <w:szCs w:val="18"/>
              </w:rPr>
            </w:pPr>
            <w:r w:rsidRPr="00FF756A">
              <w:rPr>
                <w:b/>
                <w:bCs/>
                <w:color w:val="FFFFFF"/>
                <w:sz w:val="18"/>
                <w:szCs w:val="18"/>
              </w:rPr>
              <w:t>2050</w:t>
            </w:r>
          </w:p>
        </w:tc>
      </w:tr>
      <w:tr w:rsidR="00B86FB3" w:rsidRPr="00FF756A" w14:paraId="21646F3A"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2AF64940" w14:textId="77777777" w:rsidR="00B86FB3" w:rsidRPr="00FF756A" w:rsidRDefault="00B86FB3" w:rsidP="00B86FB3">
            <w:pPr>
              <w:rPr>
                <w:rFonts w:eastAsia="Times New Roman"/>
                <w:color w:val="FFFFFF"/>
                <w:sz w:val="18"/>
                <w:szCs w:val="18"/>
              </w:rPr>
            </w:pPr>
            <w:r w:rsidRPr="00FF756A">
              <w:rPr>
                <w:color w:val="FFFFFF"/>
                <w:sz w:val="18"/>
                <w:szCs w:val="18"/>
              </w:rPr>
              <w:t>Sektori i banesave</w:t>
            </w:r>
          </w:p>
        </w:tc>
        <w:tc>
          <w:tcPr>
            <w:tcW w:w="866" w:type="dxa"/>
            <w:tcBorders>
              <w:top w:val="nil"/>
              <w:left w:val="nil"/>
              <w:bottom w:val="single" w:sz="8" w:space="0" w:color="FFFFFF"/>
              <w:right w:val="single" w:sz="8" w:space="0" w:color="FFFFFF"/>
            </w:tcBorders>
            <w:shd w:val="clear" w:color="000000" w:fill="B8CCE4"/>
            <w:noWrap/>
            <w:hideMark/>
          </w:tcPr>
          <w:p w14:paraId="4564F1BE" w14:textId="77777777" w:rsidR="00B86FB3" w:rsidRPr="00FF756A" w:rsidRDefault="00B86FB3" w:rsidP="00B86FB3">
            <w:pPr>
              <w:jc w:val="right"/>
              <w:rPr>
                <w:rFonts w:eastAsia="Times New Roman"/>
                <w:color w:val="000000"/>
                <w:sz w:val="18"/>
                <w:szCs w:val="18"/>
              </w:rPr>
            </w:pPr>
            <w:r w:rsidRPr="00FF756A">
              <w:rPr>
                <w:sz w:val="18"/>
                <w:szCs w:val="18"/>
              </w:rPr>
              <w:t xml:space="preserve"> 520,2 </w:t>
            </w:r>
          </w:p>
        </w:tc>
        <w:tc>
          <w:tcPr>
            <w:tcW w:w="866" w:type="dxa"/>
            <w:tcBorders>
              <w:top w:val="nil"/>
              <w:left w:val="nil"/>
              <w:bottom w:val="single" w:sz="8" w:space="0" w:color="FFFFFF"/>
              <w:right w:val="single" w:sz="8" w:space="0" w:color="FFFFFF"/>
            </w:tcBorders>
            <w:shd w:val="clear" w:color="000000" w:fill="B8CCE4"/>
            <w:noWrap/>
            <w:hideMark/>
          </w:tcPr>
          <w:p w14:paraId="4C9AE987" w14:textId="77777777" w:rsidR="00B86FB3" w:rsidRPr="00FF756A" w:rsidRDefault="00B86FB3" w:rsidP="00B86FB3">
            <w:pPr>
              <w:jc w:val="right"/>
              <w:rPr>
                <w:rFonts w:eastAsia="Times New Roman"/>
                <w:color w:val="000000"/>
                <w:sz w:val="18"/>
                <w:szCs w:val="18"/>
              </w:rPr>
            </w:pPr>
            <w:r w:rsidRPr="00FF756A">
              <w:rPr>
                <w:sz w:val="18"/>
                <w:szCs w:val="18"/>
              </w:rPr>
              <w:t xml:space="preserve"> 524,5 </w:t>
            </w:r>
          </w:p>
        </w:tc>
        <w:tc>
          <w:tcPr>
            <w:tcW w:w="866" w:type="dxa"/>
            <w:tcBorders>
              <w:top w:val="nil"/>
              <w:left w:val="nil"/>
              <w:bottom w:val="single" w:sz="8" w:space="0" w:color="FFFFFF"/>
              <w:right w:val="single" w:sz="8" w:space="0" w:color="FFFFFF"/>
            </w:tcBorders>
            <w:shd w:val="clear" w:color="000000" w:fill="B8CCE4"/>
            <w:noWrap/>
            <w:hideMark/>
          </w:tcPr>
          <w:p w14:paraId="6DFDC245" w14:textId="77777777" w:rsidR="00B86FB3" w:rsidRPr="00FF756A" w:rsidRDefault="00B86FB3" w:rsidP="00B86FB3">
            <w:pPr>
              <w:jc w:val="right"/>
              <w:rPr>
                <w:rFonts w:eastAsia="Times New Roman"/>
                <w:color w:val="000000"/>
                <w:sz w:val="18"/>
                <w:szCs w:val="18"/>
              </w:rPr>
            </w:pPr>
            <w:r w:rsidRPr="00FF756A">
              <w:rPr>
                <w:sz w:val="18"/>
                <w:szCs w:val="18"/>
              </w:rPr>
              <w:t xml:space="preserve"> 512,4 </w:t>
            </w:r>
          </w:p>
        </w:tc>
        <w:tc>
          <w:tcPr>
            <w:tcW w:w="867" w:type="dxa"/>
            <w:tcBorders>
              <w:top w:val="nil"/>
              <w:left w:val="nil"/>
              <w:bottom w:val="single" w:sz="8" w:space="0" w:color="FFFFFF"/>
              <w:right w:val="single" w:sz="8" w:space="0" w:color="FFFFFF"/>
            </w:tcBorders>
            <w:shd w:val="clear" w:color="000000" w:fill="B8CCE4"/>
            <w:noWrap/>
            <w:hideMark/>
          </w:tcPr>
          <w:p w14:paraId="3B12D64A" w14:textId="77777777" w:rsidR="00B86FB3" w:rsidRPr="00FF756A" w:rsidRDefault="00B86FB3" w:rsidP="00B86FB3">
            <w:pPr>
              <w:jc w:val="right"/>
              <w:rPr>
                <w:rFonts w:eastAsia="Times New Roman"/>
                <w:color w:val="000000"/>
                <w:sz w:val="18"/>
                <w:szCs w:val="18"/>
              </w:rPr>
            </w:pPr>
            <w:r w:rsidRPr="00FF756A">
              <w:rPr>
                <w:sz w:val="18"/>
                <w:szCs w:val="18"/>
              </w:rPr>
              <w:t xml:space="preserve"> 504,1 </w:t>
            </w:r>
          </w:p>
        </w:tc>
        <w:tc>
          <w:tcPr>
            <w:tcW w:w="866" w:type="dxa"/>
            <w:tcBorders>
              <w:top w:val="nil"/>
              <w:left w:val="nil"/>
              <w:bottom w:val="single" w:sz="8" w:space="0" w:color="FFFFFF"/>
              <w:right w:val="single" w:sz="8" w:space="0" w:color="FFFFFF"/>
            </w:tcBorders>
            <w:shd w:val="clear" w:color="000000" w:fill="B8CCE4"/>
            <w:noWrap/>
            <w:hideMark/>
          </w:tcPr>
          <w:p w14:paraId="5CB3AD39" w14:textId="77777777" w:rsidR="00B86FB3" w:rsidRPr="00FF756A" w:rsidRDefault="00B86FB3" w:rsidP="00B86FB3">
            <w:pPr>
              <w:jc w:val="right"/>
              <w:rPr>
                <w:rFonts w:eastAsia="Times New Roman"/>
                <w:color w:val="000000"/>
                <w:sz w:val="18"/>
                <w:szCs w:val="18"/>
              </w:rPr>
            </w:pPr>
            <w:r w:rsidRPr="00FF756A">
              <w:rPr>
                <w:sz w:val="18"/>
                <w:szCs w:val="18"/>
              </w:rPr>
              <w:t xml:space="preserve"> 489,2 </w:t>
            </w:r>
          </w:p>
        </w:tc>
        <w:tc>
          <w:tcPr>
            <w:tcW w:w="866" w:type="dxa"/>
            <w:tcBorders>
              <w:top w:val="nil"/>
              <w:left w:val="nil"/>
              <w:bottom w:val="single" w:sz="8" w:space="0" w:color="FFFFFF"/>
              <w:right w:val="single" w:sz="8" w:space="0" w:color="FFFFFF"/>
            </w:tcBorders>
            <w:shd w:val="clear" w:color="auto" w:fill="4472C4" w:themeFill="accent1"/>
            <w:noWrap/>
            <w:hideMark/>
          </w:tcPr>
          <w:p w14:paraId="74094376"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453,4 </w:t>
            </w:r>
          </w:p>
        </w:tc>
        <w:tc>
          <w:tcPr>
            <w:tcW w:w="866" w:type="dxa"/>
            <w:tcBorders>
              <w:top w:val="nil"/>
              <w:left w:val="nil"/>
              <w:bottom w:val="single" w:sz="8" w:space="0" w:color="FFFFFF"/>
              <w:right w:val="single" w:sz="8" w:space="0" w:color="FFFFFF"/>
            </w:tcBorders>
            <w:shd w:val="clear" w:color="000000" w:fill="B8CCE4"/>
            <w:noWrap/>
          </w:tcPr>
          <w:p w14:paraId="226E0B51" w14:textId="77777777" w:rsidR="00B86FB3" w:rsidRPr="00FF756A" w:rsidRDefault="00B86FB3" w:rsidP="00B86FB3">
            <w:pPr>
              <w:jc w:val="right"/>
              <w:rPr>
                <w:rFonts w:eastAsia="Times New Roman"/>
                <w:color w:val="000000"/>
                <w:sz w:val="18"/>
                <w:szCs w:val="18"/>
              </w:rPr>
            </w:pPr>
            <w:r w:rsidRPr="00FF756A">
              <w:rPr>
                <w:sz w:val="18"/>
                <w:szCs w:val="18"/>
              </w:rPr>
              <w:t xml:space="preserve"> 426,0 </w:t>
            </w:r>
          </w:p>
        </w:tc>
        <w:tc>
          <w:tcPr>
            <w:tcW w:w="867" w:type="dxa"/>
            <w:tcBorders>
              <w:top w:val="nil"/>
              <w:left w:val="nil"/>
              <w:bottom w:val="single" w:sz="8" w:space="0" w:color="FFFFFF"/>
              <w:right w:val="single" w:sz="8" w:space="0" w:color="FFFFFF"/>
            </w:tcBorders>
            <w:shd w:val="clear" w:color="000000" w:fill="B8CCE4"/>
            <w:noWrap/>
            <w:hideMark/>
          </w:tcPr>
          <w:p w14:paraId="72B4E93B" w14:textId="77777777" w:rsidR="00B86FB3" w:rsidRPr="00FF756A" w:rsidRDefault="00B86FB3" w:rsidP="00B86FB3">
            <w:pPr>
              <w:jc w:val="right"/>
              <w:rPr>
                <w:rFonts w:eastAsia="Times New Roman"/>
                <w:color w:val="000000"/>
                <w:sz w:val="18"/>
                <w:szCs w:val="18"/>
              </w:rPr>
            </w:pPr>
            <w:r w:rsidRPr="00FF756A">
              <w:rPr>
                <w:sz w:val="18"/>
                <w:szCs w:val="18"/>
              </w:rPr>
              <w:t xml:space="preserve"> 483,4 </w:t>
            </w:r>
          </w:p>
        </w:tc>
      </w:tr>
      <w:tr w:rsidR="00B86FB3" w:rsidRPr="00FF756A" w14:paraId="0E09E699"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250BC20A" w14:textId="77777777" w:rsidR="00B86FB3" w:rsidRPr="00FF756A" w:rsidRDefault="00B86FB3" w:rsidP="00B86FB3">
            <w:pPr>
              <w:rPr>
                <w:rFonts w:eastAsia="Times New Roman"/>
                <w:color w:val="FFFFFF"/>
                <w:sz w:val="18"/>
                <w:szCs w:val="18"/>
              </w:rPr>
            </w:pPr>
            <w:r w:rsidRPr="00FF756A">
              <w:rPr>
                <w:color w:val="FFFFFF"/>
                <w:sz w:val="18"/>
                <w:szCs w:val="18"/>
              </w:rPr>
              <w:t>Shërbimet</w:t>
            </w:r>
          </w:p>
        </w:tc>
        <w:tc>
          <w:tcPr>
            <w:tcW w:w="866" w:type="dxa"/>
            <w:tcBorders>
              <w:top w:val="nil"/>
              <w:left w:val="nil"/>
              <w:bottom w:val="single" w:sz="8" w:space="0" w:color="FFFFFF"/>
              <w:right w:val="single" w:sz="8" w:space="0" w:color="FFFFFF"/>
            </w:tcBorders>
            <w:shd w:val="clear" w:color="000000" w:fill="DBE5F1"/>
            <w:noWrap/>
            <w:hideMark/>
          </w:tcPr>
          <w:p w14:paraId="4F1FB56D" w14:textId="77777777" w:rsidR="00B86FB3" w:rsidRPr="00FF756A" w:rsidRDefault="00B86FB3" w:rsidP="00B86FB3">
            <w:pPr>
              <w:jc w:val="right"/>
              <w:rPr>
                <w:rFonts w:eastAsia="Times New Roman"/>
                <w:color w:val="000000"/>
                <w:sz w:val="18"/>
                <w:szCs w:val="18"/>
              </w:rPr>
            </w:pPr>
            <w:r w:rsidRPr="00FF756A">
              <w:rPr>
                <w:sz w:val="18"/>
                <w:szCs w:val="18"/>
              </w:rPr>
              <w:t xml:space="preserve"> 197,7 </w:t>
            </w:r>
          </w:p>
        </w:tc>
        <w:tc>
          <w:tcPr>
            <w:tcW w:w="866" w:type="dxa"/>
            <w:tcBorders>
              <w:top w:val="nil"/>
              <w:left w:val="nil"/>
              <w:bottom w:val="single" w:sz="8" w:space="0" w:color="FFFFFF"/>
              <w:right w:val="single" w:sz="8" w:space="0" w:color="FFFFFF"/>
            </w:tcBorders>
            <w:shd w:val="clear" w:color="000000" w:fill="DBE5F1"/>
            <w:noWrap/>
            <w:hideMark/>
          </w:tcPr>
          <w:p w14:paraId="0E7FEE7E" w14:textId="77777777" w:rsidR="00B86FB3" w:rsidRPr="00FF756A" w:rsidRDefault="00B86FB3" w:rsidP="00B86FB3">
            <w:pPr>
              <w:jc w:val="right"/>
              <w:rPr>
                <w:rFonts w:eastAsia="Times New Roman"/>
                <w:color w:val="000000"/>
                <w:sz w:val="18"/>
                <w:szCs w:val="18"/>
              </w:rPr>
            </w:pPr>
            <w:r w:rsidRPr="00FF756A">
              <w:rPr>
                <w:sz w:val="18"/>
                <w:szCs w:val="18"/>
              </w:rPr>
              <w:t xml:space="preserve"> 218,8 </w:t>
            </w:r>
          </w:p>
        </w:tc>
        <w:tc>
          <w:tcPr>
            <w:tcW w:w="866" w:type="dxa"/>
            <w:tcBorders>
              <w:top w:val="nil"/>
              <w:left w:val="nil"/>
              <w:bottom w:val="single" w:sz="8" w:space="0" w:color="FFFFFF"/>
              <w:right w:val="single" w:sz="8" w:space="0" w:color="FFFFFF"/>
            </w:tcBorders>
            <w:shd w:val="clear" w:color="000000" w:fill="DBE5F1"/>
            <w:noWrap/>
            <w:hideMark/>
          </w:tcPr>
          <w:p w14:paraId="5CED0DB8" w14:textId="77777777" w:rsidR="00B86FB3" w:rsidRPr="00FF756A" w:rsidRDefault="00B86FB3" w:rsidP="00B86FB3">
            <w:pPr>
              <w:jc w:val="right"/>
              <w:rPr>
                <w:rFonts w:eastAsia="Times New Roman"/>
                <w:color w:val="000000"/>
                <w:sz w:val="18"/>
                <w:szCs w:val="18"/>
              </w:rPr>
            </w:pPr>
            <w:r w:rsidRPr="00FF756A">
              <w:rPr>
                <w:sz w:val="18"/>
                <w:szCs w:val="18"/>
              </w:rPr>
              <w:t xml:space="preserve"> 218,8 </w:t>
            </w:r>
          </w:p>
        </w:tc>
        <w:tc>
          <w:tcPr>
            <w:tcW w:w="867" w:type="dxa"/>
            <w:tcBorders>
              <w:top w:val="nil"/>
              <w:left w:val="nil"/>
              <w:bottom w:val="single" w:sz="8" w:space="0" w:color="FFFFFF"/>
              <w:right w:val="single" w:sz="8" w:space="0" w:color="FFFFFF"/>
            </w:tcBorders>
            <w:shd w:val="clear" w:color="000000" w:fill="DBE5F1"/>
            <w:noWrap/>
            <w:hideMark/>
          </w:tcPr>
          <w:p w14:paraId="0D3443A8" w14:textId="77777777" w:rsidR="00B86FB3" w:rsidRPr="00FF756A" w:rsidRDefault="00B86FB3" w:rsidP="00B86FB3">
            <w:pPr>
              <w:jc w:val="right"/>
              <w:rPr>
                <w:rFonts w:eastAsia="Times New Roman"/>
                <w:color w:val="000000"/>
                <w:sz w:val="18"/>
                <w:szCs w:val="18"/>
              </w:rPr>
            </w:pPr>
            <w:r w:rsidRPr="00FF756A">
              <w:rPr>
                <w:sz w:val="18"/>
                <w:szCs w:val="18"/>
              </w:rPr>
              <w:t xml:space="preserve"> 224,7 </w:t>
            </w:r>
          </w:p>
        </w:tc>
        <w:tc>
          <w:tcPr>
            <w:tcW w:w="866" w:type="dxa"/>
            <w:tcBorders>
              <w:top w:val="nil"/>
              <w:left w:val="nil"/>
              <w:bottom w:val="single" w:sz="8" w:space="0" w:color="FFFFFF"/>
              <w:right w:val="single" w:sz="8" w:space="0" w:color="FFFFFF"/>
            </w:tcBorders>
            <w:shd w:val="clear" w:color="000000" w:fill="DBE5F1"/>
            <w:noWrap/>
            <w:hideMark/>
          </w:tcPr>
          <w:p w14:paraId="29144884" w14:textId="77777777" w:rsidR="00B86FB3" w:rsidRPr="00FF756A" w:rsidRDefault="00B86FB3" w:rsidP="00B86FB3">
            <w:pPr>
              <w:jc w:val="right"/>
              <w:rPr>
                <w:rFonts w:eastAsia="Times New Roman"/>
                <w:color w:val="000000"/>
                <w:sz w:val="18"/>
                <w:szCs w:val="18"/>
              </w:rPr>
            </w:pPr>
            <w:r w:rsidRPr="00FF756A">
              <w:rPr>
                <w:sz w:val="18"/>
                <w:szCs w:val="18"/>
              </w:rPr>
              <w:t xml:space="preserve"> 239,3 </w:t>
            </w:r>
          </w:p>
        </w:tc>
        <w:tc>
          <w:tcPr>
            <w:tcW w:w="866" w:type="dxa"/>
            <w:tcBorders>
              <w:top w:val="nil"/>
              <w:left w:val="nil"/>
              <w:bottom w:val="single" w:sz="8" w:space="0" w:color="FFFFFF"/>
              <w:right w:val="single" w:sz="8" w:space="0" w:color="FFFFFF"/>
            </w:tcBorders>
            <w:shd w:val="clear" w:color="auto" w:fill="4472C4" w:themeFill="accent1"/>
            <w:noWrap/>
            <w:hideMark/>
          </w:tcPr>
          <w:p w14:paraId="0A2ECA8C"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268,4 </w:t>
            </w:r>
          </w:p>
        </w:tc>
        <w:tc>
          <w:tcPr>
            <w:tcW w:w="866" w:type="dxa"/>
            <w:tcBorders>
              <w:top w:val="nil"/>
              <w:left w:val="nil"/>
              <w:bottom w:val="single" w:sz="8" w:space="0" w:color="FFFFFF"/>
              <w:right w:val="single" w:sz="8" w:space="0" w:color="FFFFFF"/>
            </w:tcBorders>
            <w:shd w:val="clear" w:color="000000" w:fill="DBE5F1"/>
            <w:noWrap/>
          </w:tcPr>
          <w:p w14:paraId="401D0120" w14:textId="77777777" w:rsidR="00B86FB3" w:rsidRPr="00FF756A" w:rsidRDefault="00B86FB3" w:rsidP="00B86FB3">
            <w:pPr>
              <w:jc w:val="right"/>
              <w:rPr>
                <w:rFonts w:eastAsia="Times New Roman"/>
                <w:color w:val="000000"/>
                <w:sz w:val="18"/>
                <w:szCs w:val="18"/>
              </w:rPr>
            </w:pPr>
            <w:r w:rsidRPr="00FF756A">
              <w:rPr>
                <w:sz w:val="18"/>
                <w:szCs w:val="18"/>
              </w:rPr>
              <w:t xml:space="preserve"> 313,0 </w:t>
            </w:r>
          </w:p>
        </w:tc>
        <w:tc>
          <w:tcPr>
            <w:tcW w:w="867" w:type="dxa"/>
            <w:tcBorders>
              <w:top w:val="nil"/>
              <w:left w:val="nil"/>
              <w:bottom w:val="single" w:sz="8" w:space="0" w:color="FFFFFF"/>
              <w:right w:val="single" w:sz="8" w:space="0" w:color="FFFFFF"/>
            </w:tcBorders>
            <w:shd w:val="clear" w:color="000000" w:fill="DBE5F1"/>
            <w:noWrap/>
            <w:hideMark/>
          </w:tcPr>
          <w:p w14:paraId="33C0FF2B" w14:textId="77777777" w:rsidR="00B86FB3" w:rsidRPr="00FF756A" w:rsidRDefault="00B86FB3" w:rsidP="00B86FB3">
            <w:pPr>
              <w:jc w:val="right"/>
              <w:rPr>
                <w:rFonts w:eastAsia="Times New Roman"/>
                <w:color w:val="000000"/>
                <w:sz w:val="18"/>
                <w:szCs w:val="18"/>
              </w:rPr>
            </w:pPr>
            <w:r w:rsidRPr="00FF756A">
              <w:rPr>
                <w:sz w:val="18"/>
                <w:szCs w:val="18"/>
              </w:rPr>
              <w:t xml:space="preserve"> 353,1 </w:t>
            </w:r>
          </w:p>
        </w:tc>
      </w:tr>
      <w:tr w:rsidR="00B86FB3" w:rsidRPr="00FF756A" w14:paraId="71FDC129"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2CE0241F" w14:textId="77777777" w:rsidR="00B86FB3" w:rsidRPr="00FF756A" w:rsidRDefault="00B86FB3" w:rsidP="00B86FB3">
            <w:pPr>
              <w:rPr>
                <w:rFonts w:eastAsia="Times New Roman"/>
                <w:color w:val="FFFFFF"/>
                <w:sz w:val="18"/>
                <w:szCs w:val="18"/>
              </w:rPr>
            </w:pPr>
            <w:r w:rsidRPr="00FF756A">
              <w:rPr>
                <w:color w:val="FFFFFF"/>
                <w:sz w:val="18"/>
                <w:szCs w:val="18"/>
              </w:rPr>
              <w:t>Industria</w:t>
            </w:r>
          </w:p>
        </w:tc>
        <w:tc>
          <w:tcPr>
            <w:tcW w:w="866" w:type="dxa"/>
            <w:tcBorders>
              <w:top w:val="nil"/>
              <w:left w:val="nil"/>
              <w:bottom w:val="single" w:sz="8" w:space="0" w:color="FFFFFF"/>
              <w:right w:val="single" w:sz="8" w:space="0" w:color="FFFFFF"/>
            </w:tcBorders>
            <w:shd w:val="clear" w:color="000000" w:fill="B8CCE4"/>
            <w:noWrap/>
            <w:hideMark/>
          </w:tcPr>
          <w:p w14:paraId="2DD67701" w14:textId="77777777" w:rsidR="00B86FB3" w:rsidRPr="00FF756A" w:rsidRDefault="00B86FB3" w:rsidP="00B86FB3">
            <w:pPr>
              <w:jc w:val="right"/>
              <w:rPr>
                <w:rFonts w:eastAsia="Times New Roman"/>
                <w:color w:val="000000"/>
                <w:sz w:val="18"/>
                <w:szCs w:val="18"/>
              </w:rPr>
            </w:pPr>
            <w:r w:rsidRPr="00FF756A">
              <w:rPr>
                <w:sz w:val="18"/>
                <w:szCs w:val="18"/>
              </w:rPr>
              <w:t xml:space="preserve"> 370,6 </w:t>
            </w:r>
          </w:p>
        </w:tc>
        <w:tc>
          <w:tcPr>
            <w:tcW w:w="866" w:type="dxa"/>
            <w:tcBorders>
              <w:top w:val="nil"/>
              <w:left w:val="nil"/>
              <w:bottom w:val="single" w:sz="8" w:space="0" w:color="FFFFFF"/>
              <w:right w:val="single" w:sz="8" w:space="0" w:color="FFFFFF"/>
            </w:tcBorders>
            <w:shd w:val="clear" w:color="000000" w:fill="B8CCE4"/>
            <w:noWrap/>
            <w:hideMark/>
          </w:tcPr>
          <w:p w14:paraId="17A02E9E" w14:textId="77777777" w:rsidR="00B86FB3" w:rsidRPr="00FF756A" w:rsidRDefault="00B86FB3" w:rsidP="00B86FB3">
            <w:pPr>
              <w:jc w:val="right"/>
              <w:rPr>
                <w:rFonts w:eastAsia="Times New Roman"/>
                <w:color w:val="000000"/>
                <w:sz w:val="18"/>
                <w:szCs w:val="18"/>
              </w:rPr>
            </w:pPr>
            <w:r w:rsidRPr="00FF756A">
              <w:rPr>
                <w:sz w:val="18"/>
                <w:szCs w:val="18"/>
              </w:rPr>
              <w:t xml:space="preserve"> 437,2 </w:t>
            </w:r>
          </w:p>
        </w:tc>
        <w:tc>
          <w:tcPr>
            <w:tcW w:w="866" w:type="dxa"/>
            <w:tcBorders>
              <w:top w:val="nil"/>
              <w:left w:val="nil"/>
              <w:bottom w:val="single" w:sz="8" w:space="0" w:color="FFFFFF"/>
              <w:right w:val="single" w:sz="8" w:space="0" w:color="FFFFFF"/>
            </w:tcBorders>
            <w:shd w:val="clear" w:color="000000" w:fill="B8CCE4"/>
            <w:noWrap/>
            <w:hideMark/>
          </w:tcPr>
          <w:p w14:paraId="77292149" w14:textId="77777777" w:rsidR="00B86FB3" w:rsidRPr="00FF756A" w:rsidRDefault="00B86FB3" w:rsidP="00B86FB3">
            <w:pPr>
              <w:jc w:val="right"/>
              <w:rPr>
                <w:rFonts w:eastAsia="Times New Roman"/>
                <w:color w:val="000000"/>
                <w:sz w:val="18"/>
                <w:szCs w:val="18"/>
              </w:rPr>
            </w:pPr>
            <w:r w:rsidRPr="00FF756A">
              <w:rPr>
                <w:sz w:val="18"/>
                <w:szCs w:val="18"/>
              </w:rPr>
              <w:t xml:space="preserve"> 433,0 </w:t>
            </w:r>
          </w:p>
        </w:tc>
        <w:tc>
          <w:tcPr>
            <w:tcW w:w="867" w:type="dxa"/>
            <w:tcBorders>
              <w:top w:val="nil"/>
              <w:left w:val="nil"/>
              <w:bottom w:val="single" w:sz="8" w:space="0" w:color="FFFFFF"/>
              <w:right w:val="single" w:sz="8" w:space="0" w:color="FFFFFF"/>
            </w:tcBorders>
            <w:shd w:val="clear" w:color="000000" w:fill="B8CCE4"/>
            <w:noWrap/>
            <w:hideMark/>
          </w:tcPr>
          <w:p w14:paraId="7FEEEF11" w14:textId="77777777" w:rsidR="00B86FB3" w:rsidRPr="00FF756A" w:rsidRDefault="00B86FB3" w:rsidP="00B86FB3">
            <w:pPr>
              <w:jc w:val="right"/>
              <w:rPr>
                <w:rFonts w:eastAsia="Times New Roman"/>
                <w:color w:val="000000"/>
                <w:sz w:val="18"/>
                <w:szCs w:val="18"/>
              </w:rPr>
            </w:pPr>
            <w:r w:rsidRPr="00FF756A">
              <w:rPr>
                <w:sz w:val="18"/>
                <w:szCs w:val="18"/>
              </w:rPr>
              <w:t xml:space="preserve"> 445,6 </w:t>
            </w:r>
          </w:p>
        </w:tc>
        <w:tc>
          <w:tcPr>
            <w:tcW w:w="866" w:type="dxa"/>
            <w:tcBorders>
              <w:top w:val="nil"/>
              <w:left w:val="nil"/>
              <w:bottom w:val="single" w:sz="8" w:space="0" w:color="FFFFFF"/>
              <w:right w:val="single" w:sz="8" w:space="0" w:color="FFFFFF"/>
            </w:tcBorders>
            <w:shd w:val="clear" w:color="000000" w:fill="B8CCE4"/>
            <w:noWrap/>
            <w:hideMark/>
          </w:tcPr>
          <w:p w14:paraId="0C5661A1" w14:textId="77777777" w:rsidR="00B86FB3" w:rsidRPr="00FF756A" w:rsidRDefault="00B86FB3" w:rsidP="00B86FB3">
            <w:pPr>
              <w:jc w:val="right"/>
              <w:rPr>
                <w:rFonts w:eastAsia="Times New Roman"/>
                <w:color w:val="000000"/>
                <w:sz w:val="18"/>
                <w:szCs w:val="18"/>
              </w:rPr>
            </w:pPr>
            <w:r w:rsidRPr="00FF756A">
              <w:rPr>
                <w:sz w:val="18"/>
                <w:szCs w:val="18"/>
              </w:rPr>
              <w:t xml:space="preserve"> 471,1 </w:t>
            </w:r>
          </w:p>
        </w:tc>
        <w:tc>
          <w:tcPr>
            <w:tcW w:w="866" w:type="dxa"/>
            <w:tcBorders>
              <w:top w:val="nil"/>
              <w:left w:val="nil"/>
              <w:bottom w:val="single" w:sz="8" w:space="0" w:color="FFFFFF"/>
              <w:right w:val="single" w:sz="8" w:space="0" w:color="FFFFFF"/>
            </w:tcBorders>
            <w:shd w:val="clear" w:color="auto" w:fill="4472C4" w:themeFill="accent1"/>
            <w:noWrap/>
            <w:hideMark/>
          </w:tcPr>
          <w:p w14:paraId="68EC1A1A"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540,7 </w:t>
            </w:r>
          </w:p>
        </w:tc>
        <w:tc>
          <w:tcPr>
            <w:tcW w:w="866" w:type="dxa"/>
            <w:tcBorders>
              <w:top w:val="nil"/>
              <w:left w:val="nil"/>
              <w:bottom w:val="single" w:sz="8" w:space="0" w:color="FFFFFF"/>
              <w:right w:val="single" w:sz="8" w:space="0" w:color="FFFFFF"/>
            </w:tcBorders>
            <w:shd w:val="clear" w:color="000000" w:fill="B8CCE4"/>
            <w:noWrap/>
          </w:tcPr>
          <w:p w14:paraId="44B255A0" w14:textId="77777777" w:rsidR="00B86FB3" w:rsidRPr="00FF756A" w:rsidRDefault="00B86FB3" w:rsidP="00B86FB3">
            <w:pPr>
              <w:jc w:val="right"/>
              <w:rPr>
                <w:rFonts w:eastAsia="Times New Roman"/>
                <w:color w:val="000000"/>
                <w:sz w:val="18"/>
                <w:szCs w:val="18"/>
              </w:rPr>
            </w:pPr>
            <w:r w:rsidRPr="00FF756A">
              <w:rPr>
                <w:sz w:val="18"/>
                <w:szCs w:val="18"/>
              </w:rPr>
              <w:t xml:space="preserve"> 713,1 </w:t>
            </w:r>
          </w:p>
        </w:tc>
        <w:tc>
          <w:tcPr>
            <w:tcW w:w="867" w:type="dxa"/>
            <w:tcBorders>
              <w:top w:val="nil"/>
              <w:left w:val="nil"/>
              <w:bottom w:val="single" w:sz="8" w:space="0" w:color="FFFFFF"/>
              <w:right w:val="single" w:sz="8" w:space="0" w:color="FFFFFF"/>
            </w:tcBorders>
            <w:shd w:val="clear" w:color="000000" w:fill="B8CCE4"/>
            <w:noWrap/>
            <w:hideMark/>
          </w:tcPr>
          <w:p w14:paraId="088BB079" w14:textId="77777777" w:rsidR="00B86FB3" w:rsidRPr="00FF756A" w:rsidRDefault="00B86FB3" w:rsidP="00B86FB3">
            <w:pPr>
              <w:jc w:val="right"/>
              <w:rPr>
                <w:rFonts w:eastAsia="Times New Roman"/>
                <w:color w:val="000000"/>
                <w:sz w:val="18"/>
                <w:szCs w:val="18"/>
              </w:rPr>
            </w:pPr>
            <w:r w:rsidRPr="00FF756A">
              <w:rPr>
                <w:sz w:val="18"/>
                <w:szCs w:val="18"/>
              </w:rPr>
              <w:t xml:space="preserve"> 956,1 </w:t>
            </w:r>
          </w:p>
        </w:tc>
      </w:tr>
      <w:tr w:rsidR="00B86FB3" w:rsidRPr="00FF756A" w14:paraId="70F7B6CF"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2EE82C5E" w14:textId="77777777" w:rsidR="00B86FB3" w:rsidRPr="00FF756A" w:rsidRDefault="00B86FB3" w:rsidP="00B86FB3">
            <w:pPr>
              <w:rPr>
                <w:rFonts w:eastAsia="Times New Roman"/>
                <w:color w:val="FFFFFF"/>
                <w:sz w:val="18"/>
                <w:szCs w:val="18"/>
              </w:rPr>
            </w:pPr>
            <w:r w:rsidRPr="00FF756A">
              <w:rPr>
                <w:color w:val="FFFFFF"/>
                <w:sz w:val="18"/>
                <w:szCs w:val="18"/>
              </w:rPr>
              <w:t>Transporti</w:t>
            </w:r>
          </w:p>
        </w:tc>
        <w:tc>
          <w:tcPr>
            <w:tcW w:w="866" w:type="dxa"/>
            <w:tcBorders>
              <w:top w:val="nil"/>
              <w:left w:val="nil"/>
              <w:bottom w:val="single" w:sz="8" w:space="0" w:color="FFFFFF"/>
              <w:right w:val="single" w:sz="8" w:space="0" w:color="FFFFFF"/>
            </w:tcBorders>
            <w:shd w:val="clear" w:color="000000" w:fill="DBE5F1"/>
            <w:noWrap/>
            <w:hideMark/>
          </w:tcPr>
          <w:p w14:paraId="1BFAF056" w14:textId="77777777" w:rsidR="00B86FB3" w:rsidRPr="00FF756A" w:rsidRDefault="00B86FB3" w:rsidP="00B86FB3">
            <w:pPr>
              <w:jc w:val="right"/>
              <w:rPr>
                <w:rFonts w:eastAsia="Times New Roman"/>
                <w:color w:val="000000"/>
                <w:sz w:val="18"/>
                <w:szCs w:val="18"/>
              </w:rPr>
            </w:pPr>
            <w:r w:rsidRPr="00FF756A">
              <w:rPr>
                <w:sz w:val="18"/>
                <w:szCs w:val="18"/>
              </w:rPr>
              <w:t xml:space="preserve"> 653,8 </w:t>
            </w:r>
          </w:p>
        </w:tc>
        <w:tc>
          <w:tcPr>
            <w:tcW w:w="866" w:type="dxa"/>
            <w:tcBorders>
              <w:top w:val="nil"/>
              <w:left w:val="nil"/>
              <w:bottom w:val="single" w:sz="8" w:space="0" w:color="FFFFFF"/>
              <w:right w:val="single" w:sz="8" w:space="0" w:color="FFFFFF"/>
            </w:tcBorders>
            <w:shd w:val="clear" w:color="000000" w:fill="DBE5F1"/>
            <w:noWrap/>
            <w:hideMark/>
          </w:tcPr>
          <w:p w14:paraId="04E2D316" w14:textId="77777777" w:rsidR="00B86FB3" w:rsidRPr="00FF756A" w:rsidRDefault="00B86FB3" w:rsidP="00B86FB3">
            <w:pPr>
              <w:jc w:val="right"/>
              <w:rPr>
                <w:rFonts w:eastAsia="Times New Roman"/>
                <w:color w:val="000000"/>
                <w:sz w:val="18"/>
                <w:szCs w:val="18"/>
              </w:rPr>
            </w:pPr>
            <w:r w:rsidRPr="00FF756A">
              <w:rPr>
                <w:sz w:val="18"/>
                <w:szCs w:val="18"/>
              </w:rPr>
              <w:t xml:space="preserve"> 694,3 </w:t>
            </w:r>
          </w:p>
        </w:tc>
        <w:tc>
          <w:tcPr>
            <w:tcW w:w="866" w:type="dxa"/>
            <w:tcBorders>
              <w:top w:val="nil"/>
              <w:left w:val="nil"/>
              <w:bottom w:val="single" w:sz="8" w:space="0" w:color="FFFFFF"/>
              <w:right w:val="single" w:sz="8" w:space="0" w:color="FFFFFF"/>
            </w:tcBorders>
            <w:shd w:val="clear" w:color="000000" w:fill="DBE5F1"/>
            <w:noWrap/>
            <w:hideMark/>
          </w:tcPr>
          <w:p w14:paraId="0CC89D2E" w14:textId="77777777" w:rsidR="00B86FB3" w:rsidRPr="00FF756A" w:rsidRDefault="00B86FB3" w:rsidP="00B86FB3">
            <w:pPr>
              <w:jc w:val="right"/>
              <w:rPr>
                <w:rFonts w:eastAsia="Times New Roman"/>
                <w:color w:val="000000"/>
                <w:sz w:val="18"/>
                <w:szCs w:val="18"/>
              </w:rPr>
            </w:pPr>
            <w:r w:rsidRPr="00FF756A">
              <w:rPr>
                <w:sz w:val="18"/>
                <w:szCs w:val="18"/>
              </w:rPr>
              <w:t xml:space="preserve"> 721,9 </w:t>
            </w:r>
          </w:p>
        </w:tc>
        <w:tc>
          <w:tcPr>
            <w:tcW w:w="867" w:type="dxa"/>
            <w:tcBorders>
              <w:top w:val="nil"/>
              <w:left w:val="nil"/>
              <w:bottom w:val="single" w:sz="8" w:space="0" w:color="FFFFFF"/>
              <w:right w:val="single" w:sz="8" w:space="0" w:color="FFFFFF"/>
            </w:tcBorders>
            <w:shd w:val="clear" w:color="000000" w:fill="DBE5F1"/>
            <w:noWrap/>
            <w:hideMark/>
          </w:tcPr>
          <w:p w14:paraId="0742AB4E" w14:textId="77777777" w:rsidR="00B86FB3" w:rsidRPr="00FF756A" w:rsidRDefault="00B86FB3" w:rsidP="00B86FB3">
            <w:pPr>
              <w:jc w:val="right"/>
              <w:rPr>
                <w:rFonts w:eastAsia="Times New Roman"/>
                <w:color w:val="000000"/>
                <w:sz w:val="18"/>
                <w:szCs w:val="18"/>
              </w:rPr>
            </w:pPr>
            <w:r w:rsidRPr="00FF756A">
              <w:rPr>
                <w:sz w:val="18"/>
                <w:szCs w:val="18"/>
              </w:rPr>
              <w:t xml:space="preserve"> 706,9 </w:t>
            </w:r>
          </w:p>
        </w:tc>
        <w:tc>
          <w:tcPr>
            <w:tcW w:w="866" w:type="dxa"/>
            <w:tcBorders>
              <w:top w:val="nil"/>
              <w:left w:val="nil"/>
              <w:bottom w:val="single" w:sz="8" w:space="0" w:color="FFFFFF"/>
              <w:right w:val="single" w:sz="8" w:space="0" w:color="FFFFFF"/>
            </w:tcBorders>
            <w:shd w:val="clear" w:color="000000" w:fill="DBE5F1"/>
            <w:noWrap/>
            <w:hideMark/>
          </w:tcPr>
          <w:p w14:paraId="23B28EA7" w14:textId="77777777" w:rsidR="00B86FB3" w:rsidRPr="00FF756A" w:rsidRDefault="00B86FB3" w:rsidP="00B86FB3">
            <w:pPr>
              <w:jc w:val="right"/>
              <w:rPr>
                <w:rFonts w:eastAsia="Times New Roman"/>
                <w:color w:val="000000"/>
                <w:sz w:val="18"/>
                <w:szCs w:val="18"/>
              </w:rPr>
            </w:pPr>
            <w:r w:rsidRPr="00FF756A">
              <w:rPr>
                <w:sz w:val="18"/>
                <w:szCs w:val="18"/>
              </w:rPr>
              <w:t xml:space="preserve"> 716,4 </w:t>
            </w:r>
          </w:p>
        </w:tc>
        <w:tc>
          <w:tcPr>
            <w:tcW w:w="866" w:type="dxa"/>
            <w:tcBorders>
              <w:top w:val="nil"/>
              <w:left w:val="nil"/>
              <w:bottom w:val="single" w:sz="8" w:space="0" w:color="FFFFFF"/>
              <w:right w:val="single" w:sz="8" w:space="0" w:color="FFFFFF"/>
            </w:tcBorders>
            <w:shd w:val="clear" w:color="auto" w:fill="4472C4" w:themeFill="accent1"/>
            <w:noWrap/>
            <w:hideMark/>
          </w:tcPr>
          <w:p w14:paraId="141762CE"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769,7 </w:t>
            </w:r>
          </w:p>
        </w:tc>
        <w:tc>
          <w:tcPr>
            <w:tcW w:w="866" w:type="dxa"/>
            <w:tcBorders>
              <w:top w:val="nil"/>
              <w:left w:val="nil"/>
              <w:bottom w:val="single" w:sz="8" w:space="0" w:color="FFFFFF"/>
              <w:right w:val="single" w:sz="8" w:space="0" w:color="FFFFFF"/>
            </w:tcBorders>
            <w:shd w:val="clear" w:color="000000" w:fill="DBE5F1"/>
            <w:noWrap/>
          </w:tcPr>
          <w:p w14:paraId="60362CE9" w14:textId="77777777" w:rsidR="00B86FB3" w:rsidRPr="00FF756A" w:rsidRDefault="00B86FB3" w:rsidP="00B86FB3">
            <w:pPr>
              <w:jc w:val="right"/>
              <w:rPr>
                <w:rFonts w:eastAsia="Times New Roman"/>
                <w:color w:val="000000"/>
                <w:sz w:val="18"/>
                <w:szCs w:val="18"/>
              </w:rPr>
            </w:pPr>
            <w:r w:rsidRPr="00FF756A">
              <w:rPr>
                <w:sz w:val="18"/>
                <w:szCs w:val="18"/>
              </w:rPr>
              <w:t xml:space="preserve"> 768,2 </w:t>
            </w:r>
          </w:p>
        </w:tc>
        <w:tc>
          <w:tcPr>
            <w:tcW w:w="867" w:type="dxa"/>
            <w:tcBorders>
              <w:top w:val="nil"/>
              <w:left w:val="nil"/>
              <w:bottom w:val="single" w:sz="8" w:space="0" w:color="FFFFFF"/>
              <w:right w:val="single" w:sz="8" w:space="0" w:color="FFFFFF"/>
            </w:tcBorders>
            <w:shd w:val="clear" w:color="000000" w:fill="DBE5F1"/>
            <w:noWrap/>
            <w:hideMark/>
          </w:tcPr>
          <w:p w14:paraId="1965C9B4" w14:textId="77777777" w:rsidR="00B86FB3" w:rsidRPr="00FF756A" w:rsidRDefault="00B86FB3" w:rsidP="00B86FB3">
            <w:pPr>
              <w:jc w:val="right"/>
              <w:rPr>
                <w:rFonts w:eastAsia="Times New Roman"/>
                <w:color w:val="000000"/>
                <w:sz w:val="18"/>
                <w:szCs w:val="18"/>
              </w:rPr>
            </w:pPr>
            <w:r w:rsidRPr="00FF756A">
              <w:rPr>
                <w:sz w:val="18"/>
                <w:szCs w:val="18"/>
              </w:rPr>
              <w:t xml:space="preserve"> 670,0 </w:t>
            </w:r>
          </w:p>
        </w:tc>
      </w:tr>
      <w:tr w:rsidR="00B86FB3" w:rsidRPr="00FF756A" w14:paraId="3B45D277"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6A2D1AC8" w14:textId="77777777" w:rsidR="00B86FB3" w:rsidRPr="00FF756A" w:rsidRDefault="00B86FB3" w:rsidP="00B86FB3">
            <w:pPr>
              <w:rPr>
                <w:rFonts w:eastAsia="Times New Roman"/>
                <w:color w:val="FFFFFF"/>
                <w:sz w:val="18"/>
                <w:szCs w:val="18"/>
              </w:rPr>
            </w:pPr>
            <w:r w:rsidRPr="00FF756A">
              <w:rPr>
                <w:color w:val="FFFFFF"/>
                <w:sz w:val="18"/>
                <w:szCs w:val="18"/>
              </w:rPr>
              <w:t>Bujqësia Pylltaria</w:t>
            </w:r>
          </w:p>
        </w:tc>
        <w:tc>
          <w:tcPr>
            <w:tcW w:w="866" w:type="dxa"/>
            <w:tcBorders>
              <w:top w:val="nil"/>
              <w:left w:val="nil"/>
              <w:bottom w:val="single" w:sz="8" w:space="0" w:color="FFFFFF"/>
              <w:right w:val="single" w:sz="8" w:space="0" w:color="FFFFFF"/>
            </w:tcBorders>
            <w:shd w:val="clear" w:color="000000" w:fill="B8CCE4"/>
            <w:noWrap/>
            <w:hideMark/>
          </w:tcPr>
          <w:p w14:paraId="5F6966F6" w14:textId="77777777" w:rsidR="00B86FB3" w:rsidRPr="00FF756A" w:rsidRDefault="00B86FB3" w:rsidP="00B86FB3">
            <w:pPr>
              <w:jc w:val="right"/>
              <w:rPr>
                <w:rFonts w:eastAsia="Times New Roman"/>
                <w:color w:val="000000"/>
                <w:sz w:val="18"/>
                <w:szCs w:val="18"/>
              </w:rPr>
            </w:pPr>
            <w:r w:rsidRPr="00FF756A">
              <w:rPr>
                <w:sz w:val="18"/>
                <w:szCs w:val="18"/>
              </w:rPr>
              <w:t xml:space="preserve"> 76,8 </w:t>
            </w:r>
          </w:p>
        </w:tc>
        <w:tc>
          <w:tcPr>
            <w:tcW w:w="866" w:type="dxa"/>
            <w:tcBorders>
              <w:top w:val="nil"/>
              <w:left w:val="nil"/>
              <w:bottom w:val="single" w:sz="8" w:space="0" w:color="FFFFFF"/>
              <w:right w:val="single" w:sz="8" w:space="0" w:color="FFFFFF"/>
            </w:tcBorders>
            <w:shd w:val="clear" w:color="000000" w:fill="B8CCE4"/>
            <w:noWrap/>
            <w:hideMark/>
          </w:tcPr>
          <w:p w14:paraId="699FD251" w14:textId="77777777" w:rsidR="00B86FB3" w:rsidRPr="00FF756A" w:rsidRDefault="00B86FB3" w:rsidP="00B86FB3">
            <w:pPr>
              <w:jc w:val="right"/>
              <w:rPr>
                <w:rFonts w:eastAsia="Times New Roman"/>
                <w:color w:val="000000"/>
                <w:sz w:val="18"/>
                <w:szCs w:val="18"/>
              </w:rPr>
            </w:pPr>
            <w:r w:rsidRPr="00FF756A">
              <w:rPr>
                <w:sz w:val="18"/>
                <w:szCs w:val="18"/>
              </w:rPr>
              <w:t xml:space="preserve"> 79,5 </w:t>
            </w:r>
          </w:p>
        </w:tc>
        <w:tc>
          <w:tcPr>
            <w:tcW w:w="866" w:type="dxa"/>
            <w:tcBorders>
              <w:top w:val="nil"/>
              <w:left w:val="nil"/>
              <w:bottom w:val="single" w:sz="8" w:space="0" w:color="FFFFFF"/>
              <w:right w:val="single" w:sz="8" w:space="0" w:color="FFFFFF"/>
            </w:tcBorders>
            <w:shd w:val="clear" w:color="000000" w:fill="B8CCE4"/>
            <w:noWrap/>
            <w:hideMark/>
          </w:tcPr>
          <w:p w14:paraId="33545D4B" w14:textId="77777777" w:rsidR="00B86FB3" w:rsidRPr="00FF756A" w:rsidRDefault="00B86FB3" w:rsidP="00B86FB3">
            <w:pPr>
              <w:jc w:val="right"/>
              <w:rPr>
                <w:rFonts w:eastAsia="Times New Roman"/>
                <w:color w:val="000000"/>
                <w:sz w:val="18"/>
                <w:szCs w:val="18"/>
              </w:rPr>
            </w:pPr>
            <w:r w:rsidRPr="00FF756A">
              <w:rPr>
                <w:sz w:val="18"/>
                <w:szCs w:val="18"/>
              </w:rPr>
              <w:t xml:space="preserve"> 79,5 </w:t>
            </w:r>
          </w:p>
        </w:tc>
        <w:tc>
          <w:tcPr>
            <w:tcW w:w="867" w:type="dxa"/>
            <w:tcBorders>
              <w:top w:val="nil"/>
              <w:left w:val="nil"/>
              <w:bottom w:val="single" w:sz="8" w:space="0" w:color="FFFFFF"/>
              <w:right w:val="single" w:sz="8" w:space="0" w:color="FFFFFF"/>
            </w:tcBorders>
            <w:shd w:val="clear" w:color="000000" w:fill="B8CCE4"/>
            <w:noWrap/>
            <w:hideMark/>
          </w:tcPr>
          <w:p w14:paraId="468BE75A" w14:textId="77777777" w:rsidR="00B86FB3" w:rsidRPr="00FF756A" w:rsidRDefault="00B86FB3" w:rsidP="00B86FB3">
            <w:pPr>
              <w:jc w:val="right"/>
              <w:rPr>
                <w:rFonts w:eastAsia="Times New Roman"/>
                <w:color w:val="000000"/>
                <w:sz w:val="18"/>
                <w:szCs w:val="18"/>
              </w:rPr>
            </w:pPr>
            <w:r w:rsidRPr="00FF756A">
              <w:rPr>
                <w:sz w:val="18"/>
                <w:szCs w:val="18"/>
              </w:rPr>
              <w:t xml:space="preserve"> 81,5 </w:t>
            </w:r>
          </w:p>
        </w:tc>
        <w:tc>
          <w:tcPr>
            <w:tcW w:w="866" w:type="dxa"/>
            <w:tcBorders>
              <w:top w:val="nil"/>
              <w:left w:val="nil"/>
              <w:bottom w:val="single" w:sz="8" w:space="0" w:color="FFFFFF"/>
              <w:right w:val="single" w:sz="8" w:space="0" w:color="FFFFFF"/>
            </w:tcBorders>
            <w:shd w:val="clear" w:color="000000" w:fill="B8CCE4"/>
            <w:noWrap/>
            <w:hideMark/>
          </w:tcPr>
          <w:p w14:paraId="00375120" w14:textId="77777777" w:rsidR="00B86FB3" w:rsidRPr="00FF756A" w:rsidRDefault="00B86FB3" w:rsidP="00B86FB3">
            <w:pPr>
              <w:jc w:val="right"/>
              <w:rPr>
                <w:rFonts w:eastAsia="Times New Roman"/>
                <w:color w:val="000000"/>
                <w:sz w:val="18"/>
                <w:szCs w:val="18"/>
              </w:rPr>
            </w:pPr>
            <w:r w:rsidRPr="00FF756A">
              <w:rPr>
                <w:sz w:val="18"/>
                <w:szCs w:val="18"/>
              </w:rPr>
              <w:t xml:space="preserve"> 85,5 </w:t>
            </w:r>
          </w:p>
        </w:tc>
        <w:tc>
          <w:tcPr>
            <w:tcW w:w="866" w:type="dxa"/>
            <w:tcBorders>
              <w:top w:val="nil"/>
              <w:left w:val="nil"/>
              <w:bottom w:val="single" w:sz="8" w:space="0" w:color="FFFFFF"/>
              <w:right w:val="single" w:sz="8" w:space="0" w:color="FFFFFF"/>
            </w:tcBorders>
            <w:shd w:val="clear" w:color="auto" w:fill="4472C4" w:themeFill="accent1"/>
            <w:noWrap/>
            <w:hideMark/>
          </w:tcPr>
          <w:p w14:paraId="652FDB8A"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96,7 </w:t>
            </w:r>
          </w:p>
        </w:tc>
        <w:tc>
          <w:tcPr>
            <w:tcW w:w="866" w:type="dxa"/>
            <w:tcBorders>
              <w:top w:val="nil"/>
              <w:left w:val="nil"/>
              <w:bottom w:val="single" w:sz="8" w:space="0" w:color="FFFFFF"/>
              <w:right w:val="single" w:sz="8" w:space="0" w:color="FFFFFF"/>
            </w:tcBorders>
            <w:shd w:val="clear" w:color="000000" w:fill="B8CCE4"/>
            <w:noWrap/>
          </w:tcPr>
          <w:p w14:paraId="78062FB2" w14:textId="77777777" w:rsidR="00B86FB3" w:rsidRPr="00FF756A" w:rsidRDefault="00B86FB3" w:rsidP="00B86FB3">
            <w:pPr>
              <w:jc w:val="right"/>
              <w:rPr>
                <w:rFonts w:eastAsia="Times New Roman"/>
                <w:color w:val="000000"/>
                <w:sz w:val="18"/>
                <w:szCs w:val="18"/>
              </w:rPr>
            </w:pPr>
            <w:r w:rsidRPr="00FF756A">
              <w:rPr>
                <w:sz w:val="18"/>
                <w:szCs w:val="18"/>
              </w:rPr>
              <w:t xml:space="preserve"> 111,1 </w:t>
            </w:r>
          </w:p>
        </w:tc>
        <w:tc>
          <w:tcPr>
            <w:tcW w:w="867" w:type="dxa"/>
            <w:tcBorders>
              <w:top w:val="nil"/>
              <w:left w:val="nil"/>
              <w:bottom w:val="single" w:sz="8" w:space="0" w:color="FFFFFF"/>
              <w:right w:val="single" w:sz="8" w:space="0" w:color="FFFFFF"/>
            </w:tcBorders>
            <w:shd w:val="clear" w:color="000000" w:fill="B8CCE4"/>
            <w:noWrap/>
            <w:hideMark/>
          </w:tcPr>
          <w:p w14:paraId="2060C3D7" w14:textId="77777777" w:rsidR="00B86FB3" w:rsidRPr="00FF756A" w:rsidRDefault="00B86FB3" w:rsidP="00B86FB3">
            <w:pPr>
              <w:jc w:val="right"/>
              <w:rPr>
                <w:rFonts w:eastAsia="Times New Roman"/>
                <w:color w:val="000000"/>
                <w:sz w:val="18"/>
                <w:szCs w:val="18"/>
              </w:rPr>
            </w:pPr>
            <w:r w:rsidRPr="00FF756A">
              <w:rPr>
                <w:sz w:val="18"/>
                <w:szCs w:val="18"/>
              </w:rPr>
              <w:t xml:space="preserve"> 104,6 </w:t>
            </w:r>
          </w:p>
        </w:tc>
      </w:tr>
      <w:tr w:rsidR="00B86FB3" w:rsidRPr="00FF756A" w14:paraId="755815E2"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00A80463" w14:textId="77777777" w:rsidR="00B86FB3" w:rsidRPr="00FF756A" w:rsidRDefault="00B86FB3" w:rsidP="00B86FB3">
            <w:pPr>
              <w:rPr>
                <w:rFonts w:eastAsia="Times New Roman"/>
                <w:color w:val="FFFFFF"/>
                <w:sz w:val="18"/>
                <w:szCs w:val="18"/>
              </w:rPr>
            </w:pPr>
            <w:r w:rsidRPr="00FF756A">
              <w:rPr>
                <w:color w:val="FFFFFF"/>
                <w:sz w:val="18"/>
                <w:szCs w:val="18"/>
              </w:rPr>
              <w:t>Peshkimi</w:t>
            </w:r>
          </w:p>
        </w:tc>
        <w:tc>
          <w:tcPr>
            <w:tcW w:w="866" w:type="dxa"/>
            <w:tcBorders>
              <w:top w:val="nil"/>
              <w:left w:val="nil"/>
              <w:bottom w:val="single" w:sz="8" w:space="0" w:color="FFFFFF"/>
              <w:right w:val="single" w:sz="8" w:space="0" w:color="FFFFFF"/>
            </w:tcBorders>
            <w:shd w:val="clear" w:color="000000" w:fill="DBE5F1"/>
            <w:noWrap/>
            <w:hideMark/>
          </w:tcPr>
          <w:p w14:paraId="48BD05AF" w14:textId="77777777" w:rsidR="00B86FB3" w:rsidRPr="00FF756A" w:rsidRDefault="00B86FB3" w:rsidP="00B86FB3">
            <w:pPr>
              <w:jc w:val="right"/>
              <w:rPr>
                <w:rFonts w:eastAsia="Times New Roman"/>
                <w:color w:val="000000"/>
                <w:sz w:val="18"/>
                <w:szCs w:val="18"/>
              </w:rPr>
            </w:pPr>
            <w:r w:rsidRPr="00FF756A">
              <w:rPr>
                <w:sz w:val="18"/>
                <w:szCs w:val="18"/>
              </w:rPr>
              <w:t xml:space="preserve"> 42,3 </w:t>
            </w:r>
          </w:p>
        </w:tc>
        <w:tc>
          <w:tcPr>
            <w:tcW w:w="866" w:type="dxa"/>
            <w:tcBorders>
              <w:top w:val="nil"/>
              <w:left w:val="nil"/>
              <w:bottom w:val="single" w:sz="8" w:space="0" w:color="FFFFFF"/>
              <w:right w:val="single" w:sz="8" w:space="0" w:color="FFFFFF"/>
            </w:tcBorders>
            <w:shd w:val="clear" w:color="000000" w:fill="DBE5F1"/>
            <w:noWrap/>
            <w:hideMark/>
          </w:tcPr>
          <w:p w14:paraId="168FDB80" w14:textId="77777777" w:rsidR="00B86FB3" w:rsidRPr="00FF756A" w:rsidRDefault="00B86FB3" w:rsidP="00B86FB3">
            <w:pPr>
              <w:jc w:val="right"/>
              <w:rPr>
                <w:rFonts w:eastAsia="Times New Roman"/>
                <w:color w:val="000000"/>
                <w:sz w:val="18"/>
                <w:szCs w:val="18"/>
              </w:rPr>
            </w:pPr>
            <w:r w:rsidRPr="00FF756A">
              <w:rPr>
                <w:sz w:val="18"/>
                <w:szCs w:val="18"/>
              </w:rPr>
              <w:t xml:space="preserve"> 41,7 </w:t>
            </w:r>
          </w:p>
        </w:tc>
        <w:tc>
          <w:tcPr>
            <w:tcW w:w="866" w:type="dxa"/>
            <w:tcBorders>
              <w:top w:val="nil"/>
              <w:left w:val="nil"/>
              <w:bottom w:val="single" w:sz="8" w:space="0" w:color="FFFFFF"/>
              <w:right w:val="single" w:sz="8" w:space="0" w:color="FFFFFF"/>
            </w:tcBorders>
            <w:shd w:val="clear" w:color="000000" w:fill="DBE5F1"/>
            <w:noWrap/>
            <w:hideMark/>
          </w:tcPr>
          <w:p w14:paraId="27E48309" w14:textId="77777777" w:rsidR="00B86FB3" w:rsidRPr="00FF756A" w:rsidRDefault="00B86FB3" w:rsidP="00B86FB3">
            <w:pPr>
              <w:jc w:val="right"/>
              <w:rPr>
                <w:rFonts w:eastAsia="Times New Roman"/>
                <w:color w:val="000000"/>
                <w:sz w:val="18"/>
                <w:szCs w:val="18"/>
              </w:rPr>
            </w:pPr>
            <w:r w:rsidRPr="00FF756A">
              <w:rPr>
                <w:sz w:val="18"/>
                <w:szCs w:val="18"/>
              </w:rPr>
              <w:t xml:space="preserve"> 41,7 </w:t>
            </w:r>
          </w:p>
        </w:tc>
        <w:tc>
          <w:tcPr>
            <w:tcW w:w="867" w:type="dxa"/>
            <w:tcBorders>
              <w:top w:val="nil"/>
              <w:left w:val="nil"/>
              <w:bottom w:val="single" w:sz="8" w:space="0" w:color="FFFFFF"/>
              <w:right w:val="single" w:sz="8" w:space="0" w:color="FFFFFF"/>
            </w:tcBorders>
            <w:shd w:val="clear" w:color="000000" w:fill="DBE5F1"/>
            <w:noWrap/>
            <w:hideMark/>
          </w:tcPr>
          <w:p w14:paraId="0483B954" w14:textId="77777777" w:rsidR="00B86FB3" w:rsidRPr="00FF756A" w:rsidRDefault="00B86FB3" w:rsidP="00B86FB3">
            <w:pPr>
              <w:jc w:val="right"/>
              <w:rPr>
                <w:rFonts w:eastAsia="Times New Roman"/>
                <w:color w:val="000000"/>
                <w:sz w:val="18"/>
                <w:szCs w:val="18"/>
              </w:rPr>
            </w:pPr>
            <w:r w:rsidRPr="00FF756A">
              <w:rPr>
                <w:sz w:val="18"/>
                <w:szCs w:val="18"/>
              </w:rPr>
              <w:t xml:space="preserve"> 43,7 </w:t>
            </w:r>
          </w:p>
        </w:tc>
        <w:tc>
          <w:tcPr>
            <w:tcW w:w="866" w:type="dxa"/>
            <w:tcBorders>
              <w:top w:val="nil"/>
              <w:left w:val="nil"/>
              <w:bottom w:val="single" w:sz="8" w:space="0" w:color="FFFFFF"/>
              <w:right w:val="single" w:sz="8" w:space="0" w:color="FFFFFF"/>
            </w:tcBorders>
            <w:shd w:val="clear" w:color="000000" w:fill="DBE5F1"/>
            <w:noWrap/>
            <w:hideMark/>
          </w:tcPr>
          <w:p w14:paraId="4C6982D0" w14:textId="77777777" w:rsidR="00B86FB3" w:rsidRPr="00FF756A" w:rsidRDefault="00B86FB3" w:rsidP="00B86FB3">
            <w:pPr>
              <w:jc w:val="right"/>
              <w:rPr>
                <w:rFonts w:eastAsia="Times New Roman"/>
                <w:color w:val="000000"/>
                <w:sz w:val="18"/>
                <w:szCs w:val="18"/>
              </w:rPr>
            </w:pPr>
            <w:r w:rsidRPr="00FF756A">
              <w:rPr>
                <w:sz w:val="18"/>
                <w:szCs w:val="18"/>
              </w:rPr>
              <w:t xml:space="preserve"> 47,9 </w:t>
            </w:r>
          </w:p>
        </w:tc>
        <w:tc>
          <w:tcPr>
            <w:tcW w:w="866" w:type="dxa"/>
            <w:tcBorders>
              <w:top w:val="nil"/>
              <w:left w:val="nil"/>
              <w:bottom w:val="single" w:sz="8" w:space="0" w:color="FFFFFF"/>
              <w:right w:val="single" w:sz="8" w:space="0" w:color="FFFFFF"/>
            </w:tcBorders>
            <w:shd w:val="clear" w:color="auto" w:fill="4472C4" w:themeFill="accent1"/>
            <w:noWrap/>
            <w:hideMark/>
          </w:tcPr>
          <w:p w14:paraId="06CC415A"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60,4 </w:t>
            </w:r>
          </w:p>
        </w:tc>
        <w:tc>
          <w:tcPr>
            <w:tcW w:w="866" w:type="dxa"/>
            <w:tcBorders>
              <w:top w:val="nil"/>
              <w:left w:val="nil"/>
              <w:bottom w:val="single" w:sz="8" w:space="0" w:color="FFFFFF"/>
              <w:right w:val="single" w:sz="8" w:space="0" w:color="FFFFFF"/>
            </w:tcBorders>
            <w:shd w:val="clear" w:color="000000" w:fill="DBE5F1"/>
            <w:noWrap/>
          </w:tcPr>
          <w:p w14:paraId="64F3E0BA" w14:textId="77777777" w:rsidR="00B86FB3" w:rsidRPr="00FF756A" w:rsidRDefault="00B86FB3" w:rsidP="00B86FB3">
            <w:pPr>
              <w:jc w:val="right"/>
              <w:rPr>
                <w:rFonts w:eastAsia="Times New Roman"/>
                <w:color w:val="000000"/>
                <w:sz w:val="18"/>
                <w:szCs w:val="18"/>
              </w:rPr>
            </w:pPr>
            <w:r w:rsidRPr="00FF756A">
              <w:rPr>
                <w:sz w:val="18"/>
                <w:szCs w:val="18"/>
              </w:rPr>
              <w:t xml:space="preserve"> 86,5 </w:t>
            </w:r>
          </w:p>
        </w:tc>
        <w:tc>
          <w:tcPr>
            <w:tcW w:w="867" w:type="dxa"/>
            <w:tcBorders>
              <w:top w:val="nil"/>
              <w:left w:val="nil"/>
              <w:bottom w:val="single" w:sz="8" w:space="0" w:color="FFFFFF"/>
              <w:right w:val="single" w:sz="8" w:space="0" w:color="FFFFFF"/>
            </w:tcBorders>
            <w:shd w:val="clear" w:color="000000" w:fill="DBE5F1"/>
            <w:noWrap/>
            <w:hideMark/>
          </w:tcPr>
          <w:p w14:paraId="7B0120E6" w14:textId="77777777" w:rsidR="00B86FB3" w:rsidRPr="00FF756A" w:rsidRDefault="00B86FB3" w:rsidP="00B86FB3">
            <w:pPr>
              <w:jc w:val="right"/>
              <w:rPr>
                <w:rFonts w:eastAsia="Times New Roman"/>
                <w:color w:val="000000"/>
                <w:sz w:val="18"/>
                <w:szCs w:val="18"/>
              </w:rPr>
            </w:pPr>
            <w:r w:rsidRPr="00FF756A">
              <w:rPr>
                <w:sz w:val="18"/>
                <w:szCs w:val="18"/>
              </w:rPr>
              <w:t xml:space="preserve"> 101,3 </w:t>
            </w:r>
          </w:p>
        </w:tc>
      </w:tr>
      <w:tr w:rsidR="00B86FB3" w:rsidRPr="00FF756A" w14:paraId="7192FD00"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4F4C6288" w14:textId="77777777" w:rsidR="00B86FB3" w:rsidRPr="00FF756A" w:rsidRDefault="00B86FB3" w:rsidP="00B86FB3">
            <w:pPr>
              <w:rPr>
                <w:rFonts w:eastAsia="Times New Roman"/>
                <w:color w:val="FFFFFF"/>
                <w:sz w:val="18"/>
                <w:szCs w:val="18"/>
              </w:rPr>
            </w:pPr>
            <w:r w:rsidRPr="00FF756A">
              <w:rPr>
                <w:color w:val="FFFFFF"/>
                <w:sz w:val="18"/>
                <w:szCs w:val="18"/>
              </w:rPr>
              <w:t>Sektorët joenergjetikë</w:t>
            </w:r>
          </w:p>
        </w:tc>
        <w:tc>
          <w:tcPr>
            <w:tcW w:w="866" w:type="dxa"/>
            <w:tcBorders>
              <w:top w:val="nil"/>
              <w:left w:val="nil"/>
              <w:bottom w:val="single" w:sz="8" w:space="0" w:color="FFFFFF"/>
              <w:right w:val="single" w:sz="8" w:space="0" w:color="FFFFFF"/>
            </w:tcBorders>
            <w:shd w:val="clear" w:color="000000" w:fill="B8CCE4"/>
            <w:noWrap/>
            <w:hideMark/>
          </w:tcPr>
          <w:p w14:paraId="406CD6BE" w14:textId="77777777" w:rsidR="00B86FB3" w:rsidRPr="00FF756A" w:rsidRDefault="00B86FB3" w:rsidP="00B86FB3">
            <w:pPr>
              <w:jc w:val="right"/>
              <w:rPr>
                <w:rFonts w:eastAsia="Times New Roman"/>
                <w:color w:val="000000"/>
                <w:sz w:val="18"/>
                <w:szCs w:val="18"/>
              </w:rPr>
            </w:pPr>
            <w:r w:rsidRPr="00FF756A">
              <w:rPr>
                <w:sz w:val="18"/>
                <w:szCs w:val="18"/>
              </w:rPr>
              <w:t xml:space="preserve"> 54,7 </w:t>
            </w:r>
          </w:p>
        </w:tc>
        <w:tc>
          <w:tcPr>
            <w:tcW w:w="866" w:type="dxa"/>
            <w:tcBorders>
              <w:top w:val="nil"/>
              <w:left w:val="nil"/>
              <w:bottom w:val="single" w:sz="8" w:space="0" w:color="FFFFFF"/>
              <w:right w:val="single" w:sz="8" w:space="0" w:color="FFFFFF"/>
            </w:tcBorders>
            <w:shd w:val="clear" w:color="000000" w:fill="B8CCE4"/>
            <w:noWrap/>
            <w:hideMark/>
          </w:tcPr>
          <w:p w14:paraId="2A7720F9" w14:textId="77777777" w:rsidR="00B86FB3" w:rsidRPr="00FF756A" w:rsidRDefault="00B86FB3" w:rsidP="00B86FB3">
            <w:pPr>
              <w:jc w:val="right"/>
              <w:rPr>
                <w:rFonts w:eastAsia="Times New Roman"/>
                <w:color w:val="000000"/>
                <w:sz w:val="18"/>
                <w:szCs w:val="18"/>
              </w:rPr>
            </w:pPr>
            <w:r w:rsidRPr="00FF756A">
              <w:rPr>
                <w:sz w:val="18"/>
                <w:szCs w:val="18"/>
              </w:rPr>
              <w:t xml:space="preserve"> 54,7 </w:t>
            </w:r>
          </w:p>
        </w:tc>
        <w:tc>
          <w:tcPr>
            <w:tcW w:w="866" w:type="dxa"/>
            <w:tcBorders>
              <w:top w:val="nil"/>
              <w:left w:val="nil"/>
              <w:bottom w:val="single" w:sz="8" w:space="0" w:color="FFFFFF"/>
              <w:right w:val="single" w:sz="8" w:space="0" w:color="FFFFFF"/>
            </w:tcBorders>
            <w:shd w:val="clear" w:color="000000" w:fill="B8CCE4"/>
            <w:noWrap/>
            <w:hideMark/>
          </w:tcPr>
          <w:p w14:paraId="3738C427" w14:textId="77777777" w:rsidR="00B86FB3" w:rsidRPr="00FF756A" w:rsidRDefault="00B86FB3" w:rsidP="00B86FB3">
            <w:pPr>
              <w:jc w:val="right"/>
              <w:rPr>
                <w:rFonts w:eastAsia="Times New Roman"/>
                <w:color w:val="000000"/>
                <w:sz w:val="18"/>
                <w:szCs w:val="18"/>
              </w:rPr>
            </w:pPr>
            <w:r w:rsidRPr="00FF756A">
              <w:rPr>
                <w:sz w:val="18"/>
                <w:szCs w:val="18"/>
              </w:rPr>
              <w:t xml:space="preserve"> 54,7 </w:t>
            </w:r>
          </w:p>
        </w:tc>
        <w:tc>
          <w:tcPr>
            <w:tcW w:w="867" w:type="dxa"/>
            <w:tcBorders>
              <w:top w:val="nil"/>
              <w:left w:val="nil"/>
              <w:bottom w:val="single" w:sz="8" w:space="0" w:color="FFFFFF"/>
              <w:right w:val="single" w:sz="8" w:space="0" w:color="FFFFFF"/>
            </w:tcBorders>
            <w:shd w:val="clear" w:color="000000" w:fill="B8CCE4"/>
            <w:noWrap/>
            <w:hideMark/>
          </w:tcPr>
          <w:p w14:paraId="17C9E1E4" w14:textId="77777777" w:rsidR="00B86FB3" w:rsidRPr="00FF756A" w:rsidRDefault="00B86FB3" w:rsidP="00B86FB3">
            <w:pPr>
              <w:jc w:val="right"/>
              <w:rPr>
                <w:rFonts w:eastAsia="Times New Roman"/>
                <w:color w:val="000000"/>
                <w:sz w:val="18"/>
                <w:szCs w:val="18"/>
              </w:rPr>
            </w:pPr>
            <w:r w:rsidRPr="00FF756A">
              <w:rPr>
                <w:sz w:val="18"/>
                <w:szCs w:val="18"/>
              </w:rPr>
              <w:t xml:space="preserve"> 53,9 </w:t>
            </w:r>
          </w:p>
        </w:tc>
        <w:tc>
          <w:tcPr>
            <w:tcW w:w="866" w:type="dxa"/>
            <w:tcBorders>
              <w:top w:val="nil"/>
              <w:left w:val="nil"/>
              <w:bottom w:val="single" w:sz="8" w:space="0" w:color="FFFFFF"/>
              <w:right w:val="single" w:sz="8" w:space="0" w:color="FFFFFF"/>
            </w:tcBorders>
            <w:shd w:val="clear" w:color="000000" w:fill="B8CCE4"/>
            <w:noWrap/>
            <w:hideMark/>
          </w:tcPr>
          <w:p w14:paraId="36EB9383" w14:textId="77777777" w:rsidR="00B86FB3" w:rsidRPr="00FF756A" w:rsidRDefault="00B86FB3" w:rsidP="00B86FB3">
            <w:pPr>
              <w:jc w:val="right"/>
              <w:rPr>
                <w:rFonts w:eastAsia="Times New Roman"/>
                <w:color w:val="000000"/>
                <w:sz w:val="18"/>
                <w:szCs w:val="18"/>
              </w:rPr>
            </w:pPr>
            <w:r w:rsidRPr="00FF756A">
              <w:rPr>
                <w:sz w:val="18"/>
                <w:szCs w:val="18"/>
              </w:rPr>
              <w:t xml:space="preserve"> 56,1 </w:t>
            </w:r>
          </w:p>
        </w:tc>
        <w:tc>
          <w:tcPr>
            <w:tcW w:w="866" w:type="dxa"/>
            <w:tcBorders>
              <w:top w:val="nil"/>
              <w:left w:val="nil"/>
              <w:bottom w:val="single" w:sz="8" w:space="0" w:color="FFFFFF"/>
              <w:right w:val="single" w:sz="8" w:space="0" w:color="FFFFFF"/>
            </w:tcBorders>
            <w:shd w:val="clear" w:color="auto" w:fill="4472C4" w:themeFill="accent1"/>
            <w:noWrap/>
            <w:hideMark/>
          </w:tcPr>
          <w:p w14:paraId="0686DE76"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61,4 </w:t>
            </w:r>
          </w:p>
        </w:tc>
        <w:tc>
          <w:tcPr>
            <w:tcW w:w="866" w:type="dxa"/>
            <w:tcBorders>
              <w:top w:val="nil"/>
              <w:left w:val="nil"/>
              <w:bottom w:val="single" w:sz="8" w:space="0" w:color="FFFFFF"/>
              <w:right w:val="single" w:sz="8" w:space="0" w:color="FFFFFF"/>
            </w:tcBorders>
            <w:shd w:val="clear" w:color="000000" w:fill="B8CCE4"/>
            <w:noWrap/>
          </w:tcPr>
          <w:p w14:paraId="7F110E7C" w14:textId="77777777" w:rsidR="00B86FB3" w:rsidRPr="00FF756A" w:rsidRDefault="00B86FB3" w:rsidP="00B86FB3">
            <w:pPr>
              <w:jc w:val="right"/>
              <w:rPr>
                <w:rFonts w:eastAsia="Times New Roman"/>
                <w:color w:val="000000"/>
                <w:sz w:val="18"/>
                <w:szCs w:val="18"/>
              </w:rPr>
            </w:pPr>
            <w:r w:rsidRPr="00FF756A">
              <w:rPr>
                <w:sz w:val="18"/>
                <w:szCs w:val="18"/>
              </w:rPr>
              <w:t xml:space="preserve"> 72,8 </w:t>
            </w:r>
          </w:p>
        </w:tc>
        <w:tc>
          <w:tcPr>
            <w:tcW w:w="867" w:type="dxa"/>
            <w:tcBorders>
              <w:top w:val="nil"/>
              <w:left w:val="nil"/>
              <w:bottom w:val="single" w:sz="8" w:space="0" w:color="FFFFFF"/>
              <w:right w:val="single" w:sz="8" w:space="0" w:color="FFFFFF"/>
            </w:tcBorders>
            <w:shd w:val="clear" w:color="000000" w:fill="B8CCE4"/>
            <w:noWrap/>
            <w:hideMark/>
          </w:tcPr>
          <w:p w14:paraId="4C659F09" w14:textId="77777777" w:rsidR="00B86FB3" w:rsidRPr="00FF756A" w:rsidRDefault="00B86FB3" w:rsidP="00B86FB3">
            <w:pPr>
              <w:jc w:val="right"/>
              <w:rPr>
                <w:rFonts w:eastAsia="Times New Roman"/>
                <w:color w:val="000000"/>
                <w:sz w:val="18"/>
                <w:szCs w:val="18"/>
              </w:rPr>
            </w:pPr>
            <w:r w:rsidRPr="00FF756A">
              <w:rPr>
                <w:sz w:val="18"/>
                <w:szCs w:val="18"/>
              </w:rPr>
              <w:t xml:space="preserve"> 86,9 </w:t>
            </w:r>
          </w:p>
        </w:tc>
      </w:tr>
      <w:tr w:rsidR="00B86FB3" w:rsidRPr="00FF756A" w14:paraId="5D54987B"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244061"/>
            <w:noWrap/>
            <w:vAlign w:val="center"/>
            <w:hideMark/>
          </w:tcPr>
          <w:p w14:paraId="2F00D5F2" w14:textId="77777777" w:rsidR="00B86FB3" w:rsidRPr="00FF756A" w:rsidRDefault="00B86FB3" w:rsidP="00B86FB3">
            <w:pPr>
              <w:rPr>
                <w:rFonts w:eastAsia="Times New Roman"/>
                <w:color w:val="FFFFFF"/>
                <w:sz w:val="18"/>
                <w:szCs w:val="18"/>
              </w:rPr>
            </w:pPr>
            <w:r w:rsidRPr="00FF756A">
              <w:rPr>
                <w:color w:val="FFFFFF"/>
                <w:sz w:val="18"/>
                <w:szCs w:val="18"/>
              </w:rPr>
              <w:t>Totali</w:t>
            </w:r>
          </w:p>
        </w:tc>
        <w:tc>
          <w:tcPr>
            <w:tcW w:w="866" w:type="dxa"/>
            <w:tcBorders>
              <w:top w:val="nil"/>
              <w:left w:val="nil"/>
              <w:bottom w:val="single" w:sz="8" w:space="0" w:color="FFFFFF"/>
              <w:right w:val="single" w:sz="8" w:space="0" w:color="FFFFFF"/>
            </w:tcBorders>
            <w:shd w:val="clear" w:color="000000" w:fill="244061"/>
            <w:noWrap/>
            <w:hideMark/>
          </w:tcPr>
          <w:p w14:paraId="4E1C82F3"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1 916,1 </w:t>
            </w:r>
          </w:p>
        </w:tc>
        <w:tc>
          <w:tcPr>
            <w:tcW w:w="866" w:type="dxa"/>
            <w:tcBorders>
              <w:top w:val="nil"/>
              <w:left w:val="nil"/>
              <w:bottom w:val="single" w:sz="8" w:space="0" w:color="FFFFFF"/>
              <w:right w:val="single" w:sz="8" w:space="0" w:color="FFFFFF"/>
            </w:tcBorders>
            <w:shd w:val="clear" w:color="000000" w:fill="244061"/>
            <w:noWrap/>
            <w:hideMark/>
          </w:tcPr>
          <w:p w14:paraId="36D87C8B"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2 050,7 </w:t>
            </w:r>
          </w:p>
        </w:tc>
        <w:tc>
          <w:tcPr>
            <w:tcW w:w="866" w:type="dxa"/>
            <w:tcBorders>
              <w:top w:val="nil"/>
              <w:left w:val="nil"/>
              <w:bottom w:val="single" w:sz="8" w:space="0" w:color="FFFFFF"/>
              <w:right w:val="single" w:sz="8" w:space="0" w:color="FFFFFF"/>
            </w:tcBorders>
            <w:shd w:val="clear" w:color="000000" w:fill="244061"/>
            <w:noWrap/>
            <w:hideMark/>
          </w:tcPr>
          <w:p w14:paraId="2A2EB94A"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2 062,0 </w:t>
            </w:r>
          </w:p>
        </w:tc>
        <w:tc>
          <w:tcPr>
            <w:tcW w:w="867" w:type="dxa"/>
            <w:tcBorders>
              <w:top w:val="nil"/>
              <w:left w:val="nil"/>
              <w:bottom w:val="single" w:sz="8" w:space="0" w:color="FFFFFF"/>
              <w:right w:val="single" w:sz="8" w:space="0" w:color="FFFFFF"/>
            </w:tcBorders>
            <w:shd w:val="clear" w:color="000000" w:fill="244061"/>
            <w:noWrap/>
            <w:hideMark/>
          </w:tcPr>
          <w:p w14:paraId="5D8708B9"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2 060,4 </w:t>
            </w:r>
          </w:p>
        </w:tc>
        <w:tc>
          <w:tcPr>
            <w:tcW w:w="866" w:type="dxa"/>
            <w:tcBorders>
              <w:top w:val="nil"/>
              <w:left w:val="nil"/>
              <w:bottom w:val="single" w:sz="8" w:space="0" w:color="FFFFFF"/>
              <w:right w:val="single" w:sz="8" w:space="0" w:color="FFFFFF"/>
            </w:tcBorders>
            <w:shd w:val="clear" w:color="000000" w:fill="244061"/>
            <w:noWrap/>
            <w:hideMark/>
          </w:tcPr>
          <w:p w14:paraId="20668DEE"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2 105,7 </w:t>
            </w:r>
          </w:p>
        </w:tc>
        <w:tc>
          <w:tcPr>
            <w:tcW w:w="866" w:type="dxa"/>
            <w:tcBorders>
              <w:top w:val="nil"/>
              <w:left w:val="nil"/>
              <w:bottom w:val="single" w:sz="8" w:space="0" w:color="FFFFFF"/>
              <w:right w:val="single" w:sz="8" w:space="0" w:color="FFFFFF"/>
            </w:tcBorders>
            <w:shd w:val="clear" w:color="auto" w:fill="323E4F" w:themeFill="text2" w:themeFillShade="BF"/>
            <w:noWrap/>
            <w:hideMark/>
          </w:tcPr>
          <w:p w14:paraId="195FAC72"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2 250,6 </w:t>
            </w:r>
          </w:p>
        </w:tc>
        <w:tc>
          <w:tcPr>
            <w:tcW w:w="866" w:type="dxa"/>
            <w:tcBorders>
              <w:top w:val="nil"/>
              <w:left w:val="nil"/>
              <w:bottom w:val="single" w:sz="8" w:space="0" w:color="FFFFFF"/>
              <w:right w:val="single" w:sz="8" w:space="0" w:color="FFFFFF"/>
            </w:tcBorders>
            <w:shd w:val="clear" w:color="000000" w:fill="244061"/>
            <w:noWrap/>
          </w:tcPr>
          <w:p w14:paraId="066741BF"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2 490,7 </w:t>
            </w:r>
          </w:p>
        </w:tc>
        <w:tc>
          <w:tcPr>
            <w:tcW w:w="867" w:type="dxa"/>
            <w:tcBorders>
              <w:top w:val="nil"/>
              <w:left w:val="nil"/>
              <w:bottom w:val="single" w:sz="8" w:space="0" w:color="FFFFFF"/>
              <w:right w:val="single" w:sz="8" w:space="0" w:color="FFFFFF"/>
            </w:tcBorders>
            <w:shd w:val="clear" w:color="000000" w:fill="244061"/>
            <w:noWrap/>
            <w:hideMark/>
          </w:tcPr>
          <w:p w14:paraId="4251F5EF"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2 755,3 </w:t>
            </w:r>
          </w:p>
        </w:tc>
      </w:tr>
      <w:tr w:rsidR="00B86FB3" w:rsidRPr="00FF756A" w14:paraId="3F77F357" w14:textId="77777777" w:rsidTr="006A3266">
        <w:trPr>
          <w:trHeight w:val="291"/>
        </w:trPr>
        <w:tc>
          <w:tcPr>
            <w:tcW w:w="9080" w:type="dxa"/>
            <w:gridSpan w:val="9"/>
            <w:tcBorders>
              <w:top w:val="single" w:sz="8" w:space="0" w:color="FFFFFF"/>
              <w:left w:val="single" w:sz="8" w:space="0" w:color="FFFFFF"/>
              <w:bottom w:val="single" w:sz="8" w:space="0" w:color="FFFFFF"/>
              <w:right w:val="single" w:sz="8" w:space="0" w:color="FFFFFF"/>
            </w:tcBorders>
            <w:shd w:val="clear" w:color="auto" w:fill="4472C4" w:themeFill="accent1"/>
            <w:noWrap/>
            <w:vAlign w:val="center"/>
          </w:tcPr>
          <w:p w14:paraId="116A8B8A" w14:textId="77777777" w:rsidR="00B86FB3" w:rsidRPr="00FF756A" w:rsidRDefault="00B86FB3" w:rsidP="00B86FB3">
            <w:pPr>
              <w:rPr>
                <w:rFonts w:eastAsia="Times New Roman"/>
                <w:color w:val="FFFFFF" w:themeColor="background1"/>
                <w:sz w:val="18"/>
                <w:szCs w:val="18"/>
              </w:rPr>
            </w:pPr>
          </w:p>
        </w:tc>
      </w:tr>
      <w:tr w:rsidR="00B86FB3" w:rsidRPr="00FF756A" w14:paraId="1DEBD770"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77BF3202" w14:textId="77777777" w:rsidR="00B86FB3" w:rsidRPr="00FF756A" w:rsidRDefault="00B86FB3" w:rsidP="00B86FB3">
            <w:pPr>
              <w:rPr>
                <w:rFonts w:eastAsia="Times New Roman"/>
                <w:color w:val="FFFFFF"/>
                <w:sz w:val="18"/>
                <w:szCs w:val="18"/>
              </w:rPr>
            </w:pPr>
            <w:r w:rsidRPr="00FF756A">
              <w:rPr>
                <w:color w:val="FFFFFF"/>
                <w:sz w:val="18"/>
                <w:szCs w:val="18"/>
              </w:rPr>
              <w:t>Ngrohja e hapësirave</w:t>
            </w:r>
          </w:p>
        </w:tc>
        <w:tc>
          <w:tcPr>
            <w:tcW w:w="866" w:type="dxa"/>
            <w:tcBorders>
              <w:top w:val="nil"/>
              <w:left w:val="nil"/>
              <w:bottom w:val="single" w:sz="8" w:space="0" w:color="FFFFFF"/>
              <w:right w:val="single" w:sz="8" w:space="0" w:color="FFFFFF"/>
            </w:tcBorders>
            <w:shd w:val="clear" w:color="000000" w:fill="B8CCE4"/>
            <w:noWrap/>
            <w:hideMark/>
          </w:tcPr>
          <w:p w14:paraId="7CEE7C05" w14:textId="77777777" w:rsidR="00B86FB3" w:rsidRPr="00FF756A" w:rsidRDefault="00B86FB3" w:rsidP="00B86FB3">
            <w:pPr>
              <w:jc w:val="right"/>
              <w:rPr>
                <w:rFonts w:eastAsia="Times New Roman"/>
                <w:color w:val="000000"/>
                <w:sz w:val="18"/>
                <w:szCs w:val="18"/>
              </w:rPr>
            </w:pPr>
            <w:r w:rsidRPr="00FF756A">
              <w:rPr>
                <w:sz w:val="18"/>
                <w:szCs w:val="18"/>
              </w:rPr>
              <w:t xml:space="preserve"> 338,1 </w:t>
            </w:r>
          </w:p>
        </w:tc>
        <w:tc>
          <w:tcPr>
            <w:tcW w:w="866" w:type="dxa"/>
            <w:tcBorders>
              <w:top w:val="nil"/>
              <w:left w:val="nil"/>
              <w:bottom w:val="single" w:sz="8" w:space="0" w:color="FFFFFF"/>
              <w:right w:val="single" w:sz="8" w:space="0" w:color="FFFFFF"/>
            </w:tcBorders>
            <w:shd w:val="clear" w:color="000000" w:fill="B8CCE4"/>
            <w:noWrap/>
            <w:hideMark/>
          </w:tcPr>
          <w:p w14:paraId="6418D169" w14:textId="77777777" w:rsidR="00B86FB3" w:rsidRPr="00FF756A" w:rsidRDefault="00B86FB3" w:rsidP="00B86FB3">
            <w:pPr>
              <w:jc w:val="right"/>
              <w:rPr>
                <w:rFonts w:eastAsia="Times New Roman"/>
                <w:color w:val="000000"/>
                <w:sz w:val="18"/>
                <w:szCs w:val="18"/>
              </w:rPr>
            </w:pPr>
            <w:r w:rsidRPr="00FF756A">
              <w:rPr>
                <w:sz w:val="18"/>
                <w:szCs w:val="18"/>
              </w:rPr>
              <w:t xml:space="preserve"> 338,8 </w:t>
            </w:r>
          </w:p>
        </w:tc>
        <w:tc>
          <w:tcPr>
            <w:tcW w:w="866" w:type="dxa"/>
            <w:tcBorders>
              <w:top w:val="nil"/>
              <w:left w:val="nil"/>
              <w:bottom w:val="single" w:sz="8" w:space="0" w:color="FFFFFF"/>
              <w:right w:val="single" w:sz="8" w:space="0" w:color="FFFFFF"/>
            </w:tcBorders>
            <w:shd w:val="clear" w:color="000000" w:fill="B8CCE4"/>
            <w:noWrap/>
            <w:hideMark/>
          </w:tcPr>
          <w:p w14:paraId="2726A441" w14:textId="77777777" w:rsidR="00B86FB3" w:rsidRPr="00FF756A" w:rsidRDefault="00B86FB3" w:rsidP="00B86FB3">
            <w:pPr>
              <w:jc w:val="right"/>
              <w:rPr>
                <w:rFonts w:eastAsia="Times New Roman"/>
                <w:color w:val="000000"/>
                <w:sz w:val="18"/>
                <w:szCs w:val="18"/>
              </w:rPr>
            </w:pPr>
            <w:r w:rsidRPr="00FF756A">
              <w:rPr>
                <w:sz w:val="18"/>
                <w:szCs w:val="18"/>
              </w:rPr>
              <w:t xml:space="preserve"> 329,4 </w:t>
            </w:r>
          </w:p>
        </w:tc>
        <w:tc>
          <w:tcPr>
            <w:tcW w:w="867" w:type="dxa"/>
            <w:tcBorders>
              <w:top w:val="nil"/>
              <w:left w:val="nil"/>
              <w:bottom w:val="single" w:sz="8" w:space="0" w:color="FFFFFF"/>
              <w:right w:val="single" w:sz="8" w:space="0" w:color="FFFFFF"/>
            </w:tcBorders>
            <w:shd w:val="clear" w:color="000000" w:fill="B8CCE4"/>
            <w:noWrap/>
            <w:hideMark/>
          </w:tcPr>
          <w:p w14:paraId="107815CD" w14:textId="77777777" w:rsidR="00B86FB3" w:rsidRPr="00FF756A" w:rsidRDefault="00B86FB3" w:rsidP="00B86FB3">
            <w:pPr>
              <w:jc w:val="right"/>
              <w:rPr>
                <w:rFonts w:eastAsia="Times New Roman"/>
                <w:color w:val="000000"/>
                <w:sz w:val="18"/>
                <w:szCs w:val="18"/>
              </w:rPr>
            </w:pPr>
            <w:r w:rsidRPr="00FF756A">
              <w:rPr>
                <w:sz w:val="18"/>
                <w:szCs w:val="18"/>
              </w:rPr>
              <w:t xml:space="preserve"> 320,6 </w:t>
            </w:r>
          </w:p>
        </w:tc>
        <w:tc>
          <w:tcPr>
            <w:tcW w:w="866" w:type="dxa"/>
            <w:tcBorders>
              <w:top w:val="nil"/>
              <w:left w:val="nil"/>
              <w:bottom w:val="single" w:sz="8" w:space="0" w:color="FFFFFF"/>
              <w:right w:val="single" w:sz="8" w:space="0" w:color="FFFFFF"/>
            </w:tcBorders>
            <w:shd w:val="clear" w:color="000000" w:fill="B8CCE4"/>
            <w:noWrap/>
            <w:hideMark/>
          </w:tcPr>
          <w:p w14:paraId="69E9182F" w14:textId="77777777" w:rsidR="00B86FB3" w:rsidRPr="00FF756A" w:rsidRDefault="00B86FB3" w:rsidP="00B86FB3">
            <w:pPr>
              <w:jc w:val="right"/>
              <w:rPr>
                <w:rFonts w:eastAsia="Times New Roman"/>
                <w:color w:val="000000"/>
                <w:sz w:val="18"/>
                <w:szCs w:val="18"/>
              </w:rPr>
            </w:pPr>
            <w:r w:rsidRPr="00FF756A">
              <w:rPr>
                <w:sz w:val="18"/>
                <w:szCs w:val="18"/>
              </w:rPr>
              <w:t xml:space="preserve"> 306,4 </w:t>
            </w:r>
          </w:p>
        </w:tc>
        <w:tc>
          <w:tcPr>
            <w:tcW w:w="866" w:type="dxa"/>
            <w:tcBorders>
              <w:top w:val="nil"/>
              <w:left w:val="nil"/>
              <w:bottom w:val="single" w:sz="8" w:space="0" w:color="FFFFFF"/>
              <w:right w:val="single" w:sz="8" w:space="0" w:color="FFFFFF"/>
            </w:tcBorders>
            <w:shd w:val="clear" w:color="auto" w:fill="4472C4" w:themeFill="accent1"/>
            <w:noWrap/>
            <w:hideMark/>
          </w:tcPr>
          <w:p w14:paraId="2E51C48D"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276,5 </w:t>
            </w:r>
          </w:p>
        </w:tc>
        <w:tc>
          <w:tcPr>
            <w:tcW w:w="866" w:type="dxa"/>
            <w:tcBorders>
              <w:top w:val="nil"/>
              <w:left w:val="nil"/>
              <w:bottom w:val="single" w:sz="8" w:space="0" w:color="FFFFFF"/>
              <w:right w:val="single" w:sz="8" w:space="0" w:color="FFFFFF"/>
            </w:tcBorders>
            <w:shd w:val="clear" w:color="000000" w:fill="B8CCE4"/>
            <w:noWrap/>
          </w:tcPr>
          <w:p w14:paraId="11EE2A45" w14:textId="77777777" w:rsidR="00B86FB3" w:rsidRPr="00FF756A" w:rsidRDefault="00B86FB3" w:rsidP="00B86FB3">
            <w:pPr>
              <w:jc w:val="right"/>
              <w:rPr>
                <w:rFonts w:eastAsia="Times New Roman"/>
                <w:color w:val="000000"/>
                <w:sz w:val="18"/>
                <w:szCs w:val="18"/>
              </w:rPr>
            </w:pPr>
            <w:r w:rsidRPr="00FF756A">
              <w:rPr>
                <w:sz w:val="18"/>
                <w:szCs w:val="18"/>
              </w:rPr>
              <w:t xml:space="preserve"> 238,3 </w:t>
            </w:r>
          </w:p>
        </w:tc>
        <w:tc>
          <w:tcPr>
            <w:tcW w:w="867" w:type="dxa"/>
            <w:tcBorders>
              <w:top w:val="nil"/>
              <w:left w:val="nil"/>
              <w:bottom w:val="single" w:sz="8" w:space="0" w:color="FFFFFF"/>
              <w:right w:val="single" w:sz="8" w:space="0" w:color="FFFFFF"/>
            </w:tcBorders>
            <w:shd w:val="clear" w:color="000000" w:fill="B8CCE4"/>
            <w:noWrap/>
            <w:hideMark/>
          </w:tcPr>
          <w:p w14:paraId="78D852C2" w14:textId="77777777" w:rsidR="00B86FB3" w:rsidRPr="00FF756A" w:rsidRDefault="00B86FB3" w:rsidP="00B86FB3">
            <w:pPr>
              <w:jc w:val="right"/>
              <w:rPr>
                <w:rFonts w:eastAsia="Times New Roman"/>
                <w:color w:val="000000"/>
                <w:sz w:val="18"/>
                <w:szCs w:val="18"/>
              </w:rPr>
            </w:pPr>
            <w:r w:rsidRPr="00FF756A">
              <w:rPr>
                <w:sz w:val="18"/>
                <w:szCs w:val="18"/>
              </w:rPr>
              <w:t xml:space="preserve"> 245,8 </w:t>
            </w:r>
          </w:p>
        </w:tc>
      </w:tr>
      <w:tr w:rsidR="00B86FB3" w:rsidRPr="00FF756A" w14:paraId="59FB6E3F"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7BB49A02" w14:textId="77777777" w:rsidR="00B86FB3" w:rsidRPr="00FF756A" w:rsidRDefault="00B86FB3" w:rsidP="00B86FB3">
            <w:pPr>
              <w:rPr>
                <w:rFonts w:eastAsia="Times New Roman"/>
                <w:color w:val="FFFFFF"/>
                <w:sz w:val="18"/>
                <w:szCs w:val="18"/>
              </w:rPr>
            </w:pPr>
            <w:r w:rsidRPr="00FF756A">
              <w:rPr>
                <w:color w:val="FFFFFF"/>
                <w:sz w:val="18"/>
                <w:szCs w:val="18"/>
              </w:rPr>
              <w:t>Pajisjet elektro-shtëpiake</w:t>
            </w:r>
          </w:p>
        </w:tc>
        <w:tc>
          <w:tcPr>
            <w:tcW w:w="866" w:type="dxa"/>
            <w:tcBorders>
              <w:top w:val="nil"/>
              <w:left w:val="nil"/>
              <w:bottom w:val="single" w:sz="8" w:space="0" w:color="FFFFFF"/>
              <w:right w:val="single" w:sz="8" w:space="0" w:color="FFFFFF"/>
            </w:tcBorders>
            <w:shd w:val="clear" w:color="000000" w:fill="DBE5F1"/>
            <w:noWrap/>
            <w:hideMark/>
          </w:tcPr>
          <w:p w14:paraId="5A853304" w14:textId="77777777" w:rsidR="00B86FB3" w:rsidRPr="00FF756A" w:rsidRDefault="00B86FB3" w:rsidP="00B86FB3">
            <w:pPr>
              <w:jc w:val="right"/>
              <w:rPr>
                <w:rFonts w:eastAsia="Times New Roman"/>
                <w:color w:val="000000"/>
                <w:sz w:val="18"/>
                <w:szCs w:val="18"/>
              </w:rPr>
            </w:pPr>
            <w:r w:rsidRPr="00FF756A">
              <w:rPr>
                <w:sz w:val="18"/>
                <w:szCs w:val="18"/>
              </w:rPr>
              <w:t xml:space="preserve"> 98,2 </w:t>
            </w:r>
          </w:p>
        </w:tc>
        <w:tc>
          <w:tcPr>
            <w:tcW w:w="866" w:type="dxa"/>
            <w:tcBorders>
              <w:top w:val="nil"/>
              <w:left w:val="nil"/>
              <w:bottom w:val="single" w:sz="8" w:space="0" w:color="FFFFFF"/>
              <w:right w:val="single" w:sz="8" w:space="0" w:color="FFFFFF"/>
            </w:tcBorders>
            <w:shd w:val="clear" w:color="000000" w:fill="DBE5F1"/>
            <w:noWrap/>
            <w:hideMark/>
          </w:tcPr>
          <w:p w14:paraId="4302F6B2" w14:textId="77777777" w:rsidR="00B86FB3" w:rsidRPr="00FF756A" w:rsidRDefault="00B86FB3" w:rsidP="00B86FB3">
            <w:pPr>
              <w:jc w:val="right"/>
              <w:rPr>
                <w:rFonts w:eastAsia="Times New Roman"/>
                <w:color w:val="000000"/>
                <w:sz w:val="18"/>
                <w:szCs w:val="18"/>
              </w:rPr>
            </w:pPr>
            <w:r w:rsidRPr="00FF756A">
              <w:rPr>
                <w:sz w:val="18"/>
                <w:szCs w:val="18"/>
              </w:rPr>
              <w:t xml:space="preserve"> 99,0 </w:t>
            </w:r>
          </w:p>
        </w:tc>
        <w:tc>
          <w:tcPr>
            <w:tcW w:w="866" w:type="dxa"/>
            <w:tcBorders>
              <w:top w:val="nil"/>
              <w:left w:val="nil"/>
              <w:bottom w:val="single" w:sz="8" w:space="0" w:color="FFFFFF"/>
              <w:right w:val="single" w:sz="8" w:space="0" w:color="FFFFFF"/>
            </w:tcBorders>
            <w:shd w:val="clear" w:color="000000" w:fill="DBE5F1"/>
            <w:noWrap/>
            <w:hideMark/>
          </w:tcPr>
          <w:p w14:paraId="63BEE720" w14:textId="77777777" w:rsidR="00B86FB3" w:rsidRPr="00FF756A" w:rsidRDefault="00B86FB3" w:rsidP="00B86FB3">
            <w:pPr>
              <w:jc w:val="right"/>
              <w:rPr>
                <w:rFonts w:eastAsia="Times New Roman"/>
                <w:color w:val="000000"/>
                <w:sz w:val="18"/>
                <w:szCs w:val="18"/>
              </w:rPr>
            </w:pPr>
            <w:r w:rsidRPr="00FF756A">
              <w:rPr>
                <w:sz w:val="18"/>
                <w:szCs w:val="18"/>
              </w:rPr>
              <w:t xml:space="preserve"> 98,4 </w:t>
            </w:r>
          </w:p>
        </w:tc>
        <w:tc>
          <w:tcPr>
            <w:tcW w:w="867" w:type="dxa"/>
            <w:tcBorders>
              <w:top w:val="nil"/>
              <w:left w:val="nil"/>
              <w:bottom w:val="single" w:sz="8" w:space="0" w:color="FFFFFF"/>
              <w:right w:val="single" w:sz="8" w:space="0" w:color="FFFFFF"/>
            </w:tcBorders>
            <w:shd w:val="clear" w:color="000000" w:fill="DBE5F1"/>
            <w:noWrap/>
            <w:hideMark/>
          </w:tcPr>
          <w:p w14:paraId="2DB59603" w14:textId="77777777" w:rsidR="00B86FB3" w:rsidRPr="00FF756A" w:rsidRDefault="00B86FB3" w:rsidP="00B86FB3">
            <w:pPr>
              <w:jc w:val="right"/>
              <w:rPr>
                <w:rFonts w:eastAsia="Times New Roman"/>
                <w:color w:val="000000"/>
                <w:sz w:val="18"/>
                <w:szCs w:val="18"/>
              </w:rPr>
            </w:pPr>
            <w:r w:rsidRPr="00FF756A">
              <w:rPr>
                <w:sz w:val="18"/>
                <w:szCs w:val="18"/>
              </w:rPr>
              <w:t xml:space="preserve"> 100,9 </w:t>
            </w:r>
          </w:p>
        </w:tc>
        <w:tc>
          <w:tcPr>
            <w:tcW w:w="866" w:type="dxa"/>
            <w:tcBorders>
              <w:top w:val="nil"/>
              <w:left w:val="nil"/>
              <w:bottom w:val="single" w:sz="8" w:space="0" w:color="FFFFFF"/>
              <w:right w:val="single" w:sz="8" w:space="0" w:color="FFFFFF"/>
            </w:tcBorders>
            <w:shd w:val="clear" w:color="000000" w:fill="DBE5F1"/>
            <w:noWrap/>
            <w:hideMark/>
          </w:tcPr>
          <w:p w14:paraId="2A48AD55" w14:textId="77777777" w:rsidR="00B86FB3" w:rsidRPr="00FF756A" w:rsidRDefault="00B86FB3" w:rsidP="00B86FB3">
            <w:pPr>
              <w:jc w:val="right"/>
              <w:rPr>
                <w:rFonts w:eastAsia="Times New Roman"/>
                <w:color w:val="000000"/>
                <w:sz w:val="18"/>
                <w:szCs w:val="18"/>
              </w:rPr>
            </w:pPr>
            <w:r w:rsidRPr="00FF756A">
              <w:rPr>
                <w:sz w:val="18"/>
                <w:szCs w:val="18"/>
              </w:rPr>
              <w:t xml:space="preserve"> 99,3 </w:t>
            </w:r>
          </w:p>
        </w:tc>
        <w:tc>
          <w:tcPr>
            <w:tcW w:w="866" w:type="dxa"/>
            <w:tcBorders>
              <w:top w:val="nil"/>
              <w:left w:val="nil"/>
              <w:bottom w:val="single" w:sz="8" w:space="0" w:color="FFFFFF"/>
              <w:right w:val="single" w:sz="8" w:space="0" w:color="FFFFFF"/>
            </w:tcBorders>
            <w:shd w:val="clear" w:color="auto" w:fill="4472C4" w:themeFill="accent1"/>
            <w:noWrap/>
            <w:hideMark/>
          </w:tcPr>
          <w:p w14:paraId="412E7137"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89,9 </w:t>
            </w:r>
          </w:p>
        </w:tc>
        <w:tc>
          <w:tcPr>
            <w:tcW w:w="866" w:type="dxa"/>
            <w:tcBorders>
              <w:top w:val="nil"/>
              <w:left w:val="nil"/>
              <w:bottom w:val="single" w:sz="8" w:space="0" w:color="FFFFFF"/>
              <w:right w:val="single" w:sz="8" w:space="0" w:color="FFFFFF"/>
            </w:tcBorders>
            <w:shd w:val="clear" w:color="000000" w:fill="DBE5F1"/>
            <w:noWrap/>
          </w:tcPr>
          <w:p w14:paraId="2DBA34EE" w14:textId="77777777" w:rsidR="00B86FB3" w:rsidRPr="00FF756A" w:rsidRDefault="00B86FB3" w:rsidP="00B86FB3">
            <w:pPr>
              <w:jc w:val="right"/>
              <w:rPr>
                <w:rFonts w:eastAsia="Times New Roman"/>
                <w:color w:val="000000"/>
                <w:sz w:val="18"/>
                <w:szCs w:val="18"/>
              </w:rPr>
            </w:pPr>
            <w:r w:rsidRPr="00FF756A">
              <w:rPr>
                <w:sz w:val="18"/>
                <w:szCs w:val="18"/>
              </w:rPr>
              <w:t xml:space="preserve"> 82,5 </w:t>
            </w:r>
          </w:p>
        </w:tc>
        <w:tc>
          <w:tcPr>
            <w:tcW w:w="867" w:type="dxa"/>
            <w:tcBorders>
              <w:top w:val="nil"/>
              <w:left w:val="nil"/>
              <w:bottom w:val="single" w:sz="8" w:space="0" w:color="FFFFFF"/>
              <w:right w:val="single" w:sz="8" w:space="0" w:color="FFFFFF"/>
            </w:tcBorders>
            <w:shd w:val="clear" w:color="000000" w:fill="DBE5F1"/>
            <w:noWrap/>
            <w:hideMark/>
          </w:tcPr>
          <w:p w14:paraId="5B8D6228" w14:textId="77777777" w:rsidR="00B86FB3" w:rsidRPr="00FF756A" w:rsidRDefault="00B86FB3" w:rsidP="00B86FB3">
            <w:pPr>
              <w:jc w:val="right"/>
              <w:rPr>
                <w:rFonts w:eastAsia="Times New Roman"/>
                <w:color w:val="000000"/>
                <w:sz w:val="18"/>
                <w:szCs w:val="18"/>
              </w:rPr>
            </w:pPr>
            <w:r w:rsidRPr="00FF756A">
              <w:rPr>
                <w:sz w:val="18"/>
                <w:szCs w:val="18"/>
              </w:rPr>
              <w:t xml:space="preserve"> 81,4 </w:t>
            </w:r>
          </w:p>
        </w:tc>
      </w:tr>
      <w:tr w:rsidR="00B86FB3" w:rsidRPr="00FF756A" w14:paraId="45FBAB5B"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1DC15F4D" w14:textId="77777777" w:rsidR="00B86FB3" w:rsidRPr="00FF756A" w:rsidRDefault="00B86FB3" w:rsidP="00B86FB3">
            <w:pPr>
              <w:rPr>
                <w:rFonts w:eastAsia="Times New Roman"/>
                <w:color w:val="FFFFFF"/>
                <w:sz w:val="18"/>
                <w:szCs w:val="18"/>
              </w:rPr>
            </w:pPr>
            <w:r w:rsidRPr="00FF756A">
              <w:rPr>
                <w:color w:val="FFFFFF"/>
                <w:sz w:val="18"/>
                <w:szCs w:val="18"/>
              </w:rPr>
              <w:t>Ndriçimi</w:t>
            </w:r>
          </w:p>
        </w:tc>
        <w:tc>
          <w:tcPr>
            <w:tcW w:w="866" w:type="dxa"/>
            <w:tcBorders>
              <w:top w:val="nil"/>
              <w:left w:val="nil"/>
              <w:bottom w:val="single" w:sz="8" w:space="0" w:color="FFFFFF"/>
              <w:right w:val="single" w:sz="8" w:space="0" w:color="FFFFFF"/>
            </w:tcBorders>
            <w:shd w:val="clear" w:color="000000" w:fill="B8CCE4"/>
            <w:noWrap/>
            <w:hideMark/>
          </w:tcPr>
          <w:p w14:paraId="1E71BC7B" w14:textId="77777777" w:rsidR="00B86FB3" w:rsidRPr="00FF756A" w:rsidRDefault="00B86FB3" w:rsidP="00B86FB3">
            <w:pPr>
              <w:jc w:val="right"/>
              <w:rPr>
                <w:rFonts w:eastAsia="Times New Roman"/>
                <w:color w:val="000000"/>
                <w:sz w:val="18"/>
                <w:szCs w:val="18"/>
              </w:rPr>
            </w:pPr>
            <w:r w:rsidRPr="00FF756A">
              <w:rPr>
                <w:sz w:val="18"/>
                <w:szCs w:val="18"/>
              </w:rPr>
              <w:t xml:space="preserve"> 0,0 </w:t>
            </w:r>
          </w:p>
        </w:tc>
        <w:tc>
          <w:tcPr>
            <w:tcW w:w="866" w:type="dxa"/>
            <w:tcBorders>
              <w:top w:val="nil"/>
              <w:left w:val="nil"/>
              <w:bottom w:val="single" w:sz="8" w:space="0" w:color="FFFFFF"/>
              <w:right w:val="single" w:sz="8" w:space="0" w:color="FFFFFF"/>
            </w:tcBorders>
            <w:shd w:val="clear" w:color="000000" w:fill="B8CCE4"/>
            <w:noWrap/>
            <w:hideMark/>
          </w:tcPr>
          <w:p w14:paraId="0C58744F" w14:textId="77777777" w:rsidR="00B86FB3" w:rsidRPr="00FF756A" w:rsidRDefault="00B86FB3" w:rsidP="00B86FB3">
            <w:pPr>
              <w:jc w:val="right"/>
              <w:rPr>
                <w:rFonts w:eastAsia="Times New Roman"/>
                <w:color w:val="000000"/>
                <w:sz w:val="18"/>
                <w:szCs w:val="18"/>
              </w:rPr>
            </w:pPr>
            <w:r w:rsidRPr="00FF756A">
              <w:rPr>
                <w:sz w:val="18"/>
                <w:szCs w:val="18"/>
              </w:rPr>
              <w:t xml:space="preserve"> 0,0 </w:t>
            </w:r>
          </w:p>
        </w:tc>
        <w:tc>
          <w:tcPr>
            <w:tcW w:w="866" w:type="dxa"/>
            <w:tcBorders>
              <w:top w:val="nil"/>
              <w:left w:val="nil"/>
              <w:bottom w:val="single" w:sz="8" w:space="0" w:color="FFFFFF"/>
              <w:right w:val="single" w:sz="8" w:space="0" w:color="FFFFFF"/>
            </w:tcBorders>
            <w:shd w:val="clear" w:color="000000" w:fill="B8CCE4"/>
            <w:noWrap/>
            <w:hideMark/>
          </w:tcPr>
          <w:p w14:paraId="3872A1F6" w14:textId="77777777" w:rsidR="00B86FB3" w:rsidRPr="00FF756A" w:rsidRDefault="00B86FB3" w:rsidP="00B86FB3">
            <w:pPr>
              <w:jc w:val="right"/>
              <w:rPr>
                <w:rFonts w:eastAsia="Times New Roman"/>
                <w:color w:val="000000"/>
                <w:sz w:val="18"/>
                <w:szCs w:val="18"/>
              </w:rPr>
            </w:pPr>
            <w:r w:rsidRPr="00FF756A">
              <w:rPr>
                <w:sz w:val="18"/>
                <w:szCs w:val="18"/>
              </w:rPr>
              <w:t xml:space="preserve"> 0,0 </w:t>
            </w:r>
          </w:p>
        </w:tc>
        <w:tc>
          <w:tcPr>
            <w:tcW w:w="867" w:type="dxa"/>
            <w:tcBorders>
              <w:top w:val="nil"/>
              <w:left w:val="nil"/>
              <w:bottom w:val="single" w:sz="8" w:space="0" w:color="FFFFFF"/>
              <w:right w:val="single" w:sz="8" w:space="0" w:color="FFFFFF"/>
            </w:tcBorders>
            <w:shd w:val="clear" w:color="000000" w:fill="B8CCE4"/>
            <w:noWrap/>
            <w:hideMark/>
          </w:tcPr>
          <w:p w14:paraId="20BC3B1A" w14:textId="77777777" w:rsidR="00B86FB3" w:rsidRPr="00FF756A" w:rsidRDefault="00B86FB3" w:rsidP="00B86FB3">
            <w:pPr>
              <w:jc w:val="right"/>
              <w:rPr>
                <w:rFonts w:eastAsia="Times New Roman"/>
                <w:color w:val="000000"/>
                <w:sz w:val="18"/>
                <w:szCs w:val="18"/>
              </w:rPr>
            </w:pPr>
            <w:r w:rsidRPr="00FF756A">
              <w:rPr>
                <w:sz w:val="18"/>
                <w:szCs w:val="18"/>
              </w:rPr>
              <w:t xml:space="preserve"> 0,0 </w:t>
            </w:r>
          </w:p>
        </w:tc>
        <w:tc>
          <w:tcPr>
            <w:tcW w:w="866" w:type="dxa"/>
            <w:tcBorders>
              <w:top w:val="nil"/>
              <w:left w:val="nil"/>
              <w:bottom w:val="single" w:sz="8" w:space="0" w:color="FFFFFF"/>
              <w:right w:val="single" w:sz="8" w:space="0" w:color="FFFFFF"/>
            </w:tcBorders>
            <w:shd w:val="clear" w:color="000000" w:fill="B8CCE4"/>
            <w:noWrap/>
            <w:hideMark/>
          </w:tcPr>
          <w:p w14:paraId="70341B06" w14:textId="77777777" w:rsidR="00B86FB3" w:rsidRPr="00FF756A" w:rsidRDefault="00B86FB3" w:rsidP="00B86FB3">
            <w:pPr>
              <w:jc w:val="right"/>
              <w:rPr>
                <w:rFonts w:eastAsia="Times New Roman"/>
                <w:color w:val="000000"/>
                <w:sz w:val="18"/>
                <w:szCs w:val="18"/>
              </w:rPr>
            </w:pPr>
            <w:r w:rsidRPr="00FF756A">
              <w:rPr>
                <w:sz w:val="18"/>
                <w:szCs w:val="18"/>
              </w:rPr>
              <w:t xml:space="preserve"> 0,0 </w:t>
            </w:r>
          </w:p>
        </w:tc>
        <w:tc>
          <w:tcPr>
            <w:tcW w:w="866" w:type="dxa"/>
            <w:tcBorders>
              <w:top w:val="nil"/>
              <w:left w:val="nil"/>
              <w:bottom w:val="single" w:sz="8" w:space="0" w:color="FFFFFF"/>
              <w:right w:val="single" w:sz="8" w:space="0" w:color="FFFFFF"/>
            </w:tcBorders>
            <w:shd w:val="clear" w:color="auto" w:fill="4472C4" w:themeFill="accent1"/>
            <w:noWrap/>
            <w:hideMark/>
          </w:tcPr>
          <w:p w14:paraId="19FDB96E"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0,0 </w:t>
            </w:r>
          </w:p>
        </w:tc>
        <w:tc>
          <w:tcPr>
            <w:tcW w:w="866" w:type="dxa"/>
            <w:tcBorders>
              <w:top w:val="nil"/>
              <w:left w:val="nil"/>
              <w:bottom w:val="single" w:sz="8" w:space="0" w:color="FFFFFF"/>
              <w:right w:val="single" w:sz="8" w:space="0" w:color="FFFFFF"/>
            </w:tcBorders>
            <w:shd w:val="clear" w:color="000000" w:fill="B8CCE4"/>
            <w:noWrap/>
          </w:tcPr>
          <w:p w14:paraId="35BF7B5E" w14:textId="77777777" w:rsidR="00B86FB3" w:rsidRPr="00FF756A" w:rsidRDefault="00B86FB3" w:rsidP="00B86FB3">
            <w:pPr>
              <w:jc w:val="right"/>
              <w:rPr>
                <w:rFonts w:eastAsia="Times New Roman"/>
                <w:color w:val="000000"/>
                <w:sz w:val="18"/>
                <w:szCs w:val="18"/>
              </w:rPr>
            </w:pPr>
            <w:r w:rsidRPr="00FF756A">
              <w:rPr>
                <w:sz w:val="18"/>
                <w:szCs w:val="18"/>
              </w:rPr>
              <w:t xml:space="preserve"> 0,0 </w:t>
            </w:r>
          </w:p>
        </w:tc>
        <w:tc>
          <w:tcPr>
            <w:tcW w:w="867" w:type="dxa"/>
            <w:tcBorders>
              <w:top w:val="nil"/>
              <w:left w:val="nil"/>
              <w:bottom w:val="single" w:sz="8" w:space="0" w:color="FFFFFF"/>
              <w:right w:val="single" w:sz="8" w:space="0" w:color="FFFFFF"/>
            </w:tcBorders>
            <w:shd w:val="clear" w:color="000000" w:fill="B8CCE4"/>
            <w:noWrap/>
            <w:hideMark/>
          </w:tcPr>
          <w:p w14:paraId="0DEC86CA" w14:textId="77777777" w:rsidR="00B86FB3" w:rsidRPr="00FF756A" w:rsidRDefault="00B86FB3" w:rsidP="00B86FB3">
            <w:pPr>
              <w:jc w:val="right"/>
              <w:rPr>
                <w:rFonts w:eastAsia="Times New Roman"/>
                <w:color w:val="000000"/>
                <w:sz w:val="18"/>
                <w:szCs w:val="18"/>
              </w:rPr>
            </w:pPr>
            <w:r w:rsidRPr="00FF756A">
              <w:rPr>
                <w:sz w:val="18"/>
                <w:szCs w:val="18"/>
              </w:rPr>
              <w:t xml:space="preserve"> 0,0 </w:t>
            </w:r>
          </w:p>
        </w:tc>
      </w:tr>
      <w:tr w:rsidR="00B86FB3" w:rsidRPr="00FF756A" w14:paraId="45F06596"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62E98FD5" w14:textId="77777777" w:rsidR="00B86FB3" w:rsidRPr="00FF756A" w:rsidRDefault="00B86FB3" w:rsidP="00B86FB3">
            <w:pPr>
              <w:rPr>
                <w:rFonts w:eastAsia="Times New Roman"/>
                <w:color w:val="FFFFFF"/>
                <w:sz w:val="18"/>
                <w:szCs w:val="18"/>
              </w:rPr>
            </w:pPr>
            <w:r w:rsidRPr="00FF756A">
              <w:rPr>
                <w:color w:val="FFFFFF"/>
                <w:sz w:val="18"/>
                <w:szCs w:val="18"/>
              </w:rPr>
              <w:t>Ftohja e hapësirave</w:t>
            </w:r>
          </w:p>
        </w:tc>
        <w:tc>
          <w:tcPr>
            <w:tcW w:w="866" w:type="dxa"/>
            <w:tcBorders>
              <w:top w:val="nil"/>
              <w:left w:val="nil"/>
              <w:bottom w:val="single" w:sz="8" w:space="0" w:color="FFFFFF"/>
              <w:right w:val="single" w:sz="8" w:space="0" w:color="FFFFFF"/>
            </w:tcBorders>
            <w:shd w:val="clear" w:color="000000" w:fill="DBE5F1"/>
            <w:noWrap/>
            <w:hideMark/>
          </w:tcPr>
          <w:p w14:paraId="353FCD0D" w14:textId="77777777" w:rsidR="00B86FB3" w:rsidRPr="00FF756A" w:rsidRDefault="00B86FB3" w:rsidP="00B86FB3">
            <w:pPr>
              <w:jc w:val="right"/>
              <w:rPr>
                <w:rFonts w:eastAsia="Times New Roman"/>
                <w:color w:val="000000"/>
                <w:sz w:val="18"/>
                <w:szCs w:val="18"/>
              </w:rPr>
            </w:pPr>
            <w:r w:rsidRPr="00FF756A">
              <w:rPr>
                <w:sz w:val="18"/>
                <w:szCs w:val="18"/>
              </w:rPr>
              <w:t xml:space="preserve"> 32,4 </w:t>
            </w:r>
          </w:p>
        </w:tc>
        <w:tc>
          <w:tcPr>
            <w:tcW w:w="866" w:type="dxa"/>
            <w:tcBorders>
              <w:top w:val="nil"/>
              <w:left w:val="nil"/>
              <w:bottom w:val="single" w:sz="8" w:space="0" w:color="FFFFFF"/>
              <w:right w:val="single" w:sz="8" w:space="0" w:color="FFFFFF"/>
            </w:tcBorders>
            <w:shd w:val="clear" w:color="000000" w:fill="DBE5F1"/>
            <w:noWrap/>
            <w:hideMark/>
          </w:tcPr>
          <w:p w14:paraId="6BAA2A10" w14:textId="77777777" w:rsidR="00B86FB3" w:rsidRPr="00FF756A" w:rsidRDefault="00B86FB3" w:rsidP="00B86FB3">
            <w:pPr>
              <w:jc w:val="right"/>
              <w:rPr>
                <w:rFonts w:eastAsia="Times New Roman"/>
                <w:color w:val="000000"/>
                <w:sz w:val="18"/>
                <w:szCs w:val="18"/>
              </w:rPr>
            </w:pPr>
            <w:r w:rsidRPr="00FF756A">
              <w:rPr>
                <w:sz w:val="18"/>
                <w:szCs w:val="18"/>
              </w:rPr>
              <w:t xml:space="preserve"> 34,4 </w:t>
            </w:r>
          </w:p>
        </w:tc>
        <w:tc>
          <w:tcPr>
            <w:tcW w:w="866" w:type="dxa"/>
            <w:tcBorders>
              <w:top w:val="nil"/>
              <w:left w:val="nil"/>
              <w:bottom w:val="single" w:sz="8" w:space="0" w:color="FFFFFF"/>
              <w:right w:val="single" w:sz="8" w:space="0" w:color="FFFFFF"/>
            </w:tcBorders>
            <w:shd w:val="clear" w:color="000000" w:fill="DBE5F1"/>
            <w:noWrap/>
            <w:hideMark/>
          </w:tcPr>
          <w:p w14:paraId="7A1C8672" w14:textId="77777777" w:rsidR="00B86FB3" w:rsidRPr="00FF756A" w:rsidRDefault="00B86FB3" w:rsidP="00B86FB3">
            <w:pPr>
              <w:jc w:val="right"/>
              <w:rPr>
                <w:rFonts w:eastAsia="Times New Roman"/>
                <w:color w:val="000000"/>
                <w:sz w:val="18"/>
                <w:szCs w:val="18"/>
              </w:rPr>
            </w:pPr>
            <w:r w:rsidRPr="00FF756A">
              <w:rPr>
                <w:sz w:val="18"/>
                <w:szCs w:val="18"/>
              </w:rPr>
              <w:t xml:space="preserve"> 34,1 </w:t>
            </w:r>
          </w:p>
        </w:tc>
        <w:tc>
          <w:tcPr>
            <w:tcW w:w="867" w:type="dxa"/>
            <w:tcBorders>
              <w:top w:val="nil"/>
              <w:left w:val="nil"/>
              <w:bottom w:val="single" w:sz="8" w:space="0" w:color="FFFFFF"/>
              <w:right w:val="single" w:sz="8" w:space="0" w:color="FFFFFF"/>
            </w:tcBorders>
            <w:shd w:val="clear" w:color="000000" w:fill="DBE5F1"/>
            <w:noWrap/>
            <w:hideMark/>
          </w:tcPr>
          <w:p w14:paraId="335EAD24" w14:textId="77777777" w:rsidR="00B86FB3" w:rsidRPr="00FF756A" w:rsidRDefault="00B86FB3" w:rsidP="00B86FB3">
            <w:pPr>
              <w:jc w:val="right"/>
              <w:rPr>
                <w:rFonts w:eastAsia="Times New Roman"/>
                <w:color w:val="000000"/>
                <w:sz w:val="18"/>
                <w:szCs w:val="18"/>
              </w:rPr>
            </w:pPr>
            <w:r w:rsidRPr="00FF756A">
              <w:rPr>
                <w:sz w:val="18"/>
                <w:szCs w:val="18"/>
              </w:rPr>
              <w:t xml:space="preserve"> 33,8 </w:t>
            </w:r>
          </w:p>
        </w:tc>
        <w:tc>
          <w:tcPr>
            <w:tcW w:w="866" w:type="dxa"/>
            <w:tcBorders>
              <w:top w:val="nil"/>
              <w:left w:val="nil"/>
              <w:bottom w:val="single" w:sz="8" w:space="0" w:color="FFFFFF"/>
              <w:right w:val="single" w:sz="8" w:space="0" w:color="FFFFFF"/>
            </w:tcBorders>
            <w:shd w:val="clear" w:color="000000" w:fill="DBE5F1"/>
            <w:noWrap/>
            <w:hideMark/>
          </w:tcPr>
          <w:p w14:paraId="5224FCF1" w14:textId="77777777" w:rsidR="00B86FB3" w:rsidRPr="00FF756A" w:rsidRDefault="00B86FB3" w:rsidP="00B86FB3">
            <w:pPr>
              <w:jc w:val="right"/>
              <w:rPr>
                <w:rFonts w:eastAsia="Times New Roman"/>
                <w:color w:val="000000"/>
                <w:sz w:val="18"/>
                <w:szCs w:val="18"/>
              </w:rPr>
            </w:pPr>
            <w:r w:rsidRPr="00FF756A">
              <w:rPr>
                <w:sz w:val="18"/>
                <w:szCs w:val="18"/>
              </w:rPr>
              <w:t xml:space="preserve"> 34,7 </w:t>
            </w:r>
          </w:p>
        </w:tc>
        <w:tc>
          <w:tcPr>
            <w:tcW w:w="866" w:type="dxa"/>
            <w:tcBorders>
              <w:top w:val="nil"/>
              <w:left w:val="nil"/>
              <w:bottom w:val="single" w:sz="8" w:space="0" w:color="FFFFFF"/>
              <w:right w:val="single" w:sz="8" w:space="0" w:color="FFFFFF"/>
            </w:tcBorders>
            <w:shd w:val="clear" w:color="auto" w:fill="4472C4" w:themeFill="accent1"/>
            <w:noWrap/>
            <w:hideMark/>
          </w:tcPr>
          <w:p w14:paraId="70089299"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37,5 </w:t>
            </w:r>
          </w:p>
        </w:tc>
        <w:tc>
          <w:tcPr>
            <w:tcW w:w="866" w:type="dxa"/>
            <w:tcBorders>
              <w:top w:val="nil"/>
              <w:left w:val="nil"/>
              <w:bottom w:val="single" w:sz="8" w:space="0" w:color="FFFFFF"/>
              <w:right w:val="single" w:sz="8" w:space="0" w:color="FFFFFF"/>
            </w:tcBorders>
            <w:shd w:val="clear" w:color="000000" w:fill="DBE5F1"/>
            <w:noWrap/>
          </w:tcPr>
          <w:p w14:paraId="13ECEAC0" w14:textId="77777777" w:rsidR="00B86FB3" w:rsidRPr="00FF756A" w:rsidRDefault="00B86FB3" w:rsidP="00B86FB3">
            <w:pPr>
              <w:jc w:val="right"/>
              <w:rPr>
                <w:rFonts w:eastAsia="Times New Roman"/>
                <w:color w:val="000000"/>
                <w:sz w:val="18"/>
                <w:szCs w:val="18"/>
              </w:rPr>
            </w:pPr>
            <w:r w:rsidRPr="00FF756A">
              <w:rPr>
                <w:sz w:val="18"/>
                <w:szCs w:val="18"/>
              </w:rPr>
              <w:t xml:space="preserve"> 48,7 </w:t>
            </w:r>
          </w:p>
        </w:tc>
        <w:tc>
          <w:tcPr>
            <w:tcW w:w="867" w:type="dxa"/>
            <w:tcBorders>
              <w:top w:val="nil"/>
              <w:left w:val="nil"/>
              <w:bottom w:val="single" w:sz="8" w:space="0" w:color="FFFFFF"/>
              <w:right w:val="single" w:sz="8" w:space="0" w:color="FFFFFF"/>
            </w:tcBorders>
            <w:shd w:val="clear" w:color="000000" w:fill="DBE5F1"/>
            <w:noWrap/>
            <w:hideMark/>
          </w:tcPr>
          <w:p w14:paraId="02F68246" w14:textId="77777777" w:rsidR="00B86FB3" w:rsidRPr="00FF756A" w:rsidRDefault="00B86FB3" w:rsidP="00B86FB3">
            <w:pPr>
              <w:jc w:val="right"/>
              <w:rPr>
                <w:rFonts w:eastAsia="Times New Roman"/>
                <w:color w:val="000000"/>
                <w:sz w:val="18"/>
                <w:szCs w:val="18"/>
              </w:rPr>
            </w:pPr>
            <w:r w:rsidRPr="00FF756A">
              <w:rPr>
                <w:sz w:val="18"/>
                <w:szCs w:val="18"/>
              </w:rPr>
              <w:t xml:space="preserve"> 77,4 </w:t>
            </w:r>
          </w:p>
        </w:tc>
      </w:tr>
      <w:tr w:rsidR="00B86FB3" w:rsidRPr="00FF756A" w14:paraId="78E4EF3A"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32760124" w14:textId="77777777" w:rsidR="00B86FB3" w:rsidRPr="00FF756A" w:rsidRDefault="00B86FB3" w:rsidP="00B86FB3">
            <w:pPr>
              <w:rPr>
                <w:rFonts w:eastAsia="Times New Roman"/>
                <w:color w:val="FFFFFF"/>
                <w:sz w:val="18"/>
                <w:szCs w:val="18"/>
              </w:rPr>
            </w:pPr>
            <w:r w:rsidRPr="00FF756A">
              <w:rPr>
                <w:color w:val="FFFFFF"/>
                <w:sz w:val="18"/>
                <w:szCs w:val="18"/>
              </w:rPr>
              <w:t>Ngrohja e ujit</w:t>
            </w:r>
          </w:p>
        </w:tc>
        <w:tc>
          <w:tcPr>
            <w:tcW w:w="866" w:type="dxa"/>
            <w:tcBorders>
              <w:top w:val="nil"/>
              <w:left w:val="nil"/>
              <w:bottom w:val="single" w:sz="8" w:space="0" w:color="FFFFFF"/>
              <w:right w:val="single" w:sz="8" w:space="0" w:color="FFFFFF"/>
            </w:tcBorders>
            <w:shd w:val="clear" w:color="000000" w:fill="B8CCE4"/>
            <w:noWrap/>
            <w:hideMark/>
          </w:tcPr>
          <w:p w14:paraId="74167DCB" w14:textId="77777777" w:rsidR="00B86FB3" w:rsidRPr="00FF756A" w:rsidRDefault="00B86FB3" w:rsidP="00B86FB3">
            <w:pPr>
              <w:jc w:val="right"/>
              <w:rPr>
                <w:rFonts w:eastAsia="Times New Roman"/>
                <w:color w:val="000000"/>
                <w:sz w:val="18"/>
                <w:szCs w:val="18"/>
              </w:rPr>
            </w:pPr>
            <w:r w:rsidRPr="00FF756A">
              <w:rPr>
                <w:sz w:val="18"/>
                <w:szCs w:val="18"/>
              </w:rPr>
              <w:t xml:space="preserve"> 51,4 </w:t>
            </w:r>
          </w:p>
        </w:tc>
        <w:tc>
          <w:tcPr>
            <w:tcW w:w="866" w:type="dxa"/>
            <w:tcBorders>
              <w:top w:val="nil"/>
              <w:left w:val="nil"/>
              <w:bottom w:val="single" w:sz="8" w:space="0" w:color="FFFFFF"/>
              <w:right w:val="single" w:sz="8" w:space="0" w:color="FFFFFF"/>
            </w:tcBorders>
            <w:shd w:val="clear" w:color="000000" w:fill="B8CCE4"/>
            <w:noWrap/>
            <w:hideMark/>
          </w:tcPr>
          <w:p w14:paraId="1DE4CC09" w14:textId="77777777" w:rsidR="00B86FB3" w:rsidRPr="00FF756A" w:rsidRDefault="00B86FB3" w:rsidP="00B86FB3">
            <w:pPr>
              <w:jc w:val="right"/>
              <w:rPr>
                <w:rFonts w:eastAsia="Times New Roman"/>
                <w:color w:val="000000"/>
                <w:sz w:val="18"/>
                <w:szCs w:val="18"/>
              </w:rPr>
            </w:pPr>
            <w:r w:rsidRPr="00FF756A">
              <w:rPr>
                <w:sz w:val="18"/>
                <w:szCs w:val="18"/>
              </w:rPr>
              <w:t xml:space="preserve"> 52,2 </w:t>
            </w:r>
          </w:p>
        </w:tc>
        <w:tc>
          <w:tcPr>
            <w:tcW w:w="866" w:type="dxa"/>
            <w:tcBorders>
              <w:top w:val="nil"/>
              <w:left w:val="nil"/>
              <w:bottom w:val="single" w:sz="8" w:space="0" w:color="FFFFFF"/>
              <w:right w:val="single" w:sz="8" w:space="0" w:color="FFFFFF"/>
            </w:tcBorders>
            <w:shd w:val="clear" w:color="000000" w:fill="B8CCE4"/>
            <w:noWrap/>
            <w:hideMark/>
          </w:tcPr>
          <w:p w14:paraId="6D742F56" w14:textId="77777777" w:rsidR="00B86FB3" w:rsidRPr="00FF756A" w:rsidRDefault="00B86FB3" w:rsidP="00B86FB3">
            <w:pPr>
              <w:jc w:val="right"/>
              <w:rPr>
                <w:rFonts w:eastAsia="Times New Roman"/>
                <w:color w:val="000000"/>
                <w:sz w:val="18"/>
                <w:szCs w:val="18"/>
              </w:rPr>
            </w:pPr>
            <w:r w:rsidRPr="00FF756A">
              <w:rPr>
                <w:sz w:val="18"/>
                <w:szCs w:val="18"/>
              </w:rPr>
              <w:t xml:space="preserve"> 50,5 </w:t>
            </w:r>
          </w:p>
        </w:tc>
        <w:tc>
          <w:tcPr>
            <w:tcW w:w="867" w:type="dxa"/>
            <w:tcBorders>
              <w:top w:val="nil"/>
              <w:left w:val="nil"/>
              <w:bottom w:val="single" w:sz="8" w:space="0" w:color="FFFFFF"/>
              <w:right w:val="single" w:sz="8" w:space="0" w:color="FFFFFF"/>
            </w:tcBorders>
            <w:shd w:val="clear" w:color="000000" w:fill="B8CCE4"/>
            <w:noWrap/>
            <w:hideMark/>
          </w:tcPr>
          <w:p w14:paraId="1D48EDAE" w14:textId="77777777" w:rsidR="00B86FB3" w:rsidRPr="00FF756A" w:rsidRDefault="00B86FB3" w:rsidP="00B86FB3">
            <w:pPr>
              <w:jc w:val="right"/>
              <w:rPr>
                <w:rFonts w:eastAsia="Times New Roman"/>
                <w:color w:val="000000"/>
                <w:sz w:val="18"/>
                <w:szCs w:val="18"/>
              </w:rPr>
            </w:pPr>
            <w:r w:rsidRPr="00FF756A">
              <w:rPr>
                <w:sz w:val="18"/>
                <w:szCs w:val="18"/>
              </w:rPr>
              <w:t xml:space="preserve"> 48,8 </w:t>
            </w:r>
          </w:p>
        </w:tc>
        <w:tc>
          <w:tcPr>
            <w:tcW w:w="866" w:type="dxa"/>
            <w:tcBorders>
              <w:top w:val="nil"/>
              <w:left w:val="nil"/>
              <w:bottom w:val="single" w:sz="8" w:space="0" w:color="FFFFFF"/>
              <w:right w:val="single" w:sz="8" w:space="0" w:color="FFFFFF"/>
            </w:tcBorders>
            <w:shd w:val="clear" w:color="000000" w:fill="B8CCE4"/>
            <w:noWrap/>
            <w:hideMark/>
          </w:tcPr>
          <w:p w14:paraId="11D2F45F" w14:textId="77777777" w:rsidR="00B86FB3" w:rsidRPr="00FF756A" w:rsidRDefault="00B86FB3" w:rsidP="00B86FB3">
            <w:pPr>
              <w:jc w:val="right"/>
              <w:rPr>
                <w:rFonts w:eastAsia="Times New Roman"/>
                <w:color w:val="000000"/>
                <w:sz w:val="18"/>
                <w:szCs w:val="18"/>
              </w:rPr>
            </w:pPr>
            <w:r w:rsidRPr="00FF756A">
              <w:rPr>
                <w:sz w:val="18"/>
                <w:szCs w:val="18"/>
              </w:rPr>
              <w:t xml:space="preserve"> 48,7 </w:t>
            </w:r>
          </w:p>
        </w:tc>
        <w:tc>
          <w:tcPr>
            <w:tcW w:w="866" w:type="dxa"/>
            <w:tcBorders>
              <w:top w:val="nil"/>
              <w:left w:val="nil"/>
              <w:bottom w:val="single" w:sz="8" w:space="0" w:color="FFFFFF"/>
              <w:right w:val="single" w:sz="8" w:space="0" w:color="FFFFFF"/>
            </w:tcBorders>
            <w:shd w:val="clear" w:color="auto" w:fill="4472C4" w:themeFill="accent1"/>
            <w:noWrap/>
            <w:hideMark/>
          </w:tcPr>
          <w:p w14:paraId="64F590EA"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49,4 </w:t>
            </w:r>
          </w:p>
        </w:tc>
        <w:tc>
          <w:tcPr>
            <w:tcW w:w="866" w:type="dxa"/>
            <w:tcBorders>
              <w:top w:val="nil"/>
              <w:left w:val="nil"/>
              <w:bottom w:val="single" w:sz="8" w:space="0" w:color="FFFFFF"/>
              <w:right w:val="single" w:sz="8" w:space="0" w:color="FFFFFF"/>
            </w:tcBorders>
            <w:shd w:val="clear" w:color="000000" w:fill="B8CCE4"/>
            <w:noWrap/>
          </w:tcPr>
          <w:p w14:paraId="3BC547E3" w14:textId="77777777" w:rsidR="00B86FB3" w:rsidRPr="00FF756A" w:rsidRDefault="00B86FB3" w:rsidP="00B86FB3">
            <w:pPr>
              <w:jc w:val="right"/>
              <w:rPr>
                <w:rFonts w:eastAsia="Times New Roman"/>
                <w:color w:val="000000"/>
                <w:sz w:val="18"/>
                <w:szCs w:val="18"/>
              </w:rPr>
            </w:pPr>
            <w:r w:rsidRPr="00FF756A">
              <w:rPr>
                <w:sz w:val="18"/>
                <w:szCs w:val="18"/>
              </w:rPr>
              <w:t xml:space="preserve"> 56,6 </w:t>
            </w:r>
          </w:p>
        </w:tc>
        <w:tc>
          <w:tcPr>
            <w:tcW w:w="867" w:type="dxa"/>
            <w:tcBorders>
              <w:top w:val="nil"/>
              <w:left w:val="nil"/>
              <w:bottom w:val="single" w:sz="8" w:space="0" w:color="FFFFFF"/>
              <w:right w:val="single" w:sz="8" w:space="0" w:color="FFFFFF"/>
            </w:tcBorders>
            <w:shd w:val="clear" w:color="000000" w:fill="B8CCE4"/>
            <w:noWrap/>
            <w:hideMark/>
          </w:tcPr>
          <w:p w14:paraId="1A639201" w14:textId="77777777" w:rsidR="00B86FB3" w:rsidRPr="00FF756A" w:rsidRDefault="00B86FB3" w:rsidP="00B86FB3">
            <w:pPr>
              <w:jc w:val="right"/>
              <w:rPr>
                <w:rFonts w:eastAsia="Times New Roman"/>
                <w:color w:val="000000"/>
                <w:sz w:val="18"/>
                <w:szCs w:val="18"/>
              </w:rPr>
            </w:pPr>
            <w:r w:rsidRPr="00FF756A">
              <w:rPr>
                <w:sz w:val="18"/>
                <w:szCs w:val="18"/>
              </w:rPr>
              <w:t xml:space="preserve"> 78,8 </w:t>
            </w:r>
          </w:p>
        </w:tc>
      </w:tr>
      <w:tr w:rsidR="00B86FB3" w:rsidRPr="00FF756A" w14:paraId="408AE6F8"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01BA6D20" w14:textId="77777777" w:rsidR="00B86FB3" w:rsidRPr="00FF756A" w:rsidRDefault="00B86FB3" w:rsidP="00B86FB3">
            <w:pPr>
              <w:rPr>
                <w:rFonts w:eastAsia="Times New Roman"/>
                <w:color w:val="FFFFFF"/>
                <w:sz w:val="18"/>
                <w:szCs w:val="18"/>
              </w:rPr>
            </w:pPr>
            <w:r w:rsidRPr="00FF756A">
              <w:rPr>
                <w:color w:val="FFFFFF"/>
                <w:sz w:val="18"/>
                <w:szCs w:val="18"/>
              </w:rPr>
              <w:t>Totali</w:t>
            </w:r>
          </w:p>
        </w:tc>
        <w:tc>
          <w:tcPr>
            <w:tcW w:w="866" w:type="dxa"/>
            <w:tcBorders>
              <w:top w:val="nil"/>
              <w:left w:val="nil"/>
              <w:bottom w:val="single" w:sz="8" w:space="0" w:color="FFFFFF"/>
              <w:right w:val="single" w:sz="8" w:space="0" w:color="FFFFFF"/>
            </w:tcBorders>
            <w:shd w:val="clear" w:color="000000" w:fill="4F81BD"/>
            <w:noWrap/>
            <w:hideMark/>
          </w:tcPr>
          <w:p w14:paraId="67F90B36"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520,2 </w:t>
            </w:r>
          </w:p>
        </w:tc>
        <w:tc>
          <w:tcPr>
            <w:tcW w:w="866" w:type="dxa"/>
            <w:tcBorders>
              <w:top w:val="nil"/>
              <w:left w:val="nil"/>
              <w:bottom w:val="single" w:sz="8" w:space="0" w:color="FFFFFF"/>
              <w:right w:val="single" w:sz="8" w:space="0" w:color="FFFFFF"/>
            </w:tcBorders>
            <w:shd w:val="clear" w:color="000000" w:fill="4F81BD"/>
            <w:noWrap/>
            <w:hideMark/>
          </w:tcPr>
          <w:p w14:paraId="5830055D"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524,5 </w:t>
            </w:r>
          </w:p>
        </w:tc>
        <w:tc>
          <w:tcPr>
            <w:tcW w:w="866" w:type="dxa"/>
            <w:tcBorders>
              <w:top w:val="nil"/>
              <w:left w:val="nil"/>
              <w:bottom w:val="single" w:sz="8" w:space="0" w:color="FFFFFF"/>
              <w:right w:val="single" w:sz="8" w:space="0" w:color="FFFFFF"/>
            </w:tcBorders>
            <w:shd w:val="clear" w:color="000000" w:fill="4F81BD"/>
            <w:noWrap/>
            <w:hideMark/>
          </w:tcPr>
          <w:p w14:paraId="454A9D19"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512,4 </w:t>
            </w:r>
          </w:p>
        </w:tc>
        <w:tc>
          <w:tcPr>
            <w:tcW w:w="867" w:type="dxa"/>
            <w:tcBorders>
              <w:top w:val="nil"/>
              <w:left w:val="nil"/>
              <w:bottom w:val="single" w:sz="8" w:space="0" w:color="FFFFFF"/>
              <w:right w:val="single" w:sz="8" w:space="0" w:color="FFFFFF"/>
            </w:tcBorders>
            <w:shd w:val="clear" w:color="000000" w:fill="4F81BD"/>
            <w:noWrap/>
            <w:hideMark/>
          </w:tcPr>
          <w:p w14:paraId="5A799987"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504,1 </w:t>
            </w:r>
          </w:p>
        </w:tc>
        <w:tc>
          <w:tcPr>
            <w:tcW w:w="866" w:type="dxa"/>
            <w:tcBorders>
              <w:top w:val="nil"/>
              <w:left w:val="nil"/>
              <w:bottom w:val="single" w:sz="8" w:space="0" w:color="FFFFFF"/>
              <w:right w:val="single" w:sz="8" w:space="0" w:color="FFFFFF"/>
            </w:tcBorders>
            <w:shd w:val="clear" w:color="000000" w:fill="4F81BD"/>
            <w:noWrap/>
            <w:hideMark/>
          </w:tcPr>
          <w:p w14:paraId="0603BAE5"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489,2 </w:t>
            </w:r>
          </w:p>
        </w:tc>
        <w:tc>
          <w:tcPr>
            <w:tcW w:w="866" w:type="dxa"/>
            <w:tcBorders>
              <w:top w:val="nil"/>
              <w:left w:val="nil"/>
              <w:bottom w:val="single" w:sz="8" w:space="0" w:color="FFFFFF"/>
              <w:right w:val="single" w:sz="8" w:space="0" w:color="FFFFFF"/>
            </w:tcBorders>
            <w:shd w:val="clear" w:color="auto" w:fill="4472C4" w:themeFill="accent1"/>
            <w:noWrap/>
            <w:hideMark/>
          </w:tcPr>
          <w:p w14:paraId="5825976A"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453,4 </w:t>
            </w:r>
          </w:p>
        </w:tc>
        <w:tc>
          <w:tcPr>
            <w:tcW w:w="866" w:type="dxa"/>
            <w:tcBorders>
              <w:top w:val="nil"/>
              <w:left w:val="nil"/>
              <w:bottom w:val="single" w:sz="8" w:space="0" w:color="FFFFFF"/>
              <w:right w:val="single" w:sz="8" w:space="0" w:color="FFFFFF"/>
            </w:tcBorders>
            <w:shd w:val="clear" w:color="000000" w:fill="4F81BD"/>
            <w:noWrap/>
          </w:tcPr>
          <w:p w14:paraId="352EAE80"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426,0 </w:t>
            </w:r>
          </w:p>
        </w:tc>
        <w:tc>
          <w:tcPr>
            <w:tcW w:w="867" w:type="dxa"/>
            <w:tcBorders>
              <w:top w:val="nil"/>
              <w:left w:val="nil"/>
              <w:bottom w:val="single" w:sz="8" w:space="0" w:color="FFFFFF"/>
              <w:right w:val="single" w:sz="8" w:space="0" w:color="FFFFFF"/>
            </w:tcBorders>
            <w:shd w:val="clear" w:color="000000" w:fill="4F81BD"/>
            <w:noWrap/>
            <w:hideMark/>
          </w:tcPr>
          <w:p w14:paraId="5AE93B0A"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483,4 </w:t>
            </w:r>
          </w:p>
        </w:tc>
      </w:tr>
      <w:tr w:rsidR="00B86FB3" w:rsidRPr="00FF756A" w14:paraId="3A06A261" w14:textId="77777777" w:rsidTr="006A3266">
        <w:trPr>
          <w:trHeight w:val="291"/>
        </w:trPr>
        <w:tc>
          <w:tcPr>
            <w:tcW w:w="9080" w:type="dxa"/>
            <w:gridSpan w:val="9"/>
            <w:tcBorders>
              <w:top w:val="single" w:sz="8" w:space="0" w:color="FFFFFF"/>
              <w:left w:val="single" w:sz="8" w:space="0" w:color="FFFFFF"/>
              <w:bottom w:val="single" w:sz="8" w:space="0" w:color="FFFFFF"/>
              <w:right w:val="single" w:sz="8" w:space="0" w:color="FFFFFF"/>
            </w:tcBorders>
            <w:shd w:val="clear" w:color="auto" w:fill="4472C4" w:themeFill="accent1"/>
            <w:noWrap/>
            <w:vAlign w:val="center"/>
            <w:hideMark/>
          </w:tcPr>
          <w:p w14:paraId="2BCB86FF" w14:textId="77777777" w:rsidR="00B86FB3" w:rsidRPr="00FF756A" w:rsidRDefault="00B86FB3" w:rsidP="00B86FB3">
            <w:pPr>
              <w:rPr>
                <w:rFonts w:eastAsia="Times New Roman"/>
                <w:color w:val="FFFFFF" w:themeColor="background1"/>
                <w:sz w:val="18"/>
                <w:szCs w:val="18"/>
              </w:rPr>
            </w:pPr>
            <w:r w:rsidRPr="00FF756A">
              <w:rPr>
                <w:color w:val="FFFFFF" w:themeColor="background1"/>
                <w:sz w:val="18"/>
                <w:szCs w:val="18"/>
              </w:rPr>
              <w:t>Shërbimet</w:t>
            </w:r>
          </w:p>
        </w:tc>
      </w:tr>
      <w:tr w:rsidR="00B86FB3" w:rsidRPr="00FF756A" w14:paraId="7C5AFF24"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2B90307E" w14:textId="77777777" w:rsidR="00B86FB3" w:rsidRPr="00FF756A" w:rsidRDefault="00B86FB3" w:rsidP="00B86FB3">
            <w:pPr>
              <w:rPr>
                <w:rFonts w:eastAsia="Times New Roman"/>
                <w:color w:val="FFFFFF"/>
                <w:sz w:val="18"/>
                <w:szCs w:val="18"/>
              </w:rPr>
            </w:pPr>
            <w:r w:rsidRPr="00FF756A">
              <w:rPr>
                <w:color w:val="FFFFFF"/>
                <w:sz w:val="18"/>
                <w:szCs w:val="18"/>
              </w:rPr>
              <w:t>Tregtia</w:t>
            </w:r>
          </w:p>
        </w:tc>
        <w:tc>
          <w:tcPr>
            <w:tcW w:w="866" w:type="dxa"/>
            <w:tcBorders>
              <w:top w:val="nil"/>
              <w:left w:val="nil"/>
              <w:bottom w:val="single" w:sz="8" w:space="0" w:color="FFFFFF"/>
              <w:right w:val="single" w:sz="8" w:space="0" w:color="FFFFFF"/>
            </w:tcBorders>
            <w:shd w:val="clear" w:color="000000" w:fill="B8CCE4"/>
            <w:noWrap/>
            <w:hideMark/>
          </w:tcPr>
          <w:p w14:paraId="55A10FAA" w14:textId="77777777" w:rsidR="00B86FB3" w:rsidRPr="00FF756A" w:rsidRDefault="00B86FB3" w:rsidP="00B86FB3">
            <w:pPr>
              <w:jc w:val="right"/>
              <w:rPr>
                <w:rFonts w:eastAsia="Times New Roman"/>
                <w:color w:val="000000"/>
                <w:sz w:val="18"/>
                <w:szCs w:val="18"/>
              </w:rPr>
            </w:pPr>
            <w:r w:rsidRPr="00FF756A">
              <w:rPr>
                <w:sz w:val="18"/>
                <w:szCs w:val="18"/>
              </w:rPr>
              <w:t xml:space="preserve"> 30,2 </w:t>
            </w:r>
          </w:p>
        </w:tc>
        <w:tc>
          <w:tcPr>
            <w:tcW w:w="866" w:type="dxa"/>
            <w:tcBorders>
              <w:top w:val="nil"/>
              <w:left w:val="nil"/>
              <w:bottom w:val="single" w:sz="8" w:space="0" w:color="FFFFFF"/>
              <w:right w:val="single" w:sz="8" w:space="0" w:color="FFFFFF"/>
            </w:tcBorders>
            <w:shd w:val="clear" w:color="000000" w:fill="B8CCE4"/>
            <w:noWrap/>
            <w:hideMark/>
          </w:tcPr>
          <w:p w14:paraId="1EE2C7F3" w14:textId="77777777" w:rsidR="00B86FB3" w:rsidRPr="00FF756A" w:rsidRDefault="00B86FB3" w:rsidP="00B86FB3">
            <w:pPr>
              <w:jc w:val="right"/>
              <w:rPr>
                <w:rFonts w:eastAsia="Times New Roman"/>
                <w:color w:val="000000"/>
                <w:sz w:val="18"/>
                <w:szCs w:val="18"/>
              </w:rPr>
            </w:pPr>
            <w:r w:rsidRPr="00FF756A">
              <w:rPr>
                <w:sz w:val="18"/>
                <w:szCs w:val="18"/>
              </w:rPr>
              <w:t xml:space="preserve"> 32,2 </w:t>
            </w:r>
          </w:p>
        </w:tc>
        <w:tc>
          <w:tcPr>
            <w:tcW w:w="866" w:type="dxa"/>
            <w:tcBorders>
              <w:top w:val="nil"/>
              <w:left w:val="nil"/>
              <w:bottom w:val="single" w:sz="8" w:space="0" w:color="FFFFFF"/>
              <w:right w:val="single" w:sz="8" w:space="0" w:color="FFFFFF"/>
            </w:tcBorders>
            <w:shd w:val="clear" w:color="000000" w:fill="B8CCE4"/>
            <w:noWrap/>
            <w:hideMark/>
          </w:tcPr>
          <w:p w14:paraId="7D1D6AEC" w14:textId="77777777" w:rsidR="00B86FB3" w:rsidRPr="00FF756A" w:rsidRDefault="00B86FB3" w:rsidP="00B86FB3">
            <w:pPr>
              <w:jc w:val="right"/>
              <w:rPr>
                <w:rFonts w:eastAsia="Times New Roman"/>
                <w:color w:val="000000"/>
                <w:sz w:val="18"/>
                <w:szCs w:val="18"/>
              </w:rPr>
            </w:pPr>
            <w:r w:rsidRPr="00FF756A">
              <w:rPr>
                <w:sz w:val="18"/>
                <w:szCs w:val="18"/>
              </w:rPr>
              <w:t xml:space="preserve"> 32,2 </w:t>
            </w:r>
          </w:p>
        </w:tc>
        <w:tc>
          <w:tcPr>
            <w:tcW w:w="867" w:type="dxa"/>
            <w:tcBorders>
              <w:top w:val="nil"/>
              <w:left w:val="nil"/>
              <w:bottom w:val="single" w:sz="8" w:space="0" w:color="FFFFFF"/>
              <w:right w:val="single" w:sz="8" w:space="0" w:color="FFFFFF"/>
            </w:tcBorders>
            <w:shd w:val="clear" w:color="000000" w:fill="B8CCE4"/>
            <w:noWrap/>
            <w:hideMark/>
          </w:tcPr>
          <w:p w14:paraId="6C9BE208" w14:textId="77777777" w:rsidR="00B86FB3" w:rsidRPr="00FF756A" w:rsidRDefault="00B86FB3" w:rsidP="00B86FB3">
            <w:pPr>
              <w:jc w:val="right"/>
              <w:rPr>
                <w:rFonts w:eastAsia="Times New Roman"/>
                <w:color w:val="000000"/>
                <w:sz w:val="18"/>
                <w:szCs w:val="18"/>
              </w:rPr>
            </w:pPr>
            <w:r w:rsidRPr="00FF756A">
              <w:rPr>
                <w:sz w:val="18"/>
                <w:szCs w:val="18"/>
              </w:rPr>
              <w:t xml:space="preserve"> 34,5 </w:t>
            </w:r>
          </w:p>
        </w:tc>
        <w:tc>
          <w:tcPr>
            <w:tcW w:w="866" w:type="dxa"/>
            <w:tcBorders>
              <w:top w:val="nil"/>
              <w:left w:val="nil"/>
              <w:bottom w:val="single" w:sz="8" w:space="0" w:color="FFFFFF"/>
              <w:right w:val="single" w:sz="8" w:space="0" w:color="FFFFFF"/>
            </w:tcBorders>
            <w:shd w:val="clear" w:color="000000" w:fill="B8CCE4"/>
            <w:noWrap/>
            <w:hideMark/>
          </w:tcPr>
          <w:p w14:paraId="333B4850" w14:textId="77777777" w:rsidR="00B86FB3" w:rsidRPr="00FF756A" w:rsidRDefault="00B86FB3" w:rsidP="00B86FB3">
            <w:pPr>
              <w:jc w:val="right"/>
              <w:rPr>
                <w:rFonts w:eastAsia="Times New Roman"/>
                <w:color w:val="000000"/>
                <w:sz w:val="18"/>
                <w:szCs w:val="18"/>
              </w:rPr>
            </w:pPr>
            <w:r w:rsidRPr="00FF756A">
              <w:rPr>
                <w:sz w:val="18"/>
                <w:szCs w:val="18"/>
              </w:rPr>
              <w:t xml:space="preserve"> 38,1 </w:t>
            </w:r>
          </w:p>
        </w:tc>
        <w:tc>
          <w:tcPr>
            <w:tcW w:w="866" w:type="dxa"/>
            <w:tcBorders>
              <w:top w:val="nil"/>
              <w:left w:val="nil"/>
              <w:bottom w:val="single" w:sz="8" w:space="0" w:color="FFFFFF"/>
              <w:right w:val="single" w:sz="8" w:space="0" w:color="FFFFFF"/>
            </w:tcBorders>
            <w:shd w:val="clear" w:color="auto" w:fill="4472C4" w:themeFill="accent1"/>
            <w:noWrap/>
            <w:hideMark/>
          </w:tcPr>
          <w:p w14:paraId="04520533"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44,4 </w:t>
            </w:r>
          </w:p>
        </w:tc>
        <w:tc>
          <w:tcPr>
            <w:tcW w:w="866" w:type="dxa"/>
            <w:tcBorders>
              <w:top w:val="nil"/>
              <w:left w:val="nil"/>
              <w:bottom w:val="single" w:sz="8" w:space="0" w:color="FFFFFF"/>
              <w:right w:val="single" w:sz="8" w:space="0" w:color="FFFFFF"/>
            </w:tcBorders>
            <w:shd w:val="clear" w:color="000000" w:fill="B8CCE4"/>
            <w:noWrap/>
          </w:tcPr>
          <w:p w14:paraId="599E2ABA" w14:textId="77777777" w:rsidR="00B86FB3" w:rsidRPr="00FF756A" w:rsidRDefault="00B86FB3" w:rsidP="00B86FB3">
            <w:pPr>
              <w:jc w:val="right"/>
              <w:rPr>
                <w:rFonts w:eastAsia="Times New Roman"/>
                <w:color w:val="000000"/>
                <w:sz w:val="18"/>
                <w:szCs w:val="18"/>
              </w:rPr>
            </w:pPr>
            <w:r w:rsidRPr="00FF756A">
              <w:rPr>
                <w:sz w:val="18"/>
                <w:szCs w:val="18"/>
              </w:rPr>
              <w:t xml:space="preserve"> 48,5 </w:t>
            </w:r>
          </w:p>
        </w:tc>
        <w:tc>
          <w:tcPr>
            <w:tcW w:w="867" w:type="dxa"/>
            <w:tcBorders>
              <w:top w:val="nil"/>
              <w:left w:val="nil"/>
              <w:bottom w:val="single" w:sz="8" w:space="0" w:color="FFFFFF"/>
              <w:right w:val="single" w:sz="8" w:space="0" w:color="FFFFFF"/>
            </w:tcBorders>
            <w:shd w:val="clear" w:color="000000" w:fill="B8CCE4"/>
            <w:noWrap/>
            <w:hideMark/>
          </w:tcPr>
          <w:p w14:paraId="23D9FA10" w14:textId="77777777" w:rsidR="00B86FB3" w:rsidRPr="00FF756A" w:rsidRDefault="00B86FB3" w:rsidP="00B86FB3">
            <w:pPr>
              <w:jc w:val="right"/>
              <w:rPr>
                <w:rFonts w:eastAsia="Times New Roman"/>
                <w:color w:val="000000"/>
                <w:sz w:val="18"/>
                <w:szCs w:val="18"/>
              </w:rPr>
            </w:pPr>
            <w:r w:rsidRPr="00FF756A">
              <w:rPr>
                <w:sz w:val="18"/>
                <w:szCs w:val="18"/>
              </w:rPr>
              <w:t xml:space="preserve"> 46,4 </w:t>
            </w:r>
          </w:p>
        </w:tc>
      </w:tr>
      <w:tr w:rsidR="00B86FB3" w:rsidRPr="00FF756A" w14:paraId="750562D0"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49FB0548" w14:textId="77777777" w:rsidR="00B86FB3" w:rsidRPr="00FF756A" w:rsidRDefault="00B86FB3" w:rsidP="00B86FB3">
            <w:pPr>
              <w:rPr>
                <w:rFonts w:eastAsia="Times New Roman"/>
                <w:color w:val="FFFFFF"/>
                <w:sz w:val="18"/>
                <w:szCs w:val="18"/>
              </w:rPr>
            </w:pPr>
            <w:r w:rsidRPr="00FF756A">
              <w:rPr>
                <w:color w:val="FFFFFF"/>
                <w:sz w:val="18"/>
                <w:szCs w:val="18"/>
              </w:rPr>
              <w:t>Akomodimi dhe ushqimi</w:t>
            </w:r>
          </w:p>
        </w:tc>
        <w:tc>
          <w:tcPr>
            <w:tcW w:w="866" w:type="dxa"/>
            <w:tcBorders>
              <w:top w:val="nil"/>
              <w:left w:val="nil"/>
              <w:bottom w:val="single" w:sz="8" w:space="0" w:color="FFFFFF"/>
              <w:right w:val="single" w:sz="8" w:space="0" w:color="FFFFFF"/>
            </w:tcBorders>
            <w:shd w:val="clear" w:color="000000" w:fill="DBE5F1"/>
            <w:noWrap/>
            <w:hideMark/>
          </w:tcPr>
          <w:p w14:paraId="3E068914" w14:textId="77777777" w:rsidR="00B86FB3" w:rsidRPr="00FF756A" w:rsidRDefault="00B86FB3" w:rsidP="00B86FB3">
            <w:pPr>
              <w:jc w:val="right"/>
              <w:rPr>
                <w:rFonts w:eastAsia="Times New Roman"/>
                <w:color w:val="000000"/>
                <w:sz w:val="18"/>
                <w:szCs w:val="18"/>
              </w:rPr>
            </w:pPr>
            <w:r w:rsidRPr="00FF756A">
              <w:rPr>
                <w:sz w:val="18"/>
                <w:szCs w:val="18"/>
              </w:rPr>
              <w:t xml:space="preserve"> 11,4 </w:t>
            </w:r>
          </w:p>
        </w:tc>
        <w:tc>
          <w:tcPr>
            <w:tcW w:w="866" w:type="dxa"/>
            <w:tcBorders>
              <w:top w:val="nil"/>
              <w:left w:val="nil"/>
              <w:bottom w:val="single" w:sz="8" w:space="0" w:color="FFFFFF"/>
              <w:right w:val="single" w:sz="8" w:space="0" w:color="FFFFFF"/>
            </w:tcBorders>
            <w:shd w:val="clear" w:color="000000" w:fill="DBE5F1"/>
            <w:noWrap/>
            <w:hideMark/>
          </w:tcPr>
          <w:p w14:paraId="1BC589A7" w14:textId="77777777" w:rsidR="00B86FB3" w:rsidRPr="00FF756A" w:rsidRDefault="00B86FB3" w:rsidP="00B86FB3">
            <w:pPr>
              <w:jc w:val="right"/>
              <w:rPr>
                <w:rFonts w:eastAsia="Times New Roman"/>
                <w:color w:val="000000"/>
                <w:sz w:val="18"/>
                <w:szCs w:val="18"/>
              </w:rPr>
            </w:pPr>
            <w:r w:rsidRPr="00FF756A">
              <w:rPr>
                <w:sz w:val="18"/>
                <w:szCs w:val="18"/>
              </w:rPr>
              <w:t xml:space="preserve"> 12,2 </w:t>
            </w:r>
          </w:p>
        </w:tc>
        <w:tc>
          <w:tcPr>
            <w:tcW w:w="866" w:type="dxa"/>
            <w:tcBorders>
              <w:top w:val="nil"/>
              <w:left w:val="nil"/>
              <w:bottom w:val="single" w:sz="8" w:space="0" w:color="FFFFFF"/>
              <w:right w:val="single" w:sz="8" w:space="0" w:color="FFFFFF"/>
            </w:tcBorders>
            <w:shd w:val="clear" w:color="000000" w:fill="DBE5F1"/>
            <w:noWrap/>
            <w:hideMark/>
          </w:tcPr>
          <w:p w14:paraId="043E86CA" w14:textId="77777777" w:rsidR="00B86FB3" w:rsidRPr="00FF756A" w:rsidRDefault="00B86FB3" w:rsidP="00B86FB3">
            <w:pPr>
              <w:jc w:val="right"/>
              <w:rPr>
                <w:rFonts w:eastAsia="Times New Roman"/>
                <w:color w:val="000000"/>
                <w:sz w:val="18"/>
                <w:szCs w:val="18"/>
              </w:rPr>
            </w:pPr>
            <w:r w:rsidRPr="00FF756A">
              <w:rPr>
                <w:sz w:val="18"/>
                <w:szCs w:val="18"/>
              </w:rPr>
              <w:t xml:space="preserve"> 12,2 </w:t>
            </w:r>
          </w:p>
        </w:tc>
        <w:tc>
          <w:tcPr>
            <w:tcW w:w="867" w:type="dxa"/>
            <w:tcBorders>
              <w:top w:val="nil"/>
              <w:left w:val="nil"/>
              <w:bottom w:val="single" w:sz="8" w:space="0" w:color="FFFFFF"/>
              <w:right w:val="single" w:sz="8" w:space="0" w:color="FFFFFF"/>
            </w:tcBorders>
            <w:shd w:val="clear" w:color="000000" w:fill="DBE5F1"/>
            <w:noWrap/>
            <w:hideMark/>
          </w:tcPr>
          <w:p w14:paraId="6DC5B2EB" w14:textId="77777777" w:rsidR="00B86FB3" w:rsidRPr="00FF756A" w:rsidRDefault="00B86FB3" w:rsidP="00B86FB3">
            <w:pPr>
              <w:jc w:val="right"/>
              <w:rPr>
                <w:rFonts w:eastAsia="Times New Roman"/>
                <w:color w:val="000000"/>
                <w:sz w:val="18"/>
                <w:szCs w:val="18"/>
              </w:rPr>
            </w:pPr>
            <w:r w:rsidRPr="00FF756A">
              <w:rPr>
                <w:sz w:val="18"/>
                <w:szCs w:val="18"/>
              </w:rPr>
              <w:t xml:space="preserve"> 13,1 </w:t>
            </w:r>
          </w:p>
        </w:tc>
        <w:tc>
          <w:tcPr>
            <w:tcW w:w="866" w:type="dxa"/>
            <w:tcBorders>
              <w:top w:val="nil"/>
              <w:left w:val="nil"/>
              <w:bottom w:val="single" w:sz="8" w:space="0" w:color="FFFFFF"/>
              <w:right w:val="single" w:sz="8" w:space="0" w:color="FFFFFF"/>
            </w:tcBorders>
            <w:shd w:val="clear" w:color="000000" w:fill="DBE5F1"/>
            <w:noWrap/>
            <w:hideMark/>
          </w:tcPr>
          <w:p w14:paraId="546DE2C5" w14:textId="77777777" w:rsidR="00B86FB3" w:rsidRPr="00FF756A" w:rsidRDefault="00B86FB3" w:rsidP="00B86FB3">
            <w:pPr>
              <w:jc w:val="right"/>
              <w:rPr>
                <w:rFonts w:eastAsia="Times New Roman"/>
                <w:color w:val="000000"/>
                <w:sz w:val="18"/>
                <w:szCs w:val="18"/>
              </w:rPr>
            </w:pPr>
            <w:r w:rsidRPr="00FF756A">
              <w:rPr>
                <w:sz w:val="18"/>
                <w:szCs w:val="18"/>
              </w:rPr>
              <w:t xml:space="preserve"> 15,1 </w:t>
            </w:r>
          </w:p>
        </w:tc>
        <w:tc>
          <w:tcPr>
            <w:tcW w:w="866" w:type="dxa"/>
            <w:tcBorders>
              <w:top w:val="nil"/>
              <w:left w:val="nil"/>
              <w:bottom w:val="single" w:sz="8" w:space="0" w:color="FFFFFF"/>
              <w:right w:val="single" w:sz="8" w:space="0" w:color="FFFFFF"/>
            </w:tcBorders>
            <w:shd w:val="clear" w:color="auto" w:fill="4472C4" w:themeFill="accent1"/>
            <w:noWrap/>
            <w:hideMark/>
          </w:tcPr>
          <w:p w14:paraId="16A19415"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19,5 </w:t>
            </w:r>
          </w:p>
        </w:tc>
        <w:tc>
          <w:tcPr>
            <w:tcW w:w="866" w:type="dxa"/>
            <w:tcBorders>
              <w:top w:val="nil"/>
              <w:left w:val="nil"/>
              <w:bottom w:val="single" w:sz="8" w:space="0" w:color="FFFFFF"/>
              <w:right w:val="single" w:sz="8" w:space="0" w:color="FFFFFF"/>
            </w:tcBorders>
            <w:shd w:val="clear" w:color="000000" w:fill="DBE5F1"/>
            <w:noWrap/>
          </w:tcPr>
          <w:p w14:paraId="4FBAAE6A" w14:textId="77777777" w:rsidR="00B86FB3" w:rsidRPr="00FF756A" w:rsidRDefault="00B86FB3" w:rsidP="00B86FB3">
            <w:pPr>
              <w:jc w:val="right"/>
              <w:rPr>
                <w:rFonts w:eastAsia="Times New Roman"/>
                <w:color w:val="000000"/>
                <w:sz w:val="18"/>
                <w:szCs w:val="18"/>
              </w:rPr>
            </w:pPr>
            <w:r w:rsidRPr="00FF756A">
              <w:rPr>
                <w:sz w:val="18"/>
                <w:szCs w:val="18"/>
              </w:rPr>
              <w:t xml:space="preserve"> 24,4 </w:t>
            </w:r>
          </w:p>
        </w:tc>
        <w:tc>
          <w:tcPr>
            <w:tcW w:w="867" w:type="dxa"/>
            <w:tcBorders>
              <w:top w:val="nil"/>
              <w:left w:val="nil"/>
              <w:bottom w:val="single" w:sz="8" w:space="0" w:color="FFFFFF"/>
              <w:right w:val="single" w:sz="8" w:space="0" w:color="FFFFFF"/>
            </w:tcBorders>
            <w:shd w:val="clear" w:color="000000" w:fill="DBE5F1"/>
            <w:noWrap/>
            <w:hideMark/>
          </w:tcPr>
          <w:p w14:paraId="47C1E89B" w14:textId="77777777" w:rsidR="00B86FB3" w:rsidRPr="00FF756A" w:rsidRDefault="00B86FB3" w:rsidP="00B86FB3">
            <w:pPr>
              <w:jc w:val="right"/>
              <w:rPr>
                <w:rFonts w:eastAsia="Times New Roman"/>
                <w:color w:val="000000"/>
                <w:sz w:val="18"/>
                <w:szCs w:val="18"/>
              </w:rPr>
            </w:pPr>
            <w:r w:rsidRPr="00FF756A">
              <w:rPr>
                <w:sz w:val="18"/>
                <w:szCs w:val="18"/>
              </w:rPr>
              <w:t xml:space="preserve"> 24,4 </w:t>
            </w:r>
          </w:p>
        </w:tc>
      </w:tr>
      <w:tr w:rsidR="00B86FB3" w:rsidRPr="00FF756A" w14:paraId="605C1C1C"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6AACC3F7" w14:textId="77777777" w:rsidR="00B86FB3" w:rsidRPr="00FF756A" w:rsidRDefault="00B86FB3" w:rsidP="00B86FB3">
            <w:pPr>
              <w:rPr>
                <w:rFonts w:eastAsia="Times New Roman"/>
                <w:color w:val="FFFFFF"/>
                <w:sz w:val="18"/>
                <w:szCs w:val="18"/>
              </w:rPr>
            </w:pPr>
            <w:r w:rsidRPr="00FF756A">
              <w:rPr>
                <w:color w:val="FFFFFF"/>
                <w:sz w:val="18"/>
                <w:szCs w:val="18"/>
              </w:rPr>
              <w:t>Administrata publike</w:t>
            </w:r>
          </w:p>
        </w:tc>
        <w:tc>
          <w:tcPr>
            <w:tcW w:w="866" w:type="dxa"/>
            <w:tcBorders>
              <w:top w:val="nil"/>
              <w:left w:val="nil"/>
              <w:bottom w:val="single" w:sz="8" w:space="0" w:color="FFFFFF"/>
              <w:right w:val="single" w:sz="8" w:space="0" w:color="FFFFFF"/>
            </w:tcBorders>
            <w:shd w:val="clear" w:color="000000" w:fill="B8CCE4"/>
            <w:noWrap/>
            <w:hideMark/>
          </w:tcPr>
          <w:p w14:paraId="00E6C50F" w14:textId="77777777" w:rsidR="00B86FB3" w:rsidRPr="00FF756A" w:rsidRDefault="00B86FB3" w:rsidP="00B86FB3">
            <w:pPr>
              <w:jc w:val="right"/>
              <w:rPr>
                <w:rFonts w:eastAsia="Times New Roman"/>
                <w:color w:val="000000"/>
                <w:sz w:val="18"/>
                <w:szCs w:val="18"/>
              </w:rPr>
            </w:pPr>
            <w:r w:rsidRPr="00FF756A">
              <w:rPr>
                <w:sz w:val="18"/>
                <w:szCs w:val="18"/>
              </w:rPr>
              <w:t xml:space="preserve"> 15,5 </w:t>
            </w:r>
          </w:p>
        </w:tc>
        <w:tc>
          <w:tcPr>
            <w:tcW w:w="866" w:type="dxa"/>
            <w:tcBorders>
              <w:top w:val="nil"/>
              <w:left w:val="nil"/>
              <w:bottom w:val="single" w:sz="8" w:space="0" w:color="FFFFFF"/>
              <w:right w:val="single" w:sz="8" w:space="0" w:color="FFFFFF"/>
            </w:tcBorders>
            <w:shd w:val="clear" w:color="000000" w:fill="B8CCE4"/>
            <w:noWrap/>
            <w:hideMark/>
          </w:tcPr>
          <w:p w14:paraId="30227A43" w14:textId="77777777" w:rsidR="00B86FB3" w:rsidRPr="00FF756A" w:rsidRDefault="00B86FB3" w:rsidP="00B86FB3">
            <w:pPr>
              <w:jc w:val="right"/>
              <w:rPr>
                <w:rFonts w:eastAsia="Times New Roman"/>
                <w:color w:val="000000"/>
                <w:sz w:val="18"/>
                <w:szCs w:val="18"/>
              </w:rPr>
            </w:pPr>
            <w:r w:rsidRPr="00FF756A">
              <w:rPr>
                <w:sz w:val="18"/>
                <w:szCs w:val="18"/>
              </w:rPr>
              <w:t xml:space="preserve"> 16,5 </w:t>
            </w:r>
          </w:p>
        </w:tc>
        <w:tc>
          <w:tcPr>
            <w:tcW w:w="866" w:type="dxa"/>
            <w:tcBorders>
              <w:top w:val="nil"/>
              <w:left w:val="nil"/>
              <w:bottom w:val="single" w:sz="8" w:space="0" w:color="FFFFFF"/>
              <w:right w:val="single" w:sz="8" w:space="0" w:color="FFFFFF"/>
            </w:tcBorders>
            <w:shd w:val="clear" w:color="000000" w:fill="B8CCE4"/>
            <w:noWrap/>
            <w:hideMark/>
          </w:tcPr>
          <w:p w14:paraId="35B91D74" w14:textId="77777777" w:rsidR="00B86FB3" w:rsidRPr="00FF756A" w:rsidRDefault="00B86FB3" w:rsidP="00B86FB3">
            <w:pPr>
              <w:jc w:val="right"/>
              <w:rPr>
                <w:rFonts w:eastAsia="Times New Roman"/>
                <w:color w:val="000000"/>
                <w:sz w:val="18"/>
                <w:szCs w:val="18"/>
              </w:rPr>
            </w:pPr>
            <w:r w:rsidRPr="00FF756A">
              <w:rPr>
                <w:sz w:val="18"/>
                <w:szCs w:val="18"/>
              </w:rPr>
              <w:t xml:space="preserve"> 16,5 </w:t>
            </w:r>
          </w:p>
        </w:tc>
        <w:tc>
          <w:tcPr>
            <w:tcW w:w="867" w:type="dxa"/>
            <w:tcBorders>
              <w:top w:val="nil"/>
              <w:left w:val="nil"/>
              <w:bottom w:val="single" w:sz="8" w:space="0" w:color="FFFFFF"/>
              <w:right w:val="single" w:sz="8" w:space="0" w:color="FFFFFF"/>
            </w:tcBorders>
            <w:shd w:val="clear" w:color="000000" w:fill="B8CCE4"/>
            <w:noWrap/>
            <w:hideMark/>
          </w:tcPr>
          <w:p w14:paraId="19ABCA91" w14:textId="77777777" w:rsidR="00B86FB3" w:rsidRPr="00FF756A" w:rsidRDefault="00B86FB3" w:rsidP="00B86FB3">
            <w:pPr>
              <w:jc w:val="right"/>
              <w:rPr>
                <w:rFonts w:eastAsia="Times New Roman"/>
                <w:color w:val="000000"/>
                <w:sz w:val="18"/>
                <w:szCs w:val="18"/>
              </w:rPr>
            </w:pPr>
            <w:r w:rsidRPr="00FF756A">
              <w:rPr>
                <w:sz w:val="18"/>
                <w:szCs w:val="18"/>
              </w:rPr>
              <w:t xml:space="preserve"> 15,7 </w:t>
            </w:r>
          </w:p>
        </w:tc>
        <w:tc>
          <w:tcPr>
            <w:tcW w:w="866" w:type="dxa"/>
            <w:tcBorders>
              <w:top w:val="nil"/>
              <w:left w:val="nil"/>
              <w:bottom w:val="single" w:sz="8" w:space="0" w:color="FFFFFF"/>
              <w:right w:val="single" w:sz="8" w:space="0" w:color="FFFFFF"/>
            </w:tcBorders>
            <w:shd w:val="clear" w:color="000000" w:fill="B8CCE4"/>
            <w:noWrap/>
            <w:hideMark/>
          </w:tcPr>
          <w:p w14:paraId="6E86C92E" w14:textId="77777777" w:rsidR="00B86FB3" w:rsidRPr="00FF756A" w:rsidRDefault="00B86FB3" w:rsidP="00B86FB3">
            <w:pPr>
              <w:jc w:val="right"/>
              <w:rPr>
                <w:rFonts w:eastAsia="Times New Roman"/>
                <w:color w:val="000000"/>
                <w:sz w:val="18"/>
                <w:szCs w:val="18"/>
              </w:rPr>
            </w:pPr>
            <w:r w:rsidRPr="00FF756A">
              <w:rPr>
                <w:sz w:val="18"/>
                <w:szCs w:val="18"/>
              </w:rPr>
              <w:t xml:space="preserve"> 15,1 </w:t>
            </w:r>
          </w:p>
        </w:tc>
        <w:tc>
          <w:tcPr>
            <w:tcW w:w="866" w:type="dxa"/>
            <w:tcBorders>
              <w:top w:val="nil"/>
              <w:left w:val="nil"/>
              <w:bottom w:val="single" w:sz="8" w:space="0" w:color="FFFFFF"/>
              <w:right w:val="single" w:sz="8" w:space="0" w:color="FFFFFF"/>
            </w:tcBorders>
            <w:shd w:val="clear" w:color="auto" w:fill="4472C4" w:themeFill="accent1"/>
            <w:noWrap/>
            <w:hideMark/>
          </w:tcPr>
          <w:p w14:paraId="43E0E5DE"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13,1 </w:t>
            </w:r>
          </w:p>
        </w:tc>
        <w:tc>
          <w:tcPr>
            <w:tcW w:w="866" w:type="dxa"/>
            <w:tcBorders>
              <w:top w:val="nil"/>
              <w:left w:val="nil"/>
              <w:bottom w:val="single" w:sz="8" w:space="0" w:color="FFFFFF"/>
              <w:right w:val="single" w:sz="8" w:space="0" w:color="FFFFFF"/>
            </w:tcBorders>
            <w:shd w:val="clear" w:color="000000" w:fill="B8CCE4"/>
            <w:noWrap/>
          </w:tcPr>
          <w:p w14:paraId="25DF4EBD" w14:textId="77777777" w:rsidR="00B86FB3" w:rsidRPr="00FF756A" w:rsidRDefault="00B86FB3" w:rsidP="00B86FB3">
            <w:pPr>
              <w:jc w:val="right"/>
              <w:rPr>
                <w:rFonts w:eastAsia="Times New Roman"/>
                <w:color w:val="000000"/>
                <w:sz w:val="18"/>
                <w:szCs w:val="18"/>
              </w:rPr>
            </w:pPr>
            <w:r w:rsidRPr="00FF756A">
              <w:rPr>
                <w:sz w:val="18"/>
                <w:szCs w:val="18"/>
              </w:rPr>
              <w:t xml:space="preserve"> 9,1 </w:t>
            </w:r>
          </w:p>
        </w:tc>
        <w:tc>
          <w:tcPr>
            <w:tcW w:w="867" w:type="dxa"/>
            <w:tcBorders>
              <w:top w:val="nil"/>
              <w:left w:val="nil"/>
              <w:bottom w:val="single" w:sz="8" w:space="0" w:color="FFFFFF"/>
              <w:right w:val="single" w:sz="8" w:space="0" w:color="FFFFFF"/>
            </w:tcBorders>
            <w:shd w:val="clear" w:color="000000" w:fill="B8CCE4"/>
            <w:noWrap/>
            <w:hideMark/>
          </w:tcPr>
          <w:p w14:paraId="02DC8161" w14:textId="77777777" w:rsidR="00B86FB3" w:rsidRPr="00FF756A" w:rsidRDefault="00B86FB3" w:rsidP="00B86FB3">
            <w:pPr>
              <w:jc w:val="right"/>
              <w:rPr>
                <w:rFonts w:eastAsia="Times New Roman"/>
                <w:color w:val="000000"/>
                <w:sz w:val="18"/>
                <w:szCs w:val="18"/>
              </w:rPr>
            </w:pPr>
            <w:r w:rsidRPr="00FF756A">
              <w:rPr>
                <w:sz w:val="18"/>
                <w:szCs w:val="18"/>
              </w:rPr>
              <w:t xml:space="preserve"> 5,9 </w:t>
            </w:r>
          </w:p>
        </w:tc>
      </w:tr>
      <w:tr w:rsidR="00B86FB3" w:rsidRPr="00FF756A" w14:paraId="7093AA10"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48AF4F04" w14:textId="77777777" w:rsidR="00B86FB3" w:rsidRPr="00FF756A" w:rsidRDefault="00B86FB3" w:rsidP="00B86FB3">
            <w:pPr>
              <w:rPr>
                <w:rFonts w:eastAsia="Times New Roman"/>
                <w:color w:val="FFFFFF"/>
                <w:sz w:val="18"/>
                <w:szCs w:val="18"/>
              </w:rPr>
            </w:pPr>
            <w:r w:rsidRPr="00FF756A">
              <w:rPr>
                <w:color w:val="FFFFFF"/>
                <w:sz w:val="18"/>
                <w:szCs w:val="18"/>
              </w:rPr>
              <w:t>Arsimi</w:t>
            </w:r>
          </w:p>
        </w:tc>
        <w:tc>
          <w:tcPr>
            <w:tcW w:w="866" w:type="dxa"/>
            <w:tcBorders>
              <w:top w:val="nil"/>
              <w:left w:val="nil"/>
              <w:bottom w:val="single" w:sz="8" w:space="0" w:color="FFFFFF"/>
              <w:right w:val="single" w:sz="8" w:space="0" w:color="FFFFFF"/>
            </w:tcBorders>
            <w:shd w:val="clear" w:color="000000" w:fill="DBE5F1"/>
            <w:noWrap/>
            <w:hideMark/>
          </w:tcPr>
          <w:p w14:paraId="08772C11" w14:textId="77777777" w:rsidR="00B86FB3" w:rsidRPr="00FF756A" w:rsidRDefault="00B86FB3" w:rsidP="00B86FB3">
            <w:pPr>
              <w:jc w:val="right"/>
              <w:rPr>
                <w:rFonts w:eastAsia="Times New Roman"/>
                <w:color w:val="000000"/>
                <w:sz w:val="18"/>
                <w:szCs w:val="18"/>
              </w:rPr>
            </w:pPr>
            <w:r w:rsidRPr="00FF756A">
              <w:rPr>
                <w:sz w:val="18"/>
                <w:szCs w:val="18"/>
              </w:rPr>
              <w:t xml:space="preserve"> 23,1 </w:t>
            </w:r>
          </w:p>
        </w:tc>
        <w:tc>
          <w:tcPr>
            <w:tcW w:w="866" w:type="dxa"/>
            <w:tcBorders>
              <w:top w:val="nil"/>
              <w:left w:val="nil"/>
              <w:bottom w:val="single" w:sz="8" w:space="0" w:color="FFFFFF"/>
              <w:right w:val="single" w:sz="8" w:space="0" w:color="FFFFFF"/>
            </w:tcBorders>
            <w:shd w:val="clear" w:color="000000" w:fill="DBE5F1"/>
            <w:noWrap/>
            <w:hideMark/>
          </w:tcPr>
          <w:p w14:paraId="5EE232F5" w14:textId="77777777" w:rsidR="00B86FB3" w:rsidRPr="00FF756A" w:rsidRDefault="00B86FB3" w:rsidP="00B86FB3">
            <w:pPr>
              <w:jc w:val="right"/>
              <w:rPr>
                <w:rFonts w:eastAsia="Times New Roman"/>
                <w:color w:val="000000"/>
                <w:sz w:val="18"/>
                <w:szCs w:val="18"/>
              </w:rPr>
            </w:pPr>
            <w:r w:rsidRPr="00FF756A">
              <w:rPr>
                <w:sz w:val="18"/>
                <w:szCs w:val="18"/>
              </w:rPr>
              <w:t xml:space="preserve"> 21,3 </w:t>
            </w:r>
          </w:p>
        </w:tc>
        <w:tc>
          <w:tcPr>
            <w:tcW w:w="866" w:type="dxa"/>
            <w:tcBorders>
              <w:top w:val="nil"/>
              <w:left w:val="nil"/>
              <w:bottom w:val="single" w:sz="8" w:space="0" w:color="FFFFFF"/>
              <w:right w:val="single" w:sz="8" w:space="0" w:color="FFFFFF"/>
            </w:tcBorders>
            <w:shd w:val="clear" w:color="000000" w:fill="DBE5F1"/>
            <w:noWrap/>
            <w:hideMark/>
          </w:tcPr>
          <w:p w14:paraId="26C9D658" w14:textId="77777777" w:rsidR="00B86FB3" w:rsidRPr="00FF756A" w:rsidRDefault="00B86FB3" w:rsidP="00B86FB3">
            <w:pPr>
              <w:jc w:val="right"/>
              <w:rPr>
                <w:rFonts w:eastAsia="Times New Roman"/>
                <w:color w:val="000000"/>
                <w:sz w:val="18"/>
                <w:szCs w:val="18"/>
              </w:rPr>
            </w:pPr>
            <w:r w:rsidRPr="00FF756A">
              <w:rPr>
                <w:sz w:val="18"/>
                <w:szCs w:val="18"/>
              </w:rPr>
              <w:t xml:space="preserve"> 21,3 </w:t>
            </w:r>
          </w:p>
        </w:tc>
        <w:tc>
          <w:tcPr>
            <w:tcW w:w="867" w:type="dxa"/>
            <w:tcBorders>
              <w:top w:val="nil"/>
              <w:left w:val="nil"/>
              <w:bottom w:val="single" w:sz="8" w:space="0" w:color="FFFFFF"/>
              <w:right w:val="single" w:sz="8" w:space="0" w:color="FFFFFF"/>
            </w:tcBorders>
            <w:shd w:val="clear" w:color="000000" w:fill="DBE5F1"/>
            <w:noWrap/>
            <w:hideMark/>
          </w:tcPr>
          <w:p w14:paraId="2830B2AE" w14:textId="77777777" w:rsidR="00B86FB3" w:rsidRPr="00FF756A" w:rsidRDefault="00B86FB3" w:rsidP="00B86FB3">
            <w:pPr>
              <w:jc w:val="right"/>
              <w:rPr>
                <w:rFonts w:eastAsia="Times New Roman"/>
                <w:color w:val="000000"/>
                <w:sz w:val="18"/>
                <w:szCs w:val="18"/>
              </w:rPr>
            </w:pPr>
            <w:r w:rsidRPr="00FF756A">
              <w:rPr>
                <w:sz w:val="18"/>
                <w:szCs w:val="18"/>
              </w:rPr>
              <w:t xml:space="preserve"> 20,3 </w:t>
            </w:r>
          </w:p>
        </w:tc>
        <w:tc>
          <w:tcPr>
            <w:tcW w:w="866" w:type="dxa"/>
            <w:tcBorders>
              <w:top w:val="nil"/>
              <w:left w:val="nil"/>
              <w:bottom w:val="single" w:sz="8" w:space="0" w:color="FFFFFF"/>
              <w:right w:val="single" w:sz="8" w:space="0" w:color="FFFFFF"/>
            </w:tcBorders>
            <w:shd w:val="clear" w:color="000000" w:fill="DBE5F1"/>
            <w:noWrap/>
            <w:hideMark/>
          </w:tcPr>
          <w:p w14:paraId="6F438657" w14:textId="77777777" w:rsidR="00B86FB3" w:rsidRPr="00FF756A" w:rsidRDefault="00B86FB3" w:rsidP="00B86FB3">
            <w:pPr>
              <w:jc w:val="right"/>
              <w:rPr>
                <w:rFonts w:eastAsia="Times New Roman"/>
                <w:color w:val="000000"/>
                <w:sz w:val="18"/>
                <w:szCs w:val="18"/>
              </w:rPr>
            </w:pPr>
            <w:r w:rsidRPr="00FF756A">
              <w:rPr>
                <w:sz w:val="18"/>
                <w:szCs w:val="18"/>
              </w:rPr>
              <w:t xml:space="preserve"> 19,6 </w:t>
            </w:r>
          </w:p>
        </w:tc>
        <w:tc>
          <w:tcPr>
            <w:tcW w:w="866" w:type="dxa"/>
            <w:tcBorders>
              <w:top w:val="nil"/>
              <w:left w:val="nil"/>
              <w:bottom w:val="single" w:sz="8" w:space="0" w:color="FFFFFF"/>
              <w:right w:val="single" w:sz="8" w:space="0" w:color="FFFFFF"/>
            </w:tcBorders>
            <w:shd w:val="clear" w:color="auto" w:fill="4472C4" w:themeFill="accent1"/>
            <w:noWrap/>
            <w:hideMark/>
          </w:tcPr>
          <w:p w14:paraId="0C859C3D"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17,2 </w:t>
            </w:r>
          </w:p>
        </w:tc>
        <w:tc>
          <w:tcPr>
            <w:tcW w:w="866" w:type="dxa"/>
            <w:tcBorders>
              <w:top w:val="nil"/>
              <w:left w:val="nil"/>
              <w:bottom w:val="single" w:sz="8" w:space="0" w:color="FFFFFF"/>
              <w:right w:val="single" w:sz="8" w:space="0" w:color="FFFFFF"/>
            </w:tcBorders>
            <w:shd w:val="clear" w:color="000000" w:fill="DBE5F1"/>
            <w:noWrap/>
          </w:tcPr>
          <w:p w14:paraId="7CC78189" w14:textId="77777777" w:rsidR="00B86FB3" w:rsidRPr="00FF756A" w:rsidRDefault="00B86FB3" w:rsidP="00B86FB3">
            <w:pPr>
              <w:jc w:val="right"/>
              <w:rPr>
                <w:rFonts w:eastAsia="Times New Roman"/>
                <w:color w:val="000000"/>
                <w:sz w:val="18"/>
                <w:szCs w:val="18"/>
              </w:rPr>
            </w:pPr>
            <w:r w:rsidRPr="00FF756A">
              <w:rPr>
                <w:sz w:val="18"/>
                <w:szCs w:val="18"/>
              </w:rPr>
              <w:t xml:space="preserve"> 12,1 </w:t>
            </w:r>
          </w:p>
        </w:tc>
        <w:tc>
          <w:tcPr>
            <w:tcW w:w="867" w:type="dxa"/>
            <w:tcBorders>
              <w:top w:val="nil"/>
              <w:left w:val="nil"/>
              <w:bottom w:val="single" w:sz="8" w:space="0" w:color="FFFFFF"/>
              <w:right w:val="single" w:sz="8" w:space="0" w:color="FFFFFF"/>
            </w:tcBorders>
            <w:shd w:val="clear" w:color="000000" w:fill="DBE5F1"/>
            <w:noWrap/>
            <w:hideMark/>
          </w:tcPr>
          <w:p w14:paraId="0CC15983" w14:textId="77777777" w:rsidR="00B86FB3" w:rsidRPr="00FF756A" w:rsidRDefault="00B86FB3" w:rsidP="00B86FB3">
            <w:pPr>
              <w:jc w:val="right"/>
              <w:rPr>
                <w:rFonts w:eastAsia="Times New Roman"/>
                <w:color w:val="000000"/>
                <w:sz w:val="18"/>
                <w:szCs w:val="18"/>
              </w:rPr>
            </w:pPr>
            <w:r w:rsidRPr="00FF756A">
              <w:rPr>
                <w:sz w:val="18"/>
                <w:szCs w:val="18"/>
              </w:rPr>
              <w:t xml:space="preserve"> 8,0 </w:t>
            </w:r>
          </w:p>
        </w:tc>
      </w:tr>
      <w:tr w:rsidR="00B86FB3" w:rsidRPr="00FF756A" w14:paraId="4B98677B"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6BF01FD8" w14:textId="77777777" w:rsidR="00B86FB3" w:rsidRPr="00FF756A" w:rsidRDefault="00B86FB3" w:rsidP="00B86FB3">
            <w:pPr>
              <w:rPr>
                <w:rFonts w:eastAsia="Times New Roman"/>
                <w:color w:val="FFFFFF"/>
                <w:sz w:val="18"/>
                <w:szCs w:val="18"/>
              </w:rPr>
            </w:pPr>
            <w:r w:rsidRPr="00FF756A">
              <w:rPr>
                <w:color w:val="FFFFFF"/>
                <w:sz w:val="18"/>
                <w:szCs w:val="18"/>
              </w:rPr>
              <w:t>Shëndetësia</w:t>
            </w:r>
          </w:p>
        </w:tc>
        <w:tc>
          <w:tcPr>
            <w:tcW w:w="866" w:type="dxa"/>
            <w:tcBorders>
              <w:top w:val="nil"/>
              <w:left w:val="nil"/>
              <w:bottom w:val="single" w:sz="8" w:space="0" w:color="FFFFFF"/>
              <w:right w:val="single" w:sz="8" w:space="0" w:color="FFFFFF"/>
            </w:tcBorders>
            <w:shd w:val="clear" w:color="000000" w:fill="B8CCE4"/>
            <w:noWrap/>
            <w:hideMark/>
          </w:tcPr>
          <w:p w14:paraId="7602A15E" w14:textId="77777777" w:rsidR="00B86FB3" w:rsidRPr="00FF756A" w:rsidRDefault="00B86FB3" w:rsidP="00B86FB3">
            <w:pPr>
              <w:jc w:val="right"/>
              <w:rPr>
                <w:rFonts w:eastAsia="Times New Roman"/>
                <w:color w:val="000000"/>
                <w:sz w:val="18"/>
                <w:szCs w:val="18"/>
              </w:rPr>
            </w:pPr>
            <w:r w:rsidRPr="00FF756A">
              <w:rPr>
                <w:sz w:val="18"/>
                <w:szCs w:val="18"/>
              </w:rPr>
              <w:t xml:space="preserve"> 20,3 </w:t>
            </w:r>
          </w:p>
        </w:tc>
        <w:tc>
          <w:tcPr>
            <w:tcW w:w="866" w:type="dxa"/>
            <w:tcBorders>
              <w:top w:val="nil"/>
              <w:left w:val="nil"/>
              <w:bottom w:val="single" w:sz="8" w:space="0" w:color="FFFFFF"/>
              <w:right w:val="single" w:sz="8" w:space="0" w:color="FFFFFF"/>
            </w:tcBorders>
            <w:shd w:val="clear" w:color="000000" w:fill="B8CCE4"/>
            <w:noWrap/>
            <w:hideMark/>
          </w:tcPr>
          <w:p w14:paraId="5DF595BF" w14:textId="77777777" w:rsidR="00B86FB3" w:rsidRPr="00FF756A" w:rsidRDefault="00B86FB3" w:rsidP="00B86FB3">
            <w:pPr>
              <w:jc w:val="right"/>
              <w:rPr>
                <w:rFonts w:eastAsia="Times New Roman"/>
                <w:color w:val="000000"/>
                <w:sz w:val="18"/>
                <w:szCs w:val="18"/>
              </w:rPr>
            </w:pPr>
            <w:r w:rsidRPr="00FF756A">
              <w:rPr>
                <w:sz w:val="18"/>
                <w:szCs w:val="18"/>
              </w:rPr>
              <w:t xml:space="preserve"> 21,4 </w:t>
            </w:r>
          </w:p>
        </w:tc>
        <w:tc>
          <w:tcPr>
            <w:tcW w:w="866" w:type="dxa"/>
            <w:tcBorders>
              <w:top w:val="nil"/>
              <w:left w:val="nil"/>
              <w:bottom w:val="single" w:sz="8" w:space="0" w:color="FFFFFF"/>
              <w:right w:val="single" w:sz="8" w:space="0" w:color="FFFFFF"/>
            </w:tcBorders>
            <w:shd w:val="clear" w:color="000000" w:fill="B8CCE4"/>
            <w:noWrap/>
            <w:hideMark/>
          </w:tcPr>
          <w:p w14:paraId="317EB14E" w14:textId="77777777" w:rsidR="00B86FB3" w:rsidRPr="00FF756A" w:rsidRDefault="00B86FB3" w:rsidP="00B86FB3">
            <w:pPr>
              <w:jc w:val="right"/>
              <w:rPr>
                <w:rFonts w:eastAsia="Times New Roman"/>
                <w:color w:val="000000"/>
                <w:sz w:val="18"/>
                <w:szCs w:val="18"/>
              </w:rPr>
            </w:pPr>
            <w:r w:rsidRPr="00FF756A">
              <w:rPr>
                <w:sz w:val="18"/>
                <w:szCs w:val="18"/>
              </w:rPr>
              <w:t xml:space="preserve"> 21,4 </w:t>
            </w:r>
          </w:p>
        </w:tc>
        <w:tc>
          <w:tcPr>
            <w:tcW w:w="867" w:type="dxa"/>
            <w:tcBorders>
              <w:top w:val="nil"/>
              <w:left w:val="nil"/>
              <w:bottom w:val="single" w:sz="8" w:space="0" w:color="FFFFFF"/>
              <w:right w:val="single" w:sz="8" w:space="0" w:color="FFFFFF"/>
            </w:tcBorders>
            <w:shd w:val="clear" w:color="000000" w:fill="B8CCE4"/>
            <w:noWrap/>
            <w:hideMark/>
          </w:tcPr>
          <w:p w14:paraId="6464CCE8" w14:textId="77777777" w:rsidR="00B86FB3" w:rsidRPr="00FF756A" w:rsidRDefault="00B86FB3" w:rsidP="00B86FB3">
            <w:pPr>
              <w:jc w:val="right"/>
              <w:rPr>
                <w:rFonts w:eastAsia="Times New Roman"/>
                <w:color w:val="000000"/>
                <w:sz w:val="18"/>
                <w:szCs w:val="18"/>
              </w:rPr>
            </w:pPr>
            <w:r w:rsidRPr="00FF756A">
              <w:rPr>
                <w:sz w:val="18"/>
                <w:szCs w:val="18"/>
              </w:rPr>
              <w:t xml:space="preserve"> 20,3 </w:t>
            </w:r>
          </w:p>
        </w:tc>
        <w:tc>
          <w:tcPr>
            <w:tcW w:w="866" w:type="dxa"/>
            <w:tcBorders>
              <w:top w:val="nil"/>
              <w:left w:val="nil"/>
              <w:bottom w:val="single" w:sz="8" w:space="0" w:color="FFFFFF"/>
              <w:right w:val="single" w:sz="8" w:space="0" w:color="FFFFFF"/>
            </w:tcBorders>
            <w:shd w:val="clear" w:color="000000" w:fill="B8CCE4"/>
            <w:noWrap/>
            <w:hideMark/>
          </w:tcPr>
          <w:p w14:paraId="0A15DCBE" w14:textId="77777777" w:rsidR="00B86FB3" w:rsidRPr="00FF756A" w:rsidRDefault="00B86FB3" w:rsidP="00B86FB3">
            <w:pPr>
              <w:jc w:val="right"/>
              <w:rPr>
                <w:rFonts w:eastAsia="Times New Roman"/>
                <w:color w:val="000000"/>
                <w:sz w:val="18"/>
                <w:szCs w:val="18"/>
              </w:rPr>
            </w:pPr>
            <w:r w:rsidRPr="00FF756A">
              <w:rPr>
                <w:sz w:val="18"/>
                <w:szCs w:val="18"/>
              </w:rPr>
              <w:t xml:space="preserve"> 19,6 </w:t>
            </w:r>
          </w:p>
        </w:tc>
        <w:tc>
          <w:tcPr>
            <w:tcW w:w="866" w:type="dxa"/>
            <w:tcBorders>
              <w:top w:val="nil"/>
              <w:left w:val="nil"/>
              <w:bottom w:val="single" w:sz="8" w:space="0" w:color="FFFFFF"/>
              <w:right w:val="single" w:sz="8" w:space="0" w:color="FFFFFF"/>
            </w:tcBorders>
            <w:shd w:val="clear" w:color="auto" w:fill="4472C4" w:themeFill="accent1"/>
            <w:noWrap/>
            <w:hideMark/>
          </w:tcPr>
          <w:p w14:paraId="03C20D30"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17,2 </w:t>
            </w:r>
          </w:p>
        </w:tc>
        <w:tc>
          <w:tcPr>
            <w:tcW w:w="866" w:type="dxa"/>
            <w:tcBorders>
              <w:top w:val="nil"/>
              <w:left w:val="nil"/>
              <w:bottom w:val="single" w:sz="8" w:space="0" w:color="FFFFFF"/>
              <w:right w:val="single" w:sz="8" w:space="0" w:color="FFFFFF"/>
            </w:tcBorders>
            <w:shd w:val="clear" w:color="000000" w:fill="B8CCE4"/>
            <w:noWrap/>
          </w:tcPr>
          <w:p w14:paraId="4680ABB3" w14:textId="77777777" w:rsidR="00B86FB3" w:rsidRPr="00FF756A" w:rsidRDefault="00B86FB3" w:rsidP="00B86FB3">
            <w:pPr>
              <w:jc w:val="right"/>
              <w:rPr>
                <w:rFonts w:eastAsia="Times New Roman"/>
                <w:color w:val="000000"/>
                <w:sz w:val="18"/>
                <w:szCs w:val="18"/>
              </w:rPr>
            </w:pPr>
            <w:r w:rsidRPr="00FF756A">
              <w:rPr>
                <w:sz w:val="18"/>
                <w:szCs w:val="18"/>
              </w:rPr>
              <w:t xml:space="preserve"> 12,1 </w:t>
            </w:r>
          </w:p>
        </w:tc>
        <w:tc>
          <w:tcPr>
            <w:tcW w:w="867" w:type="dxa"/>
            <w:tcBorders>
              <w:top w:val="nil"/>
              <w:left w:val="nil"/>
              <w:bottom w:val="single" w:sz="8" w:space="0" w:color="FFFFFF"/>
              <w:right w:val="single" w:sz="8" w:space="0" w:color="FFFFFF"/>
            </w:tcBorders>
            <w:shd w:val="clear" w:color="000000" w:fill="B8CCE4"/>
            <w:noWrap/>
            <w:hideMark/>
          </w:tcPr>
          <w:p w14:paraId="5147D3E2" w14:textId="77777777" w:rsidR="00B86FB3" w:rsidRPr="00FF756A" w:rsidRDefault="00B86FB3" w:rsidP="00B86FB3">
            <w:pPr>
              <w:jc w:val="right"/>
              <w:rPr>
                <w:rFonts w:eastAsia="Times New Roman"/>
                <w:color w:val="000000"/>
                <w:sz w:val="18"/>
                <w:szCs w:val="18"/>
              </w:rPr>
            </w:pPr>
            <w:r w:rsidRPr="00FF756A">
              <w:rPr>
                <w:sz w:val="18"/>
                <w:szCs w:val="18"/>
              </w:rPr>
              <w:t xml:space="preserve"> 8,0 </w:t>
            </w:r>
          </w:p>
        </w:tc>
      </w:tr>
      <w:tr w:rsidR="00B86FB3" w:rsidRPr="00FF756A" w14:paraId="1B36A163"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30C6C67B" w14:textId="77777777" w:rsidR="00B86FB3" w:rsidRPr="00FF756A" w:rsidRDefault="00B86FB3" w:rsidP="00B86FB3">
            <w:pPr>
              <w:rPr>
                <w:rFonts w:eastAsia="Times New Roman"/>
                <w:color w:val="FFFFFF"/>
                <w:sz w:val="18"/>
                <w:szCs w:val="18"/>
              </w:rPr>
            </w:pPr>
            <w:r w:rsidRPr="00FF756A">
              <w:rPr>
                <w:color w:val="FFFFFF"/>
                <w:sz w:val="18"/>
                <w:szCs w:val="18"/>
              </w:rPr>
              <w:t>Shërbime të tjera</w:t>
            </w:r>
          </w:p>
        </w:tc>
        <w:tc>
          <w:tcPr>
            <w:tcW w:w="866" w:type="dxa"/>
            <w:tcBorders>
              <w:top w:val="nil"/>
              <w:left w:val="nil"/>
              <w:bottom w:val="single" w:sz="8" w:space="0" w:color="FFFFFF"/>
              <w:right w:val="single" w:sz="8" w:space="0" w:color="FFFFFF"/>
            </w:tcBorders>
            <w:shd w:val="clear" w:color="000000" w:fill="DBE5F1"/>
            <w:noWrap/>
            <w:hideMark/>
          </w:tcPr>
          <w:p w14:paraId="54B92CA2" w14:textId="77777777" w:rsidR="00B86FB3" w:rsidRPr="00FF756A" w:rsidRDefault="00B86FB3" w:rsidP="00B86FB3">
            <w:pPr>
              <w:jc w:val="right"/>
              <w:rPr>
                <w:rFonts w:eastAsia="Times New Roman"/>
                <w:color w:val="000000"/>
                <w:sz w:val="18"/>
                <w:szCs w:val="18"/>
              </w:rPr>
            </w:pPr>
            <w:r w:rsidRPr="00FF756A">
              <w:rPr>
                <w:sz w:val="18"/>
                <w:szCs w:val="18"/>
              </w:rPr>
              <w:t xml:space="preserve"> 97,3 </w:t>
            </w:r>
          </w:p>
        </w:tc>
        <w:tc>
          <w:tcPr>
            <w:tcW w:w="866" w:type="dxa"/>
            <w:tcBorders>
              <w:top w:val="nil"/>
              <w:left w:val="nil"/>
              <w:bottom w:val="single" w:sz="8" w:space="0" w:color="FFFFFF"/>
              <w:right w:val="single" w:sz="8" w:space="0" w:color="FFFFFF"/>
            </w:tcBorders>
            <w:shd w:val="clear" w:color="000000" w:fill="DBE5F1"/>
            <w:noWrap/>
            <w:hideMark/>
          </w:tcPr>
          <w:p w14:paraId="5EF2156C" w14:textId="77777777" w:rsidR="00B86FB3" w:rsidRPr="00FF756A" w:rsidRDefault="00B86FB3" w:rsidP="00B86FB3">
            <w:pPr>
              <w:jc w:val="right"/>
              <w:rPr>
                <w:rFonts w:eastAsia="Times New Roman"/>
                <w:color w:val="000000"/>
                <w:sz w:val="18"/>
                <w:szCs w:val="18"/>
              </w:rPr>
            </w:pPr>
            <w:r w:rsidRPr="00FF756A">
              <w:rPr>
                <w:sz w:val="18"/>
                <w:szCs w:val="18"/>
              </w:rPr>
              <w:t xml:space="preserve"> 115,2 </w:t>
            </w:r>
          </w:p>
        </w:tc>
        <w:tc>
          <w:tcPr>
            <w:tcW w:w="866" w:type="dxa"/>
            <w:tcBorders>
              <w:top w:val="nil"/>
              <w:left w:val="nil"/>
              <w:bottom w:val="single" w:sz="8" w:space="0" w:color="FFFFFF"/>
              <w:right w:val="single" w:sz="8" w:space="0" w:color="FFFFFF"/>
            </w:tcBorders>
            <w:shd w:val="clear" w:color="000000" w:fill="DBE5F1"/>
            <w:noWrap/>
            <w:hideMark/>
          </w:tcPr>
          <w:p w14:paraId="082CB085" w14:textId="77777777" w:rsidR="00B86FB3" w:rsidRPr="00FF756A" w:rsidRDefault="00B86FB3" w:rsidP="00B86FB3">
            <w:pPr>
              <w:jc w:val="right"/>
              <w:rPr>
                <w:rFonts w:eastAsia="Times New Roman"/>
                <w:color w:val="000000"/>
                <w:sz w:val="18"/>
                <w:szCs w:val="18"/>
              </w:rPr>
            </w:pPr>
            <w:r w:rsidRPr="00FF756A">
              <w:rPr>
                <w:sz w:val="18"/>
                <w:szCs w:val="18"/>
              </w:rPr>
              <w:t xml:space="preserve"> 115,2 </w:t>
            </w:r>
          </w:p>
        </w:tc>
        <w:tc>
          <w:tcPr>
            <w:tcW w:w="867" w:type="dxa"/>
            <w:tcBorders>
              <w:top w:val="nil"/>
              <w:left w:val="nil"/>
              <w:bottom w:val="single" w:sz="8" w:space="0" w:color="FFFFFF"/>
              <w:right w:val="single" w:sz="8" w:space="0" w:color="FFFFFF"/>
            </w:tcBorders>
            <w:shd w:val="clear" w:color="000000" w:fill="DBE5F1"/>
            <w:noWrap/>
            <w:hideMark/>
          </w:tcPr>
          <w:p w14:paraId="357CA174" w14:textId="77777777" w:rsidR="00B86FB3" w:rsidRPr="00FF756A" w:rsidRDefault="00B86FB3" w:rsidP="00B86FB3">
            <w:pPr>
              <w:jc w:val="right"/>
              <w:rPr>
                <w:rFonts w:eastAsia="Times New Roman"/>
                <w:color w:val="000000"/>
                <w:sz w:val="18"/>
                <w:szCs w:val="18"/>
              </w:rPr>
            </w:pPr>
            <w:r w:rsidRPr="00FF756A">
              <w:rPr>
                <w:sz w:val="18"/>
                <w:szCs w:val="18"/>
              </w:rPr>
              <w:t xml:space="preserve"> 120,8 </w:t>
            </w:r>
          </w:p>
        </w:tc>
        <w:tc>
          <w:tcPr>
            <w:tcW w:w="866" w:type="dxa"/>
            <w:tcBorders>
              <w:top w:val="nil"/>
              <w:left w:val="nil"/>
              <w:bottom w:val="single" w:sz="8" w:space="0" w:color="FFFFFF"/>
              <w:right w:val="single" w:sz="8" w:space="0" w:color="FFFFFF"/>
            </w:tcBorders>
            <w:shd w:val="clear" w:color="000000" w:fill="DBE5F1"/>
            <w:noWrap/>
            <w:hideMark/>
          </w:tcPr>
          <w:p w14:paraId="094AAF64" w14:textId="77777777" w:rsidR="00B86FB3" w:rsidRPr="00FF756A" w:rsidRDefault="00B86FB3" w:rsidP="00B86FB3">
            <w:pPr>
              <w:jc w:val="right"/>
              <w:rPr>
                <w:rFonts w:eastAsia="Times New Roman"/>
                <w:color w:val="000000"/>
                <w:sz w:val="18"/>
                <w:szCs w:val="18"/>
              </w:rPr>
            </w:pPr>
            <w:r w:rsidRPr="00FF756A">
              <w:rPr>
                <w:sz w:val="18"/>
                <w:szCs w:val="18"/>
              </w:rPr>
              <w:t xml:space="preserve"> 131,8 </w:t>
            </w:r>
          </w:p>
        </w:tc>
        <w:tc>
          <w:tcPr>
            <w:tcW w:w="866" w:type="dxa"/>
            <w:tcBorders>
              <w:top w:val="nil"/>
              <w:left w:val="nil"/>
              <w:bottom w:val="single" w:sz="8" w:space="0" w:color="FFFFFF"/>
              <w:right w:val="single" w:sz="8" w:space="0" w:color="FFFFFF"/>
            </w:tcBorders>
            <w:shd w:val="clear" w:color="auto" w:fill="4472C4" w:themeFill="accent1"/>
            <w:noWrap/>
            <w:hideMark/>
          </w:tcPr>
          <w:p w14:paraId="1137576A"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157,0 </w:t>
            </w:r>
          </w:p>
        </w:tc>
        <w:tc>
          <w:tcPr>
            <w:tcW w:w="866" w:type="dxa"/>
            <w:tcBorders>
              <w:top w:val="nil"/>
              <w:left w:val="nil"/>
              <w:bottom w:val="single" w:sz="8" w:space="0" w:color="FFFFFF"/>
              <w:right w:val="single" w:sz="8" w:space="0" w:color="FFFFFF"/>
            </w:tcBorders>
            <w:shd w:val="clear" w:color="000000" w:fill="DBE5F1"/>
            <w:noWrap/>
          </w:tcPr>
          <w:p w14:paraId="132126F2" w14:textId="77777777" w:rsidR="00B86FB3" w:rsidRPr="00FF756A" w:rsidRDefault="00B86FB3" w:rsidP="00B86FB3">
            <w:pPr>
              <w:jc w:val="right"/>
              <w:rPr>
                <w:rFonts w:eastAsia="Times New Roman"/>
                <w:color w:val="000000"/>
                <w:sz w:val="18"/>
                <w:szCs w:val="18"/>
              </w:rPr>
            </w:pPr>
            <w:r w:rsidRPr="00FF756A">
              <w:rPr>
                <w:sz w:val="18"/>
                <w:szCs w:val="18"/>
              </w:rPr>
              <w:t xml:space="preserve"> 206,8 </w:t>
            </w:r>
          </w:p>
        </w:tc>
        <w:tc>
          <w:tcPr>
            <w:tcW w:w="867" w:type="dxa"/>
            <w:tcBorders>
              <w:top w:val="nil"/>
              <w:left w:val="nil"/>
              <w:bottom w:val="single" w:sz="8" w:space="0" w:color="FFFFFF"/>
              <w:right w:val="single" w:sz="8" w:space="0" w:color="FFFFFF"/>
            </w:tcBorders>
            <w:shd w:val="clear" w:color="000000" w:fill="DBE5F1"/>
            <w:noWrap/>
            <w:hideMark/>
          </w:tcPr>
          <w:p w14:paraId="79DFD68C" w14:textId="77777777" w:rsidR="00B86FB3" w:rsidRPr="00FF756A" w:rsidRDefault="00B86FB3" w:rsidP="00B86FB3">
            <w:pPr>
              <w:jc w:val="right"/>
              <w:rPr>
                <w:rFonts w:eastAsia="Times New Roman"/>
                <w:color w:val="000000"/>
                <w:sz w:val="18"/>
                <w:szCs w:val="18"/>
              </w:rPr>
            </w:pPr>
            <w:r w:rsidRPr="00FF756A">
              <w:rPr>
                <w:sz w:val="18"/>
                <w:szCs w:val="18"/>
              </w:rPr>
              <w:t xml:space="preserve"> 260,5 </w:t>
            </w:r>
          </w:p>
        </w:tc>
      </w:tr>
      <w:tr w:rsidR="00B86FB3" w:rsidRPr="00FF756A" w14:paraId="09B950F0"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19DA156E" w14:textId="77777777" w:rsidR="00B86FB3" w:rsidRPr="00FF756A" w:rsidRDefault="00B86FB3" w:rsidP="00B86FB3">
            <w:pPr>
              <w:rPr>
                <w:rFonts w:eastAsia="Times New Roman"/>
                <w:color w:val="FFFFFF"/>
                <w:sz w:val="18"/>
                <w:szCs w:val="18"/>
              </w:rPr>
            </w:pPr>
            <w:r w:rsidRPr="00FF756A">
              <w:rPr>
                <w:color w:val="FFFFFF"/>
                <w:sz w:val="18"/>
                <w:szCs w:val="18"/>
              </w:rPr>
              <w:t>Totali</w:t>
            </w:r>
          </w:p>
        </w:tc>
        <w:tc>
          <w:tcPr>
            <w:tcW w:w="866" w:type="dxa"/>
            <w:tcBorders>
              <w:top w:val="nil"/>
              <w:left w:val="nil"/>
              <w:bottom w:val="single" w:sz="8" w:space="0" w:color="FFFFFF"/>
              <w:right w:val="single" w:sz="8" w:space="0" w:color="FFFFFF"/>
            </w:tcBorders>
            <w:shd w:val="clear" w:color="000000" w:fill="4F81BD"/>
            <w:noWrap/>
            <w:hideMark/>
          </w:tcPr>
          <w:p w14:paraId="5E74D4DB"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197,7 </w:t>
            </w:r>
          </w:p>
        </w:tc>
        <w:tc>
          <w:tcPr>
            <w:tcW w:w="866" w:type="dxa"/>
            <w:tcBorders>
              <w:top w:val="nil"/>
              <w:left w:val="nil"/>
              <w:bottom w:val="single" w:sz="8" w:space="0" w:color="FFFFFF"/>
              <w:right w:val="single" w:sz="8" w:space="0" w:color="FFFFFF"/>
            </w:tcBorders>
            <w:shd w:val="clear" w:color="000000" w:fill="4F81BD"/>
            <w:noWrap/>
            <w:hideMark/>
          </w:tcPr>
          <w:p w14:paraId="4316C2BB"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218,8 </w:t>
            </w:r>
          </w:p>
        </w:tc>
        <w:tc>
          <w:tcPr>
            <w:tcW w:w="866" w:type="dxa"/>
            <w:tcBorders>
              <w:top w:val="nil"/>
              <w:left w:val="nil"/>
              <w:bottom w:val="single" w:sz="8" w:space="0" w:color="FFFFFF"/>
              <w:right w:val="single" w:sz="8" w:space="0" w:color="FFFFFF"/>
            </w:tcBorders>
            <w:shd w:val="clear" w:color="000000" w:fill="4F81BD"/>
            <w:noWrap/>
            <w:hideMark/>
          </w:tcPr>
          <w:p w14:paraId="5B394C5C"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218,8 </w:t>
            </w:r>
          </w:p>
        </w:tc>
        <w:tc>
          <w:tcPr>
            <w:tcW w:w="867" w:type="dxa"/>
            <w:tcBorders>
              <w:top w:val="nil"/>
              <w:left w:val="nil"/>
              <w:bottom w:val="single" w:sz="8" w:space="0" w:color="FFFFFF"/>
              <w:right w:val="single" w:sz="8" w:space="0" w:color="FFFFFF"/>
            </w:tcBorders>
            <w:shd w:val="clear" w:color="000000" w:fill="4F81BD"/>
            <w:noWrap/>
            <w:hideMark/>
          </w:tcPr>
          <w:p w14:paraId="403349C0"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224,7 </w:t>
            </w:r>
          </w:p>
        </w:tc>
        <w:tc>
          <w:tcPr>
            <w:tcW w:w="866" w:type="dxa"/>
            <w:tcBorders>
              <w:top w:val="nil"/>
              <w:left w:val="nil"/>
              <w:bottom w:val="single" w:sz="8" w:space="0" w:color="FFFFFF"/>
              <w:right w:val="single" w:sz="8" w:space="0" w:color="FFFFFF"/>
            </w:tcBorders>
            <w:shd w:val="clear" w:color="000000" w:fill="4F81BD"/>
            <w:noWrap/>
            <w:hideMark/>
          </w:tcPr>
          <w:p w14:paraId="0AA12CE9"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239,3 </w:t>
            </w:r>
          </w:p>
        </w:tc>
        <w:tc>
          <w:tcPr>
            <w:tcW w:w="866" w:type="dxa"/>
            <w:tcBorders>
              <w:top w:val="nil"/>
              <w:left w:val="nil"/>
              <w:bottom w:val="single" w:sz="8" w:space="0" w:color="FFFFFF"/>
              <w:right w:val="single" w:sz="8" w:space="0" w:color="FFFFFF"/>
            </w:tcBorders>
            <w:shd w:val="clear" w:color="auto" w:fill="4472C4" w:themeFill="accent1"/>
            <w:noWrap/>
            <w:hideMark/>
          </w:tcPr>
          <w:p w14:paraId="6444982C"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268,4 </w:t>
            </w:r>
          </w:p>
        </w:tc>
        <w:tc>
          <w:tcPr>
            <w:tcW w:w="866" w:type="dxa"/>
            <w:tcBorders>
              <w:top w:val="nil"/>
              <w:left w:val="nil"/>
              <w:bottom w:val="single" w:sz="8" w:space="0" w:color="FFFFFF"/>
              <w:right w:val="single" w:sz="8" w:space="0" w:color="FFFFFF"/>
            </w:tcBorders>
            <w:shd w:val="clear" w:color="000000" w:fill="4F81BD"/>
            <w:noWrap/>
          </w:tcPr>
          <w:p w14:paraId="368EAC4C"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313,0 </w:t>
            </w:r>
          </w:p>
        </w:tc>
        <w:tc>
          <w:tcPr>
            <w:tcW w:w="867" w:type="dxa"/>
            <w:tcBorders>
              <w:top w:val="nil"/>
              <w:left w:val="nil"/>
              <w:bottom w:val="single" w:sz="8" w:space="0" w:color="FFFFFF"/>
              <w:right w:val="single" w:sz="8" w:space="0" w:color="FFFFFF"/>
            </w:tcBorders>
            <w:shd w:val="clear" w:color="000000" w:fill="4F81BD"/>
            <w:noWrap/>
            <w:hideMark/>
          </w:tcPr>
          <w:p w14:paraId="1A74B10F"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353,1 </w:t>
            </w:r>
          </w:p>
        </w:tc>
      </w:tr>
      <w:tr w:rsidR="00B86FB3" w:rsidRPr="00FF756A" w14:paraId="57BC9C23" w14:textId="77777777" w:rsidTr="006A3266">
        <w:trPr>
          <w:trHeight w:val="291"/>
        </w:trPr>
        <w:tc>
          <w:tcPr>
            <w:tcW w:w="9080" w:type="dxa"/>
            <w:gridSpan w:val="9"/>
            <w:tcBorders>
              <w:top w:val="single" w:sz="8" w:space="0" w:color="FFFFFF"/>
              <w:left w:val="single" w:sz="8" w:space="0" w:color="FFFFFF"/>
              <w:bottom w:val="single" w:sz="8" w:space="0" w:color="FFFFFF"/>
              <w:right w:val="single" w:sz="8" w:space="0" w:color="FFFFFF"/>
            </w:tcBorders>
            <w:shd w:val="clear" w:color="auto" w:fill="4472C4" w:themeFill="accent1"/>
            <w:noWrap/>
            <w:vAlign w:val="center"/>
            <w:hideMark/>
          </w:tcPr>
          <w:p w14:paraId="2562BB6A" w14:textId="77777777" w:rsidR="00B86FB3" w:rsidRPr="00FF756A" w:rsidRDefault="00B86FB3" w:rsidP="00B86FB3">
            <w:pPr>
              <w:rPr>
                <w:rFonts w:eastAsia="Times New Roman"/>
                <w:color w:val="FFFFFF" w:themeColor="background1"/>
                <w:sz w:val="18"/>
                <w:szCs w:val="18"/>
              </w:rPr>
            </w:pPr>
            <w:r w:rsidRPr="00FF756A">
              <w:rPr>
                <w:color w:val="FFFFFF" w:themeColor="background1"/>
                <w:sz w:val="18"/>
                <w:szCs w:val="18"/>
              </w:rPr>
              <w:t>Industria</w:t>
            </w:r>
          </w:p>
        </w:tc>
      </w:tr>
      <w:tr w:rsidR="00B86FB3" w:rsidRPr="00FF756A" w14:paraId="4BEAD2F1"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79BEC141" w14:textId="77777777" w:rsidR="00B86FB3" w:rsidRPr="00FF756A" w:rsidRDefault="00B86FB3" w:rsidP="00B86FB3">
            <w:pPr>
              <w:rPr>
                <w:rFonts w:eastAsia="Times New Roman"/>
                <w:color w:val="FFFFFF"/>
                <w:sz w:val="18"/>
                <w:szCs w:val="18"/>
              </w:rPr>
            </w:pPr>
            <w:r w:rsidRPr="00FF756A">
              <w:rPr>
                <w:color w:val="FFFFFF"/>
                <w:sz w:val="18"/>
                <w:szCs w:val="18"/>
              </w:rPr>
              <w:t>Hekuri dhe çeliku</w:t>
            </w:r>
          </w:p>
        </w:tc>
        <w:tc>
          <w:tcPr>
            <w:tcW w:w="866" w:type="dxa"/>
            <w:tcBorders>
              <w:top w:val="nil"/>
              <w:left w:val="nil"/>
              <w:bottom w:val="single" w:sz="8" w:space="0" w:color="FFFFFF"/>
              <w:right w:val="single" w:sz="8" w:space="0" w:color="FFFFFF"/>
            </w:tcBorders>
            <w:shd w:val="clear" w:color="000000" w:fill="B8CCE4"/>
            <w:noWrap/>
            <w:hideMark/>
          </w:tcPr>
          <w:p w14:paraId="2608D2F3" w14:textId="77777777" w:rsidR="00B86FB3" w:rsidRPr="00FF756A" w:rsidRDefault="00B86FB3" w:rsidP="00B86FB3">
            <w:pPr>
              <w:jc w:val="right"/>
              <w:rPr>
                <w:rFonts w:eastAsia="Times New Roman"/>
                <w:color w:val="000000"/>
                <w:sz w:val="18"/>
                <w:szCs w:val="18"/>
              </w:rPr>
            </w:pPr>
            <w:r w:rsidRPr="00FF756A">
              <w:rPr>
                <w:sz w:val="18"/>
                <w:szCs w:val="18"/>
              </w:rPr>
              <w:t xml:space="preserve"> 27,8 </w:t>
            </w:r>
          </w:p>
        </w:tc>
        <w:tc>
          <w:tcPr>
            <w:tcW w:w="866" w:type="dxa"/>
            <w:tcBorders>
              <w:top w:val="nil"/>
              <w:left w:val="nil"/>
              <w:bottom w:val="single" w:sz="8" w:space="0" w:color="FFFFFF"/>
              <w:right w:val="single" w:sz="8" w:space="0" w:color="FFFFFF"/>
            </w:tcBorders>
            <w:shd w:val="clear" w:color="000000" w:fill="B8CCE4"/>
            <w:noWrap/>
            <w:hideMark/>
          </w:tcPr>
          <w:p w14:paraId="3B918354" w14:textId="77777777" w:rsidR="00B86FB3" w:rsidRPr="00FF756A" w:rsidRDefault="00B86FB3" w:rsidP="00B86FB3">
            <w:pPr>
              <w:jc w:val="right"/>
              <w:rPr>
                <w:rFonts w:eastAsia="Times New Roman"/>
                <w:color w:val="000000"/>
                <w:sz w:val="18"/>
                <w:szCs w:val="18"/>
              </w:rPr>
            </w:pPr>
            <w:r w:rsidRPr="00FF756A">
              <w:rPr>
                <w:sz w:val="18"/>
                <w:szCs w:val="18"/>
              </w:rPr>
              <w:t xml:space="preserve"> 29,8 </w:t>
            </w:r>
          </w:p>
        </w:tc>
        <w:tc>
          <w:tcPr>
            <w:tcW w:w="866" w:type="dxa"/>
            <w:tcBorders>
              <w:top w:val="nil"/>
              <w:left w:val="nil"/>
              <w:bottom w:val="single" w:sz="8" w:space="0" w:color="FFFFFF"/>
              <w:right w:val="single" w:sz="8" w:space="0" w:color="FFFFFF"/>
            </w:tcBorders>
            <w:shd w:val="clear" w:color="000000" w:fill="B8CCE4"/>
            <w:noWrap/>
            <w:hideMark/>
          </w:tcPr>
          <w:p w14:paraId="5867F931" w14:textId="77777777" w:rsidR="00B86FB3" w:rsidRPr="00FF756A" w:rsidRDefault="00B86FB3" w:rsidP="00B86FB3">
            <w:pPr>
              <w:jc w:val="right"/>
              <w:rPr>
                <w:rFonts w:eastAsia="Times New Roman"/>
                <w:color w:val="000000"/>
                <w:sz w:val="18"/>
                <w:szCs w:val="18"/>
              </w:rPr>
            </w:pPr>
            <w:r w:rsidRPr="00FF756A">
              <w:rPr>
                <w:sz w:val="18"/>
                <w:szCs w:val="18"/>
              </w:rPr>
              <w:t xml:space="preserve"> 29,8 </w:t>
            </w:r>
          </w:p>
        </w:tc>
        <w:tc>
          <w:tcPr>
            <w:tcW w:w="867" w:type="dxa"/>
            <w:tcBorders>
              <w:top w:val="nil"/>
              <w:left w:val="nil"/>
              <w:bottom w:val="single" w:sz="8" w:space="0" w:color="FFFFFF"/>
              <w:right w:val="single" w:sz="8" w:space="0" w:color="FFFFFF"/>
            </w:tcBorders>
            <w:shd w:val="clear" w:color="000000" w:fill="B8CCE4"/>
            <w:noWrap/>
            <w:hideMark/>
          </w:tcPr>
          <w:p w14:paraId="27CFB82D" w14:textId="77777777" w:rsidR="00B86FB3" w:rsidRPr="00FF756A" w:rsidRDefault="00B86FB3" w:rsidP="00B86FB3">
            <w:pPr>
              <w:jc w:val="right"/>
              <w:rPr>
                <w:rFonts w:eastAsia="Times New Roman"/>
                <w:color w:val="000000"/>
                <w:sz w:val="18"/>
                <w:szCs w:val="18"/>
              </w:rPr>
            </w:pPr>
            <w:r w:rsidRPr="00FF756A">
              <w:rPr>
                <w:sz w:val="18"/>
                <w:szCs w:val="18"/>
              </w:rPr>
              <w:t xml:space="preserve"> 31,1 </w:t>
            </w:r>
          </w:p>
        </w:tc>
        <w:tc>
          <w:tcPr>
            <w:tcW w:w="866" w:type="dxa"/>
            <w:tcBorders>
              <w:top w:val="nil"/>
              <w:left w:val="nil"/>
              <w:bottom w:val="single" w:sz="8" w:space="0" w:color="FFFFFF"/>
              <w:right w:val="single" w:sz="8" w:space="0" w:color="FFFFFF"/>
            </w:tcBorders>
            <w:shd w:val="clear" w:color="000000" w:fill="B8CCE4"/>
            <w:noWrap/>
            <w:hideMark/>
          </w:tcPr>
          <w:p w14:paraId="66D954FC" w14:textId="77777777" w:rsidR="00B86FB3" w:rsidRPr="00FF756A" w:rsidRDefault="00B86FB3" w:rsidP="00B86FB3">
            <w:pPr>
              <w:jc w:val="right"/>
              <w:rPr>
                <w:rFonts w:eastAsia="Times New Roman"/>
                <w:color w:val="000000"/>
                <w:sz w:val="18"/>
                <w:szCs w:val="18"/>
              </w:rPr>
            </w:pPr>
            <w:r w:rsidRPr="00FF756A">
              <w:rPr>
                <w:sz w:val="18"/>
                <w:szCs w:val="18"/>
              </w:rPr>
              <w:t xml:space="preserve"> 34,0 </w:t>
            </w:r>
          </w:p>
        </w:tc>
        <w:tc>
          <w:tcPr>
            <w:tcW w:w="866" w:type="dxa"/>
            <w:tcBorders>
              <w:top w:val="nil"/>
              <w:left w:val="nil"/>
              <w:bottom w:val="single" w:sz="8" w:space="0" w:color="FFFFFF"/>
              <w:right w:val="single" w:sz="8" w:space="0" w:color="FFFFFF"/>
            </w:tcBorders>
            <w:shd w:val="clear" w:color="auto" w:fill="4472C4" w:themeFill="accent1"/>
            <w:noWrap/>
            <w:hideMark/>
          </w:tcPr>
          <w:p w14:paraId="3A9E420E"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42,3 </w:t>
            </w:r>
          </w:p>
        </w:tc>
        <w:tc>
          <w:tcPr>
            <w:tcW w:w="866" w:type="dxa"/>
            <w:tcBorders>
              <w:top w:val="nil"/>
              <w:left w:val="nil"/>
              <w:bottom w:val="single" w:sz="8" w:space="0" w:color="FFFFFF"/>
              <w:right w:val="single" w:sz="8" w:space="0" w:color="FFFFFF"/>
            </w:tcBorders>
            <w:shd w:val="clear" w:color="000000" w:fill="B8CCE4"/>
            <w:noWrap/>
          </w:tcPr>
          <w:p w14:paraId="6458EC40" w14:textId="77777777" w:rsidR="00B86FB3" w:rsidRPr="00FF756A" w:rsidRDefault="00B86FB3" w:rsidP="00B86FB3">
            <w:pPr>
              <w:jc w:val="right"/>
              <w:rPr>
                <w:rFonts w:eastAsia="Times New Roman"/>
                <w:color w:val="000000"/>
                <w:sz w:val="18"/>
                <w:szCs w:val="18"/>
              </w:rPr>
            </w:pPr>
            <w:r w:rsidRPr="00FF756A">
              <w:rPr>
                <w:sz w:val="18"/>
                <w:szCs w:val="18"/>
              </w:rPr>
              <w:t xml:space="preserve"> 65,2 </w:t>
            </w:r>
          </w:p>
        </w:tc>
        <w:tc>
          <w:tcPr>
            <w:tcW w:w="867" w:type="dxa"/>
            <w:tcBorders>
              <w:top w:val="nil"/>
              <w:left w:val="nil"/>
              <w:bottom w:val="single" w:sz="8" w:space="0" w:color="FFFFFF"/>
              <w:right w:val="single" w:sz="8" w:space="0" w:color="FFFFFF"/>
            </w:tcBorders>
            <w:shd w:val="clear" w:color="000000" w:fill="B8CCE4"/>
            <w:noWrap/>
            <w:hideMark/>
          </w:tcPr>
          <w:p w14:paraId="426C32EF" w14:textId="77777777" w:rsidR="00B86FB3" w:rsidRPr="00FF756A" w:rsidRDefault="00B86FB3" w:rsidP="00B86FB3">
            <w:pPr>
              <w:jc w:val="right"/>
              <w:rPr>
                <w:rFonts w:eastAsia="Times New Roman"/>
                <w:color w:val="000000"/>
                <w:sz w:val="18"/>
                <w:szCs w:val="18"/>
              </w:rPr>
            </w:pPr>
            <w:r w:rsidRPr="00FF756A">
              <w:rPr>
                <w:sz w:val="18"/>
                <w:szCs w:val="18"/>
              </w:rPr>
              <w:t xml:space="preserve"> 100,6 </w:t>
            </w:r>
          </w:p>
        </w:tc>
      </w:tr>
      <w:tr w:rsidR="00B86FB3" w:rsidRPr="00FF756A" w14:paraId="2D24E36C"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0AAB3268" w14:textId="77777777" w:rsidR="00B86FB3" w:rsidRPr="00FF756A" w:rsidRDefault="00B86FB3" w:rsidP="00B86FB3">
            <w:pPr>
              <w:rPr>
                <w:rFonts w:eastAsia="Times New Roman"/>
                <w:color w:val="FFFFFF"/>
                <w:sz w:val="18"/>
                <w:szCs w:val="18"/>
              </w:rPr>
            </w:pPr>
            <w:r w:rsidRPr="00FF756A">
              <w:rPr>
                <w:color w:val="FFFFFF"/>
                <w:sz w:val="18"/>
                <w:szCs w:val="18"/>
              </w:rPr>
              <w:t>Metalet joferrike</w:t>
            </w:r>
          </w:p>
        </w:tc>
        <w:tc>
          <w:tcPr>
            <w:tcW w:w="866" w:type="dxa"/>
            <w:tcBorders>
              <w:top w:val="nil"/>
              <w:left w:val="nil"/>
              <w:bottom w:val="single" w:sz="8" w:space="0" w:color="FFFFFF"/>
              <w:right w:val="single" w:sz="8" w:space="0" w:color="FFFFFF"/>
            </w:tcBorders>
            <w:shd w:val="clear" w:color="000000" w:fill="DBE5F1"/>
            <w:noWrap/>
            <w:hideMark/>
          </w:tcPr>
          <w:p w14:paraId="64B984DD" w14:textId="77777777" w:rsidR="00B86FB3" w:rsidRPr="00FF756A" w:rsidRDefault="00B86FB3" w:rsidP="00B86FB3">
            <w:pPr>
              <w:jc w:val="right"/>
              <w:rPr>
                <w:rFonts w:eastAsia="Times New Roman"/>
                <w:color w:val="000000"/>
                <w:sz w:val="18"/>
                <w:szCs w:val="18"/>
              </w:rPr>
            </w:pPr>
            <w:r w:rsidRPr="00FF756A">
              <w:rPr>
                <w:sz w:val="18"/>
                <w:szCs w:val="18"/>
              </w:rPr>
              <w:t xml:space="preserve"> 6,4 </w:t>
            </w:r>
          </w:p>
        </w:tc>
        <w:tc>
          <w:tcPr>
            <w:tcW w:w="866" w:type="dxa"/>
            <w:tcBorders>
              <w:top w:val="nil"/>
              <w:left w:val="nil"/>
              <w:bottom w:val="single" w:sz="8" w:space="0" w:color="FFFFFF"/>
              <w:right w:val="single" w:sz="8" w:space="0" w:color="FFFFFF"/>
            </w:tcBorders>
            <w:shd w:val="clear" w:color="000000" w:fill="DBE5F1"/>
            <w:noWrap/>
            <w:hideMark/>
          </w:tcPr>
          <w:p w14:paraId="3C2AFE42" w14:textId="77777777" w:rsidR="00B86FB3" w:rsidRPr="00FF756A" w:rsidRDefault="00B86FB3" w:rsidP="00B86FB3">
            <w:pPr>
              <w:jc w:val="right"/>
              <w:rPr>
                <w:rFonts w:eastAsia="Times New Roman"/>
                <w:color w:val="000000"/>
                <w:sz w:val="18"/>
                <w:szCs w:val="18"/>
              </w:rPr>
            </w:pPr>
            <w:r w:rsidRPr="00FF756A">
              <w:rPr>
                <w:sz w:val="18"/>
                <w:szCs w:val="18"/>
              </w:rPr>
              <w:t xml:space="preserve"> 4,7 </w:t>
            </w:r>
          </w:p>
        </w:tc>
        <w:tc>
          <w:tcPr>
            <w:tcW w:w="866" w:type="dxa"/>
            <w:tcBorders>
              <w:top w:val="nil"/>
              <w:left w:val="nil"/>
              <w:bottom w:val="single" w:sz="8" w:space="0" w:color="FFFFFF"/>
              <w:right w:val="single" w:sz="8" w:space="0" w:color="FFFFFF"/>
            </w:tcBorders>
            <w:shd w:val="clear" w:color="000000" w:fill="DBE5F1"/>
            <w:noWrap/>
            <w:hideMark/>
          </w:tcPr>
          <w:p w14:paraId="5868FA00" w14:textId="77777777" w:rsidR="00B86FB3" w:rsidRPr="00FF756A" w:rsidRDefault="00B86FB3" w:rsidP="00B86FB3">
            <w:pPr>
              <w:jc w:val="right"/>
              <w:rPr>
                <w:rFonts w:eastAsia="Times New Roman"/>
                <w:color w:val="000000"/>
                <w:sz w:val="18"/>
                <w:szCs w:val="18"/>
              </w:rPr>
            </w:pPr>
            <w:r w:rsidRPr="00FF756A">
              <w:rPr>
                <w:sz w:val="18"/>
                <w:szCs w:val="18"/>
              </w:rPr>
              <w:t xml:space="preserve"> 4,7 </w:t>
            </w:r>
          </w:p>
        </w:tc>
        <w:tc>
          <w:tcPr>
            <w:tcW w:w="867" w:type="dxa"/>
            <w:tcBorders>
              <w:top w:val="nil"/>
              <w:left w:val="nil"/>
              <w:bottom w:val="single" w:sz="8" w:space="0" w:color="FFFFFF"/>
              <w:right w:val="single" w:sz="8" w:space="0" w:color="FFFFFF"/>
            </w:tcBorders>
            <w:shd w:val="clear" w:color="000000" w:fill="DBE5F1"/>
            <w:noWrap/>
            <w:hideMark/>
          </w:tcPr>
          <w:p w14:paraId="4E4BAB8A" w14:textId="77777777" w:rsidR="00B86FB3" w:rsidRPr="00FF756A" w:rsidRDefault="00B86FB3" w:rsidP="00B86FB3">
            <w:pPr>
              <w:jc w:val="right"/>
              <w:rPr>
                <w:rFonts w:eastAsia="Times New Roman"/>
                <w:color w:val="000000"/>
                <w:sz w:val="18"/>
                <w:szCs w:val="18"/>
              </w:rPr>
            </w:pPr>
            <w:r w:rsidRPr="00FF756A">
              <w:rPr>
                <w:sz w:val="18"/>
                <w:szCs w:val="18"/>
              </w:rPr>
              <w:t xml:space="preserve"> 4,9 </w:t>
            </w:r>
          </w:p>
        </w:tc>
        <w:tc>
          <w:tcPr>
            <w:tcW w:w="866" w:type="dxa"/>
            <w:tcBorders>
              <w:top w:val="nil"/>
              <w:left w:val="nil"/>
              <w:bottom w:val="single" w:sz="8" w:space="0" w:color="FFFFFF"/>
              <w:right w:val="single" w:sz="8" w:space="0" w:color="FFFFFF"/>
            </w:tcBorders>
            <w:shd w:val="clear" w:color="000000" w:fill="DBE5F1"/>
            <w:noWrap/>
            <w:hideMark/>
          </w:tcPr>
          <w:p w14:paraId="4800A94B" w14:textId="77777777" w:rsidR="00B86FB3" w:rsidRPr="00FF756A" w:rsidRDefault="00B86FB3" w:rsidP="00B86FB3">
            <w:pPr>
              <w:jc w:val="right"/>
              <w:rPr>
                <w:rFonts w:eastAsia="Times New Roman"/>
                <w:color w:val="000000"/>
                <w:sz w:val="18"/>
                <w:szCs w:val="18"/>
              </w:rPr>
            </w:pPr>
            <w:r w:rsidRPr="00FF756A">
              <w:rPr>
                <w:sz w:val="18"/>
                <w:szCs w:val="18"/>
              </w:rPr>
              <w:t xml:space="preserve"> 5,4 </w:t>
            </w:r>
          </w:p>
        </w:tc>
        <w:tc>
          <w:tcPr>
            <w:tcW w:w="866" w:type="dxa"/>
            <w:tcBorders>
              <w:top w:val="nil"/>
              <w:left w:val="nil"/>
              <w:bottom w:val="single" w:sz="8" w:space="0" w:color="FFFFFF"/>
              <w:right w:val="single" w:sz="8" w:space="0" w:color="FFFFFF"/>
            </w:tcBorders>
            <w:shd w:val="clear" w:color="auto" w:fill="4472C4" w:themeFill="accent1"/>
            <w:noWrap/>
            <w:hideMark/>
          </w:tcPr>
          <w:p w14:paraId="5C6B8C1E"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6,7 </w:t>
            </w:r>
          </w:p>
        </w:tc>
        <w:tc>
          <w:tcPr>
            <w:tcW w:w="866" w:type="dxa"/>
            <w:tcBorders>
              <w:top w:val="nil"/>
              <w:left w:val="nil"/>
              <w:bottom w:val="single" w:sz="8" w:space="0" w:color="FFFFFF"/>
              <w:right w:val="single" w:sz="8" w:space="0" w:color="FFFFFF"/>
            </w:tcBorders>
            <w:shd w:val="clear" w:color="000000" w:fill="DBE5F1"/>
            <w:noWrap/>
          </w:tcPr>
          <w:p w14:paraId="24EB4DFE" w14:textId="77777777" w:rsidR="00B86FB3" w:rsidRPr="00FF756A" w:rsidRDefault="00B86FB3" w:rsidP="00B86FB3">
            <w:pPr>
              <w:jc w:val="right"/>
              <w:rPr>
                <w:rFonts w:eastAsia="Times New Roman"/>
                <w:color w:val="000000"/>
                <w:sz w:val="18"/>
                <w:szCs w:val="18"/>
              </w:rPr>
            </w:pPr>
            <w:r w:rsidRPr="00FF756A">
              <w:rPr>
                <w:sz w:val="18"/>
                <w:szCs w:val="18"/>
              </w:rPr>
              <w:t xml:space="preserve"> 10,3 </w:t>
            </w:r>
          </w:p>
        </w:tc>
        <w:tc>
          <w:tcPr>
            <w:tcW w:w="867" w:type="dxa"/>
            <w:tcBorders>
              <w:top w:val="nil"/>
              <w:left w:val="nil"/>
              <w:bottom w:val="single" w:sz="8" w:space="0" w:color="FFFFFF"/>
              <w:right w:val="single" w:sz="8" w:space="0" w:color="FFFFFF"/>
            </w:tcBorders>
            <w:shd w:val="clear" w:color="000000" w:fill="DBE5F1"/>
            <w:noWrap/>
            <w:hideMark/>
          </w:tcPr>
          <w:p w14:paraId="721BBCBF" w14:textId="77777777" w:rsidR="00B86FB3" w:rsidRPr="00FF756A" w:rsidRDefault="00B86FB3" w:rsidP="00B86FB3">
            <w:pPr>
              <w:jc w:val="right"/>
              <w:rPr>
                <w:rFonts w:eastAsia="Times New Roman"/>
                <w:color w:val="000000"/>
                <w:sz w:val="18"/>
                <w:szCs w:val="18"/>
              </w:rPr>
            </w:pPr>
            <w:r w:rsidRPr="00FF756A">
              <w:rPr>
                <w:sz w:val="18"/>
                <w:szCs w:val="18"/>
              </w:rPr>
              <w:t xml:space="preserve"> 16,0 </w:t>
            </w:r>
          </w:p>
        </w:tc>
      </w:tr>
      <w:tr w:rsidR="00B86FB3" w:rsidRPr="00FF756A" w14:paraId="72AE0522"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7B357FC5" w14:textId="77777777" w:rsidR="00B86FB3" w:rsidRPr="00FF756A" w:rsidRDefault="00B86FB3" w:rsidP="00B86FB3">
            <w:pPr>
              <w:rPr>
                <w:rFonts w:eastAsia="Times New Roman"/>
                <w:color w:val="FFFFFF"/>
                <w:sz w:val="18"/>
                <w:szCs w:val="18"/>
              </w:rPr>
            </w:pPr>
            <w:r w:rsidRPr="00FF756A">
              <w:rPr>
                <w:color w:val="FFFFFF"/>
                <w:sz w:val="18"/>
                <w:szCs w:val="18"/>
              </w:rPr>
              <w:t>Sektori kimik</w:t>
            </w:r>
          </w:p>
        </w:tc>
        <w:tc>
          <w:tcPr>
            <w:tcW w:w="866" w:type="dxa"/>
            <w:tcBorders>
              <w:top w:val="nil"/>
              <w:left w:val="nil"/>
              <w:bottom w:val="single" w:sz="8" w:space="0" w:color="FFFFFF"/>
              <w:right w:val="single" w:sz="8" w:space="0" w:color="FFFFFF"/>
            </w:tcBorders>
            <w:shd w:val="clear" w:color="000000" w:fill="B8CCE4"/>
            <w:noWrap/>
            <w:hideMark/>
          </w:tcPr>
          <w:p w14:paraId="4E73AB17" w14:textId="77777777" w:rsidR="00B86FB3" w:rsidRPr="00FF756A" w:rsidRDefault="00B86FB3" w:rsidP="00B86FB3">
            <w:pPr>
              <w:jc w:val="right"/>
              <w:rPr>
                <w:rFonts w:eastAsia="Times New Roman"/>
                <w:color w:val="000000"/>
                <w:sz w:val="18"/>
                <w:szCs w:val="18"/>
              </w:rPr>
            </w:pPr>
            <w:r w:rsidRPr="00FF756A">
              <w:rPr>
                <w:sz w:val="18"/>
                <w:szCs w:val="18"/>
              </w:rPr>
              <w:t xml:space="preserve"> 14,3 </w:t>
            </w:r>
          </w:p>
        </w:tc>
        <w:tc>
          <w:tcPr>
            <w:tcW w:w="866" w:type="dxa"/>
            <w:tcBorders>
              <w:top w:val="nil"/>
              <w:left w:val="nil"/>
              <w:bottom w:val="single" w:sz="8" w:space="0" w:color="FFFFFF"/>
              <w:right w:val="single" w:sz="8" w:space="0" w:color="FFFFFF"/>
            </w:tcBorders>
            <w:shd w:val="clear" w:color="000000" w:fill="B8CCE4"/>
            <w:noWrap/>
            <w:hideMark/>
          </w:tcPr>
          <w:p w14:paraId="46777B61" w14:textId="77777777" w:rsidR="00B86FB3" w:rsidRPr="00FF756A" w:rsidRDefault="00B86FB3" w:rsidP="00B86FB3">
            <w:pPr>
              <w:jc w:val="right"/>
              <w:rPr>
                <w:rFonts w:eastAsia="Times New Roman"/>
                <w:color w:val="000000"/>
                <w:sz w:val="18"/>
                <w:szCs w:val="18"/>
              </w:rPr>
            </w:pPr>
            <w:r w:rsidRPr="00FF756A">
              <w:rPr>
                <w:sz w:val="18"/>
                <w:szCs w:val="18"/>
              </w:rPr>
              <w:t xml:space="preserve"> 14,4 </w:t>
            </w:r>
          </w:p>
        </w:tc>
        <w:tc>
          <w:tcPr>
            <w:tcW w:w="866" w:type="dxa"/>
            <w:tcBorders>
              <w:top w:val="nil"/>
              <w:left w:val="nil"/>
              <w:bottom w:val="single" w:sz="8" w:space="0" w:color="FFFFFF"/>
              <w:right w:val="single" w:sz="8" w:space="0" w:color="FFFFFF"/>
            </w:tcBorders>
            <w:shd w:val="clear" w:color="000000" w:fill="B8CCE4"/>
            <w:noWrap/>
            <w:hideMark/>
          </w:tcPr>
          <w:p w14:paraId="70C512E6" w14:textId="77777777" w:rsidR="00B86FB3" w:rsidRPr="00FF756A" w:rsidRDefault="00B86FB3" w:rsidP="00B86FB3">
            <w:pPr>
              <w:jc w:val="right"/>
              <w:rPr>
                <w:rFonts w:eastAsia="Times New Roman"/>
                <w:color w:val="000000"/>
                <w:sz w:val="18"/>
                <w:szCs w:val="18"/>
              </w:rPr>
            </w:pPr>
            <w:r w:rsidRPr="00FF756A">
              <w:rPr>
                <w:sz w:val="18"/>
                <w:szCs w:val="18"/>
              </w:rPr>
              <w:t xml:space="preserve"> 14,4 </w:t>
            </w:r>
          </w:p>
        </w:tc>
        <w:tc>
          <w:tcPr>
            <w:tcW w:w="867" w:type="dxa"/>
            <w:tcBorders>
              <w:top w:val="nil"/>
              <w:left w:val="nil"/>
              <w:bottom w:val="single" w:sz="8" w:space="0" w:color="FFFFFF"/>
              <w:right w:val="single" w:sz="8" w:space="0" w:color="FFFFFF"/>
            </w:tcBorders>
            <w:shd w:val="clear" w:color="000000" w:fill="B8CCE4"/>
            <w:noWrap/>
            <w:hideMark/>
          </w:tcPr>
          <w:p w14:paraId="5372F984" w14:textId="77777777" w:rsidR="00B86FB3" w:rsidRPr="00FF756A" w:rsidRDefault="00B86FB3" w:rsidP="00B86FB3">
            <w:pPr>
              <w:jc w:val="right"/>
              <w:rPr>
                <w:rFonts w:eastAsia="Times New Roman"/>
                <w:color w:val="000000"/>
                <w:sz w:val="18"/>
                <w:szCs w:val="18"/>
              </w:rPr>
            </w:pPr>
            <w:r w:rsidRPr="00FF756A">
              <w:rPr>
                <w:sz w:val="18"/>
                <w:szCs w:val="18"/>
              </w:rPr>
              <w:t xml:space="preserve"> 15,0 </w:t>
            </w:r>
          </w:p>
        </w:tc>
        <w:tc>
          <w:tcPr>
            <w:tcW w:w="866" w:type="dxa"/>
            <w:tcBorders>
              <w:top w:val="nil"/>
              <w:left w:val="nil"/>
              <w:bottom w:val="single" w:sz="8" w:space="0" w:color="FFFFFF"/>
              <w:right w:val="single" w:sz="8" w:space="0" w:color="FFFFFF"/>
            </w:tcBorders>
            <w:shd w:val="clear" w:color="000000" w:fill="B8CCE4"/>
            <w:noWrap/>
            <w:hideMark/>
          </w:tcPr>
          <w:p w14:paraId="7CDB0F72" w14:textId="77777777" w:rsidR="00B86FB3" w:rsidRPr="00FF756A" w:rsidRDefault="00B86FB3" w:rsidP="00B86FB3">
            <w:pPr>
              <w:jc w:val="right"/>
              <w:rPr>
                <w:rFonts w:eastAsia="Times New Roman"/>
                <w:color w:val="000000"/>
                <w:sz w:val="18"/>
                <w:szCs w:val="18"/>
              </w:rPr>
            </w:pPr>
            <w:r w:rsidRPr="00FF756A">
              <w:rPr>
                <w:sz w:val="18"/>
                <w:szCs w:val="18"/>
              </w:rPr>
              <w:t xml:space="preserve"> 16,4 </w:t>
            </w:r>
          </w:p>
        </w:tc>
        <w:tc>
          <w:tcPr>
            <w:tcW w:w="866" w:type="dxa"/>
            <w:tcBorders>
              <w:top w:val="nil"/>
              <w:left w:val="nil"/>
              <w:bottom w:val="single" w:sz="8" w:space="0" w:color="FFFFFF"/>
              <w:right w:val="single" w:sz="8" w:space="0" w:color="FFFFFF"/>
            </w:tcBorders>
            <w:shd w:val="clear" w:color="auto" w:fill="4472C4" w:themeFill="accent1"/>
            <w:noWrap/>
            <w:hideMark/>
          </w:tcPr>
          <w:p w14:paraId="7AEC8817"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20,4 </w:t>
            </w:r>
          </w:p>
        </w:tc>
        <w:tc>
          <w:tcPr>
            <w:tcW w:w="866" w:type="dxa"/>
            <w:tcBorders>
              <w:top w:val="nil"/>
              <w:left w:val="nil"/>
              <w:bottom w:val="single" w:sz="8" w:space="0" w:color="FFFFFF"/>
              <w:right w:val="single" w:sz="8" w:space="0" w:color="FFFFFF"/>
            </w:tcBorders>
            <w:shd w:val="clear" w:color="000000" w:fill="B8CCE4"/>
            <w:noWrap/>
          </w:tcPr>
          <w:p w14:paraId="5F2DC7F9" w14:textId="77777777" w:rsidR="00B86FB3" w:rsidRPr="00FF756A" w:rsidRDefault="00B86FB3" w:rsidP="00B86FB3">
            <w:pPr>
              <w:jc w:val="right"/>
              <w:rPr>
                <w:rFonts w:eastAsia="Times New Roman"/>
                <w:color w:val="000000"/>
                <w:sz w:val="18"/>
                <w:szCs w:val="18"/>
              </w:rPr>
            </w:pPr>
            <w:r w:rsidRPr="00FF756A">
              <w:rPr>
                <w:sz w:val="18"/>
                <w:szCs w:val="18"/>
              </w:rPr>
              <w:t xml:space="preserve"> 31,5 </w:t>
            </w:r>
          </w:p>
        </w:tc>
        <w:tc>
          <w:tcPr>
            <w:tcW w:w="867" w:type="dxa"/>
            <w:tcBorders>
              <w:top w:val="nil"/>
              <w:left w:val="nil"/>
              <w:bottom w:val="single" w:sz="8" w:space="0" w:color="FFFFFF"/>
              <w:right w:val="single" w:sz="8" w:space="0" w:color="FFFFFF"/>
            </w:tcBorders>
            <w:shd w:val="clear" w:color="000000" w:fill="B8CCE4"/>
            <w:noWrap/>
            <w:hideMark/>
          </w:tcPr>
          <w:p w14:paraId="7A5D91C4" w14:textId="77777777" w:rsidR="00B86FB3" w:rsidRPr="00FF756A" w:rsidRDefault="00B86FB3" w:rsidP="00B86FB3">
            <w:pPr>
              <w:jc w:val="right"/>
              <w:rPr>
                <w:rFonts w:eastAsia="Times New Roman"/>
                <w:color w:val="000000"/>
                <w:sz w:val="18"/>
                <w:szCs w:val="18"/>
              </w:rPr>
            </w:pPr>
            <w:r w:rsidRPr="00FF756A">
              <w:rPr>
                <w:sz w:val="18"/>
                <w:szCs w:val="18"/>
              </w:rPr>
              <w:t xml:space="preserve"> 48,5 </w:t>
            </w:r>
          </w:p>
        </w:tc>
      </w:tr>
      <w:tr w:rsidR="00B86FB3" w:rsidRPr="00FF756A" w14:paraId="572CDEA5"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1907F026" w14:textId="77777777" w:rsidR="00B86FB3" w:rsidRPr="00FF756A" w:rsidRDefault="00B86FB3" w:rsidP="00B86FB3">
            <w:pPr>
              <w:rPr>
                <w:rFonts w:eastAsia="Times New Roman"/>
                <w:color w:val="FFFFFF"/>
                <w:sz w:val="18"/>
                <w:szCs w:val="18"/>
              </w:rPr>
            </w:pPr>
            <w:r w:rsidRPr="00FF756A">
              <w:rPr>
                <w:color w:val="FFFFFF"/>
                <w:sz w:val="18"/>
                <w:szCs w:val="18"/>
              </w:rPr>
              <w:t>Sektori minerar</w:t>
            </w:r>
          </w:p>
        </w:tc>
        <w:tc>
          <w:tcPr>
            <w:tcW w:w="866" w:type="dxa"/>
            <w:tcBorders>
              <w:top w:val="nil"/>
              <w:left w:val="nil"/>
              <w:bottom w:val="single" w:sz="8" w:space="0" w:color="FFFFFF"/>
              <w:right w:val="single" w:sz="8" w:space="0" w:color="FFFFFF"/>
            </w:tcBorders>
            <w:shd w:val="clear" w:color="000000" w:fill="DBE5F1"/>
            <w:noWrap/>
            <w:hideMark/>
          </w:tcPr>
          <w:p w14:paraId="6094B2F3" w14:textId="77777777" w:rsidR="00B86FB3" w:rsidRPr="00FF756A" w:rsidRDefault="00B86FB3" w:rsidP="00B86FB3">
            <w:pPr>
              <w:jc w:val="right"/>
              <w:rPr>
                <w:rFonts w:eastAsia="Times New Roman"/>
                <w:color w:val="000000"/>
                <w:sz w:val="18"/>
                <w:szCs w:val="18"/>
              </w:rPr>
            </w:pPr>
            <w:r w:rsidRPr="00FF756A">
              <w:rPr>
                <w:sz w:val="18"/>
                <w:szCs w:val="18"/>
              </w:rPr>
              <w:t xml:space="preserve"> 208,9 </w:t>
            </w:r>
          </w:p>
        </w:tc>
        <w:tc>
          <w:tcPr>
            <w:tcW w:w="866" w:type="dxa"/>
            <w:tcBorders>
              <w:top w:val="nil"/>
              <w:left w:val="nil"/>
              <w:bottom w:val="single" w:sz="8" w:space="0" w:color="FFFFFF"/>
              <w:right w:val="single" w:sz="8" w:space="0" w:color="FFFFFF"/>
            </w:tcBorders>
            <w:shd w:val="clear" w:color="000000" w:fill="DBE5F1"/>
            <w:noWrap/>
            <w:hideMark/>
          </w:tcPr>
          <w:p w14:paraId="43A2099D" w14:textId="77777777" w:rsidR="00B86FB3" w:rsidRPr="00FF756A" w:rsidRDefault="00B86FB3" w:rsidP="00B86FB3">
            <w:pPr>
              <w:jc w:val="right"/>
              <w:rPr>
                <w:rFonts w:eastAsia="Times New Roman"/>
                <w:color w:val="000000"/>
                <w:sz w:val="18"/>
                <w:szCs w:val="18"/>
              </w:rPr>
            </w:pPr>
            <w:r w:rsidRPr="00FF756A">
              <w:rPr>
                <w:sz w:val="18"/>
                <w:szCs w:val="18"/>
              </w:rPr>
              <w:t xml:space="preserve"> 263,6 </w:t>
            </w:r>
          </w:p>
        </w:tc>
        <w:tc>
          <w:tcPr>
            <w:tcW w:w="866" w:type="dxa"/>
            <w:tcBorders>
              <w:top w:val="nil"/>
              <w:left w:val="nil"/>
              <w:bottom w:val="single" w:sz="8" w:space="0" w:color="FFFFFF"/>
              <w:right w:val="single" w:sz="8" w:space="0" w:color="FFFFFF"/>
            </w:tcBorders>
            <w:shd w:val="clear" w:color="000000" w:fill="DBE5F1"/>
            <w:noWrap/>
            <w:hideMark/>
          </w:tcPr>
          <w:p w14:paraId="3A57B71C" w14:textId="77777777" w:rsidR="00B86FB3" w:rsidRPr="00FF756A" w:rsidRDefault="00B86FB3" w:rsidP="00B86FB3">
            <w:pPr>
              <w:jc w:val="right"/>
              <w:rPr>
                <w:rFonts w:eastAsia="Times New Roman"/>
                <w:color w:val="000000"/>
                <w:sz w:val="18"/>
                <w:szCs w:val="18"/>
              </w:rPr>
            </w:pPr>
            <w:r w:rsidRPr="00FF756A">
              <w:rPr>
                <w:sz w:val="18"/>
                <w:szCs w:val="18"/>
              </w:rPr>
              <w:t xml:space="preserve"> 259,4 </w:t>
            </w:r>
          </w:p>
        </w:tc>
        <w:tc>
          <w:tcPr>
            <w:tcW w:w="867" w:type="dxa"/>
            <w:tcBorders>
              <w:top w:val="nil"/>
              <w:left w:val="nil"/>
              <w:bottom w:val="single" w:sz="8" w:space="0" w:color="FFFFFF"/>
              <w:right w:val="single" w:sz="8" w:space="0" w:color="FFFFFF"/>
            </w:tcBorders>
            <w:shd w:val="clear" w:color="000000" w:fill="DBE5F1"/>
            <w:noWrap/>
            <w:hideMark/>
          </w:tcPr>
          <w:p w14:paraId="5218764D" w14:textId="77777777" w:rsidR="00B86FB3" w:rsidRPr="00FF756A" w:rsidRDefault="00B86FB3" w:rsidP="00B86FB3">
            <w:pPr>
              <w:jc w:val="right"/>
              <w:rPr>
                <w:rFonts w:eastAsia="Times New Roman"/>
                <w:color w:val="000000"/>
                <w:sz w:val="18"/>
                <w:szCs w:val="18"/>
              </w:rPr>
            </w:pPr>
            <w:r w:rsidRPr="00FF756A">
              <w:rPr>
                <w:sz w:val="18"/>
                <w:szCs w:val="18"/>
              </w:rPr>
              <w:t xml:space="preserve"> 263,9 </w:t>
            </w:r>
          </w:p>
        </w:tc>
        <w:tc>
          <w:tcPr>
            <w:tcW w:w="866" w:type="dxa"/>
            <w:tcBorders>
              <w:top w:val="nil"/>
              <w:left w:val="nil"/>
              <w:bottom w:val="single" w:sz="8" w:space="0" w:color="FFFFFF"/>
              <w:right w:val="single" w:sz="8" w:space="0" w:color="FFFFFF"/>
            </w:tcBorders>
            <w:shd w:val="clear" w:color="000000" w:fill="DBE5F1"/>
            <w:noWrap/>
            <w:hideMark/>
          </w:tcPr>
          <w:p w14:paraId="0F7F4C9B" w14:textId="77777777" w:rsidR="00B86FB3" w:rsidRPr="00FF756A" w:rsidRDefault="00B86FB3" w:rsidP="00B86FB3">
            <w:pPr>
              <w:jc w:val="right"/>
              <w:rPr>
                <w:rFonts w:eastAsia="Times New Roman"/>
                <w:color w:val="000000"/>
                <w:sz w:val="18"/>
                <w:szCs w:val="18"/>
              </w:rPr>
            </w:pPr>
            <w:r w:rsidRPr="00FF756A">
              <w:rPr>
                <w:sz w:val="18"/>
                <w:szCs w:val="18"/>
              </w:rPr>
              <w:t xml:space="preserve"> 272,6 </w:t>
            </w:r>
          </w:p>
        </w:tc>
        <w:tc>
          <w:tcPr>
            <w:tcW w:w="866" w:type="dxa"/>
            <w:tcBorders>
              <w:top w:val="nil"/>
              <w:left w:val="nil"/>
              <w:bottom w:val="single" w:sz="8" w:space="0" w:color="FFFFFF"/>
              <w:right w:val="single" w:sz="8" w:space="0" w:color="FFFFFF"/>
            </w:tcBorders>
            <w:shd w:val="clear" w:color="auto" w:fill="4472C4" w:themeFill="accent1"/>
            <w:noWrap/>
            <w:hideMark/>
          </w:tcPr>
          <w:p w14:paraId="21AA879D"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294,2 </w:t>
            </w:r>
          </w:p>
        </w:tc>
        <w:tc>
          <w:tcPr>
            <w:tcW w:w="866" w:type="dxa"/>
            <w:tcBorders>
              <w:top w:val="nil"/>
              <w:left w:val="nil"/>
              <w:bottom w:val="single" w:sz="8" w:space="0" w:color="FFFFFF"/>
              <w:right w:val="single" w:sz="8" w:space="0" w:color="FFFFFF"/>
            </w:tcBorders>
            <w:shd w:val="clear" w:color="000000" w:fill="DBE5F1"/>
            <w:noWrap/>
          </w:tcPr>
          <w:p w14:paraId="26215972" w14:textId="77777777" w:rsidR="00B86FB3" w:rsidRPr="00FF756A" w:rsidRDefault="00B86FB3" w:rsidP="00B86FB3">
            <w:pPr>
              <w:jc w:val="right"/>
              <w:rPr>
                <w:rFonts w:eastAsia="Times New Roman"/>
                <w:color w:val="000000"/>
                <w:sz w:val="18"/>
                <w:szCs w:val="18"/>
              </w:rPr>
            </w:pPr>
            <w:r w:rsidRPr="00FF756A">
              <w:rPr>
                <w:sz w:val="18"/>
                <w:szCs w:val="18"/>
              </w:rPr>
              <w:t xml:space="preserve"> 332,8 </w:t>
            </w:r>
          </w:p>
        </w:tc>
        <w:tc>
          <w:tcPr>
            <w:tcW w:w="867" w:type="dxa"/>
            <w:tcBorders>
              <w:top w:val="nil"/>
              <w:left w:val="nil"/>
              <w:bottom w:val="single" w:sz="8" w:space="0" w:color="FFFFFF"/>
              <w:right w:val="single" w:sz="8" w:space="0" w:color="FFFFFF"/>
            </w:tcBorders>
            <w:shd w:val="clear" w:color="000000" w:fill="DBE5F1"/>
            <w:noWrap/>
            <w:hideMark/>
          </w:tcPr>
          <w:p w14:paraId="687121DC" w14:textId="77777777" w:rsidR="00B86FB3" w:rsidRPr="00FF756A" w:rsidRDefault="00B86FB3" w:rsidP="00B86FB3">
            <w:pPr>
              <w:jc w:val="right"/>
              <w:rPr>
                <w:rFonts w:eastAsia="Times New Roman"/>
                <w:color w:val="000000"/>
                <w:sz w:val="18"/>
                <w:szCs w:val="18"/>
              </w:rPr>
            </w:pPr>
            <w:r w:rsidRPr="00FF756A">
              <w:rPr>
                <w:sz w:val="18"/>
                <w:szCs w:val="18"/>
              </w:rPr>
              <w:t xml:space="preserve"> 369,4 </w:t>
            </w:r>
          </w:p>
        </w:tc>
      </w:tr>
      <w:tr w:rsidR="00B86FB3" w:rsidRPr="00FF756A" w14:paraId="10A4940C"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6F664518" w14:textId="77777777" w:rsidR="00B86FB3" w:rsidRPr="00FF756A" w:rsidRDefault="00B86FB3" w:rsidP="00B86FB3">
            <w:pPr>
              <w:rPr>
                <w:rFonts w:eastAsia="Times New Roman"/>
                <w:color w:val="FFFFFF"/>
                <w:sz w:val="18"/>
                <w:szCs w:val="18"/>
              </w:rPr>
            </w:pPr>
            <w:r w:rsidRPr="00FF756A">
              <w:rPr>
                <w:color w:val="FFFFFF"/>
                <w:sz w:val="18"/>
                <w:szCs w:val="18"/>
              </w:rPr>
              <w:t>Ushqimet, pijet, duhani</w:t>
            </w:r>
          </w:p>
        </w:tc>
        <w:tc>
          <w:tcPr>
            <w:tcW w:w="866" w:type="dxa"/>
            <w:tcBorders>
              <w:top w:val="nil"/>
              <w:left w:val="nil"/>
              <w:bottom w:val="single" w:sz="8" w:space="0" w:color="FFFFFF"/>
              <w:right w:val="single" w:sz="8" w:space="0" w:color="FFFFFF"/>
            </w:tcBorders>
            <w:shd w:val="clear" w:color="000000" w:fill="DBE5F1"/>
            <w:noWrap/>
            <w:hideMark/>
          </w:tcPr>
          <w:p w14:paraId="41758BCD" w14:textId="77777777" w:rsidR="00B86FB3" w:rsidRPr="00FF756A" w:rsidRDefault="00B86FB3" w:rsidP="00B86FB3">
            <w:pPr>
              <w:jc w:val="right"/>
              <w:rPr>
                <w:rFonts w:eastAsia="Times New Roman"/>
                <w:color w:val="000000"/>
                <w:sz w:val="18"/>
                <w:szCs w:val="18"/>
              </w:rPr>
            </w:pPr>
            <w:r w:rsidRPr="00FF756A">
              <w:rPr>
                <w:sz w:val="18"/>
                <w:szCs w:val="18"/>
              </w:rPr>
              <w:t xml:space="preserve"> 50,0 </w:t>
            </w:r>
          </w:p>
        </w:tc>
        <w:tc>
          <w:tcPr>
            <w:tcW w:w="866" w:type="dxa"/>
            <w:tcBorders>
              <w:top w:val="nil"/>
              <w:left w:val="nil"/>
              <w:bottom w:val="single" w:sz="8" w:space="0" w:color="FFFFFF"/>
              <w:right w:val="single" w:sz="8" w:space="0" w:color="FFFFFF"/>
            </w:tcBorders>
            <w:shd w:val="clear" w:color="000000" w:fill="DBE5F1"/>
            <w:noWrap/>
            <w:hideMark/>
          </w:tcPr>
          <w:p w14:paraId="55810878" w14:textId="77777777" w:rsidR="00B86FB3" w:rsidRPr="00FF756A" w:rsidRDefault="00B86FB3" w:rsidP="00B86FB3">
            <w:pPr>
              <w:jc w:val="right"/>
              <w:rPr>
                <w:rFonts w:eastAsia="Times New Roman"/>
                <w:color w:val="000000"/>
                <w:sz w:val="18"/>
                <w:szCs w:val="18"/>
              </w:rPr>
            </w:pPr>
            <w:r w:rsidRPr="00FF756A">
              <w:rPr>
                <w:sz w:val="18"/>
                <w:szCs w:val="18"/>
              </w:rPr>
              <w:t xml:space="preserve"> 52,1 </w:t>
            </w:r>
          </w:p>
        </w:tc>
        <w:tc>
          <w:tcPr>
            <w:tcW w:w="866" w:type="dxa"/>
            <w:tcBorders>
              <w:top w:val="nil"/>
              <w:left w:val="nil"/>
              <w:bottom w:val="single" w:sz="8" w:space="0" w:color="FFFFFF"/>
              <w:right w:val="single" w:sz="8" w:space="0" w:color="FFFFFF"/>
            </w:tcBorders>
            <w:shd w:val="clear" w:color="000000" w:fill="DBE5F1"/>
            <w:noWrap/>
            <w:hideMark/>
          </w:tcPr>
          <w:p w14:paraId="522ECAFE" w14:textId="77777777" w:rsidR="00B86FB3" w:rsidRPr="00FF756A" w:rsidRDefault="00B86FB3" w:rsidP="00B86FB3">
            <w:pPr>
              <w:jc w:val="right"/>
              <w:rPr>
                <w:rFonts w:eastAsia="Times New Roman"/>
                <w:color w:val="000000"/>
                <w:sz w:val="18"/>
                <w:szCs w:val="18"/>
              </w:rPr>
            </w:pPr>
            <w:r w:rsidRPr="00FF756A">
              <w:rPr>
                <w:sz w:val="18"/>
                <w:szCs w:val="18"/>
              </w:rPr>
              <w:t xml:space="preserve"> 52,1 </w:t>
            </w:r>
          </w:p>
        </w:tc>
        <w:tc>
          <w:tcPr>
            <w:tcW w:w="867" w:type="dxa"/>
            <w:tcBorders>
              <w:top w:val="nil"/>
              <w:left w:val="nil"/>
              <w:bottom w:val="single" w:sz="8" w:space="0" w:color="FFFFFF"/>
              <w:right w:val="single" w:sz="8" w:space="0" w:color="FFFFFF"/>
            </w:tcBorders>
            <w:shd w:val="clear" w:color="000000" w:fill="DBE5F1"/>
            <w:noWrap/>
            <w:hideMark/>
          </w:tcPr>
          <w:p w14:paraId="682E6596" w14:textId="77777777" w:rsidR="00B86FB3" w:rsidRPr="00FF756A" w:rsidRDefault="00B86FB3" w:rsidP="00B86FB3">
            <w:pPr>
              <w:jc w:val="right"/>
              <w:rPr>
                <w:rFonts w:eastAsia="Times New Roman"/>
                <w:color w:val="000000"/>
                <w:sz w:val="18"/>
                <w:szCs w:val="18"/>
              </w:rPr>
            </w:pPr>
            <w:r w:rsidRPr="00FF756A">
              <w:rPr>
                <w:sz w:val="18"/>
                <w:szCs w:val="18"/>
              </w:rPr>
              <w:t xml:space="preserve"> 54,5 </w:t>
            </w:r>
          </w:p>
        </w:tc>
        <w:tc>
          <w:tcPr>
            <w:tcW w:w="866" w:type="dxa"/>
            <w:tcBorders>
              <w:top w:val="nil"/>
              <w:left w:val="nil"/>
              <w:bottom w:val="single" w:sz="8" w:space="0" w:color="FFFFFF"/>
              <w:right w:val="single" w:sz="8" w:space="0" w:color="FFFFFF"/>
            </w:tcBorders>
            <w:shd w:val="clear" w:color="000000" w:fill="DBE5F1"/>
            <w:noWrap/>
            <w:hideMark/>
          </w:tcPr>
          <w:p w14:paraId="56FC1A3C" w14:textId="77777777" w:rsidR="00B86FB3" w:rsidRPr="00FF756A" w:rsidRDefault="00B86FB3" w:rsidP="00B86FB3">
            <w:pPr>
              <w:jc w:val="right"/>
              <w:rPr>
                <w:rFonts w:eastAsia="Times New Roman"/>
                <w:color w:val="000000"/>
                <w:sz w:val="18"/>
                <w:szCs w:val="18"/>
              </w:rPr>
            </w:pPr>
            <w:r w:rsidRPr="00FF756A">
              <w:rPr>
                <w:sz w:val="18"/>
                <w:szCs w:val="18"/>
              </w:rPr>
              <w:t xml:space="preserve"> 59,6 </w:t>
            </w:r>
          </w:p>
        </w:tc>
        <w:tc>
          <w:tcPr>
            <w:tcW w:w="866" w:type="dxa"/>
            <w:tcBorders>
              <w:top w:val="nil"/>
              <w:left w:val="nil"/>
              <w:bottom w:val="single" w:sz="8" w:space="0" w:color="FFFFFF"/>
              <w:right w:val="single" w:sz="8" w:space="0" w:color="FFFFFF"/>
            </w:tcBorders>
            <w:shd w:val="clear" w:color="auto" w:fill="4472C4" w:themeFill="accent1"/>
            <w:noWrap/>
            <w:hideMark/>
          </w:tcPr>
          <w:p w14:paraId="20875B79"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74,0 </w:t>
            </w:r>
          </w:p>
        </w:tc>
        <w:tc>
          <w:tcPr>
            <w:tcW w:w="866" w:type="dxa"/>
            <w:tcBorders>
              <w:top w:val="nil"/>
              <w:left w:val="nil"/>
              <w:bottom w:val="single" w:sz="8" w:space="0" w:color="FFFFFF"/>
              <w:right w:val="single" w:sz="8" w:space="0" w:color="FFFFFF"/>
            </w:tcBorders>
            <w:shd w:val="clear" w:color="000000" w:fill="DBE5F1"/>
            <w:noWrap/>
          </w:tcPr>
          <w:p w14:paraId="03CCE51C" w14:textId="77777777" w:rsidR="00B86FB3" w:rsidRPr="00FF756A" w:rsidRDefault="00B86FB3" w:rsidP="00B86FB3">
            <w:pPr>
              <w:jc w:val="right"/>
              <w:rPr>
                <w:rFonts w:eastAsia="Times New Roman"/>
                <w:color w:val="000000"/>
                <w:sz w:val="18"/>
                <w:szCs w:val="18"/>
              </w:rPr>
            </w:pPr>
            <w:r w:rsidRPr="00FF756A">
              <w:rPr>
                <w:sz w:val="18"/>
                <w:szCs w:val="18"/>
              </w:rPr>
              <w:t xml:space="preserve"> 114,2 </w:t>
            </w:r>
          </w:p>
        </w:tc>
        <w:tc>
          <w:tcPr>
            <w:tcW w:w="867" w:type="dxa"/>
            <w:tcBorders>
              <w:top w:val="nil"/>
              <w:left w:val="nil"/>
              <w:bottom w:val="single" w:sz="8" w:space="0" w:color="FFFFFF"/>
              <w:right w:val="single" w:sz="8" w:space="0" w:color="FFFFFF"/>
            </w:tcBorders>
            <w:shd w:val="clear" w:color="000000" w:fill="DBE5F1"/>
            <w:noWrap/>
            <w:hideMark/>
          </w:tcPr>
          <w:p w14:paraId="667E26D5" w14:textId="77777777" w:rsidR="00B86FB3" w:rsidRPr="00FF756A" w:rsidRDefault="00B86FB3" w:rsidP="00B86FB3">
            <w:pPr>
              <w:jc w:val="right"/>
              <w:rPr>
                <w:rFonts w:eastAsia="Times New Roman"/>
                <w:color w:val="000000"/>
                <w:sz w:val="18"/>
                <w:szCs w:val="18"/>
              </w:rPr>
            </w:pPr>
            <w:r w:rsidRPr="00FF756A">
              <w:rPr>
                <w:sz w:val="18"/>
                <w:szCs w:val="18"/>
              </w:rPr>
              <w:t xml:space="preserve"> 176,1 </w:t>
            </w:r>
          </w:p>
        </w:tc>
      </w:tr>
      <w:tr w:rsidR="00B86FB3" w:rsidRPr="00FF756A" w14:paraId="0EF77F3F"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14D03B99" w14:textId="77777777" w:rsidR="00B86FB3" w:rsidRPr="00FF756A" w:rsidRDefault="00B86FB3" w:rsidP="00B86FB3">
            <w:pPr>
              <w:rPr>
                <w:rFonts w:eastAsia="Times New Roman"/>
                <w:color w:val="FFFFFF"/>
                <w:sz w:val="18"/>
                <w:szCs w:val="18"/>
              </w:rPr>
            </w:pPr>
            <w:r w:rsidRPr="00FF756A">
              <w:rPr>
                <w:color w:val="FFFFFF"/>
                <w:sz w:val="18"/>
                <w:szCs w:val="18"/>
              </w:rPr>
              <w:t>Sektori i tekstilit, lëkurës dhe konfeksionit</w:t>
            </w:r>
          </w:p>
        </w:tc>
        <w:tc>
          <w:tcPr>
            <w:tcW w:w="866" w:type="dxa"/>
            <w:tcBorders>
              <w:top w:val="nil"/>
              <w:left w:val="nil"/>
              <w:bottom w:val="single" w:sz="8" w:space="0" w:color="FFFFFF"/>
              <w:right w:val="single" w:sz="8" w:space="0" w:color="FFFFFF"/>
            </w:tcBorders>
            <w:shd w:val="clear" w:color="000000" w:fill="B8CCE4"/>
            <w:noWrap/>
            <w:hideMark/>
          </w:tcPr>
          <w:p w14:paraId="138B08A5" w14:textId="77777777" w:rsidR="00B86FB3" w:rsidRPr="00FF756A" w:rsidRDefault="00B86FB3" w:rsidP="00B86FB3">
            <w:pPr>
              <w:jc w:val="right"/>
              <w:rPr>
                <w:rFonts w:eastAsia="Times New Roman"/>
                <w:color w:val="000000"/>
                <w:sz w:val="18"/>
                <w:szCs w:val="18"/>
              </w:rPr>
            </w:pPr>
            <w:r w:rsidRPr="00FF756A">
              <w:rPr>
                <w:sz w:val="18"/>
                <w:szCs w:val="18"/>
              </w:rPr>
              <w:t xml:space="preserve"> 15,1 </w:t>
            </w:r>
          </w:p>
        </w:tc>
        <w:tc>
          <w:tcPr>
            <w:tcW w:w="866" w:type="dxa"/>
            <w:tcBorders>
              <w:top w:val="nil"/>
              <w:left w:val="nil"/>
              <w:bottom w:val="single" w:sz="8" w:space="0" w:color="FFFFFF"/>
              <w:right w:val="single" w:sz="8" w:space="0" w:color="FFFFFF"/>
            </w:tcBorders>
            <w:shd w:val="clear" w:color="000000" w:fill="B8CCE4"/>
            <w:noWrap/>
            <w:hideMark/>
          </w:tcPr>
          <w:p w14:paraId="57D74DEC" w14:textId="77777777" w:rsidR="00B86FB3" w:rsidRPr="00FF756A" w:rsidRDefault="00B86FB3" w:rsidP="00B86FB3">
            <w:pPr>
              <w:jc w:val="right"/>
              <w:rPr>
                <w:rFonts w:eastAsia="Times New Roman"/>
                <w:color w:val="000000"/>
                <w:sz w:val="18"/>
                <w:szCs w:val="18"/>
              </w:rPr>
            </w:pPr>
            <w:r w:rsidRPr="00FF756A">
              <w:rPr>
                <w:sz w:val="18"/>
                <w:szCs w:val="18"/>
              </w:rPr>
              <w:t xml:space="preserve"> 15,2 </w:t>
            </w:r>
          </w:p>
        </w:tc>
        <w:tc>
          <w:tcPr>
            <w:tcW w:w="866" w:type="dxa"/>
            <w:tcBorders>
              <w:top w:val="nil"/>
              <w:left w:val="nil"/>
              <w:bottom w:val="single" w:sz="8" w:space="0" w:color="FFFFFF"/>
              <w:right w:val="single" w:sz="8" w:space="0" w:color="FFFFFF"/>
            </w:tcBorders>
            <w:shd w:val="clear" w:color="000000" w:fill="B8CCE4"/>
            <w:noWrap/>
            <w:hideMark/>
          </w:tcPr>
          <w:p w14:paraId="79D54879" w14:textId="77777777" w:rsidR="00B86FB3" w:rsidRPr="00FF756A" w:rsidRDefault="00B86FB3" w:rsidP="00B86FB3">
            <w:pPr>
              <w:jc w:val="right"/>
              <w:rPr>
                <w:rFonts w:eastAsia="Times New Roman"/>
                <w:color w:val="000000"/>
                <w:sz w:val="18"/>
                <w:szCs w:val="18"/>
              </w:rPr>
            </w:pPr>
            <w:r w:rsidRPr="00FF756A">
              <w:rPr>
                <w:sz w:val="18"/>
                <w:szCs w:val="18"/>
              </w:rPr>
              <w:t xml:space="preserve"> 15,2 </w:t>
            </w:r>
          </w:p>
        </w:tc>
        <w:tc>
          <w:tcPr>
            <w:tcW w:w="867" w:type="dxa"/>
            <w:tcBorders>
              <w:top w:val="nil"/>
              <w:left w:val="nil"/>
              <w:bottom w:val="single" w:sz="8" w:space="0" w:color="FFFFFF"/>
              <w:right w:val="single" w:sz="8" w:space="0" w:color="FFFFFF"/>
            </w:tcBorders>
            <w:shd w:val="clear" w:color="000000" w:fill="B8CCE4"/>
            <w:noWrap/>
            <w:hideMark/>
          </w:tcPr>
          <w:p w14:paraId="064A3FD3" w14:textId="77777777" w:rsidR="00B86FB3" w:rsidRPr="00FF756A" w:rsidRDefault="00B86FB3" w:rsidP="00B86FB3">
            <w:pPr>
              <w:jc w:val="right"/>
              <w:rPr>
                <w:rFonts w:eastAsia="Times New Roman"/>
                <w:color w:val="000000"/>
                <w:sz w:val="18"/>
                <w:szCs w:val="18"/>
              </w:rPr>
            </w:pPr>
            <w:r w:rsidRPr="00FF756A">
              <w:rPr>
                <w:sz w:val="18"/>
                <w:szCs w:val="18"/>
              </w:rPr>
              <w:t xml:space="preserve"> 15,9 </w:t>
            </w:r>
          </w:p>
        </w:tc>
        <w:tc>
          <w:tcPr>
            <w:tcW w:w="866" w:type="dxa"/>
            <w:tcBorders>
              <w:top w:val="nil"/>
              <w:left w:val="nil"/>
              <w:bottom w:val="single" w:sz="8" w:space="0" w:color="FFFFFF"/>
              <w:right w:val="single" w:sz="8" w:space="0" w:color="FFFFFF"/>
            </w:tcBorders>
            <w:shd w:val="clear" w:color="000000" w:fill="B8CCE4"/>
            <w:noWrap/>
            <w:hideMark/>
          </w:tcPr>
          <w:p w14:paraId="697F2A7C" w14:textId="77777777" w:rsidR="00B86FB3" w:rsidRPr="00FF756A" w:rsidRDefault="00B86FB3" w:rsidP="00B86FB3">
            <w:pPr>
              <w:jc w:val="right"/>
              <w:rPr>
                <w:rFonts w:eastAsia="Times New Roman"/>
                <w:color w:val="000000"/>
                <w:sz w:val="18"/>
                <w:szCs w:val="18"/>
              </w:rPr>
            </w:pPr>
            <w:r w:rsidRPr="00FF756A">
              <w:rPr>
                <w:sz w:val="18"/>
                <w:szCs w:val="18"/>
              </w:rPr>
              <w:t xml:space="preserve"> 17,4 </w:t>
            </w:r>
          </w:p>
        </w:tc>
        <w:tc>
          <w:tcPr>
            <w:tcW w:w="866" w:type="dxa"/>
            <w:tcBorders>
              <w:top w:val="nil"/>
              <w:left w:val="nil"/>
              <w:bottom w:val="single" w:sz="8" w:space="0" w:color="FFFFFF"/>
              <w:right w:val="single" w:sz="8" w:space="0" w:color="FFFFFF"/>
            </w:tcBorders>
            <w:shd w:val="clear" w:color="auto" w:fill="4472C4" w:themeFill="accent1"/>
            <w:noWrap/>
            <w:hideMark/>
          </w:tcPr>
          <w:p w14:paraId="4E8DD706"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21,6 </w:t>
            </w:r>
          </w:p>
        </w:tc>
        <w:tc>
          <w:tcPr>
            <w:tcW w:w="866" w:type="dxa"/>
            <w:tcBorders>
              <w:top w:val="nil"/>
              <w:left w:val="nil"/>
              <w:bottom w:val="single" w:sz="8" w:space="0" w:color="FFFFFF"/>
              <w:right w:val="single" w:sz="8" w:space="0" w:color="FFFFFF"/>
            </w:tcBorders>
            <w:shd w:val="clear" w:color="000000" w:fill="B8CCE4"/>
            <w:noWrap/>
          </w:tcPr>
          <w:p w14:paraId="327EE450" w14:textId="77777777" w:rsidR="00B86FB3" w:rsidRPr="00FF756A" w:rsidRDefault="00B86FB3" w:rsidP="00B86FB3">
            <w:pPr>
              <w:jc w:val="right"/>
              <w:rPr>
                <w:rFonts w:eastAsia="Times New Roman"/>
                <w:color w:val="000000"/>
                <w:sz w:val="18"/>
                <w:szCs w:val="18"/>
              </w:rPr>
            </w:pPr>
            <w:r w:rsidRPr="00FF756A">
              <w:rPr>
                <w:sz w:val="18"/>
                <w:szCs w:val="18"/>
              </w:rPr>
              <w:t xml:space="preserve"> 33,3 </w:t>
            </w:r>
          </w:p>
        </w:tc>
        <w:tc>
          <w:tcPr>
            <w:tcW w:w="867" w:type="dxa"/>
            <w:tcBorders>
              <w:top w:val="nil"/>
              <w:left w:val="nil"/>
              <w:bottom w:val="single" w:sz="8" w:space="0" w:color="FFFFFF"/>
              <w:right w:val="single" w:sz="8" w:space="0" w:color="FFFFFF"/>
            </w:tcBorders>
            <w:shd w:val="clear" w:color="000000" w:fill="B8CCE4"/>
            <w:noWrap/>
            <w:hideMark/>
          </w:tcPr>
          <w:p w14:paraId="49099074" w14:textId="77777777" w:rsidR="00B86FB3" w:rsidRPr="00FF756A" w:rsidRDefault="00B86FB3" w:rsidP="00B86FB3">
            <w:pPr>
              <w:jc w:val="right"/>
              <w:rPr>
                <w:rFonts w:eastAsia="Times New Roman"/>
                <w:color w:val="000000"/>
                <w:sz w:val="18"/>
                <w:szCs w:val="18"/>
              </w:rPr>
            </w:pPr>
            <w:r w:rsidRPr="00FF756A">
              <w:rPr>
                <w:sz w:val="18"/>
                <w:szCs w:val="18"/>
              </w:rPr>
              <w:t xml:space="preserve"> 51,3 </w:t>
            </w:r>
          </w:p>
        </w:tc>
      </w:tr>
      <w:tr w:rsidR="00B86FB3" w:rsidRPr="00FF756A" w14:paraId="3A899DF5"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47D943D7" w14:textId="77777777" w:rsidR="00B86FB3" w:rsidRPr="00FF756A" w:rsidRDefault="00B86FB3" w:rsidP="00B86FB3">
            <w:pPr>
              <w:rPr>
                <w:rFonts w:eastAsia="Times New Roman"/>
                <w:color w:val="FFFFFF"/>
                <w:sz w:val="18"/>
                <w:szCs w:val="18"/>
              </w:rPr>
            </w:pPr>
            <w:r w:rsidRPr="00FF756A">
              <w:rPr>
                <w:color w:val="FFFFFF"/>
                <w:sz w:val="18"/>
                <w:szCs w:val="18"/>
              </w:rPr>
              <w:t>Shtypshkrimi</w:t>
            </w:r>
          </w:p>
        </w:tc>
        <w:tc>
          <w:tcPr>
            <w:tcW w:w="866" w:type="dxa"/>
            <w:tcBorders>
              <w:top w:val="nil"/>
              <w:left w:val="nil"/>
              <w:bottom w:val="single" w:sz="8" w:space="0" w:color="FFFFFF"/>
              <w:right w:val="single" w:sz="8" w:space="0" w:color="FFFFFF"/>
            </w:tcBorders>
            <w:shd w:val="clear" w:color="000000" w:fill="DBE5F1"/>
            <w:noWrap/>
            <w:hideMark/>
          </w:tcPr>
          <w:p w14:paraId="750C7288" w14:textId="77777777" w:rsidR="00B86FB3" w:rsidRPr="00FF756A" w:rsidRDefault="00B86FB3" w:rsidP="00B86FB3">
            <w:pPr>
              <w:jc w:val="right"/>
              <w:rPr>
                <w:rFonts w:eastAsia="Times New Roman"/>
                <w:color w:val="000000"/>
                <w:sz w:val="18"/>
                <w:szCs w:val="18"/>
              </w:rPr>
            </w:pPr>
            <w:r w:rsidRPr="00FF756A">
              <w:rPr>
                <w:sz w:val="18"/>
                <w:szCs w:val="18"/>
              </w:rPr>
              <w:t xml:space="preserve"> 9,7 </w:t>
            </w:r>
          </w:p>
        </w:tc>
        <w:tc>
          <w:tcPr>
            <w:tcW w:w="866" w:type="dxa"/>
            <w:tcBorders>
              <w:top w:val="nil"/>
              <w:left w:val="nil"/>
              <w:bottom w:val="single" w:sz="8" w:space="0" w:color="FFFFFF"/>
              <w:right w:val="single" w:sz="8" w:space="0" w:color="FFFFFF"/>
            </w:tcBorders>
            <w:shd w:val="clear" w:color="000000" w:fill="DBE5F1"/>
            <w:noWrap/>
            <w:hideMark/>
          </w:tcPr>
          <w:p w14:paraId="7992CD07" w14:textId="77777777" w:rsidR="00B86FB3" w:rsidRPr="00FF756A" w:rsidRDefault="00B86FB3" w:rsidP="00B86FB3">
            <w:pPr>
              <w:jc w:val="right"/>
              <w:rPr>
                <w:rFonts w:eastAsia="Times New Roman"/>
                <w:color w:val="000000"/>
                <w:sz w:val="18"/>
                <w:szCs w:val="18"/>
              </w:rPr>
            </w:pPr>
            <w:r w:rsidRPr="00FF756A">
              <w:rPr>
                <w:sz w:val="18"/>
                <w:szCs w:val="18"/>
              </w:rPr>
              <w:t xml:space="preserve"> 8,9 </w:t>
            </w:r>
          </w:p>
        </w:tc>
        <w:tc>
          <w:tcPr>
            <w:tcW w:w="866" w:type="dxa"/>
            <w:tcBorders>
              <w:top w:val="nil"/>
              <w:left w:val="nil"/>
              <w:bottom w:val="single" w:sz="8" w:space="0" w:color="FFFFFF"/>
              <w:right w:val="single" w:sz="8" w:space="0" w:color="FFFFFF"/>
            </w:tcBorders>
            <w:shd w:val="clear" w:color="000000" w:fill="DBE5F1"/>
            <w:noWrap/>
            <w:hideMark/>
          </w:tcPr>
          <w:p w14:paraId="0FD08F0A" w14:textId="77777777" w:rsidR="00B86FB3" w:rsidRPr="00FF756A" w:rsidRDefault="00B86FB3" w:rsidP="00B86FB3">
            <w:pPr>
              <w:jc w:val="right"/>
              <w:rPr>
                <w:rFonts w:eastAsia="Times New Roman"/>
                <w:color w:val="000000"/>
                <w:sz w:val="18"/>
                <w:szCs w:val="18"/>
              </w:rPr>
            </w:pPr>
            <w:r w:rsidRPr="00FF756A">
              <w:rPr>
                <w:sz w:val="18"/>
                <w:szCs w:val="18"/>
              </w:rPr>
              <w:t xml:space="preserve"> 8,9 </w:t>
            </w:r>
          </w:p>
        </w:tc>
        <w:tc>
          <w:tcPr>
            <w:tcW w:w="867" w:type="dxa"/>
            <w:tcBorders>
              <w:top w:val="nil"/>
              <w:left w:val="nil"/>
              <w:bottom w:val="single" w:sz="8" w:space="0" w:color="FFFFFF"/>
              <w:right w:val="single" w:sz="8" w:space="0" w:color="FFFFFF"/>
            </w:tcBorders>
            <w:shd w:val="clear" w:color="000000" w:fill="DBE5F1"/>
            <w:noWrap/>
            <w:hideMark/>
          </w:tcPr>
          <w:p w14:paraId="4F0C3219" w14:textId="77777777" w:rsidR="00B86FB3" w:rsidRPr="00FF756A" w:rsidRDefault="00B86FB3" w:rsidP="00B86FB3">
            <w:pPr>
              <w:jc w:val="right"/>
              <w:rPr>
                <w:rFonts w:eastAsia="Times New Roman"/>
                <w:color w:val="000000"/>
                <w:sz w:val="18"/>
                <w:szCs w:val="18"/>
              </w:rPr>
            </w:pPr>
            <w:r w:rsidRPr="00FF756A">
              <w:rPr>
                <w:sz w:val="18"/>
                <w:szCs w:val="18"/>
              </w:rPr>
              <w:t xml:space="preserve"> 9,4 </w:t>
            </w:r>
          </w:p>
        </w:tc>
        <w:tc>
          <w:tcPr>
            <w:tcW w:w="866" w:type="dxa"/>
            <w:tcBorders>
              <w:top w:val="nil"/>
              <w:left w:val="nil"/>
              <w:bottom w:val="single" w:sz="8" w:space="0" w:color="FFFFFF"/>
              <w:right w:val="single" w:sz="8" w:space="0" w:color="FFFFFF"/>
            </w:tcBorders>
            <w:shd w:val="clear" w:color="000000" w:fill="DBE5F1"/>
            <w:noWrap/>
            <w:hideMark/>
          </w:tcPr>
          <w:p w14:paraId="21EABD27" w14:textId="77777777" w:rsidR="00B86FB3" w:rsidRPr="00FF756A" w:rsidRDefault="00B86FB3" w:rsidP="00B86FB3">
            <w:pPr>
              <w:jc w:val="right"/>
              <w:rPr>
                <w:rFonts w:eastAsia="Times New Roman"/>
                <w:color w:val="000000"/>
                <w:sz w:val="18"/>
                <w:szCs w:val="18"/>
              </w:rPr>
            </w:pPr>
            <w:r w:rsidRPr="00FF756A">
              <w:rPr>
                <w:sz w:val="18"/>
                <w:szCs w:val="18"/>
              </w:rPr>
              <w:t xml:space="preserve"> 10,2 </w:t>
            </w:r>
          </w:p>
        </w:tc>
        <w:tc>
          <w:tcPr>
            <w:tcW w:w="866" w:type="dxa"/>
            <w:tcBorders>
              <w:top w:val="nil"/>
              <w:left w:val="nil"/>
              <w:bottom w:val="single" w:sz="8" w:space="0" w:color="FFFFFF"/>
              <w:right w:val="single" w:sz="8" w:space="0" w:color="FFFFFF"/>
            </w:tcBorders>
            <w:shd w:val="clear" w:color="auto" w:fill="4472C4" w:themeFill="accent1"/>
            <w:noWrap/>
            <w:hideMark/>
          </w:tcPr>
          <w:p w14:paraId="4567535D"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12,7 </w:t>
            </w:r>
          </w:p>
        </w:tc>
        <w:tc>
          <w:tcPr>
            <w:tcW w:w="866" w:type="dxa"/>
            <w:tcBorders>
              <w:top w:val="nil"/>
              <w:left w:val="nil"/>
              <w:bottom w:val="single" w:sz="8" w:space="0" w:color="FFFFFF"/>
              <w:right w:val="single" w:sz="8" w:space="0" w:color="FFFFFF"/>
            </w:tcBorders>
            <w:shd w:val="clear" w:color="000000" w:fill="DBE5F1"/>
            <w:noWrap/>
          </w:tcPr>
          <w:p w14:paraId="27F5FA97" w14:textId="77777777" w:rsidR="00B86FB3" w:rsidRPr="00FF756A" w:rsidRDefault="00B86FB3" w:rsidP="00B86FB3">
            <w:pPr>
              <w:jc w:val="right"/>
              <w:rPr>
                <w:rFonts w:eastAsia="Times New Roman"/>
                <w:color w:val="000000"/>
                <w:sz w:val="18"/>
                <w:szCs w:val="18"/>
              </w:rPr>
            </w:pPr>
            <w:r w:rsidRPr="00FF756A">
              <w:rPr>
                <w:sz w:val="18"/>
                <w:szCs w:val="18"/>
              </w:rPr>
              <w:t xml:space="preserve"> 19,6 </w:t>
            </w:r>
          </w:p>
        </w:tc>
        <w:tc>
          <w:tcPr>
            <w:tcW w:w="867" w:type="dxa"/>
            <w:tcBorders>
              <w:top w:val="nil"/>
              <w:left w:val="nil"/>
              <w:bottom w:val="single" w:sz="8" w:space="0" w:color="FFFFFF"/>
              <w:right w:val="single" w:sz="8" w:space="0" w:color="FFFFFF"/>
            </w:tcBorders>
            <w:shd w:val="clear" w:color="000000" w:fill="DBE5F1"/>
            <w:noWrap/>
            <w:hideMark/>
          </w:tcPr>
          <w:p w14:paraId="229B4A99" w14:textId="77777777" w:rsidR="00B86FB3" w:rsidRPr="00FF756A" w:rsidRDefault="00B86FB3" w:rsidP="00B86FB3">
            <w:pPr>
              <w:jc w:val="right"/>
              <w:rPr>
                <w:rFonts w:eastAsia="Times New Roman"/>
                <w:color w:val="000000"/>
                <w:sz w:val="18"/>
                <w:szCs w:val="18"/>
              </w:rPr>
            </w:pPr>
            <w:r w:rsidRPr="00FF756A">
              <w:rPr>
                <w:sz w:val="18"/>
                <w:szCs w:val="18"/>
              </w:rPr>
              <w:t xml:space="preserve"> 30,2 </w:t>
            </w:r>
          </w:p>
        </w:tc>
      </w:tr>
      <w:tr w:rsidR="00B86FB3" w:rsidRPr="00FF756A" w14:paraId="695B1A31"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4C7D99B1" w14:textId="77777777" w:rsidR="00B86FB3" w:rsidRPr="00FF756A" w:rsidRDefault="00B86FB3" w:rsidP="00B86FB3">
            <w:pPr>
              <w:rPr>
                <w:rFonts w:eastAsia="Times New Roman"/>
                <w:color w:val="FFFFFF"/>
                <w:sz w:val="18"/>
                <w:szCs w:val="18"/>
              </w:rPr>
            </w:pPr>
            <w:r w:rsidRPr="00FF756A">
              <w:rPr>
                <w:color w:val="FFFFFF"/>
                <w:sz w:val="18"/>
                <w:szCs w:val="18"/>
              </w:rPr>
              <w:t>Inxhinieria Metale të tjera</w:t>
            </w:r>
          </w:p>
        </w:tc>
        <w:tc>
          <w:tcPr>
            <w:tcW w:w="866" w:type="dxa"/>
            <w:tcBorders>
              <w:top w:val="nil"/>
              <w:left w:val="nil"/>
              <w:bottom w:val="single" w:sz="8" w:space="0" w:color="FFFFFF"/>
              <w:right w:val="single" w:sz="8" w:space="0" w:color="FFFFFF"/>
            </w:tcBorders>
            <w:shd w:val="clear" w:color="000000" w:fill="B8CCE4"/>
            <w:noWrap/>
            <w:hideMark/>
          </w:tcPr>
          <w:p w14:paraId="097E0567" w14:textId="77777777" w:rsidR="00B86FB3" w:rsidRPr="00FF756A" w:rsidRDefault="00B86FB3" w:rsidP="00B86FB3">
            <w:pPr>
              <w:jc w:val="right"/>
              <w:rPr>
                <w:rFonts w:eastAsia="Times New Roman"/>
                <w:color w:val="000000"/>
                <w:sz w:val="18"/>
                <w:szCs w:val="18"/>
              </w:rPr>
            </w:pPr>
            <w:r w:rsidRPr="00FF756A">
              <w:rPr>
                <w:sz w:val="18"/>
                <w:szCs w:val="18"/>
              </w:rPr>
              <w:t xml:space="preserve"> 7,8 </w:t>
            </w:r>
          </w:p>
        </w:tc>
        <w:tc>
          <w:tcPr>
            <w:tcW w:w="866" w:type="dxa"/>
            <w:tcBorders>
              <w:top w:val="nil"/>
              <w:left w:val="nil"/>
              <w:bottom w:val="single" w:sz="8" w:space="0" w:color="FFFFFF"/>
              <w:right w:val="single" w:sz="8" w:space="0" w:color="FFFFFF"/>
            </w:tcBorders>
            <w:shd w:val="clear" w:color="000000" w:fill="B8CCE4"/>
            <w:noWrap/>
            <w:hideMark/>
          </w:tcPr>
          <w:p w14:paraId="42A1FBB0" w14:textId="77777777" w:rsidR="00B86FB3" w:rsidRPr="00FF756A" w:rsidRDefault="00B86FB3" w:rsidP="00B86FB3">
            <w:pPr>
              <w:jc w:val="right"/>
              <w:rPr>
                <w:rFonts w:eastAsia="Times New Roman"/>
                <w:color w:val="000000"/>
                <w:sz w:val="18"/>
                <w:szCs w:val="18"/>
              </w:rPr>
            </w:pPr>
            <w:r w:rsidRPr="00FF756A">
              <w:rPr>
                <w:sz w:val="18"/>
                <w:szCs w:val="18"/>
              </w:rPr>
              <w:t xml:space="preserve"> 8,4 </w:t>
            </w:r>
          </w:p>
        </w:tc>
        <w:tc>
          <w:tcPr>
            <w:tcW w:w="866" w:type="dxa"/>
            <w:tcBorders>
              <w:top w:val="nil"/>
              <w:left w:val="nil"/>
              <w:bottom w:val="single" w:sz="8" w:space="0" w:color="FFFFFF"/>
              <w:right w:val="single" w:sz="8" w:space="0" w:color="FFFFFF"/>
            </w:tcBorders>
            <w:shd w:val="clear" w:color="000000" w:fill="B8CCE4"/>
            <w:noWrap/>
            <w:hideMark/>
          </w:tcPr>
          <w:p w14:paraId="5B415C69" w14:textId="77777777" w:rsidR="00B86FB3" w:rsidRPr="00FF756A" w:rsidRDefault="00B86FB3" w:rsidP="00B86FB3">
            <w:pPr>
              <w:jc w:val="right"/>
              <w:rPr>
                <w:rFonts w:eastAsia="Times New Roman"/>
                <w:color w:val="000000"/>
                <w:sz w:val="18"/>
                <w:szCs w:val="18"/>
              </w:rPr>
            </w:pPr>
            <w:r w:rsidRPr="00FF756A">
              <w:rPr>
                <w:sz w:val="18"/>
                <w:szCs w:val="18"/>
              </w:rPr>
              <w:t xml:space="preserve"> 8,4 </w:t>
            </w:r>
          </w:p>
        </w:tc>
        <w:tc>
          <w:tcPr>
            <w:tcW w:w="867" w:type="dxa"/>
            <w:tcBorders>
              <w:top w:val="nil"/>
              <w:left w:val="nil"/>
              <w:bottom w:val="single" w:sz="8" w:space="0" w:color="FFFFFF"/>
              <w:right w:val="single" w:sz="8" w:space="0" w:color="FFFFFF"/>
            </w:tcBorders>
            <w:shd w:val="clear" w:color="000000" w:fill="B8CCE4"/>
            <w:noWrap/>
            <w:hideMark/>
          </w:tcPr>
          <w:p w14:paraId="7583214D" w14:textId="77777777" w:rsidR="00B86FB3" w:rsidRPr="00FF756A" w:rsidRDefault="00B86FB3" w:rsidP="00B86FB3">
            <w:pPr>
              <w:jc w:val="right"/>
              <w:rPr>
                <w:rFonts w:eastAsia="Times New Roman"/>
                <w:color w:val="000000"/>
                <w:sz w:val="18"/>
                <w:szCs w:val="18"/>
              </w:rPr>
            </w:pPr>
            <w:r w:rsidRPr="00FF756A">
              <w:rPr>
                <w:sz w:val="18"/>
                <w:szCs w:val="18"/>
              </w:rPr>
              <w:t xml:space="preserve"> 8,8 </w:t>
            </w:r>
          </w:p>
        </w:tc>
        <w:tc>
          <w:tcPr>
            <w:tcW w:w="866" w:type="dxa"/>
            <w:tcBorders>
              <w:top w:val="nil"/>
              <w:left w:val="nil"/>
              <w:bottom w:val="single" w:sz="8" w:space="0" w:color="FFFFFF"/>
              <w:right w:val="single" w:sz="8" w:space="0" w:color="FFFFFF"/>
            </w:tcBorders>
            <w:shd w:val="clear" w:color="000000" w:fill="B8CCE4"/>
            <w:noWrap/>
            <w:hideMark/>
          </w:tcPr>
          <w:p w14:paraId="42A17C29" w14:textId="77777777" w:rsidR="00B86FB3" w:rsidRPr="00FF756A" w:rsidRDefault="00B86FB3" w:rsidP="00B86FB3">
            <w:pPr>
              <w:jc w:val="right"/>
              <w:rPr>
                <w:rFonts w:eastAsia="Times New Roman"/>
                <w:color w:val="000000"/>
                <w:sz w:val="18"/>
                <w:szCs w:val="18"/>
              </w:rPr>
            </w:pPr>
            <w:r w:rsidRPr="00FF756A">
              <w:rPr>
                <w:sz w:val="18"/>
                <w:szCs w:val="18"/>
              </w:rPr>
              <w:t xml:space="preserve"> 9,6 </w:t>
            </w:r>
          </w:p>
        </w:tc>
        <w:tc>
          <w:tcPr>
            <w:tcW w:w="866" w:type="dxa"/>
            <w:tcBorders>
              <w:top w:val="nil"/>
              <w:left w:val="nil"/>
              <w:bottom w:val="single" w:sz="8" w:space="0" w:color="FFFFFF"/>
              <w:right w:val="single" w:sz="8" w:space="0" w:color="FFFFFF"/>
            </w:tcBorders>
            <w:shd w:val="clear" w:color="auto" w:fill="4472C4" w:themeFill="accent1"/>
            <w:noWrap/>
            <w:hideMark/>
          </w:tcPr>
          <w:p w14:paraId="48250E08"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11,9 </w:t>
            </w:r>
          </w:p>
        </w:tc>
        <w:tc>
          <w:tcPr>
            <w:tcW w:w="866" w:type="dxa"/>
            <w:tcBorders>
              <w:top w:val="nil"/>
              <w:left w:val="nil"/>
              <w:bottom w:val="single" w:sz="8" w:space="0" w:color="FFFFFF"/>
              <w:right w:val="single" w:sz="8" w:space="0" w:color="FFFFFF"/>
            </w:tcBorders>
            <w:shd w:val="clear" w:color="000000" w:fill="B8CCE4"/>
            <w:noWrap/>
          </w:tcPr>
          <w:p w14:paraId="50981A47" w14:textId="77777777" w:rsidR="00B86FB3" w:rsidRPr="00FF756A" w:rsidRDefault="00B86FB3" w:rsidP="00B86FB3">
            <w:pPr>
              <w:jc w:val="right"/>
              <w:rPr>
                <w:rFonts w:eastAsia="Times New Roman"/>
                <w:color w:val="000000"/>
                <w:sz w:val="18"/>
                <w:szCs w:val="18"/>
              </w:rPr>
            </w:pPr>
            <w:r w:rsidRPr="00FF756A">
              <w:rPr>
                <w:sz w:val="18"/>
                <w:szCs w:val="18"/>
              </w:rPr>
              <w:t xml:space="preserve"> 18,3 </w:t>
            </w:r>
          </w:p>
        </w:tc>
        <w:tc>
          <w:tcPr>
            <w:tcW w:w="867" w:type="dxa"/>
            <w:tcBorders>
              <w:top w:val="nil"/>
              <w:left w:val="nil"/>
              <w:bottom w:val="single" w:sz="8" w:space="0" w:color="FFFFFF"/>
              <w:right w:val="single" w:sz="8" w:space="0" w:color="FFFFFF"/>
            </w:tcBorders>
            <w:shd w:val="clear" w:color="000000" w:fill="B8CCE4"/>
            <w:noWrap/>
            <w:hideMark/>
          </w:tcPr>
          <w:p w14:paraId="7634F9AB" w14:textId="77777777" w:rsidR="00B86FB3" w:rsidRPr="00FF756A" w:rsidRDefault="00B86FB3" w:rsidP="00B86FB3">
            <w:pPr>
              <w:jc w:val="right"/>
              <w:rPr>
                <w:rFonts w:eastAsia="Times New Roman"/>
                <w:color w:val="000000"/>
                <w:sz w:val="18"/>
                <w:szCs w:val="18"/>
              </w:rPr>
            </w:pPr>
            <w:r w:rsidRPr="00FF756A">
              <w:rPr>
                <w:sz w:val="18"/>
                <w:szCs w:val="18"/>
              </w:rPr>
              <w:t xml:space="preserve"> 28,3 </w:t>
            </w:r>
          </w:p>
        </w:tc>
      </w:tr>
      <w:tr w:rsidR="00B86FB3" w:rsidRPr="00FF756A" w14:paraId="68D4D62B"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6708BA6A" w14:textId="77777777" w:rsidR="00B86FB3" w:rsidRPr="00FF756A" w:rsidRDefault="00B86FB3" w:rsidP="00B86FB3">
            <w:pPr>
              <w:rPr>
                <w:rFonts w:eastAsia="Times New Roman"/>
                <w:color w:val="FFFFFF"/>
                <w:sz w:val="18"/>
                <w:szCs w:val="18"/>
              </w:rPr>
            </w:pPr>
            <w:r w:rsidRPr="00FF756A">
              <w:rPr>
                <w:color w:val="FFFFFF"/>
                <w:sz w:val="18"/>
                <w:szCs w:val="18"/>
              </w:rPr>
              <w:t>Tjetër</w:t>
            </w:r>
          </w:p>
        </w:tc>
        <w:tc>
          <w:tcPr>
            <w:tcW w:w="866" w:type="dxa"/>
            <w:tcBorders>
              <w:top w:val="nil"/>
              <w:left w:val="nil"/>
              <w:bottom w:val="single" w:sz="8" w:space="0" w:color="FFFFFF"/>
              <w:right w:val="single" w:sz="8" w:space="0" w:color="FFFFFF"/>
            </w:tcBorders>
            <w:shd w:val="clear" w:color="000000" w:fill="DBE5F1"/>
            <w:noWrap/>
            <w:hideMark/>
          </w:tcPr>
          <w:p w14:paraId="54E474EF" w14:textId="77777777" w:rsidR="00B86FB3" w:rsidRPr="00FF756A" w:rsidRDefault="00B86FB3" w:rsidP="00B86FB3">
            <w:pPr>
              <w:jc w:val="right"/>
              <w:rPr>
                <w:rFonts w:eastAsia="Times New Roman"/>
                <w:color w:val="000000"/>
                <w:sz w:val="18"/>
                <w:szCs w:val="18"/>
              </w:rPr>
            </w:pPr>
            <w:r w:rsidRPr="00FF756A">
              <w:rPr>
                <w:sz w:val="18"/>
                <w:szCs w:val="18"/>
              </w:rPr>
              <w:t xml:space="preserve"> 30,5 </w:t>
            </w:r>
          </w:p>
        </w:tc>
        <w:tc>
          <w:tcPr>
            <w:tcW w:w="866" w:type="dxa"/>
            <w:tcBorders>
              <w:top w:val="nil"/>
              <w:left w:val="nil"/>
              <w:bottom w:val="single" w:sz="8" w:space="0" w:color="FFFFFF"/>
              <w:right w:val="single" w:sz="8" w:space="0" w:color="FFFFFF"/>
            </w:tcBorders>
            <w:shd w:val="clear" w:color="000000" w:fill="DBE5F1"/>
            <w:noWrap/>
            <w:hideMark/>
          </w:tcPr>
          <w:p w14:paraId="5B66DB66" w14:textId="77777777" w:rsidR="00B86FB3" w:rsidRPr="00FF756A" w:rsidRDefault="00B86FB3" w:rsidP="00B86FB3">
            <w:pPr>
              <w:jc w:val="right"/>
              <w:rPr>
                <w:rFonts w:eastAsia="Times New Roman"/>
                <w:color w:val="000000"/>
                <w:sz w:val="18"/>
                <w:szCs w:val="18"/>
              </w:rPr>
            </w:pPr>
            <w:r w:rsidRPr="00FF756A">
              <w:rPr>
                <w:sz w:val="18"/>
                <w:szCs w:val="18"/>
              </w:rPr>
              <w:t xml:space="preserve"> 40,1 </w:t>
            </w:r>
          </w:p>
        </w:tc>
        <w:tc>
          <w:tcPr>
            <w:tcW w:w="866" w:type="dxa"/>
            <w:tcBorders>
              <w:top w:val="nil"/>
              <w:left w:val="nil"/>
              <w:bottom w:val="single" w:sz="8" w:space="0" w:color="FFFFFF"/>
              <w:right w:val="single" w:sz="8" w:space="0" w:color="FFFFFF"/>
            </w:tcBorders>
            <w:shd w:val="clear" w:color="000000" w:fill="DBE5F1"/>
            <w:noWrap/>
            <w:hideMark/>
          </w:tcPr>
          <w:p w14:paraId="13FBCB73" w14:textId="77777777" w:rsidR="00B86FB3" w:rsidRPr="00FF756A" w:rsidRDefault="00B86FB3" w:rsidP="00B86FB3">
            <w:pPr>
              <w:jc w:val="right"/>
              <w:rPr>
                <w:rFonts w:eastAsia="Times New Roman"/>
                <w:color w:val="000000"/>
                <w:sz w:val="18"/>
                <w:szCs w:val="18"/>
              </w:rPr>
            </w:pPr>
            <w:r w:rsidRPr="00FF756A">
              <w:rPr>
                <w:sz w:val="18"/>
                <w:szCs w:val="18"/>
              </w:rPr>
              <w:t xml:space="preserve"> 40,1 </w:t>
            </w:r>
          </w:p>
        </w:tc>
        <w:tc>
          <w:tcPr>
            <w:tcW w:w="867" w:type="dxa"/>
            <w:tcBorders>
              <w:top w:val="nil"/>
              <w:left w:val="nil"/>
              <w:bottom w:val="single" w:sz="8" w:space="0" w:color="FFFFFF"/>
              <w:right w:val="single" w:sz="8" w:space="0" w:color="FFFFFF"/>
            </w:tcBorders>
            <w:shd w:val="clear" w:color="000000" w:fill="DBE5F1"/>
            <w:noWrap/>
            <w:hideMark/>
          </w:tcPr>
          <w:p w14:paraId="3DB8A3C3" w14:textId="77777777" w:rsidR="00B86FB3" w:rsidRPr="00FF756A" w:rsidRDefault="00B86FB3" w:rsidP="00B86FB3">
            <w:pPr>
              <w:jc w:val="right"/>
              <w:rPr>
                <w:rFonts w:eastAsia="Times New Roman"/>
                <w:color w:val="000000"/>
                <w:sz w:val="18"/>
                <w:szCs w:val="18"/>
              </w:rPr>
            </w:pPr>
            <w:r w:rsidRPr="00FF756A">
              <w:rPr>
                <w:sz w:val="18"/>
                <w:szCs w:val="18"/>
              </w:rPr>
              <w:t xml:space="preserve"> 42,0 </w:t>
            </w:r>
          </w:p>
        </w:tc>
        <w:tc>
          <w:tcPr>
            <w:tcW w:w="866" w:type="dxa"/>
            <w:tcBorders>
              <w:top w:val="nil"/>
              <w:left w:val="nil"/>
              <w:bottom w:val="single" w:sz="8" w:space="0" w:color="FFFFFF"/>
              <w:right w:val="single" w:sz="8" w:space="0" w:color="FFFFFF"/>
            </w:tcBorders>
            <w:shd w:val="clear" w:color="000000" w:fill="DBE5F1"/>
            <w:noWrap/>
            <w:hideMark/>
          </w:tcPr>
          <w:p w14:paraId="6F6F5763" w14:textId="77777777" w:rsidR="00B86FB3" w:rsidRPr="00FF756A" w:rsidRDefault="00B86FB3" w:rsidP="00B86FB3">
            <w:pPr>
              <w:jc w:val="right"/>
              <w:rPr>
                <w:rFonts w:eastAsia="Times New Roman"/>
                <w:color w:val="000000"/>
                <w:sz w:val="18"/>
                <w:szCs w:val="18"/>
              </w:rPr>
            </w:pPr>
            <w:r w:rsidRPr="00FF756A">
              <w:rPr>
                <w:sz w:val="18"/>
                <w:szCs w:val="18"/>
              </w:rPr>
              <w:t xml:space="preserve"> 45,9 </w:t>
            </w:r>
          </w:p>
        </w:tc>
        <w:tc>
          <w:tcPr>
            <w:tcW w:w="866" w:type="dxa"/>
            <w:tcBorders>
              <w:top w:val="nil"/>
              <w:left w:val="nil"/>
              <w:bottom w:val="single" w:sz="8" w:space="0" w:color="FFFFFF"/>
              <w:right w:val="single" w:sz="8" w:space="0" w:color="FFFFFF"/>
            </w:tcBorders>
            <w:shd w:val="clear" w:color="auto" w:fill="4472C4" w:themeFill="accent1"/>
            <w:noWrap/>
            <w:hideMark/>
          </w:tcPr>
          <w:p w14:paraId="1D787238"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57,0 </w:t>
            </w:r>
          </w:p>
        </w:tc>
        <w:tc>
          <w:tcPr>
            <w:tcW w:w="866" w:type="dxa"/>
            <w:tcBorders>
              <w:top w:val="nil"/>
              <w:left w:val="nil"/>
              <w:bottom w:val="single" w:sz="8" w:space="0" w:color="FFFFFF"/>
              <w:right w:val="single" w:sz="8" w:space="0" w:color="FFFFFF"/>
            </w:tcBorders>
            <w:shd w:val="clear" w:color="000000" w:fill="DBE5F1"/>
            <w:noWrap/>
          </w:tcPr>
          <w:p w14:paraId="30C28E8F" w14:textId="77777777" w:rsidR="00B86FB3" w:rsidRPr="00FF756A" w:rsidRDefault="00B86FB3" w:rsidP="00B86FB3">
            <w:pPr>
              <w:jc w:val="right"/>
              <w:rPr>
                <w:rFonts w:eastAsia="Times New Roman"/>
                <w:color w:val="000000"/>
                <w:sz w:val="18"/>
                <w:szCs w:val="18"/>
              </w:rPr>
            </w:pPr>
            <w:r w:rsidRPr="00FF756A">
              <w:rPr>
                <w:sz w:val="18"/>
                <w:szCs w:val="18"/>
              </w:rPr>
              <w:t xml:space="preserve"> 87,9 </w:t>
            </w:r>
          </w:p>
        </w:tc>
        <w:tc>
          <w:tcPr>
            <w:tcW w:w="867" w:type="dxa"/>
            <w:tcBorders>
              <w:top w:val="nil"/>
              <w:left w:val="nil"/>
              <w:bottom w:val="single" w:sz="8" w:space="0" w:color="FFFFFF"/>
              <w:right w:val="single" w:sz="8" w:space="0" w:color="FFFFFF"/>
            </w:tcBorders>
            <w:shd w:val="clear" w:color="000000" w:fill="DBE5F1"/>
            <w:noWrap/>
            <w:hideMark/>
          </w:tcPr>
          <w:p w14:paraId="32E3D0FA" w14:textId="77777777" w:rsidR="00B86FB3" w:rsidRPr="00FF756A" w:rsidRDefault="00B86FB3" w:rsidP="00B86FB3">
            <w:pPr>
              <w:jc w:val="right"/>
              <w:rPr>
                <w:rFonts w:eastAsia="Times New Roman"/>
                <w:color w:val="000000"/>
                <w:sz w:val="18"/>
                <w:szCs w:val="18"/>
              </w:rPr>
            </w:pPr>
            <w:r w:rsidRPr="00FF756A">
              <w:rPr>
                <w:sz w:val="18"/>
                <w:szCs w:val="18"/>
              </w:rPr>
              <w:t xml:space="preserve"> 135,6 </w:t>
            </w:r>
          </w:p>
        </w:tc>
      </w:tr>
      <w:tr w:rsidR="00B86FB3" w:rsidRPr="00FF756A" w14:paraId="5C0DFC38"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4829172C" w14:textId="77777777" w:rsidR="00B86FB3" w:rsidRPr="00FF756A" w:rsidRDefault="00B86FB3" w:rsidP="00B86FB3">
            <w:pPr>
              <w:rPr>
                <w:rFonts w:eastAsia="Times New Roman"/>
                <w:color w:val="FFFFFF"/>
                <w:sz w:val="18"/>
                <w:szCs w:val="18"/>
              </w:rPr>
            </w:pPr>
            <w:r w:rsidRPr="00FF756A">
              <w:rPr>
                <w:color w:val="FFFFFF"/>
                <w:sz w:val="18"/>
                <w:szCs w:val="18"/>
              </w:rPr>
              <w:t>Totali</w:t>
            </w:r>
          </w:p>
        </w:tc>
        <w:tc>
          <w:tcPr>
            <w:tcW w:w="866" w:type="dxa"/>
            <w:tcBorders>
              <w:top w:val="nil"/>
              <w:left w:val="nil"/>
              <w:bottom w:val="single" w:sz="8" w:space="0" w:color="FFFFFF"/>
              <w:right w:val="single" w:sz="8" w:space="0" w:color="FFFFFF"/>
            </w:tcBorders>
            <w:shd w:val="clear" w:color="000000" w:fill="4F81BD"/>
            <w:noWrap/>
            <w:hideMark/>
          </w:tcPr>
          <w:p w14:paraId="6B6ACDDF"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370,6 </w:t>
            </w:r>
          </w:p>
        </w:tc>
        <w:tc>
          <w:tcPr>
            <w:tcW w:w="866" w:type="dxa"/>
            <w:tcBorders>
              <w:top w:val="nil"/>
              <w:left w:val="nil"/>
              <w:bottom w:val="single" w:sz="8" w:space="0" w:color="FFFFFF"/>
              <w:right w:val="single" w:sz="8" w:space="0" w:color="FFFFFF"/>
            </w:tcBorders>
            <w:shd w:val="clear" w:color="000000" w:fill="4F81BD"/>
            <w:noWrap/>
            <w:hideMark/>
          </w:tcPr>
          <w:p w14:paraId="7B68CA83"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437,2 </w:t>
            </w:r>
          </w:p>
        </w:tc>
        <w:tc>
          <w:tcPr>
            <w:tcW w:w="866" w:type="dxa"/>
            <w:tcBorders>
              <w:top w:val="nil"/>
              <w:left w:val="nil"/>
              <w:bottom w:val="single" w:sz="8" w:space="0" w:color="FFFFFF"/>
              <w:right w:val="single" w:sz="8" w:space="0" w:color="FFFFFF"/>
            </w:tcBorders>
            <w:shd w:val="clear" w:color="000000" w:fill="4F81BD"/>
            <w:noWrap/>
            <w:hideMark/>
          </w:tcPr>
          <w:p w14:paraId="7E2DF002"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433,0 </w:t>
            </w:r>
          </w:p>
        </w:tc>
        <w:tc>
          <w:tcPr>
            <w:tcW w:w="867" w:type="dxa"/>
            <w:tcBorders>
              <w:top w:val="nil"/>
              <w:left w:val="nil"/>
              <w:bottom w:val="single" w:sz="8" w:space="0" w:color="FFFFFF"/>
              <w:right w:val="single" w:sz="8" w:space="0" w:color="FFFFFF"/>
            </w:tcBorders>
            <w:shd w:val="clear" w:color="000000" w:fill="4F81BD"/>
            <w:noWrap/>
            <w:hideMark/>
          </w:tcPr>
          <w:p w14:paraId="435D76A3"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445,6 </w:t>
            </w:r>
          </w:p>
        </w:tc>
        <w:tc>
          <w:tcPr>
            <w:tcW w:w="866" w:type="dxa"/>
            <w:tcBorders>
              <w:top w:val="nil"/>
              <w:left w:val="nil"/>
              <w:bottom w:val="single" w:sz="8" w:space="0" w:color="FFFFFF"/>
              <w:right w:val="single" w:sz="8" w:space="0" w:color="FFFFFF"/>
            </w:tcBorders>
            <w:shd w:val="clear" w:color="000000" w:fill="4F81BD"/>
            <w:noWrap/>
            <w:hideMark/>
          </w:tcPr>
          <w:p w14:paraId="739D1311"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471,1 </w:t>
            </w:r>
          </w:p>
        </w:tc>
        <w:tc>
          <w:tcPr>
            <w:tcW w:w="866" w:type="dxa"/>
            <w:tcBorders>
              <w:top w:val="nil"/>
              <w:left w:val="nil"/>
              <w:bottom w:val="single" w:sz="8" w:space="0" w:color="FFFFFF"/>
              <w:right w:val="single" w:sz="8" w:space="0" w:color="FFFFFF"/>
            </w:tcBorders>
            <w:shd w:val="clear" w:color="auto" w:fill="4472C4" w:themeFill="accent1"/>
            <w:noWrap/>
            <w:hideMark/>
          </w:tcPr>
          <w:p w14:paraId="6BF17ACB"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540,7 </w:t>
            </w:r>
          </w:p>
        </w:tc>
        <w:tc>
          <w:tcPr>
            <w:tcW w:w="866" w:type="dxa"/>
            <w:tcBorders>
              <w:top w:val="nil"/>
              <w:left w:val="nil"/>
              <w:bottom w:val="single" w:sz="8" w:space="0" w:color="FFFFFF"/>
              <w:right w:val="single" w:sz="8" w:space="0" w:color="FFFFFF"/>
            </w:tcBorders>
            <w:shd w:val="clear" w:color="000000" w:fill="4F81BD"/>
            <w:noWrap/>
          </w:tcPr>
          <w:p w14:paraId="2A00B542"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713,1 </w:t>
            </w:r>
          </w:p>
        </w:tc>
        <w:tc>
          <w:tcPr>
            <w:tcW w:w="867" w:type="dxa"/>
            <w:tcBorders>
              <w:top w:val="nil"/>
              <w:left w:val="nil"/>
              <w:bottom w:val="single" w:sz="8" w:space="0" w:color="FFFFFF"/>
              <w:right w:val="single" w:sz="8" w:space="0" w:color="FFFFFF"/>
            </w:tcBorders>
            <w:shd w:val="clear" w:color="000000" w:fill="4F81BD"/>
            <w:noWrap/>
            <w:hideMark/>
          </w:tcPr>
          <w:p w14:paraId="78367406"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956,1 </w:t>
            </w:r>
          </w:p>
        </w:tc>
      </w:tr>
      <w:tr w:rsidR="00B86FB3" w:rsidRPr="00FF756A" w14:paraId="39ACA03A" w14:textId="77777777" w:rsidTr="006A3266">
        <w:trPr>
          <w:trHeight w:val="291"/>
        </w:trPr>
        <w:tc>
          <w:tcPr>
            <w:tcW w:w="9080" w:type="dxa"/>
            <w:gridSpan w:val="9"/>
            <w:tcBorders>
              <w:top w:val="single" w:sz="8" w:space="0" w:color="FFFFFF"/>
              <w:left w:val="single" w:sz="8" w:space="0" w:color="FFFFFF"/>
              <w:bottom w:val="single" w:sz="8" w:space="0" w:color="FFFFFF"/>
              <w:right w:val="single" w:sz="8" w:space="0" w:color="FFFFFF"/>
            </w:tcBorders>
            <w:shd w:val="clear" w:color="auto" w:fill="4472C4" w:themeFill="accent1"/>
            <w:noWrap/>
            <w:vAlign w:val="center"/>
            <w:hideMark/>
          </w:tcPr>
          <w:p w14:paraId="1F91DBDE" w14:textId="77777777" w:rsidR="00B86FB3" w:rsidRPr="00FF756A" w:rsidRDefault="00B86FB3" w:rsidP="00B86FB3">
            <w:pPr>
              <w:rPr>
                <w:rFonts w:eastAsia="Times New Roman"/>
                <w:color w:val="FFFFFF" w:themeColor="background1"/>
                <w:sz w:val="18"/>
                <w:szCs w:val="18"/>
              </w:rPr>
            </w:pPr>
            <w:r w:rsidRPr="00FF756A">
              <w:rPr>
                <w:color w:val="FFFFFF" w:themeColor="background1"/>
                <w:sz w:val="18"/>
                <w:szCs w:val="18"/>
              </w:rPr>
              <w:t>Transporti</w:t>
            </w:r>
          </w:p>
        </w:tc>
      </w:tr>
      <w:tr w:rsidR="00B86FB3" w:rsidRPr="00FF756A" w14:paraId="40A815D5"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2E8B9CF9" w14:textId="77777777" w:rsidR="00B86FB3" w:rsidRPr="00FF756A" w:rsidRDefault="00B86FB3" w:rsidP="00B86FB3">
            <w:pPr>
              <w:rPr>
                <w:rFonts w:eastAsia="Times New Roman"/>
                <w:color w:val="FFFFFF"/>
                <w:sz w:val="18"/>
                <w:szCs w:val="18"/>
              </w:rPr>
            </w:pPr>
            <w:r w:rsidRPr="00FF756A">
              <w:rPr>
                <w:color w:val="FFFFFF"/>
                <w:sz w:val="18"/>
                <w:szCs w:val="18"/>
              </w:rPr>
              <w:t>Pasagjerë</w:t>
            </w:r>
          </w:p>
        </w:tc>
        <w:tc>
          <w:tcPr>
            <w:tcW w:w="866" w:type="dxa"/>
            <w:tcBorders>
              <w:top w:val="nil"/>
              <w:left w:val="nil"/>
              <w:bottom w:val="single" w:sz="8" w:space="0" w:color="FFFFFF"/>
              <w:right w:val="single" w:sz="8" w:space="0" w:color="FFFFFF"/>
            </w:tcBorders>
            <w:shd w:val="clear" w:color="000000" w:fill="B8CCE4"/>
            <w:noWrap/>
            <w:hideMark/>
          </w:tcPr>
          <w:p w14:paraId="3D11D65F" w14:textId="77777777" w:rsidR="00B86FB3" w:rsidRPr="00FF756A" w:rsidRDefault="00B86FB3" w:rsidP="00B86FB3">
            <w:pPr>
              <w:jc w:val="right"/>
              <w:rPr>
                <w:rFonts w:eastAsia="Times New Roman"/>
                <w:color w:val="000000"/>
                <w:sz w:val="18"/>
                <w:szCs w:val="18"/>
              </w:rPr>
            </w:pPr>
            <w:r w:rsidRPr="00FF756A">
              <w:rPr>
                <w:sz w:val="18"/>
                <w:szCs w:val="18"/>
              </w:rPr>
              <w:t xml:space="preserve"> 486,4 </w:t>
            </w:r>
          </w:p>
        </w:tc>
        <w:tc>
          <w:tcPr>
            <w:tcW w:w="866" w:type="dxa"/>
            <w:tcBorders>
              <w:top w:val="nil"/>
              <w:left w:val="nil"/>
              <w:bottom w:val="single" w:sz="8" w:space="0" w:color="FFFFFF"/>
              <w:right w:val="single" w:sz="8" w:space="0" w:color="FFFFFF"/>
            </w:tcBorders>
            <w:shd w:val="clear" w:color="000000" w:fill="B8CCE4"/>
            <w:noWrap/>
            <w:hideMark/>
          </w:tcPr>
          <w:p w14:paraId="7059D326" w14:textId="77777777" w:rsidR="00B86FB3" w:rsidRPr="00FF756A" w:rsidRDefault="00B86FB3" w:rsidP="00B86FB3">
            <w:pPr>
              <w:jc w:val="right"/>
              <w:rPr>
                <w:rFonts w:eastAsia="Times New Roman"/>
                <w:color w:val="000000"/>
                <w:sz w:val="18"/>
                <w:szCs w:val="18"/>
              </w:rPr>
            </w:pPr>
            <w:r w:rsidRPr="00FF756A">
              <w:rPr>
                <w:sz w:val="18"/>
                <w:szCs w:val="18"/>
              </w:rPr>
              <w:t xml:space="preserve"> 516,0 </w:t>
            </w:r>
          </w:p>
        </w:tc>
        <w:tc>
          <w:tcPr>
            <w:tcW w:w="866" w:type="dxa"/>
            <w:tcBorders>
              <w:top w:val="nil"/>
              <w:left w:val="nil"/>
              <w:bottom w:val="single" w:sz="8" w:space="0" w:color="FFFFFF"/>
              <w:right w:val="single" w:sz="8" w:space="0" w:color="FFFFFF"/>
            </w:tcBorders>
            <w:shd w:val="clear" w:color="000000" w:fill="B8CCE4"/>
            <w:noWrap/>
            <w:hideMark/>
          </w:tcPr>
          <w:p w14:paraId="41065470" w14:textId="77777777" w:rsidR="00B86FB3" w:rsidRPr="00FF756A" w:rsidRDefault="00B86FB3" w:rsidP="00B86FB3">
            <w:pPr>
              <w:jc w:val="right"/>
              <w:rPr>
                <w:rFonts w:eastAsia="Times New Roman"/>
                <w:color w:val="000000"/>
                <w:sz w:val="18"/>
                <w:szCs w:val="18"/>
              </w:rPr>
            </w:pPr>
            <w:r w:rsidRPr="00FF756A">
              <w:rPr>
                <w:sz w:val="18"/>
                <w:szCs w:val="18"/>
              </w:rPr>
              <w:t xml:space="preserve"> 543,6 </w:t>
            </w:r>
          </w:p>
        </w:tc>
        <w:tc>
          <w:tcPr>
            <w:tcW w:w="867" w:type="dxa"/>
            <w:tcBorders>
              <w:top w:val="nil"/>
              <w:left w:val="nil"/>
              <w:bottom w:val="single" w:sz="8" w:space="0" w:color="FFFFFF"/>
              <w:right w:val="single" w:sz="8" w:space="0" w:color="FFFFFF"/>
            </w:tcBorders>
            <w:shd w:val="clear" w:color="000000" w:fill="B8CCE4"/>
            <w:noWrap/>
            <w:hideMark/>
          </w:tcPr>
          <w:p w14:paraId="2AE21B70" w14:textId="77777777" w:rsidR="00B86FB3" w:rsidRPr="00FF756A" w:rsidRDefault="00B86FB3" w:rsidP="00B86FB3">
            <w:pPr>
              <w:jc w:val="right"/>
              <w:rPr>
                <w:rFonts w:eastAsia="Times New Roman"/>
                <w:color w:val="000000"/>
                <w:sz w:val="18"/>
                <w:szCs w:val="18"/>
              </w:rPr>
            </w:pPr>
            <w:r w:rsidRPr="00FF756A">
              <w:rPr>
                <w:sz w:val="18"/>
                <w:szCs w:val="18"/>
              </w:rPr>
              <w:t xml:space="preserve"> 525,3 </w:t>
            </w:r>
          </w:p>
        </w:tc>
        <w:tc>
          <w:tcPr>
            <w:tcW w:w="866" w:type="dxa"/>
            <w:tcBorders>
              <w:top w:val="nil"/>
              <w:left w:val="nil"/>
              <w:bottom w:val="single" w:sz="8" w:space="0" w:color="FFFFFF"/>
              <w:right w:val="single" w:sz="8" w:space="0" w:color="FFFFFF"/>
            </w:tcBorders>
            <w:shd w:val="clear" w:color="000000" w:fill="B8CCE4"/>
            <w:noWrap/>
            <w:hideMark/>
          </w:tcPr>
          <w:p w14:paraId="3F436DDB" w14:textId="77777777" w:rsidR="00B86FB3" w:rsidRPr="00FF756A" w:rsidRDefault="00B86FB3" w:rsidP="00B86FB3">
            <w:pPr>
              <w:jc w:val="right"/>
              <w:rPr>
                <w:rFonts w:eastAsia="Times New Roman"/>
                <w:color w:val="000000"/>
                <w:sz w:val="18"/>
                <w:szCs w:val="18"/>
              </w:rPr>
            </w:pPr>
            <w:r w:rsidRPr="00FF756A">
              <w:rPr>
                <w:sz w:val="18"/>
                <w:szCs w:val="18"/>
              </w:rPr>
              <w:t xml:space="preserve"> 527,5 </w:t>
            </w:r>
          </w:p>
        </w:tc>
        <w:tc>
          <w:tcPr>
            <w:tcW w:w="866" w:type="dxa"/>
            <w:tcBorders>
              <w:top w:val="nil"/>
              <w:left w:val="nil"/>
              <w:bottom w:val="single" w:sz="8" w:space="0" w:color="FFFFFF"/>
              <w:right w:val="single" w:sz="8" w:space="0" w:color="FFFFFF"/>
            </w:tcBorders>
            <w:shd w:val="clear" w:color="auto" w:fill="4472C4" w:themeFill="accent1"/>
            <w:noWrap/>
            <w:hideMark/>
          </w:tcPr>
          <w:p w14:paraId="18DA400E"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544,2 </w:t>
            </w:r>
          </w:p>
        </w:tc>
        <w:tc>
          <w:tcPr>
            <w:tcW w:w="866" w:type="dxa"/>
            <w:tcBorders>
              <w:top w:val="nil"/>
              <w:left w:val="nil"/>
              <w:bottom w:val="single" w:sz="8" w:space="0" w:color="FFFFFF"/>
              <w:right w:val="single" w:sz="8" w:space="0" w:color="FFFFFF"/>
            </w:tcBorders>
            <w:shd w:val="clear" w:color="000000" w:fill="B8CCE4"/>
            <w:noWrap/>
          </w:tcPr>
          <w:p w14:paraId="07D8163B" w14:textId="77777777" w:rsidR="00B86FB3" w:rsidRPr="00FF756A" w:rsidRDefault="00B86FB3" w:rsidP="00B86FB3">
            <w:pPr>
              <w:jc w:val="right"/>
              <w:rPr>
                <w:rFonts w:eastAsia="Times New Roman"/>
                <w:color w:val="000000"/>
                <w:sz w:val="18"/>
                <w:szCs w:val="18"/>
              </w:rPr>
            </w:pPr>
            <w:r w:rsidRPr="00FF756A">
              <w:rPr>
                <w:sz w:val="18"/>
                <w:szCs w:val="18"/>
              </w:rPr>
              <w:t xml:space="preserve"> 492,8 </w:t>
            </w:r>
          </w:p>
        </w:tc>
        <w:tc>
          <w:tcPr>
            <w:tcW w:w="867" w:type="dxa"/>
            <w:tcBorders>
              <w:top w:val="nil"/>
              <w:left w:val="nil"/>
              <w:bottom w:val="single" w:sz="8" w:space="0" w:color="FFFFFF"/>
              <w:right w:val="single" w:sz="8" w:space="0" w:color="FFFFFF"/>
            </w:tcBorders>
            <w:shd w:val="clear" w:color="000000" w:fill="B8CCE4"/>
            <w:noWrap/>
            <w:hideMark/>
          </w:tcPr>
          <w:p w14:paraId="07D9914E" w14:textId="77777777" w:rsidR="00B86FB3" w:rsidRPr="00FF756A" w:rsidRDefault="00B86FB3" w:rsidP="00B86FB3">
            <w:pPr>
              <w:jc w:val="right"/>
              <w:rPr>
                <w:rFonts w:eastAsia="Times New Roman"/>
                <w:color w:val="000000"/>
                <w:sz w:val="18"/>
                <w:szCs w:val="18"/>
              </w:rPr>
            </w:pPr>
            <w:r w:rsidRPr="00FF756A">
              <w:rPr>
                <w:sz w:val="18"/>
                <w:szCs w:val="18"/>
              </w:rPr>
              <w:t xml:space="preserve"> 394,6 </w:t>
            </w:r>
          </w:p>
        </w:tc>
      </w:tr>
      <w:tr w:rsidR="00B86FB3" w:rsidRPr="00FF756A" w14:paraId="5777EB8F"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0B5A6493" w14:textId="77777777" w:rsidR="00B86FB3" w:rsidRPr="00FF756A" w:rsidRDefault="00B86FB3" w:rsidP="00B86FB3">
            <w:pPr>
              <w:rPr>
                <w:rFonts w:eastAsia="Times New Roman"/>
                <w:color w:val="FFFFFF"/>
                <w:sz w:val="18"/>
                <w:szCs w:val="18"/>
              </w:rPr>
            </w:pPr>
            <w:r w:rsidRPr="00FF756A">
              <w:rPr>
                <w:color w:val="FFFFFF"/>
                <w:sz w:val="18"/>
                <w:szCs w:val="18"/>
              </w:rPr>
              <w:t>Transporti i mallrave</w:t>
            </w:r>
          </w:p>
        </w:tc>
        <w:tc>
          <w:tcPr>
            <w:tcW w:w="866" w:type="dxa"/>
            <w:tcBorders>
              <w:top w:val="nil"/>
              <w:left w:val="nil"/>
              <w:bottom w:val="single" w:sz="8" w:space="0" w:color="FFFFFF"/>
              <w:right w:val="single" w:sz="8" w:space="0" w:color="FFFFFF"/>
            </w:tcBorders>
            <w:shd w:val="clear" w:color="000000" w:fill="DBE5F1"/>
            <w:noWrap/>
            <w:hideMark/>
          </w:tcPr>
          <w:p w14:paraId="25D106DD" w14:textId="77777777" w:rsidR="00B86FB3" w:rsidRPr="00FF756A" w:rsidRDefault="00B86FB3" w:rsidP="00B86FB3">
            <w:pPr>
              <w:jc w:val="right"/>
              <w:rPr>
                <w:rFonts w:eastAsia="Times New Roman"/>
                <w:color w:val="000000"/>
                <w:sz w:val="18"/>
                <w:szCs w:val="18"/>
              </w:rPr>
            </w:pPr>
            <w:r w:rsidRPr="00FF756A">
              <w:rPr>
                <w:sz w:val="18"/>
                <w:szCs w:val="18"/>
              </w:rPr>
              <w:t xml:space="preserve"> 167,4 </w:t>
            </w:r>
          </w:p>
        </w:tc>
        <w:tc>
          <w:tcPr>
            <w:tcW w:w="866" w:type="dxa"/>
            <w:tcBorders>
              <w:top w:val="nil"/>
              <w:left w:val="nil"/>
              <w:bottom w:val="single" w:sz="8" w:space="0" w:color="FFFFFF"/>
              <w:right w:val="single" w:sz="8" w:space="0" w:color="FFFFFF"/>
            </w:tcBorders>
            <w:shd w:val="clear" w:color="000000" w:fill="DBE5F1"/>
            <w:noWrap/>
            <w:hideMark/>
          </w:tcPr>
          <w:p w14:paraId="5F010D3F" w14:textId="77777777" w:rsidR="00B86FB3" w:rsidRPr="00FF756A" w:rsidRDefault="00B86FB3" w:rsidP="00B86FB3">
            <w:pPr>
              <w:jc w:val="right"/>
              <w:rPr>
                <w:rFonts w:eastAsia="Times New Roman"/>
                <w:color w:val="000000"/>
                <w:sz w:val="18"/>
                <w:szCs w:val="18"/>
              </w:rPr>
            </w:pPr>
            <w:r w:rsidRPr="00FF756A">
              <w:rPr>
                <w:sz w:val="18"/>
                <w:szCs w:val="18"/>
              </w:rPr>
              <w:t xml:space="preserve"> 178,3 </w:t>
            </w:r>
          </w:p>
        </w:tc>
        <w:tc>
          <w:tcPr>
            <w:tcW w:w="866" w:type="dxa"/>
            <w:tcBorders>
              <w:top w:val="nil"/>
              <w:left w:val="nil"/>
              <w:bottom w:val="single" w:sz="8" w:space="0" w:color="FFFFFF"/>
              <w:right w:val="single" w:sz="8" w:space="0" w:color="FFFFFF"/>
            </w:tcBorders>
            <w:shd w:val="clear" w:color="000000" w:fill="DBE5F1"/>
            <w:noWrap/>
            <w:hideMark/>
          </w:tcPr>
          <w:p w14:paraId="4666163C" w14:textId="77777777" w:rsidR="00B86FB3" w:rsidRPr="00FF756A" w:rsidRDefault="00B86FB3" w:rsidP="00B86FB3">
            <w:pPr>
              <w:jc w:val="right"/>
              <w:rPr>
                <w:rFonts w:eastAsia="Times New Roman"/>
                <w:color w:val="000000"/>
                <w:sz w:val="18"/>
                <w:szCs w:val="18"/>
              </w:rPr>
            </w:pPr>
            <w:r w:rsidRPr="00FF756A">
              <w:rPr>
                <w:sz w:val="18"/>
                <w:szCs w:val="18"/>
              </w:rPr>
              <w:t xml:space="preserve"> 178,3 </w:t>
            </w:r>
          </w:p>
        </w:tc>
        <w:tc>
          <w:tcPr>
            <w:tcW w:w="867" w:type="dxa"/>
            <w:tcBorders>
              <w:top w:val="nil"/>
              <w:left w:val="nil"/>
              <w:bottom w:val="single" w:sz="8" w:space="0" w:color="FFFFFF"/>
              <w:right w:val="single" w:sz="8" w:space="0" w:color="FFFFFF"/>
            </w:tcBorders>
            <w:shd w:val="clear" w:color="000000" w:fill="DBE5F1"/>
            <w:noWrap/>
            <w:hideMark/>
          </w:tcPr>
          <w:p w14:paraId="556FC84C" w14:textId="77777777" w:rsidR="00B86FB3" w:rsidRPr="00FF756A" w:rsidRDefault="00B86FB3" w:rsidP="00B86FB3">
            <w:pPr>
              <w:jc w:val="right"/>
              <w:rPr>
                <w:rFonts w:eastAsia="Times New Roman"/>
                <w:color w:val="000000"/>
                <w:sz w:val="18"/>
                <w:szCs w:val="18"/>
              </w:rPr>
            </w:pPr>
            <w:r w:rsidRPr="00FF756A">
              <w:rPr>
                <w:sz w:val="18"/>
                <w:szCs w:val="18"/>
              </w:rPr>
              <w:t xml:space="preserve"> 181,6 </w:t>
            </w:r>
          </w:p>
        </w:tc>
        <w:tc>
          <w:tcPr>
            <w:tcW w:w="866" w:type="dxa"/>
            <w:tcBorders>
              <w:top w:val="nil"/>
              <w:left w:val="nil"/>
              <w:bottom w:val="single" w:sz="8" w:space="0" w:color="FFFFFF"/>
              <w:right w:val="single" w:sz="8" w:space="0" w:color="FFFFFF"/>
            </w:tcBorders>
            <w:shd w:val="clear" w:color="000000" w:fill="DBE5F1"/>
            <w:noWrap/>
            <w:hideMark/>
          </w:tcPr>
          <w:p w14:paraId="3C63F6E8" w14:textId="77777777" w:rsidR="00B86FB3" w:rsidRPr="00FF756A" w:rsidRDefault="00B86FB3" w:rsidP="00B86FB3">
            <w:pPr>
              <w:jc w:val="right"/>
              <w:rPr>
                <w:rFonts w:eastAsia="Times New Roman"/>
                <w:color w:val="000000"/>
                <w:sz w:val="18"/>
                <w:szCs w:val="18"/>
              </w:rPr>
            </w:pPr>
            <w:r w:rsidRPr="00FF756A">
              <w:rPr>
                <w:sz w:val="18"/>
                <w:szCs w:val="18"/>
              </w:rPr>
              <w:t xml:space="preserve"> 188,9 </w:t>
            </w:r>
          </w:p>
        </w:tc>
        <w:tc>
          <w:tcPr>
            <w:tcW w:w="866" w:type="dxa"/>
            <w:tcBorders>
              <w:top w:val="nil"/>
              <w:left w:val="nil"/>
              <w:bottom w:val="single" w:sz="8" w:space="0" w:color="FFFFFF"/>
              <w:right w:val="single" w:sz="8" w:space="0" w:color="FFFFFF"/>
            </w:tcBorders>
            <w:shd w:val="clear" w:color="auto" w:fill="4472C4" w:themeFill="accent1"/>
            <w:noWrap/>
            <w:hideMark/>
          </w:tcPr>
          <w:p w14:paraId="62040051"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225,5 </w:t>
            </w:r>
          </w:p>
        </w:tc>
        <w:tc>
          <w:tcPr>
            <w:tcW w:w="866" w:type="dxa"/>
            <w:tcBorders>
              <w:top w:val="nil"/>
              <w:left w:val="nil"/>
              <w:bottom w:val="single" w:sz="8" w:space="0" w:color="FFFFFF"/>
              <w:right w:val="single" w:sz="8" w:space="0" w:color="FFFFFF"/>
            </w:tcBorders>
            <w:shd w:val="clear" w:color="000000" w:fill="DBE5F1"/>
            <w:noWrap/>
          </w:tcPr>
          <w:p w14:paraId="4E8CFBB1" w14:textId="77777777" w:rsidR="00B86FB3" w:rsidRPr="00FF756A" w:rsidRDefault="00B86FB3" w:rsidP="00B86FB3">
            <w:pPr>
              <w:jc w:val="right"/>
              <w:rPr>
                <w:rFonts w:eastAsia="Times New Roman"/>
                <w:color w:val="000000"/>
                <w:sz w:val="18"/>
                <w:szCs w:val="18"/>
              </w:rPr>
            </w:pPr>
            <w:r w:rsidRPr="00FF756A">
              <w:rPr>
                <w:sz w:val="18"/>
                <w:szCs w:val="18"/>
              </w:rPr>
              <w:t xml:space="preserve"> 275,4 </w:t>
            </w:r>
          </w:p>
        </w:tc>
        <w:tc>
          <w:tcPr>
            <w:tcW w:w="867" w:type="dxa"/>
            <w:tcBorders>
              <w:top w:val="nil"/>
              <w:left w:val="nil"/>
              <w:bottom w:val="single" w:sz="8" w:space="0" w:color="FFFFFF"/>
              <w:right w:val="single" w:sz="8" w:space="0" w:color="FFFFFF"/>
            </w:tcBorders>
            <w:shd w:val="clear" w:color="000000" w:fill="DBE5F1"/>
            <w:noWrap/>
            <w:hideMark/>
          </w:tcPr>
          <w:p w14:paraId="11A08E18" w14:textId="77777777" w:rsidR="00B86FB3" w:rsidRPr="00FF756A" w:rsidRDefault="00B86FB3" w:rsidP="00B86FB3">
            <w:pPr>
              <w:jc w:val="right"/>
              <w:rPr>
                <w:rFonts w:eastAsia="Times New Roman"/>
                <w:color w:val="000000"/>
                <w:sz w:val="18"/>
                <w:szCs w:val="18"/>
              </w:rPr>
            </w:pPr>
            <w:r w:rsidRPr="00FF756A">
              <w:rPr>
                <w:sz w:val="18"/>
                <w:szCs w:val="18"/>
              </w:rPr>
              <w:t xml:space="preserve"> 275,4 </w:t>
            </w:r>
          </w:p>
        </w:tc>
      </w:tr>
      <w:tr w:rsidR="00B86FB3" w:rsidRPr="00FF756A" w14:paraId="3846FD1D"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2E94B9AC" w14:textId="77777777" w:rsidR="00B86FB3" w:rsidRPr="00FF756A" w:rsidRDefault="00B86FB3" w:rsidP="00B86FB3">
            <w:pPr>
              <w:rPr>
                <w:rFonts w:eastAsia="Times New Roman"/>
                <w:color w:val="FFFFFF"/>
                <w:sz w:val="18"/>
                <w:szCs w:val="18"/>
              </w:rPr>
            </w:pPr>
            <w:r w:rsidRPr="00FF756A">
              <w:rPr>
                <w:color w:val="FFFFFF"/>
                <w:sz w:val="18"/>
                <w:szCs w:val="18"/>
              </w:rPr>
              <w:t>Totali</w:t>
            </w:r>
          </w:p>
        </w:tc>
        <w:tc>
          <w:tcPr>
            <w:tcW w:w="866" w:type="dxa"/>
            <w:tcBorders>
              <w:top w:val="nil"/>
              <w:left w:val="nil"/>
              <w:bottom w:val="single" w:sz="8" w:space="0" w:color="FFFFFF"/>
              <w:right w:val="single" w:sz="8" w:space="0" w:color="FFFFFF"/>
            </w:tcBorders>
            <w:shd w:val="clear" w:color="000000" w:fill="4F81BD"/>
            <w:noWrap/>
            <w:hideMark/>
          </w:tcPr>
          <w:p w14:paraId="1AA3C478"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653,8 </w:t>
            </w:r>
          </w:p>
        </w:tc>
        <w:tc>
          <w:tcPr>
            <w:tcW w:w="866" w:type="dxa"/>
            <w:tcBorders>
              <w:top w:val="nil"/>
              <w:left w:val="nil"/>
              <w:bottom w:val="single" w:sz="8" w:space="0" w:color="FFFFFF"/>
              <w:right w:val="single" w:sz="8" w:space="0" w:color="FFFFFF"/>
            </w:tcBorders>
            <w:shd w:val="clear" w:color="000000" w:fill="4F81BD"/>
            <w:noWrap/>
            <w:hideMark/>
          </w:tcPr>
          <w:p w14:paraId="17B4DFED"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694,3 </w:t>
            </w:r>
          </w:p>
        </w:tc>
        <w:tc>
          <w:tcPr>
            <w:tcW w:w="866" w:type="dxa"/>
            <w:tcBorders>
              <w:top w:val="nil"/>
              <w:left w:val="nil"/>
              <w:bottom w:val="single" w:sz="8" w:space="0" w:color="FFFFFF"/>
              <w:right w:val="single" w:sz="8" w:space="0" w:color="FFFFFF"/>
            </w:tcBorders>
            <w:shd w:val="clear" w:color="000000" w:fill="4F81BD"/>
            <w:noWrap/>
            <w:hideMark/>
          </w:tcPr>
          <w:p w14:paraId="10FF40A5"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721,9 </w:t>
            </w:r>
          </w:p>
        </w:tc>
        <w:tc>
          <w:tcPr>
            <w:tcW w:w="867" w:type="dxa"/>
            <w:tcBorders>
              <w:top w:val="nil"/>
              <w:left w:val="nil"/>
              <w:bottom w:val="single" w:sz="8" w:space="0" w:color="FFFFFF"/>
              <w:right w:val="single" w:sz="8" w:space="0" w:color="FFFFFF"/>
            </w:tcBorders>
            <w:shd w:val="clear" w:color="000000" w:fill="4F81BD"/>
            <w:noWrap/>
            <w:hideMark/>
          </w:tcPr>
          <w:p w14:paraId="2B5FC09A"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706,9 </w:t>
            </w:r>
          </w:p>
        </w:tc>
        <w:tc>
          <w:tcPr>
            <w:tcW w:w="866" w:type="dxa"/>
            <w:tcBorders>
              <w:top w:val="nil"/>
              <w:left w:val="nil"/>
              <w:bottom w:val="single" w:sz="8" w:space="0" w:color="FFFFFF"/>
              <w:right w:val="single" w:sz="8" w:space="0" w:color="FFFFFF"/>
            </w:tcBorders>
            <w:shd w:val="clear" w:color="000000" w:fill="4F81BD"/>
            <w:noWrap/>
            <w:hideMark/>
          </w:tcPr>
          <w:p w14:paraId="136C9270"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716,4 </w:t>
            </w:r>
          </w:p>
        </w:tc>
        <w:tc>
          <w:tcPr>
            <w:tcW w:w="866" w:type="dxa"/>
            <w:tcBorders>
              <w:top w:val="nil"/>
              <w:left w:val="nil"/>
              <w:bottom w:val="single" w:sz="8" w:space="0" w:color="FFFFFF"/>
              <w:right w:val="single" w:sz="8" w:space="0" w:color="FFFFFF"/>
            </w:tcBorders>
            <w:shd w:val="clear" w:color="auto" w:fill="4472C4" w:themeFill="accent1"/>
            <w:noWrap/>
            <w:hideMark/>
          </w:tcPr>
          <w:p w14:paraId="473A98E5"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769,7 </w:t>
            </w:r>
          </w:p>
        </w:tc>
        <w:tc>
          <w:tcPr>
            <w:tcW w:w="866" w:type="dxa"/>
            <w:tcBorders>
              <w:top w:val="nil"/>
              <w:left w:val="nil"/>
              <w:bottom w:val="single" w:sz="8" w:space="0" w:color="FFFFFF"/>
              <w:right w:val="single" w:sz="8" w:space="0" w:color="FFFFFF"/>
            </w:tcBorders>
            <w:shd w:val="clear" w:color="000000" w:fill="4F81BD"/>
            <w:noWrap/>
          </w:tcPr>
          <w:p w14:paraId="2E086A99"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768,2 </w:t>
            </w:r>
          </w:p>
        </w:tc>
        <w:tc>
          <w:tcPr>
            <w:tcW w:w="867" w:type="dxa"/>
            <w:tcBorders>
              <w:top w:val="nil"/>
              <w:left w:val="nil"/>
              <w:bottom w:val="single" w:sz="8" w:space="0" w:color="FFFFFF"/>
              <w:right w:val="single" w:sz="8" w:space="0" w:color="FFFFFF"/>
            </w:tcBorders>
            <w:shd w:val="clear" w:color="000000" w:fill="4F81BD"/>
            <w:noWrap/>
            <w:hideMark/>
          </w:tcPr>
          <w:p w14:paraId="13EE4E85"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670,0 </w:t>
            </w:r>
          </w:p>
        </w:tc>
      </w:tr>
      <w:tr w:rsidR="00B86FB3" w:rsidRPr="00FF756A" w14:paraId="577A587F" w14:textId="77777777" w:rsidTr="006A3266">
        <w:trPr>
          <w:trHeight w:val="291"/>
        </w:trPr>
        <w:tc>
          <w:tcPr>
            <w:tcW w:w="9080" w:type="dxa"/>
            <w:gridSpan w:val="9"/>
            <w:tcBorders>
              <w:top w:val="single" w:sz="8" w:space="0" w:color="FFFFFF"/>
              <w:left w:val="single" w:sz="8" w:space="0" w:color="FFFFFF"/>
              <w:bottom w:val="single" w:sz="8" w:space="0" w:color="FFFFFF"/>
              <w:right w:val="single" w:sz="8" w:space="0" w:color="FFFFFF"/>
            </w:tcBorders>
            <w:shd w:val="clear" w:color="auto" w:fill="4472C4" w:themeFill="accent1"/>
            <w:noWrap/>
            <w:vAlign w:val="center"/>
            <w:hideMark/>
          </w:tcPr>
          <w:p w14:paraId="16690F3D" w14:textId="77777777" w:rsidR="00B86FB3" w:rsidRPr="00FF756A" w:rsidRDefault="00B86FB3" w:rsidP="00B86FB3">
            <w:pPr>
              <w:rPr>
                <w:rFonts w:eastAsia="Times New Roman"/>
                <w:color w:val="FFFFFF" w:themeColor="background1"/>
                <w:sz w:val="18"/>
                <w:szCs w:val="18"/>
              </w:rPr>
            </w:pPr>
            <w:r w:rsidRPr="00FF756A">
              <w:rPr>
                <w:color w:val="FFFFFF" w:themeColor="background1"/>
                <w:sz w:val="18"/>
                <w:szCs w:val="18"/>
              </w:rPr>
              <w:t>Transporti i udhëtarëve</w:t>
            </w:r>
          </w:p>
        </w:tc>
      </w:tr>
      <w:tr w:rsidR="00B86FB3" w:rsidRPr="00FF756A" w14:paraId="032BAA12"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0BA1E8F7" w14:textId="77777777" w:rsidR="00B86FB3" w:rsidRPr="00FF756A" w:rsidRDefault="00B86FB3" w:rsidP="00B86FB3">
            <w:pPr>
              <w:rPr>
                <w:rFonts w:eastAsia="Times New Roman"/>
                <w:color w:val="FFFFFF"/>
                <w:sz w:val="18"/>
                <w:szCs w:val="18"/>
              </w:rPr>
            </w:pPr>
            <w:r w:rsidRPr="00FF756A">
              <w:rPr>
                <w:color w:val="FFFFFF"/>
                <w:sz w:val="18"/>
                <w:szCs w:val="18"/>
              </w:rPr>
              <w:t>Hekurudhë</w:t>
            </w:r>
          </w:p>
        </w:tc>
        <w:tc>
          <w:tcPr>
            <w:tcW w:w="866" w:type="dxa"/>
            <w:tcBorders>
              <w:top w:val="nil"/>
              <w:left w:val="nil"/>
              <w:bottom w:val="single" w:sz="8" w:space="0" w:color="FFFFFF"/>
              <w:right w:val="single" w:sz="8" w:space="0" w:color="FFFFFF"/>
            </w:tcBorders>
            <w:shd w:val="clear" w:color="000000" w:fill="B8CCE4"/>
            <w:noWrap/>
            <w:hideMark/>
          </w:tcPr>
          <w:p w14:paraId="5D7303A0" w14:textId="77777777" w:rsidR="00B86FB3" w:rsidRPr="00FF756A" w:rsidRDefault="00B86FB3" w:rsidP="00B86FB3">
            <w:pPr>
              <w:jc w:val="right"/>
              <w:rPr>
                <w:rFonts w:eastAsia="Times New Roman"/>
                <w:color w:val="000000"/>
                <w:sz w:val="18"/>
                <w:szCs w:val="18"/>
              </w:rPr>
            </w:pPr>
            <w:r w:rsidRPr="00FF756A">
              <w:rPr>
                <w:sz w:val="18"/>
                <w:szCs w:val="18"/>
              </w:rPr>
              <w:t xml:space="preserve"> 0,2 </w:t>
            </w:r>
          </w:p>
        </w:tc>
        <w:tc>
          <w:tcPr>
            <w:tcW w:w="866" w:type="dxa"/>
            <w:tcBorders>
              <w:top w:val="nil"/>
              <w:left w:val="nil"/>
              <w:bottom w:val="single" w:sz="8" w:space="0" w:color="FFFFFF"/>
              <w:right w:val="single" w:sz="8" w:space="0" w:color="FFFFFF"/>
            </w:tcBorders>
            <w:shd w:val="clear" w:color="000000" w:fill="B8CCE4"/>
            <w:noWrap/>
            <w:hideMark/>
          </w:tcPr>
          <w:p w14:paraId="205EFE4C" w14:textId="77777777" w:rsidR="00B86FB3" w:rsidRPr="00FF756A" w:rsidRDefault="00B86FB3" w:rsidP="00B86FB3">
            <w:pPr>
              <w:jc w:val="right"/>
              <w:rPr>
                <w:rFonts w:eastAsia="Times New Roman"/>
                <w:color w:val="000000"/>
                <w:sz w:val="18"/>
                <w:szCs w:val="18"/>
              </w:rPr>
            </w:pPr>
            <w:r w:rsidRPr="00FF756A">
              <w:rPr>
                <w:sz w:val="18"/>
                <w:szCs w:val="18"/>
              </w:rPr>
              <w:t xml:space="preserve"> 0,2 </w:t>
            </w:r>
          </w:p>
        </w:tc>
        <w:tc>
          <w:tcPr>
            <w:tcW w:w="866" w:type="dxa"/>
            <w:tcBorders>
              <w:top w:val="nil"/>
              <w:left w:val="nil"/>
              <w:bottom w:val="single" w:sz="8" w:space="0" w:color="FFFFFF"/>
              <w:right w:val="single" w:sz="8" w:space="0" w:color="FFFFFF"/>
            </w:tcBorders>
            <w:shd w:val="clear" w:color="000000" w:fill="B8CCE4"/>
            <w:noWrap/>
            <w:hideMark/>
          </w:tcPr>
          <w:p w14:paraId="774E7608" w14:textId="77777777" w:rsidR="00B86FB3" w:rsidRPr="00FF756A" w:rsidRDefault="00B86FB3" w:rsidP="00B86FB3">
            <w:pPr>
              <w:jc w:val="right"/>
              <w:rPr>
                <w:rFonts w:eastAsia="Times New Roman"/>
                <w:color w:val="000000"/>
                <w:sz w:val="18"/>
                <w:szCs w:val="18"/>
              </w:rPr>
            </w:pPr>
            <w:r w:rsidRPr="00FF756A">
              <w:rPr>
                <w:sz w:val="18"/>
                <w:szCs w:val="18"/>
              </w:rPr>
              <w:t xml:space="preserve"> 0,2 </w:t>
            </w:r>
          </w:p>
        </w:tc>
        <w:tc>
          <w:tcPr>
            <w:tcW w:w="867" w:type="dxa"/>
            <w:tcBorders>
              <w:top w:val="nil"/>
              <w:left w:val="nil"/>
              <w:bottom w:val="single" w:sz="8" w:space="0" w:color="FFFFFF"/>
              <w:right w:val="single" w:sz="8" w:space="0" w:color="FFFFFF"/>
            </w:tcBorders>
            <w:shd w:val="clear" w:color="000000" w:fill="B8CCE4"/>
            <w:noWrap/>
            <w:hideMark/>
          </w:tcPr>
          <w:p w14:paraId="18131B9A" w14:textId="77777777" w:rsidR="00B86FB3" w:rsidRPr="00FF756A" w:rsidRDefault="00B86FB3" w:rsidP="00B86FB3">
            <w:pPr>
              <w:jc w:val="right"/>
              <w:rPr>
                <w:rFonts w:eastAsia="Times New Roman"/>
                <w:color w:val="000000"/>
                <w:sz w:val="18"/>
                <w:szCs w:val="18"/>
              </w:rPr>
            </w:pPr>
            <w:r w:rsidRPr="00FF756A">
              <w:rPr>
                <w:sz w:val="18"/>
                <w:szCs w:val="18"/>
              </w:rPr>
              <w:t xml:space="preserve"> -   </w:t>
            </w:r>
          </w:p>
        </w:tc>
        <w:tc>
          <w:tcPr>
            <w:tcW w:w="866" w:type="dxa"/>
            <w:tcBorders>
              <w:top w:val="nil"/>
              <w:left w:val="nil"/>
              <w:bottom w:val="single" w:sz="8" w:space="0" w:color="FFFFFF"/>
              <w:right w:val="single" w:sz="8" w:space="0" w:color="FFFFFF"/>
            </w:tcBorders>
            <w:shd w:val="clear" w:color="000000" w:fill="B8CCE4"/>
            <w:noWrap/>
            <w:hideMark/>
          </w:tcPr>
          <w:p w14:paraId="30169ED0" w14:textId="77777777" w:rsidR="00B86FB3" w:rsidRPr="00FF756A" w:rsidRDefault="00B86FB3" w:rsidP="00B86FB3">
            <w:pPr>
              <w:jc w:val="right"/>
              <w:rPr>
                <w:rFonts w:eastAsia="Times New Roman"/>
                <w:color w:val="000000"/>
                <w:sz w:val="18"/>
                <w:szCs w:val="18"/>
              </w:rPr>
            </w:pPr>
            <w:r w:rsidRPr="00FF756A">
              <w:rPr>
                <w:sz w:val="18"/>
                <w:szCs w:val="18"/>
              </w:rPr>
              <w:t xml:space="preserve"> 1,3 </w:t>
            </w:r>
          </w:p>
        </w:tc>
        <w:tc>
          <w:tcPr>
            <w:tcW w:w="866" w:type="dxa"/>
            <w:tcBorders>
              <w:top w:val="nil"/>
              <w:left w:val="nil"/>
              <w:bottom w:val="single" w:sz="8" w:space="0" w:color="FFFFFF"/>
              <w:right w:val="single" w:sz="8" w:space="0" w:color="FFFFFF"/>
            </w:tcBorders>
            <w:shd w:val="clear" w:color="auto" w:fill="4472C4" w:themeFill="accent1"/>
            <w:noWrap/>
            <w:hideMark/>
          </w:tcPr>
          <w:p w14:paraId="6ED7706B"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10,2 </w:t>
            </w:r>
          </w:p>
        </w:tc>
        <w:tc>
          <w:tcPr>
            <w:tcW w:w="866" w:type="dxa"/>
            <w:tcBorders>
              <w:top w:val="nil"/>
              <w:left w:val="nil"/>
              <w:bottom w:val="single" w:sz="8" w:space="0" w:color="FFFFFF"/>
              <w:right w:val="single" w:sz="8" w:space="0" w:color="FFFFFF"/>
            </w:tcBorders>
            <w:shd w:val="clear" w:color="000000" w:fill="B8CCE4"/>
            <w:noWrap/>
          </w:tcPr>
          <w:p w14:paraId="5A00B76C" w14:textId="77777777" w:rsidR="00B86FB3" w:rsidRPr="00FF756A" w:rsidRDefault="00B86FB3" w:rsidP="00B86FB3">
            <w:pPr>
              <w:jc w:val="right"/>
              <w:rPr>
                <w:rFonts w:eastAsia="Times New Roman"/>
                <w:color w:val="000000"/>
                <w:sz w:val="18"/>
                <w:szCs w:val="18"/>
              </w:rPr>
            </w:pPr>
            <w:r w:rsidRPr="00FF756A">
              <w:rPr>
                <w:sz w:val="18"/>
                <w:szCs w:val="18"/>
              </w:rPr>
              <w:t xml:space="preserve"> 24,7 </w:t>
            </w:r>
          </w:p>
        </w:tc>
        <w:tc>
          <w:tcPr>
            <w:tcW w:w="867" w:type="dxa"/>
            <w:tcBorders>
              <w:top w:val="nil"/>
              <w:left w:val="nil"/>
              <w:bottom w:val="single" w:sz="8" w:space="0" w:color="FFFFFF"/>
              <w:right w:val="single" w:sz="8" w:space="0" w:color="FFFFFF"/>
            </w:tcBorders>
            <w:shd w:val="clear" w:color="000000" w:fill="B8CCE4"/>
            <w:noWrap/>
            <w:hideMark/>
          </w:tcPr>
          <w:p w14:paraId="6889A27E" w14:textId="77777777" w:rsidR="00B86FB3" w:rsidRPr="00FF756A" w:rsidRDefault="00B86FB3" w:rsidP="00B86FB3">
            <w:pPr>
              <w:jc w:val="right"/>
              <w:rPr>
                <w:rFonts w:eastAsia="Times New Roman"/>
                <w:color w:val="000000"/>
                <w:sz w:val="18"/>
                <w:szCs w:val="18"/>
              </w:rPr>
            </w:pPr>
            <w:r w:rsidRPr="00FF756A">
              <w:rPr>
                <w:sz w:val="18"/>
                <w:szCs w:val="18"/>
              </w:rPr>
              <w:t xml:space="preserve"> 19,5 </w:t>
            </w:r>
          </w:p>
        </w:tc>
      </w:tr>
      <w:tr w:rsidR="00B86FB3" w:rsidRPr="00FF756A" w14:paraId="6A4E104B"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3D283667" w14:textId="77777777" w:rsidR="00B86FB3" w:rsidRPr="00FF756A" w:rsidRDefault="00B86FB3" w:rsidP="00B86FB3">
            <w:pPr>
              <w:rPr>
                <w:rFonts w:eastAsia="Times New Roman"/>
                <w:color w:val="FFFFFF"/>
                <w:sz w:val="18"/>
                <w:szCs w:val="18"/>
              </w:rPr>
            </w:pPr>
            <w:r w:rsidRPr="00FF756A">
              <w:rPr>
                <w:color w:val="FFFFFF"/>
                <w:sz w:val="18"/>
                <w:szCs w:val="18"/>
              </w:rPr>
              <w:t>Me mjete lundruese</w:t>
            </w:r>
          </w:p>
        </w:tc>
        <w:tc>
          <w:tcPr>
            <w:tcW w:w="866" w:type="dxa"/>
            <w:tcBorders>
              <w:top w:val="nil"/>
              <w:left w:val="nil"/>
              <w:bottom w:val="single" w:sz="8" w:space="0" w:color="FFFFFF"/>
              <w:right w:val="single" w:sz="8" w:space="0" w:color="FFFFFF"/>
            </w:tcBorders>
            <w:shd w:val="clear" w:color="000000" w:fill="DBE5F1"/>
            <w:noWrap/>
            <w:hideMark/>
          </w:tcPr>
          <w:p w14:paraId="4ABBDA4C" w14:textId="77777777" w:rsidR="00B86FB3" w:rsidRPr="00FF756A" w:rsidRDefault="00B86FB3" w:rsidP="00B86FB3">
            <w:pPr>
              <w:jc w:val="right"/>
              <w:rPr>
                <w:rFonts w:eastAsia="Times New Roman"/>
                <w:color w:val="000000"/>
                <w:sz w:val="18"/>
                <w:szCs w:val="18"/>
              </w:rPr>
            </w:pPr>
            <w:r w:rsidRPr="00FF756A">
              <w:rPr>
                <w:sz w:val="18"/>
                <w:szCs w:val="18"/>
              </w:rPr>
              <w:t xml:space="preserve"> 20,5 </w:t>
            </w:r>
          </w:p>
        </w:tc>
        <w:tc>
          <w:tcPr>
            <w:tcW w:w="866" w:type="dxa"/>
            <w:tcBorders>
              <w:top w:val="nil"/>
              <w:left w:val="nil"/>
              <w:bottom w:val="single" w:sz="8" w:space="0" w:color="FFFFFF"/>
              <w:right w:val="single" w:sz="8" w:space="0" w:color="FFFFFF"/>
            </w:tcBorders>
            <w:shd w:val="clear" w:color="000000" w:fill="DBE5F1"/>
            <w:noWrap/>
            <w:hideMark/>
          </w:tcPr>
          <w:p w14:paraId="23B26E07" w14:textId="77777777" w:rsidR="00B86FB3" w:rsidRPr="00FF756A" w:rsidRDefault="00B86FB3" w:rsidP="00B86FB3">
            <w:pPr>
              <w:jc w:val="right"/>
              <w:rPr>
                <w:rFonts w:eastAsia="Times New Roman"/>
                <w:color w:val="000000"/>
                <w:sz w:val="18"/>
                <w:szCs w:val="18"/>
              </w:rPr>
            </w:pPr>
            <w:r w:rsidRPr="00FF756A">
              <w:rPr>
                <w:sz w:val="18"/>
                <w:szCs w:val="18"/>
              </w:rPr>
              <w:t xml:space="preserve"> 20,5 </w:t>
            </w:r>
          </w:p>
        </w:tc>
        <w:tc>
          <w:tcPr>
            <w:tcW w:w="866" w:type="dxa"/>
            <w:tcBorders>
              <w:top w:val="nil"/>
              <w:left w:val="nil"/>
              <w:bottom w:val="single" w:sz="8" w:space="0" w:color="FFFFFF"/>
              <w:right w:val="single" w:sz="8" w:space="0" w:color="FFFFFF"/>
            </w:tcBorders>
            <w:shd w:val="clear" w:color="000000" w:fill="DBE5F1"/>
            <w:noWrap/>
            <w:hideMark/>
          </w:tcPr>
          <w:p w14:paraId="0F33C2E9" w14:textId="77777777" w:rsidR="00B86FB3" w:rsidRPr="00FF756A" w:rsidRDefault="00B86FB3" w:rsidP="00B86FB3">
            <w:pPr>
              <w:jc w:val="right"/>
              <w:rPr>
                <w:rFonts w:eastAsia="Times New Roman"/>
                <w:color w:val="000000"/>
                <w:sz w:val="18"/>
                <w:szCs w:val="18"/>
              </w:rPr>
            </w:pPr>
            <w:r w:rsidRPr="00FF756A">
              <w:rPr>
                <w:sz w:val="18"/>
                <w:szCs w:val="18"/>
              </w:rPr>
              <w:t xml:space="preserve"> 20,5 </w:t>
            </w:r>
          </w:p>
        </w:tc>
        <w:tc>
          <w:tcPr>
            <w:tcW w:w="867" w:type="dxa"/>
            <w:tcBorders>
              <w:top w:val="nil"/>
              <w:left w:val="nil"/>
              <w:bottom w:val="single" w:sz="8" w:space="0" w:color="FFFFFF"/>
              <w:right w:val="single" w:sz="8" w:space="0" w:color="FFFFFF"/>
            </w:tcBorders>
            <w:shd w:val="clear" w:color="000000" w:fill="DBE5F1"/>
            <w:noWrap/>
            <w:hideMark/>
          </w:tcPr>
          <w:p w14:paraId="4FC9193E" w14:textId="77777777" w:rsidR="00B86FB3" w:rsidRPr="00FF756A" w:rsidRDefault="00B86FB3" w:rsidP="00B86FB3">
            <w:pPr>
              <w:jc w:val="right"/>
              <w:rPr>
                <w:rFonts w:eastAsia="Times New Roman"/>
                <w:color w:val="000000"/>
                <w:sz w:val="18"/>
                <w:szCs w:val="18"/>
              </w:rPr>
            </w:pPr>
            <w:r w:rsidRPr="00FF756A">
              <w:rPr>
                <w:sz w:val="18"/>
                <w:szCs w:val="18"/>
              </w:rPr>
              <w:t xml:space="preserve"> 20,3 </w:t>
            </w:r>
          </w:p>
        </w:tc>
        <w:tc>
          <w:tcPr>
            <w:tcW w:w="866" w:type="dxa"/>
            <w:tcBorders>
              <w:top w:val="nil"/>
              <w:left w:val="nil"/>
              <w:bottom w:val="single" w:sz="8" w:space="0" w:color="FFFFFF"/>
              <w:right w:val="single" w:sz="8" w:space="0" w:color="FFFFFF"/>
            </w:tcBorders>
            <w:shd w:val="clear" w:color="000000" w:fill="DBE5F1"/>
            <w:noWrap/>
            <w:hideMark/>
          </w:tcPr>
          <w:p w14:paraId="70DA4CFE" w14:textId="77777777" w:rsidR="00B86FB3" w:rsidRPr="00FF756A" w:rsidRDefault="00B86FB3" w:rsidP="00B86FB3">
            <w:pPr>
              <w:jc w:val="right"/>
              <w:rPr>
                <w:rFonts w:eastAsia="Times New Roman"/>
                <w:color w:val="000000"/>
                <w:sz w:val="18"/>
                <w:szCs w:val="18"/>
              </w:rPr>
            </w:pPr>
            <w:r w:rsidRPr="00FF756A">
              <w:rPr>
                <w:sz w:val="18"/>
                <w:szCs w:val="18"/>
              </w:rPr>
              <w:t xml:space="preserve"> 21,3 </w:t>
            </w:r>
          </w:p>
        </w:tc>
        <w:tc>
          <w:tcPr>
            <w:tcW w:w="866" w:type="dxa"/>
            <w:tcBorders>
              <w:top w:val="nil"/>
              <w:left w:val="nil"/>
              <w:bottom w:val="single" w:sz="8" w:space="0" w:color="FFFFFF"/>
              <w:right w:val="single" w:sz="8" w:space="0" w:color="FFFFFF"/>
            </w:tcBorders>
            <w:shd w:val="clear" w:color="auto" w:fill="4472C4" w:themeFill="accent1"/>
            <w:noWrap/>
            <w:hideMark/>
          </w:tcPr>
          <w:p w14:paraId="01C89494"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24,2 </w:t>
            </w:r>
          </w:p>
        </w:tc>
        <w:tc>
          <w:tcPr>
            <w:tcW w:w="866" w:type="dxa"/>
            <w:tcBorders>
              <w:top w:val="nil"/>
              <w:left w:val="nil"/>
              <w:bottom w:val="single" w:sz="8" w:space="0" w:color="FFFFFF"/>
              <w:right w:val="single" w:sz="8" w:space="0" w:color="FFFFFF"/>
            </w:tcBorders>
            <w:shd w:val="clear" w:color="000000" w:fill="DBE5F1"/>
            <w:noWrap/>
          </w:tcPr>
          <w:p w14:paraId="06F89F40" w14:textId="77777777" w:rsidR="00B86FB3" w:rsidRPr="00FF756A" w:rsidRDefault="00B86FB3" w:rsidP="00B86FB3">
            <w:pPr>
              <w:jc w:val="right"/>
              <w:rPr>
                <w:rFonts w:eastAsia="Times New Roman"/>
                <w:color w:val="000000"/>
                <w:sz w:val="18"/>
                <w:szCs w:val="18"/>
              </w:rPr>
            </w:pPr>
            <w:r w:rsidRPr="00FF756A">
              <w:rPr>
                <w:sz w:val="18"/>
                <w:szCs w:val="18"/>
              </w:rPr>
              <w:t xml:space="preserve"> 30,4 </w:t>
            </w:r>
          </w:p>
        </w:tc>
        <w:tc>
          <w:tcPr>
            <w:tcW w:w="867" w:type="dxa"/>
            <w:tcBorders>
              <w:top w:val="nil"/>
              <w:left w:val="nil"/>
              <w:bottom w:val="single" w:sz="8" w:space="0" w:color="FFFFFF"/>
              <w:right w:val="single" w:sz="8" w:space="0" w:color="FFFFFF"/>
            </w:tcBorders>
            <w:shd w:val="clear" w:color="000000" w:fill="DBE5F1"/>
            <w:noWrap/>
            <w:hideMark/>
          </w:tcPr>
          <w:p w14:paraId="0B02178C" w14:textId="77777777" w:rsidR="00B86FB3" w:rsidRPr="00FF756A" w:rsidRDefault="00B86FB3" w:rsidP="00B86FB3">
            <w:pPr>
              <w:jc w:val="right"/>
              <w:rPr>
                <w:rFonts w:eastAsia="Times New Roman"/>
                <w:color w:val="000000"/>
                <w:sz w:val="18"/>
                <w:szCs w:val="18"/>
              </w:rPr>
            </w:pPr>
            <w:r w:rsidRPr="00FF756A">
              <w:rPr>
                <w:sz w:val="18"/>
                <w:szCs w:val="18"/>
              </w:rPr>
              <w:t xml:space="preserve"> 37,7 </w:t>
            </w:r>
          </w:p>
        </w:tc>
      </w:tr>
      <w:tr w:rsidR="00B86FB3" w:rsidRPr="00FF756A" w14:paraId="12C48B31"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4FD3F1E7" w14:textId="77777777" w:rsidR="00B86FB3" w:rsidRPr="00FF756A" w:rsidRDefault="00B86FB3" w:rsidP="00B86FB3">
            <w:pPr>
              <w:rPr>
                <w:rFonts w:eastAsia="Times New Roman"/>
                <w:color w:val="FFFFFF"/>
                <w:sz w:val="18"/>
                <w:szCs w:val="18"/>
              </w:rPr>
            </w:pPr>
            <w:r w:rsidRPr="00FF756A">
              <w:rPr>
                <w:color w:val="FFFFFF"/>
                <w:sz w:val="18"/>
                <w:szCs w:val="18"/>
              </w:rPr>
              <w:t>Me motoçikletë</w:t>
            </w:r>
          </w:p>
        </w:tc>
        <w:tc>
          <w:tcPr>
            <w:tcW w:w="866" w:type="dxa"/>
            <w:tcBorders>
              <w:top w:val="nil"/>
              <w:left w:val="nil"/>
              <w:bottom w:val="single" w:sz="8" w:space="0" w:color="FFFFFF"/>
              <w:right w:val="single" w:sz="8" w:space="0" w:color="FFFFFF"/>
            </w:tcBorders>
            <w:shd w:val="clear" w:color="000000" w:fill="B8CCE4"/>
            <w:noWrap/>
            <w:hideMark/>
          </w:tcPr>
          <w:p w14:paraId="10F40A01" w14:textId="77777777" w:rsidR="00B86FB3" w:rsidRPr="00FF756A" w:rsidRDefault="00B86FB3" w:rsidP="00B86FB3">
            <w:pPr>
              <w:jc w:val="right"/>
              <w:rPr>
                <w:rFonts w:eastAsia="Times New Roman"/>
                <w:color w:val="000000"/>
                <w:sz w:val="18"/>
                <w:szCs w:val="18"/>
              </w:rPr>
            </w:pPr>
            <w:r w:rsidRPr="00FF756A">
              <w:rPr>
                <w:sz w:val="18"/>
                <w:szCs w:val="18"/>
              </w:rPr>
              <w:t xml:space="preserve"> 1,5 </w:t>
            </w:r>
          </w:p>
        </w:tc>
        <w:tc>
          <w:tcPr>
            <w:tcW w:w="866" w:type="dxa"/>
            <w:tcBorders>
              <w:top w:val="nil"/>
              <w:left w:val="nil"/>
              <w:bottom w:val="single" w:sz="8" w:space="0" w:color="FFFFFF"/>
              <w:right w:val="single" w:sz="8" w:space="0" w:color="FFFFFF"/>
            </w:tcBorders>
            <w:shd w:val="clear" w:color="000000" w:fill="B8CCE4"/>
            <w:noWrap/>
            <w:hideMark/>
          </w:tcPr>
          <w:p w14:paraId="7D308F18" w14:textId="77777777" w:rsidR="00B86FB3" w:rsidRPr="00FF756A" w:rsidRDefault="00B86FB3" w:rsidP="00B86FB3">
            <w:pPr>
              <w:jc w:val="right"/>
              <w:rPr>
                <w:rFonts w:eastAsia="Times New Roman"/>
                <w:color w:val="000000"/>
                <w:sz w:val="18"/>
                <w:szCs w:val="18"/>
              </w:rPr>
            </w:pPr>
            <w:r w:rsidRPr="00FF756A">
              <w:rPr>
                <w:sz w:val="18"/>
                <w:szCs w:val="18"/>
              </w:rPr>
              <w:t xml:space="preserve"> 1,6 </w:t>
            </w:r>
          </w:p>
        </w:tc>
        <w:tc>
          <w:tcPr>
            <w:tcW w:w="866" w:type="dxa"/>
            <w:tcBorders>
              <w:top w:val="nil"/>
              <w:left w:val="nil"/>
              <w:bottom w:val="single" w:sz="8" w:space="0" w:color="FFFFFF"/>
              <w:right w:val="single" w:sz="8" w:space="0" w:color="FFFFFF"/>
            </w:tcBorders>
            <w:shd w:val="clear" w:color="000000" w:fill="B8CCE4"/>
            <w:noWrap/>
            <w:hideMark/>
          </w:tcPr>
          <w:p w14:paraId="4AEE778A" w14:textId="77777777" w:rsidR="00B86FB3" w:rsidRPr="00FF756A" w:rsidRDefault="00B86FB3" w:rsidP="00B86FB3">
            <w:pPr>
              <w:jc w:val="right"/>
              <w:rPr>
                <w:rFonts w:eastAsia="Times New Roman"/>
                <w:color w:val="000000"/>
                <w:sz w:val="18"/>
                <w:szCs w:val="18"/>
              </w:rPr>
            </w:pPr>
            <w:r w:rsidRPr="00FF756A">
              <w:rPr>
                <w:sz w:val="18"/>
                <w:szCs w:val="18"/>
              </w:rPr>
              <w:t xml:space="preserve"> 1,7 </w:t>
            </w:r>
          </w:p>
        </w:tc>
        <w:tc>
          <w:tcPr>
            <w:tcW w:w="867" w:type="dxa"/>
            <w:tcBorders>
              <w:top w:val="nil"/>
              <w:left w:val="nil"/>
              <w:bottom w:val="single" w:sz="8" w:space="0" w:color="FFFFFF"/>
              <w:right w:val="single" w:sz="8" w:space="0" w:color="FFFFFF"/>
            </w:tcBorders>
            <w:shd w:val="clear" w:color="000000" w:fill="B8CCE4"/>
            <w:noWrap/>
            <w:hideMark/>
          </w:tcPr>
          <w:p w14:paraId="396CD1A9" w14:textId="77777777" w:rsidR="00B86FB3" w:rsidRPr="00FF756A" w:rsidRDefault="00B86FB3" w:rsidP="00B86FB3">
            <w:pPr>
              <w:jc w:val="right"/>
              <w:rPr>
                <w:rFonts w:eastAsia="Times New Roman"/>
                <w:color w:val="000000"/>
                <w:sz w:val="18"/>
                <w:szCs w:val="18"/>
              </w:rPr>
            </w:pPr>
            <w:r w:rsidRPr="00FF756A">
              <w:rPr>
                <w:sz w:val="18"/>
                <w:szCs w:val="18"/>
              </w:rPr>
              <w:t xml:space="preserve"> 1,7 </w:t>
            </w:r>
          </w:p>
        </w:tc>
        <w:tc>
          <w:tcPr>
            <w:tcW w:w="866" w:type="dxa"/>
            <w:tcBorders>
              <w:top w:val="nil"/>
              <w:left w:val="nil"/>
              <w:bottom w:val="single" w:sz="8" w:space="0" w:color="FFFFFF"/>
              <w:right w:val="single" w:sz="8" w:space="0" w:color="FFFFFF"/>
            </w:tcBorders>
            <w:shd w:val="clear" w:color="000000" w:fill="B8CCE4"/>
            <w:noWrap/>
            <w:hideMark/>
          </w:tcPr>
          <w:p w14:paraId="1EB402C9" w14:textId="77777777" w:rsidR="00B86FB3" w:rsidRPr="00FF756A" w:rsidRDefault="00B86FB3" w:rsidP="00B86FB3">
            <w:pPr>
              <w:jc w:val="right"/>
              <w:rPr>
                <w:rFonts w:eastAsia="Times New Roman"/>
                <w:color w:val="000000"/>
                <w:sz w:val="18"/>
                <w:szCs w:val="18"/>
              </w:rPr>
            </w:pPr>
            <w:r w:rsidRPr="00FF756A">
              <w:rPr>
                <w:sz w:val="18"/>
                <w:szCs w:val="18"/>
              </w:rPr>
              <w:t xml:space="preserve"> 1,7 </w:t>
            </w:r>
          </w:p>
        </w:tc>
        <w:tc>
          <w:tcPr>
            <w:tcW w:w="866" w:type="dxa"/>
            <w:tcBorders>
              <w:top w:val="nil"/>
              <w:left w:val="nil"/>
              <w:bottom w:val="single" w:sz="8" w:space="0" w:color="FFFFFF"/>
              <w:right w:val="single" w:sz="8" w:space="0" w:color="FFFFFF"/>
            </w:tcBorders>
            <w:shd w:val="clear" w:color="auto" w:fill="4472C4" w:themeFill="accent1"/>
            <w:noWrap/>
            <w:hideMark/>
          </w:tcPr>
          <w:p w14:paraId="7ADB89F2"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1,8 </w:t>
            </w:r>
          </w:p>
        </w:tc>
        <w:tc>
          <w:tcPr>
            <w:tcW w:w="866" w:type="dxa"/>
            <w:tcBorders>
              <w:top w:val="nil"/>
              <w:left w:val="nil"/>
              <w:bottom w:val="single" w:sz="8" w:space="0" w:color="FFFFFF"/>
              <w:right w:val="single" w:sz="8" w:space="0" w:color="FFFFFF"/>
            </w:tcBorders>
            <w:shd w:val="clear" w:color="000000" w:fill="B8CCE4"/>
            <w:noWrap/>
          </w:tcPr>
          <w:p w14:paraId="5347FA34" w14:textId="77777777" w:rsidR="00B86FB3" w:rsidRPr="00FF756A" w:rsidRDefault="00B86FB3" w:rsidP="00B86FB3">
            <w:pPr>
              <w:jc w:val="right"/>
              <w:rPr>
                <w:rFonts w:eastAsia="Times New Roman"/>
                <w:color w:val="000000"/>
                <w:sz w:val="18"/>
                <w:szCs w:val="18"/>
              </w:rPr>
            </w:pPr>
            <w:r w:rsidRPr="00FF756A">
              <w:rPr>
                <w:sz w:val="18"/>
                <w:szCs w:val="18"/>
              </w:rPr>
              <w:t xml:space="preserve"> 2,0 </w:t>
            </w:r>
          </w:p>
        </w:tc>
        <w:tc>
          <w:tcPr>
            <w:tcW w:w="867" w:type="dxa"/>
            <w:tcBorders>
              <w:top w:val="nil"/>
              <w:left w:val="nil"/>
              <w:bottom w:val="single" w:sz="8" w:space="0" w:color="FFFFFF"/>
              <w:right w:val="single" w:sz="8" w:space="0" w:color="FFFFFF"/>
            </w:tcBorders>
            <w:shd w:val="clear" w:color="000000" w:fill="B8CCE4"/>
            <w:noWrap/>
            <w:hideMark/>
          </w:tcPr>
          <w:p w14:paraId="0B568F4F" w14:textId="77777777" w:rsidR="00B86FB3" w:rsidRPr="00FF756A" w:rsidRDefault="00B86FB3" w:rsidP="00B86FB3">
            <w:pPr>
              <w:jc w:val="right"/>
              <w:rPr>
                <w:rFonts w:eastAsia="Times New Roman"/>
                <w:color w:val="000000"/>
                <w:sz w:val="18"/>
                <w:szCs w:val="18"/>
              </w:rPr>
            </w:pPr>
            <w:r w:rsidRPr="00FF756A">
              <w:rPr>
                <w:sz w:val="18"/>
                <w:szCs w:val="18"/>
              </w:rPr>
              <w:t xml:space="preserve"> 2,1 </w:t>
            </w:r>
          </w:p>
        </w:tc>
      </w:tr>
      <w:tr w:rsidR="00B86FB3" w:rsidRPr="00FF756A" w14:paraId="30A76DCD"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191C80D7" w14:textId="77777777" w:rsidR="00B86FB3" w:rsidRPr="00FF756A" w:rsidRDefault="00B86FB3" w:rsidP="00B86FB3">
            <w:pPr>
              <w:rPr>
                <w:rFonts w:eastAsia="Times New Roman"/>
                <w:color w:val="FFFFFF"/>
                <w:sz w:val="18"/>
                <w:szCs w:val="18"/>
              </w:rPr>
            </w:pPr>
            <w:r w:rsidRPr="00FF756A">
              <w:rPr>
                <w:color w:val="FFFFFF"/>
                <w:sz w:val="18"/>
                <w:szCs w:val="18"/>
              </w:rPr>
              <w:t>Me makinë</w:t>
            </w:r>
          </w:p>
        </w:tc>
        <w:tc>
          <w:tcPr>
            <w:tcW w:w="866" w:type="dxa"/>
            <w:tcBorders>
              <w:top w:val="nil"/>
              <w:left w:val="nil"/>
              <w:bottom w:val="single" w:sz="8" w:space="0" w:color="FFFFFF"/>
              <w:right w:val="single" w:sz="8" w:space="0" w:color="FFFFFF"/>
            </w:tcBorders>
            <w:shd w:val="clear" w:color="000000" w:fill="DBE5F1"/>
            <w:noWrap/>
            <w:hideMark/>
          </w:tcPr>
          <w:p w14:paraId="758767C2" w14:textId="77777777" w:rsidR="00B86FB3" w:rsidRPr="00FF756A" w:rsidRDefault="00B86FB3" w:rsidP="00B86FB3">
            <w:pPr>
              <w:jc w:val="right"/>
              <w:rPr>
                <w:rFonts w:eastAsia="Times New Roman"/>
                <w:color w:val="000000"/>
                <w:sz w:val="18"/>
                <w:szCs w:val="18"/>
              </w:rPr>
            </w:pPr>
            <w:r w:rsidRPr="00FF756A">
              <w:rPr>
                <w:sz w:val="18"/>
                <w:szCs w:val="18"/>
              </w:rPr>
              <w:t xml:space="preserve"> 439,4 </w:t>
            </w:r>
          </w:p>
        </w:tc>
        <w:tc>
          <w:tcPr>
            <w:tcW w:w="866" w:type="dxa"/>
            <w:tcBorders>
              <w:top w:val="nil"/>
              <w:left w:val="nil"/>
              <w:bottom w:val="single" w:sz="8" w:space="0" w:color="FFFFFF"/>
              <w:right w:val="single" w:sz="8" w:space="0" w:color="FFFFFF"/>
            </w:tcBorders>
            <w:shd w:val="clear" w:color="000000" w:fill="DBE5F1"/>
            <w:noWrap/>
            <w:hideMark/>
          </w:tcPr>
          <w:p w14:paraId="66A46B65" w14:textId="77777777" w:rsidR="00B86FB3" w:rsidRPr="00FF756A" w:rsidRDefault="00B86FB3" w:rsidP="00B86FB3">
            <w:pPr>
              <w:jc w:val="right"/>
              <w:rPr>
                <w:rFonts w:eastAsia="Times New Roman"/>
                <w:color w:val="000000"/>
                <w:sz w:val="18"/>
                <w:szCs w:val="18"/>
              </w:rPr>
            </w:pPr>
            <w:r w:rsidRPr="00FF756A">
              <w:rPr>
                <w:sz w:val="18"/>
                <w:szCs w:val="18"/>
              </w:rPr>
              <w:t xml:space="preserve"> 468,0 </w:t>
            </w:r>
          </w:p>
        </w:tc>
        <w:tc>
          <w:tcPr>
            <w:tcW w:w="866" w:type="dxa"/>
            <w:tcBorders>
              <w:top w:val="nil"/>
              <w:left w:val="nil"/>
              <w:bottom w:val="single" w:sz="8" w:space="0" w:color="FFFFFF"/>
              <w:right w:val="single" w:sz="8" w:space="0" w:color="FFFFFF"/>
            </w:tcBorders>
            <w:shd w:val="clear" w:color="000000" w:fill="DBE5F1"/>
            <w:noWrap/>
            <w:hideMark/>
          </w:tcPr>
          <w:p w14:paraId="4CB8ED83" w14:textId="77777777" w:rsidR="00B86FB3" w:rsidRPr="00FF756A" w:rsidRDefault="00B86FB3" w:rsidP="00B86FB3">
            <w:pPr>
              <w:jc w:val="right"/>
              <w:rPr>
                <w:rFonts w:eastAsia="Times New Roman"/>
                <w:color w:val="000000"/>
                <w:sz w:val="18"/>
                <w:szCs w:val="18"/>
              </w:rPr>
            </w:pPr>
            <w:r w:rsidRPr="00FF756A">
              <w:rPr>
                <w:sz w:val="18"/>
                <w:szCs w:val="18"/>
              </w:rPr>
              <w:t xml:space="preserve"> 494,1 </w:t>
            </w:r>
          </w:p>
        </w:tc>
        <w:tc>
          <w:tcPr>
            <w:tcW w:w="867" w:type="dxa"/>
            <w:tcBorders>
              <w:top w:val="nil"/>
              <w:left w:val="nil"/>
              <w:bottom w:val="single" w:sz="8" w:space="0" w:color="FFFFFF"/>
              <w:right w:val="single" w:sz="8" w:space="0" w:color="FFFFFF"/>
            </w:tcBorders>
            <w:shd w:val="clear" w:color="000000" w:fill="DBE5F1"/>
            <w:noWrap/>
            <w:hideMark/>
          </w:tcPr>
          <w:p w14:paraId="6D7CA30A" w14:textId="77777777" w:rsidR="00B86FB3" w:rsidRPr="00FF756A" w:rsidRDefault="00B86FB3" w:rsidP="00B86FB3">
            <w:pPr>
              <w:jc w:val="right"/>
              <w:rPr>
                <w:rFonts w:eastAsia="Times New Roman"/>
                <w:color w:val="000000"/>
                <w:sz w:val="18"/>
                <w:szCs w:val="18"/>
              </w:rPr>
            </w:pPr>
            <w:r w:rsidRPr="00FF756A">
              <w:rPr>
                <w:sz w:val="18"/>
                <w:szCs w:val="18"/>
              </w:rPr>
              <w:t xml:space="preserve"> 476,1 </w:t>
            </w:r>
          </w:p>
        </w:tc>
        <w:tc>
          <w:tcPr>
            <w:tcW w:w="866" w:type="dxa"/>
            <w:tcBorders>
              <w:top w:val="nil"/>
              <w:left w:val="nil"/>
              <w:bottom w:val="single" w:sz="8" w:space="0" w:color="FFFFFF"/>
              <w:right w:val="single" w:sz="8" w:space="0" w:color="FFFFFF"/>
            </w:tcBorders>
            <w:shd w:val="clear" w:color="000000" w:fill="DBE5F1"/>
            <w:noWrap/>
            <w:hideMark/>
          </w:tcPr>
          <w:p w14:paraId="6187986A" w14:textId="77777777" w:rsidR="00B86FB3" w:rsidRPr="00FF756A" w:rsidRDefault="00B86FB3" w:rsidP="00B86FB3">
            <w:pPr>
              <w:jc w:val="right"/>
              <w:rPr>
                <w:rFonts w:eastAsia="Times New Roman"/>
                <w:color w:val="000000"/>
                <w:sz w:val="18"/>
                <w:szCs w:val="18"/>
              </w:rPr>
            </w:pPr>
            <w:r w:rsidRPr="00FF756A">
              <w:rPr>
                <w:sz w:val="18"/>
                <w:szCs w:val="18"/>
              </w:rPr>
              <w:t xml:space="preserve"> 476,2 </w:t>
            </w:r>
          </w:p>
        </w:tc>
        <w:tc>
          <w:tcPr>
            <w:tcW w:w="866" w:type="dxa"/>
            <w:tcBorders>
              <w:top w:val="nil"/>
              <w:left w:val="nil"/>
              <w:bottom w:val="single" w:sz="8" w:space="0" w:color="FFFFFF"/>
              <w:right w:val="single" w:sz="8" w:space="0" w:color="FFFFFF"/>
            </w:tcBorders>
            <w:shd w:val="clear" w:color="auto" w:fill="4472C4" w:themeFill="accent1"/>
            <w:noWrap/>
            <w:hideMark/>
          </w:tcPr>
          <w:p w14:paraId="29EEF5FF"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477,5 </w:t>
            </w:r>
          </w:p>
        </w:tc>
        <w:tc>
          <w:tcPr>
            <w:tcW w:w="866" w:type="dxa"/>
            <w:tcBorders>
              <w:top w:val="nil"/>
              <w:left w:val="nil"/>
              <w:bottom w:val="single" w:sz="8" w:space="0" w:color="FFFFFF"/>
              <w:right w:val="single" w:sz="8" w:space="0" w:color="FFFFFF"/>
            </w:tcBorders>
            <w:shd w:val="clear" w:color="000000" w:fill="DBE5F1"/>
            <w:noWrap/>
          </w:tcPr>
          <w:p w14:paraId="4F600928" w14:textId="77777777" w:rsidR="00B86FB3" w:rsidRPr="00FF756A" w:rsidRDefault="00B86FB3" w:rsidP="00B86FB3">
            <w:pPr>
              <w:jc w:val="right"/>
              <w:rPr>
                <w:rFonts w:eastAsia="Times New Roman"/>
                <w:color w:val="000000"/>
                <w:sz w:val="18"/>
                <w:szCs w:val="18"/>
              </w:rPr>
            </w:pPr>
            <w:r w:rsidRPr="00FF756A">
              <w:rPr>
                <w:sz w:val="18"/>
                <w:szCs w:val="18"/>
              </w:rPr>
              <w:t xml:space="preserve"> 407,9 </w:t>
            </w:r>
          </w:p>
        </w:tc>
        <w:tc>
          <w:tcPr>
            <w:tcW w:w="867" w:type="dxa"/>
            <w:tcBorders>
              <w:top w:val="nil"/>
              <w:left w:val="nil"/>
              <w:bottom w:val="single" w:sz="8" w:space="0" w:color="FFFFFF"/>
              <w:right w:val="single" w:sz="8" w:space="0" w:color="FFFFFF"/>
            </w:tcBorders>
            <w:shd w:val="clear" w:color="000000" w:fill="DBE5F1"/>
            <w:noWrap/>
            <w:hideMark/>
          </w:tcPr>
          <w:p w14:paraId="324C3559" w14:textId="77777777" w:rsidR="00B86FB3" w:rsidRPr="00FF756A" w:rsidRDefault="00B86FB3" w:rsidP="00B86FB3">
            <w:pPr>
              <w:jc w:val="right"/>
              <w:rPr>
                <w:rFonts w:eastAsia="Times New Roman"/>
                <w:color w:val="000000"/>
                <w:sz w:val="18"/>
                <w:szCs w:val="18"/>
              </w:rPr>
            </w:pPr>
            <w:r w:rsidRPr="00FF756A">
              <w:rPr>
                <w:sz w:val="18"/>
                <w:szCs w:val="18"/>
              </w:rPr>
              <w:t xml:space="preserve"> 314,5 </w:t>
            </w:r>
          </w:p>
        </w:tc>
      </w:tr>
      <w:tr w:rsidR="00B86FB3" w:rsidRPr="00FF756A" w14:paraId="03DC945A"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222C1C7A" w14:textId="77777777" w:rsidR="00B86FB3" w:rsidRPr="00FF756A" w:rsidRDefault="00B86FB3" w:rsidP="00B86FB3">
            <w:pPr>
              <w:rPr>
                <w:rFonts w:eastAsia="Times New Roman"/>
                <w:color w:val="FFFFFF"/>
                <w:sz w:val="18"/>
                <w:szCs w:val="18"/>
              </w:rPr>
            </w:pPr>
            <w:r w:rsidRPr="00FF756A">
              <w:rPr>
                <w:color w:val="FFFFFF"/>
                <w:sz w:val="18"/>
                <w:szCs w:val="18"/>
              </w:rPr>
              <w:t>Me autobus</w:t>
            </w:r>
          </w:p>
        </w:tc>
        <w:tc>
          <w:tcPr>
            <w:tcW w:w="866" w:type="dxa"/>
            <w:tcBorders>
              <w:top w:val="nil"/>
              <w:left w:val="nil"/>
              <w:bottom w:val="single" w:sz="8" w:space="0" w:color="FFFFFF"/>
              <w:right w:val="single" w:sz="8" w:space="0" w:color="FFFFFF"/>
            </w:tcBorders>
            <w:shd w:val="clear" w:color="000000" w:fill="B8CCE4"/>
            <w:noWrap/>
            <w:hideMark/>
          </w:tcPr>
          <w:p w14:paraId="114D4758" w14:textId="77777777" w:rsidR="00B86FB3" w:rsidRPr="00FF756A" w:rsidRDefault="00B86FB3" w:rsidP="00B86FB3">
            <w:pPr>
              <w:jc w:val="right"/>
              <w:rPr>
                <w:rFonts w:eastAsia="Times New Roman"/>
                <w:color w:val="000000"/>
                <w:sz w:val="18"/>
                <w:szCs w:val="18"/>
              </w:rPr>
            </w:pPr>
            <w:r w:rsidRPr="00FF756A">
              <w:rPr>
                <w:sz w:val="18"/>
                <w:szCs w:val="18"/>
              </w:rPr>
              <w:t xml:space="preserve"> 24,9 </w:t>
            </w:r>
          </w:p>
        </w:tc>
        <w:tc>
          <w:tcPr>
            <w:tcW w:w="866" w:type="dxa"/>
            <w:tcBorders>
              <w:top w:val="nil"/>
              <w:left w:val="nil"/>
              <w:bottom w:val="single" w:sz="8" w:space="0" w:color="FFFFFF"/>
              <w:right w:val="single" w:sz="8" w:space="0" w:color="FFFFFF"/>
            </w:tcBorders>
            <w:shd w:val="clear" w:color="000000" w:fill="B8CCE4"/>
            <w:noWrap/>
            <w:hideMark/>
          </w:tcPr>
          <w:p w14:paraId="5CB6B855" w14:textId="77777777" w:rsidR="00B86FB3" w:rsidRPr="00FF756A" w:rsidRDefault="00B86FB3" w:rsidP="00B86FB3">
            <w:pPr>
              <w:jc w:val="right"/>
              <w:rPr>
                <w:rFonts w:eastAsia="Times New Roman"/>
                <w:color w:val="000000"/>
                <w:sz w:val="18"/>
                <w:szCs w:val="18"/>
              </w:rPr>
            </w:pPr>
            <w:r w:rsidRPr="00FF756A">
              <w:rPr>
                <w:sz w:val="18"/>
                <w:szCs w:val="18"/>
              </w:rPr>
              <w:t xml:space="preserve"> 25,7 </w:t>
            </w:r>
          </w:p>
        </w:tc>
        <w:tc>
          <w:tcPr>
            <w:tcW w:w="866" w:type="dxa"/>
            <w:tcBorders>
              <w:top w:val="nil"/>
              <w:left w:val="nil"/>
              <w:bottom w:val="single" w:sz="8" w:space="0" w:color="FFFFFF"/>
              <w:right w:val="single" w:sz="8" w:space="0" w:color="FFFFFF"/>
            </w:tcBorders>
            <w:shd w:val="clear" w:color="000000" w:fill="B8CCE4"/>
            <w:noWrap/>
            <w:hideMark/>
          </w:tcPr>
          <w:p w14:paraId="68CA8C03" w14:textId="77777777" w:rsidR="00B86FB3" w:rsidRPr="00FF756A" w:rsidRDefault="00B86FB3" w:rsidP="00B86FB3">
            <w:pPr>
              <w:jc w:val="right"/>
              <w:rPr>
                <w:rFonts w:eastAsia="Times New Roman"/>
                <w:color w:val="000000"/>
                <w:sz w:val="18"/>
                <w:szCs w:val="18"/>
              </w:rPr>
            </w:pPr>
            <w:r w:rsidRPr="00FF756A">
              <w:rPr>
                <w:sz w:val="18"/>
                <w:szCs w:val="18"/>
              </w:rPr>
              <w:t xml:space="preserve"> 27,2 </w:t>
            </w:r>
          </w:p>
        </w:tc>
        <w:tc>
          <w:tcPr>
            <w:tcW w:w="867" w:type="dxa"/>
            <w:tcBorders>
              <w:top w:val="nil"/>
              <w:left w:val="nil"/>
              <w:bottom w:val="single" w:sz="8" w:space="0" w:color="FFFFFF"/>
              <w:right w:val="single" w:sz="8" w:space="0" w:color="FFFFFF"/>
            </w:tcBorders>
            <w:shd w:val="clear" w:color="000000" w:fill="B8CCE4"/>
            <w:noWrap/>
            <w:hideMark/>
          </w:tcPr>
          <w:p w14:paraId="3D6A47F3" w14:textId="77777777" w:rsidR="00B86FB3" w:rsidRPr="00FF756A" w:rsidRDefault="00B86FB3" w:rsidP="00B86FB3">
            <w:pPr>
              <w:jc w:val="right"/>
              <w:rPr>
                <w:rFonts w:eastAsia="Times New Roman"/>
                <w:color w:val="000000"/>
                <w:sz w:val="18"/>
                <w:szCs w:val="18"/>
              </w:rPr>
            </w:pPr>
            <w:r w:rsidRPr="00FF756A">
              <w:rPr>
                <w:sz w:val="18"/>
                <w:szCs w:val="18"/>
              </w:rPr>
              <w:t xml:space="preserve"> 27,3 </w:t>
            </w:r>
          </w:p>
        </w:tc>
        <w:tc>
          <w:tcPr>
            <w:tcW w:w="866" w:type="dxa"/>
            <w:tcBorders>
              <w:top w:val="nil"/>
              <w:left w:val="nil"/>
              <w:bottom w:val="single" w:sz="8" w:space="0" w:color="FFFFFF"/>
              <w:right w:val="single" w:sz="8" w:space="0" w:color="FFFFFF"/>
            </w:tcBorders>
            <w:shd w:val="clear" w:color="000000" w:fill="B8CCE4"/>
            <w:noWrap/>
            <w:hideMark/>
          </w:tcPr>
          <w:p w14:paraId="31570E98" w14:textId="77777777" w:rsidR="00B86FB3" w:rsidRPr="00FF756A" w:rsidRDefault="00B86FB3" w:rsidP="00B86FB3">
            <w:pPr>
              <w:jc w:val="right"/>
              <w:rPr>
                <w:rFonts w:eastAsia="Times New Roman"/>
                <w:color w:val="000000"/>
                <w:sz w:val="18"/>
                <w:szCs w:val="18"/>
              </w:rPr>
            </w:pPr>
            <w:r w:rsidRPr="00FF756A">
              <w:rPr>
                <w:sz w:val="18"/>
                <w:szCs w:val="18"/>
              </w:rPr>
              <w:t xml:space="preserve"> 26,9 </w:t>
            </w:r>
          </w:p>
        </w:tc>
        <w:tc>
          <w:tcPr>
            <w:tcW w:w="866" w:type="dxa"/>
            <w:tcBorders>
              <w:top w:val="nil"/>
              <w:left w:val="nil"/>
              <w:bottom w:val="single" w:sz="8" w:space="0" w:color="FFFFFF"/>
              <w:right w:val="single" w:sz="8" w:space="0" w:color="FFFFFF"/>
            </w:tcBorders>
            <w:shd w:val="clear" w:color="auto" w:fill="4472C4" w:themeFill="accent1"/>
            <w:noWrap/>
            <w:hideMark/>
          </w:tcPr>
          <w:p w14:paraId="73D7A479"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30,6 </w:t>
            </w:r>
          </w:p>
        </w:tc>
        <w:tc>
          <w:tcPr>
            <w:tcW w:w="866" w:type="dxa"/>
            <w:tcBorders>
              <w:top w:val="nil"/>
              <w:left w:val="nil"/>
              <w:bottom w:val="single" w:sz="8" w:space="0" w:color="FFFFFF"/>
              <w:right w:val="single" w:sz="8" w:space="0" w:color="FFFFFF"/>
            </w:tcBorders>
            <w:shd w:val="clear" w:color="000000" w:fill="B8CCE4"/>
            <w:noWrap/>
          </w:tcPr>
          <w:p w14:paraId="32CDAC32" w14:textId="77777777" w:rsidR="00B86FB3" w:rsidRPr="00FF756A" w:rsidRDefault="00B86FB3" w:rsidP="00B86FB3">
            <w:pPr>
              <w:jc w:val="right"/>
              <w:rPr>
                <w:rFonts w:eastAsia="Times New Roman"/>
                <w:color w:val="000000"/>
                <w:sz w:val="18"/>
                <w:szCs w:val="18"/>
              </w:rPr>
            </w:pPr>
            <w:r w:rsidRPr="00FF756A">
              <w:rPr>
                <w:sz w:val="18"/>
                <w:szCs w:val="18"/>
              </w:rPr>
              <w:t xml:space="preserve"> 27,7 </w:t>
            </w:r>
          </w:p>
        </w:tc>
        <w:tc>
          <w:tcPr>
            <w:tcW w:w="867" w:type="dxa"/>
            <w:tcBorders>
              <w:top w:val="nil"/>
              <w:left w:val="nil"/>
              <w:bottom w:val="single" w:sz="8" w:space="0" w:color="FFFFFF"/>
              <w:right w:val="single" w:sz="8" w:space="0" w:color="FFFFFF"/>
            </w:tcBorders>
            <w:shd w:val="clear" w:color="000000" w:fill="B8CCE4"/>
            <w:noWrap/>
            <w:hideMark/>
          </w:tcPr>
          <w:p w14:paraId="1753C5EB" w14:textId="77777777" w:rsidR="00B86FB3" w:rsidRPr="00FF756A" w:rsidRDefault="00B86FB3" w:rsidP="00B86FB3">
            <w:pPr>
              <w:jc w:val="right"/>
              <w:rPr>
                <w:rFonts w:eastAsia="Times New Roman"/>
                <w:color w:val="000000"/>
                <w:sz w:val="18"/>
                <w:szCs w:val="18"/>
              </w:rPr>
            </w:pPr>
            <w:r w:rsidRPr="00FF756A">
              <w:rPr>
                <w:sz w:val="18"/>
                <w:szCs w:val="18"/>
              </w:rPr>
              <w:t xml:space="preserve"> 20,8 </w:t>
            </w:r>
          </w:p>
        </w:tc>
      </w:tr>
      <w:tr w:rsidR="00B86FB3" w:rsidRPr="00FF756A" w14:paraId="760FC2D9"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4033FB37" w14:textId="77777777" w:rsidR="00B86FB3" w:rsidRPr="00FF756A" w:rsidRDefault="00B86FB3" w:rsidP="00B86FB3">
            <w:pPr>
              <w:rPr>
                <w:rFonts w:eastAsia="Times New Roman"/>
                <w:color w:val="FFFFFF"/>
                <w:sz w:val="18"/>
                <w:szCs w:val="18"/>
              </w:rPr>
            </w:pPr>
            <w:r w:rsidRPr="00FF756A">
              <w:rPr>
                <w:color w:val="FFFFFF"/>
                <w:sz w:val="18"/>
                <w:szCs w:val="18"/>
              </w:rPr>
              <w:t>Totali</w:t>
            </w:r>
          </w:p>
        </w:tc>
        <w:tc>
          <w:tcPr>
            <w:tcW w:w="866" w:type="dxa"/>
            <w:tcBorders>
              <w:top w:val="nil"/>
              <w:left w:val="nil"/>
              <w:bottom w:val="single" w:sz="8" w:space="0" w:color="FFFFFF"/>
              <w:right w:val="single" w:sz="8" w:space="0" w:color="FFFFFF"/>
            </w:tcBorders>
            <w:shd w:val="clear" w:color="000000" w:fill="4F81BD"/>
            <w:noWrap/>
            <w:hideMark/>
          </w:tcPr>
          <w:p w14:paraId="25394180"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486,4 </w:t>
            </w:r>
          </w:p>
        </w:tc>
        <w:tc>
          <w:tcPr>
            <w:tcW w:w="866" w:type="dxa"/>
            <w:tcBorders>
              <w:top w:val="nil"/>
              <w:left w:val="nil"/>
              <w:bottom w:val="single" w:sz="8" w:space="0" w:color="FFFFFF"/>
              <w:right w:val="single" w:sz="8" w:space="0" w:color="FFFFFF"/>
            </w:tcBorders>
            <w:shd w:val="clear" w:color="000000" w:fill="4F81BD"/>
            <w:noWrap/>
            <w:hideMark/>
          </w:tcPr>
          <w:p w14:paraId="2092A125"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516,0 </w:t>
            </w:r>
          </w:p>
        </w:tc>
        <w:tc>
          <w:tcPr>
            <w:tcW w:w="866" w:type="dxa"/>
            <w:tcBorders>
              <w:top w:val="nil"/>
              <w:left w:val="nil"/>
              <w:bottom w:val="single" w:sz="8" w:space="0" w:color="FFFFFF"/>
              <w:right w:val="single" w:sz="8" w:space="0" w:color="FFFFFF"/>
            </w:tcBorders>
            <w:shd w:val="clear" w:color="000000" w:fill="4F81BD"/>
            <w:noWrap/>
            <w:hideMark/>
          </w:tcPr>
          <w:p w14:paraId="343CD385"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543,6 </w:t>
            </w:r>
          </w:p>
        </w:tc>
        <w:tc>
          <w:tcPr>
            <w:tcW w:w="867" w:type="dxa"/>
            <w:tcBorders>
              <w:top w:val="nil"/>
              <w:left w:val="nil"/>
              <w:bottom w:val="single" w:sz="8" w:space="0" w:color="FFFFFF"/>
              <w:right w:val="single" w:sz="8" w:space="0" w:color="FFFFFF"/>
            </w:tcBorders>
            <w:shd w:val="clear" w:color="000000" w:fill="4F81BD"/>
            <w:noWrap/>
            <w:hideMark/>
          </w:tcPr>
          <w:p w14:paraId="1C8B6F4F"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525,3 </w:t>
            </w:r>
          </w:p>
        </w:tc>
        <w:tc>
          <w:tcPr>
            <w:tcW w:w="866" w:type="dxa"/>
            <w:tcBorders>
              <w:top w:val="nil"/>
              <w:left w:val="nil"/>
              <w:bottom w:val="single" w:sz="8" w:space="0" w:color="FFFFFF"/>
              <w:right w:val="single" w:sz="8" w:space="0" w:color="FFFFFF"/>
            </w:tcBorders>
            <w:shd w:val="clear" w:color="000000" w:fill="4F81BD"/>
            <w:noWrap/>
            <w:hideMark/>
          </w:tcPr>
          <w:p w14:paraId="2C39E2F2"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527,5 </w:t>
            </w:r>
          </w:p>
        </w:tc>
        <w:tc>
          <w:tcPr>
            <w:tcW w:w="866" w:type="dxa"/>
            <w:tcBorders>
              <w:top w:val="nil"/>
              <w:left w:val="nil"/>
              <w:bottom w:val="single" w:sz="8" w:space="0" w:color="FFFFFF"/>
              <w:right w:val="single" w:sz="8" w:space="0" w:color="FFFFFF"/>
            </w:tcBorders>
            <w:shd w:val="clear" w:color="auto" w:fill="4472C4" w:themeFill="accent1"/>
            <w:noWrap/>
            <w:hideMark/>
          </w:tcPr>
          <w:p w14:paraId="43C42F10"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544,2 </w:t>
            </w:r>
          </w:p>
        </w:tc>
        <w:tc>
          <w:tcPr>
            <w:tcW w:w="866" w:type="dxa"/>
            <w:tcBorders>
              <w:top w:val="nil"/>
              <w:left w:val="nil"/>
              <w:bottom w:val="single" w:sz="8" w:space="0" w:color="FFFFFF"/>
              <w:right w:val="single" w:sz="8" w:space="0" w:color="FFFFFF"/>
            </w:tcBorders>
            <w:shd w:val="clear" w:color="000000" w:fill="4F81BD"/>
            <w:noWrap/>
          </w:tcPr>
          <w:p w14:paraId="584E47C9"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492,8 </w:t>
            </w:r>
          </w:p>
        </w:tc>
        <w:tc>
          <w:tcPr>
            <w:tcW w:w="867" w:type="dxa"/>
            <w:tcBorders>
              <w:top w:val="nil"/>
              <w:left w:val="nil"/>
              <w:bottom w:val="single" w:sz="8" w:space="0" w:color="FFFFFF"/>
              <w:right w:val="single" w:sz="8" w:space="0" w:color="FFFFFF"/>
            </w:tcBorders>
            <w:shd w:val="clear" w:color="000000" w:fill="4F81BD"/>
            <w:noWrap/>
            <w:hideMark/>
          </w:tcPr>
          <w:p w14:paraId="4E24D517"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394,6 </w:t>
            </w:r>
          </w:p>
        </w:tc>
      </w:tr>
      <w:tr w:rsidR="00B86FB3" w:rsidRPr="00FF756A" w14:paraId="4ACCFD9C" w14:textId="77777777" w:rsidTr="006A3266">
        <w:trPr>
          <w:trHeight w:val="291"/>
        </w:trPr>
        <w:tc>
          <w:tcPr>
            <w:tcW w:w="9080" w:type="dxa"/>
            <w:gridSpan w:val="9"/>
            <w:tcBorders>
              <w:top w:val="single" w:sz="8" w:space="0" w:color="FFFFFF"/>
              <w:left w:val="single" w:sz="8" w:space="0" w:color="FFFFFF"/>
              <w:bottom w:val="single" w:sz="8" w:space="0" w:color="FFFFFF"/>
              <w:right w:val="single" w:sz="8" w:space="0" w:color="FFFFFF"/>
            </w:tcBorders>
            <w:shd w:val="clear" w:color="auto" w:fill="4472C4" w:themeFill="accent1"/>
            <w:noWrap/>
            <w:vAlign w:val="center"/>
            <w:hideMark/>
          </w:tcPr>
          <w:p w14:paraId="55B2E376" w14:textId="77777777" w:rsidR="00B86FB3" w:rsidRPr="00FF756A" w:rsidRDefault="00B86FB3" w:rsidP="00B86FB3">
            <w:pPr>
              <w:rPr>
                <w:rFonts w:eastAsia="Times New Roman"/>
                <w:color w:val="FFFFFF" w:themeColor="background1"/>
                <w:sz w:val="18"/>
                <w:szCs w:val="18"/>
              </w:rPr>
            </w:pPr>
            <w:r w:rsidRPr="00FF756A">
              <w:rPr>
                <w:color w:val="FFFFFF" w:themeColor="background1"/>
                <w:sz w:val="18"/>
                <w:szCs w:val="18"/>
              </w:rPr>
              <w:t>Transporti i mallrave</w:t>
            </w:r>
          </w:p>
        </w:tc>
      </w:tr>
      <w:tr w:rsidR="00B86FB3" w:rsidRPr="00FF756A" w14:paraId="11978F1C"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352A180C" w14:textId="77777777" w:rsidR="00B86FB3" w:rsidRPr="00FF756A" w:rsidRDefault="00B86FB3" w:rsidP="00B86FB3">
            <w:pPr>
              <w:rPr>
                <w:rFonts w:eastAsia="Times New Roman"/>
                <w:color w:val="FFFFFF"/>
                <w:sz w:val="18"/>
                <w:szCs w:val="18"/>
              </w:rPr>
            </w:pPr>
            <w:r w:rsidRPr="00FF756A">
              <w:rPr>
                <w:color w:val="FFFFFF"/>
                <w:sz w:val="18"/>
                <w:szCs w:val="18"/>
              </w:rPr>
              <w:t>Hekurudhë</w:t>
            </w:r>
          </w:p>
        </w:tc>
        <w:tc>
          <w:tcPr>
            <w:tcW w:w="866" w:type="dxa"/>
            <w:tcBorders>
              <w:top w:val="nil"/>
              <w:left w:val="nil"/>
              <w:bottom w:val="single" w:sz="8" w:space="0" w:color="FFFFFF"/>
              <w:right w:val="single" w:sz="8" w:space="0" w:color="FFFFFF"/>
            </w:tcBorders>
            <w:shd w:val="clear" w:color="000000" w:fill="B8CCE4"/>
            <w:noWrap/>
            <w:hideMark/>
          </w:tcPr>
          <w:p w14:paraId="2AE95E0D" w14:textId="77777777" w:rsidR="00B86FB3" w:rsidRPr="00FF756A" w:rsidRDefault="00B86FB3" w:rsidP="00B86FB3">
            <w:pPr>
              <w:jc w:val="right"/>
              <w:rPr>
                <w:rFonts w:eastAsia="Times New Roman"/>
                <w:color w:val="000000"/>
                <w:sz w:val="18"/>
                <w:szCs w:val="18"/>
              </w:rPr>
            </w:pPr>
            <w:r w:rsidRPr="00FF756A">
              <w:rPr>
                <w:sz w:val="18"/>
                <w:szCs w:val="18"/>
              </w:rPr>
              <w:t xml:space="preserve"> 1,2 </w:t>
            </w:r>
          </w:p>
        </w:tc>
        <w:tc>
          <w:tcPr>
            <w:tcW w:w="866" w:type="dxa"/>
            <w:tcBorders>
              <w:top w:val="nil"/>
              <w:left w:val="nil"/>
              <w:bottom w:val="single" w:sz="8" w:space="0" w:color="FFFFFF"/>
              <w:right w:val="single" w:sz="8" w:space="0" w:color="FFFFFF"/>
            </w:tcBorders>
            <w:shd w:val="clear" w:color="000000" w:fill="B8CCE4"/>
            <w:noWrap/>
            <w:hideMark/>
          </w:tcPr>
          <w:p w14:paraId="55C9DC75" w14:textId="77777777" w:rsidR="00B86FB3" w:rsidRPr="00FF756A" w:rsidRDefault="00B86FB3" w:rsidP="00B86FB3">
            <w:pPr>
              <w:jc w:val="right"/>
              <w:rPr>
                <w:rFonts w:eastAsia="Times New Roman"/>
                <w:color w:val="000000"/>
                <w:sz w:val="18"/>
                <w:szCs w:val="18"/>
              </w:rPr>
            </w:pPr>
            <w:r w:rsidRPr="00FF756A">
              <w:rPr>
                <w:sz w:val="18"/>
                <w:szCs w:val="18"/>
              </w:rPr>
              <w:t xml:space="preserve"> 0,7 </w:t>
            </w:r>
          </w:p>
        </w:tc>
        <w:tc>
          <w:tcPr>
            <w:tcW w:w="866" w:type="dxa"/>
            <w:tcBorders>
              <w:top w:val="nil"/>
              <w:left w:val="nil"/>
              <w:bottom w:val="single" w:sz="8" w:space="0" w:color="FFFFFF"/>
              <w:right w:val="single" w:sz="8" w:space="0" w:color="FFFFFF"/>
            </w:tcBorders>
            <w:shd w:val="clear" w:color="000000" w:fill="B8CCE4"/>
            <w:noWrap/>
            <w:hideMark/>
          </w:tcPr>
          <w:p w14:paraId="3C1B5623" w14:textId="77777777" w:rsidR="00B86FB3" w:rsidRPr="00FF756A" w:rsidRDefault="00B86FB3" w:rsidP="00B86FB3">
            <w:pPr>
              <w:jc w:val="right"/>
              <w:rPr>
                <w:rFonts w:eastAsia="Times New Roman"/>
                <w:color w:val="000000"/>
                <w:sz w:val="18"/>
                <w:szCs w:val="18"/>
              </w:rPr>
            </w:pPr>
            <w:r w:rsidRPr="00FF756A">
              <w:rPr>
                <w:sz w:val="18"/>
                <w:szCs w:val="18"/>
              </w:rPr>
              <w:t xml:space="preserve"> 0,7 </w:t>
            </w:r>
          </w:p>
        </w:tc>
        <w:tc>
          <w:tcPr>
            <w:tcW w:w="867" w:type="dxa"/>
            <w:tcBorders>
              <w:top w:val="nil"/>
              <w:left w:val="nil"/>
              <w:bottom w:val="single" w:sz="8" w:space="0" w:color="FFFFFF"/>
              <w:right w:val="single" w:sz="8" w:space="0" w:color="FFFFFF"/>
            </w:tcBorders>
            <w:shd w:val="clear" w:color="000000" w:fill="B8CCE4"/>
            <w:noWrap/>
            <w:hideMark/>
          </w:tcPr>
          <w:p w14:paraId="7FC44A30" w14:textId="77777777" w:rsidR="00B86FB3" w:rsidRPr="00FF756A" w:rsidRDefault="00B86FB3" w:rsidP="00B86FB3">
            <w:pPr>
              <w:jc w:val="right"/>
              <w:rPr>
                <w:rFonts w:eastAsia="Times New Roman"/>
                <w:color w:val="000000"/>
                <w:sz w:val="18"/>
                <w:szCs w:val="18"/>
              </w:rPr>
            </w:pPr>
            <w:r w:rsidRPr="00FF756A">
              <w:rPr>
                <w:sz w:val="18"/>
                <w:szCs w:val="18"/>
              </w:rPr>
              <w:t xml:space="preserve"> 0,7 </w:t>
            </w:r>
          </w:p>
        </w:tc>
        <w:tc>
          <w:tcPr>
            <w:tcW w:w="866" w:type="dxa"/>
            <w:tcBorders>
              <w:top w:val="nil"/>
              <w:left w:val="nil"/>
              <w:bottom w:val="single" w:sz="8" w:space="0" w:color="FFFFFF"/>
              <w:right w:val="single" w:sz="8" w:space="0" w:color="FFFFFF"/>
            </w:tcBorders>
            <w:shd w:val="clear" w:color="000000" w:fill="B8CCE4"/>
            <w:noWrap/>
            <w:hideMark/>
          </w:tcPr>
          <w:p w14:paraId="285F0C99" w14:textId="77777777" w:rsidR="00B86FB3" w:rsidRPr="00FF756A" w:rsidRDefault="00B86FB3" w:rsidP="00B86FB3">
            <w:pPr>
              <w:jc w:val="right"/>
              <w:rPr>
                <w:rFonts w:eastAsia="Times New Roman"/>
                <w:color w:val="000000"/>
                <w:sz w:val="18"/>
                <w:szCs w:val="18"/>
              </w:rPr>
            </w:pPr>
            <w:r w:rsidRPr="00FF756A">
              <w:rPr>
                <w:sz w:val="18"/>
                <w:szCs w:val="18"/>
              </w:rPr>
              <w:t xml:space="preserve"> 0,8 </w:t>
            </w:r>
          </w:p>
        </w:tc>
        <w:tc>
          <w:tcPr>
            <w:tcW w:w="866" w:type="dxa"/>
            <w:tcBorders>
              <w:top w:val="nil"/>
              <w:left w:val="nil"/>
              <w:bottom w:val="single" w:sz="8" w:space="0" w:color="FFFFFF"/>
              <w:right w:val="single" w:sz="8" w:space="0" w:color="FFFFFF"/>
            </w:tcBorders>
            <w:shd w:val="clear" w:color="auto" w:fill="4472C4" w:themeFill="accent1"/>
            <w:noWrap/>
            <w:hideMark/>
          </w:tcPr>
          <w:p w14:paraId="6173187B"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1,0 </w:t>
            </w:r>
          </w:p>
        </w:tc>
        <w:tc>
          <w:tcPr>
            <w:tcW w:w="866" w:type="dxa"/>
            <w:tcBorders>
              <w:top w:val="nil"/>
              <w:left w:val="nil"/>
              <w:bottom w:val="single" w:sz="8" w:space="0" w:color="FFFFFF"/>
              <w:right w:val="single" w:sz="8" w:space="0" w:color="FFFFFF"/>
            </w:tcBorders>
            <w:shd w:val="clear" w:color="000000" w:fill="B8CCE4"/>
            <w:noWrap/>
          </w:tcPr>
          <w:p w14:paraId="177F0ACA" w14:textId="77777777" w:rsidR="00B86FB3" w:rsidRPr="00FF756A" w:rsidRDefault="00B86FB3" w:rsidP="00B86FB3">
            <w:pPr>
              <w:jc w:val="right"/>
              <w:rPr>
                <w:rFonts w:eastAsia="Times New Roman"/>
                <w:color w:val="000000"/>
                <w:sz w:val="18"/>
                <w:szCs w:val="18"/>
              </w:rPr>
            </w:pPr>
            <w:r w:rsidRPr="00FF756A">
              <w:rPr>
                <w:sz w:val="18"/>
                <w:szCs w:val="18"/>
              </w:rPr>
              <w:t xml:space="preserve"> 1,5 </w:t>
            </w:r>
          </w:p>
        </w:tc>
        <w:tc>
          <w:tcPr>
            <w:tcW w:w="867" w:type="dxa"/>
            <w:tcBorders>
              <w:top w:val="nil"/>
              <w:left w:val="nil"/>
              <w:bottom w:val="single" w:sz="8" w:space="0" w:color="FFFFFF"/>
              <w:right w:val="single" w:sz="8" w:space="0" w:color="FFFFFF"/>
            </w:tcBorders>
            <w:shd w:val="clear" w:color="000000" w:fill="B8CCE4"/>
            <w:noWrap/>
            <w:hideMark/>
          </w:tcPr>
          <w:p w14:paraId="7FCDB4A1" w14:textId="77777777" w:rsidR="00B86FB3" w:rsidRPr="00FF756A" w:rsidRDefault="00B86FB3" w:rsidP="00B86FB3">
            <w:pPr>
              <w:jc w:val="right"/>
              <w:rPr>
                <w:rFonts w:eastAsia="Times New Roman"/>
                <w:color w:val="000000"/>
                <w:sz w:val="18"/>
                <w:szCs w:val="18"/>
              </w:rPr>
            </w:pPr>
            <w:r w:rsidRPr="00FF756A">
              <w:rPr>
                <w:sz w:val="18"/>
                <w:szCs w:val="18"/>
              </w:rPr>
              <w:t xml:space="preserve"> 2,3 </w:t>
            </w:r>
          </w:p>
        </w:tc>
      </w:tr>
      <w:tr w:rsidR="00B86FB3" w:rsidRPr="00FF756A" w14:paraId="5D8D0115"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7E59DA25" w14:textId="77777777" w:rsidR="00B86FB3" w:rsidRPr="00FF756A" w:rsidRDefault="00B86FB3" w:rsidP="00B86FB3">
            <w:pPr>
              <w:rPr>
                <w:rFonts w:eastAsia="Times New Roman"/>
                <w:color w:val="FFFFFF"/>
                <w:sz w:val="18"/>
                <w:szCs w:val="18"/>
              </w:rPr>
            </w:pPr>
            <w:r w:rsidRPr="00FF756A">
              <w:rPr>
                <w:color w:val="FFFFFF"/>
                <w:sz w:val="18"/>
                <w:szCs w:val="18"/>
              </w:rPr>
              <w:t>Me mjete lundruese</w:t>
            </w:r>
          </w:p>
        </w:tc>
        <w:tc>
          <w:tcPr>
            <w:tcW w:w="866" w:type="dxa"/>
            <w:tcBorders>
              <w:top w:val="nil"/>
              <w:left w:val="nil"/>
              <w:bottom w:val="single" w:sz="8" w:space="0" w:color="FFFFFF"/>
              <w:right w:val="single" w:sz="8" w:space="0" w:color="FFFFFF"/>
            </w:tcBorders>
            <w:shd w:val="clear" w:color="000000" w:fill="DBE5F1"/>
            <w:noWrap/>
            <w:hideMark/>
          </w:tcPr>
          <w:p w14:paraId="5812A764" w14:textId="77777777" w:rsidR="00B86FB3" w:rsidRPr="00FF756A" w:rsidRDefault="00B86FB3" w:rsidP="00B86FB3">
            <w:pPr>
              <w:jc w:val="right"/>
              <w:rPr>
                <w:rFonts w:eastAsia="Times New Roman"/>
                <w:color w:val="000000"/>
                <w:sz w:val="18"/>
                <w:szCs w:val="18"/>
              </w:rPr>
            </w:pPr>
            <w:r w:rsidRPr="00FF756A">
              <w:rPr>
                <w:sz w:val="18"/>
                <w:szCs w:val="18"/>
              </w:rPr>
              <w:t xml:space="preserve"> 16,7 </w:t>
            </w:r>
          </w:p>
        </w:tc>
        <w:tc>
          <w:tcPr>
            <w:tcW w:w="866" w:type="dxa"/>
            <w:tcBorders>
              <w:top w:val="nil"/>
              <w:left w:val="nil"/>
              <w:bottom w:val="single" w:sz="8" w:space="0" w:color="FFFFFF"/>
              <w:right w:val="single" w:sz="8" w:space="0" w:color="FFFFFF"/>
            </w:tcBorders>
            <w:shd w:val="clear" w:color="000000" w:fill="DBE5F1"/>
            <w:noWrap/>
            <w:hideMark/>
          </w:tcPr>
          <w:p w14:paraId="5EAC7B2C" w14:textId="77777777" w:rsidR="00B86FB3" w:rsidRPr="00FF756A" w:rsidRDefault="00B86FB3" w:rsidP="00B86FB3">
            <w:pPr>
              <w:jc w:val="right"/>
              <w:rPr>
                <w:rFonts w:eastAsia="Times New Roman"/>
                <w:color w:val="000000"/>
                <w:sz w:val="18"/>
                <w:szCs w:val="18"/>
              </w:rPr>
            </w:pPr>
            <w:r w:rsidRPr="00FF756A">
              <w:rPr>
                <w:sz w:val="18"/>
                <w:szCs w:val="18"/>
              </w:rPr>
              <w:t xml:space="preserve"> 16,7 </w:t>
            </w:r>
          </w:p>
        </w:tc>
        <w:tc>
          <w:tcPr>
            <w:tcW w:w="866" w:type="dxa"/>
            <w:tcBorders>
              <w:top w:val="nil"/>
              <w:left w:val="nil"/>
              <w:bottom w:val="single" w:sz="8" w:space="0" w:color="FFFFFF"/>
              <w:right w:val="single" w:sz="8" w:space="0" w:color="FFFFFF"/>
            </w:tcBorders>
            <w:shd w:val="clear" w:color="000000" w:fill="DBE5F1"/>
            <w:noWrap/>
            <w:hideMark/>
          </w:tcPr>
          <w:p w14:paraId="19FE2AA4" w14:textId="77777777" w:rsidR="00B86FB3" w:rsidRPr="00FF756A" w:rsidRDefault="00B86FB3" w:rsidP="00B86FB3">
            <w:pPr>
              <w:jc w:val="right"/>
              <w:rPr>
                <w:rFonts w:eastAsia="Times New Roman"/>
                <w:color w:val="000000"/>
                <w:sz w:val="18"/>
                <w:szCs w:val="18"/>
              </w:rPr>
            </w:pPr>
            <w:r w:rsidRPr="00FF756A">
              <w:rPr>
                <w:sz w:val="18"/>
                <w:szCs w:val="18"/>
              </w:rPr>
              <w:t xml:space="preserve"> 16,7 </w:t>
            </w:r>
          </w:p>
        </w:tc>
        <w:tc>
          <w:tcPr>
            <w:tcW w:w="867" w:type="dxa"/>
            <w:tcBorders>
              <w:top w:val="nil"/>
              <w:left w:val="nil"/>
              <w:bottom w:val="single" w:sz="8" w:space="0" w:color="FFFFFF"/>
              <w:right w:val="single" w:sz="8" w:space="0" w:color="FFFFFF"/>
            </w:tcBorders>
            <w:shd w:val="clear" w:color="000000" w:fill="DBE5F1"/>
            <w:noWrap/>
            <w:hideMark/>
          </w:tcPr>
          <w:p w14:paraId="46B69F62" w14:textId="77777777" w:rsidR="00B86FB3" w:rsidRPr="00FF756A" w:rsidRDefault="00B86FB3" w:rsidP="00B86FB3">
            <w:pPr>
              <w:jc w:val="right"/>
              <w:rPr>
                <w:rFonts w:eastAsia="Times New Roman"/>
                <w:color w:val="000000"/>
                <w:sz w:val="18"/>
                <w:szCs w:val="18"/>
              </w:rPr>
            </w:pPr>
            <w:r w:rsidRPr="00FF756A">
              <w:rPr>
                <w:sz w:val="18"/>
                <w:szCs w:val="18"/>
              </w:rPr>
              <w:t xml:space="preserve"> 17,5 </w:t>
            </w:r>
          </w:p>
        </w:tc>
        <w:tc>
          <w:tcPr>
            <w:tcW w:w="866" w:type="dxa"/>
            <w:tcBorders>
              <w:top w:val="nil"/>
              <w:left w:val="nil"/>
              <w:bottom w:val="single" w:sz="8" w:space="0" w:color="FFFFFF"/>
              <w:right w:val="single" w:sz="8" w:space="0" w:color="FFFFFF"/>
            </w:tcBorders>
            <w:shd w:val="clear" w:color="000000" w:fill="DBE5F1"/>
            <w:noWrap/>
            <w:hideMark/>
          </w:tcPr>
          <w:p w14:paraId="670D4937" w14:textId="77777777" w:rsidR="00B86FB3" w:rsidRPr="00FF756A" w:rsidRDefault="00B86FB3" w:rsidP="00B86FB3">
            <w:pPr>
              <w:jc w:val="right"/>
              <w:rPr>
                <w:rFonts w:eastAsia="Times New Roman"/>
                <w:color w:val="000000"/>
                <w:sz w:val="18"/>
                <w:szCs w:val="18"/>
              </w:rPr>
            </w:pPr>
            <w:r w:rsidRPr="00FF756A">
              <w:rPr>
                <w:sz w:val="18"/>
                <w:szCs w:val="18"/>
              </w:rPr>
              <w:t xml:space="preserve"> 19,2 </w:t>
            </w:r>
          </w:p>
        </w:tc>
        <w:tc>
          <w:tcPr>
            <w:tcW w:w="866" w:type="dxa"/>
            <w:tcBorders>
              <w:top w:val="nil"/>
              <w:left w:val="nil"/>
              <w:bottom w:val="single" w:sz="8" w:space="0" w:color="FFFFFF"/>
              <w:right w:val="single" w:sz="8" w:space="0" w:color="FFFFFF"/>
            </w:tcBorders>
            <w:shd w:val="clear" w:color="auto" w:fill="4472C4" w:themeFill="accent1"/>
            <w:noWrap/>
            <w:hideMark/>
          </w:tcPr>
          <w:p w14:paraId="03BEC24A"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24,4 </w:t>
            </w:r>
          </w:p>
        </w:tc>
        <w:tc>
          <w:tcPr>
            <w:tcW w:w="866" w:type="dxa"/>
            <w:tcBorders>
              <w:top w:val="nil"/>
              <w:left w:val="nil"/>
              <w:bottom w:val="single" w:sz="8" w:space="0" w:color="FFFFFF"/>
              <w:right w:val="single" w:sz="8" w:space="0" w:color="FFFFFF"/>
            </w:tcBorders>
            <w:shd w:val="clear" w:color="000000" w:fill="DBE5F1"/>
            <w:noWrap/>
          </w:tcPr>
          <w:p w14:paraId="4830354C" w14:textId="77777777" w:rsidR="00B86FB3" w:rsidRPr="00FF756A" w:rsidRDefault="00B86FB3" w:rsidP="00B86FB3">
            <w:pPr>
              <w:jc w:val="right"/>
              <w:rPr>
                <w:rFonts w:eastAsia="Times New Roman"/>
                <w:color w:val="000000"/>
                <w:sz w:val="18"/>
                <w:szCs w:val="18"/>
              </w:rPr>
            </w:pPr>
            <w:r w:rsidRPr="00FF756A">
              <w:rPr>
                <w:sz w:val="18"/>
                <w:szCs w:val="18"/>
              </w:rPr>
              <w:t xml:space="preserve"> 39,2 </w:t>
            </w:r>
          </w:p>
        </w:tc>
        <w:tc>
          <w:tcPr>
            <w:tcW w:w="867" w:type="dxa"/>
            <w:tcBorders>
              <w:top w:val="nil"/>
              <w:left w:val="nil"/>
              <w:bottom w:val="single" w:sz="8" w:space="0" w:color="FFFFFF"/>
              <w:right w:val="single" w:sz="8" w:space="0" w:color="FFFFFF"/>
            </w:tcBorders>
            <w:shd w:val="clear" w:color="000000" w:fill="DBE5F1"/>
            <w:noWrap/>
            <w:hideMark/>
          </w:tcPr>
          <w:p w14:paraId="7C798916" w14:textId="77777777" w:rsidR="00B86FB3" w:rsidRPr="00FF756A" w:rsidRDefault="00B86FB3" w:rsidP="00B86FB3">
            <w:pPr>
              <w:jc w:val="right"/>
              <w:rPr>
                <w:rFonts w:eastAsia="Times New Roman"/>
                <w:color w:val="000000"/>
                <w:sz w:val="18"/>
                <w:szCs w:val="18"/>
              </w:rPr>
            </w:pPr>
            <w:r w:rsidRPr="00FF756A">
              <w:rPr>
                <w:sz w:val="18"/>
                <w:szCs w:val="18"/>
              </w:rPr>
              <w:t xml:space="preserve"> 62,9 </w:t>
            </w:r>
          </w:p>
        </w:tc>
      </w:tr>
      <w:tr w:rsidR="00B86FB3" w:rsidRPr="00FF756A" w14:paraId="2A620E07"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056F78A5" w14:textId="77777777" w:rsidR="00B86FB3" w:rsidRPr="00FF756A" w:rsidRDefault="00B86FB3" w:rsidP="00B86FB3">
            <w:pPr>
              <w:rPr>
                <w:rFonts w:eastAsia="Times New Roman"/>
                <w:color w:val="FFFFFF"/>
                <w:sz w:val="18"/>
                <w:szCs w:val="18"/>
              </w:rPr>
            </w:pPr>
            <w:r w:rsidRPr="00FF756A">
              <w:rPr>
                <w:color w:val="FFFFFF"/>
                <w:sz w:val="18"/>
                <w:szCs w:val="18"/>
              </w:rPr>
              <w:t>Me kamion</w:t>
            </w:r>
          </w:p>
        </w:tc>
        <w:tc>
          <w:tcPr>
            <w:tcW w:w="866" w:type="dxa"/>
            <w:tcBorders>
              <w:top w:val="nil"/>
              <w:left w:val="nil"/>
              <w:bottom w:val="single" w:sz="8" w:space="0" w:color="FFFFFF"/>
              <w:right w:val="single" w:sz="8" w:space="0" w:color="FFFFFF"/>
            </w:tcBorders>
            <w:shd w:val="clear" w:color="000000" w:fill="B8CCE4"/>
            <w:noWrap/>
            <w:hideMark/>
          </w:tcPr>
          <w:p w14:paraId="207408A4" w14:textId="77777777" w:rsidR="00B86FB3" w:rsidRPr="00FF756A" w:rsidRDefault="00B86FB3" w:rsidP="00B86FB3">
            <w:pPr>
              <w:jc w:val="right"/>
              <w:rPr>
                <w:rFonts w:eastAsia="Times New Roman"/>
                <w:color w:val="000000"/>
                <w:sz w:val="18"/>
                <w:szCs w:val="18"/>
              </w:rPr>
            </w:pPr>
            <w:r w:rsidRPr="00FF756A">
              <w:rPr>
                <w:sz w:val="18"/>
                <w:szCs w:val="18"/>
              </w:rPr>
              <w:t xml:space="preserve"> 149,6 </w:t>
            </w:r>
          </w:p>
        </w:tc>
        <w:tc>
          <w:tcPr>
            <w:tcW w:w="866" w:type="dxa"/>
            <w:tcBorders>
              <w:top w:val="nil"/>
              <w:left w:val="nil"/>
              <w:bottom w:val="single" w:sz="8" w:space="0" w:color="FFFFFF"/>
              <w:right w:val="single" w:sz="8" w:space="0" w:color="FFFFFF"/>
            </w:tcBorders>
            <w:shd w:val="clear" w:color="000000" w:fill="B8CCE4"/>
            <w:noWrap/>
            <w:hideMark/>
          </w:tcPr>
          <w:p w14:paraId="1E7C45FC" w14:textId="77777777" w:rsidR="00B86FB3" w:rsidRPr="00FF756A" w:rsidRDefault="00B86FB3" w:rsidP="00B86FB3">
            <w:pPr>
              <w:jc w:val="right"/>
              <w:rPr>
                <w:rFonts w:eastAsia="Times New Roman"/>
                <w:color w:val="000000"/>
                <w:sz w:val="18"/>
                <w:szCs w:val="18"/>
              </w:rPr>
            </w:pPr>
            <w:r w:rsidRPr="00FF756A">
              <w:rPr>
                <w:sz w:val="18"/>
                <w:szCs w:val="18"/>
              </w:rPr>
              <w:t xml:space="preserve"> 160,9 </w:t>
            </w:r>
          </w:p>
        </w:tc>
        <w:tc>
          <w:tcPr>
            <w:tcW w:w="866" w:type="dxa"/>
            <w:tcBorders>
              <w:top w:val="nil"/>
              <w:left w:val="nil"/>
              <w:bottom w:val="single" w:sz="8" w:space="0" w:color="FFFFFF"/>
              <w:right w:val="single" w:sz="8" w:space="0" w:color="FFFFFF"/>
            </w:tcBorders>
            <w:shd w:val="clear" w:color="000000" w:fill="B8CCE4"/>
            <w:noWrap/>
            <w:hideMark/>
          </w:tcPr>
          <w:p w14:paraId="20959630" w14:textId="77777777" w:rsidR="00B86FB3" w:rsidRPr="00FF756A" w:rsidRDefault="00B86FB3" w:rsidP="00B86FB3">
            <w:pPr>
              <w:jc w:val="right"/>
              <w:rPr>
                <w:rFonts w:eastAsia="Times New Roman"/>
                <w:color w:val="000000"/>
                <w:sz w:val="18"/>
                <w:szCs w:val="18"/>
              </w:rPr>
            </w:pPr>
            <w:r w:rsidRPr="00FF756A">
              <w:rPr>
                <w:sz w:val="18"/>
                <w:szCs w:val="18"/>
              </w:rPr>
              <w:t xml:space="preserve"> 160,9 </w:t>
            </w:r>
          </w:p>
        </w:tc>
        <w:tc>
          <w:tcPr>
            <w:tcW w:w="867" w:type="dxa"/>
            <w:tcBorders>
              <w:top w:val="nil"/>
              <w:left w:val="nil"/>
              <w:bottom w:val="single" w:sz="8" w:space="0" w:color="FFFFFF"/>
              <w:right w:val="single" w:sz="8" w:space="0" w:color="FFFFFF"/>
            </w:tcBorders>
            <w:shd w:val="clear" w:color="000000" w:fill="B8CCE4"/>
            <w:noWrap/>
            <w:hideMark/>
          </w:tcPr>
          <w:p w14:paraId="25AF6769" w14:textId="77777777" w:rsidR="00B86FB3" w:rsidRPr="00FF756A" w:rsidRDefault="00B86FB3" w:rsidP="00B86FB3">
            <w:pPr>
              <w:jc w:val="right"/>
              <w:rPr>
                <w:rFonts w:eastAsia="Times New Roman"/>
                <w:color w:val="000000"/>
                <w:sz w:val="18"/>
                <w:szCs w:val="18"/>
              </w:rPr>
            </w:pPr>
            <w:r w:rsidRPr="00FF756A">
              <w:rPr>
                <w:sz w:val="18"/>
                <w:szCs w:val="18"/>
              </w:rPr>
              <w:t xml:space="preserve"> 163,4 </w:t>
            </w:r>
          </w:p>
        </w:tc>
        <w:tc>
          <w:tcPr>
            <w:tcW w:w="866" w:type="dxa"/>
            <w:tcBorders>
              <w:top w:val="nil"/>
              <w:left w:val="nil"/>
              <w:bottom w:val="single" w:sz="8" w:space="0" w:color="FFFFFF"/>
              <w:right w:val="single" w:sz="8" w:space="0" w:color="FFFFFF"/>
            </w:tcBorders>
            <w:shd w:val="clear" w:color="000000" w:fill="B8CCE4"/>
            <w:noWrap/>
            <w:hideMark/>
          </w:tcPr>
          <w:p w14:paraId="551EF4EB" w14:textId="77777777" w:rsidR="00B86FB3" w:rsidRPr="00FF756A" w:rsidRDefault="00B86FB3" w:rsidP="00B86FB3">
            <w:pPr>
              <w:jc w:val="right"/>
              <w:rPr>
                <w:rFonts w:eastAsia="Times New Roman"/>
                <w:color w:val="000000"/>
                <w:sz w:val="18"/>
                <w:szCs w:val="18"/>
              </w:rPr>
            </w:pPr>
            <w:r w:rsidRPr="00FF756A">
              <w:rPr>
                <w:sz w:val="18"/>
                <w:szCs w:val="18"/>
              </w:rPr>
              <w:t xml:space="preserve"> 168,8 </w:t>
            </w:r>
          </w:p>
        </w:tc>
        <w:tc>
          <w:tcPr>
            <w:tcW w:w="866" w:type="dxa"/>
            <w:tcBorders>
              <w:top w:val="nil"/>
              <w:left w:val="nil"/>
              <w:bottom w:val="single" w:sz="8" w:space="0" w:color="FFFFFF"/>
              <w:right w:val="single" w:sz="8" w:space="0" w:color="FFFFFF"/>
            </w:tcBorders>
            <w:shd w:val="clear" w:color="auto" w:fill="4472C4" w:themeFill="accent1"/>
            <w:noWrap/>
            <w:hideMark/>
          </w:tcPr>
          <w:p w14:paraId="1FA6CA0B"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200,1 </w:t>
            </w:r>
          </w:p>
        </w:tc>
        <w:tc>
          <w:tcPr>
            <w:tcW w:w="866" w:type="dxa"/>
            <w:tcBorders>
              <w:top w:val="nil"/>
              <w:left w:val="nil"/>
              <w:bottom w:val="single" w:sz="8" w:space="0" w:color="FFFFFF"/>
              <w:right w:val="single" w:sz="8" w:space="0" w:color="FFFFFF"/>
            </w:tcBorders>
            <w:shd w:val="clear" w:color="000000" w:fill="B8CCE4"/>
            <w:noWrap/>
          </w:tcPr>
          <w:p w14:paraId="5CA1C656" w14:textId="77777777" w:rsidR="00B86FB3" w:rsidRPr="00FF756A" w:rsidRDefault="00B86FB3" w:rsidP="00B86FB3">
            <w:pPr>
              <w:jc w:val="right"/>
              <w:rPr>
                <w:rFonts w:eastAsia="Times New Roman"/>
                <w:color w:val="000000"/>
                <w:sz w:val="18"/>
                <w:szCs w:val="18"/>
              </w:rPr>
            </w:pPr>
            <w:r w:rsidRPr="00FF756A">
              <w:rPr>
                <w:sz w:val="18"/>
                <w:szCs w:val="18"/>
              </w:rPr>
              <w:t xml:space="preserve"> 234,7 </w:t>
            </w:r>
          </w:p>
        </w:tc>
        <w:tc>
          <w:tcPr>
            <w:tcW w:w="867" w:type="dxa"/>
            <w:tcBorders>
              <w:top w:val="nil"/>
              <w:left w:val="nil"/>
              <w:bottom w:val="single" w:sz="8" w:space="0" w:color="FFFFFF"/>
              <w:right w:val="single" w:sz="8" w:space="0" w:color="FFFFFF"/>
            </w:tcBorders>
            <w:shd w:val="clear" w:color="000000" w:fill="B8CCE4"/>
            <w:noWrap/>
            <w:hideMark/>
          </w:tcPr>
          <w:p w14:paraId="4542AFE0" w14:textId="77777777" w:rsidR="00B86FB3" w:rsidRPr="00FF756A" w:rsidRDefault="00B86FB3" w:rsidP="00B86FB3">
            <w:pPr>
              <w:jc w:val="right"/>
              <w:rPr>
                <w:rFonts w:eastAsia="Times New Roman"/>
                <w:color w:val="000000"/>
                <w:sz w:val="18"/>
                <w:szCs w:val="18"/>
              </w:rPr>
            </w:pPr>
            <w:r w:rsidRPr="00FF756A">
              <w:rPr>
                <w:sz w:val="18"/>
                <w:szCs w:val="18"/>
              </w:rPr>
              <w:t xml:space="preserve"> 210,2 </w:t>
            </w:r>
          </w:p>
        </w:tc>
      </w:tr>
      <w:tr w:rsidR="00B86FB3" w:rsidRPr="00FF756A" w14:paraId="541D20B1"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0EC0DA5E" w14:textId="77777777" w:rsidR="00B86FB3" w:rsidRPr="00FF756A" w:rsidRDefault="00B86FB3" w:rsidP="00B86FB3">
            <w:pPr>
              <w:rPr>
                <w:rFonts w:eastAsia="Times New Roman"/>
                <w:color w:val="FFFFFF"/>
                <w:sz w:val="18"/>
                <w:szCs w:val="18"/>
              </w:rPr>
            </w:pPr>
            <w:r w:rsidRPr="00FF756A">
              <w:rPr>
                <w:color w:val="FFFFFF"/>
                <w:sz w:val="18"/>
                <w:szCs w:val="18"/>
              </w:rPr>
              <w:t>Totali</w:t>
            </w:r>
          </w:p>
        </w:tc>
        <w:tc>
          <w:tcPr>
            <w:tcW w:w="866" w:type="dxa"/>
            <w:tcBorders>
              <w:top w:val="nil"/>
              <w:left w:val="nil"/>
              <w:bottom w:val="single" w:sz="8" w:space="0" w:color="FFFFFF"/>
              <w:right w:val="single" w:sz="8" w:space="0" w:color="FFFFFF"/>
            </w:tcBorders>
            <w:shd w:val="clear" w:color="000000" w:fill="4F81BD"/>
            <w:noWrap/>
            <w:hideMark/>
          </w:tcPr>
          <w:p w14:paraId="178607FD"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167,4 </w:t>
            </w:r>
          </w:p>
        </w:tc>
        <w:tc>
          <w:tcPr>
            <w:tcW w:w="866" w:type="dxa"/>
            <w:tcBorders>
              <w:top w:val="nil"/>
              <w:left w:val="nil"/>
              <w:bottom w:val="single" w:sz="8" w:space="0" w:color="FFFFFF"/>
              <w:right w:val="single" w:sz="8" w:space="0" w:color="FFFFFF"/>
            </w:tcBorders>
            <w:shd w:val="clear" w:color="000000" w:fill="4F81BD"/>
            <w:noWrap/>
            <w:hideMark/>
          </w:tcPr>
          <w:p w14:paraId="0BED4576"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178,3 </w:t>
            </w:r>
          </w:p>
        </w:tc>
        <w:tc>
          <w:tcPr>
            <w:tcW w:w="866" w:type="dxa"/>
            <w:tcBorders>
              <w:top w:val="nil"/>
              <w:left w:val="nil"/>
              <w:bottom w:val="single" w:sz="8" w:space="0" w:color="FFFFFF"/>
              <w:right w:val="single" w:sz="8" w:space="0" w:color="FFFFFF"/>
            </w:tcBorders>
            <w:shd w:val="clear" w:color="000000" w:fill="4F81BD"/>
            <w:noWrap/>
            <w:hideMark/>
          </w:tcPr>
          <w:p w14:paraId="288E7D76"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178,3 </w:t>
            </w:r>
          </w:p>
        </w:tc>
        <w:tc>
          <w:tcPr>
            <w:tcW w:w="867" w:type="dxa"/>
            <w:tcBorders>
              <w:top w:val="nil"/>
              <w:left w:val="nil"/>
              <w:bottom w:val="single" w:sz="8" w:space="0" w:color="FFFFFF"/>
              <w:right w:val="single" w:sz="8" w:space="0" w:color="FFFFFF"/>
            </w:tcBorders>
            <w:shd w:val="clear" w:color="000000" w:fill="4F81BD"/>
            <w:noWrap/>
            <w:hideMark/>
          </w:tcPr>
          <w:p w14:paraId="7D6FD72E"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181,6 </w:t>
            </w:r>
          </w:p>
        </w:tc>
        <w:tc>
          <w:tcPr>
            <w:tcW w:w="866" w:type="dxa"/>
            <w:tcBorders>
              <w:top w:val="nil"/>
              <w:left w:val="nil"/>
              <w:bottom w:val="single" w:sz="8" w:space="0" w:color="FFFFFF"/>
              <w:right w:val="single" w:sz="8" w:space="0" w:color="FFFFFF"/>
            </w:tcBorders>
            <w:shd w:val="clear" w:color="000000" w:fill="4F81BD"/>
            <w:noWrap/>
            <w:hideMark/>
          </w:tcPr>
          <w:p w14:paraId="469EEC35"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188,9 </w:t>
            </w:r>
          </w:p>
        </w:tc>
        <w:tc>
          <w:tcPr>
            <w:tcW w:w="866" w:type="dxa"/>
            <w:tcBorders>
              <w:top w:val="nil"/>
              <w:left w:val="nil"/>
              <w:bottom w:val="single" w:sz="8" w:space="0" w:color="FFFFFF"/>
              <w:right w:val="single" w:sz="8" w:space="0" w:color="FFFFFF"/>
            </w:tcBorders>
            <w:shd w:val="clear" w:color="auto" w:fill="4472C4" w:themeFill="accent1"/>
            <w:noWrap/>
            <w:hideMark/>
          </w:tcPr>
          <w:p w14:paraId="59D887B1"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225,5 </w:t>
            </w:r>
          </w:p>
        </w:tc>
        <w:tc>
          <w:tcPr>
            <w:tcW w:w="866" w:type="dxa"/>
            <w:tcBorders>
              <w:top w:val="nil"/>
              <w:left w:val="nil"/>
              <w:bottom w:val="single" w:sz="8" w:space="0" w:color="FFFFFF"/>
              <w:right w:val="single" w:sz="8" w:space="0" w:color="FFFFFF"/>
            </w:tcBorders>
            <w:shd w:val="clear" w:color="000000" w:fill="4F81BD"/>
            <w:noWrap/>
          </w:tcPr>
          <w:p w14:paraId="62DA745B"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275,4 </w:t>
            </w:r>
          </w:p>
        </w:tc>
        <w:tc>
          <w:tcPr>
            <w:tcW w:w="867" w:type="dxa"/>
            <w:tcBorders>
              <w:top w:val="nil"/>
              <w:left w:val="nil"/>
              <w:bottom w:val="single" w:sz="8" w:space="0" w:color="FFFFFF"/>
              <w:right w:val="single" w:sz="8" w:space="0" w:color="FFFFFF"/>
            </w:tcBorders>
            <w:shd w:val="clear" w:color="000000" w:fill="4F81BD"/>
            <w:noWrap/>
            <w:hideMark/>
          </w:tcPr>
          <w:p w14:paraId="71AEA5D7"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275,4 </w:t>
            </w:r>
          </w:p>
        </w:tc>
      </w:tr>
      <w:tr w:rsidR="00B86FB3" w:rsidRPr="00FF756A" w14:paraId="3B88BD7A" w14:textId="77777777" w:rsidTr="006A3266">
        <w:trPr>
          <w:trHeight w:val="291"/>
        </w:trPr>
        <w:tc>
          <w:tcPr>
            <w:tcW w:w="9080" w:type="dxa"/>
            <w:gridSpan w:val="9"/>
            <w:tcBorders>
              <w:top w:val="single" w:sz="8" w:space="0" w:color="FFFFFF"/>
              <w:left w:val="single" w:sz="8" w:space="0" w:color="FFFFFF"/>
              <w:bottom w:val="single" w:sz="8" w:space="0" w:color="FFFFFF"/>
              <w:right w:val="single" w:sz="8" w:space="0" w:color="FFFFFF"/>
            </w:tcBorders>
            <w:shd w:val="clear" w:color="auto" w:fill="4472C4" w:themeFill="accent1"/>
            <w:noWrap/>
            <w:vAlign w:val="center"/>
            <w:hideMark/>
          </w:tcPr>
          <w:p w14:paraId="7C7BFC3D" w14:textId="77777777" w:rsidR="00B86FB3" w:rsidRPr="00FF756A" w:rsidRDefault="00B86FB3" w:rsidP="00B86FB3">
            <w:pPr>
              <w:rPr>
                <w:rFonts w:eastAsia="Times New Roman"/>
                <w:color w:val="FFFFFF" w:themeColor="background1"/>
                <w:sz w:val="18"/>
                <w:szCs w:val="18"/>
              </w:rPr>
            </w:pPr>
            <w:r w:rsidRPr="00FF756A">
              <w:rPr>
                <w:color w:val="FFFFFF" w:themeColor="background1"/>
                <w:sz w:val="18"/>
                <w:szCs w:val="18"/>
              </w:rPr>
              <w:t>Sektorët joenergjetikë</w:t>
            </w:r>
          </w:p>
        </w:tc>
      </w:tr>
      <w:tr w:rsidR="00B86FB3" w:rsidRPr="00FF756A" w14:paraId="3B6BC2E6"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07D9BAFB" w14:textId="77777777" w:rsidR="00B86FB3" w:rsidRPr="00FF756A" w:rsidRDefault="00B86FB3" w:rsidP="00B86FB3">
            <w:pPr>
              <w:rPr>
                <w:rFonts w:eastAsia="Times New Roman"/>
                <w:color w:val="FFFFFF"/>
                <w:sz w:val="18"/>
                <w:szCs w:val="18"/>
              </w:rPr>
            </w:pPr>
            <w:r w:rsidRPr="00FF756A">
              <w:rPr>
                <w:color w:val="FFFFFF"/>
                <w:sz w:val="18"/>
                <w:szCs w:val="18"/>
              </w:rPr>
              <w:t>Sektori kimik</w:t>
            </w:r>
          </w:p>
        </w:tc>
        <w:tc>
          <w:tcPr>
            <w:tcW w:w="866" w:type="dxa"/>
            <w:tcBorders>
              <w:top w:val="nil"/>
              <w:left w:val="nil"/>
              <w:bottom w:val="single" w:sz="8" w:space="0" w:color="FFFFFF"/>
              <w:right w:val="single" w:sz="8" w:space="0" w:color="FFFFFF"/>
            </w:tcBorders>
            <w:shd w:val="clear" w:color="000000" w:fill="B8CCE4"/>
            <w:noWrap/>
            <w:hideMark/>
          </w:tcPr>
          <w:p w14:paraId="46E6D180" w14:textId="77777777" w:rsidR="00B86FB3" w:rsidRPr="00FF756A" w:rsidRDefault="00B86FB3" w:rsidP="00B86FB3">
            <w:pPr>
              <w:jc w:val="right"/>
              <w:rPr>
                <w:rFonts w:eastAsia="Times New Roman"/>
                <w:color w:val="000000"/>
                <w:sz w:val="18"/>
                <w:szCs w:val="18"/>
              </w:rPr>
            </w:pPr>
            <w:r w:rsidRPr="00FF756A">
              <w:rPr>
                <w:sz w:val="18"/>
                <w:szCs w:val="18"/>
              </w:rPr>
              <w:t xml:space="preserve"> 0,4 </w:t>
            </w:r>
          </w:p>
        </w:tc>
        <w:tc>
          <w:tcPr>
            <w:tcW w:w="866" w:type="dxa"/>
            <w:tcBorders>
              <w:top w:val="nil"/>
              <w:left w:val="nil"/>
              <w:bottom w:val="single" w:sz="8" w:space="0" w:color="FFFFFF"/>
              <w:right w:val="single" w:sz="8" w:space="0" w:color="FFFFFF"/>
            </w:tcBorders>
            <w:shd w:val="clear" w:color="000000" w:fill="B8CCE4"/>
            <w:noWrap/>
            <w:hideMark/>
          </w:tcPr>
          <w:p w14:paraId="1FFFFCAF" w14:textId="77777777" w:rsidR="00B86FB3" w:rsidRPr="00FF756A" w:rsidRDefault="00B86FB3" w:rsidP="00B86FB3">
            <w:pPr>
              <w:jc w:val="right"/>
              <w:rPr>
                <w:rFonts w:eastAsia="Times New Roman"/>
                <w:color w:val="000000"/>
                <w:sz w:val="18"/>
                <w:szCs w:val="18"/>
              </w:rPr>
            </w:pPr>
            <w:r w:rsidRPr="00FF756A">
              <w:rPr>
                <w:sz w:val="18"/>
                <w:szCs w:val="18"/>
              </w:rPr>
              <w:t xml:space="preserve"> 0,4 </w:t>
            </w:r>
          </w:p>
        </w:tc>
        <w:tc>
          <w:tcPr>
            <w:tcW w:w="866" w:type="dxa"/>
            <w:tcBorders>
              <w:top w:val="nil"/>
              <w:left w:val="nil"/>
              <w:bottom w:val="single" w:sz="8" w:space="0" w:color="FFFFFF"/>
              <w:right w:val="single" w:sz="8" w:space="0" w:color="FFFFFF"/>
            </w:tcBorders>
            <w:shd w:val="clear" w:color="000000" w:fill="B8CCE4"/>
            <w:noWrap/>
            <w:hideMark/>
          </w:tcPr>
          <w:p w14:paraId="3A8D8F9B" w14:textId="77777777" w:rsidR="00B86FB3" w:rsidRPr="00FF756A" w:rsidRDefault="00B86FB3" w:rsidP="00B86FB3">
            <w:pPr>
              <w:jc w:val="right"/>
              <w:rPr>
                <w:rFonts w:eastAsia="Times New Roman"/>
                <w:color w:val="000000"/>
                <w:sz w:val="18"/>
                <w:szCs w:val="18"/>
              </w:rPr>
            </w:pPr>
            <w:r w:rsidRPr="00FF756A">
              <w:rPr>
                <w:sz w:val="18"/>
                <w:szCs w:val="18"/>
              </w:rPr>
              <w:t xml:space="preserve"> 0,4 </w:t>
            </w:r>
          </w:p>
        </w:tc>
        <w:tc>
          <w:tcPr>
            <w:tcW w:w="867" w:type="dxa"/>
            <w:tcBorders>
              <w:top w:val="nil"/>
              <w:left w:val="nil"/>
              <w:bottom w:val="single" w:sz="8" w:space="0" w:color="FFFFFF"/>
              <w:right w:val="single" w:sz="8" w:space="0" w:color="FFFFFF"/>
            </w:tcBorders>
            <w:shd w:val="clear" w:color="000000" w:fill="B8CCE4"/>
            <w:noWrap/>
            <w:hideMark/>
          </w:tcPr>
          <w:p w14:paraId="63CAF277" w14:textId="77777777" w:rsidR="00B86FB3" w:rsidRPr="00FF756A" w:rsidRDefault="00B86FB3" w:rsidP="00B86FB3">
            <w:pPr>
              <w:jc w:val="right"/>
              <w:rPr>
                <w:rFonts w:eastAsia="Times New Roman"/>
                <w:color w:val="000000"/>
                <w:sz w:val="18"/>
                <w:szCs w:val="18"/>
              </w:rPr>
            </w:pPr>
            <w:r w:rsidRPr="00FF756A">
              <w:rPr>
                <w:sz w:val="18"/>
                <w:szCs w:val="18"/>
              </w:rPr>
              <w:t xml:space="preserve"> 0,4 </w:t>
            </w:r>
          </w:p>
        </w:tc>
        <w:tc>
          <w:tcPr>
            <w:tcW w:w="866" w:type="dxa"/>
            <w:tcBorders>
              <w:top w:val="nil"/>
              <w:left w:val="nil"/>
              <w:bottom w:val="single" w:sz="8" w:space="0" w:color="FFFFFF"/>
              <w:right w:val="single" w:sz="8" w:space="0" w:color="FFFFFF"/>
            </w:tcBorders>
            <w:shd w:val="clear" w:color="000000" w:fill="B8CCE4"/>
            <w:noWrap/>
            <w:hideMark/>
          </w:tcPr>
          <w:p w14:paraId="7BC4B22B" w14:textId="77777777" w:rsidR="00B86FB3" w:rsidRPr="00FF756A" w:rsidRDefault="00B86FB3" w:rsidP="00B86FB3">
            <w:pPr>
              <w:jc w:val="right"/>
              <w:rPr>
                <w:rFonts w:eastAsia="Times New Roman"/>
                <w:color w:val="000000"/>
                <w:sz w:val="18"/>
                <w:szCs w:val="18"/>
              </w:rPr>
            </w:pPr>
            <w:r w:rsidRPr="00FF756A">
              <w:rPr>
                <w:sz w:val="18"/>
                <w:szCs w:val="18"/>
              </w:rPr>
              <w:t xml:space="preserve"> 0,4 </w:t>
            </w:r>
          </w:p>
        </w:tc>
        <w:tc>
          <w:tcPr>
            <w:tcW w:w="866" w:type="dxa"/>
            <w:tcBorders>
              <w:top w:val="nil"/>
              <w:left w:val="nil"/>
              <w:bottom w:val="single" w:sz="8" w:space="0" w:color="FFFFFF"/>
              <w:right w:val="single" w:sz="8" w:space="0" w:color="FFFFFF"/>
            </w:tcBorders>
            <w:shd w:val="clear" w:color="auto" w:fill="4472C4" w:themeFill="accent1"/>
            <w:noWrap/>
            <w:hideMark/>
          </w:tcPr>
          <w:p w14:paraId="43F40DE3"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0,6 </w:t>
            </w:r>
          </w:p>
        </w:tc>
        <w:tc>
          <w:tcPr>
            <w:tcW w:w="866" w:type="dxa"/>
            <w:tcBorders>
              <w:top w:val="nil"/>
              <w:left w:val="nil"/>
              <w:bottom w:val="single" w:sz="8" w:space="0" w:color="FFFFFF"/>
              <w:right w:val="single" w:sz="8" w:space="0" w:color="FFFFFF"/>
            </w:tcBorders>
            <w:shd w:val="clear" w:color="000000" w:fill="B8CCE4"/>
            <w:noWrap/>
          </w:tcPr>
          <w:p w14:paraId="04C59775" w14:textId="77777777" w:rsidR="00B86FB3" w:rsidRPr="00FF756A" w:rsidRDefault="00B86FB3" w:rsidP="00B86FB3">
            <w:pPr>
              <w:jc w:val="right"/>
              <w:rPr>
                <w:rFonts w:eastAsia="Times New Roman"/>
                <w:color w:val="000000"/>
                <w:sz w:val="18"/>
                <w:szCs w:val="18"/>
              </w:rPr>
            </w:pPr>
            <w:r w:rsidRPr="00FF756A">
              <w:rPr>
                <w:sz w:val="18"/>
                <w:szCs w:val="18"/>
              </w:rPr>
              <w:t xml:space="preserve"> 0,9 </w:t>
            </w:r>
          </w:p>
        </w:tc>
        <w:tc>
          <w:tcPr>
            <w:tcW w:w="867" w:type="dxa"/>
            <w:tcBorders>
              <w:top w:val="nil"/>
              <w:left w:val="nil"/>
              <w:bottom w:val="single" w:sz="8" w:space="0" w:color="FFFFFF"/>
              <w:right w:val="single" w:sz="8" w:space="0" w:color="FFFFFF"/>
            </w:tcBorders>
            <w:shd w:val="clear" w:color="000000" w:fill="B8CCE4"/>
            <w:noWrap/>
            <w:hideMark/>
          </w:tcPr>
          <w:p w14:paraId="2B501CC0" w14:textId="77777777" w:rsidR="00B86FB3" w:rsidRPr="00FF756A" w:rsidRDefault="00B86FB3" w:rsidP="00B86FB3">
            <w:pPr>
              <w:jc w:val="right"/>
              <w:rPr>
                <w:rFonts w:eastAsia="Times New Roman"/>
                <w:color w:val="000000"/>
                <w:sz w:val="18"/>
                <w:szCs w:val="18"/>
              </w:rPr>
            </w:pPr>
            <w:r w:rsidRPr="00FF756A">
              <w:rPr>
                <w:sz w:val="18"/>
                <w:szCs w:val="18"/>
              </w:rPr>
              <w:t xml:space="preserve"> 1,4 </w:t>
            </w:r>
          </w:p>
        </w:tc>
      </w:tr>
      <w:tr w:rsidR="00B86FB3" w:rsidRPr="00FF756A" w14:paraId="20CA1C43"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3020C088" w14:textId="77777777" w:rsidR="00B86FB3" w:rsidRPr="00FF756A" w:rsidRDefault="00B86FB3" w:rsidP="00B86FB3">
            <w:pPr>
              <w:rPr>
                <w:rFonts w:eastAsia="Times New Roman"/>
                <w:color w:val="FFFFFF"/>
                <w:sz w:val="18"/>
                <w:szCs w:val="18"/>
              </w:rPr>
            </w:pPr>
            <w:r w:rsidRPr="00FF756A">
              <w:rPr>
                <w:color w:val="FFFFFF"/>
                <w:sz w:val="18"/>
                <w:szCs w:val="18"/>
              </w:rPr>
              <w:t>Tjetër</w:t>
            </w:r>
          </w:p>
        </w:tc>
        <w:tc>
          <w:tcPr>
            <w:tcW w:w="866" w:type="dxa"/>
            <w:tcBorders>
              <w:top w:val="nil"/>
              <w:left w:val="nil"/>
              <w:bottom w:val="single" w:sz="8" w:space="0" w:color="FFFFFF"/>
              <w:right w:val="single" w:sz="8" w:space="0" w:color="FFFFFF"/>
            </w:tcBorders>
            <w:shd w:val="clear" w:color="000000" w:fill="DBE5F1"/>
            <w:noWrap/>
            <w:hideMark/>
          </w:tcPr>
          <w:p w14:paraId="7386E61D" w14:textId="77777777" w:rsidR="00B86FB3" w:rsidRPr="00FF756A" w:rsidRDefault="00B86FB3" w:rsidP="00B86FB3">
            <w:pPr>
              <w:jc w:val="right"/>
              <w:rPr>
                <w:rFonts w:eastAsia="Times New Roman"/>
                <w:color w:val="000000"/>
                <w:sz w:val="18"/>
                <w:szCs w:val="18"/>
              </w:rPr>
            </w:pPr>
            <w:r w:rsidRPr="00FF756A">
              <w:rPr>
                <w:sz w:val="18"/>
                <w:szCs w:val="18"/>
              </w:rPr>
              <w:t xml:space="preserve"> 54,4 </w:t>
            </w:r>
          </w:p>
        </w:tc>
        <w:tc>
          <w:tcPr>
            <w:tcW w:w="866" w:type="dxa"/>
            <w:tcBorders>
              <w:top w:val="nil"/>
              <w:left w:val="nil"/>
              <w:bottom w:val="single" w:sz="8" w:space="0" w:color="FFFFFF"/>
              <w:right w:val="single" w:sz="8" w:space="0" w:color="FFFFFF"/>
            </w:tcBorders>
            <w:shd w:val="clear" w:color="000000" w:fill="DBE5F1"/>
            <w:noWrap/>
            <w:hideMark/>
          </w:tcPr>
          <w:p w14:paraId="1936D608" w14:textId="77777777" w:rsidR="00B86FB3" w:rsidRPr="00FF756A" w:rsidRDefault="00B86FB3" w:rsidP="00B86FB3">
            <w:pPr>
              <w:jc w:val="right"/>
              <w:rPr>
                <w:rFonts w:eastAsia="Times New Roman"/>
                <w:color w:val="000000"/>
                <w:sz w:val="18"/>
                <w:szCs w:val="18"/>
              </w:rPr>
            </w:pPr>
            <w:r w:rsidRPr="00FF756A">
              <w:rPr>
                <w:sz w:val="18"/>
                <w:szCs w:val="18"/>
              </w:rPr>
              <w:t xml:space="preserve"> 54,4 </w:t>
            </w:r>
          </w:p>
        </w:tc>
        <w:tc>
          <w:tcPr>
            <w:tcW w:w="866" w:type="dxa"/>
            <w:tcBorders>
              <w:top w:val="nil"/>
              <w:left w:val="nil"/>
              <w:bottom w:val="single" w:sz="8" w:space="0" w:color="FFFFFF"/>
              <w:right w:val="single" w:sz="8" w:space="0" w:color="FFFFFF"/>
            </w:tcBorders>
            <w:shd w:val="clear" w:color="000000" w:fill="DBE5F1"/>
            <w:noWrap/>
            <w:hideMark/>
          </w:tcPr>
          <w:p w14:paraId="67BDAF2B" w14:textId="77777777" w:rsidR="00B86FB3" w:rsidRPr="00FF756A" w:rsidRDefault="00B86FB3" w:rsidP="00B86FB3">
            <w:pPr>
              <w:jc w:val="right"/>
              <w:rPr>
                <w:rFonts w:eastAsia="Times New Roman"/>
                <w:color w:val="000000"/>
                <w:sz w:val="18"/>
                <w:szCs w:val="18"/>
              </w:rPr>
            </w:pPr>
            <w:r w:rsidRPr="00FF756A">
              <w:rPr>
                <w:sz w:val="18"/>
                <w:szCs w:val="18"/>
              </w:rPr>
              <w:t xml:space="preserve"> 54,4 </w:t>
            </w:r>
          </w:p>
        </w:tc>
        <w:tc>
          <w:tcPr>
            <w:tcW w:w="867" w:type="dxa"/>
            <w:tcBorders>
              <w:top w:val="nil"/>
              <w:left w:val="nil"/>
              <w:bottom w:val="single" w:sz="8" w:space="0" w:color="FFFFFF"/>
              <w:right w:val="single" w:sz="8" w:space="0" w:color="FFFFFF"/>
            </w:tcBorders>
            <w:shd w:val="clear" w:color="000000" w:fill="DBE5F1"/>
            <w:noWrap/>
            <w:hideMark/>
          </w:tcPr>
          <w:p w14:paraId="72F602A6" w14:textId="77777777" w:rsidR="00B86FB3" w:rsidRPr="00FF756A" w:rsidRDefault="00B86FB3" w:rsidP="00B86FB3">
            <w:pPr>
              <w:jc w:val="right"/>
              <w:rPr>
                <w:rFonts w:eastAsia="Times New Roman"/>
                <w:color w:val="000000"/>
                <w:sz w:val="18"/>
                <w:szCs w:val="18"/>
              </w:rPr>
            </w:pPr>
            <w:r w:rsidRPr="00FF756A">
              <w:rPr>
                <w:sz w:val="18"/>
                <w:szCs w:val="18"/>
              </w:rPr>
              <w:t xml:space="preserve"> 53,5 </w:t>
            </w:r>
          </w:p>
        </w:tc>
        <w:tc>
          <w:tcPr>
            <w:tcW w:w="866" w:type="dxa"/>
            <w:tcBorders>
              <w:top w:val="nil"/>
              <w:left w:val="nil"/>
              <w:bottom w:val="single" w:sz="8" w:space="0" w:color="FFFFFF"/>
              <w:right w:val="single" w:sz="8" w:space="0" w:color="FFFFFF"/>
            </w:tcBorders>
            <w:shd w:val="clear" w:color="000000" w:fill="DBE5F1"/>
            <w:noWrap/>
            <w:hideMark/>
          </w:tcPr>
          <w:p w14:paraId="62D08813" w14:textId="77777777" w:rsidR="00B86FB3" w:rsidRPr="00FF756A" w:rsidRDefault="00B86FB3" w:rsidP="00B86FB3">
            <w:pPr>
              <w:jc w:val="right"/>
              <w:rPr>
                <w:rFonts w:eastAsia="Times New Roman"/>
                <w:color w:val="000000"/>
                <w:sz w:val="18"/>
                <w:szCs w:val="18"/>
              </w:rPr>
            </w:pPr>
            <w:r w:rsidRPr="00FF756A">
              <w:rPr>
                <w:sz w:val="18"/>
                <w:szCs w:val="18"/>
              </w:rPr>
              <w:t xml:space="preserve"> 55,7 </w:t>
            </w:r>
          </w:p>
        </w:tc>
        <w:tc>
          <w:tcPr>
            <w:tcW w:w="866" w:type="dxa"/>
            <w:tcBorders>
              <w:top w:val="nil"/>
              <w:left w:val="nil"/>
              <w:bottom w:val="single" w:sz="8" w:space="0" w:color="FFFFFF"/>
              <w:right w:val="single" w:sz="8" w:space="0" w:color="FFFFFF"/>
            </w:tcBorders>
            <w:shd w:val="clear" w:color="auto" w:fill="4472C4" w:themeFill="accent1"/>
            <w:noWrap/>
            <w:hideMark/>
          </w:tcPr>
          <w:p w14:paraId="75011EC9"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60,8 </w:t>
            </w:r>
          </w:p>
        </w:tc>
        <w:tc>
          <w:tcPr>
            <w:tcW w:w="866" w:type="dxa"/>
            <w:tcBorders>
              <w:top w:val="nil"/>
              <w:left w:val="nil"/>
              <w:bottom w:val="single" w:sz="8" w:space="0" w:color="FFFFFF"/>
              <w:right w:val="single" w:sz="8" w:space="0" w:color="FFFFFF"/>
            </w:tcBorders>
            <w:shd w:val="clear" w:color="000000" w:fill="DBE5F1"/>
            <w:noWrap/>
          </w:tcPr>
          <w:p w14:paraId="4706F5B6" w14:textId="77777777" w:rsidR="00B86FB3" w:rsidRPr="00FF756A" w:rsidRDefault="00B86FB3" w:rsidP="00B86FB3">
            <w:pPr>
              <w:jc w:val="right"/>
              <w:rPr>
                <w:rFonts w:eastAsia="Times New Roman"/>
                <w:color w:val="000000"/>
                <w:sz w:val="18"/>
                <w:szCs w:val="18"/>
              </w:rPr>
            </w:pPr>
            <w:r w:rsidRPr="00FF756A">
              <w:rPr>
                <w:sz w:val="18"/>
                <w:szCs w:val="18"/>
              </w:rPr>
              <w:t xml:space="preserve"> 71,9 </w:t>
            </w:r>
          </w:p>
        </w:tc>
        <w:tc>
          <w:tcPr>
            <w:tcW w:w="867" w:type="dxa"/>
            <w:tcBorders>
              <w:top w:val="nil"/>
              <w:left w:val="nil"/>
              <w:bottom w:val="single" w:sz="8" w:space="0" w:color="FFFFFF"/>
              <w:right w:val="single" w:sz="8" w:space="0" w:color="FFFFFF"/>
            </w:tcBorders>
            <w:shd w:val="clear" w:color="000000" w:fill="DBE5F1"/>
            <w:noWrap/>
            <w:hideMark/>
          </w:tcPr>
          <w:p w14:paraId="710D2826" w14:textId="77777777" w:rsidR="00B86FB3" w:rsidRPr="00FF756A" w:rsidRDefault="00B86FB3" w:rsidP="00B86FB3">
            <w:pPr>
              <w:jc w:val="right"/>
              <w:rPr>
                <w:rFonts w:eastAsia="Times New Roman"/>
                <w:color w:val="000000"/>
                <w:sz w:val="18"/>
                <w:szCs w:val="18"/>
              </w:rPr>
            </w:pPr>
            <w:r w:rsidRPr="00FF756A">
              <w:rPr>
                <w:sz w:val="18"/>
                <w:szCs w:val="18"/>
              </w:rPr>
              <w:t xml:space="preserve"> 85,5 </w:t>
            </w:r>
          </w:p>
        </w:tc>
      </w:tr>
      <w:tr w:rsidR="00B86FB3" w:rsidRPr="00FF756A" w14:paraId="2AD8B4BE" w14:textId="77777777" w:rsidTr="006A3266">
        <w:trPr>
          <w:trHeight w:val="291"/>
        </w:trPr>
        <w:tc>
          <w:tcPr>
            <w:tcW w:w="2150" w:type="dxa"/>
            <w:tcBorders>
              <w:top w:val="nil"/>
              <w:left w:val="single" w:sz="8" w:space="0" w:color="FFFFFF"/>
              <w:bottom w:val="single" w:sz="8" w:space="0" w:color="FFFFFF"/>
              <w:right w:val="single" w:sz="8" w:space="0" w:color="FFFFFF"/>
            </w:tcBorders>
            <w:shd w:val="clear" w:color="000000" w:fill="4F81BD"/>
            <w:noWrap/>
            <w:vAlign w:val="center"/>
            <w:hideMark/>
          </w:tcPr>
          <w:p w14:paraId="04AB03E5" w14:textId="77777777" w:rsidR="00B86FB3" w:rsidRPr="00FF756A" w:rsidRDefault="00B86FB3" w:rsidP="00B86FB3">
            <w:pPr>
              <w:rPr>
                <w:rFonts w:eastAsia="Times New Roman"/>
                <w:color w:val="FFFFFF"/>
                <w:sz w:val="18"/>
                <w:szCs w:val="18"/>
              </w:rPr>
            </w:pPr>
            <w:r w:rsidRPr="00FF756A">
              <w:rPr>
                <w:color w:val="FFFFFF"/>
                <w:sz w:val="18"/>
                <w:szCs w:val="18"/>
              </w:rPr>
              <w:t>Totali</w:t>
            </w:r>
          </w:p>
        </w:tc>
        <w:tc>
          <w:tcPr>
            <w:tcW w:w="866" w:type="dxa"/>
            <w:tcBorders>
              <w:top w:val="nil"/>
              <w:left w:val="nil"/>
              <w:bottom w:val="single" w:sz="8" w:space="0" w:color="FFFFFF"/>
              <w:right w:val="single" w:sz="8" w:space="0" w:color="FFFFFF"/>
            </w:tcBorders>
            <w:shd w:val="clear" w:color="000000" w:fill="4F81BD"/>
            <w:noWrap/>
            <w:hideMark/>
          </w:tcPr>
          <w:p w14:paraId="2FC11B98"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54,7 </w:t>
            </w:r>
          </w:p>
        </w:tc>
        <w:tc>
          <w:tcPr>
            <w:tcW w:w="866" w:type="dxa"/>
            <w:tcBorders>
              <w:top w:val="nil"/>
              <w:left w:val="nil"/>
              <w:bottom w:val="single" w:sz="8" w:space="0" w:color="FFFFFF"/>
              <w:right w:val="single" w:sz="8" w:space="0" w:color="FFFFFF"/>
            </w:tcBorders>
            <w:shd w:val="clear" w:color="000000" w:fill="4F81BD"/>
            <w:noWrap/>
            <w:hideMark/>
          </w:tcPr>
          <w:p w14:paraId="1E4C60ED"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54,7 </w:t>
            </w:r>
          </w:p>
        </w:tc>
        <w:tc>
          <w:tcPr>
            <w:tcW w:w="866" w:type="dxa"/>
            <w:tcBorders>
              <w:top w:val="nil"/>
              <w:left w:val="nil"/>
              <w:bottom w:val="single" w:sz="8" w:space="0" w:color="FFFFFF"/>
              <w:right w:val="single" w:sz="8" w:space="0" w:color="FFFFFF"/>
            </w:tcBorders>
            <w:shd w:val="clear" w:color="000000" w:fill="4F81BD"/>
            <w:noWrap/>
            <w:hideMark/>
          </w:tcPr>
          <w:p w14:paraId="732F1B3E"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54,7 </w:t>
            </w:r>
          </w:p>
        </w:tc>
        <w:tc>
          <w:tcPr>
            <w:tcW w:w="867" w:type="dxa"/>
            <w:tcBorders>
              <w:top w:val="nil"/>
              <w:left w:val="nil"/>
              <w:bottom w:val="single" w:sz="8" w:space="0" w:color="FFFFFF"/>
              <w:right w:val="single" w:sz="8" w:space="0" w:color="FFFFFF"/>
            </w:tcBorders>
            <w:shd w:val="clear" w:color="000000" w:fill="4F81BD"/>
            <w:noWrap/>
            <w:hideMark/>
          </w:tcPr>
          <w:p w14:paraId="71350DBC"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53,9 </w:t>
            </w:r>
          </w:p>
        </w:tc>
        <w:tc>
          <w:tcPr>
            <w:tcW w:w="866" w:type="dxa"/>
            <w:tcBorders>
              <w:top w:val="nil"/>
              <w:left w:val="nil"/>
              <w:bottom w:val="single" w:sz="8" w:space="0" w:color="FFFFFF"/>
              <w:right w:val="single" w:sz="8" w:space="0" w:color="FFFFFF"/>
            </w:tcBorders>
            <w:shd w:val="clear" w:color="000000" w:fill="4F81BD"/>
            <w:noWrap/>
            <w:hideMark/>
          </w:tcPr>
          <w:p w14:paraId="1B5CDB03"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56,1 </w:t>
            </w:r>
          </w:p>
        </w:tc>
        <w:tc>
          <w:tcPr>
            <w:tcW w:w="866" w:type="dxa"/>
            <w:tcBorders>
              <w:top w:val="nil"/>
              <w:left w:val="nil"/>
              <w:bottom w:val="single" w:sz="8" w:space="0" w:color="FFFFFF"/>
              <w:right w:val="single" w:sz="8" w:space="0" w:color="FFFFFF"/>
            </w:tcBorders>
            <w:shd w:val="clear" w:color="auto" w:fill="4472C4" w:themeFill="accent1"/>
            <w:noWrap/>
            <w:hideMark/>
          </w:tcPr>
          <w:p w14:paraId="544AC35A"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61,4 </w:t>
            </w:r>
          </w:p>
        </w:tc>
        <w:tc>
          <w:tcPr>
            <w:tcW w:w="866" w:type="dxa"/>
            <w:tcBorders>
              <w:top w:val="nil"/>
              <w:left w:val="nil"/>
              <w:bottom w:val="single" w:sz="8" w:space="0" w:color="FFFFFF"/>
              <w:right w:val="single" w:sz="8" w:space="0" w:color="FFFFFF"/>
            </w:tcBorders>
            <w:shd w:val="clear" w:color="000000" w:fill="4F81BD"/>
            <w:noWrap/>
          </w:tcPr>
          <w:p w14:paraId="5335358D" w14:textId="77777777" w:rsidR="00B86FB3" w:rsidRPr="00FF756A" w:rsidRDefault="00B86FB3" w:rsidP="00B86FB3">
            <w:pPr>
              <w:jc w:val="right"/>
              <w:rPr>
                <w:rFonts w:eastAsia="Times New Roman"/>
                <w:color w:val="FFFFFF" w:themeColor="background1"/>
                <w:sz w:val="18"/>
                <w:szCs w:val="18"/>
              </w:rPr>
            </w:pPr>
            <w:r w:rsidRPr="00FF756A">
              <w:rPr>
                <w:color w:val="FFFFFF" w:themeColor="background1"/>
                <w:sz w:val="18"/>
                <w:szCs w:val="18"/>
              </w:rPr>
              <w:t xml:space="preserve"> 72,8 </w:t>
            </w:r>
          </w:p>
        </w:tc>
        <w:tc>
          <w:tcPr>
            <w:tcW w:w="867" w:type="dxa"/>
            <w:tcBorders>
              <w:top w:val="nil"/>
              <w:left w:val="nil"/>
              <w:bottom w:val="single" w:sz="8" w:space="0" w:color="FFFFFF"/>
              <w:right w:val="single" w:sz="8" w:space="0" w:color="FFFFFF"/>
            </w:tcBorders>
            <w:shd w:val="clear" w:color="000000" w:fill="4F81BD"/>
            <w:noWrap/>
            <w:hideMark/>
          </w:tcPr>
          <w:p w14:paraId="3B54449B" w14:textId="77777777" w:rsidR="00B86FB3" w:rsidRPr="00FF756A" w:rsidRDefault="00B86FB3" w:rsidP="008E7DE9">
            <w:pPr>
              <w:keepNext/>
              <w:jc w:val="right"/>
              <w:rPr>
                <w:rFonts w:eastAsia="Times New Roman"/>
                <w:color w:val="FFFFFF" w:themeColor="background1"/>
                <w:sz w:val="18"/>
                <w:szCs w:val="18"/>
              </w:rPr>
            </w:pPr>
            <w:r w:rsidRPr="00FF756A">
              <w:rPr>
                <w:color w:val="FFFFFF" w:themeColor="background1"/>
                <w:sz w:val="18"/>
                <w:szCs w:val="18"/>
              </w:rPr>
              <w:t xml:space="preserve"> 86,9 </w:t>
            </w:r>
          </w:p>
        </w:tc>
      </w:tr>
    </w:tbl>
    <w:p w14:paraId="06EA9F08" w14:textId="42DB4A1D" w:rsidR="00B86FB3" w:rsidRPr="00FF756A" w:rsidRDefault="008E7DE9" w:rsidP="008E7DE9">
      <w:pPr>
        <w:pStyle w:val="Caption"/>
        <w:rPr>
          <w:rFonts w:ascii="Times New Roman" w:hAnsi="Times New Roman"/>
        </w:rPr>
      </w:pPr>
      <w:bookmarkStart w:id="756" w:name="_Toc183016527"/>
      <w:r w:rsidRPr="00FF756A">
        <w:rPr>
          <w:rFonts w:ascii="Times New Roman" w:hAnsi="Times New Roman"/>
        </w:rPr>
        <w:t xml:space="preserve">Tabela </w:t>
      </w:r>
      <w:r w:rsidRPr="00FF756A">
        <w:rPr>
          <w:rFonts w:ascii="Times New Roman" w:hAnsi="Times New Roman"/>
        </w:rPr>
        <w:fldChar w:fldCharType="begin"/>
      </w:r>
      <w:r w:rsidRPr="00FF756A">
        <w:rPr>
          <w:rFonts w:ascii="Times New Roman" w:hAnsi="Times New Roman"/>
        </w:rPr>
        <w:instrText xml:space="preserve"> SEQ Tabela \* ARABIC </w:instrText>
      </w:r>
      <w:r w:rsidRPr="00FF756A">
        <w:rPr>
          <w:rFonts w:ascii="Times New Roman" w:hAnsi="Times New Roman"/>
        </w:rPr>
        <w:fldChar w:fldCharType="separate"/>
      </w:r>
      <w:r w:rsidRPr="00FF756A">
        <w:rPr>
          <w:rFonts w:ascii="Times New Roman" w:hAnsi="Times New Roman"/>
          <w:noProof/>
        </w:rPr>
        <w:t>63</w:t>
      </w:r>
      <w:r w:rsidRPr="00FF756A">
        <w:rPr>
          <w:rFonts w:ascii="Times New Roman" w:hAnsi="Times New Roman"/>
          <w:noProof/>
        </w:rPr>
        <w:fldChar w:fldCharType="end"/>
      </w:r>
      <w:r w:rsidRPr="00FF756A">
        <w:rPr>
          <w:rFonts w:ascii="Times New Roman" w:hAnsi="Times New Roman"/>
        </w:rPr>
        <w:t>: Konsumi final i energjisë (ktoe) për sektorë dhe nënsektorë të ndryshëm, sipas vlerave historike të periudhës 2020-2023 dhe sipas parashikimit me masat shtesë deri në vitin 2050</w:t>
      </w:r>
      <w:bookmarkEnd w:id="756"/>
    </w:p>
    <w:p w14:paraId="71E3AFD3" w14:textId="77777777" w:rsidR="00B86FB3" w:rsidRPr="00FF756A" w:rsidRDefault="00B86FB3" w:rsidP="00B86FB3">
      <w:pPr>
        <w:rPr>
          <w:i/>
          <w:iCs/>
          <w:color w:val="2F5496" w:themeColor="accent1" w:themeShade="BF"/>
        </w:rPr>
      </w:pPr>
      <w:r w:rsidRPr="00FF756A">
        <w:rPr>
          <w:i/>
          <w:iCs/>
          <w:color w:val="2F5496" w:themeColor="accent1" w:themeShade="BF"/>
        </w:rPr>
        <w:t>Dimensioni i sigurisë së energjisë</w:t>
      </w:r>
    </w:p>
    <w:p w14:paraId="46DD1B27" w14:textId="77777777" w:rsidR="00B86FB3" w:rsidRPr="00FF756A" w:rsidRDefault="00B86FB3" w:rsidP="00B86FB3">
      <w:r w:rsidRPr="00FF756A">
        <w:t>Dy fushat më me rëndësi për sigurinë energjetike të Shqipërisë janë sektori i prodhimit të energjisë elektrike dhe sektori i produkteve të naftës.</w:t>
      </w:r>
    </w:p>
    <w:p w14:paraId="2B67776B" w14:textId="77777777" w:rsidR="00B86FB3" w:rsidRPr="00FF756A" w:rsidRDefault="00B86FB3" w:rsidP="00B86FB3">
      <w:r w:rsidRPr="00FF756A">
        <w:t xml:space="preserve">Me masat shtesë, varësia nga importet gjatë viteve me klimë të thatë (sipas supozimeve, vitet 2022, 2027, 2032, 2037 etj.) është pothuajse joekzistente, siç tregohet në  </w:t>
      </w:r>
      <w:r w:rsidRPr="00FF756A">
        <w:fldChar w:fldCharType="begin"/>
      </w:r>
      <w:r w:rsidRPr="00FF756A">
        <w:instrText xml:space="preserve"> REF _Ref72865014 \h  \* MERGEFORMAT </w:instrText>
      </w:r>
      <w:r w:rsidRPr="00FF756A">
        <w:fldChar w:fldCharType="separate"/>
      </w:r>
      <w:r w:rsidRPr="00FF756A">
        <w:t>Figura 106</w:t>
      </w:r>
      <w:r w:rsidRPr="00FF756A">
        <w:fldChar w:fldCharType="end"/>
      </w:r>
      <w:r w:rsidRPr="00FF756A">
        <w:t xml:space="preserve">. Gjatë viteve të tjera, Shqipëria pritet të jetë një eksportuese neto e energjisë elektrike me vënien në funksionim të impianteve hidroenergjetike me kapacitet të plotë. Gjatë viteve normale (pa klimë të thatë), eksporti i energjisë elektrike pritet të jetë pothuajse në nivel të barabartë me kërkesën e brendshme.  </w:t>
      </w:r>
    </w:p>
    <w:p w14:paraId="2F464120" w14:textId="77777777" w:rsidR="008E7DE9" w:rsidRPr="00FF756A" w:rsidRDefault="00B86FB3" w:rsidP="008E7DE9">
      <w:pPr>
        <w:keepNext/>
      </w:pPr>
      <w:r w:rsidRPr="00FF756A">
        <w:rPr>
          <w:noProof/>
          <w:lang w:val="en-US"/>
        </w:rPr>
        <w:drawing>
          <wp:inline distT="0" distB="0" distL="0" distR="0" wp14:anchorId="2EDE4916" wp14:editId="20A6AE21">
            <wp:extent cx="5760720" cy="4013835"/>
            <wp:effectExtent l="0" t="0" r="0" b="5715"/>
            <wp:docPr id="237840368" name="Picture 3"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840368" name="Picture 3" descr="A graph of different colored lines&#10;&#10;Description automatically generated"/>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760720" cy="4013835"/>
                    </a:xfrm>
                    <a:prstGeom prst="rect">
                      <a:avLst/>
                    </a:prstGeom>
                  </pic:spPr>
                </pic:pic>
              </a:graphicData>
            </a:graphic>
          </wp:inline>
        </w:drawing>
      </w:r>
    </w:p>
    <w:p w14:paraId="42BBA3EE" w14:textId="1167451A" w:rsidR="008E7DE9" w:rsidRPr="00FF756A" w:rsidRDefault="008E7DE9" w:rsidP="008E7DE9">
      <w:pPr>
        <w:pStyle w:val="Caption"/>
        <w:rPr>
          <w:rFonts w:ascii="Times New Roman" w:hAnsi="Times New Roman"/>
        </w:rPr>
      </w:pPr>
      <w:bookmarkStart w:id="757" w:name="_Toc183016652"/>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122</w:t>
      </w:r>
      <w:r w:rsidRPr="00FF756A">
        <w:rPr>
          <w:rFonts w:ascii="Times New Roman" w:hAnsi="Times New Roman"/>
          <w:noProof/>
        </w:rPr>
        <w:fldChar w:fldCharType="end"/>
      </w:r>
      <w:r w:rsidRPr="00FF756A">
        <w:rPr>
          <w:rFonts w:ascii="Times New Roman" w:hAnsi="Times New Roman"/>
        </w:rPr>
        <w:t>: Kërkesa, prodhimi, eksportet dhe importet e energjisë elektrike në skenarët me masa shtesë dhe me prodhim të energjisë së rinovueshme me kapacitet të plotë, si dhe teprica për eksport (parashikimi për vitet 2019 - 2040). Paraqitet gjithashtu skenari WEM dhe “skenari WAM që merr në konsideratë vetëm ER-në për përmbushjen e kërkesës” (emërtuar "WAM mdem")</w:t>
      </w:r>
      <w:bookmarkEnd w:id="757"/>
    </w:p>
    <w:p w14:paraId="527A36AF" w14:textId="77777777" w:rsidR="00B86FB3" w:rsidRPr="00FF756A" w:rsidRDefault="00B86FB3" w:rsidP="00B86FB3"/>
    <w:p w14:paraId="3590C01A" w14:textId="77777777" w:rsidR="00B86FB3" w:rsidRPr="00FF756A" w:rsidRDefault="00B86FB3" w:rsidP="00B86FB3">
      <w:r w:rsidRPr="00FF756A">
        <w:t xml:space="preserve">Siç shihet në </w:t>
      </w:r>
      <w:r w:rsidRPr="00FF756A">
        <w:fldChar w:fldCharType="begin"/>
      </w:r>
      <w:r w:rsidRPr="00FF756A">
        <w:instrText xml:space="preserve"> REF _Ref75524070 \h  \* MERGEFORMAT </w:instrText>
      </w:r>
      <w:r w:rsidRPr="00FF756A">
        <w:fldChar w:fldCharType="separate"/>
      </w:r>
      <w:r w:rsidRPr="00FF756A">
        <w:t>Figura 107</w:t>
      </w:r>
      <w:r w:rsidRPr="00FF756A">
        <w:fldChar w:fldCharType="end"/>
      </w:r>
      <w:r w:rsidRPr="00FF756A">
        <w:t xml:space="preserve">, pjesa më e madhe e energjisë elektrike prodhohet nga hidrocentralet, të cilat preken në shkallë të konsiderueshme nga vitet me klimë të thatë dhe nga pasojat e ndryshimeve klimatike (modeluar si reduktim i disponueshmërisë së burimeve ujore, shihni kreun 4) dhe instalimet diellore fotovoltaike deri në vitin 2050. Centralet me gaz përdoren përgjithësisht në vitet me klimë të thatë pasi shërbejnë kryesisht si rezervë në rast mungese të burimeve hidrike apo të burimeve të tjera të rinovueshme, dhe kontribuojnë në një sasi më të vogël në vitet normale deri në vitin 2050. </w:t>
      </w:r>
    </w:p>
    <w:p w14:paraId="67D1DED2" w14:textId="77777777" w:rsidR="008E7DE9" w:rsidRPr="00FF756A" w:rsidRDefault="00B86FB3" w:rsidP="008E7DE9">
      <w:pPr>
        <w:keepNext/>
      </w:pPr>
      <w:r w:rsidRPr="00FF756A">
        <w:rPr>
          <w:noProof/>
          <w:lang w:val="en-US"/>
        </w:rPr>
        <w:drawing>
          <wp:inline distT="0" distB="0" distL="0" distR="0" wp14:anchorId="3572F95D" wp14:editId="05A57EDA">
            <wp:extent cx="5760720" cy="3456305"/>
            <wp:effectExtent l="0" t="0" r="0" b="0"/>
            <wp:docPr id="1106543271" name="Picture 19"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543271" name="Picture 19" descr="A graph of different colored bars&#10;&#10;Description automatically generated"/>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inline>
        </w:drawing>
      </w:r>
    </w:p>
    <w:p w14:paraId="0D2667D6" w14:textId="11EE5020" w:rsidR="00B86FB3" w:rsidRPr="00FF756A" w:rsidRDefault="008E7DE9" w:rsidP="008E7DE9">
      <w:pPr>
        <w:pStyle w:val="Caption"/>
        <w:rPr>
          <w:rFonts w:ascii="Times New Roman" w:hAnsi="Times New Roman"/>
        </w:rPr>
      </w:pPr>
      <w:bookmarkStart w:id="758" w:name="_Toc183016653"/>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123</w:t>
      </w:r>
      <w:r w:rsidRPr="00FF756A">
        <w:rPr>
          <w:rFonts w:ascii="Times New Roman" w:hAnsi="Times New Roman"/>
          <w:noProof/>
        </w:rPr>
        <w:fldChar w:fldCharType="end"/>
      </w:r>
      <w:r w:rsidRPr="00FF756A">
        <w:rPr>
          <w:rFonts w:ascii="Times New Roman" w:hAnsi="Times New Roman"/>
        </w:rPr>
        <w:t>: Prodhimi i energjisë elektrike sipas skenarit WAM për impiante të ndryshme (PP, H - hidrike, S - diellore fotovoltaike, W - eolike, T - me gaz për përdorim termik). HECv janë HEC-e të vogla që llogariten bashkërisht, siç hidhen në ankand impiantet foto</w:t>
      </w:r>
      <w:bookmarkEnd w:id="758"/>
    </w:p>
    <w:p w14:paraId="2566EA6A" w14:textId="77777777" w:rsidR="00B86FB3" w:rsidRPr="00FF756A" w:rsidRDefault="00B86FB3" w:rsidP="00B86FB3"/>
    <w:p w14:paraId="783BB08F" w14:textId="77777777" w:rsidR="00B86FB3" w:rsidRPr="00FF756A" w:rsidRDefault="00B86FB3" w:rsidP="00B86FB3">
      <w:r w:rsidRPr="00FF756A">
        <w:t xml:space="preserve">Për sa i përket prodhimit të lëndëve djegëse, nuk ka ndryshime krahasuar me skenarin WEM. Shihni </w:t>
      </w:r>
      <w:r w:rsidRPr="00FF756A">
        <w:fldChar w:fldCharType="begin"/>
      </w:r>
      <w:r w:rsidRPr="00FF756A">
        <w:instrText xml:space="preserve"> REF _Ref72865213 \h  \* MERGEFORMAT </w:instrText>
      </w:r>
      <w:r w:rsidRPr="00FF756A">
        <w:fldChar w:fldCharType="separate"/>
      </w:r>
      <w:r w:rsidRPr="00FF756A">
        <w:t>Figura 108</w:t>
      </w:r>
      <w:r w:rsidRPr="00FF756A">
        <w:fldChar w:fldCharType="end"/>
      </w:r>
      <w:r w:rsidRPr="00FF756A">
        <w:t>. Vërehet një rritje e kërkesës për gaz natyror, i cili importohet përmes gazsjellësit TAP (</w:t>
      </w:r>
      <w:r w:rsidRPr="00FF756A">
        <w:fldChar w:fldCharType="begin"/>
      </w:r>
      <w:r w:rsidRPr="00FF756A">
        <w:instrText xml:space="preserve"> REF _Ref72865220 \h  \* MERGEFORMAT </w:instrText>
      </w:r>
      <w:r w:rsidRPr="00FF756A">
        <w:fldChar w:fldCharType="separate"/>
      </w:r>
      <w:r w:rsidRPr="00FF756A">
        <w:t>Figura 109</w:t>
      </w:r>
      <w:r w:rsidRPr="00FF756A">
        <w:fldChar w:fldCharType="end"/>
      </w:r>
      <w:r w:rsidRPr="00FF756A">
        <w:t xml:space="preserve"> për importet). Gazi natyror përdoret për prodhimin e energjisë, por edhe në sektorin e banesave (2% e KFE në vitin 2030) dhe atë të shërbimeve (8,0% e KFE në vitin 2030), ku zëvendëson përdorimin e GLN-së. Gjithashtu, ka një përdorim të kufizuar të gazit natyror në sektorin e industrisë (mbetet në nivelin 2% të KFE-së). </w:t>
      </w:r>
    </w:p>
    <w:p w14:paraId="69990497" w14:textId="77777777" w:rsidR="008E7DE9" w:rsidRPr="00FF756A" w:rsidRDefault="00B86FB3" w:rsidP="008E7DE9">
      <w:pPr>
        <w:keepNext/>
      </w:pPr>
      <w:r w:rsidRPr="00FF756A">
        <w:rPr>
          <w:noProof/>
          <w:lang w:val="en-US"/>
        </w:rPr>
        <w:drawing>
          <wp:inline distT="0" distB="0" distL="0" distR="0" wp14:anchorId="0991C2B0" wp14:editId="50DF3055">
            <wp:extent cx="5760720" cy="3461385"/>
            <wp:effectExtent l="0" t="0" r="0" b="5715"/>
            <wp:docPr id="1966812518" name="Picture 32" descr="A graph showing the growth of fuel produ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812518" name="Picture 32" descr="A graph showing the growth of fuel production&#10;&#10;Description automatically generated"/>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760720" cy="3461385"/>
                    </a:xfrm>
                    <a:prstGeom prst="rect">
                      <a:avLst/>
                    </a:prstGeom>
                  </pic:spPr>
                </pic:pic>
              </a:graphicData>
            </a:graphic>
          </wp:inline>
        </w:drawing>
      </w:r>
    </w:p>
    <w:p w14:paraId="24F145CD" w14:textId="46DCDA64" w:rsidR="00B86FB3" w:rsidRPr="00FF756A" w:rsidRDefault="008E7DE9" w:rsidP="008E7DE9">
      <w:pPr>
        <w:pStyle w:val="Caption"/>
        <w:rPr>
          <w:rFonts w:ascii="Times New Roman" w:hAnsi="Times New Roman"/>
        </w:rPr>
      </w:pPr>
      <w:bookmarkStart w:id="759" w:name="_Toc183016654"/>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124</w:t>
      </w:r>
      <w:r w:rsidRPr="00FF756A">
        <w:rPr>
          <w:rFonts w:ascii="Times New Roman" w:hAnsi="Times New Roman"/>
          <w:noProof/>
        </w:rPr>
        <w:fldChar w:fldCharType="end"/>
      </w:r>
      <w:r w:rsidRPr="00FF756A">
        <w:rPr>
          <w:rFonts w:ascii="Times New Roman" w:hAnsi="Times New Roman"/>
        </w:rPr>
        <w:t>: Prodhimi i lëndëve djegëse me masa shtesë (parashikimi për periudhën 2019-2040)</w:t>
      </w:r>
      <w:bookmarkEnd w:id="759"/>
    </w:p>
    <w:p w14:paraId="7A16DEFF" w14:textId="77777777" w:rsidR="008E7DE9" w:rsidRPr="00FF756A" w:rsidRDefault="00B86FB3" w:rsidP="008E7DE9">
      <w:pPr>
        <w:keepNext/>
      </w:pPr>
      <w:r w:rsidRPr="00FF756A">
        <w:rPr>
          <w:noProof/>
          <w:lang w:val="en-US"/>
        </w:rPr>
        <w:drawing>
          <wp:inline distT="0" distB="0" distL="0" distR="0" wp14:anchorId="20760815" wp14:editId="79E94914">
            <wp:extent cx="6245292" cy="3463200"/>
            <wp:effectExtent l="0" t="0" r="3175" b="4445"/>
            <wp:docPr id="1908242020" name="Picture 33" descr="A graph showing the price of fu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42020" name="Picture 33" descr="A graph showing the price of fuel&#10;&#10;Description automatically generated"/>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6245292" cy="3463200"/>
                    </a:xfrm>
                    <a:prstGeom prst="rect">
                      <a:avLst/>
                    </a:prstGeom>
                  </pic:spPr>
                </pic:pic>
              </a:graphicData>
            </a:graphic>
          </wp:inline>
        </w:drawing>
      </w:r>
    </w:p>
    <w:p w14:paraId="0C9495C6" w14:textId="5EA07928" w:rsidR="00B86FB3" w:rsidRPr="00FF756A" w:rsidRDefault="008E7DE9" w:rsidP="008E7DE9">
      <w:pPr>
        <w:pStyle w:val="Caption"/>
        <w:rPr>
          <w:rFonts w:ascii="Times New Roman" w:hAnsi="Times New Roman"/>
        </w:rPr>
      </w:pPr>
      <w:bookmarkStart w:id="760" w:name="_Toc183016655"/>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125</w:t>
      </w:r>
      <w:r w:rsidRPr="00FF756A">
        <w:rPr>
          <w:rFonts w:ascii="Times New Roman" w:hAnsi="Times New Roman"/>
          <w:noProof/>
        </w:rPr>
        <w:fldChar w:fldCharType="end"/>
      </w:r>
      <w:r w:rsidRPr="00FF756A">
        <w:rPr>
          <w:rFonts w:ascii="Times New Roman" w:hAnsi="Times New Roman"/>
        </w:rPr>
        <w:t>: Importet neto të lëndëve djegëse me masa shtesë (parashikimi për periudhën 2019-2040)</w:t>
      </w:r>
      <w:bookmarkEnd w:id="760"/>
    </w:p>
    <w:p w14:paraId="030B1306" w14:textId="77777777" w:rsidR="00B86FB3" w:rsidRPr="00FF756A" w:rsidRDefault="00B86FB3" w:rsidP="00B86FB3"/>
    <w:p w14:paraId="5AE58141" w14:textId="77777777" w:rsidR="00B86FB3" w:rsidRPr="00FF756A" w:rsidRDefault="00B86FB3" w:rsidP="008639B2">
      <w:pPr>
        <w:keepNext/>
        <w:keepLines/>
        <w:numPr>
          <w:ilvl w:val="0"/>
          <w:numId w:val="192"/>
        </w:numPr>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rFonts w:eastAsia="Calibri Light"/>
          <w:i/>
          <w:iCs/>
          <w:color w:val="2F5496" w:themeColor="accent1" w:themeShade="BF"/>
        </w:rPr>
      </w:pPr>
      <w:bookmarkStart w:id="761" w:name="_Toc183639312"/>
      <w:r w:rsidRPr="00FF756A">
        <w:rPr>
          <w:rFonts w:eastAsia="Calibri Light"/>
          <w:i/>
          <w:iCs/>
          <w:color w:val="2F5496" w:themeColor="accent1" w:themeShade="BF"/>
        </w:rPr>
        <w:t>Vlerësimi i ndërveprimeve ndërmjet politikave (ndërmjet politikave dhe masave ekzistuese dhe atyre të planifikuara brenda një dimensioni të vetëm, si dhe ndërmjet politikave dhe masave ekzistuese dhe atyre të planifikuara në dimensione të ndryshme) të paktën deri në vitin e fundit të periudhës së mbuluar nga plani, veçanërisht për të marrë njohuritë themelore mbi ndikimin e politikave të efiçencës së energjisë/kursimit të energjisë mbi përmasat e sistemit të energjisë, si dhe për të reduktuar rrezikun e investimeve të paleverdishme në furnizimin me energji</w:t>
      </w:r>
      <w:bookmarkEnd w:id="761"/>
    </w:p>
    <w:p w14:paraId="319C7DAC" w14:textId="77777777" w:rsidR="00B86FB3" w:rsidRPr="00FF756A" w:rsidRDefault="00B86FB3" w:rsidP="00B86FB3"/>
    <w:p w14:paraId="5B8DFEE8" w14:textId="77777777" w:rsidR="00B86FB3" w:rsidRPr="00FF756A" w:rsidRDefault="00B86FB3" w:rsidP="00B86FB3">
      <w:r w:rsidRPr="00FF756A">
        <w:t xml:space="preserve">Rezultatet e modelimit të paraqitura në këtë kre dhe për masat ekzistuese në kreun 4 përshkruajnë sistemin e energjisë në formë të agreguar, duke marrë parasysh politikat e përshkruara në kreun 3. </w:t>
      </w:r>
    </w:p>
    <w:p w14:paraId="7178F8CC" w14:textId="77777777" w:rsidR="00B86FB3" w:rsidRPr="00FF756A" w:rsidRDefault="00B86FB3" w:rsidP="00B86FB3">
      <w:r w:rsidRPr="00FF756A">
        <w:t xml:space="preserve">Secila politikë individuale ka një efekt individual nëse zbatohet në sistemin ekzistues. Megjithatë, ndërveprimet ndërmjet politikave duhet të merren në konsideratë, pasi kjo gjë mund të përforcojë apo pakësojë efektin e tyre mbi vlerat përfundimtare të kursimeve të energjisë. Një shembull është politika në sektorin e ndërtesave që ka si objektiv zëvendësimin e sobave me dru për ngrohjen e hapësirave, me ngrohjen me energji elektrike dhe pompa nxehtësie. Zëvendësimi i lëndës djegëse në vetvete do të rezultojë në reduktim të konsumit të energjisë (veçanërisht në rastin e pompave të nxehtësisë), por efekti më i ndjeshëm në reduktimin e shkarkimeve të GES-ve arrihet nëse garantohet prodhimi i energjisë së rinovueshme. Të gjitha masat që rezultojnë në rritjen e konsumit të energjisë elektrike nga një burim tjetër kërkojnë një rritje të barasvlershme të kapacitetit të prodhimit të energjisë elektrike. Kësisoj, përmirësimet e efiçencës së energjisë duhet të përfshihen në planifikimin e furnizimit me energji elektrike pa mbingarkesa. </w:t>
      </w:r>
    </w:p>
    <w:p w14:paraId="48EDA73D" w14:textId="77777777" w:rsidR="00B86FB3" w:rsidRPr="00FF756A" w:rsidRDefault="00B86FB3" w:rsidP="00B86FB3">
      <w:r w:rsidRPr="00FF756A">
        <w:t>Në mungesë të masave për efiçencën e energjisë, nevojitet një rritje më e madhe e kapaciteteve për prodhimin e energjisë elektrike për të shmangur varësinë nga importet. Masat për efiçencën e energjisë mund të reduktojnë presionin mbi prodhimin e energjisë, si dhe mbi kapacitetin e transmetimit. Duke marrë në konsideratë aspektet e rrjetit, kërkesës dhe ofertës së sistemeve të energjisë në një plan të integruar, mund të shmangen kostot e investimeve të tepërta në kapacitetet e prodhimit.</w:t>
      </w:r>
    </w:p>
    <w:p w14:paraId="6035B62F" w14:textId="77777777" w:rsidR="00B86FB3" w:rsidRPr="00FF756A" w:rsidRDefault="00B86FB3" w:rsidP="00B86FB3">
      <w:r w:rsidRPr="00FF756A">
        <w:fldChar w:fldCharType="begin"/>
      </w:r>
      <w:r w:rsidRPr="00FF756A">
        <w:instrText xml:space="preserve"> REF _Ref72916265 \h  \* MERGEFORMAT </w:instrText>
      </w:r>
      <w:r w:rsidRPr="00FF756A">
        <w:fldChar w:fldCharType="separate"/>
      </w:r>
      <w:r w:rsidRPr="00FF756A">
        <w:t>Figura 110</w:t>
      </w:r>
      <w:r w:rsidRPr="00FF756A">
        <w:fldChar w:fldCharType="end"/>
      </w:r>
      <w:r w:rsidRPr="00FF756A">
        <w:t xml:space="preserve"> paraqet reduktimet në shkarkimet e GES-ve për politikat dhe masat e zbatuara në skenarin WAM më vete, ndërsa vlerat përkatëse jepen në </w:t>
      </w:r>
      <w:r w:rsidRPr="00FF756A">
        <w:fldChar w:fldCharType="begin"/>
      </w:r>
      <w:r w:rsidRPr="00FF756A">
        <w:instrText xml:space="preserve"> REF _Ref99985672 \h  \* MERGEFORMAT </w:instrText>
      </w:r>
      <w:r w:rsidRPr="00FF756A">
        <w:fldChar w:fldCharType="separate"/>
      </w:r>
      <w:r w:rsidRPr="00FF756A">
        <w:t>Tabela 39</w:t>
      </w:r>
      <w:r w:rsidRPr="00FF756A">
        <w:fldChar w:fldCharType="end"/>
      </w:r>
      <w:r w:rsidRPr="00FF756A">
        <w:t xml:space="preserve">. Efektet e PM-ve në reduktimin e shkarkimeve nuk janë përfshirë në figurë për qëllime lehtësie, por janë paraqitur më vete në </w:t>
      </w:r>
      <w:r w:rsidRPr="00FF756A">
        <w:fldChar w:fldCharType="begin"/>
      </w:r>
      <w:r w:rsidRPr="00FF756A">
        <w:instrText xml:space="preserve"> REF _Ref72921943 \h  \* MERGEFORMAT </w:instrText>
      </w:r>
      <w:r w:rsidRPr="00FF756A">
        <w:fldChar w:fldCharType="separate"/>
      </w:r>
      <w:r w:rsidRPr="00FF756A">
        <w:t>Figura 112</w:t>
      </w:r>
      <w:r w:rsidRPr="00FF756A">
        <w:fldChar w:fldCharType="end"/>
      </w:r>
      <w:r w:rsidRPr="00FF756A">
        <w:t>, së bashku me efektin e kombinuar të skenarit WAM. Kini parasysh se kjo analizë nuk mund të tregojë efektin e një PM-je të vetme në sistemin e kombinuar, pasi skenari i kombinuar WAM merr në konsideratë efektin e ndërveprimeve të përshkuara më sipër. Siç mund të vlerësohet nga figura, efekti i përgjithshëm i PM-ve të caktuara është më i madh se efekti i tyre i kombinuar. Kjo diferencë vjen për shkak të ndërveprimit të politikave të ndryshme, veçanërisht PM-ve për efiçencën e energjisë dhe atyre për energjinë e rinovueshme, të përshkruara më sipër. Megjithatë, shuma e PM-ve të ndryshme nuk është një variabël kuptimplotë për vlerësimin, pasi modeli (me të drejtë) supozon që të gjitha PM-të zbatohen së bashku. Një shembull i thjeshtë është përqindja e energjisë së rinovueshme: Nëse përqindja e energjisë së rinovueshme arrin 100% në një sistem me kërkesë të lartë për energji, atëherë efekti është shumë më i fuqishëm se sa në një sistem që ka efiçencë energjie më të lartë. Edhe e kundërta është po ashtu e vërtetë. Rrjedhimisht, shuma e të dyjave nuk është një faktor kuptimplotë.</w:t>
      </w:r>
    </w:p>
    <w:p w14:paraId="079B1FEA" w14:textId="77777777" w:rsidR="00B86FB3" w:rsidRPr="00FF756A" w:rsidRDefault="00B86FB3" w:rsidP="00B86FB3">
      <w:r w:rsidRPr="00FF756A">
        <w:t xml:space="preserve">Impiantet e energjisë së rinovueshme sjellin reduktim të shkarkimeve vetëm kur zëvendësojnë termocentralet. Gjatë viteve të tjera, ato mund të zëvendësojnë energjinë elektrike të importuar, shkarkimet e së cilës llogariten si shkarkime në vendin e prodhimit të kësaj energjie. Për rrjedhojë, efekti i tyre në reduktimin e shkarkimeve të GES-ve është i kufizuar, ndërsa energjia e rinovueshme është një gur themeli i rëndësishëm drejt arritjes së dekarbonizimit. PM-të për efiçencën e energjisë kanë efekt të ulët për sa kohë që rezultojnë vetëm në reduktimin e kërkesës për energji elektrike në sistem, duke pasur parasysh që oferta për energji elektrike të rinovueshme është e konsiderueshme. Rrjedhimisht, efekti i tyre është më i fuqishëm drejt fundit të periudhës së modelimit, pra atëherë kur shfaqet në sistem edhe energjia elektrike e prodhuar me gaz. Në skenarin WAM, vetëm disa PM kanë si objekt shkarkimet nga sektorët joenergjetikë. Për sa i përket totalit të reduktimit të shkarkimeve, menaxhimi i pyjeve ka ndikimin më të madh deri në vitin 2030, ndërsa reduktimi i shkarkimeve në industrinë e çimentos përmes përdorimit të teknologjive të kapjes, përdorimit dhe përthithjes së karbonit (CCU/S) rezulton në nivele më të larta të reduktimit të shkarkimeve drejt fundit të periudhës së modelimit. </w:t>
      </w:r>
    </w:p>
    <w:p w14:paraId="65240AA1" w14:textId="77777777" w:rsidR="00B86FB3" w:rsidRPr="00FF756A" w:rsidRDefault="00B86FB3" w:rsidP="00B86FB3">
      <w:r w:rsidRPr="00FF756A">
        <w:t>Ky diskutim tregon kufizimet që shkaktohen kur reduktimet e shkarkimeve u atribuohen PM-ve individuale Duhet të merret në konsideratë sistemi referencë ku zbatohet PM-ja. Duke qenë se PKEK-ja synon hartimin e një plani të integruar, efekti i ndërveprimeve ndërmjet PM-ve është me rëndësi thelbësore.</w:t>
      </w:r>
    </w:p>
    <w:p w14:paraId="185C25C8" w14:textId="77777777" w:rsidR="008E7DE9" w:rsidRPr="00FF756A" w:rsidRDefault="00B86FB3" w:rsidP="008E7DE9">
      <w:pPr>
        <w:keepNext/>
        <w:jc w:val="center"/>
      </w:pPr>
      <w:r w:rsidRPr="00FF756A">
        <w:rPr>
          <w:noProof/>
          <w:lang w:val="en-US"/>
        </w:rPr>
        <w:drawing>
          <wp:inline distT="0" distB="0" distL="0" distR="0" wp14:anchorId="6485A47E" wp14:editId="76046B7C">
            <wp:extent cx="5303520" cy="4930972"/>
            <wp:effectExtent l="0" t="0" r="0" b="3175"/>
            <wp:docPr id="755053723" name="Picture 3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053723" name="Picture 37" descr="A screenshot of a graph&#10;&#10;Description automatically generated"/>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314425" cy="4941111"/>
                    </a:xfrm>
                    <a:prstGeom prst="rect">
                      <a:avLst/>
                    </a:prstGeom>
                  </pic:spPr>
                </pic:pic>
              </a:graphicData>
            </a:graphic>
          </wp:inline>
        </w:drawing>
      </w:r>
    </w:p>
    <w:p w14:paraId="32B8AC4A" w14:textId="579635B8" w:rsidR="00B86FB3" w:rsidRPr="00FF756A" w:rsidRDefault="008E7DE9" w:rsidP="008E7DE9">
      <w:pPr>
        <w:pStyle w:val="Caption"/>
        <w:jc w:val="center"/>
        <w:rPr>
          <w:rFonts w:ascii="Times New Roman" w:hAnsi="Times New Roman"/>
        </w:rPr>
      </w:pPr>
      <w:bookmarkStart w:id="762" w:name="_Toc183016656"/>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126</w:t>
      </w:r>
      <w:r w:rsidRPr="00FF756A">
        <w:rPr>
          <w:rFonts w:ascii="Times New Roman" w:hAnsi="Times New Roman"/>
          <w:noProof/>
        </w:rPr>
        <w:fldChar w:fldCharType="end"/>
      </w:r>
      <w:r w:rsidRPr="00FF756A">
        <w:rPr>
          <w:rFonts w:ascii="Times New Roman" w:hAnsi="Times New Roman"/>
        </w:rPr>
        <w:t>: Reduktimet e shkarkimeve të GES-ve [kt CO2eq] për disa masa të caktuara që janë objekt i skenarit WAM. Menaxhimi i pyjeve nuk paraqitet për efekt qartësie</w:t>
      </w:r>
      <w:bookmarkEnd w:id="762"/>
    </w:p>
    <w:p w14:paraId="7B736989" w14:textId="77777777" w:rsidR="00B86FB3" w:rsidRPr="00FF756A" w:rsidRDefault="00B86FB3" w:rsidP="00B86FB3">
      <w:pPr>
        <w:rPr>
          <w:lang w:eastAsia="ja-JP"/>
        </w:rPr>
      </w:pPr>
    </w:p>
    <w:p w14:paraId="0B2F70C9" w14:textId="77777777" w:rsidR="008E7DE9" w:rsidRPr="00FF756A" w:rsidRDefault="00B86FB3" w:rsidP="008E7DE9">
      <w:pPr>
        <w:keepNext/>
      </w:pPr>
      <w:r w:rsidRPr="00FF756A">
        <w:rPr>
          <w:noProof/>
          <w:lang w:val="en-US"/>
        </w:rPr>
        <w:drawing>
          <wp:inline distT="0" distB="0" distL="0" distR="0" wp14:anchorId="229C5B9A" wp14:editId="6372D79E">
            <wp:extent cx="5654649" cy="3375381"/>
            <wp:effectExtent l="0" t="0" r="3810" b="0"/>
            <wp:docPr id="1126282181" name="Picture 36"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282181" name="Picture 36" descr="A graph of a number of people&#10;&#10;Description automatically generated with medium confidenc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668773" cy="3383812"/>
                    </a:xfrm>
                    <a:prstGeom prst="rect">
                      <a:avLst/>
                    </a:prstGeom>
                  </pic:spPr>
                </pic:pic>
              </a:graphicData>
            </a:graphic>
          </wp:inline>
        </w:drawing>
      </w:r>
    </w:p>
    <w:p w14:paraId="3B285F6A" w14:textId="3EE01735" w:rsidR="008E7DE9" w:rsidRPr="00FF756A" w:rsidRDefault="008E7DE9" w:rsidP="008E7DE9">
      <w:pPr>
        <w:pStyle w:val="Caption"/>
        <w:rPr>
          <w:rFonts w:ascii="Times New Roman" w:hAnsi="Times New Roman"/>
        </w:rPr>
      </w:pPr>
      <w:bookmarkStart w:id="763" w:name="_Toc183016657"/>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127</w:t>
      </w:r>
      <w:r w:rsidRPr="00FF756A">
        <w:rPr>
          <w:rFonts w:ascii="Times New Roman" w:hAnsi="Times New Roman"/>
          <w:noProof/>
        </w:rPr>
        <w:fldChar w:fldCharType="end"/>
      </w:r>
      <w:r w:rsidRPr="00FF756A">
        <w:rPr>
          <w:rFonts w:ascii="Times New Roman" w:hAnsi="Times New Roman"/>
        </w:rPr>
        <w:t>: Reduktimet e shkarkimeve të GES-ve për të gjitha politikat dhe masat e zbatuara individualisht (kolonat e sipërme) dhe ato të zbatuara bashkërisht në skenarin WAM (kolonat e dyta). Me qëllim dhënien e një panorame sa më të plotë, këtu janë paraqitur reduktimet e shkarkimeve të GES-ve nga tre PM-të më ndikimin më të lartë.</w:t>
      </w:r>
      <w:bookmarkEnd w:id="763"/>
    </w:p>
    <w:p w14:paraId="13CFBD7F" w14:textId="77777777" w:rsidR="00B86FB3" w:rsidRPr="00FF756A" w:rsidRDefault="00B86FB3" w:rsidP="00B86FB3">
      <w:pPr>
        <w:spacing w:line="240" w:lineRule="auto"/>
        <w:rPr>
          <w:rFonts w:eastAsia="Times New Roman"/>
          <w:b/>
          <w:bCs/>
          <w:color w:val="4F81BD"/>
          <w:sz w:val="18"/>
          <w:szCs w:val="18"/>
          <w:lang w:eastAsia="ja-JP"/>
        </w:rPr>
      </w:pPr>
    </w:p>
    <w:tbl>
      <w:tblPr>
        <w:tblStyle w:val="GridTable5DarkAccent10"/>
        <w:tblW w:w="0" w:type="auto"/>
        <w:tblLook w:val="04A0" w:firstRow="1" w:lastRow="0" w:firstColumn="1" w:lastColumn="0" w:noHBand="0" w:noVBand="1"/>
      </w:tblPr>
      <w:tblGrid>
        <w:gridCol w:w="1146"/>
        <w:gridCol w:w="2756"/>
        <w:gridCol w:w="1032"/>
        <w:gridCol w:w="1032"/>
        <w:gridCol w:w="1032"/>
        <w:gridCol w:w="1032"/>
        <w:gridCol w:w="1032"/>
      </w:tblGrid>
      <w:tr w:rsidR="00B86FB3" w:rsidRPr="00FF756A" w14:paraId="4439D3E6" w14:textId="77777777" w:rsidTr="006A3266">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23A577A5" w14:textId="77777777" w:rsidR="00B86FB3" w:rsidRPr="00FF756A" w:rsidRDefault="00B86FB3" w:rsidP="00B86FB3">
            <w:pPr>
              <w:jc w:val="left"/>
              <w:rPr>
                <w:rFonts w:cs="Times New Roman"/>
                <w:b w:val="0"/>
                <w:sz w:val="18"/>
              </w:rPr>
            </w:pPr>
            <w:r w:rsidRPr="00FF756A">
              <w:rPr>
                <w:rFonts w:cs="Times New Roman"/>
                <w:sz w:val="18"/>
              </w:rPr>
              <w:t>Shkurtimi</w:t>
            </w:r>
          </w:p>
        </w:tc>
        <w:tc>
          <w:tcPr>
            <w:tcW w:w="2756" w:type="dxa"/>
            <w:noWrap/>
            <w:hideMark/>
          </w:tcPr>
          <w:p w14:paraId="1DEBCBDC"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 w:val="0"/>
                <w:sz w:val="18"/>
              </w:rPr>
            </w:pPr>
            <w:r w:rsidRPr="00FF756A">
              <w:rPr>
                <w:rFonts w:cs="Times New Roman"/>
                <w:sz w:val="18"/>
              </w:rPr>
              <w:t>Emri i shkurtuar</w:t>
            </w:r>
          </w:p>
        </w:tc>
        <w:tc>
          <w:tcPr>
            <w:tcW w:w="1032" w:type="dxa"/>
            <w:noWrap/>
            <w:hideMark/>
          </w:tcPr>
          <w:p w14:paraId="79F8855E"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 w:val="0"/>
                <w:sz w:val="18"/>
              </w:rPr>
            </w:pPr>
            <w:r w:rsidRPr="00FF756A">
              <w:rPr>
                <w:rFonts w:cs="Times New Roman"/>
                <w:sz w:val="18"/>
              </w:rPr>
              <w:t>2020</w:t>
            </w:r>
          </w:p>
        </w:tc>
        <w:tc>
          <w:tcPr>
            <w:tcW w:w="1032" w:type="dxa"/>
            <w:noWrap/>
            <w:hideMark/>
          </w:tcPr>
          <w:p w14:paraId="4E216E2B"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 w:val="0"/>
                <w:sz w:val="18"/>
              </w:rPr>
            </w:pPr>
            <w:r w:rsidRPr="00FF756A">
              <w:rPr>
                <w:rFonts w:cs="Times New Roman"/>
                <w:sz w:val="18"/>
              </w:rPr>
              <w:t>2025</w:t>
            </w:r>
          </w:p>
        </w:tc>
        <w:tc>
          <w:tcPr>
            <w:tcW w:w="1032" w:type="dxa"/>
            <w:noWrap/>
            <w:hideMark/>
          </w:tcPr>
          <w:p w14:paraId="738C4DBF"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 w:val="0"/>
                <w:sz w:val="18"/>
              </w:rPr>
            </w:pPr>
            <w:r w:rsidRPr="00FF756A">
              <w:rPr>
                <w:rFonts w:cs="Times New Roman"/>
                <w:sz w:val="18"/>
              </w:rPr>
              <w:t>2030</w:t>
            </w:r>
          </w:p>
        </w:tc>
        <w:tc>
          <w:tcPr>
            <w:tcW w:w="1032" w:type="dxa"/>
            <w:noWrap/>
            <w:hideMark/>
          </w:tcPr>
          <w:p w14:paraId="688F8854"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 w:val="0"/>
                <w:sz w:val="18"/>
              </w:rPr>
            </w:pPr>
            <w:r w:rsidRPr="00FF756A">
              <w:rPr>
                <w:rFonts w:cs="Times New Roman"/>
                <w:sz w:val="18"/>
              </w:rPr>
              <w:t>2040</w:t>
            </w:r>
          </w:p>
        </w:tc>
        <w:tc>
          <w:tcPr>
            <w:tcW w:w="1032" w:type="dxa"/>
            <w:noWrap/>
            <w:hideMark/>
          </w:tcPr>
          <w:p w14:paraId="656DE6BD" w14:textId="77777777" w:rsidR="00B86FB3" w:rsidRPr="00FF756A" w:rsidRDefault="00B86FB3" w:rsidP="00B86FB3">
            <w:pPr>
              <w:cnfStyle w:val="100000000000" w:firstRow="1" w:lastRow="0" w:firstColumn="0" w:lastColumn="0" w:oddVBand="0" w:evenVBand="0" w:oddHBand="0" w:evenHBand="0" w:firstRowFirstColumn="0" w:firstRowLastColumn="0" w:lastRowFirstColumn="0" w:lastRowLastColumn="0"/>
              <w:rPr>
                <w:rFonts w:cs="Times New Roman"/>
                <w:b w:val="0"/>
                <w:sz w:val="18"/>
              </w:rPr>
            </w:pPr>
            <w:r w:rsidRPr="00FF756A">
              <w:rPr>
                <w:rFonts w:cs="Times New Roman"/>
                <w:sz w:val="18"/>
              </w:rPr>
              <w:t>2050</w:t>
            </w:r>
          </w:p>
        </w:tc>
      </w:tr>
      <w:tr w:rsidR="00B86FB3" w:rsidRPr="00FF756A" w14:paraId="25395C64"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79830654" w14:textId="77777777" w:rsidR="00B86FB3" w:rsidRPr="00FF756A" w:rsidRDefault="00B86FB3" w:rsidP="00B86FB3">
            <w:pPr>
              <w:jc w:val="left"/>
              <w:rPr>
                <w:rFonts w:cs="Times New Roman"/>
                <w:sz w:val="18"/>
              </w:rPr>
            </w:pPr>
            <w:r w:rsidRPr="00FF756A">
              <w:rPr>
                <w:rFonts w:cs="Times New Roman"/>
                <w:sz w:val="18"/>
              </w:rPr>
              <w:t>EE C1</w:t>
            </w:r>
          </w:p>
        </w:tc>
        <w:tc>
          <w:tcPr>
            <w:tcW w:w="2756" w:type="dxa"/>
            <w:noWrap/>
            <w:hideMark/>
          </w:tcPr>
          <w:p w14:paraId="3296B44F" w14:textId="77777777" w:rsidR="00B86FB3" w:rsidRPr="00FF756A" w:rsidRDefault="00B86FB3" w:rsidP="00B86FB3">
            <w:pPr>
              <w:jc w:val="left"/>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Etiketimi dhe ekodizajni i energjisë</w:t>
            </w:r>
          </w:p>
        </w:tc>
        <w:tc>
          <w:tcPr>
            <w:tcW w:w="1032" w:type="dxa"/>
            <w:noWrap/>
            <w:hideMark/>
          </w:tcPr>
          <w:p w14:paraId="5A9014D6"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0,2</w:t>
            </w:r>
          </w:p>
        </w:tc>
        <w:tc>
          <w:tcPr>
            <w:tcW w:w="1032" w:type="dxa"/>
            <w:noWrap/>
            <w:hideMark/>
          </w:tcPr>
          <w:p w14:paraId="647C4349"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1,6</w:t>
            </w:r>
          </w:p>
        </w:tc>
        <w:tc>
          <w:tcPr>
            <w:tcW w:w="1032" w:type="dxa"/>
            <w:shd w:val="clear" w:color="auto" w:fill="4472C4" w:themeFill="accent1"/>
            <w:noWrap/>
            <w:hideMark/>
          </w:tcPr>
          <w:p w14:paraId="0E2E36CB"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3,0</w:t>
            </w:r>
          </w:p>
        </w:tc>
        <w:tc>
          <w:tcPr>
            <w:tcW w:w="1032" w:type="dxa"/>
            <w:noWrap/>
            <w:hideMark/>
          </w:tcPr>
          <w:p w14:paraId="1DF8B31C"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6,3</w:t>
            </w:r>
          </w:p>
        </w:tc>
        <w:tc>
          <w:tcPr>
            <w:tcW w:w="1032" w:type="dxa"/>
            <w:noWrap/>
            <w:hideMark/>
          </w:tcPr>
          <w:p w14:paraId="68FBF6D6"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-24,9</w:t>
            </w:r>
          </w:p>
        </w:tc>
      </w:tr>
      <w:tr w:rsidR="00B86FB3" w:rsidRPr="00FF756A" w14:paraId="300A1276"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249A2A58" w14:textId="77777777" w:rsidR="00B86FB3" w:rsidRPr="00FF756A" w:rsidRDefault="00B86FB3" w:rsidP="00B86FB3">
            <w:pPr>
              <w:jc w:val="left"/>
              <w:rPr>
                <w:rFonts w:cs="Times New Roman"/>
                <w:sz w:val="18"/>
              </w:rPr>
            </w:pPr>
            <w:r w:rsidRPr="00FF756A">
              <w:rPr>
                <w:rFonts w:cs="Times New Roman"/>
                <w:sz w:val="18"/>
              </w:rPr>
              <w:t xml:space="preserve">ES P2 </w:t>
            </w:r>
          </w:p>
        </w:tc>
        <w:tc>
          <w:tcPr>
            <w:tcW w:w="2756" w:type="dxa"/>
            <w:noWrap/>
            <w:hideMark/>
          </w:tcPr>
          <w:p w14:paraId="4957266B" w14:textId="77777777" w:rsidR="00B86FB3" w:rsidRPr="00FF756A" w:rsidRDefault="00B86FB3" w:rsidP="00B86FB3">
            <w:pPr>
              <w:jc w:val="left"/>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Impianti fotovoltaik lundrues i Banjës dhe Vaut të Dejës</w:t>
            </w:r>
          </w:p>
        </w:tc>
        <w:tc>
          <w:tcPr>
            <w:tcW w:w="1032" w:type="dxa"/>
            <w:noWrap/>
            <w:hideMark/>
          </w:tcPr>
          <w:p w14:paraId="2F69B668"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noWrap/>
            <w:hideMark/>
          </w:tcPr>
          <w:p w14:paraId="05877DF7"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shd w:val="clear" w:color="auto" w:fill="4472C4" w:themeFill="accent1"/>
            <w:noWrap/>
            <w:hideMark/>
          </w:tcPr>
          <w:p w14:paraId="39F81977"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0,0</w:t>
            </w:r>
          </w:p>
        </w:tc>
        <w:tc>
          <w:tcPr>
            <w:tcW w:w="1032" w:type="dxa"/>
            <w:noWrap/>
            <w:hideMark/>
          </w:tcPr>
          <w:p w14:paraId="7DF5AE90"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noWrap/>
            <w:hideMark/>
          </w:tcPr>
          <w:p w14:paraId="5536BD54"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-1,5</w:t>
            </w:r>
          </w:p>
        </w:tc>
      </w:tr>
      <w:tr w:rsidR="00B86FB3" w:rsidRPr="00FF756A" w14:paraId="3E09E941"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0D7315A2" w14:textId="77777777" w:rsidR="00B86FB3" w:rsidRPr="00FF756A" w:rsidRDefault="00B86FB3" w:rsidP="00B86FB3">
            <w:pPr>
              <w:jc w:val="left"/>
              <w:rPr>
                <w:rFonts w:cs="Times New Roman"/>
                <w:sz w:val="18"/>
              </w:rPr>
            </w:pPr>
            <w:r w:rsidRPr="00FF756A">
              <w:rPr>
                <w:rFonts w:cs="Times New Roman"/>
                <w:sz w:val="18"/>
              </w:rPr>
              <w:t>ES P2</w:t>
            </w:r>
          </w:p>
        </w:tc>
        <w:tc>
          <w:tcPr>
            <w:tcW w:w="2756" w:type="dxa"/>
            <w:noWrap/>
            <w:hideMark/>
          </w:tcPr>
          <w:p w14:paraId="13119663" w14:textId="77777777" w:rsidR="00B86FB3" w:rsidRPr="00FF756A" w:rsidRDefault="00B86FB3" w:rsidP="00B86FB3">
            <w:pPr>
              <w:jc w:val="left"/>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HEC Skavica</w:t>
            </w:r>
          </w:p>
        </w:tc>
        <w:tc>
          <w:tcPr>
            <w:tcW w:w="1032" w:type="dxa"/>
            <w:noWrap/>
            <w:hideMark/>
          </w:tcPr>
          <w:p w14:paraId="24C2FFBA"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noWrap/>
            <w:hideMark/>
          </w:tcPr>
          <w:p w14:paraId="67D9390B"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shd w:val="clear" w:color="auto" w:fill="4472C4" w:themeFill="accent1"/>
            <w:noWrap/>
            <w:hideMark/>
          </w:tcPr>
          <w:p w14:paraId="136E36DC"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0,0</w:t>
            </w:r>
          </w:p>
        </w:tc>
        <w:tc>
          <w:tcPr>
            <w:tcW w:w="1032" w:type="dxa"/>
            <w:noWrap/>
            <w:hideMark/>
          </w:tcPr>
          <w:p w14:paraId="063B63ED"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-6,0</w:t>
            </w:r>
          </w:p>
        </w:tc>
        <w:tc>
          <w:tcPr>
            <w:tcW w:w="1032" w:type="dxa"/>
            <w:noWrap/>
            <w:hideMark/>
          </w:tcPr>
          <w:p w14:paraId="2F7531F2"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-52,4</w:t>
            </w:r>
          </w:p>
        </w:tc>
      </w:tr>
      <w:tr w:rsidR="00B86FB3" w:rsidRPr="00FF756A" w14:paraId="65342BCA"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1D464260" w14:textId="77777777" w:rsidR="00B86FB3" w:rsidRPr="00FF756A" w:rsidRDefault="00B86FB3" w:rsidP="00B86FB3">
            <w:pPr>
              <w:jc w:val="left"/>
              <w:rPr>
                <w:rFonts w:cs="Times New Roman"/>
                <w:sz w:val="18"/>
              </w:rPr>
            </w:pPr>
            <w:r w:rsidRPr="00FF756A">
              <w:rPr>
                <w:rFonts w:cs="Times New Roman"/>
                <w:sz w:val="18"/>
              </w:rPr>
              <w:t>R E1</w:t>
            </w:r>
          </w:p>
        </w:tc>
        <w:tc>
          <w:tcPr>
            <w:tcW w:w="2756" w:type="dxa"/>
            <w:noWrap/>
            <w:hideMark/>
          </w:tcPr>
          <w:p w14:paraId="2B6D1599" w14:textId="77777777" w:rsidR="00B86FB3" w:rsidRPr="00FF756A" w:rsidRDefault="00B86FB3" w:rsidP="00B86FB3">
            <w:pPr>
              <w:jc w:val="left"/>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Panelet diellore me montim në soletë</w:t>
            </w:r>
          </w:p>
        </w:tc>
        <w:tc>
          <w:tcPr>
            <w:tcW w:w="1032" w:type="dxa"/>
            <w:noWrap/>
            <w:hideMark/>
          </w:tcPr>
          <w:p w14:paraId="12E25551"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noWrap/>
            <w:hideMark/>
          </w:tcPr>
          <w:p w14:paraId="0FEFC9E3"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shd w:val="clear" w:color="auto" w:fill="4472C4" w:themeFill="accent1"/>
            <w:noWrap/>
            <w:hideMark/>
          </w:tcPr>
          <w:p w14:paraId="7D20CB8C"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0,0</w:t>
            </w:r>
          </w:p>
        </w:tc>
        <w:tc>
          <w:tcPr>
            <w:tcW w:w="1032" w:type="dxa"/>
            <w:noWrap/>
            <w:hideMark/>
          </w:tcPr>
          <w:p w14:paraId="6E2DC200"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-1,2</w:t>
            </w:r>
          </w:p>
        </w:tc>
        <w:tc>
          <w:tcPr>
            <w:tcW w:w="1032" w:type="dxa"/>
            <w:noWrap/>
            <w:hideMark/>
          </w:tcPr>
          <w:p w14:paraId="6C787BD9"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-33,7</w:t>
            </w:r>
          </w:p>
        </w:tc>
      </w:tr>
      <w:tr w:rsidR="00B86FB3" w:rsidRPr="00FF756A" w14:paraId="2AFFEC90"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1D80DD3F" w14:textId="77777777" w:rsidR="00B86FB3" w:rsidRPr="00FF756A" w:rsidRDefault="00B86FB3" w:rsidP="00B86FB3">
            <w:pPr>
              <w:jc w:val="left"/>
              <w:rPr>
                <w:rFonts w:cs="Times New Roman"/>
                <w:sz w:val="18"/>
              </w:rPr>
            </w:pPr>
            <w:r w:rsidRPr="00FF756A">
              <w:rPr>
                <w:rFonts w:cs="Times New Roman"/>
                <w:sz w:val="18"/>
              </w:rPr>
              <w:t>R E2</w:t>
            </w:r>
          </w:p>
        </w:tc>
        <w:tc>
          <w:tcPr>
            <w:tcW w:w="2756" w:type="dxa"/>
            <w:noWrap/>
            <w:hideMark/>
          </w:tcPr>
          <w:p w14:paraId="73B46CD6" w14:textId="77777777" w:rsidR="00B86FB3" w:rsidRPr="00FF756A" w:rsidRDefault="00B86FB3" w:rsidP="00B86FB3">
            <w:pPr>
              <w:jc w:val="left"/>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Impiantet fotovoltaike dhe eolike në ankand</w:t>
            </w:r>
          </w:p>
        </w:tc>
        <w:tc>
          <w:tcPr>
            <w:tcW w:w="1032" w:type="dxa"/>
            <w:noWrap/>
            <w:hideMark/>
          </w:tcPr>
          <w:p w14:paraId="6BC03B5C"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noWrap/>
            <w:hideMark/>
          </w:tcPr>
          <w:p w14:paraId="48B22EBC"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shd w:val="clear" w:color="auto" w:fill="4472C4" w:themeFill="accent1"/>
            <w:noWrap/>
            <w:hideMark/>
          </w:tcPr>
          <w:p w14:paraId="76B7B4F1"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0,0</w:t>
            </w:r>
          </w:p>
        </w:tc>
        <w:tc>
          <w:tcPr>
            <w:tcW w:w="1032" w:type="dxa"/>
            <w:noWrap/>
            <w:hideMark/>
          </w:tcPr>
          <w:p w14:paraId="00A568CE"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-49,8</w:t>
            </w:r>
          </w:p>
        </w:tc>
        <w:tc>
          <w:tcPr>
            <w:tcW w:w="1032" w:type="dxa"/>
            <w:noWrap/>
            <w:hideMark/>
          </w:tcPr>
          <w:p w14:paraId="64B26600"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-81,1</w:t>
            </w:r>
          </w:p>
        </w:tc>
      </w:tr>
      <w:tr w:rsidR="00B86FB3" w:rsidRPr="00FF756A" w14:paraId="65DF3157"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37231818" w14:textId="77777777" w:rsidR="00B86FB3" w:rsidRPr="00FF756A" w:rsidRDefault="00B86FB3" w:rsidP="00B86FB3">
            <w:pPr>
              <w:jc w:val="left"/>
              <w:rPr>
                <w:rFonts w:cs="Times New Roman"/>
                <w:sz w:val="18"/>
                <w:highlight w:val="green"/>
              </w:rPr>
            </w:pPr>
            <w:r w:rsidRPr="00FF756A">
              <w:rPr>
                <w:rFonts w:cs="Times New Roman"/>
                <w:sz w:val="18"/>
              </w:rPr>
              <w:t>G I3</w:t>
            </w:r>
          </w:p>
        </w:tc>
        <w:tc>
          <w:tcPr>
            <w:tcW w:w="2756" w:type="dxa"/>
            <w:noWrap/>
            <w:hideMark/>
          </w:tcPr>
          <w:p w14:paraId="58602B02" w14:textId="77777777" w:rsidR="00B86FB3" w:rsidRPr="00FF756A" w:rsidRDefault="00B86FB3" w:rsidP="00B86FB3">
            <w:pPr>
              <w:jc w:val="left"/>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Prodhimi i çimentos</w:t>
            </w:r>
          </w:p>
        </w:tc>
        <w:tc>
          <w:tcPr>
            <w:tcW w:w="1032" w:type="dxa"/>
            <w:noWrap/>
            <w:hideMark/>
          </w:tcPr>
          <w:p w14:paraId="7C5EC0D7"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noWrap/>
            <w:hideMark/>
          </w:tcPr>
          <w:p w14:paraId="5A19057E"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shd w:val="clear" w:color="auto" w:fill="4472C4" w:themeFill="accent1"/>
            <w:noWrap/>
            <w:hideMark/>
          </w:tcPr>
          <w:p w14:paraId="0CF4A9B0"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0,0</w:t>
            </w:r>
          </w:p>
        </w:tc>
        <w:tc>
          <w:tcPr>
            <w:tcW w:w="1032" w:type="dxa"/>
            <w:noWrap/>
            <w:hideMark/>
          </w:tcPr>
          <w:p w14:paraId="211E8288"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-1470,8</w:t>
            </w:r>
          </w:p>
        </w:tc>
        <w:tc>
          <w:tcPr>
            <w:tcW w:w="1032" w:type="dxa"/>
            <w:noWrap/>
            <w:hideMark/>
          </w:tcPr>
          <w:p w14:paraId="2A825AB9"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-2045,7</w:t>
            </w:r>
          </w:p>
        </w:tc>
      </w:tr>
      <w:tr w:rsidR="00B86FB3" w:rsidRPr="00FF756A" w14:paraId="4F733C24"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3E74B10B" w14:textId="77777777" w:rsidR="00B86FB3" w:rsidRPr="00FF756A" w:rsidRDefault="00B86FB3" w:rsidP="00B86FB3">
            <w:pPr>
              <w:jc w:val="left"/>
              <w:rPr>
                <w:rFonts w:cs="Times New Roman"/>
                <w:sz w:val="18"/>
              </w:rPr>
            </w:pPr>
            <w:r w:rsidRPr="00FF756A">
              <w:rPr>
                <w:rFonts w:cs="Times New Roman"/>
                <w:sz w:val="18"/>
              </w:rPr>
              <w:t xml:space="preserve">EE P1 </w:t>
            </w:r>
          </w:p>
        </w:tc>
        <w:tc>
          <w:tcPr>
            <w:tcW w:w="2756" w:type="dxa"/>
            <w:noWrap/>
            <w:hideMark/>
          </w:tcPr>
          <w:p w14:paraId="1DB8D60E" w14:textId="77777777" w:rsidR="00B86FB3" w:rsidRPr="00FF756A" w:rsidRDefault="00B86FB3" w:rsidP="00B86FB3">
            <w:pPr>
              <w:jc w:val="left"/>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Prokurimi publik</w:t>
            </w:r>
          </w:p>
        </w:tc>
        <w:tc>
          <w:tcPr>
            <w:tcW w:w="1032" w:type="dxa"/>
            <w:noWrap/>
            <w:hideMark/>
          </w:tcPr>
          <w:p w14:paraId="56F88F82"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noWrap/>
            <w:hideMark/>
          </w:tcPr>
          <w:p w14:paraId="18A63F74"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-0,2</w:t>
            </w:r>
          </w:p>
        </w:tc>
        <w:tc>
          <w:tcPr>
            <w:tcW w:w="1032" w:type="dxa"/>
            <w:shd w:val="clear" w:color="auto" w:fill="4472C4" w:themeFill="accent1"/>
            <w:noWrap/>
            <w:hideMark/>
          </w:tcPr>
          <w:p w14:paraId="3CDCF4B8"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-0,4</w:t>
            </w:r>
          </w:p>
        </w:tc>
        <w:tc>
          <w:tcPr>
            <w:tcW w:w="1032" w:type="dxa"/>
            <w:noWrap/>
            <w:hideMark/>
          </w:tcPr>
          <w:p w14:paraId="03A51DCD"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-0,6</w:t>
            </w:r>
          </w:p>
        </w:tc>
        <w:tc>
          <w:tcPr>
            <w:tcW w:w="1032" w:type="dxa"/>
            <w:noWrap/>
            <w:hideMark/>
          </w:tcPr>
          <w:p w14:paraId="7074E49D"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-0,7</w:t>
            </w:r>
          </w:p>
        </w:tc>
      </w:tr>
      <w:tr w:rsidR="00B86FB3" w:rsidRPr="00FF756A" w14:paraId="572F17B0"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12D71A81" w14:textId="77777777" w:rsidR="00B86FB3" w:rsidRPr="00FF756A" w:rsidRDefault="00B86FB3" w:rsidP="00B86FB3">
            <w:pPr>
              <w:jc w:val="left"/>
              <w:rPr>
                <w:rFonts w:cs="Times New Roman"/>
                <w:sz w:val="18"/>
              </w:rPr>
            </w:pPr>
            <w:r w:rsidRPr="00FF756A">
              <w:rPr>
                <w:rFonts w:cs="Times New Roman"/>
                <w:sz w:val="18"/>
              </w:rPr>
              <w:t>EE L2</w:t>
            </w:r>
          </w:p>
        </w:tc>
        <w:tc>
          <w:tcPr>
            <w:tcW w:w="2756" w:type="dxa"/>
            <w:noWrap/>
            <w:hideMark/>
          </w:tcPr>
          <w:p w14:paraId="61209024" w14:textId="77777777" w:rsidR="00B86FB3" w:rsidRPr="00FF756A" w:rsidRDefault="00B86FB3" w:rsidP="00B86FB3">
            <w:pPr>
              <w:jc w:val="left"/>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Rinovimi i godinave publike</w:t>
            </w:r>
          </w:p>
        </w:tc>
        <w:tc>
          <w:tcPr>
            <w:tcW w:w="1032" w:type="dxa"/>
            <w:noWrap/>
            <w:hideMark/>
          </w:tcPr>
          <w:p w14:paraId="3946A7A5"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noWrap/>
            <w:hideMark/>
          </w:tcPr>
          <w:p w14:paraId="669A345D"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-3,2</w:t>
            </w:r>
          </w:p>
        </w:tc>
        <w:tc>
          <w:tcPr>
            <w:tcW w:w="1032" w:type="dxa"/>
            <w:shd w:val="clear" w:color="auto" w:fill="4472C4" w:themeFill="accent1"/>
            <w:noWrap/>
            <w:hideMark/>
          </w:tcPr>
          <w:p w14:paraId="44D7C24E"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-5,9</w:t>
            </w:r>
          </w:p>
        </w:tc>
        <w:tc>
          <w:tcPr>
            <w:tcW w:w="1032" w:type="dxa"/>
            <w:noWrap/>
            <w:hideMark/>
          </w:tcPr>
          <w:p w14:paraId="2446011B"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-8,6</w:t>
            </w:r>
          </w:p>
        </w:tc>
        <w:tc>
          <w:tcPr>
            <w:tcW w:w="1032" w:type="dxa"/>
            <w:noWrap/>
            <w:hideMark/>
          </w:tcPr>
          <w:p w14:paraId="2CA52953"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-14,8</w:t>
            </w:r>
          </w:p>
        </w:tc>
      </w:tr>
      <w:tr w:rsidR="00B86FB3" w:rsidRPr="00FF756A" w14:paraId="0016E0F0"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44ACA02A" w14:textId="77777777" w:rsidR="00B86FB3" w:rsidRPr="00FF756A" w:rsidRDefault="00B86FB3" w:rsidP="00B86FB3">
            <w:pPr>
              <w:jc w:val="left"/>
              <w:rPr>
                <w:rFonts w:cs="Times New Roman"/>
                <w:sz w:val="18"/>
              </w:rPr>
            </w:pPr>
            <w:r w:rsidRPr="00FF756A">
              <w:rPr>
                <w:rFonts w:cs="Times New Roman"/>
                <w:sz w:val="18"/>
              </w:rPr>
              <w:t>G I1</w:t>
            </w:r>
          </w:p>
        </w:tc>
        <w:tc>
          <w:tcPr>
            <w:tcW w:w="2756" w:type="dxa"/>
            <w:noWrap/>
            <w:hideMark/>
          </w:tcPr>
          <w:p w14:paraId="2D89544F" w14:textId="77777777" w:rsidR="00B86FB3" w:rsidRPr="00FF756A" w:rsidRDefault="00B86FB3" w:rsidP="00B86FB3">
            <w:pPr>
              <w:jc w:val="left"/>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Zbatimi i ETS-së</w:t>
            </w:r>
          </w:p>
        </w:tc>
        <w:tc>
          <w:tcPr>
            <w:tcW w:w="1032" w:type="dxa"/>
            <w:noWrap/>
            <w:hideMark/>
          </w:tcPr>
          <w:p w14:paraId="08742781"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noWrap/>
            <w:hideMark/>
          </w:tcPr>
          <w:p w14:paraId="6B1C3A4E"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shd w:val="clear" w:color="auto" w:fill="4472C4" w:themeFill="accent1"/>
            <w:noWrap/>
            <w:hideMark/>
          </w:tcPr>
          <w:p w14:paraId="34F5B640"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-11,7</w:t>
            </w:r>
          </w:p>
        </w:tc>
        <w:tc>
          <w:tcPr>
            <w:tcW w:w="1032" w:type="dxa"/>
            <w:noWrap/>
            <w:hideMark/>
          </w:tcPr>
          <w:p w14:paraId="515D8F17"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-32,3</w:t>
            </w:r>
          </w:p>
        </w:tc>
        <w:tc>
          <w:tcPr>
            <w:tcW w:w="1032" w:type="dxa"/>
            <w:noWrap/>
            <w:hideMark/>
          </w:tcPr>
          <w:p w14:paraId="0D473708"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-33,3</w:t>
            </w:r>
          </w:p>
        </w:tc>
      </w:tr>
      <w:tr w:rsidR="00B86FB3" w:rsidRPr="00FF756A" w14:paraId="013B5C9C"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08BFFF0E" w14:textId="77777777" w:rsidR="00B86FB3" w:rsidRPr="00FF756A" w:rsidRDefault="00B86FB3" w:rsidP="00B86FB3">
            <w:pPr>
              <w:jc w:val="left"/>
              <w:rPr>
                <w:rFonts w:cs="Times New Roman"/>
                <w:sz w:val="18"/>
              </w:rPr>
            </w:pPr>
            <w:r w:rsidRPr="00FF756A">
              <w:rPr>
                <w:rFonts w:cs="Times New Roman"/>
                <w:sz w:val="18"/>
              </w:rPr>
              <w:t>EE L2, P1, O1</w:t>
            </w:r>
          </w:p>
        </w:tc>
        <w:tc>
          <w:tcPr>
            <w:tcW w:w="2756" w:type="dxa"/>
            <w:noWrap/>
            <w:hideMark/>
          </w:tcPr>
          <w:p w14:paraId="48A8617A" w14:textId="77777777" w:rsidR="00B86FB3" w:rsidRPr="00FF756A" w:rsidRDefault="00B86FB3" w:rsidP="00B86FB3">
            <w:pPr>
              <w:jc w:val="left"/>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Efiçenca e energjisë në sektorin e shërbimeve</w:t>
            </w:r>
          </w:p>
        </w:tc>
        <w:tc>
          <w:tcPr>
            <w:tcW w:w="1032" w:type="dxa"/>
            <w:noWrap/>
            <w:hideMark/>
          </w:tcPr>
          <w:p w14:paraId="7EB05EF3"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noWrap/>
            <w:hideMark/>
          </w:tcPr>
          <w:p w14:paraId="4F3791E7"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-5,3</w:t>
            </w:r>
          </w:p>
        </w:tc>
        <w:tc>
          <w:tcPr>
            <w:tcW w:w="1032" w:type="dxa"/>
            <w:shd w:val="clear" w:color="auto" w:fill="4472C4" w:themeFill="accent1"/>
            <w:noWrap/>
            <w:hideMark/>
          </w:tcPr>
          <w:p w14:paraId="21E52E0D"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-17,1</w:t>
            </w:r>
          </w:p>
        </w:tc>
        <w:tc>
          <w:tcPr>
            <w:tcW w:w="1032" w:type="dxa"/>
            <w:noWrap/>
            <w:hideMark/>
          </w:tcPr>
          <w:p w14:paraId="7024681C"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-38,6</w:t>
            </w:r>
          </w:p>
        </w:tc>
        <w:tc>
          <w:tcPr>
            <w:tcW w:w="1032" w:type="dxa"/>
            <w:noWrap/>
            <w:hideMark/>
          </w:tcPr>
          <w:p w14:paraId="3FBAEDA3"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-86,8</w:t>
            </w:r>
          </w:p>
        </w:tc>
      </w:tr>
      <w:tr w:rsidR="00B86FB3" w:rsidRPr="00FF756A" w14:paraId="4F514FB2"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5D5C90B5" w14:textId="77777777" w:rsidR="00B86FB3" w:rsidRPr="00FF756A" w:rsidRDefault="00B86FB3" w:rsidP="00B86FB3">
            <w:pPr>
              <w:jc w:val="left"/>
              <w:rPr>
                <w:rFonts w:cs="Times New Roman"/>
                <w:sz w:val="18"/>
              </w:rPr>
            </w:pPr>
            <w:r w:rsidRPr="00FF756A">
              <w:rPr>
                <w:rFonts w:cs="Times New Roman"/>
                <w:sz w:val="18"/>
              </w:rPr>
              <w:t xml:space="preserve">EE L1 L3 L4 </w:t>
            </w:r>
          </w:p>
        </w:tc>
        <w:tc>
          <w:tcPr>
            <w:tcW w:w="2756" w:type="dxa"/>
            <w:noWrap/>
            <w:hideMark/>
          </w:tcPr>
          <w:p w14:paraId="432846E6" w14:textId="77777777" w:rsidR="00B86FB3" w:rsidRPr="00FF756A" w:rsidRDefault="00B86FB3" w:rsidP="00B86FB3">
            <w:pPr>
              <w:jc w:val="left"/>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Zbatimi i EPBD-së</w:t>
            </w:r>
          </w:p>
        </w:tc>
        <w:tc>
          <w:tcPr>
            <w:tcW w:w="1032" w:type="dxa"/>
            <w:noWrap/>
            <w:hideMark/>
          </w:tcPr>
          <w:p w14:paraId="7B34AE02"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-0,8</w:t>
            </w:r>
          </w:p>
        </w:tc>
        <w:tc>
          <w:tcPr>
            <w:tcW w:w="1032" w:type="dxa"/>
            <w:noWrap/>
            <w:hideMark/>
          </w:tcPr>
          <w:p w14:paraId="2F04755E"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-11,0</w:t>
            </w:r>
          </w:p>
        </w:tc>
        <w:tc>
          <w:tcPr>
            <w:tcW w:w="1032" w:type="dxa"/>
            <w:shd w:val="clear" w:color="auto" w:fill="4472C4" w:themeFill="accent1"/>
            <w:noWrap/>
            <w:hideMark/>
          </w:tcPr>
          <w:p w14:paraId="59176DB0"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-22,3</w:t>
            </w:r>
          </w:p>
        </w:tc>
        <w:tc>
          <w:tcPr>
            <w:tcW w:w="1032" w:type="dxa"/>
            <w:noWrap/>
            <w:hideMark/>
          </w:tcPr>
          <w:p w14:paraId="72D7F145"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-58,8</w:t>
            </w:r>
          </w:p>
        </w:tc>
        <w:tc>
          <w:tcPr>
            <w:tcW w:w="1032" w:type="dxa"/>
            <w:noWrap/>
            <w:hideMark/>
          </w:tcPr>
          <w:p w14:paraId="614FD954"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-130,0</w:t>
            </w:r>
          </w:p>
        </w:tc>
      </w:tr>
      <w:tr w:rsidR="00B86FB3" w:rsidRPr="00FF756A" w14:paraId="6EC94DA9"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7D6B33E1" w14:textId="77777777" w:rsidR="00B86FB3" w:rsidRPr="00FF756A" w:rsidRDefault="00B86FB3" w:rsidP="00B86FB3">
            <w:pPr>
              <w:jc w:val="left"/>
              <w:rPr>
                <w:rFonts w:cs="Times New Roman"/>
                <w:sz w:val="18"/>
              </w:rPr>
            </w:pPr>
            <w:r w:rsidRPr="00FF756A">
              <w:rPr>
                <w:rFonts w:cs="Times New Roman"/>
                <w:sz w:val="18"/>
              </w:rPr>
              <w:t>R I1</w:t>
            </w:r>
          </w:p>
        </w:tc>
        <w:tc>
          <w:tcPr>
            <w:tcW w:w="2756" w:type="dxa"/>
            <w:noWrap/>
            <w:hideMark/>
          </w:tcPr>
          <w:p w14:paraId="14B2453D" w14:textId="77777777" w:rsidR="00B86FB3" w:rsidRPr="00FF756A" w:rsidRDefault="00B86FB3" w:rsidP="00B86FB3">
            <w:pPr>
              <w:jc w:val="left"/>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ER nga industria joushqimore</w:t>
            </w:r>
          </w:p>
        </w:tc>
        <w:tc>
          <w:tcPr>
            <w:tcW w:w="1032" w:type="dxa"/>
            <w:noWrap/>
            <w:hideMark/>
          </w:tcPr>
          <w:p w14:paraId="1616EA70"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noWrap/>
            <w:hideMark/>
          </w:tcPr>
          <w:p w14:paraId="082C83C9"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shd w:val="clear" w:color="auto" w:fill="4472C4" w:themeFill="accent1"/>
            <w:noWrap/>
            <w:hideMark/>
          </w:tcPr>
          <w:p w14:paraId="2EC8793B"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-27,0</w:t>
            </w:r>
          </w:p>
        </w:tc>
        <w:tc>
          <w:tcPr>
            <w:tcW w:w="1032" w:type="dxa"/>
            <w:noWrap/>
            <w:hideMark/>
          </w:tcPr>
          <w:p w14:paraId="5BDFA3A6"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-74,7</w:t>
            </w:r>
          </w:p>
        </w:tc>
        <w:tc>
          <w:tcPr>
            <w:tcW w:w="1032" w:type="dxa"/>
            <w:noWrap/>
            <w:hideMark/>
          </w:tcPr>
          <w:p w14:paraId="2D9601A1"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-86,8</w:t>
            </w:r>
          </w:p>
        </w:tc>
      </w:tr>
      <w:tr w:rsidR="00B86FB3" w:rsidRPr="00FF756A" w14:paraId="38D28FF4"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3BB533DF" w14:textId="77777777" w:rsidR="00B86FB3" w:rsidRPr="00FF756A" w:rsidRDefault="00B86FB3" w:rsidP="00B86FB3">
            <w:pPr>
              <w:jc w:val="left"/>
              <w:rPr>
                <w:rFonts w:cs="Times New Roman"/>
                <w:sz w:val="18"/>
              </w:rPr>
            </w:pPr>
            <w:r w:rsidRPr="00FF756A">
              <w:rPr>
                <w:rFonts w:cs="Times New Roman"/>
                <w:sz w:val="18"/>
              </w:rPr>
              <w:t>G T1</w:t>
            </w:r>
          </w:p>
        </w:tc>
        <w:tc>
          <w:tcPr>
            <w:tcW w:w="2756" w:type="dxa"/>
            <w:noWrap/>
            <w:hideMark/>
          </w:tcPr>
          <w:p w14:paraId="3193C602" w14:textId="77777777" w:rsidR="00B86FB3" w:rsidRPr="00FF756A" w:rsidRDefault="00B86FB3" w:rsidP="00B86FB3">
            <w:pPr>
              <w:jc w:val="left"/>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Autobusët e linjave ekstra-urbane</w:t>
            </w:r>
          </w:p>
        </w:tc>
        <w:tc>
          <w:tcPr>
            <w:tcW w:w="1032" w:type="dxa"/>
            <w:noWrap/>
            <w:hideMark/>
          </w:tcPr>
          <w:p w14:paraId="0D2005F5"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noWrap/>
            <w:hideMark/>
          </w:tcPr>
          <w:p w14:paraId="20914992"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-20,3</w:t>
            </w:r>
          </w:p>
        </w:tc>
        <w:tc>
          <w:tcPr>
            <w:tcW w:w="1032" w:type="dxa"/>
            <w:shd w:val="clear" w:color="auto" w:fill="4472C4" w:themeFill="accent1"/>
            <w:noWrap/>
            <w:hideMark/>
          </w:tcPr>
          <w:p w14:paraId="00C0170C"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-36,8</w:t>
            </w:r>
          </w:p>
        </w:tc>
        <w:tc>
          <w:tcPr>
            <w:tcW w:w="1032" w:type="dxa"/>
            <w:noWrap/>
            <w:hideMark/>
          </w:tcPr>
          <w:p w14:paraId="6440D2E4"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-38,5</w:t>
            </w:r>
          </w:p>
        </w:tc>
        <w:tc>
          <w:tcPr>
            <w:tcW w:w="1032" w:type="dxa"/>
            <w:noWrap/>
            <w:hideMark/>
          </w:tcPr>
          <w:p w14:paraId="25E76320"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-40,9</w:t>
            </w:r>
          </w:p>
        </w:tc>
      </w:tr>
      <w:tr w:rsidR="00B86FB3" w:rsidRPr="00FF756A" w14:paraId="001685F1"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00E94881" w14:textId="77777777" w:rsidR="00B86FB3" w:rsidRPr="00FF756A" w:rsidRDefault="00B86FB3" w:rsidP="00B86FB3">
            <w:pPr>
              <w:jc w:val="left"/>
              <w:rPr>
                <w:rFonts w:cs="Times New Roman"/>
                <w:sz w:val="18"/>
              </w:rPr>
            </w:pPr>
            <w:r w:rsidRPr="00FF756A">
              <w:rPr>
                <w:rFonts w:cs="Times New Roman"/>
                <w:sz w:val="18"/>
              </w:rPr>
              <w:t>EE E1 E2</w:t>
            </w:r>
          </w:p>
        </w:tc>
        <w:tc>
          <w:tcPr>
            <w:tcW w:w="2756" w:type="dxa"/>
            <w:noWrap/>
            <w:hideMark/>
          </w:tcPr>
          <w:p w14:paraId="108F2D92" w14:textId="77777777" w:rsidR="00B86FB3" w:rsidRPr="00FF756A" w:rsidRDefault="00B86FB3" w:rsidP="00B86FB3">
            <w:pPr>
              <w:jc w:val="left"/>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Auditimet dhe menaxhimi i energjisë</w:t>
            </w:r>
          </w:p>
        </w:tc>
        <w:tc>
          <w:tcPr>
            <w:tcW w:w="1032" w:type="dxa"/>
            <w:noWrap/>
            <w:hideMark/>
          </w:tcPr>
          <w:p w14:paraId="5FD3F010"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-1,0</w:t>
            </w:r>
          </w:p>
        </w:tc>
        <w:tc>
          <w:tcPr>
            <w:tcW w:w="1032" w:type="dxa"/>
            <w:noWrap/>
            <w:hideMark/>
          </w:tcPr>
          <w:p w14:paraId="60AD79BA"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-14,7</w:t>
            </w:r>
          </w:p>
        </w:tc>
        <w:tc>
          <w:tcPr>
            <w:tcW w:w="1032" w:type="dxa"/>
            <w:shd w:val="clear" w:color="auto" w:fill="4472C4" w:themeFill="accent1"/>
            <w:noWrap/>
            <w:hideMark/>
          </w:tcPr>
          <w:p w14:paraId="7A23C9E8"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-38,7</w:t>
            </w:r>
          </w:p>
        </w:tc>
        <w:tc>
          <w:tcPr>
            <w:tcW w:w="1032" w:type="dxa"/>
            <w:noWrap/>
            <w:hideMark/>
          </w:tcPr>
          <w:p w14:paraId="4A05B45A"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-111,3</w:t>
            </w:r>
          </w:p>
        </w:tc>
        <w:tc>
          <w:tcPr>
            <w:tcW w:w="1032" w:type="dxa"/>
            <w:noWrap/>
            <w:hideMark/>
          </w:tcPr>
          <w:p w14:paraId="57E4D043"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-256,7</w:t>
            </w:r>
          </w:p>
        </w:tc>
      </w:tr>
      <w:tr w:rsidR="00B86FB3" w:rsidRPr="00FF756A" w14:paraId="7BAF7A39"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7B1D1BBB" w14:textId="77777777" w:rsidR="00B86FB3" w:rsidRPr="00FF756A" w:rsidRDefault="00B86FB3" w:rsidP="00B86FB3">
            <w:pPr>
              <w:jc w:val="left"/>
              <w:rPr>
                <w:rFonts w:cs="Times New Roman"/>
                <w:sz w:val="18"/>
              </w:rPr>
            </w:pPr>
            <w:r w:rsidRPr="00FF756A">
              <w:rPr>
                <w:rFonts w:cs="Times New Roman"/>
                <w:sz w:val="18"/>
              </w:rPr>
              <w:t>EE O1</w:t>
            </w:r>
          </w:p>
        </w:tc>
        <w:tc>
          <w:tcPr>
            <w:tcW w:w="2756" w:type="dxa"/>
            <w:noWrap/>
            <w:hideMark/>
          </w:tcPr>
          <w:p w14:paraId="26BDC315" w14:textId="77777777" w:rsidR="00B86FB3" w:rsidRPr="00FF756A" w:rsidRDefault="00B86FB3" w:rsidP="00B86FB3">
            <w:pPr>
              <w:jc w:val="left"/>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Skema detyruese për efiçencën e energjisë (SDEE)</w:t>
            </w:r>
          </w:p>
        </w:tc>
        <w:tc>
          <w:tcPr>
            <w:tcW w:w="1032" w:type="dxa"/>
            <w:noWrap/>
            <w:hideMark/>
          </w:tcPr>
          <w:p w14:paraId="58F1BE57"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noWrap/>
            <w:hideMark/>
          </w:tcPr>
          <w:p w14:paraId="4D1FF4E8"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-16,6</w:t>
            </w:r>
          </w:p>
        </w:tc>
        <w:tc>
          <w:tcPr>
            <w:tcW w:w="1032" w:type="dxa"/>
            <w:shd w:val="clear" w:color="auto" w:fill="4472C4" w:themeFill="accent1"/>
            <w:noWrap/>
            <w:hideMark/>
          </w:tcPr>
          <w:p w14:paraId="5E03584C"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-46,3</w:t>
            </w:r>
          </w:p>
        </w:tc>
        <w:tc>
          <w:tcPr>
            <w:tcW w:w="1032" w:type="dxa"/>
            <w:noWrap/>
            <w:hideMark/>
          </w:tcPr>
          <w:p w14:paraId="415F4AA7"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-105,3</w:t>
            </w:r>
          </w:p>
        </w:tc>
        <w:tc>
          <w:tcPr>
            <w:tcW w:w="1032" w:type="dxa"/>
            <w:noWrap/>
            <w:hideMark/>
          </w:tcPr>
          <w:p w14:paraId="7FBFC9D9"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-136,9</w:t>
            </w:r>
          </w:p>
        </w:tc>
      </w:tr>
      <w:tr w:rsidR="00B86FB3" w:rsidRPr="00FF756A" w14:paraId="4E8C84E6"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15F0C83B" w14:textId="77777777" w:rsidR="00B86FB3" w:rsidRPr="00FF756A" w:rsidRDefault="00B86FB3" w:rsidP="00B86FB3">
            <w:pPr>
              <w:jc w:val="left"/>
              <w:rPr>
                <w:rFonts w:cs="Times New Roman"/>
                <w:sz w:val="18"/>
              </w:rPr>
            </w:pPr>
            <w:r w:rsidRPr="00FF756A">
              <w:rPr>
                <w:rFonts w:cs="Times New Roman"/>
                <w:sz w:val="18"/>
              </w:rPr>
              <w:t>EE L1, O1</w:t>
            </w:r>
          </w:p>
        </w:tc>
        <w:tc>
          <w:tcPr>
            <w:tcW w:w="2756" w:type="dxa"/>
            <w:noWrap/>
            <w:hideMark/>
          </w:tcPr>
          <w:p w14:paraId="513E4C16" w14:textId="77777777" w:rsidR="00B86FB3" w:rsidRPr="00FF756A" w:rsidRDefault="00B86FB3" w:rsidP="00B86FB3">
            <w:pPr>
              <w:jc w:val="left"/>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Efiçenca e energjisë në sektorin e banesave</w:t>
            </w:r>
          </w:p>
        </w:tc>
        <w:tc>
          <w:tcPr>
            <w:tcW w:w="1032" w:type="dxa"/>
            <w:noWrap/>
            <w:hideMark/>
          </w:tcPr>
          <w:p w14:paraId="5DF9BADD"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-0,8</w:t>
            </w:r>
          </w:p>
        </w:tc>
        <w:tc>
          <w:tcPr>
            <w:tcW w:w="1032" w:type="dxa"/>
            <w:noWrap/>
            <w:hideMark/>
          </w:tcPr>
          <w:p w14:paraId="50828614"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-25,0</w:t>
            </w:r>
          </w:p>
        </w:tc>
        <w:tc>
          <w:tcPr>
            <w:tcW w:w="1032" w:type="dxa"/>
            <w:shd w:val="clear" w:color="auto" w:fill="4472C4" w:themeFill="accent1"/>
            <w:noWrap/>
            <w:hideMark/>
          </w:tcPr>
          <w:p w14:paraId="3A5E8648"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-53,7</w:t>
            </w:r>
          </w:p>
        </w:tc>
        <w:tc>
          <w:tcPr>
            <w:tcW w:w="1032" w:type="dxa"/>
            <w:noWrap/>
            <w:hideMark/>
          </w:tcPr>
          <w:p w14:paraId="575249E7"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-150,5</w:t>
            </w:r>
          </w:p>
        </w:tc>
        <w:tc>
          <w:tcPr>
            <w:tcW w:w="1032" w:type="dxa"/>
            <w:noWrap/>
            <w:hideMark/>
          </w:tcPr>
          <w:p w14:paraId="0AEA0348"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-156,7</w:t>
            </w:r>
          </w:p>
        </w:tc>
      </w:tr>
      <w:tr w:rsidR="00B86FB3" w:rsidRPr="00FF756A" w14:paraId="76A7198F"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7FD337AE" w14:textId="77777777" w:rsidR="00B86FB3" w:rsidRPr="00FF756A" w:rsidRDefault="00B86FB3" w:rsidP="00B86FB3">
            <w:pPr>
              <w:jc w:val="left"/>
              <w:rPr>
                <w:rFonts w:cs="Times New Roman"/>
                <w:sz w:val="18"/>
              </w:rPr>
            </w:pPr>
            <w:r w:rsidRPr="00FF756A">
              <w:rPr>
                <w:rFonts w:cs="Times New Roman"/>
                <w:sz w:val="18"/>
              </w:rPr>
              <w:t>G T2</w:t>
            </w:r>
          </w:p>
        </w:tc>
        <w:tc>
          <w:tcPr>
            <w:tcW w:w="2756" w:type="dxa"/>
            <w:noWrap/>
            <w:hideMark/>
          </w:tcPr>
          <w:p w14:paraId="650BFD07" w14:textId="77777777" w:rsidR="00B86FB3" w:rsidRPr="00FF756A" w:rsidRDefault="00B86FB3" w:rsidP="00B86FB3">
            <w:pPr>
              <w:jc w:val="left"/>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Menaxhimi i mallrave</w:t>
            </w:r>
          </w:p>
        </w:tc>
        <w:tc>
          <w:tcPr>
            <w:tcW w:w="1032" w:type="dxa"/>
            <w:noWrap/>
            <w:hideMark/>
          </w:tcPr>
          <w:p w14:paraId="17F6E843"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noWrap/>
            <w:hideMark/>
          </w:tcPr>
          <w:p w14:paraId="76390956"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-81,9</w:t>
            </w:r>
          </w:p>
        </w:tc>
        <w:tc>
          <w:tcPr>
            <w:tcW w:w="1032" w:type="dxa"/>
            <w:shd w:val="clear" w:color="auto" w:fill="4472C4" w:themeFill="accent1"/>
            <w:noWrap/>
            <w:hideMark/>
          </w:tcPr>
          <w:p w14:paraId="05280E86"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-125,5</w:t>
            </w:r>
          </w:p>
        </w:tc>
        <w:tc>
          <w:tcPr>
            <w:tcW w:w="1032" w:type="dxa"/>
            <w:noWrap/>
            <w:hideMark/>
          </w:tcPr>
          <w:p w14:paraId="6CC1DBE8"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-149,2</w:t>
            </w:r>
          </w:p>
        </w:tc>
        <w:tc>
          <w:tcPr>
            <w:tcW w:w="1032" w:type="dxa"/>
            <w:noWrap/>
            <w:hideMark/>
          </w:tcPr>
          <w:p w14:paraId="641E3A15"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-183,9</w:t>
            </w:r>
          </w:p>
        </w:tc>
      </w:tr>
      <w:tr w:rsidR="00B86FB3" w:rsidRPr="00FF756A" w14:paraId="5BEC735E"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038C6C4D" w14:textId="77777777" w:rsidR="00B86FB3" w:rsidRPr="00FF756A" w:rsidRDefault="00B86FB3" w:rsidP="00B86FB3">
            <w:pPr>
              <w:jc w:val="left"/>
              <w:rPr>
                <w:rFonts w:cs="Times New Roman"/>
                <w:sz w:val="18"/>
              </w:rPr>
            </w:pPr>
            <w:r w:rsidRPr="00FF756A">
              <w:rPr>
                <w:rFonts w:cs="Times New Roman"/>
                <w:sz w:val="18"/>
              </w:rPr>
              <w:t>EE T2</w:t>
            </w:r>
          </w:p>
        </w:tc>
        <w:tc>
          <w:tcPr>
            <w:tcW w:w="2756" w:type="dxa"/>
            <w:noWrap/>
            <w:hideMark/>
          </w:tcPr>
          <w:p w14:paraId="3D23886F" w14:textId="77777777" w:rsidR="00B86FB3" w:rsidRPr="00FF756A" w:rsidRDefault="00B86FB3" w:rsidP="00B86FB3">
            <w:pPr>
              <w:jc w:val="left"/>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Përqindja e automjeteve elektrike (EV)</w:t>
            </w:r>
          </w:p>
        </w:tc>
        <w:tc>
          <w:tcPr>
            <w:tcW w:w="1032" w:type="dxa"/>
            <w:noWrap/>
            <w:hideMark/>
          </w:tcPr>
          <w:p w14:paraId="1735E896"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0,2</w:t>
            </w:r>
          </w:p>
        </w:tc>
        <w:tc>
          <w:tcPr>
            <w:tcW w:w="1032" w:type="dxa"/>
            <w:noWrap/>
            <w:hideMark/>
          </w:tcPr>
          <w:p w14:paraId="0A28894E"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-47,1</w:t>
            </w:r>
          </w:p>
        </w:tc>
        <w:tc>
          <w:tcPr>
            <w:tcW w:w="1032" w:type="dxa"/>
            <w:shd w:val="clear" w:color="auto" w:fill="4472C4" w:themeFill="accent1"/>
            <w:noWrap/>
            <w:hideMark/>
          </w:tcPr>
          <w:p w14:paraId="50281B66"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-169,6</w:t>
            </w:r>
          </w:p>
        </w:tc>
        <w:tc>
          <w:tcPr>
            <w:tcW w:w="1032" w:type="dxa"/>
            <w:noWrap/>
            <w:hideMark/>
          </w:tcPr>
          <w:p w14:paraId="2DAFFC63"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-394,4</w:t>
            </w:r>
          </w:p>
        </w:tc>
        <w:tc>
          <w:tcPr>
            <w:tcW w:w="1032" w:type="dxa"/>
            <w:noWrap/>
            <w:hideMark/>
          </w:tcPr>
          <w:p w14:paraId="53721DC2"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-686,3</w:t>
            </w:r>
          </w:p>
        </w:tc>
      </w:tr>
      <w:tr w:rsidR="00B86FB3" w:rsidRPr="00FF756A" w14:paraId="6CB83C5C"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1912B976" w14:textId="77777777" w:rsidR="00B86FB3" w:rsidRPr="00FF756A" w:rsidRDefault="00B86FB3" w:rsidP="00B86FB3">
            <w:pPr>
              <w:jc w:val="left"/>
              <w:rPr>
                <w:rFonts w:cs="Times New Roman"/>
                <w:sz w:val="18"/>
              </w:rPr>
            </w:pPr>
            <w:r w:rsidRPr="00FF756A">
              <w:rPr>
                <w:rFonts w:cs="Times New Roman"/>
                <w:sz w:val="18"/>
              </w:rPr>
              <w:t>R T2</w:t>
            </w:r>
          </w:p>
        </w:tc>
        <w:tc>
          <w:tcPr>
            <w:tcW w:w="2756" w:type="dxa"/>
            <w:noWrap/>
            <w:hideMark/>
          </w:tcPr>
          <w:p w14:paraId="7E61B550" w14:textId="77777777" w:rsidR="00B86FB3" w:rsidRPr="00FF756A" w:rsidRDefault="00B86FB3" w:rsidP="00B86FB3">
            <w:pPr>
              <w:jc w:val="left"/>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Biokarburantet e qëndrueshme</w:t>
            </w:r>
          </w:p>
        </w:tc>
        <w:tc>
          <w:tcPr>
            <w:tcW w:w="1032" w:type="dxa"/>
            <w:noWrap/>
            <w:hideMark/>
          </w:tcPr>
          <w:p w14:paraId="0575A8EA"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noWrap/>
            <w:hideMark/>
          </w:tcPr>
          <w:p w14:paraId="0DDDCD63"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-106,2</w:t>
            </w:r>
          </w:p>
        </w:tc>
        <w:tc>
          <w:tcPr>
            <w:tcW w:w="1032" w:type="dxa"/>
            <w:shd w:val="clear" w:color="auto" w:fill="4472C4" w:themeFill="accent1"/>
            <w:noWrap/>
            <w:hideMark/>
          </w:tcPr>
          <w:p w14:paraId="111D012C"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-214,3</w:t>
            </w:r>
          </w:p>
        </w:tc>
        <w:tc>
          <w:tcPr>
            <w:tcW w:w="1032" w:type="dxa"/>
            <w:noWrap/>
            <w:hideMark/>
          </w:tcPr>
          <w:p w14:paraId="20C29CEC"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-216,5</w:t>
            </w:r>
          </w:p>
        </w:tc>
        <w:tc>
          <w:tcPr>
            <w:tcW w:w="1032" w:type="dxa"/>
            <w:noWrap/>
            <w:hideMark/>
          </w:tcPr>
          <w:p w14:paraId="650ADC74"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-201,5</w:t>
            </w:r>
          </w:p>
        </w:tc>
      </w:tr>
      <w:tr w:rsidR="00B86FB3" w:rsidRPr="00FF756A" w14:paraId="1C1E9D82" w14:textId="77777777" w:rsidTr="006A3266">
        <w:trPr>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72F076AD" w14:textId="77777777" w:rsidR="00B86FB3" w:rsidRPr="00FF756A" w:rsidRDefault="00B86FB3" w:rsidP="00B86FB3">
            <w:pPr>
              <w:jc w:val="left"/>
              <w:rPr>
                <w:rFonts w:cs="Times New Roman"/>
                <w:sz w:val="18"/>
              </w:rPr>
            </w:pPr>
            <w:r w:rsidRPr="00FF756A">
              <w:rPr>
                <w:rFonts w:cs="Times New Roman"/>
                <w:sz w:val="18"/>
              </w:rPr>
              <w:t>G LF1, LF2</w:t>
            </w:r>
          </w:p>
        </w:tc>
        <w:tc>
          <w:tcPr>
            <w:tcW w:w="2756" w:type="dxa"/>
            <w:noWrap/>
            <w:hideMark/>
          </w:tcPr>
          <w:p w14:paraId="0E05C25D" w14:textId="77777777" w:rsidR="00B86FB3" w:rsidRPr="00FF756A" w:rsidRDefault="00B86FB3" w:rsidP="00B86FB3">
            <w:pPr>
              <w:jc w:val="left"/>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Menaxhimi i pyjeve</w:t>
            </w:r>
          </w:p>
        </w:tc>
        <w:tc>
          <w:tcPr>
            <w:tcW w:w="1032" w:type="dxa"/>
            <w:noWrap/>
            <w:hideMark/>
          </w:tcPr>
          <w:p w14:paraId="0DFE1279"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0,0</w:t>
            </w:r>
          </w:p>
        </w:tc>
        <w:tc>
          <w:tcPr>
            <w:tcW w:w="1032" w:type="dxa"/>
            <w:noWrap/>
            <w:hideMark/>
          </w:tcPr>
          <w:p w14:paraId="671777A2"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-836,1</w:t>
            </w:r>
          </w:p>
        </w:tc>
        <w:tc>
          <w:tcPr>
            <w:tcW w:w="1032" w:type="dxa"/>
            <w:shd w:val="clear" w:color="auto" w:fill="4472C4" w:themeFill="accent1"/>
            <w:noWrap/>
            <w:hideMark/>
          </w:tcPr>
          <w:p w14:paraId="0A556D3A"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-1672,3</w:t>
            </w:r>
          </w:p>
        </w:tc>
        <w:tc>
          <w:tcPr>
            <w:tcW w:w="1032" w:type="dxa"/>
            <w:noWrap/>
            <w:hideMark/>
          </w:tcPr>
          <w:p w14:paraId="0A4C08B7"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-1672,3</w:t>
            </w:r>
          </w:p>
        </w:tc>
        <w:tc>
          <w:tcPr>
            <w:tcW w:w="1032" w:type="dxa"/>
            <w:noWrap/>
            <w:hideMark/>
          </w:tcPr>
          <w:p w14:paraId="21F70244"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18"/>
              </w:rPr>
            </w:pPr>
            <w:r w:rsidRPr="00FF756A">
              <w:rPr>
                <w:rFonts w:cs="Times New Roman"/>
                <w:color w:val="000000"/>
                <w:sz w:val="18"/>
              </w:rPr>
              <w:t>-1672,3</w:t>
            </w:r>
          </w:p>
        </w:tc>
      </w:tr>
      <w:tr w:rsidR="00B86FB3" w:rsidRPr="00FF756A" w14:paraId="277CFB2D" w14:textId="77777777" w:rsidTr="006A32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46" w:type="dxa"/>
            <w:noWrap/>
            <w:hideMark/>
          </w:tcPr>
          <w:p w14:paraId="5D8D3D8C" w14:textId="77777777" w:rsidR="00B86FB3" w:rsidRPr="00FF756A" w:rsidRDefault="00B86FB3" w:rsidP="00B86FB3">
            <w:pPr>
              <w:jc w:val="left"/>
              <w:rPr>
                <w:rFonts w:cs="Times New Roman"/>
                <w:sz w:val="18"/>
                <w:lang w:eastAsia="ja-JP"/>
              </w:rPr>
            </w:pPr>
          </w:p>
        </w:tc>
        <w:tc>
          <w:tcPr>
            <w:tcW w:w="2756" w:type="dxa"/>
            <w:noWrap/>
            <w:hideMark/>
          </w:tcPr>
          <w:p w14:paraId="0E7EFBFA" w14:textId="77777777" w:rsidR="00B86FB3" w:rsidRPr="00FF756A" w:rsidRDefault="00B86FB3" w:rsidP="00B86FB3">
            <w:pPr>
              <w:jc w:val="left"/>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 xml:space="preserve">WAM </w:t>
            </w:r>
          </w:p>
        </w:tc>
        <w:tc>
          <w:tcPr>
            <w:tcW w:w="1032" w:type="dxa"/>
            <w:noWrap/>
            <w:hideMark/>
          </w:tcPr>
          <w:p w14:paraId="389570AD"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-1,3</w:t>
            </w:r>
          </w:p>
        </w:tc>
        <w:tc>
          <w:tcPr>
            <w:tcW w:w="1032" w:type="dxa"/>
            <w:noWrap/>
            <w:hideMark/>
          </w:tcPr>
          <w:p w14:paraId="581061EE"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-1131,7</w:t>
            </w:r>
          </w:p>
        </w:tc>
        <w:tc>
          <w:tcPr>
            <w:tcW w:w="1032" w:type="dxa"/>
            <w:shd w:val="clear" w:color="auto" w:fill="4472C4" w:themeFill="accent1"/>
            <w:noWrap/>
            <w:hideMark/>
          </w:tcPr>
          <w:p w14:paraId="0789D370"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18"/>
              </w:rPr>
            </w:pPr>
            <w:r w:rsidRPr="00FF756A">
              <w:rPr>
                <w:rFonts w:cs="Times New Roman"/>
                <w:color w:val="FFFFFF" w:themeColor="background1"/>
                <w:sz w:val="18"/>
              </w:rPr>
              <w:t>-2306,7</w:t>
            </w:r>
          </w:p>
        </w:tc>
        <w:tc>
          <w:tcPr>
            <w:tcW w:w="1032" w:type="dxa"/>
            <w:noWrap/>
            <w:hideMark/>
          </w:tcPr>
          <w:p w14:paraId="4D811959"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-4148,2</w:t>
            </w:r>
          </w:p>
        </w:tc>
        <w:tc>
          <w:tcPr>
            <w:tcW w:w="1032" w:type="dxa"/>
            <w:noWrap/>
            <w:hideMark/>
          </w:tcPr>
          <w:p w14:paraId="6CB644DE" w14:textId="77777777" w:rsidR="00B86FB3" w:rsidRPr="00FF756A" w:rsidRDefault="00B86FB3" w:rsidP="008E7DE9">
            <w:pPr>
              <w:keepNext/>
              <w:cnfStyle w:val="000000100000" w:firstRow="0" w:lastRow="0" w:firstColumn="0" w:lastColumn="0" w:oddVBand="0" w:evenVBand="0" w:oddHBand="1" w:evenHBand="0" w:firstRowFirstColumn="0" w:firstRowLastColumn="0" w:lastRowFirstColumn="0" w:lastRowLastColumn="0"/>
              <w:rPr>
                <w:rFonts w:cs="Times New Roman"/>
                <w:sz w:val="18"/>
              </w:rPr>
            </w:pPr>
            <w:r w:rsidRPr="00FF756A">
              <w:rPr>
                <w:rFonts w:cs="Times New Roman"/>
                <w:color w:val="000000"/>
                <w:sz w:val="18"/>
              </w:rPr>
              <w:t>-4863,4</w:t>
            </w:r>
          </w:p>
        </w:tc>
      </w:tr>
    </w:tbl>
    <w:p w14:paraId="61DF7463" w14:textId="5BD618D9" w:rsidR="00B86FB3" w:rsidRPr="00FF756A" w:rsidRDefault="008E7DE9" w:rsidP="008E7DE9">
      <w:pPr>
        <w:pStyle w:val="Caption"/>
        <w:rPr>
          <w:rFonts w:ascii="Times New Roman" w:hAnsi="Times New Roman"/>
        </w:rPr>
      </w:pPr>
      <w:bookmarkStart w:id="764" w:name="_Toc183016528"/>
      <w:r w:rsidRPr="00FF756A">
        <w:rPr>
          <w:rFonts w:ascii="Times New Roman" w:hAnsi="Times New Roman"/>
        </w:rPr>
        <w:t xml:space="preserve">Tabela </w:t>
      </w:r>
      <w:r w:rsidRPr="00FF756A">
        <w:rPr>
          <w:rFonts w:ascii="Times New Roman" w:hAnsi="Times New Roman"/>
        </w:rPr>
        <w:fldChar w:fldCharType="begin"/>
      </w:r>
      <w:r w:rsidRPr="00FF756A">
        <w:rPr>
          <w:rFonts w:ascii="Times New Roman" w:hAnsi="Times New Roman"/>
        </w:rPr>
        <w:instrText xml:space="preserve"> SEQ Tabela \* ARABIC </w:instrText>
      </w:r>
      <w:r w:rsidRPr="00FF756A">
        <w:rPr>
          <w:rFonts w:ascii="Times New Roman" w:hAnsi="Times New Roman"/>
        </w:rPr>
        <w:fldChar w:fldCharType="separate"/>
      </w:r>
      <w:r w:rsidRPr="00FF756A">
        <w:rPr>
          <w:rFonts w:ascii="Times New Roman" w:hAnsi="Times New Roman"/>
          <w:noProof/>
        </w:rPr>
        <w:t>64</w:t>
      </w:r>
      <w:r w:rsidRPr="00FF756A">
        <w:rPr>
          <w:rFonts w:ascii="Times New Roman" w:hAnsi="Times New Roman"/>
          <w:noProof/>
        </w:rPr>
        <w:fldChar w:fldCharType="end"/>
      </w:r>
      <w:r w:rsidRPr="00FF756A">
        <w:rPr>
          <w:rFonts w:ascii="Times New Roman" w:hAnsi="Times New Roman"/>
        </w:rPr>
        <w:t>: Reduktimet e shkarkimeve të GES-ve në kt CO2eq për PM-të e përzgjedhura që janë objekt i skenarit WAM.</w:t>
      </w:r>
      <w:bookmarkEnd w:id="764"/>
    </w:p>
    <w:p w14:paraId="5480F1ED" w14:textId="77777777" w:rsidR="00B86FB3" w:rsidRPr="00FF756A" w:rsidRDefault="00B86FB3" w:rsidP="008639B2">
      <w:pPr>
        <w:keepNext/>
        <w:keepLines/>
        <w:numPr>
          <w:ilvl w:val="0"/>
          <w:numId w:val="192"/>
        </w:numPr>
        <w:pBdr>
          <w:top w:val="none" w:sz="0" w:space="0" w:color="auto"/>
          <w:left w:val="none" w:sz="0" w:space="0" w:color="auto"/>
          <w:bottom w:val="none" w:sz="0" w:space="0" w:color="auto"/>
          <w:right w:val="none" w:sz="0" w:space="0" w:color="auto"/>
          <w:between w:val="none" w:sz="0" w:space="0" w:color="auto"/>
        </w:pBdr>
        <w:spacing w:before="40" w:after="0" w:line="240" w:lineRule="auto"/>
        <w:ind w:left="390" w:hanging="390"/>
        <w:outlineLvl w:val="3"/>
        <w:rPr>
          <w:rFonts w:eastAsia="Calibri Light"/>
          <w:i/>
          <w:iCs/>
          <w:color w:val="2F5496" w:themeColor="accent1" w:themeShade="BF"/>
        </w:rPr>
      </w:pPr>
      <w:bookmarkStart w:id="765" w:name="_Toc183639313"/>
      <w:r w:rsidRPr="00FF756A">
        <w:rPr>
          <w:rFonts w:eastAsia="Calibri Light"/>
          <w:i/>
          <w:iCs/>
          <w:color w:val="2F5496" w:themeColor="accent1" w:themeShade="BF"/>
        </w:rPr>
        <w:t>Vlerësimi i ndërveprimeve ndërmjet politikave dhe masave ekzistuese dhe atyre të planifikuara, si dhe ndërmjet këtyre të fundit dhe politikave dhe masave të BE-së për klimën dhe energjinë</w:t>
      </w:r>
      <w:bookmarkEnd w:id="765"/>
    </w:p>
    <w:p w14:paraId="71CDEEFB" w14:textId="77777777" w:rsidR="00B86FB3" w:rsidRPr="00FF756A" w:rsidRDefault="00B86FB3" w:rsidP="00B86FB3">
      <w:r w:rsidRPr="00FF756A">
        <w:t xml:space="preserve">Tri politikat që janë aktive në nivel BE-je janë pjesë e PM-ve të përfshira në modelimin e skenarit WAM të sistemit të energjisë së Shqipërisë. Janë vendosur kërkesa për respektimin e rregullave të EPBD-së në ndërtimet e reja, është vënë në zbatim një ETS dhe janë prezantuar rregullat për etiketimin dhe ekodizajnin e energjisë. Politikat e tjera të BE-së përbëjnë tashmë pjesë të Traktatit të Komunitetit të Energjisë. </w:t>
      </w:r>
    </w:p>
    <w:p w14:paraId="045603E1" w14:textId="77777777" w:rsidR="00B86FB3" w:rsidRPr="00FF756A" w:rsidRDefault="00B86FB3" w:rsidP="00B86FB3">
      <w:pPr>
        <w:spacing w:before="0" w:after="0" w:line="240" w:lineRule="auto"/>
        <w:jc w:val="left"/>
        <w:rPr>
          <w:rFonts w:eastAsia="Times New Roman"/>
          <w:color w:val="365F91"/>
          <w:sz w:val="26"/>
          <w:szCs w:val="26"/>
        </w:rPr>
      </w:pPr>
      <w:bookmarkStart w:id="766" w:name="_Toc72919993"/>
      <w:bookmarkStart w:id="767" w:name="_Toc72930629"/>
    </w:p>
    <w:p w14:paraId="72DF8968" w14:textId="77777777" w:rsidR="00B86FB3" w:rsidRPr="00FF756A" w:rsidRDefault="00B86FB3" w:rsidP="008639B2">
      <w:pPr>
        <w:keepNext/>
        <w:keepLines/>
        <w:numPr>
          <w:ilvl w:val="1"/>
          <w:numId w:val="195"/>
        </w:numPr>
        <w:spacing w:before="40" w:after="0"/>
        <w:outlineLvl w:val="1"/>
        <w:rPr>
          <w:rFonts w:eastAsiaTheme="minorEastAsia"/>
          <w:color w:val="365F91"/>
          <w:sz w:val="26"/>
          <w:szCs w:val="26"/>
          <w:lang w:eastAsia="de-DE"/>
        </w:rPr>
      </w:pPr>
      <w:bookmarkStart w:id="768" w:name="_Toc100575619"/>
      <w:bookmarkStart w:id="769" w:name="_Toc182898982"/>
      <w:bookmarkStart w:id="770" w:name="_Toc183639314"/>
      <w:bookmarkStart w:id="771" w:name="_Hlk75766980"/>
      <w:r w:rsidRPr="00FF756A">
        <w:rPr>
          <w:rFonts w:eastAsiaTheme="minorEastAsia"/>
          <w:color w:val="365F91"/>
          <w:sz w:val="26"/>
          <w:szCs w:val="26"/>
          <w:lang w:eastAsia="de-DE"/>
        </w:rPr>
        <w:t>Ndikimet makroekonomike dhe ndikimet e tjera të politikave dhe masave të planifikuara, duke përfshirë krahasimin me parashikimet e bazuara në politikat dhe masat ekzistuese.</w:t>
      </w:r>
      <w:bookmarkEnd w:id="766"/>
      <w:bookmarkEnd w:id="767"/>
      <w:bookmarkEnd w:id="768"/>
      <w:bookmarkEnd w:id="769"/>
      <w:bookmarkEnd w:id="770"/>
    </w:p>
    <w:bookmarkEnd w:id="771"/>
    <w:p w14:paraId="04A73D3E" w14:textId="77777777" w:rsidR="00B86FB3" w:rsidRPr="00FF756A" w:rsidRDefault="00B86FB3" w:rsidP="00B86FB3"/>
    <w:p w14:paraId="1EE51AB7" w14:textId="77777777" w:rsidR="00B86FB3" w:rsidRPr="00FF756A" w:rsidRDefault="00B86FB3" w:rsidP="00B86FB3">
      <w:r w:rsidRPr="00FF756A">
        <w:t>Ky seksion trajton ndikimet makroekonomike dhe ndikime të tjera që përfshijnë, për aq sa është e mundur, ndikimet shëndetësore, mjedisore, arsimore, sociale, të punësimit, të arsimit dhe të aftësive, duke përfshirë aspektet e tranzicionit të drejtë (për sa u përket kostove dhe përfitimeve, si dhe efikasitetit të kostos) të politikave dhe masave të planifikuara, të përshkruara në seksionin 3, të paktën deri në vitin e fundit të periudhës së mbuluar nga plani, duke përfshirë krahasimin me parashikimet e bazuar në politikat dhe masat ekzistuese.</w:t>
      </w:r>
    </w:p>
    <w:p w14:paraId="563E91E1" w14:textId="77777777" w:rsidR="00B86FB3" w:rsidRPr="00FF756A" w:rsidRDefault="00B86FB3" w:rsidP="00B86FB3">
      <w:r w:rsidRPr="00FF756A">
        <w:t xml:space="preserve">Ky seksion ofron veçanërisht një vlerësim të ndikimeve joenergjetike të politikave për energjinë dhe klimën që përfshihen në këtë PKEK. Efektet mjedisore të politikave për energjinë dhe klimën që synojnë shtimin e burimeve të energjisë së rinovueshme (ER) në sistemin e energjisë, si dhe përmirësimin e efiçencës së energjisë (EE) në sektorë të ndryshëm të konsumit, janë përgjithësisht të qarta dhe të mirëstudiuara. Zbatimi i masave në lidhje me EE-në dhe shtimin e burimeve të energjisë së rinovueshme nxitet në një shkallë të konsiderueshme nga synimi për të reduktuar shkarkimet e gazeve me efekt serrë, për të zbutur ndryshimet klimatike dhe për të arritur objektivat e Marrëveshjes së Parisit. Megjithatë, si masat për EE-në ashtu dhe ato për ER-në mund të kenë një sërë ndikimesh te familjet, punësimi, shoqëritë private dhe sektori publik. Këto ndikime mund të jenë të një natyre thelbësore dhe mund të vërehen në dimensione të ndryshme, që variojnë nga efektet makroekonomike (ndikimet në punësim, në buxhetin e shtetit, në krijimin e vlerës etj.), ndikimet shëndetësore (për shkak të reduktimit të ndotjes së ajrit dhe të ujit në nivel lokal), ndikimet sociale (reduktim i varfërisë energjetike ose mangësive në burime, rritje e rehatisë dhe mirëqenies, reduktim i pabarazisë), ndër të tjera (për një përmbledhje, shihni </w:t>
      </w:r>
      <w:sdt>
        <w:sdtPr>
          <w:alias w:val="Për të modifikuar, shihni citavi.com/edit"/>
          <w:tag w:val="CitaviPlaceholder#2d4b3a94-b0d3-4ebe-943e-e3033ba3df84"/>
          <w:id w:val="1735663639"/>
          <w:placeholder>
            <w:docPart w:val="311E30735D4D4D69975297A47113385E"/>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}</w:instrText>
          </w:r>
          <w:r w:rsidRPr="00FF756A">
            <w:fldChar w:fldCharType="separate"/>
          </w:r>
          <w:r w:rsidRPr="00FF756A">
            <w:t>Bouzarovski</w:t>
          </w:r>
          <w:r w:rsidRPr="00FF756A">
            <w:fldChar w:fldCharType="end"/>
          </w:r>
        </w:sdtContent>
      </w:sdt>
      <w:r w:rsidRPr="00FF756A">
        <w:t xml:space="preserve"> </w:t>
      </w:r>
      <w:sdt>
        <w:sdtPr>
          <w:alias w:val="Për të modifikuar, shihni citavi.com/edit"/>
          <w:tag w:val="CitaviPlaceholder#38e2b0e5-6249-48e1-821a-2d96d0188e34"/>
          <w:id w:val="942571864"/>
          <w:placeholder>
            <w:docPart w:val="311E30735D4D4D69975297A47113385E"/>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}</w:instrText>
          </w:r>
          <w:r w:rsidRPr="00FF756A">
            <w:fldChar w:fldCharType="separate"/>
          </w:r>
          <w:r w:rsidRPr="00FF756A">
            <w:t>(2014)</w:t>
          </w:r>
          <w:r w:rsidRPr="00FF756A">
            <w:fldChar w:fldCharType="end"/>
          </w:r>
        </w:sdtContent>
      </w:sdt>
      <w:r w:rsidRPr="00FF756A">
        <w:t>). Një vlerësim gjithëpërfshirës i efekteve të shumëfishta të politikave për energjinë dhe klimën për të gjithë aktorët dhe dimensionet është përtej objektit të këtij studimi. Ky seksion jep një përmbledhje të shkurtër të ndikimeve joenergjetike në tri dimensionet kryesore, konkretisht: 1) të ardhurat familjare të disponueshme, si një tregues kyç për matjen e ndikimit mbi varfërinë energjetike dhe mangësitë në burime 2) buxheti publik, për të kuptuar nëse masat kanë potencialin për të shtuar ose pakësuar burimet e të ardhurave publike dhe 3) punësimi, duke qenë se politikat për energjinë dhe klimën mbartin potencial të madh për të krijuar vende pune ekologjike.</w:t>
      </w:r>
    </w:p>
    <w:p w14:paraId="396F55CE" w14:textId="77777777" w:rsidR="00B86FB3" w:rsidRPr="00FF756A" w:rsidRDefault="00B86FB3" w:rsidP="00B86FB3"/>
    <w:p w14:paraId="7F3B9D58" w14:textId="77777777" w:rsidR="00B86FB3" w:rsidRPr="00FF756A" w:rsidRDefault="00B86FB3" w:rsidP="00B86FB3">
      <w:pPr>
        <w:rPr>
          <w:i/>
          <w:iCs/>
          <w:color w:val="2F5496" w:themeColor="accent1" w:themeShade="BF"/>
        </w:rPr>
      </w:pPr>
      <w:r w:rsidRPr="00FF756A">
        <w:rPr>
          <w:i/>
          <w:iCs/>
          <w:color w:val="2F5496" w:themeColor="accent1" w:themeShade="BF"/>
        </w:rPr>
        <w:t>Të ardhurat familjare të disponueshme</w:t>
      </w:r>
    </w:p>
    <w:p w14:paraId="2D102D2F" w14:textId="77777777" w:rsidR="00B86FB3" w:rsidRPr="00FF756A" w:rsidRDefault="00B86FB3" w:rsidP="00B86FB3">
      <w:r w:rsidRPr="00FF756A">
        <w:t>Arritja e një niveli të konsiderueshëm dekarbonizimi në sektorin e energjisë do të kërkojë përpjekje madhore në sektorët e ndërtimit. Në nivel BE-je, shkarkimet e gazeve me efekt serrë në sektorin e ndërtimit përbëjnë më shumë se një të tretën e shkarkimeve totale. Ndërtesat rezidenciale përbëjnë 75% të stokut të ndërtesave evropiane, nga të cilat më shumë se 40% janë ndërtuar përpara vitit 1960, ndërsa më shumë se 90% përpara vitit 1990. Familjet me të ardhura të ulëta përbëjnë rreth 17% të familjeve në BE (Eurostat, 2014), ndërsa numri i banorëve të BE-së që vuajnë nga varfëria energjetike varion midis 50-160 milionë, që përkon me pothuajse 6–21 % të popullsisë totale të BE-së (</w:t>
      </w:r>
      <w:sdt>
        <w:sdtPr>
          <w:alias w:val="Për të modifikuar, shihni citavi.com/edit"/>
          <w:tag w:val="CitaviPlaceholder#cb046c4d-b3de-47a2-b9b8-a621aa76b043"/>
          <w:id w:val="590361518"/>
          <w:placeholder>
            <w:docPart w:val="311E30735D4D4D69975297A47113385E"/>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}</w:instrText>
          </w:r>
          <w:r w:rsidRPr="00FF756A">
            <w:fldChar w:fldCharType="separate"/>
          </w:r>
          <w:r w:rsidRPr="00FF756A">
            <w:t>Bouzarovski</w:t>
          </w:r>
          <w:r w:rsidRPr="00FF756A">
            <w:fldChar w:fldCharType="end"/>
          </w:r>
        </w:sdtContent>
      </w:sdt>
      <w:r w:rsidRPr="00FF756A">
        <w:t xml:space="preserve"> </w:t>
      </w:r>
      <w:sdt>
        <w:sdtPr>
          <w:alias w:val="Për të modifikuar, shihni citavi.com/edit"/>
          <w:tag w:val="CitaviPlaceholder#a7682ea7-04ba-4040-b8e6-5ae2f3767a76"/>
          <w:id w:val="-1966496989"/>
          <w:placeholder>
            <w:docPart w:val="311E30735D4D4D69975297A47113385E"/>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}</w:instrText>
          </w:r>
          <w:r w:rsidRPr="00FF756A">
            <w:fldChar w:fldCharType="separate"/>
          </w:r>
          <w:r w:rsidRPr="00FF756A">
            <w:t>(2014)</w:t>
          </w:r>
          <w:r w:rsidRPr="00FF756A">
            <w:fldChar w:fldCharType="end"/>
          </w:r>
        </w:sdtContent>
      </w:sdt>
      <w:r w:rsidRPr="00FF756A">
        <w:t xml:space="preserve">; </w:t>
      </w:r>
      <w:sdt>
        <w:sdtPr>
          <w:alias w:val="Për të modifikuar, shihni citavi.com/edit"/>
          <w:tag w:val="CitaviPlaceholder#8be9fa32-724f-4c63-9e42-240633d87489"/>
          <w:id w:val="-1185360645"/>
          <w:placeholder>
            <w:docPart w:val="311E30735D4D4D69975297A47113385E"/>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}</w:instrText>
          </w:r>
          <w:r w:rsidRPr="00FF756A">
            <w:fldChar w:fldCharType="separate"/>
          </w:r>
          <w:r w:rsidRPr="00FF756A">
            <w:t>BPIE</w:t>
          </w:r>
          <w:r w:rsidRPr="00FF756A">
            <w:fldChar w:fldCharType="end"/>
          </w:r>
        </w:sdtContent>
      </w:sdt>
      <w:r w:rsidRPr="00FF756A">
        <w:t xml:space="preserve"> </w:t>
      </w:r>
      <w:sdt>
        <w:sdtPr>
          <w:alias w:val="Për të modifikuar, shihni citavi.com/edit"/>
          <w:tag w:val="CitaviPlaceholder#bb3e2556-d501-4561-a9ec-767466c35058"/>
          <w:id w:val="1898475441"/>
          <w:placeholder>
            <w:docPart w:val="311E30735D4D4D69975297A47113385E"/>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}</w:instrText>
          </w:r>
          <w:r w:rsidRPr="00FF756A">
            <w:fldChar w:fldCharType="separate"/>
          </w:r>
          <w:r w:rsidRPr="00FF756A">
            <w:t>(2015)</w:t>
          </w:r>
          <w:r w:rsidRPr="00FF756A">
            <w:fldChar w:fldCharType="end"/>
          </w:r>
        </w:sdtContent>
      </w:sdt>
      <w:r w:rsidRPr="00FF756A">
        <w:t xml:space="preserve">; </w:t>
      </w:r>
      <w:sdt>
        <w:sdtPr>
          <w:alias w:val="Për të modifikuar, shihni citavi.com/edit"/>
          <w:tag w:val="CitaviPlaceholder#b3a132c5-c599-4e31-8ffb-692c66447343"/>
          <w:id w:val="129529274"/>
          <w:placeholder>
            <w:docPart w:val="311E30735D4D4D69975297A47113385E"/>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}</w:instrText>
          </w:r>
          <w:r w:rsidRPr="00FF756A">
            <w:fldChar w:fldCharType="separate"/>
          </w:r>
          <w:r w:rsidRPr="00FF756A">
            <w:t>Bird et al.</w:t>
          </w:r>
          <w:r w:rsidRPr="00FF756A">
            <w:fldChar w:fldCharType="end"/>
          </w:r>
        </w:sdtContent>
      </w:sdt>
      <w:r w:rsidRPr="00FF756A">
        <w:t xml:space="preserve"> </w:t>
      </w:r>
      <w:sdt>
        <w:sdtPr>
          <w:alias w:val="Për të modifikuar, shihni citavi.com/edit"/>
          <w:tag w:val="CitaviPlaceholder#b374ceb8-0302-4a05-8272-5dc50f371442"/>
          <w:id w:val="-1126780708"/>
          <w:placeholder>
            <w:docPart w:val="311E30735D4D4D69975297A47113385E"/>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}</w:instrText>
          </w:r>
          <w:r w:rsidRPr="00FF756A">
            <w:fldChar w:fldCharType="separate"/>
          </w:r>
          <w:r w:rsidRPr="00FF756A">
            <w:t>(2010)</w:t>
          </w:r>
          <w:r w:rsidRPr="00FF756A">
            <w:fldChar w:fldCharType="end"/>
          </w:r>
        </w:sdtContent>
      </w:sdt>
      <w:r w:rsidRPr="00FF756A">
        <w:t>).  Politikat për efiçencën e energjisë në sektorin e banesave kanë potencial të madh për përmirësimin e të ardhurave familjare të disponueshme. Të ardhurat familjare të disponueshme mund të rriten përmes përmirësimit të EE-së në ngrohjen e hapësirave, prodhimin e ujit të ngrohtë ose produktet që përdorim energji, si p.sh. frigoriferët ose televizorët, duke qenë se përqindja më e madhe e të gjitha masave të zbatuara janë me kosto efektive</w:t>
      </w:r>
      <w:sdt>
        <w:sdtPr>
          <w:alias w:val="Për të modifikuar, shihni citavi.com/edit"/>
          <w:tag w:val="CitaviPlaceholder#3430e8c8-5cf2-4d7b-ac70-28eb71e43d66"/>
          <w:id w:val="-1660309334"/>
          <w:placeholder>
            <w:docPart w:val="311E30735D4D4D69975297A47113385E"/>
          </w:placeholder>
        </w:sdtPr>
        <w:sdtEndPr/>
        <w:sdtContent>
          <w:r w:rsidRPr="00FF756A">
            <w:fldChar w:fldCharType="begin"/>
          </w:r>
          <w:r w:rsidRPr="00FF756A">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}</w:instrText>
          </w:r>
          <w:r w:rsidRPr="00FF756A">
            <w:fldChar w:fldCharType="separate"/>
          </w:r>
          <w:r w:rsidRPr="00FF756A">
            <w:t>(Yushchenko and Patel 2017; Dodoo et al. 2017)</w:t>
          </w:r>
          <w:r w:rsidRPr="00FF756A">
            <w:fldChar w:fldCharType="end"/>
          </w:r>
        </w:sdtContent>
      </w:sdt>
      <w:r w:rsidRPr="00FF756A">
        <w:t>. Si rezultat, EE-ja mbart potencial të madh për reduktimin e varfërisë energjetike, duke sjellë gjithashtu dhe përfitime të tjera si përmirësimi i shëndetit të njerëzve, pakësimi i subvencioneve të energjisë përmes politikave sociale, rritja e vlerës së pronave, shpenzimeve lokale dhe punësimit, reduktimi i shkarkimeve etj. Zakonisht, investimet fillestare në EE për rinovimin e ndërtesave kompensohen nga reduktimi i kostove të ngrohjes, gjë që u mundëson konsumatorëve kursime afatgjata. Megjithatë, siç thekson programi gjerman i KfW-së për rinovimin e ndërtesave sipas parimit të efiçencës së energjisë, duhet të theksohet se këto investime i japin frytet e tyre pas disa dekadash (</w:t>
      </w:r>
      <w:sdt>
        <w:sdtPr>
          <w:alias w:val="Për të modifikuar, shihni citavi.com/edit"/>
          <w:tag w:val="CitaviPlaceholder#d840e855-a248-4f5f-be5f-4b0da00539b8"/>
          <w:id w:val="706839634"/>
          <w:placeholder>
            <w:docPart w:val="311E30735D4D4D69975297A47113385E"/>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}</w:instrText>
          </w:r>
          <w:r w:rsidRPr="00FF756A">
            <w:fldChar w:fldCharType="separate"/>
          </w:r>
          <w:r w:rsidRPr="00FF756A">
            <w:t>KfW Group</w:t>
          </w:r>
          <w:r w:rsidRPr="00FF756A">
            <w:fldChar w:fldCharType="end"/>
          </w:r>
        </w:sdtContent>
      </w:sdt>
      <w:r w:rsidRPr="00FF756A">
        <w:t xml:space="preserve"> </w:t>
      </w:r>
      <w:sdt>
        <w:sdtPr>
          <w:alias w:val="Për të modifikuar, shihni citavi.com/edit"/>
          <w:tag w:val="CitaviPlaceholder#6cbc3153-4285-46ab-963e-97ff0c5e2b29"/>
          <w:id w:val="-1825568663"/>
          <w:placeholder>
            <w:docPart w:val="311E30735D4D4D69975297A47113385E"/>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}</w:instrText>
          </w:r>
          <w:r w:rsidRPr="00FF756A">
            <w:fldChar w:fldCharType="separate"/>
          </w:r>
          <w:r w:rsidRPr="00FF756A">
            <w:t>(2018)</w:t>
          </w:r>
          <w:r w:rsidRPr="00FF756A">
            <w:fldChar w:fldCharType="end"/>
          </w:r>
        </w:sdtContent>
      </w:sdt>
      <w:r w:rsidRPr="00FF756A">
        <w:t>). Për rrjedhojë, mosmarrja në konsideratë e kostove të investimit është jorealiste, ashtu si dhe mospërfillja e efekteve "bumerang" dhe "domino".</w:t>
      </w:r>
    </w:p>
    <w:p w14:paraId="60A2336C" w14:textId="77777777" w:rsidR="00B86FB3" w:rsidRPr="00FF756A" w:rsidRDefault="00B86FB3" w:rsidP="00B86FB3"/>
    <w:p w14:paraId="499B9DC9" w14:textId="77777777" w:rsidR="00B86FB3" w:rsidRPr="00FF756A" w:rsidRDefault="00B86FB3" w:rsidP="00B86FB3">
      <w:pPr>
        <w:rPr>
          <w:i/>
          <w:iCs/>
          <w:color w:val="2F5496" w:themeColor="accent1" w:themeShade="BF"/>
        </w:rPr>
      </w:pPr>
      <w:r w:rsidRPr="00FF756A">
        <w:rPr>
          <w:i/>
          <w:iCs/>
          <w:color w:val="2F5496" w:themeColor="accent1" w:themeShade="BF"/>
        </w:rPr>
        <w:t>Buxheti i shtetit</w:t>
      </w:r>
    </w:p>
    <w:p w14:paraId="720102E8" w14:textId="77777777" w:rsidR="00B86FB3" w:rsidRPr="00FF756A" w:rsidRDefault="00B86FB3" w:rsidP="00B86FB3">
      <w:r w:rsidRPr="00FF756A">
        <w:t xml:space="preserve">Politikat për EE-në dhe ER-në ndikojnë në buxhetin e shtetit në mënyra të ndryshme. Këto ndikime mund t'i atribuohen, për shembull, krijimit të vendeve të reja të punës (p.sh. me anë të masave të EE-së në sektorin e ndërtimit). Nga ana tjetër, politikat në lidhje me reduktimin e taksave dhe subvencionet për disa aktivitete specifike me qëllim rritjen e EE-së dhe shfrytëzimin e një pjese më të madhe të ER-së mund të shoqërohet me shpenzime më të larta publike ose reduktim të të ardhurave nga tatimet. Si një tregues i ndikimit në buxhetin e shtetit, mund të llogariten të ardhurat shtesë nga tatimi mbi të ardhurat për një punë tipike mesatare në sektorët/nënsektorët përkatës, duke përdorur normat e tatimit mbi të ardhurat që janë specifike për vendin. Në po të njëjtën mënyrë mund të merren në konsideratë edhe humbjet e tatimit mbi të ardhurat. Qasja mund të shtrihet edhe mbi ndikimet e tjera lidhur me buxhetin e shtetit, të tilla si TVSH-ja dhe taksat mbi energjinë, për të llogaritur efektet pozitive ose negative në buxhetin e shtetit. </w:t>
      </w:r>
    </w:p>
    <w:p w14:paraId="2BD964C9" w14:textId="77777777" w:rsidR="00B86FB3" w:rsidRPr="00FF756A" w:rsidRDefault="00B86FB3" w:rsidP="00B86FB3"/>
    <w:p w14:paraId="4DFC3914" w14:textId="77777777" w:rsidR="00B86FB3" w:rsidRPr="00FF756A" w:rsidRDefault="00B86FB3" w:rsidP="00B86FB3">
      <w:pPr>
        <w:rPr>
          <w:i/>
          <w:iCs/>
          <w:color w:val="2F5496" w:themeColor="accent1" w:themeShade="BF"/>
        </w:rPr>
      </w:pPr>
      <w:r w:rsidRPr="00FF756A">
        <w:rPr>
          <w:i/>
          <w:iCs/>
          <w:color w:val="2F5496" w:themeColor="accent1" w:themeShade="BF"/>
        </w:rPr>
        <w:t>Efektet në punësim</w:t>
      </w:r>
    </w:p>
    <w:p w14:paraId="602687BC" w14:textId="77777777" w:rsidR="00B86FB3" w:rsidRPr="00FF756A" w:rsidRDefault="00B86FB3" w:rsidP="00B86FB3">
      <w:r w:rsidRPr="00FF756A">
        <w:t xml:space="preserve">Efektet në punësim mund të kenë rëndësi të madhe, pasi ofrimi i mundësive të punësimit dhe reduktimi i shkallës së papunësisë përbëjnë objektiva kyçe të politikave. Efektet e drejtpërdrejta të EE-së në punësim bazohen në dy aspekte nxitëse kryesore: investimet në masat për EE-në dhe kursimet përkatëse të energjisë. Teksa e para nxit impulse kërkese në industritë që prodhojnë teknologjitë përkatëse, e dyta redukton kërkesën për furnizim me energji në planin afatgjatë. Në të dyja rastet, këto ndikime prekin tërthorazi sektorët e tjerë, p.sh. prodhuesit dhe shpërndarësit e energjisë. Siç kanë treguar disa studime të ndryshme, kalimi nga shpenzimet për konsumin e energjisë në investimin në masat e EE-së ka gjasa të gjenerojë përfitime në aspektin e punësimit </w:t>
      </w:r>
      <w:sdt>
        <w:sdtPr>
          <w:alias w:val="Për të modifikuar, shihni citavi.com/edit"/>
          <w:tag w:val="CitaviPlaceholder#93bfde3a-e755-4637-a5a4-e4ae90fd86f1"/>
          <w:id w:val="-1515536869"/>
          <w:placeholder>
            <w:docPart w:val="311E30735D4D4D69975297A47113385E"/>
          </w:placeholder>
        </w:sdtPr>
        <w:sdtEndPr/>
        <w:sdtContent>
          <w:r w:rsidRPr="00FF756A">
            <w:fldChar w:fldCharType="begin"/>
          </w:r>
          <w:r w:rsidRPr="00FF756A">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}</w:instrText>
          </w:r>
          <w:r w:rsidRPr="00FF756A">
            <w:fldChar w:fldCharType="separate"/>
          </w:r>
          <w:r w:rsidRPr="00FF756A">
            <w:t>(Wei et al. 2010; Scott et al. 2008; Bacon and Kojima 2011)</w:t>
          </w:r>
          <w:r w:rsidRPr="00FF756A">
            <w:fldChar w:fldCharType="end"/>
          </w:r>
        </w:sdtContent>
      </w:sdt>
      <w:r w:rsidRPr="00FF756A">
        <w:t>. Me kusht që masat për EE-në të jenë me kosto efektive, ato rrisin gjithashtu të ardhurat e disponueshme, gjë që nxit më tej krijimin e vendeve të punës në planin afatgjatë. Masat që përmirësojnë efiçencën e energjisë përmes aktiviteteve intensive ndërtimore, të tilla si rinovimi i zarfit të ndërtesave, kanë rezultuar me potencial të madh për krijimin e vendeve të punës.</w:t>
      </w:r>
    </w:p>
    <w:p w14:paraId="41321E79" w14:textId="7CDB4229" w:rsidR="00B86FB3" w:rsidRPr="00FF756A" w:rsidRDefault="00B86FB3" w:rsidP="00B86FB3">
      <w:r w:rsidRPr="00FF756A">
        <w:fldChar w:fldCharType="begin"/>
      </w:r>
      <w:r w:rsidRPr="00FF756A">
        <w:instrText xml:space="preserve"> REF _Ref72921540 \h </w:instrText>
      </w:r>
      <w:r w:rsidR="00FF756A" w:rsidRPr="00FF756A">
        <w:instrText xml:space="preserve"> \* MERGEFORMAT </w:instrText>
      </w:r>
      <w:r w:rsidRPr="00FF756A">
        <w:fldChar w:fldCharType="separate"/>
      </w:r>
      <w:r w:rsidRPr="00FF756A">
        <w:t xml:space="preserve">Tabela </w:t>
      </w:r>
      <w:r w:rsidRPr="00FF756A">
        <w:rPr>
          <w:noProof/>
        </w:rPr>
        <w:t>40</w:t>
      </w:r>
      <w:r w:rsidRPr="00FF756A">
        <w:fldChar w:fldCharType="end"/>
      </w:r>
      <w:r w:rsidRPr="00FF756A">
        <w:t xml:space="preserve"> paraqet një vlerësim cilësor të ndikimeve joenergjetike të disa PM-ve të caktuara, duke trajtuar dimensionet e të ardhurave familjare të disponueshme, buxhetit të shtetit dhe punësimit</w:t>
      </w:r>
      <w:r w:rsidRPr="00FF756A">
        <w:footnoteReference w:id="13"/>
      </w:r>
      <w:hyperlink r:id="rId184" w:anchor="_ftn1">
        <w:r w:rsidRPr="00FF756A">
          <w:t>[1]</w:t>
        </w:r>
      </w:hyperlink>
      <w:r w:rsidRPr="00FF756A">
        <w:t xml:space="preserve">. Vlerat e treguara në tabelë janë “të ulëta”, “mesatare”, “të larta” (ku “të ulëta” nënkupton që një PM ka efekt të vogël pozitiv në ndikimin përkatës joenergjetik) nëse një PM ka potencialin të gjenerojë efektet përkatëse mbi dimensionet e marra nën shqyrtim dhe “neutrale” nëse nuk ka asnjë efekt. Disa PM kërkojnë fonde publike për t'u vënë në zbatim ose përfshijnë përjashtime tatimore në formë incentivash për aktivitete të caktuara, duke ndikuar kështu negativisht në buxhetin e shtetit. Këto efekte tregohen me vlerën “negative” për sa i përket ndikimit përkatës në buxhetin e shtetit. Në terma të përgjithshëm, politikat për përmirësimin e EE-së në sektorin e banesave, si për stokun e ndërtesave ashtu dhe për pajisjet elektro-shtëpiake dhe pajisjet e tjera, kanë potencialin për të përmirësuar të ardhurat familjare të disponueshme dhe për të reduktuar varfërinë energjetike. Për sa i përket punësimit, politikat që kërkojnë punime ndërtimore, si p.sh. rinovimi i ndërtesave apo projektet në lidhje me infrastrukturën, kanë potencialin për të krijuar vende pune ekologjike.  Për sa i përket buxhetit të shtetit, politikat që nxisin një shkallë të lartë punësimi mund të rrisin edhe arkëtimet nga tatimi mbi të ardhurat, duke përmirësuar kështu buxhetin e shtetit. Po kështu, politikat për përmirësimin e EE-së në përdorimin publik të energjisë, si p.sh. ato të përmirësimit të EE-së në ndërtesat publike, mund të reduktojnë shpenzimet publike për energjinë dhe të sjellin përfitime për buxhetin e shtetit. </w:t>
      </w:r>
    </w:p>
    <w:p w14:paraId="3AC7E65E" w14:textId="77777777" w:rsidR="00B86FB3" w:rsidRPr="00FF756A" w:rsidRDefault="00B86FB3" w:rsidP="00B86FB3">
      <w:pPr>
        <w:spacing w:before="0" w:after="0" w:line="240" w:lineRule="auto"/>
        <w:jc w:val="left"/>
      </w:pPr>
    </w:p>
    <w:tbl>
      <w:tblPr>
        <w:tblStyle w:val="GridTable5DarkAccent10"/>
        <w:tblW w:w="9630" w:type="dxa"/>
        <w:tblLayout w:type="fixed"/>
        <w:tblLook w:val="04A0" w:firstRow="1" w:lastRow="0" w:firstColumn="1" w:lastColumn="0" w:noHBand="0" w:noVBand="1"/>
      </w:tblPr>
      <w:tblGrid>
        <w:gridCol w:w="932"/>
        <w:gridCol w:w="4264"/>
        <w:gridCol w:w="1610"/>
        <w:gridCol w:w="1200"/>
        <w:gridCol w:w="1624"/>
      </w:tblGrid>
      <w:tr w:rsidR="00B86FB3" w:rsidRPr="00FF756A" w14:paraId="5D300BC1" w14:textId="77777777" w:rsidTr="006A3266">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932" w:type="dxa"/>
          </w:tcPr>
          <w:p w14:paraId="21DD78E5" w14:textId="77777777" w:rsidR="00B86FB3" w:rsidRPr="00FF756A" w:rsidRDefault="00B86FB3" w:rsidP="00B86FB3">
            <w:pPr>
              <w:rPr>
                <w:rFonts w:cs="Times New Roman"/>
              </w:rPr>
            </w:pPr>
            <w:r w:rsidRPr="00FF756A">
              <w:rPr>
                <w:rFonts w:cs="Times New Roman"/>
                <w:sz w:val="20"/>
                <w:szCs w:val="20"/>
              </w:rPr>
              <w:t>Nr.</w:t>
            </w:r>
          </w:p>
        </w:tc>
        <w:tc>
          <w:tcPr>
            <w:tcW w:w="4264" w:type="dxa"/>
          </w:tcPr>
          <w:p w14:paraId="4873AD60" w14:textId="77777777" w:rsidR="00B86FB3" w:rsidRPr="00FF756A" w:rsidRDefault="00B86FB3" w:rsidP="00B86FB3">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FF756A">
              <w:rPr>
                <w:rFonts w:cs="Times New Roman"/>
              </w:rPr>
              <w:t>Emri i PM</w:t>
            </w:r>
          </w:p>
        </w:tc>
        <w:tc>
          <w:tcPr>
            <w:tcW w:w="4434" w:type="dxa"/>
            <w:gridSpan w:val="3"/>
          </w:tcPr>
          <w:p w14:paraId="18CF20F5" w14:textId="77777777" w:rsidR="00B86FB3" w:rsidRPr="00FF756A" w:rsidRDefault="00B86FB3" w:rsidP="00B86FB3">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FF756A">
              <w:rPr>
                <w:rFonts w:cs="Times New Roman"/>
              </w:rPr>
              <w:t>Vlerësimi cilësor i ndikimeve joenergjetike të PM-ve</w:t>
            </w:r>
          </w:p>
        </w:tc>
      </w:tr>
      <w:tr w:rsidR="00B86FB3" w:rsidRPr="00FF756A" w14:paraId="704FC0E1" w14:textId="77777777" w:rsidTr="006A326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932" w:type="dxa"/>
          </w:tcPr>
          <w:p w14:paraId="173FC029" w14:textId="77777777" w:rsidR="00B86FB3" w:rsidRPr="00FF756A" w:rsidRDefault="00B86FB3" w:rsidP="00B86FB3">
            <w:pPr>
              <w:rPr>
                <w:rFonts w:cs="Times New Roman"/>
              </w:rPr>
            </w:pPr>
          </w:p>
        </w:tc>
        <w:tc>
          <w:tcPr>
            <w:tcW w:w="4264" w:type="dxa"/>
            <w:shd w:val="clear" w:color="auto" w:fill="4472C4" w:themeFill="accent1"/>
          </w:tcPr>
          <w:p w14:paraId="03BB9E98"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rPr>
            </w:pPr>
          </w:p>
        </w:tc>
        <w:tc>
          <w:tcPr>
            <w:tcW w:w="1610" w:type="dxa"/>
            <w:shd w:val="clear" w:color="auto" w:fill="4472C4" w:themeFill="accent1"/>
          </w:tcPr>
          <w:p w14:paraId="4FBFDB73"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rPr>
            </w:pPr>
            <w:r w:rsidRPr="00FF756A">
              <w:rPr>
                <w:rFonts w:cs="Times New Roman"/>
                <w:b/>
                <w:bCs/>
                <w:color w:val="FFFFFF" w:themeColor="background1"/>
                <w:sz w:val="20"/>
                <w:szCs w:val="20"/>
              </w:rPr>
              <w:t>Të ardhurat familjare të disponueshme</w:t>
            </w:r>
          </w:p>
        </w:tc>
        <w:tc>
          <w:tcPr>
            <w:tcW w:w="1200" w:type="dxa"/>
            <w:shd w:val="clear" w:color="auto" w:fill="4472C4" w:themeFill="accent1"/>
          </w:tcPr>
          <w:p w14:paraId="0E52A76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rPr>
            </w:pPr>
            <w:r w:rsidRPr="00FF756A">
              <w:rPr>
                <w:rFonts w:cs="Times New Roman"/>
                <w:b/>
                <w:bCs/>
                <w:color w:val="FFFFFF" w:themeColor="background1"/>
                <w:sz w:val="20"/>
                <w:szCs w:val="20"/>
              </w:rPr>
              <w:t>Buxheti i shtetit</w:t>
            </w:r>
          </w:p>
        </w:tc>
        <w:tc>
          <w:tcPr>
            <w:tcW w:w="1624" w:type="dxa"/>
            <w:shd w:val="clear" w:color="auto" w:fill="4472C4" w:themeFill="accent1"/>
          </w:tcPr>
          <w:p w14:paraId="13EC6E4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rPr>
            </w:pPr>
            <w:r w:rsidRPr="00FF756A">
              <w:rPr>
                <w:rFonts w:cs="Times New Roman"/>
                <w:b/>
                <w:bCs/>
                <w:color w:val="FFFFFF" w:themeColor="background1"/>
                <w:sz w:val="20"/>
                <w:szCs w:val="20"/>
              </w:rPr>
              <w:t>Punësimi</w:t>
            </w:r>
          </w:p>
        </w:tc>
      </w:tr>
      <w:tr w:rsidR="00B86FB3" w:rsidRPr="00FF756A" w14:paraId="13E5A9AF" w14:textId="77777777" w:rsidTr="006A3266">
        <w:trPr>
          <w:trHeight w:val="300"/>
        </w:trPr>
        <w:tc>
          <w:tcPr>
            <w:cnfStyle w:val="001000000000" w:firstRow="0" w:lastRow="0" w:firstColumn="1" w:lastColumn="0" w:oddVBand="0" w:evenVBand="0" w:oddHBand="0" w:evenHBand="0" w:firstRowFirstColumn="0" w:firstRowLastColumn="0" w:lastRowFirstColumn="0" w:lastRowLastColumn="0"/>
            <w:tcW w:w="932" w:type="dxa"/>
          </w:tcPr>
          <w:p w14:paraId="3EA77A30" w14:textId="77777777" w:rsidR="00B86FB3" w:rsidRPr="00FF756A" w:rsidRDefault="00B86FB3" w:rsidP="00B86FB3">
            <w:pPr>
              <w:rPr>
                <w:rFonts w:cs="Times New Roman"/>
              </w:rPr>
            </w:pPr>
            <w:r w:rsidRPr="00FF756A">
              <w:rPr>
                <w:rFonts w:cs="Times New Roman"/>
                <w:sz w:val="20"/>
                <w:szCs w:val="20"/>
              </w:rPr>
              <w:t xml:space="preserve">EE-E1 </w:t>
            </w:r>
          </w:p>
        </w:tc>
        <w:tc>
          <w:tcPr>
            <w:tcW w:w="4264" w:type="dxa"/>
          </w:tcPr>
          <w:p w14:paraId="3A07666B"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 xml:space="preserve">Auditimet e energjisë për konsumatorët e mëdhenj, me fokus në aktivitetet industriale </w:t>
            </w:r>
          </w:p>
        </w:tc>
        <w:tc>
          <w:tcPr>
            <w:tcW w:w="1610" w:type="dxa"/>
          </w:tcPr>
          <w:p w14:paraId="48F0EEB0"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neutral</w:t>
            </w:r>
          </w:p>
        </w:tc>
        <w:tc>
          <w:tcPr>
            <w:tcW w:w="1200" w:type="dxa"/>
          </w:tcPr>
          <w:p w14:paraId="5E01AB4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neutral</w:t>
            </w:r>
          </w:p>
        </w:tc>
        <w:tc>
          <w:tcPr>
            <w:tcW w:w="1624" w:type="dxa"/>
          </w:tcPr>
          <w:p w14:paraId="0114BEB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i ulët</w:t>
            </w:r>
          </w:p>
        </w:tc>
      </w:tr>
      <w:tr w:rsidR="00B86FB3" w:rsidRPr="00FF756A" w14:paraId="3736F827" w14:textId="77777777" w:rsidTr="006A32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2" w:type="dxa"/>
          </w:tcPr>
          <w:p w14:paraId="6CAB5652" w14:textId="77777777" w:rsidR="00B86FB3" w:rsidRPr="00FF756A" w:rsidRDefault="00B86FB3" w:rsidP="00B86FB3">
            <w:pPr>
              <w:rPr>
                <w:rFonts w:cs="Times New Roman"/>
              </w:rPr>
            </w:pPr>
            <w:r w:rsidRPr="00FF756A">
              <w:rPr>
                <w:rFonts w:cs="Times New Roman"/>
                <w:sz w:val="20"/>
                <w:szCs w:val="20"/>
              </w:rPr>
              <w:t xml:space="preserve">EE-O1 </w:t>
            </w:r>
          </w:p>
        </w:tc>
        <w:tc>
          <w:tcPr>
            <w:tcW w:w="4264" w:type="dxa"/>
          </w:tcPr>
          <w:p w14:paraId="041B7287"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 xml:space="preserve">Skema detyruese e efiçencës së energjisë dhe masat alternative për Shqipërinë </w:t>
            </w:r>
          </w:p>
        </w:tc>
        <w:tc>
          <w:tcPr>
            <w:tcW w:w="1610" w:type="dxa"/>
          </w:tcPr>
          <w:p w14:paraId="2C05621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mesatar</w:t>
            </w:r>
          </w:p>
        </w:tc>
        <w:tc>
          <w:tcPr>
            <w:tcW w:w="1200" w:type="dxa"/>
          </w:tcPr>
          <w:p w14:paraId="6591A76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i ulët</w:t>
            </w:r>
          </w:p>
        </w:tc>
        <w:tc>
          <w:tcPr>
            <w:tcW w:w="1624" w:type="dxa"/>
          </w:tcPr>
          <w:p w14:paraId="1FD1304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i ulët</w:t>
            </w:r>
          </w:p>
        </w:tc>
      </w:tr>
      <w:tr w:rsidR="00B86FB3" w:rsidRPr="00FF756A" w14:paraId="15A6C279" w14:textId="77777777" w:rsidTr="006A3266">
        <w:trPr>
          <w:trHeight w:val="330"/>
        </w:trPr>
        <w:tc>
          <w:tcPr>
            <w:cnfStyle w:val="001000000000" w:firstRow="0" w:lastRow="0" w:firstColumn="1" w:lastColumn="0" w:oddVBand="0" w:evenVBand="0" w:oddHBand="0" w:evenHBand="0" w:firstRowFirstColumn="0" w:firstRowLastColumn="0" w:lastRowFirstColumn="0" w:lastRowLastColumn="0"/>
            <w:tcW w:w="932" w:type="dxa"/>
          </w:tcPr>
          <w:p w14:paraId="52DAC583" w14:textId="77777777" w:rsidR="00B86FB3" w:rsidRPr="00FF756A" w:rsidRDefault="00B86FB3" w:rsidP="00B86FB3">
            <w:pPr>
              <w:rPr>
                <w:rFonts w:cs="Times New Roman"/>
              </w:rPr>
            </w:pPr>
            <w:r w:rsidRPr="00FF756A">
              <w:rPr>
                <w:rFonts w:cs="Times New Roman"/>
                <w:sz w:val="20"/>
                <w:szCs w:val="20"/>
              </w:rPr>
              <w:t xml:space="preserve">EE-T1 </w:t>
            </w:r>
          </w:p>
        </w:tc>
        <w:tc>
          <w:tcPr>
            <w:tcW w:w="4264" w:type="dxa"/>
          </w:tcPr>
          <w:p w14:paraId="2DD80829"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Etiketimi i energjisë për makinat e reja</w:t>
            </w:r>
          </w:p>
        </w:tc>
        <w:tc>
          <w:tcPr>
            <w:tcW w:w="1610" w:type="dxa"/>
          </w:tcPr>
          <w:p w14:paraId="53BDD10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i ulët</w:t>
            </w:r>
          </w:p>
        </w:tc>
        <w:tc>
          <w:tcPr>
            <w:tcW w:w="1200" w:type="dxa"/>
          </w:tcPr>
          <w:p w14:paraId="3407F17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neutral</w:t>
            </w:r>
          </w:p>
        </w:tc>
        <w:tc>
          <w:tcPr>
            <w:tcW w:w="1624" w:type="dxa"/>
          </w:tcPr>
          <w:p w14:paraId="2FC78E3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neutral</w:t>
            </w:r>
          </w:p>
        </w:tc>
      </w:tr>
      <w:tr w:rsidR="00B86FB3" w:rsidRPr="00FF756A" w14:paraId="06EDFC9C" w14:textId="77777777" w:rsidTr="006A32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2" w:type="dxa"/>
          </w:tcPr>
          <w:p w14:paraId="397F592D" w14:textId="77777777" w:rsidR="00B86FB3" w:rsidRPr="00FF756A" w:rsidRDefault="00B86FB3" w:rsidP="00B86FB3">
            <w:pPr>
              <w:rPr>
                <w:rFonts w:cs="Times New Roman"/>
              </w:rPr>
            </w:pPr>
            <w:r w:rsidRPr="00FF756A">
              <w:rPr>
                <w:rFonts w:cs="Times New Roman"/>
                <w:sz w:val="20"/>
                <w:szCs w:val="20"/>
              </w:rPr>
              <w:t xml:space="preserve">EE-T2 </w:t>
            </w:r>
          </w:p>
        </w:tc>
        <w:tc>
          <w:tcPr>
            <w:tcW w:w="4264" w:type="dxa"/>
          </w:tcPr>
          <w:p w14:paraId="658CD62F"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 xml:space="preserve">Rritja e përqindjes së automjeteve elektrike në flotën kombëtare të makinave </w:t>
            </w:r>
          </w:p>
        </w:tc>
        <w:tc>
          <w:tcPr>
            <w:tcW w:w="1610" w:type="dxa"/>
          </w:tcPr>
          <w:p w14:paraId="6701A3CF"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i ulët</w:t>
            </w:r>
          </w:p>
        </w:tc>
        <w:tc>
          <w:tcPr>
            <w:tcW w:w="1200" w:type="dxa"/>
          </w:tcPr>
          <w:p w14:paraId="44F63B2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FF0000"/>
                <w:sz w:val="20"/>
                <w:szCs w:val="20"/>
              </w:rPr>
              <w:t>negativ</w:t>
            </w:r>
          </w:p>
        </w:tc>
        <w:tc>
          <w:tcPr>
            <w:tcW w:w="1624" w:type="dxa"/>
          </w:tcPr>
          <w:p w14:paraId="35472F4A"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neutral</w:t>
            </w:r>
          </w:p>
        </w:tc>
      </w:tr>
      <w:tr w:rsidR="00B86FB3" w:rsidRPr="00FF756A" w14:paraId="5F6350CE" w14:textId="77777777" w:rsidTr="006A3266">
        <w:trPr>
          <w:trHeight w:val="300"/>
        </w:trPr>
        <w:tc>
          <w:tcPr>
            <w:cnfStyle w:val="001000000000" w:firstRow="0" w:lastRow="0" w:firstColumn="1" w:lastColumn="0" w:oddVBand="0" w:evenVBand="0" w:oddHBand="0" w:evenHBand="0" w:firstRowFirstColumn="0" w:firstRowLastColumn="0" w:lastRowFirstColumn="0" w:lastRowLastColumn="0"/>
            <w:tcW w:w="932" w:type="dxa"/>
          </w:tcPr>
          <w:p w14:paraId="73008E29" w14:textId="77777777" w:rsidR="00B86FB3" w:rsidRPr="00FF756A" w:rsidRDefault="00B86FB3" w:rsidP="00B86FB3">
            <w:pPr>
              <w:rPr>
                <w:rFonts w:cs="Times New Roman"/>
              </w:rPr>
            </w:pPr>
            <w:r w:rsidRPr="00FF756A">
              <w:rPr>
                <w:rFonts w:cs="Times New Roman"/>
                <w:sz w:val="20"/>
                <w:szCs w:val="20"/>
              </w:rPr>
              <w:t xml:space="preserve">EE-T3 </w:t>
            </w:r>
          </w:p>
        </w:tc>
        <w:tc>
          <w:tcPr>
            <w:tcW w:w="4264" w:type="dxa"/>
            <w:vAlign w:val="center"/>
          </w:tcPr>
          <w:p w14:paraId="775AC283"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sz w:val="20"/>
                <w:szCs w:val="20"/>
              </w:rPr>
              <w:t>Mekanizma mbështetës për EE-në dhe automjetet ekologjike</w:t>
            </w:r>
          </w:p>
        </w:tc>
        <w:tc>
          <w:tcPr>
            <w:tcW w:w="1610" w:type="dxa"/>
          </w:tcPr>
          <w:p w14:paraId="6FE51319"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i ulët</w:t>
            </w:r>
          </w:p>
        </w:tc>
        <w:tc>
          <w:tcPr>
            <w:tcW w:w="1200" w:type="dxa"/>
          </w:tcPr>
          <w:p w14:paraId="421A9B7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FF0000"/>
                <w:sz w:val="20"/>
                <w:szCs w:val="20"/>
              </w:rPr>
              <w:t>negativ</w:t>
            </w:r>
          </w:p>
        </w:tc>
        <w:tc>
          <w:tcPr>
            <w:tcW w:w="1624" w:type="dxa"/>
          </w:tcPr>
          <w:p w14:paraId="11CC22E4"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neutral</w:t>
            </w:r>
          </w:p>
        </w:tc>
      </w:tr>
      <w:tr w:rsidR="00B86FB3" w:rsidRPr="00FF756A" w14:paraId="6F1F851E" w14:textId="77777777" w:rsidTr="006A32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2" w:type="dxa"/>
          </w:tcPr>
          <w:p w14:paraId="001FCFB9" w14:textId="77777777" w:rsidR="00B86FB3" w:rsidRPr="00FF756A" w:rsidRDefault="00B86FB3" w:rsidP="00B86FB3">
            <w:pPr>
              <w:rPr>
                <w:rFonts w:cs="Times New Roman"/>
              </w:rPr>
            </w:pPr>
            <w:r w:rsidRPr="00FF756A">
              <w:rPr>
                <w:rFonts w:cs="Times New Roman"/>
                <w:sz w:val="20"/>
                <w:szCs w:val="20"/>
              </w:rPr>
              <w:t xml:space="preserve">EE-L1 </w:t>
            </w:r>
          </w:p>
        </w:tc>
        <w:tc>
          <w:tcPr>
            <w:tcW w:w="4264" w:type="dxa"/>
          </w:tcPr>
          <w:p w14:paraId="5F709A5C"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 xml:space="preserve">Zbatimi i kërkesave minimale të performancës së energjisë në ndërtesa </w:t>
            </w:r>
          </w:p>
        </w:tc>
        <w:tc>
          <w:tcPr>
            <w:tcW w:w="1610" w:type="dxa"/>
          </w:tcPr>
          <w:p w14:paraId="7DDEB76D"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i lartë</w:t>
            </w:r>
          </w:p>
        </w:tc>
        <w:tc>
          <w:tcPr>
            <w:tcW w:w="1200" w:type="dxa"/>
          </w:tcPr>
          <w:p w14:paraId="642FD06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mesatar</w:t>
            </w:r>
          </w:p>
        </w:tc>
        <w:tc>
          <w:tcPr>
            <w:tcW w:w="1624" w:type="dxa"/>
          </w:tcPr>
          <w:p w14:paraId="195BBAF2"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i lartë</w:t>
            </w:r>
          </w:p>
        </w:tc>
      </w:tr>
      <w:tr w:rsidR="00B86FB3" w:rsidRPr="00FF756A" w14:paraId="557EC193" w14:textId="77777777" w:rsidTr="006A3266">
        <w:trPr>
          <w:trHeight w:val="60"/>
        </w:trPr>
        <w:tc>
          <w:tcPr>
            <w:cnfStyle w:val="001000000000" w:firstRow="0" w:lastRow="0" w:firstColumn="1" w:lastColumn="0" w:oddVBand="0" w:evenVBand="0" w:oddHBand="0" w:evenHBand="0" w:firstRowFirstColumn="0" w:firstRowLastColumn="0" w:lastRowFirstColumn="0" w:lastRowLastColumn="0"/>
            <w:tcW w:w="932" w:type="dxa"/>
          </w:tcPr>
          <w:p w14:paraId="2742BA60" w14:textId="77777777" w:rsidR="00B86FB3" w:rsidRPr="00FF756A" w:rsidRDefault="00B86FB3" w:rsidP="00B86FB3">
            <w:pPr>
              <w:rPr>
                <w:rFonts w:cs="Times New Roman"/>
              </w:rPr>
            </w:pPr>
            <w:r w:rsidRPr="00FF756A">
              <w:rPr>
                <w:rFonts w:cs="Times New Roman"/>
                <w:sz w:val="20"/>
                <w:szCs w:val="20"/>
              </w:rPr>
              <w:t xml:space="preserve">EM-P1 </w:t>
            </w:r>
          </w:p>
        </w:tc>
        <w:tc>
          <w:tcPr>
            <w:tcW w:w="4264" w:type="dxa"/>
          </w:tcPr>
          <w:p w14:paraId="45F4ACB2"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 xml:space="preserve">Eliminimi i varfërisë energjetike </w:t>
            </w:r>
          </w:p>
        </w:tc>
        <w:tc>
          <w:tcPr>
            <w:tcW w:w="1610" w:type="dxa"/>
          </w:tcPr>
          <w:p w14:paraId="56920ED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i lartë</w:t>
            </w:r>
          </w:p>
        </w:tc>
        <w:tc>
          <w:tcPr>
            <w:tcW w:w="1200" w:type="dxa"/>
          </w:tcPr>
          <w:p w14:paraId="3C512B3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FF0000"/>
                <w:sz w:val="20"/>
                <w:szCs w:val="20"/>
              </w:rPr>
              <w:t>negativ</w:t>
            </w:r>
          </w:p>
        </w:tc>
        <w:tc>
          <w:tcPr>
            <w:tcW w:w="1624" w:type="dxa"/>
          </w:tcPr>
          <w:p w14:paraId="10F3011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neutral</w:t>
            </w:r>
          </w:p>
        </w:tc>
      </w:tr>
      <w:tr w:rsidR="00B86FB3" w:rsidRPr="00FF756A" w14:paraId="7A28404E" w14:textId="77777777" w:rsidTr="006A32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2" w:type="dxa"/>
          </w:tcPr>
          <w:p w14:paraId="7AD510E5" w14:textId="77777777" w:rsidR="00B86FB3" w:rsidRPr="00FF756A" w:rsidRDefault="00B86FB3" w:rsidP="00B86FB3">
            <w:pPr>
              <w:rPr>
                <w:rFonts w:cs="Times New Roman"/>
              </w:rPr>
            </w:pPr>
            <w:r w:rsidRPr="00FF756A">
              <w:rPr>
                <w:rFonts w:cs="Times New Roman"/>
                <w:sz w:val="20"/>
                <w:szCs w:val="20"/>
              </w:rPr>
              <w:t xml:space="preserve">ES-O2 </w:t>
            </w:r>
          </w:p>
        </w:tc>
        <w:tc>
          <w:tcPr>
            <w:tcW w:w="4264" w:type="dxa"/>
          </w:tcPr>
          <w:p w14:paraId="5AF621FE"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sz w:val="20"/>
                <w:szCs w:val="20"/>
              </w:rPr>
              <w:t>Zhvillimi dhe zbatimi i projektit të shpërndarjes dhe transmetimit të brendshëm të identifikuar në master planin e gazit</w:t>
            </w:r>
            <w:r w:rsidRPr="00FF756A">
              <w:rPr>
                <w:rFonts w:cs="Times New Roman"/>
                <w:color w:val="000000" w:themeColor="text1"/>
                <w:sz w:val="20"/>
                <w:szCs w:val="20"/>
              </w:rPr>
              <w:t xml:space="preserve"> (Sektori i industrisë)</w:t>
            </w:r>
          </w:p>
        </w:tc>
        <w:tc>
          <w:tcPr>
            <w:tcW w:w="1610" w:type="dxa"/>
          </w:tcPr>
          <w:p w14:paraId="2F82F06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neutral</w:t>
            </w:r>
          </w:p>
        </w:tc>
        <w:tc>
          <w:tcPr>
            <w:tcW w:w="1200" w:type="dxa"/>
          </w:tcPr>
          <w:p w14:paraId="4D4D852C"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mesatar</w:t>
            </w:r>
          </w:p>
        </w:tc>
        <w:tc>
          <w:tcPr>
            <w:tcW w:w="1624" w:type="dxa"/>
          </w:tcPr>
          <w:p w14:paraId="31FAB61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mesatar</w:t>
            </w:r>
          </w:p>
        </w:tc>
      </w:tr>
      <w:tr w:rsidR="00B86FB3" w:rsidRPr="00FF756A" w14:paraId="29EEE21F" w14:textId="77777777" w:rsidTr="006A3266">
        <w:trPr>
          <w:trHeight w:val="300"/>
        </w:trPr>
        <w:tc>
          <w:tcPr>
            <w:cnfStyle w:val="001000000000" w:firstRow="0" w:lastRow="0" w:firstColumn="1" w:lastColumn="0" w:oddVBand="0" w:evenVBand="0" w:oddHBand="0" w:evenHBand="0" w:firstRowFirstColumn="0" w:firstRowLastColumn="0" w:lastRowFirstColumn="0" w:lastRowLastColumn="0"/>
            <w:tcW w:w="932" w:type="dxa"/>
          </w:tcPr>
          <w:p w14:paraId="7537FA20" w14:textId="77777777" w:rsidR="00B86FB3" w:rsidRPr="00FF756A" w:rsidRDefault="00B86FB3" w:rsidP="00B86FB3">
            <w:pPr>
              <w:rPr>
                <w:rFonts w:cs="Times New Roman"/>
              </w:rPr>
            </w:pPr>
            <w:r w:rsidRPr="00FF756A">
              <w:rPr>
                <w:rFonts w:cs="Times New Roman"/>
                <w:sz w:val="20"/>
                <w:szCs w:val="20"/>
              </w:rPr>
              <w:t xml:space="preserve">ES-O2 </w:t>
            </w:r>
          </w:p>
        </w:tc>
        <w:tc>
          <w:tcPr>
            <w:tcW w:w="4264" w:type="dxa"/>
          </w:tcPr>
          <w:p w14:paraId="7F839F53"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sz w:val="20"/>
                <w:szCs w:val="20"/>
              </w:rPr>
              <w:t>Zhvillimi dhe zbatimi i projektit të shpërndarjes dhe transmetimit të brendshëm të identifikuar në master planin e gazit</w:t>
            </w:r>
            <w:r w:rsidRPr="00FF756A">
              <w:rPr>
                <w:rFonts w:cs="Times New Roman"/>
                <w:color w:val="000000" w:themeColor="text1"/>
                <w:sz w:val="20"/>
                <w:szCs w:val="20"/>
              </w:rPr>
              <w:t xml:space="preserve"> (Sektori i banesave dhe i shërbimeve)</w:t>
            </w:r>
          </w:p>
        </w:tc>
        <w:tc>
          <w:tcPr>
            <w:tcW w:w="1610" w:type="dxa"/>
          </w:tcPr>
          <w:p w14:paraId="77841D2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i ulët</w:t>
            </w:r>
          </w:p>
        </w:tc>
        <w:tc>
          <w:tcPr>
            <w:tcW w:w="1200" w:type="dxa"/>
          </w:tcPr>
          <w:p w14:paraId="2260221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mesatar</w:t>
            </w:r>
          </w:p>
        </w:tc>
        <w:tc>
          <w:tcPr>
            <w:tcW w:w="1624" w:type="dxa"/>
          </w:tcPr>
          <w:p w14:paraId="5D087EA2"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mesatar</w:t>
            </w:r>
          </w:p>
        </w:tc>
      </w:tr>
      <w:tr w:rsidR="00B86FB3" w:rsidRPr="00FF756A" w14:paraId="5FE3DFDE" w14:textId="77777777" w:rsidTr="006A32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2" w:type="dxa"/>
          </w:tcPr>
          <w:p w14:paraId="4C658DDC" w14:textId="77777777" w:rsidR="00B86FB3" w:rsidRPr="00FF756A" w:rsidRDefault="00B86FB3" w:rsidP="00B86FB3">
            <w:pPr>
              <w:rPr>
                <w:rFonts w:cs="Times New Roman"/>
              </w:rPr>
            </w:pPr>
            <w:r w:rsidRPr="00FF756A">
              <w:rPr>
                <w:rFonts w:cs="Times New Roman"/>
                <w:sz w:val="20"/>
                <w:szCs w:val="20"/>
              </w:rPr>
              <w:t xml:space="preserve">ES-O2 </w:t>
            </w:r>
          </w:p>
        </w:tc>
        <w:tc>
          <w:tcPr>
            <w:tcW w:w="4264" w:type="dxa"/>
          </w:tcPr>
          <w:p w14:paraId="6F001F83"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sz w:val="20"/>
                <w:szCs w:val="20"/>
              </w:rPr>
              <w:t xml:space="preserve">Zhvillimi dhe zbatimi i projektit të shpërndarjes dhe transmetimit të brendshëm të identifikuar në master planin e gazit </w:t>
            </w:r>
            <w:r w:rsidRPr="00FF756A">
              <w:rPr>
                <w:rFonts w:cs="Times New Roman"/>
                <w:color w:val="000000" w:themeColor="text1"/>
                <w:sz w:val="20"/>
                <w:szCs w:val="20"/>
              </w:rPr>
              <w:t>(Korça Gas)</w:t>
            </w:r>
          </w:p>
        </w:tc>
        <w:tc>
          <w:tcPr>
            <w:tcW w:w="1610" w:type="dxa"/>
          </w:tcPr>
          <w:p w14:paraId="72C5E8B0"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neutral</w:t>
            </w:r>
          </w:p>
        </w:tc>
        <w:tc>
          <w:tcPr>
            <w:tcW w:w="1200" w:type="dxa"/>
          </w:tcPr>
          <w:p w14:paraId="2D7C8AC5"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i ulët</w:t>
            </w:r>
          </w:p>
        </w:tc>
        <w:tc>
          <w:tcPr>
            <w:tcW w:w="1624" w:type="dxa"/>
          </w:tcPr>
          <w:p w14:paraId="1DE4718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mesatar</w:t>
            </w:r>
          </w:p>
        </w:tc>
      </w:tr>
      <w:tr w:rsidR="00B86FB3" w:rsidRPr="00FF756A" w14:paraId="04A2AF3E" w14:textId="77777777" w:rsidTr="006A3266">
        <w:trPr>
          <w:trHeight w:val="300"/>
        </w:trPr>
        <w:tc>
          <w:tcPr>
            <w:cnfStyle w:val="001000000000" w:firstRow="0" w:lastRow="0" w:firstColumn="1" w:lastColumn="0" w:oddVBand="0" w:evenVBand="0" w:oddHBand="0" w:evenHBand="0" w:firstRowFirstColumn="0" w:firstRowLastColumn="0" w:lastRowFirstColumn="0" w:lastRowLastColumn="0"/>
            <w:tcW w:w="932" w:type="dxa"/>
          </w:tcPr>
          <w:p w14:paraId="44103EB6" w14:textId="77777777" w:rsidR="00B86FB3" w:rsidRPr="00FF756A" w:rsidRDefault="00B86FB3" w:rsidP="00B86FB3">
            <w:pPr>
              <w:rPr>
                <w:rFonts w:cs="Times New Roman"/>
              </w:rPr>
            </w:pPr>
            <w:r w:rsidRPr="00FF756A">
              <w:rPr>
                <w:rFonts w:cs="Times New Roman"/>
                <w:sz w:val="20"/>
                <w:szCs w:val="20"/>
              </w:rPr>
              <w:t xml:space="preserve">EE-C1 </w:t>
            </w:r>
          </w:p>
        </w:tc>
        <w:tc>
          <w:tcPr>
            <w:tcW w:w="4264" w:type="dxa"/>
          </w:tcPr>
          <w:p w14:paraId="3E4297A5"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 xml:space="preserve">Prezantimi i kërkesave të etiketimit të energjisë dhe të dizajnit ekologjik </w:t>
            </w:r>
          </w:p>
        </w:tc>
        <w:tc>
          <w:tcPr>
            <w:tcW w:w="1610" w:type="dxa"/>
          </w:tcPr>
          <w:p w14:paraId="1BC07261"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mesatar</w:t>
            </w:r>
          </w:p>
        </w:tc>
        <w:tc>
          <w:tcPr>
            <w:tcW w:w="1200" w:type="dxa"/>
          </w:tcPr>
          <w:p w14:paraId="40F0BA1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i ulët</w:t>
            </w:r>
          </w:p>
        </w:tc>
        <w:tc>
          <w:tcPr>
            <w:tcW w:w="1624" w:type="dxa"/>
          </w:tcPr>
          <w:p w14:paraId="6E210AA8"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neutral</w:t>
            </w:r>
          </w:p>
        </w:tc>
      </w:tr>
      <w:tr w:rsidR="00B86FB3" w:rsidRPr="00FF756A" w14:paraId="1D422390" w14:textId="77777777" w:rsidTr="006A32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2" w:type="dxa"/>
          </w:tcPr>
          <w:p w14:paraId="702999B0" w14:textId="77777777" w:rsidR="00B86FB3" w:rsidRPr="00FF756A" w:rsidRDefault="00B86FB3" w:rsidP="00B86FB3">
            <w:pPr>
              <w:rPr>
                <w:rFonts w:cs="Times New Roman"/>
              </w:rPr>
            </w:pPr>
            <w:r w:rsidRPr="00FF756A">
              <w:rPr>
                <w:rFonts w:cs="Times New Roman"/>
                <w:sz w:val="20"/>
                <w:szCs w:val="20"/>
              </w:rPr>
              <w:t xml:space="preserve">G-I1 </w:t>
            </w:r>
          </w:p>
        </w:tc>
        <w:tc>
          <w:tcPr>
            <w:tcW w:w="4264" w:type="dxa"/>
          </w:tcPr>
          <w:p w14:paraId="06F9EFAD"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 xml:space="preserve">Zbatimi i ETS-së në Shqipëri </w:t>
            </w:r>
          </w:p>
        </w:tc>
        <w:tc>
          <w:tcPr>
            <w:tcW w:w="1610" w:type="dxa"/>
          </w:tcPr>
          <w:p w14:paraId="3D6C615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negativ</w:t>
            </w:r>
          </w:p>
        </w:tc>
        <w:tc>
          <w:tcPr>
            <w:tcW w:w="1200" w:type="dxa"/>
          </w:tcPr>
          <w:p w14:paraId="01DF27D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 xml:space="preserve">i ulët </w:t>
            </w:r>
          </w:p>
        </w:tc>
        <w:tc>
          <w:tcPr>
            <w:tcW w:w="1624" w:type="dxa"/>
          </w:tcPr>
          <w:p w14:paraId="69091A4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neutral</w:t>
            </w:r>
          </w:p>
        </w:tc>
      </w:tr>
      <w:tr w:rsidR="00B86FB3" w:rsidRPr="00FF756A" w14:paraId="32EF7662" w14:textId="77777777" w:rsidTr="006A3266">
        <w:trPr>
          <w:trHeight w:val="300"/>
        </w:trPr>
        <w:tc>
          <w:tcPr>
            <w:cnfStyle w:val="001000000000" w:firstRow="0" w:lastRow="0" w:firstColumn="1" w:lastColumn="0" w:oddVBand="0" w:evenVBand="0" w:oddHBand="0" w:evenHBand="0" w:firstRowFirstColumn="0" w:firstRowLastColumn="0" w:lastRowFirstColumn="0" w:lastRowLastColumn="0"/>
            <w:tcW w:w="932" w:type="dxa"/>
          </w:tcPr>
          <w:p w14:paraId="0D5B08E8" w14:textId="77777777" w:rsidR="00B86FB3" w:rsidRPr="00FF756A" w:rsidRDefault="00B86FB3" w:rsidP="00B86FB3">
            <w:pPr>
              <w:rPr>
                <w:rFonts w:cs="Times New Roman"/>
              </w:rPr>
            </w:pPr>
            <w:r w:rsidRPr="00FF756A">
              <w:rPr>
                <w:rFonts w:cs="Times New Roman"/>
                <w:sz w:val="20"/>
                <w:szCs w:val="20"/>
              </w:rPr>
              <w:t xml:space="preserve">G-T1 </w:t>
            </w:r>
          </w:p>
        </w:tc>
        <w:tc>
          <w:tcPr>
            <w:tcW w:w="4264" w:type="dxa"/>
            <w:vAlign w:val="center"/>
          </w:tcPr>
          <w:p w14:paraId="78716B98"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sz w:val="20"/>
                <w:szCs w:val="20"/>
              </w:rPr>
              <w:t>Përmirësimi i linjave të rrjetit të autobusëve ndërurban/ndërqytetas</w:t>
            </w:r>
          </w:p>
        </w:tc>
        <w:tc>
          <w:tcPr>
            <w:tcW w:w="1610" w:type="dxa"/>
          </w:tcPr>
          <w:p w14:paraId="323992B7"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i ulët</w:t>
            </w:r>
          </w:p>
        </w:tc>
        <w:tc>
          <w:tcPr>
            <w:tcW w:w="1200" w:type="dxa"/>
          </w:tcPr>
          <w:p w14:paraId="65BE50EB"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neutral</w:t>
            </w:r>
          </w:p>
        </w:tc>
        <w:tc>
          <w:tcPr>
            <w:tcW w:w="1624" w:type="dxa"/>
          </w:tcPr>
          <w:p w14:paraId="51332A6D"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neutral</w:t>
            </w:r>
          </w:p>
        </w:tc>
      </w:tr>
      <w:tr w:rsidR="00B86FB3" w:rsidRPr="00FF756A" w14:paraId="1BEC8640" w14:textId="77777777" w:rsidTr="006A32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2" w:type="dxa"/>
          </w:tcPr>
          <w:p w14:paraId="279D5ED3" w14:textId="77777777" w:rsidR="00B86FB3" w:rsidRPr="00FF756A" w:rsidRDefault="00B86FB3" w:rsidP="00B86FB3">
            <w:pPr>
              <w:rPr>
                <w:rFonts w:cs="Times New Roman"/>
              </w:rPr>
            </w:pPr>
            <w:r w:rsidRPr="00FF756A">
              <w:rPr>
                <w:rFonts w:cs="Times New Roman"/>
                <w:sz w:val="20"/>
                <w:szCs w:val="20"/>
              </w:rPr>
              <w:t xml:space="preserve">G-T2 </w:t>
            </w:r>
          </w:p>
        </w:tc>
        <w:tc>
          <w:tcPr>
            <w:tcW w:w="4264" w:type="dxa"/>
          </w:tcPr>
          <w:p w14:paraId="5B4B9A98"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 xml:space="preserve">Menaxhimi i integruar i transportit të mallrave </w:t>
            </w:r>
          </w:p>
        </w:tc>
        <w:tc>
          <w:tcPr>
            <w:tcW w:w="1610" w:type="dxa"/>
          </w:tcPr>
          <w:p w14:paraId="7E76A02B"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neutral</w:t>
            </w:r>
          </w:p>
        </w:tc>
        <w:tc>
          <w:tcPr>
            <w:tcW w:w="1200" w:type="dxa"/>
          </w:tcPr>
          <w:p w14:paraId="27EB817E"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i ulët</w:t>
            </w:r>
          </w:p>
        </w:tc>
        <w:tc>
          <w:tcPr>
            <w:tcW w:w="1624" w:type="dxa"/>
          </w:tcPr>
          <w:p w14:paraId="10D3799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neutral</w:t>
            </w:r>
          </w:p>
        </w:tc>
      </w:tr>
      <w:tr w:rsidR="00B86FB3" w:rsidRPr="00FF756A" w14:paraId="178A7F1F" w14:textId="77777777" w:rsidTr="006A3266">
        <w:trPr>
          <w:trHeight w:val="300"/>
        </w:trPr>
        <w:tc>
          <w:tcPr>
            <w:cnfStyle w:val="001000000000" w:firstRow="0" w:lastRow="0" w:firstColumn="1" w:lastColumn="0" w:oddVBand="0" w:evenVBand="0" w:oddHBand="0" w:evenHBand="0" w:firstRowFirstColumn="0" w:firstRowLastColumn="0" w:lastRowFirstColumn="0" w:lastRowLastColumn="0"/>
            <w:tcW w:w="932" w:type="dxa"/>
          </w:tcPr>
          <w:p w14:paraId="5BE70A68" w14:textId="77777777" w:rsidR="00B86FB3" w:rsidRPr="00FF756A" w:rsidRDefault="00B86FB3" w:rsidP="00B86FB3">
            <w:pPr>
              <w:rPr>
                <w:rFonts w:cs="Times New Roman"/>
              </w:rPr>
            </w:pPr>
            <w:r w:rsidRPr="00FF756A">
              <w:rPr>
                <w:rFonts w:cs="Times New Roman"/>
                <w:sz w:val="20"/>
                <w:szCs w:val="20"/>
              </w:rPr>
              <w:t xml:space="preserve">ES-O4 </w:t>
            </w:r>
          </w:p>
        </w:tc>
        <w:tc>
          <w:tcPr>
            <w:tcW w:w="4264" w:type="dxa"/>
            <w:vAlign w:val="center"/>
          </w:tcPr>
          <w:p w14:paraId="49872AB9"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sz w:val="20"/>
                <w:szCs w:val="20"/>
              </w:rPr>
              <w:t>Kërkimi, prodhimi dhe përpunimi i hidrokarbureve</w:t>
            </w:r>
          </w:p>
        </w:tc>
        <w:tc>
          <w:tcPr>
            <w:tcW w:w="1610" w:type="dxa"/>
          </w:tcPr>
          <w:p w14:paraId="617EC71C"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neutral</w:t>
            </w:r>
          </w:p>
        </w:tc>
        <w:tc>
          <w:tcPr>
            <w:tcW w:w="1200" w:type="dxa"/>
          </w:tcPr>
          <w:p w14:paraId="57A95716"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neutral</w:t>
            </w:r>
          </w:p>
        </w:tc>
        <w:tc>
          <w:tcPr>
            <w:tcW w:w="1624" w:type="dxa"/>
          </w:tcPr>
          <w:p w14:paraId="167EBFA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i ulët</w:t>
            </w:r>
          </w:p>
        </w:tc>
      </w:tr>
      <w:tr w:rsidR="00B86FB3" w:rsidRPr="00FF756A" w14:paraId="265CEB1C" w14:textId="77777777" w:rsidTr="006A32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2" w:type="dxa"/>
          </w:tcPr>
          <w:p w14:paraId="373B96DD" w14:textId="77777777" w:rsidR="00B86FB3" w:rsidRPr="00FF756A" w:rsidRDefault="00B86FB3" w:rsidP="00B86FB3">
            <w:pPr>
              <w:rPr>
                <w:rFonts w:cs="Times New Roman"/>
              </w:rPr>
            </w:pPr>
            <w:r w:rsidRPr="00FF756A">
              <w:rPr>
                <w:rFonts w:cs="Times New Roman"/>
                <w:sz w:val="20"/>
                <w:szCs w:val="20"/>
              </w:rPr>
              <w:t>EE-P1</w:t>
            </w:r>
          </w:p>
        </w:tc>
        <w:tc>
          <w:tcPr>
            <w:tcW w:w="4264" w:type="dxa"/>
          </w:tcPr>
          <w:p w14:paraId="04176485"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Masat për efiçencën e energjisë që lidhen me blerjen nga autoritetet publike</w:t>
            </w:r>
          </w:p>
        </w:tc>
        <w:tc>
          <w:tcPr>
            <w:tcW w:w="1610" w:type="dxa"/>
          </w:tcPr>
          <w:p w14:paraId="1077F9B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neutral</w:t>
            </w:r>
          </w:p>
        </w:tc>
        <w:tc>
          <w:tcPr>
            <w:tcW w:w="1200" w:type="dxa"/>
          </w:tcPr>
          <w:p w14:paraId="65B2B7B1"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i ulët</w:t>
            </w:r>
          </w:p>
        </w:tc>
        <w:tc>
          <w:tcPr>
            <w:tcW w:w="1624" w:type="dxa"/>
          </w:tcPr>
          <w:p w14:paraId="143DEA94"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neutral</w:t>
            </w:r>
          </w:p>
        </w:tc>
      </w:tr>
      <w:tr w:rsidR="00B86FB3" w:rsidRPr="00FF756A" w14:paraId="56406984" w14:textId="77777777" w:rsidTr="006A3266">
        <w:trPr>
          <w:trHeight w:val="300"/>
        </w:trPr>
        <w:tc>
          <w:tcPr>
            <w:cnfStyle w:val="001000000000" w:firstRow="0" w:lastRow="0" w:firstColumn="1" w:lastColumn="0" w:oddVBand="0" w:evenVBand="0" w:oddHBand="0" w:evenHBand="0" w:firstRowFirstColumn="0" w:firstRowLastColumn="0" w:lastRowFirstColumn="0" w:lastRowLastColumn="0"/>
            <w:tcW w:w="932" w:type="dxa"/>
          </w:tcPr>
          <w:p w14:paraId="55B4659D" w14:textId="77777777" w:rsidR="00B86FB3" w:rsidRPr="00FF756A" w:rsidRDefault="00B86FB3" w:rsidP="00B86FB3">
            <w:pPr>
              <w:rPr>
                <w:rFonts w:cs="Times New Roman"/>
              </w:rPr>
            </w:pPr>
            <w:r w:rsidRPr="00FF756A">
              <w:rPr>
                <w:rFonts w:cs="Times New Roman"/>
                <w:sz w:val="20"/>
                <w:szCs w:val="20"/>
              </w:rPr>
              <w:t xml:space="preserve">R-T2 </w:t>
            </w:r>
          </w:p>
        </w:tc>
        <w:tc>
          <w:tcPr>
            <w:tcW w:w="4264" w:type="dxa"/>
          </w:tcPr>
          <w:p w14:paraId="04AB2D14"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Biokarburantet e qëndrueshme/të avancuara</w:t>
            </w:r>
          </w:p>
        </w:tc>
        <w:tc>
          <w:tcPr>
            <w:tcW w:w="1610" w:type="dxa"/>
          </w:tcPr>
          <w:p w14:paraId="35ED011A"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neutral</w:t>
            </w:r>
          </w:p>
        </w:tc>
        <w:tc>
          <w:tcPr>
            <w:tcW w:w="1200" w:type="dxa"/>
          </w:tcPr>
          <w:p w14:paraId="60501C0F"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FF0000"/>
                <w:sz w:val="20"/>
                <w:szCs w:val="20"/>
              </w:rPr>
              <w:t>negativ</w:t>
            </w:r>
          </w:p>
        </w:tc>
        <w:tc>
          <w:tcPr>
            <w:tcW w:w="1624" w:type="dxa"/>
          </w:tcPr>
          <w:p w14:paraId="7C514E93" w14:textId="77777777" w:rsidR="00B86FB3" w:rsidRPr="00FF756A" w:rsidRDefault="00B86FB3" w:rsidP="00B86FB3">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F756A">
              <w:rPr>
                <w:rFonts w:cs="Times New Roman"/>
                <w:color w:val="000000" w:themeColor="text1"/>
                <w:sz w:val="20"/>
                <w:szCs w:val="20"/>
              </w:rPr>
              <w:t>i ulët</w:t>
            </w:r>
          </w:p>
        </w:tc>
      </w:tr>
      <w:tr w:rsidR="00B86FB3" w:rsidRPr="00FF756A" w14:paraId="2F76CFA7" w14:textId="77777777" w:rsidTr="006A32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2" w:type="dxa"/>
          </w:tcPr>
          <w:p w14:paraId="001CE092" w14:textId="77777777" w:rsidR="00B86FB3" w:rsidRPr="00FF756A" w:rsidRDefault="00B86FB3" w:rsidP="00B86FB3">
            <w:pPr>
              <w:rPr>
                <w:rFonts w:cs="Times New Roman"/>
              </w:rPr>
            </w:pPr>
            <w:r w:rsidRPr="00FF756A">
              <w:rPr>
                <w:rFonts w:cs="Times New Roman"/>
                <w:sz w:val="20"/>
                <w:szCs w:val="20"/>
              </w:rPr>
              <w:t>EE-L2</w:t>
            </w:r>
          </w:p>
        </w:tc>
        <w:tc>
          <w:tcPr>
            <w:tcW w:w="4264" w:type="dxa"/>
            <w:vAlign w:val="center"/>
          </w:tcPr>
          <w:p w14:paraId="6EDFFEED" w14:textId="77777777" w:rsidR="00B86FB3" w:rsidRPr="00FF756A" w:rsidRDefault="00B86FB3" w:rsidP="00B86FB3">
            <w:pP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iCs/>
                <w:sz w:val="20"/>
                <w:szCs w:val="20"/>
              </w:rPr>
              <w:t>Plani afatgjatë e rinovimit të ndërtesave (për ndërtesat publike dhe private) sipas riformulimit të EPBD-së në vitin 2024</w:t>
            </w:r>
          </w:p>
        </w:tc>
        <w:tc>
          <w:tcPr>
            <w:tcW w:w="1610" w:type="dxa"/>
          </w:tcPr>
          <w:p w14:paraId="2243CBA7"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neutral</w:t>
            </w:r>
          </w:p>
        </w:tc>
        <w:tc>
          <w:tcPr>
            <w:tcW w:w="1200" w:type="dxa"/>
          </w:tcPr>
          <w:p w14:paraId="1DE889C8"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mesatar</w:t>
            </w:r>
          </w:p>
        </w:tc>
        <w:tc>
          <w:tcPr>
            <w:tcW w:w="1624" w:type="dxa"/>
          </w:tcPr>
          <w:p w14:paraId="7CFA7566" w14:textId="77777777" w:rsidR="00B86FB3" w:rsidRPr="00FF756A" w:rsidRDefault="00B86FB3" w:rsidP="00B86FB3">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FF756A">
              <w:rPr>
                <w:rFonts w:cs="Times New Roman"/>
                <w:color w:val="000000" w:themeColor="text1"/>
                <w:sz w:val="20"/>
                <w:szCs w:val="20"/>
              </w:rPr>
              <w:t>i lartë</w:t>
            </w:r>
          </w:p>
        </w:tc>
      </w:tr>
      <w:tr w:rsidR="00B86FB3" w:rsidRPr="00FF756A" w14:paraId="6F53CF6B" w14:textId="77777777" w:rsidTr="006A3266">
        <w:trPr>
          <w:trHeight w:val="300"/>
        </w:trPr>
        <w:tc>
          <w:tcPr>
            <w:cnfStyle w:val="001000000000" w:firstRow="0" w:lastRow="0" w:firstColumn="1" w:lastColumn="0" w:oddVBand="0" w:evenVBand="0" w:oddHBand="0" w:evenHBand="0" w:firstRowFirstColumn="0" w:firstRowLastColumn="0" w:lastRowFirstColumn="0" w:lastRowLastColumn="0"/>
            <w:tcW w:w="932" w:type="dxa"/>
          </w:tcPr>
          <w:p w14:paraId="7C090E69" w14:textId="77777777" w:rsidR="00B86FB3" w:rsidRPr="00FF756A" w:rsidRDefault="00B86FB3" w:rsidP="00B86FB3">
            <w:pPr>
              <w:rPr>
                <w:rFonts w:cs="Times New Roman"/>
              </w:rPr>
            </w:pPr>
            <w:r w:rsidRPr="00FF756A">
              <w:rPr>
                <w:rFonts w:cs="Times New Roman"/>
              </w:rPr>
              <w:br/>
            </w:r>
            <w:r w:rsidRPr="00FF756A">
              <w:rPr>
                <w:rFonts w:cs="Times New Roman"/>
                <w:sz w:val="20"/>
                <w:szCs w:val="20"/>
              </w:rPr>
              <w:t>R-E1</w:t>
            </w:r>
          </w:p>
        </w:tc>
        <w:tc>
          <w:tcPr>
            <w:tcW w:w="4264" w:type="dxa"/>
          </w:tcPr>
          <w:p w14:paraId="027ABCB2" w14:textId="77777777" w:rsidR="00B86FB3" w:rsidRPr="00FF756A" w:rsidRDefault="00B86FB3" w:rsidP="00B86FB3">
            <w:pP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FF756A">
              <w:rPr>
                <w:rFonts w:cs="Times New Roman"/>
                <w:sz w:val="20"/>
                <w:szCs w:val="20"/>
              </w:rPr>
              <w:t>Mekanizmi i tarifës “feed-in” për kapacitetet e vogla të rinovueshme</w:t>
            </w:r>
          </w:p>
        </w:tc>
        <w:tc>
          <w:tcPr>
            <w:tcW w:w="1610" w:type="dxa"/>
          </w:tcPr>
          <w:p w14:paraId="39A5B788" w14:textId="77777777" w:rsidR="00B86FB3" w:rsidRPr="00FF756A" w:rsidRDefault="00B86FB3" w:rsidP="00B86FB3">
            <w:pPr>
              <w:spacing w:line="259" w:lineRule="auto"/>
              <w:jc w:val="center"/>
              <w:cnfStyle w:val="000000000000" w:firstRow="0" w:lastRow="0" w:firstColumn="0" w:lastColumn="0" w:oddVBand="0" w:evenVBand="0" w:oddHBand="0" w:evenHBand="0" w:firstRowFirstColumn="0" w:firstRowLastColumn="0" w:lastRowFirstColumn="0" w:lastRowLastColumn="0"/>
              <w:rPr>
                <w:rFonts w:eastAsia="Cambria" w:cs="Times New Roman"/>
                <w:color w:val="000000" w:themeColor="text1"/>
                <w:sz w:val="20"/>
                <w:szCs w:val="20"/>
              </w:rPr>
            </w:pPr>
            <w:r w:rsidRPr="00FF756A">
              <w:rPr>
                <w:rFonts w:cs="Times New Roman"/>
                <w:color w:val="000000" w:themeColor="text1"/>
                <w:sz w:val="20"/>
                <w:szCs w:val="20"/>
              </w:rPr>
              <w:t>i ulët</w:t>
            </w:r>
          </w:p>
        </w:tc>
        <w:tc>
          <w:tcPr>
            <w:tcW w:w="1200" w:type="dxa"/>
          </w:tcPr>
          <w:p w14:paraId="257E9F19" w14:textId="77777777" w:rsidR="00B86FB3" w:rsidRPr="00FF756A" w:rsidRDefault="00B86FB3" w:rsidP="00B86FB3">
            <w:pPr>
              <w:spacing w:line="259" w:lineRule="auto"/>
              <w:jc w:val="center"/>
              <w:cnfStyle w:val="000000000000" w:firstRow="0" w:lastRow="0" w:firstColumn="0" w:lastColumn="0" w:oddVBand="0" w:evenVBand="0" w:oddHBand="0" w:evenHBand="0" w:firstRowFirstColumn="0" w:firstRowLastColumn="0" w:lastRowFirstColumn="0" w:lastRowLastColumn="0"/>
              <w:rPr>
                <w:rFonts w:eastAsia="Cambria" w:cs="Times New Roman"/>
                <w:color w:val="000000" w:themeColor="text1"/>
                <w:sz w:val="20"/>
                <w:szCs w:val="20"/>
              </w:rPr>
            </w:pPr>
            <w:r w:rsidRPr="00FF756A">
              <w:rPr>
                <w:rFonts w:cs="Times New Roman"/>
                <w:color w:val="000000" w:themeColor="text1"/>
                <w:sz w:val="20"/>
                <w:szCs w:val="20"/>
              </w:rPr>
              <w:t>negativ</w:t>
            </w:r>
          </w:p>
        </w:tc>
        <w:tc>
          <w:tcPr>
            <w:tcW w:w="1624" w:type="dxa"/>
          </w:tcPr>
          <w:p w14:paraId="05AA3F87" w14:textId="77777777" w:rsidR="00B86FB3" w:rsidRPr="00FF756A" w:rsidRDefault="00B86FB3" w:rsidP="008E7DE9">
            <w:pPr>
              <w:keepNext/>
              <w:jc w:val="center"/>
              <w:cnfStyle w:val="000000000000" w:firstRow="0" w:lastRow="0" w:firstColumn="0" w:lastColumn="0" w:oddVBand="0" w:evenVBand="0" w:oddHBand="0" w:evenHBand="0" w:firstRowFirstColumn="0" w:firstRowLastColumn="0" w:lastRowFirstColumn="0" w:lastRowLastColumn="0"/>
              <w:rPr>
                <w:rFonts w:eastAsia="Cambria" w:cs="Times New Roman"/>
                <w:color w:val="000000" w:themeColor="text1"/>
                <w:sz w:val="20"/>
                <w:szCs w:val="20"/>
              </w:rPr>
            </w:pPr>
            <w:r w:rsidRPr="00FF756A">
              <w:rPr>
                <w:rFonts w:cs="Times New Roman"/>
                <w:color w:val="000000" w:themeColor="text1"/>
                <w:sz w:val="20"/>
                <w:szCs w:val="20"/>
              </w:rPr>
              <w:t>mesatar</w:t>
            </w:r>
          </w:p>
        </w:tc>
      </w:tr>
    </w:tbl>
    <w:p w14:paraId="7BDAAA82" w14:textId="5EE8BA57" w:rsidR="00B86FB3" w:rsidRPr="00FF756A" w:rsidRDefault="008E7DE9" w:rsidP="008E7DE9">
      <w:pPr>
        <w:pStyle w:val="Caption"/>
        <w:rPr>
          <w:rFonts w:ascii="Times New Roman" w:hAnsi="Times New Roman"/>
        </w:rPr>
      </w:pPr>
      <w:bookmarkStart w:id="772" w:name="_Toc183016529"/>
      <w:r w:rsidRPr="00FF756A">
        <w:rPr>
          <w:rFonts w:ascii="Times New Roman" w:hAnsi="Times New Roman"/>
        </w:rPr>
        <w:t xml:space="preserve">Tabela </w:t>
      </w:r>
      <w:r w:rsidRPr="00FF756A">
        <w:rPr>
          <w:rFonts w:ascii="Times New Roman" w:hAnsi="Times New Roman"/>
        </w:rPr>
        <w:fldChar w:fldCharType="begin"/>
      </w:r>
      <w:r w:rsidRPr="00FF756A">
        <w:rPr>
          <w:rFonts w:ascii="Times New Roman" w:hAnsi="Times New Roman"/>
        </w:rPr>
        <w:instrText xml:space="preserve"> SEQ Tabela \* ARABIC </w:instrText>
      </w:r>
      <w:r w:rsidRPr="00FF756A">
        <w:rPr>
          <w:rFonts w:ascii="Times New Roman" w:hAnsi="Times New Roman"/>
        </w:rPr>
        <w:fldChar w:fldCharType="separate"/>
      </w:r>
      <w:r w:rsidRPr="00FF756A">
        <w:rPr>
          <w:rFonts w:ascii="Times New Roman" w:hAnsi="Times New Roman"/>
          <w:noProof/>
        </w:rPr>
        <w:t>65</w:t>
      </w:r>
      <w:r w:rsidRPr="00FF756A">
        <w:rPr>
          <w:rFonts w:ascii="Times New Roman" w:hAnsi="Times New Roman"/>
          <w:noProof/>
        </w:rPr>
        <w:fldChar w:fldCharType="end"/>
      </w:r>
      <w:r w:rsidRPr="00FF756A">
        <w:rPr>
          <w:rFonts w:ascii="Times New Roman" w:hAnsi="Times New Roman"/>
        </w:rPr>
        <w:t>: Vlerësimi cilësor i ndikimeve joenergjetike të disa PM-ve të caktuara, të marra në konsideratë në skenarin WAM</w:t>
      </w:r>
      <w:bookmarkEnd w:id="772"/>
    </w:p>
    <w:p w14:paraId="0ECC3557" w14:textId="77777777" w:rsidR="00B86FB3" w:rsidRPr="00FF756A" w:rsidRDefault="00B86FB3" w:rsidP="00B86FB3">
      <w:pPr>
        <w:rPr>
          <w:i/>
          <w:iCs/>
          <w:color w:val="2F5496" w:themeColor="accent1" w:themeShade="BF"/>
        </w:rPr>
      </w:pPr>
      <w:r w:rsidRPr="00FF756A">
        <w:rPr>
          <w:i/>
          <w:iCs/>
          <w:color w:val="2F5496" w:themeColor="accent1" w:themeShade="BF"/>
        </w:rPr>
        <w:t>Efektet në punësim - Efiçenca e energjisë</w:t>
      </w:r>
    </w:p>
    <w:p w14:paraId="4B2704AD" w14:textId="77777777" w:rsidR="00B86FB3" w:rsidRPr="00FF756A" w:rsidRDefault="00B86FB3" w:rsidP="00B86FB3">
      <w:r w:rsidRPr="00FF756A">
        <w:t>Për sa u përket efekteve në punësim, PM-të që nxisin rinovimin e ndërtesave kanë zakonisht ndikimet më të mëdha. Pjesa më e madhe e vendeve të punës po krijohen në fushat e ndërtimit dhe prodhimit, teksa shihet një efekt disi negativ në sektorin minerar dhe të guroreve, si dhe në degët që lidhen drejtpërdrejt me furnizimin e energjisë. PM-të EE-L1 dhe EE-L2 pritet të kenë ndikim të ndjeshëm në nivelin e punësimit si rezultat i kursimeve të energjisë që ato gjenerojnë dhe investimeve shtesë që vijnë si rezultat i tyre. Efekti i kombinuar pritet që të krijojë 3500 deri në12 000 vende pune me kohë të plotë</w:t>
      </w:r>
      <w:r w:rsidRPr="00FF756A">
        <w:rPr>
          <w:vertAlign w:val="superscript"/>
        </w:rPr>
        <w:footnoteReference w:id="14"/>
      </w:r>
      <w:r w:rsidRPr="00FF756A">
        <w:t xml:space="preserve"> gjatë periudhës 2019-2030. Teksa përqindja e ndërtesave publike në totalin e stokut të ndërtesave është relativisht e vogël, pjesa më e madhe e këtyre efekteve shtesë në punësim do të vijë si rezultat i zbatimit të standardeve të performancës së energjisë për ndërtesat dhe efektit të saj në aktivitetet e rinovimit për përmirësimin e ndërtesave rezidenciale.</w:t>
      </w:r>
    </w:p>
    <w:p w14:paraId="32EB31EC" w14:textId="77777777" w:rsidR="00B86FB3" w:rsidRPr="00FF756A" w:rsidRDefault="00B86FB3" w:rsidP="00B86FB3"/>
    <w:p w14:paraId="03E6F2BF" w14:textId="77777777" w:rsidR="00B86FB3" w:rsidRPr="00FF756A" w:rsidRDefault="00B86FB3" w:rsidP="00B86FB3">
      <w:pPr>
        <w:rPr>
          <w:i/>
          <w:iCs/>
          <w:color w:val="2F5496" w:themeColor="accent1" w:themeShade="BF"/>
        </w:rPr>
      </w:pPr>
      <w:r w:rsidRPr="00FF756A">
        <w:rPr>
          <w:i/>
          <w:iCs/>
          <w:color w:val="2F5496" w:themeColor="accent1" w:themeShade="BF"/>
        </w:rPr>
        <w:t>Efektet në punësim - Energjia e rinovueshme</w:t>
      </w:r>
    </w:p>
    <w:p w14:paraId="4DFB2BDA" w14:textId="77777777" w:rsidR="00B86FB3" w:rsidRPr="00FF756A" w:rsidRDefault="00B86FB3" w:rsidP="00B86FB3">
      <w:r w:rsidRPr="00FF756A">
        <w:t xml:space="preserve">Zhvillimi i impianteve të burimeve të energjisë së rinovueshme mbart potencial të madh për krijimin e vendeve të punës. Ndonëse impiantet e energjisë së rinovueshme nuk do të prodhohen në Shqipëri, ekziston një efekt i konsiderueshëm që mund t'i atribuohet fazës së ndërtimit të këtyre impianteve, ndërsa vënia e tyre në punë nuk kërkon fuqi punëtore të madhe. Prandaj, pjesa më e madhe e vendeve të punës pritet të krijohen gjatë fazës së ndërtimit të impianteve. </w:t>
      </w:r>
      <w:r w:rsidRPr="00FF756A">
        <w:fldChar w:fldCharType="begin"/>
      </w:r>
      <w:r w:rsidRPr="00FF756A">
        <w:instrText xml:space="preserve"> REF _Ref72921943 \h  \* MERGEFORMAT </w:instrText>
      </w:r>
      <w:r w:rsidRPr="00FF756A">
        <w:fldChar w:fldCharType="separate"/>
      </w:r>
      <w:r w:rsidRPr="00FF756A">
        <w:t>Figura 112</w:t>
      </w:r>
      <w:r w:rsidRPr="00FF756A">
        <w:fldChar w:fldCharType="end"/>
      </w:r>
      <w:r w:rsidRPr="00FF756A">
        <w:t xml:space="preserve"> tregon një parashikim të krijimit të vendeve të punës gjatë fazave të ndërtimit, vënies në punë dhe mirëmbajtjes së impianteve eolike dhe diellore fotovoltaike. Ajo bazohet në faktorë punësimi të normalizuar, ku normalizimi është kryer jo mbi bazën e njësisë së përdorur më gjerësisht "persona në vit/MW", por mbi bazën e njësisë "vende pune/MW", duke supozuar një kohëzgjatje 20-vjeçare për projektet. Rezultatet janë bazuar në faktorët e punësimit të raportuar nga </w:t>
      </w:r>
      <w:sdt>
        <w:sdtPr>
          <w:alias w:val="Për të modifikuar, shihni citavi.com/edit"/>
          <w:tag w:val="CitaviPlaceholder#5e39a5cb-70c5-4881-902e-56be75f951e9"/>
          <w:id w:val="1164179"/>
          <w:placeholder>
            <w:docPart w:val="311E30735D4D4D69975297A47113385E"/>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}</w:instrText>
          </w:r>
          <w:r w:rsidRPr="00FF756A">
            <w:fldChar w:fldCharType="separate"/>
          </w:r>
          <w:r w:rsidRPr="00FF756A">
            <w:t>Cameron and van der Zwaan</w:t>
          </w:r>
          <w:r w:rsidRPr="00FF756A">
            <w:fldChar w:fldCharType="end"/>
          </w:r>
        </w:sdtContent>
      </w:sdt>
      <w:r w:rsidRPr="00FF756A">
        <w:t xml:space="preserve"> </w:t>
      </w:r>
      <w:sdt>
        <w:sdtPr>
          <w:alias w:val="Për të modifikuar, shihni citavi.com/edit"/>
          <w:tag w:val="CitaviPlaceholder#e21bcc87-b448-4805-bc91-d7bab409a071"/>
          <w:id w:val="1957357033"/>
          <w:placeholder>
            <w:docPart w:val="311E30735D4D4D69975297A47113385E"/>
          </w:placeholder>
        </w:sdtPr>
        <w:sdtEndPr/>
        <w:sdtContent>
          <w:r w:rsidRPr="00FF756A">
            <w:fldChar w:fldCharType="begin"/>
          </w:r>
          <w:r w:rsidRPr="00FF756A">
            <w:instrText>ADDIN CitaviPlaceholder{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}</w:instrText>
          </w:r>
          <w:r w:rsidRPr="00FF756A">
            <w:fldChar w:fldCharType="separate"/>
          </w:r>
          <w:r w:rsidRPr="00FF756A">
            <w:t>(2015)</w:t>
          </w:r>
          <w:r w:rsidRPr="00FF756A">
            <w:fldChar w:fldCharType="end"/>
          </w:r>
        </w:sdtContent>
      </w:sdt>
      <w:r w:rsidRPr="00FF756A">
        <w:t xml:space="preserve"> në vlerësimin e tyre që analizon tërësinë e literaturës shkencore të disponueshme në këtë fushë, të rishikuar nga ekspertë homologë. Në veçanti, impiantet diellore fotovoltaike mbartin potencial për krijimin e vendeve ekologjike të punës. </w:t>
      </w:r>
    </w:p>
    <w:p w14:paraId="37CE3951" w14:textId="77777777" w:rsidR="00B86FB3" w:rsidRPr="00FF756A" w:rsidRDefault="00B86FB3" w:rsidP="00B86FB3">
      <w:r w:rsidRPr="00FF756A">
        <w:t>Në skenarin WEM, rreth 113 MW impiante diellore fotovoltaike i shtohen sistemit energjetik deri në vitin 2030. Kjo gjë bën të mundur krijimin e 185 vendeve pune në fazën e instalimit dhe 185 vendeve të tjera pune në fazën e operimit dhe të mirëmbajtjes, duke rezultuar në një total prej 370 vendesh pune në sektorin e impianteve diellore fotovoltaike deri në vitin 2030. Bazuar në një përllogaritje të ngjashme, impiantet eolike krijojnë në total rreth 230 vende pune, ku pjesa më e madhe (dy të tretat) i atribuohet fazës së operimit dhe mirëmbajtjes.</w:t>
      </w:r>
    </w:p>
    <w:p w14:paraId="7D799A36" w14:textId="77777777" w:rsidR="00B86FB3" w:rsidRPr="00FF756A" w:rsidRDefault="00B86FB3" w:rsidP="00B86FB3">
      <w:r w:rsidRPr="00FF756A">
        <w:t>Skenari WAM përfshin një rritje të kapacitetit me 817 MW deri në vitin 2030 për impiantet diellore fotovoltaike dhe 520 MW brenda të njëjtës periudhe kohore për impiantet eolike. Për impiantet diellore fotovoltaike, kjo sjell krijimin e 1340 vendeve pune për secilën fazë (instalim dhe operim/mirëmbajtje), thënë ndryshe 2680 vende pune në total. Për sa u përket impianteve eolike, në skenarin WAM krijohen rreth 540 vende pune në total.</w:t>
      </w:r>
    </w:p>
    <w:p w14:paraId="6663D355" w14:textId="77777777" w:rsidR="008E7DE9" w:rsidRPr="00FF756A" w:rsidRDefault="00B86FB3" w:rsidP="008E7DE9">
      <w:pPr>
        <w:keepNext/>
      </w:pPr>
      <w:r w:rsidRPr="00FF756A">
        <w:rPr>
          <w:noProof/>
          <w:lang w:val="en-US"/>
        </w:rPr>
        <w:drawing>
          <wp:inline distT="0" distB="0" distL="0" distR="0" wp14:anchorId="47C6BCD6" wp14:editId="1D4E0453">
            <wp:extent cx="5574182" cy="3247391"/>
            <wp:effectExtent l="0" t="0" r="7620" b="0"/>
            <wp:docPr id="1722877067" name="Picture 34" descr="A graph with numbers and a number of job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7067" name="Picture 34" descr="A graph with numbers and a number of jobs&#10;&#10;Description automatically generated"/>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588615" cy="3255800"/>
                    </a:xfrm>
                    <a:prstGeom prst="rect">
                      <a:avLst/>
                    </a:prstGeom>
                  </pic:spPr>
                </pic:pic>
              </a:graphicData>
            </a:graphic>
          </wp:inline>
        </w:drawing>
      </w:r>
    </w:p>
    <w:p w14:paraId="3D1DF5E4" w14:textId="1B0D6135" w:rsidR="00B86FB3" w:rsidRPr="00FF756A" w:rsidRDefault="008E7DE9" w:rsidP="008E7DE9">
      <w:pPr>
        <w:pStyle w:val="Caption"/>
        <w:rPr>
          <w:rFonts w:ascii="Times New Roman" w:hAnsi="Times New Roman"/>
        </w:rPr>
      </w:pPr>
      <w:bookmarkStart w:id="773" w:name="_Toc183016658"/>
      <w:r w:rsidRPr="00FF756A">
        <w:rPr>
          <w:rFonts w:ascii="Times New Roman" w:hAnsi="Times New Roman"/>
        </w:rPr>
        <w:t xml:space="preserve">Figura </w:t>
      </w:r>
      <w:r w:rsidRPr="00FF756A">
        <w:rPr>
          <w:rFonts w:ascii="Times New Roman" w:hAnsi="Times New Roman"/>
        </w:rPr>
        <w:fldChar w:fldCharType="begin"/>
      </w:r>
      <w:r w:rsidRPr="00FF756A">
        <w:rPr>
          <w:rFonts w:ascii="Times New Roman" w:hAnsi="Times New Roman"/>
        </w:rPr>
        <w:instrText xml:space="preserve"> SEQ Figura \* ARABIC </w:instrText>
      </w:r>
      <w:r w:rsidRPr="00FF756A">
        <w:rPr>
          <w:rFonts w:ascii="Times New Roman" w:hAnsi="Times New Roman"/>
        </w:rPr>
        <w:fldChar w:fldCharType="separate"/>
      </w:r>
      <w:r w:rsidRPr="00FF756A">
        <w:rPr>
          <w:rFonts w:ascii="Times New Roman" w:hAnsi="Times New Roman"/>
          <w:noProof/>
        </w:rPr>
        <w:t>128</w:t>
      </w:r>
      <w:r w:rsidRPr="00FF756A">
        <w:rPr>
          <w:rFonts w:ascii="Times New Roman" w:hAnsi="Times New Roman"/>
          <w:noProof/>
        </w:rPr>
        <w:fldChar w:fldCharType="end"/>
      </w:r>
      <w:r w:rsidRPr="00FF756A">
        <w:rPr>
          <w:rFonts w:ascii="Times New Roman" w:hAnsi="Times New Roman"/>
        </w:rPr>
        <w:t>: Punësimi progresiv deri në vitin 2025 dhe 2030 për impiantet diellore fotovoltaike dhe ato eolike, për fazat e instalimit dhe të operimit/mirëmbajtjes (prezantimi ynë bazuar te Cameron and van der Zwaan (2015)</w:t>
      </w:r>
      <w:bookmarkEnd w:id="773"/>
    </w:p>
    <w:p w14:paraId="583125B6" w14:textId="77777777" w:rsidR="00B86FB3" w:rsidRPr="00FF756A" w:rsidRDefault="00B86FB3" w:rsidP="00B86FB3"/>
    <w:p w14:paraId="708090A7" w14:textId="77777777" w:rsidR="00B86FB3" w:rsidRPr="00FF756A" w:rsidRDefault="00B86FB3" w:rsidP="008639B2">
      <w:pPr>
        <w:keepNext/>
        <w:keepLines/>
        <w:numPr>
          <w:ilvl w:val="1"/>
          <w:numId w:val="195"/>
        </w:numPr>
        <w:spacing w:before="40" w:after="0"/>
        <w:outlineLvl w:val="1"/>
        <w:rPr>
          <w:rFonts w:eastAsiaTheme="minorEastAsia"/>
          <w:color w:val="365F91"/>
          <w:sz w:val="26"/>
          <w:szCs w:val="26"/>
          <w:lang w:eastAsia="de-DE"/>
        </w:rPr>
      </w:pPr>
      <w:bookmarkStart w:id="774" w:name="_Toc72919994"/>
      <w:bookmarkStart w:id="775" w:name="_Toc72930630"/>
      <w:bookmarkStart w:id="776" w:name="_Toc100575620"/>
      <w:bookmarkStart w:id="777" w:name="_Toc182898983"/>
      <w:bookmarkStart w:id="778" w:name="_Toc183639315"/>
      <w:r w:rsidRPr="00FF756A">
        <w:rPr>
          <w:rFonts w:eastAsiaTheme="minorEastAsia"/>
          <w:color w:val="365F91"/>
          <w:sz w:val="26"/>
          <w:szCs w:val="26"/>
          <w:lang w:eastAsia="de-DE"/>
        </w:rPr>
        <w:t>Përmbledhje e nevojave për investime</w:t>
      </w:r>
      <w:bookmarkEnd w:id="774"/>
      <w:bookmarkEnd w:id="775"/>
      <w:bookmarkEnd w:id="776"/>
      <w:bookmarkEnd w:id="777"/>
      <w:bookmarkEnd w:id="778"/>
    </w:p>
    <w:p w14:paraId="0F3A5932" w14:textId="77777777" w:rsidR="00B86FB3" w:rsidRPr="00FF756A" w:rsidRDefault="00B86FB3" w:rsidP="00B86FB3"/>
    <w:p w14:paraId="4C7C96D3" w14:textId="77777777" w:rsidR="00B86FB3" w:rsidRPr="00FF756A" w:rsidRDefault="00B86FB3" w:rsidP="008639B2">
      <w:pPr>
        <w:keepNext/>
        <w:keepLines/>
        <w:numPr>
          <w:ilvl w:val="0"/>
          <w:numId w:val="193"/>
        </w:numPr>
        <w:pBdr>
          <w:top w:val="none" w:sz="0" w:space="0" w:color="auto"/>
          <w:left w:val="none" w:sz="0" w:space="0" w:color="auto"/>
          <w:bottom w:val="none" w:sz="0" w:space="0" w:color="auto"/>
          <w:right w:val="none" w:sz="0" w:space="0" w:color="auto"/>
          <w:between w:val="none" w:sz="0" w:space="0" w:color="auto"/>
        </w:pBdr>
        <w:spacing w:before="40" w:after="0" w:line="240" w:lineRule="auto"/>
        <w:ind w:left="360"/>
        <w:outlineLvl w:val="3"/>
        <w:rPr>
          <w:rFonts w:eastAsia="Calibri Light"/>
          <w:i/>
          <w:iCs/>
          <w:color w:val="2F5496" w:themeColor="accent1" w:themeShade="BF"/>
        </w:rPr>
      </w:pPr>
      <w:bookmarkStart w:id="779" w:name="_Toc183639316"/>
      <w:r w:rsidRPr="00FF756A">
        <w:rPr>
          <w:rFonts w:eastAsia="Calibri Light"/>
          <w:i/>
          <w:iCs/>
          <w:color w:val="2F5496" w:themeColor="accent1" w:themeShade="BF"/>
        </w:rPr>
        <w:t>Flukset ekzistuese të investimeve dhe supozimet e investimeve të ardhshme lidhur me politikat dhe masat e planifikuara</w:t>
      </w:r>
      <w:bookmarkEnd w:id="779"/>
    </w:p>
    <w:p w14:paraId="62B2F750" w14:textId="77777777" w:rsidR="00B86FB3" w:rsidRPr="00FF756A" w:rsidRDefault="00B86FB3" w:rsidP="00B86FB3"/>
    <w:p w14:paraId="06C6B007" w14:textId="77777777" w:rsidR="00B86FB3" w:rsidRPr="00FF756A" w:rsidRDefault="00B86FB3" w:rsidP="00B86FB3">
      <w:r w:rsidRPr="00FF756A">
        <w:t xml:space="preserve">Në përshkrimin e PM-ve në kreun 3, paraqitet buxheti dhe investimet për çdo PM. Në tabelën e mëposhtme jepet një përmbledhje e investimeve të supozuara. </w:t>
      </w:r>
    </w:p>
    <w:p w14:paraId="0F5BA89B" w14:textId="77777777" w:rsidR="00B86FB3" w:rsidRPr="00FF756A" w:rsidRDefault="00B86FB3" w:rsidP="00B86FB3"/>
    <w:tbl>
      <w:tblPr>
        <w:tblStyle w:val="TableGrid"/>
        <w:tblW w:w="9497" w:type="dxa"/>
        <w:tblInd w:w="-147" w:type="dxa"/>
        <w:tblLayout w:type="fixed"/>
        <w:tblLook w:val="04A0" w:firstRow="1" w:lastRow="0" w:firstColumn="1" w:lastColumn="0" w:noHBand="0" w:noVBand="1"/>
      </w:tblPr>
      <w:tblGrid>
        <w:gridCol w:w="682"/>
        <w:gridCol w:w="594"/>
        <w:gridCol w:w="851"/>
        <w:gridCol w:w="2693"/>
        <w:gridCol w:w="3544"/>
        <w:gridCol w:w="1133"/>
      </w:tblGrid>
      <w:tr w:rsidR="00B86FB3" w:rsidRPr="00FF756A" w14:paraId="303A294D" w14:textId="77777777" w:rsidTr="006A3266">
        <w:trPr>
          <w:cantSplit/>
          <w:trHeight w:val="20"/>
        </w:trPr>
        <w:tc>
          <w:tcPr>
            <w:tcW w:w="682" w:type="dxa"/>
            <w:tcBorders>
              <w:bottom w:val="single" w:sz="4" w:space="0" w:color="auto"/>
            </w:tcBorders>
            <w:textDirection w:val="btLr"/>
            <w:vAlign w:val="center"/>
          </w:tcPr>
          <w:p w14:paraId="4A5FEE4B" w14:textId="77777777" w:rsidR="00B86FB3" w:rsidRPr="00FF756A" w:rsidRDefault="00B86FB3" w:rsidP="00B86FB3">
            <w:pPr>
              <w:ind w:left="113" w:right="113"/>
              <w:rPr>
                <w:b/>
                <w:bCs/>
                <w:sz w:val="20"/>
                <w:szCs w:val="20"/>
              </w:rPr>
            </w:pPr>
            <w:r w:rsidRPr="00FF756A">
              <w:rPr>
                <w:b/>
                <w:bCs/>
                <w:sz w:val="20"/>
                <w:szCs w:val="20"/>
              </w:rPr>
              <w:t>Dimensioni</w:t>
            </w:r>
          </w:p>
        </w:tc>
        <w:tc>
          <w:tcPr>
            <w:tcW w:w="594" w:type="dxa"/>
            <w:vAlign w:val="center"/>
          </w:tcPr>
          <w:p w14:paraId="5D457E9F" w14:textId="77777777" w:rsidR="00B86FB3" w:rsidRPr="00FF756A" w:rsidRDefault="00B86FB3" w:rsidP="00B86FB3">
            <w:pPr>
              <w:spacing w:after="0" w:line="240" w:lineRule="auto"/>
              <w:jc w:val="center"/>
              <w:rPr>
                <w:b/>
                <w:bCs/>
                <w:sz w:val="20"/>
                <w:szCs w:val="20"/>
              </w:rPr>
            </w:pPr>
            <w:r w:rsidRPr="00FF756A">
              <w:rPr>
                <w:b/>
                <w:bCs/>
                <w:sz w:val="20"/>
                <w:szCs w:val="20"/>
              </w:rPr>
              <w:t>Nr.</w:t>
            </w:r>
          </w:p>
        </w:tc>
        <w:tc>
          <w:tcPr>
            <w:tcW w:w="851" w:type="dxa"/>
            <w:vAlign w:val="center"/>
          </w:tcPr>
          <w:p w14:paraId="4E178FA0" w14:textId="77777777" w:rsidR="00B86FB3" w:rsidRPr="00FF756A" w:rsidRDefault="00B86FB3" w:rsidP="00B86FB3">
            <w:pPr>
              <w:spacing w:after="0" w:line="240" w:lineRule="auto"/>
              <w:jc w:val="left"/>
              <w:rPr>
                <w:b/>
                <w:bCs/>
                <w:sz w:val="20"/>
                <w:szCs w:val="20"/>
              </w:rPr>
            </w:pPr>
            <w:r w:rsidRPr="00FF756A">
              <w:rPr>
                <w:b/>
                <w:bCs/>
                <w:sz w:val="20"/>
                <w:szCs w:val="20"/>
              </w:rPr>
              <w:t>Kodi i PM</w:t>
            </w:r>
          </w:p>
        </w:tc>
        <w:tc>
          <w:tcPr>
            <w:tcW w:w="2693" w:type="dxa"/>
            <w:vAlign w:val="center"/>
          </w:tcPr>
          <w:p w14:paraId="78EDBC3F" w14:textId="77777777" w:rsidR="00B86FB3" w:rsidRPr="00FF756A" w:rsidRDefault="00B86FB3" w:rsidP="00B86FB3">
            <w:pPr>
              <w:spacing w:after="0" w:line="240" w:lineRule="auto"/>
              <w:jc w:val="left"/>
              <w:rPr>
                <w:b/>
                <w:bCs/>
                <w:sz w:val="20"/>
                <w:szCs w:val="20"/>
              </w:rPr>
            </w:pPr>
            <w:r w:rsidRPr="00FF756A">
              <w:rPr>
                <w:b/>
                <w:bCs/>
                <w:sz w:val="20"/>
                <w:szCs w:val="20"/>
              </w:rPr>
              <w:t>Emri i PM</w:t>
            </w:r>
          </w:p>
        </w:tc>
        <w:tc>
          <w:tcPr>
            <w:tcW w:w="3544" w:type="dxa"/>
            <w:vAlign w:val="center"/>
          </w:tcPr>
          <w:p w14:paraId="535BB5E5" w14:textId="77777777" w:rsidR="00B86FB3" w:rsidRPr="00FF756A" w:rsidRDefault="00B86FB3" w:rsidP="00B86FB3">
            <w:pPr>
              <w:spacing w:after="0" w:line="240" w:lineRule="auto"/>
              <w:jc w:val="left"/>
              <w:rPr>
                <w:b/>
                <w:bCs/>
                <w:sz w:val="20"/>
                <w:szCs w:val="20"/>
              </w:rPr>
            </w:pPr>
            <w:r w:rsidRPr="00FF756A">
              <w:rPr>
                <w:b/>
                <w:bCs/>
                <w:szCs w:val="20"/>
              </w:rPr>
              <w:t>Investimet financiare</w:t>
            </w:r>
          </w:p>
        </w:tc>
        <w:tc>
          <w:tcPr>
            <w:tcW w:w="1133" w:type="dxa"/>
            <w:vAlign w:val="center"/>
          </w:tcPr>
          <w:p w14:paraId="005DF986" w14:textId="77777777" w:rsidR="00B86FB3" w:rsidRPr="00FF756A" w:rsidRDefault="00B86FB3" w:rsidP="00B86FB3">
            <w:pPr>
              <w:spacing w:after="0" w:line="240" w:lineRule="auto"/>
              <w:jc w:val="left"/>
              <w:rPr>
                <w:b/>
                <w:bCs/>
                <w:sz w:val="20"/>
                <w:szCs w:val="20"/>
              </w:rPr>
            </w:pPr>
            <w:r w:rsidRPr="00FF756A">
              <w:rPr>
                <w:b/>
                <w:bCs/>
                <w:sz w:val="20"/>
                <w:szCs w:val="20"/>
              </w:rPr>
              <w:t>Caktuar në skenarin</w:t>
            </w:r>
          </w:p>
        </w:tc>
      </w:tr>
      <w:tr w:rsidR="00B86FB3" w:rsidRPr="00FF756A" w14:paraId="2B373B5E" w14:textId="77777777" w:rsidTr="006A3266">
        <w:trPr>
          <w:trHeight w:val="20"/>
        </w:trPr>
        <w:tc>
          <w:tcPr>
            <w:tcW w:w="682" w:type="dxa"/>
            <w:vMerge w:val="restart"/>
            <w:shd w:val="clear" w:color="auto" w:fill="E2EFD9" w:themeFill="accent6" w:themeFillTint="33"/>
            <w:textDirection w:val="btLr"/>
          </w:tcPr>
          <w:p w14:paraId="424F3B7A" w14:textId="77777777" w:rsidR="00B86FB3" w:rsidRPr="00FF756A" w:rsidRDefault="00B86FB3" w:rsidP="00B86FB3">
            <w:pPr>
              <w:ind w:left="113" w:right="113"/>
              <w:jc w:val="right"/>
              <w:rPr>
                <w:b/>
                <w:bCs/>
                <w:sz w:val="18"/>
                <w:szCs w:val="18"/>
              </w:rPr>
            </w:pPr>
            <w:r w:rsidRPr="00FF756A">
              <w:rPr>
                <w:b/>
                <w:bCs/>
                <w:sz w:val="18"/>
                <w:szCs w:val="18"/>
              </w:rPr>
              <w:t>Dekarbonizimi/shkarkimet dhe eliminimi i GES-ve</w:t>
            </w:r>
          </w:p>
        </w:tc>
        <w:tc>
          <w:tcPr>
            <w:tcW w:w="594" w:type="dxa"/>
            <w:vAlign w:val="center"/>
          </w:tcPr>
          <w:p w14:paraId="74A98AA3" w14:textId="77777777" w:rsidR="00B86FB3" w:rsidRPr="00FF756A" w:rsidRDefault="00B86FB3" w:rsidP="00B86FB3">
            <w:pPr>
              <w:spacing w:after="0" w:line="240" w:lineRule="auto"/>
              <w:jc w:val="center"/>
              <w:rPr>
                <w:sz w:val="18"/>
                <w:szCs w:val="18"/>
              </w:rPr>
            </w:pPr>
            <w:r w:rsidRPr="00FF756A">
              <w:rPr>
                <w:sz w:val="18"/>
                <w:szCs w:val="18"/>
              </w:rPr>
              <w:t>1</w:t>
            </w:r>
          </w:p>
        </w:tc>
        <w:tc>
          <w:tcPr>
            <w:tcW w:w="851" w:type="dxa"/>
            <w:vAlign w:val="center"/>
          </w:tcPr>
          <w:p w14:paraId="27388ED2" w14:textId="77777777" w:rsidR="00B86FB3" w:rsidRPr="00FF756A" w:rsidRDefault="00B86FB3" w:rsidP="00B86FB3">
            <w:pPr>
              <w:spacing w:after="0" w:line="240" w:lineRule="auto"/>
              <w:jc w:val="left"/>
              <w:rPr>
                <w:sz w:val="20"/>
                <w:szCs w:val="20"/>
              </w:rPr>
            </w:pPr>
            <w:r w:rsidRPr="00FF756A">
              <w:rPr>
                <w:sz w:val="20"/>
                <w:szCs w:val="20"/>
              </w:rPr>
              <w:t>G-T1</w:t>
            </w:r>
          </w:p>
        </w:tc>
        <w:tc>
          <w:tcPr>
            <w:tcW w:w="2693" w:type="dxa"/>
            <w:vAlign w:val="center"/>
          </w:tcPr>
          <w:p w14:paraId="3FCBCEA7" w14:textId="77777777" w:rsidR="00B86FB3" w:rsidRPr="00FF756A" w:rsidRDefault="00B86FB3" w:rsidP="00B86FB3">
            <w:pPr>
              <w:spacing w:after="0" w:line="240" w:lineRule="auto"/>
              <w:jc w:val="left"/>
              <w:rPr>
                <w:sz w:val="20"/>
                <w:szCs w:val="20"/>
              </w:rPr>
            </w:pPr>
            <w:r w:rsidRPr="00FF756A">
              <w:rPr>
                <w:sz w:val="20"/>
                <w:szCs w:val="20"/>
              </w:rPr>
              <w:t>Përmirësimi i linjave të rrjetit të autobusëve ndërurban/ndërqytetas</w:t>
            </w:r>
          </w:p>
        </w:tc>
        <w:tc>
          <w:tcPr>
            <w:tcW w:w="3544" w:type="dxa"/>
            <w:vMerge w:val="restart"/>
            <w:vAlign w:val="center"/>
          </w:tcPr>
          <w:p w14:paraId="08C3B7A2" w14:textId="77777777" w:rsidR="00B86FB3" w:rsidRPr="00FF756A" w:rsidRDefault="00B86FB3" w:rsidP="00B86FB3">
            <w:pPr>
              <w:spacing w:after="0" w:line="240" w:lineRule="auto"/>
              <w:jc w:val="left"/>
              <w:rPr>
                <w:sz w:val="20"/>
                <w:szCs w:val="20"/>
              </w:rPr>
            </w:pPr>
            <w:r w:rsidRPr="00FF756A">
              <w:rPr>
                <w:sz w:val="20"/>
                <w:szCs w:val="20"/>
              </w:rPr>
              <w:t>Nuk disponohet buxhet specifik, por buxheti total i parashikuar për investime në sektorin e transportit për një periudhë 20-vjeçare (2019-2038) është 4888,03 milionë euro. Nga këto, 4458,53 milionë euro janë të destinuara për projekte të zhvilluara nga sektori publik, ndërsa 429,5 milionë euro janë investime private.</w:t>
            </w:r>
          </w:p>
          <w:p w14:paraId="576888F5" w14:textId="77777777" w:rsidR="00B86FB3" w:rsidRPr="00FF756A" w:rsidRDefault="00B86FB3" w:rsidP="00B86FB3">
            <w:pPr>
              <w:spacing w:after="0" w:line="240" w:lineRule="auto"/>
              <w:jc w:val="left"/>
              <w:rPr>
                <w:sz w:val="20"/>
                <w:szCs w:val="20"/>
              </w:rPr>
            </w:pPr>
            <w:r w:rsidRPr="00FF756A">
              <w:rPr>
                <w:sz w:val="20"/>
                <w:szCs w:val="20"/>
              </w:rPr>
              <w:t>Përllogaritje: 20 000 euro për çdo studim fizibiliteti</w:t>
            </w:r>
          </w:p>
          <w:p w14:paraId="605B074D" w14:textId="77777777" w:rsidR="00B86FB3" w:rsidRPr="00FF756A" w:rsidRDefault="00B86FB3" w:rsidP="00B86FB3">
            <w:pPr>
              <w:spacing w:after="0" w:line="240" w:lineRule="auto"/>
              <w:jc w:val="left"/>
              <w:rPr>
                <w:sz w:val="20"/>
                <w:szCs w:val="20"/>
              </w:rPr>
            </w:pPr>
          </w:p>
        </w:tc>
        <w:tc>
          <w:tcPr>
            <w:tcW w:w="1133" w:type="dxa"/>
            <w:vAlign w:val="center"/>
          </w:tcPr>
          <w:p w14:paraId="1F340F2F"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23AC89F9" w14:textId="77777777" w:rsidTr="006A3266">
        <w:trPr>
          <w:trHeight w:val="20"/>
        </w:trPr>
        <w:tc>
          <w:tcPr>
            <w:tcW w:w="682" w:type="dxa"/>
            <w:vMerge/>
            <w:shd w:val="clear" w:color="auto" w:fill="E2EFD9" w:themeFill="accent6" w:themeFillTint="33"/>
            <w:textDirection w:val="btLr"/>
          </w:tcPr>
          <w:p w14:paraId="00ED4EF5" w14:textId="77777777" w:rsidR="00B86FB3" w:rsidRPr="00FF756A" w:rsidRDefault="00B86FB3" w:rsidP="00B86FB3">
            <w:pPr>
              <w:ind w:left="113" w:right="113"/>
              <w:rPr>
                <w:b/>
                <w:bCs/>
                <w:sz w:val="20"/>
                <w:szCs w:val="20"/>
              </w:rPr>
            </w:pPr>
          </w:p>
        </w:tc>
        <w:tc>
          <w:tcPr>
            <w:tcW w:w="594" w:type="dxa"/>
            <w:vAlign w:val="center"/>
          </w:tcPr>
          <w:p w14:paraId="2AFABD42" w14:textId="77777777" w:rsidR="00B86FB3" w:rsidRPr="00FF756A" w:rsidRDefault="00B86FB3" w:rsidP="00B86FB3">
            <w:pPr>
              <w:spacing w:after="0" w:line="240" w:lineRule="auto"/>
              <w:jc w:val="center"/>
              <w:rPr>
                <w:sz w:val="18"/>
                <w:szCs w:val="18"/>
              </w:rPr>
            </w:pPr>
            <w:r w:rsidRPr="00FF756A">
              <w:rPr>
                <w:sz w:val="18"/>
                <w:szCs w:val="18"/>
              </w:rPr>
              <w:t>2</w:t>
            </w:r>
          </w:p>
        </w:tc>
        <w:tc>
          <w:tcPr>
            <w:tcW w:w="851" w:type="dxa"/>
            <w:vAlign w:val="center"/>
          </w:tcPr>
          <w:p w14:paraId="703B65EA" w14:textId="77777777" w:rsidR="00B86FB3" w:rsidRPr="00FF756A" w:rsidRDefault="00B86FB3" w:rsidP="00B86FB3">
            <w:pPr>
              <w:spacing w:after="0" w:line="240" w:lineRule="auto"/>
              <w:jc w:val="left"/>
              <w:rPr>
                <w:sz w:val="20"/>
                <w:szCs w:val="20"/>
              </w:rPr>
            </w:pPr>
            <w:r w:rsidRPr="00FF756A">
              <w:rPr>
                <w:sz w:val="20"/>
                <w:szCs w:val="20"/>
              </w:rPr>
              <w:t>G-T2</w:t>
            </w:r>
          </w:p>
        </w:tc>
        <w:tc>
          <w:tcPr>
            <w:tcW w:w="2693" w:type="dxa"/>
            <w:vAlign w:val="center"/>
          </w:tcPr>
          <w:p w14:paraId="31C1BEA7" w14:textId="77777777" w:rsidR="00B86FB3" w:rsidRPr="00FF756A" w:rsidRDefault="00B86FB3" w:rsidP="00B86FB3">
            <w:pPr>
              <w:spacing w:after="0" w:line="240" w:lineRule="auto"/>
              <w:jc w:val="left"/>
              <w:rPr>
                <w:sz w:val="20"/>
                <w:szCs w:val="20"/>
              </w:rPr>
            </w:pPr>
            <w:r w:rsidRPr="00FF756A">
              <w:rPr>
                <w:sz w:val="20"/>
                <w:szCs w:val="20"/>
              </w:rPr>
              <w:t>Menaxhimi i integruar i transportit të mallrave</w:t>
            </w:r>
          </w:p>
        </w:tc>
        <w:tc>
          <w:tcPr>
            <w:tcW w:w="3544" w:type="dxa"/>
            <w:vMerge/>
            <w:vAlign w:val="center"/>
          </w:tcPr>
          <w:p w14:paraId="70BBD978" w14:textId="77777777" w:rsidR="00B86FB3" w:rsidRPr="00FF756A" w:rsidRDefault="00B86FB3" w:rsidP="00B86FB3">
            <w:pPr>
              <w:spacing w:after="0" w:line="240" w:lineRule="auto"/>
              <w:jc w:val="left"/>
              <w:rPr>
                <w:sz w:val="20"/>
                <w:szCs w:val="20"/>
              </w:rPr>
            </w:pPr>
          </w:p>
        </w:tc>
        <w:tc>
          <w:tcPr>
            <w:tcW w:w="1133" w:type="dxa"/>
            <w:vAlign w:val="center"/>
          </w:tcPr>
          <w:p w14:paraId="7192B166"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2180D796" w14:textId="77777777" w:rsidTr="006A3266">
        <w:trPr>
          <w:trHeight w:val="20"/>
        </w:trPr>
        <w:tc>
          <w:tcPr>
            <w:tcW w:w="682" w:type="dxa"/>
            <w:vMerge/>
            <w:shd w:val="clear" w:color="auto" w:fill="E2EFD9" w:themeFill="accent6" w:themeFillTint="33"/>
            <w:textDirection w:val="btLr"/>
          </w:tcPr>
          <w:p w14:paraId="2D35C8EF" w14:textId="77777777" w:rsidR="00B86FB3" w:rsidRPr="00FF756A" w:rsidRDefault="00B86FB3" w:rsidP="00B86FB3">
            <w:pPr>
              <w:ind w:left="113" w:right="113"/>
              <w:rPr>
                <w:b/>
                <w:bCs/>
                <w:sz w:val="20"/>
                <w:szCs w:val="20"/>
              </w:rPr>
            </w:pPr>
          </w:p>
        </w:tc>
        <w:tc>
          <w:tcPr>
            <w:tcW w:w="594" w:type="dxa"/>
            <w:vAlign w:val="center"/>
          </w:tcPr>
          <w:p w14:paraId="036A4A80" w14:textId="77777777" w:rsidR="00B86FB3" w:rsidRPr="00FF756A" w:rsidRDefault="00B86FB3" w:rsidP="00B86FB3">
            <w:pPr>
              <w:spacing w:after="0" w:line="240" w:lineRule="auto"/>
              <w:jc w:val="center"/>
              <w:rPr>
                <w:sz w:val="18"/>
                <w:szCs w:val="18"/>
              </w:rPr>
            </w:pPr>
            <w:r w:rsidRPr="00FF756A">
              <w:rPr>
                <w:sz w:val="18"/>
                <w:szCs w:val="18"/>
              </w:rPr>
              <w:t>3</w:t>
            </w:r>
          </w:p>
        </w:tc>
        <w:tc>
          <w:tcPr>
            <w:tcW w:w="851" w:type="dxa"/>
            <w:vAlign w:val="center"/>
          </w:tcPr>
          <w:p w14:paraId="1FB8C387" w14:textId="77777777" w:rsidR="00B86FB3" w:rsidRPr="00FF756A" w:rsidRDefault="00B86FB3" w:rsidP="00B86FB3">
            <w:pPr>
              <w:spacing w:after="0" w:line="240" w:lineRule="auto"/>
              <w:jc w:val="left"/>
              <w:rPr>
                <w:sz w:val="20"/>
                <w:szCs w:val="20"/>
              </w:rPr>
            </w:pPr>
            <w:r w:rsidRPr="00FF756A">
              <w:rPr>
                <w:sz w:val="20"/>
                <w:szCs w:val="20"/>
              </w:rPr>
              <w:t>G-T3</w:t>
            </w:r>
          </w:p>
        </w:tc>
        <w:tc>
          <w:tcPr>
            <w:tcW w:w="2693" w:type="dxa"/>
            <w:vAlign w:val="center"/>
          </w:tcPr>
          <w:p w14:paraId="0E31E045" w14:textId="77777777" w:rsidR="00B86FB3" w:rsidRPr="00FF756A" w:rsidRDefault="00B86FB3" w:rsidP="00B86FB3">
            <w:pPr>
              <w:spacing w:after="0" w:line="240" w:lineRule="auto"/>
              <w:jc w:val="left"/>
              <w:rPr>
                <w:sz w:val="20"/>
                <w:szCs w:val="20"/>
              </w:rPr>
            </w:pPr>
            <w:r w:rsidRPr="00FF756A">
              <w:rPr>
                <w:sz w:val="20"/>
                <w:szCs w:val="20"/>
              </w:rPr>
              <w:t>Tarifat e makinave bazuar në efiçencë dhe incentivat për rinovimin e flotës</w:t>
            </w:r>
          </w:p>
        </w:tc>
        <w:tc>
          <w:tcPr>
            <w:tcW w:w="3544" w:type="dxa"/>
            <w:vMerge/>
            <w:vAlign w:val="center"/>
          </w:tcPr>
          <w:p w14:paraId="2A7582D2" w14:textId="77777777" w:rsidR="00B86FB3" w:rsidRPr="00FF756A" w:rsidRDefault="00B86FB3" w:rsidP="00B86FB3">
            <w:pPr>
              <w:spacing w:after="0" w:line="240" w:lineRule="auto"/>
              <w:jc w:val="left"/>
              <w:rPr>
                <w:sz w:val="20"/>
                <w:szCs w:val="20"/>
              </w:rPr>
            </w:pPr>
          </w:p>
        </w:tc>
        <w:tc>
          <w:tcPr>
            <w:tcW w:w="1133" w:type="dxa"/>
            <w:vAlign w:val="center"/>
          </w:tcPr>
          <w:p w14:paraId="79287E43"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6D326CBB" w14:textId="77777777" w:rsidTr="006A3266">
        <w:trPr>
          <w:trHeight w:val="20"/>
        </w:trPr>
        <w:tc>
          <w:tcPr>
            <w:tcW w:w="682" w:type="dxa"/>
            <w:vMerge/>
            <w:shd w:val="clear" w:color="auto" w:fill="E2EFD9" w:themeFill="accent6" w:themeFillTint="33"/>
            <w:textDirection w:val="btLr"/>
          </w:tcPr>
          <w:p w14:paraId="66DB6A16" w14:textId="77777777" w:rsidR="00B86FB3" w:rsidRPr="00FF756A" w:rsidRDefault="00B86FB3" w:rsidP="00B86FB3">
            <w:pPr>
              <w:ind w:left="113" w:right="113"/>
              <w:rPr>
                <w:b/>
                <w:bCs/>
                <w:sz w:val="20"/>
                <w:szCs w:val="20"/>
              </w:rPr>
            </w:pPr>
          </w:p>
        </w:tc>
        <w:tc>
          <w:tcPr>
            <w:tcW w:w="594" w:type="dxa"/>
            <w:vAlign w:val="center"/>
          </w:tcPr>
          <w:p w14:paraId="0A81AA9B" w14:textId="77777777" w:rsidR="00B86FB3" w:rsidRPr="00FF756A" w:rsidRDefault="00B86FB3" w:rsidP="00B86FB3">
            <w:pPr>
              <w:spacing w:after="0" w:line="240" w:lineRule="auto"/>
              <w:jc w:val="center"/>
              <w:rPr>
                <w:sz w:val="18"/>
                <w:szCs w:val="18"/>
              </w:rPr>
            </w:pPr>
            <w:r w:rsidRPr="00FF756A">
              <w:rPr>
                <w:sz w:val="18"/>
                <w:szCs w:val="18"/>
              </w:rPr>
              <w:t>4</w:t>
            </w:r>
          </w:p>
        </w:tc>
        <w:tc>
          <w:tcPr>
            <w:tcW w:w="851" w:type="dxa"/>
            <w:vAlign w:val="center"/>
          </w:tcPr>
          <w:p w14:paraId="2B7AC344" w14:textId="77777777" w:rsidR="00B86FB3" w:rsidRPr="00FF756A" w:rsidRDefault="00B86FB3" w:rsidP="00B86FB3">
            <w:pPr>
              <w:spacing w:after="0" w:line="240" w:lineRule="auto"/>
              <w:jc w:val="left"/>
              <w:rPr>
                <w:sz w:val="20"/>
                <w:szCs w:val="20"/>
              </w:rPr>
            </w:pPr>
            <w:r w:rsidRPr="00FF756A">
              <w:rPr>
                <w:sz w:val="20"/>
                <w:szCs w:val="20"/>
              </w:rPr>
              <w:t>G-T4</w:t>
            </w:r>
          </w:p>
        </w:tc>
        <w:tc>
          <w:tcPr>
            <w:tcW w:w="2693" w:type="dxa"/>
            <w:vAlign w:val="center"/>
          </w:tcPr>
          <w:p w14:paraId="1FA1E212" w14:textId="77777777" w:rsidR="00B86FB3" w:rsidRPr="00FF756A" w:rsidRDefault="00B86FB3" w:rsidP="00B86FB3">
            <w:pPr>
              <w:spacing w:before="20" w:after="20" w:line="240" w:lineRule="auto"/>
              <w:jc w:val="left"/>
              <w:rPr>
                <w:sz w:val="20"/>
                <w:szCs w:val="20"/>
              </w:rPr>
            </w:pPr>
            <w:r w:rsidRPr="00FF756A">
              <w:rPr>
                <w:sz w:val="20"/>
                <w:szCs w:val="20"/>
              </w:rPr>
              <w:t xml:space="preserve">Automjetet me lëndë djegëse të pastra në prokurimin publik </w:t>
            </w:r>
          </w:p>
        </w:tc>
        <w:tc>
          <w:tcPr>
            <w:tcW w:w="3544" w:type="dxa"/>
            <w:vMerge/>
            <w:vAlign w:val="center"/>
          </w:tcPr>
          <w:p w14:paraId="206A8244" w14:textId="77777777" w:rsidR="00B86FB3" w:rsidRPr="00FF756A" w:rsidRDefault="00B86FB3" w:rsidP="00B86FB3">
            <w:pPr>
              <w:spacing w:after="0" w:line="240" w:lineRule="auto"/>
              <w:jc w:val="left"/>
              <w:rPr>
                <w:sz w:val="20"/>
                <w:szCs w:val="20"/>
              </w:rPr>
            </w:pPr>
          </w:p>
        </w:tc>
        <w:tc>
          <w:tcPr>
            <w:tcW w:w="1133" w:type="dxa"/>
            <w:vAlign w:val="center"/>
          </w:tcPr>
          <w:p w14:paraId="3114273F"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69DBB2B4" w14:textId="77777777" w:rsidTr="006A3266">
        <w:trPr>
          <w:trHeight w:val="20"/>
        </w:trPr>
        <w:tc>
          <w:tcPr>
            <w:tcW w:w="682" w:type="dxa"/>
            <w:vMerge/>
            <w:shd w:val="clear" w:color="auto" w:fill="E2EFD9" w:themeFill="accent6" w:themeFillTint="33"/>
            <w:textDirection w:val="btLr"/>
          </w:tcPr>
          <w:p w14:paraId="428241C3" w14:textId="77777777" w:rsidR="00B86FB3" w:rsidRPr="00FF756A" w:rsidRDefault="00B86FB3" w:rsidP="00B86FB3">
            <w:pPr>
              <w:ind w:left="113" w:right="113"/>
              <w:rPr>
                <w:b/>
                <w:bCs/>
                <w:sz w:val="20"/>
                <w:szCs w:val="20"/>
              </w:rPr>
            </w:pPr>
          </w:p>
        </w:tc>
        <w:tc>
          <w:tcPr>
            <w:tcW w:w="594" w:type="dxa"/>
            <w:vAlign w:val="center"/>
          </w:tcPr>
          <w:p w14:paraId="1A21AB30" w14:textId="77777777" w:rsidR="00B86FB3" w:rsidRPr="00FF756A" w:rsidRDefault="00B86FB3" w:rsidP="00B86FB3">
            <w:pPr>
              <w:spacing w:after="0" w:line="240" w:lineRule="auto"/>
              <w:jc w:val="center"/>
              <w:rPr>
                <w:sz w:val="18"/>
                <w:szCs w:val="18"/>
              </w:rPr>
            </w:pPr>
            <w:r w:rsidRPr="00FF756A">
              <w:rPr>
                <w:sz w:val="18"/>
                <w:szCs w:val="18"/>
              </w:rPr>
              <w:t>5</w:t>
            </w:r>
          </w:p>
        </w:tc>
        <w:tc>
          <w:tcPr>
            <w:tcW w:w="851" w:type="dxa"/>
            <w:vAlign w:val="center"/>
          </w:tcPr>
          <w:p w14:paraId="18B0FFA5" w14:textId="77777777" w:rsidR="00B86FB3" w:rsidRPr="00FF756A" w:rsidRDefault="00B86FB3" w:rsidP="00B86FB3">
            <w:pPr>
              <w:spacing w:after="0" w:line="240" w:lineRule="auto"/>
              <w:jc w:val="left"/>
              <w:rPr>
                <w:sz w:val="20"/>
                <w:szCs w:val="20"/>
              </w:rPr>
            </w:pPr>
            <w:r w:rsidRPr="00FF756A">
              <w:rPr>
                <w:sz w:val="20"/>
                <w:szCs w:val="20"/>
              </w:rPr>
              <w:t>G-T5</w:t>
            </w:r>
          </w:p>
        </w:tc>
        <w:tc>
          <w:tcPr>
            <w:tcW w:w="2693" w:type="dxa"/>
            <w:vAlign w:val="center"/>
          </w:tcPr>
          <w:p w14:paraId="594C210D" w14:textId="77777777" w:rsidR="00B86FB3" w:rsidRPr="00FF756A" w:rsidRDefault="00B86FB3" w:rsidP="00B86FB3">
            <w:pPr>
              <w:spacing w:before="20" w:after="20" w:line="240" w:lineRule="auto"/>
              <w:jc w:val="left"/>
              <w:rPr>
                <w:i/>
                <w:iCs/>
                <w:sz w:val="20"/>
                <w:szCs w:val="20"/>
              </w:rPr>
            </w:pPr>
            <w:r w:rsidRPr="00FF756A">
              <w:rPr>
                <w:sz w:val="20"/>
                <w:szCs w:val="20"/>
              </w:rPr>
              <w:t>Hidrogjeni ekologjik në transportin me mjete të rënda</w:t>
            </w:r>
            <w:r w:rsidRPr="00FF756A">
              <w:rPr>
                <w:i/>
                <w:iCs/>
                <w:sz w:val="20"/>
                <w:szCs w:val="20"/>
              </w:rPr>
              <w:t xml:space="preserve"> </w:t>
            </w:r>
          </w:p>
        </w:tc>
        <w:tc>
          <w:tcPr>
            <w:tcW w:w="3544" w:type="dxa"/>
            <w:vMerge/>
            <w:vAlign w:val="center"/>
          </w:tcPr>
          <w:p w14:paraId="589CCDD5" w14:textId="77777777" w:rsidR="00B86FB3" w:rsidRPr="00FF756A" w:rsidRDefault="00B86FB3" w:rsidP="00B86FB3">
            <w:pPr>
              <w:spacing w:after="0" w:line="240" w:lineRule="auto"/>
              <w:jc w:val="left"/>
              <w:rPr>
                <w:sz w:val="20"/>
                <w:szCs w:val="20"/>
              </w:rPr>
            </w:pPr>
          </w:p>
        </w:tc>
        <w:tc>
          <w:tcPr>
            <w:tcW w:w="1133" w:type="dxa"/>
            <w:vAlign w:val="center"/>
          </w:tcPr>
          <w:p w14:paraId="1291439E"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5390105B" w14:textId="77777777" w:rsidTr="006A3266">
        <w:trPr>
          <w:trHeight w:val="20"/>
        </w:trPr>
        <w:tc>
          <w:tcPr>
            <w:tcW w:w="682" w:type="dxa"/>
            <w:vMerge/>
            <w:shd w:val="clear" w:color="auto" w:fill="E2EFD9" w:themeFill="accent6" w:themeFillTint="33"/>
            <w:textDirection w:val="btLr"/>
          </w:tcPr>
          <w:p w14:paraId="2C6386F9" w14:textId="77777777" w:rsidR="00B86FB3" w:rsidRPr="00FF756A" w:rsidRDefault="00B86FB3" w:rsidP="00B86FB3">
            <w:pPr>
              <w:ind w:left="113" w:right="113"/>
              <w:rPr>
                <w:b/>
                <w:bCs/>
                <w:sz w:val="20"/>
                <w:szCs w:val="20"/>
              </w:rPr>
            </w:pPr>
          </w:p>
        </w:tc>
        <w:tc>
          <w:tcPr>
            <w:tcW w:w="594" w:type="dxa"/>
            <w:vAlign w:val="center"/>
          </w:tcPr>
          <w:p w14:paraId="013DC14C" w14:textId="77777777" w:rsidR="00B86FB3" w:rsidRPr="00FF756A" w:rsidRDefault="00B86FB3" w:rsidP="00B86FB3">
            <w:pPr>
              <w:spacing w:after="0" w:line="240" w:lineRule="auto"/>
              <w:jc w:val="center"/>
              <w:rPr>
                <w:sz w:val="18"/>
                <w:szCs w:val="18"/>
              </w:rPr>
            </w:pPr>
            <w:r w:rsidRPr="00FF756A">
              <w:rPr>
                <w:sz w:val="18"/>
                <w:szCs w:val="18"/>
              </w:rPr>
              <w:t>6</w:t>
            </w:r>
          </w:p>
        </w:tc>
        <w:tc>
          <w:tcPr>
            <w:tcW w:w="851" w:type="dxa"/>
            <w:vAlign w:val="center"/>
          </w:tcPr>
          <w:p w14:paraId="392D34FC" w14:textId="77777777" w:rsidR="00B86FB3" w:rsidRPr="00FF756A" w:rsidRDefault="00B86FB3" w:rsidP="00B86FB3">
            <w:pPr>
              <w:spacing w:after="0" w:line="240" w:lineRule="auto"/>
              <w:jc w:val="left"/>
              <w:rPr>
                <w:sz w:val="20"/>
                <w:szCs w:val="20"/>
              </w:rPr>
            </w:pPr>
            <w:r w:rsidRPr="00FF756A">
              <w:rPr>
                <w:sz w:val="20"/>
                <w:szCs w:val="20"/>
              </w:rPr>
              <w:t>G-B1</w:t>
            </w:r>
          </w:p>
        </w:tc>
        <w:tc>
          <w:tcPr>
            <w:tcW w:w="2693" w:type="dxa"/>
            <w:vAlign w:val="center"/>
          </w:tcPr>
          <w:p w14:paraId="1656801E" w14:textId="77777777" w:rsidR="00B86FB3" w:rsidRPr="00FF756A" w:rsidRDefault="00B86FB3" w:rsidP="00B86FB3">
            <w:pPr>
              <w:spacing w:after="0" w:line="240" w:lineRule="auto"/>
              <w:jc w:val="left"/>
              <w:rPr>
                <w:sz w:val="20"/>
                <w:szCs w:val="20"/>
              </w:rPr>
            </w:pPr>
            <w:r w:rsidRPr="00FF756A">
              <w:rPr>
                <w:sz w:val="20"/>
                <w:szCs w:val="20"/>
              </w:rPr>
              <w:t>Politikat për nxitjen e përdorimit të BRE-ve në sektorin e ngrohjes dhe ftohjes</w:t>
            </w:r>
          </w:p>
        </w:tc>
        <w:tc>
          <w:tcPr>
            <w:tcW w:w="3544" w:type="dxa"/>
          </w:tcPr>
          <w:p w14:paraId="0F7DB24D" w14:textId="77777777" w:rsidR="00B86FB3" w:rsidRPr="00FF756A" w:rsidRDefault="00B86FB3" w:rsidP="00B86FB3">
            <w:pPr>
              <w:spacing w:after="0" w:line="240" w:lineRule="auto"/>
              <w:jc w:val="left"/>
              <w:rPr>
                <w:sz w:val="20"/>
                <w:szCs w:val="20"/>
              </w:rPr>
            </w:pPr>
            <w:r w:rsidRPr="00FF756A">
              <w:rPr>
                <w:sz w:val="20"/>
                <w:szCs w:val="20"/>
              </w:rPr>
              <w:t>Përllogaritur në 1,6 milionë euro për sistemet termike diellore dhe 50 mijë euro për asistencën teknike për përgatitjen dhe zbatimin e kuadrit ligjor</w:t>
            </w:r>
          </w:p>
        </w:tc>
        <w:tc>
          <w:tcPr>
            <w:tcW w:w="1133" w:type="dxa"/>
            <w:vAlign w:val="center"/>
          </w:tcPr>
          <w:p w14:paraId="642DFEAD"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0EABAC95" w14:textId="77777777" w:rsidTr="006A3266">
        <w:trPr>
          <w:trHeight w:val="20"/>
        </w:trPr>
        <w:tc>
          <w:tcPr>
            <w:tcW w:w="682" w:type="dxa"/>
            <w:vMerge/>
            <w:shd w:val="clear" w:color="auto" w:fill="E2EFD9" w:themeFill="accent6" w:themeFillTint="33"/>
            <w:textDirection w:val="btLr"/>
          </w:tcPr>
          <w:p w14:paraId="58D06745" w14:textId="77777777" w:rsidR="00B86FB3" w:rsidRPr="00FF756A" w:rsidRDefault="00B86FB3" w:rsidP="00B86FB3">
            <w:pPr>
              <w:ind w:left="113" w:right="113"/>
              <w:rPr>
                <w:b/>
                <w:bCs/>
                <w:sz w:val="20"/>
                <w:szCs w:val="20"/>
              </w:rPr>
            </w:pPr>
          </w:p>
        </w:tc>
        <w:tc>
          <w:tcPr>
            <w:tcW w:w="594" w:type="dxa"/>
            <w:vAlign w:val="center"/>
          </w:tcPr>
          <w:p w14:paraId="4E16B7B4" w14:textId="77777777" w:rsidR="00B86FB3" w:rsidRPr="00FF756A" w:rsidRDefault="00B86FB3" w:rsidP="00B86FB3">
            <w:pPr>
              <w:spacing w:after="0" w:line="240" w:lineRule="auto"/>
              <w:jc w:val="center"/>
              <w:rPr>
                <w:sz w:val="18"/>
                <w:szCs w:val="18"/>
              </w:rPr>
            </w:pPr>
            <w:r w:rsidRPr="00FF756A">
              <w:rPr>
                <w:sz w:val="18"/>
                <w:szCs w:val="18"/>
              </w:rPr>
              <w:t>7</w:t>
            </w:r>
          </w:p>
        </w:tc>
        <w:tc>
          <w:tcPr>
            <w:tcW w:w="851" w:type="dxa"/>
            <w:vAlign w:val="center"/>
          </w:tcPr>
          <w:p w14:paraId="589254F9" w14:textId="77777777" w:rsidR="00B86FB3" w:rsidRPr="00FF756A" w:rsidRDefault="00B86FB3" w:rsidP="00B86FB3">
            <w:pPr>
              <w:spacing w:after="0" w:line="240" w:lineRule="auto"/>
              <w:jc w:val="left"/>
              <w:rPr>
                <w:sz w:val="20"/>
                <w:szCs w:val="20"/>
              </w:rPr>
            </w:pPr>
            <w:r w:rsidRPr="00FF756A">
              <w:rPr>
                <w:sz w:val="20"/>
                <w:szCs w:val="20"/>
              </w:rPr>
              <w:t>G-I1</w:t>
            </w:r>
          </w:p>
        </w:tc>
        <w:tc>
          <w:tcPr>
            <w:tcW w:w="2693" w:type="dxa"/>
            <w:vAlign w:val="center"/>
          </w:tcPr>
          <w:p w14:paraId="00D2B378" w14:textId="77777777" w:rsidR="00B86FB3" w:rsidRPr="00FF756A" w:rsidRDefault="00B86FB3" w:rsidP="00B86FB3">
            <w:pPr>
              <w:spacing w:after="0" w:line="240" w:lineRule="auto"/>
              <w:jc w:val="left"/>
              <w:rPr>
                <w:sz w:val="20"/>
                <w:szCs w:val="20"/>
              </w:rPr>
            </w:pPr>
            <w:r w:rsidRPr="00FF756A">
              <w:rPr>
                <w:sz w:val="20"/>
                <w:szCs w:val="20"/>
              </w:rPr>
              <w:t>Zbatimi i ETS-së në Shqipëri</w:t>
            </w:r>
          </w:p>
        </w:tc>
        <w:tc>
          <w:tcPr>
            <w:tcW w:w="3544" w:type="dxa"/>
          </w:tcPr>
          <w:p w14:paraId="2E3BC25C" w14:textId="77777777" w:rsidR="00B86FB3" w:rsidRPr="00FF756A" w:rsidRDefault="00B86FB3" w:rsidP="00B86FB3">
            <w:pPr>
              <w:spacing w:after="0" w:line="240" w:lineRule="auto"/>
              <w:jc w:val="left"/>
              <w:rPr>
                <w:sz w:val="20"/>
                <w:szCs w:val="20"/>
              </w:rPr>
            </w:pPr>
            <w:r w:rsidRPr="00FF756A">
              <w:rPr>
                <w:sz w:val="20"/>
                <w:szCs w:val="20"/>
              </w:rPr>
              <w:t>2 milionë euro (shifër treguese e bazuar në një analizë krahasuese)</w:t>
            </w:r>
          </w:p>
        </w:tc>
        <w:tc>
          <w:tcPr>
            <w:tcW w:w="1133" w:type="dxa"/>
            <w:vAlign w:val="center"/>
          </w:tcPr>
          <w:p w14:paraId="459C0D01"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16875094" w14:textId="77777777" w:rsidTr="006A3266">
        <w:trPr>
          <w:trHeight w:val="20"/>
        </w:trPr>
        <w:tc>
          <w:tcPr>
            <w:tcW w:w="682" w:type="dxa"/>
            <w:vMerge/>
            <w:shd w:val="clear" w:color="auto" w:fill="E2EFD9" w:themeFill="accent6" w:themeFillTint="33"/>
            <w:textDirection w:val="btLr"/>
          </w:tcPr>
          <w:p w14:paraId="6B087764" w14:textId="77777777" w:rsidR="00B86FB3" w:rsidRPr="00FF756A" w:rsidRDefault="00B86FB3" w:rsidP="00B86FB3">
            <w:pPr>
              <w:ind w:left="113" w:right="113"/>
              <w:rPr>
                <w:b/>
                <w:bCs/>
                <w:sz w:val="20"/>
                <w:szCs w:val="20"/>
              </w:rPr>
            </w:pPr>
          </w:p>
        </w:tc>
        <w:tc>
          <w:tcPr>
            <w:tcW w:w="594" w:type="dxa"/>
            <w:vAlign w:val="center"/>
          </w:tcPr>
          <w:p w14:paraId="3ED91810" w14:textId="77777777" w:rsidR="00B86FB3" w:rsidRPr="00FF756A" w:rsidRDefault="00B86FB3" w:rsidP="00B86FB3">
            <w:pPr>
              <w:spacing w:after="0" w:line="240" w:lineRule="auto"/>
              <w:jc w:val="center"/>
              <w:rPr>
                <w:sz w:val="18"/>
                <w:szCs w:val="18"/>
              </w:rPr>
            </w:pPr>
            <w:r w:rsidRPr="00FF756A">
              <w:rPr>
                <w:sz w:val="18"/>
                <w:szCs w:val="18"/>
              </w:rPr>
              <w:t>8</w:t>
            </w:r>
          </w:p>
        </w:tc>
        <w:tc>
          <w:tcPr>
            <w:tcW w:w="851" w:type="dxa"/>
            <w:vAlign w:val="center"/>
          </w:tcPr>
          <w:p w14:paraId="297CE479" w14:textId="77777777" w:rsidR="00B86FB3" w:rsidRPr="00FF756A" w:rsidRDefault="00B86FB3" w:rsidP="00B86FB3">
            <w:pPr>
              <w:spacing w:after="0" w:line="240" w:lineRule="auto"/>
              <w:jc w:val="left"/>
              <w:rPr>
                <w:sz w:val="20"/>
                <w:szCs w:val="20"/>
              </w:rPr>
            </w:pPr>
            <w:r w:rsidRPr="00FF756A">
              <w:rPr>
                <w:sz w:val="20"/>
                <w:szCs w:val="20"/>
              </w:rPr>
              <w:t>G-I2</w:t>
            </w:r>
          </w:p>
        </w:tc>
        <w:tc>
          <w:tcPr>
            <w:tcW w:w="2693" w:type="dxa"/>
            <w:vAlign w:val="center"/>
          </w:tcPr>
          <w:p w14:paraId="3755B473" w14:textId="77777777" w:rsidR="00B86FB3" w:rsidRPr="00FF756A" w:rsidRDefault="00B86FB3" w:rsidP="00B86FB3">
            <w:pPr>
              <w:spacing w:after="0" w:line="240" w:lineRule="auto"/>
              <w:jc w:val="left"/>
              <w:rPr>
                <w:sz w:val="20"/>
                <w:szCs w:val="20"/>
              </w:rPr>
            </w:pPr>
            <w:r w:rsidRPr="00FF756A">
              <w:rPr>
                <w:sz w:val="20"/>
                <w:szCs w:val="20"/>
              </w:rPr>
              <w:t>Ngritja e një mekanizmi për zbatimin e MMR-së</w:t>
            </w:r>
          </w:p>
        </w:tc>
        <w:tc>
          <w:tcPr>
            <w:tcW w:w="3544" w:type="dxa"/>
          </w:tcPr>
          <w:p w14:paraId="6DF865FC" w14:textId="77777777" w:rsidR="00B86FB3" w:rsidRPr="00FF756A" w:rsidRDefault="00B86FB3" w:rsidP="00B86FB3">
            <w:pPr>
              <w:spacing w:after="0" w:line="240" w:lineRule="auto"/>
              <w:jc w:val="left"/>
              <w:rPr>
                <w:sz w:val="20"/>
                <w:szCs w:val="20"/>
              </w:rPr>
            </w:pPr>
            <w:r w:rsidRPr="00FF756A">
              <w:rPr>
                <w:iCs/>
                <w:sz w:val="20"/>
                <w:szCs w:val="20"/>
              </w:rPr>
              <w:t>1 milion euro</w:t>
            </w:r>
          </w:p>
        </w:tc>
        <w:tc>
          <w:tcPr>
            <w:tcW w:w="1133" w:type="dxa"/>
            <w:vAlign w:val="center"/>
          </w:tcPr>
          <w:p w14:paraId="6D6D55F4"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525F52A0" w14:textId="77777777" w:rsidTr="006A3266">
        <w:trPr>
          <w:trHeight w:val="20"/>
        </w:trPr>
        <w:tc>
          <w:tcPr>
            <w:tcW w:w="682" w:type="dxa"/>
            <w:vMerge/>
            <w:shd w:val="clear" w:color="auto" w:fill="E2EFD9" w:themeFill="accent6" w:themeFillTint="33"/>
            <w:textDirection w:val="btLr"/>
          </w:tcPr>
          <w:p w14:paraId="602AF6A2" w14:textId="77777777" w:rsidR="00B86FB3" w:rsidRPr="00FF756A" w:rsidRDefault="00B86FB3" w:rsidP="00B86FB3">
            <w:pPr>
              <w:ind w:left="113" w:right="113"/>
              <w:rPr>
                <w:b/>
                <w:bCs/>
                <w:sz w:val="20"/>
                <w:szCs w:val="20"/>
              </w:rPr>
            </w:pPr>
          </w:p>
        </w:tc>
        <w:tc>
          <w:tcPr>
            <w:tcW w:w="594" w:type="dxa"/>
            <w:vAlign w:val="center"/>
          </w:tcPr>
          <w:p w14:paraId="6B449FE2" w14:textId="77777777" w:rsidR="00B86FB3" w:rsidRPr="00FF756A" w:rsidRDefault="00B86FB3" w:rsidP="00B86FB3">
            <w:pPr>
              <w:spacing w:after="0" w:line="240" w:lineRule="auto"/>
              <w:jc w:val="center"/>
              <w:rPr>
                <w:sz w:val="18"/>
                <w:szCs w:val="18"/>
              </w:rPr>
            </w:pPr>
            <w:r w:rsidRPr="00FF756A">
              <w:rPr>
                <w:sz w:val="18"/>
                <w:szCs w:val="18"/>
              </w:rPr>
              <w:t>9</w:t>
            </w:r>
          </w:p>
        </w:tc>
        <w:tc>
          <w:tcPr>
            <w:tcW w:w="851" w:type="dxa"/>
            <w:vAlign w:val="center"/>
          </w:tcPr>
          <w:p w14:paraId="42B684AE" w14:textId="77777777" w:rsidR="00B86FB3" w:rsidRPr="00FF756A" w:rsidRDefault="00B86FB3" w:rsidP="00B86FB3">
            <w:pPr>
              <w:spacing w:after="0" w:line="240" w:lineRule="auto"/>
              <w:jc w:val="left"/>
              <w:rPr>
                <w:sz w:val="20"/>
                <w:szCs w:val="20"/>
              </w:rPr>
            </w:pPr>
            <w:r w:rsidRPr="00FF756A">
              <w:rPr>
                <w:sz w:val="20"/>
                <w:szCs w:val="20"/>
              </w:rPr>
              <w:t>G-I3</w:t>
            </w:r>
          </w:p>
        </w:tc>
        <w:tc>
          <w:tcPr>
            <w:tcW w:w="2693" w:type="dxa"/>
            <w:vAlign w:val="center"/>
          </w:tcPr>
          <w:p w14:paraId="6F0CF07C" w14:textId="77777777" w:rsidR="00B86FB3" w:rsidRPr="00FF756A" w:rsidRDefault="00B86FB3" w:rsidP="00B86FB3">
            <w:pPr>
              <w:spacing w:after="0" w:line="240" w:lineRule="auto"/>
              <w:jc w:val="left"/>
              <w:rPr>
                <w:sz w:val="20"/>
                <w:szCs w:val="20"/>
              </w:rPr>
            </w:pPr>
            <w:r w:rsidRPr="00FF756A">
              <w:rPr>
                <w:sz w:val="20"/>
                <w:szCs w:val="20"/>
              </w:rPr>
              <w:t>Reduktimi i shkarkimeve të GES-ve nga prodhimi i çimentos</w:t>
            </w:r>
          </w:p>
        </w:tc>
        <w:tc>
          <w:tcPr>
            <w:tcW w:w="3544" w:type="dxa"/>
            <w:vAlign w:val="center"/>
          </w:tcPr>
          <w:p w14:paraId="5E72A6C0" w14:textId="77777777" w:rsidR="00B86FB3" w:rsidRPr="00FF756A" w:rsidRDefault="00B86FB3" w:rsidP="00B86FB3">
            <w:pPr>
              <w:spacing w:after="0" w:line="240" w:lineRule="auto"/>
              <w:jc w:val="left"/>
              <w:rPr>
                <w:sz w:val="20"/>
                <w:szCs w:val="20"/>
              </w:rPr>
            </w:pPr>
            <w:r w:rsidRPr="00FF756A">
              <w:rPr>
                <w:sz w:val="20"/>
                <w:szCs w:val="20"/>
              </w:rPr>
              <w:t>Rreth 0,3 milionë euro</w:t>
            </w:r>
          </w:p>
        </w:tc>
        <w:tc>
          <w:tcPr>
            <w:tcW w:w="1133" w:type="dxa"/>
            <w:vAlign w:val="center"/>
          </w:tcPr>
          <w:p w14:paraId="6F740E8E"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0EC0EF9E" w14:textId="77777777" w:rsidTr="006A3266">
        <w:trPr>
          <w:trHeight w:val="20"/>
        </w:trPr>
        <w:tc>
          <w:tcPr>
            <w:tcW w:w="682" w:type="dxa"/>
            <w:vMerge/>
            <w:shd w:val="clear" w:color="auto" w:fill="E2EFD9" w:themeFill="accent6" w:themeFillTint="33"/>
            <w:textDirection w:val="btLr"/>
          </w:tcPr>
          <w:p w14:paraId="2DF1937A" w14:textId="77777777" w:rsidR="00B86FB3" w:rsidRPr="00FF756A" w:rsidRDefault="00B86FB3" w:rsidP="00B86FB3">
            <w:pPr>
              <w:ind w:left="113" w:right="113"/>
              <w:rPr>
                <w:b/>
                <w:bCs/>
                <w:sz w:val="20"/>
                <w:szCs w:val="20"/>
              </w:rPr>
            </w:pPr>
          </w:p>
        </w:tc>
        <w:tc>
          <w:tcPr>
            <w:tcW w:w="594" w:type="dxa"/>
            <w:vAlign w:val="center"/>
          </w:tcPr>
          <w:p w14:paraId="27B37082" w14:textId="77777777" w:rsidR="00B86FB3" w:rsidRPr="00FF756A" w:rsidRDefault="00B86FB3" w:rsidP="00B86FB3">
            <w:pPr>
              <w:spacing w:after="0" w:line="240" w:lineRule="auto"/>
              <w:jc w:val="center"/>
              <w:rPr>
                <w:sz w:val="18"/>
                <w:szCs w:val="18"/>
              </w:rPr>
            </w:pPr>
            <w:r w:rsidRPr="00FF756A">
              <w:rPr>
                <w:sz w:val="18"/>
                <w:szCs w:val="18"/>
              </w:rPr>
              <w:t>10</w:t>
            </w:r>
          </w:p>
        </w:tc>
        <w:tc>
          <w:tcPr>
            <w:tcW w:w="851" w:type="dxa"/>
            <w:vAlign w:val="center"/>
          </w:tcPr>
          <w:p w14:paraId="29F0061E" w14:textId="77777777" w:rsidR="00B86FB3" w:rsidRPr="00FF756A" w:rsidRDefault="00B86FB3" w:rsidP="00B86FB3">
            <w:pPr>
              <w:spacing w:after="0" w:line="240" w:lineRule="auto"/>
              <w:jc w:val="left"/>
              <w:rPr>
                <w:sz w:val="20"/>
                <w:szCs w:val="20"/>
              </w:rPr>
            </w:pPr>
            <w:r w:rsidRPr="00FF756A">
              <w:rPr>
                <w:sz w:val="20"/>
                <w:szCs w:val="20"/>
              </w:rPr>
              <w:t>G-I4</w:t>
            </w:r>
          </w:p>
        </w:tc>
        <w:tc>
          <w:tcPr>
            <w:tcW w:w="2693" w:type="dxa"/>
            <w:vAlign w:val="center"/>
          </w:tcPr>
          <w:p w14:paraId="78276D09" w14:textId="77777777" w:rsidR="00B86FB3" w:rsidRPr="00FF756A" w:rsidRDefault="00B86FB3" w:rsidP="00B86FB3">
            <w:pPr>
              <w:spacing w:before="20" w:after="20" w:line="240" w:lineRule="auto"/>
              <w:jc w:val="left"/>
              <w:rPr>
                <w:sz w:val="20"/>
                <w:szCs w:val="20"/>
              </w:rPr>
            </w:pPr>
            <w:r w:rsidRPr="00FF756A">
              <w:rPr>
                <w:sz w:val="20"/>
                <w:szCs w:val="20"/>
              </w:rPr>
              <w:t xml:space="preserve">Reduktimi i shkarkimeve të gazeve të fluorinuara (Gazet-F) </w:t>
            </w:r>
          </w:p>
        </w:tc>
        <w:tc>
          <w:tcPr>
            <w:tcW w:w="3544" w:type="dxa"/>
            <w:vAlign w:val="center"/>
          </w:tcPr>
          <w:p w14:paraId="1B8EDEB1" w14:textId="77777777" w:rsidR="00B86FB3" w:rsidRPr="00FF756A" w:rsidRDefault="00B86FB3" w:rsidP="00B86FB3">
            <w:pPr>
              <w:spacing w:after="0" w:line="240" w:lineRule="auto"/>
              <w:jc w:val="left"/>
              <w:rPr>
                <w:sz w:val="20"/>
                <w:szCs w:val="20"/>
              </w:rPr>
            </w:pPr>
            <w:r w:rsidRPr="00FF756A">
              <w:rPr>
                <w:sz w:val="20"/>
                <w:szCs w:val="20"/>
              </w:rPr>
              <w:t>Rreth 0,5 milionë euro.</w:t>
            </w:r>
          </w:p>
        </w:tc>
        <w:tc>
          <w:tcPr>
            <w:tcW w:w="1133" w:type="dxa"/>
            <w:vAlign w:val="center"/>
          </w:tcPr>
          <w:p w14:paraId="5301FFD8"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57879A0C" w14:textId="77777777" w:rsidTr="006A3266">
        <w:trPr>
          <w:trHeight w:val="20"/>
        </w:trPr>
        <w:tc>
          <w:tcPr>
            <w:tcW w:w="682" w:type="dxa"/>
            <w:vMerge/>
            <w:shd w:val="clear" w:color="auto" w:fill="E2EFD9" w:themeFill="accent6" w:themeFillTint="33"/>
            <w:textDirection w:val="btLr"/>
          </w:tcPr>
          <w:p w14:paraId="1AB53454" w14:textId="77777777" w:rsidR="00B86FB3" w:rsidRPr="00FF756A" w:rsidRDefault="00B86FB3" w:rsidP="00B86FB3">
            <w:pPr>
              <w:ind w:left="113" w:right="113"/>
              <w:rPr>
                <w:b/>
                <w:bCs/>
                <w:sz w:val="20"/>
                <w:szCs w:val="20"/>
              </w:rPr>
            </w:pPr>
          </w:p>
        </w:tc>
        <w:tc>
          <w:tcPr>
            <w:tcW w:w="594" w:type="dxa"/>
            <w:vAlign w:val="center"/>
          </w:tcPr>
          <w:p w14:paraId="34A52946" w14:textId="77777777" w:rsidR="00B86FB3" w:rsidRPr="00FF756A" w:rsidRDefault="00B86FB3" w:rsidP="00B86FB3">
            <w:pPr>
              <w:spacing w:after="0" w:line="240" w:lineRule="auto"/>
              <w:jc w:val="center"/>
              <w:rPr>
                <w:sz w:val="18"/>
                <w:szCs w:val="18"/>
              </w:rPr>
            </w:pPr>
            <w:r w:rsidRPr="00FF756A">
              <w:rPr>
                <w:sz w:val="18"/>
                <w:szCs w:val="18"/>
              </w:rPr>
              <w:t>11</w:t>
            </w:r>
          </w:p>
        </w:tc>
        <w:tc>
          <w:tcPr>
            <w:tcW w:w="851" w:type="dxa"/>
            <w:vAlign w:val="center"/>
          </w:tcPr>
          <w:p w14:paraId="3F2D2318" w14:textId="77777777" w:rsidR="00B86FB3" w:rsidRPr="00FF756A" w:rsidRDefault="00B86FB3" w:rsidP="00B86FB3">
            <w:pPr>
              <w:spacing w:after="0" w:line="240" w:lineRule="auto"/>
              <w:jc w:val="left"/>
              <w:rPr>
                <w:sz w:val="20"/>
                <w:szCs w:val="20"/>
              </w:rPr>
            </w:pPr>
            <w:r w:rsidRPr="00FF756A">
              <w:rPr>
                <w:sz w:val="20"/>
                <w:szCs w:val="20"/>
              </w:rPr>
              <w:t>G-I5</w:t>
            </w:r>
          </w:p>
        </w:tc>
        <w:tc>
          <w:tcPr>
            <w:tcW w:w="2693" w:type="dxa"/>
            <w:vAlign w:val="center"/>
          </w:tcPr>
          <w:p w14:paraId="41A82031" w14:textId="77777777" w:rsidR="00B86FB3" w:rsidRPr="00FF756A" w:rsidRDefault="00B86FB3" w:rsidP="00B86FB3">
            <w:pPr>
              <w:spacing w:after="0" w:line="240" w:lineRule="auto"/>
              <w:jc w:val="left"/>
              <w:rPr>
                <w:sz w:val="20"/>
                <w:szCs w:val="20"/>
              </w:rPr>
            </w:pPr>
            <w:r w:rsidRPr="00FF756A">
              <w:rPr>
                <w:sz w:val="20"/>
                <w:szCs w:val="20"/>
              </w:rPr>
              <w:t>Hidrogjeni ekologjik për industrinë e prodhimit të ferrokromit dhe çelikut</w:t>
            </w:r>
            <w:r w:rsidRPr="00FF756A">
              <w:rPr>
                <w:i/>
                <w:iCs/>
                <w:sz w:val="20"/>
                <w:szCs w:val="20"/>
              </w:rPr>
              <w:t xml:space="preserve"> </w:t>
            </w:r>
          </w:p>
        </w:tc>
        <w:tc>
          <w:tcPr>
            <w:tcW w:w="3544" w:type="dxa"/>
            <w:vAlign w:val="center"/>
          </w:tcPr>
          <w:p w14:paraId="69E7D4C9" w14:textId="77777777" w:rsidR="00B86FB3" w:rsidRPr="00FF756A" w:rsidRDefault="00B86FB3" w:rsidP="00B86FB3">
            <w:pPr>
              <w:spacing w:after="0" w:line="240" w:lineRule="auto"/>
              <w:jc w:val="left"/>
              <w:rPr>
                <w:sz w:val="20"/>
                <w:szCs w:val="20"/>
              </w:rPr>
            </w:pPr>
            <w:r w:rsidRPr="00FF756A">
              <w:rPr>
                <w:sz w:val="20"/>
                <w:szCs w:val="20"/>
              </w:rPr>
              <w:t>Përllogaritje: 0,5 milionë euro për studimet në nivel strategjik dhe të fizibilitetit</w:t>
            </w:r>
          </w:p>
        </w:tc>
        <w:tc>
          <w:tcPr>
            <w:tcW w:w="1133" w:type="dxa"/>
            <w:vAlign w:val="center"/>
          </w:tcPr>
          <w:p w14:paraId="7DDB0CD1"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26F95DE1" w14:textId="77777777" w:rsidTr="006A3266">
        <w:trPr>
          <w:trHeight w:val="20"/>
        </w:trPr>
        <w:tc>
          <w:tcPr>
            <w:tcW w:w="682" w:type="dxa"/>
            <w:vMerge/>
            <w:shd w:val="clear" w:color="auto" w:fill="E2EFD9" w:themeFill="accent6" w:themeFillTint="33"/>
            <w:textDirection w:val="btLr"/>
          </w:tcPr>
          <w:p w14:paraId="082D9C66" w14:textId="77777777" w:rsidR="00B86FB3" w:rsidRPr="00FF756A" w:rsidRDefault="00B86FB3" w:rsidP="00B86FB3">
            <w:pPr>
              <w:ind w:left="113" w:right="113"/>
              <w:rPr>
                <w:b/>
                <w:bCs/>
                <w:sz w:val="20"/>
                <w:szCs w:val="20"/>
              </w:rPr>
            </w:pPr>
          </w:p>
        </w:tc>
        <w:tc>
          <w:tcPr>
            <w:tcW w:w="594" w:type="dxa"/>
            <w:vAlign w:val="center"/>
          </w:tcPr>
          <w:p w14:paraId="58D5A6F5" w14:textId="77777777" w:rsidR="00B86FB3" w:rsidRPr="00FF756A" w:rsidRDefault="00B86FB3" w:rsidP="00B86FB3">
            <w:pPr>
              <w:spacing w:after="0" w:line="240" w:lineRule="auto"/>
              <w:jc w:val="center"/>
              <w:rPr>
                <w:sz w:val="18"/>
                <w:szCs w:val="18"/>
              </w:rPr>
            </w:pPr>
            <w:r w:rsidRPr="00FF756A">
              <w:rPr>
                <w:sz w:val="18"/>
                <w:szCs w:val="18"/>
              </w:rPr>
              <w:t>12</w:t>
            </w:r>
          </w:p>
        </w:tc>
        <w:tc>
          <w:tcPr>
            <w:tcW w:w="851" w:type="dxa"/>
            <w:vAlign w:val="center"/>
          </w:tcPr>
          <w:p w14:paraId="1772DDCC" w14:textId="77777777" w:rsidR="00B86FB3" w:rsidRPr="00FF756A" w:rsidRDefault="00B86FB3" w:rsidP="00B86FB3">
            <w:pPr>
              <w:spacing w:after="0" w:line="240" w:lineRule="auto"/>
              <w:jc w:val="left"/>
              <w:rPr>
                <w:sz w:val="20"/>
                <w:szCs w:val="20"/>
              </w:rPr>
            </w:pPr>
            <w:r w:rsidRPr="00FF756A">
              <w:rPr>
                <w:sz w:val="20"/>
                <w:szCs w:val="20"/>
              </w:rPr>
              <w:t>G-I6</w:t>
            </w:r>
          </w:p>
        </w:tc>
        <w:tc>
          <w:tcPr>
            <w:tcW w:w="2693" w:type="dxa"/>
            <w:vAlign w:val="center"/>
          </w:tcPr>
          <w:p w14:paraId="2CB397F4" w14:textId="77777777" w:rsidR="00B86FB3" w:rsidRPr="00FF756A" w:rsidRDefault="00B86FB3" w:rsidP="00B86FB3">
            <w:pPr>
              <w:spacing w:after="0" w:line="240" w:lineRule="auto"/>
              <w:jc w:val="left"/>
              <w:rPr>
                <w:sz w:val="20"/>
                <w:szCs w:val="20"/>
              </w:rPr>
            </w:pPr>
            <w:r w:rsidRPr="00FF756A">
              <w:rPr>
                <w:sz w:val="20"/>
                <w:szCs w:val="20"/>
              </w:rPr>
              <w:t xml:space="preserve">Strategjia e hidrogjenit ekologjik </w:t>
            </w:r>
          </w:p>
        </w:tc>
        <w:tc>
          <w:tcPr>
            <w:tcW w:w="3544" w:type="dxa"/>
            <w:vAlign w:val="center"/>
          </w:tcPr>
          <w:p w14:paraId="00D93201" w14:textId="77777777" w:rsidR="00B86FB3" w:rsidRPr="00FF756A" w:rsidRDefault="00B86FB3" w:rsidP="00B86FB3">
            <w:pPr>
              <w:spacing w:after="0" w:line="240" w:lineRule="auto"/>
              <w:jc w:val="left"/>
              <w:rPr>
                <w:sz w:val="20"/>
                <w:szCs w:val="20"/>
              </w:rPr>
            </w:pPr>
            <w:r w:rsidRPr="00FF756A">
              <w:rPr>
                <w:sz w:val="20"/>
                <w:szCs w:val="20"/>
              </w:rPr>
              <w:t>Rreth 0,3 milionë euro</w:t>
            </w:r>
          </w:p>
        </w:tc>
        <w:tc>
          <w:tcPr>
            <w:tcW w:w="1133" w:type="dxa"/>
            <w:vAlign w:val="center"/>
          </w:tcPr>
          <w:p w14:paraId="275FF2FB"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7A054185" w14:textId="77777777" w:rsidTr="006A3266">
        <w:trPr>
          <w:trHeight w:val="20"/>
        </w:trPr>
        <w:tc>
          <w:tcPr>
            <w:tcW w:w="682" w:type="dxa"/>
            <w:vMerge/>
            <w:shd w:val="clear" w:color="auto" w:fill="E2EFD9" w:themeFill="accent6" w:themeFillTint="33"/>
            <w:textDirection w:val="btLr"/>
          </w:tcPr>
          <w:p w14:paraId="479345C9" w14:textId="77777777" w:rsidR="00B86FB3" w:rsidRPr="00FF756A" w:rsidRDefault="00B86FB3" w:rsidP="00B86FB3">
            <w:pPr>
              <w:ind w:left="113" w:right="113"/>
              <w:rPr>
                <w:b/>
                <w:bCs/>
                <w:sz w:val="20"/>
                <w:szCs w:val="20"/>
              </w:rPr>
            </w:pPr>
          </w:p>
        </w:tc>
        <w:tc>
          <w:tcPr>
            <w:tcW w:w="594" w:type="dxa"/>
            <w:vAlign w:val="center"/>
          </w:tcPr>
          <w:p w14:paraId="77E90553" w14:textId="77777777" w:rsidR="00B86FB3" w:rsidRPr="00FF756A" w:rsidRDefault="00B86FB3" w:rsidP="00B86FB3">
            <w:pPr>
              <w:spacing w:after="0" w:line="240" w:lineRule="auto"/>
              <w:jc w:val="center"/>
              <w:rPr>
                <w:sz w:val="18"/>
                <w:szCs w:val="18"/>
              </w:rPr>
            </w:pPr>
            <w:r w:rsidRPr="00FF756A">
              <w:rPr>
                <w:sz w:val="18"/>
                <w:szCs w:val="18"/>
              </w:rPr>
              <w:t>13</w:t>
            </w:r>
          </w:p>
        </w:tc>
        <w:tc>
          <w:tcPr>
            <w:tcW w:w="851" w:type="dxa"/>
            <w:vAlign w:val="center"/>
          </w:tcPr>
          <w:p w14:paraId="417E2675" w14:textId="77777777" w:rsidR="00B86FB3" w:rsidRPr="00FF756A" w:rsidRDefault="00B86FB3" w:rsidP="00B86FB3">
            <w:pPr>
              <w:spacing w:after="0" w:line="240" w:lineRule="auto"/>
              <w:jc w:val="left"/>
              <w:rPr>
                <w:sz w:val="20"/>
                <w:szCs w:val="20"/>
              </w:rPr>
            </w:pPr>
            <w:r w:rsidRPr="00FF756A">
              <w:rPr>
                <w:sz w:val="20"/>
                <w:szCs w:val="20"/>
              </w:rPr>
              <w:t>G-A1</w:t>
            </w:r>
          </w:p>
        </w:tc>
        <w:tc>
          <w:tcPr>
            <w:tcW w:w="2693" w:type="dxa"/>
            <w:vAlign w:val="center"/>
          </w:tcPr>
          <w:p w14:paraId="1F962029" w14:textId="77777777" w:rsidR="00B86FB3" w:rsidRPr="00FF756A" w:rsidRDefault="00B86FB3" w:rsidP="00B86FB3">
            <w:pPr>
              <w:spacing w:after="0" w:line="240" w:lineRule="auto"/>
              <w:jc w:val="left"/>
              <w:rPr>
                <w:sz w:val="20"/>
                <w:szCs w:val="20"/>
              </w:rPr>
            </w:pPr>
            <w:r w:rsidRPr="00FF756A">
              <w:rPr>
                <w:sz w:val="20"/>
                <w:szCs w:val="20"/>
              </w:rPr>
              <w:t>Promovimi i bujqësisë organike</w:t>
            </w:r>
          </w:p>
        </w:tc>
        <w:tc>
          <w:tcPr>
            <w:tcW w:w="3544" w:type="dxa"/>
            <w:vAlign w:val="center"/>
          </w:tcPr>
          <w:p w14:paraId="5D5C8D93" w14:textId="77777777" w:rsidR="00B86FB3" w:rsidRPr="00FF756A" w:rsidRDefault="00B86FB3" w:rsidP="00B86FB3">
            <w:pPr>
              <w:spacing w:after="0" w:line="240" w:lineRule="auto"/>
              <w:jc w:val="left"/>
              <w:rPr>
                <w:sz w:val="20"/>
                <w:szCs w:val="20"/>
              </w:rPr>
            </w:pPr>
            <w:r w:rsidRPr="00FF756A">
              <w:rPr>
                <w:sz w:val="20"/>
                <w:szCs w:val="20"/>
              </w:rPr>
              <w:t>Buxheti për masat agro-mjedisore, klimatike dhe ato të bujqësisë organike është 2,5 milionë euro pas vitit 2020. Vlera e përllogaritur për trajnimin dhe rritjen e ndërgjegjësimit është 150 mijë euro.</w:t>
            </w:r>
          </w:p>
        </w:tc>
        <w:tc>
          <w:tcPr>
            <w:tcW w:w="1133" w:type="dxa"/>
            <w:vAlign w:val="center"/>
          </w:tcPr>
          <w:p w14:paraId="42B02196"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3273D096" w14:textId="77777777" w:rsidTr="006A3266">
        <w:trPr>
          <w:trHeight w:val="20"/>
        </w:trPr>
        <w:tc>
          <w:tcPr>
            <w:tcW w:w="682" w:type="dxa"/>
            <w:vMerge/>
            <w:shd w:val="clear" w:color="auto" w:fill="E2EFD9" w:themeFill="accent6" w:themeFillTint="33"/>
            <w:textDirection w:val="btLr"/>
          </w:tcPr>
          <w:p w14:paraId="36AF76D7" w14:textId="77777777" w:rsidR="00B86FB3" w:rsidRPr="00FF756A" w:rsidRDefault="00B86FB3" w:rsidP="00B86FB3">
            <w:pPr>
              <w:ind w:left="113" w:right="113"/>
              <w:rPr>
                <w:b/>
                <w:bCs/>
                <w:sz w:val="20"/>
                <w:szCs w:val="20"/>
              </w:rPr>
            </w:pPr>
          </w:p>
        </w:tc>
        <w:tc>
          <w:tcPr>
            <w:tcW w:w="594" w:type="dxa"/>
            <w:vAlign w:val="center"/>
          </w:tcPr>
          <w:p w14:paraId="046EE2C3" w14:textId="77777777" w:rsidR="00B86FB3" w:rsidRPr="00FF756A" w:rsidRDefault="00B86FB3" w:rsidP="00B86FB3">
            <w:pPr>
              <w:spacing w:after="0" w:line="240" w:lineRule="auto"/>
              <w:jc w:val="center"/>
              <w:rPr>
                <w:sz w:val="18"/>
                <w:szCs w:val="18"/>
              </w:rPr>
            </w:pPr>
            <w:r w:rsidRPr="00FF756A">
              <w:rPr>
                <w:sz w:val="18"/>
                <w:szCs w:val="18"/>
              </w:rPr>
              <w:t>14</w:t>
            </w:r>
          </w:p>
        </w:tc>
        <w:tc>
          <w:tcPr>
            <w:tcW w:w="851" w:type="dxa"/>
            <w:vAlign w:val="center"/>
          </w:tcPr>
          <w:p w14:paraId="2CFDFF59" w14:textId="77777777" w:rsidR="00B86FB3" w:rsidRPr="00FF756A" w:rsidRDefault="00B86FB3" w:rsidP="00B86FB3">
            <w:pPr>
              <w:spacing w:after="0" w:line="240" w:lineRule="auto"/>
              <w:jc w:val="left"/>
              <w:rPr>
                <w:sz w:val="20"/>
                <w:szCs w:val="20"/>
              </w:rPr>
            </w:pPr>
            <w:r w:rsidRPr="00FF756A">
              <w:rPr>
                <w:sz w:val="20"/>
                <w:szCs w:val="20"/>
              </w:rPr>
              <w:t>G-A2</w:t>
            </w:r>
          </w:p>
        </w:tc>
        <w:tc>
          <w:tcPr>
            <w:tcW w:w="2693" w:type="dxa"/>
            <w:vAlign w:val="center"/>
          </w:tcPr>
          <w:p w14:paraId="2739CF20" w14:textId="77777777" w:rsidR="00B86FB3" w:rsidRPr="00FF756A" w:rsidRDefault="00B86FB3" w:rsidP="00B86FB3">
            <w:pPr>
              <w:spacing w:after="0" w:line="240" w:lineRule="auto"/>
              <w:jc w:val="left"/>
              <w:rPr>
                <w:sz w:val="20"/>
                <w:szCs w:val="20"/>
              </w:rPr>
            </w:pPr>
            <w:r w:rsidRPr="00FF756A">
              <w:rPr>
                <w:sz w:val="20"/>
                <w:szCs w:val="20"/>
              </w:rPr>
              <w:t>Përmirësimi i monitorimit bujqësor në Shqipëri</w:t>
            </w:r>
          </w:p>
        </w:tc>
        <w:tc>
          <w:tcPr>
            <w:tcW w:w="3544" w:type="dxa"/>
          </w:tcPr>
          <w:p w14:paraId="6FCBD7A3" w14:textId="77777777" w:rsidR="00B86FB3" w:rsidRPr="00FF756A" w:rsidRDefault="00B86FB3" w:rsidP="00B86FB3">
            <w:pPr>
              <w:spacing w:after="0" w:line="240" w:lineRule="auto"/>
              <w:jc w:val="left"/>
              <w:rPr>
                <w:sz w:val="20"/>
                <w:szCs w:val="20"/>
              </w:rPr>
            </w:pPr>
            <w:r w:rsidRPr="00FF756A">
              <w:rPr>
                <w:sz w:val="20"/>
                <w:szCs w:val="20"/>
              </w:rPr>
              <w:t>Nuk është identifikuar asnjë buxhet specifik</w:t>
            </w:r>
          </w:p>
        </w:tc>
        <w:tc>
          <w:tcPr>
            <w:tcW w:w="1133" w:type="dxa"/>
            <w:vAlign w:val="center"/>
          </w:tcPr>
          <w:p w14:paraId="7A1C8052"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16529BE7" w14:textId="77777777" w:rsidTr="006A3266">
        <w:trPr>
          <w:trHeight w:val="20"/>
        </w:trPr>
        <w:tc>
          <w:tcPr>
            <w:tcW w:w="682" w:type="dxa"/>
            <w:vMerge/>
            <w:shd w:val="clear" w:color="auto" w:fill="E2EFD9" w:themeFill="accent6" w:themeFillTint="33"/>
            <w:textDirection w:val="btLr"/>
          </w:tcPr>
          <w:p w14:paraId="2015DBA4" w14:textId="77777777" w:rsidR="00B86FB3" w:rsidRPr="00FF756A" w:rsidRDefault="00B86FB3" w:rsidP="00B86FB3">
            <w:pPr>
              <w:ind w:left="113" w:right="113"/>
              <w:rPr>
                <w:b/>
                <w:bCs/>
                <w:sz w:val="20"/>
                <w:szCs w:val="20"/>
              </w:rPr>
            </w:pPr>
          </w:p>
        </w:tc>
        <w:tc>
          <w:tcPr>
            <w:tcW w:w="594" w:type="dxa"/>
            <w:vAlign w:val="center"/>
          </w:tcPr>
          <w:p w14:paraId="0197F18F" w14:textId="77777777" w:rsidR="00B86FB3" w:rsidRPr="00FF756A" w:rsidRDefault="00B86FB3" w:rsidP="00B86FB3">
            <w:pPr>
              <w:spacing w:after="0" w:line="240" w:lineRule="auto"/>
              <w:jc w:val="center"/>
              <w:rPr>
                <w:sz w:val="18"/>
                <w:szCs w:val="18"/>
              </w:rPr>
            </w:pPr>
            <w:r w:rsidRPr="00FF756A">
              <w:rPr>
                <w:sz w:val="18"/>
                <w:szCs w:val="18"/>
              </w:rPr>
              <w:t>15</w:t>
            </w:r>
          </w:p>
        </w:tc>
        <w:tc>
          <w:tcPr>
            <w:tcW w:w="851" w:type="dxa"/>
            <w:vAlign w:val="center"/>
          </w:tcPr>
          <w:p w14:paraId="3D1A994C" w14:textId="77777777" w:rsidR="00B86FB3" w:rsidRPr="00FF756A" w:rsidRDefault="00B86FB3" w:rsidP="00B86FB3">
            <w:pPr>
              <w:spacing w:after="0" w:line="240" w:lineRule="auto"/>
              <w:jc w:val="left"/>
              <w:rPr>
                <w:sz w:val="20"/>
                <w:szCs w:val="20"/>
              </w:rPr>
            </w:pPr>
            <w:r w:rsidRPr="00FF756A">
              <w:rPr>
                <w:sz w:val="20"/>
                <w:szCs w:val="20"/>
              </w:rPr>
              <w:t>G-A3</w:t>
            </w:r>
          </w:p>
        </w:tc>
        <w:tc>
          <w:tcPr>
            <w:tcW w:w="2693" w:type="dxa"/>
            <w:vAlign w:val="center"/>
          </w:tcPr>
          <w:p w14:paraId="4077C1BE" w14:textId="77777777" w:rsidR="00B86FB3" w:rsidRPr="00FF756A" w:rsidRDefault="00B86FB3" w:rsidP="00B86FB3">
            <w:pPr>
              <w:spacing w:after="0" w:line="240" w:lineRule="auto"/>
              <w:jc w:val="left"/>
              <w:rPr>
                <w:sz w:val="20"/>
                <w:szCs w:val="20"/>
              </w:rPr>
            </w:pPr>
            <w:r w:rsidRPr="00FF756A">
              <w:rPr>
                <w:sz w:val="20"/>
                <w:szCs w:val="20"/>
              </w:rPr>
              <w:t>Rregullimi i praktikave të djegies në bujqësi</w:t>
            </w:r>
          </w:p>
        </w:tc>
        <w:tc>
          <w:tcPr>
            <w:tcW w:w="3544" w:type="dxa"/>
          </w:tcPr>
          <w:p w14:paraId="4D505FC1" w14:textId="77777777" w:rsidR="00B86FB3" w:rsidRPr="00FF756A" w:rsidRDefault="00B86FB3" w:rsidP="00B86FB3">
            <w:pPr>
              <w:spacing w:after="0" w:line="240" w:lineRule="auto"/>
              <w:jc w:val="left"/>
              <w:rPr>
                <w:sz w:val="20"/>
                <w:szCs w:val="20"/>
              </w:rPr>
            </w:pPr>
            <w:r w:rsidRPr="00FF756A">
              <w:rPr>
                <w:sz w:val="20"/>
                <w:szCs w:val="20"/>
              </w:rPr>
              <w:t>Nuk është identifikuar asnjë buxhet specifik</w:t>
            </w:r>
          </w:p>
        </w:tc>
        <w:tc>
          <w:tcPr>
            <w:tcW w:w="1133" w:type="dxa"/>
            <w:vAlign w:val="center"/>
          </w:tcPr>
          <w:p w14:paraId="1F763EC4"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7C79513D" w14:textId="77777777" w:rsidTr="006A3266">
        <w:trPr>
          <w:trHeight w:val="20"/>
        </w:trPr>
        <w:tc>
          <w:tcPr>
            <w:tcW w:w="682" w:type="dxa"/>
            <w:vMerge/>
            <w:shd w:val="clear" w:color="auto" w:fill="E2EFD9" w:themeFill="accent6" w:themeFillTint="33"/>
            <w:textDirection w:val="btLr"/>
          </w:tcPr>
          <w:p w14:paraId="7A33B752" w14:textId="77777777" w:rsidR="00B86FB3" w:rsidRPr="00FF756A" w:rsidRDefault="00B86FB3" w:rsidP="00B86FB3">
            <w:pPr>
              <w:ind w:left="113" w:right="113"/>
              <w:rPr>
                <w:b/>
                <w:bCs/>
                <w:sz w:val="20"/>
                <w:szCs w:val="20"/>
              </w:rPr>
            </w:pPr>
          </w:p>
        </w:tc>
        <w:tc>
          <w:tcPr>
            <w:tcW w:w="594" w:type="dxa"/>
            <w:vAlign w:val="center"/>
          </w:tcPr>
          <w:p w14:paraId="2D0CACCA" w14:textId="77777777" w:rsidR="00B86FB3" w:rsidRPr="00FF756A" w:rsidRDefault="00B86FB3" w:rsidP="00B86FB3">
            <w:pPr>
              <w:spacing w:after="0" w:line="240" w:lineRule="auto"/>
              <w:jc w:val="center"/>
              <w:rPr>
                <w:sz w:val="18"/>
                <w:szCs w:val="18"/>
              </w:rPr>
            </w:pPr>
            <w:r w:rsidRPr="00FF756A">
              <w:rPr>
                <w:sz w:val="18"/>
                <w:szCs w:val="18"/>
              </w:rPr>
              <w:t>16</w:t>
            </w:r>
          </w:p>
        </w:tc>
        <w:tc>
          <w:tcPr>
            <w:tcW w:w="851" w:type="dxa"/>
            <w:vAlign w:val="center"/>
          </w:tcPr>
          <w:p w14:paraId="5A4D9FB7" w14:textId="77777777" w:rsidR="00B86FB3" w:rsidRPr="00FF756A" w:rsidRDefault="00B86FB3" w:rsidP="00B86FB3">
            <w:pPr>
              <w:spacing w:after="0" w:line="240" w:lineRule="auto"/>
              <w:jc w:val="left"/>
              <w:rPr>
                <w:sz w:val="20"/>
                <w:szCs w:val="20"/>
              </w:rPr>
            </w:pPr>
            <w:r w:rsidRPr="00FF756A">
              <w:rPr>
                <w:sz w:val="20"/>
                <w:szCs w:val="20"/>
              </w:rPr>
              <w:t>G-W1</w:t>
            </w:r>
          </w:p>
        </w:tc>
        <w:tc>
          <w:tcPr>
            <w:tcW w:w="2693" w:type="dxa"/>
            <w:vAlign w:val="center"/>
          </w:tcPr>
          <w:p w14:paraId="6EF5239E" w14:textId="77777777" w:rsidR="00B86FB3" w:rsidRPr="00FF756A" w:rsidRDefault="00B86FB3" w:rsidP="00B86FB3">
            <w:pPr>
              <w:spacing w:after="0" w:line="240" w:lineRule="auto"/>
              <w:jc w:val="left"/>
              <w:rPr>
                <w:sz w:val="20"/>
                <w:szCs w:val="20"/>
              </w:rPr>
            </w:pPr>
            <w:r w:rsidRPr="00FF756A">
              <w:rPr>
                <w:sz w:val="20"/>
                <w:szCs w:val="20"/>
              </w:rPr>
              <w:t>Reduktimi i shkarkimeve nga mbetjet</w:t>
            </w:r>
          </w:p>
        </w:tc>
        <w:tc>
          <w:tcPr>
            <w:tcW w:w="3544" w:type="dxa"/>
            <w:vAlign w:val="center"/>
          </w:tcPr>
          <w:p w14:paraId="4D645311" w14:textId="77777777" w:rsidR="00B86FB3" w:rsidRPr="00FF756A" w:rsidRDefault="00B86FB3" w:rsidP="00B86FB3">
            <w:pPr>
              <w:spacing w:after="0" w:line="240" w:lineRule="auto"/>
              <w:jc w:val="left"/>
              <w:rPr>
                <w:sz w:val="20"/>
                <w:szCs w:val="20"/>
              </w:rPr>
            </w:pPr>
            <w:r w:rsidRPr="00FF756A">
              <w:rPr>
                <w:sz w:val="20"/>
                <w:szCs w:val="20"/>
              </w:rPr>
              <w:t>Vlera e parashikuar për rehabilitimin e vendgrumbullimit është rreth 76 milionë euro; vlera për grumbullimin e materialeve të riciklueshme të thata rreth 18,5 milionë euro dhe ajo për grumbullimin e mbetjeve organike dhe kompostimin rreth 13 milionë euro. (Të gjitha vlerat janë llogaritur për periudhën 2018-2032.)</w:t>
            </w:r>
          </w:p>
        </w:tc>
        <w:tc>
          <w:tcPr>
            <w:tcW w:w="1133" w:type="dxa"/>
            <w:vAlign w:val="center"/>
          </w:tcPr>
          <w:p w14:paraId="1CD397F5"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4475857A" w14:textId="77777777" w:rsidTr="006A3266">
        <w:trPr>
          <w:trHeight w:val="20"/>
        </w:trPr>
        <w:tc>
          <w:tcPr>
            <w:tcW w:w="682" w:type="dxa"/>
            <w:vMerge/>
            <w:shd w:val="clear" w:color="auto" w:fill="E2EFD9" w:themeFill="accent6" w:themeFillTint="33"/>
            <w:textDirection w:val="btLr"/>
          </w:tcPr>
          <w:p w14:paraId="552E9D0D" w14:textId="77777777" w:rsidR="00B86FB3" w:rsidRPr="00FF756A" w:rsidRDefault="00B86FB3" w:rsidP="00B86FB3">
            <w:pPr>
              <w:ind w:left="113" w:right="113"/>
              <w:rPr>
                <w:b/>
                <w:bCs/>
                <w:sz w:val="20"/>
                <w:szCs w:val="20"/>
              </w:rPr>
            </w:pPr>
          </w:p>
        </w:tc>
        <w:tc>
          <w:tcPr>
            <w:tcW w:w="594" w:type="dxa"/>
            <w:vAlign w:val="center"/>
          </w:tcPr>
          <w:p w14:paraId="784BDA5B" w14:textId="77777777" w:rsidR="00B86FB3" w:rsidRPr="00FF756A" w:rsidRDefault="00B86FB3" w:rsidP="00B86FB3">
            <w:pPr>
              <w:spacing w:after="0" w:line="240" w:lineRule="auto"/>
              <w:jc w:val="center"/>
              <w:rPr>
                <w:sz w:val="18"/>
                <w:szCs w:val="18"/>
              </w:rPr>
            </w:pPr>
            <w:r w:rsidRPr="00FF756A">
              <w:rPr>
                <w:sz w:val="18"/>
                <w:szCs w:val="18"/>
              </w:rPr>
              <w:t>17</w:t>
            </w:r>
          </w:p>
        </w:tc>
        <w:tc>
          <w:tcPr>
            <w:tcW w:w="851" w:type="dxa"/>
            <w:vAlign w:val="center"/>
          </w:tcPr>
          <w:p w14:paraId="1104BEB6" w14:textId="77777777" w:rsidR="00B86FB3" w:rsidRPr="00FF756A" w:rsidRDefault="00B86FB3" w:rsidP="00B86FB3">
            <w:pPr>
              <w:spacing w:after="0" w:line="240" w:lineRule="auto"/>
              <w:jc w:val="left"/>
              <w:rPr>
                <w:sz w:val="20"/>
                <w:szCs w:val="20"/>
              </w:rPr>
            </w:pPr>
            <w:r w:rsidRPr="00FF756A">
              <w:rPr>
                <w:sz w:val="20"/>
                <w:szCs w:val="20"/>
              </w:rPr>
              <w:t>G-W2</w:t>
            </w:r>
          </w:p>
        </w:tc>
        <w:tc>
          <w:tcPr>
            <w:tcW w:w="2693" w:type="dxa"/>
            <w:vAlign w:val="center"/>
          </w:tcPr>
          <w:p w14:paraId="7E150416" w14:textId="77777777" w:rsidR="00B86FB3" w:rsidRPr="00FF756A" w:rsidRDefault="00B86FB3" w:rsidP="00B86FB3">
            <w:pPr>
              <w:spacing w:after="0" w:line="240" w:lineRule="auto"/>
              <w:jc w:val="left"/>
              <w:rPr>
                <w:sz w:val="20"/>
                <w:szCs w:val="20"/>
              </w:rPr>
            </w:pPr>
            <w:r w:rsidRPr="00FF756A">
              <w:rPr>
                <w:sz w:val="20"/>
                <w:szCs w:val="20"/>
              </w:rPr>
              <w:t>Përdorimi i impianteve të incinerimit të mbetjeve për procesin e menaxhimit të integruar të mbetjeve në Shqipëri</w:t>
            </w:r>
          </w:p>
        </w:tc>
        <w:tc>
          <w:tcPr>
            <w:tcW w:w="3544" w:type="dxa"/>
          </w:tcPr>
          <w:p w14:paraId="074AB423" w14:textId="77777777" w:rsidR="00B86FB3" w:rsidRPr="00FF756A" w:rsidRDefault="00B86FB3" w:rsidP="00B86FB3">
            <w:pPr>
              <w:spacing w:after="0" w:line="240" w:lineRule="auto"/>
              <w:jc w:val="left"/>
              <w:rPr>
                <w:sz w:val="20"/>
                <w:szCs w:val="20"/>
              </w:rPr>
            </w:pPr>
            <w:r w:rsidRPr="00FF756A">
              <w:rPr>
                <w:sz w:val="20"/>
                <w:szCs w:val="20"/>
              </w:rPr>
              <w:t>Kosto e rritjes së ndërgjegjësimit dhe trajnimit është rreth 100kEur.</w:t>
            </w:r>
          </w:p>
        </w:tc>
        <w:tc>
          <w:tcPr>
            <w:tcW w:w="1133" w:type="dxa"/>
            <w:vAlign w:val="center"/>
          </w:tcPr>
          <w:p w14:paraId="57ED44CE"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4CE2F004" w14:textId="77777777" w:rsidTr="006A3266">
        <w:trPr>
          <w:trHeight w:val="20"/>
        </w:trPr>
        <w:tc>
          <w:tcPr>
            <w:tcW w:w="682" w:type="dxa"/>
            <w:vMerge/>
            <w:shd w:val="clear" w:color="auto" w:fill="E2EFD9" w:themeFill="accent6" w:themeFillTint="33"/>
            <w:textDirection w:val="btLr"/>
          </w:tcPr>
          <w:p w14:paraId="6B8E6FB6" w14:textId="77777777" w:rsidR="00B86FB3" w:rsidRPr="00FF756A" w:rsidRDefault="00B86FB3" w:rsidP="00B86FB3">
            <w:pPr>
              <w:ind w:left="113" w:right="113"/>
              <w:rPr>
                <w:b/>
                <w:bCs/>
                <w:sz w:val="20"/>
                <w:szCs w:val="20"/>
              </w:rPr>
            </w:pPr>
          </w:p>
        </w:tc>
        <w:tc>
          <w:tcPr>
            <w:tcW w:w="594" w:type="dxa"/>
            <w:vAlign w:val="center"/>
          </w:tcPr>
          <w:p w14:paraId="52608384" w14:textId="77777777" w:rsidR="00B86FB3" w:rsidRPr="00FF756A" w:rsidRDefault="00B86FB3" w:rsidP="00B86FB3">
            <w:pPr>
              <w:spacing w:after="0" w:line="240" w:lineRule="auto"/>
              <w:jc w:val="center"/>
              <w:rPr>
                <w:sz w:val="18"/>
                <w:szCs w:val="18"/>
              </w:rPr>
            </w:pPr>
            <w:r w:rsidRPr="00FF756A">
              <w:rPr>
                <w:sz w:val="18"/>
                <w:szCs w:val="18"/>
              </w:rPr>
              <w:t>18</w:t>
            </w:r>
          </w:p>
        </w:tc>
        <w:tc>
          <w:tcPr>
            <w:tcW w:w="851" w:type="dxa"/>
            <w:vAlign w:val="center"/>
          </w:tcPr>
          <w:p w14:paraId="5BA23618" w14:textId="77777777" w:rsidR="00B86FB3" w:rsidRPr="00FF756A" w:rsidRDefault="00B86FB3" w:rsidP="00B86FB3">
            <w:pPr>
              <w:spacing w:after="0" w:line="240" w:lineRule="auto"/>
              <w:jc w:val="left"/>
              <w:rPr>
                <w:sz w:val="20"/>
                <w:szCs w:val="20"/>
              </w:rPr>
            </w:pPr>
            <w:r w:rsidRPr="00FF756A">
              <w:rPr>
                <w:sz w:val="20"/>
                <w:szCs w:val="20"/>
              </w:rPr>
              <w:t>G-W3</w:t>
            </w:r>
          </w:p>
        </w:tc>
        <w:tc>
          <w:tcPr>
            <w:tcW w:w="2693" w:type="dxa"/>
            <w:vAlign w:val="center"/>
          </w:tcPr>
          <w:p w14:paraId="79021A12" w14:textId="77777777" w:rsidR="00B86FB3" w:rsidRPr="00FF756A" w:rsidRDefault="00B86FB3" w:rsidP="00B86FB3">
            <w:pPr>
              <w:spacing w:after="0" w:line="240" w:lineRule="auto"/>
              <w:jc w:val="left"/>
              <w:rPr>
                <w:sz w:val="20"/>
                <w:szCs w:val="20"/>
              </w:rPr>
            </w:pPr>
            <w:r w:rsidRPr="00FF756A">
              <w:rPr>
                <w:sz w:val="20"/>
                <w:szCs w:val="20"/>
              </w:rPr>
              <w:t>Shtimi i impianteve të trajtimit të ujërave të përdorura dhe mbulimit të tyre përkatës</w:t>
            </w:r>
          </w:p>
        </w:tc>
        <w:tc>
          <w:tcPr>
            <w:tcW w:w="3544" w:type="dxa"/>
            <w:vAlign w:val="center"/>
          </w:tcPr>
          <w:p w14:paraId="60AF1F32" w14:textId="77777777" w:rsidR="00B86FB3" w:rsidRPr="00FF756A" w:rsidRDefault="00B86FB3" w:rsidP="00B86FB3">
            <w:pPr>
              <w:spacing w:after="0" w:line="240" w:lineRule="auto"/>
              <w:jc w:val="left"/>
              <w:rPr>
                <w:sz w:val="20"/>
                <w:szCs w:val="20"/>
              </w:rPr>
            </w:pPr>
            <w:r w:rsidRPr="00FF756A">
              <w:rPr>
                <w:sz w:val="20"/>
                <w:szCs w:val="20"/>
              </w:rPr>
              <w:t>Strategjia Kombëtare e Sektorit të Furnizimit me Ujë dhe Kanalizimeve 2019-2030 (draft) ka një kosto prej rreth 1,5 miliardë euro, nga të cilat 99,2% i zë infrastruktura dhe 0,8% asistenca teknike.</w:t>
            </w:r>
          </w:p>
        </w:tc>
        <w:tc>
          <w:tcPr>
            <w:tcW w:w="1133" w:type="dxa"/>
            <w:vAlign w:val="center"/>
          </w:tcPr>
          <w:p w14:paraId="394CA857"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0CF1E012" w14:textId="77777777" w:rsidTr="006A3266">
        <w:trPr>
          <w:trHeight w:val="20"/>
        </w:trPr>
        <w:tc>
          <w:tcPr>
            <w:tcW w:w="682" w:type="dxa"/>
            <w:vMerge/>
            <w:shd w:val="clear" w:color="auto" w:fill="E2EFD9" w:themeFill="accent6" w:themeFillTint="33"/>
            <w:textDirection w:val="btLr"/>
          </w:tcPr>
          <w:p w14:paraId="391E9E33" w14:textId="77777777" w:rsidR="00B86FB3" w:rsidRPr="00FF756A" w:rsidRDefault="00B86FB3" w:rsidP="00B86FB3">
            <w:pPr>
              <w:ind w:left="113" w:right="113"/>
              <w:rPr>
                <w:b/>
                <w:bCs/>
                <w:sz w:val="20"/>
                <w:szCs w:val="20"/>
              </w:rPr>
            </w:pPr>
          </w:p>
        </w:tc>
        <w:tc>
          <w:tcPr>
            <w:tcW w:w="594" w:type="dxa"/>
            <w:vAlign w:val="center"/>
          </w:tcPr>
          <w:p w14:paraId="66A7CEB6" w14:textId="77777777" w:rsidR="00B86FB3" w:rsidRPr="00FF756A" w:rsidRDefault="00B86FB3" w:rsidP="00B86FB3">
            <w:pPr>
              <w:spacing w:after="0" w:line="240" w:lineRule="auto"/>
              <w:jc w:val="center"/>
              <w:rPr>
                <w:sz w:val="18"/>
                <w:szCs w:val="18"/>
              </w:rPr>
            </w:pPr>
            <w:r w:rsidRPr="00FF756A">
              <w:rPr>
                <w:sz w:val="18"/>
                <w:szCs w:val="18"/>
              </w:rPr>
              <w:t>19</w:t>
            </w:r>
          </w:p>
        </w:tc>
        <w:tc>
          <w:tcPr>
            <w:tcW w:w="851" w:type="dxa"/>
            <w:vAlign w:val="center"/>
          </w:tcPr>
          <w:p w14:paraId="4EB20132" w14:textId="77777777" w:rsidR="00B86FB3" w:rsidRPr="00FF756A" w:rsidRDefault="00B86FB3" w:rsidP="00B86FB3">
            <w:pPr>
              <w:spacing w:after="0" w:line="240" w:lineRule="auto"/>
              <w:jc w:val="left"/>
              <w:rPr>
                <w:sz w:val="20"/>
                <w:szCs w:val="20"/>
              </w:rPr>
            </w:pPr>
            <w:r w:rsidRPr="00FF756A">
              <w:rPr>
                <w:sz w:val="20"/>
                <w:szCs w:val="20"/>
              </w:rPr>
              <w:t>G-W4</w:t>
            </w:r>
          </w:p>
        </w:tc>
        <w:tc>
          <w:tcPr>
            <w:tcW w:w="2693" w:type="dxa"/>
            <w:vAlign w:val="center"/>
          </w:tcPr>
          <w:p w14:paraId="1DE4B647" w14:textId="77777777" w:rsidR="00B86FB3" w:rsidRPr="00FF756A" w:rsidRDefault="00B86FB3" w:rsidP="00B86FB3">
            <w:pPr>
              <w:spacing w:after="0" w:line="240" w:lineRule="auto"/>
              <w:jc w:val="left"/>
              <w:rPr>
                <w:sz w:val="20"/>
                <w:szCs w:val="20"/>
              </w:rPr>
            </w:pPr>
            <w:r w:rsidRPr="00FF756A">
              <w:rPr>
                <w:sz w:val="20"/>
                <w:szCs w:val="20"/>
              </w:rPr>
              <w:t>Ngritja e kapaciteteve dhe zhvillimi organizativ për bashkitë lidhur me trajtimin e mbetjeve dhe ujërave të përdorura</w:t>
            </w:r>
          </w:p>
        </w:tc>
        <w:tc>
          <w:tcPr>
            <w:tcW w:w="3544" w:type="dxa"/>
          </w:tcPr>
          <w:p w14:paraId="6A3196D6" w14:textId="77777777" w:rsidR="00B86FB3" w:rsidRPr="00FF756A" w:rsidRDefault="00B86FB3" w:rsidP="00B86FB3">
            <w:pPr>
              <w:spacing w:after="0" w:line="240" w:lineRule="auto"/>
              <w:jc w:val="left"/>
              <w:rPr>
                <w:sz w:val="20"/>
                <w:szCs w:val="20"/>
              </w:rPr>
            </w:pPr>
            <w:r w:rsidRPr="00FF756A">
              <w:rPr>
                <w:sz w:val="20"/>
                <w:szCs w:val="20"/>
              </w:rPr>
              <w:t>Përllogaritur në 150 mijë euro</w:t>
            </w:r>
          </w:p>
        </w:tc>
        <w:tc>
          <w:tcPr>
            <w:tcW w:w="1133" w:type="dxa"/>
            <w:vAlign w:val="center"/>
          </w:tcPr>
          <w:p w14:paraId="0B746FCE"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6F88CE3D" w14:textId="77777777" w:rsidTr="006A3266">
        <w:trPr>
          <w:trHeight w:val="20"/>
        </w:trPr>
        <w:tc>
          <w:tcPr>
            <w:tcW w:w="682" w:type="dxa"/>
            <w:vMerge/>
            <w:shd w:val="clear" w:color="auto" w:fill="E2EFD9" w:themeFill="accent6" w:themeFillTint="33"/>
            <w:textDirection w:val="btLr"/>
          </w:tcPr>
          <w:p w14:paraId="362DC8CA" w14:textId="77777777" w:rsidR="00B86FB3" w:rsidRPr="00FF756A" w:rsidRDefault="00B86FB3" w:rsidP="00B86FB3">
            <w:pPr>
              <w:ind w:left="113" w:right="113"/>
              <w:rPr>
                <w:b/>
                <w:bCs/>
                <w:sz w:val="20"/>
                <w:szCs w:val="20"/>
              </w:rPr>
            </w:pPr>
          </w:p>
        </w:tc>
        <w:tc>
          <w:tcPr>
            <w:tcW w:w="594" w:type="dxa"/>
            <w:vAlign w:val="center"/>
          </w:tcPr>
          <w:p w14:paraId="157CB458" w14:textId="77777777" w:rsidR="00B86FB3" w:rsidRPr="00FF756A" w:rsidRDefault="00B86FB3" w:rsidP="00B86FB3">
            <w:pPr>
              <w:spacing w:after="0" w:line="240" w:lineRule="auto"/>
              <w:jc w:val="center"/>
              <w:rPr>
                <w:sz w:val="18"/>
                <w:szCs w:val="18"/>
              </w:rPr>
            </w:pPr>
            <w:r w:rsidRPr="00FF756A">
              <w:rPr>
                <w:sz w:val="18"/>
                <w:szCs w:val="18"/>
              </w:rPr>
              <w:t>20</w:t>
            </w:r>
          </w:p>
        </w:tc>
        <w:tc>
          <w:tcPr>
            <w:tcW w:w="851" w:type="dxa"/>
            <w:vAlign w:val="center"/>
          </w:tcPr>
          <w:p w14:paraId="6C1F47F7" w14:textId="77777777" w:rsidR="00B86FB3" w:rsidRPr="00FF756A" w:rsidRDefault="00B86FB3" w:rsidP="00B86FB3">
            <w:pPr>
              <w:spacing w:after="0" w:line="240" w:lineRule="auto"/>
              <w:jc w:val="left"/>
              <w:rPr>
                <w:sz w:val="20"/>
                <w:szCs w:val="20"/>
              </w:rPr>
            </w:pPr>
            <w:r w:rsidRPr="00FF756A">
              <w:rPr>
                <w:sz w:val="20"/>
                <w:szCs w:val="20"/>
              </w:rPr>
              <w:t>G-LF1</w:t>
            </w:r>
          </w:p>
        </w:tc>
        <w:tc>
          <w:tcPr>
            <w:tcW w:w="2693" w:type="dxa"/>
            <w:vAlign w:val="center"/>
          </w:tcPr>
          <w:p w14:paraId="0718D12F" w14:textId="77777777" w:rsidR="00B86FB3" w:rsidRPr="00FF756A" w:rsidRDefault="00B86FB3" w:rsidP="00B86FB3">
            <w:pPr>
              <w:spacing w:after="0" w:line="240" w:lineRule="auto"/>
              <w:jc w:val="left"/>
              <w:rPr>
                <w:sz w:val="20"/>
                <w:szCs w:val="20"/>
              </w:rPr>
            </w:pPr>
            <w:r w:rsidRPr="00FF756A">
              <w:rPr>
                <w:sz w:val="20"/>
                <w:szCs w:val="20"/>
              </w:rPr>
              <w:t>Rritja e kapacitetit natyror të përthithjes së karbonit të pyjeve dhe kullotave</w:t>
            </w:r>
          </w:p>
        </w:tc>
        <w:tc>
          <w:tcPr>
            <w:tcW w:w="3544" w:type="dxa"/>
            <w:vMerge w:val="restart"/>
          </w:tcPr>
          <w:p w14:paraId="5E1DB4B1" w14:textId="77777777" w:rsidR="00B86FB3" w:rsidRPr="00FF756A" w:rsidRDefault="00B86FB3" w:rsidP="00B86FB3">
            <w:pPr>
              <w:spacing w:after="0" w:line="240" w:lineRule="auto"/>
              <w:jc w:val="left"/>
              <w:rPr>
                <w:sz w:val="20"/>
                <w:szCs w:val="20"/>
              </w:rPr>
            </w:pPr>
            <w:r w:rsidRPr="00FF756A">
              <w:rPr>
                <w:sz w:val="20"/>
                <w:szCs w:val="20"/>
              </w:rPr>
              <w:t>Fonde shtetërore në vlerën 6,5 milionë euro (në vit, për sektorin e pyjeve, megjithëse nuk specifikohet nga masat)</w:t>
            </w:r>
          </w:p>
        </w:tc>
        <w:tc>
          <w:tcPr>
            <w:tcW w:w="1133" w:type="dxa"/>
            <w:vAlign w:val="center"/>
          </w:tcPr>
          <w:p w14:paraId="34A9C21E"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5FC4AFA6" w14:textId="77777777" w:rsidTr="006A3266">
        <w:trPr>
          <w:trHeight w:val="20"/>
        </w:trPr>
        <w:tc>
          <w:tcPr>
            <w:tcW w:w="682" w:type="dxa"/>
            <w:vMerge/>
            <w:shd w:val="clear" w:color="auto" w:fill="E2EFD9" w:themeFill="accent6" w:themeFillTint="33"/>
            <w:textDirection w:val="btLr"/>
          </w:tcPr>
          <w:p w14:paraId="6E5CF617" w14:textId="77777777" w:rsidR="00B86FB3" w:rsidRPr="00FF756A" w:rsidRDefault="00B86FB3" w:rsidP="00B86FB3">
            <w:pPr>
              <w:ind w:left="113" w:right="113"/>
              <w:rPr>
                <w:b/>
                <w:bCs/>
                <w:sz w:val="20"/>
                <w:szCs w:val="20"/>
              </w:rPr>
            </w:pPr>
          </w:p>
        </w:tc>
        <w:tc>
          <w:tcPr>
            <w:tcW w:w="594" w:type="dxa"/>
            <w:vAlign w:val="center"/>
          </w:tcPr>
          <w:p w14:paraId="7F59BAFA" w14:textId="77777777" w:rsidR="00B86FB3" w:rsidRPr="00FF756A" w:rsidRDefault="00B86FB3" w:rsidP="00B86FB3">
            <w:pPr>
              <w:spacing w:after="0" w:line="240" w:lineRule="auto"/>
              <w:jc w:val="center"/>
              <w:rPr>
                <w:sz w:val="18"/>
                <w:szCs w:val="18"/>
              </w:rPr>
            </w:pPr>
            <w:r w:rsidRPr="00FF756A">
              <w:rPr>
                <w:sz w:val="18"/>
                <w:szCs w:val="18"/>
              </w:rPr>
              <w:t>21</w:t>
            </w:r>
          </w:p>
        </w:tc>
        <w:tc>
          <w:tcPr>
            <w:tcW w:w="851" w:type="dxa"/>
            <w:vAlign w:val="center"/>
          </w:tcPr>
          <w:p w14:paraId="3066F4F1" w14:textId="77777777" w:rsidR="00B86FB3" w:rsidRPr="00FF756A" w:rsidRDefault="00B86FB3" w:rsidP="00B86FB3">
            <w:pPr>
              <w:spacing w:after="0" w:line="240" w:lineRule="auto"/>
              <w:jc w:val="left"/>
              <w:rPr>
                <w:sz w:val="20"/>
                <w:szCs w:val="20"/>
              </w:rPr>
            </w:pPr>
            <w:r w:rsidRPr="00FF756A">
              <w:rPr>
                <w:sz w:val="20"/>
                <w:szCs w:val="20"/>
              </w:rPr>
              <w:t>G-LF2</w:t>
            </w:r>
          </w:p>
        </w:tc>
        <w:tc>
          <w:tcPr>
            <w:tcW w:w="2693" w:type="dxa"/>
            <w:vAlign w:val="center"/>
          </w:tcPr>
          <w:p w14:paraId="78CF9F95" w14:textId="77777777" w:rsidR="00B86FB3" w:rsidRPr="00FF756A" w:rsidRDefault="00B86FB3" w:rsidP="00B86FB3">
            <w:pPr>
              <w:spacing w:after="0" w:line="240" w:lineRule="auto"/>
              <w:jc w:val="left"/>
              <w:rPr>
                <w:sz w:val="20"/>
                <w:szCs w:val="20"/>
              </w:rPr>
            </w:pPr>
            <w:r w:rsidRPr="00FF756A">
              <w:rPr>
                <w:sz w:val="20"/>
                <w:szCs w:val="20"/>
              </w:rPr>
              <w:t>Menaxhimi ekologjik i pyjeve</w:t>
            </w:r>
          </w:p>
        </w:tc>
        <w:tc>
          <w:tcPr>
            <w:tcW w:w="3544" w:type="dxa"/>
            <w:vMerge/>
            <w:vAlign w:val="center"/>
          </w:tcPr>
          <w:p w14:paraId="502A15C2" w14:textId="77777777" w:rsidR="00B86FB3" w:rsidRPr="00FF756A" w:rsidRDefault="00B86FB3" w:rsidP="00B86FB3">
            <w:pPr>
              <w:spacing w:after="0" w:line="240" w:lineRule="auto"/>
              <w:jc w:val="left"/>
              <w:rPr>
                <w:sz w:val="20"/>
                <w:szCs w:val="20"/>
              </w:rPr>
            </w:pPr>
          </w:p>
        </w:tc>
        <w:tc>
          <w:tcPr>
            <w:tcW w:w="1133" w:type="dxa"/>
            <w:vAlign w:val="center"/>
          </w:tcPr>
          <w:p w14:paraId="79918C6A"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76253171" w14:textId="77777777" w:rsidTr="006A3266">
        <w:trPr>
          <w:trHeight w:val="20"/>
        </w:trPr>
        <w:tc>
          <w:tcPr>
            <w:tcW w:w="682" w:type="dxa"/>
            <w:vMerge w:val="restart"/>
            <w:shd w:val="clear" w:color="auto" w:fill="D9E2F3" w:themeFill="accent1" w:themeFillTint="33"/>
            <w:textDirection w:val="btLr"/>
          </w:tcPr>
          <w:p w14:paraId="179357F0" w14:textId="77777777" w:rsidR="00B86FB3" w:rsidRPr="00FF756A" w:rsidRDefault="00B86FB3" w:rsidP="00B86FB3">
            <w:pPr>
              <w:ind w:left="113" w:right="113"/>
              <w:jc w:val="center"/>
              <w:rPr>
                <w:b/>
                <w:bCs/>
                <w:sz w:val="20"/>
                <w:szCs w:val="20"/>
              </w:rPr>
            </w:pPr>
            <w:r w:rsidRPr="00FF756A">
              <w:rPr>
                <w:b/>
                <w:bCs/>
                <w:sz w:val="18"/>
                <w:szCs w:val="18"/>
              </w:rPr>
              <w:t>Energjitë e rinovueshme</w:t>
            </w:r>
          </w:p>
        </w:tc>
        <w:tc>
          <w:tcPr>
            <w:tcW w:w="594" w:type="dxa"/>
            <w:shd w:val="clear" w:color="auto" w:fill="FFFFFF" w:themeFill="background1"/>
            <w:vAlign w:val="center"/>
          </w:tcPr>
          <w:p w14:paraId="0AA1437E" w14:textId="77777777" w:rsidR="00B86FB3" w:rsidRPr="00FF756A" w:rsidRDefault="00B86FB3" w:rsidP="00B86FB3">
            <w:pPr>
              <w:spacing w:after="0" w:line="240" w:lineRule="auto"/>
              <w:jc w:val="center"/>
              <w:rPr>
                <w:sz w:val="18"/>
                <w:szCs w:val="18"/>
              </w:rPr>
            </w:pPr>
            <w:r w:rsidRPr="00FF756A">
              <w:rPr>
                <w:sz w:val="18"/>
                <w:szCs w:val="18"/>
              </w:rPr>
              <w:t>22</w:t>
            </w:r>
          </w:p>
        </w:tc>
        <w:tc>
          <w:tcPr>
            <w:tcW w:w="851" w:type="dxa"/>
            <w:vAlign w:val="center"/>
          </w:tcPr>
          <w:p w14:paraId="67A7002E" w14:textId="77777777" w:rsidR="00B86FB3" w:rsidRPr="00FF756A" w:rsidRDefault="00B86FB3" w:rsidP="00B86FB3">
            <w:pPr>
              <w:spacing w:after="0" w:line="240" w:lineRule="auto"/>
              <w:jc w:val="left"/>
              <w:rPr>
                <w:sz w:val="20"/>
                <w:szCs w:val="20"/>
              </w:rPr>
            </w:pPr>
            <w:r w:rsidRPr="00FF756A">
              <w:rPr>
                <w:sz w:val="20"/>
                <w:szCs w:val="20"/>
              </w:rPr>
              <w:t>R-E1</w:t>
            </w:r>
          </w:p>
        </w:tc>
        <w:tc>
          <w:tcPr>
            <w:tcW w:w="2693" w:type="dxa"/>
            <w:vAlign w:val="center"/>
          </w:tcPr>
          <w:p w14:paraId="0CBEC286" w14:textId="77777777" w:rsidR="00B86FB3" w:rsidRPr="00FF756A" w:rsidRDefault="00B86FB3" w:rsidP="00B86FB3">
            <w:pPr>
              <w:spacing w:after="0" w:line="240" w:lineRule="auto"/>
              <w:jc w:val="left"/>
              <w:rPr>
                <w:sz w:val="20"/>
                <w:szCs w:val="20"/>
              </w:rPr>
            </w:pPr>
            <w:r w:rsidRPr="00FF756A">
              <w:rPr>
                <w:sz w:val="20"/>
                <w:szCs w:val="20"/>
              </w:rPr>
              <w:t xml:space="preserve">Mekanizmi i tarifës “feed-in” për kapacitetet e vogla të rinovueshme </w:t>
            </w:r>
          </w:p>
        </w:tc>
        <w:tc>
          <w:tcPr>
            <w:tcW w:w="3544" w:type="dxa"/>
            <w:vMerge w:val="restart"/>
            <w:vAlign w:val="center"/>
          </w:tcPr>
          <w:p w14:paraId="0D39520B" w14:textId="77777777" w:rsidR="00B86FB3" w:rsidRPr="00FF756A" w:rsidRDefault="00B86FB3" w:rsidP="00B86FB3">
            <w:pPr>
              <w:spacing w:after="120" w:line="240" w:lineRule="auto"/>
              <w:rPr>
                <w:sz w:val="20"/>
                <w:szCs w:val="20"/>
              </w:rPr>
            </w:pPr>
            <w:r w:rsidRPr="00FF756A">
              <w:rPr>
                <w:sz w:val="20"/>
                <w:szCs w:val="20"/>
              </w:rPr>
              <w:t xml:space="preserve">Nuk është parashikuar financim nga buxheti i shtetit, pasi kostoja e skemës do të mbulohej nga tarifat e energjisë elektrike. </w:t>
            </w:r>
          </w:p>
          <w:p w14:paraId="6B0D2EC9" w14:textId="77777777" w:rsidR="00B86FB3" w:rsidRPr="00FF756A" w:rsidRDefault="00B86FB3" w:rsidP="00B86FB3">
            <w:pPr>
              <w:spacing w:after="0" w:line="240" w:lineRule="auto"/>
              <w:jc w:val="left"/>
              <w:rPr>
                <w:sz w:val="20"/>
                <w:szCs w:val="20"/>
              </w:rPr>
            </w:pPr>
            <w:r w:rsidRPr="00FF756A">
              <w:rPr>
                <w:sz w:val="20"/>
                <w:szCs w:val="20"/>
              </w:rPr>
              <w:t>Megjithatë, ka një ndikim në buxhetin e blerësit, i cili është në pronësi të shtetit.</w:t>
            </w:r>
          </w:p>
        </w:tc>
        <w:tc>
          <w:tcPr>
            <w:tcW w:w="1133" w:type="dxa"/>
            <w:vAlign w:val="center"/>
          </w:tcPr>
          <w:p w14:paraId="73C8B719" w14:textId="77777777" w:rsidR="00B86FB3" w:rsidRPr="00FF756A" w:rsidRDefault="00B86FB3" w:rsidP="00B86FB3">
            <w:pPr>
              <w:spacing w:after="0" w:line="240" w:lineRule="auto"/>
              <w:jc w:val="left"/>
              <w:rPr>
                <w:sz w:val="20"/>
                <w:szCs w:val="20"/>
              </w:rPr>
            </w:pPr>
            <w:r w:rsidRPr="00FF756A">
              <w:rPr>
                <w:sz w:val="20"/>
                <w:szCs w:val="20"/>
              </w:rPr>
              <w:t>WEM dhe WAM</w:t>
            </w:r>
          </w:p>
        </w:tc>
      </w:tr>
      <w:tr w:rsidR="00B86FB3" w:rsidRPr="00FF756A" w14:paraId="07BBCA88" w14:textId="77777777" w:rsidTr="006A3266">
        <w:trPr>
          <w:trHeight w:val="20"/>
        </w:trPr>
        <w:tc>
          <w:tcPr>
            <w:tcW w:w="682" w:type="dxa"/>
            <w:vMerge/>
            <w:shd w:val="clear" w:color="auto" w:fill="D9E2F3" w:themeFill="accent1" w:themeFillTint="33"/>
            <w:textDirection w:val="btLr"/>
          </w:tcPr>
          <w:p w14:paraId="0BE6A388" w14:textId="77777777" w:rsidR="00B86FB3" w:rsidRPr="00FF756A" w:rsidRDefault="00B86FB3" w:rsidP="00B86FB3">
            <w:pPr>
              <w:ind w:left="113" w:right="113"/>
              <w:rPr>
                <w:b/>
                <w:bCs/>
                <w:sz w:val="20"/>
                <w:szCs w:val="20"/>
              </w:rPr>
            </w:pPr>
          </w:p>
        </w:tc>
        <w:tc>
          <w:tcPr>
            <w:tcW w:w="594" w:type="dxa"/>
            <w:vAlign w:val="center"/>
          </w:tcPr>
          <w:p w14:paraId="2A1C460A" w14:textId="77777777" w:rsidR="00B86FB3" w:rsidRPr="00FF756A" w:rsidRDefault="00B86FB3" w:rsidP="00B86FB3">
            <w:pPr>
              <w:spacing w:after="0" w:line="240" w:lineRule="auto"/>
              <w:jc w:val="center"/>
              <w:rPr>
                <w:sz w:val="18"/>
                <w:szCs w:val="18"/>
              </w:rPr>
            </w:pPr>
            <w:r w:rsidRPr="00FF756A">
              <w:rPr>
                <w:sz w:val="18"/>
                <w:szCs w:val="18"/>
              </w:rPr>
              <w:t>23</w:t>
            </w:r>
          </w:p>
        </w:tc>
        <w:tc>
          <w:tcPr>
            <w:tcW w:w="851" w:type="dxa"/>
            <w:vAlign w:val="center"/>
          </w:tcPr>
          <w:p w14:paraId="19B7B8DD" w14:textId="77777777" w:rsidR="00B86FB3" w:rsidRPr="00FF756A" w:rsidRDefault="00B86FB3" w:rsidP="00B86FB3">
            <w:pPr>
              <w:spacing w:after="0" w:line="240" w:lineRule="auto"/>
              <w:jc w:val="left"/>
              <w:rPr>
                <w:sz w:val="20"/>
                <w:szCs w:val="20"/>
              </w:rPr>
            </w:pPr>
            <w:r w:rsidRPr="00FF756A">
              <w:rPr>
                <w:sz w:val="20"/>
                <w:szCs w:val="20"/>
              </w:rPr>
              <w:t>R-E2</w:t>
            </w:r>
          </w:p>
        </w:tc>
        <w:tc>
          <w:tcPr>
            <w:tcW w:w="2693" w:type="dxa"/>
            <w:vAlign w:val="center"/>
          </w:tcPr>
          <w:p w14:paraId="383BB7D9" w14:textId="77777777" w:rsidR="00B86FB3" w:rsidRPr="00FF756A" w:rsidRDefault="00B86FB3" w:rsidP="00B86FB3">
            <w:pPr>
              <w:spacing w:after="0" w:line="240" w:lineRule="auto"/>
              <w:jc w:val="left"/>
              <w:rPr>
                <w:sz w:val="20"/>
                <w:szCs w:val="20"/>
              </w:rPr>
            </w:pPr>
            <w:r w:rsidRPr="00FF756A">
              <w:rPr>
                <w:sz w:val="20"/>
                <w:szCs w:val="20"/>
              </w:rPr>
              <w:t>Ankandet për kapacitetet e reja të energjisë së rinovueshme (eolike dhe diellore) dhe magazinimin; Miratimi i planit 3-vjeçar të ankandit</w:t>
            </w:r>
          </w:p>
        </w:tc>
        <w:tc>
          <w:tcPr>
            <w:tcW w:w="3544" w:type="dxa"/>
            <w:vMerge/>
            <w:vAlign w:val="center"/>
          </w:tcPr>
          <w:p w14:paraId="6608D732" w14:textId="77777777" w:rsidR="00B86FB3" w:rsidRPr="00FF756A" w:rsidRDefault="00B86FB3" w:rsidP="00B86FB3">
            <w:pPr>
              <w:spacing w:after="0" w:line="240" w:lineRule="auto"/>
              <w:jc w:val="left"/>
              <w:rPr>
                <w:sz w:val="20"/>
                <w:szCs w:val="20"/>
              </w:rPr>
            </w:pPr>
          </w:p>
        </w:tc>
        <w:tc>
          <w:tcPr>
            <w:tcW w:w="1133" w:type="dxa"/>
            <w:vAlign w:val="center"/>
          </w:tcPr>
          <w:p w14:paraId="7C34916C" w14:textId="77777777" w:rsidR="00B86FB3" w:rsidRPr="00FF756A" w:rsidRDefault="00B86FB3" w:rsidP="00B86FB3">
            <w:pPr>
              <w:spacing w:after="0" w:line="240" w:lineRule="auto"/>
              <w:jc w:val="left"/>
              <w:rPr>
                <w:sz w:val="20"/>
                <w:szCs w:val="20"/>
              </w:rPr>
            </w:pPr>
            <w:r w:rsidRPr="00FF756A">
              <w:rPr>
                <w:sz w:val="20"/>
                <w:szCs w:val="20"/>
              </w:rPr>
              <w:t>WEM dhe WAM</w:t>
            </w:r>
          </w:p>
        </w:tc>
      </w:tr>
      <w:tr w:rsidR="00B86FB3" w:rsidRPr="00FF756A" w14:paraId="09BD61FA" w14:textId="77777777" w:rsidTr="006A3266">
        <w:trPr>
          <w:trHeight w:val="20"/>
        </w:trPr>
        <w:tc>
          <w:tcPr>
            <w:tcW w:w="682" w:type="dxa"/>
            <w:vMerge/>
            <w:shd w:val="clear" w:color="auto" w:fill="D9E2F3" w:themeFill="accent1" w:themeFillTint="33"/>
            <w:textDirection w:val="btLr"/>
          </w:tcPr>
          <w:p w14:paraId="4A558545" w14:textId="77777777" w:rsidR="00B86FB3" w:rsidRPr="00FF756A" w:rsidRDefault="00B86FB3" w:rsidP="00B86FB3">
            <w:pPr>
              <w:ind w:left="113" w:right="113"/>
              <w:rPr>
                <w:b/>
                <w:bCs/>
                <w:sz w:val="20"/>
                <w:szCs w:val="20"/>
              </w:rPr>
            </w:pPr>
          </w:p>
        </w:tc>
        <w:tc>
          <w:tcPr>
            <w:tcW w:w="594" w:type="dxa"/>
            <w:vAlign w:val="center"/>
          </w:tcPr>
          <w:p w14:paraId="4DE674F1" w14:textId="77777777" w:rsidR="00B86FB3" w:rsidRPr="00FF756A" w:rsidRDefault="00B86FB3" w:rsidP="00B86FB3">
            <w:pPr>
              <w:spacing w:after="0" w:line="240" w:lineRule="auto"/>
              <w:jc w:val="center"/>
              <w:rPr>
                <w:sz w:val="18"/>
                <w:szCs w:val="18"/>
              </w:rPr>
            </w:pPr>
            <w:r w:rsidRPr="00FF756A">
              <w:rPr>
                <w:sz w:val="18"/>
                <w:szCs w:val="18"/>
              </w:rPr>
              <w:t>24</w:t>
            </w:r>
          </w:p>
        </w:tc>
        <w:tc>
          <w:tcPr>
            <w:tcW w:w="851" w:type="dxa"/>
            <w:vAlign w:val="center"/>
          </w:tcPr>
          <w:p w14:paraId="1D212954" w14:textId="77777777" w:rsidR="00B86FB3" w:rsidRPr="00FF756A" w:rsidRDefault="00B86FB3" w:rsidP="00B86FB3">
            <w:pPr>
              <w:spacing w:after="0" w:line="240" w:lineRule="auto"/>
              <w:jc w:val="left"/>
              <w:rPr>
                <w:sz w:val="20"/>
                <w:szCs w:val="20"/>
              </w:rPr>
            </w:pPr>
            <w:r w:rsidRPr="00FF756A">
              <w:rPr>
                <w:sz w:val="20"/>
                <w:szCs w:val="20"/>
              </w:rPr>
              <w:t>R-E3</w:t>
            </w:r>
          </w:p>
        </w:tc>
        <w:tc>
          <w:tcPr>
            <w:tcW w:w="2693" w:type="dxa"/>
            <w:vAlign w:val="center"/>
          </w:tcPr>
          <w:p w14:paraId="1C3B44F3" w14:textId="77777777" w:rsidR="00B86FB3" w:rsidRPr="00FF756A" w:rsidRDefault="00B86FB3" w:rsidP="00B86FB3">
            <w:pPr>
              <w:spacing w:after="0" w:line="240" w:lineRule="auto"/>
              <w:jc w:val="left"/>
              <w:rPr>
                <w:sz w:val="20"/>
                <w:szCs w:val="20"/>
              </w:rPr>
            </w:pPr>
            <w:r w:rsidRPr="00FF756A">
              <w:rPr>
                <w:sz w:val="20"/>
                <w:szCs w:val="20"/>
              </w:rPr>
              <w:t>Planifikimi hapësinor për energjinë për rritjen e përqindjes së energjisë së rinovueshme dhe përmirësimin e efiçencës së energjisë</w:t>
            </w:r>
          </w:p>
        </w:tc>
        <w:tc>
          <w:tcPr>
            <w:tcW w:w="3544" w:type="dxa"/>
            <w:vAlign w:val="center"/>
          </w:tcPr>
          <w:p w14:paraId="28D0D20E" w14:textId="77777777" w:rsidR="00B86FB3" w:rsidRPr="00FF756A" w:rsidRDefault="00B86FB3" w:rsidP="00B86FB3">
            <w:pPr>
              <w:spacing w:after="120" w:line="240" w:lineRule="auto"/>
              <w:rPr>
                <w:sz w:val="20"/>
                <w:szCs w:val="20"/>
              </w:rPr>
            </w:pPr>
            <w:r w:rsidRPr="00FF756A">
              <w:rPr>
                <w:sz w:val="20"/>
                <w:szCs w:val="20"/>
              </w:rPr>
              <w:t>Rreth 0,5 milionë euro.</w:t>
            </w:r>
          </w:p>
        </w:tc>
        <w:tc>
          <w:tcPr>
            <w:tcW w:w="1133" w:type="dxa"/>
            <w:vAlign w:val="center"/>
          </w:tcPr>
          <w:p w14:paraId="6E172A44"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702E49F8" w14:textId="77777777" w:rsidTr="006A3266">
        <w:trPr>
          <w:trHeight w:val="20"/>
        </w:trPr>
        <w:tc>
          <w:tcPr>
            <w:tcW w:w="682" w:type="dxa"/>
            <w:vMerge/>
            <w:shd w:val="clear" w:color="auto" w:fill="D9E2F3" w:themeFill="accent1" w:themeFillTint="33"/>
            <w:textDirection w:val="btLr"/>
          </w:tcPr>
          <w:p w14:paraId="41645D42" w14:textId="77777777" w:rsidR="00B86FB3" w:rsidRPr="00FF756A" w:rsidRDefault="00B86FB3" w:rsidP="00B86FB3">
            <w:pPr>
              <w:ind w:left="113" w:right="113"/>
              <w:rPr>
                <w:b/>
                <w:bCs/>
                <w:sz w:val="20"/>
                <w:szCs w:val="20"/>
              </w:rPr>
            </w:pPr>
          </w:p>
        </w:tc>
        <w:tc>
          <w:tcPr>
            <w:tcW w:w="594" w:type="dxa"/>
            <w:vAlign w:val="center"/>
          </w:tcPr>
          <w:p w14:paraId="425A719C" w14:textId="77777777" w:rsidR="00B86FB3" w:rsidRPr="00FF756A" w:rsidRDefault="00B86FB3" w:rsidP="00B86FB3">
            <w:pPr>
              <w:spacing w:after="0" w:line="240" w:lineRule="auto"/>
              <w:jc w:val="center"/>
              <w:rPr>
                <w:sz w:val="18"/>
                <w:szCs w:val="18"/>
              </w:rPr>
            </w:pPr>
            <w:r w:rsidRPr="00FF756A">
              <w:rPr>
                <w:sz w:val="18"/>
                <w:szCs w:val="18"/>
              </w:rPr>
              <w:t>25</w:t>
            </w:r>
          </w:p>
        </w:tc>
        <w:tc>
          <w:tcPr>
            <w:tcW w:w="851" w:type="dxa"/>
            <w:vAlign w:val="center"/>
          </w:tcPr>
          <w:p w14:paraId="22C55633" w14:textId="77777777" w:rsidR="00B86FB3" w:rsidRPr="00FF756A" w:rsidRDefault="00B86FB3" w:rsidP="00B86FB3">
            <w:pPr>
              <w:spacing w:after="0" w:line="240" w:lineRule="auto"/>
              <w:jc w:val="left"/>
              <w:rPr>
                <w:sz w:val="20"/>
                <w:szCs w:val="20"/>
              </w:rPr>
            </w:pPr>
            <w:r w:rsidRPr="00FF756A">
              <w:rPr>
                <w:sz w:val="20"/>
                <w:szCs w:val="20"/>
              </w:rPr>
              <w:t>R-E4</w:t>
            </w:r>
          </w:p>
        </w:tc>
        <w:tc>
          <w:tcPr>
            <w:tcW w:w="2693" w:type="dxa"/>
            <w:vAlign w:val="center"/>
          </w:tcPr>
          <w:p w14:paraId="0788A4EB" w14:textId="77777777" w:rsidR="00B86FB3" w:rsidRPr="00FF756A" w:rsidRDefault="00B86FB3" w:rsidP="00B86FB3">
            <w:pPr>
              <w:spacing w:after="0" w:line="240" w:lineRule="auto"/>
              <w:jc w:val="left"/>
              <w:rPr>
                <w:sz w:val="20"/>
                <w:szCs w:val="20"/>
              </w:rPr>
            </w:pPr>
            <w:r w:rsidRPr="00FF756A">
              <w:rPr>
                <w:sz w:val="20"/>
                <w:szCs w:val="20"/>
              </w:rPr>
              <w:t>Mekanizmi i matjes së energjisë neto për instalimet deri në 500 kW</w:t>
            </w:r>
          </w:p>
        </w:tc>
        <w:tc>
          <w:tcPr>
            <w:tcW w:w="3544" w:type="dxa"/>
            <w:vAlign w:val="center"/>
          </w:tcPr>
          <w:p w14:paraId="202B7C4D" w14:textId="77777777" w:rsidR="00B86FB3" w:rsidRPr="00FF756A" w:rsidRDefault="00B86FB3" w:rsidP="00B86FB3">
            <w:pPr>
              <w:spacing w:after="120" w:line="240" w:lineRule="auto"/>
              <w:rPr>
                <w:sz w:val="20"/>
                <w:szCs w:val="20"/>
              </w:rPr>
            </w:pPr>
            <w:r w:rsidRPr="00FF756A">
              <w:rPr>
                <w:sz w:val="20"/>
                <w:szCs w:val="20"/>
              </w:rPr>
              <w:t xml:space="preserve">Nuk është parashikuar financim nga buxheti i shtetit, pasi kostoja e skemës do të mbulohej nga tarifat e energjisë elektrike. </w:t>
            </w:r>
          </w:p>
        </w:tc>
        <w:tc>
          <w:tcPr>
            <w:tcW w:w="1133" w:type="dxa"/>
            <w:vAlign w:val="center"/>
          </w:tcPr>
          <w:p w14:paraId="3F4C60E7"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6B5A7A48" w14:textId="77777777" w:rsidTr="006A3266">
        <w:trPr>
          <w:trHeight w:val="20"/>
        </w:trPr>
        <w:tc>
          <w:tcPr>
            <w:tcW w:w="682" w:type="dxa"/>
            <w:vMerge/>
            <w:shd w:val="clear" w:color="auto" w:fill="D9E2F3" w:themeFill="accent1" w:themeFillTint="33"/>
            <w:textDirection w:val="btLr"/>
          </w:tcPr>
          <w:p w14:paraId="3AD896F2" w14:textId="77777777" w:rsidR="00B86FB3" w:rsidRPr="00FF756A" w:rsidRDefault="00B86FB3" w:rsidP="00B86FB3">
            <w:pPr>
              <w:ind w:left="113" w:right="113"/>
              <w:rPr>
                <w:b/>
                <w:bCs/>
                <w:sz w:val="20"/>
                <w:szCs w:val="20"/>
              </w:rPr>
            </w:pPr>
          </w:p>
        </w:tc>
        <w:tc>
          <w:tcPr>
            <w:tcW w:w="594" w:type="dxa"/>
            <w:vAlign w:val="center"/>
          </w:tcPr>
          <w:p w14:paraId="22239277" w14:textId="77777777" w:rsidR="00B86FB3" w:rsidRPr="00FF756A" w:rsidRDefault="00B86FB3" w:rsidP="00B86FB3">
            <w:pPr>
              <w:spacing w:after="0" w:line="240" w:lineRule="auto"/>
              <w:jc w:val="center"/>
              <w:rPr>
                <w:sz w:val="18"/>
                <w:szCs w:val="18"/>
              </w:rPr>
            </w:pPr>
            <w:r w:rsidRPr="00FF756A">
              <w:rPr>
                <w:sz w:val="18"/>
                <w:szCs w:val="18"/>
              </w:rPr>
              <w:t>26</w:t>
            </w:r>
          </w:p>
        </w:tc>
        <w:tc>
          <w:tcPr>
            <w:tcW w:w="851" w:type="dxa"/>
            <w:vAlign w:val="center"/>
          </w:tcPr>
          <w:p w14:paraId="49B69CD2" w14:textId="77777777" w:rsidR="00B86FB3" w:rsidRPr="00FF756A" w:rsidRDefault="00B86FB3" w:rsidP="00B86FB3">
            <w:pPr>
              <w:spacing w:after="0" w:line="240" w:lineRule="auto"/>
              <w:jc w:val="left"/>
              <w:rPr>
                <w:sz w:val="20"/>
                <w:szCs w:val="20"/>
              </w:rPr>
            </w:pPr>
            <w:r w:rsidRPr="00FF756A">
              <w:rPr>
                <w:sz w:val="20"/>
                <w:szCs w:val="20"/>
              </w:rPr>
              <w:t>R-E5</w:t>
            </w:r>
          </w:p>
        </w:tc>
        <w:tc>
          <w:tcPr>
            <w:tcW w:w="2693" w:type="dxa"/>
            <w:vAlign w:val="center"/>
          </w:tcPr>
          <w:p w14:paraId="7DAB09F7" w14:textId="77777777" w:rsidR="00B86FB3" w:rsidRPr="00FF756A" w:rsidRDefault="00B86FB3" w:rsidP="00B86FB3">
            <w:pPr>
              <w:spacing w:after="0" w:line="240" w:lineRule="auto"/>
              <w:jc w:val="left"/>
              <w:rPr>
                <w:sz w:val="20"/>
                <w:szCs w:val="20"/>
              </w:rPr>
            </w:pPr>
            <w:r w:rsidRPr="00FF756A">
              <w:rPr>
                <w:sz w:val="20"/>
                <w:szCs w:val="20"/>
              </w:rPr>
              <w:t>Rrjet elektrik i fuqishëm për të përballuar rritjen e kapacitetit të energjisë së rinovueshme, investime në kapacitetin e energjisë së rinovueshme në tregun e lirë</w:t>
            </w:r>
          </w:p>
        </w:tc>
        <w:tc>
          <w:tcPr>
            <w:tcW w:w="3544" w:type="dxa"/>
            <w:vAlign w:val="center"/>
          </w:tcPr>
          <w:p w14:paraId="25AA353B" w14:textId="77777777" w:rsidR="00B86FB3" w:rsidRPr="00FF756A" w:rsidRDefault="00B86FB3" w:rsidP="00B86FB3">
            <w:pPr>
              <w:spacing w:after="0" w:line="240" w:lineRule="auto"/>
              <w:jc w:val="left"/>
              <w:rPr>
                <w:sz w:val="20"/>
                <w:szCs w:val="20"/>
              </w:rPr>
            </w:pPr>
            <w:r w:rsidRPr="00FF756A">
              <w:rPr>
                <w:sz w:val="20"/>
                <w:szCs w:val="20"/>
              </w:rPr>
              <w:t>Sipas disa vlerësimeve paraprake, për rinovimin e rrjetit të shpërndarjes për një përballim më të mirë të injektimit të ndryshueshëm të energjisë së rinovueshme në terma afatshkurtër nevojiten rreth 40 deri në 80 milionë euro investime</w:t>
            </w:r>
          </w:p>
        </w:tc>
        <w:tc>
          <w:tcPr>
            <w:tcW w:w="1133" w:type="dxa"/>
            <w:vAlign w:val="center"/>
          </w:tcPr>
          <w:p w14:paraId="0DC8CC83"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2BAE0B40" w14:textId="77777777" w:rsidTr="006A3266">
        <w:trPr>
          <w:trHeight w:val="20"/>
        </w:trPr>
        <w:tc>
          <w:tcPr>
            <w:tcW w:w="682" w:type="dxa"/>
            <w:vMerge/>
            <w:shd w:val="clear" w:color="auto" w:fill="D9E2F3" w:themeFill="accent1" w:themeFillTint="33"/>
            <w:textDirection w:val="btLr"/>
          </w:tcPr>
          <w:p w14:paraId="0911FAF2" w14:textId="77777777" w:rsidR="00B86FB3" w:rsidRPr="00FF756A" w:rsidRDefault="00B86FB3" w:rsidP="00B86FB3">
            <w:pPr>
              <w:ind w:left="113" w:right="113"/>
              <w:rPr>
                <w:b/>
                <w:bCs/>
                <w:sz w:val="20"/>
                <w:szCs w:val="20"/>
              </w:rPr>
            </w:pPr>
          </w:p>
        </w:tc>
        <w:tc>
          <w:tcPr>
            <w:tcW w:w="594" w:type="dxa"/>
            <w:vAlign w:val="center"/>
          </w:tcPr>
          <w:p w14:paraId="11D4C0DA" w14:textId="77777777" w:rsidR="00B86FB3" w:rsidRPr="00FF756A" w:rsidRDefault="00B86FB3" w:rsidP="00B86FB3">
            <w:pPr>
              <w:spacing w:after="0" w:line="240" w:lineRule="auto"/>
              <w:jc w:val="center"/>
              <w:rPr>
                <w:sz w:val="18"/>
                <w:szCs w:val="18"/>
              </w:rPr>
            </w:pPr>
            <w:r w:rsidRPr="00FF756A">
              <w:rPr>
                <w:sz w:val="18"/>
                <w:szCs w:val="18"/>
              </w:rPr>
              <w:t>27</w:t>
            </w:r>
          </w:p>
        </w:tc>
        <w:tc>
          <w:tcPr>
            <w:tcW w:w="851" w:type="dxa"/>
            <w:vAlign w:val="center"/>
          </w:tcPr>
          <w:p w14:paraId="29F721BF" w14:textId="77777777" w:rsidR="00B86FB3" w:rsidRPr="00FF756A" w:rsidRDefault="00B86FB3" w:rsidP="00B86FB3">
            <w:pPr>
              <w:spacing w:after="0" w:line="240" w:lineRule="auto"/>
              <w:jc w:val="left"/>
              <w:rPr>
                <w:sz w:val="20"/>
                <w:szCs w:val="20"/>
              </w:rPr>
            </w:pPr>
            <w:r w:rsidRPr="00FF756A">
              <w:rPr>
                <w:sz w:val="20"/>
                <w:szCs w:val="20"/>
              </w:rPr>
              <w:t>R-E6</w:t>
            </w:r>
          </w:p>
        </w:tc>
        <w:tc>
          <w:tcPr>
            <w:tcW w:w="2693" w:type="dxa"/>
            <w:vAlign w:val="center"/>
          </w:tcPr>
          <w:p w14:paraId="08D658DC" w14:textId="77777777" w:rsidR="00B86FB3" w:rsidRPr="00FF756A" w:rsidRDefault="00B86FB3" w:rsidP="00B86FB3">
            <w:pPr>
              <w:spacing w:after="0" w:line="240" w:lineRule="auto"/>
              <w:jc w:val="left"/>
              <w:rPr>
                <w:sz w:val="20"/>
                <w:szCs w:val="20"/>
              </w:rPr>
            </w:pPr>
            <w:r w:rsidRPr="00FF756A">
              <w:rPr>
                <w:sz w:val="20"/>
                <w:szCs w:val="20"/>
              </w:rPr>
              <w:t>Lehtësimi i lidhjes rregullatore dhe fizike me rrjetin elektrik</w:t>
            </w:r>
          </w:p>
        </w:tc>
        <w:tc>
          <w:tcPr>
            <w:tcW w:w="3544" w:type="dxa"/>
          </w:tcPr>
          <w:p w14:paraId="221B9371" w14:textId="77777777" w:rsidR="00B86FB3" w:rsidRPr="00FF756A" w:rsidRDefault="00B86FB3" w:rsidP="00B86FB3">
            <w:pPr>
              <w:spacing w:after="0" w:line="240" w:lineRule="auto"/>
              <w:jc w:val="left"/>
              <w:rPr>
                <w:sz w:val="20"/>
                <w:szCs w:val="20"/>
              </w:rPr>
            </w:pPr>
            <w:r w:rsidRPr="00FF756A">
              <w:rPr>
                <w:sz w:val="20"/>
                <w:szCs w:val="20"/>
              </w:rPr>
              <w:t>Nuk është parashikuar buxhet, pasi bëhet fjalë kryesisht për masa rregullatore</w:t>
            </w:r>
          </w:p>
        </w:tc>
        <w:tc>
          <w:tcPr>
            <w:tcW w:w="1133" w:type="dxa"/>
            <w:vAlign w:val="center"/>
          </w:tcPr>
          <w:p w14:paraId="16F40D47"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30A28C38" w14:textId="77777777" w:rsidTr="006A3266">
        <w:trPr>
          <w:trHeight w:val="20"/>
        </w:trPr>
        <w:tc>
          <w:tcPr>
            <w:tcW w:w="682" w:type="dxa"/>
            <w:vMerge/>
            <w:shd w:val="clear" w:color="auto" w:fill="D9E2F3" w:themeFill="accent1" w:themeFillTint="33"/>
            <w:textDirection w:val="btLr"/>
          </w:tcPr>
          <w:p w14:paraId="4EF26167" w14:textId="77777777" w:rsidR="00B86FB3" w:rsidRPr="00FF756A" w:rsidRDefault="00B86FB3" w:rsidP="00B86FB3">
            <w:pPr>
              <w:ind w:left="113" w:right="113"/>
              <w:rPr>
                <w:b/>
                <w:bCs/>
                <w:sz w:val="20"/>
                <w:szCs w:val="20"/>
              </w:rPr>
            </w:pPr>
          </w:p>
        </w:tc>
        <w:tc>
          <w:tcPr>
            <w:tcW w:w="594" w:type="dxa"/>
            <w:vAlign w:val="center"/>
          </w:tcPr>
          <w:p w14:paraId="438F8D60" w14:textId="77777777" w:rsidR="00B86FB3" w:rsidRPr="00FF756A" w:rsidRDefault="00B86FB3" w:rsidP="00B86FB3">
            <w:pPr>
              <w:spacing w:after="0" w:line="240" w:lineRule="auto"/>
              <w:jc w:val="center"/>
              <w:rPr>
                <w:sz w:val="18"/>
                <w:szCs w:val="18"/>
              </w:rPr>
            </w:pPr>
            <w:r w:rsidRPr="00FF756A">
              <w:rPr>
                <w:sz w:val="18"/>
                <w:szCs w:val="18"/>
              </w:rPr>
              <w:t>28</w:t>
            </w:r>
          </w:p>
        </w:tc>
        <w:tc>
          <w:tcPr>
            <w:tcW w:w="851" w:type="dxa"/>
            <w:vAlign w:val="center"/>
          </w:tcPr>
          <w:p w14:paraId="752F775C" w14:textId="77777777" w:rsidR="00B86FB3" w:rsidRPr="00FF756A" w:rsidRDefault="00B86FB3" w:rsidP="00B86FB3">
            <w:pPr>
              <w:spacing w:after="0" w:line="240" w:lineRule="auto"/>
              <w:jc w:val="left"/>
              <w:rPr>
                <w:sz w:val="20"/>
                <w:szCs w:val="20"/>
              </w:rPr>
            </w:pPr>
            <w:r w:rsidRPr="00FF756A">
              <w:rPr>
                <w:sz w:val="20"/>
                <w:szCs w:val="20"/>
              </w:rPr>
              <w:t>R-E7</w:t>
            </w:r>
          </w:p>
        </w:tc>
        <w:tc>
          <w:tcPr>
            <w:tcW w:w="2693" w:type="dxa"/>
            <w:vAlign w:val="center"/>
          </w:tcPr>
          <w:p w14:paraId="3902FC4F" w14:textId="77777777" w:rsidR="00B86FB3" w:rsidRPr="00FF756A" w:rsidRDefault="00B86FB3" w:rsidP="00B86FB3">
            <w:pPr>
              <w:spacing w:after="0" w:line="240" w:lineRule="auto"/>
              <w:jc w:val="left"/>
              <w:rPr>
                <w:sz w:val="20"/>
                <w:szCs w:val="20"/>
              </w:rPr>
            </w:pPr>
            <w:r w:rsidRPr="00FF756A">
              <w:rPr>
                <w:sz w:val="20"/>
                <w:szCs w:val="20"/>
              </w:rPr>
              <w:t>Menaxhimi i krahut të kërkesës dhe sistemet e rezervave të energjisë elektrike për fleksibilitet të rrjetit elektrik</w:t>
            </w:r>
          </w:p>
        </w:tc>
        <w:tc>
          <w:tcPr>
            <w:tcW w:w="3544" w:type="dxa"/>
          </w:tcPr>
          <w:p w14:paraId="42962E27" w14:textId="77777777" w:rsidR="00B86FB3" w:rsidRPr="00FF756A" w:rsidRDefault="00B86FB3" w:rsidP="00B86FB3">
            <w:pPr>
              <w:spacing w:after="0" w:line="240" w:lineRule="auto"/>
              <w:jc w:val="left"/>
              <w:rPr>
                <w:sz w:val="20"/>
                <w:szCs w:val="20"/>
              </w:rPr>
            </w:pPr>
            <w:r w:rsidRPr="00FF756A">
              <w:rPr>
                <w:sz w:val="20"/>
                <w:szCs w:val="20"/>
              </w:rPr>
              <w:t>Vlera e përllogaritur e asistencës teknike 150kEuro</w:t>
            </w:r>
          </w:p>
        </w:tc>
        <w:tc>
          <w:tcPr>
            <w:tcW w:w="1133" w:type="dxa"/>
            <w:vAlign w:val="center"/>
          </w:tcPr>
          <w:p w14:paraId="167564A3"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3C0078C8" w14:textId="77777777" w:rsidTr="006A3266">
        <w:trPr>
          <w:trHeight w:val="20"/>
        </w:trPr>
        <w:tc>
          <w:tcPr>
            <w:tcW w:w="682" w:type="dxa"/>
            <w:vMerge/>
            <w:shd w:val="clear" w:color="auto" w:fill="D9E2F3" w:themeFill="accent1" w:themeFillTint="33"/>
            <w:textDirection w:val="btLr"/>
          </w:tcPr>
          <w:p w14:paraId="66EA135D" w14:textId="77777777" w:rsidR="00B86FB3" w:rsidRPr="00FF756A" w:rsidRDefault="00B86FB3" w:rsidP="00B86FB3">
            <w:pPr>
              <w:ind w:left="113" w:right="113"/>
              <w:rPr>
                <w:b/>
                <w:bCs/>
                <w:sz w:val="20"/>
                <w:szCs w:val="20"/>
              </w:rPr>
            </w:pPr>
          </w:p>
        </w:tc>
        <w:tc>
          <w:tcPr>
            <w:tcW w:w="594" w:type="dxa"/>
            <w:vAlign w:val="center"/>
          </w:tcPr>
          <w:p w14:paraId="3CF5BA84" w14:textId="77777777" w:rsidR="00B86FB3" w:rsidRPr="00FF756A" w:rsidRDefault="00B86FB3" w:rsidP="00B86FB3">
            <w:pPr>
              <w:spacing w:after="0" w:line="240" w:lineRule="auto"/>
              <w:jc w:val="center"/>
              <w:rPr>
                <w:sz w:val="18"/>
                <w:szCs w:val="18"/>
              </w:rPr>
            </w:pPr>
            <w:r w:rsidRPr="00FF756A">
              <w:rPr>
                <w:sz w:val="18"/>
                <w:szCs w:val="18"/>
              </w:rPr>
              <w:t>29</w:t>
            </w:r>
          </w:p>
        </w:tc>
        <w:tc>
          <w:tcPr>
            <w:tcW w:w="851" w:type="dxa"/>
            <w:vAlign w:val="center"/>
          </w:tcPr>
          <w:p w14:paraId="3A012ABA" w14:textId="77777777" w:rsidR="00B86FB3" w:rsidRPr="00FF756A" w:rsidRDefault="00B86FB3" w:rsidP="00B86FB3">
            <w:pPr>
              <w:spacing w:after="0" w:line="240" w:lineRule="auto"/>
              <w:jc w:val="left"/>
              <w:rPr>
                <w:sz w:val="20"/>
                <w:szCs w:val="20"/>
              </w:rPr>
            </w:pPr>
            <w:r w:rsidRPr="00FF756A">
              <w:rPr>
                <w:sz w:val="20"/>
                <w:szCs w:val="20"/>
              </w:rPr>
              <w:t>R-E8</w:t>
            </w:r>
          </w:p>
        </w:tc>
        <w:tc>
          <w:tcPr>
            <w:tcW w:w="2693" w:type="dxa"/>
            <w:vAlign w:val="center"/>
          </w:tcPr>
          <w:p w14:paraId="59D0F411" w14:textId="77777777" w:rsidR="00B86FB3" w:rsidRPr="00FF756A" w:rsidRDefault="00B86FB3" w:rsidP="00B86FB3">
            <w:pPr>
              <w:spacing w:after="0" w:line="240" w:lineRule="auto"/>
              <w:jc w:val="left"/>
              <w:rPr>
                <w:sz w:val="20"/>
                <w:szCs w:val="20"/>
              </w:rPr>
            </w:pPr>
            <w:r w:rsidRPr="00FF756A">
              <w:rPr>
                <w:sz w:val="20"/>
                <w:szCs w:val="20"/>
              </w:rPr>
              <w:t>Strategjia e matjes dhe dixhitalizimi i sektorit të energjisë</w:t>
            </w:r>
          </w:p>
        </w:tc>
        <w:tc>
          <w:tcPr>
            <w:tcW w:w="3544" w:type="dxa"/>
            <w:vAlign w:val="center"/>
          </w:tcPr>
          <w:p w14:paraId="4030097E" w14:textId="77777777" w:rsidR="00B86FB3" w:rsidRPr="00FF756A" w:rsidRDefault="00B86FB3" w:rsidP="00B86FB3">
            <w:pPr>
              <w:spacing w:after="0" w:line="240" w:lineRule="auto"/>
              <w:jc w:val="left"/>
              <w:rPr>
                <w:sz w:val="20"/>
                <w:szCs w:val="20"/>
              </w:rPr>
            </w:pPr>
            <w:r w:rsidRPr="00FF756A">
              <w:rPr>
                <w:sz w:val="20"/>
                <w:szCs w:val="20"/>
              </w:rPr>
              <w:t>Sipas strategjisë së matjes, investimi afatmesëm i nevojshëm vlerësohet në 3,691 miliardë lekë (përafërsisht 29,5 milionë euro).</w:t>
            </w:r>
          </w:p>
        </w:tc>
        <w:tc>
          <w:tcPr>
            <w:tcW w:w="1133" w:type="dxa"/>
            <w:vAlign w:val="center"/>
          </w:tcPr>
          <w:p w14:paraId="0DE8EE09"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65B1E12B" w14:textId="77777777" w:rsidTr="006A3266">
        <w:trPr>
          <w:trHeight w:val="20"/>
        </w:trPr>
        <w:tc>
          <w:tcPr>
            <w:tcW w:w="682" w:type="dxa"/>
            <w:vMerge/>
            <w:shd w:val="clear" w:color="auto" w:fill="D9E2F3" w:themeFill="accent1" w:themeFillTint="33"/>
            <w:textDirection w:val="btLr"/>
          </w:tcPr>
          <w:p w14:paraId="79265C41" w14:textId="77777777" w:rsidR="00B86FB3" w:rsidRPr="00FF756A" w:rsidRDefault="00B86FB3" w:rsidP="00B86FB3">
            <w:pPr>
              <w:ind w:left="113" w:right="113"/>
              <w:rPr>
                <w:b/>
                <w:bCs/>
                <w:sz w:val="20"/>
                <w:szCs w:val="20"/>
              </w:rPr>
            </w:pPr>
          </w:p>
        </w:tc>
        <w:tc>
          <w:tcPr>
            <w:tcW w:w="594" w:type="dxa"/>
            <w:vAlign w:val="center"/>
          </w:tcPr>
          <w:p w14:paraId="4FAE3461" w14:textId="77777777" w:rsidR="00B86FB3" w:rsidRPr="00FF756A" w:rsidRDefault="00B86FB3" w:rsidP="00B86FB3">
            <w:pPr>
              <w:spacing w:after="0" w:line="240" w:lineRule="auto"/>
              <w:jc w:val="center"/>
              <w:rPr>
                <w:sz w:val="18"/>
                <w:szCs w:val="18"/>
              </w:rPr>
            </w:pPr>
            <w:r w:rsidRPr="00FF756A">
              <w:rPr>
                <w:sz w:val="18"/>
                <w:szCs w:val="18"/>
              </w:rPr>
              <w:t>30</w:t>
            </w:r>
          </w:p>
        </w:tc>
        <w:tc>
          <w:tcPr>
            <w:tcW w:w="851" w:type="dxa"/>
            <w:vAlign w:val="center"/>
          </w:tcPr>
          <w:p w14:paraId="691C565C" w14:textId="77777777" w:rsidR="00B86FB3" w:rsidRPr="00FF756A" w:rsidRDefault="00B86FB3" w:rsidP="00B86FB3">
            <w:pPr>
              <w:spacing w:after="0" w:line="240" w:lineRule="auto"/>
              <w:jc w:val="left"/>
              <w:rPr>
                <w:sz w:val="20"/>
                <w:szCs w:val="20"/>
              </w:rPr>
            </w:pPr>
            <w:r w:rsidRPr="00FF756A">
              <w:rPr>
                <w:sz w:val="20"/>
                <w:szCs w:val="20"/>
              </w:rPr>
              <w:t>R-E9</w:t>
            </w:r>
          </w:p>
        </w:tc>
        <w:tc>
          <w:tcPr>
            <w:tcW w:w="2693" w:type="dxa"/>
            <w:vAlign w:val="center"/>
          </w:tcPr>
          <w:p w14:paraId="7F2A018D" w14:textId="77777777" w:rsidR="00B86FB3" w:rsidRPr="00FF756A" w:rsidRDefault="00B86FB3" w:rsidP="00B86FB3">
            <w:pPr>
              <w:spacing w:after="0" w:line="240" w:lineRule="auto"/>
              <w:jc w:val="left"/>
              <w:rPr>
                <w:sz w:val="20"/>
                <w:szCs w:val="20"/>
              </w:rPr>
            </w:pPr>
            <w:r w:rsidRPr="00FF756A">
              <w:rPr>
                <w:sz w:val="20"/>
                <w:szCs w:val="20"/>
              </w:rPr>
              <w:t xml:space="preserve">Mbështetja e formimit të komuniteteve të energjisë së rinovueshme </w:t>
            </w:r>
          </w:p>
        </w:tc>
        <w:tc>
          <w:tcPr>
            <w:tcW w:w="3544" w:type="dxa"/>
          </w:tcPr>
          <w:p w14:paraId="098A8147" w14:textId="77777777" w:rsidR="00B86FB3" w:rsidRPr="00FF756A" w:rsidRDefault="00B86FB3" w:rsidP="00B86FB3">
            <w:pPr>
              <w:spacing w:after="0" w:line="240" w:lineRule="auto"/>
              <w:jc w:val="left"/>
              <w:rPr>
                <w:sz w:val="20"/>
                <w:szCs w:val="20"/>
                <w:highlight w:val="yellow"/>
              </w:rPr>
            </w:pPr>
            <w:r w:rsidRPr="00FF756A">
              <w:rPr>
                <w:sz w:val="20"/>
                <w:szCs w:val="20"/>
              </w:rPr>
              <w:t>Programi i Asistencës Teknike, rreth 150 000 euro. Mbështetja për projektet pilot me komunitetet e përzgjedhura të energjisë së rinovueshme do të financohet nga një Program i Asistencës Teknike, me një buxhet të parashikuar prej 20 000 eurosh për komunitet të energjisë së rinovueshme</w:t>
            </w:r>
          </w:p>
        </w:tc>
        <w:tc>
          <w:tcPr>
            <w:tcW w:w="1133" w:type="dxa"/>
            <w:vAlign w:val="center"/>
          </w:tcPr>
          <w:p w14:paraId="218E286F"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0F7CB681" w14:textId="77777777" w:rsidTr="006A3266">
        <w:trPr>
          <w:trHeight w:val="20"/>
        </w:trPr>
        <w:tc>
          <w:tcPr>
            <w:tcW w:w="682" w:type="dxa"/>
            <w:vMerge/>
            <w:shd w:val="clear" w:color="auto" w:fill="D9E2F3" w:themeFill="accent1" w:themeFillTint="33"/>
            <w:textDirection w:val="btLr"/>
          </w:tcPr>
          <w:p w14:paraId="74182D52" w14:textId="77777777" w:rsidR="00B86FB3" w:rsidRPr="00FF756A" w:rsidRDefault="00B86FB3" w:rsidP="00B86FB3">
            <w:pPr>
              <w:ind w:left="113" w:right="113"/>
              <w:rPr>
                <w:b/>
                <w:bCs/>
                <w:sz w:val="20"/>
                <w:szCs w:val="20"/>
              </w:rPr>
            </w:pPr>
          </w:p>
        </w:tc>
        <w:tc>
          <w:tcPr>
            <w:tcW w:w="594" w:type="dxa"/>
            <w:vAlign w:val="center"/>
          </w:tcPr>
          <w:p w14:paraId="5E8FA8E9" w14:textId="77777777" w:rsidR="00B86FB3" w:rsidRPr="00FF756A" w:rsidRDefault="00B86FB3" w:rsidP="00B86FB3">
            <w:pPr>
              <w:spacing w:after="0" w:line="240" w:lineRule="auto"/>
              <w:jc w:val="center"/>
              <w:rPr>
                <w:sz w:val="18"/>
                <w:szCs w:val="18"/>
              </w:rPr>
            </w:pPr>
            <w:r w:rsidRPr="00FF756A">
              <w:rPr>
                <w:sz w:val="18"/>
                <w:szCs w:val="18"/>
              </w:rPr>
              <w:t>31</w:t>
            </w:r>
          </w:p>
        </w:tc>
        <w:tc>
          <w:tcPr>
            <w:tcW w:w="851" w:type="dxa"/>
            <w:vAlign w:val="center"/>
          </w:tcPr>
          <w:p w14:paraId="484FD1E1" w14:textId="77777777" w:rsidR="00B86FB3" w:rsidRPr="00FF756A" w:rsidRDefault="00B86FB3" w:rsidP="00B86FB3">
            <w:pPr>
              <w:spacing w:after="0" w:line="240" w:lineRule="auto"/>
              <w:jc w:val="left"/>
              <w:rPr>
                <w:sz w:val="20"/>
                <w:szCs w:val="20"/>
              </w:rPr>
            </w:pPr>
            <w:r w:rsidRPr="00FF756A">
              <w:rPr>
                <w:sz w:val="20"/>
                <w:szCs w:val="20"/>
              </w:rPr>
              <w:t>R-E10</w:t>
            </w:r>
          </w:p>
        </w:tc>
        <w:tc>
          <w:tcPr>
            <w:tcW w:w="2693" w:type="dxa"/>
            <w:vAlign w:val="center"/>
          </w:tcPr>
          <w:p w14:paraId="39337968" w14:textId="77777777" w:rsidR="00B86FB3" w:rsidRPr="00FF756A" w:rsidRDefault="00B86FB3" w:rsidP="00B86FB3">
            <w:pPr>
              <w:spacing w:after="0" w:line="240" w:lineRule="auto"/>
              <w:jc w:val="left"/>
              <w:rPr>
                <w:sz w:val="20"/>
                <w:szCs w:val="20"/>
              </w:rPr>
            </w:pPr>
            <w:r w:rsidRPr="00FF756A">
              <w:rPr>
                <w:sz w:val="20"/>
                <w:szCs w:val="20"/>
              </w:rPr>
              <w:t>Pjesëmarrja në një sistem rajonal për garancinë e origjinës (GO)</w:t>
            </w:r>
          </w:p>
        </w:tc>
        <w:tc>
          <w:tcPr>
            <w:tcW w:w="3544" w:type="dxa"/>
          </w:tcPr>
          <w:p w14:paraId="06C56E5D" w14:textId="77777777" w:rsidR="00B86FB3" w:rsidRPr="00FF756A" w:rsidRDefault="00B86FB3" w:rsidP="00B86FB3">
            <w:pPr>
              <w:spacing w:after="0" w:line="240" w:lineRule="auto"/>
              <w:jc w:val="left"/>
              <w:rPr>
                <w:sz w:val="20"/>
                <w:szCs w:val="20"/>
              </w:rPr>
            </w:pPr>
            <w:r w:rsidRPr="00FF756A">
              <w:rPr>
                <w:sz w:val="20"/>
                <w:szCs w:val="20"/>
              </w:rPr>
              <w:t>Do të përcaktohet në vazhdim</w:t>
            </w:r>
          </w:p>
        </w:tc>
        <w:tc>
          <w:tcPr>
            <w:tcW w:w="1133" w:type="dxa"/>
            <w:vAlign w:val="center"/>
          </w:tcPr>
          <w:p w14:paraId="5F27A89F"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16F1B41E" w14:textId="77777777" w:rsidTr="006A3266">
        <w:trPr>
          <w:trHeight w:val="20"/>
        </w:trPr>
        <w:tc>
          <w:tcPr>
            <w:tcW w:w="682" w:type="dxa"/>
            <w:vMerge/>
            <w:shd w:val="clear" w:color="auto" w:fill="D9E2F3" w:themeFill="accent1" w:themeFillTint="33"/>
            <w:textDirection w:val="btLr"/>
          </w:tcPr>
          <w:p w14:paraId="3E722511" w14:textId="77777777" w:rsidR="00B86FB3" w:rsidRPr="00FF756A" w:rsidRDefault="00B86FB3" w:rsidP="00B86FB3">
            <w:pPr>
              <w:ind w:left="113" w:right="113"/>
              <w:rPr>
                <w:b/>
                <w:bCs/>
                <w:sz w:val="20"/>
                <w:szCs w:val="20"/>
              </w:rPr>
            </w:pPr>
          </w:p>
        </w:tc>
        <w:tc>
          <w:tcPr>
            <w:tcW w:w="594" w:type="dxa"/>
            <w:vAlign w:val="center"/>
          </w:tcPr>
          <w:p w14:paraId="3C04CB7A" w14:textId="77777777" w:rsidR="00B86FB3" w:rsidRPr="00FF756A" w:rsidRDefault="00B86FB3" w:rsidP="00B86FB3">
            <w:pPr>
              <w:spacing w:after="0" w:line="240" w:lineRule="auto"/>
              <w:jc w:val="center"/>
              <w:rPr>
                <w:sz w:val="18"/>
                <w:szCs w:val="18"/>
              </w:rPr>
            </w:pPr>
            <w:r w:rsidRPr="00FF756A">
              <w:rPr>
                <w:sz w:val="18"/>
                <w:szCs w:val="18"/>
              </w:rPr>
              <w:t>32</w:t>
            </w:r>
          </w:p>
        </w:tc>
        <w:tc>
          <w:tcPr>
            <w:tcW w:w="851" w:type="dxa"/>
            <w:vAlign w:val="center"/>
          </w:tcPr>
          <w:p w14:paraId="1EFEDA0B" w14:textId="77777777" w:rsidR="00B86FB3" w:rsidRPr="00FF756A" w:rsidRDefault="00B86FB3" w:rsidP="00B86FB3">
            <w:pPr>
              <w:spacing w:after="0" w:line="240" w:lineRule="auto"/>
              <w:jc w:val="left"/>
              <w:rPr>
                <w:sz w:val="20"/>
                <w:szCs w:val="20"/>
              </w:rPr>
            </w:pPr>
            <w:r w:rsidRPr="00FF756A">
              <w:rPr>
                <w:sz w:val="20"/>
                <w:szCs w:val="20"/>
              </w:rPr>
              <w:t>R-E11</w:t>
            </w:r>
          </w:p>
        </w:tc>
        <w:tc>
          <w:tcPr>
            <w:tcW w:w="2693" w:type="dxa"/>
            <w:vAlign w:val="center"/>
          </w:tcPr>
          <w:p w14:paraId="31FF9FDA" w14:textId="77777777" w:rsidR="00B86FB3" w:rsidRPr="00FF756A" w:rsidRDefault="00B86FB3" w:rsidP="00B86FB3">
            <w:pPr>
              <w:spacing w:after="0" w:line="240" w:lineRule="auto"/>
              <w:jc w:val="left"/>
              <w:rPr>
                <w:sz w:val="20"/>
                <w:szCs w:val="20"/>
              </w:rPr>
            </w:pPr>
            <w:r w:rsidRPr="00FF756A">
              <w:rPr>
                <w:sz w:val="20"/>
                <w:szCs w:val="20"/>
              </w:rPr>
              <w:t xml:space="preserve">Hartat e nxehtësisë </w:t>
            </w:r>
          </w:p>
        </w:tc>
        <w:tc>
          <w:tcPr>
            <w:tcW w:w="3544" w:type="dxa"/>
          </w:tcPr>
          <w:p w14:paraId="36A44F74" w14:textId="77777777" w:rsidR="00B86FB3" w:rsidRPr="00FF756A" w:rsidRDefault="00B86FB3" w:rsidP="00B86FB3">
            <w:pPr>
              <w:spacing w:after="0" w:line="240" w:lineRule="auto"/>
              <w:jc w:val="left"/>
              <w:rPr>
                <w:sz w:val="20"/>
                <w:szCs w:val="20"/>
              </w:rPr>
            </w:pPr>
            <w:r w:rsidRPr="00FF756A">
              <w:rPr>
                <w:sz w:val="20"/>
                <w:szCs w:val="20"/>
              </w:rPr>
              <w:t xml:space="preserve">Përllogaritur në 0,5 milionë euro.  </w:t>
            </w:r>
          </w:p>
        </w:tc>
        <w:tc>
          <w:tcPr>
            <w:tcW w:w="1133" w:type="dxa"/>
            <w:vAlign w:val="center"/>
          </w:tcPr>
          <w:p w14:paraId="5888E623"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653DEC22" w14:textId="77777777" w:rsidTr="006A3266">
        <w:trPr>
          <w:trHeight w:val="20"/>
        </w:trPr>
        <w:tc>
          <w:tcPr>
            <w:tcW w:w="682" w:type="dxa"/>
            <w:vMerge/>
            <w:shd w:val="clear" w:color="auto" w:fill="D9E2F3" w:themeFill="accent1" w:themeFillTint="33"/>
            <w:textDirection w:val="btLr"/>
          </w:tcPr>
          <w:p w14:paraId="5197AFD9" w14:textId="77777777" w:rsidR="00B86FB3" w:rsidRPr="00FF756A" w:rsidRDefault="00B86FB3" w:rsidP="00B86FB3">
            <w:pPr>
              <w:ind w:left="113" w:right="113"/>
              <w:rPr>
                <w:b/>
                <w:bCs/>
                <w:sz w:val="20"/>
                <w:szCs w:val="20"/>
              </w:rPr>
            </w:pPr>
          </w:p>
        </w:tc>
        <w:tc>
          <w:tcPr>
            <w:tcW w:w="594" w:type="dxa"/>
            <w:vAlign w:val="center"/>
          </w:tcPr>
          <w:p w14:paraId="43420693" w14:textId="77777777" w:rsidR="00B86FB3" w:rsidRPr="00FF756A" w:rsidRDefault="00B86FB3" w:rsidP="00B86FB3">
            <w:pPr>
              <w:spacing w:after="0" w:line="240" w:lineRule="auto"/>
              <w:jc w:val="center"/>
              <w:rPr>
                <w:sz w:val="18"/>
                <w:szCs w:val="18"/>
              </w:rPr>
            </w:pPr>
            <w:r w:rsidRPr="00FF756A">
              <w:rPr>
                <w:sz w:val="18"/>
                <w:szCs w:val="18"/>
              </w:rPr>
              <w:t>33</w:t>
            </w:r>
          </w:p>
        </w:tc>
        <w:tc>
          <w:tcPr>
            <w:tcW w:w="851" w:type="dxa"/>
            <w:vAlign w:val="center"/>
          </w:tcPr>
          <w:p w14:paraId="57032113" w14:textId="77777777" w:rsidR="00B86FB3" w:rsidRPr="00FF756A" w:rsidRDefault="00B86FB3" w:rsidP="00B86FB3">
            <w:pPr>
              <w:spacing w:after="0" w:line="240" w:lineRule="auto"/>
              <w:jc w:val="left"/>
              <w:rPr>
                <w:sz w:val="20"/>
                <w:szCs w:val="20"/>
              </w:rPr>
            </w:pPr>
            <w:r w:rsidRPr="00FF756A">
              <w:rPr>
                <w:sz w:val="20"/>
                <w:szCs w:val="20"/>
              </w:rPr>
              <w:t>R-T1</w:t>
            </w:r>
          </w:p>
        </w:tc>
        <w:tc>
          <w:tcPr>
            <w:tcW w:w="2693" w:type="dxa"/>
            <w:vAlign w:val="center"/>
          </w:tcPr>
          <w:p w14:paraId="2E18B06B" w14:textId="77777777" w:rsidR="00B86FB3" w:rsidRPr="00FF756A" w:rsidRDefault="00B86FB3" w:rsidP="00B86FB3">
            <w:pPr>
              <w:spacing w:after="0" w:line="240" w:lineRule="auto"/>
              <w:jc w:val="left"/>
              <w:rPr>
                <w:sz w:val="20"/>
                <w:szCs w:val="20"/>
              </w:rPr>
            </w:pPr>
            <w:r w:rsidRPr="00FF756A">
              <w:rPr>
                <w:sz w:val="20"/>
                <w:szCs w:val="20"/>
              </w:rPr>
              <w:t>Elektrifikimi i sektorit të transportit</w:t>
            </w:r>
          </w:p>
        </w:tc>
        <w:tc>
          <w:tcPr>
            <w:tcW w:w="3544" w:type="dxa"/>
          </w:tcPr>
          <w:p w14:paraId="0434BC89" w14:textId="77777777" w:rsidR="00B86FB3" w:rsidRPr="00FF756A" w:rsidRDefault="00B86FB3" w:rsidP="00B86FB3">
            <w:pPr>
              <w:spacing w:after="0" w:line="240" w:lineRule="auto"/>
              <w:jc w:val="left"/>
              <w:rPr>
                <w:sz w:val="20"/>
                <w:szCs w:val="20"/>
              </w:rPr>
            </w:pPr>
            <w:r w:rsidRPr="00FF756A">
              <w:rPr>
                <w:sz w:val="20"/>
                <w:szCs w:val="20"/>
              </w:rPr>
              <w:t>Kosto për studimin e vlerësimit të politikave dhe rezultateve vlerësohet në 15 000 euro.</w:t>
            </w:r>
          </w:p>
        </w:tc>
        <w:tc>
          <w:tcPr>
            <w:tcW w:w="1133" w:type="dxa"/>
            <w:vAlign w:val="center"/>
          </w:tcPr>
          <w:p w14:paraId="76318811"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3A479AFA" w14:textId="77777777" w:rsidTr="006A3266">
        <w:trPr>
          <w:trHeight w:val="20"/>
        </w:trPr>
        <w:tc>
          <w:tcPr>
            <w:tcW w:w="682" w:type="dxa"/>
            <w:vMerge/>
            <w:shd w:val="clear" w:color="auto" w:fill="D9E2F3" w:themeFill="accent1" w:themeFillTint="33"/>
            <w:textDirection w:val="btLr"/>
          </w:tcPr>
          <w:p w14:paraId="1398CD37" w14:textId="77777777" w:rsidR="00B86FB3" w:rsidRPr="00FF756A" w:rsidRDefault="00B86FB3" w:rsidP="00B86FB3">
            <w:pPr>
              <w:ind w:left="113" w:right="113"/>
              <w:rPr>
                <w:b/>
                <w:bCs/>
                <w:sz w:val="20"/>
                <w:szCs w:val="20"/>
              </w:rPr>
            </w:pPr>
          </w:p>
        </w:tc>
        <w:tc>
          <w:tcPr>
            <w:tcW w:w="594" w:type="dxa"/>
            <w:vAlign w:val="center"/>
          </w:tcPr>
          <w:p w14:paraId="680569EE" w14:textId="77777777" w:rsidR="00B86FB3" w:rsidRPr="00FF756A" w:rsidRDefault="00B86FB3" w:rsidP="00B86FB3">
            <w:pPr>
              <w:spacing w:after="0" w:line="240" w:lineRule="auto"/>
              <w:jc w:val="center"/>
              <w:rPr>
                <w:sz w:val="18"/>
                <w:szCs w:val="18"/>
              </w:rPr>
            </w:pPr>
            <w:r w:rsidRPr="00FF756A">
              <w:rPr>
                <w:sz w:val="18"/>
                <w:szCs w:val="18"/>
              </w:rPr>
              <w:t>34</w:t>
            </w:r>
          </w:p>
        </w:tc>
        <w:tc>
          <w:tcPr>
            <w:tcW w:w="851" w:type="dxa"/>
            <w:vAlign w:val="center"/>
          </w:tcPr>
          <w:p w14:paraId="32BDBD15" w14:textId="77777777" w:rsidR="00B86FB3" w:rsidRPr="00FF756A" w:rsidRDefault="00B86FB3" w:rsidP="00B86FB3">
            <w:pPr>
              <w:spacing w:after="0" w:line="240" w:lineRule="auto"/>
              <w:jc w:val="left"/>
              <w:rPr>
                <w:sz w:val="20"/>
                <w:szCs w:val="20"/>
              </w:rPr>
            </w:pPr>
            <w:r w:rsidRPr="00FF756A">
              <w:rPr>
                <w:sz w:val="20"/>
                <w:szCs w:val="20"/>
              </w:rPr>
              <w:t>R-T2</w:t>
            </w:r>
          </w:p>
        </w:tc>
        <w:tc>
          <w:tcPr>
            <w:tcW w:w="2693" w:type="dxa"/>
            <w:vAlign w:val="center"/>
          </w:tcPr>
          <w:p w14:paraId="340B9E81" w14:textId="77777777" w:rsidR="00B86FB3" w:rsidRPr="00FF756A" w:rsidRDefault="00B86FB3" w:rsidP="00B86FB3">
            <w:pPr>
              <w:spacing w:after="0" w:line="240" w:lineRule="auto"/>
              <w:jc w:val="left"/>
              <w:rPr>
                <w:sz w:val="20"/>
                <w:szCs w:val="20"/>
              </w:rPr>
            </w:pPr>
            <w:r w:rsidRPr="00FF756A">
              <w:rPr>
                <w:sz w:val="20"/>
                <w:szCs w:val="20"/>
              </w:rPr>
              <w:t>Biokarburantet e qëndrueshme/të avancuara</w:t>
            </w:r>
          </w:p>
        </w:tc>
        <w:tc>
          <w:tcPr>
            <w:tcW w:w="3544" w:type="dxa"/>
            <w:vAlign w:val="center"/>
          </w:tcPr>
          <w:p w14:paraId="3CCC8677" w14:textId="77777777" w:rsidR="00B86FB3" w:rsidRPr="00FF756A" w:rsidRDefault="00B86FB3" w:rsidP="00B86FB3">
            <w:pPr>
              <w:spacing w:after="0" w:line="240" w:lineRule="auto"/>
              <w:jc w:val="left"/>
              <w:rPr>
                <w:sz w:val="20"/>
                <w:szCs w:val="20"/>
              </w:rPr>
            </w:pPr>
            <w:r w:rsidRPr="00FF756A">
              <w:rPr>
                <w:sz w:val="20"/>
                <w:szCs w:val="20"/>
              </w:rPr>
              <w:t>124 000 euro (Burimi: Plani Kombëtar i Veprimit për Burimet e Rinovueshme të Energjisë në Shqipëri, 2015-2020)</w:t>
            </w:r>
          </w:p>
        </w:tc>
        <w:tc>
          <w:tcPr>
            <w:tcW w:w="1133" w:type="dxa"/>
            <w:vAlign w:val="center"/>
          </w:tcPr>
          <w:p w14:paraId="0D4F67A3"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262E7848" w14:textId="77777777" w:rsidTr="006A3266">
        <w:trPr>
          <w:trHeight w:val="20"/>
        </w:trPr>
        <w:tc>
          <w:tcPr>
            <w:tcW w:w="682" w:type="dxa"/>
            <w:vMerge/>
            <w:shd w:val="clear" w:color="auto" w:fill="D9E2F3" w:themeFill="accent1" w:themeFillTint="33"/>
            <w:textDirection w:val="btLr"/>
          </w:tcPr>
          <w:p w14:paraId="68113C97" w14:textId="77777777" w:rsidR="00B86FB3" w:rsidRPr="00FF756A" w:rsidRDefault="00B86FB3" w:rsidP="00B86FB3">
            <w:pPr>
              <w:ind w:left="113" w:right="113"/>
              <w:rPr>
                <w:b/>
                <w:bCs/>
                <w:sz w:val="20"/>
                <w:szCs w:val="20"/>
              </w:rPr>
            </w:pPr>
          </w:p>
        </w:tc>
        <w:tc>
          <w:tcPr>
            <w:tcW w:w="594" w:type="dxa"/>
            <w:vAlign w:val="center"/>
          </w:tcPr>
          <w:p w14:paraId="784E498A" w14:textId="77777777" w:rsidR="00B86FB3" w:rsidRPr="00FF756A" w:rsidRDefault="00B86FB3" w:rsidP="00B86FB3">
            <w:pPr>
              <w:spacing w:after="0" w:line="240" w:lineRule="auto"/>
              <w:jc w:val="center"/>
              <w:rPr>
                <w:sz w:val="18"/>
                <w:szCs w:val="18"/>
              </w:rPr>
            </w:pPr>
            <w:r w:rsidRPr="00FF756A">
              <w:rPr>
                <w:sz w:val="18"/>
                <w:szCs w:val="18"/>
              </w:rPr>
              <w:t>35</w:t>
            </w:r>
          </w:p>
        </w:tc>
        <w:tc>
          <w:tcPr>
            <w:tcW w:w="851" w:type="dxa"/>
            <w:vAlign w:val="center"/>
          </w:tcPr>
          <w:p w14:paraId="6E68276B" w14:textId="77777777" w:rsidR="00B86FB3" w:rsidRPr="00FF756A" w:rsidRDefault="00B86FB3" w:rsidP="00B86FB3">
            <w:pPr>
              <w:spacing w:after="0" w:line="240" w:lineRule="auto"/>
              <w:jc w:val="left"/>
              <w:rPr>
                <w:sz w:val="20"/>
                <w:szCs w:val="20"/>
              </w:rPr>
            </w:pPr>
            <w:r w:rsidRPr="00FF756A">
              <w:rPr>
                <w:sz w:val="20"/>
                <w:szCs w:val="20"/>
              </w:rPr>
              <w:t>R-T3</w:t>
            </w:r>
          </w:p>
        </w:tc>
        <w:tc>
          <w:tcPr>
            <w:tcW w:w="2693" w:type="dxa"/>
            <w:vAlign w:val="center"/>
          </w:tcPr>
          <w:p w14:paraId="2CBD307A" w14:textId="77777777" w:rsidR="00B86FB3" w:rsidRPr="00FF756A" w:rsidRDefault="00B86FB3" w:rsidP="00B86FB3">
            <w:pPr>
              <w:spacing w:after="0" w:line="240" w:lineRule="auto"/>
              <w:jc w:val="left"/>
              <w:rPr>
                <w:sz w:val="20"/>
                <w:szCs w:val="20"/>
              </w:rPr>
            </w:pPr>
            <w:r w:rsidRPr="00FF756A">
              <w:rPr>
                <w:sz w:val="20"/>
                <w:szCs w:val="20"/>
              </w:rPr>
              <w:t>Instalimi i stacioneve të karikimit për automjetet elektrike dhe instalimi i paneleve fotovoltaike</w:t>
            </w:r>
          </w:p>
        </w:tc>
        <w:tc>
          <w:tcPr>
            <w:tcW w:w="3544" w:type="dxa"/>
          </w:tcPr>
          <w:p w14:paraId="70F994DB" w14:textId="77777777" w:rsidR="00B86FB3" w:rsidRPr="00FF756A" w:rsidRDefault="00B86FB3" w:rsidP="00B86FB3">
            <w:pPr>
              <w:spacing w:after="0" w:line="240" w:lineRule="auto"/>
              <w:jc w:val="left"/>
              <w:rPr>
                <w:sz w:val="20"/>
                <w:szCs w:val="20"/>
              </w:rPr>
            </w:pPr>
            <w:r w:rsidRPr="00FF756A">
              <w:rPr>
                <w:sz w:val="20"/>
                <w:szCs w:val="20"/>
              </w:rPr>
              <w:t>13,5 milionë euro (IPA III Window 3: Axhenda e gjelbër dhe lidhshmëria e qëndrueshme)</w:t>
            </w:r>
          </w:p>
        </w:tc>
        <w:tc>
          <w:tcPr>
            <w:tcW w:w="1133" w:type="dxa"/>
            <w:vAlign w:val="center"/>
          </w:tcPr>
          <w:p w14:paraId="31D07BE9"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2F53E566" w14:textId="77777777" w:rsidTr="006A3266">
        <w:trPr>
          <w:trHeight w:val="20"/>
        </w:trPr>
        <w:tc>
          <w:tcPr>
            <w:tcW w:w="682" w:type="dxa"/>
            <w:vMerge/>
            <w:shd w:val="clear" w:color="auto" w:fill="D9E2F3" w:themeFill="accent1" w:themeFillTint="33"/>
            <w:textDirection w:val="btLr"/>
          </w:tcPr>
          <w:p w14:paraId="5FC92571" w14:textId="77777777" w:rsidR="00B86FB3" w:rsidRPr="00FF756A" w:rsidRDefault="00B86FB3" w:rsidP="00B86FB3">
            <w:pPr>
              <w:ind w:left="113" w:right="113"/>
              <w:rPr>
                <w:b/>
                <w:bCs/>
                <w:sz w:val="20"/>
                <w:szCs w:val="20"/>
              </w:rPr>
            </w:pPr>
          </w:p>
        </w:tc>
        <w:tc>
          <w:tcPr>
            <w:tcW w:w="594" w:type="dxa"/>
            <w:vAlign w:val="center"/>
          </w:tcPr>
          <w:p w14:paraId="42AE3E3C" w14:textId="77777777" w:rsidR="00B86FB3" w:rsidRPr="00FF756A" w:rsidRDefault="00B86FB3" w:rsidP="00B86FB3">
            <w:pPr>
              <w:spacing w:after="0" w:line="240" w:lineRule="auto"/>
              <w:jc w:val="center"/>
              <w:rPr>
                <w:sz w:val="18"/>
                <w:szCs w:val="18"/>
              </w:rPr>
            </w:pPr>
            <w:r w:rsidRPr="00FF756A">
              <w:rPr>
                <w:sz w:val="18"/>
                <w:szCs w:val="18"/>
              </w:rPr>
              <w:t>36</w:t>
            </w:r>
          </w:p>
        </w:tc>
        <w:tc>
          <w:tcPr>
            <w:tcW w:w="851" w:type="dxa"/>
            <w:vAlign w:val="center"/>
          </w:tcPr>
          <w:p w14:paraId="31966A00" w14:textId="77777777" w:rsidR="00B86FB3" w:rsidRPr="00FF756A" w:rsidRDefault="00B86FB3" w:rsidP="00B86FB3">
            <w:pPr>
              <w:spacing w:after="0" w:line="240" w:lineRule="auto"/>
              <w:jc w:val="left"/>
              <w:rPr>
                <w:sz w:val="20"/>
                <w:szCs w:val="20"/>
              </w:rPr>
            </w:pPr>
            <w:r w:rsidRPr="00FF756A">
              <w:rPr>
                <w:sz w:val="20"/>
                <w:szCs w:val="20"/>
              </w:rPr>
              <w:t>R-I1</w:t>
            </w:r>
          </w:p>
        </w:tc>
        <w:tc>
          <w:tcPr>
            <w:tcW w:w="2693" w:type="dxa"/>
            <w:vAlign w:val="center"/>
          </w:tcPr>
          <w:p w14:paraId="726D528C" w14:textId="77777777" w:rsidR="00B86FB3" w:rsidRPr="00FF756A" w:rsidRDefault="00B86FB3" w:rsidP="00B86FB3">
            <w:pPr>
              <w:spacing w:after="0" w:line="240" w:lineRule="auto"/>
              <w:jc w:val="left"/>
              <w:rPr>
                <w:sz w:val="20"/>
                <w:szCs w:val="20"/>
              </w:rPr>
            </w:pPr>
            <w:r w:rsidRPr="00FF756A">
              <w:rPr>
                <w:sz w:val="20"/>
                <w:szCs w:val="20"/>
              </w:rPr>
              <w:t>Mbështetja e shfrytëzimit të aplikimeve të energjisë së rinovueshme në shkallë të vogël në sektorin industrial joushqimor</w:t>
            </w:r>
          </w:p>
        </w:tc>
        <w:tc>
          <w:tcPr>
            <w:tcW w:w="3544" w:type="dxa"/>
          </w:tcPr>
          <w:p w14:paraId="6704A8D0" w14:textId="77777777" w:rsidR="00B86FB3" w:rsidRPr="00FF756A" w:rsidRDefault="00B86FB3" w:rsidP="00B86FB3">
            <w:pPr>
              <w:spacing w:after="0" w:line="240" w:lineRule="auto"/>
              <w:jc w:val="left"/>
              <w:rPr>
                <w:sz w:val="20"/>
                <w:szCs w:val="20"/>
              </w:rPr>
            </w:pPr>
            <w:r w:rsidRPr="00FF756A">
              <w:rPr>
                <w:sz w:val="20"/>
                <w:szCs w:val="20"/>
              </w:rPr>
              <w:t>Buxheti indikativ: 2 milionë euro</w:t>
            </w:r>
          </w:p>
        </w:tc>
        <w:tc>
          <w:tcPr>
            <w:tcW w:w="1133" w:type="dxa"/>
            <w:vAlign w:val="center"/>
          </w:tcPr>
          <w:p w14:paraId="38CD1964"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062DB9DC" w14:textId="77777777" w:rsidTr="006A3266">
        <w:trPr>
          <w:trHeight w:val="20"/>
        </w:trPr>
        <w:tc>
          <w:tcPr>
            <w:tcW w:w="682" w:type="dxa"/>
            <w:vMerge/>
            <w:shd w:val="clear" w:color="auto" w:fill="D9E2F3" w:themeFill="accent1" w:themeFillTint="33"/>
            <w:textDirection w:val="btLr"/>
          </w:tcPr>
          <w:p w14:paraId="40944C40" w14:textId="77777777" w:rsidR="00B86FB3" w:rsidRPr="00FF756A" w:rsidRDefault="00B86FB3" w:rsidP="00B86FB3">
            <w:pPr>
              <w:ind w:left="113" w:right="113"/>
              <w:rPr>
                <w:b/>
                <w:bCs/>
                <w:sz w:val="20"/>
                <w:szCs w:val="20"/>
              </w:rPr>
            </w:pPr>
          </w:p>
        </w:tc>
        <w:tc>
          <w:tcPr>
            <w:tcW w:w="594" w:type="dxa"/>
            <w:vAlign w:val="center"/>
          </w:tcPr>
          <w:p w14:paraId="143E170F" w14:textId="77777777" w:rsidR="00B86FB3" w:rsidRPr="00FF756A" w:rsidRDefault="00B86FB3" w:rsidP="00B86FB3">
            <w:pPr>
              <w:spacing w:after="0" w:line="240" w:lineRule="auto"/>
              <w:jc w:val="center"/>
              <w:rPr>
                <w:sz w:val="18"/>
                <w:szCs w:val="18"/>
              </w:rPr>
            </w:pPr>
            <w:r w:rsidRPr="00FF756A">
              <w:rPr>
                <w:sz w:val="18"/>
                <w:szCs w:val="18"/>
              </w:rPr>
              <w:t>37</w:t>
            </w:r>
          </w:p>
        </w:tc>
        <w:tc>
          <w:tcPr>
            <w:tcW w:w="851" w:type="dxa"/>
            <w:vAlign w:val="center"/>
          </w:tcPr>
          <w:p w14:paraId="2D074BD4" w14:textId="77777777" w:rsidR="00B86FB3" w:rsidRPr="00FF756A" w:rsidRDefault="00B86FB3" w:rsidP="00B86FB3">
            <w:pPr>
              <w:spacing w:after="0" w:line="240" w:lineRule="auto"/>
              <w:jc w:val="left"/>
              <w:rPr>
                <w:sz w:val="20"/>
                <w:szCs w:val="20"/>
              </w:rPr>
            </w:pPr>
            <w:r w:rsidRPr="00FF756A">
              <w:rPr>
                <w:sz w:val="20"/>
                <w:szCs w:val="20"/>
              </w:rPr>
              <w:t>R-W1</w:t>
            </w:r>
          </w:p>
        </w:tc>
        <w:tc>
          <w:tcPr>
            <w:tcW w:w="2693" w:type="dxa"/>
            <w:vAlign w:val="center"/>
          </w:tcPr>
          <w:p w14:paraId="0BF4D265" w14:textId="77777777" w:rsidR="00B86FB3" w:rsidRPr="00FF756A" w:rsidRDefault="00B86FB3" w:rsidP="00B86FB3">
            <w:pPr>
              <w:spacing w:after="0" w:line="240" w:lineRule="auto"/>
              <w:jc w:val="left"/>
              <w:rPr>
                <w:sz w:val="20"/>
                <w:szCs w:val="20"/>
              </w:rPr>
            </w:pPr>
            <w:r w:rsidRPr="00FF756A">
              <w:rPr>
                <w:sz w:val="20"/>
                <w:szCs w:val="20"/>
              </w:rPr>
              <w:t xml:space="preserve">Vlerësimi i përdorimit të energjisë dhe mundësive për zbatimin e burimeve të energjisë së rinovueshme në sektorin e ujit </w:t>
            </w:r>
          </w:p>
        </w:tc>
        <w:tc>
          <w:tcPr>
            <w:tcW w:w="3544" w:type="dxa"/>
          </w:tcPr>
          <w:p w14:paraId="4A382004" w14:textId="77777777" w:rsidR="00B86FB3" w:rsidRPr="00FF756A" w:rsidRDefault="00B86FB3" w:rsidP="00B86FB3">
            <w:pPr>
              <w:spacing w:after="0" w:line="240" w:lineRule="auto"/>
              <w:jc w:val="left"/>
              <w:rPr>
                <w:sz w:val="20"/>
                <w:szCs w:val="20"/>
              </w:rPr>
            </w:pPr>
            <w:r w:rsidRPr="00FF756A">
              <w:rPr>
                <w:sz w:val="20"/>
                <w:szCs w:val="20"/>
              </w:rPr>
              <w:t>Kostoja e përgjithshme 14,7 milionë euro, IPA III (2023 – 2027), Window 3: Axhenda e gjelbër dhe lidhshmëria e qëndrueshme</w:t>
            </w:r>
          </w:p>
        </w:tc>
        <w:tc>
          <w:tcPr>
            <w:tcW w:w="1133" w:type="dxa"/>
            <w:vAlign w:val="center"/>
          </w:tcPr>
          <w:p w14:paraId="6631238D"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0F73150C" w14:textId="77777777" w:rsidTr="006A3266">
        <w:trPr>
          <w:trHeight w:val="20"/>
        </w:trPr>
        <w:tc>
          <w:tcPr>
            <w:tcW w:w="682" w:type="dxa"/>
            <w:vMerge w:val="restart"/>
            <w:shd w:val="clear" w:color="auto" w:fill="FFF2CC" w:themeFill="accent4" w:themeFillTint="33"/>
            <w:textDirection w:val="btLr"/>
          </w:tcPr>
          <w:p w14:paraId="233FD409" w14:textId="77777777" w:rsidR="00B86FB3" w:rsidRPr="00FF756A" w:rsidRDefault="00B86FB3" w:rsidP="00B86FB3">
            <w:pPr>
              <w:ind w:left="113" w:right="113"/>
              <w:rPr>
                <w:sz w:val="20"/>
                <w:szCs w:val="20"/>
              </w:rPr>
            </w:pPr>
            <w:r w:rsidRPr="00FF756A">
              <w:rPr>
                <w:b/>
                <w:bCs/>
                <w:sz w:val="20"/>
                <w:szCs w:val="20"/>
              </w:rPr>
              <w:t>Efiçenca e energjisë</w:t>
            </w:r>
          </w:p>
        </w:tc>
        <w:tc>
          <w:tcPr>
            <w:tcW w:w="594" w:type="dxa"/>
            <w:vAlign w:val="center"/>
          </w:tcPr>
          <w:p w14:paraId="62B63010" w14:textId="77777777" w:rsidR="00B86FB3" w:rsidRPr="00FF756A" w:rsidRDefault="00B86FB3" w:rsidP="00B86FB3">
            <w:pPr>
              <w:spacing w:after="0" w:line="240" w:lineRule="auto"/>
              <w:jc w:val="center"/>
              <w:rPr>
                <w:sz w:val="18"/>
                <w:szCs w:val="18"/>
              </w:rPr>
            </w:pPr>
            <w:r w:rsidRPr="00FF756A">
              <w:rPr>
                <w:sz w:val="18"/>
                <w:szCs w:val="18"/>
              </w:rPr>
              <w:t>38</w:t>
            </w:r>
          </w:p>
        </w:tc>
        <w:tc>
          <w:tcPr>
            <w:tcW w:w="851" w:type="dxa"/>
            <w:vAlign w:val="center"/>
          </w:tcPr>
          <w:p w14:paraId="025ECB01" w14:textId="77777777" w:rsidR="00B86FB3" w:rsidRPr="00FF756A" w:rsidRDefault="00B86FB3" w:rsidP="00B86FB3">
            <w:pPr>
              <w:spacing w:after="0" w:line="240" w:lineRule="auto"/>
              <w:jc w:val="left"/>
              <w:rPr>
                <w:sz w:val="20"/>
                <w:szCs w:val="20"/>
              </w:rPr>
            </w:pPr>
            <w:r w:rsidRPr="00FF756A">
              <w:rPr>
                <w:sz w:val="20"/>
                <w:szCs w:val="20"/>
              </w:rPr>
              <w:t>EE-O1</w:t>
            </w:r>
          </w:p>
        </w:tc>
        <w:tc>
          <w:tcPr>
            <w:tcW w:w="2693" w:type="dxa"/>
            <w:vAlign w:val="center"/>
          </w:tcPr>
          <w:p w14:paraId="099E9C24" w14:textId="77777777" w:rsidR="00B86FB3" w:rsidRPr="00FF756A" w:rsidRDefault="00B86FB3" w:rsidP="00B86FB3">
            <w:pPr>
              <w:spacing w:after="0" w:line="240" w:lineRule="auto"/>
              <w:jc w:val="left"/>
              <w:rPr>
                <w:sz w:val="20"/>
                <w:szCs w:val="20"/>
              </w:rPr>
            </w:pPr>
            <w:r w:rsidRPr="00FF756A">
              <w:rPr>
                <w:sz w:val="20"/>
                <w:szCs w:val="20"/>
              </w:rPr>
              <w:t>Skema detyruese e efiçencës së energjisë dhe masat alternative për Shqipërinë</w:t>
            </w:r>
          </w:p>
        </w:tc>
        <w:tc>
          <w:tcPr>
            <w:tcW w:w="3544" w:type="dxa"/>
          </w:tcPr>
          <w:p w14:paraId="24D8BC17" w14:textId="77777777" w:rsidR="00B86FB3" w:rsidRPr="00FF756A" w:rsidRDefault="00B86FB3" w:rsidP="00B86FB3">
            <w:pPr>
              <w:spacing w:after="0" w:line="240" w:lineRule="auto"/>
              <w:jc w:val="left"/>
              <w:rPr>
                <w:sz w:val="20"/>
                <w:szCs w:val="20"/>
              </w:rPr>
            </w:pPr>
            <w:r w:rsidRPr="00FF756A">
              <w:rPr>
                <w:sz w:val="20"/>
                <w:szCs w:val="20"/>
              </w:rPr>
              <w:t>Duke qenë se ka probleme rregullatore, buxheti lidhet më së shumti me mbështetjen teknike (në bazë të vlerësimit të parë, parashikohen 10-20 mijë euro).</w:t>
            </w:r>
          </w:p>
        </w:tc>
        <w:tc>
          <w:tcPr>
            <w:tcW w:w="1133" w:type="dxa"/>
            <w:vAlign w:val="center"/>
          </w:tcPr>
          <w:p w14:paraId="29B492DE"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11ACDD6F" w14:textId="77777777" w:rsidTr="006A3266">
        <w:trPr>
          <w:trHeight w:val="20"/>
        </w:trPr>
        <w:tc>
          <w:tcPr>
            <w:tcW w:w="682" w:type="dxa"/>
            <w:vMerge/>
            <w:shd w:val="clear" w:color="auto" w:fill="FFF2CC" w:themeFill="accent4" w:themeFillTint="33"/>
          </w:tcPr>
          <w:p w14:paraId="4CFB26A4" w14:textId="77777777" w:rsidR="00B86FB3" w:rsidRPr="00FF756A" w:rsidRDefault="00B86FB3" w:rsidP="00B86FB3">
            <w:pPr>
              <w:rPr>
                <w:sz w:val="20"/>
                <w:szCs w:val="20"/>
              </w:rPr>
            </w:pPr>
          </w:p>
        </w:tc>
        <w:tc>
          <w:tcPr>
            <w:tcW w:w="594" w:type="dxa"/>
            <w:vAlign w:val="center"/>
          </w:tcPr>
          <w:p w14:paraId="5A064964" w14:textId="77777777" w:rsidR="00B86FB3" w:rsidRPr="00FF756A" w:rsidRDefault="00B86FB3" w:rsidP="00B86FB3">
            <w:pPr>
              <w:spacing w:after="0" w:line="240" w:lineRule="auto"/>
              <w:jc w:val="center"/>
              <w:rPr>
                <w:sz w:val="18"/>
                <w:szCs w:val="18"/>
              </w:rPr>
            </w:pPr>
            <w:r w:rsidRPr="00FF756A">
              <w:rPr>
                <w:sz w:val="18"/>
                <w:szCs w:val="18"/>
              </w:rPr>
              <w:t>39</w:t>
            </w:r>
          </w:p>
        </w:tc>
        <w:tc>
          <w:tcPr>
            <w:tcW w:w="851" w:type="dxa"/>
            <w:vAlign w:val="center"/>
          </w:tcPr>
          <w:p w14:paraId="3E3A6163" w14:textId="77777777" w:rsidR="00B86FB3" w:rsidRPr="00FF756A" w:rsidRDefault="00B86FB3" w:rsidP="00B86FB3">
            <w:pPr>
              <w:spacing w:after="0" w:line="240" w:lineRule="auto"/>
              <w:jc w:val="left"/>
              <w:rPr>
                <w:sz w:val="20"/>
                <w:szCs w:val="20"/>
              </w:rPr>
            </w:pPr>
            <w:r w:rsidRPr="00FF756A">
              <w:rPr>
                <w:sz w:val="20"/>
                <w:szCs w:val="20"/>
              </w:rPr>
              <w:t>EE-I1</w:t>
            </w:r>
          </w:p>
        </w:tc>
        <w:tc>
          <w:tcPr>
            <w:tcW w:w="2693" w:type="dxa"/>
            <w:vAlign w:val="center"/>
          </w:tcPr>
          <w:p w14:paraId="60B6E78F" w14:textId="77777777" w:rsidR="00B86FB3" w:rsidRPr="00FF756A" w:rsidRDefault="00B86FB3" w:rsidP="00B86FB3">
            <w:pPr>
              <w:spacing w:after="0" w:line="240" w:lineRule="auto"/>
              <w:jc w:val="left"/>
              <w:rPr>
                <w:sz w:val="20"/>
                <w:szCs w:val="20"/>
              </w:rPr>
            </w:pPr>
            <w:r w:rsidRPr="00FF756A">
              <w:rPr>
                <w:sz w:val="20"/>
                <w:szCs w:val="20"/>
              </w:rPr>
              <w:t>Inspektimi i sistemeve teknike të ndërtimit</w:t>
            </w:r>
          </w:p>
        </w:tc>
        <w:tc>
          <w:tcPr>
            <w:tcW w:w="3544" w:type="dxa"/>
          </w:tcPr>
          <w:p w14:paraId="63DE358F" w14:textId="77777777" w:rsidR="00B86FB3" w:rsidRPr="00FF756A" w:rsidRDefault="00B86FB3" w:rsidP="00B86FB3">
            <w:pPr>
              <w:spacing w:after="0" w:line="240" w:lineRule="auto"/>
              <w:jc w:val="left"/>
              <w:rPr>
                <w:sz w:val="20"/>
                <w:szCs w:val="20"/>
              </w:rPr>
            </w:pPr>
            <w:r w:rsidRPr="00FF756A">
              <w:rPr>
                <w:sz w:val="20"/>
                <w:szCs w:val="20"/>
              </w:rPr>
              <w:t>Pritet vlerësimi i kostove të inspektimit.</w:t>
            </w:r>
          </w:p>
        </w:tc>
        <w:tc>
          <w:tcPr>
            <w:tcW w:w="1133" w:type="dxa"/>
            <w:vAlign w:val="center"/>
          </w:tcPr>
          <w:p w14:paraId="5EB99C45"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4EB79EE6" w14:textId="77777777" w:rsidTr="006A3266">
        <w:trPr>
          <w:trHeight w:val="20"/>
        </w:trPr>
        <w:tc>
          <w:tcPr>
            <w:tcW w:w="682" w:type="dxa"/>
            <w:vMerge/>
            <w:shd w:val="clear" w:color="auto" w:fill="FFF2CC" w:themeFill="accent4" w:themeFillTint="33"/>
          </w:tcPr>
          <w:p w14:paraId="2FB7A10D" w14:textId="77777777" w:rsidR="00B86FB3" w:rsidRPr="00FF756A" w:rsidRDefault="00B86FB3" w:rsidP="00B86FB3">
            <w:pPr>
              <w:rPr>
                <w:sz w:val="20"/>
                <w:szCs w:val="20"/>
              </w:rPr>
            </w:pPr>
          </w:p>
        </w:tc>
        <w:tc>
          <w:tcPr>
            <w:tcW w:w="594" w:type="dxa"/>
            <w:vAlign w:val="center"/>
          </w:tcPr>
          <w:p w14:paraId="32AA2C44" w14:textId="77777777" w:rsidR="00B86FB3" w:rsidRPr="00FF756A" w:rsidRDefault="00B86FB3" w:rsidP="00B86FB3">
            <w:pPr>
              <w:spacing w:after="0" w:line="240" w:lineRule="auto"/>
              <w:jc w:val="center"/>
              <w:rPr>
                <w:sz w:val="18"/>
                <w:szCs w:val="18"/>
              </w:rPr>
            </w:pPr>
            <w:r w:rsidRPr="00FF756A">
              <w:rPr>
                <w:sz w:val="18"/>
                <w:szCs w:val="18"/>
              </w:rPr>
              <w:t>40</w:t>
            </w:r>
          </w:p>
        </w:tc>
        <w:tc>
          <w:tcPr>
            <w:tcW w:w="851" w:type="dxa"/>
            <w:vAlign w:val="center"/>
          </w:tcPr>
          <w:p w14:paraId="4570FD8D" w14:textId="77777777" w:rsidR="00B86FB3" w:rsidRPr="00FF756A" w:rsidRDefault="00B86FB3" w:rsidP="00B86FB3">
            <w:pPr>
              <w:spacing w:after="0" w:line="240" w:lineRule="auto"/>
              <w:jc w:val="left"/>
              <w:rPr>
                <w:sz w:val="20"/>
                <w:szCs w:val="20"/>
              </w:rPr>
            </w:pPr>
            <w:r w:rsidRPr="00FF756A">
              <w:rPr>
                <w:sz w:val="20"/>
                <w:szCs w:val="20"/>
              </w:rPr>
              <w:t>EE-L1</w:t>
            </w:r>
          </w:p>
        </w:tc>
        <w:tc>
          <w:tcPr>
            <w:tcW w:w="2693" w:type="dxa"/>
            <w:vAlign w:val="center"/>
          </w:tcPr>
          <w:p w14:paraId="1ABBE3B1" w14:textId="77777777" w:rsidR="00B86FB3" w:rsidRPr="00FF756A" w:rsidRDefault="00B86FB3" w:rsidP="00B86FB3">
            <w:pPr>
              <w:spacing w:after="0" w:line="240" w:lineRule="auto"/>
              <w:jc w:val="left"/>
              <w:rPr>
                <w:sz w:val="20"/>
                <w:szCs w:val="20"/>
              </w:rPr>
            </w:pPr>
            <w:r w:rsidRPr="00FF756A">
              <w:rPr>
                <w:sz w:val="20"/>
                <w:szCs w:val="20"/>
              </w:rPr>
              <w:t>Zbatimi i kërkesave minimale të performancës së energjisë në ndërtesa</w:t>
            </w:r>
          </w:p>
        </w:tc>
        <w:tc>
          <w:tcPr>
            <w:tcW w:w="3544" w:type="dxa"/>
          </w:tcPr>
          <w:p w14:paraId="351AAC22" w14:textId="77777777" w:rsidR="00B86FB3" w:rsidRPr="00FF756A" w:rsidRDefault="00B86FB3" w:rsidP="00B86FB3">
            <w:pPr>
              <w:spacing w:after="0" w:line="240" w:lineRule="auto"/>
              <w:jc w:val="left"/>
              <w:rPr>
                <w:sz w:val="20"/>
                <w:szCs w:val="20"/>
              </w:rPr>
            </w:pPr>
            <w:r w:rsidRPr="00FF756A">
              <w:rPr>
                <w:sz w:val="20"/>
                <w:szCs w:val="20"/>
              </w:rPr>
              <w:t>Nuk disponohet një buxhet total i përllogaritur, por disa nga fondet e dedikuara janë: (i) Ndihma shtetërore për “bizneset e reja të gjelbra” në Tiranë, me një vlerë totale të fondit për dy vite prej rreth 0,3 milionë euro; dhe (ii) 6,5 milionë euro "për efiçencën e energjisë për qytetin studenti" nga banka KfW. Ngritja e një baze të dhënash të CPE që plotëson kërkesat e ndërveprueshmërisë vlerësohet në 0,2 milionë euro. Kostoja për funksionimin dhe mirëmbajtjen e bazës së të dhënave të CPE dhe mjeteve softuerike përkatëse, si dhe për ofrimin e trajnimeve, vlerësohet në 25 000 euro në vit.</w:t>
            </w:r>
          </w:p>
        </w:tc>
        <w:tc>
          <w:tcPr>
            <w:tcW w:w="1133" w:type="dxa"/>
            <w:vAlign w:val="center"/>
          </w:tcPr>
          <w:p w14:paraId="5B4A5BFB"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494F1FE3" w14:textId="77777777" w:rsidTr="006A3266">
        <w:trPr>
          <w:trHeight w:val="20"/>
        </w:trPr>
        <w:tc>
          <w:tcPr>
            <w:tcW w:w="682" w:type="dxa"/>
            <w:vMerge/>
            <w:shd w:val="clear" w:color="auto" w:fill="FFF2CC" w:themeFill="accent4" w:themeFillTint="33"/>
          </w:tcPr>
          <w:p w14:paraId="7557BAEA" w14:textId="77777777" w:rsidR="00B86FB3" w:rsidRPr="00FF756A" w:rsidRDefault="00B86FB3" w:rsidP="00B86FB3">
            <w:pPr>
              <w:rPr>
                <w:sz w:val="20"/>
                <w:szCs w:val="20"/>
              </w:rPr>
            </w:pPr>
          </w:p>
        </w:tc>
        <w:tc>
          <w:tcPr>
            <w:tcW w:w="594" w:type="dxa"/>
            <w:vAlign w:val="center"/>
          </w:tcPr>
          <w:p w14:paraId="41AA8949" w14:textId="77777777" w:rsidR="00B86FB3" w:rsidRPr="00FF756A" w:rsidRDefault="00B86FB3" w:rsidP="00B86FB3">
            <w:pPr>
              <w:spacing w:after="0" w:line="240" w:lineRule="auto"/>
              <w:jc w:val="center"/>
              <w:rPr>
                <w:sz w:val="18"/>
                <w:szCs w:val="18"/>
              </w:rPr>
            </w:pPr>
            <w:r w:rsidRPr="00FF756A">
              <w:rPr>
                <w:sz w:val="18"/>
                <w:szCs w:val="18"/>
              </w:rPr>
              <w:t>41</w:t>
            </w:r>
          </w:p>
        </w:tc>
        <w:tc>
          <w:tcPr>
            <w:tcW w:w="851" w:type="dxa"/>
            <w:vAlign w:val="center"/>
          </w:tcPr>
          <w:p w14:paraId="46618D1C" w14:textId="77777777" w:rsidR="00B86FB3" w:rsidRPr="00FF756A" w:rsidRDefault="00B86FB3" w:rsidP="00B86FB3">
            <w:pPr>
              <w:spacing w:after="0" w:line="240" w:lineRule="auto"/>
              <w:jc w:val="left"/>
              <w:rPr>
                <w:sz w:val="20"/>
                <w:szCs w:val="20"/>
              </w:rPr>
            </w:pPr>
            <w:r w:rsidRPr="00FF756A">
              <w:rPr>
                <w:sz w:val="20"/>
                <w:szCs w:val="20"/>
              </w:rPr>
              <w:t>EE-L2</w:t>
            </w:r>
          </w:p>
        </w:tc>
        <w:tc>
          <w:tcPr>
            <w:tcW w:w="2693" w:type="dxa"/>
            <w:vAlign w:val="center"/>
          </w:tcPr>
          <w:p w14:paraId="276F51FA" w14:textId="77777777" w:rsidR="00B86FB3" w:rsidRPr="00FF756A" w:rsidRDefault="00B86FB3" w:rsidP="00B86FB3">
            <w:pPr>
              <w:spacing w:after="0" w:line="240" w:lineRule="auto"/>
              <w:jc w:val="left"/>
              <w:rPr>
                <w:sz w:val="20"/>
                <w:szCs w:val="20"/>
              </w:rPr>
            </w:pPr>
            <w:r w:rsidRPr="00FF756A">
              <w:rPr>
                <w:iCs/>
                <w:sz w:val="20"/>
                <w:szCs w:val="20"/>
              </w:rPr>
              <w:t>Plani afatgjatë e rinovimit të ndërtesave (për ndërtesat publike dhe private) sipas riformulimit të EPBD-së në vitin 2024</w:t>
            </w:r>
          </w:p>
        </w:tc>
        <w:tc>
          <w:tcPr>
            <w:tcW w:w="3544" w:type="dxa"/>
            <w:vAlign w:val="center"/>
          </w:tcPr>
          <w:p w14:paraId="74A89F63" w14:textId="77777777" w:rsidR="00B86FB3" w:rsidRPr="00FF756A" w:rsidRDefault="00B86FB3" w:rsidP="00B86FB3">
            <w:pPr>
              <w:spacing w:after="0" w:line="240" w:lineRule="auto"/>
              <w:jc w:val="left"/>
              <w:rPr>
                <w:sz w:val="20"/>
                <w:szCs w:val="20"/>
              </w:rPr>
            </w:pPr>
            <w:r w:rsidRPr="00FF756A">
              <w:rPr>
                <w:sz w:val="20"/>
                <w:szCs w:val="20"/>
              </w:rPr>
              <w:t>Vlerësimi fillestar është 1 milion euro</w:t>
            </w:r>
          </w:p>
        </w:tc>
        <w:tc>
          <w:tcPr>
            <w:tcW w:w="1133" w:type="dxa"/>
            <w:vAlign w:val="center"/>
          </w:tcPr>
          <w:p w14:paraId="03F78251"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6103C97E" w14:textId="77777777" w:rsidTr="006A3266">
        <w:trPr>
          <w:trHeight w:val="20"/>
        </w:trPr>
        <w:tc>
          <w:tcPr>
            <w:tcW w:w="682" w:type="dxa"/>
            <w:vMerge/>
            <w:shd w:val="clear" w:color="auto" w:fill="FFF2CC" w:themeFill="accent4" w:themeFillTint="33"/>
          </w:tcPr>
          <w:p w14:paraId="7B8725B9" w14:textId="77777777" w:rsidR="00B86FB3" w:rsidRPr="00FF756A" w:rsidRDefault="00B86FB3" w:rsidP="00B86FB3">
            <w:pPr>
              <w:rPr>
                <w:sz w:val="20"/>
                <w:szCs w:val="20"/>
              </w:rPr>
            </w:pPr>
          </w:p>
        </w:tc>
        <w:tc>
          <w:tcPr>
            <w:tcW w:w="594" w:type="dxa"/>
            <w:vAlign w:val="center"/>
          </w:tcPr>
          <w:p w14:paraId="0ABF1762" w14:textId="77777777" w:rsidR="00B86FB3" w:rsidRPr="00FF756A" w:rsidRDefault="00B86FB3" w:rsidP="00B86FB3">
            <w:pPr>
              <w:spacing w:after="0" w:line="240" w:lineRule="auto"/>
              <w:jc w:val="center"/>
              <w:rPr>
                <w:sz w:val="18"/>
                <w:szCs w:val="18"/>
              </w:rPr>
            </w:pPr>
            <w:r w:rsidRPr="00FF756A">
              <w:rPr>
                <w:sz w:val="18"/>
                <w:szCs w:val="18"/>
              </w:rPr>
              <w:t>42</w:t>
            </w:r>
          </w:p>
        </w:tc>
        <w:tc>
          <w:tcPr>
            <w:tcW w:w="851" w:type="dxa"/>
            <w:vAlign w:val="center"/>
          </w:tcPr>
          <w:p w14:paraId="5FF0B0BD" w14:textId="77777777" w:rsidR="00B86FB3" w:rsidRPr="00FF756A" w:rsidRDefault="00B86FB3" w:rsidP="00B86FB3">
            <w:pPr>
              <w:spacing w:after="0" w:line="240" w:lineRule="auto"/>
              <w:jc w:val="left"/>
              <w:rPr>
                <w:sz w:val="20"/>
                <w:szCs w:val="20"/>
              </w:rPr>
            </w:pPr>
            <w:r w:rsidRPr="00FF756A">
              <w:rPr>
                <w:sz w:val="20"/>
                <w:szCs w:val="20"/>
              </w:rPr>
              <w:t>EE-L3</w:t>
            </w:r>
          </w:p>
        </w:tc>
        <w:tc>
          <w:tcPr>
            <w:tcW w:w="2693" w:type="dxa"/>
            <w:vAlign w:val="center"/>
          </w:tcPr>
          <w:p w14:paraId="2FB92DF5" w14:textId="77777777" w:rsidR="00B86FB3" w:rsidRPr="00FF756A" w:rsidRDefault="00B86FB3" w:rsidP="00B86FB3">
            <w:pPr>
              <w:spacing w:after="0" w:line="240" w:lineRule="auto"/>
              <w:jc w:val="left"/>
              <w:rPr>
                <w:sz w:val="20"/>
                <w:szCs w:val="20"/>
              </w:rPr>
            </w:pPr>
            <w:r w:rsidRPr="00FF756A">
              <w:rPr>
                <w:sz w:val="20"/>
                <w:szCs w:val="20"/>
              </w:rPr>
              <w:t xml:space="preserve">Standardet minimale të performancës së energjisë për ndërtesat jorezidenciale dhe trajektoret për rinovimin progresiv të stokut të ndërtesave rezidenciale </w:t>
            </w:r>
          </w:p>
        </w:tc>
        <w:tc>
          <w:tcPr>
            <w:tcW w:w="3544" w:type="dxa"/>
            <w:vAlign w:val="center"/>
          </w:tcPr>
          <w:p w14:paraId="6E24EE09" w14:textId="77777777" w:rsidR="00B86FB3" w:rsidRPr="00FF756A" w:rsidRDefault="00B86FB3" w:rsidP="00B86FB3">
            <w:pPr>
              <w:spacing w:after="0" w:line="240" w:lineRule="auto"/>
              <w:jc w:val="left"/>
              <w:rPr>
                <w:sz w:val="20"/>
                <w:szCs w:val="20"/>
              </w:rPr>
            </w:pPr>
            <w:r w:rsidRPr="00FF756A">
              <w:rPr>
                <w:sz w:val="20"/>
                <w:szCs w:val="20"/>
              </w:rPr>
              <w:t>Shihni EE-L2.</w:t>
            </w:r>
          </w:p>
        </w:tc>
        <w:tc>
          <w:tcPr>
            <w:tcW w:w="1133" w:type="dxa"/>
            <w:vAlign w:val="center"/>
          </w:tcPr>
          <w:p w14:paraId="19CCCDE7"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1B66F8AB" w14:textId="77777777" w:rsidTr="006A3266">
        <w:trPr>
          <w:trHeight w:val="20"/>
        </w:trPr>
        <w:tc>
          <w:tcPr>
            <w:tcW w:w="682" w:type="dxa"/>
            <w:vMerge/>
            <w:shd w:val="clear" w:color="auto" w:fill="FFF2CC" w:themeFill="accent4" w:themeFillTint="33"/>
          </w:tcPr>
          <w:p w14:paraId="6955D7EA" w14:textId="77777777" w:rsidR="00B86FB3" w:rsidRPr="00FF756A" w:rsidRDefault="00B86FB3" w:rsidP="00B86FB3">
            <w:pPr>
              <w:rPr>
                <w:sz w:val="20"/>
                <w:szCs w:val="20"/>
              </w:rPr>
            </w:pPr>
          </w:p>
        </w:tc>
        <w:tc>
          <w:tcPr>
            <w:tcW w:w="594" w:type="dxa"/>
            <w:vAlign w:val="center"/>
          </w:tcPr>
          <w:p w14:paraId="1D49107D" w14:textId="77777777" w:rsidR="00B86FB3" w:rsidRPr="00FF756A" w:rsidRDefault="00B86FB3" w:rsidP="00B86FB3">
            <w:pPr>
              <w:spacing w:after="0" w:line="240" w:lineRule="auto"/>
              <w:jc w:val="center"/>
              <w:rPr>
                <w:sz w:val="18"/>
                <w:szCs w:val="18"/>
              </w:rPr>
            </w:pPr>
            <w:r w:rsidRPr="00FF756A">
              <w:rPr>
                <w:sz w:val="18"/>
                <w:szCs w:val="18"/>
              </w:rPr>
              <w:t>43</w:t>
            </w:r>
          </w:p>
        </w:tc>
        <w:tc>
          <w:tcPr>
            <w:tcW w:w="851" w:type="dxa"/>
            <w:vAlign w:val="center"/>
          </w:tcPr>
          <w:p w14:paraId="170A5524" w14:textId="77777777" w:rsidR="00B86FB3" w:rsidRPr="00FF756A" w:rsidRDefault="00B86FB3" w:rsidP="00B86FB3">
            <w:pPr>
              <w:spacing w:after="0" w:line="240" w:lineRule="auto"/>
              <w:jc w:val="left"/>
              <w:rPr>
                <w:sz w:val="20"/>
                <w:szCs w:val="20"/>
              </w:rPr>
            </w:pPr>
            <w:r w:rsidRPr="00FF756A">
              <w:rPr>
                <w:sz w:val="20"/>
                <w:szCs w:val="20"/>
              </w:rPr>
              <w:t>EE-L4</w:t>
            </w:r>
          </w:p>
        </w:tc>
        <w:tc>
          <w:tcPr>
            <w:tcW w:w="2693" w:type="dxa"/>
            <w:vAlign w:val="center"/>
          </w:tcPr>
          <w:p w14:paraId="027115BB" w14:textId="77777777" w:rsidR="00B86FB3" w:rsidRPr="00FF756A" w:rsidRDefault="00B86FB3" w:rsidP="00B86FB3">
            <w:pPr>
              <w:spacing w:after="0" w:line="240" w:lineRule="auto"/>
              <w:jc w:val="left"/>
              <w:rPr>
                <w:sz w:val="20"/>
                <w:szCs w:val="20"/>
              </w:rPr>
            </w:pPr>
            <w:r w:rsidRPr="00FF756A">
              <w:rPr>
                <w:sz w:val="20"/>
                <w:szCs w:val="20"/>
              </w:rPr>
              <w:t xml:space="preserve">Rikonstruktimi i ndërtesave ekzistuese të qeverisë qendrore </w:t>
            </w:r>
            <w:r w:rsidRPr="00FF756A">
              <w:rPr>
                <w:i/>
                <w:iCs/>
                <w:sz w:val="20"/>
                <w:szCs w:val="20"/>
              </w:rPr>
              <w:t>(</w:t>
            </w:r>
            <w:r w:rsidRPr="00FF756A">
              <w:rPr>
                <w:i/>
                <w:sz w:val="20"/>
                <w:szCs w:val="20"/>
              </w:rPr>
              <w:t>me përjashtim të ndërtesave të tjera publike në pronësi të bashkive etj.</w:t>
            </w:r>
            <w:r w:rsidRPr="00FF756A">
              <w:rPr>
                <w:i/>
                <w:iCs/>
                <w:sz w:val="20"/>
                <w:szCs w:val="20"/>
              </w:rPr>
              <w:t>)</w:t>
            </w:r>
          </w:p>
        </w:tc>
        <w:tc>
          <w:tcPr>
            <w:tcW w:w="3544" w:type="dxa"/>
          </w:tcPr>
          <w:p w14:paraId="475B5DA2" w14:textId="77777777" w:rsidR="00B86FB3" w:rsidRPr="00FF756A" w:rsidRDefault="00B86FB3" w:rsidP="00B86FB3">
            <w:pPr>
              <w:spacing w:before="20" w:after="20" w:line="240" w:lineRule="auto"/>
              <w:rPr>
                <w:sz w:val="20"/>
                <w:szCs w:val="20"/>
              </w:rPr>
            </w:pPr>
            <w:r w:rsidRPr="00FF756A">
              <w:rPr>
                <w:sz w:val="20"/>
                <w:szCs w:val="20"/>
              </w:rPr>
              <w:t>Kostot totale të investimit për periudhën 2020-2030 janë 500 milionë euro.</w:t>
            </w:r>
          </w:p>
          <w:p w14:paraId="1723DA43" w14:textId="77777777" w:rsidR="00B86FB3" w:rsidRPr="00FF756A" w:rsidRDefault="00B86FB3" w:rsidP="00B86FB3">
            <w:pPr>
              <w:spacing w:after="0" w:line="240" w:lineRule="auto"/>
              <w:jc w:val="left"/>
              <w:rPr>
                <w:sz w:val="20"/>
                <w:szCs w:val="20"/>
              </w:rPr>
            </w:pPr>
          </w:p>
        </w:tc>
        <w:tc>
          <w:tcPr>
            <w:tcW w:w="1133" w:type="dxa"/>
            <w:vAlign w:val="center"/>
          </w:tcPr>
          <w:p w14:paraId="5578EE9E"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624C9219" w14:textId="77777777" w:rsidTr="006A3266">
        <w:trPr>
          <w:trHeight w:val="20"/>
        </w:trPr>
        <w:tc>
          <w:tcPr>
            <w:tcW w:w="682" w:type="dxa"/>
            <w:vMerge/>
            <w:shd w:val="clear" w:color="auto" w:fill="FFF2CC" w:themeFill="accent4" w:themeFillTint="33"/>
          </w:tcPr>
          <w:p w14:paraId="585E86B8" w14:textId="77777777" w:rsidR="00B86FB3" w:rsidRPr="00FF756A" w:rsidRDefault="00B86FB3" w:rsidP="00B86FB3">
            <w:pPr>
              <w:rPr>
                <w:sz w:val="20"/>
                <w:szCs w:val="20"/>
              </w:rPr>
            </w:pPr>
          </w:p>
        </w:tc>
        <w:tc>
          <w:tcPr>
            <w:tcW w:w="594" w:type="dxa"/>
            <w:vAlign w:val="center"/>
          </w:tcPr>
          <w:p w14:paraId="3D632F70" w14:textId="77777777" w:rsidR="00B86FB3" w:rsidRPr="00FF756A" w:rsidRDefault="00B86FB3" w:rsidP="00B86FB3">
            <w:pPr>
              <w:spacing w:after="0" w:line="240" w:lineRule="auto"/>
              <w:jc w:val="center"/>
              <w:rPr>
                <w:sz w:val="18"/>
                <w:szCs w:val="18"/>
              </w:rPr>
            </w:pPr>
            <w:r w:rsidRPr="00FF756A">
              <w:rPr>
                <w:sz w:val="18"/>
                <w:szCs w:val="18"/>
              </w:rPr>
              <w:t>44</w:t>
            </w:r>
          </w:p>
        </w:tc>
        <w:tc>
          <w:tcPr>
            <w:tcW w:w="851" w:type="dxa"/>
            <w:vAlign w:val="center"/>
          </w:tcPr>
          <w:p w14:paraId="211FB96D" w14:textId="77777777" w:rsidR="00B86FB3" w:rsidRPr="00FF756A" w:rsidRDefault="00B86FB3" w:rsidP="00B86FB3">
            <w:pPr>
              <w:spacing w:after="0" w:line="240" w:lineRule="auto"/>
              <w:jc w:val="left"/>
              <w:rPr>
                <w:sz w:val="20"/>
                <w:szCs w:val="20"/>
              </w:rPr>
            </w:pPr>
            <w:r w:rsidRPr="00FF756A">
              <w:rPr>
                <w:sz w:val="20"/>
                <w:szCs w:val="20"/>
              </w:rPr>
              <w:t>EE-L5</w:t>
            </w:r>
          </w:p>
        </w:tc>
        <w:tc>
          <w:tcPr>
            <w:tcW w:w="2693" w:type="dxa"/>
            <w:vAlign w:val="center"/>
          </w:tcPr>
          <w:p w14:paraId="591946FD" w14:textId="77777777" w:rsidR="00B86FB3" w:rsidRPr="00FF756A" w:rsidRDefault="00B86FB3" w:rsidP="00B86FB3">
            <w:pPr>
              <w:spacing w:after="0" w:line="240" w:lineRule="auto"/>
              <w:jc w:val="left"/>
              <w:rPr>
                <w:sz w:val="20"/>
                <w:szCs w:val="20"/>
              </w:rPr>
            </w:pPr>
            <w:r w:rsidRPr="00FF756A">
              <w:rPr>
                <w:sz w:val="20"/>
                <w:szCs w:val="20"/>
              </w:rPr>
              <w:t xml:space="preserve">Rikonstruktimi i stokut të ndërtesave publike </w:t>
            </w:r>
            <w:r w:rsidRPr="00FF756A">
              <w:rPr>
                <w:i/>
                <w:sz w:val="20"/>
                <w:szCs w:val="20"/>
              </w:rPr>
              <w:t>(të gjitha ndërtesat publike me përjashtim të atyre të qeverisë qendrore)</w:t>
            </w:r>
          </w:p>
        </w:tc>
        <w:tc>
          <w:tcPr>
            <w:tcW w:w="3544" w:type="dxa"/>
            <w:vAlign w:val="center"/>
          </w:tcPr>
          <w:p w14:paraId="39C5412F" w14:textId="77777777" w:rsidR="00B86FB3" w:rsidRPr="00FF756A" w:rsidRDefault="00B86FB3" w:rsidP="00B86FB3">
            <w:pPr>
              <w:spacing w:after="0" w:line="240" w:lineRule="auto"/>
              <w:jc w:val="left"/>
              <w:rPr>
                <w:sz w:val="20"/>
                <w:szCs w:val="20"/>
              </w:rPr>
            </w:pPr>
            <w:r w:rsidRPr="00FF756A">
              <w:rPr>
                <w:sz w:val="20"/>
                <w:szCs w:val="20"/>
              </w:rPr>
              <w:t>Kostot totale të investimit për rikonstruktimin e ndërtesave publike për periudhën 2015- 2030 janë 1,8 miliardë euro.</w:t>
            </w:r>
          </w:p>
        </w:tc>
        <w:tc>
          <w:tcPr>
            <w:tcW w:w="1133" w:type="dxa"/>
            <w:vAlign w:val="center"/>
          </w:tcPr>
          <w:p w14:paraId="5F6289C7"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75597332" w14:textId="77777777" w:rsidTr="006A3266">
        <w:trPr>
          <w:trHeight w:val="20"/>
        </w:trPr>
        <w:tc>
          <w:tcPr>
            <w:tcW w:w="682" w:type="dxa"/>
            <w:vMerge/>
            <w:shd w:val="clear" w:color="auto" w:fill="FFF2CC" w:themeFill="accent4" w:themeFillTint="33"/>
          </w:tcPr>
          <w:p w14:paraId="2E8DBE1F" w14:textId="77777777" w:rsidR="00B86FB3" w:rsidRPr="00FF756A" w:rsidRDefault="00B86FB3" w:rsidP="00B86FB3">
            <w:pPr>
              <w:rPr>
                <w:sz w:val="20"/>
                <w:szCs w:val="20"/>
              </w:rPr>
            </w:pPr>
          </w:p>
        </w:tc>
        <w:tc>
          <w:tcPr>
            <w:tcW w:w="594" w:type="dxa"/>
            <w:vAlign w:val="center"/>
          </w:tcPr>
          <w:p w14:paraId="0EC37A77" w14:textId="77777777" w:rsidR="00B86FB3" w:rsidRPr="00FF756A" w:rsidRDefault="00B86FB3" w:rsidP="00B86FB3">
            <w:pPr>
              <w:spacing w:after="0" w:line="240" w:lineRule="auto"/>
              <w:jc w:val="center"/>
              <w:rPr>
                <w:sz w:val="18"/>
                <w:szCs w:val="18"/>
              </w:rPr>
            </w:pPr>
            <w:r w:rsidRPr="00FF756A">
              <w:rPr>
                <w:sz w:val="18"/>
                <w:szCs w:val="18"/>
              </w:rPr>
              <w:t>45</w:t>
            </w:r>
          </w:p>
        </w:tc>
        <w:tc>
          <w:tcPr>
            <w:tcW w:w="851" w:type="dxa"/>
            <w:vAlign w:val="center"/>
          </w:tcPr>
          <w:p w14:paraId="7C3DDA7A" w14:textId="77777777" w:rsidR="00B86FB3" w:rsidRPr="00FF756A" w:rsidRDefault="00B86FB3" w:rsidP="00B86FB3">
            <w:pPr>
              <w:spacing w:after="0" w:line="240" w:lineRule="auto"/>
              <w:jc w:val="left"/>
              <w:rPr>
                <w:sz w:val="20"/>
                <w:szCs w:val="20"/>
              </w:rPr>
            </w:pPr>
            <w:r w:rsidRPr="00FF756A">
              <w:rPr>
                <w:sz w:val="20"/>
                <w:szCs w:val="20"/>
              </w:rPr>
              <w:t>EE-L6</w:t>
            </w:r>
          </w:p>
        </w:tc>
        <w:tc>
          <w:tcPr>
            <w:tcW w:w="2693" w:type="dxa"/>
            <w:vAlign w:val="center"/>
          </w:tcPr>
          <w:p w14:paraId="6BF383D0" w14:textId="77777777" w:rsidR="00B86FB3" w:rsidRPr="00FF756A" w:rsidRDefault="00B86FB3" w:rsidP="00B86FB3">
            <w:pPr>
              <w:spacing w:after="0" w:line="240" w:lineRule="auto"/>
              <w:jc w:val="left"/>
              <w:rPr>
                <w:sz w:val="20"/>
                <w:szCs w:val="20"/>
              </w:rPr>
            </w:pPr>
            <w:r w:rsidRPr="00FF756A">
              <w:rPr>
                <w:sz w:val="20"/>
                <w:szCs w:val="20"/>
              </w:rPr>
              <w:t>Skemat e mbështetjes financiare për përmirësimin e efiçencës së energjisë në ndërtesa (sektori privat)</w:t>
            </w:r>
          </w:p>
        </w:tc>
        <w:tc>
          <w:tcPr>
            <w:tcW w:w="3544" w:type="dxa"/>
            <w:vAlign w:val="center"/>
          </w:tcPr>
          <w:p w14:paraId="7814A863" w14:textId="77777777" w:rsidR="00B86FB3" w:rsidRPr="00FF756A" w:rsidRDefault="00B86FB3" w:rsidP="00B86FB3">
            <w:pPr>
              <w:spacing w:after="0" w:line="240" w:lineRule="auto"/>
              <w:jc w:val="left"/>
              <w:rPr>
                <w:sz w:val="20"/>
                <w:szCs w:val="20"/>
              </w:rPr>
            </w:pPr>
            <w:r w:rsidRPr="00FF756A">
              <w:rPr>
                <w:sz w:val="20"/>
                <w:szCs w:val="20"/>
              </w:rPr>
              <w:t>Buxheti për këshillimin falas mbi energjinë/auditimet energjetike do të financohet nga programet e asistencë teknike - shuma e përllogaritur është 25 000 euro në vit.</w:t>
            </w:r>
          </w:p>
        </w:tc>
        <w:tc>
          <w:tcPr>
            <w:tcW w:w="1133" w:type="dxa"/>
            <w:vAlign w:val="center"/>
          </w:tcPr>
          <w:p w14:paraId="4B8CD879"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65EA600C" w14:textId="77777777" w:rsidTr="006A3266">
        <w:trPr>
          <w:trHeight w:val="20"/>
        </w:trPr>
        <w:tc>
          <w:tcPr>
            <w:tcW w:w="682" w:type="dxa"/>
            <w:vMerge/>
            <w:shd w:val="clear" w:color="auto" w:fill="FFF2CC" w:themeFill="accent4" w:themeFillTint="33"/>
          </w:tcPr>
          <w:p w14:paraId="03A52BD2" w14:textId="77777777" w:rsidR="00B86FB3" w:rsidRPr="00FF756A" w:rsidRDefault="00B86FB3" w:rsidP="00B86FB3">
            <w:pPr>
              <w:rPr>
                <w:sz w:val="20"/>
                <w:szCs w:val="20"/>
              </w:rPr>
            </w:pPr>
          </w:p>
        </w:tc>
        <w:tc>
          <w:tcPr>
            <w:tcW w:w="594" w:type="dxa"/>
            <w:vAlign w:val="center"/>
          </w:tcPr>
          <w:p w14:paraId="728EC511" w14:textId="77777777" w:rsidR="00B86FB3" w:rsidRPr="00FF756A" w:rsidRDefault="00B86FB3" w:rsidP="00B86FB3">
            <w:pPr>
              <w:spacing w:after="0" w:line="240" w:lineRule="auto"/>
              <w:jc w:val="center"/>
              <w:rPr>
                <w:sz w:val="18"/>
                <w:szCs w:val="18"/>
              </w:rPr>
            </w:pPr>
            <w:r w:rsidRPr="00FF756A">
              <w:rPr>
                <w:sz w:val="18"/>
                <w:szCs w:val="18"/>
              </w:rPr>
              <w:t>46</w:t>
            </w:r>
          </w:p>
        </w:tc>
        <w:tc>
          <w:tcPr>
            <w:tcW w:w="851" w:type="dxa"/>
            <w:vAlign w:val="center"/>
          </w:tcPr>
          <w:p w14:paraId="6A2B1CB4" w14:textId="77777777" w:rsidR="00B86FB3" w:rsidRPr="00FF756A" w:rsidRDefault="00B86FB3" w:rsidP="00B86FB3">
            <w:pPr>
              <w:spacing w:after="0" w:line="240" w:lineRule="auto"/>
              <w:jc w:val="left"/>
              <w:rPr>
                <w:sz w:val="20"/>
                <w:szCs w:val="20"/>
              </w:rPr>
            </w:pPr>
            <w:r w:rsidRPr="00FF756A">
              <w:rPr>
                <w:sz w:val="20"/>
                <w:szCs w:val="20"/>
              </w:rPr>
              <w:t>EE-L7</w:t>
            </w:r>
          </w:p>
        </w:tc>
        <w:tc>
          <w:tcPr>
            <w:tcW w:w="2693" w:type="dxa"/>
            <w:vAlign w:val="center"/>
          </w:tcPr>
          <w:p w14:paraId="12F9053A" w14:textId="77777777" w:rsidR="00B86FB3" w:rsidRPr="00FF756A" w:rsidRDefault="00B86FB3" w:rsidP="00B86FB3">
            <w:pPr>
              <w:spacing w:before="20" w:after="20"/>
              <w:jc w:val="left"/>
              <w:rPr>
                <w:sz w:val="20"/>
                <w:szCs w:val="20"/>
              </w:rPr>
            </w:pPr>
            <w:r w:rsidRPr="00FF756A">
              <w:rPr>
                <w:sz w:val="20"/>
                <w:szCs w:val="20"/>
              </w:rPr>
              <w:t>Auditimi i energjisë dhe rikonstruktimi i stokut të ndërtesave publike</w:t>
            </w:r>
          </w:p>
        </w:tc>
        <w:tc>
          <w:tcPr>
            <w:tcW w:w="3544" w:type="dxa"/>
          </w:tcPr>
          <w:p w14:paraId="764A41C2" w14:textId="77777777" w:rsidR="00B86FB3" w:rsidRPr="00FF756A" w:rsidRDefault="00B86FB3" w:rsidP="00B86FB3">
            <w:pPr>
              <w:spacing w:after="0" w:line="240" w:lineRule="auto"/>
              <w:jc w:val="left"/>
              <w:rPr>
                <w:sz w:val="20"/>
                <w:szCs w:val="20"/>
              </w:rPr>
            </w:pPr>
            <w:r w:rsidRPr="00FF756A">
              <w:rPr>
                <w:sz w:val="20"/>
                <w:szCs w:val="20"/>
              </w:rPr>
              <w:t>Pritet vlerësimi i kostove të auditimeve të energjisë.</w:t>
            </w:r>
          </w:p>
        </w:tc>
        <w:tc>
          <w:tcPr>
            <w:tcW w:w="1133" w:type="dxa"/>
            <w:vAlign w:val="center"/>
          </w:tcPr>
          <w:p w14:paraId="19C99874"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255A239A" w14:textId="77777777" w:rsidTr="006A3266">
        <w:trPr>
          <w:trHeight w:val="20"/>
        </w:trPr>
        <w:tc>
          <w:tcPr>
            <w:tcW w:w="682" w:type="dxa"/>
            <w:vMerge/>
            <w:shd w:val="clear" w:color="auto" w:fill="FFF2CC" w:themeFill="accent4" w:themeFillTint="33"/>
          </w:tcPr>
          <w:p w14:paraId="6B739841" w14:textId="77777777" w:rsidR="00B86FB3" w:rsidRPr="00FF756A" w:rsidRDefault="00B86FB3" w:rsidP="00B86FB3">
            <w:pPr>
              <w:rPr>
                <w:sz w:val="20"/>
                <w:szCs w:val="20"/>
              </w:rPr>
            </w:pPr>
          </w:p>
        </w:tc>
        <w:tc>
          <w:tcPr>
            <w:tcW w:w="594" w:type="dxa"/>
            <w:vAlign w:val="center"/>
          </w:tcPr>
          <w:p w14:paraId="4CA4E508" w14:textId="77777777" w:rsidR="00B86FB3" w:rsidRPr="00FF756A" w:rsidRDefault="00B86FB3" w:rsidP="00B86FB3">
            <w:pPr>
              <w:spacing w:after="0" w:line="240" w:lineRule="auto"/>
              <w:jc w:val="center"/>
              <w:rPr>
                <w:sz w:val="18"/>
                <w:szCs w:val="18"/>
              </w:rPr>
            </w:pPr>
            <w:r w:rsidRPr="00FF756A">
              <w:rPr>
                <w:sz w:val="18"/>
                <w:szCs w:val="18"/>
              </w:rPr>
              <w:t>47</w:t>
            </w:r>
          </w:p>
        </w:tc>
        <w:tc>
          <w:tcPr>
            <w:tcW w:w="851" w:type="dxa"/>
            <w:vAlign w:val="center"/>
          </w:tcPr>
          <w:p w14:paraId="6CF341A4" w14:textId="77777777" w:rsidR="00B86FB3" w:rsidRPr="00FF756A" w:rsidRDefault="00B86FB3" w:rsidP="00B86FB3">
            <w:pPr>
              <w:spacing w:after="0" w:line="240" w:lineRule="auto"/>
              <w:jc w:val="left"/>
              <w:rPr>
                <w:sz w:val="20"/>
                <w:szCs w:val="20"/>
              </w:rPr>
            </w:pPr>
            <w:r w:rsidRPr="00FF756A">
              <w:rPr>
                <w:sz w:val="20"/>
                <w:szCs w:val="20"/>
              </w:rPr>
              <w:t>EE-L8</w:t>
            </w:r>
          </w:p>
        </w:tc>
        <w:tc>
          <w:tcPr>
            <w:tcW w:w="2693" w:type="dxa"/>
            <w:vAlign w:val="center"/>
          </w:tcPr>
          <w:p w14:paraId="4B2A1355" w14:textId="77777777" w:rsidR="00B86FB3" w:rsidRPr="00FF756A" w:rsidRDefault="00B86FB3" w:rsidP="00B86FB3">
            <w:pPr>
              <w:spacing w:after="0" w:line="240" w:lineRule="auto"/>
              <w:jc w:val="left"/>
              <w:rPr>
                <w:sz w:val="20"/>
                <w:szCs w:val="20"/>
              </w:rPr>
            </w:pPr>
            <w:r w:rsidRPr="00FF756A">
              <w:rPr>
                <w:sz w:val="20"/>
                <w:szCs w:val="20"/>
              </w:rPr>
              <w:t xml:space="preserve">Programi i rehabilitimit të efiçencës së energjisë në Qytetin Studenti I- Tiranë, Shqipëri - projekt pilot </w:t>
            </w:r>
          </w:p>
        </w:tc>
        <w:tc>
          <w:tcPr>
            <w:tcW w:w="3544" w:type="dxa"/>
            <w:vAlign w:val="center"/>
          </w:tcPr>
          <w:p w14:paraId="28348D4E" w14:textId="77777777" w:rsidR="00B86FB3" w:rsidRPr="00FF756A" w:rsidRDefault="00B86FB3" w:rsidP="00B86FB3">
            <w:pPr>
              <w:spacing w:after="0" w:line="240" w:lineRule="auto"/>
              <w:jc w:val="left"/>
              <w:rPr>
                <w:sz w:val="20"/>
                <w:szCs w:val="20"/>
              </w:rPr>
            </w:pPr>
            <w:r w:rsidRPr="00FF756A">
              <w:rPr>
                <w:sz w:val="20"/>
                <w:szCs w:val="20"/>
              </w:rPr>
              <w:t>Kosto e përgjithshme është 42 milionë euro</w:t>
            </w:r>
          </w:p>
        </w:tc>
        <w:tc>
          <w:tcPr>
            <w:tcW w:w="1133" w:type="dxa"/>
            <w:vAlign w:val="center"/>
          </w:tcPr>
          <w:p w14:paraId="031DB29F"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1888368E" w14:textId="77777777" w:rsidTr="006A3266">
        <w:trPr>
          <w:trHeight w:val="20"/>
        </w:trPr>
        <w:tc>
          <w:tcPr>
            <w:tcW w:w="682" w:type="dxa"/>
            <w:vMerge/>
            <w:shd w:val="clear" w:color="auto" w:fill="FFF2CC" w:themeFill="accent4" w:themeFillTint="33"/>
          </w:tcPr>
          <w:p w14:paraId="0E149A60" w14:textId="77777777" w:rsidR="00B86FB3" w:rsidRPr="00FF756A" w:rsidRDefault="00B86FB3" w:rsidP="00B86FB3">
            <w:pPr>
              <w:rPr>
                <w:sz w:val="20"/>
                <w:szCs w:val="20"/>
              </w:rPr>
            </w:pPr>
          </w:p>
        </w:tc>
        <w:tc>
          <w:tcPr>
            <w:tcW w:w="594" w:type="dxa"/>
            <w:vAlign w:val="center"/>
          </w:tcPr>
          <w:p w14:paraId="47730DAC" w14:textId="77777777" w:rsidR="00B86FB3" w:rsidRPr="00FF756A" w:rsidRDefault="00B86FB3" w:rsidP="00B86FB3">
            <w:pPr>
              <w:spacing w:after="0" w:line="240" w:lineRule="auto"/>
              <w:jc w:val="center"/>
              <w:rPr>
                <w:sz w:val="18"/>
                <w:szCs w:val="18"/>
              </w:rPr>
            </w:pPr>
            <w:r w:rsidRPr="00FF756A">
              <w:rPr>
                <w:sz w:val="18"/>
                <w:szCs w:val="18"/>
              </w:rPr>
              <w:t>48</w:t>
            </w:r>
          </w:p>
        </w:tc>
        <w:tc>
          <w:tcPr>
            <w:tcW w:w="851" w:type="dxa"/>
            <w:vAlign w:val="center"/>
          </w:tcPr>
          <w:p w14:paraId="23E04D30" w14:textId="77777777" w:rsidR="00B86FB3" w:rsidRPr="00FF756A" w:rsidRDefault="00B86FB3" w:rsidP="00B86FB3">
            <w:pPr>
              <w:spacing w:after="0" w:line="240" w:lineRule="auto"/>
              <w:jc w:val="left"/>
              <w:rPr>
                <w:sz w:val="20"/>
                <w:szCs w:val="20"/>
              </w:rPr>
            </w:pPr>
            <w:r w:rsidRPr="00FF756A">
              <w:rPr>
                <w:sz w:val="20"/>
                <w:szCs w:val="20"/>
              </w:rPr>
              <w:t>EE-S1</w:t>
            </w:r>
          </w:p>
        </w:tc>
        <w:tc>
          <w:tcPr>
            <w:tcW w:w="2693" w:type="dxa"/>
            <w:vAlign w:val="center"/>
          </w:tcPr>
          <w:p w14:paraId="6EFDEBC6" w14:textId="77777777" w:rsidR="00B86FB3" w:rsidRPr="00FF756A" w:rsidRDefault="00B86FB3" w:rsidP="00B86FB3">
            <w:pPr>
              <w:spacing w:after="0" w:line="240" w:lineRule="auto"/>
              <w:jc w:val="left"/>
              <w:rPr>
                <w:sz w:val="20"/>
                <w:szCs w:val="20"/>
              </w:rPr>
            </w:pPr>
            <w:r w:rsidRPr="00FF756A">
              <w:rPr>
                <w:sz w:val="20"/>
                <w:szCs w:val="20"/>
              </w:rPr>
              <w:t>Zbatimi i modeleve të ESCO</w:t>
            </w:r>
          </w:p>
        </w:tc>
        <w:tc>
          <w:tcPr>
            <w:tcW w:w="3544" w:type="dxa"/>
          </w:tcPr>
          <w:p w14:paraId="1E4AF3C2" w14:textId="77777777" w:rsidR="00B86FB3" w:rsidRPr="00FF756A" w:rsidRDefault="00B86FB3" w:rsidP="00B86FB3">
            <w:pPr>
              <w:spacing w:after="0" w:line="240" w:lineRule="auto"/>
              <w:jc w:val="left"/>
              <w:rPr>
                <w:sz w:val="20"/>
                <w:szCs w:val="20"/>
              </w:rPr>
            </w:pPr>
            <w:r w:rsidRPr="00FF756A">
              <w:rPr>
                <w:sz w:val="20"/>
                <w:szCs w:val="20"/>
              </w:rPr>
              <w:t>Përllogaritur në 20 000 euro</w:t>
            </w:r>
          </w:p>
        </w:tc>
        <w:tc>
          <w:tcPr>
            <w:tcW w:w="1133" w:type="dxa"/>
            <w:vAlign w:val="center"/>
          </w:tcPr>
          <w:p w14:paraId="3C761173"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55431E0B" w14:textId="77777777" w:rsidTr="006A3266">
        <w:trPr>
          <w:trHeight w:val="20"/>
        </w:trPr>
        <w:tc>
          <w:tcPr>
            <w:tcW w:w="682" w:type="dxa"/>
            <w:vMerge/>
            <w:shd w:val="clear" w:color="auto" w:fill="FFF2CC" w:themeFill="accent4" w:themeFillTint="33"/>
          </w:tcPr>
          <w:p w14:paraId="3CA1ADE4" w14:textId="77777777" w:rsidR="00B86FB3" w:rsidRPr="00FF756A" w:rsidRDefault="00B86FB3" w:rsidP="00B86FB3">
            <w:pPr>
              <w:rPr>
                <w:sz w:val="20"/>
                <w:szCs w:val="20"/>
              </w:rPr>
            </w:pPr>
          </w:p>
        </w:tc>
        <w:tc>
          <w:tcPr>
            <w:tcW w:w="594" w:type="dxa"/>
            <w:vAlign w:val="center"/>
          </w:tcPr>
          <w:p w14:paraId="2198E889" w14:textId="77777777" w:rsidR="00B86FB3" w:rsidRPr="00FF756A" w:rsidRDefault="00B86FB3" w:rsidP="00B86FB3">
            <w:pPr>
              <w:spacing w:after="0" w:line="240" w:lineRule="auto"/>
              <w:jc w:val="center"/>
              <w:rPr>
                <w:sz w:val="18"/>
                <w:szCs w:val="18"/>
              </w:rPr>
            </w:pPr>
            <w:r w:rsidRPr="00FF756A">
              <w:rPr>
                <w:sz w:val="18"/>
                <w:szCs w:val="18"/>
              </w:rPr>
              <w:t>49</w:t>
            </w:r>
          </w:p>
        </w:tc>
        <w:tc>
          <w:tcPr>
            <w:tcW w:w="851" w:type="dxa"/>
            <w:vAlign w:val="center"/>
          </w:tcPr>
          <w:p w14:paraId="021D880B" w14:textId="77777777" w:rsidR="00B86FB3" w:rsidRPr="00FF756A" w:rsidRDefault="00B86FB3" w:rsidP="00B86FB3">
            <w:pPr>
              <w:spacing w:after="0" w:line="240" w:lineRule="auto"/>
              <w:jc w:val="left"/>
              <w:rPr>
                <w:sz w:val="20"/>
                <w:szCs w:val="20"/>
              </w:rPr>
            </w:pPr>
            <w:r w:rsidRPr="00FF756A">
              <w:rPr>
                <w:sz w:val="20"/>
                <w:szCs w:val="20"/>
              </w:rPr>
              <w:t>EE-P1</w:t>
            </w:r>
          </w:p>
        </w:tc>
        <w:tc>
          <w:tcPr>
            <w:tcW w:w="2693" w:type="dxa"/>
            <w:vAlign w:val="center"/>
          </w:tcPr>
          <w:p w14:paraId="41F8D148" w14:textId="77777777" w:rsidR="00B86FB3" w:rsidRPr="00FF756A" w:rsidRDefault="00B86FB3" w:rsidP="00B86FB3">
            <w:pPr>
              <w:spacing w:after="0" w:line="240" w:lineRule="auto"/>
              <w:jc w:val="left"/>
              <w:rPr>
                <w:sz w:val="20"/>
                <w:szCs w:val="20"/>
              </w:rPr>
            </w:pPr>
            <w:r w:rsidRPr="00FF756A">
              <w:rPr>
                <w:sz w:val="20"/>
                <w:szCs w:val="20"/>
              </w:rPr>
              <w:t>Masat për efiçencën e energjisë që lidhen me blerjen nga autoritetet publike</w:t>
            </w:r>
          </w:p>
        </w:tc>
        <w:tc>
          <w:tcPr>
            <w:tcW w:w="3544" w:type="dxa"/>
          </w:tcPr>
          <w:p w14:paraId="01819559" w14:textId="77777777" w:rsidR="00B86FB3" w:rsidRPr="00FF756A" w:rsidRDefault="00B86FB3" w:rsidP="00B86FB3">
            <w:pPr>
              <w:spacing w:after="0" w:line="240" w:lineRule="auto"/>
              <w:jc w:val="left"/>
              <w:rPr>
                <w:sz w:val="20"/>
                <w:szCs w:val="20"/>
              </w:rPr>
            </w:pPr>
            <w:r w:rsidRPr="00FF756A">
              <w:rPr>
                <w:sz w:val="20"/>
                <w:szCs w:val="20"/>
              </w:rPr>
              <w:t>Rreth 50 mijë euro</w:t>
            </w:r>
          </w:p>
        </w:tc>
        <w:tc>
          <w:tcPr>
            <w:tcW w:w="1133" w:type="dxa"/>
            <w:vAlign w:val="center"/>
          </w:tcPr>
          <w:p w14:paraId="634B27CF"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6E8FB237" w14:textId="77777777" w:rsidTr="006A3266">
        <w:trPr>
          <w:trHeight w:val="20"/>
        </w:trPr>
        <w:tc>
          <w:tcPr>
            <w:tcW w:w="682" w:type="dxa"/>
            <w:vMerge/>
            <w:shd w:val="clear" w:color="auto" w:fill="FFF2CC" w:themeFill="accent4" w:themeFillTint="33"/>
          </w:tcPr>
          <w:p w14:paraId="0AE47C3E" w14:textId="77777777" w:rsidR="00B86FB3" w:rsidRPr="00FF756A" w:rsidRDefault="00B86FB3" w:rsidP="00B86FB3">
            <w:pPr>
              <w:rPr>
                <w:sz w:val="20"/>
                <w:szCs w:val="20"/>
              </w:rPr>
            </w:pPr>
          </w:p>
        </w:tc>
        <w:tc>
          <w:tcPr>
            <w:tcW w:w="594" w:type="dxa"/>
            <w:vAlign w:val="center"/>
          </w:tcPr>
          <w:p w14:paraId="7A7F0DBE" w14:textId="77777777" w:rsidR="00B86FB3" w:rsidRPr="00FF756A" w:rsidRDefault="00B86FB3" w:rsidP="00B86FB3">
            <w:pPr>
              <w:spacing w:after="0" w:line="240" w:lineRule="auto"/>
              <w:jc w:val="center"/>
              <w:rPr>
                <w:sz w:val="18"/>
                <w:szCs w:val="18"/>
              </w:rPr>
            </w:pPr>
            <w:r w:rsidRPr="00FF756A">
              <w:rPr>
                <w:sz w:val="18"/>
                <w:szCs w:val="18"/>
              </w:rPr>
              <w:t>50</w:t>
            </w:r>
          </w:p>
        </w:tc>
        <w:tc>
          <w:tcPr>
            <w:tcW w:w="851" w:type="dxa"/>
            <w:vAlign w:val="center"/>
          </w:tcPr>
          <w:p w14:paraId="773F2D34" w14:textId="77777777" w:rsidR="00B86FB3" w:rsidRPr="00FF756A" w:rsidRDefault="00B86FB3" w:rsidP="00B86FB3">
            <w:pPr>
              <w:spacing w:after="0" w:line="240" w:lineRule="auto"/>
              <w:jc w:val="left"/>
              <w:rPr>
                <w:sz w:val="20"/>
                <w:szCs w:val="20"/>
              </w:rPr>
            </w:pPr>
            <w:r w:rsidRPr="00FF756A">
              <w:rPr>
                <w:sz w:val="20"/>
                <w:szCs w:val="20"/>
              </w:rPr>
              <w:t>EE-P2</w:t>
            </w:r>
          </w:p>
        </w:tc>
        <w:tc>
          <w:tcPr>
            <w:tcW w:w="2693" w:type="dxa"/>
            <w:vAlign w:val="center"/>
          </w:tcPr>
          <w:p w14:paraId="4DB61568" w14:textId="77777777" w:rsidR="00B86FB3" w:rsidRPr="00FF756A" w:rsidRDefault="00B86FB3" w:rsidP="00B86FB3">
            <w:pPr>
              <w:spacing w:after="0" w:line="240" w:lineRule="auto"/>
              <w:jc w:val="left"/>
              <w:rPr>
                <w:sz w:val="20"/>
                <w:szCs w:val="20"/>
              </w:rPr>
            </w:pPr>
            <w:r w:rsidRPr="00FF756A">
              <w:rPr>
                <w:sz w:val="20"/>
                <w:szCs w:val="20"/>
              </w:rPr>
              <w:t>Planet bashkiake të veprimit për efiçencën e energjisë, zbatimi dhe raportimi</w:t>
            </w:r>
          </w:p>
        </w:tc>
        <w:tc>
          <w:tcPr>
            <w:tcW w:w="3544" w:type="dxa"/>
          </w:tcPr>
          <w:p w14:paraId="5D6017D0" w14:textId="77777777" w:rsidR="00B86FB3" w:rsidRPr="00FF756A" w:rsidRDefault="00B86FB3" w:rsidP="00B86FB3">
            <w:pPr>
              <w:spacing w:after="0" w:line="240" w:lineRule="auto"/>
              <w:jc w:val="left"/>
              <w:rPr>
                <w:sz w:val="20"/>
                <w:szCs w:val="20"/>
              </w:rPr>
            </w:pPr>
            <w:r w:rsidRPr="00FF756A">
              <w:rPr>
                <w:sz w:val="20"/>
                <w:szCs w:val="20"/>
              </w:rPr>
              <w:t>Rreth 6 milionë euro</w:t>
            </w:r>
          </w:p>
        </w:tc>
        <w:tc>
          <w:tcPr>
            <w:tcW w:w="1133" w:type="dxa"/>
            <w:vAlign w:val="center"/>
          </w:tcPr>
          <w:p w14:paraId="4A7E6905"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576687F3" w14:textId="77777777" w:rsidTr="006A3266">
        <w:trPr>
          <w:trHeight w:val="20"/>
        </w:trPr>
        <w:tc>
          <w:tcPr>
            <w:tcW w:w="682" w:type="dxa"/>
            <w:vMerge/>
            <w:shd w:val="clear" w:color="auto" w:fill="FFF2CC" w:themeFill="accent4" w:themeFillTint="33"/>
          </w:tcPr>
          <w:p w14:paraId="19B4DA2D" w14:textId="77777777" w:rsidR="00B86FB3" w:rsidRPr="00FF756A" w:rsidRDefault="00B86FB3" w:rsidP="00B86FB3">
            <w:pPr>
              <w:rPr>
                <w:sz w:val="20"/>
                <w:szCs w:val="20"/>
              </w:rPr>
            </w:pPr>
          </w:p>
        </w:tc>
        <w:tc>
          <w:tcPr>
            <w:tcW w:w="594" w:type="dxa"/>
            <w:vAlign w:val="center"/>
          </w:tcPr>
          <w:p w14:paraId="4A229CEE" w14:textId="77777777" w:rsidR="00B86FB3" w:rsidRPr="00FF756A" w:rsidRDefault="00B86FB3" w:rsidP="00B86FB3">
            <w:pPr>
              <w:spacing w:after="0" w:line="240" w:lineRule="auto"/>
              <w:jc w:val="center"/>
              <w:rPr>
                <w:sz w:val="18"/>
                <w:szCs w:val="18"/>
              </w:rPr>
            </w:pPr>
            <w:r w:rsidRPr="00FF756A">
              <w:rPr>
                <w:sz w:val="18"/>
                <w:szCs w:val="18"/>
              </w:rPr>
              <w:t>51</w:t>
            </w:r>
          </w:p>
        </w:tc>
        <w:tc>
          <w:tcPr>
            <w:tcW w:w="851" w:type="dxa"/>
            <w:vAlign w:val="center"/>
          </w:tcPr>
          <w:p w14:paraId="2CEB3339" w14:textId="77777777" w:rsidR="00B86FB3" w:rsidRPr="00FF756A" w:rsidRDefault="00B86FB3" w:rsidP="00B86FB3">
            <w:pPr>
              <w:spacing w:after="0" w:line="240" w:lineRule="auto"/>
              <w:jc w:val="left"/>
              <w:rPr>
                <w:sz w:val="20"/>
                <w:szCs w:val="20"/>
              </w:rPr>
            </w:pPr>
            <w:r w:rsidRPr="00FF756A">
              <w:rPr>
                <w:sz w:val="20"/>
                <w:szCs w:val="20"/>
              </w:rPr>
              <w:t>EE-P3</w:t>
            </w:r>
          </w:p>
        </w:tc>
        <w:tc>
          <w:tcPr>
            <w:tcW w:w="2693" w:type="dxa"/>
            <w:vAlign w:val="center"/>
          </w:tcPr>
          <w:p w14:paraId="5618E69A" w14:textId="77777777" w:rsidR="00B86FB3" w:rsidRPr="00FF756A" w:rsidRDefault="00B86FB3" w:rsidP="00B86FB3">
            <w:pPr>
              <w:spacing w:after="0" w:line="240" w:lineRule="auto"/>
              <w:jc w:val="left"/>
              <w:rPr>
                <w:sz w:val="20"/>
                <w:szCs w:val="20"/>
              </w:rPr>
            </w:pPr>
            <w:r w:rsidRPr="00FF756A">
              <w:rPr>
                <w:sz w:val="20"/>
                <w:szCs w:val="20"/>
              </w:rPr>
              <w:t>Përgatitja e planeve të integruara zhvillimore bashkiake/rajonale të cilat janë të lidhura me PKEK-në</w:t>
            </w:r>
          </w:p>
        </w:tc>
        <w:tc>
          <w:tcPr>
            <w:tcW w:w="3544" w:type="dxa"/>
            <w:vAlign w:val="center"/>
          </w:tcPr>
          <w:p w14:paraId="14537412" w14:textId="77777777" w:rsidR="00B86FB3" w:rsidRPr="00FF756A" w:rsidRDefault="00B86FB3" w:rsidP="00B86FB3">
            <w:pPr>
              <w:spacing w:after="0" w:line="240" w:lineRule="auto"/>
              <w:jc w:val="left"/>
              <w:rPr>
                <w:sz w:val="20"/>
                <w:szCs w:val="20"/>
              </w:rPr>
            </w:pPr>
            <w:r w:rsidRPr="00FF756A">
              <w:rPr>
                <w:sz w:val="20"/>
                <w:szCs w:val="20"/>
              </w:rPr>
              <w:t>Përllogaritur në 0,3 milionë euro</w:t>
            </w:r>
          </w:p>
        </w:tc>
        <w:tc>
          <w:tcPr>
            <w:tcW w:w="1133" w:type="dxa"/>
            <w:vAlign w:val="center"/>
          </w:tcPr>
          <w:p w14:paraId="60988D03"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2857B8BA" w14:textId="77777777" w:rsidTr="006A3266">
        <w:trPr>
          <w:trHeight w:val="20"/>
        </w:trPr>
        <w:tc>
          <w:tcPr>
            <w:tcW w:w="682" w:type="dxa"/>
            <w:vMerge/>
            <w:shd w:val="clear" w:color="auto" w:fill="FFF2CC" w:themeFill="accent4" w:themeFillTint="33"/>
          </w:tcPr>
          <w:p w14:paraId="137A69A5" w14:textId="77777777" w:rsidR="00B86FB3" w:rsidRPr="00FF756A" w:rsidRDefault="00B86FB3" w:rsidP="00B86FB3">
            <w:pPr>
              <w:rPr>
                <w:sz w:val="20"/>
                <w:szCs w:val="20"/>
              </w:rPr>
            </w:pPr>
          </w:p>
        </w:tc>
        <w:tc>
          <w:tcPr>
            <w:tcW w:w="594" w:type="dxa"/>
            <w:vAlign w:val="center"/>
          </w:tcPr>
          <w:p w14:paraId="5A3395CA" w14:textId="77777777" w:rsidR="00B86FB3" w:rsidRPr="00FF756A" w:rsidRDefault="00B86FB3" w:rsidP="00B86FB3">
            <w:pPr>
              <w:spacing w:after="0" w:line="240" w:lineRule="auto"/>
              <w:jc w:val="center"/>
              <w:rPr>
                <w:sz w:val="18"/>
                <w:szCs w:val="18"/>
              </w:rPr>
            </w:pPr>
            <w:r w:rsidRPr="00FF756A">
              <w:rPr>
                <w:sz w:val="18"/>
                <w:szCs w:val="18"/>
              </w:rPr>
              <w:t>52</w:t>
            </w:r>
          </w:p>
        </w:tc>
        <w:tc>
          <w:tcPr>
            <w:tcW w:w="851" w:type="dxa"/>
            <w:vAlign w:val="center"/>
          </w:tcPr>
          <w:p w14:paraId="08063EBA" w14:textId="77777777" w:rsidR="00B86FB3" w:rsidRPr="00FF756A" w:rsidRDefault="00B86FB3" w:rsidP="00B86FB3">
            <w:pPr>
              <w:spacing w:after="0" w:line="240" w:lineRule="auto"/>
              <w:jc w:val="left"/>
              <w:rPr>
                <w:sz w:val="20"/>
                <w:szCs w:val="20"/>
              </w:rPr>
            </w:pPr>
            <w:r w:rsidRPr="00FF756A">
              <w:rPr>
                <w:sz w:val="20"/>
                <w:szCs w:val="20"/>
              </w:rPr>
              <w:t>EE-E1</w:t>
            </w:r>
          </w:p>
        </w:tc>
        <w:tc>
          <w:tcPr>
            <w:tcW w:w="2693" w:type="dxa"/>
            <w:vAlign w:val="center"/>
          </w:tcPr>
          <w:p w14:paraId="72A11EF6" w14:textId="77777777" w:rsidR="00B86FB3" w:rsidRPr="00FF756A" w:rsidRDefault="00B86FB3" w:rsidP="00B86FB3">
            <w:pPr>
              <w:spacing w:after="0" w:line="240" w:lineRule="auto"/>
              <w:jc w:val="left"/>
              <w:rPr>
                <w:sz w:val="20"/>
                <w:szCs w:val="20"/>
              </w:rPr>
            </w:pPr>
            <w:r w:rsidRPr="00FF756A">
              <w:rPr>
                <w:sz w:val="20"/>
                <w:szCs w:val="20"/>
              </w:rPr>
              <w:t>Auditimet e energjisë për konsumatorët e mëdhenj, me fokus në aktivitetet industriale</w:t>
            </w:r>
          </w:p>
        </w:tc>
        <w:tc>
          <w:tcPr>
            <w:tcW w:w="3544" w:type="dxa"/>
          </w:tcPr>
          <w:p w14:paraId="2A2DC8D1" w14:textId="77777777" w:rsidR="00B86FB3" w:rsidRPr="00FF756A" w:rsidRDefault="00B86FB3" w:rsidP="00B86FB3">
            <w:pPr>
              <w:spacing w:after="0" w:line="240" w:lineRule="auto"/>
              <w:jc w:val="left"/>
              <w:rPr>
                <w:sz w:val="20"/>
                <w:szCs w:val="20"/>
              </w:rPr>
            </w:pPr>
            <w:r w:rsidRPr="00FF756A">
              <w:rPr>
                <w:sz w:val="20"/>
                <w:szCs w:val="20"/>
              </w:rPr>
              <w:t>Pritet vlerësimi i kostove të auditimeve të energjisë.</w:t>
            </w:r>
          </w:p>
        </w:tc>
        <w:tc>
          <w:tcPr>
            <w:tcW w:w="1133" w:type="dxa"/>
            <w:vAlign w:val="center"/>
          </w:tcPr>
          <w:p w14:paraId="397DC0BC"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6FD2520A" w14:textId="77777777" w:rsidTr="006A3266">
        <w:trPr>
          <w:trHeight w:val="20"/>
        </w:trPr>
        <w:tc>
          <w:tcPr>
            <w:tcW w:w="682" w:type="dxa"/>
            <w:vMerge/>
            <w:shd w:val="clear" w:color="auto" w:fill="FFF2CC" w:themeFill="accent4" w:themeFillTint="33"/>
          </w:tcPr>
          <w:p w14:paraId="48567589" w14:textId="77777777" w:rsidR="00B86FB3" w:rsidRPr="00FF756A" w:rsidRDefault="00B86FB3" w:rsidP="00B86FB3">
            <w:pPr>
              <w:rPr>
                <w:sz w:val="20"/>
                <w:szCs w:val="20"/>
              </w:rPr>
            </w:pPr>
          </w:p>
        </w:tc>
        <w:tc>
          <w:tcPr>
            <w:tcW w:w="594" w:type="dxa"/>
            <w:vAlign w:val="center"/>
          </w:tcPr>
          <w:p w14:paraId="37E7EAED" w14:textId="77777777" w:rsidR="00B86FB3" w:rsidRPr="00FF756A" w:rsidRDefault="00B86FB3" w:rsidP="00B86FB3">
            <w:pPr>
              <w:spacing w:after="0" w:line="240" w:lineRule="auto"/>
              <w:jc w:val="center"/>
              <w:rPr>
                <w:sz w:val="18"/>
                <w:szCs w:val="18"/>
              </w:rPr>
            </w:pPr>
            <w:r w:rsidRPr="00FF756A">
              <w:rPr>
                <w:sz w:val="18"/>
                <w:szCs w:val="18"/>
              </w:rPr>
              <w:t>53</w:t>
            </w:r>
          </w:p>
        </w:tc>
        <w:tc>
          <w:tcPr>
            <w:tcW w:w="851" w:type="dxa"/>
            <w:vAlign w:val="center"/>
          </w:tcPr>
          <w:p w14:paraId="572C5DFD" w14:textId="77777777" w:rsidR="00B86FB3" w:rsidRPr="00FF756A" w:rsidRDefault="00B86FB3" w:rsidP="00B86FB3">
            <w:pPr>
              <w:spacing w:after="0" w:line="240" w:lineRule="auto"/>
              <w:jc w:val="left"/>
              <w:rPr>
                <w:sz w:val="20"/>
                <w:szCs w:val="20"/>
              </w:rPr>
            </w:pPr>
            <w:r w:rsidRPr="00FF756A">
              <w:rPr>
                <w:sz w:val="20"/>
                <w:szCs w:val="20"/>
              </w:rPr>
              <w:t>EE-E2</w:t>
            </w:r>
          </w:p>
        </w:tc>
        <w:tc>
          <w:tcPr>
            <w:tcW w:w="2693" w:type="dxa"/>
            <w:vAlign w:val="center"/>
          </w:tcPr>
          <w:p w14:paraId="5C1E8F38" w14:textId="77777777" w:rsidR="00B86FB3" w:rsidRPr="00FF756A" w:rsidRDefault="00B86FB3" w:rsidP="00B86FB3">
            <w:pPr>
              <w:spacing w:after="0" w:line="240" w:lineRule="auto"/>
              <w:jc w:val="left"/>
              <w:rPr>
                <w:sz w:val="20"/>
                <w:szCs w:val="20"/>
              </w:rPr>
            </w:pPr>
            <w:r w:rsidRPr="00FF756A">
              <w:rPr>
                <w:sz w:val="20"/>
                <w:szCs w:val="20"/>
              </w:rPr>
              <w:t>Sistemet e menaxhimit të energjisë për NVM-të</w:t>
            </w:r>
          </w:p>
        </w:tc>
        <w:tc>
          <w:tcPr>
            <w:tcW w:w="3544" w:type="dxa"/>
          </w:tcPr>
          <w:p w14:paraId="1B694F28" w14:textId="77777777" w:rsidR="00B86FB3" w:rsidRPr="00FF756A" w:rsidRDefault="00B86FB3" w:rsidP="00B86FB3">
            <w:pPr>
              <w:spacing w:after="0" w:line="240" w:lineRule="auto"/>
              <w:jc w:val="left"/>
              <w:rPr>
                <w:sz w:val="20"/>
                <w:szCs w:val="20"/>
              </w:rPr>
            </w:pPr>
            <w:r w:rsidRPr="00FF756A">
              <w:rPr>
                <w:sz w:val="20"/>
                <w:szCs w:val="20"/>
              </w:rPr>
              <w:t>Është përllogaritur një shumë prej 3 milionë euro (duke marrë në konsideratë mbështetjen shumëvjeçare).</w:t>
            </w:r>
          </w:p>
        </w:tc>
        <w:tc>
          <w:tcPr>
            <w:tcW w:w="1133" w:type="dxa"/>
            <w:vAlign w:val="center"/>
          </w:tcPr>
          <w:p w14:paraId="320E7604"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679169F0" w14:textId="77777777" w:rsidTr="006A3266">
        <w:trPr>
          <w:trHeight w:val="20"/>
        </w:trPr>
        <w:tc>
          <w:tcPr>
            <w:tcW w:w="682" w:type="dxa"/>
            <w:vMerge/>
            <w:shd w:val="clear" w:color="auto" w:fill="FFF2CC" w:themeFill="accent4" w:themeFillTint="33"/>
          </w:tcPr>
          <w:p w14:paraId="72A23A9F" w14:textId="77777777" w:rsidR="00B86FB3" w:rsidRPr="00FF756A" w:rsidRDefault="00B86FB3" w:rsidP="00B86FB3">
            <w:pPr>
              <w:rPr>
                <w:sz w:val="20"/>
                <w:szCs w:val="20"/>
              </w:rPr>
            </w:pPr>
          </w:p>
        </w:tc>
        <w:tc>
          <w:tcPr>
            <w:tcW w:w="594" w:type="dxa"/>
            <w:vAlign w:val="center"/>
          </w:tcPr>
          <w:p w14:paraId="54AFE2AB" w14:textId="77777777" w:rsidR="00B86FB3" w:rsidRPr="00FF756A" w:rsidRDefault="00B86FB3" w:rsidP="00B86FB3">
            <w:pPr>
              <w:spacing w:after="0" w:line="240" w:lineRule="auto"/>
              <w:jc w:val="center"/>
              <w:rPr>
                <w:sz w:val="18"/>
                <w:szCs w:val="18"/>
              </w:rPr>
            </w:pPr>
            <w:r w:rsidRPr="00FF756A">
              <w:rPr>
                <w:sz w:val="18"/>
                <w:szCs w:val="18"/>
              </w:rPr>
              <w:t>54</w:t>
            </w:r>
          </w:p>
        </w:tc>
        <w:tc>
          <w:tcPr>
            <w:tcW w:w="851" w:type="dxa"/>
            <w:vAlign w:val="center"/>
          </w:tcPr>
          <w:p w14:paraId="7A978C2A" w14:textId="77777777" w:rsidR="00B86FB3" w:rsidRPr="00FF756A" w:rsidRDefault="00B86FB3" w:rsidP="00B86FB3">
            <w:pPr>
              <w:spacing w:after="0" w:line="240" w:lineRule="auto"/>
              <w:jc w:val="left"/>
              <w:rPr>
                <w:sz w:val="20"/>
                <w:szCs w:val="20"/>
              </w:rPr>
            </w:pPr>
            <w:r w:rsidRPr="00FF756A">
              <w:rPr>
                <w:sz w:val="20"/>
                <w:szCs w:val="20"/>
              </w:rPr>
              <w:t>EE-C1</w:t>
            </w:r>
          </w:p>
        </w:tc>
        <w:tc>
          <w:tcPr>
            <w:tcW w:w="2693" w:type="dxa"/>
            <w:vAlign w:val="center"/>
          </w:tcPr>
          <w:p w14:paraId="22E9237E" w14:textId="77777777" w:rsidR="00B86FB3" w:rsidRPr="00FF756A" w:rsidRDefault="00B86FB3" w:rsidP="00B86FB3">
            <w:pPr>
              <w:spacing w:after="0" w:line="240" w:lineRule="auto"/>
              <w:jc w:val="left"/>
              <w:rPr>
                <w:sz w:val="20"/>
                <w:szCs w:val="20"/>
              </w:rPr>
            </w:pPr>
            <w:r w:rsidRPr="00FF756A">
              <w:rPr>
                <w:sz w:val="20"/>
                <w:szCs w:val="20"/>
              </w:rPr>
              <w:t>Prezantimi i kërkesave të etiketimit të energjisë dhe të dizajnit ekologjik</w:t>
            </w:r>
          </w:p>
        </w:tc>
        <w:tc>
          <w:tcPr>
            <w:tcW w:w="3544" w:type="dxa"/>
          </w:tcPr>
          <w:p w14:paraId="6503528B" w14:textId="77777777" w:rsidR="00B86FB3" w:rsidRPr="00FF756A" w:rsidRDefault="00B86FB3" w:rsidP="00B86FB3">
            <w:pPr>
              <w:spacing w:after="0" w:line="240" w:lineRule="auto"/>
              <w:jc w:val="left"/>
              <w:rPr>
                <w:sz w:val="20"/>
                <w:szCs w:val="20"/>
              </w:rPr>
            </w:pPr>
            <w:r w:rsidRPr="00FF756A">
              <w:rPr>
                <w:sz w:val="20"/>
                <w:szCs w:val="20"/>
              </w:rPr>
              <w:t>70 milionë euro</w:t>
            </w:r>
          </w:p>
        </w:tc>
        <w:tc>
          <w:tcPr>
            <w:tcW w:w="1133" w:type="dxa"/>
            <w:vAlign w:val="center"/>
          </w:tcPr>
          <w:p w14:paraId="4B827A0F"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70DFA7DC" w14:textId="77777777" w:rsidTr="006A3266">
        <w:trPr>
          <w:trHeight w:val="20"/>
        </w:trPr>
        <w:tc>
          <w:tcPr>
            <w:tcW w:w="682" w:type="dxa"/>
            <w:vMerge/>
            <w:shd w:val="clear" w:color="auto" w:fill="FFF2CC" w:themeFill="accent4" w:themeFillTint="33"/>
          </w:tcPr>
          <w:p w14:paraId="509A09E2" w14:textId="77777777" w:rsidR="00B86FB3" w:rsidRPr="00FF756A" w:rsidRDefault="00B86FB3" w:rsidP="00B86FB3">
            <w:pPr>
              <w:rPr>
                <w:sz w:val="20"/>
                <w:szCs w:val="20"/>
              </w:rPr>
            </w:pPr>
          </w:p>
        </w:tc>
        <w:tc>
          <w:tcPr>
            <w:tcW w:w="594" w:type="dxa"/>
            <w:vAlign w:val="center"/>
          </w:tcPr>
          <w:p w14:paraId="4079F9F2" w14:textId="77777777" w:rsidR="00B86FB3" w:rsidRPr="00FF756A" w:rsidRDefault="00B86FB3" w:rsidP="00B86FB3">
            <w:pPr>
              <w:spacing w:after="0" w:line="240" w:lineRule="auto"/>
              <w:jc w:val="center"/>
              <w:rPr>
                <w:sz w:val="18"/>
                <w:szCs w:val="18"/>
              </w:rPr>
            </w:pPr>
            <w:r w:rsidRPr="00FF756A">
              <w:rPr>
                <w:sz w:val="18"/>
                <w:szCs w:val="18"/>
              </w:rPr>
              <w:t>55</w:t>
            </w:r>
          </w:p>
        </w:tc>
        <w:tc>
          <w:tcPr>
            <w:tcW w:w="851" w:type="dxa"/>
            <w:vAlign w:val="center"/>
          </w:tcPr>
          <w:p w14:paraId="22768066" w14:textId="77777777" w:rsidR="00B86FB3" w:rsidRPr="00FF756A" w:rsidRDefault="00B86FB3" w:rsidP="00B86FB3">
            <w:pPr>
              <w:spacing w:after="0" w:line="240" w:lineRule="auto"/>
              <w:jc w:val="left"/>
              <w:rPr>
                <w:sz w:val="20"/>
                <w:szCs w:val="20"/>
              </w:rPr>
            </w:pPr>
            <w:r w:rsidRPr="00FF756A">
              <w:rPr>
                <w:sz w:val="20"/>
                <w:szCs w:val="20"/>
              </w:rPr>
              <w:t>EE-T1</w:t>
            </w:r>
          </w:p>
        </w:tc>
        <w:tc>
          <w:tcPr>
            <w:tcW w:w="2693" w:type="dxa"/>
            <w:vAlign w:val="center"/>
          </w:tcPr>
          <w:p w14:paraId="37288779" w14:textId="77777777" w:rsidR="00B86FB3" w:rsidRPr="00FF756A" w:rsidRDefault="00B86FB3" w:rsidP="00B86FB3">
            <w:pPr>
              <w:spacing w:after="0" w:line="240" w:lineRule="auto"/>
              <w:jc w:val="left"/>
              <w:rPr>
                <w:sz w:val="20"/>
                <w:szCs w:val="20"/>
              </w:rPr>
            </w:pPr>
            <w:r w:rsidRPr="00FF756A">
              <w:rPr>
                <w:sz w:val="20"/>
                <w:szCs w:val="20"/>
              </w:rPr>
              <w:t>Etiketimi i energjisë për makinat e reja</w:t>
            </w:r>
          </w:p>
        </w:tc>
        <w:tc>
          <w:tcPr>
            <w:tcW w:w="3544" w:type="dxa"/>
            <w:vAlign w:val="center"/>
          </w:tcPr>
          <w:p w14:paraId="28E1EC33" w14:textId="77777777" w:rsidR="00B86FB3" w:rsidRPr="00FF756A" w:rsidRDefault="00B86FB3" w:rsidP="00B86FB3">
            <w:pPr>
              <w:spacing w:before="20" w:after="20" w:line="240" w:lineRule="auto"/>
              <w:rPr>
                <w:sz w:val="20"/>
                <w:szCs w:val="20"/>
              </w:rPr>
            </w:pPr>
            <w:r w:rsidRPr="00FF756A">
              <w:rPr>
                <w:sz w:val="20"/>
                <w:szCs w:val="20"/>
              </w:rPr>
              <w:t>2 milionë euro</w:t>
            </w:r>
          </w:p>
        </w:tc>
        <w:tc>
          <w:tcPr>
            <w:tcW w:w="1133" w:type="dxa"/>
            <w:vAlign w:val="center"/>
          </w:tcPr>
          <w:p w14:paraId="7E2F1FB0"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2D0BFCBC" w14:textId="77777777" w:rsidTr="006A3266">
        <w:trPr>
          <w:trHeight w:val="20"/>
        </w:trPr>
        <w:tc>
          <w:tcPr>
            <w:tcW w:w="682" w:type="dxa"/>
            <w:vMerge/>
            <w:shd w:val="clear" w:color="auto" w:fill="FFF2CC" w:themeFill="accent4" w:themeFillTint="33"/>
          </w:tcPr>
          <w:p w14:paraId="4F3785C0" w14:textId="77777777" w:rsidR="00B86FB3" w:rsidRPr="00FF756A" w:rsidRDefault="00B86FB3" w:rsidP="00B86FB3">
            <w:pPr>
              <w:rPr>
                <w:sz w:val="20"/>
                <w:szCs w:val="20"/>
              </w:rPr>
            </w:pPr>
          </w:p>
        </w:tc>
        <w:tc>
          <w:tcPr>
            <w:tcW w:w="594" w:type="dxa"/>
            <w:vAlign w:val="center"/>
          </w:tcPr>
          <w:p w14:paraId="20130712" w14:textId="77777777" w:rsidR="00B86FB3" w:rsidRPr="00FF756A" w:rsidRDefault="00B86FB3" w:rsidP="00B86FB3">
            <w:pPr>
              <w:spacing w:after="0" w:line="240" w:lineRule="auto"/>
              <w:jc w:val="center"/>
              <w:rPr>
                <w:sz w:val="18"/>
                <w:szCs w:val="18"/>
              </w:rPr>
            </w:pPr>
            <w:r w:rsidRPr="00FF756A">
              <w:rPr>
                <w:sz w:val="18"/>
                <w:szCs w:val="18"/>
              </w:rPr>
              <w:t>56</w:t>
            </w:r>
          </w:p>
        </w:tc>
        <w:tc>
          <w:tcPr>
            <w:tcW w:w="851" w:type="dxa"/>
            <w:vAlign w:val="center"/>
          </w:tcPr>
          <w:p w14:paraId="1502FBBC" w14:textId="77777777" w:rsidR="00B86FB3" w:rsidRPr="00FF756A" w:rsidRDefault="00B86FB3" w:rsidP="00B86FB3">
            <w:pPr>
              <w:spacing w:after="0" w:line="240" w:lineRule="auto"/>
              <w:jc w:val="left"/>
              <w:rPr>
                <w:sz w:val="20"/>
                <w:szCs w:val="20"/>
              </w:rPr>
            </w:pPr>
            <w:r w:rsidRPr="00FF756A">
              <w:rPr>
                <w:sz w:val="20"/>
                <w:szCs w:val="20"/>
              </w:rPr>
              <w:t>EE-T2</w:t>
            </w:r>
          </w:p>
        </w:tc>
        <w:tc>
          <w:tcPr>
            <w:tcW w:w="2693" w:type="dxa"/>
            <w:vAlign w:val="center"/>
          </w:tcPr>
          <w:p w14:paraId="2E8005A2" w14:textId="77777777" w:rsidR="00B86FB3" w:rsidRPr="00FF756A" w:rsidRDefault="00B86FB3" w:rsidP="00B86FB3">
            <w:pPr>
              <w:spacing w:after="0" w:line="240" w:lineRule="auto"/>
              <w:jc w:val="left"/>
              <w:rPr>
                <w:sz w:val="20"/>
                <w:szCs w:val="20"/>
              </w:rPr>
            </w:pPr>
            <w:r w:rsidRPr="00FF756A">
              <w:rPr>
                <w:sz w:val="20"/>
                <w:szCs w:val="20"/>
              </w:rPr>
              <w:t>Rritja e përqindjes së automjeteve elektrike në flotën kombëtare të automjeteve.</w:t>
            </w:r>
          </w:p>
        </w:tc>
        <w:tc>
          <w:tcPr>
            <w:tcW w:w="3544" w:type="dxa"/>
            <w:vAlign w:val="center"/>
          </w:tcPr>
          <w:p w14:paraId="0064E362" w14:textId="77777777" w:rsidR="00B86FB3" w:rsidRPr="00FF756A" w:rsidRDefault="00B86FB3" w:rsidP="00B86FB3">
            <w:pPr>
              <w:spacing w:after="0" w:line="240" w:lineRule="auto"/>
              <w:jc w:val="left"/>
              <w:rPr>
                <w:sz w:val="20"/>
                <w:szCs w:val="20"/>
              </w:rPr>
            </w:pPr>
            <w:r w:rsidRPr="00FF756A">
              <w:rPr>
                <w:sz w:val="20"/>
                <w:szCs w:val="20"/>
              </w:rPr>
              <w:t>Rreth 5 milionë euro CAPEX (shpenzime kapitale) në infrastrukturat e stacioneve të karikimit. Pasurim i flotës së taksive me modele hibride apo elektrike me një kosto kapitale prej 0,5 milionë euro</w:t>
            </w:r>
          </w:p>
        </w:tc>
        <w:tc>
          <w:tcPr>
            <w:tcW w:w="1133" w:type="dxa"/>
            <w:vAlign w:val="center"/>
          </w:tcPr>
          <w:p w14:paraId="3973DDAD"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6DD9DED2" w14:textId="77777777" w:rsidTr="006A3266">
        <w:trPr>
          <w:trHeight w:val="20"/>
        </w:trPr>
        <w:tc>
          <w:tcPr>
            <w:tcW w:w="682" w:type="dxa"/>
            <w:vMerge/>
            <w:shd w:val="clear" w:color="auto" w:fill="FFF2CC" w:themeFill="accent4" w:themeFillTint="33"/>
          </w:tcPr>
          <w:p w14:paraId="3FEB73B7" w14:textId="77777777" w:rsidR="00B86FB3" w:rsidRPr="00FF756A" w:rsidRDefault="00B86FB3" w:rsidP="00B86FB3">
            <w:pPr>
              <w:rPr>
                <w:sz w:val="20"/>
                <w:szCs w:val="20"/>
              </w:rPr>
            </w:pPr>
          </w:p>
        </w:tc>
        <w:tc>
          <w:tcPr>
            <w:tcW w:w="594" w:type="dxa"/>
            <w:vAlign w:val="center"/>
          </w:tcPr>
          <w:p w14:paraId="46C30EE5" w14:textId="77777777" w:rsidR="00B86FB3" w:rsidRPr="00FF756A" w:rsidRDefault="00B86FB3" w:rsidP="00B86FB3">
            <w:pPr>
              <w:spacing w:after="0" w:line="240" w:lineRule="auto"/>
              <w:jc w:val="center"/>
              <w:rPr>
                <w:sz w:val="18"/>
                <w:szCs w:val="18"/>
              </w:rPr>
            </w:pPr>
            <w:r w:rsidRPr="00FF756A">
              <w:rPr>
                <w:sz w:val="18"/>
                <w:szCs w:val="18"/>
              </w:rPr>
              <w:t>57</w:t>
            </w:r>
          </w:p>
        </w:tc>
        <w:tc>
          <w:tcPr>
            <w:tcW w:w="851" w:type="dxa"/>
            <w:vAlign w:val="center"/>
          </w:tcPr>
          <w:p w14:paraId="441F31BF" w14:textId="77777777" w:rsidR="00B86FB3" w:rsidRPr="00FF756A" w:rsidRDefault="00B86FB3" w:rsidP="00B86FB3">
            <w:pPr>
              <w:spacing w:after="0" w:line="240" w:lineRule="auto"/>
              <w:jc w:val="left"/>
              <w:rPr>
                <w:sz w:val="20"/>
                <w:szCs w:val="20"/>
              </w:rPr>
            </w:pPr>
            <w:r w:rsidRPr="00FF756A">
              <w:rPr>
                <w:sz w:val="20"/>
                <w:szCs w:val="20"/>
              </w:rPr>
              <w:t>EE-T3</w:t>
            </w:r>
          </w:p>
        </w:tc>
        <w:tc>
          <w:tcPr>
            <w:tcW w:w="2693" w:type="dxa"/>
            <w:vAlign w:val="center"/>
          </w:tcPr>
          <w:p w14:paraId="7BC43BF5" w14:textId="77777777" w:rsidR="00B86FB3" w:rsidRPr="00FF756A" w:rsidRDefault="00B86FB3" w:rsidP="00B86FB3">
            <w:pPr>
              <w:spacing w:after="0" w:line="240" w:lineRule="auto"/>
              <w:jc w:val="left"/>
              <w:rPr>
                <w:sz w:val="20"/>
                <w:szCs w:val="20"/>
              </w:rPr>
            </w:pPr>
            <w:r w:rsidRPr="00FF756A">
              <w:rPr>
                <w:sz w:val="20"/>
                <w:szCs w:val="20"/>
              </w:rPr>
              <w:t>Mekanizma mbështetës për EE-në dhe automjetet ekologjike</w:t>
            </w:r>
          </w:p>
        </w:tc>
        <w:tc>
          <w:tcPr>
            <w:tcW w:w="3544" w:type="dxa"/>
          </w:tcPr>
          <w:p w14:paraId="323D2276" w14:textId="77777777" w:rsidR="00B86FB3" w:rsidRPr="00FF756A" w:rsidRDefault="00B86FB3" w:rsidP="00B86FB3">
            <w:pPr>
              <w:spacing w:after="0" w:line="240" w:lineRule="auto"/>
              <w:jc w:val="left"/>
              <w:rPr>
                <w:sz w:val="20"/>
                <w:szCs w:val="20"/>
              </w:rPr>
            </w:pPr>
            <w:r w:rsidRPr="00FF756A">
              <w:rPr>
                <w:sz w:val="20"/>
                <w:szCs w:val="20"/>
              </w:rPr>
              <w:t>Për të arritur objektivin prej 15,5% për EE-në deri në vitin 2030 është parashikuar një investim prej rreth 228 milionë euro.</w:t>
            </w:r>
          </w:p>
        </w:tc>
        <w:tc>
          <w:tcPr>
            <w:tcW w:w="1133" w:type="dxa"/>
            <w:vAlign w:val="center"/>
          </w:tcPr>
          <w:p w14:paraId="6E5FD777"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7D85AD7C" w14:textId="77777777" w:rsidTr="006A3266">
        <w:trPr>
          <w:trHeight w:val="20"/>
        </w:trPr>
        <w:tc>
          <w:tcPr>
            <w:tcW w:w="682" w:type="dxa"/>
            <w:vMerge/>
            <w:tcBorders>
              <w:bottom w:val="single" w:sz="4" w:space="0" w:color="auto"/>
            </w:tcBorders>
            <w:shd w:val="clear" w:color="auto" w:fill="FFF2CC" w:themeFill="accent4" w:themeFillTint="33"/>
          </w:tcPr>
          <w:p w14:paraId="5A462263" w14:textId="77777777" w:rsidR="00B86FB3" w:rsidRPr="00FF756A" w:rsidRDefault="00B86FB3" w:rsidP="00B86FB3">
            <w:pPr>
              <w:rPr>
                <w:sz w:val="20"/>
                <w:szCs w:val="20"/>
              </w:rPr>
            </w:pPr>
          </w:p>
        </w:tc>
        <w:tc>
          <w:tcPr>
            <w:tcW w:w="594" w:type="dxa"/>
            <w:vAlign w:val="center"/>
          </w:tcPr>
          <w:p w14:paraId="4FA212CB" w14:textId="77777777" w:rsidR="00B86FB3" w:rsidRPr="00FF756A" w:rsidRDefault="00B86FB3" w:rsidP="00B86FB3">
            <w:pPr>
              <w:spacing w:after="0" w:line="240" w:lineRule="auto"/>
              <w:jc w:val="center"/>
              <w:rPr>
                <w:sz w:val="18"/>
                <w:szCs w:val="18"/>
              </w:rPr>
            </w:pPr>
            <w:r w:rsidRPr="00FF756A">
              <w:rPr>
                <w:sz w:val="18"/>
                <w:szCs w:val="18"/>
              </w:rPr>
              <w:t>58</w:t>
            </w:r>
          </w:p>
        </w:tc>
        <w:tc>
          <w:tcPr>
            <w:tcW w:w="851" w:type="dxa"/>
            <w:vAlign w:val="center"/>
          </w:tcPr>
          <w:p w14:paraId="17B7E5FE" w14:textId="77777777" w:rsidR="00B86FB3" w:rsidRPr="00FF756A" w:rsidRDefault="00B86FB3" w:rsidP="00B86FB3">
            <w:pPr>
              <w:spacing w:after="0" w:line="240" w:lineRule="auto"/>
              <w:jc w:val="left"/>
              <w:rPr>
                <w:sz w:val="20"/>
                <w:szCs w:val="20"/>
              </w:rPr>
            </w:pPr>
            <w:r w:rsidRPr="00FF756A">
              <w:rPr>
                <w:sz w:val="20"/>
                <w:szCs w:val="20"/>
              </w:rPr>
              <w:t>EE-T4</w:t>
            </w:r>
          </w:p>
        </w:tc>
        <w:tc>
          <w:tcPr>
            <w:tcW w:w="2693" w:type="dxa"/>
            <w:vAlign w:val="center"/>
          </w:tcPr>
          <w:p w14:paraId="04FEF880" w14:textId="77777777" w:rsidR="00B86FB3" w:rsidRPr="00FF756A" w:rsidRDefault="00B86FB3" w:rsidP="00B86FB3">
            <w:pPr>
              <w:spacing w:after="0" w:line="240" w:lineRule="auto"/>
              <w:jc w:val="left"/>
              <w:rPr>
                <w:sz w:val="20"/>
                <w:szCs w:val="20"/>
              </w:rPr>
            </w:pPr>
            <w:r w:rsidRPr="00FF756A">
              <w:rPr>
                <w:sz w:val="20"/>
                <w:szCs w:val="20"/>
              </w:rPr>
              <w:t>Rritja e përqindjes së transportit publik për udhëtarët dhe mallrat (në rrugë tokësore, ujore dhe hekurudhore)</w:t>
            </w:r>
          </w:p>
        </w:tc>
        <w:tc>
          <w:tcPr>
            <w:tcW w:w="3544" w:type="dxa"/>
          </w:tcPr>
          <w:p w14:paraId="448FF4F5" w14:textId="77777777" w:rsidR="00B86FB3" w:rsidRPr="00FF756A" w:rsidRDefault="00B86FB3" w:rsidP="00B86FB3">
            <w:pPr>
              <w:spacing w:after="0" w:line="240" w:lineRule="auto"/>
              <w:jc w:val="left"/>
              <w:rPr>
                <w:sz w:val="20"/>
                <w:szCs w:val="20"/>
              </w:rPr>
            </w:pPr>
            <w:r w:rsidRPr="00FF756A">
              <w:rPr>
                <w:sz w:val="20"/>
                <w:szCs w:val="20"/>
              </w:rPr>
              <w:t>Nuk ka një vlerë të vetme, pasi ekzistojnë disa projekte që lidhen me ndërhyrje të ndryshme për sistemin e transportit. Durrës -Tiranë- Rinas 129 milionë euro</w:t>
            </w:r>
          </w:p>
        </w:tc>
        <w:tc>
          <w:tcPr>
            <w:tcW w:w="1133" w:type="dxa"/>
            <w:vAlign w:val="center"/>
          </w:tcPr>
          <w:p w14:paraId="61B52628"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6FAECEFC" w14:textId="77777777" w:rsidTr="006A3266">
        <w:trPr>
          <w:trHeight w:val="20"/>
        </w:trPr>
        <w:tc>
          <w:tcPr>
            <w:tcW w:w="682" w:type="dxa"/>
            <w:tcBorders>
              <w:bottom w:val="single" w:sz="4" w:space="0" w:color="auto"/>
            </w:tcBorders>
            <w:shd w:val="clear" w:color="auto" w:fill="FFF2CC" w:themeFill="accent4" w:themeFillTint="33"/>
          </w:tcPr>
          <w:p w14:paraId="0C5D6FE7" w14:textId="77777777" w:rsidR="00B86FB3" w:rsidRPr="00FF756A" w:rsidRDefault="00B86FB3" w:rsidP="00B86FB3">
            <w:pPr>
              <w:rPr>
                <w:sz w:val="20"/>
                <w:szCs w:val="20"/>
              </w:rPr>
            </w:pPr>
          </w:p>
        </w:tc>
        <w:tc>
          <w:tcPr>
            <w:tcW w:w="594" w:type="dxa"/>
            <w:vAlign w:val="center"/>
          </w:tcPr>
          <w:p w14:paraId="779A9C26" w14:textId="77777777" w:rsidR="00B86FB3" w:rsidRPr="00FF756A" w:rsidRDefault="00B86FB3" w:rsidP="00B86FB3">
            <w:pPr>
              <w:spacing w:after="0" w:line="240" w:lineRule="auto"/>
              <w:jc w:val="center"/>
              <w:rPr>
                <w:sz w:val="18"/>
                <w:szCs w:val="18"/>
              </w:rPr>
            </w:pPr>
            <w:r w:rsidRPr="00FF756A">
              <w:rPr>
                <w:sz w:val="18"/>
                <w:szCs w:val="18"/>
              </w:rPr>
              <w:t>59</w:t>
            </w:r>
          </w:p>
        </w:tc>
        <w:tc>
          <w:tcPr>
            <w:tcW w:w="851" w:type="dxa"/>
            <w:vAlign w:val="center"/>
          </w:tcPr>
          <w:p w14:paraId="01655698" w14:textId="77777777" w:rsidR="00B86FB3" w:rsidRPr="00FF756A" w:rsidRDefault="00B86FB3" w:rsidP="00B86FB3">
            <w:pPr>
              <w:spacing w:after="0" w:line="240" w:lineRule="auto"/>
              <w:jc w:val="left"/>
              <w:rPr>
                <w:sz w:val="20"/>
                <w:szCs w:val="20"/>
              </w:rPr>
            </w:pPr>
            <w:r w:rsidRPr="00FF756A">
              <w:rPr>
                <w:sz w:val="20"/>
                <w:szCs w:val="20"/>
              </w:rPr>
              <w:t>EE-T5</w:t>
            </w:r>
          </w:p>
        </w:tc>
        <w:tc>
          <w:tcPr>
            <w:tcW w:w="2693" w:type="dxa"/>
            <w:vAlign w:val="center"/>
          </w:tcPr>
          <w:p w14:paraId="27B7B134" w14:textId="77777777" w:rsidR="00B86FB3" w:rsidRPr="00FF756A" w:rsidRDefault="00B86FB3" w:rsidP="00B86FB3">
            <w:pPr>
              <w:spacing w:after="0" w:line="240" w:lineRule="auto"/>
              <w:jc w:val="left"/>
              <w:rPr>
                <w:sz w:val="20"/>
                <w:szCs w:val="20"/>
              </w:rPr>
            </w:pPr>
            <w:r w:rsidRPr="00FF756A">
              <w:rPr>
                <w:sz w:val="20"/>
                <w:szCs w:val="20"/>
              </w:rPr>
              <w:t>Përmirësimi i rrjetit të transportit hekurudhor, që lidh Shqipërinë me rrjetin ndërkombëtar të transportit hekurudhor</w:t>
            </w:r>
          </w:p>
        </w:tc>
        <w:tc>
          <w:tcPr>
            <w:tcW w:w="3544" w:type="dxa"/>
            <w:vAlign w:val="center"/>
          </w:tcPr>
          <w:p w14:paraId="4D15E345" w14:textId="77777777" w:rsidR="00B86FB3" w:rsidRPr="00FF756A" w:rsidRDefault="00B86FB3" w:rsidP="00B86FB3">
            <w:pPr>
              <w:spacing w:after="0" w:line="240" w:lineRule="auto"/>
              <w:jc w:val="left"/>
              <w:rPr>
                <w:sz w:val="20"/>
                <w:szCs w:val="20"/>
              </w:rPr>
            </w:pPr>
            <w:r w:rsidRPr="00FF756A">
              <w:rPr>
                <w:sz w:val="20"/>
                <w:szCs w:val="20"/>
              </w:rPr>
              <w:t>Do të përcaktohet në vazhdim</w:t>
            </w:r>
          </w:p>
        </w:tc>
        <w:tc>
          <w:tcPr>
            <w:tcW w:w="1133" w:type="dxa"/>
            <w:vAlign w:val="center"/>
          </w:tcPr>
          <w:p w14:paraId="5BBCA911" w14:textId="77777777" w:rsidR="00B86FB3" w:rsidRPr="00FF756A" w:rsidRDefault="00B86FB3" w:rsidP="00B86FB3">
            <w:pPr>
              <w:spacing w:after="0" w:line="240" w:lineRule="auto"/>
              <w:jc w:val="left"/>
              <w:rPr>
                <w:sz w:val="20"/>
                <w:szCs w:val="20"/>
              </w:rPr>
            </w:pPr>
            <w:r w:rsidRPr="00FF756A">
              <w:rPr>
                <w:sz w:val="20"/>
                <w:szCs w:val="20"/>
              </w:rPr>
              <w:t>WEM dhe WAM</w:t>
            </w:r>
          </w:p>
        </w:tc>
      </w:tr>
      <w:tr w:rsidR="00B86FB3" w:rsidRPr="00FF756A" w14:paraId="732AC0F8" w14:textId="77777777" w:rsidTr="006A3266">
        <w:trPr>
          <w:trHeight w:val="20"/>
        </w:trPr>
        <w:tc>
          <w:tcPr>
            <w:tcW w:w="682" w:type="dxa"/>
            <w:vMerge w:val="restart"/>
            <w:shd w:val="clear" w:color="auto" w:fill="2E74B5" w:themeFill="accent5" w:themeFillShade="BF"/>
            <w:textDirection w:val="btLr"/>
          </w:tcPr>
          <w:p w14:paraId="20478346" w14:textId="77777777" w:rsidR="00B86FB3" w:rsidRPr="00FF756A" w:rsidRDefault="00B86FB3" w:rsidP="00B86FB3">
            <w:pPr>
              <w:ind w:left="113" w:right="113"/>
              <w:jc w:val="center"/>
              <w:rPr>
                <w:b/>
                <w:bCs/>
                <w:sz w:val="20"/>
                <w:szCs w:val="20"/>
              </w:rPr>
            </w:pPr>
            <w:r w:rsidRPr="00FF756A">
              <w:rPr>
                <w:b/>
                <w:bCs/>
                <w:sz w:val="20"/>
                <w:szCs w:val="20"/>
              </w:rPr>
              <w:t>Siguria energjetike</w:t>
            </w:r>
          </w:p>
        </w:tc>
        <w:tc>
          <w:tcPr>
            <w:tcW w:w="594" w:type="dxa"/>
            <w:vAlign w:val="center"/>
          </w:tcPr>
          <w:p w14:paraId="7283D34B" w14:textId="77777777" w:rsidR="00B86FB3" w:rsidRPr="00FF756A" w:rsidRDefault="00B86FB3" w:rsidP="00B86FB3">
            <w:pPr>
              <w:spacing w:after="0" w:line="240" w:lineRule="auto"/>
              <w:jc w:val="center"/>
              <w:rPr>
                <w:sz w:val="18"/>
                <w:szCs w:val="18"/>
              </w:rPr>
            </w:pPr>
            <w:r w:rsidRPr="00FF756A">
              <w:rPr>
                <w:sz w:val="18"/>
                <w:szCs w:val="18"/>
              </w:rPr>
              <w:t>60</w:t>
            </w:r>
          </w:p>
        </w:tc>
        <w:tc>
          <w:tcPr>
            <w:tcW w:w="851" w:type="dxa"/>
            <w:vAlign w:val="center"/>
          </w:tcPr>
          <w:p w14:paraId="464DCD4C" w14:textId="77777777" w:rsidR="00B86FB3" w:rsidRPr="00FF756A" w:rsidRDefault="00B86FB3" w:rsidP="00B86FB3">
            <w:pPr>
              <w:spacing w:after="0" w:line="240" w:lineRule="auto"/>
              <w:jc w:val="left"/>
              <w:rPr>
                <w:sz w:val="20"/>
                <w:szCs w:val="20"/>
              </w:rPr>
            </w:pPr>
            <w:r w:rsidRPr="00FF756A">
              <w:rPr>
                <w:sz w:val="20"/>
                <w:szCs w:val="20"/>
              </w:rPr>
              <w:t>ES-P1</w:t>
            </w:r>
          </w:p>
        </w:tc>
        <w:tc>
          <w:tcPr>
            <w:tcW w:w="2693" w:type="dxa"/>
            <w:vAlign w:val="center"/>
          </w:tcPr>
          <w:p w14:paraId="31C9A990" w14:textId="77777777" w:rsidR="00B86FB3" w:rsidRPr="00FF756A" w:rsidRDefault="00B86FB3" w:rsidP="00B86FB3">
            <w:pPr>
              <w:spacing w:after="0" w:line="240" w:lineRule="auto"/>
              <w:jc w:val="left"/>
              <w:rPr>
                <w:sz w:val="20"/>
                <w:szCs w:val="20"/>
              </w:rPr>
            </w:pPr>
            <w:r w:rsidRPr="00FF756A">
              <w:rPr>
                <w:sz w:val="20"/>
                <w:szCs w:val="20"/>
              </w:rPr>
              <w:t>Furnizimi me gaz për termocentralin e Vlorës</w:t>
            </w:r>
          </w:p>
        </w:tc>
        <w:tc>
          <w:tcPr>
            <w:tcW w:w="3544" w:type="dxa"/>
          </w:tcPr>
          <w:p w14:paraId="207AC1B2" w14:textId="77777777" w:rsidR="00B86FB3" w:rsidRPr="00FF756A" w:rsidRDefault="00B86FB3" w:rsidP="00B86FB3">
            <w:pPr>
              <w:spacing w:after="0" w:line="240" w:lineRule="auto"/>
              <w:jc w:val="left"/>
              <w:rPr>
                <w:sz w:val="20"/>
                <w:szCs w:val="20"/>
              </w:rPr>
            </w:pPr>
            <w:r w:rsidRPr="00FF756A">
              <w:rPr>
                <w:sz w:val="20"/>
                <w:szCs w:val="20"/>
              </w:rPr>
              <w:t>Rreth 58 milionë euro</w:t>
            </w:r>
          </w:p>
        </w:tc>
        <w:tc>
          <w:tcPr>
            <w:tcW w:w="1133" w:type="dxa"/>
            <w:vAlign w:val="center"/>
          </w:tcPr>
          <w:p w14:paraId="20658EFA"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3BBCBEEE" w14:textId="77777777" w:rsidTr="006A3266">
        <w:trPr>
          <w:trHeight w:val="20"/>
        </w:trPr>
        <w:tc>
          <w:tcPr>
            <w:tcW w:w="682" w:type="dxa"/>
            <w:vMerge/>
            <w:shd w:val="clear" w:color="auto" w:fill="2E74B5" w:themeFill="accent5" w:themeFillShade="BF"/>
            <w:textDirection w:val="btLr"/>
          </w:tcPr>
          <w:p w14:paraId="4A39D41E" w14:textId="77777777" w:rsidR="00B86FB3" w:rsidRPr="00FF756A" w:rsidRDefault="00B86FB3" w:rsidP="00B86FB3">
            <w:pPr>
              <w:ind w:left="113" w:right="113"/>
              <w:rPr>
                <w:b/>
                <w:bCs/>
                <w:sz w:val="20"/>
                <w:szCs w:val="20"/>
              </w:rPr>
            </w:pPr>
          </w:p>
        </w:tc>
        <w:tc>
          <w:tcPr>
            <w:tcW w:w="594" w:type="dxa"/>
            <w:vAlign w:val="center"/>
          </w:tcPr>
          <w:p w14:paraId="278B5DA3" w14:textId="77777777" w:rsidR="00B86FB3" w:rsidRPr="00FF756A" w:rsidRDefault="00B86FB3" w:rsidP="00B86FB3">
            <w:pPr>
              <w:spacing w:after="0" w:line="240" w:lineRule="auto"/>
              <w:jc w:val="center"/>
              <w:rPr>
                <w:sz w:val="18"/>
                <w:szCs w:val="18"/>
              </w:rPr>
            </w:pPr>
            <w:r w:rsidRPr="00FF756A">
              <w:rPr>
                <w:sz w:val="18"/>
                <w:szCs w:val="18"/>
              </w:rPr>
              <w:t>61</w:t>
            </w:r>
          </w:p>
        </w:tc>
        <w:tc>
          <w:tcPr>
            <w:tcW w:w="851" w:type="dxa"/>
            <w:vAlign w:val="center"/>
          </w:tcPr>
          <w:p w14:paraId="28940EC8" w14:textId="77777777" w:rsidR="00B86FB3" w:rsidRPr="00FF756A" w:rsidRDefault="00B86FB3" w:rsidP="00B86FB3">
            <w:pPr>
              <w:spacing w:after="0" w:line="240" w:lineRule="auto"/>
              <w:jc w:val="left"/>
              <w:rPr>
                <w:sz w:val="20"/>
                <w:szCs w:val="20"/>
              </w:rPr>
            </w:pPr>
            <w:r w:rsidRPr="00FF756A">
              <w:rPr>
                <w:sz w:val="20"/>
                <w:szCs w:val="20"/>
              </w:rPr>
              <w:t>ES-P2</w:t>
            </w:r>
          </w:p>
        </w:tc>
        <w:tc>
          <w:tcPr>
            <w:tcW w:w="2693" w:type="dxa"/>
            <w:vAlign w:val="center"/>
          </w:tcPr>
          <w:p w14:paraId="5307DCF5" w14:textId="77777777" w:rsidR="00B86FB3" w:rsidRPr="00FF756A" w:rsidRDefault="00B86FB3" w:rsidP="00B86FB3">
            <w:pPr>
              <w:spacing w:after="0" w:line="240" w:lineRule="auto"/>
              <w:jc w:val="left"/>
              <w:rPr>
                <w:sz w:val="20"/>
                <w:szCs w:val="20"/>
              </w:rPr>
            </w:pPr>
            <w:r w:rsidRPr="00FF756A">
              <w:rPr>
                <w:sz w:val="20"/>
                <w:szCs w:val="20"/>
              </w:rPr>
              <w:t>Ndërtimi i centraleve të reja shtetërore - Skavica, Vau i Dejës, Belsh</w:t>
            </w:r>
          </w:p>
        </w:tc>
        <w:tc>
          <w:tcPr>
            <w:tcW w:w="3544" w:type="dxa"/>
          </w:tcPr>
          <w:p w14:paraId="6FB475B9" w14:textId="77777777" w:rsidR="00B86FB3" w:rsidRPr="00FF756A" w:rsidRDefault="00B86FB3" w:rsidP="00B86FB3">
            <w:pPr>
              <w:spacing w:after="0" w:line="240" w:lineRule="auto"/>
              <w:jc w:val="left"/>
              <w:rPr>
                <w:sz w:val="20"/>
                <w:szCs w:val="20"/>
              </w:rPr>
            </w:pPr>
            <w:r w:rsidRPr="00FF756A">
              <w:rPr>
                <w:sz w:val="20"/>
                <w:szCs w:val="20"/>
              </w:rPr>
              <w:t>Hidrocentrali i Skavicës (308 - 510 milionë euro), impianti fotovoltaik lundrues i Vaut të Dejës 13,9 milionë euro (12,9 MW), Impianti fotovoltaik i Belshit me kapacitet 50 MW rreth 36 milionë euro.</w:t>
            </w:r>
          </w:p>
        </w:tc>
        <w:tc>
          <w:tcPr>
            <w:tcW w:w="1133" w:type="dxa"/>
            <w:vAlign w:val="center"/>
          </w:tcPr>
          <w:p w14:paraId="7915286C" w14:textId="77777777" w:rsidR="00B86FB3" w:rsidRPr="00FF756A" w:rsidRDefault="00B86FB3" w:rsidP="00B86FB3">
            <w:pPr>
              <w:spacing w:after="0" w:line="240" w:lineRule="auto"/>
              <w:jc w:val="left"/>
              <w:rPr>
                <w:sz w:val="20"/>
                <w:szCs w:val="20"/>
              </w:rPr>
            </w:pPr>
            <w:r w:rsidRPr="00FF756A">
              <w:rPr>
                <w:sz w:val="20"/>
                <w:szCs w:val="20"/>
              </w:rPr>
              <w:t>WEM dhe WAM</w:t>
            </w:r>
          </w:p>
        </w:tc>
      </w:tr>
      <w:tr w:rsidR="00B86FB3" w:rsidRPr="00FF756A" w14:paraId="723B160E" w14:textId="77777777" w:rsidTr="006A3266">
        <w:trPr>
          <w:trHeight w:val="20"/>
        </w:trPr>
        <w:tc>
          <w:tcPr>
            <w:tcW w:w="682" w:type="dxa"/>
            <w:vMerge/>
            <w:shd w:val="clear" w:color="auto" w:fill="2E74B5" w:themeFill="accent5" w:themeFillShade="BF"/>
            <w:textDirection w:val="btLr"/>
          </w:tcPr>
          <w:p w14:paraId="52F58880" w14:textId="77777777" w:rsidR="00B86FB3" w:rsidRPr="00FF756A" w:rsidRDefault="00B86FB3" w:rsidP="00B86FB3">
            <w:pPr>
              <w:ind w:left="113" w:right="113"/>
              <w:rPr>
                <w:b/>
                <w:bCs/>
                <w:sz w:val="20"/>
                <w:szCs w:val="20"/>
              </w:rPr>
            </w:pPr>
          </w:p>
        </w:tc>
        <w:tc>
          <w:tcPr>
            <w:tcW w:w="594" w:type="dxa"/>
            <w:vAlign w:val="center"/>
          </w:tcPr>
          <w:p w14:paraId="308280C0" w14:textId="77777777" w:rsidR="00B86FB3" w:rsidRPr="00FF756A" w:rsidRDefault="00B86FB3" w:rsidP="00B86FB3">
            <w:pPr>
              <w:spacing w:after="0" w:line="240" w:lineRule="auto"/>
              <w:jc w:val="center"/>
              <w:rPr>
                <w:sz w:val="18"/>
                <w:szCs w:val="18"/>
              </w:rPr>
            </w:pPr>
            <w:r w:rsidRPr="00FF756A">
              <w:rPr>
                <w:sz w:val="18"/>
                <w:szCs w:val="18"/>
              </w:rPr>
              <w:t>62</w:t>
            </w:r>
          </w:p>
        </w:tc>
        <w:tc>
          <w:tcPr>
            <w:tcW w:w="851" w:type="dxa"/>
            <w:vAlign w:val="center"/>
          </w:tcPr>
          <w:p w14:paraId="19920EF5" w14:textId="77777777" w:rsidR="00B86FB3" w:rsidRPr="00FF756A" w:rsidRDefault="00B86FB3" w:rsidP="00B86FB3">
            <w:pPr>
              <w:spacing w:after="0" w:line="240" w:lineRule="auto"/>
              <w:jc w:val="left"/>
              <w:rPr>
                <w:sz w:val="20"/>
                <w:szCs w:val="20"/>
              </w:rPr>
            </w:pPr>
            <w:r w:rsidRPr="00FF756A">
              <w:rPr>
                <w:sz w:val="20"/>
                <w:szCs w:val="20"/>
              </w:rPr>
              <w:t>ES-O1</w:t>
            </w:r>
          </w:p>
        </w:tc>
        <w:tc>
          <w:tcPr>
            <w:tcW w:w="2693" w:type="dxa"/>
            <w:vAlign w:val="center"/>
          </w:tcPr>
          <w:p w14:paraId="1354923E" w14:textId="77777777" w:rsidR="00B86FB3" w:rsidRPr="00FF756A" w:rsidRDefault="00B86FB3" w:rsidP="00B86FB3">
            <w:pPr>
              <w:spacing w:after="0" w:line="240" w:lineRule="auto"/>
              <w:jc w:val="left"/>
              <w:rPr>
                <w:sz w:val="20"/>
                <w:szCs w:val="20"/>
              </w:rPr>
            </w:pPr>
            <w:r w:rsidRPr="00FF756A">
              <w:rPr>
                <w:sz w:val="20"/>
                <w:szCs w:val="20"/>
              </w:rPr>
              <w:t>Kuadri ligjor plotësisht funksional për një furnizim të besueshëm e të sigurt me gaz për konsumatorët</w:t>
            </w:r>
          </w:p>
        </w:tc>
        <w:tc>
          <w:tcPr>
            <w:tcW w:w="3544" w:type="dxa"/>
          </w:tcPr>
          <w:p w14:paraId="2E7B01B5" w14:textId="77777777" w:rsidR="00B86FB3" w:rsidRPr="00FF756A" w:rsidRDefault="00B86FB3" w:rsidP="00B86FB3">
            <w:pPr>
              <w:spacing w:after="0" w:line="240" w:lineRule="auto"/>
              <w:jc w:val="left"/>
              <w:rPr>
                <w:sz w:val="20"/>
                <w:szCs w:val="20"/>
              </w:rPr>
            </w:pPr>
            <w:r w:rsidRPr="00FF756A">
              <w:rPr>
                <w:sz w:val="20"/>
                <w:szCs w:val="20"/>
              </w:rPr>
              <w:t>Kosto e përllogaritur është 1 milion euro</w:t>
            </w:r>
          </w:p>
        </w:tc>
        <w:tc>
          <w:tcPr>
            <w:tcW w:w="1133" w:type="dxa"/>
            <w:vAlign w:val="center"/>
          </w:tcPr>
          <w:p w14:paraId="3FFD4489"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6F1B6E80" w14:textId="77777777" w:rsidTr="006A3266">
        <w:trPr>
          <w:trHeight w:val="20"/>
        </w:trPr>
        <w:tc>
          <w:tcPr>
            <w:tcW w:w="682" w:type="dxa"/>
            <w:vMerge/>
            <w:shd w:val="clear" w:color="auto" w:fill="2E74B5" w:themeFill="accent5" w:themeFillShade="BF"/>
            <w:textDirection w:val="btLr"/>
          </w:tcPr>
          <w:p w14:paraId="5FCA1291" w14:textId="77777777" w:rsidR="00B86FB3" w:rsidRPr="00FF756A" w:rsidRDefault="00B86FB3" w:rsidP="00B86FB3">
            <w:pPr>
              <w:ind w:left="113" w:right="113"/>
              <w:rPr>
                <w:b/>
                <w:bCs/>
                <w:sz w:val="20"/>
                <w:szCs w:val="20"/>
              </w:rPr>
            </w:pPr>
          </w:p>
        </w:tc>
        <w:tc>
          <w:tcPr>
            <w:tcW w:w="594" w:type="dxa"/>
            <w:vAlign w:val="center"/>
          </w:tcPr>
          <w:p w14:paraId="66372BB3" w14:textId="77777777" w:rsidR="00B86FB3" w:rsidRPr="00FF756A" w:rsidRDefault="00B86FB3" w:rsidP="00B86FB3">
            <w:pPr>
              <w:spacing w:after="0" w:line="240" w:lineRule="auto"/>
              <w:jc w:val="center"/>
              <w:rPr>
                <w:sz w:val="18"/>
                <w:szCs w:val="18"/>
              </w:rPr>
            </w:pPr>
            <w:r w:rsidRPr="00FF756A">
              <w:rPr>
                <w:sz w:val="18"/>
                <w:szCs w:val="18"/>
              </w:rPr>
              <w:t>63</w:t>
            </w:r>
          </w:p>
        </w:tc>
        <w:tc>
          <w:tcPr>
            <w:tcW w:w="851" w:type="dxa"/>
            <w:vAlign w:val="center"/>
          </w:tcPr>
          <w:p w14:paraId="6D9468DC" w14:textId="77777777" w:rsidR="00B86FB3" w:rsidRPr="00FF756A" w:rsidRDefault="00B86FB3" w:rsidP="00B86FB3">
            <w:pPr>
              <w:spacing w:after="0" w:line="240" w:lineRule="auto"/>
              <w:jc w:val="left"/>
              <w:rPr>
                <w:sz w:val="20"/>
                <w:szCs w:val="20"/>
              </w:rPr>
            </w:pPr>
            <w:r w:rsidRPr="00FF756A">
              <w:rPr>
                <w:sz w:val="20"/>
                <w:szCs w:val="20"/>
              </w:rPr>
              <w:t>ES-O2</w:t>
            </w:r>
          </w:p>
        </w:tc>
        <w:tc>
          <w:tcPr>
            <w:tcW w:w="2693" w:type="dxa"/>
            <w:vAlign w:val="center"/>
          </w:tcPr>
          <w:p w14:paraId="7187C345" w14:textId="77777777" w:rsidR="00B86FB3" w:rsidRPr="00FF756A" w:rsidRDefault="00B86FB3" w:rsidP="00B86FB3">
            <w:pPr>
              <w:spacing w:after="0" w:line="240" w:lineRule="auto"/>
              <w:jc w:val="left"/>
              <w:rPr>
                <w:sz w:val="20"/>
                <w:szCs w:val="20"/>
              </w:rPr>
            </w:pPr>
            <w:r w:rsidRPr="00FF756A">
              <w:rPr>
                <w:sz w:val="20"/>
                <w:szCs w:val="20"/>
              </w:rPr>
              <w:t>Zhvillimi dhe zbatimi i projektit të shpërndarjes dhe transmetimit të brendshëm të identifikuar në master planin për gazin</w:t>
            </w:r>
          </w:p>
        </w:tc>
        <w:tc>
          <w:tcPr>
            <w:tcW w:w="3544" w:type="dxa"/>
          </w:tcPr>
          <w:p w14:paraId="005B17F2" w14:textId="77777777" w:rsidR="00B86FB3" w:rsidRPr="00FF756A" w:rsidRDefault="00B86FB3" w:rsidP="00B86FB3">
            <w:pPr>
              <w:spacing w:after="0" w:line="240" w:lineRule="auto"/>
              <w:jc w:val="left"/>
              <w:rPr>
                <w:sz w:val="20"/>
                <w:szCs w:val="20"/>
              </w:rPr>
            </w:pPr>
            <w:r w:rsidRPr="00FF756A">
              <w:rPr>
                <w:sz w:val="20"/>
                <w:szCs w:val="20"/>
              </w:rPr>
              <w:t>Buxheti për linjën e re të transmetimit të gazit parashikohet të jetë midis 150 dhe 185 milionë euro, nga të cilat 67 milionë euro janë për 168 km të Gazsjellësit Adriatiko-Jonian (IAP)</w:t>
            </w:r>
          </w:p>
        </w:tc>
        <w:tc>
          <w:tcPr>
            <w:tcW w:w="1133" w:type="dxa"/>
            <w:vAlign w:val="center"/>
          </w:tcPr>
          <w:p w14:paraId="41B2455A"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23D9662D" w14:textId="77777777" w:rsidTr="006A3266">
        <w:trPr>
          <w:trHeight w:val="20"/>
        </w:trPr>
        <w:tc>
          <w:tcPr>
            <w:tcW w:w="682" w:type="dxa"/>
            <w:vMerge/>
            <w:shd w:val="clear" w:color="auto" w:fill="2E74B5" w:themeFill="accent5" w:themeFillShade="BF"/>
            <w:textDirection w:val="btLr"/>
          </w:tcPr>
          <w:p w14:paraId="0A6B26CE" w14:textId="77777777" w:rsidR="00B86FB3" w:rsidRPr="00FF756A" w:rsidRDefault="00B86FB3" w:rsidP="00B86FB3">
            <w:pPr>
              <w:ind w:left="113" w:right="113"/>
              <w:rPr>
                <w:b/>
                <w:bCs/>
                <w:sz w:val="20"/>
                <w:szCs w:val="20"/>
              </w:rPr>
            </w:pPr>
          </w:p>
        </w:tc>
        <w:tc>
          <w:tcPr>
            <w:tcW w:w="594" w:type="dxa"/>
            <w:vAlign w:val="center"/>
          </w:tcPr>
          <w:p w14:paraId="4BBC5B84" w14:textId="77777777" w:rsidR="00B86FB3" w:rsidRPr="00FF756A" w:rsidRDefault="00B86FB3" w:rsidP="00B86FB3">
            <w:pPr>
              <w:spacing w:after="0" w:line="240" w:lineRule="auto"/>
              <w:jc w:val="center"/>
              <w:rPr>
                <w:sz w:val="18"/>
                <w:szCs w:val="18"/>
              </w:rPr>
            </w:pPr>
            <w:r w:rsidRPr="00FF756A">
              <w:rPr>
                <w:sz w:val="18"/>
                <w:szCs w:val="18"/>
              </w:rPr>
              <w:t>64</w:t>
            </w:r>
          </w:p>
        </w:tc>
        <w:tc>
          <w:tcPr>
            <w:tcW w:w="851" w:type="dxa"/>
            <w:vAlign w:val="center"/>
          </w:tcPr>
          <w:p w14:paraId="140FB704" w14:textId="77777777" w:rsidR="00B86FB3" w:rsidRPr="00FF756A" w:rsidRDefault="00B86FB3" w:rsidP="00B86FB3">
            <w:pPr>
              <w:spacing w:after="0" w:line="240" w:lineRule="auto"/>
              <w:jc w:val="left"/>
              <w:rPr>
                <w:sz w:val="20"/>
                <w:szCs w:val="20"/>
              </w:rPr>
            </w:pPr>
            <w:r w:rsidRPr="00FF756A">
              <w:rPr>
                <w:sz w:val="20"/>
                <w:szCs w:val="20"/>
              </w:rPr>
              <w:t>ES-O3</w:t>
            </w:r>
          </w:p>
        </w:tc>
        <w:tc>
          <w:tcPr>
            <w:tcW w:w="2693" w:type="dxa"/>
            <w:vAlign w:val="center"/>
          </w:tcPr>
          <w:p w14:paraId="39ECC2AF" w14:textId="77777777" w:rsidR="00B86FB3" w:rsidRPr="00FF756A" w:rsidRDefault="00B86FB3" w:rsidP="00B86FB3">
            <w:pPr>
              <w:spacing w:after="0" w:line="240" w:lineRule="auto"/>
              <w:jc w:val="left"/>
              <w:rPr>
                <w:sz w:val="20"/>
                <w:szCs w:val="20"/>
              </w:rPr>
            </w:pPr>
            <w:r w:rsidRPr="00FF756A">
              <w:rPr>
                <w:sz w:val="20"/>
                <w:szCs w:val="20"/>
              </w:rPr>
              <w:t>Lidhja e Shqipërisë me rrjetin ndërkombëtar të gazit</w:t>
            </w:r>
          </w:p>
        </w:tc>
        <w:tc>
          <w:tcPr>
            <w:tcW w:w="3544" w:type="dxa"/>
            <w:vAlign w:val="center"/>
          </w:tcPr>
          <w:p w14:paraId="4AF5902F" w14:textId="77777777" w:rsidR="00B86FB3" w:rsidRPr="00FF756A" w:rsidRDefault="00B86FB3" w:rsidP="00B86FB3">
            <w:pPr>
              <w:spacing w:after="120" w:line="240" w:lineRule="auto"/>
              <w:rPr>
                <w:sz w:val="20"/>
                <w:szCs w:val="20"/>
              </w:rPr>
            </w:pPr>
            <w:r w:rsidRPr="00FF756A">
              <w:rPr>
                <w:sz w:val="20"/>
                <w:szCs w:val="20"/>
              </w:rPr>
              <w:t>“Studimi i Para-fizibilitetit për gazsjellësin Shqipëri-Kosovë” (projekti ALKOGAP), i zbatuar nga IPF4 TA, i financuar nga WBIF me një grant prej 0,3 milionë euro. Rreth 150 milionë euro për Gazsjellësin Shqipëri-Kosovë (projekti ALKOGAP, seksioni i Shqipërisë).</w:t>
            </w:r>
          </w:p>
          <w:p w14:paraId="49A94865" w14:textId="77777777" w:rsidR="00B86FB3" w:rsidRPr="00FF756A" w:rsidRDefault="00B86FB3" w:rsidP="00B86FB3">
            <w:pPr>
              <w:spacing w:after="120" w:line="240" w:lineRule="auto"/>
              <w:rPr>
                <w:sz w:val="20"/>
                <w:szCs w:val="20"/>
              </w:rPr>
            </w:pPr>
            <w:r w:rsidRPr="00FF756A">
              <w:rPr>
                <w:sz w:val="20"/>
                <w:szCs w:val="20"/>
              </w:rPr>
              <w:t>67 milionë euro për 168 km janë për Gazsjellësin Adriatiko-Jonian (IAP).</w:t>
            </w:r>
          </w:p>
        </w:tc>
        <w:tc>
          <w:tcPr>
            <w:tcW w:w="1133" w:type="dxa"/>
            <w:vAlign w:val="center"/>
          </w:tcPr>
          <w:p w14:paraId="7E4B250D"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130686B3" w14:textId="77777777" w:rsidTr="006A3266">
        <w:trPr>
          <w:trHeight w:val="20"/>
        </w:trPr>
        <w:tc>
          <w:tcPr>
            <w:tcW w:w="682" w:type="dxa"/>
            <w:vMerge/>
            <w:shd w:val="clear" w:color="auto" w:fill="2E74B5" w:themeFill="accent5" w:themeFillShade="BF"/>
            <w:textDirection w:val="btLr"/>
          </w:tcPr>
          <w:p w14:paraId="663188F6" w14:textId="77777777" w:rsidR="00B86FB3" w:rsidRPr="00FF756A" w:rsidRDefault="00B86FB3" w:rsidP="00B86FB3">
            <w:pPr>
              <w:ind w:left="113" w:right="113"/>
              <w:rPr>
                <w:b/>
                <w:bCs/>
                <w:sz w:val="20"/>
                <w:szCs w:val="20"/>
              </w:rPr>
            </w:pPr>
          </w:p>
        </w:tc>
        <w:tc>
          <w:tcPr>
            <w:tcW w:w="594" w:type="dxa"/>
            <w:vAlign w:val="center"/>
          </w:tcPr>
          <w:p w14:paraId="1560438D" w14:textId="77777777" w:rsidR="00B86FB3" w:rsidRPr="00FF756A" w:rsidRDefault="00B86FB3" w:rsidP="00B86FB3">
            <w:pPr>
              <w:spacing w:after="0" w:line="240" w:lineRule="auto"/>
              <w:jc w:val="center"/>
              <w:rPr>
                <w:sz w:val="18"/>
                <w:szCs w:val="18"/>
              </w:rPr>
            </w:pPr>
            <w:r w:rsidRPr="00FF756A">
              <w:rPr>
                <w:sz w:val="18"/>
                <w:szCs w:val="18"/>
              </w:rPr>
              <w:t>65</w:t>
            </w:r>
          </w:p>
        </w:tc>
        <w:tc>
          <w:tcPr>
            <w:tcW w:w="851" w:type="dxa"/>
            <w:vAlign w:val="center"/>
          </w:tcPr>
          <w:p w14:paraId="290C2734" w14:textId="77777777" w:rsidR="00B86FB3" w:rsidRPr="00FF756A" w:rsidRDefault="00B86FB3" w:rsidP="00B86FB3">
            <w:pPr>
              <w:spacing w:after="0" w:line="240" w:lineRule="auto"/>
              <w:jc w:val="left"/>
              <w:rPr>
                <w:sz w:val="20"/>
                <w:szCs w:val="20"/>
              </w:rPr>
            </w:pPr>
            <w:r w:rsidRPr="00FF756A">
              <w:rPr>
                <w:sz w:val="20"/>
                <w:szCs w:val="20"/>
              </w:rPr>
              <w:t>ES-O4</w:t>
            </w:r>
          </w:p>
        </w:tc>
        <w:tc>
          <w:tcPr>
            <w:tcW w:w="2693" w:type="dxa"/>
            <w:vAlign w:val="center"/>
          </w:tcPr>
          <w:p w14:paraId="5248CB75" w14:textId="77777777" w:rsidR="00B86FB3" w:rsidRPr="00FF756A" w:rsidRDefault="00B86FB3" w:rsidP="00B86FB3">
            <w:pPr>
              <w:spacing w:after="0" w:line="240" w:lineRule="auto"/>
              <w:jc w:val="left"/>
              <w:rPr>
                <w:sz w:val="20"/>
                <w:szCs w:val="20"/>
              </w:rPr>
            </w:pPr>
            <w:r w:rsidRPr="00FF756A">
              <w:rPr>
                <w:sz w:val="20"/>
                <w:szCs w:val="20"/>
              </w:rPr>
              <w:t>Kërkimi, prodhimi dhe përpunimi i hidrokarbureve</w:t>
            </w:r>
          </w:p>
        </w:tc>
        <w:tc>
          <w:tcPr>
            <w:tcW w:w="3544" w:type="dxa"/>
            <w:vAlign w:val="center"/>
          </w:tcPr>
          <w:p w14:paraId="4DB231FA" w14:textId="77777777" w:rsidR="00B86FB3" w:rsidRPr="00FF756A" w:rsidRDefault="00B86FB3" w:rsidP="00B86FB3">
            <w:pPr>
              <w:spacing w:after="0" w:line="240" w:lineRule="auto"/>
              <w:jc w:val="left"/>
              <w:rPr>
                <w:sz w:val="20"/>
                <w:szCs w:val="20"/>
              </w:rPr>
            </w:pPr>
            <w:r w:rsidRPr="00FF756A">
              <w:rPr>
                <w:sz w:val="20"/>
                <w:szCs w:val="20"/>
              </w:rPr>
              <w:t xml:space="preserve">Buxheti nuk është vlerësuar pasi kostot e investimeve për studimet e rehabilitimit dhe modernizimit të dy rafinerive varen drejtpërdrejt nga situata reale e instalimeve, pajisjeve dhe nivelit të ndotjes së mjedisit. </w:t>
            </w:r>
          </w:p>
        </w:tc>
        <w:tc>
          <w:tcPr>
            <w:tcW w:w="1133" w:type="dxa"/>
            <w:vAlign w:val="center"/>
          </w:tcPr>
          <w:p w14:paraId="483421EE"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09E905B5" w14:textId="77777777" w:rsidTr="006A3266">
        <w:trPr>
          <w:trHeight w:val="20"/>
        </w:trPr>
        <w:tc>
          <w:tcPr>
            <w:tcW w:w="682" w:type="dxa"/>
            <w:vMerge/>
            <w:shd w:val="clear" w:color="auto" w:fill="2E74B5" w:themeFill="accent5" w:themeFillShade="BF"/>
            <w:textDirection w:val="btLr"/>
          </w:tcPr>
          <w:p w14:paraId="7C6A2F54" w14:textId="77777777" w:rsidR="00B86FB3" w:rsidRPr="00FF756A" w:rsidRDefault="00B86FB3" w:rsidP="00B86FB3">
            <w:pPr>
              <w:ind w:left="113" w:right="113"/>
              <w:rPr>
                <w:b/>
                <w:bCs/>
                <w:sz w:val="20"/>
                <w:szCs w:val="20"/>
              </w:rPr>
            </w:pPr>
          </w:p>
        </w:tc>
        <w:tc>
          <w:tcPr>
            <w:tcW w:w="594" w:type="dxa"/>
            <w:vAlign w:val="center"/>
          </w:tcPr>
          <w:p w14:paraId="10A6B376" w14:textId="77777777" w:rsidR="00B86FB3" w:rsidRPr="00FF756A" w:rsidRDefault="00B86FB3" w:rsidP="00B86FB3">
            <w:pPr>
              <w:spacing w:after="0" w:line="240" w:lineRule="auto"/>
              <w:jc w:val="center"/>
              <w:rPr>
                <w:sz w:val="18"/>
                <w:szCs w:val="18"/>
              </w:rPr>
            </w:pPr>
            <w:r w:rsidRPr="00FF756A">
              <w:rPr>
                <w:sz w:val="18"/>
                <w:szCs w:val="18"/>
              </w:rPr>
              <w:t>66</w:t>
            </w:r>
          </w:p>
        </w:tc>
        <w:tc>
          <w:tcPr>
            <w:tcW w:w="851" w:type="dxa"/>
            <w:vAlign w:val="center"/>
          </w:tcPr>
          <w:p w14:paraId="663F78C7" w14:textId="77777777" w:rsidR="00B86FB3" w:rsidRPr="00FF756A" w:rsidRDefault="00B86FB3" w:rsidP="00B86FB3">
            <w:pPr>
              <w:spacing w:after="0" w:line="240" w:lineRule="auto"/>
              <w:jc w:val="left"/>
              <w:rPr>
                <w:sz w:val="20"/>
                <w:szCs w:val="20"/>
              </w:rPr>
            </w:pPr>
            <w:r w:rsidRPr="00FF756A">
              <w:rPr>
                <w:sz w:val="20"/>
                <w:szCs w:val="20"/>
              </w:rPr>
              <w:t>ES-O5</w:t>
            </w:r>
          </w:p>
        </w:tc>
        <w:tc>
          <w:tcPr>
            <w:tcW w:w="2693" w:type="dxa"/>
            <w:vAlign w:val="center"/>
          </w:tcPr>
          <w:p w14:paraId="2C094C00" w14:textId="77777777" w:rsidR="00B86FB3" w:rsidRPr="00FF756A" w:rsidRDefault="00B86FB3" w:rsidP="00B86FB3">
            <w:pPr>
              <w:spacing w:after="0" w:line="240" w:lineRule="auto"/>
              <w:jc w:val="left"/>
              <w:rPr>
                <w:sz w:val="20"/>
                <w:szCs w:val="20"/>
              </w:rPr>
            </w:pPr>
            <w:r w:rsidRPr="00FF756A">
              <w:rPr>
                <w:sz w:val="20"/>
                <w:szCs w:val="20"/>
              </w:rPr>
              <w:t>Plani i emergjencës për gazin natyror</w:t>
            </w:r>
          </w:p>
        </w:tc>
        <w:tc>
          <w:tcPr>
            <w:tcW w:w="3544" w:type="dxa"/>
          </w:tcPr>
          <w:p w14:paraId="7BB57071" w14:textId="77777777" w:rsidR="00B86FB3" w:rsidRPr="00FF756A" w:rsidRDefault="00B86FB3" w:rsidP="00B86FB3">
            <w:pPr>
              <w:spacing w:after="0" w:line="240" w:lineRule="auto"/>
              <w:jc w:val="left"/>
              <w:rPr>
                <w:sz w:val="20"/>
                <w:szCs w:val="20"/>
              </w:rPr>
            </w:pPr>
            <w:r w:rsidRPr="00FF756A">
              <w:rPr>
                <w:sz w:val="20"/>
                <w:szCs w:val="20"/>
              </w:rPr>
              <w:t>Nuk është bërë asnjë vlerësim i buxhetit</w:t>
            </w:r>
          </w:p>
        </w:tc>
        <w:tc>
          <w:tcPr>
            <w:tcW w:w="1133" w:type="dxa"/>
            <w:vAlign w:val="center"/>
          </w:tcPr>
          <w:p w14:paraId="7AA79416"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1122D886" w14:textId="77777777" w:rsidTr="006A3266">
        <w:trPr>
          <w:trHeight w:val="20"/>
        </w:trPr>
        <w:tc>
          <w:tcPr>
            <w:tcW w:w="682" w:type="dxa"/>
            <w:vMerge/>
            <w:shd w:val="clear" w:color="auto" w:fill="2E74B5" w:themeFill="accent5" w:themeFillShade="BF"/>
            <w:textDirection w:val="btLr"/>
          </w:tcPr>
          <w:p w14:paraId="4B8CB204" w14:textId="77777777" w:rsidR="00B86FB3" w:rsidRPr="00FF756A" w:rsidRDefault="00B86FB3" w:rsidP="00B86FB3">
            <w:pPr>
              <w:ind w:left="113" w:right="113"/>
              <w:rPr>
                <w:b/>
                <w:bCs/>
                <w:sz w:val="20"/>
                <w:szCs w:val="20"/>
              </w:rPr>
            </w:pPr>
          </w:p>
        </w:tc>
        <w:tc>
          <w:tcPr>
            <w:tcW w:w="594" w:type="dxa"/>
            <w:vAlign w:val="center"/>
          </w:tcPr>
          <w:p w14:paraId="6F96254F" w14:textId="77777777" w:rsidR="00B86FB3" w:rsidRPr="00FF756A" w:rsidRDefault="00B86FB3" w:rsidP="00B86FB3">
            <w:pPr>
              <w:spacing w:after="0" w:line="240" w:lineRule="auto"/>
              <w:jc w:val="center"/>
              <w:rPr>
                <w:sz w:val="18"/>
                <w:szCs w:val="18"/>
              </w:rPr>
            </w:pPr>
            <w:r w:rsidRPr="00FF756A">
              <w:rPr>
                <w:sz w:val="18"/>
                <w:szCs w:val="18"/>
              </w:rPr>
              <w:t>67</w:t>
            </w:r>
          </w:p>
        </w:tc>
        <w:tc>
          <w:tcPr>
            <w:tcW w:w="851" w:type="dxa"/>
            <w:vAlign w:val="center"/>
          </w:tcPr>
          <w:p w14:paraId="6E222A14" w14:textId="77777777" w:rsidR="00B86FB3" w:rsidRPr="00FF756A" w:rsidRDefault="00B86FB3" w:rsidP="00B86FB3">
            <w:pPr>
              <w:spacing w:after="0" w:line="240" w:lineRule="auto"/>
              <w:jc w:val="left"/>
              <w:rPr>
                <w:sz w:val="20"/>
                <w:szCs w:val="20"/>
              </w:rPr>
            </w:pPr>
            <w:r w:rsidRPr="00FF756A">
              <w:rPr>
                <w:sz w:val="20"/>
                <w:szCs w:val="20"/>
              </w:rPr>
              <w:t>ES-O6</w:t>
            </w:r>
          </w:p>
        </w:tc>
        <w:tc>
          <w:tcPr>
            <w:tcW w:w="2693" w:type="dxa"/>
            <w:vAlign w:val="center"/>
          </w:tcPr>
          <w:p w14:paraId="2FB52E23" w14:textId="77777777" w:rsidR="00B86FB3" w:rsidRPr="00FF756A" w:rsidRDefault="00B86FB3" w:rsidP="00B86FB3">
            <w:pPr>
              <w:spacing w:after="0" w:line="240" w:lineRule="auto"/>
              <w:jc w:val="left"/>
              <w:rPr>
                <w:sz w:val="20"/>
                <w:szCs w:val="20"/>
              </w:rPr>
            </w:pPr>
            <w:r w:rsidRPr="00FF756A">
              <w:rPr>
                <w:sz w:val="20"/>
                <w:szCs w:val="20"/>
              </w:rPr>
              <w:t>Miratimi i ligjit “Për krijimin, mbajtjen dhe menaxhimin e rezervave minimale të sigurisë të naftës bruto dhe nënprodukteve të saj”</w:t>
            </w:r>
          </w:p>
        </w:tc>
        <w:tc>
          <w:tcPr>
            <w:tcW w:w="3544" w:type="dxa"/>
            <w:vAlign w:val="center"/>
          </w:tcPr>
          <w:p w14:paraId="54B7CBB5" w14:textId="77777777" w:rsidR="00B86FB3" w:rsidRPr="00FF756A" w:rsidRDefault="00B86FB3" w:rsidP="00B86FB3">
            <w:pPr>
              <w:spacing w:after="0" w:line="240" w:lineRule="auto"/>
              <w:jc w:val="left"/>
              <w:rPr>
                <w:sz w:val="20"/>
                <w:szCs w:val="20"/>
              </w:rPr>
            </w:pPr>
            <w:r w:rsidRPr="00FF756A">
              <w:rPr>
                <w:sz w:val="20"/>
                <w:szCs w:val="20"/>
              </w:rPr>
              <w:t>Nuk është parashikuar asnjë buxhet specifik për këtë masë</w:t>
            </w:r>
          </w:p>
        </w:tc>
        <w:tc>
          <w:tcPr>
            <w:tcW w:w="1133" w:type="dxa"/>
            <w:vAlign w:val="center"/>
          </w:tcPr>
          <w:p w14:paraId="2A0EB42C"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242ABBC8" w14:textId="77777777" w:rsidTr="006A3266">
        <w:trPr>
          <w:trHeight w:val="20"/>
        </w:trPr>
        <w:tc>
          <w:tcPr>
            <w:tcW w:w="682" w:type="dxa"/>
            <w:vMerge/>
            <w:tcBorders>
              <w:bottom w:val="single" w:sz="4" w:space="0" w:color="auto"/>
            </w:tcBorders>
            <w:shd w:val="clear" w:color="auto" w:fill="2E74B5" w:themeFill="accent5" w:themeFillShade="BF"/>
            <w:textDirection w:val="btLr"/>
          </w:tcPr>
          <w:p w14:paraId="00D94CAC" w14:textId="77777777" w:rsidR="00B86FB3" w:rsidRPr="00FF756A" w:rsidRDefault="00B86FB3" w:rsidP="00B86FB3">
            <w:pPr>
              <w:ind w:left="113" w:right="113"/>
              <w:rPr>
                <w:b/>
                <w:bCs/>
                <w:sz w:val="20"/>
                <w:szCs w:val="20"/>
              </w:rPr>
            </w:pPr>
          </w:p>
        </w:tc>
        <w:tc>
          <w:tcPr>
            <w:tcW w:w="594" w:type="dxa"/>
            <w:vAlign w:val="center"/>
          </w:tcPr>
          <w:p w14:paraId="2B5F1A9B" w14:textId="77777777" w:rsidR="00B86FB3" w:rsidRPr="00FF756A" w:rsidRDefault="00B86FB3" w:rsidP="00B86FB3">
            <w:pPr>
              <w:spacing w:after="0" w:line="240" w:lineRule="auto"/>
              <w:jc w:val="center"/>
              <w:rPr>
                <w:sz w:val="18"/>
                <w:szCs w:val="18"/>
              </w:rPr>
            </w:pPr>
            <w:r w:rsidRPr="00FF756A">
              <w:rPr>
                <w:sz w:val="18"/>
                <w:szCs w:val="18"/>
              </w:rPr>
              <w:t>68</w:t>
            </w:r>
          </w:p>
        </w:tc>
        <w:tc>
          <w:tcPr>
            <w:tcW w:w="851" w:type="dxa"/>
            <w:vAlign w:val="center"/>
          </w:tcPr>
          <w:p w14:paraId="7A8C8805" w14:textId="77777777" w:rsidR="00B86FB3" w:rsidRPr="00FF756A" w:rsidRDefault="00B86FB3" w:rsidP="00B86FB3">
            <w:pPr>
              <w:spacing w:after="0" w:line="240" w:lineRule="auto"/>
              <w:jc w:val="left"/>
              <w:rPr>
                <w:sz w:val="20"/>
                <w:szCs w:val="20"/>
              </w:rPr>
            </w:pPr>
            <w:r w:rsidRPr="00FF756A">
              <w:rPr>
                <w:sz w:val="20"/>
                <w:szCs w:val="20"/>
              </w:rPr>
              <w:t>ES-R1</w:t>
            </w:r>
          </w:p>
        </w:tc>
        <w:tc>
          <w:tcPr>
            <w:tcW w:w="2693" w:type="dxa"/>
            <w:vAlign w:val="center"/>
          </w:tcPr>
          <w:p w14:paraId="7C4B19BE" w14:textId="77777777" w:rsidR="00B86FB3" w:rsidRPr="00FF756A" w:rsidRDefault="00B86FB3" w:rsidP="00B86FB3">
            <w:pPr>
              <w:spacing w:after="0" w:line="240" w:lineRule="auto"/>
              <w:jc w:val="left"/>
              <w:rPr>
                <w:sz w:val="20"/>
                <w:szCs w:val="20"/>
              </w:rPr>
            </w:pPr>
            <w:r w:rsidRPr="00FF756A">
              <w:rPr>
                <w:sz w:val="20"/>
                <w:szCs w:val="20"/>
              </w:rPr>
              <w:t>Gazsjellësi Adriatiko-Jonian dhe gazsjellësi Shqipëri-Kosovë</w:t>
            </w:r>
          </w:p>
        </w:tc>
        <w:tc>
          <w:tcPr>
            <w:tcW w:w="3544" w:type="dxa"/>
            <w:vAlign w:val="center"/>
          </w:tcPr>
          <w:p w14:paraId="6827823C" w14:textId="77777777" w:rsidR="00B86FB3" w:rsidRPr="00FF756A" w:rsidRDefault="00B86FB3" w:rsidP="00B86FB3">
            <w:pPr>
              <w:spacing w:after="0" w:line="240" w:lineRule="auto"/>
              <w:jc w:val="left"/>
              <w:rPr>
                <w:sz w:val="20"/>
                <w:szCs w:val="20"/>
              </w:rPr>
            </w:pPr>
            <w:r w:rsidRPr="00FF756A">
              <w:rPr>
                <w:sz w:val="20"/>
                <w:szCs w:val="20"/>
              </w:rPr>
              <w:t>67 milionë euro për 168 km janë për Gazsjellësin Adriatiko-Jonian. Rreth 180 milionë euro për Gazsjellësin Shqipëri-Kosovë (projekti ALKOGAP, seksioni i Shqipërisë)</w:t>
            </w:r>
          </w:p>
        </w:tc>
        <w:tc>
          <w:tcPr>
            <w:tcW w:w="1133" w:type="dxa"/>
            <w:vAlign w:val="center"/>
          </w:tcPr>
          <w:p w14:paraId="4EBC2D82"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6A4EC906" w14:textId="77777777" w:rsidTr="006A3266">
        <w:trPr>
          <w:trHeight w:val="20"/>
        </w:trPr>
        <w:tc>
          <w:tcPr>
            <w:tcW w:w="682" w:type="dxa"/>
            <w:vMerge w:val="restart"/>
            <w:shd w:val="clear" w:color="auto" w:fill="AEAAAA" w:themeFill="background2" w:themeFillShade="BF"/>
            <w:textDirection w:val="btLr"/>
            <w:vAlign w:val="center"/>
          </w:tcPr>
          <w:p w14:paraId="16729C2F" w14:textId="77777777" w:rsidR="00B86FB3" w:rsidRPr="00FF756A" w:rsidRDefault="00B86FB3" w:rsidP="00B86FB3">
            <w:pPr>
              <w:ind w:left="113" w:right="113"/>
              <w:jc w:val="right"/>
              <w:rPr>
                <w:sz w:val="20"/>
                <w:szCs w:val="20"/>
              </w:rPr>
            </w:pPr>
            <w:r w:rsidRPr="00FF756A">
              <w:rPr>
                <w:b/>
                <w:bCs/>
                <w:sz w:val="20"/>
                <w:szCs w:val="20"/>
              </w:rPr>
              <w:t>Tregu i energjisë</w:t>
            </w:r>
          </w:p>
        </w:tc>
        <w:tc>
          <w:tcPr>
            <w:tcW w:w="594" w:type="dxa"/>
            <w:vAlign w:val="center"/>
          </w:tcPr>
          <w:p w14:paraId="45DE7736" w14:textId="77777777" w:rsidR="00B86FB3" w:rsidRPr="00FF756A" w:rsidRDefault="00B86FB3" w:rsidP="00B86FB3">
            <w:pPr>
              <w:spacing w:after="0" w:line="240" w:lineRule="auto"/>
              <w:jc w:val="center"/>
              <w:rPr>
                <w:sz w:val="18"/>
                <w:szCs w:val="18"/>
              </w:rPr>
            </w:pPr>
            <w:r w:rsidRPr="00FF756A">
              <w:rPr>
                <w:sz w:val="18"/>
                <w:szCs w:val="18"/>
              </w:rPr>
              <w:t>69</w:t>
            </w:r>
          </w:p>
        </w:tc>
        <w:tc>
          <w:tcPr>
            <w:tcW w:w="851" w:type="dxa"/>
            <w:vAlign w:val="center"/>
          </w:tcPr>
          <w:p w14:paraId="02903F0B" w14:textId="77777777" w:rsidR="00B86FB3" w:rsidRPr="00FF756A" w:rsidRDefault="00B86FB3" w:rsidP="00B86FB3">
            <w:pPr>
              <w:spacing w:after="0" w:line="240" w:lineRule="auto"/>
              <w:jc w:val="left"/>
              <w:rPr>
                <w:sz w:val="20"/>
                <w:szCs w:val="20"/>
              </w:rPr>
            </w:pPr>
            <w:r w:rsidRPr="00FF756A">
              <w:rPr>
                <w:sz w:val="20"/>
                <w:szCs w:val="20"/>
              </w:rPr>
              <w:t>EM-I1</w:t>
            </w:r>
          </w:p>
        </w:tc>
        <w:tc>
          <w:tcPr>
            <w:tcW w:w="2693" w:type="dxa"/>
            <w:vAlign w:val="center"/>
          </w:tcPr>
          <w:p w14:paraId="72CF361A" w14:textId="77777777" w:rsidR="00B86FB3" w:rsidRPr="00FF756A" w:rsidRDefault="00B86FB3" w:rsidP="00B86FB3">
            <w:pPr>
              <w:spacing w:after="0" w:line="240" w:lineRule="auto"/>
              <w:jc w:val="left"/>
              <w:rPr>
                <w:sz w:val="20"/>
                <w:szCs w:val="20"/>
              </w:rPr>
            </w:pPr>
            <w:r w:rsidRPr="00FF756A">
              <w:rPr>
                <w:sz w:val="20"/>
                <w:szCs w:val="20"/>
              </w:rPr>
              <w:t>Ndërlidhësit elektrikë</w:t>
            </w:r>
          </w:p>
        </w:tc>
        <w:tc>
          <w:tcPr>
            <w:tcW w:w="3544" w:type="dxa"/>
          </w:tcPr>
          <w:p w14:paraId="125B6AA1" w14:textId="77777777" w:rsidR="00B86FB3" w:rsidRPr="00FF756A" w:rsidRDefault="00B86FB3" w:rsidP="00B86FB3">
            <w:pPr>
              <w:spacing w:after="0" w:line="240" w:lineRule="auto"/>
              <w:jc w:val="left"/>
              <w:rPr>
                <w:sz w:val="20"/>
                <w:szCs w:val="20"/>
              </w:rPr>
            </w:pPr>
            <w:r w:rsidRPr="00FF756A">
              <w:rPr>
                <w:sz w:val="20"/>
                <w:szCs w:val="20"/>
              </w:rPr>
              <w:t>Buxheti do të përcaktohet nga operatori i sistemit të transmetimit</w:t>
            </w:r>
          </w:p>
        </w:tc>
        <w:tc>
          <w:tcPr>
            <w:tcW w:w="1133" w:type="dxa"/>
            <w:vAlign w:val="center"/>
          </w:tcPr>
          <w:p w14:paraId="58164B2C"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443CF9E0" w14:textId="77777777" w:rsidTr="006A3266">
        <w:trPr>
          <w:trHeight w:val="20"/>
        </w:trPr>
        <w:tc>
          <w:tcPr>
            <w:tcW w:w="682" w:type="dxa"/>
            <w:vMerge/>
            <w:shd w:val="clear" w:color="auto" w:fill="AEAAAA" w:themeFill="background2" w:themeFillShade="BF"/>
          </w:tcPr>
          <w:p w14:paraId="6B82D68D" w14:textId="77777777" w:rsidR="00B86FB3" w:rsidRPr="00FF756A" w:rsidRDefault="00B86FB3" w:rsidP="00B86FB3">
            <w:pPr>
              <w:rPr>
                <w:sz w:val="20"/>
                <w:szCs w:val="20"/>
              </w:rPr>
            </w:pPr>
          </w:p>
        </w:tc>
        <w:tc>
          <w:tcPr>
            <w:tcW w:w="594" w:type="dxa"/>
            <w:vAlign w:val="center"/>
          </w:tcPr>
          <w:p w14:paraId="156DC43B" w14:textId="77777777" w:rsidR="00B86FB3" w:rsidRPr="00FF756A" w:rsidRDefault="00B86FB3" w:rsidP="00B86FB3">
            <w:pPr>
              <w:spacing w:after="0" w:line="240" w:lineRule="auto"/>
              <w:jc w:val="center"/>
              <w:rPr>
                <w:sz w:val="18"/>
                <w:szCs w:val="18"/>
              </w:rPr>
            </w:pPr>
            <w:r w:rsidRPr="00FF756A">
              <w:rPr>
                <w:sz w:val="18"/>
                <w:szCs w:val="18"/>
              </w:rPr>
              <w:t>70</w:t>
            </w:r>
          </w:p>
        </w:tc>
        <w:tc>
          <w:tcPr>
            <w:tcW w:w="851" w:type="dxa"/>
            <w:vAlign w:val="center"/>
          </w:tcPr>
          <w:p w14:paraId="2F0DB937" w14:textId="77777777" w:rsidR="00B86FB3" w:rsidRPr="00FF756A" w:rsidRDefault="00B86FB3" w:rsidP="00B86FB3">
            <w:pPr>
              <w:spacing w:after="0" w:line="240" w:lineRule="auto"/>
              <w:jc w:val="left"/>
              <w:rPr>
                <w:sz w:val="20"/>
                <w:szCs w:val="20"/>
              </w:rPr>
            </w:pPr>
            <w:r w:rsidRPr="00FF756A">
              <w:rPr>
                <w:sz w:val="20"/>
                <w:szCs w:val="20"/>
              </w:rPr>
              <w:t>EM-I2</w:t>
            </w:r>
          </w:p>
        </w:tc>
        <w:tc>
          <w:tcPr>
            <w:tcW w:w="2693" w:type="dxa"/>
            <w:vAlign w:val="center"/>
          </w:tcPr>
          <w:p w14:paraId="3C874C25" w14:textId="77777777" w:rsidR="00B86FB3" w:rsidRPr="00FF756A" w:rsidRDefault="00B86FB3" w:rsidP="00B86FB3">
            <w:pPr>
              <w:spacing w:after="0" w:line="240" w:lineRule="auto"/>
              <w:jc w:val="left"/>
              <w:rPr>
                <w:sz w:val="20"/>
                <w:szCs w:val="20"/>
              </w:rPr>
            </w:pPr>
            <w:r w:rsidRPr="00FF756A">
              <w:rPr>
                <w:sz w:val="20"/>
                <w:szCs w:val="20"/>
              </w:rPr>
              <w:t>Reforma ne sektorin e energjisë elektrike</w:t>
            </w:r>
          </w:p>
        </w:tc>
        <w:tc>
          <w:tcPr>
            <w:tcW w:w="3544" w:type="dxa"/>
          </w:tcPr>
          <w:p w14:paraId="2D810720" w14:textId="77777777" w:rsidR="00B86FB3" w:rsidRPr="00FF756A" w:rsidRDefault="00B86FB3" w:rsidP="00B86FB3">
            <w:pPr>
              <w:spacing w:after="0" w:line="240" w:lineRule="auto"/>
              <w:jc w:val="left"/>
              <w:rPr>
                <w:sz w:val="20"/>
                <w:szCs w:val="20"/>
              </w:rPr>
            </w:pPr>
            <w:r w:rsidRPr="00FF756A">
              <w:rPr>
                <w:sz w:val="20"/>
                <w:szCs w:val="20"/>
              </w:rPr>
              <w:t>Buxheti indikativ: 1 milionë euro</w:t>
            </w:r>
          </w:p>
        </w:tc>
        <w:tc>
          <w:tcPr>
            <w:tcW w:w="1133" w:type="dxa"/>
            <w:vAlign w:val="center"/>
          </w:tcPr>
          <w:p w14:paraId="49FB2EBE"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7E92B926" w14:textId="77777777" w:rsidTr="006A3266">
        <w:trPr>
          <w:trHeight w:val="20"/>
        </w:trPr>
        <w:tc>
          <w:tcPr>
            <w:tcW w:w="682" w:type="dxa"/>
            <w:vMerge/>
            <w:shd w:val="clear" w:color="auto" w:fill="AEAAAA" w:themeFill="background2" w:themeFillShade="BF"/>
          </w:tcPr>
          <w:p w14:paraId="724AF1D2" w14:textId="77777777" w:rsidR="00B86FB3" w:rsidRPr="00FF756A" w:rsidRDefault="00B86FB3" w:rsidP="00B86FB3">
            <w:pPr>
              <w:rPr>
                <w:sz w:val="20"/>
                <w:szCs w:val="20"/>
              </w:rPr>
            </w:pPr>
          </w:p>
        </w:tc>
        <w:tc>
          <w:tcPr>
            <w:tcW w:w="594" w:type="dxa"/>
            <w:vAlign w:val="center"/>
          </w:tcPr>
          <w:p w14:paraId="402BF143" w14:textId="77777777" w:rsidR="00B86FB3" w:rsidRPr="00FF756A" w:rsidRDefault="00B86FB3" w:rsidP="00B86FB3">
            <w:pPr>
              <w:spacing w:after="0" w:line="240" w:lineRule="auto"/>
              <w:jc w:val="center"/>
              <w:rPr>
                <w:sz w:val="18"/>
                <w:szCs w:val="18"/>
              </w:rPr>
            </w:pPr>
            <w:r w:rsidRPr="00FF756A">
              <w:rPr>
                <w:sz w:val="18"/>
                <w:szCs w:val="18"/>
              </w:rPr>
              <w:t>71</w:t>
            </w:r>
          </w:p>
        </w:tc>
        <w:tc>
          <w:tcPr>
            <w:tcW w:w="851" w:type="dxa"/>
            <w:vAlign w:val="center"/>
          </w:tcPr>
          <w:p w14:paraId="70D3676F" w14:textId="77777777" w:rsidR="00B86FB3" w:rsidRPr="00FF756A" w:rsidRDefault="00B86FB3" w:rsidP="00B86FB3">
            <w:pPr>
              <w:spacing w:after="0" w:line="240" w:lineRule="auto"/>
              <w:jc w:val="left"/>
              <w:rPr>
                <w:sz w:val="20"/>
                <w:szCs w:val="20"/>
              </w:rPr>
            </w:pPr>
            <w:r w:rsidRPr="00FF756A">
              <w:rPr>
                <w:sz w:val="20"/>
                <w:szCs w:val="20"/>
              </w:rPr>
              <w:t>EM-I3</w:t>
            </w:r>
          </w:p>
        </w:tc>
        <w:tc>
          <w:tcPr>
            <w:tcW w:w="2693" w:type="dxa"/>
            <w:vAlign w:val="center"/>
          </w:tcPr>
          <w:p w14:paraId="79341431" w14:textId="77777777" w:rsidR="00B86FB3" w:rsidRPr="00FF756A" w:rsidRDefault="00B86FB3" w:rsidP="00B86FB3">
            <w:pPr>
              <w:spacing w:after="0" w:line="240" w:lineRule="auto"/>
              <w:jc w:val="left"/>
              <w:rPr>
                <w:sz w:val="20"/>
                <w:szCs w:val="20"/>
              </w:rPr>
            </w:pPr>
            <w:r w:rsidRPr="00FF756A">
              <w:rPr>
                <w:sz w:val="20"/>
                <w:szCs w:val="20"/>
              </w:rPr>
              <w:t>Caktimi i një operatori BRE dhe transformimi i tarifave “feed-in”</w:t>
            </w:r>
          </w:p>
        </w:tc>
        <w:tc>
          <w:tcPr>
            <w:tcW w:w="3544" w:type="dxa"/>
          </w:tcPr>
          <w:p w14:paraId="5DF79A34" w14:textId="77777777" w:rsidR="00B86FB3" w:rsidRPr="00FF756A" w:rsidRDefault="00B86FB3" w:rsidP="00B86FB3">
            <w:pPr>
              <w:spacing w:after="0" w:line="240" w:lineRule="auto"/>
              <w:jc w:val="left"/>
              <w:rPr>
                <w:sz w:val="20"/>
                <w:szCs w:val="20"/>
              </w:rPr>
            </w:pPr>
            <w:r w:rsidRPr="00FF756A">
              <w:rPr>
                <w:sz w:val="20"/>
                <w:szCs w:val="20"/>
              </w:rPr>
              <w:t>Nuk është përllogaritur asnjë buxhet për këtë PM</w:t>
            </w:r>
          </w:p>
        </w:tc>
        <w:tc>
          <w:tcPr>
            <w:tcW w:w="1133" w:type="dxa"/>
            <w:vAlign w:val="center"/>
          </w:tcPr>
          <w:p w14:paraId="7EE3A736"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035B372D" w14:textId="77777777" w:rsidTr="006A3266">
        <w:trPr>
          <w:trHeight w:val="20"/>
        </w:trPr>
        <w:tc>
          <w:tcPr>
            <w:tcW w:w="682" w:type="dxa"/>
            <w:vMerge/>
            <w:tcBorders>
              <w:bottom w:val="single" w:sz="4" w:space="0" w:color="auto"/>
            </w:tcBorders>
            <w:shd w:val="clear" w:color="auto" w:fill="AEAAAA" w:themeFill="background2" w:themeFillShade="BF"/>
          </w:tcPr>
          <w:p w14:paraId="5DD5F4CB" w14:textId="77777777" w:rsidR="00B86FB3" w:rsidRPr="00FF756A" w:rsidRDefault="00B86FB3" w:rsidP="00B86FB3">
            <w:pPr>
              <w:rPr>
                <w:sz w:val="20"/>
                <w:szCs w:val="20"/>
              </w:rPr>
            </w:pPr>
          </w:p>
        </w:tc>
        <w:tc>
          <w:tcPr>
            <w:tcW w:w="594" w:type="dxa"/>
            <w:vAlign w:val="center"/>
          </w:tcPr>
          <w:p w14:paraId="741CF1AD" w14:textId="77777777" w:rsidR="00B86FB3" w:rsidRPr="00FF756A" w:rsidRDefault="00B86FB3" w:rsidP="00B86FB3">
            <w:pPr>
              <w:spacing w:after="0" w:line="240" w:lineRule="auto"/>
              <w:jc w:val="center"/>
              <w:rPr>
                <w:sz w:val="18"/>
                <w:szCs w:val="18"/>
              </w:rPr>
            </w:pPr>
            <w:r w:rsidRPr="00FF756A">
              <w:rPr>
                <w:sz w:val="18"/>
                <w:szCs w:val="18"/>
              </w:rPr>
              <w:t>72</w:t>
            </w:r>
          </w:p>
        </w:tc>
        <w:tc>
          <w:tcPr>
            <w:tcW w:w="851" w:type="dxa"/>
            <w:vAlign w:val="center"/>
          </w:tcPr>
          <w:p w14:paraId="15706333" w14:textId="77777777" w:rsidR="00B86FB3" w:rsidRPr="00FF756A" w:rsidRDefault="00B86FB3" w:rsidP="00B86FB3">
            <w:pPr>
              <w:spacing w:after="0" w:line="240" w:lineRule="auto"/>
              <w:jc w:val="left"/>
              <w:rPr>
                <w:sz w:val="20"/>
                <w:szCs w:val="20"/>
              </w:rPr>
            </w:pPr>
            <w:r w:rsidRPr="00FF756A">
              <w:rPr>
                <w:sz w:val="20"/>
                <w:szCs w:val="20"/>
              </w:rPr>
              <w:t>EM-P1</w:t>
            </w:r>
          </w:p>
        </w:tc>
        <w:tc>
          <w:tcPr>
            <w:tcW w:w="2693" w:type="dxa"/>
            <w:vAlign w:val="center"/>
          </w:tcPr>
          <w:p w14:paraId="139A5DFE" w14:textId="77777777" w:rsidR="00B86FB3" w:rsidRPr="00FF756A" w:rsidRDefault="00B86FB3" w:rsidP="00B86FB3">
            <w:pPr>
              <w:spacing w:after="0" w:line="240" w:lineRule="auto"/>
              <w:jc w:val="left"/>
              <w:rPr>
                <w:sz w:val="20"/>
                <w:szCs w:val="20"/>
              </w:rPr>
            </w:pPr>
            <w:r w:rsidRPr="00FF756A">
              <w:rPr>
                <w:sz w:val="20"/>
                <w:szCs w:val="20"/>
              </w:rPr>
              <w:t>Eliminimi i varfërisë energjetike</w:t>
            </w:r>
          </w:p>
        </w:tc>
        <w:tc>
          <w:tcPr>
            <w:tcW w:w="3544" w:type="dxa"/>
          </w:tcPr>
          <w:p w14:paraId="2414912C" w14:textId="77777777" w:rsidR="00B86FB3" w:rsidRPr="00FF756A" w:rsidRDefault="00B86FB3" w:rsidP="00B86FB3">
            <w:pPr>
              <w:spacing w:after="0" w:line="240" w:lineRule="auto"/>
              <w:jc w:val="left"/>
              <w:rPr>
                <w:sz w:val="20"/>
                <w:szCs w:val="20"/>
              </w:rPr>
            </w:pPr>
            <w:r w:rsidRPr="00FF756A">
              <w:rPr>
                <w:sz w:val="20"/>
                <w:szCs w:val="20"/>
              </w:rPr>
              <w:t>Kjo masë ka ofruar mbështetje për 213 000 familje me një kosto nga buxheti i shtetit prej 1,76 miliardë lekë (14,22 milionë euro) në vit duke filluar nga periudha 2019/2020. Të përdoret si referencë për kostot vjetore në të ardhmen.</w:t>
            </w:r>
          </w:p>
        </w:tc>
        <w:tc>
          <w:tcPr>
            <w:tcW w:w="1133" w:type="dxa"/>
            <w:vAlign w:val="center"/>
          </w:tcPr>
          <w:p w14:paraId="44120BCB"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1FA12E7A" w14:textId="77777777" w:rsidTr="006A3266">
        <w:trPr>
          <w:cantSplit/>
          <w:trHeight w:val="20"/>
        </w:trPr>
        <w:tc>
          <w:tcPr>
            <w:tcW w:w="682" w:type="dxa"/>
            <w:vMerge w:val="restart"/>
            <w:shd w:val="clear" w:color="auto" w:fill="C45911" w:themeFill="accent2" w:themeFillShade="BF"/>
            <w:textDirection w:val="btLr"/>
            <w:vAlign w:val="center"/>
          </w:tcPr>
          <w:p w14:paraId="5D607750" w14:textId="77777777" w:rsidR="00B86FB3" w:rsidRPr="00FF756A" w:rsidRDefault="00B86FB3" w:rsidP="00B86FB3">
            <w:pPr>
              <w:ind w:left="113" w:right="113"/>
              <w:jc w:val="center"/>
              <w:rPr>
                <w:b/>
                <w:bCs/>
                <w:sz w:val="18"/>
                <w:szCs w:val="18"/>
              </w:rPr>
            </w:pPr>
            <w:r w:rsidRPr="00FF756A">
              <w:rPr>
                <w:b/>
                <w:bCs/>
                <w:sz w:val="18"/>
                <w:szCs w:val="18"/>
              </w:rPr>
              <w:t>Kërkimi, inovacioni dhe konkurrenca</w:t>
            </w:r>
          </w:p>
        </w:tc>
        <w:tc>
          <w:tcPr>
            <w:tcW w:w="594" w:type="dxa"/>
            <w:vAlign w:val="center"/>
          </w:tcPr>
          <w:p w14:paraId="58CE1A38" w14:textId="77777777" w:rsidR="00B86FB3" w:rsidRPr="00FF756A" w:rsidRDefault="00B86FB3" w:rsidP="00B86FB3">
            <w:pPr>
              <w:spacing w:after="0" w:line="240" w:lineRule="auto"/>
              <w:jc w:val="center"/>
              <w:rPr>
                <w:sz w:val="18"/>
                <w:szCs w:val="18"/>
              </w:rPr>
            </w:pPr>
            <w:r w:rsidRPr="00FF756A">
              <w:rPr>
                <w:sz w:val="18"/>
                <w:szCs w:val="18"/>
              </w:rPr>
              <w:t>73</w:t>
            </w:r>
          </w:p>
        </w:tc>
        <w:tc>
          <w:tcPr>
            <w:tcW w:w="851" w:type="dxa"/>
            <w:vAlign w:val="center"/>
          </w:tcPr>
          <w:p w14:paraId="75D0AE3B" w14:textId="77777777" w:rsidR="00B86FB3" w:rsidRPr="00FF756A" w:rsidRDefault="00B86FB3" w:rsidP="00B86FB3">
            <w:pPr>
              <w:spacing w:after="0" w:line="240" w:lineRule="auto"/>
              <w:jc w:val="left"/>
              <w:rPr>
                <w:sz w:val="20"/>
                <w:szCs w:val="20"/>
              </w:rPr>
            </w:pPr>
            <w:r w:rsidRPr="00FF756A">
              <w:rPr>
                <w:sz w:val="20"/>
                <w:szCs w:val="20"/>
              </w:rPr>
              <w:t>RIC-E1</w:t>
            </w:r>
          </w:p>
        </w:tc>
        <w:tc>
          <w:tcPr>
            <w:tcW w:w="2693" w:type="dxa"/>
            <w:vAlign w:val="center"/>
          </w:tcPr>
          <w:p w14:paraId="61B9101B" w14:textId="77777777" w:rsidR="00B86FB3" w:rsidRPr="00FF756A" w:rsidRDefault="00B86FB3" w:rsidP="00B86FB3">
            <w:pPr>
              <w:spacing w:after="0" w:line="240" w:lineRule="auto"/>
              <w:jc w:val="left"/>
              <w:rPr>
                <w:sz w:val="20"/>
                <w:szCs w:val="20"/>
              </w:rPr>
            </w:pPr>
            <w:r w:rsidRPr="00FF756A">
              <w:rPr>
                <w:sz w:val="20"/>
                <w:szCs w:val="20"/>
              </w:rPr>
              <w:t>Përmirësimi i bashkëpunimit në nivel rajonal dhe ndërkombëtar për kërkimin shkencor në lidhje me sektorin e energjisë</w:t>
            </w:r>
          </w:p>
        </w:tc>
        <w:tc>
          <w:tcPr>
            <w:tcW w:w="3544" w:type="dxa"/>
          </w:tcPr>
          <w:p w14:paraId="13ABD39F" w14:textId="77777777" w:rsidR="00B86FB3" w:rsidRPr="00FF756A" w:rsidRDefault="00B86FB3" w:rsidP="00B86FB3">
            <w:pPr>
              <w:spacing w:after="0" w:line="240" w:lineRule="auto"/>
              <w:jc w:val="left"/>
              <w:rPr>
                <w:sz w:val="20"/>
                <w:szCs w:val="20"/>
              </w:rPr>
            </w:pPr>
            <w:r w:rsidRPr="00FF756A">
              <w:rPr>
                <w:sz w:val="20"/>
                <w:szCs w:val="20"/>
              </w:rPr>
              <w:t>Buxheti i parashikuar është rreth 8,24 milionë euro</w:t>
            </w:r>
          </w:p>
        </w:tc>
        <w:tc>
          <w:tcPr>
            <w:tcW w:w="1133" w:type="dxa"/>
            <w:vAlign w:val="center"/>
          </w:tcPr>
          <w:p w14:paraId="41E23F3F"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44E214E5" w14:textId="77777777" w:rsidTr="006A3266">
        <w:trPr>
          <w:cantSplit/>
          <w:trHeight w:val="20"/>
        </w:trPr>
        <w:tc>
          <w:tcPr>
            <w:tcW w:w="682" w:type="dxa"/>
            <w:vMerge/>
            <w:shd w:val="clear" w:color="auto" w:fill="C45911" w:themeFill="accent2" w:themeFillShade="BF"/>
            <w:textDirection w:val="btLr"/>
          </w:tcPr>
          <w:p w14:paraId="0580C8F4" w14:textId="77777777" w:rsidR="00B86FB3" w:rsidRPr="00FF756A" w:rsidRDefault="00B86FB3" w:rsidP="00B86FB3">
            <w:pPr>
              <w:ind w:left="113" w:right="113"/>
              <w:rPr>
                <w:b/>
                <w:bCs/>
                <w:sz w:val="20"/>
                <w:szCs w:val="20"/>
              </w:rPr>
            </w:pPr>
          </w:p>
        </w:tc>
        <w:tc>
          <w:tcPr>
            <w:tcW w:w="594" w:type="dxa"/>
            <w:vAlign w:val="center"/>
          </w:tcPr>
          <w:p w14:paraId="38A9E8D2" w14:textId="77777777" w:rsidR="00B86FB3" w:rsidRPr="00FF756A" w:rsidRDefault="00B86FB3" w:rsidP="00B86FB3">
            <w:pPr>
              <w:spacing w:after="0" w:line="240" w:lineRule="auto"/>
              <w:jc w:val="center"/>
              <w:rPr>
                <w:sz w:val="18"/>
                <w:szCs w:val="18"/>
              </w:rPr>
            </w:pPr>
            <w:r w:rsidRPr="00FF756A">
              <w:rPr>
                <w:sz w:val="18"/>
                <w:szCs w:val="18"/>
              </w:rPr>
              <w:t>74</w:t>
            </w:r>
          </w:p>
        </w:tc>
        <w:tc>
          <w:tcPr>
            <w:tcW w:w="851" w:type="dxa"/>
            <w:vAlign w:val="center"/>
          </w:tcPr>
          <w:p w14:paraId="69559242" w14:textId="77777777" w:rsidR="00B86FB3" w:rsidRPr="00FF756A" w:rsidRDefault="00B86FB3" w:rsidP="00B86FB3">
            <w:pPr>
              <w:spacing w:after="0" w:line="240" w:lineRule="auto"/>
              <w:jc w:val="left"/>
              <w:rPr>
                <w:sz w:val="20"/>
                <w:szCs w:val="20"/>
              </w:rPr>
            </w:pPr>
            <w:r w:rsidRPr="00FF756A">
              <w:rPr>
                <w:sz w:val="20"/>
                <w:szCs w:val="20"/>
              </w:rPr>
              <w:t>RIC-E2</w:t>
            </w:r>
          </w:p>
        </w:tc>
        <w:tc>
          <w:tcPr>
            <w:tcW w:w="2693" w:type="dxa"/>
            <w:vAlign w:val="center"/>
          </w:tcPr>
          <w:p w14:paraId="12D8E33E" w14:textId="77777777" w:rsidR="00B86FB3" w:rsidRPr="00FF756A" w:rsidRDefault="00B86FB3" w:rsidP="00B86FB3">
            <w:pPr>
              <w:spacing w:after="0" w:line="240" w:lineRule="auto"/>
              <w:jc w:val="left"/>
              <w:rPr>
                <w:sz w:val="20"/>
                <w:szCs w:val="20"/>
              </w:rPr>
            </w:pPr>
            <w:r w:rsidRPr="00FF756A">
              <w:rPr>
                <w:sz w:val="20"/>
                <w:szCs w:val="20"/>
              </w:rPr>
              <w:t>Programi Kombëtar i Kërkimit dhe Zhvillimit</w:t>
            </w:r>
          </w:p>
        </w:tc>
        <w:tc>
          <w:tcPr>
            <w:tcW w:w="3544" w:type="dxa"/>
          </w:tcPr>
          <w:p w14:paraId="25927F44" w14:textId="77777777" w:rsidR="00B86FB3" w:rsidRPr="00FF756A" w:rsidRDefault="00B86FB3" w:rsidP="00B86FB3">
            <w:pPr>
              <w:spacing w:after="0" w:line="240" w:lineRule="auto"/>
              <w:jc w:val="left"/>
              <w:rPr>
                <w:sz w:val="20"/>
                <w:szCs w:val="20"/>
              </w:rPr>
            </w:pPr>
            <w:r w:rsidRPr="00FF756A">
              <w:rPr>
                <w:sz w:val="20"/>
                <w:szCs w:val="20"/>
              </w:rPr>
              <w:t>Buxheti vjetor duhet të jetë 2% e PBB-së.</w:t>
            </w:r>
          </w:p>
        </w:tc>
        <w:tc>
          <w:tcPr>
            <w:tcW w:w="1133" w:type="dxa"/>
            <w:vAlign w:val="center"/>
          </w:tcPr>
          <w:p w14:paraId="002920F5" w14:textId="77777777" w:rsidR="00B86FB3" w:rsidRPr="00FF756A" w:rsidRDefault="00B86FB3" w:rsidP="00B86FB3">
            <w:pPr>
              <w:spacing w:after="0" w:line="240" w:lineRule="auto"/>
              <w:jc w:val="left"/>
              <w:rPr>
                <w:sz w:val="20"/>
                <w:szCs w:val="20"/>
              </w:rPr>
            </w:pPr>
            <w:r w:rsidRPr="00FF756A">
              <w:rPr>
                <w:sz w:val="20"/>
                <w:szCs w:val="20"/>
              </w:rPr>
              <w:t>WEM</w:t>
            </w:r>
          </w:p>
        </w:tc>
      </w:tr>
      <w:tr w:rsidR="00B86FB3" w:rsidRPr="00FF756A" w14:paraId="1CF8E4A1" w14:textId="77777777" w:rsidTr="006A3266">
        <w:trPr>
          <w:cantSplit/>
          <w:trHeight w:val="20"/>
        </w:trPr>
        <w:tc>
          <w:tcPr>
            <w:tcW w:w="682" w:type="dxa"/>
            <w:vMerge/>
            <w:shd w:val="clear" w:color="auto" w:fill="C45911" w:themeFill="accent2" w:themeFillShade="BF"/>
            <w:textDirection w:val="btLr"/>
          </w:tcPr>
          <w:p w14:paraId="30487062" w14:textId="77777777" w:rsidR="00B86FB3" w:rsidRPr="00FF756A" w:rsidRDefault="00B86FB3" w:rsidP="00B86FB3">
            <w:pPr>
              <w:ind w:left="113" w:right="113"/>
              <w:rPr>
                <w:b/>
                <w:bCs/>
                <w:sz w:val="20"/>
                <w:szCs w:val="20"/>
              </w:rPr>
            </w:pPr>
          </w:p>
        </w:tc>
        <w:tc>
          <w:tcPr>
            <w:tcW w:w="594" w:type="dxa"/>
            <w:vAlign w:val="center"/>
          </w:tcPr>
          <w:p w14:paraId="660C23A2" w14:textId="77777777" w:rsidR="00B86FB3" w:rsidRPr="00FF756A" w:rsidRDefault="00B86FB3" w:rsidP="00B86FB3">
            <w:pPr>
              <w:spacing w:after="0" w:line="240" w:lineRule="auto"/>
              <w:jc w:val="center"/>
              <w:rPr>
                <w:sz w:val="18"/>
                <w:szCs w:val="18"/>
              </w:rPr>
            </w:pPr>
            <w:r w:rsidRPr="00FF756A">
              <w:rPr>
                <w:sz w:val="18"/>
                <w:szCs w:val="18"/>
              </w:rPr>
              <w:t>75</w:t>
            </w:r>
          </w:p>
        </w:tc>
        <w:tc>
          <w:tcPr>
            <w:tcW w:w="851" w:type="dxa"/>
            <w:vAlign w:val="center"/>
          </w:tcPr>
          <w:p w14:paraId="7ABFFB5A" w14:textId="77777777" w:rsidR="00B86FB3" w:rsidRPr="00FF756A" w:rsidRDefault="00B86FB3" w:rsidP="00B86FB3">
            <w:pPr>
              <w:spacing w:after="0" w:line="240" w:lineRule="auto"/>
              <w:jc w:val="left"/>
              <w:rPr>
                <w:sz w:val="20"/>
                <w:szCs w:val="20"/>
              </w:rPr>
            </w:pPr>
            <w:r w:rsidRPr="00FF756A">
              <w:rPr>
                <w:sz w:val="20"/>
                <w:szCs w:val="20"/>
              </w:rPr>
              <w:t>RIC-E3</w:t>
            </w:r>
          </w:p>
        </w:tc>
        <w:tc>
          <w:tcPr>
            <w:tcW w:w="2693" w:type="dxa"/>
            <w:vAlign w:val="center"/>
          </w:tcPr>
          <w:p w14:paraId="321AB56A" w14:textId="77777777" w:rsidR="00B86FB3" w:rsidRPr="00FF756A" w:rsidRDefault="00B86FB3" w:rsidP="00B86FB3">
            <w:pPr>
              <w:spacing w:after="0" w:line="240" w:lineRule="auto"/>
              <w:jc w:val="left"/>
              <w:rPr>
                <w:sz w:val="20"/>
                <w:szCs w:val="20"/>
              </w:rPr>
            </w:pPr>
            <w:r w:rsidRPr="00FF756A">
              <w:rPr>
                <w:sz w:val="20"/>
                <w:szCs w:val="20"/>
              </w:rPr>
              <w:t>Strategjia e zhvillimit të biznesit dhe investimeve (BIDS)</w:t>
            </w:r>
          </w:p>
        </w:tc>
        <w:tc>
          <w:tcPr>
            <w:tcW w:w="3544" w:type="dxa"/>
          </w:tcPr>
          <w:p w14:paraId="45AE77F4" w14:textId="77777777" w:rsidR="00B86FB3" w:rsidRPr="00FF756A" w:rsidRDefault="00B86FB3" w:rsidP="00B86FB3">
            <w:pPr>
              <w:spacing w:after="0" w:line="240" w:lineRule="auto"/>
              <w:jc w:val="left"/>
              <w:rPr>
                <w:sz w:val="20"/>
                <w:szCs w:val="20"/>
              </w:rPr>
            </w:pPr>
            <w:r w:rsidRPr="00FF756A">
              <w:rPr>
                <w:sz w:val="20"/>
                <w:szCs w:val="20"/>
              </w:rPr>
              <w:t>Nuk është vlerësuar</w:t>
            </w:r>
          </w:p>
        </w:tc>
        <w:tc>
          <w:tcPr>
            <w:tcW w:w="1133" w:type="dxa"/>
            <w:vAlign w:val="center"/>
          </w:tcPr>
          <w:p w14:paraId="513C9A51"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5DC648CB" w14:textId="77777777" w:rsidTr="006A3266">
        <w:trPr>
          <w:cantSplit/>
          <w:trHeight w:val="20"/>
        </w:trPr>
        <w:tc>
          <w:tcPr>
            <w:tcW w:w="682" w:type="dxa"/>
            <w:vMerge/>
            <w:shd w:val="clear" w:color="auto" w:fill="C45911" w:themeFill="accent2" w:themeFillShade="BF"/>
            <w:textDirection w:val="btLr"/>
          </w:tcPr>
          <w:p w14:paraId="1367A7BE" w14:textId="77777777" w:rsidR="00B86FB3" w:rsidRPr="00FF756A" w:rsidRDefault="00B86FB3" w:rsidP="00B86FB3">
            <w:pPr>
              <w:ind w:left="113" w:right="113"/>
              <w:rPr>
                <w:b/>
                <w:bCs/>
                <w:sz w:val="20"/>
                <w:szCs w:val="20"/>
              </w:rPr>
            </w:pPr>
          </w:p>
        </w:tc>
        <w:tc>
          <w:tcPr>
            <w:tcW w:w="594" w:type="dxa"/>
            <w:vAlign w:val="center"/>
          </w:tcPr>
          <w:p w14:paraId="0A9AE0CB" w14:textId="77777777" w:rsidR="00B86FB3" w:rsidRPr="00FF756A" w:rsidRDefault="00B86FB3" w:rsidP="00B86FB3">
            <w:pPr>
              <w:spacing w:after="0" w:line="240" w:lineRule="auto"/>
              <w:jc w:val="center"/>
              <w:rPr>
                <w:sz w:val="18"/>
                <w:szCs w:val="18"/>
              </w:rPr>
            </w:pPr>
            <w:r w:rsidRPr="00FF756A">
              <w:rPr>
                <w:sz w:val="18"/>
                <w:szCs w:val="18"/>
              </w:rPr>
              <w:t>76</w:t>
            </w:r>
          </w:p>
        </w:tc>
        <w:tc>
          <w:tcPr>
            <w:tcW w:w="851" w:type="dxa"/>
            <w:vAlign w:val="center"/>
          </w:tcPr>
          <w:p w14:paraId="72AE8B22" w14:textId="77777777" w:rsidR="00B86FB3" w:rsidRPr="00FF756A" w:rsidRDefault="00B86FB3" w:rsidP="00B86FB3">
            <w:pPr>
              <w:spacing w:after="0" w:line="240" w:lineRule="auto"/>
              <w:jc w:val="left"/>
              <w:rPr>
                <w:sz w:val="20"/>
                <w:szCs w:val="20"/>
              </w:rPr>
            </w:pPr>
            <w:r w:rsidRPr="00FF756A">
              <w:rPr>
                <w:sz w:val="20"/>
                <w:szCs w:val="20"/>
              </w:rPr>
              <w:t>RIC-E4</w:t>
            </w:r>
          </w:p>
        </w:tc>
        <w:tc>
          <w:tcPr>
            <w:tcW w:w="2693" w:type="dxa"/>
            <w:vAlign w:val="center"/>
          </w:tcPr>
          <w:p w14:paraId="2D1C8AD1" w14:textId="77777777" w:rsidR="00B86FB3" w:rsidRPr="00FF756A" w:rsidRDefault="00B86FB3" w:rsidP="00B86FB3">
            <w:pPr>
              <w:spacing w:after="0" w:line="240" w:lineRule="auto"/>
              <w:jc w:val="left"/>
              <w:rPr>
                <w:sz w:val="20"/>
                <w:szCs w:val="20"/>
              </w:rPr>
            </w:pPr>
            <w:r w:rsidRPr="00FF756A">
              <w:rPr>
                <w:sz w:val="20"/>
                <w:szCs w:val="20"/>
              </w:rPr>
              <w:t>Demonstrimi i inovacionit dhe konkurrencës</w:t>
            </w:r>
          </w:p>
        </w:tc>
        <w:tc>
          <w:tcPr>
            <w:tcW w:w="3544" w:type="dxa"/>
          </w:tcPr>
          <w:p w14:paraId="3B064A52" w14:textId="77777777" w:rsidR="00B86FB3" w:rsidRPr="00FF756A" w:rsidRDefault="00B86FB3" w:rsidP="00B86FB3">
            <w:pPr>
              <w:spacing w:after="0" w:line="240" w:lineRule="auto"/>
              <w:jc w:val="left"/>
              <w:rPr>
                <w:sz w:val="20"/>
                <w:szCs w:val="20"/>
              </w:rPr>
            </w:pPr>
            <w:r w:rsidRPr="00FF756A">
              <w:rPr>
                <w:sz w:val="20"/>
                <w:szCs w:val="20"/>
              </w:rPr>
              <w:t>Studimi i fizibilitetit: kosto e përllogaritur është 150 mijë euro. Kostoja dhe financimi i projektit demonstrues do të përcaktohet nga studimi i fizibilitetit.</w:t>
            </w:r>
          </w:p>
        </w:tc>
        <w:tc>
          <w:tcPr>
            <w:tcW w:w="1133" w:type="dxa"/>
            <w:vAlign w:val="center"/>
          </w:tcPr>
          <w:p w14:paraId="7B5DEFD2"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1645AA9D" w14:textId="77777777" w:rsidTr="006A3266">
        <w:trPr>
          <w:cantSplit/>
          <w:trHeight w:val="20"/>
        </w:trPr>
        <w:tc>
          <w:tcPr>
            <w:tcW w:w="682" w:type="dxa"/>
            <w:vMerge/>
            <w:shd w:val="clear" w:color="auto" w:fill="C45911" w:themeFill="accent2" w:themeFillShade="BF"/>
            <w:textDirection w:val="btLr"/>
          </w:tcPr>
          <w:p w14:paraId="1AE3772E" w14:textId="77777777" w:rsidR="00B86FB3" w:rsidRPr="00FF756A" w:rsidRDefault="00B86FB3" w:rsidP="00B86FB3">
            <w:pPr>
              <w:ind w:left="113" w:right="113"/>
              <w:rPr>
                <w:b/>
                <w:bCs/>
                <w:sz w:val="20"/>
                <w:szCs w:val="20"/>
              </w:rPr>
            </w:pPr>
          </w:p>
        </w:tc>
        <w:tc>
          <w:tcPr>
            <w:tcW w:w="594" w:type="dxa"/>
            <w:vAlign w:val="center"/>
          </w:tcPr>
          <w:p w14:paraId="235FD49D" w14:textId="77777777" w:rsidR="00B86FB3" w:rsidRPr="00FF756A" w:rsidRDefault="00B86FB3" w:rsidP="00B86FB3">
            <w:pPr>
              <w:spacing w:after="0" w:line="240" w:lineRule="auto"/>
              <w:jc w:val="center"/>
              <w:rPr>
                <w:sz w:val="18"/>
                <w:szCs w:val="18"/>
              </w:rPr>
            </w:pPr>
            <w:r w:rsidRPr="00FF756A">
              <w:rPr>
                <w:sz w:val="18"/>
                <w:szCs w:val="18"/>
              </w:rPr>
              <w:t>77</w:t>
            </w:r>
          </w:p>
        </w:tc>
        <w:tc>
          <w:tcPr>
            <w:tcW w:w="851" w:type="dxa"/>
            <w:vAlign w:val="center"/>
          </w:tcPr>
          <w:p w14:paraId="2E6C47A7" w14:textId="77777777" w:rsidR="00B86FB3" w:rsidRPr="00FF756A" w:rsidRDefault="00B86FB3" w:rsidP="00B86FB3">
            <w:pPr>
              <w:spacing w:after="0" w:line="240" w:lineRule="auto"/>
              <w:jc w:val="left"/>
              <w:rPr>
                <w:sz w:val="20"/>
                <w:szCs w:val="20"/>
              </w:rPr>
            </w:pPr>
            <w:r w:rsidRPr="00FF756A">
              <w:rPr>
                <w:sz w:val="20"/>
                <w:szCs w:val="20"/>
              </w:rPr>
              <w:t>RIC-E5</w:t>
            </w:r>
          </w:p>
        </w:tc>
        <w:tc>
          <w:tcPr>
            <w:tcW w:w="2693" w:type="dxa"/>
            <w:vAlign w:val="center"/>
          </w:tcPr>
          <w:p w14:paraId="0B05A97D" w14:textId="77777777" w:rsidR="00B86FB3" w:rsidRPr="00FF756A" w:rsidRDefault="00B86FB3" w:rsidP="00B86FB3">
            <w:pPr>
              <w:spacing w:after="0" w:line="240" w:lineRule="auto"/>
              <w:jc w:val="left"/>
              <w:rPr>
                <w:sz w:val="20"/>
                <w:szCs w:val="20"/>
              </w:rPr>
            </w:pPr>
            <w:r w:rsidRPr="00FF756A">
              <w:rPr>
                <w:sz w:val="20"/>
                <w:szCs w:val="20"/>
              </w:rPr>
              <w:t>Mbështetja e NVM-ve novatore me anë të lehtësirave tatimore</w:t>
            </w:r>
          </w:p>
          <w:p w14:paraId="7343CF63" w14:textId="77777777" w:rsidR="00B86FB3" w:rsidRPr="00FF756A" w:rsidRDefault="00B86FB3" w:rsidP="00B86FB3">
            <w:pPr>
              <w:spacing w:after="0" w:line="240" w:lineRule="auto"/>
              <w:jc w:val="left"/>
              <w:rPr>
                <w:sz w:val="20"/>
                <w:szCs w:val="20"/>
              </w:rPr>
            </w:pPr>
            <w:r w:rsidRPr="00FF756A">
              <w:rPr>
                <w:sz w:val="20"/>
                <w:szCs w:val="20"/>
              </w:rPr>
              <w:t>(RIC-E5)</w:t>
            </w:r>
          </w:p>
        </w:tc>
        <w:tc>
          <w:tcPr>
            <w:tcW w:w="3544" w:type="dxa"/>
          </w:tcPr>
          <w:p w14:paraId="0B7804E6" w14:textId="77777777" w:rsidR="00B86FB3" w:rsidRPr="00FF756A" w:rsidRDefault="00B86FB3" w:rsidP="00B86FB3">
            <w:pPr>
              <w:spacing w:after="0" w:line="240" w:lineRule="auto"/>
              <w:jc w:val="left"/>
              <w:rPr>
                <w:sz w:val="20"/>
                <w:szCs w:val="20"/>
              </w:rPr>
            </w:pPr>
            <w:r w:rsidRPr="00FF756A">
              <w:rPr>
                <w:sz w:val="20"/>
                <w:szCs w:val="20"/>
              </w:rPr>
              <w:t>Përllogaritur në 0,5 milionë euro në vit</w:t>
            </w:r>
          </w:p>
        </w:tc>
        <w:tc>
          <w:tcPr>
            <w:tcW w:w="1133" w:type="dxa"/>
            <w:vAlign w:val="center"/>
          </w:tcPr>
          <w:p w14:paraId="1660AFD1"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40D61E85" w14:textId="77777777" w:rsidTr="006A3266">
        <w:trPr>
          <w:cantSplit/>
          <w:trHeight w:val="20"/>
        </w:trPr>
        <w:tc>
          <w:tcPr>
            <w:tcW w:w="682" w:type="dxa"/>
            <w:vMerge/>
            <w:shd w:val="clear" w:color="auto" w:fill="C45911" w:themeFill="accent2" w:themeFillShade="BF"/>
            <w:textDirection w:val="btLr"/>
          </w:tcPr>
          <w:p w14:paraId="09AEF9AB" w14:textId="77777777" w:rsidR="00B86FB3" w:rsidRPr="00FF756A" w:rsidRDefault="00B86FB3" w:rsidP="00B86FB3">
            <w:pPr>
              <w:ind w:left="113" w:right="113"/>
              <w:rPr>
                <w:b/>
                <w:bCs/>
                <w:sz w:val="20"/>
                <w:szCs w:val="20"/>
              </w:rPr>
            </w:pPr>
          </w:p>
        </w:tc>
        <w:tc>
          <w:tcPr>
            <w:tcW w:w="594" w:type="dxa"/>
            <w:vAlign w:val="center"/>
          </w:tcPr>
          <w:p w14:paraId="18ACC42E" w14:textId="77777777" w:rsidR="00B86FB3" w:rsidRPr="00FF756A" w:rsidRDefault="00B86FB3" w:rsidP="00B86FB3">
            <w:pPr>
              <w:spacing w:after="0" w:line="240" w:lineRule="auto"/>
              <w:jc w:val="center"/>
              <w:rPr>
                <w:sz w:val="18"/>
                <w:szCs w:val="18"/>
              </w:rPr>
            </w:pPr>
            <w:r w:rsidRPr="00FF756A">
              <w:rPr>
                <w:sz w:val="18"/>
                <w:szCs w:val="18"/>
              </w:rPr>
              <w:t>78</w:t>
            </w:r>
          </w:p>
        </w:tc>
        <w:tc>
          <w:tcPr>
            <w:tcW w:w="851" w:type="dxa"/>
            <w:vAlign w:val="center"/>
          </w:tcPr>
          <w:p w14:paraId="36EECEE3" w14:textId="77777777" w:rsidR="00B86FB3" w:rsidRPr="00FF756A" w:rsidRDefault="00B86FB3" w:rsidP="00B86FB3">
            <w:pPr>
              <w:spacing w:after="0" w:line="240" w:lineRule="auto"/>
              <w:jc w:val="left"/>
              <w:rPr>
                <w:sz w:val="20"/>
                <w:szCs w:val="20"/>
              </w:rPr>
            </w:pPr>
            <w:r w:rsidRPr="00FF756A">
              <w:rPr>
                <w:sz w:val="20"/>
                <w:szCs w:val="20"/>
              </w:rPr>
              <w:t>RIC-E6</w:t>
            </w:r>
          </w:p>
        </w:tc>
        <w:tc>
          <w:tcPr>
            <w:tcW w:w="2693" w:type="dxa"/>
            <w:vAlign w:val="center"/>
          </w:tcPr>
          <w:p w14:paraId="02839A75" w14:textId="77777777" w:rsidR="00B86FB3" w:rsidRPr="00FF756A" w:rsidRDefault="00B86FB3" w:rsidP="00B86FB3">
            <w:pPr>
              <w:spacing w:after="0" w:line="240" w:lineRule="auto"/>
              <w:jc w:val="left"/>
              <w:rPr>
                <w:sz w:val="20"/>
                <w:szCs w:val="20"/>
              </w:rPr>
            </w:pPr>
            <w:r w:rsidRPr="00FF756A">
              <w:rPr>
                <w:sz w:val="20"/>
                <w:szCs w:val="20"/>
              </w:rPr>
              <w:t xml:space="preserve">Formimi i grupeve për të mbështetur inovacionin dhe konkurrencën </w:t>
            </w:r>
          </w:p>
          <w:p w14:paraId="0DC932A1" w14:textId="77777777" w:rsidR="00B86FB3" w:rsidRPr="00FF756A" w:rsidRDefault="00B86FB3" w:rsidP="00B86FB3">
            <w:pPr>
              <w:spacing w:after="0" w:line="240" w:lineRule="auto"/>
              <w:jc w:val="left"/>
              <w:rPr>
                <w:sz w:val="20"/>
                <w:szCs w:val="20"/>
              </w:rPr>
            </w:pPr>
          </w:p>
        </w:tc>
        <w:tc>
          <w:tcPr>
            <w:tcW w:w="3544" w:type="dxa"/>
          </w:tcPr>
          <w:p w14:paraId="7AA7FFD6" w14:textId="77777777" w:rsidR="00B86FB3" w:rsidRPr="00FF756A" w:rsidRDefault="00B86FB3" w:rsidP="00B86FB3">
            <w:pPr>
              <w:spacing w:after="0" w:line="240" w:lineRule="auto"/>
              <w:jc w:val="left"/>
              <w:rPr>
                <w:sz w:val="20"/>
                <w:szCs w:val="20"/>
              </w:rPr>
            </w:pPr>
            <w:r w:rsidRPr="00FF756A">
              <w:rPr>
                <w:sz w:val="20"/>
                <w:szCs w:val="20"/>
              </w:rPr>
              <w:t>Rreth 0,2 milionë euro</w:t>
            </w:r>
          </w:p>
        </w:tc>
        <w:tc>
          <w:tcPr>
            <w:tcW w:w="1133" w:type="dxa"/>
            <w:vAlign w:val="center"/>
          </w:tcPr>
          <w:p w14:paraId="1A0EB22D" w14:textId="77777777" w:rsidR="00B86FB3" w:rsidRPr="00FF756A" w:rsidRDefault="00B86FB3" w:rsidP="00B86FB3">
            <w:pPr>
              <w:spacing w:after="0" w:line="240" w:lineRule="auto"/>
              <w:jc w:val="left"/>
              <w:rPr>
                <w:sz w:val="20"/>
                <w:szCs w:val="20"/>
              </w:rPr>
            </w:pPr>
            <w:r w:rsidRPr="00FF756A">
              <w:rPr>
                <w:sz w:val="20"/>
                <w:szCs w:val="20"/>
              </w:rPr>
              <w:t>WAM</w:t>
            </w:r>
          </w:p>
        </w:tc>
      </w:tr>
      <w:tr w:rsidR="00B86FB3" w:rsidRPr="00FF756A" w14:paraId="076BBB52" w14:textId="77777777" w:rsidTr="006A3266">
        <w:trPr>
          <w:cantSplit/>
          <w:trHeight w:val="20"/>
        </w:trPr>
        <w:tc>
          <w:tcPr>
            <w:tcW w:w="682" w:type="dxa"/>
            <w:vMerge/>
            <w:shd w:val="clear" w:color="auto" w:fill="C45911" w:themeFill="accent2" w:themeFillShade="BF"/>
            <w:textDirection w:val="btLr"/>
          </w:tcPr>
          <w:p w14:paraId="715DBAAA" w14:textId="77777777" w:rsidR="00B86FB3" w:rsidRPr="00FF756A" w:rsidRDefault="00B86FB3" w:rsidP="00B86FB3">
            <w:pPr>
              <w:ind w:left="113" w:right="113"/>
              <w:rPr>
                <w:b/>
                <w:bCs/>
                <w:sz w:val="20"/>
                <w:szCs w:val="20"/>
              </w:rPr>
            </w:pPr>
          </w:p>
        </w:tc>
        <w:tc>
          <w:tcPr>
            <w:tcW w:w="594" w:type="dxa"/>
            <w:vAlign w:val="center"/>
          </w:tcPr>
          <w:p w14:paraId="33CF109B" w14:textId="77777777" w:rsidR="00B86FB3" w:rsidRPr="00FF756A" w:rsidRDefault="00B86FB3" w:rsidP="00B86FB3">
            <w:pPr>
              <w:spacing w:after="0" w:line="240" w:lineRule="auto"/>
              <w:jc w:val="center"/>
              <w:rPr>
                <w:sz w:val="18"/>
                <w:szCs w:val="18"/>
              </w:rPr>
            </w:pPr>
            <w:r w:rsidRPr="00FF756A">
              <w:rPr>
                <w:sz w:val="18"/>
                <w:szCs w:val="18"/>
              </w:rPr>
              <w:t>79</w:t>
            </w:r>
          </w:p>
        </w:tc>
        <w:tc>
          <w:tcPr>
            <w:tcW w:w="851" w:type="dxa"/>
            <w:vAlign w:val="center"/>
          </w:tcPr>
          <w:p w14:paraId="29BCE619" w14:textId="77777777" w:rsidR="00B86FB3" w:rsidRPr="00FF756A" w:rsidRDefault="00B86FB3" w:rsidP="00B86FB3">
            <w:pPr>
              <w:spacing w:after="0" w:line="240" w:lineRule="auto"/>
              <w:jc w:val="left"/>
              <w:rPr>
                <w:sz w:val="20"/>
                <w:szCs w:val="20"/>
              </w:rPr>
            </w:pPr>
            <w:r w:rsidRPr="00FF756A">
              <w:rPr>
                <w:sz w:val="20"/>
                <w:szCs w:val="20"/>
              </w:rPr>
              <w:t>RIC-E7</w:t>
            </w:r>
          </w:p>
        </w:tc>
        <w:tc>
          <w:tcPr>
            <w:tcW w:w="2693" w:type="dxa"/>
            <w:vAlign w:val="center"/>
          </w:tcPr>
          <w:p w14:paraId="4ED4141D" w14:textId="77777777" w:rsidR="00B86FB3" w:rsidRPr="00FF756A" w:rsidRDefault="00B86FB3" w:rsidP="00B86FB3">
            <w:pPr>
              <w:spacing w:before="20" w:after="20" w:line="240" w:lineRule="auto"/>
              <w:rPr>
                <w:sz w:val="20"/>
                <w:szCs w:val="20"/>
              </w:rPr>
            </w:pPr>
            <w:r w:rsidRPr="00FF756A">
              <w:rPr>
                <w:sz w:val="20"/>
                <w:szCs w:val="20"/>
              </w:rPr>
              <w:t>Inovacioni dhe ekselenca në administratën publike</w:t>
            </w:r>
          </w:p>
        </w:tc>
        <w:tc>
          <w:tcPr>
            <w:tcW w:w="3544" w:type="dxa"/>
          </w:tcPr>
          <w:p w14:paraId="39147DDE" w14:textId="77777777" w:rsidR="00B86FB3" w:rsidRPr="00FF756A" w:rsidRDefault="00B86FB3" w:rsidP="00B86FB3">
            <w:pPr>
              <w:spacing w:after="0" w:line="240" w:lineRule="auto"/>
              <w:jc w:val="left"/>
              <w:rPr>
                <w:sz w:val="20"/>
                <w:szCs w:val="20"/>
              </w:rPr>
            </w:pPr>
            <w:r w:rsidRPr="00FF756A">
              <w:rPr>
                <w:sz w:val="20"/>
                <w:szCs w:val="20"/>
              </w:rPr>
              <w:t>Rreth 0,3 milionë euro</w:t>
            </w:r>
          </w:p>
        </w:tc>
        <w:tc>
          <w:tcPr>
            <w:tcW w:w="1133" w:type="dxa"/>
            <w:vAlign w:val="center"/>
          </w:tcPr>
          <w:p w14:paraId="622D859D" w14:textId="77777777" w:rsidR="00B86FB3" w:rsidRPr="00FF756A" w:rsidRDefault="00B86FB3" w:rsidP="008E7DE9">
            <w:pPr>
              <w:keepNext/>
              <w:spacing w:after="0" w:line="240" w:lineRule="auto"/>
              <w:jc w:val="left"/>
              <w:rPr>
                <w:sz w:val="20"/>
                <w:szCs w:val="20"/>
              </w:rPr>
            </w:pPr>
            <w:r w:rsidRPr="00FF756A">
              <w:rPr>
                <w:sz w:val="20"/>
                <w:szCs w:val="20"/>
              </w:rPr>
              <w:t>WAM</w:t>
            </w:r>
          </w:p>
        </w:tc>
      </w:tr>
    </w:tbl>
    <w:p w14:paraId="087DB3FA" w14:textId="156852D9" w:rsidR="00B86FB3" w:rsidRPr="00FF756A" w:rsidRDefault="008E7DE9" w:rsidP="008E7DE9">
      <w:pPr>
        <w:pStyle w:val="Caption"/>
        <w:rPr>
          <w:rFonts w:ascii="Times New Roman" w:hAnsi="Times New Roman"/>
        </w:rPr>
      </w:pPr>
      <w:bookmarkStart w:id="780" w:name="_Toc183016530"/>
      <w:r w:rsidRPr="00FF756A">
        <w:rPr>
          <w:rFonts w:ascii="Times New Roman" w:hAnsi="Times New Roman"/>
        </w:rPr>
        <w:t xml:space="preserve">Tabela </w:t>
      </w:r>
      <w:r w:rsidRPr="00FF756A">
        <w:rPr>
          <w:rFonts w:ascii="Times New Roman" w:hAnsi="Times New Roman"/>
        </w:rPr>
        <w:fldChar w:fldCharType="begin"/>
      </w:r>
      <w:r w:rsidRPr="00FF756A">
        <w:rPr>
          <w:rFonts w:ascii="Times New Roman" w:hAnsi="Times New Roman"/>
        </w:rPr>
        <w:instrText xml:space="preserve"> SEQ Tabela \* ARABIC </w:instrText>
      </w:r>
      <w:r w:rsidRPr="00FF756A">
        <w:rPr>
          <w:rFonts w:ascii="Times New Roman" w:hAnsi="Times New Roman"/>
        </w:rPr>
        <w:fldChar w:fldCharType="separate"/>
      </w:r>
      <w:r w:rsidRPr="00FF756A">
        <w:rPr>
          <w:rFonts w:ascii="Times New Roman" w:hAnsi="Times New Roman"/>
          <w:noProof/>
        </w:rPr>
        <w:t>66</w:t>
      </w:r>
      <w:r w:rsidRPr="00FF756A">
        <w:rPr>
          <w:rFonts w:ascii="Times New Roman" w:hAnsi="Times New Roman"/>
          <w:noProof/>
        </w:rPr>
        <w:fldChar w:fldCharType="end"/>
      </w:r>
      <w:r w:rsidRPr="00FF756A">
        <w:rPr>
          <w:rFonts w:ascii="Times New Roman" w:hAnsi="Times New Roman"/>
        </w:rPr>
        <w:t>: Përmbledhje e investimeve të parashikuara</w:t>
      </w:r>
      <w:bookmarkEnd w:id="780"/>
    </w:p>
    <w:p w14:paraId="596E2E86" w14:textId="77777777" w:rsidR="00B86FB3" w:rsidRPr="00FF756A" w:rsidRDefault="00B86FB3" w:rsidP="008639B2">
      <w:pPr>
        <w:keepNext/>
        <w:keepLines/>
        <w:numPr>
          <w:ilvl w:val="0"/>
          <w:numId w:val="196"/>
        </w:numPr>
        <w:pBdr>
          <w:top w:val="none" w:sz="0" w:space="0" w:color="auto"/>
          <w:left w:val="none" w:sz="0" w:space="0" w:color="auto"/>
          <w:bottom w:val="none" w:sz="0" w:space="0" w:color="auto"/>
          <w:right w:val="none" w:sz="0" w:space="0" w:color="auto"/>
          <w:between w:val="none" w:sz="0" w:space="0" w:color="auto"/>
        </w:pBdr>
        <w:spacing w:before="40" w:after="0" w:line="240" w:lineRule="auto"/>
        <w:outlineLvl w:val="3"/>
        <w:rPr>
          <w:rFonts w:eastAsia="Calibri Light"/>
          <w:i/>
          <w:iCs/>
          <w:color w:val="2F5496" w:themeColor="accent1" w:themeShade="BF"/>
        </w:rPr>
      </w:pPr>
      <w:bookmarkStart w:id="781" w:name="_Toc183639317"/>
      <w:r w:rsidRPr="00FF756A">
        <w:rPr>
          <w:rFonts w:eastAsia="Calibri Light"/>
          <w:i/>
          <w:iCs/>
          <w:color w:val="2F5496" w:themeColor="accent1" w:themeShade="BF"/>
        </w:rPr>
        <w:t>Barrierat ose faktorët e riskut në sektor ose treg, në kontekstin kombëtar dhe rajonal</w:t>
      </w:r>
      <w:bookmarkEnd w:id="781"/>
    </w:p>
    <w:p w14:paraId="72FBA710" w14:textId="77777777" w:rsidR="00B86FB3" w:rsidRPr="00FF756A" w:rsidRDefault="00B86FB3" w:rsidP="00B86FB3">
      <w:r w:rsidRPr="00FF756A">
        <w:t>Një nga risqet që mund të kufizojë shtimin e BRE-ve është limitimi i buxhetit të shtetit. Në fakt, pjesa më e madhe e kapacitetit të ri do të mbështetej ose me anë të skemave FIT/CfD ose me anë të mekanizmit të matjes së energjisë neto. Këto skema mbështetjeje kanë ndikim te buxheti i shtetit përmes organeve të shërbimeve publike dhe çmimit të energjisë elektrike.</w:t>
      </w:r>
    </w:p>
    <w:p w14:paraId="3B450F97" w14:textId="77777777" w:rsidR="00B86FB3" w:rsidRPr="00FF756A" w:rsidRDefault="00B86FB3" w:rsidP="00B86FB3"/>
    <w:p w14:paraId="6373FA95" w14:textId="77777777" w:rsidR="00B86FB3" w:rsidRPr="00FF756A" w:rsidRDefault="00B86FB3" w:rsidP="008639B2">
      <w:pPr>
        <w:keepNext/>
        <w:keepLines/>
        <w:numPr>
          <w:ilvl w:val="1"/>
          <w:numId w:val="195"/>
        </w:numPr>
        <w:spacing w:before="40" w:after="0"/>
        <w:outlineLvl w:val="1"/>
        <w:rPr>
          <w:rFonts w:eastAsiaTheme="minorEastAsia"/>
          <w:color w:val="365F91"/>
          <w:sz w:val="26"/>
          <w:szCs w:val="26"/>
          <w:lang w:eastAsia="de-DE"/>
        </w:rPr>
      </w:pPr>
      <w:bookmarkStart w:id="782" w:name="_Toc72919995"/>
      <w:bookmarkStart w:id="783" w:name="_Toc72930631"/>
      <w:bookmarkStart w:id="784" w:name="_Toc100575621"/>
      <w:bookmarkStart w:id="785" w:name="_Toc182898984"/>
      <w:bookmarkStart w:id="786" w:name="_Toc183639318"/>
      <w:bookmarkStart w:id="787" w:name="_Hlk75767850"/>
      <w:r w:rsidRPr="00FF756A">
        <w:rPr>
          <w:rFonts w:eastAsiaTheme="minorEastAsia"/>
          <w:color w:val="365F91"/>
          <w:sz w:val="26"/>
          <w:szCs w:val="26"/>
          <w:lang w:eastAsia="de-DE"/>
        </w:rPr>
        <w:t>Ndikimet e politikave dhe masave të planifikuara te shtetet e tjera anëtare dhe te bashkëpunimi rajonal, duke përfshirë krahasimin me parashikimet e bazuara në politikat dhe masat ekzistuese.</w:t>
      </w:r>
      <w:bookmarkEnd w:id="782"/>
      <w:bookmarkEnd w:id="783"/>
      <w:bookmarkEnd w:id="784"/>
      <w:bookmarkEnd w:id="785"/>
      <w:bookmarkEnd w:id="786"/>
    </w:p>
    <w:bookmarkEnd w:id="787"/>
    <w:p w14:paraId="73610117" w14:textId="77777777" w:rsidR="00B86FB3" w:rsidRPr="00FF756A" w:rsidRDefault="00B86FB3" w:rsidP="00B86FB3">
      <w:r w:rsidRPr="00FF756A">
        <w:t>Ky seksion trajton ndikimet e politikave dhe masave të planifikuara të përshkruara në seksionin 3 te shtetet e tjera anëtare dhe te bashkëpunimi rajonal, të paktën deri në vitin e fundit të periudhës së mbuluar nga plani, duke përfshirë krahasimin me parashikimet e bazuara në politikat dhe masat ekzistuese.</w:t>
      </w:r>
    </w:p>
    <w:p w14:paraId="6B73BCD3" w14:textId="77777777" w:rsidR="00B86FB3" w:rsidRPr="00FF756A" w:rsidRDefault="00B86FB3" w:rsidP="00B86FB3"/>
    <w:p w14:paraId="521FD307" w14:textId="77777777" w:rsidR="00B86FB3" w:rsidRPr="00FF756A" w:rsidRDefault="00B86FB3" w:rsidP="008639B2">
      <w:pPr>
        <w:keepNext/>
        <w:keepLines/>
        <w:numPr>
          <w:ilvl w:val="0"/>
          <w:numId w:val="194"/>
        </w:numPr>
        <w:pBdr>
          <w:top w:val="none" w:sz="0" w:space="0" w:color="auto"/>
          <w:left w:val="none" w:sz="0" w:space="0" w:color="auto"/>
          <w:bottom w:val="none" w:sz="0" w:space="0" w:color="auto"/>
          <w:right w:val="none" w:sz="0" w:space="0" w:color="auto"/>
          <w:between w:val="none" w:sz="0" w:space="0" w:color="auto"/>
        </w:pBdr>
        <w:tabs>
          <w:tab w:val="num" w:pos="765"/>
        </w:tabs>
        <w:spacing w:before="40" w:after="0" w:line="240" w:lineRule="auto"/>
        <w:ind w:left="765" w:hanging="283"/>
        <w:outlineLvl w:val="3"/>
        <w:rPr>
          <w:rFonts w:eastAsia="Calibri Light"/>
          <w:i/>
          <w:iCs/>
          <w:color w:val="2F5496" w:themeColor="accent1" w:themeShade="BF"/>
        </w:rPr>
      </w:pPr>
      <w:bookmarkStart w:id="788" w:name="_Toc183639319"/>
      <w:r w:rsidRPr="00FF756A">
        <w:rPr>
          <w:rFonts w:eastAsia="Calibri Light"/>
          <w:i/>
          <w:iCs/>
          <w:color w:val="2F5496" w:themeColor="accent1" w:themeShade="BF"/>
        </w:rPr>
        <w:t>Ndikimet te sistemi i energjisë në shtetet fqinje dhe shtetet e tjera anëtare në rajon, për aq sa është e mundur</w:t>
      </w:r>
      <w:bookmarkEnd w:id="788"/>
    </w:p>
    <w:p w14:paraId="29EF8E6F" w14:textId="77777777" w:rsidR="00B86FB3" w:rsidRPr="00FF756A" w:rsidRDefault="00B86FB3" w:rsidP="00B86FB3">
      <w:r w:rsidRPr="00FF756A">
        <w:t>Nuk parashikohet asnjë ndikim për sektorin e benzinës. Ndikimet në sektorin e gazit përfshijnë kapacitetin e shtuar për transmetimin e gazit përmes TAP-it dhe Gazsjellësit Adriatiko-Jonian (IAP).</w:t>
      </w:r>
    </w:p>
    <w:p w14:paraId="6637F876" w14:textId="77777777" w:rsidR="00B86FB3" w:rsidRPr="00FF756A" w:rsidRDefault="00B86FB3" w:rsidP="00B86FB3">
      <w:r w:rsidRPr="00FF756A">
        <w:t xml:space="preserve">Ndikimi më i rëndësishëm është në sektorin e energjisë elektrike. Intensifikimi i burimeve të rinovueshme të energjisë, si dhe reformat e vazhdueshme në sektorin e energjisë elektrike, ku vlen të theksohet prezantimi i një burse të energjisë, do të bëjnë të mundur eksportin e energjisë elektrike drejt vendeve fqinje. Në fakt, energjia elektrike nga Shqipëria do të jetë relativisht më e lirë se sa në vendet fqinje, duke rezultuar në reduktim të prodhimit të brendshëm në këto vende. Kjo vjen veçanërisht falë kapacitetit të madh të transmetimit që ekziston ndërkohë në rajon. </w:t>
      </w:r>
      <w:r w:rsidRPr="00FF756A">
        <w:fldChar w:fldCharType="begin"/>
      </w:r>
      <w:r w:rsidRPr="00FF756A">
        <w:instrText xml:space="preserve"> REF _Ref72865014 \h  \* MERGEFORMAT </w:instrText>
      </w:r>
      <w:r w:rsidRPr="00FF756A">
        <w:fldChar w:fldCharType="separate"/>
      </w:r>
      <w:r w:rsidRPr="00FF756A">
        <w:t>Figura 106</w:t>
      </w:r>
      <w:r w:rsidRPr="00FF756A">
        <w:fldChar w:fldCharType="end"/>
      </w:r>
      <w:r w:rsidRPr="00FF756A">
        <w:t xml:space="preserve"> paraqet sasinë e energjisë elektrike që mund të eksportohet drejt vendeve fqinje. </w:t>
      </w:r>
    </w:p>
    <w:p w14:paraId="0C43B34B" w14:textId="77777777" w:rsidR="00B86FB3" w:rsidRPr="00FF756A" w:rsidRDefault="00B86FB3" w:rsidP="00B86FB3"/>
    <w:p w14:paraId="1C41F15B" w14:textId="77777777" w:rsidR="00B86FB3" w:rsidRPr="00FF756A" w:rsidRDefault="00B86FB3" w:rsidP="008639B2">
      <w:pPr>
        <w:keepNext/>
        <w:keepLines/>
        <w:numPr>
          <w:ilvl w:val="0"/>
          <w:numId w:val="194"/>
        </w:numPr>
        <w:pBdr>
          <w:top w:val="none" w:sz="0" w:space="0" w:color="auto"/>
          <w:left w:val="none" w:sz="0" w:space="0" w:color="auto"/>
          <w:bottom w:val="none" w:sz="0" w:space="0" w:color="auto"/>
          <w:right w:val="none" w:sz="0" w:space="0" w:color="auto"/>
          <w:between w:val="none" w:sz="0" w:space="0" w:color="auto"/>
        </w:pBdr>
        <w:tabs>
          <w:tab w:val="num" w:pos="765"/>
        </w:tabs>
        <w:spacing w:before="40" w:after="0" w:line="240" w:lineRule="auto"/>
        <w:ind w:left="765" w:hanging="283"/>
        <w:outlineLvl w:val="3"/>
        <w:rPr>
          <w:rFonts w:eastAsia="Calibri Light"/>
          <w:i/>
          <w:iCs/>
          <w:color w:val="2F5496" w:themeColor="accent1" w:themeShade="BF"/>
        </w:rPr>
      </w:pPr>
      <w:bookmarkStart w:id="789" w:name="_Toc183639320"/>
      <w:r w:rsidRPr="00FF756A">
        <w:rPr>
          <w:rFonts w:eastAsia="Calibri Light"/>
          <w:i/>
          <w:iCs/>
          <w:color w:val="2F5496" w:themeColor="accent1" w:themeShade="BF"/>
        </w:rPr>
        <w:t>Ndikimet te çmimet e energjisë, organet e shërbimeve publike dhe integrimi i tregjeve të energjisë</w:t>
      </w:r>
      <w:bookmarkEnd w:id="789"/>
    </w:p>
    <w:p w14:paraId="28D4F0E0" w14:textId="77777777" w:rsidR="00B86FB3" w:rsidRPr="00FF756A" w:rsidRDefault="00B86FB3" w:rsidP="00B86FB3">
      <w:r w:rsidRPr="00FF756A">
        <w:t xml:space="preserve">Siç u përmend më lart, intensifikimi i burimeve të energjisë së rinovueshme do të rezultojë në energji elektrike me çmim më të lirë për bursën e energjisë elektrike, gjë që do të ndikojë te çmimet e energjisë elektrike në nivel rajonal. </w:t>
      </w:r>
    </w:p>
    <w:p w14:paraId="0C29796D" w14:textId="77777777" w:rsidR="00B86FB3" w:rsidRPr="00FF756A" w:rsidRDefault="00B86FB3" w:rsidP="00B86FB3">
      <w:r w:rsidRPr="00FF756A">
        <w:t xml:space="preserve">Duke marrë në konsideratë integrimin e tregut të energjisë, projektet në sektorin e gazit dhe në veçanti Gazsjellësi Adriatiko-Jonian do të përmirësojnë integrimin rajonal të tregjeve të energjisë. Krahas kësaj, ekzistenca e bursës shqiptare të energjisë elektrike, e cila do të kombinohet me atë të Kosovës, do të rezultojë në integrim më të madh të tregjeve. Si përfundim, interkonektorët e energjisë elektrike do të bëjnë të mundur shtimin e tregtisë me vendet fqinje.  </w:t>
      </w:r>
    </w:p>
    <w:p w14:paraId="2E23F8FB" w14:textId="77777777" w:rsidR="00B86FB3" w:rsidRPr="00FF756A" w:rsidRDefault="00B86FB3" w:rsidP="00B86FB3"/>
    <w:p w14:paraId="3513795F" w14:textId="77777777" w:rsidR="00B86FB3" w:rsidRPr="00FF756A" w:rsidRDefault="00B86FB3" w:rsidP="008639B2">
      <w:pPr>
        <w:keepNext/>
        <w:keepLines/>
        <w:numPr>
          <w:ilvl w:val="0"/>
          <w:numId w:val="194"/>
        </w:numPr>
        <w:pBdr>
          <w:top w:val="none" w:sz="0" w:space="0" w:color="auto"/>
          <w:left w:val="none" w:sz="0" w:space="0" w:color="auto"/>
          <w:bottom w:val="none" w:sz="0" w:space="0" w:color="auto"/>
          <w:right w:val="none" w:sz="0" w:space="0" w:color="auto"/>
          <w:between w:val="none" w:sz="0" w:space="0" w:color="auto"/>
        </w:pBdr>
        <w:tabs>
          <w:tab w:val="num" w:pos="765"/>
        </w:tabs>
        <w:spacing w:before="40" w:after="0" w:line="240" w:lineRule="auto"/>
        <w:ind w:left="765" w:hanging="283"/>
        <w:outlineLvl w:val="3"/>
        <w:rPr>
          <w:rFonts w:eastAsia="Calibri Light"/>
          <w:i/>
          <w:iCs/>
          <w:color w:val="2F5496" w:themeColor="accent1" w:themeShade="BF"/>
        </w:rPr>
      </w:pPr>
      <w:bookmarkStart w:id="790" w:name="_Toc183639321"/>
      <w:r w:rsidRPr="00FF756A">
        <w:rPr>
          <w:rFonts w:eastAsia="Calibri Light"/>
          <w:i/>
          <w:iCs/>
          <w:color w:val="2F5496" w:themeColor="accent1" w:themeShade="BF"/>
        </w:rPr>
        <w:t>Ndikimet te bashkëpunimi rajonal, sipas rastit</w:t>
      </w:r>
      <w:bookmarkEnd w:id="790"/>
    </w:p>
    <w:p w14:paraId="4723F03A" w14:textId="77777777" w:rsidR="00B86FB3" w:rsidRPr="00FF756A" w:rsidRDefault="00B86FB3" w:rsidP="00B86FB3">
      <w:r w:rsidRPr="00FF756A">
        <w:t>Integrimi i përmirësuar i sektorëve të gazit dhe energjisë elektrike në Shqipëri me vendet fqinje përmes projekteve të planifikuara për interkoneksionet dhe përmes liberalizimit të këtyre sektorëve do të ndikonte në dobi të bashkëpunimit rajonal.</w:t>
      </w:r>
    </w:p>
    <w:p w14:paraId="48C3BC2F" w14:textId="77777777" w:rsidR="00B86FB3" w:rsidRPr="00FF756A" w:rsidRDefault="00B86FB3" w:rsidP="00B86FB3">
      <w:pPr>
        <w:ind w:left="375"/>
      </w:pPr>
    </w:p>
    <w:p w14:paraId="0A24003D" w14:textId="77777777" w:rsidR="006939FE" w:rsidRPr="00FF756A" w:rsidRDefault="006939FE" w:rsidP="006939FE"/>
    <w:p w14:paraId="3870AED7" w14:textId="77777777" w:rsidR="006939FE" w:rsidRPr="00FF756A" w:rsidRDefault="006939FE" w:rsidP="006939FE"/>
    <w:p w14:paraId="7A8408EF" w14:textId="77777777" w:rsidR="006939FE" w:rsidRPr="00FF756A" w:rsidRDefault="006939FE" w:rsidP="006939FE"/>
    <w:p w14:paraId="5B87F423" w14:textId="77777777" w:rsidR="006939FE" w:rsidRPr="00FF756A" w:rsidRDefault="006939FE" w:rsidP="006939FE"/>
    <w:p w14:paraId="6BC5271F" w14:textId="77777777" w:rsidR="006939FE" w:rsidRPr="00FF756A" w:rsidRDefault="006939FE" w:rsidP="006939FE"/>
    <w:p w14:paraId="535FD9C4" w14:textId="77777777" w:rsidR="006939FE" w:rsidRPr="00FF756A" w:rsidRDefault="006939FE" w:rsidP="006939FE"/>
    <w:p w14:paraId="61CF8572" w14:textId="77777777" w:rsidR="006939FE" w:rsidRPr="00FF756A" w:rsidRDefault="006939FE" w:rsidP="006939FE"/>
    <w:p w14:paraId="25E688E1" w14:textId="77777777" w:rsidR="006939FE" w:rsidRPr="00FF756A" w:rsidRDefault="006939FE" w:rsidP="006939FE"/>
    <w:p w14:paraId="4BBB30F6" w14:textId="77777777" w:rsidR="006939FE" w:rsidRPr="00FF756A" w:rsidRDefault="006939FE" w:rsidP="006939FE"/>
    <w:p w14:paraId="57381C98" w14:textId="77777777" w:rsidR="006939FE" w:rsidRPr="00FF756A" w:rsidRDefault="006939FE" w:rsidP="006939FE"/>
    <w:p w14:paraId="100A62CF" w14:textId="77777777" w:rsidR="006939FE" w:rsidRPr="00FF756A" w:rsidRDefault="006939FE" w:rsidP="006939FE"/>
    <w:p w14:paraId="59C23288" w14:textId="77777777" w:rsidR="006939FE" w:rsidRPr="00FF756A" w:rsidRDefault="006939FE" w:rsidP="006939FE"/>
    <w:p w14:paraId="0F7B4374" w14:textId="77777777" w:rsidR="006939FE" w:rsidRPr="00FF756A" w:rsidRDefault="006939FE" w:rsidP="006939FE"/>
    <w:p w14:paraId="1196F943" w14:textId="77777777" w:rsidR="006939FE" w:rsidRPr="00FF756A" w:rsidRDefault="006939FE" w:rsidP="006939FE"/>
    <w:p w14:paraId="61A42D86" w14:textId="77777777" w:rsidR="006939FE" w:rsidRPr="00FF756A" w:rsidRDefault="006939FE" w:rsidP="006939FE"/>
    <w:p w14:paraId="4D8B33F8" w14:textId="77777777" w:rsidR="006939FE" w:rsidRPr="00FF756A" w:rsidRDefault="006939FE" w:rsidP="006939FE"/>
    <w:p w14:paraId="1BFC4D4B" w14:textId="77777777" w:rsidR="006939FE" w:rsidRPr="00FF756A" w:rsidRDefault="006939FE" w:rsidP="006939FE"/>
    <w:p w14:paraId="33211C39" w14:textId="77777777" w:rsidR="006939FE" w:rsidRPr="00FF756A" w:rsidRDefault="006939FE" w:rsidP="006939FE"/>
    <w:p w14:paraId="1775F309" w14:textId="77777777" w:rsidR="006939FE" w:rsidRPr="00FF756A" w:rsidRDefault="006939FE" w:rsidP="006939FE"/>
    <w:p w14:paraId="55F6EB0D" w14:textId="77777777" w:rsidR="006939FE" w:rsidRPr="00FF756A" w:rsidRDefault="006939FE" w:rsidP="006939FE"/>
    <w:p w14:paraId="44A31CE5" w14:textId="77777777" w:rsidR="006939FE" w:rsidRPr="00FF756A" w:rsidRDefault="006939FE" w:rsidP="006939FE"/>
    <w:p w14:paraId="2D83B446" w14:textId="77777777" w:rsidR="006939FE" w:rsidRPr="00FF756A" w:rsidRDefault="006939FE" w:rsidP="006939FE"/>
    <w:p w14:paraId="290B0E51" w14:textId="77777777" w:rsidR="006939FE" w:rsidRPr="00FF756A" w:rsidRDefault="006939FE" w:rsidP="006939FE"/>
    <w:p w14:paraId="79D49661" w14:textId="77777777" w:rsidR="006939FE" w:rsidRPr="00FF756A" w:rsidRDefault="006939FE" w:rsidP="006939FE"/>
    <w:p w14:paraId="0B7EB572" w14:textId="77777777" w:rsidR="006939FE" w:rsidRPr="00FF756A" w:rsidRDefault="006939FE" w:rsidP="006939FE"/>
    <w:p w14:paraId="7C6F1146" w14:textId="77777777" w:rsidR="006939FE" w:rsidRPr="00FF756A" w:rsidRDefault="006939FE" w:rsidP="006939FE"/>
    <w:p w14:paraId="5186D464" w14:textId="77777777" w:rsidR="006939FE" w:rsidRPr="00FF756A" w:rsidRDefault="006939FE" w:rsidP="006939FE"/>
    <w:p w14:paraId="4F689463" w14:textId="77777777" w:rsidR="006939FE" w:rsidRPr="00FF756A" w:rsidRDefault="006939FE" w:rsidP="006939FE"/>
    <w:p w14:paraId="0BF047DD" w14:textId="77777777" w:rsidR="006939FE" w:rsidRPr="00FF756A" w:rsidRDefault="006939FE" w:rsidP="006939FE"/>
    <w:p w14:paraId="04DC3708" w14:textId="77777777" w:rsidR="006939FE" w:rsidRPr="00FF756A" w:rsidRDefault="006939FE" w:rsidP="006939FE"/>
    <w:p w14:paraId="70356298" w14:textId="77777777" w:rsidR="006939FE" w:rsidRPr="00FF756A" w:rsidRDefault="006939FE" w:rsidP="006939FE"/>
    <w:p w14:paraId="67EA3DFB" w14:textId="77777777" w:rsidR="006939FE" w:rsidRPr="00FF756A" w:rsidRDefault="006939FE" w:rsidP="006939FE"/>
    <w:p w14:paraId="03F9EC9B" w14:textId="77777777" w:rsidR="006939FE" w:rsidRPr="00FF756A" w:rsidRDefault="006939FE" w:rsidP="006939FE"/>
    <w:p w14:paraId="00CE4D5D" w14:textId="77777777" w:rsidR="006939FE" w:rsidRPr="00FF756A" w:rsidRDefault="006939FE" w:rsidP="006939FE"/>
    <w:p w14:paraId="49C13F6C" w14:textId="77777777" w:rsidR="006939FE" w:rsidRPr="00FF756A" w:rsidRDefault="006939FE" w:rsidP="006939FE"/>
    <w:p w14:paraId="57A3FA63" w14:textId="77777777" w:rsidR="006939FE" w:rsidRPr="00FF756A" w:rsidRDefault="006939FE" w:rsidP="006939FE">
      <w:pPr>
        <w:jc w:val="center"/>
      </w:pPr>
    </w:p>
    <w:sectPr w:rsidR="006939FE" w:rsidRPr="00FF756A" w:rsidSect="003127F7">
      <w:footerReference w:type="default" r:id="rId186"/>
      <w:pgSz w:w="11906" w:h="16838" w:code="9"/>
      <w:pgMar w:top="1417" w:right="1417" w:bottom="1134" w:left="1417"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6117A6" w14:textId="77777777" w:rsidR="008A279C" w:rsidRDefault="008A279C">
      <w:pPr>
        <w:spacing w:after="0" w:line="240" w:lineRule="auto"/>
      </w:pPr>
      <w:r>
        <w:separator/>
      </w:r>
    </w:p>
  </w:endnote>
  <w:endnote w:type="continuationSeparator" w:id="0">
    <w:p w14:paraId="64540137" w14:textId="77777777" w:rsidR="008A279C" w:rsidRDefault="008A27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Monotype Sorts">
    <w:altName w:val="Segoe UI Symbol"/>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Bookman Old Style">
    <w:panose1 w:val="02050604050505020204"/>
    <w:charset w:val="00"/>
    <w:family w:val="roman"/>
    <w:pitch w:val="variable"/>
    <w:sig w:usb0="00000287" w:usb1="00000000" w:usb2="00000000" w:usb3="00000000" w:csb0="0000009F" w:csb1="00000000"/>
  </w:font>
  <w:font w:name="DaneHelveticaNeue">
    <w:charset w:val="00"/>
    <w:family w:val="auto"/>
    <w:pitch w:val="default"/>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MinionPro-Regular">
    <w:altName w:val="Calibri"/>
    <w:charset w:val="00"/>
    <w:family w:val="auto"/>
    <w:pitch w:val="default"/>
    <w:sig w:usb0="00000001" w:usb1="08070000" w:usb2="00000010" w:usb3="00000000" w:csb0="00020000" w:csb1="00000000"/>
  </w:font>
  <w:font w:name="ArialMT">
    <w:altName w:val="Arial"/>
    <w:panose1 w:val="00000000000000000000"/>
    <w:charset w:val="4D"/>
    <w:family w:val="auto"/>
    <w:notTrueType/>
    <w:pitch w:val="default"/>
    <w:sig w:usb0="00000003" w:usb1="00000000" w:usb2="00000000" w:usb3="00000000" w:csb0="00000001" w:csb1="00000000"/>
  </w:font>
  <w:font w:name="Yu Gothic">
    <w:altName w:val="游ゴシック"/>
    <w:panose1 w:val="020B0400000000000000"/>
    <w:charset w:val="80"/>
    <w:family w:val="swiss"/>
    <w:pitch w:val="variable"/>
    <w:sig w:usb0="E00002FF" w:usb1="2AC7FDFF" w:usb2="00000016" w:usb3="00000000" w:csb0="0002009F" w:csb1="00000000"/>
  </w:font>
  <w:font w:name="Gill Sans MT">
    <w:panose1 w:val="020B0502020104020203"/>
    <w:charset w:val="00"/>
    <w:family w:val="swiss"/>
    <w:pitch w:val="variable"/>
    <w:sig w:usb0="00000007" w:usb1="00000000" w:usb2="00000000" w:usb3="00000000" w:csb0="00000003" w:csb1="00000000"/>
  </w:font>
  <w:font w:name="GillSansMTStd-Book">
    <w:altName w:val="Calibri"/>
    <w:charset w:val="00"/>
    <w:family w:val="auto"/>
    <w:pitch w:val="default"/>
  </w:font>
  <w:font w:name="Futura Md BT">
    <w:altName w:val="Century Gothic"/>
    <w:charset w:val="00"/>
    <w:family w:val="swiss"/>
    <w:pitch w:val="variable"/>
    <w:sig w:usb0="00000087" w:usb1="00000000" w:usb2="00000000" w:usb3="00000000" w:csb0="0000001B" w:csb1="00000000"/>
  </w:font>
  <w:font w:name="Consolas">
    <w:panose1 w:val="020B0609020204030204"/>
    <w:charset w:val="00"/>
    <w:family w:val="modern"/>
    <w:pitch w:val="fixed"/>
    <w:sig w:usb0="E00006FF" w:usb1="0000FCFF" w:usb2="00000001" w:usb3="00000000" w:csb0="0000019F" w:csb1="00000000"/>
  </w:font>
  <w:font w:name="Noto Serif CJK SC">
    <w:panose1 w:val="00000000000000000000"/>
    <w:charset w:val="00"/>
    <w:family w:val="roman"/>
    <w:notTrueType/>
    <w:pitch w:val="default"/>
  </w:font>
  <w:font w:name="Gotham-Book">
    <w:charset w:val="00"/>
    <w:family w:val="auto"/>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8932795"/>
      <w:docPartObj>
        <w:docPartGallery w:val="Page Numbers (Bottom of Page)"/>
        <w:docPartUnique/>
      </w:docPartObj>
    </w:sdtPr>
    <w:sdtEndPr/>
    <w:sdtContent>
      <w:p w14:paraId="2B1E45AA" w14:textId="790ACFF7" w:rsidR="004637D7" w:rsidRDefault="004637D7">
        <w:pPr>
          <w:pStyle w:val="Footer"/>
          <w:jc w:val="center"/>
        </w:pPr>
        <w:r>
          <w:fldChar w:fldCharType="begin"/>
        </w:r>
        <w:r>
          <w:instrText>PAGE   \* MERGEFORMAT</w:instrText>
        </w:r>
        <w:r>
          <w:fldChar w:fldCharType="separate"/>
        </w:r>
        <w:r w:rsidR="00543459">
          <w:rPr>
            <w:noProof/>
          </w:rPr>
          <w:t>190</w:t>
        </w:r>
        <w:r>
          <w:fldChar w:fldCharType="end"/>
        </w:r>
      </w:p>
    </w:sdtContent>
  </w:sdt>
  <w:p w14:paraId="43634AF9" w14:textId="77777777" w:rsidR="004637D7" w:rsidRDefault="004637D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FB0E139" w14:textId="77777777" w:rsidR="008A279C" w:rsidRDefault="008A279C">
      <w:pPr>
        <w:spacing w:after="0" w:line="240" w:lineRule="auto"/>
      </w:pPr>
      <w:r>
        <w:separator/>
      </w:r>
    </w:p>
  </w:footnote>
  <w:footnote w:type="continuationSeparator" w:id="0">
    <w:p w14:paraId="28A2682B" w14:textId="77777777" w:rsidR="008A279C" w:rsidRDefault="008A279C">
      <w:pPr>
        <w:spacing w:after="0" w:line="240" w:lineRule="auto"/>
      </w:pPr>
      <w:r>
        <w:continuationSeparator/>
      </w:r>
    </w:p>
  </w:footnote>
  <w:footnote w:id="1">
    <w:p w14:paraId="1AF7A2B7" w14:textId="2654D20A" w:rsidR="003C4876" w:rsidRPr="004A3257" w:rsidRDefault="003C4876" w:rsidP="003C4876">
      <w:pPr>
        <w:pStyle w:val="FootnoteText"/>
        <w:rPr>
          <w:rFonts w:ascii="Times New Roman" w:hAnsi="Times New Roman"/>
        </w:rPr>
      </w:pPr>
      <w:r w:rsidRPr="00FE1DDC">
        <w:rPr>
          <w:rStyle w:val="FootnoteReference"/>
          <w:rFonts w:ascii="Times New Roman" w:hAnsi="Times New Roman"/>
        </w:rPr>
        <w:footnoteRef/>
      </w:r>
      <w:r w:rsidRPr="00FE1DDC">
        <w:rPr>
          <w:rFonts w:ascii="Times New Roman" w:hAnsi="Times New Roman"/>
        </w:rPr>
        <w:t xml:space="preserve"> Referuar ligjit “Për sektorin e energjisë”, ligjet për nënsektorë të tjerë dhe </w:t>
      </w:r>
      <w:r w:rsidR="000969E4" w:rsidRPr="00FE1DDC">
        <w:rPr>
          <w:rFonts w:ascii="Times New Roman" w:hAnsi="Times New Roman"/>
        </w:rPr>
        <w:t>SKE</w:t>
      </w:r>
      <w:r w:rsidRPr="00FE1DDC">
        <w:rPr>
          <w:rFonts w:ascii="Times New Roman" w:hAnsi="Times New Roman"/>
        </w:rPr>
        <w:t xml:space="preserve"> 2018-2030</w:t>
      </w:r>
    </w:p>
  </w:footnote>
  <w:footnote w:id="2">
    <w:p w14:paraId="0D0D9B2D" w14:textId="08B58146" w:rsidR="004637D7" w:rsidRPr="004A3257" w:rsidRDefault="004637D7" w:rsidP="00EF0D31">
      <w:pPr>
        <w:pStyle w:val="FootnoteText"/>
        <w:rPr>
          <w:rFonts w:ascii="Times New Roman" w:hAnsi="Times New Roman"/>
        </w:rPr>
      </w:pPr>
      <w:r w:rsidRPr="004A3257">
        <w:rPr>
          <w:rFonts w:ascii="Times New Roman" w:eastAsiaTheme="majorEastAsia" w:hAnsi="Times New Roman"/>
          <w:bCs/>
        </w:rPr>
        <w:footnoteRef/>
      </w:r>
      <w:r w:rsidRPr="004A3257">
        <w:rPr>
          <w:rFonts w:ascii="Times New Roman" w:hAnsi="Times New Roman"/>
          <w:bCs/>
        </w:rPr>
        <w:t xml:space="preserve"> Miratuar me VKM nr. 417, datë 10.5.2017, bazuar në Ligjin nr. 102/2015, “Për sektorin e gazit natyror”.</w:t>
      </w:r>
    </w:p>
  </w:footnote>
  <w:footnote w:id="3">
    <w:p w14:paraId="5E06B967" w14:textId="0E487EA8" w:rsidR="004637D7" w:rsidRPr="004A3257" w:rsidRDefault="004637D7" w:rsidP="00EF0D31">
      <w:pPr>
        <w:rPr>
          <w:sz w:val="20"/>
          <w:szCs w:val="20"/>
        </w:rPr>
      </w:pPr>
      <w:r w:rsidRPr="004A3257">
        <w:rPr>
          <w:rStyle w:val="FootnoteReference"/>
          <w:sz w:val="20"/>
          <w:szCs w:val="20"/>
        </w:rPr>
        <w:footnoteRef/>
      </w:r>
      <w:r w:rsidRPr="004A3257">
        <w:rPr>
          <w:sz w:val="20"/>
          <w:szCs w:val="20"/>
        </w:rPr>
        <w:t xml:space="preserve"> </w:t>
      </w:r>
      <w:r w:rsidRPr="004A3257">
        <w:rPr>
          <w:bCs/>
          <w:sz w:val="20"/>
          <w:szCs w:val="20"/>
        </w:rPr>
        <w:t>Miratuar me VKM nr. 87, datë 14.2.2018,</w:t>
      </w:r>
      <w:r w:rsidRPr="004A3257">
        <w:rPr>
          <w:sz w:val="20"/>
          <w:szCs w:val="20"/>
        </w:rPr>
        <w:t xml:space="preserve"> bazuar në Ligjin nr. 102/2015 “Për sektorin e gazit natyror”.</w:t>
      </w:r>
    </w:p>
    <w:p w14:paraId="43039D21" w14:textId="77777777" w:rsidR="004637D7" w:rsidRPr="004A3257" w:rsidRDefault="004637D7" w:rsidP="00EF0D31">
      <w:pPr>
        <w:pStyle w:val="FootnoteText"/>
        <w:rPr>
          <w:rFonts w:ascii="Times New Roman" w:hAnsi="Times New Roman"/>
        </w:rPr>
      </w:pPr>
    </w:p>
  </w:footnote>
  <w:footnote w:id="4">
    <w:p w14:paraId="47B5E39C" w14:textId="2E5B5B32" w:rsidR="004637D7" w:rsidRPr="004A3257" w:rsidRDefault="004637D7">
      <w:pPr>
        <w:pStyle w:val="FootnoteText"/>
        <w:rPr>
          <w:rFonts w:ascii="Times New Roman" w:hAnsi="Times New Roman"/>
        </w:rPr>
      </w:pPr>
      <w:r w:rsidRPr="004A3257">
        <w:rPr>
          <w:rStyle w:val="FootnoteReference"/>
          <w:rFonts w:ascii="Times New Roman" w:hAnsi="Times New Roman"/>
        </w:rPr>
        <w:footnoteRef/>
      </w:r>
      <w:r w:rsidRPr="004A3257">
        <w:rPr>
          <w:rFonts w:ascii="Times New Roman" w:hAnsi="Times New Roman"/>
        </w:rPr>
        <w:t xml:space="preserve"> Energy Poverty in South East Europe – Surviving the Cold. Programi Politik i Evropës Juglindore për Energjinë e Qëndrueshme (SEE SEP), 2016</w:t>
      </w:r>
    </w:p>
  </w:footnote>
  <w:footnote w:id="5">
    <w:p w14:paraId="57195681" w14:textId="1EBDCA61" w:rsidR="004637D7" w:rsidRPr="004A3257" w:rsidRDefault="004637D7">
      <w:pPr>
        <w:pStyle w:val="FootnoteText"/>
        <w:rPr>
          <w:rFonts w:ascii="Times New Roman" w:hAnsi="Times New Roman"/>
        </w:rPr>
      </w:pPr>
      <w:r w:rsidRPr="004A3257">
        <w:rPr>
          <w:rStyle w:val="FootnoteReference"/>
          <w:rFonts w:ascii="Times New Roman" w:hAnsi="Times New Roman"/>
        </w:rPr>
        <w:footnoteRef/>
      </w:r>
      <w:r w:rsidRPr="004A3257">
        <w:rPr>
          <w:rFonts w:ascii="Times New Roman" w:hAnsi="Times New Roman"/>
        </w:rPr>
        <w:t xml:space="preserve"> Strategjia Sektoriale e Transportit dhe Plani i Veprimit 2016 – 2020, Raporti i parë i monitorimit, nr. 811, datë 16.11.2016</w:t>
      </w:r>
    </w:p>
  </w:footnote>
  <w:footnote w:id="6">
    <w:p w14:paraId="7E094751" w14:textId="77777777" w:rsidR="004637D7" w:rsidRPr="004A3257" w:rsidRDefault="004637D7" w:rsidP="00EF0D31">
      <w:pPr>
        <w:pStyle w:val="FootnoteText"/>
        <w:rPr>
          <w:rFonts w:ascii="Times New Roman" w:hAnsi="Times New Roman"/>
        </w:rPr>
      </w:pPr>
      <w:r w:rsidRPr="004A3257">
        <w:rPr>
          <w:rStyle w:val="FootnoteReference"/>
          <w:rFonts w:ascii="Times New Roman" w:hAnsi="Times New Roman"/>
        </w:rPr>
        <w:footnoteRef/>
      </w:r>
      <w:r w:rsidRPr="004A3257">
        <w:rPr>
          <w:rFonts w:ascii="Times New Roman" w:hAnsi="Times New Roman"/>
        </w:rPr>
        <w:t>Raporti vjetor i zbatimit nga Sekretariati i Komunitetit të Energjisë, 1 nëntor 2019</w:t>
      </w:r>
    </w:p>
  </w:footnote>
  <w:footnote w:id="7">
    <w:p w14:paraId="6153DB63" w14:textId="77777777" w:rsidR="00E22292" w:rsidRPr="004A3257" w:rsidRDefault="00E22292" w:rsidP="00E22292">
      <w:pPr>
        <w:pStyle w:val="FootnoteText"/>
        <w:rPr>
          <w:rFonts w:ascii="Times New Roman" w:hAnsi="Times New Roman"/>
        </w:rPr>
      </w:pPr>
      <w:r w:rsidRPr="004A3257">
        <w:rPr>
          <w:rStyle w:val="FootnoteReference"/>
          <w:rFonts w:ascii="Times New Roman" w:hAnsi="Times New Roman"/>
        </w:rPr>
        <w:footnoteRef/>
      </w:r>
      <w:r w:rsidRPr="004A3257">
        <w:rPr>
          <w:rFonts w:ascii="Times New Roman" w:hAnsi="Times New Roman"/>
        </w:rPr>
        <w:t>Projekti SLED - Mbështetje për Zhvillimin e Emetimeve të Ulëta në Evropën Juglindore</w:t>
      </w:r>
    </w:p>
  </w:footnote>
  <w:footnote w:id="8">
    <w:p w14:paraId="2EC67154" w14:textId="77777777" w:rsidR="000055CB" w:rsidRPr="004A3257" w:rsidRDefault="000055CB" w:rsidP="000055CB">
      <w:pPr>
        <w:pStyle w:val="FootnoteText"/>
        <w:rPr>
          <w:rFonts w:ascii="Times New Roman" w:hAnsi="Times New Roman"/>
        </w:rPr>
      </w:pPr>
      <w:r w:rsidRPr="004A3257">
        <w:rPr>
          <w:rStyle w:val="FootnoteReference"/>
          <w:rFonts w:ascii="Times New Roman" w:hAnsi="Times New Roman"/>
        </w:rPr>
        <w:footnoteRef/>
      </w:r>
      <w:r w:rsidRPr="004A3257">
        <w:rPr>
          <w:rFonts w:ascii="Times New Roman" w:hAnsi="Times New Roman"/>
        </w:rPr>
        <w:t>Miratuar me VKM Nr.480 datë 31.7.2018 bazuar në ligjin nr. 43/2015, “Për sektorin e energjisë elektrike”.</w:t>
      </w:r>
    </w:p>
  </w:footnote>
  <w:footnote w:id="9">
    <w:p w14:paraId="0DF66156" w14:textId="77777777" w:rsidR="000055CB" w:rsidRPr="004A3257" w:rsidRDefault="000055CB" w:rsidP="000055CB">
      <w:pPr>
        <w:pStyle w:val="FootnoteText"/>
        <w:rPr>
          <w:rFonts w:ascii="Times New Roman" w:hAnsi="Times New Roman"/>
        </w:rPr>
      </w:pPr>
      <w:r w:rsidRPr="004A3257">
        <w:rPr>
          <w:rStyle w:val="FootnoteReference"/>
          <w:rFonts w:ascii="Times New Roman" w:hAnsi="Times New Roman"/>
        </w:rPr>
        <w:footnoteRef/>
      </w:r>
      <w:r w:rsidRPr="004A3257">
        <w:rPr>
          <w:rFonts w:ascii="Times New Roman" w:hAnsi="Times New Roman"/>
        </w:rPr>
        <w:t>https://www.energy-community.org/implementation/package/CEP.html</w:t>
      </w:r>
    </w:p>
  </w:footnote>
  <w:footnote w:id="10">
    <w:p w14:paraId="16E77043" w14:textId="02DED574" w:rsidR="00E655C1" w:rsidRPr="00A014FB" w:rsidRDefault="00E655C1">
      <w:pPr>
        <w:pStyle w:val="FootnoteText"/>
      </w:pPr>
      <w:r>
        <w:rPr>
          <w:rStyle w:val="FootnoteReference"/>
        </w:rPr>
        <w:footnoteRef/>
      </w:r>
      <w:r>
        <w:t xml:space="preserve"> Naftë e rëndë </w:t>
      </w:r>
      <w:r w:rsidR="006A2224" w:rsidRPr="006A2224">
        <w:t>që përdoret shpesh si karburant për gjeneratorë dhe ngrohje në industri dhe energjetikë.</w:t>
      </w:r>
    </w:p>
  </w:footnote>
  <w:footnote w:id="11">
    <w:p w14:paraId="4000CE19" w14:textId="77777777" w:rsidR="000055CB" w:rsidRPr="004A3257" w:rsidRDefault="000055CB" w:rsidP="000055CB">
      <w:pPr>
        <w:pStyle w:val="FootnoteText"/>
        <w:rPr>
          <w:rFonts w:ascii="Times New Roman" w:hAnsi="Times New Roman"/>
        </w:rPr>
      </w:pPr>
      <w:r w:rsidRPr="004A3257">
        <w:rPr>
          <w:rStyle w:val="FootnoteReference"/>
          <w:rFonts w:ascii="Times New Roman" w:hAnsi="Times New Roman"/>
        </w:rPr>
        <w:footnoteRef/>
      </w:r>
      <w:r w:rsidRPr="004A3257">
        <w:rPr>
          <w:rFonts w:ascii="Times New Roman" w:hAnsi="Times New Roman"/>
        </w:rPr>
        <w:t>Varfëria energjetike në Evropën Juglindore – Mbijetimi i të ftohtit. Programi i Politikës së Qëndrueshme të Energjisë në Evropën Juglindore (SEE SEP), 2016</w:t>
      </w:r>
    </w:p>
  </w:footnote>
  <w:footnote w:id="12">
    <w:p w14:paraId="3D38A167" w14:textId="5DE89989" w:rsidR="00634E84" w:rsidRPr="00A014FB" w:rsidRDefault="00634E84" w:rsidP="005E4558">
      <w:pPr>
        <w:pStyle w:val="FootnoteText"/>
        <w:jc w:val="left"/>
      </w:pPr>
      <w:r>
        <w:rPr>
          <w:rStyle w:val="FootnoteReference"/>
        </w:rPr>
        <w:footnoteRef/>
      </w:r>
      <w:r>
        <w:t xml:space="preserve"> </w:t>
      </w:r>
      <w:r w:rsidR="009A022C">
        <w:t xml:space="preserve">Shënim: </w:t>
      </w:r>
      <w:r w:rsidR="00277A31" w:rsidRPr="00A014FB">
        <w:rPr>
          <w:rFonts w:ascii="Times New Roman" w:hAnsi="Times New Roman"/>
        </w:rPr>
        <w:t xml:space="preserve">Aktualisht, </w:t>
      </w:r>
      <w:r w:rsidR="00FC3BB0" w:rsidRPr="00A014FB">
        <w:rPr>
          <w:rFonts w:ascii="Times New Roman" w:hAnsi="Times New Roman"/>
        </w:rPr>
        <w:t xml:space="preserve">projektligji për </w:t>
      </w:r>
      <w:r w:rsidR="008211EB" w:rsidRPr="00A014FB">
        <w:rPr>
          <w:rFonts w:ascii="Times New Roman" w:hAnsi="Times New Roman"/>
        </w:rPr>
        <w:t>“</w:t>
      </w:r>
      <w:r w:rsidR="00FC3BB0" w:rsidRPr="00A014FB">
        <w:rPr>
          <w:rFonts w:ascii="Times New Roman" w:hAnsi="Times New Roman"/>
        </w:rPr>
        <w:t>Performancën Energjetike të Ndërtesave</w:t>
      </w:r>
      <w:r w:rsidR="008211EB" w:rsidRPr="00A014FB">
        <w:rPr>
          <w:rFonts w:ascii="Times New Roman" w:hAnsi="Times New Roman"/>
        </w:rPr>
        <w:t>”</w:t>
      </w:r>
      <w:r w:rsidR="00FC3BB0" w:rsidRPr="00A014FB">
        <w:rPr>
          <w:rFonts w:ascii="Times New Roman" w:hAnsi="Times New Roman"/>
        </w:rPr>
        <w:t xml:space="preserve"> është në faz</w:t>
      </w:r>
      <w:r w:rsidR="008211EB" w:rsidRPr="00A014FB">
        <w:rPr>
          <w:rFonts w:ascii="Times New Roman" w:hAnsi="Times New Roman"/>
        </w:rPr>
        <w:t>ë</w:t>
      </w:r>
      <w:r w:rsidR="00FC3BB0" w:rsidRPr="00A014FB">
        <w:rPr>
          <w:rFonts w:ascii="Times New Roman" w:hAnsi="Times New Roman"/>
        </w:rPr>
        <w:t xml:space="preserve"> konsultimi deri më 29.11.2024 në portalin e konsultimipublik. Accessed at: </w:t>
      </w:r>
      <w:hyperlink r:id="rId1" w:history="1">
        <w:r w:rsidR="008211EB" w:rsidRPr="00A014FB">
          <w:rPr>
            <w:rStyle w:val="Hyperlink"/>
            <w:rFonts w:ascii="Times New Roman" w:hAnsi="Times New Roman"/>
          </w:rPr>
          <w:t>https://konsultimipublik.gov.al/Konsultime/Detaje/792</w:t>
        </w:r>
      </w:hyperlink>
      <w:r w:rsidR="008211EB" w:rsidRPr="00A014FB">
        <w:t xml:space="preserve"> </w:t>
      </w:r>
    </w:p>
  </w:footnote>
  <w:footnote w:id="13">
    <w:p w14:paraId="7EB8CEF3" w14:textId="77777777" w:rsidR="00B86FB3" w:rsidRPr="004A3257" w:rsidRDefault="00B86FB3" w:rsidP="00B86FB3">
      <w:pPr>
        <w:pStyle w:val="KeinAbsatzformat"/>
        <w:rPr>
          <w:rFonts w:ascii="Times New Roman" w:hAnsi="Times New Roman" w:cs="Times New Roman"/>
          <w:sz w:val="20"/>
          <w:szCs w:val="20"/>
        </w:rPr>
      </w:pPr>
      <w:r w:rsidRPr="004A3257">
        <w:rPr>
          <w:rFonts w:ascii="Times New Roman" w:hAnsi="Times New Roman" w:cs="Times New Roman"/>
          <w:sz w:val="20"/>
          <w:szCs w:val="20"/>
        </w:rPr>
        <w:footnoteRef/>
      </w:r>
      <w:r w:rsidRPr="004A3257">
        <w:rPr>
          <w:rFonts w:ascii="Times New Roman" w:hAnsi="Times New Roman" w:cs="Times New Roman"/>
          <w:sz w:val="20"/>
          <w:szCs w:val="20"/>
        </w:rPr>
        <w:t xml:space="preserve"> </w:t>
      </w:r>
      <w:r w:rsidRPr="00FE1DDC">
        <w:rPr>
          <w:rFonts w:ascii="Times New Roman" w:hAnsi="Times New Roman" w:cs="Times New Roman"/>
          <w:sz w:val="20"/>
          <w:szCs w:val="20"/>
        </w:rPr>
        <w:t>Duhet pasur parasysh se disa nga PM-të e papërfshira kanë një natyrë ndërsektoriale ose mbështesin apo bëjnë të mundur që PM-të e marra në konsideratë të arrijnë ndikimet e tyre joenergjetike. Një shembull tipik mund të jenë tarifat “feed-in”, të cilat në vetvete nuk sjellin efekte në punësim, por nxisin zhvillimin e impianteve të energjisë të cilat ndikojnë drejtpërdrejt në punësim.</w:t>
      </w:r>
    </w:p>
  </w:footnote>
  <w:footnote w:id="14">
    <w:p w14:paraId="12E846C7" w14:textId="77777777" w:rsidR="00B86FB3" w:rsidRPr="004A3257" w:rsidRDefault="00B86FB3" w:rsidP="00B86FB3">
      <w:pPr>
        <w:pStyle w:val="KeinAbsatzformat"/>
        <w:rPr>
          <w:rFonts w:ascii="Times New Roman" w:hAnsi="Times New Roman" w:cs="Times New Roman"/>
          <w:sz w:val="20"/>
          <w:szCs w:val="20"/>
        </w:rPr>
      </w:pPr>
      <w:r w:rsidRPr="004A3257">
        <w:rPr>
          <w:rFonts w:ascii="Times New Roman" w:hAnsi="Times New Roman" w:cs="Times New Roman"/>
          <w:sz w:val="20"/>
          <w:szCs w:val="20"/>
        </w:rPr>
        <w:footnoteRef/>
      </w:r>
      <w:r w:rsidRPr="004A3257">
        <w:rPr>
          <w:rFonts w:ascii="Times New Roman" w:hAnsi="Times New Roman" w:cs="Times New Roman"/>
          <w:sz w:val="20"/>
          <w:szCs w:val="20"/>
        </w:rPr>
        <w:t xml:space="preserve"> </w:t>
      </w:r>
      <w:r w:rsidRPr="00FE1DDC">
        <w:rPr>
          <w:rFonts w:ascii="Times New Roman" w:hAnsi="Times New Roman" w:cs="Times New Roman"/>
          <w:sz w:val="20"/>
          <w:szCs w:val="20"/>
        </w:rPr>
        <w:t>Efekti bruto, pa marrë në konsideratë efektet shkakësore dhe kufizimet e tilla si mungesa e fuqisë punëtore.</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28B4C58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CE21D0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A3E4DB14"/>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0AAE66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028D14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506B39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02C91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8"/>
    <w:multiLevelType w:val="singleLevel"/>
    <w:tmpl w:val="C69272C6"/>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ED36E71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09A4262"/>
    <w:multiLevelType w:val="hybridMultilevel"/>
    <w:tmpl w:val="E4343A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029834F5"/>
    <w:multiLevelType w:val="hybridMultilevel"/>
    <w:tmpl w:val="A0C0732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033B2BF9"/>
    <w:multiLevelType w:val="hybridMultilevel"/>
    <w:tmpl w:val="786E921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03A33376"/>
    <w:multiLevelType w:val="multilevel"/>
    <w:tmpl w:val="C3728B4E"/>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3" w15:restartNumberingAfterBreak="0">
    <w:nsid w:val="04532636"/>
    <w:multiLevelType w:val="hybridMultilevel"/>
    <w:tmpl w:val="484E62FC"/>
    <w:lvl w:ilvl="0" w:tplc="741E2EC2">
      <w:start w:val="4"/>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49C0572"/>
    <w:multiLevelType w:val="hybridMultilevel"/>
    <w:tmpl w:val="421CAE8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04F3064B"/>
    <w:multiLevelType w:val="multilevel"/>
    <w:tmpl w:val="2B408C2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6" w15:restartNumberingAfterBreak="0">
    <w:nsid w:val="0555489E"/>
    <w:multiLevelType w:val="multilevel"/>
    <w:tmpl w:val="2334D2A0"/>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7" w15:restartNumberingAfterBreak="0">
    <w:nsid w:val="061A35AE"/>
    <w:multiLevelType w:val="multilevel"/>
    <w:tmpl w:val="3F24BE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7161090"/>
    <w:multiLevelType w:val="hybridMultilevel"/>
    <w:tmpl w:val="069A92E4"/>
    <w:lvl w:ilvl="0" w:tplc="DCD470DA">
      <w:start w:val="7"/>
      <w:numFmt w:val="bullet"/>
      <w:lvlText w:val="-"/>
      <w:lvlJc w:val="left"/>
      <w:pPr>
        <w:ind w:left="360" w:hanging="360"/>
      </w:pPr>
      <w:rPr>
        <w:rFonts w:ascii="Calibri" w:eastAsia="Calibri" w:hAnsi="Calibri" w:cs="Calibri"/>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9" w15:restartNumberingAfterBreak="0">
    <w:nsid w:val="085E3AE1"/>
    <w:multiLevelType w:val="hybridMultilevel"/>
    <w:tmpl w:val="B64299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B043ACF"/>
    <w:multiLevelType w:val="hybridMultilevel"/>
    <w:tmpl w:val="9306CC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0B072EC8"/>
    <w:multiLevelType w:val="multilevel"/>
    <w:tmpl w:val="C2641584"/>
    <w:lvl w:ilvl="0">
      <w:start w:val="2"/>
      <w:numFmt w:val="decimal"/>
      <w:lvlText w:val="%1"/>
      <w:lvlJc w:val="left"/>
      <w:pPr>
        <w:ind w:left="360" w:hanging="360"/>
      </w:pPr>
      <w:rPr>
        <w:rFonts w:hint="default"/>
        <w:color w:val="365F91"/>
      </w:rPr>
    </w:lvl>
    <w:lvl w:ilvl="1">
      <w:start w:val="2"/>
      <w:numFmt w:val="decimal"/>
      <w:lvlText w:val="%1.%2"/>
      <w:lvlJc w:val="left"/>
      <w:pPr>
        <w:ind w:left="540" w:hanging="360"/>
      </w:pPr>
      <w:rPr>
        <w:rFonts w:hint="default"/>
        <w:color w:val="365F91"/>
      </w:rPr>
    </w:lvl>
    <w:lvl w:ilvl="2">
      <w:start w:val="1"/>
      <w:numFmt w:val="decimal"/>
      <w:lvlText w:val="%1.%2.%3"/>
      <w:lvlJc w:val="left"/>
      <w:pPr>
        <w:ind w:left="1080" w:hanging="720"/>
      </w:pPr>
      <w:rPr>
        <w:rFonts w:hint="default"/>
        <w:color w:val="365F91"/>
      </w:rPr>
    </w:lvl>
    <w:lvl w:ilvl="3">
      <w:start w:val="1"/>
      <w:numFmt w:val="decimal"/>
      <w:lvlText w:val="%1.%2.%3.%4"/>
      <w:lvlJc w:val="left"/>
      <w:pPr>
        <w:ind w:left="1260" w:hanging="720"/>
      </w:pPr>
      <w:rPr>
        <w:rFonts w:hint="default"/>
        <w:color w:val="365F91"/>
      </w:rPr>
    </w:lvl>
    <w:lvl w:ilvl="4">
      <w:start w:val="1"/>
      <w:numFmt w:val="decimal"/>
      <w:lvlText w:val="%1.%2.%3.%4.%5"/>
      <w:lvlJc w:val="left"/>
      <w:pPr>
        <w:ind w:left="1800" w:hanging="1080"/>
      </w:pPr>
      <w:rPr>
        <w:rFonts w:hint="default"/>
        <w:color w:val="365F91"/>
      </w:rPr>
    </w:lvl>
    <w:lvl w:ilvl="5">
      <w:start w:val="1"/>
      <w:numFmt w:val="decimal"/>
      <w:lvlText w:val="%1.%2.%3.%4.%5.%6"/>
      <w:lvlJc w:val="left"/>
      <w:pPr>
        <w:ind w:left="1980" w:hanging="1080"/>
      </w:pPr>
      <w:rPr>
        <w:rFonts w:hint="default"/>
        <w:color w:val="365F91"/>
      </w:rPr>
    </w:lvl>
    <w:lvl w:ilvl="6">
      <w:start w:val="1"/>
      <w:numFmt w:val="decimal"/>
      <w:lvlText w:val="%1.%2.%3.%4.%5.%6.%7"/>
      <w:lvlJc w:val="left"/>
      <w:pPr>
        <w:ind w:left="2520" w:hanging="1440"/>
      </w:pPr>
      <w:rPr>
        <w:rFonts w:hint="default"/>
        <w:color w:val="365F91"/>
      </w:rPr>
    </w:lvl>
    <w:lvl w:ilvl="7">
      <w:start w:val="1"/>
      <w:numFmt w:val="decimal"/>
      <w:lvlText w:val="%1.%2.%3.%4.%5.%6.%7.%8"/>
      <w:lvlJc w:val="left"/>
      <w:pPr>
        <w:ind w:left="2700" w:hanging="1440"/>
      </w:pPr>
      <w:rPr>
        <w:rFonts w:hint="default"/>
        <w:color w:val="365F91"/>
      </w:rPr>
    </w:lvl>
    <w:lvl w:ilvl="8">
      <w:start w:val="1"/>
      <w:numFmt w:val="decimal"/>
      <w:lvlText w:val="%1.%2.%3.%4.%5.%6.%7.%8.%9"/>
      <w:lvlJc w:val="left"/>
      <w:pPr>
        <w:ind w:left="3240" w:hanging="1800"/>
      </w:pPr>
      <w:rPr>
        <w:rFonts w:hint="default"/>
        <w:color w:val="365F91"/>
      </w:rPr>
    </w:lvl>
  </w:abstractNum>
  <w:abstractNum w:abstractNumId="22" w15:restartNumberingAfterBreak="0">
    <w:nsid w:val="0B1A171A"/>
    <w:multiLevelType w:val="hybridMultilevel"/>
    <w:tmpl w:val="C4F6C3CC"/>
    <w:lvl w:ilvl="0" w:tplc="B922ECB0">
      <w:start w:val="1"/>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B643184"/>
    <w:multiLevelType w:val="multilevel"/>
    <w:tmpl w:val="8034D924"/>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4" w15:restartNumberingAfterBreak="0">
    <w:nsid w:val="0B8473CD"/>
    <w:multiLevelType w:val="hybridMultilevel"/>
    <w:tmpl w:val="8A9043AA"/>
    <w:lvl w:ilvl="0" w:tplc="DCD470DA">
      <w:start w:val="7"/>
      <w:numFmt w:val="bullet"/>
      <w:lvlText w:val="-"/>
      <w:lvlJc w:val="left"/>
      <w:pPr>
        <w:ind w:left="720" w:hanging="360"/>
      </w:pPr>
      <w:rPr>
        <w:rFonts w:ascii="Calibri" w:eastAsia="Calibr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0C1366B0"/>
    <w:multiLevelType w:val="multilevel"/>
    <w:tmpl w:val="5A8041D6"/>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6" w15:restartNumberingAfterBreak="0">
    <w:nsid w:val="0CA267A7"/>
    <w:multiLevelType w:val="hybridMultilevel"/>
    <w:tmpl w:val="A0846318"/>
    <w:lvl w:ilvl="0" w:tplc="04090001">
      <w:start w:val="1"/>
      <w:numFmt w:val="bullet"/>
      <w:pStyle w:val="ECABulle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CAA17AF"/>
    <w:multiLevelType w:val="multilevel"/>
    <w:tmpl w:val="8B3C0A94"/>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8" w15:restartNumberingAfterBreak="0">
    <w:nsid w:val="0CAE2ED9"/>
    <w:multiLevelType w:val="hybridMultilevel"/>
    <w:tmpl w:val="D8B64E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CB77175"/>
    <w:multiLevelType w:val="multilevel"/>
    <w:tmpl w:val="A972F86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0" w15:restartNumberingAfterBreak="0">
    <w:nsid w:val="0DCD1E49"/>
    <w:multiLevelType w:val="hybridMultilevel"/>
    <w:tmpl w:val="22880B4C"/>
    <w:lvl w:ilvl="0" w:tplc="04090001">
      <w:start w:val="1"/>
      <w:numFmt w:val="bullet"/>
      <w:pStyle w:val="Bulle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DE948A4"/>
    <w:multiLevelType w:val="multilevel"/>
    <w:tmpl w:val="3B8CBFAC"/>
    <w:lvl w:ilvl="0">
      <w:start w:val="1"/>
      <w:numFmt w:val="decimal"/>
      <w:lvlText w:val="%1."/>
      <w:lvlJc w:val="left"/>
      <w:pPr>
        <w:ind w:left="720" w:hanging="360"/>
      </w:pPr>
      <w:rPr>
        <w:rFonts w:hint="default"/>
      </w:rPr>
    </w:lvl>
    <w:lvl w:ilvl="1">
      <w:start w:val="1"/>
      <w:numFmt w:val="decimal"/>
      <w:isLgl/>
      <w:lvlText w:val="%1.%2."/>
      <w:lvlJc w:val="left"/>
      <w:pPr>
        <w:ind w:left="900" w:hanging="540"/>
      </w:pPr>
      <w:rPr>
        <w:rFonts w:eastAsia="Calibri Light" w:hint="default"/>
        <w:color w:val="1F3763" w:themeColor="accent1" w:themeShade="7F"/>
      </w:rPr>
    </w:lvl>
    <w:lvl w:ilvl="2">
      <w:start w:val="1"/>
      <w:numFmt w:val="decimal"/>
      <w:isLgl/>
      <w:lvlText w:val="%1.%2.%3."/>
      <w:lvlJc w:val="left"/>
      <w:pPr>
        <w:ind w:left="1080" w:hanging="720"/>
      </w:pPr>
      <w:rPr>
        <w:rFonts w:eastAsia="Calibri Light" w:hint="default"/>
        <w:color w:val="1F3763" w:themeColor="accent1" w:themeShade="7F"/>
      </w:rPr>
    </w:lvl>
    <w:lvl w:ilvl="3">
      <w:start w:val="1"/>
      <w:numFmt w:val="decimal"/>
      <w:isLgl/>
      <w:lvlText w:val="%1.%2.%3.%4."/>
      <w:lvlJc w:val="left"/>
      <w:pPr>
        <w:ind w:left="1080" w:hanging="720"/>
      </w:pPr>
      <w:rPr>
        <w:rFonts w:eastAsia="Calibri Light" w:hint="default"/>
        <w:color w:val="1F3763" w:themeColor="accent1" w:themeShade="7F"/>
      </w:rPr>
    </w:lvl>
    <w:lvl w:ilvl="4">
      <w:start w:val="1"/>
      <w:numFmt w:val="decimal"/>
      <w:isLgl/>
      <w:lvlText w:val="%1.%2.%3.%4.%5."/>
      <w:lvlJc w:val="left"/>
      <w:pPr>
        <w:ind w:left="1440" w:hanging="1080"/>
      </w:pPr>
      <w:rPr>
        <w:rFonts w:eastAsia="Calibri Light" w:hint="default"/>
        <w:color w:val="1F3763" w:themeColor="accent1" w:themeShade="7F"/>
      </w:rPr>
    </w:lvl>
    <w:lvl w:ilvl="5">
      <w:start w:val="1"/>
      <w:numFmt w:val="decimal"/>
      <w:isLgl/>
      <w:lvlText w:val="%1.%2.%3.%4.%5.%6."/>
      <w:lvlJc w:val="left"/>
      <w:pPr>
        <w:ind w:left="1440" w:hanging="1080"/>
      </w:pPr>
      <w:rPr>
        <w:rFonts w:eastAsia="Calibri Light" w:hint="default"/>
        <w:color w:val="1F3763" w:themeColor="accent1" w:themeShade="7F"/>
      </w:rPr>
    </w:lvl>
    <w:lvl w:ilvl="6">
      <w:start w:val="1"/>
      <w:numFmt w:val="decimal"/>
      <w:isLgl/>
      <w:lvlText w:val="%1.%2.%3.%4.%5.%6.%7."/>
      <w:lvlJc w:val="left"/>
      <w:pPr>
        <w:ind w:left="1800" w:hanging="1440"/>
      </w:pPr>
      <w:rPr>
        <w:rFonts w:eastAsia="Calibri Light" w:hint="default"/>
        <w:color w:val="1F3763" w:themeColor="accent1" w:themeShade="7F"/>
      </w:rPr>
    </w:lvl>
    <w:lvl w:ilvl="7">
      <w:start w:val="1"/>
      <w:numFmt w:val="decimal"/>
      <w:isLgl/>
      <w:lvlText w:val="%1.%2.%3.%4.%5.%6.%7.%8."/>
      <w:lvlJc w:val="left"/>
      <w:pPr>
        <w:ind w:left="1800" w:hanging="1440"/>
      </w:pPr>
      <w:rPr>
        <w:rFonts w:eastAsia="Calibri Light" w:hint="default"/>
        <w:color w:val="1F3763" w:themeColor="accent1" w:themeShade="7F"/>
      </w:rPr>
    </w:lvl>
    <w:lvl w:ilvl="8">
      <w:start w:val="1"/>
      <w:numFmt w:val="decimal"/>
      <w:isLgl/>
      <w:lvlText w:val="%1.%2.%3.%4.%5.%6.%7.%8.%9."/>
      <w:lvlJc w:val="left"/>
      <w:pPr>
        <w:ind w:left="2160" w:hanging="1800"/>
      </w:pPr>
      <w:rPr>
        <w:rFonts w:eastAsia="Calibri Light" w:hint="default"/>
        <w:color w:val="1F3763" w:themeColor="accent1" w:themeShade="7F"/>
      </w:rPr>
    </w:lvl>
  </w:abstractNum>
  <w:abstractNum w:abstractNumId="32" w15:restartNumberingAfterBreak="0">
    <w:nsid w:val="0E2C60C3"/>
    <w:multiLevelType w:val="hybridMultilevel"/>
    <w:tmpl w:val="AB1245C6"/>
    <w:lvl w:ilvl="0" w:tplc="DCD470DA">
      <w:start w:val="7"/>
      <w:numFmt w:val="bullet"/>
      <w:lvlText w:val="-"/>
      <w:lvlJc w:val="left"/>
      <w:pPr>
        <w:ind w:left="360" w:hanging="360"/>
      </w:pPr>
      <w:rPr>
        <w:rFonts w:ascii="Calibri" w:eastAsia="Calibri"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3" w15:restartNumberingAfterBreak="0">
    <w:nsid w:val="0E9408BF"/>
    <w:multiLevelType w:val="hybridMultilevel"/>
    <w:tmpl w:val="78DE5E46"/>
    <w:lvl w:ilvl="0" w:tplc="1FBAA278">
      <w:start w:val="1"/>
      <w:numFmt w:val="decimal"/>
      <w:lvlText w:val="%1."/>
      <w:lvlJc w:val="left"/>
      <w:pPr>
        <w:ind w:left="720" w:hanging="360"/>
      </w:pPr>
      <w:rPr>
        <w:rFonts w:hint="default"/>
      </w:rPr>
    </w:lvl>
    <w:lvl w:ilvl="1" w:tplc="62C0D182">
      <w:start w:val="1"/>
      <w:numFmt w:val="lowerLetter"/>
      <w:lvlText w:val="%2."/>
      <w:lvlJc w:val="left"/>
      <w:pPr>
        <w:ind w:left="1440" w:hanging="360"/>
      </w:pPr>
    </w:lvl>
    <w:lvl w:ilvl="2" w:tplc="11C8A3E6">
      <w:start w:val="1"/>
      <w:numFmt w:val="lowerRoman"/>
      <w:lvlText w:val="%3."/>
      <w:lvlJc w:val="right"/>
      <w:pPr>
        <w:ind w:left="2160" w:hanging="180"/>
      </w:pPr>
    </w:lvl>
    <w:lvl w:ilvl="3" w:tplc="2FEE1660">
      <w:start w:val="1"/>
      <w:numFmt w:val="decimal"/>
      <w:lvlText w:val="%4."/>
      <w:lvlJc w:val="left"/>
      <w:pPr>
        <w:ind w:left="2880" w:hanging="360"/>
      </w:pPr>
    </w:lvl>
    <w:lvl w:ilvl="4" w:tplc="B2F60FCC">
      <w:start w:val="1"/>
      <w:numFmt w:val="lowerLetter"/>
      <w:lvlText w:val="%5."/>
      <w:lvlJc w:val="left"/>
      <w:pPr>
        <w:ind w:left="3600" w:hanging="360"/>
      </w:pPr>
    </w:lvl>
    <w:lvl w:ilvl="5" w:tplc="613A7818">
      <w:start w:val="1"/>
      <w:numFmt w:val="lowerRoman"/>
      <w:lvlText w:val="%6."/>
      <w:lvlJc w:val="right"/>
      <w:pPr>
        <w:ind w:left="4320" w:hanging="180"/>
      </w:pPr>
    </w:lvl>
    <w:lvl w:ilvl="6" w:tplc="B5F85FC4">
      <w:start w:val="1"/>
      <w:numFmt w:val="decimal"/>
      <w:lvlText w:val="%7."/>
      <w:lvlJc w:val="left"/>
      <w:pPr>
        <w:ind w:left="5040" w:hanging="360"/>
      </w:pPr>
    </w:lvl>
    <w:lvl w:ilvl="7" w:tplc="5D18E03A">
      <w:start w:val="1"/>
      <w:numFmt w:val="lowerLetter"/>
      <w:lvlText w:val="%8."/>
      <w:lvlJc w:val="left"/>
      <w:pPr>
        <w:ind w:left="5760" w:hanging="360"/>
      </w:pPr>
    </w:lvl>
    <w:lvl w:ilvl="8" w:tplc="9B301C0E">
      <w:start w:val="1"/>
      <w:numFmt w:val="lowerRoman"/>
      <w:lvlText w:val="%9."/>
      <w:lvlJc w:val="right"/>
      <w:pPr>
        <w:ind w:left="6480" w:hanging="180"/>
      </w:pPr>
    </w:lvl>
  </w:abstractNum>
  <w:abstractNum w:abstractNumId="34" w15:restartNumberingAfterBreak="0">
    <w:nsid w:val="0F3D4BD0"/>
    <w:multiLevelType w:val="hybridMultilevel"/>
    <w:tmpl w:val="44329126"/>
    <w:lvl w:ilvl="0" w:tplc="3E80183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04C5F9E"/>
    <w:multiLevelType w:val="hybridMultilevel"/>
    <w:tmpl w:val="E7D0B5E8"/>
    <w:lvl w:ilvl="0" w:tplc="DCD470DA">
      <w:start w:val="7"/>
      <w:numFmt w:val="bullet"/>
      <w:lvlText w:val="-"/>
      <w:lvlJc w:val="left"/>
      <w:pPr>
        <w:ind w:left="360" w:hanging="360"/>
      </w:pPr>
      <w:rPr>
        <w:rFonts w:ascii="Calibri" w:eastAsia="Calibri" w:hAnsi="Calibri" w:cs="Calibri"/>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6" w15:restartNumberingAfterBreak="0">
    <w:nsid w:val="121D25A3"/>
    <w:multiLevelType w:val="multilevel"/>
    <w:tmpl w:val="4CF2420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12364CEB"/>
    <w:multiLevelType w:val="hybridMultilevel"/>
    <w:tmpl w:val="12F8F4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8" w15:restartNumberingAfterBreak="0">
    <w:nsid w:val="127F4DA2"/>
    <w:multiLevelType w:val="hybridMultilevel"/>
    <w:tmpl w:val="AB58D5BC"/>
    <w:lvl w:ilvl="0" w:tplc="04090001">
      <w:start w:val="1"/>
      <w:numFmt w:val="bullet"/>
      <w:lvlText w:val=""/>
      <w:lvlJc w:val="left"/>
      <w:pPr>
        <w:ind w:left="1110" w:hanging="360"/>
      </w:pPr>
      <w:rPr>
        <w:rFonts w:ascii="Symbol" w:hAnsi="Symbol"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39" w15:restartNumberingAfterBreak="0">
    <w:nsid w:val="12E34E5B"/>
    <w:multiLevelType w:val="multilevel"/>
    <w:tmpl w:val="82C09C9A"/>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0" w15:restartNumberingAfterBreak="0">
    <w:nsid w:val="12FE4AF5"/>
    <w:multiLevelType w:val="singleLevel"/>
    <w:tmpl w:val="B882C7F8"/>
    <w:styleLink w:val="NumberedNote"/>
    <w:lvl w:ilvl="0">
      <w:start w:val="1"/>
      <w:numFmt w:val="decimal"/>
      <w:lvlText w:val="%1."/>
      <w:lvlJc w:val="left"/>
      <w:pPr>
        <w:tabs>
          <w:tab w:val="num" w:pos="171"/>
        </w:tabs>
        <w:ind w:left="171" w:hanging="171"/>
      </w:pPr>
    </w:lvl>
  </w:abstractNum>
  <w:abstractNum w:abstractNumId="41" w15:restartNumberingAfterBreak="0">
    <w:nsid w:val="13CB7DBF"/>
    <w:multiLevelType w:val="hybridMultilevel"/>
    <w:tmpl w:val="C3FC21EE"/>
    <w:lvl w:ilvl="0" w:tplc="A2729BC2">
      <w:numFmt w:val="bullet"/>
      <w:lvlText w:val="•"/>
      <w:lvlJc w:val="left"/>
      <w:pPr>
        <w:ind w:left="1080" w:hanging="720"/>
      </w:pPr>
      <w:rPr>
        <w:rFonts w:ascii="Times New Roman" w:eastAsia="MS Mincho" w:hAnsi="Times New Roman" w:cs="Times New Roman" w:hint="default"/>
      </w:rPr>
    </w:lvl>
    <w:lvl w:ilvl="1" w:tplc="0C070003">
      <w:start w:val="1"/>
      <w:numFmt w:val="bullet"/>
      <w:lvlText w:val="o"/>
      <w:lvlJc w:val="left"/>
      <w:pPr>
        <w:ind w:left="1440" w:hanging="360"/>
      </w:pPr>
      <w:rPr>
        <w:rFonts w:ascii="Courier New" w:hAnsi="Courier New" w:cs="Courier New" w:hint="default"/>
      </w:rPr>
    </w:lvl>
    <w:lvl w:ilvl="2" w:tplc="0C070005">
      <w:start w:val="1"/>
      <w:numFmt w:val="bullet"/>
      <w:lvlText w:val=""/>
      <w:lvlJc w:val="left"/>
      <w:pPr>
        <w:ind w:left="2160" w:hanging="360"/>
      </w:pPr>
      <w:rPr>
        <w:rFonts w:ascii="Wingdings" w:hAnsi="Wingdings" w:hint="default"/>
      </w:rPr>
    </w:lvl>
    <w:lvl w:ilvl="3" w:tplc="0C070001">
      <w:start w:val="1"/>
      <w:numFmt w:val="bullet"/>
      <w:lvlText w:val=""/>
      <w:lvlJc w:val="left"/>
      <w:pPr>
        <w:ind w:left="2880" w:hanging="360"/>
      </w:pPr>
      <w:rPr>
        <w:rFonts w:ascii="Symbol" w:hAnsi="Symbol" w:hint="default"/>
      </w:rPr>
    </w:lvl>
    <w:lvl w:ilvl="4" w:tplc="0C070003">
      <w:start w:val="1"/>
      <w:numFmt w:val="bullet"/>
      <w:lvlText w:val="o"/>
      <w:lvlJc w:val="left"/>
      <w:pPr>
        <w:ind w:left="3600" w:hanging="360"/>
      </w:pPr>
      <w:rPr>
        <w:rFonts w:ascii="Courier New" w:hAnsi="Courier New" w:cs="Courier New" w:hint="default"/>
      </w:rPr>
    </w:lvl>
    <w:lvl w:ilvl="5" w:tplc="0C070005">
      <w:start w:val="1"/>
      <w:numFmt w:val="bullet"/>
      <w:lvlText w:val=""/>
      <w:lvlJc w:val="left"/>
      <w:pPr>
        <w:ind w:left="4320" w:hanging="360"/>
      </w:pPr>
      <w:rPr>
        <w:rFonts w:ascii="Wingdings" w:hAnsi="Wingdings" w:hint="default"/>
      </w:rPr>
    </w:lvl>
    <w:lvl w:ilvl="6" w:tplc="0C070001">
      <w:start w:val="1"/>
      <w:numFmt w:val="bullet"/>
      <w:lvlText w:val=""/>
      <w:lvlJc w:val="left"/>
      <w:pPr>
        <w:ind w:left="5040" w:hanging="360"/>
      </w:pPr>
      <w:rPr>
        <w:rFonts w:ascii="Symbol" w:hAnsi="Symbol" w:hint="default"/>
      </w:rPr>
    </w:lvl>
    <w:lvl w:ilvl="7" w:tplc="0C070003">
      <w:start w:val="1"/>
      <w:numFmt w:val="bullet"/>
      <w:lvlText w:val="o"/>
      <w:lvlJc w:val="left"/>
      <w:pPr>
        <w:ind w:left="5760" w:hanging="360"/>
      </w:pPr>
      <w:rPr>
        <w:rFonts w:ascii="Courier New" w:hAnsi="Courier New" w:cs="Courier New" w:hint="default"/>
      </w:rPr>
    </w:lvl>
    <w:lvl w:ilvl="8" w:tplc="0C070005">
      <w:start w:val="1"/>
      <w:numFmt w:val="bullet"/>
      <w:lvlText w:val=""/>
      <w:lvlJc w:val="left"/>
      <w:pPr>
        <w:ind w:left="6480" w:hanging="360"/>
      </w:pPr>
      <w:rPr>
        <w:rFonts w:ascii="Wingdings" w:hAnsi="Wingdings" w:hint="default"/>
      </w:rPr>
    </w:lvl>
  </w:abstractNum>
  <w:abstractNum w:abstractNumId="42" w15:restartNumberingAfterBreak="0">
    <w:nsid w:val="16EF0030"/>
    <w:multiLevelType w:val="multilevel"/>
    <w:tmpl w:val="21E23DF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3" w15:restartNumberingAfterBreak="0">
    <w:nsid w:val="18F53334"/>
    <w:multiLevelType w:val="multilevel"/>
    <w:tmpl w:val="3F806FBA"/>
    <w:lvl w:ilvl="0">
      <w:start w:val="4"/>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4" w15:restartNumberingAfterBreak="0">
    <w:nsid w:val="19047380"/>
    <w:multiLevelType w:val="hybridMultilevel"/>
    <w:tmpl w:val="73526A62"/>
    <w:lvl w:ilvl="0" w:tplc="DCD470DA">
      <w:start w:val="7"/>
      <w:numFmt w:val="bullet"/>
      <w:lvlText w:val="-"/>
      <w:lvlJc w:val="left"/>
      <w:pPr>
        <w:ind w:left="720" w:hanging="360"/>
      </w:pPr>
      <w:rPr>
        <w:rFonts w:ascii="Calibri" w:eastAsia="Calibri" w:hAnsi="Calibri" w:cs="Calibri"/>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190A44F4"/>
    <w:multiLevelType w:val="multilevel"/>
    <w:tmpl w:val="8A70571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6" w15:restartNumberingAfterBreak="0">
    <w:nsid w:val="19504ECE"/>
    <w:multiLevelType w:val="hybridMultilevel"/>
    <w:tmpl w:val="E828E8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 w15:restartNumberingAfterBreak="0">
    <w:nsid w:val="1B677D9A"/>
    <w:multiLevelType w:val="hybridMultilevel"/>
    <w:tmpl w:val="B272533A"/>
    <w:lvl w:ilvl="0" w:tplc="D74AF35E">
      <w:start w:val="1"/>
      <w:numFmt w:val="bullet"/>
      <w:lvlText w:val="-"/>
      <w:lvlJc w:val="left"/>
      <w:pPr>
        <w:ind w:left="720" w:hanging="360"/>
      </w:pPr>
      <w:rPr>
        <w:rFonts w:ascii="Arial" w:hAnsi="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8" w15:restartNumberingAfterBreak="0">
    <w:nsid w:val="1CC72B8B"/>
    <w:multiLevelType w:val="multilevel"/>
    <w:tmpl w:val="4A44A89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9" w15:restartNumberingAfterBreak="0">
    <w:nsid w:val="1CCE3406"/>
    <w:multiLevelType w:val="hybridMultilevel"/>
    <w:tmpl w:val="FD2E7490"/>
    <w:lvl w:ilvl="0" w:tplc="04090005">
      <w:start w:val="1"/>
      <w:numFmt w:val="decimal"/>
      <w:lvlText w:val="%1."/>
      <w:lvlJc w:val="left"/>
      <w:pPr>
        <w:tabs>
          <w:tab w:val="num" w:pos="2160"/>
        </w:tabs>
        <w:ind w:left="21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1D2604A5"/>
    <w:multiLevelType w:val="multilevel"/>
    <w:tmpl w:val="B42C7E8E"/>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1" w15:restartNumberingAfterBreak="0">
    <w:nsid w:val="1DDE1776"/>
    <w:multiLevelType w:val="multilevel"/>
    <w:tmpl w:val="7FF8D9E4"/>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2" w15:restartNumberingAfterBreak="0">
    <w:nsid w:val="1EB41055"/>
    <w:multiLevelType w:val="hybridMultilevel"/>
    <w:tmpl w:val="926CB36E"/>
    <w:lvl w:ilvl="0" w:tplc="DCD470DA">
      <w:start w:val="7"/>
      <w:numFmt w:val="bullet"/>
      <w:lvlText w:val="-"/>
      <w:lvlJc w:val="left"/>
      <w:pPr>
        <w:ind w:left="720" w:hanging="360"/>
      </w:pPr>
      <w:rPr>
        <w:rFonts w:ascii="Calibri" w:eastAsia="Calibri" w:hAnsi="Calibri" w:cs="Calibri"/>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3" w15:restartNumberingAfterBreak="0">
    <w:nsid w:val="1ECF24CB"/>
    <w:multiLevelType w:val="multilevel"/>
    <w:tmpl w:val="8BF8215A"/>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4" w15:restartNumberingAfterBreak="0">
    <w:nsid w:val="1F037691"/>
    <w:multiLevelType w:val="multilevel"/>
    <w:tmpl w:val="64CAEE60"/>
    <w:lvl w:ilvl="0">
      <w:start w:val="1"/>
      <w:numFmt w:val="lowerRoman"/>
      <w:lvlText w:val="%1)"/>
      <w:lvlJc w:val="left"/>
      <w:pPr>
        <w:ind w:left="720" w:hanging="360"/>
      </w:pPr>
      <w:rPr>
        <w:rFonts w:ascii="Arial Narrow" w:eastAsia="MS Mincho" w:hAnsi="Arial Narrow" w:cs="Times New Roman"/>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5" w15:restartNumberingAfterBreak="0">
    <w:nsid w:val="1F570610"/>
    <w:multiLevelType w:val="multilevel"/>
    <w:tmpl w:val="A000B408"/>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6" w15:restartNumberingAfterBreak="0">
    <w:nsid w:val="202868FC"/>
    <w:multiLevelType w:val="multilevel"/>
    <w:tmpl w:val="26D4FF62"/>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7" w15:restartNumberingAfterBreak="0">
    <w:nsid w:val="217A7C3B"/>
    <w:multiLevelType w:val="multilevel"/>
    <w:tmpl w:val="FDAA217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8" w15:restartNumberingAfterBreak="0">
    <w:nsid w:val="22554FFE"/>
    <w:multiLevelType w:val="multilevel"/>
    <w:tmpl w:val="3CAA9BF4"/>
    <w:lvl w:ilvl="0">
      <w:start w:val="4"/>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9" w15:restartNumberingAfterBreak="0">
    <w:nsid w:val="22A4181B"/>
    <w:multiLevelType w:val="multilevel"/>
    <w:tmpl w:val="FDAA217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0" w15:restartNumberingAfterBreak="0">
    <w:nsid w:val="233A0FA3"/>
    <w:multiLevelType w:val="hybridMultilevel"/>
    <w:tmpl w:val="1E6448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15:restartNumberingAfterBreak="0">
    <w:nsid w:val="23547546"/>
    <w:multiLevelType w:val="multilevel"/>
    <w:tmpl w:val="7FC4E6BC"/>
    <w:lvl w:ilvl="0">
      <w:start w:val="1"/>
      <w:numFmt w:val="decimal"/>
      <w:lvlText w:val="%1"/>
      <w:lvlJc w:val="left"/>
      <w:pPr>
        <w:ind w:left="1080" w:hanging="720"/>
      </w:pPr>
      <w:rPr>
        <w:rFonts w:hint="default"/>
      </w:rPr>
    </w:lvl>
    <w:lvl w:ilvl="1">
      <w:start w:val="1"/>
      <w:numFmt w:val="decimal"/>
      <w:isLgl/>
      <w:lvlText w:val="%1.%2"/>
      <w:lvlJc w:val="left"/>
      <w:pPr>
        <w:ind w:left="840" w:hanging="48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2" w15:restartNumberingAfterBreak="0">
    <w:nsid w:val="23795097"/>
    <w:multiLevelType w:val="hybridMultilevel"/>
    <w:tmpl w:val="B29EF8FC"/>
    <w:lvl w:ilvl="0" w:tplc="A142C812">
      <w:start w:val="1"/>
      <w:numFmt w:val="bullet"/>
      <w:lvlText w:val=""/>
      <w:lvlJc w:val="left"/>
      <w:pPr>
        <w:ind w:left="720" w:hanging="360"/>
      </w:pPr>
      <w:rPr>
        <w:rFonts w:ascii="Symbol" w:hAnsi="Symbol" w:hint="default"/>
      </w:rPr>
    </w:lvl>
    <w:lvl w:ilvl="1" w:tplc="FB4C3B8C">
      <w:start w:val="1"/>
      <w:numFmt w:val="bullet"/>
      <w:lvlText w:val="o"/>
      <w:lvlJc w:val="left"/>
      <w:pPr>
        <w:ind w:left="1440" w:hanging="360"/>
      </w:pPr>
      <w:rPr>
        <w:rFonts w:ascii="Courier New" w:hAnsi="Courier New" w:hint="default"/>
      </w:rPr>
    </w:lvl>
    <w:lvl w:ilvl="2" w:tplc="BC129A54">
      <w:start w:val="1"/>
      <w:numFmt w:val="bullet"/>
      <w:lvlText w:val=""/>
      <w:lvlJc w:val="left"/>
      <w:pPr>
        <w:ind w:left="2160" w:hanging="360"/>
      </w:pPr>
      <w:rPr>
        <w:rFonts w:ascii="Wingdings" w:hAnsi="Wingdings" w:hint="default"/>
      </w:rPr>
    </w:lvl>
    <w:lvl w:ilvl="3" w:tplc="2D6846AE">
      <w:start w:val="1"/>
      <w:numFmt w:val="bullet"/>
      <w:lvlText w:val=""/>
      <w:lvlJc w:val="left"/>
      <w:pPr>
        <w:ind w:left="2880" w:hanging="360"/>
      </w:pPr>
      <w:rPr>
        <w:rFonts w:ascii="Symbol" w:hAnsi="Symbol" w:hint="default"/>
      </w:rPr>
    </w:lvl>
    <w:lvl w:ilvl="4" w:tplc="DEA88B50">
      <w:start w:val="1"/>
      <w:numFmt w:val="bullet"/>
      <w:lvlText w:val="o"/>
      <w:lvlJc w:val="left"/>
      <w:pPr>
        <w:ind w:left="3600" w:hanging="360"/>
      </w:pPr>
      <w:rPr>
        <w:rFonts w:ascii="Courier New" w:hAnsi="Courier New" w:hint="default"/>
      </w:rPr>
    </w:lvl>
    <w:lvl w:ilvl="5" w:tplc="1794E11E">
      <w:start w:val="1"/>
      <w:numFmt w:val="bullet"/>
      <w:lvlText w:val=""/>
      <w:lvlJc w:val="left"/>
      <w:pPr>
        <w:ind w:left="4320" w:hanging="360"/>
      </w:pPr>
      <w:rPr>
        <w:rFonts w:ascii="Wingdings" w:hAnsi="Wingdings" w:hint="default"/>
      </w:rPr>
    </w:lvl>
    <w:lvl w:ilvl="6" w:tplc="CDD6068A">
      <w:start w:val="1"/>
      <w:numFmt w:val="bullet"/>
      <w:lvlText w:val=""/>
      <w:lvlJc w:val="left"/>
      <w:pPr>
        <w:ind w:left="5040" w:hanging="360"/>
      </w:pPr>
      <w:rPr>
        <w:rFonts w:ascii="Symbol" w:hAnsi="Symbol" w:hint="default"/>
      </w:rPr>
    </w:lvl>
    <w:lvl w:ilvl="7" w:tplc="23246F32">
      <w:start w:val="1"/>
      <w:numFmt w:val="bullet"/>
      <w:lvlText w:val="o"/>
      <w:lvlJc w:val="left"/>
      <w:pPr>
        <w:ind w:left="5760" w:hanging="360"/>
      </w:pPr>
      <w:rPr>
        <w:rFonts w:ascii="Courier New" w:hAnsi="Courier New" w:hint="default"/>
      </w:rPr>
    </w:lvl>
    <w:lvl w:ilvl="8" w:tplc="698ED42A">
      <w:start w:val="1"/>
      <w:numFmt w:val="bullet"/>
      <w:lvlText w:val=""/>
      <w:lvlJc w:val="left"/>
      <w:pPr>
        <w:ind w:left="6480" w:hanging="360"/>
      </w:pPr>
      <w:rPr>
        <w:rFonts w:ascii="Wingdings" w:hAnsi="Wingdings" w:hint="default"/>
      </w:rPr>
    </w:lvl>
  </w:abstractNum>
  <w:abstractNum w:abstractNumId="63" w15:restartNumberingAfterBreak="0">
    <w:nsid w:val="24464C55"/>
    <w:multiLevelType w:val="multilevel"/>
    <w:tmpl w:val="20C690BC"/>
    <w:lvl w:ilvl="0">
      <w:start w:val="3"/>
      <w:numFmt w:val="decimal"/>
      <w:lvlText w:val="%1"/>
      <w:lvlJc w:val="left"/>
      <w:pPr>
        <w:ind w:left="360" w:hanging="360"/>
      </w:pPr>
      <w:rPr>
        <w:rFonts w:hint="default"/>
      </w:rPr>
    </w:lvl>
    <w:lvl w:ilvl="1">
      <w:start w:val="6"/>
      <w:numFmt w:val="decimal"/>
      <w:lvlText w:val="%1.%2"/>
      <w:lvlJc w:val="left"/>
      <w:pPr>
        <w:ind w:left="540" w:hanging="3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64" w15:restartNumberingAfterBreak="0">
    <w:nsid w:val="24F3305A"/>
    <w:multiLevelType w:val="multilevel"/>
    <w:tmpl w:val="D5B8B004"/>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5" w15:restartNumberingAfterBreak="0">
    <w:nsid w:val="25346E3B"/>
    <w:multiLevelType w:val="multilevel"/>
    <w:tmpl w:val="0798CBCA"/>
    <w:lvl w:ilvl="0">
      <w:start w:val="3"/>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6" w15:restartNumberingAfterBreak="0">
    <w:nsid w:val="25444917"/>
    <w:multiLevelType w:val="hybridMultilevel"/>
    <w:tmpl w:val="54A24B4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7" w15:restartNumberingAfterBreak="0">
    <w:nsid w:val="255158B6"/>
    <w:multiLevelType w:val="hybridMultilevel"/>
    <w:tmpl w:val="21C6FBC0"/>
    <w:lvl w:ilvl="0" w:tplc="DCD470DA">
      <w:start w:val="7"/>
      <w:numFmt w:val="bullet"/>
      <w:lvlText w:val="-"/>
      <w:lvlJc w:val="left"/>
      <w:pPr>
        <w:ind w:left="720" w:hanging="360"/>
      </w:pPr>
      <w:rPr>
        <w:rFonts w:ascii="Calibri" w:eastAsia="Calibri" w:hAnsi="Calibri" w:cs="Calibri"/>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8" w15:restartNumberingAfterBreak="0">
    <w:nsid w:val="26106144"/>
    <w:multiLevelType w:val="multilevel"/>
    <w:tmpl w:val="8BA80E54"/>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9" w15:restartNumberingAfterBreak="0">
    <w:nsid w:val="267F11FF"/>
    <w:multiLevelType w:val="multilevel"/>
    <w:tmpl w:val="4A44A89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70" w15:restartNumberingAfterBreak="0">
    <w:nsid w:val="26D20272"/>
    <w:multiLevelType w:val="hybridMultilevel"/>
    <w:tmpl w:val="EB70C138"/>
    <w:lvl w:ilvl="0" w:tplc="4726E40A">
      <w:numFmt w:val="bullet"/>
      <w:lvlText w:val="-"/>
      <w:lvlJc w:val="left"/>
      <w:pPr>
        <w:ind w:left="720" w:hanging="360"/>
      </w:pPr>
      <w:rPr>
        <w:rFonts w:ascii="Calibri" w:eastAsiaTheme="minorHAnsi" w:hAnsi="Calibri" w:cs="Calibr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71" w15:restartNumberingAfterBreak="0">
    <w:nsid w:val="27202DB4"/>
    <w:multiLevelType w:val="multilevel"/>
    <w:tmpl w:val="D1A09AF2"/>
    <w:lvl w:ilvl="0">
      <w:start w:val="1"/>
      <w:numFmt w:val="decimal"/>
      <w:lvlText w:val="%1."/>
      <w:lvlJc w:val="left"/>
      <w:pPr>
        <w:ind w:left="700" w:hanging="360"/>
      </w:pPr>
      <w:rPr>
        <w:rFonts w:hint="default"/>
      </w:rPr>
    </w:lvl>
    <w:lvl w:ilvl="1">
      <w:start w:val="2"/>
      <w:numFmt w:val="decimal"/>
      <w:isLgl/>
      <w:lvlText w:val="%1.%2."/>
      <w:lvlJc w:val="left"/>
      <w:pPr>
        <w:ind w:left="880" w:hanging="540"/>
      </w:pPr>
      <w:rPr>
        <w:rFonts w:hint="default"/>
      </w:rPr>
    </w:lvl>
    <w:lvl w:ilvl="2">
      <w:start w:val="4"/>
      <w:numFmt w:val="decimal"/>
      <w:isLgl/>
      <w:lvlText w:val="%1.%2.%3."/>
      <w:lvlJc w:val="left"/>
      <w:pPr>
        <w:ind w:left="1060" w:hanging="720"/>
      </w:pPr>
      <w:rPr>
        <w:rFonts w:hint="default"/>
      </w:rPr>
    </w:lvl>
    <w:lvl w:ilvl="3">
      <w:start w:val="1"/>
      <w:numFmt w:val="decimal"/>
      <w:isLgl/>
      <w:lvlText w:val="%1.%2.%3.%4."/>
      <w:lvlJc w:val="left"/>
      <w:pPr>
        <w:ind w:left="1060" w:hanging="720"/>
      </w:pPr>
      <w:rPr>
        <w:rFonts w:hint="default"/>
      </w:rPr>
    </w:lvl>
    <w:lvl w:ilvl="4">
      <w:start w:val="1"/>
      <w:numFmt w:val="decimal"/>
      <w:isLgl/>
      <w:lvlText w:val="%1.%2.%3.%4.%5."/>
      <w:lvlJc w:val="left"/>
      <w:pPr>
        <w:ind w:left="1420" w:hanging="1080"/>
      </w:pPr>
      <w:rPr>
        <w:rFonts w:hint="default"/>
      </w:rPr>
    </w:lvl>
    <w:lvl w:ilvl="5">
      <w:start w:val="1"/>
      <w:numFmt w:val="decimal"/>
      <w:isLgl/>
      <w:lvlText w:val="%1.%2.%3.%4.%5.%6."/>
      <w:lvlJc w:val="left"/>
      <w:pPr>
        <w:ind w:left="1420" w:hanging="1080"/>
      </w:pPr>
      <w:rPr>
        <w:rFonts w:hint="default"/>
      </w:rPr>
    </w:lvl>
    <w:lvl w:ilvl="6">
      <w:start w:val="1"/>
      <w:numFmt w:val="decimal"/>
      <w:isLgl/>
      <w:lvlText w:val="%1.%2.%3.%4.%5.%6.%7."/>
      <w:lvlJc w:val="left"/>
      <w:pPr>
        <w:ind w:left="1780" w:hanging="1440"/>
      </w:pPr>
      <w:rPr>
        <w:rFonts w:hint="default"/>
      </w:rPr>
    </w:lvl>
    <w:lvl w:ilvl="7">
      <w:start w:val="1"/>
      <w:numFmt w:val="decimal"/>
      <w:isLgl/>
      <w:lvlText w:val="%1.%2.%3.%4.%5.%6.%7.%8."/>
      <w:lvlJc w:val="left"/>
      <w:pPr>
        <w:ind w:left="1780" w:hanging="1440"/>
      </w:pPr>
      <w:rPr>
        <w:rFonts w:hint="default"/>
      </w:rPr>
    </w:lvl>
    <w:lvl w:ilvl="8">
      <w:start w:val="1"/>
      <w:numFmt w:val="decimal"/>
      <w:isLgl/>
      <w:lvlText w:val="%1.%2.%3.%4.%5.%6.%7.%8.%9."/>
      <w:lvlJc w:val="left"/>
      <w:pPr>
        <w:ind w:left="2140" w:hanging="1800"/>
      </w:pPr>
      <w:rPr>
        <w:rFonts w:hint="default"/>
      </w:rPr>
    </w:lvl>
  </w:abstractNum>
  <w:abstractNum w:abstractNumId="72" w15:restartNumberingAfterBreak="0">
    <w:nsid w:val="28C07A06"/>
    <w:multiLevelType w:val="hybridMultilevel"/>
    <w:tmpl w:val="F9108166"/>
    <w:lvl w:ilvl="0" w:tplc="9FFC2C66">
      <w:start w:val="1"/>
      <w:numFmt w:val="decimal"/>
      <w:lvlText w:val="%1."/>
      <w:lvlJc w:val="left"/>
      <w:pPr>
        <w:ind w:left="720" w:hanging="360"/>
      </w:pPr>
      <w:rPr>
        <w:rFonts w:hint="default"/>
      </w:rPr>
    </w:lvl>
    <w:lvl w:ilvl="1" w:tplc="B546C492">
      <w:start w:val="1"/>
      <w:numFmt w:val="lowerLetter"/>
      <w:lvlText w:val="%2."/>
      <w:lvlJc w:val="left"/>
      <w:pPr>
        <w:ind w:left="1440" w:hanging="360"/>
      </w:pPr>
    </w:lvl>
    <w:lvl w:ilvl="2" w:tplc="C86C6188">
      <w:start w:val="1"/>
      <w:numFmt w:val="lowerRoman"/>
      <w:lvlText w:val="%3."/>
      <w:lvlJc w:val="right"/>
      <w:pPr>
        <w:ind w:left="2160" w:hanging="180"/>
      </w:pPr>
    </w:lvl>
    <w:lvl w:ilvl="3" w:tplc="1A28E954">
      <w:start w:val="1"/>
      <w:numFmt w:val="decimal"/>
      <w:lvlText w:val="%4."/>
      <w:lvlJc w:val="left"/>
      <w:pPr>
        <w:ind w:left="2880" w:hanging="360"/>
      </w:pPr>
    </w:lvl>
    <w:lvl w:ilvl="4" w:tplc="00A28C30">
      <w:start w:val="1"/>
      <w:numFmt w:val="lowerLetter"/>
      <w:lvlText w:val="%5."/>
      <w:lvlJc w:val="left"/>
      <w:pPr>
        <w:ind w:left="3600" w:hanging="360"/>
      </w:pPr>
    </w:lvl>
    <w:lvl w:ilvl="5" w:tplc="8C6CB6E4">
      <w:start w:val="1"/>
      <w:numFmt w:val="lowerRoman"/>
      <w:lvlText w:val="%6."/>
      <w:lvlJc w:val="right"/>
      <w:pPr>
        <w:ind w:left="4320" w:hanging="180"/>
      </w:pPr>
    </w:lvl>
    <w:lvl w:ilvl="6" w:tplc="D27C9628">
      <w:start w:val="1"/>
      <w:numFmt w:val="decimal"/>
      <w:lvlText w:val="%7."/>
      <w:lvlJc w:val="left"/>
      <w:pPr>
        <w:ind w:left="5040" w:hanging="360"/>
      </w:pPr>
    </w:lvl>
    <w:lvl w:ilvl="7" w:tplc="F1365508">
      <w:start w:val="1"/>
      <w:numFmt w:val="lowerLetter"/>
      <w:lvlText w:val="%8."/>
      <w:lvlJc w:val="left"/>
      <w:pPr>
        <w:ind w:left="5760" w:hanging="360"/>
      </w:pPr>
    </w:lvl>
    <w:lvl w:ilvl="8" w:tplc="97C86458">
      <w:start w:val="1"/>
      <w:numFmt w:val="lowerRoman"/>
      <w:lvlText w:val="%9."/>
      <w:lvlJc w:val="right"/>
      <w:pPr>
        <w:ind w:left="6480" w:hanging="180"/>
      </w:pPr>
    </w:lvl>
  </w:abstractNum>
  <w:abstractNum w:abstractNumId="73" w15:restartNumberingAfterBreak="0">
    <w:nsid w:val="2A4609C3"/>
    <w:multiLevelType w:val="hybridMultilevel"/>
    <w:tmpl w:val="7BF4A5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4" w15:restartNumberingAfterBreak="0">
    <w:nsid w:val="2A972B47"/>
    <w:multiLevelType w:val="hybridMultilevel"/>
    <w:tmpl w:val="F9109ABC"/>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75" w15:restartNumberingAfterBreak="0">
    <w:nsid w:val="2B581C73"/>
    <w:multiLevelType w:val="hybridMultilevel"/>
    <w:tmpl w:val="258CB8A8"/>
    <w:lvl w:ilvl="0" w:tplc="DCD470DA">
      <w:start w:val="7"/>
      <w:numFmt w:val="bullet"/>
      <w:lvlText w:val="-"/>
      <w:lvlJc w:val="left"/>
      <w:pPr>
        <w:ind w:left="720" w:hanging="360"/>
      </w:pPr>
      <w:rPr>
        <w:rFonts w:ascii="Calibri" w:eastAsia="Calibri" w:hAnsi="Calibri" w:cs="Calibri"/>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76" w15:restartNumberingAfterBreak="0">
    <w:nsid w:val="2C3655A3"/>
    <w:multiLevelType w:val="multilevel"/>
    <w:tmpl w:val="4A44A89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77" w15:restartNumberingAfterBreak="0">
    <w:nsid w:val="2C7963DB"/>
    <w:multiLevelType w:val="hybridMultilevel"/>
    <w:tmpl w:val="A30CAA92"/>
    <w:lvl w:ilvl="0" w:tplc="DCD470DA">
      <w:start w:val="7"/>
      <w:numFmt w:val="bullet"/>
      <w:lvlText w:val="-"/>
      <w:lvlJc w:val="left"/>
      <w:pPr>
        <w:ind w:left="720" w:hanging="360"/>
      </w:pPr>
      <w:rPr>
        <w:rFonts w:ascii="Calibri" w:eastAsia="Calibri" w:hAnsi="Calibri" w:cs="Calibri"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2CE508E0"/>
    <w:multiLevelType w:val="hybridMultilevel"/>
    <w:tmpl w:val="68A84EA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9" w15:restartNumberingAfterBreak="0">
    <w:nsid w:val="2DA41B5B"/>
    <w:multiLevelType w:val="multilevel"/>
    <w:tmpl w:val="2B408C2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0" w15:restartNumberingAfterBreak="0">
    <w:nsid w:val="2E0232B9"/>
    <w:multiLevelType w:val="hybridMultilevel"/>
    <w:tmpl w:val="4348B5EC"/>
    <w:lvl w:ilvl="0" w:tplc="3E80183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E0541BF"/>
    <w:multiLevelType w:val="hybridMultilevel"/>
    <w:tmpl w:val="028E78F8"/>
    <w:lvl w:ilvl="0" w:tplc="DCD470DA">
      <w:start w:val="7"/>
      <w:numFmt w:val="bullet"/>
      <w:lvlText w:val="-"/>
      <w:lvlJc w:val="left"/>
      <w:pPr>
        <w:ind w:left="360" w:hanging="360"/>
      </w:pPr>
      <w:rPr>
        <w:rFonts w:ascii="Calibri" w:eastAsia="Calibri" w:hAnsi="Calibri" w:cs="Calibri"/>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82" w15:restartNumberingAfterBreak="0">
    <w:nsid w:val="2E24639D"/>
    <w:multiLevelType w:val="multilevel"/>
    <w:tmpl w:val="77E05370"/>
    <w:lvl w:ilvl="0">
      <w:start w:val="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3" w15:restartNumberingAfterBreak="0">
    <w:nsid w:val="2E2C0890"/>
    <w:multiLevelType w:val="hybridMultilevel"/>
    <w:tmpl w:val="2B188C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2EE008CB"/>
    <w:multiLevelType w:val="multilevel"/>
    <w:tmpl w:val="0798CBCA"/>
    <w:lvl w:ilvl="0">
      <w:start w:val="3"/>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5" w15:restartNumberingAfterBreak="0">
    <w:nsid w:val="2F6746D1"/>
    <w:multiLevelType w:val="multilevel"/>
    <w:tmpl w:val="04766742"/>
    <w:lvl w:ilvl="0">
      <w:start w:val="4"/>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6" w15:restartNumberingAfterBreak="0">
    <w:nsid w:val="2F9A6FD1"/>
    <w:multiLevelType w:val="hybridMultilevel"/>
    <w:tmpl w:val="96687C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2FAE6B74"/>
    <w:multiLevelType w:val="hybridMultilevel"/>
    <w:tmpl w:val="148CB36A"/>
    <w:lvl w:ilvl="0" w:tplc="3E80183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05D16ED"/>
    <w:multiLevelType w:val="hybridMultilevel"/>
    <w:tmpl w:val="9EC09D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30B66F6A"/>
    <w:multiLevelType w:val="multilevel"/>
    <w:tmpl w:val="2B12AE34"/>
    <w:lvl w:ilvl="0">
      <w:start w:val="1"/>
      <w:numFmt w:val="decimal"/>
      <w:pStyle w:val="CitaviBibliographyHeading"/>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pStyle w:val="CitaviBibliographySubheading7"/>
      <w:isLgl/>
      <w:lvlText w:val="%1.%2.%3.%4.%5.%6.%7.%8."/>
      <w:lvlJc w:val="left"/>
      <w:pPr>
        <w:ind w:left="4320" w:hanging="1440"/>
      </w:pPr>
      <w:rPr>
        <w:rFonts w:hint="default"/>
      </w:rPr>
    </w:lvl>
    <w:lvl w:ilvl="8">
      <w:start w:val="1"/>
      <w:numFmt w:val="decimal"/>
      <w:pStyle w:val="CitaviBibliographySubheading8"/>
      <w:isLgl/>
      <w:lvlText w:val="%1.%2.%3.%4.%5.%6.%7.%8.%9."/>
      <w:lvlJc w:val="left"/>
      <w:pPr>
        <w:ind w:left="5040" w:hanging="1800"/>
      </w:pPr>
      <w:rPr>
        <w:rFonts w:hint="default"/>
      </w:rPr>
    </w:lvl>
  </w:abstractNum>
  <w:abstractNum w:abstractNumId="90" w15:restartNumberingAfterBreak="0">
    <w:nsid w:val="30F44B1F"/>
    <w:multiLevelType w:val="multilevel"/>
    <w:tmpl w:val="38A8D99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91" w15:restartNumberingAfterBreak="0">
    <w:nsid w:val="311F2CD2"/>
    <w:multiLevelType w:val="multilevel"/>
    <w:tmpl w:val="828C99F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92" w15:restartNumberingAfterBreak="0">
    <w:nsid w:val="31F36D5C"/>
    <w:multiLevelType w:val="hybridMultilevel"/>
    <w:tmpl w:val="3668828A"/>
    <w:lvl w:ilvl="0" w:tplc="D6C499D0">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3" w15:restartNumberingAfterBreak="0">
    <w:nsid w:val="321E6A7B"/>
    <w:multiLevelType w:val="hybridMultilevel"/>
    <w:tmpl w:val="AFE8CA90"/>
    <w:lvl w:ilvl="0" w:tplc="DCD470DA">
      <w:start w:val="7"/>
      <w:numFmt w:val="bullet"/>
      <w:lvlText w:val="-"/>
      <w:lvlJc w:val="left"/>
      <w:pPr>
        <w:ind w:left="720" w:hanging="360"/>
      </w:pPr>
      <w:rPr>
        <w:rFonts w:ascii="Calibri" w:eastAsia="Calibri" w:hAnsi="Calibri" w:cs="Calibri"/>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4" w15:restartNumberingAfterBreak="0">
    <w:nsid w:val="341F40F9"/>
    <w:multiLevelType w:val="multilevel"/>
    <w:tmpl w:val="D5B8B004"/>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95" w15:restartNumberingAfterBreak="0">
    <w:nsid w:val="34711F65"/>
    <w:multiLevelType w:val="hybridMultilevel"/>
    <w:tmpl w:val="ABF67396"/>
    <w:lvl w:ilvl="0" w:tplc="4CDC14F0">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15:restartNumberingAfterBreak="0">
    <w:nsid w:val="34FE2EE5"/>
    <w:multiLevelType w:val="hybridMultilevel"/>
    <w:tmpl w:val="981E5F18"/>
    <w:lvl w:ilvl="0" w:tplc="0C07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51528F1"/>
    <w:multiLevelType w:val="multilevel"/>
    <w:tmpl w:val="52829F58"/>
    <w:lvl w:ilvl="0">
      <w:start w:val="2"/>
      <w:numFmt w:val="decimal"/>
      <w:lvlText w:val="%1."/>
      <w:lvlJc w:val="left"/>
      <w:pPr>
        <w:ind w:left="408" w:hanging="408"/>
      </w:pPr>
      <w:rPr>
        <w:rFonts w:hint="default"/>
      </w:rPr>
    </w:lvl>
    <w:lvl w:ilvl="1">
      <w:start w:val="1"/>
      <w:numFmt w:val="decimal"/>
      <w:lvlText w:val="%1.%2."/>
      <w:lvlJc w:val="left"/>
      <w:pPr>
        <w:ind w:left="408" w:hanging="408"/>
      </w:pPr>
      <w:rPr>
        <w:rFonts w:hint="default"/>
        <w:vertAlign w:val="baseline"/>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98" w15:restartNumberingAfterBreak="0">
    <w:nsid w:val="355004B3"/>
    <w:multiLevelType w:val="hybridMultilevel"/>
    <w:tmpl w:val="E84427F8"/>
    <w:lvl w:ilvl="0" w:tplc="DCD470DA">
      <w:start w:val="7"/>
      <w:numFmt w:val="bullet"/>
      <w:lvlText w:val="-"/>
      <w:lvlJc w:val="left"/>
      <w:pPr>
        <w:ind w:left="720" w:hanging="360"/>
      </w:pPr>
      <w:rPr>
        <w:rFonts w:ascii="Calibri" w:eastAsia="Calibri" w:hAnsi="Calibri" w:cs="Calibri"/>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99" w15:restartNumberingAfterBreak="0">
    <w:nsid w:val="37556BC2"/>
    <w:multiLevelType w:val="hybridMultilevel"/>
    <w:tmpl w:val="78E43E6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00" w15:restartNumberingAfterBreak="0">
    <w:nsid w:val="377D760A"/>
    <w:multiLevelType w:val="multilevel"/>
    <w:tmpl w:val="467EE4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37A43F8C"/>
    <w:multiLevelType w:val="multilevel"/>
    <w:tmpl w:val="1AC2E17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02" w15:restartNumberingAfterBreak="0">
    <w:nsid w:val="382D5820"/>
    <w:multiLevelType w:val="multilevel"/>
    <w:tmpl w:val="21E23DF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03" w15:restartNumberingAfterBreak="0">
    <w:nsid w:val="38321B8F"/>
    <w:multiLevelType w:val="multilevel"/>
    <w:tmpl w:val="CE3C87F8"/>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4" w15:restartNumberingAfterBreak="0">
    <w:nsid w:val="383A5595"/>
    <w:multiLevelType w:val="hybridMultilevel"/>
    <w:tmpl w:val="0C047298"/>
    <w:lvl w:ilvl="0" w:tplc="6F186D8C">
      <w:start w:val="1"/>
      <w:numFmt w:val="bullet"/>
      <w:lvlText w:val=""/>
      <w:lvlJc w:val="left"/>
      <w:pPr>
        <w:ind w:left="864"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5" w15:restartNumberingAfterBreak="0">
    <w:nsid w:val="386416D5"/>
    <w:multiLevelType w:val="hybridMultilevel"/>
    <w:tmpl w:val="38D46E6E"/>
    <w:lvl w:ilvl="0" w:tplc="DCD470DA">
      <w:start w:val="7"/>
      <w:numFmt w:val="bullet"/>
      <w:lvlText w:val="-"/>
      <w:lvlJc w:val="left"/>
      <w:pPr>
        <w:ind w:left="720" w:hanging="360"/>
      </w:pPr>
      <w:rPr>
        <w:rFonts w:ascii="Calibri" w:eastAsia="Calibri" w:hAnsi="Calibri" w:cs="Calibri"/>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6" w15:restartNumberingAfterBreak="0">
    <w:nsid w:val="38AB37CB"/>
    <w:multiLevelType w:val="hybridMultilevel"/>
    <w:tmpl w:val="4206765A"/>
    <w:lvl w:ilvl="0" w:tplc="43DCE3CA">
      <w:start w:val="1"/>
      <w:numFmt w:val="decimal"/>
      <w:lvlText w:val="%1."/>
      <w:lvlJc w:val="left"/>
      <w:pPr>
        <w:ind w:left="718" w:hanging="405"/>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390A75E4"/>
    <w:multiLevelType w:val="hybridMultilevel"/>
    <w:tmpl w:val="A95474FC"/>
    <w:lvl w:ilvl="0" w:tplc="0A023DFE">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15:restartNumberingAfterBreak="0">
    <w:nsid w:val="3B9465FC"/>
    <w:multiLevelType w:val="hybridMultilevel"/>
    <w:tmpl w:val="8EA0FFF8"/>
    <w:lvl w:ilvl="0" w:tplc="04090005">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9" w15:restartNumberingAfterBreak="0">
    <w:nsid w:val="3BEE470A"/>
    <w:multiLevelType w:val="multilevel"/>
    <w:tmpl w:val="3CAA9BF4"/>
    <w:lvl w:ilvl="0">
      <w:start w:val="4"/>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10" w15:restartNumberingAfterBreak="0">
    <w:nsid w:val="3C0953C3"/>
    <w:multiLevelType w:val="hybridMultilevel"/>
    <w:tmpl w:val="5D4C931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1" w15:restartNumberingAfterBreak="0">
    <w:nsid w:val="3C5F4F93"/>
    <w:multiLevelType w:val="multilevel"/>
    <w:tmpl w:val="F7C25790"/>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12" w15:restartNumberingAfterBreak="0">
    <w:nsid w:val="3CFC4F89"/>
    <w:multiLevelType w:val="hybridMultilevel"/>
    <w:tmpl w:val="05C6DF0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3" w15:restartNumberingAfterBreak="0">
    <w:nsid w:val="3D0D59FB"/>
    <w:multiLevelType w:val="multilevel"/>
    <w:tmpl w:val="62BACD4E"/>
    <w:lvl w:ilvl="0">
      <w:start w:val="1"/>
      <w:numFmt w:val="decimal"/>
      <w:lvlText w:val="%1"/>
      <w:lvlJc w:val="left"/>
      <w:pPr>
        <w:ind w:left="480" w:hanging="480"/>
      </w:pPr>
      <w:rPr>
        <w:rFonts w:hint="default"/>
      </w:rPr>
    </w:lvl>
    <w:lvl w:ilvl="1">
      <w:start w:val="2"/>
      <w:numFmt w:val="decimal"/>
      <w:lvlText w:val="%1.%2"/>
      <w:lvlJc w:val="left"/>
      <w:pPr>
        <w:ind w:left="650" w:hanging="480"/>
      </w:pPr>
      <w:rPr>
        <w:rFonts w:hint="default"/>
      </w:rPr>
    </w:lvl>
    <w:lvl w:ilvl="2">
      <w:start w:val="4"/>
      <w:numFmt w:val="decimal"/>
      <w:lvlText w:val="%1.%2.%3"/>
      <w:lvlJc w:val="left"/>
      <w:pPr>
        <w:ind w:left="1060" w:hanging="720"/>
      </w:pPr>
      <w:rPr>
        <w:rFonts w:hint="default"/>
      </w:rPr>
    </w:lvl>
    <w:lvl w:ilvl="3">
      <w:start w:val="1"/>
      <w:numFmt w:val="decimal"/>
      <w:lvlText w:val="%1.%2.%3.%4"/>
      <w:lvlJc w:val="left"/>
      <w:pPr>
        <w:ind w:left="1230" w:hanging="720"/>
      </w:pPr>
      <w:rPr>
        <w:rFonts w:hint="default"/>
      </w:rPr>
    </w:lvl>
    <w:lvl w:ilvl="4">
      <w:start w:val="1"/>
      <w:numFmt w:val="decimal"/>
      <w:lvlText w:val="%1.%2.%3.%4.%5"/>
      <w:lvlJc w:val="left"/>
      <w:pPr>
        <w:ind w:left="1760" w:hanging="1080"/>
      </w:pPr>
      <w:rPr>
        <w:rFonts w:hint="default"/>
      </w:rPr>
    </w:lvl>
    <w:lvl w:ilvl="5">
      <w:start w:val="1"/>
      <w:numFmt w:val="decimal"/>
      <w:lvlText w:val="%1.%2.%3.%4.%5.%6"/>
      <w:lvlJc w:val="left"/>
      <w:pPr>
        <w:ind w:left="1930" w:hanging="1080"/>
      </w:pPr>
      <w:rPr>
        <w:rFonts w:hint="default"/>
      </w:rPr>
    </w:lvl>
    <w:lvl w:ilvl="6">
      <w:start w:val="1"/>
      <w:numFmt w:val="decimal"/>
      <w:lvlText w:val="%1.%2.%3.%4.%5.%6.%7"/>
      <w:lvlJc w:val="left"/>
      <w:pPr>
        <w:ind w:left="2460" w:hanging="1440"/>
      </w:pPr>
      <w:rPr>
        <w:rFonts w:hint="default"/>
      </w:rPr>
    </w:lvl>
    <w:lvl w:ilvl="7">
      <w:start w:val="1"/>
      <w:numFmt w:val="decimal"/>
      <w:lvlText w:val="%1.%2.%3.%4.%5.%6.%7.%8"/>
      <w:lvlJc w:val="left"/>
      <w:pPr>
        <w:ind w:left="2630" w:hanging="1440"/>
      </w:pPr>
      <w:rPr>
        <w:rFonts w:hint="default"/>
      </w:rPr>
    </w:lvl>
    <w:lvl w:ilvl="8">
      <w:start w:val="1"/>
      <w:numFmt w:val="decimal"/>
      <w:lvlText w:val="%1.%2.%3.%4.%5.%6.%7.%8.%9"/>
      <w:lvlJc w:val="left"/>
      <w:pPr>
        <w:ind w:left="2800" w:hanging="1440"/>
      </w:pPr>
      <w:rPr>
        <w:rFonts w:hint="default"/>
      </w:rPr>
    </w:lvl>
  </w:abstractNum>
  <w:abstractNum w:abstractNumId="114" w15:restartNumberingAfterBreak="0">
    <w:nsid w:val="3ECF4B55"/>
    <w:multiLevelType w:val="hybridMultilevel"/>
    <w:tmpl w:val="9A94A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3F7B0A23"/>
    <w:multiLevelType w:val="hybridMultilevel"/>
    <w:tmpl w:val="39EEB6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6" w15:restartNumberingAfterBreak="0">
    <w:nsid w:val="3F8F0EE1"/>
    <w:multiLevelType w:val="multilevel"/>
    <w:tmpl w:val="364C4F64"/>
    <w:lvl w:ilvl="0">
      <w:start w:val="1"/>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7" w15:restartNumberingAfterBreak="0">
    <w:nsid w:val="402D3AB5"/>
    <w:multiLevelType w:val="hybridMultilevel"/>
    <w:tmpl w:val="8BBE9D52"/>
    <w:lvl w:ilvl="0" w:tplc="D74AF35E">
      <w:start w:val="1"/>
      <w:numFmt w:val="bullet"/>
      <w:lvlText w:val="-"/>
      <w:lvlJc w:val="left"/>
      <w:pPr>
        <w:ind w:left="360" w:hanging="360"/>
      </w:pPr>
      <w:rPr>
        <w:rFonts w:ascii="Arial" w:hAnsi="Aria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8" w15:restartNumberingAfterBreak="0">
    <w:nsid w:val="40390D36"/>
    <w:multiLevelType w:val="multilevel"/>
    <w:tmpl w:val="F38868A8"/>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19" w15:restartNumberingAfterBreak="0">
    <w:nsid w:val="403B665E"/>
    <w:multiLevelType w:val="hybridMultilevel"/>
    <w:tmpl w:val="53845F0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0" w15:restartNumberingAfterBreak="0">
    <w:nsid w:val="411511A4"/>
    <w:multiLevelType w:val="hybridMultilevel"/>
    <w:tmpl w:val="4ED6E4DA"/>
    <w:lvl w:ilvl="0" w:tplc="0C07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1" w15:restartNumberingAfterBreak="0">
    <w:nsid w:val="42CE1C99"/>
    <w:multiLevelType w:val="hybridMultilevel"/>
    <w:tmpl w:val="0CDA4A0A"/>
    <w:lvl w:ilvl="0" w:tplc="741E2EC2">
      <w:start w:val="4"/>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42FF7783"/>
    <w:multiLevelType w:val="multilevel"/>
    <w:tmpl w:val="7154393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23" w15:restartNumberingAfterBreak="0">
    <w:nsid w:val="436F3388"/>
    <w:multiLevelType w:val="hybridMultilevel"/>
    <w:tmpl w:val="2B0608E8"/>
    <w:lvl w:ilvl="0" w:tplc="3E80183A">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4" w15:restartNumberingAfterBreak="0">
    <w:nsid w:val="43C054AA"/>
    <w:multiLevelType w:val="hybridMultilevel"/>
    <w:tmpl w:val="9E84D01E"/>
    <w:lvl w:ilvl="0" w:tplc="A770E7A2">
      <w:start w:val="1"/>
      <w:numFmt w:val="decimal"/>
      <w:lvlText w:val="%1."/>
      <w:lvlJc w:val="left"/>
      <w:pPr>
        <w:ind w:left="720" w:hanging="360"/>
      </w:pPr>
      <w:rPr>
        <w:rFonts w:hint="default"/>
      </w:rPr>
    </w:lvl>
    <w:lvl w:ilvl="1" w:tplc="C284FC20">
      <w:start w:val="1"/>
      <w:numFmt w:val="lowerLetter"/>
      <w:lvlText w:val="%2."/>
      <w:lvlJc w:val="left"/>
      <w:pPr>
        <w:ind w:left="1440" w:hanging="360"/>
      </w:pPr>
    </w:lvl>
    <w:lvl w:ilvl="2" w:tplc="E648FB2E">
      <w:start w:val="1"/>
      <w:numFmt w:val="lowerRoman"/>
      <w:lvlText w:val="%3."/>
      <w:lvlJc w:val="right"/>
      <w:pPr>
        <w:ind w:left="2160" w:hanging="180"/>
      </w:pPr>
    </w:lvl>
    <w:lvl w:ilvl="3" w:tplc="B3BA6202">
      <w:start w:val="1"/>
      <w:numFmt w:val="decimal"/>
      <w:lvlText w:val="%4."/>
      <w:lvlJc w:val="left"/>
      <w:pPr>
        <w:ind w:left="2880" w:hanging="360"/>
      </w:pPr>
    </w:lvl>
    <w:lvl w:ilvl="4" w:tplc="553412CC">
      <w:start w:val="1"/>
      <w:numFmt w:val="lowerLetter"/>
      <w:lvlText w:val="%5."/>
      <w:lvlJc w:val="left"/>
      <w:pPr>
        <w:ind w:left="3600" w:hanging="360"/>
      </w:pPr>
    </w:lvl>
    <w:lvl w:ilvl="5" w:tplc="94029A70">
      <w:start w:val="1"/>
      <w:numFmt w:val="lowerRoman"/>
      <w:lvlText w:val="%6."/>
      <w:lvlJc w:val="right"/>
      <w:pPr>
        <w:ind w:left="4320" w:hanging="180"/>
      </w:pPr>
    </w:lvl>
    <w:lvl w:ilvl="6" w:tplc="528E85F4">
      <w:start w:val="1"/>
      <w:numFmt w:val="decimal"/>
      <w:lvlText w:val="%7."/>
      <w:lvlJc w:val="left"/>
      <w:pPr>
        <w:ind w:left="5040" w:hanging="360"/>
      </w:pPr>
    </w:lvl>
    <w:lvl w:ilvl="7" w:tplc="4FE0C0DA">
      <w:start w:val="1"/>
      <w:numFmt w:val="lowerLetter"/>
      <w:lvlText w:val="%8."/>
      <w:lvlJc w:val="left"/>
      <w:pPr>
        <w:ind w:left="5760" w:hanging="360"/>
      </w:pPr>
    </w:lvl>
    <w:lvl w:ilvl="8" w:tplc="F7DA07B0">
      <w:start w:val="1"/>
      <w:numFmt w:val="lowerRoman"/>
      <w:lvlText w:val="%9."/>
      <w:lvlJc w:val="right"/>
      <w:pPr>
        <w:ind w:left="6480" w:hanging="180"/>
      </w:pPr>
    </w:lvl>
  </w:abstractNum>
  <w:abstractNum w:abstractNumId="125" w15:restartNumberingAfterBreak="0">
    <w:nsid w:val="44023AE5"/>
    <w:multiLevelType w:val="multilevel"/>
    <w:tmpl w:val="4A44A89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26" w15:restartNumberingAfterBreak="0">
    <w:nsid w:val="442B60CD"/>
    <w:multiLevelType w:val="hybridMultilevel"/>
    <w:tmpl w:val="D670468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7" w15:restartNumberingAfterBreak="0">
    <w:nsid w:val="44EB3A10"/>
    <w:multiLevelType w:val="hybridMultilevel"/>
    <w:tmpl w:val="65D06062"/>
    <w:lvl w:ilvl="0" w:tplc="04090003">
      <w:start w:val="1"/>
      <w:numFmt w:val="bullet"/>
      <w:lvlText w:val="o"/>
      <w:lvlJc w:val="left"/>
      <w:pPr>
        <w:ind w:left="720" w:hanging="360"/>
      </w:pPr>
      <w:rPr>
        <w:rFonts w:ascii="Courier New" w:hAnsi="Courier New" w:cs="Courier New" w:hint="default"/>
      </w:rPr>
    </w:lvl>
    <w:lvl w:ilvl="1" w:tplc="E8188900">
      <w:start w:val="1"/>
      <w:numFmt w:val="bullet"/>
      <w:lvlText w:val="o"/>
      <w:lvlJc w:val="left"/>
      <w:pPr>
        <w:ind w:left="1440" w:hanging="360"/>
      </w:pPr>
      <w:rPr>
        <w:rFonts w:ascii="Courier New" w:hAnsi="Courier New" w:cs="Courier New"/>
      </w:rPr>
    </w:lvl>
    <w:lvl w:ilvl="2" w:tplc="59F20370">
      <w:start w:val="1"/>
      <w:numFmt w:val="bullet"/>
      <w:lvlText w:val=""/>
      <w:lvlJc w:val="left"/>
      <w:pPr>
        <w:ind w:left="2160" w:hanging="360"/>
      </w:pPr>
      <w:rPr>
        <w:rFonts w:ascii="Wingdings" w:hAnsi="Wingdings"/>
      </w:rPr>
    </w:lvl>
    <w:lvl w:ilvl="3" w:tplc="30ACA2A0">
      <w:start w:val="1"/>
      <w:numFmt w:val="bullet"/>
      <w:lvlText w:val=""/>
      <w:lvlJc w:val="left"/>
      <w:pPr>
        <w:ind w:left="2880" w:hanging="360"/>
      </w:pPr>
      <w:rPr>
        <w:rFonts w:ascii="Symbol" w:hAnsi="Symbol"/>
      </w:rPr>
    </w:lvl>
    <w:lvl w:ilvl="4" w:tplc="7D164D9E">
      <w:start w:val="1"/>
      <w:numFmt w:val="bullet"/>
      <w:lvlText w:val="o"/>
      <w:lvlJc w:val="left"/>
      <w:pPr>
        <w:ind w:left="3600" w:hanging="360"/>
      </w:pPr>
      <w:rPr>
        <w:rFonts w:ascii="Courier New" w:hAnsi="Courier New" w:cs="Courier New"/>
      </w:rPr>
    </w:lvl>
    <w:lvl w:ilvl="5" w:tplc="FE209A88">
      <w:start w:val="1"/>
      <w:numFmt w:val="bullet"/>
      <w:lvlText w:val=""/>
      <w:lvlJc w:val="left"/>
      <w:pPr>
        <w:ind w:left="4320" w:hanging="360"/>
      </w:pPr>
      <w:rPr>
        <w:rFonts w:ascii="Wingdings" w:hAnsi="Wingdings"/>
      </w:rPr>
    </w:lvl>
    <w:lvl w:ilvl="6" w:tplc="F8103E22">
      <w:start w:val="1"/>
      <w:numFmt w:val="bullet"/>
      <w:lvlText w:val=""/>
      <w:lvlJc w:val="left"/>
      <w:pPr>
        <w:ind w:left="5040" w:hanging="360"/>
      </w:pPr>
      <w:rPr>
        <w:rFonts w:ascii="Symbol" w:hAnsi="Symbol"/>
      </w:rPr>
    </w:lvl>
    <w:lvl w:ilvl="7" w:tplc="1CDC7112">
      <w:start w:val="1"/>
      <w:numFmt w:val="bullet"/>
      <w:lvlText w:val="o"/>
      <w:lvlJc w:val="left"/>
      <w:pPr>
        <w:ind w:left="5760" w:hanging="360"/>
      </w:pPr>
      <w:rPr>
        <w:rFonts w:ascii="Courier New" w:hAnsi="Courier New" w:cs="Courier New"/>
      </w:rPr>
    </w:lvl>
    <w:lvl w:ilvl="8" w:tplc="47B456FA">
      <w:start w:val="1"/>
      <w:numFmt w:val="bullet"/>
      <w:lvlText w:val=""/>
      <w:lvlJc w:val="left"/>
      <w:pPr>
        <w:ind w:left="6480" w:hanging="360"/>
      </w:pPr>
      <w:rPr>
        <w:rFonts w:ascii="Wingdings" w:hAnsi="Wingdings"/>
      </w:rPr>
    </w:lvl>
  </w:abstractNum>
  <w:abstractNum w:abstractNumId="128" w15:restartNumberingAfterBreak="0">
    <w:nsid w:val="44ED6861"/>
    <w:multiLevelType w:val="hybridMultilevel"/>
    <w:tmpl w:val="92DEF9B8"/>
    <w:lvl w:ilvl="0" w:tplc="04090005">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9" w15:restartNumberingAfterBreak="0">
    <w:nsid w:val="46417BFB"/>
    <w:multiLevelType w:val="multilevel"/>
    <w:tmpl w:val="1F984DF6"/>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30" w15:restartNumberingAfterBreak="0">
    <w:nsid w:val="466D15BC"/>
    <w:multiLevelType w:val="multilevel"/>
    <w:tmpl w:val="0380B3E8"/>
    <w:lvl w:ilvl="0">
      <w:start w:val="3"/>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31" w15:restartNumberingAfterBreak="0">
    <w:nsid w:val="46D175F6"/>
    <w:multiLevelType w:val="hybridMultilevel"/>
    <w:tmpl w:val="703C414A"/>
    <w:lvl w:ilvl="0" w:tplc="401AA874">
      <w:start w:val="1"/>
      <w:numFmt w:val="bullet"/>
      <w:lvlText w:val=""/>
      <w:lvlJc w:val="left"/>
      <w:pPr>
        <w:ind w:left="720" w:hanging="360"/>
      </w:pPr>
      <w:rPr>
        <w:rFonts w:ascii="Symbol" w:hAnsi="Symbol" w:hint="default"/>
      </w:rPr>
    </w:lvl>
    <w:lvl w:ilvl="1" w:tplc="FF1690FA">
      <w:start w:val="1"/>
      <w:numFmt w:val="bullet"/>
      <w:lvlText w:val="o"/>
      <w:lvlJc w:val="left"/>
      <w:pPr>
        <w:ind w:left="1440" w:hanging="360"/>
      </w:pPr>
      <w:rPr>
        <w:rFonts w:ascii="Courier New" w:hAnsi="Courier New" w:hint="default"/>
      </w:rPr>
    </w:lvl>
    <w:lvl w:ilvl="2" w:tplc="64B2A0F0">
      <w:start w:val="1"/>
      <w:numFmt w:val="bullet"/>
      <w:lvlText w:val=""/>
      <w:lvlJc w:val="left"/>
      <w:pPr>
        <w:ind w:left="2160" w:hanging="360"/>
      </w:pPr>
      <w:rPr>
        <w:rFonts w:ascii="Wingdings" w:hAnsi="Wingdings" w:hint="default"/>
      </w:rPr>
    </w:lvl>
    <w:lvl w:ilvl="3" w:tplc="B336AE5E">
      <w:start w:val="1"/>
      <w:numFmt w:val="bullet"/>
      <w:lvlText w:val=""/>
      <w:lvlJc w:val="left"/>
      <w:pPr>
        <w:ind w:left="2880" w:hanging="360"/>
      </w:pPr>
      <w:rPr>
        <w:rFonts w:ascii="Symbol" w:hAnsi="Symbol" w:hint="default"/>
      </w:rPr>
    </w:lvl>
    <w:lvl w:ilvl="4" w:tplc="F62ECBF0">
      <w:start w:val="1"/>
      <w:numFmt w:val="bullet"/>
      <w:lvlText w:val="o"/>
      <w:lvlJc w:val="left"/>
      <w:pPr>
        <w:ind w:left="3600" w:hanging="360"/>
      </w:pPr>
      <w:rPr>
        <w:rFonts w:ascii="Courier New" w:hAnsi="Courier New" w:hint="default"/>
      </w:rPr>
    </w:lvl>
    <w:lvl w:ilvl="5" w:tplc="6E9490E4">
      <w:start w:val="1"/>
      <w:numFmt w:val="bullet"/>
      <w:lvlText w:val=""/>
      <w:lvlJc w:val="left"/>
      <w:pPr>
        <w:ind w:left="4320" w:hanging="360"/>
      </w:pPr>
      <w:rPr>
        <w:rFonts w:ascii="Wingdings" w:hAnsi="Wingdings" w:hint="default"/>
      </w:rPr>
    </w:lvl>
    <w:lvl w:ilvl="6" w:tplc="2040BDCA">
      <w:start w:val="1"/>
      <w:numFmt w:val="bullet"/>
      <w:lvlText w:val=""/>
      <w:lvlJc w:val="left"/>
      <w:pPr>
        <w:ind w:left="5040" w:hanging="360"/>
      </w:pPr>
      <w:rPr>
        <w:rFonts w:ascii="Symbol" w:hAnsi="Symbol" w:hint="default"/>
      </w:rPr>
    </w:lvl>
    <w:lvl w:ilvl="7" w:tplc="8BBE932C">
      <w:start w:val="1"/>
      <w:numFmt w:val="bullet"/>
      <w:lvlText w:val="o"/>
      <w:lvlJc w:val="left"/>
      <w:pPr>
        <w:ind w:left="5760" w:hanging="360"/>
      </w:pPr>
      <w:rPr>
        <w:rFonts w:ascii="Courier New" w:hAnsi="Courier New" w:hint="default"/>
      </w:rPr>
    </w:lvl>
    <w:lvl w:ilvl="8" w:tplc="7708DC14">
      <w:start w:val="1"/>
      <w:numFmt w:val="bullet"/>
      <w:lvlText w:val=""/>
      <w:lvlJc w:val="left"/>
      <w:pPr>
        <w:ind w:left="6480" w:hanging="360"/>
      </w:pPr>
      <w:rPr>
        <w:rFonts w:ascii="Wingdings" w:hAnsi="Wingdings" w:hint="default"/>
      </w:rPr>
    </w:lvl>
  </w:abstractNum>
  <w:abstractNum w:abstractNumId="132" w15:restartNumberingAfterBreak="0">
    <w:nsid w:val="46FE4828"/>
    <w:multiLevelType w:val="multilevel"/>
    <w:tmpl w:val="03D8BA2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33" w15:restartNumberingAfterBreak="0">
    <w:nsid w:val="4707180C"/>
    <w:multiLevelType w:val="multilevel"/>
    <w:tmpl w:val="841A760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34" w15:restartNumberingAfterBreak="0">
    <w:nsid w:val="4767793F"/>
    <w:multiLevelType w:val="hybridMultilevel"/>
    <w:tmpl w:val="68388B9C"/>
    <w:lvl w:ilvl="0" w:tplc="773EF214">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5" w15:restartNumberingAfterBreak="0">
    <w:nsid w:val="4785791E"/>
    <w:multiLevelType w:val="hybridMultilevel"/>
    <w:tmpl w:val="90DCDC76"/>
    <w:lvl w:ilvl="0" w:tplc="DCD470DA">
      <w:start w:val="7"/>
      <w:numFmt w:val="bullet"/>
      <w:lvlText w:val="-"/>
      <w:lvlJc w:val="left"/>
      <w:pPr>
        <w:ind w:left="720" w:hanging="360"/>
      </w:pPr>
      <w:rPr>
        <w:rFonts w:ascii="Calibri" w:eastAsia="Calibri" w:hAnsi="Calibri" w:cs="Calibri"/>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6" w15:restartNumberingAfterBreak="0">
    <w:nsid w:val="48C87250"/>
    <w:multiLevelType w:val="multilevel"/>
    <w:tmpl w:val="C7A6B25E"/>
    <w:lvl w:ilvl="0">
      <w:start w:val="1"/>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7" w15:restartNumberingAfterBreak="0">
    <w:nsid w:val="48CF7A9D"/>
    <w:multiLevelType w:val="multilevel"/>
    <w:tmpl w:val="37620318"/>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38" w15:restartNumberingAfterBreak="0">
    <w:nsid w:val="49C30254"/>
    <w:multiLevelType w:val="multilevel"/>
    <w:tmpl w:val="1A94266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39" w15:restartNumberingAfterBreak="0">
    <w:nsid w:val="4A5143D1"/>
    <w:multiLevelType w:val="hybridMultilevel"/>
    <w:tmpl w:val="CC4AB562"/>
    <w:lvl w:ilvl="0" w:tplc="DCD470DA">
      <w:start w:val="7"/>
      <w:numFmt w:val="bullet"/>
      <w:lvlText w:val="-"/>
      <w:lvlJc w:val="left"/>
      <w:pPr>
        <w:ind w:left="1080" w:hanging="360"/>
      </w:pPr>
      <w:rPr>
        <w:rFonts w:ascii="Calibri" w:eastAsia="Calibri" w:hAnsi="Calibri" w:cs="Calibri"/>
      </w:rPr>
    </w:lvl>
    <w:lvl w:ilvl="1" w:tplc="0C070003" w:tentative="1">
      <w:start w:val="1"/>
      <w:numFmt w:val="bullet"/>
      <w:lvlText w:val="o"/>
      <w:lvlJc w:val="left"/>
      <w:pPr>
        <w:ind w:left="1800" w:hanging="360"/>
      </w:pPr>
      <w:rPr>
        <w:rFonts w:ascii="Courier New" w:hAnsi="Courier New" w:cs="Courier New" w:hint="default"/>
      </w:rPr>
    </w:lvl>
    <w:lvl w:ilvl="2" w:tplc="0C070005" w:tentative="1">
      <w:start w:val="1"/>
      <w:numFmt w:val="bullet"/>
      <w:lvlText w:val=""/>
      <w:lvlJc w:val="left"/>
      <w:pPr>
        <w:ind w:left="2520" w:hanging="360"/>
      </w:pPr>
      <w:rPr>
        <w:rFonts w:ascii="Wingdings" w:hAnsi="Wingdings" w:hint="default"/>
      </w:rPr>
    </w:lvl>
    <w:lvl w:ilvl="3" w:tplc="0C070001" w:tentative="1">
      <w:start w:val="1"/>
      <w:numFmt w:val="bullet"/>
      <w:lvlText w:val=""/>
      <w:lvlJc w:val="left"/>
      <w:pPr>
        <w:ind w:left="3240" w:hanging="360"/>
      </w:pPr>
      <w:rPr>
        <w:rFonts w:ascii="Symbol" w:hAnsi="Symbol" w:hint="default"/>
      </w:rPr>
    </w:lvl>
    <w:lvl w:ilvl="4" w:tplc="0C070003" w:tentative="1">
      <w:start w:val="1"/>
      <w:numFmt w:val="bullet"/>
      <w:lvlText w:val="o"/>
      <w:lvlJc w:val="left"/>
      <w:pPr>
        <w:ind w:left="3960" w:hanging="360"/>
      </w:pPr>
      <w:rPr>
        <w:rFonts w:ascii="Courier New" w:hAnsi="Courier New" w:cs="Courier New" w:hint="default"/>
      </w:rPr>
    </w:lvl>
    <w:lvl w:ilvl="5" w:tplc="0C070005" w:tentative="1">
      <w:start w:val="1"/>
      <w:numFmt w:val="bullet"/>
      <w:lvlText w:val=""/>
      <w:lvlJc w:val="left"/>
      <w:pPr>
        <w:ind w:left="4680" w:hanging="360"/>
      </w:pPr>
      <w:rPr>
        <w:rFonts w:ascii="Wingdings" w:hAnsi="Wingdings" w:hint="default"/>
      </w:rPr>
    </w:lvl>
    <w:lvl w:ilvl="6" w:tplc="0C070001" w:tentative="1">
      <w:start w:val="1"/>
      <w:numFmt w:val="bullet"/>
      <w:lvlText w:val=""/>
      <w:lvlJc w:val="left"/>
      <w:pPr>
        <w:ind w:left="5400" w:hanging="360"/>
      </w:pPr>
      <w:rPr>
        <w:rFonts w:ascii="Symbol" w:hAnsi="Symbol" w:hint="default"/>
      </w:rPr>
    </w:lvl>
    <w:lvl w:ilvl="7" w:tplc="0C070003" w:tentative="1">
      <w:start w:val="1"/>
      <w:numFmt w:val="bullet"/>
      <w:lvlText w:val="o"/>
      <w:lvlJc w:val="left"/>
      <w:pPr>
        <w:ind w:left="6120" w:hanging="360"/>
      </w:pPr>
      <w:rPr>
        <w:rFonts w:ascii="Courier New" w:hAnsi="Courier New" w:cs="Courier New" w:hint="default"/>
      </w:rPr>
    </w:lvl>
    <w:lvl w:ilvl="8" w:tplc="0C070005" w:tentative="1">
      <w:start w:val="1"/>
      <w:numFmt w:val="bullet"/>
      <w:lvlText w:val=""/>
      <w:lvlJc w:val="left"/>
      <w:pPr>
        <w:ind w:left="6840" w:hanging="360"/>
      </w:pPr>
      <w:rPr>
        <w:rFonts w:ascii="Wingdings" w:hAnsi="Wingdings" w:hint="default"/>
      </w:rPr>
    </w:lvl>
  </w:abstractNum>
  <w:abstractNum w:abstractNumId="140" w15:restartNumberingAfterBreak="0">
    <w:nsid w:val="4A82231E"/>
    <w:multiLevelType w:val="hybridMultilevel"/>
    <w:tmpl w:val="C4D26A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1" w15:restartNumberingAfterBreak="0">
    <w:nsid w:val="4AB66DDE"/>
    <w:multiLevelType w:val="multilevel"/>
    <w:tmpl w:val="6D40942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42" w15:restartNumberingAfterBreak="0">
    <w:nsid w:val="4AF4443D"/>
    <w:multiLevelType w:val="hybridMultilevel"/>
    <w:tmpl w:val="2DD2175A"/>
    <w:lvl w:ilvl="0" w:tplc="4726E40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4C051DE5"/>
    <w:multiLevelType w:val="hybridMultilevel"/>
    <w:tmpl w:val="90F81914"/>
    <w:lvl w:ilvl="0" w:tplc="09E2734C">
      <w:start w:val="1"/>
      <w:numFmt w:val="lowerRoman"/>
      <w:lvlText w:val="%1."/>
      <w:lvlJc w:val="left"/>
      <w:pPr>
        <w:ind w:left="720" w:hanging="720"/>
      </w:pPr>
      <w:rPr>
        <w:rFonts w:hint="default"/>
      </w:rPr>
    </w:lvl>
    <w:lvl w:ilvl="1" w:tplc="6DC6CDD2">
      <w:numFmt w:val="bullet"/>
      <w:lvlText w:val="•"/>
      <w:lvlJc w:val="left"/>
      <w:pPr>
        <w:ind w:left="1425" w:hanging="705"/>
      </w:pPr>
      <w:rPr>
        <w:rFonts w:ascii="Cambria" w:eastAsiaTheme="minorEastAsia" w:hAnsi="Cambria" w:cstheme="minorBidi"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4" w15:restartNumberingAfterBreak="0">
    <w:nsid w:val="4C1B7126"/>
    <w:multiLevelType w:val="hybridMultilevel"/>
    <w:tmpl w:val="CCC0628A"/>
    <w:lvl w:ilvl="0" w:tplc="82545886">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4C8C5600"/>
    <w:multiLevelType w:val="hybridMultilevel"/>
    <w:tmpl w:val="EC8C5C60"/>
    <w:lvl w:ilvl="0" w:tplc="DCD470DA">
      <w:start w:val="7"/>
      <w:numFmt w:val="bullet"/>
      <w:lvlText w:val="-"/>
      <w:lvlJc w:val="left"/>
      <w:pPr>
        <w:ind w:left="720" w:hanging="360"/>
      </w:pPr>
      <w:rPr>
        <w:rFonts w:ascii="Calibri" w:eastAsia="Calibri" w:hAnsi="Calibri" w:cs="Calibri"/>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6" w15:restartNumberingAfterBreak="0">
    <w:nsid w:val="4D9919CE"/>
    <w:multiLevelType w:val="hybridMultilevel"/>
    <w:tmpl w:val="6E4A96CC"/>
    <w:lvl w:ilvl="0" w:tplc="92844E86">
      <w:start w:val="1"/>
      <w:numFmt w:val="bullet"/>
      <w:lvlText w:val=""/>
      <w:lvlJc w:val="left"/>
      <w:pPr>
        <w:tabs>
          <w:tab w:val="num" w:pos="720"/>
        </w:tabs>
        <w:ind w:left="720" w:hanging="360"/>
      </w:pPr>
      <w:rPr>
        <w:rFonts w:ascii="Wingdings" w:hAnsi="Wingdings" w:hint="default"/>
      </w:rPr>
    </w:lvl>
    <w:lvl w:ilvl="1" w:tplc="BC1E3C14" w:tentative="1">
      <w:start w:val="1"/>
      <w:numFmt w:val="bullet"/>
      <w:lvlText w:val=""/>
      <w:lvlJc w:val="left"/>
      <w:pPr>
        <w:tabs>
          <w:tab w:val="num" w:pos="1440"/>
        </w:tabs>
        <w:ind w:left="1440" w:hanging="360"/>
      </w:pPr>
      <w:rPr>
        <w:rFonts w:ascii="Wingdings" w:hAnsi="Wingdings" w:hint="default"/>
      </w:rPr>
    </w:lvl>
    <w:lvl w:ilvl="2" w:tplc="46802588" w:tentative="1">
      <w:start w:val="1"/>
      <w:numFmt w:val="bullet"/>
      <w:lvlText w:val=""/>
      <w:lvlJc w:val="left"/>
      <w:pPr>
        <w:tabs>
          <w:tab w:val="num" w:pos="2160"/>
        </w:tabs>
        <w:ind w:left="2160" w:hanging="360"/>
      </w:pPr>
      <w:rPr>
        <w:rFonts w:ascii="Wingdings" w:hAnsi="Wingdings" w:hint="default"/>
      </w:rPr>
    </w:lvl>
    <w:lvl w:ilvl="3" w:tplc="5844B55C" w:tentative="1">
      <w:start w:val="1"/>
      <w:numFmt w:val="bullet"/>
      <w:lvlText w:val=""/>
      <w:lvlJc w:val="left"/>
      <w:pPr>
        <w:tabs>
          <w:tab w:val="num" w:pos="2880"/>
        </w:tabs>
        <w:ind w:left="2880" w:hanging="360"/>
      </w:pPr>
      <w:rPr>
        <w:rFonts w:ascii="Wingdings" w:hAnsi="Wingdings" w:hint="default"/>
      </w:rPr>
    </w:lvl>
    <w:lvl w:ilvl="4" w:tplc="2870AB14" w:tentative="1">
      <w:start w:val="1"/>
      <w:numFmt w:val="bullet"/>
      <w:lvlText w:val=""/>
      <w:lvlJc w:val="left"/>
      <w:pPr>
        <w:tabs>
          <w:tab w:val="num" w:pos="3600"/>
        </w:tabs>
        <w:ind w:left="3600" w:hanging="360"/>
      </w:pPr>
      <w:rPr>
        <w:rFonts w:ascii="Wingdings" w:hAnsi="Wingdings" w:hint="default"/>
      </w:rPr>
    </w:lvl>
    <w:lvl w:ilvl="5" w:tplc="C4323C92" w:tentative="1">
      <w:start w:val="1"/>
      <w:numFmt w:val="bullet"/>
      <w:lvlText w:val=""/>
      <w:lvlJc w:val="left"/>
      <w:pPr>
        <w:tabs>
          <w:tab w:val="num" w:pos="4320"/>
        </w:tabs>
        <w:ind w:left="4320" w:hanging="360"/>
      </w:pPr>
      <w:rPr>
        <w:rFonts w:ascii="Wingdings" w:hAnsi="Wingdings" w:hint="default"/>
      </w:rPr>
    </w:lvl>
    <w:lvl w:ilvl="6" w:tplc="186ADFDE" w:tentative="1">
      <w:start w:val="1"/>
      <w:numFmt w:val="bullet"/>
      <w:lvlText w:val=""/>
      <w:lvlJc w:val="left"/>
      <w:pPr>
        <w:tabs>
          <w:tab w:val="num" w:pos="5040"/>
        </w:tabs>
        <w:ind w:left="5040" w:hanging="360"/>
      </w:pPr>
      <w:rPr>
        <w:rFonts w:ascii="Wingdings" w:hAnsi="Wingdings" w:hint="default"/>
      </w:rPr>
    </w:lvl>
    <w:lvl w:ilvl="7" w:tplc="E3F832D4" w:tentative="1">
      <w:start w:val="1"/>
      <w:numFmt w:val="bullet"/>
      <w:lvlText w:val=""/>
      <w:lvlJc w:val="left"/>
      <w:pPr>
        <w:tabs>
          <w:tab w:val="num" w:pos="5760"/>
        </w:tabs>
        <w:ind w:left="5760" w:hanging="360"/>
      </w:pPr>
      <w:rPr>
        <w:rFonts w:ascii="Wingdings" w:hAnsi="Wingdings" w:hint="default"/>
      </w:rPr>
    </w:lvl>
    <w:lvl w:ilvl="8" w:tplc="721E79AA" w:tentative="1">
      <w:start w:val="1"/>
      <w:numFmt w:val="bullet"/>
      <w:lvlText w:val=""/>
      <w:lvlJc w:val="left"/>
      <w:pPr>
        <w:tabs>
          <w:tab w:val="num" w:pos="6480"/>
        </w:tabs>
        <w:ind w:left="6480" w:hanging="360"/>
      </w:pPr>
      <w:rPr>
        <w:rFonts w:ascii="Wingdings" w:hAnsi="Wingdings" w:hint="default"/>
      </w:rPr>
    </w:lvl>
  </w:abstractNum>
  <w:abstractNum w:abstractNumId="147" w15:restartNumberingAfterBreak="0">
    <w:nsid w:val="4E1A6F61"/>
    <w:multiLevelType w:val="hybridMultilevel"/>
    <w:tmpl w:val="5D74935E"/>
    <w:lvl w:ilvl="0" w:tplc="4726E40A">
      <w:numFmt w:val="bullet"/>
      <w:lvlText w:val="-"/>
      <w:lvlJc w:val="left"/>
      <w:pPr>
        <w:ind w:left="720" w:hanging="360"/>
      </w:pPr>
      <w:rPr>
        <w:rFonts w:ascii="Calibri" w:eastAsiaTheme="minorHAnsi" w:hAnsi="Calibri" w:cs="Calibr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8" w15:restartNumberingAfterBreak="0">
    <w:nsid w:val="4E5443F2"/>
    <w:multiLevelType w:val="multilevel"/>
    <w:tmpl w:val="03D8BA2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49" w15:restartNumberingAfterBreak="0">
    <w:nsid w:val="4FAB289F"/>
    <w:multiLevelType w:val="hybridMultilevel"/>
    <w:tmpl w:val="1C9E2B54"/>
    <w:lvl w:ilvl="0" w:tplc="C1EAC7EC">
      <w:start w:val="1"/>
      <w:numFmt w:val="decimal"/>
      <w:lvlText w:val="%1."/>
      <w:lvlJc w:val="left"/>
      <w:pPr>
        <w:ind w:left="720" w:hanging="360"/>
      </w:pPr>
      <w:rPr>
        <w:rFonts w:hint="default"/>
      </w:rPr>
    </w:lvl>
    <w:lvl w:ilvl="1" w:tplc="66DEB7AA">
      <w:start w:val="1"/>
      <w:numFmt w:val="lowerLetter"/>
      <w:lvlText w:val="%2."/>
      <w:lvlJc w:val="left"/>
      <w:pPr>
        <w:ind w:left="1440" w:hanging="360"/>
      </w:pPr>
    </w:lvl>
    <w:lvl w:ilvl="2" w:tplc="79A4274C">
      <w:start w:val="1"/>
      <w:numFmt w:val="lowerRoman"/>
      <w:lvlText w:val="%3."/>
      <w:lvlJc w:val="right"/>
      <w:pPr>
        <w:ind w:left="2160" w:hanging="180"/>
      </w:pPr>
    </w:lvl>
    <w:lvl w:ilvl="3" w:tplc="F0A22F18">
      <w:start w:val="1"/>
      <w:numFmt w:val="decimal"/>
      <w:lvlText w:val="%4."/>
      <w:lvlJc w:val="left"/>
      <w:pPr>
        <w:ind w:left="2880" w:hanging="360"/>
      </w:pPr>
    </w:lvl>
    <w:lvl w:ilvl="4" w:tplc="393E66DC">
      <w:start w:val="1"/>
      <w:numFmt w:val="lowerLetter"/>
      <w:lvlText w:val="%5."/>
      <w:lvlJc w:val="left"/>
      <w:pPr>
        <w:ind w:left="3600" w:hanging="360"/>
      </w:pPr>
    </w:lvl>
    <w:lvl w:ilvl="5" w:tplc="91C46F4C">
      <w:start w:val="1"/>
      <w:numFmt w:val="lowerRoman"/>
      <w:lvlText w:val="%6."/>
      <w:lvlJc w:val="right"/>
      <w:pPr>
        <w:ind w:left="4320" w:hanging="180"/>
      </w:pPr>
    </w:lvl>
    <w:lvl w:ilvl="6" w:tplc="3D6CC15C">
      <w:start w:val="1"/>
      <w:numFmt w:val="decimal"/>
      <w:lvlText w:val="%7."/>
      <w:lvlJc w:val="left"/>
      <w:pPr>
        <w:ind w:left="5040" w:hanging="360"/>
      </w:pPr>
    </w:lvl>
    <w:lvl w:ilvl="7" w:tplc="792610FA">
      <w:start w:val="1"/>
      <w:numFmt w:val="lowerLetter"/>
      <w:lvlText w:val="%8."/>
      <w:lvlJc w:val="left"/>
      <w:pPr>
        <w:ind w:left="5760" w:hanging="360"/>
      </w:pPr>
    </w:lvl>
    <w:lvl w:ilvl="8" w:tplc="B99AC154">
      <w:start w:val="1"/>
      <w:numFmt w:val="lowerRoman"/>
      <w:lvlText w:val="%9."/>
      <w:lvlJc w:val="right"/>
      <w:pPr>
        <w:ind w:left="6480" w:hanging="180"/>
      </w:pPr>
    </w:lvl>
  </w:abstractNum>
  <w:abstractNum w:abstractNumId="150" w15:restartNumberingAfterBreak="0">
    <w:nsid w:val="51265256"/>
    <w:multiLevelType w:val="hybridMultilevel"/>
    <w:tmpl w:val="5046DDB0"/>
    <w:lvl w:ilvl="0" w:tplc="F39AECF6">
      <w:start w:val="1"/>
      <w:numFmt w:val="bullet"/>
      <w:lvlText w:val=""/>
      <w:lvlJc w:val="left"/>
      <w:pPr>
        <w:ind w:left="360" w:hanging="360"/>
      </w:pPr>
      <w:rPr>
        <w:rFonts w:ascii="Symbol" w:hAnsi="Symbol" w:hint="default"/>
        <w:color w:val="auto"/>
      </w:rPr>
    </w:lvl>
    <w:lvl w:ilvl="1" w:tplc="FFFFFFFF">
      <w:start w:val="1"/>
      <w:numFmt w:val="lowerLetter"/>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1" w15:restartNumberingAfterBreak="0">
    <w:nsid w:val="5176726A"/>
    <w:multiLevelType w:val="hybridMultilevel"/>
    <w:tmpl w:val="79729880"/>
    <w:lvl w:ilvl="0" w:tplc="D9AAEAE0">
      <w:start w:val="1"/>
      <w:numFmt w:val="bullet"/>
      <w:pStyle w:val="BulletedList"/>
      <w:lvlText w:val=""/>
      <w:lvlJc w:val="left"/>
      <w:pPr>
        <w:ind w:left="680" w:hanging="340"/>
      </w:pPr>
      <w:rPr>
        <w:rFonts w:ascii="Symbol" w:hAnsi="Symbol" w:hint="default"/>
        <w:color w:val="4472C4" w:themeColor="accent1"/>
      </w:rPr>
    </w:lvl>
    <w:lvl w:ilvl="1" w:tplc="3DD45682">
      <w:start w:val="1"/>
      <w:numFmt w:val="bullet"/>
      <w:lvlText w:val="o"/>
      <w:lvlJc w:val="left"/>
      <w:pPr>
        <w:tabs>
          <w:tab w:val="num" w:pos="680"/>
        </w:tabs>
        <w:ind w:left="1021" w:hanging="341"/>
      </w:pPr>
      <w:rPr>
        <w:rFonts w:ascii="Courier New" w:hAnsi="Courier New" w:hint="default"/>
      </w:rPr>
    </w:lvl>
    <w:lvl w:ilvl="2" w:tplc="75A6C844">
      <w:start w:val="1"/>
      <w:numFmt w:val="bullet"/>
      <w:lvlText w:val="‒"/>
      <w:lvlJc w:val="left"/>
      <w:pPr>
        <w:tabs>
          <w:tab w:val="num" w:pos="1021"/>
        </w:tabs>
        <w:ind w:left="1361" w:hanging="340"/>
      </w:pPr>
      <w:rPr>
        <w:rFonts w:ascii="Calibri" w:hAnsi="Calibri" w:hint="default"/>
      </w:rPr>
    </w:lvl>
    <w:lvl w:ilvl="3" w:tplc="DDBC079E">
      <w:start w:val="1"/>
      <w:numFmt w:val="bullet"/>
      <w:lvlText w:val="‒"/>
      <w:lvlJc w:val="left"/>
      <w:pPr>
        <w:tabs>
          <w:tab w:val="num" w:pos="1361"/>
        </w:tabs>
        <w:ind w:left="1701" w:hanging="340"/>
      </w:pPr>
      <w:rPr>
        <w:rFonts w:ascii="Calibri" w:hAnsi="Calibri" w:hint="default"/>
      </w:rPr>
    </w:lvl>
    <w:lvl w:ilvl="4" w:tplc="FA7AE4F4">
      <w:start w:val="1"/>
      <w:numFmt w:val="bullet"/>
      <w:lvlText w:val="‒"/>
      <w:lvlJc w:val="left"/>
      <w:pPr>
        <w:tabs>
          <w:tab w:val="num" w:pos="1701"/>
        </w:tabs>
        <w:ind w:left="2041" w:hanging="340"/>
      </w:pPr>
      <w:rPr>
        <w:rFonts w:ascii="Calibri" w:hAnsi="Calibri"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52" w15:restartNumberingAfterBreak="0">
    <w:nsid w:val="51835BAE"/>
    <w:multiLevelType w:val="multilevel"/>
    <w:tmpl w:val="F54ACD34"/>
    <w:lvl w:ilvl="0">
      <w:start w:val="1"/>
      <w:numFmt w:val="bullet"/>
      <w:lvlText w:val=""/>
      <w:lvlJc w:val="left"/>
      <w:pPr>
        <w:tabs>
          <w:tab w:val="num" w:pos="1134"/>
        </w:tabs>
        <w:ind w:left="1134" w:hanging="567"/>
      </w:pPr>
      <w:rPr>
        <w:rFonts w:ascii="Symbol" w:hAnsi="Symbol" w:hint="default"/>
        <w:sz w:val="22"/>
      </w:rPr>
    </w:lvl>
    <w:lvl w:ilvl="1">
      <w:start w:val="1"/>
      <w:numFmt w:val="bullet"/>
      <w:lvlText w:val=""/>
      <w:lvlJc w:val="left"/>
      <w:pPr>
        <w:tabs>
          <w:tab w:val="num" w:pos="1701"/>
        </w:tabs>
        <w:ind w:left="1701" w:hanging="567"/>
      </w:pPr>
      <w:rPr>
        <w:rFonts w:ascii="Monotype Sorts" w:hAnsi="Monotype Sorts" w:hint="default"/>
        <w:sz w:val="16"/>
      </w:rPr>
    </w:lvl>
    <w:lvl w:ilvl="2">
      <w:start w:val="1"/>
      <w:numFmt w:val="bullet"/>
      <w:lvlRestart w:val="0"/>
      <w:lvlText w:val=""/>
      <w:lvlJc w:val="left"/>
      <w:pPr>
        <w:tabs>
          <w:tab w:val="num" w:pos="2268"/>
        </w:tabs>
        <w:ind w:left="2268" w:hanging="567"/>
      </w:pPr>
      <w:rPr>
        <w:rFonts w:ascii="Wingdings" w:hAnsi="Wingdings" w:hint="default"/>
        <w:sz w:val="16"/>
      </w:rPr>
    </w:lvl>
    <w:lvl w:ilvl="3">
      <w:start w:val="1"/>
      <w:numFmt w:val="none"/>
      <w:lvlText w:val=""/>
      <w:lvlJc w:val="left"/>
      <w:pPr>
        <w:tabs>
          <w:tab w:val="num" w:pos="0"/>
        </w:tabs>
        <w:ind w:left="2214" w:hanging="360"/>
      </w:pPr>
      <w:rPr>
        <w:rFonts w:ascii="Symbol" w:hAnsi="Symbol" w:cs="Times New Roman" w:hint="default"/>
      </w:rPr>
    </w:lvl>
    <w:lvl w:ilvl="4">
      <w:start w:val="1"/>
      <w:numFmt w:val="none"/>
      <w:lvlText w:val="o"/>
      <w:lvlJc w:val="left"/>
      <w:pPr>
        <w:tabs>
          <w:tab w:val="num" w:pos="0"/>
        </w:tabs>
        <w:ind w:left="2574" w:hanging="360"/>
      </w:pPr>
      <w:rPr>
        <w:rFonts w:ascii="Courier New" w:hAnsi="Courier New" w:cs="Times New Roman" w:hint="default"/>
      </w:rPr>
    </w:lvl>
    <w:lvl w:ilvl="5">
      <w:start w:val="1"/>
      <w:numFmt w:val="none"/>
      <w:lvlText w:val=""/>
      <w:lvlJc w:val="left"/>
      <w:pPr>
        <w:tabs>
          <w:tab w:val="num" w:pos="0"/>
        </w:tabs>
        <w:ind w:left="2934" w:hanging="360"/>
      </w:pPr>
      <w:rPr>
        <w:rFonts w:ascii="Wingdings" w:hAnsi="Wingdings" w:cs="Times New Roman" w:hint="default"/>
      </w:rPr>
    </w:lvl>
    <w:lvl w:ilvl="6">
      <w:start w:val="1"/>
      <w:numFmt w:val="none"/>
      <w:lvlText w:val=""/>
      <w:lvlJc w:val="left"/>
      <w:pPr>
        <w:tabs>
          <w:tab w:val="num" w:pos="0"/>
        </w:tabs>
        <w:ind w:left="3294" w:hanging="360"/>
      </w:pPr>
      <w:rPr>
        <w:rFonts w:ascii="Symbol" w:hAnsi="Symbol" w:cs="Times New Roman" w:hint="default"/>
      </w:rPr>
    </w:lvl>
    <w:lvl w:ilvl="7">
      <w:start w:val="1"/>
      <w:numFmt w:val="none"/>
      <w:lvlText w:val="o"/>
      <w:lvlJc w:val="left"/>
      <w:pPr>
        <w:tabs>
          <w:tab w:val="num" w:pos="0"/>
        </w:tabs>
        <w:ind w:left="3654" w:hanging="360"/>
      </w:pPr>
      <w:rPr>
        <w:rFonts w:ascii="Courier New" w:hAnsi="Courier New" w:cs="Times New Roman" w:hint="default"/>
      </w:rPr>
    </w:lvl>
    <w:lvl w:ilvl="8">
      <w:start w:val="1"/>
      <w:numFmt w:val="none"/>
      <w:lvlText w:val=""/>
      <w:lvlJc w:val="left"/>
      <w:pPr>
        <w:tabs>
          <w:tab w:val="num" w:pos="0"/>
        </w:tabs>
        <w:ind w:left="4014" w:hanging="360"/>
      </w:pPr>
      <w:rPr>
        <w:rFonts w:ascii="Wingdings" w:hAnsi="Wingdings" w:cs="Times New Roman" w:hint="default"/>
      </w:rPr>
    </w:lvl>
  </w:abstractNum>
  <w:abstractNum w:abstractNumId="153" w15:restartNumberingAfterBreak="0">
    <w:nsid w:val="51A1464E"/>
    <w:multiLevelType w:val="multilevel"/>
    <w:tmpl w:val="C0446CA2"/>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54" w15:restartNumberingAfterBreak="0">
    <w:nsid w:val="51D53246"/>
    <w:multiLevelType w:val="multilevel"/>
    <w:tmpl w:val="D5663F56"/>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55" w15:restartNumberingAfterBreak="0">
    <w:nsid w:val="51F6089B"/>
    <w:multiLevelType w:val="hybridMultilevel"/>
    <w:tmpl w:val="93B2BF88"/>
    <w:lvl w:ilvl="0" w:tplc="DCD470DA">
      <w:start w:val="7"/>
      <w:numFmt w:val="bullet"/>
      <w:lvlText w:val="-"/>
      <w:lvlJc w:val="left"/>
      <w:pPr>
        <w:ind w:left="720" w:hanging="360"/>
      </w:pPr>
      <w:rPr>
        <w:rFonts w:ascii="Calibri" w:eastAsia="Calibri" w:hAnsi="Calibri" w:cs="Calibri"/>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6" w15:restartNumberingAfterBreak="0">
    <w:nsid w:val="529F716E"/>
    <w:multiLevelType w:val="hybridMultilevel"/>
    <w:tmpl w:val="C91A810E"/>
    <w:lvl w:ilvl="0" w:tplc="DCD470DA">
      <w:start w:val="7"/>
      <w:numFmt w:val="bullet"/>
      <w:lvlText w:val="-"/>
      <w:lvlJc w:val="left"/>
      <w:pPr>
        <w:ind w:left="720" w:hanging="360"/>
      </w:pPr>
      <w:rPr>
        <w:rFonts w:ascii="Calibri" w:eastAsia="Calibri" w:hAnsi="Calibri" w:cs="Calibri"/>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7" w15:restartNumberingAfterBreak="0">
    <w:nsid w:val="532E5473"/>
    <w:multiLevelType w:val="multilevel"/>
    <w:tmpl w:val="0AB2BB2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58" w15:restartNumberingAfterBreak="0">
    <w:nsid w:val="5664783A"/>
    <w:multiLevelType w:val="multilevel"/>
    <w:tmpl w:val="21AE92C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59" w15:restartNumberingAfterBreak="0">
    <w:nsid w:val="56717F58"/>
    <w:multiLevelType w:val="hybridMultilevel"/>
    <w:tmpl w:val="2B40B3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0" w15:restartNumberingAfterBreak="0">
    <w:nsid w:val="56B109D9"/>
    <w:multiLevelType w:val="hybridMultilevel"/>
    <w:tmpl w:val="E314F480"/>
    <w:lvl w:ilvl="0" w:tplc="D74AF35E">
      <w:start w:val="1"/>
      <w:numFmt w:val="bullet"/>
      <w:lvlText w:val="-"/>
      <w:lvlJc w:val="left"/>
      <w:pPr>
        <w:ind w:left="720" w:hanging="360"/>
      </w:pPr>
      <w:rPr>
        <w:rFonts w:ascii="Arial" w:hAnsi="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1" w15:restartNumberingAfterBreak="0">
    <w:nsid w:val="570C1D99"/>
    <w:multiLevelType w:val="hybridMultilevel"/>
    <w:tmpl w:val="6FAA39D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2" w15:restartNumberingAfterBreak="0">
    <w:nsid w:val="571472E8"/>
    <w:multiLevelType w:val="multilevel"/>
    <w:tmpl w:val="8B3C0A94"/>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63" w15:restartNumberingAfterBreak="0">
    <w:nsid w:val="573E3EE6"/>
    <w:multiLevelType w:val="hybridMultilevel"/>
    <w:tmpl w:val="134E100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4" w15:restartNumberingAfterBreak="0">
    <w:nsid w:val="5753632B"/>
    <w:multiLevelType w:val="multilevel"/>
    <w:tmpl w:val="62C23E72"/>
    <w:lvl w:ilvl="0">
      <w:start w:val="2"/>
      <w:numFmt w:val="decimal"/>
      <w:lvlText w:val="%1"/>
      <w:lvlJc w:val="left"/>
      <w:pPr>
        <w:ind w:left="480" w:hanging="480"/>
      </w:pPr>
      <w:rPr>
        <w:rFonts w:hint="default"/>
      </w:rPr>
    </w:lvl>
    <w:lvl w:ilvl="1">
      <w:start w:val="4"/>
      <w:numFmt w:val="decimal"/>
      <w:lvlText w:val="%1.%2"/>
      <w:lvlJc w:val="left"/>
      <w:pPr>
        <w:ind w:left="1010" w:hanging="480"/>
      </w:pPr>
      <w:rPr>
        <w:rFonts w:hint="default"/>
      </w:rPr>
    </w:lvl>
    <w:lvl w:ilvl="2">
      <w:start w:val="1"/>
      <w:numFmt w:val="decimal"/>
      <w:lvlText w:val="%1.%2.%3"/>
      <w:lvlJc w:val="left"/>
      <w:pPr>
        <w:ind w:left="1780" w:hanging="720"/>
      </w:pPr>
      <w:rPr>
        <w:rFonts w:hint="default"/>
      </w:rPr>
    </w:lvl>
    <w:lvl w:ilvl="3">
      <w:start w:val="1"/>
      <w:numFmt w:val="decimal"/>
      <w:lvlText w:val="%1.%2.%3.%4"/>
      <w:lvlJc w:val="left"/>
      <w:pPr>
        <w:ind w:left="2310" w:hanging="720"/>
      </w:pPr>
      <w:rPr>
        <w:rFonts w:hint="default"/>
      </w:rPr>
    </w:lvl>
    <w:lvl w:ilvl="4">
      <w:start w:val="1"/>
      <w:numFmt w:val="decimal"/>
      <w:lvlText w:val="%1.%2.%3.%4.%5"/>
      <w:lvlJc w:val="left"/>
      <w:pPr>
        <w:ind w:left="3200" w:hanging="1080"/>
      </w:pPr>
      <w:rPr>
        <w:rFonts w:hint="default"/>
      </w:rPr>
    </w:lvl>
    <w:lvl w:ilvl="5">
      <w:start w:val="1"/>
      <w:numFmt w:val="decimal"/>
      <w:lvlText w:val="%1.%2.%3.%4.%5.%6"/>
      <w:lvlJc w:val="left"/>
      <w:pPr>
        <w:ind w:left="3730" w:hanging="1080"/>
      </w:pPr>
      <w:rPr>
        <w:rFonts w:hint="default"/>
      </w:rPr>
    </w:lvl>
    <w:lvl w:ilvl="6">
      <w:start w:val="1"/>
      <w:numFmt w:val="decimal"/>
      <w:lvlText w:val="%1.%2.%3.%4.%5.%6.%7"/>
      <w:lvlJc w:val="left"/>
      <w:pPr>
        <w:ind w:left="4620" w:hanging="1440"/>
      </w:pPr>
      <w:rPr>
        <w:rFonts w:hint="default"/>
      </w:rPr>
    </w:lvl>
    <w:lvl w:ilvl="7">
      <w:start w:val="1"/>
      <w:numFmt w:val="decimal"/>
      <w:lvlText w:val="%1.%2.%3.%4.%5.%6.%7.%8"/>
      <w:lvlJc w:val="left"/>
      <w:pPr>
        <w:ind w:left="5150" w:hanging="1440"/>
      </w:pPr>
      <w:rPr>
        <w:rFonts w:hint="default"/>
      </w:rPr>
    </w:lvl>
    <w:lvl w:ilvl="8">
      <w:start w:val="1"/>
      <w:numFmt w:val="decimal"/>
      <w:lvlText w:val="%1.%2.%3.%4.%5.%6.%7.%8.%9"/>
      <w:lvlJc w:val="left"/>
      <w:pPr>
        <w:ind w:left="5680" w:hanging="1440"/>
      </w:pPr>
      <w:rPr>
        <w:rFonts w:hint="default"/>
      </w:rPr>
    </w:lvl>
  </w:abstractNum>
  <w:abstractNum w:abstractNumId="165" w15:restartNumberingAfterBreak="0">
    <w:nsid w:val="5854628C"/>
    <w:multiLevelType w:val="hybridMultilevel"/>
    <w:tmpl w:val="D7384214"/>
    <w:lvl w:ilvl="0" w:tplc="3E80183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58D94B70"/>
    <w:multiLevelType w:val="hybridMultilevel"/>
    <w:tmpl w:val="9280D3C8"/>
    <w:lvl w:ilvl="0" w:tplc="DCD470DA">
      <w:start w:val="7"/>
      <w:numFmt w:val="bullet"/>
      <w:lvlText w:val="-"/>
      <w:lvlJc w:val="left"/>
      <w:pPr>
        <w:ind w:left="1080" w:hanging="360"/>
      </w:pPr>
      <w:rPr>
        <w:rFonts w:ascii="Calibri" w:eastAsia="Calibri" w:hAnsi="Calibri" w:cs="Calibri"/>
      </w:rPr>
    </w:lvl>
    <w:lvl w:ilvl="1" w:tplc="0C070003" w:tentative="1">
      <w:start w:val="1"/>
      <w:numFmt w:val="bullet"/>
      <w:lvlText w:val="o"/>
      <w:lvlJc w:val="left"/>
      <w:pPr>
        <w:ind w:left="1800" w:hanging="360"/>
      </w:pPr>
      <w:rPr>
        <w:rFonts w:ascii="Courier New" w:hAnsi="Courier New" w:cs="Courier New" w:hint="default"/>
      </w:rPr>
    </w:lvl>
    <w:lvl w:ilvl="2" w:tplc="0C070005" w:tentative="1">
      <w:start w:val="1"/>
      <w:numFmt w:val="bullet"/>
      <w:lvlText w:val=""/>
      <w:lvlJc w:val="left"/>
      <w:pPr>
        <w:ind w:left="2520" w:hanging="360"/>
      </w:pPr>
      <w:rPr>
        <w:rFonts w:ascii="Wingdings" w:hAnsi="Wingdings" w:hint="default"/>
      </w:rPr>
    </w:lvl>
    <w:lvl w:ilvl="3" w:tplc="0C070001" w:tentative="1">
      <w:start w:val="1"/>
      <w:numFmt w:val="bullet"/>
      <w:lvlText w:val=""/>
      <w:lvlJc w:val="left"/>
      <w:pPr>
        <w:ind w:left="3240" w:hanging="360"/>
      </w:pPr>
      <w:rPr>
        <w:rFonts w:ascii="Symbol" w:hAnsi="Symbol" w:hint="default"/>
      </w:rPr>
    </w:lvl>
    <w:lvl w:ilvl="4" w:tplc="0C070003" w:tentative="1">
      <w:start w:val="1"/>
      <w:numFmt w:val="bullet"/>
      <w:lvlText w:val="o"/>
      <w:lvlJc w:val="left"/>
      <w:pPr>
        <w:ind w:left="3960" w:hanging="360"/>
      </w:pPr>
      <w:rPr>
        <w:rFonts w:ascii="Courier New" w:hAnsi="Courier New" w:cs="Courier New" w:hint="default"/>
      </w:rPr>
    </w:lvl>
    <w:lvl w:ilvl="5" w:tplc="0C070005" w:tentative="1">
      <w:start w:val="1"/>
      <w:numFmt w:val="bullet"/>
      <w:lvlText w:val=""/>
      <w:lvlJc w:val="left"/>
      <w:pPr>
        <w:ind w:left="4680" w:hanging="360"/>
      </w:pPr>
      <w:rPr>
        <w:rFonts w:ascii="Wingdings" w:hAnsi="Wingdings" w:hint="default"/>
      </w:rPr>
    </w:lvl>
    <w:lvl w:ilvl="6" w:tplc="0C070001" w:tentative="1">
      <w:start w:val="1"/>
      <w:numFmt w:val="bullet"/>
      <w:lvlText w:val=""/>
      <w:lvlJc w:val="left"/>
      <w:pPr>
        <w:ind w:left="5400" w:hanging="360"/>
      </w:pPr>
      <w:rPr>
        <w:rFonts w:ascii="Symbol" w:hAnsi="Symbol" w:hint="default"/>
      </w:rPr>
    </w:lvl>
    <w:lvl w:ilvl="7" w:tplc="0C070003" w:tentative="1">
      <w:start w:val="1"/>
      <w:numFmt w:val="bullet"/>
      <w:lvlText w:val="o"/>
      <w:lvlJc w:val="left"/>
      <w:pPr>
        <w:ind w:left="6120" w:hanging="360"/>
      </w:pPr>
      <w:rPr>
        <w:rFonts w:ascii="Courier New" w:hAnsi="Courier New" w:cs="Courier New" w:hint="default"/>
      </w:rPr>
    </w:lvl>
    <w:lvl w:ilvl="8" w:tplc="0C070005" w:tentative="1">
      <w:start w:val="1"/>
      <w:numFmt w:val="bullet"/>
      <w:lvlText w:val=""/>
      <w:lvlJc w:val="left"/>
      <w:pPr>
        <w:ind w:left="6840" w:hanging="360"/>
      </w:pPr>
      <w:rPr>
        <w:rFonts w:ascii="Wingdings" w:hAnsi="Wingdings" w:hint="default"/>
      </w:rPr>
    </w:lvl>
  </w:abstractNum>
  <w:abstractNum w:abstractNumId="167" w15:restartNumberingAfterBreak="0">
    <w:nsid w:val="592C43BC"/>
    <w:multiLevelType w:val="hybridMultilevel"/>
    <w:tmpl w:val="87FAFD90"/>
    <w:lvl w:ilvl="0" w:tplc="41BE99E6">
      <w:start w:val="1"/>
      <w:numFmt w:val="bullet"/>
      <w:pStyle w:val="ListBullet1"/>
      <w:lvlText w:val=""/>
      <w:lvlJc w:val="left"/>
      <w:pPr>
        <w:tabs>
          <w:tab w:val="num" w:pos="765"/>
        </w:tabs>
        <w:ind w:left="765" w:hanging="283"/>
      </w:pPr>
      <w:rPr>
        <w:rFonts w:ascii="Symbol" w:hAnsi="Symbol"/>
      </w:rPr>
    </w:lvl>
    <w:lvl w:ilvl="1" w:tplc="8A102EEC">
      <w:start w:val="1"/>
      <w:numFmt w:val="bullet"/>
      <w:lvlText w:val="o"/>
      <w:lvlJc w:val="left"/>
      <w:pPr>
        <w:ind w:left="1440" w:hanging="360"/>
      </w:pPr>
      <w:rPr>
        <w:rFonts w:ascii="Courier New" w:eastAsia="Courier New" w:hAnsi="Courier New" w:cs="Courier New" w:hint="default"/>
      </w:rPr>
    </w:lvl>
    <w:lvl w:ilvl="2" w:tplc="8AEC0C40">
      <w:start w:val="1"/>
      <w:numFmt w:val="bullet"/>
      <w:lvlText w:val="§"/>
      <w:lvlJc w:val="left"/>
      <w:pPr>
        <w:ind w:left="2160" w:hanging="360"/>
      </w:pPr>
      <w:rPr>
        <w:rFonts w:ascii="Wingdings" w:eastAsia="Wingdings" w:hAnsi="Wingdings" w:cs="Wingdings" w:hint="default"/>
      </w:rPr>
    </w:lvl>
    <w:lvl w:ilvl="3" w:tplc="51C68636">
      <w:start w:val="1"/>
      <w:numFmt w:val="bullet"/>
      <w:lvlText w:val="·"/>
      <w:lvlJc w:val="left"/>
      <w:pPr>
        <w:ind w:left="2880" w:hanging="360"/>
      </w:pPr>
      <w:rPr>
        <w:rFonts w:ascii="Symbol" w:eastAsia="Symbol" w:hAnsi="Symbol" w:cs="Symbol" w:hint="default"/>
      </w:rPr>
    </w:lvl>
    <w:lvl w:ilvl="4" w:tplc="445A7BD0">
      <w:start w:val="1"/>
      <w:numFmt w:val="bullet"/>
      <w:lvlText w:val="o"/>
      <w:lvlJc w:val="left"/>
      <w:pPr>
        <w:ind w:left="3600" w:hanging="360"/>
      </w:pPr>
      <w:rPr>
        <w:rFonts w:ascii="Courier New" w:eastAsia="Courier New" w:hAnsi="Courier New" w:cs="Courier New" w:hint="default"/>
      </w:rPr>
    </w:lvl>
    <w:lvl w:ilvl="5" w:tplc="6BB0DF80">
      <w:start w:val="1"/>
      <w:numFmt w:val="bullet"/>
      <w:lvlText w:val="§"/>
      <w:lvlJc w:val="left"/>
      <w:pPr>
        <w:ind w:left="4320" w:hanging="360"/>
      </w:pPr>
      <w:rPr>
        <w:rFonts w:ascii="Wingdings" w:eastAsia="Wingdings" w:hAnsi="Wingdings" w:cs="Wingdings" w:hint="default"/>
      </w:rPr>
    </w:lvl>
    <w:lvl w:ilvl="6" w:tplc="B5F63170">
      <w:start w:val="1"/>
      <w:numFmt w:val="bullet"/>
      <w:lvlText w:val="·"/>
      <w:lvlJc w:val="left"/>
      <w:pPr>
        <w:ind w:left="5040" w:hanging="360"/>
      </w:pPr>
      <w:rPr>
        <w:rFonts w:ascii="Symbol" w:eastAsia="Symbol" w:hAnsi="Symbol" w:cs="Symbol" w:hint="default"/>
      </w:rPr>
    </w:lvl>
    <w:lvl w:ilvl="7" w:tplc="11E85C68">
      <w:start w:val="1"/>
      <w:numFmt w:val="bullet"/>
      <w:lvlText w:val="o"/>
      <w:lvlJc w:val="left"/>
      <w:pPr>
        <w:ind w:left="5760" w:hanging="360"/>
      </w:pPr>
      <w:rPr>
        <w:rFonts w:ascii="Courier New" w:eastAsia="Courier New" w:hAnsi="Courier New" w:cs="Courier New" w:hint="default"/>
      </w:rPr>
    </w:lvl>
    <w:lvl w:ilvl="8" w:tplc="96C8F1A0">
      <w:start w:val="1"/>
      <w:numFmt w:val="bullet"/>
      <w:lvlText w:val="§"/>
      <w:lvlJc w:val="left"/>
      <w:pPr>
        <w:ind w:left="6480" w:hanging="360"/>
      </w:pPr>
      <w:rPr>
        <w:rFonts w:ascii="Wingdings" w:eastAsia="Wingdings" w:hAnsi="Wingdings" w:cs="Wingdings" w:hint="default"/>
      </w:rPr>
    </w:lvl>
  </w:abstractNum>
  <w:abstractNum w:abstractNumId="168" w15:restartNumberingAfterBreak="0">
    <w:nsid w:val="5A2B7948"/>
    <w:multiLevelType w:val="multilevel"/>
    <w:tmpl w:val="6DFCFF58"/>
    <w:lvl w:ilvl="0">
      <w:start w:val="1"/>
      <w:numFmt w:val="decimal"/>
      <w:lvlText w:val="%1."/>
      <w:lvlJc w:val="left"/>
      <w:pPr>
        <w:ind w:left="1080" w:hanging="720"/>
      </w:pPr>
      <w:rPr>
        <w:rFonts w:ascii="Times New Roman" w:eastAsia="Times New Roman" w:hAnsi="Times New Roman" w:cs="Times New Roman"/>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69" w15:restartNumberingAfterBreak="0">
    <w:nsid w:val="5A6B7F6A"/>
    <w:multiLevelType w:val="multilevel"/>
    <w:tmpl w:val="D5B8B004"/>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70" w15:restartNumberingAfterBreak="0">
    <w:nsid w:val="5C480B9A"/>
    <w:multiLevelType w:val="multilevel"/>
    <w:tmpl w:val="2A94DC00"/>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71" w15:restartNumberingAfterBreak="0">
    <w:nsid w:val="5C7A7733"/>
    <w:multiLevelType w:val="hybridMultilevel"/>
    <w:tmpl w:val="66BA61CA"/>
    <w:lvl w:ilvl="0" w:tplc="D74AF35E">
      <w:start w:val="1"/>
      <w:numFmt w:val="bullet"/>
      <w:lvlText w:val="-"/>
      <w:lvlJc w:val="left"/>
      <w:pPr>
        <w:ind w:left="720" w:hanging="360"/>
      </w:pPr>
      <w:rPr>
        <w:rFonts w:ascii="Arial" w:hAnsi="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72" w15:restartNumberingAfterBreak="0">
    <w:nsid w:val="5CF44828"/>
    <w:multiLevelType w:val="multilevel"/>
    <w:tmpl w:val="E3A615A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17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3" w15:restartNumberingAfterBreak="0">
    <w:nsid w:val="5D3B74DE"/>
    <w:multiLevelType w:val="hybridMultilevel"/>
    <w:tmpl w:val="B70A835E"/>
    <w:lvl w:ilvl="0" w:tplc="1294FF8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4" w15:restartNumberingAfterBreak="0">
    <w:nsid w:val="5D427C55"/>
    <w:multiLevelType w:val="hybridMultilevel"/>
    <w:tmpl w:val="48B6E84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75" w15:restartNumberingAfterBreak="0">
    <w:nsid w:val="5D4F7A1B"/>
    <w:multiLevelType w:val="multilevel"/>
    <w:tmpl w:val="510253A6"/>
    <w:lvl w:ilvl="0">
      <w:start w:val="1"/>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6" w15:restartNumberingAfterBreak="0">
    <w:nsid w:val="5E2C198D"/>
    <w:multiLevelType w:val="multilevel"/>
    <w:tmpl w:val="3698CD82"/>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77" w15:restartNumberingAfterBreak="0">
    <w:nsid w:val="5E8F712C"/>
    <w:multiLevelType w:val="multilevel"/>
    <w:tmpl w:val="F4EC979C"/>
    <w:lvl w:ilvl="0">
      <w:start w:val="3"/>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78" w15:restartNumberingAfterBreak="0">
    <w:nsid w:val="5F0A5A2E"/>
    <w:multiLevelType w:val="hybridMultilevel"/>
    <w:tmpl w:val="DF42A2A2"/>
    <w:lvl w:ilvl="0" w:tplc="D74AF35E">
      <w:start w:val="1"/>
      <w:numFmt w:val="bullet"/>
      <w:lvlText w:val="-"/>
      <w:lvlJc w:val="left"/>
      <w:pPr>
        <w:ind w:left="360" w:hanging="360"/>
      </w:pPr>
      <w:rPr>
        <w:rFonts w:ascii="Arial" w:hAnsi="Aria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9" w15:restartNumberingAfterBreak="0">
    <w:nsid w:val="60B13D98"/>
    <w:multiLevelType w:val="hybridMultilevel"/>
    <w:tmpl w:val="AF303904"/>
    <w:lvl w:ilvl="0" w:tplc="53A08F16">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0" w15:restartNumberingAfterBreak="0">
    <w:nsid w:val="615243AC"/>
    <w:multiLevelType w:val="hybridMultilevel"/>
    <w:tmpl w:val="BC686A2C"/>
    <w:lvl w:ilvl="0" w:tplc="04090005">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81" w15:restartNumberingAfterBreak="0">
    <w:nsid w:val="624418EA"/>
    <w:multiLevelType w:val="hybridMultilevel"/>
    <w:tmpl w:val="1D72146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2" w15:restartNumberingAfterBreak="0">
    <w:nsid w:val="62686A99"/>
    <w:multiLevelType w:val="multilevel"/>
    <w:tmpl w:val="7A769A1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83" w15:restartNumberingAfterBreak="0">
    <w:nsid w:val="632D0868"/>
    <w:multiLevelType w:val="hybridMultilevel"/>
    <w:tmpl w:val="44469758"/>
    <w:lvl w:ilvl="0" w:tplc="D74AF35E">
      <w:start w:val="1"/>
      <w:numFmt w:val="bullet"/>
      <w:lvlText w:val="-"/>
      <w:lvlJc w:val="left"/>
      <w:pPr>
        <w:ind w:left="720" w:hanging="360"/>
      </w:pPr>
      <w:rPr>
        <w:rFonts w:ascii="Arial" w:hAnsi="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84" w15:restartNumberingAfterBreak="0">
    <w:nsid w:val="63340A12"/>
    <w:multiLevelType w:val="hybridMultilevel"/>
    <w:tmpl w:val="108ACED8"/>
    <w:lvl w:ilvl="0" w:tplc="B1D019B2">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5" w15:restartNumberingAfterBreak="0">
    <w:nsid w:val="63E22B10"/>
    <w:multiLevelType w:val="hybridMultilevel"/>
    <w:tmpl w:val="739214B4"/>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86" w15:restartNumberingAfterBreak="0">
    <w:nsid w:val="640F4F8B"/>
    <w:multiLevelType w:val="hybridMultilevel"/>
    <w:tmpl w:val="8C32BB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7" w15:restartNumberingAfterBreak="0">
    <w:nsid w:val="642D5CEB"/>
    <w:multiLevelType w:val="hybridMultilevel"/>
    <w:tmpl w:val="710EAC9C"/>
    <w:lvl w:ilvl="0" w:tplc="9E885A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8" w15:restartNumberingAfterBreak="0">
    <w:nsid w:val="643A545B"/>
    <w:multiLevelType w:val="hybridMultilevel"/>
    <w:tmpl w:val="44FCE3F0"/>
    <w:lvl w:ilvl="0" w:tplc="18090001">
      <w:start w:val="1"/>
      <w:numFmt w:val="bullet"/>
      <w:lvlText w:val=""/>
      <w:lvlJc w:val="left"/>
      <w:pPr>
        <w:ind w:left="360" w:hanging="360"/>
      </w:pPr>
      <w:rPr>
        <w:rFonts w:ascii="Symbol" w:hAnsi="Symbol" w:hint="default"/>
      </w:rPr>
    </w:lvl>
    <w:lvl w:ilvl="1" w:tplc="B714E9BC">
      <w:start w:val="3"/>
      <w:numFmt w:val="bullet"/>
      <w:lvlText w:val="•"/>
      <w:lvlJc w:val="left"/>
      <w:pPr>
        <w:ind w:left="1080" w:hanging="360"/>
      </w:pPr>
      <w:rPr>
        <w:rFonts w:ascii="Times New Roman" w:eastAsia="MS Mincho" w:hAnsi="Times New Roman" w:cs="Times New Roman"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9" w15:restartNumberingAfterBreak="0">
    <w:nsid w:val="65996313"/>
    <w:multiLevelType w:val="multilevel"/>
    <w:tmpl w:val="2F46DB1A"/>
    <w:lvl w:ilvl="0">
      <w:start w:val="2"/>
      <w:numFmt w:val="decimal"/>
      <w:lvlText w:val="%1"/>
      <w:lvlJc w:val="left"/>
      <w:pPr>
        <w:ind w:left="480" w:hanging="480"/>
      </w:pPr>
      <w:rPr>
        <w:rFonts w:hint="default"/>
        <w:color w:val="000000" w:themeColor="text1"/>
      </w:rPr>
    </w:lvl>
    <w:lvl w:ilvl="1">
      <w:start w:val="3"/>
      <w:numFmt w:val="decimal"/>
      <w:lvlText w:val="%1.%2"/>
      <w:lvlJc w:val="left"/>
      <w:pPr>
        <w:ind w:left="650" w:hanging="480"/>
      </w:pPr>
      <w:rPr>
        <w:rFonts w:hint="default"/>
        <w:color w:val="000000" w:themeColor="text1"/>
      </w:rPr>
    </w:lvl>
    <w:lvl w:ilvl="2">
      <w:start w:val="2"/>
      <w:numFmt w:val="decimal"/>
      <w:lvlText w:val="%1.%2.%3"/>
      <w:lvlJc w:val="left"/>
      <w:pPr>
        <w:ind w:left="1060" w:hanging="720"/>
      </w:pPr>
      <w:rPr>
        <w:rFonts w:hint="default"/>
        <w:color w:val="000000" w:themeColor="text1"/>
      </w:rPr>
    </w:lvl>
    <w:lvl w:ilvl="3">
      <w:start w:val="1"/>
      <w:numFmt w:val="decimal"/>
      <w:lvlText w:val="%1.%2.%3.%4"/>
      <w:lvlJc w:val="left"/>
      <w:pPr>
        <w:ind w:left="1230" w:hanging="720"/>
      </w:pPr>
      <w:rPr>
        <w:rFonts w:hint="default"/>
        <w:color w:val="000000" w:themeColor="text1"/>
      </w:rPr>
    </w:lvl>
    <w:lvl w:ilvl="4">
      <w:start w:val="1"/>
      <w:numFmt w:val="decimal"/>
      <w:lvlText w:val="%1.%2.%3.%4.%5"/>
      <w:lvlJc w:val="left"/>
      <w:pPr>
        <w:ind w:left="1760" w:hanging="1080"/>
      </w:pPr>
      <w:rPr>
        <w:rFonts w:hint="default"/>
        <w:color w:val="000000" w:themeColor="text1"/>
      </w:rPr>
    </w:lvl>
    <w:lvl w:ilvl="5">
      <w:start w:val="1"/>
      <w:numFmt w:val="decimal"/>
      <w:lvlText w:val="%1.%2.%3.%4.%5.%6"/>
      <w:lvlJc w:val="left"/>
      <w:pPr>
        <w:ind w:left="1930" w:hanging="1080"/>
      </w:pPr>
      <w:rPr>
        <w:rFonts w:hint="default"/>
        <w:color w:val="000000" w:themeColor="text1"/>
      </w:rPr>
    </w:lvl>
    <w:lvl w:ilvl="6">
      <w:start w:val="1"/>
      <w:numFmt w:val="decimal"/>
      <w:lvlText w:val="%1.%2.%3.%4.%5.%6.%7"/>
      <w:lvlJc w:val="left"/>
      <w:pPr>
        <w:ind w:left="2460" w:hanging="1440"/>
      </w:pPr>
      <w:rPr>
        <w:rFonts w:hint="default"/>
        <w:color w:val="000000" w:themeColor="text1"/>
      </w:rPr>
    </w:lvl>
    <w:lvl w:ilvl="7">
      <w:start w:val="1"/>
      <w:numFmt w:val="decimal"/>
      <w:lvlText w:val="%1.%2.%3.%4.%5.%6.%7.%8"/>
      <w:lvlJc w:val="left"/>
      <w:pPr>
        <w:ind w:left="2630" w:hanging="1440"/>
      </w:pPr>
      <w:rPr>
        <w:rFonts w:hint="default"/>
        <w:color w:val="000000" w:themeColor="text1"/>
      </w:rPr>
    </w:lvl>
    <w:lvl w:ilvl="8">
      <w:start w:val="1"/>
      <w:numFmt w:val="decimal"/>
      <w:lvlText w:val="%1.%2.%3.%4.%5.%6.%7.%8.%9"/>
      <w:lvlJc w:val="left"/>
      <w:pPr>
        <w:ind w:left="2800" w:hanging="1440"/>
      </w:pPr>
      <w:rPr>
        <w:rFonts w:hint="default"/>
        <w:color w:val="000000" w:themeColor="text1"/>
      </w:rPr>
    </w:lvl>
  </w:abstractNum>
  <w:abstractNum w:abstractNumId="190" w15:restartNumberingAfterBreak="0">
    <w:nsid w:val="65AE2413"/>
    <w:multiLevelType w:val="hybridMultilevel"/>
    <w:tmpl w:val="B2087744"/>
    <w:lvl w:ilvl="0" w:tplc="4726E40A">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1" w15:restartNumberingAfterBreak="0">
    <w:nsid w:val="66227451"/>
    <w:multiLevelType w:val="hybridMultilevel"/>
    <w:tmpl w:val="8D824250"/>
    <w:lvl w:ilvl="0" w:tplc="DCD470DA">
      <w:start w:val="7"/>
      <w:numFmt w:val="bullet"/>
      <w:lvlText w:val="-"/>
      <w:lvlJc w:val="left"/>
      <w:pPr>
        <w:ind w:left="720" w:hanging="360"/>
      </w:pPr>
      <w:rPr>
        <w:rFonts w:ascii="Calibri" w:eastAsia="Calibri"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2" w15:restartNumberingAfterBreak="0">
    <w:nsid w:val="67851FCE"/>
    <w:multiLevelType w:val="hybridMultilevel"/>
    <w:tmpl w:val="210AC9A4"/>
    <w:lvl w:ilvl="0" w:tplc="DCD470DA">
      <w:start w:val="7"/>
      <w:numFmt w:val="bullet"/>
      <w:lvlText w:val="-"/>
      <w:lvlJc w:val="left"/>
      <w:pPr>
        <w:ind w:left="720" w:hanging="360"/>
      </w:pPr>
      <w:rPr>
        <w:rFonts w:ascii="Calibri" w:eastAsia="Calibri"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3" w15:restartNumberingAfterBreak="0">
    <w:nsid w:val="67C71D2A"/>
    <w:multiLevelType w:val="multilevel"/>
    <w:tmpl w:val="03D8BA2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94" w15:restartNumberingAfterBreak="0">
    <w:nsid w:val="67D931E8"/>
    <w:multiLevelType w:val="multilevel"/>
    <w:tmpl w:val="90A0BC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689B544C"/>
    <w:multiLevelType w:val="hybridMultilevel"/>
    <w:tmpl w:val="733AF0B4"/>
    <w:lvl w:ilvl="0" w:tplc="DCD470DA">
      <w:start w:val="7"/>
      <w:numFmt w:val="bullet"/>
      <w:lvlText w:val="-"/>
      <w:lvlJc w:val="left"/>
      <w:pPr>
        <w:ind w:left="720" w:hanging="360"/>
      </w:pPr>
      <w:rPr>
        <w:rFonts w:ascii="Calibri" w:eastAsia="Calibri" w:hAnsi="Calibri" w:cs="Calibr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68C46501"/>
    <w:multiLevelType w:val="multilevel"/>
    <w:tmpl w:val="2B408C2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97" w15:restartNumberingAfterBreak="0">
    <w:nsid w:val="69274B86"/>
    <w:multiLevelType w:val="hybridMultilevel"/>
    <w:tmpl w:val="2E0CEE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8" w15:restartNumberingAfterBreak="0">
    <w:nsid w:val="69292792"/>
    <w:multiLevelType w:val="multilevel"/>
    <w:tmpl w:val="88F80894"/>
    <w:lvl w:ilvl="0">
      <w:start w:val="4"/>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9" w15:restartNumberingAfterBreak="0">
    <w:nsid w:val="697B5808"/>
    <w:multiLevelType w:val="hybridMultilevel"/>
    <w:tmpl w:val="DF4E4A70"/>
    <w:lvl w:ilvl="0" w:tplc="099607D2">
      <w:start w:val="7"/>
      <w:numFmt w:val="bullet"/>
      <w:lvlText w:val="-"/>
      <w:lvlJc w:val="left"/>
      <w:pPr>
        <w:ind w:left="720" w:hanging="360"/>
      </w:pPr>
      <w:rPr>
        <w:rFonts w:ascii="Calibri" w:eastAsia="Calibri" w:hAnsi="Calibri" w:cs="Calibri" w:hint="default"/>
      </w:rPr>
    </w:lvl>
    <w:lvl w:ilvl="1" w:tplc="3DA2C446">
      <w:start w:val="1"/>
      <w:numFmt w:val="bullet"/>
      <w:lvlText w:val="o"/>
      <w:lvlJc w:val="left"/>
      <w:pPr>
        <w:ind w:left="1440" w:hanging="360"/>
      </w:pPr>
      <w:rPr>
        <w:rFonts w:ascii="Courier New" w:hAnsi="Courier New" w:cs="Courier New" w:hint="default"/>
      </w:rPr>
    </w:lvl>
    <w:lvl w:ilvl="2" w:tplc="57F00B22">
      <w:start w:val="1"/>
      <w:numFmt w:val="bullet"/>
      <w:lvlText w:val=""/>
      <w:lvlJc w:val="left"/>
      <w:pPr>
        <w:ind w:left="2160" w:hanging="360"/>
      </w:pPr>
      <w:rPr>
        <w:rFonts w:ascii="Wingdings" w:hAnsi="Wingdings" w:hint="default"/>
      </w:rPr>
    </w:lvl>
    <w:lvl w:ilvl="3" w:tplc="994801E4">
      <w:start w:val="1"/>
      <w:numFmt w:val="bullet"/>
      <w:lvlText w:val=""/>
      <w:lvlJc w:val="left"/>
      <w:pPr>
        <w:ind w:left="2880" w:hanging="360"/>
      </w:pPr>
      <w:rPr>
        <w:rFonts w:ascii="Symbol" w:hAnsi="Symbol" w:hint="default"/>
      </w:rPr>
    </w:lvl>
    <w:lvl w:ilvl="4" w:tplc="03A0907E">
      <w:start w:val="1"/>
      <w:numFmt w:val="bullet"/>
      <w:lvlText w:val="o"/>
      <w:lvlJc w:val="left"/>
      <w:pPr>
        <w:ind w:left="3600" w:hanging="360"/>
      </w:pPr>
      <w:rPr>
        <w:rFonts w:ascii="Courier New" w:hAnsi="Courier New" w:cs="Courier New" w:hint="default"/>
      </w:rPr>
    </w:lvl>
    <w:lvl w:ilvl="5" w:tplc="D03C3AE2">
      <w:start w:val="1"/>
      <w:numFmt w:val="bullet"/>
      <w:lvlText w:val=""/>
      <w:lvlJc w:val="left"/>
      <w:pPr>
        <w:ind w:left="4320" w:hanging="360"/>
      </w:pPr>
      <w:rPr>
        <w:rFonts w:ascii="Wingdings" w:hAnsi="Wingdings" w:hint="default"/>
      </w:rPr>
    </w:lvl>
    <w:lvl w:ilvl="6" w:tplc="77CA0C50">
      <w:start w:val="1"/>
      <w:numFmt w:val="bullet"/>
      <w:lvlText w:val=""/>
      <w:lvlJc w:val="left"/>
      <w:pPr>
        <w:ind w:left="5040" w:hanging="360"/>
      </w:pPr>
      <w:rPr>
        <w:rFonts w:ascii="Symbol" w:hAnsi="Symbol" w:hint="default"/>
      </w:rPr>
    </w:lvl>
    <w:lvl w:ilvl="7" w:tplc="DAF44EEC">
      <w:start w:val="1"/>
      <w:numFmt w:val="bullet"/>
      <w:lvlText w:val="o"/>
      <w:lvlJc w:val="left"/>
      <w:pPr>
        <w:ind w:left="5760" w:hanging="360"/>
      </w:pPr>
      <w:rPr>
        <w:rFonts w:ascii="Courier New" w:hAnsi="Courier New" w:cs="Courier New" w:hint="default"/>
      </w:rPr>
    </w:lvl>
    <w:lvl w:ilvl="8" w:tplc="09F41A08">
      <w:start w:val="1"/>
      <w:numFmt w:val="bullet"/>
      <w:lvlText w:val=""/>
      <w:lvlJc w:val="left"/>
      <w:pPr>
        <w:ind w:left="6480" w:hanging="360"/>
      </w:pPr>
      <w:rPr>
        <w:rFonts w:ascii="Wingdings" w:hAnsi="Wingdings" w:hint="default"/>
      </w:rPr>
    </w:lvl>
  </w:abstractNum>
  <w:abstractNum w:abstractNumId="200" w15:restartNumberingAfterBreak="0">
    <w:nsid w:val="69F105C5"/>
    <w:multiLevelType w:val="hybridMultilevel"/>
    <w:tmpl w:val="FB0244FA"/>
    <w:lvl w:ilvl="0" w:tplc="741E2EC2">
      <w:start w:val="4"/>
      <w:numFmt w:val="bullet"/>
      <w:lvlText w:val="-"/>
      <w:lvlJc w:val="left"/>
      <w:pPr>
        <w:ind w:left="1440" w:hanging="360"/>
      </w:pPr>
      <w:rPr>
        <w:rFonts w:ascii="Times New Roman" w:eastAsia="MS Mincho"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1" w15:restartNumberingAfterBreak="0">
    <w:nsid w:val="6A65798E"/>
    <w:multiLevelType w:val="multilevel"/>
    <w:tmpl w:val="2E0C0780"/>
    <w:lvl w:ilvl="0">
      <w:start w:val="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2" w15:restartNumberingAfterBreak="0">
    <w:nsid w:val="6B624F70"/>
    <w:multiLevelType w:val="hybridMultilevel"/>
    <w:tmpl w:val="8F8C8BDA"/>
    <w:lvl w:ilvl="0" w:tplc="DCD470DA">
      <w:start w:val="7"/>
      <w:numFmt w:val="bullet"/>
      <w:lvlText w:val="-"/>
      <w:lvlJc w:val="left"/>
      <w:pPr>
        <w:ind w:left="720" w:hanging="360"/>
      </w:pPr>
      <w:rPr>
        <w:rFonts w:ascii="Calibri" w:eastAsia="Calibri" w:hAnsi="Calibri" w:cs="Calibri"/>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03" w15:restartNumberingAfterBreak="0">
    <w:nsid w:val="6C4E48F7"/>
    <w:multiLevelType w:val="hybridMultilevel"/>
    <w:tmpl w:val="CA98AA90"/>
    <w:lvl w:ilvl="0" w:tplc="04090003">
      <w:start w:val="1"/>
      <w:numFmt w:val="bullet"/>
      <w:lvlText w:val="o"/>
      <w:lvlJc w:val="left"/>
      <w:pPr>
        <w:ind w:left="720" w:hanging="360"/>
      </w:pPr>
      <w:rPr>
        <w:rFonts w:ascii="Courier New" w:hAnsi="Courier New" w:cs="Courier New" w:hint="default"/>
      </w:rPr>
    </w:lvl>
    <w:lvl w:ilvl="1" w:tplc="E8188900">
      <w:start w:val="1"/>
      <w:numFmt w:val="bullet"/>
      <w:lvlText w:val="o"/>
      <w:lvlJc w:val="left"/>
      <w:pPr>
        <w:ind w:left="1440" w:hanging="360"/>
      </w:pPr>
      <w:rPr>
        <w:rFonts w:ascii="Courier New" w:hAnsi="Courier New" w:cs="Courier New"/>
      </w:rPr>
    </w:lvl>
    <w:lvl w:ilvl="2" w:tplc="59F20370">
      <w:start w:val="1"/>
      <w:numFmt w:val="bullet"/>
      <w:lvlText w:val=""/>
      <w:lvlJc w:val="left"/>
      <w:pPr>
        <w:ind w:left="2160" w:hanging="360"/>
      </w:pPr>
      <w:rPr>
        <w:rFonts w:ascii="Wingdings" w:hAnsi="Wingdings"/>
      </w:rPr>
    </w:lvl>
    <w:lvl w:ilvl="3" w:tplc="30ACA2A0">
      <w:start w:val="1"/>
      <w:numFmt w:val="bullet"/>
      <w:lvlText w:val=""/>
      <w:lvlJc w:val="left"/>
      <w:pPr>
        <w:ind w:left="2880" w:hanging="360"/>
      </w:pPr>
      <w:rPr>
        <w:rFonts w:ascii="Symbol" w:hAnsi="Symbol"/>
      </w:rPr>
    </w:lvl>
    <w:lvl w:ilvl="4" w:tplc="7D164D9E">
      <w:start w:val="1"/>
      <w:numFmt w:val="bullet"/>
      <w:lvlText w:val="o"/>
      <w:lvlJc w:val="left"/>
      <w:pPr>
        <w:ind w:left="3600" w:hanging="360"/>
      </w:pPr>
      <w:rPr>
        <w:rFonts w:ascii="Courier New" w:hAnsi="Courier New" w:cs="Courier New"/>
      </w:rPr>
    </w:lvl>
    <w:lvl w:ilvl="5" w:tplc="FE209A88">
      <w:start w:val="1"/>
      <w:numFmt w:val="bullet"/>
      <w:lvlText w:val=""/>
      <w:lvlJc w:val="left"/>
      <w:pPr>
        <w:ind w:left="4320" w:hanging="360"/>
      </w:pPr>
      <w:rPr>
        <w:rFonts w:ascii="Wingdings" w:hAnsi="Wingdings"/>
      </w:rPr>
    </w:lvl>
    <w:lvl w:ilvl="6" w:tplc="F8103E22">
      <w:start w:val="1"/>
      <w:numFmt w:val="bullet"/>
      <w:lvlText w:val=""/>
      <w:lvlJc w:val="left"/>
      <w:pPr>
        <w:ind w:left="5040" w:hanging="360"/>
      </w:pPr>
      <w:rPr>
        <w:rFonts w:ascii="Symbol" w:hAnsi="Symbol"/>
      </w:rPr>
    </w:lvl>
    <w:lvl w:ilvl="7" w:tplc="1CDC7112">
      <w:start w:val="1"/>
      <w:numFmt w:val="bullet"/>
      <w:lvlText w:val="o"/>
      <w:lvlJc w:val="left"/>
      <w:pPr>
        <w:ind w:left="5760" w:hanging="360"/>
      </w:pPr>
      <w:rPr>
        <w:rFonts w:ascii="Courier New" w:hAnsi="Courier New" w:cs="Courier New"/>
      </w:rPr>
    </w:lvl>
    <w:lvl w:ilvl="8" w:tplc="47B456FA">
      <w:start w:val="1"/>
      <w:numFmt w:val="bullet"/>
      <w:lvlText w:val=""/>
      <w:lvlJc w:val="left"/>
      <w:pPr>
        <w:ind w:left="6480" w:hanging="360"/>
      </w:pPr>
      <w:rPr>
        <w:rFonts w:ascii="Wingdings" w:hAnsi="Wingdings"/>
      </w:rPr>
    </w:lvl>
  </w:abstractNum>
  <w:abstractNum w:abstractNumId="204" w15:restartNumberingAfterBreak="0">
    <w:nsid w:val="6C746C2B"/>
    <w:multiLevelType w:val="hybridMultilevel"/>
    <w:tmpl w:val="3D08EBA8"/>
    <w:lvl w:ilvl="0" w:tplc="0ADC1E20">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5" w15:restartNumberingAfterBreak="0">
    <w:nsid w:val="6CF4127F"/>
    <w:multiLevelType w:val="hybridMultilevel"/>
    <w:tmpl w:val="B1F824E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6" w15:restartNumberingAfterBreak="0">
    <w:nsid w:val="6F3C1A06"/>
    <w:multiLevelType w:val="hybridMultilevel"/>
    <w:tmpl w:val="F6189504"/>
    <w:lvl w:ilvl="0" w:tplc="51B6465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15:restartNumberingAfterBreak="0">
    <w:nsid w:val="6F4F7B22"/>
    <w:multiLevelType w:val="hybridMultilevel"/>
    <w:tmpl w:val="B080A5DE"/>
    <w:lvl w:ilvl="0" w:tplc="B3B2501C">
      <w:start w:val="1"/>
      <w:numFmt w:val="lowerRoman"/>
      <w:lvlText w:val="%1."/>
      <w:lvlJc w:val="left"/>
      <w:pPr>
        <w:ind w:left="744" w:hanging="720"/>
      </w:pPr>
      <w:rPr>
        <w:rFonts w:hint="default"/>
      </w:rPr>
    </w:lvl>
    <w:lvl w:ilvl="1" w:tplc="04090019" w:tentative="1">
      <w:start w:val="1"/>
      <w:numFmt w:val="lowerLetter"/>
      <w:lvlText w:val="%2."/>
      <w:lvlJc w:val="left"/>
      <w:pPr>
        <w:ind w:left="1104" w:hanging="360"/>
      </w:pPr>
    </w:lvl>
    <w:lvl w:ilvl="2" w:tplc="0409001B" w:tentative="1">
      <w:start w:val="1"/>
      <w:numFmt w:val="lowerRoman"/>
      <w:lvlText w:val="%3."/>
      <w:lvlJc w:val="right"/>
      <w:pPr>
        <w:ind w:left="1824" w:hanging="180"/>
      </w:pPr>
    </w:lvl>
    <w:lvl w:ilvl="3" w:tplc="0409000F" w:tentative="1">
      <w:start w:val="1"/>
      <w:numFmt w:val="decimal"/>
      <w:lvlText w:val="%4."/>
      <w:lvlJc w:val="left"/>
      <w:pPr>
        <w:ind w:left="2544" w:hanging="360"/>
      </w:pPr>
    </w:lvl>
    <w:lvl w:ilvl="4" w:tplc="04090019" w:tentative="1">
      <w:start w:val="1"/>
      <w:numFmt w:val="lowerLetter"/>
      <w:lvlText w:val="%5."/>
      <w:lvlJc w:val="left"/>
      <w:pPr>
        <w:ind w:left="3264" w:hanging="360"/>
      </w:pPr>
    </w:lvl>
    <w:lvl w:ilvl="5" w:tplc="0409001B" w:tentative="1">
      <w:start w:val="1"/>
      <w:numFmt w:val="lowerRoman"/>
      <w:lvlText w:val="%6."/>
      <w:lvlJc w:val="right"/>
      <w:pPr>
        <w:ind w:left="3984" w:hanging="180"/>
      </w:pPr>
    </w:lvl>
    <w:lvl w:ilvl="6" w:tplc="0409000F" w:tentative="1">
      <w:start w:val="1"/>
      <w:numFmt w:val="decimal"/>
      <w:lvlText w:val="%7."/>
      <w:lvlJc w:val="left"/>
      <w:pPr>
        <w:ind w:left="4704" w:hanging="360"/>
      </w:pPr>
    </w:lvl>
    <w:lvl w:ilvl="7" w:tplc="04090019" w:tentative="1">
      <w:start w:val="1"/>
      <w:numFmt w:val="lowerLetter"/>
      <w:lvlText w:val="%8."/>
      <w:lvlJc w:val="left"/>
      <w:pPr>
        <w:ind w:left="5424" w:hanging="360"/>
      </w:pPr>
    </w:lvl>
    <w:lvl w:ilvl="8" w:tplc="0409001B" w:tentative="1">
      <w:start w:val="1"/>
      <w:numFmt w:val="lowerRoman"/>
      <w:lvlText w:val="%9."/>
      <w:lvlJc w:val="right"/>
      <w:pPr>
        <w:ind w:left="6144" w:hanging="180"/>
      </w:pPr>
    </w:lvl>
  </w:abstractNum>
  <w:abstractNum w:abstractNumId="208" w15:restartNumberingAfterBreak="0">
    <w:nsid w:val="6F89192D"/>
    <w:multiLevelType w:val="hybridMultilevel"/>
    <w:tmpl w:val="060C3FEC"/>
    <w:lvl w:ilvl="0" w:tplc="D79AE9DA">
      <w:start w:val="2"/>
      <w:numFmt w:val="lowerRoman"/>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9" w15:restartNumberingAfterBreak="0">
    <w:nsid w:val="6FBC508C"/>
    <w:multiLevelType w:val="hybridMultilevel"/>
    <w:tmpl w:val="98B02286"/>
    <w:lvl w:ilvl="0" w:tplc="A5E0ED56">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0" w15:restartNumberingAfterBreak="0">
    <w:nsid w:val="6FDF1316"/>
    <w:multiLevelType w:val="multilevel"/>
    <w:tmpl w:val="C910E74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1" w15:restartNumberingAfterBreak="0">
    <w:nsid w:val="703A310A"/>
    <w:multiLevelType w:val="hybridMultilevel"/>
    <w:tmpl w:val="98E88512"/>
    <w:lvl w:ilvl="0" w:tplc="DCD470DA">
      <w:start w:val="7"/>
      <w:numFmt w:val="bullet"/>
      <w:lvlText w:val="-"/>
      <w:lvlJc w:val="left"/>
      <w:pPr>
        <w:ind w:left="720" w:hanging="360"/>
      </w:pPr>
      <w:rPr>
        <w:rFonts w:ascii="Calibri" w:eastAsia="Calibri" w:hAnsi="Calibri" w:cs="Calibr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12" w15:restartNumberingAfterBreak="0">
    <w:nsid w:val="712C7402"/>
    <w:multiLevelType w:val="hybridMultilevel"/>
    <w:tmpl w:val="6108C9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3" w15:restartNumberingAfterBreak="0">
    <w:nsid w:val="71F920E6"/>
    <w:multiLevelType w:val="multilevel"/>
    <w:tmpl w:val="A3D0FB7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4" w15:restartNumberingAfterBreak="0">
    <w:nsid w:val="724A538D"/>
    <w:multiLevelType w:val="multilevel"/>
    <w:tmpl w:val="0AF81D40"/>
    <w:lvl w:ilvl="0">
      <w:start w:val="4"/>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5" w15:restartNumberingAfterBreak="0">
    <w:nsid w:val="72643A5E"/>
    <w:multiLevelType w:val="hybridMultilevel"/>
    <w:tmpl w:val="EEE8FC9E"/>
    <w:lvl w:ilvl="0" w:tplc="04090017">
      <w:start w:val="1"/>
      <w:numFmt w:val="lowerLetter"/>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6" w15:restartNumberingAfterBreak="0">
    <w:nsid w:val="735A247C"/>
    <w:multiLevelType w:val="hybridMultilevel"/>
    <w:tmpl w:val="CB8C654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743F5EDC"/>
    <w:multiLevelType w:val="hybridMultilevel"/>
    <w:tmpl w:val="823480AA"/>
    <w:lvl w:ilvl="0" w:tplc="DCD470DA">
      <w:start w:val="7"/>
      <w:numFmt w:val="bullet"/>
      <w:lvlText w:val="-"/>
      <w:lvlJc w:val="left"/>
      <w:pPr>
        <w:ind w:left="720" w:hanging="360"/>
      </w:pPr>
      <w:rPr>
        <w:rFonts w:ascii="Calibri" w:eastAsia="Calibri" w:hAnsi="Calibri" w:cs="Calibri" w:hint="default"/>
      </w:rPr>
    </w:lvl>
    <w:lvl w:ilvl="1" w:tplc="E8188900">
      <w:start w:val="1"/>
      <w:numFmt w:val="bullet"/>
      <w:lvlText w:val="o"/>
      <w:lvlJc w:val="left"/>
      <w:pPr>
        <w:ind w:left="1440" w:hanging="360"/>
      </w:pPr>
      <w:rPr>
        <w:rFonts w:ascii="Courier New" w:hAnsi="Courier New" w:cs="Courier New"/>
      </w:rPr>
    </w:lvl>
    <w:lvl w:ilvl="2" w:tplc="59F20370">
      <w:start w:val="1"/>
      <w:numFmt w:val="bullet"/>
      <w:lvlText w:val=""/>
      <w:lvlJc w:val="left"/>
      <w:pPr>
        <w:ind w:left="2160" w:hanging="360"/>
      </w:pPr>
      <w:rPr>
        <w:rFonts w:ascii="Wingdings" w:hAnsi="Wingdings"/>
      </w:rPr>
    </w:lvl>
    <w:lvl w:ilvl="3" w:tplc="30ACA2A0">
      <w:start w:val="1"/>
      <w:numFmt w:val="bullet"/>
      <w:lvlText w:val=""/>
      <w:lvlJc w:val="left"/>
      <w:pPr>
        <w:ind w:left="2880" w:hanging="360"/>
      </w:pPr>
      <w:rPr>
        <w:rFonts w:ascii="Symbol" w:hAnsi="Symbol"/>
      </w:rPr>
    </w:lvl>
    <w:lvl w:ilvl="4" w:tplc="7D164D9E">
      <w:start w:val="1"/>
      <w:numFmt w:val="bullet"/>
      <w:lvlText w:val="o"/>
      <w:lvlJc w:val="left"/>
      <w:pPr>
        <w:ind w:left="3600" w:hanging="360"/>
      </w:pPr>
      <w:rPr>
        <w:rFonts w:ascii="Courier New" w:hAnsi="Courier New" w:cs="Courier New"/>
      </w:rPr>
    </w:lvl>
    <w:lvl w:ilvl="5" w:tplc="FE209A88">
      <w:start w:val="1"/>
      <w:numFmt w:val="bullet"/>
      <w:lvlText w:val=""/>
      <w:lvlJc w:val="left"/>
      <w:pPr>
        <w:ind w:left="4320" w:hanging="360"/>
      </w:pPr>
      <w:rPr>
        <w:rFonts w:ascii="Wingdings" w:hAnsi="Wingdings"/>
      </w:rPr>
    </w:lvl>
    <w:lvl w:ilvl="6" w:tplc="F8103E22">
      <w:start w:val="1"/>
      <w:numFmt w:val="bullet"/>
      <w:lvlText w:val=""/>
      <w:lvlJc w:val="left"/>
      <w:pPr>
        <w:ind w:left="5040" w:hanging="360"/>
      </w:pPr>
      <w:rPr>
        <w:rFonts w:ascii="Symbol" w:hAnsi="Symbol"/>
      </w:rPr>
    </w:lvl>
    <w:lvl w:ilvl="7" w:tplc="1CDC7112">
      <w:start w:val="1"/>
      <w:numFmt w:val="bullet"/>
      <w:lvlText w:val="o"/>
      <w:lvlJc w:val="left"/>
      <w:pPr>
        <w:ind w:left="5760" w:hanging="360"/>
      </w:pPr>
      <w:rPr>
        <w:rFonts w:ascii="Courier New" w:hAnsi="Courier New" w:cs="Courier New"/>
      </w:rPr>
    </w:lvl>
    <w:lvl w:ilvl="8" w:tplc="47B456FA">
      <w:start w:val="1"/>
      <w:numFmt w:val="bullet"/>
      <w:lvlText w:val=""/>
      <w:lvlJc w:val="left"/>
      <w:pPr>
        <w:ind w:left="6480" w:hanging="360"/>
      </w:pPr>
      <w:rPr>
        <w:rFonts w:ascii="Wingdings" w:hAnsi="Wingdings"/>
      </w:rPr>
    </w:lvl>
  </w:abstractNum>
  <w:abstractNum w:abstractNumId="218" w15:restartNumberingAfterBreak="0">
    <w:nsid w:val="747030CE"/>
    <w:multiLevelType w:val="multilevel"/>
    <w:tmpl w:val="17E8940E"/>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9" w15:restartNumberingAfterBreak="0">
    <w:nsid w:val="74A10419"/>
    <w:multiLevelType w:val="multilevel"/>
    <w:tmpl w:val="DC927C12"/>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20" w15:restartNumberingAfterBreak="0">
    <w:nsid w:val="74FA72B1"/>
    <w:multiLevelType w:val="hybridMultilevel"/>
    <w:tmpl w:val="D6D444D4"/>
    <w:lvl w:ilvl="0" w:tplc="04090005">
      <w:start w:val="1"/>
      <w:numFmt w:val="bullet"/>
      <w:lvlText w:val=""/>
      <w:lvlJc w:val="left"/>
      <w:pPr>
        <w:ind w:left="720" w:hanging="360"/>
      </w:pPr>
      <w:rPr>
        <w:rFonts w:ascii="Wingdings" w:hAnsi="Wingdings" w:hint="default"/>
      </w:rPr>
    </w:lvl>
    <w:lvl w:ilvl="1" w:tplc="FA4E3AA8">
      <w:start w:val="3"/>
      <w:numFmt w:val="bullet"/>
      <w:lvlText w:val="•"/>
      <w:lvlJc w:val="left"/>
      <w:pPr>
        <w:ind w:left="1440" w:hanging="360"/>
      </w:pPr>
      <w:rPr>
        <w:rFonts w:ascii="Times New Roman" w:eastAsia="MS Mincho"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75175384"/>
    <w:multiLevelType w:val="hybridMultilevel"/>
    <w:tmpl w:val="EE663F9E"/>
    <w:lvl w:ilvl="0" w:tplc="A2729BC2">
      <w:numFmt w:val="bullet"/>
      <w:lvlText w:val="•"/>
      <w:lvlJc w:val="left"/>
      <w:pPr>
        <w:ind w:left="1080" w:hanging="720"/>
      </w:pPr>
      <w:rPr>
        <w:rFonts w:ascii="Times New Roman" w:eastAsia="MS Mincho" w:hAnsi="Times New Roman" w:cs="Times New Roman" w:hint="default"/>
      </w:rPr>
    </w:lvl>
    <w:lvl w:ilvl="1" w:tplc="0C070003">
      <w:start w:val="1"/>
      <w:numFmt w:val="bullet"/>
      <w:lvlText w:val="o"/>
      <w:lvlJc w:val="left"/>
      <w:pPr>
        <w:ind w:left="1440" w:hanging="360"/>
      </w:pPr>
      <w:rPr>
        <w:rFonts w:ascii="Courier New" w:hAnsi="Courier New" w:cs="Courier New" w:hint="default"/>
      </w:rPr>
    </w:lvl>
    <w:lvl w:ilvl="2" w:tplc="0C070005">
      <w:start w:val="1"/>
      <w:numFmt w:val="bullet"/>
      <w:lvlText w:val=""/>
      <w:lvlJc w:val="left"/>
      <w:pPr>
        <w:ind w:left="2160" w:hanging="360"/>
      </w:pPr>
      <w:rPr>
        <w:rFonts w:ascii="Wingdings" w:hAnsi="Wingdings" w:hint="default"/>
      </w:rPr>
    </w:lvl>
    <w:lvl w:ilvl="3" w:tplc="0C070001">
      <w:start w:val="1"/>
      <w:numFmt w:val="bullet"/>
      <w:lvlText w:val=""/>
      <w:lvlJc w:val="left"/>
      <w:pPr>
        <w:ind w:left="2880" w:hanging="360"/>
      </w:pPr>
      <w:rPr>
        <w:rFonts w:ascii="Symbol" w:hAnsi="Symbol" w:hint="default"/>
      </w:rPr>
    </w:lvl>
    <w:lvl w:ilvl="4" w:tplc="0C070003">
      <w:start w:val="1"/>
      <w:numFmt w:val="bullet"/>
      <w:lvlText w:val="o"/>
      <w:lvlJc w:val="left"/>
      <w:pPr>
        <w:ind w:left="3600" w:hanging="360"/>
      </w:pPr>
      <w:rPr>
        <w:rFonts w:ascii="Courier New" w:hAnsi="Courier New" w:cs="Courier New" w:hint="default"/>
      </w:rPr>
    </w:lvl>
    <w:lvl w:ilvl="5" w:tplc="0C070005">
      <w:start w:val="1"/>
      <w:numFmt w:val="bullet"/>
      <w:lvlText w:val=""/>
      <w:lvlJc w:val="left"/>
      <w:pPr>
        <w:ind w:left="4320" w:hanging="360"/>
      </w:pPr>
      <w:rPr>
        <w:rFonts w:ascii="Wingdings" w:hAnsi="Wingdings" w:hint="default"/>
      </w:rPr>
    </w:lvl>
    <w:lvl w:ilvl="6" w:tplc="0C070001">
      <w:start w:val="1"/>
      <w:numFmt w:val="bullet"/>
      <w:lvlText w:val=""/>
      <w:lvlJc w:val="left"/>
      <w:pPr>
        <w:ind w:left="5040" w:hanging="360"/>
      </w:pPr>
      <w:rPr>
        <w:rFonts w:ascii="Symbol" w:hAnsi="Symbol" w:hint="default"/>
      </w:rPr>
    </w:lvl>
    <w:lvl w:ilvl="7" w:tplc="0C070003">
      <w:start w:val="1"/>
      <w:numFmt w:val="bullet"/>
      <w:lvlText w:val="o"/>
      <w:lvlJc w:val="left"/>
      <w:pPr>
        <w:ind w:left="5760" w:hanging="360"/>
      </w:pPr>
      <w:rPr>
        <w:rFonts w:ascii="Courier New" w:hAnsi="Courier New" w:cs="Courier New" w:hint="default"/>
      </w:rPr>
    </w:lvl>
    <w:lvl w:ilvl="8" w:tplc="0C070005">
      <w:start w:val="1"/>
      <w:numFmt w:val="bullet"/>
      <w:lvlText w:val=""/>
      <w:lvlJc w:val="left"/>
      <w:pPr>
        <w:ind w:left="6480" w:hanging="360"/>
      </w:pPr>
      <w:rPr>
        <w:rFonts w:ascii="Wingdings" w:hAnsi="Wingdings" w:hint="default"/>
      </w:rPr>
    </w:lvl>
  </w:abstractNum>
  <w:abstractNum w:abstractNumId="222" w15:restartNumberingAfterBreak="0">
    <w:nsid w:val="75796ABC"/>
    <w:multiLevelType w:val="multilevel"/>
    <w:tmpl w:val="D3782626"/>
    <w:lvl w:ilvl="0">
      <w:start w:val="3"/>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23" w15:restartNumberingAfterBreak="0">
    <w:nsid w:val="761145EA"/>
    <w:multiLevelType w:val="hybridMultilevel"/>
    <w:tmpl w:val="F07A0B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4" w15:restartNumberingAfterBreak="0">
    <w:nsid w:val="764A45DA"/>
    <w:multiLevelType w:val="hybridMultilevel"/>
    <w:tmpl w:val="082E33A0"/>
    <w:lvl w:ilvl="0" w:tplc="17E63BEA">
      <w:start w:val="1"/>
      <w:numFmt w:val="lowerRoman"/>
      <w:lvlText w:val="%1."/>
      <w:lvlJc w:val="left"/>
      <w:pPr>
        <w:ind w:left="720" w:hanging="72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5" w15:restartNumberingAfterBreak="0">
    <w:nsid w:val="76666A3E"/>
    <w:multiLevelType w:val="multilevel"/>
    <w:tmpl w:val="65D646F4"/>
    <w:lvl w:ilvl="0">
      <w:start w:val="1"/>
      <w:numFmt w:val="decimal"/>
      <w:pStyle w:val="Heading1"/>
      <w:lvlText w:val="%1."/>
      <w:lvlJc w:val="left"/>
      <w:pPr>
        <w:ind w:left="720" w:hanging="360"/>
      </w:pPr>
      <w:rPr>
        <w:rFonts w:hint="default"/>
      </w:rPr>
    </w:lvl>
    <w:lvl w:ilvl="1">
      <w:start w:val="2"/>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6" w15:restartNumberingAfterBreak="0">
    <w:nsid w:val="76D9C10F"/>
    <w:multiLevelType w:val="hybridMultilevel"/>
    <w:tmpl w:val="CD00F9BC"/>
    <w:lvl w:ilvl="0" w:tplc="6DE8003A">
      <w:start w:val="1"/>
      <w:numFmt w:val="bullet"/>
      <w:lvlText w:val=""/>
      <w:lvlJc w:val="left"/>
      <w:pPr>
        <w:ind w:left="720" w:hanging="360"/>
      </w:pPr>
      <w:rPr>
        <w:rFonts w:ascii="Symbol" w:hAnsi="Symbol" w:hint="default"/>
      </w:rPr>
    </w:lvl>
    <w:lvl w:ilvl="1" w:tplc="16587618">
      <w:start w:val="1"/>
      <w:numFmt w:val="bullet"/>
      <w:lvlText w:val="o"/>
      <w:lvlJc w:val="left"/>
      <w:pPr>
        <w:ind w:left="1440" w:hanging="360"/>
      </w:pPr>
      <w:rPr>
        <w:rFonts w:ascii="Courier New" w:hAnsi="Courier New" w:hint="default"/>
      </w:rPr>
    </w:lvl>
    <w:lvl w:ilvl="2" w:tplc="D4EA8FD4">
      <w:start w:val="1"/>
      <w:numFmt w:val="bullet"/>
      <w:lvlText w:val=""/>
      <w:lvlJc w:val="left"/>
      <w:pPr>
        <w:ind w:left="2160" w:hanging="360"/>
      </w:pPr>
      <w:rPr>
        <w:rFonts w:ascii="Wingdings" w:hAnsi="Wingdings" w:hint="default"/>
      </w:rPr>
    </w:lvl>
    <w:lvl w:ilvl="3" w:tplc="6310FC90">
      <w:start w:val="1"/>
      <w:numFmt w:val="bullet"/>
      <w:lvlText w:val=""/>
      <w:lvlJc w:val="left"/>
      <w:pPr>
        <w:ind w:left="2880" w:hanging="360"/>
      </w:pPr>
      <w:rPr>
        <w:rFonts w:ascii="Symbol" w:hAnsi="Symbol" w:hint="default"/>
      </w:rPr>
    </w:lvl>
    <w:lvl w:ilvl="4" w:tplc="D7DA4E1A">
      <w:start w:val="1"/>
      <w:numFmt w:val="bullet"/>
      <w:lvlText w:val="o"/>
      <w:lvlJc w:val="left"/>
      <w:pPr>
        <w:ind w:left="3600" w:hanging="360"/>
      </w:pPr>
      <w:rPr>
        <w:rFonts w:ascii="Courier New" w:hAnsi="Courier New" w:hint="default"/>
      </w:rPr>
    </w:lvl>
    <w:lvl w:ilvl="5" w:tplc="C6869CDC">
      <w:start w:val="1"/>
      <w:numFmt w:val="bullet"/>
      <w:lvlText w:val=""/>
      <w:lvlJc w:val="left"/>
      <w:pPr>
        <w:ind w:left="4320" w:hanging="360"/>
      </w:pPr>
      <w:rPr>
        <w:rFonts w:ascii="Wingdings" w:hAnsi="Wingdings" w:hint="default"/>
      </w:rPr>
    </w:lvl>
    <w:lvl w:ilvl="6" w:tplc="10866866">
      <w:start w:val="1"/>
      <w:numFmt w:val="bullet"/>
      <w:lvlText w:val=""/>
      <w:lvlJc w:val="left"/>
      <w:pPr>
        <w:ind w:left="5040" w:hanging="360"/>
      </w:pPr>
      <w:rPr>
        <w:rFonts w:ascii="Symbol" w:hAnsi="Symbol" w:hint="default"/>
      </w:rPr>
    </w:lvl>
    <w:lvl w:ilvl="7" w:tplc="998062DA">
      <w:start w:val="1"/>
      <w:numFmt w:val="bullet"/>
      <w:lvlText w:val="o"/>
      <w:lvlJc w:val="left"/>
      <w:pPr>
        <w:ind w:left="5760" w:hanging="360"/>
      </w:pPr>
      <w:rPr>
        <w:rFonts w:ascii="Courier New" w:hAnsi="Courier New" w:hint="default"/>
      </w:rPr>
    </w:lvl>
    <w:lvl w:ilvl="8" w:tplc="B52E1B3E">
      <w:start w:val="1"/>
      <w:numFmt w:val="bullet"/>
      <w:lvlText w:val=""/>
      <w:lvlJc w:val="left"/>
      <w:pPr>
        <w:ind w:left="6480" w:hanging="360"/>
      </w:pPr>
      <w:rPr>
        <w:rFonts w:ascii="Wingdings" w:hAnsi="Wingdings" w:hint="default"/>
      </w:rPr>
    </w:lvl>
  </w:abstractNum>
  <w:abstractNum w:abstractNumId="227" w15:restartNumberingAfterBreak="0">
    <w:nsid w:val="76E33B77"/>
    <w:multiLevelType w:val="hybridMultilevel"/>
    <w:tmpl w:val="72F22796"/>
    <w:lvl w:ilvl="0" w:tplc="008069FC">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8" w15:restartNumberingAfterBreak="0">
    <w:nsid w:val="776D5D3D"/>
    <w:multiLevelType w:val="hybridMultilevel"/>
    <w:tmpl w:val="AF24841E"/>
    <w:lvl w:ilvl="0" w:tplc="00F40E88">
      <w:start w:val="1"/>
      <w:numFmt w:val="decimal"/>
      <w:pStyle w:val="ECAList"/>
      <w:lvlText w:val="%1."/>
      <w:lvlJc w:val="left"/>
      <w:pPr>
        <w:ind w:left="540" w:hanging="360"/>
      </w:pPr>
      <w:rPr>
        <w:rFonts w:ascii="Book Antiqua" w:eastAsia="Times New Roman" w:hAnsi="Book Antiqua" w:cs="Times New Roman"/>
      </w:rPr>
    </w:lvl>
    <w:lvl w:ilvl="1" w:tplc="08090019">
      <w:start w:val="1"/>
      <w:numFmt w:val="lowerLetter"/>
      <w:lvlText w:val="%2."/>
      <w:lvlJc w:val="left"/>
      <w:pPr>
        <w:ind w:left="1260" w:hanging="360"/>
      </w:pPr>
    </w:lvl>
    <w:lvl w:ilvl="2" w:tplc="0809001B" w:tentative="1">
      <w:start w:val="1"/>
      <w:numFmt w:val="lowerRoman"/>
      <w:lvlText w:val="%3."/>
      <w:lvlJc w:val="right"/>
      <w:pPr>
        <w:ind w:left="1980" w:hanging="180"/>
      </w:pPr>
    </w:lvl>
    <w:lvl w:ilvl="3" w:tplc="0809000F" w:tentative="1">
      <w:start w:val="1"/>
      <w:numFmt w:val="decimal"/>
      <w:lvlText w:val="%4."/>
      <w:lvlJc w:val="left"/>
      <w:pPr>
        <w:ind w:left="2700" w:hanging="360"/>
      </w:pPr>
    </w:lvl>
    <w:lvl w:ilvl="4" w:tplc="08090019" w:tentative="1">
      <w:start w:val="1"/>
      <w:numFmt w:val="lowerLetter"/>
      <w:lvlText w:val="%5."/>
      <w:lvlJc w:val="left"/>
      <w:pPr>
        <w:ind w:left="3420" w:hanging="360"/>
      </w:pPr>
    </w:lvl>
    <w:lvl w:ilvl="5" w:tplc="0809001B" w:tentative="1">
      <w:start w:val="1"/>
      <w:numFmt w:val="lowerRoman"/>
      <w:lvlText w:val="%6."/>
      <w:lvlJc w:val="right"/>
      <w:pPr>
        <w:ind w:left="4140" w:hanging="180"/>
      </w:pPr>
    </w:lvl>
    <w:lvl w:ilvl="6" w:tplc="0809000F" w:tentative="1">
      <w:start w:val="1"/>
      <w:numFmt w:val="decimal"/>
      <w:lvlText w:val="%7."/>
      <w:lvlJc w:val="left"/>
      <w:pPr>
        <w:ind w:left="4860" w:hanging="360"/>
      </w:pPr>
    </w:lvl>
    <w:lvl w:ilvl="7" w:tplc="08090019" w:tentative="1">
      <w:start w:val="1"/>
      <w:numFmt w:val="lowerLetter"/>
      <w:lvlText w:val="%8."/>
      <w:lvlJc w:val="left"/>
      <w:pPr>
        <w:ind w:left="5580" w:hanging="360"/>
      </w:pPr>
    </w:lvl>
    <w:lvl w:ilvl="8" w:tplc="0809001B" w:tentative="1">
      <w:start w:val="1"/>
      <w:numFmt w:val="lowerRoman"/>
      <w:lvlText w:val="%9."/>
      <w:lvlJc w:val="right"/>
      <w:pPr>
        <w:ind w:left="6300" w:hanging="180"/>
      </w:pPr>
    </w:lvl>
  </w:abstractNum>
  <w:abstractNum w:abstractNumId="229" w15:restartNumberingAfterBreak="0">
    <w:nsid w:val="77A9677D"/>
    <w:multiLevelType w:val="hybridMultilevel"/>
    <w:tmpl w:val="DCBA56C6"/>
    <w:lvl w:ilvl="0" w:tplc="70D869A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15:restartNumberingAfterBreak="0">
    <w:nsid w:val="788C5C89"/>
    <w:multiLevelType w:val="multilevel"/>
    <w:tmpl w:val="661486BC"/>
    <w:lvl w:ilvl="0">
      <w:start w:val="3"/>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31" w15:restartNumberingAfterBreak="0">
    <w:nsid w:val="789B3316"/>
    <w:multiLevelType w:val="multilevel"/>
    <w:tmpl w:val="2A94DC00"/>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32" w15:restartNumberingAfterBreak="0">
    <w:nsid w:val="78F1023F"/>
    <w:multiLevelType w:val="multilevel"/>
    <w:tmpl w:val="D7FEB5D6"/>
    <w:lvl w:ilvl="0">
      <w:start w:val="3"/>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33" w15:restartNumberingAfterBreak="0">
    <w:nsid w:val="79451F4A"/>
    <w:multiLevelType w:val="hybridMultilevel"/>
    <w:tmpl w:val="0C3CD51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4" w15:restartNumberingAfterBreak="0">
    <w:nsid w:val="7A9C7A6C"/>
    <w:multiLevelType w:val="multilevel"/>
    <w:tmpl w:val="75189C54"/>
    <w:lvl w:ilvl="0">
      <w:start w:val="1"/>
      <w:numFmt w:val="decimal"/>
      <w:lvlText w:val="%1"/>
      <w:lvlJc w:val="left"/>
      <w:pPr>
        <w:ind w:left="480" w:hanging="480"/>
      </w:pPr>
      <w:rPr>
        <w:rFonts w:hint="default"/>
      </w:rPr>
    </w:lvl>
    <w:lvl w:ilvl="1">
      <w:start w:val="3"/>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235" w15:restartNumberingAfterBreak="0">
    <w:nsid w:val="7AEA331F"/>
    <w:multiLevelType w:val="multilevel"/>
    <w:tmpl w:val="1258011C"/>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6" w15:restartNumberingAfterBreak="0">
    <w:nsid w:val="7AF01A68"/>
    <w:multiLevelType w:val="multilevel"/>
    <w:tmpl w:val="808280EE"/>
    <w:lvl w:ilvl="0">
      <w:start w:val="3"/>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37" w15:restartNumberingAfterBreak="0">
    <w:nsid w:val="7B652153"/>
    <w:multiLevelType w:val="hybridMultilevel"/>
    <w:tmpl w:val="9418F6EE"/>
    <w:lvl w:ilvl="0" w:tplc="79AC4C0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8" w15:restartNumberingAfterBreak="0">
    <w:nsid w:val="7B787A5A"/>
    <w:multiLevelType w:val="multilevel"/>
    <w:tmpl w:val="3698CD82"/>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39" w15:restartNumberingAfterBreak="0">
    <w:nsid w:val="7B84506E"/>
    <w:multiLevelType w:val="hybridMultilevel"/>
    <w:tmpl w:val="B62A2046"/>
    <w:lvl w:ilvl="0" w:tplc="44C49D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15:restartNumberingAfterBreak="0">
    <w:nsid w:val="7B9550F8"/>
    <w:multiLevelType w:val="multilevel"/>
    <w:tmpl w:val="F0744654"/>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41" w15:restartNumberingAfterBreak="0">
    <w:nsid w:val="7C6D3750"/>
    <w:multiLevelType w:val="multilevel"/>
    <w:tmpl w:val="68088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7D17387F"/>
    <w:multiLevelType w:val="multilevel"/>
    <w:tmpl w:val="5C8E3C1E"/>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43" w15:restartNumberingAfterBreak="0">
    <w:nsid w:val="7DD068D8"/>
    <w:multiLevelType w:val="hybridMultilevel"/>
    <w:tmpl w:val="7478B744"/>
    <w:lvl w:ilvl="0" w:tplc="F490F556">
      <w:start w:val="1"/>
      <w:numFmt w:val="decimal"/>
      <w:lvlText w:val="%1."/>
      <w:lvlJc w:val="left"/>
      <w:pPr>
        <w:ind w:left="360" w:hanging="360"/>
      </w:pPr>
      <w:rPr>
        <w:b/>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44" w15:restartNumberingAfterBreak="0">
    <w:nsid w:val="7E263E0E"/>
    <w:multiLevelType w:val="hybridMultilevel"/>
    <w:tmpl w:val="9B268046"/>
    <w:lvl w:ilvl="0" w:tplc="DCD470DA">
      <w:start w:val="7"/>
      <w:numFmt w:val="bullet"/>
      <w:lvlText w:val="-"/>
      <w:lvlJc w:val="left"/>
      <w:pPr>
        <w:ind w:left="360" w:hanging="360"/>
      </w:pPr>
      <w:rPr>
        <w:rFonts w:ascii="Calibri" w:eastAsia="Calibri" w:hAnsi="Calibri" w:cs="Calibri"/>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45" w15:restartNumberingAfterBreak="0">
    <w:nsid w:val="7F261BD4"/>
    <w:multiLevelType w:val="hybridMultilevel"/>
    <w:tmpl w:val="8E943C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6" w15:restartNumberingAfterBreak="0">
    <w:nsid w:val="7FC908C2"/>
    <w:multiLevelType w:val="hybridMultilevel"/>
    <w:tmpl w:val="390CFB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7"/>
  </w:num>
  <w:num w:numId="2">
    <w:abstractNumId w:val="89"/>
  </w:num>
  <w:num w:numId="3">
    <w:abstractNumId w:val="188"/>
  </w:num>
  <w:num w:numId="4">
    <w:abstractNumId w:val="185"/>
  </w:num>
  <w:num w:numId="5">
    <w:abstractNumId w:val="152"/>
  </w:num>
  <w:num w:numId="6">
    <w:abstractNumId w:val="26"/>
  </w:num>
  <w:num w:numId="7">
    <w:abstractNumId w:val="104"/>
  </w:num>
  <w:num w:numId="8">
    <w:abstractNumId w:val="30"/>
  </w:num>
  <w:num w:numId="9">
    <w:abstractNumId w:val="134"/>
  </w:num>
  <w:num w:numId="10">
    <w:abstractNumId w:val="215"/>
  </w:num>
  <w:num w:numId="11">
    <w:abstractNumId w:val="233"/>
  </w:num>
  <w:num w:numId="12">
    <w:abstractNumId w:val="40"/>
  </w:num>
  <w:num w:numId="13">
    <w:abstractNumId w:val="115"/>
  </w:num>
  <w:num w:numId="14">
    <w:abstractNumId w:val="66"/>
  </w:num>
  <w:num w:numId="15">
    <w:abstractNumId w:val="161"/>
  </w:num>
  <w:num w:numId="16">
    <w:abstractNumId w:val="223"/>
  </w:num>
  <w:num w:numId="17">
    <w:abstractNumId w:val="10"/>
  </w:num>
  <w:num w:numId="18">
    <w:abstractNumId w:val="60"/>
  </w:num>
  <w:num w:numId="19">
    <w:abstractNumId w:val="212"/>
  </w:num>
  <w:num w:numId="20">
    <w:abstractNumId w:val="159"/>
  </w:num>
  <w:num w:numId="21">
    <w:abstractNumId w:val="114"/>
  </w:num>
  <w:num w:numId="22">
    <w:abstractNumId w:val="78"/>
  </w:num>
  <w:num w:numId="23">
    <w:abstractNumId w:val="112"/>
  </w:num>
  <w:num w:numId="24">
    <w:abstractNumId w:val="184"/>
  </w:num>
  <w:num w:numId="25">
    <w:abstractNumId w:val="119"/>
  </w:num>
  <w:num w:numId="26">
    <w:abstractNumId w:val="127"/>
  </w:num>
  <w:num w:numId="27">
    <w:abstractNumId w:val="0"/>
  </w:num>
  <w:num w:numId="28">
    <w:abstractNumId w:val="1"/>
  </w:num>
  <w:num w:numId="29">
    <w:abstractNumId w:val="2"/>
  </w:num>
  <w:num w:numId="30">
    <w:abstractNumId w:val="3"/>
  </w:num>
  <w:num w:numId="31">
    <w:abstractNumId w:val="4"/>
  </w:num>
  <w:num w:numId="32">
    <w:abstractNumId w:val="5"/>
  </w:num>
  <w:num w:numId="33">
    <w:abstractNumId w:val="6"/>
  </w:num>
  <w:num w:numId="34">
    <w:abstractNumId w:val="7"/>
  </w:num>
  <w:num w:numId="35">
    <w:abstractNumId w:val="8"/>
  </w:num>
  <w:num w:numId="36">
    <w:abstractNumId w:val="172"/>
  </w:num>
  <w:num w:numId="37">
    <w:abstractNumId w:val="9"/>
  </w:num>
  <w:num w:numId="38">
    <w:abstractNumId w:val="87"/>
  </w:num>
  <w:num w:numId="39">
    <w:abstractNumId w:val="34"/>
  </w:num>
  <w:num w:numId="40">
    <w:abstractNumId w:val="165"/>
  </w:num>
  <w:num w:numId="41">
    <w:abstractNumId w:val="80"/>
  </w:num>
  <w:num w:numId="42">
    <w:abstractNumId w:val="28"/>
  </w:num>
  <w:num w:numId="43">
    <w:abstractNumId w:val="146"/>
  </w:num>
  <w:num w:numId="44">
    <w:abstractNumId w:val="38"/>
  </w:num>
  <w:num w:numId="45">
    <w:abstractNumId w:val="216"/>
  </w:num>
  <w:num w:numId="46">
    <w:abstractNumId w:val="220"/>
  </w:num>
  <w:num w:numId="47">
    <w:abstractNumId w:val="246"/>
  </w:num>
  <w:num w:numId="48">
    <w:abstractNumId w:val="150"/>
  </w:num>
  <w:num w:numId="49">
    <w:abstractNumId w:val="61"/>
  </w:num>
  <w:num w:numId="50">
    <w:abstractNumId w:val="128"/>
  </w:num>
  <w:num w:numId="51">
    <w:abstractNumId w:val="180"/>
  </w:num>
  <w:num w:numId="52">
    <w:abstractNumId w:val="108"/>
  </w:num>
  <w:num w:numId="53">
    <w:abstractNumId w:val="120"/>
  </w:num>
  <w:num w:numId="54">
    <w:abstractNumId w:val="225"/>
  </w:num>
  <w:num w:numId="55">
    <w:abstractNumId w:val="151"/>
  </w:num>
  <w:num w:numId="56">
    <w:abstractNumId w:val="71"/>
  </w:num>
  <w:num w:numId="57">
    <w:abstractNumId w:val="221"/>
  </w:num>
  <w:num w:numId="58">
    <w:abstractNumId w:val="186"/>
  </w:num>
  <w:num w:numId="59">
    <w:abstractNumId w:val="245"/>
  </w:num>
  <w:num w:numId="60">
    <w:abstractNumId w:val="18"/>
  </w:num>
  <w:num w:numId="61">
    <w:abstractNumId w:val="73"/>
  </w:num>
  <w:num w:numId="62">
    <w:abstractNumId w:val="99"/>
  </w:num>
  <w:num w:numId="63">
    <w:abstractNumId w:val="182"/>
  </w:num>
  <w:num w:numId="64">
    <w:abstractNumId w:val="174"/>
  </w:num>
  <w:num w:numId="65">
    <w:abstractNumId w:val="203"/>
  </w:num>
  <w:num w:numId="66">
    <w:abstractNumId w:val="41"/>
  </w:num>
  <w:num w:numId="67">
    <w:abstractNumId w:val="239"/>
  </w:num>
  <w:num w:numId="68">
    <w:abstractNumId w:val="235"/>
  </w:num>
  <w:num w:numId="69">
    <w:abstractNumId w:val="124"/>
  </w:num>
  <w:num w:numId="70">
    <w:abstractNumId w:val="196"/>
  </w:num>
  <w:num w:numId="71">
    <w:abstractNumId w:val="217"/>
  </w:num>
  <w:num w:numId="72">
    <w:abstractNumId w:val="138"/>
  </w:num>
  <w:num w:numId="73">
    <w:abstractNumId w:val="122"/>
  </w:num>
  <w:num w:numId="74">
    <w:abstractNumId w:val="193"/>
  </w:num>
  <w:num w:numId="75">
    <w:abstractNumId w:val="69"/>
  </w:num>
  <w:num w:numId="76">
    <w:abstractNumId w:val="90"/>
  </w:num>
  <w:num w:numId="77">
    <w:abstractNumId w:val="199"/>
  </w:num>
  <w:num w:numId="78">
    <w:abstractNumId w:val="213"/>
  </w:num>
  <w:num w:numId="79">
    <w:abstractNumId w:val="29"/>
  </w:num>
  <w:num w:numId="80">
    <w:abstractNumId w:val="59"/>
  </w:num>
  <w:num w:numId="81">
    <w:abstractNumId w:val="91"/>
  </w:num>
  <w:num w:numId="82">
    <w:abstractNumId w:val="219"/>
  </w:num>
  <w:num w:numId="83">
    <w:abstractNumId w:val="102"/>
  </w:num>
  <w:num w:numId="84">
    <w:abstractNumId w:val="238"/>
  </w:num>
  <w:num w:numId="85">
    <w:abstractNumId w:val="158"/>
  </w:num>
  <w:num w:numId="86">
    <w:abstractNumId w:val="218"/>
  </w:num>
  <w:num w:numId="87">
    <w:abstractNumId w:val="242"/>
  </w:num>
  <w:num w:numId="88">
    <w:abstractNumId w:val="16"/>
  </w:num>
  <w:num w:numId="89">
    <w:abstractNumId w:val="141"/>
  </w:num>
  <w:num w:numId="90">
    <w:abstractNumId w:val="111"/>
  </w:num>
  <w:num w:numId="91">
    <w:abstractNumId w:val="157"/>
  </w:num>
  <w:num w:numId="92">
    <w:abstractNumId w:val="154"/>
  </w:num>
  <w:num w:numId="93">
    <w:abstractNumId w:val="133"/>
  </w:num>
  <w:num w:numId="94">
    <w:abstractNumId w:val="55"/>
  </w:num>
  <w:num w:numId="95">
    <w:abstractNumId w:val="240"/>
  </w:num>
  <w:num w:numId="96">
    <w:abstractNumId w:val="101"/>
  </w:num>
  <w:num w:numId="97">
    <w:abstractNumId w:val="50"/>
  </w:num>
  <w:num w:numId="98">
    <w:abstractNumId w:val="231"/>
  </w:num>
  <w:num w:numId="99">
    <w:abstractNumId w:val="27"/>
  </w:num>
  <w:num w:numId="100">
    <w:abstractNumId w:val="129"/>
  </w:num>
  <w:num w:numId="101">
    <w:abstractNumId w:val="39"/>
  </w:num>
  <w:num w:numId="102">
    <w:abstractNumId w:val="25"/>
  </w:num>
  <w:num w:numId="103">
    <w:abstractNumId w:val="169"/>
  </w:num>
  <w:num w:numId="104">
    <w:abstractNumId w:val="137"/>
  </w:num>
  <w:num w:numId="105">
    <w:abstractNumId w:val="53"/>
  </w:num>
  <w:num w:numId="106">
    <w:abstractNumId w:val="45"/>
  </w:num>
  <w:num w:numId="107">
    <w:abstractNumId w:val="118"/>
  </w:num>
  <w:num w:numId="108">
    <w:abstractNumId w:val="68"/>
  </w:num>
  <w:num w:numId="109">
    <w:abstractNumId w:val="51"/>
  </w:num>
  <w:num w:numId="110">
    <w:abstractNumId w:val="153"/>
  </w:num>
  <w:num w:numId="111">
    <w:abstractNumId w:val="23"/>
  </w:num>
  <w:num w:numId="112">
    <w:abstractNumId w:val="236"/>
  </w:num>
  <w:num w:numId="113">
    <w:abstractNumId w:val="222"/>
  </w:num>
  <w:num w:numId="114">
    <w:abstractNumId w:val="230"/>
  </w:num>
  <w:num w:numId="115">
    <w:abstractNumId w:val="130"/>
  </w:num>
  <w:num w:numId="116">
    <w:abstractNumId w:val="84"/>
  </w:num>
  <w:num w:numId="117">
    <w:abstractNumId w:val="177"/>
  </w:num>
  <w:num w:numId="118">
    <w:abstractNumId w:val="232"/>
  </w:num>
  <w:num w:numId="119">
    <w:abstractNumId w:val="214"/>
  </w:num>
  <w:num w:numId="120">
    <w:abstractNumId w:val="109"/>
  </w:num>
  <w:num w:numId="121">
    <w:abstractNumId w:val="72"/>
  </w:num>
  <w:num w:numId="122">
    <w:abstractNumId w:val="33"/>
  </w:num>
  <w:num w:numId="123">
    <w:abstractNumId w:val="149"/>
  </w:num>
  <w:num w:numId="124">
    <w:abstractNumId w:val="162"/>
  </w:num>
  <w:num w:numId="125">
    <w:abstractNumId w:val="57"/>
  </w:num>
  <w:num w:numId="126">
    <w:abstractNumId w:val="125"/>
  </w:num>
  <w:num w:numId="127">
    <w:abstractNumId w:val="76"/>
  </w:num>
  <w:num w:numId="128">
    <w:abstractNumId w:val="15"/>
  </w:num>
  <w:num w:numId="129">
    <w:abstractNumId w:val="79"/>
  </w:num>
  <w:num w:numId="130">
    <w:abstractNumId w:val="24"/>
  </w:num>
  <w:num w:numId="131">
    <w:abstractNumId w:val="93"/>
  </w:num>
  <w:num w:numId="132">
    <w:abstractNumId w:val="44"/>
  </w:num>
  <w:num w:numId="133">
    <w:abstractNumId w:val="155"/>
  </w:num>
  <w:num w:numId="134">
    <w:abstractNumId w:val="14"/>
  </w:num>
  <w:num w:numId="135">
    <w:abstractNumId w:val="12"/>
  </w:num>
  <w:num w:numId="136">
    <w:abstractNumId w:val="54"/>
  </w:num>
  <w:num w:numId="137">
    <w:abstractNumId w:val="195"/>
  </w:num>
  <w:num w:numId="138">
    <w:abstractNumId w:val="170"/>
  </w:num>
  <w:num w:numId="139">
    <w:abstractNumId w:val="65"/>
  </w:num>
  <w:num w:numId="140">
    <w:abstractNumId w:val="58"/>
  </w:num>
  <w:num w:numId="141">
    <w:abstractNumId w:val="132"/>
  </w:num>
  <w:num w:numId="142">
    <w:abstractNumId w:val="48"/>
  </w:num>
  <w:num w:numId="143">
    <w:abstractNumId w:val="42"/>
  </w:num>
  <w:num w:numId="144">
    <w:abstractNumId w:val="176"/>
  </w:num>
  <w:num w:numId="145">
    <w:abstractNumId w:val="94"/>
  </w:num>
  <w:num w:numId="146">
    <w:abstractNumId w:val="145"/>
  </w:num>
  <w:num w:numId="147">
    <w:abstractNumId w:val="81"/>
  </w:num>
  <w:num w:numId="148">
    <w:abstractNumId w:val="244"/>
  </w:num>
  <w:num w:numId="149">
    <w:abstractNumId w:val="52"/>
  </w:num>
  <w:num w:numId="150">
    <w:abstractNumId w:val="156"/>
  </w:num>
  <w:num w:numId="151">
    <w:abstractNumId w:val="166"/>
  </w:num>
  <w:num w:numId="152">
    <w:abstractNumId w:val="139"/>
  </w:num>
  <w:num w:numId="153">
    <w:abstractNumId w:val="98"/>
  </w:num>
  <w:num w:numId="154">
    <w:abstractNumId w:val="67"/>
  </w:num>
  <w:num w:numId="155">
    <w:abstractNumId w:val="192"/>
  </w:num>
  <w:num w:numId="156">
    <w:abstractNumId w:val="105"/>
  </w:num>
  <w:num w:numId="157">
    <w:abstractNumId w:val="75"/>
  </w:num>
  <w:num w:numId="158">
    <w:abstractNumId w:val="178"/>
  </w:num>
  <w:num w:numId="159">
    <w:abstractNumId w:val="183"/>
  </w:num>
  <w:num w:numId="160">
    <w:abstractNumId w:val="160"/>
  </w:num>
  <w:num w:numId="161">
    <w:abstractNumId w:val="171"/>
  </w:num>
  <w:num w:numId="162">
    <w:abstractNumId w:val="123"/>
  </w:num>
  <w:num w:numId="163">
    <w:abstractNumId w:val="117"/>
  </w:num>
  <w:num w:numId="164">
    <w:abstractNumId w:val="47"/>
  </w:num>
  <w:num w:numId="165">
    <w:abstractNumId w:val="32"/>
  </w:num>
  <w:num w:numId="166">
    <w:abstractNumId w:val="35"/>
  </w:num>
  <w:num w:numId="167">
    <w:abstractNumId w:val="148"/>
  </w:num>
  <w:num w:numId="168">
    <w:abstractNumId w:val="190"/>
  </w:num>
  <w:num w:numId="169">
    <w:abstractNumId w:val="70"/>
  </w:num>
  <w:num w:numId="170">
    <w:abstractNumId w:val="147"/>
  </w:num>
  <w:num w:numId="171">
    <w:abstractNumId w:val="191"/>
  </w:num>
  <w:num w:numId="172">
    <w:abstractNumId w:val="64"/>
  </w:num>
  <w:num w:numId="173">
    <w:abstractNumId w:val="163"/>
  </w:num>
  <w:num w:numId="174">
    <w:abstractNumId w:val="211"/>
  </w:num>
  <w:num w:numId="175">
    <w:abstractNumId w:val="135"/>
  </w:num>
  <w:num w:numId="176">
    <w:abstractNumId w:val="202"/>
  </w:num>
  <w:num w:numId="177">
    <w:abstractNumId w:val="100"/>
  </w:num>
  <w:num w:numId="178">
    <w:abstractNumId w:val="17"/>
  </w:num>
  <w:num w:numId="179">
    <w:abstractNumId w:val="194"/>
  </w:num>
  <w:num w:numId="180">
    <w:abstractNumId w:val="77"/>
  </w:num>
  <w:num w:numId="181">
    <w:abstractNumId w:val="131"/>
  </w:num>
  <w:num w:numId="182">
    <w:abstractNumId w:val="62"/>
  </w:num>
  <w:num w:numId="183">
    <w:abstractNumId w:val="226"/>
  </w:num>
  <w:num w:numId="184">
    <w:abstractNumId w:val="95"/>
  </w:num>
  <w:num w:numId="185">
    <w:abstractNumId w:val="92"/>
  </w:num>
  <w:num w:numId="186">
    <w:abstractNumId w:val="207"/>
  </w:num>
  <w:num w:numId="187">
    <w:abstractNumId w:val="209"/>
  </w:num>
  <w:num w:numId="188">
    <w:abstractNumId w:val="143"/>
  </w:num>
  <w:num w:numId="189">
    <w:abstractNumId w:val="224"/>
  </w:num>
  <w:num w:numId="190">
    <w:abstractNumId w:val="204"/>
  </w:num>
  <w:num w:numId="191">
    <w:abstractNumId w:val="227"/>
  </w:num>
  <w:num w:numId="192">
    <w:abstractNumId w:val="107"/>
  </w:num>
  <w:num w:numId="193">
    <w:abstractNumId w:val="179"/>
  </w:num>
  <w:num w:numId="194">
    <w:abstractNumId w:val="206"/>
  </w:num>
  <w:num w:numId="195">
    <w:abstractNumId w:val="43"/>
  </w:num>
  <w:num w:numId="196">
    <w:abstractNumId w:val="208"/>
  </w:num>
  <w:num w:numId="197">
    <w:abstractNumId w:val="198"/>
  </w:num>
  <w:num w:numId="198">
    <w:abstractNumId w:val="4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36"/>
  </w:num>
  <w:num w:numId="200">
    <w:abstractNumId w:val="31"/>
  </w:num>
  <w:num w:numId="201">
    <w:abstractNumId w:val="22"/>
  </w:num>
  <w:num w:numId="202">
    <w:abstractNumId w:val="116"/>
  </w:num>
  <w:num w:numId="203">
    <w:abstractNumId w:val="97"/>
  </w:num>
  <w:num w:numId="204">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97"/>
  </w:num>
  <w:num w:numId="206">
    <w:abstractNumId w:val="74"/>
  </w:num>
  <w:num w:numId="207">
    <w:abstractNumId w:val="126"/>
  </w:num>
  <w:num w:numId="208">
    <w:abstractNumId w:val="110"/>
  </w:num>
  <w:num w:numId="209">
    <w:abstractNumId w:val="11"/>
  </w:num>
  <w:num w:numId="210">
    <w:abstractNumId w:val="20"/>
  </w:num>
  <w:num w:numId="211">
    <w:abstractNumId w:val="46"/>
  </w:num>
  <w:num w:numId="212">
    <w:abstractNumId w:val="181"/>
  </w:num>
  <w:num w:numId="213">
    <w:abstractNumId w:val="205"/>
  </w:num>
  <w:num w:numId="214">
    <w:abstractNumId w:val="37"/>
  </w:num>
  <w:num w:numId="215">
    <w:abstractNumId w:val="140"/>
  </w:num>
  <w:num w:numId="216">
    <w:abstractNumId w:val="128"/>
  </w:num>
  <w:num w:numId="217">
    <w:abstractNumId w:val="103"/>
  </w:num>
  <w:num w:numId="218">
    <w:abstractNumId w:val="210"/>
  </w:num>
  <w:num w:numId="219">
    <w:abstractNumId w:val="121"/>
  </w:num>
  <w:num w:numId="220">
    <w:abstractNumId w:val="200"/>
  </w:num>
  <w:num w:numId="221">
    <w:abstractNumId w:val="234"/>
  </w:num>
  <w:num w:numId="222">
    <w:abstractNumId w:val="136"/>
  </w:num>
  <w:num w:numId="223">
    <w:abstractNumId w:val="136"/>
    <w:lvlOverride w:ilvl="0">
      <w:startOverride w:val="2"/>
    </w:lvlOverride>
    <w:lvlOverride w:ilvl="1">
      <w:startOverride w:val="1"/>
    </w:lvlOverride>
  </w:num>
  <w:num w:numId="224">
    <w:abstractNumId w:val="136"/>
    <w:lvlOverride w:ilvl="0">
      <w:startOverride w:val="2"/>
    </w:lvlOverride>
    <w:lvlOverride w:ilvl="1">
      <w:startOverride w:val="1"/>
    </w:lvlOverride>
    <w:lvlOverride w:ilvl="2">
      <w:startOverride w:val="2"/>
    </w:lvlOverride>
  </w:num>
  <w:num w:numId="225">
    <w:abstractNumId w:val="136"/>
    <w:lvlOverride w:ilvl="0">
      <w:startOverride w:val="2"/>
    </w:lvlOverride>
    <w:lvlOverride w:ilvl="1">
      <w:startOverride w:val="2"/>
    </w:lvlOverride>
    <w:lvlOverride w:ilvl="2">
      <w:startOverride w:val="2"/>
    </w:lvlOverride>
  </w:num>
  <w:num w:numId="226">
    <w:abstractNumId w:val="136"/>
    <w:lvlOverride w:ilvl="0">
      <w:startOverride w:val="2"/>
    </w:lvlOverride>
    <w:lvlOverride w:ilvl="1">
      <w:startOverride w:val="3"/>
    </w:lvlOverride>
    <w:lvlOverride w:ilvl="2">
      <w:startOverride w:val="2"/>
    </w:lvlOverride>
  </w:num>
  <w:num w:numId="227">
    <w:abstractNumId w:val="96"/>
  </w:num>
  <w:num w:numId="228">
    <w:abstractNumId w:val="49"/>
  </w:num>
  <w:num w:numId="229">
    <w:abstractNumId w:val="142"/>
  </w:num>
  <w:num w:numId="230">
    <w:abstractNumId w:val="19"/>
  </w:num>
  <w:num w:numId="231">
    <w:abstractNumId w:val="237"/>
  </w:num>
  <w:num w:numId="232">
    <w:abstractNumId w:val="173"/>
  </w:num>
  <w:num w:numId="233">
    <w:abstractNumId w:val="88"/>
  </w:num>
  <w:num w:numId="234">
    <w:abstractNumId w:val="83"/>
  </w:num>
  <w:num w:numId="235">
    <w:abstractNumId w:val="187"/>
  </w:num>
  <w:num w:numId="236">
    <w:abstractNumId w:val="13"/>
  </w:num>
  <w:num w:numId="237">
    <w:abstractNumId w:val="56"/>
  </w:num>
  <w:num w:numId="238">
    <w:abstractNumId w:val="86"/>
  </w:num>
  <w:num w:numId="239">
    <w:abstractNumId w:val="144"/>
  </w:num>
  <w:num w:numId="240">
    <w:abstractNumId w:val="229"/>
  </w:num>
  <w:num w:numId="241">
    <w:abstractNumId w:val="56"/>
    <w:lvlOverride w:ilvl="0">
      <w:startOverride w:val="3"/>
    </w:lvlOverride>
    <w:lvlOverride w:ilvl="1">
      <w:startOverride w:val="4"/>
    </w:lvlOverride>
  </w:num>
  <w:num w:numId="242">
    <w:abstractNumId w:val="106"/>
  </w:num>
  <w:num w:numId="243">
    <w:abstractNumId w:val="225"/>
    <w:lvlOverride w:ilvl="0">
      <w:startOverride w:val="2"/>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21"/>
  </w:num>
  <w:num w:numId="245">
    <w:abstractNumId w:val="63"/>
  </w:num>
  <w:num w:numId="246">
    <w:abstractNumId w:val="201"/>
  </w:num>
  <w:num w:numId="247">
    <w:abstractNumId w:val="82"/>
  </w:num>
  <w:num w:numId="248">
    <w:abstractNumId w:val="234"/>
    <w:lvlOverride w:ilvl="0">
      <w:startOverride w:val="2"/>
    </w:lvlOverride>
    <w:lvlOverride w:ilvl="1">
      <w:startOverride w:val="1"/>
    </w:lvlOverride>
  </w:num>
  <w:num w:numId="249">
    <w:abstractNumId w:val="189"/>
  </w:num>
  <w:num w:numId="250">
    <w:abstractNumId w:val="164"/>
  </w:num>
  <w:num w:numId="251">
    <w:abstractNumId w:val="113"/>
  </w:num>
  <w:num w:numId="252">
    <w:abstractNumId w:val="85"/>
  </w:num>
  <w:num w:numId="253">
    <w:abstractNumId w:val="175"/>
  </w:num>
  <w:num w:numId="254">
    <w:abstractNumId w:val="168"/>
  </w:num>
  <w:num w:numId="255">
    <w:abstractNumId w:val="228"/>
  </w:num>
  <w:num w:numId="256">
    <w:abstractNumId w:val="241"/>
  </w:num>
  <w:numIdMacAtCleanup w:val="2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76CD"/>
    <w:rsid w:val="00001772"/>
    <w:rsid w:val="00001775"/>
    <w:rsid w:val="0000235C"/>
    <w:rsid w:val="000024AB"/>
    <w:rsid w:val="0000290B"/>
    <w:rsid w:val="00003E9E"/>
    <w:rsid w:val="00003F93"/>
    <w:rsid w:val="00004137"/>
    <w:rsid w:val="0000451E"/>
    <w:rsid w:val="00004DF5"/>
    <w:rsid w:val="00005251"/>
    <w:rsid w:val="000053AD"/>
    <w:rsid w:val="000055CB"/>
    <w:rsid w:val="000056C4"/>
    <w:rsid w:val="00006030"/>
    <w:rsid w:val="0000663D"/>
    <w:rsid w:val="000073A1"/>
    <w:rsid w:val="000079D2"/>
    <w:rsid w:val="0001009D"/>
    <w:rsid w:val="000102B0"/>
    <w:rsid w:val="00011E19"/>
    <w:rsid w:val="00012267"/>
    <w:rsid w:val="00012FA0"/>
    <w:rsid w:val="00012FF2"/>
    <w:rsid w:val="00013100"/>
    <w:rsid w:val="00013FE1"/>
    <w:rsid w:val="000140EC"/>
    <w:rsid w:val="000151F8"/>
    <w:rsid w:val="00015261"/>
    <w:rsid w:val="000154B7"/>
    <w:rsid w:val="000176CD"/>
    <w:rsid w:val="0001791E"/>
    <w:rsid w:val="00017BA6"/>
    <w:rsid w:val="00017E77"/>
    <w:rsid w:val="0002023E"/>
    <w:rsid w:val="000209C6"/>
    <w:rsid w:val="00022511"/>
    <w:rsid w:val="00022FAF"/>
    <w:rsid w:val="00024FB5"/>
    <w:rsid w:val="0002554D"/>
    <w:rsid w:val="000263D5"/>
    <w:rsid w:val="000263FB"/>
    <w:rsid w:val="00026E8E"/>
    <w:rsid w:val="00027828"/>
    <w:rsid w:val="00027B1D"/>
    <w:rsid w:val="00032619"/>
    <w:rsid w:val="0003301A"/>
    <w:rsid w:val="0003313B"/>
    <w:rsid w:val="0003323C"/>
    <w:rsid w:val="000336A4"/>
    <w:rsid w:val="000336B7"/>
    <w:rsid w:val="0003415D"/>
    <w:rsid w:val="00035F21"/>
    <w:rsid w:val="00036562"/>
    <w:rsid w:val="00036C93"/>
    <w:rsid w:val="00036CD9"/>
    <w:rsid w:val="00036E43"/>
    <w:rsid w:val="00036EF2"/>
    <w:rsid w:val="00037808"/>
    <w:rsid w:val="00040AD0"/>
    <w:rsid w:val="00040DA5"/>
    <w:rsid w:val="0004120E"/>
    <w:rsid w:val="00042946"/>
    <w:rsid w:val="00044AB3"/>
    <w:rsid w:val="00045B2E"/>
    <w:rsid w:val="00045BE0"/>
    <w:rsid w:val="00046051"/>
    <w:rsid w:val="00047368"/>
    <w:rsid w:val="000509D5"/>
    <w:rsid w:val="00051AA7"/>
    <w:rsid w:val="00051CC9"/>
    <w:rsid w:val="000528C5"/>
    <w:rsid w:val="00053CCE"/>
    <w:rsid w:val="00054C1F"/>
    <w:rsid w:val="000552CC"/>
    <w:rsid w:val="0005765B"/>
    <w:rsid w:val="000607F4"/>
    <w:rsid w:val="00062943"/>
    <w:rsid w:val="00062EF1"/>
    <w:rsid w:val="00063237"/>
    <w:rsid w:val="00071736"/>
    <w:rsid w:val="00071AB5"/>
    <w:rsid w:val="00073837"/>
    <w:rsid w:val="00074587"/>
    <w:rsid w:val="00074835"/>
    <w:rsid w:val="00075E5B"/>
    <w:rsid w:val="00076F43"/>
    <w:rsid w:val="00077B44"/>
    <w:rsid w:val="00080570"/>
    <w:rsid w:val="00080832"/>
    <w:rsid w:val="00080D6B"/>
    <w:rsid w:val="00080F70"/>
    <w:rsid w:val="00081CD6"/>
    <w:rsid w:val="000824DB"/>
    <w:rsid w:val="000830D6"/>
    <w:rsid w:val="00083D33"/>
    <w:rsid w:val="000841D9"/>
    <w:rsid w:val="0008675C"/>
    <w:rsid w:val="00087350"/>
    <w:rsid w:val="00087918"/>
    <w:rsid w:val="0009000F"/>
    <w:rsid w:val="000912E5"/>
    <w:rsid w:val="00091ECD"/>
    <w:rsid w:val="00092B22"/>
    <w:rsid w:val="00092F00"/>
    <w:rsid w:val="00093365"/>
    <w:rsid w:val="0009393B"/>
    <w:rsid w:val="00095523"/>
    <w:rsid w:val="000969E4"/>
    <w:rsid w:val="000A290D"/>
    <w:rsid w:val="000A4B83"/>
    <w:rsid w:val="000A4B94"/>
    <w:rsid w:val="000A6263"/>
    <w:rsid w:val="000A65F8"/>
    <w:rsid w:val="000A720D"/>
    <w:rsid w:val="000B0195"/>
    <w:rsid w:val="000B035F"/>
    <w:rsid w:val="000B087E"/>
    <w:rsid w:val="000B0BEF"/>
    <w:rsid w:val="000B16E4"/>
    <w:rsid w:val="000B1C36"/>
    <w:rsid w:val="000B1CB5"/>
    <w:rsid w:val="000B368B"/>
    <w:rsid w:val="000B63B3"/>
    <w:rsid w:val="000B6669"/>
    <w:rsid w:val="000B7051"/>
    <w:rsid w:val="000C0550"/>
    <w:rsid w:val="000C080D"/>
    <w:rsid w:val="000C0FC9"/>
    <w:rsid w:val="000C11D3"/>
    <w:rsid w:val="000C1E56"/>
    <w:rsid w:val="000C2550"/>
    <w:rsid w:val="000C2908"/>
    <w:rsid w:val="000C3689"/>
    <w:rsid w:val="000C452F"/>
    <w:rsid w:val="000C4F5C"/>
    <w:rsid w:val="000C5C54"/>
    <w:rsid w:val="000C5D1E"/>
    <w:rsid w:val="000C6B1F"/>
    <w:rsid w:val="000C78B1"/>
    <w:rsid w:val="000C7C14"/>
    <w:rsid w:val="000D09CD"/>
    <w:rsid w:val="000D0FCF"/>
    <w:rsid w:val="000D1377"/>
    <w:rsid w:val="000D1AEF"/>
    <w:rsid w:val="000D1D81"/>
    <w:rsid w:val="000D228C"/>
    <w:rsid w:val="000D27EC"/>
    <w:rsid w:val="000D29E8"/>
    <w:rsid w:val="000D2B7F"/>
    <w:rsid w:val="000D2FAD"/>
    <w:rsid w:val="000D3B54"/>
    <w:rsid w:val="000D442D"/>
    <w:rsid w:val="000D47E5"/>
    <w:rsid w:val="000D4B94"/>
    <w:rsid w:val="000D4FBD"/>
    <w:rsid w:val="000D5ADA"/>
    <w:rsid w:val="000D5C79"/>
    <w:rsid w:val="000D64CA"/>
    <w:rsid w:val="000D66D5"/>
    <w:rsid w:val="000D6C3C"/>
    <w:rsid w:val="000D797C"/>
    <w:rsid w:val="000D7FCE"/>
    <w:rsid w:val="000E014C"/>
    <w:rsid w:val="000E1850"/>
    <w:rsid w:val="000E1EC3"/>
    <w:rsid w:val="000E24BC"/>
    <w:rsid w:val="000E2FD1"/>
    <w:rsid w:val="000E312B"/>
    <w:rsid w:val="000E31BE"/>
    <w:rsid w:val="000E34E1"/>
    <w:rsid w:val="000E3AB0"/>
    <w:rsid w:val="000E40A5"/>
    <w:rsid w:val="000E55F8"/>
    <w:rsid w:val="000E5693"/>
    <w:rsid w:val="000E5EC6"/>
    <w:rsid w:val="000E721A"/>
    <w:rsid w:val="000E72DD"/>
    <w:rsid w:val="000E7F7E"/>
    <w:rsid w:val="000E7FAC"/>
    <w:rsid w:val="000F14AD"/>
    <w:rsid w:val="000F2026"/>
    <w:rsid w:val="000F2696"/>
    <w:rsid w:val="000F3184"/>
    <w:rsid w:val="000F3516"/>
    <w:rsid w:val="000F3771"/>
    <w:rsid w:val="000F4EF8"/>
    <w:rsid w:val="000F51C3"/>
    <w:rsid w:val="000F5258"/>
    <w:rsid w:val="000F65A1"/>
    <w:rsid w:val="000F6845"/>
    <w:rsid w:val="000F6DE4"/>
    <w:rsid w:val="000F747D"/>
    <w:rsid w:val="000F7AA4"/>
    <w:rsid w:val="00103457"/>
    <w:rsid w:val="00103E8A"/>
    <w:rsid w:val="001040FF"/>
    <w:rsid w:val="00104A7C"/>
    <w:rsid w:val="001055E1"/>
    <w:rsid w:val="00107E24"/>
    <w:rsid w:val="00111137"/>
    <w:rsid w:val="001114A1"/>
    <w:rsid w:val="001119F2"/>
    <w:rsid w:val="00111F0B"/>
    <w:rsid w:val="001122A8"/>
    <w:rsid w:val="00113442"/>
    <w:rsid w:val="001135D5"/>
    <w:rsid w:val="00113894"/>
    <w:rsid w:val="001158ED"/>
    <w:rsid w:val="00116DE3"/>
    <w:rsid w:val="00121C96"/>
    <w:rsid w:val="00122028"/>
    <w:rsid w:val="001232C4"/>
    <w:rsid w:val="0012533E"/>
    <w:rsid w:val="001254BE"/>
    <w:rsid w:val="00125CED"/>
    <w:rsid w:val="00126ADC"/>
    <w:rsid w:val="00126EB6"/>
    <w:rsid w:val="00127303"/>
    <w:rsid w:val="0013003E"/>
    <w:rsid w:val="001303F6"/>
    <w:rsid w:val="00130D80"/>
    <w:rsid w:val="00131638"/>
    <w:rsid w:val="001316FE"/>
    <w:rsid w:val="00131E0C"/>
    <w:rsid w:val="00131F8B"/>
    <w:rsid w:val="0013201C"/>
    <w:rsid w:val="001322CE"/>
    <w:rsid w:val="00133099"/>
    <w:rsid w:val="00133E75"/>
    <w:rsid w:val="001347D4"/>
    <w:rsid w:val="001403C2"/>
    <w:rsid w:val="00141AED"/>
    <w:rsid w:val="001422F4"/>
    <w:rsid w:val="0014273C"/>
    <w:rsid w:val="00142C3B"/>
    <w:rsid w:val="00142EB1"/>
    <w:rsid w:val="00142F6F"/>
    <w:rsid w:val="0014323A"/>
    <w:rsid w:val="001433B4"/>
    <w:rsid w:val="001438D2"/>
    <w:rsid w:val="00145AAB"/>
    <w:rsid w:val="00146C73"/>
    <w:rsid w:val="00146F44"/>
    <w:rsid w:val="0014737F"/>
    <w:rsid w:val="00147523"/>
    <w:rsid w:val="00150756"/>
    <w:rsid w:val="0015082D"/>
    <w:rsid w:val="001526F0"/>
    <w:rsid w:val="001555D2"/>
    <w:rsid w:val="00156298"/>
    <w:rsid w:val="001565D1"/>
    <w:rsid w:val="00156B52"/>
    <w:rsid w:val="00156FF2"/>
    <w:rsid w:val="00160688"/>
    <w:rsid w:val="00161242"/>
    <w:rsid w:val="00161F24"/>
    <w:rsid w:val="00163C72"/>
    <w:rsid w:val="00164534"/>
    <w:rsid w:val="001646A0"/>
    <w:rsid w:val="00164788"/>
    <w:rsid w:val="00164C66"/>
    <w:rsid w:val="00164D53"/>
    <w:rsid w:val="001667D1"/>
    <w:rsid w:val="00167B64"/>
    <w:rsid w:val="001708B9"/>
    <w:rsid w:val="00170958"/>
    <w:rsid w:val="00170A38"/>
    <w:rsid w:val="0017217A"/>
    <w:rsid w:val="00173B33"/>
    <w:rsid w:val="001752D6"/>
    <w:rsid w:val="001755F5"/>
    <w:rsid w:val="001763C7"/>
    <w:rsid w:val="001769D3"/>
    <w:rsid w:val="001771FB"/>
    <w:rsid w:val="00180823"/>
    <w:rsid w:val="00180A45"/>
    <w:rsid w:val="00181498"/>
    <w:rsid w:val="00181549"/>
    <w:rsid w:val="00181A0C"/>
    <w:rsid w:val="0018247B"/>
    <w:rsid w:val="001826C5"/>
    <w:rsid w:val="00183796"/>
    <w:rsid w:val="00183DD4"/>
    <w:rsid w:val="00185378"/>
    <w:rsid w:val="00185CA9"/>
    <w:rsid w:val="00185EC8"/>
    <w:rsid w:val="0018678B"/>
    <w:rsid w:val="00187C93"/>
    <w:rsid w:val="0019048F"/>
    <w:rsid w:val="00191176"/>
    <w:rsid w:val="001933F2"/>
    <w:rsid w:val="00193749"/>
    <w:rsid w:val="001941F6"/>
    <w:rsid w:val="0019517A"/>
    <w:rsid w:val="00196651"/>
    <w:rsid w:val="001A1417"/>
    <w:rsid w:val="001A37C8"/>
    <w:rsid w:val="001A3843"/>
    <w:rsid w:val="001A3D72"/>
    <w:rsid w:val="001A403E"/>
    <w:rsid w:val="001A5042"/>
    <w:rsid w:val="001A671D"/>
    <w:rsid w:val="001A7DEA"/>
    <w:rsid w:val="001B0348"/>
    <w:rsid w:val="001B08E9"/>
    <w:rsid w:val="001B1794"/>
    <w:rsid w:val="001B1834"/>
    <w:rsid w:val="001B2544"/>
    <w:rsid w:val="001B27C2"/>
    <w:rsid w:val="001B2FD4"/>
    <w:rsid w:val="001B3142"/>
    <w:rsid w:val="001B3A47"/>
    <w:rsid w:val="001B4BC4"/>
    <w:rsid w:val="001B5965"/>
    <w:rsid w:val="001B6124"/>
    <w:rsid w:val="001B7098"/>
    <w:rsid w:val="001B7199"/>
    <w:rsid w:val="001B793C"/>
    <w:rsid w:val="001B7C9F"/>
    <w:rsid w:val="001C02C2"/>
    <w:rsid w:val="001C1184"/>
    <w:rsid w:val="001C2044"/>
    <w:rsid w:val="001C5C6D"/>
    <w:rsid w:val="001C6232"/>
    <w:rsid w:val="001C687A"/>
    <w:rsid w:val="001C7D9D"/>
    <w:rsid w:val="001D19E4"/>
    <w:rsid w:val="001D3CEA"/>
    <w:rsid w:val="001D526E"/>
    <w:rsid w:val="001D54C6"/>
    <w:rsid w:val="001D5DD5"/>
    <w:rsid w:val="001D6324"/>
    <w:rsid w:val="001D68C1"/>
    <w:rsid w:val="001D6DF6"/>
    <w:rsid w:val="001D732B"/>
    <w:rsid w:val="001D7F97"/>
    <w:rsid w:val="001E0D5E"/>
    <w:rsid w:val="001E225E"/>
    <w:rsid w:val="001E2468"/>
    <w:rsid w:val="001E2656"/>
    <w:rsid w:val="001E2DC7"/>
    <w:rsid w:val="001E3BF8"/>
    <w:rsid w:val="001E4975"/>
    <w:rsid w:val="001E4C4E"/>
    <w:rsid w:val="001E54C6"/>
    <w:rsid w:val="001E60E5"/>
    <w:rsid w:val="001E7385"/>
    <w:rsid w:val="001E7A4F"/>
    <w:rsid w:val="001F0EDA"/>
    <w:rsid w:val="001F1308"/>
    <w:rsid w:val="001F1604"/>
    <w:rsid w:val="001F1ADE"/>
    <w:rsid w:val="001F202A"/>
    <w:rsid w:val="001F3C31"/>
    <w:rsid w:val="001F3FEB"/>
    <w:rsid w:val="001F48F6"/>
    <w:rsid w:val="001F50CC"/>
    <w:rsid w:val="001F52C2"/>
    <w:rsid w:val="001F58F7"/>
    <w:rsid w:val="001F6A87"/>
    <w:rsid w:val="001F6D9E"/>
    <w:rsid w:val="001F7291"/>
    <w:rsid w:val="001F73F2"/>
    <w:rsid w:val="00200767"/>
    <w:rsid w:val="0020084D"/>
    <w:rsid w:val="00202EB5"/>
    <w:rsid w:val="00203E01"/>
    <w:rsid w:val="0020443F"/>
    <w:rsid w:val="002068A6"/>
    <w:rsid w:val="002072BB"/>
    <w:rsid w:val="00210EE4"/>
    <w:rsid w:val="00211189"/>
    <w:rsid w:val="0021124D"/>
    <w:rsid w:val="0021143C"/>
    <w:rsid w:val="00211817"/>
    <w:rsid w:val="00214477"/>
    <w:rsid w:val="00215843"/>
    <w:rsid w:val="00217A6B"/>
    <w:rsid w:val="002200A9"/>
    <w:rsid w:val="0022011E"/>
    <w:rsid w:val="002219A9"/>
    <w:rsid w:val="002223DC"/>
    <w:rsid w:val="00224960"/>
    <w:rsid w:val="00225352"/>
    <w:rsid w:val="00227EA4"/>
    <w:rsid w:val="0023013C"/>
    <w:rsid w:val="00230DA0"/>
    <w:rsid w:val="0023104F"/>
    <w:rsid w:val="002316B9"/>
    <w:rsid w:val="00231C38"/>
    <w:rsid w:val="00231CA2"/>
    <w:rsid w:val="002320E9"/>
    <w:rsid w:val="00232120"/>
    <w:rsid w:val="00233599"/>
    <w:rsid w:val="00233E9A"/>
    <w:rsid w:val="0023422B"/>
    <w:rsid w:val="00237061"/>
    <w:rsid w:val="00240D2F"/>
    <w:rsid w:val="00241C66"/>
    <w:rsid w:val="00242B43"/>
    <w:rsid w:val="002462FB"/>
    <w:rsid w:val="00246676"/>
    <w:rsid w:val="00246F5A"/>
    <w:rsid w:val="002508B8"/>
    <w:rsid w:val="00250B58"/>
    <w:rsid w:val="0025143A"/>
    <w:rsid w:val="0025356F"/>
    <w:rsid w:val="0025362A"/>
    <w:rsid w:val="00253A24"/>
    <w:rsid w:val="00253C46"/>
    <w:rsid w:val="00253DEF"/>
    <w:rsid w:val="002544FE"/>
    <w:rsid w:val="00254DBF"/>
    <w:rsid w:val="0025556E"/>
    <w:rsid w:val="0025586B"/>
    <w:rsid w:val="00255B76"/>
    <w:rsid w:val="00255BAB"/>
    <w:rsid w:val="00256306"/>
    <w:rsid w:val="00256F0A"/>
    <w:rsid w:val="00257AF7"/>
    <w:rsid w:val="00260775"/>
    <w:rsid w:val="00260CDA"/>
    <w:rsid w:val="00261DBA"/>
    <w:rsid w:val="00261F67"/>
    <w:rsid w:val="0026281B"/>
    <w:rsid w:val="00264D0D"/>
    <w:rsid w:val="00265E9F"/>
    <w:rsid w:val="002662D6"/>
    <w:rsid w:val="00266C56"/>
    <w:rsid w:val="00266CA7"/>
    <w:rsid w:val="002708DC"/>
    <w:rsid w:val="002715F0"/>
    <w:rsid w:val="00271DC7"/>
    <w:rsid w:val="002723D2"/>
    <w:rsid w:val="0027294E"/>
    <w:rsid w:val="00273C18"/>
    <w:rsid w:val="00274491"/>
    <w:rsid w:val="002756B8"/>
    <w:rsid w:val="00275BD9"/>
    <w:rsid w:val="00275DFB"/>
    <w:rsid w:val="00275E29"/>
    <w:rsid w:val="0027663C"/>
    <w:rsid w:val="00277A31"/>
    <w:rsid w:val="002806AF"/>
    <w:rsid w:val="00280B92"/>
    <w:rsid w:val="002819B3"/>
    <w:rsid w:val="002829BE"/>
    <w:rsid w:val="00283221"/>
    <w:rsid w:val="00283A8D"/>
    <w:rsid w:val="00285222"/>
    <w:rsid w:val="00287162"/>
    <w:rsid w:val="002872E3"/>
    <w:rsid w:val="002913FD"/>
    <w:rsid w:val="002916CD"/>
    <w:rsid w:val="00292958"/>
    <w:rsid w:val="00292C0B"/>
    <w:rsid w:val="002935BE"/>
    <w:rsid w:val="002936A7"/>
    <w:rsid w:val="00293A54"/>
    <w:rsid w:val="00295103"/>
    <w:rsid w:val="002954FC"/>
    <w:rsid w:val="002956E3"/>
    <w:rsid w:val="00295A61"/>
    <w:rsid w:val="00296A04"/>
    <w:rsid w:val="002A1947"/>
    <w:rsid w:val="002A25D1"/>
    <w:rsid w:val="002A3944"/>
    <w:rsid w:val="002A466E"/>
    <w:rsid w:val="002A4F0B"/>
    <w:rsid w:val="002A68D9"/>
    <w:rsid w:val="002B03FC"/>
    <w:rsid w:val="002B0965"/>
    <w:rsid w:val="002B0D2A"/>
    <w:rsid w:val="002B3206"/>
    <w:rsid w:val="002B3295"/>
    <w:rsid w:val="002B5060"/>
    <w:rsid w:val="002B5C9F"/>
    <w:rsid w:val="002B6786"/>
    <w:rsid w:val="002B7802"/>
    <w:rsid w:val="002B78DE"/>
    <w:rsid w:val="002C04EC"/>
    <w:rsid w:val="002C10E8"/>
    <w:rsid w:val="002C1A40"/>
    <w:rsid w:val="002C2581"/>
    <w:rsid w:val="002C2594"/>
    <w:rsid w:val="002C27C1"/>
    <w:rsid w:val="002C3578"/>
    <w:rsid w:val="002C5E80"/>
    <w:rsid w:val="002C6ADB"/>
    <w:rsid w:val="002C6CAC"/>
    <w:rsid w:val="002C6F9E"/>
    <w:rsid w:val="002D0FF8"/>
    <w:rsid w:val="002D14B6"/>
    <w:rsid w:val="002D23E8"/>
    <w:rsid w:val="002D28C0"/>
    <w:rsid w:val="002D317D"/>
    <w:rsid w:val="002D4B31"/>
    <w:rsid w:val="002D4E31"/>
    <w:rsid w:val="002D4F3C"/>
    <w:rsid w:val="002D52C0"/>
    <w:rsid w:val="002D5AC0"/>
    <w:rsid w:val="002D6554"/>
    <w:rsid w:val="002D7AEE"/>
    <w:rsid w:val="002D7C1C"/>
    <w:rsid w:val="002E04E1"/>
    <w:rsid w:val="002E0927"/>
    <w:rsid w:val="002E0BC0"/>
    <w:rsid w:val="002E2C9B"/>
    <w:rsid w:val="002E2F9A"/>
    <w:rsid w:val="002E405C"/>
    <w:rsid w:val="002E5D89"/>
    <w:rsid w:val="002E6CF6"/>
    <w:rsid w:val="002E6D9C"/>
    <w:rsid w:val="002E74D2"/>
    <w:rsid w:val="002E7685"/>
    <w:rsid w:val="002F1336"/>
    <w:rsid w:val="002F1D50"/>
    <w:rsid w:val="002F356E"/>
    <w:rsid w:val="002F3939"/>
    <w:rsid w:val="002F3E6C"/>
    <w:rsid w:val="002F4239"/>
    <w:rsid w:val="002F6493"/>
    <w:rsid w:val="002F676D"/>
    <w:rsid w:val="002F6C39"/>
    <w:rsid w:val="002F71B0"/>
    <w:rsid w:val="002F71F5"/>
    <w:rsid w:val="0030051B"/>
    <w:rsid w:val="00301347"/>
    <w:rsid w:val="00302BC4"/>
    <w:rsid w:val="00303B3F"/>
    <w:rsid w:val="00303D69"/>
    <w:rsid w:val="00304392"/>
    <w:rsid w:val="00304F5D"/>
    <w:rsid w:val="003061C2"/>
    <w:rsid w:val="00306460"/>
    <w:rsid w:val="003068DB"/>
    <w:rsid w:val="00306C90"/>
    <w:rsid w:val="00306F31"/>
    <w:rsid w:val="003070AD"/>
    <w:rsid w:val="0031108D"/>
    <w:rsid w:val="003113F7"/>
    <w:rsid w:val="00311727"/>
    <w:rsid w:val="00312056"/>
    <w:rsid w:val="003127F7"/>
    <w:rsid w:val="003128B1"/>
    <w:rsid w:val="00312CF3"/>
    <w:rsid w:val="00313CF3"/>
    <w:rsid w:val="003144DC"/>
    <w:rsid w:val="00315888"/>
    <w:rsid w:val="00316328"/>
    <w:rsid w:val="0031636B"/>
    <w:rsid w:val="00317774"/>
    <w:rsid w:val="00320499"/>
    <w:rsid w:val="00320BDB"/>
    <w:rsid w:val="003210CC"/>
    <w:rsid w:val="00322BFF"/>
    <w:rsid w:val="00325FC4"/>
    <w:rsid w:val="0032604D"/>
    <w:rsid w:val="00326507"/>
    <w:rsid w:val="00327A79"/>
    <w:rsid w:val="00327F27"/>
    <w:rsid w:val="0033155D"/>
    <w:rsid w:val="00334A9A"/>
    <w:rsid w:val="00335105"/>
    <w:rsid w:val="003358AE"/>
    <w:rsid w:val="00335BB3"/>
    <w:rsid w:val="00335C41"/>
    <w:rsid w:val="00335CA4"/>
    <w:rsid w:val="003363CD"/>
    <w:rsid w:val="003365C7"/>
    <w:rsid w:val="00336EC0"/>
    <w:rsid w:val="003371F9"/>
    <w:rsid w:val="00340FED"/>
    <w:rsid w:val="003415E5"/>
    <w:rsid w:val="00341C6E"/>
    <w:rsid w:val="00342FCC"/>
    <w:rsid w:val="0034422A"/>
    <w:rsid w:val="003442D3"/>
    <w:rsid w:val="003447B4"/>
    <w:rsid w:val="00346C7B"/>
    <w:rsid w:val="00346CF4"/>
    <w:rsid w:val="00346E3C"/>
    <w:rsid w:val="0035075C"/>
    <w:rsid w:val="00351EED"/>
    <w:rsid w:val="0035240B"/>
    <w:rsid w:val="00352605"/>
    <w:rsid w:val="00352A25"/>
    <w:rsid w:val="003543EF"/>
    <w:rsid w:val="0035572C"/>
    <w:rsid w:val="0035582D"/>
    <w:rsid w:val="003562BD"/>
    <w:rsid w:val="003569A5"/>
    <w:rsid w:val="00356F02"/>
    <w:rsid w:val="00360453"/>
    <w:rsid w:val="00361397"/>
    <w:rsid w:val="00361E54"/>
    <w:rsid w:val="003622E6"/>
    <w:rsid w:val="00362E33"/>
    <w:rsid w:val="00364097"/>
    <w:rsid w:val="0036441E"/>
    <w:rsid w:val="00364F38"/>
    <w:rsid w:val="003655B5"/>
    <w:rsid w:val="00366611"/>
    <w:rsid w:val="00370581"/>
    <w:rsid w:val="00372C8B"/>
    <w:rsid w:val="0037310E"/>
    <w:rsid w:val="00373766"/>
    <w:rsid w:val="003760CF"/>
    <w:rsid w:val="00376419"/>
    <w:rsid w:val="00376596"/>
    <w:rsid w:val="00377434"/>
    <w:rsid w:val="00377AFB"/>
    <w:rsid w:val="00377C63"/>
    <w:rsid w:val="0038030E"/>
    <w:rsid w:val="00383164"/>
    <w:rsid w:val="00383516"/>
    <w:rsid w:val="00384613"/>
    <w:rsid w:val="00384E21"/>
    <w:rsid w:val="00385BC5"/>
    <w:rsid w:val="00386113"/>
    <w:rsid w:val="00386120"/>
    <w:rsid w:val="00386492"/>
    <w:rsid w:val="00386F83"/>
    <w:rsid w:val="0038736F"/>
    <w:rsid w:val="00387B59"/>
    <w:rsid w:val="00391685"/>
    <w:rsid w:val="00391D3D"/>
    <w:rsid w:val="00391DFB"/>
    <w:rsid w:val="00392D86"/>
    <w:rsid w:val="003930E8"/>
    <w:rsid w:val="00393DA1"/>
    <w:rsid w:val="00394DA8"/>
    <w:rsid w:val="00396CC3"/>
    <w:rsid w:val="003A0783"/>
    <w:rsid w:val="003A2AB6"/>
    <w:rsid w:val="003A2B2F"/>
    <w:rsid w:val="003A3148"/>
    <w:rsid w:val="003A3344"/>
    <w:rsid w:val="003A3E62"/>
    <w:rsid w:val="003A46DF"/>
    <w:rsid w:val="003A5CA0"/>
    <w:rsid w:val="003A60F7"/>
    <w:rsid w:val="003B0B6D"/>
    <w:rsid w:val="003B0D82"/>
    <w:rsid w:val="003B0F9C"/>
    <w:rsid w:val="003B2333"/>
    <w:rsid w:val="003B27D5"/>
    <w:rsid w:val="003B2FB6"/>
    <w:rsid w:val="003B3233"/>
    <w:rsid w:val="003B54C8"/>
    <w:rsid w:val="003B63FD"/>
    <w:rsid w:val="003B6B7E"/>
    <w:rsid w:val="003B7602"/>
    <w:rsid w:val="003B7E08"/>
    <w:rsid w:val="003C0290"/>
    <w:rsid w:val="003C0861"/>
    <w:rsid w:val="003C36AA"/>
    <w:rsid w:val="003C448E"/>
    <w:rsid w:val="003C4876"/>
    <w:rsid w:val="003C5A02"/>
    <w:rsid w:val="003C65F0"/>
    <w:rsid w:val="003D0163"/>
    <w:rsid w:val="003D019A"/>
    <w:rsid w:val="003D0BB3"/>
    <w:rsid w:val="003D0E2D"/>
    <w:rsid w:val="003D1BB2"/>
    <w:rsid w:val="003D1E48"/>
    <w:rsid w:val="003D1F60"/>
    <w:rsid w:val="003D2A4E"/>
    <w:rsid w:val="003D2EA4"/>
    <w:rsid w:val="003D35D1"/>
    <w:rsid w:val="003D3B73"/>
    <w:rsid w:val="003D3E36"/>
    <w:rsid w:val="003D3F27"/>
    <w:rsid w:val="003D4CB4"/>
    <w:rsid w:val="003D4ECD"/>
    <w:rsid w:val="003D4FE7"/>
    <w:rsid w:val="003D5A40"/>
    <w:rsid w:val="003D5C96"/>
    <w:rsid w:val="003D5E47"/>
    <w:rsid w:val="003D6683"/>
    <w:rsid w:val="003D6FFB"/>
    <w:rsid w:val="003D7347"/>
    <w:rsid w:val="003D75FA"/>
    <w:rsid w:val="003D7F64"/>
    <w:rsid w:val="003E0AF5"/>
    <w:rsid w:val="003E0B93"/>
    <w:rsid w:val="003E19BC"/>
    <w:rsid w:val="003E19CF"/>
    <w:rsid w:val="003E274B"/>
    <w:rsid w:val="003E29AB"/>
    <w:rsid w:val="003E3A3D"/>
    <w:rsid w:val="003E593E"/>
    <w:rsid w:val="003E6C8D"/>
    <w:rsid w:val="003E6E8A"/>
    <w:rsid w:val="003E7339"/>
    <w:rsid w:val="003E73FA"/>
    <w:rsid w:val="003E77E5"/>
    <w:rsid w:val="003F00E1"/>
    <w:rsid w:val="003F01E6"/>
    <w:rsid w:val="003F098C"/>
    <w:rsid w:val="003F1319"/>
    <w:rsid w:val="003F1C4A"/>
    <w:rsid w:val="003F200D"/>
    <w:rsid w:val="003F22A8"/>
    <w:rsid w:val="003F2630"/>
    <w:rsid w:val="003F3395"/>
    <w:rsid w:val="003F3B42"/>
    <w:rsid w:val="003F3D2F"/>
    <w:rsid w:val="003F445C"/>
    <w:rsid w:val="003F45CE"/>
    <w:rsid w:val="003F4C16"/>
    <w:rsid w:val="003F5A66"/>
    <w:rsid w:val="003F623F"/>
    <w:rsid w:val="003F71FC"/>
    <w:rsid w:val="003F74A1"/>
    <w:rsid w:val="003F7659"/>
    <w:rsid w:val="0040003A"/>
    <w:rsid w:val="004000E6"/>
    <w:rsid w:val="00401166"/>
    <w:rsid w:val="00401EE2"/>
    <w:rsid w:val="00404C07"/>
    <w:rsid w:val="0040658E"/>
    <w:rsid w:val="00406776"/>
    <w:rsid w:val="00406C5C"/>
    <w:rsid w:val="004076CF"/>
    <w:rsid w:val="004120A3"/>
    <w:rsid w:val="00412221"/>
    <w:rsid w:val="00412B32"/>
    <w:rsid w:val="00412E56"/>
    <w:rsid w:val="00413000"/>
    <w:rsid w:val="00413423"/>
    <w:rsid w:val="0041353B"/>
    <w:rsid w:val="00413FCE"/>
    <w:rsid w:val="00414FDC"/>
    <w:rsid w:val="00415D2B"/>
    <w:rsid w:val="00415EB8"/>
    <w:rsid w:val="004161D0"/>
    <w:rsid w:val="004165D8"/>
    <w:rsid w:val="00417025"/>
    <w:rsid w:val="00421ABB"/>
    <w:rsid w:val="00421E42"/>
    <w:rsid w:val="004239B9"/>
    <w:rsid w:val="00425659"/>
    <w:rsid w:val="00426BA3"/>
    <w:rsid w:val="00427724"/>
    <w:rsid w:val="00427797"/>
    <w:rsid w:val="00427835"/>
    <w:rsid w:val="00430370"/>
    <w:rsid w:val="00430C18"/>
    <w:rsid w:val="004337DE"/>
    <w:rsid w:val="00433FE0"/>
    <w:rsid w:val="004343D6"/>
    <w:rsid w:val="00435FFC"/>
    <w:rsid w:val="0043604A"/>
    <w:rsid w:val="004371C6"/>
    <w:rsid w:val="004373F5"/>
    <w:rsid w:val="0043762A"/>
    <w:rsid w:val="00437A97"/>
    <w:rsid w:val="004406E9"/>
    <w:rsid w:val="00441155"/>
    <w:rsid w:val="004420A9"/>
    <w:rsid w:val="004433FC"/>
    <w:rsid w:val="004434C3"/>
    <w:rsid w:val="004443DB"/>
    <w:rsid w:val="004473F0"/>
    <w:rsid w:val="00447581"/>
    <w:rsid w:val="00447F8C"/>
    <w:rsid w:val="00450436"/>
    <w:rsid w:val="004507E0"/>
    <w:rsid w:val="00451C4A"/>
    <w:rsid w:val="00452F4C"/>
    <w:rsid w:val="00454FD8"/>
    <w:rsid w:val="00455469"/>
    <w:rsid w:val="0045668D"/>
    <w:rsid w:val="00456B46"/>
    <w:rsid w:val="004600F5"/>
    <w:rsid w:val="00460655"/>
    <w:rsid w:val="004610EF"/>
    <w:rsid w:val="00462F94"/>
    <w:rsid w:val="004635CB"/>
    <w:rsid w:val="004637D7"/>
    <w:rsid w:val="00463BFD"/>
    <w:rsid w:val="00465099"/>
    <w:rsid w:val="004655DA"/>
    <w:rsid w:val="004679DA"/>
    <w:rsid w:val="00467C26"/>
    <w:rsid w:val="004708EF"/>
    <w:rsid w:val="00471BD6"/>
    <w:rsid w:val="00471DB4"/>
    <w:rsid w:val="004728DA"/>
    <w:rsid w:val="00472DD0"/>
    <w:rsid w:val="00472EDA"/>
    <w:rsid w:val="0047330D"/>
    <w:rsid w:val="00473371"/>
    <w:rsid w:val="00473E29"/>
    <w:rsid w:val="00473EDE"/>
    <w:rsid w:val="00475599"/>
    <w:rsid w:val="00476083"/>
    <w:rsid w:val="004762DF"/>
    <w:rsid w:val="00476883"/>
    <w:rsid w:val="004778AB"/>
    <w:rsid w:val="004779C3"/>
    <w:rsid w:val="004818F5"/>
    <w:rsid w:val="00483973"/>
    <w:rsid w:val="0048399C"/>
    <w:rsid w:val="00483C10"/>
    <w:rsid w:val="00484A58"/>
    <w:rsid w:val="004859AB"/>
    <w:rsid w:val="004868F9"/>
    <w:rsid w:val="00486BFC"/>
    <w:rsid w:val="00487C6D"/>
    <w:rsid w:val="0049052B"/>
    <w:rsid w:val="004908C9"/>
    <w:rsid w:val="00490D19"/>
    <w:rsid w:val="00492000"/>
    <w:rsid w:val="00493CD6"/>
    <w:rsid w:val="004950D9"/>
    <w:rsid w:val="00495408"/>
    <w:rsid w:val="004961C0"/>
    <w:rsid w:val="00496668"/>
    <w:rsid w:val="00496A4E"/>
    <w:rsid w:val="00496ED7"/>
    <w:rsid w:val="004A00C6"/>
    <w:rsid w:val="004A010A"/>
    <w:rsid w:val="004A03E1"/>
    <w:rsid w:val="004A0572"/>
    <w:rsid w:val="004A070D"/>
    <w:rsid w:val="004A1C07"/>
    <w:rsid w:val="004A1D17"/>
    <w:rsid w:val="004A3257"/>
    <w:rsid w:val="004A3AA2"/>
    <w:rsid w:val="004A3AE1"/>
    <w:rsid w:val="004A3DCE"/>
    <w:rsid w:val="004A3EFA"/>
    <w:rsid w:val="004A4AE9"/>
    <w:rsid w:val="004A4FE6"/>
    <w:rsid w:val="004A5D52"/>
    <w:rsid w:val="004A5DD7"/>
    <w:rsid w:val="004A61C6"/>
    <w:rsid w:val="004A621B"/>
    <w:rsid w:val="004A7F27"/>
    <w:rsid w:val="004B0993"/>
    <w:rsid w:val="004B0A34"/>
    <w:rsid w:val="004B2535"/>
    <w:rsid w:val="004B27E3"/>
    <w:rsid w:val="004B2A90"/>
    <w:rsid w:val="004B3162"/>
    <w:rsid w:val="004B4CD5"/>
    <w:rsid w:val="004B5C9F"/>
    <w:rsid w:val="004B5D3B"/>
    <w:rsid w:val="004B630B"/>
    <w:rsid w:val="004B65B2"/>
    <w:rsid w:val="004B6E6E"/>
    <w:rsid w:val="004B72EA"/>
    <w:rsid w:val="004B7700"/>
    <w:rsid w:val="004B7955"/>
    <w:rsid w:val="004C1381"/>
    <w:rsid w:val="004C2A8D"/>
    <w:rsid w:val="004C3766"/>
    <w:rsid w:val="004C3BE2"/>
    <w:rsid w:val="004C411E"/>
    <w:rsid w:val="004C4DEA"/>
    <w:rsid w:val="004C59F7"/>
    <w:rsid w:val="004C62F9"/>
    <w:rsid w:val="004C7BB1"/>
    <w:rsid w:val="004D071B"/>
    <w:rsid w:val="004D0D3A"/>
    <w:rsid w:val="004D1A85"/>
    <w:rsid w:val="004D1EEE"/>
    <w:rsid w:val="004D204D"/>
    <w:rsid w:val="004D253E"/>
    <w:rsid w:val="004D27E8"/>
    <w:rsid w:val="004D2DA1"/>
    <w:rsid w:val="004D2DC6"/>
    <w:rsid w:val="004D3900"/>
    <w:rsid w:val="004D397C"/>
    <w:rsid w:val="004D44D4"/>
    <w:rsid w:val="004D4EC9"/>
    <w:rsid w:val="004D5047"/>
    <w:rsid w:val="004D6F08"/>
    <w:rsid w:val="004D7D3A"/>
    <w:rsid w:val="004E072A"/>
    <w:rsid w:val="004E20C3"/>
    <w:rsid w:val="004E3438"/>
    <w:rsid w:val="004E34AA"/>
    <w:rsid w:val="004E377F"/>
    <w:rsid w:val="004E46CC"/>
    <w:rsid w:val="004E474F"/>
    <w:rsid w:val="004E75D4"/>
    <w:rsid w:val="004E7EFC"/>
    <w:rsid w:val="004E7F76"/>
    <w:rsid w:val="004F1136"/>
    <w:rsid w:val="004F23E5"/>
    <w:rsid w:val="004F2BE7"/>
    <w:rsid w:val="004F3C5A"/>
    <w:rsid w:val="004F5364"/>
    <w:rsid w:val="004F542B"/>
    <w:rsid w:val="004F61D5"/>
    <w:rsid w:val="004F6E0E"/>
    <w:rsid w:val="004F7528"/>
    <w:rsid w:val="004F7A28"/>
    <w:rsid w:val="005008FF"/>
    <w:rsid w:val="00501218"/>
    <w:rsid w:val="00501324"/>
    <w:rsid w:val="00501411"/>
    <w:rsid w:val="00501736"/>
    <w:rsid w:val="00501AD6"/>
    <w:rsid w:val="00501B58"/>
    <w:rsid w:val="00502749"/>
    <w:rsid w:val="00502BD1"/>
    <w:rsid w:val="00503853"/>
    <w:rsid w:val="00504C77"/>
    <w:rsid w:val="005057DF"/>
    <w:rsid w:val="005062E8"/>
    <w:rsid w:val="00507AC1"/>
    <w:rsid w:val="00510C10"/>
    <w:rsid w:val="00510CBF"/>
    <w:rsid w:val="00511D9C"/>
    <w:rsid w:val="00511F81"/>
    <w:rsid w:val="005130AF"/>
    <w:rsid w:val="005136AA"/>
    <w:rsid w:val="0051398E"/>
    <w:rsid w:val="00513D32"/>
    <w:rsid w:val="005148D1"/>
    <w:rsid w:val="00514A55"/>
    <w:rsid w:val="005152F4"/>
    <w:rsid w:val="005156E0"/>
    <w:rsid w:val="0051570D"/>
    <w:rsid w:val="00515835"/>
    <w:rsid w:val="00515B36"/>
    <w:rsid w:val="00515C73"/>
    <w:rsid w:val="00516575"/>
    <w:rsid w:val="00520F56"/>
    <w:rsid w:val="00521C7D"/>
    <w:rsid w:val="00521CEE"/>
    <w:rsid w:val="00521F32"/>
    <w:rsid w:val="005224BB"/>
    <w:rsid w:val="005229BE"/>
    <w:rsid w:val="00522A8B"/>
    <w:rsid w:val="00522E7D"/>
    <w:rsid w:val="00524A29"/>
    <w:rsid w:val="00525256"/>
    <w:rsid w:val="005253A0"/>
    <w:rsid w:val="005255E0"/>
    <w:rsid w:val="005260F8"/>
    <w:rsid w:val="00527240"/>
    <w:rsid w:val="00527300"/>
    <w:rsid w:val="00530A9E"/>
    <w:rsid w:val="0053249C"/>
    <w:rsid w:val="005324B7"/>
    <w:rsid w:val="005326EB"/>
    <w:rsid w:val="005331E2"/>
    <w:rsid w:val="0053341B"/>
    <w:rsid w:val="00533A20"/>
    <w:rsid w:val="00533D73"/>
    <w:rsid w:val="0053435E"/>
    <w:rsid w:val="00534A2B"/>
    <w:rsid w:val="00534D2B"/>
    <w:rsid w:val="005351EA"/>
    <w:rsid w:val="0053566D"/>
    <w:rsid w:val="00535F5E"/>
    <w:rsid w:val="00536B99"/>
    <w:rsid w:val="005405EB"/>
    <w:rsid w:val="005430D5"/>
    <w:rsid w:val="00543459"/>
    <w:rsid w:val="0054405D"/>
    <w:rsid w:val="005455D1"/>
    <w:rsid w:val="00546DC5"/>
    <w:rsid w:val="00547D28"/>
    <w:rsid w:val="00550513"/>
    <w:rsid w:val="00550CEE"/>
    <w:rsid w:val="00550D05"/>
    <w:rsid w:val="005517B0"/>
    <w:rsid w:val="00553262"/>
    <w:rsid w:val="00553269"/>
    <w:rsid w:val="0055384E"/>
    <w:rsid w:val="0055516B"/>
    <w:rsid w:val="00555B67"/>
    <w:rsid w:val="0055792F"/>
    <w:rsid w:val="005610E5"/>
    <w:rsid w:val="00561257"/>
    <w:rsid w:val="005617D0"/>
    <w:rsid w:val="00561B71"/>
    <w:rsid w:val="00561BEF"/>
    <w:rsid w:val="0056235D"/>
    <w:rsid w:val="005626F0"/>
    <w:rsid w:val="0056698C"/>
    <w:rsid w:val="00566B99"/>
    <w:rsid w:val="005670CC"/>
    <w:rsid w:val="00567545"/>
    <w:rsid w:val="00567A94"/>
    <w:rsid w:val="00567F04"/>
    <w:rsid w:val="00571734"/>
    <w:rsid w:val="005717D3"/>
    <w:rsid w:val="005725E1"/>
    <w:rsid w:val="00572861"/>
    <w:rsid w:val="00572D12"/>
    <w:rsid w:val="00573980"/>
    <w:rsid w:val="00574955"/>
    <w:rsid w:val="00575D61"/>
    <w:rsid w:val="00575ECA"/>
    <w:rsid w:val="00577454"/>
    <w:rsid w:val="00577E87"/>
    <w:rsid w:val="00580213"/>
    <w:rsid w:val="00580455"/>
    <w:rsid w:val="0058104E"/>
    <w:rsid w:val="005823F6"/>
    <w:rsid w:val="00584419"/>
    <w:rsid w:val="005857F0"/>
    <w:rsid w:val="00585A0F"/>
    <w:rsid w:val="00585DD1"/>
    <w:rsid w:val="00590329"/>
    <w:rsid w:val="00590FD4"/>
    <w:rsid w:val="00591F7A"/>
    <w:rsid w:val="005927EC"/>
    <w:rsid w:val="00593314"/>
    <w:rsid w:val="0059605E"/>
    <w:rsid w:val="005A0019"/>
    <w:rsid w:val="005A0043"/>
    <w:rsid w:val="005A0577"/>
    <w:rsid w:val="005A0B05"/>
    <w:rsid w:val="005A12B8"/>
    <w:rsid w:val="005A3829"/>
    <w:rsid w:val="005A43EF"/>
    <w:rsid w:val="005A58EC"/>
    <w:rsid w:val="005A6FC5"/>
    <w:rsid w:val="005B05EF"/>
    <w:rsid w:val="005B0937"/>
    <w:rsid w:val="005B0B34"/>
    <w:rsid w:val="005B2485"/>
    <w:rsid w:val="005B277A"/>
    <w:rsid w:val="005B436E"/>
    <w:rsid w:val="005B4FFF"/>
    <w:rsid w:val="005B7893"/>
    <w:rsid w:val="005C0410"/>
    <w:rsid w:val="005C11E6"/>
    <w:rsid w:val="005C144A"/>
    <w:rsid w:val="005C1F1D"/>
    <w:rsid w:val="005C2D40"/>
    <w:rsid w:val="005C38F6"/>
    <w:rsid w:val="005C483E"/>
    <w:rsid w:val="005C4C1F"/>
    <w:rsid w:val="005C5C38"/>
    <w:rsid w:val="005C61AC"/>
    <w:rsid w:val="005C688C"/>
    <w:rsid w:val="005C7B79"/>
    <w:rsid w:val="005C7C8D"/>
    <w:rsid w:val="005D012C"/>
    <w:rsid w:val="005D0927"/>
    <w:rsid w:val="005D1072"/>
    <w:rsid w:val="005D1EE4"/>
    <w:rsid w:val="005D2B04"/>
    <w:rsid w:val="005D2EBF"/>
    <w:rsid w:val="005D326C"/>
    <w:rsid w:val="005D40CE"/>
    <w:rsid w:val="005D49B3"/>
    <w:rsid w:val="005D4F50"/>
    <w:rsid w:val="005D7E41"/>
    <w:rsid w:val="005E0F04"/>
    <w:rsid w:val="005E0F53"/>
    <w:rsid w:val="005E28BF"/>
    <w:rsid w:val="005E3B9E"/>
    <w:rsid w:val="005E4558"/>
    <w:rsid w:val="005E473D"/>
    <w:rsid w:val="005E4A9A"/>
    <w:rsid w:val="005E7983"/>
    <w:rsid w:val="005F13B2"/>
    <w:rsid w:val="005F1C8D"/>
    <w:rsid w:val="005F293D"/>
    <w:rsid w:val="005F2D28"/>
    <w:rsid w:val="005F3061"/>
    <w:rsid w:val="005F430A"/>
    <w:rsid w:val="005F4B49"/>
    <w:rsid w:val="005F61D9"/>
    <w:rsid w:val="00600170"/>
    <w:rsid w:val="006003F1"/>
    <w:rsid w:val="0060046C"/>
    <w:rsid w:val="0060252B"/>
    <w:rsid w:val="00603571"/>
    <w:rsid w:val="00603C40"/>
    <w:rsid w:val="00604CB4"/>
    <w:rsid w:val="00605106"/>
    <w:rsid w:val="006051DC"/>
    <w:rsid w:val="006058C7"/>
    <w:rsid w:val="00605A39"/>
    <w:rsid w:val="00605FF9"/>
    <w:rsid w:val="0060622D"/>
    <w:rsid w:val="00606CF1"/>
    <w:rsid w:val="006073C1"/>
    <w:rsid w:val="00607444"/>
    <w:rsid w:val="0061016F"/>
    <w:rsid w:val="006110C1"/>
    <w:rsid w:val="00611113"/>
    <w:rsid w:val="00611233"/>
    <w:rsid w:val="006112AE"/>
    <w:rsid w:val="00611327"/>
    <w:rsid w:val="00611537"/>
    <w:rsid w:val="00614C95"/>
    <w:rsid w:val="00614D27"/>
    <w:rsid w:val="00614D6C"/>
    <w:rsid w:val="00616347"/>
    <w:rsid w:val="00616F05"/>
    <w:rsid w:val="0062212F"/>
    <w:rsid w:val="00622626"/>
    <w:rsid w:val="00622BA7"/>
    <w:rsid w:val="00623D13"/>
    <w:rsid w:val="00624571"/>
    <w:rsid w:val="006246A3"/>
    <w:rsid w:val="0062535D"/>
    <w:rsid w:val="006255BC"/>
    <w:rsid w:val="006255C0"/>
    <w:rsid w:val="0062607D"/>
    <w:rsid w:val="0062619B"/>
    <w:rsid w:val="0062659F"/>
    <w:rsid w:val="00631030"/>
    <w:rsid w:val="00631205"/>
    <w:rsid w:val="006324AE"/>
    <w:rsid w:val="00632D21"/>
    <w:rsid w:val="00634E84"/>
    <w:rsid w:val="00635A99"/>
    <w:rsid w:val="00636023"/>
    <w:rsid w:val="0063655A"/>
    <w:rsid w:val="0063702B"/>
    <w:rsid w:val="00637083"/>
    <w:rsid w:val="006376F5"/>
    <w:rsid w:val="006403CA"/>
    <w:rsid w:val="0064144C"/>
    <w:rsid w:val="00641768"/>
    <w:rsid w:val="00642DDA"/>
    <w:rsid w:val="00643E1B"/>
    <w:rsid w:val="00644120"/>
    <w:rsid w:val="00645C8B"/>
    <w:rsid w:val="00646053"/>
    <w:rsid w:val="006461A3"/>
    <w:rsid w:val="00646364"/>
    <w:rsid w:val="006463C7"/>
    <w:rsid w:val="00646646"/>
    <w:rsid w:val="006467B6"/>
    <w:rsid w:val="00646F02"/>
    <w:rsid w:val="006473A9"/>
    <w:rsid w:val="00647A58"/>
    <w:rsid w:val="00650DED"/>
    <w:rsid w:val="00651402"/>
    <w:rsid w:val="006515B9"/>
    <w:rsid w:val="00651AFF"/>
    <w:rsid w:val="00651EBB"/>
    <w:rsid w:val="0065438A"/>
    <w:rsid w:val="00654CC1"/>
    <w:rsid w:val="0065595C"/>
    <w:rsid w:val="00655A30"/>
    <w:rsid w:val="00655E70"/>
    <w:rsid w:val="006564F5"/>
    <w:rsid w:val="00656744"/>
    <w:rsid w:val="00656DD7"/>
    <w:rsid w:val="0065748C"/>
    <w:rsid w:val="00660962"/>
    <w:rsid w:val="00660F8A"/>
    <w:rsid w:val="00661B09"/>
    <w:rsid w:val="00662952"/>
    <w:rsid w:val="00663DC8"/>
    <w:rsid w:val="00664457"/>
    <w:rsid w:val="00664774"/>
    <w:rsid w:val="006700C9"/>
    <w:rsid w:val="00670B93"/>
    <w:rsid w:val="00670E5F"/>
    <w:rsid w:val="00671921"/>
    <w:rsid w:val="00673382"/>
    <w:rsid w:val="006751EF"/>
    <w:rsid w:val="00675C3D"/>
    <w:rsid w:val="0067667D"/>
    <w:rsid w:val="006768E4"/>
    <w:rsid w:val="00677F0A"/>
    <w:rsid w:val="006805EF"/>
    <w:rsid w:val="00680ED1"/>
    <w:rsid w:val="00681C47"/>
    <w:rsid w:val="00681CFD"/>
    <w:rsid w:val="006829C5"/>
    <w:rsid w:val="00682A63"/>
    <w:rsid w:val="00684518"/>
    <w:rsid w:val="0068530E"/>
    <w:rsid w:val="0068687C"/>
    <w:rsid w:val="006873EF"/>
    <w:rsid w:val="00690FD7"/>
    <w:rsid w:val="00691DB7"/>
    <w:rsid w:val="00691ED1"/>
    <w:rsid w:val="006921E3"/>
    <w:rsid w:val="00692969"/>
    <w:rsid w:val="006931DF"/>
    <w:rsid w:val="006937F2"/>
    <w:rsid w:val="006939FE"/>
    <w:rsid w:val="00694139"/>
    <w:rsid w:val="00696647"/>
    <w:rsid w:val="006968FF"/>
    <w:rsid w:val="006A063B"/>
    <w:rsid w:val="006A140E"/>
    <w:rsid w:val="006A143C"/>
    <w:rsid w:val="006A1B5C"/>
    <w:rsid w:val="006A2224"/>
    <w:rsid w:val="006A2271"/>
    <w:rsid w:val="006A262F"/>
    <w:rsid w:val="006A2A9F"/>
    <w:rsid w:val="006A2FD6"/>
    <w:rsid w:val="006A3345"/>
    <w:rsid w:val="006A3584"/>
    <w:rsid w:val="006A388C"/>
    <w:rsid w:val="006A45AF"/>
    <w:rsid w:val="006A6E27"/>
    <w:rsid w:val="006A6F83"/>
    <w:rsid w:val="006B0598"/>
    <w:rsid w:val="006B2F57"/>
    <w:rsid w:val="006B3D19"/>
    <w:rsid w:val="006B4D6B"/>
    <w:rsid w:val="006B4D80"/>
    <w:rsid w:val="006B642D"/>
    <w:rsid w:val="006B6D6E"/>
    <w:rsid w:val="006B6DE7"/>
    <w:rsid w:val="006B72C2"/>
    <w:rsid w:val="006B77A8"/>
    <w:rsid w:val="006B7BD5"/>
    <w:rsid w:val="006C05F3"/>
    <w:rsid w:val="006C062F"/>
    <w:rsid w:val="006C14EA"/>
    <w:rsid w:val="006C199B"/>
    <w:rsid w:val="006C1B45"/>
    <w:rsid w:val="006C24ED"/>
    <w:rsid w:val="006C3368"/>
    <w:rsid w:val="006C3405"/>
    <w:rsid w:val="006C3E90"/>
    <w:rsid w:val="006C5AE2"/>
    <w:rsid w:val="006C5B10"/>
    <w:rsid w:val="006C5E8B"/>
    <w:rsid w:val="006C6850"/>
    <w:rsid w:val="006C6AAB"/>
    <w:rsid w:val="006C6CF2"/>
    <w:rsid w:val="006D0227"/>
    <w:rsid w:val="006D106D"/>
    <w:rsid w:val="006D1A1E"/>
    <w:rsid w:val="006D1DB2"/>
    <w:rsid w:val="006D1EBD"/>
    <w:rsid w:val="006D214D"/>
    <w:rsid w:val="006D239A"/>
    <w:rsid w:val="006D2851"/>
    <w:rsid w:val="006D32E8"/>
    <w:rsid w:val="006D377D"/>
    <w:rsid w:val="006D382F"/>
    <w:rsid w:val="006D3889"/>
    <w:rsid w:val="006D43C3"/>
    <w:rsid w:val="006D6D72"/>
    <w:rsid w:val="006D730C"/>
    <w:rsid w:val="006D73CF"/>
    <w:rsid w:val="006D7A5E"/>
    <w:rsid w:val="006D7CBC"/>
    <w:rsid w:val="006D7D87"/>
    <w:rsid w:val="006E01FD"/>
    <w:rsid w:val="006E0494"/>
    <w:rsid w:val="006E0F4B"/>
    <w:rsid w:val="006E1DA5"/>
    <w:rsid w:val="006E21C2"/>
    <w:rsid w:val="006E2CC6"/>
    <w:rsid w:val="006E32BD"/>
    <w:rsid w:val="006E3BB6"/>
    <w:rsid w:val="006E3E41"/>
    <w:rsid w:val="006E469E"/>
    <w:rsid w:val="006E5310"/>
    <w:rsid w:val="006E62B4"/>
    <w:rsid w:val="006E6ED6"/>
    <w:rsid w:val="006F12AE"/>
    <w:rsid w:val="006F20C9"/>
    <w:rsid w:val="006F3197"/>
    <w:rsid w:val="006F3838"/>
    <w:rsid w:val="006F435A"/>
    <w:rsid w:val="006F4FCD"/>
    <w:rsid w:val="006F5634"/>
    <w:rsid w:val="006F686C"/>
    <w:rsid w:val="006F71EE"/>
    <w:rsid w:val="006F7634"/>
    <w:rsid w:val="006F79FF"/>
    <w:rsid w:val="007007D6"/>
    <w:rsid w:val="00700993"/>
    <w:rsid w:val="00700C25"/>
    <w:rsid w:val="00701C5C"/>
    <w:rsid w:val="00701E6D"/>
    <w:rsid w:val="00702AC2"/>
    <w:rsid w:val="00702AD8"/>
    <w:rsid w:val="00703483"/>
    <w:rsid w:val="00703654"/>
    <w:rsid w:val="007040FD"/>
    <w:rsid w:val="0070472B"/>
    <w:rsid w:val="00705AAE"/>
    <w:rsid w:val="00705C5C"/>
    <w:rsid w:val="00707B10"/>
    <w:rsid w:val="00707DDB"/>
    <w:rsid w:val="0071057E"/>
    <w:rsid w:val="00711022"/>
    <w:rsid w:val="007114C8"/>
    <w:rsid w:val="00711A8B"/>
    <w:rsid w:val="00713461"/>
    <w:rsid w:val="0071388D"/>
    <w:rsid w:val="00714015"/>
    <w:rsid w:val="00714410"/>
    <w:rsid w:val="00714438"/>
    <w:rsid w:val="0071459A"/>
    <w:rsid w:val="00714975"/>
    <w:rsid w:val="00714F33"/>
    <w:rsid w:val="0071584E"/>
    <w:rsid w:val="0071670D"/>
    <w:rsid w:val="00716863"/>
    <w:rsid w:val="0071694F"/>
    <w:rsid w:val="00717C5E"/>
    <w:rsid w:val="00720303"/>
    <w:rsid w:val="007207C6"/>
    <w:rsid w:val="00720CC2"/>
    <w:rsid w:val="007211CF"/>
    <w:rsid w:val="00722431"/>
    <w:rsid w:val="0072396A"/>
    <w:rsid w:val="007247A1"/>
    <w:rsid w:val="00724ABB"/>
    <w:rsid w:val="00724C01"/>
    <w:rsid w:val="007265E7"/>
    <w:rsid w:val="0073195A"/>
    <w:rsid w:val="007319A5"/>
    <w:rsid w:val="007327FC"/>
    <w:rsid w:val="007331E4"/>
    <w:rsid w:val="00734075"/>
    <w:rsid w:val="0073443E"/>
    <w:rsid w:val="0073449F"/>
    <w:rsid w:val="007350A2"/>
    <w:rsid w:val="007350E1"/>
    <w:rsid w:val="00735763"/>
    <w:rsid w:val="00736CE8"/>
    <w:rsid w:val="0073738C"/>
    <w:rsid w:val="00740D00"/>
    <w:rsid w:val="00741385"/>
    <w:rsid w:val="007415E3"/>
    <w:rsid w:val="00741695"/>
    <w:rsid w:val="00742C18"/>
    <w:rsid w:val="00743244"/>
    <w:rsid w:val="00743D92"/>
    <w:rsid w:val="00744D9F"/>
    <w:rsid w:val="00745080"/>
    <w:rsid w:val="00745C1C"/>
    <w:rsid w:val="007468AC"/>
    <w:rsid w:val="00746934"/>
    <w:rsid w:val="00746BF0"/>
    <w:rsid w:val="00746C6E"/>
    <w:rsid w:val="00747835"/>
    <w:rsid w:val="00747941"/>
    <w:rsid w:val="00747C4A"/>
    <w:rsid w:val="00750DB7"/>
    <w:rsid w:val="0075338B"/>
    <w:rsid w:val="00753919"/>
    <w:rsid w:val="00754AF4"/>
    <w:rsid w:val="00755197"/>
    <w:rsid w:val="00755E17"/>
    <w:rsid w:val="00757EA8"/>
    <w:rsid w:val="00760578"/>
    <w:rsid w:val="00760D48"/>
    <w:rsid w:val="00761E1F"/>
    <w:rsid w:val="007625B6"/>
    <w:rsid w:val="00762683"/>
    <w:rsid w:val="00762BF0"/>
    <w:rsid w:val="00762EF7"/>
    <w:rsid w:val="007649DD"/>
    <w:rsid w:val="00764A6F"/>
    <w:rsid w:val="00766558"/>
    <w:rsid w:val="007679CB"/>
    <w:rsid w:val="00767A4C"/>
    <w:rsid w:val="00767C99"/>
    <w:rsid w:val="0077010F"/>
    <w:rsid w:val="00770920"/>
    <w:rsid w:val="00771E1A"/>
    <w:rsid w:val="007732FF"/>
    <w:rsid w:val="00773988"/>
    <w:rsid w:val="00773D33"/>
    <w:rsid w:val="00773F6B"/>
    <w:rsid w:val="00774229"/>
    <w:rsid w:val="007747C7"/>
    <w:rsid w:val="00775658"/>
    <w:rsid w:val="00776557"/>
    <w:rsid w:val="007804A4"/>
    <w:rsid w:val="0078208A"/>
    <w:rsid w:val="007820C9"/>
    <w:rsid w:val="007822AA"/>
    <w:rsid w:val="007834EE"/>
    <w:rsid w:val="007849F0"/>
    <w:rsid w:val="0078502B"/>
    <w:rsid w:val="007851E2"/>
    <w:rsid w:val="00785E53"/>
    <w:rsid w:val="00786E66"/>
    <w:rsid w:val="00787710"/>
    <w:rsid w:val="00787F4D"/>
    <w:rsid w:val="007902DC"/>
    <w:rsid w:val="00790789"/>
    <w:rsid w:val="00791061"/>
    <w:rsid w:val="0079148B"/>
    <w:rsid w:val="007918BF"/>
    <w:rsid w:val="00791D66"/>
    <w:rsid w:val="00791DDE"/>
    <w:rsid w:val="00791E4F"/>
    <w:rsid w:val="007941A0"/>
    <w:rsid w:val="007943E5"/>
    <w:rsid w:val="007945AB"/>
    <w:rsid w:val="00794626"/>
    <w:rsid w:val="00794869"/>
    <w:rsid w:val="00795117"/>
    <w:rsid w:val="00795DBC"/>
    <w:rsid w:val="00796A46"/>
    <w:rsid w:val="00796D34"/>
    <w:rsid w:val="007A2BCD"/>
    <w:rsid w:val="007A3112"/>
    <w:rsid w:val="007A3515"/>
    <w:rsid w:val="007A3C0E"/>
    <w:rsid w:val="007A4F28"/>
    <w:rsid w:val="007A57E2"/>
    <w:rsid w:val="007A5F2B"/>
    <w:rsid w:val="007A6BAB"/>
    <w:rsid w:val="007A6F83"/>
    <w:rsid w:val="007B016B"/>
    <w:rsid w:val="007B032F"/>
    <w:rsid w:val="007B19B3"/>
    <w:rsid w:val="007B28BB"/>
    <w:rsid w:val="007B2B89"/>
    <w:rsid w:val="007B2C1A"/>
    <w:rsid w:val="007B2C74"/>
    <w:rsid w:val="007B352D"/>
    <w:rsid w:val="007B3B9E"/>
    <w:rsid w:val="007B3BFA"/>
    <w:rsid w:val="007B4DA0"/>
    <w:rsid w:val="007B6598"/>
    <w:rsid w:val="007B6B09"/>
    <w:rsid w:val="007C08E4"/>
    <w:rsid w:val="007C0AEC"/>
    <w:rsid w:val="007C20AD"/>
    <w:rsid w:val="007C23F1"/>
    <w:rsid w:val="007C437F"/>
    <w:rsid w:val="007C5418"/>
    <w:rsid w:val="007C5A27"/>
    <w:rsid w:val="007C7AB8"/>
    <w:rsid w:val="007D178B"/>
    <w:rsid w:val="007D243C"/>
    <w:rsid w:val="007D301A"/>
    <w:rsid w:val="007D388D"/>
    <w:rsid w:val="007D42F0"/>
    <w:rsid w:val="007D5EA2"/>
    <w:rsid w:val="007D5EDB"/>
    <w:rsid w:val="007D7D06"/>
    <w:rsid w:val="007E0E70"/>
    <w:rsid w:val="007E103A"/>
    <w:rsid w:val="007E288C"/>
    <w:rsid w:val="007E3F23"/>
    <w:rsid w:val="007E4E35"/>
    <w:rsid w:val="007E7161"/>
    <w:rsid w:val="007E7656"/>
    <w:rsid w:val="007E7E6E"/>
    <w:rsid w:val="007F0F1A"/>
    <w:rsid w:val="007F2349"/>
    <w:rsid w:val="007F2AE5"/>
    <w:rsid w:val="007F2E5C"/>
    <w:rsid w:val="007F357A"/>
    <w:rsid w:val="007F3603"/>
    <w:rsid w:val="007F3F7B"/>
    <w:rsid w:val="007F42A8"/>
    <w:rsid w:val="00802072"/>
    <w:rsid w:val="0080223B"/>
    <w:rsid w:val="00803D00"/>
    <w:rsid w:val="00804D54"/>
    <w:rsid w:val="008053C2"/>
    <w:rsid w:val="008065C0"/>
    <w:rsid w:val="00807999"/>
    <w:rsid w:val="008102C5"/>
    <w:rsid w:val="008109CC"/>
    <w:rsid w:val="00811734"/>
    <w:rsid w:val="008127B7"/>
    <w:rsid w:val="00812D12"/>
    <w:rsid w:val="008130DD"/>
    <w:rsid w:val="00813276"/>
    <w:rsid w:val="00813998"/>
    <w:rsid w:val="00813C88"/>
    <w:rsid w:val="00813FDD"/>
    <w:rsid w:val="00815E4A"/>
    <w:rsid w:val="008162E2"/>
    <w:rsid w:val="00816EF5"/>
    <w:rsid w:val="00817573"/>
    <w:rsid w:val="00817AA4"/>
    <w:rsid w:val="00820CA0"/>
    <w:rsid w:val="00820CDC"/>
    <w:rsid w:val="00820E84"/>
    <w:rsid w:val="008211EB"/>
    <w:rsid w:val="008219F1"/>
    <w:rsid w:val="008219F9"/>
    <w:rsid w:val="00821ADA"/>
    <w:rsid w:val="00821F02"/>
    <w:rsid w:val="00822008"/>
    <w:rsid w:val="008246B9"/>
    <w:rsid w:val="00824D18"/>
    <w:rsid w:val="0082698C"/>
    <w:rsid w:val="00826A4D"/>
    <w:rsid w:val="00826DB9"/>
    <w:rsid w:val="008301BF"/>
    <w:rsid w:val="00830454"/>
    <w:rsid w:val="00830764"/>
    <w:rsid w:val="00830784"/>
    <w:rsid w:val="008312E9"/>
    <w:rsid w:val="0083176A"/>
    <w:rsid w:val="00831795"/>
    <w:rsid w:val="008319E1"/>
    <w:rsid w:val="008328BC"/>
    <w:rsid w:val="00832F0F"/>
    <w:rsid w:val="00833376"/>
    <w:rsid w:val="00835192"/>
    <w:rsid w:val="008370C6"/>
    <w:rsid w:val="008403F4"/>
    <w:rsid w:val="0084227A"/>
    <w:rsid w:val="00843C85"/>
    <w:rsid w:val="00844644"/>
    <w:rsid w:val="00844A68"/>
    <w:rsid w:val="00845CDC"/>
    <w:rsid w:val="00847A4B"/>
    <w:rsid w:val="008507A9"/>
    <w:rsid w:val="00850898"/>
    <w:rsid w:val="00850F43"/>
    <w:rsid w:val="008510BC"/>
    <w:rsid w:val="00851264"/>
    <w:rsid w:val="00851577"/>
    <w:rsid w:val="00851A64"/>
    <w:rsid w:val="00851E4C"/>
    <w:rsid w:val="008520D6"/>
    <w:rsid w:val="00852105"/>
    <w:rsid w:val="008523C1"/>
    <w:rsid w:val="00853113"/>
    <w:rsid w:val="00853212"/>
    <w:rsid w:val="00853E0E"/>
    <w:rsid w:val="008548F5"/>
    <w:rsid w:val="00854AE2"/>
    <w:rsid w:val="008554CF"/>
    <w:rsid w:val="008577A7"/>
    <w:rsid w:val="00860A21"/>
    <w:rsid w:val="008639B2"/>
    <w:rsid w:val="00863BA0"/>
    <w:rsid w:val="00864B52"/>
    <w:rsid w:val="0086540E"/>
    <w:rsid w:val="00865C6A"/>
    <w:rsid w:val="00866EC1"/>
    <w:rsid w:val="00867190"/>
    <w:rsid w:val="0086777B"/>
    <w:rsid w:val="00867E89"/>
    <w:rsid w:val="008708CE"/>
    <w:rsid w:val="00871349"/>
    <w:rsid w:val="00872066"/>
    <w:rsid w:val="00874981"/>
    <w:rsid w:val="00874E5E"/>
    <w:rsid w:val="00875098"/>
    <w:rsid w:val="0087595F"/>
    <w:rsid w:val="00875C51"/>
    <w:rsid w:val="0087610B"/>
    <w:rsid w:val="00876542"/>
    <w:rsid w:val="00877084"/>
    <w:rsid w:val="0087737A"/>
    <w:rsid w:val="0088032C"/>
    <w:rsid w:val="0088109F"/>
    <w:rsid w:val="0088172E"/>
    <w:rsid w:val="00881F0A"/>
    <w:rsid w:val="008820F3"/>
    <w:rsid w:val="008827BC"/>
    <w:rsid w:val="00882FDC"/>
    <w:rsid w:val="00886385"/>
    <w:rsid w:val="008865C1"/>
    <w:rsid w:val="00886AB5"/>
    <w:rsid w:val="008909DA"/>
    <w:rsid w:val="0089152E"/>
    <w:rsid w:val="00892048"/>
    <w:rsid w:val="0089362F"/>
    <w:rsid w:val="00893FB4"/>
    <w:rsid w:val="00894523"/>
    <w:rsid w:val="00894B9C"/>
    <w:rsid w:val="008973FD"/>
    <w:rsid w:val="0089767C"/>
    <w:rsid w:val="008979AB"/>
    <w:rsid w:val="008A043E"/>
    <w:rsid w:val="008A2546"/>
    <w:rsid w:val="008A26F3"/>
    <w:rsid w:val="008A279C"/>
    <w:rsid w:val="008A2EEC"/>
    <w:rsid w:val="008A2F91"/>
    <w:rsid w:val="008A3034"/>
    <w:rsid w:val="008A3067"/>
    <w:rsid w:val="008A35D6"/>
    <w:rsid w:val="008A37D1"/>
    <w:rsid w:val="008A4E72"/>
    <w:rsid w:val="008A527C"/>
    <w:rsid w:val="008A529F"/>
    <w:rsid w:val="008A53B6"/>
    <w:rsid w:val="008A550E"/>
    <w:rsid w:val="008A55A4"/>
    <w:rsid w:val="008A5D90"/>
    <w:rsid w:val="008A6D8B"/>
    <w:rsid w:val="008A7B19"/>
    <w:rsid w:val="008B0873"/>
    <w:rsid w:val="008B1035"/>
    <w:rsid w:val="008B1B07"/>
    <w:rsid w:val="008B206B"/>
    <w:rsid w:val="008B2239"/>
    <w:rsid w:val="008B2B25"/>
    <w:rsid w:val="008B4D6F"/>
    <w:rsid w:val="008B4EB9"/>
    <w:rsid w:val="008B5141"/>
    <w:rsid w:val="008B52B8"/>
    <w:rsid w:val="008B53A4"/>
    <w:rsid w:val="008B5B82"/>
    <w:rsid w:val="008B64DD"/>
    <w:rsid w:val="008B6A0F"/>
    <w:rsid w:val="008B6FE3"/>
    <w:rsid w:val="008B722C"/>
    <w:rsid w:val="008B7E66"/>
    <w:rsid w:val="008C0349"/>
    <w:rsid w:val="008C098E"/>
    <w:rsid w:val="008C2763"/>
    <w:rsid w:val="008C3D2E"/>
    <w:rsid w:val="008C6407"/>
    <w:rsid w:val="008C714C"/>
    <w:rsid w:val="008C75FB"/>
    <w:rsid w:val="008C769D"/>
    <w:rsid w:val="008D0DD4"/>
    <w:rsid w:val="008D10E9"/>
    <w:rsid w:val="008D1334"/>
    <w:rsid w:val="008D231C"/>
    <w:rsid w:val="008D2BF9"/>
    <w:rsid w:val="008D2F6F"/>
    <w:rsid w:val="008D3049"/>
    <w:rsid w:val="008D35D0"/>
    <w:rsid w:val="008D4300"/>
    <w:rsid w:val="008D5363"/>
    <w:rsid w:val="008D719F"/>
    <w:rsid w:val="008D72C1"/>
    <w:rsid w:val="008D73F9"/>
    <w:rsid w:val="008D7483"/>
    <w:rsid w:val="008D74B5"/>
    <w:rsid w:val="008E05D5"/>
    <w:rsid w:val="008E10FF"/>
    <w:rsid w:val="008E1752"/>
    <w:rsid w:val="008E1C71"/>
    <w:rsid w:val="008E2FB8"/>
    <w:rsid w:val="008E3F55"/>
    <w:rsid w:val="008E52C0"/>
    <w:rsid w:val="008E6806"/>
    <w:rsid w:val="008E7096"/>
    <w:rsid w:val="008E73F4"/>
    <w:rsid w:val="008E7969"/>
    <w:rsid w:val="008E796D"/>
    <w:rsid w:val="008E7DE9"/>
    <w:rsid w:val="008E7FE3"/>
    <w:rsid w:val="008F1479"/>
    <w:rsid w:val="008F1A6F"/>
    <w:rsid w:val="008F1D4A"/>
    <w:rsid w:val="008F32F3"/>
    <w:rsid w:val="008F36CD"/>
    <w:rsid w:val="008F3BCA"/>
    <w:rsid w:val="008F4366"/>
    <w:rsid w:val="008F667F"/>
    <w:rsid w:val="008F7634"/>
    <w:rsid w:val="00900148"/>
    <w:rsid w:val="009004F7"/>
    <w:rsid w:val="00900B79"/>
    <w:rsid w:val="009011BE"/>
    <w:rsid w:val="009012AD"/>
    <w:rsid w:val="009012CD"/>
    <w:rsid w:val="00901806"/>
    <w:rsid w:val="00901839"/>
    <w:rsid w:val="00902918"/>
    <w:rsid w:val="0090355B"/>
    <w:rsid w:val="009036ED"/>
    <w:rsid w:val="00903F62"/>
    <w:rsid w:val="00904A6F"/>
    <w:rsid w:val="009058C8"/>
    <w:rsid w:val="00906145"/>
    <w:rsid w:val="00906A0E"/>
    <w:rsid w:val="009115E3"/>
    <w:rsid w:val="00911648"/>
    <w:rsid w:val="00912120"/>
    <w:rsid w:val="00913958"/>
    <w:rsid w:val="00913DEF"/>
    <w:rsid w:val="009145E9"/>
    <w:rsid w:val="009148F4"/>
    <w:rsid w:val="00914F1E"/>
    <w:rsid w:val="00915026"/>
    <w:rsid w:val="009158A3"/>
    <w:rsid w:val="00915DEC"/>
    <w:rsid w:val="00915FE7"/>
    <w:rsid w:val="0091659E"/>
    <w:rsid w:val="009169E5"/>
    <w:rsid w:val="00916B76"/>
    <w:rsid w:val="009173CA"/>
    <w:rsid w:val="00917BB5"/>
    <w:rsid w:val="00920BEF"/>
    <w:rsid w:val="00920CEF"/>
    <w:rsid w:val="00923499"/>
    <w:rsid w:val="009256DE"/>
    <w:rsid w:val="009257C1"/>
    <w:rsid w:val="00925BCB"/>
    <w:rsid w:val="00925D00"/>
    <w:rsid w:val="0092672B"/>
    <w:rsid w:val="00926B2F"/>
    <w:rsid w:val="009270AC"/>
    <w:rsid w:val="009276D9"/>
    <w:rsid w:val="00927726"/>
    <w:rsid w:val="00927C0D"/>
    <w:rsid w:val="0093006B"/>
    <w:rsid w:val="00932CF8"/>
    <w:rsid w:val="00932FD9"/>
    <w:rsid w:val="00933404"/>
    <w:rsid w:val="00933AFF"/>
    <w:rsid w:val="009342D4"/>
    <w:rsid w:val="009346F9"/>
    <w:rsid w:val="00935045"/>
    <w:rsid w:val="009355AB"/>
    <w:rsid w:val="00940CBE"/>
    <w:rsid w:val="0094278E"/>
    <w:rsid w:val="009461E2"/>
    <w:rsid w:val="00946AFA"/>
    <w:rsid w:val="00946BD0"/>
    <w:rsid w:val="00947228"/>
    <w:rsid w:val="009503B2"/>
    <w:rsid w:val="00951388"/>
    <w:rsid w:val="00952622"/>
    <w:rsid w:val="00953123"/>
    <w:rsid w:val="00953B85"/>
    <w:rsid w:val="009541C2"/>
    <w:rsid w:val="00954E86"/>
    <w:rsid w:val="00954EDD"/>
    <w:rsid w:val="009559EC"/>
    <w:rsid w:val="0095685A"/>
    <w:rsid w:val="00957B7E"/>
    <w:rsid w:val="00960D8B"/>
    <w:rsid w:val="009611B1"/>
    <w:rsid w:val="009613A2"/>
    <w:rsid w:val="00962CE1"/>
    <w:rsid w:val="00962DDF"/>
    <w:rsid w:val="00963017"/>
    <w:rsid w:val="00963213"/>
    <w:rsid w:val="009633A6"/>
    <w:rsid w:val="0096350B"/>
    <w:rsid w:val="00963531"/>
    <w:rsid w:val="0096419E"/>
    <w:rsid w:val="00966CB5"/>
    <w:rsid w:val="00970710"/>
    <w:rsid w:val="00970A25"/>
    <w:rsid w:val="009729E6"/>
    <w:rsid w:val="009733F6"/>
    <w:rsid w:val="00973552"/>
    <w:rsid w:val="00973B58"/>
    <w:rsid w:val="00974049"/>
    <w:rsid w:val="00974818"/>
    <w:rsid w:val="00975261"/>
    <w:rsid w:val="00976375"/>
    <w:rsid w:val="00977987"/>
    <w:rsid w:val="00981A9D"/>
    <w:rsid w:val="00981EB9"/>
    <w:rsid w:val="009839D8"/>
    <w:rsid w:val="00984421"/>
    <w:rsid w:val="0098550C"/>
    <w:rsid w:val="00986C81"/>
    <w:rsid w:val="00986CFA"/>
    <w:rsid w:val="00986D9A"/>
    <w:rsid w:val="00987807"/>
    <w:rsid w:val="0098795A"/>
    <w:rsid w:val="00990A9F"/>
    <w:rsid w:val="00990DF3"/>
    <w:rsid w:val="0099155A"/>
    <w:rsid w:val="00991972"/>
    <w:rsid w:val="00992960"/>
    <w:rsid w:val="00993B8F"/>
    <w:rsid w:val="009940BC"/>
    <w:rsid w:val="00994EBB"/>
    <w:rsid w:val="009954D1"/>
    <w:rsid w:val="00995CBA"/>
    <w:rsid w:val="009960C7"/>
    <w:rsid w:val="009969E3"/>
    <w:rsid w:val="00996E3F"/>
    <w:rsid w:val="00996FA6"/>
    <w:rsid w:val="00997045"/>
    <w:rsid w:val="009975BA"/>
    <w:rsid w:val="00997EFB"/>
    <w:rsid w:val="00997FC1"/>
    <w:rsid w:val="009A022C"/>
    <w:rsid w:val="009A0372"/>
    <w:rsid w:val="009A08F6"/>
    <w:rsid w:val="009A0E10"/>
    <w:rsid w:val="009A1BC0"/>
    <w:rsid w:val="009A217A"/>
    <w:rsid w:val="009A34E0"/>
    <w:rsid w:val="009A3FF2"/>
    <w:rsid w:val="009A468F"/>
    <w:rsid w:val="009A5890"/>
    <w:rsid w:val="009A6286"/>
    <w:rsid w:val="009A6568"/>
    <w:rsid w:val="009A69F2"/>
    <w:rsid w:val="009A78EC"/>
    <w:rsid w:val="009B067C"/>
    <w:rsid w:val="009B1902"/>
    <w:rsid w:val="009B1D64"/>
    <w:rsid w:val="009B2A03"/>
    <w:rsid w:val="009B2B18"/>
    <w:rsid w:val="009B3608"/>
    <w:rsid w:val="009B3ACA"/>
    <w:rsid w:val="009B3AE0"/>
    <w:rsid w:val="009B414D"/>
    <w:rsid w:val="009B4162"/>
    <w:rsid w:val="009B47A8"/>
    <w:rsid w:val="009B6A93"/>
    <w:rsid w:val="009B6CF8"/>
    <w:rsid w:val="009B6D20"/>
    <w:rsid w:val="009B6F7D"/>
    <w:rsid w:val="009B74D2"/>
    <w:rsid w:val="009C01A3"/>
    <w:rsid w:val="009C12E2"/>
    <w:rsid w:val="009C2B98"/>
    <w:rsid w:val="009C3438"/>
    <w:rsid w:val="009C3CA1"/>
    <w:rsid w:val="009C51C6"/>
    <w:rsid w:val="009C63A2"/>
    <w:rsid w:val="009C674A"/>
    <w:rsid w:val="009C6CD5"/>
    <w:rsid w:val="009C76E0"/>
    <w:rsid w:val="009C7BED"/>
    <w:rsid w:val="009C7DFF"/>
    <w:rsid w:val="009D0FD6"/>
    <w:rsid w:val="009D1AA8"/>
    <w:rsid w:val="009D238A"/>
    <w:rsid w:val="009D386B"/>
    <w:rsid w:val="009D3979"/>
    <w:rsid w:val="009D3A9C"/>
    <w:rsid w:val="009D4E35"/>
    <w:rsid w:val="009D5118"/>
    <w:rsid w:val="009D5619"/>
    <w:rsid w:val="009D5FB2"/>
    <w:rsid w:val="009D60A4"/>
    <w:rsid w:val="009D67FE"/>
    <w:rsid w:val="009D73C6"/>
    <w:rsid w:val="009E05A0"/>
    <w:rsid w:val="009E2880"/>
    <w:rsid w:val="009E2EB3"/>
    <w:rsid w:val="009E3989"/>
    <w:rsid w:val="009E49EA"/>
    <w:rsid w:val="009E5AED"/>
    <w:rsid w:val="009E6592"/>
    <w:rsid w:val="009E677A"/>
    <w:rsid w:val="009E68EB"/>
    <w:rsid w:val="009E6B76"/>
    <w:rsid w:val="009F0865"/>
    <w:rsid w:val="009F39D1"/>
    <w:rsid w:val="009F3D13"/>
    <w:rsid w:val="009F532D"/>
    <w:rsid w:val="009F542B"/>
    <w:rsid w:val="009F6698"/>
    <w:rsid w:val="009F66C7"/>
    <w:rsid w:val="009F7BC2"/>
    <w:rsid w:val="00A014FB"/>
    <w:rsid w:val="00A0178F"/>
    <w:rsid w:val="00A0199D"/>
    <w:rsid w:val="00A02B26"/>
    <w:rsid w:val="00A048CD"/>
    <w:rsid w:val="00A05BE2"/>
    <w:rsid w:val="00A1039E"/>
    <w:rsid w:val="00A104F0"/>
    <w:rsid w:val="00A10EEA"/>
    <w:rsid w:val="00A11089"/>
    <w:rsid w:val="00A11203"/>
    <w:rsid w:val="00A12D69"/>
    <w:rsid w:val="00A130BE"/>
    <w:rsid w:val="00A135B5"/>
    <w:rsid w:val="00A14C05"/>
    <w:rsid w:val="00A14E00"/>
    <w:rsid w:val="00A154D8"/>
    <w:rsid w:val="00A15B69"/>
    <w:rsid w:val="00A16C93"/>
    <w:rsid w:val="00A1717C"/>
    <w:rsid w:val="00A1724C"/>
    <w:rsid w:val="00A1767B"/>
    <w:rsid w:val="00A17AC3"/>
    <w:rsid w:val="00A2040F"/>
    <w:rsid w:val="00A206D7"/>
    <w:rsid w:val="00A20FAD"/>
    <w:rsid w:val="00A21159"/>
    <w:rsid w:val="00A21415"/>
    <w:rsid w:val="00A22101"/>
    <w:rsid w:val="00A24726"/>
    <w:rsid w:val="00A25328"/>
    <w:rsid w:val="00A27873"/>
    <w:rsid w:val="00A31069"/>
    <w:rsid w:val="00A31304"/>
    <w:rsid w:val="00A3141C"/>
    <w:rsid w:val="00A33166"/>
    <w:rsid w:val="00A33C08"/>
    <w:rsid w:val="00A33FDB"/>
    <w:rsid w:val="00A34297"/>
    <w:rsid w:val="00A35477"/>
    <w:rsid w:val="00A35870"/>
    <w:rsid w:val="00A36816"/>
    <w:rsid w:val="00A37F8D"/>
    <w:rsid w:val="00A40B9F"/>
    <w:rsid w:val="00A4267E"/>
    <w:rsid w:val="00A42A65"/>
    <w:rsid w:val="00A42A90"/>
    <w:rsid w:val="00A43E1D"/>
    <w:rsid w:val="00A440DB"/>
    <w:rsid w:val="00A4437B"/>
    <w:rsid w:val="00A44902"/>
    <w:rsid w:val="00A472E6"/>
    <w:rsid w:val="00A4784B"/>
    <w:rsid w:val="00A5015E"/>
    <w:rsid w:val="00A50EAE"/>
    <w:rsid w:val="00A52821"/>
    <w:rsid w:val="00A53152"/>
    <w:rsid w:val="00A53617"/>
    <w:rsid w:val="00A53786"/>
    <w:rsid w:val="00A53C6B"/>
    <w:rsid w:val="00A53FF1"/>
    <w:rsid w:val="00A54F9E"/>
    <w:rsid w:val="00A57C2F"/>
    <w:rsid w:val="00A607A8"/>
    <w:rsid w:val="00A608B2"/>
    <w:rsid w:val="00A60CD2"/>
    <w:rsid w:val="00A61F9F"/>
    <w:rsid w:val="00A622C5"/>
    <w:rsid w:val="00A633D7"/>
    <w:rsid w:val="00A63AFC"/>
    <w:rsid w:val="00A64C83"/>
    <w:rsid w:val="00A64E12"/>
    <w:rsid w:val="00A6537E"/>
    <w:rsid w:val="00A65C87"/>
    <w:rsid w:val="00A672C1"/>
    <w:rsid w:val="00A67DD6"/>
    <w:rsid w:val="00A67EAA"/>
    <w:rsid w:val="00A67EBC"/>
    <w:rsid w:val="00A70308"/>
    <w:rsid w:val="00A7047A"/>
    <w:rsid w:val="00A70CE3"/>
    <w:rsid w:val="00A70E77"/>
    <w:rsid w:val="00A72008"/>
    <w:rsid w:val="00A72DA8"/>
    <w:rsid w:val="00A73113"/>
    <w:rsid w:val="00A74754"/>
    <w:rsid w:val="00A74B34"/>
    <w:rsid w:val="00A7509D"/>
    <w:rsid w:val="00A75FBA"/>
    <w:rsid w:val="00A763F0"/>
    <w:rsid w:val="00A774F0"/>
    <w:rsid w:val="00A81023"/>
    <w:rsid w:val="00A832DC"/>
    <w:rsid w:val="00A83F0A"/>
    <w:rsid w:val="00A85677"/>
    <w:rsid w:val="00A870E2"/>
    <w:rsid w:val="00A870E5"/>
    <w:rsid w:val="00A905FD"/>
    <w:rsid w:val="00A90B27"/>
    <w:rsid w:val="00A91A18"/>
    <w:rsid w:val="00A91DA3"/>
    <w:rsid w:val="00A92337"/>
    <w:rsid w:val="00A9432C"/>
    <w:rsid w:val="00AA2A7F"/>
    <w:rsid w:val="00AA31BA"/>
    <w:rsid w:val="00AA47F2"/>
    <w:rsid w:val="00AA5288"/>
    <w:rsid w:val="00AA5464"/>
    <w:rsid w:val="00AA6EBF"/>
    <w:rsid w:val="00AA6F5B"/>
    <w:rsid w:val="00AA7E67"/>
    <w:rsid w:val="00AB028B"/>
    <w:rsid w:val="00AB039D"/>
    <w:rsid w:val="00AB0F41"/>
    <w:rsid w:val="00AB1A66"/>
    <w:rsid w:val="00AB20F4"/>
    <w:rsid w:val="00AB248B"/>
    <w:rsid w:val="00AB2CDA"/>
    <w:rsid w:val="00AB2DE7"/>
    <w:rsid w:val="00AB435B"/>
    <w:rsid w:val="00AB5F97"/>
    <w:rsid w:val="00AB6059"/>
    <w:rsid w:val="00AB6708"/>
    <w:rsid w:val="00AB6982"/>
    <w:rsid w:val="00AB6D73"/>
    <w:rsid w:val="00AB75DA"/>
    <w:rsid w:val="00AB7679"/>
    <w:rsid w:val="00AC2563"/>
    <w:rsid w:val="00AC2A1E"/>
    <w:rsid w:val="00AC538E"/>
    <w:rsid w:val="00AC55E0"/>
    <w:rsid w:val="00AC56B9"/>
    <w:rsid w:val="00AC5A33"/>
    <w:rsid w:val="00AC5A7E"/>
    <w:rsid w:val="00AC63E3"/>
    <w:rsid w:val="00AC6D6A"/>
    <w:rsid w:val="00AC718B"/>
    <w:rsid w:val="00AC76C8"/>
    <w:rsid w:val="00AC7956"/>
    <w:rsid w:val="00AC7D3E"/>
    <w:rsid w:val="00AD0DBC"/>
    <w:rsid w:val="00AD262B"/>
    <w:rsid w:val="00AD2638"/>
    <w:rsid w:val="00AD309C"/>
    <w:rsid w:val="00AD3335"/>
    <w:rsid w:val="00AD4792"/>
    <w:rsid w:val="00AD4F4E"/>
    <w:rsid w:val="00AD500F"/>
    <w:rsid w:val="00AD521B"/>
    <w:rsid w:val="00AD53EE"/>
    <w:rsid w:val="00AD6663"/>
    <w:rsid w:val="00AD7094"/>
    <w:rsid w:val="00AE0304"/>
    <w:rsid w:val="00AE16BD"/>
    <w:rsid w:val="00AE2017"/>
    <w:rsid w:val="00AE2910"/>
    <w:rsid w:val="00AE2ABF"/>
    <w:rsid w:val="00AE3A47"/>
    <w:rsid w:val="00AE41A8"/>
    <w:rsid w:val="00AE5D64"/>
    <w:rsid w:val="00AE61FE"/>
    <w:rsid w:val="00AE664D"/>
    <w:rsid w:val="00AE7059"/>
    <w:rsid w:val="00AE7060"/>
    <w:rsid w:val="00AE7586"/>
    <w:rsid w:val="00AE75D2"/>
    <w:rsid w:val="00AE7E5F"/>
    <w:rsid w:val="00AE7F90"/>
    <w:rsid w:val="00AF29D1"/>
    <w:rsid w:val="00AF4947"/>
    <w:rsid w:val="00AF4A20"/>
    <w:rsid w:val="00AF5556"/>
    <w:rsid w:val="00AF581D"/>
    <w:rsid w:val="00AF5C87"/>
    <w:rsid w:val="00AF5E73"/>
    <w:rsid w:val="00AF608B"/>
    <w:rsid w:val="00AF70AE"/>
    <w:rsid w:val="00B00986"/>
    <w:rsid w:val="00B00AD4"/>
    <w:rsid w:val="00B015B8"/>
    <w:rsid w:val="00B0175E"/>
    <w:rsid w:val="00B02978"/>
    <w:rsid w:val="00B03469"/>
    <w:rsid w:val="00B037F7"/>
    <w:rsid w:val="00B03C0B"/>
    <w:rsid w:val="00B04D37"/>
    <w:rsid w:val="00B04D90"/>
    <w:rsid w:val="00B067D6"/>
    <w:rsid w:val="00B06884"/>
    <w:rsid w:val="00B10C9C"/>
    <w:rsid w:val="00B10DD6"/>
    <w:rsid w:val="00B11730"/>
    <w:rsid w:val="00B118FB"/>
    <w:rsid w:val="00B1202C"/>
    <w:rsid w:val="00B1226E"/>
    <w:rsid w:val="00B129D4"/>
    <w:rsid w:val="00B14A8E"/>
    <w:rsid w:val="00B14E29"/>
    <w:rsid w:val="00B15A2F"/>
    <w:rsid w:val="00B16620"/>
    <w:rsid w:val="00B16733"/>
    <w:rsid w:val="00B179B8"/>
    <w:rsid w:val="00B17E31"/>
    <w:rsid w:val="00B20AAC"/>
    <w:rsid w:val="00B2171C"/>
    <w:rsid w:val="00B22AB7"/>
    <w:rsid w:val="00B22C24"/>
    <w:rsid w:val="00B23319"/>
    <w:rsid w:val="00B23388"/>
    <w:rsid w:val="00B25216"/>
    <w:rsid w:val="00B25FCD"/>
    <w:rsid w:val="00B26D29"/>
    <w:rsid w:val="00B272BE"/>
    <w:rsid w:val="00B27DB9"/>
    <w:rsid w:val="00B30E43"/>
    <w:rsid w:val="00B312C5"/>
    <w:rsid w:val="00B31333"/>
    <w:rsid w:val="00B31506"/>
    <w:rsid w:val="00B3205C"/>
    <w:rsid w:val="00B33A09"/>
    <w:rsid w:val="00B344E5"/>
    <w:rsid w:val="00B35D80"/>
    <w:rsid w:val="00B35F99"/>
    <w:rsid w:val="00B36CBB"/>
    <w:rsid w:val="00B36D73"/>
    <w:rsid w:val="00B36ECE"/>
    <w:rsid w:val="00B4242F"/>
    <w:rsid w:val="00B424B4"/>
    <w:rsid w:val="00B44174"/>
    <w:rsid w:val="00B4477A"/>
    <w:rsid w:val="00B45707"/>
    <w:rsid w:val="00B45767"/>
    <w:rsid w:val="00B4598E"/>
    <w:rsid w:val="00B4644E"/>
    <w:rsid w:val="00B50D0C"/>
    <w:rsid w:val="00B51128"/>
    <w:rsid w:val="00B51457"/>
    <w:rsid w:val="00B51B9E"/>
    <w:rsid w:val="00B526B1"/>
    <w:rsid w:val="00B52F42"/>
    <w:rsid w:val="00B53C7C"/>
    <w:rsid w:val="00B54E3B"/>
    <w:rsid w:val="00B55F80"/>
    <w:rsid w:val="00B565D8"/>
    <w:rsid w:val="00B56D2C"/>
    <w:rsid w:val="00B577D8"/>
    <w:rsid w:val="00B57CCE"/>
    <w:rsid w:val="00B603F0"/>
    <w:rsid w:val="00B60687"/>
    <w:rsid w:val="00B606B3"/>
    <w:rsid w:val="00B610E8"/>
    <w:rsid w:val="00B6185E"/>
    <w:rsid w:val="00B61B22"/>
    <w:rsid w:val="00B65A2B"/>
    <w:rsid w:val="00B65C1E"/>
    <w:rsid w:val="00B67092"/>
    <w:rsid w:val="00B6746F"/>
    <w:rsid w:val="00B6782D"/>
    <w:rsid w:val="00B67D21"/>
    <w:rsid w:val="00B709ED"/>
    <w:rsid w:val="00B726A4"/>
    <w:rsid w:val="00B7319D"/>
    <w:rsid w:val="00B742F5"/>
    <w:rsid w:val="00B74E82"/>
    <w:rsid w:val="00B7523D"/>
    <w:rsid w:val="00B7630F"/>
    <w:rsid w:val="00B77E87"/>
    <w:rsid w:val="00B80477"/>
    <w:rsid w:val="00B812DF"/>
    <w:rsid w:val="00B813DB"/>
    <w:rsid w:val="00B8152D"/>
    <w:rsid w:val="00B81B5C"/>
    <w:rsid w:val="00B82244"/>
    <w:rsid w:val="00B83AC5"/>
    <w:rsid w:val="00B83E77"/>
    <w:rsid w:val="00B84EB5"/>
    <w:rsid w:val="00B85BE8"/>
    <w:rsid w:val="00B86FB3"/>
    <w:rsid w:val="00B87F9D"/>
    <w:rsid w:val="00B90498"/>
    <w:rsid w:val="00B924CC"/>
    <w:rsid w:val="00B93878"/>
    <w:rsid w:val="00B93CAB"/>
    <w:rsid w:val="00B94C6D"/>
    <w:rsid w:val="00B95E79"/>
    <w:rsid w:val="00B96C16"/>
    <w:rsid w:val="00B9730E"/>
    <w:rsid w:val="00B97D62"/>
    <w:rsid w:val="00BA01BD"/>
    <w:rsid w:val="00BA3BE9"/>
    <w:rsid w:val="00BA3F76"/>
    <w:rsid w:val="00BA42E3"/>
    <w:rsid w:val="00BA5413"/>
    <w:rsid w:val="00BA5B88"/>
    <w:rsid w:val="00BA653C"/>
    <w:rsid w:val="00BA68C5"/>
    <w:rsid w:val="00BB1347"/>
    <w:rsid w:val="00BB23DC"/>
    <w:rsid w:val="00BB280F"/>
    <w:rsid w:val="00BB3262"/>
    <w:rsid w:val="00BB3B5C"/>
    <w:rsid w:val="00BB4464"/>
    <w:rsid w:val="00BB6439"/>
    <w:rsid w:val="00BB6CE2"/>
    <w:rsid w:val="00BB7014"/>
    <w:rsid w:val="00BB7034"/>
    <w:rsid w:val="00BB7498"/>
    <w:rsid w:val="00BB7CBC"/>
    <w:rsid w:val="00BC0C22"/>
    <w:rsid w:val="00BC1162"/>
    <w:rsid w:val="00BC15D3"/>
    <w:rsid w:val="00BC32B1"/>
    <w:rsid w:val="00BC37E5"/>
    <w:rsid w:val="00BC3BEA"/>
    <w:rsid w:val="00BC5CB8"/>
    <w:rsid w:val="00BD0EC4"/>
    <w:rsid w:val="00BD15D6"/>
    <w:rsid w:val="00BD1637"/>
    <w:rsid w:val="00BD1670"/>
    <w:rsid w:val="00BD1822"/>
    <w:rsid w:val="00BD2F83"/>
    <w:rsid w:val="00BD4047"/>
    <w:rsid w:val="00BD4D5C"/>
    <w:rsid w:val="00BD4E48"/>
    <w:rsid w:val="00BD5A59"/>
    <w:rsid w:val="00BD67E9"/>
    <w:rsid w:val="00BD7ABF"/>
    <w:rsid w:val="00BD7E6E"/>
    <w:rsid w:val="00BD7F06"/>
    <w:rsid w:val="00BE08FB"/>
    <w:rsid w:val="00BE0BEC"/>
    <w:rsid w:val="00BE0D54"/>
    <w:rsid w:val="00BE118A"/>
    <w:rsid w:val="00BE1553"/>
    <w:rsid w:val="00BE1786"/>
    <w:rsid w:val="00BE196A"/>
    <w:rsid w:val="00BE215D"/>
    <w:rsid w:val="00BE2EA2"/>
    <w:rsid w:val="00BE3F1E"/>
    <w:rsid w:val="00BE428A"/>
    <w:rsid w:val="00BE5167"/>
    <w:rsid w:val="00BE5447"/>
    <w:rsid w:val="00BE59D9"/>
    <w:rsid w:val="00BE60AF"/>
    <w:rsid w:val="00BE6148"/>
    <w:rsid w:val="00BE6390"/>
    <w:rsid w:val="00BE6521"/>
    <w:rsid w:val="00BE6E9B"/>
    <w:rsid w:val="00BE7A86"/>
    <w:rsid w:val="00BF0AFD"/>
    <w:rsid w:val="00BF0D3D"/>
    <w:rsid w:val="00BF23BA"/>
    <w:rsid w:val="00BF24D3"/>
    <w:rsid w:val="00BF5862"/>
    <w:rsid w:val="00BF672F"/>
    <w:rsid w:val="00BF7099"/>
    <w:rsid w:val="00C01337"/>
    <w:rsid w:val="00C035D3"/>
    <w:rsid w:val="00C05485"/>
    <w:rsid w:val="00C065B6"/>
    <w:rsid w:val="00C0668C"/>
    <w:rsid w:val="00C07495"/>
    <w:rsid w:val="00C07497"/>
    <w:rsid w:val="00C11557"/>
    <w:rsid w:val="00C11930"/>
    <w:rsid w:val="00C11CC3"/>
    <w:rsid w:val="00C121D8"/>
    <w:rsid w:val="00C12D57"/>
    <w:rsid w:val="00C15E9A"/>
    <w:rsid w:val="00C16C71"/>
    <w:rsid w:val="00C16E99"/>
    <w:rsid w:val="00C203F1"/>
    <w:rsid w:val="00C20D8D"/>
    <w:rsid w:val="00C22A11"/>
    <w:rsid w:val="00C22BD1"/>
    <w:rsid w:val="00C23DA0"/>
    <w:rsid w:val="00C23F59"/>
    <w:rsid w:val="00C253A3"/>
    <w:rsid w:val="00C25BC1"/>
    <w:rsid w:val="00C27AD7"/>
    <w:rsid w:val="00C27DD0"/>
    <w:rsid w:val="00C3156B"/>
    <w:rsid w:val="00C316DF"/>
    <w:rsid w:val="00C318A4"/>
    <w:rsid w:val="00C32B84"/>
    <w:rsid w:val="00C33729"/>
    <w:rsid w:val="00C337AD"/>
    <w:rsid w:val="00C33A03"/>
    <w:rsid w:val="00C343AB"/>
    <w:rsid w:val="00C351F0"/>
    <w:rsid w:val="00C357E5"/>
    <w:rsid w:val="00C35B01"/>
    <w:rsid w:val="00C35E47"/>
    <w:rsid w:val="00C36544"/>
    <w:rsid w:val="00C404F2"/>
    <w:rsid w:val="00C40C58"/>
    <w:rsid w:val="00C40CD9"/>
    <w:rsid w:val="00C4165E"/>
    <w:rsid w:val="00C45779"/>
    <w:rsid w:val="00C457CB"/>
    <w:rsid w:val="00C45DDD"/>
    <w:rsid w:val="00C4659F"/>
    <w:rsid w:val="00C47169"/>
    <w:rsid w:val="00C47887"/>
    <w:rsid w:val="00C50BB5"/>
    <w:rsid w:val="00C514FE"/>
    <w:rsid w:val="00C52023"/>
    <w:rsid w:val="00C53BD0"/>
    <w:rsid w:val="00C53F86"/>
    <w:rsid w:val="00C5401A"/>
    <w:rsid w:val="00C55CCA"/>
    <w:rsid w:val="00C56F4C"/>
    <w:rsid w:val="00C57F3C"/>
    <w:rsid w:val="00C60633"/>
    <w:rsid w:val="00C60834"/>
    <w:rsid w:val="00C60F34"/>
    <w:rsid w:val="00C622C1"/>
    <w:rsid w:val="00C62A3B"/>
    <w:rsid w:val="00C62A69"/>
    <w:rsid w:val="00C636B9"/>
    <w:rsid w:val="00C64243"/>
    <w:rsid w:val="00C642F1"/>
    <w:rsid w:val="00C644CA"/>
    <w:rsid w:val="00C64F1A"/>
    <w:rsid w:val="00C6778C"/>
    <w:rsid w:val="00C67B11"/>
    <w:rsid w:val="00C67D4C"/>
    <w:rsid w:val="00C71D05"/>
    <w:rsid w:val="00C74A7D"/>
    <w:rsid w:val="00C74ECD"/>
    <w:rsid w:val="00C74F36"/>
    <w:rsid w:val="00C75C76"/>
    <w:rsid w:val="00C768E3"/>
    <w:rsid w:val="00C770AF"/>
    <w:rsid w:val="00C77F38"/>
    <w:rsid w:val="00C80214"/>
    <w:rsid w:val="00C803C6"/>
    <w:rsid w:val="00C806EF"/>
    <w:rsid w:val="00C80E16"/>
    <w:rsid w:val="00C8111B"/>
    <w:rsid w:val="00C81A88"/>
    <w:rsid w:val="00C81C54"/>
    <w:rsid w:val="00C81CD5"/>
    <w:rsid w:val="00C81E9B"/>
    <w:rsid w:val="00C82B2F"/>
    <w:rsid w:val="00C82BD6"/>
    <w:rsid w:val="00C832E6"/>
    <w:rsid w:val="00C864AF"/>
    <w:rsid w:val="00C90456"/>
    <w:rsid w:val="00C907D1"/>
    <w:rsid w:val="00C90E7E"/>
    <w:rsid w:val="00C91494"/>
    <w:rsid w:val="00C9326C"/>
    <w:rsid w:val="00C93756"/>
    <w:rsid w:val="00C93814"/>
    <w:rsid w:val="00C947CB"/>
    <w:rsid w:val="00C94A90"/>
    <w:rsid w:val="00C95CB6"/>
    <w:rsid w:val="00C966D9"/>
    <w:rsid w:val="00C97684"/>
    <w:rsid w:val="00CA0498"/>
    <w:rsid w:val="00CA0875"/>
    <w:rsid w:val="00CA08BB"/>
    <w:rsid w:val="00CA2CFF"/>
    <w:rsid w:val="00CA2F77"/>
    <w:rsid w:val="00CA43F6"/>
    <w:rsid w:val="00CA4735"/>
    <w:rsid w:val="00CA56A7"/>
    <w:rsid w:val="00CA5741"/>
    <w:rsid w:val="00CA5B18"/>
    <w:rsid w:val="00CA62E2"/>
    <w:rsid w:val="00CA74DB"/>
    <w:rsid w:val="00CA7C8C"/>
    <w:rsid w:val="00CB08ED"/>
    <w:rsid w:val="00CB0CF9"/>
    <w:rsid w:val="00CB16CC"/>
    <w:rsid w:val="00CB1CCE"/>
    <w:rsid w:val="00CB1DFE"/>
    <w:rsid w:val="00CB276B"/>
    <w:rsid w:val="00CB2919"/>
    <w:rsid w:val="00CB3E1B"/>
    <w:rsid w:val="00CB3FC3"/>
    <w:rsid w:val="00CB4203"/>
    <w:rsid w:val="00CB51BE"/>
    <w:rsid w:val="00CB6814"/>
    <w:rsid w:val="00CB6EEE"/>
    <w:rsid w:val="00CC0777"/>
    <w:rsid w:val="00CC093D"/>
    <w:rsid w:val="00CC097E"/>
    <w:rsid w:val="00CC1FE0"/>
    <w:rsid w:val="00CC286C"/>
    <w:rsid w:val="00CC2E21"/>
    <w:rsid w:val="00CC3C3F"/>
    <w:rsid w:val="00CC4540"/>
    <w:rsid w:val="00CC57F5"/>
    <w:rsid w:val="00CC6EA9"/>
    <w:rsid w:val="00CC7028"/>
    <w:rsid w:val="00CC74CA"/>
    <w:rsid w:val="00CC7C5A"/>
    <w:rsid w:val="00CD0C25"/>
    <w:rsid w:val="00CD0FD5"/>
    <w:rsid w:val="00CD12B5"/>
    <w:rsid w:val="00CD3287"/>
    <w:rsid w:val="00CD3FE2"/>
    <w:rsid w:val="00CD4A08"/>
    <w:rsid w:val="00CD5BE3"/>
    <w:rsid w:val="00CD5F52"/>
    <w:rsid w:val="00CD64AA"/>
    <w:rsid w:val="00CD6FB3"/>
    <w:rsid w:val="00CD7092"/>
    <w:rsid w:val="00CD7608"/>
    <w:rsid w:val="00CE0F0F"/>
    <w:rsid w:val="00CE2780"/>
    <w:rsid w:val="00CE2B31"/>
    <w:rsid w:val="00CE3B6C"/>
    <w:rsid w:val="00CE3E24"/>
    <w:rsid w:val="00CE3F5E"/>
    <w:rsid w:val="00CE42F1"/>
    <w:rsid w:val="00CF224B"/>
    <w:rsid w:val="00CF37CA"/>
    <w:rsid w:val="00CF39DA"/>
    <w:rsid w:val="00CF3A11"/>
    <w:rsid w:val="00CF3B36"/>
    <w:rsid w:val="00CF43BB"/>
    <w:rsid w:val="00CF48D4"/>
    <w:rsid w:val="00CF5033"/>
    <w:rsid w:val="00CF58C6"/>
    <w:rsid w:val="00CF6108"/>
    <w:rsid w:val="00CF7A5D"/>
    <w:rsid w:val="00CF7C85"/>
    <w:rsid w:val="00D0108C"/>
    <w:rsid w:val="00D0155F"/>
    <w:rsid w:val="00D01D42"/>
    <w:rsid w:val="00D0257D"/>
    <w:rsid w:val="00D02666"/>
    <w:rsid w:val="00D02BF5"/>
    <w:rsid w:val="00D02D8B"/>
    <w:rsid w:val="00D03622"/>
    <w:rsid w:val="00D04358"/>
    <w:rsid w:val="00D04E3E"/>
    <w:rsid w:val="00D0529A"/>
    <w:rsid w:val="00D0643B"/>
    <w:rsid w:val="00D064C7"/>
    <w:rsid w:val="00D075C1"/>
    <w:rsid w:val="00D1090D"/>
    <w:rsid w:val="00D10F4F"/>
    <w:rsid w:val="00D11A3C"/>
    <w:rsid w:val="00D11F87"/>
    <w:rsid w:val="00D125FE"/>
    <w:rsid w:val="00D1273E"/>
    <w:rsid w:val="00D1597E"/>
    <w:rsid w:val="00D165BE"/>
    <w:rsid w:val="00D165C2"/>
    <w:rsid w:val="00D16956"/>
    <w:rsid w:val="00D16DBB"/>
    <w:rsid w:val="00D16EC8"/>
    <w:rsid w:val="00D17191"/>
    <w:rsid w:val="00D17254"/>
    <w:rsid w:val="00D179C9"/>
    <w:rsid w:val="00D17BE5"/>
    <w:rsid w:val="00D21007"/>
    <w:rsid w:val="00D215EC"/>
    <w:rsid w:val="00D2163C"/>
    <w:rsid w:val="00D22965"/>
    <w:rsid w:val="00D22B93"/>
    <w:rsid w:val="00D23FD4"/>
    <w:rsid w:val="00D240A6"/>
    <w:rsid w:val="00D26403"/>
    <w:rsid w:val="00D26936"/>
    <w:rsid w:val="00D26C31"/>
    <w:rsid w:val="00D300F6"/>
    <w:rsid w:val="00D30234"/>
    <w:rsid w:val="00D303AD"/>
    <w:rsid w:val="00D30B4A"/>
    <w:rsid w:val="00D30DDC"/>
    <w:rsid w:val="00D31969"/>
    <w:rsid w:val="00D31A1A"/>
    <w:rsid w:val="00D31CF6"/>
    <w:rsid w:val="00D32418"/>
    <w:rsid w:val="00D33057"/>
    <w:rsid w:val="00D330D3"/>
    <w:rsid w:val="00D336ED"/>
    <w:rsid w:val="00D35F7C"/>
    <w:rsid w:val="00D35FA4"/>
    <w:rsid w:val="00D36851"/>
    <w:rsid w:val="00D373D5"/>
    <w:rsid w:val="00D37642"/>
    <w:rsid w:val="00D404BB"/>
    <w:rsid w:val="00D43259"/>
    <w:rsid w:val="00D4562F"/>
    <w:rsid w:val="00D47183"/>
    <w:rsid w:val="00D47F6E"/>
    <w:rsid w:val="00D50B4A"/>
    <w:rsid w:val="00D50D36"/>
    <w:rsid w:val="00D50E15"/>
    <w:rsid w:val="00D51480"/>
    <w:rsid w:val="00D51807"/>
    <w:rsid w:val="00D51F10"/>
    <w:rsid w:val="00D522BD"/>
    <w:rsid w:val="00D5283E"/>
    <w:rsid w:val="00D52E39"/>
    <w:rsid w:val="00D53708"/>
    <w:rsid w:val="00D54618"/>
    <w:rsid w:val="00D54B53"/>
    <w:rsid w:val="00D5622F"/>
    <w:rsid w:val="00D563C3"/>
    <w:rsid w:val="00D563E7"/>
    <w:rsid w:val="00D576D7"/>
    <w:rsid w:val="00D57912"/>
    <w:rsid w:val="00D607C1"/>
    <w:rsid w:val="00D60F19"/>
    <w:rsid w:val="00D61106"/>
    <w:rsid w:val="00D6231E"/>
    <w:rsid w:val="00D636C9"/>
    <w:rsid w:val="00D64351"/>
    <w:rsid w:val="00D64640"/>
    <w:rsid w:val="00D649E3"/>
    <w:rsid w:val="00D652D6"/>
    <w:rsid w:val="00D657A1"/>
    <w:rsid w:val="00D65FC7"/>
    <w:rsid w:val="00D6657D"/>
    <w:rsid w:val="00D66782"/>
    <w:rsid w:val="00D670C0"/>
    <w:rsid w:val="00D6742B"/>
    <w:rsid w:val="00D67503"/>
    <w:rsid w:val="00D67610"/>
    <w:rsid w:val="00D67CBE"/>
    <w:rsid w:val="00D70C5D"/>
    <w:rsid w:val="00D71F1F"/>
    <w:rsid w:val="00D7247C"/>
    <w:rsid w:val="00D736D1"/>
    <w:rsid w:val="00D737FA"/>
    <w:rsid w:val="00D742D7"/>
    <w:rsid w:val="00D75482"/>
    <w:rsid w:val="00D75690"/>
    <w:rsid w:val="00D75A6F"/>
    <w:rsid w:val="00D775F0"/>
    <w:rsid w:val="00D77C30"/>
    <w:rsid w:val="00D800E3"/>
    <w:rsid w:val="00D80C02"/>
    <w:rsid w:val="00D827B1"/>
    <w:rsid w:val="00D82CFA"/>
    <w:rsid w:val="00D840B8"/>
    <w:rsid w:val="00D8470D"/>
    <w:rsid w:val="00D84B65"/>
    <w:rsid w:val="00D84E94"/>
    <w:rsid w:val="00D85C7A"/>
    <w:rsid w:val="00D85FE6"/>
    <w:rsid w:val="00D86159"/>
    <w:rsid w:val="00D86399"/>
    <w:rsid w:val="00D86C13"/>
    <w:rsid w:val="00D87C5E"/>
    <w:rsid w:val="00D87DEB"/>
    <w:rsid w:val="00D90219"/>
    <w:rsid w:val="00D90E78"/>
    <w:rsid w:val="00D91ED2"/>
    <w:rsid w:val="00D92B88"/>
    <w:rsid w:val="00D93C11"/>
    <w:rsid w:val="00D942F1"/>
    <w:rsid w:val="00D953E4"/>
    <w:rsid w:val="00D95B4E"/>
    <w:rsid w:val="00D95C29"/>
    <w:rsid w:val="00D965DD"/>
    <w:rsid w:val="00DA068E"/>
    <w:rsid w:val="00DA1896"/>
    <w:rsid w:val="00DA2636"/>
    <w:rsid w:val="00DA2EDE"/>
    <w:rsid w:val="00DA31F8"/>
    <w:rsid w:val="00DA3FF7"/>
    <w:rsid w:val="00DA4AB9"/>
    <w:rsid w:val="00DA4B5D"/>
    <w:rsid w:val="00DA5346"/>
    <w:rsid w:val="00DA5ACB"/>
    <w:rsid w:val="00DA5FA0"/>
    <w:rsid w:val="00DA6E83"/>
    <w:rsid w:val="00DA70A3"/>
    <w:rsid w:val="00DA7727"/>
    <w:rsid w:val="00DB012C"/>
    <w:rsid w:val="00DB08BD"/>
    <w:rsid w:val="00DB15D4"/>
    <w:rsid w:val="00DB1682"/>
    <w:rsid w:val="00DB1D79"/>
    <w:rsid w:val="00DB2B19"/>
    <w:rsid w:val="00DB3413"/>
    <w:rsid w:val="00DB50A9"/>
    <w:rsid w:val="00DB5400"/>
    <w:rsid w:val="00DB547D"/>
    <w:rsid w:val="00DB5785"/>
    <w:rsid w:val="00DB67D6"/>
    <w:rsid w:val="00DB6CB1"/>
    <w:rsid w:val="00DB7CD7"/>
    <w:rsid w:val="00DC0404"/>
    <w:rsid w:val="00DC0FE6"/>
    <w:rsid w:val="00DC1BD5"/>
    <w:rsid w:val="00DC21A0"/>
    <w:rsid w:val="00DC36AA"/>
    <w:rsid w:val="00DC3C49"/>
    <w:rsid w:val="00DC3DE9"/>
    <w:rsid w:val="00DC4045"/>
    <w:rsid w:val="00DC44CA"/>
    <w:rsid w:val="00DC4CE2"/>
    <w:rsid w:val="00DC54FD"/>
    <w:rsid w:val="00DC581C"/>
    <w:rsid w:val="00DC60BE"/>
    <w:rsid w:val="00DC6784"/>
    <w:rsid w:val="00DC778E"/>
    <w:rsid w:val="00DD0E8F"/>
    <w:rsid w:val="00DD1767"/>
    <w:rsid w:val="00DD27C6"/>
    <w:rsid w:val="00DD2FDE"/>
    <w:rsid w:val="00DD3A54"/>
    <w:rsid w:val="00DD45F1"/>
    <w:rsid w:val="00DD476A"/>
    <w:rsid w:val="00DD6562"/>
    <w:rsid w:val="00DD7770"/>
    <w:rsid w:val="00DD7A0F"/>
    <w:rsid w:val="00DD7D6E"/>
    <w:rsid w:val="00DE1017"/>
    <w:rsid w:val="00DE144A"/>
    <w:rsid w:val="00DE2B88"/>
    <w:rsid w:val="00DE6623"/>
    <w:rsid w:val="00DE76F5"/>
    <w:rsid w:val="00DF02D3"/>
    <w:rsid w:val="00DF056F"/>
    <w:rsid w:val="00DF05F8"/>
    <w:rsid w:val="00DF0864"/>
    <w:rsid w:val="00DF469A"/>
    <w:rsid w:val="00DF5084"/>
    <w:rsid w:val="00DF5DBD"/>
    <w:rsid w:val="00DF65C0"/>
    <w:rsid w:val="00E03193"/>
    <w:rsid w:val="00E03330"/>
    <w:rsid w:val="00E04C32"/>
    <w:rsid w:val="00E05486"/>
    <w:rsid w:val="00E05BBF"/>
    <w:rsid w:val="00E06BC5"/>
    <w:rsid w:val="00E07161"/>
    <w:rsid w:val="00E07230"/>
    <w:rsid w:val="00E10F80"/>
    <w:rsid w:val="00E115D1"/>
    <w:rsid w:val="00E118A4"/>
    <w:rsid w:val="00E11A3B"/>
    <w:rsid w:val="00E135A9"/>
    <w:rsid w:val="00E13BE0"/>
    <w:rsid w:val="00E14627"/>
    <w:rsid w:val="00E15328"/>
    <w:rsid w:val="00E1583E"/>
    <w:rsid w:val="00E16446"/>
    <w:rsid w:val="00E16C04"/>
    <w:rsid w:val="00E21063"/>
    <w:rsid w:val="00E2168D"/>
    <w:rsid w:val="00E218F9"/>
    <w:rsid w:val="00E21B4E"/>
    <w:rsid w:val="00E22292"/>
    <w:rsid w:val="00E22349"/>
    <w:rsid w:val="00E23225"/>
    <w:rsid w:val="00E25141"/>
    <w:rsid w:val="00E25791"/>
    <w:rsid w:val="00E2608D"/>
    <w:rsid w:val="00E26629"/>
    <w:rsid w:val="00E2711A"/>
    <w:rsid w:val="00E277D2"/>
    <w:rsid w:val="00E30D36"/>
    <w:rsid w:val="00E315F3"/>
    <w:rsid w:val="00E33D9D"/>
    <w:rsid w:val="00E36A6E"/>
    <w:rsid w:val="00E36A76"/>
    <w:rsid w:val="00E37979"/>
    <w:rsid w:val="00E37A68"/>
    <w:rsid w:val="00E37C7C"/>
    <w:rsid w:val="00E41632"/>
    <w:rsid w:val="00E4170E"/>
    <w:rsid w:val="00E418EC"/>
    <w:rsid w:val="00E41DA6"/>
    <w:rsid w:val="00E42066"/>
    <w:rsid w:val="00E4231D"/>
    <w:rsid w:val="00E42F28"/>
    <w:rsid w:val="00E44F5B"/>
    <w:rsid w:val="00E4512B"/>
    <w:rsid w:val="00E4567C"/>
    <w:rsid w:val="00E46C22"/>
    <w:rsid w:val="00E47820"/>
    <w:rsid w:val="00E50D54"/>
    <w:rsid w:val="00E50E3D"/>
    <w:rsid w:val="00E51168"/>
    <w:rsid w:val="00E52630"/>
    <w:rsid w:val="00E532F2"/>
    <w:rsid w:val="00E53534"/>
    <w:rsid w:val="00E5414A"/>
    <w:rsid w:val="00E54CFE"/>
    <w:rsid w:val="00E54DA7"/>
    <w:rsid w:val="00E55908"/>
    <w:rsid w:val="00E60246"/>
    <w:rsid w:val="00E61A5B"/>
    <w:rsid w:val="00E635E4"/>
    <w:rsid w:val="00E63CBE"/>
    <w:rsid w:val="00E64DDE"/>
    <w:rsid w:val="00E655C1"/>
    <w:rsid w:val="00E664C8"/>
    <w:rsid w:val="00E66C70"/>
    <w:rsid w:val="00E670DE"/>
    <w:rsid w:val="00E67E31"/>
    <w:rsid w:val="00E7012C"/>
    <w:rsid w:val="00E7012F"/>
    <w:rsid w:val="00E70200"/>
    <w:rsid w:val="00E70C67"/>
    <w:rsid w:val="00E715D6"/>
    <w:rsid w:val="00E72246"/>
    <w:rsid w:val="00E733F6"/>
    <w:rsid w:val="00E73AE3"/>
    <w:rsid w:val="00E748CC"/>
    <w:rsid w:val="00E74C11"/>
    <w:rsid w:val="00E74DEF"/>
    <w:rsid w:val="00E74F07"/>
    <w:rsid w:val="00E76865"/>
    <w:rsid w:val="00E76D0D"/>
    <w:rsid w:val="00E771F5"/>
    <w:rsid w:val="00E77665"/>
    <w:rsid w:val="00E826AB"/>
    <w:rsid w:val="00E8273A"/>
    <w:rsid w:val="00E8338F"/>
    <w:rsid w:val="00E852BA"/>
    <w:rsid w:val="00E852DA"/>
    <w:rsid w:val="00E855CB"/>
    <w:rsid w:val="00E86E7F"/>
    <w:rsid w:val="00E86E8F"/>
    <w:rsid w:val="00E87F86"/>
    <w:rsid w:val="00E910C3"/>
    <w:rsid w:val="00E91C76"/>
    <w:rsid w:val="00E92100"/>
    <w:rsid w:val="00E92781"/>
    <w:rsid w:val="00E92948"/>
    <w:rsid w:val="00E935AE"/>
    <w:rsid w:val="00E94934"/>
    <w:rsid w:val="00E95E89"/>
    <w:rsid w:val="00E97407"/>
    <w:rsid w:val="00E97D69"/>
    <w:rsid w:val="00E97F96"/>
    <w:rsid w:val="00EA0D89"/>
    <w:rsid w:val="00EA2FA7"/>
    <w:rsid w:val="00EA3781"/>
    <w:rsid w:val="00EA3C32"/>
    <w:rsid w:val="00EA40AC"/>
    <w:rsid w:val="00EA4176"/>
    <w:rsid w:val="00EA75F7"/>
    <w:rsid w:val="00EB0081"/>
    <w:rsid w:val="00EB05E5"/>
    <w:rsid w:val="00EB06AD"/>
    <w:rsid w:val="00EB0904"/>
    <w:rsid w:val="00EB0C00"/>
    <w:rsid w:val="00EB1183"/>
    <w:rsid w:val="00EB18AB"/>
    <w:rsid w:val="00EB1983"/>
    <w:rsid w:val="00EB1BD1"/>
    <w:rsid w:val="00EB20EB"/>
    <w:rsid w:val="00EB2412"/>
    <w:rsid w:val="00EB243B"/>
    <w:rsid w:val="00EB2F09"/>
    <w:rsid w:val="00EB3F15"/>
    <w:rsid w:val="00EB4444"/>
    <w:rsid w:val="00EB58CB"/>
    <w:rsid w:val="00EB6C41"/>
    <w:rsid w:val="00EB7BCF"/>
    <w:rsid w:val="00EC0674"/>
    <w:rsid w:val="00EC08BC"/>
    <w:rsid w:val="00EC1448"/>
    <w:rsid w:val="00EC1F2C"/>
    <w:rsid w:val="00EC230A"/>
    <w:rsid w:val="00EC2A63"/>
    <w:rsid w:val="00EC35CE"/>
    <w:rsid w:val="00EC41B2"/>
    <w:rsid w:val="00EC482D"/>
    <w:rsid w:val="00EC51DB"/>
    <w:rsid w:val="00EC5D6C"/>
    <w:rsid w:val="00EC6E2A"/>
    <w:rsid w:val="00EC7477"/>
    <w:rsid w:val="00EC7C77"/>
    <w:rsid w:val="00ED0ADB"/>
    <w:rsid w:val="00ED1E85"/>
    <w:rsid w:val="00ED41B5"/>
    <w:rsid w:val="00ED43F8"/>
    <w:rsid w:val="00ED45BF"/>
    <w:rsid w:val="00ED5606"/>
    <w:rsid w:val="00ED5B6E"/>
    <w:rsid w:val="00ED674E"/>
    <w:rsid w:val="00ED712F"/>
    <w:rsid w:val="00ED75CB"/>
    <w:rsid w:val="00EE03C0"/>
    <w:rsid w:val="00EE1CBA"/>
    <w:rsid w:val="00EE1DF0"/>
    <w:rsid w:val="00EE4434"/>
    <w:rsid w:val="00EE5205"/>
    <w:rsid w:val="00EE5556"/>
    <w:rsid w:val="00EE5728"/>
    <w:rsid w:val="00EE589C"/>
    <w:rsid w:val="00EE5F7E"/>
    <w:rsid w:val="00EE64C3"/>
    <w:rsid w:val="00EE699B"/>
    <w:rsid w:val="00EE746E"/>
    <w:rsid w:val="00EE7820"/>
    <w:rsid w:val="00EF00AF"/>
    <w:rsid w:val="00EF0D31"/>
    <w:rsid w:val="00EF1651"/>
    <w:rsid w:val="00EF29CC"/>
    <w:rsid w:val="00EF3712"/>
    <w:rsid w:val="00EF4443"/>
    <w:rsid w:val="00EF4655"/>
    <w:rsid w:val="00EF6058"/>
    <w:rsid w:val="00EF62E9"/>
    <w:rsid w:val="00EF7A94"/>
    <w:rsid w:val="00F000FF"/>
    <w:rsid w:val="00F011F3"/>
    <w:rsid w:val="00F0127F"/>
    <w:rsid w:val="00F0378A"/>
    <w:rsid w:val="00F06AAC"/>
    <w:rsid w:val="00F06FA1"/>
    <w:rsid w:val="00F072A6"/>
    <w:rsid w:val="00F0757F"/>
    <w:rsid w:val="00F07864"/>
    <w:rsid w:val="00F11E14"/>
    <w:rsid w:val="00F12279"/>
    <w:rsid w:val="00F134DC"/>
    <w:rsid w:val="00F13A66"/>
    <w:rsid w:val="00F15286"/>
    <w:rsid w:val="00F1531F"/>
    <w:rsid w:val="00F1701F"/>
    <w:rsid w:val="00F1743E"/>
    <w:rsid w:val="00F17DEE"/>
    <w:rsid w:val="00F200D9"/>
    <w:rsid w:val="00F20F4B"/>
    <w:rsid w:val="00F21434"/>
    <w:rsid w:val="00F22BFB"/>
    <w:rsid w:val="00F22DE6"/>
    <w:rsid w:val="00F24BD5"/>
    <w:rsid w:val="00F259E5"/>
    <w:rsid w:val="00F2648F"/>
    <w:rsid w:val="00F26A19"/>
    <w:rsid w:val="00F27037"/>
    <w:rsid w:val="00F271F7"/>
    <w:rsid w:val="00F27C65"/>
    <w:rsid w:val="00F27E10"/>
    <w:rsid w:val="00F300CD"/>
    <w:rsid w:val="00F30159"/>
    <w:rsid w:val="00F30535"/>
    <w:rsid w:val="00F306D3"/>
    <w:rsid w:val="00F31094"/>
    <w:rsid w:val="00F317DC"/>
    <w:rsid w:val="00F31B2A"/>
    <w:rsid w:val="00F31C46"/>
    <w:rsid w:val="00F32D2B"/>
    <w:rsid w:val="00F33033"/>
    <w:rsid w:val="00F33154"/>
    <w:rsid w:val="00F33354"/>
    <w:rsid w:val="00F33DB9"/>
    <w:rsid w:val="00F358D1"/>
    <w:rsid w:val="00F364B4"/>
    <w:rsid w:val="00F37F5B"/>
    <w:rsid w:val="00F4086D"/>
    <w:rsid w:val="00F40A2D"/>
    <w:rsid w:val="00F40F4D"/>
    <w:rsid w:val="00F41ECD"/>
    <w:rsid w:val="00F42254"/>
    <w:rsid w:val="00F42451"/>
    <w:rsid w:val="00F4288B"/>
    <w:rsid w:val="00F44393"/>
    <w:rsid w:val="00F44F91"/>
    <w:rsid w:val="00F46B02"/>
    <w:rsid w:val="00F51B5D"/>
    <w:rsid w:val="00F53D96"/>
    <w:rsid w:val="00F54AAD"/>
    <w:rsid w:val="00F55CDF"/>
    <w:rsid w:val="00F56738"/>
    <w:rsid w:val="00F571CA"/>
    <w:rsid w:val="00F57226"/>
    <w:rsid w:val="00F57FB8"/>
    <w:rsid w:val="00F600A7"/>
    <w:rsid w:val="00F600BE"/>
    <w:rsid w:val="00F6012E"/>
    <w:rsid w:val="00F613F1"/>
    <w:rsid w:val="00F62E0C"/>
    <w:rsid w:val="00F63C94"/>
    <w:rsid w:val="00F642BC"/>
    <w:rsid w:val="00F642E5"/>
    <w:rsid w:val="00F6448E"/>
    <w:rsid w:val="00F64ECA"/>
    <w:rsid w:val="00F65C92"/>
    <w:rsid w:val="00F65F24"/>
    <w:rsid w:val="00F66120"/>
    <w:rsid w:val="00F66B86"/>
    <w:rsid w:val="00F66E5B"/>
    <w:rsid w:val="00F66E69"/>
    <w:rsid w:val="00F66EB3"/>
    <w:rsid w:val="00F679B2"/>
    <w:rsid w:val="00F67CA7"/>
    <w:rsid w:val="00F711E4"/>
    <w:rsid w:val="00F71FEF"/>
    <w:rsid w:val="00F72901"/>
    <w:rsid w:val="00F7420F"/>
    <w:rsid w:val="00F746D8"/>
    <w:rsid w:val="00F75B34"/>
    <w:rsid w:val="00F77280"/>
    <w:rsid w:val="00F80078"/>
    <w:rsid w:val="00F804B6"/>
    <w:rsid w:val="00F80B57"/>
    <w:rsid w:val="00F80D95"/>
    <w:rsid w:val="00F80F69"/>
    <w:rsid w:val="00F81903"/>
    <w:rsid w:val="00F82448"/>
    <w:rsid w:val="00F85302"/>
    <w:rsid w:val="00F86B9B"/>
    <w:rsid w:val="00F8754F"/>
    <w:rsid w:val="00F87D63"/>
    <w:rsid w:val="00F907FC"/>
    <w:rsid w:val="00F90FA5"/>
    <w:rsid w:val="00F91237"/>
    <w:rsid w:val="00F92CF0"/>
    <w:rsid w:val="00F9593F"/>
    <w:rsid w:val="00F96D31"/>
    <w:rsid w:val="00F9720E"/>
    <w:rsid w:val="00F97DFC"/>
    <w:rsid w:val="00FA0650"/>
    <w:rsid w:val="00FA12E9"/>
    <w:rsid w:val="00FA1B89"/>
    <w:rsid w:val="00FA2141"/>
    <w:rsid w:val="00FA2E0E"/>
    <w:rsid w:val="00FA459D"/>
    <w:rsid w:val="00FA5EA6"/>
    <w:rsid w:val="00FA7B86"/>
    <w:rsid w:val="00FB04DC"/>
    <w:rsid w:val="00FB1969"/>
    <w:rsid w:val="00FB2AAA"/>
    <w:rsid w:val="00FB3F53"/>
    <w:rsid w:val="00FB445F"/>
    <w:rsid w:val="00FB44AB"/>
    <w:rsid w:val="00FB4C97"/>
    <w:rsid w:val="00FB6030"/>
    <w:rsid w:val="00FB6674"/>
    <w:rsid w:val="00FB6DE2"/>
    <w:rsid w:val="00FB6E2A"/>
    <w:rsid w:val="00FC0522"/>
    <w:rsid w:val="00FC073A"/>
    <w:rsid w:val="00FC0E9F"/>
    <w:rsid w:val="00FC17F0"/>
    <w:rsid w:val="00FC1C1D"/>
    <w:rsid w:val="00FC303B"/>
    <w:rsid w:val="00FC3BB0"/>
    <w:rsid w:val="00FC3D45"/>
    <w:rsid w:val="00FC4089"/>
    <w:rsid w:val="00FC5D82"/>
    <w:rsid w:val="00FC6255"/>
    <w:rsid w:val="00FC6DD3"/>
    <w:rsid w:val="00FC7244"/>
    <w:rsid w:val="00FC7E2C"/>
    <w:rsid w:val="00FC7F4E"/>
    <w:rsid w:val="00FD037F"/>
    <w:rsid w:val="00FD1A69"/>
    <w:rsid w:val="00FD2D54"/>
    <w:rsid w:val="00FD37C7"/>
    <w:rsid w:val="00FD3865"/>
    <w:rsid w:val="00FD681D"/>
    <w:rsid w:val="00FD6CA7"/>
    <w:rsid w:val="00FD6CC8"/>
    <w:rsid w:val="00FD7117"/>
    <w:rsid w:val="00FD7304"/>
    <w:rsid w:val="00FD7422"/>
    <w:rsid w:val="00FD746D"/>
    <w:rsid w:val="00FE1ACC"/>
    <w:rsid w:val="00FE1DDC"/>
    <w:rsid w:val="00FE2751"/>
    <w:rsid w:val="00FE2AC8"/>
    <w:rsid w:val="00FE5670"/>
    <w:rsid w:val="00FE5EF8"/>
    <w:rsid w:val="00FE6A99"/>
    <w:rsid w:val="00FE6C74"/>
    <w:rsid w:val="00FE7A53"/>
    <w:rsid w:val="00FE7CC2"/>
    <w:rsid w:val="00FF0B0B"/>
    <w:rsid w:val="00FF1BDC"/>
    <w:rsid w:val="00FF1C9B"/>
    <w:rsid w:val="00FF1FEE"/>
    <w:rsid w:val="00FF31B2"/>
    <w:rsid w:val="00FF4BB0"/>
    <w:rsid w:val="00FF4C4A"/>
    <w:rsid w:val="00FF6FC3"/>
    <w:rsid w:val="00FF756A"/>
    <w:rsid w:val="00FF79D5"/>
    <w:rsid w:val="01260F7F"/>
    <w:rsid w:val="03BDC7AC"/>
    <w:rsid w:val="05C57876"/>
    <w:rsid w:val="0879E21E"/>
    <w:rsid w:val="0923B5F4"/>
    <w:rsid w:val="0AAD71D0"/>
    <w:rsid w:val="0B3EC75F"/>
    <w:rsid w:val="0EBDA287"/>
    <w:rsid w:val="10B51A73"/>
    <w:rsid w:val="142D9A77"/>
    <w:rsid w:val="143FF6DE"/>
    <w:rsid w:val="14CE2B0B"/>
    <w:rsid w:val="15D8B346"/>
    <w:rsid w:val="18D209C1"/>
    <w:rsid w:val="1DBBF3EB"/>
    <w:rsid w:val="1FB37045"/>
    <w:rsid w:val="23F60280"/>
    <w:rsid w:val="249DA932"/>
    <w:rsid w:val="25CF463E"/>
    <w:rsid w:val="296388DC"/>
    <w:rsid w:val="2A308C56"/>
    <w:rsid w:val="2EF0D9E8"/>
    <w:rsid w:val="2FF9892F"/>
    <w:rsid w:val="31F8E1DC"/>
    <w:rsid w:val="3529DE6B"/>
    <w:rsid w:val="3545AB13"/>
    <w:rsid w:val="35C0898E"/>
    <w:rsid w:val="35D49024"/>
    <w:rsid w:val="36EFC0F3"/>
    <w:rsid w:val="37BEFC01"/>
    <w:rsid w:val="3862F577"/>
    <w:rsid w:val="3A605B7D"/>
    <w:rsid w:val="3B7416B4"/>
    <w:rsid w:val="3BC2F01D"/>
    <w:rsid w:val="3F1BC9EC"/>
    <w:rsid w:val="3FEEA498"/>
    <w:rsid w:val="42A52D7A"/>
    <w:rsid w:val="4416CBF3"/>
    <w:rsid w:val="44AC178C"/>
    <w:rsid w:val="452B22F5"/>
    <w:rsid w:val="4CA0B2C9"/>
    <w:rsid w:val="51851238"/>
    <w:rsid w:val="531C745F"/>
    <w:rsid w:val="555D50FB"/>
    <w:rsid w:val="5566467B"/>
    <w:rsid w:val="565DE11A"/>
    <w:rsid w:val="57BF44E8"/>
    <w:rsid w:val="5AB21E4F"/>
    <w:rsid w:val="5ECC3347"/>
    <w:rsid w:val="5FFADE27"/>
    <w:rsid w:val="62BDC363"/>
    <w:rsid w:val="650B5E54"/>
    <w:rsid w:val="694484AA"/>
    <w:rsid w:val="6A201B5F"/>
    <w:rsid w:val="6B55D267"/>
    <w:rsid w:val="6B9CD356"/>
    <w:rsid w:val="6C398C5D"/>
    <w:rsid w:val="6C75116F"/>
    <w:rsid w:val="6D408DF9"/>
    <w:rsid w:val="6E2906F9"/>
    <w:rsid w:val="7067376D"/>
    <w:rsid w:val="7097DE94"/>
    <w:rsid w:val="71DA0900"/>
    <w:rsid w:val="72000B99"/>
    <w:rsid w:val="7372D6A9"/>
    <w:rsid w:val="74BCA0DE"/>
    <w:rsid w:val="75ADB942"/>
    <w:rsid w:val="7835612C"/>
  </w:rsids>
  <m:mathPr>
    <m:mathFont m:val="Cambria Math"/>
    <m:brkBin m:val="before"/>
    <m:brkBinSub m:val="--"/>
    <m:smallFrac/>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147791"/>
  <w15:docId w15:val="{4CDF4071-D1DD-4950-9F4C-C29D97C766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MS Mincho" w:hAnsi="Calibri" w:cs="Times New Roman"/>
        <w:szCs w:val="22"/>
        <w:lang w:val="sq-AL" w:eastAsia="en-US" w:bidi="ar-SA"/>
      </w:rPr>
    </w:rPrDefault>
    <w:pPrDefault>
      <w:pPr>
        <w:pBdr>
          <w:top w:val="none" w:sz="4" w:space="0" w:color="000000"/>
          <w:left w:val="none" w:sz="4" w:space="0" w:color="000000"/>
          <w:bottom w:val="none" w:sz="4" w:space="0" w:color="000000"/>
          <w:right w:val="none" w:sz="4" w:space="0" w:color="000000"/>
          <w:between w:val="none" w:sz="4" w:space="0" w:color="000000"/>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554CF"/>
    <w:pPr>
      <w:spacing w:before="60" w:after="60" w:line="276" w:lineRule="auto"/>
      <w:jc w:val="both"/>
    </w:pPr>
    <w:rPr>
      <w:rFonts w:ascii="Times New Roman" w:hAnsi="Times New Roman"/>
      <w:sz w:val="22"/>
    </w:rPr>
  </w:style>
  <w:style w:type="paragraph" w:styleId="Heading1">
    <w:name w:val="heading 1"/>
    <w:basedOn w:val="Normal"/>
    <w:next w:val="Normal"/>
    <w:link w:val="Heading1Char"/>
    <w:autoRedefine/>
    <w:uiPriority w:val="9"/>
    <w:qFormat/>
    <w:rsid w:val="00D953E4"/>
    <w:pPr>
      <w:keepNext/>
      <w:keepLines/>
      <w:numPr>
        <w:numId w:val="54"/>
      </w:numPr>
      <w:spacing w:before="240" w:after="0"/>
      <w:outlineLvl w:val="0"/>
    </w:pPr>
    <w:rPr>
      <w:rFonts w:eastAsia="Times New Roman"/>
      <w:color w:val="365F91"/>
      <w:sz w:val="32"/>
      <w:szCs w:val="32"/>
    </w:rPr>
  </w:style>
  <w:style w:type="paragraph" w:styleId="Heading2">
    <w:name w:val="heading 2"/>
    <w:basedOn w:val="Normal"/>
    <w:next w:val="Normal"/>
    <w:link w:val="Heading2Char"/>
    <w:autoRedefine/>
    <w:uiPriority w:val="9"/>
    <w:unhideWhenUsed/>
    <w:qFormat/>
    <w:rsid w:val="004F61D5"/>
    <w:pPr>
      <w:keepNext/>
      <w:keepLines/>
      <w:spacing w:before="40" w:after="0"/>
      <w:ind w:left="360"/>
      <w:outlineLvl w:val="1"/>
    </w:pPr>
    <w:rPr>
      <w:rFonts w:eastAsiaTheme="minorEastAsia"/>
      <w:color w:val="365F91"/>
      <w:sz w:val="24"/>
      <w:szCs w:val="24"/>
      <w:lang w:eastAsia="de-DE"/>
    </w:rPr>
  </w:style>
  <w:style w:type="paragraph" w:styleId="Heading3">
    <w:name w:val="heading 3"/>
    <w:basedOn w:val="Normal"/>
    <w:next w:val="Normal"/>
    <w:link w:val="Heading3Char"/>
    <w:autoRedefine/>
    <w:uiPriority w:val="9"/>
    <w:unhideWhenUsed/>
    <w:qFormat/>
    <w:rsid w:val="00787710"/>
    <w:pPr>
      <w:keepNext/>
      <w:keepLines/>
      <w:pBdr>
        <w:top w:val="none" w:sz="0" w:space="0" w:color="auto"/>
        <w:left w:val="none" w:sz="0" w:space="0" w:color="auto"/>
        <w:bottom w:val="none" w:sz="0" w:space="0" w:color="auto"/>
        <w:right w:val="none" w:sz="0" w:space="0" w:color="auto"/>
        <w:between w:val="none" w:sz="0" w:space="0" w:color="auto"/>
      </w:pBdr>
      <w:spacing w:before="40" w:after="120" w:line="240" w:lineRule="auto"/>
      <w:ind w:left="1060" w:hanging="1060"/>
      <w:jc w:val="left"/>
      <w:outlineLvl w:val="2"/>
    </w:pPr>
    <w:rPr>
      <w:b/>
      <w:bCs/>
      <w:color w:val="000000" w:themeColor="text1"/>
    </w:rPr>
  </w:style>
  <w:style w:type="paragraph" w:styleId="Heading4">
    <w:name w:val="heading 4"/>
    <w:basedOn w:val="Normal"/>
    <w:next w:val="Normal"/>
    <w:link w:val="Heading4Char"/>
    <w:uiPriority w:val="9"/>
    <w:unhideWhenUsed/>
    <w:qFormat/>
    <w:pPr>
      <w:keepNext/>
      <w:keepLines/>
      <w:numPr>
        <w:ilvl w:val="3"/>
        <w:numId w:val="36"/>
      </w:numPr>
      <w:spacing w:before="40" w:after="0"/>
      <w:outlineLvl w:val="3"/>
    </w:pPr>
    <w:rPr>
      <w:rFonts w:eastAsia="Calibri Light" w:cs="Calibri Light"/>
      <w:i/>
      <w:iCs/>
      <w:color w:val="2F5496" w:themeColor="accent1" w:themeShade="BF"/>
    </w:rPr>
  </w:style>
  <w:style w:type="paragraph" w:styleId="Heading5">
    <w:name w:val="heading 5"/>
    <w:basedOn w:val="Normal"/>
    <w:next w:val="Normal"/>
    <w:link w:val="Heading5Char"/>
    <w:uiPriority w:val="9"/>
    <w:unhideWhenUsed/>
    <w:qFormat/>
    <w:pPr>
      <w:keepNext/>
      <w:keepLines/>
      <w:numPr>
        <w:ilvl w:val="4"/>
        <w:numId w:val="36"/>
      </w:numPr>
      <w:spacing w:before="320"/>
      <w:outlineLvl w:val="4"/>
    </w:pPr>
    <w:rPr>
      <w:rFonts w:ascii="Arial" w:eastAsia="Arial" w:hAnsi="Arial" w:cs="Arial"/>
      <w:b/>
      <w:bCs/>
      <w:sz w:val="24"/>
      <w:szCs w:val="24"/>
    </w:rPr>
  </w:style>
  <w:style w:type="paragraph" w:styleId="Heading6">
    <w:name w:val="heading 6"/>
    <w:basedOn w:val="Normal"/>
    <w:next w:val="Normal"/>
    <w:link w:val="Heading6Char"/>
    <w:uiPriority w:val="9"/>
    <w:unhideWhenUsed/>
    <w:qFormat/>
    <w:pPr>
      <w:keepNext/>
      <w:keepLines/>
      <w:numPr>
        <w:ilvl w:val="5"/>
        <w:numId w:val="36"/>
      </w:numPr>
      <w:spacing w:before="320"/>
      <w:outlineLvl w:val="5"/>
    </w:pPr>
    <w:rPr>
      <w:rFonts w:ascii="Arial" w:eastAsia="Arial" w:hAnsi="Arial" w:cs="Arial"/>
      <w:b/>
      <w:bCs/>
    </w:rPr>
  </w:style>
  <w:style w:type="paragraph" w:styleId="Heading7">
    <w:name w:val="heading 7"/>
    <w:basedOn w:val="Normal"/>
    <w:next w:val="Normal"/>
    <w:link w:val="Heading7Char"/>
    <w:uiPriority w:val="9"/>
    <w:unhideWhenUsed/>
    <w:qFormat/>
    <w:pPr>
      <w:keepNext/>
      <w:keepLines/>
      <w:numPr>
        <w:ilvl w:val="6"/>
        <w:numId w:val="36"/>
      </w:numPr>
      <w:spacing w:before="320"/>
      <w:outlineLvl w:val="6"/>
    </w:pPr>
    <w:rPr>
      <w:rFonts w:ascii="Arial" w:eastAsia="Arial" w:hAnsi="Arial" w:cs="Arial"/>
      <w:b/>
      <w:bCs/>
      <w:i/>
      <w:iCs/>
    </w:rPr>
  </w:style>
  <w:style w:type="paragraph" w:styleId="Heading8">
    <w:name w:val="heading 8"/>
    <w:basedOn w:val="Normal"/>
    <w:next w:val="Normal"/>
    <w:link w:val="Heading8Char"/>
    <w:uiPriority w:val="9"/>
    <w:unhideWhenUsed/>
    <w:qFormat/>
    <w:pPr>
      <w:keepNext/>
      <w:keepLines/>
      <w:numPr>
        <w:ilvl w:val="7"/>
        <w:numId w:val="36"/>
      </w:numPr>
      <w:spacing w:before="320"/>
      <w:outlineLvl w:val="7"/>
    </w:pPr>
    <w:rPr>
      <w:rFonts w:ascii="Arial" w:eastAsia="Arial" w:hAnsi="Arial" w:cs="Arial"/>
      <w:i/>
      <w:iCs/>
    </w:rPr>
  </w:style>
  <w:style w:type="paragraph" w:styleId="Heading9">
    <w:name w:val="heading 9"/>
    <w:basedOn w:val="Normal"/>
    <w:next w:val="Normal"/>
    <w:link w:val="Heading9Char"/>
    <w:uiPriority w:val="9"/>
    <w:unhideWhenUsed/>
    <w:qFormat/>
    <w:pPr>
      <w:keepNext/>
      <w:keepLines/>
      <w:numPr>
        <w:ilvl w:val="8"/>
        <w:numId w:val="36"/>
      </w:numPr>
      <w:spacing w:before="320"/>
      <w:outlineLvl w:val="8"/>
    </w:pPr>
    <w:rPr>
      <w:rFonts w:ascii="Arial" w:eastAsia="Arial" w:hAnsi="Arial" w:cs="Arial"/>
      <w:i/>
      <w:i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Pr>
      <w:rFonts w:ascii="Arial" w:eastAsia="Arial" w:hAnsi="Arial" w:cs="Arial"/>
      <w:b/>
      <w:bCs/>
      <w:sz w:val="24"/>
      <w:szCs w:val="24"/>
    </w:rPr>
  </w:style>
  <w:style w:type="character" w:customStyle="1" w:styleId="Heading6Char">
    <w:name w:val="Heading 6 Char"/>
    <w:basedOn w:val="DefaultParagraphFont"/>
    <w:link w:val="Heading6"/>
    <w:uiPriority w:val="9"/>
    <w:rPr>
      <w:rFonts w:ascii="Arial" w:eastAsia="Arial" w:hAnsi="Arial" w:cs="Arial"/>
      <w:b/>
      <w:bCs/>
      <w:sz w:val="22"/>
    </w:rPr>
  </w:style>
  <w:style w:type="character" w:customStyle="1" w:styleId="Heading7Char">
    <w:name w:val="Heading 7 Char"/>
    <w:basedOn w:val="DefaultParagraphFont"/>
    <w:link w:val="Heading7"/>
    <w:uiPriority w:val="9"/>
    <w:rPr>
      <w:rFonts w:ascii="Arial" w:eastAsia="Arial" w:hAnsi="Arial" w:cs="Arial"/>
      <w:b/>
      <w:bCs/>
      <w:i/>
      <w:iCs/>
      <w:sz w:val="22"/>
    </w:rPr>
  </w:style>
  <w:style w:type="character" w:customStyle="1" w:styleId="Heading8Char">
    <w:name w:val="Heading 8 Char"/>
    <w:basedOn w:val="DefaultParagraphFont"/>
    <w:link w:val="Heading8"/>
    <w:uiPriority w:val="9"/>
    <w:rPr>
      <w:rFonts w:ascii="Arial" w:eastAsia="Arial" w:hAnsi="Arial" w:cs="Arial"/>
      <w:i/>
      <w:iCs/>
      <w:sz w:val="22"/>
    </w:rPr>
  </w:style>
  <w:style w:type="character" w:customStyle="1" w:styleId="Heading9Char">
    <w:name w:val="Heading 9 Char"/>
    <w:basedOn w:val="DefaultParagraphFont"/>
    <w:link w:val="Heading9"/>
    <w:uiPriority w:val="9"/>
    <w:rPr>
      <w:rFonts w:ascii="Arial" w:eastAsia="Arial" w:hAnsi="Arial" w:cs="Arial"/>
      <w:i/>
      <w:iCs/>
      <w:sz w:val="21"/>
      <w:szCs w:val="21"/>
    </w:rPr>
  </w:style>
  <w:style w:type="paragraph" w:styleId="Title">
    <w:name w:val="Title"/>
    <w:basedOn w:val="Normal"/>
    <w:next w:val="Normal"/>
    <w:link w:val="TitleChar"/>
    <w:uiPriority w:val="10"/>
    <w:qFormat/>
    <w:pPr>
      <w:spacing w:before="300"/>
      <w:contextualSpacing/>
    </w:pPr>
    <w:rPr>
      <w:sz w:val="48"/>
      <w:szCs w:val="48"/>
    </w:rPr>
  </w:style>
  <w:style w:type="character" w:customStyle="1" w:styleId="TitleChar">
    <w:name w:val="Title Char"/>
    <w:basedOn w:val="DefaultParagraphFont"/>
    <w:link w:val="Title"/>
    <w:uiPriority w:val="10"/>
    <w:rPr>
      <w:sz w:val="48"/>
      <w:szCs w:val="48"/>
    </w:rPr>
  </w:style>
  <w:style w:type="paragraph" w:styleId="Subtitle">
    <w:name w:val="Subtitle"/>
    <w:basedOn w:val="Normal"/>
    <w:next w:val="Normal"/>
    <w:link w:val="SubtitleChar"/>
    <w:uiPriority w:val="11"/>
    <w:qFormat/>
    <w:pPr>
      <w:spacing w:before="200"/>
    </w:pPr>
    <w:rPr>
      <w:sz w:val="24"/>
      <w:szCs w:val="24"/>
    </w:rPr>
  </w:style>
  <w:style w:type="character" w:customStyle="1" w:styleId="SubtitleChar">
    <w:name w:val="Subtitle Char"/>
    <w:basedOn w:val="DefaultParagraphFont"/>
    <w:link w:val="Subtitle"/>
    <w:uiPriority w:val="11"/>
    <w:rPr>
      <w:sz w:val="24"/>
      <w:szCs w:val="24"/>
    </w:rPr>
  </w:style>
  <w:style w:type="paragraph" w:styleId="Quote">
    <w:name w:val="Quote"/>
    <w:basedOn w:val="Normal"/>
    <w:next w:val="Normal"/>
    <w:link w:val="QuoteChar"/>
    <w:uiPriority w:val="29"/>
    <w:qFormat/>
    <w:pPr>
      <w:ind w:left="720" w:right="720"/>
    </w:pPr>
    <w:rPr>
      <w:i/>
    </w:rPr>
  </w:style>
  <w:style w:type="character" w:customStyle="1" w:styleId="QuoteChar">
    <w:name w:val="Quote Char"/>
    <w:link w:val="Quote"/>
    <w:uiPriority w:val="29"/>
    <w:rPr>
      <w:i/>
    </w:rPr>
  </w:style>
  <w:style w:type="paragraph" w:styleId="IntenseQuote">
    <w:name w:val="Intense Quote"/>
    <w:basedOn w:val="Normal"/>
    <w:next w:val="Normal"/>
    <w:link w:val="IntenseQuoteCh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eQuoteChar">
    <w:name w:val="Intense Quote Char"/>
    <w:link w:val="IntenseQuote"/>
    <w:uiPriority w:val="30"/>
    <w:rPr>
      <w:i/>
    </w:rPr>
  </w:style>
  <w:style w:type="character" w:customStyle="1" w:styleId="CaptionChar">
    <w:name w:val="Caption Char"/>
    <w:uiPriority w:val="99"/>
  </w:style>
  <w:style w:type="table" w:styleId="TableGridLight">
    <w:name w:val="Grid Table Light"/>
    <w:basedOn w:val="TableNormal"/>
    <w:uiPriority w:val="4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hemeFill="text1" w:themeFillTint="0D"/>
      </w:tcPr>
    </w:tblStylePr>
    <w:tblStylePr w:type="band1Horz">
      <w:tblPr/>
      <w:tcPr>
        <w:shd w:val="clear" w:color="auto" w:fill="F2F2F2" w:themeFill="text1" w:themeFillTint="0D"/>
      </w:tcPr>
    </w:tblStylePr>
  </w:style>
  <w:style w:type="table" w:styleId="PlainTable3">
    <w:name w:val="Plain Table 3"/>
    <w:basedOn w:val="TableNormal"/>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PlainTable4">
    <w:name w:val="Plain Table 4"/>
    <w:basedOn w:val="TableNormal"/>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GridTable1Light">
    <w:name w:val="Grid Table 1 Light"/>
    <w:basedOn w:val="TableNormal"/>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styleId="GridTable1Light-Accent1">
    <w:name w:val="Grid Table 1 Light Accent 1"/>
    <w:basedOn w:val="TableNormal"/>
    <w:uiPriority w:val="99"/>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styleId="GridTable1Light-Accent2">
    <w:name w:val="Grid Table 1 Light Accent 2"/>
    <w:basedOn w:val="TableNormal"/>
    <w:uiPriority w:val="46"/>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single" w:sz="2" w:space="0" w:color="F4B083"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styleId="GridTable1Light-Accent4">
    <w:name w:val="Grid Table 1 Light Accent 4"/>
    <w:basedOn w:val="TableNormal"/>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styleId="GridTable1Light-Accent5">
    <w:name w:val="Grid Table 1 Light Accent 5"/>
    <w:basedOn w:val="TableNormal"/>
    <w:uiPriority w:val="99"/>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styleId="GridTable1Light-Accent6">
    <w:name w:val="Grid Table 1 Light Accent 6"/>
    <w:basedOn w:val="TableNormal"/>
    <w:uiPriority w:val="46"/>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single" w:sz="2" w:space="0" w:color="A8D08D"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auto"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styleId="GridTable2-Accent1">
    <w:name w:val="Grid Table 2 Accent 1"/>
    <w:basedOn w:val="TableNormal"/>
    <w:uiPriority w:val="99"/>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auto" w:fill="FFFFFF"/>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8E2F3" w:themeFill="accent1" w:themeFillTint="34"/>
      </w:tcPr>
    </w:tblStylePr>
    <w:tblStylePr w:type="band1Horz">
      <w:rPr>
        <w:rFonts w:ascii="Arial" w:hAnsi="Arial"/>
        <w:color w:val="404040"/>
        <w:sz w:val="22"/>
      </w:rPr>
      <w:tblPr/>
      <w:tcPr>
        <w:shd w:val="clear" w:color="auto" w:fill="D8E2F3" w:themeFill="accent1" w:themeFillTint="34"/>
      </w:tcPr>
    </w:tblStylePr>
  </w:style>
  <w:style w:type="table" w:styleId="GridTable2-Accent2">
    <w:name w:val="Grid Table 2 Accent 2"/>
    <w:basedOn w:val="TableNormal"/>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auto" w:fill="FFFFFF"/>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styleId="GridTable2-Accent3">
    <w:name w:val="Grid Table 2 Accent 3"/>
    <w:basedOn w:val="TableNormal"/>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auto" w:fill="FFFFFF"/>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styleId="GridTable2-Accent4">
    <w:name w:val="Grid Table 2 Accent 4"/>
    <w:basedOn w:val="TableNormal"/>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auto" w:fill="FFFFFF"/>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styleId="GridTable2-Accent5">
    <w:name w:val="Grid Table 2 Accent 5"/>
    <w:basedOn w:val="TableNormal"/>
    <w:uiPriority w:val="99"/>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auto" w:fill="FFFFFF"/>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DEAF6" w:themeFill="accent5" w:themeFillTint="34"/>
      </w:tcPr>
    </w:tblStylePr>
    <w:tblStylePr w:type="band1Horz">
      <w:rPr>
        <w:rFonts w:ascii="Arial" w:hAnsi="Arial"/>
        <w:color w:val="404040"/>
        <w:sz w:val="22"/>
      </w:rPr>
      <w:tblPr/>
      <w:tcPr>
        <w:shd w:val="clear" w:color="auto" w:fill="DDEAF6" w:themeFill="accent5" w:themeFillTint="34"/>
      </w:tcPr>
    </w:tblStylePr>
  </w:style>
  <w:style w:type="table" w:styleId="GridTable2-Accent6">
    <w:name w:val="Grid Table 2 Accent 6"/>
    <w:basedOn w:val="TableNormal"/>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auto" w:fill="FFFFFF"/>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GridTable3">
    <w:name w:val="Grid Table 3"/>
    <w:basedOn w:val="Table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styleId="GridTable3-Accent1">
    <w:name w:val="Grid Table 3 Accent 1"/>
    <w:basedOn w:val="TableNormal"/>
    <w:uiPriority w:val="99"/>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8E2F3" w:themeFill="accent1" w:themeFillTint="34"/>
      </w:tcPr>
    </w:tblStylePr>
    <w:tblStylePr w:type="band1Horz">
      <w:rPr>
        <w:rFonts w:ascii="Arial" w:hAnsi="Arial"/>
        <w:color w:val="404040"/>
        <w:sz w:val="22"/>
      </w:rPr>
      <w:tblPr/>
      <w:tcPr>
        <w:shd w:val="clear" w:color="auto" w:fill="D8E2F3" w:themeFill="accent1" w:themeFillTint="34"/>
      </w:tcPr>
    </w:tblStylePr>
  </w:style>
  <w:style w:type="table" w:styleId="GridTable3-Accent2">
    <w:name w:val="Grid Table 3 Accent 2"/>
    <w:basedOn w:val="TableNormal"/>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styleId="GridTable3-Accent3">
    <w:name w:val="Grid Table 3 Accent 3"/>
    <w:basedOn w:val="TableNormal"/>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styleId="GridTable3-Accent4">
    <w:name w:val="Grid Table 3 Accent 4"/>
    <w:basedOn w:val="TableNormal"/>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styleId="GridTable3-Accent5">
    <w:name w:val="Grid Table 3 Accent 5"/>
    <w:basedOn w:val="TableNormal"/>
    <w:uiPriority w:val="99"/>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DEAF6" w:themeFill="accent5" w:themeFillTint="34"/>
      </w:tcPr>
    </w:tblStylePr>
    <w:tblStylePr w:type="band1Horz">
      <w:rPr>
        <w:rFonts w:ascii="Arial" w:hAnsi="Arial"/>
        <w:color w:val="404040"/>
        <w:sz w:val="22"/>
      </w:rPr>
      <w:tblPr/>
      <w:tcPr>
        <w:shd w:val="clear" w:color="auto" w:fill="DDEAF6" w:themeFill="accent5" w:themeFillTint="34"/>
      </w:tcPr>
    </w:tblStylePr>
  </w:style>
  <w:style w:type="table" w:styleId="GridTable3-Accent6">
    <w:name w:val="Grid Table 3 Accent 6"/>
    <w:basedOn w:val="TableNormal"/>
    <w:uiPriority w:val="48"/>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one" w:sz="4" w:space="0" w:color="000000"/>
          <w:left w:val="none" w:sz="4" w:space="0" w:color="000000"/>
          <w:right w:val="none" w:sz="4" w:space="0" w:color="000000"/>
          <w:insideH w:val="none" w:sz="4" w:space="0" w:color="000000"/>
          <w:insideV w:val="none" w:sz="4" w:space="0" w:color="000000"/>
        </w:tcBorders>
        <w:shd w:val="clear" w:color="auto" w:fill="FFFFFF" w:themeFill="background1"/>
      </w:tcPr>
    </w:tblStylePr>
    <w:tblStylePr w:type="lastRow">
      <w:rPr>
        <w:b/>
        <w:bCs/>
      </w:rPr>
      <w:tblPr/>
      <w:tcPr>
        <w:tcBorders>
          <w:left w:val="none" w:sz="4" w:space="0" w:color="000000"/>
          <w:bottom w:val="none" w:sz="4" w:space="0" w:color="000000"/>
          <w:right w:val="none" w:sz="4" w:space="0" w:color="000000"/>
          <w:insideH w:val="none" w:sz="4" w:space="0" w:color="000000"/>
          <w:insideV w:val="none" w:sz="4" w:space="0" w:color="000000"/>
        </w:tcBorders>
        <w:shd w:val="clear" w:color="auto" w:fill="FFFFFF" w:themeFill="background1"/>
      </w:tcPr>
    </w:tblStylePr>
    <w:tblStylePr w:type="firstCol">
      <w:pPr>
        <w:jc w:val="right"/>
      </w:pPr>
      <w:rPr>
        <w:i/>
        <w:iCs/>
      </w:rPr>
      <w:tblPr/>
      <w:tcPr>
        <w:tcBorders>
          <w:top w:val="none" w:sz="4" w:space="0" w:color="000000"/>
          <w:left w:val="none" w:sz="4" w:space="0" w:color="000000"/>
          <w:bottom w:val="none" w:sz="4" w:space="0" w:color="000000"/>
          <w:insideH w:val="none" w:sz="4" w:space="0" w:color="000000"/>
          <w:insideV w:val="none" w:sz="4" w:space="0" w:color="000000"/>
        </w:tcBorders>
        <w:shd w:val="clear" w:color="auto" w:fill="FFFFFF" w:themeFill="background1"/>
      </w:tcPr>
    </w:tblStylePr>
    <w:tblStylePr w:type="lastCol">
      <w:rPr>
        <w:i/>
        <w:iCs/>
      </w:rPr>
      <w:tblPr/>
      <w:tcPr>
        <w:tcBorders>
          <w:top w:val="none" w:sz="4" w:space="0" w:color="000000"/>
          <w:bottom w:val="none" w:sz="4" w:space="0" w:color="000000"/>
          <w:right w:val="none" w:sz="4" w:space="0" w:color="000000"/>
          <w:insideH w:val="none" w:sz="4" w:space="0" w:color="000000"/>
          <w:insideV w:val="none" w:sz="4" w:space="0" w:color="000000"/>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
    <w:name w:val="Grid Table 4"/>
    <w:basedOn w:val="TableNormal"/>
    <w:uiPriority w:val="4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styleId="GridTable4-Accent1">
    <w:name w:val="Grid Table 4 Accent 1"/>
    <w:basedOn w:val="TableNormal"/>
    <w:uiPriority w:val="49"/>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auto" w:fill="537DC8" w:themeFill="accent1" w:themeFillTint="EA"/>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3F3" w:themeFill="accent1" w:themeFillTint="32"/>
      </w:tcPr>
    </w:tblStylePr>
    <w:tblStylePr w:type="band1Horz">
      <w:rPr>
        <w:rFonts w:ascii="Arial" w:hAnsi="Arial"/>
        <w:color w:val="404040"/>
        <w:sz w:val="22"/>
      </w:rPr>
      <w:tblPr/>
      <w:tcPr>
        <w:shd w:val="clear" w:color="auto" w:fill="DAE3F3" w:themeFill="accent1" w:themeFillTint="32"/>
      </w:tcPr>
    </w:tblStylePr>
  </w:style>
  <w:style w:type="table" w:styleId="GridTable4-Accent2">
    <w:name w:val="Grid Table 4 Accent 2"/>
    <w:basedOn w:val="TableNormal"/>
    <w:uiPriority w:val="5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auto"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styleId="GridTable4-Accent3">
    <w:name w:val="Grid Table 4 Accent 3"/>
    <w:basedOn w:val="TableNormal"/>
    <w:uiPriority w:val="5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uto"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styleId="GridTable4-Accent4">
    <w:name w:val="Grid Table 4 Accent 4"/>
    <w:basedOn w:val="TableNormal"/>
    <w:uiPriority w:val="5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auto"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styleId="GridTable4-Accent5">
    <w:name w:val="Grid Table 4 Accent 5"/>
    <w:basedOn w:val="TableNormal"/>
    <w:uiPriority w:val="59"/>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auto" w:fill="5B9BD5" w:themeFill="accent5"/>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DEAF6" w:themeFill="accent5" w:themeFillTint="34"/>
      </w:tcPr>
    </w:tblStylePr>
    <w:tblStylePr w:type="band1Horz">
      <w:rPr>
        <w:rFonts w:ascii="Arial" w:hAnsi="Arial"/>
        <w:color w:val="404040"/>
        <w:sz w:val="22"/>
      </w:rPr>
      <w:tblPr/>
      <w:tcPr>
        <w:shd w:val="clear" w:color="auto" w:fill="DDEAF6" w:themeFill="accent5" w:themeFillTint="34"/>
      </w:tcPr>
    </w:tblStylePr>
  </w:style>
  <w:style w:type="table" w:styleId="GridTable4-Accent6">
    <w:name w:val="Grid Table 4 Accent 6"/>
    <w:basedOn w:val="TableNormal"/>
    <w:uiPriority w:val="5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GridTable5Dark">
    <w:name w:val="Grid Table 5 Dark"/>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BFBFBF" w:themeFill="text1" w:themeFillTint="40"/>
    </w:tblPr>
    <w:tblStylePr w:type="firstRow">
      <w:rPr>
        <w:rFonts w:ascii="Arial" w:hAnsi="Arial"/>
        <w:b/>
        <w:color w:val="FFFFFF"/>
        <w:sz w:val="22"/>
      </w:rPr>
      <w:tblPr/>
      <w:tcPr>
        <w:shd w:val="clear" w:color="auto" w:fill="000000" w:themeFill="text1"/>
      </w:tcPr>
    </w:tblStylePr>
    <w:tblStylePr w:type="lastRow">
      <w:rPr>
        <w:rFonts w:ascii="Arial" w:hAnsi="Arial"/>
        <w:b/>
        <w:color w:val="FFFFFF"/>
        <w:sz w:val="22"/>
      </w:rPr>
      <w:tblPr/>
      <w:tcPr>
        <w:tcBorders>
          <w:top w:val="single" w:sz="4" w:space="0" w:color="FFFFFF" w:themeColor="light1"/>
        </w:tcBorders>
        <w:shd w:val="clear" w:color="auto" w:fill="000000" w:themeFill="text1"/>
      </w:tcPr>
    </w:tblStylePr>
    <w:tblStylePr w:type="firstCol">
      <w:rPr>
        <w:rFonts w:ascii="Arial" w:hAnsi="Arial"/>
        <w:b/>
        <w:color w:val="FFFFFF"/>
        <w:sz w:val="22"/>
      </w:rPr>
      <w:tblPr/>
      <w:tcPr>
        <w:shd w:val="clear" w:color="auto" w:fill="000000" w:themeFill="text1"/>
      </w:tcPr>
    </w:tblStylePr>
    <w:tblStylePr w:type="lastCol">
      <w:rPr>
        <w:rFonts w:ascii="Arial" w:hAnsi="Arial"/>
        <w:b/>
        <w:color w:val="FFFFFF"/>
        <w:sz w:val="22"/>
      </w:rPr>
      <w:tblPr/>
      <w:tcPr>
        <w:shd w:val="clear" w:color="auto" w:fill="000000" w:themeFill="text1"/>
      </w:tcPr>
    </w:tblStylePr>
    <w:tblStylePr w:type="band1Vert">
      <w:tblPr/>
      <w:tcPr>
        <w:shd w:val="clear" w:color="auto" w:fill="8A8A8A" w:themeFill="text1" w:themeFillTint="75"/>
      </w:tcPr>
    </w:tblStylePr>
    <w:tblStylePr w:type="band1Horz">
      <w:tblPr/>
      <w:tcPr>
        <w:shd w:val="clear" w:color="auto" w:fill="8A8A8A" w:themeFill="text1" w:themeFillTint="75"/>
      </w:tcPr>
    </w:tblStylePr>
  </w:style>
  <w:style w:type="table" w:customStyle="1" w:styleId="Gitternetztabelle5dunkelAkzent11">
    <w:name w:val="Gitternetztabelle 5 dunkel  – Akzent 11"/>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8E2F3" w:themeFill="accent1" w:themeFillTint="34"/>
    </w:tblPr>
    <w:tblStylePr w:type="firstRow">
      <w:rPr>
        <w:rFonts w:ascii="Arial" w:hAnsi="Arial"/>
        <w:b/>
        <w:color w:val="FFFFFF"/>
        <w:sz w:val="22"/>
      </w:rPr>
      <w:tblPr/>
      <w:tcPr>
        <w:shd w:val="clear" w:color="auto" w:fill="4472C4" w:themeFill="accent1"/>
      </w:tcPr>
    </w:tblStylePr>
    <w:tblStylePr w:type="lastRow">
      <w:rPr>
        <w:rFonts w:ascii="Arial" w:hAnsi="Arial"/>
        <w:b/>
        <w:color w:val="FFFFFF"/>
        <w:sz w:val="22"/>
      </w:rPr>
      <w:tblPr/>
      <w:tcPr>
        <w:tcBorders>
          <w:top w:val="single" w:sz="4" w:space="0" w:color="FFFFFF" w:themeColor="light1"/>
        </w:tcBorders>
        <w:shd w:val="clear" w:color="auto" w:fill="4472C4" w:themeFill="accent1"/>
      </w:tcPr>
    </w:tblStylePr>
    <w:tblStylePr w:type="firstCol">
      <w:rPr>
        <w:rFonts w:ascii="Arial" w:hAnsi="Arial"/>
        <w:b/>
        <w:color w:val="FFFFFF"/>
        <w:sz w:val="22"/>
      </w:rPr>
      <w:tblPr/>
      <w:tcPr>
        <w:shd w:val="clear" w:color="auto" w:fill="4472C4" w:themeFill="accent1"/>
      </w:tcPr>
    </w:tblStylePr>
    <w:tblStylePr w:type="lastCol">
      <w:rPr>
        <w:rFonts w:ascii="Arial" w:hAnsi="Arial"/>
        <w:b/>
        <w:color w:val="FFFFFF"/>
        <w:sz w:val="22"/>
      </w:rPr>
      <w:tblPr/>
      <w:tcPr>
        <w:shd w:val="clear" w:color="auto" w:fill="4472C4" w:themeFill="accent1"/>
      </w:tcPr>
    </w:tblStylePr>
    <w:tblStylePr w:type="band1Vert">
      <w:tblPr/>
      <w:tcPr>
        <w:shd w:val="clear" w:color="auto" w:fill="A9BEE4" w:themeFill="accent1" w:themeFillTint="75"/>
      </w:tcPr>
    </w:tblStylePr>
    <w:tblStylePr w:type="band1Horz">
      <w:tblPr/>
      <w:tcPr>
        <w:shd w:val="clear" w:color="auto" w:fill="A9BEE4" w:themeFill="accent1" w:themeFillTint="75"/>
      </w:tcPr>
    </w:tblStylePr>
  </w:style>
  <w:style w:type="table" w:styleId="GridTable5Dark-Accent2">
    <w:name w:val="Grid Table 5 Dark Accent 2"/>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BE5D6" w:themeFill="accent2" w:themeFillTint="32"/>
    </w:tblPr>
    <w:tblStylePr w:type="firstRow">
      <w:rPr>
        <w:rFonts w:ascii="Arial" w:hAnsi="Arial"/>
        <w:b/>
        <w:color w:val="FFFFFF"/>
        <w:sz w:val="22"/>
      </w:rPr>
      <w:tblPr/>
      <w:tcPr>
        <w:shd w:val="clear" w:color="auto" w:fill="ED7D31" w:themeFill="accent2"/>
      </w:tcPr>
    </w:tblStylePr>
    <w:tblStylePr w:type="lastRow">
      <w:rPr>
        <w:rFonts w:ascii="Arial" w:hAnsi="Arial"/>
        <w:b/>
        <w:color w:val="FFFFFF"/>
        <w:sz w:val="22"/>
      </w:rPr>
      <w:tblPr/>
      <w:tcPr>
        <w:tcBorders>
          <w:top w:val="single" w:sz="4" w:space="0" w:color="FFFFFF" w:themeColor="light1"/>
        </w:tcBorders>
        <w:shd w:val="clear" w:color="auto" w:fill="ED7D31" w:themeFill="accent2"/>
      </w:tcPr>
    </w:tblStylePr>
    <w:tblStylePr w:type="firstCol">
      <w:rPr>
        <w:rFonts w:ascii="Arial" w:hAnsi="Arial"/>
        <w:b/>
        <w:color w:val="FFFFFF"/>
        <w:sz w:val="22"/>
      </w:rPr>
      <w:tblPr/>
      <w:tcPr>
        <w:shd w:val="clear" w:color="auto" w:fill="ED7D31" w:themeFill="accent2"/>
      </w:tcPr>
    </w:tblStylePr>
    <w:tblStylePr w:type="lastCol">
      <w:rPr>
        <w:rFonts w:ascii="Arial" w:hAnsi="Arial"/>
        <w:b/>
        <w:color w:val="FFFFFF"/>
        <w:sz w:val="22"/>
      </w:rPr>
      <w:tblPr/>
      <w:tcPr>
        <w:shd w:val="clear" w:color="auto" w:fill="ED7D31" w:themeFill="accent2"/>
      </w:tcPr>
    </w:tblStylePr>
    <w:tblStylePr w:type="band1Vert">
      <w:tblPr/>
      <w:tcPr>
        <w:shd w:val="clear" w:color="auto" w:fill="F6C3A0" w:themeFill="accent2" w:themeFillTint="75"/>
      </w:tcPr>
    </w:tblStylePr>
    <w:tblStylePr w:type="band1Horz">
      <w:tblPr/>
      <w:tcPr>
        <w:shd w:val="clear" w:color="auto" w:fill="F6C3A0" w:themeFill="accent2" w:themeFillTint="75"/>
      </w:tcPr>
    </w:tblStylePr>
  </w:style>
  <w:style w:type="table" w:styleId="GridTable5Dark-Accent3">
    <w:name w:val="Grid Table 5 Dark Accent 3"/>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CECEC" w:themeFill="accent3" w:themeFillTint="34"/>
    </w:tblPr>
    <w:tblStylePr w:type="firstRow">
      <w:rPr>
        <w:rFonts w:ascii="Arial" w:hAnsi="Arial"/>
        <w:b/>
        <w:color w:val="FFFFFF"/>
        <w:sz w:val="22"/>
      </w:rPr>
      <w:tblPr/>
      <w:tcPr>
        <w:shd w:val="clear" w:color="auto" w:fill="A5A5A5" w:themeFill="accent3"/>
      </w:tcPr>
    </w:tblStylePr>
    <w:tblStylePr w:type="lastRow">
      <w:rPr>
        <w:rFonts w:ascii="Arial" w:hAnsi="Arial"/>
        <w:b/>
        <w:color w:val="FFFFFF"/>
        <w:sz w:val="22"/>
      </w:rPr>
      <w:tblPr/>
      <w:tcPr>
        <w:tcBorders>
          <w:top w:val="single" w:sz="4" w:space="0" w:color="FFFFFF" w:themeColor="light1"/>
        </w:tcBorders>
        <w:shd w:val="clear" w:color="auto" w:fill="A5A5A5" w:themeFill="accent3"/>
      </w:tcPr>
    </w:tblStylePr>
    <w:tblStylePr w:type="firstCol">
      <w:rPr>
        <w:rFonts w:ascii="Arial" w:hAnsi="Arial"/>
        <w:b/>
        <w:color w:val="FFFFFF"/>
        <w:sz w:val="22"/>
      </w:rPr>
      <w:tblPr/>
      <w:tcPr>
        <w:shd w:val="clear" w:color="auto" w:fill="A5A5A5" w:themeFill="accent3"/>
      </w:tcPr>
    </w:tblStylePr>
    <w:tblStylePr w:type="lastCol">
      <w:rPr>
        <w:rFonts w:ascii="Arial" w:hAnsi="Arial"/>
        <w:b/>
        <w:color w:val="FFFFFF"/>
        <w:sz w:val="22"/>
      </w:rPr>
      <w:tblPr/>
      <w:tcPr>
        <w:shd w:val="clear" w:color="auto" w:fill="A5A5A5" w:themeFill="accent3"/>
      </w:tcPr>
    </w:tblStylePr>
    <w:tblStylePr w:type="band1Vert">
      <w:tblPr/>
      <w:tcPr>
        <w:shd w:val="clear" w:color="auto" w:fill="D5D5D5" w:themeFill="accent3" w:themeFillTint="75"/>
      </w:tcPr>
    </w:tblStylePr>
    <w:tblStylePr w:type="band1Horz">
      <w:tblPr/>
      <w:tcPr>
        <w:shd w:val="clear" w:color="auto" w:fill="D5D5D5" w:themeFill="accent3" w:themeFillTint="75"/>
      </w:tcPr>
    </w:tblStylePr>
  </w:style>
  <w:style w:type="table" w:customStyle="1" w:styleId="Gitternetztabelle5dunkelAkzent41">
    <w:name w:val="Gitternetztabelle 5 dunkel  – Akzent 41"/>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FF2CB" w:themeFill="accent4" w:themeFillTint="34"/>
    </w:tblPr>
    <w:tblStylePr w:type="firstRow">
      <w:rPr>
        <w:rFonts w:ascii="Arial" w:hAnsi="Arial"/>
        <w:b/>
        <w:color w:val="FFFFFF"/>
        <w:sz w:val="22"/>
      </w:rPr>
      <w:tblPr/>
      <w:tcPr>
        <w:shd w:val="clear" w:color="auto" w:fill="FFC000" w:themeFill="accent4"/>
      </w:tcPr>
    </w:tblStylePr>
    <w:tblStylePr w:type="lastRow">
      <w:rPr>
        <w:rFonts w:ascii="Arial" w:hAnsi="Arial"/>
        <w:b/>
        <w:color w:val="FFFFFF"/>
        <w:sz w:val="22"/>
      </w:rPr>
      <w:tblPr/>
      <w:tcPr>
        <w:tcBorders>
          <w:top w:val="single" w:sz="4" w:space="0" w:color="FFFFFF" w:themeColor="light1"/>
        </w:tcBorders>
        <w:shd w:val="clear" w:color="auto" w:fill="FFC000" w:themeFill="accent4"/>
      </w:tcPr>
    </w:tblStylePr>
    <w:tblStylePr w:type="firstCol">
      <w:rPr>
        <w:rFonts w:ascii="Arial" w:hAnsi="Arial"/>
        <w:b/>
        <w:color w:val="FFFFFF"/>
        <w:sz w:val="22"/>
      </w:rPr>
      <w:tblPr/>
      <w:tcPr>
        <w:shd w:val="clear" w:color="auto" w:fill="FFC000" w:themeFill="accent4"/>
      </w:tcPr>
    </w:tblStylePr>
    <w:tblStylePr w:type="lastCol">
      <w:rPr>
        <w:rFonts w:ascii="Arial" w:hAnsi="Arial"/>
        <w:b/>
        <w:color w:val="FFFFFF"/>
        <w:sz w:val="22"/>
      </w:rPr>
      <w:tblPr/>
      <w:tcPr>
        <w:shd w:val="clear" w:color="auto" w:fill="FFC000" w:themeFill="accent4"/>
      </w:tcPr>
    </w:tblStylePr>
    <w:tblStylePr w:type="band1Vert">
      <w:tblPr/>
      <w:tcPr>
        <w:shd w:val="clear" w:color="auto" w:fill="FFE28A" w:themeFill="accent4" w:themeFillTint="75"/>
      </w:tcPr>
    </w:tblStylePr>
    <w:tblStylePr w:type="band1Horz">
      <w:tblPr/>
      <w:tcPr>
        <w:shd w:val="clear" w:color="auto" w:fill="FFE28A" w:themeFill="accent4" w:themeFillTint="75"/>
      </w:tcPr>
    </w:tblStylePr>
  </w:style>
  <w:style w:type="table" w:styleId="GridTable5Dark-Accent5">
    <w:name w:val="Grid Table 5 Dark Accent 5"/>
    <w:basedOn w:val="TableNormal"/>
    <w:uiPriority w:val="50"/>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DEAF6" w:themeFill="accent5" w:themeFillTint="34"/>
    </w:tblPr>
    <w:tblStylePr w:type="firstRow">
      <w:rPr>
        <w:rFonts w:ascii="Arial" w:hAnsi="Arial"/>
        <w:b/>
        <w:color w:val="FFFFFF"/>
        <w:sz w:val="22"/>
      </w:rPr>
      <w:tblPr/>
      <w:tcPr>
        <w:shd w:val="clear" w:color="auto" w:fill="5B9BD5" w:themeFill="accent5"/>
      </w:tcPr>
    </w:tblStylePr>
    <w:tblStylePr w:type="lastRow">
      <w:rPr>
        <w:rFonts w:ascii="Arial" w:hAnsi="Arial"/>
        <w:b/>
        <w:color w:val="FFFFFF"/>
        <w:sz w:val="22"/>
      </w:rPr>
      <w:tblPr/>
      <w:tcPr>
        <w:tcBorders>
          <w:top w:val="single" w:sz="4" w:space="0" w:color="FFFFFF" w:themeColor="light1"/>
        </w:tcBorders>
        <w:shd w:val="clear" w:color="auto" w:fill="5B9BD5" w:themeFill="accent5"/>
      </w:tcPr>
    </w:tblStylePr>
    <w:tblStylePr w:type="firstCol">
      <w:rPr>
        <w:rFonts w:ascii="Arial" w:hAnsi="Arial"/>
        <w:b/>
        <w:color w:val="FFFFFF"/>
        <w:sz w:val="22"/>
      </w:rPr>
      <w:tblPr/>
      <w:tcPr>
        <w:shd w:val="clear" w:color="auto" w:fill="5B9BD5" w:themeFill="accent5"/>
      </w:tcPr>
    </w:tblStylePr>
    <w:tblStylePr w:type="lastCol">
      <w:rPr>
        <w:rFonts w:ascii="Arial" w:hAnsi="Arial"/>
        <w:b/>
        <w:color w:val="FFFFFF"/>
        <w:sz w:val="22"/>
      </w:rPr>
      <w:tblPr/>
      <w:tcPr>
        <w:shd w:val="clear" w:color="auto" w:fill="5B9BD5" w:themeFill="accent5"/>
      </w:tcPr>
    </w:tblStylePr>
    <w:tblStylePr w:type="band1Vert">
      <w:tblPr/>
      <w:tcPr>
        <w:shd w:val="clear" w:color="auto" w:fill="B3D0EB" w:themeFill="accent5" w:themeFillTint="75"/>
      </w:tcPr>
    </w:tblStylePr>
    <w:tblStylePr w:type="band1Horz">
      <w:tblPr/>
      <w:tcPr>
        <w:shd w:val="clear" w:color="auto" w:fill="B3D0EB" w:themeFill="accent5" w:themeFillTint="75"/>
      </w:tcPr>
    </w:tblStylePr>
  </w:style>
  <w:style w:type="table" w:styleId="GridTable5Dark-Accent6">
    <w:name w:val="Grid Table 5 Dark Accent 6"/>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1EFD8" w:themeFill="accent6" w:themeFillTint="34"/>
    </w:tblPr>
    <w:tblStylePr w:type="firstRow">
      <w:rPr>
        <w:rFonts w:ascii="Arial" w:hAnsi="Arial"/>
        <w:b/>
        <w:color w:val="FFFFFF"/>
        <w:sz w:val="22"/>
      </w:rPr>
      <w:tblPr/>
      <w:tcPr>
        <w:shd w:val="clear" w:color="auto" w:fill="70AD47" w:themeFill="accent6"/>
      </w:tcPr>
    </w:tblStylePr>
    <w:tblStylePr w:type="lastRow">
      <w:rPr>
        <w:rFonts w:ascii="Arial" w:hAnsi="Arial"/>
        <w:b/>
        <w:color w:val="FFFFFF"/>
        <w:sz w:val="22"/>
      </w:rPr>
      <w:tblPr/>
      <w:tcPr>
        <w:tcBorders>
          <w:top w:val="single" w:sz="4" w:space="0" w:color="FFFFFF" w:themeColor="light1"/>
        </w:tcBorders>
        <w:shd w:val="clear" w:color="auto" w:fill="70AD47" w:themeFill="accent6"/>
      </w:tcPr>
    </w:tblStylePr>
    <w:tblStylePr w:type="firstCol">
      <w:rPr>
        <w:rFonts w:ascii="Arial" w:hAnsi="Arial"/>
        <w:b/>
        <w:color w:val="FFFFFF"/>
        <w:sz w:val="22"/>
      </w:rPr>
      <w:tblPr/>
      <w:tcPr>
        <w:shd w:val="clear" w:color="auto" w:fill="70AD47" w:themeFill="accent6"/>
      </w:tcPr>
    </w:tblStylePr>
    <w:tblStylePr w:type="lastCol">
      <w:rPr>
        <w:rFonts w:ascii="Arial" w:hAnsi="Arial"/>
        <w:b/>
        <w:color w:val="FFFFFF"/>
        <w:sz w:val="22"/>
      </w:rPr>
      <w:tblPr/>
      <w:tcPr>
        <w:shd w:val="clear" w:color="auto" w:fill="70AD47" w:themeFill="accent6"/>
      </w:tcPr>
    </w:tblStylePr>
    <w:tblStylePr w:type="band1Vert">
      <w:tblPr/>
      <w:tcPr>
        <w:shd w:val="clear" w:color="auto" w:fill="BCDBA8" w:themeFill="accent6" w:themeFillTint="75"/>
      </w:tcPr>
    </w:tblStylePr>
    <w:tblStylePr w:type="band1Horz">
      <w:tblPr/>
      <w:tcPr>
        <w:shd w:val="clear" w:color="auto" w:fill="BCDBA8" w:themeFill="accent6" w:themeFillTint="75"/>
      </w:tcPr>
    </w:tblStylePr>
  </w:style>
  <w:style w:type="table" w:styleId="GridTable6Colorful">
    <w:name w:val="Grid Table 6 Colorful"/>
    <w:basedOn w:val="TableNormal"/>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hemeFill="text1" w:themeFillTint="34"/>
      </w:tcPr>
    </w:tblStylePr>
    <w:tblStylePr w:type="band1Horz">
      <w:rPr>
        <w:rFonts w:ascii="Arial" w:hAnsi="Arial"/>
        <w:color w:val="7F7F7F" w:themeColor="text1" w:themeTint="80" w:themeShade="95"/>
        <w:sz w:val="22"/>
      </w:rPr>
      <w:tblPr/>
      <w:tcPr>
        <w:shd w:val="clear" w:color="auto" w:fill="CBCBCB" w:themeFill="text1" w:themeFillTint="34"/>
      </w:tcPr>
    </w:tblStylePr>
    <w:tblStylePr w:type="band2Horz">
      <w:rPr>
        <w:rFonts w:ascii="Arial" w:hAnsi="Arial"/>
        <w:color w:val="7F7F7F" w:themeColor="text1" w:themeTint="80" w:themeShade="95"/>
        <w:sz w:val="22"/>
      </w:rPr>
    </w:tblStylePr>
  </w:style>
  <w:style w:type="table" w:styleId="GridTable6Colorful-Accent1">
    <w:name w:val="Grid Table 6 Colorful Accent 1"/>
    <w:basedOn w:val="TableNormal"/>
    <w:uiPriority w:val="99"/>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auto" w:fill="D8E2F3" w:themeFill="accent1" w:themeFillTint="34"/>
      </w:tcPr>
    </w:tblStylePr>
    <w:tblStylePr w:type="band1Horz">
      <w:rPr>
        <w:rFonts w:ascii="Arial" w:hAnsi="Arial"/>
        <w:color w:val="A0B7E1" w:themeColor="accent1" w:themeTint="80" w:themeShade="95"/>
        <w:sz w:val="22"/>
      </w:rPr>
      <w:tblPr/>
      <w:tcPr>
        <w:shd w:val="clear" w:color="auto" w:fill="D8E2F3" w:themeFill="accent1" w:themeFillTint="34"/>
      </w:tcPr>
    </w:tblStylePr>
    <w:tblStylePr w:type="band2Horz">
      <w:rPr>
        <w:rFonts w:ascii="Arial" w:hAnsi="Arial"/>
        <w:color w:val="A0B7E1" w:themeColor="accent1" w:themeTint="80" w:themeShade="95"/>
        <w:sz w:val="22"/>
      </w:rPr>
    </w:tblStylePr>
  </w:style>
  <w:style w:type="table" w:styleId="GridTable6Colorful-Accent2">
    <w:name w:val="Grid Table 6 Colorful Accent 2"/>
    <w:basedOn w:val="TableNormal"/>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auto" w:fill="FBE5D6" w:themeFill="accent2" w:themeFillTint="32"/>
      </w:tcPr>
    </w:tblStylePr>
    <w:tblStylePr w:type="band1Horz">
      <w:rPr>
        <w:rFonts w:ascii="Arial" w:hAnsi="Arial"/>
        <w:color w:val="F4B184" w:themeColor="accent2" w:themeTint="97" w:themeShade="95"/>
        <w:sz w:val="22"/>
      </w:rPr>
      <w:tblPr/>
      <w:tcPr>
        <w:shd w:val="clear" w:color="auto" w:fill="FBE5D6" w:themeFill="accent2" w:themeFillTint="32"/>
      </w:tcPr>
    </w:tblStylePr>
    <w:tblStylePr w:type="band2Horz">
      <w:rPr>
        <w:rFonts w:ascii="Arial" w:hAnsi="Arial"/>
        <w:color w:val="F4B184" w:themeColor="accent2" w:themeTint="97" w:themeShade="95"/>
        <w:sz w:val="22"/>
      </w:rPr>
    </w:tblStylePr>
  </w:style>
  <w:style w:type="table" w:styleId="GridTable6Colorful-Accent3">
    <w:name w:val="Grid Table 6 Colorful Accent 3"/>
    <w:basedOn w:val="TableNormal"/>
    <w:uiPriority w:val="99"/>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auto" w:fill="ECECEC" w:themeFill="accent3" w:themeFillTint="34"/>
      </w:tcPr>
    </w:tblStylePr>
    <w:tblStylePr w:type="band1Horz">
      <w:rPr>
        <w:rFonts w:ascii="Arial" w:hAnsi="Arial"/>
        <w:color w:val="A5A5A5" w:themeColor="accent3" w:themeTint="FE" w:themeShade="95"/>
        <w:sz w:val="22"/>
      </w:rPr>
      <w:tblPr/>
      <w:tcPr>
        <w:shd w:val="clear" w:color="auto" w:fill="ECECEC" w:themeFill="accent3" w:themeFillTint="34"/>
      </w:tcPr>
    </w:tblStylePr>
    <w:tblStylePr w:type="band2Horz">
      <w:rPr>
        <w:rFonts w:ascii="Arial" w:hAnsi="Arial"/>
        <w:color w:val="A5A5A5" w:themeColor="accent3" w:themeTint="FE" w:themeShade="95"/>
        <w:sz w:val="22"/>
      </w:rPr>
    </w:tblStylePr>
  </w:style>
  <w:style w:type="table" w:styleId="GridTable6Colorful-Accent4">
    <w:name w:val="Grid Table 6 Colorful Accent 4"/>
    <w:basedOn w:val="TableNormal"/>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auto" w:fill="FFF2CB" w:themeFill="accent4" w:themeFillTint="34"/>
      </w:tcPr>
    </w:tblStylePr>
    <w:tblStylePr w:type="band1Horz">
      <w:rPr>
        <w:rFonts w:ascii="Arial" w:hAnsi="Arial"/>
        <w:color w:val="FFD865" w:themeColor="accent4" w:themeTint="9A" w:themeShade="95"/>
        <w:sz w:val="22"/>
      </w:rPr>
      <w:tblPr/>
      <w:tcPr>
        <w:shd w:val="clear" w:color="auto" w:fill="FFF2CB" w:themeFill="accent4" w:themeFillTint="34"/>
      </w:tcPr>
    </w:tblStylePr>
    <w:tblStylePr w:type="band2Horz">
      <w:rPr>
        <w:rFonts w:ascii="Arial" w:hAnsi="Arial"/>
        <w:color w:val="FFD865" w:themeColor="accent4" w:themeTint="9A" w:themeShade="95"/>
        <w:sz w:val="22"/>
      </w:rPr>
    </w:tblStylePr>
  </w:style>
  <w:style w:type="table" w:styleId="GridTable6Colorful-Accent5">
    <w:name w:val="Grid Table 6 Colorful Accent 5"/>
    <w:basedOn w:val="TableNormal"/>
    <w:uiPriority w:val="99"/>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auto" w:fill="DDEAF6" w:themeFill="accent5" w:themeFillTint="34"/>
      </w:tcPr>
    </w:tblStylePr>
    <w:tblStylePr w:type="band1Horz">
      <w:rPr>
        <w:rFonts w:ascii="Arial" w:hAnsi="Arial"/>
        <w:color w:val="245A8D" w:themeColor="accent5" w:themeShade="95"/>
        <w:sz w:val="22"/>
      </w:rPr>
      <w:tblPr/>
      <w:tcPr>
        <w:shd w:val="clear" w:color="auto" w:fill="DDEAF6" w:themeFill="accent5" w:themeFillTint="34"/>
      </w:tcPr>
    </w:tblStylePr>
    <w:tblStylePr w:type="band2Horz">
      <w:rPr>
        <w:rFonts w:ascii="Arial" w:hAnsi="Arial"/>
        <w:color w:val="245A8D" w:themeColor="accent5" w:themeShade="95"/>
        <w:sz w:val="22"/>
      </w:rPr>
    </w:tblStylePr>
  </w:style>
  <w:style w:type="table" w:styleId="GridTable6Colorful-Accent6">
    <w:name w:val="Grid Table 6 Colorful Accent 6"/>
    <w:basedOn w:val="TableNormal"/>
    <w:uiPriority w:val="99"/>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auto" w:fill="E1EFD8" w:themeFill="accent6" w:themeFillTint="34"/>
      </w:tcPr>
    </w:tblStylePr>
    <w:tblStylePr w:type="band1Horz">
      <w:rPr>
        <w:rFonts w:ascii="Arial" w:hAnsi="Arial"/>
        <w:color w:val="245A8D" w:themeColor="accent5" w:themeShade="95"/>
        <w:sz w:val="22"/>
      </w:rPr>
      <w:tblPr/>
      <w:tcPr>
        <w:shd w:val="clear" w:color="auto" w:fill="E1EFD8" w:themeFill="accent6" w:themeFillTint="34"/>
      </w:tcPr>
    </w:tblStylePr>
    <w:tblStylePr w:type="band2Horz">
      <w:rPr>
        <w:rFonts w:ascii="Arial" w:hAnsi="Arial"/>
        <w:color w:val="245A8D" w:themeColor="accent5" w:themeShade="95"/>
        <w:sz w:val="22"/>
      </w:rPr>
    </w:tblStylePr>
  </w:style>
  <w:style w:type="table" w:styleId="GridTable7Colorful">
    <w:name w:val="Grid Table 7 Colorful"/>
    <w:basedOn w:val="TableNormal"/>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F2F2F2" w:themeFill="text1" w:themeFillTint="0D"/>
      </w:tcPr>
    </w:tblStylePr>
    <w:tblStylePr w:type="band1Horz">
      <w:rPr>
        <w:rFonts w:ascii="Arial" w:hAnsi="Arial"/>
        <w:color w:val="7F7F7F" w:themeColor="text1" w:themeTint="80" w:themeShade="95"/>
        <w:sz w:val="22"/>
      </w:rPr>
      <w:tblPr/>
      <w:tcPr>
        <w:shd w:val="clear" w:color="auto" w:fill="F2F2F2" w:themeFill="text1" w:themeFillTint="0D"/>
      </w:tcPr>
    </w:tblStylePr>
    <w:tblStylePr w:type="band2Horz">
      <w:rPr>
        <w:rFonts w:ascii="Arial" w:hAnsi="Arial"/>
        <w:color w:val="7F7F7F" w:themeColor="text1" w:themeTint="80" w:themeShade="95"/>
        <w:sz w:val="22"/>
      </w:rPr>
    </w:tblStylePr>
  </w:style>
  <w:style w:type="table" w:styleId="GridTable7Colorful-Accent1">
    <w:name w:val="Grid Table 7 Colorful Accent 1"/>
    <w:basedOn w:val="TableNormal"/>
    <w:uiPriority w:val="99"/>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0" w:space="0" w:color="auto"/>
          <w:left w:val="none" w:sz="0" w:space="0" w:color="auto"/>
          <w:bottom w:val="single" w:sz="4" w:space="0" w:color="A0B7E1" w:themeColor="accent1" w:themeTint="80"/>
          <w:right w:val="none" w:sz="0" w:space="0" w:color="auto"/>
        </w:tcBorders>
        <w:shd w:val="clear" w:color="auto" w:fill="FFFFFF" w:themeFill="light1"/>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0B7E1" w:themeColor="accent1" w:themeTint="80" w:themeShade="95"/>
        <w:sz w:val="22"/>
      </w:rPr>
      <w:tblPr/>
      <w:tcPr>
        <w:tcBorders>
          <w:top w:val="none" w:sz="0" w:space="0" w:color="auto"/>
          <w:left w:val="none" w:sz="0" w:space="0" w:color="auto"/>
          <w:bottom w:val="none" w:sz="0" w:space="0" w:color="auto"/>
          <w:right w:val="single" w:sz="4" w:space="0" w:color="A0B7E1" w:themeColor="accent1" w:themeTint="80"/>
        </w:tcBorders>
        <w:shd w:val="clear" w:color="auto" w:fill="FFFFFF"/>
      </w:tcPr>
    </w:tblStylePr>
    <w:tblStylePr w:type="lastCol">
      <w:rPr>
        <w:rFonts w:ascii="Arial" w:hAnsi="Arial"/>
        <w:i/>
        <w:color w:val="A0B7E1" w:themeColor="accent1" w:themeTint="80" w:themeShade="95"/>
        <w:sz w:val="22"/>
      </w:rPr>
      <w:tblPr/>
      <w:tcPr>
        <w:tcBorders>
          <w:top w:val="none" w:sz="0" w:space="0" w:color="auto"/>
          <w:left w:val="single" w:sz="4" w:space="0" w:color="A0B7E1" w:themeColor="accent1" w:themeTint="80"/>
          <w:bottom w:val="none" w:sz="0" w:space="0" w:color="auto"/>
          <w:right w:val="none" w:sz="0" w:space="0" w:color="auto"/>
        </w:tcBorders>
        <w:shd w:val="clear" w:color="auto" w:fill="FFFFFF"/>
      </w:tcPr>
    </w:tblStylePr>
    <w:tblStylePr w:type="band1Vert">
      <w:tblPr/>
      <w:tcPr>
        <w:shd w:val="clear" w:color="auto" w:fill="D8E2F3" w:themeFill="accent1" w:themeFillTint="34"/>
      </w:tcPr>
    </w:tblStylePr>
    <w:tblStylePr w:type="band1Horz">
      <w:rPr>
        <w:rFonts w:ascii="Arial" w:hAnsi="Arial"/>
        <w:color w:val="A0B7E1" w:themeColor="accent1" w:themeTint="80" w:themeShade="95"/>
        <w:sz w:val="22"/>
      </w:rPr>
      <w:tblPr/>
      <w:tcPr>
        <w:shd w:val="clear" w:color="auto" w:fill="D8E2F3" w:themeFill="accent1" w:themeFillTint="34"/>
      </w:tcPr>
    </w:tblStylePr>
    <w:tblStylePr w:type="band2Horz">
      <w:rPr>
        <w:rFonts w:ascii="Arial" w:hAnsi="Arial"/>
        <w:color w:val="A0B7E1" w:themeColor="accent1" w:themeTint="80" w:themeShade="95"/>
        <w:sz w:val="22"/>
      </w:rPr>
    </w:tblStylePr>
  </w:style>
  <w:style w:type="table" w:styleId="GridTable7Colorful-Accent2">
    <w:name w:val="Grid Table 7 Colorful Accent 2"/>
    <w:basedOn w:val="TableNormal"/>
    <w:uiPriority w:val="99"/>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auto"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auto" w:fill="FFFFFF"/>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auto" w:fill="FFFFFF"/>
      </w:tcPr>
    </w:tblStylePr>
    <w:tblStylePr w:type="band1Vert">
      <w:tblPr/>
      <w:tcPr>
        <w:shd w:val="clear" w:color="auto" w:fill="FBE5D6" w:themeFill="accent2" w:themeFillTint="32"/>
      </w:tcPr>
    </w:tblStylePr>
    <w:tblStylePr w:type="band1Horz">
      <w:rPr>
        <w:rFonts w:ascii="Arial" w:hAnsi="Arial"/>
        <w:color w:val="F4B184" w:themeColor="accent2" w:themeTint="97" w:themeShade="95"/>
        <w:sz w:val="22"/>
      </w:rPr>
      <w:tblPr/>
      <w:tcPr>
        <w:shd w:val="clear" w:color="auto" w:fill="FBE5D6" w:themeFill="accent2" w:themeFillTint="32"/>
      </w:tcPr>
    </w:tblStylePr>
    <w:tblStylePr w:type="band2Horz">
      <w:rPr>
        <w:rFonts w:ascii="Arial" w:hAnsi="Arial"/>
        <w:color w:val="F4B184" w:themeColor="accent2" w:themeTint="97" w:themeShade="95"/>
        <w:sz w:val="22"/>
      </w:rPr>
    </w:tblStylePr>
  </w:style>
  <w:style w:type="table" w:styleId="GridTable7Colorful-Accent3">
    <w:name w:val="Grid Table 7 Colorful Accent 3"/>
    <w:basedOn w:val="TableNormal"/>
    <w:uiPriority w:val="99"/>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auto"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auto" w:fill="FFFFFF"/>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auto" w:fill="FFFFFF"/>
      </w:tcPr>
    </w:tblStylePr>
    <w:tblStylePr w:type="band1Vert">
      <w:tblPr/>
      <w:tcPr>
        <w:shd w:val="clear" w:color="auto" w:fill="ECECEC" w:themeFill="accent3" w:themeFillTint="34"/>
      </w:tcPr>
    </w:tblStylePr>
    <w:tblStylePr w:type="band1Horz">
      <w:rPr>
        <w:rFonts w:ascii="Arial" w:hAnsi="Arial"/>
        <w:color w:val="A5A5A5" w:themeColor="accent3" w:themeTint="FE" w:themeShade="95"/>
        <w:sz w:val="22"/>
      </w:rPr>
      <w:tblPr/>
      <w:tcPr>
        <w:shd w:val="clear" w:color="auto" w:fill="ECECEC" w:themeFill="accent3" w:themeFillTint="34"/>
      </w:tcPr>
    </w:tblStylePr>
    <w:tblStylePr w:type="band2Horz">
      <w:rPr>
        <w:rFonts w:ascii="Arial" w:hAnsi="Arial"/>
        <w:color w:val="A5A5A5" w:themeColor="accent3" w:themeTint="FE" w:themeShade="95"/>
        <w:sz w:val="22"/>
      </w:rPr>
    </w:tblStylePr>
  </w:style>
  <w:style w:type="table" w:styleId="GridTable7Colorful-Accent4">
    <w:name w:val="Grid Table 7 Colorful Accent 4"/>
    <w:basedOn w:val="TableNormal"/>
    <w:uiPriority w:val="99"/>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auto"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auto" w:fill="FFFFFF"/>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auto" w:fill="FFFFFF"/>
      </w:tcPr>
    </w:tblStylePr>
    <w:tblStylePr w:type="band1Vert">
      <w:tblPr/>
      <w:tcPr>
        <w:shd w:val="clear" w:color="auto" w:fill="FFF2CB" w:themeFill="accent4" w:themeFillTint="34"/>
      </w:tcPr>
    </w:tblStylePr>
    <w:tblStylePr w:type="band1Horz">
      <w:rPr>
        <w:rFonts w:ascii="Arial" w:hAnsi="Arial"/>
        <w:color w:val="FFD865" w:themeColor="accent4" w:themeTint="9A" w:themeShade="95"/>
        <w:sz w:val="22"/>
      </w:rPr>
      <w:tblPr/>
      <w:tcPr>
        <w:shd w:val="clear" w:color="auto" w:fill="FFF2CB" w:themeFill="accent4" w:themeFillTint="34"/>
      </w:tcPr>
    </w:tblStylePr>
    <w:tblStylePr w:type="band2Horz">
      <w:rPr>
        <w:rFonts w:ascii="Arial" w:hAnsi="Arial"/>
        <w:color w:val="FFD865" w:themeColor="accent4" w:themeTint="9A" w:themeShade="95"/>
        <w:sz w:val="22"/>
      </w:rPr>
    </w:tblStylePr>
  </w:style>
  <w:style w:type="table" w:styleId="GridTable7Colorful-Accent5">
    <w:name w:val="Grid Table 7 Colorful Accent 5"/>
    <w:basedOn w:val="TableNormal"/>
    <w:uiPriority w:val="99"/>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0" w:space="0" w:color="auto"/>
          <w:left w:val="none" w:sz="0" w:space="0" w:color="auto"/>
          <w:bottom w:val="single" w:sz="4" w:space="0" w:color="A2C6E7" w:themeColor="accent5" w:themeTint="90"/>
          <w:right w:val="none" w:sz="0" w:space="0" w:color="auto"/>
        </w:tcBorders>
        <w:shd w:val="clear" w:color="auto" w:fill="FFFFFF" w:themeFill="light1"/>
      </w:tcPr>
    </w:tblStylePr>
    <w:tblStylePr w:type="lastRow">
      <w:rPr>
        <w:rFonts w:ascii="Arial" w:hAnsi="Arial"/>
        <w:b/>
        <w:color w:val="245A8D" w:themeColor="accent5" w:themeShade="95"/>
        <w:sz w:val="22"/>
      </w:rPr>
      <w:tblPr/>
      <w:tcPr>
        <w:tcBorders>
          <w:top w:val="single" w:sz="4" w:space="0" w:color="A2C6E7" w:themeColor="accent5"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45A8D" w:themeColor="accent5" w:themeShade="95"/>
        <w:sz w:val="22"/>
      </w:rPr>
      <w:tblPr/>
      <w:tcPr>
        <w:tcBorders>
          <w:top w:val="none" w:sz="0" w:space="0" w:color="auto"/>
          <w:left w:val="none" w:sz="0" w:space="0" w:color="auto"/>
          <w:bottom w:val="none" w:sz="0" w:space="0" w:color="auto"/>
          <w:right w:val="single" w:sz="4" w:space="0" w:color="A2C6E7" w:themeColor="accent5" w:themeTint="90"/>
        </w:tcBorders>
        <w:shd w:val="clear" w:color="auto" w:fill="FFFFFF"/>
      </w:tcPr>
    </w:tblStylePr>
    <w:tblStylePr w:type="lastCol">
      <w:rPr>
        <w:rFonts w:ascii="Arial" w:hAnsi="Arial"/>
        <w:i/>
        <w:color w:val="245A8D" w:themeColor="accent5" w:themeShade="95"/>
        <w:sz w:val="22"/>
      </w:rPr>
      <w:tblPr/>
      <w:tcPr>
        <w:tcBorders>
          <w:top w:val="none" w:sz="0" w:space="0" w:color="auto"/>
          <w:left w:val="single" w:sz="4" w:space="0" w:color="A2C6E7" w:themeColor="accent5" w:themeTint="90"/>
          <w:bottom w:val="none" w:sz="0" w:space="0" w:color="auto"/>
          <w:right w:val="none" w:sz="0" w:space="0" w:color="auto"/>
        </w:tcBorders>
        <w:shd w:val="clear" w:color="auto" w:fill="FFFFFF"/>
      </w:tcPr>
    </w:tblStylePr>
    <w:tblStylePr w:type="band1Vert">
      <w:tblPr/>
      <w:tcPr>
        <w:shd w:val="clear" w:color="auto" w:fill="DDEAF6" w:themeFill="accent5" w:themeFillTint="34"/>
      </w:tcPr>
    </w:tblStylePr>
    <w:tblStylePr w:type="band1Horz">
      <w:rPr>
        <w:rFonts w:ascii="Arial" w:hAnsi="Arial"/>
        <w:color w:val="245A8D" w:themeColor="accent5" w:themeShade="95"/>
        <w:sz w:val="22"/>
      </w:rPr>
      <w:tblPr/>
      <w:tcPr>
        <w:shd w:val="clear" w:color="auto" w:fill="DDEAF6" w:themeFill="accent5" w:themeFillTint="34"/>
      </w:tcPr>
    </w:tblStylePr>
    <w:tblStylePr w:type="band2Horz">
      <w:rPr>
        <w:rFonts w:ascii="Arial" w:hAnsi="Arial"/>
        <w:color w:val="245A8D" w:themeColor="accent5" w:themeShade="95"/>
        <w:sz w:val="22"/>
      </w:rPr>
    </w:tblStylePr>
  </w:style>
  <w:style w:type="table" w:styleId="GridTable7Colorful-Accent6">
    <w:name w:val="Grid Table 7 Colorful Accent 6"/>
    <w:basedOn w:val="TableNormal"/>
    <w:uiPriority w:val="99"/>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auto"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auto" w:fill="FFFFFF"/>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auto" w:fill="FFFFFF"/>
      </w:tcPr>
    </w:tblStylePr>
    <w:tblStylePr w:type="band1Vert">
      <w:tblPr/>
      <w:tcPr>
        <w:shd w:val="clear" w:color="auto" w:fill="E1EFD8" w:themeFill="accent6" w:themeFillTint="34"/>
      </w:tcPr>
    </w:tblStylePr>
    <w:tblStylePr w:type="band1Horz">
      <w:rPr>
        <w:rFonts w:ascii="Arial" w:hAnsi="Arial"/>
        <w:color w:val="416429" w:themeColor="accent6" w:themeShade="95"/>
        <w:sz w:val="22"/>
      </w:rPr>
      <w:tblPr/>
      <w:tcPr>
        <w:shd w:val="clear" w:color="auto" w:fill="E1EFD8" w:themeFill="accent6" w:themeFillTint="34"/>
      </w:tcPr>
    </w:tblStylePr>
    <w:tblStylePr w:type="band2Horz">
      <w:rPr>
        <w:rFonts w:ascii="Arial" w:hAnsi="Arial"/>
        <w:color w:val="416429" w:themeColor="accent6" w:themeShade="95"/>
        <w:sz w:val="22"/>
      </w:rPr>
    </w:tblStylePr>
  </w:style>
  <w:style w:type="table" w:styleId="ListTable1Light">
    <w:name w:val="List Table 1 Light"/>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hemeFill="text1" w:themeFillTint="40"/>
      </w:tcPr>
    </w:tblStylePr>
    <w:tblStylePr w:type="band1Horz">
      <w:tblPr/>
      <w:tcPr>
        <w:shd w:val="clear" w:color="auto" w:fill="BFBFBF" w:themeFill="text1" w:themeFillTint="40"/>
      </w:tcPr>
    </w:tblStylePr>
  </w:style>
  <w:style w:type="table" w:styleId="ListTable1Light-Accent1">
    <w:name w:val="List Table 1 Light Accent 1"/>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CFDBF0" w:themeFill="accent1" w:themeFillTint="40"/>
      </w:tcPr>
    </w:tblStylePr>
    <w:tblStylePr w:type="band1Horz">
      <w:tblPr/>
      <w:tcPr>
        <w:shd w:val="clear" w:color="auto" w:fill="CFDBF0" w:themeFill="accent1" w:themeFillTint="40"/>
      </w:tcPr>
    </w:tblStylePr>
  </w:style>
  <w:style w:type="table" w:styleId="ListTable1Light-Accent2">
    <w:name w:val="List Table 1 Light Accent 2"/>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ADECB" w:themeFill="accent2" w:themeFillTint="40"/>
      </w:tcPr>
    </w:tblStylePr>
    <w:tblStylePr w:type="band1Horz">
      <w:tblPr/>
      <w:tcPr>
        <w:shd w:val="clear" w:color="auto" w:fill="FADECB" w:themeFill="accent2" w:themeFillTint="40"/>
      </w:tcPr>
    </w:tblStylePr>
  </w:style>
  <w:style w:type="table" w:styleId="ListTable1Light-Accent3">
    <w:name w:val="List Table 1 Light Accent 3"/>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8E8E8" w:themeFill="accent3" w:themeFillTint="40"/>
      </w:tcPr>
    </w:tblStylePr>
    <w:tblStylePr w:type="band1Horz">
      <w:tblPr/>
      <w:tcPr>
        <w:shd w:val="clear" w:color="auto" w:fill="E8E8E8" w:themeFill="accent3" w:themeFillTint="40"/>
      </w:tcPr>
    </w:tblStylePr>
  </w:style>
  <w:style w:type="table" w:styleId="ListTable1Light-Accent4">
    <w:name w:val="List Table 1 Light Accent 4"/>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FEFBF" w:themeFill="accent4" w:themeFillTint="40"/>
      </w:tcPr>
    </w:tblStylePr>
    <w:tblStylePr w:type="band1Horz">
      <w:tblPr/>
      <w:tcPr>
        <w:shd w:val="clear" w:color="auto" w:fill="FFEFBF" w:themeFill="accent4" w:themeFillTint="40"/>
      </w:tcPr>
    </w:tblStylePr>
  </w:style>
  <w:style w:type="table" w:styleId="ListTable1Light-Accent5">
    <w:name w:val="List Table 1 Light Accent 5"/>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5E5F4" w:themeFill="accent5" w:themeFillTint="40"/>
      </w:tcPr>
    </w:tblStylePr>
    <w:tblStylePr w:type="band1Horz">
      <w:tblPr/>
      <w:tcPr>
        <w:shd w:val="clear" w:color="auto" w:fill="D5E5F4" w:themeFill="accent5" w:themeFillTint="40"/>
      </w:tcPr>
    </w:tblStylePr>
  </w:style>
  <w:style w:type="table" w:styleId="ListTable1Light-Accent6">
    <w:name w:val="List Table 1 Light Accent 6"/>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AEBCF" w:themeFill="accent6" w:themeFillTint="40"/>
      </w:tcPr>
    </w:tblStylePr>
    <w:tblStylePr w:type="band1Horz">
      <w:tblPr/>
      <w:tcPr>
        <w:shd w:val="clear" w:color="auto" w:fill="DAEBCF" w:themeFill="accent6" w:themeFillTint="40"/>
      </w:tcPr>
    </w:tblStylePr>
  </w:style>
  <w:style w:type="table" w:styleId="ListTable2">
    <w:name w:val="List Table 2"/>
    <w:basedOn w:val="TableNormal"/>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styleId="ListTable2-Accent1">
    <w:name w:val="List Table 2 Accent 1"/>
    <w:basedOn w:val="TableNormal"/>
    <w:uiPriority w:val="99"/>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CFDBF0" w:themeFill="accent1" w:themeFillTint="40"/>
      </w:tcPr>
    </w:tblStylePr>
    <w:tblStylePr w:type="band1Horz">
      <w:rPr>
        <w:rFonts w:ascii="Arial" w:hAnsi="Arial"/>
        <w:color w:val="404040"/>
        <w:sz w:val="22"/>
      </w:rPr>
      <w:tblPr/>
      <w:tcPr>
        <w:shd w:val="clear" w:color="auto" w:fill="CFDBF0" w:themeFill="accent1" w:themeFillTint="40"/>
      </w:tcPr>
    </w:tblStylePr>
  </w:style>
  <w:style w:type="table" w:styleId="ListTable2-Accent2">
    <w:name w:val="List Table 2 Accent 2"/>
    <w:basedOn w:val="TableNormal"/>
    <w:uiPriority w:val="99"/>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ADECB" w:themeFill="accent2" w:themeFillTint="40"/>
      </w:tcPr>
    </w:tblStylePr>
    <w:tblStylePr w:type="band1Horz">
      <w:rPr>
        <w:rFonts w:ascii="Arial" w:hAnsi="Arial"/>
        <w:color w:val="404040"/>
        <w:sz w:val="22"/>
      </w:rPr>
      <w:tblPr/>
      <w:tcPr>
        <w:shd w:val="clear" w:color="auto" w:fill="FADECB" w:themeFill="accent2" w:themeFillTint="40"/>
      </w:tcPr>
    </w:tblStylePr>
  </w:style>
  <w:style w:type="table" w:styleId="ListTable2-Accent3">
    <w:name w:val="List Table 2 Accent 3"/>
    <w:basedOn w:val="TableNormal"/>
    <w:uiPriority w:val="99"/>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8E8E8" w:themeFill="accent3" w:themeFillTint="40"/>
      </w:tcPr>
    </w:tblStylePr>
    <w:tblStylePr w:type="band1Horz">
      <w:rPr>
        <w:rFonts w:ascii="Arial" w:hAnsi="Arial"/>
        <w:color w:val="404040"/>
        <w:sz w:val="22"/>
      </w:rPr>
      <w:tblPr/>
      <w:tcPr>
        <w:shd w:val="clear" w:color="auto" w:fill="E8E8E8" w:themeFill="accent3" w:themeFillTint="40"/>
      </w:tcPr>
    </w:tblStylePr>
  </w:style>
  <w:style w:type="table" w:styleId="ListTable2-Accent4">
    <w:name w:val="List Table 2 Accent 4"/>
    <w:basedOn w:val="TableNormal"/>
    <w:uiPriority w:val="99"/>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FEFBF" w:themeFill="accent4" w:themeFillTint="40"/>
      </w:tcPr>
    </w:tblStylePr>
    <w:tblStylePr w:type="band1Horz">
      <w:rPr>
        <w:rFonts w:ascii="Arial" w:hAnsi="Arial"/>
        <w:color w:val="404040"/>
        <w:sz w:val="22"/>
      </w:rPr>
      <w:tblPr/>
      <w:tcPr>
        <w:shd w:val="clear" w:color="auto" w:fill="FFEFBF" w:themeFill="accent4" w:themeFillTint="40"/>
      </w:tcPr>
    </w:tblStylePr>
  </w:style>
  <w:style w:type="table" w:styleId="ListTable2-Accent5">
    <w:name w:val="List Table 2 Accent 5"/>
    <w:basedOn w:val="TableNormal"/>
    <w:uiPriority w:val="99"/>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5E5F4" w:themeFill="accent5" w:themeFillTint="40"/>
      </w:tcPr>
    </w:tblStylePr>
    <w:tblStylePr w:type="band1Horz">
      <w:rPr>
        <w:rFonts w:ascii="Arial" w:hAnsi="Arial"/>
        <w:color w:val="404040"/>
        <w:sz w:val="22"/>
      </w:rPr>
      <w:tblPr/>
      <w:tcPr>
        <w:shd w:val="clear" w:color="auto" w:fill="D5E5F4" w:themeFill="accent5" w:themeFillTint="40"/>
      </w:tcPr>
    </w:tblStylePr>
  </w:style>
  <w:style w:type="table" w:styleId="ListTable2-Accent6">
    <w:name w:val="List Table 2 Accent 6"/>
    <w:basedOn w:val="TableNormal"/>
    <w:uiPriority w:val="99"/>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AEBCF" w:themeFill="accent6" w:themeFillTint="40"/>
      </w:tcPr>
    </w:tblStylePr>
    <w:tblStylePr w:type="band1Horz">
      <w:rPr>
        <w:rFonts w:ascii="Arial" w:hAnsi="Arial"/>
        <w:color w:val="404040"/>
        <w:sz w:val="22"/>
      </w:rPr>
      <w:tblPr/>
      <w:tcPr>
        <w:shd w:val="clear" w:color="auto" w:fill="DAEBCF" w:themeFill="accent6" w:themeFillTint="40"/>
      </w:tcPr>
    </w:tblStylePr>
  </w:style>
  <w:style w:type="table" w:styleId="ListTable3">
    <w:name w:val="List Table 3"/>
    <w:basedOn w:val="Table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styleId="ListTable3-Accent1">
    <w:name w:val="List Table 3 Accent 1"/>
    <w:basedOn w:val="TableNormal"/>
    <w:uiPriority w:val="99"/>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auto"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styleId="ListTable3-Accent2">
    <w:name w:val="List Table 3 Accent 2"/>
    <w:basedOn w:val="TableNormal"/>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auto"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styleId="ListTable3-Accent3">
    <w:name w:val="List Table 3 Accent 3"/>
    <w:basedOn w:val="TableNormal"/>
    <w:uiPriority w:val="99"/>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auto"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styleId="ListTable3-Accent4">
    <w:name w:val="List Table 3 Accent 4"/>
    <w:basedOn w:val="TableNormal"/>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auto"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styleId="ListTable3-Accent5">
    <w:name w:val="List Table 3 Accent 5"/>
    <w:basedOn w:val="TableNormal"/>
    <w:uiPriority w:val="99"/>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auto" w:fill="9BC2E5"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styleId="ListTable3-Accent6">
    <w:name w:val="List Table 3 Accent 6"/>
    <w:basedOn w:val="TableNormal"/>
    <w:uiPriority w:val="99"/>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uto"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ListTable4">
    <w:name w:val="List Table 4"/>
    <w:basedOn w:val="Table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styleId="ListTable4-Accent1">
    <w:name w:val="List Table 4 Accent 1"/>
    <w:basedOn w:val="TableNormal"/>
    <w:uiPriority w:val="99"/>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auto"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FDBF0" w:themeFill="accent1" w:themeFillTint="40"/>
      </w:tcPr>
    </w:tblStylePr>
    <w:tblStylePr w:type="band1Horz">
      <w:rPr>
        <w:rFonts w:ascii="Arial" w:hAnsi="Arial"/>
        <w:color w:val="404040"/>
        <w:sz w:val="22"/>
      </w:rPr>
      <w:tblPr/>
      <w:tcPr>
        <w:shd w:val="clear" w:color="auto" w:fill="CFDBF0" w:themeFill="accent1" w:themeFillTint="40"/>
      </w:tcPr>
    </w:tblStylePr>
  </w:style>
  <w:style w:type="table" w:styleId="ListTable4-Accent2">
    <w:name w:val="List Table 4 Accent 2"/>
    <w:basedOn w:val="TableNormal"/>
    <w:uiPriority w:val="9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auto"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ADECB" w:themeFill="accent2" w:themeFillTint="40"/>
      </w:tcPr>
    </w:tblStylePr>
    <w:tblStylePr w:type="band1Horz">
      <w:rPr>
        <w:rFonts w:ascii="Arial" w:hAnsi="Arial"/>
        <w:color w:val="404040"/>
        <w:sz w:val="22"/>
      </w:rPr>
      <w:tblPr/>
      <w:tcPr>
        <w:shd w:val="clear" w:color="auto" w:fill="FADECB" w:themeFill="accent2" w:themeFillTint="40"/>
      </w:tcPr>
    </w:tblStylePr>
  </w:style>
  <w:style w:type="table" w:styleId="ListTable4-Accent3">
    <w:name w:val="List Table 4 Accent 3"/>
    <w:basedOn w:val="TableNormal"/>
    <w:uiPriority w:val="9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uto"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8E8E8" w:themeFill="accent3" w:themeFillTint="40"/>
      </w:tcPr>
    </w:tblStylePr>
    <w:tblStylePr w:type="band1Horz">
      <w:rPr>
        <w:rFonts w:ascii="Arial" w:hAnsi="Arial"/>
        <w:color w:val="404040"/>
        <w:sz w:val="22"/>
      </w:rPr>
      <w:tblPr/>
      <w:tcPr>
        <w:shd w:val="clear" w:color="auto" w:fill="E8E8E8" w:themeFill="accent3" w:themeFillTint="40"/>
      </w:tcPr>
    </w:tblStylePr>
  </w:style>
  <w:style w:type="table" w:styleId="ListTable4-Accent4">
    <w:name w:val="List Table 4 Accent 4"/>
    <w:basedOn w:val="TableNormal"/>
    <w:uiPriority w:val="9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auto"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EFBF" w:themeFill="accent4" w:themeFillTint="40"/>
      </w:tcPr>
    </w:tblStylePr>
    <w:tblStylePr w:type="band1Horz">
      <w:rPr>
        <w:rFonts w:ascii="Arial" w:hAnsi="Arial"/>
        <w:color w:val="404040"/>
        <w:sz w:val="22"/>
      </w:rPr>
      <w:tblPr/>
      <w:tcPr>
        <w:shd w:val="clear" w:color="auto" w:fill="FFEFBF" w:themeFill="accent4" w:themeFillTint="40"/>
      </w:tcPr>
    </w:tblStylePr>
  </w:style>
  <w:style w:type="table" w:styleId="ListTable4-Accent5">
    <w:name w:val="List Table 4 Accent 5"/>
    <w:basedOn w:val="TableNormal"/>
    <w:uiPriority w:val="99"/>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auto" w:fill="5B9BD5"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5E5F4" w:themeFill="accent5" w:themeFillTint="40"/>
      </w:tcPr>
    </w:tblStylePr>
    <w:tblStylePr w:type="band1Horz">
      <w:rPr>
        <w:rFonts w:ascii="Arial" w:hAnsi="Arial"/>
        <w:color w:val="404040"/>
        <w:sz w:val="22"/>
      </w:rPr>
      <w:tblPr/>
      <w:tcPr>
        <w:shd w:val="clear" w:color="auto" w:fill="D5E5F4" w:themeFill="accent5" w:themeFillTint="40"/>
      </w:tcPr>
    </w:tblStylePr>
  </w:style>
  <w:style w:type="table" w:styleId="ListTable4-Accent6">
    <w:name w:val="List Table 4 Accent 6"/>
    <w:basedOn w:val="TableNormal"/>
    <w:uiPriority w:val="4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auto"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BCF" w:themeFill="accent6" w:themeFillTint="40"/>
      </w:tcPr>
    </w:tblStylePr>
    <w:tblStylePr w:type="band1Horz">
      <w:rPr>
        <w:rFonts w:ascii="Arial" w:hAnsi="Arial"/>
        <w:color w:val="404040"/>
        <w:sz w:val="22"/>
      </w:rPr>
      <w:tblPr/>
      <w:tcPr>
        <w:shd w:val="clear" w:color="auto" w:fill="DAEBCF" w:themeFill="accent6" w:themeFillTint="40"/>
      </w:tcPr>
    </w:tblStylePr>
  </w:style>
  <w:style w:type="table" w:styleId="ListTable5Dark">
    <w:name w:val="List Table 5 Dark"/>
    <w:basedOn w:val="TableNormal"/>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auto"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auto"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auto"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hemeFill="text1" w:themeFillTint="80"/>
      </w:tcPr>
    </w:tblStylePr>
    <w:tblStylePr w:type="band2Horz">
      <w:tblPr/>
      <w:tcPr>
        <w:tcBorders>
          <w:top w:val="single" w:sz="4" w:space="0" w:color="FFFFFF" w:themeColor="light1"/>
          <w:bottom w:val="single" w:sz="4" w:space="0" w:color="FFFFFF" w:themeColor="light1"/>
        </w:tcBorders>
        <w:shd w:val="clear" w:color="auto" w:fill="7F7F7F" w:themeFill="text1" w:themeFillTint="80"/>
      </w:tcPr>
    </w:tblStylePr>
  </w:style>
  <w:style w:type="table" w:styleId="ListTable5Dark-Accent1">
    <w:name w:val="List Table 5 Dark Accent 1"/>
    <w:basedOn w:val="TableNormal"/>
    <w:uiPriority w:val="99"/>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auto" w:fill="4472C4" w:themeFill="accent1"/>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auto" w:fill="4472C4"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auto" w:fill="4472C4"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4472C4" w:themeFill="accent1"/>
      </w:tcPr>
    </w:tblStylePr>
    <w:tblStylePr w:type="band2Horz">
      <w:tblPr/>
      <w:tcPr>
        <w:tcBorders>
          <w:top w:val="single" w:sz="4" w:space="0" w:color="FFFFFF" w:themeColor="light1"/>
          <w:bottom w:val="single" w:sz="4" w:space="0" w:color="FFFFFF" w:themeColor="light1"/>
        </w:tcBorders>
        <w:shd w:val="clear" w:color="auto" w:fill="4472C4" w:themeFill="accent1"/>
      </w:tcPr>
    </w:tblStylePr>
  </w:style>
  <w:style w:type="table" w:styleId="ListTable5Dark-Accent2">
    <w:name w:val="List Table 5 Dark Accent 2"/>
    <w:basedOn w:val="TableNormal"/>
    <w:uiPriority w:val="99"/>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auto"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auto"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auto"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4B184" w:themeFill="accent2" w:themeFillTint="97"/>
      </w:tcPr>
    </w:tblStylePr>
    <w:tblStylePr w:type="band2Horz">
      <w:tblPr/>
      <w:tcPr>
        <w:tcBorders>
          <w:top w:val="single" w:sz="4" w:space="0" w:color="FFFFFF" w:themeColor="light1"/>
          <w:bottom w:val="single" w:sz="4" w:space="0" w:color="FFFFFF" w:themeColor="light1"/>
        </w:tcBorders>
        <w:shd w:val="clear" w:color="auto" w:fill="F4B184" w:themeFill="accent2" w:themeFillTint="97"/>
      </w:tcPr>
    </w:tblStylePr>
  </w:style>
  <w:style w:type="table" w:styleId="ListTable5Dark-Accent3">
    <w:name w:val="List Table 5 Dark Accent 3"/>
    <w:basedOn w:val="TableNormal"/>
    <w:uiPriority w:val="99"/>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auto"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auto"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auto"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9C9C9" w:themeFill="accent3" w:themeFillTint="98"/>
      </w:tcPr>
    </w:tblStylePr>
    <w:tblStylePr w:type="band2Horz">
      <w:tblPr/>
      <w:tcPr>
        <w:tcBorders>
          <w:top w:val="single" w:sz="4" w:space="0" w:color="FFFFFF" w:themeColor="light1"/>
          <w:bottom w:val="single" w:sz="4" w:space="0" w:color="FFFFFF" w:themeColor="light1"/>
        </w:tcBorders>
        <w:shd w:val="clear" w:color="auto" w:fill="C9C9C9" w:themeFill="accent3" w:themeFillTint="98"/>
      </w:tcPr>
    </w:tblStylePr>
  </w:style>
  <w:style w:type="table" w:styleId="ListTable5Dark-Accent4">
    <w:name w:val="List Table 5 Dark Accent 4"/>
    <w:basedOn w:val="TableNormal"/>
    <w:uiPriority w:val="99"/>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auto"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auto"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auto"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FD865" w:themeFill="accent4" w:themeFillTint="9A"/>
      </w:tcPr>
    </w:tblStylePr>
    <w:tblStylePr w:type="band2Horz">
      <w:tblPr/>
      <w:tcPr>
        <w:tcBorders>
          <w:top w:val="single" w:sz="4" w:space="0" w:color="FFFFFF" w:themeColor="light1"/>
          <w:bottom w:val="single" w:sz="4" w:space="0" w:color="FFFFFF" w:themeColor="light1"/>
        </w:tcBorders>
        <w:shd w:val="clear" w:color="auto" w:fill="FFD865" w:themeFill="accent4" w:themeFillTint="9A"/>
      </w:tcPr>
    </w:tblStylePr>
  </w:style>
  <w:style w:type="table" w:styleId="ListTable5Dark-Accent5">
    <w:name w:val="List Table 5 Dark Accent 5"/>
    <w:basedOn w:val="TableNormal"/>
    <w:uiPriority w:val="99"/>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auto" w:fill="9BC2E5" w:themeFill="accent5" w:themeFillTint="9A"/>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auto" w:fill="9BC2E5"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auto" w:fill="9BC2E5"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9BC2E5" w:themeFill="accent5" w:themeFillTint="9A"/>
      </w:tcPr>
    </w:tblStylePr>
    <w:tblStylePr w:type="band2Horz">
      <w:tblPr/>
      <w:tcPr>
        <w:tcBorders>
          <w:top w:val="single" w:sz="4" w:space="0" w:color="FFFFFF" w:themeColor="light1"/>
          <w:bottom w:val="single" w:sz="4" w:space="0" w:color="FFFFFF" w:themeColor="light1"/>
        </w:tcBorders>
        <w:shd w:val="clear" w:color="auto" w:fill="9BC2E5" w:themeFill="accent5" w:themeFillTint="9A"/>
      </w:tcPr>
    </w:tblStylePr>
  </w:style>
  <w:style w:type="table" w:styleId="ListTable5Dark-Accent6">
    <w:name w:val="List Table 5 Dark Accent 6"/>
    <w:basedOn w:val="TableNormal"/>
    <w:uiPriority w:val="99"/>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uto"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uto"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uto"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A9D08E" w:themeFill="accent6" w:themeFillTint="98"/>
      </w:tcPr>
    </w:tblStylePr>
    <w:tblStylePr w:type="band2Horz">
      <w:tblPr/>
      <w:tcPr>
        <w:tcBorders>
          <w:top w:val="single" w:sz="4" w:space="0" w:color="FFFFFF" w:themeColor="light1"/>
          <w:bottom w:val="single" w:sz="4" w:space="0" w:color="FFFFFF" w:themeColor="light1"/>
        </w:tcBorders>
        <w:shd w:val="clear" w:color="auto" w:fill="A9D08E" w:themeFill="accent6" w:themeFillTint="98"/>
      </w:tcPr>
    </w:tblStylePr>
  </w:style>
  <w:style w:type="table" w:styleId="ListTable6Colorful">
    <w:name w:val="List Table 6 Colorful"/>
    <w:basedOn w:val="TableNormal"/>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hemeFill="text1" w:themeFillTint="40"/>
      </w:tcPr>
    </w:tblStylePr>
    <w:tblStylePr w:type="band1Horz">
      <w:rPr>
        <w:rFonts w:ascii="Arial" w:hAnsi="Arial"/>
        <w:color w:val="000000" w:themeColor="text1"/>
        <w:sz w:val="22"/>
      </w:rPr>
      <w:tblPr/>
      <w:tcPr>
        <w:shd w:val="clear" w:color="auto" w:fill="BFBFBF" w:themeFill="text1" w:themeFillTint="40"/>
      </w:tcPr>
    </w:tblStylePr>
    <w:tblStylePr w:type="band2Horz">
      <w:rPr>
        <w:rFonts w:ascii="Arial" w:hAnsi="Arial"/>
        <w:color w:val="000000" w:themeColor="text1"/>
        <w:sz w:val="22"/>
      </w:rPr>
    </w:tblStylePr>
  </w:style>
  <w:style w:type="table" w:styleId="ListTable6Colorful-Accent1">
    <w:name w:val="List Table 6 Colorful Accent 1"/>
    <w:basedOn w:val="TableNormal"/>
    <w:uiPriority w:val="99"/>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auto" w:fill="CFDBF0" w:themeFill="accent1" w:themeFillTint="40"/>
      </w:tcPr>
    </w:tblStylePr>
    <w:tblStylePr w:type="band1Horz">
      <w:rPr>
        <w:rFonts w:ascii="Arial" w:hAnsi="Arial"/>
        <w:color w:val="254175" w:themeColor="accent1" w:themeShade="95"/>
        <w:sz w:val="22"/>
      </w:rPr>
      <w:tblPr/>
      <w:tcPr>
        <w:shd w:val="clear" w:color="auto" w:fill="CFDBF0" w:themeFill="accent1" w:themeFillTint="40"/>
      </w:tcPr>
    </w:tblStylePr>
    <w:tblStylePr w:type="band2Horz">
      <w:rPr>
        <w:rFonts w:ascii="Arial" w:hAnsi="Arial"/>
        <w:color w:val="254175" w:themeColor="accent1" w:themeShade="95"/>
        <w:sz w:val="22"/>
      </w:rPr>
    </w:tblStylePr>
  </w:style>
  <w:style w:type="table" w:styleId="ListTable6Colorful-Accent2">
    <w:name w:val="List Table 6 Colorful Accent 2"/>
    <w:basedOn w:val="TableNormal"/>
    <w:uiPriority w:val="99"/>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auto" w:fill="FADECB" w:themeFill="accent2" w:themeFillTint="40"/>
      </w:tcPr>
    </w:tblStylePr>
    <w:tblStylePr w:type="band1Horz">
      <w:rPr>
        <w:rFonts w:ascii="Arial" w:hAnsi="Arial"/>
        <w:color w:val="F4B184" w:themeColor="accent2" w:themeTint="97" w:themeShade="95"/>
        <w:sz w:val="22"/>
      </w:rPr>
      <w:tblPr/>
      <w:tcPr>
        <w:shd w:val="clear" w:color="auto" w:fill="FADECB" w:themeFill="accent2" w:themeFillTint="40"/>
      </w:tcPr>
    </w:tblStylePr>
    <w:tblStylePr w:type="band2Horz">
      <w:rPr>
        <w:rFonts w:ascii="Arial" w:hAnsi="Arial"/>
        <w:color w:val="F4B184" w:themeColor="accent2" w:themeTint="97" w:themeShade="95"/>
        <w:sz w:val="22"/>
      </w:rPr>
    </w:tblStylePr>
  </w:style>
  <w:style w:type="table" w:styleId="ListTable6Colorful-Accent3">
    <w:name w:val="List Table 6 Colorful Accent 3"/>
    <w:basedOn w:val="TableNormal"/>
    <w:uiPriority w:val="99"/>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auto" w:fill="E8E8E8" w:themeFill="accent3" w:themeFillTint="40"/>
      </w:tcPr>
    </w:tblStylePr>
    <w:tblStylePr w:type="band1Horz">
      <w:rPr>
        <w:rFonts w:ascii="Arial" w:hAnsi="Arial"/>
        <w:color w:val="C9C9C9" w:themeColor="accent3" w:themeTint="98" w:themeShade="95"/>
        <w:sz w:val="22"/>
      </w:rPr>
      <w:tblPr/>
      <w:tcPr>
        <w:shd w:val="clear" w:color="auto" w:fill="E8E8E8" w:themeFill="accent3" w:themeFillTint="40"/>
      </w:tcPr>
    </w:tblStylePr>
    <w:tblStylePr w:type="band2Horz">
      <w:rPr>
        <w:rFonts w:ascii="Arial" w:hAnsi="Arial"/>
        <w:color w:val="C9C9C9" w:themeColor="accent3" w:themeTint="98" w:themeShade="95"/>
        <w:sz w:val="22"/>
      </w:rPr>
    </w:tblStylePr>
  </w:style>
  <w:style w:type="table" w:styleId="ListTable6Colorful-Accent4">
    <w:name w:val="List Table 6 Colorful Accent 4"/>
    <w:basedOn w:val="TableNormal"/>
    <w:uiPriority w:val="99"/>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auto" w:fill="FFEFBF" w:themeFill="accent4" w:themeFillTint="40"/>
      </w:tcPr>
    </w:tblStylePr>
    <w:tblStylePr w:type="band1Horz">
      <w:rPr>
        <w:rFonts w:ascii="Arial" w:hAnsi="Arial"/>
        <w:color w:val="FFD865" w:themeColor="accent4" w:themeTint="9A" w:themeShade="95"/>
        <w:sz w:val="22"/>
      </w:rPr>
      <w:tblPr/>
      <w:tcPr>
        <w:shd w:val="clear" w:color="auto" w:fill="FFEFBF" w:themeFill="accent4" w:themeFillTint="40"/>
      </w:tcPr>
    </w:tblStylePr>
    <w:tblStylePr w:type="band2Horz">
      <w:rPr>
        <w:rFonts w:ascii="Arial" w:hAnsi="Arial"/>
        <w:color w:val="FFD865" w:themeColor="accent4" w:themeTint="9A" w:themeShade="95"/>
        <w:sz w:val="22"/>
      </w:rPr>
    </w:tblStylePr>
  </w:style>
  <w:style w:type="table" w:styleId="ListTable6Colorful-Accent5">
    <w:name w:val="List Table 6 Colorful Accent 5"/>
    <w:basedOn w:val="TableNormal"/>
    <w:uiPriority w:val="99"/>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auto" w:fill="D5E5F4" w:themeFill="accent5" w:themeFillTint="40"/>
      </w:tcPr>
    </w:tblStylePr>
    <w:tblStylePr w:type="band1Horz">
      <w:rPr>
        <w:rFonts w:ascii="Arial" w:hAnsi="Arial"/>
        <w:color w:val="9BC2E5" w:themeColor="accent5" w:themeTint="9A" w:themeShade="95"/>
        <w:sz w:val="22"/>
      </w:rPr>
      <w:tblPr/>
      <w:tcPr>
        <w:shd w:val="clear" w:color="auto" w:fill="D5E5F4" w:themeFill="accent5" w:themeFillTint="40"/>
      </w:tcPr>
    </w:tblStylePr>
    <w:tblStylePr w:type="band2Horz">
      <w:rPr>
        <w:rFonts w:ascii="Arial" w:hAnsi="Arial"/>
        <w:color w:val="9BC2E5" w:themeColor="accent5" w:themeTint="9A" w:themeShade="95"/>
        <w:sz w:val="22"/>
      </w:rPr>
    </w:tblStylePr>
  </w:style>
  <w:style w:type="table" w:styleId="ListTable6Colorful-Accent6">
    <w:name w:val="List Table 6 Colorful Accent 6"/>
    <w:basedOn w:val="TableNormal"/>
    <w:uiPriority w:val="99"/>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auto" w:fill="DAEBCF" w:themeFill="accent6" w:themeFillTint="40"/>
      </w:tcPr>
    </w:tblStylePr>
    <w:tblStylePr w:type="band1Horz">
      <w:rPr>
        <w:rFonts w:ascii="Arial" w:hAnsi="Arial"/>
        <w:color w:val="A9D08E" w:themeColor="accent6" w:themeTint="98" w:themeShade="95"/>
        <w:sz w:val="22"/>
      </w:rPr>
      <w:tblPr/>
      <w:tcPr>
        <w:shd w:val="clear" w:color="auto" w:fill="DAEBCF" w:themeFill="accent6" w:themeFillTint="40"/>
      </w:tcPr>
    </w:tblStylePr>
    <w:tblStylePr w:type="band2Horz">
      <w:rPr>
        <w:rFonts w:ascii="Arial" w:hAnsi="Arial"/>
        <w:color w:val="A9D08E" w:themeColor="accent6" w:themeTint="98" w:themeShade="95"/>
        <w:sz w:val="22"/>
      </w:rPr>
    </w:tblStylePr>
  </w:style>
  <w:style w:type="table" w:styleId="ListTable7Colorful">
    <w:name w:val="List Table 7 Colorful"/>
    <w:basedOn w:val="TableNormal"/>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BFBFBF" w:themeFill="text1" w:themeFillTint="40"/>
      </w:tcPr>
    </w:tblStylePr>
    <w:tblStylePr w:type="band1Horz">
      <w:rPr>
        <w:rFonts w:ascii="Arial" w:hAnsi="Arial"/>
        <w:color w:val="7F7F7F" w:themeColor="text1" w:themeTint="80" w:themeShade="95"/>
        <w:sz w:val="22"/>
      </w:rPr>
      <w:tblPr/>
      <w:tcPr>
        <w:shd w:val="clear" w:color="auto" w:fill="BFBFBF" w:themeFill="text1" w:themeFillTint="40"/>
      </w:tcPr>
    </w:tblStylePr>
    <w:tblStylePr w:type="band2Horz">
      <w:rPr>
        <w:rFonts w:ascii="Arial" w:hAnsi="Arial"/>
        <w:color w:val="7F7F7F" w:themeColor="text1" w:themeTint="80" w:themeShade="95"/>
        <w:sz w:val="22"/>
      </w:rPr>
    </w:tblStylePr>
  </w:style>
  <w:style w:type="table" w:styleId="ListTable7Colorful-Accent1">
    <w:name w:val="List Table 7 Colorful Accent 1"/>
    <w:basedOn w:val="TableNormal"/>
    <w:uiPriority w:val="52"/>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0" w:space="0" w:color="auto"/>
          <w:left w:val="none" w:sz="0" w:space="0" w:color="auto"/>
          <w:bottom w:val="single" w:sz="4" w:space="0" w:color="4472C4" w:themeColor="accent1"/>
          <w:right w:val="none" w:sz="0" w:space="0" w:color="auto"/>
        </w:tcBorders>
        <w:shd w:val="clear" w:color="auto" w:fill="FFFFFF" w:themeFill="light1"/>
      </w:tcPr>
    </w:tblStylePr>
    <w:tblStylePr w:type="lastRow">
      <w:rPr>
        <w:rFonts w:ascii="Arial" w:hAnsi="Arial"/>
        <w:i/>
        <w:color w:val="254175" w:themeColor="accent1" w:themeShade="95"/>
        <w:sz w:val="22"/>
      </w:rPr>
      <w:tblPr/>
      <w:tcPr>
        <w:tcBorders>
          <w:top w:val="single" w:sz="4" w:space="0" w:color="4472C4" w:themeColor="accent1"/>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54175" w:themeColor="accent1" w:themeShade="95"/>
        <w:sz w:val="22"/>
      </w:rPr>
      <w:tblPr/>
      <w:tcPr>
        <w:tcBorders>
          <w:top w:val="none" w:sz="0" w:space="0" w:color="auto"/>
          <w:left w:val="none" w:sz="0" w:space="0" w:color="auto"/>
          <w:bottom w:val="none" w:sz="0" w:space="0" w:color="auto"/>
          <w:right w:val="single" w:sz="4" w:space="0" w:color="4472C4" w:themeColor="accent1"/>
        </w:tcBorders>
        <w:shd w:val="clear" w:color="auto" w:fill="FFFFFF"/>
      </w:tcPr>
    </w:tblStylePr>
    <w:tblStylePr w:type="lastCol">
      <w:rPr>
        <w:rFonts w:ascii="Arial" w:hAnsi="Arial"/>
        <w:i/>
        <w:color w:val="254175" w:themeColor="accent1" w:themeShade="95"/>
        <w:sz w:val="22"/>
      </w:rPr>
      <w:tblPr/>
      <w:tcPr>
        <w:tcBorders>
          <w:top w:val="none" w:sz="0" w:space="0" w:color="auto"/>
          <w:left w:val="single" w:sz="4" w:space="0" w:color="4472C4" w:themeColor="accent1"/>
          <w:bottom w:val="none" w:sz="0" w:space="0" w:color="auto"/>
          <w:right w:val="none" w:sz="0" w:space="0" w:color="auto"/>
        </w:tcBorders>
        <w:shd w:val="clear" w:color="auto" w:fill="FFFFFF"/>
      </w:tcPr>
    </w:tblStylePr>
    <w:tblStylePr w:type="band1Vert">
      <w:tblPr/>
      <w:tcPr>
        <w:shd w:val="clear" w:color="auto" w:fill="CFDBF0" w:themeFill="accent1" w:themeFillTint="40"/>
      </w:tcPr>
    </w:tblStylePr>
    <w:tblStylePr w:type="band1Horz">
      <w:rPr>
        <w:rFonts w:ascii="Arial" w:hAnsi="Arial"/>
        <w:color w:val="254175" w:themeColor="accent1" w:themeShade="95"/>
        <w:sz w:val="22"/>
      </w:rPr>
      <w:tblPr/>
      <w:tcPr>
        <w:shd w:val="clear" w:color="auto" w:fill="CFDBF0" w:themeFill="accent1" w:themeFillTint="40"/>
      </w:tcPr>
    </w:tblStylePr>
    <w:tblStylePr w:type="band2Horz">
      <w:rPr>
        <w:rFonts w:ascii="Arial" w:hAnsi="Arial"/>
        <w:color w:val="254175" w:themeColor="accent1" w:themeShade="95"/>
        <w:sz w:val="22"/>
      </w:rPr>
    </w:tblStylePr>
  </w:style>
  <w:style w:type="table" w:styleId="ListTable7Colorful-Accent2">
    <w:name w:val="List Table 7 Colorful Accent 2"/>
    <w:basedOn w:val="TableNormal"/>
    <w:uiPriority w:val="99"/>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auto"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auto" w:fill="FFFFFF"/>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auto" w:fill="FFFFFF"/>
      </w:tcPr>
    </w:tblStylePr>
    <w:tblStylePr w:type="band1Vert">
      <w:tblPr/>
      <w:tcPr>
        <w:shd w:val="clear" w:color="auto" w:fill="FADECB" w:themeFill="accent2" w:themeFillTint="40"/>
      </w:tcPr>
    </w:tblStylePr>
    <w:tblStylePr w:type="band1Horz">
      <w:rPr>
        <w:rFonts w:ascii="Arial" w:hAnsi="Arial"/>
        <w:color w:val="F4B184" w:themeColor="accent2" w:themeTint="97" w:themeShade="95"/>
        <w:sz w:val="22"/>
      </w:rPr>
      <w:tblPr/>
      <w:tcPr>
        <w:shd w:val="clear" w:color="auto" w:fill="FADECB" w:themeFill="accent2" w:themeFillTint="40"/>
      </w:tcPr>
    </w:tblStylePr>
    <w:tblStylePr w:type="band2Horz">
      <w:rPr>
        <w:rFonts w:ascii="Arial" w:hAnsi="Arial"/>
        <w:color w:val="F4B184" w:themeColor="accent2" w:themeTint="97" w:themeShade="95"/>
        <w:sz w:val="22"/>
      </w:rPr>
    </w:tblStylePr>
  </w:style>
  <w:style w:type="table" w:styleId="ListTable7Colorful-Accent3">
    <w:name w:val="List Table 7 Colorful Accent 3"/>
    <w:basedOn w:val="TableNormal"/>
    <w:uiPriority w:val="99"/>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auto"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auto" w:fill="FFFFFF"/>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auto" w:fill="FFFFFF"/>
      </w:tcPr>
    </w:tblStylePr>
    <w:tblStylePr w:type="band1Vert">
      <w:tblPr/>
      <w:tcPr>
        <w:shd w:val="clear" w:color="auto" w:fill="E8E8E8" w:themeFill="accent3" w:themeFillTint="40"/>
      </w:tcPr>
    </w:tblStylePr>
    <w:tblStylePr w:type="band1Horz">
      <w:rPr>
        <w:rFonts w:ascii="Arial" w:hAnsi="Arial"/>
        <w:color w:val="C9C9C9" w:themeColor="accent3" w:themeTint="98" w:themeShade="95"/>
        <w:sz w:val="22"/>
      </w:rPr>
      <w:tblPr/>
      <w:tcPr>
        <w:shd w:val="clear" w:color="auto" w:fill="E8E8E8" w:themeFill="accent3" w:themeFillTint="40"/>
      </w:tcPr>
    </w:tblStylePr>
    <w:tblStylePr w:type="band2Horz">
      <w:rPr>
        <w:rFonts w:ascii="Arial" w:hAnsi="Arial"/>
        <w:color w:val="C9C9C9" w:themeColor="accent3" w:themeTint="98" w:themeShade="95"/>
        <w:sz w:val="22"/>
      </w:rPr>
    </w:tblStylePr>
  </w:style>
  <w:style w:type="table" w:styleId="ListTable7Colorful-Accent4">
    <w:name w:val="List Table 7 Colorful Accent 4"/>
    <w:basedOn w:val="TableNormal"/>
    <w:uiPriority w:val="99"/>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auto"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auto" w:fill="FFFFFF"/>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auto" w:fill="FFFFFF"/>
      </w:tcPr>
    </w:tblStylePr>
    <w:tblStylePr w:type="band1Vert">
      <w:tblPr/>
      <w:tcPr>
        <w:shd w:val="clear" w:color="auto" w:fill="FFEFBF" w:themeFill="accent4" w:themeFillTint="40"/>
      </w:tcPr>
    </w:tblStylePr>
    <w:tblStylePr w:type="band1Horz">
      <w:rPr>
        <w:rFonts w:ascii="Arial" w:hAnsi="Arial"/>
        <w:color w:val="FFD865" w:themeColor="accent4" w:themeTint="9A" w:themeShade="95"/>
        <w:sz w:val="22"/>
      </w:rPr>
      <w:tblPr/>
      <w:tcPr>
        <w:shd w:val="clear" w:color="auto" w:fill="FFEFBF" w:themeFill="accent4" w:themeFillTint="40"/>
      </w:tcPr>
    </w:tblStylePr>
    <w:tblStylePr w:type="band2Horz">
      <w:rPr>
        <w:rFonts w:ascii="Arial" w:hAnsi="Arial"/>
        <w:color w:val="FFD865" w:themeColor="accent4" w:themeTint="9A" w:themeShade="95"/>
        <w:sz w:val="22"/>
      </w:rPr>
    </w:tblStylePr>
  </w:style>
  <w:style w:type="table" w:styleId="ListTable7Colorful-Accent5">
    <w:name w:val="List Table 7 Colorful Accent 5"/>
    <w:basedOn w:val="TableNormal"/>
    <w:uiPriority w:val="99"/>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0" w:space="0" w:color="auto"/>
          <w:left w:val="none" w:sz="0" w:space="0" w:color="auto"/>
          <w:bottom w:val="single" w:sz="4" w:space="0" w:color="9BC2E5" w:themeColor="accent5" w:themeTint="9A"/>
          <w:right w:val="none" w:sz="0" w:space="0" w:color="auto"/>
        </w:tcBorders>
        <w:shd w:val="clear" w:color="auto" w:fill="FFFFFF" w:themeFill="light1"/>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9BC2E5" w:themeColor="accent5" w:themeTint="9A" w:themeShade="95"/>
        <w:sz w:val="22"/>
      </w:rPr>
      <w:tblPr/>
      <w:tcPr>
        <w:tcBorders>
          <w:top w:val="none" w:sz="0" w:space="0" w:color="auto"/>
          <w:left w:val="none" w:sz="0" w:space="0" w:color="auto"/>
          <w:bottom w:val="none" w:sz="0" w:space="0" w:color="auto"/>
          <w:right w:val="single" w:sz="4" w:space="0" w:color="9BC2E5" w:themeColor="accent5" w:themeTint="9A"/>
        </w:tcBorders>
        <w:shd w:val="clear" w:color="auto" w:fill="FFFFFF"/>
      </w:tcPr>
    </w:tblStylePr>
    <w:tblStylePr w:type="lastCol">
      <w:rPr>
        <w:rFonts w:ascii="Arial" w:hAnsi="Arial"/>
        <w:i/>
        <w:color w:val="9BC2E5" w:themeColor="accent5" w:themeTint="9A" w:themeShade="95"/>
        <w:sz w:val="22"/>
      </w:rPr>
      <w:tblPr/>
      <w:tcPr>
        <w:tcBorders>
          <w:top w:val="none" w:sz="0" w:space="0" w:color="auto"/>
          <w:left w:val="single" w:sz="4" w:space="0" w:color="9BC2E5" w:themeColor="accent5" w:themeTint="9A"/>
          <w:bottom w:val="none" w:sz="0" w:space="0" w:color="auto"/>
          <w:right w:val="none" w:sz="0" w:space="0" w:color="auto"/>
        </w:tcBorders>
        <w:shd w:val="clear" w:color="auto" w:fill="FFFFFF"/>
      </w:tcPr>
    </w:tblStylePr>
    <w:tblStylePr w:type="band1Vert">
      <w:tblPr/>
      <w:tcPr>
        <w:shd w:val="clear" w:color="auto" w:fill="D5E5F4" w:themeFill="accent5" w:themeFillTint="40"/>
      </w:tcPr>
    </w:tblStylePr>
    <w:tblStylePr w:type="band1Horz">
      <w:rPr>
        <w:rFonts w:ascii="Arial" w:hAnsi="Arial"/>
        <w:color w:val="9BC2E5" w:themeColor="accent5" w:themeTint="9A" w:themeShade="95"/>
        <w:sz w:val="22"/>
      </w:rPr>
      <w:tblPr/>
      <w:tcPr>
        <w:shd w:val="clear" w:color="auto" w:fill="D5E5F4" w:themeFill="accent5" w:themeFillTint="40"/>
      </w:tcPr>
    </w:tblStylePr>
    <w:tblStylePr w:type="band2Horz">
      <w:rPr>
        <w:rFonts w:ascii="Arial" w:hAnsi="Arial"/>
        <w:color w:val="9BC2E5" w:themeColor="accent5" w:themeTint="9A" w:themeShade="95"/>
        <w:sz w:val="22"/>
      </w:rPr>
    </w:tblStylePr>
  </w:style>
  <w:style w:type="table" w:styleId="ListTable7Colorful-Accent6">
    <w:name w:val="List Table 7 Colorful Accent 6"/>
    <w:basedOn w:val="TableNormal"/>
    <w:uiPriority w:val="99"/>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auto"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auto" w:fill="FFFFFF"/>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auto" w:fill="FFFFFF"/>
      </w:tcPr>
    </w:tblStylePr>
    <w:tblStylePr w:type="band1Vert">
      <w:tblPr/>
      <w:tcPr>
        <w:shd w:val="clear" w:color="auto" w:fill="DAEBCF" w:themeFill="accent6" w:themeFillTint="40"/>
      </w:tcPr>
    </w:tblStylePr>
    <w:tblStylePr w:type="band1Horz">
      <w:rPr>
        <w:rFonts w:ascii="Arial" w:hAnsi="Arial"/>
        <w:color w:val="A9D08E" w:themeColor="accent6" w:themeTint="98" w:themeShade="95"/>
        <w:sz w:val="22"/>
      </w:rPr>
      <w:tblPr/>
      <w:tcPr>
        <w:shd w:val="clear" w:color="auto"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TableNormal"/>
    <w:uiPriority w:val="99"/>
    <w:rPr>
      <w:color w:val="404040"/>
      <w:szCs w:val="20"/>
    </w:rPr>
    <w:tblPr>
      <w:tblStyleRowBandSize w:val="1"/>
      <w:tblStyleColBandSize w:val="1"/>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Lined-Accent1">
    <w:name w:val="Lined - Accent 1"/>
    <w:basedOn w:val="TableNormal"/>
    <w:uiPriority w:val="99"/>
    <w:rPr>
      <w:color w:val="404040"/>
      <w:szCs w:val="20"/>
    </w:rPr>
    <w:tblPr>
      <w:tblStyleRowBandSize w:val="1"/>
      <w:tblStyleColBandSize w:val="1"/>
    </w:tblPr>
    <w:tblStylePr w:type="firstRow">
      <w:rPr>
        <w:rFonts w:ascii="Arial" w:hAnsi="Arial"/>
        <w:color w:val="F2F2F2"/>
        <w:sz w:val="22"/>
      </w:rPr>
      <w:tblPr/>
      <w:tcPr>
        <w:shd w:val="clear" w:color="auto" w:fill="537DC8" w:themeFill="accent1" w:themeFillTint="EA"/>
      </w:tcPr>
    </w:tblStylePr>
    <w:tblStylePr w:type="lastRow">
      <w:rPr>
        <w:rFonts w:ascii="Arial" w:hAnsi="Arial"/>
        <w:color w:val="F2F2F2"/>
        <w:sz w:val="22"/>
      </w:rPr>
      <w:tblPr/>
      <w:tcPr>
        <w:shd w:val="clear" w:color="auto" w:fill="537DC8" w:themeFill="accent1" w:themeFillTint="EA"/>
      </w:tcPr>
    </w:tblStylePr>
    <w:tblStylePr w:type="firstCol">
      <w:rPr>
        <w:rFonts w:ascii="Arial" w:hAnsi="Arial"/>
        <w:color w:val="F2F2F2"/>
        <w:sz w:val="22"/>
      </w:rPr>
      <w:tblPr/>
      <w:tcPr>
        <w:shd w:val="clear" w:color="auto" w:fill="537DC8" w:themeFill="accent1" w:themeFillTint="EA"/>
      </w:tcPr>
    </w:tblStylePr>
    <w:tblStylePr w:type="lastCol">
      <w:rPr>
        <w:rFonts w:ascii="Arial" w:hAnsi="Arial"/>
        <w:color w:val="F2F2F2"/>
        <w:sz w:val="22"/>
      </w:rPr>
      <w:tblPr/>
      <w:tcPr>
        <w:shd w:val="clear" w:color="auto"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4D2EC" w:themeFill="accent1" w:themeFillTint="50"/>
      </w:tcPr>
    </w:tblStylePr>
  </w:style>
  <w:style w:type="table" w:customStyle="1" w:styleId="Lined-Accent2">
    <w:name w:val="Lined - Accent 2"/>
    <w:basedOn w:val="TableNormal"/>
    <w:uiPriority w:val="99"/>
    <w:rPr>
      <w:color w:val="404040"/>
      <w:szCs w:val="20"/>
    </w:rPr>
    <w:tblPr>
      <w:tblStyleRowBandSize w:val="1"/>
      <w:tblStyleColBandSize w:val="1"/>
    </w:tblPr>
    <w:tblStylePr w:type="firstRow">
      <w:rPr>
        <w:rFonts w:ascii="Arial" w:hAnsi="Arial"/>
        <w:color w:val="F2F2F2"/>
        <w:sz w:val="22"/>
      </w:rPr>
      <w:tblPr/>
      <w:tcPr>
        <w:shd w:val="clear" w:color="auto" w:fill="F4B184" w:themeFill="accent2" w:themeFillTint="97"/>
      </w:tcPr>
    </w:tblStylePr>
    <w:tblStylePr w:type="lastRow">
      <w:rPr>
        <w:rFonts w:ascii="Arial" w:hAnsi="Arial"/>
        <w:color w:val="F2F2F2"/>
        <w:sz w:val="22"/>
      </w:rPr>
      <w:tblPr/>
      <w:tcPr>
        <w:shd w:val="clear" w:color="auto" w:fill="F4B184" w:themeFill="accent2" w:themeFillTint="97"/>
      </w:tcPr>
    </w:tblStylePr>
    <w:tblStylePr w:type="firstCol">
      <w:rPr>
        <w:rFonts w:ascii="Arial" w:hAnsi="Arial"/>
        <w:color w:val="F2F2F2"/>
        <w:sz w:val="22"/>
      </w:rPr>
      <w:tblPr/>
      <w:tcPr>
        <w:shd w:val="clear" w:color="auto" w:fill="F4B184" w:themeFill="accent2" w:themeFillTint="97"/>
      </w:tcPr>
    </w:tblStylePr>
    <w:tblStylePr w:type="lastCol">
      <w:rPr>
        <w:rFonts w:ascii="Arial" w:hAnsi="Arial"/>
        <w:color w:val="F2F2F2"/>
        <w:sz w:val="22"/>
      </w:rPr>
      <w:tblPr/>
      <w:tcPr>
        <w:shd w:val="clear" w:color="auto"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BE5D6" w:themeFill="accent2" w:themeFillTint="32"/>
      </w:tcPr>
    </w:tblStylePr>
  </w:style>
  <w:style w:type="table" w:customStyle="1" w:styleId="Lined-Accent3">
    <w:name w:val="Lined - Accent 3"/>
    <w:basedOn w:val="TableNormal"/>
    <w:uiPriority w:val="99"/>
    <w:rPr>
      <w:color w:val="404040"/>
      <w:szCs w:val="20"/>
    </w:rPr>
    <w:tblPr>
      <w:tblStyleRowBandSize w:val="1"/>
      <w:tblStyleColBandSize w:val="1"/>
    </w:tblPr>
    <w:tblStylePr w:type="firstRow">
      <w:rPr>
        <w:rFonts w:ascii="Arial" w:hAnsi="Arial"/>
        <w:color w:val="F2F2F2"/>
        <w:sz w:val="22"/>
      </w:rPr>
      <w:tblPr/>
      <w:tcPr>
        <w:shd w:val="clear" w:color="auto" w:fill="A5A5A5" w:themeFill="accent3" w:themeFillTint="FE"/>
      </w:tcPr>
    </w:tblStylePr>
    <w:tblStylePr w:type="lastRow">
      <w:rPr>
        <w:rFonts w:ascii="Arial" w:hAnsi="Arial"/>
        <w:color w:val="F2F2F2"/>
        <w:sz w:val="22"/>
      </w:rPr>
      <w:tblPr/>
      <w:tcPr>
        <w:shd w:val="clear" w:color="auto" w:fill="A5A5A5" w:themeFill="accent3" w:themeFillTint="FE"/>
      </w:tcPr>
    </w:tblStylePr>
    <w:tblStylePr w:type="firstCol">
      <w:rPr>
        <w:rFonts w:ascii="Arial" w:hAnsi="Arial"/>
        <w:color w:val="F2F2F2"/>
        <w:sz w:val="22"/>
      </w:rPr>
      <w:tblPr/>
      <w:tcPr>
        <w:shd w:val="clear" w:color="auto" w:fill="A5A5A5" w:themeFill="accent3" w:themeFillTint="FE"/>
      </w:tcPr>
    </w:tblStylePr>
    <w:tblStylePr w:type="lastCol">
      <w:rPr>
        <w:rFonts w:ascii="Arial" w:hAnsi="Arial"/>
        <w:color w:val="F2F2F2"/>
        <w:sz w:val="22"/>
      </w:rPr>
      <w:tblPr/>
      <w:tcPr>
        <w:shd w:val="clear" w:color="auto"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CECEC" w:themeFill="accent3" w:themeFillTint="34"/>
      </w:tcPr>
    </w:tblStylePr>
  </w:style>
  <w:style w:type="table" w:customStyle="1" w:styleId="Lined-Accent4">
    <w:name w:val="Lined - Accent 4"/>
    <w:basedOn w:val="TableNormal"/>
    <w:uiPriority w:val="99"/>
    <w:rPr>
      <w:color w:val="404040"/>
      <w:szCs w:val="20"/>
    </w:rPr>
    <w:tblPr>
      <w:tblStyleRowBandSize w:val="1"/>
      <w:tblStyleColBandSize w:val="1"/>
    </w:tblPr>
    <w:tblStylePr w:type="firstRow">
      <w:rPr>
        <w:rFonts w:ascii="Arial" w:hAnsi="Arial"/>
        <w:color w:val="F2F2F2"/>
        <w:sz w:val="22"/>
      </w:rPr>
      <w:tblPr/>
      <w:tcPr>
        <w:shd w:val="clear" w:color="auto" w:fill="FFD865" w:themeFill="accent4" w:themeFillTint="9A"/>
      </w:tcPr>
    </w:tblStylePr>
    <w:tblStylePr w:type="lastRow">
      <w:rPr>
        <w:rFonts w:ascii="Arial" w:hAnsi="Arial"/>
        <w:color w:val="F2F2F2"/>
        <w:sz w:val="22"/>
      </w:rPr>
      <w:tblPr/>
      <w:tcPr>
        <w:shd w:val="clear" w:color="auto" w:fill="FFD865" w:themeFill="accent4" w:themeFillTint="9A"/>
      </w:tcPr>
    </w:tblStylePr>
    <w:tblStylePr w:type="firstCol">
      <w:rPr>
        <w:rFonts w:ascii="Arial" w:hAnsi="Arial"/>
        <w:color w:val="F2F2F2"/>
        <w:sz w:val="22"/>
      </w:rPr>
      <w:tblPr/>
      <w:tcPr>
        <w:shd w:val="clear" w:color="auto" w:fill="FFD865" w:themeFill="accent4" w:themeFillTint="9A"/>
      </w:tcPr>
    </w:tblStylePr>
    <w:tblStylePr w:type="lastCol">
      <w:rPr>
        <w:rFonts w:ascii="Arial" w:hAnsi="Arial"/>
        <w:color w:val="F2F2F2"/>
        <w:sz w:val="22"/>
      </w:rPr>
      <w:tblPr/>
      <w:tcPr>
        <w:shd w:val="clear" w:color="auto"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FF2CB" w:themeFill="accent4" w:themeFillTint="34"/>
      </w:tcPr>
    </w:tblStylePr>
  </w:style>
  <w:style w:type="table" w:customStyle="1" w:styleId="Lined-Accent5">
    <w:name w:val="Lined - Accent 5"/>
    <w:basedOn w:val="TableNormal"/>
    <w:uiPriority w:val="99"/>
    <w:rPr>
      <w:color w:val="404040"/>
      <w:szCs w:val="20"/>
    </w:rPr>
    <w:tblPr>
      <w:tblStyleRowBandSize w:val="1"/>
      <w:tblStyleColBandSize w:val="1"/>
    </w:tblPr>
    <w:tblStylePr w:type="firstRow">
      <w:rPr>
        <w:rFonts w:ascii="Arial" w:hAnsi="Arial"/>
        <w:color w:val="F2F2F2"/>
        <w:sz w:val="22"/>
      </w:rPr>
      <w:tblPr/>
      <w:tcPr>
        <w:shd w:val="clear" w:color="auto" w:fill="5B9BD5" w:themeFill="accent5"/>
      </w:tcPr>
    </w:tblStylePr>
    <w:tblStylePr w:type="lastRow">
      <w:rPr>
        <w:rFonts w:ascii="Arial" w:hAnsi="Arial"/>
        <w:color w:val="F2F2F2"/>
        <w:sz w:val="22"/>
      </w:rPr>
      <w:tblPr/>
      <w:tcPr>
        <w:shd w:val="clear" w:color="auto" w:fill="5B9BD5" w:themeFill="accent5"/>
      </w:tcPr>
    </w:tblStylePr>
    <w:tblStylePr w:type="firstCol">
      <w:rPr>
        <w:rFonts w:ascii="Arial" w:hAnsi="Arial"/>
        <w:color w:val="F2F2F2"/>
        <w:sz w:val="22"/>
      </w:rPr>
      <w:tblPr/>
      <w:tcPr>
        <w:shd w:val="clear" w:color="auto" w:fill="5B9BD5" w:themeFill="accent5"/>
      </w:tcPr>
    </w:tblStylePr>
    <w:tblStylePr w:type="lastCol">
      <w:rPr>
        <w:rFonts w:ascii="Arial" w:hAnsi="Arial"/>
        <w:color w:val="F2F2F2"/>
        <w:sz w:val="22"/>
      </w:rPr>
      <w:tblPr/>
      <w:tcPr>
        <w:shd w:val="clear" w:color="auto"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DEAF6" w:themeFill="accent5" w:themeFillTint="34"/>
      </w:tcPr>
    </w:tblStylePr>
  </w:style>
  <w:style w:type="table" w:customStyle="1" w:styleId="Lined-Accent6">
    <w:name w:val="Lined - Accent 6"/>
    <w:basedOn w:val="TableNormal"/>
    <w:uiPriority w:val="99"/>
    <w:rPr>
      <w:color w:val="404040"/>
      <w:szCs w:val="20"/>
    </w:rPr>
    <w:tblPr>
      <w:tblStyleRowBandSize w:val="1"/>
      <w:tblStyleColBandSize w:val="1"/>
    </w:tblPr>
    <w:tblStylePr w:type="firstRow">
      <w:rPr>
        <w:rFonts w:ascii="Arial" w:hAnsi="Arial"/>
        <w:color w:val="F2F2F2"/>
        <w:sz w:val="22"/>
      </w:rPr>
      <w:tblPr/>
      <w:tcPr>
        <w:shd w:val="clear" w:color="auto" w:fill="70AD47" w:themeFill="accent6"/>
      </w:tcPr>
    </w:tblStylePr>
    <w:tblStylePr w:type="lastRow">
      <w:rPr>
        <w:rFonts w:ascii="Arial" w:hAnsi="Arial"/>
        <w:color w:val="F2F2F2"/>
        <w:sz w:val="22"/>
      </w:rPr>
      <w:tblPr/>
      <w:tcPr>
        <w:shd w:val="clear" w:color="auto" w:fill="70AD47" w:themeFill="accent6"/>
      </w:tcPr>
    </w:tblStylePr>
    <w:tblStylePr w:type="firstCol">
      <w:rPr>
        <w:rFonts w:ascii="Arial" w:hAnsi="Arial"/>
        <w:color w:val="F2F2F2"/>
        <w:sz w:val="22"/>
      </w:rPr>
      <w:tblPr/>
      <w:tcPr>
        <w:shd w:val="clear" w:color="auto" w:fill="70AD47" w:themeFill="accent6"/>
      </w:tcPr>
    </w:tblStylePr>
    <w:tblStylePr w:type="lastCol">
      <w:rPr>
        <w:rFonts w:ascii="Arial" w:hAnsi="Arial"/>
        <w:color w:val="F2F2F2"/>
        <w:sz w:val="22"/>
      </w:rPr>
      <w:tblPr/>
      <w:tcPr>
        <w:shd w:val="clear" w:color="auto"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1EFD8" w:themeFill="accent6" w:themeFillTint="34"/>
      </w:tcPr>
    </w:tblStylePr>
  </w:style>
  <w:style w:type="table" w:customStyle="1" w:styleId="BorderedLined-Accent">
    <w:name w:val="Bordered &amp; Lined - Accent"/>
    <w:basedOn w:val="TableNormal"/>
    <w:uiPriority w:val="99"/>
    <w:rPr>
      <w:color w:val="404040"/>
      <w:szCs w:val="2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BorderedLined-Accent1">
    <w:name w:val="Bordered &amp; Lined - Accent 1"/>
    <w:basedOn w:val="TableNormal"/>
    <w:uiPriority w:val="99"/>
    <w:rPr>
      <w:color w:val="404040"/>
      <w:szCs w:val="20"/>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auto" w:fill="537DC8" w:themeFill="accent1" w:themeFillTint="EA"/>
      </w:tcPr>
    </w:tblStylePr>
    <w:tblStylePr w:type="lastRow">
      <w:rPr>
        <w:rFonts w:ascii="Arial" w:hAnsi="Arial"/>
        <w:color w:val="F2F2F2"/>
        <w:sz w:val="22"/>
      </w:rPr>
      <w:tblPr/>
      <w:tcPr>
        <w:shd w:val="clear" w:color="auto" w:fill="537DC8" w:themeFill="accent1" w:themeFillTint="EA"/>
      </w:tcPr>
    </w:tblStylePr>
    <w:tblStylePr w:type="firstCol">
      <w:rPr>
        <w:rFonts w:ascii="Arial" w:hAnsi="Arial"/>
        <w:color w:val="F2F2F2"/>
        <w:sz w:val="22"/>
      </w:rPr>
      <w:tblPr/>
      <w:tcPr>
        <w:shd w:val="clear" w:color="auto" w:fill="537DC8" w:themeFill="accent1" w:themeFillTint="EA"/>
      </w:tcPr>
    </w:tblStylePr>
    <w:tblStylePr w:type="lastCol">
      <w:rPr>
        <w:rFonts w:ascii="Arial" w:hAnsi="Arial"/>
        <w:color w:val="F2F2F2"/>
        <w:sz w:val="22"/>
      </w:rPr>
      <w:tblPr/>
      <w:tcPr>
        <w:shd w:val="clear" w:color="auto"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4D2EC" w:themeFill="accent1" w:themeFillTint="50"/>
      </w:tcPr>
    </w:tblStylePr>
  </w:style>
  <w:style w:type="table" w:customStyle="1" w:styleId="BorderedLined-Accent2">
    <w:name w:val="Bordered &amp; Lined - Accent 2"/>
    <w:basedOn w:val="TableNormal"/>
    <w:uiPriority w:val="99"/>
    <w:rPr>
      <w:color w:val="404040"/>
      <w:szCs w:val="20"/>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auto" w:fill="F4B184" w:themeFill="accent2" w:themeFillTint="97"/>
      </w:tcPr>
    </w:tblStylePr>
    <w:tblStylePr w:type="lastRow">
      <w:rPr>
        <w:rFonts w:ascii="Arial" w:hAnsi="Arial"/>
        <w:color w:val="F2F2F2"/>
        <w:sz w:val="22"/>
      </w:rPr>
      <w:tblPr/>
      <w:tcPr>
        <w:shd w:val="clear" w:color="auto" w:fill="F4B184" w:themeFill="accent2" w:themeFillTint="97"/>
      </w:tcPr>
    </w:tblStylePr>
    <w:tblStylePr w:type="firstCol">
      <w:rPr>
        <w:rFonts w:ascii="Arial" w:hAnsi="Arial"/>
        <w:color w:val="F2F2F2"/>
        <w:sz w:val="22"/>
      </w:rPr>
      <w:tblPr/>
      <w:tcPr>
        <w:shd w:val="clear" w:color="auto" w:fill="F4B184" w:themeFill="accent2" w:themeFillTint="97"/>
      </w:tcPr>
    </w:tblStylePr>
    <w:tblStylePr w:type="lastCol">
      <w:rPr>
        <w:rFonts w:ascii="Arial" w:hAnsi="Arial"/>
        <w:color w:val="F2F2F2"/>
        <w:sz w:val="22"/>
      </w:rPr>
      <w:tblPr/>
      <w:tcPr>
        <w:shd w:val="clear" w:color="auto"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BE5D6" w:themeFill="accent2" w:themeFillTint="32"/>
      </w:tcPr>
    </w:tblStylePr>
  </w:style>
  <w:style w:type="table" w:customStyle="1" w:styleId="BorderedLined-Accent3">
    <w:name w:val="Bordered &amp; Lined - Accent 3"/>
    <w:basedOn w:val="TableNormal"/>
    <w:uiPriority w:val="99"/>
    <w:rPr>
      <w:color w:val="404040"/>
      <w:szCs w:val="20"/>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uto" w:fill="A5A5A5" w:themeFill="accent3" w:themeFillTint="FE"/>
      </w:tcPr>
    </w:tblStylePr>
    <w:tblStylePr w:type="lastRow">
      <w:rPr>
        <w:rFonts w:ascii="Arial" w:hAnsi="Arial"/>
        <w:color w:val="F2F2F2"/>
        <w:sz w:val="22"/>
      </w:rPr>
      <w:tblPr/>
      <w:tcPr>
        <w:shd w:val="clear" w:color="auto" w:fill="A5A5A5" w:themeFill="accent3" w:themeFillTint="FE"/>
      </w:tcPr>
    </w:tblStylePr>
    <w:tblStylePr w:type="firstCol">
      <w:rPr>
        <w:rFonts w:ascii="Arial" w:hAnsi="Arial"/>
        <w:color w:val="F2F2F2"/>
        <w:sz w:val="22"/>
      </w:rPr>
      <w:tblPr/>
      <w:tcPr>
        <w:shd w:val="clear" w:color="auto" w:fill="A5A5A5" w:themeFill="accent3" w:themeFillTint="FE"/>
      </w:tcPr>
    </w:tblStylePr>
    <w:tblStylePr w:type="lastCol">
      <w:rPr>
        <w:rFonts w:ascii="Arial" w:hAnsi="Arial"/>
        <w:color w:val="F2F2F2"/>
        <w:sz w:val="22"/>
      </w:rPr>
      <w:tblPr/>
      <w:tcPr>
        <w:shd w:val="clear" w:color="auto"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CECEC" w:themeFill="accent3" w:themeFillTint="34"/>
      </w:tcPr>
    </w:tblStylePr>
  </w:style>
  <w:style w:type="table" w:customStyle="1" w:styleId="BorderedLined-Accent4">
    <w:name w:val="Bordered &amp; Lined - Accent 4"/>
    <w:basedOn w:val="TableNormal"/>
    <w:uiPriority w:val="99"/>
    <w:rPr>
      <w:color w:val="404040"/>
      <w:szCs w:val="20"/>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auto" w:fill="FFD865" w:themeFill="accent4" w:themeFillTint="9A"/>
      </w:tcPr>
    </w:tblStylePr>
    <w:tblStylePr w:type="lastRow">
      <w:rPr>
        <w:rFonts w:ascii="Arial" w:hAnsi="Arial"/>
        <w:color w:val="F2F2F2"/>
        <w:sz w:val="22"/>
      </w:rPr>
      <w:tblPr/>
      <w:tcPr>
        <w:shd w:val="clear" w:color="auto" w:fill="FFD865" w:themeFill="accent4" w:themeFillTint="9A"/>
      </w:tcPr>
    </w:tblStylePr>
    <w:tblStylePr w:type="firstCol">
      <w:rPr>
        <w:rFonts w:ascii="Arial" w:hAnsi="Arial"/>
        <w:color w:val="F2F2F2"/>
        <w:sz w:val="22"/>
      </w:rPr>
      <w:tblPr/>
      <w:tcPr>
        <w:shd w:val="clear" w:color="auto" w:fill="FFD865" w:themeFill="accent4" w:themeFillTint="9A"/>
      </w:tcPr>
    </w:tblStylePr>
    <w:tblStylePr w:type="lastCol">
      <w:rPr>
        <w:rFonts w:ascii="Arial" w:hAnsi="Arial"/>
        <w:color w:val="F2F2F2"/>
        <w:sz w:val="22"/>
      </w:rPr>
      <w:tblPr/>
      <w:tcPr>
        <w:shd w:val="clear" w:color="auto"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FF2CB" w:themeFill="accent4" w:themeFillTint="34"/>
      </w:tcPr>
    </w:tblStylePr>
  </w:style>
  <w:style w:type="table" w:customStyle="1" w:styleId="BorderedLined-Accent5">
    <w:name w:val="Bordered &amp; Lined - Accent 5"/>
    <w:basedOn w:val="TableNormal"/>
    <w:uiPriority w:val="99"/>
    <w:rPr>
      <w:color w:val="404040"/>
      <w:szCs w:val="20"/>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auto" w:fill="5B9BD5" w:themeFill="accent5"/>
      </w:tcPr>
    </w:tblStylePr>
    <w:tblStylePr w:type="lastRow">
      <w:rPr>
        <w:rFonts w:ascii="Arial" w:hAnsi="Arial"/>
        <w:color w:val="F2F2F2"/>
        <w:sz w:val="22"/>
      </w:rPr>
      <w:tblPr/>
      <w:tcPr>
        <w:shd w:val="clear" w:color="auto" w:fill="5B9BD5" w:themeFill="accent5"/>
      </w:tcPr>
    </w:tblStylePr>
    <w:tblStylePr w:type="firstCol">
      <w:rPr>
        <w:rFonts w:ascii="Arial" w:hAnsi="Arial"/>
        <w:color w:val="F2F2F2"/>
        <w:sz w:val="22"/>
      </w:rPr>
      <w:tblPr/>
      <w:tcPr>
        <w:shd w:val="clear" w:color="auto" w:fill="5B9BD5" w:themeFill="accent5"/>
      </w:tcPr>
    </w:tblStylePr>
    <w:tblStylePr w:type="lastCol">
      <w:rPr>
        <w:rFonts w:ascii="Arial" w:hAnsi="Arial"/>
        <w:color w:val="F2F2F2"/>
        <w:sz w:val="22"/>
      </w:rPr>
      <w:tblPr/>
      <w:tcPr>
        <w:shd w:val="clear" w:color="auto"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DEAF6" w:themeFill="accent5" w:themeFillTint="34"/>
      </w:tcPr>
    </w:tblStylePr>
  </w:style>
  <w:style w:type="table" w:customStyle="1" w:styleId="BorderedLined-Accent6">
    <w:name w:val="Bordered &amp; Lined - Accent 6"/>
    <w:basedOn w:val="TableNormal"/>
    <w:uiPriority w:val="99"/>
    <w:rPr>
      <w:color w:val="404040"/>
      <w:szCs w:val="20"/>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auto" w:fill="70AD47" w:themeFill="accent6"/>
      </w:tcPr>
    </w:tblStylePr>
    <w:tblStylePr w:type="lastRow">
      <w:rPr>
        <w:rFonts w:ascii="Arial" w:hAnsi="Arial"/>
        <w:color w:val="F2F2F2"/>
        <w:sz w:val="22"/>
      </w:rPr>
      <w:tblPr/>
      <w:tcPr>
        <w:shd w:val="clear" w:color="auto" w:fill="70AD47" w:themeFill="accent6"/>
      </w:tcPr>
    </w:tblStylePr>
    <w:tblStylePr w:type="firstCol">
      <w:rPr>
        <w:rFonts w:ascii="Arial" w:hAnsi="Arial"/>
        <w:color w:val="F2F2F2"/>
        <w:sz w:val="22"/>
      </w:rPr>
      <w:tblPr/>
      <w:tcPr>
        <w:shd w:val="clear" w:color="auto" w:fill="70AD47" w:themeFill="accent6"/>
      </w:tcPr>
    </w:tblStylePr>
    <w:tblStylePr w:type="lastCol">
      <w:rPr>
        <w:rFonts w:ascii="Arial" w:hAnsi="Arial"/>
        <w:color w:val="F2F2F2"/>
        <w:sz w:val="22"/>
      </w:rPr>
      <w:tblPr/>
      <w:tcPr>
        <w:shd w:val="clear" w:color="auto"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1EFD8" w:themeFill="accent6" w:themeFillTint="34"/>
      </w:tcPr>
    </w:tblStylePr>
  </w:style>
  <w:style w:type="table" w:customStyle="1" w:styleId="Bordered">
    <w:name w:val="Bordered"/>
    <w:basedOn w:val="TableNormal"/>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Normal"/>
    <w:uiPriority w:val="99"/>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TableNormal"/>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TableNormal"/>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TableNormal"/>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TableNormal"/>
    <w:uiPriority w:val="99"/>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TableNormal"/>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character" w:customStyle="1" w:styleId="Heading1Char">
    <w:name w:val="Heading 1 Char"/>
    <w:basedOn w:val="DefaultParagraphFont"/>
    <w:link w:val="Heading1"/>
    <w:uiPriority w:val="9"/>
    <w:rsid w:val="00D953E4"/>
    <w:rPr>
      <w:rFonts w:ascii="Times New Roman" w:eastAsia="Times New Roman" w:hAnsi="Times New Roman"/>
      <w:color w:val="365F91"/>
      <w:sz w:val="32"/>
      <w:szCs w:val="32"/>
    </w:rPr>
  </w:style>
  <w:style w:type="character" w:customStyle="1" w:styleId="Heading2Char">
    <w:name w:val="Heading 2 Char"/>
    <w:basedOn w:val="DefaultParagraphFont"/>
    <w:link w:val="Heading2"/>
    <w:uiPriority w:val="9"/>
    <w:rsid w:val="004F61D5"/>
    <w:rPr>
      <w:rFonts w:ascii="Times New Roman" w:eastAsiaTheme="minorEastAsia" w:hAnsi="Times New Roman"/>
      <w:color w:val="365F91"/>
      <w:sz w:val="24"/>
      <w:szCs w:val="24"/>
      <w:lang w:eastAsia="de-DE"/>
    </w:rPr>
  </w:style>
  <w:style w:type="character" w:customStyle="1" w:styleId="Heading3Char">
    <w:name w:val="Heading 3 Char"/>
    <w:basedOn w:val="DefaultParagraphFont"/>
    <w:link w:val="Heading3"/>
    <w:uiPriority w:val="9"/>
    <w:rsid w:val="00787710"/>
    <w:rPr>
      <w:rFonts w:ascii="Times New Roman" w:hAnsi="Times New Roman"/>
      <w:b/>
      <w:bCs/>
      <w:color w:val="000000" w:themeColor="text1"/>
      <w:sz w:val="22"/>
    </w:rPr>
  </w:style>
  <w:style w:type="character" w:customStyle="1" w:styleId="Heading4Char">
    <w:name w:val="Heading 4 Char"/>
    <w:basedOn w:val="DefaultParagraphFont"/>
    <w:link w:val="Heading4"/>
    <w:uiPriority w:val="9"/>
    <w:rPr>
      <w:rFonts w:ascii="Times New Roman" w:eastAsia="Calibri Light" w:hAnsi="Times New Roman" w:cs="Calibri Light"/>
      <w:i/>
      <w:iCs/>
      <w:color w:val="2F5496" w:themeColor="accent1" w:themeShade="BF"/>
      <w:sz w:val="22"/>
    </w:rPr>
  </w:style>
  <w:style w:type="paragraph" w:styleId="ListParagraph">
    <w:name w:val="List Paragraph"/>
    <w:aliases w:val="Table/Figure Heading,List Paragraph (numbered (a)),Paragrafo elenco1,Graph &amp; Table tite,En tête 1,List (Mannvit),Left Bullet L1,Bullet Poin,Bullet Points,Bullet Number,List Paragraph Char Char,MAIN CONTENT,Párrafo de lista"/>
    <w:basedOn w:val="Normal"/>
    <w:link w:val="ListParagraphChar"/>
    <w:uiPriority w:val="34"/>
    <w:qFormat/>
    <w:pPr>
      <w:ind w:left="720"/>
      <w:contextualSpacing/>
    </w:pPr>
  </w:style>
  <w:style w:type="character" w:customStyle="1" w:styleId="ListParagraphChar">
    <w:name w:val="List Paragraph Char"/>
    <w:aliases w:val="Table/Figure Heading Char,List Paragraph (numbered (a)) Char,Paragrafo elenco1 Char,Graph &amp; Table tite Char,En tête 1 Char,List (Mannvit) Char,Left Bullet L1 Char,Bullet Poin Char,Bullet Points Char,Bullet Number Char"/>
    <w:basedOn w:val="DefaultParagraphFont"/>
    <w:link w:val="ListParagraph"/>
    <w:uiPriority w:val="34"/>
    <w:qFormat/>
    <w:rPr>
      <w:rFonts w:ascii="Times New Roman" w:hAnsi="Times New Roman"/>
      <w:sz w:val="22"/>
      <w:szCs w:val="22"/>
    </w:rPr>
  </w:style>
  <w:style w:type="paragraph" w:styleId="TOCHeading">
    <w:name w:val="TOC Heading"/>
    <w:basedOn w:val="Heading1"/>
    <w:next w:val="Normal"/>
    <w:uiPriority w:val="39"/>
    <w:unhideWhenUsed/>
    <w:qFormat/>
    <w:pPr>
      <w:spacing w:line="259" w:lineRule="auto"/>
      <w:outlineLvl w:val="9"/>
    </w:pPr>
  </w:style>
  <w:style w:type="paragraph" w:styleId="TOC1">
    <w:name w:val="toc 1"/>
    <w:basedOn w:val="Normal"/>
    <w:next w:val="Normal"/>
    <w:uiPriority w:val="39"/>
    <w:unhideWhenUsed/>
    <w:pPr>
      <w:spacing w:after="100"/>
    </w:pPr>
  </w:style>
  <w:style w:type="character" w:styleId="Hyperlink">
    <w:name w:val="Hyperlink"/>
    <w:basedOn w:val="DefaultParagraphFont"/>
    <w:uiPriority w:val="99"/>
    <w:unhideWhenUsed/>
    <w:rPr>
      <w:color w:val="0000FF"/>
      <w:u w:val="single"/>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unhideWhenUsed/>
    <w:qFormat/>
    <w:pPr>
      <w:spacing w:line="240" w:lineRule="auto"/>
    </w:pPr>
    <w:rPr>
      <w:sz w:val="20"/>
      <w:szCs w:val="20"/>
    </w:rPr>
  </w:style>
  <w:style w:type="character" w:customStyle="1" w:styleId="CommentTextChar">
    <w:name w:val="Comment Text Char"/>
    <w:basedOn w:val="DefaultParagraphFont"/>
    <w:link w:val="CommentText"/>
    <w:uiPriority w:val="99"/>
    <w:qFormat/>
    <w:rPr>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szCs w:val="20"/>
    </w:rPr>
  </w:style>
  <w:style w:type="paragraph" w:styleId="BalloonText">
    <w:name w:val="Balloon Text"/>
    <w:basedOn w:val="Normal"/>
    <w:link w:val="BalloonTextChar"/>
    <w:uiPriority w:val="99"/>
    <w:semiHidden/>
    <w:unhideWhenUsed/>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styleId="Revision">
    <w:name w:val="Revision"/>
    <w:hidden/>
    <w:uiPriority w:val="99"/>
    <w:semiHidden/>
    <w:rPr>
      <w:sz w:val="22"/>
    </w:rPr>
  </w:style>
  <w:style w:type="paragraph" w:styleId="TOC2">
    <w:name w:val="toc 2"/>
    <w:basedOn w:val="Normal"/>
    <w:next w:val="Normal"/>
    <w:uiPriority w:val="39"/>
    <w:unhideWhenUsed/>
    <w:pPr>
      <w:spacing w:after="100"/>
      <w:ind w:left="220"/>
    </w:pPr>
  </w:style>
  <w:style w:type="paragraph" w:styleId="FootnoteText">
    <w:name w:val="footnote text"/>
    <w:aliases w:val="Footnote Text Char Char Char,Footnote Text Char Char,Fußnote,Footnote,Footnote Text Char1 Char,Footnote Text Char1 Char Char Char,Footnote Text Char Char Char Char Char,Footnote Text Char1 Char1 Char,fn,Reference,A,ft,f,ADB"/>
    <w:basedOn w:val="Normal"/>
    <w:link w:val="FootnoteTextChar"/>
    <w:uiPriority w:val="99"/>
    <w:unhideWhenUsed/>
    <w:qFormat/>
    <w:pPr>
      <w:spacing w:after="0" w:line="240" w:lineRule="auto"/>
    </w:pPr>
    <w:rPr>
      <w:rFonts w:ascii="Cambria" w:eastAsia="Times New Roman" w:hAnsi="Cambria"/>
      <w:sz w:val="20"/>
      <w:szCs w:val="20"/>
    </w:rPr>
  </w:style>
  <w:style w:type="character" w:customStyle="1" w:styleId="FootnoteTextChar">
    <w:name w:val="Footnote Text Char"/>
    <w:aliases w:val="Footnote Text Char Char Char Char,Footnote Text Char Char Char1,Fußnote Char,Footnote Char,Footnote Text Char1 Char Char,Footnote Text Char1 Char Char Char Char,Footnote Text Char Char Char Char Char Char,fn Char,Reference Char,A Char"/>
    <w:basedOn w:val="DefaultParagraphFont"/>
    <w:link w:val="FootnoteText"/>
    <w:uiPriority w:val="99"/>
    <w:qFormat/>
    <w:rPr>
      <w:rFonts w:ascii="Cambria" w:eastAsia="Times New Roman" w:hAnsi="Cambria"/>
      <w:lang w:val="sq-AL"/>
    </w:rPr>
  </w:style>
  <w:style w:type="character" w:styleId="FootnoteReference">
    <w:name w:val="footnote reference"/>
    <w:aliases w:val="ftref,BVI fnr,16 Point,Superscript 6 Point,Footnotes refss,Footnote Reference Number,nota pié di pagina,Times 10 Point, Exposant 3 Point,Footnote symbol,Footnote reference number,Exposant 3 Point,EN Footnote Reference"/>
    <w:link w:val="Char2"/>
    <w:uiPriority w:val="99"/>
    <w:unhideWhenUsed/>
    <w:qFormat/>
    <w:rPr>
      <w:vertAlign w:val="superscript"/>
    </w:rPr>
  </w:style>
  <w:style w:type="paragraph" w:customStyle="1" w:styleId="Char2">
    <w:name w:val="Char2"/>
    <w:basedOn w:val="Normal"/>
    <w:link w:val="FootnoteReference"/>
    <w:uiPriority w:val="99"/>
    <w:pPr>
      <w:spacing w:after="160" w:line="240" w:lineRule="exact"/>
    </w:pPr>
    <w:rPr>
      <w:rFonts w:ascii="Calibri" w:hAnsi="Calibri"/>
      <w:sz w:val="20"/>
      <w:szCs w:val="20"/>
      <w:vertAlign w:val="superscript"/>
    </w:rPr>
  </w:style>
  <w:style w:type="paragraph" w:styleId="Caption">
    <w:name w:val="caption"/>
    <w:basedOn w:val="Normal"/>
    <w:next w:val="Normal"/>
    <w:uiPriority w:val="35"/>
    <w:unhideWhenUsed/>
    <w:qFormat/>
    <w:pPr>
      <w:spacing w:line="240" w:lineRule="auto"/>
    </w:pPr>
    <w:rPr>
      <w:rFonts w:ascii="Cambria" w:eastAsia="Times New Roman" w:hAnsi="Cambria"/>
      <w:b/>
      <w:bCs/>
      <w:color w:val="4F81BD"/>
      <w:sz w:val="18"/>
      <w:szCs w:val="18"/>
      <w:lang w:eastAsia="ja-JP"/>
    </w:rPr>
  </w:style>
  <w:style w:type="table" w:styleId="TableGrid">
    <w:name w:val="Table Grid"/>
    <w:basedOn w:val="TableNormal"/>
    <w:uiPriority w:val="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PlainTable5">
    <w:name w:val="Plain Table 5"/>
    <w:basedOn w:val="TableNormal"/>
    <w:uiPriority w:val="45"/>
    <w:tblPr>
      <w:tblStyleRowBandSize w:val="1"/>
      <w:tblStyleColBandSize w:val="1"/>
    </w:tblPr>
    <w:tblStylePr w:type="firstRow">
      <w:rPr>
        <w:rFonts w:ascii="Calibri Light" w:eastAsia="Calibri Light" w:hAnsi="Calibri Light" w:cs="Calibri Light"/>
        <w:i/>
        <w:iCs/>
        <w:sz w:val="26"/>
      </w:rPr>
      <w:tblPr/>
      <w:tcPr>
        <w:tcBorders>
          <w:bottom w:val="single" w:sz="4" w:space="0" w:color="7F7F7F" w:themeColor="text1" w:themeTint="80"/>
        </w:tcBorders>
        <w:shd w:val="clear" w:color="auto" w:fill="FFFFFF" w:themeFill="background1"/>
      </w:tcPr>
    </w:tblStylePr>
    <w:tblStylePr w:type="lastRow">
      <w:rPr>
        <w:rFonts w:ascii="Calibri Light" w:eastAsia="Calibri Light" w:hAnsi="Calibri Light" w:cs="Calibri Light"/>
        <w:i/>
        <w:iCs/>
        <w:sz w:val="26"/>
      </w:rPr>
      <w:tblPr/>
      <w:tcPr>
        <w:tcBorders>
          <w:top w:val="single" w:sz="4" w:space="0" w:color="7F7F7F" w:themeColor="text1" w:themeTint="80"/>
        </w:tcBorders>
        <w:shd w:val="clear" w:color="auto" w:fill="FFFFFF" w:themeFill="background1"/>
      </w:tcPr>
    </w:tblStylePr>
    <w:tblStylePr w:type="firstCol">
      <w:pPr>
        <w:jc w:val="right"/>
      </w:pPr>
      <w:rPr>
        <w:rFonts w:ascii="Calibri Light" w:eastAsia="Calibri Light" w:hAnsi="Calibri Light" w:cs="Calibri Light"/>
        <w:i/>
        <w:iCs/>
        <w:sz w:val="26"/>
      </w:rPr>
      <w:tblPr/>
      <w:tcPr>
        <w:tcBorders>
          <w:right w:val="single" w:sz="4" w:space="0" w:color="7F7F7F" w:themeColor="text1" w:themeTint="80"/>
        </w:tcBorders>
        <w:shd w:val="clear" w:color="auto" w:fill="FFFFFF" w:themeFill="background1"/>
      </w:tcPr>
    </w:tblStylePr>
    <w:tblStylePr w:type="lastCol">
      <w:rPr>
        <w:rFonts w:ascii="Calibri Light" w:eastAsia="Calibri Light" w:hAnsi="Calibri Light" w:cs="Calibri Light"/>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one" w:sz="4" w:space="0" w:color="000000"/>
        </w:tcBorders>
      </w:tcPr>
    </w:tblStylePr>
    <w:tblStylePr w:type="nwCell">
      <w:tblPr/>
      <w:tcPr>
        <w:tcBorders>
          <w:right w:val="none" w:sz="4" w:space="0" w:color="000000"/>
        </w:tcBorders>
      </w:tcPr>
    </w:tblStylePr>
    <w:tblStylePr w:type="seCell">
      <w:tblPr/>
      <w:tcPr>
        <w:tcBorders>
          <w:left w:val="none" w:sz="4" w:space="0" w:color="000000"/>
        </w:tcBorders>
      </w:tcPr>
    </w:tblStylePr>
    <w:tblStylePr w:type="swCell">
      <w:tblPr/>
      <w:tcPr>
        <w:tcBorders>
          <w:right w:val="none" w:sz="4" w:space="0" w:color="000000"/>
        </w:tcBorders>
      </w:tcPr>
    </w:tblStylePr>
  </w:style>
  <w:style w:type="paragraph" w:styleId="NoSpacing">
    <w:name w:val="No Spacing"/>
    <w:link w:val="NoSpacingChar"/>
    <w:uiPriority w:val="1"/>
    <w:qFormat/>
    <w:rPr>
      <w:rFonts w:eastAsia="Calibri" w:cs="Calibri"/>
      <w:sz w:val="22"/>
    </w:rPr>
  </w:style>
  <w:style w:type="character" w:customStyle="1" w:styleId="NoSpacingChar">
    <w:name w:val="No Spacing Char"/>
    <w:link w:val="NoSpacing"/>
    <w:uiPriority w:val="1"/>
    <w:rPr>
      <w:rFonts w:ascii="Calibri" w:eastAsia="Calibri" w:hAnsi="Calibri" w:cs="Calibri"/>
      <w:sz w:val="22"/>
      <w:szCs w:val="22"/>
      <w:lang w:val="sq-AL"/>
    </w:rPr>
  </w:style>
  <w:style w:type="paragraph" w:styleId="TOC3">
    <w:name w:val="toc 3"/>
    <w:basedOn w:val="Normal"/>
    <w:next w:val="Normal"/>
    <w:uiPriority w:val="39"/>
    <w:unhideWhenUsed/>
    <w:pPr>
      <w:spacing w:after="100"/>
      <w:ind w:left="440"/>
    </w:pPr>
  </w:style>
  <w:style w:type="table" w:styleId="PlainTable2">
    <w:name w:val="Plain Table 2"/>
    <w:basedOn w:val="TableNormal"/>
    <w:uiPriority w:val="4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LightShading-Accent2">
    <w:name w:val="Light Shading Accent 2"/>
    <w:basedOn w:val="TableNormal"/>
    <w:uiPriority w:val="60"/>
    <w:rPr>
      <w:rFonts w:eastAsia="PMingLiU"/>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auto"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auto" w:fill="EFD3D2"/>
      </w:tcPr>
    </w:tblStylePr>
  </w:style>
  <w:style w:type="table" w:customStyle="1" w:styleId="GridTable4-Accent31">
    <w:name w:val="Grid Table 4 - Accent 31"/>
    <w:basedOn w:val="TableNormal"/>
    <w:uiPriority w:val="49"/>
    <w:pPr>
      <w:ind w:firstLine="360"/>
    </w:pPr>
    <w:rPr>
      <w:rFonts w:eastAsia="Calibri" w:cs="Calibri"/>
      <w:sz w:val="22"/>
      <w:lang w:bidi="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one" w:sz="4" w:space="0" w:color="000000"/>
          <w:insideV w:val="none" w:sz="4" w:space="0" w:color="000000"/>
        </w:tcBorders>
        <w:shd w:val="clear" w:color="auto" w:fill="A5A5A5" w:themeFill="accent3"/>
      </w:tcPr>
    </w:tblStylePr>
    <w:tblStylePr w:type="lastRow">
      <w:rPr>
        <w:b/>
        <w:bCs/>
      </w:rPr>
      <w:tblPr/>
      <w:tcPr>
        <w:tcBorders>
          <w:top w:val="sing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1">
    <w:name w:val="Grid Table 4 - Accent 61"/>
    <w:basedOn w:val="TableNormal"/>
    <w:uiPriority w:val="49"/>
    <w:pPr>
      <w:ind w:firstLine="360"/>
    </w:pPr>
    <w:rPr>
      <w:rFonts w:eastAsia="Calibri" w:cs="Calibri"/>
      <w:sz w:val="22"/>
      <w:lang w:bidi="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one" w:sz="4" w:space="0" w:color="000000"/>
          <w:insideV w:val="none" w:sz="4" w:space="0" w:color="000000"/>
        </w:tcBorders>
        <w:shd w:val="clear" w:color="auto" w:fill="70AD47" w:themeFill="accent6"/>
      </w:tcPr>
    </w:tblStylePr>
    <w:tblStylePr w:type="lastRow">
      <w:rPr>
        <w:b/>
        <w:bCs/>
      </w:rPr>
      <w:tblPr/>
      <w:tcPr>
        <w:tcBorders>
          <w:top w:val="sing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FollowedHyperlink">
    <w:name w:val="FollowedHyperlink"/>
    <w:basedOn w:val="DefaultParagraphFont"/>
    <w:uiPriority w:val="99"/>
    <w:semiHidden/>
    <w:unhideWhenUsed/>
    <w:rPr>
      <w:color w:val="954F72" w:themeColor="followedHyperlink"/>
      <w:u w:val="single"/>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rPr>
      <w:rFonts w:ascii="Segoe UI" w:hAnsi="Segoe UI"/>
      <w:sz w:val="22"/>
      <w:szCs w:val="22"/>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rPr>
      <w:rFonts w:ascii="Segoe UI" w:hAnsi="Segoe UI"/>
      <w:sz w:val="22"/>
      <w:szCs w:val="22"/>
    </w:rPr>
  </w:style>
  <w:style w:type="paragraph" w:customStyle="1" w:styleId="Normal0">
    <w:name w:val="Normal0"/>
    <w:rPr>
      <w:rFonts w:ascii="Arial" w:eastAsia="Calibri" w:hAnsi="Arial" w:cs="Arial"/>
      <w:sz w:val="24"/>
      <w:szCs w:val="24"/>
    </w:rPr>
  </w:style>
  <w:style w:type="paragraph" w:customStyle="1" w:styleId="ColorfulShading-Accent31">
    <w:name w:val="Colorful Shading - Accent 31"/>
    <w:basedOn w:val="Normal"/>
    <w:link w:val="ColorfulShading-Accent3Char"/>
    <w:uiPriority w:val="34"/>
    <w:qFormat/>
    <w:pPr>
      <w:spacing w:before="120" w:after="120" w:line="240" w:lineRule="auto"/>
      <w:ind w:left="720"/>
      <w:contextualSpacing/>
    </w:pPr>
    <w:rPr>
      <w:rFonts w:eastAsia="Times New Roman"/>
    </w:rPr>
  </w:style>
  <w:style w:type="character" w:customStyle="1" w:styleId="ColorfulShading-Accent3Char">
    <w:name w:val="Colorful Shading - Accent 3 Char"/>
    <w:link w:val="ColorfulShading-Accent31"/>
    <w:uiPriority w:val="34"/>
    <w:qFormat/>
    <w:rPr>
      <w:rFonts w:ascii="Times New Roman" w:eastAsia="Times New Roman" w:hAnsi="Times New Roman"/>
      <w:sz w:val="22"/>
      <w:szCs w:val="22"/>
      <w:lang w:val="sq-AL"/>
    </w:rPr>
  </w:style>
  <w:style w:type="paragraph" w:customStyle="1" w:styleId="ColorfulShading-Accent11">
    <w:name w:val="Colorful Shading - Accent 11"/>
    <w:hidden/>
    <w:uiPriority w:val="99"/>
    <w:semiHidden/>
    <w:rPr>
      <w:rFonts w:eastAsia="Calibri" w:cs="Arial"/>
    </w:rPr>
  </w:style>
  <w:style w:type="paragraph" w:styleId="HTMLPreformatted">
    <w:name w:val="HTML Preformatted"/>
    <w:basedOn w:val="Normal"/>
    <w:link w:val="HTMLPreformattedChar"/>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Pr>
      <w:rFonts w:ascii="Courier New" w:eastAsia="Times New Roman" w:hAnsi="Courier New" w:cs="Courier New"/>
    </w:rPr>
  </w:style>
  <w:style w:type="paragraph" w:styleId="ListBullet2">
    <w:name w:val="List Bullet 2"/>
    <w:basedOn w:val="Normal"/>
    <w:pPr>
      <w:tabs>
        <w:tab w:val="num" w:pos="1360"/>
      </w:tabs>
      <w:spacing w:after="0" w:line="240" w:lineRule="auto"/>
      <w:ind w:left="1360" w:hanging="283"/>
    </w:pPr>
    <w:rPr>
      <w:rFonts w:eastAsia="Times New Roman"/>
      <w:szCs w:val="20"/>
      <w:lang w:eastAsia="ar-SA"/>
    </w:rPr>
  </w:style>
  <w:style w:type="character" w:customStyle="1" w:styleId="UnresolvedMention1">
    <w:name w:val="Unresolved Mention1"/>
    <w:basedOn w:val="DefaultParagraphFont"/>
    <w:uiPriority w:val="99"/>
    <w:semiHidden/>
    <w:unhideWhenUsed/>
    <w:rPr>
      <w:color w:val="605E5C"/>
      <w:shd w:val="clear" w:color="auto" w:fill="E1DFDD"/>
    </w:rPr>
  </w:style>
  <w:style w:type="paragraph" w:customStyle="1" w:styleId="Standard1">
    <w:name w:val="Standard1"/>
    <w:pPr>
      <w:spacing w:after="200" w:line="276" w:lineRule="auto"/>
      <w:jc w:val="right"/>
    </w:pPr>
    <w:rPr>
      <w:rFonts w:ascii="Bookman Old Style" w:eastAsia="Calibri" w:hAnsi="Bookman Old Style" w:cs="Bookman Old Style"/>
      <w:color w:val="000000"/>
      <w:sz w:val="24"/>
      <w:szCs w:val="24"/>
    </w:rPr>
  </w:style>
  <w:style w:type="paragraph" w:customStyle="1" w:styleId="CM4">
    <w:name w:val="CM4"/>
    <w:basedOn w:val="Normal"/>
    <w:next w:val="Normal"/>
    <w:uiPriority w:val="99"/>
    <w:pPr>
      <w:spacing w:after="0" w:line="240" w:lineRule="auto"/>
    </w:pPr>
    <w:rPr>
      <w:rFonts w:eastAsia="Calibri"/>
      <w:sz w:val="24"/>
      <w:szCs w:val="24"/>
    </w:rPr>
  </w:style>
  <w:style w:type="paragraph" w:customStyle="1" w:styleId="CM1">
    <w:name w:val="CM1"/>
    <w:basedOn w:val="Normal"/>
    <w:next w:val="Normal"/>
    <w:uiPriority w:val="99"/>
    <w:pPr>
      <w:spacing w:after="0" w:line="240" w:lineRule="auto"/>
    </w:pPr>
    <w:rPr>
      <w:rFonts w:eastAsia="Calibri"/>
      <w:sz w:val="24"/>
      <w:szCs w:val="24"/>
    </w:rPr>
  </w:style>
  <w:style w:type="paragraph" w:styleId="EndnoteText">
    <w:name w:val="endnote text"/>
    <w:basedOn w:val="Normal"/>
    <w:link w:val="EndnoteTextChar"/>
    <w:pPr>
      <w:widowControl w:val="0"/>
      <w:spacing w:after="0" w:line="240" w:lineRule="auto"/>
    </w:pPr>
    <w:rPr>
      <w:rFonts w:eastAsia="Times New Roman"/>
      <w:sz w:val="20"/>
      <w:szCs w:val="20"/>
    </w:rPr>
  </w:style>
  <w:style w:type="character" w:customStyle="1" w:styleId="EndnoteTextChar">
    <w:name w:val="Endnote Text Char"/>
    <w:basedOn w:val="DefaultParagraphFont"/>
    <w:link w:val="EndnoteText"/>
    <w:rPr>
      <w:rFonts w:ascii="Times New Roman" w:eastAsia="Times New Roman" w:hAnsi="Times New Roman"/>
    </w:rPr>
  </w:style>
  <w:style w:type="paragraph" w:customStyle="1" w:styleId="BVIfnrChar">
    <w:name w:val="BVI fnr Char"/>
    <w:basedOn w:val="Normal"/>
    <w:pPr>
      <w:spacing w:after="160" w:line="240" w:lineRule="exact"/>
    </w:pPr>
    <w:rPr>
      <w:rFonts w:ascii="Calibri" w:eastAsia="Calibri" w:hAnsi="Calibri" w:cs="Calibri"/>
      <w:vertAlign w:val="superscript"/>
    </w:rPr>
  </w:style>
  <w:style w:type="character" w:customStyle="1" w:styleId="UnresolvedMention2">
    <w:name w:val="Unresolved Mention2"/>
    <w:basedOn w:val="DefaultParagraphFont"/>
    <w:uiPriority w:val="99"/>
    <w:rPr>
      <w:color w:val="605E5C"/>
      <w:shd w:val="clear" w:color="auto" w:fill="E1DFDD"/>
    </w:rPr>
  </w:style>
  <w:style w:type="paragraph" w:styleId="NormalWeb">
    <w:name w:val="Normal (Web)"/>
    <w:basedOn w:val="Normal"/>
    <w:uiPriority w:val="99"/>
    <w:unhideWhenUsed/>
    <w:pPr>
      <w:spacing w:after="0" w:line="240" w:lineRule="auto"/>
    </w:pPr>
    <w:rPr>
      <w:rFonts w:ascii="Calibri" w:eastAsia="Calibri" w:hAnsi="Calibri"/>
    </w:rPr>
  </w:style>
  <w:style w:type="character" w:styleId="PlaceholderText">
    <w:name w:val="Placeholder Text"/>
    <w:basedOn w:val="DefaultParagraphFont"/>
    <w:uiPriority w:val="99"/>
    <w:semiHidden/>
    <w:rPr>
      <w:color w:val="808080"/>
    </w:rPr>
  </w:style>
  <w:style w:type="character" w:customStyle="1" w:styleId="UnresolvedMention3">
    <w:name w:val="Unresolved Mention3"/>
    <w:basedOn w:val="DefaultParagraphFont"/>
    <w:uiPriority w:val="99"/>
    <w:semiHidden/>
    <w:unhideWhenUsed/>
    <w:rPr>
      <w:color w:val="605E5C"/>
      <w:shd w:val="clear" w:color="auto" w:fill="E1DFDD"/>
    </w:rPr>
  </w:style>
  <w:style w:type="character" w:customStyle="1" w:styleId="NichtaufgelsteErwhnung1">
    <w:name w:val="Nicht aufgelöste Erwähnung1"/>
    <w:basedOn w:val="DefaultParagraphFont"/>
    <w:uiPriority w:val="99"/>
    <w:semiHidden/>
    <w:unhideWhenUsed/>
    <w:rPr>
      <w:color w:val="605E5C"/>
      <w:shd w:val="clear" w:color="auto" w:fill="E1DFDD"/>
    </w:rPr>
  </w:style>
  <w:style w:type="character" w:styleId="Strong">
    <w:name w:val="Strong"/>
    <w:uiPriority w:val="22"/>
    <w:qFormat/>
    <w:rPr>
      <w:b/>
      <w:bCs/>
    </w:rPr>
  </w:style>
  <w:style w:type="paragraph" w:customStyle="1" w:styleId="Table">
    <w:name w:val="Table"/>
    <w:basedOn w:val="Normal"/>
    <w:pPr>
      <w:spacing w:line="220" w:lineRule="atLeast"/>
    </w:pPr>
    <w:rPr>
      <w:rFonts w:ascii="DaneHelveticaNeue" w:eastAsia="Times New Roman" w:hAnsi="DaneHelveticaNeue"/>
      <w:sz w:val="18"/>
      <w:szCs w:val="20"/>
      <w:lang w:eastAsia="da-DK"/>
    </w:rPr>
  </w:style>
  <w:style w:type="paragraph" w:customStyle="1" w:styleId="Default">
    <w:name w:val="Default"/>
    <w:link w:val="DefaultChar"/>
    <w:rPr>
      <w:rFonts w:ascii="Times New Roman" w:eastAsia="Calibri" w:hAnsi="Times New Roman"/>
      <w:color w:val="000000"/>
      <w:sz w:val="24"/>
      <w:szCs w:val="24"/>
    </w:rPr>
  </w:style>
  <w:style w:type="character" w:customStyle="1" w:styleId="DefaultChar">
    <w:name w:val="Default Char"/>
    <w:link w:val="Default"/>
    <w:rPr>
      <w:rFonts w:ascii="Times New Roman" w:eastAsia="Calibri" w:hAnsi="Times New Roman"/>
      <w:color w:val="000000"/>
      <w:sz w:val="24"/>
      <w:szCs w:val="24"/>
    </w:rPr>
  </w:style>
  <w:style w:type="paragraph" w:customStyle="1" w:styleId="xdoc-ti">
    <w:name w:val="x_doc-ti"/>
    <w:basedOn w:val="Normal"/>
    <w:pPr>
      <w:spacing w:before="100" w:beforeAutospacing="1" w:after="100" w:afterAutospacing="1" w:line="240" w:lineRule="auto"/>
    </w:pPr>
    <w:rPr>
      <w:rFonts w:ascii="Times" w:eastAsia="Calibri" w:hAnsi="Times" w:cs="Calibri"/>
      <w:sz w:val="20"/>
      <w:szCs w:val="20"/>
    </w:rPr>
  </w:style>
  <w:style w:type="character" w:customStyle="1" w:styleId="xsub">
    <w:name w:val="x_sub"/>
    <w:basedOn w:val="DefaultParagraphFont"/>
  </w:style>
  <w:style w:type="character" w:customStyle="1" w:styleId="xapple-converted-space">
    <w:name w:val="x_apple-converted-space"/>
    <w:basedOn w:val="DefaultParagraphFont"/>
  </w:style>
  <w:style w:type="paragraph" w:customStyle="1" w:styleId="xmsonormal">
    <w:name w:val="x_msonormal"/>
    <w:basedOn w:val="Normal"/>
    <w:pPr>
      <w:spacing w:before="100" w:beforeAutospacing="1" w:after="100" w:afterAutospacing="1" w:line="240" w:lineRule="auto"/>
    </w:pPr>
    <w:rPr>
      <w:rFonts w:ascii="Times" w:eastAsia="Calibri" w:hAnsi="Times" w:cs="Calibri"/>
      <w:sz w:val="20"/>
      <w:szCs w:val="20"/>
    </w:rPr>
  </w:style>
  <w:style w:type="character" w:customStyle="1" w:styleId="apple-converted-space">
    <w:name w:val="apple-converted-space"/>
    <w:basedOn w:val="DefaultParagraphFont"/>
  </w:style>
  <w:style w:type="paragraph" w:customStyle="1" w:styleId="CM3">
    <w:name w:val="CM3"/>
    <w:basedOn w:val="Normal"/>
    <w:next w:val="Normal"/>
    <w:uiPriority w:val="99"/>
    <w:pPr>
      <w:spacing w:after="0" w:line="240" w:lineRule="auto"/>
    </w:pPr>
    <w:rPr>
      <w:rFonts w:eastAsia="Calibri"/>
      <w:sz w:val="24"/>
      <w:szCs w:val="24"/>
    </w:rPr>
  </w:style>
  <w:style w:type="paragraph" w:styleId="DocumentMap">
    <w:name w:val="Document Map"/>
    <w:basedOn w:val="Normal"/>
    <w:link w:val="DocumentMapChar"/>
    <w:uiPriority w:val="99"/>
    <w:semiHidden/>
    <w:unhideWhenUsed/>
    <w:pPr>
      <w:spacing w:after="0" w:line="240" w:lineRule="auto"/>
    </w:pPr>
    <w:rPr>
      <w:rFonts w:ascii="Tahoma" w:eastAsia="Calibri" w:hAnsi="Tahoma" w:cs="Tahoma"/>
      <w:sz w:val="16"/>
      <w:szCs w:val="16"/>
    </w:rPr>
  </w:style>
  <w:style w:type="character" w:customStyle="1" w:styleId="DocumentMapChar">
    <w:name w:val="Document Map Char"/>
    <w:basedOn w:val="DefaultParagraphFont"/>
    <w:link w:val="DocumentMap"/>
    <w:uiPriority w:val="99"/>
    <w:semiHidden/>
    <w:rPr>
      <w:rFonts w:ascii="Tahoma" w:eastAsia="Calibri" w:hAnsi="Tahoma" w:cs="Tahoma"/>
      <w:sz w:val="16"/>
      <w:szCs w:val="16"/>
    </w:rPr>
  </w:style>
  <w:style w:type="paragraph" w:styleId="TOC4">
    <w:name w:val="toc 4"/>
    <w:basedOn w:val="Normal"/>
    <w:next w:val="Normal"/>
    <w:uiPriority w:val="39"/>
    <w:unhideWhenUsed/>
    <w:pPr>
      <w:spacing w:after="100" w:line="259" w:lineRule="auto"/>
      <w:ind w:left="660"/>
    </w:pPr>
    <w:rPr>
      <w:rFonts w:ascii="Calibri" w:eastAsia="Calibri" w:hAnsi="Calibri" w:cs="Calibri"/>
    </w:rPr>
  </w:style>
  <w:style w:type="paragraph" w:styleId="TOC5">
    <w:name w:val="toc 5"/>
    <w:basedOn w:val="Normal"/>
    <w:next w:val="Normal"/>
    <w:uiPriority w:val="39"/>
    <w:unhideWhenUsed/>
    <w:pPr>
      <w:spacing w:after="100" w:line="259" w:lineRule="auto"/>
      <w:ind w:left="880"/>
    </w:pPr>
    <w:rPr>
      <w:rFonts w:ascii="Calibri" w:eastAsia="Calibri" w:hAnsi="Calibri" w:cs="Calibri"/>
    </w:rPr>
  </w:style>
  <w:style w:type="paragraph" w:styleId="TOC6">
    <w:name w:val="toc 6"/>
    <w:basedOn w:val="Normal"/>
    <w:next w:val="Normal"/>
    <w:uiPriority w:val="39"/>
    <w:unhideWhenUsed/>
    <w:pPr>
      <w:spacing w:after="100" w:line="259" w:lineRule="auto"/>
      <w:ind w:left="1100"/>
    </w:pPr>
    <w:rPr>
      <w:rFonts w:ascii="Calibri" w:eastAsia="Calibri" w:hAnsi="Calibri" w:cs="Calibri"/>
    </w:rPr>
  </w:style>
  <w:style w:type="paragraph" w:styleId="TOC7">
    <w:name w:val="toc 7"/>
    <w:basedOn w:val="Normal"/>
    <w:next w:val="Normal"/>
    <w:uiPriority w:val="39"/>
    <w:unhideWhenUsed/>
    <w:pPr>
      <w:spacing w:after="100" w:line="259" w:lineRule="auto"/>
      <w:ind w:left="1320"/>
    </w:pPr>
    <w:rPr>
      <w:rFonts w:ascii="Calibri" w:eastAsia="Calibri" w:hAnsi="Calibri" w:cs="Calibri"/>
    </w:rPr>
  </w:style>
  <w:style w:type="paragraph" w:styleId="TOC8">
    <w:name w:val="toc 8"/>
    <w:basedOn w:val="Normal"/>
    <w:next w:val="Normal"/>
    <w:uiPriority w:val="39"/>
    <w:unhideWhenUsed/>
    <w:pPr>
      <w:spacing w:after="100" w:line="259" w:lineRule="auto"/>
      <w:ind w:left="1540"/>
    </w:pPr>
    <w:rPr>
      <w:rFonts w:ascii="Calibri" w:eastAsia="Calibri" w:hAnsi="Calibri" w:cs="Calibri"/>
    </w:rPr>
  </w:style>
  <w:style w:type="paragraph" w:styleId="TOC9">
    <w:name w:val="toc 9"/>
    <w:basedOn w:val="Normal"/>
    <w:next w:val="Normal"/>
    <w:uiPriority w:val="39"/>
    <w:unhideWhenUsed/>
    <w:pPr>
      <w:spacing w:after="100" w:line="259" w:lineRule="auto"/>
      <w:ind w:left="1760"/>
    </w:pPr>
    <w:rPr>
      <w:rFonts w:ascii="Calibri" w:eastAsia="Calibri" w:hAnsi="Calibri" w:cs="Calibri"/>
    </w:rPr>
  </w:style>
  <w:style w:type="table" w:customStyle="1" w:styleId="TableGrid1">
    <w:name w:val="Table Grid1"/>
    <w:basedOn w:val="TableNormal"/>
    <w:next w:val="TableGrid"/>
    <w:uiPriority w:val="59"/>
    <w:rPr>
      <w:rFonts w:eastAsia="Calibri" w:cs="Calibri"/>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lid-translation">
    <w:name w:val="tlid-translation"/>
    <w:basedOn w:val="DefaultParagraphFont"/>
  </w:style>
  <w:style w:type="character" w:customStyle="1" w:styleId="fontstyle01">
    <w:name w:val="fontstyle01"/>
    <w:basedOn w:val="DefaultParagraphFont"/>
    <w:rPr>
      <w:rFonts w:ascii="Garamond" w:hAnsi="Garamond" w:hint="default"/>
      <w:b w:val="0"/>
      <w:bCs w:val="0"/>
      <w:i w:val="0"/>
      <w:iCs w:val="0"/>
      <w:color w:val="000000"/>
      <w:sz w:val="24"/>
      <w:szCs w:val="24"/>
    </w:rPr>
  </w:style>
  <w:style w:type="character" w:customStyle="1" w:styleId="hps">
    <w:name w:val="hps"/>
  </w:style>
  <w:style w:type="character" w:styleId="Emphasis">
    <w:name w:val="Emphasis"/>
    <w:uiPriority w:val="20"/>
    <w:qFormat/>
    <w:rPr>
      <w:i/>
      <w:iCs/>
    </w:rPr>
  </w:style>
  <w:style w:type="paragraph" w:customStyle="1" w:styleId="ListBullet1">
    <w:name w:val="List Bullet 1"/>
    <w:basedOn w:val="Normal"/>
    <w:qFormat/>
    <w:pPr>
      <w:numPr>
        <w:numId w:val="1"/>
      </w:numPr>
      <w:spacing w:before="120" w:after="120" w:line="240" w:lineRule="auto"/>
      <w:contextualSpacing/>
    </w:pPr>
    <w:rPr>
      <w:rFonts w:ascii="Calibri Light" w:eastAsia="Times New Roman" w:hAnsi="Calibri Light"/>
      <w:sz w:val="24"/>
      <w:szCs w:val="20"/>
    </w:rPr>
  </w:style>
  <w:style w:type="paragraph" w:customStyle="1" w:styleId="TableParagraph">
    <w:name w:val="Table Paragraph"/>
    <w:basedOn w:val="Normal"/>
    <w:uiPriority w:val="1"/>
    <w:qFormat/>
    <w:pPr>
      <w:widowControl w:val="0"/>
      <w:spacing w:after="0" w:line="240" w:lineRule="auto"/>
    </w:pPr>
    <w:rPr>
      <w:rFonts w:eastAsia="Times New Roman"/>
      <w:lang w:bidi="en-US"/>
    </w:rPr>
  </w:style>
  <w:style w:type="character" w:customStyle="1" w:styleId="Heading3Char1">
    <w:name w:val="Heading 3 Char1"/>
    <w:basedOn w:val="DefaultParagraphFont"/>
    <w:uiPriority w:val="9"/>
    <w:rPr>
      <w:rFonts w:ascii="Calibri Light" w:eastAsia="Calibri Light" w:hAnsi="Calibri Light" w:cs="Calibri Light"/>
      <w:b/>
      <w:color w:val="000000" w:themeColor="text1"/>
      <w:szCs w:val="24"/>
      <w:lang w:val="sq-AL" w:eastAsia="de-DE"/>
    </w:rPr>
  </w:style>
  <w:style w:type="character" w:customStyle="1" w:styleId="FootnoteTextChar1">
    <w:name w:val="Footnote Text Char1"/>
    <w:basedOn w:val="DefaultParagraphFont"/>
    <w:uiPriority w:val="99"/>
    <w:rPr>
      <w:rFonts w:eastAsia="Calibri"/>
      <w:sz w:val="20"/>
      <w:szCs w:val="20"/>
      <w:lang w:val="sq-AL" w:eastAsia="de-DE"/>
    </w:rPr>
  </w:style>
  <w:style w:type="paragraph" w:customStyle="1" w:styleId="KeinAbsatzformat">
    <w:name w:val="[Kein Absatzformat]"/>
    <w:link w:val="KeinAbsatzformatChar"/>
    <w:rsid w:val="00D90E78"/>
    <w:pPr>
      <w:widowControl w:val="0"/>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line="288" w:lineRule="auto"/>
      <w:textAlignment w:val="center"/>
    </w:pPr>
    <w:rPr>
      <w:rFonts w:ascii="MinionPro-Regular" w:eastAsiaTheme="minorEastAsia" w:hAnsi="MinionPro-Regular" w:cs="MinionPro-Regular"/>
      <w:color w:val="000000"/>
      <w:sz w:val="24"/>
      <w:szCs w:val="24"/>
      <w:lang w:eastAsia="de-DE"/>
    </w:rPr>
  </w:style>
  <w:style w:type="paragraph" w:customStyle="1" w:styleId="ECStandard">
    <w:name w:val="EC Standard"/>
    <w:basedOn w:val="Location"/>
    <w:qFormat/>
    <w:rsid w:val="00D90E78"/>
    <w:pPr>
      <w:jc w:val="both"/>
    </w:pPr>
    <w:rPr>
      <w:noProof/>
    </w:rPr>
  </w:style>
  <w:style w:type="paragraph" w:customStyle="1" w:styleId="Location">
    <w:name w:val="Location"/>
    <w:aliases w:val="Date1,Date11"/>
    <w:basedOn w:val="KeinAbsatzformat"/>
    <w:link w:val="LocationChar"/>
    <w:qFormat/>
    <w:rsid w:val="00D90E78"/>
    <w:pPr>
      <w:tabs>
        <w:tab w:val="right" w:pos="9340"/>
      </w:tabs>
    </w:pPr>
    <w:rPr>
      <w:rFonts w:ascii="Arial" w:hAnsi="Arial" w:cs="ArialMT"/>
      <w:sz w:val="22"/>
      <w:szCs w:val="22"/>
    </w:rPr>
  </w:style>
  <w:style w:type="paragraph" w:customStyle="1" w:styleId="Number">
    <w:name w:val="Number"/>
    <w:basedOn w:val="KeinAbsatzformat"/>
    <w:qFormat/>
    <w:rsid w:val="00D90E78"/>
    <w:pPr>
      <w:tabs>
        <w:tab w:val="right" w:pos="9340"/>
      </w:tabs>
    </w:pPr>
    <w:rPr>
      <w:rFonts w:ascii="Arial" w:hAnsi="Arial" w:cs="ArialMT"/>
      <w:sz w:val="16"/>
      <w:szCs w:val="16"/>
    </w:rPr>
  </w:style>
  <w:style w:type="character" w:styleId="PageNumber">
    <w:name w:val="page number"/>
    <w:basedOn w:val="DefaultParagraphFont"/>
    <w:uiPriority w:val="99"/>
    <w:semiHidden/>
    <w:unhideWhenUsed/>
    <w:rsid w:val="00D90E78"/>
    <w:rPr>
      <w:rFonts w:ascii="Arial" w:hAnsi="Arial"/>
    </w:rPr>
  </w:style>
  <w:style w:type="paragraph" w:customStyle="1" w:styleId="Pagina">
    <w:name w:val="Pagina"/>
    <w:basedOn w:val="Normal"/>
    <w:autoRedefine/>
    <w:qFormat/>
    <w:rsid w:val="00D90E78"/>
    <w:pPr>
      <w:pBdr>
        <w:top w:val="none" w:sz="0" w:space="0" w:color="auto"/>
        <w:left w:val="none" w:sz="0" w:space="0" w:color="auto"/>
        <w:bottom w:val="none" w:sz="0" w:space="0" w:color="auto"/>
        <w:right w:val="none" w:sz="0" w:space="0" w:color="auto"/>
        <w:between w:val="none" w:sz="0" w:space="0" w:color="auto"/>
      </w:pBdr>
      <w:spacing w:before="120" w:after="120" w:line="240" w:lineRule="auto"/>
    </w:pPr>
    <w:rPr>
      <w:rFonts w:ascii="Arial" w:eastAsiaTheme="minorEastAsia" w:hAnsi="Arial" w:cstheme="minorBidi"/>
      <w:noProof/>
      <w:color w:val="20266E"/>
      <w:sz w:val="36"/>
      <w:szCs w:val="36"/>
      <w:lang w:eastAsia="de-DE"/>
    </w:rPr>
  </w:style>
  <w:style w:type="paragraph" w:customStyle="1" w:styleId="Pagina2">
    <w:name w:val="Pagina2"/>
    <w:basedOn w:val="Normal"/>
    <w:autoRedefine/>
    <w:qFormat/>
    <w:rsid w:val="00D90E78"/>
    <w:pPr>
      <w:pBdr>
        <w:top w:val="none" w:sz="0" w:space="0" w:color="auto"/>
        <w:left w:val="none" w:sz="0" w:space="0" w:color="auto"/>
        <w:bottom w:val="none" w:sz="0" w:space="0" w:color="auto"/>
        <w:right w:val="none" w:sz="0" w:space="0" w:color="auto"/>
        <w:between w:val="none" w:sz="0" w:space="0" w:color="auto"/>
      </w:pBdr>
      <w:spacing w:before="120" w:after="120" w:line="240" w:lineRule="auto"/>
      <w:jc w:val="right"/>
    </w:pPr>
    <w:rPr>
      <w:rFonts w:asciiTheme="minorHAnsi" w:eastAsiaTheme="minorEastAsia" w:hAnsiTheme="minorHAnsi" w:cstheme="minorBidi"/>
      <w:noProof/>
      <w:color w:val="20266E"/>
      <w:sz w:val="24"/>
      <w:szCs w:val="24"/>
      <w:lang w:eastAsia="de-DE"/>
    </w:rPr>
  </w:style>
  <w:style w:type="character" w:customStyle="1" w:styleId="Feloldatlanmegemlts1">
    <w:name w:val="Feloldatlan megemlítés1"/>
    <w:basedOn w:val="DefaultParagraphFont"/>
    <w:uiPriority w:val="99"/>
    <w:semiHidden/>
    <w:unhideWhenUsed/>
    <w:rsid w:val="00D90E78"/>
    <w:rPr>
      <w:color w:val="605E5C"/>
      <w:shd w:val="clear" w:color="auto" w:fill="E1DFDD"/>
    </w:rPr>
  </w:style>
  <w:style w:type="paragraph" w:styleId="BodyText">
    <w:name w:val="Body Text"/>
    <w:basedOn w:val="Normal"/>
    <w:link w:val="BodyTextChar"/>
    <w:uiPriority w:val="1"/>
    <w:qFormat/>
    <w:rsid w:val="00D90E78"/>
    <w:pPr>
      <w:widowControl w:val="0"/>
      <w:pBdr>
        <w:top w:val="none" w:sz="0" w:space="0" w:color="auto"/>
        <w:left w:val="none" w:sz="0" w:space="0" w:color="auto"/>
        <w:bottom w:val="none" w:sz="0" w:space="0" w:color="auto"/>
        <w:right w:val="none" w:sz="0" w:space="0" w:color="auto"/>
        <w:between w:val="none" w:sz="0" w:space="0" w:color="auto"/>
      </w:pBdr>
      <w:autoSpaceDE w:val="0"/>
      <w:autoSpaceDN w:val="0"/>
      <w:spacing w:after="0" w:line="240" w:lineRule="auto"/>
    </w:pPr>
    <w:rPr>
      <w:rFonts w:ascii="Yu Gothic" w:eastAsia="Yu Gothic" w:hAnsi="Yu Gothic" w:cs="Yu Gothic"/>
      <w:sz w:val="20"/>
      <w:szCs w:val="20"/>
      <w:lang w:bidi="en-US"/>
    </w:rPr>
  </w:style>
  <w:style w:type="character" w:customStyle="1" w:styleId="BodyTextChar">
    <w:name w:val="Body Text Char"/>
    <w:basedOn w:val="DefaultParagraphFont"/>
    <w:link w:val="BodyText"/>
    <w:uiPriority w:val="1"/>
    <w:rsid w:val="00D90E78"/>
    <w:rPr>
      <w:rFonts w:ascii="Yu Gothic" w:eastAsia="Yu Gothic" w:hAnsi="Yu Gothic" w:cs="Yu Gothic"/>
      <w:szCs w:val="20"/>
      <w:lang w:bidi="en-US"/>
    </w:rPr>
  </w:style>
  <w:style w:type="table" w:customStyle="1" w:styleId="TableNormal1">
    <w:name w:val="Table Normal1"/>
    <w:uiPriority w:val="2"/>
    <w:semiHidden/>
    <w:unhideWhenUsed/>
    <w:qFormat/>
    <w:rsid w:val="00D90E78"/>
    <w:pPr>
      <w:widowControl w:val="0"/>
      <w:pBdr>
        <w:top w:val="none" w:sz="0" w:space="0" w:color="auto"/>
        <w:left w:val="none" w:sz="0" w:space="0" w:color="auto"/>
        <w:bottom w:val="none" w:sz="0" w:space="0" w:color="auto"/>
        <w:right w:val="none" w:sz="0" w:space="0" w:color="auto"/>
        <w:between w:val="none" w:sz="0" w:space="0" w:color="auto"/>
      </w:pBdr>
      <w:autoSpaceDE w:val="0"/>
      <w:autoSpaceDN w:val="0"/>
    </w:pPr>
    <w:rPr>
      <w:rFonts w:asciiTheme="minorHAnsi" w:eastAsiaTheme="minorHAnsi" w:hAnsiTheme="minorHAnsi" w:cstheme="minorBidi"/>
      <w:sz w:val="22"/>
    </w:rPr>
    <w:tblPr>
      <w:tblInd w:w="0" w:type="dxa"/>
      <w:tblCellMar>
        <w:top w:w="0" w:type="dxa"/>
        <w:left w:w="0" w:type="dxa"/>
        <w:bottom w:w="0" w:type="dxa"/>
        <w:right w:w="0" w:type="dxa"/>
      </w:tblCellMar>
    </w:tblPr>
  </w:style>
  <w:style w:type="table" w:customStyle="1" w:styleId="TableGrid2">
    <w:name w:val="Table Grid2"/>
    <w:basedOn w:val="TableNormal"/>
    <w:next w:val="TableGrid"/>
    <w:uiPriority w:val="59"/>
    <w:rsid w:val="00D90E78"/>
    <w:pPr>
      <w:pBdr>
        <w:top w:val="none" w:sz="0" w:space="0" w:color="auto"/>
        <w:left w:val="none" w:sz="0" w:space="0" w:color="auto"/>
        <w:bottom w:val="none" w:sz="0" w:space="0" w:color="auto"/>
        <w:right w:val="none" w:sz="0" w:space="0" w:color="auto"/>
        <w:between w:val="none" w:sz="0" w:space="0" w:color="auto"/>
      </w:pBdr>
    </w:pPr>
    <w:rPr>
      <w:rFonts w:asciiTheme="minorHAnsi" w:eastAsiaTheme="minorHAnsi" w:hAnsiTheme="minorHAnsi" w:cstheme="minorBid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D90E78"/>
    <w:pPr>
      <w:pBdr>
        <w:top w:val="none" w:sz="0" w:space="0" w:color="auto"/>
        <w:left w:val="none" w:sz="0" w:space="0" w:color="auto"/>
        <w:bottom w:val="none" w:sz="0" w:space="0" w:color="auto"/>
        <w:right w:val="none" w:sz="0" w:space="0" w:color="auto"/>
        <w:between w:val="none" w:sz="0" w:space="0" w:color="auto"/>
      </w:pBdr>
    </w:pPr>
    <w:rPr>
      <w:rFonts w:asciiTheme="minorHAnsi" w:eastAsiaTheme="minorHAnsi" w:hAnsiTheme="minorHAnsi" w:cstheme="minorBid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own">
    <w:name w:val="Header own"/>
    <w:basedOn w:val="Header"/>
    <w:link w:val="HeaderownChar"/>
    <w:qFormat/>
    <w:rsid w:val="00D90E78"/>
    <w:pPr>
      <w:pBdr>
        <w:top w:val="none" w:sz="0" w:space="0" w:color="auto"/>
        <w:left w:val="none" w:sz="0" w:space="0" w:color="auto"/>
        <w:bottom w:val="none" w:sz="0" w:space="0" w:color="auto"/>
        <w:right w:val="none" w:sz="0" w:space="0" w:color="auto"/>
        <w:between w:val="none" w:sz="0" w:space="0" w:color="auto"/>
      </w:pBdr>
      <w:tabs>
        <w:tab w:val="clear" w:pos="4680"/>
        <w:tab w:val="clear" w:pos="9360"/>
        <w:tab w:val="center" w:pos="4536"/>
        <w:tab w:val="right" w:pos="9072"/>
      </w:tabs>
    </w:pPr>
    <w:rPr>
      <w:rFonts w:asciiTheme="minorHAnsi" w:eastAsiaTheme="minorEastAsia" w:hAnsiTheme="minorHAnsi" w:cstheme="minorBidi"/>
      <w:color w:val="2F5496" w:themeColor="accent1" w:themeShade="BF"/>
      <w:sz w:val="24"/>
      <w:szCs w:val="24"/>
      <w:lang w:eastAsia="de-DE"/>
    </w:rPr>
  </w:style>
  <w:style w:type="character" w:customStyle="1" w:styleId="HeaderownChar">
    <w:name w:val="Header own Char"/>
    <w:basedOn w:val="HeaderChar"/>
    <w:link w:val="Headerown"/>
    <w:rsid w:val="00D90E78"/>
    <w:rPr>
      <w:rFonts w:asciiTheme="minorHAnsi" w:eastAsiaTheme="minorEastAsia" w:hAnsiTheme="minorHAnsi" w:cstheme="minorBidi"/>
      <w:color w:val="2F5496" w:themeColor="accent1" w:themeShade="BF"/>
      <w:sz w:val="24"/>
      <w:szCs w:val="24"/>
      <w:lang w:val="sq-AL" w:eastAsia="de-DE"/>
    </w:rPr>
  </w:style>
  <w:style w:type="character" w:styleId="SubtleEmphasis">
    <w:name w:val="Subtle Emphasis"/>
    <w:basedOn w:val="DefaultParagraphFont"/>
    <w:uiPriority w:val="19"/>
    <w:qFormat/>
    <w:rsid w:val="00D90E78"/>
    <w:rPr>
      <w:i/>
      <w:iCs/>
      <w:color w:val="404040" w:themeColor="text1" w:themeTint="BF"/>
    </w:rPr>
  </w:style>
  <w:style w:type="paragraph" w:customStyle="1" w:styleId="Normal1">
    <w:name w:val="Normal1"/>
    <w:basedOn w:val="Normal"/>
    <w:rsid w:val="00D90E78"/>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eastAsia="Times New Roman"/>
      <w:sz w:val="24"/>
      <w:szCs w:val="24"/>
    </w:rPr>
  </w:style>
  <w:style w:type="character" w:customStyle="1" w:styleId="link-disabled">
    <w:name w:val="link-disabled"/>
    <w:basedOn w:val="DefaultParagraphFont"/>
    <w:rsid w:val="00D90E78"/>
  </w:style>
  <w:style w:type="paragraph" w:customStyle="1" w:styleId="CitaviBibliographyEntry">
    <w:name w:val="Citavi Bibliography Entry"/>
    <w:basedOn w:val="Normal"/>
    <w:link w:val="CitaviBibliographyEntryZchn"/>
    <w:uiPriority w:val="99"/>
    <w:rsid w:val="00D90E78"/>
    <w:pPr>
      <w:pBdr>
        <w:top w:val="none" w:sz="0" w:space="0" w:color="auto"/>
        <w:left w:val="none" w:sz="0" w:space="0" w:color="auto"/>
        <w:bottom w:val="none" w:sz="0" w:space="0" w:color="auto"/>
        <w:right w:val="none" w:sz="0" w:space="0" w:color="auto"/>
        <w:between w:val="none" w:sz="0" w:space="0" w:color="auto"/>
      </w:pBdr>
      <w:spacing w:after="120" w:line="240" w:lineRule="auto"/>
    </w:pPr>
    <w:rPr>
      <w:rFonts w:asciiTheme="minorHAnsi" w:eastAsiaTheme="minorEastAsia" w:hAnsiTheme="minorHAnsi" w:cstheme="minorBidi"/>
      <w:sz w:val="24"/>
      <w:szCs w:val="24"/>
      <w:lang w:eastAsia="de-DE"/>
    </w:rPr>
  </w:style>
  <w:style w:type="character" w:customStyle="1" w:styleId="CitaviBibliographyEntryZchn">
    <w:name w:val="Citavi Bibliography Entry Zchn"/>
    <w:basedOn w:val="DefaultParagraphFont"/>
    <w:link w:val="CitaviBibliographyEntry"/>
    <w:uiPriority w:val="99"/>
    <w:rsid w:val="00D90E78"/>
    <w:rPr>
      <w:rFonts w:asciiTheme="minorHAnsi" w:eastAsiaTheme="minorEastAsia" w:hAnsiTheme="minorHAnsi" w:cstheme="minorBidi"/>
      <w:sz w:val="24"/>
      <w:szCs w:val="24"/>
      <w:lang w:val="sq-AL" w:eastAsia="de-DE"/>
    </w:rPr>
  </w:style>
  <w:style w:type="paragraph" w:customStyle="1" w:styleId="CitaviBibliographyHeading">
    <w:name w:val="Citavi Bibliography Heading"/>
    <w:basedOn w:val="Heading1"/>
    <w:link w:val="CitaviBibliographyHeadingZchn"/>
    <w:uiPriority w:val="99"/>
    <w:rsid w:val="00D90E78"/>
    <w:pPr>
      <w:numPr>
        <w:numId w:val="2"/>
      </w:numPr>
      <w:pBdr>
        <w:top w:val="none" w:sz="0" w:space="0" w:color="auto"/>
        <w:left w:val="none" w:sz="0" w:space="0" w:color="auto"/>
        <w:bottom w:val="none" w:sz="0" w:space="0" w:color="auto"/>
        <w:right w:val="none" w:sz="0" w:space="0" w:color="auto"/>
        <w:between w:val="none" w:sz="0" w:space="0" w:color="auto"/>
      </w:pBdr>
      <w:spacing w:line="240" w:lineRule="auto"/>
    </w:pPr>
    <w:rPr>
      <w:rFonts w:asciiTheme="majorHAnsi" w:eastAsiaTheme="majorEastAsia" w:hAnsiTheme="majorHAnsi" w:cstheme="majorBidi"/>
      <w:b/>
      <w:caps/>
      <w:color w:val="2F5496" w:themeColor="accent1" w:themeShade="BF"/>
      <w:lang w:eastAsia="de-DE"/>
    </w:rPr>
  </w:style>
  <w:style w:type="character" w:customStyle="1" w:styleId="CitaviBibliographyHeadingZchn">
    <w:name w:val="Citavi Bibliography Heading Zchn"/>
    <w:basedOn w:val="DefaultParagraphFont"/>
    <w:link w:val="CitaviBibliographyHeading"/>
    <w:uiPriority w:val="99"/>
    <w:rsid w:val="00D90E78"/>
    <w:rPr>
      <w:rFonts w:asciiTheme="majorHAnsi" w:eastAsiaTheme="majorEastAsia" w:hAnsiTheme="majorHAnsi" w:cstheme="majorBidi"/>
      <w:b/>
      <w:caps/>
      <w:color w:val="2F5496" w:themeColor="accent1" w:themeShade="BF"/>
      <w:sz w:val="32"/>
      <w:szCs w:val="32"/>
      <w:lang w:eastAsia="de-DE"/>
    </w:rPr>
  </w:style>
  <w:style w:type="paragraph" w:customStyle="1" w:styleId="CitaviChapterBibliographyHeading">
    <w:name w:val="Citavi Chapter Bibliography Heading"/>
    <w:basedOn w:val="Heading2"/>
    <w:link w:val="CitaviChapterBibliographyHeadingZchn"/>
    <w:uiPriority w:val="99"/>
    <w:rsid w:val="00D90E78"/>
    <w:pPr>
      <w:pBdr>
        <w:top w:val="none" w:sz="0" w:space="0" w:color="auto"/>
        <w:left w:val="none" w:sz="0" w:space="0" w:color="auto"/>
        <w:bottom w:val="none" w:sz="0" w:space="0" w:color="auto"/>
        <w:right w:val="none" w:sz="0" w:space="0" w:color="auto"/>
        <w:between w:val="none" w:sz="0" w:space="0" w:color="auto"/>
      </w:pBdr>
      <w:spacing w:line="240" w:lineRule="auto"/>
      <w:ind w:left="720" w:hanging="360"/>
    </w:pPr>
    <w:rPr>
      <w:rFonts w:asciiTheme="majorHAnsi" w:eastAsiaTheme="majorEastAsia" w:hAnsiTheme="majorHAnsi" w:cstheme="majorBidi"/>
      <w:b/>
      <w:color w:val="2F5496" w:themeColor="accent1" w:themeShade="BF"/>
      <w:sz w:val="28"/>
    </w:rPr>
  </w:style>
  <w:style w:type="character" w:customStyle="1" w:styleId="CitaviChapterBibliographyHeadingZchn">
    <w:name w:val="Citavi Chapter Bibliography Heading Zchn"/>
    <w:basedOn w:val="DefaultParagraphFont"/>
    <w:link w:val="CitaviChapterBibliographyHeading"/>
    <w:uiPriority w:val="99"/>
    <w:rsid w:val="00D90E78"/>
    <w:rPr>
      <w:rFonts w:asciiTheme="majorHAnsi" w:eastAsiaTheme="majorEastAsia" w:hAnsiTheme="majorHAnsi" w:cstheme="majorBidi"/>
      <w:b/>
      <w:color w:val="2F5496" w:themeColor="accent1" w:themeShade="BF"/>
      <w:sz w:val="28"/>
      <w:szCs w:val="24"/>
      <w:lang w:eastAsia="de-DE"/>
    </w:rPr>
  </w:style>
  <w:style w:type="paragraph" w:customStyle="1" w:styleId="CitaviBibliographySubheading1">
    <w:name w:val="Citavi Bibliography Subheading 1"/>
    <w:basedOn w:val="Heading2"/>
    <w:link w:val="CitaviBibliographySubheading1Zchn"/>
    <w:uiPriority w:val="99"/>
    <w:rsid w:val="00D90E78"/>
    <w:pPr>
      <w:pBdr>
        <w:top w:val="none" w:sz="0" w:space="0" w:color="auto"/>
        <w:left w:val="none" w:sz="0" w:space="0" w:color="auto"/>
        <w:bottom w:val="none" w:sz="0" w:space="0" w:color="auto"/>
        <w:right w:val="none" w:sz="0" w:space="0" w:color="auto"/>
        <w:between w:val="none" w:sz="0" w:space="0" w:color="auto"/>
      </w:pBdr>
      <w:spacing w:line="240" w:lineRule="auto"/>
      <w:ind w:left="1080" w:hanging="360"/>
      <w:outlineLvl w:val="9"/>
    </w:pPr>
    <w:rPr>
      <w:rFonts w:asciiTheme="majorHAnsi" w:eastAsiaTheme="majorEastAsia" w:hAnsiTheme="majorHAnsi" w:cstheme="majorBidi"/>
      <w:b/>
      <w:color w:val="2F5496" w:themeColor="accent1" w:themeShade="BF"/>
      <w:sz w:val="28"/>
    </w:rPr>
  </w:style>
  <w:style w:type="character" w:customStyle="1" w:styleId="CitaviBibliographySubheading1Zchn">
    <w:name w:val="Citavi Bibliography Subheading 1 Zchn"/>
    <w:basedOn w:val="DefaultParagraphFont"/>
    <w:link w:val="CitaviBibliographySubheading1"/>
    <w:uiPriority w:val="99"/>
    <w:rsid w:val="00D90E78"/>
    <w:rPr>
      <w:rFonts w:asciiTheme="majorHAnsi" w:eastAsiaTheme="majorEastAsia" w:hAnsiTheme="majorHAnsi" w:cstheme="majorBidi"/>
      <w:b/>
      <w:color w:val="2F5496" w:themeColor="accent1" w:themeShade="BF"/>
      <w:sz w:val="28"/>
      <w:szCs w:val="26"/>
      <w:lang w:val="sq-AL" w:eastAsia="de-DE"/>
    </w:rPr>
  </w:style>
  <w:style w:type="paragraph" w:customStyle="1" w:styleId="CitaviBibliographySubheading2">
    <w:name w:val="Citavi Bibliography Subheading 2"/>
    <w:basedOn w:val="Heading3"/>
    <w:link w:val="CitaviBibliographySubheading2Zchn"/>
    <w:uiPriority w:val="99"/>
    <w:rsid w:val="00D90E78"/>
    <w:pPr>
      <w:ind w:hanging="360"/>
      <w:outlineLvl w:val="9"/>
    </w:pPr>
    <w:rPr>
      <w:rFonts w:asciiTheme="majorHAnsi" w:eastAsiaTheme="majorEastAsia" w:hAnsiTheme="majorHAnsi" w:cstheme="majorBidi"/>
      <w:b w:val="0"/>
      <w:color w:val="2F5496" w:themeColor="accent1" w:themeShade="BF"/>
      <w:lang w:eastAsia="de-DE"/>
    </w:rPr>
  </w:style>
  <w:style w:type="character" w:customStyle="1" w:styleId="CitaviBibliographySubheading2Zchn">
    <w:name w:val="Citavi Bibliography Subheading 2 Zchn"/>
    <w:basedOn w:val="DefaultParagraphFont"/>
    <w:link w:val="CitaviBibliographySubheading2"/>
    <w:uiPriority w:val="99"/>
    <w:rsid w:val="00D90E78"/>
    <w:rPr>
      <w:rFonts w:asciiTheme="majorHAnsi" w:eastAsiaTheme="majorEastAsia" w:hAnsiTheme="majorHAnsi" w:cstheme="majorBidi"/>
      <w:b/>
      <w:color w:val="2F5496" w:themeColor="accent1" w:themeShade="BF"/>
      <w:sz w:val="24"/>
      <w:szCs w:val="24"/>
      <w:lang w:val="sq-AL" w:eastAsia="de-DE"/>
    </w:rPr>
  </w:style>
  <w:style w:type="paragraph" w:customStyle="1" w:styleId="CitaviBibliographySubheading3">
    <w:name w:val="Citavi Bibliography Subheading 3"/>
    <w:basedOn w:val="Heading4"/>
    <w:link w:val="CitaviBibliographySubheading3Zchn"/>
    <w:uiPriority w:val="99"/>
    <w:rsid w:val="00D90E78"/>
    <w:pPr>
      <w:pBdr>
        <w:top w:val="none" w:sz="0" w:space="0" w:color="auto"/>
        <w:left w:val="none" w:sz="0" w:space="0" w:color="auto"/>
        <w:bottom w:val="none" w:sz="0" w:space="0" w:color="auto"/>
        <w:right w:val="none" w:sz="0" w:space="0" w:color="auto"/>
        <w:between w:val="none" w:sz="0" w:space="0" w:color="auto"/>
      </w:pBdr>
      <w:spacing w:line="240" w:lineRule="auto"/>
      <w:outlineLvl w:val="9"/>
    </w:pPr>
    <w:rPr>
      <w:rFonts w:asciiTheme="majorHAnsi" w:eastAsiaTheme="majorEastAsia" w:hAnsiTheme="majorHAnsi" w:cstheme="majorBidi"/>
      <w:sz w:val="24"/>
      <w:szCs w:val="24"/>
      <w:lang w:eastAsia="de-DE"/>
    </w:rPr>
  </w:style>
  <w:style w:type="character" w:customStyle="1" w:styleId="CitaviBibliographySubheading3Zchn">
    <w:name w:val="Citavi Bibliography Subheading 3 Zchn"/>
    <w:basedOn w:val="DefaultParagraphFont"/>
    <w:link w:val="CitaviBibliographySubheading3"/>
    <w:uiPriority w:val="99"/>
    <w:rsid w:val="00D90E78"/>
    <w:rPr>
      <w:rFonts w:asciiTheme="majorHAnsi" w:eastAsiaTheme="majorEastAsia" w:hAnsiTheme="majorHAnsi" w:cstheme="majorBidi"/>
      <w:i/>
      <w:iCs/>
      <w:color w:val="2F5496" w:themeColor="accent1" w:themeShade="BF"/>
      <w:sz w:val="24"/>
      <w:szCs w:val="24"/>
      <w:lang w:eastAsia="de-DE"/>
    </w:rPr>
  </w:style>
  <w:style w:type="paragraph" w:customStyle="1" w:styleId="CitaviBibliographySubheading4">
    <w:name w:val="Citavi Bibliography Subheading 4"/>
    <w:basedOn w:val="Heading5"/>
    <w:link w:val="CitaviBibliographySubheading4Zchn"/>
    <w:uiPriority w:val="99"/>
    <w:rsid w:val="00D90E78"/>
    <w:pPr>
      <w:widowControl w:val="0"/>
      <w:pBdr>
        <w:top w:val="none" w:sz="0" w:space="0" w:color="auto"/>
        <w:left w:val="none" w:sz="0" w:space="0" w:color="auto"/>
        <w:bottom w:val="none" w:sz="0" w:space="0" w:color="auto"/>
        <w:right w:val="none" w:sz="0" w:space="0" w:color="auto"/>
        <w:between w:val="none" w:sz="0" w:space="0" w:color="auto"/>
      </w:pBdr>
      <w:autoSpaceDE w:val="0"/>
      <w:autoSpaceDN w:val="0"/>
      <w:spacing w:before="40" w:after="0" w:line="214" w:lineRule="exact"/>
      <w:outlineLvl w:val="9"/>
    </w:pPr>
    <w:rPr>
      <w:b w:val="0"/>
      <w:i/>
      <w:iCs/>
      <w:color w:val="2F5496" w:themeColor="accent1" w:themeShade="BF"/>
      <w:sz w:val="20"/>
      <w:szCs w:val="20"/>
      <w:lang w:bidi="en-US"/>
    </w:rPr>
  </w:style>
  <w:style w:type="character" w:customStyle="1" w:styleId="CitaviBibliographySubheading4Zchn">
    <w:name w:val="Citavi Bibliography Subheading 4 Zchn"/>
    <w:basedOn w:val="DefaultParagraphFont"/>
    <w:link w:val="CitaviBibliographySubheading4"/>
    <w:uiPriority w:val="99"/>
    <w:rsid w:val="00D90E78"/>
    <w:rPr>
      <w:rFonts w:ascii="Arial" w:eastAsia="Arial" w:hAnsi="Arial" w:cs="Arial"/>
      <w:bCs/>
      <w:i/>
      <w:iCs/>
      <w:color w:val="2F5496" w:themeColor="accent1" w:themeShade="BF"/>
      <w:szCs w:val="20"/>
      <w:lang w:bidi="en-US"/>
    </w:rPr>
  </w:style>
  <w:style w:type="paragraph" w:customStyle="1" w:styleId="CitaviBibliographySubheading5">
    <w:name w:val="Citavi Bibliography Subheading 5"/>
    <w:basedOn w:val="Heading6"/>
    <w:link w:val="CitaviBibliographySubheading5Zchn"/>
    <w:uiPriority w:val="99"/>
    <w:rsid w:val="00D90E78"/>
    <w:pPr>
      <w:pBdr>
        <w:top w:val="none" w:sz="0" w:space="0" w:color="auto"/>
        <w:left w:val="none" w:sz="0" w:space="0" w:color="auto"/>
        <w:bottom w:val="none" w:sz="0" w:space="0" w:color="auto"/>
        <w:right w:val="none" w:sz="0" w:space="0" w:color="auto"/>
        <w:between w:val="none" w:sz="0" w:space="0" w:color="auto"/>
      </w:pBdr>
      <w:spacing w:before="40" w:after="0" w:line="240" w:lineRule="auto"/>
      <w:outlineLvl w:val="9"/>
    </w:pPr>
    <w:rPr>
      <w:rFonts w:asciiTheme="majorHAnsi" w:eastAsiaTheme="majorEastAsia" w:hAnsiTheme="majorHAnsi" w:cstheme="majorBidi"/>
      <w:b w:val="0"/>
      <w:bCs w:val="0"/>
      <w:color w:val="1F3763" w:themeColor="accent1" w:themeShade="7F"/>
      <w:sz w:val="24"/>
      <w:szCs w:val="24"/>
      <w:lang w:eastAsia="de-DE"/>
    </w:rPr>
  </w:style>
  <w:style w:type="character" w:customStyle="1" w:styleId="CitaviBibliographySubheading5Zchn">
    <w:name w:val="Citavi Bibliography Subheading 5 Zchn"/>
    <w:basedOn w:val="DefaultParagraphFont"/>
    <w:link w:val="CitaviBibliographySubheading5"/>
    <w:uiPriority w:val="99"/>
    <w:rsid w:val="00D90E78"/>
    <w:rPr>
      <w:rFonts w:asciiTheme="majorHAnsi" w:eastAsiaTheme="majorEastAsia" w:hAnsiTheme="majorHAnsi" w:cstheme="majorBidi"/>
      <w:color w:val="1F3763" w:themeColor="accent1" w:themeShade="7F"/>
      <w:sz w:val="24"/>
      <w:szCs w:val="24"/>
      <w:lang w:eastAsia="de-DE"/>
    </w:rPr>
  </w:style>
  <w:style w:type="paragraph" w:customStyle="1" w:styleId="CitaviBibliographySubheading6">
    <w:name w:val="Citavi Bibliography Subheading 6"/>
    <w:basedOn w:val="Heading7"/>
    <w:link w:val="CitaviBibliographySubheading6Zchn"/>
    <w:uiPriority w:val="99"/>
    <w:rsid w:val="00D90E78"/>
    <w:pPr>
      <w:pBdr>
        <w:top w:val="none" w:sz="0" w:space="0" w:color="auto"/>
        <w:left w:val="none" w:sz="0" w:space="0" w:color="auto"/>
        <w:bottom w:val="none" w:sz="0" w:space="0" w:color="auto"/>
        <w:right w:val="none" w:sz="0" w:space="0" w:color="auto"/>
        <w:between w:val="none" w:sz="0" w:space="0" w:color="auto"/>
      </w:pBdr>
      <w:spacing w:before="40" w:after="0" w:line="240" w:lineRule="auto"/>
      <w:outlineLvl w:val="9"/>
    </w:pPr>
    <w:rPr>
      <w:rFonts w:asciiTheme="majorHAnsi" w:eastAsiaTheme="majorEastAsia" w:hAnsiTheme="majorHAnsi" w:cstheme="majorBidi"/>
      <w:b w:val="0"/>
      <w:bCs w:val="0"/>
      <w:color w:val="1F3763" w:themeColor="accent1" w:themeShade="7F"/>
      <w:sz w:val="24"/>
      <w:szCs w:val="24"/>
      <w:lang w:eastAsia="de-DE"/>
    </w:rPr>
  </w:style>
  <w:style w:type="character" w:customStyle="1" w:styleId="CitaviBibliographySubheading6Zchn">
    <w:name w:val="Citavi Bibliography Subheading 6 Zchn"/>
    <w:basedOn w:val="DefaultParagraphFont"/>
    <w:link w:val="CitaviBibliographySubheading6"/>
    <w:uiPriority w:val="99"/>
    <w:rsid w:val="00D90E78"/>
    <w:rPr>
      <w:rFonts w:asciiTheme="majorHAnsi" w:eastAsiaTheme="majorEastAsia" w:hAnsiTheme="majorHAnsi" w:cstheme="majorBidi"/>
      <w:i/>
      <w:iCs/>
      <w:color w:val="1F3763" w:themeColor="accent1" w:themeShade="7F"/>
      <w:sz w:val="24"/>
      <w:szCs w:val="24"/>
      <w:lang w:eastAsia="de-DE"/>
    </w:rPr>
  </w:style>
  <w:style w:type="paragraph" w:customStyle="1" w:styleId="CitaviBibliographySubheading7">
    <w:name w:val="Citavi Bibliography Subheading 7"/>
    <w:basedOn w:val="Heading8"/>
    <w:link w:val="CitaviBibliographySubheading7Zchn"/>
    <w:uiPriority w:val="99"/>
    <w:rsid w:val="00D90E78"/>
    <w:pPr>
      <w:numPr>
        <w:numId w:val="2"/>
      </w:numPr>
      <w:pBdr>
        <w:top w:val="none" w:sz="0" w:space="0" w:color="auto"/>
        <w:left w:val="none" w:sz="0" w:space="0" w:color="auto"/>
        <w:bottom w:val="none" w:sz="0" w:space="0" w:color="auto"/>
        <w:right w:val="none" w:sz="0" w:space="0" w:color="auto"/>
        <w:between w:val="none" w:sz="0" w:space="0" w:color="auto"/>
      </w:pBdr>
      <w:spacing w:before="40" w:after="0" w:line="240" w:lineRule="auto"/>
      <w:outlineLvl w:val="9"/>
    </w:pPr>
    <w:rPr>
      <w:rFonts w:asciiTheme="majorHAnsi" w:eastAsiaTheme="majorEastAsia" w:hAnsiTheme="majorHAnsi" w:cstheme="majorBidi"/>
      <w:i w:val="0"/>
      <w:iCs w:val="0"/>
      <w:color w:val="272727" w:themeColor="text1" w:themeTint="D8"/>
      <w:sz w:val="21"/>
      <w:szCs w:val="21"/>
      <w:lang w:eastAsia="de-DE"/>
    </w:rPr>
  </w:style>
  <w:style w:type="character" w:customStyle="1" w:styleId="CitaviBibliographySubheading7Zchn">
    <w:name w:val="Citavi Bibliography Subheading 7 Zchn"/>
    <w:basedOn w:val="DefaultParagraphFont"/>
    <w:link w:val="CitaviBibliographySubheading7"/>
    <w:uiPriority w:val="99"/>
    <w:rsid w:val="00D90E78"/>
    <w:rPr>
      <w:rFonts w:asciiTheme="majorHAnsi" w:eastAsiaTheme="majorEastAsia" w:hAnsiTheme="majorHAnsi" w:cstheme="majorBidi"/>
      <w:color w:val="272727" w:themeColor="text1" w:themeTint="D8"/>
      <w:sz w:val="21"/>
      <w:szCs w:val="21"/>
      <w:lang w:eastAsia="de-DE"/>
    </w:rPr>
  </w:style>
  <w:style w:type="paragraph" w:customStyle="1" w:styleId="CitaviBibliographySubheading8">
    <w:name w:val="Citavi Bibliography Subheading 8"/>
    <w:basedOn w:val="Heading9"/>
    <w:link w:val="CitaviBibliographySubheading8Zchn"/>
    <w:uiPriority w:val="99"/>
    <w:rsid w:val="00D90E78"/>
    <w:pPr>
      <w:numPr>
        <w:numId w:val="2"/>
      </w:numPr>
      <w:pBdr>
        <w:top w:val="none" w:sz="0" w:space="0" w:color="auto"/>
        <w:left w:val="none" w:sz="0" w:space="0" w:color="auto"/>
        <w:bottom w:val="none" w:sz="0" w:space="0" w:color="auto"/>
        <w:right w:val="none" w:sz="0" w:space="0" w:color="auto"/>
        <w:between w:val="none" w:sz="0" w:space="0" w:color="auto"/>
      </w:pBdr>
      <w:spacing w:before="40" w:after="0" w:line="240" w:lineRule="auto"/>
      <w:outlineLvl w:val="9"/>
    </w:pPr>
    <w:rPr>
      <w:rFonts w:asciiTheme="majorHAnsi" w:eastAsiaTheme="majorEastAsia" w:hAnsiTheme="majorHAnsi" w:cstheme="majorBidi"/>
      <w:color w:val="272727" w:themeColor="text1" w:themeTint="D8"/>
      <w:lang w:eastAsia="de-DE"/>
    </w:rPr>
  </w:style>
  <w:style w:type="character" w:customStyle="1" w:styleId="CitaviBibliographySubheading8Zchn">
    <w:name w:val="Citavi Bibliography Subheading 8 Zchn"/>
    <w:basedOn w:val="DefaultParagraphFont"/>
    <w:link w:val="CitaviBibliographySubheading8"/>
    <w:uiPriority w:val="99"/>
    <w:rsid w:val="00D90E78"/>
    <w:rPr>
      <w:rFonts w:asciiTheme="majorHAnsi" w:eastAsiaTheme="majorEastAsia" w:hAnsiTheme="majorHAnsi" w:cstheme="majorBidi"/>
      <w:i/>
      <w:iCs/>
      <w:color w:val="272727" w:themeColor="text1" w:themeTint="D8"/>
      <w:sz w:val="21"/>
      <w:szCs w:val="21"/>
      <w:lang w:eastAsia="de-DE"/>
    </w:rPr>
  </w:style>
  <w:style w:type="table" w:customStyle="1" w:styleId="GridTable5DarkAccent10">
    <w:name w:val="Grid Table 5 Dark Accent 10"/>
    <w:basedOn w:val="TableNormal"/>
    <w:uiPriority w:val="50"/>
    <w:rsid w:val="00D90E78"/>
    <w:pPr>
      <w:pBdr>
        <w:top w:val="none" w:sz="0" w:space="0" w:color="auto"/>
        <w:left w:val="none" w:sz="0" w:space="0" w:color="auto"/>
        <w:bottom w:val="none" w:sz="0" w:space="0" w:color="auto"/>
        <w:right w:val="none" w:sz="0" w:space="0" w:color="auto"/>
        <w:between w:val="none" w:sz="0" w:space="0" w:color="auto"/>
      </w:pBdr>
    </w:pPr>
    <w:rPr>
      <w:rFonts w:asciiTheme="minorHAnsi" w:eastAsiaTheme="minorEastAsia" w:hAnsiTheme="minorHAnsi" w:cstheme="minorBidi"/>
      <w:sz w:val="24"/>
      <w:szCs w:val="24"/>
      <w:lang w:eastAsia="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Text">
    <w:name w:val="Text"/>
    <w:basedOn w:val="Normal"/>
    <w:uiPriority w:val="2"/>
    <w:qFormat/>
    <w:rsid w:val="00D90E78"/>
    <w:pPr>
      <w:pBdr>
        <w:top w:val="none" w:sz="0" w:space="0" w:color="auto"/>
        <w:left w:val="none" w:sz="0" w:space="0" w:color="auto"/>
        <w:bottom w:val="none" w:sz="0" w:space="0" w:color="auto"/>
        <w:right w:val="none" w:sz="0" w:space="0" w:color="auto"/>
        <w:between w:val="none" w:sz="0" w:space="0" w:color="auto"/>
      </w:pBdr>
      <w:spacing w:after="113" w:line="240" w:lineRule="auto"/>
    </w:pPr>
    <w:rPr>
      <w:rFonts w:asciiTheme="minorHAnsi" w:eastAsiaTheme="minorHAnsi" w:hAnsiTheme="minorHAnsi" w:cstheme="minorBidi"/>
      <w:sz w:val="20"/>
      <w:szCs w:val="20"/>
    </w:rPr>
  </w:style>
  <w:style w:type="table" w:customStyle="1" w:styleId="FraunhoferISI1">
    <w:name w:val="Fraunhofer ISI 1"/>
    <w:basedOn w:val="TableNormal"/>
    <w:uiPriority w:val="99"/>
    <w:rsid w:val="00D90E78"/>
    <w:pPr>
      <w:pBdr>
        <w:top w:val="none" w:sz="0" w:space="0" w:color="auto"/>
        <w:left w:val="none" w:sz="0" w:space="0" w:color="auto"/>
        <w:bottom w:val="none" w:sz="0" w:space="0" w:color="auto"/>
        <w:right w:val="none" w:sz="0" w:space="0" w:color="auto"/>
        <w:between w:val="none" w:sz="0" w:space="0" w:color="auto"/>
      </w:pBdr>
      <w:jc w:val="right"/>
    </w:pPr>
    <w:rPr>
      <w:rFonts w:asciiTheme="minorHAnsi" w:eastAsiaTheme="minorHAnsi" w:hAnsiTheme="minorHAnsi" w:cstheme="minorBidi"/>
      <w:szCs w:val="20"/>
    </w:rPr>
    <w:tblPr>
      <w:tblStyleRowBandSize w:val="1"/>
      <w:tblCellMar>
        <w:top w:w="28" w:type="dxa"/>
        <w:left w:w="85" w:type="dxa"/>
        <w:bottom w:w="28" w:type="dxa"/>
        <w:right w:w="85" w:type="dxa"/>
      </w:tblCellMar>
    </w:tblPr>
    <w:tblStylePr w:type="firstRow">
      <w:pPr>
        <w:jc w:val="right"/>
      </w:pPr>
      <w:rPr>
        <w:rFonts w:asciiTheme="minorHAnsi" w:hAnsiTheme="minorHAnsi"/>
        <w:b w:val="0"/>
      </w:rPr>
      <w:tblPr/>
      <w:tcPr>
        <w:shd w:val="clear" w:color="auto" w:fill="C9DBEB"/>
      </w:tcPr>
    </w:tblStylePr>
    <w:tblStylePr w:type="lastRow">
      <w:pPr>
        <w:jc w:val="right"/>
      </w:pPr>
      <w:rPr>
        <w:rFonts w:asciiTheme="minorHAnsi" w:hAnsiTheme="minorHAnsi"/>
      </w:rPr>
      <w:tblPr/>
      <w:tcPr>
        <w:tcBorders>
          <w:top w:val="single" w:sz="4" w:space="0" w:color="44546A" w:themeColor="text2"/>
          <w:bottom w:val="single" w:sz="4" w:space="0" w:color="44546A" w:themeColor="text2"/>
        </w:tcBorders>
      </w:tcPr>
    </w:tblStylePr>
    <w:tblStylePr w:type="firstCol">
      <w:pPr>
        <w:jc w:val="left"/>
      </w:pPr>
      <w:rPr>
        <w:b w:val="0"/>
      </w:rPr>
      <w:tblPr/>
      <w:tcPr>
        <w:shd w:val="clear" w:color="auto" w:fill="C9DBEB"/>
      </w:tcPr>
    </w:tblStylePr>
    <w:tblStylePr w:type="band1Horz">
      <w:tblPr/>
      <w:tcPr>
        <w:shd w:val="clear" w:color="auto" w:fill="FFFFFF" w:themeFill="background1"/>
      </w:tcPr>
    </w:tblStylePr>
    <w:tblStylePr w:type="band2Horz">
      <w:tblPr/>
      <w:tcPr>
        <w:shd w:val="clear" w:color="auto" w:fill="D5DCE4" w:themeFill="text2" w:themeFillTint="33"/>
      </w:tcPr>
    </w:tblStylePr>
    <w:tblStylePr w:type="nwCell">
      <w:pPr>
        <w:jc w:val="left"/>
      </w:pPr>
    </w:tblStylePr>
    <w:tblStylePr w:type="swCell">
      <w:pPr>
        <w:jc w:val="left"/>
      </w:pPr>
    </w:tblStylePr>
  </w:style>
  <w:style w:type="paragraph" w:customStyle="1" w:styleId="Bechriftung">
    <w:name w:val="Bechriftung"/>
    <w:basedOn w:val="TOC3"/>
    <w:rsid w:val="00D90E78"/>
    <w:pPr>
      <w:pBdr>
        <w:top w:val="none" w:sz="0" w:space="0" w:color="auto"/>
        <w:left w:val="none" w:sz="0" w:space="0" w:color="auto"/>
        <w:bottom w:val="none" w:sz="0" w:space="0" w:color="auto"/>
        <w:right w:val="none" w:sz="0" w:space="0" w:color="auto"/>
        <w:between w:val="none" w:sz="0" w:space="0" w:color="auto"/>
      </w:pBdr>
      <w:spacing w:line="259" w:lineRule="auto"/>
    </w:pPr>
    <w:rPr>
      <w:rFonts w:asciiTheme="minorHAnsi" w:eastAsiaTheme="minorEastAsia" w:hAnsiTheme="minorHAnsi"/>
    </w:rPr>
  </w:style>
  <w:style w:type="paragraph" w:customStyle="1" w:styleId="ColorfulList-Accent11">
    <w:name w:val="Colorful List - Accent 11"/>
    <w:basedOn w:val="Normal"/>
    <w:uiPriority w:val="34"/>
    <w:qFormat/>
    <w:rsid w:val="00DA2EDE"/>
    <w:pPr>
      <w:pBdr>
        <w:top w:val="none" w:sz="0" w:space="0" w:color="auto"/>
        <w:left w:val="none" w:sz="0" w:space="0" w:color="auto"/>
        <w:bottom w:val="none" w:sz="0" w:space="0" w:color="auto"/>
        <w:right w:val="none" w:sz="0" w:space="0" w:color="auto"/>
        <w:between w:val="none" w:sz="0" w:space="0" w:color="auto"/>
      </w:pBdr>
      <w:spacing w:after="0" w:line="240" w:lineRule="auto"/>
      <w:ind w:left="720"/>
      <w:contextualSpacing/>
    </w:pPr>
    <w:rPr>
      <w:rFonts w:ascii="Cambria" w:hAnsi="Cambria"/>
      <w:sz w:val="24"/>
      <w:szCs w:val="24"/>
    </w:rPr>
  </w:style>
  <w:style w:type="paragraph" w:customStyle="1" w:styleId="TableText">
    <w:name w:val="Table Text"/>
    <w:basedOn w:val="Normal"/>
    <w:uiPriority w:val="2"/>
    <w:qFormat/>
    <w:rsid w:val="00DA2EDE"/>
    <w:pPr>
      <w:framePr w:hSpace="180" w:wrap="around" w:vAnchor="text" w:hAnchor="page" w:x="1549" w:y="170"/>
      <w:pBdr>
        <w:top w:val="none" w:sz="0" w:space="0" w:color="auto"/>
        <w:left w:val="none" w:sz="0" w:space="0" w:color="auto"/>
        <w:bottom w:val="none" w:sz="0" w:space="0" w:color="auto"/>
        <w:right w:val="none" w:sz="0" w:space="0" w:color="auto"/>
        <w:between w:val="none" w:sz="0" w:space="0" w:color="auto"/>
      </w:pBdr>
      <w:spacing w:before="120" w:after="120" w:line="180" w:lineRule="exact"/>
    </w:pPr>
    <w:rPr>
      <w:rFonts w:ascii="Gill Sans MT" w:eastAsia="Times New Roman" w:hAnsi="Gill Sans MT" w:cs="GillSansMTStd-Book"/>
      <w:color w:val="6C6463"/>
      <w:sz w:val="18"/>
      <w:szCs w:val="18"/>
    </w:rPr>
  </w:style>
  <w:style w:type="paragraph" w:customStyle="1" w:styleId="TableHeading1">
    <w:name w:val="Table Heading 1"/>
    <w:basedOn w:val="Normal"/>
    <w:uiPriority w:val="2"/>
    <w:qFormat/>
    <w:rsid w:val="00DA2EDE"/>
    <w:pPr>
      <w:framePr w:hSpace="180" w:wrap="around" w:vAnchor="text" w:hAnchor="page" w:x="1549" w:y="170"/>
      <w:pBdr>
        <w:top w:val="none" w:sz="0" w:space="0" w:color="auto"/>
        <w:left w:val="none" w:sz="0" w:space="0" w:color="auto"/>
        <w:bottom w:val="none" w:sz="0" w:space="0" w:color="auto"/>
        <w:right w:val="none" w:sz="0" w:space="0" w:color="auto"/>
        <w:between w:val="none" w:sz="0" w:space="0" w:color="auto"/>
      </w:pBdr>
      <w:spacing w:before="120" w:after="120" w:line="180" w:lineRule="exact"/>
    </w:pPr>
    <w:rPr>
      <w:rFonts w:ascii="Gill Sans MT" w:eastAsia="Times New Roman" w:hAnsi="Gill Sans MT" w:cs="GillSansMTStd-Book"/>
      <w:caps/>
      <w:color w:val="6C6463"/>
      <w:sz w:val="18"/>
      <w:szCs w:val="18"/>
    </w:rPr>
  </w:style>
  <w:style w:type="paragraph" w:customStyle="1" w:styleId="ECABullets">
    <w:name w:val="ECA Bullets"/>
    <w:basedOn w:val="Normal"/>
    <w:link w:val="ECABulletsChar"/>
    <w:qFormat/>
    <w:rsid w:val="00DA2EDE"/>
    <w:pPr>
      <w:numPr>
        <w:numId w:val="6"/>
      </w:numPr>
      <w:pBdr>
        <w:top w:val="none" w:sz="0" w:space="0" w:color="auto"/>
        <w:left w:val="none" w:sz="0" w:space="0" w:color="auto"/>
        <w:bottom w:val="none" w:sz="0" w:space="0" w:color="auto"/>
        <w:right w:val="none" w:sz="0" w:space="0" w:color="auto"/>
        <w:between w:val="none" w:sz="0" w:space="0" w:color="auto"/>
      </w:pBdr>
      <w:spacing w:after="0" w:line="240" w:lineRule="auto"/>
    </w:pPr>
    <w:rPr>
      <w:rFonts w:ascii="Garamond" w:eastAsia="Times New Roman" w:hAnsi="Garamond" w:cs="Garamond"/>
      <w:sz w:val="24"/>
      <w:szCs w:val="24"/>
      <w:lang w:eastAsia="en-IE"/>
    </w:rPr>
  </w:style>
  <w:style w:type="paragraph" w:customStyle="1" w:styleId="FiguresandTables">
    <w:name w:val="Figures and Tables"/>
    <w:basedOn w:val="Normal"/>
    <w:uiPriority w:val="99"/>
    <w:qFormat/>
    <w:rsid w:val="00DA2EDE"/>
    <w:pPr>
      <w:pBdr>
        <w:top w:val="none" w:sz="0" w:space="0" w:color="auto"/>
        <w:left w:val="none" w:sz="0" w:space="0" w:color="auto"/>
        <w:bottom w:val="none" w:sz="0" w:space="0" w:color="auto"/>
        <w:right w:val="none" w:sz="0" w:space="0" w:color="auto"/>
        <w:between w:val="none" w:sz="0" w:space="0" w:color="auto"/>
      </w:pBdr>
      <w:spacing w:before="120" w:after="240" w:line="280" w:lineRule="atLeast"/>
    </w:pPr>
    <w:rPr>
      <w:rFonts w:ascii="Gill Sans MT" w:eastAsia="Times New Roman" w:hAnsi="Gill Sans MT" w:cs="Arial"/>
      <w:bCs/>
      <w:i/>
      <w:color w:val="6C6463"/>
      <w:sz w:val="20"/>
    </w:rPr>
  </w:style>
  <w:style w:type="paragraph" w:customStyle="1" w:styleId="Bullet1">
    <w:name w:val="Bullet 1"/>
    <w:basedOn w:val="Normal"/>
    <w:uiPriority w:val="2"/>
    <w:qFormat/>
    <w:rsid w:val="00DA2EDE"/>
    <w:pPr>
      <w:numPr>
        <w:numId w:val="8"/>
      </w:numPr>
      <w:pBdr>
        <w:top w:val="none" w:sz="0" w:space="0" w:color="auto"/>
        <w:left w:val="none" w:sz="0" w:space="0" w:color="auto"/>
        <w:bottom w:val="none" w:sz="0" w:space="0" w:color="auto"/>
        <w:right w:val="none" w:sz="0" w:space="0" w:color="auto"/>
        <w:between w:val="none" w:sz="0" w:space="0" w:color="auto"/>
      </w:pBdr>
      <w:spacing w:after="240" w:line="280" w:lineRule="atLeast"/>
    </w:pPr>
    <w:rPr>
      <w:rFonts w:ascii="Gill Sans MT" w:eastAsia="Times New Roman" w:hAnsi="Gill Sans MT" w:cs="GillSansMTStd-Book"/>
    </w:rPr>
  </w:style>
  <w:style w:type="character" w:customStyle="1" w:styleId="Bodytext10">
    <w:name w:val="Body text (10)_"/>
    <w:basedOn w:val="DefaultParagraphFont"/>
    <w:link w:val="Bodytext100"/>
    <w:uiPriority w:val="99"/>
    <w:locked/>
    <w:rsid w:val="00DA2EDE"/>
    <w:rPr>
      <w:rFonts w:ascii="Times New Roman" w:hAnsi="Times New Roman"/>
      <w:b/>
      <w:bCs/>
      <w:shd w:val="clear" w:color="auto" w:fill="FFFFFF"/>
    </w:rPr>
  </w:style>
  <w:style w:type="paragraph" w:customStyle="1" w:styleId="Bodytext100">
    <w:name w:val="Body text (10)"/>
    <w:basedOn w:val="Normal"/>
    <w:link w:val="Bodytext10"/>
    <w:uiPriority w:val="99"/>
    <w:rsid w:val="00DA2EDE"/>
    <w:pPr>
      <w:widowControl w:val="0"/>
      <w:pBdr>
        <w:top w:val="none" w:sz="0" w:space="0" w:color="auto"/>
        <w:left w:val="none" w:sz="0" w:space="0" w:color="auto"/>
        <w:bottom w:val="none" w:sz="0" w:space="0" w:color="auto"/>
        <w:right w:val="none" w:sz="0" w:space="0" w:color="auto"/>
        <w:between w:val="none" w:sz="0" w:space="0" w:color="auto"/>
      </w:pBdr>
      <w:shd w:val="clear" w:color="auto" w:fill="FFFFFF"/>
      <w:spacing w:before="360" w:after="0" w:line="270" w:lineRule="exact"/>
      <w:jc w:val="center"/>
    </w:pPr>
    <w:rPr>
      <w:b/>
      <w:bCs/>
      <w:sz w:val="20"/>
    </w:rPr>
  </w:style>
  <w:style w:type="paragraph" w:customStyle="1" w:styleId="ECABulletsSub">
    <w:name w:val="ECA Bullets Sub"/>
    <w:basedOn w:val="Normal"/>
    <w:qFormat/>
    <w:rsid w:val="00DA2EDE"/>
    <w:pPr>
      <w:pBdr>
        <w:top w:val="none" w:sz="0" w:space="0" w:color="auto"/>
        <w:left w:val="none" w:sz="0" w:space="0" w:color="auto"/>
        <w:bottom w:val="none" w:sz="0" w:space="0" w:color="auto"/>
        <w:right w:val="none" w:sz="0" w:space="0" w:color="auto"/>
        <w:between w:val="none" w:sz="0" w:space="0" w:color="auto"/>
      </w:pBdr>
      <w:tabs>
        <w:tab w:val="num" w:pos="1701"/>
      </w:tabs>
      <w:spacing w:before="240" w:after="240" w:line="240" w:lineRule="auto"/>
      <w:ind w:left="1701" w:hanging="567"/>
    </w:pPr>
    <w:rPr>
      <w:rFonts w:ascii="Book Antiqua" w:eastAsia="Times New Roman" w:hAnsi="Book Antiqua"/>
      <w:szCs w:val="20"/>
    </w:rPr>
  </w:style>
  <w:style w:type="paragraph" w:customStyle="1" w:styleId="ECABulletsSub-Sub">
    <w:name w:val="ECA Bullets Sub-Sub"/>
    <w:basedOn w:val="Normal"/>
    <w:autoRedefine/>
    <w:qFormat/>
    <w:rsid w:val="00DA2EDE"/>
    <w:pPr>
      <w:pBdr>
        <w:top w:val="none" w:sz="0" w:space="0" w:color="auto"/>
        <w:left w:val="none" w:sz="0" w:space="0" w:color="auto"/>
        <w:bottom w:val="none" w:sz="0" w:space="0" w:color="auto"/>
        <w:right w:val="none" w:sz="0" w:space="0" w:color="auto"/>
        <w:between w:val="none" w:sz="0" w:space="0" w:color="auto"/>
      </w:pBdr>
      <w:tabs>
        <w:tab w:val="num" w:pos="2268"/>
      </w:tabs>
      <w:spacing w:after="240" w:line="240" w:lineRule="auto"/>
      <w:ind w:left="2268" w:hanging="567"/>
    </w:pPr>
    <w:rPr>
      <w:rFonts w:ascii="Book Antiqua" w:eastAsia="Times New Roman" w:hAnsi="Book Antiqua"/>
      <w:szCs w:val="20"/>
    </w:rPr>
  </w:style>
  <w:style w:type="character" w:customStyle="1" w:styleId="ECABulletsChar">
    <w:name w:val="ECA Bullets Char"/>
    <w:link w:val="ECABullets"/>
    <w:rsid w:val="00DA2EDE"/>
    <w:rPr>
      <w:rFonts w:ascii="Garamond" w:eastAsia="Times New Roman" w:hAnsi="Garamond" w:cs="Garamond"/>
      <w:sz w:val="24"/>
      <w:szCs w:val="24"/>
      <w:lang w:eastAsia="en-IE"/>
    </w:rPr>
  </w:style>
  <w:style w:type="paragraph" w:customStyle="1" w:styleId="ECABodyText">
    <w:name w:val="ECA Body Text"/>
    <w:link w:val="ECABodyTextChar"/>
    <w:qFormat/>
    <w:rsid w:val="00DA2EDE"/>
    <w:pPr>
      <w:pBdr>
        <w:top w:val="none" w:sz="0" w:space="0" w:color="auto"/>
        <w:left w:val="none" w:sz="0" w:space="0" w:color="auto"/>
        <w:bottom w:val="none" w:sz="0" w:space="0" w:color="auto"/>
        <w:right w:val="none" w:sz="0" w:space="0" w:color="auto"/>
        <w:between w:val="none" w:sz="0" w:space="0" w:color="auto"/>
      </w:pBdr>
      <w:spacing w:after="240"/>
    </w:pPr>
    <w:rPr>
      <w:rFonts w:ascii="Book Antiqua" w:eastAsia="Times New Roman" w:hAnsi="Book Antiqua"/>
      <w:sz w:val="22"/>
      <w:szCs w:val="20"/>
    </w:rPr>
  </w:style>
  <w:style w:type="character" w:customStyle="1" w:styleId="ECABodyTextChar">
    <w:name w:val="ECA Body Text Char"/>
    <w:basedOn w:val="DefaultParagraphFont"/>
    <w:link w:val="ECABodyText"/>
    <w:rsid w:val="00DA2EDE"/>
    <w:rPr>
      <w:rFonts w:ascii="Book Antiqua" w:eastAsia="Times New Roman" w:hAnsi="Book Antiqua"/>
      <w:sz w:val="22"/>
      <w:szCs w:val="20"/>
      <w:lang w:val="sq-AL"/>
    </w:rPr>
  </w:style>
  <w:style w:type="paragraph" w:customStyle="1" w:styleId="BVIfnrCarCarCarCarChar">
    <w:name w:val="BVI fnr Car Car Car Car Char"/>
    <w:basedOn w:val="Normal"/>
    <w:uiPriority w:val="99"/>
    <w:rsid w:val="00DA2EDE"/>
    <w:pPr>
      <w:pBdr>
        <w:top w:val="none" w:sz="0" w:space="0" w:color="auto"/>
        <w:left w:val="none" w:sz="0" w:space="0" w:color="auto"/>
        <w:bottom w:val="none" w:sz="0" w:space="0" w:color="auto"/>
        <w:right w:val="none" w:sz="0" w:space="0" w:color="auto"/>
        <w:between w:val="none" w:sz="0" w:space="0" w:color="auto"/>
      </w:pBdr>
      <w:spacing w:after="160" w:line="240" w:lineRule="exact"/>
    </w:pPr>
    <w:rPr>
      <w:rFonts w:eastAsiaTheme="minorHAnsi"/>
      <w:vertAlign w:val="superscript"/>
    </w:rPr>
  </w:style>
  <w:style w:type="paragraph" w:styleId="BodyText3">
    <w:name w:val="Body Text 3"/>
    <w:basedOn w:val="Normal"/>
    <w:link w:val="BodyText3Char"/>
    <w:uiPriority w:val="99"/>
    <w:semiHidden/>
    <w:unhideWhenUsed/>
    <w:rsid w:val="00DA2EDE"/>
    <w:pPr>
      <w:pBdr>
        <w:top w:val="none" w:sz="0" w:space="0" w:color="auto"/>
        <w:left w:val="none" w:sz="0" w:space="0" w:color="auto"/>
        <w:bottom w:val="none" w:sz="0" w:space="0" w:color="auto"/>
        <w:right w:val="none" w:sz="0" w:space="0" w:color="auto"/>
        <w:between w:val="none" w:sz="0" w:space="0" w:color="auto"/>
      </w:pBdr>
      <w:spacing w:after="120" w:line="240" w:lineRule="auto"/>
    </w:pPr>
    <w:rPr>
      <w:rFonts w:asciiTheme="minorHAnsi" w:eastAsiaTheme="minorEastAsia" w:hAnsiTheme="minorHAnsi" w:cstheme="minorBidi"/>
      <w:sz w:val="16"/>
      <w:szCs w:val="16"/>
      <w:lang w:eastAsia="de-DE"/>
    </w:rPr>
  </w:style>
  <w:style w:type="character" w:customStyle="1" w:styleId="BodyText3Char">
    <w:name w:val="Body Text 3 Char"/>
    <w:basedOn w:val="DefaultParagraphFont"/>
    <w:link w:val="BodyText3"/>
    <w:uiPriority w:val="99"/>
    <w:semiHidden/>
    <w:rsid w:val="00DA2EDE"/>
    <w:rPr>
      <w:rFonts w:asciiTheme="minorHAnsi" w:eastAsiaTheme="minorEastAsia" w:hAnsiTheme="minorHAnsi" w:cstheme="minorBidi"/>
      <w:sz w:val="16"/>
      <w:szCs w:val="16"/>
      <w:lang w:val="sq-AL" w:eastAsia="de-DE"/>
    </w:rPr>
  </w:style>
  <w:style w:type="paragraph" w:customStyle="1" w:styleId="Cell">
    <w:name w:val="Cell"/>
    <w:basedOn w:val="Normal"/>
    <w:rsid w:val="00DA2EDE"/>
    <w:pPr>
      <w:pBdr>
        <w:top w:val="none" w:sz="0" w:space="0" w:color="auto"/>
        <w:left w:val="none" w:sz="0" w:space="0" w:color="auto"/>
        <w:bottom w:val="none" w:sz="0" w:space="0" w:color="auto"/>
        <w:right w:val="none" w:sz="0" w:space="0" w:color="auto"/>
        <w:between w:val="none" w:sz="0" w:space="0" w:color="auto"/>
      </w:pBdr>
      <w:spacing w:after="0" w:line="240" w:lineRule="auto"/>
    </w:pPr>
    <w:rPr>
      <w:rFonts w:ascii="Arial" w:eastAsiaTheme="minorEastAsia" w:hAnsi="Arial" w:cs="Arial"/>
      <w:sz w:val="18"/>
      <w:szCs w:val="18"/>
      <w:lang w:eastAsia="zh-CN"/>
    </w:rPr>
  </w:style>
  <w:style w:type="numbering" w:customStyle="1" w:styleId="NumberedNote">
    <w:name w:val="Numbered Note"/>
    <w:basedOn w:val="NoList"/>
    <w:rsid w:val="00DA2EDE"/>
    <w:pPr>
      <w:numPr>
        <w:numId w:val="12"/>
      </w:numPr>
    </w:pPr>
  </w:style>
  <w:style w:type="character" w:customStyle="1" w:styleId="NichtaufgelsteErwhnung2">
    <w:name w:val="Nicht aufgelöste Erwähnung2"/>
    <w:basedOn w:val="DefaultParagraphFont"/>
    <w:uiPriority w:val="99"/>
    <w:semiHidden/>
    <w:unhideWhenUsed/>
    <w:rsid w:val="00DA2EDE"/>
    <w:rPr>
      <w:color w:val="605E5C"/>
      <w:shd w:val="clear" w:color="auto" w:fill="E1DFDD"/>
    </w:rPr>
  </w:style>
  <w:style w:type="character" w:customStyle="1" w:styleId="xheading3char">
    <w:name w:val="x_heading3char"/>
    <w:basedOn w:val="DefaultParagraphFont"/>
    <w:rsid w:val="00DA2EDE"/>
  </w:style>
  <w:style w:type="character" w:customStyle="1" w:styleId="e24kjd">
    <w:name w:val="e24kjd"/>
    <w:basedOn w:val="DefaultParagraphFont"/>
    <w:rsid w:val="00DA2EDE"/>
  </w:style>
  <w:style w:type="paragraph" w:customStyle="1" w:styleId="CharCharChar">
    <w:name w:val="Char Char Char"/>
    <w:basedOn w:val="Normal"/>
    <w:uiPriority w:val="99"/>
    <w:rsid w:val="00BD4047"/>
    <w:pPr>
      <w:pBdr>
        <w:top w:val="none" w:sz="0" w:space="0" w:color="auto"/>
        <w:left w:val="none" w:sz="0" w:space="0" w:color="auto"/>
        <w:bottom w:val="none" w:sz="0" w:space="0" w:color="auto"/>
        <w:right w:val="none" w:sz="0" w:space="0" w:color="auto"/>
        <w:between w:val="none" w:sz="0" w:space="0" w:color="auto"/>
      </w:pBdr>
      <w:spacing w:after="160" w:line="240" w:lineRule="exact"/>
    </w:pPr>
    <w:rPr>
      <w:rFonts w:asciiTheme="minorHAnsi" w:eastAsiaTheme="minorEastAsia" w:hAnsiTheme="minorHAnsi" w:cstheme="minorBidi"/>
      <w:sz w:val="24"/>
      <w:szCs w:val="24"/>
      <w:vertAlign w:val="superscript"/>
      <w:lang w:eastAsia="de-DE"/>
    </w:rPr>
  </w:style>
  <w:style w:type="table" w:customStyle="1" w:styleId="ListTable41">
    <w:name w:val="List Table 41"/>
    <w:basedOn w:val="TableNormal"/>
    <w:uiPriority w:val="49"/>
    <w:rsid w:val="00BD4047"/>
    <w:pPr>
      <w:pBdr>
        <w:top w:val="none" w:sz="0" w:space="0" w:color="auto"/>
        <w:left w:val="none" w:sz="0" w:space="0" w:color="auto"/>
        <w:bottom w:val="none" w:sz="0" w:space="0" w:color="auto"/>
        <w:right w:val="none" w:sz="0" w:space="0" w:color="auto"/>
        <w:between w:val="none" w:sz="0" w:space="0" w:color="auto"/>
      </w:pBdr>
    </w:pPr>
    <w:rPr>
      <w:rFonts w:asciiTheme="minorHAnsi" w:eastAsia="Times New Roman" w:hAnsiTheme="minorHAnsi" w:cstheme="minorBidi"/>
      <w:sz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ableofFigures">
    <w:name w:val="table of figures"/>
    <w:basedOn w:val="Normal"/>
    <w:next w:val="Normal"/>
    <w:uiPriority w:val="99"/>
    <w:unhideWhenUsed/>
    <w:rsid w:val="00802072"/>
    <w:pPr>
      <w:spacing w:after="0"/>
    </w:pPr>
  </w:style>
  <w:style w:type="paragraph" w:customStyle="1" w:styleId="ECAHeading5">
    <w:name w:val="ECA Heading 5"/>
    <w:basedOn w:val="Heading5"/>
    <w:next w:val="ECABodyText"/>
    <w:qFormat/>
    <w:rsid w:val="000E5EC6"/>
    <w:pPr>
      <w:keepLines w:val="0"/>
      <w:pBdr>
        <w:top w:val="none" w:sz="0" w:space="0" w:color="auto"/>
        <w:left w:val="none" w:sz="0" w:space="0" w:color="auto"/>
        <w:bottom w:val="none" w:sz="0" w:space="0" w:color="auto"/>
        <w:right w:val="none" w:sz="0" w:space="0" w:color="auto"/>
        <w:between w:val="none" w:sz="0" w:space="0" w:color="auto"/>
      </w:pBdr>
      <w:tabs>
        <w:tab w:val="left" w:pos="1701"/>
      </w:tabs>
      <w:spacing w:before="360" w:after="360" w:line="240" w:lineRule="auto"/>
    </w:pPr>
    <w:rPr>
      <w:rFonts w:ascii="Futura Md BT" w:eastAsia="Times New Roman" w:hAnsi="Futura Md BT" w:cs="Times New Roman"/>
      <w:b w:val="0"/>
      <w:bCs w:val="0"/>
      <w:i/>
      <w:color w:val="000000"/>
      <w:spacing w:val="10"/>
      <w:sz w:val="22"/>
      <w:szCs w:val="20"/>
    </w:rPr>
  </w:style>
  <w:style w:type="paragraph" w:customStyle="1" w:styleId="ECATableHeader">
    <w:name w:val="ECA Table Header"/>
    <w:basedOn w:val="Normal"/>
    <w:next w:val="Normal"/>
    <w:rsid w:val="000E5EC6"/>
    <w:pPr>
      <w:pBdr>
        <w:top w:val="none" w:sz="0" w:space="0" w:color="auto"/>
        <w:left w:val="none" w:sz="0" w:space="0" w:color="auto"/>
        <w:bottom w:val="none" w:sz="0" w:space="0" w:color="auto"/>
        <w:right w:val="none" w:sz="0" w:space="0" w:color="auto"/>
        <w:between w:val="none" w:sz="0" w:space="0" w:color="auto"/>
      </w:pBdr>
      <w:spacing w:before="120" w:after="120" w:line="240" w:lineRule="auto"/>
    </w:pPr>
    <w:rPr>
      <w:rFonts w:ascii="Book Antiqua" w:eastAsia="Times New Roman" w:hAnsi="Book Antiqua"/>
      <w:b/>
      <w:sz w:val="20"/>
      <w:szCs w:val="20"/>
    </w:rPr>
  </w:style>
  <w:style w:type="character" w:customStyle="1" w:styleId="UnresolvedMention4">
    <w:name w:val="Unresolved Mention4"/>
    <w:basedOn w:val="DefaultParagraphFont"/>
    <w:uiPriority w:val="99"/>
    <w:semiHidden/>
    <w:unhideWhenUsed/>
    <w:rsid w:val="00B57CCE"/>
    <w:rPr>
      <w:color w:val="605E5C"/>
      <w:shd w:val="clear" w:color="auto" w:fill="E1DFDD"/>
    </w:rPr>
  </w:style>
  <w:style w:type="table" w:customStyle="1" w:styleId="TableGrid4">
    <w:name w:val="Table Grid4"/>
    <w:basedOn w:val="TableNormal"/>
    <w:next w:val="TableGrid"/>
    <w:uiPriority w:val="39"/>
    <w:rsid w:val="00B8224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39"/>
    <w:rsid w:val="00C3372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NichtaufgelsteErwhnung3">
    <w:name w:val="Nicht aufgelöste Erwähnung3"/>
    <w:basedOn w:val="DefaultParagraphFont"/>
    <w:uiPriority w:val="99"/>
    <w:semiHidden/>
    <w:unhideWhenUsed/>
    <w:rsid w:val="00F06FA1"/>
    <w:rPr>
      <w:color w:val="605E5C"/>
      <w:shd w:val="clear" w:color="auto" w:fill="E1DFDD"/>
    </w:rPr>
  </w:style>
  <w:style w:type="paragraph" w:styleId="Bibliography">
    <w:name w:val="Bibliography"/>
    <w:basedOn w:val="Normal"/>
    <w:next w:val="Normal"/>
    <w:uiPriority w:val="37"/>
    <w:semiHidden/>
    <w:unhideWhenUsed/>
    <w:rsid w:val="00F06FA1"/>
  </w:style>
  <w:style w:type="character" w:styleId="BookTitle">
    <w:name w:val="Book Title"/>
    <w:basedOn w:val="DefaultParagraphFont"/>
    <w:uiPriority w:val="33"/>
    <w:qFormat/>
    <w:rsid w:val="00F06FA1"/>
    <w:rPr>
      <w:b/>
      <w:bCs/>
      <w:i/>
      <w:iCs/>
      <w:spacing w:val="5"/>
    </w:rPr>
  </w:style>
  <w:style w:type="character" w:styleId="IntenseReference">
    <w:name w:val="Intense Reference"/>
    <w:basedOn w:val="DefaultParagraphFont"/>
    <w:uiPriority w:val="32"/>
    <w:qFormat/>
    <w:rsid w:val="00F06FA1"/>
    <w:rPr>
      <w:b/>
      <w:bCs/>
      <w:smallCaps/>
      <w:color w:val="4472C4" w:themeColor="accent1"/>
      <w:spacing w:val="5"/>
    </w:rPr>
  </w:style>
  <w:style w:type="character" w:styleId="SubtleReference">
    <w:name w:val="Subtle Reference"/>
    <w:basedOn w:val="DefaultParagraphFont"/>
    <w:uiPriority w:val="31"/>
    <w:qFormat/>
    <w:rsid w:val="00F06FA1"/>
    <w:rPr>
      <w:smallCaps/>
      <w:color w:val="5A5A5A" w:themeColor="text1" w:themeTint="A5"/>
    </w:rPr>
  </w:style>
  <w:style w:type="character" w:styleId="IntenseEmphasis">
    <w:name w:val="Intense Emphasis"/>
    <w:basedOn w:val="DefaultParagraphFont"/>
    <w:uiPriority w:val="21"/>
    <w:qFormat/>
    <w:rsid w:val="00F06FA1"/>
    <w:rPr>
      <w:i/>
      <w:iCs/>
      <w:color w:val="4472C4" w:themeColor="accent1"/>
    </w:rPr>
  </w:style>
  <w:style w:type="table" w:styleId="MediumList1-Accent1">
    <w:name w:val="Medium List 1 Accent 1"/>
    <w:basedOn w:val="TableNormal"/>
    <w:uiPriority w:val="65"/>
    <w:semiHidden/>
    <w:unhideWhenUsed/>
    <w:rsid w:val="00F06FA1"/>
    <w:rPr>
      <w:color w:val="000000" w:themeColor="text1"/>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styleId="MediumShading2-Accent1">
    <w:name w:val="Medium Shading 2 Accent 1"/>
    <w:basedOn w:val="TableNormal"/>
    <w:uiPriority w:val="64"/>
    <w:unhideWhenUsed/>
    <w:rsid w:val="00F06FA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1-Accent1">
    <w:name w:val="Medium Shading 1 Accent 1"/>
    <w:basedOn w:val="TableNormal"/>
    <w:uiPriority w:val="63"/>
    <w:unhideWhenUsed/>
    <w:rsid w:val="00F06FA1"/>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LightGrid-Accent1">
    <w:name w:val="Light Grid Accent 1"/>
    <w:basedOn w:val="TableNormal"/>
    <w:uiPriority w:val="62"/>
    <w:unhideWhenUsed/>
    <w:rsid w:val="00F06FA1"/>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LightList-Accent1">
    <w:name w:val="Light List Accent 1"/>
    <w:basedOn w:val="TableNormal"/>
    <w:uiPriority w:val="61"/>
    <w:unhideWhenUsed/>
    <w:rsid w:val="00F06FA1"/>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LightShading-Accent1">
    <w:name w:val="Light Shading Accent 1"/>
    <w:basedOn w:val="TableNormal"/>
    <w:uiPriority w:val="60"/>
    <w:semiHidden/>
    <w:unhideWhenUsed/>
    <w:rsid w:val="00F06FA1"/>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ColorfulGrid">
    <w:name w:val="Colorful Grid"/>
    <w:basedOn w:val="TableNormal"/>
    <w:uiPriority w:val="73"/>
    <w:semiHidden/>
    <w:unhideWhenUsed/>
    <w:rsid w:val="00F06FA1"/>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List">
    <w:name w:val="Colorful List"/>
    <w:basedOn w:val="TableNormal"/>
    <w:uiPriority w:val="72"/>
    <w:semiHidden/>
    <w:unhideWhenUsed/>
    <w:rsid w:val="00F06FA1"/>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Shading">
    <w:name w:val="Colorful Shading"/>
    <w:basedOn w:val="TableNormal"/>
    <w:uiPriority w:val="71"/>
    <w:semiHidden/>
    <w:unhideWhenUsed/>
    <w:rsid w:val="00F06FA1"/>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F06FA1"/>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ediumGrid3">
    <w:name w:val="Medium Grid 3"/>
    <w:basedOn w:val="TableNormal"/>
    <w:uiPriority w:val="69"/>
    <w:semiHidden/>
    <w:unhideWhenUsed/>
    <w:rsid w:val="00F06FA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2">
    <w:name w:val="Medium Grid 2"/>
    <w:basedOn w:val="TableNormal"/>
    <w:uiPriority w:val="68"/>
    <w:semiHidden/>
    <w:unhideWhenUsed/>
    <w:rsid w:val="00F06FA1"/>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1">
    <w:name w:val="Medium Grid 1"/>
    <w:basedOn w:val="TableNormal"/>
    <w:uiPriority w:val="67"/>
    <w:semiHidden/>
    <w:unhideWhenUsed/>
    <w:rsid w:val="00F06FA1"/>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List2">
    <w:name w:val="Medium List 2"/>
    <w:basedOn w:val="TableNormal"/>
    <w:uiPriority w:val="66"/>
    <w:semiHidden/>
    <w:unhideWhenUsed/>
    <w:rsid w:val="00F06FA1"/>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
    <w:name w:val="Medium List 1"/>
    <w:basedOn w:val="TableNormal"/>
    <w:uiPriority w:val="65"/>
    <w:semiHidden/>
    <w:unhideWhenUsed/>
    <w:rsid w:val="00F06FA1"/>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Shading2">
    <w:name w:val="Medium Shading 2"/>
    <w:basedOn w:val="TableNormal"/>
    <w:uiPriority w:val="64"/>
    <w:semiHidden/>
    <w:unhideWhenUsed/>
    <w:rsid w:val="00F06FA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1">
    <w:name w:val="Medium Shading 1"/>
    <w:basedOn w:val="TableNormal"/>
    <w:uiPriority w:val="63"/>
    <w:semiHidden/>
    <w:unhideWhenUsed/>
    <w:rsid w:val="00F06FA1"/>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ghtGrid">
    <w:name w:val="Light Grid"/>
    <w:basedOn w:val="TableNormal"/>
    <w:uiPriority w:val="62"/>
    <w:semiHidden/>
    <w:unhideWhenUsed/>
    <w:rsid w:val="00F06FA1"/>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List">
    <w:name w:val="Light List"/>
    <w:basedOn w:val="TableNormal"/>
    <w:uiPriority w:val="61"/>
    <w:semiHidden/>
    <w:unhideWhenUsed/>
    <w:rsid w:val="00F06FA1"/>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Shading">
    <w:name w:val="Light Shading"/>
    <w:basedOn w:val="TableNormal"/>
    <w:uiPriority w:val="60"/>
    <w:semiHidden/>
    <w:unhideWhenUsed/>
    <w:rsid w:val="00F06FA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TMLVariable">
    <w:name w:val="HTML Variable"/>
    <w:basedOn w:val="DefaultParagraphFont"/>
    <w:uiPriority w:val="99"/>
    <w:semiHidden/>
    <w:unhideWhenUsed/>
    <w:rsid w:val="00F06FA1"/>
    <w:rPr>
      <w:i/>
      <w:iCs/>
    </w:rPr>
  </w:style>
  <w:style w:type="character" w:styleId="HTMLTypewriter">
    <w:name w:val="HTML Typewriter"/>
    <w:basedOn w:val="DefaultParagraphFont"/>
    <w:uiPriority w:val="99"/>
    <w:semiHidden/>
    <w:unhideWhenUsed/>
    <w:rsid w:val="00F06FA1"/>
    <w:rPr>
      <w:rFonts w:ascii="Consolas" w:hAnsi="Consolas"/>
      <w:sz w:val="20"/>
      <w:szCs w:val="20"/>
    </w:rPr>
  </w:style>
  <w:style w:type="character" w:styleId="HTMLSample">
    <w:name w:val="HTML Sample"/>
    <w:basedOn w:val="DefaultParagraphFont"/>
    <w:uiPriority w:val="99"/>
    <w:semiHidden/>
    <w:unhideWhenUsed/>
    <w:rsid w:val="00F06FA1"/>
    <w:rPr>
      <w:rFonts w:ascii="Consolas" w:hAnsi="Consolas"/>
      <w:sz w:val="24"/>
      <w:szCs w:val="24"/>
    </w:rPr>
  </w:style>
  <w:style w:type="character" w:styleId="HTMLKeyboard">
    <w:name w:val="HTML Keyboard"/>
    <w:basedOn w:val="DefaultParagraphFont"/>
    <w:uiPriority w:val="99"/>
    <w:semiHidden/>
    <w:unhideWhenUsed/>
    <w:rsid w:val="00F06FA1"/>
    <w:rPr>
      <w:rFonts w:ascii="Consolas" w:hAnsi="Consolas"/>
      <w:sz w:val="20"/>
      <w:szCs w:val="20"/>
    </w:rPr>
  </w:style>
  <w:style w:type="character" w:styleId="HTMLDefinition">
    <w:name w:val="HTML Definition"/>
    <w:basedOn w:val="DefaultParagraphFont"/>
    <w:uiPriority w:val="99"/>
    <w:semiHidden/>
    <w:unhideWhenUsed/>
    <w:rsid w:val="00F06FA1"/>
    <w:rPr>
      <w:i/>
      <w:iCs/>
    </w:rPr>
  </w:style>
  <w:style w:type="character" w:styleId="HTMLCode">
    <w:name w:val="HTML Code"/>
    <w:basedOn w:val="DefaultParagraphFont"/>
    <w:uiPriority w:val="99"/>
    <w:semiHidden/>
    <w:unhideWhenUsed/>
    <w:rsid w:val="00F06FA1"/>
    <w:rPr>
      <w:rFonts w:ascii="Consolas" w:hAnsi="Consolas"/>
      <w:sz w:val="20"/>
      <w:szCs w:val="20"/>
    </w:rPr>
  </w:style>
  <w:style w:type="character" w:styleId="HTMLCite">
    <w:name w:val="HTML Cite"/>
    <w:basedOn w:val="DefaultParagraphFont"/>
    <w:uiPriority w:val="99"/>
    <w:semiHidden/>
    <w:unhideWhenUsed/>
    <w:rsid w:val="00F06FA1"/>
    <w:rPr>
      <w:i/>
      <w:iCs/>
    </w:rPr>
  </w:style>
  <w:style w:type="paragraph" w:styleId="HTMLAddress">
    <w:name w:val="HTML Address"/>
    <w:basedOn w:val="Normal"/>
    <w:link w:val="HTMLAddressChar"/>
    <w:uiPriority w:val="99"/>
    <w:semiHidden/>
    <w:unhideWhenUsed/>
    <w:rsid w:val="00F06FA1"/>
    <w:pPr>
      <w:spacing w:before="0" w:after="0" w:line="240" w:lineRule="auto"/>
    </w:pPr>
    <w:rPr>
      <w:i/>
      <w:iCs/>
    </w:rPr>
  </w:style>
  <w:style w:type="character" w:customStyle="1" w:styleId="HTMLAddressChar">
    <w:name w:val="HTML Address Char"/>
    <w:basedOn w:val="DefaultParagraphFont"/>
    <w:link w:val="HTMLAddress"/>
    <w:uiPriority w:val="99"/>
    <w:semiHidden/>
    <w:rsid w:val="00F06FA1"/>
    <w:rPr>
      <w:rFonts w:ascii="Times New Roman" w:hAnsi="Times New Roman"/>
      <w:i/>
      <w:iCs/>
      <w:sz w:val="22"/>
    </w:rPr>
  </w:style>
  <w:style w:type="character" w:styleId="HTMLAcronym">
    <w:name w:val="HTML Acronym"/>
    <w:basedOn w:val="DefaultParagraphFont"/>
    <w:uiPriority w:val="99"/>
    <w:semiHidden/>
    <w:unhideWhenUsed/>
    <w:rsid w:val="00F06FA1"/>
  </w:style>
  <w:style w:type="paragraph" w:styleId="PlainText">
    <w:name w:val="Plain Text"/>
    <w:basedOn w:val="Normal"/>
    <w:link w:val="PlainTextChar"/>
    <w:uiPriority w:val="99"/>
    <w:semiHidden/>
    <w:unhideWhenUsed/>
    <w:rsid w:val="00F06FA1"/>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F06FA1"/>
    <w:rPr>
      <w:rFonts w:ascii="Consolas" w:hAnsi="Consolas"/>
      <w:sz w:val="21"/>
      <w:szCs w:val="21"/>
    </w:rPr>
  </w:style>
  <w:style w:type="paragraph" w:styleId="BlockText">
    <w:name w:val="Block Text"/>
    <w:basedOn w:val="Normal"/>
    <w:uiPriority w:val="99"/>
    <w:semiHidden/>
    <w:unhideWhenUsed/>
    <w:rsid w:val="00F06FA1"/>
    <w:pPr>
      <w:pBdr>
        <w:top w:val="single" w:sz="2" w:space="10" w:color="4472C4" w:themeColor="accent1" w:frame="1"/>
        <w:left w:val="single" w:sz="2" w:space="10" w:color="4472C4" w:themeColor="accent1" w:frame="1"/>
        <w:bottom w:val="single" w:sz="2" w:space="10" w:color="4472C4" w:themeColor="accent1" w:frame="1"/>
        <w:right w:val="single" w:sz="2" w:space="10" w:color="4472C4" w:themeColor="accent1" w:frame="1"/>
      </w:pBdr>
      <w:ind w:left="1152" w:right="1152"/>
    </w:pPr>
    <w:rPr>
      <w:rFonts w:asciiTheme="minorHAnsi" w:eastAsiaTheme="minorEastAsia" w:hAnsiTheme="minorHAnsi" w:cstheme="minorBidi"/>
      <w:i/>
      <w:iCs/>
      <w:color w:val="4472C4" w:themeColor="accent1"/>
    </w:rPr>
  </w:style>
  <w:style w:type="paragraph" w:styleId="BodyTextIndent3">
    <w:name w:val="Body Text Indent 3"/>
    <w:basedOn w:val="Normal"/>
    <w:link w:val="BodyTextIndent3Char"/>
    <w:uiPriority w:val="99"/>
    <w:semiHidden/>
    <w:unhideWhenUsed/>
    <w:rsid w:val="00F06FA1"/>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F06FA1"/>
    <w:rPr>
      <w:rFonts w:ascii="Times New Roman" w:hAnsi="Times New Roman"/>
      <w:sz w:val="16"/>
      <w:szCs w:val="16"/>
    </w:rPr>
  </w:style>
  <w:style w:type="paragraph" w:styleId="BodyTextIndent2">
    <w:name w:val="Body Text Indent 2"/>
    <w:basedOn w:val="Normal"/>
    <w:link w:val="BodyTextIndent2Char"/>
    <w:uiPriority w:val="99"/>
    <w:semiHidden/>
    <w:unhideWhenUsed/>
    <w:rsid w:val="00F06FA1"/>
    <w:pPr>
      <w:spacing w:after="120" w:line="480" w:lineRule="auto"/>
      <w:ind w:left="283"/>
    </w:pPr>
  </w:style>
  <w:style w:type="character" w:customStyle="1" w:styleId="BodyTextIndent2Char">
    <w:name w:val="Body Text Indent 2 Char"/>
    <w:basedOn w:val="DefaultParagraphFont"/>
    <w:link w:val="BodyTextIndent2"/>
    <w:uiPriority w:val="99"/>
    <w:semiHidden/>
    <w:rsid w:val="00F06FA1"/>
    <w:rPr>
      <w:rFonts w:ascii="Times New Roman" w:hAnsi="Times New Roman"/>
      <w:sz w:val="22"/>
    </w:rPr>
  </w:style>
  <w:style w:type="paragraph" w:styleId="BodyText2">
    <w:name w:val="Body Text 2"/>
    <w:basedOn w:val="Normal"/>
    <w:link w:val="BodyText2Char"/>
    <w:uiPriority w:val="99"/>
    <w:semiHidden/>
    <w:unhideWhenUsed/>
    <w:rsid w:val="00F06FA1"/>
    <w:pPr>
      <w:spacing w:after="120" w:line="480" w:lineRule="auto"/>
    </w:pPr>
  </w:style>
  <w:style w:type="character" w:customStyle="1" w:styleId="BodyText2Char">
    <w:name w:val="Body Text 2 Char"/>
    <w:basedOn w:val="DefaultParagraphFont"/>
    <w:link w:val="BodyText2"/>
    <w:uiPriority w:val="99"/>
    <w:semiHidden/>
    <w:rsid w:val="00F06FA1"/>
    <w:rPr>
      <w:rFonts w:ascii="Times New Roman" w:hAnsi="Times New Roman"/>
      <w:sz w:val="22"/>
    </w:rPr>
  </w:style>
  <w:style w:type="paragraph" w:styleId="NoteHeading">
    <w:name w:val="Note Heading"/>
    <w:basedOn w:val="Normal"/>
    <w:next w:val="Normal"/>
    <w:link w:val="NoteHeadingChar"/>
    <w:uiPriority w:val="99"/>
    <w:semiHidden/>
    <w:unhideWhenUsed/>
    <w:rsid w:val="00F06FA1"/>
    <w:pPr>
      <w:spacing w:before="0" w:after="0" w:line="240" w:lineRule="auto"/>
    </w:pPr>
  </w:style>
  <w:style w:type="character" w:customStyle="1" w:styleId="NoteHeadingChar">
    <w:name w:val="Note Heading Char"/>
    <w:basedOn w:val="DefaultParagraphFont"/>
    <w:link w:val="NoteHeading"/>
    <w:uiPriority w:val="99"/>
    <w:semiHidden/>
    <w:rsid w:val="00F06FA1"/>
    <w:rPr>
      <w:rFonts w:ascii="Times New Roman" w:hAnsi="Times New Roman"/>
      <w:sz w:val="22"/>
    </w:rPr>
  </w:style>
  <w:style w:type="paragraph" w:styleId="BodyTextIndent">
    <w:name w:val="Body Text Indent"/>
    <w:basedOn w:val="Normal"/>
    <w:link w:val="BodyTextIndentChar"/>
    <w:uiPriority w:val="99"/>
    <w:semiHidden/>
    <w:unhideWhenUsed/>
    <w:rsid w:val="00F06FA1"/>
    <w:pPr>
      <w:spacing w:after="120"/>
      <w:ind w:left="283"/>
    </w:pPr>
  </w:style>
  <w:style w:type="character" w:customStyle="1" w:styleId="BodyTextIndentChar">
    <w:name w:val="Body Text Indent Char"/>
    <w:basedOn w:val="DefaultParagraphFont"/>
    <w:link w:val="BodyTextIndent"/>
    <w:uiPriority w:val="99"/>
    <w:semiHidden/>
    <w:rsid w:val="00F06FA1"/>
    <w:rPr>
      <w:rFonts w:ascii="Times New Roman" w:hAnsi="Times New Roman"/>
      <w:sz w:val="22"/>
    </w:rPr>
  </w:style>
  <w:style w:type="paragraph" w:styleId="BodyTextFirstIndent2">
    <w:name w:val="Body Text First Indent 2"/>
    <w:basedOn w:val="BodyTextIndent"/>
    <w:link w:val="BodyTextFirstIndent2Char"/>
    <w:uiPriority w:val="99"/>
    <w:semiHidden/>
    <w:unhideWhenUsed/>
    <w:rsid w:val="00F06FA1"/>
    <w:pPr>
      <w:spacing w:after="60"/>
      <w:ind w:left="360" w:firstLine="360"/>
    </w:pPr>
  </w:style>
  <w:style w:type="character" w:customStyle="1" w:styleId="BodyTextFirstIndent2Char">
    <w:name w:val="Body Text First Indent 2 Char"/>
    <w:basedOn w:val="BodyTextIndentChar"/>
    <w:link w:val="BodyTextFirstIndent2"/>
    <w:uiPriority w:val="99"/>
    <w:semiHidden/>
    <w:rsid w:val="00F06FA1"/>
    <w:rPr>
      <w:rFonts w:ascii="Times New Roman" w:hAnsi="Times New Roman"/>
      <w:sz w:val="22"/>
    </w:rPr>
  </w:style>
  <w:style w:type="paragraph" w:styleId="BodyTextFirstIndent">
    <w:name w:val="Body Text First Indent"/>
    <w:basedOn w:val="BodyText"/>
    <w:link w:val="BodyTextFirstIndentChar"/>
    <w:uiPriority w:val="99"/>
    <w:semiHidden/>
    <w:unhideWhenUsed/>
    <w:rsid w:val="00F06FA1"/>
    <w:pPr>
      <w:widowControl/>
      <w:pBdr>
        <w:top w:val="none" w:sz="4" w:space="0" w:color="000000"/>
        <w:left w:val="none" w:sz="4" w:space="0" w:color="000000"/>
        <w:bottom w:val="none" w:sz="4" w:space="0" w:color="000000"/>
        <w:right w:val="none" w:sz="4" w:space="0" w:color="000000"/>
        <w:between w:val="none" w:sz="4" w:space="0" w:color="000000"/>
      </w:pBdr>
      <w:autoSpaceDE/>
      <w:autoSpaceDN/>
      <w:spacing w:after="60" w:line="276" w:lineRule="auto"/>
      <w:ind w:firstLine="360"/>
    </w:pPr>
    <w:rPr>
      <w:rFonts w:ascii="Times New Roman" w:eastAsia="MS Mincho" w:hAnsi="Times New Roman" w:cs="Times New Roman"/>
      <w:sz w:val="22"/>
      <w:szCs w:val="22"/>
      <w:lang w:bidi="ar-SA"/>
    </w:rPr>
  </w:style>
  <w:style w:type="character" w:customStyle="1" w:styleId="BodyTextFirstIndentChar">
    <w:name w:val="Body Text First Indent Char"/>
    <w:basedOn w:val="BodyTextChar"/>
    <w:link w:val="BodyTextFirstIndent"/>
    <w:uiPriority w:val="99"/>
    <w:semiHidden/>
    <w:rsid w:val="00F06FA1"/>
    <w:rPr>
      <w:rFonts w:ascii="Times New Roman" w:eastAsia="Yu Gothic" w:hAnsi="Times New Roman" w:cs="Yu Gothic"/>
      <w:sz w:val="22"/>
      <w:szCs w:val="20"/>
      <w:lang w:bidi="en-US"/>
    </w:rPr>
  </w:style>
  <w:style w:type="paragraph" w:styleId="Date">
    <w:name w:val="Date"/>
    <w:basedOn w:val="Normal"/>
    <w:next w:val="Normal"/>
    <w:link w:val="DateChar"/>
    <w:uiPriority w:val="99"/>
    <w:semiHidden/>
    <w:unhideWhenUsed/>
    <w:rsid w:val="00F06FA1"/>
  </w:style>
  <w:style w:type="character" w:customStyle="1" w:styleId="DateChar">
    <w:name w:val="Date Char"/>
    <w:basedOn w:val="DefaultParagraphFont"/>
    <w:link w:val="Date"/>
    <w:uiPriority w:val="99"/>
    <w:semiHidden/>
    <w:rsid w:val="00F06FA1"/>
    <w:rPr>
      <w:rFonts w:ascii="Times New Roman" w:hAnsi="Times New Roman"/>
      <w:sz w:val="22"/>
    </w:rPr>
  </w:style>
  <w:style w:type="paragraph" w:styleId="Salutation">
    <w:name w:val="Salutation"/>
    <w:basedOn w:val="Normal"/>
    <w:next w:val="Normal"/>
    <w:link w:val="SalutationChar"/>
    <w:uiPriority w:val="99"/>
    <w:semiHidden/>
    <w:unhideWhenUsed/>
    <w:rsid w:val="00F06FA1"/>
  </w:style>
  <w:style w:type="character" w:customStyle="1" w:styleId="SalutationChar">
    <w:name w:val="Salutation Char"/>
    <w:basedOn w:val="DefaultParagraphFont"/>
    <w:link w:val="Salutation"/>
    <w:uiPriority w:val="99"/>
    <w:semiHidden/>
    <w:rsid w:val="00F06FA1"/>
    <w:rPr>
      <w:rFonts w:ascii="Times New Roman" w:hAnsi="Times New Roman"/>
      <w:sz w:val="22"/>
    </w:rPr>
  </w:style>
  <w:style w:type="paragraph" w:styleId="MessageHeader">
    <w:name w:val="Message Header"/>
    <w:basedOn w:val="Normal"/>
    <w:link w:val="MessageHeaderChar"/>
    <w:uiPriority w:val="99"/>
    <w:semiHidden/>
    <w:unhideWhenUsed/>
    <w:rsid w:val="00F06FA1"/>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F06FA1"/>
    <w:rPr>
      <w:rFonts w:asciiTheme="majorHAnsi" w:eastAsiaTheme="majorEastAsia" w:hAnsiTheme="majorHAnsi" w:cstheme="majorBidi"/>
      <w:sz w:val="24"/>
      <w:szCs w:val="24"/>
      <w:shd w:val="pct20" w:color="auto" w:fill="auto"/>
    </w:rPr>
  </w:style>
  <w:style w:type="paragraph" w:styleId="ListContinue5">
    <w:name w:val="List Continue 5"/>
    <w:basedOn w:val="Normal"/>
    <w:uiPriority w:val="99"/>
    <w:semiHidden/>
    <w:unhideWhenUsed/>
    <w:rsid w:val="00F06FA1"/>
    <w:pPr>
      <w:spacing w:after="120"/>
      <w:ind w:left="1415"/>
      <w:contextualSpacing/>
    </w:pPr>
  </w:style>
  <w:style w:type="paragraph" w:styleId="ListContinue4">
    <w:name w:val="List Continue 4"/>
    <w:basedOn w:val="Normal"/>
    <w:uiPriority w:val="99"/>
    <w:semiHidden/>
    <w:unhideWhenUsed/>
    <w:rsid w:val="00F06FA1"/>
    <w:pPr>
      <w:spacing w:after="120"/>
      <w:ind w:left="1132"/>
      <w:contextualSpacing/>
    </w:pPr>
  </w:style>
  <w:style w:type="paragraph" w:styleId="ListContinue3">
    <w:name w:val="List Continue 3"/>
    <w:basedOn w:val="Normal"/>
    <w:uiPriority w:val="99"/>
    <w:semiHidden/>
    <w:unhideWhenUsed/>
    <w:rsid w:val="00F06FA1"/>
    <w:pPr>
      <w:spacing w:after="120"/>
      <w:ind w:left="849"/>
      <w:contextualSpacing/>
    </w:pPr>
  </w:style>
  <w:style w:type="paragraph" w:styleId="ListContinue2">
    <w:name w:val="List Continue 2"/>
    <w:basedOn w:val="Normal"/>
    <w:uiPriority w:val="99"/>
    <w:semiHidden/>
    <w:unhideWhenUsed/>
    <w:rsid w:val="00F06FA1"/>
    <w:pPr>
      <w:spacing w:after="120"/>
      <w:ind w:left="566"/>
      <w:contextualSpacing/>
    </w:pPr>
  </w:style>
  <w:style w:type="paragraph" w:styleId="ListContinue">
    <w:name w:val="List Continue"/>
    <w:basedOn w:val="Normal"/>
    <w:uiPriority w:val="99"/>
    <w:semiHidden/>
    <w:unhideWhenUsed/>
    <w:rsid w:val="00F06FA1"/>
    <w:pPr>
      <w:spacing w:after="120"/>
      <w:ind w:left="283"/>
      <w:contextualSpacing/>
    </w:pPr>
  </w:style>
  <w:style w:type="paragraph" w:styleId="Signature">
    <w:name w:val="Signature"/>
    <w:basedOn w:val="Normal"/>
    <w:link w:val="SignatureChar"/>
    <w:uiPriority w:val="99"/>
    <w:semiHidden/>
    <w:unhideWhenUsed/>
    <w:rsid w:val="00F06FA1"/>
    <w:pPr>
      <w:spacing w:before="0" w:after="0" w:line="240" w:lineRule="auto"/>
      <w:ind w:left="4252"/>
    </w:pPr>
  </w:style>
  <w:style w:type="character" w:customStyle="1" w:styleId="SignatureChar">
    <w:name w:val="Signature Char"/>
    <w:basedOn w:val="DefaultParagraphFont"/>
    <w:link w:val="Signature"/>
    <w:uiPriority w:val="99"/>
    <w:semiHidden/>
    <w:rsid w:val="00F06FA1"/>
    <w:rPr>
      <w:rFonts w:ascii="Times New Roman" w:hAnsi="Times New Roman"/>
      <w:sz w:val="22"/>
    </w:rPr>
  </w:style>
  <w:style w:type="paragraph" w:styleId="Closing">
    <w:name w:val="Closing"/>
    <w:basedOn w:val="Normal"/>
    <w:link w:val="ClosingChar"/>
    <w:uiPriority w:val="99"/>
    <w:semiHidden/>
    <w:unhideWhenUsed/>
    <w:rsid w:val="00F06FA1"/>
    <w:pPr>
      <w:spacing w:before="0" w:after="0" w:line="240" w:lineRule="auto"/>
      <w:ind w:left="4252"/>
    </w:pPr>
  </w:style>
  <w:style w:type="character" w:customStyle="1" w:styleId="ClosingChar">
    <w:name w:val="Closing Char"/>
    <w:basedOn w:val="DefaultParagraphFont"/>
    <w:link w:val="Closing"/>
    <w:uiPriority w:val="99"/>
    <w:semiHidden/>
    <w:rsid w:val="00F06FA1"/>
    <w:rPr>
      <w:rFonts w:ascii="Times New Roman" w:hAnsi="Times New Roman"/>
      <w:sz w:val="22"/>
    </w:rPr>
  </w:style>
  <w:style w:type="paragraph" w:styleId="ListNumber5">
    <w:name w:val="List Number 5"/>
    <w:basedOn w:val="Normal"/>
    <w:uiPriority w:val="99"/>
    <w:unhideWhenUsed/>
    <w:rsid w:val="00F06FA1"/>
    <w:pPr>
      <w:numPr>
        <w:numId w:val="27"/>
      </w:numPr>
      <w:contextualSpacing/>
    </w:pPr>
  </w:style>
  <w:style w:type="paragraph" w:styleId="ListNumber4">
    <w:name w:val="List Number 4"/>
    <w:basedOn w:val="Normal"/>
    <w:uiPriority w:val="99"/>
    <w:semiHidden/>
    <w:unhideWhenUsed/>
    <w:rsid w:val="00F06FA1"/>
    <w:pPr>
      <w:numPr>
        <w:numId w:val="28"/>
      </w:numPr>
      <w:contextualSpacing/>
    </w:pPr>
  </w:style>
  <w:style w:type="paragraph" w:styleId="ListNumber3">
    <w:name w:val="List Number 3"/>
    <w:basedOn w:val="Normal"/>
    <w:uiPriority w:val="99"/>
    <w:semiHidden/>
    <w:unhideWhenUsed/>
    <w:rsid w:val="00F06FA1"/>
    <w:pPr>
      <w:numPr>
        <w:numId w:val="29"/>
      </w:numPr>
      <w:contextualSpacing/>
    </w:pPr>
  </w:style>
  <w:style w:type="paragraph" w:styleId="ListNumber2">
    <w:name w:val="List Number 2"/>
    <w:basedOn w:val="Normal"/>
    <w:uiPriority w:val="99"/>
    <w:semiHidden/>
    <w:unhideWhenUsed/>
    <w:rsid w:val="00F06FA1"/>
    <w:pPr>
      <w:numPr>
        <w:numId w:val="30"/>
      </w:numPr>
      <w:contextualSpacing/>
    </w:pPr>
  </w:style>
  <w:style w:type="paragraph" w:styleId="ListBullet5">
    <w:name w:val="List Bullet 5"/>
    <w:basedOn w:val="Normal"/>
    <w:uiPriority w:val="99"/>
    <w:unhideWhenUsed/>
    <w:rsid w:val="00F06FA1"/>
    <w:pPr>
      <w:numPr>
        <w:numId w:val="31"/>
      </w:numPr>
      <w:contextualSpacing/>
    </w:pPr>
  </w:style>
  <w:style w:type="paragraph" w:styleId="ListBullet4">
    <w:name w:val="List Bullet 4"/>
    <w:basedOn w:val="Normal"/>
    <w:uiPriority w:val="99"/>
    <w:unhideWhenUsed/>
    <w:rsid w:val="00F06FA1"/>
    <w:pPr>
      <w:numPr>
        <w:numId w:val="32"/>
      </w:numPr>
      <w:contextualSpacing/>
    </w:pPr>
  </w:style>
  <w:style w:type="paragraph" w:styleId="ListBullet3">
    <w:name w:val="List Bullet 3"/>
    <w:basedOn w:val="Normal"/>
    <w:uiPriority w:val="99"/>
    <w:semiHidden/>
    <w:unhideWhenUsed/>
    <w:rsid w:val="00F06FA1"/>
    <w:pPr>
      <w:numPr>
        <w:numId w:val="33"/>
      </w:numPr>
      <w:contextualSpacing/>
    </w:pPr>
  </w:style>
  <w:style w:type="paragraph" w:styleId="List5">
    <w:name w:val="List 5"/>
    <w:basedOn w:val="Normal"/>
    <w:uiPriority w:val="99"/>
    <w:semiHidden/>
    <w:unhideWhenUsed/>
    <w:rsid w:val="00F06FA1"/>
    <w:pPr>
      <w:ind w:left="1415" w:hanging="283"/>
      <w:contextualSpacing/>
    </w:pPr>
  </w:style>
  <w:style w:type="paragraph" w:styleId="List4">
    <w:name w:val="List 4"/>
    <w:basedOn w:val="Normal"/>
    <w:uiPriority w:val="99"/>
    <w:semiHidden/>
    <w:unhideWhenUsed/>
    <w:rsid w:val="00F06FA1"/>
    <w:pPr>
      <w:ind w:left="1132" w:hanging="283"/>
      <w:contextualSpacing/>
    </w:pPr>
  </w:style>
  <w:style w:type="paragraph" w:styleId="List3">
    <w:name w:val="List 3"/>
    <w:basedOn w:val="Normal"/>
    <w:uiPriority w:val="99"/>
    <w:semiHidden/>
    <w:unhideWhenUsed/>
    <w:rsid w:val="00F06FA1"/>
    <w:pPr>
      <w:ind w:left="849" w:hanging="283"/>
      <w:contextualSpacing/>
    </w:pPr>
  </w:style>
  <w:style w:type="paragraph" w:styleId="List2">
    <w:name w:val="List 2"/>
    <w:basedOn w:val="Normal"/>
    <w:uiPriority w:val="99"/>
    <w:semiHidden/>
    <w:unhideWhenUsed/>
    <w:rsid w:val="00F06FA1"/>
    <w:pPr>
      <w:ind w:left="566" w:hanging="283"/>
      <w:contextualSpacing/>
    </w:pPr>
  </w:style>
  <w:style w:type="paragraph" w:styleId="ListNumber">
    <w:name w:val="List Number"/>
    <w:basedOn w:val="Normal"/>
    <w:uiPriority w:val="99"/>
    <w:semiHidden/>
    <w:unhideWhenUsed/>
    <w:rsid w:val="00F06FA1"/>
    <w:pPr>
      <w:numPr>
        <w:numId w:val="34"/>
      </w:numPr>
      <w:contextualSpacing/>
    </w:pPr>
  </w:style>
  <w:style w:type="paragraph" w:styleId="ListBullet">
    <w:name w:val="List Bullet"/>
    <w:basedOn w:val="Normal"/>
    <w:uiPriority w:val="99"/>
    <w:semiHidden/>
    <w:unhideWhenUsed/>
    <w:rsid w:val="00F06FA1"/>
    <w:pPr>
      <w:numPr>
        <w:numId w:val="35"/>
      </w:numPr>
      <w:contextualSpacing/>
    </w:pPr>
  </w:style>
  <w:style w:type="paragraph" w:styleId="List">
    <w:name w:val="List"/>
    <w:basedOn w:val="Normal"/>
    <w:uiPriority w:val="99"/>
    <w:semiHidden/>
    <w:unhideWhenUsed/>
    <w:rsid w:val="00F06FA1"/>
    <w:pPr>
      <w:ind w:left="283" w:hanging="283"/>
      <w:contextualSpacing/>
    </w:pPr>
  </w:style>
  <w:style w:type="paragraph" w:styleId="TOAHeading">
    <w:name w:val="toa heading"/>
    <w:basedOn w:val="Normal"/>
    <w:next w:val="Normal"/>
    <w:uiPriority w:val="99"/>
    <w:semiHidden/>
    <w:unhideWhenUsed/>
    <w:rsid w:val="00F06FA1"/>
    <w:pPr>
      <w:spacing w:before="120"/>
    </w:pPr>
    <w:rPr>
      <w:rFonts w:asciiTheme="majorHAnsi" w:eastAsiaTheme="majorEastAsia" w:hAnsiTheme="majorHAnsi" w:cstheme="majorBidi"/>
      <w:b/>
      <w:bCs/>
      <w:sz w:val="24"/>
      <w:szCs w:val="24"/>
    </w:rPr>
  </w:style>
  <w:style w:type="paragraph" w:styleId="MacroText">
    <w:name w:val="macro"/>
    <w:link w:val="MacroTextChar"/>
    <w:uiPriority w:val="99"/>
    <w:semiHidden/>
    <w:unhideWhenUsed/>
    <w:rsid w:val="00F06FA1"/>
    <w:pPr>
      <w:tabs>
        <w:tab w:val="left" w:pos="480"/>
        <w:tab w:val="left" w:pos="960"/>
        <w:tab w:val="left" w:pos="1440"/>
        <w:tab w:val="left" w:pos="1920"/>
        <w:tab w:val="left" w:pos="2400"/>
        <w:tab w:val="left" w:pos="2880"/>
        <w:tab w:val="left" w:pos="3360"/>
        <w:tab w:val="left" w:pos="3840"/>
        <w:tab w:val="left" w:pos="4320"/>
      </w:tabs>
      <w:spacing w:before="60" w:line="276" w:lineRule="auto"/>
      <w:jc w:val="both"/>
    </w:pPr>
    <w:rPr>
      <w:rFonts w:ascii="Consolas" w:hAnsi="Consolas"/>
      <w:szCs w:val="20"/>
    </w:rPr>
  </w:style>
  <w:style w:type="character" w:customStyle="1" w:styleId="MacroTextChar">
    <w:name w:val="Macro Text Char"/>
    <w:basedOn w:val="DefaultParagraphFont"/>
    <w:link w:val="MacroText"/>
    <w:uiPriority w:val="99"/>
    <w:semiHidden/>
    <w:rsid w:val="00F06FA1"/>
    <w:rPr>
      <w:rFonts w:ascii="Consolas" w:hAnsi="Consolas"/>
      <w:szCs w:val="20"/>
    </w:rPr>
  </w:style>
  <w:style w:type="paragraph" w:styleId="TableofAuthorities">
    <w:name w:val="table of authorities"/>
    <w:basedOn w:val="Normal"/>
    <w:next w:val="Normal"/>
    <w:uiPriority w:val="99"/>
    <w:semiHidden/>
    <w:unhideWhenUsed/>
    <w:rsid w:val="00F06FA1"/>
    <w:pPr>
      <w:spacing w:after="0"/>
      <w:ind w:left="220" w:hanging="220"/>
    </w:pPr>
  </w:style>
  <w:style w:type="character" w:styleId="EndnoteReference">
    <w:name w:val="endnote reference"/>
    <w:basedOn w:val="DefaultParagraphFont"/>
    <w:uiPriority w:val="99"/>
    <w:semiHidden/>
    <w:unhideWhenUsed/>
    <w:rsid w:val="00F06FA1"/>
    <w:rPr>
      <w:vertAlign w:val="superscript"/>
    </w:rPr>
  </w:style>
  <w:style w:type="character" w:styleId="LineNumber">
    <w:name w:val="line number"/>
    <w:basedOn w:val="DefaultParagraphFont"/>
    <w:uiPriority w:val="99"/>
    <w:semiHidden/>
    <w:unhideWhenUsed/>
    <w:rsid w:val="00F06FA1"/>
  </w:style>
  <w:style w:type="paragraph" w:styleId="EnvelopeReturn">
    <w:name w:val="envelope return"/>
    <w:basedOn w:val="Normal"/>
    <w:uiPriority w:val="99"/>
    <w:semiHidden/>
    <w:unhideWhenUsed/>
    <w:rsid w:val="00F06FA1"/>
    <w:pPr>
      <w:spacing w:before="0" w:after="0" w:line="240" w:lineRule="auto"/>
    </w:pPr>
    <w:rPr>
      <w:rFonts w:asciiTheme="majorHAnsi" w:eastAsiaTheme="majorEastAsia" w:hAnsiTheme="majorHAnsi" w:cstheme="majorBidi"/>
      <w:sz w:val="20"/>
      <w:szCs w:val="20"/>
    </w:rPr>
  </w:style>
  <w:style w:type="paragraph" w:styleId="EnvelopeAddress">
    <w:name w:val="envelope address"/>
    <w:basedOn w:val="Normal"/>
    <w:uiPriority w:val="99"/>
    <w:semiHidden/>
    <w:unhideWhenUsed/>
    <w:rsid w:val="00F06FA1"/>
    <w:pPr>
      <w:framePr w:w="4320" w:h="2160" w:hRule="exact" w:hSpace="141" w:wrap="auto" w:hAnchor="page" w:xAlign="center" w:yAlign="bottom"/>
      <w:spacing w:before="0" w:after="0" w:line="240" w:lineRule="auto"/>
      <w:ind w:left="1"/>
    </w:pPr>
    <w:rPr>
      <w:rFonts w:asciiTheme="majorHAnsi" w:eastAsiaTheme="majorEastAsia" w:hAnsiTheme="majorHAnsi" w:cstheme="majorBidi"/>
      <w:sz w:val="24"/>
      <w:szCs w:val="24"/>
    </w:rPr>
  </w:style>
  <w:style w:type="paragraph" w:styleId="Index1">
    <w:name w:val="index 1"/>
    <w:basedOn w:val="Normal"/>
    <w:next w:val="Normal"/>
    <w:autoRedefine/>
    <w:uiPriority w:val="99"/>
    <w:semiHidden/>
    <w:unhideWhenUsed/>
    <w:rsid w:val="00F06FA1"/>
    <w:pPr>
      <w:spacing w:before="0" w:after="0" w:line="240" w:lineRule="auto"/>
      <w:ind w:left="220" w:hanging="220"/>
    </w:pPr>
  </w:style>
  <w:style w:type="paragraph" w:styleId="IndexHeading">
    <w:name w:val="index heading"/>
    <w:basedOn w:val="Normal"/>
    <w:next w:val="Index1"/>
    <w:uiPriority w:val="99"/>
    <w:semiHidden/>
    <w:unhideWhenUsed/>
    <w:rsid w:val="00F06FA1"/>
    <w:rPr>
      <w:rFonts w:asciiTheme="majorHAnsi" w:eastAsiaTheme="majorEastAsia" w:hAnsiTheme="majorHAnsi" w:cstheme="majorBidi"/>
      <w:b/>
      <w:bCs/>
    </w:rPr>
  </w:style>
  <w:style w:type="paragraph" w:styleId="NormalIndent">
    <w:name w:val="Normal Indent"/>
    <w:basedOn w:val="Normal"/>
    <w:uiPriority w:val="99"/>
    <w:semiHidden/>
    <w:unhideWhenUsed/>
    <w:rsid w:val="00F06FA1"/>
    <w:pPr>
      <w:ind w:left="1134"/>
    </w:pPr>
  </w:style>
  <w:style w:type="paragraph" w:styleId="Index9">
    <w:name w:val="index 9"/>
    <w:basedOn w:val="Normal"/>
    <w:next w:val="Normal"/>
    <w:autoRedefine/>
    <w:uiPriority w:val="99"/>
    <w:semiHidden/>
    <w:unhideWhenUsed/>
    <w:rsid w:val="00F06FA1"/>
    <w:pPr>
      <w:spacing w:before="0" w:after="0" w:line="240" w:lineRule="auto"/>
      <w:ind w:left="1980" w:hanging="220"/>
    </w:pPr>
  </w:style>
  <w:style w:type="paragraph" w:styleId="Index8">
    <w:name w:val="index 8"/>
    <w:basedOn w:val="Normal"/>
    <w:next w:val="Normal"/>
    <w:autoRedefine/>
    <w:uiPriority w:val="99"/>
    <w:semiHidden/>
    <w:unhideWhenUsed/>
    <w:rsid w:val="00F06FA1"/>
    <w:pPr>
      <w:spacing w:before="0" w:after="0" w:line="240" w:lineRule="auto"/>
      <w:ind w:left="1760" w:hanging="220"/>
    </w:pPr>
  </w:style>
  <w:style w:type="paragraph" w:styleId="Index7">
    <w:name w:val="index 7"/>
    <w:basedOn w:val="Normal"/>
    <w:next w:val="Normal"/>
    <w:autoRedefine/>
    <w:uiPriority w:val="99"/>
    <w:semiHidden/>
    <w:unhideWhenUsed/>
    <w:rsid w:val="00F06FA1"/>
    <w:pPr>
      <w:spacing w:before="0" w:after="0" w:line="240" w:lineRule="auto"/>
      <w:ind w:left="1540" w:hanging="220"/>
    </w:pPr>
  </w:style>
  <w:style w:type="paragraph" w:styleId="Index6">
    <w:name w:val="index 6"/>
    <w:basedOn w:val="Normal"/>
    <w:next w:val="Normal"/>
    <w:autoRedefine/>
    <w:uiPriority w:val="99"/>
    <w:semiHidden/>
    <w:unhideWhenUsed/>
    <w:rsid w:val="00F06FA1"/>
    <w:pPr>
      <w:spacing w:before="0" w:after="0" w:line="240" w:lineRule="auto"/>
      <w:ind w:left="1320" w:hanging="220"/>
    </w:pPr>
  </w:style>
  <w:style w:type="paragraph" w:styleId="Index5">
    <w:name w:val="index 5"/>
    <w:basedOn w:val="Normal"/>
    <w:next w:val="Normal"/>
    <w:autoRedefine/>
    <w:uiPriority w:val="99"/>
    <w:semiHidden/>
    <w:unhideWhenUsed/>
    <w:rsid w:val="00F06FA1"/>
    <w:pPr>
      <w:spacing w:before="0" w:after="0" w:line="240" w:lineRule="auto"/>
      <w:ind w:left="1100" w:hanging="220"/>
    </w:pPr>
  </w:style>
  <w:style w:type="paragraph" w:styleId="Index4">
    <w:name w:val="index 4"/>
    <w:basedOn w:val="Normal"/>
    <w:next w:val="Normal"/>
    <w:autoRedefine/>
    <w:uiPriority w:val="99"/>
    <w:semiHidden/>
    <w:unhideWhenUsed/>
    <w:rsid w:val="00F06FA1"/>
    <w:pPr>
      <w:spacing w:before="0" w:after="0" w:line="240" w:lineRule="auto"/>
      <w:ind w:left="880" w:hanging="220"/>
    </w:pPr>
  </w:style>
  <w:style w:type="paragraph" w:styleId="Index3">
    <w:name w:val="index 3"/>
    <w:basedOn w:val="Normal"/>
    <w:next w:val="Normal"/>
    <w:autoRedefine/>
    <w:uiPriority w:val="99"/>
    <w:semiHidden/>
    <w:unhideWhenUsed/>
    <w:rsid w:val="00F06FA1"/>
    <w:pPr>
      <w:spacing w:before="0" w:after="0" w:line="240" w:lineRule="auto"/>
      <w:ind w:left="660" w:hanging="220"/>
    </w:pPr>
  </w:style>
  <w:style w:type="paragraph" w:styleId="Index2">
    <w:name w:val="index 2"/>
    <w:basedOn w:val="Normal"/>
    <w:next w:val="Normal"/>
    <w:autoRedefine/>
    <w:uiPriority w:val="99"/>
    <w:semiHidden/>
    <w:unhideWhenUsed/>
    <w:rsid w:val="00F06FA1"/>
    <w:pPr>
      <w:spacing w:before="0" w:after="0" w:line="240" w:lineRule="auto"/>
      <w:ind w:left="440" w:hanging="220"/>
    </w:pPr>
  </w:style>
  <w:style w:type="table" w:customStyle="1" w:styleId="TabelleISI1">
    <w:name w:val="Tabelle ISI 1"/>
    <w:basedOn w:val="TableNormal"/>
    <w:uiPriority w:val="99"/>
    <w:rsid w:val="00F06FA1"/>
    <w:pPr>
      <w:pBdr>
        <w:top w:val="none" w:sz="0" w:space="0" w:color="auto"/>
        <w:left w:val="none" w:sz="0" w:space="0" w:color="auto"/>
        <w:bottom w:val="none" w:sz="0" w:space="0" w:color="auto"/>
        <w:right w:val="none" w:sz="0" w:space="0" w:color="auto"/>
        <w:between w:val="none" w:sz="0" w:space="0" w:color="auto"/>
      </w:pBdr>
      <w:jc w:val="right"/>
    </w:pPr>
    <w:rPr>
      <w:rFonts w:asciiTheme="minorHAnsi" w:eastAsiaTheme="minorHAnsi" w:hAnsiTheme="minorHAnsi" w:cstheme="minorBidi"/>
      <w:szCs w:val="20"/>
    </w:rPr>
    <w:tblPr>
      <w:tblStyleRowBandSize w:val="1"/>
      <w:tblCellMar>
        <w:top w:w="28" w:type="dxa"/>
        <w:left w:w="85" w:type="dxa"/>
        <w:bottom w:w="28" w:type="dxa"/>
        <w:right w:w="85" w:type="dxa"/>
      </w:tblCellMar>
    </w:tblPr>
    <w:tblStylePr w:type="firstRow">
      <w:pPr>
        <w:jc w:val="right"/>
      </w:pPr>
      <w:rPr>
        <w:rFonts w:asciiTheme="minorHAnsi" w:hAnsiTheme="minorHAnsi"/>
        <w:b w:val="0"/>
      </w:rPr>
      <w:tblPr/>
      <w:trPr>
        <w:tblHeader/>
      </w:trPr>
      <w:tcPr>
        <w:shd w:val="clear" w:color="auto" w:fill="C9DBEB"/>
      </w:tcPr>
    </w:tblStylePr>
    <w:tblStylePr w:type="lastRow">
      <w:pPr>
        <w:jc w:val="right"/>
      </w:pPr>
      <w:rPr>
        <w:rFonts w:asciiTheme="minorHAnsi" w:hAnsiTheme="minorHAnsi"/>
      </w:rPr>
      <w:tblPr/>
      <w:tcPr>
        <w:tcBorders>
          <w:top w:val="single" w:sz="4" w:space="0" w:color="auto"/>
          <w:bottom w:val="single" w:sz="4" w:space="0" w:color="auto"/>
        </w:tcBorders>
      </w:tcPr>
    </w:tblStylePr>
    <w:tblStylePr w:type="firstCol">
      <w:pPr>
        <w:jc w:val="left"/>
      </w:pPr>
      <w:rPr>
        <w:b w:val="0"/>
      </w:rPr>
      <w:tblPr/>
      <w:tcPr>
        <w:shd w:val="clear" w:color="auto" w:fill="C9DBEB"/>
      </w:tcPr>
    </w:tblStylePr>
    <w:tblStylePr w:type="band1Horz">
      <w:tblPr/>
      <w:tcPr>
        <w:shd w:val="clear" w:color="auto" w:fill="FFFFFF" w:themeFill="background1"/>
      </w:tcPr>
    </w:tblStylePr>
    <w:tblStylePr w:type="band2Horz">
      <w:tblPr/>
      <w:tcPr>
        <w:shd w:val="clear" w:color="auto" w:fill="D5DCE4" w:themeFill="text2" w:themeFillTint="33"/>
      </w:tcPr>
    </w:tblStylePr>
    <w:tblStylePr w:type="nwCell">
      <w:pPr>
        <w:jc w:val="left"/>
      </w:pPr>
    </w:tblStylePr>
    <w:tblStylePr w:type="swCell">
      <w:pPr>
        <w:jc w:val="left"/>
      </w:pPr>
    </w:tblStylePr>
  </w:style>
  <w:style w:type="character" w:customStyle="1" w:styleId="UnresolvedMention5">
    <w:name w:val="Unresolved Mention5"/>
    <w:basedOn w:val="DefaultParagraphFont"/>
    <w:uiPriority w:val="99"/>
    <w:semiHidden/>
    <w:unhideWhenUsed/>
    <w:rsid w:val="00F679B2"/>
    <w:rPr>
      <w:color w:val="605E5C"/>
      <w:shd w:val="clear" w:color="auto" w:fill="E1DFDD"/>
    </w:rPr>
  </w:style>
  <w:style w:type="character" w:customStyle="1" w:styleId="cf01">
    <w:name w:val="cf01"/>
    <w:basedOn w:val="DefaultParagraphFont"/>
    <w:rsid w:val="009B2A03"/>
    <w:rPr>
      <w:rFonts w:ascii="Segoe UI" w:hAnsi="Segoe UI" w:cs="Segoe UI" w:hint="default"/>
      <w:sz w:val="18"/>
      <w:szCs w:val="18"/>
    </w:rPr>
  </w:style>
  <w:style w:type="paragraph" w:customStyle="1" w:styleId="Text1">
    <w:name w:val="Text 1"/>
    <w:basedOn w:val="Normal"/>
    <w:qFormat/>
    <w:rsid w:val="00265E9F"/>
    <w:pPr>
      <w:pBdr>
        <w:top w:val="none" w:sz="0" w:space="0" w:color="auto"/>
        <w:left w:val="none" w:sz="0" w:space="0" w:color="auto"/>
        <w:bottom w:val="none" w:sz="0" w:space="0" w:color="auto"/>
        <w:right w:val="none" w:sz="0" w:space="0" w:color="auto"/>
        <w:between w:val="none" w:sz="0" w:space="0" w:color="auto"/>
      </w:pBdr>
      <w:spacing w:before="0" w:after="0" w:line="240" w:lineRule="auto"/>
      <w:ind w:left="482"/>
      <w:jc w:val="left"/>
    </w:pPr>
    <w:rPr>
      <w:rFonts w:eastAsia="Times New Roman"/>
      <w:sz w:val="24"/>
      <w:szCs w:val="24"/>
      <w:lang w:eastAsia="en-GB"/>
    </w:rPr>
  </w:style>
  <w:style w:type="paragraph" w:customStyle="1" w:styleId="NECPdocument">
    <w:name w:val="NECP document"/>
    <w:basedOn w:val="Location"/>
    <w:link w:val="NECPdocumentChar"/>
    <w:qFormat/>
    <w:rsid w:val="001438D2"/>
    <w:pPr>
      <w:spacing w:before="120" w:after="120"/>
    </w:pPr>
    <w:rPr>
      <w:rFonts w:ascii="Times New Roman" w:hAnsi="Times New Roman"/>
    </w:rPr>
  </w:style>
  <w:style w:type="character" w:customStyle="1" w:styleId="KeinAbsatzformatChar">
    <w:name w:val="[Kein Absatzformat] Char"/>
    <w:basedOn w:val="DefaultParagraphFont"/>
    <w:link w:val="KeinAbsatzformat"/>
    <w:rsid w:val="001438D2"/>
    <w:rPr>
      <w:rFonts w:ascii="MinionPro-Regular" w:eastAsiaTheme="minorEastAsia" w:hAnsi="MinionPro-Regular" w:cs="MinionPro-Regular"/>
      <w:color w:val="000000"/>
      <w:sz w:val="24"/>
      <w:szCs w:val="24"/>
      <w:lang w:eastAsia="de-DE"/>
    </w:rPr>
  </w:style>
  <w:style w:type="character" w:customStyle="1" w:styleId="LocationChar">
    <w:name w:val="Location Char"/>
    <w:aliases w:val="Date1 Char,Date11 Char"/>
    <w:basedOn w:val="KeinAbsatzformatChar"/>
    <w:link w:val="Location"/>
    <w:rsid w:val="001438D2"/>
    <w:rPr>
      <w:rFonts w:ascii="Arial" w:eastAsiaTheme="minorEastAsia" w:hAnsi="Arial" w:cs="ArialMT"/>
      <w:color w:val="000000"/>
      <w:sz w:val="22"/>
      <w:szCs w:val="24"/>
      <w:lang w:eastAsia="de-DE"/>
    </w:rPr>
  </w:style>
  <w:style w:type="character" w:customStyle="1" w:styleId="NECPdocumentChar">
    <w:name w:val="NECP document Char"/>
    <w:basedOn w:val="LocationChar"/>
    <w:link w:val="NECPdocument"/>
    <w:rsid w:val="001438D2"/>
    <w:rPr>
      <w:rFonts w:ascii="Times New Roman" w:eastAsiaTheme="minorEastAsia" w:hAnsi="Times New Roman" w:cs="ArialMT"/>
      <w:color w:val="000000"/>
      <w:sz w:val="22"/>
      <w:szCs w:val="24"/>
      <w:lang w:eastAsia="de-DE"/>
    </w:rPr>
  </w:style>
  <w:style w:type="paragraph" w:customStyle="1" w:styleId="BulletedList">
    <w:name w:val="Bulleted List"/>
    <w:uiPriority w:val="12"/>
    <w:qFormat/>
    <w:rsid w:val="00651EBB"/>
    <w:pPr>
      <w:numPr>
        <w:numId w:val="55"/>
      </w:numPr>
      <w:pBdr>
        <w:top w:val="none" w:sz="0" w:space="0" w:color="auto"/>
        <w:left w:val="none" w:sz="0" w:space="0" w:color="auto"/>
        <w:bottom w:val="none" w:sz="0" w:space="0" w:color="auto"/>
        <w:right w:val="none" w:sz="0" w:space="0" w:color="auto"/>
        <w:between w:val="none" w:sz="0" w:space="0" w:color="auto"/>
      </w:pBdr>
      <w:spacing w:after="60" w:line="260" w:lineRule="exact"/>
      <w:jc w:val="both"/>
    </w:pPr>
    <w:rPr>
      <w:rFonts w:asciiTheme="minorHAnsi" w:eastAsiaTheme="minorHAnsi" w:hAnsiTheme="minorHAnsi" w:cstheme="minorBidi"/>
      <w:color w:val="000000" w:themeColor="text1"/>
      <w:lang w:val="en-GB"/>
    </w:rPr>
  </w:style>
  <w:style w:type="character" w:customStyle="1" w:styleId="UnresolvedMention">
    <w:name w:val="Unresolved Mention"/>
    <w:basedOn w:val="DefaultParagraphFont"/>
    <w:uiPriority w:val="99"/>
    <w:semiHidden/>
    <w:unhideWhenUsed/>
    <w:rsid w:val="008E7DE9"/>
    <w:rPr>
      <w:color w:val="605E5C"/>
      <w:shd w:val="clear" w:color="auto" w:fill="E1DFDD"/>
    </w:rPr>
  </w:style>
  <w:style w:type="paragraph" w:customStyle="1" w:styleId="ECAList">
    <w:name w:val="ECA List"/>
    <w:basedOn w:val="Normal"/>
    <w:qFormat/>
    <w:rsid w:val="00920BEF"/>
    <w:pPr>
      <w:numPr>
        <w:numId w:val="255"/>
      </w:numPr>
      <w:pBdr>
        <w:top w:val="none" w:sz="0" w:space="0" w:color="auto"/>
        <w:left w:val="none" w:sz="0" w:space="0" w:color="auto"/>
        <w:bottom w:val="none" w:sz="0" w:space="0" w:color="auto"/>
        <w:right w:val="none" w:sz="0" w:space="0" w:color="auto"/>
        <w:between w:val="none" w:sz="0" w:space="0" w:color="auto"/>
      </w:pBdr>
      <w:spacing w:before="240" w:after="240" w:line="240" w:lineRule="auto"/>
      <w:jc w:val="left"/>
    </w:pPr>
    <w:rPr>
      <w:rFonts w:ascii="Book Antiqua" w:eastAsia="Times New Roman" w:hAnsi="Book Antiqua"/>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938850">
      <w:bodyDiv w:val="1"/>
      <w:marLeft w:val="0"/>
      <w:marRight w:val="0"/>
      <w:marTop w:val="0"/>
      <w:marBottom w:val="0"/>
      <w:divBdr>
        <w:top w:val="none" w:sz="0" w:space="0" w:color="auto"/>
        <w:left w:val="none" w:sz="0" w:space="0" w:color="auto"/>
        <w:bottom w:val="none" w:sz="0" w:space="0" w:color="auto"/>
        <w:right w:val="none" w:sz="0" w:space="0" w:color="auto"/>
      </w:divBdr>
    </w:div>
    <w:div w:id="126634109">
      <w:bodyDiv w:val="1"/>
      <w:marLeft w:val="0"/>
      <w:marRight w:val="0"/>
      <w:marTop w:val="0"/>
      <w:marBottom w:val="0"/>
      <w:divBdr>
        <w:top w:val="none" w:sz="0" w:space="0" w:color="auto"/>
        <w:left w:val="none" w:sz="0" w:space="0" w:color="auto"/>
        <w:bottom w:val="none" w:sz="0" w:space="0" w:color="auto"/>
        <w:right w:val="none" w:sz="0" w:space="0" w:color="auto"/>
      </w:divBdr>
    </w:div>
    <w:div w:id="161089978">
      <w:bodyDiv w:val="1"/>
      <w:marLeft w:val="0"/>
      <w:marRight w:val="0"/>
      <w:marTop w:val="0"/>
      <w:marBottom w:val="0"/>
      <w:divBdr>
        <w:top w:val="none" w:sz="0" w:space="0" w:color="auto"/>
        <w:left w:val="none" w:sz="0" w:space="0" w:color="auto"/>
        <w:bottom w:val="none" w:sz="0" w:space="0" w:color="auto"/>
        <w:right w:val="none" w:sz="0" w:space="0" w:color="auto"/>
      </w:divBdr>
    </w:div>
    <w:div w:id="230388865">
      <w:bodyDiv w:val="1"/>
      <w:marLeft w:val="0"/>
      <w:marRight w:val="0"/>
      <w:marTop w:val="0"/>
      <w:marBottom w:val="0"/>
      <w:divBdr>
        <w:top w:val="none" w:sz="0" w:space="0" w:color="auto"/>
        <w:left w:val="none" w:sz="0" w:space="0" w:color="auto"/>
        <w:bottom w:val="none" w:sz="0" w:space="0" w:color="auto"/>
        <w:right w:val="none" w:sz="0" w:space="0" w:color="auto"/>
      </w:divBdr>
    </w:div>
    <w:div w:id="287904089">
      <w:bodyDiv w:val="1"/>
      <w:marLeft w:val="0"/>
      <w:marRight w:val="0"/>
      <w:marTop w:val="0"/>
      <w:marBottom w:val="0"/>
      <w:divBdr>
        <w:top w:val="none" w:sz="0" w:space="0" w:color="auto"/>
        <w:left w:val="none" w:sz="0" w:space="0" w:color="auto"/>
        <w:bottom w:val="none" w:sz="0" w:space="0" w:color="auto"/>
        <w:right w:val="none" w:sz="0" w:space="0" w:color="auto"/>
      </w:divBdr>
      <w:divsChild>
        <w:div w:id="249655845">
          <w:marLeft w:val="360"/>
          <w:marRight w:val="0"/>
          <w:marTop w:val="0"/>
          <w:marBottom w:val="0"/>
          <w:divBdr>
            <w:top w:val="none" w:sz="0" w:space="0" w:color="auto"/>
            <w:left w:val="none" w:sz="0" w:space="0" w:color="auto"/>
            <w:bottom w:val="none" w:sz="0" w:space="0" w:color="auto"/>
            <w:right w:val="none" w:sz="0" w:space="0" w:color="auto"/>
          </w:divBdr>
        </w:div>
      </w:divsChild>
    </w:div>
    <w:div w:id="351614061">
      <w:bodyDiv w:val="1"/>
      <w:marLeft w:val="0"/>
      <w:marRight w:val="0"/>
      <w:marTop w:val="0"/>
      <w:marBottom w:val="0"/>
      <w:divBdr>
        <w:top w:val="none" w:sz="0" w:space="0" w:color="auto"/>
        <w:left w:val="none" w:sz="0" w:space="0" w:color="auto"/>
        <w:bottom w:val="none" w:sz="0" w:space="0" w:color="auto"/>
        <w:right w:val="none" w:sz="0" w:space="0" w:color="auto"/>
      </w:divBdr>
    </w:div>
    <w:div w:id="360934490">
      <w:bodyDiv w:val="1"/>
      <w:marLeft w:val="0"/>
      <w:marRight w:val="0"/>
      <w:marTop w:val="0"/>
      <w:marBottom w:val="0"/>
      <w:divBdr>
        <w:top w:val="none" w:sz="0" w:space="0" w:color="auto"/>
        <w:left w:val="none" w:sz="0" w:space="0" w:color="auto"/>
        <w:bottom w:val="none" w:sz="0" w:space="0" w:color="auto"/>
        <w:right w:val="none" w:sz="0" w:space="0" w:color="auto"/>
      </w:divBdr>
    </w:div>
    <w:div w:id="412237608">
      <w:bodyDiv w:val="1"/>
      <w:marLeft w:val="0"/>
      <w:marRight w:val="0"/>
      <w:marTop w:val="0"/>
      <w:marBottom w:val="0"/>
      <w:divBdr>
        <w:top w:val="none" w:sz="0" w:space="0" w:color="auto"/>
        <w:left w:val="none" w:sz="0" w:space="0" w:color="auto"/>
        <w:bottom w:val="none" w:sz="0" w:space="0" w:color="auto"/>
        <w:right w:val="none" w:sz="0" w:space="0" w:color="auto"/>
      </w:divBdr>
    </w:div>
    <w:div w:id="430901691">
      <w:bodyDiv w:val="1"/>
      <w:marLeft w:val="0"/>
      <w:marRight w:val="0"/>
      <w:marTop w:val="0"/>
      <w:marBottom w:val="0"/>
      <w:divBdr>
        <w:top w:val="none" w:sz="0" w:space="0" w:color="auto"/>
        <w:left w:val="none" w:sz="0" w:space="0" w:color="auto"/>
        <w:bottom w:val="none" w:sz="0" w:space="0" w:color="auto"/>
        <w:right w:val="none" w:sz="0" w:space="0" w:color="auto"/>
      </w:divBdr>
    </w:div>
    <w:div w:id="448205598">
      <w:bodyDiv w:val="1"/>
      <w:marLeft w:val="0"/>
      <w:marRight w:val="0"/>
      <w:marTop w:val="0"/>
      <w:marBottom w:val="0"/>
      <w:divBdr>
        <w:top w:val="none" w:sz="0" w:space="0" w:color="auto"/>
        <w:left w:val="none" w:sz="0" w:space="0" w:color="auto"/>
        <w:bottom w:val="none" w:sz="0" w:space="0" w:color="auto"/>
        <w:right w:val="none" w:sz="0" w:space="0" w:color="auto"/>
      </w:divBdr>
    </w:div>
    <w:div w:id="454102909">
      <w:bodyDiv w:val="1"/>
      <w:marLeft w:val="0"/>
      <w:marRight w:val="0"/>
      <w:marTop w:val="0"/>
      <w:marBottom w:val="0"/>
      <w:divBdr>
        <w:top w:val="none" w:sz="0" w:space="0" w:color="auto"/>
        <w:left w:val="none" w:sz="0" w:space="0" w:color="auto"/>
        <w:bottom w:val="none" w:sz="0" w:space="0" w:color="auto"/>
        <w:right w:val="none" w:sz="0" w:space="0" w:color="auto"/>
      </w:divBdr>
      <w:divsChild>
        <w:div w:id="1108768997">
          <w:marLeft w:val="360"/>
          <w:marRight w:val="0"/>
          <w:marTop w:val="0"/>
          <w:marBottom w:val="0"/>
          <w:divBdr>
            <w:top w:val="none" w:sz="0" w:space="0" w:color="auto"/>
            <w:left w:val="none" w:sz="0" w:space="0" w:color="auto"/>
            <w:bottom w:val="none" w:sz="0" w:space="0" w:color="auto"/>
            <w:right w:val="none" w:sz="0" w:space="0" w:color="auto"/>
          </w:divBdr>
        </w:div>
      </w:divsChild>
    </w:div>
    <w:div w:id="577911372">
      <w:bodyDiv w:val="1"/>
      <w:marLeft w:val="0"/>
      <w:marRight w:val="0"/>
      <w:marTop w:val="0"/>
      <w:marBottom w:val="0"/>
      <w:divBdr>
        <w:top w:val="none" w:sz="0" w:space="0" w:color="auto"/>
        <w:left w:val="none" w:sz="0" w:space="0" w:color="auto"/>
        <w:bottom w:val="none" w:sz="0" w:space="0" w:color="auto"/>
        <w:right w:val="none" w:sz="0" w:space="0" w:color="auto"/>
      </w:divBdr>
    </w:div>
    <w:div w:id="609552183">
      <w:bodyDiv w:val="1"/>
      <w:marLeft w:val="0"/>
      <w:marRight w:val="0"/>
      <w:marTop w:val="0"/>
      <w:marBottom w:val="0"/>
      <w:divBdr>
        <w:top w:val="none" w:sz="0" w:space="0" w:color="auto"/>
        <w:left w:val="none" w:sz="0" w:space="0" w:color="auto"/>
        <w:bottom w:val="none" w:sz="0" w:space="0" w:color="auto"/>
        <w:right w:val="none" w:sz="0" w:space="0" w:color="auto"/>
      </w:divBdr>
      <w:divsChild>
        <w:div w:id="795022248">
          <w:marLeft w:val="547"/>
          <w:marRight w:val="0"/>
          <w:marTop w:val="0"/>
          <w:marBottom w:val="0"/>
          <w:divBdr>
            <w:top w:val="none" w:sz="0" w:space="0" w:color="auto"/>
            <w:left w:val="none" w:sz="0" w:space="0" w:color="auto"/>
            <w:bottom w:val="none" w:sz="0" w:space="0" w:color="auto"/>
            <w:right w:val="none" w:sz="0" w:space="0" w:color="auto"/>
          </w:divBdr>
        </w:div>
      </w:divsChild>
    </w:div>
    <w:div w:id="629165310">
      <w:bodyDiv w:val="1"/>
      <w:marLeft w:val="0"/>
      <w:marRight w:val="0"/>
      <w:marTop w:val="0"/>
      <w:marBottom w:val="0"/>
      <w:divBdr>
        <w:top w:val="none" w:sz="0" w:space="0" w:color="auto"/>
        <w:left w:val="none" w:sz="0" w:space="0" w:color="auto"/>
        <w:bottom w:val="none" w:sz="0" w:space="0" w:color="auto"/>
        <w:right w:val="none" w:sz="0" w:space="0" w:color="auto"/>
      </w:divBdr>
    </w:div>
    <w:div w:id="653801801">
      <w:bodyDiv w:val="1"/>
      <w:marLeft w:val="0"/>
      <w:marRight w:val="0"/>
      <w:marTop w:val="0"/>
      <w:marBottom w:val="0"/>
      <w:divBdr>
        <w:top w:val="none" w:sz="0" w:space="0" w:color="auto"/>
        <w:left w:val="none" w:sz="0" w:space="0" w:color="auto"/>
        <w:bottom w:val="none" w:sz="0" w:space="0" w:color="auto"/>
        <w:right w:val="none" w:sz="0" w:space="0" w:color="auto"/>
      </w:divBdr>
    </w:div>
    <w:div w:id="659426090">
      <w:bodyDiv w:val="1"/>
      <w:marLeft w:val="0"/>
      <w:marRight w:val="0"/>
      <w:marTop w:val="0"/>
      <w:marBottom w:val="0"/>
      <w:divBdr>
        <w:top w:val="none" w:sz="0" w:space="0" w:color="auto"/>
        <w:left w:val="none" w:sz="0" w:space="0" w:color="auto"/>
        <w:bottom w:val="none" w:sz="0" w:space="0" w:color="auto"/>
        <w:right w:val="none" w:sz="0" w:space="0" w:color="auto"/>
      </w:divBdr>
    </w:div>
    <w:div w:id="699430380">
      <w:bodyDiv w:val="1"/>
      <w:marLeft w:val="0"/>
      <w:marRight w:val="0"/>
      <w:marTop w:val="0"/>
      <w:marBottom w:val="0"/>
      <w:divBdr>
        <w:top w:val="none" w:sz="0" w:space="0" w:color="auto"/>
        <w:left w:val="none" w:sz="0" w:space="0" w:color="auto"/>
        <w:bottom w:val="none" w:sz="0" w:space="0" w:color="auto"/>
        <w:right w:val="none" w:sz="0" w:space="0" w:color="auto"/>
      </w:divBdr>
    </w:div>
    <w:div w:id="790394158">
      <w:bodyDiv w:val="1"/>
      <w:marLeft w:val="0"/>
      <w:marRight w:val="0"/>
      <w:marTop w:val="0"/>
      <w:marBottom w:val="0"/>
      <w:divBdr>
        <w:top w:val="none" w:sz="0" w:space="0" w:color="auto"/>
        <w:left w:val="none" w:sz="0" w:space="0" w:color="auto"/>
        <w:bottom w:val="none" w:sz="0" w:space="0" w:color="auto"/>
        <w:right w:val="none" w:sz="0" w:space="0" w:color="auto"/>
      </w:divBdr>
    </w:div>
    <w:div w:id="793914059">
      <w:bodyDiv w:val="1"/>
      <w:marLeft w:val="0"/>
      <w:marRight w:val="0"/>
      <w:marTop w:val="0"/>
      <w:marBottom w:val="0"/>
      <w:divBdr>
        <w:top w:val="none" w:sz="0" w:space="0" w:color="auto"/>
        <w:left w:val="none" w:sz="0" w:space="0" w:color="auto"/>
        <w:bottom w:val="none" w:sz="0" w:space="0" w:color="auto"/>
        <w:right w:val="none" w:sz="0" w:space="0" w:color="auto"/>
      </w:divBdr>
    </w:div>
    <w:div w:id="808088437">
      <w:bodyDiv w:val="1"/>
      <w:marLeft w:val="0"/>
      <w:marRight w:val="0"/>
      <w:marTop w:val="0"/>
      <w:marBottom w:val="0"/>
      <w:divBdr>
        <w:top w:val="none" w:sz="0" w:space="0" w:color="auto"/>
        <w:left w:val="none" w:sz="0" w:space="0" w:color="auto"/>
        <w:bottom w:val="none" w:sz="0" w:space="0" w:color="auto"/>
        <w:right w:val="none" w:sz="0" w:space="0" w:color="auto"/>
      </w:divBdr>
    </w:div>
    <w:div w:id="887763591">
      <w:bodyDiv w:val="1"/>
      <w:marLeft w:val="0"/>
      <w:marRight w:val="0"/>
      <w:marTop w:val="0"/>
      <w:marBottom w:val="0"/>
      <w:divBdr>
        <w:top w:val="none" w:sz="0" w:space="0" w:color="auto"/>
        <w:left w:val="none" w:sz="0" w:space="0" w:color="auto"/>
        <w:bottom w:val="none" w:sz="0" w:space="0" w:color="auto"/>
        <w:right w:val="none" w:sz="0" w:space="0" w:color="auto"/>
      </w:divBdr>
    </w:div>
    <w:div w:id="957612811">
      <w:bodyDiv w:val="1"/>
      <w:marLeft w:val="0"/>
      <w:marRight w:val="0"/>
      <w:marTop w:val="0"/>
      <w:marBottom w:val="0"/>
      <w:divBdr>
        <w:top w:val="none" w:sz="0" w:space="0" w:color="auto"/>
        <w:left w:val="none" w:sz="0" w:space="0" w:color="auto"/>
        <w:bottom w:val="none" w:sz="0" w:space="0" w:color="auto"/>
        <w:right w:val="none" w:sz="0" w:space="0" w:color="auto"/>
      </w:divBdr>
    </w:div>
    <w:div w:id="962660017">
      <w:bodyDiv w:val="1"/>
      <w:marLeft w:val="0"/>
      <w:marRight w:val="0"/>
      <w:marTop w:val="0"/>
      <w:marBottom w:val="0"/>
      <w:divBdr>
        <w:top w:val="none" w:sz="0" w:space="0" w:color="auto"/>
        <w:left w:val="none" w:sz="0" w:space="0" w:color="auto"/>
        <w:bottom w:val="none" w:sz="0" w:space="0" w:color="auto"/>
        <w:right w:val="none" w:sz="0" w:space="0" w:color="auto"/>
      </w:divBdr>
    </w:div>
    <w:div w:id="974212426">
      <w:bodyDiv w:val="1"/>
      <w:marLeft w:val="0"/>
      <w:marRight w:val="0"/>
      <w:marTop w:val="0"/>
      <w:marBottom w:val="0"/>
      <w:divBdr>
        <w:top w:val="none" w:sz="0" w:space="0" w:color="auto"/>
        <w:left w:val="none" w:sz="0" w:space="0" w:color="auto"/>
        <w:bottom w:val="none" w:sz="0" w:space="0" w:color="auto"/>
        <w:right w:val="none" w:sz="0" w:space="0" w:color="auto"/>
      </w:divBdr>
    </w:div>
    <w:div w:id="1012688633">
      <w:bodyDiv w:val="1"/>
      <w:marLeft w:val="0"/>
      <w:marRight w:val="0"/>
      <w:marTop w:val="0"/>
      <w:marBottom w:val="0"/>
      <w:divBdr>
        <w:top w:val="none" w:sz="0" w:space="0" w:color="auto"/>
        <w:left w:val="none" w:sz="0" w:space="0" w:color="auto"/>
        <w:bottom w:val="none" w:sz="0" w:space="0" w:color="auto"/>
        <w:right w:val="none" w:sz="0" w:space="0" w:color="auto"/>
      </w:divBdr>
      <w:divsChild>
        <w:div w:id="2026443976">
          <w:marLeft w:val="360"/>
          <w:marRight w:val="0"/>
          <w:marTop w:val="0"/>
          <w:marBottom w:val="0"/>
          <w:divBdr>
            <w:top w:val="none" w:sz="0" w:space="0" w:color="auto"/>
            <w:left w:val="none" w:sz="0" w:space="0" w:color="auto"/>
            <w:bottom w:val="none" w:sz="0" w:space="0" w:color="auto"/>
            <w:right w:val="none" w:sz="0" w:space="0" w:color="auto"/>
          </w:divBdr>
        </w:div>
      </w:divsChild>
    </w:div>
    <w:div w:id="1061977467">
      <w:bodyDiv w:val="1"/>
      <w:marLeft w:val="0"/>
      <w:marRight w:val="0"/>
      <w:marTop w:val="0"/>
      <w:marBottom w:val="0"/>
      <w:divBdr>
        <w:top w:val="none" w:sz="0" w:space="0" w:color="auto"/>
        <w:left w:val="none" w:sz="0" w:space="0" w:color="auto"/>
        <w:bottom w:val="none" w:sz="0" w:space="0" w:color="auto"/>
        <w:right w:val="none" w:sz="0" w:space="0" w:color="auto"/>
      </w:divBdr>
      <w:divsChild>
        <w:div w:id="543904841">
          <w:marLeft w:val="360"/>
          <w:marRight w:val="0"/>
          <w:marTop w:val="200"/>
          <w:marBottom w:val="0"/>
          <w:divBdr>
            <w:top w:val="none" w:sz="0" w:space="0" w:color="auto"/>
            <w:left w:val="none" w:sz="0" w:space="0" w:color="auto"/>
            <w:bottom w:val="none" w:sz="0" w:space="0" w:color="auto"/>
            <w:right w:val="none" w:sz="0" w:space="0" w:color="auto"/>
          </w:divBdr>
        </w:div>
        <w:div w:id="808059927">
          <w:marLeft w:val="360"/>
          <w:marRight w:val="0"/>
          <w:marTop w:val="200"/>
          <w:marBottom w:val="0"/>
          <w:divBdr>
            <w:top w:val="none" w:sz="0" w:space="0" w:color="auto"/>
            <w:left w:val="none" w:sz="0" w:space="0" w:color="auto"/>
            <w:bottom w:val="none" w:sz="0" w:space="0" w:color="auto"/>
            <w:right w:val="none" w:sz="0" w:space="0" w:color="auto"/>
          </w:divBdr>
        </w:div>
        <w:div w:id="1084494044">
          <w:marLeft w:val="360"/>
          <w:marRight w:val="0"/>
          <w:marTop w:val="200"/>
          <w:marBottom w:val="0"/>
          <w:divBdr>
            <w:top w:val="none" w:sz="0" w:space="0" w:color="auto"/>
            <w:left w:val="none" w:sz="0" w:space="0" w:color="auto"/>
            <w:bottom w:val="none" w:sz="0" w:space="0" w:color="auto"/>
            <w:right w:val="none" w:sz="0" w:space="0" w:color="auto"/>
          </w:divBdr>
        </w:div>
        <w:div w:id="1787430857">
          <w:marLeft w:val="360"/>
          <w:marRight w:val="0"/>
          <w:marTop w:val="200"/>
          <w:marBottom w:val="0"/>
          <w:divBdr>
            <w:top w:val="none" w:sz="0" w:space="0" w:color="auto"/>
            <w:left w:val="none" w:sz="0" w:space="0" w:color="auto"/>
            <w:bottom w:val="none" w:sz="0" w:space="0" w:color="auto"/>
            <w:right w:val="none" w:sz="0" w:space="0" w:color="auto"/>
          </w:divBdr>
        </w:div>
        <w:div w:id="38602059">
          <w:marLeft w:val="360"/>
          <w:marRight w:val="0"/>
          <w:marTop w:val="200"/>
          <w:marBottom w:val="0"/>
          <w:divBdr>
            <w:top w:val="none" w:sz="0" w:space="0" w:color="auto"/>
            <w:left w:val="none" w:sz="0" w:space="0" w:color="auto"/>
            <w:bottom w:val="none" w:sz="0" w:space="0" w:color="auto"/>
            <w:right w:val="none" w:sz="0" w:space="0" w:color="auto"/>
          </w:divBdr>
        </w:div>
        <w:div w:id="115569804">
          <w:marLeft w:val="360"/>
          <w:marRight w:val="0"/>
          <w:marTop w:val="200"/>
          <w:marBottom w:val="0"/>
          <w:divBdr>
            <w:top w:val="none" w:sz="0" w:space="0" w:color="auto"/>
            <w:left w:val="none" w:sz="0" w:space="0" w:color="auto"/>
            <w:bottom w:val="none" w:sz="0" w:space="0" w:color="auto"/>
            <w:right w:val="none" w:sz="0" w:space="0" w:color="auto"/>
          </w:divBdr>
        </w:div>
      </w:divsChild>
    </w:div>
    <w:div w:id="1089501184">
      <w:bodyDiv w:val="1"/>
      <w:marLeft w:val="0"/>
      <w:marRight w:val="0"/>
      <w:marTop w:val="0"/>
      <w:marBottom w:val="0"/>
      <w:divBdr>
        <w:top w:val="none" w:sz="0" w:space="0" w:color="auto"/>
        <w:left w:val="none" w:sz="0" w:space="0" w:color="auto"/>
        <w:bottom w:val="none" w:sz="0" w:space="0" w:color="auto"/>
        <w:right w:val="none" w:sz="0" w:space="0" w:color="auto"/>
      </w:divBdr>
    </w:div>
    <w:div w:id="1104349948">
      <w:bodyDiv w:val="1"/>
      <w:marLeft w:val="0"/>
      <w:marRight w:val="0"/>
      <w:marTop w:val="0"/>
      <w:marBottom w:val="0"/>
      <w:divBdr>
        <w:top w:val="none" w:sz="0" w:space="0" w:color="auto"/>
        <w:left w:val="none" w:sz="0" w:space="0" w:color="auto"/>
        <w:bottom w:val="none" w:sz="0" w:space="0" w:color="auto"/>
        <w:right w:val="none" w:sz="0" w:space="0" w:color="auto"/>
      </w:divBdr>
    </w:div>
    <w:div w:id="1139883321">
      <w:bodyDiv w:val="1"/>
      <w:marLeft w:val="0"/>
      <w:marRight w:val="0"/>
      <w:marTop w:val="0"/>
      <w:marBottom w:val="0"/>
      <w:divBdr>
        <w:top w:val="none" w:sz="0" w:space="0" w:color="auto"/>
        <w:left w:val="none" w:sz="0" w:space="0" w:color="auto"/>
        <w:bottom w:val="none" w:sz="0" w:space="0" w:color="auto"/>
        <w:right w:val="none" w:sz="0" w:space="0" w:color="auto"/>
      </w:divBdr>
    </w:div>
    <w:div w:id="1159931057">
      <w:bodyDiv w:val="1"/>
      <w:marLeft w:val="0"/>
      <w:marRight w:val="0"/>
      <w:marTop w:val="0"/>
      <w:marBottom w:val="0"/>
      <w:divBdr>
        <w:top w:val="none" w:sz="0" w:space="0" w:color="auto"/>
        <w:left w:val="none" w:sz="0" w:space="0" w:color="auto"/>
        <w:bottom w:val="none" w:sz="0" w:space="0" w:color="auto"/>
        <w:right w:val="none" w:sz="0" w:space="0" w:color="auto"/>
      </w:divBdr>
      <w:divsChild>
        <w:div w:id="593250451">
          <w:marLeft w:val="547"/>
          <w:marRight w:val="0"/>
          <w:marTop w:val="0"/>
          <w:marBottom w:val="0"/>
          <w:divBdr>
            <w:top w:val="none" w:sz="0" w:space="0" w:color="auto"/>
            <w:left w:val="none" w:sz="0" w:space="0" w:color="auto"/>
            <w:bottom w:val="none" w:sz="0" w:space="0" w:color="auto"/>
            <w:right w:val="none" w:sz="0" w:space="0" w:color="auto"/>
          </w:divBdr>
        </w:div>
      </w:divsChild>
    </w:div>
    <w:div w:id="1239440223">
      <w:bodyDiv w:val="1"/>
      <w:marLeft w:val="0"/>
      <w:marRight w:val="0"/>
      <w:marTop w:val="0"/>
      <w:marBottom w:val="0"/>
      <w:divBdr>
        <w:top w:val="none" w:sz="0" w:space="0" w:color="auto"/>
        <w:left w:val="none" w:sz="0" w:space="0" w:color="auto"/>
        <w:bottom w:val="none" w:sz="0" w:space="0" w:color="auto"/>
        <w:right w:val="none" w:sz="0" w:space="0" w:color="auto"/>
      </w:divBdr>
    </w:div>
    <w:div w:id="1322007807">
      <w:bodyDiv w:val="1"/>
      <w:marLeft w:val="0"/>
      <w:marRight w:val="0"/>
      <w:marTop w:val="0"/>
      <w:marBottom w:val="0"/>
      <w:divBdr>
        <w:top w:val="none" w:sz="0" w:space="0" w:color="auto"/>
        <w:left w:val="none" w:sz="0" w:space="0" w:color="auto"/>
        <w:bottom w:val="none" w:sz="0" w:space="0" w:color="auto"/>
        <w:right w:val="none" w:sz="0" w:space="0" w:color="auto"/>
      </w:divBdr>
    </w:div>
    <w:div w:id="1364479501">
      <w:bodyDiv w:val="1"/>
      <w:marLeft w:val="0"/>
      <w:marRight w:val="0"/>
      <w:marTop w:val="0"/>
      <w:marBottom w:val="0"/>
      <w:divBdr>
        <w:top w:val="none" w:sz="0" w:space="0" w:color="auto"/>
        <w:left w:val="none" w:sz="0" w:space="0" w:color="auto"/>
        <w:bottom w:val="none" w:sz="0" w:space="0" w:color="auto"/>
        <w:right w:val="none" w:sz="0" w:space="0" w:color="auto"/>
      </w:divBdr>
    </w:div>
    <w:div w:id="1366100200">
      <w:bodyDiv w:val="1"/>
      <w:marLeft w:val="0"/>
      <w:marRight w:val="0"/>
      <w:marTop w:val="0"/>
      <w:marBottom w:val="0"/>
      <w:divBdr>
        <w:top w:val="none" w:sz="0" w:space="0" w:color="auto"/>
        <w:left w:val="none" w:sz="0" w:space="0" w:color="auto"/>
        <w:bottom w:val="none" w:sz="0" w:space="0" w:color="auto"/>
        <w:right w:val="none" w:sz="0" w:space="0" w:color="auto"/>
      </w:divBdr>
    </w:div>
    <w:div w:id="1371683516">
      <w:bodyDiv w:val="1"/>
      <w:marLeft w:val="0"/>
      <w:marRight w:val="0"/>
      <w:marTop w:val="0"/>
      <w:marBottom w:val="0"/>
      <w:divBdr>
        <w:top w:val="none" w:sz="0" w:space="0" w:color="auto"/>
        <w:left w:val="none" w:sz="0" w:space="0" w:color="auto"/>
        <w:bottom w:val="none" w:sz="0" w:space="0" w:color="auto"/>
        <w:right w:val="none" w:sz="0" w:space="0" w:color="auto"/>
      </w:divBdr>
    </w:div>
    <w:div w:id="1375621779">
      <w:bodyDiv w:val="1"/>
      <w:marLeft w:val="0"/>
      <w:marRight w:val="0"/>
      <w:marTop w:val="0"/>
      <w:marBottom w:val="0"/>
      <w:divBdr>
        <w:top w:val="none" w:sz="0" w:space="0" w:color="auto"/>
        <w:left w:val="none" w:sz="0" w:space="0" w:color="auto"/>
        <w:bottom w:val="none" w:sz="0" w:space="0" w:color="auto"/>
        <w:right w:val="none" w:sz="0" w:space="0" w:color="auto"/>
      </w:divBdr>
    </w:div>
    <w:div w:id="1426266153">
      <w:bodyDiv w:val="1"/>
      <w:marLeft w:val="0"/>
      <w:marRight w:val="0"/>
      <w:marTop w:val="0"/>
      <w:marBottom w:val="0"/>
      <w:divBdr>
        <w:top w:val="none" w:sz="0" w:space="0" w:color="auto"/>
        <w:left w:val="none" w:sz="0" w:space="0" w:color="auto"/>
        <w:bottom w:val="none" w:sz="0" w:space="0" w:color="auto"/>
        <w:right w:val="none" w:sz="0" w:space="0" w:color="auto"/>
      </w:divBdr>
    </w:div>
    <w:div w:id="1430656585">
      <w:bodyDiv w:val="1"/>
      <w:marLeft w:val="0"/>
      <w:marRight w:val="0"/>
      <w:marTop w:val="0"/>
      <w:marBottom w:val="0"/>
      <w:divBdr>
        <w:top w:val="none" w:sz="0" w:space="0" w:color="auto"/>
        <w:left w:val="none" w:sz="0" w:space="0" w:color="auto"/>
        <w:bottom w:val="none" w:sz="0" w:space="0" w:color="auto"/>
        <w:right w:val="none" w:sz="0" w:space="0" w:color="auto"/>
      </w:divBdr>
    </w:div>
    <w:div w:id="1545681314">
      <w:bodyDiv w:val="1"/>
      <w:marLeft w:val="0"/>
      <w:marRight w:val="0"/>
      <w:marTop w:val="0"/>
      <w:marBottom w:val="0"/>
      <w:divBdr>
        <w:top w:val="none" w:sz="0" w:space="0" w:color="auto"/>
        <w:left w:val="none" w:sz="0" w:space="0" w:color="auto"/>
        <w:bottom w:val="none" w:sz="0" w:space="0" w:color="auto"/>
        <w:right w:val="none" w:sz="0" w:space="0" w:color="auto"/>
      </w:divBdr>
    </w:div>
    <w:div w:id="1566791254">
      <w:bodyDiv w:val="1"/>
      <w:marLeft w:val="0"/>
      <w:marRight w:val="0"/>
      <w:marTop w:val="0"/>
      <w:marBottom w:val="0"/>
      <w:divBdr>
        <w:top w:val="none" w:sz="0" w:space="0" w:color="auto"/>
        <w:left w:val="none" w:sz="0" w:space="0" w:color="auto"/>
        <w:bottom w:val="none" w:sz="0" w:space="0" w:color="auto"/>
        <w:right w:val="none" w:sz="0" w:space="0" w:color="auto"/>
      </w:divBdr>
    </w:div>
    <w:div w:id="1604875653">
      <w:bodyDiv w:val="1"/>
      <w:marLeft w:val="0"/>
      <w:marRight w:val="0"/>
      <w:marTop w:val="0"/>
      <w:marBottom w:val="0"/>
      <w:divBdr>
        <w:top w:val="none" w:sz="0" w:space="0" w:color="auto"/>
        <w:left w:val="none" w:sz="0" w:space="0" w:color="auto"/>
        <w:bottom w:val="none" w:sz="0" w:space="0" w:color="auto"/>
        <w:right w:val="none" w:sz="0" w:space="0" w:color="auto"/>
      </w:divBdr>
    </w:div>
    <w:div w:id="1611160325">
      <w:bodyDiv w:val="1"/>
      <w:marLeft w:val="0"/>
      <w:marRight w:val="0"/>
      <w:marTop w:val="0"/>
      <w:marBottom w:val="0"/>
      <w:divBdr>
        <w:top w:val="none" w:sz="0" w:space="0" w:color="auto"/>
        <w:left w:val="none" w:sz="0" w:space="0" w:color="auto"/>
        <w:bottom w:val="none" w:sz="0" w:space="0" w:color="auto"/>
        <w:right w:val="none" w:sz="0" w:space="0" w:color="auto"/>
      </w:divBdr>
    </w:div>
    <w:div w:id="1660379061">
      <w:bodyDiv w:val="1"/>
      <w:marLeft w:val="0"/>
      <w:marRight w:val="0"/>
      <w:marTop w:val="0"/>
      <w:marBottom w:val="0"/>
      <w:divBdr>
        <w:top w:val="none" w:sz="0" w:space="0" w:color="auto"/>
        <w:left w:val="none" w:sz="0" w:space="0" w:color="auto"/>
        <w:bottom w:val="none" w:sz="0" w:space="0" w:color="auto"/>
        <w:right w:val="none" w:sz="0" w:space="0" w:color="auto"/>
      </w:divBdr>
      <w:divsChild>
        <w:div w:id="1020158198">
          <w:marLeft w:val="446"/>
          <w:marRight w:val="0"/>
          <w:marTop w:val="120"/>
          <w:marBottom w:val="120"/>
          <w:divBdr>
            <w:top w:val="none" w:sz="0" w:space="0" w:color="auto"/>
            <w:left w:val="none" w:sz="0" w:space="0" w:color="auto"/>
            <w:bottom w:val="none" w:sz="0" w:space="0" w:color="auto"/>
            <w:right w:val="none" w:sz="0" w:space="0" w:color="auto"/>
          </w:divBdr>
        </w:div>
      </w:divsChild>
    </w:div>
    <w:div w:id="1681197261">
      <w:bodyDiv w:val="1"/>
      <w:marLeft w:val="0"/>
      <w:marRight w:val="0"/>
      <w:marTop w:val="0"/>
      <w:marBottom w:val="0"/>
      <w:divBdr>
        <w:top w:val="none" w:sz="0" w:space="0" w:color="auto"/>
        <w:left w:val="none" w:sz="0" w:space="0" w:color="auto"/>
        <w:bottom w:val="none" w:sz="0" w:space="0" w:color="auto"/>
        <w:right w:val="none" w:sz="0" w:space="0" w:color="auto"/>
      </w:divBdr>
    </w:div>
    <w:div w:id="1706905443">
      <w:bodyDiv w:val="1"/>
      <w:marLeft w:val="0"/>
      <w:marRight w:val="0"/>
      <w:marTop w:val="0"/>
      <w:marBottom w:val="0"/>
      <w:divBdr>
        <w:top w:val="none" w:sz="0" w:space="0" w:color="auto"/>
        <w:left w:val="none" w:sz="0" w:space="0" w:color="auto"/>
        <w:bottom w:val="none" w:sz="0" w:space="0" w:color="auto"/>
        <w:right w:val="none" w:sz="0" w:space="0" w:color="auto"/>
      </w:divBdr>
    </w:div>
    <w:div w:id="1726947374">
      <w:bodyDiv w:val="1"/>
      <w:marLeft w:val="0"/>
      <w:marRight w:val="0"/>
      <w:marTop w:val="0"/>
      <w:marBottom w:val="0"/>
      <w:divBdr>
        <w:top w:val="none" w:sz="0" w:space="0" w:color="auto"/>
        <w:left w:val="none" w:sz="0" w:space="0" w:color="auto"/>
        <w:bottom w:val="none" w:sz="0" w:space="0" w:color="auto"/>
        <w:right w:val="none" w:sz="0" w:space="0" w:color="auto"/>
      </w:divBdr>
    </w:div>
    <w:div w:id="1853832258">
      <w:bodyDiv w:val="1"/>
      <w:marLeft w:val="0"/>
      <w:marRight w:val="0"/>
      <w:marTop w:val="0"/>
      <w:marBottom w:val="0"/>
      <w:divBdr>
        <w:top w:val="none" w:sz="0" w:space="0" w:color="auto"/>
        <w:left w:val="none" w:sz="0" w:space="0" w:color="auto"/>
        <w:bottom w:val="none" w:sz="0" w:space="0" w:color="auto"/>
        <w:right w:val="none" w:sz="0" w:space="0" w:color="auto"/>
      </w:divBdr>
    </w:div>
    <w:div w:id="1931892382">
      <w:bodyDiv w:val="1"/>
      <w:marLeft w:val="0"/>
      <w:marRight w:val="0"/>
      <w:marTop w:val="0"/>
      <w:marBottom w:val="0"/>
      <w:divBdr>
        <w:top w:val="none" w:sz="0" w:space="0" w:color="auto"/>
        <w:left w:val="none" w:sz="0" w:space="0" w:color="auto"/>
        <w:bottom w:val="none" w:sz="0" w:space="0" w:color="auto"/>
        <w:right w:val="none" w:sz="0" w:space="0" w:color="auto"/>
      </w:divBdr>
    </w:div>
    <w:div w:id="1956129562">
      <w:bodyDiv w:val="1"/>
      <w:marLeft w:val="0"/>
      <w:marRight w:val="0"/>
      <w:marTop w:val="0"/>
      <w:marBottom w:val="0"/>
      <w:divBdr>
        <w:top w:val="none" w:sz="0" w:space="0" w:color="auto"/>
        <w:left w:val="none" w:sz="0" w:space="0" w:color="auto"/>
        <w:bottom w:val="none" w:sz="0" w:space="0" w:color="auto"/>
        <w:right w:val="none" w:sz="0" w:space="0" w:color="auto"/>
      </w:divBdr>
    </w:div>
    <w:div w:id="2073892983">
      <w:bodyDiv w:val="1"/>
      <w:marLeft w:val="0"/>
      <w:marRight w:val="0"/>
      <w:marTop w:val="0"/>
      <w:marBottom w:val="0"/>
      <w:divBdr>
        <w:top w:val="none" w:sz="0" w:space="0" w:color="auto"/>
        <w:left w:val="none" w:sz="0" w:space="0" w:color="auto"/>
        <w:bottom w:val="none" w:sz="0" w:space="0" w:color="auto"/>
        <w:right w:val="none" w:sz="0" w:space="0" w:color="auto"/>
      </w:divBdr>
    </w:div>
    <w:div w:id="2085180305">
      <w:bodyDiv w:val="1"/>
      <w:marLeft w:val="0"/>
      <w:marRight w:val="0"/>
      <w:marTop w:val="0"/>
      <w:marBottom w:val="0"/>
      <w:divBdr>
        <w:top w:val="none" w:sz="0" w:space="0" w:color="auto"/>
        <w:left w:val="none" w:sz="0" w:space="0" w:color="auto"/>
        <w:bottom w:val="none" w:sz="0" w:space="0" w:color="auto"/>
        <w:right w:val="none" w:sz="0" w:space="0" w:color="auto"/>
      </w:divBdr>
    </w:div>
    <w:div w:id="2092508868">
      <w:bodyDiv w:val="1"/>
      <w:marLeft w:val="0"/>
      <w:marRight w:val="0"/>
      <w:marTop w:val="0"/>
      <w:marBottom w:val="0"/>
      <w:divBdr>
        <w:top w:val="none" w:sz="0" w:space="0" w:color="auto"/>
        <w:left w:val="none" w:sz="0" w:space="0" w:color="auto"/>
        <w:bottom w:val="none" w:sz="0" w:space="0" w:color="auto"/>
        <w:right w:val="none" w:sz="0" w:space="0" w:color="auto"/>
      </w:divBdr>
    </w:div>
    <w:div w:id="21416835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png"/><Relationship Id="rId21" Type="http://schemas.openxmlformats.org/officeDocument/2006/relationships/chart" Target="charts/chart7.xml"/><Relationship Id="rId42" Type="http://schemas.openxmlformats.org/officeDocument/2006/relationships/hyperlink" Target="https://energy-community.org/news/Energy-Community-News/2020/02/03.html" TargetMode="External"/><Relationship Id="rId63" Type="http://schemas.openxmlformats.org/officeDocument/2006/relationships/hyperlink" Target="https://www.rescoop.eu/" TargetMode="External"/><Relationship Id="rId84" Type="http://schemas.openxmlformats.org/officeDocument/2006/relationships/image" Target="media/image25.png"/><Relationship Id="rId138" Type="http://schemas.openxmlformats.org/officeDocument/2006/relationships/image" Target="media/image79.png"/><Relationship Id="rId159" Type="http://schemas.openxmlformats.org/officeDocument/2006/relationships/image" Target="media/image100.png"/><Relationship Id="rId170" Type="http://schemas.openxmlformats.org/officeDocument/2006/relationships/image" Target="media/image111.png"/><Relationship Id="rId107" Type="http://schemas.openxmlformats.org/officeDocument/2006/relationships/image" Target="media/image48.png"/><Relationship Id="rId11" Type="http://schemas.openxmlformats.org/officeDocument/2006/relationships/image" Target="media/image1.jpeg"/><Relationship Id="rId32" Type="http://schemas.openxmlformats.org/officeDocument/2006/relationships/image" Target="media/image10.png"/><Relationship Id="rId53" Type="http://schemas.openxmlformats.org/officeDocument/2006/relationships/hyperlink" Target="https://cordis.europa.eu/article/id/442780-retrofitted-zero-emission-trucks-to-hit-the-road-in-2023" TargetMode="External"/><Relationship Id="rId74" Type="http://schemas.openxmlformats.org/officeDocument/2006/relationships/image" Target="media/image15.png"/><Relationship Id="rId128" Type="http://schemas.openxmlformats.org/officeDocument/2006/relationships/image" Target="media/image69.png"/><Relationship Id="rId149" Type="http://schemas.openxmlformats.org/officeDocument/2006/relationships/image" Target="media/image90.png"/><Relationship Id="rId5" Type="http://schemas.openxmlformats.org/officeDocument/2006/relationships/numbering" Target="numbering.xml"/><Relationship Id="rId95" Type="http://schemas.openxmlformats.org/officeDocument/2006/relationships/image" Target="media/image36.png"/><Relationship Id="rId160" Type="http://schemas.openxmlformats.org/officeDocument/2006/relationships/image" Target="media/image101.png"/><Relationship Id="rId181" Type="http://schemas.openxmlformats.org/officeDocument/2006/relationships/image" Target="media/image122.png"/><Relationship Id="rId22" Type="http://schemas.openxmlformats.org/officeDocument/2006/relationships/chart" Target="charts/chart8.xml"/><Relationship Id="rId43" Type="http://schemas.openxmlformats.org/officeDocument/2006/relationships/image" Target="media/image14.png"/><Relationship Id="rId64" Type="http://schemas.openxmlformats.org/officeDocument/2006/relationships/hyperlink" Target="https://www.energy-community.org/news/Energy-Community-News/2023/06/06.html" TargetMode="External"/><Relationship Id="rId118" Type="http://schemas.openxmlformats.org/officeDocument/2006/relationships/image" Target="media/image59.png"/><Relationship Id="rId139" Type="http://schemas.openxmlformats.org/officeDocument/2006/relationships/image" Target="media/image80.png"/><Relationship Id="rId85" Type="http://schemas.openxmlformats.org/officeDocument/2006/relationships/image" Target="media/image26.png"/><Relationship Id="rId150" Type="http://schemas.openxmlformats.org/officeDocument/2006/relationships/image" Target="media/image91.png"/><Relationship Id="rId171" Type="http://schemas.openxmlformats.org/officeDocument/2006/relationships/image" Target="media/image112.png"/><Relationship Id="rId12" Type="http://schemas.openxmlformats.org/officeDocument/2006/relationships/image" Target="media/image2.jpeg"/><Relationship Id="rId33" Type="http://schemas.openxmlformats.org/officeDocument/2006/relationships/image" Target="media/image11.png"/><Relationship Id="rId108" Type="http://schemas.openxmlformats.org/officeDocument/2006/relationships/image" Target="media/image49.png"/><Relationship Id="rId129" Type="http://schemas.openxmlformats.org/officeDocument/2006/relationships/image" Target="media/image70.png"/><Relationship Id="rId54" Type="http://schemas.openxmlformats.org/officeDocument/2006/relationships/hyperlink" Target="https://balkangreenenergynews.com/albania-to-subsidize-solar-thermal-collectors-for-households-with-up-to-70/" TargetMode="External"/><Relationship Id="rId75" Type="http://schemas.openxmlformats.org/officeDocument/2006/relationships/image" Target="media/image16.png"/><Relationship Id="rId96" Type="http://schemas.openxmlformats.org/officeDocument/2006/relationships/image" Target="media/image37.png"/><Relationship Id="rId140" Type="http://schemas.openxmlformats.org/officeDocument/2006/relationships/image" Target="media/image81.png"/><Relationship Id="rId161" Type="http://schemas.openxmlformats.org/officeDocument/2006/relationships/image" Target="media/image102.png"/><Relationship Id="rId182" Type="http://schemas.openxmlformats.org/officeDocument/2006/relationships/image" Target="media/image123.png"/><Relationship Id="rId6" Type="http://schemas.openxmlformats.org/officeDocument/2006/relationships/styles" Target="styles.xml"/><Relationship Id="rId23" Type="http://schemas.microsoft.com/office/2014/relationships/chartEx" Target="charts/chartEx1.xml"/><Relationship Id="rId119" Type="http://schemas.openxmlformats.org/officeDocument/2006/relationships/image" Target="media/image60.png"/><Relationship Id="rId44" Type="http://schemas.openxmlformats.org/officeDocument/2006/relationships/hyperlink" Target="https://www.infrastruktura.gov.al/" TargetMode="External"/><Relationship Id="rId65" Type="http://schemas.openxmlformats.org/officeDocument/2006/relationships/hyperlink" Target="https://www.energy-community.org/dam/jcr:1e419b0f-0832-421f-82aa-b66f6a19daa6/CARi_EBRD_0222.pdf" TargetMode="External"/><Relationship Id="rId86" Type="http://schemas.openxmlformats.org/officeDocument/2006/relationships/image" Target="media/image27.png"/><Relationship Id="rId130" Type="http://schemas.openxmlformats.org/officeDocument/2006/relationships/image" Target="media/image71.png"/><Relationship Id="rId151" Type="http://schemas.openxmlformats.org/officeDocument/2006/relationships/image" Target="media/image92.png"/><Relationship Id="rId172" Type="http://schemas.openxmlformats.org/officeDocument/2006/relationships/image" Target="media/image113.png"/><Relationship Id="rId13" Type="http://schemas.openxmlformats.org/officeDocument/2006/relationships/image" Target="media/image3.png"/><Relationship Id="rId18" Type="http://schemas.openxmlformats.org/officeDocument/2006/relationships/chart" Target="charts/chart4.xml"/><Relationship Id="rId39" Type="http://schemas.openxmlformats.org/officeDocument/2006/relationships/hyperlink" Target="https://qbz.gov.al/eli/vendim/2023/07/26/472/01d6777e-93bb-40cd-9aaaf614ad31b6d9;q=Qendra%20e%20Inovacionit%20t%C3%AB%C3Siguri%AB%20dhe%20Mbrojtjes" TargetMode="External"/><Relationship Id="rId109" Type="http://schemas.openxmlformats.org/officeDocument/2006/relationships/image" Target="media/image50.png"/><Relationship Id="rId34" Type="http://schemas.openxmlformats.org/officeDocument/2006/relationships/image" Target="media/image12.png"/><Relationship Id="rId50" Type="http://schemas.openxmlformats.org/officeDocument/2006/relationships/hyperlink" Target="http://www.tirana.gov.al/" TargetMode="External"/><Relationship Id="rId55" Type="http://schemas.openxmlformats.org/officeDocument/2006/relationships/hyperlink" Target="https://www.irena.org/Publications/2022/Mar/Green-Hydrogen-for-Industry" TargetMode="External"/><Relationship Id="rId76" Type="http://schemas.openxmlformats.org/officeDocument/2006/relationships/image" Target="media/image17.png"/><Relationship Id="rId97" Type="http://schemas.openxmlformats.org/officeDocument/2006/relationships/image" Target="media/image38.png"/><Relationship Id="rId104" Type="http://schemas.openxmlformats.org/officeDocument/2006/relationships/image" Target="media/image45.png"/><Relationship Id="rId120" Type="http://schemas.openxmlformats.org/officeDocument/2006/relationships/image" Target="media/image61.emf"/><Relationship Id="rId125" Type="http://schemas.openxmlformats.org/officeDocument/2006/relationships/image" Target="media/image66.emf"/><Relationship Id="rId141" Type="http://schemas.openxmlformats.org/officeDocument/2006/relationships/image" Target="media/image82.png"/><Relationship Id="rId146" Type="http://schemas.openxmlformats.org/officeDocument/2006/relationships/image" Target="media/image87.png"/><Relationship Id="rId167" Type="http://schemas.openxmlformats.org/officeDocument/2006/relationships/image" Target="media/image108.png"/><Relationship Id="rId188" Type="http://schemas.openxmlformats.org/officeDocument/2006/relationships/glossaryDocument" Target="glossary/document.xml"/><Relationship Id="rId7" Type="http://schemas.openxmlformats.org/officeDocument/2006/relationships/settings" Target="settings.xml"/><Relationship Id="rId71" Type="http://schemas.openxmlformats.org/officeDocument/2006/relationships/hyperlink" Target="https://www.investment.com.al/wp-content/uploads/2021/07/EN_Draft-BIDS-Presentation.pdf" TargetMode="External"/><Relationship Id="rId92" Type="http://schemas.openxmlformats.org/officeDocument/2006/relationships/image" Target="media/image33.png"/><Relationship Id="rId162" Type="http://schemas.openxmlformats.org/officeDocument/2006/relationships/image" Target="media/image103.png"/><Relationship Id="rId183" Type="http://schemas.openxmlformats.org/officeDocument/2006/relationships/image" Target="media/image124.png"/><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image" Target="media/image5.png"/><Relationship Id="rId40" Type="http://schemas.openxmlformats.org/officeDocument/2006/relationships/hyperlink" Target="https://qbz.gov.al/eli/vendim/2023/09/20/542/96f316d6-b135-42fb-a64a-abbbfa9484c8" TargetMode="External"/><Relationship Id="rId45" Type="http://schemas.openxmlformats.org/officeDocument/2006/relationships/hyperlink" Target="https://www.financa.gov.al/" TargetMode="External"/><Relationship Id="rId66" Type="http://schemas.openxmlformats.org/officeDocument/2006/relationships/hyperlink" Target="https://www.hotmaps-project.eu/how-to-use/" TargetMode="External"/><Relationship Id="rId87" Type="http://schemas.openxmlformats.org/officeDocument/2006/relationships/image" Target="media/image28.png"/><Relationship Id="rId110" Type="http://schemas.openxmlformats.org/officeDocument/2006/relationships/image" Target="media/image51.png"/><Relationship Id="rId115" Type="http://schemas.openxmlformats.org/officeDocument/2006/relationships/image" Target="media/image56.png"/><Relationship Id="rId131" Type="http://schemas.openxmlformats.org/officeDocument/2006/relationships/image" Target="media/image72.png"/><Relationship Id="rId136" Type="http://schemas.openxmlformats.org/officeDocument/2006/relationships/image" Target="media/image77.png"/><Relationship Id="rId157" Type="http://schemas.openxmlformats.org/officeDocument/2006/relationships/image" Target="media/image98.png"/><Relationship Id="rId178" Type="http://schemas.openxmlformats.org/officeDocument/2006/relationships/image" Target="media/image119.png"/><Relationship Id="rId61" Type="http://schemas.openxmlformats.org/officeDocument/2006/relationships/hyperlink" Target="https://faolex.fao.org/docs/pdf/alb211951.pdf" TargetMode="External"/><Relationship Id="rId82" Type="http://schemas.openxmlformats.org/officeDocument/2006/relationships/image" Target="media/image23.png"/><Relationship Id="rId152" Type="http://schemas.openxmlformats.org/officeDocument/2006/relationships/image" Target="media/image93.png"/><Relationship Id="rId173" Type="http://schemas.openxmlformats.org/officeDocument/2006/relationships/image" Target="media/image114.png"/><Relationship Id="rId19" Type="http://schemas.openxmlformats.org/officeDocument/2006/relationships/chart" Target="charts/chart5.xml"/><Relationship Id="rId14" Type="http://schemas.openxmlformats.org/officeDocument/2006/relationships/image" Target="media/image4.jpeg"/><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hyperlink" Target="https://www.hydrogeninsight.com/production/massive-spring-of-almost-pure-natural-hydrogen-found-in-albanian-mine-emitting-at-least-200-tonnes-of-h2-a-year/2-1-1596637" TargetMode="External"/><Relationship Id="rId77" Type="http://schemas.openxmlformats.org/officeDocument/2006/relationships/image" Target="media/image18.png"/><Relationship Id="rId100" Type="http://schemas.openxmlformats.org/officeDocument/2006/relationships/image" Target="media/image41.png"/><Relationship Id="rId105" Type="http://schemas.openxmlformats.org/officeDocument/2006/relationships/image" Target="media/image46.png"/><Relationship Id="rId126" Type="http://schemas.openxmlformats.org/officeDocument/2006/relationships/image" Target="media/image67.emf"/><Relationship Id="rId147" Type="http://schemas.openxmlformats.org/officeDocument/2006/relationships/image" Target="media/image88.png"/><Relationship Id="rId168" Type="http://schemas.openxmlformats.org/officeDocument/2006/relationships/image" Target="media/image109.png"/><Relationship Id="rId8" Type="http://schemas.openxmlformats.org/officeDocument/2006/relationships/webSettings" Target="webSettings.xml"/><Relationship Id="rId51" Type="http://schemas.openxmlformats.org/officeDocument/2006/relationships/hyperlink" Target="https://www.energy-community.org/dam/jcr:421f0dca-1b16-4bb5-af86-067bc35fe073/Decision_02-2022-MC_CEP_2030targets_15122022.pdf" TargetMode="External"/><Relationship Id="rId72" Type="http://schemas.openxmlformats.org/officeDocument/2006/relationships/hyperlink" Target="https://www.clustercollaboration.eu/sites/default/files/2023-04/ECCPfactsheet_Albania_2022.pdf" TargetMode="External"/><Relationship Id="rId93" Type="http://schemas.openxmlformats.org/officeDocument/2006/relationships/image" Target="media/image34.png"/><Relationship Id="rId98" Type="http://schemas.openxmlformats.org/officeDocument/2006/relationships/image" Target="media/image39.png"/><Relationship Id="rId121" Type="http://schemas.openxmlformats.org/officeDocument/2006/relationships/image" Target="media/image62.emf"/><Relationship Id="rId142" Type="http://schemas.openxmlformats.org/officeDocument/2006/relationships/image" Target="media/image83.png"/><Relationship Id="rId163" Type="http://schemas.openxmlformats.org/officeDocument/2006/relationships/image" Target="media/image104.png"/><Relationship Id="rId184" Type="http://schemas.openxmlformats.org/officeDocument/2006/relationships/hyperlink" Target="https://euc-word-edit.officeapps.live.com/we/wordeditorframe.aspx?ui=de-de&amp;rs=de-de&amp;wopisrc=https://fraunhofer.sharepoint.com/sites/BalkanNECPs/_vti_bin/wopi.ashx/files/168b674726504a4fb857d091025c110f&amp;wdenableroaming=1&amp;mscc=1&amp;hid=-10660&amp;uiembed=1&amp;uih=teams&amp;hhdr=1&amp;dchat=1&amp;sc=%7b%22pmo%22:%22https://teams.microsoft.com%22,%22pmshare%22:true,%22surl%22:%22%22,%22curl%22:%22%22,%22vurl%22:%22%22,%22eurl%22:%22https://teams.microsoft.com/files/apps/com.microsoft.teams.files/files/1647805753/open?agent=postmessage&amp;objectUrl=https%3A%2F%2Ffraunhofer.sharepoint.com%2Fsites%2FBalkanNECPs%2FFreigegebene%20Dokumente%2FGeneral%2F2_Arbeitspakete%2FWP5_Report%2FAlbania%2FAlbania_NECP_chapter5_v0.docx&amp;fileId=168b6747-2650-4a4f-b857-d091025c110f&amp;fileType=docx&amp;ctx=files&amp;scenarioId=10660&amp;locale=de-de&amp;theme=default&amp;version=21042101600&amp;setting=ring.id:general&amp;setting=createdTime:1622013571011%22%7d&amp;wdorigin=TEAMS-ELECTRON.teams.files&amp;wdhostclicktime=1622013570860&amp;jsapi=1&amp;jsapiver=v1&amp;newsession=1&amp;corrid=f406e2f0-6b58-4804-ab21-3e9713ec5337&amp;usid=f406e2f0-6b58-4804-ab21-3e9713ec5337&amp;sftc=1&amp;sams=1&amp;accloop=1&amp;sdr=6&amp;scnd=1&amp;hbcv=1&amp;htv=1&amp;hodflp=1&amp;instantedit=1&amp;wopicomplete=1&amp;wdredirectionreason=Unified_SingleFlush&amp;rct=Medium&amp;ctp=LeastProtected" TargetMode="External"/><Relationship Id="rId189"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hyperlink" Target="https://ec.europa.eu/commission/presscorner/detail/en/fs_19_6725" TargetMode="External"/><Relationship Id="rId46" Type="http://schemas.openxmlformats.org/officeDocument/2006/relationships/hyperlink" Target="https://www.mjedisi.gov.al/" TargetMode="External"/><Relationship Id="rId67" Type="http://schemas.openxmlformats.org/officeDocument/2006/relationships/hyperlink" Target="https://www.infrastruktura.gov.al/wp-content/uploads/2017/12/WB11-ALB-ENE-01_final_GMP_2016_11_24.pdf" TargetMode="External"/><Relationship Id="rId116" Type="http://schemas.openxmlformats.org/officeDocument/2006/relationships/image" Target="media/image57.png"/><Relationship Id="rId137" Type="http://schemas.openxmlformats.org/officeDocument/2006/relationships/image" Target="media/image78.png"/><Relationship Id="rId158" Type="http://schemas.openxmlformats.org/officeDocument/2006/relationships/image" Target="media/image99.png"/><Relationship Id="rId20" Type="http://schemas.openxmlformats.org/officeDocument/2006/relationships/chart" Target="charts/chart6.xml"/><Relationship Id="rId41" Type="http://schemas.openxmlformats.org/officeDocument/2006/relationships/hyperlink" Target="http://www.erasmusplus.al" TargetMode="External"/><Relationship Id="rId62" Type="http://schemas.openxmlformats.org/officeDocument/2006/relationships/hyperlink" Target="https://ipard.gov.al/wp-content/uploads/2021/03/Programi-IPARD-III_2021-2027_English.pdf" TargetMode="External"/><Relationship Id="rId83" Type="http://schemas.openxmlformats.org/officeDocument/2006/relationships/image" Target="media/image24.png"/><Relationship Id="rId88" Type="http://schemas.openxmlformats.org/officeDocument/2006/relationships/image" Target="media/image29.png"/><Relationship Id="rId111" Type="http://schemas.openxmlformats.org/officeDocument/2006/relationships/image" Target="media/image52.png"/><Relationship Id="rId132" Type="http://schemas.openxmlformats.org/officeDocument/2006/relationships/image" Target="media/image73.png"/><Relationship Id="rId153" Type="http://schemas.openxmlformats.org/officeDocument/2006/relationships/image" Target="media/image94.png"/><Relationship Id="rId174" Type="http://schemas.openxmlformats.org/officeDocument/2006/relationships/image" Target="media/image115.png"/><Relationship Id="rId179" Type="http://schemas.openxmlformats.org/officeDocument/2006/relationships/image" Target="media/image120.png"/><Relationship Id="rId15" Type="http://schemas.openxmlformats.org/officeDocument/2006/relationships/chart" Target="charts/chart1.xml"/><Relationship Id="rId36" Type="http://schemas.openxmlformats.org/officeDocument/2006/relationships/hyperlink" Target="https://qbz.gov.al/eli/vendim/2024/01/17/30/b0fc5faf-dd6b-48a8-905a-a533216b400e" TargetMode="External"/><Relationship Id="rId57" Type="http://schemas.openxmlformats.org/officeDocument/2006/relationships/hyperlink" Target="https://www.unido.org/our-focus-cross-cutting-services-partnerships-prosperity-networks-centres-forums-and-platforms/national-cleaner-production-centres-ncpcs-networks" TargetMode="External"/><Relationship Id="rId106" Type="http://schemas.openxmlformats.org/officeDocument/2006/relationships/image" Target="media/image47.png"/><Relationship Id="rId127" Type="http://schemas.openxmlformats.org/officeDocument/2006/relationships/image" Target="media/image68.emf"/><Relationship Id="rId10" Type="http://schemas.openxmlformats.org/officeDocument/2006/relationships/endnotes" Target="endnotes.xml"/><Relationship Id="rId31" Type="http://schemas.openxmlformats.org/officeDocument/2006/relationships/image" Target="media/image9.png"/><Relationship Id="rId52" Type="http://schemas.openxmlformats.org/officeDocument/2006/relationships/hyperlink" Target="https://www.energy-community.org/dam/jcr:421f0dca-1b16-4bb5-af86-067bc35fe073/Decision_02-2022-MC_CEP_2030targets_15122022.pdf" TargetMode="External"/><Relationship Id="rId73" Type="http://schemas.openxmlformats.org/officeDocument/2006/relationships/hyperlink" Target="https://www.ecoplus.at/interested-in/clusters-technopols/clusters-platforms-in-lower-austria/green-building-cluster-of-lower-austria/" TargetMode="External"/><Relationship Id="rId78" Type="http://schemas.openxmlformats.org/officeDocument/2006/relationships/image" Target="media/image19.png"/><Relationship Id="rId94" Type="http://schemas.openxmlformats.org/officeDocument/2006/relationships/image" Target="media/image35.png"/><Relationship Id="rId99" Type="http://schemas.openxmlformats.org/officeDocument/2006/relationships/image" Target="media/image40.png"/><Relationship Id="rId101" Type="http://schemas.openxmlformats.org/officeDocument/2006/relationships/image" Target="media/image42.png"/><Relationship Id="rId122" Type="http://schemas.openxmlformats.org/officeDocument/2006/relationships/image" Target="media/image63.png"/><Relationship Id="rId143" Type="http://schemas.openxmlformats.org/officeDocument/2006/relationships/image" Target="media/image84.png"/><Relationship Id="rId148" Type="http://schemas.openxmlformats.org/officeDocument/2006/relationships/image" Target="media/image89.png"/><Relationship Id="rId164" Type="http://schemas.openxmlformats.org/officeDocument/2006/relationships/image" Target="media/image105.png"/><Relationship Id="rId169" Type="http://schemas.openxmlformats.org/officeDocument/2006/relationships/image" Target="media/image110.png"/><Relationship Id="rId185" Type="http://schemas.openxmlformats.org/officeDocument/2006/relationships/image" Target="media/image12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21.png"/><Relationship Id="rId26" Type="http://schemas.openxmlformats.org/officeDocument/2006/relationships/hyperlink" Target="https://ec.europa.eu/commission/presscorner/detail/en/fs_19_6729" TargetMode="External"/><Relationship Id="rId47" Type="http://schemas.openxmlformats.org/officeDocument/2006/relationships/hyperlink" Target="http://www.aida.gov.al/" TargetMode="External"/><Relationship Id="rId68" Type="http://schemas.openxmlformats.org/officeDocument/2006/relationships/hyperlink" Target="https://expertisefrance.fr/en/fiche-projet?id=869338" TargetMode="External"/><Relationship Id="rId89" Type="http://schemas.openxmlformats.org/officeDocument/2006/relationships/image" Target="media/image30.png"/><Relationship Id="rId112" Type="http://schemas.openxmlformats.org/officeDocument/2006/relationships/image" Target="media/image53.png"/><Relationship Id="rId133" Type="http://schemas.openxmlformats.org/officeDocument/2006/relationships/image" Target="media/image74.png"/><Relationship Id="rId154" Type="http://schemas.openxmlformats.org/officeDocument/2006/relationships/image" Target="media/image95.png"/><Relationship Id="rId175" Type="http://schemas.openxmlformats.org/officeDocument/2006/relationships/image" Target="media/image116.png"/><Relationship Id="rId16" Type="http://schemas.openxmlformats.org/officeDocument/2006/relationships/chart" Target="charts/chart2.xml"/><Relationship Id="rId37" Type="http://schemas.openxmlformats.org/officeDocument/2006/relationships/hyperlink" Target="https://qbz.gov.al/eli/vendim/2023/11/01/620/ffa80caa-58d5-4b1b-80c7-17c54a6a71f5" TargetMode="External"/><Relationship Id="rId58" Type="http://schemas.openxmlformats.org/officeDocument/2006/relationships/hyperlink" Target="https://faolex.fao.org/docs/pdf/alb211951.pdf" TargetMode="External"/><Relationship Id="rId79" Type="http://schemas.openxmlformats.org/officeDocument/2006/relationships/image" Target="media/image20.png"/><Relationship Id="rId102" Type="http://schemas.openxmlformats.org/officeDocument/2006/relationships/image" Target="media/image43.png"/><Relationship Id="rId123" Type="http://schemas.openxmlformats.org/officeDocument/2006/relationships/image" Target="media/image64.png"/><Relationship Id="rId144" Type="http://schemas.openxmlformats.org/officeDocument/2006/relationships/image" Target="media/image85.png"/><Relationship Id="rId90" Type="http://schemas.openxmlformats.org/officeDocument/2006/relationships/image" Target="media/image31.png"/><Relationship Id="rId165" Type="http://schemas.openxmlformats.org/officeDocument/2006/relationships/image" Target="media/image106.png"/><Relationship Id="rId186" Type="http://schemas.openxmlformats.org/officeDocument/2006/relationships/footer" Target="footer1.xml"/><Relationship Id="rId27" Type="http://schemas.openxmlformats.org/officeDocument/2006/relationships/image" Target="media/image6.png"/><Relationship Id="rId48" Type="http://schemas.openxmlformats.org/officeDocument/2006/relationships/hyperlink" Target="http://www.app.gov.al/" TargetMode="External"/><Relationship Id="rId69" Type="http://schemas.openxmlformats.org/officeDocument/2006/relationships/hyperlink" Target="https://expertisefrance.fr/en/fiche-projet?id=869338" TargetMode="External"/><Relationship Id="rId113" Type="http://schemas.openxmlformats.org/officeDocument/2006/relationships/image" Target="media/image54.png"/><Relationship Id="rId134" Type="http://schemas.openxmlformats.org/officeDocument/2006/relationships/image" Target="media/image75.png"/><Relationship Id="rId80" Type="http://schemas.openxmlformats.org/officeDocument/2006/relationships/image" Target="media/image21.png"/><Relationship Id="rId155" Type="http://schemas.openxmlformats.org/officeDocument/2006/relationships/image" Target="media/image96.png"/><Relationship Id="rId176" Type="http://schemas.openxmlformats.org/officeDocument/2006/relationships/image" Target="media/image117.png"/><Relationship Id="rId17" Type="http://schemas.openxmlformats.org/officeDocument/2006/relationships/chart" Target="charts/chart3.xml"/><Relationship Id="rId38" Type="http://schemas.openxmlformats.org/officeDocument/2006/relationships/hyperlink" Target="https://www.qbz.gov.al/eli/ligj/2022/07/14/58/e68548b9-1260-4425-973b-0a15f1d00cde" TargetMode="External"/><Relationship Id="rId59" Type="http://schemas.openxmlformats.org/officeDocument/2006/relationships/hyperlink" Target="https://ipard.gov.al/wp-content/uploads/2021/03/Programi-IPARD-III_2021-2027_English.pdf" TargetMode="External"/><Relationship Id="rId103" Type="http://schemas.openxmlformats.org/officeDocument/2006/relationships/image" Target="media/image44.png"/><Relationship Id="rId124" Type="http://schemas.openxmlformats.org/officeDocument/2006/relationships/image" Target="media/image65.png"/><Relationship Id="rId70" Type="http://schemas.openxmlformats.org/officeDocument/2006/relationships/hyperlink" Target="https://www.westernbalkans-infohub.eu/wp-content/uploads/2024/05/ERA-Country-Report-2023-Albania_FINAL.pdf" TargetMode="External"/><Relationship Id="rId91" Type="http://schemas.openxmlformats.org/officeDocument/2006/relationships/image" Target="media/image32.png"/><Relationship Id="rId145" Type="http://schemas.openxmlformats.org/officeDocument/2006/relationships/image" Target="media/image86.png"/><Relationship Id="rId166" Type="http://schemas.openxmlformats.org/officeDocument/2006/relationships/image" Target="media/image107.png"/><Relationship Id="rId187" Type="http://schemas.openxmlformats.org/officeDocument/2006/relationships/fontTable" Target="fontTable.xml"/><Relationship Id="rId1" Type="http://schemas.openxmlformats.org/officeDocument/2006/relationships/customXml" Target="../customXml/item1.xml"/><Relationship Id="rId28" Type="http://schemas.openxmlformats.org/officeDocument/2006/relationships/hyperlink" Target="http://www.ere.gov.al" TargetMode="External"/><Relationship Id="rId49" Type="http://schemas.openxmlformats.org/officeDocument/2006/relationships/hyperlink" Target="http://www.instat.gov.al/" TargetMode="External"/><Relationship Id="rId114" Type="http://schemas.openxmlformats.org/officeDocument/2006/relationships/image" Target="media/image55.png"/><Relationship Id="rId60" Type="http://schemas.openxmlformats.org/officeDocument/2006/relationships/hyperlink" Target="https://faolex.fao.org/docs/pdf/alb211951.pdf" TargetMode="External"/><Relationship Id="rId81" Type="http://schemas.openxmlformats.org/officeDocument/2006/relationships/image" Target="media/image22.png"/><Relationship Id="rId135" Type="http://schemas.openxmlformats.org/officeDocument/2006/relationships/image" Target="media/image76.png"/><Relationship Id="rId156" Type="http://schemas.openxmlformats.org/officeDocument/2006/relationships/image" Target="media/image97.png"/><Relationship Id="rId177" Type="http://schemas.openxmlformats.org/officeDocument/2006/relationships/image" Target="media/image118.png"/></Relationships>
</file>

<file path=word/_rels/footnotes.xml.rels><?xml version="1.0" encoding="UTF-8" standalone="yes"?>
<Relationships xmlns="http://schemas.openxmlformats.org/package/2006/relationships"><Relationship Id="rId1" Type="http://schemas.openxmlformats.org/officeDocument/2006/relationships/hyperlink" Target="https://konsultimipublik.gov.al/Konsultime/Detaje/792"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AG\Desktop\NECP\Book1%20(version%201)%20(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G\Desktop\NECP\Book1%20(version%201)%20(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G\Desktop\NECP\Book1%20(version%201)%20(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2023\RES-23\Laureta\LL\Skenaret\Dhjetori\llogaritje\Grafiket-Energy-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2023\RES-23\Laureta\LL\Skenaret\Dhjetori\llogaritje\Grafiket-Energy-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2023\RES-23\Laureta\LL\Skenaret\Dhjetori\llogaritje\Grafiket-Energy-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2024\Bilanci-24\Plani-Klima\Grafiket-Energy-1.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jonida.rika\Desktop\NECP\Copy%20of%20Book1_graf.xlsx" TargetMode="External"/><Relationship Id="rId2" Type="http://schemas.microsoft.com/office/2011/relationships/chartColorStyle" Target="colors8.xml"/><Relationship Id="rId1" Type="http://schemas.microsoft.com/office/2011/relationships/chartStyle" Target="style8.xml"/></Relationships>
</file>

<file path=word/charts/_rels/chartEx1.xml.rels><?xml version="1.0" encoding="UTF-8" standalone="yes"?>
<Relationships xmlns="http://schemas.openxmlformats.org/package/2006/relationships"><Relationship Id="rId3" Type="http://schemas.microsoft.com/office/2011/relationships/chartColorStyle" Target="colors9.xml"/><Relationship Id="rId2" Type="http://schemas.microsoft.com/office/2011/relationships/chartStyle" Target="style9.xml"/><Relationship Id="rId1" Type="http://schemas.openxmlformats.org/officeDocument/2006/relationships/oleObject" Target="file:///C:\Users\user\Desktop\alma%20Prill%202020\BILANCET%202004-2015_AKBN.xlsx-22.22-!!!!!!alma.%2010%20Maj.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q-AL" sz="1200"/>
              <a:t>Prodhimi</a:t>
            </a:r>
            <a:r>
              <a:rPr lang="sq-AL"/>
              <a:t> i energjisë elektrike </a:t>
            </a:r>
          </a:p>
          <a:p>
            <a:pPr>
              <a:defRPr/>
            </a:pPr>
            <a:r>
              <a:rPr lang="sq-AL"/>
              <a:t>(GWH)</a:t>
            </a:r>
          </a:p>
        </c:rich>
      </c:tx>
      <c:layout>
        <c:manualLayout>
          <c:xMode val="edge"/>
          <c:yMode val="edge"/>
          <c:x val="0.31821102362204723"/>
          <c:y val="3.385731559854897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Sheet1!$D$22</c:f>
              <c:strCache>
                <c:ptCount val="1"/>
                <c:pt idx="0">
                  <c:v>GWH</c:v>
                </c:pt>
              </c:strCache>
            </c:strRef>
          </c:tx>
          <c:spPr>
            <a:solidFill>
              <a:schemeClr val="accent1"/>
            </a:solidFill>
            <a:ln>
              <a:noFill/>
            </a:ln>
            <a:effectLst/>
          </c:spPr>
          <c:invertIfNegative val="0"/>
          <c:cat>
            <c:numRef>
              <c:f>Sheet1!$E$21:$J$21</c:f>
              <c:numCache>
                <c:formatCode>General</c:formatCode>
                <c:ptCount val="6"/>
                <c:pt idx="0">
                  <c:v>2018</c:v>
                </c:pt>
                <c:pt idx="1">
                  <c:v>2019</c:v>
                </c:pt>
                <c:pt idx="2">
                  <c:v>2020</c:v>
                </c:pt>
                <c:pt idx="3">
                  <c:v>2021</c:v>
                </c:pt>
                <c:pt idx="4">
                  <c:v>2022</c:v>
                </c:pt>
                <c:pt idx="5">
                  <c:v>2023</c:v>
                </c:pt>
              </c:numCache>
            </c:numRef>
          </c:cat>
          <c:val>
            <c:numRef>
              <c:f>Sheet1!$E$22:$J$22</c:f>
              <c:numCache>
                <c:formatCode>#,##0</c:formatCode>
                <c:ptCount val="6"/>
                <c:pt idx="0">
                  <c:v>8552</c:v>
                </c:pt>
                <c:pt idx="1">
                  <c:v>5206</c:v>
                </c:pt>
                <c:pt idx="2">
                  <c:v>5313</c:v>
                </c:pt>
                <c:pt idx="3">
                  <c:v>8962</c:v>
                </c:pt>
                <c:pt idx="4">
                  <c:v>7002</c:v>
                </c:pt>
                <c:pt idx="5">
                  <c:v>8795</c:v>
                </c:pt>
              </c:numCache>
            </c:numRef>
          </c:val>
          <c:extLst>
            <c:ext xmlns:c16="http://schemas.microsoft.com/office/drawing/2014/chart" uri="{C3380CC4-5D6E-409C-BE32-E72D297353CC}">
              <c16:uniqueId val="{00000000-C314-4CD8-9F99-9FA2C751BA53}"/>
            </c:ext>
          </c:extLst>
        </c:ser>
        <c:dLbls>
          <c:showLegendKey val="0"/>
          <c:showVal val="0"/>
          <c:showCatName val="0"/>
          <c:showSerName val="0"/>
          <c:showPercent val="0"/>
          <c:showBubbleSize val="0"/>
        </c:dLbls>
        <c:gapWidth val="219"/>
        <c:overlap val="-27"/>
        <c:axId val="469699216"/>
        <c:axId val="613023656"/>
      </c:barChart>
      <c:catAx>
        <c:axId val="469699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3023656"/>
        <c:crosses val="autoZero"/>
        <c:auto val="1"/>
        <c:lblAlgn val="ctr"/>
        <c:lblOffset val="100"/>
        <c:noMultiLvlLbl val="0"/>
      </c:catAx>
      <c:valAx>
        <c:axId val="6130236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96992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lumMod val="65000"/>
                    <a:lumOff val="35000"/>
                  </a:sysClr>
                </a:solidFill>
                <a:latin typeface="+mn-lt"/>
                <a:ea typeface="+mn-ea"/>
                <a:cs typeface="+mn-cs"/>
              </a:defRPr>
            </a:pPr>
            <a:r>
              <a:rPr lang="sq-AL" sz="1200" b="0" i="0" u="none" strike="noStrike" dirty="0">
                <a:solidFill>
                  <a:prstClr val="black">
                    <a:lumMod val="65000"/>
                    <a:lumOff val="35000"/>
                  </a:prstClr>
                </a:solidFill>
              </a:rPr>
              <a:t>Burimet e </a:t>
            </a:r>
            <a:r>
              <a:rPr lang="sq-AL" sz="1200" b="0" i="0" u="none" strike="noStrike" dirty="0">
                <a:solidFill>
                  <a:prstClr val="black">
                    <a:lumMod val="65000"/>
                    <a:lumOff val="35000"/>
                  </a:prstClr>
                </a:solidFill>
                <a:effectLst/>
              </a:rPr>
              <a:t>prodhimit të energjisë elektrike</a:t>
            </a:r>
          </a:p>
          <a:p>
            <a:pPr marL="0" marR="0" lvl="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lumMod val="65000"/>
                    <a:lumOff val="35000"/>
                  </a:sysClr>
                </a:solidFill>
              </a:defRPr>
            </a:pPr>
            <a:r>
              <a:rPr lang="sq-AL" sz="1200" b="0"/>
              <a:t>(GWh)</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stacked"/>
        <c:varyColors val="0"/>
        <c:ser>
          <c:idx val="0"/>
          <c:order val="0"/>
          <c:tx>
            <c:strRef>
              <c:f>Sheet2!$F$34</c:f>
              <c:strCache>
                <c:ptCount val="1"/>
                <c:pt idx="0">
                  <c:v>Other HPP-s </c:v>
                </c:pt>
              </c:strCache>
            </c:strRef>
          </c:tx>
          <c:spPr>
            <a:solidFill>
              <a:schemeClr val="accent1"/>
            </a:solidFill>
            <a:ln>
              <a:noFill/>
            </a:ln>
            <a:effectLst/>
          </c:spPr>
          <c:invertIfNegative val="0"/>
          <c:cat>
            <c:numRef>
              <c:f>Sheet2!$G$33:$K$33</c:f>
              <c:numCache>
                <c:formatCode>General</c:formatCode>
                <c:ptCount val="5"/>
                <c:pt idx="0">
                  <c:v>2019</c:v>
                </c:pt>
                <c:pt idx="1">
                  <c:v>2020</c:v>
                </c:pt>
                <c:pt idx="2">
                  <c:v>2021</c:v>
                </c:pt>
                <c:pt idx="3">
                  <c:v>2022</c:v>
                </c:pt>
                <c:pt idx="4">
                  <c:v>2023</c:v>
                </c:pt>
              </c:numCache>
            </c:numRef>
          </c:cat>
          <c:val>
            <c:numRef>
              <c:f>Sheet2!$G$34:$K$34</c:f>
              <c:numCache>
                <c:formatCode>#,##0</c:formatCode>
                <c:ptCount val="5"/>
                <c:pt idx="0">
                  <c:v>2204.5949999999998</c:v>
                </c:pt>
                <c:pt idx="1">
                  <c:v>2190.569</c:v>
                </c:pt>
                <c:pt idx="2">
                  <c:v>3577.9690000000001</c:v>
                </c:pt>
                <c:pt idx="3">
                  <c:v>3092.8220000000001</c:v>
                </c:pt>
                <c:pt idx="4">
                  <c:v>3583.279</c:v>
                </c:pt>
              </c:numCache>
            </c:numRef>
          </c:val>
          <c:extLst>
            <c:ext xmlns:c16="http://schemas.microsoft.com/office/drawing/2014/chart" uri="{C3380CC4-5D6E-409C-BE32-E72D297353CC}">
              <c16:uniqueId val="{00000000-DBED-4C0A-B85B-958C12B66D61}"/>
            </c:ext>
          </c:extLst>
        </c:ser>
        <c:ser>
          <c:idx val="1"/>
          <c:order val="1"/>
          <c:tx>
            <c:strRef>
              <c:f>Sheet2!$F$35</c:f>
              <c:strCache>
                <c:ptCount val="1"/>
                <c:pt idx="0">
                  <c:v>Photovoltaic Plants</c:v>
                </c:pt>
              </c:strCache>
            </c:strRef>
          </c:tx>
          <c:spPr>
            <a:solidFill>
              <a:schemeClr val="accent2"/>
            </a:solidFill>
            <a:ln>
              <a:noFill/>
            </a:ln>
            <a:effectLst/>
          </c:spPr>
          <c:invertIfNegative val="0"/>
          <c:cat>
            <c:numRef>
              <c:f>Sheet2!$G$33:$K$33</c:f>
              <c:numCache>
                <c:formatCode>General</c:formatCode>
                <c:ptCount val="5"/>
                <c:pt idx="0">
                  <c:v>2019</c:v>
                </c:pt>
                <c:pt idx="1">
                  <c:v>2020</c:v>
                </c:pt>
                <c:pt idx="2">
                  <c:v>2021</c:v>
                </c:pt>
                <c:pt idx="3">
                  <c:v>2022</c:v>
                </c:pt>
                <c:pt idx="4">
                  <c:v>2023</c:v>
                </c:pt>
              </c:numCache>
            </c:numRef>
          </c:cat>
          <c:val>
            <c:numRef>
              <c:f>Sheet2!$G$35:$K$35</c:f>
              <c:numCache>
                <c:formatCode>#,##0</c:formatCode>
                <c:ptCount val="5"/>
                <c:pt idx="0">
                  <c:v>22.196000000000002</c:v>
                </c:pt>
                <c:pt idx="1">
                  <c:v>32.265000000000001</c:v>
                </c:pt>
                <c:pt idx="2">
                  <c:v>40.756</c:v>
                </c:pt>
                <c:pt idx="3">
                  <c:v>50.091999999999999</c:v>
                </c:pt>
                <c:pt idx="4">
                  <c:v>80874</c:v>
                </c:pt>
              </c:numCache>
            </c:numRef>
          </c:val>
          <c:extLst>
            <c:ext xmlns:c16="http://schemas.microsoft.com/office/drawing/2014/chart" uri="{C3380CC4-5D6E-409C-BE32-E72D297353CC}">
              <c16:uniqueId val="{00000001-DBED-4C0A-B85B-958C12B66D61}"/>
            </c:ext>
          </c:extLst>
        </c:ser>
        <c:ser>
          <c:idx val="2"/>
          <c:order val="2"/>
          <c:tx>
            <c:strRef>
              <c:f>Sheet2!$F$36</c:f>
              <c:strCache>
                <c:ptCount val="1"/>
                <c:pt idx="0">
                  <c:v>Production from KESH company HPPs</c:v>
                </c:pt>
              </c:strCache>
            </c:strRef>
          </c:tx>
          <c:spPr>
            <a:solidFill>
              <a:srgbClr val="00B0F0"/>
            </a:solidFill>
            <a:ln>
              <a:noFill/>
            </a:ln>
            <a:effectLst/>
          </c:spPr>
          <c:invertIfNegative val="0"/>
          <c:cat>
            <c:numRef>
              <c:f>Sheet2!$G$33:$K$33</c:f>
              <c:numCache>
                <c:formatCode>General</c:formatCode>
                <c:ptCount val="5"/>
                <c:pt idx="0">
                  <c:v>2019</c:v>
                </c:pt>
                <c:pt idx="1">
                  <c:v>2020</c:v>
                </c:pt>
                <c:pt idx="2">
                  <c:v>2021</c:v>
                </c:pt>
                <c:pt idx="3">
                  <c:v>2022</c:v>
                </c:pt>
                <c:pt idx="4">
                  <c:v>2023</c:v>
                </c:pt>
              </c:numCache>
            </c:numRef>
          </c:cat>
          <c:val>
            <c:numRef>
              <c:f>Sheet2!$G$36:$K$36</c:f>
              <c:numCache>
                <c:formatCode>#,##0</c:formatCode>
                <c:ptCount val="5"/>
                <c:pt idx="0">
                  <c:v>2979.252</c:v>
                </c:pt>
                <c:pt idx="1">
                  <c:v>3090.1990000000001</c:v>
                </c:pt>
                <c:pt idx="2">
                  <c:v>5343.9740000000002</c:v>
                </c:pt>
                <c:pt idx="3">
                  <c:v>3859.7310000000002</c:v>
                </c:pt>
                <c:pt idx="4">
                  <c:v>5131.482</c:v>
                </c:pt>
              </c:numCache>
            </c:numRef>
          </c:val>
          <c:extLst>
            <c:ext xmlns:c16="http://schemas.microsoft.com/office/drawing/2014/chart" uri="{C3380CC4-5D6E-409C-BE32-E72D297353CC}">
              <c16:uniqueId val="{00000002-DBED-4C0A-B85B-958C12B66D61}"/>
            </c:ext>
          </c:extLst>
        </c:ser>
        <c:dLbls>
          <c:showLegendKey val="0"/>
          <c:showVal val="0"/>
          <c:showCatName val="0"/>
          <c:showSerName val="0"/>
          <c:showPercent val="0"/>
          <c:showBubbleSize val="0"/>
        </c:dLbls>
        <c:gapWidth val="150"/>
        <c:overlap val="100"/>
        <c:axId val="469700296"/>
        <c:axId val="469699576"/>
      </c:barChart>
      <c:catAx>
        <c:axId val="469700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9699576"/>
        <c:crosses val="autoZero"/>
        <c:auto val="1"/>
        <c:lblAlgn val="ctr"/>
        <c:lblOffset val="100"/>
        <c:noMultiLvlLbl val="0"/>
      </c:catAx>
      <c:valAx>
        <c:axId val="469699576"/>
        <c:scaling>
          <c:orientation val="minMax"/>
          <c:max val="5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9700296"/>
        <c:crosses val="autoZero"/>
        <c:crossBetween val="between"/>
        <c:majorUnit val="5000"/>
        <c:minorUnit val="1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q-AL" sz="1200"/>
              <a:t>Konsumi i energjisë elektrike në GWh</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Sheet2!$H$46</c:f>
              <c:strCache>
                <c:ptCount val="1"/>
                <c:pt idx="0">
                  <c:v>Consumption (GWh)</c:v>
                </c:pt>
              </c:strCache>
            </c:strRef>
          </c:tx>
          <c:spPr>
            <a:solidFill>
              <a:schemeClr val="accent1"/>
            </a:solidFill>
            <a:ln>
              <a:noFill/>
            </a:ln>
            <a:effectLst/>
          </c:spPr>
          <c:invertIfNegative val="0"/>
          <c:cat>
            <c:numRef>
              <c:f>Sheet2!$I$45:$M$45</c:f>
              <c:numCache>
                <c:formatCode>General</c:formatCode>
                <c:ptCount val="5"/>
                <c:pt idx="0">
                  <c:v>2019</c:v>
                </c:pt>
                <c:pt idx="1">
                  <c:v>2020</c:v>
                </c:pt>
                <c:pt idx="2">
                  <c:v>2021</c:v>
                </c:pt>
                <c:pt idx="3">
                  <c:v>2022</c:v>
                </c:pt>
                <c:pt idx="4">
                  <c:v>2023</c:v>
                </c:pt>
              </c:numCache>
            </c:numRef>
          </c:cat>
          <c:val>
            <c:numRef>
              <c:f>Sheet2!$I$46:$M$46</c:f>
              <c:numCache>
                <c:formatCode>General</c:formatCode>
                <c:ptCount val="5"/>
                <c:pt idx="0" formatCode="#,##0">
                  <c:v>7612</c:v>
                </c:pt>
                <c:pt idx="1">
                  <c:v>7589</c:v>
                </c:pt>
                <c:pt idx="2">
                  <c:v>8414</c:v>
                </c:pt>
                <c:pt idx="3" formatCode="#,##0">
                  <c:v>3072</c:v>
                </c:pt>
                <c:pt idx="4">
                  <c:v>7875</c:v>
                </c:pt>
              </c:numCache>
            </c:numRef>
          </c:val>
          <c:extLst>
            <c:ext xmlns:c16="http://schemas.microsoft.com/office/drawing/2014/chart" uri="{C3380CC4-5D6E-409C-BE32-E72D297353CC}">
              <c16:uniqueId val="{00000000-2EC1-4019-A17A-2A85F2B67F01}"/>
            </c:ext>
          </c:extLst>
        </c:ser>
        <c:dLbls>
          <c:showLegendKey val="0"/>
          <c:showVal val="0"/>
          <c:showCatName val="0"/>
          <c:showSerName val="0"/>
          <c:showPercent val="0"/>
          <c:showBubbleSize val="0"/>
        </c:dLbls>
        <c:gapWidth val="219"/>
        <c:overlap val="-27"/>
        <c:axId val="1123208848"/>
        <c:axId val="1123210648"/>
      </c:barChart>
      <c:catAx>
        <c:axId val="1123208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3210648"/>
        <c:crosses val="autoZero"/>
        <c:auto val="1"/>
        <c:lblAlgn val="ctr"/>
        <c:lblOffset val="100"/>
        <c:noMultiLvlLbl val="0"/>
      </c:catAx>
      <c:valAx>
        <c:axId val="11232106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32088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q-AL" sz="1200"/>
              <a:t>Konsumi i brendshëm bruto (Ktoe)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Sheet1!$B$5</c:f>
              <c:strCache>
                <c:ptCount val="1"/>
                <c:pt idx="0">
                  <c:v>Primary Production </c:v>
                </c:pt>
              </c:strCache>
            </c:strRef>
          </c:tx>
          <c:spPr>
            <a:solidFill>
              <a:schemeClr val="accent1"/>
            </a:solidFill>
            <a:ln>
              <a:noFill/>
            </a:ln>
            <a:effectLst/>
          </c:spPr>
          <c:invertIfNegative val="0"/>
          <c:cat>
            <c:numRef>
              <c:f>Sheet1!$C$4:$V$4</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Sheet1!$C$5:$V$5</c:f>
              <c:numCache>
                <c:formatCode>0.00</c:formatCode>
                <c:ptCount val="20"/>
                <c:pt idx="0">
                  <c:v>2258.27</c:v>
                </c:pt>
                <c:pt idx="1">
                  <c:v>2278.5774000000001</c:v>
                </c:pt>
                <c:pt idx="2">
                  <c:v>2166.7414349999999</c:v>
                </c:pt>
                <c:pt idx="3">
                  <c:v>2130.1467400000001</c:v>
                </c:pt>
                <c:pt idx="4">
                  <c:v>2118.6</c:v>
                </c:pt>
                <c:pt idx="5">
                  <c:v>2103.9342739999997</c:v>
                </c:pt>
                <c:pt idx="6">
                  <c:v>2105.5471039999998</c:v>
                </c:pt>
                <c:pt idx="7">
                  <c:v>2161.790332</c:v>
                </c:pt>
                <c:pt idx="8">
                  <c:v>2014.1513617813005</c:v>
                </c:pt>
                <c:pt idx="9">
                  <c:v>2345.90306075435</c:v>
                </c:pt>
                <c:pt idx="10">
                  <c:v>2291.6559341365905</c:v>
                </c:pt>
                <c:pt idx="11">
                  <c:v>2116.8444840000002</c:v>
                </c:pt>
                <c:pt idx="12">
                  <c:v>2309.2066261314799</c:v>
                </c:pt>
                <c:pt idx="13">
                  <c:v>2366.2756423404999</c:v>
                </c:pt>
                <c:pt idx="14">
                  <c:v>2331.6568452880001</c:v>
                </c:pt>
                <c:pt idx="15">
                  <c:v>2340.3406030435153</c:v>
                </c:pt>
                <c:pt idx="16">
                  <c:v>2055.3773741579998</c:v>
                </c:pt>
                <c:pt idx="17">
                  <c:v>2227.3159993737345</c:v>
                </c:pt>
                <c:pt idx="18">
                  <c:v>2177.3683709196225</c:v>
                </c:pt>
                <c:pt idx="19">
                  <c:v>2172.9777198063057</c:v>
                </c:pt>
              </c:numCache>
            </c:numRef>
          </c:val>
          <c:extLst>
            <c:ext xmlns:c16="http://schemas.microsoft.com/office/drawing/2014/chart" uri="{C3380CC4-5D6E-409C-BE32-E72D297353CC}">
              <c16:uniqueId val="{00000000-396F-413A-B37A-241A55B59AD4}"/>
            </c:ext>
          </c:extLst>
        </c:ser>
        <c:ser>
          <c:idx val="1"/>
          <c:order val="1"/>
          <c:tx>
            <c:strRef>
              <c:f>Sheet1!$B$6</c:f>
              <c:strCache>
                <c:ptCount val="1"/>
                <c:pt idx="0">
                  <c:v>Net Import</c:v>
                </c:pt>
              </c:strCache>
            </c:strRef>
          </c:tx>
          <c:spPr>
            <a:solidFill>
              <a:schemeClr val="accent2"/>
            </a:solidFill>
            <a:ln>
              <a:noFill/>
            </a:ln>
            <a:effectLst/>
          </c:spPr>
          <c:invertIfNegative val="0"/>
          <c:cat>
            <c:numRef>
              <c:f>Sheet1!$C$4:$V$4</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Sheet1!$C$6:$V$6</c:f>
              <c:numCache>
                <c:formatCode>0.00</c:formatCode>
                <c:ptCount val="20"/>
                <c:pt idx="0">
                  <c:v>1149</c:v>
                </c:pt>
                <c:pt idx="1">
                  <c:v>1175.0390000000002</c:v>
                </c:pt>
                <c:pt idx="2">
                  <c:v>1028.2913750000002</c:v>
                </c:pt>
                <c:pt idx="3">
                  <c:v>1264.2</c:v>
                </c:pt>
                <c:pt idx="4">
                  <c:v>1287.3</c:v>
                </c:pt>
                <c:pt idx="5">
                  <c:v>1298.7282539999999</c:v>
                </c:pt>
                <c:pt idx="6">
                  <c:v>1306.1486300000001</c:v>
                </c:pt>
                <c:pt idx="7">
                  <c:v>1455.5419999999999</c:v>
                </c:pt>
                <c:pt idx="8">
                  <c:v>1278.0411313513005</c:v>
                </c:pt>
                <c:pt idx="9">
                  <c:v>1505.7296355899878</c:v>
                </c:pt>
                <c:pt idx="10">
                  <c:v>1528.4794008913223</c:v>
                </c:pt>
                <c:pt idx="11">
                  <c:v>1507.828752125321</c:v>
                </c:pt>
                <c:pt idx="12">
                  <c:v>1358.3942445399998</c:v>
                </c:pt>
                <c:pt idx="13">
                  <c:v>1568.6690385885001</c:v>
                </c:pt>
                <c:pt idx="14">
                  <c:v>1377.3131940400003</c:v>
                </c:pt>
                <c:pt idx="15">
                  <c:v>1636.190966686672</c:v>
                </c:pt>
                <c:pt idx="16">
                  <c:v>1497.8481411179998</c:v>
                </c:pt>
                <c:pt idx="17">
                  <c:v>1452.0978391658907</c:v>
                </c:pt>
                <c:pt idx="18">
                  <c:v>1532.3771484186555</c:v>
                </c:pt>
                <c:pt idx="19">
                  <c:v>1435.6766498757013</c:v>
                </c:pt>
              </c:numCache>
            </c:numRef>
          </c:val>
          <c:extLst>
            <c:ext xmlns:c16="http://schemas.microsoft.com/office/drawing/2014/chart" uri="{C3380CC4-5D6E-409C-BE32-E72D297353CC}">
              <c16:uniqueId val="{00000001-396F-413A-B37A-241A55B59AD4}"/>
            </c:ext>
          </c:extLst>
        </c:ser>
        <c:ser>
          <c:idx val="2"/>
          <c:order val="2"/>
          <c:tx>
            <c:strRef>
              <c:f>Sheet1!$B$7</c:f>
              <c:strCache>
                <c:ptCount val="1"/>
                <c:pt idx="0">
                  <c:v>Stock Change</c:v>
                </c:pt>
              </c:strCache>
            </c:strRef>
          </c:tx>
          <c:spPr>
            <a:solidFill>
              <a:schemeClr val="accent3"/>
            </a:solidFill>
            <a:ln>
              <a:noFill/>
            </a:ln>
            <a:effectLst/>
          </c:spPr>
          <c:invertIfNegative val="0"/>
          <c:cat>
            <c:numRef>
              <c:f>Sheet1!$C$4:$V$4</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Sheet1!$C$7:$V$7</c:f>
              <c:numCache>
                <c:formatCode>0.00</c:formatCode>
                <c:ptCount val="20"/>
                <c:pt idx="0">
                  <c:v>26</c:v>
                </c:pt>
                <c:pt idx="1">
                  <c:v>0</c:v>
                </c:pt>
                <c:pt idx="2">
                  <c:v>156.95999999999998</c:v>
                </c:pt>
                <c:pt idx="3">
                  <c:v>74.8</c:v>
                </c:pt>
                <c:pt idx="4">
                  <c:v>55.95</c:v>
                </c:pt>
                <c:pt idx="5">
                  <c:v>54.03</c:v>
                </c:pt>
                <c:pt idx="6">
                  <c:v>89.974000000000004</c:v>
                </c:pt>
                <c:pt idx="7">
                  <c:v>0</c:v>
                </c:pt>
                <c:pt idx="8">
                  <c:v>12.6</c:v>
                </c:pt>
                <c:pt idx="9">
                  <c:v>235.4</c:v>
                </c:pt>
                <c:pt idx="10">
                  <c:v>307.54452192887493</c:v>
                </c:pt>
                <c:pt idx="11">
                  <c:v>127.48000000000002</c:v>
                </c:pt>
                <c:pt idx="12">
                  <c:v>132.629393085</c:v>
                </c:pt>
                <c:pt idx="13">
                  <c:v>177.33572999999998</c:v>
                </c:pt>
                <c:pt idx="14">
                  <c:v>112.84573</c:v>
                </c:pt>
                <c:pt idx="15">
                  <c:v>100.09896900000004</c:v>
                </c:pt>
                <c:pt idx="16">
                  <c:v>69.7</c:v>
                </c:pt>
                <c:pt idx="17">
                  <c:v>47.23</c:v>
                </c:pt>
                <c:pt idx="18">
                  <c:v>69.75</c:v>
                </c:pt>
                <c:pt idx="19">
                  <c:v>50.624738000000001</c:v>
                </c:pt>
              </c:numCache>
            </c:numRef>
          </c:val>
          <c:extLst>
            <c:ext xmlns:c16="http://schemas.microsoft.com/office/drawing/2014/chart" uri="{C3380CC4-5D6E-409C-BE32-E72D297353CC}">
              <c16:uniqueId val="{00000002-396F-413A-B37A-241A55B59AD4}"/>
            </c:ext>
          </c:extLst>
        </c:ser>
        <c:ser>
          <c:idx val="3"/>
          <c:order val="3"/>
          <c:tx>
            <c:strRef>
              <c:f>Sheet1!$B$8</c:f>
              <c:strCache>
                <c:ptCount val="1"/>
                <c:pt idx="0">
                  <c:v>Bunkers</c:v>
                </c:pt>
              </c:strCache>
            </c:strRef>
          </c:tx>
          <c:spPr>
            <a:solidFill>
              <a:schemeClr val="accent4"/>
            </a:solidFill>
            <a:ln>
              <a:noFill/>
            </a:ln>
            <a:effectLst/>
          </c:spPr>
          <c:invertIfNegative val="0"/>
          <c:cat>
            <c:numRef>
              <c:f>Sheet1!$C$4:$V$4</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Sheet1!$C$8:$V$8</c:f>
              <c:numCache>
                <c:formatCode>0.00</c:formatCode>
                <c:ptCount val="20"/>
                <c:pt idx="0">
                  <c:v>0</c:v>
                </c:pt>
                <c:pt idx="1">
                  <c:v>0</c:v>
                </c:pt>
                <c:pt idx="2">
                  <c:v>0</c:v>
                </c:pt>
                <c:pt idx="3">
                  <c:v>0</c:v>
                </c:pt>
                <c:pt idx="4">
                  <c:v>0</c:v>
                </c:pt>
                <c:pt idx="5">
                  <c:v>0</c:v>
                </c:pt>
                <c:pt idx="6">
                  <c:v>0</c:v>
                </c:pt>
                <c:pt idx="7">
                  <c:v>0</c:v>
                </c:pt>
                <c:pt idx="8">
                  <c:v>12</c:v>
                </c:pt>
                <c:pt idx="9">
                  <c:v>27</c:v>
                </c:pt>
                <c:pt idx="10">
                  <c:v>27</c:v>
                </c:pt>
                <c:pt idx="11">
                  <c:v>27.528999999999996</c:v>
                </c:pt>
                <c:pt idx="12">
                  <c:v>34.26</c:v>
                </c:pt>
                <c:pt idx="13">
                  <c:v>36</c:v>
                </c:pt>
                <c:pt idx="14">
                  <c:v>31</c:v>
                </c:pt>
                <c:pt idx="15">
                  <c:v>31</c:v>
                </c:pt>
                <c:pt idx="16">
                  <c:v>31</c:v>
                </c:pt>
                <c:pt idx="17">
                  <c:v>28.78</c:v>
                </c:pt>
                <c:pt idx="18">
                  <c:v>37.700000000000003</c:v>
                </c:pt>
                <c:pt idx="19">
                  <c:v>31.508333333333336</c:v>
                </c:pt>
              </c:numCache>
            </c:numRef>
          </c:val>
          <c:extLst>
            <c:ext xmlns:c16="http://schemas.microsoft.com/office/drawing/2014/chart" uri="{C3380CC4-5D6E-409C-BE32-E72D297353CC}">
              <c16:uniqueId val="{00000003-396F-413A-B37A-241A55B59AD4}"/>
            </c:ext>
          </c:extLst>
        </c:ser>
        <c:dLbls>
          <c:showLegendKey val="0"/>
          <c:showVal val="0"/>
          <c:showCatName val="0"/>
          <c:showSerName val="0"/>
          <c:showPercent val="0"/>
          <c:showBubbleSize val="0"/>
        </c:dLbls>
        <c:gapWidth val="150"/>
        <c:overlap val="100"/>
        <c:axId val="1339678175"/>
        <c:axId val="1147702239"/>
      </c:barChart>
      <c:catAx>
        <c:axId val="13396781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7702239"/>
        <c:crosses val="autoZero"/>
        <c:auto val="1"/>
        <c:lblAlgn val="ctr"/>
        <c:lblOffset val="100"/>
        <c:noMultiLvlLbl val="0"/>
      </c:catAx>
      <c:valAx>
        <c:axId val="1147702239"/>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96781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none" spc="0" baseline="0">
                <a:solidFill>
                  <a:schemeClr val="tx1">
                    <a:lumMod val="65000"/>
                    <a:lumOff val="35000"/>
                  </a:schemeClr>
                </a:solidFill>
                <a:latin typeface="+mn-lt"/>
                <a:ea typeface="+mn-ea"/>
                <a:cs typeface="+mn-cs"/>
              </a:defRPr>
            </a:pPr>
            <a:r>
              <a:rPr lang="sq-AL" sz="1200" b="0" i="0" u="none" strike="noStrike" cap="none">
                <a:solidFill>
                  <a:sysClr val="windowText" lastClr="000000">
                    <a:lumMod val="50000"/>
                    <a:lumOff val="50000"/>
                  </a:sysClr>
                </a:solidFill>
                <a:latin typeface="+mn-lt"/>
                <a:cs typeface="Arial" panose="020B0604020202020204" pitchFamily="34" charset="0"/>
              </a:rPr>
              <a:t>Përqindja e importeve në raport me konsumin e brendshëm bruto (%)</a:t>
            </a:r>
          </a:p>
        </c:rich>
      </c:tx>
      <c:overlay val="0"/>
      <c:spPr>
        <a:noFill/>
        <a:ln>
          <a:noFill/>
        </a:ln>
        <a:effectLst/>
      </c:spPr>
      <c:txPr>
        <a:bodyPr rot="0" spcFirstLastPara="1" vertOverflow="ellipsis" vert="horz" wrap="square" anchor="ctr" anchorCtr="1"/>
        <a:lstStyle/>
        <a:p>
          <a:pPr>
            <a:defRPr sz="1200" b="0" i="0" u="none" strike="noStrike" kern="1200" cap="none"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Sheet1!$C$13:$V$13</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Sheet1!$C$14:$V$14</c:f>
              <c:numCache>
                <c:formatCode>0%</c:formatCode>
                <c:ptCount val="20"/>
                <c:pt idx="0">
                  <c:v>0.49120344334379862</c:v>
                </c:pt>
                <c:pt idx="1">
                  <c:v>0.48431025428409846</c:v>
                </c:pt>
                <c:pt idx="2">
                  <c:v>0.52542035778256102</c:v>
                </c:pt>
                <c:pt idx="3">
                  <c:v>0.40651975929132467</c:v>
                </c:pt>
                <c:pt idx="4">
                  <c:v>0.39238176154064008</c:v>
                </c:pt>
                <c:pt idx="5">
                  <c:v>0.38271443644916825</c:v>
                </c:pt>
                <c:pt idx="6">
                  <c:v>0.3796630683214578</c:v>
                </c:pt>
                <c:pt idx="7">
                  <c:v>0.32669603594101004</c:v>
                </c:pt>
                <c:pt idx="8">
                  <c:v>0.36546917197870854</c:v>
                </c:pt>
                <c:pt idx="9">
                  <c:v>0.35814498869113354</c:v>
                </c:pt>
                <c:pt idx="10">
                  <c:v>0.33302404688110587</c:v>
                </c:pt>
                <c:pt idx="11">
                  <c:v>0.28769979867575346</c:v>
                </c:pt>
                <c:pt idx="12">
                  <c:v>0.41174850740158209</c:v>
                </c:pt>
                <c:pt idx="13">
                  <c:v>0.33707256647542605</c:v>
                </c:pt>
                <c:pt idx="14">
                  <c:v>0.40929850083926989</c:v>
                </c:pt>
                <c:pt idx="15">
                  <c:v>0.30087485361794175</c:v>
                </c:pt>
                <c:pt idx="16">
                  <c:v>0.27125395075850534</c:v>
                </c:pt>
                <c:pt idx="17">
                  <c:v>0.34805037113091075</c:v>
                </c:pt>
                <c:pt idx="18">
                  <c:v>0.29622512713756</c:v>
                </c:pt>
                <c:pt idx="19">
                  <c:v>0.33930447754260717</c:v>
                </c:pt>
              </c:numCache>
            </c:numRef>
          </c:val>
          <c:smooth val="0"/>
          <c:extLst>
            <c:ext xmlns:c16="http://schemas.microsoft.com/office/drawing/2014/chart" uri="{C3380CC4-5D6E-409C-BE32-E72D297353CC}">
              <c16:uniqueId val="{00000000-10AF-4EEA-BDA2-E11F0BFD5693}"/>
            </c:ext>
          </c:extLst>
        </c:ser>
        <c:dLbls>
          <c:dLblPos val="t"/>
          <c:showLegendKey val="0"/>
          <c:showVal val="1"/>
          <c:showCatName val="0"/>
          <c:showSerName val="0"/>
          <c:showPercent val="0"/>
          <c:showBubbleSize val="0"/>
        </c:dLbls>
        <c:smooth val="0"/>
        <c:axId val="83237647"/>
        <c:axId val="993258927"/>
      </c:lineChart>
      <c:catAx>
        <c:axId val="832376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93258927"/>
        <c:crosses val="autoZero"/>
        <c:auto val="1"/>
        <c:lblAlgn val="ctr"/>
        <c:lblOffset val="100"/>
        <c:noMultiLvlLbl val="0"/>
      </c:catAx>
      <c:valAx>
        <c:axId val="99325892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23764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q-AL" sz="1200" b="0" i="0" u="none" strike="noStrike">
                <a:solidFill>
                  <a:sysClr val="windowText" lastClr="000000">
                    <a:lumMod val="65000"/>
                    <a:lumOff val="35000"/>
                  </a:sysClr>
                </a:solidFill>
              </a:rPr>
              <a:t>Konsumi final i energjisë (Ktoe)</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Sheet1!$B$18</c:f>
              <c:strCache>
                <c:ptCount val="1"/>
                <c:pt idx="0">
                  <c:v>Industry</c:v>
                </c:pt>
              </c:strCache>
            </c:strRef>
          </c:tx>
          <c:spPr>
            <a:solidFill>
              <a:schemeClr val="accent1"/>
            </a:solidFill>
            <a:ln>
              <a:noFill/>
            </a:ln>
            <a:effectLst/>
          </c:spPr>
          <c:invertIfNegative val="0"/>
          <c:cat>
            <c:numRef>
              <c:f>Sheet1!$C$17:$V$17</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Sheet1!$C$18:$V$18</c:f>
              <c:numCache>
                <c:formatCode>0.00</c:formatCode>
                <c:ptCount val="20"/>
                <c:pt idx="0">
                  <c:v>248.55529999999999</c:v>
                </c:pt>
                <c:pt idx="1">
                  <c:v>242.93910606267656</c:v>
                </c:pt>
                <c:pt idx="2">
                  <c:v>320.10537999999997</c:v>
                </c:pt>
                <c:pt idx="3">
                  <c:v>260.76240000000001</c:v>
                </c:pt>
                <c:pt idx="4">
                  <c:v>234.70274634179628</c:v>
                </c:pt>
                <c:pt idx="5">
                  <c:v>275.54334128515194</c:v>
                </c:pt>
                <c:pt idx="6">
                  <c:v>306.57024000000001</c:v>
                </c:pt>
                <c:pt idx="7">
                  <c:v>355.77</c:v>
                </c:pt>
                <c:pt idx="8">
                  <c:v>310.7223980168007</c:v>
                </c:pt>
                <c:pt idx="9">
                  <c:v>305.36024496824973</c:v>
                </c:pt>
                <c:pt idx="10">
                  <c:v>417.75111446004439</c:v>
                </c:pt>
                <c:pt idx="11">
                  <c:v>359.81381769777795</c:v>
                </c:pt>
                <c:pt idx="12">
                  <c:v>318.27941924965762</c:v>
                </c:pt>
                <c:pt idx="13">
                  <c:v>413.39875358759303</c:v>
                </c:pt>
                <c:pt idx="14">
                  <c:v>415.70012306400002</c:v>
                </c:pt>
                <c:pt idx="15">
                  <c:v>378.41053097558404</c:v>
                </c:pt>
                <c:pt idx="16">
                  <c:v>387.88635428668408</c:v>
                </c:pt>
                <c:pt idx="17">
                  <c:v>416.93449267</c:v>
                </c:pt>
                <c:pt idx="18">
                  <c:v>428.68986521177527</c:v>
                </c:pt>
                <c:pt idx="19">
                  <c:v>394.67496776053184</c:v>
                </c:pt>
              </c:numCache>
            </c:numRef>
          </c:val>
          <c:extLst>
            <c:ext xmlns:c16="http://schemas.microsoft.com/office/drawing/2014/chart" uri="{C3380CC4-5D6E-409C-BE32-E72D297353CC}">
              <c16:uniqueId val="{00000000-3959-4680-914A-25DC59A559A1}"/>
            </c:ext>
          </c:extLst>
        </c:ser>
        <c:ser>
          <c:idx val="1"/>
          <c:order val="1"/>
          <c:tx>
            <c:strRef>
              <c:f>Sheet1!$B$19</c:f>
              <c:strCache>
                <c:ptCount val="1"/>
                <c:pt idx="0">
                  <c:v>Transport</c:v>
                </c:pt>
              </c:strCache>
            </c:strRef>
          </c:tx>
          <c:spPr>
            <a:solidFill>
              <a:schemeClr val="accent2"/>
            </a:solidFill>
            <a:ln>
              <a:noFill/>
            </a:ln>
            <a:effectLst/>
          </c:spPr>
          <c:invertIfNegative val="0"/>
          <c:cat>
            <c:numRef>
              <c:f>Sheet1!$C$17:$V$17</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Sheet1!$C$19:$V$19</c:f>
              <c:numCache>
                <c:formatCode>0.00</c:formatCode>
                <c:ptCount val="20"/>
                <c:pt idx="0">
                  <c:v>720</c:v>
                </c:pt>
                <c:pt idx="1">
                  <c:v>871</c:v>
                </c:pt>
                <c:pt idx="2">
                  <c:v>708.63</c:v>
                </c:pt>
                <c:pt idx="3">
                  <c:v>746.24799999999993</c:v>
                </c:pt>
                <c:pt idx="4">
                  <c:v>811.13070514045467</c:v>
                </c:pt>
                <c:pt idx="5">
                  <c:v>754.43999999999994</c:v>
                </c:pt>
                <c:pt idx="6">
                  <c:v>759.44171999999992</c:v>
                </c:pt>
                <c:pt idx="7">
                  <c:v>767</c:v>
                </c:pt>
                <c:pt idx="8">
                  <c:v>736.72800614999994</c:v>
                </c:pt>
                <c:pt idx="9">
                  <c:v>801.85850816949505</c:v>
                </c:pt>
                <c:pt idx="10">
                  <c:v>815.9875657241696</c:v>
                </c:pt>
                <c:pt idx="11">
                  <c:v>812.62179440080195</c:v>
                </c:pt>
                <c:pt idx="12">
                  <c:v>826.96376572842667</c:v>
                </c:pt>
                <c:pt idx="13">
                  <c:v>828.16722053218109</c:v>
                </c:pt>
                <c:pt idx="14">
                  <c:v>832.09484999999995</c:v>
                </c:pt>
                <c:pt idx="15">
                  <c:v>859.77400599999999</c:v>
                </c:pt>
                <c:pt idx="16">
                  <c:v>627.41491975000008</c:v>
                </c:pt>
                <c:pt idx="17">
                  <c:v>691.0200000000001</c:v>
                </c:pt>
                <c:pt idx="18">
                  <c:v>712.39930479999998</c:v>
                </c:pt>
                <c:pt idx="19">
                  <c:v>705.99548301041057</c:v>
                </c:pt>
              </c:numCache>
            </c:numRef>
          </c:val>
          <c:extLst>
            <c:ext xmlns:c16="http://schemas.microsoft.com/office/drawing/2014/chart" uri="{C3380CC4-5D6E-409C-BE32-E72D297353CC}">
              <c16:uniqueId val="{00000001-3959-4680-914A-25DC59A559A1}"/>
            </c:ext>
          </c:extLst>
        </c:ser>
        <c:ser>
          <c:idx val="2"/>
          <c:order val="2"/>
          <c:tx>
            <c:strRef>
              <c:f>Sheet1!$B$20</c:f>
              <c:strCache>
                <c:ptCount val="1"/>
                <c:pt idx="0">
                  <c:v>Household</c:v>
                </c:pt>
              </c:strCache>
            </c:strRef>
          </c:tx>
          <c:spPr>
            <a:solidFill>
              <a:schemeClr val="accent3"/>
            </a:solidFill>
            <a:ln>
              <a:noFill/>
            </a:ln>
            <a:effectLst/>
          </c:spPr>
          <c:invertIfNegative val="0"/>
          <c:cat>
            <c:numRef>
              <c:f>Sheet1!$C$17:$V$17</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Sheet1!$C$20:$V$20</c:f>
              <c:numCache>
                <c:formatCode>0.00</c:formatCode>
                <c:ptCount val="20"/>
                <c:pt idx="0">
                  <c:v>556.36454545454546</c:v>
                </c:pt>
                <c:pt idx="1">
                  <c:v>521</c:v>
                </c:pt>
                <c:pt idx="2">
                  <c:v>455.3</c:v>
                </c:pt>
                <c:pt idx="3">
                  <c:v>423</c:v>
                </c:pt>
                <c:pt idx="4">
                  <c:v>455</c:v>
                </c:pt>
                <c:pt idx="5">
                  <c:v>501</c:v>
                </c:pt>
                <c:pt idx="6">
                  <c:v>489.41999999999996</c:v>
                </c:pt>
                <c:pt idx="7">
                  <c:v>479.49</c:v>
                </c:pt>
                <c:pt idx="8">
                  <c:v>500.58</c:v>
                </c:pt>
                <c:pt idx="9">
                  <c:v>571.53000000000009</c:v>
                </c:pt>
                <c:pt idx="10">
                  <c:v>546.11</c:v>
                </c:pt>
                <c:pt idx="11">
                  <c:v>521.82000000000005</c:v>
                </c:pt>
                <c:pt idx="12">
                  <c:v>498.72</c:v>
                </c:pt>
                <c:pt idx="13">
                  <c:v>484.87</c:v>
                </c:pt>
                <c:pt idx="14">
                  <c:v>500.22399999999999</c:v>
                </c:pt>
                <c:pt idx="15">
                  <c:v>492.14078397947998</c:v>
                </c:pt>
                <c:pt idx="16">
                  <c:v>527.71408397948005</c:v>
                </c:pt>
                <c:pt idx="17">
                  <c:v>535.27</c:v>
                </c:pt>
                <c:pt idx="18">
                  <c:v>515.728527782946</c:v>
                </c:pt>
                <c:pt idx="19">
                  <c:v>499.59439351541067</c:v>
                </c:pt>
              </c:numCache>
            </c:numRef>
          </c:val>
          <c:extLst>
            <c:ext xmlns:c16="http://schemas.microsoft.com/office/drawing/2014/chart" uri="{C3380CC4-5D6E-409C-BE32-E72D297353CC}">
              <c16:uniqueId val="{00000002-3959-4680-914A-25DC59A559A1}"/>
            </c:ext>
          </c:extLst>
        </c:ser>
        <c:ser>
          <c:idx val="3"/>
          <c:order val="3"/>
          <c:tx>
            <c:strRef>
              <c:f>Sheet1!$B$21</c:f>
              <c:strCache>
                <c:ptCount val="1"/>
                <c:pt idx="0">
                  <c:v>Service</c:v>
                </c:pt>
              </c:strCache>
            </c:strRef>
          </c:tx>
          <c:spPr>
            <a:solidFill>
              <a:schemeClr val="accent4"/>
            </a:solidFill>
            <a:ln>
              <a:noFill/>
            </a:ln>
            <a:effectLst/>
          </c:spPr>
          <c:invertIfNegative val="0"/>
          <c:cat>
            <c:numRef>
              <c:f>Sheet1!$C$17:$V$17</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Sheet1!$C$21:$V$21</c:f>
              <c:numCache>
                <c:formatCode>0.00</c:formatCode>
                <c:ptCount val="20"/>
                <c:pt idx="0">
                  <c:v>240</c:v>
                </c:pt>
                <c:pt idx="1">
                  <c:v>205.58</c:v>
                </c:pt>
                <c:pt idx="2">
                  <c:v>194.88866303133818</c:v>
                </c:pt>
                <c:pt idx="3">
                  <c:v>177.59999999999991</c:v>
                </c:pt>
                <c:pt idx="4">
                  <c:v>158</c:v>
                </c:pt>
                <c:pt idx="5">
                  <c:v>220</c:v>
                </c:pt>
                <c:pt idx="6">
                  <c:v>225</c:v>
                </c:pt>
                <c:pt idx="7">
                  <c:v>213.74</c:v>
                </c:pt>
                <c:pt idx="8">
                  <c:v>160.22128889999993</c:v>
                </c:pt>
                <c:pt idx="9">
                  <c:v>188.05455686824746</c:v>
                </c:pt>
                <c:pt idx="10">
                  <c:v>176.27487386889868</c:v>
                </c:pt>
                <c:pt idx="11">
                  <c:v>179.30697693541185</c:v>
                </c:pt>
                <c:pt idx="12">
                  <c:v>170.13626399999998</c:v>
                </c:pt>
                <c:pt idx="13">
                  <c:v>204.55000000000007</c:v>
                </c:pt>
                <c:pt idx="14">
                  <c:v>210.64000000000016</c:v>
                </c:pt>
                <c:pt idx="15">
                  <c:v>218.24012306698131</c:v>
                </c:pt>
                <c:pt idx="16">
                  <c:v>190.11630107574774</c:v>
                </c:pt>
                <c:pt idx="17">
                  <c:v>210.0921901877341</c:v>
                </c:pt>
                <c:pt idx="18">
                  <c:v>205.95968407731414</c:v>
                </c:pt>
                <c:pt idx="19">
                  <c:v>206.24564937156111</c:v>
                </c:pt>
              </c:numCache>
            </c:numRef>
          </c:val>
          <c:extLst>
            <c:ext xmlns:c16="http://schemas.microsoft.com/office/drawing/2014/chart" uri="{C3380CC4-5D6E-409C-BE32-E72D297353CC}">
              <c16:uniqueId val="{00000003-3959-4680-914A-25DC59A559A1}"/>
            </c:ext>
          </c:extLst>
        </c:ser>
        <c:ser>
          <c:idx val="4"/>
          <c:order val="4"/>
          <c:tx>
            <c:strRef>
              <c:f>Sheet1!$B$22</c:f>
              <c:strCache>
                <c:ptCount val="1"/>
                <c:pt idx="0">
                  <c:v>Agriculture</c:v>
                </c:pt>
              </c:strCache>
            </c:strRef>
          </c:tx>
          <c:spPr>
            <a:solidFill>
              <a:schemeClr val="accent5"/>
            </a:solidFill>
            <a:ln>
              <a:noFill/>
            </a:ln>
            <a:effectLst/>
          </c:spPr>
          <c:invertIfNegative val="0"/>
          <c:cat>
            <c:numRef>
              <c:f>Sheet1!$C$17:$V$17</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Sheet1!$C$22:$V$22</c:f>
              <c:numCache>
                <c:formatCode>0.00</c:formatCode>
                <c:ptCount val="20"/>
                <c:pt idx="0">
                  <c:v>60.780000000000015</c:v>
                </c:pt>
                <c:pt idx="1">
                  <c:v>98.443315156691</c:v>
                </c:pt>
                <c:pt idx="2">
                  <c:v>175.5</c:v>
                </c:pt>
                <c:pt idx="3">
                  <c:v>144.5</c:v>
                </c:pt>
                <c:pt idx="4">
                  <c:v>148.18592964420151</c:v>
                </c:pt>
                <c:pt idx="5">
                  <c:v>94.505071770334922</c:v>
                </c:pt>
                <c:pt idx="6">
                  <c:v>79</c:v>
                </c:pt>
                <c:pt idx="7">
                  <c:v>72</c:v>
                </c:pt>
                <c:pt idx="8">
                  <c:v>86.574601422499882</c:v>
                </c:pt>
                <c:pt idx="9">
                  <c:v>76.366264515689934</c:v>
                </c:pt>
                <c:pt idx="10">
                  <c:v>79.694531336733775</c:v>
                </c:pt>
                <c:pt idx="11">
                  <c:v>71.220504840449166</c:v>
                </c:pt>
                <c:pt idx="12">
                  <c:v>74.030515298587844</c:v>
                </c:pt>
                <c:pt idx="13">
                  <c:v>96.546282130674683</c:v>
                </c:pt>
                <c:pt idx="14">
                  <c:v>82.82</c:v>
                </c:pt>
                <c:pt idx="15">
                  <c:v>78.609601497174168</c:v>
                </c:pt>
                <c:pt idx="16">
                  <c:v>74.929999999999993</c:v>
                </c:pt>
                <c:pt idx="17">
                  <c:v>77.360000000000014</c:v>
                </c:pt>
                <c:pt idx="18">
                  <c:v>69.312065999999987</c:v>
                </c:pt>
                <c:pt idx="19">
                  <c:v>63.022920378249424</c:v>
                </c:pt>
              </c:numCache>
            </c:numRef>
          </c:val>
          <c:extLst>
            <c:ext xmlns:c16="http://schemas.microsoft.com/office/drawing/2014/chart" uri="{C3380CC4-5D6E-409C-BE32-E72D297353CC}">
              <c16:uniqueId val="{00000004-3959-4680-914A-25DC59A559A1}"/>
            </c:ext>
          </c:extLst>
        </c:ser>
        <c:ser>
          <c:idx val="5"/>
          <c:order val="5"/>
          <c:tx>
            <c:strRef>
              <c:f>Sheet1!$B$23</c:f>
              <c:strCache>
                <c:ptCount val="1"/>
                <c:pt idx="0">
                  <c:v>Fisheries</c:v>
                </c:pt>
              </c:strCache>
            </c:strRef>
          </c:tx>
          <c:spPr>
            <a:solidFill>
              <a:schemeClr val="accent6"/>
            </a:solidFill>
            <a:ln>
              <a:noFill/>
            </a:ln>
            <a:effectLst/>
          </c:spPr>
          <c:invertIfNegative val="0"/>
          <c:cat>
            <c:numRef>
              <c:f>Sheet1!$C$17:$V$17</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Sheet1!$C$23:$V$23</c:f>
              <c:numCache>
                <c:formatCode>0.00</c:formatCode>
                <c:ptCount val="20"/>
                <c:pt idx="0">
                  <c:v>74.989692000000005</c:v>
                </c:pt>
                <c:pt idx="1">
                  <c:v>28.989691999999998</c:v>
                </c:pt>
                <c:pt idx="2">
                  <c:v>29.5</c:v>
                </c:pt>
                <c:pt idx="3">
                  <c:v>30</c:v>
                </c:pt>
                <c:pt idx="4">
                  <c:v>13.96</c:v>
                </c:pt>
                <c:pt idx="5">
                  <c:v>25</c:v>
                </c:pt>
                <c:pt idx="6">
                  <c:v>20</c:v>
                </c:pt>
                <c:pt idx="7">
                  <c:v>25</c:v>
                </c:pt>
                <c:pt idx="8">
                  <c:v>22</c:v>
                </c:pt>
                <c:pt idx="9">
                  <c:v>27.367158071181326</c:v>
                </c:pt>
                <c:pt idx="10">
                  <c:v>34.035171235540389</c:v>
                </c:pt>
                <c:pt idx="11">
                  <c:v>28.612420705879476</c:v>
                </c:pt>
                <c:pt idx="12">
                  <c:v>29.079365524994483</c:v>
                </c:pt>
                <c:pt idx="13">
                  <c:v>38.5</c:v>
                </c:pt>
                <c:pt idx="14">
                  <c:v>40.449999999999996</c:v>
                </c:pt>
                <c:pt idx="15">
                  <c:v>40.346476281148576</c:v>
                </c:pt>
                <c:pt idx="16">
                  <c:v>41.31</c:v>
                </c:pt>
                <c:pt idx="17">
                  <c:v>40.700000000000003</c:v>
                </c:pt>
                <c:pt idx="18">
                  <c:v>41.4</c:v>
                </c:pt>
                <c:pt idx="19">
                  <c:v>40.137687700581949</c:v>
                </c:pt>
              </c:numCache>
            </c:numRef>
          </c:val>
          <c:extLst>
            <c:ext xmlns:c16="http://schemas.microsoft.com/office/drawing/2014/chart" uri="{C3380CC4-5D6E-409C-BE32-E72D297353CC}">
              <c16:uniqueId val="{00000005-3959-4680-914A-25DC59A559A1}"/>
            </c:ext>
          </c:extLst>
        </c:ser>
        <c:dLbls>
          <c:showLegendKey val="0"/>
          <c:showVal val="0"/>
          <c:showCatName val="0"/>
          <c:showSerName val="0"/>
          <c:showPercent val="0"/>
          <c:showBubbleSize val="0"/>
        </c:dLbls>
        <c:gapWidth val="150"/>
        <c:overlap val="100"/>
        <c:axId val="83234767"/>
        <c:axId val="1135344415"/>
      </c:barChart>
      <c:catAx>
        <c:axId val="83234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5344415"/>
        <c:crosses val="autoZero"/>
        <c:auto val="1"/>
        <c:lblAlgn val="ctr"/>
        <c:lblOffset val="100"/>
        <c:noMultiLvlLbl val="0"/>
      </c:catAx>
      <c:valAx>
        <c:axId val="113534441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2347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q-AL" sz="1200" b="0" i="0" u="none" strike="noStrike">
                <a:solidFill>
                  <a:sysClr val="windowText" lastClr="000000">
                    <a:lumMod val="65000"/>
                    <a:lumOff val="35000"/>
                  </a:sysClr>
                </a:solidFill>
                <a:latin typeface="+mn-lt"/>
              </a:rPr>
              <a:t>Konsumi final i energjisë sipas lëndës djegëse për vitin 2023 (Ktoe)</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Sheet1!$C$62</c:f>
              <c:strCache>
                <c:ptCount val="1"/>
                <c:pt idx="0">
                  <c:v>Solid fuels</c:v>
                </c:pt>
              </c:strCache>
            </c:strRef>
          </c:tx>
          <c:spPr>
            <a:solidFill>
              <a:schemeClr val="accent1"/>
            </a:solidFill>
            <a:ln>
              <a:noFill/>
            </a:ln>
            <a:effectLst/>
          </c:spPr>
          <c:invertIfNegative val="0"/>
          <c:cat>
            <c:strRef>
              <c:f>Sheet1!$B$63:$B$68</c:f>
              <c:strCache>
                <c:ptCount val="6"/>
                <c:pt idx="0">
                  <c:v>Industry</c:v>
                </c:pt>
                <c:pt idx="1">
                  <c:v>Transport</c:v>
                </c:pt>
                <c:pt idx="2">
                  <c:v>Households</c:v>
                </c:pt>
                <c:pt idx="3">
                  <c:v>commerce</c:v>
                </c:pt>
                <c:pt idx="4">
                  <c:v>Agriculture</c:v>
                </c:pt>
                <c:pt idx="5">
                  <c:v>Fisheries</c:v>
                </c:pt>
              </c:strCache>
            </c:strRef>
          </c:cat>
          <c:val>
            <c:numRef>
              <c:f>Sheet1!$C$63:$C$68</c:f>
              <c:numCache>
                <c:formatCode>0.00</c:formatCode>
                <c:ptCount val="6"/>
                <c:pt idx="0">
                  <c:v>127.27291612</c:v>
                </c:pt>
                <c:pt idx="1">
                  <c:v>0</c:v>
                </c:pt>
                <c:pt idx="2">
                  <c:v>0</c:v>
                </c:pt>
                <c:pt idx="3">
                  <c:v>2.8</c:v>
                </c:pt>
              </c:numCache>
            </c:numRef>
          </c:val>
          <c:extLst>
            <c:ext xmlns:c16="http://schemas.microsoft.com/office/drawing/2014/chart" uri="{C3380CC4-5D6E-409C-BE32-E72D297353CC}">
              <c16:uniqueId val="{00000000-D865-43C6-BB98-A4F719D7CB97}"/>
            </c:ext>
          </c:extLst>
        </c:ser>
        <c:ser>
          <c:idx val="1"/>
          <c:order val="1"/>
          <c:tx>
            <c:strRef>
              <c:f>Sheet1!$D$62</c:f>
              <c:strCache>
                <c:ptCount val="1"/>
                <c:pt idx="0">
                  <c:v>Natural Gas</c:v>
                </c:pt>
              </c:strCache>
            </c:strRef>
          </c:tx>
          <c:spPr>
            <a:solidFill>
              <a:schemeClr val="accent2"/>
            </a:solidFill>
            <a:ln>
              <a:noFill/>
            </a:ln>
            <a:effectLst/>
          </c:spPr>
          <c:invertIfNegative val="0"/>
          <c:cat>
            <c:strRef>
              <c:f>Sheet1!$B$63:$B$68</c:f>
              <c:strCache>
                <c:ptCount val="6"/>
                <c:pt idx="0">
                  <c:v>Industry</c:v>
                </c:pt>
                <c:pt idx="1">
                  <c:v>Transport</c:v>
                </c:pt>
                <c:pt idx="2">
                  <c:v>Households</c:v>
                </c:pt>
                <c:pt idx="3">
                  <c:v>commerce</c:v>
                </c:pt>
                <c:pt idx="4">
                  <c:v>Agriculture</c:v>
                </c:pt>
                <c:pt idx="5">
                  <c:v>Fisheries</c:v>
                </c:pt>
              </c:strCache>
            </c:strRef>
          </c:cat>
          <c:val>
            <c:numRef>
              <c:f>Sheet1!$D$63:$D$68</c:f>
              <c:numCache>
                <c:formatCode>0.00</c:formatCode>
                <c:ptCount val="6"/>
                <c:pt idx="0">
                  <c:v>4.189430239999993</c:v>
                </c:pt>
                <c:pt idx="1">
                  <c:v>0</c:v>
                </c:pt>
                <c:pt idx="3">
                  <c:v>0</c:v>
                </c:pt>
              </c:numCache>
            </c:numRef>
          </c:val>
          <c:extLst>
            <c:ext xmlns:c16="http://schemas.microsoft.com/office/drawing/2014/chart" uri="{C3380CC4-5D6E-409C-BE32-E72D297353CC}">
              <c16:uniqueId val="{00000001-D865-43C6-BB98-A4F719D7CB97}"/>
            </c:ext>
          </c:extLst>
        </c:ser>
        <c:ser>
          <c:idx val="2"/>
          <c:order val="2"/>
          <c:tx>
            <c:strRef>
              <c:f>Sheet1!$E$62</c:f>
              <c:strCache>
                <c:ptCount val="1"/>
                <c:pt idx="0">
                  <c:v>Crude, NGL and Feedstock</c:v>
                </c:pt>
              </c:strCache>
            </c:strRef>
          </c:tx>
          <c:spPr>
            <a:solidFill>
              <a:schemeClr val="accent3"/>
            </a:solidFill>
            <a:ln>
              <a:noFill/>
            </a:ln>
            <a:effectLst/>
          </c:spPr>
          <c:invertIfNegative val="0"/>
          <c:cat>
            <c:strRef>
              <c:f>Sheet1!$B$63:$B$68</c:f>
              <c:strCache>
                <c:ptCount val="6"/>
                <c:pt idx="0">
                  <c:v>Industry</c:v>
                </c:pt>
                <c:pt idx="1">
                  <c:v>Transport</c:v>
                </c:pt>
                <c:pt idx="2">
                  <c:v>Households</c:v>
                </c:pt>
                <c:pt idx="3">
                  <c:v>commerce</c:v>
                </c:pt>
                <c:pt idx="4">
                  <c:v>Agriculture</c:v>
                </c:pt>
                <c:pt idx="5">
                  <c:v>Fisheries</c:v>
                </c:pt>
              </c:strCache>
            </c:strRef>
          </c:cat>
          <c:val>
            <c:numRef>
              <c:f>Sheet1!$E$63:$E$68</c:f>
              <c:numCache>
                <c:formatCode>0.00</c:formatCode>
                <c:ptCount val="6"/>
                <c:pt idx="0">
                  <c:v>110.56262140053187</c:v>
                </c:pt>
                <c:pt idx="1">
                  <c:v>705.46548301041059</c:v>
                </c:pt>
                <c:pt idx="2">
                  <c:v>97.651698285042698</c:v>
                </c:pt>
                <c:pt idx="3">
                  <c:v>62.889696983623992</c:v>
                </c:pt>
                <c:pt idx="4">
                  <c:v>46.896425465305192</c:v>
                </c:pt>
                <c:pt idx="5">
                  <c:v>35.377771132958799</c:v>
                </c:pt>
              </c:numCache>
            </c:numRef>
          </c:val>
          <c:extLst>
            <c:ext xmlns:c16="http://schemas.microsoft.com/office/drawing/2014/chart" uri="{C3380CC4-5D6E-409C-BE32-E72D297353CC}">
              <c16:uniqueId val="{00000002-D865-43C6-BB98-A4F719D7CB97}"/>
            </c:ext>
          </c:extLst>
        </c:ser>
        <c:ser>
          <c:idx val="3"/>
          <c:order val="3"/>
          <c:tx>
            <c:strRef>
              <c:f>Sheet1!$F$62</c:f>
              <c:strCache>
                <c:ptCount val="1"/>
                <c:pt idx="0">
                  <c:v>Biomass (Fuelwood)</c:v>
                </c:pt>
              </c:strCache>
            </c:strRef>
          </c:tx>
          <c:spPr>
            <a:solidFill>
              <a:schemeClr val="accent4"/>
            </a:solidFill>
            <a:ln>
              <a:noFill/>
            </a:ln>
            <a:effectLst/>
          </c:spPr>
          <c:invertIfNegative val="0"/>
          <c:cat>
            <c:strRef>
              <c:f>Sheet1!$B$63:$B$68</c:f>
              <c:strCache>
                <c:ptCount val="6"/>
                <c:pt idx="0">
                  <c:v>Industry</c:v>
                </c:pt>
                <c:pt idx="1">
                  <c:v>Transport</c:v>
                </c:pt>
                <c:pt idx="2">
                  <c:v>Households</c:v>
                </c:pt>
                <c:pt idx="3">
                  <c:v>commerce</c:v>
                </c:pt>
                <c:pt idx="4">
                  <c:v>Agriculture</c:v>
                </c:pt>
                <c:pt idx="5">
                  <c:v>Fisheries</c:v>
                </c:pt>
              </c:strCache>
            </c:strRef>
          </c:cat>
          <c:val>
            <c:numRef>
              <c:f>Sheet1!$F$63:$F$68</c:f>
              <c:numCache>
                <c:formatCode>0.00</c:formatCode>
                <c:ptCount val="6"/>
                <c:pt idx="0">
                  <c:v>6.6</c:v>
                </c:pt>
                <c:pt idx="1">
                  <c:v>0</c:v>
                </c:pt>
                <c:pt idx="2">
                  <c:v>111.196342710935</c:v>
                </c:pt>
                <c:pt idx="3">
                  <c:v>10.700000000000003</c:v>
                </c:pt>
                <c:pt idx="4">
                  <c:v>10.7</c:v>
                </c:pt>
              </c:numCache>
            </c:numRef>
          </c:val>
          <c:extLst>
            <c:ext xmlns:c16="http://schemas.microsoft.com/office/drawing/2014/chart" uri="{C3380CC4-5D6E-409C-BE32-E72D297353CC}">
              <c16:uniqueId val="{00000003-D865-43C6-BB98-A4F719D7CB97}"/>
            </c:ext>
          </c:extLst>
        </c:ser>
        <c:ser>
          <c:idx val="4"/>
          <c:order val="4"/>
          <c:tx>
            <c:strRef>
              <c:f>Sheet1!$G$62</c:f>
              <c:strCache>
                <c:ptCount val="1"/>
                <c:pt idx="0">
                  <c:v>Hydro &amp; Electricity</c:v>
                </c:pt>
              </c:strCache>
            </c:strRef>
          </c:tx>
          <c:spPr>
            <a:solidFill>
              <a:schemeClr val="accent5"/>
            </a:solidFill>
            <a:ln>
              <a:noFill/>
            </a:ln>
            <a:effectLst/>
          </c:spPr>
          <c:invertIfNegative val="0"/>
          <c:cat>
            <c:strRef>
              <c:f>Sheet1!$B$63:$B$68</c:f>
              <c:strCache>
                <c:ptCount val="6"/>
                <c:pt idx="0">
                  <c:v>Industry</c:v>
                </c:pt>
                <c:pt idx="1">
                  <c:v>Transport</c:v>
                </c:pt>
                <c:pt idx="2">
                  <c:v>Households</c:v>
                </c:pt>
                <c:pt idx="3">
                  <c:v>commerce</c:v>
                </c:pt>
                <c:pt idx="4">
                  <c:v>Agriculture</c:v>
                </c:pt>
                <c:pt idx="5">
                  <c:v>Fisheries</c:v>
                </c:pt>
              </c:strCache>
            </c:strRef>
          </c:cat>
          <c:val>
            <c:numRef>
              <c:f>Sheet1!$G$63:$G$68</c:f>
              <c:numCache>
                <c:formatCode>0.00</c:formatCode>
                <c:ptCount val="6"/>
                <c:pt idx="0">
                  <c:v>139.65</c:v>
                </c:pt>
                <c:pt idx="1">
                  <c:v>0.53</c:v>
                </c:pt>
                <c:pt idx="2">
                  <c:v>282.44635251943299</c:v>
                </c:pt>
                <c:pt idx="3">
                  <c:v>125.71213054793708</c:v>
                </c:pt>
                <c:pt idx="4">
                  <c:v>5.4264949129442357</c:v>
                </c:pt>
                <c:pt idx="5">
                  <c:v>4.7599165676231507</c:v>
                </c:pt>
              </c:numCache>
            </c:numRef>
          </c:val>
          <c:extLst>
            <c:ext xmlns:c16="http://schemas.microsoft.com/office/drawing/2014/chart" uri="{C3380CC4-5D6E-409C-BE32-E72D297353CC}">
              <c16:uniqueId val="{00000004-D865-43C6-BB98-A4F719D7CB97}"/>
            </c:ext>
          </c:extLst>
        </c:ser>
        <c:ser>
          <c:idx val="5"/>
          <c:order val="5"/>
          <c:tx>
            <c:strRef>
              <c:f>Sheet1!$H$62</c:f>
              <c:strCache>
                <c:ptCount val="1"/>
                <c:pt idx="0">
                  <c:v>Solar Energy </c:v>
                </c:pt>
              </c:strCache>
            </c:strRef>
          </c:tx>
          <c:spPr>
            <a:solidFill>
              <a:schemeClr val="accent6"/>
            </a:solidFill>
            <a:ln>
              <a:noFill/>
            </a:ln>
            <a:effectLst/>
          </c:spPr>
          <c:invertIfNegative val="0"/>
          <c:cat>
            <c:strRef>
              <c:f>Sheet1!$B$63:$B$68</c:f>
              <c:strCache>
                <c:ptCount val="6"/>
                <c:pt idx="0">
                  <c:v>Industry</c:v>
                </c:pt>
                <c:pt idx="1">
                  <c:v>Transport</c:v>
                </c:pt>
                <c:pt idx="2">
                  <c:v>Households</c:v>
                </c:pt>
                <c:pt idx="3">
                  <c:v>commerce</c:v>
                </c:pt>
                <c:pt idx="4">
                  <c:v>Agriculture</c:v>
                </c:pt>
                <c:pt idx="5">
                  <c:v>Fisheries</c:v>
                </c:pt>
              </c:strCache>
            </c:strRef>
          </c:cat>
          <c:val>
            <c:numRef>
              <c:f>Sheet1!$H$63:$H$68</c:f>
              <c:numCache>
                <c:formatCode>0.00</c:formatCode>
                <c:ptCount val="6"/>
                <c:pt idx="0">
                  <c:v>1.7</c:v>
                </c:pt>
                <c:pt idx="1">
                  <c:v>0</c:v>
                </c:pt>
                <c:pt idx="2">
                  <c:v>8.3000000000000007</c:v>
                </c:pt>
                <c:pt idx="3">
                  <c:v>4.1438218399999993</c:v>
                </c:pt>
              </c:numCache>
            </c:numRef>
          </c:val>
          <c:extLst>
            <c:ext xmlns:c16="http://schemas.microsoft.com/office/drawing/2014/chart" uri="{C3380CC4-5D6E-409C-BE32-E72D297353CC}">
              <c16:uniqueId val="{00000005-D865-43C6-BB98-A4F719D7CB97}"/>
            </c:ext>
          </c:extLst>
        </c:ser>
        <c:ser>
          <c:idx val="6"/>
          <c:order val="6"/>
          <c:tx>
            <c:strRef>
              <c:f>Sheet1!$I$62</c:f>
              <c:strCache>
                <c:ptCount val="1"/>
                <c:pt idx="0">
                  <c:v>Derived Heat</c:v>
                </c:pt>
              </c:strCache>
            </c:strRef>
          </c:tx>
          <c:spPr>
            <a:solidFill>
              <a:schemeClr val="accent1">
                <a:lumMod val="60000"/>
              </a:schemeClr>
            </a:solidFill>
            <a:ln>
              <a:noFill/>
            </a:ln>
            <a:effectLst/>
          </c:spPr>
          <c:invertIfNegative val="0"/>
          <c:cat>
            <c:strRef>
              <c:f>Sheet1!$B$63:$B$68</c:f>
              <c:strCache>
                <c:ptCount val="6"/>
                <c:pt idx="0">
                  <c:v>Industry</c:v>
                </c:pt>
                <c:pt idx="1">
                  <c:v>Transport</c:v>
                </c:pt>
                <c:pt idx="2">
                  <c:v>Households</c:v>
                </c:pt>
                <c:pt idx="3">
                  <c:v>commerce</c:v>
                </c:pt>
                <c:pt idx="4">
                  <c:v>Agriculture</c:v>
                </c:pt>
                <c:pt idx="5">
                  <c:v>Fisheries</c:v>
                </c:pt>
              </c:strCache>
            </c:strRef>
          </c:cat>
          <c:val>
            <c:numRef>
              <c:f>Sheet1!$I$63:$I$68</c:f>
              <c:numCache>
                <c:formatCode>0.00</c:formatCode>
                <c:ptCount val="6"/>
                <c:pt idx="0">
                  <c:v>4.7</c:v>
                </c:pt>
                <c:pt idx="1">
                  <c:v>0</c:v>
                </c:pt>
                <c:pt idx="3">
                  <c:v>0</c:v>
                </c:pt>
              </c:numCache>
            </c:numRef>
          </c:val>
          <c:extLst>
            <c:ext xmlns:c16="http://schemas.microsoft.com/office/drawing/2014/chart" uri="{C3380CC4-5D6E-409C-BE32-E72D297353CC}">
              <c16:uniqueId val="{00000006-D865-43C6-BB98-A4F719D7CB97}"/>
            </c:ext>
          </c:extLst>
        </c:ser>
        <c:dLbls>
          <c:showLegendKey val="0"/>
          <c:showVal val="0"/>
          <c:showCatName val="0"/>
          <c:showSerName val="0"/>
          <c:showPercent val="0"/>
          <c:showBubbleSize val="0"/>
        </c:dLbls>
        <c:gapWidth val="150"/>
        <c:overlap val="100"/>
        <c:axId val="1052150912"/>
        <c:axId val="1052174432"/>
      </c:barChart>
      <c:catAx>
        <c:axId val="1052150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2174432"/>
        <c:crosses val="autoZero"/>
        <c:auto val="1"/>
        <c:lblAlgn val="ctr"/>
        <c:lblOffset val="100"/>
        <c:noMultiLvlLbl val="0"/>
      </c:catAx>
      <c:valAx>
        <c:axId val="105217443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2150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q-AL" sz="1200" b="0" i="0">
                <a:effectLst/>
              </a:rPr>
              <a:t>Humbjet në transmetim dhe në shpërndarje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0"/>
          <c:order val="0"/>
          <c:tx>
            <c:strRef>
              <c:f>Sheet1!$K$41</c:f>
              <c:strCache>
                <c:ptCount val="1"/>
                <c:pt idx="0">
                  <c:v> Distribution Losses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Sheet1!$K$40:$S$40</c:f>
              <c:strCache>
                <c:ptCount val="9"/>
                <c:pt idx="0">
                  <c:v>Year</c:v>
                </c:pt>
                <c:pt idx="1">
                  <c:v>2016</c:v>
                </c:pt>
                <c:pt idx="2">
                  <c:v>2017</c:v>
                </c:pt>
                <c:pt idx="3">
                  <c:v>2018</c:v>
                </c:pt>
                <c:pt idx="4">
                  <c:v>2019</c:v>
                </c:pt>
                <c:pt idx="5">
                  <c:v>2020</c:v>
                </c:pt>
                <c:pt idx="6">
                  <c:v>2021</c:v>
                </c:pt>
                <c:pt idx="7">
                  <c:v>2022</c:v>
                </c:pt>
                <c:pt idx="8">
                  <c:v>2023</c:v>
                </c:pt>
              </c:strCache>
            </c:strRef>
          </c:cat>
          <c:val>
            <c:numRef>
              <c:f>Sheet1!$L$41:$S$41</c:f>
              <c:numCache>
                <c:formatCode>0.00%</c:formatCode>
                <c:ptCount val="8"/>
                <c:pt idx="0">
                  <c:v>0.45069999999999999</c:v>
                </c:pt>
                <c:pt idx="1">
                  <c:v>0.2641</c:v>
                </c:pt>
                <c:pt idx="2">
                  <c:v>0.23960000000000001</c:v>
                </c:pt>
                <c:pt idx="3">
                  <c:v>0.21790000000000001</c:v>
                </c:pt>
                <c:pt idx="4">
                  <c:v>0.21479999999999999</c:v>
                </c:pt>
                <c:pt idx="5">
                  <c:v>0.20619999999999999</c:v>
                </c:pt>
                <c:pt idx="6">
                  <c:v>0.19700000000000001</c:v>
                </c:pt>
                <c:pt idx="7">
                  <c:v>0.1893</c:v>
                </c:pt>
              </c:numCache>
            </c:numRef>
          </c:val>
          <c:smooth val="0"/>
          <c:extLst>
            <c:ext xmlns:c16="http://schemas.microsoft.com/office/drawing/2014/chart" uri="{C3380CC4-5D6E-409C-BE32-E72D297353CC}">
              <c16:uniqueId val="{00000000-246B-4D67-8242-A1D4CE651D76}"/>
            </c:ext>
          </c:extLst>
        </c:ser>
        <c:ser>
          <c:idx val="1"/>
          <c:order val="1"/>
          <c:tx>
            <c:strRef>
              <c:f>Sheet1!$K$42</c:f>
              <c:strCache>
                <c:ptCount val="1"/>
                <c:pt idx="0">
                  <c:v>Transmission  Losses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Sheet1!$K$40:$S$40</c:f>
              <c:strCache>
                <c:ptCount val="9"/>
                <c:pt idx="0">
                  <c:v>Year</c:v>
                </c:pt>
                <c:pt idx="1">
                  <c:v>2016</c:v>
                </c:pt>
                <c:pt idx="2">
                  <c:v>2017</c:v>
                </c:pt>
                <c:pt idx="3">
                  <c:v>2018</c:v>
                </c:pt>
                <c:pt idx="4">
                  <c:v>2019</c:v>
                </c:pt>
                <c:pt idx="5">
                  <c:v>2020</c:v>
                </c:pt>
                <c:pt idx="6">
                  <c:v>2021</c:v>
                </c:pt>
                <c:pt idx="7">
                  <c:v>2022</c:v>
                </c:pt>
                <c:pt idx="8">
                  <c:v>2023</c:v>
                </c:pt>
              </c:strCache>
            </c:strRef>
          </c:cat>
          <c:val>
            <c:numRef>
              <c:f>Sheet1!$L$42:$S$42</c:f>
              <c:numCache>
                <c:formatCode>0.00%</c:formatCode>
                <c:ptCount val="8"/>
                <c:pt idx="0">
                  <c:v>2.2499999999999999E-2</c:v>
                </c:pt>
                <c:pt idx="1">
                  <c:v>2.0799999999999999E-2</c:v>
                </c:pt>
                <c:pt idx="2">
                  <c:v>2.46E-2</c:v>
                </c:pt>
                <c:pt idx="3">
                  <c:v>2.12E-2</c:v>
                </c:pt>
                <c:pt idx="4">
                  <c:v>2.12E-2</c:v>
                </c:pt>
                <c:pt idx="5">
                  <c:v>2.1299999999999999E-2</c:v>
                </c:pt>
                <c:pt idx="6">
                  <c:v>2.0899999999999998E-2</c:v>
                </c:pt>
                <c:pt idx="7">
                  <c:v>2.1700000000000001E-2</c:v>
                </c:pt>
              </c:numCache>
            </c:numRef>
          </c:val>
          <c:smooth val="0"/>
          <c:extLst>
            <c:ext xmlns:c16="http://schemas.microsoft.com/office/drawing/2014/chart" uri="{C3380CC4-5D6E-409C-BE32-E72D297353CC}">
              <c16:uniqueId val="{00000001-246B-4D67-8242-A1D4CE651D76}"/>
            </c:ext>
          </c:extLst>
        </c:ser>
        <c:dLbls>
          <c:showLegendKey val="0"/>
          <c:showVal val="0"/>
          <c:showCatName val="0"/>
          <c:showSerName val="0"/>
          <c:showPercent val="0"/>
          <c:showBubbleSize val="0"/>
        </c:dLbls>
        <c:marker val="1"/>
        <c:smooth val="0"/>
        <c:axId val="961980096"/>
        <c:axId val="962734848"/>
      </c:lineChart>
      <c:catAx>
        <c:axId val="961980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734848"/>
        <c:crosses val="autoZero"/>
        <c:auto val="1"/>
        <c:lblAlgn val="ctr"/>
        <c:lblOffset val="100"/>
        <c:noMultiLvlLbl val="0"/>
      </c:catAx>
      <c:valAx>
        <c:axId val="962734848"/>
        <c:scaling>
          <c:orientation val="minMax"/>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1980096"/>
        <c:crosses val="autoZero"/>
        <c:crossBetween val="between"/>
      </c:valAx>
      <c:spPr>
        <a:noFill/>
        <a:ln>
          <a:solidFill>
            <a:schemeClr val="tx2">
              <a:lumMod val="20000"/>
              <a:lumOff val="80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noFill/>
    <a:ln w="9525" cap="flat" cmpd="sng" algn="ctr">
      <a:solidFill>
        <a:schemeClr val="tx2">
          <a:lumMod val="20000"/>
          <a:lumOff val="80000"/>
        </a:schemeClr>
      </a:solid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 dir="row">'Intensit dhe HUmbje SHperndarje'!$C$1:$S$1</cx:f>
        <cx:lvl ptCount="17">
          <cx:pt idx="0">2014</cx:pt>
          <cx:pt idx="1">2015</cx:pt>
          <cx:pt idx="2">2016</cx:pt>
          <cx:pt idx="3">2017</cx:pt>
          <cx:pt idx="4">2018</cx:pt>
          <cx:pt idx="5">2019</cx:pt>
          <cx:pt idx="6">2020</cx:pt>
          <cx:pt idx="7">2021</cx:pt>
          <cx:pt idx="8">2022</cx:pt>
          <cx:pt idx="9">2023</cx:pt>
          <cx:pt idx="10">2024</cx:pt>
          <cx:pt idx="11">2025</cx:pt>
          <cx:pt idx="12">2026</cx:pt>
          <cx:pt idx="13">2027</cx:pt>
          <cx:pt idx="14">2028</cx:pt>
          <cx:pt idx="15">2029</cx:pt>
          <cx:pt idx="16">2030</cx:pt>
        </cx:lvl>
      </cx:strDim>
      <cx:numDim type="val">
        <cx:f dir="row">'Intensit dhe HUmbje SHperndarje'!$C$5:$S$5</cx:f>
        <cx:lvl ptCount="17" formatCode="General">
          <cx:pt idx="0">0.21906693711967545</cx:pt>
          <cx:pt idx="1">0.21564960629921259</cx:pt>
          <cx:pt idx="2">0.21940726577437858</cx:pt>
          <cx:pt idx="3">0.21679035250463824</cx:pt>
          <cx:pt idx="4">0.21432432432432433</cx:pt>
          <cx:pt idx="5">0.21198600174978127</cx:pt>
          <cx:pt idx="6">0.20942275042444822</cx:pt>
          <cx:pt idx="7">0.20585325638911789</cx:pt>
          <cx:pt idx="8">0.2023218574859888</cx:pt>
          <cx:pt idx="9">0.19867909867909869</cx:pt>
          <cx:pt idx="10">0.19509803921568628</cx:pt>
          <cx:pt idx="11">0.19179487179487179</cx:pt>
          <cx:pt idx="12">0.18833570412517781</cx:pt>
          <cx:pt idx="13">0.18508287292817679</cx:pt>
          <cx:pt idx="14">0.1817024128686327</cx:pt>
          <cx:pt idx="15">0.17839947950553026</cx:pt>
          <cx:pt idx="16">0.1751737207833228</cx:pt>
        </cx:lvl>
      </cx:numDim>
    </cx:data>
  </cx:chartData>
  <cx:chart>
    <cx:title pos="t" align="ctr" overlay="0">
      <cx:tx>
        <cx:txData>
          <cx:v>Intensiteti i energjisë ktoe/Miliardë Euro</cx:v>
        </cx:txData>
      </cx:tx>
      <cx:txPr>
        <a:bodyPr spcFirstLastPara="1" vertOverflow="ellipsis" horzOverflow="overflow" wrap="square" lIns="0" tIns="0" rIns="0" bIns="0" anchor="ctr" anchorCtr="1"/>
        <a:lstStyle/>
        <a:p>
          <a:pPr algn="ctr" rtl="0">
            <a:defRPr sz="1200" b="0"/>
          </a:pPr>
          <a:r>
            <a:rPr lang="en-US" sz="1200" b="0" i="0" u="none" strike="noStrike" baseline="0">
              <a:solidFill>
                <a:sysClr val="windowText" lastClr="000000">
                  <a:lumMod val="65000"/>
                  <a:lumOff val="35000"/>
                </a:sysClr>
              </a:solidFill>
              <a:latin typeface="Calibri" panose="020F0502020204030204"/>
            </a:rPr>
            <a:t>Intensiteti i energjisë ktoe/Miliardë Euro</a:t>
          </a:r>
        </a:p>
      </cx:txPr>
    </cx:title>
    <cx:plotArea>
      <cx:plotAreaRegion>
        <cx:series layoutId="boxWhisker" uniqueId="{B4C80EC9-6425-43FD-9AA3-753A855721DD}">
          <cx:tx>
            <cx:txData>
              <cx:f>'Intensit dhe HUmbje SHperndarje'!$B$5</cx:f>
              <cx:v>Energy Intensity Ktoe/billion euro</cx:v>
            </cx:txData>
          </cx:tx>
          <cx:dataId val="0"/>
          <cx:layoutPr>
            <cx:visibility meanLine="0" meanMarker="1" nonoutliers="1" outliers="1"/>
            <cx:statistics quartileMethod="exclusive"/>
          </cx:layoutPr>
        </cx:series>
      </cx:plotAreaRegion>
      <cx:axis id="0">
        <cx:catScaling gapWidth="1.10000002"/>
        <cx:tickLabels/>
      </cx:axis>
      <cx:axis id="1">
        <cx:valScaling/>
        <cx:majorGridlines/>
        <cx:tickLabels/>
      </cx:axis>
    </cx:plotArea>
  </cx:chart>
  <cx:spPr>
    <a:ln>
      <a:solidFill>
        <a:schemeClr val="accent1">
          <a:lumMod val="75000"/>
        </a:schemeClr>
      </a:solidFill>
    </a:ln>
  </cx:spPr>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49286EA836994DEE9583A9A6AD9429D5"/>
        <w:category>
          <w:name w:val="General"/>
          <w:gallery w:val="placeholder"/>
        </w:category>
        <w:types>
          <w:type w:val="bbPlcHdr"/>
        </w:types>
        <w:behaviors>
          <w:behavior w:val="content"/>
        </w:behaviors>
        <w:guid w:val="{6626C6E9-0850-4923-A178-C648B4012C4B}"/>
      </w:docPartPr>
      <w:docPartBody>
        <w:p w:rsidR="003A13D3" w:rsidRDefault="00DE729C" w:rsidP="00DE729C">
          <w:pPr>
            <w:pStyle w:val="49286EA836994DEE9583A9A6AD9429D5"/>
          </w:pPr>
          <w:r w:rsidRPr="00700D73">
            <w:rPr>
              <w:rStyle w:val="PlaceholderText"/>
            </w:rPr>
            <w:t>Klicken oder tippen Sie hier, um Text einzugeben.</w:t>
          </w:r>
        </w:p>
      </w:docPartBody>
    </w:docPart>
    <w:docPart>
      <w:docPartPr>
        <w:name w:val="A7FAF209AB1A47AEBE720282F95BC029"/>
        <w:category>
          <w:name w:val="General"/>
          <w:gallery w:val="placeholder"/>
        </w:category>
        <w:types>
          <w:type w:val="bbPlcHdr"/>
        </w:types>
        <w:behaviors>
          <w:behavior w:val="content"/>
        </w:behaviors>
        <w:guid w:val="{56C66BEB-3219-484F-BEC7-A13B9183E2C6}"/>
      </w:docPartPr>
      <w:docPartBody>
        <w:p w:rsidR="003A13D3" w:rsidRDefault="00DE729C" w:rsidP="00DE729C">
          <w:pPr>
            <w:pStyle w:val="A7FAF209AB1A47AEBE720282F95BC029"/>
          </w:pPr>
          <w:r w:rsidRPr="00700D73">
            <w:rPr>
              <w:rStyle w:val="PlaceholderText"/>
            </w:rPr>
            <w:t>Klicken oder tippen Sie hier, um Text einzugeben.</w:t>
          </w:r>
        </w:p>
      </w:docPartBody>
    </w:docPart>
    <w:docPart>
      <w:docPartPr>
        <w:name w:val="B465850AA3B44BEE8DC8E6B89408B765"/>
        <w:category>
          <w:name w:val="General"/>
          <w:gallery w:val="placeholder"/>
        </w:category>
        <w:types>
          <w:type w:val="bbPlcHdr"/>
        </w:types>
        <w:behaviors>
          <w:behavior w:val="content"/>
        </w:behaviors>
        <w:guid w:val="{32CD0EB7-72B6-4CF8-8E24-30D9E9C29449}"/>
      </w:docPartPr>
      <w:docPartBody>
        <w:p w:rsidR="003A13D3" w:rsidRDefault="00DE729C" w:rsidP="00DE729C">
          <w:pPr>
            <w:pStyle w:val="B465850AA3B44BEE8DC8E6B89408B765"/>
          </w:pPr>
          <w:r w:rsidRPr="00700D73">
            <w:rPr>
              <w:rStyle w:val="PlaceholderText"/>
            </w:rPr>
            <w:t>Klicken oder tippen Sie hier, um Text einzugeben.</w:t>
          </w:r>
        </w:p>
      </w:docPartBody>
    </w:docPart>
    <w:docPart>
      <w:docPartPr>
        <w:name w:val="FF433B800BC94E6EB9A8EE7A1AB0A5BD"/>
        <w:category>
          <w:name w:val="General"/>
          <w:gallery w:val="placeholder"/>
        </w:category>
        <w:types>
          <w:type w:val="bbPlcHdr"/>
        </w:types>
        <w:behaviors>
          <w:behavior w:val="content"/>
        </w:behaviors>
        <w:guid w:val="{B53C90D4-17AC-43DA-996A-FAA5A0E9DC35}"/>
      </w:docPartPr>
      <w:docPartBody>
        <w:p w:rsidR="003A13D3" w:rsidRDefault="00DE729C" w:rsidP="00DE729C">
          <w:pPr>
            <w:pStyle w:val="FF433B800BC94E6EB9A8EE7A1AB0A5BD"/>
          </w:pPr>
          <w:r w:rsidRPr="00700D73">
            <w:rPr>
              <w:rStyle w:val="PlaceholderText"/>
            </w:rPr>
            <w:t>Klicken oder tippen Sie hier, um Text einzugeben.</w:t>
          </w:r>
        </w:p>
      </w:docPartBody>
    </w:docPart>
    <w:docPart>
      <w:docPartPr>
        <w:name w:val="4BC1473305F64FD78CB70DEB332CF329"/>
        <w:category>
          <w:name w:val="General"/>
          <w:gallery w:val="placeholder"/>
        </w:category>
        <w:types>
          <w:type w:val="bbPlcHdr"/>
        </w:types>
        <w:behaviors>
          <w:behavior w:val="content"/>
        </w:behaviors>
        <w:guid w:val="{CE0D60FF-28F3-449C-88FD-AA5CA2D355BE}"/>
      </w:docPartPr>
      <w:docPartBody>
        <w:p w:rsidR="003A13D3" w:rsidRDefault="00DE729C" w:rsidP="00DE729C">
          <w:pPr>
            <w:pStyle w:val="4BC1473305F64FD78CB70DEB332CF329"/>
          </w:pPr>
          <w:r w:rsidRPr="00700D73">
            <w:rPr>
              <w:rStyle w:val="PlaceholderText"/>
            </w:rPr>
            <w:t>Klicken oder tippen Sie hier, um Text einzugeben.</w:t>
          </w:r>
        </w:p>
      </w:docPartBody>
    </w:docPart>
    <w:docPart>
      <w:docPartPr>
        <w:name w:val="6CA336F323204345980CD3CD898B6322"/>
        <w:category>
          <w:name w:val="General"/>
          <w:gallery w:val="placeholder"/>
        </w:category>
        <w:types>
          <w:type w:val="bbPlcHdr"/>
        </w:types>
        <w:behaviors>
          <w:behavior w:val="content"/>
        </w:behaviors>
        <w:guid w:val="{35DF07AC-B7FE-411D-BFE8-20C2FE9391E7}"/>
      </w:docPartPr>
      <w:docPartBody>
        <w:p w:rsidR="003A13D3" w:rsidRDefault="00DE729C" w:rsidP="00DE729C">
          <w:pPr>
            <w:pStyle w:val="6CA336F323204345980CD3CD898B6322"/>
          </w:pPr>
          <w:r w:rsidRPr="00700D73">
            <w:rPr>
              <w:rStyle w:val="PlaceholderText"/>
            </w:rPr>
            <w:t>Klicken oder tippen Sie hier, um Text einzugeben.</w:t>
          </w:r>
        </w:p>
      </w:docPartBody>
    </w:docPart>
    <w:docPart>
      <w:docPartPr>
        <w:name w:val="A813EA41D262400BB257E7033F4E6C6D"/>
        <w:category>
          <w:name w:val="General"/>
          <w:gallery w:val="placeholder"/>
        </w:category>
        <w:types>
          <w:type w:val="bbPlcHdr"/>
        </w:types>
        <w:behaviors>
          <w:behavior w:val="content"/>
        </w:behaviors>
        <w:guid w:val="{B739E8EE-0AFF-43C3-A364-7FEB2F88875C}"/>
      </w:docPartPr>
      <w:docPartBody>
        <w:p w:rsidR="003A13D3" w:rsidRDefault="00DE729C" w:rsidP="00DE729C">
          <w:pPr>
            <w:pStyle w:val="A813EA41D262400BB257E7033F4E6C6D"/>
          </w:pPr>
          <w:r w:rsidRPr="00700D73">
            <w:rPr>
              <w:rStyle w:val="PlaceholderText"/>
            </w:rPr>
            <w:t>Klicken oder tippen Sie hier, um Text einzugeben.</w:t>
          </w:r>
        </w:p>
      </w:docPartBody>
    </w:docPart>
    <w:docPart>
      <w:docPartPr>
        <w:name w:val="311E30735D4D4D69975297A47113385E"/>
        <w:category>
          <w:name w:val="General"/>
          <w:gallery w:val="placeholder"/>
        </w:category>
        <w:types>
          <w:type w:val="bbPlcHdr"/>
        </w:types>
        <w:behaviors>
          <w:behavior w:val="content"/>
        </w:behaviors>
        <w:guid w:val="{85D8D638-4D5F-4A5C-BD0B-1DD2D56F47BC}"/>
      </w:docPartPr>
      <w:docPartBody>
        <w:p w:rsidR="003A13D3" w:rsidRDefault="00DE729C" w:rsidP="00DE729C">
          <w:pPr>
            <w:pStyle w:val="311E30735D4D4D69975297A47113385E"/>
          </w:pPr>
          <w:r w:rsidRPr="005133F6">
            <w:rPr>
              <w:rStyle w:val="PlaceholderText"/>
            </w:rPr>
            <w:t>Klicken oder tippen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Monotype Sorts">
    <w:altName w:val="Segoe UI Symbol"/>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Bookman Old Style">
    <w:panose1 w:val="02050604050505020204"/>
    <w:charset w:val="00"/>
    <w:family w:val="roman"/>
    <w:pitch w:val="variable"/>
    <w:sig w:usb0="00000287" w:usb1="00000000" w:usb2="00000000" w:usb3="00000000" w:csb0="0000009F" w:csb1="00000000"/>
  </w:font>
  <w:font w:name="DaneHelveticaNeue">
    <w:charset w:val="00"/>
    <w:family w:val="auto"/>
    <w:pitch w:val="default"/>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MinionPro-Regular">
    <w:altName w:val="Calibri"/>
    <w:charset w:val="00"/>
    <w:family w:val="auto"/>
    <w:pitch w:val="default"/>
    <w:sig w:usb0="00000001" w:usb1="08070000" w:usb2="00000010" w:usb3="00000000" w:csb0="00020000" w:csb1="00000000"/>
  </w:font>
  <w:font w:name="ArialMT">
    <w:altName w:val="Arial"/>
    <w:panose1 w:val="00000000000000000000"/>
    <w:charset w:val="4D"/>
    <w:family w:val="auto"/>
    <w:notTrueType/>
    <w:pitch w:val="default"/>
    <w:sig w:usb0="00000003" w:usb1="00000000" w:usb2="00000000" w:usb3="00000000" w:csb0="00000001" w:csb1="00000000"/>
  </w:font>
  <w:font w:name="Yu Gothic">
    <w:altName w:val="游ゴシック"/>
    <w:panose1 w:val="020B0400000000000000"/>
    <w:charset w:val="80"/>
    <w:family w:val="swiss"/>
    <w:pitch w:val="variable"/>
    <w:sig w:usb0="E00002FF" w:usb1="2AC7FDFF" w:usb2="00000016" w:usb3="00000000" w:csb0="0002009F" w:csb1="00000000"/>
  </w:font>
  <w:font w:name="Gill Sans MT">
    <w:panose1 w:val="020B0502020104020203"/>
    <w:charset w:val="00"/>
    <w:family w:val="swiss"/>
    <w:pitch w:val="variable"/>
    <w:sig w:usb0="00000007" w:usb1="00000000" w:usb2="00000000" w:usb3="00000000" w:csb0="00000003" w:csb1="00000000"/>
  </w:font>
  <w:font w:name="GillSansMTStd-Book">
    <w:altName w:val="Calibri"/>
    <w:charset w:val="00"/>
    <w:family w:val="auto"/>
    <w:pitch w:val="default"/>
  </w:font>
  <w:font w:name="Futura Md BT">
    <w:altName w:val="Century Gothic"/>
    <w:charset w:val="00"/>
    <w:family w:val="swiss"/>
    <w:pitch w:val="variable"/>
    <w:sig w:usb0="00000087" w:usb1="00000000" w:usb2="00000000" w:usb3="00000000" w:csb0="0000001B" w:csb1="00000000"/>
  </w:font>
  <w:font w:name="Consolas">
    <w:panose1 w:val="020B0609020204030204"/>
    <w:charset w:val="00"/>
    <w:family w:val="modern"/>
    <w:pitch w:val="fixed"/>
    <w:sig w:usb0="E00006FF" w:usb1="0000FCFF" w:usb2="00000001" w:usb3="00000000" w:csb0="0000019F" w:csb1="00000000"/>
  </w:font>
  <w:font w:name="Noto Serif CJK SC">
    <w:panose1 w:val="00000000000000000000"/>
    <w:charset w:val="00"/>
    <w:family w:val="roman"/>
    <w:notTrueType/>
    <w:pitch w:val="default"/>
  </w:font>
  <w:font w:name="Gotham-Book">
    <w:charset w:val="00"/>
    <w:family w:val="auto"/>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729C"/>
    <w:rsid w:val="000B16E4"/>
    <w:rsid w:val="000C5EA9"/>
    <w:rsid w:val="002929E1"/>
    <w:rsid w:val="002B5019"/>
    <w:rsid w:val="00306460"/>
    <w:rsid w:val="00317774"/>
    <w:rsid w:val="003260D7"/>
    <w:rsid w:val="003A13D3"/>
    <w:rsid w:val="00423F08"/>
    <w:rsid w:val="004818F5"/>
    <w:rsid w:val="004D2A81"/>
    <w:rsid w:val="00585DD1"/>
    <w:rsid w:val="005D6DFC"/>
    <w:rsid w:val="005E28BF"/>
    <w:rsid w:val="006C5B10"/>
    <w:rsid w:val="006D1EBD"/>
    <w:rsid w:val="0070175B"/>
    <w:rsid w:val="009E6592"/>
    <w:rsid w:val="00A75FBA"/>
    <w:rsid w:val="00A870E5"/>
    <w:rsid w:val="00B34DE1"/>
    <w:rsid w:val="00C07497"/>
    <w:rsid w:val="00C203F1"/>
    <w:rsid w:val="00CB2FD9"/>
    <w:rsid w:val="00CE2DFC"/>
    <w:rsid w:val="00D1090D"/>
    <w:rsid w:val="00D7247C"/>
    <w:rsid w:val="00D920B6"/>
    <w:rsid w:val="00DE729C"/>
    <w:rsid w:val="00E43959"/>
    <w:rsid w:val="00EC217B"/>
    <w:rsid w:val="00F157A6"/>
    <w:rsid w:val="00F57226"/>
    <w:rsid w:val="00F6626F"/>
    <w:rsid w:val="00FC07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E729C"/>
    <w:rPr>
      <w:color w:val="808080"/>
    </w:rPr>
  </w:style>
  <w:style w:type="paragraph" w:customStyle="1" w:styleId="49286EA836994DEE9583A9A6AD9429D5">
    <w:name w:val="49286EA836994DEE9583A9A6AD9429D5"/>
    <w:rsid w:val="00DE729C"/>
  </w:style>
  <w:style w:type="paragraph" w:customStyle="1" w:styleId="A7FAF209AB1A47AEBE720282F95BC029">
    <w:name w:val="A7FAF209AB1A47AEBE720282F95BC029"/>
    <w:rsid w:val="00DE729C"/>
  </w:style>
  <w:style w:type="paragraph" w:customStyle="1" w:styleId="B465850AA3B44BEE8DC8E6B89408B765">
    <w:name w:val="B465850AA3B44BEE8DC8E6B89408B765"/>
    <w:rsid w:val="00DE729C"/>
  </w:style>
  <w:style w:type="paragraph" w:customStyle="1" w:styleId="FF433B800BC94E6EB9A8EE7A1AB0A5BD">
    <w:name w:val="FF433B800BC94E6EB9A8EE7A1AB0A5BD"/>
    <w:rsid w:val="00DE729C"/>
  </w:style>
  <w:style w:type="paragraph" w:customStyle="1" w:styleId="4BC1473305F64FD78CB70DEB332CF329">
    <w:name w:val="4BC1473305F64FD78CB70DEB332CF329"/>
    <w:rsid w:val="00DE729C"/>
  </w:style>
  <w:style w:type="paragraph" w:customStyle="1" w:styleId="6CA336F323204345980CD3CD898B6322">
    <w:name w:val="6CA336F323204345980CD3CD898B6322"/>
    <w:rsid w:val="00DE729C"/>
  </w:style>
  <w:style w:type="paragraph" w:customStyle="1" w:styleId="A813EA41D262400BB257E7033F4E6C6D">
    <w:name w:val="A813EA41D262400BB257E7033F4E6C6D"/>
    <w:rsid w:val="00DE729C"/>
  </w:style>
  <w:style w:type="paragraph" w:customStyle="1" w:styleId="311E30735D4D4D69975297A47113385E">
    <w:name w:val="311E30735D4D4D69975297A47113385E"/>
    <w:rsid w:val="00DE729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995CF806127AD54B8C1B7E94E24B551D" ma:contentTypeVersion="4" ma:contentTypeDescription="Ein neues Dokument erstellen." ma:contentTypeScope="" ma:versionID="69bd8907e0e871651bb5c5acbf8adde5">
  <xsd:schema xmlns:xsd="http://www.w3.org/2001/XMLSchema" xmlns:xs="http://www.w3.org/2001/XMLSchema" xmlns:p="http://schemas.microsoft.com/office/2006/metadata/properties" xmlns:ns2="11cfcafb-c43b-4761-999b-3978947b86df" targetNamespace="http://schemas.microsoft.com/office/2006/metadata/properties" ma:root="true" ma:fieldsID="e69bed4722a8daa91d6ddf23e5885fee" ns2:_="">
    <xsd:import namespace="11cfcafb-c43b-4761-999b-3978947b86d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cfcafb-c43b-4761-999b-3978947b86d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ADD46C-17F7-4D06-966C-64A1BEC8E40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36A16A4-802D-4238-97A0-74082EAD5B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cfcafb-c43b-4761-999b-3978947b86d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46ABB99-029C-4298-A3AC-C251F156998E}">
  <ds:schemaRefs>
    <ds:schemaRef ds:uri="http://schemas.microsoft.com/sharepoint/v3/contenttype/forms"/>
  </ds:schemaRefs>
</ds:datastoreItem>
</file>

<file path=customXml/itemProps4.xml><?xml version="1.0" encoding="utf-8"?>
<ds:datastoreItem xmlns:ds="http://schemas.openxmlformats.org/officeDocument/2006/customXml" ds:itemID="{7B1ECD04-5876-4952-B9FB-B3979C7FCE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199</Pages>
  <Words>167287</Words>
  <Characters>953537</Characters>
  <Application>Microsoft Office Word</Application>
  <DocSecurity>0</DocSecurity>
  <Lines>7946</Lines>
  <Paragraphs>2237</Paragraphs>
  <ScaleCrop>false</ScaleCrop>
  <HeadingPairs>
    <vt:vector size="6" baseType="variant">
      <vt:variant>
        <vt:lpstr>Title</vt:lpstr>
      </vt:variant>
      <vt:variant>
        <vt:i4>1</vt:i4>
      </vt:variant>
      <vt:variant>
        <vt:lpstr>Titull</vt:lpstr>
      </vt:variant>
      <vt:variant>
        <vt:i4>1</vt:i4>
      </vt:variant>
      <vt:variant>
        <vt:lpstr>Titel</vt:lpstr>
      </vt:variant>
      <vt:variant>
        <vt:i4>1</vt:i4>
      </vt:variant>
    </vt:vector>
  </HeadingPairs>
  <TitlesOfParts>
    <vt:vector size="3" baseType="lpstr">
      <vt:lpstr/>
      <vt:lpstr/>
      <vt:lpstr/>
    </vt:vector>
  </TitlesOfParts>
  <Company/>
  <LinksUpToDate>false</LinksUpToDate>
  <CharactersWithSpaces>1118587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ergi.bregasi@giz.de</dc:creator>
  <cp:keywords/>
  <dc:description/>
  <cp:lastModifiedBy>User</cp:lastModifiedBy>
  <cp:revision>2</cp:revision>
  <cp:lastPrinted>2024-11-20T10:48:00Z</cp:lastPrinted>
  <dcterms:created xsi:type="dcterms:W3CDTF">2025-12-12T10:38:00Z</dcterms:created>
  <dcterms:modified xsi:type="dcterms:W3CDTF">2025-12-12T10:38:00Z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0x010100995CF806127AD54B8C1B7E94E24B551D</vt:lpwstr>
  </property>
</Properties>
</file>